
<file path=[Content_Types].xml><?xml version="1.0" encoding="utf-8"?>
<Types xmlns="http://schemas.openxmlformats.org/package/2006/content-types">
  <Default Extension="bin" ContentType="application/vnd.openxmlformats-officedocument.oleObject"/>
  <Default Extension="emf" ContentType="image/x-emf"/>
  <Default Extension="png" ContentType="image/png"/>
  <Default Extension="rels" ContentType="application/vnd.openxmlformats-package.relationships+xml"/>
  <Default Extension="xlsx" ContentType="application/vnd.openxmlformats-officedocument.spreadsheetml.sheet"/>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customXml/itemProps2.xml" ContentType="application/vnd.openxmlformats-officedocument.customXmlProperties+xml"/>
  <Override PartName="/customXml/itemProps3.xml" ContentType="application/vnd.openxmlformats-officedocument.customXmlProperties+xml"/>
  <Override PartName="/customXml/itemProps4.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footer1.xml" ContentType="application/vnd.openxmlformats-officedocument.wordprocessingml.footer+xml"/>
  <Override PartName="/word/footer2.xml" ContentType="application/vnd.openxmlformats-officedocument.wordprocessingml.footer+xml"/>
  <Override PartName="/word/header2.xml" ContentType="application/vnd.openxmlformats-officedocument.wordprocessingml.header+xml"/>
  <Override PartName="/word/footer3.xml" ContentType="application/vnd.openxmlformats-officedocument.wordprocessingml.footer+xml"/>
  <Override PartName="/word/charts/chart1.xml" ContentType="application/vnd.openxmlformats-officedocument.drawingml.chart+xml"/>
  <Override PartName="/word/charts/style1.xml" ContentType="application/vnd.ms-office.chartstyle+xml"/>
  <Override PartName="/word/charts/colors1.xml" ContentType="application/vnd.ms-office.chartcolorstyle+xml"/>
  <Override PartName="/word/theme/themeOverride1.xml" ContentType="application/vnd.openxmlformats-officedocument.themeOverride+xml"/>
  <Override PartName="/word/charts/chart2.xml" ContentType="application/vnd.openxmlformats-officedocument.drawingml.chart+xml"/>
  <Override PartName="/word/charts/style2.xml" ContentType="application/vnd.ms-office.chartstyle+xml"/>
  <Override PartName="/word/charts/colors2.xml" ContentType="application/vnd.ms-office.chartcolorstyle+xml"/>
  <Override PartName="/word/theme/themeOverride2.xml" ContentType="application/vnd.openxmlformats-officedocument.themeOverride+xml"/>
  <Override PartName="/word/charts/chart3.xml" ContentType="application/vnd.openxmlformats-officedocument.drawingml.chart+xml"/>
  <Override PartName="/word/charts/style3.xml" ContentType="application/vnd.ms-office.chartstyle+xml"/>
  <Override PartName="/word/charts/colors3.xml" ContentType="application/vnd.ms-office.chartcolorstyle+xml"/>
  <Override PartName="/word/theme/themeOverride3.xml" ContentType="application/vnd.openxmlformats-officedocument.themeOverride+xml"/>
  <Override PartName="/word/footer4.xml" ContentType="application/vnd.openxmlformats-officedocument.wordprocessingml.footer+xml"/>
  <Override PartName="/word/footer5.xml" ContentType="application/vnd.openxmlformats-officedocument.wordprocessingml.footer+xml"/>
  <Override PartName="/word/header3.xml" ContentType="application/vnd.openxmlformats-officedocument.wordprocessingml.header+xml"/>
  <Override PartName="/word/header4.xml" ContentType="application/vnd.openxmlformats-officedocument.wordprocessingml.header+xml"/>
  <Override PartName="/word/header5.xml" ContentType="application/vnd.openxmlformats-officedocument.wordprocessingml.header+xml"/>
  <Override PartName="/word/header6.xml" ContentType="application/vnd.openxmlformats-officedocument.wordprocessingml.header+xml"/>
  <Override PartName="/word/footer6.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Override PartName="/docProps/custom.xml" ContentType="application/vnd.openxmlformats-officedocument.custom-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 Id="rId4" Type="http://schemas.openxmlformats.org/officeDocument/2006/relationships/custom-properties" Target="docProps/custom.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body>
    <w:p w14:paraId="4FA997F0" w14:textId="77777777" w:rsidR="008535A1" w:rsidRDefault="008535A1" w:rsidP="0066301C">
      <w:pPr>
        <w:pStyle w:val="i"/>
        <w:spacing w:before="0"/>
        <w:rPr>
          <w:rFonts w:ascii="Arial" w:hAnsi="Arial" w:cs="Arial"/>
          <w:sz w:val="28"/>
          <w:szCs w:val="28"/>
        </w:rPr>
      </w:pPr>
      <w:bookmarkStart w:id="0" w:name="_Hlk178716139"/>
      <w:bookmarkEnd w:id="0"/>
      <w:r w:rsidRPr="00DF3F54">
        <w:rPr>
          <w:noProof/>
          <w:lang w:val="en-US"/>
        </w:rPr>
        <w:drawing>
          <wp:inline distT="0" distB="0" distL="0" distR="0" wp14:anchorId="1BDE73FC" wp14:editId="40143D20">
            <wp:extent cx="2053475" cy="906954"/>
            <wp:effectExtent l="0" t="0" r="4445" b="7620"/>
            <wp:docPr id="1" name="Picture 1" descr="https://cdn.evbuc.com/eventlogos/134876679/leedsbeckett.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04" descr="https://cdn.evbuc.com/eventlogos/134876679/leedsbeckett.png"/>
                    <pic:cNvPicPr>
                      <a:picLocks noChangeAspect="1" noChangeArrowheads="1"/>
                    </pic:cNvPicPr>
                  </pic:nvPicPr>
                  <pic:blipFill>
                    <a:blip r:embed="rId11" cstate="print">
                      <a:extLst>
                        <a:ext uri="{28A0092B-C50C-407E-A947-70E740481C1C}">
                          <a14:useLocalDpi xmlns:a14="http://schemas.microsoft.com/office/drawing/2010/main" val="0"/>
                        </a:ext>
                      </a:extLst>
                    </a:blip>
                    <a:srcRect/>
                    <a:stretch>
                      <a:fillRect/>
                    </a:stretch>
                  </pic:blipFill>
                  <pic:spPr bwMode="auto">
                    <a:xfrm>
                      <a:off x="0" y="0"/>
                      <a:ext cx="2059478" cy="909605"/>
                    </a:xfrm>
                    <a:prstGeom prst="rect">
                      <a:avLst/>
                    </a:prstGeom>
                    <a:noFill/>
                    <a:ln>
                      <a:noFill/>
                    </a:ln>
                  </pic:spPr>
                </pic:pic>
              </a:graphicData>
            </a:graphic>
          </wp:inline>
        </w:drawing>
      </w:r>
    </w:p>
    <w:p w14:paraId="3836C3A1" w14:textId="77777777" w:rsidR="008535A1" w:rsidRDefault="008535A1" w:rsidP="0066301C">
      <w:pPr>
        <w:spacing w:line="360" w:lineRule="auto"/>
        <w:jc w:val="center"/>
        <w:rPr>
          <w:rFonts w:ascii="Arial" w:hAnsi="Arial" w:cs="Arial"/>
          <w:b/>
          <w:sz w:val="28"/>
          <w:szCs w:val="28"/>
        </w:rPr>
      </w:pPr>
    </w:p>
    <w:p w14:paraId="27FBD17B" w14:textId="77777777" w:rsidR="008535A1" w:rsidRPr="002C5789" w:rsidRDefault="00190721" w:rsidP="0066301C">
      <w:pPr>
        <w:spacing w:line="360" w:lineRule="auto"/>
        <w:jc w:val="center"/>
        <w:rPr>
          <w:rFonts w:ascii="Arial" w:hAnsi="Arial" w:cs="Arial"/>
          <w:b/>
          <w:sz w:val="32"/>
          <w:szCs w:val="32"/>
        </w:rPr>
      </w:pPr>
      <w:r w:rsidRPr="002C5789">
        <w:rPr>
          <w:rFonts w:ascii="Arial" w:hAnsi="Arial" w:cs="Arial"/>
          <w:b/>
          <w:sz w:val="32"/>
          <w:szCs w:val="32"/>
        </w:rPr>
        <w:t xml:space="preserve">IMPACT OF CFA FRANC EXCHANGE RATE ON CEMAC </w:t>
      </w:r>
    </w:p>
    <w:p w14:paraId="02A014EF" w14:textId="77777777" w:rsidR="00190721" w:rsidRPr="002C5789" w:rsidRDefault="00190721" w:rsidP="0066301C">
      <w:pPr>
        <w:spacing w:line="360" w:lineRule="auto"/>
        <w:jc w:val="center"/>
        <w:rPr>
          <w:rFonts w:ascii="Arial" w:hAnsi="Arial" w:cs="Arial"/>
          <w:b/>
          <w:sz w:val="32"/>
          <w:szCs w:val="32"/>
        </w:rPr>
      </w:pPr>
      <w:r w:rsidRPr="002C5789">
        <w:rPr>
          <w:rFonts w:ascii="Arial" w:hAnsi="Arial" w:cs="Arial"/>
          <w:b/>
          <w:sz w:val="32"/>
          <w:szCs w:val="32"/>
        </w:rPr>
        <w:t>NATIONS ECONOMIC GROWTH.</w:t>
      </w:r>
      <w:r w:rsidRPr="002C5789">
        <w:rPr>
          <w:rFonts w:ascii="Arial" w:hAnsi="Arial" w:cs="Arial"/>
          <w:b/>
          <w:sz w:val="32"/>
          <w:szCs w:val="32"/>
        </w:rPr>
        <w:tab/>
      </w:r>
    </w:p>
    <w:p w14:paraId="524FBF9C" w14:textId="77777777" w:rsidR="009F7DF6" w:rsidRDefault="009F7DF6" w:rsidP="0066301C">
      <w:pPr>
        <w:spacing w:line="360" w:lineRule="auto"/>
        <w:jc w:val="center"/>
        <w:rPr>
          <w:rFonts w:ascii="Arial" w:hAnsi="Arial" w:cs="Arial"/>
          <w:b/>
        </w:rPr>
      </w:pPr>
    </w:p>
    <w:p w14:paraId="587692A6" w14:textId="77777777" w:rsidR="003F10F4" w:rsidRDefault="009F7DF6" w:rsidP="0066301C">
      <w:pPr>
        <w:spacing w:line="360" w:lineRule="auto"/>
        <w:jc w:val="center"/>
        <w:rPr>
          <w:rFonts w:ascii="Arial" w:hAnsi="Arial" w:cs="Arial"/>
          <w:b/>
        </w:rPr>
      </w:pPr>
      <w:r>
        <w:rPr>
          <w:rFonts w:ascii="Arial" w:hAnsi="Arial" w:cs="Arial"/>
          <w:b/>
        </w:rPr>
        <w:t>By</w:t>
      </w:r>
      <w:r w:rsidR="003F10F4">
        <w:rPr>
          <w:rFonts w:ascii="Arial" w:hAnsi="Arial" w:cs="Arial"/>
          <w:b/>
        </w:rPr>
        <w:t xml:space="preserve"> </w:t>
      </w:r>
    </w:p>
    <w:p w14:paraId="57E4C604" w14:textId="77777777" w:rsidR="008535A1" w:rsidRDefault="008535A1" w:rsidP="0066301C">
      <w:pPr>
        <w:spacing w:line="360" w:lineRule="auto"/>
        <w:jc w:val="center"/>
        <w:rPr>
          <w:rFonts w:ascii="Arial" w:hAnsi="Arial" w:cs="Arial"/>
          <w:b/>
        </w:rPr>
      </w:pPr>
    </w:p>
    <w:p w14:paraId="7E8D6DE0" w14:textId="77777777" w:rsidR="009F7DF6" w:rsidRDefault="009F7DF6" w:rsidP="0066301C">
      <w:pPr>
        <w:spacing w:line="360" w:lineRule="auto"/>
        <w:jc w:val="center"/>
        <w:rPr>
          <w:rFonts w:ascii="Arial" w:hAnsi="Arial" w:cs="Arial"/>
          <w:b/>
        </w:rPr>
      </w:pPr>
    </w:p>
    <w:p w14:paraId="12BD3632" w14:textId="77777777" w:rsidR="003F10F4" w:rsidRPr="002C5789" w:rsidRDefault="003F10F4" w:rsidP="0066301C">
      <w:pPr>
        <w:spacing w:line="360" w:lineRule="auto"/>
        <w:jc w:val="center"/>
        <w:rPr>
          <w:rFonts w:ascii="Arial" w:hAnsi="Arial" w:cs="Arial"/>
          <w:b/>
          <w:sz w:val="32"/>
          <w:szCs w:val="32"/>
        </w:rPr>
      </w:pPr>
      <w:r w:rsidRPr="002C5789">
        <w:rPr>
          <w:rFonts w:ascii="Arial" w:hAnsi="Arial" w:cs="Arial"/>
          <w:b/>
          <w:sz w:val="32"/>
          <w:szCs w:val="32"/>
        </w:rPr>
        <w:t>MBUBIT BENS MBUBIT</w:t>
      </w:r>
    </w:p>
    <w:p w14:paraId="7FD4CD8A" w14:textId="77777777" w:rsidR="00190721" w:rsidRDefault="00190721" w:rsidP="0066301C">
      <w:pPr>
        <w:spacing w:line="360" w:lineRule="auto"/>
        <w:jc w:val="center"/>
        <w:rPr>
          <w:rFonts w:ascii="Arial" w:hAnsi="Arial" w:cs="Arial"/>
          <w:b/>
        </w:rPr>
      </w:pPr>
    </w:p>
    <w:p w14:paraId="21DE1BE0" w14:textId="77777777" w:rsidR="008535A1" w:rsidRDefault="008535A1" w:rsidP="0066301C">
      <w:pPr>
        <w:spacing w:line="360" w:lineRule="auto"/>
        <w:jc w:val="center"/>
        <w:rPr>
          <w:rFonts w:ascii="Arial" w:hAnsi="Arial" w:cs="Arial"/>
          <w:b/>
        </w:rPr>
      </w:pPr>
    </w:p>
    <w:p w14:paraId="60E013D9" w14:textId="77777777" w:rsidR="002C5789" w:rsidRDefault="00B145D0" w:rsidP="0066301C">
      <w:pPr>
        <w:spacing w:after="0" w:line="240" w:lineRule="auto"/>
        <w:jc w:val="center"/>
        <w:rPr>
          <w:rFonts w:ascii="Arial" w:hAnsi="Arial" w:cs="Arial"/>
          <w:b/>
          <w:sz w:val="28"/>
          <w:szCs w:val="28"/>
        </w:rPr>
      </w:pPr>
      <w:r w:rsidRPr="002C5789">
        <w:rPr>
          <w:rFonts w:ascii="Arial" w:hAnsi="Arial" w:cs="Arial"/>
          <w:b/>
          <w:sz w:val="28"/>
          <w:szCs w:val="28"/>
        </w:rPr>
        <w:t>A T</w:t>
      </w:r>
      <w:r w:rsidR="009F7DF6" w:rsidRPr="002C5789">
        <w:rPr>
          <w:rFonts w:ascii="Arial" w:hAnsi="Arial" w:cs="Arial"/>
          <w:b/>
          <w:sz w:val="28"/>
          <w:szCs w:val="28"/>
        </w:rPr>
        <w:t>hesis S</w:t>
      </w:r>
      <w:r w:rsidR="00517030" w:rsidRPr="002C5789">
        <w:rPr>
          <w:rFonts w:ascii="Arial" w:hAnsi="Arial" w:cs="Arial"/>
          <w:b/>
          <w:sz w:val="28"/>
          <w:szCs w:val="28"/>
        </w:rPr>
        <w:t xml:space="preserve">ubmitted to Business School in </w:t>
      </w:r>
      <w:r w:rsidR="009F7DF6" w:rsidRPr="002C5789">
        <w:rPr>
          <w:rFonts w:ascii="Arial" w:hAnsi="Arial" w:cs="Arial"/>
          <w:b/>
          <w:sz w:val="28"/>
          <w:szCs w:val="28"/>
        </w:rPr>
        <w:t xml:space="preserve">Partial Fulfilment </w:t>
      </w:r>
    </w:p>
    <w:p w14:paraId="0F6663DF" w14:textId="77777777" w:rsidR="009F7DF6" w:rsidRPr="002C5789" w:rsidRDefault="009F7DF6" w:rsidP="0066301C">
      <w:pPr>
        <w:spacing w:after="0" w:line="240" w:lineRule="auto"/>
        <w:jc w:val="center"/>
        <w:rPr>
          <w:rFonts w:ascii="Arial" w:hAnsi="Arial" w:cs="Arial"/>
          <w:b/>
          <w:sz w:val="28"/>
          <w:szCs w:val="28"/>
        </w:rPr>
      </w:pPr>
      <w:r w:rsidRPr="002C5789">
        <w:rPr>
          <w:rFonts w:ascii="Arial" w:hAnsi="Arial" w:cs="Arial"/>
          <w:b/>
          <w:sz w:val="28"/>
          <w:szCs w:val="28"/>
        </w:rPr>
        <w:t>of the R</w:t>
      </w:r>
      <w:r w:rsidR="00517030" w:rsidRPr="002C5789">
        <w:rPr>
          <w:rFonts w:ascii="Arial" w:hAnsi="Arial" w:cs="Arial"/>
          <w:b/>
          <w:sz w:val="28"/>
          <w:szCs w:val="28"/>
        </w:rPr>
        <w:t>equirement</w:t>
      </w:r>
      <w:r w:rsidRPr="002C5789">
        <w:rPr>
          <w:rFonts w:ascii="Arial" w:hAnsi="Arial" w:cs="Arial"/>
          <w:b/>
          <w:sz w:val="28"/>
          <w:szCs w:val="28"/>
        </w:rPr>
        <w:t>s</w:t>
      </w:r>
      <w:r w:rsidR="00517030" w:rsidRPr="002C5789">
        <w:rPr>
          <w:rFonts w:ascii="Arial" w:hAnsi="Arial" w:cs="Arial"/>
          <w:b/>
          <w:sz w:val="28"/>
          <w:szCs w:val="28"/>
        </w:rPr>
        <w:t xml:space="preserve"> for the </w:t>
      </w:r>
      <w:r w:rsidRPr="002C5789">
        <w:rPr>
          <w:rFonts w:ascii="Arial" w:hAnsi="Arial" w:cs="Arial"/>
          <w:b/>
          <w:sz w:val="28"/>
          <w:szCs w:val="28"/>
        </w:rPr>
        <w:t>D</w:t>
      </w:r>
      <w:r w:rsidR="00517030" w:rsidRPr="002C5789">
        <w:rPr>
          <w:rFonts w:ascii="Arial" w:hAnsi="Arial" w:cs="Arial"/>
          <w:b/>
          <w:sz w:val="28"/>
          <w:szCs w:val="28"/>
        </w:rPr>
        <w:t>egre</w:t>
      </w:r>
      <w:r w:rsidRPr="002C5789">
        <w:rPr>
          <w:rFonts w:ascii="Arial" w:hAnsi="Arial" w:cs="Arial"/>
          <w:b/>
          <w:sz w:val="28"/>
          <w:szCs w:val="28"/>
        </w:rPr>
        <w:t xml:space="preserve">e of </w:t>
      </w:r>
    </w:p>
    <w:p w14:paraId="66121509" w14:textId="77777777" w:rsidR="009F7DF6" w:rsidRPr="002C5789" w:rsidRDefault="009F7DF6" w:rsidP="0066301C">
      <w:pPr>
        <w:spacing w:after="0" w:line="240" w:lineRule="auto"/>
        <w:jc w:val="center"/>
        <w:rPr>
          <w:rFonts w:ascii="Arial" w:hAnsi="Arial" w:cs="Arial"/>
          <w:b/>
          <w:sz w:val="28"/>
          <w:szCs w:val="28"/>
        </w:rPr>
      </w:pPr>
    </w:p>
    <w:p w14:paraId="5EBDEEDB" w14:textId="77777777" w:rsidR="009F7DF6" w:rsidRPr="002C5789" w:rsidRDefault="009F7DF6" w:rsidP="0066301C">
      <w:pPr>
        <w:spacing w:after="0" w:line="240" w:lineRule="auto"/>
        <w:jc w:val="center"/>
        <w:rPr>
          <w:rFonts w:ascii="Arial" w:hAnsi="Arial" w:cs="Arial"/>
          <w:b/>
          <w:sz w:val="28"/>
          <w:szCs w:val="28"/>
        </w:rPr>
      </w:pPr>
    </w:p>
    <w:p w14:paraId="378139AD" w14:textId="77777777" w:rsidR="009F7DF6" w:rsidRPr="002C5789" w:rsidRDefault="009F7DF6" w:rsidP="0066301C">
      <w:pPr>
        <w:spacing w:after="0" w:line="240" w:lineRule="auto"/>
        <w:jc w:val="center"/>
        <w:rPr>
          <w:rFonts w:ascii="Arial" w:hAnsi="Arial" w:cs="Arial"/>
          <w:b/>
          <w:sz w:val="28"/>
          <w:szCs w:val="28"/>
        </w:rPr>
      </w:pPr>
    </w:p>
    <w:p w14:paraId="738E6DD2" w14:textId="77777777" w:rsidR="009F7DF6" w:rsidRPr="002C5789" w:rsidRDefault="009F7DF6" w:rsidP="0066301C">
      <w:pPr>
        <w:spacing w:after="0" w:line="240" w:lineRule="auto"/>
        <w:jc w:val="center"/>
        <w:rPr>
          <w:rFonts w:ascii="Arial" w:hAnsi="Arial" w:cs="Arial"/>
          <w:b/>
          <w:sz w:val="28"/>
          <w:szCs w:val="28"/>
        </w:rPr>
      </w:pPr>
      <w:r w:rsidRPr="002C5789">
        <w:rPr>
          <w:rFonts w:ascii="Arial" w:hAnsi="Arial" w:cs="Arial"/>
          <w:b/>
          <w:sz w:val="28"/>
          <w:szCs w:val="28"/>
        </w:rPr>
        <w:t xml:space="preserve">Doctor of Philosophy </w:t>
      </w:r>
    </w:p>
    <w:p w14:paraId="3A181889" w14:textId="77777777" w:rsidR="009F7DF6" w:rsidRPr="002C5789" w:rsidRDefault="009F7DF6" w:rsidP="0066301C">
      <w:pPr>
        <w:spacing w:after="0" w:line="240" w:lineRule="auto"/>
        <w:jc w:val="center"/>
        <w:rPr>
          <w:rFonts w:ascii="Arial" w:hAnsi="Arial" w:cs="Arial"/>
          <w:b/>
          <w:sz w:val="28"/>
          <w:szCs w:val="28"/>
        </w:rPr>
      </w:pPr>
      <w:r w:rsidRPr="002C5789">
        <w:rPr>
          <w:rFonts w:ascii="Arial" w:hAnsi="Arial" w:cs="Arial"/>
          <w:b/>
          <w:sz w:val="28"/>
          <w:szCs w:val="28"/>
        </w:rPr>
        <w:t xml:space="preserve">Economics </w:t>
      </w:r>
    </w:p>
    <w:p w14:paraId="4972145D" w14:textId="77777777" w:rsidR="009F7DF6" w:rsidRPr="002C5789" w:rsidRDefault="009F7DF6" w:rsidP="0066301C">
      <w:pPr>
        <w:spacing w:after="0" w:line="240" w:lineRule="auto"/>
        <w:jc w:val="center"/>
        <w:rPr>
          <w:rFonts w:ascii="Arial" w:hAnsi="Arial" w:cs="Arial"/>
          <w:b/>
          <w:sz w:val="28"/>
          <w:szCs w:val="28"/>
        </w:rPr>
      </w:pPr>
    </w:p>
    <w:p w14:paraId="38841066" w14:textId="77777777" w:rsidR="009F7DF6" w:rsidRPr="002C5789" w:rsidRDefault="009F7DF6" w:rsidP="0066301C">
      <w:pPr>
        <w:spacing w:after="0" w:line="240" w:lineRule="auto"/>
        <w:jc w:val="center"/>
        <w:rPr>
          <w:rFonts w:ascii="Arial" w:hAnsi="Arial" w:cs="Arial"/>
          <w:b/>
          <w:sz w:val="28"/>
          <w:szCs w:val="28"/>
        </w:rPr>
      </w:pPr>
    </w:p>
    <w:p w14:paraId="3D75E003" w14:textId="77777777" w:rsidR="009F7DF6" w:rsidRPr="002C5789" w:rsidRDefault="009F7DF6" w:rsidP="0066301C">
      <w:pPr>
        <w:spacing w:after="0" w:line="240" w:lineRule="auto"/>
        <w:jc w:val="center"/>
        <w:rPr>
          <w:rFonts w:ascii="Arial" w:hAnsi="Arial" w:cs="Arial"/>
          <w:b/>
          <w:sz w:val="28"/>
          <w:szCs w:val="28"/>
        </w:rPr>
      </w:pPr>
    </w:p>
    <w:p w14:paraId="6E1FAD73" w14:textId="77777777" w:rsidR="009F7DF6" w:rsidRPr="002C5789" w:rsidRDefault="008535A1" w:rsidP="0066301C">
      <w:pPr>
        <w:spacing w:after="0" w:line="240" w:lineRule="auto"/>
        <w:jc w:val="center"/>
        <w:rPr>
          <w:rFonts w:ascii="Arial" w:hAnsi="Arial" w:cs="Arial"/>
          <w:b/>
          <w:sz w:val="28"/>
          <w:szCs w:val="28"/>
        </w:rPr>
      </w:pPr>
      <w:r w:rsidRPr="002C5789">
        <w:rPr>
          <w:rFonts w:ascii="Arial" w:hAnsi="Arial" w:cs="Arial"/>
          <w:b/>
          <w:sz w:val="28"/>
          <w:szCs w:val="28"/>
        </w:rPr>
        <w:t>a</w:t>
      </w:r>
      <w:r w:rsidR="009F7DF6" w:rsidRPr="002C5789">
        <w:rPr>
          <w:rFonts w:ascii="Arial" w:hAnsi="Arial" w:cs="Arial"/>
          <w:b/>
          <w:sz w:val="28"/>
          <w:szCs w:val="28"/>
        </w:rPr>
        <w:t xml:space="preserve">t </w:t>
      </w:r>
    </w:p>
    <w:p w14:paraId="504E173A" w14:textId="77777777" w:rsidR="009F7DF6" w:rsidRPr="002C5789" w:rsidRDefault="009F7DF6" w:rsidP="0066301C">
      <w:pPr>
        <w:spacing w:after="0" w:line="240" w:lineRule="auto"/>
        <w:jc w:val="center"/>
        <w:rPr>
          <w:rFonts w:ascii="Arial" w:hAnsi="Arial" w:cs="Arial"/>
          <w:b/>
          <w:sz w:val="28"/>
          <w:szCs w:val="28"/>
        </w:rPr>
      </w:pPr>
    </w:p>
    <w:p w14:paraId="5EDDEF0D" w14:textId="77777777" w:rsidR="009F7DF6" w:rsidRPr="002C5789" w:rsidRDefault="009F7DF6" w:rsidP="0066301C">
      <w:pPr>
        <w:spacing w:after="0" w:line="240" w:lineRule="auto"/>
        <w:jc w:val="center"/>
        <w:rPr>
          <w:rFonts w:ascii="Arial" w:hAnsi="Arial" w:cs="Arial"/>
          <w:b/>
          <w:sz w:val="28"/>
          <w:szCs w:val="28"/>
        </w:rPr>
      </w:pPr>
    </w:p>
    <w:p w14:paraId="03289D8B" w14:textId="77777777" w:rsidR="009F7DF6" w:rsidRPr="002C5789" w:rsidRDefault="009F7DF6" w:rsidP="0066301C">
      <w:pPr>
        <w:spacing w:after="0" w:line="240" w:lineRule="auto"/>
        <w:jc w:val="center"/>
        <w:rPr>
          <w:rFonts w:ascii="Arial" w:hAnsi="Arial" w:cs="Arial"/>
          <w:b/>
          <w:sz w:val="28"/>
          <w:szCs w:val="28"/>
        </w:rPr>
      </w:pPr>
    </w:p>
    <w:p w14:paraId="48308C7A" w14:textId="77777777" w:rsidR="009F7DF6" w:rsidRPr="002C5789" w:rsidRDefault="009F7DF6" w:rsidP="0066301C">
      <w:pPr>
        <w:spacing w:after="0" w:line="240" w:lineRule="auto"/>
        <w:jc w:val="center"/>
        <w:rPr>
          <w:rFonts w:ascii="Arial" w:hAnsi="Arial" w:cs="Arial"/>
          <w:b/>
          <w:sz w:val="28"/>
          <w:szCs w:val="28"/>
        </w:rPr>
      </w:pPr>
    </w:p>
    <w:p w14:paraId="0989F9E5" w14:textId="77777777" w:rsidR="00190721" w:rsidRPr="002C5789" w:rsidRDefault="00190721" w:rsidP="0066301C">
      <w:pPr>
        <w:spacing w:after="0" w:line="240" w:lineRule="auto"/>
        <w:jc w:val="center"/>
        <w:rPr>
          <w:rFonts w:ascii="Arial" w:hAnsi="Arial" w:cs="Arial"/>
          <w:b/>
          <w:sz w:val="28"/>
          <w:szCs w:val="28"/>
        </w:rPr>
      </w:pPr>
      <w:r w:rsidRPr="002C5789">
        <w:rPr>
          <w:rFonts w:ascii="Arial" w:hAnsi="Arial" w:cs="Arial"/>
          <w:b/>
          <w:sz w:val="28"/>
          <w:szCs w:val="28"/>
        </w:rPr>
        <w:t>L</w:t>
      </w:r>
      <w:r w:rsidR="009F7DF6" w:rsidRPr="002C5789">
        <w:rPr>
          <w:rFonts w:ascii="Arial" w:hAnsi="Arial" w:cs="Arial"/>
          <w:b/>
          <w:sz w:val="28"/>
          <w:szCs w:val="28"/>
        </w:rPr>
        <w:t xml:space="preserve">eeds </w:t>
      </w:r>
      <w:r w:rsidRPr="002C5789">
        <w:rPr>
          <w:rFonts w:ascii="Arial" w:hAnsi="Arial" w:cs="Arial"/>
          <w:b/>
          <w:sz w:val="28"/>
          <w:szCs w:val="28"/>
        </w:rPr>
        <w:t>B</w:t>
      </w:r>
      <w:r w:rsidR="009F7DF6" w:rsidRPr="002C5789">
        <w:rPr>
          <w:rFonts w:ascii="Arial" w:hAnsi="Arial" w:cs="Arial"/>
          <w:b/>
          <w:sz w:val="28"/>
          <w:szCs w:val="28"/>
        </w:rPr>
        <w:t xml:space="preserve">eckett </w:t>
      </w:r>
      <w:r w:rsidRPr="002C5789">
        <w:rPr>
          <w:rFonts w:ascii="Arial" w:hAnsi="Arial" w:cs="Arial"/>
          <w:b/>
          <w:sz w:val="28"/>
          <w:szCs w:val="28"/>
        </w:rPr>
        <w:t>U</w:t>
      </w:r>
      <w:r w:rsidR="009F7DF6" w:rsidRPr="002C5789">
        <w:rPr>
          <w:rFonts w:ascii="Arial" w:hAnsi="Arial" w:cs="Arial"/>
          <w:b/>
          <w:sz w:val="28"/>
          <w:szCs w:val="28"/>
        </w:rPr>
        <w:t>niversity</w:t>
      </w:r>
    </w:p>
    <w:p w14:paraId="0D447AF2" w14:textId="77777777" w:rsidR="009F7DF6" w:rsidRPr="002C5789" w:rsidRDefault="009F7DF6" w:rsidP="0066301C">
      <w:pPr>
        <w:spacing w:line="360" w:lineRule="auto"/>
        <w:jc w:val="center"/>
        <w:rPr>
          <w:rFonts w:ascii="Arial" w:hAnsi="Arial" w:cs="Arial"/>
          <w:b/>
          <w:sz w:val="28"/>
          <w:szCs w:val="28"/>
        </w:rPr>
      </w:pPr>
    </w:p>
    <w:p w14:paraId="172D4499" w14:textId="524B20ED" w:rsidR="006C74CD" w:rsidRPr="002C5789" w:rsidRDefault="005D128C" w:rsidP="0066301C">
      <w:pPr>
        <w:spacing w:line="360" w:lineRule="auto"/>
        <w:jc w:val="center"/>
        <w:rPr>
          <w:rFonts w:ascii="Arial" w:hAnsi="Arial" w:cs="Arial"/>
          <w:b/>
          <w:sz w:val="28"/>
          <w:szCs w:val="28"/>
        </w:rPr>
      </w:pPr>
      <w:r>
        <w:rPr>
          <w:rFonts w:ascii="Arial" w:hAnsi="Arial" w:cs="Arial"/>
          <w:b/>
          <w:sz w:val="28"/>
          <w:szCs w:val="28"/>
        </w:rPr>
        <w:t>July</w:t>
      </w:r>
      <w:r w:rsidR="009F7DF6" w:rsidRPr="002C5789">
        <w:rPr>
          <w:rFonts w:ascii="Arial" w:hAnsi="Arial" w:cs="Arial"/>
          <w:b/>
          <w:sz w:val="28"/>
          <w:szCs w:val="28"/>
        </w:rPr>
        <w:t xml:space="preserve"> </w:t>
      </w:r>
      <w:r w:rsidR="006C74CD" w:rsidRPr="002C5789">
        <w:rPr>
          <w:rFonts w:ascii="Arial" w:hAnsi="Arial" w:cs="Arial"/>
          <w:b/>
          <w:sz w:val="28"/>
          <w:szCs w:val="28"/>
        </w:rPr>
        <w:t>202</w:t>
      </w:r>
      <w:r w:rsidR="004C4C1B">
        <w:rPr>
          <w:rFonts w:ascii="Arial" w:hAnsi="Arial" w:cs="Arial"/>
          <w:b/>
          <w:sz w:val="28"/>
          <w:szCs w:val="28"/>
        </w:rPr>
        <w:t>2</w:t>
      </w:r>
    </w:p>
    <w:p w14:paraId="3EAD5B47" w14:textId="77777777" w:rsidR="009F7DF6" w:rsidRDefault="009F7DF6" w:rsidP="0066301C">
      <w:pPr>
        <w:spacing w:line="360" w:lineRule="auto"/>
        <w:jc w:val="center"/>
        <w:rPr>
          <w:rFonts w:ascii="Arial" w:hAnsi="Arial" w:cs="Arial"/>
          <w:b/>
        </w:rPr>
      </w:pPr>
    </w:p>
    <w:p w14:paraId="1B938764" w14:textId="77777777" w:rsidR="00D71A0F" w:rsidRDefault="00D71A0F" w:rsidP="0066301C">
      <w:pPr>
        <w:spacing w:line="360" w:lineRule="auto"/>
        <w:jc w:val="center"/>
        <w:rPr>
          <w:rFonts w:ascii="Arial" w:hAnsi="Arial" w:cs="Arial"/>
          <w:b/>
        </w:rPr>
      </w:pPr>
    </w:p>
    <w:p w14:paraId="05BDBD95" w14:textId="77777777" w:rsidR="008204CC" w:rsidRDefault="008204CC" w:rsidP="0066301C">
      <w:pPr>
        <w:spacing w:line="360" w:lineRule="auto"/>
        <w:jc w:val="center"/>
        <w:rPr>
          <w:rFonts w:ascii="Arial" w:hAnsi="Arial" w:cs="Arial"/>
          <w:b/>
        </w:rPr>
      </w:pPr>
    </w:p>
    <w:p w14:paraId="5B1E9DB9" w14:textId="77777777" w:rsidR="00D71A0F" w:rsidRDefault="00D71A0F" w:rsidP="0066301C">
      <w:pPr>
        <w:spacing w:line="360" w:lineRule="auto"/>
        <w:jc w:val="center"/>
        <w:rPr>
          <w:rFonts w:ascii="Arial" w:hAnsi="Arial" w:cs="Arial"/>
          <w:b/>
          <w:sz w:val="28"/>
          <w:szCs w:val="28"/>
        </w:rPr>
      </w:pPr>
    </w:p>
    <w:p w14:paraId="40959C92" w14:textId="77777777" w:rsidR="00D71A0F" w:rsidRDefault="00D71A0F" w:rsidP="0066301C">
      <w:pPr>
        <w:spacing w:line="360" w:lineRule="auto"/>
        <w:jc w:val="center"/>
        <w:rPr>
          <w:rFonts w:ascii="Arial" w:hAnsi="Arial" w:cs="Arial"/>
          <w:b/>
          <w:sz w:val="28"/>
          <w:szCs w:val="28"/>
        </w:rPr>
      </w:pPr>
      <w:r w:rsidRPr="008535A1">
        <w:rPr>
          <w:rFonts w:ascii="Arial" w:hAnsi="Arial" w:cs="Arial"/>
          <w:b/>
          <w:sz w:val="28"/>
          <w:szCs w:val="28"/>
        </w:rPr>
        <w:t xml:space="preserve">IMPACT OF CFA FRANC EXCHANGE RATE ON CEMAC </w:t>
      </w:r>
    </w:p>
    <w:p w14:paraId="46A46920" w14:textId="77777777" w:rsidR="00D71A0F" w:rsidRPr="00190721" w:rsidRDefault="00D71A0F" w:rsidP="0066301C">
      <w:pPr>
        <w:spacing w:line="360" w:lineRule="auto"/>
        <w:jc w:val="center"/>
        <w:rPr>
          <w:rFonts w:ascii="Arial" w:hAnsi="Arial" w:cs="Arial"/>
          <w:b/>
          <w:sz w:val="24"/>
          <w:szCs w:val="24"/>
        </w:rPr>
      </w:pPr>
      <w:r w:rsidRPr="008535A1">
        <w:rPr>
          <w:rFonts w:ascii="Arial" w:hAnsi="Arial" w:cs="Arial"/>
          <w:b/>
          <w:sz w:val="28"/>
          <w:szCs w:val="28"/>
        </w:rPr>
        <w:t>NATIONS ECONOMIC GROWTH.</w:t>
      </w:r>
      <w:r w:rsidRPr="00190721">
        <w:rPr>
          <w:rFonts w:ascii="Arial" w:hAnsi="Arial" w:cs="Arial"/>
          <w:b/>
          <w:sz w:val="24"/>
          <w:szCs w:val="24"/>
        </w:rPr>
        <w:tab/>
      </w:r>
    </w:p>
    <w:p w14:paraId="2C61D388" w14:textId="77777777" w:rsidR="00D71A0F" w:rsidRDefault="00D71A0F" w:rsidP="0066301C">
      <w:pPr>
        <w:spacing w:line="360" w:lineRule="auto"/>
        <w:jc w:val="center"/>
        <w:rPr>
          <w:rFonts w:ascii="Arial" w:hAnsi="Arial" w:cs="Arial"/>
          <w:b/>
        </w:rPr>
      </w:pPr>
    </w:p>
    <w:p w14:paraId="3FFCD941" w14:textId="77777777" w:rsidR="00D71A0F" w:rsidRDefault="00D71A0F" w:rsidP="0066301C">
      <w:pPr>
        <w:spacing w:line="360" w:lineRule="auto"/>
        <w:jc w:val="center"/>
        <w:rPr>
          <w:rFonts w:ascii="Arial" w:hAnsi="Arial" w:cs="Arial"/>
          <w:b/>
        </w:rPr>
      </w:pPr>
    </w:p>
    <w:p w14:paraId="62276C13" w14:textId="77777777" w:rsidR="00D71A0F" w:rsidRPr="004A1419" w:rsidRDefault="00D71A0F" w:rsidP="0066301C">
      <w:pPr>
        <w:spacing w:line="360" w:lineRule="auto"/>
        <w:jc w:val="center"/>
        <w:rPr>
          <w:rFonts w:ascii="Arial" w:hAnsi="Arial" w:cs="Arial"/>
          <w:b/>
          <w:sz w:val="28"/>
          <w:szCs w:val="28"/>
        </w:rPr>
      </w:pPr>
      <w:r w:rsidRPr="004A1419">
        <w:rPr>
          <w:rFonts w:ascii="Arial" w:hAnsi="Arial" w:cs="Arial"/>
          <w:b/>
          <w:sz w:val="28"/>
          <w:szCs w:val="28"/>
        </w:rPr>
        <w:t xml:space="preserve">By </w:t>
      </w:r>
    </w:p>
    <w:p w14:paraId="1D6A1076" w14:textId="77777777" w:rsidR="00D71A0F" w:rsidRPr="004A1419" w:rsidRDefault="00D71A0F" w:rsidP="0066301C">
      <w:pPr>
        <w:spacing w:line="360" w:lineRule="auto"/>
        <w:jc w:val="center"/>
        <w:rPr>
          <w:rFonts w:ascii="Arial" w:hAnsi="Arial" w:cs="Arial"/>
          <w:b/>
          <w:sz w:val="28"/>
          <w:szCs w:val="28"/>
        </w:rPr>
      </w:pPr>
      <w:r w:rsidRPr="004A1419">
        <w:rPr>
          <w:rFonts w:ascii="Arial" w:hAnsi="Arial" w:cs="Arial"/>
          <w:b/>
          <w:sz w:val="28"/>
          <w:szCs w:val="28"/>
        </w:rPr>
        <w:t xml:space="preserve">MBUBIT BENS MBUBIT </w:t>
      </w:r>
    </w:p>
    <w:p w14:paraId="09064681" w14:textId="77777777" w:rsidR="00D71A0F" w:rsidRDefault="00D71A0F" w:rsidP="0066301C">
      <w:pPr>
        <w:spacing w:line="360" w:lineRule="auto"/>
        <w:jc w:val="center"/>
        <w:rPr>
          <w:rFonts w:ascii="Arial" w:hAnsi="Arial" w:cs="Arial"/>
          <w:b/>
        </w:rPr>
      </w:pPr>
    </w:p>
    <w:p w14:paraId="50CB68DA" w14:textId="77777777" w:rsidR="00D71A0F" w:rsidRDefault="00D71A0F" w:rsidP="0066301C">
      <w:pPr>
        <w:spacing w:line="360" w:lineRule="auto"/>
        <w:jc w:val="center"/>
        <w:rPr>
          <w:rFonts w:ascii="Arial" w:hAnsi="Arial" w:cs="Arial"/>
          <w:b/>
        </w:rPr>
      </w:pPr>
    </w:p>
    <w:p w14:paraId="2682508F" w14:textId="77777777" w:rsidR="00D71A0F" w:rsidRDefault="00D71A0F" w:rsidP="0066301C">
      <w:pPr>
        <w:spacing w:line="360" w:lineRule="auto"/>
        <w:jc w:val="center"/>
        <w:rPr>
          <w:rFonts w:ascii="Arial" w:hAnsi="Arial" w:cs="Arial"/>
          <w:b/>
        </w:rPr>
      </w:pPr>
    </w:p>
    <w:p w14:paraId="70593DDC" w14:textId="77777777" w:rsidR="00D71A0F" w:rsidRDefault="00D71A0F" w:rsidP="0066301C">
      <w:pPr>
        <w:spacing w:line="360" w:lineRule="auto"/>
        <w:jc w:val="center"/>
        <w:rPr>
          <w:rFonts w:ascii="Arial" w:hAnsi="Arial" w:cs="Arial"/>
          <w:b/>
        </w:rPr>
      </w:pPr>
    </w:p>
    <w:p w14:paraId="2AA71ECE" w14:textId="77777777" w:rsidR="00D71A0F" w:rsidRPr="004A1419" w:rsidRDefault="00D71A0F" w:rsidP="0066301C">
      <w:pPr>
        <w:spacing w:line="360" w:lineRule="auto"/>
        <w:jc w:val="center"/>
        <w:rPr>
          <w:rFonts w:ascii="Arial" w:hAnsi="Arial" w:cs="Arial"/>
          <w:b/>
          <w:sz w:val="24"/>
          <w:szCs w:val="24"/>
        </w:rPr>
      </w:pPr>
    </w:p>
    <w:p w14:paraId="68557E4E" w14:textId="77777777" w:rsidR="00D71A0F" w:rsidRPr="004A1419" w:rsidRDefault="00D71A0F" w:rsidP="0066301C">
      <w:pPr>
        <w:spacing w:after="0" w:line="240" w:lineRule="auto"/>
        <w:rPr>
          <w:rFonts w:ascii="Arial" w:hAnsi="Arial" w:cs="Arial"/>
          <w:b/>
          <w:sz w:val="24"/>
          <w:szCs w:val="24"/>
        </w:rPr>
      </w:pPr>
      <w:r w:rsidRPr="004A1419">
        <w:rPr>
          <w:rFonts w:ascii="Arial" w:hAnsi="Arial" w:cs="Arial"/>
          <w:b/>
          <w:sz w:val="24"/>
          <w:szCs w:val="24"/>
        </w:rPr>
        <w:t>Supervisor: ………………………………………………..</w:t>
      </w:r>
    </w:p>
    <w:p w14:paraId="32DB5C64" w14:textId="77777777" w:rsidR="00D71A0F" w:rsidRPr="004A1419" w:rsidRDefault="00D71A0F" w:rsidP="0066301C">
      <w:pPr>
        <w:spacing w:after="0" w:line="240" w:lineRule="auto"/>
        <w:rPr>
          <w:rFonts w:ascii="Arial" w:hAnsi="Arial" w:cs="Arial"/>
          <w:b/>
          <w:sz w:val="24"/>
          <w:szCs w:val="24"/>
        </w:rPr>
      </w:pPr>
      <w:r w:rsidRPr="004A1419">
        <w:rPr>
          <w:rFonts w:ascii="Arial" w:hAnsi="Arial" w:cs="Arial"/>
          <w:b/>
          <w:sz w:val="24"/>
          <w:szCs w:val="24"/>
        </w:rPr>
        <w:tab/>
      </w:r>
      <w:r w:rsidRPr="004A1419">
        <w:rPr>
          <w:rFonts w:ascii="Arial" w:hAnsi="Arial" w:cs="Arial"/>
          <w:b/>
          <w:sz w:val="24"/>
          <w:szCs w:val="24"/>
        </w:rPr>
        <w:tab/>
        <w:t>Dr. Milton Yago</w:t>
      </w:r>
    </w:p>
    <w:p w14:paraId="24742AF1" w14:textId="77777777" w:rsidR="00D71A0F" w:rsidRPr="004A1419" w:rsidRDefault="00D71A0F" w:rsidP="0066301C">
      <w:pPr>
        <w:spacing w:line="360" w:lineRule="auto"/>
        <w:rPr>
          <w:rFonts w:ascii="Arial" w:hAnsi="Arial" w:cs="Arial"/>
          <w:b/>
          <w:sz w:val="24"/>
          <w:szCs w:val="24"/>
        </w:rPr>
      </w:pPr>
    </w:p>
    <w:p w14:paraId="17A02563" w14:textId="77777777" w:rsidR="00D71A0F" w:rsidRPr="004A1419" w:rsidRDefault="00D71A0F" w:rsidP="0066301C">
      <w:pPr>
        <w:spacing w:line="360" w:lineRule="auto"/>
        <w:rPr>
          <w:rFonts w:ascii="Arial" w:hAnsi="Arial" w:cs="Arial"/>
          <w:b/>
          <w:sz w:val="24"/>
          <w:szCs w:val="24"/>
        </w:rPr>
      </w:pPr>
    </w:p>
    <w:p w14:paraId="75C70587" w14:textId="77777777" w:rsidR="00D71A0F" w:rsidRPr="004A1419" w:rsidRDefault="00D71A0F" w:rsidP="0066301C">
      <w:pPr>
        <w:spacing w:after="0" w:line="240" w:lineRule="auto"/>
        <w:rPr>
          <w:rFonts w:ascii="Arial" w:hAnsi="Arial" w:cs="Arial"/>
          <w:b/>
          <w:sz w:val="24"/>
          <w:szCs w:val="24"/>
        </w:rPr>
      </w:pPr>
      <w:r w:rsidRPr="004A1419">
        <w:rPr>
          <w:rFonts w:ascii="Arial" w:hAnsi="Arial" w:cs="Arial"/>
          <w:b/>
          <w:sz w:val="24"/>
          <w:szCs w:val="24"/>
        </w:rPr>
        <w:t>Co-supervisor: …………………………………………..</w:t>
      </w:r>
    </w:p>
    <w:p w14:paraId="6F2BFF94" w14:textId="77777777" w:rsidR="00190721" w:rsidRPr="004A1419" w:rsidRDefault="00D71A0F" w:rsidP="0066301C">
      <w:pPr>
        <w:spacing w:after="0" w:line="240" w:lineRule="auto"/>
        <w:ind w:left="1440" w:firstLine="720"/>
        <w:rPr>
          <w:rFonts w:ascii="Arial" w:hAnsi="Arial" w:cs="Arial"/>
          <w:b/>
          <w:sz w:val="24"/>
          <w:szCs w:val="24"/>
        </w:rPr>
      </w:pPr>
      <w:r w:rsidRPr="004A1419">
        <w:rPr>
          <w:rFonts w:ascii="Arial" w:hAnsi="Arial" w:cs="Arial"/>
          <w:b/>
          <w:sz w:val="24"/>
          <w:szCs w:val="24"/>
        </w:rPr>
        <w:t xml:space="preserve">Dr. Paul Jones </w:t>
      </w:r>
    </w:p>
    <w:p w14:paraId="05F8D492" w14:textId="77777777" w:rsidR="00D71A0F" w:rsidRPr="004A1419" w:rsidRDefault="00D71A0F" w:rsidP="0066301C">
      <w:pPr>
        <w:spacing w:line="360" w:lineRule="auto"/>
        <w:rPr>
          <w:rFonts w:ascii="Arial" w:hAnsi="Arial" w:cs="Arial"/>
          <w:b/>
          <w:sz w:val="24"/>
          <w:szCs w:val="24"/>
        </w:rPr>
      </w:pPr>
    </w:p>
    <w:p w14:paraId="35FF85A2" w14:textId="77777777" w:rsidR="00D71A0F" w:rsidRDefault="00D71A0F" w:rsidP="0066301C">
      <w:pPr>
        <w:spacing w:line="360" w:lineRule="auto"/>
        <w:rPr>
          <w:rFonts w:ascii="Arial" w:hAnsi="Arial" w:cs="Arial"/>
          <w:b/>
        </w:rPr>
      </w:pPr>
    </w:p>
    <w:p w14:paraId="26B67238" w14:textId="77777777" w:rsidR="00D71A0F" w:rsidRDefault="00D71A0F" w:rsidP="0066301C">
      <w:pPr>
        <w:spacing w:line="360" w:lineRule="auto"/>
        <w:rPr>
          <w:rFonts w:ascii="Arial" w:hAnsi="Arial" w:cs="Arial"/>
          <w:b/>
        </w:rPr>
      </w:pPr>
      <w:r>
        <w:rPr>
          <w:rFonts w:ascii="Arial" w:hAnsi="Arial" w:cs="Arial"/>
          <w:b/>
        </w:rPr>
        <w:t>Panel of Examiners:</w:t>
      </w:r>
    </w:p>
    <w:p w14:paraId="40488411" w14:textId="77777777" w:rsidR="00D71A0F" w:rsidRDefault="00D71A0F" w:rsidP="0066301C">
      <w:pPr>
        <w:spacing w:line="360" w:lineRule="auto"/>
        <w:rPr>
          <w:rFonts w:ascii="Arial" w:hAnsi="Arial" w:cs="Arial"/>
          <w:b/>
        </w:rPr>
      </w:pPr>
    </w:p>
    <w:p w14:paraId="38FF6315" w14:textId="77777777" w:rsidR="00D71A0F" w:rsidRDefault="00D71A0F" w:rsidP="0066301C">
      <w:pPr>
        <w:spacing w:line="360" w:lineRule="auto"/>
        <w:rPr>
          <w:rFonts w:ascii="Arial" w:hAnsi="Arial" w:cs="Arial"/>
          <w:b/>
        </w:rPr>
      </w:pPr>
    </w:p>
    <w:p w14:paraId="3888ED7A" w14:textId="77777777" w:rsidR="005C75F0" w:rsidRDefault="005C75F0" w:rsidP="0066301C">
      <w:pPr>
        <w:spacing w:line="360" w:lineRule="auto"/>
        <w:rPr>
          <w:rFonts w:ascii="Arial" w:hAnsi="Arial" w:cs="Arial"/>
          <w:b/>
        </w:rPr>
        <w:sectPr w:rsidR="005C75F0" w:rsidSect="00D14E7F">
          <w:headerReference w:type="default" r:id="rId12"/>
          <w:footerReference w:type="default" r:id="rId13"/>
          <w:footerReference w:type="first" r:id="rId14"/>
          <w:pgSz w:w="11906" w:h="16838"/>
          <w:pgMar w:top="851" w:right="1440" w:bottom="1134" w:left="1440" w:header="708" w:footer="708" w:gutter="0"/>
          <w:pgNumType w:fmt="lowerRoman" w:start="1"/>
          <w:cols w:space="708"/>
          <w:docGrid w:linePitch="360"/>
        </w:sectPr>
      </w:pPr>
    </w:p>
    <w:p w14:paraId="780B3AC8" w14:textId="77777777" w:rsidR="00D71A0F" w:rsidRDefault="00D71A0F" w:rsidP="0066301C">
      <w:pPr>
        <w:spacing w:line="360" w:lineRule="auto"/>
        <w:rPr>
          <w:rFonts w:ascii="Arial" w:hAnsi="Arial" w:cs="Arial"/>
          <w:b/>
        </w:rPr>
      </w:pPr>
    </w:p>
    <w:p w14:paraId="61DB0636" w14:textId="77777777" w:rsidR="00D71A0F" w:rsidRPr="002C5789" w:rsidRDefault="00D71A0F" w:rsidP="0066301C">
      <w:pPr>
        <w:pStyle w:val="Heading1"/>
        <w:numPr>
          <w:ilvl w:val="0"/>
          <w:numId w:val="0"/>
        </w:numPr>
        <w:spacing w:before="0"/>
        <w:ind w:left="1440"/>
      </w:pPr>
      <w:bookmarkStart w:id="1" w:name="_Toc171075338"/>
      <w:r w:rsidRPr="002C5789">
        <w:t>DECLARATION</w:t>
      </w:r>
      <w:bookmarkEnd w:id="1"/>
    </w:p>
    <w:p w14:paraId="2A8A33B0" w14:textId="77777777" w:rsidR="00D71A0F" w:rsidRDefault="00D71A0F" w:rsidP="0066301C">
      <w:pPr>
        <w:spacing w:line="360" w:lineRule="auto"/>
        <w:rPr>
          <w:rFonts w:ascii="Arial" w:hAnsi="Arial" w:cs="Arial"/>
          <w:b/>
          <w:sz w:val="32"/>
          <w:szCs w:val="32"/>
        </w:rPr>
      </w:pPr>
    </w:p>
    <w:p w14:paraId="12EDBA43" w14:textId="77777777" w:rsidR="00D71A0F" w:rsidRDefault="00D71A0F" w:rsidP="0066301C">
      <w:pPr>
        <w:spacing w:line="360" w:lineRule="auto"/>
        <w:rPr>
          <w:rFonts w:ascii="Arial" w:hAnsi="Arial" w:cs="Arial"/>
          <w:b/>
          <w:sz w:val="32"/>
          <w:szCs w:val="32"/>
        </w:rPr>
      </w:pPr>
    </w:p>
    <w:p w14:paraId="450F4F37" w14:textId="77777777" w:rsidR="00D71A0F" w:rsidRPr="004C4C1B" w:rsidRDefault="00D71A0F" w:rsidP="0066301C">
      <w:pPr>
        <w:rPr>
          <w:rFonts w:ascii="Arial" w:hAnsi="Arial" w:cs="Arial"/>
        </w:rPr>
      </w:pPr>
      <w:r w:rsidRPr="004C4C1B">
        <w:rPr>
          <w:rFonts w:ascii="Arial" w:hAnsi="Arial" w:cs="Arial"/>
        </w:rPr>
        <w:t xml:space="preserve">This </w:t>
      </w:r>
      <w:r w:rsidR="0003773A" w:rsidRPr="004C4C1B">
        <w:rPr>
          <w:rFonts w:ascii="Arial" w:hAnsi="Arial" w:cs="Arial"/>
        </w:rPr>
        <w:t>thesis</w:t>
      </w:r>
      <w:r w:rsidRPr="004C4C1B">
        <w:rPr>
          <w:rFonts w:ascii="Arial" w:hAnsi="Arial" w:cs="Arial"/>
        </w:rPr>
        <w:t xml:space="preserve"> is a product of my own work and is not the result of anything done in </w:t>
      </w:r>
    </w:p>
    <w:p w14:paraId="775ED7A1" w14:textId="77777777" w:rsidR="00D71A0F" w:rsidRDefault="00D71A0F" w:rsidP="0066301C">
      <w:pPr>
        <w:rPr>
          <w:rFonts w:ascii="Times New Roman" w:hAnsi="Times New Roman" w:cs="Times New Roman"/>
          <w:sz w:val="24"/>
          <w:szCs w:val="24"/>
        </w:rPr>
      </w:pPr>
      <w:r w:rsidRPr="004C4C1B">
        <w:rPr>
          <w:rFonts w:ascii="Arial" w:hAnsi="Arial" w:cs="Arial"/>
        </w:rPr>
        <w:t xml:space="preserve">collaboration. </w:t>
      </w:r>
      <w:r w:rsidRPr="004C4C1B">
        <w:rPr>
          <w:rFonts w:ascii="Arial" w:hAnsi="Arial" w:cs="Arial"/>
        </w:rPr>
        <w:cr/>
      </w:r>
    </w:p>
    <w:p w14:paraId="0C8335DA" w14:textId="77777777" w:rsidR="00D71A0F" w:rsidRDefault="00D71A0F" w:rsidP="0066301C">
      <w:pPr>
        <w:rPr>
          <w:rFonts w:ascii="Times New Roman" w:hAnsi="Times New Roman" w:cs="Times New Roman"/>
          <w:sz w:val="24"/>
          <w:szCs w:val="24"/>
        </w:rPr>
      </w:pPr>
    </w:p>
    <w:p w14:paraId="20B59123" w14:textId="77777777" w:rsidR="00D71A0F" w:rsidRDefault="00D71A0F" w:rsidP="0066301C">
      <w:pPr>
        <w:rPr>
          <w:rFonts w:ascii="Times New Roman" w:hAnsi="Times New Roman" w:cs="Times New Roman"/>
          <w:sz w:val="24"/>
          <w:szCs w:val="24"/>
        </w:rPr>
      </w:pPr>
    </w:p>
    <w:p w14:paraId="628EBA52" w14:textId="029B070B" w:rsidR="00E326BE" w:rsidRDefault="00D71A0F" w:rsidP="0066301C">
      <w:pPr>
        <w:rPr>
          <w:rFonts w:ascii="Arial" w:hAnsi="Arial" w:cs="Arial"/>
          <w:b/>
          <w:i/>
        </w:rPr>
      </w:pPr>
      <w:r w:rsidRPr="004C4C1B">
        <w:rPr>
          <w:rFonts w:ascii="Arial" w:hAnsi="Arial" w:cs="Arial"/>
          <w:b/>
          <w:i/>
        </w:rPr>
        <w:t>Student signature:</w:t>
      </w:r>
      <w:r w:rsidR="0057237E">
        <w:rPr>
          <w:rFonts w:ascii="Arial" w:hAnsi="Arial" w:cs="Arial"/>
          <w:b/>
          <w:i/>
        </w:rPr>
        <w:t xml:space="preserve"> </w:t>
      </w:r>
    </w:p>
    <w:p w14:paraId="1069E2D4" w14:textId="77777777" w:rsidR="00E326BE" w:rsidRDefault="00E326BE" w:rsidP="0066301C">
      <w:pPr>
        <w:rPr>
          <w:rFonts w:ascii="Arial" w:hAnsi="Arial" w:cs="Arial"/>
          <w:b/>
          <w:i/>
        </w:rPr>
      </w:pPr>
    </w:p>
    <w:p w14:paraId="0E2A2A07" w14:textId="77777777" w:rsidR="00E326BE" w:rsidRPr="004C4C1B" w:rsidRDefault="00E326BE" w:rsidP="0066301C">
      <w:pPr>
        <w:rPr>
          <w:rFonts w:ascii="Arial" w:hAnsi="Arial" w:cs="Arial"/>
        </w:rPr>
      </w:pPr>
      <w:r w:rsidRPr="004C4C1B">
        <w:rPr>
          <w:rFonts w:ascii="Arial" w:hAnsi="Arial" w:cs="Arial"/>
          <w:b/>
        </w:rPr>
        <w:t>MBUBIT BENS MBUBIT</w:t>
      </w:r>
    </w:p>
    <w:p w14:paraId="0748A823" w14:textId="77777777" w:rsidR="00D71A0F" w:rsidRDefault="00D71A0F" w:rsidP="0066301C">
      <w:pPr>
        <w:rPr>
          <w:rFonts w:ascii="Times New Roman" w:hAnsi="Times New Roman" w:cs="Times New Roman"/>
          <w:b/>
          <w:i/>
          <w:sz w:val="24"/>
          <w:szCs w:val="24"/>
        </w:rPr>
      </w:pPr>
    </w:p>
    <w:p w14:paraId="0966F2B4" w14:textId="77777777" w:rsidR="00D71A0F" w:rsidRPr="004C4C1B" w:rsidRDefault="00D71A0F" w:rsidP="0066301C">
      <w:pPr>
        <w:rPr>
          <w:rFonts w:ascii="Arial" w:hAnsi="Arial" w:cs="Arial"/>
        </w:rPr>
      </w:pPr>
      <w:r w:rsidRPr="004C4C1B">
        <w:rPr>
          <w:rFonts w:ascii="Arial" w:hAnsi="Arial" w:cs="Arial"/>
        </w:rPr>
        <w:t xml:space="preserve">I agree that this </w:t>
      </w:r>
      <w:r w:rsidR="0003773A" w:rsidRPr="004C4C1B">
        <w:rPr>
          <w:rFonts w:ascii="Arial" w:hAnsi="Arial" w:cs="Arial"/>
        </w:rPr>
        <w:t>thesis</w:t>
      </w:r>
      <w:r w:rsidRPr="004C4C1B">
        <w:rPr>
          <w:rFonts w:ascii="Arial" w:hAnsi="Arial" w:cs="Arial"/>
        </w:rPr>
        <w:t xml:space="preserve"> may be available for reference and photocopying, at the discretion of the University.</w:t>
      </w:r>
    </w:p>
    <w:p w14:paraId="313A1248" w14:textId="77777777" w:rsidR="00665F42" w:rsidRPr="004C4C1B" w:rsidRDefault="00665F42" w:rsidP="0066301C">
      <w:pPr>
        <w:spacing w:line="360" w:lineRule="auto"/>
        <w:jc w:val="center"/>
        <w:rPr>
          <w:rFonts w:ascii="Arial" w:hAnsi="Arial" w:cs="Arial"/>
          <w:b/>
        </w:rPr>
      </w:pPr>
    </w:p>
    <w:p w14:paraId="1BDC26CE" w14:textId="77777777" w:rsidR="00665F42" w:rsidRPr="004C4C1B" w:rsidRDefault="00665F42" w:rsidP="0066301C">
      <w:pPr>
        <w:rPr>
          <w:rFonts w:ascii="Arial" w:hAnsi="Arial" w:cs="Arial"/>
        </w:rPr>
      </w:pPr>
    </w:p>
    <w:p w14:paraId="67C96DB9" w14:textId="77777777" w:rsidR="00665F42" w:rsidRPr="004C4C1B" w:rsidRDefault="00665F42" w:rsidP="0066301C">
      <w:pPr>
        <w:rPr>
          <w:rFonts w:ascii="Arial" w:hAnsi="Arial" w:cs="Arial"/>
          <w:b/>
          <w:i/>
        </w:rPr>
      </w:pPr>
      <w:r w:rsidRPr="004C4C1B">
        <w:rPr>
          <w:rFonts w:ascii="Arial" w:hAnsi="Arial" w:cs="Arial"/>
          <w:b/>
          <w:i/>
        </w:rPr>
        <w:t>Student signature:</w:t>
      </w:r>
    </w:p>
    <w:p w14:paraId="35833796" w14:textId="77777777" w:rsidR="00665F42" w:rsidRPr="004C4C1B" w:rsidRDefault="00665F42" w:rsidP="0066301C">
      <w:pPr>
        <w:rPr>
          <w:rFonts w:ascii="Arial" w:hAnsi="Arial" w:cs="Arial"/>
        </w:rPr>
      </w:pPr>
    </w:p>
    <w:p w14:paraId="05F8461E" w14:textId="77777777" w:rsidR="00665F42" w:rsidRPr="004C4C1B" w:rsidRDefault="00665F42" w:rsidP="0066301C">
      <w:pPr>
        <w:rPr>
          <w:rFonts w:ascii="Arial" w:hAnsi="Arial" w:cs="Arial"/>
        </w:rPr>
      </w:pPr>
      <w:r w:rsidRPr="004C4C1B">
        <w:rPr>
          <w:rFonts w:ascii="Arial" w:hAnsi="Arial" w:cs="Arial"/>
          <w:b/>
        </w:rPr>
        <w:t>MBUBIT BENS MBUBIT</w:t>
      </w:r>
    </w:p>
    <w:p w14:paraId="20A6B176" w14:textId="77777777" w:rsidR="00665F42" w:rsidRDefault="00665F42" w:rsidP="0066301C">
      <w:pPr>
        <w:spacing w:line="360" w:lineRule="auto"/>
        <w:jc w:val="center"/>
        <w:rPr>
          <w:rFonts w:ascii="Arial" w:hAnsi="Arial" w:cs="Arial"/>
          <w:b/>
        </w:rPr>
      </w:pPr>
    </w:p>
    <w:p w14:paraId="2FCC2168" w14:textId="77777777" w:rsidR="0066301C" w:rsidRDefault="0066301C" w:rsidP="0066301C">
      <w:pPr>
        <w:spacing w:line="360" w:lineRule="auto"/>
        <w:jc w:val="center"/>
        <w:rPr>
          <w:rFonts w:ascii="Arial" w:hAnsi="Arial" w:cs="Arial"/>
          <w:b/>
        </w:rPr>
      </w:pPr>
    </w:p>
    <w:p w14:paraId="065C8F89" w14:textId="77777777" w:rsidR="0066301C" w:rsidRDefault="0066301C" w:rsidP="0066301C">
      <w:pPr>
        <w:spacing w:line="360" w:lineRule="auto"/>
        <w:jc w:val="center"/>
        <w:rPr>
          <w:rFonts w:ascii="Arial" w:hAnsi="Arial" w:cs="Arial"/>
          <w:b/>
        </w:rPr>
      </w:pPr>
    </w:p>
    <w:p w14:paraId="2EC1D4FD" w14:textId="77777777" w:rsidR="004D455A" w:rsidRDefault="004D455A" w:rsidP="0066301C">
      <w:pPr>
        <w:pStyle w:val="Heading1"/>
        <w:numPr>
          <w:ilvl w:val="0"/>
          <w:numId w:val="0"/>
        </w:numPr>
        <w:spacing w:before="0"/>
        <w:jc w:val="left"/>
        <w:rPr>
          <w:rFonts w:eastAsiaTheme="minorHAnsi"/>
        </w:rPr>
      </w:pPr>
      <w:bookmarkStart w:id="2" w:name="_Toc377525166"/>
    </w:p>
    <w:p w14:paraId="119ADEC6" w14:textId="77777777" w:rsidR="00B90AD2" w:rsidRPr="00B90AD2" w:rsidRDefault="00B90AD2" w:rsidP="0066301C">
      <w:pPr>
        <w:rPr>
          <w:lang w:eastAsia="en-GB"/>
        </w:rPr>
      </w:pPr>
    </w:p>
    <w:p w14:paraId="5D14B77D" w14:textId="77777777" w:rsidR="004D455A" w:rsidRDefault="004D455A" w:rsidP="0066301C">
      <w:pPr>
        <w:pStyle w:val="Heading1"/>
        <w:numPr>
          <w:ilvl w:val="0"/>
          <w:numId w:val="0"/>
        </w:numPr>
        <w:spacing w:before="0"/>
        <w:rPr>
          <w:rFonts w:eastAsiaTheme="minorHAnsi"/>
        </w:rPr>
      </w:pPr>
    </w:p>
    <w:p w14:paraId="7ED01E7B" w14:textId="77777777" w:rsidR="00665F42" w:rsidRDefault="00665F42" w:rsidP="0066301C">
      <w:pPr>
        <w:pStyle w:val="Heading1"/>
        <w:numPr>
          <w:ilvl w:val="0"/>
          <w:numId w:val="0"/>
        </w:numPr>
        <w:spacing w:before="0"/>
      </w:pPr>
      <w:bookmarkStart w:id="3" w:name="_Toc171075339"/>
      <w:r w:rsidRPr="009E5779">
        <w:t>DEDICATION</w:t>
      </w:r>
      <w:bookmarkEnd w:id="2"/>
      <w:bookmarkEnd w:id="3"/>
    </w:p>
    <w:p w14:paraId="112E605A" w14:textId="77777777" w:rsidR="00665F42" w:rsidRPr="00665F42" w:rsidRDefault="00665F42" w:rsidP="0066301C">
      <w:pPr>
        <w:rPr>
          <w:lang w:eastAsia="en-GB"/>
        </w:rPr>
      </w:pPr>
    </w:p>
    <w:p w14:paraId="3B33265A" w14:textId="77777777" w:rsidR="00665F42" w:rsidRPr="009E5779" w:rsidRDefault="00665F42" w:rsidP="0066301C"/>
    <w:p w14:paraId="34531360" w14:textId="77777777" w:rsidR="00665F42" w:rsidRPr="004C4C1B" w:rsidRDefault="00665F42" w:rsidP="0066301C">
      <w:pPr>
        <w:spacing w:line="360" w:lineRule="auto"/>
        <w:jc w:val="both"/>
        <w:rPr>
          <w:rFonts w:ascii="Arial" w:hAnsi="Arial" w:cs="Arial"/>
        </w:rPr>
      </w:pPr>
      <w:r w:rsidRPr="004C4C1B">
        <w:rPr>
          <w:rFonts w:ascii="Arial" w:hAnsi="Arial" w:cs="Arial"/>
        </w:rPr>
        <w:t xml:space="preserve">This research work is dedicated to my lovely wife who has been by my side, encouraging me for more than a decade. Sweetheart, I will always love you. </w:t>
      </w:r>
    </w:p>
    <w:p w14:paraId="721B2B0E" w14:textId="77777777" w:rsidR="00665F42" w:rsidRDefault="00665F42" w:rsidP="0066301C">
      <w:pPr>
        <w:spacing w:line="360" w:lineRule="auto"/>
        <w:jc w:val="center"/>
        <w:rPr>
          <w:rFonts w:ascii="Arial" w:hAnsi="Arial" w:cs="Arial"/>
          <w:b/>
        </w:rPr>
      </w:pPr>
    </w:p>
    <w:p w14:paraId="174FA87B" w14:textId="77777777" w:rsidR="00665F42" w:rsidRDefault="00665F42" w:rsidP="0066301C">
      <w:pPr>
        <w:spacing w:line="360" w:lineRule="auto"/>
        <w:jc w:val="center"/>
        <w:rPr>
          <w:rFonts w:ascii="Arial" w:hAnsi="Arial" w:cs="Arial"/>
          <w:b/>
        </w:rPr>
      </w:pPr>
    </w:p>
    <w:p w14:paraId="65FF3BD7" w14:textId="77777777" w:rsidR="00665F42" w:rsidRDefault="00665F42" w:rsidP="0066301C">
      <w:pPr>
        <w:spacing w:line="360" w:lineRule="auto"/>
        <w:jc w:val="center"/>
        <w:rPr>
          <w:rFonts w:ascii="Arial" w:hAnsi="Arial" w:cs="Arial"/>
          <w:b/>
        </w:rPr>
      </w:pPr>
    </w:p>
    <w:p w14:paraId="0BA79A0D" w14:textId="77777777" w:rsidR="00D71A0F" w:rsidRDefault="00D71A0F" w:rsidP="0066301C">
      <w:pPr>
        <w:spacing w:line="360" w:lineRule="auto"/>
        <w:jc w:val="center"/>
        <w:rPr>
          <w:rFonts w:ascii="Arial" w:hAnsi="Arial" w:cs="Arial"/>
          <w:b/>
        </w:rPr>
      </w:pPr>
    </w:p>
    <w:p w14:paraId="37CD8A43" w14:textId="77777777" w:rsidR="00665F42" w:rsidRDefault="00665F42" w:rsidP="0066301C">
      <w:pPr>
        <w:spacing w:line="360" w:lineRule="auto"/>
        <w:jc w:val="center"/>
        <w:rPr>
          <w:rFonts w:ascii="Arial" w:hAnsi="Arial" w:cs="Arial"/>
          <w:b/>
        </w:rPr>
      </w:pPr>
    </w:p>
    <w:p w14:paraId="633E0641" w14:textId="77777777" w:rsidR="00665F42" w:rsidRDefault="00665F42" w:rsidP="0066301C">
      <w:pPr>
        <w:spacing w:line="360" w:lineRule="auto"/>
        <w:jc w:val="center"/>
        <w:rPr>
          <w:rFonts w:ascii="Arial" w:hAnsi="Arial" w:cs="Arial"/>
          <w:b/>
        </w:rPr>
      </w:pPr>
    </w:p>
    <w:p w14:paraId="5D82C441" w14:textId="77777777" w:rsidR="00665F42" w:rsidRDefault="00665F42" w:rsidP="0066301C">
      <w:pPr>
        <w:spacing w:line="360" w:lineRule="auto"/>
        <w:jc w:val="center"/>
        <w:rPr>
          <w:rFonts w:ascii="Arial" w:hAnsi="Arial" w:cs="Arial"/>
          <w:b/>
        </w:rPr>
      </w:pPr>
    </w:p>
    <w:p w14:paraId="7CAFC6E1" w14:textId="77777777" w:rsidR="00665F42" w:rsidRDefault="00665F42" w:rsidP="0066301C">
      <w:pPr>
        <w:spacing w:line="360" w:lineRule="auto"/>
        <w:jc w:val="center"/>
        <w:rPr>
          <w:rFonts w:ascii="Arial" w:hAnsi="Arial" w:cs="Arial"/>
          <w:b/>
        </w:rPr>
      </w:pPr>
    </w:p>
    <w:p w14:paraId="7E6D9AB3" w14:textId="77777777" w:rsidR="00665F42" w:rsidRDefault="00665F42" w:rsidP="0066301C">
      <w:pPr>
        <w:spacing w:line="360" w:lineRule="auto"/>
        <w:jc w:val="center"/>
        <w:rPr>
          <w:rFonts w:ascii="Arial" w:hAnsi="Arial" w:cs="Arial"/>
          <w:b/>
        </w:rPr>
      </w:pPr>
    </w:p>
    <w:p w14:paraId="4DD4B3B2" w14:textId="77777777" w:rsidR="00665F42" w:rsidRDefault="00665F42" w:rsidP="0066301C">
      <w:pPr>
        <w:spacing w:line="360" w:lineRule="auto"/>
        <w:jc w:val="center"/>
        <w:rPr>
          <w:rFonts w:ascii="Arial" w:hAnsi="Arial" w:cs="Arial"/>
          <w:b/>
        </w:rPr>
      </w:pPr>
    </w:p>
    <w:p w14:paraId="73FE9871" w14:textId="77777777" w:rsidR="00665F42" w:rsidRDefault="00665F42" w:rsidP="0066301C">
      <w:pPr>
        <w:spacing w:line="360" w:lineRule="auto"/>
        <w:jc w:val="center"/>
        <w:rPr>
          <w:rFonts w:ascii="Arial" w:hAnsi="Arial" w:cs="Arial"/>
          <w:b/>
        </w:rPr>
      </w:pPr>
    </w:p>
    <w:p w14:paraId="092B0CA8" w14:textId="77777777" w:rsidR="00665F42" w:rsidRDefault="00665F42" w:rsidP="0066301C">
      <w:pPr>
        <w:spacing w:line="360" w:lineRule="auto"/>
        <w:jc w:val="center"/>
        <w:rPr>
          <w:rFonts w:ascii="Arial" w:hAnsi="Arial" w:cs="Arial"/>
          <w:b/>
        </w:rPr>
      </w:pPr>
    </w:p>
    <w:p w14:paraId="53914832" w14:textId="77777777" w:rsidR="00665F42" w:rsidRDefault="00665F42" w:rsidP="0066301C">
      <w:pPr>
        <w:spacing w:line="360" w:lineRule="auto"/>
        <w:jc w:val="center"/>
        <w:rPr>
          <w:rFonts w:ascii="Arial" w:hAnsi="Arial" w:cs="Arial"/>
          <w:b/>
        </w:rPr>
      </w:pPr>
    </w:p>
    <w:p w14:paraId="078B84BA" w14:textId="77777777" w:rsidR="00665F42" w:rsidRDefault="00665F42" w:rsidP="0066301C">
      <w:pPr>
        <w:spacing w:line="360" w:lineRule="auto"/>
        <w:jc w:val="center"/>
        <w:rPr>
          <w:rFonts w:ascii="Arial" w:hAnsi="Arial" w:cs="Arial"/>
          <w:b/>
        </w:rPr>
      </w:pPr>
    </w:p>
    <w:p w14:paraId="0E6F8FE4" w14:textId="77777777" w:rsidR="00665F42" w:rsidRDefault="00665F42" w:rsidP="0066301C">
      <w:pPr>
        <w:spacing w:line="360" w:lineRule="auto"/>
        <w:jc w:val="center"/>
        <w:rPr>
          <w:rFonts w:ascii="Arial" w:hAnsi="Arial" w:cs="Arial"/>
          <w:b/>
        </w:rPr>
      </w:pPr>
    </w:p>
    <w:p w14:paraId="68EFD9C5" w14:textId="77777777" w:rsidR="00665F42" w:rsidRDefault="00665F42" w:rsidP="0066301C">
      <w:pPr>
        <w:spacing w:line="360" w:lineRule="auto"/>
        <w:jc w:val="center"/>
        <w:rPr>
          <w:rFonts w:ascii="Arial" w:hAnsi="Arial" w:cs="Arial"/>
          <w:b/>
        </w:rPr>
      </w:pPr>
    </w:p>
    <w:p w14:paraId="54824065" w14:textId="77777777" w:rsidR="00665F42" w:rsidRDefault="00665F42" w:rsidP="0066301C">
      <w:pPr>
        <w:spacing w:line="360" w:lineRule="auto"/>
        <w:jc w:val="center"/>
        <w:rPr>
          <w:rFonts w:ascii="Arial" w:hAnsi="Arial" w:cs="Arial"/>
          <w:b/>
        </w:rPr>
      </w:pPr>
    </w:p>
    <w:p w14:paraId="23ED36C3" w14:textId="77777777" w:rsidR="00665F42" w:rsidRDefault="00665F42" w:rsidP="0066301C">
      <w:pPr>
        <w:spacing w:line="360" w:lineRule="auto"/>
        <w:jc w:val="center"/>
        <w:rPr>
          <w:rFonts w:ascii="Arial" w:hAnsi="Arial" w:cs="Arial"/>
          <w:b/>
        </w:rPr>
      </w:pPr>
    </w:p>
    <w:p w14:paraId="5E5AA909" w14:textId="77777777" w:rsidR="00665F42" w:rsidRDefault="00665F42" w:rsidP="0066301C">
      <w:pPr>
        <w:spacing w:line="360" w:lineRule="auto"/>
        <w:jc w:val="center"/>
        <w:rPr>
          <w:rFonts w:ascii="Arial" w:hAnsi="Arial" w:cs="Arial"/>
          <w:b/>
        </w:rPr>
      </w:pPr>
    </w:p>
    <w:p w14:paraId="7EFCAA50" w14:textId="77777777" w:rsidR="00153038" w:rsidRPr="00D71A0F" w:rsidRDefault="00153038" w:rsidP="0066301C">
      <w:pPr>
        <w:pStyle w:val="Heading1"/>
        <w:numPr>
          <w:ilvl w:val="0"/>
          <w:numId w:val="0"/>
        </w:numPr>
        <w:spacing w:before="0"/>
      </w:pPr>
      <w:bookmarkStart w:id="4" w:name="_Toc171075340"/>
      <w:r w:rsidRPr="00D71A0F">
        <w:lastRenderedPageBreak/>
        <w:t>ACKNOWLEDGMENTS</w:t>
      </w:r>
      <w:bookmarkEnd w:id="4"/>
    </w:p>
    <w:p w14:paraId="3E1EBF1E" w14:textId="77777777" w:rsidR="00FF4441" w:rsidRDefault="00FF4441" w:rsidP="0066301C">
      <w:pPr>
        <w:spacing w:line="360" w:lineRule="auto"/>
        <w:jc w:val="both"/>
        <w:rPr>
          <w:rFonts w:ascii="Times New Roman" w:hAnsi="Times New Roman" w:cs="Times New Roman"/>
          <w:sz w:val="24"/>
          <w:szCs w:val="24"/>
        </w:rPr>
      </w:pPr>
    </w:p>
    <w:p w14:paraId="3C96A5B6" w14:textId="4B2F4696" w:rsidR="001A5EC3" w:rsidRPr="004C4C1B" w:rsidRDefault="00666072" w:rsidP="0066301C">
      <w:pPr>
        <w:spacing w:line="360" w:lineRule="auto"/>
        <w:jc w:val="both"/>
        <w:rPr>
          <w:rFonts w:ascii="Arial" w:hAnsi="Arial" w:cs="Arial"/>
        </w:rPr>
      </w:pPr>
      <w:r w:rsidRPr="004C4C1B">
        <w:rPr>
          <w:rFonts w:ascii="Arial" w:hAnsi="Arial" w:cs="Arial"/>
        </w:rPr>
        <w:t xml:space="preserve">My special thanks </w:t>
      </w:r>
      <w:r w:rsidR="004C4C1B" w:rsidRPr="004C4C1B">
        <w:rPr>
          <w:rFonts w:ascii="Arial" w:hAnsi="Arial" w:cs="Arial"/>
        </w:rPr>
        <w:t>go</w:t>
      </w:r>
      <w:r w:rsidRPr="004C4C1B">
        <w:rPr>
          <w:rFonts w:ascii="Arial" w:hAnsi="Arial" w:cs="Arial"/>
        </w:rPr>
        <w:t xml:space="preserve"> to the Almighty GOD for His special grace for seeing this day and for the strength to get through this program. </w:t>
      </w:r>
      <w:r w:rsidR="00FF4441" w:rsidRPr="004C4C1B">
        <w:rPr>
          <w:rFonts w:ascii="Arial" w:hAnsi="Arial" w:cs="Arial"/>
        </w:rPr>
        <w:t xml:space="preserve">I would like to thank my supervisor Dr. Milton Yago and my co-supervisor Dr. Paul Jones for their patience, </w:t>
      </w:r>
      <w:r w:rsidR="00D31798" w:rsidRPr="004C4C1B">
        <w:rPr>
          <w:rFonts w:ascii="Arial" w:hAnsi="Arial" w:cs="Arial"/>
        </w:rPr>
        <w:t xml:space="preserve">guidance and constructive feedbacks. </w:t>
      </w:r>
      <w:r w:rsidR="008C4014" w:rsidRPr="004C4C1B">
        <w:rPr>
          <w:rFonts w:ascii="Arial" w:hAnsi="Arial" w:cs="Arial"/>
        </w:rPr>
        <w:t xml:space="preserve">I extent my gratitude to the </w:t>
      </w:r>
      <w:r w:rsidR="0074040C" w:rsidRPr="004C4C1B">
        <w:rPr>
          <w:rFonts w:ascii="Arial" w:hAnsi="Arial" w:cs="Arial"/>
        </w:rPr>
        <w:t xml:space="preserve">Research Student Programme Director Dr. Moade Shubita, </w:t>
      </w:r>
      <w:r w:rsidR="008C4014" w:rsidRPr="004C4C1B">
        <w:rPr>
          <w:rFonts w:ascii="Arial" w:hAnsi="Arial" w:cs="Arial"/>
        </w:rPr>
        <w:t xml:space="preserve">for his advice and support. My gratitude to the entire team of the university </w:t>
      </w:r>
      <w:r w:rsidR="009463DA" w:rsidRPr="004C4C1B">
        <w:rPr>
          <w:rFonts w:ascii="Arial" w:hAnsi="Arial" w:cs="Arial"/>
        </w:rPr>
        <w:t>research office</w:t>
      </w:r>
      <w:r w:rsidR="008C4014" w:rsidRPr="004C4C1B">
        <w:rPr>
          <w:rFonts w:ascii="Arial" w:hAnsi="Arial" w:cs="Arial"/>
        </w:rPr>
        <w:t>,</w:t>
      </w:r>
      <w:r w:rsidR="009463DA" w:rsidRPr="004C4C1B">
        <w:rPr>
          <w:rFonts w:ascii="Arial" w:hAnsi="Arial" w:cs="Arial"/>
        </w:rPr>
        <w:t xml:space="preserve"> especially to Ms. Joanne Burgess, </w:t>
      </w:r>
      <w:r w:rsidR="008C4014" w:rsidRPr="004C4C1B">
        <w:rPr>
          <w:rFonts w:ascii="Arial" w:hAnsi="Arial" w:cs="Arial"/>
        </w:rPr>
        <w:t xml:space="preserve">and </w:t>
      </w:r>
      <w:r w:rsidR="009463DA" w:rsidRPr="004C4C1B">
        <w:rPr>
          <w:rFonts w:ascii="Arial" w:hAnsi="Arial" w:cs="Arial"/>
        </w:rPr>
        <w:t>Melissa Watts</w:t>
      </w:r>
      <w:r w:rsidR="001A5EC3" w:rsidRPr="004C4C1B">
        <w:rPr>
          <w:rFonts w:ascii="Arial" w:hAnsi="Arial" w:cs="Arial"/>
        </w:rPr>
        <w:t>.</w:t>
      </w:r>
    </w:p>
    <w:p w14:paraId="7A5FF95A" w14:textId="64B908BF" w:rsidR="003E5C56" w:rsidRPr="004C4C1B" w:rsidRDefault="008C4014" w:rsidP="0066301C">
      <w:pPr>
        <w:spacing w:line="360" w:lineRule="auto"/>
        <w:jc w:val="both"/>
        <w:rPr>
          <w:rFonts w:ascii="Arial" w:hAnsi="Arial" w:cs="Arial"/>
        </w:rPr>
      </w:pPr>
      <w:r w:rsidRPr="004C4C1B">
        <w:rPr>
          <w:rFonts w:ascii="Arial" w:hAnsi="Arial" w:cs="Arial"/>
        </w:rPr>
        <w:t>Thanks to my wife Julienne for her unconditional lov</w:t>
      </w:r>
      <w:r w:rsidR="005B2AFB" w:rsidRPr="004C4C1B">
        <w:rPr>
          <w:rFonts w:ascii="Arial" w:hAnsi="Arial" w:cs="Arial"/>
        </w:rPr>
        <w:t xml:space="preserve">e and support. I am absolutely </w:t>
      </w:r>
      <w:r w:rsidR="004C4C1B" w:rsidRPr="004C4C1B">
        <w:rPr>
          <w:rFonts w:ascii="Arial" w:hAnsi="Arial" w:cs="Arial"/>
        </w:rPr>
        <w:t>blessed</w:t>
      </w:r>
      <w:r w:rsidR="005B2AFB" w:rsidRPr="004C4C1B">
        <w:rPr>
          <w:rFonts w:ascii="Arial" w:hAnsi="Arial" w:cs="Arial"/>
        </w:rPr>
        <w:t xml:space="preserve"> to have you. To my daughter Rhema and my son Ramah. Thanks for your love, and for keeping me company while working. You are my everything. </w:t>
      </w:r>
      <w:r w:rsidR="00C6780F" w:rsidRPr="004C4C1B">
        <w:rPr>
          <w:rFonts w:ascii="Arial" w:hAnsi="Arial" w:cs="Arial"/>
        </w:rPr>
        <w:t xml:space="preserve">This journey would not have been possible without my mother, a strong woman who raised four children. I will forever be indebted to you. To my </w:t>
      </w:r>
      <w:r w:rsidR="004C4C1B" w:rsidRPr="004C4C1B">
        <w:rPr>
          <w:rFonts w:ascii="Arial" w:hAnsi="Arial" w:cs="Arial"/>
        </w:rPr>
        <w:t>sibling,</w:t>
      </w:r>
      <w:r w:rsidR="00C6780F" w:rsidRPr="004C4C1B">
        <w:rPr>
          <w:rFonts w:ascii="Arial" w:hAnsi="Arial" w:cs="Arial"/>
        </w:rPr>
        <w:t xml:space="preserve"> Bereacs, Belvine, and Blese, I </w:t>
      </w:r>
      <w:r w:rsidR="009F157A" w:rsidRPr="004C4C1B">
        <w:rPr>
          <w:rFonts w:ascii="Arial" w:hAnsi="Arial" w:cs="Arial"/>
        </w:rPr>
        <w:t>am sho</w:t>
      </w:r>
      <w:r w:rsidR="004C4C1B">
        <w:rPr>
          <w:rFonts w:ascii="Arial" w:hAnsi="Arial" w:cs="Arial"/>
        </w:rPr>
        <w:t>rt</w:t>
      </w:r>
      <w:r w:rsidR="009F157A" w:rsidRPr="004C4C1B">
        <w:rPr>
          <w:rFonts w:ascii="Arial" w:hAnsi="Arial" w:cs="Arial"/>
        </w:rPr>
        <w:t xml:space="preserve"> of words for all your assistance and prayer throughout this journey call life (équipe nationale)</w:t>
      </w:r>
      <w:r w:rsidR="003E5C56" w:rsidRPr="004C4C1B">
        <w:rPr>
          <w:rFonts w:ascii="Arial" w:hAnsi="Arial" w:cs="Arial"/>
        </w:rPr>
        <w:t xml:space="preserve">. You stood by me, taught me to be a better person. Thanks to my uncles; Mr. Esam Jerry and Ignatius. </w:t>
      </w:r>
    </w:p>
    <w:p w14:paraId="4EEDE16A" w14:textId="4AC70A06" w:rsidR="00C6780F" w:rsidRPr="004C4C1B" w:rsidRDefault="003E5C56" w:rsidP="0066301C">
      <w:pPr>
        <w:spacing w:line="360" w:lineRule="auto"/>
        <w:jc w:val="both"/>
        <w:rPr>
          <w:rFonts w:ascii="Arial" w:hAnsi="Arial" w:cs="Arial"/>
        </w:rPr>
      </w:pPr>
      <w:r w:rsidRPr="004C4C1B">
        <w:rPr>
          <w:rFonts w:ascii="Arial" w:hAnsi="Arial" w:cs="Arial"/>
        </w:rPr>
        <w:t xml:space="preserve">To Emmanuel Ekembe, </w:t>
      </w:r>
      <w:r w:rsidR="009F770B" w:rsidRPr="004C4C1B">
        <w:rPr>
          <w:rFonts w:ascii="Arial" w:hAnsi="Arial" w:cs="Arial"/>
        </w:rPr>
        <w:t xml:space="preserve">Evans Nweke, </w:t>
      </w:r>
      <w:r w:rsidRPr="004C4C1B">
        <w:rPr>
          <w:rFonts w:ascii="Arial" w:hAnsi="Arial" w:cs="Arial"/>
        </w:rPr>
        <w:t xml:space="preserve">Mrs Chika Jacob, Mr. </w:t>
      </w:r>
      <w:r w:rsidR="009F770B" w:rsidRPr="004C4C1B">
        <w:rPr>
          <w:rFonts w:ascii="Arial" w:hAnsi="Arial" w:cs="Arial"/>
        </w:rPr>
        <w:t xml:space="preserve">Peter Iyoko, Mr. Sylvester Edoh. Thanks a </w:t>
      </w:r>
      <w:r w:rsidR="004C4C1B" w:rsidRPr="004C4C1B">
        <w:rPr>
          <w:rFonts w:ascii="Arial" w:hAnsi="Arial" w:cs="Arial"/>
        </w:rPr>
        <w:t>lot,</w:t>
      </w:r>
      <w:r w:rsidR="009F770B" w:rsidRPr="004C4C1B">
        <w:rPr>
          <w:rFonts w:ascii="Arial" w:hAnsi="Arial" w:cs="Arial"/>
        </w:rPr>
        <w:t xml:space="preserve"> to my in-law for their support and prayers. </w:t>
      </w:r>
    </w:p>
    <w:p w14:paraId="16ED72C2" w14:textId="64EF1A28" w:rsidR="0074040C" w:rsidRDefault="004C4C1B" w:rsidP="0066301C">
      <w:pPr>
        <w:tabs>
          <w:tab w:val="left" w:pos="6492"/>
        </w:tabs>
        <w:spacing w:line="360" w:lineRule="auto"/>
        <w:jc w:val="both"/>
        <w:rPr>
          <w:rFonts w:ascii="Times New Roman" w:hAnsi="Times New Roman" w:cs="Times New Roman"/>
          <w:sz w:val="24"/>
          <w:szCs w:val="24"/>
        </w:rPr>
      </w:pPr>
      <w:r>
        <w:rPr>
          <w:rFonts w:ascii="Times New Roman" w:hAnsi="Times New Roman" w:cs="Times New Roman"/>
          <w:sz w:val="24"/>
          <w:szCs w:val="24"/>
        </w:rPr>
        <w:tab/>
      </w:r>
    </w:p>
    <w:p w14:paraId="2E582863" w14:textId="77777777" w:rsidR="00153038" w:rsidRDefault="00153038" w:rsidP="0066301C">
      <w:pPr>
        <w:spacing w:line="360" w:lineRule="auto"/>
        <w:jc w:val="center"/>
        <w:rPr>
          <w:rFonts w:ascii="Arial" w:hAnsi="Arial" w:cs="Arial"/>
          <w:b/>
        </w:rPr>
      </w:pPr>
    </w:p>
    <w:p w14:paraId="07122261" w14:textId="77777777" w:rsidR="00665F42" w:rsidRDefault="00665F42" w:rsidP="0066301C">
      <w:pPr>
        <w:spacing w:line="360" w:lineRule="auto"/>
        <w:jc w:val="center"/>
        <w:rPr>
          <w:rFonts w:ascii="Arial" w:hAnsi="Arial" w:cs="Arial"/>
          <w:b/>
        </w:rPr>
      </w:pPr>
    </w:p>
    <w:p w14:paraId="5DBD907E" w14:textId="77777777" w:rsidR="00153038" w:rsidRDefault="00153038" w:rsidP="0066301C">
      <w:pPr>
        <w:spacing w:line="360" w:lineRule="auto"/>
        <w:jc w:val="center"/>
        <w:rPr>
          <w:rFonts w:ascii="Arial" w:hAnsi="Arial" w:cs="Arial"/>
          <w:b/>
        </w:rPr>
      </w:pPr>
    </w:p>
    <w:p w14:paraId="4C5D26E3" w14:textId="77777777" w:rsidR="00153038" w:rsidRDefault="00153038" w:rsidP="0066301C">
      <w:pPr>
        <w:spacing w:line="360" w:lineRule="auto"/>
        <w:jc w:val="center"/>
        <w:rPr>
          <w:rFonts w:ascii="Arial" w:hAnsi="Arial" w:cs="Arial"/>
          <w:b/>
        </w:rPr>
      </w:pPr>
    </w:p>
    <w:p w14:paraId="2CA9A8A2" w14:textId="77777777" w:rsidR="00153038" w:rsidRDefault="00153038" w:rsidP="0066301C">
      <w:pPr>
        <w:spacing w:line="360" w:lineRule="auto"/>
        <w:jc w:val="center"/>
        <w:rPr>
          <w:rFonts w:ascii="Arial" w:hAnsi="Arial" w:cs="Arial"/>
          <w:b/>
        </w:rPr>
      </w:pPr>
    </w:p>
    <w:p w14:paraId="03B72459" w14:textId="77777777" w:rsidR="00E032D2" w:rsidRDefault="00E032D2" w:rsidP="0066301C">
      <w:pPr>
        <w:spacing w:line="360" w:lineRule="auto"/>
        <w:jc w:val="center"/>
        <w:rPr>
          <w:rFonts w:ascii="Arial" w:hAnsi="Arial" w:cs="Arial"/>
          <w:b/>
        </w:rPr>
      </w:pPr>
    </w:p>
    <w:p w14:paraId="23FA277A" w14:textId="77777777" w:rsidR="00153038" w:rsidRDefault="00153038" w:rsidP="0066301C">
      <w:pPr>
        <w:spacing w:line="360" w:lineRule="auto"/>
        <w:jc w:val="center"/>
        <w:rPr>
          <w:rFonts w:ascii="Arial" w:hAnsi="Arial" w:cs="Arial"/>
          <w:b/>
        </w:rPr>
      </w:pPr>
    </w:p>
    <w:p w14:paraId="1FFE02F0" w14:textId="77777777" w:rsidR="0066301C" w:rsidRDefault="0066301C" w:rsidP="0066301C">
      <w:pPr>
        <w:spacing w:line="360" w:lineRule="auto"/>
        <w:jc w:val="center"/>
        <w:rPr>
          <w:rFonts w:ascii="Arial" w:hAnsi="Arial" w:cs="Arial"/>
          <w:b/>
        </w:rPr>
      </w:pPr>
    </w:p>
    <w:p w14:paraId="11CDCDC7" w14:textId="77777777" w:rsidR="00B90AD2" w:rsidRDefault="00B90AD2" w:rsidP="0066301C">
      <w:pPr>
        <w:spacing w:line="360" w:lineRule="auto"/>
        <w:jc w:val="center"/>
        <w:rPr>
          <w:rFonts w:ascii="Arial" w:hAnsi="Arial" w:cs="Arial"/>
          <w:b/>
        </w:rPr>
      </w:pPr>
    </w:p>
    <w:p w14:paraId="606AF2CC" w14:textId="75E6F47D" w:rsidR="00CA469B" w:rsidRPr="00665F42" w:rsidRDefault="00CA469B" w:rsidP="0066301C">
      <w:pPr>
        <w:pStyle w:val="Heading1"/>
        <w:numPr>
          <w:ilvl w:val="0"/>
          <w:numId w:val="0"/>
        </w:numPr>
        <w:spacing w:before="0"/>
      </w:pPr>
      <w:bookmarkStart w:id="5" w:name="_Toc171075341"/>
      <w:bookmarkStart w:id="6" w:name="_Hlk104493651"/>
      <w:r w:rsidRPr="00665F42">
        <w:lastRenderedPageBreak/>
        <w:t>ABSTRACT</w:t>
      </w:r>
      <w:bookmarkEnd w:id="5"/>
    </w:p>
    <w:p w14:paraId="46807C51" w14:textId="77777777" w:rsidR="00933F4F" w:rsidRPr="00CE6710" w:rsidRDefault="00933F4F" w:rsidP="0066301C">
      <w:pPr>
        <w:spacing w:line="360" w:lineRule="auto"/>
        <w:jc w:val="both"/>
        <w:rPr>
          <w:rFonts w:ascii="Arial" w:hAnsi="Arial" w:cs="Arial"/>
        </w:rPr>
      </w:pPr>
      <w:r w:rsidRPr="00CE6710">
        <w:rPr>
          <w:rFonts w:ascii="Arial" w:hAnsi="Arial" w:cs="Arial"/>
        </w:rPr>
        <w:t>The impact of changes in the real exchange rate (RER) on economic growth has been of growing attention in recent policy debates. One of the focal reasons for the growing attention is due to the growth experienced by some East-Asian nations between the period 1965 to 1990s, which is attributed to the exchange rate. On the other hand, the debate was renewed due to series of economic crises faced by some nations, whereby unsustainable exchange rate was identified as the cause. </w:t>
      </w:r>
    </w:p>
    <w:p w14:paraId="4A2DFF39" w14:textId="6E838CE7" w:rsidR="00933F4F" w:rsidRPr="00CE6710" w:rsidRDefault="00933F4F" w:rsidP="0066301C">
      <w:pPr>
        <w:spacing w:line="360" w:lineRule="auto"/>
        <w:jc w:val="both"/>
        <w:rPr>
          <w:rFonts w:ascii="Arial" w:hAnsi="Arial" w:cs="Arial"/>
        </w:rPr>
      </w:pPr>
      <w:bookmarkStart w:id="7" w:name="_Hlk164720630"/>
      <w:r w:rsidRPr="00CE6710">
        <w:rPr>
          <w:rFonts w:ascii="Arial" w:hAnsi="Arial" w:cs="Arial"/>
        </w:rPr>
        <w:t>The main goal of this thesis is to examine the relationship between the CFA franc and the economic growth of the CEMAC zone. This was done by first investigating the state of the currency in all CEMAC nations</w:t>
      </w:r>
      <w:r w:rsidR="00DF0DD7">
        <w:rPr>
          <w:rFonts w:ascii="Arial" w:hAnsi="Arial" w:cs="Arial"/>
        </w:rPr>
        <w:t>, as seen in the first empirical question</w:t>
      </w:r>
      <w:r w:rsidRPr="00CE6710">
        <w:rPr>
          <w:rFonts w:ascii="Arial" w:hAnsi="Arial" w:cs="Arial"/>
        </w:rPr>
        <w:t>. Because there is not ‘one’ equilibrium REER, rather there is a path of equilibrium REER through time, I used the Behavioural Equilibrium Exchange Rate (BEER) approach by Clark and MacDonald (1998) to ascertain the state of the CFA franc. The results showed that as of the year 2018, the CFA was at equilibrium in all the CEMAC nations, and governments should not be worried. </w:t>
      </w:r>
    </w:p>
    <w:p w14:paraId="61A518B4" w14:textId="08B9497D" w:rsidR="00933F4F" w:rsidRPr="003111C1" w:rsidRDefault="00933F4F" w:rsidP="0066301C">
      <w:pPr>
        <w:spacing w:line="360" w:lineRule="auto"/>
        <w:jc w:val="both"/>
        <w:rPr>
          <w:rFonts w:ascii="Arial" w:hAnsi="Arial" w:cs="Arial"/>
        </w:rPr>
      </w:pPr>
      <w:r w:rsidRPr="003111C1">
        <w:rPr>
          <w:rFonts w:ascii="Arial" w:hAnsi="Arial" w:cs="Arial"/>
        </w:rPr>
        <w:t xml:space="preserve">The second question </w:t>
      </w:r>
      <w:r w:rsidR="00B96274" w:rsidRPr="003111C1">
        <w:rPr>
          <w:rFonts w:ascii="Arial" w:hAnsi="Arial" w:cs="Arial"/>
        </w:rPr>
        <w:t>analysed</w:t>
      </w:r>
      <w:r w:rsidRPr="003111C1">
        <w:rPr>
          <w:rFonts w:ascii="Arial" w:hAnsi="Arial" w:cs="Arial"/>
        </w:rPr>
        <w:t xml:space="preserve"> if currency devaluation improved the trade balance in CEMAC nations through the presence of the </w:t>
      </w:r>
      <w:r w:rsidRPr="003111C1">
        <w:rPr>
          <w:rStyle w:val="Emphasis"/>
          <w:rFonts w:ascii="Arial" w:hAnsi="Arial" w:cs="Arial"/>
          <w:color w:val="0E101A"/>
        </w:rPr>
        <w:t>J-</w:t>
      </w:r>
      <w:r w:rsidRPr="003111C1">
        <w:rPr>
          <w:rFonts w:ascii="Arial" w:hAnsi="Arial" w:cs="Arial"/>
        </w:rPr>
        <w:t xml:space="preserve">curve. I used the aggregate bilateral trade date approach by Rose and Yellen (1989), and the aggregate trade date approach by Magee (1973) to </w:t>
      </w:r>
      <w:r w:rsidR="00B96274" w:rsidRPr="003111C1">
        <w:rPr>
          <w:rFonts w:ascii="Arial" w:hAnsi="Arial" w:cs="Arial"/>
        </w:rPr>
        <w:t>analyse</w:t>
      </w:r>
      <w:r w:rsidRPr="003111C1">
        <w:rPr>
          <w:rFonts w:ascii="Arial" w:hAnsi="Arial" w:cs="Arial"/>
        </w:rPr>
        <w:t xml:space="preserve"> the presence of </w:t>
      </w:r>
      <w:r w:rsidRPr="003111C1">
        <w:rPr>
          <w:rStyle w:val="Emphasis"/>
          <w:rFonts w:ascii="Arial" w:hAnsi="Arial" w:cs="Arial"/>
          <w:color w:val="0E101A"/>
        </w:rPr>
        <w:t>J-</w:t>
      </w:r>
      <w:r w:rsidRPr="003111C1">
        <w:rPr>
          <w:rFonts w:ascii="Arial" w:hAnsi="Arial" w:cs="Arial"/>
        </w:rPr>
        <w:t xml:space="preserve">curve between the </w:t>
      </w:r>
      <w:r w:rsidR="00B96274" w:rsidRPr="003111C1">
        <w:rPr>
          <w:rFonts w:ascii="Arial" w:hAnsi="Arial" w:cs="Arial"/>
        </w:rPr>
        <w:t xml:space="preserve">individual </w:t>
      </w:r>
      <w:r w:rsidRPr="003111C1">
        <w:rPr>
          <w:rFonts w:ascii="Arial" w:hAnsi="Arial" w:cs="Arial"/>
        </w:rPr>
        <w:t>CEMAC nations and their main trade partners.</w:t>
      </w:r>
      <w:r w:rsidR="00B96274" w:rsidRPr="003111C1">
        <w:rPr>
          <w:rFonts w:ascii="Arial" w:hAnsi="Arial" w:cs="Arial"/>
        </w:rPr>
        <w:t xml:space="preserve"> </w:t>
      </w:r>
      <w:r w:rsidR="00C53AC2" w:rsidRPr="003111C1">
        <w:rPr>
          <w:rFonts w:ascii="Arial" w:hAnsi="Arial" w:cs="Arial"/>
        </w:rPr>
        <w:t xml:space="preserve">Due to lack of data for some of the CEMAC nations, only three CEMAC nations were used in this section (Cameroon, Central Africa Republic – CAR, and Gabon). </w:t>
      </w:r>
      <w:r w:rsidRPr="003111C1">
        <w:rPr>
          <w:rFonts w:ascii="Arial" w:hAnsi="Arial" w:cs="Arial"/>
        </w:rPr>
        <w:t>The results showed the presence of </w:t>
      </w:r>
      <w:r w:rsidRPr="003111C1">
        <w:rPr>
          <w:rStyle w:val="Emphasis"/>
          <w:rFonts w:ascii="Arial" w:hAnsi="Arial" w:cs="Arial"/>
          <w:color w:val="0E101A"/>
        </w:rPr>
        <w:t>J-</w:t>
      </w:r>
      <w:r w:rsidRPr="003111C1">
        <w:rPr>
          <w:rFonts w:ascii="Arial" w:hAnsi="Arial" w:cs="Arial"/>
        </w:rPr>
        <w:t xml:space="preserve">curve only in Cameroon models for both approaches, implying that </w:t>
      </w:r>
      <w:r w:rsidR="0015574B" w:rsidRPr="003111C1">
        <w:rPr>
          <w:rFonts w:ascii="Arial" w:hAnsi="Arial" w:cs="Arial"/>
        </w:rPr>
        <w:t>CFA franc</w:t>
      </w:r>
      <w:r w:rsidRPr="003111C1">
        <w:rPr>
          <w:rFonts w:ascii="Arial" w:hAnsi="Arial" w:cs="Arial"/>
        </w:rPr>
        <w:t xml:space="preserve"> devaluation improves the trade balance in Cameroon. The absence of </w:t>
      </w:r>
      <w:r w:rsidRPr="003111C1">
        <w:rPr>
          <w:rStyle w:val="Emphasis"/>
          <w:rFonts w:ascii="Arial" w:hAnsi="Arial" w:cs="Arial"/>
          <w:color w:val="0E101A"/>
        </w:rPr>
        <w:t>J-</w:t>
      </w:r>
      <w:r w:rsidRPr="003111C1">
        <w:rPr>
          <w:rFonts w:ascii="Arial" w:hAnsi="Arial" w:cs="Arial"/>
        </w:rPr>
        <w:t xml:space="preserve">curve in CAR and Gabon means that policymakers could use other tools than the </w:t>
      </w:r>
      <w:r w:rsidR="00B96274" w:rsidRPr="003111C1">
        <w:rPr>
          <w:rFonts w:ascii="Arial" w:hAnsi="Arial" w:cs="Arial"/>
        </w:rPr>
        <w:t>CFA franc devaluation</w:t>
      </w:r>
      <w:r w:rsidRPr="003111C1">
        <w:rPr>
          <w:rFonts w:ascii="Arial" w:hAnsi="Arial" w:cs="Arial"/>
        </w:rPr>
        <w:t xml:space="preserve"> to improve their trade balance. Also, there is a need for an improvement of bilateral trade flow within the region. </w:t>
      </w:r>
    </w:p>
    <w:p w14:paraId="15B199EB" w14:textId="47CCA1EC" w:rsidR="00933F4F" w:rsidRPr="003111C1" w:rsidRDefault="0015574B" w:rsidP="0066301C">
      <w:pPr>
        <w:spacing w:line="360" w:lineRule="auto"/>
        <w:jc w:val="both"/>
        <w:rPr>
          <w:rFonts w:ascii="Arial" w:hAnsi="Arial" w:cs="Arial"/>
        </w:rPr>
      </w:pPr>
      <w:r w:rsidRPr="003111C1">
        <w:rPr>
          <w:rFonts w:ascii="Arial" w:hAnsi="Arial" w:cs="Arial"/>
        </w:rPr>
        <w:t xml:space="preserve">The third question </w:t>
      </w:r>
      <w:r w:rsidR="00C53AC2" w:rsidRPr="003111C1">
        <w:rPr>
          <w:rFonts w:ascii="Arial" w:hAnsi="Arial" w:cs="Arial"/>
        </w:rPr>
        <w:t>examined</w:t>
      </w:r>
      <w:r w:rsidRPr="003111C1">
        <w:rPr>
          <w:rFonts w:ascii="Arial" w:hAnsi="Arial" w:cs="Arial"/>
        </w:rPr>
        <w:t xml:space="preserve"> the relationship between the REER and economic growth in the CEMAC zone. </w:t>
      </w:r>
      <w:r w:rsidR="00933F4F" w:rsidRPr="003111C1">
        <w:rPr>
          <w:rFonts w:ascii="Arial" w:hAnsi="Arial" w:cs="Arial"/>
        </w:rPr>
        <w:t xml:space="preserve">The CFA franc devaluation was meant to improve the economic growth of the entire CEMAC Zone. As such, I used the </w:t>
      </w:r>
      <w:r w:rsidR="00E2637B" w:rsidRPr="003111C1">
        <w:rPr>
          <w:rFonts w:ascii="Arial" w:hAnsi="Arial" w:cs="Arial"/>
          <w:lang w:val="en-US"/>
        </w:rPr>
        <w:t xml:space="preserve">Pooled Mean Group (PMG) </w:t>
      </w:r>
      <w:r w:rsidR="00E2637B" w:rsidRPr="003111C1">
        <w:rPr>
          <w:rFonts w:ascii="Arial" w:hAnsi="Arial" w:cs="Arial"/>
          <w:lang w:eastAsia="en-GB"/>
        </w:rPr>
        <w:t>panel autoregression distributed lag (ARDL) approach to investigate the nature of the relationship between REER and the CEMAC region’s economic growth.</w:t>
      </w:r>
      <w:r w:rsidR="00933F4F" w:rsidRPr="003111C1">
        <w:rPr>
          <w:rFonts w:ascii="Arial" w:hAnsi="Arial" w:cs="Arial"/>
        </w:rPr>
        <w:t xml:space="preserve"> The result showed that the CFA franc devaluation did not influence the region’s economic growth. Thus, policymakers should use other tools to improve the region’s economic growth. </w:t>
      </w:r>
    </w:p>
    <w:bookmarkEnd w:id="7"/>
    <w:p w14:paraId="5E0DBA78" w14:textId="77777777" w:rsidR="0065690B" w:rsidRDefault="0065690B" w:rsidP="0066301C">
      <w:pPr>
        <w:spacing w:line="360" w:lineRule="auto"/>
        <w:jc w:val="both"/>
      </w:pPr>
    </w:p>
    <w:p w14:paraId="736BA2A5" w14:textId="77777777" w:rsidR="004A1419" w:rsidRDefault="00B514B5" w:rsidP="0066301C">
      <w:pPr>
        <w:pStyle w:val="Heading1"/>
        <w:numPr>
          <w:ilvl w:val="0"/>
          <w:numId w:val="0"/>
        </w:numPr>
        <w:spacing w:before="0"/>
      </w:pPr>
      <w:bookmarkStart w:id="8" w:name="_Toc171075342"/>
      <w:bookmarkStart w:id="9" w:name="_Hlk170210955"/>
      <w:bookmarkEnd w:id="6"/>
      <w:r>
        <w:lastRenderedPageBreak/>
        <w:t>CONTENT</w:t>
      </w:r>
      <w:bookmarkEnd w:id="8"/>
    </w:p>
    <w:sdt>
      <w:sdtPr>
        <w:rPr>
          <w:rFonts w:asciiTheme="minorHAnsi" w:eastAsiaTheme="minorHAnsi" w:hAnsiTheme="minorHAnsi" w:cstheme="minorBidi"/>
          <w:color w:val="auto"/>
          <w:sz w:val="22"/>
          <w:szCs w:val="22"/>
          <w:lang w:val="en-GB"/>
        </w:rPr>
        <w:id w:val="8272433"/>
        <w:docPartObj>
          <w:docPartGallery w:val="Table of Contents"/>
          <w:docPartUnique/>
        </w:docPartObj>
      </w:sdtPr>
      <w:sdtEndPr>
        <w:rPr>
          <w:b/>
          <w:bCs/>
          <w:noProof/>
        </w:rPr>
      </w:sdtEndPr>
      <w:sdtContent>
        <w:p w14:paraId="034B804B" w14:textId="77777777" w:rsidR="003E7341" w:rsidRDefault="003E7341" w:rsidP="0066301C">
          <w:pPr>
            <w:pStyle w:val="TOCHeading"/>
            <w:spacing w:before="0"/>
          </w:pPr>
          <w:r>
            <w:t>Table of Contents</w:t>
          </w:r>
        </w:p>
        <w:p w14:paraId="5932A283" w14:textId="7B491D7A" w:rsidR="00502DB6" w:rsidRDefault="003E7341">
          <w:pPr>
            <w:pStyle w:val="TOC1"/>
            <w:tabs>
              <w:tab w:val="right" w:leader="dot" w:pos="9016"/>
            </w:tabs>
            <w:rPr>
              <w:rFonts w:eastAsiaTheme="minorEastAsia"/>
              <w:noProof/>
              <w:kern w:val="2"/>
              <w:sz w:val="24"/>
              <w:szCs w:val="24"/>
              <w:lang w:eastAsia="en-GB"/>
              <w14:ligatures w14:val="standardContextual"/>
            </w:rPr>
          </w:pPr>
          <w:r>
            <w:fldChar w:fldCharType="begin"/>
          </w:r>
          <w:r>
            <w:instrText xml:space="preserve"> TOC \o "1-3" \h \z \u </w:instrText>
          </w:r>
          <w:r>
            <w:fldChar w:fldCharType="separate"/>
          </w:r>
          <w:hyperlink w:anchor="_Toc171075338" w:history="1">
            <w:r w:rsidR="00502DB6" w:rsidRPr="004A7088">
              <w:rPr>
                <w:rStyle w:val="Hyperlink"/>
                <w:noProof/>
              </w:rPr>
              <w:t>DECLARATION</w:t>
            </w:r>
            <w:r w:rsidR="00502DB6">
              <w:rPr>
                <w:noProof/>
                <w:webHidden/>
              </w:rPr>
              <w:tab/>
            </w:r>
            <w:r w:rsidR="00502DB6">
              <w:rPr>
                <w:noProof/>
                <w:webHidden/>
              </w:rPr>
              <w:fldChar w:fldCharType="begin"/>
            </w:r>
            <w:r w:rsidR="00502DB6">
              <w:rPr>
                <w:noProof/>
                <w:webHidden/>
              </w:rPr>
              <w:instrText xml:space="preserve"> PAGEREF _Toc171075338 \h </w:instrText>
            </w:r>
            <w:r w:rsidR="00502DB6">
              <w:rPr>
                <w:noProof/>
                <w:webHidden/>
              </w:rPr>
            </w:r>
            <w:r w:rsidR="00502DB6">
              <w:rPr>
                <w:noProof/>
                <w:webHidden/>
              </w:rPr>
              <w:fldChar w:fldCharType="separate"/>
            </w:r>
            <w:r w:rsidR="002256B4">
              <w:rPr>
                <w:noProof/>
                <w:webHidden/>
              </w:rPr>
              <w:t>i</w:t>
            </w:r>
            <w:r w:rsidR="00502DB6">
              <w:rPr>
                <w:noProof/>
                <w:webHidden/>
              </w:rPr>
              <w:fldChar w:fldCharType="end"/>
            </w:r>
          </w:hyperlink>
        </w:p>
        <w:p w14:paraId="06916671" w14:textId="579323E5" w:rsidR="00502DB6" w:rsidRDefault="00000000">
          <w:pPr>
            <w:pStyle w:val="TOC1"/>
            <w:tabs>
              <w:tab w:val="right" w:leader="dot" w:pos="9016"/>
            </w:tabs>
            <w:rPr>
              <w:rFonts w:eastAsiaTheme="minorEastAsia"/>
              <w:noProof/>
              <w:kern w:val="2"/>
              <w:sz w:val="24"/>
              <w:szCs w:val="24"/>
              <w:lang w:eastAsia="en-GB"/>
              <w14:ligatures w14:val="standardContextual"/>
            </w:rPr>
          </w:pPr>
          <w:hyperlink w:anchor="_Toc171075339" w:history="1">
            <w:r w:rsidR="00502DB6" w:rsidRPr="004A7088">
              <w:rPr>
                <w:rStyle w:val="Hyperlink"/>
                <w:noProof/>
              </w:rPr>
              <w:t>DEDICATION</w:t>
            </w:r>
            <w:r w:rsidR="00502DB6">
              <w:rPr>
                <w:noProof/>
                <w:webHidden/>
              </w:rPr>
              <w:tab/>
            </w:r>
            <w:r w:rsidR="00502DB6">
              <w:rPr>
                <w:noProof/>
                <w:webHidden/>
              </w:rPr>
              <w:fldChar w:fldCharType="begin"/>
            </w:r>
            <w:r w:rsidR="00502DB6">
              <w:rPr>
                <w:noProof/>
                <w:webHidden/>
              </w:rPr>
              <w:instrText xml:space="preserve"> PAGEREF _Toc171075339 \h </w:instrText>
            </w:r>
            <w:r w:rsidR="00502DB6">
              <w:rPr>
                <w:noProof/>
                <w:webHidden/>
              </w:rPr>
            </w:r>
            <w:r w:rsidR="00502DB6">
              <w:rPr>
                <w:noProof/>
                <w:webHidden/>
              </w:rPr>
              <w:fldChar w:fldCharType="separate"/>
            </w:r>
            <w:r w:rsidR="002256B4">
              <w:rPr>
                <w:noProof/>
                <w:webHidden/>
              </w:rPr>
              <w:t>ii</w:t>
            </w:r>
            <w:r w:rsidR="00502DB6">
              <w:rPr>
                <w:noProof/>
                <w:webHidden/>
              </w:rPr>
              <w:fldChar w:fldCharType="end"/>
            </w:r>
          </w:hyperlink>
        </w:p>
        <w:p w14:paraId="1313B147" w14:textId="7B3546FB" w:rsidR="00502DB6" w:rsidRDefault="00000000">
          <w:pPr>
            <w:pStyle w:val="TOC1"/>
            <w:tabs>
              <w:tab w:val="right" w:leader="dot" w:pos="9016"/>
            </w:tabs>
            <w:rPr>
              <w:rFonts w:eastAsiaTheme="minorEastAsia"/>
              <w:noProof/>
              <w:kern w:val="2"/>
              <w:sz w:val="24"/>
              <w:szCs w:val="24"/>
              <w:lang w:eastAsia="en-GB"/>
              <w14:ligatures w14:val="standardContextual"/>
            </w:rPr>
          </w:pPr>
          <w:hyperlink w:anchor="_Toc171075340" w:history="1">
            <w:r w:rsidR="00502DB6" w:rsidRPr="004A7088">
              <w:rPr>
                <w:rStyle w:val="Hyperlink"/>
                <w:noProof/>
              </w:rPr>
              <w:t>ACKNOWLEDGMENTS</w:t>
            </w:r>
            <w:r w:rsidR="00502DB6">
              <w:rPr>
                <w:noProof/>
                <w:webHidden/>
              </w:rPr>
              <w:tab/>
            </w:r>
            <w:r w:rsidR="00502DB6">
              <w:rPr>
                <w:noProof/>
                <w:webHidden/>
              </w:rPr>
              <w:fldChar w:fldCharType="begin"/>
            </w:r>
            <w:r w:rsidR="00502DB6">
              <w:rPr>
                <w:noProof/>
                <w:webHidden/>
              </w:rPr>
              <w:instrText xml:space="preserve"> PAGEREF _Toc171075340 \h </w:instrText>
            </w:r>
            <w:r w:rsidR="00502DB6">
              <w:rPr>
                <w:noProof/>
                <w:webHidden/>
              </w:rPr>
            </w:r>
            <w:r w:rsidR="00502DB6">
              <w:rPr>
                <w:noProof/>
                <w:webHidden/>
              </w:rPr>
              <w:fldChar w:fldCharType="separate"/>
            </w:r>
            <w:r w:rsidR="002256B4">
              <w:rPr>
                <w:noProof/>
                <w:webHidden/>
              </w:rPr>
              <w:t>iii</w:t>
            </w:r>
            <w:r w:rsidR="00502DB6">
              <w:rPr>
                <w:noProof/>
                <w:webHidden/>
              </w:rPr>
              <w:fldChar w:fldCharType="end"/>
            </w:r>
          </w:hyperlink>
        </w:p>
        <w:p w14:paraId="7584BB6B" w14:textId="4B238894" w:rsidR="00502DB6" w:rsidRDefault="00000000">
          <w:pPr>
            <w:pStyle w:val="TOC1"/>
            <w:tabs>
              <w:tab w:val="right" w:leader="dot" w:pos="9016"/>
            </w:tabs>
            <w:rPr>
              <w:rFonts w:eastAsiaTheme="minorEastAsia"/>
              <w:noProof/>
              <w:kern w:val="2"/>
              <w:sz w:val="24"/>
              <w:szCs w:val="24"/>
              <w:lang w:eastAsia="en-GB"/>
              <w14:ligatures w14:val="standardContextual"/>
            </w:rPr>
          </w:pPr>
          <w:hyperlink w:anchor="_Toc171075341" w:history="1">
            <w:r w:rsidR="00502DB6" w:rsidRPr="004A7088">
              <w:rPr>
                <w:rStyle w:val="Hyperlink"/>
                <w:noProof/>
              </w:rPr>
              <w:t>ABSTRACT</w:t>
            </w:r>
            <w:r w:rsidR="00502DB6">
              <w:rPr>
                <w:noProof/>
                <w:webHidden/>
              </w:rPr>
              <w:tab/>
            </w:r>
            <w:r w:rsidR="00502DB6">
              <w:rPr>
                <w:noProof/>
                <w:webHidden/>
              </w:rPr>
              <w:fldChar w:fldCharType="begin"/>
            </w:r>
            <w:r w:rsidR="00502DB6">
              <w:rPr>
                <w:noProof/>
                <w:webHidden/>
              </w:rPr>
              <w:instrText xml:space="preserve"> PAGEREF _Toc171075341 \h </w:instrText>
            </w:r>
            <w:r w:rsidR="00502DB6">
              <w:rPr>
                <w:noProof/>
                <w:webHidden/>
              </w:rPr>
            </w:r>
            <w:r w:rsidR="00502DB6">
              <w:rPr>
                <w:noProof/>
                <w:webHidden/>
              </w:rPr>
              <w:fldChar w:fldCharType="separate"/>
            </w:r>
            <w:r w:rsidR="002256B4">
              <w:rPr>
                <w:noProof/>
                <w:webHidden/>
              </w:rPr>
              <w:t>iv</w:t>
            </w:r>
            <w:r w:rsidR="00502DB6">
              <w:rPr>
                <w:noProof/>
                <w:webHidden/>
              </w:rPr>
              <w:fldChar w:fldCharType="end"/>
            </w:r>
          </w:hyperlink>
        </w:p>
        <w:p w14:paraId="0016F4C8" w14:textId="59E8197E" w:rsidR="00502DB6" w:rsidRDefault="00000000">
          <w:pPr>
            <w:pStyle w:val="TOC1"/>
            <w:tabs>
              <w:tab w:val="right" w:leader="dot" w:pos="9016"/>
            </w:tabs>
            <w:rPr>
              <w:rFonts w:eastAsiaTheme="minorEastAsia"/>
              <w:noProof/>
              <w:kern w:val="2"/>
              <w:sz w:val="24"/>
              <w:szCs w:val="24"/>
              <w:lang w:eastAsia="en-GB"/>
              <w14:ligatures w14:val="standardContextual"/>
            </w:rPr>
          </w:pPr>
          <w:hyperlink w:anchor="_Toc171075342" w:history="1">
            <w:r w:rsidR="00502DB6" w:rsidRPr="004A7088">
              <w:rPr>
                <w:rStyle w:val="Hyperlink"/>
                <w:noProof/>
              </w:rPr>
              <w:t>CONTENT</w:t>
            </w:r>
            <w:r w:rsidR="00502DB6">
              <w:rPr>
                <w:noProof/>
                <w:webHidden/>
              </w:rPr>
              <w:tab/>
            </w:r>
            <w:r w:rsidR="00502DB6">
              <w:rPr>
                <w:noProof/>
                <w:webHidden/>
              </w:rPr>
              <w:fldChar w:fldCharType="begin"/>
            </w:r>
            <w:r w:rsidR="00502DB6">
              <w:rPr>
                <w:noProof/>
                <w:webHidden/>
              </w:rPr>
              <w:instrText xml:space="preserve"> PAGEREF _Toc171075342 \h </w:instrText>
            </w:r>
            <w:r w:rsidR="00502DB6">
              <w:rPr>
                <w:noProof/>
                <w:webHidden/>
              </w:rPr>
            </w:r>
            <w:r w:rsidR="00502DB6">
              <w:rPr>
                <w:noProof/>
                <w:webHidden/>
              </w:rPr>
              <w:fldChar w:fldCharType="separate"/>
            </w:r>
            <w:r w:rsidR="002256B4">
              <w:rPr>
                <w:noProof/>
                <w:webHidden/>
              </w:rPr>
              <w:t>v</w:t>
            </w:r>
            <w:r w:rsidR="00502DB6">
              <w:rPr>
                <w:noProof/>
                <w:webHidden/>
              </w:rPr>
              <w:fldChar w:fldCharType="end"/>
            </w:r>
          </w:hyperlink>
        </w:p>
        <w:p w14:paraId="0BB94858" w14:textId="442C480F" w:rsidR="00502DB6" w:rsidRDefault="00000000">
          <w:pPr>
            <w:pStyle w:val="TOC1"/>
            <w:tabs>
              <w:tab w:val="right" w:leader="dot" w:pos="9016"/>
            </w:tabs>
            <w:rPr>
              <w:rFonts w:eastAsiaTheme="minorEastAsia"/>
              <w:noProof/>
              <w:kern w:val="2"/>
              <w:sz w:val="24"/>
              <w:szCs w:val="24"/>
              <w:lang w:eastAsia="en-GB"/>
              <w14:ligatures w14:val="standardContextual"/>
            </w:rPr>
          </w:pPr>
          <w:hyperlink w:anchor="_Toc171075343" w:history="1">
            <w:r w:rsidR="00502DB6" w:rsidRPr="004A7088">
              <w:rPr>
                <w:rStyle w:val="Hyperlink"/>
                <w:noProof/>
              </w:rPr>
              <w:t>LIST OF TABLES</w:t>
            </w:r>
            <w:r w:rsidR="00502DB6">
              <w:rPr>
                <w:noProof/>
                <w:webHidden/>
              </w:rPr>
              <w:tab/>
            </w:r>
            <w:r w:rsidR="00502DB6">
              <w:rPr>
                <w:noProof/>
                <w:webHidden/>
              </w:rPr>
              <w:fldChar w:fldCharType="begin"/>
            </w:r>
            <w:r w:rsidR="00502DB6">
              <w:rPr>
                <w:noProof/>
                <w:webHidden/>
              </w:rPr>
              <w:instrText xml:space="preserve"> PAGEREF _Toc171075343 \h </w:instrText>
            </w:r>
            <w:r w:rsidR="00502DB6">
              <w:rPr>
                <w:noProof/>
                <w:webHidden/>
              </w:rPr>
            </w:r>
            <w:r w:rsidR="00502DB6">
              <w:rPr>
                <w:noProof/>
                <w:webHidden/>
              </w:rPr>
              <w:fldChar w:fldCharType="separate"/>
            </w:r>
            <w:r w:rsidR="002256B4">
              <w:rPr>
                <w:noProof/>
                <w:webHidden/>
              </w:rPr>
              <w:t>ix</w:t>
            </w:r>
            <w:r w:rsidR="00502DB6">
              <w:rPr>
                <w:noProof/>
                <w:webHidden/>
              </w:rPr>
              <w:fldChar w:fldCharType="end"/>
            </w:r>
          </w:hyperlink>
        </w:p>
        <w:p w14:paraId="5E190779" w14:textId="1FCE87AF" w:rsidR="00502DB6" w:rsidRDefault="00000000">
          <w:pPr>
            <w:pStyle w:val="TOC1"/>
            <w:tabs>
              <w:tab w:val="right" w:leader="dot" w:pos="9016"/>
            </w:tabs>
            <w:rPr>
              <w:rFonts w:eastAsiaTheme="minorEastAsia"/>
              <w:noProof/>
              <w:kern w:val="2"/>
              <w:sz w:val="24"/>
              <w:szCs w:val="24"/>
              <w:lang w:eastAsia="en-GB"/>
              <w14:ligatures w14:val="standardContextual"/>
            </w:rPr>
          </w:pPr>
          <w:hyperlink w:anchor="_Toc171075344" w:history="1">
            <w:r w:rsidR="00502DB6" w:rsidRPr="004A7088">
              <w:rPr>
                <w:rStyle w:val="Hyperlink"/>
                <w:noProof/>
              </w:rPr>
              <w:t>LIST OF FIGURES</w:t>
            </w:r>
            <w:r w:rsidR="00502DB6">
              <w:rPr>
                <w:noProof/>
                <w:webHidden/>
              </w:rPr>
              <w:tab/>
            </w:r>
            <w:r w:rsidR="00502DB6">
              <w:rPr>
                <w:noProof/>
                <w:webHidden/>
              </w:rPr>
              <w:fldChar w:fldCharType="begin"/>
            </w:r>
            <w:r w:rsidR="00502DB6">
              <w:rPr>
                <w:noProof/>
                <w:webHidden/>
              </w:rPr>
              <w:instrText xml:space="preserve"> PAGEREF _Toc171075344 \h </w:instrText>
            </w:r>
            <w:r w:rsidR="00502DB6">
              <w:rPr>
                <w:noProof/>
                <w:webHidden/>
              </w:rPr>
            </w:r>
            <w:r w:rsidR="00502DB6">
              <w:rPr>
                <w:noProof/>
                <w:webHidden/>
              </w:rPr>
              <w:fldChar w:fldCharType="separate"/>
            </w:r>
            <w:r w:rsidR="002256B4">
              <w:rPr>
                <w:noProof/>
                <w:webHidden/>
              </w:rPr>
              <w:t>x</w:t>
            </w:r>
            <w:r w:rsidR="00502DB6">
              <w:rPr>
                <w:noProof/>
                <w:webHidden/>
              </w:rPr>
              <w:fldChar w:fldCharType="end"/>
            </w:r>
          </w:hyperlink>
        </w:p>
        <w:p w14:paraId="01409A9A" w14:textId="6C3690C1" w:rsidR="00502DB6" w:rsidRDefault="00000000">
          <w:pPr>
            <w:pStyle w:val="TOC1"/>
            <w:tabs>
              <w:tab w:val="right" w:leader="dot" w:pos="9016"/>
            </w:tabs>
            <w:rPr>
              <w:rFonts w:eastAsiaTheme="minorEastAsia"/>
              <w:noProof/>
              <w:kern w:val="2"/>
              <w:sz w:val="24"/>
              <w:szCs w:val="24"/>
              <w:lang w:eastAsia="en-GB"/>
              <w14:ligatures w14:val="standardContextual"/>
            </w:rPr>
          </w:pPr>
          <w:hyperlink w:anchor="_Toc171075345" w:history="1">
            <w:r w:rsidR="00502DB6" w:rsidRPr="004A7088">
              <w:rPr>
                <w:rStyle w:val="Hyperlink"/>
                <w:noProof/>
              </w:rPr>
              <w:t xml:space="preserve">CHAPTER 1 </w:t>
            </w:r>
            <w:r w:rsidR="00502DB6" w:rsidRPr="004A7088">
              <w:rPr>
                <w:rStyle w:val="Hyperlink"/>
                <w:noProof/>
                <w:lang w:val="en-US"/>
              </w:rPr>
              <w:t>INTRODUCTION</w:t>
            </w:r>
            <w:r w:rsidR="00502DB6">
              <w:rPr>
                <w:noProof/>
                <w:webHidden/>
              </w:rPr>
              <w:tab/>
            </w:r>
            <w:r w:rsidR="00502DB6">
              <w:rPr>
                <w:noProof/>
                <w:webHidden/>
              </w:rPr>
              <w:fldChar w:fldCharType="begin"/>
            </w:r>
            <w:r w:rsidR="00502DB6">
              <w:rPr>
                <w:noProof/>
                <w:webHidden/>
              </w:rPr>
              <w:instrText xml:space="preserve"> PAGEREF _Toc171075345 \h </w:instrText>
            </w:r>
            <w:r w:rsidR="00502DB6">
              <w:rPr>
                <w:noProof/>
                <w:webHidden/>
              </w:rPr>
            </w:r>
            <w:r w:rsidR="00502DB6">
              <w:rPr>
                <w:noProof/>
                <w:webHidden/>
              </w:rPr>
              <w:fldChar w:fldCharType="separate"/>
            </w:r>
            <w:r w:rsidR="002256B4">
              <w:rPr>
                <w:noProof/>
                <w:webHidden/>
              </w:rPr>
              <w:t>1</w:t>
            </w:r>
            <w:r w:rsidR="00502DB6">
              <w:rPr>
                <w:noProof/>
                <w:webHidden/>
              </w:rPr>
              <w:fldChar w:fldCharType="end"/>
            </w:r>
          </w:hyperlink>
        </w:p>
        <w:p w14:paraId="2677A797" w14:textId="5D9A6E2D" w:rsidR="00502DB6" w:rsidRDefault="00000000">
          <w:pPr>
            <w:pStyle w:val="TOC2"/>
            <w:rPr>
              <w:rFonts w:eastAsiaTheme="minorEastAsia"/>
              <w:noProof/>
              <w:kern w:val="2"/>
              <w:sz w:val="24"/>
              <w:szCs w:val="24"/>
              <w:lang w:eastAsia="en-GB"/>
              <w14:ligatures w14:val="standardContextual"/>
            </w:rPr>
          </w:pPr>
          <w:hyperlink w:anchor="_Toc171075346" w:history="1">
            <w:r w:rsidR="00502DB6" w:rsidRPr="004A7088">
              <w:rPr>
                <w:rStyle w:val="Hyperlink"/>
                <w:noProof/>
              </w:rPr>
              <w:t>1.1</w:t>
            </w:r>
            <w:r w:rsidR="00502DB6">
              <w:rPr>
                <w:rFonts w:eastAsiaTheme="minorEastAsia"/>
                <w:noProof/>
                <w:kern w:val="2"/>
                <w:sz w:val="24"/>
                <w:szCs w:val="24"/>
                <w:lang w:eastAsia="en-GB"/>
                <w14:ligatures w14:val="standardContextual"/>
              </w:rPr>
              <w:tab/>
            </w:r>
            <w:r w:rsidR="00502DB6" w:rsidRPr="004A7088">
              <w:rPr>
                <w:rStyle w:val="Hyperlink"/>
                <w:noProof/>
              </w:rPr>
              <w:t>BACKGROUND</w:t>
            </w:r>
            <w:r w:rsidR="00502DB6">
              <w:rPr>
                <w:noProof/>
                <w:webHidden/>
              </w:rPr>
              <w:tab/>
            </w:r>
            <w:r w:rsidR="00502DB6">
              <w:rPr>
                <w:noProof/>
                <w:webHidden/>
              </w:rPr>
              <w:fldChar w:fldCharType="begin"/>
            </w:r>
            <w:r w:rsidR="00502DB6">
              <w:rPr>
                <w:noProof/>
                <w:webHidden/>
              </w:rPr>
              <w:instrText xml:space="preserve"> PAGEREF _Toc171075346 \h </w:instrText>
            </w:r>
            <w:r w:rsidR="00502DB6">
              <w:rPr>
                <w:noProof/>
                <w:webHidden/>
              </w:rPr>
            </w:r>
            <w:r w:rsidR="00502DB6">
              <w:rPr>
                <w:noProof/>
                <w:webHidden/>
              </w:rPr>
              <w:fldChar w:fldCharType="separate"/>
            </w:r>
            <w:r w:rsidR="002256B4">
              <w:rPr>
                <w:noProof/>
                <w:webHidden/>
              </w:rPr>
              <w:t>1</w:t>
            </w:r>
            <w:r w:rsidR="00502DB6">
              <w:rPr>
                <w:noProof/>
                <w:webHidden/>
              </w:rPr>
              <w:fldChar w:fldCharType="end"/>
            </w:r>
          </w:hyperlink>
        </w:p>
        <w:p w14:paraId="576514B0" w14:textId="70661482" w:rsidR="00502DB6" w:rsidRDefault="00000000">
          <w:pPr>
            <w:pStyle w:val="TOC2"/>
            <w:rPr>
              <w:rFonts w:eastAsiaTheme="minorEastAsia"/>
              <w:noProof/>
              <w:kern w:val="2"/>
              <w:sz w:val="24"/>
              <w:szCs w:val="24"/>
              <w:lang w:eastAsia="en-GB"/>
              <w14:ligatures w14:val="standardContextual"/>
            </w:rPr>
          </w:pPr>
          <w:hyperlink w:anchor="_Toc171075347" w:history="1">
            <w:r w:rsidR="00502DB6" w:rsidRPr="004A7088">
              <w:rPr>
                <w:rStyle w:val="Hyperlink"/>
                <w:noProof/>
              </w:rPr>
              <w:t>1.2</w:t>
            </w:r>
            <w:r w:rsidR="00502DB6">
              <w:rPr>
                <w:rFonts w:eastAsiaTheme="minorEastAsia"/>
                <w:noProof/>
                <w:kern w:val="2"/>
                <w:sz w:val="24"/>
                <w:szCs w:val="24"/>
                <w:lang w:eastAsia="en-GB"/>
                <w14:ligatures w14:val="standardContextual"/>
              </w:rPr>
              <w:tab/>
            </w:r>
            <w:r w:rsidR="00502DB6" w:rsidRPr="004A7088">
              <w:rPr>
                <w:rStyle w:val="Hyperlink"/>
                <w:noProof/>
              </w:rPr>
              <w:t>REAL EFFECTIVE EXCHANGE RATE AND ECONOMIC GROWTH</w:t>
            </w:r>
            <w:r w:rsidR="00502DB6">
              <w:rPr>
                <w:noProof/>
                <w:webHidden/>
              </w:rPr>
              <w:tab/>
            </w:r>
            <w:r w:rsidR="00502DB6">
              <w:rPr>
                <w:noProof/>
                <w:webHidden/>
              </w:rPr>
              <w:fldChar w:fldCharType="begin"/>
            </w:r>
            <w:r w:rsidR="00502DB6">
              <w:rPr>
                <w:noProof/>
                <w:webHidden/>
              </w:rPr>
              <w:instrText xml:space="preserve"> PAGEREF _Toc171075347 \h </w:instrText>
            </w:r>
            <w:r w:rsidR="00502DB6">
              <w:rPr>
                <w:noProof/>
                <w:webHidden/>
              </w:rPr>
            </w:r>
            <w:r w:rsidR="00502DB6">
              <w:rPr>
                <w:noProof/>
                <w:webHidden/>
              </w:rPr>
              <w:fldChar w:fldCharType="separate"/>
            </w:r>
            <w:r w:rsidR="002256B4">
              <w:rPr>
                <w:noProof/>
                <w:webHidden/>
              </w:rPr>
              <w:t>5</w:t>
            </w:r>
            <w:r w:rsidR="00502DB6">
              <w:rPr>
                <w:noProof/>
                <w:webHidden/>
              </w:rPr>
              <w:fldChar w:fldCharType="end"/>
            </w:r>
          </w:hyperlink>
        </w:p>
        <w:p w14:paraId="5BD77831" w14:textId="4EB72BEC" w:rsidR="00502DB6" w:rsidRDefault="00000000">
          <w:pPr>
            <w:pStyle w:val="TOC3"/>
            <w:tabs>
              <w:tab w:val="left" w:pos="1320"/>
              <w:tab w:val="right" w:leader="dot" w:pos="9016"/>
            </w:tabs>
            <w:rPr>
              <w:rFonts w:eastAsiaTheme="minorEastAsia"/>
              <w:noProof/>
              <w:kern w:val="2"/>
              <w:sz w:val="24"/>
              <w:szCs w:val="24"/>
              <w:lang w:eastAsia="en-GB"/>
              <w14:ligatures w14:val="standardContextual"/>
            </w:rPr>
          </w:pPr>
          <w:hyperlink w:anchor="_Toc171075348" w:history="1">
            <w:r w:rsidR="00502DB6" w:rsidRPr="004A7088">
              <w:rPr>
                <w:rStyle w:val="Hyperlink"/>
                <w:noProof/>
              </w:rPr>
              <w:t>1.2.1</w:t>
            </w:r>
            <w:r w:rsidR="00502DB6">
              <w:rPr>
                <w:rFonts w:eastAsiaTheme="minorEastAsia"/>
                <w:noProof/>
                <w:kern w:val="2"/>
                <w:sz w:val="24"/>
                <w:szCs w:val="24"/>
                <w:lang w:eastAsia="en-GB"/>
                <w14:ligatures w14:val="standardContextual"/>
              </w:rPr>
              <w:tab/>
            </w:r>
            <w:r w:rsidR="00502DB6" w:rsidRPr="004A7088">
              <w:rPr>
                <w:rStyle w:val="Hyperlink"/>
                <w:noProof/>
              </w:rPr>
              <w:t>EQUILIBRIUM REAL EFFECTIVE EXCHANGE RATE</w:t>
            </w:r>
            <w:r w:rsidR="00502DB6" w:rsidRPr="004A7088">
              <w:rPr>
                <w:rStyle w:val="Hyperlink"/>
                <w:rFonts w:cs="Arial"/>
                <w:noProof/>
                <w:lang w:val="en-US"/>
              </w:rPr>
              <w:t>.</w:t>
            </w:r>
            <w:r w:rsidR="00502DB6">
              <w:rPr>
                <w:noProof/>
                <w:webHidden/>
              </w:rPr>
              <w:tab/>
            </w:r>
            <w:r w:rsidR="00502DB6">
              <w:rPr>
                <w:noProof/>
                <w:webHidden/>
              </w:rPr>
              <w:fldChar w:fldCharType="begin"/>
            </w:r>
            <w:r w:rsidR="00502DB6">
              <w:rPr>
                <w:noProof/>
                <w:webHidden/>
              </w:rPr>
              <w:instrText xml:space="preserve"> PAGEREF _Toc171075348 \h </w:instrText>
            </w:r>
            <w:r w:rsidR="00502DB6">
              <w:rPr>
                <w:noProof/>
                <w:webHidden/>
              </w:rPr>
            </w:r>
            <w:r w:rsidR="00502DB6">
              <w:rPr>
                <w:noProof/>
                <w:webHidden/>
              </w:rPr>
              <w:fldChar w:fldCharType="separate"/>
            </w:r>
            <w:r w:rsidR="002256B4">
              <w:rPr>
                <w:noProof/>
                <w:webHidden/>
              </w:rPr>
              <w:t>5</w:t>
            </w:r>
            <w:r w:rsidR="00502DB6">
              <w:rPr>
                <w:noProof/>
                <w:webHidden/>
              </w:rPr>
              <w:fldChar w:fldCharType="end"/>
            </w:r>
          </w:hyperlink>
        </w:p>
        <w:p w14:paraId="742AE6A2" w14:textId="3F63CDF7" w:rsidR="00502DB6" w:rsidRDefault="00000000">
          <w:pPr>
            <w:pStyle w:val="TOC3"/>
            <w:tabs>
              <w:tab w:val="left" w:pos="1320"/>
              <w:tab w:val="right" w:leader="dot" w:pos="9016"/>
            </w:tabs>
            <w:rPr>
              <w:rFonts w:eastAsiaTheme="minorEastAsia"/>
              <w:noProof/>
              <w:kern w:val="2"/>
              <w:sz w:val="24"/>
              <w:szCs w:val="24"/>
              <w:lang w:eastAsia="en-GB"/>
              <w14:ligatures w14:val="standardContextual"/>
            </w:rPr>
          </w:pPr>
          <w:hyperlink w:anchor="_Toc171075349" w:history="1">
            <w:r w:rsidR="00502DB6" w:rsidRPr="004A7088">
              <w:rPr>
                <w:rStyle w:val="Hyperlink"/>
                <w:noProof/>
              </w:rPr>
              <w:t>1.2.2</w:t>
            </w:r>
            <w:r w:rsidR="00502DB6">
              <w:rPr>
                <w:rFonts w:eastAsiaTheme="minorEastAsia"/>
                <w:noProof/>
                <w:kern w:val="2"/>
                <w:sz w:val="24"/>
                <w:szCs w:val="24"/>
                <w:lang w:eastAsia="en-GB"/>
                <w14:ligatures w14:val="standardContextual"/>
              </w:rPr>
              <w:tab/>
            </w:r>
            <w:r w:rsidR="00502DB6" w:rsidRPr="004A7088">
              <w:rPr>
                <w:rStyle w:val="Hyperlink"/>
                <w:noProof/>
              </w:rPr>
              <w:t>REAL EFFECTIVE EXCHANGE RATE AND TRADE BALANCE</w:t>
            </w:r>
            <w:r w:rsidR="00502DB6" w:rsidRPr="004A7088">
              <w:rPr>
                <w:rStyle w:val="Hyperlink"/>
                <w:rFonts w:cs="Arial"/>
                <w:noProof/>
                <w:lang w:val="en-US"/>
              </w:rPr>
              <w:t>.</w:t>
            </w:r>
            <w:r w:rsidR="00502DB6">
              <w:rPr>
                <w:noProof/>
                <w:webHidden/>
              </w:rPr>
              <w:tab/>
            </w:r>
            <w:r w:rsidR="00502DB6">
              <w:rPr>
                <w:noProof/>
                <w:webHidden/>
              </w:rPr>
              <w:fldChar w:fldCharType="begin"/>
            </w:r>
            <w:r w:rsidR="00502DB6">
              <w:rPr>
                <w:noProof/>
                <w:webHidden/>
              </w:rPr>
              <w:instrText xml:space="preserve"> PAGEREF _Toc171075349 \h </w:instrText>
            </w:r>
            <w:r w:rsidR="00502DB6">
              <w:rPr>
                <w:noProof/>
                <w:webHidden/>
              </w:rPr>
            </w:r>
            <w:r w:rsidR="00502DB6">
              <w:rPr>
                <w:noProof/>
                <w:webHidden/>
              </w:rPr>
              <w:fldChar w:fldCharType="separate"/>
            </w:r>
            <w:r w:rsidR="002256B4">
              <w:rPr>
                <w:noProof/>
                <w:webHidden/>
              </w:rPr>
              <w:t>8</w:t>
            </w:r>
            <w:r w:rsidR="00502DB6">
              <w:rPr>
                <w:noProof/>
                <w:webHidden/>
              </w:rPr>
              <w:fldChar w:fldCharType="end"/>
            </w:r>
          </w:hyperlink>
        </w:p>
        <w:p w14:paraId="2CDED834" w14:textId="49C5D095" w:rsidR="00502DB6" w:rsidRDefault="00000000">
          <w:pPr>
            <w:pStyle w:val="TOC3"/>
            <w:tabs>
              <w:tab w:val="left" w:pos="1320"/>
              <w:tab w:val="right" w:leader="dot" w:pos="9016"/>
            </w:tabs>
            <w:rPr>
              <w:rFonts w:eastAsiaTheme="minorEastAsia"/>
              <w:noProof/>
              <w:kern w:val="2"/>
              <w:sz w:val="24"/>
              <w:szCs w:val="24"/>
              <w:lang w:eastAsia="en-GB"/>
              <w14:ligatures w14:val="standardContextual"/>
            </w:rPr>
          </w:pPr>
          <w:hyperlink w:anchor="_Toc171075350" w:history="1">
            <w:r w:rsidR="00502DB6" w:rsidRPr="004A7088">
              <w:rPr>
                <w:rStyle w:val="Hyperlink"/>
                <w:noProof/>
              </w:rPr>
              <w:t>1.2.3</w:t>
            </w:r>
            <w:r w:rsidR="00502DB6">
              <w:rPr>
                <w:rFonts w:eastAsiaTheme="minorEastAsia"/>
                <w:noProof/>
                <w:kern w:val="2"/>
                <w:sz w:val="24"/>
                <w:szCs w:val="24"/>
                <w:lang w:eastAsia="en-GB"/>
                <w14:ligatures w14:val="standardContextual"/>
              </w:rPr>
              <w:tab/>
            </w:r>
            <w:r w:rsidR="00502DB6" w:rsidRPr="004A7088">
              <w:rPr>
                <w:rStyle w:val="Hyperlink"/>
                <w:noProof/>
              </w:rPr>
              <w:t>REAL EFFECTIVE EXCHANGE RATE AND ECONOMIC GROWTH</w:t>
            </w:r>
            <w:r w:rsidR="00502DB6" w:rsidRPr="004A7088">
              <w:rPr>
                <w:rStyle w:val="Hyperlink"/>
                <w:rFonts w:cs="Arial"/>
                <w:noProof/>
                <w:lang w:val="en-US"/>
              </w:rPr>
              <w:t>.</w:t>
            </w:r>
            <w:r w:rsidR="00502DB6">
              <w:rPr>
                <w:noProof/>
                <w:webHidden/>
              </w:rPr>
              <w:tab/>
            </w:r>
            <w:r w:rsidR="00502DB6">
              <w:rPr>
                <w:noProof/>
                <w:webHidden/>
              </w:rPr>
              <w:fldChar w:fldCharType="begin"/>
            </w:r>
            <w:r w:rsidR="00502DB6">
              <w:rPr>
                <w:noProof/>
                <w:webHidden/>
              </w:rPr>
              <w:instrText xml:space="preserve"> PAGEREF _Toc171075350 \h </w:instrText>
            </w:r>
            <w:r w:rsidR="00502DB6">
              <w:rPr>
                <w:noProof/>
                <w:webHidden/>
              </w:rPr>
            </w:r>
            <w:r w:rsidR="00502DB6">
              <w:rPr>
                <w:noProof/>
                <w:webHidden/>
              </w:rPr>
              <w:fldChar w:fldCharType="separate"/>
            </w:r>
            <w:r w:rsidR="002256B4">
              <w:rPr>
                <w:noProof/>
                <w:webHidden/>
              </w:rPr>
              <w:t>10</w:t>
            </w:r>
            <w:r w:rsidR="00502DB6">
              <w:rPr>
                <w:noProof/>
                <w:webHidden/>
              </w:rPr>
              <w:fldChar w:fldCharType="end"/>
            </w:r>
          </w:hyperlink>
        </w:p>
        <w:p w14:paraId="7C190666" w14:textId="55DB2C86" w:rsidR="00502DB6" w:rsidRDefault="00000000">
          <w:pPr>
            <w:pStyle w:val="TOC2"/>
            <w:rPr>
              <w:rFonts w:eastAsiaTheme="minorEastAsia"/>
              <w:noProof/>
              <w:kern w:val="2"/>
              <w:sz w:val="24"/>
              <w:szCs w:val="24"/>
              <w:lang w:eastAsia="en-GB"/>
              <w14:ligatures w14:val="standardContextual"/>
            </w:rPr>
          </w:pPr>
          <w:hyperlink w:anchor="_Toc171075351" w:history="1">
            <w:r w:rsidR="00502DB6" w:rsidRPr="004A7088">
              <w:rPr>
                <w:rStyle w:val="Hyperlink"/>
                <w:noProof/>
              </w:rPr>
              <w:t>1.3</w:t>
            </w:r>
            <w:r w:rsidR="00502DB6">
              <w:rPr>
                <w:rFonts w:eastAsiaTheme="minorEastAsia"/>
                <w:noProof/>
                <w:kern w:val="2"/>
                <w:sz w:val="24"/>
                <w:szCs w:val="24"/>
                <w:lang w:eastAsia="en-GB"/>
                <w14:ligatures w14:val="standardContextual"/>
              </w:rPr>
              <w:tab/>
            </w:r>
            <w:r w:rsidR="00502DB6" w:rsidRPr="004A7088">
              <w:rPr>
                <w:rStyle w:val="Hyperlink"/>
                <w:noProof/>
              </w:rPr>
              <w:t>BACKGROUND ON CFA FRANC</w:t>
            </w:r>
            <w:r w:rsidR="00502DB6">
              <w:rPr>
                <w:noProof/>
                <w:webHidden/>
              </w:rPr>
              <w:tab/>
            </w:r>
            <w:r w:rsidR="00502DB6">
              <w:rPr>
                <w:noProof/>
                <w:webHidden/>
              </w:rPr>
              <w:fldChar w:fldCharType="begin"/>
            </w:r>
            <w:r w:rsidR="00502DB6">
              <w:rPr>
                <w:noProof/>
                <w:webHidden/>
              </w:rPr>
              <w:instrText xml:space="preserve"> PAGEREF _Toc171075351 \h </w:instrText>
            </w:r>
            <w:r w:rsidR="00502DB6">
              <w:rPr>
                <w:noProof/>
                <w:webHidden/>
              </w:rPr>
            </w:r>
            <w:r w:rsidR="00502DB6">
              <w:rPr>
                <w:noProof/>
                <w:webHidden/>
              </w:rPr>
              <w:fldChar w:fldCharType="separate"/>
            </w:r>
            <w:r w:rsidR="002256B4">
              <w:rPr>
                <w:noProof/>
                <w:webHidden/>
              </w:rPr>
              <w:t>13</w:t>
            </w:r>
            <w:r w:rsidR="00502DB6">
              <w:rPr>
                <w:noProof/>
                <w:webHidden/>
              </w:rPr>
              <w:fldChar w:fldCharType="end"/>
            </w:r>
          </w:hyperlink>
        </w:p>
        <w:p w14:paraId="67176A24" w14:textId="687AE547" w:rsidR="00502DB6" w:rsidRDefault="00000000">
          <w:pPr>
            <w:pStyle w:val="TOC3"/>
            <w:tabs>
              <w:tab w:val="left" w:pos="1320"/>
              <w:tab w:val="right" w:leader="dot" w:pos="9016"/>
            </w:tabs>
            <w:rPr>
              <w:rFonts w:eastAsiaTheme="minorEastAsia"/>
              <w:noProof/>
              <w:kern w:val="2"/>
              <w:sz w:val="24"/>
              <w:szCs w:val="24"/>
              <w:lang w:eastAsia="en-GB"/>
              <w14:ligatures w14:val="standardContextual"/>
            </w:rPr>
          </w:pPr>
          <w:hyperlink w:anchor="_Toc171075352" w:history="1">
            <w:r w:rsidR="00502DB6" w:rsidRPr="004A7088">
              <w:rPr>
                <w:rStyle w:val="Hyperlink"/>
                <w:noProof/>
              </w:rPr>
              <w:t>1.3.1</w:t>
            </w:r>
            <w:r w:rsidR="00502DB6">
              <w:rPr>
                <w:rFonts w:eastAsiaTheme="minorEastAsia"/>
                <w:noProof/>
                <w:kern w:val="2"/>
                <w:sz w:val="24"/>
                <w:szCs w:val="24"/>
                <w:lang w:eastAsia="en-GB"/>
                <w14:ligatures w14:val="standardContextual"/>
              </w:rPr>
              <w:tab/>
            </w:r>
            <w:r w:rsidR="00502DB6" w:rsidRPr="004A7088">
              <w:rPr>
                <w:rStyle w:val="Hyperlink"/>
                <w:noProof/>
              </w:rPr>
              <w:t>THE REFORMS</w:t>
            </w:r>
            <w:r w:rsidR="00502DB6">
              <w:rPr>
                <w:noProof/>
                <w:webHidden/>
              </w:rPr>
              <w:tab/>
            </w:r>
            <w:r w:rsidR="00502DB6">
              <w:rPr>
                <w:noProof/>
                <w:webHidden/>
              </w:rPr>
              <w:fldChar w:fldCharType="begin"/>
            </w:r>
            <w:r w:rsidR="00502DB6">
              <w:rPr>
                <w:noProof/>
                <w:webHidden/>
              </w:rPr>
              <w:instrText xml:space="preserve"> PAGEREF _Toc171075352 \h </w:instrText>
            </w:r>
            <w:r w:rsidR="00502DB6">
              <w:rPr>
                <w:noProof/>
                <w:webHidden/>
              </w:rPr>
            </w:r>
            <w:r w:rsidR="00502DB6">
              <w:rPr>
                <w:noProof/>
                <w:webHidden/>
              </w:rPr>
              <w:fldChar w:fldCharType="separate"/>
            </w:r>
            <w:r w:rsidR="002256B4">
              <w:rPr>
                <w:noProof/>
                <w:webHidden/>
              </w:rPr>
              <w:t>15</w:t>
            </w:r>
            <w:r w:rsidR="00502DB6">
              <w:rPr>
                <w:noProof/>
                <w:webHidden/>
              </w:rPr>
              <w:fldChar w:fldCharType="end"/>
            </w:r>
          </w:hyperlink>
        </w:p>
        <w:p w14:paraId="084FE749" w14:textId="0E994537" w:rsidR="00502DB6" w:rsidRDefault="00000000">
          <w:pPr>
            <w:pStyle w:val="TOC3"/>
            <w:tabs>
              <w:tab w:val="left" w:pos="1320"/>
              <w:tab w:val="right" w:leader="dot" w:pos="9016"/>
            </w:tabs>
            <w:rPr>
              <w:rFonts w:eastAsiaTheme="minorEastAsia"/>
              <w:noProof/>
              <w:kern w:val="2"/>
              <w:sz w:val="24"/>
              <w:szCs w:val="24"/>
              <w:lang w:eastAsia="en-GB"/>
              <w14:ligatures w14:val="standardContextual"/>
            </w:rPr>
          </w:pPr>
          <w:hyperlink w:anchor="_Toc171075353" w:history="1">
            <w:r w:rsidR="00502DB6" w:rsidRPr="004A7088">
              <w:rPr>
                <w:rStyle w:val="Hyperlink"/>
                <w:noProof/>
              </w:rPr>
              <w:t>1.3.2</w:t>
            </w:r>
            <w:r w:rsidR="00502DB6">
              <w:rPr>
                <w:rFonts w:eastAsiaTheme="minorEastAsia"/>
                <w:noProof/>
                <w:kern w:val="2"/>
                <w:sz w:val="24"/>
                <w:szCs w:val="24"/>
                <w:lang w:eastAsia="en-GB"/>
                <w14:ligatures w14:val="standardContextual"/>
              </w:rPr>
              <w:tab/>
            </w:r>
            <w:r w:rsidR="00502DB6" w:rsidRPr="004A7088">
              <w:rPr>
                <w:rStyle w:val="Hyperlink"/>
                <w:noProof/>
              </w:rPr>
              <w:t>MACROECONOMIC CHARACTERISTICS OF CEMAC NATIONS.</w:t>
            </w:r>
            <w:r w:rsidR="00502DB6">
              <w:rPr>
                <w:noProof/>
                <w:webHidden/>
              </w:rPr>
              <w:tab/>
            </w:r>
            <w:r w:rsidR="00502DB6">
              <w:rPr>
                <w:noProof/>
                <w:webHidden/>
              </w:rPr>
              <w:fldChar w:fldCharType="begin"/>
            </w:r>
            <w:r w:rsidR="00502DB6">
              <w:rPr>
                <w:noProof/>
                <w:webHidden/>
              </w:rPr>
              <w:instrText xml:space="preserve"> PAGEREF _Toc171075353 \h </w:instrText>
            </w:r>
            <w:r w:rsidR="00502DB6">
              <w:rPr>
                <w:noProof/>
                <w:webHidden/>
              </w:rPr>
            </w:r>
            <w:r w:rsidR="00502DB6">
              <w:rPr>
                <w:noProof/>
                <w:webHidden/>
              </w:rPr>
              <w:fldChar w:fldCharType="separate"/>
            </w:r>
            <w:r w:rsidR="002256B4">
              <w:rPr>
                <w:noProof/>
                <w:webHidden/>
              </w:rPr>
              <w:t>18</w:t>
            </w:r>
            <w:r w:rsidR="00502DB6">
              <w:rPr>
                <w:noProof/>
                <w:webHidden/>
              </w:rPr>
              <w:fldChar w:fldCharType="end"/>
            </w:r>
          </w:hyperlink>
        </w:p>
        <w:p w14:paraId="7C6886D3" w14:textId="283DC35D" w:rsidR="00502DB6" w:rsidRDefault="00000000">
          <w:pPr>
            <w:pStyle w:val="TOC2"/>
            <w:rPr>
              <w:rFonts w:eastAsiaTheme="minorEastAsia"/>
              <w:noProof/>
              <w:kern w:val="2"/>
              <w:sz w:val="24"/>
              <w:szCs w:val="24"/>
              <w:lang w:eastAsia="en-GB"/>
              <w14:ligatures w14:val="standardContextual"/>
            </w:rPr>
          </w:pPr>
          <w:hyperlink w:anchor="_Toc171075354" w:history="1">
            <w:r w:rsidR="00502DB6" w:rsidRPr="004A7088">
              <w:rPr>
                <w:rStyle w:val="Hyperlink"/>
                <w:noProof/>
              </w:rPr>
              <w:t>1.4</w:t>
            </w:r>
            <w:r w:rsidR="00502DB6">
              <w:rPr>
                <w:rFonts w:eastAsiaTheme="minorEastAsia"/>
                <w:noProof/>
                <w:kern w:val="2"/>
                <w:sz w:val="24"/>
                <w:szCs w:val="24"/>
                <w:lang w:eastAsia="en-GB"/>
                <w14:ligatures w14:val="standardContextual"/>
              </w:rPr>
              <w:tab/>
            </w:r>
            <w:r w:rsidR="00502DB6" w:rsidRPr="004A7088">
              <w:rPr>
                <w:rStyle w:val="Hyperlink"/>
                <w:noProof/>
              </w:rPr>
              <w:t>EXCHANGE RATE AND ITS CHANNEL OF ECONOMIC GROWTH IN CEMAC ZONE</w:t>
            </w:r>
            <w:r w:rsidR="00502DB6">
              <w:rPr>
                <w:noProof/>
                <w:webHidden/>
              </w:rPr>
              <w:tab/>
            </w:r>
            <w:r w:rsidR="00502DB6">
              <w:rPr>
                <w:noProof/>
                <w:webHidden/>
              </w:rPr>
              <w:fldChar w:fldCharType="begin"/>
            </w:r>
            <w:r w:rsidR="00502DB6">
              <w:rPr>
                <w:noProof/>
                <w:webHidden/>
              </w:rPr>
              <w:instrText xml:space="preserve"> PAGEREF _Toc171075354 \h </w:instrText>
            </w:r>
            <w:r w:rsidR="00502DB6">
              <w:rPr>
                <w:noProof/>
                <w:webHidden/>
              </w:rPr>
            </w:r>
            <w:r w:rsidR="00502DB6">
              <w:rPr>
                <w:noProof/>
                <w:webHidden/>
              </w:rPr>
              <w:fldChar w:fldCharType="separate"/>
            </w:r>
            <w:r w:rsidR="002256B4">
              <w:rPr>
                <w:noProof/>
                <w:webHidden/>
              </w:rPr>
              <w:t>19</w:t>
            </w:r>
            <w:r w:rsidR="00502DB6">
              <w:rPr>
                <w:noProof/>
                <w:webHidden/>
              </w:rPr>
              <w:fldChar w:fldCharType="end"/>
            </w:r>
          </w:hyperlink>
        </w:p>
        <w:p w14:paraId="51094C68" w14:textId="1C4D6A3F" w:rsidR="00502DB6" w:rsidRDefault="00000000">
          <w:pPr>
            <w:pStyle w:val="TOC2"/>
            <w:rPr>
              <w:rFonts w:eastAsiaTheme="minorEastAsia"/>
              <w:noProof/>
              <w:kern w:val="2"/>
              <w:sz w:val="24"/>
              <w:szCs w:val="24"/>
              <w:lang w:eastAsia="en-GB"/>
              <w14:ligatures w14:val="standardContextual"/>
            </w:rPr>
          </w:pPr>
          <w:hyperlink w:anchor="_Toc171075355" w:history="1">
            <w:r w:rsidR="00502DB6" w:rsidRPr="004A7088">
              <w:rPr>
                <w:rStyle w:val="Hyperlink"/>
                <w:noProof/>
              </w:rPr>
              <w:t>1.5</w:t>
            </w:r>
            <w:r w:rsidR="00502DB6">
              <w:rPr>
                <w:rFonts w:eastAsiaTheme="minorEastAsia"/>
                <w:noProof/>
                <w:kern w:val="2"/>
                <w:sz w:val="24"/>
                <w:szCs w:val="24"/>
                <w:lang w:eastAsia="en-GB"/>
                <w14:ligatures w14:val="standardContextual"/>
              </w:rPr>
              <w:tab/>
            </w:r>
            <w:r w:rsidR="00502DB6" w:rsidRPr="004A7088">
              <w:rPr>
                <w:rStyle w:val="Hyperlink"/>
                <w:noProof/>
              </w:rPr>
              <w:t>OBJECTIVES AND RESEARCH QUESTIONS</w:t>
            </w:r>
            <w:r w:rsidR="00502DB6">
              <w:rPr>
                <w:noProof/>
                <w:webHidden/>
              </w:rPr>
              <w:tab/>
            </w:r>
            <w:r w:rsidR="00502DB6">
              <w:rPr>
                <w:noProof/>
                <w:webHidden/>
              </w:rPr>
              <w:fldChar w:fldCharType="begin"/>
            </w:r>
            <w:r w:rsidR="00502DB6">
              <w:rPr>
                <w:noProof/>
                <w:webHidden/>
              </w:rPr>
              <w:instrText xml:space="preserve"> PAGEREF _Toc171075355 \h </w:instrText>
            </w:r>
            <w:r w:rsidR="00502DB6">
              <w:rPr>
                <w:noProof/>
                <w:webHidden/>
              </w:rPr>
            </w:r>
            <w:r w:rsidR="00502DB6">
              <w:rPr>
                <w:noProof/>
                <w:webHidden/>
              </w:rPr>
              <w:fldChar w:fldCharType="separate"/>
            </w:r>
            <w:r w:rsidR="002256B4">
              <w:rPr>
                <w:noProof/>
                <w:webHidden/>
              </w:rPr>
              <w:t>23</w:t>
            </w:r>
            <w:r w:rsidR="00502DB6">
              <w:rPr>
                <w:noProof/>
                <w:webHidden/>
              </w:rPr>
              <w:fldChar w:fldCharType="end"/>
            </w:r>
          </w:hyperlink>
        </w:p>
        <w:p w14:paraId="6CC50014" w14:textId="358D2129" w:rsidR="00502DB6" w:rsidRDefault="00000000">
          <w:pPr>
            <w:pStyle w:val="TOC2"/>
            <w:rPr>
              <w:rFonts w:eastAsiaTheme="minorEastAsia"/>
              <w:noProof/>
              <w:kern w:val="2"/>
              <w:sz w:val="24"/>
              <w:szCs w:val="24"/>
              <w:lang w:eastAsia="en-GB"/>
              <w14:ligatures w14:val="standardContextual"/>
            </w:rPr>
          </w:pPr>
          <w:hyperlink w:anchor="_Toc171075356" w:history="1">
            <w:r w:rsidR="00502DB6" w:rsidRPr="004A7088">
              <w:rPr>
                <w:rStyle w:val="Hyperlink"/>
                <w:noProof/>
              </w:rPr>
              <w:t>1.6</w:t>
            </w:r>
            <w:r w:rsidR="00502DB6">
              <w:rPr>
                <w:rFonts w:eastAsiaTheme="minorEastAsia"/>
                <w:noProof/>
                <w:kern w:val="2"/>
                <w:sz w:val="24"/>
                <w:szCs w:val="24"/>
                <w:lang w:eastAsia="en-GB"/>
                <w14:ligatures w14:val="standardContextual"/>
              </w:rPr>
              <w:tab/>
            </w:r>
            <w:r w:rsidR="00502DB6" w:rsidRPr="004A7088">
              <w:rPr>
                <w:rStyle w:val="Hyperlink"/>
                <w:noProof/>
              </w:rPr>
              <w:t>STRUCTURE OF THE THESIS</w:t>
            </w:r>
            <w:r w:rsidR="00502DB6">
              <w:rPr>
                <w:noProof/>
                <w:webHidden/>
              </w:rPr>
              <w:tab/>
            </w:r>
            <w:r w:rsidR="00502DB6">
              <w:rPr>
                <w:noProof/>
                <w:webHidden/>
              </w:rPr>
              <w:fldChar w:fldCharType="begin"/>
            </w:r>
            <w:r w:rsidR="00502DB6">
              <w:rPr>
                <w:noProof/>
                <w:webHidden/>
              </w:rPr>
              <w:instrText xml:space="preserve"> PAGEREF _Toc171075356 \h </w:instrText>
            </w:r>
            <w:r w:rsidR="00502DB6">
              <w:rPr>
                <w:noProof/>
                <w:webHidden/>
              </w:rPr>
            </w:r>
            <w:r w:rsidR="00502DB6">
              <w:rPr>
                <w:noProof/>
                <w:webHidden/>
              </w:rPr>
              <w:fldChar w:fldCharType="separate"/>
            </w:r>
            <w:r w:rsidR="002256B4">
              <w:rPr>
                <w:noProof/>
                <w:webHidden/>
              </w:rPr>
              <w:t>25</w:t>
            </w:r>
            <w:r w:rsidR="00502DB6">
              <w:rPr>
                <w:noProof/>
                <w:webHidden/>
              </w:rPr>
              <w:fldChar w:fldCharType="end"/>
            </w:r>
          </w:hyperlink>
        </w:p>
        <w:p w14:paraId="5CA0F859" w14:textId="1C3D4C02" w:rsidR="00502DB6" w:rsidRDefault="00000000">
          <w:pPr>
            <w:pStyle w:val="TOC1"/>
            <w:tabs>
              <w:tab w:val="right" w:leader="dot" w:pos="9016"/>
            </w:tabs>
            <w:rPr>
              <w:rFonts w:eastAsiaTheme="minorEastAsia"/>
              <w:noProof/>
              <w:kern w:val="2"/>
              <w:sz w:val="24"/>
              <w:szCs w:val="24"/>
              <w:lang w:eastAsia="en-GB"/>
              <w14:ligatures w14:val="standardContextual"/>
            </w:rPr>
          </w:pPr>
          <w:hyperlink w:anchor="_Toc171075357" w:history="1">
            <w:r w:rsidR="00502DB6" w:rsidRPr="004A7088">
              <w:rPr>
                <w:rStyle w:val="Hyperlink"/>
                <w:noProof/>
              </w:rPr>
              <w:t xml:space="preserve">CHAPTER 2 </w:t>
            </w:r>
            <w:r w:rsidR="00502DB6" w:rsidRPr="004A7088">
              <w:rPr>
                <w:rStyle w:val="Hyperlink"/>
                <w:noProof/>
                <w:lang w:val="en-US"/>
              </w:rPr>
              <w:t>LITERATURE SURVEY</w:t>
            </w:r>
            <w:r w:rsidR="00502DB6">
              <w:rPr>
                <w:noProof/>
                <w:webHidden/>
              </w:rPr>
              <w:tab/>
            </w:r>
            <w:r w:rsidR="00502DB6">
              <w:rPr>
                <w:noProof/>
                <w:webHidden/>
              </w:rPr>
              <w:fldChar w:fldCharType="begin"/>
            </w:r>
            <w:r w:rsidR="00502DB6">
              <w:rPr>
                <w:noProof/>
                <w:webHidden/>
              </w:rPr>
              <w:instrText xml:space="preserve"> PAGEREF _Toc171075357 \h </w:instrText>
            </w:r>
            <w:r w:rsidR="00502DB6">
              <w:rPr>
                <w:noProof/>
                <w:webHidden/>
              </w:rPr>
            </w:r>
            <w:r w:rsidR="00502DB6">
              <w:rPr>
                <w:noProof/>
                <w:webHidden/>
              </w:rPr>
              <w:fldChar w:fldCharType="separate"/>
            </w:r>
            <w:r w:rsidR="002256B4">
              <w:rPr>
                <w:noProof/>
                <w:webHidden/>
              </w:rPr>
              <w:t>27</w:t>
            </w:r>
            <w:r w:rsidR="00502DB6">
              <w:rPr>
                <w:noProof/>
                <w:webHidden/>
              </w:rPr>
              <w:fldChar w:fldCharType="end"/>
            </w:r>
          </w:hyperlink>
        </w:p>
        <w:p w14:paraId="26645C8E" w14:textId="0276EC9D" w:rsidR="00502DB6" w:rsidRDefault="00000000">
          <w:pPr>
            <w:pStyle w:val="TOC2"/>
            <w:rPr>
              <w:rFonts w:eastAsiaTheme="minorEastAsia"/>
              <w:noProof/>
              <w:kern w:val="2"/>
              <w:sz w:val="24"/>
              <w:szCs w:val="24"/>
              <w:lang w:eastAsia="en-GB"/>
              <w14:ligatures w14:val="standardContextual"/>
            </w:rPr>
          </w:pPr>
          <w:hyperlink w:anchor="_Toc171075358" w:history="1">
            <w:r w:rsidR="00502DB6" w:rsidRPr="004A7088">
              <w:rPr>
                <w:rStyle w:val="Hyperlink"/>
                <w:noProof/>
              </w:rPr>
              <w:t>2.1</w:t>
            </w:r>
            <w:r w:rsidR="00502DB6">
              <w:rPr>
                <w:rFonts w:eastAsiaTheme="minorEastAsia"/>
                <w:noProof/>
                <w:kern w:val="2"/>
                <w:sz w:val="24"/>
                <w:szCs w:val="24"/>
                <w:lang w:eastAsia="en-GB"/>
                <w14:ligatures w14:val="standardContextual"/>
              </w:rPr>
              <w:tab/>
            </w:r>
            <w:r w:rsidR="00502DB6" w:rsidRPr="004A7088">
              <w:rPr>
                <w:rStyle w:val="Hyperlink"/>
                <w:noProof/>
              </w:rPr>
              <w:t>INTRODUCTION</w:t>
            </w:r>
            <w:r w:rsidR="00502DB6">
              <w:rPr>
                <w:noProof/>
                <w:webHidden/>
              </w:rPr>
              <w:tab/>
            </w:r>
            <w:r w:rsidR="00502DB6">
              <w:rPr>
                <w:noProof/>
                <w:webHidden/>
              </w:rPr>
              <w:fldChar w:fldCharType="begin"/>
            </w:r>
            <w:r w:rsidR="00502DB6">
              <w:rPr>
                <w:noProof/>
                <w:webHidden/>
              </w:rPr>
              <w:instrText xml:space="preserve"> PAGEREF _Toc171075358 \h </w:instrText>
            </w:r>
            <w:r w:rsidR="00502DB6">
              <w:rPr>
                <w:noProof/>
                <w:webHidden/>
              </w:rPr>
            </w:r>
            <w:r w:rsidR="00502DB6">
              <w:rPr>
                <w:noProof/>
                <w:webHidden/>
              </w:rPr>
              <w:fldChar w:fldCharType="separate"/>
            </w:r>
            <w:r w:rsidR="002256B4">
              <w:rPr>
                <w:noProof/>
                <w:webHidden/>
              </w:rPr>
              <w:t>27</w:t>
            </w:r>
            <w:r w:rsidR="00502DB6">
              <w:rPr>
                <w:noProof/>
                <w:webHidden/>
              </w:rPr>
              <w:fldChar w:fldCharType="end"/>
            </w:r>
          </w:hyperlink>
        </w:p>
        <w:p w14:paraId="733F6E7A" w14:textId="29F934D0" w:rsidR="00502DB6" w:rsidRDefault="00000000">
          <w:pPr>
            <w:pStyle w:val="TOC2"/>
            <w:rPr>
              <w:rFonts w:eastAsiaTheme="minorEastAsia"/>
              <w:noProof/>
              <w:kern w:val="2"/>
              <w:sz w:val="24"/>
              <w:szCs w:val="24"/>
              <w:lang w:eastAsia="en-GB"/>
              <w14:ligatures w14:val="standardContextual"/>
            </w:rPr>
          </w:pPr>
          <w:hyperlink w:anchor="_Toc171075359" w:history="1">
            <w:r w:rsidR="00502DB6" w:rsidRPr="004A7088">
              <w:rPr>
                <w:rStyle w:val="Hyperlink"/>
                <w:noProof/>
              </w:rPr>
              <w:t>2.2</w:t>
            </w:r>
            <w:r w:rsidR="00502DB6">
              <w:rPr>
                <w:rFonts w:eastAsiaTheme="minorEastAsia"/>
                <w:noProof/>
                <w:kern w:val="2"/>
                <w:sz w:val="24"/>
                <w:szCs w:val="24"/>
                <w:lang w:eastAsia="en-GB"/>
                <w14:ligatures w14:val="standardContextual"/>
              </w:rPr>
              <w:tab/>
            </w:r>
            <w:r w:rsidR="00502DB6" w:rsidRPr="004A7088">
              <w:rPr>
                <w:rStyle w:val="Hyperlink"/>
                <w:noProof/>
              </w:rPr>
              <w:t>THE CFA FRANC EXCHANGE RATE</w:t>
            </w:r>
            <w:r w:rsidR="00502DB6">
              <w:rPr>
                <w:noProof/>
                <w:webHidden/>
              </w:rPr>
              <w:tab/>
            </w:r>
            <w:r w:rsidR="00502DB6">
              <w:rPr>
                <w:noProof/>
                <w:webHidden/>
              </w:rPr>
              <w:fldChar w:fldCharType="begin"/>
            </w:r>
            <w:r w:rsidR="00502DB6">
              <w:rPr>
                <w:noProof/>
                <w:webHidden/>
              </w:rPr>
              <w:instrText xml:space="preserve"> PAGEREF _Toc171075359 \h </w:instrText>
            </w:r>
            <w:r w:rsidR="00502DB6">
              <w:rPr>
                <w:noProof/>
                <w:webHidden/>
              </w:rPr>
            </w:r>
            <w:r w:rsidR="00502DB6">
              <w:rPr>
                <w:noProof/>
                <w:webHidden/>
              </w:rPr>
              <w:fldChar w:fldCharType="separate"/>
            </w:r>
            <w:r w:rsidR="002256B4">
              <w:rPr>
                <w:noProof/>
                <w:webHidden/>
              </w:rPr>
              <w:t>30</w:t>
            </w:r>
            <w:r w:rsidR="00502DB6">
              <w:rPr>
                <w:noProof/>
                <w:webHidden/>
              </w:rPr>
              <w:fldChar w:fldCharType="end"/>
            </w:r>
          </w:hyperlink>
        </w:p>
        <w:p w14:paraId="637E35AE" w14:textId="3EA3C911" w:rsidR="00502DB6" w:rsidRDefault="00000000">
          <w:pPr>
            <w:pStyle w:val="TOC3"/>
            <w:tabs>
              <w:tab w:val="left" w:pos="1320"/>
              <w:tab w:val="right" w:leader="dot" w:pos="9016"/>
            </w:tabs>
            <w:rPr>
              <w:rFonts w:eastAsiaTheme="minorEastAsia"/>
              <w:noProof/>
              <w:kern w:val="2"/>
              <w:sz w:val="24"/>
              <w:szCs w:val="24"/>
              <w:lang w:eastAsia="en-GB"/>
              <w14:ligatures w14:val="standardContextual"/>
            </w:rPr>
          </w:pPr>
          <w:hyperlink w:anchor="_Toc171075360" w:history="1">
            <w:r w:rsidR="00502DB6" w:rsidRPr="004A7088">
              <w:rPr>
                <w:rStyle w:val="Hyperlink"/>
                <w:noProof/>
              </w:rPr>
              <w:t>2.2.1</w:t>
            </w:r>
            <w:r w:rsidR="00502DB6">
              <w:rPr>
                <w:rFonts w:eastAsiaTheme="minorEastAsia"/>
                <w:noProof/>
                <w:kern w:val="2"/>
                <w:sz w:val="24"/>
                <w:szCs w:val="24"/>
                <w:lang w:eastAsia="en-GB"/>
                <w14:ligatures w14:val="standardContextual"/>
              </w:rPr>
              <w:tab/>
            </w:r>
            <w:r w:rsidR="00502DB6" w:rsidRPr="004A7088">
              <w:rPr>
                <w:rStyle w:val="Hyperlink"/>
                <w:noProof/>
              </w:rPr>
              <w:t>A BRIEF HISTORY OF THE CFA FRANC EXCHANGE RATE</w:t>
            </w:r>
            <w:r w:rsidR="00502DB6">
              <w:rPr>
                <w:noProof/>
                <w:webHidden/>
              </w:rPr>
              <w:tab/>
            </w:r>
            <w:r w:rsidR="00502DB6">
              <w:rPr>
                <w:noProof/>
                <w:webHidden/>
              </w:rPr>
              <w:fldChar w:fldCharType="begin"/>
            </w:r>
            <w:r w:rsidR="00502DB6">
              <w:rPr>
                <w:noProof/>
                <w:webHidden/>
              </w:rPr>
              <w:instrText xml:space="preserve"> PAGEREF _Toc171075360 \h </w:instrText>
            </w:r>
            <w:r w:rsidR="00502DB6">
              <w:rPr>
                <w:noProof/>
                <w:webHidden/>
              </w:rPr>
            </w:r>
            <w:r w:rsidR="00502DB6">
              <w:rPr>
                <w:noProof/>
                <w:webHidden/>
              </w:rPr>
              <w:fldChar w:fldCharType="separate"/>
            </w:r>
            <w:r w:rsidR="002256B4">
              <w:rPr>
                <w:noProof/>
                <w:webHidden/>
              </w:rPr>
              <w:t>32</w:t>
            </w:r>
            <w:r w:rsidR="00502DB6">
              <w:rPr>
                <w:noProof/>
                <w:webHidden/>
              </w:rPr>
              <w:fldChar w:fldCharType="end"/>
            </w:r>
          </w:hyperlink>
        </w:p>
        <w:p w14:paraId="7BDE3BAF" w14:textId="46AB0DF3" w:rsidR="00502DB6" w:rsidRDefault="00000000">
          <w:pPr>
            <w:pStyle w:val="TOC2"/>
            <w:rPr>
              <w:rFonts w:eastAsiaTheme="minorEastAsia"/>
              <w:noProof/>
              <w:kern w:val="2"/>
              <w:sz w:val="24"/>
              <w:szCs w:val="24"/>
              <w:lang w:eastAsia="en-GB"/>
              <w14:ligatures w14:val="standardContextual"/>
            </w:rPr>
          </w:pPr>
          <w:hyperlink w:anchor="_Toc171075361" w:history="1">
            <w:r w:rsidR="00502DB6" w:rsidRPr="004A7088">
              <w:rPr>
                <w:rStyle w:val="Hyperlink"/>
                <w:noProof/>
              </w:rPr>
              <w:t>2.3</w:t>
            </w:r>
            <w:r w:rsidR="00502DB6">
              <w:rPr>
                <w:rFonts w:eastAsiaTheme="minorEastAsia"/>
                <w:noProof/>
                <w:kern w:val="2"/>
                <w:sz w:val="24"/>
                <w:szCs w:val="24"/>
                <w:lang w:eastAsia="en-GB"/>
                <w14:ligatures w14:val="standardContextual"/>
              </w:rPr>
              <w:tab/>
            </w:r>
            <w:r w:rsidR="00502DB6" w:rsidRPr="004A7088">
              <w:rPr>
                <w:rStyle w:val="Hyperlink"/>
                <w:noProof/>
              </w:rPr>
              <w:t>EQUILIBRIUM REAL EFFECTIVE EXCHANGE RATE (EREER).</w:t>
            </w:r>
            <w:r w:rsidR="00502DB6">
              <w:rPr>
                <w:noProof/>
                <w:webHidden/>
              </w:rPr>
              <w:tab/>
            </w:r>
            <w:r w:rsidR="00502DB6">
              <w:rPr>
                <w:noProof/>
                <w:webHidden/>
              </w:rPr>
              <w:fldChar w:fldCharType="begin"/>
            </w:r>
            <w:r w:rsidR="00502DB6">
              <w:rPr>
                <w:noProof/>
                <w:webHidden/>
              </w:rPr>
              <w:instrText xml:space="preserve"> PAGEREF _Toc171075361 \h </w:instrText>
            </w:r>
            <w:r w:rsidR="00502DB6">
              <w:rPr>
                <w:noProof/>
                <w:webHidden/>
              </w:rPr>
            </w:r>
            <w:r w:rsidR="00502DB6">
              <w:rPr>
                <w:noProof/>
                <w:webHidden/>
              </w:rPr>
              <w:fldChar w:fldCharType="separate"/>
            </w:r>
            <w:r w:rsidR="002256B4">
              <w:rPr>
                <w:noProof/>
                <w:webHidden/>
              </w:rPr>
              <w:t>34</w:t>
            </w:r>
            <w:r w:rsidR="00502DB6">
              <w:rPr>
                <w:noProof/>
                <w:webHidden/>
              </w:rPr>
              <w:fldChar w:fldCharType="end"/>
            </w:r>
          </w:hyperlink>
        </w:p>
        <w:p w14:paraId="17A4A2DC" w14:textId="427CAA83" w:rsidR="00502DB6" w:rsidRDefault="00000000">
          <w:pPr>
            <w:pStyle w:val="TOC3"/>
            <w:tabs>
              <w:tab w:val="left" w:pos="1320"/>
              <w:tab w:val="right" w:leader="dot" w:pos="9016"/>
            </w:tabs>
            <w:rPr>
              <w:rFonts w:eastAsiaTheme="minorEastAsia"/>
              <w:noProof/>
              <w:kern w:val="2"/>
              <w:sz w:val="24"/>
              <w:szCs w:val="24"/>
              <w:lang w:eastAsia="en-GB"/>
              <w14:ligatures w14:val="standardContextual"/>
            </w:rPr>
          </w:pPr>
          <w:hyperlink w:anchor="_Toc171075362" w:history="1">
            <w:r w:rsidR="00502DB6" w:rsidRPr="004A7088">
              <w:rPr>
                <w:rStyle w:val="Hyperlink"/>
                <w:noProof/>
              </w:rPr>
              <w:t>2.3.1</w:t>
            </w:r>
            <w:r w:rsidR="00502DB6">
              <w:rPr>
                <w:rFonts w:eastAsiaTheme="minorEastAsia"/>
                <w:noProof/>
                <w:kern w:val="2"/>
                <w:sz w:val="24"/>
                <w:szCs w:val="24"/>
                <w:lang w:eastAsia="en-GB"/>
                <w14:ligatures w14:val="standardContextual"/>
              </w:rPr>
              <w:tab/>
            </w:r>
            <w:r w:rsidR="00502DB6" w:rsidRPr="004A7088">
              <w:rPr>
                <w:rStyle w:val="Hyperlink"/>
                <w:rFonts w:cs="Arial"/>
                <w:noProof/>
                <w:lang w:val="en-US"/>
              </w:rPr>
              <w:t>THE PURCHASING POWER PARITY (PPP) APPROACH.</w:t>
            </w:r>
            <w:r w:rsidR="00502DB6">
              <w:rPr>
                <w:noProof/>
                <w:webHidden/>
              </w:rPr>
              <w:tab/>
            </w:r>
            <w:r w:rsidR="00502DB6">
              <w:rPr>
                <w:noProof/>
                <w:webHidden/>
              </w:rPr>
              <w:fldChar w:fldCharType="begin"/>
            </w:r>
            <w:r w:rsidR="00502DB6">
              <w:rPr>
                <w:noProof/>
                <w:webHidden/>
              </w:rPr>
              <w:instrText xml:space="preserve"> PAGEREF _Toc171075362 \h </w:instrText>
            </w:r>
            <w:r w:rsidR="00502DB6">
              <w:rPr>
                <w:noProof/>
                <w:webHidden/>
              </w:rPr>
            </w:r>
            <w:r w:rsidR="00502DB6">
              <w:rPr>
                <w:noProof/>
                <w:webHidden/>
              </w:rPr>
              <w:fldChar w:fldCharType="separate"/>
            </w:r>
            <w:r w:rsidR="002256B4">
              <w:rPr>
                <w:noProof/>
                <w:webHidden/>
              </w:rPr>
              <w:t>36</w:t>
            </w:r>
            <w:r w:rsidR="00502DB6">
              <w:rPr>
                <w:noProof/>
                <w:webHidden/>
              </w:rPr>
              <w:fldChar w:fldCharType="end"/>
            </w:r>
          </w:hyperlink>
        </w:p>
        <w:p w14:paraId="2208962F" w14:textId="5BE8929F" w:rsidR="00502DB6" w:rsidRDefault="00000000">
          <w:pPr>
            <w:pStyle w:val="TOC3"/>
            <w:tabs>
              <w:tab w:val="left" w:pos="1320"/>
              <w:tab w:val="right" w:leader="dot" w:pos="9016"/>
            </w:tabs>
            <w:rPr>
              <w:rFonts w:eastAsiaTheme="minorEastAsia"/>
              <w:noProof/>
              <w:kern w:val="2"/>
              <w:sz w:val="24"/>
              <w:szCs w:val="24"/>
              <w:lang w:eastAsia="en-GB"/>
              <w14:ligatures w14:val="standardContextual"/>
            </w:rPr>
          </w:pPr>
          <w:hyperlink w:anchor="_Toc171075363" w:history="1">
            <w:r w:rsidR="00502DB6" w:rsidRPr="004A7088">
              <w:rPr>
                <w:rStyle w:val="Hyperlink"/>
                <w:noProof/>
              </w:rPr>
              <w:t>2.3.2</w:t>
            </w:r>
            <w:r w:rsidR="00502DB6">
              <w:rPr>
                <w:rFonts w:eastAsiaTheme="minorEastAsia"/>
                <w:noProof/>
                <w:kern w:val="2"/>
                <w:sz w:val="24"/>
                <w:szCs w:val="24"/>
                <w:lang w:eastAsia="en-GB"/>
                <w14:ligatures w14:val="standardContextual"/>
              </w:rPr>
              <w:tab/>
            </w:r>
            <w:r w:rsidR="00502DB6" w:rsidRPr="004A7088">
              <w:rPr>
                <w:rStyle w:val="Hyperlink"/>
                <w:rFonts w:cs="Arial"/>
                <w:noProof/>
                <w:lang w:val="en-US"/>
              </w:rPr>
              <w:t>THE FUNDAMENTAL EQUILIBRIUM EXCHANGE RATE (FEER) APPROACH.</w:t>
            </w:r>
            <w:r w:rsidR="00502DB6">
              <w:rPr>
                <w:noProof/>
                <w:webHidden/>
              </w:rPr>
              <w:tab/>
            </w:r>
            <w:r w:rsidR="00502DB6">
              <w:rPr>
                <w:noProof/>
                <w:webHidden/>
              </w:rPr>
              <w:fldChar w:fldCharType="begin"/>
            </w:r>
            <w:r w:rsidR="00502DB6">
              <w:rPr>
                <w:noProof/>
                <w:webHidden/>
              </w:rPr>
              <w:instrText xml:space="preserve"> PAGEREF _Toc171075363 \h </w:instrText>
            </w:r>
            <w:r w:rsidR="00502DB6">
              <w:rPr>
                <w:noProof/>
                <w:webHidden/>
              </w:rPr>
            </w:r>
            <w:r w:rsidR="00502DB6">
              <w:rPr>
                <w:noProof/>
                <w:webHidden/>
              </w:rPr>
              <w:fldChar w:fldCharType="separate"/>
            </w:r>
            <w:r w:rsidR="002256B4">
              <w:rPr>
                <w:noProof/>
                <w:webHidden/>
              </w:rPr>
              <w:t>37</w:t>
            </w:r>
            <w:r w:rsidR="00502DB6">
              <w:rPr>
                <w:noProof/>
                <w:webHidden/>
              </w:rPr>
              <w:fldChar w:fldCharType="end"/>
            </w:r>
          </w:hyperlink>
        </w:p>
        <w:p w14:paraId="3E764EC2" w14:textId="38521509" w:rsidR="00502DB6" w:rsidRDefault="00000000">
          <w:pPr>
            <w:pStyle w:val="TOC3"/>
            <w:tabs>
              <w:tab w:val="left" w:pos="1320"/>
              <w:tab w:val="right" w:leader="dot" w:pos="9016"/>
            </w:tabs>
            <w:rPr>
              <w:rFonts w:eastAsiaTheme="minorEastAsia"/>
              <w:noProof/>
              <w:kern w:val="2"/>
              <w:sz w:val="24"/>
              <w:szCs w:val="24"/>
              <w:lang w:eastAsia="en-GB"/>
              <w14:ligatures w14:val="standardContextual"/>
            </w:rPr>
          </w:pPr>
          <w:hyperlink w:anchor="_Toc171075364" w:history="1">
            <w:r w:rsidR="00502DB6" w:rsidRPr="004A7088">
              <w:rPr>
                <w:rStyle w:val="Hyperlink"/>
                <w:noProof/>
              </w:rPr>
              <w:t>2.3.3</w:t>
            </w:r>
            <w:r w:rsidR="00502DB6">
              <w:rPr>
                <w:rFonts w:eastAsiaTheme="minorEastAsia"/>
                <w:noProof/>
                <w:kern w:val="2"/>
                <w:sz w:val="24"/>
                <w:szCs w:val="24"/>
                <w:lang w:eastAsia="en-GB"/>
                <w14:ligatures w14:val="standardContextual"/>
              </w:rPr>
              <w:tab/>
            </w:r>
            <w:r w:rsidR="00502DB6" w:rsidRPr="004A7088">
              <w:rPr>
                <w:rStyle w:val="Hyperlink"/>
                <w:rFonts w:cs="Arial"/>
                <w:noProof/>
                <w:lang w:val="en-US"/>
              </w:rPr>
              <w:t xml:space="preserve">THE NATURAL REAL EXCHANGE RATE </w:t>
            </w:r>
            <w:r w:rsidR="00502DB6" w:rsidRPr="004A7088">
              <w:rPr>
                <w:rStyle w:val="Hyperlink"/>
                <w:rFonts w:cs="Arial"/>
                <w:noProof/>
              </w:rPr>
              <w:t xml:space="preserve">(NATREX) </w:t>
            </w:r>
            <w:r w:rsidR="00502DB6" w:rsidRPr="004A7088">
              <w:rPr>
                <w:rStyle w:val="Hyperlink"/>
                <w:rFonts w:cs="Arial"/>
                <w:noProof/>
                <w:lang w:val="en-US"/>
              </w:rPr>
              <w:t>APPROACH.</w:t>
            </w:r>
            <w:r w:rsidR="00502DB6">
              <w:rPr>
                <w:noProof/>
                <w:webHidden/>
              </w:rPr>
              <w:tab/>
            </w:r>
            <w:r w:rsidR="00502DB6">
              <w:rPr>
                <w:noProof/>
                <w:webHidden/>
              </w:rPr>
              <w:fldChar w:fldCharType="begin"/>
            </w:r>
            <w:r w:rsidR="00502DB6">
              <w:rPr>
                <w:noProof/>
                <w:webHidden/>
              </w:rPr>
              <w:instrText xml:space="preserve"> PAGEREF _Toc171075364 \h </w:instrText>
            </w:r>
            <w:r w:rsidR="00502DB6">
              <w:rPr>
                <w:noProof/>
                <w:webHidden/>
              </w:rPr>
            </w:r>
            <w:r w:rsidR="00502DB6">
              <w:rPr>
                <w:noProof/>
                <w:webHidden/>
              </w:rPr>
              <w:fldChar w:fldCharType="separate"/>
            </w:r>
            <w:r w:rsidR="002256B4">
              <w:rPr>
                <w:noProof/>
                <w:webHidden/>
              </w:rPr>
              <w:t>38</w:t>
            </w:r>
            <w:r w:rsidR="00502DB6">
              <w:rPr>
                <w:noProof/>
                <w:webHidden/>
              </w:rPr>
              <w:fldChar w:fldCharType="end"/>
            </w:r>
          </w:hyperlink>
        </w:p>
        <w:p w14:paraId="5BB83F78" w14:textId="0685B5F2" w:rsidR="00502DB6" w:rsidRDefault="00000000">
          <w:pPr>
            <w:pStyle w:val="TOC3"/>
            <w:tabs>
              <w:tab w:val="left" w:pos="1320"/>
              <w:tab w:val="right" w:leader="dot" w:pos="9016"/>
            </w:tabs>
            <w:rPr>
              <w:rFonts w:eastAsiaTheme="minorEastAsia"/>
              <w:noProof/>
              <w:kern w:val="2"/>
              <w:sz w:val="24"/>
              <w:szCs w:val="24"/>
              <w:lang w:eastAsia="en-GB"/>
              <w14:ligatures w14:val="standardContextual"/>
            </w:rPr>
          </w:pPr>
          <w:hyperlink w:anchor="_Toc171075365" w:history="1">
            <w:r w:rsidR="00502DB6" w:rsidRPr="004A7088">
              <w:rPr>
                <w:rStyle w:val="Hyperlink"/>
                <w:noProof/>
              </w:rPr>
              <w:t>2.3.4</w:t>
            </w:r>
            <w:r w:rsidR="00502DB6">
              <w:rPr>
                <w:rFonts w:eastAsiaTheme="minorEastAsia"/>
                <w:noProof/>
                <w:kern w:val="2"/>
                <w:sz w:val="24"/>
                <w:szCs w:val="24"/>
                <w:lang w:eastAsia="en-GB"/>
                <w14:ligatures w14:val="standardContextual"/>
              </w:rPr>
              <w:tab/>
            </w:r>
            <w:r w:rsidR="00502DB6" w:rsidRPr="004A7088">
              <w:rPr>
                <w:rStyle w:val="Hyperlink"/>
                <w:rFonts w:cs="Arial"/>
                <w:noProof/>
                <w:lang w:val="en-US"/>
              </w:rPr>
              <w:t>THE BEHAVIOURAL EQUILIBRIUM EXCHANGE RATE (BEER) APPROACH.</w:t>
            </w:r>
            <w:r w:rsidR="00502DB6">
              <w:rPr>
                <w:noProof/>
                <w:webHidden/>
              </w:rPr>
              <w:tab/>
            </w:r>
            <w:r w:rsidR="00502DB6">
              <w:rPr>
                <w:noProof/>
                <w:webHidden/>
              </w:rPr>
              <w:fldChar w:fldCharType="begin"/>
            </w:r>
            <w:r w:rsidR="00502DB6">
              <w:rPr>
                <w:noProof/>
                <w:webHidden/>
              </w:rPr>
              <w:instrText xml:space="preserve"> PAGEREF _Toc171075365 \h </w:instrText>
            </w:r>
            <w:r w:rsidR="00502DB6">
              <w:rPr>
                <w:noProof/>
                <w:webHidden/>
              </w:rPr>
            </w:r>
            <w:r w:rsidR="00502DB6">
              <w:rPr>
                <w:noProof/>
                <w:webHidden/>
              </w:rPr>
              <w:fldChar w:fldCharType="separate"/>
            </w:r>
            <w:r w:rsidR="002256B4">
              <w:rPr>
                <w:noProof/>
                <w:webHidden/>
              </w:rPr>
              <w:t>38</w:t>
            </w:r>
            <w:r w:rsidR="00502DB6">
              <w:rPr>
                <w:noProof/>
                <w:webHidden/>
              </w:rPr>
              <w:fldChar w:fldCharType="end"/>
            </w:r>
          </w:hyperlink>
        </w:p>
        <w:p w14:paraId="4667B403" w14:textId="1F6E1A0C" w:rsidR="00502DB6" w:rsidRDefault="00000000">
          <w:pPr>
            <w:pStyle w:val="TOC2"/>
            <w:rPr>
              <w:rFonts w:eastAsiaTheme="minorEastAsia"/>
              <w:noProof/>
              <w:kern w:val="2"/>
              <w:sz w:val="24"/>
              <w:szCs w:val="24"/>
              <w:lang w:eastAsia="en-GB"/>
              <w14:ligatures w14:val="standardContextual"/>
            </w:rPr>
          </w:pPr>
          <w:hyperlink w:anchor="_Toc171075366" w:history="1">
            <w:r w:rsidR="00502DB6" w:rsidRPr="004A7088">
              <w:rPr>
                <w:rStyle w:val="Hyperlink"/>
                <w:noProof/>
              </w:rPr>
              <w:t>2.4</w:t>
            </w:r>
            <w:r w:rsidR="00502DB6">
              <w:rPr>
                <w:rFonts w:eastAsiaTheme="minorEastAsia"/>
                <w:noProof/>
                <w:kern w:val="2"/>
                <w:sz w:val="24"/>
                <w:szCs w:val="24"/>
                <w:lang w:eastAsia="en-GB"/>
                <w14:ligatures w14:val="standardContextual"/>
              </w:rPr>
              <w:tab/>
            </w:r>
            <w:r w:rsidR="00502DB6" w:rsidRPr="004A7088">
              <w:rPr>
                <w:rStyle w:val="Hyperlink"/>
                <w:noProof/>
              </w:rPr>
              <w:t>THE IMPACT OF REAL EFFECTIVE EXCHANGE RATE ON TRADE BALANCE</w:t>
            </w:r>
            <w:r w:rsidR="00502DB6">
              <w:rPr>
                <w:noProof/>
                <w:webHidden/>
              </w:rPr>
              <w:tab/>
            </w:r>
            <w:r w:rsidR="00502DB6">
              <w:rPr>
                <w:noProof/>
                <w:webHidden/>
              </w:rPr>
              <w:fldChar w:fldCharType="begin"/>
            </w:r>
            <w:r w:rsidR="00502DB6">
              <w:rPr>
                <w:noProof/>
                <w:webHidden/>
              </w:rPr>
              <w:instrText xml:space="preserve"> PAGEREF _Toc171075366 \h </w:instrText>
            </w:r>
            <w:r w:rsidR="00502DB6">
              <w:rPr>
                <w:noProof/>
                <w:webHidden/>
              </w:rPr>
            </w:r>
            <w:r w:rsidR="00502DB6">
              <w:rPr>
                <w:noProof/>
                <w:webHidden/>
              </w:rPr>
              <w:fldChar w:fldCharType="separate"/>
            </w:r>
            <w:r w:rsidR="002256B4">
              <w:rPr>
                <w:noProof/>
                <w:webHidden/>
              </w:rPr>
              <w:t>41</w:t>
            </w:r>
            <w:r w:rsidR="00502DB6">
              <w:rPr>
                <w:noProof/>
                <w:webHidden/>
              </w:rPr>
              <w:fldChar w:fldCharType="end"/>
            </w:r>
          </w:hyperlink>
        </w:p>
        <w:p w14:paraId="1371B3A1" w14:textId="769B661F" w:rsidR="00502DB6" w:rsidRDefault="00000000">
          <w:pPr>
            <w:pStyle w:val="TOC3"/>
            <w:tabs>
              <w:tab w:val="left" w:pos="1320"/>
              <w:tab w:val="right" w:leader="dot" w:pos="9016"/>
            </w:tabs>
            <w:rPr>
              <w:rFonts w:eastAsiaTheme="minorEastAsia"/>
              <w:noProof/>
              <w:kern w:val="2"/>
              <w:sz w:val="24"/>
              <w:szCs w:val="24"/>
              <w:lang w:eastAsia="en-GB"/>
              <w14:ligatures w14:val="standardContextual"/>
            </w:rPr>
          </w:pPr>
          <w:hyperlink w:anchor="_Toc171075367" w:history="1">
            <w:r w:rsidR="00502DB6" w:rsidRPr="004A7088">
              <w:rPr>
                <w:rStyle w:val="Hyperlink"/>
                <w:noProof/>
              </w:rPr>
              <w:t>2.4.1</w:t>
            </w:r>
            <w:r w:rsidR="00502DB6">
              <w:rPr>
                <w:rFonts w:eastAsiaTheme="minorEastAsia"/>
                <w:noProof/>
                <w:kern w:val="2"/>
                <w:sz w:val="24"/>
                <w:szCs w:val="24"/>
                <w:lang w:eastAsia="en-GB"/>
                <w14:ligatures w14:val="standardContextual"/>
              </w:rPr>
              <w:tab/>
            </w:r>
            <w:r w:rsidR="00502DB6" w:rsidRPr="004A7088">
              <w:rPr>
                <w:rStyle w:val="Hyperlink"/>
                <w:rFonts w:cs="Arial"/>
                <w:noProof/>
                <w:lang w:val="en-US"/>
              </w:rPr>
              <w:t>STANDARD THEORY OF INTERNATIONAL TRADE</w:t>
            </w:r>
            <w:r w:rsidR="00502DB6">
              <w:rPr>
                <w:noProof/>
                <w:webHidden/>
              </w:rPr>
              <w:tab/>
            </w:r>
            <w:r w:rsidR="00502DB6">
              <w:rPr>
                <w:noProof/>
                <w:webHidden/>
              </w:rPr>
              <w:fldChar w:fldCharType="begin"/>
            </w:r>
            <w:r w:rsidR="00502DB6">
              <w:rPr>
                <w:noProof/>
                <w:webHidden/>
              </w:rPr>
              <w:instrText xml:space="preserve"> PAGEREF _Toc171075367 \h </w:instrText>
            </w:r>
            <w:r w:rsidR="00502DB6">
              <w:rPr>
                <w:noProof/>
                <w:webHidden/>
              </w:rPr>
            </w:r>
            <w:r w:rsidR="00502DB6">
              <w:rPr>
                <w:noProof/>
                <w:webHidden/>
              </w:rPr>
              <w:fldChar w:fldCharType="separate"/>
            </w:r>
            <w:r w:rsidR="002256B4">
              <w:rPr>
                <w:noProof/>
                <w:webHidden/>
              </w:rPr>
              <w:t>42</w:t>
            </w:r>
            <w:r w:rsidR="00502DB6">
              <w:rPr>
                <w:noProof/>
                <w:webHidden/>
              </w:rPr>
              <w:fldChar w:fldCharType="end"/>
            </w:r>
          </w:hyperlink>
        </w:p>
        <w:p w14:paraId="0C04E77B" w14:textId="028A9717" w:rsidR="00502DB6" w:rsidRDefault="00000000">
          <w:pPr>
            <w:pStyle w:val="TOC3"/>
            <w:tabs>
              <w:tab w:val="left" w:pos="1320"/>
              <w:tab w:val="right" w:leader="dot" w:pos="9016"/>
            </w:tabs>
            <w:rPr>
              <w:rFonts w:eastAsiaTheme="minorEastAsia"/>
              <w:noProof/>
              <w:kern w:val="2"/>
              <w:sz w:val="24"/>
              <w:szCs w:val="24"/>
              <w:lang w:eastAsia="en-GB"/>
              <w14:ligatures w14:val="standardContextual"/>
            </w:rPr>
          </w:pPr>
          <w:hyperlink w:anchor="_Toc171075368" w:history="1">
            <w:r w:rsidR="00502DB6" w:rsidRPr="004A7088">
              <w:rPr>
                <w:rStyle w:val="Hyperlink"/>
                <w:noProof/>
              </w:rPr>
              <w:t>2.4.2</w:t>
            </w:r>
            <w:r w:rsidR="00502DB6">
              <w:rPr>
                <w:rFonts w:eastAsiaTheme="minorEastAsia"/>
                <w:noProof/>
                <w:kern w:val="2"/>
                <w:sz w:val="24"/>
                <w:szCs w:val="24"/>
                <w:lang w:eastAsia="en-GB"/>
                <w14:ligatures w14:val="standardContextual"/>
              </w:rPr>
              <w:tab/>
            </w:r>
            <w:r w:rsidR="00502DB6" w:rsidRPr="004A7088">
              <w:rPr>
                <w:rStyle w:val="Hyperlink"/>
                <w:rFonts w:cs="Arial"/>
                <w:noProof/>
                <w:lang w:val="en-US"/>
              </w:rPr>
              <w:t>THE ELASTICITY APPROACH</w:t>
            </w:r>
            <w:r w:rsidR="00502DB6">
              <w:rPr>
                <w:noProof/>
                <w:webHidden/>
              </w:rPr>
              <w:tab/>
            </w:r>
            <w:r w:rsidR="00502DB6">
              <w:rPr>
                <w:noProof/>
                <w:webHidden/>
              </w:rPr>
              <w:fldChar w:fldCharType="begin"/>
            </w:r>
            <w:r w:rsidR="00502DB6">
              <w:rPr>
                <w:noProof/>
                <w:webHidden/>
              </w:rPr>
              <w:instrText xml:space="preserve"> PAGEREF _Toc171075368 \h </w:instrText>
            </w:r>
            <w:r w:rsidR="00502DB6">
              <w:rPr>
                <w:noProof/>
                <w:webHidden/>
              </w:rPr>
            </w:r>
            <w:r w:rsidR="00502DB6">
              <w:rPr>
                <w:noProof/>
                <w:webHidden/>
              </w:rPr>
              <w:fldChar w:fldCharType="separate"/>
            </w:r>
            <w:r w:rsidR="002256B4">
              <w:rPr>
                <w:noProof/>
                <w:webHidden/>
              </w:rPr>
              <w:t>43</w:t>
            </w:r>
            <w:r w:rsidR="00502DB6">
              <w:rPr>
                <w:noProof/>
                <w:webHidden/>
              </w:rPr>
              <w:fldChar w:fldCharType="end"/>
            </w:r>
          </w:hyperlink>
        </w:p>
        <w:p w14:paraId="333111CE" w14:textId="4C9D7688" w:rsidR="00502DB6" w:rsidRDefault="00000000">
          <w:pPr>
            <w:pStyle w:val="TOC3"/>
            <w:tabs>
              <w:tab w:val="left" w:pos="1320"/>
              <w:tab w:val="right" w:leader="dot" w:pos="9016"/>
            </w:tabs>
            <w:rPr>
              <w:rFonts w:eastAsiaTheme="minorEastAsia"/>
              <w:noProof/>
              <w:kern w:val="2"/>
              <w:sz w:val="24"/>
              <w:szCs w:val="24"/>
              <w:lang w:eastAsia="en-GB"/>
              <w14:ligatures w14:val="standardContextual"/>
            </w:rPr>
          </w:pPr>
          <w:hyperlink w:anchor="_Toc171075369" w:history="1">
            <w:r w:rsidR="00502DB6" w:rsidRPr="004A7088">
              <w:rPr>
                <w:rStyle w:val="Hyperlink"/>
                <w:noProof/>
              </w:rPr>
              <w:t>2.4.3</w:t>
            </w:r>
            <w:r w:rsidR="00502DB6">
              <w:rPr>
                <w:rFonts w:eastAsiaTheme="minorEastAsia"/>
                <w:noProof/>
                <w:kern w:val="2"/>
                <w:sz w:val="24"/>
                <w:szCs w:val="24"/>
                <w:lang w:eastAsia="en-GB"/>
                <w14:ligatures w14:val="standardContextual"/>
              </w:rPr>
              <w:tab/>
            </w:r>
            <w:r w:rsidR="00502DB6" w:rsidRPr="004A7088">
              <w:rPr>
                <w:rStyle w:val="Hyperlink"/>
                <w:rFonts w:cs="Arial"/>
                <w:noProof/>
                <w:lang w:val="en-US"/>
              </w:rPr>
              <w:t>THE ABSORPTION APPROACH</w:t>
            </w:r>
            <w:r w:rsidR="00502DB6">
              <w:rPr>
                <w:noProof/>
                <w:webHidden/>
              </w:rPr>
              <w:tab/>
            </w:r>
            <w:r w:rsidR="00502DB6">
              <w:rPr>
                <w:noProof/>
                <w:webHidden/>
              </w:rPr>
              <w:fldChar w:fldCharType="begin"/>
            </w:r>
            <w:r w:rsidR="00502DB6">
              <w:rPr>
                <w:noProof/>
                <w:webHidden/>
              </w:rPr>
              <w:instrText xml:space="preserve"> PAGEREF _Toc171075369 \h </w:instrText>
            </w:r>
            <w:r w:rsidR="00502DB6">
              <w:rPr>
                <w:noProof/>
                <w:webHidden/>
              </w:rPr>
            </w:r>
            <w:r w:rsidR="00502DB6">
              <w:rPr>
                <w:noProof/>
                <w:webHidden/>
              </w:rPr>
              <w:fldChar w:fldCharType="separate"/>
            </w:r>
            <w:r w:rsidR="002256B4">
              <w:rPr>
                <w:noProof/>
                <w:webHidden/>
              </w:rPr>
              <w:t>45</w:t>
            </w:r>
            <w:r w:rsidR="00502DB6">
              <w:rPr>
                <w:noProof/>
                <w:webHidden/>
              </w:rPr>
              <w:fldChar w:fldCharType="end"/>
            </w:r>
          </w:hyperlink>
        </w:p>
        <w:p w14:paraId="7C84E78B" w14:textId="553A681C" w:rsidR="00502DB6" w:rsidRDefault="00000000">
          <w:pPr>
            <w:pStyle w:val="TOC3"/>
            <w:tabs>
              <w:tab w:val="left" w:pos="1320"/>
              <w:tab w:val="right" w:leader="dot" w:pos="9016"/>
            </w:tabs>
            <w:rPr>
              <w:rFonts w:eastAsiaTheme="minorEastAsia"/>
              <w:noProof/>
              <w:kern w:val="2"/>
              <w:sz w:val="24"/>
              <w:szCs w:val="24"/>
              <w:lang w:eastAsia="en-GB"/>
              <w14:ligatures w14:val="standardContextual"/>
            </w:rPr>
          </w:pPr>
          <w:hyperlink w:anchor="_Toc171075370" w:history="1">
            <w:r w:rsidR="00502DB6" w:rsidRPr="004A7088">
              <w:rPr>
                <w:rStyle w:val="Hyperlink"/>
                <w:noProof/>
              </w:rPr>
              <w:t>2.4.4</w:t>
            </w:r>
            <w:r w:rsidR="00502DB6">
              <w:rPr>
                <w:rFonts w:eastAsiaTheme="minorEastAsia"/>
                <w:noProof/>
                <w:kern w:val="2"/>
                <w:sz w:val="24"/>
                <w:szCs w:val="24"/>
                <w:lang w:eastAsia="en-GB"/>
                <w14:ligatures w14:val="standardContextual"/>
              </w:rPr>
              <w:tab/>
            </w:r>
            <w:r w:rsidR="00502DB6" w:rsidRPr="004A7088">
              <w:rPr>
                <w:rStyle w:val="Hyperlink"/>
                <w:rFonts w:cs="Arial"/>
                <w:noProof/>
                <w:lang w:val="en-US"/>
              </w:rPr>
              <w:t>THE MONETARY APPROACH</w:t>
            </w:r>
            <w:r w:rsidR="00502DB6">
              <w:rPr>
                <w:noProof/>
                <w:webHidden/>
              </w:rPr>
              <w:tab/>
            </w:r>
            <w:r w:rsidR="00502DB6">
              <w:rPr>
                <w:noProof/>
                <w:webHidden/>
              </w:rPr>
              <w:fldChar w:fldCharType="begin"/>
            </w:r>
            <w:r w:rsidR="00502DB6">
              <w:rPr>
                <w:noProof/>
                <w:webHidden/>
              </w:rPr>
              <w:instrText xml:space="preserve"> PAGEREF _Toc171075370 \h </w:instrText>
            </w:r>
            <w:r w:rsidR="00502DB6">
              <w:rPr>
                <w:noProof/>
                <w:webHidden/>
              </w:rPr>
            </w:r>
            <w:r w:rsidR="00502DB6">
              <w:rPr>
                <w:noProof/>
                <w:webHidden/>
              </w:rPr>
              <w:fldChar w:fldCharType="separate"/>
            </w:r>
            <w:r w:rsidR="002256B4">
              <w:rPr>
                <w:noProof/>
                <w:webHidden/>
              </w:rPr>
              <w:t>48</w:t>
            </w:r>
            <w:r w:rsidR="00502DB6">
              <w:rPr>
                <w:noProof/>
                <w:webHidden/>
              </w:rPr>
              <w:fldChar w:fldCharType="end"/>
            </w:r>
          </w:hyperlink>
        </w:p>
        <w:p w14:paraId="11B3CC4A" w14:textId="1DE8D7E1" w:rsidR="00502DB6" w:rsidRDefault="00000000">
          <w:pPr>
            <w:pStyle w:val="TOC3"/>
            <w:tabs>
              <w:tab w:val="left" w:pos="1320"/>
              <w:tab w:val="right" w:leader="dot" w:pos="9016"/>
            </w:tabs>
            <w:rPr>
              <w:rFonts w:eastAsiaTheme="minorEastAsia"/>
              <w:noProof/>
              <w:kern w:val="2"/>
              <w:sz w:val="24"/>
              <w:szCs w:val="24"/>
              <w:lang w:eastAsia="en-GB"/>
              <w14:ligatures w14:val="standardContextual"/>
            </w:rPr>
          </w:pPr>
          <w:hyperlink w:anchor="_Toc171075371" w:history="1">
            <w:r w:rsidR="00502DB6" w:rsidRPr="004A7088">
              <w:rPr>
                <w:rStyle w:val="Hyperlink"/>
                <w:noProof/>
              </w:rPr>
              <w:t>2.4.5</w:t>
            </w:r>
            <w:r w:rsidR="00502DB6">
              <w:rPr>
                <w:rFonts w:eastAsiaTheme="minorEastAsia"/>
                <w:noProof/>
                <w:kern w:val="2"/>
                <w:sz w:val="24"/>
                <w:szCs w:val="24"/>
                <w:lang w:eastAsia="en-GB"/>
                <w14:ligatures w14:val="standardContextual"/>
              </w:rPr>
              <w:tab/>
            </w:r>
            <w:r w:rsidR="00502DB6" w:rsidRPr="004A7088">
              <w:rPr>
                <w:rStyle w:val="Hyperlink"/>
                <w:rFonts w:cs="Arial"/>
                <w:noProof/>
                <w:lang w:val="en-US"/>
              </w:rPr>
              <w:t xml:space="preserve">THE </w:t>
            </w:r>
            <w:r w:rsidR="00502DB6" w:rsidRPr="004A7088">
              <w:rPr>
                <w:rStyle w:val="Hyperlink"/>
                <w:rFonts w:cs="Arial"/>
                <w:i/>
                <w:iCs/>
                <w:noProof/>
                <w:lang w:val="en-US"/>
              </w:rPr>
              <w:t>J</w:t>
            </w:r>
            <w:r w:rsidR="00502DB6" w:rsidRPr="004A7088">
              <w:rPr>
                <w:rStyle w:val="Hyperlink"/>
                <w:rFonts w:cs="Arial"/>
                <w:noProof/>
                <w:lang w:val="en-US"/>
              </w:rPr>
              <w:t>-CURVE EFFECT</w:t>
            </w:r>
            <w:r w:rsidR="00502DB6">
              <w:rPr>
                <w:noProof/>
                <w:webHidden/>
              </w:rPr>
              <w:tab/>
            </w:r>
            <w:r w:rsidR="00502DB6">
              <w:rPr>
                <w:noProof/>
                <w:webHidden/>
              </w:rPr>
              <w:fldChar w:fldCharType="begin"/>
            </w:r>
            <w:r w:rsidR="00502DB6">
              <w:rPr>
                <w:noProof/>
                <w:webHidden/>
              </w:rPr>
              <w:instrText xml:space="preserve"> PAGEREF _Toc171075371 \h </w:instrText>
            </w:r>
            <w:r w:rsidR="00502DB6">
              <w:rPr>
                <w:noProof/>
                <w:webHidden/>
              </w:rPr>
            </w:r>
            <w:r w:rsidR="00502DB6">
              <w:rPr>
                <w:noProof/>
                <w:webHidden/>
              </w:rPr>
              <w:fldChar w:fldCharType="separate"/>
            </w:r>
            <w:r w:rsidR="002256B4">
              <w:rPr>
                <w:noProof/>
                <w:webHidden/>
              </w:rPr>
              <w:t>49</w:t>
            </w:r>
            <w:r w:rsidR="00502DB6">
              <w:rPr>
                <w:noProof/>
                <w:webHidden/>
              </w:rPr>
              <w:fldChar w:fldCharType="end"/>
            </w:r>
          </w:hyperlink>
        </w:p>
        <w:p w14:paraId="39B0F20C" w14:textId="2C93244E" w:rsidR="00502DB6" w:rsidRDefault="00000000">
          <w:pPr>
            <w:pStyle w:val="TOC2"/>
            <w:rPr>
              <w:rFonts w:eastAsiaTheme="minorEastAsia"/>
              <w:noProof/>
              <w:kern w:val="2"/>
              <w:sz w:val="24"/>
              <w:szCs w:val="24"/>
              <w:lang w:eastAsia="en-GB"/>
              <w14:ligatures w14:val="standardContextual"/>
            </w:rPr>
          </w:pPr>
          <w:hyperlink w:anchor="_Toc171075372" w:history="1">
            <w:r w:rsidR="00502DB6" w:rsidRPr="004A7088">
              <w:rPr>
                <w:rStyle w:val="Hyperlink"/>
                <w:noProof/>
              </w:rPr>
              <w:t>2.5</w:t>
            </w:r>
            <w:r w:rsidR="00502DB6">
              <w:rPr>
                <w:rFonts w:eastAsiaTheme="minorEastAsia"/>
                <w:noProof/>
                <w:kern w:val="2"/>
                <w:sz w:val="24"/>
                <w:szCs w:val="24"/>
                <w:lang w:eastAsia="en-GB"/>
                <w14:ligatures w14:val="standardContextual"/>
              </w:rPr>
              <w:tab/>
            </w:r>
            <w:r w:rsidR="00502DB6" w:rsidRPr="004A7088">
              <w:rPr>
                <w:rStyle w:val="Hyperlink"/>
                <w:noProof/>
              </w:rPr>
              <w:t>THE IMPACT OF REAL EFFECTIVE EXCHANGE RATE ON ECONOMIC GROWTH</w:t>
            </w:r>
            <w:r w:rsidR="00502DB6">
              <w:rPr>
                <w:noProof/>
                <w:webHidden/>
              </w:rPr>
              <w:tab/>
            </w:r>
            <w:r w:rsidR="00502DB6">
              <w:rPr>
                <w:noProof/>
                <w:webHidden/>
              </w:rPr>
              <w:fldChar w:fldCharType="begin"/>
            </w:r>
            <w:r w:rsidR="00502DB6">
              <w:rPr>
                <w:noProof/>
                <w:webHidden/>
              </w:rPr>
              <w:instrText xml:space="preserve"> PAGEREF _Toc171075372 \h </w:instrText>
            </w:r>
            <w:r w:rsidR="00502DB6">
              <w:rPr>
                <w:noProof/>
                <w:webHidden/>
              </w:rPr>
            </w:r>
            <w:r w:rsidR="00502DB6">
              <w:rPr>
                <w:noProof/>
                <w:webHidden/>
              </w:rPr>
              <w:fldChar w:fldCharType="separate"/>
            </w:r>
            <w:r w:rsidR="002256B4">
              <w:rPr>
                <w:noProof/>
                <w:webHidden/>
              </w:rPr>
              <w:t>55</w:t>
            </w:r>
            <w:r w:rsidR="00502DB6">
              <w:rPr>
                <w:noProof/>
                <w:webHidden/>
              </w:rPr>
              <w:fldChar w:fldCharType="end"/>
            </w:r>
          </w:hyperlink>
        </w:p>
        <w:p w14:paraId="544294EB" w14:textId="14333A6B" w:rsidR="00502DB6" w:rsidRDefault="00000000">
          <w:pPr>
            <w:pStyle w:val="TOC2"/>
            <w:rPr>
              <w:rFonts w:eastAsiaTheme="minorEastAsia"/>
              <w:noProof/>
              <w:kern w:val="2"/>
              <w:sz w:val="24"/>
              <w:szCs w:val="24"/>
              <w:lang w:eastAsia="en-GB"/>
              <w14:ligatures w14:val="standardContextual"/>
            </w:rPr>
          </w:pPr>
          <w:hyperlink w:anchor="_Toc171075373" w:history="1">
            <w:r w:rsidR="00502DB6" w:rsidRPr="004A7088">
              <w:rPr>
                <w:rStyle w:val="Hyperlink"/>
                <w:noProof/>
              </w:rPr>
              <w:t>2.6</w:t>
            </w:r>
            <w:r w:rsidR="00502DB6">
              <w:rPr>
                <w:rFonts w:eastAsiaTheme="minorEastAsia"/>
                <w:noProof/>
                <w:kern w:val="2"/>
                <w:sz w:val="24"/>
                <w:szCs w:val="24"/>
                <w:lang w:eastAsia="en-GB"/>
                <w14:ligatures w14:val="standardContextual"/>
              </w:rPr>
              <w:tab/>
            </w:r>
            <w:r w:rsidR="00502DB6" w:rsidRPr="004A7088">
              <w:rPr>
                <w:rStyle w:val="Hyperlink"/>
                <w:noProof/>
              </w:rPr>
              <w:t>CONCLUSION</w:t>
            </w:r>
            <w:r w:rsidR="00502DB6">
              <w:rPr>
                <w:noProof/>
                <w:webHidden/>
              </w:rPr>
              <w:tab/>
            </w:r>
            <w:r w:rsidR="00502DB6">
              <w:rPr>
                <w:noProof/>
                <w:webHidden/>
              </w:rPr>
              <w:fldChar w:fldCharType="begin"/>
            </w:r>
            <w:r w:rsidR="00502DB6">
              <w:rPr>
                <w:noProof/>
                <w:webHidden/>
              </w:rPr>
              <w:instrText xml:space="preserve"> PAGEREF _Toc171075373 \h </w:instrText>
            </w:r>
            <w:r w:rsidR="00502DB6">
              <w:rPr>
                <w:noProof/>
                <w:webHidden/>
              </w:rPr>
            </w:r>
            <w:r w:rsidR="00502DB6">
              <w:rPr>
                <w:noProof/>
                <w:webHidden/>
              </w:rPr>
              <w:fldChar w:fldCharType="separate"/>
            </w:r>
            <w:r w:rsidR="002256B4">
              <w:rPr>
                <w:noProof/>
                <w:webHidden/>
              </w:rPr>
              <w:t>60</w:t>
            </w:r>
            <w:r w:rsidR="00502DB6">
              <w:rPr>
                <w:noProof/>
                <w:webHidden/>
              </w:rPr>
              <w:fldChar w:fldCharType="end"/>
            </w:r>
          </w:hyperlink>
        </w:p>
        <w:p w14:paraId="1957DE0E" w14:textId="302BD396" w:rsidR="00502DB6" w:rsidRDefault="00000000">
          <w:pPr>
            <w:pStyle w:val="TOC1"/>
            <w:tabs>
              <w:tab w:val="right" w:leader="dot" w:pos="9016"/>
            </w:tabs>
            <w:rPr>
              <w:rFonts w:eastAsiaTheme="minorEastAsia"/>
              <w:noProof/>
              <w:kern w:val="2"/>
              <w:sz w:val="24"/>
              <w:szCs w:val="24"/>
              <w:lang w:eastAsia="en-GB"/>
              <w14:ligatures w14:val="standardContextual"/>
            </w:rPr>
          </w:pPr>
          <w:hyperlink w:anchor="_Toc171075374" w:history="1">
            <w:r w:rsidR="00502DB6" w:rsidRPr="004A7088">
              <w:rPr>
                <w:rStyle w:val="Hyperlink"/>
                <w:rFonts w:eastAsia="Times New Roman"/>
                <w:noProof/>
                <w:lang w:val="en-US"/>
              </w:rPr>
              <w:t xml:space="preserve">CHAPTER 3 EMPIRICAL </w:t>
            </w:r>
            <w:r w:rsidR="00502DB6" w:rsidRPr="004A7088">
              <w:rPr>
                <w:rStyle w:val="Hyperlink"/>
                <w:noProof/>
              </w:rPr>
              <w:t xml:space="preserve">INVESTIGATION OF THE EQUILIBRIUM REAL </w:t>
            </w:r>
            <w:r w:rsidR="00502DB6" w:rsidRPr="004A7088">
              <w:rPr>
                <w:rStyle w:val="Hyperlink"/>
                <w:rFonts w:eastAsia="Times New Roman"/>
                <w:noProof/>
                <w:lang w:val="en-US"/>
              </w:rPr>
              <w:t>EFFECTIVE EXCHANGE RATE AND MISALIGNMENT</w:t>
            </w:r>
            <w:r w:rsidR="00502DB6">
              <w:rPr>
                <w:noProof/>
                <w:webHidden/>
              </w:rPr>
              <w:tab/>
            </w:r>
            <w:r w:rsidR="00502DB6">
              <w:rPr>
                <w:noProof/>
                <w:webHidden/>
              </w:rPr>
              <w:fldChar w:fldCharType="begin"/>
            </w:r>
            <w:r w:rsidR="00502DB6">
              <w:rPr>
                <w:noProof/>
                <w:webHidden/>
              </w:rPr>
              <w:instrText xml:space="preserve"> PAGEREF _Toc171075374 \h </w:instrText>
            </w:r>
            <w:r w:rsidR="00502DB6">
              <w:rPr>
                <w:noProof/>
                <w:webHidden/>
              </w:rPr>
            </w:r>
            <w:r w:rsidR="00502DB6">
              <w:rPr>
                <w:noProof/>
                <w:webHidden/>
              </w:rPr>
              <w:fldChar w:fldCharType="separate"/>
            </w:r>
            <w:r w:rsidR="002256B4">
              <w:rPr>
                <w:noProof/>
                <w:webHidden/>
              </w:rPr>
              <w:t>61</w:t>
            </w:r>
            <w:r w:rsidR="00502DB6">
              <w:rPr>
                <w:noProof/>
                <w:webHidden/>
              </w:rPr>
              <w:fldChar w:fldCharType="end"/>
            </w:r>
          </w:hyperlink>
        </w:p>
        <w:p w14:paraId="5AEE7B07" w14:textId="4E2C8DD8" w:rsidR="00502DB6" w:rsidRDefault="00000000">
          <w:pPr>
            <w:pStyle w:val="TOC2"/>
            <w:rPr>
              <w:rFonts w:eastAsiaTheme="minorEastAsia"/>
              <w:noProof/>
              <w:kern w:val="2"/>
              <w:sz w:val="24"/>
              <w:szCs w:val="24"/>
              <w:lang w:eastAsia="en-GB"/>
              <w14:ligatures w14:val="standardContextual"/>
            </w:rPr>
          </w:pPr>
          <w:hyperlink w:anchor="_Toc171075375" w:history="1">
            <w:r w:rsidR="00502DB6" w:rsidRPr="004A7088">
              <w:rPr>
                <w:rStyle w:val="Hyperlink"/>
                <w:noProof/>
              </w:rPr>
              <w:t>3.1</w:t>
            </w:r>
            <w:r w:rsidR="00502DB6">
              <w:rPr>
                <w:rFonts w:eastAsiaTheme="minorEastAsia"/>
                <w:noProof/>
                <w:kern w:val="2"/>
                <w:sz w:val="24"/>
                <w:szCs w:val="24"/>
                <w:lang w:eastAsia="en-GB"/>
                <w14:ligatures w14:val="standardContextual"/>
              </w:rPr>
              <w:tab/>
            </w:r>
            <w:r w:rsidR="00502DB6" w:rsidRPr="004A7088">
              <w:rPr>
                <w:rStyle w:val="Hyperlink"/>
                <w:noProof/>
              </w:rPr>
              <w:t>INTRODUCTION</w:t>
            </w:r>
            <w:r w:rsidR="00502DB6">
              <w:rPr>
                <w:noProof/>
                <w:webHidden/>
              </w:rPr>
              <w:tab/>
            </w:r>
            <w:r w:rsidR="00502DB6">
              <w:rPr>
                <w:noProof/>
                <w:webHidden/>
              </w:rPr>
              <w:fldChar w:fldCharType="begin"/>
            </w:r>
            <w:r w:rsidR="00502DB6">
              <w:rPr>
                <w:noProof/>
                <w:webHidden/>
              </w:rPr>
              <w:instrText xml:space="preserve"> PAGEREF _Toc171075375 \h </w:instrText>
            </w:r>
            <w:r w:rsidR="00502DB6">
              <w:rPr>
                <w:noProof/>
                <w:webHidden/>
              </w:rPr>
            </w:r>
            <w:r w:rsidR="00502DB6">
              <w:rPr>
                <w:noProof/>
                <w:webHidden/>
              </w:rPr>
              <w:fldChar w:fldCharType="separate"/>
            </w:r>
            <w:r w:rsidR="002256B4">
              <w:rPr>
                <w:noProof/>
                <w:webHidden/>
              </w:rPr>
              <w:t>61</w:t>
            </w:r>
            <w:r w:rsidR="00502DB6">
              <w:rPr>
                <w:noProof/>
                <w:webHidden/>
              </w:rPr>
              <w:fldChar w:fldCharType="end"/>
            </w:r>
          </w:hyperlink>
        </w:p>
        <w:p w14:paraId="09F2A160" w14:textId="2BEC12B7" w:rsidR="00502DB6" w:rsidRDefault="00000000">
          <w:pPr>
            <w:pStyle w:val="TOC2"/>
            <w:rPr>
              <w:rFonts w:eastAsiaTheme="minorEastAsia"/>
              <w:noProof/>
              <w:kern w:val="2"/>
              <w:sz w:val="24"/>
              <w:szCs w:val="24"/>
              <w:lang w:eastAsia="en-GB"/>
              <w14:ligatures w14:val="standardContextual"/>
            </w:rPr>
          </w:pPr>
          <w:hyperlink w:anchor="_Toc171075376" w:history="1">
            <w:r w:rsidR="00502DB6" w:rsidRPr="004A7088">
              <w:rPr>
                <w:rStyle w:val="Hyperlink"/>
                <w:noProof/>
              </w:rPr>
              <w:t>3.2</w:t>
            </w:r>
            <w:r w:rsidR="00502DB6">
              <w:rPr>
                <w:rFonts w:eastAsiaTheme="minorEastAsia"/>
                <w:noProof/>
                <w:kern w:val="2"/>
                <w:sz w:val="24"/>
                <w:szCs w:val="24"/>
                <w:lang w:eastAsia="en-GB"/>
                <w14:ligatures w14:val="standardContextual"/>
              </w:rPr>
              <w:tab/>
            </w:r>
            <w:r w:rsidR="00502DB6" w:rsidRPr="004A7088">
              <w:rPr>
                <w:rStyle w:val="Hyperlink"/>
                <w:noProof/>
              </w:rPr>
              <w:t>EQUILIBRIUM REAL EFFECTIVE EXCHANGE RATE:</w:t>
            </w:r>
            <w:r w:rsidR="00502DB6">
              <w:rPr>
                <w:noProof/>
                <w:webHidden/>
              </w:rPr>
              <w:tab/>
            </w:r>
            <w:r w:rsidR="00502DB6">
              <w:rPr>
                <w:noProof/>
                <w:webHidden/>
              </w:rPr>
              <w:fldChar w:fldCharType="begin"/>
            </w:r>
            <w:r w:rsidR="00502DB6">
              <w:rPr>
                <w:noProof/>
                <w:webHidden/>
              </w:rPr>
              <w:instrText xml:space="preserve"> PAGEREF _Toc171075376 \h </w:instrText>
            </w:r>
            <w:r w:rsidR="00502DB6">
              <w:rPr>
                <w:noProof/>
                <w:webHidden/>
              </w:rPr>
            </w:r>
            <w:r w:rsidR="00502DB6">
              <w:rPr>
                <w:noProof/>
                <w:webHidden/>
              </w:rPr>
              <w:fldChar w:fldCharType="separate"/>
            </w:r>
            <w:r w:rsidR="002256B4">
              <w:rPr>
                <w:noProof/>
                <w:webHidden/>
              </w:rPr>
              <w:t>63</w:t>
            </w:r>
            <w:r w:rsidR="00502DB6">
              <w:rPr>
                <w:noProof/>
                <w:webHidden/>
              </w:rPr>
              <w:fldChar w:fldCharType="end"/>
            </w:r>
          </w:hyperlink>
        </w:p>
        <w:p w14:paraId="3C258D95" w14:textId="2228207D" w:rsidR="00502DB6" w:rsidRDefault="00000000">
          <w:pPr>
            <w:pStyle w:val="TOC2"/>
            <w:rPr>
              <w:rFonts w:eastAsiaTheme="minorEastAsia"/>
              <w:noProof/>
              <w:kern w:val="2"/>
              <w:sz w:val="24"/>
              <w:szCs w:val="24"/>
              <w:lang w:eastAsia="en-GB"/>
              <w14:ligatures w14:val="standardContextual"/>
            </w:rPr>
          </w:pPr>
          <w:hyperlink w:anchor="_Toc171075377" w:history="1">
            <w:r w:rsidR="00502DB6" w:rsidRPr="004A7088">
              <w:rPr>
                <w:rStyle w:val="Hyperlink"/>
                <w:noProof/>
              </w:rPr>
              <w:t>3.3</w:t>
            </w:r>
            <w:r w:rsidR="00502DB6">
              <w:rPr>
                <w:rFonts w:eastAsiaTheme="minorEastAsia"/>
                <w:noProof/>
                <w:kern w:val="2"/>
                <w:sz w:val="24"/>
                <w:szCs w:val="24"/>
                <w:lang w:eastAsia="en-GB"/>
                <w14:ligatures w14:val="standardContextual"/>
              </w:rPr>
              <w:tab/>
            </w:r>
            <w:r w:rsidR="00502DB6" w:rsidRPr="004A7088">
              <w:rPr>
                <w:rStyle w:val="Hyperlink"/>
                <w:noProof/>
              </w:rPr>
              <w:t>BEHAVIOURAL EQUILIBRIUM EXCHANGE RATE (BEER) APPROACH</w:t>
            </w:r>
            <w:r w:rsidR="00502DB6">
              <w:rPr>
                <w:noProof/>
                <w:webHidden/>
              </w:rPr>
              <w:tab/>
            </w:r>
            <w:r w:rsidR="00502DB6">
              <w:rPr>
                <w:noProof/>
                <w:webHidden/>
              </w:rPr>
              <w:fldChar w:fldCharType="begin"/>
            </w:r>
            <w:r w:rsidR="00502DB6">
              <w:rPr>
                <w:noProof/>
                <w:webHidden/>
              </w:rPr>
              <w:instrText xml:space="preserve"> PAGEREF _Toc171075377 \h </w:instrText>
            </w:r>
            <w:r w:rsidR="00502DB6">
              <w:rPr>
                <w:noProof/>
                <w:webHidden/>
              </w:rPr>
            </w:r>
            <w:r w:rsidR="00502DB6">
              <w:rPr>
                <w:noProof/>
                <w:webHidden/>
              </w:rPr>
              <w:fldChar w:fldCharType="separate"/>
            </w:r>
            <w:r w:rsidR="002256B4">
              <w:rPr>
                <w:noProof/>
                <w:webHidden/>
              </w:rPr>
              <w:t>65</w:t>
            </w:r>
            <w:r w:rsidR="00502DB6">
              <w:rPr>
                <w:noProof/>
                <w:webHidden/>
              </w:rPr>
              <w:fldChar w:fldCharType="end"/>
            </w:r>
          </w:hyperlink>
        </w:p>
        <w:p w14:paraId="07B55F54" w14:textId="713CEA11" w:rsidR="00502DB6" w:rsidRDefault="00000000">
          <w:pPr>
            <w:pStyle w:val="TOC3"/>
            <w:tabs>
              <w:tab w:val="left" w:pos="1320"/>
              <w:tab w:val="right" w:leader="dot" w:pos="9016"/>
            </w:tabs>
            <w:rPr>
              <w:rFonts w:eastAsiaTheme="minorEastAsia"/>
              <w:noProof/>
              <w:kern w:val="2"/>
              <w:sz w:val="24"/>
              <w:szCs w:val="24"/>
              <w:lang w:eastAsia="en-GB"/>
              <w14:ligatures w14:val="standardContextual"/>
            </w:rPr>
          </w:pPr>
          <w:hyperlink w:anchor="_Toc171075378" w:history="1">
            <w:r w:rsidR="00502DB6" w:rsidRPr="004A7088">
              <w:rPr>
                <w:rStyle w:val="Hyperlink"/>
                <w:noProof/>
              </w:rPr>
              <w:t>3.3.1</w:t>
            </w:r>
            <w:r w:rsidR="00502DB6">
              <w:rPr>
                <w:rFonts w:eastAsiaTheme="minorEastAsia"/>
                <w:noProof/>
                <w:kern w:val="2"/>
                <w:sz w:val="24"/>
                <w:szCs w:val="24"/>
                <w:lang w:eastAsia="en-GB"/>
                <w14:ligatures w14:val="standardContextual"/>
              </w:rPr>
              <w:tab/>
            </w:r>
            <w:r w:rsidR="00502DB6" w:rsidRPr="004A7088">
              <w:rPr>
                <w:rStyle w:val="Hyperlink"/>
                <w:noProof/>
              </w:rPr>
              <w:t>TYPES AND SOURCE OF DATA</w:t>
            </w:r>
            <w:r w:rsidR="00502DB6">
              <w:rPr>
                <w:noProof/>
                <w:webHidden/>
              </w:rPr>
              <w:tab/>
            </w:r>
            <w:r w:rsidR="00502DB6">
              <w:rPr>
                <w:noProof/>
                <w:webHidden/>
              </w:rPr>
              <w:fldChar w:fldCharType="begin"/>
            </w:r>
            <w:r w:rsidR="00502DB6">
              <w:rPr>
                <w:noProof/>
                <w:webHidden/>
              </w:rPr>
              <w:instrText xml:space="preserve"> PAGEREF _Toc171075378 \h </w:instrText>
            </w:r>
            <w:r w:rsidR="00502DB6">
              <w:rPr>
                <w:noProof/>
                <w:webHidden/>
              </w:rPr>
            </w:r>
            <w:r w:rsidR="00502DB6">
              <w:rPr>
                <w:noProof/>
                <w:webHidden/>
              </w:rPr>
              <w:fldChar w:fldCharType="separate"/>
            </w:r>
            <w:r w:rsidR="002256B4">
              <w:rPr>
                <w:noProof/>
                <w:webHidden/>
              </w:rPr>
              <w:t>69</w:t>
            </w:r>
            <w:r w:rsidR="00502DB6">
              <w:rPr>
                <w:noProof/>
                <w:webHidden/>
              </w:rPr>
              <w:fldChar w:fldCharType="end"/>
            </w:r>
          </w:hyperlink>
        </w:p>
        <w:p w14:paraId="5416D6F5" w14:textId="31F1A118" w:rsidR="00502DB6" w:rsidRDefault="00000000">
          <w:pPr>
            <w:pStyle w:val="TOC2"/>
            <w:rPr>
              <w:rFonts w:eastAsiaTheme="minorEastAsia"/>
              <w:noProof/>
              <w:kern w:val="2"/>
              <w:sz w:val="24"/>
              <w:szCs w:val="24"/>
              <w:lang w:eastAsia="en-GB"/>
              <w14:ligatures w14:val="standardContextual"/>
            </w:rPr>
          </w:pPr>
          <w:hyperlink w:anchor="_Toc171075379" w:history="1">
            <w:r w:rsidR="00502DB6" w:rsidRPr="004A7088">
              <w:rPr>
                <w:rStyle w:val="Hyperlink"/>
                <w:noProof/>
              </w:rPr>
              <w:t>3.4</w:t>
            </w:r>
            <w:r w:rsidR="00502DB6">
              <w:rPr>
                <w:rFonts w:eastAsiaTheme="minorEastAsia"/>
                <w:noProof/>
                <w:kern w:val="2"/>
                <w:sz w:val="24"/>
                <w:szCs w:val="24"/>
                <w:lang w:eastAsia="en-GB"/>
                <w14:ligatures w14:val="standardContextual"/>
              </w:rPr>
              <w:tab/>
            </w:r>
            <w:r w:rsidR="00502DB6" w:rsidRPr="004A7088">
              <w:rPr>
                <w:rStyle w:val="Hyperlink"/>
                <w:noProof/>
              </w:rPr>
              <w:t>ECONOMETRIC APPROACH</w:t>
            </w:r>
            <w:r w:rsidR="00502DB6">
              <w:rPr>
                <w:noProof/>
                <w:webHidden/>
              </w:rPr>
              <w:tab/>
            </w:r>
            <w:r w:rsidR="00502DB6">
              <w:rPr>
                <w:noProof/>
                <w:webHidden/>
              </w:rPr>
              <w:fldChar w:fldCharType="begin"/>
            </w:r>
            <w:r w:rsidR="00502DB6">
              <w:rPr>
                <w:noProof/>
                <w:webHidden/>
              </w:rPr>
              <w:instrText xml:space="preserve"> PAGEREF _Toc171075379 \h </w:instrText>
            </w:r>
            <w:r w:rsidR="00502DB6">
              <w:rPr>
                <w:noProof/>
                <w:webHidden/>
              </w:rPr>
            </w:r>
            <w:r w:rsidR="00502DB6">
              <w:rPr>
                <w:noProof/>
                <w:webHidden/>
              </w:rPr>
              <w:fldChar w:fldCharType="separate"/>
            </w:r>
            <w:r w:rsidR="002256B4">
              <w:rPr>
                <w:noProof/>
                <w:webHidden/>
              </w:rPr>
              <w:t>75</w:t>
            </w:r>
            <w:r w:rsidR="00502DB6">
              <w:rPr>
                <w:noProof/>
                <w:webHidden/>
              </w:rPr>
              <w:fldChar w:fldCharType="end"/>
            </w:r>
          </w:hyperlink>
        </w:p>
        <w:p w14:paraId="0B414CC0" w14:textId="1B5CA9F5" w:rsidR="00502DB6" w:rsidRDefault="00000000">
          <w:pPr>
            <w:pStyle w:val="TOC3"/>
            <w:tabs>
              <w:tab w:val="left" w:pos="1320"/>
              <w:tab w:val="right" w:leader="dot" w:pos="9016"/>
            </w:tabs>
            <w:rPr>
              <w:rFonts w:eastAsiaTheme="minorEastAsia"/>
              <w:noProof/>
              <w:kern w:val="2"/>
              <w:sz w:val="24"/>
              <w:szCs w:val="24"/>
              <w:lang w:eastAsia="en-GB"/>
              <w14:ligatures w14:val="standardContextual"/>
            </w:rPr>
          </w:pPr>
          <w:hyperlink w:anchor="_Toc171075380" w:history="1">
            <w:r w:rsidR="00502DB6" w:rsidRPr="004A7088">
              <w:rPr>
                <w:rStyle w:val="Hyperlink"/>
                <w:noProof/>
              </w:rPr>
              <w:t>3.4.1</w:t>
            </w:r>
            <w:r w:rsidR="00502DB6">
              <w:rPr>
                <w:rFonts w:eastAsiaTheme="minorEastAsia"/>
                <w:noProof/>
                <w:kern w:val="2"/>
                <w:sz w:val="24"/>
                <w:szCs w:val="24"/>
                <w:lang w:eastAsia="en-GB"/>
                <w14:ligatures w14:val="standardContextual"/>
              </w:rPr>
              <w:tab/>
            </w:r>
            <w:r w:rsidR="00502DB6" w:rsidRPr="004A7088">
              <w:rPr>
                <w:rStyle w:val="Hyperlink"/>
                <w:noProof/>
              </w:rPr>
              <w:t>DIAGNOSTIC TESTS</w:t>
            </w:r>
            <w:r w:rsidR="00502DB6">
              <w:rPr>
                <w:noProof/>
                <w:webHidden/>
              </w:rPr>
              <w:tab/>
            </w:r>
            <w:r w:rsidR="00502DB6">
              <w:rPr>
                <w:noProof/>
                <w:webHidden/>
              </w:rPr>
              <w:fldChar w:fldCharType="begin"/>
            </w:r>
            <w:r w:rsidR="00502DB6">
              <w:rPr>
                <w:noProof/>
                <w:webHidden/>
              </w:rPr>
              <w:instrText xml:space="preserve"> PAGEREF _Toc171075380 \h </w:instrText>
            </w:r>
            <w:r w:rsidR="00502DB6">
              <w:rPr>
                <w:noProof/>
                <w:webHidden/>
              </w:rPr>
            </w:r>
            <w:r w:rsidR="00502DB6">
              <w:rPr>
                <w:noProof/>
                <w:webHidden/>
              </w:rPr>
              <w:fldChar w:fldCharType="separate"/>
            </w:r>
            <w:r w:rsidR="002256B4">
              <w:rPr>
                <w:noProof/>
                <w:webHidden/>
              </w:rPr>
              <w:t>76</w:t>
            </w:r>
            <w:r w:rsidR="00502DB6">
              <w:rPr>
                <w:noProof/>
                <w:webHidden/>
              </w:rPr>
              <w:fldChar w:fldCharType="end"/>
            </w:r>
          </w:hyperlink>
        </w:p>
        <w:p w14:paraId="632A09C3" w14:textId="51E09EFA" w:rsidR="00502DB6" w:rsidRDefault="00000000">
          <w:pPr>
            <w:pStyle w:val="TOC3"/>
            <w:tabs>
              <w:tab w:val="left" w:pos="1320"/>
              <w:tab w:val="right" w:leader="dot" w:pos="9016"/>
            </w:tabs>
            <w:rPr>
              <w:rFonts w:eastAsiaTheme="minorEastAsia"/>
              <w:noProof/>
              <w:kern w:val="2"/>
              <w:sz w:val="24"/>
              <w:szCs w:val="24"/>
              <w:lang w:eastAsia="en-GB"/>
              <w14:ligatures w14:val="standardContextual"/>
            </w:rPr>
          </w:pPr>
          <w:hyperlink w:anchor="_Toc171075381" w:history="1">
            <w:r w:rsidR="00502DB6" w:rsidRPr="004A7088">
              <w:rPr>
                <w:rStyle w:val="Hyperlink"/>
                <w:noProof/>
              </w:rPr>
              <w:t>3.4.2</w:t>
            </w:r>
            <w:r w:rsidR="00502DB6">
              <w:rPr>
                <w:rFonts w:eastAsiaTheme="minorEastAsia"/>
                <w:noProof/>
                <w:kern w:val="2"/>
                <w:sz w:val="24"/>
                <w:szCs w:val="24"/>
                <w:lang w:eastAsia="en-GB"/>
                <w14:ligatures w14:val="standardContextual"/>
              </w:rPr>
              <w:tab/>
            </w:r>
            <w:r w:rsidR="00502DB6" w:rsidRPr="004A7088">
              <w:rPr>
                <w:rStyle w:val="Hyperlink"/>
                <w:noProof/>
              </w:rPr>
              <w:t>TEST FOR STATIONARITY (UNIT ROOT TEST)</w:t>
            </w:r>
            <w:r w:rsidR="00502DB6">
              <w:rPr>
                <w:noProof/>
                <w:webHidden/>
              </w:rPr>
              <w:tab/>
            </w:r>
            <w:r w:rsidR="00502DB6">
              <w:rPr>
                <w:noProof/>
                <w:webHidden/>
              </w:rPr>
              <w:fldChar w:fldCharType="begin"/>
            </w:r>
            <w:r w:rsidR="00502DB6">
              <w:rPr>
                <w:noProof/>
                <w:webHidden/>
              </w:rPr>
              <w:instrText xml:space="preserve"> PAGEREF _Toc171075381 \h </w:instrText>
            </w:r>
            <w:r w:rsidR="00502DB6">
              <w:rPr>
                <w:noProof/>
                <w:webHidden/>
              </w:rPr>
            </w:r>
            <w:r w:rsidR="00502DB6">
              <w:rPr>
                <w:noProof/>
                <w:webHidden/>
              </w:rPr>
              <w:fldChar w:fldCharType="separate"/>
            </w:r>
            <w:r w:rsidR="002256B4">
              <w:rPr>
                <w:noProof/>
                <w:webHidden/>
              </w:rPr>
              <w:t>78</w:t>
            </w:r>
            <w:r w:rsidR="00502DB6">
              <w:rPr>
                <w:noProof/>
                <w:webHidden/>
              </w:rPr>
              <w:fldChar w:fldCharType="end"/>
            </w:r>
          </w:hyperlink>
        </w:p>
        <w:p w14:paraId="5EC55787" w14:textId="7715431F" w:rsidR="00502DB6" w:rsidRDefault="00000000">
          <w:pPr>
            <w:pStyle w:val="TOC3"/>
            <w:tabs>
              <w:tab w:val="left" w:pos="1320"/>
              <w:tab w:val="right" w:leader="dot" w:pos="9016"/>
            </w:tabs>
            <w:rPr>
              <w:rFonts w:eastAsiaTheme="minorEastAsia"/>
              <w:noProof/>
              <w:kern w:val="2"/>
              <w:sz w:val="24"/>
              <w:szCs w:val="24"/>
              <w:lang w:eastAsia="en-GB"/>
              <w14:ligatures w14:val="standardContextual"/>
            </w:rPr>
          </w:pPr>
          <w:hyperlink w:anchor="_Toc171075382" w:history="1">
            <w:r w:rsidR="00502DB6" w:rsidRPr="004A7088">
              <w:rPr>
                <w:rStyle w:val="Hyperlink"/>
                <w:noProof/>
              </w:rPr>
              <w:t>3.4.3</w:t>
            </w:r>
            <w:r w:rsidR="00502DB6">
              <w:rPr>
                <w:rFonts w:eastAsiaTheme="minorEastAsia"/>
                <w:noProof/>
                <w:kern w:val="2"/>
                <w:sz w:val="24"/>
                <w:szCs w:val="24"/>
                <w:lang w:eastAsia="en-GB"/>
                <w14:ligatures w14:val="standardContextual"/>
              </w:rPr>
              <w:tab/>
            </w:r>
            <w:r w:rsidR="00502DB6" w:rsidRPr="004A7088">
              <w:rPr>
                <w:rStyle w:val="Hyperlink"/>
                <w:noProof/>
              </w:rPr>
              <w:t>DETERMINE OPTIMAL LAG LENGTH</w:t>
            </w:r>
            <w:r w:rsidR="00502DB6">
              <w:rPr>
                <w:noProof/>
                <w:webHidden/>
              </w:rPr>
              <w:tab/>
            </w:r>
            <w:r w:rsidR="00502DB6">
              <w:rPr>
                <w:noProof/>
                <w:webHidden/>
              </w:rPr>
              <w:fldChar w:fldCharType="begin"/>
            </w:r>
            <w:r w:rsidR="00502DB6">
              <w:rPr>
                <w:noProof/>
                <w:webHidden/>
              </w:rPr>
              <w:instrText xml:space="preserve"> PAGEREF _Toc171075382 \h </w:instrText>
            </w:r>
            <w:r w:rsidR="00502DB6">
              <w:rPr>
                <w:noProof/>
                <w:webHidden/>
              </w:rPr>
            </w:r>
            <w:r w:rsidR="00502DB6">
              <w:rPr>
                <w:noProof/>
                <w:webHidden/>
              </w:rPr>
              <w:fldChar w:fldCharType="separate"/>
            </w:r>
            <w:r w:rsidR="002256B4">
              <w:rPr>
                <w:noProof/>
                <w:webHidden/>
              </w:rPr>
              <w:t>80</w:t>
            </w:r>
            <w:r w:rsidR="00502DB6">
              <w:rPr>
                <w:noProof/>
                <w:webHidden/>
              </w:rPr>
              <w:fldChar w:fldCharType="end"/>
            </w:r>
          </w:hyperlink>
        </w:p>
        <w:p w14:paraId="53BBC024" w14:textId="3B0C36FC" w:rsidR="00502DB6" w:rsidRDefault="00000000">
          <w:pPr>
            <w:pStyle w:val="TOC3"/>
            <w:tabs>
              <w:tab w:val="left" w:pos="1320"/>
              <w:tab w:val="right" w:leader="dot" w:pos="9016"/>
            </w:tabs>
            <w:rPr>
              <w:rFonts w:eastAsiaTheme="minorEastAsia"/>
              <w:noProof/>
              <w:kern w:val="2"/>
              <w:sz w:val="24"/>
              <w:szCs w:val="24"/>
              <w:lang w:eastAsia="en-GB"/>
              <w14:ligatures w14:val="standardContextual"/>
            </w:rPr>
          </w:pPr>
          <w:hyperlink w:anchor="_Toc171075383" w:history="1">
            <w:r w:rsidR="00502DB6" w:rsidRPr="004A7088">
              <w:rPr>
                <w:rStyle w:val="Hyperlink"/>
                <w:noProof/>
              </w:rPr>
              <w:t>3.4.4</w:t>
            </w:r>
            <w:r w:rsidR="00502DB6">
              <w:rPr>
                <w:rFonts w:eastAsiaTheme="minorEastAsia"/>
                <w:noProof/>
                <w:kern w:val="2"/>
                <w:sz w:val="24"/>
                <w:szCs w:val="24"/>
                <w:lang w:eastAsia="en-GB"/>
                <w14:ligatures w14:val="standardContextual"/>
              </w:rPr>
              <w:tab/>
            </w:r>
            <w:r w:rsidR="00502DB6" w:rsidRPr="004A7088">
              <w:rPr>
                <w:rStyle w:val="Hyperlink"/>
                <w:noProof/>
              </w:rPr>
              <w:t>COINTEGRATION TEST</w:t>
            </w:r>
            <w:r w:rsidR="00502DB6">
              <w:rPr>
                <w:noProof/>
                <w:webHidden/>
              </w:rPr>
              <w:tab/>
            </w:r>
            <w:r w:rsidR="00502DB6">
              <w:rPr>
                <w:noProof/>
                <w:webHidden/>
              </w:rPr>
              <w:fldChar w:fldCharType="begin"/>
            </w:r>
            <w:r w:rsidR="00502DB6">
              <w:rPr>
                <w:noProof/>
                <w:webHidden/>
              </w:rPr>
              <w:instrText xml:space="preserve"> PAGEREF _Toc171075383 \h </w:instrText>
            </w:r>
            <w:r w:rsidR="00502DB6">
              <w:rPr>
                <w:noProof/>
                <w:webHidden/>
              </w:rPr>
            </w:r>
            <w:r w:rsidR="00502DB6">
              <w:rPr>
                <w:noProof/>
                <w:webHidden/>
              </w:rPr>
              <w:fldChar w:fldCharType="separate"/>
            </w:r>
            <w:r w:rsidR="002256B4">
              <w:rPr>
                <w:noProof/>
                <w:webHidden/>
              </w:rPr>
              <w:t>80</w:t>
            </w:r>
            <w:r w:rsidR="00502DB6">
              <w:rPr>
                <w:noProof/>
                <w:webHidden/>
              </w:rPr>
              <w:fldChar w:fldCharType="end"/>
            </w:r>
          </w:hyperlink>
        </w:p>
        <w:p w14:paraId="64C706B5" w14:textId="2A04B95B" w:rsidR="00502DB6" w:rsidRDefault="00000000">
          <w:pPr>
            <w:pStyle w:val="TOC3"/>
            <w:tabs>
              <w:tab w:val="left" w:pos="1320"/>
              <w:tab w:val="right" w:leader="dot" w:pos="9016"/>
            </w:tabs>
            <w:rPr>
              <w:rFonts w:eastAsiaTheme="minorEastAsia"/>
              <w:noProof/>
              <w:kern w:val="2"/>
              <w:sz w:val="24"/>
              <w:szCs w:val="24"/>
              <w:lang w:eastAsia="en-GB"/>
              <w14:ligatures w14:val="standardContextual"/>
            </w:rPr>
          </w:pPr>
          <w:hyperlink w:anchor="_Toc171075384" w:history="1">
            <w:r w:rsidR="00502DB6" w:rsidRPr="004A7088">
              <w:rPr>
                <w:rStyle w:val="Hyperlink"/>
                <w:noProof/>
              </w:rPr>
              <w:t>3.4.5</w:t>
            </w:r>
            <w:r w:rsidR="00502DB6">
              <w:rPr>
                <w:rFonts w:eastAsiaTheme="minorEastAsia"/>
                <w:noProof/>
                <w:kern w:val="2"/>
                <w:sz w:val="24"/>
                <w:szCs w:val="24"/>
                <w:lang w:eastAsia="en-GB"/>
                <w14:ligatures w14:val="standardContextual"/>
              </w:rPr>
              <w:tab/>
            </w:r>
            <w:r w:rsidR="00502DB6" w:rsidRPr="004A7088">
              <w:rPr>
                <w:rStyle w:val="Hyperlink"/>
                <w:noProof/>
              </w:rPr>
              <w:t>STABILITY TESTS</w:t>
            </w:r>
            <w:r w:rsidR="00502DB6">
              <w:rPr>
                <w:noProof/>
                <w:webHidden/>
              </w:rPr>
              <w:tab/>
            </w:r>
            <w:r w:rsidR="00502DB6">
              <w:rPr>
                <w:noProof/>
                <w:webHidden/>
              </w:rPr>
              <w:fldChar w:fldCharType="begin"/>
            </w:r>
            <w:r w:rsidR="00502DB6">
              <w:rPr>
                <w:noProof/>
                <w:webHidden/>
              </w:rPr>
              <w:instrText xml:space="preserve"> PAGEREF _Toc171075384 \h </w:instrText>
            </w:r>
            <w:r w:rsidR="00502DB6">
              <w:rPr>
                <w:noProof/>
                <w:webHidden/>
              </w:rPr>
            </w:r>
            <w:r w:rsidR="00502DB6">
              <w:rPr>
                <w:noProof/>
                <w:webHidden/>
              </w:rPr>
              <w:fldChar w:fldCharType="separate"/>
            </w:r>
            <w:r w:rsidR="002256B4">
              <w:rPr>
                <w:noProof/>
                <w:webHidden/>
              </w:rPr>
              <w:t>83</w:t>
            </w:r>
            <w:r w:rsidR="00502DB6">
              <w:rPr>
                <w:noProof/>
                <w:webHidden/>
              </w:rPr>
              <w:fldChar w:fldCharType="end"/>
            </w:r>
          </w:hyperlink>
        </w:p>
        <w:p w14:paraId="42594198" w14:textId="5F282846" w:rsidR="00502DB6" w:rsidRDefault="00000000">
          <w:pPr>
            <w:pStyle w:val="TOC3"/>
            <w:tabs>
              <w:tab w:val="left" w:pos="1320"/>
              <w:tab w:val="right" w:leader="dot" w:pos="9016"/>
            </w:tabs>
            <w:rPr>
              <w:rFonts w:eastAsiaTheme="minorEastAsia"/>
              <w:noProof/>
              <w:kern w:val="2"/>
              <w:sz w:val="24"/>
              <w:szCs w:val="24"/>
              <w:lang w:eastAsia="en-GB"/>
              <w14:ligatures w14:val="standardContextual"/>
            </w:rPr>
          </w:pPr>
          <w:hyperlink w:anchor="_Toc171075385" w:history="1">
            <w:r w:rsidR="00502DB6" w:rsidRPr="004A7088">
              <w:rPr>
                <w:rStyle w:val="Hyperlink"/>
                <w:noProof/>
              </w:rPr>
              <w:t>3.4.6</w:t>
            </w:r>
            <w:r w:rsidR="00502DB6">
              <w:rPr>
                <w:rFonts w:eastAsiaTheme="minorEastAsia"/>
                <w:noProof/>
                <w:kern w:val="2"/>
                <w:sz w:val="24"/>
                <w:szCs w:val="24"/>
                <w:lang w:eastAsia="en-GB"/>
                <w14:ligatures w14:val="standardContextual"/>
              </w:rPr>
              <w:tab/>
            </w:r>
            <w:r w:rsidR="00502DB6" w:rsidRPr="004A7088">
              <w:rPr>
                <w:rStyle w:val="Hyperlink"/>
                <w:noProof/>
              </w:rPr>
              <w:t>EQUILIBRIUM EXCHANGE RATE AND MISALIGNMENT</w:t>
            </w:r>
            <w:r w:rsidR="00502DB6">
              <w:rPr>
                <w:noProof/>
                <w:webHidden/>
              </w:rPr>
              <w:tab/>
            </w:r>
            <w:r w:rsidR="00502DB6">
              <w:rPr>
                <w:noProof/>
                <w:webHidden/>
              </w:rPr>
              <w:fldChar w:fldCharType="begin"/>
            </w:r>
            <w:r w:rsidR="00502DB6">
              <w:rPr>
                <w:noProof/>
                <w:webHidden/>
              </w:rPr>
              <w:instrText xml:space="preserve"> PAGEREF _Toc171075385 \h </w:instrText>
            </w:r>
            <w:r w:rsidR="00502DB6">
              <w:rPr>
                <w:noProof/>
                <w:webHidden/>
              </w:rPr>
            </w:r>
            <w:r w:rsidR="00502DB6">
              <w:rPr>
                <w:noProof/>
                <w:webHidden/>
              </w:rPr>
              <w:fldChar w:fldCharType="separate"/>
            </w:r>
            <w:r w:rsidR="002256B4">
              <w:rPr>
                <w:noProof/>
                <w:webHidden/>
              </w:rPr>
              <w:t>83</w:t>
            </w:r>
            <w:r w:rsidR="00502DB6">
              <w:rPr>
                <w:noProof/>
                <w:webHidden/>
              </w:rPr>
              <w:fldChar w:fldCharType="end"/>
            </w:r>
          </w:hyperlink>
        </w:p>
        <w:p w14:paraId="75363703" w14:textId="20C426A0" w:rsidR="00502DB6" w:rsidRDefault="00000000">
          <w:pPr>
            <w:pStyle w:val="TOC2"/>
            <w:rPr>
              <w:rFonts w:eastAsiaTheme="minorEastAsia"/>
              <w:noProof/>
              <w:kern w:val="2"/>
              <w:sz w:val="24"/>
              <w:szCs w:val="24"/>
              <w:lang w:eastAsia="en-GB"/>
              <w14:ligatures w14:val="standardContextual"/>
            </w:rPr>
          </w:pPr>
          <w:hyperlink w:anchor="_Toc171075386" w:history="1">
            <w:r w:rsidR="00502DB6" w:rsidRPr="004A7088">
              <w:rPr>
                <w:rStyle w:val="Hyperlink"/>
                <w:noProof/>
              </w:rPr>
              <w:t>3.5</w:t>
            </w:r>
            <w:r w:rsidR="00502DB6">
              <w:rPr>
                <w:rFonts w:eastAsiaTheme="minorEastAsia"/>
                <w:noProof/>
                <w:kern w:val="2"/>
                <w:sz w:val="24"/>
                <w:szCs w:val="24"/>
                <w:lang w:eastAsia="en-GB"/>
                <w14:ligatures w14:val="standardContextual"/>
              </w:rPr>
              <w:tab/>
            </w:r>
            <w:r w:rsidR="00502DB6" w:rsidRPr="004A7088">
              <w:rPr>
                <w:rStyle w:val="Hyperlink"/>
                <w:noProof/>
              </w:rPr>
              <w:t>EMPIRICAL RESULTS ANALYSIS</w:t>
            </w:r>
            <w:r w:rsidR="00502DB6">
              <w:rPr>
                <w:noProof/>
                <w:webHidden/>
              </w:rPr>
              <w:tab/>
            </w:r>
            <w:r w:rsidR="00502DB6">
              <w:rPr>
                <w:noProof/>
                <w:webHidden/>
              </w:rPr>
              <w:fldChar w:fldCharType="begin"/>
            </w:r>
            <w:r w:rsidR="00502DB6">
              <w:rPr>
                <w:noProof/>
                <w:webHidden/>
              </w:rPr>
              <w:instrText xml:space="preserve"> PAGEREF _Toc171075386 \h </w:instrText>
            </w:r>
            <w:r w:rsidR="00502DB6">
              <w:rPr>
                <w:noProof/>
                <w:webHidden/>
              </w:rPr>
            </w:r>
            <w:r w:rsidR="00502DB6">
              <w:rPr>
                <w:noProof/>
                <w:webHidden/>
              </w:rPr>
              <w:fldChar w:fldCharType="separate"/>
            </w:r>
            <w:r w:rsidR="002256B4">
              <w:rPr>
                <w:noProof/>
                <w:webHidden/>
              </w:rPr>
              <w:t>84</w:t>
            </w:r>
            <w:r w:rsidR="00502DB6">
              <w:rPr>
                <w:noProof/>
                <w:webHidden/>
              </w:rPr>
              <w:fldChar w:fldCharType="end"/>
            </w:r>
          </w:hyperlink>
        </w:p>
        <w:p w14:paraId="3BE96347" w14:textId="4E1D6A24" w:rsidR="00502DB6" w:rsidRDefault="00000000">
          <w:pPr>
            <w:pStyle w:val="TOC3"/>
            <w:tabs>
              <w:tab w:val="left" w:pos="1320"/>
              <w:tab w:val="right" w:leader="dot" w:pos="9016"/>
            </w:tabs>
            <w:rPr>
              <w:rFonts w:eastAsiaTheme="minorEastAsia"/>
              <w:noProof/>
              <w:kern w:val="2"/>
              <w:sz w:val="24"/>
              <w:szCs w:val="24"/>
              <w:lang w:eastAsia="en-GB"/>
              <w14:ligatures w14:val="standardContextual"/>
            </w:rPr>
          </w:pPr>
          <w:hyperlink w:anchor="_Toc171075387" w:history="1">
            <w:r w:rsidR="00502DB6" w:rsidRPr="004A7088">
              <w:rPr>
                <w:rStyle w:val="Hyperlink"/>
                <w:noProof/>
                <w:lang w:val="en-US" w:eastAsia="en-GB"/>
              </w:rPr>
              <w:t>3.5.</w:t>
            </w:r>
            <w:r w:rsidR="00502DB6" w:rsidRPr="004A7088">
              <w:rPr>
                <w:rStyle w:val="Hyperlink"/>
                <w:noProof/>
              </w:rPr>
              <w:t>1</w:t>
            </w:r>
            <w:r w:rsidR="00502DB6">
              <w:rPr>
                <w:rFonts w:eastAsiaTheme="minorEastAsia"/>
                <w:noProof/>
                <w:kern w:val="2"/>
                <w:sz w:val="24"/>
                <w:szCs w:val="24"/>
                <w:lang w:eastAsia="en-GB"/>
                <w14:ligatures w14:val="standardContextual"/>
              </w:rPr>
              <w:tab/>
            </w:r>
            <w:r w:rsidR="00502DB6" w:rsidRPr="004A7088">
              <w:rPr>
                <w:rStyle w:val="Hyperlink"/>
                <w:noProof/>
              </w:rPr>
              <w:t>DIAGNOSTIC</w:t>
            </w:r>
            <w:r w:rsidR="00502DB6" w:rsidRPr="004A7088">
              <w:rPr>
                <w:rStyle w:val="Hyperlink"/>
                <w:noProof/>
                <w:lang w:val="en-US" w:eastAsia="en-GB"/>
              </w:rPr>
              <w:t xml:space="preserve"> TEST RESULTS</w:t>
            </w:r>
            <w:r w:rsidR="00502DB6">
              <w:rPr>
                <w:noProof/>
                <w:webHidden/>
              </w:rPr>
              <w:tab/>
            </w:r>
            <w:r w:rsidR="00502DB6">
              <w:rPr>
                <w:noProof/>
                <w:webHidden/>
              </w:rPr>
              <w:fldChar w:fldCharType="begin"/>
            </w:r>
            <w:r w:rsidR="00502DB6">
              <w:rPr>
                <w:noProof/>
                <w:webHidden/>
              </w:rPr>
              <w:instrText xml:space="preserve"> PAGEREF _Toc171075387 \h </w:instrText>
            </w:r>
            <w:r w:rsidR="00502DB6">
              <w:rPr>
                <w:noProof/>
                <w:webHidden/>
              </w:rPr>
            </w:r>
            <w:r w:rsidR="00502DB6">
              <w:rPr>
                <w:noProof/>
                <w:webHidden/>
              </w:rPr>
              <w:fldChar w:fldCharType="separate"/>
            </w:r>
            <w:r w:rsidR="002256B4">
              <w:rPr>
                <w:noProof/>
                <w:webHidden/>
              </w:rPr>
              <w:t>84</w:t>
            </w:r>
            <w:r w:rsidR="00502DB6">
              <w:rPr>
                <w:noProof/>
                <w:webHidden/>
              </w:rPr>
              <w:fldChar w:fldCharType="end"/>
            </w:r>
          </w:hyperlink>
        </w:p>
        <w:p w14:paraId="039277EF" w14:textId="4A055608" w:rsidR="00502DB6" w:rsidRDefault="00000000">
          <w:pPr>
            <w:pStyle w:val="TOC3"/>
            <w:tabs>
              <w:tab w:val="left" w:pos="1320"/>
              <w:tab w:val="right" w:leader="dot" w:pos="9016"/>
            </w:tabs>
            <w:rPr>
              <w:rFonts w:eastAsiaTheme="minorEastAsia"/>
              <w:noProof/>
              <w:kern w:val="2"/>
              <w:sz w:val="24"/>
              <w:szCs w:val="24"/>
              <w:lang w:eastAsia="en-GB"/>
              <w14:ligatures w14:val="standardContextual"/>
            </w:rPr>
          </w:pPr>
          <w:hyperlink w:anchor="_Toc171075388" w:history="1">
            <w:r w:rsidR="00502DB6" w:rsidRPr="004A7088">
              <w:rPr>
                <w:rStyle w:val="Hyperlink"/>
                <w:noProof/>
                <w:lang w:val="en-US" w:eastAsia="en-GB"/>
              </w:rPr>
              <w:t>3.5.</w:t>
            </w:r>
            <w:r w:rsidR="00502DB6" w:rsidRPr="004A7088">
              <w:rPr>
                <w:rStyle w:val="Hyperlink"/>
                <w:noProof/>
              </w:rPr>
              <w:t>2</w:t>
            </w:r>
            <w:r w:rsidR="00502DB6">
              <w:rPr>
                <w:rFonts w:eastAsiaTheme="minorEastAsia"/>
                <w:noProof/>
                <w:kern w:val="2"/>
                <w:sz w:val="24"/>
                <w:szCs w:val="24"/>
                <w:lang w:eastAsia="en-GB"/>
                <w14:ligatures w14:val="standardContextual"/>
              </w:rPr>
              <w:tab/>
            </w:r>
            <w:r w:rsidR="00502DB6" w:rsidRPr="004A7088">
              <w:rPr>
                <w:rStyle w:val="Hyperlink"/>
                <w:noProof/>
              </w:rPr>
              <w:t>UNIT ROOT TEST</w:t>
            </w:r>
            <w:r w:rsidR="00502DB6">
              <w:rPr>
                <w:noProof/>
                <w:webHidden/>
              </w:rPr>
              <w:tab/>
            </w:r>
            <w:r w:rsidR="00502DB6">
              <w:rPr>
                <w:noProof/>
                <w:webHidden/>
              </w:rPr>
              <w:fldChar w:fldCharType="begin"/>
            </w:r>
            <w:r w:rsidR="00502DB6">
              <w:rPr>
                <w:noProof/>
                <w:webHidden/>
              </w:rPr>
              <w:instrText xml:space="preserve"> PAGEREF _Toc171075388 \h </w:instrText>
            </w:r>
            <w:r w:rsidR="00502DB6">
              <w:rPr>
                <w:noProof/>
                <w:webHidden/>
              </w:rPr>
            </w:r>
            <w:r w:rsidR="00502DB6">
              <w:rPr>
                <w:noProof/>
                <w:webHidden/>
              </w:rPr>
              <w:fldChar w:fldCharType="separate"/>
            </w:r>
            <w:r w:rsidR="002256B4">
              <w:rPr>
                <w:noProof/>
                <w:webHidden/>
              </w:rPr>
              <w:t>85</w:t>
            </w:r>
            <w:r w:rsidR="00502DB6">
              <w:rPr>
                <w:noProof/>
                <w:webHidden/>
              </w:rPr>
              <w:fldChar w:fldCharType="end"/>
            </w:r>
          </w:hyperlink>
        </w:p>
        <w:p w14:paraId="250FB6D6" w14:textId="3EDCA5FF" w:rsidR="00502DB6" w:rsidRDefault="00000000">
          <w:pPr>
            <w:pStyle w:val="TOC3"/>
            <w:tabs>
              <w:tab w:val="left" w:pos="1320"/>
              <w:tab w:val="right" w:leader="dot" w:pos="9016"/>
            </w:tabs>
            <w:rPr>
              <w:rFonts w:eastAsiaTheme="minorEastAsia"/>
              <w:noProof/>
              <w:kern w:val="2"/>
              <w:sz w:val="24"/>
              <w:szCs w:val="24"/>
              <w:lang w:eastAsia="en-GB"/>
              <w14:ligatures w14:val="standardContextual"/>
            </w:rPr>
          </w:pPr>
          <w:hyperlink w:anchor="_Toc171075393" w:history="1">
            <w:r w:rsidR="00502DB6" w:rsidRPr="004A7088">
              <w:rPr>
                <w:rStyle w:val="Hyperlink"/>
                <w:noProof/>
                <w:lang w:val="en-US" w:eastAsia="en-GB"/>
              </w:rPr>
              <w:t>3.5.</w:t>
            </w:r>
            <w:r w:rsidR="00502DB6" w:rsidRPr="004A7088">
              <w:rPr>
                <w:rStyle w:val="Hyperlink"/>
                <w:noProof/>
              </w:rPr>
              <w:t>3</w:t>
            </w:r>
            <w:r w:rsidR="00502DB6">
              <w:rPr>
                <w:rFonts w:eastAsiaTheme="minorEastAsia"/>
                <w:noProof/>
                <w:kern w:val="2"/>
                <w:sz w:val="24"/>
                <w:szCs w:val="24"/>
                <w:lang w:eastAsia="en-GB"/>
                <w14:ligatures w14:val="standardContextual"/>
              </w:rPr>
              <w:tab/>
            </w:r>
            <w:r w:rsidR="00502DB6" w:rsidRPr="004A7088">
              <w:rPr>
                <w:rStyle w:val="Hyperlink"/>
                <w:noProof/>
              </w:rPr>
              <w:t>OPTIMAL</w:t>
            </w:r>
            <w:r w:rsidR="00502DB6" w:rsidRPr="004A7088">
              <w:rPr>
                <w:rStyle w:val="Hyperlink"/>
                <w:noProof/>
                <w:lang w:val="en-US" w:eastAsia="en-GB"/>
              </w:rPr>
              <w:t xml:space="preserve"> LAG LENGTH</w:t>
            </w:r>
            <w:r w:rsidR="00502DB6">
              <w:rPr>
                <w:noProof/>
                <w:webHidden/>
              </w:rPr>
              <w:tab/>
            </w:r>
            <w:r w:rsidR="00502DB6">
              <w:rPr>
                <w:noProof/>
                <w:webHidden/>
              </w:rPr>
              <w:fldChar w:fldCharType="begin"/>
            </w:r>
            <w:r w:rsidR="00502DB6">
              <w:rPr>
                <w:noProof/>
                <w:webHidden/>
              </w:rPr>
              <w:instrText xml:space="preserve"> PAGEREF _Toc171075393 \h </w:instrText>
            </w:r>
            <w:r w:rsidR="00502DB6">
              <w:rPr>
                <w:noProof/>
                <w:webHidden/>
              </w:rPr>
            </w:r>
            <w:r w:rsidR="00502DB6">
              <w:rPr>
                <w:noProof/>
                <w:webHidden/>
              </w:rPr>
              <w:fldChar w:fldCharType="separate"/>
            </w:r>
            <w:r w:rsidR="002256B4">
              <w:rPr>
                <w:noProof/>
                <w:webHidden/>
              </w:rPr>
              <w:t>85</w:t>
            </w:r>
            <w:r w:rsidR="00502DB6">
              <w:rPr>
                <w:noProof/>
                <w:webHidden/>
              </w:rPr>
              <w:fldChar w:fldCharType="end"/>
            </w:r>
          </w:hyperlink>
        </w:p>
        <w:p w14:paraId="66E5ED42" w14:textId="6DE68DCF" w:rsidR="00502DB6" w:rsidRDefault="00000000">
          <w:pPr>
            <w:pStyle w:val="TOC3"/>
            <w:tabs>
              <w:tab w:val="left" w:pos="1320"/>
              <w:tab w:val="right" w:leader="dot" w:pos="9016"/>
            </w:tabs>
            <w:rPr>
              <w:rFonts w:eastAsiaTheme="minorEastAsia"/>
              <w:noProof/>
              <w:kern w:val="2"/>
              <w:sz w:val="24"/>
              <w:szCs w:val="24"/>
              <w:lang w:eastAsia="en-GB"/>
              <w14:ligatures w14:val="standardContextual"/>
            </w:rPr>
          </w:pPr>
          <w:hyperlink w:anchor="_Toc171075394" w:history="1">
            <w:r w:rsidR="00502DB6" w:rsidRPr="004A7088">
              <w:rPr>
                <w:rStyle w:val="Hyperlink"/>
                <w:noProof/>
                <w:lang w:val="en-US" w:eastAsia="en-GB"/>
              </w:rPr>
              <w:t>3.5.</w:t>
            </w:r>
            <w:r w:rsidR="00502DB6" w:rsidRPr="004A7088">
              <w:rPr>
                <w:rStyle w:val="Hyperlink"/>
                <w:noProof/>
              </w:rPr>
              <w:t>4</w:t>
            </w:r>
            <w:r w:rsidR="00502DB6">
              <w:rPr>
                <w:rFonts w:eastAsiaTheme="minorEastAsia"/>
                <w:noProof/>
                <w:kern w:val="2"/>
                <w:sz w:val="24"/>
                <w:szCs w:val="24"/>
                <w:lang w:eastAsia="en-GB"/>
                <w14:ligatures w14:val="standardContextual"/>
              </w:rPr>
              <w:tab/>
            </w:r>
            <w:r w:rsidR="00502DB6" w:rsidRPr="004A7088">
              <w:rPr>
                <w:rStyle w:val="Hyperlink"/>
                <w:noProof/>
              </w:rPr>
              <w:t>COINTEGRATION</w:t>
            </w:r>
            <w:r w:rsidR="00502DB6" w:rsidRPr="004A7088">
              <w:rPr>
                <w:rStyle w:val="Hyperlink"/>
                <w:noProof/>
                <w:lang w:val="en-US" w:eastAsia="en-GB"/>
              </w:rPr>
              <w:t xml:space="preserve"> TEST</w:t>
            </w:r>
            <w:r w:rsidR="00502DB6">
              <w:rPr>
                <w:noProof/>
                <w:webHidden/>
              </w:rPr>
              <w:tab/>
            </w:r>
            <w:r w:rsidR="00502DB6">
              <w:rPr>
                <w:noProof/>
                <w:webHidden/>
              </w:rPr>
              <w:fldChar w:fldCharType="begin"/>
            </w:r>
            <w:r w:rsidR="00502DB6">
              <w:rPr>
                <w:noProof/>
                <w:webHidden/>
              </w:rPr>
              <w:instrText xml:space="preserve"> PAGEREF _Toc171075394 \h </w:instrText>
            </w:r>
            <w:r w:rsidR="00502DB6">
              <w:rPr>
                <w:noProof/>
                <w:webHidden/>
              </w:rPr>
            </w:r>
            <w:r w:rsidR="00502DB6">
              <w:rPr>
                <w:noProof/>
                <w:webHidden/>
              </w:rPr>
              <w:fldChar w:fldCharType="separate"/>
            </w:r>
            <w:r w:rsidR="002256B4">
              <w:rPr>
                <w:noProof/>
                <w:webHidden/>
              </w:rPr>
              <w:t>86</w:t>
            </w:r>
            <w:r w:rsidR="00502DB6">
              <w:rPr>
                <w:noProof/>
                <w:webHidden/>
              </w:rPr>
              <w:fldChar w:fldCharType="end"/>
            </w:r>
          </w:hyperlink>
        </w:p>
        <w:p w14:paraId="1DCBDBB0" w14:textId="3249D161" w:rsidR="00502DB6" w:rsidRDefault="00000000">
          <w:pPr>
            <w:pStyle w:val="TOC3"/>
            <w:tabs>
              <w:tab w:val="left" w:pos="1320"/>
              <w:tab w:val="right" w:leader="dot" w:pos="9016"/>
            </w:tabs>
            <w:rPr>
              <w:rFonts w:eastAsiaTheme="minorEastAsia"/>
              <w:noProof/>
              <w:kern w:val="2"/>
              <w:sz w:val="24"/>
              <w:szCs w:val="24"/>
              <w:lang w:eastAsia="en-GB"/>
              <w14:ligatures w14:val="standardContextual"/>
            </w:rPr>
          </w:pPr>
          <w:hyperlink w:anchor="_Toc171075395" w:history="1">
            <w:r w:rsidR="00502DB6" w:rsidRPr="004A7088">
              <w:rPr>
                <w:rStyle w:val="Hyperlink"/>
                <w:noProof/>
              </w:rPr>
              <w:t>3.5.5</w:t>
            </w:r>
            <w:r w:rsidR="00502DB6">
              <w:rPr>
                <w:rFonts w:eastAsiaTheme="minorEastAsia"/>
                <w:noProof/>
                <w:kern w:val="2"/>
                <w:sz w:val="24"/>
                <w:szCs w:val="24"/>
                <w:lang w:eastAsia="en-GB"/>
                <w14:ligatures w14:val="standardContextual"/>
              </w:rPr>
              <w:tab/>
            </w:r>
            <w:r w:rsidR="00502DB6" w:rsidRPr="004A7088">
              <w:rPr>
                <w:rStyle w:val="Hyperlink"/>
                <w:noProof/>
              </w:rPr>
              <w:t>EQUILIBRIUM EXCHANGE RATE AND MISALIGNMENT</w:t>
            </w:r>
            <w:r w:rsidR="00502DB6">
              <w:rPr>
                <w:noProof/>
                <w:webHidden/>
              </w:rPr>
              <w:tab/>
            </w:r>
            <w:r w:rsidR="00502DB6">
              <w:rPr>
                <w:noProof/>
                <w:webHidden/>
              </w:rPr>
              <w:fldChar w:fldCharType="begin"/>
            </w:r>
            <w:r w:rsidR="00502DB6">
              <w:rPr>
                <w:noProof/>
                <w:webHidden/>
              </w:rPr>
              <w:instrText xml:space="preserve"> PAGEREF _Toc171075395 \h </w:instrText>
            </w:r>
            <w:r w:rsidR="00502DB6">
              <w:rPr>
                <w:noProof/>
                <w:webHidden/>
              </w:rPr>
            </w:r>
            <w:r w:rsidR="00502DB6">
              <w:rPr>
                <w:noProof/>
                <w:webHidden/>
              </w:rPr>
              <w:fldChar w:fldCharType="separate"/>
            </w:r>
            <w:r w:rsidR="002256B4">
              <w:rPr>
                <w:noProof/>
                <w:webHidden/>
              </w:rPr>
              <w:t>94</w:t>
            </w:r>
            <w:r w:rsidR="00502DB6">
              <w:rPr>
                <w:noProof/>
                <w:webHidden/>
              </w:rPr>
              <w:fldChar w:fldCharType="end"/>
            </w:r>
          </w:hyperlink>
        </w:p>
        <w:p w14:paraId="30B7B931" w14:textId="6FA0794E" w:rsidR="00502DB6" w:rsidRDefault="00000000">
          <w:pPr>
            <w:pStyle w:val="TOC3"/>
            <w:tabs>
              <w:tab w:val="left" w:pos="1320"/>
              <w:tab w:val="right" w:leader="dot" w:pos="9016"/>
            </w:tabs>
            <w:rPr>
              <w:rFonts w:eastAsiaTheme="minorEastAsia"/>
              <w:noProof/>
              <w:kern w:val="2"/>
              <w:sz w:val="24"/>
              <w:szCs w:val="24"/>
              <w:lang w:eastAsia="en-GB"/>
              <w14:ligatures w14:val="standardContextual"/>
            </w:rPr>
          </w:pPr>
          <w:hyperlink w:anchor="_Toc171075396" w:history="1">
            <w:r w:rsidR="00502DB6" w:rsidRPr="004A7088">
              <w:rPr>
                <w:rStyle w:val="Hyperlink"/>
                <w:noProof/>
              </w:rPr>
              <w:t>3.5.6</w:t>
            </w:r>
            <w:r w:rsidR="00502DB6">
              <w:rPr>
                <w:rFonts w:eastAsiaTheme="minorEastAsia"/>
                <w:noProof/>
                <w:kern w:val="2"/>
                <w:sz w:val="24"/>
                <w:szCs w:val="24"/>
                <w:lang w:eastAsia="en-GB"/>
                <w14:ligatures w14:val="standardContextual"/>
              </w:rPr>
              <w:tab/>
            </w:r>
            <w:r w:rsidR="00502DB6" w:rsidRPr="004A7088">
              <w:rPr>
                <w:rStyle w:val="Hyperlink"/>
                <w:noProof/>
              </w:rPr>
              <w:t>STABILITY TESTS</w:t>
            </w:r>
            <w:r w:rsidR="00502DB6">
              <w:rPr>
                <w:noProof/>
                <w:webHidden/>
              </w:rPr>
              <w:tab/>
            </w:r>
            <w:r w:rsidR="00502DB6">
              <w:rPr>
                <w:noProof/>
                <w:webHidden/>
              </w:rPr>
              <w:fldChar w:fldCharType="begin"/>
            </w:r>
            <w:r w:rsidR="00502DB6">
              <w:rPr>
                <w:noProof/>
                <w:webHidden/>
              </w:rPr>
              <w:instrText xml:space="preserve"> PAGEREF _Toc171075396 \h </w:instrText>
            </w:r>
            <w:r w:rsidR="00502DB6">
              <w:rPr>
                <w:noProof/>
                <w:webHidden/>
              </w:rPr>
            </w:r>
            <w:r w:rsidR="00502DB6">
              <w:rPr>
                <w:noProof/>
                <w:webHidden/>
              </w:rPr>
              <w:fldChar w:fldCharType="separate"/>
            </w:r>
            <w:r w:rsidR="002256B4">
              <w:rPr>
                <w:noProof/>
                <w:webHidden/>
              </w:rPr>
              <w:t>104</w:t>
            </w:r>
            <w:r w:rsidR="00502DB6">
              <w:rPr>
                <w:noProof/>
                <w:webHidden/>
              </w:rPr>
              <w:fldChar w:fldCharType="end"/>
            </w:r>
          </w:hyperlink>
        </w:p>
        <w:p w14:paraId="134866DE" w14:textId="008AE7F5" w:rsidR="00502DB6" w:rsidRDefault="00000000">
          <w:pPr>
            <w:pStyle w:val="TOC2"/>
            <w:rPr>
              <w:rFonts w:eastAsiaTheme="minorEastAsia"/>
              <w:noProof/>
              <w:kern w:val="2"/>
              <w:sz w:val="24"/>
              <w:szCs w:val="24"/>
              <w:lang w:eastAsia="en-GB"/>
              <w14:ligatures w14:val="standardContextual"/>
            </w:rPr>
          </w:pPr>
          <w:hyperlink w:anchor="_Toc171075397" w:history="1">
            <w:r w:rsidR="00502DB6" w:rsidRPr="004A7088">
              <w:rPr>
                <w:rStyle w:val="Hyperlink"/>
                <w:noProof/>
              </w:rPr>
              <w:t xml:space="preserve">3.6 </w:t>
            </w:r>
            <w:r w:rsidR="00502DB6">
              <w:rPr>
                <w:rFonts w:eastAsiaTheme="minorEastAsia"/>
                <w:noProof/>
                <w:kern w:val="2"/>
                <w:sz w:val="24"/>
                <w:szCs w:val="24"/>
                <w:lang w:eastAsia="en-GB"/>
                <w14:ligatures w14:val="standardContextual"/>
              </w:rPr>
              <w:tab/>
            </w:r>
            <w:r w:rsidR="00502DB6" w:rsidRPr="004A7088">
              <w:rPr>
                <w:rStyle w:val="Hyperlink"/>
                <w:noProof/>
              </w:rPr>
              <w:t>CONCLUSION</w:t>
            </w:r>
            <w:r w:rsidR="00502DB6">
              <w:rPr>
                <w:noProof/>
                <w:webHidden/>
              </w:rPr>
              <w:tab/>
            </w:r>
            <w:r w:rsidR="00502DB6">
              <w:rPr>
                <w:noProof/>
                <w:webHidden/>
              </w:rPr>
              <w:fldChar w:fldCharType="begin"/>
            </w:r>
            <w:r w:rsidR="00502DB6">
              <w:rPr>
                <w:noProof/>
                <w:webHidden/>
              </w:rPr>
              <w:instrText xml:space="preserve"> PAGEREF _Toc171075397 \h </w:instrText>
            </w:r>
            <w:r w:rsidR="00502DB6">
              <w:rPr>
                <w:noProof/>
                <w:webHidden/>
              </w:rPr>
            </w:r>
            <w:r w:rsidR="00502DB6">
              <w:rPr>
                <w:noProof/>
                <w:webHidden/>
              </w:rPr>
              <w:fldChar w:fldCharType="separate"/>
            </w:r>
            <w:r w:rsidR="002256B4">
              <w:rPr>
                <w:noProof/>
                <w:webHidden/>
              </w:rPr>
              <w:t>106</w:t>
            </w:r>
            <w:r w:rsidR="00502DB6">
              <w:rPr>
                <w:noProof/>
                <w:webHidden/>
              </w:rPr>
              <w:fldChar w:fldCharType="end"/>
            </w:r>
          </w:hyperlink>
        </w:p>
        <w:p w14:paraId="5B9F12DC" w14:textId="25AB12E0" w:rsidR="00502DB6" w:rsidRDefault="00000000">
          <w:pPr>
            <w:pStyle w:val="TOC1"/>
            <w:tabs>
              <w:tab w:val="right" w:leader="dot" w:pos="9016"/>
            </w:tabs>
            <w:rPr>
              <w:rFonts w:eastAsiaTheme="minorEastAsia"/>
              <w:noProof/>
              <w:kern w:val="2"/>
              <w:sz w:val="24"/>
              <w:szCs w:val="24"/>
              <w:lang w:eastAsia="en-GB"/>
              <w14:ligatures w14:val="standardContextual"/>
            </w:rPr>
          </w:pPr>
          <w:hyperlink w:anchor="_Toc171075398" w:history="1">
            <w:r w:rsidR="00502DB6" w:rsidRPr="004A7088">
              <w:rPr>
                <w:rStyle w:val="Hyperlink"/>
                <w:rFonts w:eastAsia="Times New Roman"/>
                <w:noProof/>
                <w:lang w:val="en-US"/>
              </w:rPr>
              <w:t>CHAPTER 4  EMPIRICAL ANALYSIS OF THE IMPACT OF REER ON TRADE BALANCE</w:t>
            </w:r>
            <w:r w:rsidR="00502DB6">
              <w:rPr>
                <w:noProof/>
                <w:webHidden/>
              </w:rPr>
              <w:tab/>
            </w:r>
            <w:r w:rsidR="00502DB6">
              <w:rPr>
                <w:noProof/>
                <w:webHidden/>
              </w:rPr>
              <w:fldChar w:fldCharType="begin"/>
            </w:r>
            <w:r w:rsidR="00502DB6">
              <w:rPr>
                <w:noProof/>
                <w:webHidden/>
              </w:rPr>
              <w:instrText xml:space="preserve"> PAGEREF _Toc171075398 \h </w:instrText>
            </w:r>
            <w:r w:rsidR="00502DB6">
              <w:rPr>
                <w:noProof/>
                <w:webHidden/>
              </w:rPr>
            </w:r>
            <w:r w:rsidR="00502DB6">
              <w:rPr>
                <w:noProof/>
                <w:webHidden/>
              </w:rPr>
              <w:fldChar w:fldCharType="separate"/>
            </w:r>
            <w:r w:rsidR="002256B4">
              <w:rPr>
                <w:noProof/>
                <w:webHidden/>
              </w:rPr>
              <w:t>108</w:t>
            </w:r>
            <w:r w:rsidR="00502DB6">
              <w:rPr>
                <w:noProof/>
                <w:webHidden/>
              </w:rPr>
              <w:fldChar w:fldCharType="end"/>
            </w:r>
          </w:hyperlink>
        </w:p>
        <w:p w14:paraId="00A37551" w14:textId="282AC1CC" w:rsidR="00502DB6" w:rsidRDefault="00000000">
          <w:pPr>
            <w:pStyle w:val="TOC2"/>
            <w:rPr>
              <w:rFonts w:eastAsiaTheme="minorEastAsia"/>
              <w:noProof/>
              <w:kern w:val="2"/>
              <w:sz w:val="24"/>
              <w:szCs w:val="24"/>
              <w:lang w:eastAsia="en-GB"/>
              <w14:ligatures w14:val="standardContextual"/>
            </w:rPr>
          </w:pPr>
          <w:hyperlink w:anchor="_Toc171075399" w:history="1">
            <w:r w:rsidR="00502DB6" w:rsidRPr="004A7088">
              <w:rPr>
                <w:rStyle w:val="Hyperlink"/>
                <w:noProof/>
              </w:rPr>
              <w:t>4.1</w:t>
            </w:r>
            <w:r w:rsidR="00502DB6">
              <w:rPr>
                <w:rFonts w:eastAsiaTheme="minorEastAsia"/>
                <w:noProof/>
                <w:kern w:val="2"/>
                <w:sz w:val="24"/>
                <w:szCs w:val="24"/>
                <w:lang w:eastAsia="en-GB"/>
                <w14:ligatures w14:val="standardContextual"/>
              </w:rPr>
              <w:tab/>
            </w:r>
            <w:r w:rsidR="00502DB6" w:rsidRPr="004A7088">
              <w:rPr>
                <w:rStyle w:val="Hyperlink"/>
                <w:noProof/>
              </w:rPr>
              <w:t>INTRODUCTION</w:t>
            </w:r>
            <w:r w:rsidR="00502DB6">
              <w:rPr>
                <w:noProof/>
                <w:webHidden/>
              </w:rPr>
              <w:tab/>
            </w:r>
            <w:r w:rsidR="00502DB6">
              <w:rPr>
                <w:noProof/>
                <w:webHidden/>
              </w:rPr>
              <w:fldChar w:fldCharType="begin"/>
            </w:r>
            <w:r w:rsidR="00502DB6">
              <w:rPr>
                <w:noProof/>
                <w:webHidden/>
              </w:rPr>
              <w:instrText xml:space="preserve"> PAGEREF _Toc171075399 \h </w:instrText>
            </w:r>
            <w:r w:rsidR="00502DB6">
              <w:rPr>
                <w:noProof/>
                <w:webHidden/>
              </w:rPr>
            </w:r>
            <w:r w:rsidR="00502DB6">
              <w:rPr>
                <w:noProof/>
                <w:webHidden/>
              </w:rPr>
              <w:fldChar w:fldCharType="separate"/>
            </w:r>
            <w:r w:rsidR="002256B4">
              <w:rPr>
                <w:noProof/>
                <w:webHidden/>
              </w:rPr>
              <w:t>108</w:t>
            </w:r>
            <w:r w:rsidR="00502DB6">
              <w:rPr>
                <w:noProof/>
                <w:webHidden/>
              </w:rPr>
              <w:fldChar w:fldCharType="end"/>
            </w:r>
          </w:hyperlink>
        </w:p>
        <w:p w14:paraId="19D84D6A" w14:textId="03CDF0A1" w:rsidR="00502DB6" w:rsidRDefault="00000000">
          <w:pPr>
            <w:pStyle w:val="TOC2"/>
            <w:rPr>
              <w:rFonts w:eastAsiaTheme="minorEastAsia"/>
              <w:noProof/>
              <w:kern w:val="2"/>
              <w:sz w:val="24"/>
              <w:szCs w:val="24"/>
              <w:lang w:eastAsia="en-GB"/>
              <w14:ligatures w14:val="standardContextual"/>
            </w:rPr>
          </w:pPr>
          <w:hyperlink w:anchor="_Toc171075400" w:history="1">
            <w:r w:rsidR="00502DB6" w:rsidRPr="004A7088">
              <w:rPr>
                <w:rStyle w:val="Hyperlink"/>
                <w:noProof/>
              </w:rPr>
              <w:t>4.2</w:t>
            </w:r>
            <w:r w:rsidR="00502DB6">
              <w:rPr>
                <w:rFonts w:eastAsiaTheme="minorEastAsia"/>
                <w:noProof/>
                <w:kern w:val="2"/>
                <w:sz w:val="24"/>
                <w:szCs w:val="24"/>
                <w:lang w:eastAsia="en-GB"/>
                <w14:ligatures w14:val="standardContextual"/>
              </w:rPr>
              <w:tab/>
            </w:r>
            <w:r w:rsidR="00502DB6" w:rsidRPr="004A7088">
              <w:rPr>
                <w:rStyle w:val="Hyperlink"/>
                <w:noProof/>
              </w:rPr>
              <w:t>RELATIONSHIP BETWEEN reer AND TRADE BALANCE</w:t>
            </w:r>
            <w:r w:rsidR="00502DB6">
              <w:rPr>
                <w:noProof/>
                <w:webHidden/>
              </w:rPr>
              <w:tab/>
            </w:r>
            <w:r w:rsidR="00502DB6">
              <w:rPr>
                <w:noProof/>
                <w:webHidden/>
              </w:rPr>
              <w:fldChar w:fldCharType="begin"/>
            </w:r>
            <w:r w:rsidR="00502DB6">
              <w:rPr>
                <w:noProof/>
                <w:webHidden/>
              </w:rPr>
              <w:instrText xml:space="preserve"> PAGEREF _Toc171075400 \h </w:instrText>
            </w:r>
            <w:r w:rsidR="00502DB6">
              <w:rPr>
                <w:noProof/>
                <w:webHidden/>
              </w:rPr>
            </w:r>
            <w:r w:rsidR="00502DB6">
              <w:rPr>
                <w:noProof/>
                <w:webHidden/>
              </w:rPr>
              <w:fldChar w:fldCharType="separate"/>
            </w:r>
            <w:r w:rsidR="002256B4">
              <w:rPr>
                <w:noProof/>
                <w:webHidden/>
              </w:rPr>
              <w:t>111</w:t>
            </w:r>
            <w:r w:rsidR="00502DB6">
              <w:rPr>
                <w:noProof/>
                <w:webHidden/>
              </w:rPr>
              <w:fldChar w:fldCharType="end"/>
            </w:r>
          </w:hyperlink>
        </w:p>
        <w:p w14:paraId="1A1E9CB3" w14:textId="02FD0C7B" w:rsidR="00502DB6" w:rsidRDefault="00000000">
          <w:pPr>
            <w:pStyle w:val="TOC2"/>
            <w:rPr>
              <w:rFonts w:eastAsiaTheme="minorEastAsia"/>
              <w:noProof/>
              <w:kern w:val="2"/>
              <w:sz w:val="24"/>
              <w:szCs w:val="24"/>
              <w:lang w:eastAsia="en-GB"/>
              <w14:ligatures w14:val="standardContextual"/>
            </w:rPr>
          </w:pPr>
          <w:hyperlink w:anchor="_Toc171075401" w:history="1">
            <w:r w:rsidR="00502DB6" w:rsidRPr="004A7088">
              <w:rPr>
                <w:rStyle w:val="Hyperlink"/>
                <w:noProof/>
              </w:rPr>
              <w:t xml:space="preserve">4.3 </w:t>
            </w:r>
            <w:r w:rsidR="00502DB6">
              <w:rPr>
                <w:rFonts w:eastAsiaTheme="minorEastAsia"/>
                <w:noProof/>
                <w:kern w:val="2"/>
                <w:sz w:val="24"/>
                <w:szCs w:val="24"/>
                <w:lang w:eastAsia="en-GB"/>
                <w14:ligatures w14:val="standardContextual"/>
              </w:rPr>
              <w:tab/>
            </w:r>
            <w:r w:rsidR="00502DB6" w:rsidRPr="004A7088">
              <w:rPr>
                <w:rStyle w:val="Hyperlink"/>
                <w:noProof/>
              </w:rPr>
              <w:t xml:space="preserve">THE </w:t>
            </w:r>
            <w:r w:rsidR="00502DB6" w:rsidRPr="004A7088">
              <w:rPr>
                <w:rStyle w:val="Hyperlink"/>
                <w:i/>
                <w:noProof/>
              </w:rPr>
              <w:t>J-</w:t>
            </w:r>
            <w:r w:rsidR="00502DB6" w:rsidRPr="004A7088">
              <w:rPr>
                <w:rStyle w:val="Hyperlink"/>
                <w:noProof/>
              </w:rPr>
              <w:t>CURVE EFFECT</w:t>
            </w:r>
            <w:r w:rsidR="00502DB6">
              <w:rPr>
                <w:noProof/>
                <w:webHidden/>
              </w:rPr>
              <w:tab/>
            </w:r>
            <w:r w:rsidR="00502DB6">
              <w:rPr>
                <w:noProof/>
                <w:webHidden/>
              </w:rPr>
              <w:fldChar w:fldCharType="begin"/>
            </w:r>
            <w:r w:rsidR="00502DB6">
              <w:rPr>
                <w:noProof/>
                <w:webHidden/>
              </w:rPr>
              <w:instrText xml:space="preserve"> PAGEREF _Toc171075401 \h </w:instrText>
            </w:r>
            <w:r w:rsidR="00502DB6">
              <w:rPr>
                <w:noProof/>
                <w:webHidden/>
              </w:rPr>
            </w:r>
            <w:r w:rsidR="00502DB6">
              <w:rPr>
                <w:noProof/>
                <w:webHidden/>
              </w:rPr>
              <w:fldChar w:fldCharType="separate"/>
            </w:r>
            <w:r w:rsidR="002256B4">
              <w:rPr>
                <w:noProof/>
                <w:webHidden/>
              </w:rPr>
              <w:t>113</w:t>
            </w:r>
            <w:r w:rsidR="00502DB6">
              <w:rPr>
                <w:noProof/>
                <w:webHidden/>
              </w:rPr>
              <w:fldChar w:fldCharType="end"/>
            </w:r>
          </w:hyperlink>
        </w:p>
        <w:p w14:paraId="236E3F0E" w14:textId="30D69524" w:rsidR="00502DB6" w:rsidRDefault="00000000">
          <w:pPr>
            <w:pStyle w:val="TOC2"/>
            <w:rPr>
              <w:rFonts w:eastAsiaTheme="minorEastAsia"/>
              <w:noProof/>
              <w:kern w:val="2"/>
              <w:sz w:val="24"/>
              <w:szCs w:val="24"/>
              <w:lang w:eastAsia="en-GB"/>
              <w14:ligatures w14:val="standardContextual"/>
            </w:rPr>
          </w:pPr>
          <w:hyperlink w:anchor="_Toc171075402" w:history="1">
            <w:r w:rsidR="00502DB6" w:rsidRPr="004A7088">
              <w:rPr>
                <w:rStyle w:val="Hyperlink"/>
                <w:noProof/>
              </w:rPr>
              <w:t>4.4</w:t>
            </w:r>
            <w:r w:rsidR="00502DB6">
              <w:rPr>
                <w:rFonts w:eastAsiaTheme="minorEastAsia"/>
                <w:noProof/>
                <w:kern w:val="2"/>
                <w:sz w:val="24"/>
                <w:szCs w:val="24"/>
                <w:lang w:eastAsia="en-GB"/>
                <w14:ligatures w14:val="standardContextual"/>
              </w:rPr>
              <w:tab/>
            </w:r>
            <w:r w:rsidR="00502DB6" w:rsidRPr="004A7088">
              <w:rPr>
                <w:rStyle w:val="Hyperlink"/>
                <w:noProof/>
              </w:rPr>
              <w:t>EMPIRICAL MODEL</w:t>
            </w:r>
            <w:r w:rsidR="00502DB6">
              <w:rPr>
                <w:noProof/>
                <w:webHidden/>
              </w:rPr>
              <w:tab/>
            </w:r>
            <w:r w:rsidR="00502DB6">
              <w:rPr>
                <w:noProof/>
                <w:webHidden/>
              </w:rPr>
              <w:fldChar w:fldCharType="begin"/>
            </w:r>
            <w:r w:rsidR="00502DB6">
              <w:rPr>
                <w:noProof/>
                <w:webHidden/>
              </w:rPr>
              <w:instrText xml:space="preserve"> PAGEREF _Toc171075402 \h </w:instrText>
            </w:r>
            <w:r w:rsidR="00502DB6">
              <w:rPr>
                <w:noProof/>
                <w:webHidden/>
              </w:rPr>
            </w:r>
            <w:r w:rsidR="00502DB6">
              <w:rPr>
                <w:noProof/>
                <w:webHidden/>
              </w:rPr>
              <w:fldChar w:fldCharType="separate"/>
            </w:r>
            <w:r w:rsidR="002256B4">
              <w:rPr>
                <w:noProof/>
                <w:webHidden/>
              </w:rPr>
              <w:t>117</w:t>
            </w:r>
            <w:r w:rsidR="00502DB6">
              <w:rPr>
                <w:noProof/>
                <w:webHidden/>
              </w:rPr>
              <w:fldChar w:fldCharType="end"/>
            </w:r>
          </w:hyperlink>
        </w:p>
        <w:p w14:paraId="5775CADF" w14:textId="157DAC2D" w:rsidR="00502DB6" w:rsidRDefault="00000000">
          <w:pPr>
            <w:pStyle w:val="TOC3"/>
            <w:tabs>
              <w:tab w:val="left" w:pos="1320"/>
              <w:tab w:val="right" w:leader="dot" w:pos="9016"/>
            </w:tabs>
            <w:rPr>
              <w:rFonts w:eastAsiaTheme="minorEastAsia"/>
              <w:noProof/>
              <w:kern w:val="2"/>
              <w:sz w:val="24"/>
              <w:szCs w:val="24"/>
              <w:lang w:eastAsia="en-GB"/>
              <w14:ligatures w14:val="standardContextual"/>
            </w:rPr>
          </w:pPr>
          <w:hyperlink w:anchor="_Toc171075403" w:history="1">
            <w:r w:rsidR="00502DB6" w:rsidRPr="004A7088">
              <w:rPr>
                <w:rStyle w:val="Hyperlink"/>
                <w:noProof/>
              </w:rPr>
              <w:t>4.4.1</w:t>
            </w:r>
            <w:r w:rsidR="00502DB6">
              <w:rPr>
                <w:rFonts w:eastAsiaTheme="minorEastAsia"/>
                <w:noProof/>
                <w:kern w:val="2"/>
                <w:sz w:val="24"/>
                <w:szCs w:val="24"/>
                <w:lang w:eastAsia="en-GB"/>
                <w14:ligatures w14:val="standardContextual"/>
              </w:rPr>
              <w:tab/>
            </w:r>
            <w:r w:rsidR="00502DB6" w:rsidRPr="004A7088">
              <w:rPr>
                <w:rStyle w:val="Hyperlink"/>
                <w:noProof/>
              </w:rPr>
              <w:t>TYPES AND SOURCE OF DATA</w:t>
            </w:r>
            <w:r w:rsidR="00502DB6">
              <w:rPr>
                <w:noProof/>
                <w:webHidden/>
              </w:rPr>
              <w:tab/>
            </w:r>
            <w:r w:rsidR="00502DB6">
              <w:rPr>
                <w:noProof/>
                <w:webHidden/>
              </w:rPr>
              <w:fldChar w:fldCharType="begin"/>
            </w:r>
            <w:r w:rsidR="00502DB6">
              <w:rPr>
                <w:noProof/>
                <w:webHidden/>
              </w:rPr>
              <w:instrText xml:space="preserve"> PAGEREF _Toc171075403 \h </w:instrText>
            </w:r>
            <w:r w:rsidR="00502DB6">
              <w:rPr>
                <w:noProof/>
                <w:webHidden/>
              </w:rPr>
            </w:r>
            <w:r w:rsidR="00502DB6">
              <w:rPr>
                <w:noProof/>
                <w:webHidden/>
              </w:rPr>
              <w:fldChar w:fldCharType="separate"/>
            </w:r>
            <w:r w:rsidR="002256B4">
              <w:rPr>
                <w:noProof/>
                <w:webHidden/>
              </w:rPr>
              <w:t>119</w:t>
            </w:r>
            <w:r w:rsidR="00502DB6">
              <w:rPr>
                <w:noProof/>
                <w:webHidden/>
              </w:rPr>
              <w:fldChar w:fldCharType="end"/>
            </w:r>
          </w:hyperlink>
        </w:p>
        <w:p w14:paraId="5CF4B9D8" w14:textId="503762FD" w:rsidR="00502DB6" w:rsidRDefault="00000000">
          <w:pPr>
            <w:pStyle w:val="TOC2"/>
            <w:rPr>
              <w:rFonts w:eastAsiaTheme="minorEastAsia"/>
              <w:noProof/>
              <w:kern w:val="2"/>
              <w:sz w:val="24"/>
              <w:szCs w:val="24"/>
              <w:lang w:eastAsia="en-GB"/>
              <w14:ligatures w14:val="standardContextual"/>
            </w:rPr>
          </w:pPr>
          <w:hyperlink w:anchor="_Toc171075404" w:history="1">
            <w:r w:rsidR="00502DB6" w:rsidRPr="004A7088">
              <w:rPr>
                <w:rStyle w:val="Hyperlink"/>
                <w:noProof/>
              </w:rPr>
              <w:t>4.5</w:t>
            </w:r>
            <w:r w:rsidR="00502DB6">
              <w:rPr>
                <w:rFonts w:eastAsiaTheme="minorEastAsia"/>
                <w:noProof/>
                <w:kern w:val="2"/>
                <w:sz w:val="24"/>
                <w:szCs w:val="24"/>
                <w:lang w:eastAsia="en-GB"/>
                <w14:ligatures w14:val="standardContextual"/>
              </w:rPr>
              <w:tab/>
            </w:r>
            <w:r w:rsidR="00502DB6" w:rsidRPr="004A7088">
              <w:rPr>
                <w:rStyle w:val="Hyperlink"/>
                <w:noProof/>
              </w:rPr>
              <w:t>ECONOMETRIC APPROACH</w:t>
            </w:r>
            <w:r w:rsidR="00502DB6">
              <w:rPr>
                <w:noProof/>
                <w:webHidden/>
              </w:rPr>
              <w:tab/>
            </w:r>
            <w:r w:rsidR="00502DB6">
              <w:rPr>
                <w:noProof/>
                <w:webHidden/>
              </w:rPr>
              <w:fldChar w:fldCharType="begin"/>
            </w:r>
            <w:r w:rsidR="00502DB6">
              <w:rPr>
                <w:noProof/>
                <w:webHidden/>
              </w:rPr>
              <w:instrText xml:space="preserve"> PAGEREF _Toc171075404 \h </w:instrText>
            </w:r>
            <w:r w:rsidR="00502DB6">
              <w:rPr>
                <w:noProof/>
                <w:webHidden/>
              </w:rPr>
            </w:r>
            <w:r w:rsidR="00502DB6">
              <w:rPr>
                <w:noProof/>
                <w:webHidden/>
              </w:rPr>
              <w:fldChar w:fldCharType="separate"/>
            </w:r>
            <w:r w:rsidR="002256B4">
              <w:rPr>
                <w:noProof/>
                <w:webHidden/>
              </w:rPr>
              <w:t>121</w:t>
            </w:r>
            <w:r w:rsidR="00502DB6">
              <w:rPr>
                <w:noProof/>
                <w:webHidden/>
              </w:rPr>
              <w:fldChar w:fldCharType="end"/>
            </w:r>
          </w:hyperlink>
        </w:p>
        <w:p w14:paraId="338A7A1F" w14:textId="00CD12A9" w:rsidR="00502DB6" w:rsidRDefault="00000000">
          <w:pPr>
            <w:pStyle w:val="TOC3"/>
            <w:tabs>
              <w:tab w:val="left" w:pos="1320"/>
              <w:tab w:val="right" w:leader="dot" w:pos="9016"/>
            </w:tabs>
            <w:rPr>
              <w:rFonts w:eastAsiaTheme="minorEastAsia"/>
              <w:noProof/>
              <w:kern w:val="2"/>
              <w:sz w:val="24"/>
              <w:szCs w:val="24"/>
              <w:lang w:eastAsia="en-GB"/>
              <w14:ligatures w14:val="standardContextual"/>
            </w:rPr>
          </w:pPr>
          <w:hyperlink w:anchor="_Toc171075405" w:history="1">
            <w:r w:rsidR="00502DB6" w:rsidRPr="004A7088">
              <w:rPr>
                <w:rStyle w:val="Hyperlink"/>
                <w:noProof/>
              </w:rPr>
              <w:t>4.5.1</w:t>
            </w:r>
            <w:r w:rsidR="00502DB6">
              <w:rPr>
                <w:rFonts w:eastAsiaTheme="minorEastAsia"/>
                <w:noProof/>
                <w:kern w:val="2"/>
                <w:sz w:val="24"/>
                <w:szCs w:val="24"/>
                <w:lang w:eastAsia="en-GB"/>
                <w14:ligatures w14:val="standardContextual"/>
              </w:rPr>
              <w:tab/>
            </w:r>
            <w:r w:rsidR="00502DB6" w:rsidRPr="004A7088">
              <w:rPr>
                <w:rStyle w:val="Hyperlink"/>
                <w:noProof/>
              </w:rPr>
              <w:t>DIAGNOSTIC TESTS</w:t>
            </w:r>
            <w:r w:rsidR="00502DB6">
              <w:rPr>
                <w:noProof/>
                <w:webHidden/>
              </w:rPr>
              <w:tab/>
            </w:r>
            <w:r w:rsidR="00502DB6">
              <w:rPr>
                <w:noProof/>
                <w:webHidden/>
              </w:rPr>
              <w:fldChar w:fldCharType="begin"/>
            </w:r>
            <w:r w:rsidR="00502DB6">
              <w:rPr>
                <w:noProof/>
                <w:webHidden/>
              </w:rPr>
              <w:instrText xml:space="preserve"> PAGEREF _Toc171075405 \h </w:instrText>
            </w:r>
            <w:r w:rsidR="00502DB6">
              <w:rPr>
                <w:noProof/>
                <w:webHidden/>
              </w:rPr>
            </w:r>
            <w:r w:rsidR="00502DB6">
              <w:rPr>
                <w:noProof/>
                <w:webHidden/>
              </w:rPr>
              <w:fldChar w:fldCharType="separate"/>
            </w:r>
            <w:r w:rsidR="002256B4">
              <w:rPr>
                <w:noProof/>
                <w:webHidden/>
              </w:rPr>
              <w:t>123</w:t>
            </w:r>
            <w:r w:rsidR="00502DB6">
              <w:rPr>
                <w:noProof/>
                <w:webHidden/>
              </w:rPr>
              <w:fldChar w:fldCharType="end"/>
            </w:r>
          </w:hyperlink>
        </w:p>
        <w:p w14:paraId="627BCB41" w14:textId="12F8C3A3" w:rsidR="00502DB6" w:rsidRDefault="00000000">
          <w:pPr>
            <w:pStyle w:val="TOC3"/>
            <w:tabs>
              <w:tab w:val="left" w:pos="1320"/>
              <w:tab w:val="right" w:leader="dot" w:pos="9016"/>
            </w:tabs>
            <w:rPr>
              <w:rFonts w:eastAsiaTheme="minorEastAsia"/>
              <w:noProof/>
              <w:kern w:val="2"/>
              <w:sz w:val="24"/>
              <w:szCs w:val="24"/>
              <w:lang w:eastAsia="en-GB"/>
              <w14:ligatures w14:val="standardContextual"/>
            </w:rPr>
          </w:pPr>
          <w:hyperlink w:anchor="_Toc171075406" w:history="1">
            <w:r w:rsidR="00502DB6" w:rsidRPr="004A7088">
              <w:rPr>
                <w:rStyle w:val="Hyperlink"/>
                <w:noProof/>
              </w:rPr>
              <w:t>4.5.2</w:t>
            </w:r>
            <w:r w:rsidR="00502DB6">
              <w:rPr>
                <w:rFonts w:eastAsiaTheme="minorEastAsia"/>
                <w:noProof/>
                <w:kern w:val="2"/>
                <w:sz w:val="24"/>
                <w:szCs w:val="24"/>
                <w:lang w:eastAsia="en-GB"/>
                <w14:ligatures w14:val="standardContextual"/>
              </w:rPr>
              <w:tab/>
            </w:r>
            <w:r w:rsidR="00502DB6" w:rsidRPr="004A7088">
              <w:rPr>
                <w:rStyle w:val="Hyperlink"/>
                <w:noProof/>
              </w:rPr>
              <w:t>TEST FOR STATIONARITY (UNIT ROOT TEST)</w:t>
            </w:r>
            <w:r w:rsidR="00502DB6">
              <w:rPr>
                <w:noProof/>
                <w:webHidden/>
              </w:rPr>
              <w:tab/>
            </w:r>
            <w:r w:rsidR="00502DB6">
              <w:rPr>
                <w:noProof/>
                <w:webHidden/>
              </w:rPr>
              <w:fldChar w:fldCharType="begin"/>
            </w:r>
            <w:r w:rsidR="00502DB6">
              <w:rPr>
                <w:noProof/>
                <w:webHidden/>
              </w:rPr>
              <w:instrText xml:space="preserve"> PAGEREF _Toc171075406 \h </w:instrText>
            </w:r>
            <w:r w:rsidR="00502DB6">
              <w:rPr>
                <w:noProof/>
                <w:webHidden/>
              </w:rPr>
            </w:r>
            <w:r w:rsidR="00502DB6">
              <w:rPr>
                <w:noProof/>
                <w:webHidden/>
              </w:rPr>
              <w:fldChar w:fldCharType="separate"/>
            </w:r>
            <w:r w:rsidR="002256B4">
              <w:rPr>
                <w:noProof/>
                <w:webHidden/>
              </w:rPr>
              <w:t>125</w:t>
            </w:r>
            <w:r w:rsidR="00502DB6">
              <w:rPr>
                <w:noProof/>
                <w:webHidden/>
              </w:rPr>
              <w:fldChar w:fldCharType="end"/>
            </w:r>
          </w:hyperlink>
        </w:p>
        <w:p w14:paraId="42316E34" w14:textId="0356025E" w:rsidR="00502DB6" w:rsidRDefault="00000000">
          <w:pPr>
            <w:pStyle w:val="TOC3"/>
            <w:tabs>
              <w:tab w:val="left" w:pos="1320"/>
              <w:tab w:val="right" w:leader="dot" w:pos="9016"/>
            </w:tabs>
            <w:rPr>
              <w:rFonts w:eastAsiaTheme="minorEastAsia"/>
              <w:noProof/>
              <w:kern w:val="2"/>
              <w:sz w:val="24"/>
              <w:szCs w:val="24"/>
              <w:lang w:eastAsia="en-GB"/>
              <w14:ligatures w14:val="standardContextual"/>
            </w:rPr>
          </w:pPr>
          <w:hyperlink w:anchor="_Toc171075407" w:history="1">
            <w:r w:rsidR="00502DB6" w:rsidRPr="004A7088">
              <w:rPr>
                <w:rStyle w:val="Hyperlink"/>
                <w:noProof/>
              </w:rPr>
              <w:t>4.5.3</w:t>
            </w:r>
            <w:r w:rsidR="00502DB6">
              <w:rPr>
                <w:rFonts w:eastAsiaTheme="minorEastAsia"/>
                <w:noProof/>
                <w:kern w:val="2"/>
                <w:sz w:val="24"/>
                <w:szCs w:val="24"/>
                <w:lang w:eastAsia="en-GB"/>
                <w14:ligatures w14:val="standardContextual"/>
              </w:rPr>
              <w:tab/>
            </w:r>
            <w:r w:rsidR="00502DB6" w:rsidRPr="004A7088">
              <w:rPr>
                <w:rStyle w:val="Hyperlink"/>
                <w:noProof/>
              </w:rPr>
              <w:t>DETERMINE OPTIMAL LAG LENGTH</w:t>
            </w:r>
            <w:r w:rsidR="00502DB6">
              <w:rPr>
                <w:noProof/>
                <w:webHidden/>
              </w:rPr>
              <w:tab/>
            </w:r>
            <w:r w:rsidR="00502DB6">
              <w:rPr>
                <w:noProof/>
                <w:webHidden/>
              </w:rPr>
              <w:fldChar w:fldCharType="begin"/>
            </w:r>
            <w:r w:rsidR="00502DB6">
              <w:rPr>
                <w:noProof/>
                <w:webHidden/>
              </w:rPr>
              <w:instrText xml:space="preserve"> PAGEREF _Toc171075407 \h </w:instrText>
            </w:r>
            <w:r w:rsidR="00502DB6">
              <w:rPr>
                <w:noProof/>
                <w:webHidden/>
              </w:rPr>
            </w:r>
            <w:r w:rsidR="00502DB6">
              <w:rPr>
                <w:noProof/>
                <w:webHidden/>
              </w:rPr>
              <w:fldChar w:fldCharType="separate"/>
            </w:r>
            <w:r w:rsidR="002256B4">
              <w:rPr>
                <w:noProof/>
                <w:webHidden/>
              </w:rPr>
              <w:t>127</w:t>
            </w:r>
            <w:r w:rsidR="00502DB6">
              <w:rPr>
                <w:noProof/>
                <w:webHidden/>
              </w:rPr>
              <w:fldChar w:fldCharType="end"/>
            </w:r>
          </w:hyperlink>
        </w:p>
        <w:p w14:paraId="7D5DA8D0" w14:textId="0869F1CD" w:rsidR="00502DB6" w:rsidRDefault="00000000">
          <w:pPr>
            <w:pStyle w:val="TOC3"/>
            <w:tabs>
              <w:tab w:val="left" w:pos="1320"/>
              <w:tab w:val="right" w:leader="dot" w:pos="9016"/>
            </w:tabs>
            <w:rPr>
              <w:rFonts w:eastAsiaTheme="minorEastAsia"/>
              <w:noProof/>
              <w:kern w:val="2"/>
              <w:sz w:val="24"/>
              <w:szCs w:val="24"/>
              <w:lang w:eastAsia="en-GB"/>
              <w14:ligatures w14:val="standardContextual"/>
            </w:rPr>
          </w:pPr>
          <w:hyperlink w:anchor="_Toc171075408" w:history="1">
            <w:r w:rsidR="00502DB6" w:rsidRPr="004A7088">
              <w:rPr>
                <w:rStyle w:val="Hyperlink"/>
                <w:noProof/>
              </w:rPr>
              <w:t>4.5.4</w:t>
            </w:r>
            <w:r w:rsidR="00502DB6">
              <w:rPr>
                <w:rFonts w:eastAsiaTheme="minorEastAsia"/>
                <w:noProof/>
                <w:kern w:val="2"/>
                <w:sz w:val="24"/>
                <w:szCs w:val="24"/>
                <w:lang w:eastAsia="en-GB"/>
                <w14:ligatures w14:val="standardContextual"/>
              </w:rPr>
              <w:tab/>
            </w:r>
            <w:r w:rsidR="00502DB6" w:rsidRPr="004A7088">
              <w:rPr>
                <w:rStyle w:val="Hyperlink"/>
                <w:noProof/>
              </w:rPr>
              <w:t>COINTEGRATION TEST</w:t>
            </w:r>
            <w:r w:rsidR="00502DB6">
              <w:rPr>
                <w:noProof/>
                <w:webHidden/>
              </w:rPr>
              <w:tab/>
            </w:r>
            <w:r w:rsidR="00502DB6">
              <w:rPr>
                <w:noProof/>
                <w:webHidden/>
              </w:rPr>
              <w:fldChar w:fldCharType="begin"/>
            </w:r>
            <w:r w:rsidR="00502DB6">
              <w:rPr>
                <w:noProof/>
                <w:webHidden/>
              </w:rPr>
              <w:instrText xml:space="preserve"> PAGEREF _Toc171075408 \h </w:instrText>
            </w:r>
            <w:r w:rsidR="00502DB6">
              <w:rPr>
                <w:noProof/>
                <w:webHidden/>
              </w:rPr>
            </w:r>
            <w:r w:rsidR="00502DB6">
              <w:rPr>
                <w:noProof/>
                <w:webHidden/>
              </w:rPr>
              <w:fldChar w:fldCharType="separate"/>
            </w:r>
            <w:r w:rsidR="002256B4">
              <w:rPr>
                <w:noProof/>
                <w:webHidden/>
              </w:rPr>
              <w:t>127</w:t>
            </w:r>
            <w:r w:rsidR="00502DB6">
              <w:rPr>
                <w:noProof/>
                <w:webHidden/>
              </w:rPr>
              <w:fldChar w:fldCharType="end"/>
            </w:r>
          </w:hyperlink>
        </w:p>
        <w:p w14:paraId="0D22314C" w14:textId="0F897635" w:rsidR="00502DB6" w:rsidRDefault="00000000">
          <w:pPr>
            <w:pStyle w:val="TOC3"/>
            <w:tabs>
              <w:tab w:val="left" w:pos="1320"/>
              <w:tab w:val="right" w:leader="dot" w:pos="9016"/>
            </w:tabs>
            <w:rPr>
              <w:rFonts w:eastAsiaTheme="minorEastAsia"/>
              <w:noProof/>
              <w:kern w:val="2"/>
              <w:sz w:val="24"/>
              <w:szCs w:val="24"/>
              <w:lang w:eastAsia="en-GB"/>
              <w14:ligatures w14:val="standardContextual"/>
            </w:rPr>
          </w:pPr>
          <w:hyperlink w:anchor="_Toc171075409" w:history="1">
            <w:r w:rsidR="00502DB6" w:rsidRPr="004A7088">
              <w:rPr>
                <w:rStyle w:val="Hyperlink"/>
                <w:noProof/>
              </w:rPr>
              <w:t>4.5.5</w:t>
            </w:r>
            <w:r w:rsidR="00502DB6">
              <w:rPr>
                <w:rFonts w:eastAsiaTheme="minorEastAsia"/>
                <w:noProof/>
                <w:kern w:val="2"/>
                <w:sz w:val="24"/>
                <w:szCs w:val="24"/>
                <w:lang w:eastAsia="en-GB"/>
                <w14:ligatures w14:val="standardContextual"/>
              </w:rPr>
              <w:tab/>
            </w:r>
            <w:r w:rsidR="00502DB6" w:rsidRPr="004A7088">
              <w:rPr>
                <w:rStyle w:val="Hyperlink"/>
                <w:noProof/>
              </w:rPr>
              <w:t>STABILITY TEST</w:t>
            </w:r>
            <w:r w:rsidR="00502DB6">
              <w:rPr>
                <w:noProof/>
                <w:webHidden/>
              </w:rPr>
              <w:tab/>
            </w:r>
            <w:r w:rsidR="00502DB6">
              <w:rPr>
                <w:noProof/>
                <w:webHidden/>
              </w:rPr>
              <w:fldChar w:fldCharType="begin"/>
            </w:r>
            <w:r w:rsidR="00502DB6">
              <w:rPr>
                <w:noProof/>
                <w:webHidden/>
              </w:rPr>
              <w:instrText xml:space="preserve"> PAGEREF _Toc171075409 \h </w:instrText>
            </w:r>
            <w:r w:rsidR="00502DB6">
              <w:rPr>
                <w:noProof/>
                <w:webHidden/>
              </w:rPr>
            </w:r>
            <w:r w:rsidR="00502DB6">
              <w:rPr>
                <w:noProof/>
                <w:webHidden/>
              </w:rPr>
              <w:fldChar w:fldCharType="separate"/>
            </w:r>
            <w:r w:rsidR="002256B4">
              <w:rPr>
                <w:noProof/>
                <w:webHidden/>
              </w:rPr>
              <w:t>128</w:t>
            </w:r>
            <w:r w:rsidR="00502DB6">
              <w:rPr>
                <w:noProof/>
                <w:webHidden/>
              </w:rPr>
              <w:fldChar w:fldCharType="end"/>
            </w:r>
          </w:hyperlink>
        </w:p>
        <w:p w14:paraId="73C9DC4A" w14:textId="3CA9FEFC" w:rsidR="00502DB6" w:rsidRDefault="00000000">
          <w:pPr>
            <w:pStyle w:val="TOC2"/>
            <w:rPr>
              <w:rFonts w:eastAsiaTheme="minorEastAsia"/>
              <w:noProof/>
              <w:kern w:val="2"/>
              <w:sz w:val="24"/>
              <w:szCs w:val="24"/>
              <w:lang w:eastAsia="en-GB"/>
              <w14:ligatures w14:val="standardContextual"/>
            </w:rPr>
          </w:pPr>
          <w:hyperlink w:anchor="_Toc171075410" w:history="1">
            <w:r w:rsidR="00502DB6" w:rsidRPr="004A7088">
              <w:rPr>
                <w:rStyle w:val="Hyperlink"/>
                <w:noProof/>
              </w:rPr>
              <w:t>4.6</w:t>
            </w:r>
            <w:r w:rsidR="00502DB6">
              <w:rPr>
                <w:rFonts w:eastAsiaTheme="minorEastAsia"/>
                <w:noProof/>
                <w:kern w:val="2"/>
                <w:sz w:val="24"/>
                <w:szCs w:val="24"/>
                <w:lang w:eastAsia="en-GB"/>
                <w14:ligatures w14:val="standardContextual"/>
              </w:rPr>
              <w:tab/>
            </w:r>
            <w:r w:rsidR="00502DB6" w:rsidRPr="004A7088">
              <w:rPr>
                <w:rStyle w:val="Hyperlink"/>
                <w:noProof/>
              </w:rPr>
              <w:t>BILATERAL AGGREGATE TRADE EMPIRICAL ANALYSIS</w:t>
            </w:r>
            <w:r w:rsidR="00502DB6">
              <w:rPr>
                <w:noProof/>
                <w:webHidden/>
              </w:rPr>
              <w:tab/>
            </w:r>
            <w:r w:rsidR="00502DB6">
              <w:rPr>
                <w:noProof/>
                <w:webHidden/>
              </w:rPr>
              <w:fldChar w:fldCharType="begin"/>
            </w:r>
            <w:r w:rsidR="00502DB6">
              <w:rPr>
                <w:noProof/>
                <w:webHidden/>
              </w:rPr>
              <w:instrText xml:space="preserve"> PAGEREF _Toc171075410 \h </w:instrText>
            </w:r>
            <w:r w:rsidR="00502DB6">
              <w:rPr>
                <w:noProof/>
                <w:webHidden/>
              </w:rPr>
            </w:r>
            <w:r w:rsidR="00502DB6">
              <w:rPr>
                <w:noProof/>
                <w:webHidden/>
              </w:rPr>
              <w:fldChar w:fldCharType="separate"/>
            </w:r>
            <w:r w:rsidR="002256B4">
              <w:rPr>
                <w:noProof/>
                <w:webHidden/>
              </w:rPr>
              <w:t>129</w:t>
            </w:r>
            <w:r w:rsidR="00502DB6">
              <w:rPr>
                <w:noProof/>
                <w:webHidden/>
              </w:rPr>
              <w:fldChar w:fldCharType="end"/>
            </w:r>
          </w:hyperlink>
        </w:p>
        <w:p w14:paraId="2214FF1E" w14:textId="2107FE74" w:rsidR="00502DB6" w:rsidRDefault="00000000">
          <w:pPr>
            <w:pStyle w:val="TOC3"/>
            <w:tabs>
              <w:tab w:val="left" w:pos="1320"/>
              <w:tab w:val="right" w:leader="dot" w:pos="9016"/>
            </w:tabs>
            <w:rPr>
              <w:rFonts w:eastAsiaTheme="minorEastAsia"/>
              <w:noProof/>
              <w:kern w:val="2"/>
              <w:sz w:val="24"/>
              <w:szCs w:val="24"/>
              <w:lang w:eastAsia="en-GB"/>
              <w14:ligatures w14:val="standardContextual"/>
            </w:rPr>
          </w:pPr>
          <w:hyperlink w:anchor="_Toc171075411" w:history="1">
            <w:r w:rsidR="00502DB6" w:rsidRPr="004A7088">
              <w:rPr>
                <w:rStyle w:val="Hyperlink"/>
                <w:noProof/>
                <w:lang w:val="en-US" w:eastAsia="en-GB"/>
              </w:rPr>
              <w:t>4.6.</w:t>
            </w:r>
            <w:r w:rsidR="00502DB6" w:rsidRPr="004A7088">
              <w:rPr>
                <w:rStyle w:val="Hyperlink"/>
                <w:noProof/>
              </w:rPr>
              <w:t>1</w:t>
            </w:r>
            <w:r w:rsidR="00502DB6">
              <w:rPr>
                <w:rFonts w:eastAsiaTheme="minorEastAsia"/>
                <w:noProof/>
                <w:kern w:val="2"/>
                <w:sz w:val="24"/>
                <w:szCs w:val="24"/>
                <w:lang w:eastAsia="en-GB"/>
                <w14:ligatures w14:val="standardContextual"/>
              </w:rPr>
              <w:tab/>
            </w:r>
            <w:r w:rsidR="00502DB6" w:rsidRPr="004A7088">
              <w:rPr>
                <w:rStyle w:val="Hyperlink"/>
                <w:noProof/>
              </w:rPr>
              <w:t>DIAGNOSTIC</w:t>
            </w:r>
            <w:r w:rsidR="00502DB6" w:rsidRPr="004A7088">
              <w:rPr>
                <w:rStyle w:val="Hyperlink"/>
                <w:noProof/>
                <w:lang w:val="en-US" w:eastAsia="en-GB"/>
              </w:rPr>
              <w:t xml:space="preserve"> TEST RESULTS</w:t>
            </w:r>
            <w:r w:rsidR="00502DB6">
              <w:rPr>
                <w:noProof/>
                <w:webHidden/>
              </w:rPr>
              <w:tab/>
            </w:r>
            <w:r w:rsidR="00502DB6">
              <w:rPr>
                <w:noProof/>
                <w:webHidden/>
              </w:rPr>
              <w:fldChar w:fldCharType="begin"/>
            </w:r>
            <w:r w:rsidR="00502DB6">
              <w:rPr>
                <w:noProof/>
                <w:webHidden/>
              </w:rPr>
              <w:instrText xml:space="preserve"> PAGEREF _Toc171075411 \h </w:instrText>
            </w:r>
            <w:r w:rsidR="00502DB6">
              <w:rPr>
                <w:noProof/>
                <w:webHidden/>
              </w:rPr>
            </w:r>
            <w:r w:rsidR="00502DB6">
              <w:rPr>
                <w:noProof/>
                <w:webHidden/>
              </w:rPr>
              <w:fldChar w:fldCharType="separate"/>
            </w:r>
            <w:r w:rsidR="002256B4">
              <w:rPr>
                <w:noProof/>
                <w:webHidden/>
              </w:rPr>
              <w:t>130</w:t>
            </w:r>
            <w:r w:rsidR="00502DB6">
              <w:rPr>
                <w:noProof/>
                <w:webHidden/>
              </w:rPr>
              <w:fldChar w:fldCharType="end"/>
            </w:r>
          </w:hyperlink>
        </w:p>
        <w:p w14:paraId="1A8BDBAC" w14:textId="465DF2A7" w:rsidR="00502DB6" w:rsidRDefault="00000000">
          <w:pPr>
            <w:pStyle w:val="TOC3"/>
            <w:tabs>
              <w:tab w:val="left" w:pos="1320"/>
              <w:tab w:val="right" w:leader="dot" w:pos="9016"/>
            </w:tabs>
            <w:rPr>
              <w:rFonts w:eastAsiaTheme="minorEastAsia"/>
              <w:noProof/>
              <w:kern w:val="2"/>
              <w:sz w:val="24"/>
              <w:szCs w:val="24"/>
              <w:lang w:eastAsia="en-GB"/>
              <w14:ligatures w14:val="standardContextual"/>
            </w:rPr>
          </w:pPr>
          <w:hyperlink w:anchor="_Toc171075412" w:history="1">
            <w:r w:rsidR="00502DB6" w:rsidRPr="004A7088">
              <w:rPr>
                <w:rStyle w:val="Hyperlink"/>
                <w:noProof/>
                <w:lang w:val="en-US" w:eastAsia="en-GB"/>
              </w:rPr>
              <w:t>4.6.</w:t>
            </w:r>
            <w:r w:rsidR="00502DB6" w:rsidRPr="004A7088">
              <w:rPr>
                <w:rStyle w:val="Hyperlink"/>
                <w:noProof/>
              </w:rPr>
              <w:t>2</w:t>
            </w:r>
            <w:r w:rsidR="00502DB6">
              <w:rPr>
                <w:rFonts w:eastAsiaTheme="minorEastAsia"/>
                <w:noProof/>
                <w:kern w:val="2"/>
                <w:sz w:val="24"/>
                <w:szCs w:val="24"/>
                <w:lang w:eastAsia="en-GB"/>
                <w14:ligatures w14:val="standardContextual"/>
              </w:rPr>
              <w:tab/>
            </w:r>
            <w:r w:rsidR="00502DB6" w:rsidRPr="004A7088">
              <w:rPr>
                <w:rStyle w:val="Hyperlink"/>
                <w:noProof/>
              </w:rPr>
              <w:t>UNIT</w:t>
            </w:r>
            <w:r w:rsidR="00502DB6" w:rsidRPr="004A7088">
              <w:rPr>
                <w:rStyle w:val="Hyperlink"/>
                <w:noProof/>
                <w:lang w:val="en-US" w:eastAsia="en-GB"/>
              </w:rPr>
              <w:t xml:space="preserve"> ROOT TEST</w:t>
            </w:r>
            <w:r w:rsidR="00502DB6">
              <w:rPr>
                <w:noProof/>
                <w:webHidden/>
              </w:rPr>
              <w:tab/>
            </w:r>
            <w:r w:rsidR="00502DB6">
              <w:rPr>
                <w:noProof/>
                <w:webHidden/>
              </w:rPr>
              <w:fldChar w:fldCharType="begin"/>
            </w:r>
            <w:r w:rsidR="00502DB6">
              <w:rPr>
                <w:noProof/>
                <w:webHidden/>
              </w:rPr>
              <w:instrText xml:space="preserve"> PAGEREF _Toc171075412 \h </w:instrText>
            </w:r>
            <w:r w:rsidR="00502DB6">
              <w:rPr>
                <w:noProof/>
                <w:webHidden/>
              </w:rPr>
            </w:r>
            <w:r w:rsidR="00502DB6">
              <w:rPr>
                <w:noProof/>
                <w:webHidden/>
              </w:rPr>
              <w:fldChar w:fldCharType="separate"/>
            </w:r>
            <w:r w:rsidR="002256B4">
              <w:rPr>
                <w:noProof/>
                <w:webHidden/>
              </w:rPr>
              <w:t>131</w:t>
            </w:r>
            <w:r w:rsidR="00502DB6">
              <w:rPr>
                <w:noProof/>
                <w:webHidden/>
              </w:rPr>
              <w:fldChar w:fldCharType="end"/>
            </w:r>
          </w:hyperlink>
        </w:p>
        <w:p w14:paraId="02770AB0" w14:textId="41CBE0AC" w:rsidR="00502DB6" w:rsidRDefault="00000000">
          <w:pPr>
            <w:pStyle w:val="TOC3"/>
            <w:tabs>
              <w:tab w:val="left" w:pos="1320"/>
              <w:tab w:val="right" w:leader="dot" w:pos="9016"/>
            </w:tabs>
            <w:rPr>
              <w:rFonts w:eastAsiaTheme="minorEastAsia"/>
              <w:noProof/>
              <w:kern w:val="2"/>
              <w:sz w:val="24"/>
              <w:szCs w:val="24"/>
              <w:lang w:eastAsia="en-GB"/>
              <w14:ligatures w14:val="standardContextual"/>
            </w:rPr>
          </w:pPr>
          <w:hyperlink w:anchor="_Toc171075413" w:history="1">
            <w:r w:rsidR="00502DB6" w:rsidRPr="004A7088">
              <w:rPr>
                <w:rStyle w:val="Hyperlink"/>
                <w:noProof/>
                <w:lang w:val="en-US" w:eastAsia="en-GB"/>
              </w:rPr>
              <w:t>4.6.</w:t>
            </w:r>
            <w:r w:rsidR="00502DB6" w:rsidRPr="004A7088">
              <w:rPr>
                <w:rStyle w:val="Hyperlink"/>
                <w:noProof/>
              </w:rPr>
              <w:t>3</w:t>
            </w:r>
            <w:r w:rsidR="00502DB6">
              <w:rPr>
                <w:rFonts w:eastAsiaTheme="minorEastAsia"/>
                <w:noProof/>
                <w:kern w:val="2"/>
                <w:sz w:val="24"/>
                <w:szCs w:val="24"/>
                <w:lang w:eastAsia="en-GB"/>
                <w14:ligatures w14:val="standardContextual"/>
              </w:rPr>
              <w:tab/>
            </w:r>
            <w:r w:rsidR="00502DB6" w:rsidRPr="004A7088">
              <w:rPr>
                <w:rStyle w:val="Hyperlink"/>
                <w:noProof/>
              </w:rPr>
              <w:t>OPTIMAL</w:t>
            </w:r>
            <w:r w:rsidR="00502DB6" w:rsidRPr="004A7088">
              <w:rPr>
                <w:rStyle w:val="Hyperlink"/>
                <w:noProof/>
                <w:lang w:val="en-US" w:eastAsia="en-GB"/>
              </w:rPr>
              <w:t xml:space="preserve"> LAG LENGTH</w:t>
            </w:r>
            <w:r w:rsidR="00502DB6">
              <w:rPr>
                <w:noProof/>
                <w:webHidden/>
              </w:rPr>
              <w:tab/>
            </w:r>
            <w:r w:rsidR="00502DB6">
              <w:rPr>
                <w:noProof/>
                <w:webHidden/>
              </w:rPr>
              <w:fldChar w:fldCharType="begin"/>
            </w:r>
            <w:r w:rsidR="00502DB6">
              <w:rPr>
                <w:noProof/>
                <w:webHidden/>
              </w:rPr>
              <w:instrText xml:space="preserve"> PAGEREF _Toc171075413 \h </w:instrText>
            </w:r>
            <w:r w:rsidR="00502DB6">
              <w:rPr>
                <w:noProof/>
                <w:webHidden/>
              </w:rPr>
            </w:r>
            <w:r w:rsidR="00502DB6">
              <w:rPr>
                <w:noProof/>
                <w:webHidden/>
              </w:rPr>
              <w:fldChar w:fldCharType="separate"/>
            </w:r>
            <w:r w:rsidR="002256B4">
              <w:rPr>
                <w:noProof/>
                <w:webHidden/>
              </w:rPr>
              <w:t>131</w:t>
            </w:r>
            <w:r w:rsidR="00502DB6">
              <w:rPr>
                <w:noProof/>
                <w:webHidden/>
              </w:rPr>
              <w:fldChar w:fldCharType="end"/>
            </w:r>
          </w:hyperlink>
        </w:p>
        <w:p w14:paraId="2BE1B411" w14:textId="02513673" w:rsidR="00502DB6" w:rsidRDefault="00000000">
          <w:pPr>
            <w:pStyle w:val="TOC3"/>
            <w:tabs>
              <w:tab w:val="left" w:pos="1320"/>
              <w:tab w:val="right" w:leader="dot" w:pos="9016"/>
            </w:tabs>
            <w:rPr>
              <w:rFonts w:eastAsiaTheme="minorEastAsia"/>
              <w:noProof/>
              <w:kern w:val="2"/>
              <w:sz w:val="24"/>
              <w:szCs w:val="24"/>
              <w:lang w:eastAsia="en-GB"/>
              <w14:ligatures w14:val="standardContextual"/>
            </w:rPr>
          </w:pPr>
          <w:hyperlink w:anchor="_Toc171075414" w:history="1">
            <w:r w:rsidR="00502DB6" w:rsidRPr="004A7088">
              <w:rPr>
                <w:rStyle w:val="Hyperlink"/>
                <w:noProof/>
                <w:lang w:val="en-US" w:eastAsia="en-GB"/>
              </w:rPr>
              <w:t>4.6.4</w:t>
            </w:r>
            <w:r w:rsidR="00502DB6">
              <w:rPr>
                <w:rFonts w:eastAsiaTheme="minorEastAsia"/>
                <w:noProof/>
                <w:kern w:val="2"/>
                <w:sz w:val="24"/>
                <w:szCs w:val="24"/>
                <w:lang w:eastAsia="en-GB"/>
                <w14:ligatures w14:val="standardContextual"/>
              </w:rPr>
              <w:tab/>
            </w:r>
            <w:r w:rsidR="00502DB6" w:rsidRPr="004A7088">
              <w:rPr>
                <w:rStyle w:val="Hyperlink"/>
                <w:noProof/>
                <w:lang w:val="en-US" w:eastAsia="en-GB"/>
              </w:rPr>
              <w:t>COINTEGRATION TEST</w:t>
            </w:r>
            <w:r w:rsidR="00502DB6">
              <w:rPr>
                <w:noProof/>
                <w:webHidden/>
              </w:rPr>
              <w:tab/>
            </w:r>
            <w:r w:rsidR="00502DB6">
              <w:rPr>
                <w:noProof/>
                <w:webHidden/>
              </w:rPr>
              <w:fldChar w:fldCharType="begin"/>
            </w:r>
            <w:r w:rsidR="00502DB6">
              <w:rPr>
                <w:noProof/>
                <w:webHidden/>
              </w:rPr>
              <w:instrText xml:space="preserve"> PAGEREF _Toc171075414 \h </w:instrText>
            </w:r>
            <w:r w:rsidR="00502DB6">
              <w:rPr>
                <w:noProof/>
                <w:webHidden/>
              </w:rPr>
            </w:r>
            <w:r w:rsidR="00502DB6">
              <w:rPr>
                <w:noProof/>
                <w:webHidden/>
              </w:rPr>
              <w:fldChar w:fldCharType="separate"/>
            </w:r>
            <w:r w:rsidR="002256B4">
              <w:rPr>
                <w:noProof/>
                <w:webHidden/>
              </w:rPr>
              <w:t>132</w:t>
            </w:r>
            <w:r w:rsidR="00502DB6">
              <w:rPr>
                <w:noProof/>
                <w:webHidden/>
              </w:rPr>
              <w:fldChar w:fldCharType="end"/>
            </w:r>
          </w:hyperlink>
        </w:p>
        <w:p w14:paraId="0CC5B783" w14:textId="7465A710" w:rsidR="00502DB6" w:rsidRDefault="00000000">
          <w:pPr>
            <w:pStyle w:val="TOC3"/>
            <w:tabs>
              <w:tab w:val="left" w:pos="1320"/>
              <w:tab w:val="right" w:leader="dot" w:pos="9016"/>
            </w:tabs>
            <w:rPr>
              <w:rFonts w:eastAsiaTheme="minorEastAsia"/>
              <w:noProof/>
              <w:kern w:val="2"/>
              <w:sz w:val="24"/>
              <w:szCs w:val="24"/>
              <w:lang w:eastAsia="en-GB"/>
              <w14:ligatures w14:val="standardContextual"/>
            </w:rPr>
          </w:pPr>
          <w:hyperlink w:anchor="_Toc171075415" w:history="1">
            <w:r w:rsidR="00502DB6" w:rsidRPr="004A7088">
              <w:rPr>
                <w:rStyle w:val="Hyperlink"/>
                <w:noProof/>
                <w:lang w:val="en-US" w:eastAsia="en-GB"/>
              </w:rPr>
              <w:t>4.6.5</w:t>
            </w:r>
            <w:r w:rsidR="00502DB6">
              <w:rPr>
                <w:rFonts w:eastAsiaTheme="minorEastAsia"/>
                <w:noProof/>
                <w:kern w:val="2"/>
                <w:sz w:val="24"/>
                <w:szCs w:val="24"/>
                <w:lang w:eastAsia="en-GB"/>
                <w14:ligatures w14:val="standardContextual"/>
              </w:rPr>
              <w:tab/>
            </w:r>
            <w:r w:rsidR="00502DB6" w:rsidRPr="004A7088">
              <w:rPr>
                <w:rStyle w:val="Hyperlink"/>
                <w:noProof/>
                <w:lang w:val="en-US" w:eastAsia="en-GB"/>
              </w:rPr>
              <w:t>LONG-RUN AND SHORT-RUN RELATIONSHIP BETWEEN LNTB AND LNREER</w:t>
            </w:r>
            <w:r w:rsidR="00502DB6">
              <w:rPr>
                <w:noProof/>
                <w:webHidden/>
              </w:rPr>
              <w:tab/>
            </w:r>
            <w:r w:rsidR="00502DB6">
              <w:rPr>
                <w:noProof/>
                <w:webHidden/>
              </w:rPr>
              <w:fldChar w:fldCharType="begin"/>
            </w:r>
            <w:r w:rsidR="00502DB6">
              <w:rPr>
                <w:noProof/>
                <w:webHidden/>
              </w:rPr>
              <w:instrText xml:space="preserve"> PAGEREF _Toc171075415 \h </w:instrText>
            </w:r>
            <w:r w:rsidR="00502DB6">
              <w:rPr>
                <w:noProof/>
                <w:webHidden/>
              </w:rPr>
            </w:r>
            <w:r w:rsidR="00502DB6">
              <w:rPr>
                <w:noProof/>
                <w:webHidden/>
              </w:rPr>
              <w:fldChar w:fldCharType="separate"/>
            </w:r>
            <w:r w:rsidR="002256B4">
              <w:rPr>
                <w:noProof/>
                <w:webHidden/>
              </w:rPr>
              <w:t>134</w:t>
            </w:r>
            <w:r w:rsidR="00502DB6">
              <w:rPr>
                <w:noProof/>
                <w:webHidden/>
              </w:rPr>
              <w:fldChar w:fldCharType="end"/>
            </w:r>
          </w:hyperlink>
        </w:p>
        <w:p w14:paraId="181DE413" w14:textId="42C77483" w:rsidR="00502DB6" w:rsidRDefault="00000000">
          <w:pPr>
            <w:pStyle w:val="TOC3"/>
            <w:tabs>
              <w:tab w:val="left" w:pos="1320"/>
              <w:tab w:val="right" w:leader="dot" w:pos="9016"/>
            </w:tabs>
            <w:rPr>
              <w:rFonts w:eastAsiaTheme="minorEastAsia"/>
              <w:noProof/>
              <w:kern w:val="2"/>
              <w:sz w:val="24"/>
              <w:szCs w:val="24"/>
              <w:lang w:eastAsia="en-GB"/>
              <w14:ligatures w14:val="standardContextual"/>
            </w:rPr>
          </w:pPr>
          <w:hyperlink w:anchor="_Toc171075416" w:history="1">
            <w:r w:rsidR="00502DB6" w:rsidRPr="004A7088">
              <w:rPr>
                <w:rStyle w:val="Hyperlink"/>
                <w:noProof/>
                <w:lang w:val="en-US" w:eastAsia="en-GB"/>
              </w:rPr>
              <w:t>4.6.6</w:t>
            </w:r>
            <w:r w:rsidR="00502DB6">
              <w:rPr>
                <w:rFonts w:eastAsiaTheme="minorEastAsia"/>
                <w:noProof/>
                <w:kern w:val="2"/>
                <w:sz w:val="24"/>
                <w:szCs w:val="24"/>
                <w:lang w:eastAsia="en-GB"/>
                <w14:ligatures w14:val="standardContextual"/>
              </w:rPr>
              <w:tab/>
            </w:r>
            <w:r w:rsidR="00502DB6" w:rsidRPr="004A7088">
              <w:rPr>
                <w:rStyle w:val="Hyperlink"/>
                <w:noProof/>
                <w:lang w:val="en-US" w:eastAsia="en-GB"/>
              </w:rPr>
              <w:t>IMPULSE RESPONSE FUNCTION (IRF)</w:t>
            </w:r>
            <w:r w:rsidR="00502DB6">
              <w:rPr>
                <w:noProof/>
                <w:webHidden/>
              </w:rPr>
              <w:tab/>
            </w:r>
            <w:r w:rsidR="00502DB6">
              <w:rPr>
                <w:noProof/>
                <w:webHidden/>
              </w:rPr>
              <w:fldChar w:fldCharType="begin"/>
            </w:r>
            <w:r w:rsidR="00502DB6">
              <w:rPr>
                <w:noProof/>
                <w:webHidden/>
              </w:rPr>
              <w:instrText xml:space="preserve"> PAGEREF _Toc171075416 \h </w:instrText>
            </w:r>
            <w:r w:rsidR="00502DB6">
              <w:rPr>
                <w:noProof/>
                <w:webHidden/>
              </w:rPr>
            </w:r>
            <w:r w:rsidR="00502DB6">
              <w:rPr>
                <w:noProof/>
                <w:webHidden/>
              </w:rPr>
              <w:fldChar w:fldCharType="separate"/>
            </w:r>
            <w:r w:rsidR="002256B4">
              <w:rPr>
                <w:noProof/>
                <w:webHidden/>
              </w:rPr>
              <w:t>142</w:t>
            </w:r>
            <w:r w:rsidR="00502DB6">
              <w:rPr>
                <w:noProof/>
                <w:webHidden/>
              </w:rPr>
              <w:fldChar w:fldCharType="end"/>
            </w:r>
          </w:hyperlink>
        </w:p>
        <w:p w14:paraId="4DC36B51" w14:textId="05867853" w:rsidR="00502DB6" w:rsidRDefault="00000000">
          <w:pPr>
            <w:pStyle w:val="TOC3"/>
            <w:tabs>
              <w:tab w:val="left" w:pos="1320"/>
              <w:tab w:val="right" w:leader="dot" w:pos="9016"/>
            </w:tabs>
            <w:rPr>
              <w:rFonts w:eastAsiaTheme="minorEastAsia"/>
              <w:noProof/>
              <w:kern w:val="2"/>
              <w:sz w:val="24"/>
              <w:szCs w:val="24"/>
              <w:lang w:eastAsia="en-GB"/>
              <w14:ligatures w14:val="standardContextual"/>
            </w:rPr>
          </w:pPr>
          <w:hyperlink w:anchor="_Toc171075417" w:history="1">
            <w:r w:rsidR="00502DB6" w:rsidRPr="004A7088">
              <w:rPr>
                <w:rStyle w:val="Hyperlink"/>
                <w:noProof/>
              </w:rPr>
              <w:t>4.6.7</w:t>
            </w:r>
            <w:r w:rsidR="00502DB6">
              <w:rPr>
                <w:rFonts w:eastAsiaTheme="minorEastAsia"/>
                <w:noProof/>
                <w:kern w:val="2"/>
                <w:sz w:val="24"/>
                <w:szCs w:val="24"/>
                <w:lang w:eastAsia="en-GB"/>
                <w14:ligatures w14:val="standardContextual"/>
              </w:rPr>
              <w:tab/>
            </w:r>
            <w:r w:rsidR="00502DB6" w:rsidRPr="004A7088">
              <w:rPr>
                <w:rStyle w:val="Hyperlink"/>
                <w:noProof/>
              </w:rPr>
              <w:t>STABILITY TEST</w:t>
            </w:r>
            <w:r w:rsidR="00502DB6">
              <w:rPr>
                <w:noProof/>
                <w:webHidden/>
              </w:rPr>
              <w:tab/>
            </w:r>
            <w:r w:rsidR="00502DB6">
              <w:rPr>
                <w:noProof/>
                <w:webHidden/>
              </w:rPr>
              <w:fldChar w:fldCharType="begin"/>
            </w:r>
            <w:r w:rsidR="00502DB6">
              <w:rPr>
                <w:noProof/>
                <w:webHidden/>
              </w:rPr>
              <w:instrText xml:space="preserve"> PAGEREF _Toc171075417 \h </w:instrText>
            </w:r>
            <w:r w:rsidR="00502DB6">
              <w:rPr>
                <w:noProof/>
                <w:webHidden/>
              </w:rPr>
            </w:r>
            <w:r w:rsidR="00502DB6">
              <w:rPr>
                <w:noProof/>
                <w:webHidden/>
              </w:rPr>
              <w:fldChar w:fldCharType="separate"/>
            </w:r>
            <w:r w:rsidR="002256B4">
              <w:rPr>
                <w:noProof/>
                <w:webHidden/>
              </w:rPr>
              <w:t>150</w:t>
            </w:r>
            <w:r w:rsidR="00502DB6">
              <w:rPr>
                <w:noProof/>
                <w:webHidden/>
              </w:rPr>
              <w:fldChar w:fldCharType="end"/>
            </w:r>
          </w:hyperlink>
        </w:p>
        <w:p w14:paraId="5CF8E807" w14:textId="5279EE9C" w:rsidR="00502DB6" w:rsidRDefault="00000000">
          <w:pPr>
            <w:pStyle w:val="TOC2"/>
            <w:rPr>
              <w:rFonts w:eastAsiaTheme="minorEastAsia"/>
              <w:noProof/>
              <w:kern w:val="2"/>
              <w:sz w:val="24"/>
              <w:szCs w:val="24"/>
              <w:lang w:eastAsia="en-GB"/>
              <w14:ligatures w14:val="standardContextual"/>
            </w:rPr>
          </w:pPr>
          <w:hyperlink w:anchor="_Toc171075418" w:history="1">
            <w:r w:rsidR="00502DB6" w:rsidRPr="004A7088">
              <w:rPr>
                <w:rStyle w:val="Hyperlink"/>
                <w:noProof/>
              </w:rPr>
              <w:t>4.7</w:t>
            </w:r>
            <w:r w:rsidR="00502DB6">
              <w:rPr>
                <w:rFonts w:eastAsiaTheme="minorEastAsia"/>
                <w:noProof/>
                <w:kern w:val="2"/>
                <w:sz w:val="24"/>
                <w:szCs w:val="24"/>
                <w:lang w:eastAsia="en-GB"/>
                <w14:ligatures w14:val="standardContextual"/>
              </w:rPr>
              <w:tab/>
            </w:r>
            <w:r w:rsidR="00502DB6" w:rsidRPr="004A7088">
              <w:rPr>
                <w:rStyle w:val="Hyperlink"/>
                <w:noProof/>
              </w:rPr>
              <w:t>AGGREGATE TRADE DATA EMPIRICAL ANALYSIS</w:t>
            </w:r>
            <w:r w:rsidR="00502DB6">
              <w:rPr>
                <w:noProof/>
                <w:webHidden/>
              </w:rPr>
              <w:tab/>
            </w:r>
            <w:r w:rsidR="00502DB6">
              <w:rPr>
                <w:noProof/>
                <w:webHidden/>
              </w:rPr>
              <w:fldChar w:fldCharType="begin"/>
            </w:r>
            <w:r w:rsidR="00502DB6">
              <w:rPr>
                <w:noProof/>
                <w:webHidden/>
              </w:rPr>
              <w:instrText xml:space="preserve"> PAGEREF _Toc171075418 \h </w:instrText>
            </w:r>
            <w:r w:rsidR="00502DB6">
              <w:rPr>
                <w:noProof/>
                <w:webHidden/>
              </w:rPr>
            </w:r>
            <w:r w:rsidR="00502DB6">
              <w:rPr>
                <w:noProof/>
                <w:webHidden/>
              </w:rPr>
              <w:fldChar w:fldCharType="separate"/>
            </w:r>
            <w:r w:rsidR="002256B4">
              <w:rPr>
                <w:noProof/>
                <w:webHidden/>
              </w:rPr>
              <w:t>155</w:t>
            </w:r>
            <w:r w:rsidR="00502DB6">
              <w:rPr>
                <w:noProof/>
                <w:webHidden/>
              </w:rPr>
              <w:fldChar w:fldCharType="end"/>
            </w:r>
          </w:hyperlink>
        </w:p>
        <w:p w14:paraId="53EA3A12" w14:textId="314318A8" w:rsidR="00502DB6" w:rsidRDefault="00000000">
          <w:pPr>
            <w:pStyle w:val="TOC3"/>
            <w:tabs>
              <w:tab w:val="left" w:pos="1320"/>
              <w:tab w:val="right" w:leader="dot" w:pos="9016"/>
            </w:tabs>
            <w:rPr>
              <w:rFonts w:eastAsiaTheme="minorEastAsia"/>
              <w:noProof/>
              <w:kern w:val="2"/>
              <w:sz w:val="24"/>
              <w:szCs w:val="24"/>
              <w:lang w:eastAsia="en-GB"/>
              <w14:ligatures w14:val="standardContextual"/>
            </w:rPr>
          </w:pPr>
          <w:hyperlink w:anchor="_Toc171075419" w:history="1">
            <w:r w:rsidR="00502DB6" w:rsidRPr="004A7088">
              <w:rPr>
                <w:rStyle w:val="Hyperlink"/>
                <w:noProof/>
                <w:lang w:val="en-US" w:eastAsia="en-GB"/>
              </w:rPr>
              <w:t>4.7.</w:t>
            </w:r>
            <w:r w:rsidR="00502DB6" w:rsidRPr="004A7088">
              <w:rPr>
                <w:rStyle w:val="Hyperlink"/>
                <w:noProof/>
              </w:rPr>
              <w:t>1</w:t>
            </w:r>
            <w:r w:rsidR="00502DB6">
              <w:rPr>
                <w:rFonts w:eastAsiaTheme="minorEastAsia"/>
                <w:noProof/>
                <w:kern w:val="2"/>
                <w:sz w:val="24"/>
                <w:szCs w:val="24"/>
                <w:lang w:eastAsia="en-GB"/>
                <w14:ligatures w14:val="standardContextual"/>
              </w:rPr>
              <w:tab/>
            </w:r>
            <w:r w:rsidR="00502DB6" w:rsidRPr="004A7088">
              <w:rPr>
                <w:rStyle w:val="Hyperlink"/>
                <w:noProof/>
              </w:rPr>
              <w:t>DIAGNOSTIC</w:t>
            </w:r>
            <w:r w:rsidR="00502DB6" w:rsidRPr="004A7088">
              <w:rPr>
                <w:rStyle w:val="Hyperlink"/>
                <w:noProof/>
                <w:lang w:val="en-US" w:eastAsia="en-GB"/>
              </w:rPr>
              <w:t xml:space="preserve"> TEST RESULTS</w:t>
            </w:r>
            <w:r w:rsidR="00502DB6">
              <w:rPr>
                <w:noProof/>
                <w:webHidden/>
              </w:rPr>
              <w:tab/>
            </w:r>
            <w:r w:rsidR="00502DB6">
              <w:rPr>
                <w:noProof/>
                <w:webHidden/>
              </w:rPr>
              <w:fldChar w:fldCharType="begin"/>
            </w:r>
            <w:r w:rsidR="00502DB6">
              <w:rPr>
                <w:noProof/>
                <w:webHidden/>
              </w:rPr>
              <w:instrText xml:space="preserve"> PAGEREF _Toc171075419 \h </w:instrText>
            </w:r>
            <w:r w:rsidR="00502DB6">
              <w:rPr>
                <w:noProof/>
                <w:webHidden/>
              </w:rPr>
            </w:r>
            <w:r w:rsidR="00502DB6">
              <w:rPr>
                <w:noProof/>
                <w:webHidden/>
              </w:rPr>
              <w:fldChar w:fldCharType="separate"/>
            </w:r>
            <w:r w:rsidR="002256B4">
              <w:rPr>
                <w:noProof/>
                <w:webHidden/>
              </w:rPr>
              <w:t>156</w:t>
            </w:r>
            <w:r w:rsidR="00502DB6">
              <w:rPr>
                <w:noProof/>
                <w:webHidden/>
              </w:rPr>
              <w:fldChar w:fldCharType="end"/>
            </w:r>
          </w:hyperlink>
        </w:p>
        <w:p w14:paraId="5BC2A319" w14:textId="3C50B6C9" w:rsidR="00502DB6" w:rsidRDefault="00000000">
          <w:pPr>
            <w:pStyle w:val="TOC3"/>
            <w:tabs>
              <w:tab w:val="left" w:pos="1320"/>
              <w:tab w:val="right" w:leader="dot" w:pos="9016"/>
            </w:tabs>
            <w:rPr>
              <w:rFonts w:eastAsiaTheme="minorEastAsia"/>
              <w:noProof/>
              <w:kern w:val="2"/>
              <w:sz w:val="24"/>
              <w:szCs w:val="24"/>
              <w:lang w:eastAsia="en-GB"/>
              <w14:ligatures w14:val="standardContextual"/>
            </w:rPr>
          </w:pPr>
          <w:hyperlink w:anchor="_Toc171075420" w:history="1">
            <w:r w:rsidR="00502DB6" w:rsidRPr="004A7088">
              <w:rPr>
                <w:rStyle w:val="Hyperlink"/>
                <w:noProof/>
                <w:lang w:val="en-US" w:eastAsia="en-GB"/>
              </w:rPr>
              <w:t>4.7.</w:t>
            </w:r>
            <w:r w:rsidR="00502DB6" w:rsidRPr="004A7088">
              <w:rPr>
                <w:rStyle w:val="Hyperlink"/>
                <w:noProof/>
              </w:rPr>
              <w:t>2</w:t>
            </w:r>
            <w:r w:rsidR="00502DB6">
              <w:rPr>
                <w:rFonts w:eastAsiaTheme="minorEastAsia"/>
                <w:noProof/>
                <w:kern w:val="2"/>
                <w:sz w:val="24"/>
                <w:szCs w:val="24"/>
                <w:lang w:eastAsia="en-GB"/>
                <w14:ligatures w14:val="standardContextual"/>
              </w:rPr>
              <w:tab/>
            </w:r>
            <w:r w:rsidR="00502DB6" w:rsidRPr="004A7088">
              <w:rPr>
                <w:rStyle w:val="Hyperlink"/>
                <w:noProof/>
              </w:rPr>
              <w:t>UNIT</w:t>
            </w:r>
            <w:r w:rsidR="00502DB6" w:rsidRPr="004A7088">
              <w:rPr>
                <w:rStyle w:val="Hyperlink"/>
                <w:noProof/>
                <w:lang w:val="en-US" w:eastAsia="en-GB"/>
              </w:rPr>
              <w:t xml:space="preserve"> ROOT TEST</w:t>
            </w:r>
            <w:r w:rsidR="00502DB6">
              <w:rPr>
                <w:noProof/>
                <w:webHidden/>
              </w:rPr>
              <w:tab/>
            </w:r>
            <w:r w:rsidR="00502DB6">
              <w:rPr>
                <w:noProof/>
                <w:webHidden/>
              </w:rPr>
              <w:fldChar w:fldCharType="begin"/>
            </w:r>
            <w:r w:rsidR="00502DB6">
              <w:rPr>
                <w:noProof/>
                <w:webHidden/>
              </w:rPr>
              <w:instrText xml:space="preserve"> PAGEREF _Toc171075420 \h </w:instrText>
            </w:r>
            <w:r w:rsidR="00502DB6">
              <w:rPr>
                <w:noProof/>
                <w:webHidden/>
              </w:rPr>
            </w:r>
            <w:r w:rsidR="00502DB6">
              <w:rPr>
                <w:noProof/>
                <w:webHidden/>
              </w:rPr>
              <w:fldChar w:fldCharType="separate"/>
            </w:r>
            <w:r w:rsidR="002256B4">
              <w:rPr>
                <w:noProof/>
                <w:webHidden/>
              </w:rPr>
              <w:t>156</w:t>
            </w:r>
            <w:r w:rsidR="00502DB6">
              <w:rPr>
                <w:noProof/>
                <w:webHidden/>
              </w:rPr>
              <w:fldChar w:fldCharType="end"/>
            </w:r>
          </w:hyperlink>
        </w:p>
        <w:p w14:paraId="54F7D8C3" w14:textId="16F7C05B" w:rsidR="00502DB6" w:rsidRDefault="00000000">
          <w:pPr>
            <w:pStyle w:val="TOC3"/>
            <w:tabs>
              <w:tab w:val="left" w:pos="1320"/>
              <w:tab w:val="right" w:leader="dot" w:pos="9016"/>
            </w:tabs>
            <w:rPr>
              <w:rFonts w:eastAsiaTheme="minorEastAsia"/>
              <w:noProof/>
              <w:kern w:val="2"/>
              <w:sz w:val="24"/>
              <w:szCs w:val="24"/>
              <w:lang w:eastAsia="en-GB"/>
              <w14:ligatures w14:val="standardContextual"/>
            </w:rPr>
          </w:pPr>
          <w:hyperlink w:anchor="_Toc171075421" w:history="1">
            <w:r w:rsidR="00502DB6" w:rsidRPr="004A7088">
              <w:rPr>
                <w:rStyle w:val="Hyperlink"/>
                <w:noProof/>
                <w:lang w:val="en-US" w:eastAsia="en-GB"/>
              </w:rPr>
              <w:t>4.7.</w:t>
            </w:r>
            <w:r w:rsidR="00502DB6" w:rsidRPr="004A7088">
              <w:rPr>
                <w:rStyle w:val="Hyperlink"/>
                <w:noProof/>
              </w:rPr>
              <w:t>3</w:t>
            </w:r>
            <w:r w:rsidR="00502DB6">
              <w:rPr>
                <w:rFonts w:eastAsiaTheme="minorEastAsia"/>
                <w:noProof/>
                <w:kern w:val="2"/>
                <w:sz w:val="24"/>
                <w:szCs w:val="24"/>
                <w:lang w:eastAsia="en-GB"/>
                <w14:ligatures w14:val="standardContextual"/>
              </w:rPr>
              <w:tab/>
            </w:r>
            <w:r w:rsidR="00502DB6" w:rsidRPr="004A7088">
              <w:rPr>
                <w:rStyle w:val="Hyperlink"/>
                <w:noProof/>
              </w:rPr>
              <w:t>OPTIMAL</w:t>
            </w:r>
            <w:r w:rsidR="00502DB6" w:rsidRPr="004A7088">
              <w:rPr>
                <w:rStyle w:val="Hyperlink"/>
                <w:noProof/>
                <w:lang w:val="en-US" w:eastAsia="en-GB"/>
              </w:rPr>
              <w:t xml:space="preserve"> LAG LENGTH</w:t>
            </w:r>
            <w:r w:rsidR="00502DB6">
              <w:rPr>
                <w:noProof/>
                <w:webHidden/>
              </w:rPr>
              <w:tab/>
            </w:r>
            <w:r w:rsidR="00502DB6">
              <w:rPr>
                <w:noProof/>
                <w:webHidden/>
              </w:rPr>
              <w:fldChar w:fldCharType="begin"/>
            </w:r>
            <w:r w:rsidR="00502DB6">
              <w:rPr>
                <w:noProof/>
                <w:webHidden/>
              </w:rPr>
              <w:instrText xml:space="preserve"> PAGEREF _Toc171075421 \h </w:instrText>
            </w:r>
            <w:r w:rsidR="00502DB6">
              <w:rPr>
                <w:noProof/>
                <w:webHidden/>
              </w:rPr>
            </w:r>
            <w:r w:rsidR="00502DB6">
              <w:rPr>
                <w:noProof/>
                <w:webHidden/>
              </w:rPr>
              <w:fldChar w:fldCharType="separate"/>
            </w:r>
            <w:r w:rsidR="002256B4">
              <w:rPr>
                <w:noProof/>
                <w:webHidden/>
              </w:rPr>
              <w:t>157</w:t>
            </w:r>
            <w:r w:rsidR="00502DB6">
              <w:rPr>
                <w:noProof/>
                <w:webHidden/>
              </w:rPr>
              <w:fldChar w:fldCharType="end"/>
            </w:r>
          </w:hyperlink>
        </w:p>
        <w:p w14:paraId="43439325" w14:textId="0D99D8FF" w:rsidR="00502DB6" w:rsidRDefault="00000000">
          <w:pPr>
            <w:pStyle w:val="TOC3"/>
            <w:tabs>
              <w:tab w:val="left" w:pos="1320"/>
              <w:tab w:val="right" w:leader="dot" w:pos="9016"/>
            </w:tabs>
            <w:rPr>
              <w:rFonts w:eastAsiaTheme="minorEastAsia"/>
              <w:noProof/>
              <w:kern w:val="2"/>
              <w:sz w:val="24"/>
              <w:szCs w:val="24"/>
              <w:lang w:eastAsia="en-GB"/>
              <w14:ligatures w14:val="standardContextual"/>
            </w:rPr>
          </w:pPr>
          <w:hyperlink w:anchor="_Toc171075422" w:history="1">
            <w:r w:rsidR="00502DB6" w:rsidRPr="004A7088">
              <w:rPr>
                <w:rStyle w:val="Hyperlink"/>
                <w:noProof/>
                <w:lang w:val="en-US" w:eastAsia="en-GB"/>
              </w:rPr>
              <w:t>4.7.</w:t>
            </w:r>
            <w:r w:rsidR="00502DB6" w:rsidRPr="004A7088">
              <w:rPr>
                <w:rStyle w:val="Hyperlink"/>
                <w:noProof/>
              </w:rPr>
              <w:t>4</w:t>
            </w:r>
            <w:r w:rsidR="00502DB6">
              <w:rPr>
                <w:rFonts w:eastAsiaTheme="minorEastAsia"/>
                <w:noProof/>
                <w:kern w:val="2"/>
                <w:sz w:val="24"/>
                <w:szCs w:val="24"/>
                <w:lang w:eastAsia="en-GB"/>
                <w14:ligatures w14:val="standardContextual"/>
              </w:rPr>
              <w:tab/>
            </w:r>
            <w:r w:rsidR="00502DB6" w:rsidRPr="004A7088">
              <w:rPr>
                <w:rStyle w:val="Hyperlink"/>
                <w:noProof/>
              </w:rPr>
              <w:t>COINTEGRATION</w:t>
            </w:r>
            <w:r w:rsidR="00502DB6" w:rsidRPr="004A7088">
              <w:rPr>
                <w:rStyle w:val="Hyperlink"/>
                <w:noProof/>
                <w:lang w:val="en-US" w:eastAsia="en-GB"/>
              </w:rPr>
              <w:t xml:space="preserve"> TEST</w:t>
            </w:r>
            <w:r w:rsidR="00502DB6">
              <w:rPr>
                <w:noProof/>
                <w:webHidden/>
              </w:rPr>
              <w:tab/>
            </w:r>
            <w:r w:rsidR="00502DB6">
              <w:rPr>
                <w:noProof/>
                <w:webHidden/>
              </w:rPr>
              <w:fldChar w:fldCharType="begin"/>
            </w:r>
            <w:r w:rsidR="00502DB6">
              <w:rPr>
                <w:noProof/>
                <w:webHidden/>
              </w:rPr>
              <w:instrText xml:space="preserve"> PAGEREF _Toc171075422 \h </w:instrText>
            </w:r>
            <w:r w:rsidR="00502DB6">
              <w:rPr>
                <w:noProof/>
                <w:webHidden/>
              </w:rPr>
            </w:r>
            <w:r w:rsidR="00502DB6">
              <w:rPr>
                <w:noProof/>
                <w:webHidden/>
              </w:rPr>
              <w:fldChar w:fldCharType="separate"/>
            </w:r>
            <w:r w:rsidR="002256B4">
              <w:rPr>
                <w:noProof/>
                <w:webHidden/>
              </w:rPr>
              <w:t>157</w:t>
            </w:r>
            <w:r w:rsidR="00502DB6">
              <w:rPr>
                <w:noProof/>
                <w:webHidden/>
              </w:rPr>
              <w:fldChar w:fldCharType="end"/>
            </w:r>
          </w:hyperlink>
        </w:p>
        <w:p w14:paraId="1270D846" w14:textId="7726F1D7" w:rsidR="00502DB6" w:rsidRDefault="00000000">
          <w:pPr>
            <w:pStyle w:val="TOC3"/>
            <w:tabs>
              <w:tab w:val="left" w:pos="1320"/>
              <w:tab w:val="right" w:leader="dot" w:pos="9016"/>
            </w:tabs>
            <w:rPr>
              <w:rFonts w:eastAsiaTheme="minorEastAsia"/>
              <w:noProof/>
              <w:kern w:val="2"/>
              <w:sz w:val="24"/>
              <w:szCs w:val="24"/>
              <w:lang w:eastAsia="en-GB"/>
              <w14:ligatures w14:val="standardContextual"/>
            </w:rPr>
          </w:pPr>
          <w:hyperlink w:anchor="_Toc171075423" w:history="1">
            <w:r w:rsidR="00502DB6" w:rsidRPr="004A7088">
              <w:rPr>
                <w:rStyle w:val="Hyperlink"/>
                <w:noProof/>
                <w:lang w:val="en-US" w:eastAsia="en-GB"/>
              </w:rPr>
              <w:t>4.7.5</w:t>
            </w:r>
            <w:r w:rsidR="00502DB6">
              <w:rPr>
                <w:rFonts w:eastAsiaTheme="minorEastAsia"/>
                <w:noProof/>
                <w:kern w:val="2"/>
                <w:sz w:val="24"/>
                <w:szCs w:val="24"/>
                <w:lang w:eastAsia="en-GB"/>
                <w14:ligatures w14:val="standardContextual"/>
              </w:rPr>
              <w:tab/>
            </w:r>
            <w:r w:rsidR="00502DB6" w:rsidRPr="004A7088">
              <w:rPr>
                <w:rStyle w:val="Hyperlink"/>
                <w:noProof/>
                <w:lang w:val="en-US" w:eastAsia="en-GB"/>
              </w:rPr>
              <w:t>LONG-RUN AND SHORT-RUN RELATIONSHIP BETWEEN LNTB AND LNREER</w:t>
            </w:r>
            <w:r w:rsidR="00502DB6">
              <w:rPr>
                <w:noProof/>
                <w:webHidden/>
              </w:rPr>
              <w:tab/>
            </w:r>
            <w:r w:rsidR="00502DB6">
              <w:rPr>
                <w:noProof/>
                <w:webHidden/>
              </w:rPr>
              <w:fldChar w:fldCharType="begin"/>
            </w:r>
            <w:r w:rsidR="00502DB6">
              <w:rPr>
                <w:noProof/>
                <w:webHidden/>
              </w:rPr>
              <w:instrText xml:space="preserve"> PAGEREF _Toc171075423 \h </w:instrText>
            </w:r>
            <w:r w:rsidR="00502DB6">
              <w:rPr>
                <w:noProof/>
                <w:webHidden/>
              </w:rPr>
            </w:r>
            <w:r w:rsidR="00502DB6">
              <w:rPr>
                <w:noProof/>
                <w:webHidden/>
              </w:rPr>
              <w:fldChar w:fldCharType="separate"/>
            </w:r>
            <w:r w:rsidR="002256B4">
              <w:rPr>
                <w:noProof/>
                <w:webHidden/>
              </w:rPr>
              <w:t>158</w:t>
            </w:r>
            <w:r w:rsidR="00502DB6">
              <w:rPr>
                <w:noProof/>
                <w:webHidden/>
              </w:rPr>
              <w:fldChar w:fldCharType="end"/>
            </w:r>
          </w:hyperlink>
        </w:p>
        <w:p w14:paraId="0E25A324" w14:textId="4BCF4B09" w:rsidR="00502DB6" w:rsidRDefault="00000000">
          <w:pPr>
            <w:pStyle w:val="TOC3"/>
            <w:tabs>
              <w:tab w:val="left" w:pos="1320"/>
              <w:tab w:val="right" w:leader="dot" w:pos="9016"/>
            </w:tabs>
            <w:rPr>
              <w:rFonts w:eastAsiaTheme="minorEastAsia"/>
              <w:noProof/>
              <w:kern w:val="2"/>
              <w:sz w:val="24"/>
              <w:szCs w:val="24"/>
              <w:lang w:eastAsia="en-GB"/>
              <w14:ligatures w14:val="standardContextual"/>
            </w:rPr>
          </w:pPr>
          <w:hyperlink w:anchor="_Toc171075424" w:history="1">
            <w:r w:rsidR="00502DB6" w:rsidRPr="004A7088">
              <w:rPr>
                <w:rStyle w:val="Hyperlink"/>
                <w:noProof/>
                <w:lang w:val="en-US" w:eastAsia="en-GB"/>
              </w:rPr>
              <w:t>4.7.6</w:t>
            </w:r>
            <w:r w:rsidR="00502DB6">
              <w:rPr>
                <w:rFonts w:eastAsiaTheme="minorEastAsia"/>
                <w:noProof/>
                <w:kern w:val="2"/>
                <w:sz w:val="24"/>
                <w:szCs w:val="24"/>
                <w:lang w:eastAsia="en-GB"/>
                <w14:ligatures w14:val="standardContextual"/>
              </w:rPr>
              <w:tab/>
            </w:r>
            <w:r w:rsidR="00502DB6" w:rsidRPr="004A7088">
              <w:rPr>
                <w:rStyle w:val="Hyperlink"/>
                <w:noProof/>
                <w:lang w:val="en-US" w:eastAsia="en-GB"/>
              </w:rPr>
              <w:t>IMPULSE RESPONSE FUNCTION (IRF)</w:t>
            </w:r>
            <w:r w:rsidR="00502DB6">
              <w:rPr>
                <w:noProof/>
                <w:webHidden/>
              </w:rPr>
              <w:tab/>
            </w:r>
            <w:r w:rsidR="00502DB6">
              <w:rPr>
                <w:noProof/>
                <w:webHidden/>
              </w:rPr>
              <w:fldChar w:fldCharType="begin"/>
            </w:r>
            <w:r w:rsidR="00502DB6">
              <w:rPr>
                <w:noProof/>
                <w:webHidden/>
              </w:rPr>
              <w:instrText xml:space="preserve"> PAGEREF _Toc171075424 \h </w:instrText>
            </w:r>
            <w:r w:rsidR="00502DB6">
              <w:rPr>
                <w:noProof/>
                <w:webHidden/>
              </w:rPr>
            </w:r>
            <w:r w:rsidR="00502DB6">
              <w:rPr>
                <w:noProof/>
                <w:webHidden/>
              </w:rPr>
              <w:fldChar w:fldCharType="separate"/>
            </w:r>
            <w:r w:rsidR="002256B4">
              <w:rPr>
                <w:noProof/>
                <w:webHidden/>
              </w:rPr>
              <w:t>161</w:t>
            </w:r>
            <w:r w:rsidR="00502DB6">
              <w:rPr>
                <w:noProof/>
                <w:webHidden/>
              </w:rPr>
              <w:fldChar w:fldCharType="end"/>
            </w:r>
          </w:hyperlink>
        </w:p>
        <w:p w14:paraId="54F047E9" w14:textId="0EA79C76" w:rsidR="00502DB6" w:rsidRDefault="00000000">
          <w:pPr>
            <w:pStyle w:val="TOC3"/>
            <w:tabs>
              <w:tab w:val="left" w:pos="1320"/>
              <w:tab w:val="right" w:leader="dot" w:pos="9016"/>
            </w:tabs>
            <w:rPr>
              <w:rFonts w:eastAsiaTheme="minorEastAsia"/>
              <w:noProof/>
              <w:kern w:val="2"/>
              <w:sz w:val="24"/>
              <w:szCs w:val="24"/>
              <w:lang w:eastAsia="en-GB"/>
              <w14:ligatures w14:val="standardContextual"/>
            </w:rPr>
          </w:pPr>
          <w:hyperlink w:anchor="_Toc171075425" w:history="1">
            <w:r w:rsidR="00502DB6" w:rsidRPr="004A7088">
              <w:rPr>
                <w:rStyle w:val="Hyperlink"/>
                <w:rFonts w:eastAsia="Times New Roman"/>
                <w:noProof/>
                <w:lang w:val="en-US" w:eastAsia="en-GB"/>
              </w:rPr>
              <w:t>4.7.7</w:t>
            </w:r>
            <w:r w:rsidR="00502DB6">
              <w:rPr>
                <w:rFonts w:eastAsiaTheme="minorEastAsia"/>
                <w:noProof/>
                <w:kern w:val="2"/>
                <w:sz w:val="24"/>
                <w:szCs w:val="24"/>
                <w:lang w:eastAsia="en-GB"/>
                <w14:ligatures w14:val="standardContextual"/>
              </w:rPr>
              <w:tab/>
            </w:r>
            <w:r w:rsidR="00502DB6" w:rsidRPr="004A7088">
              <w:rPr>
                <w:rStyle w:val="Hyperlink"/>
                <w:noProof/>
              </w:rPr>
              <w:t>STABILITY TEST</w:t>
            </w:r>
            <w:r w:rsidR="00502DB6">
              <w:rPr>
                <w:noProof/>
                <w:webHidden/>
              </w:rPr>
              <w:tab/>
            </w:r>
            <w:r w:rsidR="00502DB6">
              <w:rPr>
                <w:noProof/>
                <w:webHidden/>
              </w:rPr>
              <w:fldChar w:fldCharType="begin"/>
            </w:r>
            <w:r w:rsidR="00502DB6">
              <w:rPr>
                <w:noProof/>
                <w:webHidden/>
              </w:rPr>
              <w:instrText xml:space="preserve"> PAGEREF _Toc171075425 \h </w:instrText>
            </w:r>
            <w:r w:rsidR="00502DB6">
              <w:rPr>
                <w:noProof/>
                <w:webHidden/>
              </w:rPr>
            </w:r>
            <w:r w:rsidR="00502DB6">
              <w:rPr>
                <w:noProof/>
                <w:webHidden/>
              </w:rPr>
              <w:fldChar w:fldCharType="separate"/>
            </w:r>
            <w:r w:rsidR="002256B4">
              <w:rPr>
                <w:noProof/>
                <w:webHidden/>
              </w:rPr>
              <w:t>163</w:t>
            </w:r>
            <w:r w:rsidR="00502DB6">
              <w:rPr>
                <w:noProof/>
                <w:webHidden/>
              </w:rPr>
              <w:fldChar w:fldCharType="end"/>
            </w:r>
          </w:hyperlink>
        </w:p>
        <w:p w14:paraId="21039974" w14:textId="1C2FEF3D" w:rsidR="00502DB6" w:rsidRDefault="00000000">
          <w:pPr>
            <w:pStyle w:val="TOC2"/>
            <w:rPr>
              <w:rFonts w:eastAsiaTheme="minorEastAsia"/>
              <w:noProof/>
              <w:kern w:val="2"/>
              <w:sz w:val="24"/>
              <w:szCs w:val="24"/>
              <w:lang w:eastAsia="en-GB"/>
              <w14:ligatures w14:val="standardContextual"/>
            </w:rPr>
          </w:pPr>
          <w:hyperlink w:anchor="_Toc171075426" w:history="1">
            <w:r w:rsidR="00502DB6" w:rsidRPr="004A7088">
              <w:rPr>
                <w:rStyle w:val="Hyperlink"/>
                <w:noProof/>
              </w:rPr>
              <w:t>4.8</w:t>
            </w:r>
            <w:r w:rsidR="00502DB6">
              <w:rPr>
                <w:rFonts w:eastAsiaTheme="minorEastAsia"/>
                <w:noProof/>
                <w:kern w:val="2"/>
                <w:sz w:val="24"/>
                <w:szCs w:val="24"/>
                <w:lang w:eastAsia="en-GB"/>
                <w14:ligatures w14:val="standardContextual"/>
              </w:rPr>
              <w:tab/>
            </w:r>
            <w:r w:rsidR="00502DB6" w:rsidRPr="004A7088">
              <w:rPr>
                <w:rStyle w:val="Hyperlink"/>
                <w:noProof/>
              </w:rPr>
              <w:t>POLICY RECOMMENDATION</w:t>
            </w:r>
            <w:r w:rsidR="00502DB6">
              <w:rPr>
                <w:noProof/>
                <w:webHidden/>
              </w:rPr>
              <w:tab/>
            </w:r>
            <w:r w:rsidR="00502DB6">
              <w:rPr>
                <w:noProof/>
                <w:webHidden/>
              </w:rPr>
              <w:fldChar w:fldCharType="begin"/>
            </w:r>
            <w:r w:rsidR="00502DB6">
              <w:rPr>
                <w:noProof/>
                <w:webHidden/>
              </w:rPr>
              <w:instrText xml:space="preserve"> PAGEREF _Toc171075426 \h </w:instrText>
            </w:r>
            <w:r w:rsidR="00502DB6">
              <w:rPr>
                <w:noProof/>
                <w:webHidden/>
              </w:rPr>
            </w:r>
            <w:r w:rsidR="00502DB6">
              <w:rPr>
                <w:noProof/>
                <w:webHidden/>
              </w:rPr>
              <w:fldChar w:fldCharType="separate"/>
            </w:r>
            <w:r w:rsidR="002256B4">
              <w:rPr>
                <w:noProof/>
                <w:webHidden/>
              </w:rPr>
              <w:t>165</w:t>
            </w:r>
            <w:r w:rsidR="00502DB6">
              <w:rPr>
                <w:noProof/>
                <w:webHidden/>
              </w:rPr>
              <w:fldChar w:fldCharType="end"/>
            </w:r>
          </w:hyperlink>
        </w:p>
        <w:p w14:paraId="2222A885" w14:textId="061CA081" w:rsidR="00502DB6" w:rsidRDefault="00000000">
          <w:pPr>
            <w:pStyle w:val="TOC2"/>
            <w:rPr>
              <w:rFonts w:eastAsiaTheme="minorEastAsia"/>
              <w:noProof/>
              <w:kern w:val="2"/>
              <w:sz w:val="24"/>
              <w:szCs w:val="24"/>
              <w:lang w:eastAsia="en-GB"/>
              <w14:ligatures w14:val="standardContextual"/>
            </w:rPr>
          </w:pPr>
          <w:hyperlink w:anchor="_Toc171075427" w:history="1">
            <w:r w:rsidR="00502DB6" w:rsidRPr="004A7088">
              <w:rPr>
                <w:rStyle w:val="Hyperlink"/>
                <w:noProof/>
              </w:rPr>
              <w:t>4.9</w:t>
            </w:r>
            <w:r w:rsidR="00502DB6">
              <w:rPr>
                <w:rFonts w:eastAsiaTheme="minorEastAsia"/>
                <w:noProof/>
                <w:kern w:val="2"/>
                <w:sz w:val="24"/>
                <w:szCs w:val="24"/>
                <w:lang w:eastAsia="en-GB"/>
                <w14:ligatures w14:val="standardContextual"/>
              </w:rPr>
              <w:tab/>
            </w:r>
            <w:r w:rsidR="00502DB6" w:rsidRPr="004A7088">
              <w:rPr>
                <w:rStyle w:val="Hyperlink"/>
                <w:noProof/>
              </w:rPr>
              <w:t>CONCLUSION</w:t>
            </w:r>
            <w:r w:rsidR="00502DB6">
              <w:rPr>
                <w:noProof/>
                <w:webHidden/>
              </w:rPr>
              <w:tab/>
            </w:r>
            <w:r w:rsidR="00502DB6">
              <w:rPr>
                <w:noProof/>
                <w:webHidden/>
              </w:rPr>
              <w:fldChar w:fldCharType="begin"/>
            </w:r>
            <w:r w:rsidR="00502DB6">
              <w:rPr>
                <w:noProof/>
                <w:webHidden/>
              </w:rPr>
              <w:instrText xml:space="preserve"> PAGEREF _Toc171075427 \h </w:instrText>
            </w:r>
            <w:r w:rsidR="00502DB6">
              <w:rPr>
                <w:noProof/>
                <w:webHidden/>
              </w:rPr>
            </w:r>
            <w:r w:rsidR="00502DB6">
              <w:rPr>
                <w:noProof/>
                <w:webHidden/>
              </w:rPr>
              <w:fldChar w:fldCharType="separate"/>
            </w:r>
            <w:r w:rsidR="002256B4">
              <w:rPr>
                <w:noProof/>
                <w:webHidden/>
              </w:rPr>
              <w:t>166</w:t>
            </w:r>
            <w:r w:rsidR="00502DB6">
              <w:rPr>
                <w:noProof/>
                <w:webHidden/>
              </w:rPr>
              <w:fldChar w:fldCharType="end"/>
            </w:r>
          </w:hyperlink>
        </w:p>
        <w:p w14:paraId="26A7C4B1" w14:textId="039DB944" w:rsidR="00502DB6" w:rsidRDefault="00000000">
          <w:pPr>
            <w:pStyle w:val="TOC1"/>
            <w:tabs>
              <w:tab w:val="right" w:leader="dot" w:pos="9016"/>
            </w:tabs>
            <w:rPr>
              <w:rFonts w:eastAsiaTheme="minorEastAsia"/>
              <w:noProof/>
              <w:kern w:val="2"/>
              <w:sz w:val="24"/>
              <w:szCs w:val="24"/>
              <w:lang w:eastAsia="en-GB"/>
              <w14:ligatures w14:val="standardContextual"/>
            </w:rPr>
          </w:pPr>
          <w:hyperlink w:anchor="_Toc171075428" w:history="1">
            <w:r w:rsidR="00502DB6" w:rsidRPr="004A7088">
              <w:rPr>
                <w:rStyle w:val="Hyperlink"/>
                <w:rFonts w:eastAsia="Times New Roman"/>
                <w:noProof/>
                <w:lang w:val="en-US"/>
              </w:rPr>
              <w:t>CHAPTER 5</w:t>
            </w:r>
            <w:r w:rsidR="00502DB6" w:rsidRPr="004A7088">
              <w:rPr>
                <w:rStyle w:val="Hyperlink"/>
                <w:noProof/>
              </w:rPr>
              <w:t xml:space="preserve"> </w:t>
            </w:r>
            <w:r w:rsidR="00502DB6" w:rsidRPr="004A7088">
              <w:rPr>
                <w:rStyle w:val="Hyperlink"/>
                <w:rFonts w:eastAsia="Times New Roman"/>
                <w:noProof/>
                <w:lang w:val="en-US"/>
              </w:rPr>
              <w:t>AN EMPIRICAL EXAMINATION OF THE REAL EFFECTIVE EXCHANGE RATE MOVEMENT AND ECONOMIC GROWTH.</w:t>
            </w:r>
            <w:r w:rsidR="00502DB6">
              <w:rPr>
                <w:noProof/>
                <w:webHidden/>
              </w:rPr>
              <w:tab/>
            </w:r>
            <w:r w:rsidR="00502DB6">
              <w:rPr>
                <w:noProof/>
                <w:webHidden/>
              </w:rPr>
              <w:fldChar w:fldCharType="begin"/>
            </w:r>
            <w:r w:rsidR="00502DB6">
              <w:rPr>
                <w:noProof/>
                <w:webHidden/>
              </w:rPr>
              <w:instrText xml:space="preserve"> PAGEREF _Toc171075428 \h </w:instrText>
            </w:r>
            <w:r w:rsidR="00502DB6">
              <w:rPr>
                <w:noProof/>
                <w:webHidden/>
              </w:rPr>
            </w:r>
            <w:r w:rsidR="00502DB6">
              <w:rPr>
                <w:noProof/>
                <w:webHidden/>
              </w:rPr>
              <w:fldChar w:fldCharType="separate"/>
            </w:r>
            <w:r w:rsidR="002256B4">
              <w:rPr>
                <w:noProof/>
                <w:webHidden/>
              </w:rPr>
              <w:t>168</w:t>
            </w:r>
            <w:r w:rsidR="00502DB6">
              <w:rPr>
                <w:noProof/>
                <w:webHidden/>
              </w:rPr>
              <w:fldChar w:fldCharType="end"/>
            </w:r>
          </w:hyperlink>
        </w:p>
        <w:p w14:paraId="0D3193FE" w14:textId="2917BAD5" w:rsidR="00502DB6" w:rsidRDefault="00000000">
          <w:pPr>
            <w:pStyle w:val="TOC2"/>
            <w:rPr>
              <w:rFonts w:eastAsiaTheme="minorEastAsia"/>
              <w:noProof/>
              <w:kern w:val="2"/>
              <w:sz w:val="24"/>
              <w:szCs w:val="24"/>
              <w:lang w:eastAsia="en-GB"/>
              <w14:ligatures w14:val="standardContextual"/>
            </w:rPr>
          </w:pPr>
          <w:hyperlink w:anchor="_Toc171075429" w:history="1">
            <w:r w:rsidR="00502DB6" w:rsidRPr="004A7088">
              <w:rPr>
                <w:rStyle w:val="Hyperlink"/>
                <w:noProof/>
              </w:rPr>
              <w:t xml:space="preserve">5.1 </w:t>
            </w:r>
            <w:r w:rsidR="00502DB6">
              <w:rPr>
                <w:rFonts w:eastAsiaTheme="minorEastAsia"/>
                <w:noProof/>
                <w:kern w:val="2"/>
                <w:sz w:val="24"/>
                <w:szCs w:val="24"/>
                <w:lang w:eastAsia="en-GB"/>
                <w14:ligatures w14:val="standardContextual"/>
              </w:rPr>
              <w:tab/>
            </w:r>
            <w:r w:rsidR="00502DB6" w:rsidRPr="004A7088">
              <w:rPr>
                <w:rStyle w:val="Hyperlink"/>
                <w:noProof/>
              </w:rPr>
              <w:t>INTRODUCTION</w:t>
            </w:r>
            <w:r w:rsidR="00502DB6">
              <w:rPr>
                <w:noProof/>
                <w:webHidden/>
              </w:rPr>
              <w:tab/>
            </w:r>
            <w:r w:rsidR="00502DB6">
              <w:rPr>
                <w:noProof/>
                <w:webHidden/>
              </w:rPr>
              <w:fldChar w:fldCharType="begin"/>
            </w:r>
            <w:r w:rsidR="00502DB6">
              <w:rPr>
                <w:noProof/>
                <w:webHidden/>
              </w:rPr>
              <w:instrText xml:space="preserve"> PAGEREF _Toc171075429 \h </w:instrText>
            </w:r>
            <w:r w:rsidR="00502DB6">
              <w:rPr>
                <w:noProof/>
                <w:webHidden/>
              </w:rPr>
            </w:r>
            <w:r w:rsidR="00502DB6">
              <w:rPr>
                <w:noProof/>
                <w:webHidden/>
              </w:rPr>
              <w:fldChar w:fldCharType="separate"/>
            </w:r>
            <w:r w:rsidR="002256B4">
              <w:rPr>
                <w:noProof/>
                <w:webHidden/>
              </w:rPr>
              <w:t>168</w:t>
            </w:r>
            <w:r w:rsidR="00502DB6">
              <w:rPr>
                <w:noProof/>
                <w:webHidden/>
              </w:rPr>
              <w:fldChar w:fldCharType="end"/>
            </w:r>
          </w:hyperlink>
        </w:p>
        <w:p w14:paraId="42073B02" w14:textId="2928C374" w:rsidR="00502DB6" w:rsidRDefault="00000000">
          <w:pPr>
            <w:pStyle w:val="TOC2"/>
            <w:rPr>
              <w:rFonts w:eastAsiaTheme="minorEastAsia"/>
              <w:noProof/>
              <w:kern w:val="2"/>
              <w:sz w:val="24"/>
              <w:szCs w:val="24"/>
              <w:lang w:eastAsia="en-GB"/>
              <w14:ligatures w14:val="standardContextual"/>
            </w:rPr>
          </w:pPr>
          <w:hyperlink w:anchor="_Toc171075430" w:history="1">
            <w:r w:rsidR="00502DB6" w:rsidRPr="004A7088">
              <w:rPr>
                <w:rStyle w:val="Hyperlink"/>
                <w:noProof/>
              </w:rPr>
              <w:t>5.2</w:t>
            </w:r>
            <w:r w:rsidR="00502DB6">
              <w:rPr>
                <w:rFonts w:eastAsiaTheme="minorEastAsia"/>
                <w:noProof/>
                <w:kern w:val="2"/>
                <w:sz w:val="24"/>
                <w:szCs w:val="24"/>
                <w:lang w:eastAsia="en-GB"/>
                <w14:ligatures w14:val="standardContextual"/>
              </w:rPr>
              <w:tab/>
            </w:r>
            <w:r w:rsidR="00502DB6" w:rsidRPr="004A7088">
              <w:rPr>
                <w:rStyle w:val="Hyperlink"/>
                <w:noProof/>
              </w:rPr>
              <w:t>IMPACT OF REER ON ECONOMIC GROWTH</w:t>
            </w:r>
            <w:r w:rsidR="00502DB6">
              <w:rPr>
                <w:noProof/>
                <w:webHidden/>
              </w:rPr>
              <w:tab/>
            </w:r>
            <w:r w:rsidR="00502DB6">
              <w:rPr>
                <w:noProof/>
                <w:webHidden/>
              </w:rPr>
              <w:fldChar w:fldCharType="begin"/>
            </w:r>
            <w:r w:rsidR="00502DB6">
              <w:rPr>
                <w:noProof/>
                <w:webHidden/>
              </w:rPr>
              <w:instrText xml:space="preserve"> PAGEREF _Toc171075430 \h </w:instrText>
            </w:r>
            <w:r w:rsidR="00502DB6">
              <w:rPr>
                <w:noProof/>
                <w:webHidden/>
              </w:rPr>
            </w:r>
            <w:r w:rsidR="00502DB6">
              <w:rPr>
                <w:noProof/>
                <w:webHidden/>
              </w:rPr>
              <w:fldChar w:fldCharType="separate"/>
            </w:r>
            <w:r w:rsidR="002256B4">
              <w:rPr>
                <w:noProof/>
                <w:webHidden/>
              </w:rPr>
              <w:t>171</w:t>
            </w:r>
            <w:r w:rsidR="00502DB6">
              <w:rPr>
                <w:noProof/>
                <w:webHidden/>
              </w:rPr>
              <w:fldChar w:fldCharType="end"/>
            </w:r>
          </w:hyperlink>
        </w:p>
        <w:p w14:paraId="2A6F9D5C" w14:textId="573B809D" w:rsidR="00502DB6" w:rsidRDefault="00000000">
          <w:pPr>
            <w:pStyle w:val="TOC3"/>
            <w:tabs>
              <w:tab w:val="left" w:pos="1320"/>
              <w:tab w:val="right" w:leader="dot" w:pos="9016"/>
            </w:tabs>
            <w:rPr>
              <w:rFonts w:eastAsiaTheme="minorEastAsia"/>
              <w:noProof/>
              <w:kern w:val="2"/>
              <w:sz w:val="24"/>
              <w:szCs w:val="24"/>
              <w:lang w:eastAsia="en-GB"/>
              <w14:ligatures w14:val="standardContextual"/>
            </w:rPr>
          </w:pPr>
          <w:hyperlink w:anchor="_Toc171075431" w:history="1">
            <w:r w:rsidR="00502DB6" w:rsidRPr="004A7088">
              <w:rPr>
                <w:rStyle w:val="Hyperlink"/>
                <w:noProof/>
                <w:lang w:val="en-US"/>
              </w:rPr>
              <w:t>5.2.</w:t>
            </w:r>
            <w:r w:rsidR="00502DB6" w:rsidRPr="004A7088">
              <w:rPr>
                <w:rStyle w:val="Hyperlink"/>
                <w:noProof/>
              </w:rPr>
              <w:t>1</w:t>
            </w:r>
            <w:r w:rsidR="00502DB6">
              <w:rPr>
                <w:rFonts w:eastAsiaTheme="minorEastAsia"/>
                <w:noProof/>
                <w:kern w:val="2"/>
                <w:sz w:val="24"/>
                <w:szCs w:val="24"/>
                <w:lang w:eastAsia="en-GB"/>
                <w14:ligatures w14:val="standardContextual"/>
              </w:rPr>
              <w:tab/>
            </w:r>
            <w:r w:rsidR="00502DB6" w:rsidRPr="004A7088">
              <w:rPr>
                <w:rStyle w:val="Hyperlink"/>
                <w:noProof/>
              </w:rPr>
              <w:t>CONTRACTIONARY</w:t>
            </w:r>
            <w:r w:rsidR="00502DB6" w:rsidRPr="004A7088">
              <w:rPr>
                <w:rStyle w:val="Hyperlink"/>
                <w:noProof/>
                <w:lang w:val="en-US"/>
              </w:rPr>
              <w:t xml:space="preserve"> DEVALUATION</w:t>
            </w:r>
            <w:r w:rsidR="00502DB6">
              <w:rPr>
                <w:noProof/>
                <w:webHidden/>
              </w:rPr>
              <w:tab/>
            </w:r>
            <w:r w:rsidR="00502DB6">
              <w:rPr>
                <w:noProof/>
                <w:webHidden/>
              </w:rPr>
              <w:fldChar w:fldCharType="begin"/>
            </w:r>
            <w:r w:rsidR="00502DB6">
              <w:rPr>
                <w:noProof/>
                <w:webHidden/>
              </w:rPr>
              <w:instrText xml:space="preserve"> PAGEREF _Toc171075431 \h </w:instrText>
            </w:r>
            <w:r w:rsidR="00502DB6">
              <w:rPr>
                <w:noProof/>
                <w:webHidden/>
              </w:rPr>
            </w:r>
            <w:r w:rsidR="00502DB6">
              <w:rPr>
                <w:noProof/>
                <w:webHidden/>
              </w:rPr>
              <w:fldChar w:fldCharType="separate"/>
            </w:r>
            <w:r w:rsidR="002256B4">
              <w:rPr>
                <w:noProof/>
                <w:webHidden/>
              </w:rPr>
              <w:t>171</w:t>
            </w:r>
            <w:r w:rsidR="00502DB6">
              <w:rPr>
                <w:noProof/>
                <w:webHidden/>
              </w:rPr>
              <w:fldChar w:fldCharType="end"/>
            </w:r>
          </w:hyperlink>
        </w:p>
        <w:p w14:paraId="16F49FE7" w14:textId="4B5AE656" w:rsidR="00502DB6" w:rsidRDefault="00000000">
          <w:pPr>
            <w:pStyle w:val="TOC3"/>
            <w:tabs>
              <w:tab w:val="left" w:pos="1320"/>
              <w:tab w:val="right" w:leader="dot" w:pos="9016"/>
            </w:tabs>
            <w:rPr>
              <w:rFonts w:eastAsiaTheme="minorEastAsia"/>
              <w:noProof/>
              <w:kern w:val="2"/>
              <w:sz w:val="24"/>
              <w:szCs w:val="24"/>
              <w:lang w:eastAsia="en-GB"/>
              <w14:ligatures w14:val="standardContextual"/>
            </w:rPr>
          </w:pPr>
          <w:hyperlink w:anchor="_Toc171075432" w:history="1">
            <w:r w:rsidR="00502DB6" w:rsidRPr="004A7088">
              <w:rPr>
                <w:rStyle w:val="Hyperlink"/>
                <w:noProof/>
                <w:lang w:val="en-US"/>
              </w:rPr>
              <w:t>5.2.</w:t>
            </w:r>
            <w:r w:rsidR="00502DB6" w:rsidRPr="004A7088">
              <w:rPr>
                <w:rStyle w:val="Hyperlink"/>
                <w:noProof/>
              </w:rPr>
              <w:t>2</w:t>
            </w:r>
            <w:r w:rsidR="00502DB6">
              <w:rPr>
                <w:rFonts w:eastAsiaTheme="minorEastAsia"/>
                <w:noProof/>
                <w:kern w:val="2"/>
                <w:sz w:val="24"/>
                <w:szCs w:val="24"/>
                <w:lang w:eastAsia="en-GB"/>
                <w14:ligatures w14:val="standardContextual"/>
              </w:rPr>
              <w:tab/>
            </w:r>
            <w:r w:rsidR="00502DB6" w:rsidRPr="004A7088">
              <w:rPr>
                <w:rStyle w:val="Hyperlink"/>
                <w:noProof/>
              </w:rPr>
              <w:t>EXPANSIONARY</w:t>
            </w:r>
            <w:r w:rsidR="00502DB6" w:rsidRPr="004A7088">
              <w:rPr>
                <w:rStyle w:val="Hyperlink"/>
                <w:noProof/>
                <w:lang w:val="en-US"/>
              </w:rPr>
              <w:t xml:space="preserve"> DEVALUATION ASSUMPTION</w:t>
            </w:r>
            <w:r w:rsidR="00502DB6">
              <w:rPr>
                <w:noProof/>
                <w:webHidden/>
              </w:rPr>
              <w:tab/>
            </w:r>
            <w:r w:rsidR="00502DB6">
              <w:rPr>
                <w:noProof/>
                <w:webHidden/>
              </w:rPr>
              <w:fldChar w:fldCharType="begin"/>
            </w:r>
            <w:r w:rsidR="00502DB6">
              <w:rPr>
                <w:noProof/>
                <w:webHidden/>
              </w:rPr>
              <w:instrText xml:space="preserve"> PAGEREF _Toc171075432 \h </w:instrText>
            </w:r>
            <w:r w:rsidR="00502DB6">
              <w:rPr>
                <w:noProof/>
                <w:webHidden/>
              </w:rPr>
            </w:r>
            <w:r w:rsidR="00502DB6">
              <w:rPr>
                <w:noProof/>
                <w:webHidden/>
              </w:rPr>
              <w:fldChar w:fldCharType="separate"/>
            </w:r>
            <w:r w:rsidR="002256B4">
              <w:rPr>
                <w:noProof/>
                <w:webHidden/>
              </w:rPr>
              <w:t>174</w:t>
            </w:r>
            <w:r w:rsidR="00502DB6">
              <w:rPr>
                <w:noProof/>
                <w:webHidden/>
              </w:rPr>
              <w:fldChar w:fldCharType="end"/>
            </w:r>
          </w:hyperlink>
        </w:p>
        <w:p w14:paraId="41A70D5A" w14:textId="26732CFE" w:rsidR="00502DB6" w:rsidRDefault="00000000">
          <w:pPr>
            <w:pStyle w:val="TOC2"/>
            <w:rPr>
              <w:rFonts w:eastAsiaTheme="minorEastAsia"/>
              <w:noProof/>
              <w:kern w:val="2"/>
              <w:sz w:val="24"/>
              <w:szCs w:val="24"/>
              <w:lang w:eastAsia="en-GB"/>
              <w14:ligatures w14:val="standardContextual"/>
            </w:rPr>
          </w:pPr>
          <w:hyperlink w:anchor="_Toc171075433" w:history="1">
            <w:r w:rsidR="00502DB6" w:rsidRPr="004A7088">
              <w:rPr>
                <w:rStyle w:val="Hyperlink"/>
                <w:noProof/>
              </w:rPr>
              <w:t xml:space="preserve">5.3 </w:t>
            </w:r>
            <w:r w:rsidR="00502DB6">
              <w:rPr>
                <w:rFonts w:eastAsiaTheme="minorEastAsia"/>
                <w:noProof/>
                <w:kern w:val="2"/>
                <w:sz w:val="24"/>
                <w:szCs w:val="24"/>
                <w:lang w:eastAsia="en-GB"/>
                <w14:ligatures w14:val="standardContextual"/>
              </w:rPr>
              <w:tab/>
            </w:r>
            <w:r w:rsidR="00502DB6" w:rsidRPr="004A7088">
              <w:rPr>
                <w:rStyle w:val="Hyperlink"/>
                <w:noProof/>
              </w:rPr>
              <w:t>EMPIRICAL MODEL</w:t>
            </w:r>
            <w:r w:rsidR="00502DB6">
              <w:rPr>
                <w:noProof/>
                <w:webHidden/>
              </w:rPr>
              <w:tab/>
            </w:r>
            <w:r w:rsidR="00502DB6">
              <w:rPr>
                <w:noProof/>
                <w:webHidden/>
              </w:rPr>
              <w:fldChar w:fldCharType="begin"/>
            </w:r>
            <w:r w:rsidR="00502DB6">
              <w:rPr>
                <w:noProof/>
                <w:webHidden/>
              </w:rPr>
              <w:instrText xml:space="preserve"> PAGEREF _Toc171075433 \h </w:instrText>
            </w:r>
            <w:r w:rsidR="00502DB6">
              <w:rPr>
                <w:noProof/>
                <w:webHidden/>
              </w:rPr>
            </w:r>
            <w:r w:rsidR="00502DB6">
              <w:rPr>
                <w:noProof/>
                <w:webHidden/>
              </w:rPr>
              <w:fldChar w:fldCharType="separate"/>
            </w:r>
            <w:r w:rsidR="002256B4">
              <w:rPr>
                <w:noProof/>
                <w:webHidden/>
              </w:rPr>
              <w:t>177</w:t>
            </w:r>
            <w:r w:rsidR="00502DB6">
              <w:rPr>
                <w:noProof/>
                <w:webHidden/>
              </w:rPr>
              <w:fldChar w:fldCharType="end"/>
            </w:r>
          </w:hyperlink>
        </w:p>
        <w:p w14:paraId="40B80485" w14:textId="12F1695B" w:rsidR="00502DB6" w:rsidRDefault="00000000">
          <w:pPr>
            <w:pStyle w:val="TOC3"/>
            <w:tabs>
              <w:tab w:val="left" w:pos="1320"/>
              <w:tab w:val="right" w:leader="dot" w:pos="9016"/>
            </w:tabs>
            <w:rPr>
              <w:rFonts w:eastAsiaTheme="minorEastAsia"/>
              <w:noProof/>
              <w:kern w:val="2"/>
              <w:sz w:val="24"/>
              <w:szCs w:val="24"/>
              <w:lang w:eastAsia="en-GB"/>
              <w14:ligatures w14:val="standardContextual"/>
            </w:rPr>
          </w:pPr>
          <w:hyperlink w:anchor="_Toc171075434" w:history="1">
            <w:r w:rsidR="00502DB6" w:rsidRPr="004A7088">
              <w:rPr>
                <w:rStyle w:val="Hyperlink"/>
                <w:noProof/>
              </w:rPr>
              <w:t>5.3.1</w:t>
            </w:r>
            <w:r w:rsidR="00502DB6">
              <w:rPr>
                <w:rFonts w:eastAsiaTheme="minorEastAsia"/>
                <w:noProof/>
                <w:kern w:val="2"/>
                <w:sz w:val="24"/>
                <w:szCs w:val="24"/>
                <w:lang w:eastAsia="en-GB"/>
                <w14:ligatures w14:val="standardContextual"/>
              </w:rPr>
              <w:tab/>
            </w:r>
            <w:r w:rsidR="00502DB6" w:rsidRPr="004A7088">
              <w:rPr>
                <w:rStyle w:val="Hyperlink"/>
                <w:noProof/>
              </w:rPr>
              <w:t>TYPES AND SOURCE OF DATA</w:t>
            </w:r>
            <w:r w:rsidR="00502DB6">
              <w:rPr>
                <w:noProof/>
                <w:webHidden/>
              </w:rPr>
              <w:tab/>
            </w:r>
            <w:r w:rsidR="00502DB6">
              <w:rPr>
                <w:noProof/>
                <w:webHidden/>
              </w:rPr>
              <w:fldChar w:fldCharType="begin"/>
            </w:r>
            <w:r w:rsidR="00502DB6">
              <w:rPr>
                <w:noProof/>
                <w:webHidden/>
              </w:rPr>
              <w:instrText xml:space="preserve"> PAGEREF _Toc171075434 \h </w:instrText>
            </w:r>
            <w:r w:rsidR="00502DB6">
              <w:rPr>
                <w:noProof/>
                <w:webHidden/>
              </w:rPr>
            </w:r>
            <w:r w:rsidR="00502DB6">
              <w:rPr>
                <w:noProof/>
                <w:webHidden/>
              </w:rPr>
              <w:fldChar w:fldCharType="separate"/>
            </w:r>
            <w:r w:rsidR="002256B4">
              <w:rPr>
                <w:noProof/>
                <w:webHidden/>
              </w:rPr>
              <w:t>177</w:t>
            </w:r>
            <w:r w:rsidR="00502DB6">
              <w:rPr>
                <w:noProof/>
                <w:webHidden/>
              </w:rPr>
              <w:fldChar w:fldCharType="end"/>
            </w:r>
          </w:hyperlink>
        </w:p>
        <w:p w14:paraId="6E923F73" w14:textId="4C6D551D" w:rsidR="00502DB6" w:rsidRDefault="00000000">
          <w:pPr>
            <w:pStyle w:val="TOC2"/>
            <w:rPr>
              <w:rFonts w:eastAsiaTheme="minorEastAsia"/>
              <w:noProof/>
              <w:kern w:val="2"/>
              <w:sz w:val="24"/>
              <w:szCs w:val="24"/>
              <w:lang w:eastAsia="en-GB"/>
              <w14:ligatures w14:val="standardContextual"/>
            </w:rPr>
          </w:pPr>
          <w:hyperlink w:anchor="_Toc171075435" w:history="1">
            <w:r w:rsidR="00502DB6" w:rsidRPr="004A7088">
              <w:rPr>
                <w:rStyle w:val="Hyperlink"/>
                <w:noProof/>
              </w:rPr>
              <w:t>5.4</w:t>
            </w:r>
            <w:r w:rsidR="00502DB6">
              <w:rPr>
                <w:rFonts w:eastAsiaTheme="minorEastAsia"/>
                <w:noProof/>
                <w:kern w:val="2"/>
                <w:sz w:val="24"/>
                <w:szCs w:val="24"/>
                <w:lang w:eastAsia="en-GB"/>
                <w14:ligatures w14:val="standardContextual"/>
              </w:rPr>
              <w:tab/>
            </w:r>
            <w:r w:rsidR="00502DB6" w:rsidRPr="004A7088">
              <w:rPr>
                <w:rStyle w:val="Hyperlink"/>
                <w:noProof/>
              </w:rPr>
              <w:t>ECONOMETRIC APPROACH</w:t>
            </w:r>
            <w:r w:rsidR="00502DB6">
              <w:rPr>
                <w:noProof/>
                <w:webHidden/>
              </w:rPr>
              <w:tab/>
            </w:r>
            <w:r w:rsidR="00502DB6">
              <w:rPr>
                <w:noProof/>
                <w:webHidden/>
              </w:rPr>
              <w:fldChar w:fldCharType="begin"/>
            </w:r>
            <w:r w:rsidR="00502DB6">
              <w:rPr>
                <w:noProof/>
                <w:webHidden/>
              </w:rPr>
              <w:instrText xml:space="preserve"> PAGEREF _Toc171075435 \h </w:instrText>
            </w:r>
            <w:r w:rsidR="00502DB6">
              <w:rPr>
                <w:noProof/>
                <w:webHidden/>
              </w:rPr>
            </w:r>
            <w:r w:rsidR="00502DB6">
              <w:rPr>
                <w:noProof/>
                <w:webHidden/>
              </w:rPr>
              <w:fldChar w:fldCharType="separate"/>
            </w:r>
            <w:r w:rsidR="002256B4">
              <w:rPr>
                <w:noProof/>
                <w:webHidden/>
              </w:rPr>
              <w:t>182</w:t>
            </w:r>
            <w:r w:rsidR="00502DB6">
              <w:rPr>
                <w:noProof/>
                <w:webHidden/>
              </w:rPr>
              <w:fldChar w:fldCharType="end"/>
            </w:r>
          </w:hyperlink>
        </w:p>
        <w:p w14:paraId="7B991682" w14:textId="2555F968" w:rsidR="00502DB6" w:rsidRDefault="00000000">
          <w:pPr>
            <w:pStyle w:val="TOC2"/>
            <w:rPr>
              <w:rFonts w:eastAsiaTheme="minorEastAsia"/>
              <w:noProof/>
              <w:kern w:val="2"/>
              <w:sz w:val="24"/>
              <w:szCs w:val="24"/>
              <w:lang w:eastAsia="en-GB"/>
              <w14:ligatures w14:val="standardContextual"/>
            </w:rPr>
          </w:pPr>
          <w:hyperlink w:anchor="_Toc171075436" w:history="1">
            <w:r w:rsidR="00502DB6" w:rsidRPr="004A7088">
              <w:rPr>
                <w:rStyle w:val="Hyperlink"/>
                <w:noProof/>
              </w:rPr>
              <w:t>5.5</w:t>
            </w:r>
            <w:r w:rsidR="00502DB6">
              <w:rPr>
                <w:rFonts w:eastAsiaTheme="minorEastAsia"/>
                <w:noProof/>
                <w:kern w:val="2"/>
                <w:sz w:val="24"/>
                <w:szCs w:val="24"/>
                <w:lang w:eastAsia="en-GB"/>
                <w14:ligatures w14:val="standardContextual"/>
              </w:rPr>
              <w:tab/>
            </w:r>
            <w:r w:rsidR="00502DB6" w:rsidRPr="004A7088">
              <w:rPr>
                <w:rStyle w:val="Hyperlink"/>
                <w:noProof/>
              </w:rPr>
              <w:t>EMPIRICAL ANALYSIS</w:t>
            </w:r>
            <w:r w:rsidR="00502DB6">
              <w:rPr>
                <w:noProof/>
                <w:webHidden/>
              </w:rPr>
              <w:tab/>
            </w:r>
            <w:r w:rsidR="00502DB6">
              <w:rPr>
                <w:noProof/>
                <w:webHidden/>
              </w:rPr>
              <w:fldChar w:fldCharType="begin"/>
            </w:r>
            <w:r w:rsidR="00502DB6">
              <w:rPr>
                <w:noProof/>
                <w:webHidden/>
              </w:rPr>
              <w:instrText xml:space="preserve"> PAGEREF _Toc171075436 \h </w:instrText>
            </w:r>
            <w:r w:rsidR="00502DB6">
              <w:rPr>
                <w:noProof/>
                <w:webHidden/>
              </w:rPr>
            </w:r>
            <w:r w:rsidR="00502DB6">
              <w:rPr>
                <w:noProof/>
                <w:webHidden/>
              </w:rPr>
              <w:fldChar w:fldCharType="separate"/>
            </w:r>
            <w:r w:rsidR="002256B4">
              <w:rPr>
                <w:noProof/>
                <w:webHidden/>
              </w:rPr>
              <w:t>185</w:t>
            </w:r>
            <w:r w:rsidR="00502DB6">
              <w:rPr>
                <w:noProof/>
                <w:webHidden/>
              </w:rPr>
              <w:fldChar w:fldCharType="end"/>
            </w:r>
          </w:hyperlink>
        </w:p>
        <w:p w14:paraId="3B01839F" w14:textId="3B265202" w:rsidR="00502DB6" w:rsidRDefault="00000000">
          <w:pPr>
            <w:pStyle w:val="TOC3"/>
            <w:tabs>
              <w:tab w:val="left" w:pos="1320"/>
              <w:tab w:val="right" w:leader="dot" w:pos="9016"/>
            </w:tabs>
            <w:rPr>
              <w:rFonts w:eastAsiaTheme="minorEastAsia"/>
              <w:noProof/>
              <w:kern w:val="2"/>
              <w:sz w:val="24"/>
              <w:szCs w:val="24"/>
              <w:lang w:eastAsia="en-GB"/>
              <w14:ligatures w14:val="standardContextual"/>
            </w:rPr>
          </w:pPr>
          <w:hyperlink w:anchor="_Toc171075437" w:history="1">
            <w:r w:rsidR="00502DB6" w:rsidRPr="004A7088">
              <w:rPr>
                <w:rStyle w:val="Hyperlink"/>
                <w:noProof/>
                <w:lang w:val="en-US" w:eastAsia="en-GB"/>
              </w:rPr>
              <w:t>5.5.1</w:t>
            </w:r>
            <w:r w:rsidR="00502DB6">
              <w:rPr>
                <w:rFonts w:eastAsiaTheme="minorEastAsia"/>
                <w:noProof/>
                <w:kern w:val="2"/>
                <w:sz w:val="24"/>
                <w:szCs w:val="24"/>
                <w:lang w:eastAsia="en-GB"/>
                <w14:ligatures w14:val="standardContextual"/>
              </w:rPr>
              <w:tab/>
            </w:r>
            <w:r w:rsidR="00502DB6" w:rsidRPr="004A7088">
              <w:rPr>
                <w:rStyle w:val="Hyperlink"/>
                <w:noProof/>
                <w:lang w:val="en-US" w:eastAsia="en-GB"/>
              </w:rPr>
              <w:t>DIAGNOSTIC TEST RESULTS</w:t>
            </w:r>
            <w:r w:rsidR="00502DB6">
              <w:rPr>
                <w:noProof/>
                <w:webHidden/>
              </w:rPr>
              <w:tab/>
            </w:r>
            <w:r w:rsidR="00502DB6">
              <w:rPr>
                <w:noProof/>
                <w:webHidden/>
              </w:rPr>
              <w:fldChar w:fldCharType="begin"/>
            </w:r>
            <w:r w:rsidR="00502DB6">
              <w:rPr>
                <w:noProof/>
                <w:webHidden/>
              </w:rPr>
              <w:instrText xml:space="preserve"> PAGEREF _Toc171075437 \h </w:instrText>
            </w:r>
            <w:r w:rsidR="00502DB6">
              <w:rPr>
                <w:noProof/>
                <w:webHidden/>
              </w:rPr>
            </w:r>
            <w:r w:rsidR="00502DB6">
              <w:rPr>
                <w:noProof/>
                <w:webHidden/>
              </w:rPr>
              <w:fldChar w:fldCharType="separate"/>
            </w:r>
            <w:r w:rsidR="002256B4">
              <w:rPr>
                <w:noProof/>
                <w:webHidden/>
              </w:rPr>
              <w:t>186</w:t>
            </w:r>
            <w:r w:rsidR="00502DB6">
              <w:rPr>
                <w:noProof/>
                <w:webHidden/>
              </w:rPr>
              <w:fldChar w:fldCharType="end"/>
            </w:r>
          </w:hyperlink>
        </w:p>
        <w:p w14:paraId="4423311F" w14:textId="48B8642E" w:rsidR="00502DB6" w:rsidRDefault="00000000">
          <w:pPr>
            <w:pStyle w:val="TOC3"/>
            <w:tabs>
              <w:tab w:val="left" w:pos="1320"/>
              <w:tab w:val="right" w:leader="dot" w:pos="9016"/>
            </w:tabs>
            <w:rPr>
              <w:rFonts w:eastAsiaTheme="minorEastAsia"/>
              <w:noProof/>
              <w:kern w:val="2"/>
              <w:sz w:val="24"/>
              <w:szCs w:val="24"/>
              <w:lang w:eastAsia="en-GB"/>
              <w14:ligatures w14:val="standardContextual"/>
            </w:rPr>
          </w:pPr>
          <w:hyperlink w:anchor="_Toc171075438" w:history="1">
            <w:r w:rsidR="00502DB6" w:rsidRPr="004A7088">
              <w:rPr>
                <w:rStyle w:val="Hyperlink"/>
                <w:noProof/>
                <w:lang w:val="en-US" w:eastAsia="en-GB"/>
              </w:rPr>
              <w:t>5.5.2</w:t>
            </w:r>
            <w:r w:rsidR="00502DB6">
              <w:rPr>
                <w:rFonts w:eastAsiaTheme="minorEastAsia"/>
                <w:noProof/>
                <w:kern w:val="2"/>
                <w:sz w:val="24"/>
                <w:szCs w:val="24"/>
                <w:lang w:eastAsia="en-GB"/>
                <w14:ligatures w14:val="standardContextual"/>
              </w:rPr>
              <w:tab/>
            </w:r>
            <w:r w:rsidR="00502DB6" w:rsidRPr="004A7088">
              <w:rPr>
                <w:rStyle w:val="Hyperlink"/>
                <w:noProof/>
                <w:lang w:val="en-US" w:eastAsia="en-GB"/>
              </w:rPr>
              <w:t xml:space="preserve">UNIT </w:t>
            </w:r>
            <w:r w:rsidR="00502DB6" w:rsidRPr="004A7088">
              <w:rPr>
                <w:rStyle w:val="Hyperlink"/>
                <w:noProof/>
              </w:rPr>
              <w:t>ROOT</w:t>
            </w:r>
            <w:r w:rsidR="00502DB6" w:rsidRPr="004A7088">
              <w:rPr>
                <w:rStyle w:val="Hyperlink"/>
                <w:noProof/>
                <w:lang w:val="en-US" w:eastAsia="en-GB"/>
              </w:rPr>
              <w:t xml:space="preserve"> TEST</w:t>
            </w:r>
            <w:r w:rsidR="00502DB6">
              <w:rPr>
                <w:noProof/>
                <w:webHidden/>
              </w:rPr>
              <w:tab/>
            </w:r>
            <w:r w:rsidR="00502DB6">
              <w:rPr>
                <w:noProof/>
                <w:webHidden/>
              </w:rPr>
              <w:fldChar w:fldCharType="begin"/>
            </w:r>
            <w:r w:rsidR="00502DB6">
              <w:rPr>
                <w:noProof/>
                <w:webHidden/>
              </w:rPr>
              <w:instrText xml:space="preserve"> PAGEREF _Toc171075438 \h </w:instrText>
            </w:r>
            <w:r w:rsidR="00502DB6">
              <w:rPr>
                <w:noProof/>
                <w:webHidden/>
              </w:rPr>
            </w:r>
            <w:r w:rsidR="00502DB6">
              <w:rPr>
                <w:noProof/>
                <w:webHidden/>
              </w:rPr>
              <w:fldChar w:fldCharType="separate"/>
            </w:r>
            <w:r w:rsidR="002256B4">
              <w:rPr>
                <w:noProof/>
                <w:webHidden/>
              </w:rPr>
              <w:t>187</w:t>
            </w:r>
            <w:r w:rsidR="00502DB6">
              <w:rPr>
                <w:noProof/>
                <w:webHidden/>
              </w:rPr>
              <w:fldChar w:fldCharType="end"/>
            </w:r>
          </w:hyperlink>
        </w:p>
        <w:p w14:paraId="15203B3F" w14:textId="3689B7FB" w:rsidR="00502DB6" w:rsidRDefault="00000000">
          <w:pPr>
            <w:pStyle w:val="TOC3"/>
            <w:tabs>
              <w:tab w:val="left" w:pos="1320"/>
              <w:tab w:val="right" w:leader="dot" w:pos="9016"/>
            </w:tabs>
            <w:rPr>
              <w:rFonts w:eastAsiaTheme="minorEastAsia"/>
              <w:noProof/>
              <w:kern w:val="2"/>
              <w:sz w:val="24"/>
              <w:szCs w:val="24"/>
              <w:lang w:eastAsia="en-GB"/>
              <w14:ligatures w14:val="standardContextual"/>
            </w:rPr>
          </w:pPr>
          <w:hyperlink w:anchor="_Toc171075439" w:history="1">
            <w:r w:rsidR="00502DB6" w:rsidRPr="004A7088">
              <w:rPr>
                <w:rStyle w:val="Hyperlink"/>
                <w:noProof/>
                <w:lang w:val="en-US" w:eastAsia="en-GB"/>
              </w:rPr>
              <w:t>5.5.</w:t>
            </w:r>
            <w:r w:rsidR="00502DB6" w:rsidRPr="004A7088">
              <w:rPr>
                <w:rStyle w:val="Hyperlink"/>
                <w:noProof/>
              </w:rPr>
              <w:t>3</w:t>
            </w:r>
            <w:r w:rsidR="00502DB6">
              <w:rPr>
                <w:rFonts w:eastAsiaTheme="minorEastAsia"/>
                <w:noProof/>
                <w:kern w:val="2"/>
                <w:sz w:val="24"/>
                <w:szCs w:val="24"/>
                <w:lang w:eastAsia="en-GB"/>
                <w14:ligatures w14:val="standardContextual"/>
              </w:rPr>
              <w:tab/>
            </w:r>
            <w:r w:rsidR="00502DB6" w:rsidRPr="004A7088">
              <w:rPr>
                <w:rStyle w:val="Hyperlink"/>
                <w:noProof/>
              </w:rPr>
              <w:t>LONG</w:t>
            </w:r>
            <w:r w:rsidR="00502DB6" w:rsidRPr="004A7088">
              <w:rPr>
                <w:rStyle w:val="Hyperlink"/>
                <w:noProof/>
                <w:lang w:val="en-US" w:eastAsia="en-GB"/>
              </w:rPr>
              <w:t>-RUN ANALYSIS</w:t>
            </w:r>
            <w:r w:rsidR="00502DB6">
              <w:rPr>
                <w:noProof/>
                <w:webHidden/>
              </w:rPr>
              <w:tab/>
            </w:r>
            <w:r w:rsidR="00502DB6">
              <w:rPr>
                <w:noProof/>
                <w:webHidden/>
              </w:rPr>
              <w:fldChar w:fldCharType="begin"/>
            </w:r>
            <w:r w:rsidR="00502DB6">
              <w:rPr>
                <w:noProof/>
                <w:webHidden/>
              </w:rPr>
              <w:instrText xml:space="preserve"> PAGEREF _Toc171075439 \h </w:instrText>
            </w:r>
            <w:r w:rsidR="00502DB6">
              <w:rPr>
                <w:noProof/>
                <w:webHidden/>
              </w:rPr>
            </w:r>
            <w:r w:rsidR="00502DB6">
              <w:rPr>
                <w:noProof/>
                <w:webHidden/>
              </w:rPr>
              <w:fldChar w:fldCharType="separate"/>
            </w:r>
            <w:r w:rsidR="002256B4">
              <w:rPr>
                <w:noProof/>
                <w:webHidden/>
              </w:rPr>
              <w:t>187</w:t>
            </w:r>
            <w:r w:rsidR="00502DB6">
              <w:rPr>
                <w:noProof/>
                <w:webHidden/>
              </w:rPr>
              <w:fldChar w:fldCharType="end"/>
            </w:r>
          </w:hyperlink>
        </w:p>
        <w:p w14:paraId="108D9038" w14:textId="00BEA810" w:rsidR="00502DB6" w:rsidRDefault="00000000">
          <w:pPr>
            <w:pStyle w:val="TOC3"/>
            <w:tabs>
              <w:tab w:val="left" w:pos="1320"/>
              <w:tab w:val="right" w:leader="dot" w:pos="9016"/>
            </w:tabs>
            <w:rPr>
              <w:rFonts w:eastAsiaTheme="minorEastAsia"/>
              <w:noProof/>
              <w:kern w:val="2"/>
              <w:sz w:val="24"/>
              <w:szCs w:val="24"/>
              <w:lang w:eastAsia="en-GB"/>
              <w14:ligatures w14:val="standardContextual"/>
            </w:rPr>
          </w:pPr>
          <w:hyperlink w:anchor="_Toc171075440" w:history="1">
            <w:r w:rsidR="00502DB6" w:rsidRPr="004A7088">
              <w:rPr>
                <w:rStyle w:val="Hyperlink"/>
                <w:noProof/>
                <w:lang w:val="en-US" w:eastAsia="en-GB"/>
              </w:rPr>
              <w:t>5.5.</w:t>
            </w:r>
            <w:r w:rsidR="00502DB6" w:rsidRPr="004A7088">
              <w:rPr>
                <w:rStyle w:val="Hyperlink"/>
                <w:noProof/>
              </w:rPr>
              <w:t>4</w:t>
            </w:r>
            <w:r w:rsidR="00502DB6">
              <w:rPr>
                <w:rFonts w:eastAsiaTheme="minorEastAsia"/>
                <w:noProof/>
                <w:kern w:val="2"/>
                <w:sz w:val="24"/>
                <w:szCs w:val="24"/>
                <w:lang w:eastAsia="en-GB"/>
                <w14:ligatures w14:val="standardContextual"/>
              </w:rPr>
              <w:tab/>
            </w:r>
            <w:r w:rsidR="00502DB6" w:rsidRPr="004A7088">
              <w:rPr>
                <w:rStyle w:val="Hyperlink"/>
                <w:noProof/>
              </w:rPr>
              <w:t>SHORT</w:t>
            </w:r>
            <w:r w:rsidR="00502DB6" w:rsidRPr="004A7088">
              <w:rPr>
                <w:rStyle w:val="Hyperlink"/>
                <w:noProof/>
                <w:lang w:val="en-US" w:eastAsia="en-GB"/>
              </w:rPr>
              <w:t>-RUN ANALYSIS</w:t>
            </w:r>
            <w:r w:rsidR="00502DB6">
              <w:rPr>
                <w:noProof/>
                <w:webHidden/>
              </w:rPr>
              <w:tab/>
            </w:r>
            <w:r w:rsidR="00502DB6">
              <w:rPr>
                <w:noProof/>
                <w:webHidden/>
              </w:rPr>
              <w:fldChar w:fldCharType="begin"/>
            </w:r>
            <w:r w:rsidR="00502DB6">
              <w:rPr>
                <w:noProof/>
                <w:webHidden/>
              </w:rPr>
              <w:instrText xml:space="preserve"> PAGEREF _Toc171075440 \h </w:instrText>
            </w:r>
            <w:r w:rsidR="00502DB6">
              <w:rPr>
                <w:noProof/>
                <w:webHidden/>
              </w:rPr>
            </w:r>
            <w:r w:rsidR="00502DB6">
              <w:rPr>
                <w:noProof/>
                <w:webHidden/>
              </w:rPr>
              <w:fldChar w:fldCharType="separate"/>
            </w:r>
            <w:r w:rsidR="002256B4">
              <w:rPr>
                <w:noProof/>
                <w:webHidden/>
              </w:rPr>
              <w:t>190</w:t>
            </w:r>
            <w:r w:rsidR="00502DB6">
              <w:rPr>
                <w:noProof/>
                <w:webHidden/>
              </w:rPr>
              <w:fldChar w:fldCharType="end"/>
            </w:r>
          </w:hyperlink>
        </w:p>
        <w:p w14:paraId="21E26DE4" w14:textId="5DD89BFC" w:rsidR="00502DB6" w:rsidRDefault="00000000">
          <w:pPr>
            <w:pStyle w:val="TOC3"/>
            <w:tabs>
              <w:tab w:val="left" w:pos="1100"/>
              <w:tab w:val="right" w:leader="dot" w:pos="9016"/>
            </w:tabs>
            <w:rPr>
              <w:rFonts w:eastAsiaTheme="minorEastAsia"/>
              <w:noProof/>
              <w:kern w:val="2"/>
              <w:sz w:val="24"/>
              <w:szCs w:val="24"/>
              <w:lang w:eastAsia="en-GB"/>
              <w14:ligatures w14:val="standardContextual"/>
            </w:rPr>
          </w:pPr>
          <w:hyperlink w:anchor="_Toc171075441" w:history="1">
            <w:r w:rsidR="00502DB6" w:rsidRPr="004A7088">
              <w:rPr>
                <w:rStyle w:val="Hyperlink"/>
                <w:noProof/>
                <w:lang w:val="en-US" w:eastAsia="en-GB"/>
              </w:rPr>
              <w:t>5.6</w:t>
            </w:r>
            <w:r w:rsidR="00502DB6">
              <w:rPr>
                <w:rFonts w:eastAsiaTheme="minorEastAsia"/>
                <w:noProof/>
                <w:kern w:val="2"/>
                <w:sz w:val="24"/>
                <w:szCs w:val="24"/>
                <w:lang w:eastAsia="en-GB"/>
                <w14:ligatures w14:val="standardContextual"/>
              </w:rPr>
              <w:tab/>
            </w:r>
            <w:r w:rsidR="00502DB6" w:rsidRPr="004A7088">
              <w:rPr>
                <w:rStyle w:val="Hyperlink"/>
                <w:noProof/>
                <w:lang w:val="en-US" w:eastAsia="en-GB"/>
              </w:rPr>
              <w:t>POLICY RECOMMENDATION</w:t>
            </w:r>
            <w:r w:rsidR="00502DB6">
              <w:rPr>
                <w:noProof/>
                <w:webHidden/>
              </w:rPr>
              <w:tab/>
            </w:r>
            <w:r w:rsidR="00502DB6">
              <w:rPr>
                <w:noProof/>
                <w:webHidden/>
              </w:rPr>
              <w:fldChar w:fldCharType="begin"/>
            </w:r>
            <w:r w:rsidR="00502DB6">
              <w:rPr>
                <w:noProof/>
                <w:webHidden/>
              </w:rPr>
              <w:instrText xml:space="preserve"> PAGEREF _Toc171075441 \h </w:instrText>
            </w:r>
            <w:r w:rsidR="00502DB6">
              <w:rPr>
                <w:noProof/>
                <w:webHidden/>
              </w:rPr>
            </w:r>
            <w:r w:rsidR="00502DB6">
              <w:rPr>
                <w:noProof/>
                <w:webHidden/>
              </w:rPr>
              <w:fldChar w:fldCharType="separate"/>
            </w:r>
            <w:r w:rsidR="002256B4">
              <w:rPr>
                <w:noProof/>
                <w:webHidden/>
              </w:rPr>
              <w:t>192</w:t>
            </w:r>
            <w:r w:rsidR="00502DB6">
              <w:rPr>
                <w:noProof/>
                <w:webHidden/>
              </w:rPr>
              <w:fldChar w:fldCharType="end"/>
            </w:r>
          </w:hyperlink>
        </w:p>
        <w:p w14:paraId="069E8A7D" w14:textId="40401D3D" w:rsidR="00502DB6" w:rsidRDefault="00000000">
          <w:pPr>
            <w:pStyle w:val="TOC2"/>
            <w:rPr>
              <w:rFonts w:eastAsiaTheme="minorEastAsia"/>
              <w:noProof/>
              <w:kern w:val="2"/>
              <w:sz w:val="24"/>
              <w:szCs w:val="24"/>
              <w:lang w:eastAsia="en-GB"/>
              <w14:ligatures w14:val="standardContextual"/>
            </w:rPr>
          </w:pPr>
          <w:hyperlink w:anchor="_Toc171075442" w:history="1">
            <w:r w:rsidR="00502DB6" w:rsidRPr="004A7088">
              <w:rPr>
                <w:rStyle w:val="Hyperlink"/>
                <w:noProof/>
              </w:rPr>
              <w:t>5.7</w:t>
            </w:r>
            <w:r w:rsidR="00502DB6">
              <w:rPr>
                <w:rFonts w:eastAsiaTheme="minorEastAsia"/>
                <w:noProof/>
                <w:kern w:val="2"/>
                <w:sz w:val="24"/>
                <w:szCs w:val="24"/>
                <w:lang w:eastAsia="en-GB"/>
                <w14:ligatures w14:val="standardContextual"/>
              </w:rPr>
              <w:tab/>
            </w:r>
            <w:r w:rsidR="00502DB6" w:rsidRPr="004A7088">
              <w:rPr>
                <w:rStyle w:val="Hyperlink"/>
                <w:noProof/>
              </w:rPr>
              <w:t>CONCLUSION</w:t>
            </w:r>
            <w:r w:rsidR="00502DB6">
              <w:rPr>
                <w:noProof/>
                <w:webHidden/>
              </w:rPr>
              <w:tab/>
            </w:r>
            <w:r w:rsidR="00502DB6">
              <w:rPr>
                <w:noProof/>
                <w:webHidden/>
              </w:rPr>
              <w:fldChar w:fldCharType="begin"/>
            </w:r>
            <w:r w:rsidR="00502DB6">
              <w:rPr>
                <w:noProof/>
                <w:webHidden/>
              </w:rPr>
              <w:instrText xml:space="preserve"> PAGEREF _Toc171075442 \h </w:instrText>
            </w:r>
            <w:r w:rsidR="00502DB6">
              <w:rPr>
                <w:noProof/>
                <w:webHidden/>
              </w:rPr>
            </w:r>
            <w:r w:rsidR="00502DB6">
              <w:rPr>
                <w:noProof/>
                <w:webHidden/>
              </w:rPr>
              <w:fldChar w:fldCharType="separate"/>
            </w:r>
            <w:r w:rsidR="002256B4">
              <w:rPr>
                <w:noProof/>
                <w:webHidden/>
              </w:rPr>
              <w:t>193</w:t>
            </w:r>
            <w:r w:rsidR="00502DB6">
              <w:rPr>
                <w:noProof/>
                <w:webHidden/>
              </w:rPr>
              <w:fldChar w:fldCharType="end"/>
            </w:r>
          </w:hyperlink>
        </w:p>
        <w:p w14:paraId="0B339BE7" w14:textId="1D47C1A9" w:rsidR="00502DB6" w:rsidRDefault="00000000">
          <w:pPr>
            <w:pStyle w:val="TOC1"/>
            <w:tabs>
              <w:tab w:val="right" w:leader="dot" w:pos="9016"/>
            </w:tabs>
            <w:rPr>
              <w:rFonts w:eastAsiaTheme="minorEastAsia"/>
              <w:noProof/>
              <w:kern w:val="2"/>
              <w:sz w:val="24"/>
              <w:szCs w:val="24"/>
              <w:lang w:eastAsia="en-GB"/>
              <w14:ligatures w14:val="standardContextual"/>
            </w:rPr>
          </w:pPr>
          <w:hyperlink w:anchor="_Toc171075443" w:history="1">
            <w:r w:rsidR="00502DB6" w:rsidRPr="004A7088">
              <w:rPr>
                <w:rStyle w:val="Hyperlink"/>
                <w:noProof/>
              </w:rPr>
              <w:t>CHAPTER 6 CONCLUSION AND RECOMMENDATION</w:t>
            </w:r>
            <w:r w:rsidR="00502DB6">
              <w:rPr>
                <w:noProof/>
                <w:webHidden/>
              </w:rPr>
              <w:tab/>
            </w:r>
            <w:r w:rsidR="00502DB6">
              <w:rPr>
                <w:noProof/>
                <w:webHidden/>
              </w:rPr>
              <w:fldChar w:fldCharType="begin"/>
            </w:r>
            <w:r w:rsidR="00502DB6">
              <w:rPr>
                <w:noProof/>
                <w:webHidden/>
              </w:rPr>
              <w:instrText xml:space="preserve"> PAGEREF _Toc171075443 \h </w:instrText>
            </w:r>
            <w:r w:rsidR="00502DB6">
              <w:rPr>
                <w:noProof/>
                <w:webHidden/>
              </w:rPr>
            </w:r>
            <w:r w:rsidR="00502DB6">
              <w:rPr>
                <w:noProof/>
                <w:webHidden/>
              </w:rPr>
              <w:fldChar w:fldCharType="separate"/>
            </w:r>
            <w:r w:rsidR="002256B4">
              <w:rPr>
                <w:noProof/>
                <w:webHidden/>
              </w:rPr>
              <w:t>196</w:t>
            </w:r>
            <w:r w:rsidR="00502DB6">
              <w:rPr>
                <w:noProof/>
                <w:webHidden/>
              </w:rPr>
              <w:fldChar w:fldCharType="end"/>
            </w:r>
          </w:hyperlink>
        </w:p>
        <w:p w14:paraId="55F0B320" w14:textId="16CC449D" w:rsidR="00502DB6" w:rsidRDefault="00000000">
          <w:pPr>
            <w:pStyle w:val="TOC2"/>
            <w:rPr>
              <w:rFonts w:eastAsiaTheme="minorEastAsia"/>
              <w:noProof/>
              <w:kern w:val="2"/>
              <w:sz w:val="24"/>
              <w:szCs w:val="24"/>
              <w:lang w:eastAsia="en-GB"/>
              <w14:ligatures w14:val="standardContextual"/>
            </w:rPr>
          </w:pPr>
          <w:hyperlink w:anchor="_Toc171075444" w:history="1">
            <w:r w:rsidR="00502DB6" w:rsidRPr="004A7088">
              <w:rPr>
                <w:rStyle w:val="Hyperlink"/>
                <w:noProof/>
              </w:rPr>
              <w:t>6.1</w:t>
            </w:r>
            <w:r w:rsidR="00502DB6">
              <w:rPr>
                <w:rFonts w:eastAsiaTheme="minorEastAsia"/>
                <w:noProof/>
                <w:kern w:val="2"/>
                <w:sz w:val="24"/>
                <w:szCs w:val="24"/>
                <w:lang w:eastAsia="en-GB"/>
                <w14:ligatures w14:val="standardContextual"/>
              </w:rPr>
              <w:tab/>
            </w:r>
            <w:r w:rsidR="00502DB6" w:rsidRPr="004A7088">
              <w:rPr>
                <w:rStyle w:val="Hyperlink"/>
                <w:noProof/>
              </w:rPr>
              <w:t>INTRODUCTION</w:t>
            </w:r>
            <w:r w:rsidR="00502DB6">
              <w:rPr>
                <w:noProof/>
                <w:webHidden/>
              </w:rPr>
              <w:tab/>
            </w:r>
            <w:r w:rsidR="00502DB6">
              <w:rPr>
                <w:noProof/>
                <w:webHidden/>
              </w:rPr>
              <w:fldChar w:fldCharType="begin"/>
            </w:r>
            <w:r w:rsidR="00502DB6">
              <w:rPr>
                <w:noProof/>
                <w:webHidden/>
              </w:rPr>
              <w:instrText xml:space="preserve"> PAGEREF _Toc171075444 \h </w:instrText>
            </w:r>
            <w:r w:rsidR="00502DB6">
              <w:rPr>
                <w:noProof/>
                <w:webHidden/>
              </w:rPr>
            </w:r>
            <w:r w:rsidR="00502DB6">
              <w:rPr>
                <w:noProof/>
                <w:webHidden/>
              </w:rPr>
              <w:fldChar w:fldCharType="separate"/>
            </w:r>
            <w:r w:rsidR="002256B4">
              <w:rPr>
                <w:noProof/>
                <w:webHidden/>
              </w:rPr>
              <w:t>196</w:t>
            </w:r>
            <w:r w:rsidR="00502DB6">
              <w:rPr>
                <w:noProof/>
                <w:webHidden/>
              </w:rPr>
              <w:fldChar w:fldCharType="end"/>
            </w:r>
          </w:hyperlink>
        </w:p>
        <w:p w14:paraId="0E14B409" w14:textId="47D430C3" w:rsidR="00502DB6" w:rsidRDefault="00000000">
          <w:pPr>
            <w:pStyle w:val="TOC2"/>
            <w:rPr>
              <w:rFonts w:eastAsiaTheme="minorEastAsia"/>
              <w:noProof/>
              <w:kern w:val="2"/>
              <w:sz w:val="24"/>
              <w:szCs w:val="24"/>
              <w:lang w:eastAsia="en-GB"/>
              <w14:ligatures w14:val="standardContextual"/>
            </w:rPr>
          </w:pPr>
          <w:hyperlink w:anchor="_Toc171075445" w:history="1">
            <w:r w:rsidR="00502DB6" w:rsidRPr="004A7088">
              <w:rPr>
                <w:rStyle w:val="Hyperlink"/>
                <w:noProof/>
              </w:rPr>
              <w:t>6.2</w:t>
            </w:r>
            <w:r w:rsidR="00502DB6">
              <w:rPr>
                <w:rFonts w:eastAsiaTheme="minorEastAsia"/>
                <w:noProof/>
                <w:kern w:val="2"/>
                <w:sz w:val="24"/>
                <w:szCs w:val="24"/>
                <w:lang w:eastAsia="en-GB"/>
                <w14:ligatures w14:val="standardContextual"/>
              </w:rPr>
              <w:tab/>
            </w:r>
            <w:r w:rsidR="00502DB6" w:rsidRPr="004A7088">
              <w:rPr>
                <w:rStyle w:val="Hyperlink"/>
                <w:noProof/>
              </w:rPr>
              <w:t>POLICY RECOMMENDATION</w:t>
            </w:r>
            <w:r w:rsidR="00502DB6">
              <w:rPr>
                <w:noProof/>
                <w:webHidden/>
              </w:rPr>
              <w:tab/>
            </w:r>
            <w:r w:rsidR="00502DB6">
              <w:rPr>
                <w:noProof/>
                <w:webHidden/>
              </w:rPr>
              <w:fldChar w:fldCharType="begin"/>
            </w:r>
            <w:r w:rsidR="00502DB6">
              <w:rPr>
                <w:noProof/>
                <w:webHidden/>
              </w:rPr>
              <w:instrText xml:space="preserve"> PAGEREF _Toc171075445 \h </w:instrText>
            </w:r>
            <w:r w:rsidR="00502DB6">
              <w:rPr>
                <w:noProof/>
                <w:webHidden/>
              </w:rPr>
            </w:r>
            <w:r w:rsidR="00502DB6">
              <w:rPr>
                <w:noProof/>
                <w:webHidden/>
              </w:rPr>
              <w:fldChar w:fldCharType="separate"/>
            </w:r>
            <w:r w:rsidR="002256B4">
              <w:rPr>
                <w:noProof/>
                <w:webHidden/>
              </w:rPr>
              <w:t>199</w:t>
            </w:r>
            <w:r w:rsidR="00502DB6">
              <w:rPr>
                <w:noProof/>
                <w:webHidden/>
              </w:rPr>
              <w:fldChar w:fldCharType="end"/>
            </w:r>
          </w:hyperlink>
        </w:p>
        <w:p w14:paraId="4B4B75D7" w14:textId="16671067" w:rsidR="00502DB6" w:rsidRDefault="00000000">
          <w:pPr>
            <w:pStyle w:val="TOC2"/>
            <w:rPr>
              <w:rFonts w:eastAsiaTheme="minorEastAsia"/>
              <w:noProof/>
              <w:kern w:val="2"/>
              <w:sz w:val="24"/>
              <w:szCs w:val="24"/>
              <w:lang w:eastAsia="en-GB"/>
              <w14:ligatures w14:val="standardContextual"/>
            </w:rPr>
          </w:pPr>
          <w:hyperlink w:anchor="_Toc171075446" w:history="1">
            <w:r w:rsidR="00502DB6" w:rsidRPr="004A7088">
              <w:rPr>
                <w:rStyle w:val="Hyperlink"/>
                <w:noProof/>
              </w:rPr>
              <w:t>6.3</w:t>
            </w:r>
            <w:r w:rsidR="00502DB6">
              <w:rPr>
                <w:rFonts w:eastAsiaTheme="minorEastAsia"/>
                <w:noProof/>
                <w:kern w:val="2"/>
                <w:sz w:val="24"/>
                <w:szCs w:val="24"/>
                <w:lang w:eastAsia="en-GB"/>
                <w14:ligatures w14:val="standardContextual"/>
              </w:rPr>
              <w:tab/>
            </w:r>
            <w:r w:rsidR="00502DB6" w:rsidRPr="004A7088">
              <w:rPr>
                <w:rStyle w:val="Hyperlink"/>
                <w:noProof/>
              </w:rPr>
              <w:t>SUGGESTION FOR FURTHER RESEARCH</w:t>
            </w:r>
            <w:r w:rsidR="00502DB6">
              <w:rPr>
                <w:noProof/>
                <w:webHidden/>
              </w:rPr>
              <w:tab/>
            </w:r>
            <w:r w:rsidR="00502DB6">
              <w:rPr>
                <w:noProof/>
                <w:webHidden/>
              </w:rPr>
              <w:fldChar w:fldCharType="begin"/>
            </w:r>
            <w:r w:rsidR="00502DB6">
              <w:rPr>
                <w:noProof/>
                <w:webHidden/>
              </w:rPr>
              <w:instrText xml:space="preserve"> PAGEREF _Toc171075446 \h </w:instrText>
            </w:r>
            <w:r w:rsidR="00502DB6">
              <w:rPr>
                <w:noProof/>
                <w:webHidden/>
              </w:rPr>
            </w:r>
            <w:r w:rsidR="00502DB6">
              <w:rPr>
                <w:noProof/>
                <w:webHidden/>
              </w:rPr>
              <w:fldChar w:fldCharType="separate"/>
            </w:r>
            <w:r w:rsidR="002256B4">
              <w:rPr>
                <w:noProof/>
                <w:webHidden/>
              </w:rPr>
              <w:t>205</w:t>
            </w:r>
            <w:r w:rsidR="00502DB6">
              <w:rPr>
                <w:noProof/>
                <w:webHidden/>
              </w:rPr>
              <w:fldChar w:fldCharType="end"/>
            </w:r>
          </w:hyperlink>
        </w:p>
        <w:p w14:paraId="28F49844" w14:textId="3EEFCFB5" w:rsidR="00502DB6" w:rsidRDefault="00000000">
          <w:pPr>
            <w:pStyle w:val="TOC1"/>
            <w:tabs>
              <w:tab w:val="right" w:leader="dot" w:pos="9016"/>
            </w:tabs>
            <w:rPr>
              <w:rFonts w:eastAsiaTheme="minorEastAsia"/>
              <w:noProof/>
              <w:kern w:val="2"/>
              <w:sz w:val="24"/>
              <w:szCs w:val="24"/>
              <w:lang w:eastAsia="en-GB"/>
              <w14:ligatures w14:val="standardContextual"/>
            </w:rPr>
          </w:pPr>
          <w:hyperlink w:anchor="_Toc171075447" w:history="1">
            <w:r w:rsidR="00502DB6" w:rsidRPr="004A7088">
              <w:rPr>
                <w:rStyle w:val="Hyperlink"/>
                <w:rFonts w:eastAsia="Times New Roman"/>
                <w:noProof/>
                <w:lang w:val="en-US"/>
              </w:rPr>
              <w:t>APPENDICES</w:t>
            </w:r>
            <w:r w:rsidR="00502DB6">
              <w:rPr>
                <w:noProof/>
                <w:webHidden/>
              </w:rPr>
              <w:tab/>
            </w:r>
            <w:r w:rsidR="00502DB6">
              <w:rPr>
                <w:noProof/>
                <w:webHidden/>
              </w:rPr>
              <w:fldChar w:fldCharType="begin"/>
            </w:r>
            <w:r w:rsidR="00502DB6">
              <w:rPr>
                <w:noProof/>
                <w:webHidden/>
              </w:rPr>
              <w:instrText xml:space="preserve"> PAGEREF _Toc171075447 \h </w:instrText>
            </w:r>
            <w:r w:rsidR="00502DB6">
              <w:rPr>
                <w:noProof/>
                <w:webHidden/>
              </w:rPr>
            </w:r>
            <w:r w:rsidR="00502DB6">
              <w:rPr>
                <w:noProof/>
                <w:webHidden/>
              </w:rPr>
              <w:fldChar w:fldCharType="separate"/>
            </w:r>
            <w:r w:rsidR="002256B4">
              <w:rPr>
                <w:noProof/>
                <w:webHidden/>
              </w:rPr>
              <w:t>207</w:t>
            </w:r>
            <w:r w:rsidR="00502DB6">
              <w:rPr>
                <w:noProof/>
                <w:webHidden/>
              </w:rPr>
              <w:fldChar w:fldCharType="end"/>
            </w:r>
          </w:hyperlink>
        </w:p>
        <w:p w14:paraId="4A823667" w14:textId="50C0FD9C" w:rsidR="00502DB6" w:rsidRDefault="00000000">
          <w:pPr>
            <w:pStyle w:val="TOC1"/>
            <w:tabs>
              <w:tab w:val="right" w:leader="dot" w:pos="9016"/>
            </w:tabs>
            <w:rPr>
              <w:rFonts w:eastAsiaTheme="minorEastAsia"/>
              <w:noProof/>
              <w:kern w:val="2"/>
              <w:sz w:val="24"/>
              <w:szCs w:val="24"/>
              <w:lang w:eastAsia="en-GB"/>
              <w14:ligatures w14:val="standardContextual"/>
            </w:rPr>
          </w:pPr>
          <w:hyperlink w:anchor="_Toc171075448" w:history="1">
            <w:r w:rsidR="00502DB6" w:rsidRPr="004A7088">
              <w:rPr>
                <w:rStyle w:val="Hyperlink"/>
                <w:rFonts w:eastAsia="Arial" w:cs="Arial"/>
                <w:noProof/>
              </w:rPr>
              <w:t>REFERENCE</w:t>
            </w:r>
            <w:r w:rsidR="00502DB6">
              <w:rPr>
                <w:noProof/>
                <w:webHidden/>
              </w:rPr>
              <w:tab/>
            </w:r>
            <w:r w:rsidR="00502DB6">
              <w:rPr>
                <w:noProof/>
                <w:webHidden/>
              </w:rPr>
              <w:fldChar w:fldCharType="begin"/>
            </w:r>
            <w:r w:rsidR="00502DB6">
              <w:rPr>
                <w:noProof/>
                <w:webHidden/>
              </w:rPr>
              <w:instrText xml:space="preserve"> PAGEREF _Toc171075448 \h </w:instrText>
            </w:r>
            <w:r w:rsidR="00502DB6">
              <w:rPr>
                <w:noProof/>
                <w:webHidden/>
              </w:rPr>
            </w:r>
            <w:r w:rsidR="00502DB6">
              <w:rPr>
                <w:noProof/>
                <w:webHidden/>
              </w:rPr>
              <w:fldChar w:fldCharType="separate"/>
            </w:r>
            <w:r w:rsidR="002256B4">
              <w:rPr>
                <w:noProof/>
                <w:webHidden/>
              </w:rPr>
              <w:t>216</w:t>
            </w:r>
            <w:r w:rsidR="00502DB6">
              <w:rPr>
                <w:noProof/>
                <w:webHidden/>
              </w:rPr>
              <w:fldChar w:fldCharType="end"/>
            </w:r>
          </w:hyperlink>
        </w:p>
        <w:p w14:paraId="499F41DC" w14:textId="006DF51F" w:rsidR="007B57FA" w:rsidRDefault="003E7341" w:rsidP="0066301C">
          <w:pPr>
            <w:spacing w:line="240" w:lineRule="auto"/>
          </w:pPr>
          <w:r>
            <w:rPr>
              <w:b/>
              <w:bCs/>
              <w:noProof/>
            </w:rPr>
            <w:fldChar w:fldCharType="end"/>
          </w:r>
        </w:p>
      </w:sdtContent>
    </w:sdt>
    <w:p w14:paraId="0DC7892F" w14:textId="77777777" w:rsidR="007B57FA" w:rsidRDefault="007B57FA" w:rsidP="0066301C">
      <w:pPr>
        <w:rPr>
          <w:lang w:eastAsia="en-GB"/>
        </w:rPr>
      </w:pPr>
    </w:p>
    <w:bookmarkEnd w:id="9"/>
    <w:p w14:paraId="18CEEA94" w14:textId="77777777" w:rsidR="00542E6E" w:rsidRDefault="00542E6E" w:rsidP="0066301C">
      <w:pPr>
        <w:rPr>
          <w:lang w:eastAsia="en-GB"/>
        </w:rPr>
      </w:pPr>
    </w:p>
    <w:p w14:paraId="6BD954EC" w14:textId="77777777" w:rsidR="00542E6E" w:rsidRDefault="00542E6E" w:rsidP="0066301C">
      <w:pPr>
        <w:rPr>
          <w:lang w:eastAsia="en-GB"/>
        </w:rPr>
      </w:pPr>
    </w:p>
    <w:p w14:paraId="666931BC" w14:textId="77777777" w:rsidR="00542E6E" w:rsidRDefault="00542E6E" w:rsidP="0066301C">
      <w:pPr>
        <w:rPr>
          <w:lang w:eastAsia="en-GB"/>
        </w:rPr>
      </w:pPr>
    </w:p>
    <w:p w14:paraId="664019E8" w14:textId="77777777" w:rsidR="00542E6E" w:rsidRDefault="00542E6E" w:rsidP="0066301C">
      <w:pPr>
        <w:rPr>
          <w:lang w:eastAsia="en-GB"/>
        </w:rPr>
      </w:pPr>
    </w:p>
    <w:p w14:paraId="2E0E65B8" w14:textId="77777777" w:rsidR="00542E6E" w:rsidRDefault="00542E6E" w:rsidP="0066301C">
      <w:pPr>
        <w:rPr>
          <w:lang w:eastAsia="en-GB"/>
        </w:rPr>
      </w:pPr>
    </w:p>
    <w:p w14:paraId="4B57F386" w14:textId="77777777" w:rsidR="00542E6E" w:rsidRDefault="00542E6E" w:rsidP="0066301C">
      <w:pPr>
        <w:rPr>
          <w:lang w:eastAsia="en-GB"/>
        </w:rPr>
      </w:pPr>
    </w:p>
    <w:p w14:paraId="2E511958" w14:textId="77777777" w:rsidR="00542E6E" w:rsidRDefault="00542E6E" w:rsidP="0066301C">
      <w:pPr>
        <w:rPr>
          <w:lang w:eastAsia="en-GB"/>
        </w:rPr>
      </w:pPr>
    </w:p>
    <w:p w14:paraId="2C572010" w14:textId="77777777" w:rsidR="00542E6E" w:rsidRDefault="00542E6E" w:rsidP="0066301C">
      <w:pPr>
        <w:rPr>
          <w:lang w:eastAsia="en-GB"/>
        </w:rPr>
      </w:pPr>
    </w:p>
    <w:p w14:paraId="339F807B" w14:textId="77777777" w:rsidR="00542E6E" w:rsidRDefault="00542E6E" w:rsidP="0066301C">
      <w:pPr>
        <w:rPr>
          <w:lang w:eastAsia="en-GB"/>
        </w:rPr>
      </w:pPr>
    </w:p>
    <w:p w14:paraId="11635C06" w14:textId="77777777" w:rsidR="00542E6E" w:rsidRDefault="00542E6E" w:rsidP="0066301C">
      <w:pPr>
        <w:rPr>
          <w:lang w:eastAsia="en-GB"/>
        </w:rPr>
      </w:pPr>
    </w:p>
    <w:p w14:paraId="63407118" w14:textId="77777777" w:rsidR="00542E6E" w:rsidRDefault="00542E6E" w:rsidP="0066301C">
      <w:pPr>
        <w:rPr>
          <w:lang w:eastAsia="en-GB"/>
        </w:rPr>
      </w:pPr>
    </w:p>
    <w:p w14:paraId="3623220B" w14:textId="77777777" w:rsidR="00542E6E" w:rsidRDefault="00542E6E" w:rsidP="0066301C">
      <w:pPr>
        <w:rPr>
          <w:lang w:eastAsia="en-GB"/>
        </w:rPr>
      </w:pPr>
    </w:p>
    <w:p w14:paraId="6288401E" w14:textId="77777777" w:rsidR="00542E6E" w:rsidRDefault="00542E6E" w:rsidP="0066301C">
      <w:pPr>
        <w:rPr>
          <w:lang w:eastAsia="en-GB"/>
        </w:rPr>
      </w:pPr>
    </w:p>
    <w:p w14:paraId="37925E67" w14:textId="77777777" w:rsidR="00542E6E" w:rsidRDefault="00542E6E" w:rsidP="0066301C">
      <w:pPr>
        <w:rPr>
          <w:lang w:eastAsia="en-GB"/>
        </w:rPr>
      </w:pPr>
    </w:p>
    <w:p w14:paraId="78D5DC0B" w14:textId="77777777" w:rsidR="00542E6E" w:rsidRDefault="00542E6E" w:rsidP="0066301C">
      <w:pPr>
        <w:rPr>
          <w:lang w:eastAsia="en-GB"/>
        </w:rPr>
      </w:pPr>
    </w:p>
    <w:p w14:paraId="03F5F98E" w14:textId="77777777" w:rsidR="00542E6E" w:rsidRDefault="00542E6E" w:rsidP="0066301C">
      <w:pPr>
        <w:rPr>
          <w:lang w:eastAsia="en-GB"/>
        </w:rPr>
      </w:pPr>
    </w:p>
    <w:p w14:paraId="7B3AA307" w14:textId="77777777" w:rsidR="00542E6E" w:rsidRDefault="00542E6E" w:rsidP="0066301C">
      <w:pPr>
        <w:rPr>
          <w:lang w:eastAsia="en-GB"/>
        </w:rPr>
      </w:pPr>
    </w:p>
    <w:p w14:paraId="2CAC30BA" w14:textId="77777777" w:rsidR="00542E6E" w:rsidRDefault="00542E6E" w:rsidP="0066301C">
      <w:pPr>
        <w:rPr>
          <w:lang w:eastAsia="en-GB"/>
        </w:rPr>
      </w:pPr>
    </w:p>
    <w:p w14:paraId="30A65788" w14:textId="77777777" w:rsidR="0066301C" w:rsidRDefault="0066301C" w:rsidP="0066301C">
      <w:pPr>
        <w:rPr>
          <w:lang w:eastAsia="en-GB"/>
        </w:rPr>
      </w:pPr>
    </w:p>
    <w:p w14:paraId="0250C8C0" w14:textId="77777777" w:rsidR="00542E6E" w:rsidRDefault="00542E6E" w:rsidP="0066301C">
      <w:pPr>
        <w:rPr>
          <w:lang w:eastAsia="en-GB"/>
        </w:rPr>
      </w:pPr>
    </w:p>
    <w:p w14:paraId="4CF26E19" w14:textId="77777777" w:rsidR="00542E6E" w:rsidRDefault="00542E6E" w:rsidP="0066301C">
      <w:pPr>
        <w:rPr>
          <w:lang w:eastAsia="en-GB"/>
        </w:rPr>
      </w:pPr>
    </w:p>
    <w:p w14:paraId="7AFEEFC6" w14:textId="77777777" w:rsidR="00542E6E" w:rsidRDefault="00542E6E" w:rsidP="0066301C">
      <w:pPr>
        <w:rPr>
          <w:lang w:eastAsia="en-GB"/>
        </w:rPr>
      </w:pPr>
    </w:p>
    <w:p w14:paraId="52A1BE6B" w14:textId="77777777" w:rsidR="00542E6E" w:rsidRPr="007B57FA" w:rsidRDefault="00542E6E" w:rsidP="0066301C">
      <w:pPr>
        <w:rPr>
          <w:lang w:eastAsia="en-GB"/>
        </w:rPr>
      </w:pPr>
    </w:p>
    <w:p w14:paraId="44C056A9" w14:textId="64F7F5BF" w:rsidR="007B57FA" w:rsidRPr="004C5CDA" w:rsidRDefault="007B57FA" w:rsidP="0066301C">
      <w:pPr>
        <w:pStyle w:val="Heading1"/>
        <w:numPr>
          <w:ilvl w:val="0"/>
          <w:numId w:val="0"/>
        </w:numPr>
        <w:spacing w:before="0"/>
      </w:pPr>
      <w:bookmarkStart w:id="10" w:name="_Toc171075343"/>
      <w:r>
        <w:lastRenderedPageBreak/>
        <w:t>LIST OF TABLES</w:t>
      </w:r>
      <w:bookmarkEnd w:id="10"/>
      <w:r>
        <w:rPr>
          <w:rFonts w:cs="Arial"/>
        </w:rPr>
        <w:tab/>
      </w:r>
      <w:r>
        <w:rPr>
          <w:rFonts w:cs="Arial"/>
        </w:rPr>
        <w:tab/>
      </w:r>
      <w:r>
        <w:rPr>
          <w:rFonts w:cs="Arial"/>
        </w:rPr>
        <w:tab/>
      </w:r>
    </w:p>
    <w:p w14:paraId="2362807F" w14:textId="0276937C" w:rsidR="00147E59" w:rsidRDefault="00147E59" w:rsidP="0066301C">
      <w:pPr>
        <w:spacing w:after="0" w:line="360" w:lineRule="auto"/>
        <w:rPr>
          <w:rFonts w:ascii="Arial" w:hAnsi="Arial" w:cs="Arial"/>
          <w:bCs/>
        </w:rPr>
      </w:pPr>
      <w:r>
        <w:rPr>
          <w:rFonts w:ascii="Arial" w:hAnsi="Arial" w:cs="Arial"/>
          <w:b/>
        </w:rPr>
        <w:t>Table 1.1</w:t>
      </w:r>
      <w:r>
        <w:rPr>
          <w:rFonts w:ascii="Arial" w:hAnsi="Arial" w:cs="Arial"/>
          <w:b/>
        </w:rPr>
        <w:tab/>
      </w:r>
      <w:r w:rsidRPr="00147E59">
        <w:rPr>
          <w:rFonts w:ascii="Arial" w:hAnsi="Arial" w:cs="Arial"/>
          <w:bCs/>
        </w:rPr>
        <w:t>FCFA Parity</w:t>
      </w:r>
    </w:p>
    <w:p w14:paraId="5C7EF066" w14:textId="7E6CF606" w:rsidR="00E73279" w:rsidRDefault="00E73279" w:rsidP="0066301C">
      <w:pPr>
        <w:pStyle w:val="NoSpacing"/>
        <w:spacing w:line="360" w:lineRule="auto"/>
        <w:jc w:val="both"/>
        <w:rPr>
          <w:rFonts w:ascii="Arial" w:hAnsi="Arial" w:cs="Arial"/>
          <w:b/>
        </w:rPr>
      </w:pPr>
      <w:r w:rsidRPr="00147E59">
        <w:rPr>
          <w:rFonts w:ascii="Arial" w:hAnsi="Arial" w:cs="Arial"/>
          <w:b/>
          <w:bCs/>
          <w:color w:val="0E101A"/>
        </w:rPr>
        <w:t>Table 1.</w:t>
      </w:r>
      <w:r>
        <w:rPr>
          <w:rFonts w:ascii="Arial" w:hAnsi="Arial" w:cs="Arial"/>
          <w:b/>
          <w:bCs/>
          <w:color w:val="0E101A"/>
        </w:rPr>
        <w:t>2</w:t>
      </w:r>
      <w:r>
        <w:rPr>
          <w:rFonts w:ascii="Arial" w:hAnsi="Arial" w:cs="Arial"/>
          <w:b/>
          <w:bCs/>
          <w:color w:val="0E101A"/>
        </w:rPr>
        <w:tab/>
      </w:r>
      <w:r w:rsidRPr="00E73279">
        <w:rPr>
          <w:rFonts w:ascii="Arial" w:hAnsi="Arial" w:cs="Arial"/>
          <w:color w:val="0E101A"/>
        </w:rPr>
        <w:t>Economic Indicators</w:t>
      </w:r>
      <w:r>
        <w:rPr>
          <w:rFonts w:ascii="Arial" w:hAnsi="Arial" w:cs="Arial"/>
          <w:b/>
          <w:bCs/>
          <w:color w:val="0E101A"/>
        </w:rPr>
        <w:t xml:space="preserve">  </w:t>
      </w:r>
      <w:r>
        <w:rPr>
          <w:rFonts w:ascii="Arial" w:hAnsi="Arial" w:cs="Arial"/>
          <w:b/>
        </w:rPr>
        <w:t xml:space="preserve"> </w:t>
      </w:r>
    </w:p>
    <w:p w14:paraId="21C9591A" w14:textId="78E279AB" w:rsidR="007B57FA" w:rsidRDefault="007B57FA" w:rsidP="0066301C">
      <w:pPr>
        <w:spacing w:after="0" w:line="360" w:lineRule="auto"/>
        <w:rPr>
          <w:rFonts w:ascii="Arial" w:hAnsi="Arial" w:cs="Arial"/>
          <w:b/>
        </w:rPr>
      </w:pPr>
      <w:r>
        <w:rPr>
          <w:rFonts w:ascii="Arial" w:hAnsi="Arial" w:cs="Arial"/>
          <w:b/>
        </w:rPr>
        <w:t>Table 3.1</w:t>
      </w:r>
      <w:r>
        <w:rPr>
          <w:rFonts w:ascii="Arial" w:hAnsi="Arial" w:cs="Arial"/>
          <w:b/>
        </w:rPr>
        <w:tab/>
      </w:r>
      <w:r w:rsidRPr="00E07A97">
        <w:rPr>
          <w:rFonts w:ascii="Arial" w:hAnsi="Arial" w:cs="Arial"/>
          <w:bCs/>
        </w:rPr>
        <w:t>Diagnostic Test Results</w:t>
      </w:r>
    </w:p>
    <w:p w14:paraId="446C0DC4" w14:textId="77777777" w:rsidR="007B57FA" w:rsidRDefault="007B57FA" w:rsidP="0066301C">
      <w:pPr>
        <w:spacing w:after="0" w:line="360" w:lineRule="auto"/>
        <w:rPr>
          <w:rFonts w:ascii="Arial" w:hAnsi="Arial" w:cs="Arial"/>
        </w:rPr>
      </w:pPr>
      <w:r w:rsidRPr="00E07A97">
        <w:rPr>
          <w:rFonts w:ascii="Arial" w:hAnsi="Arial" w:cs="Arial"/>
          <w:b/>
          <w:bCs/>
        </w:rPr>
        <w:t xml:space="preserve">Table </w:t>
      </w:r>
      <w:r>
        <w:rPr>
          <w:rFonts w:ascii="Arial" w:hAnsi="Arial" w:cs="Arial"/>
          <w:b/>
          <w:bCs/>
        </w:rPr>
        <w:t>3</w:t>
      </w:r>
      <w:r w:rsidRPr="00E07A97">
        <w:rPr>
          <w:rFonts w:ascii="Arial" w:hAnsi="Arial" w:cs="Arial"/>
          <w:b/>
          <w:bCs/>
        </w:rPr>
        <w:t>.2</w:t>
      </w:r>
      <w:r>
        <w:rPr>
          <w:rFonts w:ascii="Arial" w:hAnsi="Arial" w:cs="Arial"/>
        </w:rPr>
        <w:tab/>
        <w:t>ADF and PP Unit Root Test Results</w:t>
      </w:r>
      <w:r>
        <w:rPr>
          <w:rFonts w:ascii="Arial" w:hAnsi="Arial" w:cs="Arial"/>
        </w:rPr>
        <w:tab/>
        <w:t xml:space="preserve">   </w:t>
      </w:r>
      <w:r>
        <w:rPr>
          <w:rFonts w:ascii="Arial" w:hAnsi="Arial" w:cs="Arial"/>
        </w:rPr>
        <w:tab/>
        <w:t xml:space="preserve"> </w:t>
      </w:r>
      <w:r>
        <w:rPr>
          <w:rFonts w:ascii="Arial" w:hAnsi="Arial" w:cs="Arial"/>
        </w:rPr>
        <w:tab/>
      </w:r>
      <w:r>
        <w:rPr>
          <w:rFonts w:ascii="Arial" w:hAnsi="Arial" w:cs="Arial"/>
        </w:rPr>
        <w:tab/>
      </w:r>
      <w:r>
        <w:rPr>
          <w:rFonts w:ascii="Arial" w:hAnsi="Arial" w:cs="Arial"/>
        </w:rPr>
        <w:tab/>
      </w:r>
      <w:r>
        <w:rPr>
          <w:rFonts w:ascii="Arial" w:hAnsi="Arial" w:cs="Arial"/>
        </w:rPr>
        <w:tab/>
      </w:r>
    </w:p>
    <w:p w14:paraId="0058F172" w14:textId="77777777" w:rsidR="007B57FA" w:rsidRDefault="007B57FA" w:rsidP="0066301C">
      <w:pPr>
        <w:spacing w:after="0" w:line="360" w:lineRule="auto"/>
        <w:rPr>
          <w:rFonts w:ascii="Arial" w:hAnsi="Arial" w:cs="Arial"/>
        </w:rPr>
      </w:pPr>
      <w:r>
        <w:rPr>
          <w:rFonts w:ascii="Arial" w:hAnsi="Arial" w:cs="Arial"/>
          <w:b/>
        </w:rPr>
        <w:t>Table 3.3</w:t>
      </w:r>
      <w:r>
        <w:rPr>
          <w:rFonts w:ascii="Arial" w:hAnsi="Arial" w:cs="Arial"/>
          <w:b/>
        </w:rPr>
        <w:tab/>
      </w:r>
      <w:r>
        <w:rPr>
          <w:rFonts w:ascii="Arial" w:hAnsi="Arial" w:cs="Arial"/>
        </w:rPr>
        <w:t>Optimal Lag Length Results</w:t>
      </w:r>
      <w:r>
        <w:rPr>
          <w:rFonts w:ascii="Arial" w:hAnsi="Arial" w:cs="Arial"/>
        </w:rPr>
        <w:tab/>
      </w:r>
      <w:r>
        <w:rPr>
          <w:rFonts w:ascii="Arial" w:hAnsi="Arial" w:cs="Arial"/>
        </w:rPr>
        <w:tab/>
        <w:t xml:space="preserve">   </w:t>
      </w:r>
      <w:r>
        <w:rPr>
          <w:rFonts w:ascii="Arial" w:hAnsi="Arial" w:cs="Arial"/>
        </w:rPr>
        <w:tab/>
        <w:t xml:space="preserve"> </w:t>
      </w:r>
      <w:r>
        <w:rPr>
          <w:rFonts w:ascii="Arial" w:hAnsi="Arial" w:cs="Arial"/>
        </w:rPr>
        <w:tab/>
      </w:r>
      <w:r>
        <w:rPr>
          <w:rFonts w:ascii="Arial" w:hAnsi="Arial" w:cs="Arial"/>
        </w:rPr>
        <w:tab/>
      </w:r>
      <w:r>
        <w:rPr>
          <w:rFonts w:ascii="Arial" w:hAnsi="Arial" w:cs="Arial"/>
        </w:rPr>
        <w:tab/>
      </w:r>
      <w:r>
        <w:rPr>
          <w:rFonts w:ascii="Arial" w:hAnsi="Arial" w:cs="Arial"/>
        </w:rPr>
        <w:tab/>
      </w:r>
    </w:p>
    <w:p w14:paraId="6F3362B3" w14:textId="77777777" w:rsidR="007B57FA" w:rsidRDefault="007B57FA" w:rsidP="0066301C">
      <w:pPr>
        <w:spacing w:after="0" w:line="360" w:lineRule="auto"/>
        <w:rPr>
          <w:rFonts w:ascii="Arial" w:hAnsi="Arial" w:cs="Arial"/>
        </w:rPr>
      </w:pPr>
      <w:r>
        <w:rPr>
          <w:rFonts w:ascii="Arial" w:hAnsi="Arial" w:cs="Arial"/>
          <w:b/>
        </w:rPr>
        <w:t>Table 3.4</w:t>
      </w:r>
      <w:r>
        <w:rPr>
          <w:rFonts w:ascii="Arial" w:hAnsi="Arial" w:cs="Arial"/>
          <w:b/>
        </w:rPr>
        <w:tab/>
      </w:r>
      <w:r>
        <w:rPr>
          <w:rFonts w:ascii="Arial" w:hAnsi="Arial" w:cs="Arial"/>
        </w:rPr>
        <w:t xml:space="preserve">Johansen Cointegration Text Results    </w:t>
      </w:r>
      <w:r>
        <w:rPr>
          <w:rFonts w:ascii="Arial" w:hAnsi="Arial" w:cs="Arial"/>
        </w:rPr>
        <w:tab/>
        <w:t xml:space="preserve"> </w:t>
      </w:r>
      <w:r>
        <w:rPr>
          <w:rFonts w:ascii="Arial" w:hAnsi="Arial" w:cs="Arial"/>
        </w:rPr>
        <w:tab/>
      </w:r>
      <w:r>
        <w:rPr>
          <w:rFonts w:ascii="Arial" w:hAnsi="Arial" w:cs="Arial"/>
        </w:rPr>
        <w:tab/>
      </w:r>
      <w:r>
        <w:rPr>
          <w:rFonts w:ascii="Arial" w:hAnsi="Arial" w:cs="Arial"/>
        </w:rPr>
        <w:tab/>
      </w:r>
      <w:r>
        <w:rPr>
          <w:rFonts w:ascii="Arial" w:hAnsi="Arial" w:cs="Arial"/>
        </w:rPr>
        <w:tab/>
      </w:r>
    </w:p>
    <w:p w14:paraId="215E6764" w14:textId="77777777" w:rsidR="007B57FA" w:rsidRDefault="007B57FA" w:rsidP="0066301C">
      <w:pPr>
        <w:spacing w:after="0" w:line="360" w:lineRule="auto"/>
        <w:rPr>
          <w:rFonts w:ascii="Arial" w:hAnsi="Arial" w:cs="Arial"/>
        </w:rPr>
      </w:pPr>
      <w:r>
        <w:rPr>
          <w:rFonts w:ascii="Arial" w:hAnsi="Arial" w:cs="Arial"/>
          <w:b/>
        </w:rPr>
        <w:t>Table 3.5</w:t>
      </w:r>
      <w:r>
        <w:rPr>
          <w:rFonts w:ascii="Arial" w:hAnsi="Arial" w:cs="Arial"/>
          <w:b/>
        </w:rPr>
        <w:tab/>
      </w:r>
      <w:r>
        <w:rPr>
          <w:rFonts w:ascii="Arial" w:hAnsi="Arial" w:cs="Arial"/>
        </w:rPr>
        <w:t xml:space="preserve">Coefficient of Error Correction Term   </w:t>
      </w:r>
      <w:r>
        <w:rPr>
          <w:rFonts w:ascii="Arial" w:hAnsi="Arial" w:cs="Arial"/>
        </w:rPr>
        <w:tab/>
        <w:t xml:space="preserve"> </w:t>
      </w:r>
      <w:r>
        <w:rPr>
          <w:rFonts w:ascii="Arial" w:hAnsi="Arial" w:cs="Arial"/>
        </w:rPr>
        <w:tab/>
      </w:r>
      <w:r>
        <w:rPr>
          <w:rFonts w:ascii="Arial" w:hAnsi="Arial" w:cs="Arial"/>
        </w:rPr>
        <w:tab/>
      </w:r>
      <w:r>
        <w:rPr>
          <w:rFonts w:ascii="Arial" w:hAnsi="Arial" w:cs="Arial"/>
        </w:rPr>
        <w:tab/>
      </w:r>
      <w:r>
        <w:rPr>
          <w:rFonts w:ascii="Arial" w:hAnsi="Arial" w:cs="Arial"/>
        </w:rPr>
        <w:tab/>
      </w:r>
    </w:p>
    <w:p w14:paraId="3DB11AA8" w14:textId="77777777" w:rsidR="007B57FA" w:rsidRDefault="007B57FA" w:rsidP="0066301C">
      <w:pPr>
        <w:spacing w:after="0" w:line="360" w:lineRule="auto"/>
        <w:rPr>
          <w:rFonts w:ascii="Arial" w:hAnsi="Arial" w:cs="Arial"/>
        </w:rPr>
      </w:pPr>
      <w:r>
        <w:rPr>
          <w:rFonts w:ascii="Arial" w:hAnsi="Arial" w:cs="Arial"/>
          <w:b/>
        </w:rPr>
        <w:t>Table 3.6</w:t>
      </w:r>
      <w:r>
        <w:rPr>
          <w:rFonts w:ascii="Arial" w:hAnsi="Arial" w:cs="Arial"/>
          <w:b/>
        </w:rPr>
        <w:tab/>
      </w:r>
      <w:r>
        <w:rPr>
          <w:rFonts w:ascii="Arial" w:hAnsi="Arial" w:cs="Arial"/>
        </w:rPr>
        <w:t>Long-Run Estimates</w:t>
      </w:r>
    </w:p>
    <w:p w14:paraId="4E5862C4" w14:textId="77777777" w:rsidR="007B57FA" w:rsidRDefault="007B57FA" w:rsidP="0066301C">
      <w:pPr>
        <w:spacing w:after="0" w:line="360" w:lineRule="auto"/>
        <w:rPr>
          <w:rFonts w:ascii="Arial" w:hAnsi="Arial" w:cs="Arial"/>
        </w:rPr>
      </w:pPr>
      <w:r>
        <w:rPr>
          <w:rFonts w:ascii="Arial" w:hAnsi="Arial" w:cs="Arial"/>
          <w:b/>
        </w:rPr>
        <w:t>Table 3.7</w:t>
      </w:r>
      <w:r>
        <w:rPr>
          <w:rFonts w:ascii="Arial" w:hAnsi="Arial" w:cs="Arial"/>
          <w:b/>
        </w:rPr>
        <w:tab/>
      </w:r>
      <w:r>
        <w:rPr>
          <w:rFonts w:ascii="Arial" w:hAnsi="Arial" w:cs="Arial"/>
        </w:rPr>
        <w:t>Short-Run Estimates</w:t>
      </w:r>
    </w:p>
    <w:p w14:paraId="20C51138" w14:textId="2D37A593" w:rsidR="007B57FA" w:rsidRDefault="007B57FA" w:rsidP="0066301C">
      <w:pPr>
        <w:spacing w:after="0" w:line="360" w:lineRule="auto"/>
        <w:rPr>
          <w:rFonts w:ascii="Arial" w:hAnsi="Arial" w:cs="Arial"/>
        </w:rPr>
      </w:pPr>
      <w:r>
        <w:rPr>
          <w:rFonts w:ascii="Arial" w:hAnsi="Arial" w:cs="Arial"/>
          <w:b/>
        </w:rPr>
        <w:t>Table 3.8</w:t>
      </w:r>
      <w:r>
        <w:rPr>
          <w:rFonts w:ascii="Arial" w:hAnsi="Arial" w:cs="Arial"/>
          <w:b/>
        </w:rPr>
        <w:tab/>
      </w:r>
      <w:r>
        <w:rPr>
          <w:rFonts w:ascii="Arial" w:hAnsi="Arial" w:cs="Arial"/>
        </w:rPr>
        <w:t>The Hodrick-Prescott Filter</w:t>
      </w:r>
      <w:r>
        <w:rPr>
          <w:rFonts w:ascii="Arial" w:hAnsi="Arial" w:cs="Arial"/>
        </w:rPr>
        <w:tab/>
      </w:r>
    </w:p>
    <w:p w14:paraId="43326424" w14:textId="2B28782E" w:rsidR="007B57FA" w:rsidRDefault="007B57FA" w:rsidP="0066301C">
      <w:pPr>
        <w:spacing w:after="0" w:line="360" w:lineRule="auto"/>
        <w:rPr>
          <w:rFonts w:ascii="Arial" w:hAnsi="Arial" w:cs="Arial"/>
        </w:rPr>
      </w:pPr>
      <w:r>
        <w:rPr>
          <w:rFonts w:ascii="Arial" w:hAnsi="Arial" w:cs="Arial"/>
          <w:b/>
        </w:rPr>
        <w:t>Table 3.</w:t>
      </w:r>
      <w:r w:rsidR="00A96AC3">
        <w:rPr>
          <w:rFonts w:ascii="Arial" w:hAnsi="Arial" w:cs="Arial"/>
          <w:b/>
        </w:rPr>
        <w:t>9</w:t>
      </w:r>
      <w:r>
        <w:rPr>
          <w:rFonts w:ascii="Arial" w:hAnsi="Arial" w:cs="Arial"/>
          <w:b/>
        </w:rPr>
        <w:tab/>
      </w:r>
      <w:r>
        <w:rPr>
          <w:rFonts w:ascii="Arial" w:hAnsi="Arial" w:cs="Arial"/>
        </w:rPr>
        <w:t xml:space="preserve">Stability Test Results Based on CUSUM and CUSUMSQ Test  </w:t>
      </w:r>
      <w:r>
        <w:rPr>
          <w:rFonts w:ascii="Arial" w:hAnsi="Arial" w:cs="Arial"/>
        </w:rPr>
        <w:tab/>
        <w:t xml:space="preserve"> </w:t>
      </w:r>
      <w:r>
        <w:rPr>
          <w:rFonts w:ascii="Arial" w:hAnsi="Arial" w:cs="Arial"/>
        </w:rPr>
        <w:tab/>
      </w:r>
    </w:p>
    <w:p w14:paraId="7F3887E6" w14:textId="77777777" w:rsidR="007B57FA" w:rsidRDefault="007B57FA" w:rsidP="0066301C">
      <w:pPr>
        <w:spacing w:after="0" w:line="360" w:lineRule="auto"/>
        <w:rPr>
          <w:rFonts w:ascii="Arial" w:hAnsi="Arial" w:cs="Arial"/>
        </w:rPr>
      </w:pPr>
      <w:r>
        <w:rPr>
          <w:rFonts w:ascii="Arial" w:hAnsi="Arial" w:cs="Arial"/>
          <w:b/>
        </w:rPr>
        <w:t>Table 4.1</w:t>
      </w:r>
      <w:r>
        <w:rPr>
          <w:rFonts w:ascii="Arial" w:hAnsi="Arial" w:cs="Arial"/>
          <w:b/>
        </w:rPr>
        <w:tab/>
      </w:r>
      <w:r>
        <w:rPr>
          <w:rFonts w:ascii="Arial" w:hAnsi="Arial" w:cs="Arial"/>
        </w:rPr>
        <w:t>Diagnostic Test Result</w:t>
      </w:r>
    </w:p>
    <w:p w14:paraId="36C2860E" w14:textId="77777777" w:rsidR="007B57FA" w:rsidRDefault="007B57FA" w:rsidP="0066301C">
      <w:pPr>
        <w:spacing w:after="0" w:line="360" w:lineRule="auto"/>
        <w:rPr>
          <w:rFonts w:ascii="Arial" w:hAnsi="Arial" w:cs="Arial"/>
        </w:rPr>
      </w:pPr>
      <w:r w:rsidRPr="00567D36">
        <w:rPr>
          <w:rFonts w:ascii="Arial" w:hAnsi="Arial" w:cs="Arial"/>
          <w:b/>
          <w:bCs/>
        </w:rPr>
        <w:t xml:space="preserve">Table </w:t>
      </w:r>
      <w:r>
        <w:rPr>
          <w:rFonts w:ascii="Arial" w:hAnsi="Arial" w:cs="Arial"/>
          <w:b/>
          <w:bCs/>
        </w:rPr>
        <w:t>4</w:t>
      </w:r>
      <w:r w:rsidRPr="00567D36">
        <w:rPr>
          <w:rFonts w:ascii="Arial" w:hAnsi="Arial" w:cs="Arial"/>
          <w:b/>
          <w:bCs/>
        </w:rPr>
        <w:t>.</w:t>
      </w:r>
      <w:r>
        <w:rPr>
          <w:rFonts w:ascii="Arial" w:hAnsi="Arial" w:cs="Arial"/>
          <w:b/>
          <w:bCs/>
        </w:rPr>
        <w:t>2</w:t>
      </w:r>
      <w:r>
        <w:rPr>
          <w:rFonts w:ascii="Arial" w:hAnsi="Arial" w:cs="Arial"/>
        </w:rPr>
        <w:tab/>
        <w:t>ADF and PP Unit Root Test Results</w:t>
      </w:r>
      <w:r>
        <w:rPr>
          <w:rFonts w:ascii="Arial" w:hAnsi="Arial" w:cs="Arial"/>
        </w:rPr>
        <w:tab/>
        <w:t xml:space="preserve">   </w:t>
      </w:r>
      <w:r>
        <w:rPr>
          <w:rFonts w:ascii="Arial" w:hAnsi="Arial" w:cs="Arial"/>
        </w:rPr>
        <w:tab/>
        <w:t xml:space="preserve"> </w:t>
      </w:r>
      <w:r>
        <w:rPr>
          <w:rFonts w:ascii="Arial" w:hAnsi="Arial" w:cs="Arial"/>
        </w:rPr>
        <w:tab/>
      </w:r>
      <w:r>
        <w:rPr>
          <w:rFonts w:ascii="Arial" w:hAnsi="Arial" w:cs="Arial"/>
        </w:rPr>
        <w:tab/>
      </w:r>
      <w:r>
        <w:rPr>
          <w:rFonts w:ascii="Arial" w:hAnsi="Arial" w:cs="Arial"/>
        </w:rPr>
        <w:tab/>
      </w:r>
      <w:r>
        <w:rPr>
          <w:rFonts w:ascii="Arial" w:hAnsi="Arial" w:cs="Arial"/>
        </w:rPr>
        <w:tab/>
      </w:r>
    </w:p>
    <w:p w14:paraId="5F9D9888" w14:textId="77777777" w:rsidR="007B57FA" w:rsidRDefault="007B57FA" w:rsidP="0066301C">
      <w:pPr>
        <w:spacing w:after="0" w:line="360" w:lineRule="auto"/>
        <w:rPr>
          <w:rFonts w:ascii="Arial" w:hAnsi="Arial" w:cs="Arial"/>
        </w:rPr>
      </w:pPr>
      <w:r>
        <w:rPr>
          <w:rFonts w:ascii="Arial" w:hAnsi="Arial" w:cs="Arial"/>
          <w:b/>
        </w:rPr>
        <w:t>Table 4.3</w:t>
      </w:r>
      <w:r>
        <w:rPr>
          <w:rFonts w:ascii="Arial" w:hAnsi="Arial" w:cs="Arial"/>
          <w:b/>
        </w:rPr>
        <w:tab/>
      </w:r>
      <w:r>
        <w:rPr>
          <w:rFonts w:ascii="Arial" w:hAnsi="Arial" w:cs="Arial"/>
        </w:rPr>
        <w:t>Optimal Lag Length Results</w:t>
      </w:r>
      <w:r>
        <w:rPr>
          <w:rFonts w:ascii="Arial" w:hAnsi="Arial" w:cs="Arial"/>
        </w:rPr>
        <w:tab/>
      </w:r>
    </w:p>
    <w:p w14:paraId="3BF18441" w14:textId="77777777" w:rsidR="007B57FA" w:rsidRDefault="007B57FA" w:rsidP="0066301C">
      <w:pPr>
        <w:spacing w:after="0" w:line="360" w:lineRule="auto"/>
        <w:rPr>
          <w:rFonts w:ascii="Arial" w:hAnsi="Arial" w:cs="Arial"/>
        </w:rPr>
      </w:pPr>
      <w:r>
        <w:rPr>
          <w:rFonts w:ascii="Arial" w:hAnsi="Arial" w:cs="Arial"/>
          <w:b/>
        </w:rPr>
        <w:t>Table 4.4</w:t>
      </w:r>
      <w:r>
        <w:rPr>
          <w:rFonts w:ascii="Arial" w:hAnsi="Arial" w:cs="Arial"/>
          <w:b/>
        </w:rPr>
        <w:tab/>
      </w:r>
      <w:r>
        <w:rPr>
          <w:rFonts w:ascii="Arial" w:hAnsi="Arial" w:cs="Arial"/>
        </w:rPr>
        <w:t>The Bound Test Results</w:t>
      </w:r>
      <w:r>
        <w:rPr>
          <w:rFonts w:ascii="Arial" w:hAnsi="Arial" w:cs="Arial"/>
        </w:rPr>
        <w:tab/>
      </w:r>
    </w:p>
    <w:p w14:paraId="3B6B8C34" w14:textId="77777777" w:rsidR="007B57FA" w:rsidRDefault="007B57FA" w:rsidP="0066301C">
      <w:pPr>
        <w:spacing w:after="0" w:line="360" w:lineRule="auto"/>
        <w:rPr>
          <w:rFonts w:ascii="Arial" w:hAnsi="Arial" w:cs="Arial"/>
        </w:rPr>
      </w:pPr>
      <w:r>
        <w:rPr>
          <w:rFonts w:ascii="Arial" w:hAnsi="Arial" w:cs="Arial"/>
          <w:b/>
        </w:rPr>
        <w:t>Table 4.5</w:t>
      </w:r>
      <w:r>
        <w:rPr>
          <w:rFonts w:ascii="Arial" w:hAnsi="Arial" w:cs="Arial"/>
          <w:b/>
        </w:rPr>
        <w:tab/>
      </w:r>
      <w:r>
        <w:rPr>
          <w:rFonts w:ascii="Arial" w:hAnsi="Arial" w:cs="Arial"/>
        </w:rPr>
        <w:t xml:space="preserve">ARDL Results (Long-Run and Short-Run Relationship)   </w:t>
      </w:r>
      <w:r>
        <w:rPr>
          <w:rFonts w:ascii="Arial" w:hAnsi="Arial" w:cs="Arial"/>
        </w:rPr>
        <w:tab/>
      </w:r>
      <w:r>
        <w:rPr>
          <w:rFonts w:ascii="Arial" w:hAnsi="Arial" w:cs="Arial"/>
        </w:rPr>
        <w:tab/>
      </w:r>
      <w:r>
        <w:rPr>
          <w:rFonts w:ascii="Arial" w:hAnsi="Arial" w:cs="Arial"/>
        </w:rPr>
        <w:tab/>
      </w:r>
    </w:p>
    <w:p w14:paraId="27EE7185" w14:textId="77777777" w:rsidR="007B57FA" w:rsidRDefault="007B57FA" w:rsidP="0066301C">
      <w:pPr>
        <w:spacing w:after="0" w:line="360" w:lineRule="auto"/>
        <w:rPr>
          <w:rFonts w:ascii="Arial" w:hAnsi="Arial" w:cs="Arial"/>
        </w:rPr>
      </w:pPr>
      <w:r>
        <w:rPr>
          <w:rFonts w:ascii="Arial" w:hAnsi="Arial" w:cs="Arial"/>
          <w:b/>
        </w:rPr>
        <w:t>Table 4.6</w:t>
      </w:r>
      <w:r>
        <w:rPr>
          <w:rFonts w:ascii="Arial" w:hAnsi="Arial" w:cs="Arial"/>
          <w:b/>
        </w:rPr>
        <w:tab/>
        <w:t xml:space="preserve"> </w:t>
      </w:r>
      <w:r>
        <w:rPr>
          <w:rFonts w:ascii="Arial" w:hAnsi="Arial" w:cs="Arial"/>
        </w:rPr>
        <w:t xml:space="preserve">Stability Test Results Based on CUSUM and CUSUMSQ Test </w:t>
      </w:r>
      <w:r>
        <w:rPr>
          <w:rFonts w:ascii="Arial" w:hAnsi="Arial" w:cs="Arial"/>
        </w:rPr>
        <w:tab/>
      </w:r>
      <w:r>
        <w:rPr>
          <w:rFonts w:ascii="Arial" w:hAnsi="Arial" w:cs="Arial"/>
        </w:rPr>
        <w:tab/>
      </w:r>
    </w:p>
    <w:p w14:paraId="0185D1DD" w14:textId="77777777" w:rsidR="007B57FA" w:rsidRDefault="007B57FA" w:rsidP="0066301C">
      <w:pPr>
        <w:spacing w:after="0" w:line="360" w:lineRule="auto"/>
        <w:rPr>
          <w:rFonts w:ascii="Arial" w:hAnsi="Arial" w:cs="Arial"/>
        </w:rPr>
      </w:pPr>
      <w:r>
        <w:rPr>
          <w:rFonts w:ascii="Arial" w:hAnsi="Arial" w:cs="Arial"/>
          <w:b/>
        </w:rPr>
        <w:t>Table 4.7</w:t>
      </w:r>
      <w:r>
        <w:rPr>
          <w:rFonts w:ascii="Arial" w:hAnsi="Arial" w:cs="Arial"/>
          <w:b/>
        </w:rPr>
        <w:tab/>
      </w:r>
      <w:r>
        <w:rPr>
          <w:rFonts w:ascii="Arial" w:hAnsi="Arial" w:cs="Arial"/>
        </w:rPr>
        <w:t xml:space="preserve">Diagnostic Test Results </w:t>
      </w:r>
    </w:p>
    <w:p w14:paraId="05D0B6E6" w14:textId="77777777" w:rsidR="007B57FA" w:rsidRDefault="007B57FA" w:rsidP="0066301C">
      <w:pPr>
        <w:spacing w:after="0" w:line="360" w:lineRule="auto"/>
        <w:rPr>
          <w:rFonts w:ascii="Arial" w:hAnsi="Arial" w:cs="Arial"/>
        </w:rPr>
      </w:pPr>
      <w:r>
        <w:rPr>
          <w:rFonts w:ascii="Arial" w:hAnsi="Arial" w:cs="Arial"/>
          <w:b/>
        </w:rPr>
        <w:t>Table 4.8</w:t>
      </w:r>
      <w:r>
        <w:rPr>
          <w:rFonts w:ascii="Arial" w:hAnsi="Arial" w:cs="Arial"/>
          <w:b/>
        </w:rPr>
        <w:tab/>
      </w:r>
      <w:r>
        <w:rPr>
          <w:rFonts w:ascii="Arial" w:hAnsi="Arial" w:cs="Arial"/>
        </w:rPr>
        <w:t>Optimal Lag Length Results</w:t>
      </w:r>
      <w:r>
        <w:rPr>
          <w:rFonts w:ascii="Arial" w:hAnsi="Arial" w:cs="Arial"/>
        </w:rPr>
        <w:tab/>
      </w:r>
    </w:p>
    <w:p w14:paraId="33053E18" w14:textId="77777777" w:rsidR="007B57FA" w:rsidRDefault="007B57FA" w:rsidP="0066301C">
      <w:pPr>
        <w:spacing w:after="0" w:line="360" w:lineRule="auto"/>
        <w:rPr>
          <w:rFonts w:ascii="Arial" w:hAnsi="Arial" w:cs="Arial"/>
        </w:rPr>
      </w:pPr>
      <w:r>
        <w:rPr>
          <w:rFonts w:ascii="Arial" w:hAnsi="Arial" w:cs="Arial"/>
        </w:rPr>
        <w:t xml:space="preserve"> </w:t>
      </w:r>
      <w:r>
        <w:rPr>
          <w:rFonts w:ascii="Arial" w:hAnsi="Arial" w:cs="Arial"/>
          <w:b/>
        </w:rPr>
        <w:t>Table 4.9</w:t>
      </w:r>
      <w:r>
        <w:rPr>
          <w:rFonts w:ascii="Arial" w:hAnsi="Arial" w:cs="Arial"/>
          <w:b/>
        </w:rPr>
        <w:tab/>
      </w:r>
      <w:r>
        <w:rPr>
          <w:rFonts w:ascii="Arial" w:hAnsi="Arial" w:cs="Arial"/>
        </w:rPr>
        <w:t>The Bound Test Results</w:t>
      </w:r>
    </w:p>
    <w:p w14:paraId="6B2BE7F4" w14:textId="77777777" w:rsidR="007B57FA" w:rsidRDefault="007B57FA" w:rsidP="0066301C">
      <w:pPr>
        <w:spacing w:after="0" w:line="360" w:lineRule="auto"/>
        <w:rPr>
          <w:rFonts w:ascii="Arial" w:hAnsi="Arial" w:cs="Arial"/>
        </w:rPr>
      </w:pPr>
      <w:r>
        <w:rPr>
          <w:rFonts w:ascii="Arial" w:hAnsi="Arial" w:cs="Arial"/>
          <w:b/>
        </w:rPr>
        <w:t>Table 4.10</w:t>
      </w:r>
      <w:r>
        <w:rPr>
          <w:rFonts w:ascii="Arial" w:hAnsi="Arial" w:cs="Arial"/>
          <w:b/>
        </w:rPr>
        <w:tab/>
      </w:r>
      <w:r>
        <w:rPr>
          <w:rFonts w:ascii="Arial" w:hAnsi="Arial" w:cs="Arial"/>
        </w:rPr>
        <w:t>Long-Run and Short-Run Relationship</w:t>
      </w:r>
    </w:p>
    <w:p w14:paraId="405D6128" w14:textId="77777777" w:rsidR="00D75BC7" w:rsidRDefault="007B57FA" w:rsidP="0066301C">
      <w:pPr>
        <w:spacing w:after="0" w:line="360" w:lineRule="auto"/>
        <w:rPr>
          <w:rFonts w:ascii="Arial" w:hAnsi="Arial" w:cs="Arial"/>
        </w:rPr>
      </w:pPr>
      <w:r>
        <w:rPr>
          <w:rFonts w:ascii="Arial" w:hAnsi="Arial" w:cs="Arial"/>
          <w:b/>
        </w:rPr>
        <w:t>Table 4.11</w:t>
      </w:r>
      <w:r>
        <w:rPr>
          <w:rFonts w:ascii="Arial" w:hAnsi="Arial" w:cs="Arial"/>
          <w:b/>
        </w:rPr>
        <w:tab/>
        <w:t xml:space="preserve"> </w:t>
      </w:r>
      <w:r>
        <w:rPr>
          <w:rFonts w:ascii="Arial" w:hAnsi="Arial" w:cs="Arial"/>
        </w:rPr>
        <w:t>Stability Test Results Based on CUSUM and CUSUMSQ Test</w:t>
      </w:r>
      <w:r>
        <w:rPr>
          <w:rFonts w:ascii="Arial" w:hAnsi="Arial" w:cs="Arial"/>
        </w:rPr>
        <w:tab/>
      </w:r>
    </w:p>
    <w:p w14:paraId="7983FEA7" w14:textId="571AF607" w:rsidR="00E97C67" w:rsidRPr="00826571" w:rsidRDefault="00E97C67" w:rsidP="0066301C">
      <w:pPr>
        <w:spacing w:after="0" w:line="360" w:lineRule="auto"/>
        <w:rPr>
          <w:rFonts w:ascii="Arial" w:hAnsi="Arial" w:cs="Arial"/>
          <w:bCs/>
        </w:rPr>
      </w:pPr>
      <w:r>
        <w:rPr>
          <w:rFonts w:ascii="Arial" w:hAnsi="Arial" w:cs="Arial"/>
          <w:b/>
        </w:rPr>
        <w:t>Table 5.1</w:t>
      </w:r>
      <w:r>
        <w:rPr>
          <w:rFonts w:ascii="Arial" w:hAnsi="Arial" w:cs="Arial"/>
          <w:b/>
        </w:rPr>
        <w:tab/>
      </w:r>
      <w:r w:rsidRPr="00826571">
        <w:rPr>
          <w:rFonts w:ascii="Arial" w:hAnsi="Arial" w:cs="Arial"/>
          <w:bCs/>
        </w:rPr>
        <w:t>Descriptive Statistics</w:t>
      </w:r>
    </w:p>
    <w:p w14:paraId="57CD3F15" w14:textId="77777777" w:rsidR="00E97C67" w:rsidRPr="00826571" w:rsidRDefault="00E97C67" w:rsidP="0066301C">
      <w:pPr>
        <w:spacing w:after="0" w:line="360" w:lineRule="auto"/>
        <w:rPr>
          <w:rFonts w:ascii="Arial" w:hAnsi="Arial" w:cs="Arial"/>
          <w:bCs/>
        </w:rPr>
      </w:pPr>
      <w:r>
        <w:rPr>
          <w:rFonts w:ascii="Arial" w:hAnsi="Arial" w:cs="Arial"/>
          <w:b/>
        </w:rPr>
        <w:t>Table 5.2</w:t>
      </w:r>
      <w:r>
        <w:rPr>
          <w:rFonts w:ascii="Arial" w:hAnsi="Arial" w:cs="Arial"/>
          <w:b/>
        </w:rPr>
        <w:tab/>
      </w:r>
      <w:r w:rsidRPr="00826571">
        <w:rPr>
          <w:rFonts w:ascii="Arial" w:hAnsi="Arial" w:cs="Arial"/>
          <w:bCs/>
        </w:rPr>
        <w:t>Cross-section Dependency Results</w:t>
      </w:r>
    </w:p>
    <w:p w14:paraId="77F9F08D" w14:textId="77777777" w:rsidR="00E97C67" w:rsidRDefault="00E97C67" w:rsidP="0066301C">
      <w:pPr>
        <w:spacing w:after="0" w:line="360" w:lineRule="auto"/>
        <w:rPr>
          <w:rFonts w:ascii="Arial" w:hAnsi="Arial" w:cs="Arial"/>
        </w:rPr>
      </w:pPr>
      <w:r>
        <w:rPr>
          <w:rFonts w:ascii="Arial" w:hAnsi="Arial" w:cs="Arial"/>
          <w:b/>
        </w:rPr>
        <w:t>Table 5.2</w:t>
      </w:r>
      <w:r>
        <w:rPr>
          <w:rFonts w:ascii="Arial" w:hAnsi="Arial" w:cs="Arial"/>
          <w:b/>
        </w:rPr>
        <w:tab/>
      </w:r>
      <w:r>
        <w:rPr>
          <w:rFonts w:ascii="Arial" w:hAnsi="Arial" w:cs="Arial"/>
        </w:rPr>
        <w:t>ADF and PP Unit Root Test Results</w:t>
      </w:r>
      <w:r>
        <w:rPr>
          <w:rFonts w:ascii="Arial" w:hAnsi="Arial" w:cs="Arial"/>
        </w:rPr>
        <w:tab/>
      </w:r>
    </w:p>
    <w:p w14:paraId="4A8E4EF4" w14:textId="77777777" w:rsidR="00E97C67" w:rsidRDefault="00E97C67" w:rsidP="0066301C">
      <w:pPr>
        <w:spacing w:after="0" w:line="360" w:lineRule="auto"/>
        <w:rPr>
          <w:rFonts w:ascii="Arial" w:hAnsi="Arial" w:cs="Arial"/>
          <w:b/>
        </w:rPr>
      </w:pPr>
      <w:r>
        <w:rPr>
          <w:rFonts w:ascii="Arial" w:hAnsi="Arial" w:cs="Arial"/>
          <w:b/>
        </w:rPr>
        <w:t>Table 5.3</w:t>
      </w:r>
      <w:r>
        <w:rPr>
          <w:rFonts w:ascii="Arial" w:hAnsi="Arial" w:cs="Arial"/>
          <w:b/>
        </w:rPr>
        <w:tab/>
      </w:r>
      <w:r w:rsidRPr="00826571">
        <w:rPr>
          <w:rFonts w:ascii="Arial" w:hAnsi="Arial" w:cs="Arial"/>
          <w:bCs/>
        </w:rPr>
        <w:t>Panel Unit Root Tests Results</w:t>
      </w:r>
      <w:r>
        <w:rPr>
          <w:rFonts w:ascii="Arial" w:hAnsi="Arial" w:cs="Arial"/>
          <w:b/>
        </w:rPr>
        <w:t xml:space="preserve"> </w:t>
      </w:r>
    </w:p>
    <w:p w14:paraId="5077B8B0" w14:textId="77777777" w:rsidR="00E97C67" w:rsidRDefault="00E97C67" w:rsidP="0066301C">
      <w:pPr>
        <w:spacing w:after="0" w:line="360" w:lineRule="auto"/>
        <w:rPr>
          <w:rFonts w:ascii="Arial" w:hAnsi="Arial" w:cs="Arial"/>
        </w:rPr>
      </w:pPr>
      <w:r>
        <w:rPr>
          <w:rFonts w:ascii="Arial" w:hAnsi="Arial" w:cs="Arial"/>
          <w:b/>
        </w:rPr>
        <w:t>Table 5.4</w:t>
      </w:r>
      <w:r>
        <w:rPr>
          <w:rFonts w:ascii="Arial" w:hAnsi="Arial" w:cs="Arial"/>
          <w:b/>
        </w:rPr>
        <w:tab/>
      </w:r>
      <w:r>
        <w:rPr>
          <w:rFonts w:ascii="Arial" w:hAnsi="Arial" w:cs="Arial"/>
        </w:rPr>
        <w:t>Optimal Lag Length Results</w:t>
      </w:r>
      <w:r>
        <w:rPr>
          <w:rFonts w:ascii="Arial" w:hAnsi="Arial" w:cs="Arial"/>
        </w:rPr>
        <w:tab/>
      </w:r>
    </w:p>
    <w:p w14:paraId="1BF50DCF" w14:textId="77777777" w:rsidR="00E97C67" w:rsidRDefault="00E97C67" w:rsidP="0066301C">
      <w:pPr>
        <w:spacing w:after="0" w:line="360" w:lineRule="auto"/>
        <w:rPr>
          <w:rFonts w:ascii="Arial" w:hAnsi="Arial" w:cs="Arial"/>
        </w:rPr>
      </w:pPr>
      <w:r>
        <w:rPr>
          <w:rFonts w:ascii="Arial" w:hAnsi="Arial" w:cs="Arial"/>
          <w:b/>
        </w:rPr>
        <w:t>Table 5.5</w:t>
      </w:r>
      <w:r>
        <w:rPr>
          <w:rFonts w:ascii="Arial" w:hAnsi="Arial" w:cs="Arial"/>
          <w:b/>
        </w:rPr>
        <w:tab/>
      </w:r>
      <w:r>
        <w:rPr>
          <w:rFonts w:ascii="Arial" w:hAnsi="Arial" w:cs="Arial"/>
        </w:rPr>
        <w:t>Long-Run Results (PGM Estimator)</w:t>
      </w:r>
    </w:p>
    <w:p w14:paraId="231F77D2" w14:textId="77777777" w:rsidR="00E97C67" w:rsidRDefault="00E97C67" w:rsidP="0066301C">
      <w:pPr>
        <w:spacing w:after="0" w:line="360" w:lineRule="auto"/>
        <w:rPr>
          <w:rFonts w:ascii="Arial" w:hAnsi="Arial" w:cs="Arial"/>
        </w:rPr>
      </w:pPr>
      <w:r>
        <w:rPr>
          <w:rFonts w:ascii="Arial" w:hAnsi="Arial" w:cs="Arial"/>
          <w:b/>
        </w:rPr>
        <w:t>Table 5.6</w:t>
      </w:r>
      <w:r>
        <w:rPr>
          <w:rFonts w:ascii="Arial" w:hAnsi="Arial" w:cs="Arial"/>
          <w:b/>
        </w:rPr>
        <w:tab/>
      </w:r>
      <w:r>
        <w:rPr>
          <w:rFonts w:ascii="Arial" w:hAnsi="Arial" w:cs="Arial"/>
        </w:rPr>
        <w:t>Short-Run Results</w:t>
      </w:r>
    </w:p>
    <w:p w14:paraId="094480EB" w14:textId="77777777" w:rsidR="00E97C67" w:rsidRPr="00826571" w:rsidRDefault="00E97C67" w:rsidP="0066301C">
      <w:pPr>
        <w:spacing w:after="0" w:line="360" w:lineRule="auto"/>
        <w:rPr>
          <w:rFonts w:ascii="Arial" w:hAnsi="Arial" w:cs="Arial"/>
        </w:rPr>
      </w:pPr>
      <w:r w:rsidRPr="00C16686">
        <w:rPr>
          <w:rFonts w:ascii="Arial" w:hAnsi="Arial" w:cs="Arial"/>
          <w:b/>
          <w:bCs/>
        </w:rPr>
        <w:t xml:space="preserve">Table </w:t>
      </w:r>
      <w:r>
        <w:rPr>
          <w:rFonts w:ascii="Arial" w:hAnsi="Arial" w:cs="Arial"/>
          <w:b/>
          <w:bCs/>
        </w:rPr>
        <w:t>5</w:t>
      </w:r>
      <w:r w:rsidRPr="00C16686">
        <w:rPr>
          <w:rFonts w:ascii="Arial" w:hAnsi="Arial" w:cs="Arial"/>
          <w:b/>
          <w:bCs/>
        </w:rPr>
        <w:t>.</w:t>
      </w:r>
      <w:r>
        <w:rPr>
          <w:rFonts w:ascii="Arial" w:hAnsi="Arial" w:cs="Arial"/>
          <w:b/>
          <w:bCs/>
        </w:rPr>
        <w:t>7</w:t>
      </w:r>
      <w:r>
        <w:rPr>
          <w:rFonts w:ascii="Arial" w:hAnsi="Arial" w:cs="Arial"/>
        </w:rPr>
        <w:tab/>
      </w:r>
      <w:r w:rsidRPr="00826571">
        <w:rPr>
          <w:rFonts w:ascii="Arial" w:hAnsi="Arial" w:cs="Arial"/>
        </w:rPr>
        <w:t>Doing Business Index for the Six CEMAC Nations</w:t>
      </w:r>
    </w:p>
    <w:p w14:paraId="241271BE" w14:textId="77777777" w:rsidR="00E97C67" w:rsidRPr="00826571" w:rsidRDefault="00E97C67" w:rsidP="0066301C">
      <w:pPr>
        <w:spacing w:after="0" w:line="360" w:lineRule="auto"/>
        <w:rPr>
          <w:rFonts w:ascii="Arial" w:hAnsi="Arial" w:cs="Arial"/>
        </w:rPr>
      </w:pPr>
      <w:r>
        <w:rPr>
          <w:rFonts w:ascii="Arial" w:hAnsi="Arial" w:cs="Arial"/>
          <w:b/>
        </w:rPr>
        <w:t>Table 5.8</w:t>
      </w:r>
      <w:r>
        <w:rPr>
          <w:rFonts w:ascii="Arial" w:hAnsi="Arial" w:cs="Arial"/>
          <w:b/>
        </w:rPr>
        <w:tab/>
      </w:r>
      <w:r w:rsidRPr="00826571">
        <w:rPr>
          <w:rFonts w:ascii="Arial" w:hAnsi="Arial" w:cs="Arial"/>
        </w:rPr>
        <w:t>Macroeconomics Trend Indicators</w:t>
      </w:r>
    </w:p>
    <w:p w14:paraId="0E6E7644" w14:textId="72A24C9A" w:rsidR="007B57FA" w:rsidRDefault="007B57FA" w:rsidP="0066301C">
      <w:pPr>
        <w:spacing w:after="0" w:line="360" w:lineRule="auto"/>
        <w:rPr>
          <w:rFonts w:ascii="Arial" w:hAnsi="Arial" w:cs="Arial"/>
        </w:rPr>
      </w:pPr>
      <w:r>
        <w:rPr>
          <w:rFonts w:ascii="Arial" w:hAnsi="Arial" w:cs="Arial"/>
        </w:rPr>
        <w:tab/>
      </w:r>
      <w:r>
        <w:rPr>
          <w:rFonts w:ascii="Arial" w:hAnsi="Arial" w:cs="Arial"/>
        </w:rPr>
        <w:tab/>
      </w:r>
    </w:p>
    <w:p w14:paraId="100F8C78" w14:textId="77777777" w:rsidR="007B57FA" w:rsidRDefault="007B57FA" w:rsidP="0066301C">
      <w:pPr>
        <w:spacing w:after="0" w:line="360" w:lineRule="auto"/>
        <w:rPr>
          <w:rFonts w:ascii="Arial" w:hAnsi="Arial" w:cs="Arial"/>
        </w:rPr>
      </w:pPr>
    </w:p>
    <w:p w14:paraId="3F8C8C7E" w14:textId="77777777" w:rsidR="007B57FA" w:rsidRDefault="007B57FA" w:rsidP="0066301C">
      <w:pPr>
        <w:spacing w:after="0" w:line="360" w:lineRule="auto"/>
        <w:rPr>
          <w:rFonts w:ascii="Arial" w:hAnsi="Arial" w:cs="Arial"/>
        </w:rPr>
      </w:pPr>
    </w:p>
    <w:p w14:paraId="4C87F0D8" w14:textId="77777777" w:rsidR="007B57FA" w:rsidRDefault="007B57FA" w:rsidP="0066301C">
      <w:pPr>
        <w:pStyle w:val="Heading1"/>
        <w:numPr>
          <w:ilvl w:val="0"/>
          <w:numId w:val="0"/>
        </w:numPr>
        <w:spacing w:before="0"/>
      </w:pPr>
      <w:bookmarkStart w:id="11" w:name="_Toc171075344"/>
      <w:r>
        <w:lastRenderedPageBreak/>
        <w:t>LIST OF FIGURES</w:t>
      </w:r>
      <w:bookmarkEnd w:id="11"/>
    </w:p>
    <w:p w14:paraId="162F6FA7" w14:textId="77777777" w:rsidR="007B57FA" w:rsidRDefault="007B57FA" w:rsidP="0066301C">
      <w:pPr>
        <w:spacing w:after="0" w:line="360" w:lineRule="auto"/>
        <w:rPr>
          <w:rFonts w:ascii="Arial" w:eastAsia="Times New Roman" w:hAnsi="Arial" w:cs="Arial"/>
        </w:rPr>
      </w:pPr>
      <w:r>
        <w:rPr>
          <w:rFonts w:ascii="Arial" w:hAnsi="Arial" w:cs="Arial"/>
          <w:b/>
        </w:rPr>
        <w:t>Figure</w:t>
      </w:r>
      <w:r w:rsidRPr="0009481B">
        <w:rPr>
          <w:rFonts w:ascii="Arial" w:hAnsi="Arial" w:cs="Arial"/>
          <w:b/>
        </w:rPr>
        <w:t xml:space="preserve"> </w:t>
      </w:r>
      <w:r>
        <w:rPr>
          <w:rFonts w:ascii="Arial" w:hAnsi="Arial" w:cs="Arial"/>
          <w:b/>
        </w:rPr>
        <w:t>1</w:t>
      </w:r>
      <w:r w:rsidRPr="0009481B">
        <w:rPr>
          <w:rFonts w:ascii="Arial" w:hAnsi="Arial" w:cs="Arial"/>
          <w:b/>
        </w:rPr>
        <w:t>.1</w:t>
      </w:r>
      <w:r>
        <w:rPr>
          <w:rFonts w:ascii="Arial" w:hAnsi="Arial" w:cs="Arial"/>
          <w:b/>
        </w:rPr>
        <w:t xml:space="preserve"> </w:t>
      </w:r>
      <w:r>
        <w:rPr>
          <w:rFonts w:ascii="Arial" w:hAnsi="Arial" w:cs="Arial"/>
          <w:b/>
        </w:rPr>
        <w:tab/>
      </w:r>
      <w:r>
        <w:rPr>
          <w:rFonts w:ascii="Arial" w:hAnsi="Arial" w:cs="Arial"/>
        </w:rPr>
        <w:t xml:space="preserve">Cameroon’s Net Trade Balance and Real Exchange Rate </w:t>
      </w:r>
      <w:r>
        <w:rPr>
          <w:rFonts w:ascii="Arial" w:eastAsia="Times New Roman" w:hAnsi="Arial" w:cs="Arial"/>
        </w:rPr>
        <w:t xml:space="preserve">(1980-2018)          </w:t>
      </w:r>
    </w:p>
    <w:p w14:paraId="34DB23B3" w14:textId="77777777" w:rsidR="007B57FA" w:rsidRDefault="007B57FA" w:rsidP="0066301C">
      <w:pPr>
        <w:spacing w:after="0" w:line="360" w:lineRule="auto"/>
        <w:rPr>
          <w:rFonts w:ascii="Arial" w:eastAsia="Times New Roman" w:hAnsi="Arial" w:cs="Arial"/>
        </w:rPr>
      </w:pPr>
      <w:r w:rsidRPr="0F2C9F83">
        <w:rPr>
          <w:rFonts w:ascii="Arial" w:hAnsi="Arial" w:cs="Arial"/>
          <w:b/>
          <w:bCs/>
        </w:rPr>
        <w:t>Figure 1.2</w:t>
      </w:r>
      <w:r>
        <w:tab/>
      </w:r>
      <w:r w:rsidRPr="0F2C9F83">
        <w:rPr>
          <w:rFonts w:ascii="Arial" w:hAnsi="Arial" w:cs="Arial"/>
        </w:rPr>
        <w:t xml:space="preserve">CAR’s Net Trade Balance and Real Exchange Rate </w:t>
      </w:r>
      <w:r w:rsidRPr="0F2C9F83">
        <w:rPr>
          <w:rFonts w:ascii="Arial" w:eastAsia="Times New Roman" w:hAnsi="Arial" w:cs="Arial"/>
        </w:rPr>
        <w:t>(1980-2018)</w:t>
      </w:r>
      <w:r>
        <w:tab/>
      </w:r>
      <w:r>
        <w:tab/>
      </w:r>
    </w:p>
    <w:p w14:paraId="55F54F2F" w14:textId="77777777" w:rsidR="007B57FA" w:rsidRPr="00A66395" w:rsidRDefault="007B57FA" w:rsidP="0066301C">
      <w:pPr>
        <w:spacing w:after="0" w:line="360" w:lineRule="auto"/>
        <w:rPr>
          <w:rFonts w:ascii="Arial" w:hAnsi="Arial" w:cs="Arial"/>
        </w:rPr>
      </w:pPr>
      <w:r>
        <w:rPr>
          <w:rFonts w:ascii="Arial" w:hAnsi="Arial" w:cs="Arial"/>
          <w:b/>
        </w:rPr>
        <w:t>Figure 1.3</w:t>
      </w:r>
      <w:r>
        <w:rPr>
          <w:rFonts w:ascii="Arial" w:hAnsi="Arial" w:cs="Arial"/>
          <w:b/>
        </w:rPr>
        <w:tab/>
      </w:r>
      <w:r>
        <w:rPr>
          <w:rFonts w:ascii="Arial" w:hAnsi="Arial" w:cs="Arial"/>
        </w:rPr>
        <w:t>Gabon</w:t>
      </w:r>
      <w:r w:rsidRPr="0024071A">
        <w:rPr>
          <w:rFonts w:ascii="Arial" w:hAnsi="Arial" w:cs="Arial"/>
        </w:rPr>
        <w:t xml:space="preserve">’s </w:t>
      </w:r>
      <w:r>
        <w:rPr>
          <w:rFonts w:ascii="Arial" w:hAnsi="Arial" w:cs="Arial"/>
        </w:rPr>
        <w:t xml:space="preserve">Net Trade Balance and Real Exchange Rate </w:t>
      </w:r>
      <w:r>
        <w:rPr>
          <w:rFonts w:ascii="Arial" w:eastAsia="Times New Roman" w:hAnsi="Arial" w:cs="Arial"/>
        </w:rPr>
        <w:t>(1980-2018)</w:t>
      </w:r>
      <w:r>
        <w:rPr>
          <w:rFonts w:ascii="Arial" w:eastAsia="Times New Roman" w:hAnsi="Arial" w:cs="Arial"/>
        </w:rPr>
        <w:tab/>
      </w:r>
    </w:p>
    <w:p w14:paraId="3EEBB104" w14:textId="77777777" w:rsidR="007B57FA" w:rsidRDefault="007B57FA" w:rsidP="0066301C">
      <w:pPr>
        <w:spacing w:after="0" w:line="360" w:lineRule="auto"/>
        <w:rPr>
          <w:rFonts w:ascii="Arial" w:eastAsia="Times New Roman" w:hAnsi="Arial" w:cs="Arial"/>
        </w:rPr>
      </w:pPr>
      <w:r>
        <w:rPr>
          <w:rFonts w:ascii="Arial" w:hAnsi="Arial" w:cs="Arial"/>
          <w:b/>
        </w:rPr>
        <w:t>Figure 3.1a</w:t>
      </w:r>
      <w:r>
        <w:rPr>
          <w:rFonts w:ascii="Arial" w:hAnsi="Arial" w:cs="Arial"/>
          <w:b/>
        </w:rPr>
        <w:tab/>
        <w:t xml:space="preserve"> </w:t>
      </w:r>
      <w:r w:rsidRPr="00280100">
        <w:rPr>
          <w:rFonts w:ascii="Arial" w:hAnsi="Arial" w:cs="Arial"/>
        </w:rPr>
        <w:t>Actual, Equilibrium, and Misalign REER (Cameroon)</w:t>
      </w:r>
      <w:r w:rsidRPr="00280100">
        <w:rPr>
          <w:rFonts w:ascii="Arial" w:hAnsi="Arial" w:cs="Arial"/>
        </w:rPr>
        <w:tab/>
      </w:r>
      <w:r>
        <w:rPr>
          <w:rFonts w:ascii="Arial" w:hAnsi="Arial" w:cs="Arial"/>
        </w:rPr>
        <w:tab/>
      </w:r>
      <w:r>
        <w:rPr>
          <w:rFonts w:ascii="Arial" w:eastAsia="Times New Roman" w:hAnsi="Arial" w:cs="Arial"/>
        </w:rPr>
        <w:tab/>
      </w:r>
    </w:p>
    <w:p w14:paraId="72F2B25A" w14:textId="77777777" w:rsidR="007B57FA" w:rsidRDefault="007B57FA" w:rsidP="0066301C">
      <w:pPr>
        <w:spacing w:after="0" w:line="360" w:lineRule="auto"/>
        <w:rPr>
          <w:rFonts w:ascii="Arial" w:eastAsia="Times New Roman" w:hAnsi="Arial" w:cs="Arial"/>
        </w:rPr>
      </w:pPr>
      <w:r>
        <w:rPr>
          <w:rFonts w:ascii="Arial" w:hAnsi="Arial" w:cs="Arial"/>
          <w:b/>
        </w:rPr>
        <w:t>Figure 3.1b</w:t>
      </w:r>
      <w:r>
        <w:rPr>
          <w:rFonts w:ascii="Arial" w:hAnsi="Arial" w:cs="Arial"/>
          <w:b/>
        </w:rPr>
        <w:tab/>
        <w:t xml:space="preserve"> </w:t>
      </w:r>
      <w:r w:rsidRPr="00280100">
        <w:rPr>
          <w:rFonts w:ascii="Arial" w:hAnsi="Arial" w:cs="Arial"/>
        </w:rPr>
        <w:t>Actual, Equilibrium, and Misalign REER (</w:t>
      </w:r>
      <w:r>
        <w:rPr>
          <w:rFonts w:ascii="Arial" w:hAnsi="Arial" w:cs="Arial"/>
        </w:rPr>
        <w:t>CAR</w:t>
      </w:r>
      <w:r w:rsidRPr="00280100">
        <w:rPr>
          <w:rFonts w:ascii="Arial" w:hAnsi="Arial" w:cs="Arial"/>
        </w:rPr>
        <w:t>)</w:t>
      </w:r>
      <w:r>
        <w:rPr>
          <w:rFonts w:ascii="Arial" w:hAnsi="Arial" w:cs="Arial"/>
        </w:rPr>
        <w:tab/>
      </w:r>
      <w:r w:rsidRPr="00280100">
        <w:rPr>
          <w:rFonts w:ascii="Arial" w:hAnsi="Arial" w:cs="Arial"/>
        </w:rPr>
        <w:tab/>
      </w:r>
      <w:r>
        <w:rPr>
          <w:rFonts w:ascii="Arial" w:hAnsi="Arial" w:cs="Arial"/>
        </w:rPr>
        <w:tab/>
      </w:r>
      <w:r>
        <w:rPr>
          <w:rFonts w:ascii="Arial" w:eastAsia="Times New Roman" w:hAnsi="Arial" w:cs="Arial"/>
        </w:rPr>
        <w:tab/>
      </w:r>
    </w:p>
    <w:p w14:paraId="63B126F8" w14:textId="77777777" w:rsidR="007B57FA" w:rsidRDefault="007B57FA" w:rsidP="0066301C">
      <w:pPr>
        <w:spacing w:after="0" w:line="360" w:lineRule="auto"/>
        <w:rPr>
          <w:rFonts w:ascii="Arial" w:eastAsia="Times New Roman" w:hAnsi="Arial" w:cs="Arial"/>
        </w:rPr>
      </w:pPr>
      <w:r>
        <w:rPr>
          <w:rFonts w:ascii="Arial" w:hAnsi="Arial" w:cs="Arial"/>
          <w:b/>
        </w:rPr>
        <w:t>Figure 3.1c</w:t>
      </w:r>
      <w:r>
        <w:rPr>
          <w:rFonts w:ascii="Arial" w:hAnsi="Arial" w:cs="Arial"/>
          <w:b/>
        </w:rPr>
        <w:tab/>
        <w:t xml:space="preserve"> </w:t>
      </w:r>
      <w:r w:rsidRPr="00280100">
        <w:rPr>
          <w:rFonts w:ascii="Arial" w:hAnsi="Arial" w:cs="Arial"/>
        </w:rPr>
        <w:t>Actual, Equilibrium, and Misalign REER (</w:t>
      </w:r>
      <w:r>
        <w:rPr>
          <w:rFonts w:ascii="Arial" w:hAnsi="Arial" w:cs="Arial"/>
        </w:rPr>
        <w:t>Gabo</w:t>
      </w:r>
      <w:r w:rsidRPr="00280100">
        <w:rPr>
          <w:rFonts w:ascii="Arial" w:hAnsi="Arial" w:cs="Arial"/>
        </w:rPr>
        <w:t>n)</w:t>
      </w:r>
      <w:r w:rsidRPr="00280100">
        <w:rPr>
          <w:rFonts w:ascii="Arial" w:hAnsi="Arial" w:cs="Arial"/>
        </w:rPr>
        <w:tab/>
      </w:r>
      <w:r>
        <w:rPr>
          <w:rFonts w:ascii="Arial" w:hAnsi="Arial" w:cs="Arial"/>
        </w:rPr>
        <w:tab/>
      </w:r>
      <w:r>
        <w:rPr>
          <w:rFonts w:ascii="Arial" w:hAnsi="Arial" w:cs="Arial"/>
        </w:rPr>
        <w:tab/>
      </w:r>
      <w:r>
        <w:rPr>
          <w:rFonts w:ascii="Arial" w:eastAsia="Times New Roman" w:hAnsi="Arial" w:cs="Arial"/>
        </w:rPr>
        <w:tab/>
      </w:r>
    </w:p>
    <w:p w14:paraId="1E30F719" w14:textId="77777777" w:rsidR="007B57FA" w:rsidRDefault="007B57FA" w:rsidP="0066301C">
      <w:pPr>
        <w:spacing w:after="0" w:line="360" w:lineRule="auto"/>
        <w:rPr>
          <w:rFonts w:ascii="Arial" w:eastAsia="Times New Roman" w:hAnsi="Arial" w:cs="Arial"/>
        </w:rPr>
      </w:pPr>
      <w:r w:rsidRPr="0F2C9F83">
        <w:rPr>
          <w:rFonts w:ascii="Arial" w:hAnsi="Arial" w:cs="Arial"/>
          <w:b/>
          <w:bCs/>
        </w:rPr>
        <w:t xml:space="preserve">Figure </w:t>
      </w:r>
      <w:r>
        <w:rPr>
          <w:rFonts w:ascii="Arial" w:hAnsi="Arial" w:cs="Arial"/>
          <w:b/>
          <w:bCs/>
        </w:rPr>
        <w:t>3</w:t>
      </w:r>
      <w:r w:rsidRPr="0F2C9F83">
        <w:rPr>
          <w:rFonts w:ascii="Arial" w:hAnsi="Arial" w:cs="Arial"/>
          <w:b/>
          <w:bCs/>
        </w:rPr>
        <w:t>.1d</w:t>
      </w:r>
      <w:r>
        <w:tab/>
      </w:r>
      <w:r w:rsidRPr="0F2C9F83">
        <w:rPr>
          <w:rFonts w:ascii="Arial" w:hAnsi="Arial" w:cs="Arial"/>
          <w:b/>
          <w:bCs/>
        </w:rPr>
        <w:t xml:space="preserve"> </w:t>
      </w:r>
      <w:r w:rsidRPr="0F2C9F83">
        <w:rPr>
          <w:rFonts w:ascii="Arial" w:hAnsi="Arial" w:cs="Arial"/>
        </w:rPr>
        <w:t>Actual, Equilibrium, and Misalign REER (Equatorial Guinea)</w:t>
      </w:r>
      <w:r>
        <w:tab/>
      </w:r>
      <w:r>
        <w:tab/>
      </w:r>
    </w:p>
    <w:p w14:paraId="57844F59" w14:textId="77777777" w:rsidR="007B57FA" w:rsidRDefault="007B57FA" w:rsidP="0066301C">
      <w:pPr>
        <w:spacing w:after="0" w:line="360" w:lineRule="auto"/>
        <w:rPr>
          <w:rFonts w:ascii="Arial" w:eastAsia="Times New Roman" w:hAnsi="Arial" w:cs="Arial"/>
        </w:rPr>
      </w:pPr>
      <w:r>
        <w:rPr>
          <w:rFonts w:ascii="Arial" w:hAnsi="Arial" w:cs="Arial"/>
          <w:b/>
        </w:rPr>
        <w:t>Figure 3.1e</w:t>
      </w:r>
      <w:r>
        <w:rPr>
          <w:rFonts w:ascii="Arial" w:hAnsi="Arial" w:cs="Arial"/>
          <w:b/>
        </w:rPr>
        <w:tab/>
        <w:t xml:space="preserve"> </w:t>
      </w:r>
      <w:r w:rsidRPr="00280100">
        <w:rPr>
          <w:rFonts w:ascii="Arial" w:hAnsi="Arial" w:cs="Arial"/>
        </w:rPr>
        <w:t>Actual, Equilibrium, and Misalign REER (</w:t>
      </w:r>
      <w:r>
        <w:rPr>
          <w:rFonts w:ascii="Arial" w:hAnsi="Arial" w:cs="Arial"/>
        </w:rPr>
        <w:t>Chad</w:t>
      </w:r>
      <w:r w:rsidRPr="00280100">
        <w:rPr>
          <w:rFonts w:ascii="Arial" w:hAnsi="Arial" w:cs="Arial"/>
        </w:rPr>
        <w:t>)</w:t>
      </w:r>
      <w:r w:rsidRPr="00280100">
        <w:rPr>
          <w:rFonts w:ascii="Arial" w:hAnsi="Arial" w:cs="Arial"/>
        </w:rPr>
        <w:tab/>
      </w:r>
      <w:r>
        <w:rPr>
          <w:rFonts w:ascii="Arial" w:hAnsi="Arial" w:cs="Arial"/>
        </w:rPr>
        <w:tab/>
      </w:r>
      <w:r>
        <w:rPr>
          <w:rFonts w:ascii="Arial" w:hAnsi="Arial" w:cs="Arial"/>
        </w:rPr>
        <w:tab/>
      </w:r>
      <w:r>
        <w:rPr>
          <w:rFonts w:ascii="Arial" w:eastAsia="Times New Roman" w:hAnsi="Arial" w:cs="Arial"/>
        </w:rPr>
        <w:tab/>
      </w:r>
    </w:p>
    <w:p w14:paraId="09E4FE4C" w14:textId="77777777" w:rsidR="007B57FA" w:rsidRDefault="007B57FA" w:rsidP="0066301C">
      <w:pPr>
        <w:spacing w:after="0" w:line="360" w:lineRule="auto"/>
        <w:rPr>
          <w:rFonts w:ascii="Arial" w:eastAsia="Times New Roman" w:hAnsi="Arial" w:cs="Arial"/>
        </w:rPr>
      </w:pPr>
      <w:r>
        <w:rPr>
          <w:rFonts w:ascii="Arial" w:hAnsi="Arial" w:cs="Arial"/>
          <w:b/>
        </w:rPr>
        <w:t>Figure 3.1f</w:t>
      </w:r>
      <w:r>
        <w:rPr>
          <w:rFonts w:ascii="Arial" w:hAnsi="Arial" w:cs="Arial"/>
          <w:b/>
        </w:rPr>
        <w:tab/>
        <w:t xml:space="preserve"> </w:t>
      </w:r>
      <w:r w:rsidRPr="00280100">
        <w:rPr>
          <w:rFonts w:ascii="Arial" w:hAnsi="Arial" w:cs="Arial"/>
        </w:rPr>
        <w:t>Actual, Equilibrium, and Misalign REER (</w:t>
      </w:r>
      <w:r>
        <w:rPr>
          <w:rFonts w:ascii="Arial" w:hAnsi="Arial" w:cs="Arial"/>
        </w:rPr>
        <w:t>Congo</w:t>
      </w:r>
      <w:r w:rsidRPr="00280100">
        <w:rPr>
          <w:rFonts w:ascii="Arial" w:hAnsi="Arial" w:cs="Arial"/>
        </w:rPr>
        <w:t>)</w:t>
      </w:r>
      <w:r w:rsidRPr="00280100">
        <w:rPr>
          <w:rFonts w:ascii="Arial" w:hAnsi="Arial" w:cs="Arial"/>
        </w:rPr>
        <w:tab/>
      </w:r>
      <w:r>
        <w:rPr>
          <w:rFonts w:ascii="Arial" w:hAnsi="Arial" w:cs="Arial"/>
        </w:rPr>
        <w:tab/>
      </w:r>
      <w:r>
        <w:rPr>
          <w:rFonts w:ascii="Arial" w:hAnsi="Arial" w:cs="Arial"/>
        </w:rPr>
        <w:tab/>
      </w:r>
      <w:r>
        <w:rPr>
          <w:rFonts w:ascii="Arial" w:eastAsia="Times New Roman" w:hAnsi="Arial" w:cs="Arial"/>
        </w:rPr>
        <w:tab/>
      </w:r>
    </w:p>
    <w:p w14:paraId="30FC71D7" w14:textId="77777777" w:rsidR="007B57FA" w:rsidRDefault="007B57FA" w:rsidP="0066301C">
      <w:pPr>
        <w:spacing w:after="0" w:line="360" w:lineRule="auto"/>
        <w:rPr>
          <w:rFonts w:ascii="Arial" w:eastAsia="Times New Roman" w:hAnsi="Arial" w:cs="Arial"/>
        </w:rPr>
      </w:pPr>
      <w:r>
        <w:rPr>
          <w:rFonts w:ascii="Arial" w:hAnsi="Arial" w:cs="Arial"/>
          <w:b/>
        </w:rPr>
        <w:t>Figure 3.2a</w:t>
      </w:r>
      <w:r>
        <w:rPr>
          <w:rFonts w:ascii="Arial" w:hAnsi="Arial" w:cs="Arial"/>
          <w:b/>
        </w:rPr>
        <w:tab/>
        <w:t xml:space="preserve"> </w:t>
      </w:r>
      <w:r w:rsidRPr="00CC0280">
        <w:rPr>
          <w:rFonts w:ascii="Arial" w:hAnsi="Arial" w:cs="Arial"/>
        </w:rPr>
        <w:t>M</w:t>
      </w:r>
      <w:r>
        <w:rPr>
          <w:rFonts w:ascii="Arial" w:hAnsi="Arial" w:cs="Arial"/>
        </w:rPr>
        <w:t>isalignment of the REER</w:t>
      </w:r>
      <w:r w:rsidRPr="00280100">
        <w:rPr>
          <w:rFonts w:ascii="Arial" w:hAnsi="Arial" w:cs="Arial"/>
        </w:rPr>
        <w:t xml:space="preserve"> (Cameroon)</w:t>
      </w:r>
      <w:r w:rsidRPr="00280100">
        <w:rPr>
          <w:rFonts w:ascii="Arial" w:hAnsi="Arial" w:cs="Arial"/>
        </w:rPr>
        <w:tab/>
      </w:r>
      <w:r>
        <w:rPr>
          <w:rFonts w:ascii="Arial" w:hAnsi="Arial" w:cs="Arial"/>
        </w:rPr>
        <w:tab/>
      </w:r>
      <w:r>
        <w:rPr>
          <w:rFonts w:ascii="Arial" w:hAnsi="Arial" w:cs="Arial"/>
        </w:rPr>
        <w:tab/>
      </w:r>
      <w:r>
        <w:rPr>
          <w:rFonts w:ascii="Arial" w:hAnsi="Arial" w:cs="Arial"/>
        </w:rPr>
        <w:tab/>
      </w:r>
      <w:r>
        <w:rPr>
          <w:rFonts w:ascii="Arial" w:eastAsia="Times New Roman" w:hAnsi="Arial" w:cs="Arial"/>
        </w:rPr>
        <w:tab/>
      </w:r>
    </w:p>
    <w:p w14:paraId="5FA822D7" w14:textId="77777777" w:rsidR="007B57FA" w:rsidRDefault="007B57FA" w:rsidP="0066301C">
      <w:pPr>
        <w:spacing w:after="0" w:line="360" w:lineRule="auto"/>
        <w:rPr>
          <w:rFonts w:ascii="Arial" w:eastAsia="Times New Roman" w:hAnsi="Arial" w:cs="Arial"/>
        </w:rPr>
      </w:pPr>
      <w:r>
        <w:rPr>
          <w:rFonts w:ascii="Arial" w:hAnsi="Arial" w:cs="Arial"/>
          <w:b/>
        </w:rPr>
        <w:t>Figure 3.2b</w:t>
      </w:r>
      <w:r>
        <w:rPr>
          <w:rFonts w:ascii="Arial" w:hAnsi="Arial" w:cs="Arial"/>
          <w:b/>
        </w:rPr>
        <w:tab/>
        <w:t xml:space="preserve"> </w:t>
      </w:r>
      <w:r w:rsidRPr="00CC0280">
        <w:rPr>
          <w:rFonts w:ascii="Arial" w:hAnsi="Arial" w:cs="Arial"/>
        </w:rPr>
        <w:t>M</w:t>
      </w:r>
      <w:r>
        <w:rPr>
          <w:rFonts w:ascii="Arial" w:hAnsi="Arial" w:cs="Arial"/>
        </w:rPr>
        <w:t>isalignment of the REER</w:t>
      </w:r>
      <w:r w:rsidRPr="00280100">
        <w:rPr>
          <w:rFonts w:ascii="Arial" w:hAnsi="Arial" w:cs="Arial"/>
        </w:rPr>
        <w:t xml:space="preserve"> (C</w:t>
      </w:r>
      <w:r>
        <w:rPr>
          <w:rFonts w:ascii="Arial" w:hAnsi="Arial" w:cs="Arial"/>
        </w:rPr>
        <w:t>AR</w:t>
      </w:r>
      <w:r w:rsidRPr="00280100">
        <w:rPr>
          <w:rFonts w:ascii="Arial" w:hAnsi="Arial" w:cs="Arial"/>
        </w:rPr>
        <w:t>)</w:t>
      </w:r>
      <w:r>
        <w:rPr>
          <w:rFonts w:ascii="Arial" w:hAnsi="Arial" w:cs="Arial"/>
        </w:rPr>
        <w:tab/>
      </w:r>
      <w:r w:rsidRPr="00280100">
        <w:rPr>
          <w:rFonts w:ascii="Arial" w:hAnsi="Arial" w:cs="Arial"/>
        </w:rPr>
        <w:tab/>
      </w:r>
      <w:r>
        <w:rPr>
          <w:rFonts w:ascii="Arial" w:hAnsi="Arial" w:cs="Arial"/>
        </w:rPr>
        <w:tab/>
      </w:r>
      <w:r>
        <w:rPr>
          <w:rFonts w:ascii="Arial" w:hAnsi="Arial" w:cs="Arial"/>
        </w:rPr>
        <w:tab/>
      </w:r>
      <w:r>
        <w:rPr>
          <w:rFonts w:ascii="Arial" w:hAnsi="Arial" w:cs="Arial"/>
        </w:rPr>
        <w:tab/>
      </w:r>
      <w:r>
        <w:rPr>
          <w:rFonts w:ascii="Arial" w:eastAsia="Times New Roman" w:hAnsi="Arial" w:cs="Arial"/>
        </w:rPr>
        <w:tab/>
      </w:r>
    </w:p>
    <w:p w14:paraId="504D74DC" w14:textId="77777777" w:rsidR="007B57FA" w:rsidRDefault="007B57FA" w:rsidP="0066301C">
      <w:pPr>
        <w:spacing w:after="0" w:line="360" w:lineRule="auto"/>
        <w:rPr>
          <w:rFonts w:ascii="Arial" w:eastAsia="Times New Roman" w:hAnsi="Arial" w:cs="Arial"/>
        </w:rPr>
      </w:pPr>
      <w:r>
        <w:rPr>
          <w:rFonts w:ascii="Arial" w:hAnsi="Arial" w:cs="Arial"/>
          <w:b/>
        </w:rPr>
        <w:t>Figure 3.2c</w:t>
      </w:r>
      <w:r>
        <w:rPr>
          <w:rFonts w:ascii="Arial" w:hAnsi="Arial" w:cs="Arial"/>
          <w:b/>
        </w:rPr>
        <w:tab/>
        <w:t xml:space="preserve"> </w:t>
      </w:r>
      <w:r w:rsidRPr="00CC0280">
        <w:rPr>
          <w:rFonts w:ascii="Arial" w:hAnsi="Arial" w:cs="Arial"/>
        </w:rPr>
        <w:t>M</w:t>
      </w:r>
      <w:r>
        <w:rPr>
          <w:rFonts w:ascii="Arial" w:hAnsi="Arial" w:cs="Arial"/>
        </w:rPr>
        <w:t>isalignment of the REER</w:t>
      </w:r>
      <w:r w:rsidRPr="00280100">
        <w:rPr>
          <w:rFonts w:ascii="Arial" w:hAnsi="Arial" w:cs="Arial"/>
        </w:rPr>
        <w:t xml:space="preserve"> (</w:t>
      </w:r>
      <w:r>
        <w:rPr>
          <w:rFonts w:ascii="Arial" w:hAnsi="Arial" w:cs="Arial"/>
        </w:rPr>
        <w:t>G</w:t>
      </w:r>
      <w:r w:rsidRPr="00280100">
        <w:rPr>
          <w:rFonts w:ascii="Arial" w:hAnsi="Arial" w:cs="Arial"/>
        </w:rPr>
        <w:t>a</w:t>
      </w:r>
      <w:r>
        <w:rPr>
          <w:rFonts w:ascii="Arial" w:hAnsi="Arial" w:cs="Arial"/>
        </w:rPr>
        <w:t>b</w:t>
      </w:r>
      <w:r w:rsidRPr="00280100">
        <w:rPr>
          <w:rFonts w:ascii="Arial" w:hAnsi="Arial" w:cs="Arial"/>
        </w:rPr>
        <w:t>on)</w:t>
      </w:r>
      <w:r>
        <w:rPr>
          <w:rFonts w:ascii="Arial" w:hAnsi="Arial" w:cs="Arial"/>
        </w:rPr>
        <w:tab/>
      </w:r>
      <w:r w:rsidRPr="00280100">
        <w:rPr>
          <w:rFonts w:ascii="Arial" w:hAnsi="Arial" w:cs="Arial"/>
        </w:rPr>
        <w:tab/>
      </w:r>
      <w:r>
        <w:rPr>
          <w:rFonts w:ascii="Arial" w:hAnsi="Arial" w:cs="Arial"/>
        </w:rPr>
        <w:tab/>
      </w:r>
      <w:r>
        <w:rPr>
          <w:rFonts w:ascii="Arial" w:hAnsi="Arial" w:cs="Arial"/>
        </w:rPr>
        <w:tab/>
      </w:r>
      <w:r>
        <w:rPr>
          <w:rFonts w:ascii="Arial" w:hAnsi="Arial" w:cs="Arial"/>
        </w:rPr>
        <w:tab/>
      </w:r>
      <w:r>
        <w:rPr>
          <w:rFonts w:ascii="Arial" w:eastAsia="Times New Roman" w:hAnsi="Arial" w:cs="Arial"/>
        </w:rPr>
        <w:tab/>
      </w:r>
    </w:p>
    <w:p w14:paraId="46890532" w14:textId="77777777" w:rsidR="007B57FA" w:rsidRDefault="007B57FA" w:rsidP="0066301C">
      <w:pPr>
        <w:spacing w:after="0" w:line="360" w:lineRule="auto"/>
        <w:rPr>
          <w:rFonts w:ascii="Arial" w:eastAsia="Times New Roman" w:hAnsi="Arial" w:cs="Arial"/>
        </w:rPr>
      </w:pPr>
      <w:r w:rsidRPr="0F2C9F83">
        <w:rPr>
          <w:rFonts w:ascii="Arial" w:hAnsi="Arial" w:cs="Arial"/>
          <w:b/>
          <w:bCs/>
        </w:rPr>
        <w:t xml:space="preserve">Figure </w:t>
      </w:r>
      <w:r>
        <w:rPr>
          <w:rFonts w:ascii="Arial" w:hAnsi="Arial" w:cs="Arial"/>
          <w:b/>
          <w:bCs/>
        </w:rPr>
        <w:t>3</w:t>
      </w:r>
      <w:r w:rsidRPr="0F2C9F83">
        <w:rPr>
          <w:rFonts w:ascii="Arial" w:hAnsi="Arial" w:cs="Arial"/>
          <w:b/>
          <w:bCs/>
        </w:rPr>
        <w:t>.2d</w:t>
      </w:r>
      <w:r>
        <w:tab/>
      </w:r>
      <w:r w:rsidRPr="0F2C9F83">
        <w:rPr>
          <w:rFonts w:ascii="Arial" w:hAnsi="Arial" w:cs="Arial"/>
          <w:b/>
          <w:bCs/>
        </w:rPr>
        <w:t xml:space="preserve"> </w:t>
      </w:r>
      <w:r w:rsidRPr="0F2C9F83">
        <w:rPr>
          <w:rFonts w:ascii="Arial" w:hAnsi="Arial" w:cs="Arial"/>
        </w:rPr>
        <w:t>Misalignment of the REER (Equatorial Guinea</w:t>
      </w:r>
      <w:r>
        <w:tab/>
      </w:r>
      <w:r>
        <w:tab/>
      </w:r>
      <w:r>
        <w:tab/>
      </w:r>
      <w:r>
        <w:tab/>
      </w:r>
    </w:p>
    <w:p w14:paraId="119930E0" w14:textId="77777777" w:rsidR="007B57FA" w:rsidRDefault="007B57FA" w:rsidP="0066301C">
      <w:pPr>
        <w:spacing w:after="0" w:line="360" w:lineRule="auto"/>
        <w:rPr>
          <w:rFonts w:ascii="Arial" w:eastAsia="Times New Roman" w:hAnsi="Arial" w:cs="Arial"/>
        </w:rPr>
      </w:pPr>
      <w:r>
        <w:rPr>
          <w:rFonts w:ascii="Arial" w:hAnsi="Arial" w:cs="Arial"/>
          <w:b/>
        </w:rPr>
        <w:t>Figure 3.2e</w:t>
      </w:r>
      <w:r>
        <w:rPr>
          <w:rFonts w:ascii="Arial" w:hAnsi="Arial" w:cs="Arial"/>
          <w:b/>
        </w:rPr>
        <w:tab/>
        <w:t xml:space="preserve"> </w:t>
      </w:r>
      <w:r w:rsidRPr="00CC0280">
        <w:rPr>
          <w:rFonts w:ascii="Arial" w:hAnsi="Arial" w:cs="Arial"/>
        </w:rPr>
        <w:t>M</w:t>
      </w:r>
      <w:r>
        <w:rPr>
          <w:rFonts w:ascii="Arial" w:hAnsi="Arial" w:cs="Arial"/>
        </w:rPr>
        <w:t>isalignment of the REER</w:t>
      </w:r>
      <w:r w:rsidRPr="00280100">
        <w:rPr>
          <w:rFonts w:ascii="Arial" w:hAnsi="Arial" w:cs="Arial"/>
        </w:rPr>
        <w:t xml:space="preserve"> (</w:t>
      </w:r>
      <w:r>
        <w:rPr>
          <w:rFonts w:ascii="Arial" w:hAnsi="Arial" w:cs="Arial"/>
        </w:rPr>
        <w:t>Chad</w:t>
      </w:r>
      <w:r w:rsidRPr="00280100">
        <w:rPr>
          <w:rFonts w:ascii="Arial" w:hAnsi="Arial" w:cs="Arial"/>
        </w:rPr>
        <w:t>)</w:t>
      </w:r>
      <w:r>
        <w:rPr>
          <w:rFonts w:ascii="Arial" w:hAnsi="Arial" w:cs="Arial"/>
        </w:rPr>
        <w:tab/>
      </w:r>
      <w:r>
        <w:rPr>
          <w:rFonts w:ascii="Arial" w:hAnsi="Arial" w:cs="Arial"/>
        </w:rPr>
        <w:tab/>
      </w:r>
      <w:r>
        <w:rPr>
          <w:rFonts w:ascii="Arial" w:hAnsi="Arial" w:cs="Arial"/>
        </w:rPr>
        <w:tab/>
      </w:r>
      <w:r>
        <w:rPr>
          <w:rFonts w:ascii="Arial" w:hAnsi="Arial" w:cs="Arial"/>
        </w:rPr>
        <w:tab/>
      </w:r>
      <w:r>
        <w:rPr>
          <w:rFonts w:ascii="Arial" w:hAnsi="Arial" w:cs="Arial"/>
        </w:rPr>
        <w:tab/>
      </w:r>
      <w:r>
        <w:rPr>
          <w:rFonts w:ascii="Arial" w:eastAsia="Times New Roman" w:hAnsi="Arial" w:cs="Arial"/>
        </w:rPr>
        <w:tab/>
      </w:r>
    </w:p>
    <w:p w14:paraId="3948F8F3" w14:textId="77777777" w:rsidR="00EC32D0" w:rsidRDefault="007B57FA" w:rsidP="0066301C">
      <w:pPr>
        <w:spacing w:after="0" w:line="360" w:lineRule="auto"/>
        <w:rPr>
          <w:rFonts w:ascii="Arial" w:hAnsi="Arial" w:cs="Arial"/>
        </w:rPr>
      </w:pPr>
      <w:r>
        <w:rPr>
          <w:rFonts w:ascii="Arial" w:hAnsi="Arial" w:cs="Arial"/>
          <w:b/>
        </w:rPr>
        <w:t>Figure 3.2f</w:t>
      </w:r>
      <w:r>
        <w:rPr>
          <w:rFonts w:ascii="Arial" w:hAnsi="Arial" w:cs="Arial"/>
          <w:b/>
        </w:rPr>
        <w:tab/>
        <w:t xml:space="preserve"> </w:t>
      </w:r>
      <w:r w:rsidRPr="00CC0280">
        <w:rPr>
          <w:rFonts w:ascii="Arial" w:hAnsi="Arial" w:cs="Arial"/>
        </w:rPr>
        <w:t>M</w:t>
      </w:r>
      <w:r>
        <w:rPr>
          <w:rFonts w:ascii="Arial" w:hAnsi="Arial" w:cs="Arial"/>
        </w:rPr>
        <w:t>isalignment of the REER</w:t>
      </w:r>
      <w:r w:rsidRPr="00280100">
        <w:rPr>
          <w:rFonts w:ascii="Arial" w:hAnsi="Arial" w:cs="Arial"/>
        </w:rPr>
        <w:t xml:space="preserve"> (</w:t>
      </w:r>
      <w:r>
        <w:rPr>
          <w:rFonts w:ascii="Arial" w:hAnsi="Arial" w:cs="Arial"/>
        </w:rPr>
        <w:t>Congo</w:t>
      </w:r>
      <w:r w:rsidRPr="00280100">
        <w:rPr>
          <w:rFonts w:ascii="Arial" w:hAnsi="Arial" w:cs="Arial"/>
        </w:rPr>
        <w:t>)</w:t>
      </w:r>
      <w:r>
        <w:rPr>
          <w:rFonts w:ascii="Arial" w:hAnsi="Arial" w:cs="Arial"/>
        </w:rPr>
        <w:tab/>
      </w:r>
      <w:r>
        <w:rPr>
          <w:rFonts w:ascii="Arial" w:hAnsi="Arial" w:cs="Arial"/>
        </w:rPr>
        <w:tab/>
      </w:r>
    </w:p>
    <w:p w14:paraId="3CF4AF75" w14:textId="2188A4FA" w:rsidR="007B57FA" w:rsidRDefault="00431464" w:rsidP="0066301C">
      <w:pPr>
        <w:spacing w:after="0" w:line="360" w:lineRule="auto"/>
        <w:rPr>
          <w:rFonts w:ascii="Arial" w:eastAsia="Times New Roman" w:hAnsi="Arial" w:cs="Arial"/>
        </w:rPr>
      </w:pPr>
      <w:r w:rsidRPr="00C16686">
        <w:rPr>
          <w:rFonts w:ascii="Arial" w:hAnsi="Arial" w:cs="Arial"/>
          <w:b/>
          <w:bCs/>
        </w:rPr>
        <w:t xml:space="preserve">Figure </w:t>
      </w:r>
      <w:r>
        <w:rPr>
          <w:rFonts w:ascii="Arial" w:hAnsi="Arial" w:cs="Arial"/>
          <w:b/>
          <w:bCs/>
        </w:rPr>
        <w:t>3</w:t>
      </w:r>
      <w:r w:rsidRPr="00C16686">
        <w:rPr>
          <w:rFonts w:ascii="Arial" w:hAnsi="Arial" w:cs="Arial"/>
          <w:b/>
          <w:bCs/>
        </w:rPr>
        <w:t>.</w:t>
      </w:r>
      <w:r>
        <w:rPr>
          <w:rFonts w:ascii="Arial" w:hAnsi="Arial" w:cs="Arial"/>
          <w:b/>
          <w:bCs/>
        </w:rPr>
        <w:t>3</w:t>
      </w:r>
      <w:r>
        <w:rPr>
          <w:rFonts w:ascii="Arial" w:hAnsi="Arial" w:cs="Arial"/>
        </w:rPr>
        <w:tab/>
        <w:t>CUSUM and CUSUMSQ</w:t>
      </w:r>
      <w:r w:rsidR="007B57FA">
        <w:rPr>
          <w:rFonts w:ascii="Arial" w:hAnsi="Arial" w:cs="Arial"/>
        </w:rPr>
        <w:tab/>
      </w:r>
      <w:r w:rsidR="007B57FA">
        <w:rPr>
          <w:rFonts w:ascii="Arial" w:hAnsi="Arial" w:cs="Arial"/>
        </w:rPr>
        <w:tab/>
      </w:r>
      <w:r w:rsidR="007B57FA">
        <w:rPr>
          <w:rFonts w:ascii="Arial" w:hAnsi="Arial" w:cs="Arial"/>
        </w:rPr>
        <w:tab/>
      </w:r>
      <w:r w:rsidR="007B57FA">
        <w:rPr>
          <w:rFonts w:ascii="Arial" w:hAnsi="Arial" w:cs="Arial"/>
        </w:rPr>
        <w:tab/>
        <w:t xml:space="preserve">    </w:t>
      </w:r>
      <w:r w:rsidR="007B57FA">
        <w:rPr>
          <w:rFonts w:ascii="Arial" w:eastAsia="Times New Roman" w:hAnsi="Arial" w:cs="Arial"/>
        </w:rPr>
        <w:t xml:space="preserve">        </w:t>
      </w:r>
    </w:p>
    <w:p w14:paraId="11FBEA2F" w14:textId="77777777" w:rsidR="007B57FA" w:rsidRDefault="007B57FA" w:rsidP="0066301C">
      <w:pPr>
        <w:spacing w:after="0" w:line="360" w:lineRule="auto"/>
        <w:rPr>
          <w:rFonts w:ascii="Arial" w:hAnsi="Arial" w:cs="Arial"/>
          <w:b/>
          <w:bCs/>
        </w:rPr>
      </w:pPr>
      <w:r>
        <w:rPr>
          <w:rFonts w:ascii="Arial" w:hAnsi="Arial" w:cs="Arial"/>
          <w:b/>
        </w:rPr>
        <w:t>Figure 4.1</w:t>
      </w:r>
      <w:r>
        <w:rPr>
          <w:rFonts w:ascii="Arial" w:hAnsi="Arial" w:cs="Arial"/>
          <w:b/>
        </w:rPr>
        <w:tab/>
      </w:r>
      <w:r>
        <w:rPr>
          <w:rFonts w:ascii="Arial" w:hAnsi="Arial" w:cs="Arial"/>
        </w:rPr>
        <w:t xml:space="preserve">The </w:t>
      </w:r>
      <w:r>
        <w:rPr>
          <w:rFonts w:ascii="Arial" w:hAnsi="Arial" w:cs="Arial"/>
          <w:i/>
          <w:iCs/>
        </w:rPr>
        <w:t>J-</w:t>
      </w:r>
      <w:r>
        <w:rPr>
          <w:rFonts w:ascii="Arial" w:hAnsi="Arial" w:cs="Arial"/>
        </w:rPr>
        <w:t>curve</w:t>
      </w:r>
      <w:r w:rsidRPr="0F2C9F83">
        <w:rPr>
          <w:rFonts w:ascii="Arial" w:hAnsi="Arial" w:cs="Arial"/>
          <w:b/>
          <w:bCs/>
        </w:rPr>
        <w:t xml:space="preserve"> </w:t>
      </w:r>
    </w:p>
    <w:p w14:paraId="0853B5EA" w14:textId="77777777" w:rsidR="007B57FA" w:rsidRDefault="007B57FA" w:rsidP="0066301C">
      <w:pPr>
        <w:spacing w:after="0" w:line="360" w:lineRule="auto"/>
        <w:rPr>
          <w:rFonts w:ascii="Arial" w:eastAsia="Times New Roman" w:hAnsi="Arial" w:cs="Arial"/>
        </w:rPr>
      </w:pPr>
      <w:r w:rsidRPr="0F2C9F83">
        <w:rPr>
          <w:rFonts w:ascii="Arial" w:hAnsi="Arial" w:cs="Arial"/>
          <w:b/>
          <w:bCs/>
        </w:rPr>
        <w:t xml:space="preserve">Figure </w:t>
      </w:r>
      <w:r>
        <w:rPr>
          <w:rFonts w:ascii="Arial" w:hAnsi="Arial" w:cs="Arial"/>
          <w:b/>
          <w:bCs/>
        </w:rPr>
        <w:t>4</w:t>
      </w:r>
      <w:r w:rsidRPr="0F2C9F83">
        <w:rPr>
          <w:rFonts w:ascii="Arial" w:hAnsi="Arial" w:cs="Arial"/>
          <w:b/>
          <w:bCs/>
        </w:rPr>
        <w:t>.</w:t>
      </w:r>
      <w:r>
        <w:rPr>
          <w:rFonts w:ascii="Arial" w:hAnsi="Arial" w:cs="Arial"/>
          <w:b/>
          <w:bCs/>
        </w:rPr>
        <w:t>2</w:t>
      </w:r>
      <w:r w:rsidRPr="0F2C9F83">
        <w:rPr>
          <w:rFonts w:ascii="Arial" w:hAnsi="Arial" w:cs="Arial"/>
          <w:b/>
          <w:bCs/>
        </w:rPr>
        <w:t xml:space="preserve">a </w:t>
      </w:r>
      <w:r>
        <w:tab/>
      </w:r>
      <w:r w:rsidRPr="0F2C9F83">
        <w:rPr>
          <w:rFonts w:ascii="Arial" w:hAnsi="Arial" w:cs="Arial"/>
        </w:rPr>
        <w:t>Impulse Response Function and Table (Cameroon – China)</w:t>
      </w:r>
      <w:r>
        <w:tab/>
      </w:r>
      <w:r w:rsidRPr="0F2C9F83">
        <w:rPr>
          <w:rFonts w:ascii="Arial" w:hAnsi="Arial" w:cs="Arial"/>
        </w:rPr>
        <w:t xml:space="preserve">    </w:t>
      </w:r>
      <w:r w:rsidRPr="0F2C9F83">
        <w:rPr>
          <w:rFonts w:ascii="Arial" w:eastAsia="Times New Roman" w:hAnsi="Arial" w:cs="Arial"/>
        </w:rPr>
        <w:t xml:space="preserve">        </w:t>
      </w:r>
    </w:p>
    <w:p w14:paraId="0E768543" w14:textId="77777777" w:rsidR="007B57FA" w:rsidRDefault="007B57FA" w:rsidP="0066301C">
      <w:pPr>
        <w:spacing w:after="0" w:line="360" w:lineRule="auto"/>
        <w:rPr>
          <w:rFonts w:ascii="Arial" w:eastAsia="Times New Roman" w:hAnsi="Arial" w:cs="Arial"/>
        </w:rPr>
      </w:pPr>
      <w:r w:rsidRPr="0F2C9F83">
        <w:rPr>
          <w:rFonts w:ascii="Arial" w:hAnsi="Arial" w:cs="Arial"/>
          <w:b/>
          <w:bCs/>
        </w:rPr>
        <w:t xml:space="preserve">Figure </w:t>
      </w:r>
      <w:r>
        <w:rPr>
          <w:rFonts w:ascii="Arial" w:hAnsi="Arial" w:cs="Arial"/>
          <w:b/>
          <w:bCs/>
        </w:rPr>
        <w:t>4</w:t>
      </w:r>
      <w:r w:rsidRPr="0F2C9F83">
        <w:rPr>
          <w:rFonts w:ascii="Arial" w:hAnsi="Arial" w:cs="Arial"/>
          <w:b/>
          <w:bCs/>
        </w:rPr>
        <w:t>.</w:t>
      </w:r>
      <w:r>
        <w:rPr>
          <w:rFonts w:ascii="Arial" w:hAnsi="Arial" w:cs="Arial"/>
          <w:b/>
          <w:bCs/>
        </w:rPr>
        <w:t>2</w:t>
      </w:r>
      <w:r w:rsidRPr="0F2C9F83">
        <w:rPr>
          <w:rFonts w:ascii="Arial" w:hAnsi="Arial" w:cs="Arial"/>
          <w:b/>
          <w:bCs/>
        </w:rPr>
        <w:t xml:space="preserve">b </w:t>
      </w:r>
      <w:r>
        <w:tab/>
      </w:r>
      <w:r w:rsidRPr="0F2C9F83">
        <w:rPr>
          <w:rFonts w:ascii="Arial" w:hAnsi="Arial" w:cs="Arial"/>
        </w:rPr>
        <w:t>Impulse Response Function and Table (Cameroon – France)</w:t>
      </w:r>
      <w:r>
        <w:tab/>
      </w:r>
      <w:r w:rsidRPr="0F2C9F83">
        <w:rPr>
          <w:rFonts w:ascii="Arial" w:hAnsi="Arial" w:cs="Arial"/>
        </w:rPr>
        <w:t xml:space="preserve">    </w:t>
      </w:r>
      <w:r w:rsidRPr="0F2C9F83">
        <w:rPr>
          <w:rFonts w:ascii="Arial" w:eastAsia="Times New Roman" w:hAnsi="Arial" w:cs="Arial"/>
        </w:rPr>
        <w:t xml:space="preserve">        </w:t>
      </w:r>
    </w:p>
    <w:p w14:paraId="73E3181B" w14:textId="77777777" w:rsidR="007B57FA" w:rsidRDefault="007B57FA" w:rsidP="0066301C">
      <w:pPr>
        <w:spacing w:after="0" w:line="360" w:lineRule="auto"/>
        <w:rPr>
          <w:rFonts w:ascii="Arial" w:eastAsia="Times New Roman" w:hAnsi="Arial" w:cs="Arial"/>
        </w:rPr>
      </w:pPr>
      <w:r w:rsidRPr="0F2C9F83">
        <w:rPr>
          <w:rFonts w:ascii="Arial" w:hAnsi="Arial" w:cs="Arial"/>
          <w:b/>
          <w:bCs/>
        </w:rPr>
        <w:t xml:space="preserve">Figure </w:t>
      </w:r>
      <w:r>
        <w:rPr>
          <w:rFonts w:ascii="Arial" w:hAnsi="Arial" w:cs="Arial"/>
          <w:b/>
          <w:bCs/>
        </w:rPr>
        <w:t>4</w:t>
      </w:r>
      <w:r w:rsidRPr="0F2C9F83">
        <w:rPr>
          <w:rFonts w:ascii="Arial" w:hAnsi="Arial" w:cs="Arial"/>
          <w:b/>
          <w:bCs/>
        </w:rPr>
        <w:t>.</w:t>
      </w:r>
      <w:r>
        <w:rPr>
          <w:rFonts w:ascii="Arial" w:hAnsi="Arial" w:cs="Arial"/>
          <w:b/>
          <w:bCs/>
        </w:rPr>
        <w:t>2</w:t>
      </w:r>
      <w:r w:rsidRPr="0F2C9F83">
        <w:rPr>
          <w:rFonts w:ascii="Arial" w:hAnsi="Arial" w:cs="Arial"/>
          <w:b/>
          <w:bCs/>
        </w:rPr>
        <w:t xml:space="preserve">c </w:t>
      </w:r>
      <w:r>
        <w:tab/>
      </w:r>
      <w:r w:rsidRPr="0F2C9F83">
        <w:rPr>
          <w:rFonts w:ascii="Arial" w:hAnsi="Arial" w:cs="Arial"/>
        </w:rPr>
        <w:t>Impulse Response Function and Table (Cameroon – India)</w:t>
      </w:r>
      <w:r>
        <w:tab/>
      </w:r>
      <w:r>
        <w:tab/>
      </w:r>
      <w:r w:rsidRPr="0F2C9F83">
        <w:rPr>
          <w:rFonts w:ascii="Arial" w:hAnsi="Arial" w:cs="Arial"/>
        </w:rPr>
        <w:t xml:space="preserve">    </w:t>
      </w:r>
      <w:r w:rsidRPr="0F2C9F83">
        <w:rPr>
          <w:rFonts w:ascii="Arial" w:eastAsia="Times New Roman" w:hAnsi="Arial" w:cs="Arial"/>
        </w:rPr>
        <w:t xml:space="preserve">        </w:t>
      </w:r>
    </w:p>
    <w:p w14:paraId="6A20A98F" w14:textId="77777777" w:rsidR="007B57FA" w:rsidRDefault="007B57FA" w:rsidP="0066301C">
      <w:pPr>
        <w:spacing w:after="0" w:line="360" w:lineRule="auto"/>
        <w:rPr>
          <w:rFonts w:ascii="Arial" w:eastAsia="Times New Roman" w:hAnsi="Arial" w:cs="Arial"/>
        </w:rPr>
      </w:pPr>
      <w:r w:rsidRPr="0F2C9F83">
        <w:rPr>
          <w:rFonts w:ascii="Arial" w:hAnsi="Arial" w:cs="Arial"/>
          <w:b/>
          <w:bCs/>
        </w:rPr>
        <w:t xml:space="preserve">Figure </w:t>
      </w:r>
      <w:r>
        <w:rPr>
          <w:rFonts w:ascii="Arial" w:hAnsi="Arial" w:cs="Arial"/>
          <w:b/>
          <w:bCs/>
        </w:rPr>
        <w:t>4</w:t>
      </w:r>
      <w:r w:rsidRPr="0F2C9F83">
        <w:rPr>
          <w:rFonts w:ascii="Arial" w:hAnsi="Arial" w:cs="Arial"/>
          <w:b/>
          <w:bCs/>
        </w:rPr>
        <w:t>.</w:t>
      </w:r>
      <w:r>
        <w:rPr>
          <w:rFonts w:ascii="Arial" w:hAnsi="Arial" w:cs="Arial"/>
          <w:b/>
          <w:bCs/>
        </w:rPr>
        <w:t>2</w:t>
      </w:r>
      <w:r w:rsidRPr="0F2C9F83">
        <w:rPr>
          <w:rFonts w:ascii="Arial" w:hAnsi="Arial" w:cs="Arial"/>
          <w:b/>
          <w:bCs/>
        </w:rPr>
        <w:t xml:space="preserve">d </w:t>
      </w:r>
      <w:r>
        <w:tab/>
      </w:r>
      <w:r w:rsidRPr="0F2C9F83">
        <w:rPr>
          <w:rFonts w:ascii="Arial" w:hAnsi="Arial" w:cs="Arial"/>
        </w:rPr>
        <w:t xml:space="preserve">Impulse Response Function and Table (Cameroon – Netherlands)    </w:t>
      </w:r>
      <w:r w:rsidRPr="0F2C9F83">
        <w:rPr>
          <w:rFonts w:ascii="Arial" w:eastAsia="Times New Roman" w:hAnsi="Arial" w:cs="Arial"/>
        </w:rPr>
        <w:t xml:space="preserve">        </w:t>
      </w:r>
    </w:p>
    <w:p w14:paraId="0215C691" w14:textId="77777777" w:rsidR="007B57FA" w:rsidRDefault="007B57FA" w:rsidP="0066301C">
      <w:pPr>
        <w:spacing w:after="0" w:line="360" w:lineRule="auto"/>
        <w:rPr>
          <w:rFonts w:ascii="Arial" w:hAnsi="Arial" w:cs="Arial"/>
        </w:rPr>
      </w:pPr>
      <w:r>
        <w:rPr>
          <w:rFonts w:ascii="Arial" w:hAnsi="Arial" w:cs="Arial"/>
          <w:b/>
        </w:rPr>
        <w:t>Figure</w:t>
      </w:r>
      <w:r w:rsidRPr="0009481B">
        <w:rPr>
          <w:rFonts w:ascii="Arial" w:hAnsi="Arial" w:cs="Arial"/>
          <w:b/>
        </w:rPr>
        <w:t xml:space="preserve"> </w:t>
      </w:r>
      <w:r>
        <w:rPr>
          <w:rFonts w:ascii="Arial" w:hAnsi="Arial" w:cs="Arial"/>
          <w:b/>
        </w:rPr>
        <w:t>4</w:t>
      </w:r>
      <w:r w:rsidRPr="0009481B">
        <w:rPr>
          <w:rFonts w:ascii="Arial" w:hAnsi="Arial" w:cs="Arial"/>
          <w:b/>
        </w:rPr>
        <w:t>.</w:t>
      </w:r>
      <w:r>
        <w:rPr>
          <w:rFonts w:ascii="Arial" w:hAnsi="Arial" w:cs="Arial"/>
          <w:b/>
        </w:rPr>
        <w:t xml:space="preserve">2e </w:t>
      </w:r>
      <w:r>
        <w:rPr>
          <w:rFonts w:ascii="Arial" w:hAnsi="Arial" w:cs="Arial"/>
          <w:b/>
        </w:rPr>
        <w:tab/>
      </w:r>
      <w:r>
        <w:rPr>
          <w:rFonts w:ascii="Arial" w:hAnsi="Arial" w:cs="Arial"/>
        </w:rPr>
        <w:t>Impulse Response Function and Table (Cameroon – Spain)</w:t>
      </w:r>
    </w:p>
    <w:p w14:paraId="186F6692" w14:textId="77777777" w:rsidR="007B57FA" w:rsidRDefault="007B57FA" w:rsidP="0066301C">
      <w:pPr>
        <w:spacing w:after="0" w:line="360" w:lineRule="auto"/>
        <w:rPr>
          <w:rFonts w:ascii="Arial" w:hAnsi="Arial" w:cs="Arial"/>
        </w:rPr>
      </w:pPr>
      <w:r w:rsidRPr="0F2C9F83">
        <w:rPr>
          <w:rFonts w:ascii="Arial" w:hAnsi="Arial" w:cs="Arial"/>
          <w:b/>
          <w:bCs/>
        </w:rPr>
        <w:t xml:space="preserve">Figure </w:t>
      </w:r>
      <w:r>
        <w:rPr>
          <w:rFonts w:ascii="Arial" w:hAnsi="Arial" w:cs="Arial"/>
          <w:b/>
          <w:bCs/>
        </w:rPr>
        <w:t>4</w:t>
      </w:r>
      <w:r w:rsidRPr="0F2C9F83">
        <w:rPr>
          <w:rFonts w:ascii="Arial" w:hAnsi="Arial" w:cs="Arial"/>
          <w:b/>
          <w:bCs/>
        </w:rPr>
        <w:t>.</w:t>
      </w:r>
      <w:r>
        <w:rPr>
          <w:rFonts w:ascii="Arial" w:hAnsi="Arial" w:cs="Arial"/>
          <w:b/>
          <w:bCs/>
        </w:rPr>
        <w:t>3</w:t>
      </w:r>
      <w:r w:rsidRPr="0F2C9F83">
        <w:rPr>
          <w:rFonts w:ascii="Arial" w:hAnsi="Arial" w:cs="Arial"/>
          <w:b/>
          <w:bCs/>
        </w:rPr>
        <w:t xml:space="preserve">a </w:t>
      </w:r>
      <w:r>
        <w:tab/>
      </w:r>
      <w:r w:rsidRPr="0F2C9F83">
        <w:rPr>
          <w:rFonts w:ascii="Arial" w:hAnsi="Arial" w:cs="Arial"/>
        </w:rPr>
        <w:t>Impulse Response Function and Table (C</w:t>
      </w:r>
      <w:r>
        <w:rPr>
          <w:rFonts w:ascii="Arial" w:hAnsi="Arial" w:cs="Arial"/>
        </w:rPr>
        <w:t>AR</w:t>
      </w:r>
      <w:r w:rsidRPr="0F2C9F83">
        <w:rPr>
          <w:rFonts w:ascii="Arial" w:hAnsi="Arial" w:cs="Arial"/>
        </w:rPr>
        <w:t xml:space="preserve"> – </w:t>
      </w:r>
      <w:r>
        <w:rPr>
          <w:rFonts w:ascii="Arial" w:hAnsi="Arial" w:cs="Arial"/>
        </w:rPr>
        <w:t>Cameroon</w:t>
      </w:r>
      <w:r w:rsidRPr="0F2C9F83">
        <w:rPr>
          <w:rFonts w:ascii="Arial" w:hAnsi="Arial" w:cs="Arial"/>
        </w:rPr>
        <w:t>)</w:t>
      </w:r>
    </w:p>
    <w:p w14:paraId="04BEA3DF" w14:textId="77777777" w:rsidR="007B57FA" w:rsidRDefault="007B57FA" w:rsidP="0066301C">
      <w:pPr>
        <w:spacing w:after="0" w:line="360" w:lineRule="auto"/>
        <w:rPr>
          <w:rFonts w:ascii="Arial" w:hAnsi="Arial" w:cs="Arial"/>
        </w:rPr>
      </w:pPr>
      <w:r w:rsidRPr="0F2C9F83">
        <w:rPr>
          <w:rFonts w:ascii="Arial" w:hAnsi="Arial" w:cs="Arial"/>
          <w:b/>
          <w:bCs/>
        </w:rPr>
        <w:t xml:space="preserve">Figure </w:t>
      </w:r>
      <w:r>
        <w:rPr>
          <w:rFonts w:ascii="Arial" w:hAnsi="Arial" w:cs="Arial"/>
          <w:b/>
          <w:bCs/>
        </w:rPr>
        <w:t>4</w:t>
      </w:r>
      <w:r w:rsidRPr="0F2C9F83">
        <w:rPr>
          <w:rFonts w:ascii="Arial" w:hAnsi="Arial" w:cs="Arial"/>
          <w:b/>
          <w:bCs/>
        </w:rPr>
        <w:t>.</w:t>
      </w:r>
      <w:r>
        <w:rPr>
          <w:rFonts w:ascii="Arial" w:hAnsi="Arial" w:cs="Arial"/>
          <w:b/>
          <w:bCs/>
        </w:rPr>
        <w:t>3b</w:t>
      </w:r>
      <w:r w:rsidRPr="0F2C9F83">
        <w:rPr>
          <w:rFonts w:ascii="Arial" w:hAnsi="Arial" w:cs="Arial"/>
          <w:b/>
          <w:bCs/>
        </w:rPr>
        <w:t xml:space="preserve"> </w:t>
      </w:r>
      <w:r>
        <w:tab/>
      </w:r>
      <w:r w:rsidRPr="0F2C9F83">
        <w:rPr>
          <w:rFonts w:ascii="Arial" w:hAnsi="Arial" w:cs="Arial"/>
        </w:rPr>
        <w:t>Impulse Response Function and Table (C</w:t>
      </w:r>
      <w:r>
        <w:rPr>
          <w:rFonts w:ascii="Arial" w:hAnsi="Arial" w:cs="Arial"/>
        </w:rPr>
        <w:t>AR</w:t>
      </w:r>
      <w:r w:rsidRPr="0F2C9F83">
        <w:rPr>
          <w:rFonts w:ascii="Arial" w:hAnsi="Arial" w:cs="Arial"/>
        </w:rPr>
        <w:t xml:space="preserve"> – </w:t>
      </w:r>
      <w:r>
        <w:rPr>
          <w:rFonts w:ascii="Arial" w:hAnsi="Arial" w:cs="Arial"/>
        </w:rPr>
        <w:t>China</w:t>
      </w:r>
      <w:r w:rsidRPr="0F2C9F83">
        <w:rPr>
          <w:rFonts w:ascii="Arial" w:hAnsi="Arial" w:cs="Arial"/>
        </w:rPr>
        <w:t>)</w:t>
      </w:r>
    </w:p>
    <w:p w14:paraId="20A1484D" w14:textId="77777777" w:rsidR="007B57FA" w:rsidRDefault="007B57FA" w:rsidP="0066301C">
      <w:pPr>
        <w:spacing w:after="0" w:line="360" w:lineRule="auto"/>
        <w:rPr>
          <w:rFonts w:ascii="Arial" w:hAnsi="Arial" w:cs="Arial"/>
        </w:rPr>
      </w:pPr>
      <w:r w:rsidRPr="0F2C9F83">
        <w:rPr>
          <w:rFonts w:ascii="Arial" w:hAnsi="Arial" w:cs="Arial"/>
          <w:b/>
          <w:bCs/>
        </w:rPr>
        <w:t xml:space="preserve">Figure </w:t>
      </w:r>
      <w:r>
        <w:rPr>
          <w:rFonts w:ascii="Arial" w:hAnsi="Arial" w:cs="Arial"/>
          <w:b/>
          <w:bCs/>
        </w:rPr>
        <w:t>4</w:t>
      </w:r>
      <w:r w:rsidRPr="0F2C9F83">
        <w:rPr>
          <w:rFonts w:ascii="Arial" w:hAnsi="Arial" w:cs="Arial"/>
          <w:b/>
          <w:bCs/>
        </w:rPr>
        <w:t>.</w:t>
      </w:r>
      <w:r>
        <w:rPr>
          <w:rFonts w:ascii="Arial" w:hAnsi="Arial" w:cs="Arial"/>
          <w:b/>
          <w:bCs/>
        </w:rPr>
        <w:t>3c</w:t>
      </w:r>
      <w:r w:rsidRPr="0F2C9F83">
        <w:rPr>
          <w:rFonts w:ascii="Arial" w:hAnsi="Arial" w:cs="Arial"/>
          <w:b/>
          <w:bCs/>
        </w:rPr>
        <w:t xml:space="preserve"> </w:t>
      </w:r>
      <w:r>
        <w:tab/>
      </w:r>
      <w:r w:rsidRPr="0F2C9F83">
        <w:rPr>
          <w:rFonts w:ascii="Arial" w:hAnsi="Arial" w:cs="Arial"/>
        </w:rPr>
        <w:t>Impulse Response Function and Table (C</w:t>
      </w:r>
      <w:r>
        <w:rPr>
          <w:rFonts w:ascii="Arial" w:hAnsi="Arial" w:cs="Arial"/>
        </w:rPr>
        <w:t>AR</w:t>
      </w:r>
      <w:r w:rsidRPr="0F2C9F83">
        <w:rPr>
          <w:rFonts w:ascii="Arial" w:hAnsi="Arial" w:cs="Arial"/>
        </w:rPr>
        <w:t xml:space="preserve"> – </w:t>
      </w:r>
      <w:r>
        <w:rPr>
          <w:rFonts w:ascii="Arial" w:hAnsi="Arial" w:cs="Arial"/>
        </w:rPr>
        <w:t>France</w:t>
      </w:r>
      <w:r w:rsidRPr="0F2C9F83">
        <w:rPr>
          <w:rFonts w:ascii="Arial" w:hAnsi="Arial" w:cs="Arial"/>
        </w:rPr>
        <w:t>)</w:t>
      </w:r>
    </w:p>
    <w:p w14:paraId="665F84D7" w14:textId="77777777" w:rsidR="007B57FA" w:rsidRDefault="007B57FA" w:rsidP="0066301C">
      <w:pPr>
        <w:spacing w:after="0" w:line="360" w:lineRule="auto"/>
        <w:rPr>
          <w:rFonts w:ascii="Arial" w:hAnsi="Arial" w:cs="Arial"/>
        </w:rPr>
      </w:pPr>
      <w:r w:rsidRPr="0F2C9F83">
        <w:rPr>
          <w:rFonts w:ascii="Arial" w:hAnsi="Arial" w:cs="Arial"/>
          <w:b/>
          <w:bCs/>
        </w:rPr>
        <w:t xml:space="preserve">Figure </w:t>
      </w:r>
      <w:r>
        <w:rPr>
          <w:rFonts w:ascii="Arial" w:hAnsi="Arial" w:cs="Arial"/>
          <w:b/>
          <w:bCs/>
        </w:rPr>
        <w:t>4</w:t>
      </w:r>
      <w:r w:rsidRPr="0F2C9F83">
        <w:rPr>
          <w:rFonts w:ascii="Arial" w:hAnsi="Arial" w:cs="Arial"/>
          <w:b/>
          <w:bCs/>
        </w:rPr>
        <w:t>.</w:t>
      </w:r>
      <w:r>
        <w:rPr>
          <w:rFonts w:ascii="Arial" w:hAnsi="Arial" w:cs="Arial"/>
          <w:b/>
          <w:bCs/>
        </w:rPr>
        <w:t>3d</w:t>
      </w:r>
      <w:r w:rsidRPr="0F2C9F83">
        <w:rPr>
          <w:rFonts w:ascii="Arial" w:hAnsi="Arial" w:cs="Arial"/>
          <w:b/>
          <w:bCs/>
        </w:rPr>
        <w:t xml:space="preserve"> </w:t>
      </w:r>
      <w:r>
        <w:tab/>
      </w:r>
      <w:r w:rsidRPr="0F2C9F83">
        <w:rPr>
          <w:rFonts w:ascii="Arial" w:hAnsi="Arial" w:cs="Arial"/>
        </w:rPr>
        <w:t>Impulse Response Function and Table (C</w:t>
      </w:r>
      <w:r>
        <w:rPr>
          <w:rFonts w:ascii="Arial" w:hAnsi="Arial" w:cs="Arial"/>
        </w:rPr>
        <w:t>AR</w:t>
      </w:r>
      <w:r w:rsidRPr="0F2C9F83">
        <w:rPr>
          <w:rFonts w:ascii="Arial" w:hAnsi="Arial" w:cs="Arial"/>
        </w:rPr>
        <w:t xml:space="preserve"> – </w:t>
      </w:r>
      <w:r>
        <w:rPr>
          <w:rFonts w:ascii="Arial" w:hAnsi="Arial" w:cs="Arial"/>
        </w:rPr>
        <w:t>India</w:t>
      </w:r>
      <w:r w:rsidRPr="0F2C9F83">
        <w:rPr>
          <w:rFonts w:ascii="Arial" w:hAnsi="Arial" w:cs="Arial"/>
        </w:rPr>
        <w:t>)</w:t>
      </w:r>
    </w:p>
    <w:p w14:paraId="79782842" w14:textId="77777777" w:rsidR="007B57FA" w:rsidRDefault="007B57FA" w:rsidP="0066301C">
      <w:pPr>
        <w:spacing w:after="0" w:line="360" w:lineRule="auto"/>
        <w:rPr>
          <w:rFonts w:ascii="Arial" w:hAnsi="Arial" w:cs="Arial"/>
        </w:rPr>
      </w:pPr>
      <w:r w:rsidRPr="0F2C9F83">
        <w:rPr>
          <w:rFonts w:ascii="Arial" w:hAnsi="Arial" w:cs="Arial"/>
          <w:b/>
          <w:bCs/>
        </w:rPr>
        <w:t xml:space="preserve">Figure </w:t>
      </w:r>
      <w:r>
        <w:rPr>
          <w:rFonts w:ascii="Arial" w:hAnsi="Arial" w:cs="Arial"/>
          <w:b/>
          <w:bCs/>
        </w:rPr>
        <w:t>4</w:t>
      </w:r>
      <w:r w:rsidRPr="0F2C9F83">
        <w:rPr>
          <w:rFonts w:ascii="Arial" w:hAnsi="Arial" w:cs="Arial"/>
          <w:b/>
          <w:bCs/>
        </w:rPr>
        <w:t>.</w:t>
      </w:r>
      <w:r>
        <w:rPr>
          <w:rFonts w:ascii="Arial" w:hAnsi="Arial" w:cs="Arial"/>
          <w:b/>
          <w:bCs/>
        </w:rPr>
        <w:t>3e</w:t>
      </w:r>
      <w:r w:rsidRPr="0F2C9F83">
        <w:rPr>
          <w:rFonts w:ascii="Arial" w:hAnsi="Arial" w:cs="Arial"/>
          <w:b/>
          <w:bCs/>
        </w:rPr>
        <w:t xml:space="preserve"> </w:t>
      </w:r>
      <w:r>
        <w:tab/>
      </w:r>
      <w:r w:rsidRPr="0F2C9F83">
        <w:rPr>
          <w:rFonts w:ascii="Arial" w:hAnsi="Arial" w:cs="Arial"/>
        </w:rPr>
        <w:t>Impulse Response Function and Table (C</w:t>
      </w:r>
      <w:r>
        <w:rPr>
          <w:rFonts w:ascii="Arial" w:hAnsi="Arial" w:cs="Arial"/>
        </w:rPr>
        <w:t>AR</w:t>
      </w:r>
      <w:r w:rsidRPr="0F2C9F83">
        <w:rPr>
          <w:rFonts w:ascii="Arial" w:hAnsi="Arial" w:cs="Arial"/>
        </w:rPr>
        <w:t xml:space="preserve"> – </w:t>
      </w:r>
      <w:r>
        <w:rPr>
          <w:rFonts w:ascii="Arial" w:hAnsi="Arial" w:cs="Arial"/>
        </w:rPr>
        <w:t>Nepal</w:t>
      </w:r>
      <w:r w:rsidRPr="0F2C9F83">
        <w:rPr>
          <w:rFonts w:ascii="Arial" w:hAnsi="Arial" w:cs="Arial"/>
        </w:rPr>
        <w:t>)</w:t>
      </w:r>
    </w:p>
    <w:p w14:paraId="11AD6B5C" w14:textId="77777777" w:rsidR="007B57FA" w:rsidRDefault="007B57FA" w:rsidP="0066301C">
      <w:pPr>
        <w:spacing w:after="0" w:line="360" w:lineRule="auto"/>
        <w:rPr>
          <w:rFonts w:ascii="Arial" w:hAnsi="Arial" w:cs="Arial"/>
        </w:rPr>
      </w:pPr>
      <w:r w:rsidRPr="0F2C9F83">
        <w:rPr>
          <w:rFonts w:ascii="Arial" w:hAnsi="Arial" w:cs="Arial"/>
          <w:b/>
          <w:bCs/>
        </w:rPr>
        <w:t xml:space="preserve">Figure </w:t>
      </w:r>
      <w:r>
        <w:rPr>
          <w:rFonts w:ascii="Arial" w:hAnsi="Arial" w:cs="Arial"/>
          <w:b/>
          <w:bCs/>
        </w:rPr>
        <w:t>4</w:t>
      </w:r>
      <w:r w:rsidRPr="0F2C9F83">
        <w:rPr>
          <w:rFonts w:ascii="Arial" w:hAnsi="Arial" w:cs="Arial"/>
          <w:b/>
          <w:bCs/>
        </w:rPr>
        <w:t>.</w:t>
      </w:r>
      <w:r>
        <w:rPr>
          <w:rFonts w:ascii="Arial" w:hAnsi="Arial" w:cs="Arial"/>
          <w:b/>
          <w:bCs/>
        </w:rPr>
        <w:t>4</w:t>
      </w:r>
      <w:r w:rsidRPr="0F2C9F83">
        <w:rPr>
          <w:rFonts w:ascii="Arial" w:hAnsi="Arial" w:cs="Arial"/>
          <w:b/>
          <w:bCs/>
        </w:rPr>
        <w:t xml:space="preserve">a </w:t>
      </w:r>
      <w:r>
        <w:tab/>
      </w:r>
      <w:r w:rsidRPr="0F2C9F83">
        <w:rPr>
          <w:rFonts w:ascii="Arial" w:hAnsi="Arial" w:cs="Arial"/>
        </w:rPr>
        <w:t>Impulse Response Function and Table (</w:t>
      </w:r>
      <w:r>
        <w:rPr>
          <w:rFonts w:ascii="Arial" w:hAnsi="Arial" w:cs="Arial"/>
        </w:rPr>
        <w:t>Gabon</w:t>
      </w:r>
      <w:r w:rsidRPr="0F2C9F83">
        <w:rPr>
          <w:rFonts w:ascii="Arial" w:hAnsi="Arial" w:cs="Arial"/>
        </w:rPr>
        <w:t xml:space="preserve"> – </w:t>
      </w:r>
      <w:r>
        <w:rPr>
          <w:rFonts w:ascii="Arial" w:hAnsi="Arial" w:cs="Arial"/>
        </w:rPr>
        <w:t>China</w:t>
      </w:r>
      <w:r w:rsidRPr="0F2C9F83">
        <w:rPr>
          <w:rFonts w:ascii="Arial" w:hAnsi="Arial" w:cs="Arial"/>
        </w:rPr>
        <w:t>)</w:t>
      </w:r>
    </w:p>
    <w:p w14:paraId="44FC53CE" w14:textId="77777777" w:rsidR="007B57FA" w:rsidRDefault="007B57FA" w:rsidP="0066301C">
      <w:pPr>
        <w:spacing w:after="0" w:line="360" w:lineRule="auto"/>
        <w:rPr>
          <w:rFonts w:ascii="Arial" w:hAnsi="Arial" w:cs="Arial"/>
        </w:rPr>
      </w:pPr>
      <w:r w:rsidRPr="0F2C9F83">
        <w:rPr>
          <w:rFonts w:ascii="Arial" w:hAnsi="Arial" w:cs="Arial"/>
          <w:b/>
          <w:bCs/>
        </w:rPr>
        <w:t xml:space="preserve">Figure </w:t>
      </w:r>
      <w:r>
        <w:rPr>
          <w:rFonts w:ascii="Arial" w:hAnsi="Arial" w:cs="Arial"/>
          <w:b/>
          <w:bCs/>
        </w:rPr>
        <w:t>4</w:t>
      </w:r>
      <w:r w:rsidRPr="0F2C9F83">
        <w:rPr>
          <w:rFonts w:ascii="Arial" w:hAnsi="Arial" w:cs="Arial"/>
          <w:b/>
          <w:bCs/>
        </w:rPr>
        <w:t>.</w:t>
      </w:r>
      <w:r>
        <w:rPr>
          <w:rFonts w:ascii="Arial" w:hAnsi="Arial" w:cs="Arial"/>
          <w:b/>
          <w:bCs/>
        </w:rPr>
        <w:t>4b</w:t>
      </w:r>
      <w:r w:rsidRPr="0F2C9F83">
        <w:rPr>
          <w:rFonts w:ascii="Arial" w:hAnsi="Arial" w:cs="Arial"/>
          <w:b/>
          <w:bCs/>
        </w:rPr>
        <w:t xml:space="preserve"> </w:t>
      </w:r>
      <w:r>
        <w:tab/>
      </w:r>
      <w:r w:rsidRPr="0F2C9F83">
        <w:rPr>
          <w:rFonts w:ascii="Arial" w:hAnsi="Arial" w:cs="Arial"/>
        </w:rPr>
        <w:t>Impulse Response Function and Table (</w:t>
      </w:r>
      <w:r>
        <w:rPr>
          <w:rFonts w:ascii="Arial" w:hAnsi="Arial" w:cs="Arial"/>
        </w:rPr>
        <w:t>Gabon</w:t>
      </w:r>
      <w:r w:rsidRPr="0F2C9F83">
        <w:rPr>
          <w:rFonts w:ascii="Arial" w:hAnsi="Arial" w:cs="Arial"/>
        </w:rPr>
        <w:t xml:space="preserve"> – </w:t>
      </w:r>
      <w:r>
        <w:rPr>
          <w:rFonts w:ascii="Arial" w:hAnsi="Arial" w:cs="Arial"/>
        </w:rPr>
        <w:t>USA)</w:t>
      </w:r>
    </w:p>
    <w:p w14:paraId="1F27E632" w14:textId="77777777" w:rsidR="007B57FA" w:rsidRDefault="007B57FA" w:rsidP="0066301C">
      <w:pPr>
        <w:spacing w:after="0" w:line="360" w:lineRule="auto"/>
        <w:rPr>
          <w:rFonts w:ascii="Arial" w:hAnsi="Arial" w:cs="Arial"/>
        </w:rPr>
      </w:pPr>
      <w:r w:rsidRPr="00C16686">
        <w:rPr>
          <w:rFonts w:ascii="Arial" w:hAnsi="Arial" w:cs="Arial"/>
          <w:b/>
          <w:bCs/>
        </w:rPr>
        <w:t xml:space="preserve">Figure </w:t>
      </w:r>
      <w:r>
        <w:rPr>
          <w:rFonts w:ascii="Arial" w:hAnsi="Arial" w:cs="Arial"/>
          <w:b/>
          <w:bCs/>
        </w:rPr>
        <w:t>4</w:t>
      </w:r>
      <w:r w:rsidRPr="00C16686">
        <w:rPr>
          <w:rFonts w:ascii="Arial" w:hAnsi="Arial" w:cs="Arial"/>
          <w:b/>
          <w:bCs/>
        </w:rPr>
        <w:t>.</w:t>
      </w:r>
      <w:r>
        <w:rPr>
          <w:rFonts w:ascii="Arial" w:hAnsi="Arial" w:cs="Arial"/>
          <w:b/>
          <w:bCs/>
        </w:rPr>
        <w:t>5a</w:t>
      </w:r>
      <w:r>
        <w:rPr>
          <w:rFonts w:ascii="Arial" w:hAnsi="Arial" w:cs="Arial"/>
        </w:rPr>
        <w:tab/>
        <w:t>CUSUM and CUSUMSQ (Cameroon)</w:t>
      </w:r>
    </w:p>
    <w:p w14:paraId="58B6D644" w14:textId="77777777" w:rsidR="007B57FA" w:rsidRDefault="007B57FA" w:rsidP="0066301C">
      <w:pPr>
        <w:spacing w:after="0" w:line="360" w:lineRule="auto"/>
        <w:rPr>
          <w:rFonts w:ascii="Arial" w:hAnsi="Arial" w:cs="Arial"/>
        </w:rPr>
      </w:pPr>
      <w:r w:rsidRPr="00C16686">
        <w:rPr>
          <w:rFonts w:ascii="Arial" w:hAnsi="Arial" w:cs="Arial"/>
          <w:b/>
          <w:bCs/>
        </w:rPr>
        <w:t xml:space="preserve">Figure </w:t>
      </w:r>
      <w:r>
        <w:rPr>
          <w:rFonts w:ascii="Arial" w:hAnsi="Arial" w:cs="Arial"/>
          <w:b/>
          <w:bCs/>
        </w:rPr>
        <w:t>4</w:t>
      </w:r>
      <w:r w:rsidRPr="00C16686">
        <w:rPr>
          <w:rFonts w:ascii="Arial" w:hAnsi="Arial" w:cs="Arial"/>
          <w:b/>
          <w:bCs/>
        </w:rPr>
        <w:t>.</w:t>
      </w:r>
      <w:r>
        <w:rPr>
          <w:rFonts w:ascii="Arial" w:hAnsi="Arial" w:cs="Arial"/>
          <w:b/>
          <w:bCs/>
        </w:rPr>
        <w:t>5b</w:t>
      </w:r>
      <w:r>
        <w:rPr>
          <w:rFonts w:ascii="Arial" w:hAnsi="Arial" w:cs="Arial"/>
        </w:rPr>
        <w:tab/>
        <w:t>CUSUM and CUSUMSQ (CAR)</w:t>
      </w:r>
    </w:p>
    <w:p w14:paraId="7946E131" w14:textId="77777777" w:rsidR="007B57FA" w:rsidRDefault="007B57FA" w:rsidP="0066301C">
      <w:pPr>
        <w:spacing w:after="0" w:line="360" w:lineRule="auto"/>
        <w:rPr>
          <w:rFonts w:ascii="Arial" w:hAnsi="Arial" w:cs="Arial"/>
        </w:rPr>
      </w:pPr>
      <w:r w:rsidRPr="00C16686">
        <w:rPr>
          <w:rFonts w:ascii="Arial" w:hAnsi="Arial" w:cs="Arial"/>
          <w:b/>
          <w:bCs/>
        </w:rPr>
        <w:t xml:space="preserve">Figure </w:t>
      </w:r>
      <w:r>
        <w:rPr>
          <w:rFonts w:ascii="Arial" w:hAnsi="Arial" w:cs="Arial"/>
          <w:b/>
          <w:bCs/>
        </w:rPr>
        <w:t>4</w:t>
      </w:r>
      <w:r w:rsidRPr="00C16686">
        <w:rPr>
          <w:rFonts w:ascii="Arial" w:hAnsi="Arial" w:cs="Arial"/>
          <w:b/>
          <w:bCs/>
        </w:rPr>
        <w:t>.</w:t>
      </w:r>
      <w:r>
        <w:rPr>
          <w:rFonts w:ascii="Arial" w:hAnsi="Arial" w:cs="Arial"/>
          <w:b/>
          <w:bCs/>
        </w:rPr>
        <w:t>5c</w:t>
      </w:r>
      <w:r>
        <w:rPr>
          <w:rFonts w:ascii="Arial" w:hAnsi="Arial" w:cs="Arial"/>
        </w:rPr>
        <w:tab/>
        <w:t>CUSUM and CUSUMSQ (Gabon)</w:t>
      </w:r>
      <w:r>
        <w:rPr>
          <w:rFonts w:ascii="Arial" w:hAnsi="Arial" w:cs="Arial"/>
        </w:rPr>
        <w:tab/>
      </w:r>
    </w:p>
    <w:p w14:paraId="2F3A039F" w14:textId="77777777" w:rsidR="007B57FA" w:rsidRDefault="007B57FA" w:rsidP="0066301C">
      <w:pPr>
        <w:spacing w:after="0" w:line="360" w:lineRule="auto"/>
        <w:rPr>
          <w:rFonts w:ascii="Arial" w:hAnsi="Arial" w:cs="Arial"/>
        </w:rPr>
      </w:pPr>
      <w:r w:rsidRPr="0F2C9F83">
        <w:rPr>
          <w:rFonts w:ascii="Arial" w:hAnsi="Arial" w:cs="Arial"/>
          <w:b/>
          <w:bCs/>
        </w:rPr>
        <w:t xml:space="preserve">Figure </w:t>
      </w:r>
      <w:r>
        <w:rPr>
          <w:rFonts w:ascii="Arial" w:hAnsi="Arial" w:cs="Arial"/>
          <w:b/>
          <w:bCs/>
        </w:rPr>
        <w:t>4</w:t>
      </w:r>
      <w:r w:rsidRPr="0F2C9F83">
        <w:rPr>
          <w:rFonts w:ascii="Arial" w:hAnsi="Arial" w:cs="Arial"/>
          <w:b/>
          <w:bCs/>
        </w:rPr>
        <w:t>.</w:t>
      </w:r>
      <w:r>
        <w:rPr>
          <w:rFonts w:ascii="Arial" w:hAnsi="Arial" w:cs="Arial"/>
          <w:b/>
          <w:bCs/>
        </w:rPr>
        <w:t>6</w:t>
      </w:r>
      <w:r w:rsidRPr="0F2C9F83">
        <w:rPr>
          <w:rFonts w:ascii="Arial" w:hAnsi="Arial" w:cs="Arial"/>
          <w:b/>
          <w:bCs/>
        </w:rPr>
        <w:t xml:space="preserve"> </w:t>
      </w:r>
      <w:r>
        <w:tab/>
      </w:r>
      <w:r w:rsidRPr="0F2C9F83">
        <w:rPr>
          <w:rFonts w:ascii="Arial" w:hAnsi="Arial" w:cs="Arial"/>
        </w:rPr>
        <w:t>Impulse Response Function and Table (</w:t>
      </w:r>
      <w:r>
        <w:rPr>
          <w:rFonts w:ascii="Arial" w:hAnsi="Arial" w:cs="Arial"/>
        </w:rPr>
        <w:t>CEMAC Nations)</w:t>
      </w:r>
    </w:p>
    <w:p w14:paraId="5FA9B71D" w14:textId="77777777" w:rsidR="007B57FA" w:rsidRDefault="007B57FA" w:rsidP="0066301C">
      <w:pPr>
        <w:spacing w:after="0" w:line="360" w:lineRule="auto"/>
        <w:rPr>
          <w:rFonts w:ascii="Arial" w:hAnsi="Arial" w:cs="Arial"/>
        </w:rPr>
      </w:pPr>
      <w:r w:rsidRPr="00C16686">
        <w:rPr>
          <w:rFonts w:ascii="Arial" w:hAnsi="Arial" w:cs="Arial"/>
          <w:b/>
          <w:bCs/>
        </w:rPr>
        <w:t xml:space="preserve">Figure </w:t>
      </w:r>
      <w:r>
        <w:rPr>
          <w:rFonts w:ascii="Arial" w:hAnsi="Arial" w:cs="Arial"/>
          <w:b/>
          <w:bCs/>
        </w:rPr>
        <w:t>4</w:t>
      </w:r>
      <w:r w:rsidRPr="00C16686">
        <w:rPr>
          <w:rFonts w:ascii="Arial" w:hAnsi="Arial" w:cs="Arial"/>
          <w:b/>
          <w:bCs/>
        </w:rPr>
        <w:t>.</w:t>
      </w:r>
      <w:r>
        <w:rPr>
          <w:rFonts w:ascii="Arial" w:hAnsi="Arial" w:cs="Arial"/>
          <w:b/>
          <w:bCs/>
        </w:rPr>
        <w:t>7</w:t>
      </w:r>
      <w:r>
        <w:rPr>
          <w:rFonts w:ascii="Arial" w:hAnsi="Arial" w:cs="Arial"/>
        </w:rPr>
        <w:tab/>
        <w:t xml:space="preserve">CUSUM and CUSUMSQ </w:t>
      </w:r>
      <w:r w:rsidRPr="0F2C9F83">
        <w:rPr>
          <w:rFonts w:ascii="Arial" w:hAnsi="Arial" w:cs="Arial"/>
        </w:rPr>
        <w:t>(</w:t>
      </w:r>
      <w:r>
        <w:rPr>
          <w:rFonts w:ascii="Arial" w:hAnsi="Arial" w:cs="Arial"/>
        </w:rPr>
        <w:t>CEMAC Nations)</w:t>
      </w:r>
    </w:p>
    <w:p w14:paraId="352CC875" w14:textId="13F6C748" w:rsidR="001E26B5" w:rsidRDefault="001E26B5" w:rsidP="0066301C">
      <w:pPr>
        <w:spacing w:after="0" w:line="360" w:lineRule="auto"/>
        <w:rPr>
          <w:rFonts w:ascii="Arial" w:hAnsi="Arial" w:cs="Arial"/>
        </w:rPr>
      </w:pPr>
      <w:r>
        <w:rPr>
          <w:rFonts w:ascii="Arial" w:hAnsi="Arial" w:cs="Arial"/>
          <w:b/>
        </w:rPr>
        <w:lastRenderedPageBreak/>
        <w:t>Figure</w:t>
      </w:r>
      <w:r w:rsidRPr="0009481B">
        <w:rPr>
          <w:rFonts w:ascii="Arial" w:hAnsi="Arial" w:cs="Arial"/>
          <w:b/>
        </w:rPr>
        <w:t xml:space="preserve"> </w:t>
      </w:r>
      <w:r>
        <w:rPr>
          <w:rFonts w:ascii="Arial" w:hAnsi="Arial" w:cs="Arial"/>
          <w:b/>
        </w:rPr>
        <w:t xml:space="preserve">5.1 </w:t>
      </w:r>
      <w:r>
        <w:rPr>
          <w:rFonts w:ascii="Arial" w:hAnsi="Arial" w:cs="Arial"/>
          <w:b/>
        </w:rPr>
        <w:tab/>
      </w:r>
      <w:r>
        <w:rPr>
          <w:rFonts w:ascii="Arial" w:hAnsi="Arial" w:cs="Arial"/>
        </w:rPr>
        <w:t>Evolution of Variables during 1980-2018</w:t>
      </w:r>
    </w:p>
    <w:p w14:paraId="1212F2BE" w14:textId="77777777" w:rsidR="001E26B5" w:rsidRDefault="001E26B5" w:rsidP="0066301C">
      <w:pPr>
        <w:spacing w:after="0" w:line="360" w:lineRule="auto"/>
        <w:rPr>
          <w:rFonts w:ascii="Arial" w:hAnsi="Arial" w:cs="Arial"/>
        </w:rPr>
      </w:pPr>
      <w:r>
        <w:rPr>
          <w:rFonts w:ascii="Arial" w:hAnsi="Arial" w:cs="Arial"/>
          <w:b/>
        </w:rPr>
        <w:t>Figure</w:t>
      </w:r>
      <w:r w:rsidRPr="0009481B">
        <w:rPr>
          <w:rFonts w:ascii="Arial" w:hAnsi="Arial" w:cs="Arial"/>
          <w:b/>
        </w:rPr>
        <w:t xml:space="preserve"> </w:t>
      </w:r>
      <w:r>
        <w:rPr>
          <w:rFonts w:ascii="Arial" w:hAnsi="Arial" w:cs="Arial"/>
          <w:b/>
        </w:rPr>
        <w:t xml:space="preserve">5.2a </w:t>
      </w:r>
      <w:r>
        <w:rPr>
          <w:rFonts w:ascii="Arial" w:hAnsi="Arial" w:cs="Arial"/>
          <w:b/>
        </w:rPr>
        <w:tab/>
      </w:r>
      <w:r>
        <w:rPr>
          <w:rFonts w:ascii="Arial" w:hAnsi="Arial" w:cs="Arial"/>
        </w:rPr>
        <w:t>Macro-economic Indicators (Cameroon)</w:t>
      </w:r>
    </w:p>
    <w:p w14:paraId="7BF72C60" w14:textId="77777777" w:rsidR="001E26B5" w:rsidRDefault="001E26B5" w:rsidP="0066301C">
      <w:pPr>
        <w:spacing w:after="0" w:line="360" w:lineRule="auto"/>
        <w:rPr>
          <w:rFonts w:ascii="Arial" w:hAnsi="Arial" w:cs="Arial"/>
        </w:rPr>
      </w:pPr>
      <w:r>
        <w:rPr>
          <w:rFonts w:ascii="Arial" w:hAnsi="Arial" w:cs="Arial"/>
          <w:b/>
        </w:rPr>
        <w:t>Figure</w:t>
      </w:r>
      <w:r w:rsidRPr="0009481B">
        <w:rPr>
          <w:rFonts w:ascii="Arial" w:hAnsi="Arial" w:cs="Arial"/>
          <w:b/>
        </w:rPr>
        <w:t xml:space="preserve"> </w:t>
      </w:r>
      <w:r>
        <w:rPr>
          <w:rFonts w:ascii="Arial" w:hAnsi="Arial" w:cs="Arial"/>
          <w:b/>
        </w:rPr>
        <w:t xml:space="preserve">5.2b </w:t>
      </w:r>
      <w:r>
        <w:rPr>
          <w:rFonts w:ascii="Arial" w:hAnsi="Arial" w:cs="Arial"/>
          <w:b/>
        </w:rPr>
        <w:tab/>
      </w:r>
      <w:r>
        <w:rPr>
          <w:rFonts w:ascii="Arial" w:hAnsi="Arial" w:cs="Arial"/>
        </w:rPr>
        <w:t>Macro-economic Indicators (CAR)</w:t>
      </w:r>
    </w:p>
    <w:p w14:paraId="546E5868" w14:textId="77777777" w:rsidR="001E26B5" w:rsidRDefault="001E26B5" w:rsidP="0066301C">
      <w:pPr>
        <w:spacing w:after="0" w:line="360" w:lineRule="auto"/>
        <w:rPr>
          <w:rFonts w:ascii="Arial" w:eastAsia="Times New Roman" w:hAnsi="Arial" w:cs="Arial"/>
        </w:rPr>
      </w:pPr>
      <w:r>
        <w:rPr>
          <w:rFonts w:ascii="Arial" w:hAnsi="Arial" w:cs="Arial"/>
          <w:b/>
        </w:rPr>
        <w:t>Figure</w:t>
      </w:r>
      <w:r w:rsidRPr="0009481B">
        <w:rPr>
          <w:rFonts w:ascii="Arial" w:hAnsi="Arial" w:cs="Arial"/>
          <w:b/>
        </w:rPr>
        <w:t xml:space="preserve"> </w:t>
      </w:r>
      <w:r>
        <w:rPr>
          <w:rFonts w:ascii="Arial" w:hAnsi="Arial" w:cs="Arial"/>
          <w:b/>
        </w:rPr>
        <w:t xml:space="preserve">5.2c </w:t>
      </w:r>
      <w:r>
        <w:rPr>
          <w:rFonts w:ascii="Arial" w:hAnsi="Arial" w:cs="Arial"/>
          <w:b/>
        </w:rPr>
        <w:tab/>
      </w:r>
      <w:r>
        <w:rPr>
          <w:rFonts w:ascii="Arial" w:hAnsi="Arial" w:cs="Arial"/>
        </w:rPr>
        <w:t>Macro-economic Indicators (Gabon)</w:t>
      </w:r>
      <w:r>
        <w:rPr>
          <w:rFonts w:ascii="Arial" w:hAnsi="Arial" w:cs="Arial"/>
        </w:rPr>
        <w:tab/>
        <w:t xml:space="preserve">    </w:t>
      </w:r>
      <w:r>
        <w:rPr>
          <w:rFonts w:ascii="Arial" w:eastAsia="Times New Roman" w:hAnsi="Arial" w:cs="Arial"/>
        </w:rPr>
        <w:t xml:space="preserve"> </w:t>
      </w:r>
    </w:p>
    <w:p w14:paraId="28427F99" w14:textId="77777777" w:rsidR="001E26B5" w:rsidRDefault="001E26B5" w:rsidP="0066301C">
      <w:pPr>
        <w:spacing w:after="0" w:line="360" w:lineRule="auto"/>
        <w:rPr>
          <w:rFonts w:ascii="Arial" w:eastAsia="Times New Roman" w:hAnsi="Arial" w:cs="Arial"/>
        </w:rPr>
      </w:pPr>
      <w:r>
        <w:rPr>
          <w:rFonts w:ascii="Arial" w:hAnsi="Arial" w:cs="Arial"/>
          <w:b/>
        </w:rPr>
        <w:t>Figure</w:t>
      </w:r>
      <w:r w:rsidRPr="0009481B">
        <w:rPr>
          <w:rFonts w:ascii="Arial" w:hAnsi="Arial" w:cs="Arial"/>
          <w:b/>
        </w:rPr>
        <w:t xml:space="preserve"> </w:t>
      </w:r>
      <w:r>
        <w:rPr>
          <w:rFonts w:ascii="Arial" w:hAnsi="Arial" w:cs="Arial"/>
          <w:b/>
        </w:rPr>
        <w:t xml:space="preserve">5.2d </w:t>
      </w:r>
      <w:r>
        <w:rPr>
          <w:rFonts w:ascii="Arial" w:hAnsi="Arial" w:cs="Arial"/>
          <w:b/>
        </w:rPr>
        <w:tab/>
      </w:r>
      <w:r>
        <w:rPr>
          <w:rFonts w:ascii="Arial" w:hAnsi="Arial" w:cs="Arial"/>
        </w:rPr>
        <w:t>Macro-economic Indicators (Equatorial Guinea)</w:t>
      </w:r>
      <w:r>
        <w:rPr>
          <w:rFonts w:ascii="Arial" w:eastAsia="Times New Roman" w:hAnsi="Arial" w:cs="Arial"/>
        </w:rPr>
        <w:t xml:space="preserve">  </w:t>
      </w:r>
    </w:p>
    <w:p w14:paraId="1A25E70D" w14:textId="77777777" w:rsidR="001E26B5" w:rsidRDefault="001E26B5" w:rsidP="0066301C">
      <w:pPr>
        <w:spacing w:after="0" w:line="360" w:lineRule="auto"/>
        <w:rPr>
          <w:rFonts w:ascii="Arial" w:hAnsi="Arial" w:cs="Arial"/>
        </w:rPr>
      </w:pPr>
      <w:r>
        <w:rPr>
          <w:rFonts w:ascii="Arial" w:hAnsi="Arial" w:cs="Arial"/>
          <w:b/>
        </w:rPr>
        <w:t>Figure</w:t>
      </w:r>
      <w:r w:rsidRPr="0009481B">
        <w:rPr>
          <w:rFonts w:ascii="Arial" w:hAnsi="Arial" w:cs="Arial"/>
          <w:b/>
        </w:rPr>
        <w:t xml:space="preserve"> </w:t>
      </w:r>
      <w:r>
        <w:rPr>
          <w:rFonts w:ascii="Arial" w:hAnsi="Arial" w:cs="Arial"/>
          <w:b/>
        </w:rPr>
        <w:t xml:space="preserve">5.2e </w:t>
      </w:r>
      <w:r>
        <w:rPr>
          <w:rFonts w:ascii="Arial" w:hAnsi="Arial" w:cs="Arial"/>
          <w:b/>
        </w:rPr>
        <w:tab/>
      </w:r>
      <w:r>
        <w:rPr>
          <w:rFonts w:ascii="Arial" w:hAnsi="Arial" w:cs="Arial"/>
        </w:rPr>
        <w:t>Macro-economic Indicators (Chad)</w:t>
      </w:r>
    </w:p>
    <w:p w14:paraId="3B1DA8BA" w14:textId="77777777" w:rsidR="001E26B5" w:rsidRDefault="001E26B5" w:rsidP="0066301C">
      <w:pPr>
        <w:spacing w:after="0" w:line="360" w:lineRule="auto"/>
        <w:rPr>
          <w:rFonts w:ascii="Arial" w:eastAsia="Times New Roman" w:hAnsi="Arial" w:cs="Arial"/>
        </w:rPr>
      </w:pPr>
      <w:r>
        <w:rPr>
          <w:rFonts w:ascii="Arial" w:hAnsi="Arial" w:cs="Arial"/>
          <w:b/>
        </w:rPr>
        <w:t>Figure</w:t>
      </w:r>
      <w:r w:rsidRPr="0009481B">
        <w:rPr>
          <w:rFonts w:ascii="Arial" w:hAnsi="Arial" w:cs="Arial"/>
          <w:b/>
        </w:rPr>
        <w:t xml:space="preserve"> </w:t>
      </w:r>
      <w:r>
        <w:rPr>
          <w:rFonts w:ascii="Arial" w:hAnsi="Arial" w:cs="Arial"/>
          <w:b/>
        </w:rPr>
        <w:t xml:space="preserve">5.2f </w:t>
      </w:r>
      <w:r>
        <w:rPr>
          <w:rFonts w:ascii="Arial" w:hAnsi="Arial" w:cs="Arial"/>
          <w:b/>
        </w:rPr>
        <w:tab/>
      </w:r>
      <w:r>
        <w:rPr>
          <w:rFonts w:ascii="Arial" w:hAnsi="Arial" w:cs="Arial"/>
        </w:rPr>
        <w:t>Macro-economic Indicators (Congo)</w:t>
      </w:r>
    </w:p>
    <w:p w14:paraId="33ECA58A" w14:textId="77777777" w:rsidR="007B57FA" w:rsidRDefault="007B57FA" w:rsidP="0066301C">
      <w:pPr>
        <w:rPr>
          <w:rFonts w:ascii="Arial" w:eastAsia="Times New Roman" w:hAnsi="Arial" w:cs="Arial"/>
        </w:rPr>
      </w:pPr>
      <w:r>
        <w:rPr>
          <w:rFonts w:ascii="Arial" w:eastAsia="Times New Roman" w:hAnsi="Arial" w:cs="Arial"/>
        </w:rPr>
        <w:tab/>
      </w:r>
    </w:p>
    <w:p w14:paraId="2FA13B07" w14:textId="77777777" w:rsidR="007B57FA" w:rsidRDefault="007B57FA" w:rsidP="0066301C"/>
    <w:p w14:paraId="10272EE5" w14:textId="77777777" w:rsidR="007B57FA" w:rsidRDefault="007B57FA" w:rsidP="0066301C"/>
    <w:p w14:paraId="64F073C1" w14:textId="77777777" w:rsidR="007B57FA" w:rsidRDefault="007B57FA" w:rsidP="0066301C"/>
    <w:p w14:paraId="43245215" w14:textId="77777777" w:rsidR="007B57FA" w:rsidRDefault="007B57FA" w:rsidP="0066301C"/>
    <w:p w14:paraId="0746C1B7" w14:textId="77777777" w:rsidR="007B57FA" w:rsidRDefault="007B57FA" w:rsidP="0066301C"/>
    <w:p w14:paraId="60C804E5" w14:textId="77777777" w:rsidR="007B57FA" w:rsidRDefault="007B57FA" w:rsidP="0066301C"/>
    <w:p w14:paraId="24A50D20" w14:textId="77777777" w:rsidR="007B57FA" w:rsidRDefault="007B57FA" w:rsidP="0066301C"/>
    <w:p w14:paraId="5EF9F226" w14:textId="77777777" w:rsidR="007B57FA" w:rsidRDefault="007B57FA" w:rsidP="0066301C"/>
    <w:p w14:paraId="59059145" w14:textId="77777777" w:rsidR="007B57FA" w:rsidRDefault="007B57FA" w:rsidP="0066301C"/>
    <w:p w14:paraId="13532887" w14:textId="77777777" w:rsidR="007B57FA" w:rsidRDefault="007B57FA" w:rsidP="0066301C"/>
    <w:p w14:paraId="41E1A220" w14:textId="77777777" w:rsidR="007B57FA" w:rsidRDefault="007B57FA" w:rsidP="0066301C"/>
    <w:p w14:paraId="3E402D73" w14:textId="77777777" w:rsidR="007B57FA" w:rsidRDefault="007B57FA" w:rsidP="0066301C"/>
    <w:p w14:paraId="42D79D88" w14:textId="77777777" w:rsidR="007B57FA" w:rsidRDefault="007B57FA" w:rsidP="0066301C"/>
    <w:p w14:paraId="34A1D997" w14:textId="77777777" w:rsidR="007B57FA" w:rsidRDefault="007B57FA" w:rsidP="0066301C"/>
    <w:p w14:paraId="7201F63F" w14:textId="77777777" w:rsidR="007B57FA" w:rsidRDefault="007B57FA" w:rsidP="0066301C"/>
    <w:p w14:paraId="478CF272" w14:textId="77777777" w:rsidR="007B57FA" w:rsidRDefault="007B57FA" w:rsidP="0066301C"/>
    <w:p w14:paraId="3281F03E" w14:textId="77777777" w:rsidR="007B57FA" w:rsidRDefault="007B57FA" w:rsidP="0066301C"/>
    <w:p w14:paraId="5DE4D14C" w14:textId="77777777" w:rsidR="007B57FA" w:rsidRDefault="007B57FA" w:rsidP="0066301C"/>
    <w:p w14:paraId="244254AE" w14:textId="587D3831" w:rsidR="007B57FA" w:rsidRDefault="007B57FA" w:rsidP="0066301C"/>
    <w:p w14:paraId="56E18D4F" w14:textId="7FE465BC" w:rsidR="00361CFA" w:rsidRDefault="00361CFA" w:rsidP="0066301C"/>
    <w:p w14:paraId="781FE2AB" w14:textId="7A47A03F" w:rsidR="00361CFA" w:rsidRDefault="00361CFA" w:rsidP="0066301C"/>
    <w:p w14:paraId="28DB80E8" w14:textId="07ED0D0A" w:rsidR="00361CFA" w:rsidRDefault="00361CFA" w:rsidP="0066301C"/>
    <w:p w14:paraId="2C19FA6C" w14:textId="77777777" w:rsidR="00361CFA" w:rsidRDefault="00361CFA" w:rsidP="0066301C"/>
    <w:p w14:paraId="5A0BC1D1" w14:textId="77777777" w:rsidR="007B57FA" w:rsidRDefault="007B57FA" w:rsidP="0066301C"/>
    <w:p w14:paraId="720E13C9" w14:textId="029F3405" w:rsidR="00347C5B" w:rsidRDefault="00347C5B" w:rsidP="0066301C">
      <w:pPr>
        <w:pStyle w:val="Heading1"/>
        <w:numPr>
          <w:ilvl w:val="0"/>
          <w:numId w:val="0"/>
        </w:numPr>
        <w:spacing w:before="0"/>
        <w:sectPr w:rsidR="00347C5B" w:rsidSect="00D14E7F">
          <w:headerReference w:type="default" r:id="rId15"/>
          <w:footerReference w:type="default" r:id="rId16"/>
          <w:pgSz w:w="11906" w:h="16838" w:code="9"/>
          <w:pgMar w:top="1440" w:right="1440" w:bottom="1440" w:left="1440" w:header="709" w:footer="709" w:gutter="0"/>
          <w:pgNumType w:fmt="lowerRoman" w:start="1"/>
          <w:cols w:space="708"/>
          <w:docGrid w:linePitch="360"/>
        </w:sectPr>
      </w:pPr>
      <w:bookmarkStart w:id="12" w:name="_Toc84713917"/>
    </w:p>
    <w:p w14:paraId="188DC132" w14:textId="2E86EB9A" w:rsidR="00712344" w:rsidRPr="000A6B20" w:rsidRDefault="00712344" w:rsidP="0066301C">
      <w:pPr>
        <w:pStyle w:val="Heading1"/>
        <w:numPr>
          <w:ilvl w:val="0"/>
          <w:numId w:val="0"/>
        </w:numPr>
        <w:spacing w:before="0"/>
        <w:rPr>
          <w:rFonts w:cs="Arial"/>
        </w:rPr>
      </w:pPr>
      <w:bookmarkStart w:id="13" w:name="_Toc171075345"/>
      <w:bookmarkEnd w:id="12"/>
      <w:r>
        <w:lastRenderedPageBreak/>
        <w:t>CHAPTER 1</w:t>
      </w:r>
      <w:r>
        <w:br/>
      </w:r>
      <w:r>
        <w:rPr>
          <w:lang w:val="en-US"/>
        </w:rPr>
        <w:t>INTRODUCTION</w:t>
      </w:r>
      <w:bookmarkEnd w:id="13"/>
    </w:p>
    <w:p w14:paraId="416C1921" w14:textId="0423C3BF" w:rsidR="00EC52FB" w:rsidRPr="0096715F" w:rsidRDefault="00DB120C" w:rsidP="0066301C">
      <w:pPr>
        <w:pStyle w:val="Heading2"/>
        <w:spacing w:before="0" w:beforeAutospacing="0"/>
        <w:rPr>
          <w:rStyle w:val="Heading2Char"/>
          <w:b/>
          <w:bCs/>
        </w:rPr>
      </w:pPr>
      <w:bookmarkStart w:id="14" w:name="_Toc171075346"/>
      <w:bookmarkStart w:id="15" w:name="_Hlk162643079"/>
      <w:r w:rsidRPr="0096715F">
        <w:rPr>
          <w:rStyle w:val="Heading2Char"/>
          <w:b/>
          <w:bCs/>
        </w:rPr>
        <w:t>1.1</w:t>
      </w:r>
      <w:r w:rsidRPr="0096715F">
        <w:rPr>
          <w:rStyle w:val="Heading2Char"/>
          <w:b/>
          <w:bCs/>
        </w:rPr>
        <w:tab/>
      </w:r>
      <w:r w:rsidR="00EC52FB" w:rsidRPr="0096715F">
        <w:rPr>
          <w:rStyle w:val="Heading2Char"/>
          <w:b/>
          <w:bCs/>
        </w:rPr>
        <w:t>BACKGROUND</w:t>
      </w:r>
      <w:bookmarkEnd w:id="14"/>
    </w:p>
    <w:p w14:paraId="67161551" w14:textId="77777777" w:rsidR="004F5EB9" w:rsidRPr="0006460C" w:rsidRDefault="004F5EB9" w:rsidP="0066301C">
      <w:pPr>
        <w:spacing w:line="360" w:lineRule="auto"/>
        <w:jc w:val="both"/>
        <w:rPr>
          <w:rFonts w:ascii="Arial" w:hAnsi="Arial" w:cs="Arial"/>
        </w:rPr>
      </w:pPr>
      <w:bookmarkStart w:id="16" w:name="_Toc84713919"/>
      <w:r w:rsidRPr="0096715F">
        <w:rPr>
          <w:rFonts w:ascii="Arial" w:hAnsi="Arial" w:cs="Arial"/>
        </w:rPr>
        <w:t>As a vital relative price affecting the economy via numerous channels, the impact of changes in the real exchange rate on economic growth has been of growing attention in recent policy debates. The debate was renewed due to the series of economic crises (1994 Mexican Peso crisis, 1997 Southeast Asia financial crisis, 1998 Russia financial crisis, 1999 Brazil currency crisis, 1998 -2002 Argentina great depression), whereby unsustainable exchange-rate regimes were identified as the cause (Gluzmann </w:t>
      </w:r>
      <w:r w:rsidRPr="0096715F">
        <w:rPr>
          <w:rStyle w:val="Emphasis"/>
          <w:rFonts w:ascii="Arial" w:hAnsi="Arial" w:cs="Arial"/>
          <w:color w:val="0E101A"/>
        </w:rPr>
        <w:t>et al.</w:t>
      </w:r>
      <w:r w:rsidRPr="0096715F">
        <w:rPr>
          <w:rFonts w:ascii="Arial" w:hAnsi="Arial" w:cs="Arial"/>
        </w:rPr>
        <w:t>, 2012, Farrant and Peersman, 2006).</w:t>
      </w:r>
    </w:p>
    <w:bookmarkEnd w:id="15"/>
    <w:p w14:paraId="1284BD63" w14:textId="77777777" w:rsidR="004F5EB9" w:rsidRPr="00E760FF" w:rsidRDefault="004F5EB9" w:rsidP="0066301C">
      <w:pPr>
        <w:spacing w:line="360" w:lineRule="auto"/>
        <w:jc w:val="both"/>
        <w:rPr>
          <w:rFonts w:ascii="Arial" w:hAnsi="Arial" w:cs="Arial"/>
        </w:rPr>
      </w:pPr>
      <w:r w:rsidRPr="00E760FF">
        <w:rPr>
          <w:rFonts w:ascii="Arial" w:hAnsi="Arial" w:cs="Arial"/>
        </w:rPr>
        <w:t>Nations are constantly evaluating their competitiveness in the global market and seeking to empirically provide explanations on the fundamentals that drive their international competitiveness.</w:t>
      </w:r>
      <w:r w:rsidRPr="00E760FF">
        <w:rPr>
          <w:rStyle w:val="FootnoteReference"/>
          <w:rFonts w:ascii="Arial" w:hAnsi="Arial" w:cs="Arial"/>
          <w:color w:val="0E101A"/>
        </w:rPr>
        <w:footnoteReference w:id="2"/>
      </w:r>
      <w:r w:rsidRPr="00E760FF">
        <w:rPr>
          <w:rFonts w:ascii="Arial" w:hAnsi="Arial" w:cs="Arial"/>
        </w:rPr>
        <w:t> With competitiveness being the ability of a nation to attain sustained, inclusive growth under stable macroeconomic conditions, a nation's international competitiveness in the foreign trade pivots on its real exchange rate (RER) level. Over the years, policymakers and economists focused on fiscal policy and exchange rate policy. While the fiscal deficit's role is well understood, the opposite is the situation concerning the exchange rate policy. </w:t>
      </w:r>
    </w:p>
    <w:p w14:paraId="09622CF9" w14:textId="77777777" w:rsidR="004F5EB9" w:rsidRPr="00E760FF" w:rsidRDefault="004F5EB9" w:rsidP="0066301C">
      <w:pPr>
        <w:spacing w:line="360" w:lineRule="auto"/>
        <w:jc w:val="both"/>
        <w:rPr>
          <w:rFonts w:ascii="Arial" w:hAnsi="Arial" w:cs="Arial"/>
        </w:rPr>
      </w:pPr>
      <w:r w:rsidRPr="00E760FF">
        <w:rPr>
          <w:rFonts w:ascii="Arial" w:hAnsi="Arial" w:cs="Arial"/>
        </w:rPr>
        <w:t>Some of the reasons for the controversial nature of the exchange rate policy is that it comes in different manners: floating, fixed, managed, dirty floating, and dirty managed. Besides the floating exchange rate, the failure or success of a specific exchange rate policy is contingent not on the regime's nature but instead on the direction of the currency misalignment (Bhalla, 2008). Currency misalignment is the departure of the actual RER from its equilibrium value,</w:t>
      </w:r>
      <w:r w:rsidRPr="00E760FF">
        <w:rPr>
          <w:rStyle w:val="FootnoteReference"/>
          <w:rFonts w:ascii="Arial" w:hAnsi="Arial" w:cs="Arial"/>
          <w:color w:val="0E101A"/>
        </w:rPr>
        <w:footnoteReference w:id="3"/>
      </w:r>
      <w:r w:rsidRPr="00E760FF">
        <w:rPr>
          <w:rFonts w:ascii="Arial" w:hAnsi="Arial" w:cs="Arial"/>
        </w:rPr>
        <w:t> while when the currency revolves around the equilibrium value, it is said to be at equilibrium.</w:t>
      </w:r>
    </w:p>
    <w:p w14:paraId="1664142B" w14:textId="77777777" w:rsidR="004F5EB9" w:rsidRPr="00E760FF" w:rsidRDefault="004F5EB9" w:rsidP="0066301C">
      <w:pPr>
        <w:spacing w:line="360" w:lineRule="auto"/>
        <w:jc w:val="both"/>
        <w:rPr>
          <w:rFonts w:ascii="Arial" w:hAnsi="Arial" w:cs="Arial"/>
        </w:rPr>
      </w:pPr>
      <w:r w:rsidRPr="00E760FF">
        <w:rPr>
          <w:rFonts w:ascii="Arial" w:hAnsi="Arial" w:cs="Arial"/>
        </w:rPr>
        <w:t> The results of an overvalued exchange rate are well known. A persistently overvalued RER leads to factor misalignment, loss in efficiency, and loss of competitiveness, which hinders growth and slows convergence. Also, an overvalued RER exposes a currency to speculative attacks which could eventually lead to capital flight as was the case of the Southeast Asia 1997 crisis (Ngian, 2000; Goldstein, 1998).</w:t>
      </w:r>
      <w:r w:rsidRPr="00E760FF">
        <w:rPr>
          <w:rStyle w:val="FootnoteReference"/>
          <w:rFonts w:ascii="Arial" w:hAnsi="Arial" w:cs="Arial"/>
          <w:color w:val="0E101A"/>
        </w:rPr>
        <w:footnoteReference w:id="4"/>
      </w:r>
      <w:r w:rsidRPr="00E760FF">
        <w:rPr>
          <w:rFonts w:ascii="Arial" w:hAnsi="Arial" w:cs="Arial"/>
        </w:rPr>
        <w:t xml:space="preserve"> The above conclusion is unanimously accepted for the </w:t>
      </w:r>
      <w:r w:rsidRPr="00E760FF">
        <w:rPr>
          <w:rFonts w:ascii="Arial" w:hAnsi="Arial" w:cs="Arial"/>
        </w:rPr>
        <w:lastRenderedPageBreak/>
        <w:t>RER overvaluation, but the theoretical and analytical equivalent for its alternative – the RER undervaluation being helpful to economic growth – is not.</w:t>
      </w:r>
      <w:r w:rsidRPr="00E760FF">
        <w:rPr>
          <w:rStyle w:val="FootnoteReference"/>
          <w:rFonts w:ascii="Arial" w:hAnsi="Arial" w:cs="Arial"/>
          <w:color w:val="0E101A"/>
        </w:rPr>
        <w:footnoteReference w:id="5"/>
      </w:r>
      <w:r w:rsidRPr="00E760FF">
        <w:rPr>
          <w:rFonts w:ascii="Arial" w:hAnsi="Arial" w:cs="Arial"/>
        </w:rPr>
        <w:t> Besides, even if accepted in theory, in practice the discussion is involved with issues of its definition and measurement, which include:</w:t>
      </w:r>
    </w:p>
    <w:p w14:paraId="18666295" w14:textId="77777777" w:rsidR="004F5EB9" w:rsidRPr="00E760FF" w:rsidRDefault="004F5EB9" w:rsidP="0066301C">
      <w:pPr>
        <w:spacing w:line="360" w:lineRule="auto"/>
        <w:jc w:val="both"/>
        <w:rPr>
          <w:rFonts w:ascii="Arial" w:hAnsi="Arial" w:cs="Arial"/>
        </w:rPr>
      </w:pPr>
      <w:r w:rsidRPr="00E760FF">
        <w:rPr>
          <w:rFonts w:ascii="Arial" w:hAnsi="Arial" w:cs="Arial"/>
        </w:rPr>
        <w:t>How do we define the real exchange rate? How is it measured? Most importantly, how does one measure the equilibrium exchange rate? It is from the latter that the misalignment is measured. This has made the RER and misalignment among the most debated macroeconomic policies on national and international platforms (Hinkle and Montiel, 1999; Williamson, 1994). Some empirical results do not support the conclusion that an undervalued RER contributes to economic growth. Easterly (2005) review of the updated Dollar (1997) measure of currency devaluation concludes that RER devaluation was insignificant as a determinant of economic growth. Acemoglu </w:t>
      </w:r>
      <w:r w:rsidRPr="00E760FF">
        <w:rPr>
          <w:rStyle w:val="Emphasis"/>
          <w:rFonts w:ascii="Arial" w:hAnsi="Arial" w:cs="Arial"/>
          <w:color w:val="0E101A"/>
        </w:rPr>
        <w:t>et al.</w:t>
      </w:r>
      <w:r w:rsidRPr="00E760FF">
        <w:rPr>
          <w:rFonts w:ascii="Arial" w:hAnsi="Arial" w:cs="Arial"/>
        </w:rPr>
        <w:t> (2003) and the IMF (2005) also concluded that the outcome was even weaker when institutions were introduced in the growth model. Nevertheless, some evidence of a positive effect of RER devaluation has surfaced, with the East-Asian nations (China, Hong Kong, Indonesia, Japan, Malaysia, Singapore, South Korea, Thailand, and Taiwan) being perfect examples. It is believed that their "miraculous" growth between the periods 1965 to 1990 was due to the support of "smart"</w:t>
      </w:r>
      <w:r w:rsidRPr="00E760FF">
        <w:rPr>
          <w:rStyle w:val="FootnoteReference"/>
          <w:rFonts w:ascii="Arial" w:hAnsi="Arial" w:cs="Arial"/>
          <w:color w:val="0E101A"/>
        </w:rPr>
        <w:footnoteReference w:id="6"/>
      </w:r>
      <w:r w:rsidRPr="00E760FF">
        <w:rPr>
          <w:rFonts w:ascii="Arial" w:hAnsi="Arial" w:cs="Arial"/>
        </w:rPr>
        <w:t> in their export-led growth strategy, alongside their manipulation of the exchange rate (Razmi </w:t>
      </w:r>
      <w:r w:rsidRPr="00E760FF">
        <w:rPr>
          <w:rStyle w:val="Emphasis"/>
          <w:rFonts w:ascii="Arial" w:hAnsi="Arial" w:cs="Arial"/>
          <w:color w:val="0E101A"/>
        </w:rPr>
        <w:t>et al</w:t>
      </w:r>
      <w:r w:rsidRPr="00E760FF">
        <w:rPr>
          <w:rFonts w:ascii="Arial" w:hAnsi="Arial" w:cs="Arial"/>
        </w:rPr>
        <w:t>., 2012; Rodrik, 2008; World Bank, 1993).</w:t>
      </w:r>
    </w:p>
    <w:p w14:paraId="2AE0A102" w14:textId="77777777" w:rsidR="004F5EB9" w:rsidRPr="00E760FF" w:rsidRDefault="004F5EB9" w:rsidP="0066301C">
      <w:pPr>
        <w:spacing w:line="360" w:lineRule="auto"/>
        <w:jc w:val="both"/>
        <w:rPr>
          <w:rFonts w:ascii="Arial" w:hAnsi="Arial" w:cs="Arial"/>
        </w:rPr>
      </w:pPr>
      <w:bookmarkStart w:id="17" w:name="_Hlk170823044"/>
      <w:r w:rsidRPr="00E760FF">
        <w:rPr>
          <w:rFonts w:ascii="Arial" w:hAnsi="Arial" w:cs="Arial"/>
        </w:rPr>
        <w:t xml:space="preserve">The 'Washington Consensus' by Williamson (1994) acknowledges the vital role of RER in the growth process. The Washington consensus refers to a set of broadly free market economic ideas supported by prominent economists and international organisations like the World Bank, the International Monetary Fund (IMF), and the European Union (EU), which advocates free trade, free market, and macroeconomic stability through ten principles stated by John </w:t>
      </w:r>
      <w:r w:rsidRPr="00E760FF">
        <w:rPr>
          <w:rFonts w:ascii="Arial" w:hAnsi="Arial" w:cs="Arial"/>
        </w:rPr>
        <w:lastRenderedPageBreak/>
        <w:t>Williamson in 1989.</w:t>
      </w:r>
      <w:r w:rsidRPr="00E760FF">
        <w:rPr>
          <w:rStyle w:val="FootnoteReference"/>
          <w:rFonts w:ascii="Arial" w:hAnsi="Arial" w:cs="Arial"/>
          <w:color w:val="0E101A"/>
        </w:rPr>
        <w:footnoteReference w:id="7"/>
      </w:r>
      <w:r w:rsidRPr="00E760FF">
        <w:rPr>
          <w:rFonts w:ascii="Arial" w:hAnsi="Arial" w:cs="Arial"/>
        </w:rPr>
        <w:t> According to it, an appropriate real exchange rate should be consistent with macroeconomic objectives (price stability, full employment, economy growth, balance of payment equilibrium, and social welfare) in the medium run and "sufﬁciently competitive" such that exports grow at a rate consistent with external balance.</w:t>
      </w:r>
      <w:r w:rsidRPr="00E760FF">
        <w:rPr>
          <w:rStyle w:val="FootnoteReference"/>
          <w:rFonts w:ascii="Arial" w:hAnsi="Arial" w:cs="Arial"/>
          <w:color w:val="0E101A"/>
        </w:rPr>
        <w:footnoteReference w:id="8"/>
      </w:r>
      <w:r w:rsidRPr="00E760FF">
        <w:rPr>
          <w:rFonts w:ascii="Arial" w:hAnsi="Arial" w:cs="Arial"/>
        </w:rPr>
        <w:t xml:space="preserve"> </w:t>
      </w:r>
    </w:p>
    <w:p w14:paraId="068D8A05" w14:textId="77777777" w:rsidR="004F5EB9" w:rsidRPr="004F5EB9" w:rsidRDefault="004F5EB9" w:rsidP="0066301C">
      <w:pPr>
        <w:spacing w:line="360" w:lineRule="auto"/>
        <w:jc w:val="both"/>
        <w:rPr>
          <w:rFonts w:ascii="Arial" w:hAnsi="Arial" w:cs="Arial"/>
        </w:rPr>
      </w:pPr>
      <w:bookmarkStart w:id="18" w:name="_Hlk162793910"/>
      <w:r w:rsidRPr="004F5EB9">
        <w:rPr>
          <w:rFonts w:ascii="Arial" w:hAnsi="Arial" w:cs="Arial"/>
        </w:rPr>
        <w:t>Contrary to the 'Washington Consensus' is the view that Rodrik (2008) championed, RER undervaluation promotes economic growth, and overvaluation harms it. This stance is in part due to the point of view that exchange-rate – precisely an undervalued currency could be used in protecting home-based infant industries and the competitiveness of their exports (Nouira and Sekkat, 2015; Grekou, 2015; Levy-Yeyati </w:t>
      </w:r>
      <w:r w:rsidRPr="004F5EB9">
        <w:rPr>
          <w:rStyle w:val="Emphasis"/>
          <w:rFonts w:ascii="Arial" w:hAnsi="Arial" w:cs="Arial"/>
          <w:color w:val="0E101A"/>
        </w:rPr>
        <w:t>et al.,</w:t>
      </w:r>
      <w:r w:rsidRPr="004F5EB9">
        <w:rPr>
          <w:rFonts w:ascii="Arial" w:hAnsi="Arial" w:cs="Arial"/>
        </w:rPr>
        <w:t> 2013; Rodrik, 2008). This perspective was recently rekindled due to the success story of the export-led growth in conjunction with apparently undervalued currency in East-Asian nations (Grekou, 2015; Rodrik, 2008; Levy-Yeyati and Sturzenegger, 2007).</w:t>
      </w:r>
      <w:r w:rsidRPr="004F5EB9">
        <w:rPr>
          <w:rStyle w:val="FootnoteReference"/>
          <w:rFonts w:ascii="Arial" w:hAnsi="Arial" w:cs="Arial"/>
          <w:color w:val="0E101A"/>
        </w:rPr>
        <w:footnoteReference w:id="9"/>
      </w:r>
      <w:r w:rsidRPr="004F5EB9">
        <w:rPr>
          <w:rFonts w:ascii="Arial" w:hAnsi="Arial" w:cs="Arial"/>
        </w:rPr>
        <w:t> Finally, Rodrik (2008) says that due to institutional weakness and market failure,</w:t>
      </w:r>
      <w:r w:rsidRPr="004F5EB9">
        <w:rPr>
          <w:rStyle w:val="FootnoteReference"/>
          <w:rFonts w:ascii="Arial" w:hAnsi="Arial" w:cs="Arial"/>
          <w:color w:val="0E101A"/>
        </w:rPr>
        <w:footnoteReference w:id="10"/>
      </w:r>
      <w:r w:rsidRPr="004F5EB9">
        <w:rPr>
          <w:rFonts w:ascii="Arial" w:hAnsi="Arial" w:cs="Arial"/>
        </w:rPr>
        <w:t xml:space="preserve"> the manufacturing sector in developing nations is unduly subject to distortions. As such, it is below its optimal size in equilibrium. Because removing those distortions appears difficult, an undervalued RER serves as a 'more practical' second-best option for optimally re-allocating resources towards the manufacturing sector (Rodrik, 2008). </w:t>
      </w:r>
    </w:p>
    <w:bookmarkEnd w:id="18"/>
    <w:p w14:paraId="7EF48F72" w14:textId="77777777" w:rsidR="004F5EB9" w:rsidRPr="001C01BB" w:rsidRDefault="004F5EB9" w:rsidP="0066301C">
      <w:pPr>
        <w:spacing w:line="360" w:lineRule="auto"/>
        <w:jc w:val="both"/>
      </w:pPr>
      <w:r w:rsidRPr="004F5EB9">
        <w:rPr>
          <w:rFonts w:ascii="Arial" w:hAnsi="Arial" w:cs="Arial"/>
        </w:rPr>
        <w:t>Frankel (1999) said: </w:t>
      </w:r>
      <w:r w:rsidRPr="004F5EB9">
        <w:rPr>
          <w:rStyle w:val="Emphasis"/>
          <w:rFonts w:ascii="Arial" w:hAnsi="Arial" w:cs="Arial"/>
          <w:color w:val="0E101A"/>
        </w:rPr>
        <w:t>"No single currency regime is right for all countries or at all times."</w:t>
      </w:r>
      <w:r w:rsidRPr="004F5EB9">
        <w:rPr>
          <w:rFonts w:ascii="Arial" w:hAnsi="Arial" w:cs="Arial"/>
        </w:rPr>
        <w:t xml:space="preserve"> This expresses the complexity of the exchange rate policy. Though the International Monetary System has advocated a generalization of flexibility since 1971 following the collapse of the Bretton Woods system (with the idea that the exchange rate as the basic price of the economy –alongside the interest rate and wages– must necessarily be flexible </w:t>
      </w:r>
      <w:bookmarkEnd w:id="17"/>
      <w:r w:rsidRPr="004F5EB9">
        <w:rPr>
          <w:rFonts w:ascii="Arial" w:hAnsi="Arial" w:cs="Arial"/>
        </w:rPr>
        <w:t xml:space="preserve">so that, market </w:t>
      </w:r>
      <w:r w:rsidRPr="004F5EB9">
        <w:rPr>
          <w:rFonts w:ascii="Arial" w:hAnsi="Arial" w:cs="Arial"/>
        </w:rPr>
        <w:lastRenderedPageBreak/>
        <w:t xml:space="preserve">adjustments lead to internal and external balances). Yet, the fixed exchange rate regime subsists in the currency areas (Zobo, 2014). After the collapse of the Bretton Woods exchange rate (or fixed exchange rate) system in 1973, and with </w:t>
      </w:r>
      <w:r w:rsidRPr="00045B38">
        <w:rPr>
          <w:rFonts w:ascii="Arial" w:hAnsi="Arial" w:cs="Arial"/>
        </w:rPr>
        <w:t>globalisation and new technology, most nations moved from a fixed exchange rate system to a floating one. With the adoption of the floating exchange-rate system, both the market forces of demand and supply for their currency determine the exchange rate of the countries practicing the system.</w:t>
      </w:r>
      <w:r w:rsidRPr="001C01BB">
        <w:t> </w:t>
      </w:r>
    </w:p>
    <w:p w14:paraId="072FFA02" w14:textId="77777777" w:rsidR="004F5EB9" w:rsidRPr="001C01BB" w:rsidRDefault="004F5EB9" w:rsidP="0066301C">
      <w:pPr>
        <w:spacing w:line="360" w:lineRule="auto"/>
        <w:jc w:val="both"/>
        <w:rPr>
          <w:rFonts w:ascii="Arial" w:hAnsi="Arial" w:cs="Arial"/>
        </w:rPr>
      </w:pPr>
      <w:r w:rsidRPr="001C01BB">
        <w:rPr>
          <w:rFonts w:ascii="Arial" w:hAnsi="Arial" w:cs="Arial"/>
        </w:rPr>
        <w:t>On the other hand, for countries still practicing fixed exchange-rate regimes, their monetary policy and the management of all matters related to the banking system are assigned to their Central Bank (Zobo, 2014; Adom, 2012). Despite the shift from fixed to floating exchange rates, some nations still maintained the fixed exchange rate regime. Examples of such nations are Bahrain, Bosnia and Herzegovina, Cuba, Eritrea, Hong Kong, Jordan, Lebanon, Lesotho, Nepal, Oman, Panama, Qatar, Saudi Arabia, Swaziland, United Arab Emirates, Venezuela, some French-speaking Sub-Sahara Africa nations (CEMAC, and UEMOA zones), still maintained the fixed exchange rate regime (Shalifay, 2013). </w:t>
      </w:r>
    </w:p>
    <w:p w14:paraId="75274E3F" w14:textId="4A617C38" w:rsidR="004F5EB9" w:rsidRPr="004F5EB9" w:rsidRDefault="004F5EB9" w:rsidP="0066301C">
      <w:pPr>
        <w:spacing w:line="360" w:lineRule="auto"/>
        <w:jc w:val="both"/>
        <w:rPr>
          <w:rFonts w:ascii="Arial" w:hAnsi="Arial" w:cs="Arial"/>
        </w:rPr>
      </w:pPr>
      <w:r w:rsidRPr="004F5EB9">
        <w:rPr>
          <w:rFonts w:ascii="Arial" w:hAnsi="Arial" w:cs="Arial"/>
        </w:rPr>
        <w:t>In this thesis, we will focus on the CEMAC zone nations, investigating whether the currency is at equilibrium. The behavioural equilibrium exchange rate (BEER) approach by Clark and MacDonald (1998) is used to track the currency trend throughout the period and assert the state of the currency in each of the CEMAC nations as of the year 2018. This approach helps us see the state of the currency prior to the devaluation and if the currency was overvalued. We will check if CFA franc devaluation improves the trade balance of the CEMAC nations by investigating the presence of the </w:t>
      </w:r>
      <w:r w:rsidRPr="004F5EB9">
        <w:rPr>
          <w:rStyle w:val="Emphasis"/>
          <w:rFonts w:ascii="Arial" w:hAnsi="Arial" w:cs="Arial"/>
          <w:color w:val="0E101A"/>
        </w:rPr>
        <w:t>J-</w:t>
      </w:r>
      <w:r w:rsidRPr="004F5EB9">
        <w:rPr>
          <w:rFonts w:ascii="Arial" w:hAnsi="Arial" w:cs="Arial"/>
        </w:rPr>
        <w:t>curve in their trade balance. The aggregate bilateral trade data approach by Rose and Yellen (1989) is used to investigate the presence of the </w:t>
      </w:r>
      <w:r w:rsidRPr="004F5EB9">
        <w:rPr>
          <w:rStyle w:val="Emphasis"/>
          <w:rFonts w:ascii="Arial" w:hAnsi="Arial" w:cs="Arial"/>
          <w:color w:val="0E101A"/>
        </w:rPr>
        <w:t>J-</w:t>
      </w:r>
      <w:r w:rsidRPr="004F5EB9">
        <w:rPr>
          <w:rFonts w:ascii="Arial" w:hAnsi="Arial" w:cs="Arial"/>
        </w:rPr>
        <w:t xml:space="preserve">curve in the trade balance relationship between each of the three CEMAC nations and their </w:t>
      </w:r>
      <w:r w:rsidR="008651B8">
        <w:rPr>
          <w:rFonts w:ascii="Arial" w:hAnsi="Arial" w:cs="Arial"/>
        </w:rPr>
        <w:t xml:space="preserve">individual </w:t>
      </w:r>
      <w:r w:rsidRPr="004F5EB9">
        <w:rPr>
          <w:rFonts w:ascii="Arial" w:hAnsi="Arial" w:cs="Arial"/>
        </w:rPr>
        <w:t>main trade partners. To have a</w:t>
      </w:r>
      <w:r w:rsidR="001669DF">
        <w:rPr>
          <w:rFonts w:ascii="Arial" w:hAnsi="Arial" w:cs="Arial"/>
        </w:rPr>
        <w:t>n</w:t>
      </w:r>
      <w:r w:rsidRPr="004F5EB9">
        <w:rPr>
          <w:rFonts w:ascii="Arial" w:hAnsi="Arial" w:cs="Arial"/>
        </w:rPr>
        <w:t xml:space="preserve"> </w:t>
      </w:r>
      <w:r w:rsidR="001669DF">
        <w:rPr>
          <w:rFonts w:ascii="Arial" w:hAnsi="Arial" w:cs="Arial"/>
        </w:rPr>
        <w:t>over</w:t>
      </w:r>
      <w:r w:rsidRPr="004F5EB9">
        <w:rPr>
          <w:rFonts w:ascii="Arial" w:hAnsi="Arial" w:cs="Arial"/>
        </w:rPr>
        <w:t xml:space="preserve">view of the impact of CFA franc devaluation on the nation's trade balance, </w:t>
      </w:r>
      <w:r w:rsidR="001669DF">
        <w:rPr>
          <w:rFonts w:ascii="Arial" w:hAnsi="Arial" w:cs="Arial"/>
        </w:rPr>
        <w:t xml:space="preserve">we will use </w:t>
      </w:r>
      <w:r w:rsidRPr="004F5EB9">
        <w:rPr>
          <w:rFonts w:ascii="Arial" w:hAnsi="Arial" w:cs="Arial"/>
        </w:rPr>
        <w:t>the aggregate trade data approach by Magee (1973). The presence of the </w:t>
      </w:r>
      <w:r w:rsidRPr="004F5EB9">
        <w:rPr>
          <w:rStyle w:val="Emphasis"/>
          <w:rFonts w:ascii="Arial" w:hAnsi="Arial" w:cs="Arial"/>
          <w:color w:val="0E101A"/>
        </w:rPr>
        <w:t>J-</w:t>
      </w:r>
      <w:r w:rsidRPr="004F5EB9">
        <w:rPr>
          <w:rFonts w:ascii="Arial" w:hAnsi="Arial" w:cs="Arial"/>
        </w:rPr>
        <w:t xml:space="preserve">curve means that the CFA franc devaluation </w:t>
      </w:r>
      <w:r w:rsidR="001669DF">
        <w:rPr>
          <w:rFonts w:ascii="Arial" w:hAnsi="Arial" w:cs="Arial"/>
        </w:rPr>
        <w:t xml:space="preserve">worsen </w:t>
      </w:r>
      <w:r w:rsidRPr="004F5EB9">
        <w:rPr>
          <w:rFonts w:ascii="Arial" w:hAnsi="Arial" w:cs="Arial"/>
        </w:rPr>
        <w:t xml:space="preserve">the CEMAC nations' trade balance in the </w:t>
      </w:r>
      <w:r w:rsidR="001669DF">
        <w:rPr>
          <w:rFonts w:ascii="Arial" w:hAnsi="Arial" w:cs="Arial"/>
        </w:rPr>
        <w:t xml:space="preserve">short run and </w:t>
      </w:r>
      <w:r w:rsidR="001669DF" w:rsidRPr="004F5EB9">
        <w:rPr>
          <w:rFonts w:ascii="Arial" w:hAnsi="Arial" w:cs="Arial"/>
        </w:rPr>
        <w:t xml:space="preserve">improves </w:t>
      </w:r>
      <w:r w:rsidR="001669DF">
        <w:rPr>
          <w:rFonts w:ascii="Arial" w:hAnsi="Arial" w:cs="Arial"/>
        </w:rPr>
        <w:t xml:space="preserve">it in the </w:t>
      </w:r>
      <w:r w:rsidRPr="004F5EB9">
        <w:rPr>
          <w:rFonts w:ascii="Arial" w:hAnsi="Arial" w:cs="Arial"/>
        </w:rPr>
        <w:t>long run</w:t>
      </w:r>
      <w:r w:rsidRPr="004F5EB9">
        <w:rPr>
          <w:rStyle w:val="Emphasis"/>
          <w:rFonts w:ascii="Arial" w:hAnsi="Arial" w:cs="Arial"/>
          <w:color w:val="0E101A"/>
        </w:rPr>
        <w:t> ceteris paribus</w:t>
      </w:r>
      <w:r w:rsidRPr="004F5EB9">
        <w:rPr>
          <w:rFonts w:ascii="Arial" w:hAnsi="Arial" w:cs="Arial"/>
        </w:rPr>
        <w:t>. The presence of the </w:t>
      </w:r>
      <w:r w:rsidRPr="004F5EB9">
        <w:rPr>
          <w:rStyle w:val="Emphasis"/>
          <w:rFonts w:ascii="Arial" w:hAnsi="Arial" w:cs="Arial"/>
          <w:color w:val="0E101A"/>
        </w:rPr>
        <w:t>J-</w:t>
      </w:r>
      <w:r w:rsidRPr="004F5EB9">
        <w:rPr>
          <w:rFonts w:ascii="Arial" w:hAnsi="Arial" w:cs="Arial"/>
        </w:rPr>
        <w:t xml:space="preserve">curve is achieved when the coefficient of </w:t>
      </w:r>
      <w:r w:rsidR="00272E76">
        <w:rPr>
          <w:rFonts w:ascii="Arial" w:hAnsi="Arial" w:cs="Arial"/>
        </w:rPr>
        <w:t>real effective exchange rate (</w:t>
      </w:r>
      <w:r w:rsidRPr="004F5EB9">
        <w:rPr>
          <w:rFonts w:ascii="Arial" w:hAnsi="Arial" w:cs="Arial"/>
        </w:rPr>
        <w:t>RE</w:t>
      </w:r>
      <w:r w:rsidR="008651B8">
        <w:rPr>
          <w:rFonts w:ascii="Arial" w:hAnsi="Arial" w:cs="Arial"/>
        </w:rPr>
        <w:t>E</w:t>
      </w:r>
      <w:r w:rsidRPr="004F5EB9">
        <w:rPr>
          <w:rFonts w:ascii="Arial" w:hAnsi="Arial" w:cs="Arial"/>
        </w:rPr>
        <w:t>R</w:t>
      </w:r>
      <w:r w:rsidR="00272E76">
        <w:rPr>
          <w:rFonts w:ascii="Arial" w:hAnsi="Arial" w:cs="Arial"/>
        </w:rPr>
        <w:t>)</w:t>
      </w:r>
      <w:r w:rsidR="00272E76">
        <w:rPr>
          <w:rStyle w:val="FootnoteReference"/>
          <w:rFonts w:ascii="Arial" w:hAnsi="Arial" w:cs="Arial"/>
        </w:rPr>
        <w:footnoteReference w:id="11"/>
      </w:r>
      <w:r w:rsidRPr="004F5EB9">
        <w:rPr>
          <w:rFonts w:ascii="Arial" w:hAnsi="Arial" w:cs="Arial"/>
        </w:rPr>
        <w:t xml:space="preserve"> is </w:t>
      </w:r>
      <w:r w:rsidR="001669DF" w:rsidRPr="004F5EB9">
        <w:rPr>
          <w:rFonts w:ascii="Arial" w:hAnsi="Arial" w:cs="Arial"/>
        </w:rPr>
        <w:t>negative and statistically significant (i.e., the </w:t>
      </w:r>
      <w:r w:rsidR="001669DF" w:rsidRPr="004F5EB9">
        <w:rPr>
          <w:rStyle w:val="Emphasis"/>
          <w:rFonts w:ascii="Arial" w:hAnsi="Arial" w:cs="Arial"/>
          <w:color w:val="0E101A"/>
        </w:rPr>
        <w:t>t-</w:t>
      </w:r>
      <w:r w:rsidR="001669DF" w:rsidRPr="004F5EB9">
        <w:rPr>
          <w:rFonts w:ascii="Arial" w:hAnsi="Arial" w:cs="Arial"/>
        </w:rPr>
        <w:t>statistics ≥ |2|)</w:t>
      </w:r>
      <w:r w:rsidR="001669DF" w:rsidRPr="001669DF">
        <w:rPr>
          <w:rFonts w:ascii="Arial" w:hAnsi="Arial" w:cs="Arial"/>
        </w:rPr>
        <w:t xml:space="preserve"> </w:t>
      </w:r>
      <w:r w:rsidR="001669DF">
        <w:rPr>
          <w:rFonts w:ascii="Arial" w:hAnsi="Arial" w:cs="Arial"/>
        </w:rPr>
        <w:t xml:space="preserve">in </w:t>
      </w:r>
      <w:r w:rsidR="001669DF" w:rsidRPr="004F5EB9">
        <w:rPr>
          <w:rFonts w:ascii="Arial" w:hAnsi="Arial" w:cs="Arial"/>
        </w:rPr>
        <w:t>the short-run</w:t>
      </w:r>
      <w:r w:rsidR="001669DF">
        <w:rPr>
          <w:rFonts w:ascii="Arial" w:hAnsi="Arial" w:cs="Arial"/>
        </w:rPr>
        <w:t xml:space="preserve">, while </w:t>
      </w:r>
      <w:r w:rsidRPr="004F5EB9">
        <w:rPr>
          <w:rFonts w:ascii="Arial" w:hAnsi="Arial" w:cs="Arial"/>
        </w:rPr>
        <w:t>positive and statistically significant (i.e., the </w:t>
      </w:r>
      <w:r w:rsidRPr="004F5EB9">
        <w:rPr>
          <w:rStyle w:val="Emphasis"/>
          <w:rFonts w:ascii="Arial" w:hAnsi="Arial" w:cs="Arial"/>
          <w:color w:val="0E101A"/>
        </w:rPr>
        <w:t>t-</w:t>
      </w:r>
      <w:r w:rsidRPr="004F5EB9">
        <w:rPr>
          <w:rFonts w:ascii="Arial" w:hAnsi="Arial" w:cs="Arial"/>
        </w:rPr>
        <w:t xml:space="preserve">statistics ≥ |2|) in the long run. Among other things, one of the main aims of the CFA franc devaluation was to improve the region's economic growth. As such, we investigate the relationship between the CFA franc and the CEMAC region's economic growth using the panel autoregressive distributed lag (ARDL) model. The annual data used in this </w:t>
      </w:r>
      <w:r w:rsidRPr="004F5EB9">
        <w:rPr>
          <w:rFonts w:ascii="Arial" w:hAnsi="Arial" w:cs="Arial"/>
        </w:rPr>
        <w:lastRenderedPageBreak/>
        <w:t>research are secondary and are within the period 1980 to 2018, covering the period before and after the devaluation.</w:t>
      </w:r>
    </w:p>
    <w:p w14:paraId="7FF1BF25" w14:textId="2968BD4B" w:rsidR="004F5EB9" w:rsidRDefault="004F5EB9" w:rsidP="0066301C">
      <w:pPr>
        <w:spacing w:line="360" w:lineRule="auto"/>
        <w:jc w:val="both"/>
        <w:rPr>
          <w:rFonts w:ascii="Arial" w:hAnsi="Arial" w:cs="Arial"/>
        </w:rPr>
      </w:pPr>
      <w:r w:rsidRPr="004F5EB9">
        <w:rPr>
          <w:rFonts w:ascii="Arial" w:hAnsi="Arial" w:cs="Arial"/>
        </w:rPr>
        <w:t xml:space="preserve">The rest of the chapter is as follows: </w:t>
      </w:r>
      <w:r w:rsidR="00BC7A57">
        <w:rPr>
          <w:rFonts w:ascii="Arial" w:hAnsi="Arial" w:cs="Arial"/>
        </w:rPr>
        <w:t>section 1.2 deals with the Real Effective Exchange Rate</w:t>
      </w:r>
      <w:r w:rsidR="006D73F1">
        <w:rPr>
          <w:rFonts w:ascii="Arial" w:hAnsi="Arial" w:cs="Arial"/>
        </w:rPr>
        <w:t xml:space="preserve"> and economic growth, </w:t>
      </w:r>
      <w:r w:rsidRPr="004F5EB9">
        <w:rPr>
          <w:rFonts w:ascii="Arial" w:hAnsi="Arial" w:cs="Arial"/>
        </w:rPr>
        <w:t>section 1.</w:t>
      </w:r>
      <w:r w:rsidR="006D73F1">
        <w:rPr>
          <w:rFonts w:ascii="Arial" w:hAnsi="Arial" w:cs="Arial"/>
        </w:rPr>
        <w:t>3</w:t>
      </w:r>
      <w:r w:rsidRPr="004F5EB9">
        <w:rPr>
          <w:rFonts w:ascii="Arial" w:hAnsi="Arial" w:cs="Arial"/>
        </w:rPr>
        <w:t xml:space="preserve"> deals with the background o</w:t>
      </w:r>
      <w:r w:rsidR="006D73F1">
        <w:rPr>
          <w:rFonts w:ascii="Arial" w:hAnsi="Arial" w:cs="Arial"/>
        </w:rPr>
        <w:t>n</w:t>
      </w:r>
      <w:r w:rsidRPr="004F5EB9">
        <w:rPr>
          <w:rFonts w:ascii="Arial" w:hAnsi="Arial" w:cs="Arial"/>
        </w:rPr>
        <w:t xml:space="preserve"> CFA Franc</w:t>
      </w:r>
      <w:r w:rsidR="006D73F1">
        <w:rPr>
          <w:rFonts w:ascii="Arial" w:hAnsi="Arial" w:cs="Arial"/>
        </w:rPr>
        <w:t xml:space="preserve">, </w:t>
      </w:r>
      <w:r w:rsidRPr="004F5EB9">
        <w:rPr>
          <w:rFonts w:ascii="Arial" w:hAnsi="Arial" w:cs="Arial"/>
        </w:rPr>
        <w:t>section 1.</w:t>
      </w:r>
      <w:r w:rsidR="006D73F1">
        <w:rPr>
          <w:rFonts w:ascii="Arial" w:hAnsi="Arial" w:cs="Arial"/>
        </w:rPr>
        <w:t>4</w:t>
      </w:r>
      <w:r w:rsidRPr="004F5EB9">
        <w:rPr>
          <w:rFonts w:ascii="Arial" w:hAnsi="Arial" w:cs="Arial"/>
        </w:rPr>
        <w:t xml:space="preserve"> deals with exchange rate and its channel of economic growth</w:t>
      </w:r>
      <w:r w:rsidR="006D73F1">
        <w:rPr>
          <w:rFonts w:ascii="Arial" w:hAnsi="Arial" w:cs="Arial"/>
        </w:rPr>
        <w:t xml:space="preserve"> in CEMAC zone</w:t>
      </w:r>
      <w:r w:rsidRPr="004F5EB9">
        <w:rPr>
          <w:rFonts w:ascii="Arial" w:hAnsi="Arial" w:cs="Arial"/>
        </w:rPr>
        <w:t>, section 1.</w:t>
      </w:r>
      <w:r w:rsidR="006D73F1">
        <w:rPr>
          <w:rFonts w:ascii="Arial" w:hAnsi="Arial" w:cs="Arial"/>
        </w:rPr>
        <w:t>5</w:t>
      </w:r>
      <w:r w:rsidRPr="004F5EB9">
        <w:rPr>
          <w:rFonts w:ascii="Arial" w:hAnsi="Arial" w:cs="Arial"/>
        </w:rPr>
        <w:t xml:space="preserve"> deals with objectives and research questions, while section 1.</w:t>
      </w:r>
      <w:r w:rsidR="006D73F1">
        <w:rPr>
          <w:rFonts w:ascii="Arial" w:hAnsi="Arial" w:cs="Arial"/>
        </w:rPr>
        <w:t>6</w:t>
      </w:r>
      <w:r w:rsidRPr="004F5EB9">
        <w:rPr>
          <w:rFonts w:ascii="Arial" w:hAnsi="Arial" w:cs="Arial"/>
        </w:rPr>
        <w:t xml:space="preserve"> deals with the structure of the thesis.  </w:t>
      </w:r>
    </w:p>
    <w:p w14:paraId="525389AB" w14:textId="728FE221" w:rsidR="00A059C6" w:rsidRPr="008204CC" w:rsidRDefault="00A059C6" w:rsidP="0066301C">
      <w:pPr>
        <w:pStyle w:val="Heading2"/>
        <w:spacing w:before="0" w:beforeAutospacing="0"/>
      </w:pPr>
      <w:bookmarkStart w:id="19" w:name="_Toc171075347"/>
      <w:r>
        <w:t>1.2</w:t>
      </w:r>
      <w:r>
        <w:tab/>
        <w:t>REAL EFFECTIVE EXCHANGE RATE AND ECONOMIC GROWTH</w:t>
      </w:r>
      <w:bookmarkEnd w:id="19"/>
    </w:p>
    <w:p w14:paraId="38261381" w14:textId="2186E593" w:rsidR="00036ED7" w:rsidRDefault="00036ED7" w:rsidP="0066301C">
      <w:pPr>
        <w:widowControl w:val="0"/>
        <w:autoSpaceDE w:val="0"/>
        <w:autoSpaceDN w:val="0"/>
        <w:adjustRightInd w:val="0"/>
        <w:spacing w:after="240" w:line="360" w:lineRule="auto"/>
        <w:jc w:val="both"/>
        <w:rPr>
          <w:rFonts w:ascii="Arial" w:eastAsia="Times New Roman" w:hAnsi="Arial" w:cs="Arial"/>
          <w:color w:val="000000"/>
        </w:rPr>
      </w:pPr>
      <w:bookmarkStart w:id="20" w:name="_Hlk170211920"/>
      <w:r w:rsidRPr="008204CC">
        <w:rPr>
          <w:rFonts w:ascii="Arial" w:eastAsia="Times New Roman" w:hAnsi="Arial" w:cs="Arial"/>
          <w:lang w:eastAsia="en-GB"/>
        </w:rPr>
        <w:t xml:space="preserve">Nations are constantly evaluating their competitiveness in the global market and seeking empirical explanations on the fundamentals that drives their international competitiveness. This is important for </w:t>
      </w:r>
      <w:r>
        <w:rPr>
          <w:rFonts w:ascii="Arial" w:eastAsia="Times New Roman" w:hAnsi="Arial" w:cs="Arial"/>
          <w:lang w:eastAsia="en-GB"/>
        </w:rPr>
        <w:t>developing</w:t>
      </w:r>
      <w:r w:rsidRPr="008204CC">
        <w:rPr>
          <w:rFonts w:ascii="Arial" w:eastAsia="Times New Roman" w:hAnsi="Arial" w:cs="Arial"/>
          <w:lang w:eastAsia="en-GB"/>
        </w:rPr>
        <w:t xml:space="preserve"> nations, most of whom are small open economies striving to offer their citizens with the opportunities of ameliorating their quality and standard of living via employment and productivity gains (Ramirez and Tsangarides, 2007). </w:t>
      </w:r>
      <w:r w:rsidRPr="008204CC">
        <w:rPr>
          <w:rFonts w:ascii="Arial" w:hAnsi="Arial" w:cs="Arial"/>
        </w:rPr>
        <w:t xml:space="preserve">The general macroeconomic objectives of every government are to maintain economic growth, full </w:t>
      </w:r>
      <w:r>
        <w:rPr>
          <w:rFonts w:ascii="Arial" w:hAnsi="Arial" w:cs="Arial"/>
        </w:rPr>
        <w:t>employment, price stability,</w:t>
      </w:r>
      <w:r w:rsidRPr="008204CC">
        <w:rPr>
          <w:rFonts w:ascii="Arial" w:hAnsi="Arial" w:cs="Arial"/>
        </w:rPr>
        <w:t xml:space="preserve"> balance of payment equilibrium (internal and external balance)</w:t>
      </w:r>
      <w:r>
        <w:rPr>
          <w:rFonts w:ascii="Arial" w:hAnsi="Arial" w:cs="Arial"/>
        </w:rPr>
        <w:t>, and good standard of living</w:t>
      </w:r>
      <w:r w:rsidRPr="008204CC">
        <w:rPr>
          <w:rFonts w:ascii="Arial" w:hAnsi="Arial" w:cs="Arial"/>
        </w:rPr>
        <w:t>.</w:t>
      </w:r>
      <w:r w:rsidRPr="008204CC">
        <w:rPr>
          <w:rFonts w:ascii="Arial" w:hAnsi="Arial" w:cs="Arial"/>
          <w:vertAlign w:val="superscript"/>
        </w:rPr>
        <w:footnoteReference w:id="12"/>
      </w:r>
      <w:r w:rsidRPr="008204CC">
        <w:rPr>
          <w:rFonts w:ascii="Arial" w:hAnsi="Arial" w:cs="Arial"/>
        </w:rPr>
        <w:t xml:space="preserve"> </w:t>
      </w:r>
    </w:p>
    <w:p w14:paraId="6822D1B4" w14:textId="397A1F8A" w:rsidR="00036ED7" w:rsidRDefault="00036ED7" w:rsidP="0066301C">
      <w:pPr>
        <w:spacing w:line="360" w:lineRule="auto"/>
        <w:jc w:val="both"/>
        <w:rPr>
          <w:rFonts w:ascii="Arial" w:hAnsi="Arial" w:cs="Arial"/>
          <w:lang w:val="en-US" w:eastAsia="en-GB"/>
        </w:rPr>
      </w:pPr>
      <w:bookmarkStart w:id="21" w:name="_Hlk170822569"/>
      <w:bookmarkEnd w:id="20"/>
      <w:r w:rsidRPr="209ABE44">
        <w:rPr>
          <w:rFonts w:ascii="Arial" w:eastAsia="Times New Roman" w:hAnsi="Arial" w:cs="Arial"/>
          <w:color w:val="000000" w:themeColor="text1"/>
        </w:rPr>
        <w:t xml:space="preserve">Economists see the real effective exchange rate (REER) as a policy instrument for promoting economic growth of a nation. </w:t>
      </w:r>
      <w:r>
        <w:rPr>
          <w:rFonts w:ascii="Arial" w:eastAsia="Times New Roman" w:hAnsi="Arial" w:cs="Arial"/>
          <w:color w:val="000000" w:themeColor="text1"/>
        </w:rPr>
        <w:t xml:space="preserve">This view was championed by Rodrik (2008) who stated that </w:t>
      </w:r>
      <w:r w:rsidRPr="00C956A2">
        <w:rPr>
          <w:rFonts w:ascii="Arial" w:hAnsi="Arial" w:cs="Arial"/>
          <w:lang w:eastAsia="en-GB"/>
        </w:rPr>
        <w:t>RE</w:t>
      </w:r>
      <w:r>
        <w:rPr>
          <w:rFonts w:ascii="Arial" w:hAnsi="Arial" w:cs="Arial"/>
          <w:lang w:eastAsia="en-GB"/>
        </w:rPr>
        <w:t>E</w:t>
      </w:r>
      <w:r w:rsidRPr="00C956A2">
        <w:rPr>
          <w:rFonts w:ascii="Arial" w:hAnsi="Arial" w:cs="Arial"/>
          <w:lang w:eastAsia="en-GB"/>
        </w:rPr>
        <w:t>R undervaluation promotes economic growth and overvaluation harms it</w:t>
      </w:r>
      <w:r w:rsidRPr="00C956A2">
        <w:rPr>
          <w:rFonts w:ascii="Arial" w:hAnsi="Arial" w:cs="Arial"/>
          <w:lang w:val="en-US" w:eastAsia="en-GB"/>
        </w:rPr>
        <w:t xml:space="preserve">. This stance is in part due to the view that exchange-rate – precisely an undervalued currency could be used in protecting home based infant industries and the competitiveness of their exports (Nouira and Sekkat, 2015; </w:t>
      </w:r>
      <w:r w:rsidRPr="00C956A2">
        <w:rPr>
          <w:rFonts w:ascii="Arial" w:hAnsi="Arial" w:cs="Arial"/>
          <w:lang w:eastAsia="en-GB"/>
        </w:rPr>
        <w:t>Grekou, 2015;</w:t>
      </w:r>
      <w:r>
        <w:rPr>
          <w:rFonts w:ascii="Arial" w:hAnsi="Arial" w:cs="Arial"/>
          <w:lang w:eastAsia="en-GB"/>
        </w:rPr>
        <w:t xml:space="preserve"> </w:t>
      </w:r>
      <w:r w:rsidRPr="00C956A2">
        <w:rPr>
          <w:rFonts w:ascii="Arial" w:hAnsi="Arial" w:cs="Arial"/>
          <w:lang w:eastAsia="en-GB"/>
        </w:rPr>
        <w:t>Rodrik, 2008</w:t>
      </w:r>
      <w:r w:rsidRPr="00C956A2">
        <w:rPr>
          <w:rFonts w:ascii="Arial" w:hAnsi="Arial" w:cs="Arial"/>
          <w:lang w:val="en-US" w:eastAsia="en-GB"/>
        </w:rPr>
        <w:t>).</w:t>
      </w:r>
      <w:r>
        <w:rPr>
          <w:rFonts w:ascii="Arial" w:hAnsi="Arial" w:cs="Arial"/>
          <w:lang w:val="en-US" w:eastAsia="en-GB"/>
        </w:rPr>
        <w:t xml:space="preserve"> Thus, in this section we shall review the REER, economic growth and the TB channel </w:t>
      </w:r>
      <w:bookmarkStart w:id="22" w:name="_Hlk170212028"/>
      <w:r>
        <w:rPr>
          <w:rFonts w:ascii="Arial" w:hAnsi="Arial" w:cs="Arial"/>
          <w:lang w:val="en-US" w:eastAsia="en-GB"/>
        </w:rPr>
        <w:t>through which economy grow</w:t>
      </w:r>
      <w:r w:rsidR="00B90AD2">
        <w:rPr>
          <w:rFonts w:ascii="Arial" w:hAnsi="Arial" w:cs="Arial"/>
          <w:lang w:val="en-US" w:eastAsia="en-GB"/>
        </w:rPr>
        <w:t>s</w:t>
      </w:r>
      <w:r>
        <w:rPr>
          <w:rFonts w:ascii="Arial" w:hAnsi="Arial" w:cs="Arial"/>
          <w:lang w:val="en-US" w:eastAsia="en-GB"/>
        </w:rPr>
        <w:t xml:space="preserve"> as seen below.</w:t>
      </w:r>
    </w:p>
    <w:p w14:paraId="0835B108" w14:textId="4A6F3504" w:rsidR="00036ED7" w:rsidRPr="00926B4F" w:rsidRDefault="00036ED7" w:rsidP="0066301C">
      <w:pPr>
        <w:pStyle w:val="Heading3"/>
        <w:numPr>
          <w:ilvl w:val="0"/>
          <w:numId w:val="0"/>
        </w:numPr>
        <w:spacing w:before="0" w:beforeAutospacing="0" w:line="360" w:lineRule="auto"/>
        <w:rPr>
          <w:rFonts w:ascii="Times New Roman" w:hAnsi="Times New Roman" w:cs="Times New Roman"/>
          <w:sz w:val="24"/>
        </w:rPr>
      </w:pPr>
      <w:bookmarkStart w:id="23" w:name="_Toc171075348"/>
      <w:bookmarkEnd w:id="21"/>
      <w:r>
        <w:t>1.2.1</w:t>
      </w:r>
      <w:r>
        <w:tab/>
      </w:r>
      <w:r w:rsidRPr="00C371EA">
        <w:t xml:space="preserve">EQUILIBRIUM </w:t>
      </w:r>
      <w:r w:rsidRPr="00892A02">
        <w:t>REAL EFFECTIVE</w:t>
      </w:r>
      <w:r>
        <w:t xml:space="preserve"> </w:t>
      </w:r>
      <w:r w:rsidRPr="00C371EA">
        <w:t>EXCHANGE RATE</w:t>
      </w:r>
      <w:r>
        <w:rPr>
          <w:rFonts w:cs="Arial"/>
          <w:szCs w:val="22"/>
          <w:lang w:val="en-US"/>
        </w:rPr>
        <w:t>.</w:t>
      </w:r>
      <w:bookmarkEnd w:id="23"/>
    </w:p>
    <w:p w14:paraId="564A3D3A" w14:textId="77777777" w:rsidR="00036ED7" w:rsidRPr="00C371EA" w:rsidRDefault="00036ED7" w:rsidP="0066301C">
      <w:pPr>
        <w:pStyle w:val="ListParagraph"/>
        <w:autoSpaceDE w:val="0"/>
        <w:autoSpaceDN w:val="0"/>
        <w:adjustRightInd w:val="0"/>
        <w:spacing w:line="360" w:lineRule="auto"/>
        <w:ind w:left="0"/>
        <w:jc w:val="both"/>
        <w:rPr>
          <w:rFonts w:ascii="Arial" w:hAnsi="Arial" w:cs="Arial"/>
          <w:lang w:val="en-US"/>
        </w:rPr>
      </w:pPr>
      <w:r>
        <w:rPr>
          <w:rFonts w:ascii="Arial" w:hAnsi="Arial" w:cs="Arial"/>
          <w:lang w:val="en-US"/>
        </w:rPr>
        <w:t>Estimating</w:t>
      </w:r>
      <w:r w:rsidRPr="00C371EA">
        <w:rPr>
          <w:rFonts w:ascii="Arial" w:hAnsi="Arial" w:cs="Arial"/>
          <w:lang w:val="en-US"/>
        </w:rPr>
        <w:t xml:space="preserve"> the equilibrium </w:t>
      </w:r>
      <w:r>
        <w:rPr>
          <w:rFonts w:ascii="Arial" w:hAnsi="Arial" w:cs="Arial"/>
          <w:lang w:val="en-US"/>
        </w:rPr>
        <w:t>REER</w:t>
      </w:r>
      <w:r w:rsidRPr="00C371EA">
        <w:rPr>
          <w:rFonts w:ascii="Arial" w:hAnsi="Arial" w:cs="Arial"/>
          <w:lang w:val="en-US"/>
        </w:rPr>
        <w:t xml:space="preserve"> and assessment issues have become topical recently due to variety of reasons. Firstly, a number of nations – like the Central European nations that agreed to the European Union (EU), Sweden and the UK were interested in knowing the right exchange rate for their entry into the euro. Secondly, the behavior of some currencies, like the initial sharp and continual fall in euro’s external value immediately after its inauguration in 1999, the post 2005 Chinese renimmbi’s behavior against the US dollar, and the continuous appreciation of the pound sterling during the late 1990’s, generated the debate about the sources of the exchange rate movements (Macdonald and Dias, 2007). Does such behavior symbolize </w:t>
      </w:r>
      <w:r w:rsidRPr="00C371EA">
        <w:rPr>
          <w:rFonts w:ascii="Arial" w:hAnsi="Arial" w:cs="Arial"/>
          <w:lang w:val="en-US"/>
        </w:rPr>
        <w:lastRenderedPageBreak/>
        <w:t>movements in the underlying equilibria, and the currencies are therefore accurately price, or are they signifying a misalignment? Thirdly, is the global imbalance issue and the impact of such imbalance for exchange rate behavior and above all the required exchange rate movements needed to address the imbalances. Answering such issues entails some measurements of the equilibrium exchange rate. Thus, we shall be looking at the concept of equilibrium exchange rates and the various way of estimating it.</w:t>
      </w:r>
    </w:p>
    <w:p w14:paraId="791BC584" w14:textId="36E61E76" w:rsidR="00036ED7" w:rsidRPr="00C371EA" w:rsidRDefault="00036ED7" w:rsidP="0066301C">
      <w:pPr>
        <w:spacing w:line="360" w:lineRule="auto"/>
        <w:jc w:val="both"/>
        <w:rPr>
          <w:rFonts w:ascii="Arial" w:hAnsi="Arial" w:cs="Arial"/>
        </w:rPr>
      </w:pPr>
      <w:bookmarkStart w:id="24" w:name="_Hlk170212535"/>
      <w:bookmarkEnd w:id="22"/>
      <w:r w:rsidRPr="00C371EA">
        <w:rPr>
          <w:rFonts w:ascii="Arial" w:hAnsi="Arial" w:cs="Arial"/>
        </w:rPr>
        <w:t>The equilibrium R</w:t>
      </w:r>
      <w:r>
        <w:rPr>
          <w:rFonts w:ascii="Arial" w:hAnsi="Arial" w:cs="Arial"/>
        </w:rPr>
        <w:t>E</w:t>
      </w:r>
      <w:r w:rsidRPr="00C371EA">
        <w:rPr>
          <w:rFonts w:ascii="Arial" w:hAnsi="Arial" w:cs="Arial"/>
        </w:rPr>
        <w:t xml:space="preserve">ER is the relative price of tradable to non-tradable which for given (sustainable or equilibrium) values of other variables (like technology, international prices, trade taxes, capital and aid flow), results in the simultaneous achievement of both internal and external equilibrium (Edward, 1989; </w:t>
      </w:r>
      <w:r w:rsidR="00770367" w:rsidRPr="000D106B">
        <w:rPr>
          <w:rFonts w:ascii="Arial" w:hAnsi="Arial" w:cs="Arial"/>
        </w:rPr>
        <w:t>Clark and MacDonald</w:t>
      </w:r>
      <w:r w:rsidR="00770367">
        <w:rPr>
          <w:rFonts w:ascii="Arial" w:hAnsi="Arial" w:cs="Arial"/>
        </w:rPr>
        <w:t>,</w:t>
      </w:r>
      <w:r w:rsidR="00770367" w:rsidRPr="000D106B">
        <w:rPr>
          <w:rFonts w:ascii="Arial" w:hAnsi="Arial" w:cs="Arial"/>
        </w:rPr>
        <w:t xml:space="preserve"> 199</w:t>
      </w:r>
      <w:r w:rsidR="00770367">
        <w:rPr>
          <w:rFonts w:ascii="Arial" w:hAnsi="Arial" w:cs="Arial"/>
        </w:rPr>
        <w:t>8</w:t>
      </w:r>
      <w:r w:rsidRPr="00C371EA">
        <w:rPr>
          <w:rFonts w:ascii="Arial" w:hAnsi="Arial" w:cs="Arial"/>
        </w:rPr>
        <w:t>).</w:t>
      </w:r>
      <w:bookmarkEnd w:id="24"/>
      <w:r w:rsidRPr="00C371EA">
        <w:rPr>
          <w:rFonts w:ascii="Arial" w:hAnsi="Arial" w:cs="Arial"/>
        </w:rPr>
        <w:t xml:space="preserve"> The internal equilibrium means that the market for non-tradable goods clears in the current period and is expected to be in equilibrium in future. This implies that there is no deviation from the natural rate of unemployment within the economy. While the external equilibrium is reach when the entirety of the present current account and the expected current account in the future satiates the intertemporal budget constraint; which states that the discounted value of the current account balances must be equivalent to zero (Edward, 1989; </w:t>
      </w:r>
      <w:r w:rsidR="00770367" w:rsidRPr="000D106B">
        <w:rPr>
          <w:rFonts w:ascii="Arial" w:hAnsi="Arial" w:cs="Arial"/>
        </w:rPr>
        <w:t>Clark and MacDonald</w:t>
      </w:r>
      <w:r w:rsidR="00770367">
        <w:rPr>
          <w:rFonts w:ascii="Arial" w:hAnsi="Arial" w:cs="Arial"/>
        </w:rPr>
        <w:t>,</w:t>
      </w:r>
      <w:r w:rsidR="00770367" w:rsidRPr="000D106B">
        <w:rPr>
          <w:rFonts w:ascii="Arial" w:hAnsi="Arial" w:cs="Arial"/>
        </w:rPr>
        <w:t xml:space="preserve"> 199</w:t>
      </w:r>
      <w:r w:rsidR="00770367">
        <w:rPr>
          <w:rFonts w:ascii="Arial" w:hAnsi="Arial" w:cs="Arial"/>
        </w:rPr>
        <w:t>8</w:t>
      </w:r>
      <w:r w:rsidRPr="00C371EA">
        <w:rPr>
          <w:rFonts w:ascii="Arial" w:hAnsi="Arial" w:cs="Arial"/>
        </w:rPr>
        <w:t>).  That is, the current account balance (current and future) is compatible with long-run sustainable capital flows (Edward, 1989).</w:t>
      </w:r>
    </w:p>
    <w:p w14:paraId="397544ED" w14:textId="77777777" w:rsidR="00036ED7" w:rsidRPr="00C371EA" w:rsidRDefault="00036ED7" w:rsidP="0066301C">
      <w:pPr>
        <w:spacing w:line="360" w:lineRule="auto"/>
        <w:jc w:val="both"/>
        <w:rPr>
          <w:rFonts w:ascii="Arial" w:hAnsi="Arial" w:cs="Arial"/>
          <w:color w:val="FF0000"/>
        </w:rPr>
      </w:pPr>
      <w:bookmarkStart w:id="25" w:name="_Hlk170212633"/>
      <w:r w:rsidRPr="00C371EA">
        <w:rPr>
          <w:rFonts w:ascii="Arial" w:hAnsi="Arial" w:cs="Arial"/>
        </w:rPr>
        <w:t>From the above definition, it means that the R</w:t>
      </w:r>
      <w:r>
        <w:rPr>
          <w:rFonts w:ascii="Arial" w:hAnsi="Arial" w:cs="Arial"/>
        </w:rPr>
        <w:t>E</w:t>
      </w:r>
      <w:r w:rsidRPr="00C371EA">
        <w:rPr>
          <w:rFonts w:ascii="Arial" w:hAnsi="Arial" w:cs="Arial"/>
        </w:rPr>
        <w:t>ER equilibrium is mutable. Once any of the variables that affect a nation’s internal and/or external equilibrium changes, the R</w:t>
      </w:r>
      <w:r>
        <w:rPr>
          <w:rFonts w:ascii="Arial" w:hAnsi="Arial" w:cs="Arial"/>
        </w:rPr>
        <w:t>E</w:t>
      </w:r>
      <w:r w:rsidRPr="00C371EA">
        <w:rPr>
          <w:rFonts w:ascii="Arial" w:hAnsi="Arial" w:cs="Arial"/>
        </w:rPr>
        <w:t>ER equilibrium will as well change. These immediate determinants of the R</w:t>
      </w:r>
      <w:r>
        <w:rPr>
          <w:rFonts w:ascii="Arial" w:hAnsi="Arial" w:cs="Arial"/>
        </w:rPr>
        <w:t>E</w:t>
      </w:r>
      <w:r w:rsidRPr="00C371EA">
        <w:rPr>
          <w:rFonts w:ascii="Arial" w:hAnsi="Arial" w:cs="Arial"/>
        </w:rPr>
        <w:t xml:space="preserve">ER equilibrium are known as </w:t>
      </w:r>
      <w:r w:rsidRPr="00C371EA">
        <w:rPr>
          <w:rFonts w:ascii="Arial" w:hAnsi="Arial" w:cs="Arial"/>
          <w:i/>
        </w:rPr>
        <w:t>real exchange rate fundamentals.</w:t>
      </w:r>
      <w:r w:rsidRPr="0096715F">
        <w:rPr>
          <w:rFonts w:ascii="Arial" w:hAnsi="Arial" w:cs="Arial"/>
          <w:i/>
        </w:rPr>
        <w:t xml:space="preserve"> </w:t>
      </w:r>
      <w:r w:rsidRPr="0096715F">
        <w:rPr>
          <w:rFonts w:ascii="Arial" w:hAnsi="Arial" w:cs="Arial"/>
        </w:rPr>
        <w:t xml:space="preserve">Secondly, there is not ‘one’ equilibrium REER, rather there is a path of equilibrium REER through time </w:t>
      </w:r>
      <w:r w:rsidRPr="00C371EA">
        <w:rPr>
          <w:rFonts w:ascii="Arial" w:hAnsi="Arial" w:cs="Arial"/>
        </w:rPr>
        <w:t>(Edward, 1989)</w:t>
      </w:r>
      <w:r w:rsidRPr="00C371EA">
        <w:rPr>
          <w:rFonts w:ascii="Arial" w:hAnsi="Arial" w:cs="Arial"/>
          <w:color w:val="FF0000"/>
        </w:rPr>
        <w:t xml:space="preserve">. </w:t>
      </w:r>
      <w:r w:rsidRPr="00C371EA">
        <w:rPr>
          <w:rFonts w:ascii="Arial" w:hAnsi="Arial" w:cs="Arial"/>
        </w:rPr>
        <w:t>Thus, the choice of the RE</w:t>
      </w:r>
      <w:r>
        <w:rPr>
          <w:rFonts w:ascii="Arial" w:hAnsi="Arial" w:cs="Arial"/>
        </w:rPr>
        <w:t>E</w:t>
      </w:r>
      <w:r w:rsidRPr="00C371EA">
        <w:rPr>
          <w:rFonts w:ascii="Arial" w:hAnsi="Arial" w:cs="Arial"/>
        </w:rPr>
        <w:t xml:space="preserve">R fundamentals will be determined by the theoretical framework to be used, and the values of the fundamentals are determined by the type of equilibrium of interest (meaning that they could either take their actual values, or alternatively their medium-term or long-term values) (Driver and Westaway, 2005). Thirdly, the path is not only affected by the current values of the fundamental determinants, but by also their expected future evolution. </w:t>
      </w:r>
    </w:p>
    <w:bookmarkEnd w:id="25"/>
    <w:p w14:paraId="62E20832" w14:textId="160AA9E0" w:rsidR="00036ED7" w:rsidRPr="00C371EA" w:rsidRDefault="00036ED7" w:rsidP="0066301C">
      <w:pPr>
        <w:pStyle w:val="ListParagraph"/>
        <w:autoSpaceDE w:val="0"/>
        <w:autoSpaceDN w:val="0"/>
        <w:adjustRightInd w:val="0"/>
        <w:spacing w:line="360" w:lineRule="auto"/>
        <w:ind w:left="0"/>
        <w:jc w:val="both"/>
        <w:rPr>
          <w:rFonts w:ascii="Arial" w:hAnsi="Arial" w:cs="Arial"/>
        </w:rPr>
      </w:pPr>
      <w:r w:rsidRPr="00C371EA">
        <w:rPr>
          <w:rFonts w:ascii="Arial" w:hAnsi="Arial" w:cs="Arial"/>
        </w:rPr>
        <w:t>The fundamental determinants of the RE</w:t>
      </w:r>
      <w:r>
        <w:rPr>
          <w:rFonts w:ascii="Arial" w:hAnsi="Arial" w:cs="Arial"/>
        </w:rPr>
        <w:t>E</w:t>
      </w:r>
      <w:r w:rsidRPr="00C371EA">
        <w:rPr>
          <w:rFonts w:ascii="Arial" w:hAnsi="Arial" w:cs="Arial"/>
        </w:rPr>
        <w:t xml:space="preserve">R equilibrium are the real variables which in addition to the real exchange rate, perform a great part in determining a nation’s internal and external equilibrium (Edward, 1989; </w:t>
      </w:r>
      <w:r w:rsidR="00770367" w:rsidRPr="000D106B">
        <w:rPr>
          <w:rFonts w:ascii="Arial" w:hAnsi="Arial" w:cs="Arial"/>
        </w:rPr>
        <w:t>Clark and MacDonald</w:t>
      </w:r>
      <w:r w:rsidR="00770367">
        <w:rPr>
          <w:rFonts w:ascii="Arial" w:hAnsi="Arial" w:cs="Arial"/>
        </w:rPr>
        <w:t>,</w:t>
      </w:r>
      <w:r w:rsidR="00770367" w:rsidRPr="000D106B">
        <w:rPr>
          <w:rFonts w:ascii="Arial" w:hAnsi="Arial" w:cs="Arial"/>
        </w:rPr>
        <w:t xml:space="preserve"> 199</w:t>
      </w:r>
      <w:r w:rsidR="00770367">
        <w:rPr>
          <w:rFonts w:ascii="Arial" w:hAnsi="Arial" w:cs="Arial"/>
        </w:rPr>
        <w:t>8</w:t>
      </w:r>
      <w:r w:rsidRPr="00C371EA">
        <w:rPr>
          <w:rFonts w:ascii="Arial" w:hAnsi="Arial" w:cs="Arial"/>
        </w:rPr>
        <w:t>). The external R</w:t>
      </w:r>
      <w:r>
        <w:rPr>
          <w:rFonts w:ascii="Arial" w:hAnsi="Arial" w:cs="Arial"/>
        </w:rPr>
        <w:t>E</w:t>
      </w:r>
      <w:r w:rsidRPr="00C371EA">
        <w:rPr>
          <w:rFonts w:ascii="Arial" w:hAnsi="Arial" w:cs="Arial"/>
        </w:rPr>
        <w:t>ER fundamentals include: i) world real interest rates; ii) international transfers (including foreign aid flows); iii) international prices (that is, the international terms of trade). While the internal (domestic) RE</w:t>
      </w:r>
      <w:r>
        <w:rPr>
          <w:rFonts w:ascii="Arial" w:hAnsi="Arial" w:cs="Arial"/>
        </w:rPr>
        <w:t>E</w:t>
      </w:r>
      <w:r w:rsidRPr="00C371EA">
        <w:rPr>
          <w:rFonts w:ascii="Arial" w:hAnsi="Arial" w:cs="Arial"/>
        </w:rPr>
        <w:t>R fundamentals could be split into variables that are policy related and non-policy related decisions. The policy related R</w:t>
      </w:r>
      <w:r>
        <w:rPr>
          <w:rFonts w:ascii="Arial" w:hAnsi="Arial" w:cs="Arial"/>
        </w:rPr>
        <w:t>E</w:t>
      </w:r>
      <w:r w:rsidRPr="00C371EA">
        <w:rPr>
          <w:rFonts w:ascii="Arial" w:hAnsi="Arial" w:cs="Arial"/>
        </w:rPr>
        <w:t xml:space="preserve">ER fundamentals are a) exchange and capital controls; b) </w:t>
      </w:r>
      <w:r w:rsidRPr="00C371EA">
        <w:rPr>
          <w:rFonts w:ascii="Arial" w:hAnsi="Arial" w:cs="Arial"/>
        </w:rPr>
        <w:lastRenderedPageBreak/>
        <w:t>import quotas, import tariffs; c) the composition of government consumption; and d) other taxes and subsidies. While the non-policy fundamentals include technological progress as the most important. It should be noted that, not only do the above-mentioned variables affect RER equilibrium, but many times the relationship goes in both directions with changes in RE</w:t>
      </w:r>
      <w:r>
        <w:rPr>
          <w:rFonts w:ascii="Arial" w:hAnsi="Arial" w:cs="Arial"/>
        </w:rPr>
        <w:t>E</w:t>
      </w:r>
      <w:r w:rsidRPr="00C371EA">
        <w:rPr>
          <w:rFonts w:ascii="Arial" w:hAnsi="Arial" w:cs="Arial"/>
        </w:rPr>
        <w:t xml:space="preserve">R affecting the fundamentals. </w:t>
      </w:r>
    </w:p>
    <w:p w14:paraId="146146AD" w14:textId="386F01F4" w:rsidR="00036ED7" w:rsidRPr="0014064A" w:rsidRDefault="00036ED7" w:rsidP="0066301C">
      <w:pPr>
        <w:spacing w:line="360" w:lineRule="auto"/>
        <w:jc w:val="both"/>
        <w:rPr>
          <w:rFonts w:ascii="Arial" w:hAnsi="Arial" w:cs="Arial"/>
        </w:rPr>
      </w:pPr>
      <w:r w:rsidRPr="00C371EA">
        <w:rPr>
          <w:rFonts w:ascii="Arial" w:hAnsi="Arial" w:cs="Arial"/>
        </w:rPr>
        <w:t>The notion that an equilibrium R</w:t>
      </w:r>
      <w:r>
        <w:rPr>
          <w:rFonts w:ascii="Arial" w:hAnsi="Arial" w:cs="Arial"/>
        </w:rPr>
        <w:t>E</w:t>
      </w:r>
      <w:r w:rsidRPr="00C371EA">
        <w:rPr>
          <w:rFonts w:ascii="Arial" w:hAnsi="Arial" w:cs="Arial"/>
        </w:rPr>
        <w:t>ER moves whenever the fundamental determining factor (determinants) change has significant ramifications for policy. But some policymakers still believe that the equilibrium R</w:t>
      </w:r>
      <w:r>
        <w:rPr>
          <w:rFonts w:ascii="Arial" w:hAnsi="Arial" w:cs="Arial"/>
        </w:rPr>
        <w:t>E</w:t>
      </w:r>
      <w:r w:rsidRPr="00C371EA">
        <w:rPr>
          <w:rFonts w:ascii="Arial" w:hAnsi="Arial" w:cs="Arial"/>
        </w:rPr>
        <w:t xml:space="preserve">ER is an unchallengeable amount or a constant. This suggests that any deviation of the </w:t>
      </w:r>
      <w:r>
        <w:rPr>
          <w:rFonts w:ascii="Arial" w:hAnsi="Arial" w:cs="Arial"/>
        </w:rPr>
        <w:t>REER</w:t>
      </w:r>
      <w:r w:rsidRPr="00C371EA">
        <w:rPr>
          <w:rFonts w:ascii="Arial" w:hAnsi="Arial" w:cs="Arial"/>
        </w:rPr>
        <w:t xml:space="preserve"> from its value in the past period (equilibrium year) symbolises a disequilibrium and it is a cause for alarm (Edward, 1989; </w:t>
      </w:r>
      <w:r w:rsidR="00770367" w:rsidRPr="000D106B">
        <w:rPr>
          <w:rFonts w:ascii="Arial" w:hAnsi="Arial" w:cs="Arial"/>
        </w:rPr>
        <w:t>Clark and MacDonald</w:t>
      </w:r>
      <w:r w:rsidR="00770367">
        <w:rPr>
          <w:rFonts w:ascii="Arial" w:hAnsi="Arial" w:cs="Arial"/>
        </w:rPr>
        <w:t>,</w:t>
      </w:r>
      <w:r w:rsidR="00770367" w:rsidRPr="000D106B">
        <w:rPr>
          <w:rFonts w:ascii="Arial" w:hAnsi="Arial" w:cs="Arial"/>
        </w:rPr>
        <w:t xml:space="preserve"> 199</w:t>
      </w:r>
      <w:r w:rsidR="00770367">
        <w:rPr>
          <w:rFonts w:ascii="Arial" w:hAnsi="Arial" w:cs="Arial"/>
        </w:rPr>
        <w:t>8</w:t>
      </w:r>
      <w:r w:rsidRPr="00C371EA">
        <w:rPr>
          <w:rFonts w:ascii="Arial" w:hAnsi="Arial" w:cs="Arial"/>
        </w:rPr>
        <w:t>). On the other hand, real changes in the R</w:t>
      </w:r>
      <w:r>
        <w:rPr>
          <w:rFonts w:ascii="Arial" w:hAnsi="Arial" w:cs="Arial"/>
        </w:rPr>
        <w:t>E</w:t>
      </w:r>
      <w:r w:rsidRPr="00C371EA">
        <w:rPr>
          <w:rFonts w:ascii="Arial" w:hAnsi="Arial" w:cs="Arial"/>
        </w:rPr>
        <w:t>ERs do not automatically represent a disequilibrium. Rather, they could reflect changes in the equilibrium generated by changes in the fundamentals. Though the equilibrium RE</w:t>
      </w:r>
      <w:r>
        <w:rPr>
          <w:rFonts w:ascii="Arial" w:hAnsi="Arial" w:cs="Arial"/>
        </w:rPr>
        <w:t>E</w:t>
      </w:r>
      <w:r w:rsidRPr="00C371EA">
        <w:rPr>
          <w:rFonts w:ascii="Arial" w:hAnsi="Arial" w:cs="Arial"/>
        </w:rPr>
        <w:t>R is a function of only the real variables, the actual R</w:t>
      </w:r>
      <w:r>
        <w:rPr>
          <w:rFonts w:ascii="Arial" w:hAnsi="Arial" w:cs="Arial"/>
        </w:rPr>
        <w:t>E</w:t>
      </w:r>
      <w:r w:rsidRPr="00C371EA">
        <w:rPr>
          <w:rFonts w:ascii="Arial" w:hAnsi="Arial" w:cs="Arial"/>
        </w:rPr>
        <w:t>ER responds to both the real and monetary variables. So, the actual R</w:t>
      </w:r>
      <w:r>
        <w:rPr>
          <w:rFonts w:ascii="Arial" w:hAnsi="Arial" w:cs="Arial"/>
        </w:rPr>
        <w:t>E</w:t>
      </w:r>
      <w:r w:rsidRPr="00C371EA">
        <w:rPr>
          <w:rFonts w:ascii="Arial" w:hAnsi="Arial" w:cs="Arial"/>
        </w:rPr>
        <w:t>ER depends on the values of the fundamentals (real interest, international prices, tariffs, and so on) and on aggregate macroeconomic pressures like fiscal deficits and an excess supply of money. The presence of an equilibrium value of the R</w:t>
      </w:r>
      <w:r>
        <w:rPr>
          <w:rFonts w:ascii="Arial" w:hAnsi="Arial" w:cs="Arial"/>
        </w:rPr>
        <w:t>E</w:t>
      </w:r>
      <w:r w:rsidRPr="00C371EA">
        <w:rPr>
          <w:rFonts w:ascii="Arial" w:hAnsi="Arial" w:cs="Arial"/>
        </w:rPr>
        <w:t>ER does not imply that the actual real rate ought to be perpetually equal to the equilibrium value. Factually, the actual R</w:t>
      </w:r>
      <w:r>
        <w:rPr>
          <w:rFonts w:ascii="Arial" w:hAnsi="Arial" w:cs="Arial"/>
        </w:rPr>
        <w:t>E</w:t>
      </w:r>
      <w:r w:rsidRPr="00C371EA">
        <w:rPr>
          <w:rFonts w:ascii="Arial" w:hAnsi="Arial" w:cs="Arial"/>
        </w:rPr>
        <w:t>ER will usually differ from its equilibrium especially in the short-run. Nonetheless, other types of deviations could persist and produce R</w:t>
      </w:r>
      <w:r>
        <w:rPr>
          <w:rFonts w:ascii="Arial" w:hAnsi="Arial" w:cs="Arial"/>
        </w:rPr>
        <w:t>E</w:t>
      </w:r>
      <w:r w:rsidRPr="00C371EA">
        <w:rPr>
          <w:rFonts w:ascii="Arial" w:hAnsi="Arial" w:cs="Arial"/>
        </w:rPr>
        <w:t xml:space="preserve">ER </w:t>
      </w:r>
      <w:r w:rsidRPr="0014064A">
        <w:rPr>
          <w:rFonts w:ascii="Arial" w:hAnsi="Arial" w:cs="Arial"/>
        </w:rPr>
        <w:t xml:space="preserve">misalignment. </w:t>
      </w:r>
    </w:p>
    <w:p w14:paraId="452E8A96" w14:textId="49448ABC" w:rsidR="00A059C6" w:rsidRDefault="00036ED7" w:rsidP="0066301C">
      <w:pPr>
        <w:spacing w:line="360" w:lineRule="auto"/>
        <w:jc w:val="both"/>
        <w:rPr>
          <w:rFonts w:ascii="Arial" w:hAnsi="Arial" w:cs="Arial"/>
        </w:rPr>
      </w:pPr>
      <w:bookmarkStart w:id="26" w:name="_Hlk170212776"/>
      <w:r>
        <w:rPr>
          <w:rFonts w:ascii="Arial" w:hAnsi="Arial" w:cs="Arial"/>
        </w:rPr>
        <w:t xml:space="preserve">The present economic and econometric approaches for estimating the EREER generally follow one of these three basic analytical models developed in the economic literature. In a chronological perspective, the models are: Fundamental Equilibrium Exchange Rate (FEER) by Williamson (1983), Natural Real Exchange Rate (NATREX) by Stein (1999), and Behavioural Equilibrium Exchange Rate (BEER) by </w:t>
      </w:r>
      <w:r w:rsidRPr="000D106B">
        <w:rPr>
          <w:rFonts w:ascii="Arial" w:hAnsi="Arial" w:cs="Arial"/>
        </w:rPr>
        <w:t>Clark and MacDonald (199</w:t>
      </w:r>
      <w:r>
        <w:rPr>
          <w:rFonts w:ascii="Arial" w:hAnsi="Arial" w:cs="Arial"/>
        </w:rPr>
        <w:t>8</w:t>
      </w:r>
      <w:r w:rsidRPr="000D106B">
        <w:rPr>
          <w:rFonts w:ascii="Arial" w:hAnsi="Arial" w:cs="Arial"/>
        </w:rPr>
        <w:t>)</w:t>
      </w:r>
      <w:r>
        <w:rPr>
          <w:rFonts w:ascii="Arial" w:hAnsi="Arial" w:cs="Arial"/>
        </w:rPr>
        <w:t xml:space="preserve">. These models are presented in </w:t>
      </w:r>
      <w:r w:rsidRPr="0096715F">
        <w:rPr>
          <w:rFonts w:ascii="Arial" w:hAnsi="Arial" w:cs="Arial"/>
        </w:rPr>
        <w:t>chapter</w:t>
      </w:r>
      <w:r w:rsidR="00751C58" w:rsidRPr="0096715F">
        <w:rPr>
          <w:rFonts w:ascii="Arial" w:hAnsi="Arial" w:cs="Arial"/>
        </w:rPr>
        <w:t xml:space="preserve"> 2</w:t>
      </w:r>
      <w:r w:rsidRPr="0096715F">
        <w:rPr>
          <w:rFonts w:ascii="Arial" w:hAnsi="Arial" w:cs="Arial"/>
        </w:rPr>
        <w:t xml:space="preserve"> (section 2.3).</w:t>
      </w:r>
      <w:r>
        <w:rPr>
          <w:rFonts w:ascii="Arial" w:hAnsi="Arial" w:cs="Arial"/>
        </w:rPr>
        <w:t xml:space="preserve">  </w:t>
      </w:r>
      <w:bookmarkEnd w:id="26"/>
      <w:r>
        <w:rPr>
          <w:rFonts w:ascii="Arial" w:hAnsi="Arial" w:cs="Arial"/>
        </w:rPr>
        <w:t>Both the FEER and the NATREX approaches define the EREER as one corresponding to some definition of the general macroeconomic equilibrium.</w:t>
      </w:r>
      <w:r>
        <w:rPr>
          <w:rStyle w:val="FootnoteReference"/>
          <w:rFonts w:ascii="Arial" w:hAnsi="Arial" w:cs="Arial"/>
        </w:rPr>
        <w:footnoteReference w:id="13"/>
      </w:r>
      <w:r>
        <w:rPr>
          <w:rFonts w:ascii="Arial" w:hAnsi="Arial" w:cs="Arial"/>
        </w:rPr>
        <w:t xml:space="preserve"> Contrarily to this is the Behavioural Equilibrium Exchange Rate (BEER) framework by Clark and MacDonald (1998), which view the equilibrium rate as one consistent with the prevailing level of economic fundamentals. The BEER approach is often argued to have a number of advantages over the internal – external balance approaches (specifically the FEER). For instant, the FEER </w:t>
      </w:r>
      <w:r>
        <w:rPr>
          <w:rFonts w:ascii="Arial" w:hAnsi="Arial" w:cs="Arial"/>
        </w:rPr>
        <w:lastRenderedPageBreak/>
        <w:t xml:space="preserve">approach is a method of calculation rather than an estimated exchange rate model like the BEER approach. The BEER approach has the potential of capturing all the systematic and fundamental movements of the exchange rates and can be subject to rigorous statistical testing of various metrics, such as the speed of mean reversion. Also, the BEER is a highly tractable approach to gauging an equilibrium exchange rate, relying on a single equation approach using either time series or panel data. Contrarily, the FEER based estimate require the full-blown multi-nation macroeconomic model which could be cumbersome, though it has the advantages in terms of ensuring internal consistency of the estimates (MacDonald and Dias, 2007). Contrarily to the FEER approach, the BEER approach could produce measures of exchange rate misalignment that are free of any normative elements retaining to sustainability. In this research, we will use the BEER approach to determine the misalignment of the CFA franc in CEMAC zone and it is done in chapter </w:t>
      </w:r>
      <w:r w:rsidR="005D7F38">
        <w:rPr>
          <w:rFonts w:ascii="Arial" w:hAnsi="Arial" w:cs="Arial"/>
        </w:rPr>
        <w:t>3</w:t>
      </w:r>
      <w:r>
        <w:rPr>
          <w:rFonts w:ascii="Arial" w:hAnsi="Arial" w:cs="Arial"/>
        </w:rPr>
        <w:t>.</w:t>
      </w:r>
    </w:p>
    <w:p w14:paraId="2439B623" w14:textId="5261B0E1" w:rsidR="00036ED7" w:rsidRPr="00926B4F" w:rsidRDefault="00036ED7" w:rsidP="0066301C">
      <w:pPr>
        <w:pStyle w:val="Heading3"/>
        <w:numPr>
          <w:ilvl w:val="0"/>
          <w:numId w:val="0"/>
        </w:numPr>
        <w:spacing w:before="0" w:beforeAutospacing="0" w:line="360" w:lineRule="auto"/>
        <w:rPr>
          <w:rFonts w:ascii="Times New Roman" w:hAnsi="Times New Roman" w:cs="Times New Roman"/>
          <w:sz w:val="24"/>
        </w:rPr>
      </w:pPr>
      <w:bookmarkStart w:id="27" w:name="_Toc171075349"/>
      <w:bookmarkStart w:id="28" w:name="_Hlk170213252"/>
      <w:r>
        <w:t>1.2.</w:t>
      </w:r>
      <w:r w:rsidR="00A8440D">
        <w:t>2</w:t>
      </w:r>
      <w:r>
        <w:tab/>
      </w:r>
      <w:r w:rsidRPr="00892A02">
        <w:t>REAL EFFECTIVE</w:t>
      </w:r>
      <w:r>
        <w:t xml:space="preserve"> </w:t>
      </w:r>
      <w:r w:rsidRPr="00C371EA">
        <w:t>EXCHANGE RATE</w:t>
      </w:r>
      <w:r w:rsidR="00A8440D">
        <w:t xml:space="preserve"> AND TRADE BALANCE</w:t>
      </w:r>
      <w:r>
        <w:rPr>
          <w:rFonts w:cs="Arial"/>
          <w:szCs w:val="22"/>
          <w:lang w:val="en-US"/>
        </w:rPr>
        <w:t>.</w:t>
      </w:r>
      <w:bookmarkEnd w:id="27"/>
    </w:p>
    <w:p w14:paraId="799695A3" w14:textId="77777777" w:rsidR="00A8440D" w:rsidRPr="00CE5960" w:rsidRDefault="00A8440D" w:rsidP="0066301C">
      <w:pPr>
        <w:spacing w:line="360" w:lineRule="auto"/>
        <w:jc w:val="both"/>
        <w:rPr>
          <w:rFonts w:ascii="Arial" w:hAnsi="Arial" w:cs="Arial"/>
          <w:lang w:eastAsia="en-GB"/>
        </w:rPr>
      </w:pPr>
      <w:r w:rsidRPr="00CE5960">
        <w:rPr>
          <w:rFonts w:ascii="Arial" w:hAnsi="Arial" w:cs="Arial"/>
          <w:lang w:eastAsia="en-GB"/>
        </w:rPr>
        <w:t xml:space="preserve">It is highly contested among economists that currency devaluation improves a nation’s trade balance (TB) deficit, leading to a reduction of the current account deficit and improving economic growth (Kurtović, 2017; Bahmani-Oskooee, 1985). </w:t>
      </w:r>
      <w:bookmarkStart w:id="29" w:name="_Hlk170213309"/>
      <w:r w:rsidRPr="00CE5960">
        <w:rPr>
          <w:rFonts w:ascii="Arial" w:hAnsi="Arial" w:cs="Arial"/>
          <w:lang w:eastAsia="en-GB"/>
        </w:rPr>
        <w:t>An undervalued exchange rate is viewed as an improvement in price comp</w:t>
      </w:r>
      <w:bookmarkEnd w:id="28"/>
      <w:r w:rsidRPr="00CE5960">
        <w:rPr>
          <w:rFonts w:ascii="Arial" w:hAnsi="Arial" w:cs="Arial"/>
          <w:lang w:eastAsia="en-GB"/>
        </w:rPr>
        <w:t xml:space="preserve">etitiveness and a means towards faster economic growth, as championed by Rodrik (2008) and supported by others (Kurtović, 2017; Grekou, 2015; </w:t>
      </w:r>
      <w:bookmarkEnd w:id="29"/>
      <w:r w:rsidRPr="00CE5960">
        <w:rPr>
          <w:rFonts w:ascii="Arial" w:hAnsi="Arial" w:cs="Arial"/>
          <w:lang w:eastAsia="en-GB"/>
        </w:rPr>
        <w:t>Schroder, 2013; Cakrani </w:t>
      </w:r>
      <w:r w:rsidRPr="00CE5960">
        <w:rPr>
          <w:rFonts w:ascii="Arial" w:hAnsi="Arial" w:cs="Arial"/>
          <w:i/>
          <w:iCs/>
          <w:lang w:eastAsia="en-GB"/>
        </w:rPr>
        <w:t>et al.</w:t>
      </w:r>
      <w:r w:rsidRPr="00CE5960">
        <w:rPr>
          <w:rFonts w:ascii="Arial" w:hAnsi="Arial" w:cs="Arial"/>
          <w:lang w:eastAsia="en-GB"/>
        </w:rPr>
        <w:t>,2013; Levy-Yeyati </w:t>
      </w:r>
      <w:r w:rsidRPr="00CE5960">
        <w:rPr>
          <w:rFonts w:ascii="Arial" w:hAnsi="Arial" w:cs="Arial"/>
          <w:i/>
          <w:iCs/>
          <w:lang w:eastAsia="en-GB"/>
        </w:rPr>
        <w:t>et al.,</w:t>
      </w:r>
      <w:r w:rsidRPr="00CE5960">
        <w:rPr>
          <w:rFonts w:ascii="Arial" w:hAnsi="Arial" w:cs="Arial"/>
          <w:lang w:eastAsia="en-GB"/>
        </w:rPr>
        <w:t> 2013). A R</w:t>
      </w:r>
      <w:r>
        <w:rPr>
          <w:rFonts w:ascii="Arial" w:hAnsi="Arial" w:cs="Arial"/>
          <w:lang w:eastAsia="en-GB"/>
        </w:rPr>
        <w:t>E</w:t>
      </w:r>
      <w:r w:rsidRPr="00CE5960">
        <w:rPr>
          <w:rFonts w:ascii="Arial" w:hAnsi="Arial" w:cs="Arial"/>
          <w:lang w:eastAsia="en-GB"/>
        </w:rPr>
        <w:t>ER de</w:t>
      </w:r>
      <w:r>
        <w:rPr>
          <w:rFonts w:ascii="Arial" w:hAnsi="Arial" w:cs="Arial"/>
          <w:lang w:eastAsia="en-GB"/>
        </w:rPr>
        <w:t>valuation</w:t>
      </w:r>
      <w:r w:rsidRPr="00CE5960">
        <w:rPr>
          <w:rFonts w:ascii="Arial" w:hAnsi="Arial" w:cs="Arial"/>
          <w:lang w:eastAsia="en-GB"/>
        </w:rPr>
        <w:t xml:space="preserve"> could lead to the deterioration of TB in the short run while improving TB in the long run (Šimakova and Stavarek, 2015; Šimakova, 2013).</w:t>
      </w:r>
    </w:p>
    <w:p w14:paraId="20F78C06" w14:textId="7850C5FE" w:rsidR="00A8440D" w:rsidRPr="0033762E" w:rsidRDefault="00A8440D" w:rsidP="0066301C">
      <w:pPr>
        <w:spacing w:line="360" w:lineRule="auto"/>
        <w:jc w:val="both"/>
        <w:rPr>
          <w:rFonts w:ascii="Arial" w:hAnsi="Arial" w:cs="Arial"/>
        </w:rPr>
      </w:pPr>
      <w:bookmarkStart w:id="30" w:name="_Hlk170213400"/>
      <w:r w:rsidRPr="0033762E">
        <w:rPr>
          <w:rFonts w:ascii="Arial" w:hAnsi="Arial" w:cs="Arial"/>
        </w:rPr>
        <w:t>Quantifying the short-term and long-term responsiveness of the TB to changes in the exchange rate is vital to economic policy for numerous reasons. First, it establishes if there exists a stable long-term relationship between the exchange rate and TB. In case a stable long-term relationship does not exist, then devaluating a currency might not be a reasonable way of improving a nation’s competitiveness in the long-run perspective. Second, if the long-term relationship exists, it is essential to establish if devaluation could lead to a net improvement of TB in the long term (causality) or not.</w:t>
      </w:r>
      <w:r>
        <w:rPr>
          <w:rStyle w:val="FootnoteReference"/>
          <w:rFonts w:ascii="Arial" w:hAnsi="Arial" w:cs="Arial"/>
        </w:rPr>
        <w:footnoteReference w:id="14"/>
      </w:r>
      <w:r w:rsidRPr="0033762E">
        <w:rPr>
          <w:rFonts w:ascii="Arial" w:hAnsi="Arial" w:cs="Arial"/>
        </w:rPr>
        <w:t xml:space="preserve"> Third, quantifying the extent of the TB improvement is desirable because it enables one to weigh the TB benefit against the cost of devaluation (like foreign reserve accumulation). Fourth, the estimate of the short-term dynamics provides information regarding the immediate and medium-term impacts of exchange rate changes on </w:t>
      </w:r>
      <w:r w:rsidRPr="0033762E">
        <w:rPr>
          <w:rFonts w:ascii="Arial" w:hAnsi="Arial" w:cs="Arial"/>
        </w:rPr>
        <w:lastRenderedPageBreak/>
        <w:t>the TB (i.e., does a devaluation have a short-term adverse impact on the TB). If it does, it is reasonable to estimate the persistence and the extent of such adverse impact. </w:t>
      </w:r>
    </w:p>
    <w:p w14:paraId="53C374C1" w14:textId="77777777" w:rsidR="00A8440D" w:rsidRDefault="00A8440D" w:rsidP="0066301C">
      <w:pPr>
        <w:spacing w:line="360" w:lineRule="auto"/>
        <w:jc w:val="both"/>
        <w:rPr>
          <w:rFonts w:ascii="Arial" w:hAnsi="Arial" w:cs="Arial"/>
        </w:rPr>
      </w:pPr>
      <w:r w:rsidRPr="0033762E">
        <w:rPr>
          <w:rFonts w:ascii="Arial" w:hAnsi="Arial" w:cs="Arial"/>
        </w:rPr>
        <w:t>It is also important to know so that when TB gets negative in the short term, there will not be much concern because it will improve in the long term. If this understanding of the short-term negative impact is absent, there could be panic and a rush to reverse the devaluation policy (or implementation of other policies), thinking that it will lead to a further deficit of TB. This is often an empirical question, and the literature refers to it as the </w:t>
      </w:r>
      <w:r w:rsidRPr="0033762E">
        <w:rPr>
          <w:rStyle w:val="Emphasis"/>
          <w:rFonts w:ascii="Arial" w:hAnsi="Arial" w:cs="Arial"/>
          <w:color w:val="0E101A"/>
        </w:rPr>
        <w:t>J-</w:t>
      </w:r>
      <w:r w:rsidRPr="0033762E">
        <w:rPr>
          <w:rFonts w:ascii="Arial" w:hAnsi="Arial" w:cs="Arial"/>
        </w:rPr>
        <w:t>curve effect. The economic concept of the </w:t>
      </w:r>
      <w:r w:rsidRPr="0033762E">
        <w:rPr>
          <w:rStyle w:val="Emphasis"/>
          <w:rFonts w:ascii="Arial" w:hAnsi="Arial" w:cs="Arial"/>
          <w:color w:val="0E101A"/>
        </w:rPr>
        <w:t>J-</w:t>
      </w:r>
      <w:r w:rsidRPr="0033762E">
        <w:rPr>
          <w:rFonts w:ascii="Arial" w:hAnsi="Arial" w:cs="Arial"/>
        </w:rPr>
        <w:t>curve and the exchange rate devaluation are closely related, with Magee (1973) being the first researcher to introduce the </w:t>
      </w:r>
      <w:r w:rsidRPr="0033762E">
        <w:rPr>
          <w:rStyle w:val="Emphasis"/>
          <w:rFonts w:ascii="Arial" w:hAnsi="Arial" w:cs="Arial"/>
          <w:color w:val="0E101A"/>
        </w:rPr>
        <w:t>J</w:t>
      </w:r>
      <w:r w:rsidRPr="0033762E">
        <w:rPr>
          <w:rFonts w:ascii="Arial" w:hAnsi="Arial" w:cs="Arial"/>
        </w:rPr>
        <w:t>-curve phenomenon.</w:t>
      </w:r>
    </w:p>
    <w:p w14:paraId="0C630142" w14:textId="079451F9" w:rsidR="00A8440D" w:rsidRDefault="00A8440D" w:rsidP="0066301C">
      <w:pPr>
        <w:spacing w:line="360" w:lineRule="auto"/>
        <w:jc w:val="both"/>
        <w:rPr>
          <w:rFonts w:ascii="Arial" w:hAnsi="Arial" w:cs="Arial"/>
        </w:rPr>
      </w:pPr>
      <w:bookmarkStart w:id="31" w:name="_Hlk170213578"/>
      <w:bookmarkEnd w:id="30"/>
      <w:r w:rsidRPr="00B93612">
        <w:rPr>
          <w:rFonts w:ascii="Arial" w:hAnsi="Arial" w:cs="Arial"/>
          <w:lang w:val="en-US"/>
        </w:rPr>
        <w:t>Several theories have been used in analyzing the impact of exchange rate movements on nations’ TB</w:t>
      </w:r>
      <w:r>
        <w:rPr>
          <w:rFonts w:ascii="Arial" w:hAnsi="Arial" w:cs="Arial"/>
          <w:lang w:val="en-US"/>
        </w:rPr>
        <w:t>. T</w:t>
      </w:r>
      <w:r w:rsidRPr="00B93612">
        <w:rPr>
          <w:rFonts w:ascii="Arial" w:hAnsi="Arial" w:cs="Arial"/>
          <w:lang w:val="en-US"/>
        </w:rPr>
        <w:t xml:space="preserve">hese theories </w:t>
      </w:r>
      <w:r>
        <w:rPr>
          <w:rFonts w:ascii="Arial" w:hAnsi="Arial" w:cs="Arial"/>
          <w:lang w:val="en-US"/>
        </w:rPr>
        <w:t>are</w:t>
      </w:r>
      <w:r w:rsidRPr="00B93612">
        <w:rPr>
          <w:rFonts w:ascii="Arial" w:hAnsi="Arial" w:cs="Arial"/>
          <w:lang w:val="en-US"/>
        </w:rPr>
        <w:t xml:space="preserve"> the standard theory of international trade, the structuralists’ (elasticity theory), the Keynesian (absorption theory), the monetary theory</w:t>
      </w:r>
      <w:r>
        <w:rPr>
          <w:rFonts w:ascii="Arial" w:hAnsi="Arial" w:cs="Arial"/>
          <w:lang w:val="en-US"/>
        </w:rPr>
        <w:t xml:space="preserve"> and the </w:t>
      </w:r>
      <w:r>
        <w:rPr>
          <w:rFonts w:ascii="Arial" w:hAnsi="Arial" w:cs="Arial"/>
          <w:i/>
          <w:iCs/>
          <w:lang w:val="en-US"/>
        </w:rPr>
        <w:t>J-</w:t>
      </w:r>
      <w:r>
        <w:rPr>
          <w:rFonts w:ascii="Arial" w:hAnsi="Arial" w:cs="Arial"/>
          <w:lang w:val="en-US"/>
        </w:rPr>
        <w:t xml:space="preserve">curve theory. These </w:t>
      </w:r>
      <w:r w:rsidRPr="0096715F">
        <w:rPr>
          <w:rFonts w:ascii="Arial" w:hAnsi="Arial" w:cs="Arial"/>
          <w:lang w:val="en-US"/>
        </w:rPr>
        <w:t>theories</w:t>
      </w:r>
      <w:r w:rsidRPr="0096715F">
        <w:rPr>
          <w:rFonts w:ascii="Arial" w:hAnsi="Arial" w:cs="Arial"/>
          <w:color w:val="FF0000"/>
        </w:rPr>
        <w:t xml:space="preserve"> </w:t>
      </w:r>
      <w:r w:rsidRPr="0096715F">
        <w:rPr>
          <w:rFonts w:ascii="Arial" w:hAnsi="Arial" w:cs="Arial"/>
        </w:rPr>
        <w:t>are explained in chapter</w:t>
      </w:r>
      <w:r w:rsidR="00751C58" w:rsidRPr="0096715F">
        <w:rPr>
          <w:rFonts w:ascii="Arial" w:hAnsi="Arial" w:cs="Arial"/>
        </w:rPr>
        <w:t xml:space="preserve"> 2</w:t>
      </w:r>
      <w:r w:rsidRPr="0096715F">
        <w:rPr>
          <w:rFonts w:ascii="Arial" w:hAnsi="Arial" w:cs="Arial"/>
        </w:rPr>
        <w:t xml:space="preserve"> (section 2.4)</w:t>
      </w:r>
      <w:r w:rsidRPr="0096715F">
        <w:rPr>
          <w:rFonts w:ascii="Arial" w:hAnsi="Arial" w:cs="Arial"/>
          <w:lang w:val="en-US"/>
        </w:rPr>
        <w:t xml:space="preserve">. </w:t>
      </w:r>
      <w:r w:rsidRPr="0096715F">
        <w:rPr>
          <w:rFonts w:ascii="Arial" w:hAnsi="Arial" w:cs="Arial"/>
          <w:lang w:eastAsia="en-GB"/>
        </w:rPr>
        <w:t>Among</w:t>
      </w:r>
      <w:r w:rsidRPr="00CE5960">
        <w:rPr>
          <w:rFonts w:ascii="Arial" w:hAnsi="Arial" w:cs="Arial"/>
          <w:lang w:eastAsia="en-GB"/>
        </w:rPr>
        <w:t xml:space="preserve"> all the</w:t>
      </w:r>
      <w:r>
        <w:rPr>
          <w:rFonts w:ascii="Arial" w:hAnsi="Arial" w:cs="Arial"/>
          <w:lang w:eastAsia="en-GB"/>
        </w:rPr>
        <w:t>se</w:t>
      </w:r>
      <w:r w:rsidRPr="00CE5960">
        <w:rPr>
          <w:rFonts w:ascii="Arial" w:hAnsi="Arial" w:cs="Arial"/>
          <w:lang w:eastAsia="en-GB"/>
        </w:rPr>
        <w:t xml:space="preserve"> theories, the </w:t>
      </w:r>
      <w:r w:rsidRPr="00CE5960">
        <w:rPr>
          <w:rFonts w:ascii="Arial" w:hAnsi="Arial" w:cs="Arial"/>
          <w:i/>
          <w:iCs/>
          <w:lang w:eastAsia="en-GB"/>
        </w:rPr>
        <w:t>J</w:t>
      </w:r>
      <w:r w:rsidRPr="00CE5960">
        <w:rPr>
          <w:rFonts w:ascii="Arial" w:hAnsi="Arial" w:cs="Arial"/>
          <w:lang w:eastAsia="en-GB"/>
        </w:rPr>
        <w:t>-curve theory has had the most attention</w:t>
      </w:r>
      <w:r w:rsidRPr="0096715F">
        <w:rPr>
          <w:rFonts w:ascii="Arial" w:hAnsi="Arial" w:cs="Arial"/>
          <w:lang w:eastAsia="en-GB"/>
        </w:rPr>
        <w:t>.</w:t>
      </w:r>
      <w:r w:rsidRPr="0096715F">
        <w:rPr>
          <w:rFonts w:ascii="Arial" w:hAnsi="Arial" w:cs="Arial"/>
        </w:rPr>
        <w:t xml:space="preserve"> The </w:t>
      </w:r>
      <w:r w:rsidRPr="0096715F">
        <w:rPr>
          <w:rFonts w:ascii="Arial" w:hAnsi="Arial" w:cs="Arial"/>
          <w:i/>
          <w:iCs/>
        </w:rPr>
        <w:t>J</w:t>
      </w:r>
      <w:r w:rsidRPr="0096715F">
        <w:rPr>
          <w:rFonts w:ascii="Arial" w:hAnsi="Arial" w:cs="Arial"/>
        </w:rPr>
        <w:t xml:space="preserve">-curve theory occupied the most recent empirical literature due to its ability to incorporate other older approaches indirectly and provide a novel approach to the issue by itself, as explained in chapter </w:t>
      </w:r>
      <w:r w:rsidR="00751C58" w:rsidRPr="0096715F">
        <w:rPr>
          <w:rFonts w:ascii="Arial" w:hAnsi="Arial" w:cs="Arial"/>
        </w:rPr>
        <w:t>4</w:t>
      </w:r>
      <w:r w:rsidRPr="0096715F">
        <w:rPr>
          <w:rFonts w:ascii="Arial" w:hAnsi="Arial" w:cs="Arial"/>
        </w:rPr>
        <w:t xml:space="preserve"> (section 4.3). </w:t>
      </w:r>
    </w:p>
    <w:bookmarkEnd w:id="31"/>
    <w:p w14:paraId="4D33FF17" w14:textId="77777777" w:rsidR="00A8440D" w:rsidRPr="0033762E" w:rsidRDefault="00A8440D" w:rsidP="0066301C">
      <w:pPr>
        <w:spacing w:line="360" w:lineRule="auto"/>
        <w:jc w:val="both"/>
        <w:rPr>
          <w:rFonts w:ascii="Arial" w:hAnsi="Arial" w:cs="Arial"/>
        </w:rPr>
      </w:pPr>
      <w:r w:rsidRPr="0033762E">
        <w:rPr>
          <w:rFonts w:ascii="Arial" w:hAnsi="Arial" w:cs="Arial"/>
        </w:rPr>
        <w:t>The </w:t>
      </w:r>
      <w:r w:rsidRPr="0033762E">
        <w:rPr>
          <w:rStyle w:val="Emphasis"/>
          <w:rFonts w:ascii="Arial" w:hAnsi="Arial" w:cs="Arial"/>
          <w:color w:val="0E101A"/>
        </w:rPr>
        <w:t>J-</w:t>
      </w:r>
      <w:r w:rsidRPr="0033762E">
        <w:rPr>
          <w:rFonts w:ascii="Arial" w:hAnsi="Arial" w:cs="Arial"/>
        </w:rPr>
        <w:t>curve theory is the economics traditional wisdom of analysing the dynamic effect of exchange rate changes on TB. If the Marshall-Lerner Condition (MLC</w:t>
      </w:r>
      <w:r>
        <w:rPr>
          <w:rFonts w:ascii="Arial" w:hAnsi="Arial" w:cs="Arial"/>
        </w:rPr>
        <w:t>)</w:t>
      </w:r>
      <w:r>
        <w:rPr>
          <w:rStyle w:val="FootnoteReference"/>
          <w:rFonts w:ascii="Arial" w:hAnsi="Arial" w:cs="Arial"/>
        </w:rPr>
        <w:footnoteReference w:id="15"/>
      </w:r>
      <w:r w:rsidRPr="008204CC">
        <w:rPr>
          <w:rFonts w:ascii="Arial" w:hAnsi="Arial" w:cs="Arial"/>
        </w:rPr>
        <w:t xml:space="preserve"> holds, </w:t>
      </w:r>
      <w:r w:rsidRPr="0033762E">
        <w:rPr>
          <w:rFonts w:ascii="Arial" w:hAnsi="Arial" w:cs="Arial"/>
        </w:rPr>
        <w:t>it is likely that following a devaluation, an initial drop in TB occurs before an improvement follows (Ziramba and Chifamba, 2014; Baek </w:t>
      </w:r>
      <w:r w:rsidRPr="0033762E">
        <w:rPr>
          <w:rStyle w:val="Emphasis"/>
          <w:rFonts w:ascii="Arial" w:hAnsi="Arial" w:cs="Arial"/>
          <w:color w:val="0E101A"/>
        </w:rPr>
        <w:t>et al., </w:t>
      </w:r>
      <w:r w:rsidRPr="0033762E">
        <w:rPr>
          <w:rFonts w:ascii="Arial" w:hAnsi="Arial" w:cs="Arial"/>
        </w:rPr>
        <w:t>2006). The response of the TB over time looks like a tilted J shape. The </w:t>
      </w:r>
      <w:r w:rsidRPr="0033762E">
        <w:rPr>
          <w:rStyle w:val="Emphasis"/>
          <w:rFonts w:ascii="Arial" w:hAnsi="Arial" w:cs="Arial"/>
          <w:color w:val="0E101A"/>
        </w:rPr>
        <w:t>J</w:t>
      </w:r>
      <w:r w:rsidRPr="0033762E">
        <w:rPr>
          <w:rFonts w:ascii="Arial" w:hAnsi="Arial" w:cs="Arial"/>
        </w:rPr>
        <w:t xml:space="preserve">–curve </w:t>
      </w:r>
      <w:r>
        <w:rPr>
          <w:rFonts w:ascii="Arial" w:hAnsi="Arial" w:cs="Arial"/>
        </w:rPr>
        <w:t>effect</w:t>
      </w:r>
      <w:r w:rsidRPr="0033762E">
        <w:rPr>
          <w:rFonts w:ascii="Arial" w:hAnsi="Arial" w:cs="Arial"/>
        </w:rPr>
        <w:t xml:space="preserve"> is attributed to the lagged adjustment of quantities to changes in the relative prices (Magee, 1973; Junz and Rhomberg, 1973).</w:t>
      </w:r>
      <w:r>
        <w:rPr>
          <w:rFonts w:ascii="Arial" w:hAnsi="Arial" w:cs="Arial"/>
        </w:rPr>
        <w:t xml:space="preserve"> </w:t>
      </w:r>
      <w:r w:rsidRPr="0096715F">
        <w:rPr>
          <w:rFonts w:ascii="Arial" w:hAnsi="Arial" w:cs="Arial"/>
        </w:rPr>
        <w:t>The two aspects of the TB responsiveness to changes in the exchange rate are the long-term and the short-term response. The long-term describes the steady state between the new level of the REER and the TB. Once the steady state is attained, the dynamic responses are worn out, and the system is in a new equilibrium (Sahlan </w:t>
      </w:r>
      <w:r w:rsidRPr="0096715F">
        <w:rPr>
          <w:rStyle w:val="Emphasis"/>
          <w:rFonts w:ascii="Arial" w:hAnsi="Arial" w:cs="Arial"/>
          <w:color w:val="0E101A"/>
        </w:rPr>
        <w:t>et al.,</w:t>
      </w:r>
      <w:r w:rsidRPr="0096715F">
        <w:rPr>
          <w:rFonts w:ascii="Arial" w:hAnsi="Arial" w:cs="Arial"/>
        </w:rPr>
        <w:t> 2018). While the initial short-term deterioration of TB as a response to the devaluation is referred to in the literature as the </w:t>
      </w:r>
      <w:r w:rsidRPr="0096715F">
        <w:rPr>
          <w:rStyle w:val="Emphasis"/>
          <w:rFonts w:ascii="Arial" w:hAnsi="Arial" w:cs="Arial"/>
          <w:color w:val="0E101A"/>
        </w:rPr>
        <w:t>J</w:t>
      </w:r>
      <w:r w:rsidRPr="0096715F">
        <w:rPr>
          <w:rFonts w:ascii="Arial" w:hAnsi="Arial" w:cs="Arial"/>
        </w:rPr>
        <w:t>-curve (Sahlan </w:t>
      </w:r>
      <w:r w:rsidRPr="0096715F">
        <w:rPr>
          <w:rStyle w:val="Emphasis"/>
          <w:rFonts w:ascii="Arial" w:hAnsi="Arial" w:cs="Arial"/>
          <w:color w:val="0E101A"/>
        </w:rPr>
        <w:t>et al.,</w:t>
      </w:r>
      <w:r w:rsidRPr="0096715F">
        <w:rPr>
          <w:rFonts w:ascii="Arial" w:hAnsi="Arial" w:cs="Arial"/>
        </w:rPr>
        <w:t> 2018; Kurtovic </w:t>
      </w:r>
      <w:r w:rsidRPr="0096715F">
        <w:rPr>
          <w:rStyle w:val="Emphasis"/>
          <w:rFonts w:ascii="Arial" w:hAnsi="Arial" w:cs="Arial"/>
          <w:color w:val="0E101A"/>
        </w:rPr>
        <w:t>et al.,</w:t>
      </w:r>
      <w:r w:rsidRPr="0096715F">
        <w:rPr>
          <w:rFonts w:ascii="Arial" w:hAnsi="Arial" w:cs="Arial"/>
        </w:rPr>
        <w:t> 2016; Bahmani-Oskooee and Kantipong, 2001; Rose and Yellen, 1989; Magee, 1973). The name stems from the pattern of the TB caused by contracts outstanding during the exchange rate change. The </w:t>
      </w:r>
      <w:r w:rsidRPr="0096715F">
        <w:rPr>
          <w:rStyle w:val="Emphasis"/>
          <w:rFonts w:ascii="Arial" w:hAnsi="Arial" w:cs="Arial"/>
          <w:color w:val="0E101A"/>
        </w:rPr>
        <w:t>J</w:t>
      </w:r>
      <w:r w:rsidRPr="0096715F">
        <w:rPr>
          <w:rFonts w:ascii="Arial" w:hAnsi="Arial" w:cs="Arial"/>
        </w:rPr>
        <w:t xml:space="preserve">-curve occurs because of the sticky domestic currency prices of exports, which are subject to medium-term contracts. Therefore, the export prices in foreign currency fall, while at the same time the import prices in terms of domestic output increase. After a certain </w:t>
      </w:r>
      <w:r w:rsidRPr="0096715F">
        <w:rPr>
          <w:rFonts w:ascii="Arial" w:hAnsi="Arial" w:cs="Arial"/>
        </w:rPr>
        <w:lastRenderedPageBreak/>
        <w:t>time lagged, export and import volumes adjust to the new prices, and the TB starts improving. In other words, the </w:t>
      </w:r>
      <w:r w:rsidRPr="0096715F">
        <w:rPr>
          <w:rStyle w:val="Emphasis"/>
          <w:rFonts w:ascii="Arial" w:hAnsi="Arial" w:cs="Arial"/>
          <w:color w:val="0E101A"/>
        </w:rPr>
        <w:t>J</w:t>
      </w:r>
      <w:r w:rsidRPr="0096715F">
        <w:rPr>
          <w:rFonts w:ascii="Arial" w:hAnsi="Arial" w:cs="Arial"/>
        </w:rPr>
        <w:t>-curve represents a possible transition path from the old equilibrium level to the new equilibrium level.</w:t>
      </w:r>
      <w:r>
        <w:rPr>
          <w:rFonts w:ascii="Arial" w:hAnsi="Arial" w:cs="Arial"/>
        </w:rPr>
        <w:t xml:space="preserve"> </w:t>
      </w:r>
      <w:r w:rsidRPr="0033762E">
        <w:rPr>
          <w:rFonts w:ascii="Arial" w:hAnsi="Arial" w:cs="Arial"/>
        </w:rPr>
        <w:t>The cause of the </w:t>
      </w:r>
      <w:r w:rsidRPr="0033762E">
        <w:rPr>
          <w:rStyle w:val="Emphasis"/>
          <w:rFonts w:ascii="Arial" w:hAnsi="Arial" w:cs="Arial"/>
          <w:color w:val="0E101A"/>
        </w:rPr>
        <w:t>J-</w:t>
      </w:r>
      <w:r w:rsidRPr="0033762E">
        <w:rPr>
          <w:rFonts w:ascii="Arial" w:hAnsi="Arial" w:cs="Arial"/>
        </w:rPr>
        <w:t xml:space="preserve">curve </w:t>
      </w:r>
      <w:r>
        <w:rPr>
          <w:rFonts w:ascii="Arial" w:hAnsi="Arial" w:cs="Arial"/>
        </w:rPr>
        <w:t>i</w:t>
      </w:r>
      <w:r w:rsidRPr="0033762E">
        <w:rPr>
          <w:rFonts w:ascii="Arial" w:hAnsi="Arial" w:cs="Arial"/>
        </w:rPr>
        <w:t>s attributed to three adjustment periods: i) the currency contract period ii) the pass-through period and iii) the sluggish response (quantity-adjustment) period</w:t>
      </w:r>
      <w:r>
        <w:rPr>
          <w:rFonts w:ascii="Arial" w:hAnsi="Arial" w:cs="Arial"/>
        </w:rPr>
        <w:t>, as explained in section 4.3.</w:t>
      </w:r>
      <w:r w:rsidRPr="0033762E">
        <w:rPr>
          <w:rFonts w:ascii="Arial" w:hAnsi="Arial" w:cs="Arial"/>
        </w:rPr>
        <w:t> The perverse short-term effect is thought to have a duration of about a year (Stucka, 2003; Krugman and Baldwin, 1987).</w:t>
      </w:r>
    </w:p>
    <w:p w14:paraId="5ECE0572" w14:textId="77777777" w:rsidR="00A8440D" w:rsidRDefault="00A8440D" w:rsidP="0066301C">
      <w:pPr>
        <w:spacing w:line="360" w:lineRule="auto"/>
        <w:jc w:val="both"/>
        <w:rPr>
          <w:rFonts w:ascii="Arial" w:hAnsi="Arial" w:cs="Arial"/>
        </w:rPr>
      </w:pPr>
      <w:r>
        <w:rPr>
          <w:rFonts w:ascii="Arial" w:hAnsi="Arial" w:cs="Arial"/>
        </w:rPr>
        <w:t>A nation’s TB is often negative before a devaluation occurs to address it, else there is no need for the devaluation. Once the devaluation takes place, the TB worsens in the short-run till it gets to the minimum before it starts improving. That is why we have a tilted “</w:t>
      </w:r>
      <w:r w:rsidRPr="00FB63BD">
        <w:rPr>
          <w:rFonts w:ascii="Arial" w:hAnsi="Arial" w:cs="Arial"/>
          <w:i/>
          <w:iCs/>
        </w:rPr>
        <w:t>J</w:t>
      </w:r>
      <w:r>
        <w:rPr>
          <w:rFonts w:ascii="Arial" w:hAnsi="Arial" w:cs="Arial"/>
        </w:rPr>
        <w:t>” shape and not a “U” shape, because the TB was already negative and not zero or positive.</w:t>
      </w:r>
      <w:r>
        <w:rPr>
          <w:rStyle w:val="FootnoteReference"/>
          <w:rFonts w:ascii="Arial" w:hAnsi="Arial" w:cs="Arial"/>
        </w:rPr>
        <w:footnoteReference w:id="16"/>
      </w:r>
      <w:r>
        <w:rPr>
          <w:rFonts w:ascii="Arial" w:hAnsi="Arial" w:cs="Arial"/>
        </w:rPr>
        <w:t xml:space="preserve"> However, there are situations whereby a devaluation causes the TB to improve in the short-run and worsen in the long-run, producing an “</w:t>
      </w:r>
      <w:r>
        <w:rPr>
          <w:rFonts w:ascii="Arial" w:hAnsi="Arial" w:cs="Arial"/>
          <w:i/>
          <w:iCs/>
        </w:rPr>
        <w:t>S</w:t>
      </w:r>
      <w:r>
        <w:rPr>
          <w:rFonts w:ascii="Arial" w:hAnsi="Arial" w:cs="Arial"/>
        </w:rPr>
        <w:t xml:space="preserve">” shape curve, which is the opposite of the </w:t>
      </w:r>
      <w:r>
        <w:rPr>
          <w:rFonts w:ascii="Arial" w:hAnsi="Arial" w:cs="Arial"/>
          <w:i/>
          <w:iCs/>
        </w:rPr>
        <w:t>J</w:t>
      </w:r>
      <w:r>
        <w:rPr>
          <w:rFonts w:ascii="Arial" w:hAnsi="Arial" w:cs="Arial"/>
        </w:rPr>
        <w:t xml:space="preserve">-curve.  </w:t>
      </w:r>
    </w:p>
    <w:p w14:paraId="5DD8AD71" w14:textId="77777777" w:rsidR="00D91594" w:rsidRDefault="00A8440D" w:rsidP="0066301C">
      <w:pPr>
        <w:spacing w:line="360" w:lineRule="auto"/>
        <w:jc w:val="both"/>
        <w:rPr>
          <w:rFonts w:ascii="Arial" w:hAnsi="Arial" w:cs="Arial"/>
        </w:rPr>
      </w:pPr>
      <w:r w:rsidRPr="00D5468C">
        <w:rPr>
          <w:rFonts w:ascii="Arial" w:hAnsi="Arial" w:cs="Arial"/>
          <w:lang w:val="en-US"/>
        </w:rPr>
        <w:t xml:space="preserve">Though the </w:t>
      </w:r>
      <w:r w:rsidRPr="00D5468C">
        <w:rPr>
          <w:rFonts w:ascii="Arial" w:hAnsi="Arial" w:cs="Arial"/>
          <w:i/>
          <w:lang w:val="en-US"/>
        </w:rPr>
        <w:t>J-</w:t>
      </w:r>
      <w:r w:rsidRPr="00D5468C">
        <w:rPr>
          <w:rFonts w:ascii="Arial" w:hAnsi="Arial" w:cs="Arial"/>
          <w:lang w:val="en-US"/>
        </w:rPr>
        <w:t xml:space="preserve">curve </w:t>
      </w:r>
      <w:r>
        <w:rPr>
          <w:rFonts w:ascii="Arial" w:hAnsi="Arial" w:cs="Arial"/>
          <w:lang w:val="en-US"/>
        </w:rPr>
        <w:t>effect</w:t>
      </w:r>
      <w:r w:rsidRPr="00D5468C">
        <w:rPr>
          <w:rFonts w:ascii="Arial" w:hAnsi="Arial" w:cs="Arial"/>
          <w:lang w:val="en-US"/>
        </w:rPr>
        <w:t xml:space="preserve"> improved the understanding on the impact of movements in the exchange rate on the TB, it has undergone several stages of improvement. </w:t>
      </w:r>
      <w:r>
        <w:rPr>
          <w:rFonts w:ascii="Arial" w:hAnsi="Arial" w:cs="Arial"/>
        </w:rPr>
        <w:t xml:space="preserve">There exist three different approaches of investigating the presence of </w:t>
      </w:r>
      <w:r>
        <w:rPr>
          <w:rFonts w:ascii="Arial" w:hAnsi="Arial" w:cs="Arial"/>
          <w:i/>
        </w:rPr>
        <w:t>J-</w:t>
      </w:r>
      <w:r>
        <w:rPr>
          <w:rFonts w:ascii="Arial" w:hAnsi="Arial" w:cs="Arial"/>
        </w:rPr>
        <w:t xml:space="preserve">curve in a nation’s TB which include: </w:t>
      </w:r>
      <w:bookmarkStart w:id="32" w:name="_Hlk163210143"/>
    </w:p>
    <w:p w14:paraId="20B3DC6E" w14:textId="13C3E945" w:rsidR="00A8440D" w:rsidRDefault="00A8440D" w:rsidP="0066301C">
      <w:pPr>
        <w:spacing w:line="360" w:lineRule="auto"/>
        <w:jc w:val="both"/>
        <w:rPr>
          <w:rFonts w:ascii="Arial" w:hAnsi="Arial" w:cs="Arial"/>
        </w:rPr>
      </w:pPr>
      <w:r>
        <w:rPr>
          <w:rFonts w:ascii="Arial" w:hAnsi="Arial" w:cs="Arial"/>
        </w:rPr>
        <w:t xml:space="preserve">i) Aggregate Trade Data Approach by Magee (1973), </w:t>
      </w:r>
    </w:p>
    <w:p w14:paraId="2F1C1EA9" w14:textId="77777777" w:rsidR="00A8440D" w:rsidRDefault="00A8440D" w:rsidP="0066301C">
      <w:pPr>
        <w:spacing w:line="360" w:lineRule="auto"/>
        <w:jc w:val="both"/>
        <w:rPr>
          <w:rFonts w:ascii="Arial" w:hAnsi="Arial" w:cs="Arial"/>
        </w:rPr>
      </w:pPr>
      <w:r>
        <w:rPr>
          <w:rFonts w:ascii="Arial" w:hAnsi="Arial" w:cs="Arial"/>
        </w:rPr>
        <w:t xml:space="preserve">ii) Bilateral Aggregate Trade Data Approach by Rose and Yellen (1989), and </w:t>
      </w:r>
    </w:p>
    <w:bookmarkEnd w:id="32"/>
    <w:p w14:paraId="64D103CC" w14:textId="77777777" w:rsidR="00A8440D" w:rsidRDefault="00A8440D" w:rsidP="0066301C">
      <w:pPr>
        <w:spacing w:line="360" w:lineRule="auto"/>
        <w:jc w:val="both"/>
        <w:rPr>
          <w:rFonts w:ascii="Arial" w:hAnsi="Arial" w:cs="Arial"/>
        </w:rPr>
      </w:pPr>
      <w:r>
        <w:rPr>
          <w:rFonts w:ascii="Arial" w:hAnsi="Arial" w:cs="Arial"/>
        </w:rPr>
        <w:t xml:space="preserve">iii) Bilateral Disaggregate Trade Data approach by Doroodian </w:t>
      </w:r>
      <w:r>
        <w:rPr>
          <w:rFonts w:ascii="Arial" w:hAnsi="Arial" w:cs="Arial"/>
          <w:i/>
        </w:rPr>
        <w:t xml:space="preserve">et al. </w:t>
      </w:r>
      <w:r>
        <w:rPr>
          <w:rFonts w:ascii="Arial" w:hAnsi="Arial" w:cs="Arial"/>
        </w:rPr>
        <w:t xml:space="preserve">(1999). </w:t>
      </w:r>
    </w:p>
    <w:p w14:paraId="418B911C" w14:textId="77777777" w:rsidR="00A8440D" w:rsidRDefault="00A8440D" w:rsidP="0066301C">
      <w:pPr>
        <w:spacing w:line="360" w:lineRule="auto"/>
        <w:jc w:val="both"/>
        <w:rPr>
          <w:rFonts w:ascii="Arial" w:hAnsi="Arial" w:cs="Arial"/>
        </w:rPr>
      </w:pPr>
      <w:r w:rsidRPr="00FE4DCB">
        <w:rPr>
          <w:rFonts w:ascii="Arial" w:hAnsi="Arial" w:cs="Arial"/>
        </w:rPr>
        <w:t>Lots of empirical analyses on the </w:t>
      </w:r>
      <w:r w:rsidRPr="00FE4DCB">
        <w:rPr>
          <w:rStyle w:val="Emphasis"/>
          <w:rFonts w:ascii="Arial" w:hAnsi="Arial" w:cs="Arial"/>
        </w:rPr>
        <w:t>J-</w:t>
      </w:r>
      <w:r w:rsidRPr="00FE4DCB">
        <w:rPr>
          <w:rFonts w:ascii="Arial" w:hAnsi="Arial" w:cs="Arial"/>
        </w:rPr>
        <w:t>curve hypothesis are mixed. Studies on the impact of exchange rate movements on the trade balance are still in considerable disagreement on the relationships between these economic variables and the effectiveness of currency devaluation as a tool for improving the TB of a nation (Borena, 2013; Onafowora, 2003).</w:t>
      </w:r>
      <w:r>
        <w:rPr>
          <w:rFonts w:ascii="Arial" w:hAnsi="Arial" w:cs="Arial"/>
        </w:rPr>
        <w:t xml:space="preserve"> Thus, necessitating an empirical analysis for the CEMAC zone on the relationship between the CFA franc and the nations TB. Thus, we will be interested at investigating if the CFA franc devaluation improved CEMAC nations’ TB via </w:t>
      </w:r>
      <w:bookmarkStart w:id="33" w:name="_Hlk170215933"/>
      <w:r>
        <w:rPr>
          <w:rFonts w:ascii="Arial" w:hAnsi="Arial" w:cs="Arial"/>
        </w:rPr>
        <w:t xml:space="preserve">the presence of the </w:t>
      </w:r>
      <w:r>
        <w:rPr>
          <w:rFonts w:ascii="Arial" w:hAnsi="Arial" w:cs="Arial"/>
          <w:i/>
          <w:iCs/>
        </w:rPr>
        <w:t>J-</w:t>
      </w:r>
      <w:r>
        <w:rPr>
          <w:rFonts w:ascii="Arial" w:hAnsi="Arial" w:cs="Arial"/>
        </w:rPr>
        <w:t xml:space="preserve">curve. </w:t>
      </w:r>
    </w:p>
    <w:p w14:paraId="314D15F3" w14:textId="6C41821C" w:rsidR="00A8440D" w:rsidRPr="00926B4F" w:rsidRDefault="00A8440D" w:rsidP="0066301C">
      <w:pPr>
        <w:pStyle w:val="Heading3"/>
        <w:numPr>
          <w:ilvl w:val="0"/>
          <w:numId w:val="0"/>
        </w:numPr>
        <w:spacing w:before="0" w:beforeAutospacing="0" w:line="360" w:lineRule="auto"/>
        <w:rPr>
          <w:rFonts w:ascii="Times New Roman" w:hAnsi="Times New Roman" w:cs="Times New Roman"/>
          <w:sz w:val="24"/>
        </w:rPr>
      </w:pPr>
      <w:bookmarkStart w:id="34" w:name="_Toc171075350"/>
      <w:r>
        <w:t>1.2.3</w:t>
      </w:r>
      <w:r>
        <w:tab/>
      </w:r>
      <w:r w:rsidRPr="00892A02">
        <w:t>REAL EFFECTIVE</w:t>
      </w:r>
      <w:r>
        <w:t xml:space="preserve"> </w:t>
      </w:r>
      <w:r w:rsidRPr="00C371EA">
        <w:t>EXCHANGE RATE</w:t>
      </w:r>
      <w:r>
        <w:t xml:space="preserve"> AND ECONOMIC GROWTH</w:t>
      </w:r>
      <w:r>
        <w:rPr>
          <w:rFonts w:cs="Arial"/>
          <w:szCs w:val="22"/>
          <w:lang w:val="en-US"/>
        </w:rPr>
        <w:t>.</w:t>
      </w:r>
      <w:bookmarkEnd w:id="34"/>
    </w:p>
    <w:p w14:paraId="4AE6DDD0" w14:textId="77777777" w:rsidR="00D02743" w:rsidRDefault="00D02743" w:rsidP="0066301C">
      <w:pPr>
        <w:spacing w:line="360" w:lineRule="auto"/>
        <w:jc w:val="both"/>
        <w:rPr>
          <w:rFonts w:ascii="Arial" w:hAnsi="Arial" w:cs="Arial"/>
        </w:rPr>
      </w:pPr>
      <w:bookmarkStart w:id="35" w:name="_Hlk170216608"/>
      <w:r w:rsidRPr="00231A69">
        <w:rPr>
          <w:rFonts w:ascii="Arial" w:hAnsi="Arial" w:cs="Arial"/>
        </w:rPr>
        <w:t xml:space="preserve">There is a continuous divide between policymakers and economists </w:t>
      </w:r>
      <w:bookmarkEnd w:id="33"/>
      <w:r w:rsidRPr="00231A69">
        <w:rPr>
          <w:rFonts w:ascii="Arial" w:hAnsi="Arial" w:cs="Arial"/>
        </w:rPr>
        <w:t xml:space="preserve">regarding the impact of foreign exchange on economic growth. Whereas laypeople and politicians are often convinced </w:t>
      </w:r>
      <w:r w:rsidRPr="00231A69">
        <w:rPr>
          <w:rFonts w:ascii="Arial" w:hAnsi="Arial" w:cs="Arial"/>
        </w:rPr>
        <w:lastRenderedPageBreak/>
        <w:t>that a lower exchange rate will spur growth, economists are often sceptical that the relative price of two currencies could be a fundamental driver of growth over the long term. Most economists believe the exchange rate is an endogenous variable whose contribution to growth might be difficult to disentangle. Whether the exchange rate devaluation aids medium-term growth is still very unsettled in the literature. </w:t>
      </w:r>
    </w:p>
    <w:p w14:paraId="15D83F7E" w14:textId="77777777" w:rsidR="00D02743" w:rsidRDefault="00D02743" w:rsidP="0066301C">
      <w:pPr>
        <w:spacing w:line="360" w:lineRule="auto"/>
        <w:jc w:val="both"/>
        <w:rPr>
          <w:rFonts w:ascii="Arial" w:hAnsi="Arial" w:cs="Arial"/>
          <w:color w:val="000000"/>
          <w:spacing w:val="-5"/>
          <w:shd w:val="clear" w:color="auto" w:fill="FFFFFF"/>
        </w:rPr>
      </w:pPr>
      <w:r w:rsidRPr="0016630D">
        <w:rPr>
          <w:rFonts w:ascii="Arial" w:hAnsi="Arial" w:cs="Arial"/>
        </w:rPr>
        <w:t xml:space="preserve">Traditionally, the RER was not at the centre of analyses of economic growth. It did not feature in the first generation of neoclassical growth models (starting with Solow 1957) or in their practical policy incarnations </w:t>
      </w:r>
      <w:r>
        <w:rPr>
          <w:rFonts w:ascii="Arial" w:hAnsi="Arial" w:cs="Arial"/>
        </w:rPr>
        <w:t xml:space="preserve">(e.g. Rostow 1960) </w:t>
      </w:r>
      <w:r w:rsidRPr="0016630D">
        <w:rPr>
          <w:rFonts w:ascii="Arial" w:hAnsi="Arial" w:cs="Arial"/>
        </w:rPr>
        <w:t>which focused on the determinants of savings and investment (</w:t>
      </w:r>
      <w:r w:rsidRPr="0016630D">
        <w:rPr>
          <w:rFonts w:ascii="Arial" w:hAnsi="Arial" w:cs="Arial"/>
          <w:color w:val="000000"/>
          <w:spacing w:val="-5"/>
          <w:shd w:val="clear" w:color="auto" w:fill="FFFFFF"/>
        </w:rPr>
        <w:t>Eichengreen, 2007). That these were closed-economy models dictated that there was no role for the RER. The early neoclassical model focused attention on the large fraction of output growth not explained by the growth of observable factor input</w:t>
      </w:r>
      <w:r>
        <w:rPr>
          <w:rFonts w:ascii="Arial" w:hAnsi="Arial" w:cs="Arial"/>
          <w:color w:val="000000"/>
          <w:spacing w:val="-5"/>
          <w:shd w:val="clear" w:color="auto" w:fill="FFFFFF"/>
        </w:rPr>
        <w:t>s</w:t>
      </w:r>
      <w:r w:rsidRPr="0016630D">
        <w:rPr>
          <w:rFonts w:ascii="Arial" w:hAnsi="Arial" w:cs="Arial"/>
          <w:color w:val="000000"/>
          <w:spacing w:val="-5"/>
          <w:shd w:val="clear" w:color="auto" w:fill="FFFFFF"/>
        </w:rPr>
        <w:t xml:space="preserve"> (residual). The recent general neoclassical growth models</w:t>
      </w:r>
      <w:r>
        <w:rPr>
          <w:rFonts w:ascii="Arial" w:hAnsi="Arial" w:cs="Arial"/>
          <w:color w:val="000000"/>
          <w:spacing w:val="-5"/>
          <w:shd w:val="clear" w:color="auto" w:fill="FFFFFF"/>
        </w:rPr>
        <w:t xml:space="preserve"> (reviewed in Romer, 1994)</w:t>
      </w:r>
      <w:r w:rsidRPr="0016630D">
        <w:rPr>
          <w:rFonts w:ascii="Arial" w:hAnsi="Arial" w:cs="Arial"/>
          <w:color w:val="000000"/>
          <w:spacing w:val="-5"/>
          <w:shd w:val="clear" w:color="auto" w:fill="FFFFFF"/>
        </w:rPr>
        <w:t xml:space="preserve"> gave the RER more prominence. The literature on export-led growth is essentially about the advantages of keeping the prices of exportable high enough to make it attractive to shift resources into their production. Historically, this has meant the growth of the production for export of manufactures.</w:t>
      </w:r>
      <w:bookmarkEnd w:id="35"/>
      <w:r w:rsidRPr="0016630D">
        <w:rPr>
          <w:rFonts w:ascii="Arial" w:hAnsi="Arial" w:cs="Arial"/>
          <w:color w:val="000000"/>
          <w:spacing w:val="-5"/>
          <w:shd w:val="clear" w:color="auto" w:fill="FFFFFF"/>
        </w:rPr>
        <w:t xml:space="preserve"> Using the RER to provide an incentive to shift resources into manufacturing provides a boost to national income </w:t>
      </w:r>
      <w:r>
        <w:rPr>
          <w:rFonts w:ascii="Arial" w:hAnsi="Arial" w:cs="Arial"/>
          <w:color w:val="000000"/>
          <w:spacing w:val="-5"/>
          <w:shd w:val="clear" w:color="auto" w:fill="FFFFFF"/>
        </w:rPr>
        <w:t>insofar</w:t>
      </w:r>
      <w:r w:rsidRPr="0016630D">
        <w:rPr>
          <w:rFonts w:ascii="Arial" w:hAnsi="Arial" w:cs="Arial"/>
          <w:color w:val="000000"/>
          <w:spacing w:val="-5"/>
          <w:shd w:val="clear" w:color="auto" w:fill="FFFFFF"/>
        </w:rPr>
        <w:t xml:space="preserve"> there are conditions making for higher productivity in manufacturing than in agriculture. </w:t>
      </w:r>
      <w:r>
        <w:rPr>
          <w:rFonts w:ascii="Arial" w:hAnsi="Arial" w:cs="Arial"/>
          <w:color w:val="000000"/>
          <w:spacing w:val="-5"/>
          <w:shd w:val="clear" w:color="auto" w:fill="FFFFFF"/>
        </w:rPr>
        <w:t xml:space="preserve">If technological transfer or learning -by-doing is relatively rapid in sectors producing for export, then there will be additional stimulus to the overall rate of growth. Nations such as Japan, Hong Kong, South Korea, Singapore, Taiwan, and China had success with this growth model have directed attention to the RER as a development-relevant policy tool. It is difficult thinking of many developing nations that have sustained growth accelerations in the presence of an overvalued RER. </w:t>
      </w:r>
    </w:p>
    <w:p w14:paraId="240890D4" w14:textId="77777777" w:rsidR="00D02743" w:rsidRDefault="00D02743" w:rsidP="0066301C">
      <w:pPr>
        <w:spacing w:line="360" w:lineRule="auto"/>
        <w:jc w:val="both"/>
        <w:rPr>
          <w:rFonts w:ascii="Arial" w:hAnsi="Arial" w:cs="Arial"/>
        </w:rPr>
      </w:pPr>
      <w:r w:rsidRPr="00231A69">
        <w:rPr>
          <w:rFonts w:ascii="Arial" w:hAnsi="Arial" w:cs="Arial"/>
        </w:rPr>
        <w:t>The</w:t>
      </w:r>
      <w:r>
        <w:rPr>
          <w:rFonts w:ascii="Arial" w:hAnsi="Arial" w:cs="Arial"/>
        </w:rPr>
        <w:t>y</w:t>
      </w:r>
      <w:r w:rsidRPr="00231A69">
        <w:rPr>
          <w:rFonts w:ascii="Arial" w:hAnsi="Arial" w:cs="Arial"/>
        </w:rPr>
        <w:t xml:space="preserve"> argue</w:t>
      </w:r>
      <w:r>
        <w:rPr>
          <w:rFonts w:ascii="Arial" w:hAnsi="Arial" w:cs="Arial"/>
        </w:rPr>
        <w:t>d</w:t>
      </w:r>
      <w:r w:rsidRPr="00231A69">
        <w:rPr>
          <w:rFonts w:ascii="Arial" w:hAnsi="Arial" w:cs="Arial"/>
        </w:rPr>
        <w:t xml:space="preserve"> that there is a positive relationship between exchange rate changes and economic growth. An exchange rate devaluation influences the relative prices of domestic and foreign goods, promoting exports while decreasing imports. Currency devaluation converts the demands of foreigners into the country and directs the import demands of the indigenous to the local products. As such, currency devaluation supports economic growth by encouraging net exports (i.e., devaluation could be proposed as an effective policy tool to stimulate economic growth) (Karahan, 2020).</w:t>
      </w:r>
    </w:p>
    <w:p w14:paraId="77A8D680" w14:textId="77777777" w:rsidR="00D02743" w:rsidRPr="00231A69" w:rsidRDefault="00D02743" w:rsidP="0066301C">
      <w:pPr>
        <w:spacing w:line="360" w:lineRule="auto"/>
        <w:jc w:val="both"/>
        <w:rPr>
          <w:rFonts w:ascii="Arial" w:hAnsi="Arial" w:cs="Arial"/>
        </w:rPr>
      </w:pPr>
      <w:r>
        <w:rPr>
          <w:rFonts w:ascii="Arial" w:hAnsi="Arial" w:cs="Arial"/>
        </w:rPr>
        <w:t xml:space="preserve">On the contrary, the </w:t>
      </w:r>
      <w:r w:rsidRPr="00231A69">
        <w:rPr>
          <w:rFonts w:ascii="Arial" w:hAnsi="Arial" w:cs="Arial"/>
        </w:rPr>
        <w:t xml:space="preserve">Structuralist economists argued that currency devaluation hurts the economies of developing nations. A crucial structural problem in developing nations’ economies is the phenomenon of foreign dependency, as most of the inputs used by these nations in their production process are provided via imports. Most inputs used by these nations in their production processes are imported. An exchange rate devaluation will increase the cost of imported inputs like semi-finished goods and machinery used in the production process. Hence, </w:t>
      </w:r>
      <w:r w:rsidRPr="00231A69">
        <w:rPr>
          <w:rFonts w:ascii="Arial" w:hAnsi="Arial" w:cs="Arial"/>
        </w:rPr>
        <w:lastRenderedPageBreak/>
        <w:t>the increased cost of production because of the devaluation of domestic currency could harm the output level of the nation. </w:t>
      </w:r>
      <w:r>
        <w:rPr>
          <w:rFonts w:ascii="Arial" w:hAnsi="Arial" w:cs="Arial"/>
        </w:rPr>
        <w:t xml:space="preserve"> </w:t>
      </w:r>
    </w:p>
    <w:p w14:paraId="2339E343" w14:textId="77777777" w:rsidR="00D02743" w:rsidRPr="0096715F" w:rsidRDefault="00D02743" w:rsidP="0066301C">
      <w:pPr>
        <w:spacing w:line="360" w:lineRule="auto"/>
        <w:jc w:val="both"/>
        <w:rPr>
          <w:rFonts w:ascii="Arial" w:hAnsi="Arial" w:cs="Arial"/>
        </w:rPr>
      </w:pPr>
      <w:r w:rsidRPr="0096715F">
        <w:rPr>
          <w:rFonts w:ascii="Arial" w:hAnsi="Arial" w:cs="Arial"/>
        </w:rPr>
        <w:t>The ‘Washington Consensus’ by Williamson (1994) acknowledges the vital role of RER in the growth process.</w:t>
      </w:r>
      <w:r w:rsidRPr="0096715F">
        <w:rPr>
          <w:rStyle w:val="FootnoteReference"/>
          <w:rFonts w:ascii="Arial" w:hAnsi="Arial" w:cs="Arial"/>
        </w:rPr>
        <w:footnoteReference w:id="17"/>
      </w:r>
      <w:r w:rsidRPr="0096715F">
        <w:rPr>
          <w:rFonts w:ascii="Arial" w:hAnsi="Arial" w:cs="Arial"/>
        </w:rPr>
        <w:t> According to it, an appropriate real exchange rate should be consistent with macroeconomic objectives (price stability, full employment, economic growth, balance of payment equilibrium, and social welfare) in the medium run and “sufﬁciently competitive” such that exports grow at a rate consistent with external balance. From this vantage point, there is the notion that there exists an equilibrium real exchange rate (ERER) that satisﬁes both internal and external balances (Nurkse, 1945), and any deviation from it could impede economic growth. A persistently overvalued RER leads to factor misalignment, loss in efficiency, and loss of competitiveness, which hinders growth and slows convergence. Also, an overvalued RER exposes a currency to speculative attacks, which could eventually lead to capital flight as was the case of the Southeast Asia 1997 crisis (Ngian, 2000; Goldstein, 1998). The above conclusion is unanimously accepted for the RER overvaluation, but the theoretical and analytical equivalent for its alternative – the RER undervaluation being helpful to economic growth – is not.</w:t>
      </w:r>
    </w:p>
    <w:p w14:paraId="7ED0576E" w14:textId="77777777" w:rsidR="00D02743" w:rsidRPr="0096715F" w:rsidRDefault="00D02743" w:rsidP="0066301C">
      <w:pPr>
        <w:spacing w:line="360" w:lineRule="auto"/>
        <w:jc w:val="both"/>
        <w:rPr>
          <w:rFonts w:ascii="Arial" w:hAnsi="Arial" w:cs="Arial"/>
        </w:rPr>
      </w:pPr>
      <w:r w:rsidRPr="0096715F">
        <w:rPr>
          <w:rFonts w:ascii="Arial" w:hAnsi="Arial" w:cs="Arial"/>
        </w:rPr>
        <w:t xml:space="preserve">Contrary to the ‘Washington Consensus’ is the view championed by </w:t>
      </w:r>
      <w:bookmarkStart w:id="36" w:name="_Hlk163218394"/>
      <w:r w:rsidRPr="0096715F">
        <w:rPr>
          <w:rFonts w:ascii="Arial" w:hAnsi="Arial" w:cs="Arial"/>
        </w:rPr>
        <w:t>Rodrik (2008) that RER undervaluation promotes economic growth, and overvaluation harms it. This stance is in part due to the point of view that exchange rate – precisely an undervalued currency could be used in protecting home-based infant industries and the competitiveness of their exports (Nouira and Sekkat, 2015; Grekou, 2015; Levy-Yeyati </w:t>
      </w:r>
      <w:r w:rsidRPr="0096715F">
        <w:rPr>
          <w:rStyle w:val="Emphasis"/>
          <w:rFonts w:ascii="Arial" w:hAnsi="Arial" w:cs="Arial"/>
          <w:color w:val="0E101A"/>
        </w:rPr>
        <w:t>et al.,</w:t>
      </w:r>
      <w:r w:rsidRPr="0096715F">
        <w:rPr>
          <w:rFonts w:ascii="Arial" w:hAnsi="Arial" w:cs="Arial"/>
        </w:rPr>
        <w:t> 2013; Rodrik, 2008). This perspective was recently rekindled due to the success story of the export-led growth in conjunction with apparently undervalued currency in East-Asian nations (Grekou, 2015; Rodrik, 2008; Levy-Yeyati and Sturzenegger, 2007). Finally, Rodrik (2008) says that due to institutional weakness and market failure, the manufacturing sector in developing nations is unduly subject to distortions. As such, it is below its optimal size in equilibrium. Because removing those distortions appears difficult, an undervalued RER serves as a ‘more practical’ second-best option for optimally re-allocating resources towards the manufacturing sector (Rodrik, 2008). </w:t>
      </w:r>
    </w:p>
    <w:p w14:paraId="00EBFF0D" w14:textId="19B70BDA" w:rsidR="00A8440D" w:rsidRDefault="00D02743" w:rsidP="0066301C">
      <w:pPr>
        <w:spacing w:line="360" w:lineRule="auto"/>
        <w:jc w:val="both"/>
        <w:rPr>
          <w:rFonts w:ascii="Arial" w:hAnsi="Arial" w:cs="Arial"/>
        </w:rPr>
      </w:pPr>
      <w:r w:rsidRPr="0096715F">
        <w:rPr>
          <w:rFonts w:ascii="Arial" w:hAnsi="Arial" w:cs="Arial"/>
        </w:rPr>
        <w:t>Some empirical results do not support the conclusion that an undervalued RER contributes to economic growth. Easterly (2005) review of the updated Dollar (1997) measure of currency devaluation concludes that RER devaluation was insignificant as a determinant of economic growth. Acemoglu </w:t>
      </w:r>
      <w:r w:rsidRPr="0096715F">
        <w:rPr>
          <w:rStyle w:val="Emphasis"/>
          <w:rFonts w:ascii="Arial" w:hAnsi="Arial" w:cs="Arial"/>
          <w:color w:val="0E101A"/>
        </w:rPr>
        <w:t>et al.</w:t>
      </w:r>
      <w:r w:rsidRPr="0096715F">
        <w:rPr>
          <w:rFonts w:ascii="Arial" w:hAnsi="Arial" w:cs="Arial"/>
        </w:rPr>
        <w:t xml:space="preserve"> (2003) and the IMF (2005) also reached this conclusion, and that the </w:t>
      </w:r>
      <w:r w:rsidRPr="0096715F">
        <w:rPr>
          <w:rFonts w:ascii="Arial" w:hAnsi="Arial" w:cs="Arial"/>
        </w:rPr>
        <w:lastRenderedPageBreak/>
        <w:t xml:space="preserve">outcome was even weaker when institutions were introduced in the growth model. Nevertheless, some evidence of the positive effect of RER devaluation has surfaced, with the East-Asian nations (China, Hong Kong, Indonesia, Japan, Malaysia, Singapore, South Korea, Thailand, and Taiwan) being perfect examples. It is believed that their “miraculous” growth between the periods 1965 to 1990 was due to the support of “smart” in their export-led growth strategy, alongside their manipulation of the exchange rate (Razmi </w:t>
      </w:r>
      <w:r w:rsidRPr="0096715F">
        <w:rPr>
          <w:rFonts w:ascii="Arial" w:hAnsi="Arial" w:cs="Arial"/>
          <w:i/>
          <w:iCs/>
        </w:rPr>
        <w:t>et al</w:t>
      </w:r>
      <w:r w:rsidRPr="0096715F">
        <w:rPr>
          <w:rFonts w:ascii="Arial" w:hAnsi="Arial" w:cs="Arial"/>
        </w:rPr>
        <w:t xml:space="preserve">., 2012; Rodrik, 2008; </w:t>
      </w:r>
      <w:bookmarkStart w:id="37" w:name="_Hlk170219552"/>
      <w:r w:rsidRPr="0096715F">
        <w:rPr>
          <w:rFonts w:ascii="Arial" w:hAnsi="Arial" w:cs="Arial"/>
        </w:rPr>
        <w:t>World Bank, 1993).</w:t>
      </w:r>
    </w:p>
    <w:p w14:paraId="6B24E4A7" w14:textId="7DE51981" w:rsidR="00EC52FB" w:rsidRPr="008204CC" w:rsidRDefault="00DB120C" w:rsidP="0066301C">
      <w:pPr>
        <w:pStyle w:val="Heading2"/>
        <w:spacing w:before="0" w:beforeAutospacing="0"/>
      </w:pPr>
      <w:bookmarkStart w:id="38" w:name="_Toc171075351"/>
      <w:bookmarkStart w:id="39" w:name="_Hlk170216899"/>
      <w:bookmarkEnd w:id="36"/>
      <w:r>
        <w:t>1.</w:t>
      </w:r>
      <w:r w:rsidR="00901E22">
        <w:t>3</w:t>
      </w:r>
      <w:r>
        <w:tab/>
      </w:r>
      <w:r w:rsidR="00EC52FB">
        <w:t>BACKGROUND ON CFA FRANC</w:t>
      </w:r>
      <w:bookmarkEnd w:id="16"/>
      <w:bookmarkEnd w:id="38"/>
    </w:p>
    <w:p w14:paraId="1E185CD7" w14:textId="40D990B6" w:rsidR="001631CA" w:rsidRPr="0038176A" w:rsidRDefault="001631CA" w:rsidP="0066301C">
      <w:pPr>
        <w:spacing w:line="360" w:lineRule="auto"/>
        <w:jc w:val="both"/>
        <w:rPr>
          <w:rFonts w:ascii="Arial" w:hAnsi="Arial" w:cs="Arial"/>
        </w:rPr>
      </w:pPr>
      <w:bookmarkStart w:id="40" w:name="_Hlk163649409"/>
      <w:bookmarkStart w:id="41" w:name="_Toc84713920"/>
      <w:r w:rsidRPr="0038176A">
        <w:rPr>
          <w:rFonts w:ascii="Arial" w:hAnsi="Arial" w:cs="Arial"/>
        </w:rPr>
        <w:t>Created on 26</w:t>
      </w:r>
      <w:r w:rsidRPr="001631CA">
        <w:rPr>
          <w:rFonts w:ascii="Arial" w:hAnsi="Arial" w:cs="Arial"/>
          <w:vertAlign w:val="superscript"/>
        </w:rPr>
        <w:t>th</w:t>
      </w:r>
      <w:r>
        <w:rPr>
          <w:rFonts w:ascii="Arial" w:hAnsi="Arial" w:cs="Arial"/>
        </w:rPr>
        <w:t xml:space="preserve"> </w:t>
      </w:r>
      <w:bookmarkEnd w:id="37"/>
      <w:bookmarkEnd w:id="39"/>
      <w:r w:rsidRPr="0038176A">
        <w:rPr>
          <w:rFonts w:ascii="Arial" w:hAnsi="Arial" w:cs="Arial"/>
        </w:rPr>
        <w:t>December 1945 in the wake of the Bretton Woods conference, the Franc of African Financial Community (FCFA) – was initially known as the Franc of French Colonies of Africa (Franc des Colonies Francaises d'Afrique acronym - FCFA). The CFA franc (FCFA) is the currency used in 15 African states grouped into three zones: CEMAC (acronym for Communuaté Économique et Monétaire de l’Afrique Centrale - Central African Economic and Monetary Community), UEMOA (acronym for Union Economique et Monetaire Ouest Afraine - West Africa Economic and Monetary Union –WAEMU), and Comoros. The CEMAC zone consists of the following countries: Cameroon, Central Africa Republic, Chad, Republic of the Congo, Equatorial Guinea, and Gabon. The currency is redistributed in this zone by the Banque des Etats de l’Afrique Centrale (BEAC) – Bank of Central African States. UEMOA zone consists of the following countries: Benin, Burkina Faso, Guinea Bissau, Ivory Coast, Mali, Niger, Senegal, and Togo. The currency is redistributed in this region by Banque Central des Etats de l’Afrique de l’Ouest (BCEAO) – Central Bank of the West African States. In the Comoros, the currency is redistributed by Banque Centrale des Comoros (BCC) – Central Bank of Comoros (</w:t>
      </w:r>
      <w:r w:rsidR="00B27194" w:rsidRPr="0038176A">
        <w:rPr>
          <w:rFonts w:ascii="Arial" w:hAnsi="Arial" w:cs="Arial"/>
        </w:rPr>
        <w:t>Adom, 2015</w:t>
      </w:r>
      <w:r w:rsidR="00B27194">
        <w:rPr>
          <w:rFonts w:ascii="Arial" w:hAnsi="Arial" w:cs="Arial"/>
        </w:rPr>
        <w:t xml:space="preserve">; </w:t>
      </w:r>
      <w:r w:rsidR="00B27194" w:rsidRPr="0038176A">
        <w:rPr>
          <w:rFonts w:ascii="Arial" w:hAnsi="Arial" w:cs="Arial"/>
        </w:rPr>
        <w:t>Banque de France, 2010;</w:t>
      </w:r>
      <w:r w:rsidR="00B27194">
        <w:rPr>
          <w:rFonts w:ascii="Arial" w:hAnsi="Arial" w:cs="Arial"/>
        </w:rPr>
        <w:t xml:space="preserve"> </w:t>
      </w:r>
      <w:r w:rsidRPr="0038176A">
        <w:rPr>
          <w:rFonts w:ascii="Arial" w:hAnsi="Arial" w:cs="Arial"/>
        </w:rPr>
        <w:t>Coleman, 2008). </w:t>
      </w:r>
    </w:p>
    <w:bookmarkEnd w:id="40"/>
    <w:p w14:paraId="27AE6419" w14:textId="77777777" w:rsidR="001631CA" w:rsidRPr="0038176A" w:rsidRDefault="001631CA" w:rsidP="0066301C">
      <w:pPr>
        <w:spacing w:line="360" w:lineRule="auto"/>
        <w:jc w:val="both"/>
        <w:rPr>
          <w:rFonts w:ascii="Arial" w:hAnsi="Arial" w:cs="Arial"/>
        </w:rPr>
      </w:pPr>
      <w:r w:rsidRPr="0038176A">
        <w:rPr>
          <w:rFonts w:ascii="Arial" w:hAnsi="Arial" w:cs="Arial"/>
        </w:rPr>
        <w:t>The International Organization for Standardization (ISO) currency codes are XAF for the Central African CFA franc (CEMAC nations), XOF for the West African CFA franc (UEMOA nations), and KMF for Comoros. The monetary and exchange rate policies of CFA franc zone nations are set by BEAC, BCEAO, and BCC boards of governors, and the policies implementation is done by the national branches of the independent central banks, which are linked to France (Adom, 2012; Amin, 2000). Any change in policy, such as parity change, must be in absolute agreement between France and the central banks. Until 1992, there was limitless transferability within regional members and between the region and France, free mobility of capital within and between the zones and France. Some restrictions were imposed on currency convertibility in 1993, such that there was no repurchasing of FCFA outside the zone of issue. Thus, each zone is autonomous from the other, necessitating this study to focus on the CEMAC zone nations and not the entire CFA franc zone.  </w:t>
      </w:r>
    </w:p>
    <w:p w14:paraId="6842CB34" w14:textId="27262E61" w:rsidR="001631CA" w:rsidRPr="0038176A" w:rsidRDefault="001631CA" w:rsidP="0066301C">
      <w:pPr>
        <w:pStyle w:val="NormalWeb"/>
        <w:spacing w:before="0" w:beforeAutospacing="0" w:after="0" w:afterAutospacing="0" w:line="360" w:lineRule="auto"/>
        <w:jc w:val="both"/>
        <w:rPr>
          <w:rFonts w:ascii="Arial" w:hAnsi="Arial" w:cs="Arial"/>
          <w:color w:val="0E101A"/>
          <w:sz w:val="22"/>
          <w:szCs w:val="22"/>
        </w:rPr>
      </w:pPr>
      <w:bookmarkStart w:id="42" w:name="_Hlk170216998"/>
      <w:r w:rsidRPr="0038176A">
        <w:rPr>
          <w:rFonts w:ascii="Arial" w:hAnsi="Arial" w:cs="Arial"/>
          <w:color w:val="0E101A"/>
          <w:sz w:val="22"/>
          <w:szCs w:val="22"/>
        </w:rPr>
        <w:lastRenderedPageBreak/>
        <w:t>The FCFA was created with a fixed exchange rate versus the French franc (FF), and the exchange rate changed only twice: in 1948 and 1994.</w:t>
      </w:r>
      <w:r w:rsidR="00147E59">
        <w:rPr>
          <w:rFonts w:ascii="Arial" w:hAnsi="Arial" w:cs="Arial"/>
          <w:color w:val="0E101A"/>
          <w:sz w:val="22"/>
          <w:szCs w:val="22"/>
        </w:rPr>
        <w:t xml:space="preserve"> While the events in</w:t>
      </w:r>
      <w:r w:rsidR="00147E59" w:rsidRPr="00521F1A">
        <w:rPr>
          <w:rFonts w:ascii="Arial" w:hAnsi="Arial" w:cs="Arial"/>
          <w:color w:val="0E101A"/>
          <w:sz w:val="22"/>
          <w:szCs w:val="22"/>
        </w:rPr>
        <w:t xml:space="preserve"> </w:t>
      </w:r>
      <w:r w:rsidR="00521F1A" w:rsidRPr="00521F1A">
        <w:rPr>
          <w:rFonts w:ascii="Arial" w:hAnsi="Arial" w:cs="Arial"/>
          <w:sz w:val="22"/>
          <w:szCs w:val="22"/>
        </w:rPr>
        <w:t>both 1960 and 1999 were simply changes in the currency in use in FF/ €</w:t>
      </w:r>
      <w:r w:rsidR="00521F1A">
        <w:rPr>
          <w:rFonts w:ascii="Arial" w:hAnsi="Arial" w:cs="Arial"/>
          <w:sz w:val="22"/>
          <w:szCs w:val="22"/>
        </w:rPr>
        <w:t xml:space="preserve"> as shown below.</w:t>
      </w:r>
    </w:p>
    <w:p w14:paraId="32E63DC5" w14:textId="4AA78066" w:rsidR="00147E59" w:rsidRDefault="00147E59" w:rsidP="00A0348C">
      <w:pPr>
        <w:pStyle w:val="NormalWeb"/>
        <w:spacing w:before="0" w:beforeAutospacing="0" w:after="0" w:afterAutospacing="0"/>
        <w:jc w:val="both"/>
        <w:rPr>
          <w:rFonts w:ascii="Arial" w:hAnsi="Arial" w:cs="Arial"/>
          <w:color w:val="0E101A"/>
          <w:sz w:val="22"/>
          <w:szCs w:val="22"/>
        </w:rPr>
      </w:pPr>
      <w:bookmarkStart w:id="43" w:name="_Hlk162876220"/>
      <w:bookmarkStart w:id="44" w:name="_Hlk170216927"/>
      <w:bookmarkEnd w:id="42"/>
      <w:r w:rsidRPr="00147E59">
        <w:rPr>
          <w:rFonts w:ascii="Arial" w:hAnsi="Arial" w:cs="Arial"/>
          <w:b/>
          <w:bCs/>
          <w:color w:val="0E101A"/>
          <w:sz w:val="22"/>
          <w:szCs w:val="22"/>
        </w:rPr>
        <w:t>Table 1.1: FCFA Parity</w:t>
      </w:r>
      <w:bookmarkEnd w:id="43"/>
      <w:r>
        <w:rPr>
          <w:rFonts w:ascii="Arial" w:hAnsi="Arial" w:cs="Arial"/>
          <w:color w:val="0E101A"/>
          <w:sz w:val="22"/>
          <w:szCs w:val="22"/>
        </w:rPr>
        <w:t>.</w:t>
      </w:r>
    </w:p>
    <w:tbl>
      <w:tblPr>
        <w:tblStyle w:val="TableGrid"/>
        <w:tblW w:w="9072" w:type="dxa"/>
        <w:tblInd w:w="-5" w:type="dxa"/>
        <w:tblLook w:val="04A0" w:firstRow="1" w:lastRow="0" w:firstColumn="1" w:lastColumn="0" w:noHBand="0" w:noVBand="1"/>
      </w:tblPr>
      <w:tblGrid>
        <w:gridCol w:w="2240"/>
        <w:gridCol w:w="1842"/>
        <w:gridCol w:w="4990"/>
      </w:tblGrid>
      <w:tr w:rsidR="00147E59" w14:paraId="325B88D0" w14:textId="77777777" w:rsidTr="007A2A5A">
        <w:tc>
          <w:tcPr>
            <w:tcW w:w="2240" w:type="dxa"/>
          </w:tcPr>
          <w:p w14:paraId="535266EF" w14:textId="77777777" w:rsidR="00147E59" w:rsidRPr="0032262A" w:rsidRDefault="00147E59" w:rsidP="0066301C">
            <w:pPr>
              <w:jc w:val="center"/>
              <w:rPr>
                <w:rFonts w:ascii="Arial" w:hAnsi="Arial" w:cs="Arial"/>
                <w:b/>
                <w:bCs/>
                <w:lang w:val="en-US"/>
              </w:rPr>
            </w:pPr>
            <w:r w:rsidRPr="0032262A">
              <w:rPr>
                <w:rFonts w:ascii="Arial" w:hAnsi="Arial" w:cs="Arial"/>
                <w:b/>
                <w:bCs/>
                <w:lang w:val="en-US"/>
              </w:rPr>
              <w:t>Period</w:t>
            </w:r>
          </w:p>
        </w:tc>
        <w:tc>
          <w:tcPr>
            <w:tcW w:w="1842" w:type="dxa"/>
          </w:tcPr>
          <w:p w14:paraId="1B43C76D" w14:textId="77777777" w:rsidR="00147E59" w:rsidRPr="0032262A" w:rsidRDefault="00147E59" w:rsidP="0066301C">
            <w:pPr>
              <w:jc w:val="center"/>
              <w:rPr>
                <w:rFonts w:ascii="Arial" w:hAnsi="Arial" w:cs="Arial"/>
                <w:b/>
                <w:bCs/>
                <w:lang w:val="en-US"/>
              </w:rPr>
            </w:pPr>
            <w:r w:rsidRPr="0032262A">
              <w:rPr>
                <w:rFonts w:ascii="Arial" w:hAnsi="Arial" w:cs="Arial"/>
                <w:b/>
                <w:bCs/>
                <w:lang w:val="en-US"/>
              </w:rPr>
              <w:t>Parity</w:t>
            </w:r>
          </w:p>
        </w:tc>
        <w:tc>
          <w:tcPr>
            <w:tcW w:w="4990" w:type="dxa"/>
          </w:tcPr>
          <w:p w14:paraId="124669F5" w14:textId="77777777" w:rsidR="00147E59" w:rsidRPr="0032262A" w:rsidRDefault="00147E59" w:rsidP="0066301C">
            <w:pPr>
              <w:jc w:val="center"/>
              <w:rPr>
                <w:rFonts w:ascii="Arial" w:hAnsi="Arial" w:cs="Arial"/>
                <w:b/>
                <w:bCs/>
                <w:lang w:val="en-US"/>
              </w:rPr>
            </w:pPr>
            <w:r w:rsidRPr="0032262A">
              <w:rPr>
                <w:rFonts w:ascii="Arial" w:hAnsi="Arial" w:cs="Arial"/>
                <w:b/>
                <w:bCs/>
                <w:lang w:val="en-US"/>
              </w:rPr>
              <w:t>Comment</w:t>
            </w:r>
          </w:p>
        </w:tc>
      </w:tr>
      <w:tr w:rsidR="00147E59" w14:paraId="7AC40F46" w14:textId="77777777" w:rsidTr="007A2A5A">
        <w:tc>
          <w:tcPr>
            <w:tcW w:w="2240" w:type="dxa"/>
          </w:tcPr>
          <w:p w14:paraId="7C9C5EDD" w14:textId="77777777" w:rsidR="00147E59" w:rsidRDefault="00147E59" w:rsidP="0066301C">
            <w:pPr>
              <w:jc w:val="both"/>
              <w:rPr>
                <w:rFonts w:ascii="Arial" w:hAnsi="Arial" w:cs="Arial"/>
                <w:sz w:val="20"/>
                <w:szCs w:val="20"/>
                <w:lang w:val="en-US"/>
              </w:rPr>
            </w:pPr>
            <w:r>
              <w:rPr>
                <w:rFonts w:ascii="Arial" w:hAnsi="Arial" w:cs="Arial"/>
                <w:sz w:val="20"/>
                <w:szCs w:val="20"/>
                <w:lang w:val="en-US"/>
              </w:rPr>
              <w:t>26</w:t>
            </w:r>
            <w:r w:rsidRPr="00B02625">
              <w:rPr>
                <w:rFonts w:ascii="Arial" w:hAnsi="Arial" w:cs="Arial"/>
                <w:sz w:val="20"/>
                <w:szCs w:val="20"/>
                <w:vertAlign w:val="superscript"/>
                <w:lang w:val="en-US"/>
              </w:rPr>
              <w:t>th</w:t>
            </w:r>
            <w:r>
              <w:rPr>
                <w:rFonts w:ascii="Arial" w:hAnsi="Arial" w:cs="Arial"/>
                <w:sz w:val="20"/>
                <w:szCs w:val="20"/>
                <w:lang w:val="en-US"/>
              </w:rPr>
              <w:t xml:space="preserve"> Dec. 1945 to 16</w:t>
            </w:r>
            <w:r w:rsidRPr="00B02625">
              <w:rPr>
                <w:rFonts w:ascii="Arial" w:hAnsi="Arial" w:cs="Arial"/>
                <w:sz w:val="20"/>
                <w:szCs w:val="20"/>
                <w:vertAlign w:val="superscript"/>
                <w:lang w:val="en-US"/>
              </w:rPr>
              <w:t>th</w:t>
            </w:r>
            <w:r>
              <w:rPr>
                <w:rFonts w:ascii="Arial" w:hAnsi="Arial" w:cs="Arial"/>
                <w:sz w:val="20"/>
                <w:szCs w:val="20"/>
                <w:lang w:val="en-US"/>
              </w:rPr>
              <w:t xml:space="preserve"> Oct. 1948 </w:t>
            </w:r>
          </w:p>
        </w:tc>
        <w:tc>
          <w:tcPr>
            <w:tcW w:w="1842" w:type="dxa"/>
          </w:tcPr>
          <w:p w14:paraId="15F0332F" w14:textId="77777777" w:rsidR="00147E59" w:rsidRDefault="00147E59" w:rsidP="0066301C">
            <w:pPr>
              <w:jc w:val="both"/>
              <w:rPr>
                <w:rFonts w:ascii="Arial" w:hAnsi="Arial" w:cs="Arial"/>
                <w:sz w:val="20"/>
                <w:szCs w:val="20"/>
                <w:lang w:val="en-US"/>
              </w:rPr>
            </w:pPr>
            <w:r>
              <w:rPr>
                <w:rFonts w:ascii="Arial" w:hAnsi="Arial" w:cs="Arial"/>
                <w:sz w:val="20"/>
                <w:szCs w:val="20"/>
                <w:lang w:val="en-US"/>
              </w:rPr>
              <w:t>1 FCFA = 1.70 FF</w:t>
            </w:r>
          </w:p>
        </w:tc>
        <w:tc>
          <w:tcPr>
            <w:tcW w:w="4990" w:type="dxa"/>
          </w:tcPr>
          <w:p w14:paraId="3AE83EF5" w14:textId="77777777" w:rsidR="00147E59" w:rsidRDefault="00147E59" w:rsidP="0066301C">
            <w:pPr>
              <w:jc w:val="both"/>
              <w:rPr>
                <w:rFonts w:ascii="Arial" w:hAnsi="Arial" w:cs="Arial"/>
                <w:sz w:val="20"/>
                <w:szCs w:val="20"/>
                <w:lang w:val="en-US"/>
              </w:rPr>
            </w:pPr>
            <w:r>
              <w:rPr>
                <w:rFonts w:ascii="Arial" w:hAnsi="Arial" w:cs="Arial"/>
                <w:sz w:val="20"/>
                <w:szCs w:val="20"/>
                <w:lang w:val="en-US"/>
              </w:rPr>
              <w:t xml:space="preserve">The 0.70 FF was a premium for creating the FCFA </w:t>
            </w:r>
          </w:p>
        </w:tc>
      </w:tr>
      <w:tr w:rsidR="00147E59" w14:paraId="176D4EAB" w14:textId="77777777" w:rsidTr="007A2A5A">
        <w:tc>
          <w:tcPr>
            <w:tcW w:w="2240" w:type="dxa"/>
          </w:tcPr>
          <w:p w14:paraId="4E8ADB34" w14:textId="77777777" w:rsidR="00147E59" w:rsidRPr="00B02625" w:rsidRDefault="00147E59" w:rsidP="0066301C">
            <w:pPr>
              <w:jc w:val="both"/>
              <w:rPr>
                <w:rFonts w:ascii="Arial" w:hAnsi="Arial" w:cs="Arial"/>
                <w:sz w:val="20"/>
                <w:szCs w:val="20"/>
                <w:lang w:val="en-US"/>
              </w:rPr>
            </w:pPr>
            <w:r w:rsidRPr="00B02625">
              <w:rPr>
                <w:rFonts w:ascii="Arial" w:hAnsi="Arial" w:cs="Arial"/>
                <w:color w:val="0E101A"/>
                <w:sz w:val="20"/>
                <w:szCs w:val="20"/>
              </w:rPr>
              <w:t>17</w:t>
            </w:r>
            <w:r w:rsidRPr="00B02625">
              <w:rPr>
                <w:rFonts w:ascii="Arial" w:hAnsi="Arial" w:cs="Arial"/>
                <w:color w:val="0E101A"/>
                <w:sz w:val="20"/>
                <w:szCs w:val="20"/>
                <w:vertAlign w:val="superscript"/>
              </w:rPr>
              <w:t>th</w:t>
            </w:r>
            <w:r>
              <w:rPr>
                <w:rFonts w:ascii="Arial" w:hAnsi="Arial" w:cs="Arial"/>
                <w:color w:val="0E101A"/>
                <w:sz w:val="20"/>
                <w:szCs w:val="20"/>
              </w:rPr>
              <w:t xml:space="preserve"> </w:t>
            </w:r>
            <w:r w:rsidRPr="00B02625">
              <w:rPr>
                <w:rFonts w:ascii="Arial" w:hAnsi="Arial" w:cs="Arial"/>
                <w:color w:val="0E101A"/>
                <w:sz w:val="20"/>
                <w:szCs w:val="20"/>
              </w:rPr>
              <w:t>Oct</w:t>
            </w:r>
            <w:r>
              <w:rPr>
                <w:rFonts w:ascii="Arial" w:hAnsi="Arial" w:cs="Arial"/>
                <w:color w:val="0E101A"/>
                <w:sz w:val="20"/>
                <w:szCs w:val="20"/>
              </w:rPr>
              <w:t>.</w:t>
            </w:r>
            <w:r w:rsidRPr="00B02625">
              <w:rPr>
                <w:rFonts w:ascii="Arial" w:hAnsi="Arial" w:cs="Arial"/>
                <w:color w:val="0E101A"/>
                <w:sz w:val="20"/>
                <w:szCs w:val="20"/>
              </w:rPr>
              <w:t xml:space="preserve"> 1948 to 31</w:t>
            </w:r>
            <w:r w:rsidRPr="00B02625">
              <w:rPr>
                <w:rFonts w:ascii="Arial" w:hAnsi="Arial" w:cs="Arial"/>
                <w:color w:val="0E101A"/>
                <w:sz w:val="20"/>
                <w:szCs w:val="20"/>
                <w:vertAlign w:val="superscript"/>
              </w:rPr>
              <w:t>st</w:t>
            </w:r>
            <w:r w:rsidRPr="00B02625">
              <w:rPr>
                <w:rFonts w:ascii="Arial" w:hAnsi="Arial" w:cs="Arial"/>
                <w:color w:val="0E101A"/>
                <w:sz w:val="20"/>
                <w:szCs w:val="20"/>
              </w:rPr>
              <w:t xml:space="preserve"> Dec</w:t>
            </w:r>
            <w:r>
              <w:rPr>
                <w:rFonts w:ascii="Arial" w:hAnsi="Arial" w:cs="Arial"/>
                <w:color w:val="0E101A"/>
                <w:sz w:val="20"/>
                <w:szCs w:val="20"/>
              </w:rPr>
              <w:t>.</w:t>
            </w:r>
            <w:r w:rsidRPr="00B02625">
              <w:rPr>
                <w:rFonts w:ascii="Arial" w:hAnsi="Arial" w:cs="Arial"/>
                <w:color w:val="0E101A"/>
                <w:sz w:val="20"/>
                <w:szCs w:val="20"/>
              </w:rPr>
              <w:t xml:space="preserve"> 1959</w:t>
            </w:r>
          </w:p>
        </w:tc>
        <w:tc>
          <w:tcPr>
            <w:tcW w:w="1842" w:type="dxa"/>
          </w:tcPr>
          <w:p w14:paraId="40082D96" w14:textId="77777777" w:rsidR="00147E59" w:rsidRPr="00B02625" w:rsidRDefault="00147E59" w:rsidP="0066301C">
            <w:pPr>
              <w:jc w:val="both"/>
              <w:rPr>
                <w:rFonts w:ascii="Arial" w:hAnsi="Arial" w:cs="Arial"/>
                <w:sz w:val="20"/>
                <w:szCs w:val="20"/>
                <w:lang w:val="en-US"/>
              </w:rPr>
            </w:pPr>
            <w:r w:rsidRPr="00B02625">
              <w:rPr>
                <w:rFonts w:ascii="Arial" w:hAnsi="Arial" w:cs="Arial"/>
                <w:color w:val="0E101A"/>
                <w:sz w:val="20"/>
                <w:szCs w:val="20"/>
              </w:rPr>
              <w:t>1 FCFA = 2 FF</w:t>
            </w:r>
          </w:p>
        </w:tc>
        <w:tc>
          <w:tcPr>
            <w:tcW w:w="4990" w:type="dxa"/>
          </w:tcPr>
          <w:p w14:paraId="14C9A937" w14:textId="77777777" w:rsidR="00147E59" w:rsidRPr="00DD74C9" w:rsidRDefault="00147E59" w:rsidP="0066301C">
            <w:pPr>
              <w:jc w:val="both"/>
              <w:rPr>
                <w:rFonts w:ascii="Arial" w:hAnsi="Arial" w:cs="Arial"/>
                <w:sz w:val="20"/>
                <w:szCs w:val="20"/>
                <w:lang w:val="en-US"/>
              </w:rPr>
            </w:pPr>
            <w:r w:rsidRPr="00DD74C9">
              <w:rPr>
                <w:rFonts w:ascii="Arial" w:hAnsi="Arial" w:cs="Arial"/>
                <w:color w:val="0E101A"/>
                <w:sz w:val="20"/>
                <w:szCs w:val="20"/>
              </w:rPr>
              <w:t>The FF devalued ag</w:t>
            </w:r>
            <w:r>
              <w:rPr>
                <w:rFonts w:ascii="Arial" w:hAnsi="Arial" w:cs="Arial"/>
                <w:color w:val="0E101A"/>
                <w:sz w:val="20"/>
                <w:szCs w:val="20"/>
              </w:rPr>
              <w:t>ainst the US dollar</w:t>
            </w:r>
            <w:r w:rsidRPr="00DD74C9">
              <w:rPr>
                <w:rFonts w:ascii="Arial" w:hAnsi="Arial" w:cs="Arial"/>
                <w:color w:val="0E101A"/>
                <w:sz w:val="20"/>
                <w:szCs w:val="20"/>
              </w:rPr>
              <w:t>, and the CFA franc was revalued against the FF</w:t>
            </w:r>
            <w:r>
              <w:rPr>
                <w:rFonts w:ascii="Arial" w:hAnsi="Arial" w:cs="Arial"/>
                <w:color w:val="0E101A"/>
                <w:sz w:val="20"/>
                <w:szCs w:val="20"/>
              </w:rPr>
              <w:t>.</w:t>
            </w:r>
          </w:p>
        </w:tc>
      </w:tr>
      <w:tr w:rsidR="00147E59" w14:paraId="0E2978D8" w14:textId="77777777" w:rsidTr="007A2A5A">
        <w:tc>
          <w:tcPr>
            <w:tcW w:w="2240" w:type="dxa"/>
          </w:tcPr>
          <w:p w14:paraId="576FA5A0" w14:textId="77777777" w:rsidR="00147E59" w:rsidRPr="0032262A" w:rsidRDefault="00147E59" w:rsidP="0066301C">
            <w:pPr>
              <w:jc w:val="both"/>
              <w:rPr>
                <w:rFonts w:ascii="Arial" w:hAnsi="Arial" w:cs="Arial"/>
                <w:sz w:val="20"/>
                <w:szCs w:val="20"/>
                <w:lang w:val="en-US"/>
              </w:rPr>
            </w:pPr>
            <w:r w:rsidRPr="0032262A">
              <w:rPr>
                <w:rFonts w:ascii="Arial" w:hAnsi="Arial" w:cs="Arial"/>
                <w:color w:val="0E101A"/>
                <w:sz w:val="20"/>
                <w:szCs w:val="20"/>
              </w:rPr>
              <w:t>1</w:t>
            </w:r>
            <w:r w:rsidRPr="0032262A">
              <w:rPr>
                <w:rFonts w:ascii="Arial" w:hAnsi="Arial" w:cs="Arial"/>
                <w:color w:val="0E101A"/>
                <w:sz w:val="20"/>
                <w:szCs w:val="20"/>
                <w:vertAlign w:val="superscript"/>
              </w:rPr>
              <w:t>st</w:t>
            </w:r>
            <w:r w:rsidRPr="0032262A">
              <w:rPr>
                <w:rFonts w:ascii="Arial" w:hAnsi="Arial" w:cs="Arial"/>
                <w:color w:val="0E101A"/>
                <w:sz w:val="20"/>
                <w:szCs w:val="20"/>
              </w:rPr>
              <w:t xml:space="preserve"> Jan. 1960 to 11</w:t>
            </w:r>
            <w:r w:rsidRPr="0032262A">
              <w:rPr>
                <w:rFonts w:ascii="Arial" w:hAnsi="Arial" w:cs="Arial"/>
                <w:color w:val="0E101A"/>
                <w:sz w:val="20"/>
                <w:szCs w:val="20"/>
                <w:vertAlign w:val="superscript"/>
              </w:rPr>
              <w:t>th</w:t>
            </w:r>
            <w:r w:rsidRPr="0032262A">
              <w:rPr>
                <w:rFonts w:ascii="Arial" w:hAnsi="Arial" w:cs="Arial"/>
                <w:color w:val="0E101A"/>
                <w:sz w:val="20"/>
                <w:szCs w:val="20"/>
              </w:rPr>
              <w:t xml:space="preserve"> Jan. 1994</w:t>
            </w:r>
          </w:p>
        </w:tc>
        <w:tc>
          <w:tcPr>
            <w:tcW w:w="1842" w:type="dxa"/>
          </w:tcPr>
          <w:p w14:paraId="7131CB1B" w14:textId="77777777" w:rsidR="00147E59" w:rsidRPr="0032262A" w:rsidRDefault="00147E59" w:rsidP="0066301C">
            <w:pPr>
              <w:jc w:val="both"/>
              <w:rPr>
                <w:rFonts w:ascii="Arial" w:hAnsi="Arial" w:cs="Arial"/>
                <w:sz w:val="20"/>
                <w:szCs w:val="20"/>
                <w:lang w:val="en-US"/>
              </w:rPr>
            </w:pPr>
            <w:r w:rsidRPr="0032262A">
              <w:rPr>
                <w:rFonts w:ascii="Arial" w:hAnsi="Arial" w:cs="Arial"/>
                <w:color w:val="0E101A"/>
                <w:sz w:val="20"/>
                <w:szCs w:val="20"/>
              </w:rPr>
              <w:t>1 FCFA = 0.02 FF</w:t>
            </w:r>
          </w:p>
        </w:tc>
        <w:tc>
          <w:tcPr>
            <w:tcW w:w="4990" w:type="dxa"/>
          </w:tcPr>
          <w:p w14:paraId="1E49BECD" w14:textId="77777777" w:rsidR="00147E59" w:rsidRPr="0032262A" w:rsidRDefault="00147E59" w:rsidP="0066301C">
            <w:pPr>
              <w:jc w:val="both"/>
              <w:rPr>
                <w:rFonts w:ascii="Arial" w:hAnsi="Arial" w:cs="Arial"/>
                <w:sz w:val="20"/>
                <w:szCs w:val="20"/>
                <w:lang w:val="en-US"/>
              </w:rPr>
            </w:pPr>
            <w:r w:rsidRPr="0032262A">
              <w:rPr>
                <w:rFonts w:ascii="Arial" w:hAnsi="Arial" w:cs="Arial"/>
                <w:color w:val="0E101A"/>
                <w:sz w:val="20"/>
                <w:szCs w:val="20"/>
              </w:rPr>
              <w:t>(</w:t>
            </w:r>
            <w:r>
              <w:rPr>
                <w:rFonts w:ascii="Arial" w:hAnsi="Arial" w:cs="Arial"/>
                <w:color w:val="0E101A"/>
                <w:sz w:val="20"/>
                <w:szCs w:val="20"/>
              </w:rPr>
              <w:t xml:space="preserve">i.e., </w:t>
            </w:r>
            <w:r w:rsidRPr="0032262A">
              <w:rPr>
                <w:rFonts w:ascii="Arial" w:hAnsi="Arial" w:cs="Arial"/>
                <w:color w:val="0E101A"/>
                <w:sz w:val="20"/>
                <w:szCs w:val="20"/>
              </w:rPr>
              <w:t>1FF = 50 FCFA), and the parity did not change.</w:t>
            </w:r>
          </w:p>
        </w:tc>
      </w:tr>
      <w:tr w:rsidR="00147E59" w14:paraId="3EB08108" w14:textId="77777777" w:rsidTr="007A2A5A">
        <w:tc>
          <w:tcPr>
            <w:tcW w:w="2240" w:type="dxa"/>
          </w:tcPr>
          <w:p w14:paraId="680DBD0D" w14:textId="77777777" w:rsidR="00147E59" w:rsidRPr="0032262A" w:rsidRDefault="00147E59" w:rsidP="0066301C">
            <w:pPr>
              <w:jc w:val="both"/>
              <w:rPr>
                <w:rFonts w:ascii="Arial" w:hAnsi="Arial" w:cs="Arial"/>
                <w:sz w:val="20"/>
                <w:szCs w:val="20"/>
                <w:lang w:val="en-US"/>
              </w:rPr>
            </w:pPr>
            <w:r w:rsidRPr="0032262A">
              <w:rPr>
                <w:rFonts w:ascii="Arial" w:hAnsi="Arial" w:cs="Arial"/>
                <w:color w:val="0E101A"/>
                <w:sz w:val="20"/>
                <w:szCs w:val="20"/>
              </w:rPr>
              <w:t>12</w:t>
            </w:r>
            <w:r w:rsidRPr="0032262A">
              <w:rPr>
                <w:rFonts w:ascii="Arial" w:hAnsi="Arial" w:cs="Arial"/>
                <w:color w:val="0E101A"/>
                <w:sz w:val="20"/>
                <w:szCs w:val="20"/>
                <w:vertAlign w:val="superscript"/>
              </w:rPr>
              <w:t>th</w:t>
            </w:r>
            <w:r w:rsidRPr="0032262A">
              <w:rPr>
                <w:rFonts w:ascii="Arial" w:hAnsi="Arial" w:cs="Arial"/>
                <w:color w:val="0E101A"/>
                <w:sz w:val="20"/>
                <w:szCs w:val="20"/>
              </w:rPr>
              <w:t xml:space="preserve"> Jan. 1994 to 31</w:t>
            </w:r>
            <w:r w:rsidRPr="0032262A">
              <w:rPr>
                <w:rFonts w:ascii="Arial" w:hAnsi="Arial" w:cs="Arial"/>
                <w:color w:val="0E101A"/>
                <w:sz w:val="20"/>
                <w:szCs w:val="20"/>
                <w:vertAlign w:val="superscript"/>
              </w:rPr>
              <w:t>st</w:t>
            </w:r>
            <w:r w:rsidRPr="0032262A">
              <w:rPr>
                <w:rFonts w:ascii="Arial" w:hAnsi="Arial" w:cs="Arial"/>
                <w:color w:val="0E101A"/>
                <w:sz w:val="20"/>
                <w:szCs w:val="20"/>
              </w:rPr>
              <w:t xml:space="preserve"> Dec. 1998</w:t>
            </w:r>
          </w:p>
        </w:tc>
        <w:tc>
          <w:tcPr>
            <w:tcW w:w="1842" w:type="dxa"/>
          </w:tcPr>
          <w:p w14:paraId="721A799B" w14:textId="77777777" w:rsidR="00147E59" w:rsidRPr="0032262A" w:rsidRDefault="00147E59" w:rsidP="0066301C">
            <w:pPr>
              <w:jc w:val="both"/>
              <w:rPr>
                <w:rFonts w:ascii="Arial" w:hAnsi="Arial" w:cs="Arial"/>
                <w:sz w:val="20"/>
                <w:szCs w:val="20"/>
                <w:lang w:val="en-US"/>
              </w:rPr>
            </w:pPr>
            <w:r w:rsidRPr="0032262A">
              <w:rPr>
                <w:rFonts w:ascii="Arial" w:hAnsi="Arial" w:cs="Arial"/>
                <w:color w:val="0E101A"/>
                <w:sz w:val="20"/>
                <w:szCs w:val="20"/>
              </w:rPr>
              <w:t>1</w:t>
            </w:r>
            <w:r>
              <w:rPr>
                <w:rFonts w:ascii="Arial" w:hAnsi="Arial" w:cs="Arial"/>
                <w:color w:val="0E101A"/>
                <w:sz w:val="20"/>
                <w:szCs w:val="20"/>
              </w:rPr>
              <w:t xml:space="preserve"> F</w:t>
            </w:r>
            <w:r w:rsidRPr="0032262A">
              <w:rPr>
                <w:rFonts w:ascii="Arial" w:hAnsi="Arial" w:cs="Arial"/>
                <w:color w:val="0E101A"/>
                <w:sz w:val="20"/>
                <w:szCs w:val="20"/>
              </w:rPr>
              <w:t>CFA = 0.01FF</w:t>
            </w:r>
          </w:p>
        </w:tc>
        <w:tc>
          <w:tcPr>
            <w:tcW w:w="4990" w:type="dxa"/>
          </w:tcPr>
          <w:p w14:paraId="7CB81FFF" w14:textId="77777777" w:rsidR="00147E59" w:rsidRPr="0032262A" w:rsidRDefault="00147E59" w:rsidP="0066301C">
            <w:pPr>
              <w:jc w:val="both"/>
              <w:rPr>
                <w:rFonts w:ascii="Arial" w:hAnsi="Arial" w:cs="Arial"/>
                <w:sz w:val="20"/>
                <w:szCs w:val="20"/>
                <w:lang w:val="en-US"/>
              </w:rPr>
            </w:pPr>
            <w:r w:rsidRPr="0032262A">
              <w:rPr>
                <w:rFonts w:ascii="Arial" w:hAnsi="Arial" w:cs="Arial"/>
                <w:color w:val="0E101A"/>
                <w:sz w:val="20"/>
                <w:szCs w:val="20"/>
              </w:rPr>
              <w:t xml:space="preserve">(i.e., 1FF = 100 </w:t>
            </w:r>
            <w:r>
              <w:rPr>
                <w:rFonts w:ascii="Arial" w:hAnsi="Arial" w:cs="Arial"/>
                <w:color w:val="0E101A"/>
                <w:sz w:val="20"/>
                <w:szCs w:val="20"/>
              </w:rPr>
              <w:t>F</w:t>
            </w:r>
            <w:r w:rsidRPr="0032262A">
              <w:rPr>
                <w:rFonts w:ascii="Arial" w:hAnsi="Arial" w:cs="Arial"/>
                <w:color w:val="0E101A"/>
                <w:sz w:val="20"/>
                <w:szCs w:val="20"/>
              </w:rPr>
              <w:t>CFA). The devaluation was to help African exports.</w:t>
            </w:r>
          </w:p>
        </w:tc>
      </w:tr>
      <w:tr w:rsidR="00147E59" w14:paraId="1D6A5BDB" w14:textId="77777777" w:rsidTr="007A2A5A">
        <w:tc>
          <w:tcPr>
            <w:tcW w:w="2240" w:type="dxa"/>
          </w:tcPr>
          <w:p w14:paraId="1452F271" w14:textId="77777777" w:rsidR="00147E59" w:rsidRPr="0032262A" w:rsidRDefault="00147E59" w:rsidP="0066301C">
            <w:pPr>
              <w:jc w:val="both"/>
              <w:rPr>
                <w:rFonts w:ascii="Arial" w:hAnsi="Arial" w:cs="Arial"/>
                <w:sz w:val="20"/>
                <w:szCs w:val="20"/>
                <w:lang w:val="en-US"/>
              </w:rPr>
            </w:pPr>
            <w:r w:rsidRPr="0032262A">
              <w:rPr>
                <w:rFonts w:ascii="Arial" w:hAnsi="Arial" w:cs="Arial"/>
                <w:color w:val="0E101A"/>
                <w:sz w:val="20"/>
                <w:szCs w:val="20"/>
              </w:rPr>
              <w:t>1</w:t>
            </w:r>
            <w:r w:rsidRPr="0032262A">
              <w:rPr>
                <w:rFonts w:ascii="Arial" w:hAnsi="Arial" w:cs="Arial"/>
                <w:color w:val="0E101A"/>
                <w:sz w:val="20"/>
                <w:szCs w:val="20"/>
                <w:vertAlign w:val="superscript"/>
              </w:rPr>
              <w:t xml:space="preserve">st </w:t>
            </w:r>
            <w:r w:rsidRPr="0032262A">
              <w:rPr>
                <w:rFonts w:ascii="Arial" w:hAnsi="Arial" w:cs="Arial"/>
                <w:color w:val="0E101A"/>
                <w:sz w:val="20"/>
                <w:szCs w:val="20"/>
              </w:rPr>
              <w:t>Jan. 1999 onward</w:t>
            </w:r>
          </w:p>
        </w:tc>
        <w:tc>
          <w:tcPr>
            <w:tcW w:w="1842" w:type="dxa"/>
          </w:tcPr>
          <w:p w14:paraId="4D2B870E" w14:textId="77777777" w:rsidR="00147E59" w:rsidRPr="0032262A" w:rsidRDefault="00147E59" w:rsidP="0066301C">
            <w:pPr>
              <w:jc w:val="both"/>
              <w:rPr>
                <w:rFonts w:ascii="Arial" w:hAnsi="Arial" w:cs="Arial"/>
                <w:sz w:val="20"/>
                <w:szCs w:val="20"/>
                <w:lang w:val="en-US"/>
              </w:rPr>
            </w:pPr>
            <w:r w:rsidRPr="0032262A">
              <w:rPr>
                <w:rFonts w:ascii="Arial" w:hAnsi="Arial" w:cs="Arial"/>
                <w:color w:val="0E101A"/>
                <w:sz w:val="20"/>
                <w:szCs w:val="20"/>
              </w:rPr>
              <w:t>100 FCFA = 0.152449 euro (€)</w:t>
            </w:r>
          </w:p>
        </w:tc>
        <w:tc>
          <w:tcPr>
            <w:tcW w:w="4990" w:type="dxa"/>
          </w:tcPr>
          <w:p w14:paraId="19E91229" w14:textId="77777777" w:rsidR="00147E59" w:rsidRPr="0032262A" w:rsidRDefault="00147E59" w:rsidP="0066301C">
            <w:pPr>
              <w:jc w:val="both"/>
              <w:rPr>
                <w:rFonts w:ascii="Arial" w:hAnsi="Arial" w:cs="Arial"/>
                <w:sz w:val="20"/>
                <w:szCs w:val="20"/>
                <w:lang w:val="en-US"/>
              </w:rPr>
            </w:pPr>
            <w:r w:rsidRPr="0032262A">
              <w:rPr>
                <w:rFonts w:ascii="Arial" w:hAnsi="Arial" w:cs="Arial"/>
                <w:sz w:val="20"/>
                <w:szCs w:val="20"/>
                <w:lang w:val="en-US"/>
              </w:rPr>
              <w:t xml:space="preserve">(i.e., </w:t>
            </w:r>
            <w:r w:rsidRPr="0032262A">
              <w:rPr>
                <w:rFonts w:ascii="Arial" w:hAnsi="Arial" w:cs="Arial"/>
                <w:color w:val="0E101A"/>
                <w:sz w:val="20"/>
                <w:szCs w:val="20"/>
              </w:rPr>
              <w:t>1€ = 655.957 FCFA). France joined the euro, and the € replaced FF at the rate of 6.55957 FF = 1 €</w:t>
            </w:r>
            <w:r>
              <w:rPr>
                <w:rFonts w:ascii="Arial" w:hAnsi="Arial" w:cs="Arial"/>
                <w:color w:val="0E101A"/>
                <w:sz w:val="20"/>
                <w:szCs w:val="20"/>
              </w:rPr>
              <w:t>.</w:t>
            </w:r>
          </w:p>
        </w:tc>
      </w:tr>
    </w:tbl>
    <w:p w14:paraId="3797BDA0" w14:textId="7C498F61" w:rsidR="00147E59" w:rsidRPr="00EF3A56" w:rsidRDefault="00EF3A56" w:rsidP="0066301C">
      <w:pPr>
        <w:pStyle w:val="NormalWeb"/>
        <w:spacing w:before="0" w:beforeAutospacing="0" w:after="0" w:afterAutospacing="0" w:line="360" w:lineRule="auto"/>
        <w:jc w:val="both"/>
        <w:rPr>
          <w:rFonts w:ascii="Arial" w:hAnsi="Arial" w:cs="Arial"/>
          <w:color w:val="0E101A"/>
          <w:sz w:val="20"/>
          <w:szCs w:val="20"/>
        </w:rPr>
      </w:pPr>
      <w:r w:rsidRPr="00EF3A56">
        <w:rPr>
          <w:rFonts w:ascii="Arial" w:hAnsi="Arial" w:cs="Arial"/>
          <w:i/>
          <w:iCs/>
          <w:color w:val="0E101A"/>
          <w:sz w:val="20"/>
          <w:szCs w:val="20"/>
        </w:rPr>
        <w:t>Source:</w:t>
      </w:r>
      <w:r w:rsidRPr="00EF3A56">
        <w:rPr>
          <w:rFonts w:ascii="Arial" w:hAnsi="Arial" w:cs="Arial"/>
          <w:color w:val="0E101A"/>
          <w:sz w:val="20"/>
          <w:szCs w:val="20"/>
        </w:rPr>
        <w:t xml:space="preserve"> </w:t>
      </w:r>
      <w:r w:rsidR="001B70B1">
        <w:rPr>
          <w:rFonts w:ascii="Arial" w:hAnsi="Arial" w:cs="Arial"/>
          <w:color w:val="0E101A"/>
          <w:sz w:val="20"/>
          <w:szCs w:val="20"/>
        </w:rPr>
        <w:t xml:space="preserve">Central </w:t>
      </w:r>
      <w:r w:rsidRPr="00EF3A56">
        <w:rPr>
          <w:rFonts w:ascii="Arial" w:hAnsi="Arial" w:cs="Arial"/>
          <w:color w:val="0E101A"/>
          <w:sz w:val="20"/>
          <w:szCs w:val="20"/>
        </w:rPr>
        <w:t xml:space="preserve">Bank of </w:t>
      </w:r>
      <w:r w:rsidR="001B70B1">
        <w:rPr>
          <w:rFonts w:ascii="Arial" w:hAnsi="Arial" w:cs="Arial"/>
          <w:color w:val="0E101A"/>
          <w:sz w:val="20"/>
          <w:szCs w:val="20"/>
        </w:rPr>
        <w:t>West African States - BCEAO</w:t>
      </w:r>
      <w:r w:rsidRPr="00EF3A56">
        <w:rPr>
          <w:rFonts w:ascii="Arial" w:hAnsi="Arial" w:cs="Arial"/>
          <w:color w:val="0E101A"/>
          <w:sz w:val="20"/>
          <w:szCs w:val="20"/>
        </w:rPr>
        <w:t xml:space="preserve"> (</w:t>
      </w:r>
      <w:r w:rsidR="001B70B1">
        <w:rPr>
          <w:rFonts w:ascii="Arial" w:hAnsi="Arial" w:cs="Arial"/>
          <w:color w:val="0E101A"/>
          <w:sz w:val="20"/>
          <w:szCs w:val="20"/>
        </w:rPr>
        <w:t>201</w:t>
      </w:r>
      <w:r w:rsidRPr="00EF3A56">
        <w:rPr>
          <w:rFonts w:ascii="Arial" w:hAnsi="Arial" w:cs="Arial"/>
          <w:color w:val="0E101A"/>
          <w:sz w:val="20"/>
          <w:szCs w:val="20"/>
        </w:rPr>
        <w:t>7).</w:t>
      </w:r>
    </w:p>
    <w:p w14:paraId="16C8F3D3" w14:textId="77777777" w:rsidR="001631CA" w:rsidRPr="0038176A" w:rsidRDefault="001631CA" w:rsidP="0066301C">
      <w:pPr>
        <w:spacing w:line="360" w:lineRule="auto"/>
        <w:jc w:val="both"/>
      </w:pPr>
      <w:bookmarkStart w:id="45" w:name="_Hlk170217883"/>
      <w:bookmarkEnd w:id="44"/>
      <w:r w:rsidRPr="0038176A">
        <w:rPr>
          <w:rFonts w:ascii="Arial" w:hAnsi="Arial" w:cs="Arial"/>
        </w:rPr>
        <w:t>The FCFA and FF monetary arrangements included the FCFA convertibility into the FF backed by the French treasury. The convention encompassed strict fiscal and monetary rules, which provided much financial and monetary stability. The advantages, such as greater stability and discipline and low inflation, made the FCFA zone suitable for foreign investment, economic development, and growth (Amin, 2000; Devarajan and De Melo, 1991). Such macroeconomic stability was to attract foreign investors/capital into the nations, which will be used to improve productivity/output, create employment, and growth in the economy, which will eventually result in the improvement in the standard of living of the citizens</w:t>
      </w:r>
      <w:bookmarkEnd w:id="45"/>
      <w:r w:rsidRPr="0038176A">
        <w:rPr>
          <w:rFonts w:ascii="Arial" w:hAnsi="Arial" w:cs="Arial"/>
        </w:rPr>
        <w:t>.</w:t>
      </w:r>
      <w:r>
        <w:rPr>
          <w:rStyle w:val="FootnoteReference"/>
          <w:rFonts w:ascii="Arial" w:hAnsi="Arial" w:cs="Arial"/>
        </w:rPr>
        <w:footnoteReference w:id="18"/>
      </w:r>
      <w:r w:rsidRPr="0038176A">
        <w:t xml:space="preserve"> </w:t>
      </w:r>
    </w:p>
    <w:p w14:paraId="363EB5FA" w14:textId="77777777" w:rsidR="001631CA" w:rsidRPr="0096715F" w:rsidRDefault="001631CA" w:rsidP="0066301C">
      <w:pPr>
        <w:spacing w:line="360" w:lineRule="auto"/>
        <w:jc w:val="both"/>
        <w:rPr>
          <w:rFonts w:ascii="Arial" w:hAnsi="Arial" w:cs="Arial"/>
        </w:rPr>
      </w:pPr>
      <w:bookmarkStart w:id="46" w:name="_Hlk163173195"/>
      <w:bookmarkStart w:id="47" w:name="_Hlk170852666"/>
      <w:r w:rsidRPr="0096715F">
        <w:rPr>
          <w:rFonts w:ascii="Arial" w:hAnsi="Arial" w:cs="Arial"/>
        </w:rPr>
        <w:t xml:space="preserve">However, it is believed that the same institutional arrangements that contributed to the good economic performance of the FCFA zone nations before the 1980s had also hindered them from adjusting timely to internal and external shocks. For instance, the fixed exchange rate system practiced by the FCFA nations made it difficult for their currency to change quickly to adjust to shock (Amin, 2000; Devarajan and De Melo, 1991). Therefore, if the institutional arrangements hindered the timely adjustment of the currency, it is necessary to ensure that it does not re-occur, mindful that it has been more than two decades since the currency was devalued. </w:t>
      </w:r>
      <w:bookmarkStart w:id="48" w:name="_Hlk170218227"/>
      <w:r w:rsidRPr="0096715F">
        <w:rPr>
          <w:rFonts w:ascii="Arial" w:hAnsi="Arial" w:cs="Arial"/>
        </w:rPr>
        <w:t>This leaves us with the question of whether the 1994 currency devaluation achieved its objectives and if the currency is still at its optimal level (equilibrium or not). </w:t>
      </w:r>
      <w:bookmarkEnd w:id="48"/>
    </w:p>
    <w:bookmarkEnd w:id="46"/>
    <w:p w14:paraId="1ED806DF" w14:textId="77777777" w:rsidR="001631CA" w:rsidRPr="0038176A" w:rsidRDefault="001631CA" w:rsidP="0066301C">
      <w:pPr>
        <w:spacing w:line="360" w:lineRule="auto"/>
        <w:jc w:val="both"/>
        <w:rPr>
          <w:rFonts w:ascii="Arial" w:hAnsi="Arial" w:cs="Arial"/>
        </w:rPr>
      </w:pPr>
      <w:r w:rsidRPr="0038176A">
        <w:rPr>
          <w:rFonts w:ascii="Arial" w:hAnsi="Arial" w:cs="Arial"/>
        </w:rPr>
        <w:t xml:space="preserve">The non-CFA franc African nations had crises in the late 1970s and continued into the early 1980s, while the crises in the CFA franc nations began in the mid-1980s. Due to the crises in the non-CFA franc African nations, within the period 1986-1993, they depreciated their currencies by almost 40% to improve their competitiveness (Zobo, 2014; Bahmani-Oskooee, </w:t>
      </w:r>
      <w:r w:rsidRPr="0038176A">
        <w:rPr>
          <w:rFonts w:ascii="Arial" w:hAnsi="Arial" w:cs="Arial"/>
        </w:rPr>
        <w:lastRenderedPageBreak/>
        <w:t>1998; World Bank, 1994). This undermined the international competitiveness of the FCFA nations, thereby causing them to import more and export less, which resulted in a negative trade balance. As such, the FCFA nations resorted to cutting their expenditure to reduce their current account deficits (Amin, 2000; Devarajan and Melo, 1991). It led to a reduction in government expenditures and low economic growth. Because of that, within the period 1986-1993, most of the FCFA zone nations had a negative growth rate and protracted macro imbalances.</w:t>
      </w:r>
      <w:r>
        <w:rPr>
          <w:rStyle w:val="FootnoteReference"/>
          <w:rFonts w:ascii="Arial" w:hAnsi="Arial" w:cs="Arial"/>
        </w:rPr>
        <w:footnoteReference w:id="19"/>
      </w:r>
      <w:r w:rsidRPr="0038176A">
        <w:rPr>
          <w:rFonts w:ascii="Arial" w:hAnsi="Arial" w:cs="Arial"/>
        </w:rPr>
        <w:t xml:space="preserve"> </w:t>
      </w:r>
    </w:p>
    <w:p w14:paraId="04FF9F50" w14:textId="77777777" w:rsidR="001631CA" w:rsidRPr="0038176A" w:rsidRDefault="001631CA" w:rsidP="0066301C">
      <w:pPr>
        <w:spacing w:line="360" w:lineRule="auto"/>
        <w:jc w:val="both"/>
        <w:rPr>
          <w:rFonts w:ascii="Arial" w:hAnsi="Arial" w:cs="Arial"/>
        </w:rPr>
      </w:pPr>
      <w:bookmarkStart w:id="49" w:name="_Hlk170219231"/>
      <w:bookmarkEnd w:id="47"/>
      <w:r w:rsidRPr="0038176A">
        <w:rPr>
          <w:rFonts w:ascii="Arial" w:hAnsi="Arial" w:cs="Arial"/>
        </w:rPr>
        <w:t>Before the 1994 devaluation, the CEMAC zone was faced with two types of imbalances (internal and external deficit): </w:t>
      </w:r>
    </w:p>
    <w:p w14:paraId="5D8F7EB3" w14:textId="77777777" w:rsidR="001631CA" w:rsidRPr="0038176A" w:rsidRDefault="001631CA" w:rsidP="0066301C">
      <w:pPr>
        <w:numPr>
          <w:ilvl w:val="0"/>
          <w:numId w:val="35"/>
        </w:numPr>
        <w:spacing w:after="0" w:line="360" w:lineRule="auto"/>
        <w:jc w:val="both"/>
        <w:rPr>
          <w:rFonts w:ascii="Arial" w:hAnsi="Arial" w:cs="Arial"/>
          <w:color w:val="0E101A"/>
        </w:rPr>
      </w:pPr>
      <w:r w:rsidRPr="0038176A">
        <w:rPr>
          <w:rFonts w:ascii="Arial" w:hAnsi="Arial" w:cs="Arial"/>
          <w:color w:val="0E101A"/>
        </w:rPr>
        <w:t>The internal deficit was due to unemployment, on the one hand, caused by a low level of the legal, administrative, and institutional framework, human capital, and structural and financial policies. </w:t>
      </w:r>
    </w:p>
    <w:p w14:paraId="64FC9388" w14:textId="77777777" w:rsidR="001631CA" w:rsidRPr="0038176A" w:rsidRDefault="001631CA" w:rsidP="0066301C">
      <w:pPr>
        <w:pStyle w:val="ListParagraph"/>
        <w:numPr>
          <w:ilvl w:val="0"/>
          <w:numId w:val="36"/>
        </w:numPr>
        <w:spacing w:after="160" w:line="360" w:lineRule="auto"/>
        <w:jc w:val="both"/>
        <w:rPr>
          <w:rFonts w:ascii="Arial" w:hAnsi="Arial" w:cs="Arial"/>
        </w:rPr>
      </w:pPr>
      <w:r w:rsidRPr="0038176A">
        <w:rPr>
          <w:rFonts w:ascii="Arial" w:hAnsi="Arial" w:cs="Arial"/>
        </w:rPr>
        <w:t>While the external deficit was due to foreign interests and terms of trade shocks (Bahmani-Oskooee, 1998; Nashahibi and Bazzoni, 1994). </w:t>
      </w:r>
    </w:p>
    <w:p w14:paraId="48B4C7EF" w14:textId="1304D7D2" w:rsidR="001631CA" w:rsidRDefault="001631CA" w:rsidP="0066301C">
      <w:pPr>
        <w:spacing w:line="360" w:lineRule="auto"/>
        <w:jc w:val="both"/>
        <w:rPr>
          <w:rFonts w:ascii="Arial" w:hAnsi="Arial" w:cs="Arial"/>
        </w:rPr>
      </w:pPr>
      <w:r w:rsidRPr="0038176A">
        <w:rPr>
          <w:rFonts w:ascii="Arial" w:hAnsi="Arial" w:cs="Arial"/>
        </w:rPr>
        <w:t>The CFA franc devaluation was aimed at three objectives (Bank of France, 1997): Firstly, the external restoration of the competitiveness of the savings of the zone franc and the recovery of trade balances. Secondly, balancing the public finances (reducing the budget deficits) via improving export commodities. Thirdly, the resumption of growth thanks to the resumption of private investment (Fouopi, 2012). Hence, the devaluation was aimed at enhancing their trade balance, attracting foreign direct investors, and improving the BOP and economic growth (</w:t>
      </w:r>
      <w:bookmarkStart w:id="50" w:name="_Hlk170219528"/>
      <w:r w:rsidRPr="0038176A">
        <w:rPr>
          <w:rFonts w:ascii="Arial" w:hAnsi="Arial" w:cs="Arial"/>
        </w:rPr>
        <w:t xml:space="preserve">Zobo, 2014; Amin, 2000). </w:t>
      </w:r>
    </w:p>
    <w:p w14:paraId="70E55F7C" w14:textId="44279BAC" w:rsidR="00544C23" w:rsidRPr="0038176A" w:rsidRDefault="00544C23" w:rsidP="0066301C">
      <w:pPr>
        <w:pStyle w:val="Heading3"/>
        <w:numPr>
          <w:ilvl w:val="0"/>
          <w:numId w:val="0"/>
        </w:numPr>
        <w:spacing w:before="0" w:beforeAutospacing="0" w:line="360" w:lineRule="auto"/>
        <w:rPr>
          <w:rFonts w:cs="Arial"/>
        </w:rPr>
      </w:pPr>
      <w:bookmarkStart w:id="51" w:name="_Toc171075352"/>
      <w:bookmarkStart w:id="52" w:name="_Hlk170219516"/>
      <w:bookmarkEnd w:id="49"/>
      <w:r>
        <w:t>1.3.1</w:t>
      </w:r>
      <w:r>
        <w:tab/>
      </w:r>
      <w:r w:rsidRPr="008204CC">
        <w:t>THE REFORMS</w:t>
      </w:r>
      <w:bookmarkEnd w:id="51"/>
      <w:r w:rsidRPr="00892A02">
        <w:t xml:space="preserve"> </w:t>
      </w:r>
      <w:bookmarkEnd w:id="52"/>
    </w:p>
    <w:bookmarkEnd w:id="41"/>
    <w:p w14:paraId="1B87D6F0" w14:textId="19549DEC" w:rsidR="002A4E30" w:rsidRPr="006D6107" w:rsidRDefault="002A4E30" w:rsidP="0066301C">
      <w:pPr>
        <w:spacing w:line="360" w:lineRule="auto"/>
        <w:jc w:val="both"/>
        <w:rPr>
          <w:rFonts w:ascii="Arial" w:hAnsi="Arial" w:cs="Arial"/>
          <w:lang w:eastAsia="en-GB"/>
        </w:rPr>
      </w:pPr>
      <w:r w:rsidRPr="006D6107">
        <w:rPr>
          <w:rFonts w:ascii="Arial" w:hAnsi="Arial" w:cs="Arial"/>
          <w:lang w:eastAsia="en-GB"/>
        </w:rPr>
        <w:t xml:space="preserve">The general macroeconomic </w:t>
      </w:r>
      <w:bookmarkEnd w:id="50"/>
      <w:r w:rsidRPr="006D6107">
        <w:rPr>
          <w:rFonts w:ascii="Arial" w:hAnsi="Arial" w:cs="Arial"/>
          <w:lang w:eastAsia="en-GB"/>
        </w:rPr>
        <w:t>objectives of every government are to maintain economic growth, full employment, price stability, and balance of payment equilibrium (internal and external balance).</w:t>
      </w:r>
      <w:r w:rsidRPr="006D6107">
        <w:rPr>
          <w:rStyle w:val="FootnoteReference"/>
          <w:rFonts w:ascii="Arial" w:hAnsi="Arial" w:cs="Arial"/>
          <w:lang w:eastAsia="en-GB"/>
        </w:rPr>
        <w:footnoteReference w:id="20"/>
      </w:r>
      <w:r w:rsidRPr="006D6107">
        <w:rPr>
          <w:rFonts w:ascii="Arial" w:hAnsi="Arial" w:cs="Arial"/>
          <w:lang w:eastAsia="en-GB"/>
        </w:rPr>
        <w:t xml:space="preserve">  The 1994 devaluation aimed at putting the CFA franc nations back on a path of sustainable growth by helping them regain their competitiveness in the world market (IMF, 2000). It encouraged exports to the detriment of imports since their exports were half price, requiring them to buy products from other nations for twice as much. In addition, it was to attract foreign investors because the assets were </w:t>
      </w:r>
      <w:bookmarkStart w:id="53" w:name="_Hlk163173338"/>
      <w:r w:rsidRPr="006D6107">
        <w:rPr>
          <w:rFonts w:ascii="Arial" w:hAnsi="Arial" w:cs="Arial"/>
          <w:lang w:eastAsia="en-GB"/>
        </w:rPr>
        <w:t xml:space="preserve">cheap, and the currency was stable. It was achieved </w:t>
      </w:r>
      <w:r w:rsidRPr="006D6107">
        <w:rPr>
          <w:rFonts w:ascii="Arial" w:hAnsi="Arial" w:cs="Arial"/>
          <w:lang w:eastAsia="en-GB"/>
        </w:rPr>
        <w:lastRenderedPageBreak/>
        <w:t>via the OHADA treaty's enactment.</w:t>
      </w:r>
      <w:r w:rsidRPr="006D6107">
        <w:rPr>
          <w:rStyle w:val="FootnoteReference"/>
          <w:rFonts w:ascii="Arial" w:hAnsi="Arial" w:cs="Arial"/>
          <w:lang w:eastAsia="en-GB"/>
        </w:rPr>
        <w:footnoteReference w:id="21"/>
      </w:r>
      <w:r w:rsidRPr="006D6107">
        <w:rPr>
          <w:rFonts w:ascii="Arial" w:hAnsi="Arial" w:cs="Arial"/>
          <w:lang w:eastAsia="en-GB"/>
        </w:rPr>
        <w:t xml:space="preserve"> To avoid some of the immediate side effects of a one-time price surge that could lead to inflation, the IMF encouraged governments to couple devaluation with sound macroeconomic and structural adjustment policies (Washington Consensus). The former includes prudent fiscal and monetary policies and an appropriate exchange rate regime, and the latter includes trade liberalization, diversification of agriculture, reduction of government workforce and spending, elimination of price controls, and privatization of state-owned industries. Moreover, the policies were to be implemented simultaneously or in a carefully planned sequence, necessitating a very high level of cooperative decision-making (IMF, 2000). </w:t>
      </w:r>
    </w:p>
    <w:p w14:paraId="454D74A7" w14:textId="77777777" w:rsidR="002A4E30" w:rsidRPr="006D6107" w:rsidRDefault="002A4E30" w:rsidP="0066301C">
      <w:pPr>
        <w:spacing w:line="360" w:lineRule="auto"/>
        <w:jc w:val="both"/>
        <w:rPr>
          <w:rFonts w:ascii="Arial" w:hAnsi="Arial" w:cs="Arial"/>
          <w:lang w:eastAsia="en-GB"/>
        </w:rPr>
      </w:pPr>
      <w:bookmarkStart w:id="54" w:name="_Hlk170219662"/>
      <w:r w:rsidRPr="006D6107">
        <w:rPr>
          <w:rFonts w:ascii="Arial" w:hAnsi="Arial" w:cs="Arial"/>
          <w:lang w:eastAsia="en-GB"/>
        </w:rPr>
        <w:t>Contrary to the above IMF views, the possibilities of import replacement and export elasticities seemed low (Fouopi, 2012). Moreover, CEMAC zone nations were not ready to increase their output, be it technological or infrastructure-wise. As such, a devaluation could be contractionary, as in several Latin American nations.</w:t>
      </w:r>
      <w:r w:rsidRPr="006D6107">
        <w:rPr>
          <w:rStyle w:val="FootnoteReference"/>
          <w:rFonts w:ascii="Arial" w:hAnsi="Arial" w:cs="Arial"/>
          <w:lang w:eastAsia="en-GB"/>
        </w:rPr>
        <w:footnoteReference w:id="22"/>
      </w:r>
      <w:r w:rsidRPr="006D6107">
        <w:rPr>
          <w:rFonts w:ascii="Arial" w:hAnsi="Arial" w:cs="Arial"/>
          <w:lang w:eastAsia="en-GB"/>
        </w:rPr>
        <w:t> An exchange rate is the price of a nation's currency for that of another nation(s). Since the CFA franc was devalued by 50% against French France, it has stayed the same, which poses a question of alignment. It implies that if the currency was at its equilibrium, it is still at equilibrium more than two decades later. The Washington Consensus perspective states that the exchange rate should be consistent with macroeconomic objectives (price stability, full employment, economic growth, balance of payment equilibrium, and social welfare) in the medium run and "sufﬁciently competitive." So, if the CFA franc value has not changed, it implies that the macroeconomic objectives of CEMAC nations have not changed since then. Alternatively, if the macroeconomic objectives have changed, the exchange rate might no longer align with its equilibrium or the objectives (either overvalued or undervalued). </w:t>
      </w:r>
    </w:p>
    <w:p w14:paraId="3AB96ADB" w14:textId="367734B8" w:rsidR="002A4E30" w:rsidRPr="006D6107" w:rsidRDefault="00664328" w:rsidP="0066301C">
      <w:pPr>
        <w:spacing w:line="360" w:lineRule="auto"/>
        <w:jc w:val="both"/>
        <w:rPr>
          <w:rFonts w:ascii="Arial" w:hAnsi="Arial" w:cs="Arial"/>
          <w:lang w:eastAsia="en-GB"/>
        </w:rPr>
      </w:pPr>
      <w:r w:rsidRPr="006D6107">
        <w:rPr>
          <w:rFonts w:ascii="Arial" w:hAnsi="Arial" w:cs="Arial"/>
          <w:lang w:eastAsia="en-GB"/>
        </w:rPr>
        <w:t>If</w:t>
      </w:r>
      <w:r w:rsidR="002A4E30" w:rsidRPr="006D6107">
        <w:rPr>
          <w:rFonts w:ascii="Arial" w:hAnsi="Arial" w:cs="Arial"/>
          <w:lang w:eastAsia="en-GB"/>
        </w:rPr>
        <w:t xml:space="preserve"> neither the macroeconomic objectives nor the exchange rate of CEMAC zone nations changed since the devaluation, what about the exogenous factors? After the 1994 devaluation, the CFA franc was pegged to the French Franc at 100 CFA Franc = 1 FF. When France joined the European Union (Euro) in 1999, the CFA Franc was pegged to the Euro at the rate of 1CFA Franc = €0.00152, better still, €1 = 655.40CFA Franc (The World's Trusted Currency Authority, 2015). The CFA Francs pegged to the Euro resulted in its appreciation of 18.7% between 2000 </w:t>
      </w:r>
      <w:r w:rsidR="002A4E30" w:rsidRPr="006D6107">
        <w:rPr>
          <w:rFonts w:ascii="Arial" w:hAnsi="Arial" w:cs="Arial"/>
          <w:lang w:eastAsia="en-GB"/>
        </w:rPr>
        <w:lastRenderedPageBreak/>
        <w:t>and 2010 against 6.6% between 1994 and 1999 (Couharde </w:t>
      </w:r>
      <w:r w:rsidR="002A4E30" w:rsidRPr="006D6107">
        <w:rPr>
          <w:rFonts w:ascii="Arial" w:hAnsi="Arial" w:cs="Arial"/>
          <w:i/>
          <w:iCs/>
          <w:lang w:eastAsia="en-GB"/>
        </w:rPr>
        <w:t>et al.</w:t>
      </w:r>
      <w:r w:rsidR="002A4E30" w:rsidRPr="006D6107">
        <w:rPr>
          <w:rFonts w:ascii="Arial" w:hAnsi="Arial" w:cs="Arial"/>
          <w:lang w:eastAsia="en-GB"/>
        </w:rPr>
        <w:t>2012; Zafar, 2005). The appreciation of the Euro at the same time might have placed the real exchange rate of the CFA franc high (Coulibaly, 2014). This had an impact on the value of the CFA franc in the international market.</w:t>
      </w:r>
      <w:r w:rsidR="002A4E30" w:rsidRPr="006D6107">
        <w:rPr>
          <w:rStyle w:val="FootnoteReference"/>
          <w:rFonts w:ascii="Arial" w:hAnsi="Arial" w:cs="Arial"/>
          <w:lang w:eastAsia="en-GB"/>
        </w:rPr>
        <w:footnoteReference w:id="23"/>
      </w:r>
      <w:r w:rsidR="002A4E30" w:rsidRPr="006D6107">
        <w:rPr>
          <w:rFonts w:ascii="Arial" w:hAnsi="Arial" w:cs="Arial"/>
          <w:lang w:eastAsia="en-GB"/>
        </w:rPr>
        <w:t xml:space="preserve"> </w:t>
      </w:r>
    </w:p>
    <w:p w14:paraId="7645375C" w14:textId="46B3D355" w:rsidR="002A4E30" w:rsidRPr="00ED7498" w:rsidRDefault="002A4E30" w:rsidP="0066301C">
      <w:pPr>
        <w:spacing w:line="360" w:lineRule="auto"/>
        <w:jc w:val="both"/>
        <w:rPr>
          <w:rFonts w:ascii="Arial" w:hAnsi="Arial" w:cs="Arial"/>
          <w:lang w:eastAsia="en-GB"/>
        </w:rPr>
      </w:pPr>
      <w:r w:rsidRPr="006D6107">
        <w:rPr>
          <w:rFonts w:ascii="Arial" w:hAnsi="Arial" w:cs="Arial"/>
          <w:lang w:eastAsia="en-GB"/>
        </w:rPr>
        <w:t xml:space="preserve">Looking at the commodity market, the increase in the price of crude oil in the year 2008 and its fall in the year 2013 could not have also kept CEMAC nations indifferent, mainly as crude oil contributes to more than 60% of CEMAC zone nations' export revenues and 40% of their GDP (Selassie, 2017; Coulibaly, 2014). The fall in oil prices led to a substantial economic blow that cut the government's revenue by half between 2014 and 2016, with the regional current account deficit widening from 3.9% of GDP in 2014 to 9.3% in 2016 (Selassie, 2017). Despite some public spending reductions to compensate for the drop in the government's revenues, </w:t>
      </w:r>
      <w:r w:rsidRPr="00ED7498">
        <w:rPr>
          <w:rFonts w:ascii="Arial" w:hAnsi="Arial" w:cs="Arial"/>
          <w:lang w:eastAsia="en-GB"/>
        </w:rPr>
        <w:t>the public debt increased from 29% of GDP in the year 2014 to 47% in the year 2016.</w:t>
      </w:r>
      <w:bookmarkEnd w:id="54"/>
      <w:r w:rsidRPr="00ED7498">
        <w:rPr>
          <w:rStyle w:val="FootnoteReference"/>
          <w:rFonts w:ascii="Arial" w:hAnsi="Arial" w:cs="Arial"/>
          <w:lang w:eastAsia="en-GB"/>
        </w:rPr>
        <w:footnoteReference w:id="24"/>
      </w:r>
      <w:r w:rsidRPr="00ED7498">
        <w:rPr>
          <w:rFonts w:ascii="Arial" w:hAnsi="Arial" w:cs="Arial"/>
          <w:lang w:eastAsia="en-GB"/>
        </w:rPr>
        <w:t xml:space="preserve"> </w:t>
      </w:r>
    </w:p>
    <w:p w14:paraId="5869C286" w14:textId="77777777" w:rsidR="002A4E30" w:rsidRPr="00ED7498" w:rsidRDefault="002A4E30" w:rsidP="0066301C">
      <w:pPr>
        <w:spacing w:line="360" w:lineRule="auto"/>
        <w:jc w:val="both"/>
        <w:rPr>
          <w:rFonts w:ascii="Arial" w:hAnsi="Arial" w:cs="Arial"/>
          <w:lang w:eastAsia="en-GB"/>
        </w:rPr>
      </w:pPr>
      <w:r w:rsidRPr="00ED7498">
        <w:rPr>
          <w:rFonts w:ascii="Arial" w:hAnsi="Arial" w:cs="Arial"/>
          <w:lang w:eastAsia="en-GB"/>
        </w:rPr>
        <w:t>The 1994 CFA franc devaluation and the implementation of the structural adjustment program (SAP) in the mid-1990s led to economic austerity, which the FCFA nations still struggle to escape (Dongfack &amp; Ouyang, 2019). In the context whereby importation is a substitute for industrialization, economic growth heavily depends on exporting unprocessed raw materials whose prices are decided in the international markets. Thus, could the CFA Franc devaluation remedy the zone's persisting trade deficit? </w:t>
      </w:r>
    </w:p>
    <w:bookmarkEnd w:id="53"/>
    <w:p w14:paraId="6C58837E" w14:textId="5BB86772" w:rsidR="002A4E30" w:rsidRPr="00ED7498" w:rsidRDefault="002A4E30" w:rsidP="0066301C">
      <w:pPr>
        <w:spacing w:line="360" w:lineRule="auto"/>
        <w:jc w:val="both"/>
        <w:rPr>
          <w:rFonts w:ascii="Arial" w:hAnsi="Arial" w:cs="Arial"/>
          <w:lang w:eastAsia="en-GB"/>
        </w:rPr>
      </w:pPr>
      <w:r w:rsidRPr="00ED7498">
        <w:rPr>
          <w:rFonts w:ascii="Arial" w:hAnsi="Arial" w:cs="Arial"/>
          <w:lang w:eastAsia="en-GB"/>
        </w:rPr>
        <w:t xml:space="preserve">For an effective devaluation, the nation's central bank needs to increase its foreign reserves to back the devaluation. These reserves yield little return relative to if it was invested in the economy, leading to a high opportunity cost for the government. Nevertheless, the opportunity cost is engulfed by the profit realized during the improved return of the trade balance and economic growth. Nations like China use this strategy to improve the exportation of its manufactured products and economic growth. The situation seems different for the CEMAC </w:t>
      </w:r>
      <w:r w:rsidRPr="00ED7498">
        <w:rPr>
          <w:rFonts w:ascii="Arial" w:hAnsi="Arial" w:cs="Arial"/>
          <w:lang w:eastAsia="en-GB"/>
        </w:rPr>
        <w:lastRenderedPageBreak/>
        <w:t>zone because they are engaged in exporting primary products whose prices are sticky (i.e., a reduction in the prices of products does not increase the quantity sold). Implying that a devaluation might have a less significant impact than manufactured goods.</w:t>
      </w:r>
      <w:r w:rsidRPr="00ED7498">
        <w:rPr>
          <w:rStyle w:val="FootnoteReference"/>
          <w:rFonts w:ascii="Arial" w:hAnsi="Arial" w:cs="Arial"/>
          <w:lang w:eastAsia="en-GB"/>
        </w:rPr>
        <w:footnoteReference w:id="25"/>
      </w:r>
      <w:r w:rsidRPr="00ED7498">
        <w:rPr>
          <w:rFonts w:ascii="Arial" w:hAnsi="Arial" w:cs="Arial"/>
          <w:lang w:eastAsia="en-GB"/>
        </w:rPr>
        <w:t>  </w:t>
      </w:r>
      <w:r w:rsidR="003E6EB3" w:rsidRPr="00ED7498">
        <w:rPr>
          <w:rFonts w:ascii="Arial" w:hAnsi="Arial" w:cs="Arial"/>
          <w:lang w:eastAsia="en-GB"/>
        </w:rPr>
        <w:t xml:space="preserve">Thus, this </w:t>
      </w:r>
      <w:bookmarkStart w:id="55" w:name="_Hlk170219686"/>
      <w:r w:rsidR="003E6EB3" w:rsidRPr="00ED7498">
        <w:rPr>
          <w:rFonts w:ascii="Arial" w:hAnsi="Arial" w:cs="Arial"/>
          <w:lang w:eastAsia="en-GB"/>
        </w:rPr>
        <w:t>research will help us address the above</w:t>
      </w:r>
      <w:r w:rsidR="00211DD6" w:rsidRPr="00ED7498">
        <w:rPr>
          <w:rFonts w:ascii="Arial" w:hAnsi="Arial" w:cs="Arial"/>
          <w:lang w:eastAsia="en-GB"/>
        </w:rPr>
        <w:t>-</w:t>
      </w:r>
      <w:r w:rsidR="00D82404" w:rsidRPr="00ED7498">
        <w:rPr>
          <w:rFonts w:ascii="Arial" w:hAnsi="Arial" w:cs="Arial"/>
          <w:lang w:eastAsia="en-GB"/>
        </w:rPr>
        <w:t>3</w:t>
      </w:r>
      <w:r w:rsidR="003E6EB3" w:rsidRPr="00ED7498">
        <w:rPr>
          <w:rFonts w:ascii="Arial" w:hAnsi="Arial" w:cs="Arial"/>
          <w:lang w:eastAsia="en-GB"/>
        </w:rPr>
        <w:t xml:space="preserve">mentioned issues. </w:t>
      </w:r>
    </w:p>
    <w:p w14:paraId="2366D6E1" w14:textId="540F5A3D" w:rsidR="00544C23" w:rsidRPr="00926B4F" w:rsidRDefault="00544C23" w:rsidP="0066301C">
      <w:pPr>
        <w:pStyle w:val="Heading3"/>
        <w:numPr>
          <w:ilvl w:val="0"/>
          <w:numId w:val="0"/>
        </w:numPr>
        <w:spacing w:before="0" w:beforeAutospacing="0" w:line="360" w:lineRule="auto"/>
        <w:rPr>
          <w:rFonts w:ascii="Times New Roman" w:hAnsi="Times New Roman" w:cs="Times New Roman"/>
          <w:sz w:val="24"/>
        </w:rPr>
      </w:pPr>
      <w:bookmarkStart w:id="56" w:name="_Toc171075353"/>
      <w:r>
        <w:t>1.3.2</w:t>
      </w:r>
      <w:r>
        <w:tab/>
      </w:r>
      <w:r w:rsidRPr="002A4E30">
        <w:t>MACROECONOMIC CHARACTERISTICS OF CEMAC NATIONS.</w:t>
      </w:r>
      <w:bookmarkEnd w:id="56"/>
      <w:r w:rsidRPr="00523A03">
        <w:t> </w:t>
      </w:r>
      <w:r w:rsidRPr="00892A02">
        <w:t xml:space="preserve"> </w:t>
      </w:r>
    </w:p>
    <w:p w14:paraId="01991872" w14:textId="6CD98C46" w:rsidR="00963B23" w:rsidRDefault="002A4E30" w:rsidP="0066301C">
      <w:pPr>
        <w:pStyle w:val="NoSpacing"/>
        <w:spacing w:line="360" w:lineRule="auto"/>
        <w:jc w:val="both"/>
        <w:rPr>
          <w:rFonts w:ascii="Arial" w:hAnsi="Arial" w:cs="Arial"/>
          <w:lang w:eastAsia="en-GB"/>
        </w:rPr>
      </w:pPr>
      <w:r w:rsidRPr="00523A03">
        <w:rPr>
          <w:rFonts w:ascii="Arial" w:hAnsi="Arial" w:cs="Arial"/>
          <w:lang w:eastAsia="en-GB"/>
        </w:rPr>
        <w:t xml:space="preserve">The economy of CEMAC nations has evolved since independence, starting from the period of economic growth engendered by the agricultural and agro-industrial growth, as well as petroleum discoveries (1960-1986) (Mbu, 2015; Tambi &amp; Baye, 2012; Molua, 2010). It was followed by a period of economic crisis, caused partly by the fall in world prices and depreciation of the US dollar, resulting in the fall in GDP, which contributed to the devaluation </w:t>
      </w:r>
      <w:bookmarkStart w:id="57" w:name="_Hlk170219728"/>
      <w:bookmarkEnd w:id="55"/>
      <w:r w:rsidRPr="00523A03">
        <w:rPr>
          <w:rFonts w:ascii="Arial" w:hAnsi="Arial" w:cs="Arial"/>
          <w:lang w:eastAsia="en-GB"/>
        </w:rPr>
        <w:t>of the CFA franc (1986-1994). Then by the period of economic recovery with significant reforms to increase investment, economic growth, and globalisation. Hence, in the period 1980 to the present date, the CEMAC nations might have witnessed all the possible phases of the business cycle: economic prosperity (up to 1985), economic and social crisis (1986-1994), and probably renewed economic fortunes (from 1995) (Mbu, 2015; Tambi and Baye, 2012). CEMAC nations are in the primary sector and import most of the manufactured goods. Looking at the individual nation's macroeconomic characteristics will give us a better view of the region</w:t>
      </w:r>
      <w:r w:rsidR="00D9797F">
        <w:rPr>
          <w:rFonts w:ascii="Arial" w:hAnsi="Arial" w:cs="Arial"/>
          <w:lang w:eastAsia="en-GB"/>
        </w:rPr>
        <w:t>, which show that the region is engage in the primary sector, with significant percentage of the population living in poverty. These ind</w:t>
      </w:r>
      <w:r w:rsidR="009A2443">
        <w:rPr>
          <w:rFonts w:ascii="Arial" w:hAnsi="Arial" w:cs="Arial"/>
          <w:lang w:eastAsia="en-GB"/>
        </w:rPr>
        <w:t xml:space="preserve">icators are presented </w:t>
      </w:r>
      <w:r w:rsidR="00D9797F">
        <w:rPr>
          <w:rFonts w:ascii="Arial" w:hAnsi="Arial" w:cs="Arial"/>
          <w:lang w:eastAsia="en-GB"/>
        </w:rPr>
        <w:t>below on table 1.2.</w:t>
      </w:r>
    </w:p>
    <w:p w14:paraId="3D1CF3A5" w14:textId="33A61F80" w:rsidR="00CE5D06" w:rsidRDefault="00CE5D06" w:rsidP="00A0348C">
      <w:pPr>
        <w:pStyle w:val="NoSpacing"/>
        <w:jc w:val="both"/>
        <w:rPr>
          <w:rFonts w:ascii="Arial" w:hAnsi="Arial" w:cs="Arial"/>
          <w:lang w:eastAsia="en-GB"/>
        </w:rPr>
      </w:pPr>
      <w:r w:rsidRPr="00147E59">
        <w:rPr>
          <w:rFonts w:ascii="Arial" w:hAnsi="Arial" w:cs="Arial"/>
          <w:b/>
          <w:bCs/>
          <w:color w:val="0E101A"/>
        </w:rPr>
        <w:t>Table 1.</w:t>
      </w:r>
      <w:r>
        <w:rPr>
          <w:rFonts w:ascii="Arial" w:hAnsi="Arial" w:cs="Arial"/>
          <w:b/>
          <w:bCs/>
          <w:color w:val="0E101A"/>
        </w:rPr>
        <w:t>2</w:t>
      </w:r>
      <w:r w:rsidRPr="00147E59">
        <w:rPr>
          <w:rFonts w:ascii="Arial" w:hAnsi="Arial" w:cs="Arial"/>
          <w:b/>
          <w:bCs/>
          <w:color w:val="0E101A"/>
        </w:rPr>
        <w:t xml:space="preserve">: </w:t>
      </w:r>
      <w:r>
        <w:rPr>
          <w:rFonts w:ascii="Arial" w:hAnsi="Arial" w:cs="Arial"/>
          <w:b/>
          <w:bCs/>
          <w:color w:val="0E101A"/>
        </w:rPr>
        <w:t xml:space="preserve">Economic Indicators  </w:t>
      </w:r>
    </w:p>
    <w:tbl>
      <w:tblPr>
        <w:tblStyle w:val="TableGrid"/>
        <w:tblW w:w="10235" w:type="dxa"/>
        <w:tblInd w:w="-459" w:type="dxa"/>
        <w:tblLayout w:type="fixed"/>
        <w:tblLook w:val="04A0" w:firstRow="1" w:lastRow="0" w:firstColumn="1" w:lastColumn="0" w:noHBand="0" w:noVBand="1"/>
      </w:tblPr>
      <w:tblGrid>
        <w:gridCol w:w="1418"/>
        <w:gridCol w:w="1583"/>
        <w:gridCol w:w="1728"/>
        <w:gridCol w:w="1206"/>
        <w:gridCol w:w="1436"/>
        <w:gridCol w:w="1498"/>
        <w:gridCol w:w="1366"/>
      </w:tblGrid>
      <w:tr w:rsidR="00963B23" w14:paraId="13B8215B" w14:textId="77777777" w:rsidTr="00963B23">
        <w:tc>
          <w:tcPr>
            <w:tcW w:w="1418" w:type="dxa"/>
          </w:tcPr>
          <w:p w14:paraId="7E63DAC3" w14:textId="77777777" w:rsidR="00963B23" w:rsidRDefault="00963B23" w:rsidP="00E67D88">
            <w:pPr>
              <w:jc w:val="both"/>
              <w:rPr>
                <w:rFonts w:ascii="Arial" w:hAnsi="Arial" w:cs="Arial"/>
                <w:sz w:val="20"/>
                <w:szCs w:val="20"/>
                <w:lang w:val="en-US"/>
              </w:rPr>
            </w:pPr>
            <w:r>
              <w:rPr>
                <w:rFonts w:ascii="Arial" w:hAnsi="Arial" w:cs="Arial"/>
                <w:sz w:val="20"/>
                <w:szCs w:val="20"/>
                <w:lang w:val="en-US"/>
              </w:rPr>
              <w:t>Indicators (2018)</w:t>
            </w:r>
          </w:p>
        </w:tc>
        <w:tc>
          <w:tcPr>
            <w:tcW w:w="1583" w:type="dxa"/>
          </w:tcPr>
          <w:p w14:paraId="57CC65B9" w14:textId="77777777" w:rsidR="00963B23" w:rsidRDefault="00963B23" w:rsidP="00E67D88">
            <w:pPr>
              <w:jc w:val="both"/>
              <w:rPr>
                <w:rFonts w:ascii="Arial" w:hAnsi="Arial" w:cs="Arial"/>
                <w:sz w:val="20"/>
                <w:szCs w:val="20"/>
                <w:lang w:val="en-US"/>
              </w:rPr>
            </w:pPr>
            <w:r>
              <w:rPr>
                <w:rFonts w:ascii="Arial" w:hAnsi="Arial" w:cs="Arial"/>
                <w:sz w:val="20"/>
                <w:szCs w:val="20"/>
                <w:lang w:val="en-US"/>
              </w:rPr>
              <w:t>Cameroon</w:t>
            </w:r>
          </w:p>
        </w:tc>
        <w:tc>
          <w:tcPr>
            <w:tcW w:w="1728" w:type="dxa"/>
          </w:tcPr>
          <w:p w14:paraId="57673FD9" w14:textId="77777777" w:rsidR="00963B23" w:rsidRDefault="00963B23" w:rsidP="00E67D88">
            <w:pPr>
              <w:jc w:val="both"/>
              <w:rPr>
                <w:rFonts w:ascii="Arial" w:hAnsi="Arial" w:cs="Arial"/>
                <w:sz w:val="20"/>
                <w:szCs w:val="20"/>
                <w:lang w:val="en-US"/>
              </w:rPr>
            </w:pPr>
            <w:r>
              <w:rPr>
                <w:rFonts w:ascii="Arial" w:hAnsi="Arial" w:cs="Arial"/>
                <w:sz w:val="20"/>
                <w:szCs w:val="20"/>
                <w:lang w:val="en-US"/>
              </w:rPr>
              <w:t>CAR</w:t>
            </w:r>
          </w:p>
        </w:tc>
        <w:tc>
          <w:tcPr>
            <w:tcW w:w="1206" w:type="dxa"/>
          </w:tcPr>
          <w:p w14:paraId="2F095946" w14:textId="77777777" w:rsidR="00963B23" w:rsidRDefault="00963B23" w:rsidP="00E67D88">
            <w:pPr>
              <w:jc w:val="both"/>
              <w:rPr>
                <w:rFonts w:ascii="Arial" w:hAnsi="Arial" w:cs="Arial"/>
                <w:sz w:val="20"/>
                <w:szCs w:val="20"/>
                <w:lang w:val="en-US"/>
              </w:rPr>
            </w:pPr>
            <w:r>
              <w:rPr>
                <w:rFonts w:ascii="Arial" w:hAnsi="Arial" w:cs="Arial"/>
                <w:sz w:val="20"/>
                <w:szCs w:val="20"/>
                <w:lang w:val="en-US"/>
              </w:rPr>
              <w:t>Chad</w:t>
            </w:r>
          </w:p>
        </w:tc>
        <w:tc>
          <w:tcPr>
            <w:tcW w:w="1436" w:type="dxa"/>
          </w:tcPr>
          <w:p w14:paraId="14B2AC6C" w14:textId="77777777" w:rsidR="00963B23" w:rsidRDefault="00963B23" w:rsidP="00E67D88">
            <w:pPr>
              <w:jc w:val="both"/>
              <w:rPr>
                <w:rFonts w:ascii="Arial" w:hAnsi="Arial" w:cs="Arial"/>
                <w:sz w:val="20"/>
                <w:szCs w:val="20"/>
                <w:lang w:val="en-US"/>
              </w:rPr>
            </w:pPr>
            <w:r>
              <w:rPr>
                <w:rFonts w:ascii="Arial" w:hAnsi="Arial" w:cs="Arial"/>
                <w:sz w:val="20"/>
                <w:szCs w:val="20"/>
                <w:lang w:val="en-US"/>
              </w:rPr>
              <w:t>Congo</w:t>
            </w:r>
          </w:p>
        </w:tc>
        <w:tc>
          <w:tcPr>
            <w:tcW w:w="1498" w:type="dxa"/>
          </w:tcPr>
          <w:p w14:paraId="258D647B" w14:textId="77777777" w:rsidR="00963B23" w:rsidRDefault="00963B23" w:rsidP="00E67D88">
            <w:pPr>
              <w:jc w:val="both"/>
              <w:rPr>
                <w:rFonts w:ascii="Arial" w:hAnsi="Arial" w:cs="Arial"/>
                <w:sz w:val="20"/>
                <w:szCs w:val="20"/>
                <w:lang w:val="en-US"/>
              </w:rPr>
            </w:pPr>
            <w:r>
              <w:rPr>
                <w:rFonts w:ascii="Arial" w:hAnsi="Arial" w:cs="Arial"/>
                <w:sz w:val="20"/>
                <w:szCs w:val="20"/>
                <w:lang w:val="en-US"/>
              </w:rPr>
              <w:t>Equi. Guinea</w:t>
            </w:r>
          </w:p>
        </w:tc>
        <w:tc>
          <w:tcPr>
            <w:tcW w:w="1366" w:type="dxa"/>
          </w:tcPr>
          <w:p w14:paraId="3C5493D5" w14:textId="77777777" w:rsidR="00963B23" w:rsidRDefault="00963B23" w:rsidP="00E67D88">
            <w:pPr>
              <w:jc w:val="both"/>
              <w:rPr>
                <w:rFonts w:ascii="Arial" w:hAnsi="Arial" w:cs="Arial"/>
                <w:sz w:val="20"/>
                <w:szCs w:val="20"/>
                <w:lang w:val="en-US"/>
              </w:rPr>
            </w:pPr>
            <w:r>
              <w:rPr>
                <w:rFonts w:ascii="Arial" w:hAnsi="Arial" w:cs="Arial"/>
                <w:sz w:val="20"/>
                <w:szCs w:val="20"/>
                <w:lang w:val="en-US"/>
              </w:rPr>
              <w:t>Gabon</w:t>
            </w:r>
          </w:p>
        </w:tc>
      </w:tr>
      <w:tr w:rsidR="00963B23" w14:paraId="034E14DA" w14:textId="77777777" w:rsidTr="00963B23">
        <w:tc>
          <w:tcPr>
            <w:tcW w:w="1418" w:type="dxa"/>
          </w:tcPr>
          <w:p w14:paraId="19E464C5" w14:textId="77777777" w:rsidR="00963B23" w:rsidRDefault="00963B23" w:rsidP="00E67D88">
            <w:pPr>
              <w:jc w:val="both"/>
              <w:rPr>
                <w:rFonts w:ascii="Arial" w:hAnsi="Arial" w:cs="Arial"/>
                <w:sz w:val="20"/>
                <w:szCs w:val="20"/>
                <w:lang w:val="en-US"/>
              </w:rPr>
            </w:pPr>
            <w:r>
              <w:rPr>
                <w:rFonts w:ascii="Arial" w:hAnsi="Arial" w:cs="Arial"/>
                <w:sz w:val="20"/>
                <w:szCs w:val="20"/>
                <w:lang w:val="en-US"/>
              </w:rPr>
              <w:t>Main economic activities</w:t>
            </w:r>
          </w:p>
        </w:tc>
        <w:tc>
          <w:tcPr>
            <w:tcW w:w="1583" w:type="dxa"/>
          </w:tcPr>
          <w:p w14:paraId="69FAA2B2" w14:textId="77777777" w:rsidR="00963B23" w:rsidRDefault="00963B23" w:rsidP="00E67D88">
            <w:pPr>
              <w:jc w:val="both"/>
              <w:rPr>
                <w:rFonts w:ascii="Arial" w:hAnsi="Arial" w:cs="Arial"/>
                <w:sz w:val="20"/>
                <w:szCs w:val="20"/>
                <w:lang w:val="en-US"/>
              </w:rPr>
            </w:pPr>
            <w:r>
              <w:rPr>
                <w:rFonts w:ascii="Arial" w:hAnsi="Arial" w:cs="Arial"/>
                <w:sz w:val="20"/>
                <w:szCs w:val="20"/>
                <w:lang w:val="en-US"/>
              </w:rPr>
              <w:t>Petroleum and agriculture</w:t>
            </w:r>
          </w:p>
        </w:tc>
        <w:tc>
          <w:tcPr>
            <w:tcW w:w="1728" w:type="dxa"/>
          </w:tcPr>
          <w:p w14:paraId="4F406B4B" w14:textId="77777777" w:rsidR="00963B23" w:rsidRDefault="00963B23" w:rsidP="00E67D88">
            <w:pPr>
              <w:jc w:val="both"/>
              <w:rPr>
                <w:rFonts w:ascii="Arial" w:hAnsi="Arial" w:cs="Arial"/>
                <w:sz w:val="20"/>
                <w:szCs w:val="20"/>
                <w:lang w:val="en-US"/>
              </w:rPr>
            </w:pPr>
            <w:r>
              <w:rPr>
                <w:rFonts w:ascii="Arial" w:hAnsi="Arial" w:cs="Arial"/>
                <w:sz w:val="20"/>
                <w:szCs w:val="20"/>
                <w:lang w:val="en-US"/>
              </w:rPr>
              <w:t>Agriculture, forestry, livestock farming, mining.</w:t>
            </w:r>
          </w:p>
        </w:tc>
        <w:tc>
          <w:tcPr>
            <w:tcW w:w="1206" w:type="dxa"/>
          </w:tcPr>
          <w:p w14:paraId="7560F3E9" w14:textId="77777777" w:rsidR="00963B23" w:rsidRDefault="00963B23" w:rsidP="00E67D88">
            <w:pPr>
              <w:jc w:val="both"/>
              <w:rPr>
                <w:rFonts w:ascii="Arial" w:hAnsi="Arial" w:cs="Arial"/>
                <w:sz w:val="20"/>
                <w:szCs w:val="20"/>
                <w:lang w:val="en-US"/>
              </w:rPr>
            </w:pPr>
            <w:r>
              <w:rPr>
                <w:rFonts w:ascii="Arial" w:hAnsi="Arial" w:cs="Arial"/>
                <w:sz w:val="20"/>
                <w:szCs w:val="20"/>
                <w:lang w:val="en-US"/>
              </w:rPr>
              <w:t>Agriculture and livestock breeding</w:t>
            </w:r>
          </w:p>
        </w:tc>
        <w:tc>
          <w:tcPr>
            <w:tcW w:w="1436" w:type="dxa"/>
          </w:tcPr>
          <w:p w14:paraId="237A1F6B" w14:textId="77777777" w:rsidR="00963B23" w:rsidRDefault="00963B23" w:rsidP="00E67D88">
            <w:pPr>
              <w:jc w:val="both"/>
              <w:rPr>
                <w:rFonts w:ascii="Arial" w:hAnsi="Arial" w:cs="Arial"/>
                <w:sz w:val="20"/>
                <w:szCs w:val="20"/>
                <w:lang w:val="en-US"/>
              </w:rPr>
            </w:pPr>
            <w:r>
              <w:rPr>
                <w:rFonts w:ascii="Arial" w:hAnsi="Arial" w:cs="Arial"/>
                <w:sz w:val="20"/>
                <w:szCs w:val="20"/>
                <w:lang w:val="en-US"/>
              </w:rPr>
              <w:t>Petroleum, timber and forestry, mining, agriculture</w:t>
            </w:r>
          </w:p>
        </w:tc>
        <w:tc>
          <w:tcPr>
            <w:tcW w:w="1498" w:type="dxa"/>
          </w:tcPr>
          <w:p w14:paraId="1F140365" w14:textId="77777777" w:rsidR="00963B23" w:rsidRDefault="00963B23" w:rsidP="00E67D88">
            <w:pPr>
              <w:jc w:val="both"/>
              <w:rPr>
                <w:rFonts w:ascii="Arial" w:hAnsi="Arial" w:cs="Arial"/>
                <w:sz w:val="20"/>
                <w:szCs w:val="20"/>
                <w:lang w:val="en-US"/>
              </w:rPr>
            </w:pPr>
            <w:r>
              <w:rPr>
                <w:rFonts w:ascii="Arial" w:hAnsi="Arial" w:cs="Arial"/>
                <w:sz w:val="20"/>
                <w:szCs w:val="20"/>
                <w:lang w:val="en-US"/>
              </w:rPr>
              <w:t>Petroleum, agriculture, fishing, forestry, mining</w:t>
            </w:r>
          </w:p>
        </w:tc>
        <w:tc>
          <w:tcPr>
            <w:tcW w:w="1366" w:type="dxa"/>
          </w:tcPr>
          <w:p w14:paraId="5DD30405" w14:textId="77777777" w:rsidR="00963B23" w:rsidRDefault="00963B23" w:rsidP="00E67D88">
            <w:pPr>
              <w:jc w:val="both"/>
              <w:rPr>
                <w:rFonts w:ascii="Arial" w:hAnsi="Arial" w:cs="Arial"/>
                <w:sz w:val="20"/>
                <w:szCs w:val="20"/>
                <w:lang w:val="en-US"/>
              </w:rPr>
            </w:pPr>
            <w:r>
              <w:rPr>
                <w:rFonts w:ascii="Arial" w:hAnsi="Arial" w:cs="Arial"/>
                <w:sz w:val="20"/>
                <w:szCs w:val="20"/>
                <w:lang w:val="en-US"/>
              </w:rPr>
              <w:t>Petroleum, and wood, textile.</w:t>
            </w:r>
          </w:p>
        </w:tc>
      </w:tr>
      <w:tr w:rsidR="00963B23" w14:paraId="6DF9FC65" w14:textId="77777777" w:rsidTr="00963B23">
        <w:tc>
          <w:tcPr>
            <w:tcW w:w="1418" w:type="dxa"/>
          </w:tcPr>
          <w:p w14:paraId="6582AB49" w14:textId="77777777" w:rsidR="00963B23" w:rsidRDefault="00963B23" w:rsidP="00E67D88">
            <w:pPr>
              <w:jc w:val="both"/>
              <w:rPr>
                <w:rFonts w:ascii="Arial" w:hAnsi="Arial" w:cs="Arial"/>
                <w:sz w:val="20"/>
                <w:szCs w:val="20"/>
                <w:lang w:val="en-US"/>
              </w:rPr>
            </w:pPr>
            <w:r>
              <w:rPr>
                <w:rFonts w:ascii="Arial" w:hAnsi="Arial" w:cs="Arial"/>
                <w:sz w:val="20"/>
                <w:szCs w:val="20"/>
                <w:lang w:val="en-US"/>
              </w:rPr>
              <w:t>Primary exports</w:t>
            </w:r>
          </w:p>
        </w:tc>
        <w:tc>
          <w:tcPr>
            <w:tcW w:w="1583" w:type="dxa"/>
          </w:tcPr>
          <w:p w14:paraId="60F20349" w14:textId="77777777" w:rsidR="00963B23" w:rsidRDefault="00963B23" w:rsidP="00E67D88">
            <w:pPr>
              <w:jc w:val="both"/>
              <w:rPr>
                <w:rFonts w:ascii="Arial" w:hAnsi="Arial" w:cs="Arial"/>
                <w:sz w:val="20"/>
                <w:szCs w:val="20"/>
                <w:lang w:val="en-US"/>
              </w:rPr>
            </w:pPr>
            <w:r>
              <w:rPr>
                <w:rFonts w:ascii="Arial" w:hAnsi="Arial" w:cs="Arial"/>
                <w:sz w:val="20"/>
                <w:szCs w:val="20"/>
                <w:lang w:val="en-US"/>
              </w:rPr>
              <w:t>Fuel (gas, oil), minerals, cocoa, cotton, rubber, and wood</w:t>
            </w:r>
          </w:p>
        </w:tc>
        <w:tc>
          <w:tcPr>
            <w:tcW w:w="1728" w:type="dxa"/>
          </w:tcPr>
          <w:p w14:paraId="3F74EA5A" w14:textId="77777777" w:rsidR="00963B23" w:rsidRDefault="00963B23" w:rsidP="00E67D88">
            <w:pPr>
              <w:jc w:val="both"/>
              <w:rPr>
                <w:rFonts w:ascii="Arial" w:hAnsi="Arial" w:cs="Arial"/>
                <w:sz w:val="20"/>
                <w:szCs w:val="20"/>
                <w:lang w:val="en-US"/>
              </w:rPr>
            </w:pPr>
            <w:r>
              <w:rPr>
                <w:rFonts w:ascii="Arial" w:hAnsi="Arial" w:cs="Arial"/>
                <w:sz w:val="20"/>
                <w:szCs w:val="20"/>
                <w:lang w:val="en-US"/>
              </w:rPr>
              <w:t>Rough wood, gold, diamond, sawn wood, and refined copper.</w:t>
            </w:r>
          </w:p>
        </w:tc>
        <w:tc>
          <w:tcPr>
            <w:tcW w:w="1206" w:type="dxa"/>
          </w:tcPr>
          <w:p w14:paraId="034F4894" w14:textId="77777777" w:rsidR="00963B23" w:rsidRDefault="00963B23" w:rsidP="00E67D88">
            <w:pPr>
              <w:jc w:val="both"/>
              <w:rPr>
                <w:rFonts w:ascii="Arial" w:hAnsi="Arial" w:cs="Arial"/>
                <w:sz w:val="20"/>
                <w:szCs w:val="20"/>
                <w:lang w:val="en-US"/>
              </w:rPr>
            </w:pPr>
            <w:r>
              <w:rPr>
                <w:rFonts w:ascii="Arial" w:hAnsi="Arial" w:cs="Arial"/>
                <w:sz w:val="20"/>
                <w:szCs w:val="20"/>
                <w:lang w:val="en-US"/>
              </w:rPr>
              <w:t>Petroleum (60% of export), cotton, cottonseed oil.</w:t>
            </w:r>
          </w:p>
        </w:tc>
        <w:tc>
          <w:tcPr>
            <w:tcW w:w="1436" w:type="dxa"/>
          </w:tcPr>
          <w:p w14:paraId="13A00CFE" w14:textId="77777777" w:rsidR="00963B23" w:rsidRDefault="00963B23" w:rsidP="00E67D88">
            <w:pPr>
              <w:jc w:val="both"/>
              <w:rPr>
                <w:rFonts w:ascii="Arial" w:hAnsi="Arial" w:cs="Arial"/>
                <w:sz w:val="20"/>
                <w:szCs w:val="20"/>
                <w:lang w:val="en-US"/>
              </w:rPr>
            </w:pPr>
            <w:r>
              <w:rPr>
                <w:rFonts w:ascii="Arial" w:hAnsi="Arial" w:cs="Arial"/>
                <w:sz w:val="20"/>
                <w:szCs w:val="20"/>
                <w:lang w:val="en-US"/>
              </w:rPr>
              <w:t xml:space="preserve">Petroleum (80% of export), timber, raw copper. </w:t>
            </w:r>
          </w:p>
        </w:tc>
        <w:tc>
          <w:tcPr>
            <w:tcW w:w="1498" w:type="dxa"/>
          </w:tcPr>
          <w:p w14:paraId="7E1F1ABA" w14:textId="77777777" w:rsidR="00963B23" w:rsidRDefault="00963B23" w:rsidP="00E67D88">
            <w:pPr>
              <w:jc w:val="both"/>
              <w:rPr>
                <w:rFonts w:ascii="Arial" w:hAnsi="Arial" w:cs="Arial"/>
                <w:sz w:val="20"/>
                <w:szCs w:val="20"/>
                <w:lang w:val="en-US"/>
              </w:rPr>
            </w:pPr>
            <w:r>
              <w:rPr>
                <w:rFonts w:ascii="Arial" w:hAnsi="Arial" w:cs="Arial"/>
                <w:sz w:val="20"/>
                <w:szCs w:val="20"/>
                <w:lang w:val="en-US"/>
              </w:rPr>
              <w:t>Petroleum, timber</w:t>
            </w:r>
          </w:p>
        </w:tc>
        <w:tc>
          <w:tcPr>
            <w:tcW w:w="1366" w:type="dxa"/>
          </w:tcPr>
          <w:p w14:paraId="0A515A18" w14:textId="77777777" w:rsidR="00963B23" w:rsidRDefault="00963B23" w:rsidP="00E67D88">
            <w:pPr>
              <w:jc w:val="both"/>
              <w:rPr>
                <w:rFonts w:ascii="Arial" w:hAnsi="Arial" w:cs="Arial"/>
                <w:sz w:val="20"/>
                <w:szCs w:val="20"/>
                <w:lang w:val="en-US"/>
              </w:rPr>
            </w:pPr>
            <w:r>
              <w:rPr>
                <w:rFonts w:ascii="Arial" w:hAnsi="Arial" w:cs="Arial"/>
                <w:sz w:val="20"/>
                <w:szCs w:val="20"/>
                <w:lang w:val="en-US"/>
              </w:rPr>
              <w:t xml:space="preserve">Petroleum, manganese ores, ferroalloys, timber. </w:t>
            </w:r>
          </w:p>
        </w:tc>
      </w:tr>
      <w:tr w:rsidR="00963B23" w14:paraId="2196A6FA" w14:textId="77777777" w:rsidTr="00963B23">
        <w:tc>
          <w:tcPr>
            <w:tcW w:w="1418" w:type="dxa"/>
          </w:tcPr>
          <w:p w14:paraId="2A5498F1" w14:textId="77777777" w:rsidR="00963B23" w:rsidRDefault="00963B23" w:rsidP="00E67D88">
            <w:pPr>
              <w:jc w:val="both"/>
              <w:rPr>
                <w:rFonts w:ascii="Arial" w:hAnsi="Arial" w:cs="Arial"/>
                <w:sz w:val="20"/>
                <w:szCs w:val="20"/>
                <w:lang w:val="en-US"/>
              </w:rPr>
            </w:pPr>
            <w:r>
              <w:rPr>
                <w:rFonts w:ascii="Arial" w:hAnsi="Arial" w:cs="Arial"/>
                <w:sz w:val="20"/>
                <w:szCs w:val="20"/>
                <w:lang w:val="en-US"/>
              </w:rPr>
              <w:t xml:space="preserve">Main imports  </w:t>
            </w:r>
          </w:p>
        </w:tc>
        <w:tc>
          <w:tcPr>
            <w:tcW w:w="1583" w:type="dxa"/>
          </w:tcPr>
          <w:p w14:paraId="0A7C1EE9" w14:textId="74012336" w:rsidR="00963B23" w:rsidRDefault="00963B23" w:rsidP="00E67D88">
            <w:pPr>
              <w:jc w:val="both"/>
              <w:rPr>
                <w:rFonts w:ascii="Arial" w:hAnsi="Arial" w:cs="Arial"/>
                <w:sz w:val="20"/>
                <w:szCs w:val="20"/>
                <w:lang w:val="en-US"/>
              </w:rPr>
            </w:pPr>
            <w:r>
              <w:rPr>
                <w:rFonts w:ascii="Arial" w:hAnsi="Arial" w:cs="Arial"/>
                <w:sz w:val="20"/>
                <w:szCs w:val="20"/>
                <w:lang w:val="en-US"/>
              </w:rPr>
              <w:t>Manufactured products (electrical and electronic equipment, vehicles, machinery</w:t>
            </w:r>
            <w:r w:rsidR="000715A2">
              <w:rPr>
                <w:rFonts w:ascii="Arial" w:hAnsi="Arial" w:cs="Arial"/>
                <w:sz w:val="20"/>
                <w:szCs w:val="20"/>
                <w:lang w:val="en-US"/>
              </w:rPr>
              <w:t>).</w:t>
            </w:r>
          </w:p>
        </w:tc>
        <w:tc>
          <w:tcPr>
            <w:tcW w:w="1728" w:type="dxa"/>
          </w:tcPr>
          <w:p w14:paraId="56BA7D73" w14:textId="77777777" w:rsidR="00963B23" w:rsidRDefault="00963B23" w:rsidP="00E67D88">
            <w:pPr>
              <w:jc w:val="both"/>
              <w:rPr>
                <w:rFonts w:ascii="Arial" w:hAnsi="Arial" w:cs="Arial"/>
                <w:sz w:val="20"/>
                <w:szCs w:val="20"/>
                <w:lang w:val="en-US"/>
              </w:rPr>
            </w:pPr>
            <w:r>
              <w:rPr>
                <w:rFonts w:ascii="Arial" w:hAnsi="Arial" w:cs="Arial"/>
                <w:sz w:val="20"/>
                <w:szCs w:val="20"/>
                <w:lang w:val="en-US"/>
              </w:rPr>
              <w:t xml:space="preserve">Foodstuffs, fuel and energy products, machinery and equipment, electricals, </w:t>
            </w:r>
            <w:r>
              <w:rPr>
                <w:rFonts w:ascii="Arial" w:hAnsi="Arial" w:cs="Arial"/>
                <w:sz w:val="20"/>
                <w:szCs w:val="20"/>
                <w:lang w:val="en-US"/>
              </w:rPr>
              <w:lastRenderedPageBreak/>
              <w:t>vehicles, pharmaceuticals.</w:t>
            </w:r>
          </w:p>
        </w:tc>
        <w:tc>
          <w:tcPr>
            <w:tcW w:w="1206" w:type="dxa"/>
          </w:tcPr>
          <w:p w14:paraId="4B6B9671" w14:textId="77777777" w:rsidR="00963B23" w:rsidRDefault="00963B23" w:rsidP="00E67D88">
            <w:pPr>
              <w:jc w:val="both"/>
              <w:rPr>
                <w:rFonts w:ascii="Arial" w:hAnsi="Arial" w:cs="Arial"/>
                <w:sz w:val="20"/>
                <w:szCs w:val="20"/>
                <w:lang w:val="en-US"/>
              </w:rPr>
            </w:pPr>
            <w:r>
              <w:rPr>
                <w:rFonts w:ascii="Arial" w:hAnsi="Arial" w:cs="Arial"/>
                <w:sz w:val="20"/>
                <w:szCs w:val="20"/>
                <w:lang w:val="en-US"/>
              </w:rPr>
              <w:lastRenderedPageBreak/>
              <w:t>Foodstuffs, transport machinery, equipment, textiles</w:t>
            </w:r>
          </w:p>
        </w:tc>
        <w:tc>
          <w:tcPr>
            <w:tcW w:w="1436" w:type="dxa"/>
          </w:tcPr>
          <w:p w14:paraId="79775BF1" w14:textId="77777777" w:rsidR="00963B23" w:rsidRDefault="00963B23" w:rsidP="00E67D88">
            <w:pPr>
              <w:jc w:val="both"/>
              <w:rPr>
                <w:rFonts w:ascii="Arial" w:hAnsi="Arial" w:cs="Arial"/>
                <w:sz w:val="20"/>
                <w:szCs w:val="20"/>
                <w:lang w:val="en-US"/>
              </w:rPr>
            </w:pPr>
            <w:r>
              <w:rPr>
                <w:rFonts w:ascii="Arial" w:hAnsi="Arial" w:cs="Arial"/>
                <w:sz w:val="20"/>
                <w:szCs w:val="20"/>
                <w:lang w:val="en-US"/>
              </w:rPr>
              <w:t xml:space="preserve">Special-use vessels, machinery, meat, cereals, vehicles, electrical </w:t>
            </w:r>
            <w:r>
              <w:rPr>
                <w:rFonts w:ascii="Arial" w:hAnsi="Arial" w:cs="Arial"/>
                <w:sz w:val="20"/>
                <w:szCs w:val="20"/>
                <w:lang w:val="en-US"/>
              </w:rPr>
              <w:lastRenderedPageBreak/>
              <w:t>equipment, food, steel structures, and medical products</w:t>
            </w:r>
          </w:p>
        </w:tc>
        <w:tc>
          <w:tcPr>
            <w:tcW w:w="1498" w:type="dxa"/>
          </w:tcPr>
          <w:p w14:paraId="730F2628" w14:textId="77777777" w:rsidR="00963B23" w:rsidRDefault="00963B23" w:rsidP="00E67D88">
            <w:pPr>
              <w:jc w:val="both"/>
              <w:rPr>
                <w:rFonts w:ascii="Arial" w:hAnsi="Arial" w:cs="Arial"/>
                <w:sz w:val="20"/>
                <w:szCs w:val="20"/>
                <w:lang w:val="en-US"/>
              </w:rPr>
            </w:pPr>
            <w:r>
              <w:rPr>
                <w:rFonts w:ascii="Arial" w:hAnsi="Arial" w:cs="Arial"/>
                <w:sz w:val="20"/>
                <w:szCs w:val="20"/>
                <w:lang w:val="en-US"/>
              </w:rPr>
              <w:lastRenderedPageBreak/>
              <w:t>Machinery, foodstuff, construction equipment, electronics, vehicles, pharmaceutic</w:t>
            </w:r>
            <w:r>
              <w:rPr>
                <w:rFonts w:ascii="Arial" w:hAnsi="Arial" w:cs="Arial"/>
                <w:sz w:val="20"/>
                <w:szCs w:val="20"/>
                <w:lang w:val="en-US"/>
              </w:rPr>
              <w:lastRenderedPageBreak/>
              <w:t>als, grain, meat, dairy products</w:t>
            </w:r>
          </w:p>
        </w:tc>
        <w:tc>
          <w:tcPr>
            <w:tcW w:w="1366" w:type="dxa"/>
          </w:tcPr>
          <w:p w14:paraId="2737C53E" w14:textId="77777777" w:rsidR="00963B23" w:rsidRDefault="00963B23" w:rsidP="00E67D88">
            <w:pPr>
              <w:jc w:val="both"/>
              <w:rPr>
                <w:rFonts w:ascii="Arial" w:hAnsi="Arial" w:cs="Arial"/>
                <w:sz w:val="20"/>
                <w:szCs w:val="20"/>
                <w:lang w:val="en-US"/>
              </w:rPr>
            </w:pPr>
            <w:r>
              <w:rPr>
                <w:rFonts w:ascii="Arial" w:hAnsi="Arial" w:cs="Arial"/>
                <w:sz w:val="20"/>
                <w:szCs w:val="20"/>
                <w:lang w:val="en-US"/>
              </w:rPr>
              <w:lastRenderedPageBreak/>
              <w:t xml:space="preserve">Boats, machinery, meat, electrical machinery, cereals, iron, </w:t>
            </w:r>
            <w:r>
              <w:rPr>
                <w:rFonts w:ascii="Arial" w:hAnsi="Arial" w:cs="Arial"/>
                <w:sz w:val="20"/>
                <w:szCs w:val="20"/>
                <w:lang w:val="en-US"/>
              </w:rPr>
              <w:lastRenderedPageBreak/>
              <w:t>pharmaceutical products</w:t>
            </w:r>
          </w:p>
        </w:tc>
      </w:tr>
      <w:tr w:rsidR="00963B23" w14:paraId="4181F2BB" w14:textId="77777777" w:rsidTr="00963B23">
        <w:tc>
          <w:tcPr>
            <w:tcW w:w="1418" w:type="dxa"/>
          </w:tcPr>
          <w:p w14:paraId="2B909B4A" w14:textId="77777777" w:rsidR="00963B23" w:rsidRDefault="00963B23" w:rsidP="00E67D88">
            <w:pPr>
              <w:jc w:val="both"/>
              <w:rPr>
                <w:rFonts w:ascii="Arial" w:hAnsi="Arial" w:cs="Arial"/>
                <w:sz w:val="20"/>
                <w:szCs w:val="20"/>
                <w:lang w:val="en-US"/>
              </w:rPr>
            </w:pPr>
            <w:r>
              <w:rPr>
                <w:rFonts w:ascii="Arial" w:hAnsi="Arial" w:cs="Arial"/>
                <w:sz w:val="20"/>
                <w:szCs w:val="20"/>
                <w:lang w:val="en-US"/>
              </w:rPr>
              <w:lastRenderedPageBreak/>
              <w:t>Trade record in 2018</w:t>
            </w:r>
          </w:p>
        </w:tc>
        <w:tc>
          <w:tcPr>
            <w:tcW w:w="1583" w:type="dxa"/>
          </w:tcPr>
          <w:p w14:paraId="65A230E2" w14:textId="77777777" w:rsidR="00963B23" w:rsidRPr="00830A15" w:rsidRDefault="00963B23" w:rsidP="00E67D88">
            <w:pPr>
              <w:jc w:val="both"/>
              <w:rPr>
                <w:rFonts w:ascii="Arial" w:hAnsi="Arial" w:cs="Arial"/>
                <w:sz w:val="20"/>
                <w:szCs w:val="20"/>
                <w:lang w:val="en-US"/>
              </w:rPr>
            </w:pPr>
            <w:r>
              <w:rPr>
                <w:rFonts w:ascii="Arial" w:hAnsi="Arial" w:cs="Arial"/>
                <w:sz w:val="20"/>
                <w:szCs w:val="20"/>
                <w:lang w:val="en-US"/>
              </w:rPr>
              <w:t xml:space="preserve"> Deficit of </w:t>
            </w:r>
            <w:r w:rsidRPr="00830A15">
              <w:rPr>
                <w:rFonts w:ascii="Arial" w:hAnsi="Arial" w:cs="Arial"/>
                <w:sz w:val="20"/>
                <w:szCs w:val="20"/>
                <w:lang w:val="en-US"/>
              </w:rPr>
              <w:t xml:space="preserve">$1.8 billion  </w:t>
            </w:r>
          </w:p>
        </w:tc>
        <w:tc>
          <w:tcPr>
            <w:tcW w:w="1728" w:type="dxa"/>
          </w:tcPr>
          <w:p w14:paraId="1A3A477D" w14:textId="7BB6F4A8" w:rsidR="00963B23" w:rsidRDefault="0052180A" w:rsidP="00E67D88">
            <w:pPr>
              <w:jc w:val="center"/>
              <w:rPr>
                <w:rFonts w:ascii="Arial" w:hAnsi="Arial" w:cs="Arial"/>
                <w:sz w:val="20"/>
                <w:szCs w:val="20"/>
                <w:lang w:val="en-US"/>
              </w:rPr>
            </w:pPr>
            <w:r>
              <w:rPr>
                <w:rFonts w:ascii="Arial" w:hAnsi="Arial" w:cs="Arial"/>
                <w:sz w:val="20"/>
                <w:szCs w:val="20"/>
                <w:lang w:val="en-US"/>
              </w:rPr>
              <w:t>-</w:t>
            </w:r>
          </w:p>
        </w:tc>
        <w:tc>
          <w:tcPr>
            <w:tcW w:w="1206" w:type="dxa"/>
          </w:tcPr>
          <w:p w14:paraId="48D543C7" w14:textId="77777777" w:rsidR="00963B23" w:rsidRDefault="00963B23" w:rsidP="00E67D88">
            <w:pPr>
              <w:jc w:val="both"/>
              <w:rPr>
                <w:rFonts w:ascii="Arial" w:hAnsi="Arial" w:cs="Arial"/>
                <w:sz w:val="20"/>
                <w:szCs w:val="20"/>
                <w:lang w:val="en-US"/>
              </w:rPr>
            </w:pPr>
            <w:r>
              <w:rPr>
                <w:rFonts w:ascii="Arial" w:hAnsi="Arial" w:cs="Arial"/>
                <w:sz w:val="20"/>
                <w:szCs w:val="20"/>
                <w:lang w:val="en-US"/>
              </w:rPr>
              <w:t>Surplus of $610,000</w:t>
            </w:r>
          </w:p>
        </w:tc>
        <w:tc>
          <w:tcPr>
            <w:tcW w:w="1436" w:type="dxa"/>
          </w:tcPr>
          <w:p w14:paraId="3895FA11" w14:textId="77777777" w:rsidR="00963B23" w:rsidRDefault="00963B23" w:rsidP="00E67D88">
            <w:pPr>
              <w:jc w:val="both"/>
              <w:rPr>
                <w:rFonts w:ascii="Arial" w:hAnsi="Arial" w:cs="Arial"/>
                <w:sz w:val="20"/>
                <w:szCs w:val="20"/>
                <w:lang w:val="en-US"/>
              </w:rPr>
            </w:pPr>
            <w:r>
              <w:rPr>
                <w:rFonts w:ascii="Arial" w:hAnsi="Arial" w:cs="Arial"/>
                <w:sz w:val="20"/>
                <w:szCs w:val="20"/>
                <w:lang w:val="en-US"/>
              </w:rPr>
              <w:t xml:space="preserve">Surplus of $7.67 billion </w:t>
            </w:r>
          </w:p>
        </w:tc>
        <w:tc>
          <w:tcPr>
            <w:tcW w:w="1498" w:type="dxa"/>
          </w:tcPr>
          <w:p w14:paraId="6CA730AB" w14:textId="34D4D5A8" w:rsidR="00963B23" w:rsidRDefault="0052180A" w:rsidP="00E67D88">
            <w:pPr>
              <w:jc w:val="center"/>
              <w:rPr>
                <w:rFonts w:ascii="Arial" w:hAnsi="Arial" w:cs="Arial"/>
                <w:sz w:val="20"/>
                <w:szCs w:val="20"/>
                <w:lang w:val="en-US"/>
              </w:rPr>
            </w:pPr>
            <w:r>
              <w:rPr>
                <w:rFonts w:ascii="Arial" w:hAnsi="Arial" w:cs="Arial"/>
                <w:sz w:val="20"/>
                <w:szCs w:val="20"/>
                <w:lang w:val="en-US"/>
              </w:rPr>
              <w:t>-</w:t>
            </w:r>
          </w:p>
        </w:tc>
        <w:tc>
          <w:tcPr>
            <w:tcW w:w="1366" w:type="dxa"/>
          </w:tcPr>
          <w:p w14:paraId="65030FCC" w14:textId="77777777" w:rsidR="00963B23" w:rsidRDefault="00963B23" w:rsidP="00E67D88">
            <w:pPr>
              <w:jc w:val="both"/>
              <w:rPr>
                <w:rFonts w:ascii="Arial" w:hAnsi="Arial" w:cs="Arial"/>
                <w:sz w:val="20"/>
                <w:szCs w:val="20"/>
                <w:lang w:val="en-US"/>
              </w:rPr>
            </w:pPr>
            <w:r>
              <w:rPr>
                <w:rFonts w:ascii="Arial" w:hAnsi="Arial" w:cs="Arial"/>
                <w:sz w:val="20"/>
                <w:szCs w:val="20"/>
                <w:lang w:val="en-US"/>
              </w:rPr>
              <w:t>Surplus of $2.4 billion</w:t>
            </w:r>
          </w:p>
        </w:tc>
      </w:tr>
      <w:tr w:rsidR="00963B23" w14:paraId="441CFDE0" w14:textId="77777777" w:rsidTr="00963B23">
        <w:tc>
          <w:tcPr>
            <w:tcW w:w="1418" w:type="dxa"/>
          </w:tcPr>
          <w:p w14:paraId="3149BFCF" w14:textId="77777777" w:rsidR="00963B23" w:rsidRDefault="00963B23" w:rsidP="00E67D88">
            <w:pPr>
              <w:jc w:val="both"/>
              <w:rPr>
                <w:rFonts w:ascii="Arial" w:hAnsi="Arial" w:cs="Arial"/>
                <w:sz w:val="20"/>
                <w:szCs w:val="20"/>
                <w:lang w:val="en-US"/>
              </w:rPr>
            </w:pPr>
            <w:r>
              <w:rPr>
                <w:rFonts w:ascii="Arial" w:hAnsi="Arial" w:cs="Arial"/>
                <w:sz w:val="20"/>
                <w:szCs w:val="20"/>
                <w:lang w:val="en-US"/>
              </w:rPr>
              <w:t>GDP growth (annual %) 2018</w:t>
            </w:r>
          </w:p>
        </w:tc>
        <w:tc>
          <w:tcPr>
            <w:tcW w:w="1583" w:type="dxa"/>
          </w:tcPr>
          <w:p w14:paraId="755033CD" w14:textId="77777777" w:rsidR="00963B23" w:rsidRDefault="00963B23" w:rsidP="00E67D88">
            <w:pPr>
              <w:jc w:val="both"/>
              <w:rPr>
                <w:rFonts w:ascii="Arial" w:hAnsi="Arial" w:cs="Arial"/>
                <w:sz w:val="20"/>
                <w:szCs w:val="20"/>
                <w:lang w:val="en-US"/>
              </w:rPr>
            </w:pPr>
            <w:r>
              <w:rPr>
                <w:rFonts w:ascii="Arial" w:hAnsi="Arial" w:cs="Arial"/>
                <w:sz w:val="20"/>
                <w:szCs w:val="20"/>
                <w:lang w:val="en-US"/>
              </w:rPr>
              <w:t>4%</w:t>
            </w:r>
          </w:p>
        </w:tc>
        <w:tc>
          <w:tcPr>
            <w:tcW w:w="1728" w:type="dxa"/>
          </w:tcPr>
          <w:p w14:paraId="20E023E1" w14:textId="77777777" w:rsidR="00963B23" w:rsidRDefault="00963B23" w:rsidP="00E67D88">
            <w:pPr>
              <w:jc w:val="both"/>
              <w:rPr>
                <w:rFonts w:ascii="Arial" w:hAnsi="Arial" w:cs="Arial"/>
                <w:sz w:val="20"/>
                <w:szCs w:val="20"/>
                <w:lang w:val="en-US"/>
              </w:rPr>
            </w:pPr>
            <w:r>
              <w:rPr>
                <w:rFonts w:ascii="Arial" w:hAnsi="Arial" w:cs="Arial"/>
                <w:sz w:val="20"/>
                <w:szCs w:val="20"/>
                <w:lang w:val="en-US"/>
              </w:rPr>
              <w:t>3.8%</w:t>
            </w:r>
          </w:p>
        </w:tc>
        <w:tc>
          <w:tcPr>
            <w:tcW w:w="1206" w:type="dxa"/>
          </w:tcPr>
          <w:p w14:paraId="51CD3180" w14:textId="77777777" w:rsidR="00963B23" w:rsidRDefault="00963B23" w:rsidP="00E67D88">
            <w:pPr>
              <w:jc w:val="both"/>
              <w:rPr>
                <w:rFonts w:ascii="Arial" w:hAnsi="Arial" w:cs="Arial"/>
                <w:sz w:val="20"/>
                <w:szCs w:val="20"/>
                <w:lang w:val="en-US"/>
              </w:rPr>
            </w:pPr>
            <w:r>
              <w:rPr>
                <w:rFonts w:ascii="Arial" w:hAnsi="Arial" w:cs="Arial"/>
                <w:sz w:val="20"/>
                <w:szCs w:val="20"/>
                <w:lang w:val="en-US"/>
              </w:rPr>
              <w:t>2.4%</w:t>
            </w:r>
          </w:p>
        </w:tc>
        <w:tc>
          <w:tcPr>
            <w:tcW w:w="1436" w:type="dxa"/>
          </w:tcPr>
          <w:p w14:paraId="47F0CF45" w14:textId="77777777" w:rsidR="00963B23" w:rsidRDefault="00963B23" w:rsidP="00E67D88">
            <w:pPr>
              <w:jc w:val="both"/>
              <w:rPr>
                <w:rFonts w:ascii="Arial" w:hAnsi="Arial" w:cs="Arial"/>
                <w:sz w:val="20"/>
                <w:szCs w:val="20"/>
                <w:lang w:val="en-US"/>
              </w:rPr>
            </w:pPr>
            <w:r>
              <w:rPr>
                <w:rFonts w:ascii="Arial" w:hAnsi="Arial" w:cs="Arial"/>
                <w:sz w:val="20"/>
                <w:szCs w:val="20"/>
                <w:lang w:val="en-US"/>
              </w:rPr>
              <w:t xml:space="preserve">5.8% </w:t>
            </w:r>
          </w:p>
        </w:tc>
        <w:tc>
          <w:tcPr>
            <w:tcW w:w="1498" w:type="dxa"/>
          </w:tcPr>
          <w:p w14:paraId="7C4C66C0" w14:textId="77777777" w:rsidR="00963B23" w:rsidRDefault="00963B23" w:rsidP="00E67D88">
            <w:pPr>
              <w:jc w:val="both"/>
              <w:rPr>
                <w:rFonts w:ascii="Arial" w:hAnsi="Arial" w:cs="Arial"/>
                <w:sz w:val="20"/>
                <w:szCs w:val="20"/>
                <w:lang w:val="en-US"/>
              </w:rPr>
            </w:pPr>
            <w:r>
              <w:rPr>
                <w:rFonts w:ascii="Arial" w:hAnsi="Arial" w:cs="Arial"/>
                <w:sz w:val="20"/>
                <w:szCs w:val="20"/>
                <w:lang w:val="en-US"/>
              </w:rPr>
              <w:t>-6.2%</w:t>
            </w:r>
          </w:p>
        </w:tc>
        <w:tc>
          <w:tcPr>
            <w:tcW w:w="1366" w:type="dxa"/>
          </w:tcPr>
          <w:p w14:paraId="1A0EC80B" w14:textId="77777777" w:rsidR="00963B23" w:rsidRDefault="00963B23" w:rsidP="00E67D88">
            <w:pPr>
              <w:jc w:val="both"/>
              <w:rPr>
                <w:rFonts w:ascii="Arial" w:hAnsi="Arial" w:cs="Arial"/>
                <w:sz w:val="20"/>
                <w:szCs w:val="20"/>
                <w:lang w:val="en-US"/>
              </w:rPr>
            </w:pPr>
            <w:r>
              <w:rPr>
                <w:rFonts w:ascii="Arial" w:hAnsi="Arial" w:cs="Arial"/>
                <w:sz w:val="20"/>
                <w:szCs w:val="20"/>
                <w:lang w:val="en-US"/>
              </w:rPr>
              <w:t>0.8</w:t>
            </w:r>
          </w:p>
        </w:tc>
      </w:tr>
      <w:tr w:rsidR="00963B23" w14:paraId="32B98729" w14:textId="77777777" w:rsidTr="00963B23">
        <w:tc>
          <w:tcPr>
            <w:tcW w:w="1418" w:type="dxa"/>
          </w:tcPr>
          <w:p w14:paraId="274456D7" w14:textId="77777777" w:rsidR="00963B23" w:rsidRDefault="00963B23" w:rsidP="00E67D88">
            <w:pPr>
              <w:jc w:val="both"/>
              <w:rPr>
                <w:rFonts w:ascii="Arial" w:hAnsi="Arial" w:cs="Arial"/>
                <w:sz w:val="20"/>
                <w:szCs w:val="20"/>
                <w:lang w:val="en-US"/>
              </w:rPr>
            </w:pPr>
            <w:r>
              <w:rPr>
                <w:rFonts w:ascii="Arial" w:hAnsi="Arial" w:cs="Arial"/>
                <w:sz w:val="20"/>
                <w:szCs w:val="20"/>
                <w:lang w:val="en-US"/>
              </w:rPr>
              <w:t>Inflation rate</w:t>
            </w:r>
          </w:p>
        </w:tc>
        <w:tc>
          <w:tcPr>
            <w:tcW w:w="1583" w:type="dxa"/>
          </w:tcPr>
          <w:p w14:paraId="03C42F21" w14:textId="77777777" w:rsidR="00963B23" w:rsidRDefault="00963B23" w:rsidP="00E67D88">
            <w:pPr>
              <w:jc w:val="both"/>
              <w:rPr>
                <w:rFonts w:ascii="Arial" w:hAnsi="Arial" w:cs="Arial"/>
                <w:sz w:val="20"/>
                <w:szCs w:val="20"/>
                <w:lang w:val="en-US"/>
              </w:rPr>
            </w:pPr>
            <w:r>
              <w:rPr>
                <w:rFonts w:ascii="Arial" w:hAnsi="Arial" w:cs="Arial"/>
                <w:sz w:val="20"/>
                <w:szCs w:val="20"/>
                <w:lang w:val="en-US"/>
              </w:rPr>
              <w:t>1.9%</w:t>
            </w:r>
          </w:p>
        </w:tc>
        <w:tc>
          <w:tcPr>
            <w:tcW w:w="1728" w:type="dxa"/>
          </w:tcPr>
          <w:p w14:paraId="1850C13C" w14:textId="77777777" w:rsidR="00963B23" w:rsidRDefault="00963B23" w:rsidP="00E67D88">
            <w:pPr>
              <w:jc w:val="both"/>
              <w:rPr>
                <w:rFonts w:ascii="Arial" w:hAnsi="Arial" w:cs="Arial"/>
                <w:sz w:val="20"/>
                <w:szCs w:val="20"/>
                <w:lang w:val="en-US"/>
              </w:rPr>
            </w:pPr>
            <w:r>
              <w:rPr>
                <w:rFonts w:ascii="Arial" w:hAnsi="Arial" w:cs="Arial"/>
                <w:sz w:val="20"/>
                <w:szCs w:val="20"/>
                <w:lang w:val="en-US"/>
              </w:rPr>
              <w:t>-1.2%</w:t>
            </w:r>
          </w:p>
        </w:tc>
        <w:tc>
          <w:tcPr>
            <w:tcW w:w="1206" w:type="dxa"/>
          </w:tcPr>
          <w:p w14:paraId="6D11CFC5" w14:textId="77777777" w:rsidR="00963B23" w:rsidRDefault="00963B23" w:rsidP="00E67D88">
            <w:pPr>
              <w:jc w:val="both"/>
              <w:rPr>
                <w:rFonts w:ascii="Arial" w:hAnsi="Arial" w:cs="Arial"/>
                <w:sz w:val="20"/>
                <w:szCs w:val="20"/>
                <w:lang w:val="en-US"/>
              </w:rPr>
            </w:pPr>
            <w:r>
              <w:rPr>
                <w:rFonts w:ascii="Arial" w:hAnsi="Arial" w:cs="Arial"/>
                <w:sz w:val="20"/>
                <w:szCs w:val="20"/>
                <w:lang w:val="en-US"/>
              </w:rPr>
              <w:t>5%</w:t>
            </w:r>
          </w:p>
        </w:tc>
        <w:tc>
          <w:tcPr>
            <w:tcW w:w="1436" w:type="dxa"/>
          </w:tcPr>
          <w:p w14:paraId="5F5CA283" w14:textId="77777777" w:rsidR="00963B23" w:rsidRDefault="00963B23" w:rsidP="00E67D88">
            <w:pPr>
              <w:jc w:val="both"/>
              <w:rPr>
                <w:rFonts w:ascii="Arial" w:hAnsi="Arial" w:cs="Arial"/>
                <w:sz w:val="20"/>
                <w:szCs w:val="20"/>
                <w:lang w:val="en-US"/>
              </w:rPr>
            </w:pPr>
            <w:r>
              <w:rPr>
                <w:rFonts w:ascii="Arial" w:hAnsi="Arial" w:cs="Arial"/>
                <w:sz w:val="20"/>
                <w:szCs w:val="20"/>
                <w:lang w:val="en-US"/>
              </w:rPr>
              <w:t>31%</w:t>
            </w:r>
          </w:p>
        </w:tc>
        <w:tc>
          <w:tcPr>
            <w:tcW w:w="1498" w:type="dxa"/>
          </w:tcPr>
          <w:p w14:paraId="7FD375CB" w14:textId="77777777" w:rsidR="00963B23" w:rsidRDefault="00963B23" w:rsidP="00E67D88">
            <w:pPr>
              <w:jc w:val="both"/>
              <w:rPr>
                <w:rFonts w:ascii="Arial" w:hAnsi="Arial" w:cs="Arial"/>
                <w:sz w:val="20"/>
                <w:szCs w:val="20"/>
                <w:lang w:val="en-US"/>
              </w:rPr>
            </w:pPr>
            <w:r>
              <w:rPr>
                <w:rFonts w:ascii="Arial" w:hAnsi="Arial" w:cs="Arial"/>
                <w:sz w:val="20"/>
                <w:szCs w:val="20"/>
                <w:lang w:val="en-US"/>
              </w:rPr>
              <w:t>9.5%</w:t>
            </w:r>
          </w:p>
        </w:tc>
        <w:tc>
          <w:tcPr>
            <w:tcW w:w="1366" w:type="dxa"/>
          </w:tcPr>
          <w:p w14:paraId="6E5AF6C3" w14:textId="77777777" w:rsidR="00963B23" w:rsidRDefault="00963B23" w:rsidP="00E67D88">
            <w:pPr>
              <w:jc w:val="both"/>
              <w:rPr>
                <w:rFonts w:ascii="Arial" w:hAnsi="Arial" w:cs="Arial"/>
                <w:sz w:val="20"/>
                <w:szCs w:val="20"/>
                <w:lang w:val="en-US"/>
              </w:rPr>
            </w:pPr>
            <w:r>
              <w:rPr>
                <w:rFonts w:ascii="Arial" w:hAnsi="Arial" w:cs="Arial"/>
                <w:sz w:val="20"/>
                <w:szCs w:val="20"/>
                <w:lang w:val="en-US"/>
              </w:rPr>
              <w:t>7.2%</w:t>
            </w:r>
          </w:p>
        </w:tc>
      </w:tr>
      <w:tr w:rsidR="00963B23" w14:paraId="62286A20" w14:textId="77777777" w:rsidTr="00963B23">
        <w:tc>
          <w:tcPr>
            <w:tcW w:w="1418" w:type="dxa"/>
          </w:tcPr>
          <w:p w14:paraId="1282EE2A" w14:textId="77777777" w:rsidR="00963B23" w:rsidRDefault="00963B23" w:rsidP="00E67D88">
            <w:pPr>
              <w:jc w:val="both"/>
              <w:rPr>
                <w:rFonts w:ascii="Arial" w:hAnsi="Arial" w:cs="Arial"/>
                <w:sz w:val="20"/>
                <w:szCs w:val="20"/>
                <w:lang w:val="en-US"/>
              </w:rPr>
            </w:pPr>
            <w:r>
              <w:rPr>
                <w:rFonts w:ascii="Arial" w:hAnsi="Arial" w:cs="Arial"/>
                <w:sz w:val="20"/>
                <w:szCs w:val="20"/>
                <w:lang w:val="en-US"/>
              </w:rPr>
              <w:t>Unemployment</w:t>
            </w:r>
          </w:p>
        </w:tc>
        <w:tc>
          <w:tcPr>
            <w:tcW w:w="1583" w:type="dxa"/>
          </w:tcPr>
          <w:p w14:paraId="43F77290" w14:textId="77777777" w:rsidR="00963B23" w:rsidRDefault="00963B23" w:rsidP="00E67D88">
            <w:pPr>
              <w:jc w:val="both"/>
              <w:rPr>
                <w:rFonts w:ascii="Arial" w:hAnsi="Arial" w:cs="Arial"/>
                <w:sz w:val="20"/>
                <w:szCs w:val="20"/>
                <w:lang w:val="en-US"/>
              </w:rPr>
            </w:pPr>
            <w:r>
              <w:rPr>
                <w:rFonts w:ascii="Arial" w:hAnsi="Arial" w:cs="Arial"/>
                <w:sz w:val="20"/>
                <w:szCs w:val="20"/>
                <w:lang w:val="en-US"/>
              </w:rPr>
              <w:t>3.6%</w:t>
            </w:r>
          </w:p>
        </w:tc>
        <w:tc>
          <w:tcPr>
            <w:tcW w:w="1728" w:type="dxa"/>
          </w:tcPr>
          <w:p w14:paraId="06F2C5B9" w14:textId="77777777" w:rsidR="00963B23" w:rsidRDefault="00963B23" w:rsidP="00E67D88">
            <w:pPr>
              <w:jc w:val="both"/>
              <w:rPr>
                <w:rFonts w:ascii="Arial" w:hAnsi="Arial" w:cs="Arial"/>
                <w:sz w:val="20"/>
                <w:szCs w:val="20"/>
                <w:lang w:val="en-US"/>
              </w:rPr>
            </w:pPr>
            <w:r>
              <w:rPr>
                <w:rFonts w:ascii="Arial" w:hAnsi="Arial" w:cs="Arial"/>
                <w:sz w:val="20"/>
                <w:szCs w:val="20"/>
                <w:lang w:val="en-US"/>
              </w:rPr>
              <w:t>6%</w:t>
            </w:r>
          </w:p>
        </w:tc>
        <w:tc>
          <w:tcPr>
            <w:tcW w:w="1206" w:type="dxa"/>
          </w:tcPr>
          <w:p w14:paraId="2A9801A8" w14:textId="77777777" w:rsidR="00963B23" w:rsidRDefault="00963B23" w:rsidP="00E67D88">
            <w:pPr>
              <w:jc w:val="both"/>
              <w:rPr>
                <w:rFonts w:ascii="Arial" w:hAnsi="Arial" w:cs="Arial"/>
                <w:sz w:val="20"/>
                <w:szCs w:val="20"/>
                <w:lang w:val="en-US"/>
              </w:rPr>
            </w:pPr>
            <w:r>
              <w:rPr>
                <w:rFonts w:ascii="Arial" w:hAnsi="Arial" w:cs="Arial"/>
                <w:sz w:val="20"/>
                <w:szCs w:val="20"/>
                <w:lang w:val="en-US"/>
              </w:rPr>
              <w:t>1.1%</w:t>
            </w:r>
          </w:p>
        </w:tc>
        <w:tc>
          <w:tcPr>
            <w:tcW w:w="1436" w:type="dxa"/>
          </w:tcPr>
          <w:p w14:paraId="24844D65" w14:textId="77777777" w:rsidR="00963B23" w:rsidRDefault="00963B23" w:rsidP="00E67D88">
            <w:pPr>
              <w:jc w:val="both"/>
              <w:rPr>
                <w:rFonts w:ascii="Arial" w:hAnsi="Arial" w:cs="Arial"/>
                <w:sz w:val="20"/>
                <w:szCs w:val="20"/>
                <w:lang w:val="en-US"/>
              </w:rPr>
            </w:pPr>
            <w:r>
              <w:rPr>
                <w:rFonts w:ascii="Arial" w:hAnsi="Arial" w:cs="Arial"/>
                <w:sz w:val="20"/>
                <w:szCs w:val="20"/>
                <w:lang w:val="en-US"/>
              </w:rPr>
              <w:t>4.7%</w:t>
            </w:r>
          </w:p>
        </w:tc>
        <w:tc>
          <w:tcPr>
            <w:tcW w:w="1498" w:type="dxa"/>
          </w:tcPr>
          <w:p w14:paraId="0299DA7C" w14:textId="77777777" w:rsidR="00963B23" w:rsidRDefault="00963B23" w:rsidP="00E67D88">
            <w:pPr>
              <w:jc w:val="both"/>
              <w:rPr>
                <w:rFonts w:ascii="Arial" w:hAnsi="Arial" w:cs="Arial"/>
                <w:sz w:val="20"/>
                <w:szCs w:val="20"/>
                <w:lang w:val="en-US"/>
              </w:rPr>
            </w:pPr>
            <w:r>
              <w:rPr>
                <w:rFonts w:ascii="Arial" w:hAnsi="Arial" w:cs="Arial"/>
                <w:sz w:val="20"/>
                <w:szCs w:val="20"/>
                <w:lang w:val="en-US"/>
              </w:rPr>
              <w:t>8.2%</w:t>
            </w:r>
          </w:p>
        </w:tc>
        <w:tc>
          <w:tcPr>
            <w:tcW w:w="1366" w:type="dxa"/>
          </w:tcPr>
          <w:p w14:paraId="635F82C3" w14:textId="77777777" w:rsidR="00963B23" w:rsidRDefault="00963B23" w:rsidP="00E67D88">
            <w:pPr>
              <w:jc w:val="both"/>
              <w:rPr>
                <w:rFonts w:ascii="Arial" w:hAnsi="Arial" w:cs="Arial"/>
                <w:sz w:val="20"/>
                <w:szCs w:val="20"/>
                <w:lang w:val="en-US"/>
              </w:rPr>
            </w:pPr>
            <w:r>
              <w:rPr>
                <w:rFonts w:ascii="Arial" w:hAnsi="Arial" w:cs="Arial"/>
                <w:sz w:val="20"/>
                <w:szCs w:val="20"/>
                <w:lang w:val="en-US"/>
              </w:rPr>
              <w:t>20.5%</w:t>
            </w:r>
          </w:p>
        </w:tc>
      </w:tr>
      <w:tr w:rsidR="00963B23" w14:paraId="4EFCF3CB" w14:textId="77777777" w:rsidTr="00963B23">
        <w:tc>
          <w:tcPr>
            <w:tcW w:w="1418" w:type="dxa"/>
          </w:tcPr>
          <w:p w14:paraId="437C4510" w14:textId="77777777" w:rsidR="00963B23" w:rsidRDefault="00963B23" w:rsidP="00E67D88">
            <w:pPr>
              <w:jc w:val="both"/>
              <w:rPr>
                <w:rFonts w:ascii="Arial" w:hAnsi="Arial" w:cs="Arial"/>
                <w:sz w:val="20"/>
                <w:szCs w:val="20"/>
                <w:lang w:val="en-US"/>
              </w:rPr>
            </w:pPr>
            <w:r>
              <w:rPr>
                <w:rFonts w:ascii="Arial" w:hAnsi="Arial" w:cs="Arial"/>
                <w:sz w:val="20"/>
                <w:szCs w:val="20"/>
                <w:lang w:val="en-US"/>
              </w:rPr>
              <w:t xml:space="preserve">Poverty </w:t>
            </w:r>
          </w:p>
        </w:tc>
        <w:tc>
          <w:tcPr>
            <w:tcW w:w="1583" w:type="dxa"/>
          </w:tcPr>
          <w:p w14:paraId="11723ED2" w14:textId="77777777" w:rsidR="00963B23" w:rsidRDefault="00963B23" w:rsidP="00E67D88">
            <w:pPr>
              <w:jc w:val="both"/>
              <w:rPr>
                <w:rFonts w:ascii="Arial" w:hAnsi="Arial" w:cs="Arial"/>
                <w:sz w:val="20"/>
                <w:szCs w:val="20"/>
                <w:lang w:val="en-US"/>
              </w:rPr>
            </w:pPr>
            <w:r>
              <w:rPr>
                <w:rFonts w:ascii="Arial" w:hAnsi="Arial" w:cs="Arial"/>
                <w:sz w:val="20"/>
                <w:szCs w:val="20"/>
                <w:lang w:val="en-US"/>
              </w:rPr>
              <w:t>40% of population</w:t>
            </w:r>
          </w:p>
        </w:tc>
        <w:tc>
          <w:tcPr>
            <w:tcW w:w="1728" w:type="dxa"/>
          </w:tcPr>
          <w:p w14:paraId="66E0C71E" w14:textId="77777777" w:rsidR="00963B23" w:rsidRDefault="00963B23" w:rsidP="00E67D88">
            <w:pPr>
              <w:jc w:val="both"/>
              <w:rPr>
                <w:rFonts w:ascii="Arial" w:hAnsi="Arial" w:cs="Arial"/>
                <w:sz w:val="20"/>
                <w:szCs w:val="20"/>
                <w:lang w:val="en-US"/>
              </w:rPr>
            </w:pPr>
            <w:r>
              <w:rPr>
                <w:rFonts w:ascii="Arial" w:hAnsi="Arial" w:cs="Arial"/>
                <w:sz w:val="20"/>
                <w:szCs w:val="20"/>
                <w:lang w:val="en-US"/>
              </w:rPr>
              <w:t>70% of population</w:t>
            </w:r>
          </w:p>
        </w:tc>
        <w:tc>
          <w:tcPr>
            <w:tcW w:w="1206" w:type="dxa"/>
          </w:tcPr>
          <w:p w14:paraId="5843B904" w14:textId="77777777" w:rsidR="00963B23" w:rsidRDefault="00963B23" w:rsidP="00E67D88">
            <w:pPr>
              <w:jc w:val="both"/>
              <w:rPr>
                <w:rFonts w:ascii="Arial" w:hAnsi="Arial" w:cs="Arial"/>
                <w:sz w:val="20"/>
                <w:szCs w:val="20"/>
                <w:lang w:val="en-US"/>
              </w:rPr>
            </w:pPr>
            <w:r>
              <w:rPr>
                <w:rFonts w:ascii="Arial" w:hAnsi="Arial" w:cs="Arial"/>
                <w:sz w:val="20"/>
                <w:szCs w:val="20"/>
                <w:lang w:val="en-US"/>
              </w:rPr>
              <w:t xml:space="preserve">42% of population  </w:t>
            </w:r>
          </w:p>
        </w:tc>
        <w:tc>
          <w:tcPr>
            <w:tcW w:w="1436" w:type="dxa"/>
          </w:tcPr>
          <w:p w14:paraId="391DB69B" w14:textId="77777777" w:rsidR="00963B23" w:rsidRDefault="00963B23" w:rsidP="00E67D88">
            <w:pPr>
              <w:jc w:val="both"/>
              <w:rPr>
                <w:rFonts w:ascii="Arial" w:hAnsi="Arial" w:cs="Arial"/>
                <w:sz w:val="20"/>
                <w:szCs w:val="20"/>
                <w:lang w:val="en-US"/>
              </w:rPr>
            </w:pPr>
            <w:r>
              <w:rPr>
                <w:rFonts w:ascii="Arial" w:hAnsi="Arial" w:cs="Arial"/>
                <w:sz w:val="20"/>
                <w:szCs w:val="20"/>
                <w:lang w:val="en-US"/>
              </w:rPr>
              <w:t>72% of population</w:t>
            </w:r>
          </w:p>
        </w:tc>
        <w:tc>
          <w:tcPr>
            <w:tcW w:w="1498" w:type="dxa"/>
          </w:tcPr>
          <w:p w14:paraId="43F31E37" w14:textId="77777777" w:rsidR="00963B23" w:rsidRDefault="00963B23" w:rsidP="00E67D88">
            <w:pPr>
              <w:jc w:val="both"/>
              <w:rPr>
                <w:rFonts w:ascii="Arial" w:hAnsi="Arial" w:cs="Arial"/>
                <w:sz w:val="20"/>
                <w:szCs w:val="20"/>
                <w:lang w:val="en-US"/>
              </w:rPr>
            </w:pPr>
            <w:r>
              <w:rPr>
                <w:rFonts w:ascii="Arial" w:hAnsi="Arial" w:cs="Arial"/>
                <w:sz w:val="20"/>
                <w:szCs w:val="20"/>
                <w:lang w:val="en-US"/>
              </w:rPr>
              <w:t>76.8% of population</w:t>
            </w:r>
          </w:p>
        </w:tc>
        <w:tc>
          <w:tcPr>
            <w:tcW w:w="1366" w:type="dxa"/>
          </w:tcPr>
          <w:p w14:paraId="60DB0FE0" w14:textId="77777777" w:rsidR="00963B23" w:rsidRDefault="00963B23" w:rsidP="00E67D88">
            <w:pPr>
              <w:jc w:val="both"/>
              <w:rPr>
                <w:rFonts w:ascii="Arial" w:hAnsi="Arial" w:cs="Arial"/>
                <w:sz w:val="20"/>
                <w:szCs w:val="20"/>
                <w:lang w:val="en-US"/>
              </w:rPr>
            </w:pPr>
            <w:r>
              <w:rPr>
                <w:rFonts w:ascii="Arial" w:hAnsi="Arial" w:cs="Arial"/>
                <w:sz w:val="20"/>
                <w:szCs w:val="20"/>
                <w:lang w:val="en-US"/>
              </w:rPr>
              <w:t>35% of population.</w:t>
            </w:r>
          </w:p>
        </w:tc>
      </w:tr>
      <w:tr w:rsidR="00963B23" w14:paraId="493272CA" w14:textId="77777777" w:rsidTr="00963B23">
        <w:tc>
          <w:tcPr>
            <w:tcW w:w="1418" w:type="dxa"/>
          </w:tcPr>
          <w:p w14:paraId="59219068" w14:textId="77777777" w:rsidR="00963B23" w:rsidRDefault="00963B23" w:rsidP="00E67D88">
            <w:pPr>
              <w:jc w:val="both"/>
              <w:rPr>
                <w:rFonts w:ascii="Arial" w:hAnsi="Arial" w:cs="Arial"/>
                <w:sz w:val="20"/>
                <w:szCs w:val="20"/>
                <w:lang w:val="en-US"/>
              </w:rPr>
            </w:pPr>
            <w:r>
              <w:rPr>
                <w:rFonts w:ascii="Arial" w:hAnsi="Arial" w:cs="Arial"/>
                <w:sz w:val="20"/>
                <w:szCs w:val="20"/>
                <w:lang w:val="en-US"/>
              </w:rPr>
              <w:t>GDP per capita (current $)</w:t>
            </w:r>
          </w:p>
        </w:tc>
        <w:tc>
          <w:tcPr>
            <w:tcW w:w="1583" w:type="dxa"/>
          </w:tcPr>
          <w:p w14:paraId="77ADC191" w14:textId="77777777" w:rsidR="00963B23" w:rsidRDefault="00963B23" w:rsidP="00E67D88">
            <w:pPr>
              <w:jc w:val="both"/>
              <w:rPr>
                <w:rFonts w:ascii="Arial" w:hAnsi="Arial" w:cs="Arial"/>
                <w:sz w:val="20"/>
                <w:szCs w:val="20"/>
                <w:lang w:val="en-US"/>
              </w:rPr>
            </w:pPr>
            <w:r>
              <w:rPr>
                <w:rFonts w:ascii="Arial" w:hAnsi="Arial" w:cs="Arial"/>
                <w:sz w:val="20"/>
                <w:szCs w:val="20"/>
                <w:lang w:val="en-US"/>
              </w:rPr>
              <w:t>$1,594</w:t>
            </w:r>
          </w:p>
        </w:tc>
        <w:tc>
          <w:tcPr>
            <w:tcW w:w="1728" w:type="dxa"/>
          </w:tcPr>
          <w:p w14:paraId="5FE7C512" w14:textId="77777777" w:rsidR="00963B23" w:rsidRDefault="00963B23" w:rsidP="00E67D88">
            <w:pPr>
              <w:jc w:val="both"/>
              <w:rPr>
                <w:rFonts w:ascii="Arial" w:hAnsi="Arial" w:cs="Arial"/>
                <w:sz w:val="20"/>
                <w:szCs w:val="20"/>
                <w:lang w:val="en-US"/>
              </w:rPr>
            </w:pPr>
            <w:r>
              <w:rPr>
                <w:rFonts w:ascii="Arial" w:hAnsi="Arial" w:cs="Arial"/>
                <w:sz w:val="20"/>
                <w:szCs w:val="20"/>
                <w:lang w:val="en-US"/>
              </w:rPr>
              <w:t>$436</w:t>
            </w:r>
          </w:p>
        </w:tc>
        <w:tc>
          <w:tcPr>
            <w:tcW w:w="1206" w:type="dxa"/>
          </w:tcPr>
          <w:p w14:paraId="598024DF" w14:textId="77777777" w:rsidR="00963B23" w:rsidRDefault="00963B23" w:rsidP="00E67D88">
            <w:pPr>
              <w:jc w:val="both"/>
              <w:rPr>
                <w:rFonts w:ascii="Arial" w:hAnsi="Arial" w:cs="Arial"/>
                <w:sz w:val="20"/>
                <w:szCs w:val="20"/>
                <w:lang w:val="en-US"/>
              </w:rPr>
            </w:pPr>
            <w:r>
              <w:rPr>
                <w:rFonts w:ascii="Arial" w:hAnsi="Arial" w:cs="Arial"/>
                <w:sz w:val="20"/>
                <w:szCs w:val="20"/>
                <w:lang w:val="en-US"/>
              </w:rPr>
              <w:t>$720</w:t>
            </w:r>
          </w:p>
        </w:tc>
        <w:tc>
          <w:tcPr>
            <w:tcW w:w="1436" w:type="dxa"/>
          </w:tcPr>
          <w:p w14:paraId="241356FB" w14:textId="77777777" w:rsidR="00963B23" w:rsidRDefault="00963B23" w:rsidP="00E67D88">
            <w:pPr>
              <w:jc w:val="both"/>
              <w:rPr>
                <w:rFonts w:ascii="Arial" w:hAnsi="Arial" w:cs="Arial"/>
                <w:sz w:val="20"/>
                <w:szCs w:val="20"/>
                <w:lang w:val="en-US"/>
              </w:rPr>
            </w:pPr>
            <w:r>
              <w:rPr>
                <w:rFonts w:ascii="Arial" w:hAnsi="Arial" w:cs="Arial"/>
                <w:sz w:val="20"/>
                <w:szCs w:val="20"/>
                <w:lang w:val="en-US"/>
              </w:rPr>
              <w:t xml:space="preserve">$546, </w:t>
            </w:r>
          </w:p>
        </w:tc>
        <w:tc>
          <w:tcPr>
            <w:tcW w:w="1498" w:type="dxa"/>
          </w:tcPr>
          <w:p w14:paraId="14FC981A" w14:textId="77777777" w:rsidR="00963B23" w:rsidRDefault="00963B23" w:rsidP="00E67D88">
            <w:pPr>
              <w:jc w:val="both"/>
              <w:rPr>
                <w:rFonts w:ascii="Arial" w:hAnsi="Arial" w:cs="Arial"/>
                <w:sz w:val="20"/>
                <w:szCs w:val="20"/>
                <w:lang w:val="en-US"/>
              </w:rPr>
            </w:pPr>
            <w:r>
              <w:rPr>
                <w:rFonts w:ascii="Arial" w:hAnsi="Arial" w:cs="Arial"/>
                <w:sz w:val="20"/>
                <w:szCs w:val="20"/>
                <w:lang w:val="en-US"/>
              </w:rPr>
              <w:t>$8,719</w:t>
            </w:r>
          </w:p>
        </w:tc>
        <w:tc>
          <w:tcPr>
            <w:tcW w:w="1366" w:type="dxa"/>
          </w:tcPr>
          <w:p w14:paraId="3963EAC6" w14:textId="77777777" w:rsidR="00963B23" w:rsidRDefault="00963B23" w:rsidP="00E67D88">
            <w:pPr>
              <w:jc w:val="both"/>
              <w:rPr>
                <w:rFonts w:ascii="Arial" w:hAnsi="Arial" w:cs="Arial"/>
                <w:sz w:val="20"/>
                <w:szCs w:val="20"/>
                <w:lang w:val="en-US"/>
              </w:rPr>
            </w:pPr>
            <w:r>
              <w:rPr>
                <w:rFonts w:ascii="Arial" w:hAnsi="Arial" w:cs="Arial"/>
                <w:sz w:val="20"/>
                <w:szCs w:val="20"/>
                <w:lang w:val="en-US"/>
              </w:rPr>
              <w:t>$7,695</w:t>
            </w:r>
          </w:p>
        </w:tc>
      </w:tr>
      <w:tr w:rsidR="00963B23" w14:paraId="024207EE" w14:textId="77777777" w:rsidTr="00963B23">
        <w:tc>
          <w:tcPr>
            <w:tcW w:w="1418" w:type="dxa"/>
          </w:tcPr>
          <w:p w14:paraId="2F6A8673" w14:textId="77777777" w:rsidR="00963B23" w:rsidRDefault="00963B23" w:rsidP="00E67D88">
            <w:pPr>
              <w:jc w:val="center"/>
              <w:rPr>
                <w:rFonts w:ascii="Arial" w:hAnsi="Arial" w:cs="Arial"/>
                <w:sz w:val="20"/>
                <w:szCs w:val="20"/>
                <w:lang w:val="en-US"/>
              </w:rPr>
            </w:pPr>
            <w:r>
              <w:rPr>
                <w:rFonts w:ascii="Arial" w:hAnsi="Arial" w:cs="Arial"/>
                <w:sz w:val="20"/>
                <w:szCs w:val="20"/>
                <w:lang w:val="en-US"/>
              </w:rPr>
              <w:t xml:space="preserve">GDP per capita growth (annual %) </w:t>
            </w:r>
          </w:p>
        </w:tc>
        <w:tc>
          <w:tcPr>
            <w:tcW w:w="1583" w:type="dxa"/>
          </w:tcPr>
          <w:p w14:paraId="24B4C62A" w14:textId="77777777" w:rsidR="00963B23" w:rsidRDefault="00963B23" w:rsidP="00E67D88">
            <w:pPr>
              <w:jc w:val="both"/>
              <w:rPr>
                <w:rFonts w:ascii="Arial" w:hAnsi="Arial" w:cs="Arial"/>
                <w:sz w:val="20"/>
                <w:szCs w:val="20"/>
                <w:lang w:val="en-US"/>
              </w:rPr>
            </w:pPr>
            <w:r>
              <w:rPr>
                <w:rFonts w:ascii="Arial" w:hAnsi="Arial" w:cs="Arial"/>
                <w:sz w:val="20"/>
                <w:szCs w:val="20"/>
                <w:lang w:val="en-US"/>
              </w:rPr>
              <w:t>1.1%</w:t>
            </w:r>
          </w:p>
        </w:tc>
        <w:tc>
          <w:tcPr>
            <w:tcW w:w="1728" w:type="dxa"/>
          </w:tcPr>
          <w:p w14:paraId="462311AC" w14:textId="77777777" w:rsidR="00963B23" w:rsidRDefault="00963B23" w:rsidP="00E67D88">
            <w:pPr>
              <w:jc w:val="both"/>
              <w:rPr>
                <w:rFonts w:ascii="Arial" w:hAnsi="Arial" w:cs="Arial"/>
                <w:sz w:val="20"/>
                <w:szCs w:val="20"/>
                <w:lang w:val="en-US"/>
              </w:rPr>
            </w:pPr>
            <w:r>
              <w:rPr>
                <w:rFonts w:ascii="Arial" w:hAnsi="Arial" w:cs="Arial"/>
                <w:sz w:val="20"/>
                <w:szCs w:val="20"/>
                <w:lang w:val="en-US"/>
              </w:rPr>
              <w:t>1.8%</w:t>
            </w:r>
          </w:p>
        </w:tc>
        <w:tc>
          <w:tcPr>
            <w:tcW w:w="1206" w:type="dxa"/>
          </w:tcPr>
          <w:p w14:paraId="4A69DA36" w14:textId="77777777" w:rsidR="00963B23" w:rsidRDefault="00963B23" w:rsidP="00E67D88">
            <w:pPr>
              <w:jc w:val="both"/>
              <w:rPr>
                <w:rFonts w:ascii="Arial" w:hAnsi="Arial" w:cs="Arial"/>
                <w:sz w:val="20"/>
                <w:szCs w:val="20"/>
                <w:lang w:val="en-US"/>
              </w:rPr>
            </w:pPr>
            <w:r>
              <w:rPr>
                <w:rFonts w:ascii="Arial" w:hAnsi="Arial" w:cs="Arial"/>
                <w:sz w:val="20"/>
                <w:szCs w:val="20"/>
                <w:lang w:val="en-US"/>
              </w:rPr>
              <w:t>-1%</w:t>
            </w:r>
          </w:p>
        </w:tc>
        <w:tc>
          <w:tcPr>
            <w:tcW w:w="1436" w:type="dxa"/>
          </w:tcPr>
          <w:p w14:paraId="59E52494" w14:textId="77777777" w:rsidR="00963B23" w:rsidRDefault="00963B23" w:rsidP="00E67D88">
            <w:pPr>
              <w:jc w:val="both"/>
              <w:rPr>
                <w:rFonts w:ascii="Arial" w:hAnsi="Arial" w:cs="Arial"/>
                <w:sz w:val="20"/>
                <w:szCs w:val="20"/>
                <w:lang w:val="en-US"/>
              </w:rPr>
            </w:pPr>
            <w:r>
              <w:rPr>
                <w:rFonts w:ascii="Arial" w:hAnsi="Arial" w:cs="Arial"/>
                <w:sz w:val="20"/>
                <w:szCs w:val="20"/>
                <w:lang w:val="en-US"/>
              </w:rPr>
              <w:t>2.4%</w:t>
            </w:r>
          </w:p>
        </w:tc>
        <w:tc>
          <w:tcPr>
            <w:tcW w:w="1498" w:type="dxa"/>
          </w:tcPr>
          <w:p w14:paraId="46B92F3C" w14:textId="77777777" w:rsidR="00963B23" w:rsidRDefault="00963B23" w:rsidP="00E67D88">
            <w:pPr>
              <w:jc w:val="both"/>
              <w:rPr>
                <w:rFonts w:ascii="Arial" w:hAnsi="Arial" w:cs="Arial"/>
                <w:sz w:val="20"/>
                <w:szCs w:val="20"/>
                <w:lang w:val="en-US"/>
              </w:rPr>
            </w:pPr>
            <w:r>
              <w:rPr>
                <w:rFonts w:ascii="Arial" w:hAnsi="Arial" w:cs="Arial"/>
                <w:sz w:val="20"/>
                <w:szCs w:val="20"/>
                <w:lang w:val="en-US"/>
              </w:rPr>
              <w:t>-9.4%</w:t>
            </w:r>
          </w:p>
        </w:tc>
        <w:tc>
          <w:tcPr>
            <w:tcW w:w="1366" w:type="dxa"/>
          </w:tcPr>
          <w:p w14:paraId="4955F919" w14:textId="77777777" w:rsidR="00963B23" w:rsidRDefault="00963B23" w:rsidP="00E67D88">
            <w:pPr>
              <w:jc w:val="both"/>
              <w:rPr>
                <w:rFonts w:ascii="Arial" w:hAnsi="Arial" w:cs="Arial"/>
                <w:sz w:val="20"/>
                <w:szCs w:val="20"/>
                <w:lang w:val="en-US"/>
              </w:rPr>
            </w:pPr>
            <w:r>
              <w:rPr>
                <w:rFonts w:ascii="Arial" w:hAnsi="Arial" w:cs="Arial"/>
                <w:sz w:val="20"/>
                <w:szCs w:val="20"/>
                <w:lang w:val="en-US"/>
              </w:rPr>
              <w:t>-1.5%</w:t>
            </w:r>
          </w:p>
        </w:tc>
      </w:tr>
      <w:tr w:rsidR="00963B23" w14:paraId="3C997272" w14:textId="77777777" w:rsidTr="00963B23">
        <w:tc>
          <w:tcPr>
            <w:tcW w:w="1418" w:type="dxa"/>
          </w:tcPr>
          <w:p w14:paraId="3A36F2C1" w14:textId="77777777" w:rsidR="00963B23" w:rsidRDefault="00963B23" w:rsidP="00E67D88">
            <w:pPr>
              <w:jc w:val="both"/>
              <w:rPr>
                <w:rFonts w:ascii="Arial" w:hAnsi="Arial" w:cs="Arial"/>
                <w:sz w:val="20"/>
                <w:szCs w:val="20"/>
                <w:lang w:val="en-US"/>
              </w:rPr>
            </w:pPr>
            <w:r>
              <w:rPr>
                <w:rFonts w:ascii="Arial" w:hAnsi="Arial" w:cs="Arial"/>
                <w:sz w:val="20"/>
                <w:szCs w:val="20"/>
                <w:lang w:val="en-US"/>
              </w:rPr>
              <w:t>GDP (Billion $)</w:t>
            </w:r>
          </w:p>
        </w:tc>
        <w:tc>
          <w:tcPr>
            <w:tcW w:w="1583" w:type="dxa"/>
          </w:tcPr>
          <w:p w14:paraId="690B9FEB" w14:textId="77777777" w:rsidR="00963B23" w:rsidRDefault="00963B23" w:rsidP="00E67D88">
            <w:pPr>
              <w:jc w:val="both"/>
              <w:rPr>
                <w:rFonts w:ascii="Arial" w:hAnsi="Arial" w:cs="Arial"/>
                <w:sz w:val="20"/>
                <w:szCs w:val="20"/>
                <w:lang w:val="en-US"/>
              </w:rPr>
            </w:pPr>
            <w:r>
              <w:rPr>
                <w:rFonts w:ascii="Arial" w:hAnsi="Arial" w:cs="Arial"/>
                <w:sz w:val="20"/>
                <w:szCs w:val="20"/>
                <w:lang w:val="en-US"/>
              </w:rPr>
              <w:t>39.97</w:t>
            </w:r>
          </w:p>
        </w:tc>
        <w:tc>
          <w:tcPr>
            <w:tcW w:w="1728" w:type="dxa"/>
          </w:tcPr>
          <w:p w14:paraId="7E02E7FD" w14:textId="77777777" w:rsidR="00963B23" w:rsidRDefault="00963B23" w:rsidP="00E67D88">
            <w:pPr>
              <w:jc w:val="both"/>
              <w:rPr>
                <w:rFonts w:ascii="Arial" w:hAnsi="Arial" w:cs="Arial"/>
                <w:sz w:val="20"/>
                <w:szCs w:val="20"/>
                <w:lang w:val="en-US"/>
              </w:rPr>
            </w:pPr>
            <w:r>
              <w:rPr>
                <w:rFonts w:ascii="Arial" w:hAnsi="Arial" w:cs="Arial"/>
                <w:sz w:val="20"/>
                <w:szCs w:val="20"/>
                <w:lang w:val="en-US"/>
              </w:rPr>
              <w:t>2.22</w:t>
            </w:r>
          </w:p>
        </w:tc>
        <w:tc>
          <w:tcPr>
            <w:tcW w:w="1206" w:type="dxa"/>
          </w:tcPr>
          <w:p w14:paraId="508ACB25" w14:textId="77777777" w:rsidR="00963B23" w:rsidRDefault="00963B23" w:rsidP="00E67D88">
            <w:pPr>
              <w:jc w:val="both"/>
              <w:rPr>
                <w:rFonts w:ascii="Arial" w:hAnsi="Arial" w:cs="Arial"/>
                <w:sz w:val="20"/>
                <w:szCs w:val="20"/>
                <w:lang w:val="en-US"/>
              </w:rPr>
            </w:pPr>
            <w:r>
              <w:rPr>
                <w:rFonts w:ascii="Arial" w:hAnsi="Arial" w:cs="Arial"/>
                <w:sz w:val="20"/>
                <w:szCs w:val="20"/>
                <w:lang w:val="en-US"/>
              </w:rPr>
              <w:t>11.24</w:t>
            </w:r>
          </w:p>
        </w:tc>
        <w:tc>
          <w:tcPr>
            <w:tcW w:w="1436" w:type="dxa"/>
          </w:tcPr>
          <w:p w14:paraId="77A03C8E" w14:textId="77777777" w:rsidR="00963B23" w:rsidRDefault="00963B23" w:rsidP="00E67D88">
            <w:pPr>
              <w:jc w:val="both"/>
              <w:rPr>
                <w:rFonts w:ascii="Arial" w:hAnsi="Arial" w:cs="Arial"/>
                <w:sz w:val="20"/>
                <w:szCs w:val="20"/>
                <w:lang w:val="en-US"/>
              </w:rPr>
            </w:pPr>
            <w:r>
              <w:rPr>
                <w:rFonts w:ascii="Arial" w:hAnsi="Arial" w:cs="Arial"/>
                <w:sz w:val="20"/>
                <w:szCs w:val="20"/>
                <w:lang w:val="en-US"/>
              </w:rPr>
              <w:t>47.57</w:t>
            </w:r>
          </w:p>
        </w:tc>
        <w:tc>
          <w:tcPr>
            <w:tcW w:w="1498" w:type="dxa"/>
          </w:tcPr>
          <w:p w14:paraId="594005ED" w14:textId="77777777" w:rsidR="00963B23" w:rsidRDefault="00963B23" w:rsidP="00E67D88">
            <w:pPr>
              <w:jc w:val="both"/>
              <w:rPr>
                <w:rFonts w:ascii="Arial" w:hAnsi="Arial" w:cs="Arial"/>
                <w:sz w:val="20"/>
                <w:szCs w:val="20"/>
                <w:lang w:val="en-US"/>
              </w:rPr>
            </w:pPr>
            <w:r>
              <w:rPr>
                <w:rFonts w:ascii="Arial" w:hAnsi="Arial" w:cs="Arial"/>
                <w:sz w:val="20"/>
                <w:szCs w:val="20"/>
                <w:lang w:val="en-US"/>
              </w:rPr>
              <w:t>13.1</w:t>
            </w:r>
          </w:p>
        </w:tc>
        <w:tc>
          <w:tcPr>
            <w:tcW w:w="1366" w:type="dxa"/>
          </w:tcPr>
          <w:p w14:paraId="08303622" w14:textId="77777777" w:rsidR="00963B23" w:rsidRDefault="00963B23" w:rsidP="00E67D88">
            <w:pPr>
              <w:jc w:val="both"/>
              <w:rPr>
                <w:rFonts w:ascii="Arial" w:hAnsi="Arial" w:cs="Arial"/>
                <w:sz w:val="20"/>
                <w:szCs w:val="20"/>
                <w:lang w:val="en-US"/>
              </w:rPr>
            </w:pPr>
            <w:r>
              <w:rPr>
                <w:rFonts w:ascii="Arial" w:hAnsi="Arial" w:cs="Arial"/>
                <w:sz w:val="20"/>
                <w:szCs w:val="20"/>
                <w:lang w:val="en-US"/>
              </w:rPr>
              <w:t>16.87</w:t>
            </w:r>
          </w:p>
        </w:tc>
      </w:tr>
    </w:tbl>
    <w:p w14:paraId="0D973F4B" w14:textId="28B9CEBD" w:rsidR="00963B23" w:rsidRPr="009A2443" w:rsidRDefault="009A2443" w:rsidP="0066301C">
      <w:pPr>
        <w:pStyle w:val="NoSpacing"/>
        <w:spacing w:line="360" w:lineRule="auto"/>
        <w:jc w:val="both"/>
        <w:rPr>
          <w:rFonts w:ascii="Arial" w:hAnsi="Arial" w:cs="Arial"/>
          <w:sz w:val="20"/>
          <w:szCs w:val="20"/>
          <w:lang w:eastAsia="en-GB"/>
        </w:rPr>
      </w:pPr>
      <w:bookmarkStart w:id="58" w:name="_Hlk170221872"/>
      <w:r w:rsidRPr="009A2443">
        <w:rPr>
          <w:rFonts w:ascii="Arial" w:hAnsi="Arial" w:cs="Arial"/>
          <w:i/>
          <w:iCs/>
          <w:sz w:val="20"/>
          <w:szCs w:val="20"/>
          <w:lang w:eastAsia="en-GB"/>
        </w:rPr>
        <w:t>Source</w:t>
      </w:r>
      <w:r w:rsidRPr="009A2443">
        <w:rPr>
          <w:rFonts w:ascii="Arial" w:hAnsi="Arial" w:cs="Arial"/>
          <w:sz w:val="20"/>
          <w:szCs w:val="20"/>
          <w:lang w:eastAsia="en-GB"/>
        </w:rPr>
        <w:t>: World Bank (WDI) (2020)</w:t>
      </w:r>
    </w:p>
    <w:p w14:paraId="79952FA7" w14:textId="78DB311D" w:rsidR="00EC52FB" w:rsidRPr="008204CC" w:rsidRDefault="00BF7AB3" w:rsidP="0066301C">
      <w:pPr>
        <w:pStyle w:val="Heading2"/>
        <w:spacing w:before="0" w:beforeAutospacing="0"/>
      </w:pPr>
      <w:bookmarkStart w:id="59" w:name="_Toc84713921"/>
      <w:bookmarkStart w:id="60" w:name="_Toc171075354"/>
      <w:bookmarkEnd w:id="57"/>
      <w:r>
        <w:t>1.</w:t>
      </w:r>
      <w:r w:rsidR="005C0FAD">
        <w:t>4</w:t>
      </w:r>
      <w:r>
        <w:tab/>
      </w:r>
      <w:r w:rsidR="00EC52FB" w:rsidRPr="008204CC">
        <w:t>EXCHANGE RATE AND ITS CHANNEL OF ECONOMIC GROWTH</w:t>
      </w:r>
      <w:bookmarkEnd w:id="59"/>
      <w:r w:rsidR="00751C58">
        <w:t xml:space="preserve"> </w:t>
      </w:r>
      <w:r w:rsidR="00650DCF">
        <w:t>IN CEMAC ZONE</w:t>
      </w:r>
      <w:bookmarkEnd w:id="60"/>
      <w:r w:rsidR="00EC52FB" w:rsidRPr="008204CC">
        <w:t xml:space="preserve"> </w:t>
      </w:r>
    </w:p>
    <w:p w14:paraId="2AB43E81" w14:textId="5852B938" w:rsidR="007B2D6E" w:rsidRPr="00D128C1" w:rsidRDefault="007B2D6E" w:rsidP="0066301C">
      <w:pPr>
        <w:spacing w:line="360" w:lineRule="auto"/>
        <w:jc w:val="both"/>
        <w:rPr>
          <w:rFonts w:ascii="Arial" w:hAnsi="Arial" w:cs="Arial"/>
          <w:lang w:eastAsia="en-GB"/>
        </w:rPr>
      </w:pPr>
      <w:bookmarkStart w:id="61" w:name="_Hlk170221935"/>
      <w:r w:rsidRPr="00D128C1">
        <w:rPr>
          <w:rFonts w:ascii="Arial" w:hAnsi="Arial" w:cs="Arial"/>
          <w:lang w:eastAsia="en-GB"/>
        </w:rPr>
        <w:t xml:space="preserve">The </w:t>
      </w:r>
      <w:r w:rsidR="00C4218D">
        <w:rPr>
          <w:rFonts w:ascii="Arial" w:hAnsi="Arial" w:cs="Arial"/>
          <w:lang w:eastAsia="en-GB"/>
        </w:rPr>
        <w:t>12</w:t>
      </w:r>
      <w:r w:rsidR="00C4218D" w:rsidRPr="00C4218D">
        <w:rPr>
          <w:rFonts w:ascii="Arial" w:hAnsi="Arial" w:cs="Arial"/>
          <w:vertAlign w:val="superscript"/>
          <w:lang w:eastAsia="en-GB"/>
        </w:rPr>
        <w:t>th of</w:t>
      </w:r>
      <w:r w:rsidR="00C4218D">
        <w:rPr>
          <w:rFonts w:ascii="Arial" w:hAnsi="Arial" w:cs="Arial"/>
          <w:lang w:eastAsia="en-GB"/>
        </w:rPr>
        <w:t xml:space="preserve"> January </w:t>
      </w:r>
      <w:bookmarkEnd w:id="58"/>
      <w:r w:rsidR="00C4218D">
        <w:rPr>
          <w:rFonts w:ascii="Arial" w:hAnsi="Arial" w:cs="Arial"/>
          <w:lang w:eastAsia="en-GB"/>
        </w:rPr>
        <w:t xml:space="preserve">1994 </w:t>
      </w:r>
      <w:r w:rsidRPr="00D128C1">
        <w:rPr>
          <w:rFonts w:ascii="Arial" w:hAnsi="Arial" w:cs="Arial"/>
          <w:lang w:eastAsia="en-GB"/>
        </w:rPr>
        <w:t>CFA franc devaluation was aimed at three main objectives: Firstly, the external restoration of the competitiveness of the savings of the zone franc and the recovery of trade balances. Secondly, balancing the public finances (the reduction of the budget deficits), via the improvement of export commodities. Thirdly, the resumption of growth thanks to the resumption of private investment</w:t>
      </w:r>
      <w:r w:rsidR="00C4218D">
        <w:rPr>
          <w:rFonts w:ascii="Arial" w:hAnsi="Arial" w:cs="Arial"/>
          <w:lang w:eastAsia="en-GB"/>
        </w:rPr>
        <w:t xml:space="preserve"> </w:t>
      </w:r>
      <w:r w:rsidR="00C4218D" w:rsidRPr="00D128C1">
        <w:rPr>
          <w:rFonts w:ascii="Arial" w:hAnsi="Arial" w:cs="Arial"/>
          <w:lang w:eastAsia="en-GB"/>
        </w:rPr>
        <w:t>(Fouopi, 2012; Bank of France, 1997)</w:t>
      </w:r>
      <w:r w:rsidRPr="00D128C1">
        <w:rPr>
          <w:rFonts w:ascii="Arial" w:hAnsi="Arial" w:cs="Arial"/>
          <w:lang w:eastAsia="en-GB"/>
        </w:rPr>
        <w:t>. </w:t>
      </w:r>
    </w:p>
    <w:p w14:paraId="5FCE95D5" w14:textId="6AE8207A" w:rsidR="007B2D6E" w:rsidRPr="00D128C1" w:rsidRDefault="007B2D6E" w:rsidP="0066301C">
      <w:pPr>
        <w:spacing w:line="360" w:lineRule="auto"/>
        <w:jc w:val="both"/>
        <w:rPr>
          <w:rFonts w:ascii="Arial" w:hAnsi="Arial" w:cs="Arial"/>
          <w:lang w:eastAsia="en-GB"/>
        </w:rPr>
      </w:pPr>
      <w:bookmarkStart w:id="62" w:name="_Hlk170222062"/>
      <w:bookmarkEnd w:id="61"/>
      <w:r w:rsidRPr="00D128C1">
        <w:rPr>
          <w:rFonts w:ascii="Arial" w:hAnsi="Arial" w:cs="Arial"/>
          <w:lang w:eastAsia="en-GB"/>
        </w:rPr>
        <w:t>Hence, the devaluation aimed at improving the competitiveness and enhancing the trade balance, thereby reducing their current account’s trade deficit. It was also to attract foreign direct investors since their assets were cheap, the currency was stable, which is a good condition for investment, and thereby improving the balance of payment (BOP) and economic growth (Zobo, 2014; Amin, 2000).</w:t>
      </w:r>
      <w:r w:rsidR="00962477">
        <w:rPr>
          <w:rStyle w:val="FootnoteReference"/>
          <w:rFonts w:ascii="Arial" w:hAnsi="Arial" w:cs="Arial"/>
          <w:lang w:eastAsia="en-GB"/>
        </w:rPr>
        <w:footnoteReference w:id="26"/>
      </w:r>
      <w:r w:rsidRPr="00D128C1">
        <w:rPr>
          <w:rFonts w:ascii="Arial" w:hAnsi="Arial" w:cs="Arial"/>
          <w:lang w:eastAsia="en-GB"/>
        </w:rPr>
        <w:t> Thus, the main goal of a currency devaluation is often to improve a nation’s economic growth via the improvement of its trade balance (TB)</w:t>
      </w:r>
      <w:r w:rsidR="00A951A8">
        <w:rPr>
          <w:rFonts w:ascii="Arial" w:hAnsi="Arial" w:cs="Arial"/>
          <w:lang w:eastAsia="en-GB"/>
        </w:rPr>
        <w:t xml:space="preserve">. </w:t>
      </w:r>
      <w:r w:rsidR="00566F85">
        <w:rPr>
          <w:rFonts w:ascii="Arial" w:hAnsi="Arial" w:cs="Arial"/>
          <w:lang w:eastAsia="en-GB"/>
        </w:rPr>
        <w:t>For this to be achieve, we need to know the state of the currency</w:t>
      </w:r>
      <w:r w:rsidR="00C26DBD">
        <w:rPr>
          <w:rFonts w:ascii="Arial" w:hAnsi="Arial" w:cs="Arial"/>
          <w:lang w:eastAsia="en-GB"/>
        </w:rPr>
        <w:t xml:space="preserve"> (i.e., is it at equilibrium</w:t>
      </w:r>
      <w:r w:rsidR="00BA39FF">
        <w:rPr>
          <w:rFonts w:ascii="Arial" w:hAnsi="Arial" w:cs="Arial"/>
          <w:lang w:eastAsia="en-GB"/>
        </w:rPr>
        <w:t xml:space="preserve"> - in the CEMAC nations</w:t>
      </w:r>
      <w:bookmarkEnd w:id="62"/>
      <w:r w:rsidR="00C26DBD">
        <w:rPr>
          <w:rFonts w:ascii="Arial" w:hAnsi="Arial" w:cs="Arial"/>
          <w:lang w:eastAsia="en-GB"/>
        </w:rPr>
        <w:t xml:space="preserve">). </w:t>
      </w:r>
    </w:p>
    <w:p w14:paraId="0EFB829A" w14:textId="0A5C2464" w:rsidR="00851F48" w:rsidRPr="00D128C1" w:rsidRDefault="00205A26" w:rsidP="0066301C">
      <w:pPr>
        <w:spacing w:line="360" w:lineRule="auto"/>
        <w:jc w:val="both"/>
        <w:rPr>
          <w:rFonts w:ascii="Arial" w:hAnsi="Arial" w:cs="Arial"/>
          <w:lang w:eastAsia="en-GB"/>
        </w:rPr>
      </w:pPr>
      <w:r w:rsidRPr="00D128C1">
        <w:rPr>
          <w:rFonts w:ascii="Arial" w:hAnsi="Arial" w:cs="Arial"/>
          <w:lang w:eastAsia="en-GB"/>
        </w:rPr>
        <w:t>A TB</w:t>
      </w:r>
      <w:r w:rsidR="00851F48" w:rsidRPr="00D128C1">
        <w:rPr>
          <w:rFonts w:ascii="Arial" w:hAnsi="Arial" w:cs="Arial"/>
          <w:lang w:eastAsia="en-GB"/>
        </w:rPr>
        <w:t xml:space="preserve"> is the monetary difference between a nation’s exports and imports over a given period. It is likely that, following a devaluation, an initial drop in the TB occurs before an improvement follows. It is often due to an increase in import value, while export value decreases, leading to the deterioration of the TB (Ziramba and Chifamba, 2014). After a while, the inverse situation </w:t>
      </w:r>
      <w:r w:rsidR="00851F48" w:rsidRPr="00D128C1">
        <w:rPr>
          <w:rFonts w:ascii="Arial" w:hAnsi="Arial" w:cs="Arial"/>
          <w:lang w:eastAsia="en-GB"/>
        </w:rPr>
        <w:lastRenderedPageBreak/>
        <w:t xml:space="preserve">occurs, thereby improving the TB (Sihong, 2018; Kurtović, 2017). The response of the </w:t>
      </w:r>
      <w:r w:rsidR="00BA39FF">
        <w:rPr>
          <w:rFonts w:ascii="Arial" w:hAnsi="Arial" w:cs="Arial"/>
          <w:lang w:eastAsia="en-GB"/>
        </w:rPr>
        <w:t>TB</w:t>
      </w:r>
      <w:r w:rsidR="00851F48" w:rsidRPr="00D128C1">
        <w:rPr>
          <w:rFonts w:ascii="Arial" w:hAnsi="Arial" w:cs="Arial"/>
          <w:lang w:eastAsia="en-GB"/>
        </w:rPr>
        <w:t xml:space="preserve"> over time often looks like a tilted J shape. The presence of the </w:t>
      </w:r>
      <w:r w:rsidR="00851F48" w:rsidRPr="00D128C1">
        <w:rPr>
          <w:rFonts w:ascii="Arial" w:hAnsi="Arial" w:cs="Arial"/>
          <w:i/>
          <w:iCs/>
          <w:lang w:eastAsia="en-GB"/>
        </w:rPr>
        <w:t>J-</w:t>
      </w:r>
      <w:r w:rsidR="00851F48" w:rsidRPr="00D128C1">
        <w:rPr>
          <w:rFonts w:ascii="Arial" w:hAnsi="Arial" w:cs="Arial"/>
          <w:lang w:eastAsia="en-GB"/>
        </w:rPr>
        <w:t xml:space="preserve">curve implies that currency devaluation improves a nation’s </w:t>
      </w:r>
      <w:r w:rsidR="00BA39FF">
        <w:rPr>
          <w:rFonts w:ascii="Arial" w:hAnsi="Arial" w:cs="Arial"/>
          <w:lang w:eastAsia="en-GB"/>
        </w:rPr>
        <w:t>TB</w:t>
      </w:r>
      <w:r w:rsidR="00851F48" w:rsidRPr="00D128C1">
        <w:rPr>
          <w:rFonts w:ascii="Arial" w:hAnsi="Arial" w:cs="Arial"/>
          <w:lang w:eastAsia="en-GB"/>
        </w:rPr>
        <w:t>, thereby justifying the necessity for the devaluation.  </w:t>
      </w:r>
    </w:p>
    <w:p w14:paraId="61CDF8F4" w14:textId="55071AB1" w:rsidR="00851F48" w:rsidRPr="00D128C1" w:rsidRDefault="00851F48" w:rsidP="0066301C">
      <w:pPr>
        <w:spacing w:line="360" w:lineRule="auto"/>
        <w:jc w:val="both"/>
        <w:rPr>
          <w:rFonts w:ascii="Arial" w:hAnsi="Arial" w:cs="Arial"/>
          <w:lang w:eastAsia="en-GB"/>
        </w:rPr>
      </w:pPr>
      <w:r w:rsidRPr="00D128C1">
        <w:rPr>
          <w:rFonts w:ascii="Arial" w:hAnsi="Arial" w:cs="Arial"/>
          <w:lang w:eastAsia="en-GB"/>
        </w:rPr>
        <w:t xml:space="preserve">In this thesis, we will use the bilateral aggregate </w:t>
      </w:r>
      <w:r w:rsidR="00BA39FF">
        <w:rPr>
          <w:rFonts w:ascii="Arial" w:hAnsi="Arial" w:cs="Arial"/>
          <w:lang w:eastAsia="en-GB"/>
        </w:rPr>
        <w:t xml:space="preserve">trade </w:t>
      </w:r>
      <w:r w:rsidRPr="00D128C1">
        <w:rPr>
          <w:rFonts w:ascii="Arial" w:hAnsi="Arial" w:cs="Arial"/>
          <w:lang w:eastAsia="en-GB"/>
        </w:rPr>
        <w:t>data approach by Rose and Yellen (1989) to investigate the presence of the </w:t>
      </w:r>
      <w:r w:rsidRPr="00D128C1">
        <w:rPr>
          <w:rFonts w:ascii="Arial" w:hAnsi="Arial" w:cs="Arial"/>
          <w:i/>
          <w:iCs/>
          <w:lang w:eastAsia="en-GB"/>
        </w:rPr>
        <w:t>J-</w:t>
      </w:r>
      <w:r w:rsidRPr="00D128C1">
        <w:rPr>
          <w:rFonts w:ascii="Arial" w:hAnsi="Arial" w:cs="Arial"/>
          <w:lang w:eastAsia="en-GB"/>
        </w:rPr>
        <w:t>curve in each of the CEMAC nations and their trade partners. It will help us understand the state of the TB with each trade partner. However, to get a</w:t>
      </w:r>
      <w:r w:rsidR="00BA39FF">
        <w:rPr>
          <w:rFonts w:ascii="Arial" w:hAnsi="Arial" w:cs="Arial"/>
          <w:lang w:eastAsia="en-GB"/>
        </w:rPr>
        <w:t>n</w:t>
      </w:r>
      <w:r w:rsidRPr="00D128C1">
        <w:rPr>
          <w:rFonts w:ascii="Arial" w:hAnsi="Arial" w:cs="Arial"/>
          <w:lang w:eastAsia="en-GB"/>
        </w:rPr>
        <w:t xml:space="preserve"> </w:t>
      </w:r>
      <w:r w:rsidR="000D42A3">
        <w:rPr>
          <w:rFonts w:ascii="Arial" w:hAnsi="Arial" w:cs="Arial"/>
          <w:lang w:eastAsia="en-GB"/>
        </w:rPr>
        <w:t xml:space="preserve">overview </w:t>
      </w:r>
      <w:r w:rsidRPr="00D128C1">
        <w:rPr>
          <w:rFonts w:ascii="Arial" w:hAnsi="Arial" w:cs="Arial"/>
          <w:lang w:eastAsia="en-GB"/>
        </w:rPr>
        <w:t>understanding of each of the CEMAC nation’s TB, we will use the aggregate trade data approach by Magee (1973). This approach investigates the presence of the </w:t>
      </w:r>
      <w:r w:rsidRPr="00D128C1">
        <w:rPr>
          <w:rFonts w:ascii="Arial" w:hAnsi="Arial" w:cs="Arial"/>
          <w:i/>
          <w:iCs/>
          <w:lang w:eastAsia="en-GB"/>
        </w:rPr>
        <w:t>J</w:t>
      </w:r>
      <w:r w:rsidRPr="00D128C1">
        <w:rPr>
          <w:rFonts w:ascii="Arial" w:hAnsi="Arial" w:cs="Arial"/>
          <w:lang w:eastAsia="en-GB"/>
        </w:rPr>
        <w:t xml:space="preserve">-curve between each of the CEMAC nations and their main trade partners </w:t>
      </w:r>
      <w:r w:rsidR="008F5889" w:rsidRPr="00D128C1">
        <w:rPr>
          <w:rFonts w:ascii="Arial" w:hAnsi="Arial" w:cs="Arial"/>
          <w:lang w:eastAsia="en-GB"/>
        </w:rPr>
        <w:t>combined</w:t>
      </w:r>
      <w:r w:rsidRPr="00D128C1">
        <w:rPr>
          <w:rFonts w:ascii="Arial" w:hAnsi="Arial" w:cs="Arial"/>
          <w:lang w:eastAsia="en-GB"/>
        </w:rPr>
        <w:t>.</w:t>
      </w:r>
      <w:r w:rsidR="00BA39FF">
        <w:rPr>
          <w:rFonts w:ascii="Arial" w:hAnsi="Arial" w:cs="Arial"/>
          <w:lang w:eastAsia="en-GB"/>
        </w:rPr>
        <w:t xml:space="preserve"> </w:t>
      </w:r>
    </w:p>
    <w:p w14:paraId="172ADF4F" w14:textId="3E6AFD22" w:rsidR="00AB4EB3" w:rsidRPr="00D128C1" w:rsidRDefault="00AB4EB3" w:rsidP="0066301C">
      <w:pPr>
        <w:spacing w:line="360" w:lineRule="auto"/>
        <w:jc w:val="both"/>
        <w:rPr>
          <w:rFonts w:ascii="Arial" w:hAnsi="Arial" w:cs="Arial"/>
          <w:lang w:eastAsia="en-GB"/>
        </w:rPr>
      </w:pPr>
      <w:r w:rsidRPr="00D128C1">
        <w:rPr>
          <w:rFonts w:ascii="Arial" w:hAnsi="Arial" w:cs="Arial"/>
          <w:lang w:eastAsia="en-GB"/>
        </w:rPr>
        <w:t xml:space="preserve">Though many researchers have investigated the impact of currency devaluation on the TB to influence economic growth, research on the CEMAC region is hardly common. One of the reasons for the difficulty is the lack of data for some nations in the region. To ascertain the impact of currency devaluation on TB is often empirical, it will be necessary to have a panoramic view of the liaison between the two variables in the CEMAC zone. This research dataset is sourced from the World Development Indicators (WDI) published by the World Bank (2020). The study covers the period between the years 1980 and 2018 </w:t>
      </w:r>
      <w:r w:rsidR="00272E76" w:rsidRPr="00D128C1">
        <w:rPr>
          <w:rFonts w:ascii="Arial" w:hAnsi="Arial" w:cs="Arial"/>
          <w:lang w:eastAsia="en-GB"/>
        </w:rPr>
        <w:t>to</w:t>
      </w:r>
      <w:r w:rsidRPr="00D128C1">
        <w:rPr>
          <w:rFonts w:ascii="Arial" w:hAnsi="Arial" w:cs="Arial"/>
          <w:lang w:eastAsia="en-GB"/>
        </w:rPr>
        <w:t xml:space="preserve"> capture the period prior to and post-devaluation. Data prior to the devaluation is unavailable for some nations (Chad, Congo, and Equatorial Guinea). As such, the three nations with available data will be used to represent the zone (Cameroon, Central African Republic, and Gabon). </w:t>
      </w:r>
    </w:p>
    <w:p w14:paraId="20356BBA" w14:textId="3C72890D" w:rsidR="00A93E64" w:rsidRPr="00A93E64" w:rsidRDefault="00AB4EB3" w:rsidP="00A93E64">
      <w:pPr>
        <w:spacing w:line="360" w:lineRule="auto"/>
        <w:jc w:val="both"/>
        <w:rPr>
          <w:rFonts w:ascii="Arial" w:hAnsi="Arial" w:cs="Arial"/>
          <w:lang w:eastAsia="en-GB"/>
        </w:rPr>
      </w:pPr>
      <w:r w:rsidRPr="00D128C1">
        <w:rPr>
          <w:rFonts w:ascii="Arial" w:hAnsi="Arial" w:cs="Arial"/>
          <w:lang w:eastAsia="en-GB"/>
        </w:rPr>
        <w:t>A graphical view of the relationship between the real effective exchange rate (REER) and the TB for these three nations is present below, with a vertical black line indicating the year of the devaluation. The REER graph of the three nations shows that their currency was above the “100” mark before the devaluation. During the devaluation, there was a drop in the REER, after which the currency has been revolving around the “100” mark. As for the TB, the graph for the three nations shows different movements. It could be due to their uniqueness (product exported and imported, factors of production).</w:t>
      </w:r>
    </w:p>
    <w:p w14:paraId="5D81FF37" w14:textId="77777777" w:rsidR="0066301C" w:rsidRDefault="0066301C" w:rsidP="0066301C">
      <w:pPr>
        <w:widowControl w:val="0"/>
        <w:autoSpaceDE w:val="0"/>
        <w:autoSpaceDN w:val="0"/>
        <w:adjustRightInd w:val="0"/>
        <w:spacing w:after="0" w:line="240" w:lineRule="auto"/>
        <w:jc w:val="both"/>
        <w:rPr>
          <w:rFonts w:ascii="Arial" w:eastAsia="Times New Roman" w:hAnsi="Arial" w:cs="Arial"/>
          <w:b/>
          <w:lang w:eastAsia="en-GB"/>
        </w:rPr>
      </w:pPr>
    </w:p>
    <w:p w14:paraId="41610E3F" w14:textId="1121ECB1" w:rsidR="00EC52FB" w:rsidRPr="008204CC" w:rsidRDefault="00EC52FB" w:rsidP="0066301C">
      <w:pPr>
        <w:widowControl w:val="0"/>
        <w:autoSpaceDE w:val="0"/>
        <w:autoSpaceDN w:val="0"/>
        <w:adjustRightInd w:val="0"/>
        <w:spacing w:after="0" w:line="240" w:lineRule="auto"/>
        <w:jc w:val="both"/>
        <w:rPr>
          <w:rFonts w:ascii="Arial" w:eastAsia="Times New Roman" w:hAnsi="Arial" w:cs="Arial"/>
          <w:lang w:eastAsia="en-GB"/>
        </w:rPr>
      </w:pPr>
      <w:r w:rsidRPr="008204CC">
        <w:rPr>
          <w:rFonts w:ascii="Arial" w:eastAsia="Times New Roman" w:hAnsi="Arial" w:cs="Arial"/>
          <w:b/>
          <w:lang w:eastAsia="en-GB"/>
        </w:rPr>
        <w:t xml:space="preserve">Figure 1.1: Cameroon’s net trade balance and real </w:t>
      </w:r>
      <w:r>
        <w:rPr>
          <w:rFonts w:ascii="Arial" w:eastAsia="Times New Roman" w:hAnsi="Arial" w:cs="Arial"/>
          <w:b/>
          <w:lang w:eastAsia="en-GB"/>
        </w:rPr>
        <w:t xml:space="preserve">effective </w:t>
      </w:r>
      <w:r w:rsidRPr="008204CC">
        <w:rPr>
          <w:rFonts w:ascii="Arial" w:eastAsia="Times New Roman" w:hAnsi="Arial" w:cs="Arial"/>
          <w:b/>
          <w:lang w:eastAsia="en-GB"/>
        </w:rPr>
        <w:t xml:space="preserve">exchange rate </w:t>
      </w:r>
      <w:r w:rsidRPr="008204CC">
        <w:rPr>
          <w:rFonts w:ascii="Arial" w:eastAsia="Times New Roman" w:hAnsi="Arial" w:cs="Arial"/>
          <w:lang w:eastAsia="en-GB"/>
        </w:rPr>
        <w:t>(1980 ~ 2018)</w:t>
      </w:r>
    </w:p>
    <w:p w14:paraId="436C61ED" w14:textId="3241A78C" w:rsidR="00EC52FB" w:rsidRPr="008204CC" w:rsidRDefault="00D1766F" w:rsidP="0066301C">
      <w:pPr>
        <w:widowControl w:val="0"/>
        <w:autoSpaceDE w:val="0"/>
        <w:autoSpaceDN w:val="0"/>
        <w:adjustRightInd w:val="0"/>
        <w:spacing w:after="0" w:line="240" w:lineRule="auto"/>
        <w:rPr>
          <w:rFonts w:ascii="Arial" w:eastAsia="Times New Roman" w:hAnsi="Arial" w:cs="Arial"/>
          <w:lang w:eastAsia="en-GB"/>
        </w:rPr>
      </w:pPr>
      <w:r>
        <w:rPr>
          <w:noProof/>
        </w:rPr>
        <w:lastRenderedPageBreak/>
        <mc:AlternateContent>
          <mc:Choice Requires="wps">
            <w:drawing>
              <wp:anchor distT="0" distB="0" distL="114298" distR="114298" simplePos="0" relativeHeight="251654144" behindDoc="0" locked="0" layoutInCell="1" allowOverlap="1" wp14:anchorId="2D888724" wp14:editId="5590E22C">
                <wp:simplePos x="0" y="0"/>
                <wp:positionH relativeFrom="column">
                  <wp:posOffset>2095499</wp:posOffset>
                </wp:positionH>
                <wp:positionV relativeFrom="paragraph">
                  <wp:posOffset>488950</wp:posOffset>
                </wp:positionV>
                <wp:extent cx="0" cy="1914525"/>
                <wp:effectExtent l="0" t="0" r="19050" b="0"/>
                <wp:wrapNone/>
                <wp:docPr id="898478744" name="Straight Connector 4"/>
                <wp:cNvGraphicFramePr>
                  <a:graphicFrameLocks xmlns:a="http://schemas.openxmlformats.org/drawingml/2006/main"/>
                </wp:cNvGraphicFramePr>
                <a:graphic xmlns:a="http://schemas.openxmlformats.org/drawingml/2006/main">
                  <a:graphicData uri="http://schemas.microsoft.com/office/word/2010/wordprocessingShape">
                    <wps:wsp>
                      <wps:cNvCnPr>
                        <a:cxnSpLocks/>
                      </wps:cNvCnPr>
                      <wps:spPr>
                        <a:xfrm flipV="1">
                          <a:off x="0" y="0"/>
                          <a:ext cx="0" cy="1914525"/>
                        </a:xfrm>
                        <a:prstGeom prst="line">
                          <a:avLst/>
                        </a:prstGeom>
                        <a:ln/>
                      </wps:spPr>
                      <wps:style>
                        <a:lnRef idx="2">
                          <a:schemeClr val="dk1"/>
                        </a:lnRef>
                        <a:fillRef idx="0">
                          <a:schemeClr val="dk1"/>
                        </a:fillRef>
                        <a:effectRef idx="1">
                          <a:schemeClr val="dk1"/>
                        </a:effectRef>
                        <a:fontRef idx="minor">
                          <a:schemeClr val="tx1"/>
                        </a:fontRef>
                      </wps:style>
                      <wps:bodyPr/>
                    </wps:wsp>
                  </a:graphicData>
                </a:graphic>
                <wp14:sizeRelH relativeFrom="page">
                  <wp14:pctWidth>0</wp14:pctWidth>
                </wp14:sizeRelH>
                <wp14:sizeRelV relativeFrom="page">
                  <wp14:pctHeight>0</wp14:pctHeight>
                </wp14:sizeRelV>
              </wp:anchor>
            </w:drawing>
          </mc:Choice>
          <mc:Fallback>
            <w:pict>
              <v:line w14:anchorId="093D039A" id="Straight Connector 4" o:spid="_x0000_s1026" style="position:absolute;flip:y;z-index:251655168;visibility:visible;mso-wrap-style:square;mso-width-percent:0;mso-height-percent:0;mso-wrap-distance-left:3.17494mm;mso-wrap-distance-top:0;mso-wrap-distance-right:3.17494mm;mso-wrap-distance-bottom:0;mso-position-horizontal:absolute;mso-position-horizontal-relative:text;mso-position-vertical:absolute;mso-position-vertical-relative:text;mso-width-percent:0;mso-height-percent:0;mso-width-relative:page;mso-height-relative:page" from="165pt,38.5pt" to="165pt,189.25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" strokecolor="black [3200]" strokeweight="1pt">
                <v:stroke joinstyle="miter"/>
                <o:lock v:ext="edit" shapetype="f"/>
              </v:line>
            </w:pict>
          </mc:Fallback>
        </mc:AlternateContent>
      </w:r>
      <w:r w:rsidR="00EC52FB" w:rsidRPr="008204CC">
        <w:rPr>
          <w:rFonts w:ascii="Arial" w:hAnsi="Arial" w:cs="Arial"/>
          <w:noProof/>
          <w:lang w:val="en-US"/>
        </w:rPr>
        <w:drawing>
          <wp:inline distT="0" distB="0" distL="0" distR="0" wp14:anchorId="629A7F3C" wp14:editId="5C10165C">
            <wp:extent cx="5629276" cy="3095625"/>
            <wp:effectExtent l="0" t="0" r="9525" b="9525"/>
            <wp:docPr id="8" name="Chart 8"/>
            <wp:cNvGraphicFramePr/>
            <a:graphic xmlns:a="http://schemas.openxmlformats.org/drawingml/2006/main">
              <a:graphicData uri="http://schemas.openxmlformats.org/drawingml/2006/chart">
                <c:chart xmlns:c="http://schemas.openxmlformats.org/drawingml/2006/chart" xmlns:r="http://schemas.openxmlformats.org/officeDocument/2006/relationships" r:id="rId17"/>
              </a:graphicData>
            </a:graphic>
          </wp:inline>
        </w:drawing>
      </w:r>
    </w:p>
    <w:p w14:paraId="2FF58F2D" w14:textId="2137D986" w:rsidR="00EC52FB" w:rsidRPr="008204CC" w:rsidRDefault="00EC52FB" w:rsidP="0066301C">
      <w:pPr>
        <w:widowControl w:val="0"/>
        <w:autoSpaceDE w:val="0"/>
        <w:autoSpaceDN w:val="0"/>
        <w:adjustRightInd w:val="0"/>
        <w:spacing w:after="0" w:line="240" w:lineRule="auto"/>
        <w:rPr>
          <w:rFonts w:ascii="Arial" w:eastAsia="Times New Roman" w:hAnsi="Arial" w:cs="Arial"/>
          <w:sz w:val="18"/>
          <w:szCs w:val="18"/>
          <w:lang w:eastAsia="en-GB"/>
        </w:rPr>
      </w:pPr>
      <w:r w:rsidRPr="008204CC">
        <w:rPr>
          <w:rFonts w:ascii="Arial" w:eastAsia="Times New Roman" w:hAnsi="Arial" w:cs="Arial"/>
          <w:i/>
          <w:sz w:val="18"/>
          <w:szCs w:val="18"/>
          <w:lang w:eastAsia="en-GB"/>
        </w:rPr>
        <w:t>Notes</w:t>
      </w:r>
      <w:r w:rsidRPr="008204CC">
        <w:rPr>
          <w:rFonts w:ascii="Arial" w:eastAsia="Times New Roman" w:hAnsi="Arial" w:cs="Arial"/>
          <w:sz w:val="18"/>
          <w:szCs w:val="18"/>
          <w:lang w:eastAsia="en-GB"/>
        </w:rPr>
        <w:t xml:space="preserve">: The net trade balance in current US Dollars; the real exchange rate index for </w:t>
      </w:r>
      <w:r w:rsidR="00630D8D">
        <w:rPr>
          <w:rFonts w:ascii="Arial" w:eastAsia="Times New Roman" w:hAnsi="Arial" w:cs="Arial"/>
          <w:sz w:val="18"/>
          <w:szCs w:val="18"/>
          <w:lang w:eastAsia="en-GB"/>
        </w:rPr>
        <w:t>the</w:t>
      </w:r>
      <w:r w:rsidRPr="008204CC">
        <w:rPr>
          <w:rFonts w:ascii="Arial" w:eastAsia="Times New Roman" w:hAnsi="Arial" w:cs="Arial"/>
          <w:sz w:val="18"/>
          <w:szCs w:val="18"/>
          <w:lang w:eastAsia="en-GB"/>
        </w:rPr>
        <w:t xml:space="preserve"> base year 2010 =100. </w:t>
      </w:r>
    </w:p>
    <w:p w14:paraId="7A826F29" w14:textId="77777777" w:rsidR="00EC52FB" w:rsidRPr="008204CC" w:rsidRDefault="00EC52FB" w:rsidP="0066301C">
      <w:pPr>
        <w:widowControl w:val="0"/>
        <w:autoSpaceDE w:val="0"/>
        <w:autoSpaceDN w:val="0"/>
        <w:adjustRightInd w:val="0"/>
        <w:spacing w:after="0" w:line="240" w:lineRule="auto"/>
        <w:rPr>
          <w:rFonts w:ascii="Arial" w:eastAsia="Times New Roman" w:hAnsi="Arial" w:cs="Arial"/>
          <w:sz w:val="18"/>
          <w:szCs w:val="18"/>
          <w:lang w:eastAsia="en-GB"/>
        </w:rPr>
      </w:pPr>
      <w:r w:rsidRPr="008204CC">
        <w:rPr>
          <w:rFonts w:ascii="Arial" w:eastAsia="Times New Roman" w:hAnsi="Arial" w:cs="Arial"/>
          <w:i/>
          <w:sz w:val="18"/>
          <w:szCs w:val="18"/>
          <w:lang w:eastAsia="en-GB"/>
        </w:rPr>
        <w:t>Source</w:t>
      </w:r>
      <w:r w:rsidRPr="008204CC">
        <w:rPr>
          <w:rFonts w:ascii="Arial" w:eastAsia="Times New Roman" w:hAnsi="Arial" w:cs="Arial"/>
          <w:sz w:val="18"/>
          <w:szCs w:val="18"/>
          <w:lang w:eastAsia="en-GB"/>
        </w:rPr>
        <w:t>: World Bank (2020), World Development Indicators.</w:t>
      </w:r>
    </w:p>
    <w:p w14:paraId="76953671" w14:textId="21FBC785" w:rsidR="00EC52FB" w:rsidRDefault="00EC52FB" w:rsidP="0066301C">
      <w:pPr>
        <w:widowControl w:val="0"/>
        <w:autoSpaceDE w:val="0"/>
        <w:autoSpaceDN w:val="0"/>
        <w:adjustRightInd w:val="0"/>
        <w:spacing w:after="240" w:line="276" w:lineRule="auto"/>
        <w:jc w:val="both"/>
        <w:rPr>
          <w:rFonts w:ascii="Arial" w:eastAsia="Times New Roman" w:hAnsi="Arial" w:cs="Arial"/>
          <w:lang w:eastAsia="en-GB"/>
        </w:rPr>
      </w:pPr>
    </w:p>
    <w:p w14:paraId="4F15E92B" w14:textId="77777777" w:rsidR="00CD72DD" w:rsidRDefault="00CD72DD" w:rsidP="0066301C">
      <w:pPr>
        <w:widowControl w:val="0"/>
        <w:autoSpaceDE w:val="0"/>
        <w:autoSpaceDN w:val="0"/>
        <w:adjustRightInd w:val="0"/>
        <w:spacing w:after="240" w:line="276" w:lineRule="auto"/>
        <w:jc w:val="both"/>
        <w:rPr>
          <w:rFonts w:ascii="Arial" w:eastAsia="Times New Roman" w:hAnsi="Arial" w:cs="Arial"/>
          <w:lang w:eastAsia="en-GB"/>
        </w:rPr>
      </w:pPr>
    </w:p>
    <w:p w14:paraId="6D24F1E3" w14:textId="77777777" w:rsidR="00CD72DD" w:rsidRDefault="00CD72DD" w:rsidP="0066301C">
      <w:pPr>
        <w:widowControl w:val="0"/>
        <w:autoSpaceDE w:val="0"/>
        <w:autoSpaceDN w:val="0"/>
        <w:adjustRightInd w:val="0"/>
        <w:spacing w:after="240" w:line="276" w:lineRule="auto"/>
        <w:jc w:val="both"/>
        <w:rPr>
          <w:rFonts w:ascii="Arial" w:eastAsia="Times New Roman" w:hAnsi="Arial" w:cs="Arial"/>
          <w:lang w:eastAsia="en-GB"/>
        </w:rPr>
      </w:pPr>
    </w:p>
    <w:p w14:paraId="3A0C5E1C" w14:textId="77777777" w:rsidR="00CD72DD" w:rsidRDefault="00CD72DD" w:rsidP="0066301C">
      <w:pPr>
        <w:widowControl w:val="0"/>
        <w:autoSpaceDE w:val="0"/>
        <w:autoSpaceDN w:val="0"/>
        <w:adjustRightInd w:val="0"/>
        <w:spacing w:after="240" w:line="276" w:lineRule="auto"/>
        <w:jc w:val="both"/>
        <w:rPr>
          <w:rFonts w:ascii="Arial" w:eastAsia="Times New Roman" w:hAnsi="Arial" w:cs="Arial"/>
          <w:lang w:eastAsia="en-GB"/>
        </w:rPr>
      </w:pPr>
    </w:p>
    <w:p w14:paraId="5083FEDB" w14:textId="77777777" w:rsidR="00CD72DD" w:rsidRDefault="00CD72DD" w:rsidP="0066301C">
      <w:pPr>
        <w:widowControl w:val="0"/>
        <w:autoSpaceDE w:val="0"/>
        <w:autoSpaceDN w:val="0"/>
        <w:adjustRightInd w:val="0"/>
        <w:spacing w:after="240" w:line="276" w:lineRule="auto"/>
        <w:jc w:val="both"/>
        <w:rPr>
          <w:rFonts w:ascii="Arial" w:eastAsia="Times New Roman" w:hAnsi="Arial" w:cs="Arial"/>
          <w:lang w:eastAsia="en-GB"/>
        </w:rPr>
      </w:pPr>
    </w:p>
    <w:p w14:paraId="55567E57" w14:textId="77777777" w:rsidR="00EC52FB" w:rsidRPr="008204CC" w:rsidRDefault="00EC52FB" w:rsidP="0066301C">
      <w:pPr>
        <w:widowControl w:val="0"/>
        <w:autoSpaceDE w:val="0"/>
        <w:autoSpaceDN w:val="0"/>
        <w:adjustRightInd w:val="0"/>
        <w:spacing w:after="0" w:line="240" w:lineRule="auto"/>
        <w:jc w:val="both"/>
        <w:rPr>
          <w:rFonts w:ascii="Arial" w:eastAsia="Times New Roman" w:hAnsi="Arial" w:cs="Arial"/>
          <w:lang w:eastAsia="en-GB"/>
        </w:rPr>
      </w:pPr>
      <w:r w:rsidRPr="008204CC">
        <w:rPr>
          <w:rFonts w:ascii="Arial" w:eastAsia="Times New Roman" w:hAnsi="Arial" w:cs="Arial"/>
          <w:b/>
          <w:lang w:eastAsia="en-GB"/>
        </w:rPr>
        <w:t xml:space="preserve">Figure 1.2: CAR’s net trade balance and real </w:t>
      </w:r>
      <w:r>
        <w:rPr>
          <w:rFonts w:ascii="Arial" w:eastAsia="Times New Roman" w:hAnsi="Arial" w:cs="Arial"/>
          <w:b/>
          <w:lang w:eastAsia="en-GB"/>
        </w:rPr>
        <w:t xml:space="preserve">effective </w:t>
      </w:r>
      <w:r w:rsidRPr="008204CC">
        <w:rPr>
          <w:rFonts w:ascii="Arial" w:eastAsia="Times New Roman" w:hAnsi="Arial" w:cs="Arial"/>
          <w:b/>
          <w:lang w:eastAsia="en-GB"/>
        </w:rPr>
        <w:t xml:space="preserve">exchange rate </w:t>
      </w:r>
      <w:r w:rsidRPr="008204CC">
        <w:rPr>
          <w:rFonts w:ascii="Arial" w:eastAsia="Times New Roman" w:hAnsi="Arial" w:cs="Arial"/>
          <w:lang w:eastAsia="en-GB"/>
        </w:rPr>
        <w:t>(1980 ~ 2018)</w:t>
      </w:r>
    </w:p>
    <w:p w14:paraId="2B5ECF40" w14:textId="30E20E35" w:rsidR="00E67D88" w:rsidRDefault="00D1766F" w:rsidP="00CD72DD">
      <w:pPr>
        <w:widowControl w:val="0"/>
        <w:autoSpaceDE w:val="0"/>
        <w:autoSpaceDN w:val="0"/>
        <w:adjustRightInd w:val="0"/>
        <w:spacing w:after="240" w:line="240" w:lineRule="auto"/>
        <w:jc w:val="both"/>
        <w:rPr>
          <w:rFonts w:ascii="Arial" w:eastAsia="Times New Roman" w:hAnsi="Arial" w:cs="Arial"/>
          <w:i/>
          <w:sz w:val="18"/>
          <w:szCs w:val="18"/>
          <w:lang w:eastAsia="en-GB"/>
        </w:rPr>
      </w:pPr>
      <w:r>
        <w:rPr>
          <w:noProof/>
        </w:rPr>
        <mc:AlternateContent>
          <mc:Choice Requires="wps">
            <w:drawing>
              <wp:anchor distT="0" distB="0" distL="114298" distR="114298" simplePos="0" relativeHeight="251655168" behindDoc="0" locked="0" layoutInCell="1" allowOverlap="1" wp14:anchorId="5062EA13" wp14:editId="19A6D911">
                <wp:simplePos x="0" y="0"/>
                <wp:positionH relativeFrom="column">
                  <wp:posOffset>2181224</wp:posOffset>
                </wp:positionH>
                <wp:positionV relativeFrom="paragraph">
                  <wp:posOffset>490220</wp:posOffset>
                </wp:positionV>
                <wp:extent cx="0" cy="2019300"/>
                <wp:effectExtent l="0" t="0" r="19050" b="0"/>
                <wp:wrapNone/>
                <wp:docPr id="2116447360" name="Straight Connector 3"/>
                <wp:cNvGraphicFramePr>
                  <a:graphicFrameLocks xmlns:a="http://schemas.openxmlformats.org/drawingml/2006/main"/>
                </wp:cNvGraphicFramePr>
                <a:graphic xmlns:a="http://schemas.openxmlformats.org/drawingml/2006/main">
                  <a:graphicData uri="http://schemas.microsoft.com/office/word/2010/wordprocessingShape">
                    <wps:wsp>
                      <wps:cNvCnPr>
                        <a:cxnSpLocks/>
                      </wps:cNvCnPr>
                      <wps:spPr>
                        <a:xfrm flipV="1">
                          <a:off x="0" y="0"/>
                          <a:ext cx="0" cy="2019300"/>
                        </a:xfrm>
                        <a:prstGeom prst="line">
                          <a:avLst/>
                        </a:prstGeom>
                        <a:ln>
                          <a:headEnd type="none" w="med" len="med"/>
                          <a:tailEnd type="none" w="med" len="med"/>
                        </a:ln>
                      </wps:spPr>
                      <wps:style>
                        <a:lnRef idx="2">
                          <a:schemeClr val="dk1"/>
                        </a:lnRef>
                        <a:fillRef idx="0">
                          <a:schemeClr val="dk1"/>
                        </a:fillRef>
                        <a:effectRef idx="1">
                          <a:schemeClr val="dk1"/>
                        </a:effectRef>
                        <a:fontRef idx="minor">
                          <a:schemeClr val="tx1"/>
                        </a:fontRef>
                      </wps:style>
                      <wps:bodyPr/>
                    </wps:wsp>
                  </a:graphicData>
                </a:graphic>
                <wp14:sizeRelH relativeFrom="page">
                  <wp14:pctWidth>0</wp14:pctWidth>
                </wp14:sizeRelH>
                <wp14:sizeRelV relativeFrom="page">
                  <wp14:pctHeight>0</wp14:pctHeight>
                </wp14:sizeRelV>
              </wp:anchor>
            </w:drawing>
          </mc:Choice>
          <mc:Fallback>
            <w:pict>
              <v:line w14:anchorId="7C1BB5ED" id="Straight Connector 3" o:spid="_x0000_s1026" style="position:absolute;flip:y;z-index:251656192;visibility:visible;mso-wrap-style:square;mso-width-percent:0;mso-height-percent:0;mso-wrap-distance-left:3.17494mm;mso-wrap-distance-top:0;mso-wrap-distance-right:3.17494mm;mso-wrap-distance-bottom:0;mso-position-horizontal:absolute;mso-position-horizontal-relative:text;mso-position-vertical:absolute;mso-position-vertical-relative:text;mso-width-percent:0;mso-height-percent:0;mso-width-relative:page;mso-height-relative:page" from="171.75pt,38.6pt" to="171.75pt,197.6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" strokecolor="black [3200]" strokeweight="1pt">
                <v:stroke joinstyle="miter"/>
                <o:lock v:ext="edit" shapetype="f"/>
              </v:line>
            </w:pict>
          </mc:Fallback>
        </mc:AlternateContent>
      </w:r>
      <w:r w:rsidR="00EC52FB" w:rsidRPr="008204CC">
        <w:rPr>
          <w:rFonts w:ascii="Arial" w:hAnsi="Arial" w:cs="Arial"/>
          <w:noProof/>
          <w:lang w:val="en-US"/>
        </w:rPr>
        <w:drawing>
          <wp:inline distT="0" distB="0" distL="0" distR="0" wp14:anchorId="1AF163E3" wp14:editId="3991A93F">
            <wp:extent cx="5419725" cy="3181350"/>
            <wp:effectExtent l="0" t="0" r="9525" b="0"/>
            <wp:docPr id="11" name="Chart 11"/>
            <wp:cNvGraphicFramePr/>
            <a:graphic xmlns:a="http://schemas.openxmlformats.org/drawingml/2006/main">
              <a:graphicData uri="http://schemas.openxmlformats.org/drawingml/2006/chart">
                <c:chart xmlns:c="http://schemas.openxmlformats.org/drawingml/2006/chart" xmlns:r="http://schemas.openxmlformats.org/officeDocument/2006/relationships" r:id="rId18"/>
              </a:graphicData>
            </a:graphic>
          </wp:inline>
        </w:drawing>
      </w:r>
    </w:p>
    <w:p w14:paraId="5DCE0B70" w14:textId="4499AFD6" w:rsidR="00E67D88" w:rsidRDefault="00EC52FB" w:rsidP="00CD72DD">
      <w:pPr>
        <w:widowControl w:val="0"/>
        <w:autoSpaceDE w:val="0"/>
        <w:autoSpaceDN w:val="0"/>
        <w:adjustRightInd w:val="0"/>
        <w:spacing w:after="240" w:line="240" w:lineRule="auto"/>
        <w:jc w:val="both"/>
        <w:rPr>
          <w:rFonts w:ascii="Arial" w:eastAsia="Times New Roman" w:hAnsi="Arial" w:cs="Arial"/>
          <w:sz w:val="18"/>
          <w:szCs w:val="18"/>
          <w:lang w:eastAsia="en-GB"/>
        </w:rPr>
      </w:pPr>
      <w:r w:rsidRPr="004F6A09">
        <w:rPr>
          <w:rFonts w:ascii="Arial" w:eastAsia="Times New Roman" w:hAnsi="Arial" w:cs="Arial"/>
          <w:i/>
          <w:sz w:val="18"/>
          <w:szCs w:val="18"/>
          <w:lang w:eastAsia="en-GB"/>
        </w:rPr>
        <w:t>Notes</w:t>
      </w:r>
      <w:r w:rsidRPr="004F6A09">
        <w:rPr>
          <w:rFonts w:ascii="Arial" w:eastAsia="Times New Roman" w:hAnsi="Arial" w:cs="Arial"/>
          <w:sz w:val="18"/>
          <w:szCs w:val="18"/>
          <w:lang w:eastAsia="en-GB"/>
        </w:rPr>
        <w:t xml:space="preserve">: The net trade balance in current US Dollars; the real exchange rate index for </w:t>
      </w:r>
      <w:r w:rsidR="00630D8D">
        <w:rPr>
          <w:rFonts w:ascii="Arial" w:eastAsia="Times New Roman" w:hAnsi="Arial" w:cs="Arial"/>
          <w:sz w:val="18"/>
          <w:szCs w:val="18"/>
          <w:lang w:eastAsia="en-GB"/>
        </w:rPr>
        <w:t>the</w:t>
      </w:r>
      <w:r w:rsidRPr="004F6A09">
        <w:rPr>
          <w:rFonts w:ascii="Arial" w:eastAsia="Times New Roman" w:hAnsi="Arial" w:cs="Arial"/>
          <w:sz w:val="18"/>
          <w:szCs w:val="18"/>
          <w:lang w:eastAsia="en-GB"/>
        </w:rPr>
        <w:t xml:space="preserve"> base year 2010 =100. </w:t>
      </w:r>
      <w:r w:rsidRPr="004F6A09">
        <w:rPr>
          <w:rFonts w:ascii="Arial" w:eastAsia="Times New Roman" w:hAnsi="Arial" w:cs="Arial"/>
          <w:i/>
          <w:sz w:val="18"/>
          <w:szCs w:val="18"/>
          <w:lang w:eastAsia="en-GB"/>
        </w:rPr>
        <w:t>Source</w:t>
      </w:r>
      <w:r w:rsidRPr="004F6A09">
        <w:rPr>
          <w:rFonts w:ascii="Arial" w:eastAsia="Times New Roman" w:hAnsi="Arial" w:cs="Arial"/>
          <w:sz w:val="18"/>
          <w:szCs w:val="18"/>
          <w:lang w:eastAsia="en-GB"/>
        </w:rPr>
        <w:t>: World Bank (2020), World Development Indicators.</w:t>
      </w:r>
    </w:p>
    <w:p w14:paraId="0BF70BFD" w14:textId="77777777" w:rsidR="00E67D88" w:rsidRPr="00CD72DD" w:rsidRDefault="00E67D88" w:rsidP="00CD72DD">
      <w:pPr>
        <w:widowControl w:val="0"/>
        <w:autoSpaceDE w:val="0"/>
        <w:autoSpaceDN w:val="0"/>
        <w:adjustRightInd w:val="0"/>
        <w:spacing w:after="240" w:line="240" w:lineRule="auto"/>
        <w:jc w:val="both"/>
        <w:rPr>
          <w:rFonts w:ascii="Arial" w:eastAsia="Times New Roman" w:hAnsi="Arial" w:cs="Arial"/>
          <w:sz w:val="18"/>
          <w:szCs w:val="18"/>
          <w:lang w:eastAsia="en-GB"/>
        </w:rPr>
      </w:pPr>
    </w:p>
    <w:p w14:paraId="2CD521AB" w14:textId="6A65284A" w:rsidR="00EC52FB" w:rsidRPr="008204CC" w:rsidRDefault="00EC52FB" w:rsidP="0066301C">
      <w:pPr>
        <w:widowControl w:val="0"/>
        <w:autoSpaceDE w:val="0"/>
        <w:autoSpaceDN w:val="0"/>
        <w:adjustRightInd w:val="0"/>
        <w:spacing w:after="0" w:line="240" w:lineRule="auto"/>
        <w:jc w:val="both"/>
        <w:rPr>
          <w:rFonts w:ascii="Arial" w:eastAsia="Times New Roman" w:hAnsi="Arial" w:cs="Arial"/>
          <w:lang w:eastAsia="en-GB"/>
        </w:rPr>
      </w:pPr>
      <w:r w:rsidRPr="008204CC">
        <w:rPr>
          <w:rFonts w:ascii="Arial" w:eastAsia="Times New Roman" w:hAnsi="Arial" w:cs="Arial"/>
          <w:b/>
          <w:lang w:eastAsia="en-GB"/>
        </w:rPr>
        <w:t xml:space="preserve">Figure 1.3: Gabon’s net trade balance and real </w:t>
      </w:r>
      <w:r>
        <w:rPr>
          <w:rFonts w:ascii="Arial" w:eastAsia="Times New Roman" w:hAnsi="Arial" w:cs="Arial"/>
          <w:b/>
          <w:lang w:eastAsia="en-GB"/>
        </w:rPr>
        <w:t xml:space="preserve">effective </w:t>
      </w:r>
      <w:r w:rsidRPr="008204CC">
        <w:rPr>
          <w:rFonts w:ascii="Arial" w:eastAsia="Times New Roman" w:hAnsi="Arial" w:cs="Arial"/>
          <w:b/>
          <w:lang w:eastAsia="en-GB"/>
        </w:rPr>
        <w:t xml:space="preserve">exchange rate </w:t>
      </w:r>
      <w:r w:rsidRPr="008204CC">
        <w:rPr>
          <w:rFonts w:ascii="Arial" w:eastAsia="Times New Roman" w:hAnsi="Arial" w:cs="Arial"/>
          <w:lang w:eastAsia="en-GB"/>
        </w:rPr>
        <w:t>(1980 ~ 2018)</w:t>
      </w:r>
    </w:p>
    <w:p w14:paraId="07796DAC" w14:textId="485D0D00" w:rsidR="00EC52FB" w:rsidRPr="008204CC" w:rsidRDefault="00D1766F" w:rsidP="0066301C">
      <w:pPr>
        <w:widowControl w:val="0"/>
        <w:autoSpaceDE w:val="0"/>
        <w:autoSpaceDN w:val="0"/>
        <w:adjustRightInd w:val="0"/>
        <w:spacing w:after="0" w:line="240" w:lineRule="auto"/>
        <w:jc w:val="both"/>
        <w:rPr>
          <w:rFonts w:ascii="Arial" w:eastAsia="Times New Roman" w:hAnsi="Arial" w:cs="Arial"/>
          <w:lang w:eastAsia="en-GB"/>
        </w:rPr>
      </w:pPr>
      <w:r>
        <w:rPr>
          <w:noProof/>
        </w:rPr>
        <mc:AlternateContent>
          <mc:Choice Requires="wps">
            <w:drawing>
              <wp:anchor distT="0" distB="0" distL="114298" distR="114298" simplePos="0" relativeHeight="251656192" behindDoc="0" locked="0" layoutInCell="1" allowOverlap="1" wp14:anchorId="0B353771" wp14:editId="6FA92E2B">
                <wp:simplePos x="0" y="0"/>
                <wp:positionH relativeFrom="column">
                  <wp:posOffset>1781174</wp:posOffset>
                </wp:positionH>
                <wp:positionV relativeFrom="paragraph">
                  <wp:posOffset>643255</wp:posOffset>
                </wp:positionV>
                <wp:extent cx="0" cy="2066925"/>
                <wp:effectExtent l="0" t="0" r="19050" b="0"/>
                <wp:wrapNone/>
                <wp:docPr id="86436720" name="Straight Connector 2"/>
                <wp:cNvGraphicFramePr>
                  <a:graphicFrameLocks xmlns:a="http://schemas.openxmlformats.org/drawingml/2006/main"/>
                </wp:cNvGraphicFramePr>
                <a:graphic xmlns:a="http://schemas.openxmlformats.org/drawingml/2006/main">
                  <a:graphicData uri="http://schemas.microsoft.com/office/word/2010/wordprocessingShape">
                    <wps:wsp>
                      <wps:cNvCnPr>
                        <a:cxnSpLocks/>
                      </wps:cNvCnPr>
                      <wps:spPr>
                        <a:xfrm flipV="1">
                          <a:off x="0" y="0"/>
                          <a:ext cx="0" cy="2066925"/>
                        </a:xfrm>
                        <a:prstGeom prst="line">
                          <a:avLst/>
                        </a:prstGeom>
                      </wps:spPr>
                      <wps:style>
                        <a:lnRef idx="2">
                          <a:schemeClr val="dk1"/>
                        </a:lnRef>
                        <a:fillRef idx="0">
                          <a:schemeClr val="dk1"/>
                        </a:fillRef>
                        <a:effectRef idx="1">
                          <a:schemeClr val="dk1"/>
                        </a:effectRef>
                        <a:fontRef idx="minor">
                          <a:schemeClr val="tx1"/>
                        </a:fontRef>
                      </wps:style>
                      <wps:bodyPr/>
                    </wps:wsp>
                  </a:graphicData>
                </a:graphic>
                <wp14:sizeRelH relativeFrom="page">
                  <wp14:pctWidth>0</wp14:pctWidth>
                </wp14:sizeRelH>
                <wp14:sizeRelV relativeFrom="page">
                  <wp14:pctHeight>0</wp14:pctHeight>
                </wp14:sizeRelV>
              </wp:anchor>
            </w:drawing>
          </mc:Choice>
          <mc:Fallback>
            <w:pict>
              <v:line w14:anchorId="58FAD91C" id="Straight Connector 2" o:spid="_x0000_s1026" style="position:absolute;flip:y;z-index:251657216;visibility:visible;mso-wrap-style:square;mso-width-percent:0;mso-height-percent:0;mso-wrap-distance-left:3.17494mm;mso-wrap-distance-top:0;mso-wrap-distance-right:3.17494mm;mso-wrap-distance-bottom:0;mso-position-horizontal:absolute;mso-position-horizontal-relative:text;mso-position-vertical:absolute;mso-position-vertical-relative:text;mso-width-percent:0;mso-height-percent:0;mso-width-relative:page;mso-height-relative:page" from="140.25pt,50.65pt" to="140.25pt,213.4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" strokecolor="black [3200]" strokeweight="1pt">
                <v:stroke joinstyle="miter"/>
                <o:lock v:ext="edit" shapetype="f"/>
              </v:line>
            </w:pict>
          </mc:Fallback>
        </mc:AlternateContent>
      </w:r>
      <w:r w:rsidR="00EC52FB" w:rsidRPr="008204CC">
        <w:rPr>
          <w:rFonts w:ascii="Arial" w:hAnsi="Arial" w:cs="Arial"/>
          <w:noProof/>
          <w:lang w:val="en-US"/>
        </w:rPr>
        <w:drawing>
          <wp:inline distT="0" distB="0" distL="0" distR="0" wp14:anchorId="48AD1EE6" wp14:editId="34872869">
            <wp:extent cx="5410200" cy="3320143"/>
            <wp:effectExtent l="0" t="0" r="0" b="13970"/>
            <wp:docPr id="345" name="Chart 345"/>
            <wp:cNvGraphicFramePr/>
            <a:graphic xmlns:a="http://schemas.openxmlformats.org/drawingml/2006/main">
              <a:graphicData uri="http://schemas.openxmlformats.org/drawingml/2006/chart">
                <c:chart xmlns:c="http://schemas.openxmlformats.org/drawingml/2006/chart" xmlns:r="http://schemas.openxmlformats.org/officeDocument/2006/relationships" r:id="rId19"/>
              </a:graphicData>
            </a:graphic>
          </wp:inline>
        </w:drawing>
      </w:r>
    </w:p>
    <w:p w14:paraId="58711D13" w14:textId="791BBE9F" w:rsidR="00EC52FB" w:rsidRPr="008204CC" w:rsidRDefault="00EC52FB" w:rsidP="0066301C">
      <w:pPr>
        <w:widowControl w:val="0"/>
        <w:autoSpaceDE w:val="0"/>
        <w:autoSpaceDN w:val="0"/>
        <w:adjustRightInd w:val="0"/>
        <w:spacing w:after="0" w:line="240" w:lineRule="auto"/>
        <w:jc w:val="both"/>
        <w:rPr>
          <w:rFonts w:ascii="Arial" w:eastAsia="Times New Roman" w:hAnsi="Arial" w:cs="Arial"/>
          <w:sz w:val="18"/>
          <w:szCs w:val="18"/>
          <w:lang w:eastAsia="en-GB"/>
        </w:rPr>
      </w:pPr>
      <w:r w:rsidRPr="008204CC">
        <w:rPr>
          <w:rFonts w:ascii="Arial" w:eastAsia="Times New Roman" w:hAnsi="Arial" w:cs="Arial"/>
          <w:i/>
          <w:sz w:val="18"/>
          <w:szCs w:val="18"/>
          <w:lang w:eastAsia="en-GB"/>
        </w:rPr>
        <w:t>Notes</w:t>
      </w:r>
      <w:r w:rsidRPr="008204CC">
        <w:rPr>
          <w:rFonts w:ascii="Arial" w:eastAsia="Times New Roman" w:hAnsi="Arial" w:cs="Arial"/>
          <w:sz w:val="18"/>
          <w:szCs w:val="18"/>
          <w:lang w:eastAsia="en-GB"/>
        </w:rPr>
        <w:t>:</w:t>
      </w:r>
      <w:r w:rsidRPr="008204CC">
        <w:rPr>
          <w:rFonts w:ascii="Arial" w:eastAsia="Times New Roman" w:hAnsi="Arial" w:cs="Arial"/>
          <w:i/>
          <w:sz w:val="18"/>
          <w:szCs w:val="18"/>
          <w:lang w:eastAsia="en-GB"/>
        </w:rPr>
        <w:t xml:space="preserve"> </w:t>
      </w:r>
      <w:r w:rsidRPr="008204CC">
        <w:rPr>
          <w:rFonts w:ascii="Arial" w:eastAsia="Times New Roman" w:hAnsi="Arial" w:cs="Arial"/>
          <w:sz w:val="18"/>
          <w:szCs w:val="18"/>
          <w:lang w:eastAsia="en-GB"/>
        </w:rPr>
        <w:t xml:space="preserve">The net trade balance in current US Dollars; the real exchange rate index </w:t>
      </w:r>
      <w:r w:rsidR="002167F7" w:rsidRPr="008204CC">
        <w:rPr>
          <w:rFonts w:ascii="Arial" w:eastAsia="Times New Roman" w:hAnsi="Arial" w:cs="Arial"/>
          <w:sz w:val="18"/>
          <w:szCs w:val="18"/>
          <w:lang w:eastAsia="en-GB"/>
        </w:rPr>
        <w:t>for base</w:t>
      </w:r>
      <w:r w:rsidRPr="008204CC">
        <w:rPr>
          <w:rFonts w:ascii="Arial" w:eastAsia="Times New Roman" w:hAnsi="Arial" w:cs="Arial"/>
          <w:sz w:val="18"/>
          <w:szCs w:val="18"/>
          <w:lang w:eastAsia="en-GB"/>
        </w:rPr>
        <w:t xml:space="preserve"> year 2010 =100</w:t>
      </w:r>
      <w:r w:rsidRPr="008204CC">
        <w:rPr>
          <w:rFonts w:ascii="Arial" w:eastAsia="Times New Roman" w:hAnsi="Arial" w:cs="Arial"/>
          <w:i/>
          <w:sz w:val="18"/>
          <w:szCs w:val="18"/>
          <w:lang w:eastAsia="en-GB"/>
        </w:rPr>
        <w:t>.</w:t>
      </w:r>
      <w:r w:rsidRPr="008204CC">
        <w:rPr>
          <w:rFonts w:ascii="Arial" w:eastAsia="Times New Roman" w:hAnsi="Arial" w:cs="Arial"/>
          <w:sz w:val="18"/>
          <w:szCs w:val="18"/>
          <w:lang w:eastAsia="en-GB"/>
        </w:rPr>
        <w:t xml:space="preserve"> </w:t>
      </w:r>
    </w:p>
    <w:p w14:paraId="06754795" w14:textId="77777777" w:rsidR="00EC52FB" w:rsidRDefault="00EC52FB" w:rsidP="0066301C">
      <w:pPr>
        <w:widowControl w:val="0"/>
        <w:autoSpaceDE w:val="0"/>
        <w:autoSpaceDN w:val="0"/>
        <w:adjustRightInd w:val="0"/>
        <w:spacing w:after="0" w:line="240" w:lineRule="auto"/>
        <w:jc w:val="both"/>
        <w:rPr>
          <w:rFonts w:ascii="Arial" w:eastAsia="Times New Roman" w:hAnsi="Arial" w:cs="Arial"/>
          <w:sz w:val="18"/>
          <w:szCs w:val="18"/>
          <w:lang w:eastAsia="en-GB"/>
        </w:rPr>
      </w:pPr>
      <w:r w:rsidRPr="008204CC">
        <w:rPr>
          <w:rFonts w:ascii="Arial" w:eastAsia="Times New Roman" w:hAnsi="Arial" w:cs="Arial"/>
          <w:i/>
          <w:sz w:val="18"/>
          <w:szCs w:val="18"/>
          <w:lang w:eastAsia="en-GB"/>
        </w:rPr>
        <w:t>Source</w:t>
      </w:r>
      <w:r w:rsidRPr="008204CC">
        <w:rPr>
          <w:rFonts w:ascii="Arial" w:eastAsia="Times New Roman" w:hAnsi="Arial" w:cs="Arial"/>
          <w:sz w:val="18"/>
          <w:szCs w:val="18"/>
          <w:lang w:eastAsia="en-GB"/>
        </w:rPr>
        <w:t>: World Bank (2020), World Development Indicators.</w:t>
      </w:r>
    </w:p>
    <w:p w14:paraId="3C738F58" w14:textId="77777777" w:rsidR="0066301C" w:rsidRPr="008204CC" w:rsidRDefault="0066301C" w:rsidP="0066301C">
      <w:pPr>
        <w:widowControl w:val="0"/>
        <w:autoSpaceDE w:val="0"/>
        <w:autoSpaceDN w:val="0"/>
        <w:adjustRightInd w:val="0"/>
        <w:spacing w:after="0" w:line="240" w:lineRule="auto"/>
        <w:jc w:val="both"/>
        <w:rPr>
          <w:rFonts w:ascii="Arial" w:eastAsia="Times New Roman" w:hAnsi="Arial" w:cs="Arial"/>
          <w:sz w:val="18"/>
          <w:szCs w:val="18"/>
          <w:lang w:eastAsia="en-GB"/>
        </w:rPr>
      </w:pPr>
    </w:p>
    <w:p w14:paraId="5C47E543" w14:textId="6C327134" w:rsidR="00EC52FB" w:rsidRPr="008204CC" w:rsidRDefault="00EC52FB" w:rsidP="0066301C">
      <w:pPr>
        <w:widowControl w:val="0"/>
        <w:autoSpaceDE w:val="0"/>
        <w:autoSpaceDN w:val="0"/>
        <w:adjustRightInd w:val="0"/>
        <w:spacing w:after="240" w:line="360" w:lineRule="auto"/>
        <w:jc w:val="both"/>
        <w:rPr>
          <w:rFonts w:ascii="Arial" w:eastAsia="Times New Roman" w:hAnsi="Arial" w:cs="Arial"/>
          <w:lang w:eastAsia="en-GB"/>
        </w:rPr>
      </w:pPr>
      <w:r w:rsidRPr="008204CC">
        <w:rPr>
          <w:rFonts w:ascii="Arial" w:eastAsia="Times New Roman" w:hAnsi="Arial" w:cs="Arial"/>
          <w:lang w:eastAsia="en-GB"/>
        </w:rPr>
        <w:t xml:space="preserve">As observed in Figure 1.1, before the 1994 devaluation, the REER of Cameroon was high. This implies that the currency </w:t>
      </w:r>
      <w:r>
        <w:rPr>
          <w:rFonts w:ascii="Arial" w:eastAsia="Times New Roman" w:hAnsi="Arial" w:cs="Arial"/>
          <w:lang w:eastAsia="en-GB"/>
        </w:rPr>
        <w:t>was</w:t>
      </w:r>
      <w:r w:rsidRPr="008204CC">
        <w:rPr>
          <w:rFonts w:ascii="Arial" w:eastAsia="Times New Roman" w:hAnsi="Arial" w:cs="Arial"/>
          <w:lang w:eastAsia="en-GB"/>
        </w:rPr>
        <w:t xml:space="preserve"> overvalue, </w:t>
      </w:r>
      <w:r>
        <w:rPr>
          <w:rFonts w:ascii="Arial" w:eastAsia="Times New Roman" w:hAnsi="Arial" w:cs="Arial"/>
          <w:lang w:eastAsia="en-GB"/>
        </w:rPr>
        <w:t xml:space="preserve">and </w:t>
      </w:r>
      <w:r w:rsidRPr="008204CC">
        <w:rPr>
          <w:rFonts w:ascii="Arial" w:eastAsia="Times New Roman" w:hAnsi="Arial" w:cs="Arial"/>
          <w:lang w:eastAsia="en-GB"/>
        </w:rPr>
        <w:t xml:space="preserve">since the devaluation, Cameroon’s REER has been stable, revolving around 100. The TB which was deficit only twice (1981 and 1988) before the devaluation, with a peak of it surplus in 1991 ($666.3 million). After the devaluation, the trade surplus continued though in a declining mode until 1996, after which the series of trade deficit began in 1997. The deficit coincides with the period of the </w:t>
      </w:r>
      <w:r w:rsidR="27ABCFC4" w:rsidRPr="008204CC">
        <w:rPr>
          <w:rFonts w:ascii="Arial" w:eastAsia="Times New Roman" w:hAnsi="Arial" w:cs="Arial"/>
          <w:lang w:eastAsia="en-GB"/>
        </w:rPr>
        <w:t>Southeast</w:t>
      </w:r>
      <w:r w:rsidRPr="008204CC">
        <w:rPr>
          <w:rFonts w:ascii="Arial" w:eastAsia="Times New Roman" w:hAnsi="Arial" w:cs="Arial"/>
          <w:lang w:eastAsia="en-GB"/>
        </w:rPr>
        <w:t xml:space="preserve"> Asian financial crisis of 1997. With the creation of the euro in 1999 and France joining it, Cameroon has continuously experience trade deficit until 2018, with the worse occurrence in 2014 (-$1.8 billion). The year 2014 is also when the world price of crude oil dropped which could have impacted the nation’s trade. Nevertheless, the two graphs presented in Figure 1.1 seem to have opposite trends, implying that the TB tends to improve through the depreciation of the R</w:t>
      </w:r>
      <w:r w:rsidR="002167F7">
        <w:rPr>
          <w:rFonts w:ascii="Arial" w:eastAsia="Times New Roman" w:hAnsi="Arial" w:cs="Arial"/>
          <w:lang w:eastAsia="en-GB"/>
        </w:rPr>
        <w:t>E</w:t>
      </w:r>
      <w:r w:rsidRPr="008204CC">
        <w:rPr>
          <w:rFonts w:ascii="Arial" w:eastAsia="Times New Roman" w:hAnsi="Arial" w:cs="Arial"/>
          <w:lang w:eastAsia="en-GB"/>
        </w:rPr>
        <w:t xml:space="preserve">ER and </w:t>
      </w:r>
      <w:r w:rsidRPr="008204CC">
        <w:rPr>
          <w:rFonts w:ascii="Arial" w:eastAsia="Times New Roman" w:hAnsi="Arial" w:cs="Arial"/>
          <w:i/>
          <w:lang w:eastAsia="en-GB"/>
        </w:rPr>
        <w:t>vice versa.</w:t>
      </w:r>
      <w:r w:rsidRPr="008204CC">
        <w:rPr>
          <w:rFonts w:ascii="Arial" w:eastAsia="Times New Roman" w:hAnsi="Arial" w:cs="Arial"/>
          <w:lang w:eastAsia="en-GB"/>
        </w:rPr>
        <w:t xml:space="preserve"> </w:t>
      </w:r>
      <w:r>
        <w:rPr>
          <w:rFonts w:ascii="Arial" w:eastAsia="Times New Roman" w:hAnsi="Arial" w:cs="Arial"/>
          <w:lang w:eastAsia="en-GB"/>
        </w:rPr>
        <w:t>T</w:t>
      </w:r>
      <w:r w:rsidRPr="008204CC">
        <w:rPr>
          <w:rFonts w:ascii="Arial" w:eastAsia="Times New Roman" w:hAnsi="Arial" w:cs="Arial"/>
          <w:lang w:eastAsia="en-GB"/>
        </w:rPr>
        <w:t xml:space="preserve">his observation </w:t>
      </w:r>
      <w:r>
        <w:rPr>
          <w:rFonts w:ascii="Arial" w:eastAsia="Times New Roman" w:hAnsi="Arial" w:cs="Arial"/>
          <w:lang w:eastAsia="en-GB"/>
        </w:rPr>
        <w:t xml:space="preserve">could </w:t>
      </w:r>
      <w:r w:rsidRPr="008204CC">
        <w:rPr>
          <w:rFonts w:ascii="Arial" w:eastAsia="Times New Roman" w:hAnsi="Arial" w:cs="Arial"/>
          <w:lang w:eastAsia="en-GB"/>
        </w:rPr>
        <w:t>justify the potential existence of a negative correlation between the REER and the TB for Cameroon</w:t>
      </w:r>
      <w:r>
        <w:rPr>
          <w:rFonts w:ascii="Arial" w:eastAsia="Times New Roman" w:hAnsi="Arial" w:cs="Arial"/>
          <w:lang w:eastAsia="en-GB"/>
        </w:rPr>
        <w:t>.</w:t>
      </w:r>
      <w:r w:rsidRPr="008204CC">
        <w:rPr>
          <w:rFonts w:ascii="Arial" w:eastAsia="Times New Roman" w:hAnsi="Arial" w:cs="Arial"/>
          <w:lang w:eastAsia="en-GB"/>
        </w:rPr>
        <w:t xml:space="preserve"> Also, since the REER began revolving around the equilibrium, the TB has continuously experienced a deficit. The results of the above figures are not enough to rush into such conclusions because we ought to prove the existence and the nature of the liaison between TB (dependent variable) and the REER (independent variable). After that, we determine the direction of the causality via further empirical testing. </w:t>
      </w:r>
    </w:p>
    <w:p w14:paraId="4D3315C7" w14:textId="662DCC54" w:rsidR="00EC52FB" w:rsidRPr="008204CC" w:rsidRDefault="00EC52FB" w:rsidP="0066301C">
      <w:pPr>
        <w:widowControl w:val="0"/>
        <w:autoSpaceDE w:val="0"/>
        <w:autoSpaceDN w:val="0"/>
        <w:adjustRightInd w:val="0"/>
        <w:spacing w:after="240" w:line="360" w:lineRule="auto"/>
        <w:jc w:val="both"/>
        <w:rPr>
          <w:rFonts w:ascii="Arial" w:eastAsia="Times New Roman" w:hAnsi="Arial" w:cs="Arial"/>
          <w:lang w:eastAsia="en-GB"/>
        </w:rPr>
      </w:pPr>
      <w:r w:rsidRPr="008204CC">
        <w:rPr>
          <w:rFonts w:ascii="Arial" w:eastAsia="Times New Roman" w:hAnsi="Arial" w:cs="Arial"/>
          <w:lang w:eastAsia="en-GB"/>
        </w:rPr>
        <w:t xml:space="preserve">From the observation in Figure 1.2, before the 1994 devaluation, the REER of Central Africa Republic (CAR) was high, meaning that the currency could be overvalued. After the devaluation </w:t>
      </w:r>
      <w:r w:rsidRPr="008204CC">
        <w:rPr>
          <w:rFonts w:ascii="Arial" w:eastAsia="Times New Roman" w:hAnsi="Arial" w:cs="Arial"/>
          <w:lang w:eastAsia="en-GB"/>
        </w:rPr>
        <w:lastRenderedPageBreak/>
        <w:t xml:space="preserve">in 1994, the currency was </w:t>
      </w:r>
      <w:r w:rsidR="004F6A09" w:rsidRPr="008204CC">
        <w:rPr>
          <w:rFonts w:ascii="Arial" w:eastAsia="Times New Roman" w:hAnsi="Arial" w:cs="Arial"/>
          <w:lang w:eastAsia="en-GB"/>
        </w:rPr>
        <w:t>devalued</w:t>
      </w:r>
      <w:r w:rsidRPr="008204CC">
        <w:rPr>
          <w:rFonts w:ascii="Arial" w:eastAsia="Times New Roman" w:hAnsi="Arial" w:cs="Arial"/>
          <w:lang w:eastAsia="en-GB"/>
        </w:rPr>
        <w:t xml:space="preserve"> and around the equilibrium until 2007. From 2008 and 2009, the currency was overvalued which coincides with the 2008 global financial crisis which began in the USA, moved to Europe and eventually to the rest of the world. Between the periods 2010 to 2012, the currency was stable and began appreciating from 2013 until 2018. The TB has been on deficit throughout from 1980 to 2018 with the only surplus in 2003. The two graphs on Figure 1.2 also show an opposite trend that the TB tends to improve as the RE</w:t>
      </w:r>
      <w:r w:rsidR="002167F7">
        <w:rPr>
          <w:rFonts w:ascii="Arial" w:eastAsia="Times New Roman" w:hAnsi="Arial" w:cs="Arial"/>
          <w:lang w:eastAsia="en-GB"/>
        </w:rPr>
        <w:t>E</w:t>
      </w:r>
      <w:r w:rsidRPr="008204CC">
        <w:rPr>
          <w:rFonts w:ascii="Arial" w:eastAsia="Times New Roman" w:hAnsi="Arial" w:cs="Arial"/>
          <w:lang w:eastAsia="en-GB"/>
        </w:rPr>
        <w:t xml:space="preserve">R depreciates and </w:t>
      </w:r>
      <w:r w:rsidRPr="008204CC">
        <w:rPr>
          <w:rFonts w:ascii="Arial" w:eastAsia="Times New Roman" w:hAnsi="Arial" w:cs="Arial"/>
          <w:i/>
          <w:lang w:eastAsia="en-GB"/>
        </w:rPr>
        <w:t xml:space="preserve">vice versa. </w:t>
      </w:r>
    </w:p>
    <w:p w14:paraId="3BD75659" w14:textId="21926532" w:rsidR="00EC52FB" w:rsidRPr="008204CC" w:rsidRDefault="00EC52FB" w:rsidP="0066301C">
      <w:pPr>
        <w:widowControl w:val="0"/>
        <w:autoSpaceDE w:val="0"/>
        <w:autoSpaceDN w:val="0"/>
        <w:adjustRightInd w:val="0"/>
        <w:spacing w:after="240" w:line="360" w:lineRule="auto"/>
        <w:jc w:val="both"/>
        <w:rPr>
          <w:rFonts w:ascii="Arial" w:eastAsia="Times New Roman" w:hAnsi="Arial" w:cs="Arial"/>
          <w:lang w:eastAsia="en-GB"/>
        </w:rPr>
      </w:pPr>
      <w:r>
        <w:rPr>
          <w:rFonts w:ascii="Arial" w:eastAsia="Times New Roman" w:hAnsi="Arial" w:cs="Arial"/>
          <w:lang w:eastAsia="en-GB"/>
        </w:rPr>
        <w:t>From t</w:t>
      </w:r>
      <w:r w:rsidRPr="008204CC">
        <w:rPr>
          <w:rFonts w:ascii="Arial" w:eastAsia="Times New Roman" w:hAnsi="Arial" w:cs="Arial"/>
          <w:lang w:eastAsia="en-GB"/>
        </w:rPr>
        <w:t>he observation in Figure 1.3, before the 1994</w:t>
      </w:r>
      <w:r>
        <w:rPr>
          <w:rFonts w:ascii="Arial" w:eastAsia="Times New Roman" w:hAnsi="Arial" w:cs="Arial"/>
          <w:lang w:eastAsia="en-GB"/>
        </w:rPr>
        <w:t xml:space="preserve"> </w:t>
      </w:r>
      <w:r w:rsidRPr="008204CC">
        <w:rPr>
          <w:rFonts w:ascii="Arial" w:eastAsia="Times New Roman" w:hAnsi="Arial" w:cs="Arial"/>
          <w:lang w:eastAsia="en-GB"/>
        </w:rPr>
        <w:t>devaluation, the REER of Gabon was overvalued. After the 1994 devaluation, the currency has been revolving around the equilibrium until 2018. Gabon is the only nation among the three nations with a consistent TB surplus. With the devaluation, the TB improved very much</w:t>
      </w:r>
      <w:r w:rsidR="002167F7">
        <w:rPr>
          <w:rFonts w:ascii="Arial" w:eastAsia="Times New Roman" w:hAnsi="Arial" w:cs="Arial"/>
          <w:lang w:eastAsia="en-GB"/>
        </w:rPr>
        <w:t>, and</w:t>
      </w:r>
      <w:r w:rsidRPr="008204CC">
        <w:rPr>
          <w:rFonts w:ascii="Arial" w:eastAsia="Times New Roman" w:hAnsi="Arial" w:cs="Arial"/>
          <w:lang w:eastAsia="en-GB"/>
        </w:rPr>
        <w:t xml:space="preserve"> t</w:t>
      </w:r>
      <w:r w:rsidR="002167F7">
        <w:rPr>
          <w:rFonts w:ascii="Arial" w:eastAsia="Times New Roman" w:hAnsi="Arial" w:cs="Arial"/>
          <w:lang w:eastAsia="en-GB"/>
        </w:rPr>
        <w:t>he</w:t>
      </w:r>
      <w:r w:rsidRPr="008204CC">
        <w:rPr>
          <w:rFonts w:ascii="Arial" w:eastAsia="Times New Roman" w:hAnsi="Arial" w:cs="Arial"/>
          <w:lang w:eastAsia="en-GB"/>
        </w:rPr>
        <w:t xml:space="preserve"> graphs show an opposite trend that the TB tends to improve as the REER depreciates</w:t>
      </w:r>
      <w:r w:rsidRPr="008204CC">
        <w:rPr>
          <w:rFonts w:ascii="Arial" w:eastAsia="Times New Roman" w:hAnsi="Arial" w:cs="Arial"/>
          <w:i/>
          <w:lang w:eastAsia="en-GB"/>
        </w:rPr>
        <w:t xml:space="preserve">. </w:t>
      </w:r>
      <w:r w:rsidRPr="008204CC">
        <w:rPr>
          <w:rFonts w:ascii="Arial" w:eastAsia="Times New Roman" w:hAnsi="Arial" w:cs="Arial"/>
          <w:lang w:eastAsia="en-GB"/>
        </w:rPr>
        <w:t xml:space="preserve">However, it will be too early for us to draw any conclusion that the TB improvement is due to the devaluation, thereby </w:t>
      </w:r>
      <w:bookmarkStart w:id="63" w:name="_Hlk170223032"/>
      <w:r w:rsidRPr="008204CC">
        <w:rPr>
          <w:rFonts w:ascii="Arial" w:eastAsia="Times New Roman" w:hAnsi="Arial" w:cs="Arial"/>
          <w:lang w:eastAsia="en-GB"/>
        </w:rPr>
        <w:t xml:space="preserve">requesting for </w:t>
      </w:r>
      <w:bookmarkStart w:id="64" w:name="_Hlk163931070"/>
      <w:r w:rsidRPr="008204CC">
        <w:rPr>
          <w:rFonts w:ascii="Arial" w:eastAsia="Times New Roman" w:hAnsi="Arial" w:cs="Arial"/>
          <w:lang w:eastAsia="en-GB"/>
        </w:rPr>
        <w:t xml:space="preserve">empirical analyses.  </w:t>
      </w:r>
    </w:p>
    <w:p w14:paraId="3881CED5" w14:textId="416A23B2" w:rsidR="00EC52FB" w:rsidRDefault="00BF7AB3" w:rsidP="0066301C">
      <w:pPr>
        <w:pStyle w:val="Heading2"/>
        <w:spacing w:before="0" w:beforeAutospacing="0"/>
      </w:pPr>
      <w:bookmarkStart w:id="65" w:name="_Toc84713922"/>
      <w:bookmarkStart w:id="66" w:name="_Toc171075355"/>
      <w:bookmarkStart w:id="67" w:name="_Hlk170862552"/>
      <w:r>
        <w:t>1.</w:t>
      </w:r>
      <w:r w:rsidR="005F2FEF">
        <w:t>5</w:t>
      </w:r>
      <w:r>
        <w:tab/>
      </w:r>
      <w:r w:rsidR="00EC52FB" w:rsidRPr="008204CC">
        <w:t>OBJECTIVES AND RESEARCH QUESTIONS</w:t>
      </w:r>
      <w:bookmarkEnd w:id="65"/>
      <w:bookmarkEnd w:id="66"/>
    </w:p>
    <w:p w14:paraId="50B57896" w14:textId="0B67E2F7" w:rsidR="004A10FD" w:rsidRPr="004A10FD" w:rsidRDefault="000B3D3D" w:rsidP="0066301C">
      <w:pPr>
        <w:spacing w:line="360" w:lineRule="auto"/>
        <w:jc w:val="both"/>
        <w:rPr>
          <w:rFonts w:ascii="Arial" w:hAnsi="Arial" w:cs="Arial"/>
          <w:color w:val="FF0000"/>
          <w:highlight w:val="yellow"/>
        </w:rPr>
      </w:pPr>
      <w:r>
        <w:rPr>
          <w:rFonts w:ascii="Arial" w:hAnsi="Arial" w:cs="Arial"/>
        </w:rPr>
        <w:t>As explained is section 1.3 above</w:t>
      </w:r>
      <w:r w:rsidRPr="00193068">
        <w:rPr>
          <w:rFonts w:ascii="Arial" w:hAnsi="Arial" w:cs="Arial"/>
        </w:rPr>
        <w:t xml:space="preserve">, it is believed that the same institutional arrangements that contributed to the good economic performance of the FCFA zone nations before the 1980s had also hindered them from adjusting timely to internal and external shocks. Therefore, it is necessary to ensure that it does not re-occur, mindful that it has been more than two decades since the currency was devalued. </w:t>
      </w:r>
      <w:r w:rsidR="004A10FD" w:rsidRPr="00193068">
        <w:rPr>
          <w:rFonts w:ascii="Arial" w:hAnsi="Arial" w:cs="Arial"/>
        </w:rPr>
        <w:t xml:space="preserve"> As seen in section 1.3.1, the IMF </w:t>
      </w:r>
      <w:r w:rsidR="004A10FD" w:rsidRPr="006D6107">
        <w:rPr>
          <w:rFonts w:ascii="Arial" w:hAnsi="Arial" w:cs="Arial"/>
          <w:lang w:eastAsia="en-GB"/>
        </w:rPr>
        <w:t xml:space="preserve">encouraged governments to couple </w:t>
      </w:r>
      <w:r w:rsidR="004A10FD">
        <w:rPr>
          <w:rFonts w:ascii="Arial" w:hAnsi="Arial" w:cs="Arial"/>
          <w:lang w:eastAsia="en-GB"/>
        </w:rPr>
        <w:t xml:space="preserve">the 1994 CFA franc </w:t>
      </w:r>
      <w:r w:rsidR="004A10FD" w:rsidRPr="006D6107">
        <w:rPr>
          <w:rFonts w:ascii="Arial" w:hAnsi="Arial" w:cs="Arial"/>
          <w:lang w:eastAsia="en-GB"/>
        </w:rPr>
        <w:t>devaluation with sound macroeconomic and structural adjustment policies (Washington Consensus).</w:t>
      </w:r>
      <w:r w:rsidR="004A10FD">
        <w:rPr>
          <w:rFonts w:ascii="Arial" w:hAnsi="Arial" w:cs="Arial"/>
          <w:lang w:eastAsia="en-GB"/>
        </w:rPr>
        <w:t xml:space="preserve"> I</w:t>
      </w:r>
      <w:r w:rsidR="004A10FD" w:rsidRPr="006D6107">
        <w:rPr>
          <w:rFonts w:ascii="Arial" w:hAnsi="Arial" w:cs="Arial"/>
          <w:lang w:eastAsia="en-GB"/>
        </w:rPr>
        <w:t>f the CFA franc value has not changed, it implies that the macroeconomic objectives of CEMAC nations have not changed since then</w:t>
      </w:r>
      <w:r w:rsidR="00193068">
        <w:rPr>
          <w:rFonts w:ascii="Arial" w:hAnsi="Arial" w:cs="Arial"/>
          <w:lang w:eastAsia="en-GB"/>
        </w:rPr>
        <w:t>, as well as the commodity market</w:t>
      </w:r>
      <w:r w:rsidR="003675B3">
        <w:rPr>
          <w:rFonts w:ascii="Arial" w:hAnsi="Arial" w:cs="Arial"/>
          <w:lang w:eastAsia="en-GB"/>
        </w:rPr>
        <w:t>s</w:t>
      </w:r>
      <w:r w:rsidR="004A10FD" w:rsidRPr="006D6107">
        <w:rPr>
          <w:rFonts w:ascii="Arial" w:hAnsi="Arial" w:cs="Arial"/>
          <w:lang w:eastAsia="en-GB"/>
        </w:rPr>
        <w:t xml:space="preserve">. Alternatively, if the objectives </w:t>
      </w:r>
      <w:r w:rsidR="00193068">
        <w:rPr>
          <w:rFonts w:ascii="Arial" w:hAnsi="Arial" w:cs="Arial"/>
          <w:lang w:eastAsia="en-GB"/>
        </w:rPr>
        <w:t>and commodity market</w:t>
      </w:r>
      <w:r w:rsidR="003675B3">
        <w:rPr>
          <w:rFonts w:ascii="Arial" w:hAnsi="Arial" w:cs="Arial"/>
          <w:lang w:eastAsia="en-GB"/>
        </w:rPr>
        <w:t>s</w:t>
      </w:r>
      <w:r w:rsidR="00193068">
        <w:rPr>
          <w:rFonts w:ascii="Arial" w:hAnsi="Arial" w:cs="Arial"/>
          <w:lang w:eastAsia="en-GB"/>
        </w:rPr>
        <w:t xml:space="preserve"> </w:t>
      </w:r>
      <w:r w:rsidR="004A10FD" w:rsidRPr="006D6107">
        <w:rPr>
          <w:rFonts w:ascii="Arial" w:hAnsi="Arial" w:cs="Arial"/>
          <w:lang w:eastAsia="en-GB"/>
        </w:rPr>
        <w:t>have changed,</w:t>
      </w:r>
      <w:r w:rsidR="001014C8">
        <w:rPr>
          <w:rFonts w:ascii="Arial" w:hAnsi="Arial" w:cs="Arial"/>
          <w:lang w:eastAsia="en-GB"/>
        </w:rPr>
        <w:t xml:space="preserve"> then</w:t>
      </w:r>
      <w:r w:rsidR="004A10FD" w:rsidRPr="006D6107">
        <w:rPr>
          <w:rFonts w:ascii="Arial" w:hAnsi="Arial" w:cs="Arial"/>
          <w:lang w:eastAsia="en-GB"/>
        </w:rPr>
        <w:t xml:space="preserve"> the exchange rate might no longer align with its equilibrium or the objectives (either overvalued or undervalued).</w:t>
      </w:r>
    </w:p>
    <w:p w14:paraId="0117EDCA" w14:textId="35EA50FB" w:rsidR="009F7CE8" w:rsidRDefault="009F7CE8" w:rsidP="0066301C">
      <w:pPr>
        <w:spacing w:line="360" w:lineRule="auto"/>
        <w:jc w:val="both"/>
        <w:rPr>
          <w:rFonts w:ascii="Arial" w:hAnsi="Arial" w:cs="Arial"/>
        </w:rPr>
      </w:pPr>
      <w:bookmarkStart w:id="68" w:name="_Hlk170223440"/>
      <w:r w:rsidRPr="00DF73B2">
        <w:rPr>
          <w:rFonts w:ascii="Arial" w:hAnsi="Arial" w:cs="Arial"/>
        </w:rPr>
        <w:t xml:space="preserve">In a light manner, assessing the </w:t>
      </w:r>
      <w:bookmarkEnd w:id="63"/>
      <w:r w:rsidRPr="00DF73B2">
        <w:rPr>
          <w:rFonts w:ascii="Arial" w:hAnsi="Arial" w:cs="Arial"/>
        </w:rPr>
        <w:t xml:space="preserve">competitiveness of the CFA zone requires quantitative analysis of the actual and equilibrium </w:t>
      </w:r>
      <w:r w:rsidR="00193068">
        <w:rPr>
          <w:rFonts w:ascii="Arial" w:hAnsi="Arial" w:cs="Arial"/>
        </w:rPr>
        <w:t>REER</w:t>
      </w:r>
      <w:r w:rsidR="005935D9">
        <w:rPr>
          <w:rFonts w:ascii="Arial" w:hAnsi="Arial" w:cs="Arial"/>
        </w:rPr>
        <w:t>,</w:t>
      </w:r>
      <w:r w:rsidRPr="00DF73B2">
        <w:rPr>
          <w:rFonts w:ascii="Arial" w:hAnsi="Arial" w:cs="Arial"/>
        </w:rPr>
        <w:t xml:space="preserve"> as well as adjustments of macroeconomic fundamentals to corresponding exchange imbalances. Previous empirical work on the CFA franc currency valuation focused on the first few years after the 1994 devaluation, with specific interest in some studies on how </w:t>
      </w:r>
      <w:r w:rsidR="007B1CDB">
        <w:rPr>
          <w:rFonts w:ascii="Arial" w:hAnsi="Arial" w:cs="Arial"/>
        </w:rPr>
        <w:t>R</w:t>
      </w:r>
      <w:r w:rsidR="00C170B6">
        <w:rPr>
          <w:rFonts w:ascii="Arial" w:hAnsi="Arial" w:cs="Arial"/>
        </w:rPr>
        <w:t>E</w:t>
      </w:r>
      <w:r w:rsidR="007B1CDB">
        <w:rPr>
          <w:rFonts w:ascii="Arial" w:hAnsi="Arial" w:cs="Arial"/>
        </w:rPr>
        <w:t xml:space="preserve">ER </w:t>
      </w:r>
      <w:r w:rsidRPr="00DF73B2">
        <w:rPr>
          <w:rFonts w:ascii="Arial" w:hAnsi="Arial" w:cs="Arial"/>
        </w:rPr>
        <w:t xml:space="preserve">misalignments were corrected by the 1994 change in parity (Ahlers &amp; Hinkle, 1999). To the best of my knowledge, studies on the effects of the recent appreciation of the euro on the CFA franc are scanty. Time series studies on the state of the CFA franc in the CEMAC zone did not consider all the nations in the region. Asongu and Nnanna (2020) used four CEMAC nations (Cameroon, Central Africa Republic, Gabon, and Equatorial Guinea) to </w:t>
      </w:r>
      <w:r w:rsidRPr="00DF73B2">
        <w:rPr>
          <w:rFonts w:ascii="Arial" w:hAnsi="Arial" w:cs="Arial"/>
        </w:rPr>
        <w:lastRenderedPageBreak/>
        <w:t>investigate the state of the CFA franc. Without looking at the other 2 CEMAC nations (Chad and Congo), we will not be able to ascertain the state of the CFA franc</w:t>
      </w:r>
      <w:r w:rsidR="005935D9">
        <w:rPr>
          <w:rFonts w:ascii="Arial" w:hAnsi="Arial" w:cs="Arial"/>
        </w:rPr>
        <w:t xml:space="preserve"> in the entire region</w:t>
      </w:r>
      <w:r w:rsidRPr="00DF73B2">
        <w:rPr>
          <w:rFonts w:ascii="Arial" w:hAnsi="Arial" w:cs="Arial"/>
        </w:rPr>
        <w:t>. While panel-based results as presented by Abdih &amp; Tsangarides (2010)</w:t>
      </w:r>
      <w:r w:rsidR="003675B3">
        <w:rPr>
          <w:rFonts w:ascii="Arial" w:hAnsi="Arial" w:cs="Arial"/>
        </w:rPr>
        <w:t>,</w:t>
      </w:r>
      <w:r w:rsidRPr="00DF73B2">
        <w:rPr>
          <w:rFonts w:ascii="Arial" w:hAnsi="Arial" w:cs="Arial"/>
        </w:rPr>
        <w:t xml:space="preserve"> are essential, they fail to account for country-specific dynamics that could have pertinent policy implications. This is because macroeconomic fundamentals could differ across CFA franc nations, as in the euro crisis. </w:t>
      </w:r>
      <w:r w:rsidR="004E2243">
        <w:rPr>
          <w:rFonts w:ascii="Arial" w:hAnsi="Arial" w:cs="Arial"/>
        </w:rPr>
        <w:t>T</w:t>
      </w:r>
      <w:r w:rsidRPr="00DF73B2">
        <w:rPr>
          <w:rFonts w:ascii="Arial" w:hAnsi="Arial" w:cs="Arial"/>
        </w:rPr>
        <w:t>here is a necessity for country-specific analyses to complement existing literature.</w:t>
      </w:r>
      <w:r w:rsidR="004E2243" w:rsidRPr="004E2243">
        <w:rPr>
          <w:rFonts w:ascii="Arial" w:hAnsi="Arial" w:cs="Arial"/>
        </w:rPr>
        <w:t xml:space="preserve"> </w:t>
      </w:r>
      <w:r w:rsidR="004E2243" w:rsidRPr="00DF73B2">
        <w:rPr>
          <w:rFonts w:ascii="Arial" w:hAnsi="Arial" w:cs="Arial"/>
        </w:rPr>
        <w:t>Thus,</w:t>
      </w:r>
      <w:r w:rsidR="004E2243">
        <w:rPr>
          <w:rFonts w:ascii="Arial" w:hAnsi="Arial" w:cs="Arial"/>
        </w:rPr>
        <w:t xml:space="preserve"> in this research, we will be analysing the state of the CFA franc in all the six CEMAC nations</w:t>
      </w:r>
      <w:r w:rsidR="003675B3">
        <w:rPr>
          <w:rFonts w:ascii="Arial" w:hAnsi="Arial" w:cs="Arial"/>
        </w:rPr>
        <w:t>, instead of some of the nations</w:t>
      </w:r>
      <w:r w:rsidR="00143AF9">
        <w:rPr>
          <w:rFonts w:ascii="Arial" w:hAnsi="Arial" w:cs="Arial"/>
        </w:rPr>
        <w:t>. This will give us a vivid inside of the CFA franc in the CEMAC region</w:t>
      </w:r>
      <w:r w:rsidR="004E2243">
        <w:rPr>
          <w:rFonts w:ascii="Arial" w:hAnsi="Arial" w:cs="Arial"/>
        </w:rPr>
        <w:t>.</w:t>
      </w:r>
    </w:p>
    <w:p w14:paraId="1C953041" w14:textId="39705324" w:rsidR="00AB74A4" w:rsidRDefault="00300871" w:rsidP="0066301C">
      <w:pPr>
        <w:widowControl w:val="0"/>
        <w:autoSpaceDE w:val="0"/>
        <w:autoSpaceDN w:val="0"/>
        <w:adjustRightInd w:val="0"/>
        <w:spacing w:after="240" w:line="360" w:lineRule="auto"/>
        <w:jc w:val="both"/>
        <w:rPr>
          <w:rFonts w:ascii="Arial" w:hAnsi="Arial" w:cs="Arial"/>
        </w:rPr>
      </w:pPr>
      <w:r w:rsidRPr="00300871">
        <w:rPr>
          <w:rFonts w:ascii="Arial" w:hAnsi="Arial" w:cs="Arial"/>
        </w:rPr>
        <w:t>It is highly contested among economist</w:t>
      </w:r>
      <w:r w:rsidR="00C9405E">
        <w:rPr>
          <w:rFonts w:ascii="Arial" w:hAnsi="Arial" w:cs="Arial"/>
        </w:rPr>
        <w:t>s</w:t>
      </w:r>
      <w:r w:rsidRPr="00300871">
        <w:rPr>
          <w:rFonts w:ascii="Arial" w:hAnsi="Arial" w:cs="Arial"/>
        </w:rPr>
        <w:t xml:space="preserve"> that currency devaluation improves a nation’s TB deficit</w:t>
      </w:r>
      <w:r w:rsidR="003675B3">
        <w:rPr>
          <w:rFonts w:ascii="Arial" w:hAnsi="Arial" w:cs="Arial"/>
        </w:rPr>
        <w:t>.</w:t>
      </w:r>
      <w:r w:rsidRPr="00300871">
        <w:rPr>
          <w:rFonts w:ascii="Arial" w:hAnsi="Arial" w:cs="Arial"/>
        </w:rPr>
        <w:t xml:space="preserve"> </w:t>
      </w:r>
      <w:r w:rsidR="007B1CDB" w:rsidRPr="00164A47">
        <w:rPr>
          <w:rFonts w:ascii="Arial" w:hAnsi="Arial" w:cs="Arial"/>
          <w:lang w:val="en-US"/>
        </w:rPr>
        <w:t>A REER depreciation could lead to the deterioration of the TB in the short-run, while improving the TB in the long-run (</w:t>
      </w:r>
      <w:r w:rsidR="007B1CDB" w:rsidRPr="00164A47">
        <w:rPr>
          <w:rFonts w:ascii="Arial" w:hAnsi="Arial" w:cs="Arial"/>
          <w:i/>
          <w:iCs/>
          <w:lang w:val="en-US"/>
        </w:rPr>
        <w:t>J-</w:t>
      </w:r>
      <w:r w:rsidR="007B1CDB" w:rsidRPr="00164A47">
        <w:rPr>
          <w:rFonts w:ascii="Arial" w:hAnsi="Arial" w:cs="Arial"/>
          <w:lang w:val="en-US"/>
        </w:rPr>
        <w:t>curve</w:t>
      </w:r>
      <w:r w:rsidR="00522D4D" w:rsidRPr="00164A47">
        <w:rPr>
          <w:rFonts w:ascii="Arial" w:hAnsi="Arial" w:cs="Arial"/>
          <w:lang w:val="en-US"/>
        </w:rPr>
        <w:t xml:space="preserve"> effect</w:t>
      </w:r>
      <w:r w:rsidR="007B1CDB" w:rsidRPr="00164A47">
        <w:rPr>
          <w:rFonts w:ascii="Arial" w:hAnsi="Arial" w:cs="Arial"/>
          <w:lang w:val="en-US"/>
        </w:rPr>
        <w:t>)</w:t>
      </w:r>
      <w:r w:rsidR="00522D4D" w:rsidRPr="00164A47">
        <w:rPr>
          <w:rFonts w:ascii="Arial" w:hAnsi="Arial" w:cs="Arial"/>
          <w:lang w:val="en-US"/>
        </w:rPr>
        <w:t xml:space="preserve">. </w:t>
      </w:r>
      <w:r w:rsidR="007B1CDB">
        <w:rPr>
          <w:rFonts w:ascii="Arial" w:hAnsi="Arial" w:cs="Arial"/>
          <w:lang w:val="en-US"/>
        </w:rPr>
        <w:t>The CFA devaluation was meant to improve CEMAC nations’ TB.</w:t>
      </w:r>
      <w:r w:rsidR="007B1CDB" w:rsidRPr="007B1CDB">
        <w:rPr>
          <w:rFonts w:ascii="Arial" w:hAnsi="Arial" w:cs="Arial"/>
        </w:rPr>
        <w:t xml:space="preserve"> </w:t>
      </w:r>
      <w:r w:rsidR="007B1CDB" w:rsidRPr="008204CC">
        <w:rPr>
          <w:rFonts w:ascii="Arial" w:hAnsi="Arial" w:cs="Arial"/>
        </w:rPr>
        <w:t>Lot</w:t>
      </w:r>
      <w:r w:rsidR="007B1CDB">
        <w:rPr>
          <w:rFonts w:ascii="Arial" w:hAnsi="Arial" w:cs="Arial"/>
        </w:rPr>
        <w:t>s</w:t>
      </w:r>
      <w:r w:rsidR="007B1CDB" w:rsidRPr="008204CC">
        <w:rPr>
          <w:rFonts w:ascii="Arial" w:hAnsi="Arial" w:cs="Arial"/>
        </w:rPr>
        <w:t xml:space="preserve"> of empirical analysis on the </w:t>
      </w:r>
      <w:r w:rsidR="007B1CDB">
        <w:rPr>
          <w:rFonts w:ascii="Arial" w:hAnsi="Arial" w:cs="Arial"/>
          <w:i/>
          <w:iCs/>
        </w:rPr>
        <w:t>J-</w:t>
      </w:r>
      <w:r w:rsidR="007B1CDB">
        <w:rPr>
          <w:rFonts w:ascii="Arial" w:hAnsi="Arial" w:cs="Arial"/>
        </w:rPr>
        <w:t xml:space="preserve">curve hypothesis </w:t>
      </w:r>
      <w:r w:rsidR="00422FF2">
        <w:rPr>
          <w:rFonts w:ascii="Arial" w:hAnsi="Arial" w:cs="Arial"/>
        </w:rPr>
        <w:t>have</w:t>
      </w:r>
      <w:r w:rsidR="007B1CDB">
        <w:rPr>
          <w:rFonts w:ascii="Arial" w:hAnsi="Arial" w:cs="Arial"/>
        </w:rPr>
        <w:t xml:space="preserve"> mixed</w:t>
      </w:r>
      <w:r w:rsidR="00422FF2">
        <w:rPr>
          <w:rFonts w:ascii="Arial" w:hAnsi="Arial" w:cs="Arial"/>
        </w:rPr>
        <w:t xml:space="preserve"> results</w:t>
      </w:r>
      <w:r w:rsidR="007B1CDB">
        <w:rPr>
          <w:rFonts w:ascii="Arial" w:hAnsi="Arial" w:cs="Arial"/>
        </w:rPr>
        <w:t xml:space="preserve">. Studies on the </w:t>
      </w:r>
      <w:r w:rsidR="007B1CDB" w:rsidRPr="008204CC">
        <w:rPr>
          <w:rFonts w:ascii="Arial" w:hAnsi="Arial" w:cs="Arial"/>
        </w:rPr>
        <w:t xml:space="preserve">impact of exchange rate movements on the </w:t>
      </w:r>
      <w:r w:rsidR="00143AF9">
        <w:rPr>
          <w:rFonts w:ascii="Arial" w:hAnsi="Arial" w:cs="Arial"/>
        </w:rPr>
        <w:t xml:space="preserve">TB </w:t>
      </w:r>
      <w:r w:rsidR="007B1CDB" w:rsidRPr="008204CC">
        <w:rPr>
          <w:rFonts w:ascii="Arial" w:hAnsi="Arial" w:cs="Arial"/>
        </w:rPr>
        <w:t xml:space="preserve">are still in considerable disagreement on the relationships between these economic variables and the effectiveness of currency devaluation as a tool for improving the </w:t>
      </w:r>
      <w:r w:rsidR="007B1CDB">
        <w:rPr>
          <w:rFonts w:ascii="Arial" w:hAnsi="Arial" w:cs="Arial"/>
        </w:rPr>
        <w:t>TB</w:t>
      </w:r>
      <w:r w:rsidR="007B1CDB" w:rsidRPr="008204CC">
        <w:rPr>
          <w:rFonts w:ascii="Arial" w:hAnsi="Arial" w:cs="Arial"/>
        </w:rPr>
        <w:t xml:space="preserve"> of a nation</w:t>
      </w:r>
      <w:r w:rsidR="007B1CDB">
        <w:rPr>
          <w:rFonts w:ascii="Arial" w:hAnsi="Arial" w:cs="Arial"/>
        </w:rPr>
        <w:t xml:space="preserve">. </w:t>
      </w:r>
      <w:r w:rsidR="00F54626">
        <w:rPr>
          <w:rFonts w:ascii="Arial" w:hAnsi="Arial" w:cs="Arial"/>
        </w:rPr>
        <w:t>Most empirical analyses used either the Aggregate Trade Data Approach by Magee (1973) or the Bilateral Aggregate Trade Data Approach by Rose and Yellen (1989)</w:t>
      </w:r>
      <w:r w:rsidR="00086749">
        <w:rPr>
          <w:rFonts w:ascii="Arial" w:hAnsi="Arial" w:cs="Arial"/>
        </w:rPr>
        <w:t xml:space="preserve"> to investigate for the presence of the </w:t>
      </w:r>
      <w:r w:rsidR="00086749">
        <w:rPr>
          <w:rFonts w:ascii="Arial" w:hAnsi="Arial" w:cs="Arial"/>
          <w:i/>
          <w:iCs/>
        </w:rPr>
        <w:t>J-</w:t>
      </w:r>
      <w:r w:rsidR="00086749">
        <w:rPr>
          <w:rFonts w:ascii="Arial" w:hAnsi="Arial" w:cs="Arial"/>
        </w:rPr>
        <w:t xml:space="preserve">curve in </w:t>
      </w:r>
      <w:r w:rsidR="00422FF2">
        <w:rPr>
          <w:rFonts w:ascii="Arial" w:hAnsi="Arial" w:cs="Arial"/>
        </w:rPr>
        <w:t>a nation’s</w:t>
      </w:r>
      <w:r w:rsidR="00086749">
        <w:rPr>
          <w:rFonts w:ascii="Arial" w:hAnsi="Arial" w:cs="Arial"/>
        </w:rPr>
        <w:t xml:space="preserve"> TB</w:t>
      </w:r>
      <w:r w:rsidR="00F54626">
        <w:rPr>
          <w:rFonts w:ascii="Arial" w:hAnsi="Arial" w:cs="Arial"/>
        </w:rPr>
        <w:t xml:space="preserve">. </w:t>
      </w:r>
      <w:r w:rsidR="00086749">
        <w:rPr>
          <w:rFonts w:ascii="Arial" w:hAnsi="Arial" w:cs="Arial"/>
        </w:rPr>
        <w:t xml:space="preserve">However, in this research, we shall be using both </w:t>
      </w:r>
      <w:r w:rsidR="00F13FA4">
        <w:rPr>
          <w:rFonts w:ascii="Arial" w:hAnsi="Arial" w:cs="Arial"/>
        </w:rPr>
        <w:t xml:space="preserve">approaches. The </w:t>
      </w:r>
      <w:r w:rsidR="00086749">
        <w:rPr>
          <w:rFonts w:ascii="Arial" w:hAnsi="Arial" w:cs="Arial"/>
        </w:rPr>
        <w:t xml:space="preserve">Aggregate Trade Data Approach </w:t>
      </w:r>
      <w:r w:rsidR="00F13FA4">
        <w:rPr>
          <w:rFonts w:ascii="Arial" w:hAnsi="Arial" w:cs="Arial"/>
        </w:rPr>
        <w:t xml:space="preserve">will give us an understanding if CFA devaluation is a good policy tool to improve the nations’ TB. While the Bilateral Aggregate Trade Data Approach will help us understand which trade partners have the </w:t>
      </w:r>
      <w:r w:rsidR="00F13FA4">
        <w:rPr>
          <w:rFonts w:ascii="Arial" w:hAnsi="Arial" w:cs="Arial"/>
          <w:i/>
          <w:iCs/>
        </w:rPr>
        <w:t>J-</w:t>
      </w:r>
      <w:r w:rsidR="00F13FA4">
        <w:rPr>
          <w:rFonts w:ascii="Arial" w:hAnsi="Arial" w:cs="Arial"/>
        </w:rPr>
        <w:t>curve in their TB</w:t>
      </w:r>
      <w:r w:rsidR="00AB74A4">
        <w:rPr>
          <w:rFonts w:ascii="Arial" w:hAnsi="Arial" w:cs="Arial"/>
        </w:rPr>
        <w:t>, so</w:t>
      </w:r>
      <w:r w:rsidR="00F13FA4">
        <w:rPr>
          <w:rFonts w:ascii="Arial" w:hAnsi="Arial" w:cs="Arial"/>
        </w:rPr>
        <w:t xml:space="preserve"> to </w:t>
      </w:r>
      <w:r w:rsidR="00AB74A4">
        <w:rPr>
          <w:rFonts w:ascii="Arial" w:hAnsi="Arial" w:cs="Arial"/>
        </w:rPr>
        <w:t xml:space="preserve">make informed policy decision on which partner to engage more with. </w:t>
      </w:r>
    </w:p>
    <w:p w14:paraId="353DE872" w14:textId="281BD5C4" w:rsidR="00D97F53" w:rsidRPr="00DB767A" w:rsidRDefault="00422FF2" w:rsidP="0066301C">
      <w:pPr>
        <w:widowControl w:val="0"/>
        <w:autoSpaceDE w:val="0"/>
        <w:autoSpaceDN w:val="0"/>
        <w:adjustRightInd w:val="0"/>
        <w:spacing w:after="240" w:line="360" w:lineRule="auto"/>
        <w:jc w:val="both"/>
        <w:rPr>
          <w:rFonts w:ascii="Arial" w:hAnsi="Arial" w:cs="Arial"/>
        </w:rPr>
      </w:pPr>
      <w:r>
        <w:rPr>
          <w:rFonts w:ascii="Arial" w:hAnsi="Arial" w:cs="Arial"/>
        </w:rPr>
        <w:t>I</w:t>
      </w:r>
      <w:r w:rsidR="00915CFF">
        <w:rPr>
          <w:rFonts w:ascii="Arial" w:hAnsi="Arial" w:cs="Arial"/>
        </w:rPr>
        <w:t>n</w:t>
      </w:r>
      <w:r>
        <w:rPr>
          <w:rFonts w:ascii="Arial" w:hAnsi="Arial" w:cs="Arial"/>
        </w:rPr>
        <w:t xml:space="preserve"> his work, </w:t>
      </w:r>
      <w:r w:rsidR="004876A7" w:rsidRPr="0096715F">
        <w:rPr>
          <w:rFonts w:ascii="Arial" w:hAnsi="Arial" w:cs="Arial"/>
        </w:rPr>
        <w:t xml:space="preserve">Rodrik (2008) stated that RER undervaluation promotes </w:t>
      </w:r>
      <w:r w:rsidR="00DB767A" w:rsidRPr="0096715F">
        <w:rPr>
          <w:rFonts w:ascii="Arial" w:hAnsi="Arial" w:cs="Arial"/>
        </w:rPr>
        <w:t xml:space="preserve">developing nations </w:t>
      </w:r>
      <w:r w:rsidR="004876A7" w:rsidRPr="0096715F">
        <w:rPr>
          <w:rFonts w:ascii="Arial" w:hAnsi="Arial" w:cs="Arial"/>
        </w:rPr>
        <w:t>economic growth, and overvaluation harms it. However, other empirical results do not support the conclusion that an undervalued RER contributes to economic growth. Easterly (2005) review of the updated Dollar (1997) measure of currency devaluation concludes that RER devaluation was insignificant as a determinant of economic growth. Acemoglu </w:t>
      </w:r>
      <w:r w:rsidR="004876A7" w:rsidRPr="0096715F">
        <w:rPr>
          <w:rStyle w:val="Emphasis"/>
          <w:rFonts w:ascii="Arial" w:hAnsi="Arial" w:cs="Arial"/>
          <w:color w:val="0E101A"/>
        </w:rPr>
        <w:t>et al.</w:t>
      </w:r>
      <w:r w:rsidR="004876A7" w:rsidRPr="0096715F">
        <w:rPr>
          <w:rFonts w:ascii="Arial" w:hAnsi="Arial" w:cs="Arial"/>
        </w:rPr>
        <w:t> (2003) and the IMF (2005) also reached this conclusion, and that the outcome was even weaker when institutions were introduced in the growth model.</w:t>
      </w:r>
      <w:r w:rsidR="00DB767A" w:rsidRPr="00DB767A">
        <w:rPr>
          <w:rFonts w:ascii="Arial" w:hAnsi="Arial" w:cs="Arial"/>
          <w:lang w:eastAsia="en-GB"/>
        </w:rPr>
        <w:t xml:space="preserve"> </w:t>
      </w:r>
      <w:r w:rsidR="003962D0">
        <w:rPr>
          <w:rFonts w:ascii="Arial" w:hAnsi="Arial" w:cs="Arial"/>
          <w:lang w:eastAsia="en-GB"/>
        </w:rPr>
        <w:t>It is believed that the</w:t>
      </w:r>
      <w:r w:rsidR="00DB767A" w:rsidRPr="00ED7498">
        <w:rPr>
          <w:rFonts w:ascii="Arial" w:hAnsi="Arial" w:cs="Arial"/>
          <w:lang w:eastAsia="en-GB"/>
        </w:rPr>
        <w:t xml:space="preserve"> 1994 CFA franc devaluation and the implementation of the structural adjustment program (SAP) in the mid-1990s led to economic austerity, which the FCFA nations still struggle to escape (Dongfack &amp; Ouyang, 2019).</w:t>
      </w:r>
      <w:r w:rsidR="00DB767A">
        <w:rPr>
          <w:rFonts w:ascii="Arial" w:hAnsi="Arial" w:cs="Arial"/>
          <w:lang w:eastAsia="en-GB"/>
        </w:rPr>
        <w:t xml:space="preserve"> </w:t>
      </w:r>
      <w:bookmarkStart w:id="69" w:name="_Hlk170833037"/>
      <w:r w:rsidR="003962D0">
        <w:rPr>
          <w:rFonts w:ascii="Arial" w:hAnsi="Arial" w:cs="Arial"/>
          <w:lang w:eastAsia="en-GB"/>
        </w:rPr>
        <w:t>However, the</w:t>
      </w:r>
      <w:r w:rsidR="00DB767A">
        <w:rPr>
          <w:rFonts w:ascii="Arial" w:hAnsi="Arial" w:cs="Arial"/>
        </w:rPr>
        <w:t xml:space="preserve"> devaluation was meant to improve the region’s economic growth. As such, we will investigate if there is a relationship between CFA franc and the </w:t>
      </w:r>
      <w:r>
        <w:rPr>
          <w:rFonts w:ascii="Arial" w:hAnsi="Arial" w:cs="Arial"/>
        </w:rPr>
        <w:t xml:space="preserve">region’s </w:t>
      </w:r>
      <w:r w:rsidR="00DB767A">
        <w:rPr>
          <w:rFonts w:ascii="Arial" w:hAnsi="Arial" w:cs="Arial"/>
        </w:rPr>
        <w:t>economic growth</w:t>
      </w:r>
      <w:r w:rsidR="003962D0">
        <w:rPr>
          <w:rFonts w:ascii="Arial" w:hAnsi="Arial" w:cs="Arial"/>
        </w:rPr>
        <w:t>.</w:t>
      </w:r>
      <w:r w:rsidR="00DB767A">
        <w:rPr>
          <w:rFonts w:ascii="Arial" w:hAnsi="Arial" w:cs="Arial"/>
        </w:rPr>
        <w:t xml:space="preserve"> </w:t>
      </w:r>
      <w:r w:rsidR="003962D0">
        <w:rPr>
          <w:rFonts w:ascii="Arial" w:hAnsi="Arial" w:cs="Arial"/>
        </w:rPr>
        <w:t>F</w:t>
      </w:r>
      <w:r w:rsidR="00D97F53" w:rsidRPr="00D97F53">
        <w:rPr>
          <w:rFonts w:ascii="Arial" w:hAnsi="Arial" w:cs="Arial"/>
          <w:color w:val="0E101A"/>
        </w:rPr>
        <w:t>or all these to be addressed, the following research questions will have to be answered:</w:t>
      </w:r>
      <w:bookmarkEnd w:id="69"/>
    </w:p>
    <w:p w14:paraId="01A38708" w14:textId="77777777" w:rsidR="00EC52FB" w:rsidRPr="008204CC" w:rsidRDefault="00EC52FB" w:rsidP="0066301C">
      <w:pPr>
        <w:spacing w:after="100" w:afterAutospacing="1" w:line="240" w:lineRule="auto"/>
        <w:rPr>
          <w:rFonts w:ascii="Arial" w:eastAsia="Times New Roman" w:hAnsi="Arial" w:cs="Arial"/>
          <w:color w:val="000000"/>
          <w:lang w:eastAsia="en-GB"/>
        </w:rPr>
      </w:pPr>
      <w:bookmarkStart w:id="70" w:name="_Hlk170833015"/>
      <w:r w:rsidRPr="008204CC">
        <w:rPr>
          <w:rFonts w:ascii="Arial" w:eastAsia="Times New Roman" w:hAnsi="Arial" w:cs="Arial"/>
          <w:color w:val="000000"/>
          <w:lang w:eastAsia="en-GB"/>
        </w:rPr>
        <w:lastRenderedPageBreak/>
        <w:t>1)</w:t>
      </w:r>
      <w:r w:rsidRPr="008204CC">
        <w:rPr>
          <w:rFonts w:ascii="Arial" w:eastAsia="Times New Roman" w:hAnsi="Arial" w:cs="Arial"/>
          <w:color w:val="000000"/>
          <w:lang w:eastAsia="en-GB"/>
        </w:rPr>
        <w:tab/>
        <w:t>Is there a real exchange rate misalignment problem in the CEMAC nations?</w:t>
      </w:r>
    </w:p>
    <w:p w14:paraId="797FFA98" w14:textId="1231266F" w:rsidR="00EC52FB" w:rsidRPr="008204CC" w:rsidRDefault="00EC52FB" w:rsidP="0066301C">
      <w:pPr>
        <w:spacing w:after="100" w:afterAutospacing="1" w:line="240" w:lineRule="auto"/>
        <w:ind w:left="720" w:hanging="720"/>
        <w:rPr>
          <w:rFonts w:ascii="Arial" w:eastAsia="Times New Roman" w:hAnsi="Arial" w:cs="Arial"/>
          <w:color w:val="000000"/>
          <w:lang w:eastAsia="en-GB"/>
        </w:rPr>
      </w:pPr>
      <w:r w:rsidRPr="008204CC">
        <w:rPr>
          <w:rFonts w:ascii="Arial" w:eastAsia="Times New Roman" w:hAnsi="Arial" w:cs="Arial"/>
          <w:color w:val="000000"/>
          <w:lang w:eastAsia="en-GB"/>
        </w:rPr>
        <w:t xml:space="preserve">2) </w:t>
      </w:r>
      <w:r w:rsidRPr="008204CC">
        <w:rPr>
          <w:rFonts w:ascii="Arial" w:eastAsia="Times New Roman" w:hAnsi="Arial" w:cs="Arial"/>
          <w:color w:val="000000"/>
          <w:lang w:eastAsia="en-GB"/>
        </w:rPr>
        <w:tab/>
        <w:t xml:space="preserve">Is there </w:t>
      </w:r>
      <w:r w:rsidR="009862E8">
        <w:rPr>
          <w:rFonts w:ascii="Arial" w:eastAsia="Times New Roman" w:hAnsi="Arial" w:cs="Arial"/>
          <w:color w:val="000000"/>
          <w:lang w:eastAsia="en-GB"/>
        </w:rPr>
        <w:t xml:space="preserve">a </w:t>
      </w:r>
      <w:r w:rsidRPr="008204CC">
        <w:rPr>
          <w:rFonts w:ascii="Arial" w:eastAsia="Times New Roman" w:hAnsi="Arial" w:cs="Arial"/>
          <w:color w:val="000000"/>
          <w:lang w:eastAsia="en-GB"/>
        </w:rPr>
        <w:t>relationship between the RE</w:t>
      </w:r>
      <w:r w:rsidR="00DD1DE3">
        <w:rPr>
          <w:rFonts w:ascii="Arial" w:eastAsia="Times New Roman" w:hAnsi="Arial" w:cs="Arial"/>
          <w:color w:val="000000"/>
          <w:lang w:eastAsia="en-GB"/>
        </w:rPr>
        <w:t>E</w:t>
      </w:r>
      <w:r w:rsidRPr="008204CC">
        <w:rPr>
          <w:rFonts w:ascii="Arial" w:eastAsia="Times New Roman" w:hAnsi="Arial" w:cs="Arial"/>
          <w:color w:val="000000"/>
          <w:lang w:eastAsia="en-GB"/>
        </w:rPr>
        <w:t xml:space="preserve">R and the TB </w:t>
      </w:r>
      <w:r w:rsidR="0045396C">
        <w:rPr>
          <w:rFonts w:ascii="Arial" w:eastAsia="Times New Roman" w:hAnsi="Arial" w:cs="Arial"/>
          <w:color w:val="000000"/>
          <w:lang w:eastAsia="en-GB"/>
        </w:rPr>
        <w:t xml:space="preserve">in </w:t>
      </w:r>
      <w:r w:rsidRPr="008204CC">
        <w:rPr>
          <w:rFonts w:ascii="Arial" w:eastAsia="Times New Roman" w:hAnsi="Arial" w:cs="Arial"/>
          <w:color w:val="000000"/>
          <w:lang w:eastAsia="en-GB"/>
        </w:rPr>
        <w:t>the CEMAC nations?</w:t>
      </w:r>
    </w:p>
    <w:p w14:paraId="3DBD9E5E" w14:textId="0F6EB8E6" w:rsidR="00EC52FB" w:rsidRPr="008204CC" w:rsidRDefault="00EC52FB" w:rsidP="0066301C">
      <w:pPr>
        <w:spacing w:after="100" w:afterAutospacing="1" w:line="240" w:lineRule="auto"/>
        <w:ind w:left="709" w:hanging="709"/>
        <w:rPr>
          <w:rFonts w:ascii="Arial" w:eastAsia="Times New Roman" w:hAnsi="Arial" w:cs="Arial"/>
          <w:color w:val="000000"/>
          <w:lang w:eastAsia="en-GB"/>
        </w:rPr>
      </w:pPr>
      <w:r>
        <w:rPr>
          <w:rFonts w:ascii="Arial" w:eastAsia="Times New Roman" w:hAnsi="Arial" w:cs="Arial"/>
          <w:color w:val="000000"/>
          <w:lang w:eastAsia="en-GB"/>
        </w:rPr>
        <w:t>3)</w:t>
      </w:r>
      <w:r>
        <w:rPr>
          <w:rFonts w:ascii="Arial" w:eastAsia="Times New Roman" w:hAnsi="Arial" w:cs="Arial"/>
          <w:color w:val="000000"/>
          <w:lang w:eastAsia="en-GB"/>
        </w:rPr>
        <w:tab/>
        <w:t>Is there a relationship between the RE</w:t>
      </w:r>
      <w:r w:rsidR="009862E8">
        <w:rPr>
          <w:rFonts w:ascii="Arial" w:eastAsia="Times New Roman" w:hAnsi="Arial" w:cs="Arial"/>
          <w:color w:val="000000"/>
          <w:lang w:eastAsia="en-GB"/>
        </w:rPr>
        <w:t>E</w:t>
      </w:r>
      <w:r>
        <w:rPr>
          <w:rFonts w:ascii="Arial" w:eastAsia="Times New Roman" w:hAnsi="Arial" w:cs="Arial"/>
          <w:color w:val="000000"/>
          <w:lang w:eastAsia="en-GB"/>
        </w:rPr>
        <w:t xml:space="preserve">R and economic growth </w:t>
      </w:r>
      <w:r w:rsidR="0091136D">
        <w:rPr>
          <w:rFonts w:ascii="Arial" w:eastAsia="Times New Roman" w:hAnsi="Arial" w:cs="Arial"/>
          <w:color w:val="000000"/>
          <w:lang w:eastAsia="en-GB"/>
        </w:rPr>
        <w:t xml:space="preserve">in the CEMAC </w:t>
      </w:r>
      <w:r w:rsidR="00965573">
        <w:rPr>
          <w:rFonts w:ascii="Arial" w:eastAsia="Times New Roman" w:hAnsi="Arial" w:cs="Arial"/>
          <w:color w:val="000000"/>
          <w:lang w:eastAsia="en-GB"/>
        </w:rPr>
        <w:t>Zone</w:t>
      </w:r>
      <w:r>
        <w:rPr>
          <w:rFonts w:ascii="Arial" w:eastAsia="Times New Roman" w:hAnsi="Arial" w:cs="Arial"/>
          <w:color w:val="000000"/>
          <w:lang w:eastAsia="en-GB"/>
        </w:rPr>
        <w:t>?</w:t>
      </w:r>
    </w:p>
    <w:p w14:paraId="165ED07D" w14:textId="2A757C15" w:rsidR="00EC52FB" w:rsidRPr="005F0C25" w:rsidRDefault="00BF7AB3" w:rsidP="0066301C">
      <w:pPr>
        <w:pStyle w:val="Heading2"/>
        <w:spacing w:before="0" w:beforeAutospacing="0"/>
      </w:pPr>
      <w:bookmarkStart w:id="71" w:name="_Toc84713924"/>
      <w:bookmarkStart w:id="72" w:name="_Toc171075356"/>
      <w:bookmarkEnd w:id="64"/>
      <w:bookmarkEnd w:id="67"/>
      <w:bookmarkEnd w:id="70"/>
      <w:r>
        <w:t>1.</w:t>
      </w:r>
      <w:r w:rsidR="005F2FEF">
        <w:t>6</w:t>
      </w:r>
      <w:r>
        <w:tab/>
      </w:r>
      <w:r w:rsidR="00EC52FB" w:rsidRPr="005F0C25">
        <w:t>STRUCTURE OF THE THESIS</w:t>
      </w:r>
      <w:bookmarkEnd w:id="71"/>
      <w:bookmarkEnd w:id="72"/>
    </w:p>
    <w:p w14:paraId="60C00BEF" w14:textId="51860D0E" w:rsidR="0050583D" w:rsidRDefault="0050583D" w:rsidP="0066301C">
      <w:pPr>
        <w:spacing w:line="360" w:lineRule="auto"/>
        <w:jc w:val="both"/>
        <w:rPr>
          <w:rFonts w:ascii="Arial" w:hAnsi="Arial" w:cs="Arial"/>
          <w:color w:val="0E101A"/>
        </w:rPr>
      </w:pPr>
      <w:bookmarkStart w:id="73" w:name="_Hlk170226668"/>
      <w:bookmarkEnd w:id="68"/>
      <w:r w:rsidRPr="0037197E">
        <w:rPr>
          <w:rFonts w:ascii="Arial" w:hAnsi="Arial" w:cs="Arial"/>
        </w:rPr>
        <w:t xml:space="preserve">This study is organized as follows. Chapter 2 deals with the </w:t>
      </w:r>
      <w:r>
        <w:rPr>
          <w:rFonts w:ascii="Arial" w:hAnsi="Arial" w:cs="Arial"/>
          <w:color w:val="0E101A"/>
        </w:rPr>
        <w:t>theoretical arguments and empirical studies on the three empirical chapters of this thesis, which are; the equilibrium real effective exchange rate (EREER) and misalignment, the impact of REER on trade balance, and REER movement and economic growth. The chapter also look at the monetary cooperation between France and the CFA franc zone</w:t>
      </w:r>
      <w:r w:rsidR="003962D0">
        <w:rPr>
          <w:rFonts w:ascii="Arial" w:hAnsi="Arial" w:cs="Arial"/>
          <w:color w:val="0E101A"/>
        </w:rPr>
        <w:t>s</w:t>
      </w:r>
      <w:r>
        <w:rPr>
          <w:rFonts w:ascii="Arial" w:hAnsi="Arial" w:cs="Arial"/>
          <w:color w:val="0E101A"/>
        </w:rPr>
        <w:t>, and a brief history of CFA franc exchange rate.</w:t>
      </w:r>
    </w:p>
    <w:p w14:paraId="6EA35716" w14:textId="6CC98DE3" w:rsidR="00E26FB6" w:rsidRDefault="0050583D" w:rsidP="0066301C">
      <w:pPr>
        <w:spacing w:line="360" w:lineRule="auto"/>
        <w:jc w:val="both"/>
        <w:rPr>
          <w:rFonts w:ascii="Arial" w:hAnsi="Arial" w:cs="Arial"/>
        </w:rPr>
      </w:pPr>
      <w:bookmarkStart w:id="74" w:name="_Hlk170226721"/>
      <w:bookmarkEnd w:id="73"/>
      <w:r>
        <w:rPr>
          <w:rFonts w:ascii="Arial" w:hAnsi="Arial" w:cs="Arial"/>
        </w:rPr>
        <w:t>In c</w:t>
      </w:r>
      <w:r w:rsidRPr="0037197E">
        <w:rPr>
          <w:rFonts w:ascii="Arial" w:hAnsi="Arial" w:cs="Arial"/>
        </w:rPr>
        <w:t>hapter 3</w:t>
      </w:r>
      <w:r>
        <w:rPr>
          <w:rFonts w:ascii="Arial" w:hAnsi="Arial" w:cs="Arial"/>
        </w:rPr>
        <w:t>, we examine the extent to which the CFA franc is misaligned from its equilibrium level in the six CEMAC nations. This is achieve using the Behavioural Equilibrium Exchange Rate (BEER) framework of Clark and MacDonald (1998) to estimate the equilibrium value of the CFA franc consistent with economic fundamentals.</w:t>
      </w:r>
      <w:r>
        <w:rPr>
          <w:rStyle w:val="FootnoteReference"/>
          <w:rFonts w:ascii="Arial" w:hAnsi="Arial" w:cs="Arial"/>
        </w:rPr>
        <w:footnoteReference w:id="27"/>
      </w:r>
      <w:r>
        <w:rPr>
          <w:rFonts w:ascii="Arial" w:hAnsi="Arial" w:cs="Arial"/>
        </w:rPr>
        <w:t xml:space="preserve"> The deviation of the observed exchange rate from this equilibrium level is interpreted as REER misalignment (i.e., if the REER is greater than EREER, it is said to be overvalued and vice versa).</w:t>
      </w:r>
      <w:r w:rsidRPr="00287FD4">
        <w:rPr>
          <w:rFonts w:ascii="Arial" w:hAnsi="Arial" w:cs="Arial"/>
        </w:rPr>
        <w:t xml:space="preserve"> </w:t>
      </w:r>
      <w:r w:rsidRPr="000C6E26">
        <w:rPr>
          <w:rFonts w:ascii="Arial" w:hAnsi="Arial" w:cs="Arial"/>
        </w:rPr>
        <w:t>Because the REER is seldom at equilibrium, we will assume it is at equilibrium when the differences between REER and EREER revolve around an absolute 5%.</w:t>
      </w:r>
      <w:r>
        <w:rPr>
          <w:rFonts w:ascii="Arial" w:hAnsi="Arial" w:cs="Arial"/>
        </w:rPr>
        <w:t xml:space="preserve"> We </w:t>
      </w:r>
      <w:r w:rsidRPr="00287FD4">
        <w:rPr>
          <w:rFonts w:ascii="Arial" w:hAnsi="Arial" w:cs="Arial"/>
        </w:rPr>
        <w:t>use</w:t>
      </w:r>
      <w:r>
        <w:rPr>
          <w:rFonts w:ascii="Arial" w:hAnsi="Arial" w:cs="Arial"/>
        </w:rPr>
        <w:t>d</w:t>
      </w:r>
      <w:r w:rsidRPr="00287FD4">
        <w:rPr>
          <w:rFonts w:ascii="Arial" w:hAnsi="Arial" w:cs="Arial"/>
        </w:rPr>
        <w:t xml:space="preserve"> the Vector Autoregression (VAR) approach, which consists of the full-information maximum likelihood (FIML) method due to Johansen (1995).</w:t>
      </w:r>
      <w:r>
        <w:rPr>
          <w:rStyle w:val="FootnoteReference"/>
          <w:rFonts w:ascii="Arial" w:hAnsi="Arial" w:cs="Arial"/>
        </w:rPr>
        <w:footnoteReference w:id="28"/>
      </w:r>
      <w:r w:rsidRPr="00287FD4">
        <w:rPr>
          <w:rFonts w:ascii="Arial" w:hAnsi="Arial" w:cs="Arial"/>
        </w:rPr>
        <w:t> </w:t>
      </w:r>
      <w:r>
        <w:rPr>
          <w:rFonts w:ascii="Arial" w:hAnsi="Arial" w:cs="Arial"/>
        </w:rPr>
        <w:t>T</w:t>
      </w:r>
      <w:r w:rsidRPr="00650A6C">
        <w:rPr>
          <w:rFonts w:ascii="Arial" w:hAnsi="Arial" w:cs="Arial"/>
        </w:rPr>
        <w:t>he outcome of the Johansen cointegration test reveals that there is cointegration, we proceed to the restricted VAR (VECM). The result of the VECM consists of the estimates of both short-term and long-term dynamics of the time series, taking into consideration the coefficient of the error correction term (ECT).</w:t>
      </w:r>
      <w:r>
        <w:rPr>
          <w:rFonts w:ascii="Arial" w:hAnsi="Arial" w:cs="Arial"/>
        </w:rPr>
        <w:t xml:space="preserve"> </w:t>
      </w:r>
      <w:r w:rsidRPr="57585719">
        <w:rPr>
          <w:rFonts w:ascii="Arial" w:eastAsiaTheme="minorEastAsia" w:hAnsi="Arial" w:cs="Arial"/>
        </w:rPr>
        <w:t xml:space="preserve">To test for stability, we apply the cumulative sum (CUSUM) and cumulative sum square (CUSUMSQ) tests of Brown </w:t>
      </w:r>
      <w:r w:rsidRPr="57585719">
        <w:rPr>
          <w:rFonts w:ascii="Arial" w:eastAsiaTheme="minorEastAsia" w:hAnsi="Arial" w:cs="Arial"/>
          <w:i/>
          <w:iCs/>
        </w:rPr>
        <w:t xml:space="preserve">et al. </w:t>
      </w:r>
      <w:r w:rsidRPr="57585719">
        <w:rPr>
          <w:rFonts w:ascii="Arial" w:eastAsiaTheme="minorEastAsia" w:hAnsi="Arial" w:cs="Arial"/>
        </w:rPr>
        <w:t>(1975) to the residuals of the models.</w:t>
      </w:r>
      <w:r w:rsidR="00E26FB6">
        <w:rPr>
          <w:rFonts w:ascii="Arial" w:eastAsiaTheme="minorEastAsia" w:hAnsi="Arial" w:cs="Arial"/>
        </w:rPr>
        <w:t xml:space="preserve"> The variables used in this thesis are secondary annual data </w:t>
      </w:r>
      <w:r w:rsidR="00E26FB6" w:rsidRPr="00BE6E05">
        <w:rPr>
          <w:rFonts w:ascii="Arial" w:hAnsi="Arial" w:cs="Arial"/>
        </w:rPr>
        <w:t xml:space="preserve">collected from the World Bank - World Development Indicators (WDI) database lastly updated on 18/03/2020. </w:t>
      </w:r>
    </w:p>
    <w:p w14:paraId="75F0E0C9" w14:textId="44ABDFC7" w:rsidR="0050583D" w:rsidRDefault="0050583D" w:rsidP="0066301C">
      <w:pPr>
        <w:spacing w:line="360" w:lineRule="auto"/>
        <w:jc w:val="both"/>
        <w:rPr>
          <w:rFonts w:ascii="Arial" w:eastAsiaTheme="minorEastAsia" w:hAnsi="Arial" w:cs="Arial"/>
        </w:rPr>
      </w:pPr>
      <w:r>
        <w:rPr>
          <w:rFonts w:ascii="Arial" w:hAnsi="Arial" w:cs="Arial"/>
        </w:rPr>
        <w:lastRenderedPageBreak/>
        <w:t xml:space="preserve">Chapter 4 </w:t>
      </w:r>
      <w:r w:rsidRPr="0074777D">
        <w:rPr>
          <w:rFonts w:ascii="Arial" w:hAnsi="Arial" w:cs="Arial"/>
        </w:rPr>
        <w:t>investigate</w:t>
      </w:r>
      <w:r>
        <w:rPr>
          <w:rFonts w:ascii="Arial" w:hAnsi="Arial" w:cs="Arial"/>
        </w:rPr>
        <w:t>s</w:t>
      </w:r>
      <w:r w:rsidRPr="0074777D">
        <w:rPr>
          <w:rFonts w:ascii="Arial" w:hAnsi="Arial" w:cs="Arial"/>
        </w:rPr>
        <w:t xml:space="preserve"> if currency devaluation (CFA franc devaluation) ha</w:t>
      </w:r>
      <w:r>
        <w:rPr>
          <w:rFonts w:ascii="Arial" w:hAnsi="Arial" w:cs="Arial"/>
        </w:rPr>
        <w:t>s</w:t>
      </w:r>
      <w:r w:rsidRPr="0074777D">
        <w:rPr>
          <w:rFonts w:ascii="Arial" w:hAnsi="Arial" w:cs="Arial"/>
        </w:rPr>
        <w:t xml:space="preserve"> an impact (improvement) on the trade balance </w:t>
      </w:r>
      <w:r>
        <w:rPr>
          <w:rFonts w:ascii="Arial" w:hAnsi="Arial" w:cs="Arial"/>
        </w:rPr>
        <w:t xml:space="preserve">(TB) </w:t>
      </w:r>
      <w:r w:rsidRPr="0074777D">
        <w:rPr>
          <w:rFonts w:ascii="Arial" w:hAnsi="Arial" w:cs="Arial"/>
        </w:rPr>
        <w:t xml:space="preserve">of CEMAC nations. This </w:t>
      </w:r>
      <w:r>
        <w:rPr>
          <w:rFonts w:ascii="Arial" w:hAnsi="Arial" w:cs="Arial"/>
        </w:rPr>
        <w:t>is</w:t>
      </w:r>
      <w:r w:rsidRPr="0074777D">
        <w:rPr>
          <w:rFonts w:ascii="Arial" w:hAnsi="Arial" w:cs="Arial"/>
        </w:rPr>
        <w:t xml:space="preserve"> done by investigating </w:t>
      </w:r>
      <w:r>
        <w:rPr>
          <w:rFonts w:ascii="Arial" w:hAnsi="Arial" w:cs="Arial"/>
        </w:rPr>
        <w:t xml:space="preserve">for </w:t>
      </w:r>
      <w:r w:rsidRPr="0074777D">
        <w:rPr>
          <w:rFonts w:ascii="Arial" w:hAnsi="Arial" w:cs="Arial"/>
        </w:rPr>
        <w:t>the presence of </w:t>
      </w:r>
      <w:r w:rsidRPr="0074777D">
        <w:rPr>
          <w:rStyle w:val="Emphasis"/>
          <w:rFonts w:ascii="Arial" w:hAnsi="Arial" w:cs="Arial"/>
          <w:color w:val="0E101A"/>
        </w:rPr>
        <w:t>J-</w:t>
      </w:r>
      <w:r w:rsidRPr="0074777D">
        <w:rPr>
          <w:rFonts w:ascii="Arial" w:hAnsi="Arial" w:cs="Arial"/>
        </w:rPr>
        <w:t>curve in the TB of three CEMAC nations used</w:t>
      </w:r>
      <w:r>
        <w:rPr>
          <w:rFonts w:ascii="Arial" w:hAnsi="Arial" w:cs="Arial"/>
        </w:rPr>
        <w:t>.</w:t>
      </w:r>
      <w:r>
        <w:rPr>
          <w:rStyle w:val="FootnoteReference"/>
          <w:rFonts w:ascii="Arial" w:hAnsi="Arial" w:cs="Arial"/>
        </w:rPr>
        <w:footnoteReference w:id="29"/>
      </w:r>
      <w:r w:rsidRPr="0074777D">
        <w:rPr>
          <w:rFonts w:ascii="Arial" w:hAnsi="Arial" w:cs="Arial"/>
        </w:rPr>
        <w:t xml:space="preserve"> The presence of the </w:t>
      </w:r>
      <w:r w:rsidRPr="0074777D">
        <w:rPr>
          <w:rStyle w:val="Emphasis"/>
          <w:rFonts w:ascii="Arial" w:hAnsi="Arial" w:cs="Arial"/>
          <w:color w:val="0E101A"/>
        </w:rPr>
        <w:t>J-</w:t>
      </w:r>
      <w:r w:rsidRPr="0074777D">
        <w:rPr>
          <w:rFonts w:ascii="Arial" w:hAnsi="Arial" w:cs="Arial"/>
        </w:rPr>
        <w:t>curve is achieved when:</w:t>
      </w:r>
      <w:r>
        <w:rPr>
          <w:rFonts w:ascii="Arial" w:hAnsi="Arial" w:cs="Arial"/>
        </w:rPr>
        <w:t xml:space="preserve"> </w:t>
      </w:r>
      <w:r w:rsidRPr="00BC2E14">
        <w:rPr>
          <w:rFonts w:ascii="Arial" w:hAnsi="Arial" w:cs="Arial"/>
        </w:rPr>
        <w:t xml:space="preserve">The coefficient of REER is positive and statistically significant (i.e., the </w:t>
      </w:r>
      <w:r w:rsidRPr="00BC2E14">
        <w:rPr>
          <w:rFonts w:ascii="Arial" w:hAnsi="Arial" w:cs="Arial"/>
          <w:i/>
          <w:iCs/>
        </w:rPr>
        <w:t>t-</w:t>
      </w:r>
      <w:r w:rsidRPr="00BC2E14">
        <w:rPr>
          <w:rFonts w:ascii="Arial" w:hAnsi="Arial" w:cs="Arial"/>
        </w:rPr>
        <w:t xml:space="preserve">statistics </w:t>
      </w:r>
      <w:r w:rsidRPr="00BC2E14">
        <w:rPr>
          <w:rFonts w:ascii="Arial" w:hAnsi="Arial" w:cs="Arial"/>
          <w:lang w:val="en-US"/>
        </w:rPr>
        <w:t>≥ |2|</w:t>
      </w:r>
      <w:r w:rsidRPr="00BC2E14">
        <w:rPr>
          <w:rFonts w:ascii="Arial" w:hAnsi="Arial" w:cs="Arial"/>
        </w:rPr>
        <w:t>) in the long run,</w:t>
      </w:r>
      <w:r>
        <w:rPr>
          <w:rFonts w:ascii="Arial" w:hAnsi="Arial" w:cs="Arial"/>
        </w:rPr>
        <w:t xml:space="preserve"> w</w:t>
      </w:r>
      <w:r w:rsidRPr="00A92497">
        <w:rPr>
          <w:rFonts w:ascii="Arial" w:hAnsi="Arial" w:cs="Arial"/>
        </w:rPr>
        <w:t>hile the short run coefficient of R</w:t>
      </w:r>
      <w:r>
        <w:rPr>
          <w:rFonts w:ascii="Arial" w:hAnsi="Arial" w:cs="Arial"/>
        </w:rPr>
        <w:t>E</w:t>
      </w:r>
      <w:r w:rsidRPr="00A92497">
        <w:rPr>
          <w:rFonts w:ascii="Arial" w:hAnsi="Arial" w:cs="Arial"/>
        </w:rPr>
        <w:t xml:space="preserve">ER is negative and statistically significant (i.e., the </w:t>
      </w:r>
      <w:r w:rsidRPr="00A92497">
        <w:rPr>
          <w:rFonts w:ascii="Arial" w:hAnsi="Arial" w:cs="Arial"/>
          <w:i/>
          <w:iCs/>
        </w:rPr>
        <w:t>t-</w:t>
      </w:r>
      <w:r w:rsidRPr="00A92497">
        <w:rPr>
          <w:rFonts w:ascii="Arial" w:hAnsi="Arial" w:cs="Arial"/>
        </w:rPr>
        <w:t xml:space="preserve">statistics </w:t>
      </w:r>
      <w:r w:rsidRPr="00A92497">
        <w:rPr>
          <w:rFonts w:ascii="Arial" w:hAnsi="Arial" w:cs="Arial"/>
          <w:lang w:val="en-US"/>
        </w:rPr>
        <w:t>≥ |2|</w:t>
      </w:r>
      <w:r w:rsidRPr="00A92497">
        <w:rPr>
          <w:rFonts w:ascii="Arial" w:hAnsi="Arial" w:cs="Arial"/>
        </w:rPr>
        <w:t>).</w:t>
      </w:r>
      <w:r>
        <w:rPr>
          <w:rFonts w:ascii="Arial" w:hAnsi="Arial" w:cs="Arial"/>
        </w:rPr>
        <w:t xml:space="preserve"> </w:t>
      </w:r>
      <w:r w:rsidRPr="0074777D">
        <w:rPr>
          <w:rFonts w:ascii="Arial" w:hAnsi="Arial" w:cs="Arial"/>
        </w:rPr>
        <w:t>This is achieved when the coefficient of the error correction term (ECT) of the model is negative (with TB being the target variable) and statistically significant (with the </w:t>
      </w:r>
      <w:r w:rsidRPr="0074777D">
        <w:rPr>
          <w:rStyle w:val="Emphasis"/>
          <w:rFonts w:ascii="Arial" w:hAnsi="Arial" w:cs="Arial"/>
          <w:color w:val="0E101A"/>
        </w:rPr>
        <w:t>t-</w:t>
      </w:r>
      <w:r w:rsidRPr="0074777D">
        <w:rPr>
          <w:rFonts w:ascii="Arial" w:hAnsi="Arial" w:cs="Arial"/>
        </w:rPr>
        <w:t>stat ≥ |2|, and the </w:t>
      </w:r>
      <w:r w:rsidRPr="0074777D">
        <w:rPr>
          <w:rStyle w:val="Emphasis"/>
          <w:rFonts w:ascii="Arial" w:hAnsi="Arial" w:cs="Arial"/>
          <w:color w:val="0E101A"/>
        </w:rPr>
        <w:t>p-</w:t>
      </w:r>
      <w:r w:rsidRPr="0074777D">
        <w:rPr>
          <w:rFonts w:ascii="Arial" w:hAnsi="Arial" w:cs="Arial"/>
        </w:rPr>
        <w:t>value &lt; 0.05)</w:t>
      </w:r>
      <w:r w:rsidRPr="00A92497">
        <w:rPr>
          <w:rFonts w:ascii="Arial" w:hAnsi="Arial" w:cs="Arial"/>
          <w:lang w:val="en-US"/>
        </w:rPr>
        <w:t>.</w:t>
      </w:r>
      <w:r w:rsidRPr="00A92497">
        <w:rPr>
          <w:rStyle w:val="FootnoteReference"/>
          <w:rFonts w:ascii="Arial" w:hAnsi="Arial" w:cs="Arial"/>
          <w:lang w:val="en-US"/>
        </w:rPr>
        <w:footnoteReference w:id="30"/>
      </w:r>
      <w:r w:rsidRPr="00A92497">
        <w:rPr>
          <w:rFonts w:ascii="Arial" w:hAnsi="Arial" w:cs="Arial"/>
          <w:lang w:val="en-US"/>
        </w:rPr>
        <w:t xml:space="preserve"> </w:t>
      </w:r>
      <w:r w:rsidRPr="0074777D">
        <w:rPr>
          <w:rFonts w:ascii="Arial" w:hAnsi="Arial" w:cs="Arial"/>
        </w:rPr>
        <w:t>This mean</w:t>
      </w:r>
      <w:r>
        <w:rPr>
          <w:rFonts w:ascii="Arial" w:hAnsi="Arial" w:cs="Arial"/>
        </w:rPr>
        <w:t>s</w:t>
      </w:r>
      <w:r w:rsidRPr="0074777D">
        <w:rPr>
          <w:rFonts w:ascii="Arial" w:hAnsi="Arial" w:cs="Arial"/>
        </w:rPr>
        <w:t xml:space="preserve"> that a shock in the RE</w:t>
      </w:r>
      <w:r>
        <w:rPr>
          <w:rFonts w:ascii="Arial" w:hAnsi="Arial" w:cs="Arial"/>
        </w:rPr>
        <w:t>E</w:t>
      </w:r>
      <w:r w:rsidRPr="0074777D">
        <w:rPr>
          <w:rFonts w:ascii="Arial" w:hAnsi="Arial" w:cs="Arial"/>
        </w:rPr>
        <w:t xml:space="preserve">R will cause TB to deviate in the </w:t>
      </w:r>
      <w:r>
        <w:rPr>
          <w:rFonts w:ascii="Arial" w:hAnsi="Arial" w:cs="Arial"/>
        </w:rPr>
        <w:t>short term</w:t>
      </w:r>
      <w:r w:rsidR="00E2054F">
        <w:rPr>
          <w:rFonts w:ascii="Arial" w:hAnsi="Arial" w:cs="Arial"/>
        </w:rPr>
        <w:t>,</w:t>
      </w:r>
      <w:r w:rsidRPr="0074777D">
        <w:rPr>
          <w:rFonts w:ascii="Arial" w:hAnsi="Arial" w:cs="Arial"/>
        </w:rPr>
        <w:t xml:space="preserve"> </w:t>
      </w:r>
      <w:r w:rsidR="00E2054F">
        <w:rPr>
          <w:rFonts w:ascii="Arial" w:hAnsi="Arial" w:cs="Arial"/>
        </w:rPr>
        <w:t xml:space="preserve">getting worse </w:t>
      </w:r>
      <w:r w:rsidRPr="0074777D">
        <w:rPr>
          <w:rFonts w:ascii="Arial" w:hAnsi="Arial" w:cs="Arial"/>
        </w:rPr>
        <w:t xml:space="preserve">before recovering and/or moving </w:t>
      </w:r>
      <w:r>
        <w:rPr>
          <w:rFonts w:ascii="Arial" w:hAnsi="Arial" w:cs="Arial"/>
        </w:rPr>
        <w:t>in</w:t>
      </w:r>
      <w:r w:rsidRPr="0074777D">
        <w:rPr>
          <w:rFonts w:ascii="Arial" w:hAnsi="Arial" w:cs="Arial"/>
        </w:rPr>
        <w:t xml:space="preserve"> the opposite direction in the </w:t>
      </w:r>
      <w:r>
        <w:rPr>
          <w:rFonts w:ascii="Arial" w:hAnsi="Arial" w:cs="Arial"/>
        </w:rPr>
        <w:t>long term</w:t>
      </w:r>
      <w:r w:rsidRPr="0074777D">
        <w:rPr>
          <w:rFonts w:ascii="Arial" w:hAnsi="Arial" w:cs="Arial"/>
        </w:rPr>
        <w:t>. Thus</w:t>
      </w:r>
      <w:r>
        <w:rPr>
          <w:rFonts w:ascii="Arial" w:hAnsi="Arial" w:cs="Arial"/>
        </w:rPr>
        <w:t>,</w:t>
      </w:r>
      <w:r w:rsidRPr="0074777D">
        <w:rPr>
          <w:rFonts w:ascii="Arial" w:hAnsi="Arial" w:cs="Arial"/>
        </w:rPr>
        <w:t xml:space="preserve"> necessitating a check of both the long-run and short-run relationship.</w:t>
      </w:r>
      <w:r>
        <w:rPr>
          <w:rFonts w:ascii="Arial" w:hAnsi="Arial" w:cs="Arial"/>
        </w:rPr>
        <w:t xml:space="preserve"> </w:t>
      </w:r>
      <w:r w:rsidRPr="0074777D">
        <w:rPr>
          <w:rFonts w:ascii="Arial" w:hAnsi="Arial" w:cs="Arial"/>
        </w:rPr>
        <w:t xml:space="preserve">The aggregate bilateral trade data approach by Rose and Yellen (1989) </w:t>
      </w:r>
      <w:r>
        <w:rPr>
          <w:rFonts w:ascii="Arial" w:hAnsi="Arial" w:cs="Arial"/>
        </w:rPr>
        <w:t>will be used</w:t>
      </w:r>
      <w:r w:rsidRPr="0074777D">
        <w:rPr>
          <w:rFonts w:ascii="Arial" w:hAnsi="Arial" w:cs="Arial"/>
        </w:rPr>
        <w:t xml:space="preserve"> to </w:t>
      </w:r>
      <w:r>
        <w:rPr>
          <w:rFonts w:ascii="Arial" w:hAnsi="Arial" w:cs="Arial"/>
        </w:rPr>
        <w:t>examine</w:t>
      </w:r>
      <w:r w:rsidRPr="0074777D">
        <w:rPr>
          <w:rFonts w:ascii="Arial" w:hAnsi="Arial" w:cs="Arial"/>
        </w:rPr>
        <w:t xml:space="preserve"> </w:t>
      </w:r>
      <w:r>
        <w:rPr>
          <w:rFonts w:ascii="Arial" w:hAnsi="Arial" w:cs="Arial"/>
        </w:rPr>
        <w:t xml:space="preserve">for </w:t>
      </w:r>
      <w:r w:rsidRPr="0074777D">
        <w:rPr>
          <w:rFonts w:ascii="Arial" w:hAnsi="Arial" w:cs="Arial"/>
        </w:rPr>
        <w:t>the presence of the </w:t>
      </w:r>
      <w:r w:rsidRPr="0074777D">
        <w:rPr>
          <w:rStyle w:val="Emphasis"/>
          <w:rFonts w:ascii="Arial" w:hAnsi="Arial" w:cs="Arial"/>
          <w:color w:val="0E101A"/>
        </w:rPr>
        <w:t>J-</w:t>
      </w:r>
      <w:r w:rsidRPr="0074777D">
        <w:rPr>
          <w:rFonts w:ascii="Arial" w:hAnsi="Arial" w:cs="Arial"/>
        </w:rPr>
        <w:t xml:space="preserve">curve in the </w:t>
      </w:r>
      <w:r>
        <w:rPr>
          <w:rFonts w:ascii="Arial" w:hAnsi="Arial" w:cs="Arial"/>
        </w:rPr>
        <w:t>TB</w:t>
      </w:r>
      <w:r w:rsidRPr="0074777D">
        <w:rPr>
          <w:rFonts w:ascii="Arial" w:hAnsi="Arial" w:cs="Arial"/>
        </w:rPr>
        <w:t xml:space="preserve"> relationship between each of the three CEMAC nations and their individual main trade partners.</w:t>
      </w:r>
      <w:r>
        <w:rPr>
          <w:rStyle w:val="FootnoteReference"/>
          <w:rFonts w:ascii="Arial" w:hAnsi="Arial" w:cs="Arial"/>
        </w:rPr>
        <w:footnoteReference w:id="31"/>
      </w:r>
      <w:r w:rsidRPr="005776D3">
        <w:rPr>
          <w:rFonts w:ascii="Arial" w:hAnsi="Arial" w:cs="Arial"/>
        </w:rPr>
        <w:t xml:space="preserve"> </w:t>
      </w:r>
      <w:r w:rsidRPr="0074777D">
        <w:rPr>
          <w:rFonts w:ascii="Arial" w:hAnsi="Arial" w:cs="Arial"/>
        </w:rPr>
        <w:t>To have a</w:t>
      </w:r>
      <w:r>
        <w:rPr>
          <w:rFonts w:ascii="Arial" w:hAnsi="Arial" w:cs="Arial"/>
        </w:rPr>
        <w:t>n overview</w:t>
      </w:r>
      <w:r w:rsidRPr="0074777D">
        <w:rPr>
          <w:rFonts w:ascii="Arial" w:hAnsi="Arial" w:cs="Arial"/>
        </w:rPr>
        <w:t xml:space="preserve"> of the impact of CFA franc devaluation on the </w:t>
      </w:r>
      <w:r>
        <w:rPr>
          <w:rFonts w:ascii="Arial" w:hAnsi="Arial" w:cs="Arial"/>
        </w:rPr>
        <w:t xml:space="preserve">individual CEMAC </w:t>
      </w:r>
      <w:r w:rsidRPr="0074777D">
        <w:rPr>
          <w:rFonts w:ascii="Arial" w:hAnsi="Arial" w:cs="Arial"/>
        </w:rPr>
        <w:t>nation</w:t>
      </w:r>
      <w:r>
        <w:rPr>
          <w:rFonts w:ascii="Arial" w:hAnsi="Arial" w:cs="Arial"/>
        </w:rPr>
        <w:t>s</w:t>
      </w:r>
      <w:r w:rsidRPr="0074777D">
        <w:rPr>
          <w:rFonts w:ascii="Arial" w:hAnsi="Arial" w:cs="Arial"/>
        </w:rPr>
        <w:t xml:space="preserve">’ </w:t>
      </w:r>
      <w:r>
        <w:rPr>
          <w:rFonts w:ascii="Arial" w:hAnsi="Arial" w:cs="Arial"/>
        </w:rPr>
        <w:t>TB</w:t>
      </w:r>
      <w:r w:rsidRPr="0074777D">
        <w:rPr>
          <w:rFonts w:ascii="Arial" w:hAnsi="Arial" w:cs="Arial"/>
        </w:rPr>
        <w:t>, we used the aggregate trade data approach by Magee (1973).</w:t>
      </w:r>
      <w:r>
        <w:rPr>
          <w:rFonts w:ascii="Arial" w:hAnsi="Arial" w:cs="Arial"/>
        </w:rPr>
        <w:t xml:space="preserve"> </w:t>
      </w:r>
      <w:r w:rsidRPr="0096715F">
        <w:rPr>
          <w:rFonts w:ascii="Arial" w:hAnsi="Arial" w:cs="Arial"/>
        </w:rPr>
        <w:t>The presence of the </w:t>
      </w:r>
      <w:r w:rsidRPr="0096715F">
        <w:rPr>
          <w:rStyle w:val="Emphasis"/>
          <w:rFonts w:ascii="Arial" w:hAnsi="Arial" w:cs="Arial"/>
        </w:rPr>
        <w:t>J-</w:t>
      </w:r>
      <w:r w:rsidRPr="0096715F">
        <w:rPr>
          <w:rFonts w:ascii="Arial" w:hAnsi="Arial" w:cs="Arial"/>
        </w:rPr>
        <w:t>curve will mean that the CFA franc devaluation could lead to an improvement of the CEMAC nations’ TB in the long-run.</w:t>
      </w:r>
      <w:r w:rsidRPr="0096715F">
        <w:rPr>
          <w:rStyle w:val="FootnoteReference"/>
          <w:rFonts w:ascii="Arial" w:hAnsi="Arial" w:cs="Arial"/>
        </w:rPr>
        <w:footnoteReference w:id="32"/>
      </w:r>
      <w:r w:rsidRPr="004876A7">
        <w:rPr>
          <w:rFonts w:ascii="Arial" w:hAnsi="Arial" w:cs="Arial"/>
        </w:rPr>
        <w:t xml:space="preserve"> </w:t>
      </w:r>
      <w:r w:rsidRPr="0074777D">
        <w:rPr>
          <w:rFonts w:ascii="Arial" w:hAnsi="Arial" w:cs="Arial"/>
        </w:rPr>
        <w:t>The Autoregressive Distributed Lag (ARDL) approach by Pesaran </w:t>
      </w:r>
      <w:r w:rsidRPr="0074777D">
        <w:rPr>
          <w:rStyle w:val="Emphasis"/>
          <w:rFonts w:ascii="Arial" w:hAnsi="Arial" w:cs="Arial"/>
          <w:color w:val="0E101A"/>
        </w:rPr>
        <w:t>et al. </w:t>
      </w:r>
      <w:r w:rsidRPr="0074777D">
        <w:rPr>
          <w:rFonts w:ascii="Arial" w:hAnsi="Arial" w:cs="Arial"/>
        </w:rPr>
        <w:t xml:space="preserve">(2001) </w:t>
      </w:r>
      <w:r>
        <w:rPr>
          <w:rFonts w:ascii="Arial" w:hAnsi="Arial" w:cs="Arial"/>
        </w:rPr>
        <w:t>will be</w:t>
      </w:r>
      <w:r w:rsidRPr="0074777D">
        <w:rPr>
          <w:rFonts w:ascii="Arial" w:hAnsi="Arial" w:cs="Arial"/>
        </w:rPr>
        <w:t xml:space="preserve"> used to investigate the presence of cointegration in the models.</w:t>
      </w:r>
      <w:r>
        <w:rPr>
          <w:rStyle w:val="FootnoteReference"/>
          <w:rFonts w:ascii="Arial" w:hAnsi="Arial" w:cs="Arial"/>
        </w:rPr>
        <w:footnoteReference w:id="33"/>
      </w:r>
      <w:r>
        <w:rPr>
          <w:rFonts w:ascii="Arial" w:hAnsi="Arial" w:cs="Arial"/>
        </w:rPr>
        <w:t xml:space="preserve"> We will use the “Impulse Response Function (IRF)” to justify the results obtained. The variables used are in their log format. The dependent variable TB is measured in ratio of export to import because the net exports of the CEMAC nations have numerous occurrence of negative values and will not allow the TB to be expressed in logarithm form (Ln).</w:t>
      </w:r>
      <w:r>
        <w:rPr>
          <w:rStyle w:val="FootnoteReference"/>
          <w:rFonts w:ascii="Arial" w:hAnsi="Arial" w:cs="Arial"/>
        </w:rPr>
        <w:footnoteReference w:id="34"/>
      </w:r>
      <w:r>
        <w:rPr>
          <w:rFonts w:ascii="Arial" w:hAnsi="Arial" w:cs="Arial"/>
        </w:rPr>
        <w:t xml:space="preserve"> </w:t>
      </w:r>
      <w:r w:rsidRPr="57585719">
        <w:rPr>
          <w:rFonts w:ascii="Arial" w:eastAsiaTheme="minorEastAsia" w:hAnsi="Arial" w:cs="Arial"/>
        </w:rPr>
        <w:t>To test for stability</w:t>
      </w:r>
      <w:r w:rsidR="00F762A1">
        <w:rPr>
          <w:rFonts w:ascii="Arial" w:eastAsiaTheme="minorEastAsia" w:hAnsi="Arial" w:cs="Arial"/>
        </w:rPr>
        <w:t>,</w:t>
      </w:r>
      <w:r w:rsidRPr="57585719">
        <w:rPr>
          <w:rFonts w:ascii="Arial" w:eastAsiaTheme="minorEastAsia" w:hAnsi="Arial" w:cs="Arial"/>
        </w:rPr>
        <w:t xml:space="preserve"> we apply the cumulative sum (CUSUM) </w:t>
      </w:r>
      <w:r w:rsidRPr="57585719">
        <w:rPr>
          <w:rFonts w:ascii="Arial" w:eastAsiaTheme="minorEastAsia" w:hAnsi="Arial" w:cs="Arial"/>
        </w:rPr>
        <w:lastRenderedPageBreak/>
        <w:t xml:space="preserve">and cumulative sum square (CUSUMSQ) tests of Brown </w:t>
      </w:r>
      <w:r w:rsidRPr="57585719">
        <w:rPr>
          <w:rFonts w:ascii="Arial" w:eastAsiaTheme="minorEastAsia" w:hAnsi="Arial" w:cs="Arial"/>
          <w:i/>
          <w:iCs/>
        </w:rPr>
        <w:t xml:space="preserve">et al. </w:t>
      </w:r>
      <w:r w:rsidRPr="57585719">
        <w:rPr>
          <w:rFonts w:ascii="Arial" w:eastAsiaTheme="minorEastAsia" w:hAnsi="Arial" w:cs="Arial"/>
        </w:rPr>
        <w:t>(1975) to the residuals of the models.</w:t>
      </w:r>
    </w:p>
    <w:p w14:paraId="34EC6958" w14:textId="0525AE04" w:rsidR="0050583D" w:rsidRDefault="0050583D" w:rsidP="0066301C">
      <w:pPr>
        <w:spacing w:line="360" w:lineRule="auto"/>
        <w:jc w:val="both"/>
        <w:rPr>
          <w:rFonts w:ascii="Arial" w:eastAsiaTheme="minorEastAsia" w:hAnsi="Arial" w:cs="Arial"/>
        </w:rPr>
      </w:pPr>
      <w:r>
        <w:rPr>
          <w:rFonts w:ascii="Arial" w:eastAsiaTheme="minorEastAsia" w:hAnsi="Arial" w:cs="Arial"/>
        </w:rPr>
        <w:t xml:space="preserve">In chapter 5, we empirically analyse the effect of REER on the economic growth of CEMAC region. We will use the conventional growth model, which is a version of Barro (1991) in our study. </w:t>
      </w:r>
      <w:r w:rsidRPr="0054539B">
        <w:rPr>
          <w:rFonts w:ascii="Arial" w:hAnsi="Arial" w:cs="Arial"/>
          <w:lang w:eastAsia="en-GB"/>
        </w:rPr>
        <w:t>Since the FCFA was devalued with the aim of improving the economic growth of the region, in this chapter we us</w:t>
      </w:r>
      <w:r w:rsidR="0096715F">
        <w:rPr>
          <w:rFonts w:ascii="Arial" w:hAnsi="Arial" w:cs="Arial"/>
          <w:lang w:eastAsia="en-GB"/>
        </w:rPr>
        <w:t>ed</w:t>
      </w:r>
      <w:r w:rsidRPr="0054539B">
        <w:rPr>
          <w:rFonts w:ascii="Arial" w:hAnsi="Arial" w:cs="Arial"/>
          <w:lang w:eastAsia="en-GB"/>
        </w:rPr>
        <w:t xml:space="preserve"> the </w:t>
      </w:r>
      <w:r>
        <w:rPr>
          <w:rFonts w:ascii="Arial" w:hAnsi="Arial" w:cs="Arial"/>
          <w:lang w:val="en-US"/>
        </w:rPr>
        <w:t xml:space="preserve">Pooled Mean Group (PMG) </w:t>
      </w:r>
      <w:r w:rsidRPr="0054539B">
        <w:rPr>
          <w:rFonts w:ascii="Arial" w:hAnsi="Arial" w:cs="Arial"/>
          <w:lang w:eastAsia="en-GB"/>
        </w:rPr>
        <w:t>panel autoregression distributed lag (ARDL) approach to investigate the nature of the relationship between REER and the CEMAC region’s economic growth. This will inform us if the FCFA devaluation improves the CEMAC region’s economic growth or not.</w:t>
      </w:r>
      <w:r>
        <w:rPr>
          <w:rFonts w:ascii="Arial" w:hAnsi="Arial" w:cs="Arial"/>
          <w:lang w:eastAsia="en-GB"/>
        </w:rPr>
        <w:t xml:space="preserve"> The approach assumes that </w:t>
      </w:r>
      <w:r>
        <w:rPr>
          <w:rFonts w:ascii="Arial" w:hAnsi="Arial" w:cs="Arial"/>
          <w:lang w:val="en-US"/>
        </w:rPr>
        <w:t xml:space="preserve">all long-run coefficients are the same across groups, while the short-run coefficients could differ across groups (Pesaran </w:t>
      </w:r>
      <w:r>
        <w:rPr>
          <w:rFonts w:ascii="Arial" w:hAnsi="Arial" w:cs="Arial"/>
          <w:i/>
          <w:iCs/>
          <w:lang w:val="en-US"/>
        </w:rPr>
        <w:t>et al.</w:t>
      </w:r>
      <w:r>
        <w:rPr>
          <w:rFonts w:ascii="Arial" w:hAnsi="Arial" w:cs="Arial"/>
          <w:lang w:val="en-US"/>
        </w:rPr>
        <w:t xml:space="preserve">, 1997). This estimator is useful when one expects similar long-run relationships between nations, being of a similar nature with regards to economic growth. Finally, chapter 6 concludes the study, summarizing the findings. </w:t>
      </w:r>
    </w:p>
    <w:p w14:paraId="695E96E0" w14:textId="1F580372" w:rsidR="000A6B20" w:rsidRPr="000A6B20" w:rsidRDefault="00BF7AB3" w:rsidP="0066301C">
      <w:pPr>
        <w:pStyle w:val="Heading1"/>
        <w:numPr>
          <w:ilvl w:val="0"/>
          <w:numId w:val="0"/>
        </w:numPr>
        <w:spacing w:before="0"/>
        <w:rPr>
          <w:rFonts w:cs="Arial"/>
        </w:rPr>
      </w:pPr>
      <w:bookmarkStart w:id="75" w:name="_Toc171075357"/>
      <w:bookmarkStart w:id="76" w:name="_Hlk170226735"/>
      <w:bookmarkEnd w:id="74"/>
      <w:r>
        <w:t>CHAPTER 2</w:t>
      </w:r>
      <w:r w:rsidR="000A6B20">
        <w:br/>
      </w:r>
      <w:r w:rsidR="000A6B20" w:rsidRPr="000A6B20">
        <w:rPr>
          <w:lang w:val="en-US"/>
        </w:rPr>
        <w:t>LITERATURE SURVEY</w:t>
      </w:r>
      <w:bookmarkEnd w:id="75"/>
    </w:p>
    <w:p w14:paraId="6CCF1199" w14:textId="0A964C06" w:rsidR="000A6B20" w:rsidRPr="008204CC" w:rsidRDefault="000A6B20" w:rsidP="0066301C">
      <w:pPr>
        <w:pStyle w:val="Heading2"/>
        <w:spacing w:before="0" w:beforeAutospacing="0"/>
      </w:pPr>
      <w:bookmarkStart w:id="77" w:name="_Toc171075358"/>
      <w:r>
        <w:t>2.1</w:t>
      </w:r>
      <w:r w:rsidR="001757EE">
        <w:tab/>
      </w:r>
      <w:r w:rsidRPr="008204CC">
        <w:t>INTRODUCTION</w:t>
      </w:r>
      <w:bookmarkEnd w:id="77"/>
    </w:p>
    <w:p w14:paraId="2BA52ED5" w14:textId="07C2A3C7" w:rsidR="002F2553" w:rsidRDefault="000A56CF" w:rsidP="0066301C">
      <w:pPr>
        <w:spacing w:line="360" w:lineRule="auto"/>
        <w:jc w:val="both"/>
        <w:rPr>
          <w:rFonts w:ascii="Arial" w:hAnsi="Arial" w:cs="Arial"/>
          <w:color w:val="0E101A"/>
        </w:rPr>
      </w:pPr>
      <w:r>
        <w:rPr>
          <w:rFonts w:ascii="Arial" w:hAnsi="Arial" w:cs="Arial"/>
          <w:color w:val="0E101A"/>
        </w:rPr>
        <w:t xml:space="preserve">In this chapter, we will be </w:t>
      </w:r>
      <w:r w:rsidR="002F2553">
        <w:rPr>
          <w:rFonts w:ascii="Arial" w:hAnsi="Arial" w:cs="Arial"/>
          <w:color w:val="0E101A"/>
        </w:rPr>
        <w:t>reviewing</w:t>
      </w:r>
      <w:r>
        <w:rPr>
          <w:rFonts w:ascii="Arial" w:hAnsi="Arial" w:cs="Arial"/>
          <w:color w:val="0E101A"/>
        </w:rPr>
        <w:t xml:space="preserve"> </w:t>
      </w:r>
      <w:r w:rsidR="002F2553">
        <w:rPr>
          <w:rFonts w:ascii="Arial" w:hAnsi="Arial" w:cs="Arial"/>
          <w:color w:val="0E101A"/>
        </w:rPr>
        <w:t>the literatures</w:t>
      </w:r>
      <w:r>
        <w:rPr>
          <w:rFonts w:ascii="Arial" w:hAnsi="Arial" w:cs="Arial"/>
          <w:color w:val="0E101A"/>
        </w:rPr>
        <w:t xml:space="preserve"> on the three empirical chapters of this thesis which are; the equilibrium real effective exchange rate (REER), the exchange rate </w:t>
      </w:r>
      <w:r w:rsidR="00D74BE7">
        <w:rPr>
          <w:rFonts w:ascii="Arial" w:hAnsi="Arial" w:cs="Arial"/>
          <w:color w:val="0E101A"/>
        </w:rPr>
        <w:t>and</w:t>
      </w:r>
      <w:r>
        <w:rPr>
          <w:rFonts w:ascii="Arial" w:hAnsi="Arial" w:cs="Arial"/>
          <w:color w:val="0E101A"/>
        </w:rPr>
        <w:t xml:space="preserve"> trade </w:t>
      </w:r>
      <w:r w:rsidR="00EB5D79">
        <w:rPr>
          <w:rFonts w:ascii="Arial" w:hAnsi="Arial" w:cs="Arial"/>
          <w:color w:val="0E101A"/>
        </w:rPr>
        <w:t>balance, and exchange rate and economic growth. We will begin b</w:t>
      </w:r>
      <w:r w:rsidR="002D6CB2">
        <w:rPr>
          <w:rFonts w:ascii="Arial" w:hAnsi="Arial" w:cs="Arial"/>
          <w:color w:val="0E101A"/>
        </w:rPr>
        <w:t>y</w:t>
      </w:r>
      <w:r w:rsidR="00EB5D79">
        <w:rPr>
          <w:rFonts w:ascii="Arial" w:hAnsi="Arial" w:cs="Arial"/>
          <w:color w:val="0E101A"/>
        </w:rPr>
        <w:t xml:space="preserve"> having an overview of the CFA francs </w:t>
      </w:r>
      <w:r w:rsidR="002D6CB2">
        <w:rPr>
          <w:rFonts w:ascii="Arial" w:hAnsi="Arial" w:cs="Arial"/>
          <w:color w:val="0E101A"/>
        </w:rPr>
        <w:t>exchange rate</w:t>
      </w:r>
      <w:r w:rsidR="00EB5D79">
        <w:rPr>
          <w:rFonts w:ascii="Arial" w:hAnsi="Arial" w:cs="Arial"/>
          <w:color w:val="0E101A"/>
        </w:rPr>
        <w:t>.</w:t>
      </w:r>
      <w:r w:rsidR="0058227C">
        <w:rPr>
          <w:rFonts w:ascii="Arial" w:hAnsi="Arial" w:cs="Arial"/>
          <w:color w:val="0E101A"/>
        </w:rPr>
        <w:t xml:space="preserve"> </w:t>
      </w:r>
      <w:r w:rsidR="002F2553">
        <w:rPr>
          <w:rFonts w:ascii="Arial" w:hAnsi="Arial" w:cs="Arial"/>
          <w:color w:val="0E101A"/>
        </w:rPr>
        <w:t>T</w:t>
      </w:r>
      <w:r w:rsidR="002D6CB2">
        <w:rPr>
          <w:rFonts w:ascii="Arial" w:hAnsi="Arial" w:cs="Arial"/>
          <w:color w:val="0E101A"/>
        </w:rPr>
        <w:t xml:space="preserve">hen </w:t>
      </w:r>
      <w:r w:rsidR="002F2553">
        <w:rPr>
          <w:rFonts w:ascii="Arial" w:hAnsi="Arial" w:cs="Arial"/>
          <w:color w:val="0E101A"/>
        </w:rPr>
        <w:t xml:space="preserve">shall we </w:t>
      </w:r>
      <w:r w:rsidR="002D6CB2">
        <w:rPr>
          <w:rFonts w:ascii="Arial" w:hAnsi="Arial" w:cs="Arial"/>
          <w:color w:val="0E101A"/>
        </w:rPr>
        <w:t>revi</w:t>
      </w:r>
      <w:r w:rsidR="00402E65">
        <w:rPr>
          <w:rFonts w:ascii="Arial" w:hAnsi="Arial" w:cs="Arial"/>
          <w:color w:val="0E101A"/>
        </w:rPr>
        <w:t>ew the</w:t>
      </w:r>
      <w:r w:rsidR="002F2553">
        <w:rPr>
          <w:rFonts w:ascii="Arial" w:hAnsi="Arial" w:cs="Arial"/>
          <w:color w:val="0E101A"/>
        </w:rPr>
        <w:t xml:space="preserve"> </w:t>
      </w:r>
      <w:r w:rsidR="00402E65">
        <w:rPr>
          <w:rFonts w:ascii="Arial" w:hAnsi="Arial" w:cs="Arial"/>
          <w:color w:val="0E101A"/>
        </w:rPr>
        <w:t xml:space="preserve">theories on the empirical chapters. </w:t>
      </w:r>
      <w:r w:rsidR="00941291">
        <w:rPr>
          <w:rFonts w:ascii="Arial" w:hAnsi="Arial" w:cs="Arial"/>
          <w:color w:val="0E101A"/>
        </w:rPr>
        <w:t xml:space="preserve">However, </w:t>
      </w:r>
      <w:r w:rsidR="002F2553">
        <w:rPr>
          <w:rFonts w:ascii="Arial" w:hAnsi="Arial" w:cs="Arial"/>
          <w:color w:val="0E101A"/>
        </w:rPr>
        <w:t>more analysis of the theory to be used in th</w:t>
      </w:r>
      <w:r w:rsidR="00312267">
        <w:rPr>
          <w:rFonts w:ascii="Arial" w:hAnsi="Arial" w:cs="Arial"/>
          <w:color w:val="0E101A"/>
        </w:rPr>
        <w:t>is</w:t>
      </w:r>
      <w:r w:rsidR="002F2553">
        <w:rPr>
          <w:rFonts w:ascii="Arial" w:hAnsi="Arial" w:cs="Arial"/>
          <w:color w:val="0E101A"/>
        </w:rPr>
        <w:t xml:space="preserve"> research will be elaborated in the </w:t>
      </w:r>
      <w:r w:rsidR="00312267">
        <w:rPr>
          <w:rFonts w:ascii="Arial" w:hAnsi="Arial" w:cs="Arial"/>
          <w:color w:val="0E101A"/>
        </w:rPr>
        <w:t>respective</w:t>
      </w:r>
      <w:r w:rsidR="002F2553">
        <w:rPr>
          <w:rFonts w:ascii="Arial" w:hAnsi="Arial" w:cs="Arial"/>
          <w:color w:val="0E101A"/>
        </w:rPr>
        <w:t xml:space="preserve"> empirical chapters. </w:t>
      </w:r>
    </w:p>
    <w:bookmarkEnd w:id="76"/>
    <w:p w14:paraId="13A76641" w14:textId="37E9F079" w:rsidR="00A844F0" w:rsidRDefault="00A844F0" w:rsidP="0066301C">
      <w:pPr>
        <w:spacing w:line="360" w:lineRule="auto"/>
        <w:jc w:val="both"/>
        <w:rPr>
          <w:rFonts w:ascii="Arial" w:hAnsi="Arial" w:cs="Arial"/>
          <w:color w:val="0E101A"/>
        </w:rPr>
      </w:pPr>
      <w:r w:rsidRPr="0037197E">
        <w:rPr>
          <w:rFonts w:ascii="Arial" w:hAnsi="Arial" w:cs="Arial"/>
          <w:color w:val="0E101A"/>
        </w:rPr>
        <w:t xml:space="preserve">Theoretical discussion on the importance of exchange rate in a nation’s macroeconomic adjustment surfaced in the 1950s and 1960s via the work of Friedman (1953), Mundell (1962), Mckinnon (1963), and Fleming (1963). They illustrated the role played by the different exchange-rate systems in facing the various shocks an economy encounters (macroeconomic trilemma –fixed exchange rate, open capital market, and independent monetary policy). The advent of the flexible exchange-rate system has been subject to excessive deviation from equilibrium value and volatility over the past decades. The high exchange-rate fluctuations and misalignment in the sphere of growing trade and financial liberalization attracted much attention from policymakers and economists. The exchange-rate misalignment is believed to daunt firms from international trade engagement, affecting their profitability, trade balance, and economic growth of nations. Despite adopting the floating exchange-rate system, some nations like the CFA Franc </w:t>
      </w:r>
      <w:r w:rsidRPr="0037197E">
        <w:rPr>
          <w:rFonts w:ascii="Arial" w:hAnsi="Arial" w:cs="Arial"/>
          <w:color w:val="0E101A"/>
        </w:rPr>
        <w:lastRenderedPageBreak/>
        <w:t>nations remained in the fixed-exchange-rate system with some degree of variation from their equilibrium real exchange rate (misalignment). </w:t>
      </w:r>
    </w:p>
    <w:p w14:paraId="282BFA25" w14:textId="7A20AE3C" w:rsidR="00B66AA6" w:rsidRPr="008204CC" w:rsidRDefault="00B66AA6" w:rsidP="0066301C">
      <w:pPr>
        <w:autoSpaceDE w:val="0"/>
        <w:autoSpaceDN w:val="0"/>
        <w:adjustRightInd w:val="0"/>
        <w:spacing w:after="200" w:line="360" w:lineRule="auto"/>
        <w:jc w:val="both"/>
        <w:rPr>
          <w:rFonts w:ascii="Arial" w:eastAsia="Times New Roman" w:hAnsi="Arial" w:cs="Arial"/>
          <w:lang w:val="en-US" w:eastAsia="en-GB"/>
        </w:rPr>
      </w:pPr>
      <w:bookmarkStart w:id="78" w:name="_Hlk170231542"/>
      <w:r w:rsidRPr="008204CC">
        <w:rPr>
          <w:rFonts w:ascii="Arial" w:eastAsia="Times New Roman" w:hAnsi="Arial" w:cs="Arial"/>
          <w:lang w:val="en-US" w:eastAsia="en-GB"/>
        </w:rPr>
        <w:t xml:space="preserve">The definition of the real exchange </w:t>
      </w:r>
      <w:r>
        <w:rPr>
          <w:rFonts w:ascii="Arial" w:eastAsia="Times New Roman" w:hAnsi="Arial" w:cs="Arial"/>
          <w:lang w:val="en-US" w:eastAsia="en-GB"/>
        </w:rPr>
        <w:t xml:space="preserve">rate </w:t>
      </w:r>
      <w:r w:rsidRPr="008204CC">
        <w:rPr>
          <w:rFonts w:ascii="Arial" w:eastAsia="Times New Roman" w:hAnsi="Arial" w:cs="Arial"/>
          <w:lang w:val="en-US" w:eastAsia="en-GB"/>
        </w:rPr>
        <w:t xml:space="preserve">could be group into two main categories. The first definition is in line with the purchasing power parity (PPP), and the second definition is based on the difference between the tradable goods and the non-tradable goods (Dhakir </w:t>
      </w:r>
      <w:r w:rsidRPr="008204CC">
        <w:rPr>
          <w:rFonts w:ascii="Arial" w:eastAsia="Times New Roman" w:hAnsi="Arial" w:cs="Arial"/>
          <w:i/>
          <w:lang w:val="en-US" w:eastAsia="en-GB"/>
        </w:rPr>
        <w:t>et al.,</w:t>
      </w:r>
      <w:r w:rsidRPr="008204CC">
        <w:rPr>
          <w:rFonts w:ascii="Arial" w:eastAsia="Times New Roman" w:hAnsi="Arial" w:cs="Arial"/>
          <w:lang w:val="en-US" w:eastAsia="en-GB"/>
        </w:rPr>
        <w:t xml:space="preserve"> 2014; Edwards, 1989). Though these two definitions might coincide in some cases, they usually give different results when applied in empirical studies</w:t>
      </w:r>
      <w:r>
        <w:rPr>
          <w:rFonts w:ascii="Arial" w:eastAsia="Times New Roman" w:hAnsi="Arial" w:cs="Arial"/>
          <w:lang w:val="en-US" w:eastAsia="en-GB"/>
        </w:rPr>
        <w:t>.</w:t>
      </w:r>
      <w:bookmarkEnd w:id="78"/>
      <w:r>
        <w:rPr>
          <w:rFonts w:ascii="Arial" w:eastAsia="Times New Roman" w:hAnsi="Arial" w:cs="Arial"/>
          <w:lang w:val="en-US" w:eastAsia="en-GB"/>
        </w:rPr>
        <w:t xml:space="preserve"> </w:t>
      </w:r>
      <w:r w:rsidRPr="008204CC">
        <w:rPr>
          <w:rFonts w:ascii="Arial" w:eastAsia="Times New Roman" w:hAnsi="Arial" w:cs="Arial"/>
          <w:lang w:val="en-US" w:eastAsia="en-GB"/>
        </w:rPr>
        <w:t xml:space="preserve">Base on the PPP also known as the external RER, the </w:t>
      </w:r>
      <w:r>
        <w:rPr>
          <w:rFonts w:ascii="Arial" w:eastAsia="Times New Roman" w:hAnsi="Arial" w:cs="Arial"/>
          <w:lang w:val="en-US" w:eastAsia="en-GB"/>
        </w:rPr>
        <w:t xml:space="preserve">RER </w:t>
      </w:r>
      <w:r w:rsidRPr="008204CC">
        <w:rPr>
          <w:rFonts w:ascii="Arial" w:eastAsia="Times New Roman" w:hAnsi="Arial" w:cs="Arial"/>
          <w:lang w:val="en-US" w:eastAsia="en-GB"/>
        </w:rPr>
        <w:t>(</w:t>
      </w:r>
      <m:oMath>
        <m:sSub>
          <m:sSubPr>
            <m:ctrlPr>
              <w:rPr>
                <w:rFonts w:ascii="Cambria Math" w:hAnsi="Cambria Math" w:cs="Arial"/>
                <w:i/>
                <w:lang w:val="en-US"/>
              </w:rPr>
            </m:ctrlPr>
          </m:sSubPr>
          <m:e>
            <m:r>
              <w:rPr>
                <w:rFonts w:ascii="Cambria Math" w:hAnsi="Cambria Math" w:cs="Arial"/>
                <w:lang w:val="en-US"/>
              </w:rPr>
              <m:t>r</m:t>
            </m:r>
          </m:e>
          <m:sub>
            <m:r>
              <w:rPr>
                <w:rFonts w:ascii="Cambria Math" w:hAnsi="Cambria Math" w:cs="Arial"/>
                <w:lang w:val="en-US"/>
              </w:rPr>
              <m:t>ppp</m:t>
            </m:r>
          </m:sub>
        </m:sSub>
      </m:oMath>
      <w:r w:rsidRPr="008204CC">
        <w:rPr>
          <w:rFonts w:ascii="Arial" w:eastAsia="Times New Roman" w:hAnsi="Arial" w:cs="Arial"/>
          <w:lang w:val="en-US" w:eastAsia="en-GB"/>
        </w:rPr>
        <w:t>) is define in the long-term as the nominal exchange rate (</w:t>
      </w:r>
      <w:r w:rsidRPr="008204CC">
        <w:rPr>
          <w:rFonts w:ascii="Arial" w:eastAsia="Times New Roman" w:hAnsi="Arial" w:cs="Arial"/>
          <w:i/>
          <w:lang w:val="en-US" w:eastAsia="en-GB"/>
        </w:rPr>
        <w:t>e</w:t>
      </w:r>
      <w:r w:rsidRPr="008204CC">
        <w:rPr>
          <w:rFonts w:ascii="Arial" w:eastAsia="Times New Roman" w:hAnsi="Arial" w:cs="Arial"/>
          <w:lang w:val="en-US" w:eastAsia="en-GB"/>
        </w:rPr>
        <w:t>) adjusted by the ratio of the foreign price level (</w:t>
      </w:r>
      <w:r w:rsidRPr="008204CC">
        <w:rPr>
          <w:rFonts w:ascii="Arial" w:eastAsia="Times New Roman" w:hAnsi="Arial" w:cs="Arial"/>
          <w:i/>
          <w:lang w:val="en-US" w:eastAsia="en-GB"/>
        </w:rPr>
        <w:t>P</w:t>
      </w:r>
      <w:r w:rsidRPr="008204CC">
        <w:rPr>
          <w:rFonts w:ascii="Arial" w:eastAsia="Times New Roman" w:hAnsi="Arial" w:cs="Arial"/>
          <w:i/>
          <w:vertAlign w:val="subscript"/>
          <w:lang w:val="en-US" w:eastAsia="en-GB"/>
        </w:rPr>
        <w:t>f</w:t>
      </w:r>
      <w:r w:rsidRPr="008204CC">
        <w:rPr>
          <w:rFonts w:ascii="Arial" w:eastAsia="Times New Roman" w:hAnsi="Arial" w:cs="Arial"/>
          <w:lang w:val="en-US" w:eastAsia="en-GB"/>
        </w:rPr>
        <w:t>) to the domestic price level (</w:t>
      </w:r>
      <w:r w:rsidRPr="008204CC">
        <w:rPr>
          <w:rFonts w:ascii="Arial" w:eastAsia="Times New Roman" w:hAnsi="Arial" w:cs="Arial"/>
          <w:i/>
          <w:lang w:val="en-US" w:eastAsia="en-GB"/>
        </w:rPr>
        <w:t>P</w:t>
      </w:r>
      <w:r w:rsidRPr="008204CC">
        <w:rPr>
          <w:rFonts w:ascii="Arial" w:eastAsia="Times New Roman" w:hAnsi="Arial" w:cs="Arial"/>
          <w:lang w:val="en-US" w:eastAsia="en-GB"/>
        </w:rPr>
        <w:t xml:space="preserve">). </w:t>
      </w:r>
      <w:r w:rsidRPr="008204CC">
        <w:rPr>
          <w:rFonts w:ascii="Arial" w:hAnsi="Arial" w:cs="Arial"/>
          <w:lang w:val="en-US"/>
        </w:rPr>
        <w:t>The nominal exchange-rate is the monetary notion which measures two moneys’ relative price.</w:t>
      </w:r>
      <w:r w:rsidRPr="008204CC">
        <w:rPr>
          <w:rFonts w:ascii="Arial" w:eastAsia="Times New Roman" w:hAnsi="Arial" w:cs="Arial"/>
          <w:lang w:val="en-US" w:eastAsia="en-GB"/>
        </w:rPr>
        <w:t xml:space="preserve"> The real exchange rate is mathematically express as</w:t>
      </w:r>
      <w:r>
        <w:rPr>
          <w:rFonts w:ascii="Arial" w:eastAsia="Times New Roman" w:hAnsi="Arial" w:cs="Arial"/>
          <w:lang w:val="en-US" w:eastAsia="en-GB"/>
        </w:rPr>
        <w:t>:</w:t>
      </w:r>
      <w:r w:rsidRPr="008204CC">
        <w:rPr>
          <w:rFonts w:ascii="Arial" w:eastAsia="Times New Roman" w:hAnsi="Arial" w:cs="Arial"/>
          <w:lang w:val="en-US" w:eastAsia="en-GB"/>
        </w:rPr>
        <w:t xml:space="preserve"> </w:t>
      </w:r>
    </w:p>
    <w:p w14:paraId="3A28266C" w14:textId="61C2CF73" w:rsidR="00B66AA6" w:rsidRPr="008204CC" w:rsidRDefault="00000000" w:rsidP="0066301C">
      <w:pPr>
        <w:autoSpaceDE w:val="0"/>
        <w:autoSpaceDN w:val="0"/>
        <w:adjustRightInd w:val="0"/>
        <w:spacing w:after="200" w:line="360" w:lineRule="auto"/>
        <w:jc w:val="center"/>
        <w:rPr>
          <w:rFonts w:ascii="Arial" w:hAnsi="Arial" w:cs="Arial"/>
          <w:lang w:val="en-US"/>
        </w:rPr>
      </w:pPr>
      <m:oMath>
        <m:sSub>
          <m:sSubPr>
            <m:ctrlPr>
              <w:rPr>
                <w:rFonts w:ascii="Cambria Math" w:hAnsi="Cambria Math" w:cs="Arial"/>
                <w:i/>
                <w:lang w:val="en-US"/>
              </w:rPr>
            </m:ctrlPr>
          </m:sSubPr>
          <m:e>
            <m:r>
              <w:rPr>
                <w:rFonts w:ascii="Cambria Math" w:hAnsi="Cambria Math" w:cs="Arial"/>
                <w:lang w:val="en-US"/>
              </w:rPr>
              <m:t>r</m:t>
            </m:r>
          </m:e>
          <m:sub>
            <m:r>
              <w:rPr>
                <w:rFonts w:ascii="Cambria Math" w:hAnsi="Cambria Math" w:cs="Arial"/>
                <w:lang w:val="en-US"/>
              </w:rPr>
              <m:t>ppp</m:t>
            </m:r>
          </m:sub>
        </m:sSub>
        <m:r>
          <w:rPr>
            <w:rFonts w:ascii="Cambria Math" w:hAnsi="Cambria Math" w:cs="Arial"/>
            <w:lang w:val="en-US"/>
          </w:rPr>
          <m:t xml:space="preserve">= </m:t>
        </m:r>
        <m:f>
          <m:fPr>
            <m:ctrlPr>
              <w:rPr>
                <w:rFonts w:ascii="Cambria Math" w:eastAsia="Times New Roman" w:hAnsi="Cambria Math" w:cs="Arial"/>
                <w:b/>
                <w:i/>
                <w:lang w:val="en-US" w:eastAsia="en-GB"/>
              </w:rPr>
            </m:ctrlPr>
          </m:fPr>
          <m:num>
            <m:r>
              <m:rPr>
                <m:sty m:val="p"/>
              </m:rPr>
              <w:rPr>
                <w:rFonts w:ascii="Cambria Math" w:hAnsi="Cambria Math" w:cs="Arial"/>
                <w:u w:val="single"/>
                <w:lang w:val="en-US"/>
              </w:rPr>
              <m:t>Nominal exchange rate x Foreign price</m:t>
            </m:r>
          </m:num>
          <m:den>
            <m:r>
              <m:rPr>
                <m:sty m:val="p"/>
              </m:rPr>
              <w:rPr>
                <w:rFonts w:ascii="Cambria Math" w:hAnsi="Cambria Math" w:cs="Arial"/>
                <w:lang w:val="en-US"/>
              </w:rPr>
              <m:t>Domestic price</m:t>
            </m:r>
          </m:den>
        </m:f>
        <m:r>
          <m:rPr>
            <m:sty m:val="p"/>
          </m:rPr>
          <w:rPr>
            <w:rFonts w:ascii="Cambria Math" w:hAnsi="Cambria Math" w:cs="Arial"/>
            <w:lang w:val="en-US"/>
          </w:rPr>
          <m:t xml:space="preserve">= </m:t>
        </m:r>
        <m:r>
          <w:rPr>
            <w:rFonts w:ascii="Cambria Math" w:hAnsi="Cambria Math" w:cs="Arial"/>
            <w:lang w:val="en-US"/>
          </w:rPr>
          <m:t>e</m:t>
        </m:r>
        <m:f>
          <m:fPr>
            <m:ctrlPr>
              <w:rPr>
                <w:rFonts w:ascii="Cambria Math" w:hAnsi="Cambria Math" w:cs="Arial"/>
                <w:i/>
                <w:lang w:val="en-US"/>
              </w:rPr>
            </m:ctrlPr>
          </m:fPr>
          <m:num>
            <m:sSub>
              <m:sSubPr>
                <m:ctrlPr>
                  <w:rPr>
                    <w:rFonts w:ascii="Cambria Math" w:hAnsi="Cambria Math" w:cs="Arial"/>
                    <w:i/>
                    <w:lang w:val="en-US"/>
                  </w:rPr>
                </m:ctrlPr>
              </m:sSubPr>
              <m:e>
                <m:r>
                  <w:rPr>
                    <w:rFonts w:ascii="Cambria Math" w:hAnsi="Cambria Math" w:cs="Arial"/>
                    <w:lang w:val="en-US"/>
                  </w:rPr>
                  <m:t>P</m:t>
                </m:r>
              </m:e>
              <m:sub>
                <m:r>
                  <w:rPr>
                    <w:rFonts w:ascii="Cambria Math" w:hAnsi="Cambria Math" w:cs="Arial"/>
                    <w:lang w:val="en-US"/>
                  </w:rPr>
                  <m:t>f</m:t>
                </m:r>
              </m:sub>
            </m:sSub>
          </m:num>
          <m:den>
            <m:r>
              <w:rPr>
                <w:rFonts w:ascii="Cambria Math" w:hAnsi="Cambria Math" w:cs="Arial"/>
                <w:lang w:val="en-US"/>
              </w:rPr>
              <m:t>P</m:t>
            </m:r>
          </m:den>
        </m:f>
        <m:r>
          <m:rPr>
            <m:sty m:val="bi"/>
          </m:rPr>
          <w:rPr>
            <w:rFonts w:ascii="Cambria Math" w:eastAsia="Times New Roman" w:hAnsi="Cambria Math" w:cs="Arial"/>
            <w:lang w:val="en-US" w:eastAsia="en-GB"/>
          </w:rPr>
          <m:t xml:space="preserve"> </m:t>
        </m:r>
      </m:oMath>
      <w:r w:rsidR="00B66AA6" w:rsidRPr="008204CC">
        <w:rPr>
          <w:rFonts w:ascii="Arial" w:hAnsi="Arial" w:cs="Arial"/>
          <w:lang w:val="en-US"/>
        </w:rPr>
        <w:tab/>
      </w:r>
      <w:r w:rsidR="00B66AA6">
        <w:rPr>
          <w:rFonts w:ascii="Arial" w:hAnsi="Arial" w:cs="Arial"/>
          <w:lang w:val="en-US"/>
        </w:rPr>
        <w:t xml:space="preserve">              </w:t>
      </w:r>
      <w:r w:rsidR="008C59C7">
        <w:rPr>
          <w:rFonts w:ascii="Arial" w:hAnsi="Arial" w:cs="Arial"/>
          <w:lang w:val="en-US"/>
        </w:rPr>
        <w:t xml:space="preserve">    </w:t>
      </w:r>
      <w:r w:rsidR="00B66AA6">
        <w:rPr>
          <w:rFonts w:ascii="Arial" w:hAnsi="Arial" w:cs="Arial"/>
          <w:lang w:val="en-US"/>
        </w:rPr>
        <w:t xml:space="preserve">                            </w:t>
      </w:r>
      <w:r w:rsidR="00B66AA6" w:rsidRPr="008204CC">
        <w:rPr>
          <w:rFonts w:ascii="Arial" w:hAnsi="Arial" w:cs="Arial"/>
          <w:lang w:val="en-US"/>
        </w:rPr>
        <w:t>(2.1)</w:t>
      </w:r>
    </w:p>
    <w:p w14:paraId="3156D3ED" w14:textId="25BBAD78" w:rsidR="00B66AA6" w:rsidRDefault="00B66AA6" w:rsidP="0066301C">
      <w:pPr>
        <w:spacing w:line="360" w:lineRule="auto"/>
        <w:jc w:val="both"/>
        <w:rPr>
          <w:rFonts w:ascii="Arial" w:eastAsia="Times New Roman" w:hAnsi="Arial" w:cs="Arial"/>
          <w:lang w:val="en-US" w:eastAsia="en-GB"/>
        </w:rPr>
      </w:pPr>
      <w:r w:rsidRPr="008204CC">
        <w:rPr>
          <w:rFonts w:ascii="Arial" w:hAnsi="Arial" w:cs="Arial"/>
          <w:lang w:val="en-US"/>
        </w:rPr>
        <w:t xml:space="preserve">From the above definition, a decline in the real exchange rate </w:t>
      </w:r>
      <w:r w:rsidRPr="008204CC">
        <w:rPr>
          <w:rFonts w:ascii="Arial" w:eastAsia="Times New Roman" w:hAnsi="Arial" w:cs="Arial"/>
          <w:lang w:val="en-US" w:eastAsia="en-GB"/>
        </w:rPr>
        <w:t>(</w:t>
      </w:r>
      <w:r w:rsidRPr="008204CC">
        <w:rPr>
          <w:rFonts w:ascii="Arial" w:eastAsia="Times New Roman" w:hAnsi="Arial" w:cs="Arial"/>
          <w:i/>
          <w:lang w:val="en-US" w:eastAsia="en-GB"/>
        </w:rPr>
        <w:t>r</w:t>
      </w:r>
      <w:r w:rsidRPr="008204CC">
        <w:rPr>
          <w:rFonts w:ascii="Arial" w:eastAsia="Times New Roman" w:hAnsi="Arial" w:cs="Arial"/>
          <w:vertAlign w:val="subscript"/>
          <w:lang w:val="en-US" w:eastAsia="en-GB"/>
        </w:rPr>
        <w:t>ppp</w:t>
      </w:r>
      <w:r w:rsidRPr="008204CC">
        <w:rPr>
          <w:rFonts w:ascii="Arial" w:eastAsia="Times New Roman" w:hAnsi="Arial" w:cs="Arial"/>
          <w:lang w:val="en-US" w:eastAsia="en-GB"/>
        </w:rPr>
        <w:t xml:space="preserve">) means that there is appreciation of the domestic currency, as this indicates that few units of domestic currency </w:t>
      </w:r>
      <w:r>
        <w:rPr>
          <w:rFonts w:ascii="Arial" w:eastAsia="Times New Roman" w:hAnsi="Arial" w:cs="Arial"/>
          <w:lang w:val="en-US" w:eastAsia="en-GB"/>
        </w:rPr>
        <w:t>are</w:t>
      </w:r>
      <w:r w:rsidRPr="008204CC">
        <w:rPr>
          <w:rFonts w:ascii="Arial" w:eastAsia="Times New Roman" w:hAnsi="Arial" w:cs="Arial"/>
          <w:lang w:val="en-US" w:eastAsia="en-GB"/>
        </w:rPr>
        <w:t xml:space="preserve"> required to purchase the same one unit of foreign currency.</w:t>
      </w:r>
    </w:p>
    <w:p w14:paraId="6B0D0B01" w14:textId="77C86D04" w:rsidR="00B66AA6" w:rsidRPr="008204CC" w:rsidRDefault="00B66AA6" w:rsidP="0066301C">
      <w:pPr>
        <w:autoSpaceDE w:val="0"/>
        <w:autoSpaceDN w:val="0"/>
        <w:adjustRightInd w:val="0"/>
        <w:spacing w:after="200" w:line="360" w:lineRule="auto"/>
        <w:jc w:val="both"/>
        <w:rPr>
          <w:rFonts w:ascii="Arial" w:eastAsia="Times New Roman" w:hAnsi="Arial" w:cs="Arial"/>
          <w:lang w:val="en-US" w:eastAsia="en-GB"/>
        </w:rPr>
      </w:pPr>
      <w:r w:rsidRPr="008204CC">
        <w:rPr>
          <w:rFonts w:ascii="Arial" w:eastAsia="Times New Roman" w:hAnsi="Arial" w:cs="Arial"/>
          <w:lang w:val="en-US" w:eastAsia="en-GB"/>
        </w:rPr>
        <w:t>The second definition is the tradable/non-tradable</w:t>
      </w:r>
      <w:r w:rsidR="001A7FA7">
        <w:rPr>
          <w:rFonts w:ascii="Arial" w:eastAsia="Times New Roman" w:hAnsi="Arial" w:cs="Arial"/>
          <w:lang w:val="en-US" w:eastAsia="en-GB"/>
        </w:rPr>
        <w:t>,</w:t>
      </w:r>
      <w:r w:rsidRPr="008204CC">
        <w:rPr>
          <w:rFonts w:ascii="Arial" w:eastAsia="Times New Roman" w:hAnsi="Arial" w:cs="Arial"/>
          <w:lang w:val="en-US" w:eastAsia="en-GB"/>
        </w:rPr>
        <w:t xml:space="preserve"> also referred to as the internal </w:t>
      </w:r>
      <w:r>
        <w:rPr>
          <w:rFonts w:ascii="Arial" w:eastAsia="Times New Roman" w:hAnsi="Arial" w:cs="Arial"/>
          <w:lang w:val="en-US" w:eastAsia="en-GB"/>
        </w:rPr>
        <w:t xml:space="preserve">real exchange rate </w:t>
      </w:r>
      <w:r w:rsidRPr="008204CC">
        <w:rPr>
          <w:rFonts w:ascii="Arial" w:eastAsia="Times New Roman" w:hAnsi="Arial" w:cs="Arial"/>
          <w:lang w:val="en-US" w:eastAsia="en-GB"/>
        </w:rPr>
        <w:t>(</w:t>
      </w:r>
      <w:r w:rsidRPr="008204CC">
        <w:rPr>
          <w:rFonts w:ascii="Arial" w:eastAsia="Times New Roman" w:hAnsi="Arial" w:cs="Arial"/>
          <w:i/>
          <w:lang w:val="en-US" w:eastAsia="en-GB"/>
        </w:rPr>
        <w:t>r</w:t>
      </w:r>
      <w:r w:rsidRPr="003473F0">
        <w:rPr>
          <w:rFonts w:ascii="Arial" w:eastAsia="Times New Roman" w:hAnsi="Arial" w:cs="Arial"/>
          <w:vertAlign w:val="subscript"/>
          <w:lang w:val="en-US" w:eastAsia="en-GB"/>
        </w:rPr>
        <w:t>Int</w:t>
      </w:r>
      <w:r w:rsidRPr="008204CC">
        <w:rPr>
          <w:rFonts w:ascii="Arial" w:eastAsia="Times New Roman" w:hAnsi="Arial" w:cs="Arial"/>
          <w:lang w:val="en-US" w:eastAsia="en-GB"/>
        </w:rPr>
        <w:t>). It deals with the relative price of the tradables with respect to non–tradables (Edward, 1989; Hinkle and Nsengiyumva, 1999). The rationale of this definition is that the cost differential between nations is interrelated with the relative price structures in the economies. With the assumption that the prices of tradables are equal around the world via trade</w:t>
      </w:r>
      <w:r>
        <w:rPr>
          <w:rFonts w:ascii="Arial" w:eastAsia="Times New Roman" w:hAnsi="Arial" w:cs="Arial"/>
          <w:lang w:val="en-US" w:eastAsia="en-GB"/>
        </w:rPr>
        <w:t>. T</w:t>
      </w:r>
      <w:r w:rsidRPr="008204CC">
        <w:rPr>
          <w:rFonts w:ascii="Arial" w:eastAsia="Times New Roman" w:hAnsi="Arial" w:cs="Arial"/>
          <w:lang w:val="en-US" w:eastAsia="en-GB"/>
        </w:rPr>
        <w:t>he real exchange rate defines base</w:t>
      </w:r>
      <w:r>
        <w:rPr>
          <w:rFonts w:ascii="Arial" w:eastAsia="Times New Roman" w:hAnsi="Arial" w:cs="Arial"/>
          <w:lang w:val="en-US" w:eastAsia="en-GB"/>
        </w:rPr>
        <w:t>d</w:t>
      </w:r>
      <w:r w:rsidRPr="008204CC">
        <w:rPr>
          <w:rFonts w:ascii="Arial" w:eastAsia="Times New Roman" w:hAnsi="Arial" w:cs="Arial"/>
          <w:lang w:val="en-US" w:eastAsia="en-GB"/>
        </w:rPr>
        <w:t xml:space="preserve"> on the tradable and non-tradable goods distinction is mathematically </w:t>
      </w:r>
      <w:r w:rsidR="008C59C7" w:rsidRPr="008204CC">
        <w:rPr>
          <w:rFonts w:ascii="Arial" w:eastAsia="Times New Roman" w:hAnsi="Arial" w:cs="Arial"/>
          <w:lang w:val="en-US" w:eastAsia="en-GB"/>
        </w:rPr>
        <w:t>express</w:t>
      </w:r>
      <w:r w:rsidRPr="008204CC">
        <w:rPr>
          <w:rFonts w:ascii="Arial" w:eastAsia="Times New Roman" w:hAnsi="Arial" w:cs="Arial"/>
          <w:lang w:val="en-US" w:eastAsia="en-GB"/>
        </w:rPr>
        <w:t xml:space="preserve"> as</w:t>
      </w:r>
      <w:r>
        <w:rPr>
          <w:rFonts w:ascii="Arial" w:eastAsia="Times New Roman" w:hAnsi="Arial" w:cs="Arial"/>
          <w:lang w:val="en-US" w:eastAsia="en-GB"/>
        </w:rPr>
        <w:t>:</w:t>
      </w:r>
      <w:r w:rsidRPr="008204CC">
        <w:rPr>
          <w:rFonts w:ascii="Arial" w:eastAsia="Times New Roman" w:hAnsi="Arial" w:cs="Arial"/>
          <w:lang w:val="en-US" w:eastAsia="en-GB"/>
        </w:rPr>
        <w:t xml:space="preserve"> </w:t>
      </w:r>
    </w:p>
    <w:p w14:paraId="6E6C1262" w14:textId="511F9EB8" w:rsidR="00B66AA6" w:rsidRPr="008204CC" w:rsidRDefault="00000000" w:rsidP="0066301C">
      <w:pPr>
        <w:autoSpaceDE w:val="0"/>
        <w:autoSpaceDN w:val="0"/>
        <w:adjustRightInd w:val="0"/>
        <w:spacing w:after="200" w:line="360" w:lineRule="auto"/>
        <w:jc w:val="center"/>
        <w:rPr>
          <w:rFonts w:ascii="Arial" w:eastAsia="Times New Roman" w:hAnsi="Arial" w:cs="Arial"/>
          <w:lang w:val="en-US" w:eastAsia="en-GB"/>
        </w:rPr>
      </w:pPr>
      <m:oMath>
        <m:sSub>
          <m:sSubPr>
            <m:ctrlPr>
              <w:rPr>
                <w:rFonts w:ascii="Cambria Math" w:eastAsia="Times New Roman" w:hAnsi="Cambria Math" w:cs="Arial"/>
                <w:b/>
                <w:i/>
                <w:lang w:val="en-US" w:eastAsia="en-GB"/>
              </w:rPr>
            </m:ctrlPr>
          </m:sSubPr>
          <m:e>
            <m:r>
              <m:rPr>
                <m:sty m:val="bi"/>
              </m:rPr>
              <w:rPr>
                <w:rFonts w:ascii="Cambria Math" w:eastAsia="Times New Roman" w:hAnsi="Cambria Math" w:cs="Arial"/>
                <w:lang w:val="en-US" w:eastAsia="en-GB"/>
              </w:rPr>
              <m:t>r</m:t>
            </m:r>
          </m:e>
          <m:sub>
            <m:r>
              <m:rPr>
                <m:sty m:val="bi"/>
              </m:rPr>
              <w:rPr>
                <w:rFonts w:ascii="Cambria Math" w:eastAsia="Times New Roman" w:hAnsi="Cambria Math" w:cs="Arial"/>
                <w:lang w:val="en-US" w:eastAsia="en-GB"/>
              </w:rPr>
              <m:t>Int</m:t>
            </m:r>
          </m:sub>
        </m:sSub>
        <m:r>
          <w:rPr>
            <w:rFonts w:ascii="Cambria Math" w:eastAsia="Times New Roman" w:hAnsi="Cambria Math" w:cs="Arial"/>
            <w:lang w:val="en-US" w:eastAsia="en-GB"/>
          </w:rPr>
          <m:t>=</m:t>
        </m:r>
        <m:f>
          <m:fPr>
            <m:ctrlPr>
              <w:rPr>
                <w:rFonts w:ascii="Cambria Math" w:eastAsia="Times New Roman" w:hAnsi="Cambria Math" w:cs="Arial"/>
                <w:b/>
                <w:i/>
                <w:lang w:val="en-US" w:eastAsia="en-GB"/>
              </w:rPr>
            </m:ctrlPr>
          </m:fPr>
          <m:num>
            <m:r>
              <m:rPr>
                <m:sty m:val="p"/>
              </m:rPr>
              <w:rPr>
                <w:rFonts w:ascii="Cambria Math" w:hAnsi="Cambria Math" w:cs="Arial"/>
                <w:u w:val="single"/>
                <w:lang w:val="en-US"/>
              </w:rPr>
              <m:t>Price of tradable goods</m:t>
            </m:r>
          </m:num>
          <m:den>
            <m:r>
              <m:rPr>
                <m:sty m:val="p"/>
              </m:rPr>
              <w:rPr>
                <w:rFonts w:ascii="Cambria Math" w:hAnsi="Cambria Math" w:cs="Arial"/>
                <w:lang w:val="en-US"/>
              </w:rPr>
              <m:t>Price of non-tradable goods</m:t>
            </m:r>
          </m:den>
        </m:f>
        <m:r>
          <m:rPr>
            <m:sty m:val="b"/>
          </m:rPr>
          <w:rPr>
            <w:rFonts w:ascii="Cambria Math" w:eastAsia="Times New Roman" w:hAnsi="Cambria Math" w:cs="Arial"/>
            <w:lang w:val="en-US" w:eastAsia="en-GB"/>
          </w:rPr>
          <m:t>=</m:t>
        </m:r>
        <m:f>
          <m:fPr>
            <m:ctrlPr>
              <w:rPr>
                <w:rFonts w:ascii="Cambria Math" w:eastAsia="Times New Roman" w:hAnsi="Cambria Math" w:cs="Arial"/>
                <w:b/>
                <w:i/>
                <w:lang w:val="en-US" w:eastAsia="en-GB"/>
              </w:rPr>
            </m:ctrlPr>
          </m:fPr>
          <m:num>
            <m:sSub>
              <m:sSubPr>
                <m:ctrlPr>
                  <w:rPr>
                    <w:rFonts w:ascii="Cambria Math" w:eastAsia="Times New Roman" w:hAnsi="Cambria Math" w:cs="Arial"/>
                    <w:b/>
                    <w:i/>
                    <w:lang w:val="en-US" w:eastAsia="en-GB"/>
                  </w:rPr>
                </m:ctrlPr>
              </m:sSubPr>
              <m:e>
                <m:r>
                  <m:rPr>
                    <m:sty m:val="bi"/>
                  </m:rPr>
                  <w:rPr>
                    <w:rFonts w:ascii="Cambria Math" w:eastAsia="Times New Roman" w:hAnsi="Cambria Math" w:cs="Arial"/>
                    <w:lang w:val="en-US" w:eastAsia="en-GB"/>
                  </w:rPr>
                  <m:t>P</m:t>
                </m:r>
              </m:e>
              <m:sub>
                <m:r>
                  <m:rPr>
                    <m:sty m:val="bi"/>
                  </m:rPr>
                  <w:rPr>
                    <w:rFonts w:ascii="Cambria Math" w:eastAsia="Times New Roman" w:hAnsi="Cambria Math" w:cs="Arial"/>
                    <w:lang w:val="en-US" w:eastAsia="en-GB"/>
                  </w:rPr>
                  <m:t>t</m:t>
                </m:r>
              </m:sub>
            </m:sSub>
          </m:num>
          <m:den>
            <m:sSub>
              <m:sSubPr>
                <m:ctrlPr>
                  <w:rPr>
                    <w:rFonts w:ascii="Cambria Math" w:eastAsia="Times New Roman" w:hAnsi="Cambria Math" w:cs="Arial"/>
                    <w:b/>
                    <w:i/>
                    <w:lang w:val="en-US" w:eastAsia="en-GB"/>
                  </w:rPr>
                </m:ctrlPr>
              </m:sSubPr>
              <m:e>
                <m:r>
                  <m:rPr>
                    <m:sty m:val="bi"/>
                  </m:rPr>
                  <w:rPr>
                    <w:rFonts w:ascii="Cambria Math" w:eastAsia="Times New Roman" w:hAnsi="Cambria Math" w:cs="Arial"/>
                    <w:lang w:val="en-US" w:eastAsia="en-GB"/>
                  </w:rPr>
                  <m:t>P</m:t>
                </m:r>
              </m:e>
              <m:sub>
                <m:r>
                  <m:rPr>
                    <m:sty m:val="bi"/>
                  </m:rPr>
                  <w:rPr>
                    <w:rFonts w:ascii="Cambria Math" w:eastAsia="Times New Roman" w:hAnsi="Cambria Math" w:cs="Arial"/>
                    <w:lang w:val="en-US" w:eastAsia="en-GB"/>
                  </w:rPr>
                  <m:t>n</m:t>
                </m:r>
              </m:sub>
            </m:sSub>
          </m:den>
        </m:f>
        <m:r>
          <m:rPr>
            <m:sty m:val="b"/>
          </m:rPr>
          <w:rPr>
            <w:rFonts w:ascii="Cambria Math" w:eastAsia="Times New Roman" w:hAnsi="Cambria Math" w:cs="Arial"/>
            <w:lang w:val="en-US" w:eastAsia="en-GB"/>
          </w:rPr>
          <m:t>=</m:t>
        </m:r>
        <m:r>
          <w:rPr>
            <w:rFonts w:ascii="Cambria Math" w:eastAsia="Times New Roman" w:hAnsi="Cambria Math" w:cs="Arial"/>
            <w:lang w:val="en-US" w:eastAsia="en-GB"/>
          </w:rPr>
          <m:t>e</m:t>
        </m:r>
        <m:f>
          <m:fPr>
            <m:ctrlPr>
              <w:rPr>
                <w:rFonts w:ascii="Cambria Math" w:eastAsia="Times New Roman" w:hAnsi="Cambria Math" w:cs="Arial"/>
                <w:b/>
                <w:i/>
                <w:lang w:val="en-US" w:eastAsia="en-GB"/>
              </w:rPr>
            </m:ctrlPr>
          </m:fPr>
          <m:num>
            <m:sSubSup>
              <m:sSubSupPr>
                <m:ctrlPr>
                  <w:rPr>
                    <w:rFonts w:ascii="Cambria Math" w:eastAsia="Times New Roman" w:hAnsi="Cambria Math" w:cs="Arial"/>
                    <w:b/>
                    <w:i/>
                    <w:lang w:val="en-US" w:eastAsia="en-GB"/>
                  </w:rPr>
                </m:ctrlPr>
              </m:sSubSupPr>
              <m:e>
                <m:r>
                  <m:rPr>
                    <m:sty m:val="bi"/>
                  </m:rPr>
                  <w:rPr>
                    <w:rFonts w:ascii="Cambria Math" w:eastAsia="Times New Roman" w:hAnsi="Cambria Math" w:cs="Arial"/>
                    <w:lang w:val="en-US" w:eastAsia="en-GB"/>
                  </w:rPr>
                  <m:t>p</m:t>
                </m:r>
              </m:e>
              <m:sub>
                <m:r>
                  <m:rPr>
                    <m:sty m:val="bi"/>
                  </m:rPr>
                  <w:rPr>
                    <w:rFonts w:ascii="Cambria Math" w:eastAsia="Times New Roman" w:hAnsi="Cambria Math" w:cs="Arial"/>
                    <w:lang w:val="en-US" w:eastAsia="en-GB"/>
                  </w:rPr>
                  <m:t>t</m:t>
                </m:r>
              </m:sub>
              <m:sup>
                <m:r>
                  <m:rPr>
                    <m:sty m:val="bi"/>
                  </m:rPr>
                  <w:rPr>
                    <w:rFonts w:ascii="Cambria Math" w:eastAsia="Times New Roman" w:hAnsi="Cambria Math" w:cs="Arial"/>
                    <w:lang w:val="en-US" w:eastAsia="en-GB"/>
                  </w:rPr>
                  <m:t>*</m:t>
                </m:r>
              </m:sup>
            </m:sSubSup>
          </m:num>
          <m:den>
            <m:sSubSup>
              <m:sSubSupPr>
                <m:ctrlPr>
                  <w:rPr>
                    <w:rFonts w:ascii="Cambria Math" w:eastAsia="Times New Roman" w:hAnsi="Cambria Math" w:cs="Arial"/>
                    <w:b/>
                    <w:i/>
                    <w:lang w:val="en-US" w:eastAsia="en-GB"/>
                  </w:rPr>
                </m:ctrlPr>
              </m:sSubSupPr>
              <m:e>
                <m:r>
                  <m:rPr>
                    <m:sty m:val="bi"/>
                  </m:rPr>
                  <w:rPr>
                    <w:rFonts w:ascii="Cambria Math" w:eastAsia="Times New Roman" w:hAnsi="Cambria Math" w:cs="Arial"/>
                    <w:lang w:val="en-US" w:eastAsia="en-GB"/>
                  </w:rPr>
                  <m:t>p</m:t>
                </m:r>
              </m:e>
              <m:sub>
                <m:r>
                  <m:rPr>
                    <m:sty m:val="bi"/>
                  </m:rPr>
                  <w:rPr>
                    <w:rFonts w:ascii="Cambria Math" w:eastAsia="Times New Roman" w:hAnsi="Cambria Math" w:cs="Arial"/>
                    <w:lang w:val="en-US" w:eastAsia="en-GB"/>
                  </w:rPr>
                  <m:t>n</m:t>
                </m:r>
              </m:sub>
              <m:sup>
                <m:r>
                  <m:rPr>
                    <m:sty m:val="bi"/>
                  </m:rPr>
                  <w:rPr>
                    <w:rFonts w:ascii="Cambria Math" w:eastAsia="Times New Roman" w:hAnsi="Cambria Math" w:cs="Arial"/>
                    <w:lang w:val="en-US" w:eastAsia="en-GB"/>
                  </w:rPr>
                  <m:t>*</m:t>
                </m:r>
              </m:sup>
            </m:sSubSup>
          </m:den>
        </m:f>
      </m:oMath>
      <w:r w:rsidR="00B66AA6" w:rsidRPr="008204CC">
        <w:rPr>
          <w:rFonts w:ascii="Arial" w:eastAsia="Times New Roman" w:hAnsi="Arial" w:cs="Arial"/>
          <w:b/>
          <w:lang w:val="en-US" w:eastAsia="en-GB"/>
        </w:rPr>
        <w:tab/>
        <w:t xml:space="preserve"> </w:t>
      </w:r>
      <w:r w:rsidR="00B66AA6">
        <w:rPr>
          <w:rFonts w:ascii="Arial" w:eastAsia="Times New Roman" w:hAnsi="Arial" w:cs="Arial"/>
          <w:b/>
          <w:lang w:val="en-US" w:eastAsia="en-GB"/>
        </w:rPr>
        <w:t xml:space="preserve">          </w:t>
      </w:r>
      <w:r w:rsidR="008C59C7">
        <w:rPr>
          <w:rFonts w:ascii="Arial" w:eastAsia="Times New Roman" w:hAnsi="Arial" w:cs="Arial"/>
          <w:b/>
          <w:lang w:val="en-US" w:eastAsia="en-GB"/>
        </w:rPr>
        <w:t xml:space="preserve">        </w:t>
      </w:r>
      <w:r w:rsidR="00B66AA6">
        <w:rPr>
          <w:rFonts w:ascii="Arial" w:eastAsia="Times New Roman" w:hAnsi="Arial" w:cs="Arial"/>
          <w:b/>
          <w:lang w:val="en-US" w:eastAsia="en-GB"/>
        </w:rPr>
        <w:t xml:space="preserve">                         </w:t>
      </w:r>
      <w:r w:rsidR="00B66AA6" w:rsidRPr="008204CC">
        <w:rPr>
          <w:rFonts w:ascii="Arial" w:eastAsia="Times New Roman" w:hAnsi="Arial" w:cs="Arial"/>
          <w:b/>
          <w:lang w:val="en-US" w:eastAsia="en-GB"/>
        </w:rPr>
        <w:tab/>
      </w:r>
      <w:r w:rsidR="008C59C7">
        <w:rPr>
          <w:rFonts w:ascii="Arial" w:eastAsia="Times New Roman" w:hAnsi="Arial" w:cs="Arial"/>
          <w:b/>
          <w:lang w:val="en-US" w:eastAsia="en-GB"/>
        </w:rPr>
        <w:t xml:space="preserve">      </w:t>
      </w:r>
      <w:r w:rsidR="00B66AA6" w:rsidRPr="008204CC">
        <w:rPr>
          <w:rFonts w:ascii="Arial" w:eastAsia="Times New Roman" w:hAnsi="Arial" w:cs="Arial"/>
          <w:lang w:val="en-US" w:eastAsia="en-GB"/>
        </w:rPr>
        <w:t>(2.2)</w:t>
      </w:r>
    </w:p>
    <w:p w14:paraId="430A1E88" w14:textId="2EF15098" w:rsidR="00B66AA6" w:rsidRPr="008204CC" w:rsidRDefault="00B66AA6" w:rsidP="0066301C">
      <w:pPr>
        <w:autoSpaceDE w:val="0"/>
        <w:autoSpaceDN w:val="0"/>
        <w:adjustRightInd w:val="0"/>
        <w:spacing w:after="200" w:line="360" w:lineRule="auto"/>
        <w:jc w:val="both"/>
        <w:rPr>
          <w:rFonts w:ascii="Arial" w:eastAsia="Times New Roman" w:hAnsi="Arial" w:cs="Arial"/>
          <w:lang w:val="en-US" w:eastAsia="en-GB"/>
        </w:rPr>
      </w:pPr>
      <w:r w:rsidRPr="008204CC">
        <w:rPr>
          <w:rFonts w:ascii="Arial" w:eastAsia="Times New Roman" w:hAnsi="Arial" w:cs="Arial"/>
          <w:lang w:val="en-US" w:eastAsia="en-GB"/>
        </w:rPr>
        <w:t xml:space="preserve">From the above formula, </w:t>
      </w:r>
      <w:r w:rsidRPr="008204CC">
        <w:rPr>
          <w:rFonts w:ascii="Arial" w:eastAsia="Times New Roman" w:hAnsi="Arial" w:cs="Arial"/>
          <w:i/>
          <w:lang w:val="en-US" w:eastAsia="en-GB"/>
        </w:rPr>
        <w:t>P</w:t>
      </w:r>
      <w:r w:rsidRPr="008204CC">
        <w:rPr>
          <w:rFonts w:ascii="Arial" w:eastAsia="Times New Roman" w:hAnsi="Arial" w:cs="Arial"/>
          <w:i/>
          <w:vertAlign w:val="subscript"/>
          <w:lang w:val="en-US" w:eastAsia="en-GB"/>
        </w:rPr>
        <w:t>t</w:t>
      </w:r>
      <w:r w:rsidRPr="008204CC">
        <w:rPr>
          <w:rFonts w:ascii="Arial" w:eastAsia="Times New Roman" w:hAnsi="Arial" w:cs="Arial"/>
          <w:lang w:val="en-US" w:eastAsia="en-GB"/>
        </w:rPr>
        <w:t xml:space="preserve"> (</w:t>
      </w:r>
      <w:r w:rsidRPr="008204CC">
        <w:rPr>
          <w:rFonts w:ascii="Arial" w:eastAsia="Times New Roman" w:hAnsi="Arial" w:cs="Arial"/>
          <w:i/>
          <w:vertAlign w:val="subscript"/>
          <w:lang w:val="en-US" w:eastAsia="en-GB"/>
        </w:rPr>
        <w:t xml:space="preserve"> </w:t>
      </w:r>
      <m:oMath>
        <m:sSubSup>
          <m:sSubSupPr>
            <m:ctrlPr>
              <w:rPr>
                <w:rFonts w:ascii="Cambria Math" w:eastAsia="Times New Roman" w:hAnsi="Cambria Math" w:cs="Arial"/>
                <w:i/>
                <w:lang w:val="en-US" w:eastAsia="en-GB"/>
              </w:rPr>
            </m:ctrlPr>
          </m:sSubSupPr>
          <m:e>
            <m:r>
              <w:rPr>
                <w:rFonts w:ascii="Cambria Math" w:eastAsia="Times New Roman" w:hAnsi="Cambria Math" w:cs="Arial"/>
                <w:lang w:val="en-US" w:eastAsia="en-GB"/>
              </w:rPr>
              <m:t>p</m:t>
            </m:r>
          </m:e>
          <m:sub>
            <m:r>
              <w:rPr>
                <w:rFonts w:ascii="Cambria Math" w:eastAsia="Times New Roman" w:hAnsi="Cambria Math" w:cs="Arial"/>
                <w:lang w:val="en-US" w:eastAsia="en-GB"/>
              </w:rPr>
              <m:t>t</m:t>
            </m:r>
          </m:sub>
          <m:sup>
            <m:r>
              <w:rPr>
                <w:rFonts w:ascii="Cambria Math" w:eastAsia="Times New Roman" w:hAnsi="Cambria Math" w:cs="Arial"/>
                <w:lang w:val="en-US" w:eastAsia="en-GB"/>
              </w:rPr>
              <m:t>*</m:t>
            </m:r>
          </m:sup>
        </m:sSubSup>
      </m:oMath>
      <w:r w:rsidRPr="008204CC">
        <w:rPr>
          <w:rFonts w:ascii="Arial" w:eastAsia="Times New Roman" w:hAnsi="Arial" w:cs="Arial"/>
          <w:lang w:val="en-US" w:eastAsia="en-GB"/>
        </w:rPr>
        <w:t xml:space="preserve">) is the domestic (international) price of tradables, while </w:t>
      </w:r>
      <w:r w:rsidRPr="008204CC">
        <w:rPr>
          <w:rFonts w:ascii="Arial" w:eastAsia="Times New Roman" w:hAnsi="Arial" w:cs="Arial"/>
          <w:i/>
          <w:lang w:val="en-US" w:eastAsia="en-GB"/>
        </w:rPr>
        <w:t>P</w:t>
      </w:r>
      <w:r w:rsidRPr="008204CC">
        <w:rPr>
          <w:rFonts w:ascii="Arial" w:eastAsia="Times New Roman" w:hAnsi="Arial" w:cs="Arial"/>
          <w:i/>
          <w:vertAlign w:val="subscript"/>
          <w:lang w:val="en-US" w:eastAsia="en-GB"/>
        </w:rPr>
        <w:t xml:space="preserve">n </w:t>
      </w:r>
      <w:r w:rsidRPr="008204CC">
        <w:rPr>
          <w:rFonts w:ascii="Arial" w:eastAsia="Times New Roman" w:hAnsi="Arial" w:cs="Arial"/>
          <w:lang w:val="en-US" w:eastAsia="en-GB"/>
        </w:rPr>
        <w:t xml:space="preserve">denotes non-tradables. </w:t>
      </w:r>
      <w:r w:rsidR="008C59C7" w:rsidRPr="008204CC">
        <w:rPr>
          <w:rFonts w:ascii="Arial" w:eastAsia="Times New Roman" w:hAnsi="Arial" w:cs="Arial"/>
          <w:lang w:val="en-US" w:eastAsia="en-GB"/>
        </w:rPr>
        <w:t>The</w:t>
      </w:r>
      <w:r w:rsidRPr="008204CC">
        <w:rPr>
          <w:rFonts w:ascii="Arial" w:eastAsia="Times New Roman" w:hAnsi="Arial" w:cs="Arial"/>
          <w:lang w:val="en-US" w:eastAsia="en-GB"/>
        </w:rPr>
        <w:t xml:space="preserve"> resources of each nation are divided in two sectors</w:t>
      </w:r>
      <w:r>
        <w:rPr>
          <w:rFonts w:ascii="Arial" w:eastAsia="Times New Roman" w:hAnsi="Arial" w:cs="Arial"/>
          <w:lang w:val="en-US" w:eastAsia="en-GB"/>
        </w:rPr>
        <w:t>;</w:t>
      </w:r>
      <w:r w:rsidRPr="008204CC">
        <w:rPr>
          <w:rFonts w:ascii="Arial" w:eastAsia="Times New Roman" w:hAnsi="Arial" w:cs="Arial"/>
          <w:lang w:val="en-US" w:eastAsia="en-GB"/>
        </w:rPr>
        <w:t xml:space="preserve"> tradable and non-tradable, and there is a trade-off in the allocation of resources between them. This means that producing one with resources, the other will reserve less resources. Hence, this definition of the RER is </w:t>
      </w:r>
      <w:r w:rsidR="008C59C7" w:rsidRPr="008204CC">
        <w:rPr>
          <w:rFonts w:ascii="Arial" w:eastAsia="Times New Roman" w:hAnsi="Arial" w:cs="Arial"/>
          <w:lang w:val="en-US" w:eastAsia="en-GB"/>
        </w:rPr>
        <w:t>a valuable tool</w:t>
      </w:r>
      <w:r w:rsidRPr="008204CC">
        <w:rPr>
          <w:rFonts w:ascii="Arial" w:eastAsia="Times New Roman" w:hAnsi="Arial" w:cs="Arial"/>
          <w:lang w:val="en-US" w:eastAsia="en-GB"/>
        </w:rPr>
        <w:t xml:space="preserve"> for the allocation of resources within a nation. If there is a rise in the internal RER (depreciation), it means that the tradable sector is more competitive than the non-tradable sector. </w:t>
      </w:r>
    </w:p>
    <w:p w14:paraId="764214A8" w14:textId="2E26F64D" w:rsidR="00B66AA6" w:rsidRPr="008204CC" w:rsidRDefault="00B66AA6" w:rsidP="0066301C">
      <w:pPr>
        <w:autoSpaceDE w:val="0"/>
        <w:autoSpaceDN w:val="0"/>
        <w:adjustRightInd w:val="0"/>
        <w:spacing w:after="0" w:line="360" w:lineRule="auto"/>
        <w:jc w:val="both"/>
        <w:rPr>
          <w:rFonts w:ascii="Arial" w:eastAsia="Times New Roman" w:hAnsi="Arial" w:cs="Arial"/>
          <w:lang w:val="en-US" w:eastAsia="en-GB"/>
        </w:rPr>
      </w:pPr>
      <w:bookmarkStart w:id="79" w:name="_Hlk170235106"/>
      <w:r w:rsidRPr="008204CC">
        <w:rPr>
          <w:rFonts w:ascii="Arial" w:eastAsia="Times New Roman" w:hAnsi="Arial" w:cs="Arial"/>
          <w:lang w:val="en-US" w:eastAsia="en-GB"/>
        </w:rPr>
        <w:t xml:space="preserve">The above two definitions </w:t>
      </w:r>
      <w:r>
        <w:rPr>
          <w:rFonts w:ascii="Arial" w:eastAsia="Times New Roman" w:hAnsi="Arial" w:cs="Arial"/>
          <w:lang w:val="en-US" w:eastAsia="en-GB"/>
        </w:rPr>
        <w:t xml:space="preserve">of RER </w:t>
      </w:r>
      <w:r w:rsidRPr="008204CC">
        <w:rPr>
          <w:rFonts w:ascii="Arial" w:eastAsia="Times New Roman" w:hAnsi="Arial" w:cs="Arial"/>
          <w:lang w:val="en-US" w:eastAsia="en-GB"/>
        </w:rPr>
        <w:t xml:space="preserve">rely on the assumption that the home nation has only a trading partner. In real life situation, a nation deals or does trade with more than one nation. As such, </w:t>
      </w:r>
      <w:r w:rsidRPr="008204CC">
        <w:rPr>
          <w:rFonts w:ascii="Arial" w:eastAsia="Times New Roman" w:hAnsi="Arial" w:cs="Arial"/>
          <w:lang w:val="en-US" w:eastAsia="en-GB"/>
        </w:rPr>
        <w:lastRenderedPageBreak/>
        <w:t>the above definitions are seldom use</w:t>
      </w:r>
      <w:r w:rsidR="001A7FA7">
        <w:rPr>
          <w:rFonts w:ascii="Arial" w:eastAsia="Times New Roman" w:hAnsi="Arial" w:cs="Arial"/>
          <w:lang w:val="en-US" w:eastAsia="en-GB"/>
        </w:rPr>
        <w:t>d</w:t>
      </w:r>
      <w:r w:rsidRPr="008204CC">
        <w:rPr>
          <w:rFonts w:ascii="Arial" w:eastAsia="Times New Roman" w:hAnsi="Arial" w:cs="Arial"/>
          <w:lang w:val="en-US" w:eastAsia="en-GB"/>
        </w:rPr>
        <w:t xml:space="preserve"> in most empirical studies. Thus, we distinguish a third definition known as the real effective exchange rate (REER). The REER refers to the real exchange rate corresponding to a group of nations rather than one partner. It represents the value of a nation’s currency against weighted average value of a basket of trading partners’ currencies. All the currencies in the basket are adjusted for inflation. This is a measurement of the PPP of a currency, which calculates the units of domestic goods use to pay for 100 units equivalent of foreign goods. Following some weighting criteria, the share of the bilateral trade to total trade volume or the share of the currencies used in the international trade transactions can be example of the weighted criteria (Dhakir </w:t>
      </w:r>
      <w:r w:rsidRPr="008204CC">
        <w:rPr>
          <w:rFonts w:ascii="Arial" w:eastAsia="Times New Roman" w:hAnsi="Arial" w:cs="Arial"/>
          <w:i/>
          <w:lang w:val="en-US" w:eastAsia="en-GB"/>
        </w:rPr>
        <w:t xml:space="preserve">et al., </w:t>
      </w:r>
      <w:r w:rsidRPr="008204CC">
        <w:rPr>
          <w:rFonts w:ascii="Arial" w:eastAsia="Times New Roman" w:hAnsi="Arial" w:cs="Arial"/>
          <w:lang w:val="en-US" w:eastAsia="en-GB"/>
        </w:rPr>
        <w:t>2014).</w:t>
      </w:r>
    </w:p>
    <w:p w14:paraId="601F5549" w14:textId="1A596935" w:rsidR="00B66AA6" w:rsidRPr="008204CC" w:rsidRDefault="00000000" w:rsidP="0066301C">
      <w:pPr>
        <w:autoSpaceDE w:val="0"/>
        <w:autoSpaceDN w:val="0"/>
        <w:adjustRightInd w:val="0"/>
        <w:spacing w:after="0" w:line="360" w:lineRule="auto"/>
        <w:jc w:val="center"/>
        <w:rPr>
          <w:rFonts w:ascii="Arial" w:eastAsia="Times New Roman" w:hAnsi="Arial" w:cs="Arial"/>
          <w:lang w:val="en-US" w:eastAsia="en-GB"/>
        </w:rPr>
      </w:pPr>
      <m:oMath>
        <m:sSub>
          <m:sSubPr>
            <m:ctrlPr>
              <w:rPr>
                <w:rFonts w:ascii="Cambria Math" w:eastAsia="Times New Roman" w:hAnsi="Cambria Math" w:cs="Arial"/>
                <w:i/>
                <w:lang w:val="en-US" w:eastAsia="en-GB"/>
              </w:rPr>
            </m:ctrlPr>
          </m:sSubPr>
          <m:e>
            <m:r>
              <m:rPr>
                <m:sty m:val="p"/>
              </m:rPr>
              <w:rPr>
                <w:rFonts w:ascii="Cambria Math" w:eastAsia="Times New Roman" w:hAnsi="Cambria Math" w:cs="Arial"/>
                <w:lang w:val="en-US" w:eastAsia="en-GB"/>
              </w:rPr>
              <m:t>REER</m:t>
            </m:r>
          </m:e>
          <m:sub>
            <m:sSub>
              <m:sSubPr>
                <m:ctrlPr>
                  <w:rPr>
                    <w:rFonts w:ascii="Cambria Math" w:eastAsia="Times New Roman" w:hAnsi="Cambria Math" w:cs="Arial"/>
                    <w:i/>
                    <w:lang w:val="en-US" w:eastAsia="en-GB"/>
                  </w:rPr>
                </m:ctrlPr>
              </m:sSubPr>
              <m:e>
                <m:r>
                  <w:rPr>
                    <w:rFonts w:ascii="Cambria Math" w:eastAsia="Times New Roman" w:hAnsi="Cambria Math" w:cs="Arial"/>
                    <w:lang w:val="en-US" w:eastAsia="en-GB"/>
                  </w:rPr>
                  <m:t>t</m:t>
                </m:r>
              </m:e>
              <m:sub>
                <m:r>
                  <w:rPr>
                    <w:rFonts w:ascii="Cambria Math" w:eastAsia="Times New Roman" w:hAnsi="Cambria Math" w:cs="Arial"/>
                    <w:lang w:val="en-US" w:eastAsia="en-GB"/>
                  </w:rPr>
                  <m:t>i</m:t>
                </m:r>
              </m:sub>
            </m:sSub>
          </m:sub>
        </m:sSub>
        <m:r>
          <w:rPr>
            <w:rFonts w:ascii="Cambria Math" w:eastAsia="Times New Roman" w:hAnsi="Cambria Math" w:cs="Arial"/>
            <w:lang w:val="en-US" w:eastAsia="en-GB"/>
          </w:rPr>
          <m:t>=</m:t>
        </m:r>
        <m:sSub>
          <m:sSubPr>
            <m:ctrlPr>
              <w:rPr>
                <w:rFonts w:ascii="Cambria Math" w:eastAsia="Times New Roman" w:hAnsi="Cambria Math" w:cs="Arial"/>
                <w:i/>
                <w:lang w:val="en-US" w:eastAsia="en-GB"/>
              </w:rPr>
            </m:ctrlPr>
          </m:sSubPr>
          <m:e>
            <m:r>
              <w:rPr>
                <w:rFonts w:ascii="Cambria Math" w:eastAsia="Times New Roman" w:hAnsi="Cambria Math" w:cs="Arial"/>
                <w:lang w:val="en-US" w:eastAsia="en-GB"/>
              </w:rPr>
              <m:t>e</m:t>
            </m:r>
          </m:e>
          <m:sub>
            <m:sSub>
              <m:sSubPr>
                <m:ctrlPr>
                  <w:rPr>
                    <w:rFonts w:ascii="Cambria Math" w:eastAsia="Times New Roman" w:hAnsi="Cambria Math" w:cs="Arial"/>
                    <w:i/>
                    <w:lang w:val="en-US" w:eastAsia="en-GB"/>
                  </w:rPr>
                </m:ctrlPr>
              </m:sSubPr>
              <m:e>
                <m:r>
                  <w:rPr>
                    <w:rFonts w:ascii="Cambria Math" w:eastAsia="Times New Roman" w:hAnsi="Cambria Math" w:cs="Arial"/>
                    <w:lang w:val="en-US" w:eastAsia="en-GB"/>
                  </w:rPr>
                  <m:t>t</m:t>
                </m:r>
              </m:e>
              <m:sub>
                <m:r>
                  <w:rPr>
                    <w:rFonts w:ascii="Cambria Math" w:eastAsia="Times New Roman" w:hAnsi="Cambria Math" w:cs="Arial"/>
                    <w:lang w:val="en-US" w:eastAsia="en-GB"/>
                  </w:rPr>
                  <m:t>i</m:t>
                </m:r>
              </m:sub>
            </m:sSub>
          </m:sub>
        </m:sSub>
        <m:r>
          <w:rPr>
            <w:rFonts w:ascii="Cambria Math" w:eastAsia="Times New Roman" w:hAnsi="Cambria Math" w:cs="Arial"/>
            <w:lang w:val="en-US" w:eastAsia="en-GB"/>
          </w:rPr>
          <m:t>=</m:t>
        </m:r>
        <m:nary>
          <m:naryPr>
            <m:chr m:val="∑"/>
            <m:limLoc m:val="subSup"/>
            <m:ctrlPr>
              <w:rPr>
                <w:rFonts w:ascii="Cambria Math" w:eastAsia="Times New Roman" w:hAnsi="Cambria Math" w:cs="Arial"/>
                <w:i/>
                <w:lang w:val="en-US" w:eastAsia="en-GB"/>
              </w:rPr>
            </m:ctrlPr>
          </m:naryPr>
          <m:sub>
            <m:r>
              <m:rPr>
                <m:sty m:val="p"/>
              </m:rPr>
              <w:rPr>
                <w:rFonts w:ascii="Cambria Math" w:eastAsia="Times New Roman" w:hAnsi="Cambria Math" w:cs="Arial"/>
                <w:lang w:val="en-US" w:eastAsia="en-GB"/>
              </w:rPr>
              <m:t>j=1</m:t>
            </m:r>
          </m:sub>
          <m:sup>
            <m:r>
              <w:rPr>
                <w:rFonts w:ascii="Cambria Math" w:eastAsia="Times New Roman" w:hAnsi="Cambria Math" w:cs="Arial"/>
                <w:lang w:val="en-US" w:eastAsia="en-GB"/>
              </w:rPr>
              <m:t>n</m:t>
            </m:r>
          </m:sup>
          <m:e>
            <m:sSubSup>
              <m:sSubSupPr>
                <m:ctrlPr>
                  <w:rPr>
                    <w:rFonts w:ascii="Cambria Math" w:eastAsia="Times New Roman" w:hAnsi="Cambria Math" w:cs="Arial"/>
                    <w:i/>
                    <w:lang w:val="en-US" w:eastAsia="en-GB"/>
                  </w:rPr>
                </m:ctrlPr>
              </m:sSubSupPr>
              <m:e>
                <m:r>
                  <m:rPr>
                    <m:sty m:val="p"/>
                  </m:rPr>
                  <w:rPr>
                    <w:rFonts w:ascii="Cambria Math" w:eastAsia="Times New Roman" w:hAnsi="Cambria Math" w:cs="Arial"/>
                    <w:lang w:val="en-US" w:eastAsia="en-GB"/>
                  </w:rPr>
                  <m:t>RER</m:t>
                </m:r>
              </m:e>
              <m:sub>
                <m:sSub>
                  <m:sSubPr>
                    <m:ctrlPr>
                      <w:rPr>
                        <w:rFonts w:ascii="Cambria Math" w:eastAsia="Times New Roman" w:hAnsi="Cambria Math" w:cs="Arial"/>
                        <w:i/>
                        <w:lang w:val="en-US" w:eastAsia="en-GB"/>
                      </w:rPr>
                    </m:ctrlPr>
                  </m:sSubPr>
                  <m:e>
                    <m:r>
                      <w:rPr>
                        <w:rFonts w:ascii="Cambria Math" w:eastAsia="Times New Roman" w:hAnsi="Cambria Math" w:cs="Arial"/>
                        <w:lang w:val="en-US" w:eastAsia="en-GB"/>
                      </w:rPr>
                      <m:t>t</m:t>
                    </m:r>
                  </m:e>
                  <m:sub>
                    <m:r>
                      <w:rPr>
                        <w:rFonts w:ascii="Cambria Math" w:eastAsia="Times New Roman" w:hAnsi="Cambria Math" w:cs="Arial"/>
                        <w:lang w:val="en-US" w:eastAsia="en-GB"/>
                      </w:rPr>
                      <m:t>ij</m:t>
                    </m:r>
                  </m:sub>
                </m:sSub>
              </m:sub>
              <m:sup>
                <m:sSub>
                  <m:sSubPr>
                    <m:ctrlPr>
                      <w:rPr>
                        <w:rFonts w:ascii="Cambria Math" w:eastAsia="Times New Roman" w:hAnsi="Cambria Math" w:cs="Arial"/>
                        <w:i/>
                        <w:lang w:val="en-US" w:eastAsia="en-GB"/>
                      </w:rPr>
                    </m:ctrlPr>
                  </m:sSubPr>
                  <m:e>
                    <m:r>
                      <w:rPr>
                        <w:rFonts w:ascii="Cambria Math" w:eastAsia="Times New Roman" w:hAnsi="Cambria Math" w:cs="Arial"/>
                        <w:lang w:val="en-US" w:eastAsia="en-GB"/>
                      </w:rPr>
                      <m:t>w</m:t>
                    </m:r>
                  </m:e>
                  <m:sub>
                    <m:r>
                      <w:rPr>
                        <w:rFonts w:ascii="Cambria Math" w:eastAsia="Times New Roman" w:hAnsi="Cambria Math" w:cs="Arial"/>
                        <w:lang w:val="en-US" w:eastAsia="en-GB"/>
                      </w:rPr>
                      <m:t>j</m:t>
                    </m:r>
                  </m:sub>
                </m:sSub>
              </m:sup>
            </m:sSubSup>
          </m:e>
        </m:nary>
      </m:oMath>
      <w:r w:rsidR="00B66AA6" w:rsidRPr="008204CC">
        <w:rPr>
          <w:rFonts w:ascii="Arial" w:eastAsia="Times New Roman" w:hAnsi="Arial" w:cs="Arial"/>
          <w:i/>
          <w:lang w:val="en-US" w:eastAsia="en-GB"/>
        </w:rPr>
        <w:tab/>
      </w:r>
      <w:r w:rsidR="00B66AA6" w:rsidRPr="008204CC">
        <w:rPr>
          <w:rFonts w:ascii="Arial" w:eastAsia="Times New Roman" w:hAnsi="Arial" w:cs="Arial"/>
          <w:i/>
          <w:lang w:val="en-US" w:eastAsia="en-GB"/>
        </w:rPr>
        <w:tab/>
      </w:r>
      <w:r w:rsidR="00B66AA6">
        <w:rPr>
          <w:rFonts w:ascii="Arial" w:eastAsia="Times New Roman" w:hAnsi="Arial" w:cs="Arial"/>
          <w:i/>
          <w:lang w:val="en-US" w:eastAsia="en-GB"/>
        </w:rPr>
        <w:t xml:space="preserve">             </w:t>
      </w:r>
      <w:r w:rsidR="00ED14F2">
        <w:rPr>
          <w:rFonts w:ascii="Arial" w:eastAsia="Times New Roman" w:hAnsi="Arial" w:cs="Arial"/>
          <w:i/>
          <w:lang w:val="en-US" w:eastAsia="en-GB"/>
        </w:rPr>
        <w:t xml:space="preserve">    </w:t>
      </w:r>
      <w:r w:rsidR="00B66AA6">
        <w:rPr>
          <w:rFonts w:ascii="Arial" w:eastAsia="Times New Roman" w:hAnsi="Arial" w:cs="Arial"/>
          <w:i/>
          <w:lang w:val="en-US" w:eastAsia="en-GB"/>
        </w:rPr>
        <w:t xml:space="preserve">                                                </w:t>
      </w:r>
      <w:r w:rsidR="00B66AA6" w:rsidRPr="008204CC">
        <w:rPr>
          <w:rFonts w:ascii="Arial" w:eastAsia="Times New Roman" w:hAnsi="Arial" w:cs="Arial"/>
          <w:i/>
          <w:lang w:val="en-US" w:eastAsia="en-GB"/>
        </w:rPr>
        <w:t xml:space="preserve"> </w:t>
      </w:r>
      <w:r w:rsidR="00B66AA6" w:rsidRPr="008204CC">
        <w:rPr>
          <w:rFonts w:ascii="Arial" w:eastAsia="Times New Roman" w:hAnsi="Arial" w:cs="Arial"/>
          <w:lang w:val="en-US" w:eastAsia="en-GB"/>
        </w:rPr>
        <w:t>(2.3)</w:t>
      </w:r>
    </w:p>
    <w:p w14:paraId="004F3783" w14:textId="32F17BF5" w:rsidR="00B66AA6" w:rsidRDefault="00B66AA6" w:rsidP="0066301C">
      <w:pPr>
        <w:autoSpaceDE w:val="0"/>
        <w:autoSpaceDN w:val="0"/>
        <w:adjustRightInd w:val="0"/>
        <w:spacing w:after="200" w:line="360" w:lineRule="auto"/>
        <w:jc w:val="both"/>
        <w:rPr>
          <w:rFonts w:ascii="Arial" w:eastAsia="Times New Roman" w:hAnsi="Arial" w:cs="Arial"/>
          <w:lang w:val="en-US" w:eastAsia="en-GB"/>
        </w:rPr>
      </w:pPr>
      <w:r w:rsidRPr="008204CC">
        <w:rPr>
          <w:rFonts w:ascii="Arial" w:eastAsia="Times New Roman" w:hAnsi="Arial" w:cs="Arial"/>
          <w:lang w:val="en-US" w:eastAsia="en-GB"/>
        </w:rPr>
        <w:t xml:space="preserve">Whereby </w:t>
      </w:r>
      <w:r w:rsidRPr="008204CC">
        <w:rPr>
          <w:rFonts w:ascii="Arial" w:eastAsia="Times New Roman" w:hAnsi="Arial" w:cs="Arial"/>
          <w:i/>
          <w:lang w:val="en-US" w:eastAsia="en-GB"/>
        </w:rPr>
        <w:t xml:space="preserve">n </w:t>
      </w:r>
      <w:r w:rsidRPr="008204CC">
        <w:rPr>
          <w:rFonts w:ascii="Arial" w:eastAsia="Times New Roman" w:hAnsi="Arial" w:cs="Arial"/>
          <w:lang w:val="en-US" w:eastAsia="en-GB"/>
        </w:rPr>
        <w:t xml:space="preserve">represents the number of trading partners of country </w:t>
      </w:r>
      <w:r w:rsidRPr="008204CC">
        <w:rPr>
          <w:rFonts w:ascii="Arial" w:eastAsia="Times New Roman" w:hAnsi="Arial" w:cs="Arial"/>
          <w:i/>
          <w:lang w:val="en-US" w:eastAsia="en-GB"/>
        </w:rPr>
        <w:t xml:space="preserve">i, </w:t>
      </w:r>
      <w:r w:rsidRPr="008204CC">
        <w:rPr>
          <w:rFonts w:ascii="Arial" w:eastAsia="Times New Roman" w:hAnsi="Arial" w:cs="Arial"/>
          <w:lang w:val="en-US" w:eastAsia="en-GB"/>
        </w:rPr>
        <w:t xml:space="preserve">and weight </w:t>
      </w:r>
      <w:r w:rsidRPr="008204CC">
        <w:rPr>
          <w:rFonts w:ascii="Arial" w:eastAsia="Times New Roman" w:hAnsi="Arial" w:cs="Arial"/>
          <w:i/>
          <w:lang w:val="en-US" w:eastAsia="en-GB"/>
        </w:rPr>
        <w:t>w</w:t>
      </w:r>
      <w:r w:rsidRPr="008204CC">
        <w:rPr>
          <w:rFonts w:ascii="Arial" w:eastAsia="Times New Roman" w:hAnsi="Arial" w:cs="Arial"/>
          <w:i/>
          <w:vertAlign w:val="subscript"/>
          <w:lang w:val="en-US" w:eastAsia="en-GB"/>
        </w:rPr>
        <w:t xml:space="preserve">j </w:t>
      </w:r>
      <w:r w:rsidRPr="008204CC">
        <w:rPr>
          <w:rFonts w:ascii="Arial" w:eastAsia="Times New Roman" w:hAnsi="Arial" w:cs="Arial"/>
          <w:lang w:val="en-US" w:eastAsia="en-GB"/>
        </w:rPr>
        <w:t xml:space="preserve">the trade with trading partners </w:t>
      </w:r>
      <w:r w:rsidRPr="008204CC">
        <w:rPr>
          <w:rFonts w:ascii="Arial" w:eastAsia="Times New Roman" w:hAnsi="Arial" w:cs="Arial"/>
          <w:i/>
          <w:lang w:val="en-US" w:eastAsia="en-GB"/>
        </w:rPr>
        <w:t xml:space="preserve">j </w:t>
      </w:r>
      <w:r w:rsidRPr="008204CC">
        <w:rPr>
          <w:rFonts w:ascii="Arial" w:eastAsia="Times New Roman" w:hAnsi="Arial" w:cs="Arial"/>
          <w:lang w:val="en-US" w:eastAsia="en-GB"/>
        </w:rPr>
        <w:t xml:space="preserve">as the share of country </w:t>
      </w:r>
      <w:r w:rsidRPr="008204CC">
        <w:rPr>
          <w:rFonts w:ascii="Arial" w:eastAsia="Times New Roman" w:hAnsi="Arial" w:cs="Arial"/>
          <w:i/>
          <w:lang w:val="en-US" w:eastAsia="en-GB"/>
        </w:rPr>
        <w:t>i’</w:t>
      </w:r>
      <w:r>
        <w:rPr>
          <w:rFonts w:ascii="Arial" w:eastAsia="Times New Roman" w:hAnsi="Arial" w:cs="Arial"/>
          <w:lang w:val="en-US" w:eastAsia="en-GB"/>
        </w:rPr>
        <w:t>s overall trade</w:t>
      </w:r>
      <w:r w:rsidRPr="008204CC">
        <w:rPr>
          <w:rFonts w:ascii="Arial" w:eastAsia="Times New Roman" w:hAnsi="Arial" w:cs="Arial"/>
          <w:lang w:val="en-US" w:eastAsia="en-GB"/>
        </w:rPr>
        <w:t>.</w:t>
      </w:r>
      <w:r>
        <w:rPr>
          <w:rFonts w:ascii="Arial" w:eastAsia="Times New Roman" w:hAnsi="Arial" w:cs="Arial"/>
          <w:lang w:val="en-US" w:eastAsia="en-GB"/>
        </w:rPr>
        <w:t xml:space="preserve"> The</w:t>
      </w:r>
      <w:r w:rsidRPr="008204CC">
        <w:rPr>
          <w:rFonts w:ascii="Arial" w:eastAsia="Times New Roman" w:hAnsi="Arial" w:cs="Arial"/>
          <w:lang w:val="en-US" w:eastAsia="en-GB"/>
        </w:rPr>
        <w:t xml:space="preserve"> most important property of the </w:t>
      </w:r>
      <w:r>
        <w:rPr>
          <w:rFonts w:ascii="Arial" w:eastAsia="Times New Roman" w:hAnsi="Arial" w:cs="Arial"/>
          <w:lang w:val="en-US" w:eastAsia="en-GB"/>
        </w:rPr>
        <w:t>REER</w:t>
      </w:r>
      <w:r w:rsidRPr="008204CC">
        <w:rPr>
          <w:rFonts w:ascii="Arial" w:eastAsia="Times New Roman" w:hAnsi="Arial" w:cs="Arial"/>
          <w:lang w:val="en-US" w:eastAsia="en-GB"/>
        </w:rPr>
        <w:t xml:space="preserve"> is that it is a good proxy of a nation’s international competitiveness.</w:t>
      </w:r>
      <w:r w:rsidR="00ED14F2">
        <w:rPr>
          <w:rStyle w:val="FootnoteReference"/>
          <w:rFonts w:ascii="Arial" w:eastAsia="Times New Roman" w:hAnsi="Arial" w:cs="Arial"/>
          <w:lang w:val="en-US" w:eastAsia="en-GB"/>
        </w:rPr>
        <w:footnoteReference w:id="35"/>
      </w:r>
      <w:r>
        <w:rPr>
          <w:rFonts w:ascii="Arial" w:eastAsia="Times New Roman" w:hAnsi="Arial" w:cs="Arial"/>
          <w:lang w:val="en-US" w:eastAsia="en-GB"/>
        </w:rPr>
        <w:t xml:space="preserve"> Thus, in this thesis, our exchange rate </w:t>
      </w:r>
      <w:r w:rsidR="00A6046D">
        <w:rPr>
          <w:rFonts w:ascii="Arial" w:eastAsia="Times New Roman" w:hAnsi="Arial" w:cs="Arial"/>
          <w:lang w:val="en-US" w:eastAsia="en-GB"/>
        </w:rPr>
        <w:t>is</w:t>
      </w:r>
      <w:r>
        <w:rPr>
          <w:rFonts w:ascii="Arial" w:eastAsia="Times New Roman" w:hAnsi="Arial" w:cs="Arial"/>
          <w:lang w:val="en-US" w:eastAsia="en-GB"/>
        </w:rPr>
        <w:t xml:space="preserve"> define base</w:t>
      </w:r>
      <w:r w:rsidR="00A6046D">
        <w:rPr>
          <w:rFonts w:ascii="Arial" w:eastAsia="Times New Roman" w:hAnsi="Arial" w:cs="Arial"/>
          <w:lang w:val="en-US" w:eastAsia="en-GB"/>
        </w:rPr>
        <w:t>d</w:t>
      </w:r>
      <w:r>
        <w:rPr>
          <w:rFonts w:ascii="Arial" w:eastAsia="Times New Roman" w:hAnsi="Arial" w:cs="Arial"/>
          <w:lang w:val="en-US" w:eastAsia="en-GB"/>
        </w:rPr>
        <w:t xml:space="preserve"> on the REER and not the RER</w:t>
      </w:r>
      <w:bookmarkEnd w:id="79"/>
      <w:r>
        <w:rPr>
          <w:rFonts w:ascii="Arial" w:eastAsia="Times New Roman" w:hAnsi="Arial" w:cs="Arial"/>
          <w:lang w:val="en-US" w:eastAsia="en-GB"/>
        </w:rPr>
        <w:t>.</w:t>
      </w:r>
    </w:p>
    <w:p w14:paraId="449FBA17" w14:textId="77777777" w:rsidR="008036A6" w:rsidRDefault="00A844F0" w:rsidP="0066301C">
      <w:pPr>
        <w:spacing w:line="360" w:lineRule="auto"/>
        <w:jc w:val="both"/>
        <w:rPr>
          <w:rFonts w:ascii="Arial" w:hAnsi="Arial" w:cs="Arial"/>
          <w:color w:val="0E101A"/>
        </w:rPr>
      </w:pPr>
      <w:r w:rsidRPr="0037197E">
        <w:rPr>
          <w:rFonts w:ascii="Arial" w:hAnsi="Arial" w:cs="Arial"/>
          <w:color w:val="0E101A"/>
        </w:rPr>
        <w:t>The channels through which the exchange rate influences a nation’s economic growth, among others, include trade balance (TB) and foreign direct investment. It is highly contested among economists that currency devaluation improves a nation’s TB deficit, improves the current account, and improves economic growth (Kurtović, 2017; Bahmani-Oskooee, 1985). An undervalued exchange rate is viewed as an improvement in price competitiveness and a means towards faster economic growth, as championed by Rodrik (2008) and supported by others (Kurtović, 2017; Grekou, 2015; Levy-Yeyati </w:t>
      </w:r>
      <w:r w:rsidRPr="0037197E">
        <w:rPr>
          <w:rStyle w:val="Emphasis"/>
          <w:rFonts w:ascii="Arial" w:hAnsi="Arial" w:cs="Arial"/>
          <w:color w:val="0E101A"/>
        </w:rPr>
        <w:t>et al.,</w:t>
      </w:r>
      <w:r w:rsidRPr="0037197E">
        <w:rPr>
          <w:rFonts w:ascii="Arial" w:hAnsi="Arial" w:cs="Arial"/>
          <w:color w:val="0E101A"/>
        </w:rPr>
        <w:t> 2013). The exchange rate devaluation is believed to improve TB in the long term after a short-term deterioration, referred to as the </w:t>
      </w:r>
      <w:r w:rsidRPr="0037197E">
        <w:rPr>
          <w:rStyle w:val="Emphasis"/>
          <w:rFonts w:ascii="Arial" w:hAnsi="Arial" w:cs="Arial"/>
          <w:color w:val="0E101A"/>
        </w:rPr>
        <w:t>J-</w:t>
      </w:r>
      <w:r w:rsidRPr="0037197E">
        <w:rPr>
          <w:rFonts w:ascii="Arial" w:hAnsi="Arial" w:cs="Arial"/>
          <w:color w:val="0E101A"/>
        </w:rPr>
        <w:t xml:space="preserve">curve </w:t>
      </w:r>
      <w:r w:rsidR="00B67C76">
        <w:rPr>
          <w:rFonts w:ascii="Arial" w:hAnsi="Arial" w:cs="Arial"/>
          <w:color w:val="0E101A"/>
        </w:rPr>
        <w:t xml:space="preserve">effect </w:t>
      </w:r>
      <w:r w:rsidRPr="0037197E">
        <w:rPr>
          <w:rFonts w:ascii="Arial" w:hAnsi="Arial" w:cs="Arial"/>
          <w:color w:val="0E101A"/>
        </w:rPr>
        <w:t xml:space="preserve">(Ziramba and Chifamba, 2014). </w:t>
      </w:r>
    </w:p>
    <w:p w14:paraId="785E68F4" w14:textId="64BF8437" w:rsidR="008036A6" w:rsidRDefault="008036A6" w:rsidP="0066301C">
      <w:pPr>
        <w:spacing w:line="360" w:lineRule="auto"/>
        <w:jc w:val="both"/>
        <w:rPr>
          <w:rFonts w:ascii="Arial" w:hAnsi="Arial" w:cs="Arial"/>
          <w:lang w:eastAsia="en-GB"/>
        </w:rPr>
      </w:pPr>
      <w:r w:rsidRPr="0033762E">
        <w:rPr>
          <w:rFonts w:ascii="Arial" w:hAnsi="Arial" w:cs="Arial"/>
        </w:rPr>
        <w:t>The </w:t>
      </w:r>
      <w:r w:rsidRPr="0033762E">
        <w:rPr>
          <w:rStyle w:val="Emphasis"/>
          <w:rFonts w:ascii="Arial" w:hAnsi="Arial" w:cs="Arial"/>
          <w:color w:val="0E101A"/>
        </w:rPr>
        <w:t>J-</w:t>
      </w:r>
      <w:r w:rsidRPr="0033762E">
        <w:rPr>
          <w:rFonts w:ascii="Arial" w:hAnsi="Arial" w:cs="Arial"/>
        </w:rPr>
        <w:t>curve theory is the economics traditional wisdom of analysing the dynamic effect of exchange rate changes on TB. If the Marshall-Lerner Condition (MLC</w:t>
      </w:r>
      <w:r>
        <w:rPr>
          <w:rFonts w:ascii="Arial" w:hAnsi="Arial" w:cs="Arial"/>
        </w:rPr>
        <w:t>)</w:t>
      </w:r>
      <w:r>
        <w:rPr>
          <w:rStyle w:val="FootnoteReference"/>
          <w:rFonts w:ascii="Arial" w:hAnsi="Arial" w:cs="Arial"/>
        </w:rPr>
        <w:footnoteReference w:id="36"/>
      </w:r>
      <w:r w:rsidRPr="008204CC">
        <w:rPr>
          <w:rFonts w:ascii="Arial" w:hAnsi="Arial" w:cs="Arial"/>
        </w:rPr>
        <w:t xml:space="preserve"> holds, </w:t>
      </w:r>
      <w:r w:rsidRPr="0033762E">
        <w:rPr>
          <w:rFonts w:ascii="Arial" w:hAnsi="Arial" w:cs="Arial"/>
        </w:rPr>
        <w:t xml:space="preserve">it is likely that following a devaluation, an initial drop in TB occurs before an improvement follows (Ziramba </w:t>
      </w:r>
      <w:r w:rsidRPr="0033762E">
        <w:rPr>
          <w:rFonts w:ascii="Arial" w:hAnsi="Arial" w:cs="Arial"/>
        </w:rPr>
        <w:lastRenderedPageBreak/>
        <w:t>and Chifamba, 2014; Baek </w:t>
      </w:r>
      <w:r w:rsidRPr="0033762E">
        <w:rPr>
          <w:rStyle w:val="Emphasis"/>
          <w:rFonts w:ascii="Arial" w:hAnsi="Arial" w:cs="Arial"/>
          <w:color w:val="0E101A"/>
        </w:rPr>
        <w:t>et al., </w:t>
      </w:r>
      <w:r w:rsidRPr="0033762E">
        <w:rPr>
          <w:rFonts w:ascii="Arial" w:hAnsi="Arial" w:cs="Arial"/>
        </w:rPr>
        <w:t>2006). The response of the TB over time looks like a tilted J shape. The </w:t>
      </w:r>
      <w:r w:rsidRPr="0033762E">
        <w:rPr>
          <w:rStyle w:val="Emphasis"/>
          <w:rFonts w:ascii="Arial" w:hAnsi="Arial" w:cs="Arial"/>
          <w:color w:val="0E101A"/>
        </w:rPr>
        <w:t>J</w:t>
      </w:r>
      <w:r w:rsidRPr="0033762E">
        <w:rPr>
          <w:rFonts w:ascii="Arial" w:hAnsi="Arial" w:cs="Arial"/>
        </w:rPr>
        <w:t xml:space="preserve">–curve </w:t>
      </w:r>
      <w:r>
        <w:rPr>
          <w:rFonts w:ascii="Arial" w:hAnsi="Arial" w:cs="Arial"/>
        </w:rPr>
        <w:t>effect</w:t>
      </w:r>
      <w:r w:rsidRPr="0033762E">
        <w:rPr>
          <w:rFonts w:ascii="Arial" w:hAnsi="Arial" w:cs="Arial"/>
        </w:rPr>
        <w:t xml:space="preserve"> is attributed to the lagged adjustment of quantities to changes in the relative prices (Magee, 1973; Junz and Rhomberg, 1973). </w:t>
      </w:r>
      <w:r w:rsidRPr="00CE5960">
        <w:rPr>
          <w:rFonts w:ascii="Arial" w:hAnsi="Arial" w:cs="Arial"/>
          <w:lang w:eastAsia="en-GB"/>
        </w:rPr>
        <w:t>The </w:t>
      </w:r>
      <w:r w:rsidRPr="00CE5960">
        <w:rPr>
          <w:rFonts w:ascii="Arial" w:hAnsi="Arial" w:cs="Arial"/>
          <w:i/>
          <w:iCs/>
          <w:lang w:eastAsia="en-GB"/>
        </w:rPr>
        <w:t>J-</w:t>
      </w:r>
      <w:r w:rsidRPr="00CE5960">
        <w:rPr>
          <w:rFonts w:ascii="Arial" w:hAnsi="Arial" w:cs="Arial"/>
          <w:lang w:eastAsia="en-GB"/>
        </w:rPr>
        <w:t>curve theory has occupied the most recent empirical literature due to its ability to incorporate other older approaches indirectly and at the same time, provide a novel approach to the issue by itself</w:t>
      </w:r>
      <w:r>
        <w:rPr>
          <w:rFonts w:ascii="Arial" w:hAnsi="Arial" w:cs="Arial"/>
          <w:lang w:eastAsia="en-GB"/>
        </w:rPr>
        <w:t xml:space="preserve"> as will be seen in </w:t>
      </w:r>
      <w:r w:rsidR="00EF1F01">
        <w:rPr>
          <w:rFonts w:ascii="Arial" w:hAnsi="Arial" w:cs="Arial"/>
          <w:lang w:eastAsia="en-GB"/>
        </w:rPr>
        <w:t>this thesis</w:t>
      </w:r>
      <w:r>
        <w:rPr>
          <w:rFonts w:ascii="Arial" w:hAnsi="Arial" w:cs="Arial"/>
          <w:lang w:eastAsia="en-GB"/>
        </w:rPr>
        <w:t xml:space="preserve">. </w:t>
      </w:r>
    </w:p>
    <w:p w14:paraId="0B61D625" w14:textId="70972184" w:rsidR="00A6046D" w:rsidRPr="008036A6" w:rsidRDefault="00A6046D" w:rsidP="0066301C">
      <w:pPr>
        <w:spacing w:line="360" w:lineRule="auto"/>
        <w:jc w:val="both"/>
        <w:rPr>
          <w:rFonts w:ascii="Arial" w:hAnsi="Arial" w:cs="Arial"/>
          <w:lang w:eastAsia="en-GB"/>
        </w:rPr>
      </w:pPr>
      <w:r w:rsidRPr="0037197E">
        <w:rPr>
          <w:rFonts w:ascii="Arial" w:hAnsi="Arial" w:cs="Arial"/>
          <w:color w:val="0E101A"/>
        </w:rPr>
        <w:t xml:space="preserve">The rest of the chapter </w:t>
      </w:r>
      <w:r w:rsidR="008036A6">
        <w:rPr>
          <w:rFonts w:ascii="Arial" w:hAnsi="Arial" w:cs="Arial"/>
          <w:color w:val="0E101A"/>
        </w:rPr>
        <w:t>is</w:t>
      </w:r>
      <w:r w:rsidRPr="0037197E">
        <w:rPr>
          <w:rFonts w:ascii="Arial" w:hAnsi="Arial" w:cs="Arial"/>
          <w:color w:val="0E101A"/>
        </w:rPr>
        <w:t xml:space="preserve"> organized as follows: </w:t>
      </w:r>
      <w:r w:rsidR="00111D2C">
        <w:rPr>
          <w:rFonts w:ascii="Arial" w:hAnsi="Arial" w:cs="Arial"/>
          <w:color w:val="0E101A"/>
        </w:rPr>
        <w:t xml:space="preserve">we will begin by reviewing the CFA francs exchange rate and this is done in </w:t>
      </w:r>
      <w:r w:rsidRPr="0037197E">
        <w:rPr>
          <w:rFonts w:ascii="Arial" w:hAnsi="Arial" w:cs="Arial"/>
          <w:color w:val="0E101A"/>
        </w:rPr>
        <w:t>section 2.2</w:t>
      </w:r>
      <w:r w:rsidR="008036A6">
        <w:rPr>
          <w:rFonts w:ascii="Arial" w:hAnsi="Arial" w:cs="Arial"/>
          <w:color w:val="0E101A"/>
        </w:rPr>
        <w:t>. S</w:t>
      </w:r>
      <w:r w:rsidRPr="0037197E">
        <w:rPr>
          <w:rFonts w:ascii="Arial" w:hAnsi="Arial" w:cs="Arial"/>
          <w:color w:val="0E101A"/>
        </w:rPr>
        <w:t xml:space="preserve">ection 2.3 </w:t>
      </w:r>
      <w:r>
        <w:rPr>
          <w:rFonts w:ascii="Arial" w:hAnsi="Arial" w:cs="Arial"/>
          <w:color w:val="0E101A"/>
        </w:rPr>
        <w:t xml:space="preserve">deals with the equilibrium real effective exchange rate. Section 2.4 </w:t>
      </w:r>
      <w:r w:rsidRPr="0037197E">
        <w:rPr>
          <w:rFonts w:ascii="Arial" w:hAnsi="Arial" w:cs="Arial"/>
          <w:color w:val="0E101A"/>
        </w:rPr>
        <w:t>deals with the exchange rate and trade balance</w:t>
      </w:r>
      <w:r w:rsidR="008036A6">
        <w:rPr>
          <w:rFonts w:ascii="Arial" w:hAnsi="Arial" w:cs="Arial"/>
          <w:color w:val="0E101A"/>
        </w:rPr>
        <w:t>.</w:t>
      </w:r>
      <w:r>
        <w:rPr>
          <w:rFonts w:ascii="Arial" w:hAnsi="Arial" w:cs="Arial"/>
          <w:color w:val="0E101A"/>
        </w:rPr>
        <w:t xml:space="preserve"> </w:t>
      </w:r>
      <w:r w:rsidR="008036A6">
        <w:rPr>
          <w:rFonts w:ascii="Arial" w:hAnsi="Arial" w:cs="Arial"/>
          <w:color w:val="0E101A"/>
        </w:rPr>
        <w:t>S</w:t>
      </w:r>
      <w:r w:rsidRPr="0037197E">
        <w:rPr>
          <w:rFonts w:ascii="Arial" w:hAnsi="Arial" w:cs="Arial"/>
          <w:color w:val="0E101A"/>
        </w:rPr>
        <w:t>ection 2.</w:t>
      </w:r>
      <w:r>
        <w:rPr>
          <w:rFonts w:ascii="Arial" w:hAnsi="Arial" w:cs="Arial"/>
          <w:color w:val="0E101A"/>
        </w:rPr>
        <w:t>5</w:t>
      </w:r>
      <w:r w:rsidRPr="0037197E">
        <w:rPr>
          <w:rFonts w:ascii="Arial" w:hAnsi="Arial" w:cs="Arial"/>
          <w:color w:val="0E101A"/>
        </w:rPr>
        <w:t xml:space="preserve"> deals with the exchange rate and economic growth</w:t>
      </w:r>
      <w:r>
        <w:rPr>
          <w:rFonts w:ascii="Arial" w:hAnsi="Arial" w:cs="Arial"/>
          <w:color w:val="0E101A"/>
        </w:rPr>
        <w:t>, while s</w:t>
      </w:r>
      <w:r w:rsidRPr="0037197E">
        <w:rPr>
          <w:rFonts w:ascii="Arial" w:hAnsi="Arial" w:cs="Arial"/>
          <w:color w:val="0E101A"/>
        </w:rPr>
        <w:t>ection 2.</w:t>
      </w:r>
      <w:r>
        <w:rPr>
          <w:rFonts w:ascii="Arial" w:hAnsi="Arial" w:cs="Arial"/>
          <w:color w:val="0E101A"/>
        </w:rPr>
        <w:t>6</w:t>
      </w:r>
      <w:r w:rsidRPr="0037197E">
        <w:rPr>
          <w:rFonts w:ascii="Arial" w:hAnsi="Arial" w:cs="Arial"/>
          <w:color w:val="0E101A"/>
        </w:rPr>
        <w:t xml:space="preserve"> is the chapter conclusion.</w:t>
      </w:r>
    </w:p>
    <w:p w14:paraId="74151399" w14:textId="28196801" w:rsidR="004A2CA7" w:rsidRPr="00B406D0" w:rsidRDefault="004A2CA7" w:rsidP="0066301C">
      <w:pPr>
        <w:pStyle w:val="Heading2"/>
        <w:spacing w:before="0" w:beforeAutospacing="0"/>
      </w:pPr>
      <w:bookmarkStart w:id="80" w:name="_Toc171075359"/>
      <w:bookmarkStart w:id="81" w:name="_Hlk170235676"/>
      <w:r w:rsidRPr="00B406D0">
        <w:t>2.2</w:t>
      </w:r>
      <w:r w:rsidR="001757EE" w:rsidRPr="00B406D0">
        <w:tab/>
      </w:r>
      <w:r w:rsidRPr="00B406D0">
        <w:t>THE CFA FRANC EXCHANGE RATE</w:t>
      </w:r>
      <w:bookmarkEnd w:id="80"/>
      <w:r w:rsidRPr="00B406D0">
        <w:t xml:space="preserve"> </w:t>
      </w:r>
    </w:p>
    <w:p w14:paraId="6A4A9A7E" w14:textId="77777777" w:rsidR="00050ACC" w:rsidRPr="00B406D0" w:rsidRDefault="00050ACC" w:rsidP="0066301C">
      <w:pPr>
        <w:spacing w:line="360" w:lineRule="auto"/>
        <w:jc w:val="both"/>
        <w:rPr>
          <w:rFonts w:ascii="Arial" w:hAnsi="Arial" w:cs="Arial"/>
          <w:lang w:eastAsia="en-GB"/>
        </w:rPr>
      </w:pPr>
      <w:r w:rsidRPr="00B406D0">
        <w:rPr>
          <w:rFonts w:ascii="Arial" w:hAnsi="Arial" w:cs="Arial"/>
          <w:lang w:eastAsia="en-GB"/>
        </w:rPr>
        <w:t xml:space="preserve">Recent debates on structural adjustments to macroeconomic stabilization have highlighted the vital role of the exchange rate in promoting exports and driving toward optimal pathways of production </w:t>
      </w:r>
      <w:bookmarkEnd w:id="81"/>
      <w:r w:rsidRPr="00B406D0">
        <w:rPr>
          <w:rFonts w:ascii="Arial" w:hAnsi="Arial" w:cs="Arial"/>
          <w:lang w:eastAsia="en-GB"/>
        </w:rPr>
        <w:t>and employment. Keeping a nation's currency at an appropriate level is fundamental since an overvaluation could result in a loss of competitiveness of the economy vis-à-vis the rest of the world. The franc zone, by its history, has inherited a fixed exchange rate regime since its colonial past. Hence, these nations saw their currency match the French Franc (FF), the currency of their metropolis. In the year 1948, 1 FF was equivalent to 50 CFA francs. The attainment of independence by France's former trust territories between 1954 and 1962 did not lead to the break-up of the area, though some nations left the franc zone (Wonyra, 2018).</w:t>
      </w:r>
      <w:r w:rsidRPr="00B406D0">
        <w:rPr>
          <w:rStyle w:val="FootnoteReference"/>
          <w:rFonts w:ascii="Arial" w:hAnsi="Arial" w:cs="Arial"/>
          <w:lang w:eastAsia="en-GB"/>
        </w:rPr>
        <w:footnoteReference w:id="37"/>
      </w:r>
      <w:r w:rsidRPr="00B406D0">
        <w:rPr>
          <w:rFonts w:ascii="Arial" w:hAnsi="Arial" w:cs="Arial"/>
          <w:lang w:eastAsia="en-GB"/>
        </w:rPr>
        <w:t> </w:t>
      </w:r>
      <w:hyperlink w:anchor="_ftn1" w:tgtFrame="_blank" w:history="1"/>
    </w:p>
    <w:p w14:paraId="4B15BB8C" w14:textId="21DF92CE" w:rsidR="00050ACC" w:rsidRPr="00B406D0" w:rsidRDefault="00050ACC" w:rsidP="0066301C">
      <w:pPr>
        <w:spacing w:line="360" w:lineRule="auto"/>
        <w:jc w:val="both"/>
        <w:rPr>
          <w:rFonts w:ascii="Arial" w:hAnsi="Arial" w:cs="Arial"/>
          <w:lang w:eastAsia="en-GB"/>
        </w:rPr>
      </w:pPr>
      <w:r w:rsidRPr="00B406D0">
        <w:rPr>
          <w:rFonts w:ascii="Arial" w:hAnsi="Arial" w:cs="Arial"/>
          <w:lang w:eastAsia="en-GB"/>
        </w:rPr>
        <w:t>The franc zone is an economic, monetary, and cultural area equivalent to none other in the world. It is made up of very diverse states and territories</w:t>
      </w:r>
      <w:r w:rsidR="009959DF" w:rsidRPr="00B406D0">
        <w:rPr>
          <w:rFonts w:ascii="Arial" w:hAnsi="Arial" w:cs="Arial"/>
          <w:lang w:eastAsia="en-GB"/>
        </w:rPr>
        <w:t>,</w:t>
      </w:r>
      <w:r w:rsidRPr="00B406D0">
        <w:rPr>
          <w:rFonts w:ascii="Arial" w:hAnsi="Arial" w:cs="Arial"/>
          <w:lang w:eastAsia="en-GB"/>
        </w:rPr>
        <w:t xml:space="preserve"> and results from developments and changes in the former French colonial empire. After independence, most newly created African states remained within a homogenous group characterized by a new </w:t>
      </w:r>
      <w:r w:rsidR="00DA3AAC" w:rsidRPr="00B406D0">
        <w:rPr>
          <w:rFonts w:ascii="Arial" w:hAnsi="Arial" w:cs="Arial"/>
          <w:lang w:eastAsia="en-GB"/>
        </w:rPr>
        <w:t>institutional</w:t>
      </w:r>
      <w:r w:rsidRPr="00B406D0">
        <w:rPr>
          <w:rFonts w:ascii="Arial" w:hAnsi="Arial" w:cs="Arial"/>
          <w:lang w:eastAsia="en-GB"/>
        </w:rPr>
        <w:t xml:space="preserve"> framework and a common exchange rate mechanism. The franc zone is a rare example of close institutionalized cooperation between countries from two continents with a common language and history. The "Banque de Franc" has developed close ties with the franc zone central banks, with which it works towards ensuring the smooth functioning of the area's shred institutions (Banque de France, 2010).</w:t>
      </w:r>
    </w:p>
    <w:p w14:paraId="1BC8D9A8" w14:textId="71AE648C" w:rsidR="00050ACC" w:rsidRPr="00B406D0" w:rsidRDefault="00050ACC" w:rsidP="0066301C">
      <w:pPr>
        <w:spacing w:line="360" w:lineRule="auto"/>
        <w:jc w:val="both"/>
        <w:rPr>
          <w:rFonts w:ascii="Arial" w:hAnsi="Arial" w:cs="Arial"/>
          <w:lang w:eastAsia="en-GB"/>
        </w:rPr>
      </w:pPr>
      <w:r w:rsidRPr="00B406D0">
        <w:rPr>
          <w:rFonts w:ascii="Arial" w:hAnsi="Arial" w:cs="Arial"/>
          <w:lang w:eastAsia="en-GB"/>
        </w:rPr>
        <w:t xml:space="preserve">The CFA franc zone is made up of Franc and 15 African states, with the African states grouped into three zones: CEMAC (acronym for Communuaté Économique et Monétaire de l’Afrique Centrale - Central African Economic and Monetary Community), UEMOA (acronym for Union </w:t>
      </w:r>
      <w:r w:rsidRPr="00B406D0">
        <w:rPr>
          <w:rFonts w:ascii="Arial" w:hAnsi="Arial" w:cs="Arial"/>
          <w:lang w:eastAsia="en-GB"/>
        </w:rPr>
        <w:lastRenderedPageBreak/>
        <w:t>Economique et Monetaire Ouest Afraine - West Africa Economic and Monetary Union –WAEMU), and Comoros. The CEMAC zone consists of the following countries: Cameroon, Central Africa Republic</w:t>
      </w:r>
      <w:r w:rsidR="009959DF" w:rsidRPr="00B406D0">
        <w:rPr>
          <w:rFonts w:ascii="Arial" w:hAnsi="Arial" w:cs="Arial"/>
          <w:lang w:eastAsia="en-GB"/>
        </w:rPr>
        <w:t xml:space="preserve"> - CAR</w:t>
      </w:r>
      <w:r w:rsidRPr="00B406D0">
        <w:rPr>
          <w:rFonts w:ascii="Arial" w:hAnsi="Arial" w:cs="Arial"/>
          <w:lang w:eastAsia="en-GB"/>
        </w:rPr>
        <w:t>, Chad, Republic of the Congo, Equatorial Guinea, and Gabon. The currency is redistributed in this zone by the Banque des Etats de l’Afrique Centrale (BEAC) – Bank of Central African States. UEMOA zone consists of the following countries: Benin, Burkina Faso, Guinea Bissau, Ivory Coast, Mali, Niger, Senegal, and Togo. The currency is redistributed in this region by Banque Central des Etats de l’Afrique de l’Ouest (BCEAO) – Central Bank of the West African States. In the Comoros, the currency is redistributed by Banque Centrale des Comoros (BCC) – Central Bank of Comoros (</w:t>
      </w:r>
      <w:r w:rsidR="009959DF" w:rsidRPr="00B406D0">
        <w:rPr>
          <w:rFonts w:ascii="Arial" w:hAnsi="Arial" w:cs="Arial"/>
          <w:lang w:eastAsia="en-GB"/>
        </w:rPr>
        <w:t xml:space="preserve">Adom, 2015; </w:t>
      </w:r>
      <w:r w:rsidR="000A3FC1" w:rsidRPr="00B406D0">
        <w:rPr>
          <w:rFonts w:ascii="Arial" w:hAnsi="Arial" w:cs="Arial"/>
          <w:lang w:eastAsia="en-GB"/>
        </w:rPr>
        <w:t xml:space="preserve">Banque de France, 2010; </w:t>
      </w:r>
      <w:r w:rsidRPr="00B406D0">
        <w:rPr>
          <w:rFonts w:ascii="Arial" w:hAnsi="Arial" w:cs="Arial"/>
          <w:lang w:eastAsia="en-GB"/>
        </w:rPr>
        <w:t>Coleman, 2008). </w:t>
      </w:r>
    </w:p>
    <w:p w14:paraId="0352B5D0" w14:textId="77777777" w:rsidR="00050ACC" w:rsidRPr="00B406D0" w:rsidRDefault="00050ACC" w:rsidP="0066301C">
      <w:pPr>
        <w:spacing w:line="360" w:lineRule="auto"/>
        <w:jc w:val="both"/>
        <w:rPr>
          <w:rFonts w:ascii="Arial" w:hAnsi="Arial" w:cs="Arial"/>
          <w:lang w:eastAsia="en-GB"/>
        </w:rPr>
      </w:pPr>
      <w:r w:rsidRPr="00B406D0">
        <w:rPr>
          <w:rFonts w:ascii="Arial" w:hAnsi="Arial" w:cs="Arial"/>
          <w:lang w:eastAsia="en-GB"/>
        </w:rPr>
        <w:t>The monetary cooperation between Franc and the CFA franc zone nations was based on the following four main principles:</w:t>
      </w:r>
      <w:r w:rsidRPr="00B406D0">
        <w:rPr>
          <w:rStyle w:val="FootnoteReference"/>
          <w:rFonts w:ascii="Arial" w:hAnsi="Arial" w:cs="Arial"/>
          <w:lang w:eastAsia="en-GB"/>
        </w:rPr>
        <w:footnoteReference w:id="38"/>
      </w:r>
      <w:r w:rsidRPr="00B406D0">
        <w:rPr>
          <w:rFonts w:ascii="Arial" w:hAnsi="Arial" w:cs="Arial"/>
          <w:lang w:eastAsia="en-GB"/>
        </w:rPr>
        <w:t xml:space="preserve"> </w:t>
      </w:r>
    </w:p>
    <w:p w14:paraId="17158D62" w14:textId="77777777" w:rsidR="00050ACC" w:rsidRPr="00B406D0" w:rsidRDefault="00050ACC" w:rsidP="0066301C">
      <w:pPr>
        <w:pStyle w:val="ListParagraph"/>
        <w:numPr>
          <w:ilvl w:val="0"/>
          <w:numId w:val="39"/>
        </w:numPr>
        <w:spacing w:after="160" w:line="360" w:lineRule="auto"/>
        <w:jc w:val="both"/>
        <w:rPr>
          <w:rFonts w:ascii="Arial" w:hAnsi="Arial" w:cs="Arial"/>
        </w:rPr>
      </w:pPr>
      <w:r w:rsidRPr="00B406D0">
        <w:rPr>
          <w:rFonts w:ascii="Arial" w:hAnsi="Arial" w:cs="Arial"/>
        </w:rPr>
        <w:t>Unlimited convertibility guarantee from the French Treasury: the convertibility of currency issued by the various franc zone issuing banks is guaranteed with no limits by the French Treasury.</w:t>
      </w:r>
    </w:p>
    <w:p w14:paraId="30DDB183" w14:textId="77777777" w:rsidR="00050ACC" w:rsidRPr="00B406D0" w:rsidRDefault="00050ACC" w:rsidP="0066301C">
      <w:pPr>
        <w:pStyle w:val="ListParagraph"/>
        <w:numPr>
          <w:ilvl w:val="0"/>
          <w:numId w:val="39"/>
        </w:numPr>
        <w:spacing w:after="160" w:line="360" w:lineRule="auto"/>
        <w:jc w:val="both"/>
        <w:rPr>
          <w:rFonts w:ascii="Arial" w:hAnsi="Arial" w:cs="Arial"/>
        </w:rPr>
      </w:pPr>
      <w:r w:rsidRPr="00B406D0">
        <w:rPr>
          <w:rFonts w:ascii="Arial" w:hAnsi="Arial" w:cs="Arial"/>
        </w:rPr>
        <w:t>Fixed parity with the anchor currency: the parity of the currencies of the area with the euro is established and defined for each sub-area. The currencies of the area are convertible among themselves, at fixed parities, with no limit on amounts.</w:t>
      </w:r>
    </w:p>
    <w:p w14:paraId="43EFAEF4" w14:textId="77777777" w:rsidR="00050ACC" w:rsidRPr="00B406D0" w:rsidRDefault="00050ACC" w:rsidP="0066301C">
      <w:pPr>
        <w:pStyle w:val="ListParagraph"/>
        <w:numPr>
          <w:ilvl w:val="0"/>
          <w:numId w:val="39"/>
        </w:numPr>
        <w:spacing w:after="160" w:line="360" w:lineRule="auto"/>
        <w:jc w:val="both"/>
        <w:rPr>
          <w:rFonts w:ascii="Arial" w:hAnsi="Arial" w:cs="Arial"/>
        </w:rPr>
      </w:pPr>
      <w:r w:rsidRPr="00B406D0">
        <w:rPr>
          <w:rFonts w:ascii="Arial" w:hAnsi="Arial" w:cs="Arial"/>
        </w:rPr>
        <w:t>In principle, transfers are free within the area.</w:t>
      </w:r>
    </w:p>
    <w:p w14:paraId="5D17A19A" w14:textId="77777777" w:rsidR="00050ACC" w:rsidRPr="00B406D0" w:rsidRDefault="00050ACC" w:rsidP="0066301C">
      <w:pPr>
        <w:pStyle w:val="ListParagraph"/>
        <w:numPr>
          <w:ilvl w:val="0"/>
          <w:numId w:val="39"/>
        </w:numPr>
        <w:spacing w:after="160" w:line="360" w:lineRule="auto"/>
        <w:jc w:val="both"/>
        <w:rPr>
          <w:rFonts w:ascii="Arial" w:hAnsi="Arial" w:cs="Arial"/>
        </w:rPr>
      </w:pPr>
      <w:r w:rsidRPr="00B406D0">
        <w:rPr>
          <w:rFonts w:ascii="Arial" w:hAnsi="Arial" w:cs="Arial"/>
        </w:rPr>
        <w:t>Pooling foreign exchange reserves: foreign exchange reserves are pooled at two levels: (i) the states pool their reserves in each of the two central banks; (ii) in return for the unlimited convertibility guaranteed by France, central African banks are obliged to deposit a proportion of their foreign exchange reserves with the French Treasury, on the operational account held for each bank.</w:t>
      </w:r>
      <w:r w:rsidRPr="00B406D0">
        <w:rPr>
          <w:rStyle w:val="FootnoteReference"/>
          <w:rFonts w:ascii="Arial" w:hAnsi="Arial" w:cs="Arial"/>
        </w:rPr>
        <w:footnoteReference w:id="39"/>
      </w:r>
      <w:r w:rsidRPr="00B406D0">
        <w:rPr>
          <w:rFonts w:ascii="Arial" w:hAnsi="Arial" w:cs="Arial"/>
        </w:rPr>
        <w:t> Since 1975, these assets have enjoyed an exchange guarantee vis-à-vis Special Drawing Right (SDR).</w:t>
      </w:r>
      <w:r w:rsidRPr="00B406D0">
        <w:rPr>
          <w:rStyle w:val="FootnoteReference"/>
          <w:rFonts w:ascii="Arial" w:hAnsi="Arial" w:cs="Arial"/>
        </w:rPr>
        <w:footnoteReference w:id="40"/>
      </w:r>
      <w:r w:rsidRPr="00B406D0">
        <w:rPr>
          <w:rFonts w:ascii="Arial" w:hAnsi="Arial" w:cs="Arial"/>
        </w:rPr>
        <w:t xml:space="preserve"> </w:t>
      </w:r>
    </w:p>
    <w:p w14:paraId="6E9F7E6A" w14:textId="77777777" w:rsidR="00050ACC" w:rsidRPr="00B406D0" w:rsidRDefault="00050ACC" w:rsidP="0066301C">
      <w:pPr>
        <w:spacing w:line="360" w:lineRule="auto"/>
        <w:jc w:val="both"/>
        <w:rPr>
          <w:rFonts w:ascii="Arial" w:hAnsi="Arial" w:cs="Arial"/>
          <w:lang w:eastAsia="en-GB"/>
        </w:rPr>
      </w:pPr>
      <w:r w:rsidRPr="00B406D0">
        <w:rPr>
          <w:rFonts w:ascii="Arial" w:hAnsi="Arial" w:cs="Arial"/>
          <w:lang w:eastAsia="en-GB"/>
        </w:rPr>
        <w:t xml:space="preserve">Adding to these four principles is the control of the currency flow, the freedom of transfer of the monetary signs, and the adoption of a common exchange regulation. The strict control of foreign exchange flows (incoming and outgoing) makes it possible to monitor their impact on inflation </w:t>
      </w:r>
      <w:r w:rsidRPr="00B406D0">
        <w:rPr>
          <w:rFonts w:ascii="Arial" w:hAnsi="Arial" w:cs="Arial"/>
          <w:lang w:eastAsia="en-GB"/>
        </w:rPr>
        <w:lastRenderedPageBreak/>
        <w:t>and the overall movement of capital. The freedom of transfer of the monetary signs was at the origin of the creation of the zone Franc. However, this principle has been repealed because central banks only accept the currency of the Banque de France and not those issued by other sister central banks. This suppression of convertibility was introduced in the aftermath of capital leaks observed within the currency areas, and this measure prevents speculation (Wonyra, 2018). As for the principle of free convertibility of the CFA franc and the free movement of capital, it applies to the individual zones and to France and vice versa. So, it does not concern exchange between the three CFA zones. This principle facilitates French investments in Africa, the repatriation of capital, the flight of capital from Africa to France, and France's importation of raw materials. As such, the view that the CFA franc hinders the intensification of intra-zone trade cannot be denied. Adding to this is that France participates in the management bodies of the central banks (Wonyra, 2018; Koulibaly, 2008).   </w:t>
      </w:r>
    </w:p>
    <w:p w14:paraId="66F8C0C1" w14:textId="4EEA7502" w:rsidR="003D2870" w:rsidRPr="00B406D0" w:rsidRDefault="003D2870" w:rsidP="0066301C">
      <w:pPr>
        <w:pStyle w:val="Heading3"/>
        <w:numPr>
          <w:ilvl w:val="0"/>
          <w:numId w:val="0"/>
        </w:numPr>
        <w:spacing w:before="0" w:beforeAutospacing="0"/>
      </w:pPr>
      <w:bookmarkStart w:id="82" w:name="_Toc171075360"/>
      <w:r w:rsidRPr="00B406D0">
        <w:t>2.2</w:t>
      </w:r>
      <w:r w:rsidR="0079576D" w:rsidRPr="00B406D0">
        <w:t>.1</w:t>
      </w:r>
      <w:r w:rsidR="00EB238E" w:rsidRPr="00B406D0">
        <w:tab/>
      </w:r>
      <w:r w:rsidR="0079576D" w:rsidRPr="00B406D0">
        <w:t xml:space="preserve">A BRIEF HISTORY OF </w:t>
      </w:r>
      <w:r w:rsidRPr="00B406D0">
        <w:t>THE CFA FRANC EXCHANGE RATE</w:t>
      </w:r>
      <w:bookmarkEnd w:id="82"/>
      <w:r w:rsidRPr="00B406D0">
        <w:t xml:space="preserve"> </w:t>
      </w:r>
    </w:p>
    <w:p w14:paraId="2B6F46B8" w14:textId="63DCD691" w:rsidR="003D2870" w:rsidRPr="00B406D0" w:rsidRDefault="006E1129" w:rsidP="0066301C">
      <w:pPr>
        <w:autoSpaceDE w:val="0"/>
        <w:autoSpaceDN w:val="0"/>
        <w:adjustRightInd w:val="0"/>
        <w:spacing w:line="360" w:lineRule="auto"/>
        <w:jc w:val="both"/>
        <w:rPr>
          <w:rFonts w:ascii="Arial" w:hAnsi="Arial" w:cs="Arial"/>
          <w:b/>
          <w:bCs/>
        </w:rPr>
      </w:pPr>
      <w:r w:rsidRPr="00B406D0">
        <w:rPr>
          <w:rFonts w:ascii="Arial" w:hAnsi="Arial" w:cs="Arial"/>
        </w:rPr>
        <w:t>The table below shows a brief view of the CFA franc</w:t>
      </w:r>
      <w:r w:rsidR="00892A02" w:rsidRPr="00B406D0">
        <w:rPr>
          <w:rFonts w:ascii="Arial" w:hAnsi="Arial" w:cs="Arial"/>
        </w:rPr>
        <w:t>.</w:t>
      </w:r>
    </w:p>
    <w:p w14:paraId="407B67E6" w14:textId="236649A3" w:rsidR="001251B3" w:rsidRPr="00B406D0" w:rsidRDefault="006E1129" w:rsidP="0066301C">
      <w:pPr>
        <w:autoSpaceDE w:val="0"/>
        <w:autoSpaceDN w:val="0"/>
        <w:adjustRightInd w:val="0"/>
        <w:spacing w:after="0" w:line="240" w:lineRule="auto"/>
        <w:jc w:val="both"/>
        <w:rPr>
          <w:rFonts w:ascii="Arial" w:hAnsi="Arial" w:cs="Arial"/>
          <w:b/>
          <w:bCs/>
        </w:rPr>
      </w:pPr>
      <w:r w:rsidRPr="00B406D0">
        <w:rPr>
          <w:rFonts w:ascii="Arial" w:hAnsi="Arial" w:cs="Arial"/>
          <w:b/>
          <w:bCs/>
        </w:rPr>
        <w:t>Ta</w:t>
      </w:r>
      <w:r w:rsidR="00DE0AC4" w:rsidRPr="00B406D0">
        <w:rPr>
          <w:rFonts w:ascii="Arial" w:hAnsi="Arial" w:cs="Arial"/>
          <w:b/>
          <w:bCs/>
        </w:rPr>
        <w:t xml:space="preserve">ble 2.1: </w:t>
      </w:r>
      <w:r w:rsidR="00510723" w:rsidRPr="00B406D0">
        <w:rPr>
          <w:rFonts w:ascii="Arial" w:hAnsi="Arial" w:cs="Arial"/>
          <w:b/>
          <w:bCs/>
        </w:rPr>
        <w:t>A Brief History of CFA Franc</w:t>
      </w:r>
    </w:p>
    <w:tbl>
      <w:tblPr>
        <w:tblStyle w:val="TableGrid"/>
        <w:tblW w:w="9356" w:type="dxa"/>
        <w:tblInd w:w="-147" w:type="dxa"/>
        <w:tblLook w:val="04A0" w:firstRow="1" w:lastRow="0" w:firstColumn="1" w:lastColumn="0" w:noHBand="0" w:noVBand="1"/>
      </w:tblPr>
      <w:tblGrid>
        <w:gridCol w:w="1276"/>
        <w:gridCol w:w="8080"/>
      </w:tblGrid>
      <w:tr w:rsidR="00510723" w:rsidRPr="00B406D0" w14:paraId="25692294" w14:textId="77777777" w:rsidTr="00953B15">
        <w:tc>
          <w:tcPr>
            <w:tcW w:w="1276" w:type="dxa"/>
          </w:tcPr>
          <w:p w14:paraId="48055D29" w14:textId="316057B1" w:rsidR="00510723" w:rsidRPr="00B406D0" w:rsidRDefault="00510723" w:rsidP="0066301C">
            <w:pPr>
              <w:autoSpaceDE w:val="0"/>
              <w:autoSpaceDN w:val="0"/>
              <w:adjustRightInd w:val="0"/>
              <w:spacing w:line="360" w:lineRule="auto"/>
              <w:jc w:val="both"/>
              <w:rPr>
                <w:rFonts w:ascii="Arial" w:hAnsi="Arial" w:cs="Arial"/>
                <w:b/>
                <w:bCs/>
              </w:rPr>
            </w:pPr>
            <w:r w:rsidRPr="00B406D0">
              <w:rPr>
                <w:rFonts w:ascii="Arial" w:hAnsi="Arial" w:cs="Arial"/>
                <w:b/>
                <w:bCs/>
              </w:rPr>
              <w:t>Year</w:t>
            </w:r>
          </w:p>
        </w:tc>
        <w:tc>
          <w:tcPr>
            <w:tcW w:w="8080" w:type="dxa"/>
          </w:tcPr>
          <w:p w14:paraId="10D3B8E7" w14:textId="05D7BEE6" w:rsidR="00510723" w:rsidRPr="00B406D0" w:rsidRDefault="00510723" w:rsidP="0066301C">
            <w:pPr>
              <w:autoSpaceDE w:val="0"/>
              <w:autoSpaceDN w:val="0"/>
              <w:adjustRightInd w:val="0"/>
              <w:spacing w:line="360" w:lineRule="auto"/>
              <w:jc w:val="both"/>
              <w:rPr>
                <w:rFonts w:ascii="Arial" w:hAnsi="Arial" w:cs="Arial"/>
                <w:b/>
                <w:bCs/>
              </w:rPr>
            </w:pPr>
            <w:r w:rsidRPr="00B406D0">
              <w:rPr>
                <w:rFonts w:ascii="Arial" w:hAnsi="Arial" w:cs="Arial"/>
                <w:b/>
                <w:bCs/>
              </w:rPr>
              <w:t>Event</w:t>
            </w:r>
          </w:p>
        </w:tc>
      </w:tr>
      <w:tr w:rsidR="00510723" w:rsidRPr="00B406D0" w14:paraId="67B0701E" w14:textId="77777777" w:rsidTr="00953B15">
        <w:tc>
          <w:tcPr>
            <w:tcW w:w="1276" w:type="dxa"/>
          </w:tcPr>
          <w:p w14:paraId="4D604522" w14:textId="5F0C1FCC" w:rsidR="00510723" w:rsidRPr="00B406D0" w:rsidRDefault="00510723" w:rsidP="0066301C">
            <w:pPr>
              <w:autoSpaceDE w:val="0"/>
              <w:autoSpaceDN w:val="0"/>
              <w:adjustRightInd w:val="0"/>
              <w:spacing w:line="360" w:lineRule="auto"/>
              <w:jc w:val="both"/>
              <w:rPr>
                <w:rFonts w:ascii="Arial" w:hAnsi="Arial" w:cs="Arial"/>
              </w:rPr>
            </w:pPr>
            <w:r w:rsidRPr="00B406D0">
              <w:rPr>
                <w:rFonts w:ascii="Arial" w:hAnsi="Arial" w:cs="Arial"/>
              </w:rPr>
              <w:t>1939</w:t>
            </w:r>
          </w:p>
        </w:tc>
        <w:tc>
          <w:tcPr>
            <w:tcW w:w="8080" w:type="dxa"/>
          </w:tcPr>
          <w:p w14:paraId="0148FA21" w14:textId="7AAF7602" w:rsidR="00510723" w:rsidRPr="00B406D0" w:rsidRDefault="00510723" w:rsidP="0066301C">
            <w:pPr>
              <w:autoSpaceDE w:val="0"/>
              <w:autoSpaceDN w:val="0"/>
              <w:adjustRightInd w:val="0"/>
              <w:spacing w:line="360" w:lineRule="auto"/>
              <w:jc w:val="both"/>
              <w:rPr>
                <w:rFonts w:ascii="Arial" w:hAnsi="Arial" w:cs="Arial"/>
              </w:rPr>
            </w:pPr>
            <w:r w:rsidRPr="00B406D0">
              <w:rPr>
                <w:rFonts w:ascii="Arial" w:hAnsi="Arial" w:cs="Arial"/>
              </w:rPr>
              <w:t>Birth of the franc zone in the French overseas territories.</w:t>
            </w:r>
          </w:p>
        </w:tc>
      </w:tr>
      <w:tr w:rsidR="00510723" w:rsidRPr="00B406D0" w14:paraId="038AA145" w14:textId="77777777" w:rsidTr="00953B15">
        <w:tc>
          <w:tcPr>
            <w:tcW w:w="1276" w:type="dxa"/>
          </w:tcPr>
          <w:p w14:paraId="76CA2E93" w14:textId="61B1B406" w:rsidR="00510723" w:rsidRPr="00B406D0" w:rsidRDefault="00510723" w:rsidP="0066301C">
            <w:pPr>
              <w:autoSpaceDE w:val="0"/>
              <w:autoSpaceDN w:val="0"/>
              <w:adjustRightInd w:val="0"/>
              <w:spacing w:line="360" w:lineRule="auto"/>
              <w:jc w:val="both"/>
              <w:rPr>
                <w:rFonts w:ascii="Arial" w:hAnsi="Arial" w:cs="Arial"/>
              </w:rPr>
            </w:pPr>
            <w:r w:rsidRPr="00B406D0">
              <w:rPr>
                <w:rFonts w:ascii="Arial" w:hAnsi="Arial" w:cs="Arial"/>
              </w:rPr>
              <w:t>1945</w:t>
            </w:r>
          </w:p>
        </w:tc>
        <w:tc>
          <w:tcPr>
            <w:tcW w:w="8080" w:type="dxa"/>
          </w:tcPr>
          <w:p w14:paraId="4569B67D" w14:textId="2E126786" w:rsidR="00510723" w:rsidRPr="00B406D0" w:rsidRDefault="00510723" w:rsidP="0066301C">
            <w:pPr>
              <w:autoSpaceDE w:val="0"/>
              <w:autoSpaceDN w:val="0"/>
              <w:adjustRightInd w:val="0"/>
              <w:spacing w:line="360" w:lineRule="auto"/>
              <w:jc w:val="both"/>
              <w:rPr>
                <w:rFonts w:ascii="Arial" w:hAnsi="Arial" w:cs="Arial"/>
              </w:rPr>
            </w:pPr>
            <w:r w:rsidRPr="00B406D0">
              <w:rPr>
                <w:rFonts w:ascii="Arial" w:hAnsi="Arial" w:cs="Arial"/>
              </w:rPr>
              <w:t>Creation of the CFA franc.</w:t>
            </w:r>
          </w:p>
        </w:tc>
      </w:tr>
      <w:tr w:rsidR="00510723" w:rsidRPr="00B406D0" w14:paraId="6A218B42" w14:textId="77777777" w:rsidTr="00953B15">
        <w:tc>
          <w:tcPr>
            <w:tcW w:w="1276" w:type="dxa"/>
          </w:tcPr>
          <w:p w14:paraId="78598EF5" w14:textId="50A78AD7" w:rsidR="00510723" w:rsidRPr="00B406D0" w:rsidRDefault="00510723" w:rsidP="0066301C">
            <w:pPr>
              <w:autoSpaceDE w:val="0"/>
              <w:autoSpaceDN w:val="0"/>
              <w:adjustRightInd w:val="0"/>
              <w:spacing w:line="360" w:lineRule="auto"/>
              <w:jc w:val="both"/>
              <w:rPr>
                <w:rFonts w:ascii="Arial" w:hAnsi="Arial" w:cs="Arial"/>
              </w:rPr>
            </w:pPr>
            <w:r w:rsidRPr="00B406D0">
              <w:rPr>
                <w:rFonts w:ascii="Arial" w:hAnsi="Arial" w:cs="Arial"/>
              </w:rPr>
              <w:t>1954-1962</w:t>
            </w:r>
          </w:p>
        </w:tc>
        <w:tc>
          <w:tcPr>
            <w:tcW w:w="8080" w:type="dxa"/>
          </w:tcPr>
          <w:p w14:paraId="1ECE445E" w14:textId="016E7EC1" w:rsidR="00510723" w:rsidRPr="00B406D0" w:rsidRDefault="00510723" w:rsidP="0066301C">
            <w:pPr>
              <w:autoSpaceDE w:val="0"/>
              <w:autoSpaceDN w:val="0"/>
              <w:adjustRightInd w:val="0"/>
              <w:spacing w:line="360" w:lineRule="auto"/>
              <w:jc w:val="both"/>
              <w:rPr>
                <w:rFonts w:ascii="Arial" w:hAnsi="Arial" w:cs="Arial"/>
              </w:rPr>
            </w:pPr>
            <w:r w:rsidRPr="00B406D0">
              <w:rPr>
                <w:rFonts w:ascii="Arial" w:hAnsi="Arial" w:cs="Arial"/>
              </w:rPr>
              <w:t>Institutional transformation of the CFA franc zone following the independence of its member countries.</w:t>
            </w:r>
          </w:p>
        </w:tc>
      </w:tr>
      <w:tr w:rsidR="00510723" w:rsidRPr="00B406D0" w14:paraId="269374FA" w14:textId="77777777" w:rsidTr="00953B15">
        <w:tc>
          <w:tcPr>
            <w:tcW w:w="1276" w:type="dxa"/>
          </w:tcPr>
          <w:p w14:paraId="516641F1" w14:textId="2F252F07" w:rsidR="00510723" w:rsidRPr="00B406D0" w:rsidRDefault="00510723" w:rsidP="0066301C">
            <w:pPr>
              <w:autoSpaceDE w:val="0"/>
              <w:autoSpaceDN w:val="0"/>
              <w:adjustRightInd w:val="0"/>
              <w:spacing w:line="360" w:lineRule="auto"/>
              <w:jc w:val="both"/>
              <w:rPr>
                <w:rFonts w:ascii="Arial" w:hAnsi="Arial" w:cs="Arial"/>
              </w:rPr>
            </w:pPr>
            <w:r w:rsidRPr="00B406D0">
              <w:rPr>
                <w:rFonts w:ascii="Arial" w:hAnsi="Arial" w:cs="Arial"/>
              </w:rPr>
              <w:t>1972</w:t>
            </w:r>
          </w:p>
        </w:tc>
        <w:tc>
          <w:tcPr>
            <w:tcW w:w="8080" w:type="dxa"/>
          </w:tcPr>
          <w:p w14:paraId="5AFC92AA" w14:textId="7775AF0D" w:rsidR="00510723" w:rsidRPr="00B406D0" w:rsidRDefault="00510723" w:rsidP="0066301C">
            <w:pPr>
              <w:autoSpaceDE w:val="0"/>
              <w:autoSpaceDN w:val="0"/>
              <w:adjustRightInd w:val="0"/>
              <w:spacing w:line="360" w:lineRule="auto"/>
              <w:jc w:val="both"/>
              <w:rPr>
                <w:rFonts w:ascii="Arial" w:hAnsi="Arial" w:cs="Arial"/>
              </w:rPr>
            </w:pPr>
            <w:r w:rsidRPr="00B406D0">
              <w:rPr>
                <w:rFonts w:ascii="Arial" w:hAnsi="Arial" w:cs="Arial"/>
              </w:rPr>
              <w:t>Monetary cooperation agreements.</w:t>
            </w:r>
          </w:p>
        </w:tc>
      </w:tr>
      <w:tr w:rsidR="00510723" w:rsidRPr="00B406D0" w14:paraId="0397FAC2" w14:textId="77777777" w:rsidTr="00953B15">
        <w:tc>
          <w:tcPr>
            <w:tcW w:w="1276" w:type="dxa"/>
          </w:tcPr>
          <w:p w14:paraId="0E4A56DB" w14:textId="34870754" w:rsidR="00510723" w:rsidRPr="00B406D0" w:rsidRDefault="00510723" w:rsidP="0066301C">
            <w:pPr>
              <w:autoSpaceDE w:val="0"/>
              <w:autoSpaceDN w:val="0"/>
              <w:adjustRightInd w:val="0"/>
              <w:spacing w:line="360" w:lineRule="auto"/>
              <w:jc w:val="both"/>
              <w:rPr>
                <w:rFonts w:ascii="Arial" w:hAnsi="Arial" w:cs="Arial"/>
              </w:rPr>
            </w:pPr>
            <w:r w:rsidRPr="00B406D0">
              <w:rPr>
                <w:rFonts w:ascii="Arial" w:hAnsi="Arial" w:cs="Arial"/>
              </w:rPr>
              <w:t>1976</w:t>
            </w:r>
          </w:p>
        </w:tc>
        <w:tc>
          <w:tcPr>
            <w:tcW w:w="8080" w:type="dxa"/>
          </w:tcPr>
          <w:p w14:paraId="54F2D9BD" w14:textId="27B14299" w:rsidR="00510723" w:rsidRPr="00B406D0" w:rsidRDefault="00510723" w:rsidP="0066301C">
            <w:pPr>
              <w:autoSpaceDE w:val="0"/>
              <w:autoSpaceDN w:val="0"/>
              <w:adjustRightInd w:val="0"/>
              <w:spacing w:line="360" w:lineRule="auto"/>
              <w:jc w:val="both"/>
              <w:rPr>
                <w:rFonts w:ascii="Arial" w:hAnsi="Arial" w:cs="Arial"/>
              </w:rPr>
            </w:pPr>
            <w:r w:rsidRPr="00B406D0">
              <w:rPr>
                <w:rFonts w:ascii="Arial" w:hAnsi="Arial" w:cs="Arial"/>
              </w:rPr>
              <w:t>Creation of the Comorian franc.</w:t>
            </w:r>
          </w:p>
        </w:tc>
      </w:tr>
      <w:tr w:rsidR="00510723" w:rsidRPr="00B406D0" w14:paraId="51823CD1" w14:textId="77777777" w:rsidTr="00953B15">
        <w:tc>
          <w:tcPr>
            <w:tcW w:w="1276" w:type="dxa"/>
          </w:tcPr>
          <w:p w14:paraId="3CFD10ED" w14:textId="4C777705" w:rsidR="00510723" w:rsidRPr="00B406D0" w:rsidRDefault="00510723" w:rsidP="0066301C">
            <w:pPr>
              <w:autoSpaceDE w:val="0"/>
              <w:autoSpaceDN w:val="0"/>
              <w:adjustRightInd w:val="0"/>
              <w:spacing w:line="360" w:lineRule="auto"/>
              <w:jc w:val="both"/>
              <w:rPr>
                <w:rFonts w:ascii="Arial" w:hAnsi="Arial" w:cs="Arial"/>
              </w:rPr>
            </w:pPr>
            <w:r w:rsidRPr="00B406D0">
              <w:rPr>
                <w:rFonts w:ascii="Arial" w:hAnsi="Arial" w:cs="Arial"/>
              </w:rPr>
              <w:t>1977-1978</w:t>
            </w:r>
          </w:p>
        </w:tc>
        <w:tc>
          <w:tcPr>
            <w:tcW w:w="8080" w:type="dxa"/>
          </w:tcPr>
          <w:p w14:paraId="537F30DC" w14:textId="43015989" w:rsidR="00510723" w:rsidRPr="00B406D0" w:rsidRDefault="00510723" w:rsidP="0066301C">
            <w:pPr>
              <w:autoSpaceDE w:val="0"/>
              <w:autoSpaceDN w:val="0"/>
              <w:adjustRightInd w:val="0"/>
              <w:spacing w:line="360" w:lineRule="auto"/>
              <w:jc w:val="both"/>
              <w:rPr>
                <w:rFonts w:ascii="Arial" w:hAnsi="Arial" w:cs="Arial"/>
              </w:rPr>
            </w:pPr>
            <w:r w:rsidRPr="00B406D0">
              <w:rPr>
                <w:rFonts w:ascii="Arial" w:hAnsi="Arial" w:cs="Arial"/>
              </w:rPr>
              <w:t>Transfer of the central bank headquarters in Africa.</w:t>
            </w:r>
          </w:p>
        </w:tc>
      </w:tr>
      <w:tr w:rsidR="00510723" w:rsidRPr="00B406D0" w14:paraId="646D10E4" w14:textId="77777777" w:rsidTr="00953B15">
        <w:tc>
          <w:tcPr>
            <w:tcW w:w="1276" w:type="dxa"/>
          </w:tcPr>
          <w:p w14:paraId="0DE99DF7" w14:textId="1A516337" w:rsidR="00510723" w:rsidRPr="00B406D0" w:rsidRDefault="00510723" w:rsidP="0066301C">
            <w:pPr>
              <w:autoSpaceDE w:val="0"/>
              <w:autoSpaceDN w:val="0"/>
              <w:adjustRightInd w:val="0"/>
              <w:spacing w:line="360" w:lineRule="auto"/>
              <w:jc w:val="both"/>
              <w:rPr>
                <w:rFonts w:ascii="Arial" w:hAnsi="Arial" w:cs="Arial"/>
              </w:rPr>
            </w:pPr>
            <w:r w:rsidRPr="00B406D0">
              <w:rPr>
                <w:rFonts w:ascii="Arial" w:hAnsi="Arial" w:cs="Arial"/>
              </w:rPr>
              <w:t>1984</w:t>
            </w:r>
          </w:p>
        </w:tc>
        <w:tc>
          <w:tcPr>
            <w:tcW w:w="8080" w:type="dxa"/>
          </w:tcPr>
          <w:p w14:paraId="565DB81D" w14:textId="5068D5D4" w:rsidR="00510723" w:rsidRPr="00B406D0" w:rsidRDefault="00510723" w:rsidP="0066301C">
            <w:pPr>
              <w:autoSpaceDE w:val="0"/>
              <w:autoSpaceDN w:val="0"/>
              <w:adjustRightInd w:val="0"/>
              <w:spacing w:line="360" w:lineRule="auto"/>
              <w:jc w:val="both"/>
              <w:rPr>
                <w:rFonts w:ascii="Arial" w:hAnsi="Arial" w:cs="Arial"/>
              </w:rPr>
            </w:pPr>
            <w:r w:rsidRPr="00B406D0">
              <w:rPr>
                <w:rFonts w:ascii="Arial" w:hAnsi="Arial" w:cs="Arial"/>
              </w:rPr>
              <w:t>Integration of Equatorial Guinea.</w:t>
            </w:r>
          </w:p>
        </w:tc>
      </w:tr>
      <w:tr w:rsidR="00510723" w:rsidRPr="00B406D0" w14:paraId="71EDCCBD" w14:textId="77777777" w:rsidTr="00953B15">
        <w:tc>
          <w:tcPr>
            <w:tcW w:w="1276" w:type="dxa"/>
          </w:tcPr>
          <w:p w14:paraId="2878B11E" w14:textId="576ABE3E" w:rsidR="00510723" w:rsidRPr="00B406D0" w:rsidRDefault="00510723" w:rsidP="0066301C">
            <w:pPr>
              <w:autoSpaceDE w:val="0"/>
              <w:autoSpaceDN w:val="0"/>
              <w:adjustRightInd w:val="0"/>
              <w:spacing w:line="360" w:lineRule="auto"/>
              <w:jc w:val="both"/>
              <w:rPr>
                <w:rFonts w:ascii="Arial" w:hAnsi="Arial" w:cs="Arial"/>
              </w:rPr>
            </w:pPr>
            <w:r w:rsidRPr="00B406D0">
              <w:rPr>
                <w:rFonts w:ascii="Arial" w:hAnsi="Arial" w:cs="Arial"/>
              </w:rPr>
              <w:t>1994</w:t>
            </w:r>
          </w:p>
        </w:tc>
        <w:tc>
          <w:tcPr>
            <w:tcW w:w="8080" w:type="dxa"/>
          </w:tcPr>
          <w:p w14:paraId="392F982D" w14:textId="524E32B3" w:rsidR="00510723" w:rsidRPr="00B406D0" w:rsidRDefault="00510723" w:rsidP="0066301C">
            <w:pPr>
              <w:autoSpaceDE w:val="0"/>
              <w:autoSpaceDN w:val="0"/>
              <w:adjustRightInd w:val="0"/>
              <w:spacing w:line="360" w:lineRule="auto"/>
              <w:jc w:val="both"/>
              <w:rPr>
                <w:rFonts w:ascii="Arial" w:hAnsi="Arial" w:cs="Arial"/>
              </w:rPr>
            </w:pPr>
            <w:r w:rsidRPr="00B406D0">
              <w:rPr>
                <w:rFonts w:ascii="Arial" w:hAnsi="Arial" w:cs="Arial"/>
              </w:rPr>
              <w:t>50% devaluation of the CFA francs and 33% devaluation of the Comorian franc. Launch of the convergence and economic integration programme.</w:t>
            </w:r>
          </w:p>
        </w:tc>
      </w:tr>
      <w:tr w:rsidR="00510723" w:rsidRPr="00B406D0" w14:paraId="594640C9" w14:textId="77777777" w:rsidTr="00953B15">
        <w:tc>
          <w:tcPr>
            <w:tcW w:w="1276" w:type="dxa"/>
          </w:tcPr>
          <w:p w14:paraId="523438A2" w14:textId="33C50B1D" w:rsidR="00510723" w:rsidRPr="00B406D0" w:rsidRDefault="00510723" w:rsidP="0066301C">
            <w:pPr>
              <w:autoSpaceDE w:val="0"/>
              <w:autoSpaceDN w:val="0"/>
              <w:adjustRightInd w:val="0"/>
              <w:spacing w:line="360" w:lineRule="auto"/>
              <w:jc w:val="both"/>
              <w:rPr>
                <w:rFonts w:ascii="Arial" w:hAnsi="Arial" w:cs="Arial"/>
              </w:rPr>
            </w:pPr>
            <w:r w:rsidRPr="00B406D0">
              <w:rPr>
                <w:rFonts w:ascii="Arial" w:hAnsi="Arial" w:cs="Arial"/>
              </w:rPr>
              <w:t>1997</w:t>
            </w:r>
          </w:p>
        </w:tc>
        <w:tc>
          <w:tcPr>
            <w:tcW w:w="8080" w:type="dxa"/>
          </w:tcPr>
          <w:p w14:paraId="386D6EF3" w14:textId="0FECE486" w:rsidR="00510723" w:rsidRPr="00B406D0" w:rsidRDefault="00510723" w:rsidP="0066301C">
            <w:pPr>
              <w:autoSpaceDE w:val="0"/>
              <w:autoSpaceDN w:val="0"/>
              <w:adjustRightInd w:val="0"/>
              <w:spacing w:line="360" w:lineRule="auto"/>
              <w:jc w:val="both"/>
              <w:rPr>
                <w:rFonts w:ascii="Arial" w:hAnsi="Arial" w:cs="Arial"/>
              </w:rPr>
            </w:pPr>
            <w:r w:rsidRPr="00B406D0">
              <w:rPr>
                <w:rFonts w:ascii="Arial" w:hAnsi="Arial" w:cs="Arial"/>
              </w:rPr>
              <w:t>Guinea Bissau enters the CFA franc zone.</w:t>
            </w:r>
          </w:p>
        </w:tc>
      </w:tr>
      <w:tr w:rsidR="00510723" w:rsidRPr="00B406D0" w14:paraId="3C8BE13C" w14:textId="77777777" w:rsidTr="00953B15">
        <w:tc>
          <w:tcPr>
            <w:tcW w:w="1276" w:type="dxa"/>
          </w:tcPr>
          <w:p w14:paraId="6635B061" w14:textId="26756BA4" w:rsidR="00510723" w:rsidRPr="00B406D0" w:rsidRDefault="00510723" w:rsidP="0066301C">
            <w:pPr>
              <w:autoSpaceDE w:val="0"/>
              <w:autoSpaceDN w:val="0"/>
              <w:adjustRightInd w:val="0"/>
              <w:spacing w:line="360" w:lineRule="auto"/>
              <w:jc w:val="both"/>
              <w:rPr>
                <w:rFonts w:ascii="Arial" w:hAnsi="Arial" w:cs="Arial"/>
              </w:rPr>
            </w:pPr>
            <w:r w:rsidRPr="00B406D0">
              <w:rPr>
                <w:rFonts w:ascii="Arial" w:hAnsi="Arial" w:cs="Arial"/>
              </w:rPr>
              <w:t>1999</w:t>
            </w:r>
          </w:p>
        </w:tc>
        <w:tc>
          <w:tcPr>
            <w:tcW w:w="8080" w:type="dxa"/>
          </w:tcPr>
          <w:p w14:paraId="34BC72C6" w14:textId="17765B7C" w:rsidR="00510723" w:rsidRPr="00B406D0" w:rsidRDefault="00510723" w:rsidP="0066301C">
            <w:pPr>
              <w:autoSpaceDE w:val="0"/>
              <w:autoSpaceDN w:val="0"/>
              <w:adjustRightInd w:val="0"/>
              <w:spacing w:line="360" w:lineRule="auto"/>
              <w:jc w:val="both"/>
              <w:rPr>
                <w:rFonts w:ascii="Arial" w:hAnsi="Arial" w:cs="Arial"/>
              </w:rPr>
            </w:pPr>
            <w:r w:rsidRPr="00B406D0">
              <w:rPr>
                <w:rFonts w:ascii="Arial" w:hAnsi="Arial" w:cs="Arial"/>
              </w:rPr>
              <w:t>The Council of the European Union recognises the monetary cooperation agreements within the CFA franc zone, ensuring that the transition to the euro would not lead to parity changes.</w:t>
            </w:r>
          </w:p>
        </w:tc>
      </w:tr>
    </w:tbl>
    <w:p w14:paraId="0AE2B427" w14:textId="2FE973BA" w:rsidR="00510723" w:rsidRPr="00EC689C" w:rsidRDefault="00020D26" w:rsidP="0066301C">
      <w:pPr>
        <w:autoSpaceDE w:val="0"/>
        <w:autoSpaceDN w:val="0"/>
        <w:adjustRightInd w:val="0"/>
        <w:spacing w:line="360" w:lineRule="auto"/>
        <w:jc w:val="both"/>
        <w:rPr>
          <w:rFonts w:ascii="Arial" w:hAnsi="Arial" w:cs="Arial"/>
          <w:sz w:val="20"/>
          <w:szCs w:val="20"/>
        </w:rPr>
      </w:pPr>
      <w:r w:rsidRPr="00EC689C">
        <w:rPr>
          <w:rFonts w:ascii="Arial" w:hAnsi="Arial" w:cs="Arial"/>
          <w:i/>
          <w:iCs/>
          <w:sz w:val="20"/>
          <w:szCs w:val="20"/>
        </w:rPr>
        <w:t>Source:</w:t>
      </w:r>
      <w:r w:rsidRPr="00EC689C">
        <w:rPr>
          <w:rFonts w:ascii="Arial" w:hAnsi="Arial" w:cs="Arial"/>
          <w:sz w:val="20"/>
          <w:szCs w:val="20"/>
        </w:rPr>
        <w:t xml:space="preserve"> Banque De France (2015).</w:t>
      </w:r>
    </w:p>
    <w:p w14:paraId="2645AE28" w14:textId="196FAE08" w:rsidR="008D7D5B" w:rsidRPr="00B406D0" w:rsidRDefault="008D7D5B" w:rsidP="0066301C">
      <w:pPr>
        <w:spacing w:line="360" w:lineRule="auto"/>
        <w:jc w:val="both"/>
        <w:rPr>
          <w:rFonts w:ascii="Arial" w:hAnsi="Arial" w:cs="Arial"/>
          <w:lang w:eastAsia="en-GB"/>
        </w:rPr>
      </w:pPr>
      <w:r w:rsidRPr="00B406D0">
        <w:rPr>
          <w:rFonts w:ascii="Arial" w:hAnsi="Arial" w:cs="Arial"/>
          <w:lang w:eastAsia="en-GB"/>
        </w:rPr>
        <w:t>After the creation of the CFA franc in 1945, in 1948, 1 FF was equivalent to 50 CFA francs. The parity did not change till 12</w:t>
      </w:r>
      <w:r w:rsidRPr="00B406D0">
        <w:rPr>
          <w:rFonts w:ascii="Arial" w:hAnsi="Arial" w:cs="Arial"/>
          <w:vertAlign w:val="superscript"/>
          <w:lang w:eastAsia="en-GB"/>
        </w:rPr>
        <w:t>th</w:t>
      </w:r>
      <w:r w:rsidR="00FD1702" w:rsidRPr="00B406D0">
        <w:rPr>
          <w:rFonts w:ascii="Arial" w:hAnsi="Arial" w:cs="Arial"/>
          <w:lang w:eastAsia="en-GB"/>
        </w:rPr>
        <w:t xml:space="preserve"> </w:t>
      </w:r>
      <w:r w:rsidRPr="00B406D0">
        <w:rPr>
          <w:rFonts w:ascii="Arial" w:hAnsi="Arial" w:cs="Arial"/>
          <w:lang w:eastAsia="en-GB"/>
        </w:rPr>
        <w:t xml:space="preserve">January 1994 devaluation by 50%, whereby the parity changed to </w:t>
      </w:r>
      <w:r w:rsidRPr="00B406D0">
        <w:rPr>
          <w:rFonts w:ascii="Arial" w:hAnsi="Arial" w:cs="Arial"/>
          <w:lang w:eastAsia="en-GB"/>
        </w:rPr>
        <w:lastRenderedPageBreak/>
        <w:t>1FF worth 100 CFA franc in the nominal rate.</w:t>
      </w:r>
      <w:r w:rsidRPr="00B406D0">
        <w:rPr>
          <w:rStyle w:val="FootnoteReference"/>
          <w:rFonts w:ascii="Arial" w:hAnsi="Arial" w:cs="Arial"/>
          <w:lang w:eastAsia="en-GB"/>
        </w:rPr>
        <w:footnoteReference w:id="41"/>
      </w:r>
      <w:r w:rsidRPr="00B406D0">
        <w:rPr>
          <w:rFonts w:ascii="Arial" w:hAnsi="Arial" w:cs="Arial"/>
          <w:lang w:eastAsia="en-GB"/>
        </w:rPr>
        <w:t> The devaluation was meant to reverse the domestic and external disequilibria that had built up since the mid-1980s. The internal deficit was due to unemployment caused by low levels of the legal, administrative, and institutional framework, human capital, structural policies, and financial policies. On the other hand, the external deficit was due to foreign interests and terms of trade shocks (Bahmani-Oskooee, 1998; Nashahibi and Bazzoni, 1994).</w:t>
      </w:r>
    </w:p>
    <w:p w14:paraId="5A36F7E4" w14:textId="77777777" w:rsidR="008D7D5B" w:rsidRPr="00B406D0" w:rsidRDefault="008D7D5B" w:rsidP="0066301C">
      <w:pPr>
        <w:spacing w:line="360" w:lineRule="auto"/>
        <w:jc w:val="both"/>
        <w:rPr>
          <w:rFonts w:ascii="Arial" w:hAnsi="Arial" w:cs="Arial"/>
          <w:lang w:eastAsia="en-GB"/>
        </w:rPr>
      </w:pPr>
      <w:r w:rsidRPr="00B406D0">
        <w:rPr>
          <w:rFonts w:ascii="Arial" w:hAnsi="Arial" w:cs="Arial"/>
          <w:lang w:eastAsia="en-GB"/>
        </w:rPr>
        <w:t>After the independence of CFA zone nations in the 1960s, they experienced an increase in the oil price. During the oil boom, the governments had the financial means to embark on ambitious economic policies. The petroleum exporting nations were flush with cash after the increase in oil prices of 1973 -1980 (Felix, 1990). Some oil-producing nations took substantial debts for economic development against future oil revenues (Zobo, 2014).</w:t>
      </w:r>
      <w:r w:rsidRPr="00B406D0">
        <w:rPr>
          <w:rStyle w:val="FootnoteReference"/>
          <w:rFonts w:ascii="Arial" w:hAnsi="Arial" w:cs="Arial"/>
          <w:lang w:eastAsia="en-GB"/>
        </w:rPr>
        <w:footnoteReference w:id="42"/>
      </w:r>
      <w:r w:rsidRPr="00B406D0">
        <w:rPr>
          <w:rFonts w:ascii="Arial" w:hAnsi="Arial" w:cs="Arial"/>
          <w:lang w:eastAsia="en-GB"/>
        </w:rPr>
        <w:t> This was an import substitution technique to industrialize their nations. With the debt valued in US dollars and the hope that the high price will persist, they can repay their debts. It transformed their states into omnipresent players in the economy, with state corporations being involved in all sectors, and state revenue was on the rise till 1984 (Pineau, 2005; Ghura, 1997). Also, the governments overprotected their corporations from foreign competition for the domestic markets of their finished commodities. At the same time, they greatly depended on the importation of cheaper raw materials, equipment, and spare parts</w:t>
      </w:r>
      <w:r w:rsidRPr="00B406D0">
        <w:rPr>
          <w:rFonts w:ascii="Arial" w:hAnsi="Arial" w:cs="Arial"/>
          <w:i/>
          <w:iCs/>
          <w:lang w:eastAsia="en-GB"/>
        </w:rPr>
        <w:t>. </w:t>
      </w:r>
    </w:p>
    <w:p w14:paraId="09D0CAFC" w14:textId="6A0476E2" w:rsidR="008D7D5B" w:rsidRPr="00B406D0" w:rsidRDefault="008D7D5B" w:rsidP="0066301C">
      <w:pPr>
        <w:spacing w:line="360" w:lineRule="auto"/>
        <w:jc w:val="both"/>
        <w:rPr>
          <w:rFonts w:ascii="Arial" w:hAnsi="Arial" w:cs="Arial"/>
          <w:lang w:eastAsia="en-GB"/>
        </w:rPr>
      </w:pPr>
      <w:r w:rsidRPr="00B406D0">
        <w:rPr>
          <w:rFonts w:ascii="Arial" w:hAnsi="Arial" w:cs="Arial"/>
          <w:lang w:eastAsia="en-GB"/>
        </w:rPr>
        <w:t>However, the second half of the 1980s experienced a sharp fall in the international markets in oil, coffee, cocoa, and cotton prices. At the same time, the appreciation of the French Franc against other major currencies made the exports of the Zone less competitive (Africa Business Magazine, 2012; Coleman, 2008). This double shock, combined with rising wages, arrears payment, inefficiencies, and unproductivity of public enterprises, led to a fall in investment and capital flight. It created budget crises in the CFA franc zone, which peaked in 1987 with an average deficit of approximately 13% of their GDP (Pineau, 2005; Ghura, 1997). The downward deflationary spiral of income, expenditures, and production cut average real per capita income by 40% (</w:t>
      </w:r>
      <w:bookmarkStart w:id="83" w:name="_Hlk169549233"/>
      <w:r w:rsidRPr="00B406D0">
        <w:rPr>
          <w:rFonts w:ascii="Arial" w:hAnsi="Arial" w:cs="Arial"/>
          <w:lang w:eastAsia="en-GB"/>
        </w:rPr>
        <w:t>Devarajan and Hinkle, 1994</w:t>
      </w:r>
      <w:bookmarkEnd w:id="83"/>
      <w:r w:rsidRPr="00B406D0">
        <w:rPr>
          <w:rFonts w:ascii="Arial" w:hAnsi="Arial" w:cs="Arial"/>
          <w:lang w:eastAsia="en-GB"/>
        </w:rPr>
        <w:t>). This protracted recession impoverished much of the Zone's population and weakened the already inadequate essential social services.</w:t>
      </w:r>
      <w:r w:rsidRPr="00B406D0">
        <w:rPr>
          <w:rStyle w:val="FootnoteReference"/>
          <w:rFonts w:ascii="Arial" w:hAnsi="Arial" w:cs="Arial"/>
          <w:lang w:eastAsia="en-GB"/>
        </w:rPr>
        <w:footnoteReference w:id="43"/>
      </w:r>
      <w:r w:rsidRPr="00B406D0">
        <w:rPr>
          <w:rFonts w:ascii="Arial" w:hAnsi="Arial" w:cs="Arial"/>
          <w:lang w:eastAsia="en-GB"/>
        </w:rPr>
        <w:t xml:space="preserve"> CFA </w:t>
      </w:r>
      <w:r w:rsidR="003326CB" w:rsidRPr="00B406D0">
        <w:rPr>
          <w:rFonts w:ascii="Arial" w:hAnsi="Arial" w:cs="Arial"/>
          <w:lang w:eastAsia="en-GB"/>
        </w:rPr>
        <w:t xml:space="preserve">franc </w:t>
      </w:r>
      <w:r w:rsidRPr="00B406D0">
        <w:rPr>
          <w:rFonts w:ascii="Arial" w:hAnsi="Arial" w:cs="Arial"/>
          <w:lang w:eastAsia="en-GB"/>
        </w:rPr>
        <w:t>zone nations faced a profound economic, financial, and social crisis.</w:t>
      </w:r>
    </w:p>
    <w:p w14:paraId="35C80E84" w14:textId="198B74D2" w:rsidR="0095500B" w:rsidRPr="00B406D0" w:rsidRDefault="0095500B" w:rsidP="0066301C">
      <w:pPr>
        <w:spacing w:line="360" w:lineRule="auto"/>
        <w:jc w:val="both"/>
        <w:rPr>
          <w:rFonts w:ascii="Arial" w:hAnsi="Arial" w:cs="Arial"/>
          <w:lang w:eastAsia="en-GB"/>
        </w:rPr>
      </w:pPr>
      <w:r w:rsidRPr="00B406D0">
        <w:rPr>
          <w:rFonts w:ascii="Arial" w:hAnsi="Arial" w:cs="Arial"/>
          <w:lang w:eastAsia="en-GB"/>
        </w:rPr>
        <w:lastRenderedPageBreak/>
        <w:t xml:space="preserve">To address the challenges faced by the CFA franc nations, they had to adopt comprehensive economic reforms to restore export-led growth, reduce poverty, and repair the Zone's financial system. This resulted </w:t>
      </w:r>
      <w:r w:rsidR="003326CB" w:rsidRPr="00B406D0">
        <w:rPr>
          <w:rFonts w:ascii="Arial" w:hAnsi="Arial" w:cs="Arial"/>
          <w:lang w:eastAsia="en-GB"/>
        </w:rPr>
        <w:t>to</w:t>
      </w:r>
      <w:r w:rsidRPr="00B406D0">
        <w:rPr>
          <w:rFonts w:ascii="Arial" w:hAnsi="Arial" w:cs="Arial"/>
          <w:lang w:eastAsia="en-GB"/>
        </w:rPr>
        <w:t xml:space="preserve"> the 12</w:t>
      </w:r>
      <w:r w:rsidRPr="00B406D0">
        <w:rPr>
          <w:rFonts w:ascii="Arial" w:hAnsi="Arial" w:cs="Arial"/>
          <w:vertAlign w:val="superscript"/>
          <w:lang w:eastAsia="en-GB"/>
        </w:rPr>
        <w:t>th</w:t>
      </w:r>
      <w:r w:rsidRPr="00B406D0">
        <w:rPr>
          <w:rFonts w:ascii="Arial" w:hAnsi="Arial" w:cs="Arial"/>
          <w:lang w:eastAsia="en-GB"/>
        </w:rPr>
        <w:t xml:space="preserve"> January 1994 CFA franc devaluation by 50% to halt the recession, recovery in export growth, revival of investment, and an improvement in GDP growth rate. To achieve these, cooperation mechanisms were reinforced after the 1994 devaluation to foster convergence and economic integration within each region (UEMOA and CEMAC)</w:t>
      </w:r>
      <w:r w:rsidR="003326CB" w:rsidRPr="00B406D0">
        <w:rPr>
          <w:rFonts w:ascii="Arial" w:hAnsi="Arial" w:cs="Arial"/>
          <w:lang w:eastAsia="en-GB"/>
        </w:rPr>
        <w:t>,</w:t>
      </w:r>
      <w:r w:rsidRPr="00B406D0">
        <w:rPr>
          <w:rFonts w:ascii="Arial" w:hAnsi="Arial" w:cs="Arial"/>
          <w:lang w:eastAsia="en-GB"/>
        </w:rPr>
        <w:t xml:space="preserve"> and avoid further crises that could destabilize the CFA franc zone. Convergence criteria have been applied to each region since then. </w:t>
      </w:r>
    </w:p>
    <w:p w14:paraId="56E1BC10" w14:textId="77777777" w:rsidR="0095500B" w:rsidRPr="00B406D0" w:rsidRDefault="0095500B" w:rsidP="0066301C">
      <w:pPr>
        <w:pStyle w:val="ListParagraph"/>
        <w:numPr>
          <w:ilvl w:val="0"/>
          <w:numId w:val="41"/>
        </w:numPr>
        <w:spacing w:after="160" w:line="360" w:lineRule="auto"/>
        <w:jc w:val="both"/>
        <w:rPr>
          <w:rFonts w:ascii="Arial" w:hAnsi="Arial" w:cs="Arial"/>
        </w:rPr>
      </w:pPr>
      <w:r w:rsidRPr="00B406D0">
        <w:rPr>
          <w:rFonts w:ascii="Arial" w:hAnsi="Arial" w:cs="Arial"/>
        </w:rPr>
        <w:t>The UEMOA redefined them in 2015. There are three first-level criteria: </w:t>
      </w:r>
    </w:p>
    <w:p w14:paraId="2CF8910C" w14:textId="77777777" w:rsidR="0095500B" w:rsidRPr="00B406D0" w:rsidRDefault="0095500B" w:rsidP="0066301C">
      <w:pPr>
        <w:spacing w:line="360" w:lineRule="auto"/>
        <w:ind w:firstLine="720"/>
        <w:jc w:val="both"/>
        <w:rPr>
          <w:rFonts w:ascii="Arial" w:hAnsi="Arial" w:cs="Arial"/>
          <w:lang w:eastAsia="en-GB"/>
        </w:rPr>
      </w:pPr>
      <w:r w:rsidRPr="00B406D0">
        <w:rPr>
          <w:rFonts w:ascii="Arial" w:hAnsi="Arial" w:cs="Arial"/>
          <w:lang w:eastAsia="en-GB"/>
        </w:rPr>
        <w:t>– Inflation must remain below 3% per year. </w:t>
      </w:r>
    </w:p>
    <w:p w14:paraId="56E14E07" w14:textId="77777777" w:rsidR="0095500B" w:rsidRPr="00B406D0" w:rsidRDefault="0095500B" w:rsidP="0066301C">
      <w:pPr>
        <w:spacing w:line="360" w:lineRule="auto"/>
        <w:ind w:firstLine="720"/>
        <w:jc w:val="both"/>
        <w:rPr>
          <w:rFonts w:ascii="Arial" w:hAnsi="Arial" w:cs="Arial"/>
          <w:lang w:eastAsia="en-GB"/>
        </w:rPr>
      </w:pPr>
      <w:r w:rsidRPr="00B406D0">
        <w:rPr>
          <w:rFonts w:ascii="Arial" w:hAnsi="Arial" w:cs="Arial"/>
          <w:lang w:eastAsia="en-GB"/>
        </w:rPr>
        <w:t>– public debt must not exceed 70% of GDP. </w:t>
      </w:r>
    </w:p>
    <w:p w14:paraId="1C7B4620" w14:textId="77777777" w:rsidR="0095500B" w:rsidRPr="00B406D0" w:rsidRDefault="0095500B" w:rsidP="0066301C">
      <w:pPr>
        <w:spacing w:line="360" w:lineRule="auto"/>
        <w:ind w:firstLine="720"/>
        <w:jc w:val="both"/>
        <w:rPr>
          <w:rFonts w:ascii="Arial" w:hAnsi="Arial" w:cs="Arial"/>
          <w:lang w:eastAsia="en-GB"/>
        </w:rPr>
      </w:pPr>
      <w:r w:rsidRPr="00B406D0">
        <w:rPr>
          <w:rFonts w:ascii="Arial" w:hAnsi="Arial" w:cs="Arial"/>
          <w:lang w:eastAsia="en-GB"/>
        </w:rPr>
        <w:t>– an overall budget deficit less than or equal to 3% of GDP. </w:t>
      </w:r>
    </w:p>
    <w:p w14:paraId="403DFC76" w14:textId="77777777" w:rsidR="0095500B" w:rsidRPr="00B406D0" w:rsidRDefault="0095500B" w:rsidP="0066301C">
      <w:pPr>
        <w:pStyle w:val="ListParagraph"/>
        <w:numPr>
          <w:ilvl w:val="0"/>
          <w:numId w:val="41"/>
        </w:numPr>
        <w:spacing w:after="160" w:line="360" w:lineRule="auto"/>
        <w:jc w:val="both"/>
        <w:rPr>
          <w:rFonts w:ascii="Arial" w:hAnsi="Arial" w:cs="Arial"/>
        </w:rPr>
      </w:pPr>
      <w:r w:rsidRPr="00B406D0">
        <w:rPr>
          <w:rFonts w:ascii="Arial" w:hAnsi="Arial" w:cs="Arial"/>
        </w:rPr>
        <w:t>The "first-level" criteria for the CEMAC are identical for inflation and public debt, and also include: </w:t>
      </w:r>
    </w:p>
    <w:p w14:paraId="250B159B" w14:textId="77777777" w:rsidR="0095500B" w:rsidRPr="00B406D0" w:rsidRDefault="0095500B" w:rsidP="0066301C">
      <w:pPr>
        <w:spacing w:line="360" w:lineRule="auto"/>
        <w:ind w:firstLine="720"/>
        <w:jc w:val="both"/>
        <w:rPr>
          <w:rFonts w:ascii="Arial" w:hAnsi="Arial" w:cs="Arial"/>
          <w:lang w:eastAsia="en-GB"/>
        </w:rPr>
      </w:pPr>
      <w:r w:rsidRPr="00B406D0">
        <w:rPr>
          <w:rFonts w:ascii="Arial" w:hAnsi="Arial" w:cs="Arial"/>
          <w:lang w:eastAsia="en-GB"/>
        </w:rPr>
        <w:t>– an underlying budget balance greater than or equal to 0% of GDP. </w:t>
      </w:r>
    </w:p>
    <w:p w14:paraId="3548B3E0" w14:textId="77777777" w:rsidR="0095500B" w:rsidRPr="00B406D0" w:rsidRDefault="0095500B" w:rsidP="0066301C">
      <w:pPr>
        <w:spacing w:line="360" w:lineRule="auto"/>
        <w:ind w:firstLine="720"/>
        <w:jc w:val="both"/>
        <w:rPr>
          <w:rFonts w:ascii="Arial" w:hAnsi="Arial" w:cs="Arial"/>
          <w:lang w:eastAsia="en-GB"/>
        </w:rPr>
      </w:pPr>
      <w:r w:rsidRPr="00B406D0">
        <w:rPr>
          <w:rFonts w:ascii="Arial" w:hAnsi="Arial" w:cs="Arial"/>
          <w:lang w:eastAsia="en-GB"/>
        </w:rPr>
        <w:t>– non-accumulation of internal or external arrears. </w:t>
      </w:r>
    </w:p>
    <w:p w14:paraId="412966AD" w14:textId="62089050" w:rsidR="0095500B" w:rsidRDefault="0095500B" w:rsidP="0066301C">
      <w:pPr>
        <w:spacing w:line="360" w:lineRule="auto"/>
        <w:jc w:val="both"/>
        <w:rPr>
          <w:rFonts w:ascii="Arial" w:hAnsi="Arial" w:cs="Arial"/>
          <w:lang w:eastAsia="en-GB"/>
        </w:rPr>
      </w:pPr>
      <w:r w:rsidRPr="00B406D0">
        <w:rPr>
          <w:rFonts w:ascii="Arial" w:hAnsi="Arial" w:cs="Arial"/>
          <w:lang w:eastAsia="en-GB"/>
        </w:rPr>
        <w:t xml:space="preserve">A CFA Franc Zone Convergence Committee was set up in September 1999 to pursue economic integration and cooperation. This coordinating body includes France, the UEMOA, the CEMAC, and Comoros; it prepares the meetings of the ministers and governors of the CFA franc </w:t>
      </w:r>
      <w:bookmarkStart w:id="84" w:name="_Hlk170248355"/>
      <w:r w:rsidRPr="00B406D0">
        <w:rPr>
          <w:rFonts w:ascii="Arial" w:hAnsi="Arial" w:cs="Arial"/>
          <w:lang w:eastAsia="en-GB"/>
        </w:rPr>
        <w:t xml:space="preserve">zone (Banque de France, </w:t>
      </w:r>
      <w:r w:rsidR="003326CB" w:rsidRPr="00B406D0">
        <w:rPr>
          <w:rFonts w:ascii="Arial" w:hAnsi="Arial" w:cs="Arial"/>
          <w:lang w:eastAsia="en-GB"/>
        </w:rPr>
        <w:t xml:space="preserve">2015; </w:t>
      </w:r>
      <w:r w:rsidRPr="00B406D0">
        <w:rPr>
          <w:rFonts w:ascii="Arial" w:hAnsi="Arial" w:cs="Arial"/>
          <w:lang w:eastAsia="en-GB"/>
        </w:rPr>
        <w:t>2010).</w:t>
      </w:r>
      <w:r w:rsidRPr="001B283A">
        <w:rPr>
          <w:rFonts w:ascii="Arial" w:hAnsi="Arial" w:cs="Arial"/>
          <w:lang w:eastAsia="en-GB"/>
        </w:rPr>
        <w:t> </w:t>
      </w:r>
    </w:p>
    <w:p w14:paraId="1E59D73F" w14:textId="7954B6C8" w:rsidR="00A24510" w:rsidRPr="00C371EA" w:rsidRDefault="00892A02" w:rsidP="0066301C">
      <w:pPr>
        <w:pStyle w:val="Heading2"/>
        <w:spacing w:before="0" w:beforeAutospacing="0"/>
        <w:rPr>
          <w:rFonts w:eastAsia="Times New Roman"/>
          <w:b w:val="0"/>
        </w:rPr>
      </w:pPr>
      <w:bookmarkStart w:id="85" w:name="_Toc171075361"/>
      <w:r>
        <w:t>2.3</w:t>
      </w:r>
      <w:r>
        <w:tab/>
      </w:r>
      <w:r w:rsidR="00A24510" w:rsidRPr="00C371EA">
        <w:t xml:space="preserve">EQUILIBRIUM </w:t>
      </w:r>
      <w:r w:rsidR="001044D2" w:rsidRPr="00892A02">
        <w:rPr>
          <w:bCs w:val="0"/>
        </w:rPr>
        <w:t>REAL EFFECTIVE</w:t>
      </w:r>
      <w:r w:rsidR="001044D2">
        <w:rPr>
          <w:b w:val="0"/>
        </w:rPr>
        <w:t xml:space="preserve"> </w:t>
      </w:r>
      <w:r w:rsidR="00A24510" w:rsidRPr="00C371EA">
        <w:t>EXCHANGE RATE</w:t>
      </w:r>
      <w:r w:rsidR="00821D47">
        <w:t xml:space="preserve"> (EREER).</w:t>
      </w:r>
      <w:bookmarkEnd w:id="85"/>
      <w:r w:rsidR="00A24510" w:rsidRPr="00C371EA">
        <w:t xml:space="preserve">  </w:t>
      </w:r>
    </w:p>
    <w:p w14:paraId="5967510D" w14:textId="27BF9B84" w:rsidR="00714F1E" w:rsidRPr="00C371EA" w:rsidRDefault="00E66458" w:rsidP="0066301C">
      <w:pPr>
        <w:pStyle w:val="ListParagraph"/>
        <w:autoSpaceDE w:val="0"/>
        <w:autoSpaceDN w:val="0"/>
        <w:adjustRightInd w:val="0"/>
        <w:spacing w:line="360" w:lineRule="auto"/>
        <w:ind w:left="0"/>
        <w:jc w:val="both"/>
        <w:rPr>
          <w:rFonts w:ascii="Arial" w:hAnsi="Arial" w:cs="Arial"/>
          <w:lang w:val="en-US"/>
        </w:rPr>
      </w:pPr>
      <w:r>
        <w:rPr>
          <w:rFonts w:ascii="Arial" w:hAnsi="Arial" w:cs="Arial"/>
          <w:lang w:val="en-US"/>
        </w:rPr>
        <w:t>Estimating</w:t>
      </w:r>
      <w:r w:rsidR="00714F1E" w:rsidRPr="00C371EA">
        <w:rPr>
          <w:rFonts w:ascii="Arial" w:hAnsi="Arial" w:cs="Arial"/>
          <w:lang w:val="en-US"/>
        </w:rPr>
        <w:t xml:space="preserve"> the </w:t>
      </w:r>
      <w:r w:rsidR="00821D47">
        <w:rPr>
          <w:rFonts w:ascii="Arial" w:hAnsi="Arial" w:cs="Arial"/>
          <w:lang w:val="en-US"/>
        </w:rPr>
        <w:t>E</w:t>
      </w:r>
      <w:r w:rsidR="001044D2">
        <w:rPr>
          <w:rFonts w:ascii="Arial" w:hAnsi="Arial" w:cs="Arial"/>
          <w:lang w:val="en-US"/>
        </w:rPr>
        <w:t>REER</w:t>
      </w:r>
      <w:r w:rsidR="00714F1E" w:rsidRPr="00C371EA">
        <w:rPr>
          <w:rFonts w:ascii="Arial" w:hAnsi="Arial" w:cs="Arial"/>
          <w:lang w:val="en-US"/>
        </w:rPr>
        <w:t xml:space="preserve"> and assessment issues have become topical recently due to variety of reasons. Firstly, a number of nations – like the Central European nations that agreed to the European Union (EU), Sweden and the UK were interested in knowing the right exchange rate for their entry into the euro. Secondly, the behavior </w:t>
      </w:r>
      <w:bookmarkEnd w:id="84"/>
      <w:r w:rsidR="00714F1E" w:rsidRPr="00C371EA">
        <w:rPr>
          <w:rFonts w:ascii="Arial" w:hAnsi="Arial" w:cs="Arial"/>
          <w:lang w:val="en-US"/>
        </w:rPr>
        <w:t>of some currencies, like the initial sharp and continual fall in euro’s external value immediately after its inauguration in 1999, the post 2005 Chinese renimmbi’s behavior against the US dollar, and the continuous appreciation of the pound sterling during the late 1990’s, generated the debate about the sources of the exchange rate movements (Macdonald and Dias, 2007). Does such behavior symbolize movements in the underlying equilibria, and the currencies are therefore accurately price, or are they signifying a misalignment? Thirdly, is the global imbalance issue and the impact of such imbalance for exchange rate behavior</w:t>
      </w:r>
      <w:r w:rsidR="00253182">
        <w:rPr>
          <w:rFonts w:ascii="Arial" w:hAnsi="Arial" w:cs="Arial"/>
          <w:lang w:val="en-US"/>
        </w:rPr>
        <w:t>,</w:t>
      </w:r>
      <w:r w:rsidR="00714F1E" w:rsidRPr="00C371EA">
        <w:rPr>
          <w:rFonts w:ascii="Arial" w:hAnsi="Arial" w:cs="Arial"/>
          <w:lang w:val="en-US"/>
        </w:rPr>
        <w:t xml:space="preserve"> and above all the required exchange rate movements needed to </w:t>
      </w:r>
      <w:r w:rsidR="00714F1E" w:rsidRPr="00C371EA">
        <w:rPr>
          <w:rFonts w:ascii="Arial" w:hAnsi="Arial" w:cs="Arial"/>
          <w:lang w:val="en-US"/>
        </w:rPr>
        <w:lastRenderedPageBreak/>
        <w:t>address the imbalances. Answering such issues entails some measurements of the equilibrium exchange rate. Thus, we shall be looking at the concept of equilibrium exchange rates and the various way of estimating it.</w:t>
      </w:r>
    </w:p>
    <w:p w14:paraId="53A83068" w14:textId="6417E123" w:rsidR="00D2533C" w:rsidRPr="00C371EA" w:rsidRDefault="00D2533C" w:rsidP="0066301C">
      <w:pPr>
        <w:spacing w:line="360" w:lineRule="auto"/>
        <w:jc w:val="both"/>
        <w:rPr>
          <w:rFonts w:ascii="Arial" w:hAnsi="Arial" w:cs="Arial"/>
        </w:rPr>
      </w:pPr>
      <w:r w:rsidRPr="00C371EA">
        <w:rPr>
          <w:rFonts w:ascii="Arial" w:hAnsi="Arial" w:cs="Arial"/>
        </w:rPr>
        <w:t xml:space="preserve">The </w:t>
      </w:r>
      <w:r w:rsidR="00821D47">
        <w:rPr>
          <w:rFonts w:ascii="Arial" w:hAnsi="Arial" w:cs="Arial"/>
        </w:rPr>
        <w:t>E</w:t>
      </w:r>
      <w:r w:rsidRPr="00C371EA">
        <w:rPr>
          <w:rFonts w:ascii="Arial" w:hAnsi="Arial" w:cs="Arial"/>
        </w:rPr>
        <w:t>R</w:t>
      </w:r>
      <w:r w:rsidR="001044D2">
        <w:rPr>
          <w:rFonts w:ascii="Arial" w:hAnsi="Arial" w:cs="Arial"/>
        </w:rPr>
        <w:t>E</w:t>
      </w:r>
      <w:r w:rsidRPr="00C371EA">
        <w:rPr>
          <w:rFonts w:ascii="Arial" w:hAnsi="Arial" w:cs="Arial"/>
        </w:rPr>
        <w:t xml:space="preserve">ER is the relative price of tradable to non-tradable which for given (sustainable or equilibrium) values of other variables (like technology, international prices, trade taxes, capital and aid flow), results in the simultaneous achievement of both internal and external equilibrium (Edward, 1989; </w:t>
      </w:r>
      <w:r w:rsidR="00BC2C22" w:rsidRPr="000D106B">
        <w:rPr>
          <w:rFonts w:ascii="Arial" w:hAnsi="Arial" w:cs="Arial"/>
        </w:rPr>
        <w:t>Clark and MacDonald</w:t>
      </w:r>
      <w:r w:rsidR="00BC2C22">
        <w:rPr>
          <w:rFonts w:ascii="Arial" w:hAnsi="Arial" w:cs="Arial"/>
        </w:rPr>
        <w:t>,</w:t>
      </w:r>
      <w:r w:rsidR="00BC2C22" w:rsidRPr="000D106B">
        <w:rPr>
          <w:rFonts w:ascii="Arial" w:hAnsi="Arial" w:cs="Arial"/>
        </w:rPr>
        <w:t xml:space="preserve"> 199</w:t>
      </w:r>
      <w:r w:rsidR="00BC2C22">
        <w:rPr>
          <w:rFonts w:ascii="Arial" w:hAnsi="Arial" w:cs="Arial"/>
        </w:rPr>
        <w:t>8</w:t>
      </w:r>
      <w:r w:rsidRPr="00C371EA">
        <w:rPr>
          <w:rFonts w:ascii="Arial" w:hAnsi="Arial" w:cs="Arial"/>
        </w:rPr>
        <w:t xml:space="preserve">). The internal equilibrium means that the market for non-tradable goods clears in the current period and is expected to be in equilibrium in future. This implies that there is no deviation from the natural rate of unemployment within the economy. </w:t>
      </w:r>
      <w:r w:rsidR="00926B4F" w:rsidRPr="00C371EA">
        <w:rPr>
          <w:rFonts w:ascii="Arial" w:hAnsi="Arial" w:cs="Arial"/>
        </w:rPr>
        <w:t>While</w:t>
      </w:r>
      <w:r w:rsidRPr="00C371EA">
        <w:rPr>
          <w:rFonts w:ascii="Arial" w:hAnsi="Arial" w:cs="Arial"/>
        </w:rPr>
        <w:t xml:space="preserve"> the external equilibrium is reach when the entirety of the present current account and the expected current account in the future satiates the intertemporal budget constraint; which states that the discounted value of the current account balances </w:t>
      </w:r>
      <w:r w:rsidR="00022FF0" w:rsidRPr="00C371EA">
        <w:rPr>
          <w:rFonts w:ascii="Arial" w:hAnsi="Arial" w:cs="Arial"/>
        </w:rPr>
        <w:t>must</w:t>
      </w:r>
      <w:r w:rsidRPr="00C371EA">
        <w:rPr>
          <w:rFonts w:ascii="Arial" w:hAnsi="Arial" w:cs="Arial"/>
        </w:rPr>
        <w:t xml:space="preserve"> be equivalent to zero (Edward, 1989; MacDonald and Clark, 1997). That is, the current account balance (current and future) </w:t>
      </w:r>
      <w:r w:rsidR="001044D2" w:rsidRPr="00C371EA">
        <w:rPr>
          <w:rFonts w:ascii="Arial" w:hAnsi="Arial" w:cs="Arial"/>
        </w:rPr>
        <w:t>is</w:t>
      </w:r>
      <w:r w:rsidRPr="00C371EA">
        <w:rPr>
          <w:rFonts w:ascii="Arial" w:hAnsi="Arial" w:cs="Arial"/>
        </w:rPr>
        <w:t xml:space="preserve"> compatible with long-run sustainable capital flows (Edward, 1989).</w:t>
      </w:r>
    </w:p>
    <w:p w14:paraId="7655F486" w14:textId="6213C023" w:rsidR="00D2533C" w:rsidRPr="00C371EA" w:rsidRDefault="00D2533C" w:rsidP="0066301C">
      <w:pPr>
        <w:spacing w:line="360" w:lineRule="auto"/>
        <w:jc w:val="both"/>
        <w:rPr>
          <w:rFonts w:ascii="Arial" w:hAnsi="Arial" w:cs="Arial"/>
          <w:color w:val="FF0000"/>
        </w:rPr>
      </w:pPr>
      <w:r w:rsidRPr="00C371EA">
        <w:rPr>
          <w:rFonts w:ascii="Arial" w:hAnsi="Arial" w:cs="Arial"/>
        </w:rPr>
        <w:t>From the above definition, it means that the R</w:t>
      </w:r>
      <w:r w:rsidR="001044D2">
        <w:rPr>
          <w:rFonts w:ascii="Arial" w:hAnsi="Arial" w:cs="Arial"/>
        </w:rPr>
        <w:t>E</w:t>
      </w:r>
      <w:r w:rsidRPr="00C371EA">
        <w:rPr>
          <w:rFonts w:ascii="Arial" w:hAnsi="Arial" w:cs="Arial"/>
        </w:rPr>
        <w:t>ER equilibrium is mutable. Once any of the variables that affect a nation’s internal and/or external equilibrium changes, the R</w:t>
      </w:r>
      <w:r w:rsidR="001044D2">
        <w:rPr>
          <w:rFonts w:ascii="Arial" w:hAnsi="Arial" w:cs="Arial"/>
        </w:rPr>
        <w:t>E</w:t>
      </w:r>
      <w:r w:rsidRPr="00C371EA">
        <w:rPr>
          <w:rFonts w:ascii="Arial" w:hAnsi="Arial" w:cs="Arial"/>
        </w:rPr>
        <w:t>ER equilibrium will as well change. For instant, the RE</w:t>
      </w:r>
      <w:r w:rsidR="00926B4F">
        <w:rPr>
          <w:rFonts w:ascii="Arial" w:hAnsi="Arial" w:cs="Arial"/>
        </w:rPr>
        <w:t>E</w:t>
      </w:r>
      <w:r w:rsidRPr="00C371EA">
        <w:rPr>
          <w:rFonts w:ascii="Arial" w:hAnsi="Arial" w:cs="Arial"/>
        </w:rPr>
        <w:t xml:space="preserve">R ‘required’ to reach equilibrium will also vary as per if the world price of the nation’s principal export is high or low. The </w:t>
      </w:r>
      <w:r w:rsidR="00821D47">
        <w:rPr>
          <w:rFonts w:ascii="Arial" w:hAnsi="Arial" w:cs="Arial"/>
        </w:rPr>
        <w:t>E</w:t>
      </w:r>
      <w:r w:rsidRPr="00C371EA">
        <w:rPr>
          <w:rFonts w:ascii="Arial" w:hAnsi="Arial" w:cs="Arial"/>
        </w:rPr>
        <w:t>RE</w:t>
      </w:r>
      <w:r w:rsidR="001044D2">
        <w:rPr>
          <w:rFonts w:ascii="Arial" w:hAnsi="Arial" w:cs="Arial"/>
        </w:rPr>
        <w:t>E</w:t>
      </w:r>
      <w:r w:rsidRPr="00C371EA">
        <w:rPr>
          <w:rFonts w:ascii="Arial" w:hAnsi="Arial" w:cs="Arial"/>
        </w:rPr>
        <w:t xml:space="preserve">R will also be affected by other factors like real interest rates, export taxes, capital controls, import tariffs, and so on. These immediate determinants of the </w:t>
      </w:r>
      <w:r w:rsidR="00821D47">
        <w:rPr>
          <w:rFonts w:ascii="Arial" w:hAnsi="Arial" w:cs="Arial"/>
        </w:rPr>
        <w:t>E</w:t>
      </w:r>
      <w:r w:rsidRPr="00C371EA">
        <w:rPr>
          <w:rFonts w:ascii="Arial" w:hAnsi="Arial" w:cs="Arial"/>
        </w:rPr>
        <w:t>R</w:t>
      </w:r>
      <w:r w:rsidR="001044D2">
        <w:rPr>
          <w:rFonts w:ascii="Arial" w:hAnsi="Arial" w:cs="Arial"/>
        </w:rPr>
        <w:t>E</w:t>
      </w:r>
      <w:r w:rsidRPr="00C371EA">
        <w:rPr>
          <w:rFonts w:ascii="Arial" w:hAnsi="Arial" w:cs="Arial"/>
        </w:rPr>
        <w:t xml:space="preserve">ER are known as </w:t>
      </w:r>
      <w:r w:rsidRPr="00C371EA">
        <w:rPr>
          <w:rFonts w:ascii="Arial" w:hAnsi="Arial" w:cs="Arial"/>
          <w:i/>
        </w:rPr>
        <w:t>real exchange rate fundamentals</w:t>
      </w:r>
      <w:r w:rsidRPr="00253182">
        <w:rPr>
          <w:rFonts w:ascii="Arial" w:hAnsi="Arial" w:cs="Arial"/>
          <w:i/>
        </w:rPr>
        <w:t xml:space="preserve">. </w:t>
      </w:r>
      <w:r w:rsidRPr="00253182">
        <w:rPr>
          <w:rFonts w:ascii="Arial" w:hAnsi="Arial" w:cs="Arial"/>
        </w:rPr>
        <w:t>Secondly, there is not ‘one’ equilibrium R</w:t>
      </w:r>
      <w:r w:rsidR="001044D2" w:rsidRPr="00253182">
        <w:rPr>
          <w:rFonts w:ascii="Arial" w:hAnsi="Arial" w:cs="Arial"/>
        </w:rPr>
        <w:t>E</w:t>
      </w:r>
      <w:r w:rsidRPr="00253182">
        <w:rPr>
          <w:rFonts w:ascii="Arial" w:hAnsi="Arial" w:cs="Arial"/>
        </w:rPr>
        <w:t>ER, rather there is a path of</w:t>
      </w:r>
      <w:r w:rsidR="00821D47">
        <w:rPr>
          <w:rFonts w:ascii="Arial" w:hAnsi="Arial" w:cs="Arial"/>
        </w:rPr>
        <w:t xml:space="preserve">  E</w:t>
      </w:r>
      <w:r w:rsidRPr="00253182">
        <w:rPr>
          <w:rFonts w:ascii="Arial" w:hAnsi="Arial" w:cs="Arial"/>
        </w:rPr>
        <w:t>RE</w:t>
      </w:r>
      <w:r w:rsidR="001044D2" w:rsidRPr="00253182">
        <w:rPr>
          <w:rFonts w:ascii="Arial" w:hAnsi="Arial" w:cs="Arial"/>
        </w:rPr>
        <w:t>E</w:t>
      </w:r>
      <w:r w:rsidRPr="00253182">
        <w:rPr>
          <w:rFonts w:ascii="Arial" w:hAnsi="Arial" w:cs="Arial"/>
        </w:rPr>
        <w:t xml:space="preserve">R through time </w:t>
      </w:r>
      <w:r w:rsidRPr="00C371EA">
        <w:rPr>
          <w:rFonts w:ascii="Arial" w:hAnsi="Arial" w:cs="Arial"/>
        </w:rPr>
        <w:t>(Edward, 1989)</w:t>
      </w:r>
      <w:r w:rsidRPr="00253182">
        <w:rPr>
          <w:rFonts w:ascii="Arial" w:hAnsi="Arial" w:cs="Arial"/>
        </w:rPr>
        <w:t xml:space="preserve">. </w:t>
      </w:r>
      <w:r w:rsidRPr="00C371EA">
        <w:rPr>
          <w:rFonts w:ascii="Arial" w:hAnsi="Arial" w:cs="Arial"/>
        </w:rPr>
        <w:t>Thus, the choice of the RE</w:t>
      </w:r>
      <w:r w:rsidR="001044D2">
        <w:rPr>
          <w:rFonts w:ascii="Arial" w:hAnsi="Arial" w:cs="Arial"/>
        </w:rPr>
        <w:t>E</w:t>
      </w:r>
      <w:r w:rsidRPr="00C371EA">
        <w:rPr>
          <w:rFonts w:ascii="Arial" w:hAnsi="Arial" w:cs="Arial"/>
        </w:rPr>
        <w:t xml:space="preserve">R fundamentals will be determined by the theoretical framework to be used, and the values of the fundamentals are determined by the type of equilibrium of interest (meaning that they could either take their actual values, or alternatively their medium-term or long-term values) (Driver and Westaway, 2005). Thirdly, the path is not only affected by the current values of the fundamental determinants, but by also their expected future evolution. For example, if there are potentials for intertemporal substitution of consumption via foreign lending and borrowing, and in production via investment, expected future events – an expected change in the terms of trade, will affect the current value of the </w:t>
      </w:r>
      <w:r w:rsidR="00821D47">
        <w:rPr>
          <w:rFonts w:ascii="Arial" w:hAnsi="Arial" w:cs="Arial"/>
        </w:rPr>
        <w:t>E</w:t>
      </w:r>
      <w:r w:rsidRPr="00C371EA">
        <w:rPr>
          <w:rFonts w:ascii="Arial" w:hAnsi="Arial" w:cs="Arial"/>
        </w:rPr>
        <w:t>RE</w:t>
      </w:r>
      <w:r w:rsidR="00926B4F">
        <w:rPr>
          <w:rFonts w:ascii="Arial" w:hAnsi="Arial" w:cs="Arial"/>
        </w:rPr>
        <w:t>E</w:t>
      </w:r>
      <w:r w:rsidRPr="00C371EA">
        <w:rPr>
          <w:rFonts w:ascii="Arial" w:hAnsi="Arial" w:cs="Arial"/>
        </w:rPr>
        <w:t>R (Edward, 1989)</w:t>
      </w:r>
      <w:r w:rsidRPr="00C371EA">
        <w:rPr>
          <w:rFonts w:ascii="Arial" w:hAnsi="Arial" w:cs="Arial"/>
          <w:color w:val="FF0000"/>
        </w:rPr>
        <w:t>.</w:t>
      </w:r>
    </w:p>
    <w:p w14:paraId="5A92A45A" w14:textId="382FAE1A" w:rsidR="00D2533C" w:rsidRPr="00C371EA" w:rsidRDefault="00D2533C" w:rsidP="0066301C">
      <w:pPr>
        <w:pStyle w:val="ListParagraph"/>
        <w:autoSpaceDE w:val="0"/>
        <w:autoSpaceDN w:val="0"/>
        <w:adjustRightInd w:val="0"/>
        <w:spacing w:line="360" w:lineRule="auto"/>
        <w:ind w:left="0"/>
        <w:jc w:val="both"/>
        <w:rPr>
          <w:rFonts w:ascii="Arial" w:hAnsi="Arial" w:cs="Arial"/>
        </w:rPr>
      </w:pPr>
      <w:r w:rsidRPr="00C371EA">
        <w:rPr>
          <w:rFonts w:ascii="Arial" w:hAnsi="Arial" w:cs="Arial"/>
        </w:rPr>
        <w:t>The fundamental determinants of the RE</w:t>
      </w:r>
      <w:r w:rsidR="001044D2">
        <w:rPr>
          <w:rFonts w:ascii="Arial" w:hAnsi="Arial" w:cs="Arial"/>
        </w:rPr>
        <w:t>E</w:t>
      </w:r>
      <w:r w:rsidRPr="00C371EA">
        <w:rPr>
          <w:rFonts w:ascii="Arial" w:hAnsi="Arial" w:cs="Arial"/>
        </w:rPr>
        <w:t xml:space="preserve">R equilibrium are the real variables which in addition to the real exchange rate, perform a great part in determining a nation’s internal and external equilibrium (Edward, 1989; </w:t>
      </w:r>
      <w:r w:rsidR="00BC2C22" w:rsidRPr="000D106B">
        <w:rPr>
          <w:rFonts w:ascii="Arial" w:hAnsi="Arial" w:cs="Arial"/>
        </w:rPr>
        <w:t>Clark and MacDonald</w:t>
      </w:r>
      <w:r w:rsidR="00BC2C22">
        <w:rPr>
          <w:rFonts w:ascii="Arial" w:hAnsi="Arial" w:cs="Arial"/>
        </w:rPr>
        <w:t>,</w:t>
      </w:r>
      <w:r w:rsidR="00BC2C22" w:rsidRPr="000D106B">
        <w:rPr>
          <w:rFonts w:ascii="Arial" w:hAnsi="Arial" w:cs="Arial"/>
        </w:rPr>
        <w:t xml:space="preserve"> 199</w:t>
      </w:r>
      <w:r w:rsidR="00BC2C22">
        <w:rPr>
          <w:rFonts w:ascii="Arial" w:hAnsi="Arial" w:cs="Arial"/>
        </w:rPr>
        <w:t>8</w:t>
      </w:r>
      <w:r w:rsidRPr="00C371EA">
        <w:rPr>
          <w:rFonts w:ascii="Arial" w:hAnsi="Arial" w:cs="Arial"/>
        </w:rPr>
        <w:t>). The external R</w:t>
      </w:r>
      <w:r w:rsidR="001044D2">
        <w:rPr>
          <w:rFonts w:ascii="Arial" w:hAnsi="Arial" w:cs="Arial"/>
        </w:rPr>
        <w:t>E</w:t>
      </w:r>
      <w:r w:rsidRPr="00C371EA">
        <w:rPr>
          <w:rFonts w:ascii="Arial" w:hAnsi="Arial" w:cs="Arial"/>
        </w:rPr>
        <w:t>ER fundamentals include: i) world real interest rates; ii) international transfers (including foreign aid flows); iii) international prices (that is, the international terms of trade). While the internal (domestic) RE</w:t>
      </w:r>
      <w:r w:rsidR="001044D2">
        <w:rPr>
          <w:rFonts w:ascii="Arial" w:hAnsi="Arial" w:cs="Arial"/>
        </w:rPr>
        <w:t>E</w:t>
      </w:r>
      <w:r w:rsidRPr="00C371EA">
        <w:rPr>
          <w:rFonts w:ascii="Arial" w:hAnsi="Arial" w:cs="Arial"/>
        </w:rPr>
        <w:t xml:space="preserve">R </w:t>
      </w:r>
      <w:r w:rsidRPr="00C371EA">
        <w:rPr>
          <w:rFonts w:ascii="Arial" w:hAnsi="Arial" w:cs="Arial"/>
        </w:rPr>
        <w:lastRenderedPageBreak/>
        <w:t>fundamentals could be split into variables that are policy related and non-policy related decisions. The policy related R</w:t>
      </w:r>
      <w:r w:rsidR="001044D2">
        <w:rPr>
          <w:rFonts w:ascii="Arial" w:hAnsi="Arial" w:cs="Arial"/>
        </w:rPr>
        <w:t>E</w:t>
      </w:r>
      <w:r w:rsidRPr="00C371EA">
        <w:rPr>
          <w:rFonts w:ascii="Arial" w:hAnsi="Arial" w:cs="Arial"/>
        </w:rPr>
        <w:t xml:space="preserve">ER fundamentals </w:t>
      </w:r>
      <w:r w:rsidR="001044D2" w:rsidRPr="00C371EA">
        <w:rPr>
          <w:rFonts w:ascii="Arial" w:hAnsi="Arial" w:cs="Arial"/>
        </w:rPr>
        <w:t>are</w:t>
      </w:r>
      <w:r w:rsidRPr="00C371EA">
        <w:rPr>
          <w:rFonts w:ascii="Arial" w:hAnsi="Arial" w:cs="Arial"/>
        </w:rPr>
        <w:t xml:space="preserve"> a) exchange and capital controls; b) import quotas, import tariffs; c) the composition of government consumption; and d) other taxes and subsidies. While the non-policy fundamentals include technological progress as the most important. It should be noted that, not only do the </w:t>
      </w:r>
      <w:r w:rsidR="001044D2" w:rsidRPr="00C371EA">
        <w:rPr>
          <w:rFonts w:ascii="Arial" w:hAnsi="Arial" w:cs="Arial"/>
        </w:rPr>
        <w:t>above-mentioned</w:t>
      </w:r>
      <w:r w:rsidRPr="00C371EA">
        <w:rPr>
          <w:rFonts w:ascii="Arial" w:hAnsi="Arial" w:cs="Arial"/>
        </w:rPr>
        <w:t xml:space="preserve"> variables affect R</w:t>
      </w:r>
      <w:r w:rsidR="00253182">
        <w:rPr>
          <w:rFonts w:ascii="Arial" w:hAnsi="Arial" w:cs="Arial"/>
        </w:rPr>
        <w:t>E</w:t>
      </w:r>
      <w:r w:rsidRPr="00C371EA">
        <w:rPr>
          <w:rFonts w:ascii="Arial" w:hAnsi="Arial" w:cs="Arial"/>
        </w:rPr>
        <w:t>ER equilibrium, but many times the relationship goes in both directions with changes in RE</w:t>
      </w:r>
      <w:r w:rsidR="00926B4F">
        <w:rPr>
          <w:rFonts w:ascii="Arial" w:hAnsi="Arial" w:cs="Arial"/>
        </w:rPr>
        <w:t>E</w:t>
      </w:r>
      <w:r w:rsidRPr="00C371EA">
        <w:rPr>
          <w:rFonts w:ascii="Arial" w:hAnsi="Arial" w:cs="Arial"/>
        </w:rPr>
        <w:t>R affecting the fundamentals. An example of the two-way relationship with respect to R</w:t>
      </w:r>
      <w:r w:rsidR="00926B4F">
        <w:rPr>
          <w:rFonts w:ascii="Arial" w:hAnsi="Arial" w:cs="Arial"/>
        </w:rPr>
        <w:t>E</w:t>
      </w:r>
      <w:r w:rsidRPr="00C371EA">
        <w:rPr>
          <w:rFonts w:ascii="Arial" w:hAnsi="Arial" w:cs="Arial"/>
        </w:rPr>
        <w:t>ER movements and tariffs, whereby a R</w:t>
      </w:r>
      <w:r w:rsidR="001044D2">
        <w:rPr>
          <w:rFonts w:ascii="Arial" w:hAnsi="Arial" w:cs="Arial"/>
        </w:rPr>
        <w:t>E</w:t>
      </w:r>
      <w:r w:rsidRPr="00C371EA">
        <w:rPr>
          <w:rFonts w:ascii="Arial" w:hAnsi="Arial" w:cs="Arial"/>
        </w:rPr>
        <w:t xml:space="preserve">ER overvaluation is met by an increase in exchange rate controls and tariffs. </w:t>
      </w:r>
    </w:p>
    <w:p w14:paraId="46B7EB49" w14:textId="0ECBE171" w:rsidR="00D2533C" w:rsidRPr="0014064A" w:rsidRDefault="00D2533C" w:rsidP="0066301C">
      <w:pPr>
        <w:spacing w:line="360" w:lineRule="auto"/>
        <w:jc w:val="both"/>
        <w:rPr>
          <w:rFonts w:ascii="Arial" w:hAnsi="Arial" w:cs="Arial"/>
        </w:rPr>
      </w:pPr>
      <w:r w:rsidRPr="00C371EA">
        <w:rPr>
          <w:rFonts w:ascii="Arial" w:hAnsi="Arial" w:cs="Arial"/>
        </w:rPr>
        <w:t xml:space="preserve">The notion that an </w:t>
      </w:r>
      <w:r w:rsidR="00821D47">
        <w:rPr>
          <w:rFonts w:ascii="Arial" w:hAnsi="Arial" w:cs="Arial"/>
        </w:rPr>
        <w:t>E</w:t>
      </w:r>
      <w:r w:rsidRPr="00C371EA">
        <w:rPr>
          <w:rFonts w:ascii="Arial" w:hAnsi="Arial" w:cs="Arial"/>
        </w:rPr>
        <w:t>R</w:t>
      </w:r>
      <w:r w:rsidR="001044D2">
        <w:rPr>
          <w:rFonts w:ascii="Arial" w:hAnsi="Arial" w:cs="Arial"/>
        </w:rPr>
        <w:t>E</w:t>
      </w:r>
      <w:r w:rsidRPr="00C371EA">
        <w:rPr>
          <w:rFonts w:ascii="Arial" w:hAnsi="Arial" w:cs="Arial"/>
        </w:rPr>
        <w:t xml:space="preserve">ER moves whenever the fundamental determining factor (determinants) change has significant ramifications for policy. </w:t>
      </w:r>
      <w:r w:rsidR="001044D2" w:rsidRPr="00C371EA">
        <w:rPr>
          <w:rFonts w:ascii="Arial" w:hAnsi="Arial" w:cs="Arial"/>
        </w:rPr>
        <w:t>But</w:t>
      </w:r>
      <w:r w:rsidRPr="00C371EA">
        <w:rPr>
          <w:rFonts w:ascii="Arial" w:hAnsi="Arial" w:cs="Arial"/>
        </w:rPr>
        <w:t xml:space="preserve"> some policymakers still believe that the </w:t>
      </w:r>
      <w:r w:rsidR="00821D47">
        <w:rPr>
          <w:rFonts w:ascii="Arial" w:hAnsi="Arial" w:cs="Arial"/>
        </w:rPr>
        <w:t>E</w:t>
      </w:r>
      <w:r w:rsidRPr="00C371EA">
        <w:rPr>
          <w:rFonts w:ascii="Arial" w:hAnsi="Arial" w:cs="Arial"/>
        </w:rPr>
        <w:t>R</w:t>
      </w:r>
      <w:r w:rsidR="001044D2">
        <w:rPr>
          <w:rFonts w:ascii="Arial" w:hAnsi="Arial" w:cs="Arial"/>
        </w:rPr>
        <w:t>E</w:t>
      </w:r>
      <w:r w:rsidRPr="00C371EA">
        <w:rPr>
          <w:rFonts w:ascii="Arial" w:hAnsi="Arial" w:cs="Arial"/>
        </w:rPr>
        <w:t xml:space="preserve">ER is an unchallengeable amount or a constant. This suggests that any deviation of the </w:t>
      </w:r>
      <w:r w:rsidR="00C666CF">
        <w:rPr>
          <w:rFonts w:ascii="Arial" w:hAnsi="Arial" w:cs="Arial"/>
        </w:rPr>
        <w:t>REER</w:t>
      </w:r>
      <w:r w:rsidRPr="00C371EA">
        <w:rPr>
          <w:rFonts w:ascii="Arial" w:hAnsi="Arial" w:cs="Arial"/>
        </w:rPr>
        <w:t xml:space="preserve"> from its value in the past period (equilibrium year) symbolises a disequilibrium and it is a cause for alarm (Edward, 1989; </w:t>
      </w:r>
      <w:r w:rsidR="00BC2C22" w:rsidRPr="000D106B">
        <w:rPr>
          <w:rFonts w:ascii="Arial" w:hAnsi="Arial" w:cs="Arial"/>
        </w:rPr>
        <w:t>Clark and MacDonald</w:t>
      </w:r>
      <w:r w:rsidR="00BC2C22">
        <w:rPr>
          <w:rFonts w:ascii="Arial" w:hAnsi="Arial" w:cs="Arial"/>
        </w:rPr>
        <w:t>,</w:t>
      </w:r>
      <w:r w:rsidR="00BC2C22" w:rsidRPr="000D106B">
        <w:rPr>
          <w:rFonts w:ascii="Arial" w:hAnsi="Arial" w:cs="Arial"/>
        </w:rPr>
        <w:t xml:space="preserve"> 199</w:t>
      </w:r>
      <w:r w:rsidR="00BC2C22">
        <w:rPr>
          <w:rFonts w:ascii="Arial" w:hAnsi="Arial" w:cs="Arial"/>
        </w:rPr>
        <w:t>8</w:t>
      </w:r>
      <w:r w:rsidRPr="00C371EA">
        <w:rPr>
          <w:rFonts w:ascii="Arial" w:hAnsi="Arial" w:cs="Arial"/>
        </w:rPr>
        <w:t>). On the other hand, real changes in the R</w:t>
      </w:r>
      <w:r w:rsidR="001044D2">
        <w:rPr>
          <w:rFonts w:ascii="Arial" w:hAnsi="Arial" w:cs="Arial"/>
        </w:rPr>
        <w:t>E</w:t>
      </w:r>
      <w:r w:rsidRPr="00C371EA">
        <w:rPr>
          <w:rFonts w:ascii="Arial" w:hAnsi="Arial" w:cs="Arial"/>
        </w:rPr>
        <w:t xml:space="preserve">ERs do not automatically represent a disequilibrium. Rather, they could reflect changes in the equilibrium generated by changes in the fundamentals. Though the </w:t>
      </w:r>
      <w:r w:rsidR="00821D47">
        <w:rPr>
          <w:rFonts w:ascii="Arial" w:hAnsi="Arial" w:cs="Arial"/>
        </w:rPr>
        <w:t>E</w:t>
      </w:r>
      <w:r w:rsidRPr="00C371EA">
        <w:rPr>
          <w:rFonts w:ascii="Arial" w:hAnsi="Arial" w:cs="Arial"/>
        </w:rPr>
        <w:t>RE</w:t>
      </w:r>
      <w:r w:rsidR="001044D2">
        <w:rPr>
          <w:rFonts w:ascii="Arial" w:hAnsi="Arial" w:cs="Arial"/>
        </w:rPr>
        <w:t>E</w:t>
      </w:r>
      <w:r w:rsidRPr="00C371EA">
        <w:rPr>
          <w:rFonts w:ascii="Arial" w:hAnsi="Arial" w:cs="Arial"/>
        </w:rPr>
        <w:t>R is a function of only the real variables, the actual R</w:t>
      </w:r>
      <w:r w:rsidR="001044D2">
        <w:rPr>
          <w:rFonts w:ascii="Arial" w:hAnsi="Arial" w:cs="Arial"/>
        </w:rPr>
        <w:t>E</w:t>
      </w:r>
      <w:r w:rsidRPr="00C371EA">
        <w:rPr>
          <w:rFonts w:ascii="Arial" w:hAnsi="Arial" w:cs="Arial"/>
        </w:rPr>
        <w:t>ER responds to both the real and monetary variables. So, the actual R</w:t>
      </w:r>
      <w:r w:rsidR="001044D2">
        <w:rPr>
          <w:rFonts w:ascii="Arial" w:hAnsi="Arial" w:cs="Arial"/>
        </w:rPr>
        <w:t>E</w:t>
      </w:r>
      <w:r w:rsidRPr="00C371EA">
        <w:rPr>
          <w:rFonts w:ascii="Arial" w:hAnsi="Arial" w:cs="Arial"/>
        </w:rPr>
        <w:t>ER depends on the values of the fundamentals (real interest, international prices, tariffs, and so on) and on aggregate macroeconomic pressures like fiscal deficits and an excess supply of money. The presence of an equilibrium value of the R</w:t>
      </w:r>
      <w:r w:rsidR="001044D2">
        <w:rPr>
          <w:rFonts w:ascii="Arial" w:hAnsi="Arial" w:cs="Arial"/>
        </w:rPr>
        <w:t>E</w:t>
      </w:r>
      <w:r w:rsidRPr="00C371EA">
        <w:rPr>
          <w:rFonts w:ascii="Arial" w:hAnsi="Arial" w:cs="Arial"/>
        </w:rPr>
        <w:t>ER does not imply that the actual real rate ought to be perpetually equal to the equilibrium value. Factually, the actual R</w:t>
      </w:r>
      <w:r w:rsidR="001044D2">
        <w:rPr>
          <w:rFonts w:ascii="Arial" w:hAnsi="Arial" w:cs="Arial"/>
        </w:rPr>
        <w:t>E</w:t>
      </w:r>
      <w:r w:rsidRPr="00C371EA">
        <w:rPr>
          <w:rFonts w:ascii="Arial" w:hAnsi="Arial" w:cs="Arial"/>
        </w:rPr>
        <w:t>ER will usually differ from its equilibrium especially in the short-run.</w:t>
      </w:r>
    </w:p>
    <w:p w14:paraId="610D9759" w14:textId="112BF72B" w:rsidR="00926B4F" w:rsidRPr="0014064A" w:rsidRDefault="001044D2" w:rsidP="0066301C">
      <w:pPr>
        <w:spacing w:line="360" w:lineRule="auto"/>
        <w:jc w:val="both"/>
        <w:rPr>
          <w:rFonts w:ascii="Arial" w:hAnsi="Arial" w:cs="Arial"/>
        </w:rPr>
      </w:pPr>
      <w:bookmarkStart w:id="86" w:name="_Hlk170248378"/>
      <w:r w:rsidRPr="0014064A">
        <w:rPr>
          <w:rFonts w:ascii="Arial" w:hAnsi="Arial" w:cs="Arial"/>
          <w:lang w:val="en-US"/>
        </w:rPr>
        <w:t xml:space="preserve">There exist different approaches of estimating the </w:t>
      </w:r>
      <w:r w:rsidR="00821D47">
        <w:rPr>
          <w:rFonts w:ascii="Arial" w:hAnsi="Arial" w:cs="Arial"/>
          <w:lang w:val="en-US"/>
        </w:rPr>
        <w:t>E</w:t>
      </w:r>
      <w:r w:rsidRPr="0014064A">
        <w:rPr>
          <w:rFonts w:ascii="Arial" w:hAnsi="Arial" w:cs="Arial"/>
          <w:lang w:val="en-US"/>
        </w:rPr>
        <w:t xml:space="preserve">REER with the </w:t>
      </w:r>
      <w:r w:rsidR="00926B4F" w:rsidRPr="0014064A">
        <w:rPr>
          <w:rFonts w:ascii="Arial" w:hAnsi="Arial" w:cs="Arial"/>
          <w:lang w:val="en-US"/>
        </w:rPr>
        <w:t>following being the most popular</w:t>
      </w:r>
      <w:r w:rsidR="00926B4F" w:rsidRPr="0014064A">
        <w:rPr>
          <w:rFonts w:ascii="Arial" w:hAnsi="Arial" w:cs="Arial"/>
        </w:rPr>
        <w:t xml:space="preserve">: the purchasing power parity (PPP), the fundamental equilibrium exchange rate (FEER) </w:t>
      </w:r>
      <w:r w:rsidR="00821D47">
        <w:rPr>
          <w:rFonts w:ascii="Arial" w:hAnsi="Arial" w:cs="Arial"/>
        </w:rPr>
        <w:t>by</w:t>
      </w:r>
      <w:r w:rsidR="00926B4F" w:rsidRPr="0014064A">
        <w:rPr>
          <w:rFonts w:ascii="Arial" w:hAnsi="Arial" w:cs="Arial"/>
        </w:rPr>
        <w:t xml:space="preserve"> Williamson (1994), the natural real exchange rate (NATREX)</w:t>
      </w:r>
      <w:r w:rsidR="00821D47">
        <w:rPr>
          <w:rFonts w:ascii="Arial" w:hAnsi="Arial" w:cs="Arial"/>
        </w:rPr>
        <w:t xml:space="preserve"> </w:t>
      </w:r>
      <w:r w:rsidR="00821D47" w:rsidRPr="0014064A">
        <w:rPr>
          <w:rFonts w:ascii="Arial" w:hAnsi="Arial" w:cs="Arial"/>
        </w:rPr>
        <w:t>by Stein (1994)</w:t>
      </w:r>
      <w:r w:rsidR="00926B4F" w:rsidRPr="0014064A">
        <w:rPr>
          <w:rFonts w:ascii="Arial" w:hAnsi="Arial" w:cs="Arial"/>
        </w:rPr>
        <w:t xml:space="preserve">, and the behavioural equilibrium exchange rate (BEER) </w:t>
      </w:r>
      <w:r w:rsidR="00821D47" w:rsidRPr="0014064A">
        <w:rPr>
          <w:rFonts w:ascii="Arial" w:hAnsi="Arial" w:cs="Arial"/>
        </w:rPr>
        <w:t>Clark and MacDonald (1998)</w:t>
      </w:r>
      <w:r w:rsidR="00821D47">
        <w:rPr>
          <w:rFonts w:ascii="Arial" w:hAnsi="Arial" w:cs="Arial"/>
        </w:rPr>
        <w:t>.</w:t>
      </w:r>
    </w:p>
    <w:p w14:paraId="1EC6DB57" w14:textId="321DD081" w:rsidR="0014064A" w:rsidRPr="00926B4F" w:rsidRDefault="0014064A" w:rsidP="0066301C">
      <w:pPr>
        <w:pStyle w:val="Heading3"/>
        <w:numPr>
          <w:ilvl w:val="0"/>
          <w:numId w:val="0"/>
        </w:numPr>
        <w:spacing w:before="0" w:beforeAutospacing="0" w:line="360" w:lineRule="auto"/>
        <w:rPr>
          <w:rFonts w:ascii="Times New Roman" w:hAnsi="Times New Roman" w:cs="Times New Roman"/>
          <w:sz w:val="24"/>
        </w:rPr>
      </w:pPr>
      <w:bookmarkStart w:id="87" w:name="_Toc171075362"/>
      <w:bookmarkEnd w:id="86"/>
      <w:r>
        <w:t>2.3.1</w:t>
      </w:r>
      <w:r>
        <w:tab/>
      </w:r>
      <w:r w:rsidRPr="00114CCB">
        <w:rPr>
          <w:rFonts w:cs="Arial"/>
          <w:lang w:val="en-US"/>
        </w:rPr>
        <w:t xml:space="preserve">THE </w:t>
      </w:r>
      <w:r>
        <w:rPr>
          <w:rFonts w:cs="Arial"/>
          <w:lang w:val="en-US"/>
        </w:rPr>
        <w:t xml:space="preserve">PURCHASING POWER PARITY (PPP) </w:t>
      </w:r>
      <w:r w:rsidRPr="0014064A">
        <w:rPr>
          <w:rFonts w:cs="Arial"/>
          <w:szCs w:val="22"/>
          <w:lang w:val="en-US"/>
        </w:rPr>
        <w:t>APPROACH</w:t>
      </w:r>
      <w:r>
        <w:rPr>
          <w:rFonts w:cs="Arial"/>
          <w:szCs w:val="22"/>
          <w:lang w:val="en-US"/>
        </w:rPr>
        <w:t>.</w:t>
      </w:r>
      <w:bookmarkEnd w:id="87"/>
    </w:p>
    <w:p w14:paraId="6A2D584C" w14:textId="05D2CB26" w:rsidR="00DC0C2A" w:rsidRPr="008927A0" w:rsidRDefault="00DC0C2A" w:rsidP="0066301C">
      <w:pPr>
        <w:spacing w:line="360" w:lineRule="auto"/>
        <w:jc w:val="both"/>
        <w:rPr>
          <w:rFonts w:ascii="Arial" w:hAnsi="Arial" w:cs="Arial"/>
        </w:rPr>
      </w:pPr>
      <w:r w:rsidRPr="008927A0">
        <w:rPr>
          <w:rFonts w:ascii="Arial" w:hAnsi="Arial" w:cs="Arial"/>
        </w:rPr>
        <w:t xml:space="preserve">The Purchasing Power Parity (PPP) approach pivots on the law of one price. As per the law, in the absence of trade impediments like capital control and trade barriers (protectionism), identical goods should be sold in different nations operating full employment at the same price (Tipoy, 2016; Siregar, 2011). The PPP of a nation is the exchange rate that equalizes the price of a given basket of goods and services in two nations. There exist three concepts of the PPP used in must literatures, which are; the law of one price, absolute PPP, and relative PPP. The law of one price associates the exchange rate to prices of individual homogenous goods in different nations (Cahyono, 2008). This concept does not take </w:t>
      </w:r>
      <w:r w:rsidR="008927A0" w:rsidRPr="008927A0">
        <w:rPr>
          <w:rFonts w:ascii="Arial" w:hAnsi="Arial" w:cs="Arial"/>
        </w:rPr>
        <w:t>into</w:t>
      </w:r>
      <w:r w:rsidRPr="008927A0">
        <w:rPr>
          <w:rFonts w:ascii="Arial" w:hAnsi="Arial" w:cs="Arial"/>
        </w:rPr>
        <w:t xml:space="preserve"> cognition transaction cost, trade </w:t>
      </w:r>
      <w:r w:rsidRPr="008927A0">
        <w:rPr>
          <w:rFonts w:ascii="Arial" w:hAnsi="Arial" w:cs="Arial"/>
        </w:rPr>
        <w:lastRenderedPageBreak/>
        <w:t xml:space="preserve">barriers (like quotas or tariffs), such that the prices of similar goods sold in different nations ought to be equal if expressed in a common currency (Tipoy, 2016; Siregar, 2011). The law of one price could hold for homogenous primary products traded on major exchanges, especially when adjustments for delivery lags and contract differences are made. However, when it concerns prices of differentiated products like manufactured goods, their prices tend to tilt greatly away from the law of one price due to other cost like, packaging, quality, marketing, storage, etc. The second PPP concept – the absolute PPP concept, stipulates that the same basket of goods must cost same amount in all nations when expressed in a common currency. This concept gives a specific equilibrium concept for the nominal exchange rate (NER) called the PPP exchange rate. Thus, the PPP exchange rate is </w:t>
      </w:r>
      <w:r w:rsidR="0050583D" w:rsidRPr="008927A0">
        <w:rPr>
          <w:rFonts w:ascii="Arial" w:hAnsi="Arial" w:cs="Arial"/>
        </w:rPr>
        <w:t>defined</w:t>
      </w:r>
      <w:r w:rsidRPr="008927A0">
        <w:rPr>
          <w:rFonts w:ascii="Arial" w:hAnsi="Arial" w:cs="Arial"/>
        </w:rPr>
        <w:t xml:space="preserve"> as the rate that equalizes the prices of a mutual basket of goods in two different nations.  The third concept is the relative PPP, which stipulates that the percentage change in the exchange rate should equal the difference between inflation at both domestic and foreign nations. However, the implications of PPP puzzle – how can one reconcile the enormous short-term volatility of real exchange rates with the extremely slow rate at which shocks appear to damp out (Rogoff, 1996). </w:t>
      </w:r>
    </w:p>
    <w:p w14:paraId="68A13B24" w14:textId="77777777" w:rsidR="00DC0C2A" w:rsidRPr="008927A0" w:rsidRDefault="00DC0C2A" w:rsidP="0066301C">
      <w:pPr>
        <w:spacing w:line="360" w:lineRule="auto"/>
        <w:jc w:val="both"/>
        <w:rPr>
          <w:rFonts w:ascii="Arial" w:hAnsi="Arial" w:cs="Arial"/>
        </w:rPr>
      </w:pPr>
      <w:r w:rsidRPr="008927A0">
        <w:rPr>
          <w:rFonts w:ascii="Arial" w:hAnsi="Arial" w:cs="Arial"/>
        </w:rPr>
        <w:t xml:space="preserve">In spite the rejection of the PPP approach, panel data stationary techniques showed that the PPP holds in the long-term like in the work of </w:t>
      </w:r>
      <w:r w:rsidRPr="003344F2">
        <w:rPr>
          <w:rFonts w:ascii="Arial" w:hAnsi="Arial" w:cs="Arial"/>
        </w:rPr>
        <w:t>MacDonald (1996),</w:t>
      </w:r>
      <w:r w:rsidRPr="008927A0">
        <w:rPr>
          <w:rFonts w:ascii="Arial" w:hAnsi="Arial" w:cs="Arial"/>
        </w:rPr>
        <w:t xml:space="preserve"> and Frankel and Rose (1996). So, some of the reasons the PPP might not hold are; nations involve may not produce same goods, difference in consumer preferences, some goods may not be tradable (Tipoy, 2016; Siregar, 2011, Driver and Westaway, 2005).  There are limitations to the use of the PPP approach which are; firstly, it provides the long-term measurement of the equilibrium, with its computation requiring very large span of data. These data are often difficult and available to collect for both emerging and developing nations. Secondly, the equilibrium exchange rate under the PPP approach is constant, abstracting from disturbance from external shocks. Thirdly, it ignores the different fundamentals, thereby providing no insight of exchange rates adjustment consistent with world imbalance being unravelled (Tipoy, 2016; Béreau </w:t>
      </w:r>
      <w:r w:rsidRPr="008927A0">
        <w:rPr>
          <w:rFonts w:ascii="Arial" w:hAnsi="Arial" w:cs="Arial"/>
          <w:i/>
        </w:rPr>
        <w:t>et al.</w:t>
      </w:r>
      <w:r w:rsidRPr="008927A0">
        <w:rPr>
          <w:rFonts w:ascii="Arial" w:hAnsi="Arial" w:cs="Arial"/>
        </w:rPr>
        <w:t>, 2012).  These shortcomings have justified the use of other approaches.</w:t>
      </w:r>
    </w:p>
    <w:p w14:paraId="06920B7B" w14:textId="3805B4A1" w:rsidR="0014064A" w:rsidRPr="00114CCB" w:rsidRDefault="0014064A" w:rsidP="0066301C">
      <w:pPr>
        <w:pStyle w:val="Heading3"/>
        <w:numPr>
          <w:ilvl w:val="0"/>
          <w:numId w:val="0"/>
        </w:numPr>
        <w:spacing w:before="0" w:beforeAutospacing="0" w:line="360" w:lineRule="auto"/>
      </w:pPr>
      <w:bookmarkStart w:id="88" w:name="_Toc171075363"/>
      <w:r>
        <w:t>2.3.2</w:t>
      </w:r>
      <w:r>
        <w:tab/>
      </w:r>
      <w:r w:rsidRPr="00114CCB">
        <w:rPr>
          <w:rFonts w:cs="Arial"/>
          <w:lang w:val="en-US"/>
        </w:rPr>
        <w:t xml:space="preserve">THE </w:t>
      </w:r>
      <w:r>
        <w:rPr>
          <w:rFonts w:cs="Arial"/>
          <w:lang w:val="en-US"/>
        </w:rPr>
        <w:t xml:space="preserve">FUNDAMENTAL EQUILIBRIUM EXCHANGE RATE (FEER) </w:t>
      </w:r>
      <w:r w:rsidRPr="0014064A">
        <w:rPr>
          <w:rFonts w:cs="Arial"/>
          <w:szCs w:val="22"/>
          <w:lang w:val="en-US"/>
        </w:rPr>
        <w:t>APPROACH</w:t>
      </w:r>
      <w:r>
        <w:rPr>
          <w:rFonts w:cs="Arial"/>
          <w:szCs w:val="22"/>
          <w:lang w:val="en-US"/>
        </w:rPr>
        <w:t>.</w:t>
      </w:r>
      <w:bookmarkEnd w:id="88"/>
    </w:p>
    <w:p w14:paraId="5D91DADB" w14:textId="77777777" w:rsidR="00DC0C2A" w:rsidRPr="0014064A" w:rsidRDefault="00DC0C2A" w:rsidP="0066301C">
      <w:pPr>
        <w:spacing w:line="360" w:lineRule="auto"/>
        <w:jc w:val="both"/>
        <w:rPr>
          <w:rFonts w:ascii="Arial" w:hAnsi="Arial" w:cs="Arial"/>
        </w:rPr>
      </w:pPr>
      <w:r w:rsidRPr="0014064A">
        <w:rPr>
          <w:rFonts w:ascii="Arial" w:hAnsi="Arial" w:cs="Arial"/>
        </w:rPr>
        <w:t xml:space="preserve">Departing from the PPP approach is the Williamson (1994; 1985) proposed “Fundamental Equilibrium Exchange Rate” (FEER), suitable for medium-term analysis. Unlike the PPP, the FEER allows for changes to the equilibrium exchange rate. The FEER approach (also known as the structural general equilibrium approach) indicates that an exchange rate is at equilibrium when it satisfies the condition of simultaneous internal and external balance in the medium-run. The medium-run is the period needed by output to adjust to its potential level. The FEER is a very difficult approach to apply in developing nations because it requires huge data that are </w:t>
      </w:r>
      <w:r w:rsidRPr="0014064A">
        <w:rPr>
          <w:rFonts w:ascii="Arial" w:hAnsi="Arial" w:cs="Arial"/>
        </w:rPr>
        <w:lastRenderedPageBreak/>
        <w:t>often not available in developing nations. However, the positive side of this approach is that it permits a dynamic relation element from various economic variables, thereby making the estimation of the real exchange rate equilibrium to be close to the real world. However, the applicability of this approach is limited since it strongly depends on the quality and the availability of data.</w:t>
      </w:r>
    </w:p>
    <w:p w14:paraId="3F85EE42" w14:textId="460141FB" w:rsidR="00DC0C2A" w:rsidRDefault="00DC0C2A" w:rsidP="0066301C">
      <w:pPr>
        <w:spacing w:line="360" w:lineRule="auto"/>
        <w:jc w:val="both"/>
        <w:rPr>
          <w:rFonts w:ascii="Arial" w:hAnsi="Arial" w:cs="Arial"/>
        </w:rPr>
      </w:pPr>
      <w:r w:rsidRPr="0014064A">
        <w:rPr>
          <w:rFonts w:ascii="Arial" w:hAnsi="Arial" w:cs="Arial"/>
        </w:rPr>
        <w:t xml:space="preserve">The internal balance is reach when the nation is operating at the non-accelerating inflation rate of </w:t>
      </w:r>
      <w:r w:rsidR="0008182B" w:rsidRPr="0014064A">
        <w:rPr>
          <w:rFonts w:ascii="Arial" w:hAnsi="Arial" w:cs="Arial"/>
        </w:rPr>
        <w:t>unemployment,</w:t>
      </w:r>
      <w:r w:rsidRPr="0014064A">
        <w:rPr>
          <w:rFonts w:ascii="Arial" w:hAnsi="Arial" w:cs="Arial"/>
        </w:rPr>
        <w:t xml:space="preserve"> or it is at the full employment level. While the external balance deals with a sustainable current account reflecting underlying and desired net capital flows (Tipoy, 2016; </w:t>
      </w:r>
      <w:r w:rsidR="003344F2" w:rsidRPr="0014064A">
        <w:rPr>
          <w:rFonts w:ascii="Arial" w:hAnsi="Arial" w:cs="Arial"/>
        </w:rPr>
        <w:t xml:space="preserve">Clark </w:t>
      </w:r>
      <w:r w:rsidRPr="0014064A">
        <w:rPr>
          <w:rFonts w:ascii="Arial" w:hAnsi="Arial" w:cs="Arial"/>
        </w:rPr>
        <w:t xml:space="preserve">and </w:t>
      </w:r>
      <w:r w:rsidR="003344F2" w:rsidRPr="0014064A">
        <w:rPr>
          <w:rFonts w:ascii="Arial" w:hAnsi="Arial" w:cs="Arial"/>
        </w:rPr>
        <w:t>MacDonald</w:t>
      </w:r>
      <w:r w:rsidRPr="0014064A">
        <w:rPr>
          <w:rFonts w:ascii="Arial" w:hAnsi="Arial" w:cs="Arial"/>
        </w:rPr>
        <w:t xml:space="preserve">, 1998). Thus, the FEER describes foreign trade relations and relates movements of exchange rates on internal and external imbalances (Jeong </w:t>
      </w:r>
      <w:r w:rsidRPr="0014064A">
        <w:rPr>
          <w:rFonts w:ascii="Arial" w:hAnsi="Arial" w:cs="Arial"/>
          <w:i/>
        </w:rPr>
        <w:t xml:space="preserve">et al., </w:t>
      </w:r>
      <w:r w:rsidRPr="0014064A">
        <w:rPr>
          <w:rFonts w:ascii="Arial" w:hAnsi="Arial" w:cs="Arial"/>
        </w:rPr>
        <w:t>2010). So, the FEER is the exchange rate that is consistent with ideal economic circumstances of macroeconomic balances, which take into cognition economic fundaments or variables that persist in the medium term and overlooks short-term cyclical and temporal factors (</w:t>
      </w:r>
      <w:r w:rsidR="003344F2" w:rsidRPr="0014064A">
        <w:rPr>
          <w:rFonts w:ascii="Arial" w:hAnsi="Arial" w:cs="Arial"/>
        </w:rPr>
        <w:t>Clark and MacDonald, 1998</w:t>
      </w:r>
      <w:r w:rsidRPr="0014064A">
        <w:rPr>
          <w:rFonts w:ascii="Arial" w:hAnsi="Arial" w:cs="Arial"/>
        </w:rPr>
        <w:t xml:space="preserve">). </w:t>
      </w:r>
    </w:p>
    <w:p w14:paraId="101226A2" w14:textId="389EDCAA" w:rsidR="00DC0C2A" w:rsidRPr="0014064A" w:rsidRDefault="0014064A" w:rsidP="0066301C">
      <w:pPr>
        <w:pStyle w:val="Heading3"/>
        <w:numPr>
          <w:ilvl w:val="0"/>
          <w:numId w:val="0"/>
        </w:numPr>
        <w:spacing w:before="0" w:beforeAutospacing="0" w:line="360" w:lineRule="auto"/>
        <w:rPr>
          <w:rFonts w:cs="Arial"/>
          <w:szCs w:val="22"/>
        </w:rPr>
      </w:pPr>
      <w:bookmarkStart w:id="89" w:name="_Toc171075364"/>
      <w:r>
        <w:t>2.3.3</w:t>
      </w:r>
      <w:r>
        <w:tab/>
      </w:r>
      <w:r w:rsidRPr="0014064A">
        <w:rPr>
          <w:rFonts w:cs="Arial"/>
          <w:szCs w:val="22"/>
          <w:lang w:val="en-US"/>
        </w:rPr>
        <w:t xml:space="preserve">THE NATURAL REAL EXCHANGE RATE </w:t>
      </w:r>
      <w:r w:rsidR="00DC0C2A" w:rsidRPr="0014064A">
        <w:rPr>
          <w:rFonts w:cs="Arial"/>
          <w:szCs w:val="22"/>
        </w:rPr>
        <w:t>(NATREX)</w:t>
      </w:r>
      <w:r>
        <w:rPr>
          <w:rFonts w:cs="Arial"/>
          <w:szCs w:val="22"/>
        </w:rPr>
        <w:t xml:space="preserve"> </w:t>
      </w:r>
      <w:r w:rsidRPr="0014064A">
        <w:rPr>
          <w:rFonts w:cs="Arial"/>
          <w:szCs w:val="22"/>
          <w:lang w:val="en-US"/>
        </w:rPr>
        <w:t>APPROACH</w:t>
      </w:r>
      <w:r>
        <w:rPr>
          <w:rFonts w:cs="Arial"/>
          <w:szCs w:val="22"/>
          <w:lang w:val="en-US"/>
        </w:rPr>
        <w:t>.</w:t>
      </w:r>
      <w:bookmarkEnd w:id="89"/>
    </w:p>
    <w:p w14:paraId="2360C15C" w14:textId="77777777" w:rsidR="00DC0C2A" w:rsidRDefault="00DC0C2A" w:rsidP="0066301C">
      <w:pPr>
        <w:spacing w:line="360" w:lineRule="auto"/>
        <w:jc w:val="both"/>
        <w:rPr>
          <w:rFonts w:ascii="Arial" w:hAnsi="Arial" w:cs="Arial"/>
        </w:rPr>
      </w:pPr>
      <w:r w:rsidRPr="0014064A">
        <w:rPr>
          <w:rFonts w:ascii="Arial" w:hAnsi="Arial" w:cs="Arial"/>
        </w:rPr>
        <w:t xml:space="preserve">The Natural Real Exchange Rate (NATREX) by Stein (1994), deals with both medium and long-terms. The NATREX is </w:t>
      </w:r>
      <w:r w:rsidRPr="0014064A">
        <w:rPr>
          <w:rFonts w:ascii="Arial" w:hAnsi="Arial" w:cs="Arial"/>
          <w:i/>
        </w:rPr>
        <w:t>“the rate that would prevail if speculative and cyclical factors could be removed while unemployment is at its natural rate”</w:t>
      </w:r>
      <w:r w:rsidRPr="0014064A">
        <w:rPr>
          <w:rFonts w:ascii="Arial" w:hAnsi="Arial" w:cs="Arial"/>
        </w:rPr>
        <w:t xml:space="preserve"> (</w:t>
      </w:r>
      <w:r w:rsidRPr="004700CF">
        <w:rPr>
          <w:rFonts w:ascii="Arial" w:hAnsi="Arial" w:cs="Arial"/>
        </w:rPr>
        <w:t>Stein, 1994, p.135</w:t>
      </w:r>
      <w:r w:rsidRPr="0014064A">
        <w:rPr>
          <w:rFonts w:ascii="Arial" w:hAnsi="Arial" w:cs="Arial"/>
        </w:rPr>
        <w:t xml:space="preserve">). It is the exchange rate that consistent with portfolio balance such that domestic and world interest are equal (Driver and Westaway, 2005). The NATREX converges to the long-term exchange rate when there is no further change in the fundamentals. It was noted that the NATREX was conceived modelling the USA equilibrium, as such suitable capturing futures of developed nations (You and Sarantis, 2012). Nonetheless, it has been proved that there is a possibility of also accommodating features of developing nations. The NATREX estimation starts with the identification of the different fundamentals, with the common ones being: the productivity proxy, like the productivity of labour; and a measure of thrift that is proxy by the ratio of government expenditure over GDP (Siregar, 2011).  </w:t>
      </w:r>
    </w:p>
    <w:p w14:paraId="2473BA3C" w14:textId="418440B9" w:rsidR="0014064A" w:rsidRPr="0014064A" w:rsidRDefault="0014064A" w:rsidP="0066301C">
      <w:pPr>
        <w:pStyle w:val="Heading3"/>
        <w:numPr>
          <w:ilvl w:val="0"/>
          <w:numId w:val="0"/>
        </w:numPr>
        <w:spacing w:before="0" w:beforeAutospacing="0" w:line="360" w:lineRule="auto"/>
        <w:rPr>
          <w:rFonts w:cs="Arial"/>
          <w:szCs w:val="22"/>
        </w:rPr>
      </w:pPr>
      <w:bookmarkStart w:id="90" w:name="_Toc171075365"/>
      <w:r>
        <w:t>2.3.4</w:t>
      </w:r>
      <w:r>
        <w:tab/>
      </w:r>
      <w:r w:rsidRPr="0014064A">
        <w:rPr>
          <w:rFonts w:cs="Arial"/>
          <w:szCs w:val="22"/>
          <w:lang w:val="en-US"/>
        </w:rPr>
        <w:t>THE BEHAVIOURAL EQUILIBRIUM EXCHANGE RATE (BEER) APPROACH</w:t>
      </w:r>
      <w:r>
        <w:rPr>
          <w:rFonts w:cs="Arial"/>
          <w:szCs w:val="22"/>
          <w:lang w:val="en-US"/>
        </w:rPr>
        <w:t>.</w:t>
      </w:r>
      <w:bookmarkEnd w:id="90"/>
    </w:p>
    <w:p w14:paraId="1BCF62FF" w14:textId="0CEE62C6" w:rsidR="00DC0C2A" w:rsidRPr="0014064A" w:rsidRDefault="00DC0C2A" w:rsidP="0066301C">
      <w:pPr>
        <w:spacing w:line="360" w:lineRule="auto"/>
        <w:jc w:val="both"/>
        <w:rPr>
          <w:rFonts w:ascii="Arial" w:hAnsi="Arial" w:cs="Arial"/>
        </w:rPr>
      </w:pPr>
      <w:r w:rsidRPr="0014064A">
        <w:rPr>
          <w:rFonts w:ascii="Arial" w:hAnsi="Arial" w:cs="Arial"/>
        </w:rPr>
        <w:t xml:space="preserve">The latest approach is the Behavioural Equilibrium Exchange Rate (BEER) proposed by Clark and MacDonald (1998). The BEER is a short-term concept that involves the direct econometric analysis of the exchange rate behaviour and does not rely on any theoretical model, with the equilibrium rate designated by the long-term behaviour of the macroeconomic variables. Another approach proposed by Clark and MacDonald (1998) is the Permanent Equilibrium Exchange </w:t>
      </w:r>
      <w:r w:rsidRPr="0014064A">
        <w:rPr>
          <w:rFonts w:ascii="Arial" w:hAnsi="Arial" w:cs="Arial"/>
        </w:rPr>
        <w:lastRenderedPageBreak/>
        <w:t>Rate (PEER). The PEER differs from the BEER in the manner that the exchange rate is a function only of those variables that have persistent impact on it.</w:t>
      </w:r>
      <w:r w:rsidR="00257C54" w:rsidRPr="0014064A">
        <w:rPr>
          <w:rStyle w:val="FootnoteReference"/>
          <w:rFonts w:ascii="Arial" w:hAnsi="Arial" w:cs="Arial"/>
        </w:rPr>
        <w:footnoteReference w:id="44"/>
      </w:r>
    </w:p>
    <w:p w14:paraId="7E15A261" w14:textId="514AB4A4" w:rsidR="00DC0C2A" w:rsidRPr="0014064A" w:rsidRDefault="00DC0C2A" w:rsidP="0066301C">
      <w:pPr>
        <w:spacing w:line="360" w:lineRule="auto"/>
        <w:jc w:val="both"/>
        <w:rPr>
          <w:rFonts w:ascii="Arial" w:hAnsi="Arial" w:cs="Arial"/>
        </w:rPr>
      </w:pPr>
      <w:r w:rsidRPr="0014064A">
        <w:rPr>
          <w:rFonts w:ascii="Arial" w:hAnsi="Arial" w:cs="Arial"/>
        </w:rPr>
        <w:t>The original BEER approach of Clark and MacDonald (1998) is not base</w:t>
      </w:r>
      <w:r w:rsidR="00D94604">
        <w:rPr>
          <w:rFonts w:ascii="Arial" w:hAnsi="Arial" w:cs="Arial"/>
        </w:rPr>
        <w:t>d</w:t>
      </w:r>
      <w:r w:rsidRPr="0014064A">
        <w:rPr>
          <w:rFonts w:ascii="Arial" w:hAnsi="Arial" w:cs="Arial"/>
        </w:rPr>
        <w:t xml:space="preserve"> on any specific exchange rate or theoretical model, thereby making it a very general approach for modelling the equilibrium exchange rates. </w:t>
      </w:r>
      <w:r w:rsidR="00614C9C" w:rsidRPr="0014064A">
        <w:rPr>
          <w:rFonts w:ascii="Arial" w:hAnsi="Arial" w:cs="Arial"/>
        </w:rPr>
        <w:t>But</w:t>
      </w:r>
      <w:r w:rsidRPr="0014064A">
        <w:rPr>
          <w:rFonts w:ascii="Arial" w:hAnsi="Arial" w:cs="Arial"/>
        </w:rPr>
        <w:t xml:space="preserve"> building idea of the BEER approach is based on the uncovered interest rate parity (UIP) condition. The core element of most BEER applications is that the current account </w:t>
      </w:r>
      <w:r w:rsidR="00614C9C" w:rsidRPr="0014064A">
        <w:rPr>
          <w:rFonts w:ascii="Arial" w:hAnsi="Arial" w:cs="Arial"/>
        </w:rPr>
        <w:t>must</w:t>
      </w:r>
      <w:r w:rsidRPr="0014064A">
        <w:rPr>
          <w:rFonts w:ascii="Arial" w:hAnsi="Arial" w:cs="Arial"/>
        </w:rPr>
        <w:t xml:space="preserve"> equal zero at equilibrium (and Dias, 2007). The BEER approach takes as a starting point the view that real factors are a key reason for the slow mean reversion of the PPP, and it is similar to variants of the internal</w:t>
      </w:r>
      <w:r w:rsidR="00D94604">
        <w:rPr>
          <w:rFonts w:ascii="Arial" w:hAnsi="Arial" w:cs="Arial"/>
        </w:rPr>
        <w:t>-</w:t>
      </w:r>
      <w:r w:rsidRPr="0014064A">
        <w:rPr>
          <w:rFonts w:ascii="Arial" w:hAnsi="Arial" w:cs="Arial"/>
        </w:rPr>
        <w:t>external balance approach like the FEER. The BEER approach exploits the theoretical (real) exchange rate model, to obtain a measure of the equilibrium exchange rate and the exchange rate misalignment. The</w:t>
      </w:r>
      <w:r w:rsidR="00D94604">
        <w:rPr>
          <w:rFonts w:ascii="Arial" w:hAnsi="Arial" w:cs="Arial"/>
        </w:rPr>
        <w:t xml:space="preserve"> </w:t>
      </w:r>
      <w:r w:rsidRPr="0014064A">
        <w:rPr>
          <w:rFonts w:ascii="Arial" w:hAnsi="Arial" w:cs="Arial"/>
        </w:rPr>
        <w:t xml:space="preserve">approach is view as having numerous advantages over other approaches and specifically the FEER. Contrast to the FEER approach which </w:t>
      </w:r>
      <w:r w:rsidRPr="003F51A1">
        <w:rPr>
          <w:rFonts w:ascii="Arial" w:hAnsi="Arial" w:cs="Arial"/>
        </w:rPr>
        <w:t>Wren-Lewis (1998)</w:t>
      </w:r>
      <w:r w:rsidRPr="0014064A">
        <w:rPr>
          <w:rFonts w:ascii="Arial" w:hAnsi="Arial" w:cs="Arial"/>
        </w:rPr>
        <w:t xml:space="preserve"> argued was a method of calculation rather than an estimated exchange rate model. </w:t>
      </w:r>
      <w:r w:rsidR="00D94604" w:rsidRPr="00D94604">
        <w:rPr>
          <w:rFonts w:ascii="Arial" w:hAnsi="Arial" w:cs="Arial"/>
        </w:rPr>
        <w:t>Whereas</w:t>
      </w:r>
      <w:r w:rsidRPr="00D94604">
        <w:rPr>
          <w:rFonts w:ascii="Arial" w:hAnsi="Arial" w:cs="Arial"/>
        </w:rPr>
        <w:t xml:space="preserve"> the BEER approach has the potential of capturing all the systematic and fundamental movements of the exchange </w:t>
      </w:r>
      <w:r w:rsidR="00D94604" w:rsidRPr="00D94604">
        <w:rPr>
          <w:rFonts w:ascii="Arial" w:hAnsi="Arial" w:cs="Arial"/>
        </w:rPr>
        <w:t>rate and</w:t>
      </w:r>
      <w:r w:rsidRPr="00D94604">
        <w:rPr>
          <w:rFonts w:ascii="Arial" w:hAnsi="Arial" w:cs="Arial"/>
        </w:rPr>
        <w:t xml:space="preserve"> can be subject to rigorous statistical testing </w:t>
      </w:r>
      <w:r w:rsidRPr="0014064A">
        <w:rPr>
          <w:rFonts w:ascii="Arial" w:hAnsi="Arial" w:cs="Arial"/>
        </w:rPr>
        <w:t xml:space="preserve">(MacDonald and Dias, 2007). </w:t>
      </w:r>
    </w:p>
    <w:p w14:paraId="1F0369F6" w14:textId="357F2462" w:rsidR="00DC0C2A" w:rsidRPr="0014064A" w:rsidRDefault="00DC0C2A" w:rsidP="0066301C">
      <w:pPr>
        <w:spacing w:line="360" w:lineRule="auto"/>
        <w:jc w:val="both"/>
        <w:rPr>
          <w:rFonts w:ascii="Arial" w:hAnsi="Arial" w:cs="Arial"/>
        </w:rPr>
      </w:pPr>
      <w:r w:rsidRPr="0014064A">
        <w:rPr>
          <w:rFonts w:ascii="Arial" w:hAnsi="Arial" w:cs="Arial"/>
        </w:rPr>
        <w:t>In addition, the BEER is a highly tractable approach to gauging an equilibrium exchange rate, often relying on a single equation approach, using either panel or time series data. Contrarily, the FEER-based estimate requires a full-blown multi-country macroeconomic model that could be cumbersome, especially for developing nation</w:t>
      </w:r>
      <w:r w:rsidR="002E616B" w:rsidRPr="0014064A">
        <w:rPr>
          <w:rFonts w:ascii="Arial" w:hAnsi="Arial" w:cs="Arial"/>
        </w:rPr>
        <w:t>s</w:t>
      </w:r>
      <w:r w:rsidRPr="0014064A">
        <w:rPr>
          <w:rFonts w:ascii="Arial" w:hAnsi="Arial" w:cs="Arial"/>
        </w:rPr>
        <w:t xml:space="preserve"> were data are had to come-by. </w:t>
      </w:r>
      <w:r w:rsidR="00614C9C" w:rsidRPr="0014064A">
        <w:rPr>
          <w:rFonts w:ascii="Arial" w:hAnsi="Arial" w:cs="Arial"/>
        </w:rPr>
        <w:t>Whereas</w:t>
      </w:r>
      <w:r w:rsidRPr="0014064A">
        <w:rPr>
          <w:rFonts w:ascii="Arial" w:hAnsi="Arial" w:cs="Arial"/>
        </w:rPr>
        <w:t xml:space="preserve"> the BEER approach deals with variables that have a direct impact on the exchange rate. In other word, the </w:t>
      </w:r>
      <w:r w:rsidR="00D94604">
        <w:rPr>
          <w:rFonts w:ascii="Arial" w:hAnsi="Arial" w:cs="Arial"/>
        </w:rPr>
        <w:t>E</w:t>
      </w:r>
      <w:r w:rsidR="00614C9C" w:rsidRPr="0014064A">
        <w:rPr>
          <w:rFonts w:ascii="Arial" w:hAnsi="Arial" w:cs="Arial"/>
        </w:rPr>
        <w:t xml:space="preserve">REER </w:t>
      </w:r>
      <w:r w:rsidRPr="0014064A">
        <w:rPr>
          <w:rFonts w:ascii="Arial" w:hAnsi="Arial" w:cs="Arial"/>
        </w:rPr>
        <w:t xml:space="preserve">is driven by sustainable values of the fundamentals that affect the actual exchange rate in the long-term and not by the entire macroeconomic balance. The FEER has the advantage of ensuring internal consistency of the estimates (MacDonald and Dias, 2007). Contrarily to the FEER estimates, the BEER can produce measures of exchange rate misalignment. </w:t>
      </w:r>
      <w:r w:rsidR="00614C9C" w:rsidRPr="0014064A">
        <w:rPr>
          <w:rFonts w:ascii="Arial" w:hAnsi="Arial" w:cs="Arial"/>
        </w:rPr>
        <w:t>Thus, in this thesis</w:t>
      </w:r>
      <w:r w:rsidR="00257C54">
        <w:rPr>
          <w:rFonts w:ascii="Arial" w:hAnsi="Arial" w:cs="Arial"/>
        </w:rPr>
        <w:t>, the</w:t>
      </w:r>
      <w:r w:rsidR="00614C9C" w:rsidRPr="0014064A">
        <w:rPr>
          <w:rFonts w:ascii="Arial" w:hAnsi="Arial" w:cs="Arial"/>
        </w:rPr>
        <w:t xml:space="preserve"> </w:t>
      </w:r>
      <w:r w:rsidR="00157558" w:rsidRPr="0014064A">
        <w:rPr>
          <w:rFonts w:ascii="Arial" w:hAnsi="Arial" w:cs="Arial"/>
        </w:rPr>
        <w:t xml:space="preserve">BEER approach by Clark and MacDonald (1998) will be </w:t>
      </w:r>
      <w:r w:rsidR="00157558" w:rsidRPr="0014064A">
        <w:rPr>
          <w:rFonts w:ascii="Arial" w:hAnsi="Arial" w:cs="Arial"/>
        </w:rPr>
        <w:lastRenderedPageBreak/>
        <w:t xml:space="preserve">use in </w:t>
      </w:r>
      <w:r w:rsidR="00157558" w:rsidRPr="00257C54">
        <w:rPr>
          <w:rFonts w:ascii="Arial" w:hAnsi="Arial" w:cs="Arial"/>
        </w:rPr>
        <w:t xml:space="preserve">estimating the equilibrium exchange rate for each of the CEMAC nations as seen in chapter </w:t>
      </w:r>
      <w:r w:rsidR="00257C54" w:rsidRPr="00257C54">
        <w:rPr>
          <w:rFonts w:ascii="Arial" w:hAnsi="Arial" w:cs="Arial"/>
        </w:rPr>
        <w:t>3</w:t>
      </w:r>
      <w:r w:rsidR="00157558" w:rsidRPr="00257C54">
        <w:rPr>
          <w:rFonts w:ascii="Arial" w:hAnsi="Arial" w:cs="Arial"/>
        </w:rPr>
        <w:t xml:space="preserve"> (section 3.</w:t>
      </w:r>
      <w:r w:rsidR="0008182B" w:rsidRPr="00257C54">
        <w:rPr>
          <w:rFonts w:ascii="Arial" w:hAnsi="Arial" w:cs="Arial"/>
        </w:rPr>
        <w:t>3</w:t>
      </w:r>
      <w:r w:rsidR="00157558" w:rsidRPr="00257C54">
        <w:rPr>
          <w:rFonts w:ascii="Arial" w:hAnsi="Arial" w:cs="Arial"/>
        </w:rPr>
        <w:t>).</w:t>
      </w:r>
      <w:r w:rsidR="009F422A">
        <w:rPr>
          <w:rFonts w:ascii="Arial" w:hAnsi="Arial" w:cs="Arial"/>
        </w:rPr>
        <w:t xml:space="preserve"> </w:t>
      </w:r>
      <w:r w:rsidR="009F422A" w:rsidRPr="00231A69">
        <w:rPr>
          <w:rFonts w:ascii="Arial" w:hAnsi="Arial" w:cs="Arial"/>
        </w:rPr>
        <w:t xml:space="preserve">There is a large body of </w:t>
      </w:r>
      <w:r w:rsidR="009F422A">
        <w:rPr>
          <w:rFonts w:ascii="Arial" w:hAnsi="Arial" w:cs="Arial"/>
        </w:rPr>
        <w:t>empirical work</w:t>
      </w:r>
      <w:r w:rsidR="009F422A" w:rsidRPr="00231A69">
        <w:rPr>
          <w:rFonts w:ascii="Arial" w:hAnsi="Arial" w:cs="Arial"/>
        </w:rPr>
        <w:t xml:space="preserve"> </w:t>
      </w:r>
      <w:r w:rsidR="009F422A">
        <w:rPr>
          <w:rFonts w:ascii="Arial" w:hAnsi="Arial" w:cs="Arial"/>
        </w:rPr>
        <w:t xml:space="preserve">on EREER </w:t>
      </w:r>
      <w:r w:rsidR="009F422A" w:rsidRPr="00231A69">
        <w:rPr>
          <w:rFonts w:ascii="Arial" w:hAnsi="Arial" w:cs="Arial"/>
        </w:rPr>
        <w:t>as discussed below. </w:t>
      </w:r>
    </w:p>
    <w:p w14:paraId="44BF99F9" w14:textId="6C37AC49" w:rsidR="00B33C77" w:rsidRPr="001B283A" w:rsidRDefault="00FF37AD" w:rsidP="0066301C">
      <w:pPr>
        <w:spacing w:line="360" w:lineRule="auto"/>
        <w:jc w:val="both"/>
        <w:rPr>
          <w:rFonts w:ascii="Arial" w:hAnsi="Arial" w:cs="Arial"/>
          <w:lang w:eastAsia="en-GB"/>
        </w:rPr>
      </w:pPr>
      <w:r>
        <w:rPr>
          <w:rFonts w:ascii="Arial" w:hAnsi="Arial" w:cs="Arial"/>
          <w:lang w:eastAsia="en-GB"/>
        </w:rPr>
        <w:t>A</w:t>
      </w:r>
      <w:r w:rsidR="00B33C77" w:rsidRPr="001B283A">
        <w:rPr>
          <w:rFonts w:ascii="Arial" w:hAnsi="Arial" w:cs="Arial"/>
          <w:lang w:eastAsia="en-GB"/>
        </w:rPr>
        <w:t>ppl</w:t>
      </w:r>
      <w:r>
        <w:rPr>
          <w:rFonts w:ascii="Arial" w:hAnsi="Arial" w:cs="Arial"/>
          <w:lang w:eastAsia="en-GB"/>
        </w:rPr>
        <w:t>ying</w:t>
      </w:r>
      <w:r w:rsidR="00B33C77" w:rsidRPr="001B283A">
        <w:rPr>
          <w:rFonts w:ascii="Arial" w:hAnsi="Arial" w:cs="Arial"/>
          <w:lang w:eastAsia="en-GB"/>
        </w:rPr>
        <w:t xml:space="preserve"> the Johansen cointegration and error correction methods,</w:t>
      </w:r>
      <w:r>
        <w:rPr>
          <w:rFonts w:ascii="Arial" w:hAnsi="Arial" w:cs="Arial"/>
          <w:lang w:eastAsia="en-GB"/>
        </w:rPr>
        <w:t xml:space="preserve"> </w:t>
      </w:r>
      <w:r w:rsidRPr="001B283A">
        <w:rPr>
          <w:rFonts w:ascii="Arial" w:hAnsi="Arial" w:cs="Arial"/>
          <w:lang w:eastAsia="en-GB"/>
        </w:rPr>
        <w:t xml:space="preserve">Amoah and Aziakpono (2017) </w:t>
      </w:r>
      <w:r w:rsidR="00B33C77" w:rsidRPr="001B283A">
        <w:rPr>
          <w:rFonts w:ascii="Arial" w:hAnsi="Arial" w:cs="Arial"/>
          <w:lang w:eastAsia="en-GB"/>
        </w:rPr>
        <w:t>estimat</w:t>
      </w:r>
      <w:r>
        <w:rPr>
          <w:rFonts w:ascii="Arial" w:hAnsi="Arial" w:cs="Arial"/>
          <w:lang w:eastAsia="en-GB"/>
        </w:rPr>
        <w:t xml:space="preserve">e </w:t>
      </w:r>
      <w:r w:rsidR="00B33C77" w:rsidRPr="001B283A">
        <w:rPr>
          <w:rFonts w:ascii="Arial" w:hAnsi="Arial" w:cs="Arial"/>
          <w:lang w:eastAsia="en-GB"/>
        </w:rPr>
        <w:t xml:space="preserve">the equilibrium RER </w:t>
      </w:r>
      <w:r>
        <w:rPr>
          <w:rFonts w:ascii="Arial" w:hAnsi="Arial" w:cs="Arial"/>
          <w:lang w:eastAsia="en-GB"/>
        </w:rPr>
        <w:t xml:space="preserve">and </w:t>
      </w:r>
      <w:r w:rsidR="00B33C77" w:rsidRPr="001B283A">
        <w:rPr>
          <w:rFonts w:ascii="Arial" w:hAnsi="Arial" w:cs="Arial"/>
          <w:lang w:eastAsia="en-GB"/>
        </w:rPr>
        <w:t>determine the extent of misalignment of the Ghanaian cedi for the period 1980Q1-2013Q4. The empirical results suggest a significant misalignment of the exchange rate based on the BEER approach. In particular, the study observed undervaluation for the period preceding the redenomination exercise in 2007, while overvaluation was detected after that. Given the extent of overvaluation, the study suggested that a one-off devaluation of a minimum of 20% could bring the exchange rate to equilibrium.</w:t>
      </w:r>
    </w:p>
    <w:p w14:paraId="0582B050" w14:textId="618F8BB3" w:rsidR="00B33C77" w:rsidRPr="001B283A" w:rsidRDefault="007F0B2F" w:rsidP="0066301C">
      <w:pPr>
        <w:spacing w:line="360" w:lineRule="auto"/>
        <w:jc w:val="both"/>
        <w:rPr>
          <w:rFonts w:ascii="Arial" w:hAnsi="Arial" w:cs="Arial"/>
          <w:lang w:eastAsia="en-GB"/>
        </w:rPr>
      </w:pPr>
      <w:r>
        <w:rPr>
          <w:rFonts w:ascii="Arial" w:hAnsi="Arial" w:cs="Arial"/>
          <w:lang w:eastAsia="en-GB"/>
        </w:rPr>
        <w:t xml:space="preserve">In </w:t>
      </w:r>
      <w:r w:rsidR="00B33C77" w:rsidRPr="001B283A">
        <w:rPr>
          <w:rFonts w:ascii="Arial" w:hAnsi="Arial" w:cs="Arial"/>
          <w:lang w:eastAsia="en-GB"/>
        </w:rPr>
        <w:t>employ</w:t>
      </w:r>
      <w:r>
        <w:rPr>
          <w:rFonts w:ascii="Arial" w:hAnsi="Arial" w:cs="Arial"/>
          <w:lang w:eastAsia="en-GB"/>
        </w:rPr>
        <w:t>ing</w:t>
      </w:r>
      <w:r w:rsidR="00B33C77" w:rsidRPr="001B283A">
        <w:rPr>
          <w:rFonts w:ascii="Arial" w:hAnsi="Arial" w:cs="Arial"/>
          <w:lang w:eastAsia="en-GB"/>
        </w:rPr>
        <w:t xml:space="preserve"> Geweke and Porter-Hudak fractional cointegration test</w:t>
      </w:r>
      <w:r>
        <w:rPr>
          <w:rFonts w:ascii="Arial" w:hAnsi="Arial" w:cs="Arial"/>
          <w:lang w:eastAsia="en-GB"/>
        </w:rPr>
        <w:t>,</w:t>
      </w:r>
      <w:r w:rsidR="00B33C77" w:rsidRPr="001B283A">
        <w:rPr>
          <w:rFonts w:ascii="Arial" w:hAnsi="Arial" w:cs="Arial"/>
          <w:lang w:eastAsia="en-GB"/>
        </w:rPr>
        <w:t xml:space="preserve"> </w:t>
      </w:r>
      <w:r w:rsidRPr="001B283A">
        <w:rPr>
          <w:rFonts w:ascii="Arial" w:hAnsi="Arial" w:cs="Arial"/>
          <w:lang w:eastAsia="en-GB"/>
        </w:rPr>
        <w:t>Erer </w:t>
      </w:r>
      <w:r w:rsidRPr="001B283A">
        <w:rPr>
          <w:rFonts w:ascii="Arial" w:hAnsi="Arial" w:cs="Arial"/>
          <w:i/>
          <w:iCs/>
          <w:lang w:eastAsia="en-GB"/>
        </w:rPr>
        <w:t>et al. </w:t>
      </w:r>
      <w:r w:rsidRPr="001B283A">
        <w:rPr>
          <w:rFonts w:ascii="Arial" w:hAnsi="Arial" w:cs="Arial"/>
          <w:lang w:eastAsia="en-GB"/>
        </w:rPr>
        <w:t xml:space="preserve">(2016) </w:t>
      </w:r>
      <w:r>
        <w:rPr>
          <w:rFonts w:ascii="Arial" w:hAnsi="Arial" w:cs="Arial"/>
          <w:lang w:eastAsia="en-GB"/>
        </w:rPr>
        <w:t>examined</w:t>
      </w:r>
      <w:r w:rsidR="00B33C77" w:rsidRPr="001B283A">
        <w:rPr>
          <w:rFonts w:ascii="Arial" w:hAnsi="Arial" w:cs="Arial"/>
          <w:lang w:eastAsia="en-GB"/>
        </w:rPr>
        <w:t xml:space="preserve"> the long-term relationship between the Turkish Lira (TL) and the US dollar. Using monthly data from 2002-2015, the study's results detected causality from exchange rates to asset prices instead of from the asset prices to the exchange rate. Hence, the portfolio approach is not valid for Turkey. Umer </w:t>
      </w:r>
      <w:r w:rsidR="00B33C77" w:rsidRPr="001B283A">
        <w:rPr>
          <w:rFonts w:ascii="Arial" w:hAnsi="Arial" w:cs="Arial"/>
          <w:i/>
          <w:iCs/>
          <w:lang w:eastAsia="en-GB"/>
        </w:rPr>
        <w:t>et al.</w:t>
      </w:r>
      <w:r w:rsidR="00B33C77" w:rsidRPr="001B283A">
        <w:rPr>
          <w:rFonts w:ascii="Arial" w:hAnsi="Arial" w:cs="Arial"/>
          <w:lang w:eastAsia="en-GB"/>
        </w:rPr>
        <w:t xml:space="preserve"> (2015) </w:t>
      </w:r>
      <w:r w:rsidR="00FD1702" w:rsidRPr="001B283A">
        <w:rPr>
          <w:rFonts w:ascii="Arial" w:hAnsi="Arial" w:cs="Arial"/>
          <w:lang w:eastAsia="en-GB"/>
        </w:rPr>
        <w:t>analysed</w:t>
      </w:r>
      <w:r w:rsidR="00B33C77" w:rsidRPr="001B283A">
        <w:rPr>
          <w:rFonts w:ascii="Arial" w:hAnsi="Arial" w:cs="Arial"/>
          <w:lang w:eastAsia="en-GB"/>
        </w:rPr>
        <w:t xml:space="preserve"> the relationship between emerging markets and </w:t>
      </w:r>
      <w:r w:rsidRPr="001B283A">
        <w:rPr>
          <w:rFonts w:ascii="Arial" w:hAnsi="Arial" w:cs="Arial"/>
          <w:lang w:eastAsia="en-GB"/>
        </w:rPr>
        <w:t>analysed</w:t>
      </w:r>
      <w:r w:rsidR="00B33C77" w:rsidRPr="001B283A">
        <w:rPr>
          <w:rFonts w:ascii="Arial" w:hAnsi="Arial" w:cs="Arial"/>
          <w:lang w:eastAsia="en-GB"/>
        </w:rPr>
        <w:t xml:space="preserve"> the relation between asset prices and exchange rates. Their findings showed stronger movement of variables in the same direction during a crisis. Causality was from the exchange rates to asset prices during the crisis period while being in the opposite direction in the other periods. As per the results, the portfolio approach was invalid for Turkey among the nations </w:t>
      </w:r>
      <w:r w:rsidR="00FD1702" w:rsidRPr="001B283A">
        <w:rPr>
          <w:rFonts w:ascii="Arial" w:hAnsi="Arial" w:cs="Arial"/>
          <w:lang w:eastAsia="en-GB"/>
        </w:rPr>
        <w:t>analysed</w:t>
      </w:r>
      <w:r w:rsidR="00B33C77" w:rsidRPr="001B283A">
        <w:rPr>
          <w:rFonts w:ascii="Arial" w:hAnsi="Arial" w:cs="Arial"/>
          <w:lang w:eastAsia="en-GB"/>
        </w:rPr>
        <w:t xml:space="preserve"> in the study. </w:t>
      </w:r>
    </w:p>
    <w:p w14:paraId="01B2B227" w14:textId="18892F9F" w:rsidR="00B33C77" w:rsidRPr="001B283A" w:rsidRDefault="00324A2B" w:rsidP="0066301C">
      <w:pPr>
        <w:spacing w:line="360" w:lineRule="auto"/>
        <w:jc w:val="both"/>
        <w:rPr>
          <w:rFonts w:ascii="Arial" w:hAnsi="Arial" w:cs="Arial"/>
          <w:lang w:eastAsia="en-GB"/>
        </w:rPr>
      </w:pPr>
      <w:r>
        <w:rPr>
          <w:rFonts w:ascii="Arial" w:hAnsi="Arial" w:cs="Arial"/>
          <w:lang w:eastAsia="en-GB"/>
        </w:rPr>
        <w:t xml:space="preserve">In </w:t>
      </w:r>
      <w:r w:rsidR="00B33C77" w:rsidRPr="001B283A">
        <w:rPr>
          <w:rFonts w:ascii="Arial" w:hAnsi="Arial" w:cs="Arial"/>
          <w:lang w:eastAsia="en-GB"/>
        </w:rPr>
        <w:t>examin</w:t>
      </w:r>
      <w:r>
        <w:rPr>
          <w:rFonts w:ascii="Arial" w:hAnsi="Arial" w:cs="Arial"/>
          <w:lang w:eastAsia="en-GB"/>
        </w:rPr>
        <w:t>ing</w:t>
      </w:r>
      <w:r w:rsidR="00B33C77" w:rsidRPr="001B283A">
        <w:rPr>
          <w:rFonts w:ascii="Arial" w:hAnsi="Arial" w:cs="Arial"/>
          <w:lang w:eastAsia="en-GB"/>
        </w:rPr>
        <w:t xml:space="preserve"> the long-term movement between the Canadian dollar and the USA dollar exchange rate from 1990:1 to 2008:8</w:t>
      </w:r>
      <w:r>
        <w:rPr>
          <w:rFonts w:ascii="Arial" w:hAnsi="Arial" w:cs="Arial"/>
          <w:lang w:eastAsia="en-GB"/>
        </w:rPr>
        <w:t>;</w:t>
      </w:r>
      <w:r w:rsidR="00994B51">
        <w:rPr>
          <w:rFonts w:ascii="Arial" w:hAnsi="Arial" w:cs="Arial"/>
          <w:lang w:eastAsia="en-GB"/>
        </w:rPr>
        <w:t xml:space="preserve"> </w:t>
      </w:r>
      <w:r w:rsidR="00994B51" w:rsidRPr="001B283A">
        <w:rPr>
          <w:rFonts w:ascii="Arial" w:hAnsi="Arial" w:cs="Arial"/>
          <w:lang w:eastAsia="en-GB"/>
        </w:rPr>
        <w:t>Hussein (2015)</w:t>
      </w:r>
      <w:r w:rsidR="00B33C77" w:rsidRPr="001B283A">
        <w:rPr>
          <w:rFonts w:ascii="Arial" w:hAnsi="Arial" w:cs="Arial"/>
          <w:lang w:eastAsia="en-GB"/>
        </w:rPr>
        <w:t xml:space="preserve"> study employed the Engle-Granger cointegration test and found no cointegration between the actual exchange rate and the PPP rate. This suggests that there is no long-term relationship between the Canadian dollar and the USA dollar exchange rates. Enders (1988) used the Auto-Regressive Integrated Moving Average (ARIMA) test to validate Canada, Japan, and Germany's PPP hypothesis pre and post-Bretton Woods era. The result of his study shows that there is mixed evidence of the PPP holding. Empirical studies by Shiller (2013) where the applicability of PPP theory in the long term yielded inconsistencies. </w:t>
      </w:r>
    </w:p>
    <w:p w14:paraId="3F69216A" w14:textId="49089A8A" w:rsidR="00B33C77" w:rsidRPr="001B283A" w:rsidRDefault="00324A2B" w:rsidP="0066301C">
      <w:pPr>
        <w:spacing w:line="360" w:lineRule="auto"/>
        <w:jc w:val="both"/>
        <w:rPr>
          <w:rFonts w:ascii="Arial" w:hAnsi="Arial" w:cs="Arial"/>
          <w:lang w:eastAsia="en-GB"/>
        </w:rPr>
      </w:pPr>
      <w:r w:rsidRPr="001B283A">
        <w:rPr>
          <w:rFonts w:ascii="Arial" w:hAnsi="Arial" w:cs="Arial"/>
          <w:lang w:eastAsia="en-GB"/>
        </w:rPr>
        <w:t>U</w:t>
      </w:r>
      <w:r w:rsidR="00B33C77" w:rsidRPr="001B283A">
        <w:rPr>
          <w:rFonts w:ascii="Arial" w:hAnsi="Arial" w:cs="Arial"/>
          <w:lang w:eastAsia="en-GB"/>
        </w:rPr>
        <w:t>s</w:t>
      </w:r>
      <w:r>
        <w:rPr>
          <w:rFonts w:ascii="Arial" w:hAnsi="Arial" w:cs="Arial"/>
          <w:lang w:eastAsia="en-GB"/>
        </w:rPr>
        <w:t>ing</w:t>
      </w:r>
      <w:r w:rsidR="00B33C77" w:rsidRPr="001B283A">
        <w:rPr>
          <w:rFonts w:ascii="Arial" w:hAnsi="Arial" w:cs="Arial"/>
          <w:lang w:eastAsia="en-GB"/>
        </w:rPr>
        <w:t xml:space="preserve"> daily data from 1999-2004</w:t>
      </w:r>
      <w:r>
        <w:rPr>
          <w:rFonts w:ascii="Arial" w:hAnsi="Arial" w:cs="Arial"/>
          <w:lang w:eastAsia="en-GB"/>
        </w:rPr>
        <w:t>,</w:t>
      </w:r>
      <w:r w:rsidR="00B33C77" w:rsidRPr="001B283A">
        <w:rPr>
          <w:rFonts w:ascii="Arial" w:hAnsi="Arial" w:cs="Arial"/>
          <w:lang w:eastAsia="en-GB"/>
        </w:rPr>
        <w:t xml:space="preserve"> </w:t>
      </w:r>
      <w:r w:rsidRPr="001B283A">
        <w:rPr>
          <w:rFonts w:ascii="Arial" w:hAnsi="Arial" w:cs="Arial"/>
          <w:lang w:eastAsia="en-GB"/>
        </w:rPr>
        <w:t xml:space="preserve">Fatum (2015) </w:t>
      </w:r>
      <w:r w:rsidR="00B33C77" w:rsidRPr="001B283A">
        <w:rPr>
          <w:rFonts w:ascii="Arial" w:hAnsi="Arial" w:cs="Arial"/>
          <w:lang w:eastAsia="en-GB"/>
        </w:rPr>
        <w:t>empirically examine</w:t>
      </w:r>
      <w:r>
        <w:rPr>
          <w:rFonts w:ascii="Arial" w:hAnsi="Arial" w:cs="Arial"/>
          <w:lang w:eastAsia="en-GB"/>
        </w:rPr>
        <w:t>d</w:t>
      </w:r>
      <w:r w:rsidR="00B33C77" w:rsidRPr="001B283A">
        <w:rPr>
          <w:rFonts w:ascii="Arial" w:hAnsi="Arial" w:cs="Arial"/>
          <w:lang w:eastAsia="en-GB"/>
        </w:rPr>
        <w:t xml:space="preserve"> the transmission channels of central bank interventions for the USA and Japan. He assumed a zero-interest rate and limited use of traditional monetary policy tools. He concluded that intervention works through the portfolio balance channel. Khan and Abbas (2015) used quarterly data between 2001 and 2010 to test the validity of the portfolio balance approach for Pakistan. They used the ADF and Phillips-Perron unit root tests and the ARDL test. Their finding showed the validity of the portfolio approach. </w:t>
      </w:r>
    </w:p>
    <w:p w14:paraId="79BC5435" w14:textId="5A9BB57B" w:rsidR="00B33C77" w:rsidRPr="00FD1702" w:rsidRDefault="00324A2B" w:rsidP="0066301C">
      <w:pPr>
        <w:spacing w:line="360" w:lineRule="auto"/>
        <w:jc w:val="both"/>
        <w:rPr>
          <w:rFonts w:ascii="Arial" w:hAnsi="Arial" w:cs="Arial"/>
          <w:lang w:eastAsia="en-GB"/>
        </w:rPr>
      </w:pPr>
      <w:r>
        <w:rPr>
          <w:rFonts w:ascii="Arial" w:hAnsi="Arial" w:cs="Arial"/>
          <w:lang w:eastAsia="en-GB"/>
        </w:rPr>
        <w:lastRenderedPageBreak/>
        <w:t>E</w:t>
      </w:r>
      <w:r w:rsidR="00B33C77" w:rsidRPr="00FD1702">
        <w:rPr>
          <w:rFonts w:ascii="Arial" w:hAnsi="Arial" w:cs="Arial"/>
          <w:lang w:eastAsia="en-GB"/>
        </w:rPr>
        <w:t>valuat</w:t>
      </w:r>
      <w:r>
        <w:rPr>
          <w:rFonts w:ascii="Arial" w:hAnsi="Arial" w:cs="Arial"/>
          <w:lang w:eastAsia="en-GB"/>
        </w:rPr>
        <w:t>ing</w:t>
      </w:r>
      <w:r w:rsidR="00B33C77" w:rsidRPr="00FD1702">
        <w:rPr>
          <w:rFonts w:ascii="Arial" w:hAnsi="Arial" w:cs="Arial"/>
          <w:lang w:eastAsia="en-GB"/>
        </w:rPr>
        <w:t xml:space="preserve"> if the CFA franc is overvalued from its equilibrium rate, </w:t>
      </w:r>
      <w:r w:rsidRPr="00FD1702">
        <w:rPr>
          <w:rFonts w:ascii="Arial" w:hAnsi="Arial" w:cs="Arial"/>
          <w:lang w:eastAsia="en-GB"/>
        </w:rPr>
        <w:t xml:space="preserve">Abdih and Tsangarides (2010) </w:t>
      </w:r>
      <w:r w:rsidR="00B33C77" w:rsidRPr="00FD1702">
        <w:rPr>
          <w:rFonts w:ascii="Arial" w:hAnsi="Arial" w:cs="Arial"/>
          <w:lang w:eastAsia="en-GB"/>
        </w:rPr>
        <w:t>conclud</w:t>
      </w:r>
      <w:r w:rsidR="00FF37AD">
        <w:rPr>
          <w:rFonts w:ascii="Arial" w:hAnsi="Arial" w:cs="Arial"/>
          <w:lang w:eastAsia="en-GB"/>
        </w:rPr>
        <w:t>es</w:t>
      </w:r>
      <w:r w:rsidR="00B33C77" w:rsidRPr="00FD1702">
        <w:rPr>
          <w:rFonts w:ascii="Arial" w:hAnsi="Arial" w:cs="Arial"/>
          <w:lang w:eastAsia="en-GB"/>
        </w:rPr>
        <w:t xml:space="preserve"> that it was not overvalued. Their panel-based result failed to account for county-specific dynamics that might have policy implications. This is so because macroeconomic fundamentals could differ across the CFA franc nations as </w:t>
      </w:r>
      <w:r w:rsidR="007072B0">
        <w:rPr>
          <w:rFonts w:ascii="Arial" w:hAnsi="Arial" w:cs="Arial"/>
          <w:lang w:eastAsia="en-GB"/>
        </w:rPr>
        <w:t xml:space="preserve">was </w:t>
      </w:r>
      <w:r w:rsidR="00B33C77" w:rsidRPr="00FD1702">
        <w:rPr>
          <w:rFonts w:ascii="Arial" w:hAnsi="Arial" w:cs="Arial"/>
          <w:lang w:eastAsia="en-GB"/>
        </w:rPr>
        <w:t xml:space="preserve">with the euro crisis. </w:t>
      </w:r>
      <w:r w:rsidR="003F22DC" w:rsidRPr="00FD1702">
        <w:rPr>
          <w:rFonts w:ascii="Arial" w:hAnsi="Arial" w:cs="Arial"/>
          <w:lang w:eastAsia="en-GB"/>
        </w:rPr>
        <w:t>Thus,</w:t>
      </w:r>
      <w:r w:rsidR="00B33C77" w:rsidRPr="00FD1702">
        <w:rPr>
          <w:rFonts w:ascii="Arial" w:hAnsi="Arial" w:cs="Arial"/>
          <w:lang w:eastAsia="en-GB"/>
        </w:rPr>
        <w:t xml:space="preserve"> </w:t>
      </w:r>
      <w:bookmarkStart w:id="91" w:name="_Hlk170248450"/>
      <w:r w:rsidR="00B33C77" w:rsidRPr="00FD1702">
        <w:rPr>
          <w:rFonts w:ascii="Arial" w:hAnsi="Arial" w:cs="Arial"/>
          <w:lang w:eastAsia="en-GB"/>
        </w:rPr>
        <w:t>necessitating country-specific analysis to complement existing literature.</w:t>
      </w:r>
    </w:p>
    <w:p w14:paraId="70B1D7D5" w14:textId="0F4EC621" w:rsidR="000A6B20" w:rsidRPr="008C68B3" w:rsidRDefault="000A6B20" w:rsidP="0066301C">
      <w:pPr>
        <w:pStyle w:val="Heading2"/>
        <w:spacing w:before="0" w:beforeAutospacing="0"/>
      </w:pPr>
      <w:bookmarkStart w:id="92" w:name="_Toc171075366"/>
      <w:r>
        <w:t>2.</w:t>
      </w:r>
      <w:r w:rsidR="00892A02">
        <w:t>4</w:t>
      </w:r>
      <w:r w:rsidR="00EB238E">
        <w:tab/>
      </w:r>
      <w:r w:rsidRPr="008C68B3">
        <w:t xml:space="preserve">THE </w:t>
      </w:r>
      <w:r>
        <w:t xml:space="preserve">IMPACT OF </w:t>
      </w:r>
      <w:r w:rsidRPr="008C68B3">
        <w:t xml:space="preserve">REAL </w:t>
      </w:r>
      <w:r>
        <w:t>EFFECTIVE EXCHANGE RATE ON TRADE BALANCE</w:t>
      </w:r>
      <w:bookmarkEnd w:id="92"/>
      <w:r>
        <w:t xml:space="preserve"> </w:t>
      </w:r>
    </w:p>
    <w:p w14:paraId="6ACB1694" w14:textId="0838667D" w:rsidR="007014CF" w:rsidRPr="00CE5960" w:rsidRDefault="007014CF" w:rsidP="0066301C">
      <w:pPr>
        <w:spacing w:line="360" w:lineRule="auto"/>
        <w:jc w:val="both"/>
        <w:rPr>
          <w:rFonts w:ascii="Arial" w:hAnsi="Arial" w:cs="Arial"/>
          <w:lang w:eastAsia="en-GB"/>
        </w:rPr>
      </w:pPr>
      <w:r w:rsidRPr="00CE5960">
        <w:rPr>
          <w:rFonts w:ascii="Arial" w:hAnsi="Arial" w:cs="Arial"/>
          <w:lang w:eastAsia="en-GB"/>
        </w:rPr>
        <w:t xml:space="preserve">It is </w:t>
      </w:r>
      <w:r w:rsidR="00257C54">
        <w:rPr>
          <w:rFonts w:ascii="Arial" w:hAnsi="Arial" w:cs="Arial"/>
          <w:lang w:eastAsia="en-GB"/>
        </w:rPr>
        <w:t>view</w:t>
      </w:r>
      <w:r w:rsidRPr="00CE5960">
        <w:rPr>
          <w:rFonts w:ascii="Arial" w:hAnsi="Arial" w:cs="Arial"/>
          <w:lang w:eastAsia="en-GB"/>
        </w:rPr>
        <w:t xml:space="preserve"> among economists that currency devaluation improves a nation’s trade balance (TB) deficit, leading to a reduction of the current account deficit and improving economic growth (Kurtović, 2017; Bahmani-Oskooee, 1985). An undervalued exchange rate is viewed as an improvement in price competitiveness and a means towards faster economic growth, as championed by Rodrik (2008) and supported by others (Kurtović, 2017; Grekou, 2015; Schroder, 2013; Cakrani </w:t>
      </w:r>
      <w:r w:rsidRPr="00CE5960">
        <w:rPr>
          <w:rFonts w:ascii="Arial" w:hAnsi="Arial" w:cs="Arial"/>
          <w:i/>
          <w:iCs/>
          <w:lang w:eastAsia="en-GB"/>
        </w:rPr>
        <w:t>et al.</w:t>
      </w:r>
      <w:r w:rsidRPr="00CE5960">
        <w:rPr>
          <w:rFonts w:ascii="Arial" w:hAnsi="Arial" w:cs="Arial"/>
          <w:lang w:eastAsia="en-GB"/>
        </w:rPr>
        <w:t>,2013; Levy-Yeyati </w:t>
      </w:r>
      <w:r w:rsidRPr="00CE5960">
        <w:rPr>
          <w:rFonts w:ascii="Arial" w:hAnsi="Arial" w:cs="Arial"/>
          <w:i/>
          <w:iCs/>
          <w:lang w:eastAsia="en-GB"/>
        </w:rPr>
        <w:t>et al.,</w:t>
      </w:r>
      <w:r w:rsidRPr="00CE5960">
        <w:rPr>
          <w:rFonts w:ascii="Arial" w:hAnsi="Arial" w:cs="Arial"/>
          <w:lang w:eastAsia="en-GB"/>
        </w:rPr>
        <w:t> 2013). A RER de</w:t>
      </w:r>
      <w:r w:rsidR="003D31A5">
        <w:rPr>
          <w:rFonts w:ascii="Arial" w:hAnsi="Arial" w:cs="Arial"/>
          <w:lang w:eastAsia="en-GB"/>
        </w:rPr>
        <w:t>valuation</w:t>
      </w:r>
      <w:r w:rsidRPr="00CE5960">
        <w:rPr>
          <w:rFonts w:ascii="Arial" w:hAnsi="Arial" w:cs="Arial"/>
          <w:lang w:eastAsia="en-GB"/>
        </w:rPr>
        <w:t xml:space="preserve"> could lead to the deterioration of TB in the short run while improving TB in the long run (Šimakova and Stavarek, 2015; Šimakova, 2013).</w:t>
      </w:r>
    </w:p>
    <w:p w14:paraId="3030F8B9" w14:textId="77777777" w:rsidR="003D31A5" w:rsidRPr="0033762E" w:rsidRDefault="003D31A5" w:rsidP="0066301C">
      <w:pPr>
        <w:spacing w:line="360" w:lineRule="auto"/>
        <w:jc w:val="both"/>
        <w:rPr>
          <w:rFonts w:ascii="Arial" w:hAnsi="Arial" w:cs="Arial"/>
        </w:rPr>
      </w:pPr>
      <w:r w:rsidRPr="0033762E">
        <w:rPr>
          <w:rFonts w:ascii="Arial" w:hAnsi="Arial" w:cs="Arial"/>
        </w:rPr>
        <w:t xml:space="preserve">Quantifying the short-term and </w:t>
      </w:r>
      <w:bookmarkEnd w:id="91"/>
      <w:r w:rsidRPr="0033762E">
        <w:rPr>
          <w:rFonts w:ascii="Arial" w:hAnsi="Arial" w:cs="Arial"/>
        </w:rPr>
        <w:t>long-term responsiveness of the TB to changes in the exchange rate is vital to economic policy for numerous reasons. First, it establishes if there exists a stable long-term relationship between the exchange rate and TB. In case a stable long-term relationship does not exist, then devaluating a currency might not be a reasonable way of improving a nation’s competitiveness in the long-run perspective. Second, if the long-term relationship exists, it is essential to establish if devaluation could lead to a net improvement of TB in the long term (causality) or not.</w:t>
      </w:r>
      <w:r>
        <w:rPr>
          <w:rStyle w:val="FootnoteReference"/>
          <w:rFonts w:ascii="Arial" w:hAnsi="Arial" w:cs="Arial"/>
        </w:rPr>
        <w:footnoteReference w:id="45"/>
      </w:r>
      <w:r w:rsidRPr="0033762E">
        <w:rPr>
          <w:rFonts w:ascii="Arial" w:hAnsi="Arial" w:cs="Arial"/>
        </w:rPr>
        <w:t xml:space="preserve"> Third, quantifying the extent of the TB improvement is desirable because it enables one to weigh the TB benefit against the cost of devaluation (like foreign reserve accumulation) (Stučka, 2004). Fourth, the estimate of the short-term dynamics provides information regarding the immediate and medium-term impacts of exchange rate changes on the TB (i.e., does a devaluation have a short-term adverse impact on the TB). If it does, it is reasonable to estimate the persistence and the extent of such adverse impact. </w:t>
      </w:r>
    </w:p>
    <w:p w14:paraId="61C2A98C" w14:textId="77777777" w:rsidR="003D31A5" w:rsidRDefault="003D31A5" w:rsidP="0066301C">
      <w:pPr>
        <w:spacing w:line="360" w:lineRule="auto"/>
        <w:jc w:val="both"/>
        <w:rPr>
          <w:rFonts w:ascii="Arial" w:hAnsi="Arial" w:cs="Arial"/>
        </w:rPr>
      </w:pPr>
      <w:r w:rsidRPr="0033762E">
        <w:rPr>
          <w:rFonts w:ascii="Arial" w:hAnsi="Arial" w:cs="Arial"/>
        </w:rPr>
        <w:t xml:space="preserve">It is also important to know so that when TB gets negative in the short term, there will not be much concern because it will improve in the long term. If this understanding of the short-term negative impact is absent, there could be panic and a rush to reverse the devaluation policy (or implementation of other policies), thinking that it will lead to a further deficit of TB. This is often an empirical question, </w:t>
      </w:r>
      <w:bookmarkStart w:id="93" w:name="_Hlk170248642"/>
      <w:r w:rsidRPr="0033762E">
        <w:rPr>
          <w:rFonts w:ascii="Arial" w:hAnsi="Arial" w:cs="Arial"/>
        </w:rPr>
        <w:t>and the literature refers to it as the </w:t>
      </w:r>
      <w:r w:rsidRPr="0033762E">
        <w:rPr>
          <w:rStyle w:val="Emphasis"/>
          <w:rFonts w:ascii="Arial" w:hAnsi="Arial" w:cs="Arial"/>
          <w:color w:val="0E101A"/>
        </w:rPr>
        <w:t>J-</w:t>
      </w:r>
      <w:r w:rsidRPr="0033762E">
        <w:rPr>
          <w:rFonts w:ascii="Arial" w:hAnsi="Arial" w:cs="Arial"/>
        </w:rPr>
        <w:t>curve effect</w:t>
      </w:r>
      <w:bookmarkEnd w:id="93"/>
      <w:r w:rsidRPr="0033762E">
        <w:rPr>
          <w:rFonts w:ascii="Arial" w:hAnsi="Arial" w:cs="Arial"/>
        </w:rPr>
        <w:t xml:space="preserve">. The economic concept </w:t>
      </w:r>
      <w:r w:rsidRPr="0033762E">
        <w:rPr>
          <w:rFonts w:ascii="Arial" w:hAnsi="Arial" w:cs="Arial"/>
        </w:rPr>
        <w:lastRenderedPageBreak/>
        <w:t>of the </w:t>
      </w:r>
      <w:r w:rsidRPr="0033762E">
        <w:rPr>
          <w:rStyle w:val="Emphasis"/>
          <w:rFonts w:ascii="Arial" w:hAnsi="Arial" w:cs="Arial"/>
          <w:color w:val="0E101A"/>
        </w:rPr>
        <w:t>J-</w:t>
      </w:r>
      <w:r w:rsidRPr="0033762E">
        <w:rPr>
          <w:rFonts w:ascii="Arial" w:hAnsi="Arial" w:cs="Arial"/>
        </w:rPr>
        <w:t>curve and the exchange rate devaluation are closely related, with Magee (1973) being the first researcher to introduce the </w:t>
      </w:r>
      <w:r w:rsidRPr="0033762E">
        <w:rPr>
          <w:rStyle w:val="Emphasis"/>
          <w:rFonts w:ascii="Arial" w:hAnsi="Arial" w:cs="Arial"/>
          <w:color w:val="0E101A"/>
        </w:rPr>
        <w:t>J</w:t>
      </w:r>
      <w:r w:rsidRPr="0033762E">
        <w:rPr>
          <w:rFonts w:ascii="Arial" w:hAnsi="Arial" w:cs="Arial"/>
        </w:rPr>
        <w:t>-curve phenomenon.</w:t>
      </w:r>
    </w:p>
    <w:p w14:paraId="3CB6045B" w14:textId="2747B9C0" w:rsidR="00B93612" w:rsidRDefault="00B93612" w:rsidP="0066301C">
      <w:pPr>
        <w:spacing w:line="360" w:lineRule="auto"/>
        <w:jc w:val="both"/>
        <w:rPr>
          <w:rFonts w:ascii="Arial" w:hAnsi="Arial" w:cs="Arial"/>
          <w:lang w:val="en-US"/>
        </w:rPr>
      </w:pPr>
      <w:bookmarkStart w:id="94" w:name="_Hlk170248500"/>
      <w:r w:rsidRPr="00B93612">
        <w:rPr>
          <w:rFonts w:ascii="Arial" w:hAnsi="Arial" w:cs="Arial"/>
          <w:lang w:val="en-US"/>
        </w:rPr>
        <w:t>Several theories have been used in analyzing the impact of exchange rate movements on nations’ TB, these theories include the standard theory of international trade, the structuralists’ (elasticity theory), the Keynesian (absorption theory), and the monetary theory.</w:t>
      </w:r>
      <w:bookmarkEnd w:id="94"/>
      <w:r w:rsidRPr="00B93612">
        <w:rPr>
          <w:rFonts w:ascii="Arial" w:hAnsi="Arial" w:cs="Arial"/>
          <w:lang w:val="en-US"/>
        </w:rPr>
        <w:t xml:space="preserve"> The elasticity theory argues that the price effect outweighs the volume effect in the short-term, while the volume effect outweighs the price effect in the long-term (Eshetu, 2017; Krueger, 1983). The absorption approach or Keynesian theory assumes that; devaluation improves a nation’s TB if the substitution from foreign to domestic products boost output more than spending (Pilbeam, 1998). The monetary theory states that currency devaluation increases the domestic price, which leads to a fall in the real money supply. Because of the fall in the real money supply, imports decrease, and TB improves. Also, the monetary policy argues that higher money supply leads to trade deficit, whereas low money supply causes TB surplus.</w:t>
      </w:r>
      <w:r>
        <w:rPr>
          <w:rFonts w:ascii="Arial" w:hAnsi="Arial" w:cs="Arial"/>
          <w:lang w:val="en-US"/>
        </w:rPr>
        <w:t xml:space="preserve"> </w:t>
      </w:r>
      <w:r w:rsidRPr="00B93612">
        <w:rPr>
          <w:rFonts w:ascii="Arial" w:hAnsi="Arial" w:cs="Arial"/>
          <w:lang w:val="en-US"/>
        </w:rPr>
        <w:t>Moreover, empirics on the impact of currency devaluation on TB of devaluation countries have presented contradictory results. Hence, we shall be presenting the various theories on the impact of currency devaluation on a nation’s TB.</w:t>
      </w:r>
    </w:p>
    <w:p w14:paraId="08E70C03" w14:textId="74975EB6" w:rsidR="00B93612" w:rsidRPr="00F97ADB" w:rsidRDefault="00F97ADB" w:rsidP="0066301C">
      <w:pPr>
        <w:pStyle w:val="Heading3"/>
        <w:numPr>
          <w:ilvl w:val="0"/>
          <w:numId w:val="0"/>
        </w:numPr>
        <w:spacing w:before="0" w:beforeAutospacing="0"/>
      </w:pPr>
      <w:bookmarkStart w:id="95" w:name="_Toc171075367"/>
      <w:r>
        <w:t>2.</w:t>
      </w:r>
      <w:r w:rsidR="00892A02">
        <w:t>4</w:t>
      </w:r>
      <w:r>
        <w:t>.1</w:t>
      </w:r>
      <w:r>
        <w:tab/>
      </w:r>
      <w:r w:rsidR="00B93612" w:rsidRPr="00F97ADB">
        <w:rPr>
          <w:rFonts w:cs="Arial"/>
          <w:lang w:val="en-US"/>
        </w:rPr>
        <w:t>STANDARD THEORY OF INTERNATIONAL TRADE</w:t>
      </w:r>
      <w:bookmarkEnd w:id="95"/>
      <w:r w:rsidR="00B93612" w:rsidRPr="00F97ADB">
        <w:rPr>
          <w:rFonts w:cs="Arial"/>
          <w:lang w:val="en-US"/>
        </w:rPr>
        <w:t xml:space="preserve"> </w:t>
      </w:r>
    </w:p>
    <w:p w14:paraId="22C47D66" w14:textId="240CCCAB" w:rsidR="00B93612" w:rsidRPr="00F97ADB" w:rsidRDefault="00B93612" w:rsidP="0066301C">
      <w:pPr>
        <w:autoSpaceDE w:val="0"/>
        <w:autoSpaceDN w:val="0"/>
        <w:adjustRightInd w:val="0"/>
        <w:spacing w:line="360" w:lineRule="auto"/>
        <w:jc w:val="both"/>
        <w:rPr>
          <w:rFonts w:ascii="Arial" w:hAnsi="Arial" w:cs="Arial"/>
          <w:lang w:val="en-US"/>
        </w:rPr>
      </w:pPr>
      <w:r w:rsidRPr="00F97ADB">
        <w:rPr>
          <w:rFonts w:ascii="Arial" w:hAnsi="Arial" w:cs="Arial"/>
          <w:lang w:val="en-US"/>
        </w:rPr>
        <w:t>Mercantilism was the prevailing economic system of most industrial nations in the 16</w:t>
      </w:r>
      <w:r w:rsidRPr="00F97ADB">
        <w:rPr>
          <w:rFonts w:ascii="Arial" w:hAnsi="Arial" w:cs="Arial"/>
          <w:vertAlign w:val="superscript"/>
          <w:lang w:val="en-US"/>
        </w:rPr>
        <w:t>th</w:t>
      </w:r>
      <w:r w:rsidRPr="00F97ADB">
        <w:rPr>
          <w:rFonts w:ascii="Arial" w:hAnsi="Arial" w:cs="Arial"/>
          <w:lang w:val="en-US"/>
        </w:rPr>
        <w:t xml:space="preserve"> to 18</w:t>
      </w:r>
      <w:r w:rsidRPr="00F97ADB">
        <w:rPr>
          <w:rFonts w:ascii="Arial" w:hAnsi="Arial" w:cs="Arial"/>
          <w:vertAlign w:val="superscript"/>
          <w:lang w:val="en-US"/>
        </w:rPr>
        <w:t>th</w:t>
      </w:r>
      <w:r w:rsidRPr="00F97ADB">
        <w:rPr>
          <w:rFonts w:ascii="Arial" w:hAnsi="Arial" w:cs="Arial"/>
          <w:lang w:val="en-US"/>
        </w:rPr>
        <w:t xml:space="preserve"> centuries. The assumption of the mercantilist approach to international trade is that; a nation’s wealth principally depends on its capability of possessing precious metals like silver and gold (Dhakir </w:t>
      </w:r>
      <w:r w:rsidRPr="00F97ADB">
        <w:rPr>
          <w:rFonts w:ascii="Arial" w:hAnsi="Arial" w:cs="Arial"/>
          <w:i/>
          <w:lang w:val="en-US"/>
        </w:rPr>
        <w:t xml:space="preserve">et al., </w:t>
      </w:r>
      <w:r w:rsidRPr="00F97ADB">
        <w:rPr>
          <w:rFonts w:ascii="Arial" w:hAnsi="Arial" w:cs="Arial"/>
          <w:lang w:val="en-US"/>
        </w:rPr>
        <w:t xml:space="preserve">2014). The possession of the metals was via supporting exports and encouraging the discovery of metals in the Americas, and at the same time suppressing the imports via the imposing of excessive tariffs (Dhakir </w:t>
      </w:r>
      <w:r w:rsidRPr="00F97ADB">
        <w:rPr>
          <w:rFonts w:ascii="Arial" w:hAnsi="Arial" w:cs="Arial"/>
          <w:i/>
          <w:lang w:val="en-US"/>
        </w:rPr>
        <w:t xml:space="preserve">et al., </w:t>
      </w:r>
      <w:r w:rsidRPr="00F97ADB">
        <w:rPr>
          <w:rFonts w:ascii="Arial" w:hAnsi="Arial" w:cs="Arial"/>
          <w:lang w:val="en-US"/>
        </w:rPr>
        <w:t xml:space="preserve">2014; Peukert, 2012). Due to almost three centuries of instability and economic failure, the Mercantilist approach was criticized by the standard theory of international trade (Dhakir </w:t>
      </w:r>
      <w:r w:rsidRPr="00F97ADB">
        <w:rPr>
          <w:rFonts w:ascii="Arial" w:hAnsi="Arial" w:cs="Arial"/>
          <w:i/>
          <w:lang w:val="en-US"/>
        </w:rPr>
        <w:t xml:space="preserve">et al., </w:t>
      </w:r>
      <w:r w:rsidRPr="00F97ADB">
        <w:rPr>
          <w:rFonts w:ascii="Arial" w:hAnsi="Arial" w:cs="Arial"/>
          <w:lang w:val="en-US"/>
        </w:rPr>
        <w:t xml:space="preserve">2014; Wilson, 1959).   </w:t>
      </w:r>
    </w:p>
    <w:p w14:paraId="670B6F45" w14:textId="03FA91DC" w:rsidR="00B93612" w:rsidRDefault="00B93612" w:rsidP="0066301C">
      <w:pPr>
        <w:autoSpaceDE w:val="0"/>
        <w:autoSpaceDN w:val="0"/>
        <w:adjustRightInd w:val="0"/>
        <w:spacing w:line="360" w:lineRule="auto"/>
        <w:jc w:val="both"/>
        <w:rPr>
          <w:rFonts w:ascii="Arial" w:hAnsi="Arial" w:cs="Arial"/>
          <w:lang w:val="en-US"/>
        </w:rPr>
      </w:pPr>
      <w:r w:rsidRPr="00F97ADB">
        <w:rPr>
          <w:rFonts w:ascii="Arial" w:hAnsi="Arial" w:cs="Arial"/>
          <w:lang w:val="en-US"/>
        </w:rPr>
        <w:t>The standard trade theory uses a simple common-sense approach to liaise merchandise with RER movements. Keeping all other variables fixed, an exchange rate fluctuation affects both the trade value and volume. If the RER increases (depreciation of local currency), the households will get less imported goods in exchange for a unit of domestic product. Therefore, making a unit of imported product having higher number of units of domestic product. Eventually,</w:t>
      </w:r>
      <w:r w:rsidR="00F97ADB" w:rsidRPr="00F97ADB">
        <w:rPr>
          <w:rFonts w:ascii="Arial" w:hAnsi="Arial" w:cs="Arial"/>
          <w:lang w:val="en-US"/>
        </w:rPr>
        <w:t xml:space="preserve"> domestic households buy fewer imports while foreign households buy relatively more domestic products. T</w:t>
      </w:r>
      <w:r w:rsidRPr="00F97ADB">
        <w:rPr>
          <w:rFonts w:ascii="Arial" w:hAnsi="Arial" w:cs="Arial"/>
          <w:lang w:val="en-US"/>
        </w:rPr>
        <w:t xml:space="preserve">he higher the RER of the </w:t>
      </w:r>
      <w:r w:rsidR="00F97ADB" w:rsidRPr="00F97ADB">
        <w:rPr>
          <w:rFonts w:ascii="Arial" w:hAnsi="Arial" w:cs="Arial"/>
          <w:lang w:val="en-US"/>
        </w:rPr>
        <w:t>home nation</w:t>
      </w:r>
      <w:r w:rsidRPr="00F97ADB">
        <w:rPr>
          <w:rFonts w:ascii="Arial" w:hAnsi="Arial" w:cs="Arial"/>
          <w:lang w:val="en-US"/>
        </w:rPr>
        <w:t xml:space="preserve">, the more trade surplus they will have (Zhang, 2008). Lerner extended the theory by accounting for the demand price elasticities of imports and exports as vital elements in the measurement of the impact of variation of the RER on </w:t>
      </w:r>
      <w:r w:rsidR="00114CCB">
        <w:rPr>
          <w:rFonts w:ascii="Arial" w:hAnsi="Arial" w:cs="Arial"/>
          <w:lang w:val="en-US"/>
        </w:rPr>
        <w:t>TB</w:t>
      </w:r>
      <w:r w:rsidRPr="00F97ADB">
        <w:rPr>
          <w:rFonts w:ascii="Arial" w:hAnsi="Arial" w:cs="Arial"/>
          <w:lang w:val="en-US"/>
        </w:rPr>
        <w:t xml:space="preserve">. Hence, a rise in exports and a decline in imports because of depreciation of the RER do not </w:t>
      </w:r>
      <w:r w:rsidRPr="00F97ADB">
        <w:rPr>
          <w:rFonts w:ascii="Arial" w:hAnsi="Arial" w:cs="Arial"/>
          <w:lang w:val="en-US"/>
        </w:rPr>
        <w:lastRenderedPageBreak/>
        <w:t xml:space="preserve">automatically mean a correction of </w:t>
      </w:r>
      <w:r w:rsidR="00114CCB">
        <w:rPr>
          <w:rFonts w:ascii="Arial" w:hAnsi="Arial" w:cs="Arial"/>
          <w:lang w:val="en-US"/>
        </w:rPr>
        <w:t>TB</w:t>
      </w:r>
      <w:r w:rsidRPr="00F97ADB">
        <w:rPr>
          <w:rFonts w:ascii="Arial" w:hAnsi="Arial" w:cs="Arial"/>
          <w:lang w:val="en-US"/>
        </w:rPr>
        <w:t xml:space="preserve"> deficit. According to Lerner (1944), the </w:t>
      </w:r>
      <w:r w:rsidR="00114CCB">
        <w:rPr>
          <w:rFonts w:ascii="Arial" w:hAnsi="Arial" w:cs="Arial"/>
          <w:lang w:val="en-US"/>
        </w:rPr>
        <w:t>TB</w:t>
      </w:r>
      <w:r w:rsidRPr="00F97ADB">
        <w:rPr>
          <w:rFonts w:ascii="Arial" w:hAnsi="Arial" w:cs="Arial"/>
          <w:lang w:val="en-US"/>
        </w:rPr>
        <w:t xml:space="preserve"> is rather concern with the actual values and not on the volume of physical goods. This theory is often </w:t>
      </w:r>
      <w:r w:rsidR="00114CCB" w:rsidRPr="00F97ADB">
        <w:rPr>
          <w:rFonts w:ascii="Arial" w:hAnsi="Arial" w:cs="Arial"/>
          <w:lang w:val="en-US"/>
        </w:rPr>
        <w:t>criticized</w:t>
      </w:r>
      <w:r w:rsidRPr="00F97ADB">
        <w:rPr>
          <w:rFonts w:ascii="Arial" w:hAnsi="Arial" w:cs="Arial"/>
          <w:lang w:val="en-US"/>
        </w:rPr>
        <w:t xml:space="preserve"> because it mainly champion free trade via the principles of absolute advantage, and barely discussed the impact of RER on the TB. </w:t>
      </w:r>
    </w:p>
    <w:p w14:paraId="0B49B9FB" w14:textId="60185AA3" w:rsidR="00114CCB" w:rsidRPr="00114CCB" w:rsidRDefault="00114CCB" w:rsidP="0066301C">
      <w:pPr>
        <w:pStyle w:val="Heading3"/>
        <w:numPr>
          <w:ilvl w:val="0"/>
          <w:numId w:val="0"/>
        </w:numPr>
        <w:spacing w:before="0" w:beforeAutospacing="0"/>
      </w:pPr>
      <w:bookmarkStart w:id="96" w:name="_Toc171075368"/>
      <w:r>
        <w:t>2.</w:t>
      </w:r>
      <w:r w:rsidR="00892A02">
        <w:t>4</w:t>
      </w:r>
      <w:r>
        <w:t>.2</w:t>
      </w:r>
      <w:r>
        <w:tab/>
      </w:r>
      <w:r w:rsidRPr="00114CCB">
        <w:rPr>
          <w:rFonts w:cs="Arial"/>
          <w:lang w:val="en-US"/>
        </w:rPr>
        <w:t>THE ELASTICITY APPROACH</w:t>
      </w:r>
      <w:bookmarkEnd w:id="96"/>
    </w:p>
    <w:p w14:paraId="2081D17B" w14:textId="74C253FB" w:rsidR="00114CCB" w:rsidRPr="00114CCB" w:rsidRDefault="00114CCB" w:rsidP="0066301C">
      <w:pPr>
        <w:autoSpaceDE w:val="0"/>
        <w:autoSpaceDN w:val="0"/>
        <w:adjustRightInd w:val="0"/>
        <w:spacing w:line="360" w:lineRule="auto"/>
        <w:jc w:val="both"/>
        <w:rPr>
          <w:rFonts w:ascii="Arial" w:hAnsi="Arial" w:cs="Arial"/>
          <w:lang w:val="en-US"/>
        </w:rPr>
      </w:pPr>
      <w:r w:rsidRPr="00114CCB">
        <w:rPr>
          <w:rFonts w:ascii="Arial" w:hAnsi="Arial" w:cs="Arial"/>
          <w:lang w:val="en-US"/>
        </w:rPr>
        <w:t xml:space="preserve">The elasticity approach views </w:t>
      </w:r>
      <w:r w:rsidR="00673CE0">
        <w:rPr>
          <w:rFonts w:ascii="Arial" w:hAnsi="Arial" w:cs="Arial"/>
          <w:lang w:val="en-US"/>
        </w:rPr>
        <w:t>TB</w:t>
      </w:r>
      <w:r w:rsidRPr="00114CCB">
        <w:rPr>
          <w:rFonts w:ascii="Arial" w:hAnsi="Arial" w:cs="Arial"/>
          <w:lang w:val="en-US"/>
        </w:rPr>
        <w:t xml:space="preserve"> adjustment path on the bases of elasticities of demand for import and exports. The elasticity of demand is the quantity responsiveness of demanded products to changes in price. The elasticity approach is often known as the Bickerdike-Robinson-Metzler Condition, which deals with the view that changes in foreign currency value of trade balance depends on the import and export supply and demand elasticities and the initial volume of trade (Dhakir </w:t>
      </w:r>
      <w:r w:rsidRPr="00114CCB">
        <w:rPr>
          <w:rFonts w:ascii="Arial" w:hAnsi="Arial" w:cs="Arial"/>
          <w:i/>
          <w:lang w:val="en-US"/>
        </w:rPr>
        <w:t xml:space="preserve">et al., </w:t>
      </w:r>
      <w:r w:rsidRPr="00114CCB">
        <w:rPr>
          <w:rFonts w:ascii="Arial" w:hAnsi="Arial" w:cs="Arial"/>
          <w:lang w:val="en-US"/>
        </w:rPr>
        <w:t xml:space="preserve">2014). The elasticity approach </w:t>
      </w:r>
      <w:r w:rsidR="00005FBB" w:rsidRPr="00114CCB">
        <w:rPr>
          <w:rFonts w:ascii="Arial" w:hAnsi="Arial" w:cs="Arial"/>
          <w:lang w:val="en-US"/>
        </w:rPr>
        <w:t>revolves</w:t>
      </w:r>
      <w:r w:rsidRPr="00114CCB">
        <w:rPr>
          <w:rFonts w:ascii="Arial" w:hAnsi="Arial" w:cs="Arial"/>
          <w:lang w:val="en-US"/>
        </w:rPr>
        <w:t xml:space="preserve"> around the volume and value responses to changes in the RER. The figure below summarizes the case of domestic elasticity of supply in a devaluating nation.</w:t>
      </w:r>
    </w:p>
    <w:p w14:paraId="2F4E28DC" w14:textId="4E87703A" w:rsidR="00114CCB" w:rsidRPr="00114CCB" w:rsidRDefault="00D1766F" w:rsidP="0066301C">
      <w:pPr>
        <w:autoSpaceDE w:val="0"/>
        <w:autoSpaceDN w:val="0"/>
        <w:adjustRightInd w:val="0"/>
        <w:spacing w:line="360" w:lineRule="auto"/>
        <w:jc w:val="both"/>
        <w:rPr>
          <w:rFonts w:ascii="Arial" w:hAnsi="Arial" w:cs="Arial"/>
          <w:b/>
          <w:lang w:val="en-US"/>
        </w:rPr>
      </w:pPr>
      <w:r>
        <w:rPr>
          <w:noProof/>
        </w:rPr>
        <mc:AlternateContent>
          <mc:Choice Requires="wpg">
            <w:drawing>
              <wp:anchor distT="0" distB="0" distL="114300" distR="114300" simplePos="0" relativeHeight="251662336" behindDoc="0" locked="0" layoutInCell="1" allowOverlap="1" wp14:anchorId="7400EAF1" wp14:editId="626818AC">
                <wp:simplePos x="0" y="0"/>
                <wp:positionH relativeFrom="margin">
                  <wp:posOffset>430530</wp:posOffset>
                </wp:positionH>
                <wp:positionV relativeFrom="paragraph">
                  <wp:posOffset>213360</wp:posOffset>
                </wp:positionV>
                <wp:extent cx="4744085" cy="3065780"/>
                <wp:effectExtent l="12065" t="6350" r="6350" b="13970"/>
                <wp:wrapNone/>
                <wp:docPr id="895102444" name="Group 3"/>
                <wp:cNvGraphicFramePr>
                  <a:graphicFrameLocks xmlns:a="http://schemas.openxmlformats.org/drawingml/2006/main"/>
                </wp:cNvGraphicFramePr>
                <a:graphic xmlns:a="http://schemas.openxmlformats.org/drawingml/2006/main">
                  <a:graphicData uri="http://schemas.microsoft.com/office/word/2010/wordprocessingGroup">
                    <wpg:wgp>
                      <wpg:cNvGrpSpPr>
                        <a:grpSpLocks/>
                      </wpg:cNvGrpSpPr>
                      <wpg:grpSpPr bwMode="auto">
                        <a:xfrm>
                          <a:off x="0" y="0"/>
                          <a:ext cx="4744085" cy="3065780"/>
                          <a:chOff x="0" y="0"/>
                          <a:chExt cx="47440" cy="30657"/>
                        </a:xfrm>
                      </wpg:grpSpPr>
                      <wps:wsp>
                        <wps:cNvPr id="812987303" name="Rectangle 169257211"/>
                        <wps:cNvSpPr>
                          <a:spLocks noChangeArrowheads="1"/>
                        </wps:cNvSpPr>
                        <wps:spPr bwMode="auto">
                          <a:xfrm>
                            <a:off x="0" y="0"/>
                            <a:ext cx="47440" cy="30657"/>
                          </a:xfrm>
                          <a:prstGeom prst="rect">
                            <a:avLst/>
                          </a:prstGeom>
                          <a:solidFill>
                            <a:schemeClr val="lt1">
                              <a:lumMod val="100000"/>
                              <a:lumOff val="0"/>
                            </a:schemeClr>
                          </a:solidFill>
                          <a:ln w="12700">
                            <a:solidFill>
                              <a:schemeClr val="accent6">
                                <a:lumMod val="100000"/>
                                <a:lumOff val="0"/>
                              </a:schemeClr>
                            </a:solidFill>
                            <a:miter lim="800000"/>
                            <a:headEnd/>
                            <a:tailEnd/>
                          </a:ln>
                        </wps:spPr>
                        <wps:bodyPr rot="0" vert="horz" wrap="square" lIns="91440" tIns="45720" rIns="91440" bIns="45720" anchor="ctr" anchorCtr="0" upright="1">
                          <a:noAutofit/>
                        </wps:bodyPr>
                      </wps:wsp>
                      <wps:wsp>
                        <wps:cNvPr id="1922835786" name="Rectangle 1757933975"/>
                        <wps:cNvSpPr>
                          <a:spLocks noChangeArrowheads="1"/>
                        </wps:cNvSpPr>
                        <wps:spPr bwMode="auto">
                          <a:xfrm>
                            <a:off x="9574" y="968"/>
                            <a:ext cx="30118" cy="4188"/>
                          </a:xfrm>
                          <a:prstGeom prst="rect">
                            <a:avLst/>
                          </a:prstGeom>
                          <a:solidFill>
                            <a:schemeClr val="lt1">
                              <a:lumMod val="100000"/>
                              <a:lumOff val="0"/>
                            </a:schemeClr>
                          </a:solidFill>
                          <a:ln w="28575">
                            <a:solidFill>
                              <a:schemeClr val="accent6">
                                <a:lumMod val="100000"/>
                                <a:lumOff val="0"/>
                              </a:schemeClr>
                            </a:solidFill>
                            <a:miter lim="800000"/>
                            <a:headEnd/>
                            <a:tailEnd/>
                          </a:ln>
                        </wps:spPr>
                        <wps:txbx>
                          <w:txbxContent>
                            <w:p w14:paraId="14D9CAA4" w14:textId="77777777" w:rsidR="00114CCB" w:rsidRPr="000F7260" w:rsidRDefault="00114CCB" w:rsidP="00114CCB">
                              <w:pPr>
                                <w:jc w:val="center"/>
                                <w:rPr>
                                  <w:rFonts w:ascii="Arial" w:hAnsi="Arial" w:cs="Arial"/>
                                  <w:sz w:val="20"/>
                                  <w:szCs w:val="20"/>
                                </w:rPr>
                              </w:pPr>
                              <w:r w:rsidRPr="000F7260">
                                <w:rPr>
                                  <w:rFonts w:ascii="Arial" w:hAnsi="Arial" w:cs="Arial"/>
                                  <w:sz w:val="20"/>
                                  <w:szCs w:val="20"/>
                                </w:rPr>
                                <w:t xml:space="preserve">Depreciation at home </w:t>
                              </w:r>
                            </w:p>
                          </w:txbxContent>
                        </wps:txbx>
                        <wps:bodyPr rot="0" vert="horz" wrap="square" lIns="91440" tIns="45720" rIns="91440" bIns="45720" anchor="ctr" anchorCtr="0" upright="1">
                          <a:noAutofit/>
                        </wps:bodyPr>
                      </wps:wsp>
                      <wps:wsp>
                        <wps:cNvPr id="734390136" name="Rounded Rectangle 61"/>
                        <wps:cNvSpPr>
                          <a:spLocks noChangeArrowheads="1"/>
                        </wps:cNvSpPr>
                        <wps:spPr bwMode="auto">
                          <a:xfrm>
                            <a:off x="20116" y="8068"/>
                            <a:ext cx="10001" cy="7524"/>
                          </a:xfrm>
                          <a:prstGeom prst="roundRect">
                            <a:avLst>
                              <a:gd name="adj" fmla="val 0"/>
                            </a:avLst>
                          </a:prstGeom>
                          <a:solidFill>
                            <a:schemeClr val="lt1">
                              <a:lumMod val="100000"/>
                              <a:lumOff val="0"/>
                            </a:schemeClr>
                          </a:solidFill>
                          <a:ln w="19050">
                            <a:solidFill>
                              <a:srgbClr val="00B050"/>
                            </a:solidFill>
                            <a:miter lim="800000"/>
                            <a:headEnd/>
                            <a:tailEnd/>
                          </a:ln>
                        </wps:spPr>
                        <wps:txbx>
                          <w:txbxContent>
                            <w:p w14:paraId="6048041E" w14:textId="77777777" w:rsidR="00114CCB" w:rsidRPr="000F7260" w:rsidRDefault="00114CCB" w:rsidP="00114CCB">
                              <w:pPr>
                                <w:pStyle w:val="NoSpacing"/>
                                <w:jc w:val="center"/>
                                <w:rPr>
                                  <w:rFonts w:ascii="Arial" w:hAnsi="Arial" w:cs="Arial"/>
                                  <w:sz w:val="20"/>
                                  <w:szCs w:val="20"/>
                                </w:rPr>
                              </w:pPr>
                              <w:r w:rsidRPr="000F7260">
                                <w:rPr>
                                  <w:rFonts w:ascii="Arial" w:hAnsi="Arial" w:cs="Arial"/>
                                  <w:sz w:val="20"/>
                                  <w:szCs w:val="20"/>
                                </w:rPr>
                                <w:t>Domestic products become cheaper</w:t>
                              </w:r>
                            </w:p>
                          </w:txbxContent>
                        </wps:txbx>
                        <wps:bodyPr rot="0" vert="horz" wrap="square" lIns="91440" tIns="45720" rIns="91440" bIns="45720" anchor="ctr" anchorCtr="0" upright="1">
                          <a:noAutofit/>
                        </wps:bodyPr>
                      </wps:wsp>
                      <wps:wsp>
                        <wps:cNvPr id="1493479396" name="Rounded Rectangle 62"/>
                        <wps:cNvSpPr>
                          <a:spLocks noChangeArrowheads="1"/>
                        </wps:cNvSpPr>
                        <wps:spPr bwMode="auto">
                          <a:xfrm>
                            <a:off x="4625" y="14630"/>
                            <a:ext cx="9036" cy="5696"/>
                          </a:xfrm>
                          <a:prstGeom prst="roundRect">
                            <a:avLst>
                              <a:gd name="adj" fmla="val 0"/>
                            </a:avLst>
                          </a:prstGeom>
                          <a:solidFill>
                            <a:srgbClr val="FFFFFF"/>
                          </a:solidFill>
                          <a:ln w="19050">
                            <a:solidFill>
                              <a:srgbClr val="70AD47"/>
                            </a:solidFill>
                            <a:miter lim="800000"/>
                            <a:headEnd/>
                            <a:tailEnd/>
                          </a:ln>
                        </wps:spPr>
                        <wps:txbx>
                          <w:txbxContent>
                            <w:p w14:paraId="44DCC220" w14:textId="77777777" w:rsidR="00114CCB" w:rsidRPr="000F7260" w:rsidRDefault="00114CCB" w:rsidP="00114CCB">
                              <w:pPr>
                                <w:pStyle w:val="NoSpacing"/>
                                <w:jc w:val="center"/>
                                <w:rPr>
                                  <w:rFonts w:ascii="Arial" w:hAnsi="Arial" w:cs="Arial"/>
                                  <w:sz w:val="20"/>
                                  <w:szCs w:val="20"/>
                                </w:rPr>
                              </w:pPr>
                              <w:r w:rsidRPr="000F7260">
                                <w:rPr>
                                  <w:rFonts w:ascii="Arial" w:hAnsi="Arial" w:cs="Arial"/>
                                  <w:sz w:val="20"/>
                                  <w:szCs w:val="20"/>
                                </w:rPr>
                                <w:t>Inelastic foreign demand</w:t>
                              </w:r>
                            </w:p>
                          </w:txbxContent>
                        </wps:txbx>
                        <wps:bodyPr rot="0" vert="horz" wrap="square" lIns="91440" tIns="45720" rIns="91440" bIns="45720" anchor="ctr" anchorCtr="0" upright="1">
                          <a:noAutofit/>
                        </wps:bodyPr>
                      </wps:wsp>
                      <wps:wsp>
                        <wps:cNvPr id="1940288498" name="Straight Connector 2107127321"/>
                        <wps:cNvCnPr>
                          <a:cxnSpLocks noChangeShapeType="1"/>
                        </wps:cNvCnPr>
                        <wps:spPr bwMode="auto">
                          <a:xfrm>
                            <a:off x="30228" y="13769"/>
                            <a:ext cx="6240" cy="4297"/>
                          </a:xfrm>
                          <a:prstGeom prst="line">
                            <a:avLst/>
                          </a:prstGeom>
                          <a:noFill/>
                          <a:ln w="6350">
                            <a:solidFill>
                              <a:schemeClr val="dk1">
                                <a:lumMod val="100000"/>
                                <a:lumOff val="0"/>
                              </a:schemeClr>
                            </a:solidFill>
                            <a:miter lim="800000"/>
                            <a:headEnd/>
                            <a:tailEnd/>
                          </a:ln>
                          <a:extLst>
                            <a:ext uri="{909E8E84-426E-40DD-AFC4-6F175D3DCCD1}">
                              <a14:hiddenFill xmlns:a14="http://schemas.microsoft.com/office/drawing/2010/main">
                                <a:noFill/>
                              </a14:hiddenFill>
                            </a:ext>
                          </a:extLst>
                        </wps:spPr>
                        <wps:bodyPr/>
                      </wps:wsp>
                      <wps:wsp>
                        <wps:cNvPr id="1330080317" name="Rounded Rectangle 63"/>
                        <wps:cNvSpPr>
                          <a:spLocks noChangeArrowheads="1"/>
                        </wps:cNvSpPr>
                        <wps:spPr bwMode="auto">
                          <a:xfrm>
                            <a:off x="36468" y="14522"/>
                            <a:ext cx="8382" cy="5696"/>
                          </a:xfrm>
                          <a:prstGeom prst="roundRect">
                            <a:avLst>
                              <a:gd name="adj" fmla="val 0"/>
                            </a:avLst>
                          </a:prstGeom>
                          <a:solidFill>
                            <a:srgbClr val="FFFFFF"/>
                          </a:solidFill>
                          <a:ln w="19050">
                            <a:solidFill>
                              <a:srgbClr val="70AD47"/>
                            </a:solidFill>
                            <a:miter lim="800000"/>
                            <a:headEnd/>
                            <a:tailEnd/>
                          </a:ln>
                        </wps:spPr>
                        <wps:txbx>
                          <w:txbxContent>
                            <w:p w14:paraId="5A5A40FA" w14:textId="77777777" w:rsidR="00114CCB" w:rsidRPr="000F7260" w:rsidRDefault="00114CCB" w:rsidP="00114CCB">
                              <w:pPr>
                                <w:pStyle w:val="NoSpacing"/>
                                <w:jc w:val="center"/>
                                <w:rPr>
                                  <w:rFonts w:ascii="Arial" w:hAnsi="Arial" w:cs="Arial"/>
                                  <w:sz w:val="20"/>
                                  <w:szCs w:val="20"/>
                                </w:rPr>
                              </w:pPr>
                              <w:r w:rsidRPr="000F7260">
                                <w:rPr>
                                  <w:rFonts w:ascii="Arial" w:hAnsi="Arial" w:cs="Arial"/>
                                  <w:sz w:val="20"/>
                                  <w:szCs w:val="20"/>
                                </w:rPr>
                                <w:t>Elastic foreign demand</w:t>
                              </w:r>
                            </w:p>
                          </w:txbxContent>
                        </wps:txbx>
                        <wps:bodyPr rot="0" vert="horz" wrap="square" lIns="91440" tIns="45720" rIns="91440" bIns="45720" anchor="ctr" anchorCtr="0" upright="1">
                          <a:noAutofit/>
                        </wps:bodyPr>
                      </wps:wsp>
                      <wps:wsp>
                        <wps:cNvPr id="2060089136" name="Straight Connector 1221632435"/>
                        <wps:cNvCnPr>
                          <a:cxnSpLocks noChangeShapeType="1"/>
                        </wps:cNvCnPr>
                        <wps:spPr bwMode="auto">
                          <a:xfrm flipH="1">
                            <a:off x="13662" y="14307"/>
                            <a:ext cx="6455" cy="3765"/>
                          </a:xfrm>
                          <a:prstGeom prst="line">
                            <a:avLst/>
                          </a:prstGeom>
                          <a:noFill/>
                          <a:ln w="6350">
                            <a:solidFill>
                              <a:schemeClr val="dk1">
                                <a:lumMod val="100000"/>
                                <a:lumOff val="0"/>
                              </a:schemeClr>
                            </a:solidFill>
                            <a:miter lim="800000"/>
                            <a:headEnd/>
                            <a:tailEnd/>
                          </a:ln>
                          <a:extLst>
                            <a:ext uri="{909E8E84-426E-40DD-AFC4-6F175D3DCCD1}">
                              <a14:hiddenFill xmlns:a14="http://schemas.microsoft.com/office/drawing/2010/main">
                                <a:noFill/>
                              </a14:hiddenFill>
                            </a:ext>
                          </a:extLst>
                        </wps:spPr>
                        <wps:bodyPr/>
                      </wps:wsp>
                      <wps:wsp>
                        <wps:cNvPr id="746362200" name="Straight Connector 637883792"/>
                        <wps:cNvCnPr>
                          <a:cxnSpLocks noChangeShapeType="1"/>
                        </wps:cNvCnPr>
                        <wps:spPr bwMode="auto">
                          <a:xfrm>
                            <a:off x="40341" y="20116"/>
                            <a:ext cx="0" cy="5378"/>
                          </a:xfrm>
                          <a:prstGeom prst="line">
                            <a:avLst/>
                          </a:prstGeom>
                          <a:noFill/>
                          <a:ln w="6350">
                            <a:solidFill>
                              <a:schemeClr val="dk1">
                                <a:lumMod val="100000"/>
                                <a:lumOff val="0"/>
                              </a:schemeClr>
                            </a:solidFill>
                            <a:miter lim="800000"/>
                            <a:headEnd/>
                            <a:tailEnd/>
                          </a:ln>
                          <a:extLst>
                            <a:ext uri="{909E8E84-426E-40DD-AFC4-6F175D3DCCD1}">
                              <a14:hiddenFill xmlns:a14="http://schemas.microsoft.com/office/drawing/2010/main">
                                <a:noFill/>
                              </a14:hiddenFill>
                            </a:ext>
                          </a:extLst>
                        </wps:spPr>
                        <wps:bodyPr/>
                      </wps:wsp>
                      <wps:wsp>
                        <wps:cNvPr id="885976342" name="Straight Connector 839446498"/>
                        <wps:cNvCnPr>
                          <a:cxnSpLocks noChangeShapeType="1"/>
                        </wps:cNvCnPr>
                        <wps:spPr bwMode="auto">
                          <a:xfrm>
                            <a:off x="8713" y="20331"/>
                            <a:ext cx="0" cy="5164"/>
                          </a:xfrm>
                          <a:prstGeom prst="line">
                            <a:avLst/>
                          </a:prstGeom>
                          <a:noFill/>
                          <a:ln w="6350">
                            <a:solidFill>
                              <a:schemeClr val="dk1">
                                <a:lumMod val="100000"/>
                                <a:lumOff val="0"/>
                              </a:schemeClr>
                            </a:solidFill>
                            <a:miter lim="800000"/>
                            <a:headEnd/>
                            <a:tailEnd/>
                          </a:ln>
                          <a:extLst>
                            <a:ext uri="{909E8E84-426E-40DD-AFC4-6F175D3DCCD1}">
                              <a14:hiddenFill xmlns:a14="http://schemas.microsoft.com/office/drawing/2010/main">
                                <a:noFill/>
                              </a14:hiddenFill>
                            </a:ext>
                          </a:extLst>
                        </wps:spPr>
                        <wps:bodyPr/>
                      </wps:wsp>
                      <wps:wsp>
                        <wps:cNvPr id="591777216" name="Rounded Rectangle 65"/>
                        <wps:cNvSpPr>
                          <a:spLocks noChangeArrowheads="1"/>
                        </wps:cNvSpPr>
                        <wps:spPr bwMode="auto">
                          <a:xfrm>
                            <a:off x="24850" y="25495"/>
                            <a:ext cx="21939" cy="4303"/>
                          </a:xfrm>
                          <a:prstGeom prst="roundRect">
                            <a:avLst>
                              <a:gd name="adj" fmla="val 0"/>
                            </a:avLst>
                          </a:prstGeom>
                          <a:solidFill>
                            <a:schemeClr val="lt1">
                              <a:lumMod val="100000"/>
                              <a:lumOff val="0"/>
                            </a:schemeClr>
                          </a:solidFill>
                          <a:ln w="19050">
                            <a:solidFill>
                              <a:schemeClr val="accent6">
                                <a:lumMod val="100000"/>
                                <a:lumOff val="0"/>
                              </a:schemeClr>
                            </a:solidFill>
                            <a:miter lim="800000"/>
                            <a:headEnd/>
                            <a:tailEnd/>
                          </a:ln>
                        </wps:spPr>
                        <wps:txbx>
                          <w:txbxContent>
                            <w:p w14:paraId="49B96EEA" w14:textId="77777777" w:rsidR="00114CCB" w:rsidRPr="00114CCB" w:rsidRDefault="00114CCB" w:rsidP="00114CCB">
                              <w:pPr>
                                <w:pStyle w:val="NoSpacing"/>
                                <w:jc w:val="center"/>
                                <w:rPr>
                                  <w:rFonts w:ascii="Arial" w:hAnsi="Arial" w:cs="Arial"/>
                                </w:rPr>
                              </w:pPr>
                              <w:r w:rsidRPr="000F7260">
                                <w:rPr>
                                  <w:rFonts w:ascii="Arial" w:hAnsi="Arial" w:cs="Arial"/>
                                  <w:sz w:val="20"/>
                                  <w:szCs w:val="20"/>
                                </w:rPr>
                                <w:t>Volume of exports increase, while value of exports</w:t>
                              </w:r>
                              <w:r w:rsidRPr="00114CCB">
                                <w:rPr>
                                  <w:rFonts w:ascii="Arial" w:hAnsi="Arial" w:cs="Arial"/>
                                </w:rPr>
                                <w:t xml:space="preserve"> </w:t>
                              </w:r>
                              <w:r w:rsidRPr="000F7260">
                                <w:rPr>
                                  <w:rFonts w:ascii="Arial" w:hAnsi="Arial" w:cs="Arial"/>
                                  <w:sz w:val="20"/>
                                  <w:szCs w:val="20"/>
                                </w:rPr>
                                <w:t>decreases.</w:t>
                              </w:r>
                            </w:p>
                          </w:txbxContent>
                        </wps:txbx>
                        <wps:bodyPr rot="0" vert="horz" wrap="square" lIns="91440" tIns="45720" rIns="91440" bIns="45720" anchor="ctr" anchorCtr="0" upright="1">
                          <a:noAutofit/>
                        </wps:bodyPr>
                      </wps:wsp>
                      <wps:wsp>
                        <wps:cNvPr id="2143891545" name="Rounded Rectangle 64"/>
                        <wps:cNvSpPr>
                          <a:spLocks noChangeArrowheads="1"/>
                        </wps:cNvSpPr>
                        <wps:spPr bwMode="auto">
                          <a:xfrm>
                            <a:off x="753" y="25495"/>
                            <a:ext cx="23018" cy="4518"/>
                          </a:xfrm>
                          <a:prstGeom prst="roundRect">
                            <a:avLst>
                              <a:gd name="adj" fmla="val 0"/>
                            </a:avLst>
                          </a:prstGeom>
                          <a:solidFill>
                            <a:schemeClr val="lt1">
                              <a:lumMod val="100000"/>
                              <a:lumOff val="0"/>
                            </a:schemeClr>
                          </a:solidFill>
                          <a:ln w="19050">
                            <a:solidFill>
                              <a:schemeClr val="accent6">
                                <a:lumMod val="100000"/>
                                <a:lumOff val="0"/>
                              </a:schemeClr>
                            </a:solidFill>
                            <a:miter lim="800000"/>
                            <a:headEnd/>
                            <a:tailEnd/>
                          </a:ln>
                        </wps:spPr>
                        <wps:txbx>
                          <w:txbxContent>
                            <w:p w14:paraId="74D682B7" w14:textId="77777777" w:rsidR="00114CCB" w:rsidRPr="000F7260" w:rsidRDefault="00114CCB" w:rsidP="000F7260">
                              <w:pPr>
                                <w:pStyle w:val="NoSpacing"/>
                                <w:jc w:val="both"/>
                                <w:rPr>
                                  <w:sz w:val="19"/>
                                  <w:szCs w:val="19"/>
                                </w:rPr>
                              </w:pPr>
                              <w:r w:rsidRPr="000F7260">
                                <w:rPr>
                                  <w:rFonts w:ascii="Arial" w:hAnsi="Arial" w:cs="Arial"/>
                                  <w:sz w:val="19"/>
                                  <w:szCs w:val="19"/>
                                </w:rPr>
                                <w:t xml:space="preserve">Volume of exports remains the same, while value of exports </w:t>
                              </w:r>
                              <w:r w:rsidRPr="000F7260">
                                <w:rPr>
                                  <w:sz w:val="19"/>
                                  <w:szCs w:val="19"/>
                                </w:rPr>
                                <w:t>decreases.</w:t>
                              </w:r>
                            </w:p>
                          </w:txbxContent>
                        </wps:txbx>
                        <wps:bodyPr rot="0" vert="horz" wrap="square" lIns="91440" tIns="45720" rIns="91440" bIns="45720" anchor="ctr" anchorCtr="0" upright="1">
                          <a:noAutofit/>
                        </wps:bodyPr>
                      </wps:wsp>
                      <wps:wsp>
                        <wps:cNvPr id="923799742" name="Straight Connector 1998822303"/>
                        <wps:cNvCnPr>
                          <a:cxnSpLocks noChangeShapeType="1"/>
                        </wps:cNvCnPr>
                        <wps:spPr bwMode="auto">
                          <a:xfrm>
                            <a:off x="25172" y="5163"/>
                            <a:ext cx="0" cy="2911"/>
                          </a:xfrm>
                          <a:prstGeom prst="line">
                            <a:avLst/>
                          </a:prstGeom>
                          <a:noFill/>
                          <a:ln w="12700">
                            <a:solidFill>
                              <a:schemeClr val="dk1">
                                <a:lumMod val="100000"/>
                                <a:lumOff val="0"/>
                              </a:schemeClr>
                            </a:solidFill>
                            <a:miter lim="800000"/>
                            <a:headEnd/>
                            <a:tailEnd/>
                          </a:ln>
                          <a:extLst>
                            <a:ext uri="{909E8E84-426E-40DD-AFC4-6F175D3DCCD1}">
                              <a14:hiddenFill xmlns:a14="http://schemas.microsoft.com/office/drawing/2010/main">
                                <a:noFill/>
                              </a14:hiddenFill>
                            </a:ext>
                          </a:extLst>
                        </wps:spPr>
                        <wps:bodyPr/>
                      </wps:wsp>
                    </wpg:wgp>
                  </a:graphicData>
                </a:graphic>
                <wp14:sizeRelH relativeFrom="page">
                  <wp14:pctWidth>0</wp14:pctWidth>
                </wp14:sizeRelH>
                <wp14:sizeRelV relativeFrom="page">
                  <wp14:pctHeight>0</wp14:pctHeight>
                </wp14:sizeRelV>
              </wp:anchor>
            </w:drawing>
          </mc:Choice>
          <mc:Fallback>
            <w:pict>
              <v:group w14:anchorId="7400EAF1" id="Group 3" o:spid="_x0000_s1026" style="position:absolute;left:0;text-align:left;margin-left:33.9pt;margin-top:16.8pt;width:373.55pt;height:241.4pt;z-index:251662336;mso-position-horizontal-relative:margin" coordsize="47440,30657"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">
                <v:rect id="Rectangle 169257211" o:spid="_x0000_s1027" style="position:absolute;width:47440;height:30657;visibility:visible;mso-wrap-style:square;v-text-anchor:middl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" fillcolor="white [3201]" strokecolor="#70ad47 [3209]" strokeweight="1pt"/>
                <v:rect id="Rectangle 1757933975" o:spid="_x0000_s1028" style="position:absolute;left:9574;top:968;width:30118;height:4188;visibility:visible;mso-wrap-style:square;v-text-anchor:middl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" fillcolor="white [3201]" strokecolor="#70ad47 [3209]" strokeweight="2.25pt">
                  <v:textbox>
                    <w:txbxContent>
                      <w:p w14:paraId="14D9CAA4" w14:textId="77777777" w:rsidR="00114CCB" w:rsidRPr="000F7260" w:rsidRDefault="00114CCB" w:rsidP="00114CCB">
                        <w:pPr>
                          <w:jc w:val="center"/>
                          <w:rPr>
                            <w:rFonts w:ascii="Arial" w:hAnsi="Arial" w:cs="Arial"/>
                            <w:sz w:val="20"/>
                            <w:szCs w:val="20"/>
                          </w:rPr>
                        </w:pPr>
                        <w:r w:rsidRPr="000F7260">
                          <w:rPr>
                            <w:rFonts w:ascii="Arial" w:hAnsi="Arial" w:cs="Arial"/>
                            <w:sz w:val="20"/>
                            <w:szCs w:val="20"/>
                          </w:rPr>
                          <w:t xml:space="preserve">Depreciation at home </w:t>
                        </w:r>
                      </w:p>
                    </w:txbxContent>
                  </v:textbox>
                </v:rect>
                <v:roundrect id="Rounded Rectangle 61" o:spid="_x0000_s1029" style="position:absolute;left:20116;top:8068;width:10001;height:7524;visibility:visible;mso-wrap-style:square;v-text-anchor:middle" arcsize="0"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" fillcolor="white [3201]" strokecolor="#00b050" strokeweight="1.5pt">
                  <v:stroke joinstyle="miter"/>
                  <v:textbox>
                    <w:txbxContent>
                      <w:p w14:paraId="6048041E" w14:textId="77777777" w:rsidR="00114CCB" w:rsidRPr="000F7260" w:rsidRDefault="00114CCB" w:rsidP="00114CCB">
                        <w:pPr>
                          <w:pStyle w:val="NoSpacing"/>
                          <w:jc w:val="center"/>
                          <w:rPr>
                            <w:rFonts w:ascii="Arial" w:hAnsi="Arial" w:cs="Arial"/>
                            <w:sz w:val="20"/>
                            <w:szCs w:val="20"/>
                          </w:rPr>
                        </w:pPr>
                        <w:r w:rsidRPr="000F7260">
                          <w:rPr>
                            <w:rFonts w:ascii="Arial" w:hAnsi="Arial" w:cs="Arial"/>
                            <w:sz w:val="20"/>
                            <w:szCs w:val="20"/>
                          </w:rPr>
                          <w:t>Domestic products become cheaper</w:t>
                        </w:r>
                      </w:p>
                    </w:txbxContent>
                  </v:textbox>
                </v:roundrect>
                <v:roundrect id="Rounded Rectangle 62" o:spid="_x0000_s1030" style="position:absolute;left:4625;top:14630;width:9036;height:5696;visibility:visible;mso-wrap-style:square;v-text-anchor:middle" arcsize="0"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" strokecolor="#70ad47" strokeweight="1.5pt">
                  <v:stroke joinstyle="miter"/>
                  <v:textbox>
                    <w:txbxContent>
                      <w:p w14:paraId="44DCC220" w14:textId="77777777" w:rsidR="00114CCB" w:rsidRPr="000F7260" w:rsidRDefault="00114CCB" w:rsidP="00114CCB">
                        <w:pPr>
                          <w:pStyle w:val="NoSpacing"/>
                          <w:jc w:val="center"/>
                          <w:rPr>
                            <w:rFonts w:ascii="Arial" w:hAnsi="Arial" w:cs="Arial"/>
                            <w:sz w:val="20"/>
                            <w:szCs w:val="20"/>
                          </w:rPr>
                        </w:pPr>
                        <w:r w:rsidRPr="000F7260">
                          <w:rPr>
                            <w:rFonts w:ascii="Arial" w:hAnsi="Arial" w:cs="Arial"/>
                            <w:sz w:val="20"/>
                            <w:szCs w:val="20"/>
                          </w:rPr>
                          <w:t>Inelastic foreign demand</w:t>
                        </w:r>
                      </w:p>
                    </w:txbxContent>
                  </v:textbox>
                </v:roundrect>
                <v:line id="Straight Connector 2107127321" o:spid="_x0000_s1031" style="position:absolute;visibility:visible;mso-wrap-style:square" from="30228,13769" to="36468,18066"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" strokecolor="black [3200]" strokeweight=".5pt">
                  <v:stroke joinstyle="miter"/>
                </v:line>
                <v:roundrect id="Rounded Rectangle 63" o:spid="_x0000_s1032" style="position:absolute;left:36468;top:14522;width:8382;height:5696;visibility:visible;mso-wrap-style:square;v-text-anchor:middle" arcsize="0"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" strokecolor="#70ad47" strokeweight="1.5pt">
                  <v:stroke joinstyle="miter"/>
                  <v:textbox>
                    <w:txbxContent>
                      <w:p w14:paraId="5A5A40FA" w14:textId="77777777" w:rsidR="00114CCB" w:rsidRPr="000F7260" w:rsidRDefault="00114CCB" w:rsidP="00114CCB">
                        <w:pPr>
                          <w:pStyle w:val="NoSpacing"/>
                          <w:jc w:val="center"/>
                          <w:rPr>
                            <w:rFonts w:ascii="Arial" w:hAnsi="Arial" w:cs="Arial"/>
                            <w:sz w:val="20"/>
                            <w:szCs w:val="20"/>
                          </w:rPr>
                        </w:pPr>
                        <w:r w:rsidRPr="000F7260">
                          <w:rPr>
                            <w:rFonts w:ascii="Arial" w:hAnsi="Arial" w:cs="Arial"/>
                            <w:sz w:val="20"/>
                            <w:szCs w:val="20"/>
                          </w:rPr>
                          <w:t>Elastic foreign demand</w:t>
                        </w:r>
                      </w:p>
                    </w:txbxContent>
                  </v:textbox>
                </v:roundrect>
                <v:line id="Straight Connector 1221632435" o:spid="_x0000_s1033" style="position:absolute;flip:x;visibility:visible;mso-wrap-style:square" from="13662,14307" to="20117,18072"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" strokecolor="black [3200]" strokeweight=".5pt">
                  <v:stroke joinstyle="miter"/>
                </v:line>
                <v:line id="Straight Connector 637883792" o:spid="_x0000_s1034" style="position:absolute;visibility:visible;mso-wrap-style:square" from="40341,20116" to="40341,25494"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" strokecolor="black [3200]" strokeweight=".5pt">
                  <v:stroke joinstyle="miter"/>
                </v:line>
                <v:line id="Straight Connector 839446498" o:spid="_x0000_s1035" style="position:absolute;visibility:visible;mso-wrap-style:square" from="8713,20331" to="8713,25495"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" strokecolor="black [3200]" strokeweight=".5pt">
                  <v:stroke joinstyle="miter"/>
                </v:line>
                <v:roundrect id="Rounded Rectangle 65" o:spid="_x0000_s1036" style="position:absolute;left:24850;top:25495;width:21939;height:4303;visibility:visible;mso-wrap-style:square;v-text-anchor:middle" arcsize="0"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" fillcolor="white [3201]" strokecolor="#70ad47 [3209]" strokeweight="1.5pt">
                  <v:stroke joinstyle="miter"/>
                  <v:textbox>
                    <w:txbxContent>
                      <w:p w14:paraId="49B96EEA" w14:textId="77777777" w:rsidR="00114CCB" w:rsidRPr="00114CCB" w:rsidRDefault="00114CCB" w:rsidP="00114CCB">
                        <w:pPr>
                          <w:pStyle w:val="NoSpacing"/>
                          <w:jc w:val="center"/>
                          <w:rPr>
                            <w:rFonts w:ascii="Arial" w:hAnsi="Arial" w:cs="Arial"/>
                          </w:rPr>
                        </w:pPr>
                        <w:r w:rsidRPr="000F7260">
                          <w:rPr>
                            <w:rFonts w:ascii="Arial" w:hAnsi="Arial" w:cs="Arial"/>
                            <w:sz w:val="20"/>
                            <w:szCs w:val="20"/>
                          </w:rPr>
                          <w:t>Volume of exports increase, while value of exports</w:t>
                        </w:r>
                        <w:r w:rsidRPr="00114CCB">
                          <w:rPr>
                            <w:rFonts w:ascii="Arial" w:hAnsi="Arial" w:cs="Arial"/>
                          </w:rPr>
                          <w:t xml:space="preserve"> </w:t>
                        </w:r>
                        <w:r w:rsidRPr="000F7260">
                          <w:rPr>
                            <w:rFonts w:ascii="Arial" w:hAnsi="Arial" w:cs="Arial"/>
                            <w:sz w:val="20"/>
                            <w:szCs w:val="20"/>
                          </w:rPr>
                          <w:t>decreases.</w:t>
                        </w:r>
                      </w:p>
                    </w:txbxContent>
                  </v:textbox>
                </v:roundrect>
                <v:roundrect id="Rounded Rectangle 64" o:spid="_x0000_s1037" style="position:absolute;left:753;top:25495;width:23018;height:4518;visibility:visible;mso-wrap-style:square;v-text-anchor:middle" arcsize="0"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" fillcolor="white [3201]" strokecolor="#70ad47 [3209]" strokeweight="1.5pt">
                  <v:stroke joinstyle="miter"/>
                  <v:textbox>
                    <w:txbxContent>
                      <w:p w14:paraId="74D682B7" w14:textId="77777777" w:rsidR="00114CCB" w:rsidRPr="000F7260" w:rsidRDefault="00114CCB" w:rsidP="000F7260">
                        <w:pPr>
                          <w:pStyle w:val="NoSpacing"/>
                          <w:jc w:val="both"/>
                          <w:rPr>
                            <w:sz w:val="19"/>
                            <w:szCs w:val="19"/>
                          </w:rPr>
                        </w:pPr>
                        <w:r w:rsidRPr="000F7260">
                          <w:rPr>
                            <w:rFonts w:ascii="Arial" w:hAnsi="Arial" w:cs="Arial"/>
                            <w:sz w:val="19"/>
                            <w:szCs w:val="19"/>
                          </w:rPr>
                          <w:t xml:space="preserve">Volume of exports remains the same, while value of exports </w:t>
                        </w:r>
                        <w:r w:rsidRPr="000F7260">
                          <w:rPr>
                            <w:sz w:val="19"/>
                            <w:szCs w:val="19"/>
                          </w:rPr>
                          <w:t>decreases.</w:t>
                        </w:r>
                      </w:p>
                    </w:txbxContent>
                  </v:textbox>
                </v:roundrect>
                <v:line id="Straight Connector 1998822303" o:spid="_x0000_s1038" style="position:absolute;visibility:visible;mso-wrap-style:square" from="25172,5163" to="25172,8074"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" strokecolor="black [3200]" strokeweight="1pt">
                  <v:stroke joinstyle="miter"/>
                </v:line>
                <w10:wrap anchorx="margin"/>
              </v:group>
            </w:pict>
          </mc:Fallback>
        </mc:AlternateContent>
      </w:r>
      <w:r w:rsidR="00114CCB" w:rsidRPr="00114CCB">
        <w:rPr>
          <w:rFonts w:ascii="Arial" w:hAnsi="Arial" w:cs="Arial"/>
          <w:lang w:val="en-US"/>
        </w:rPr>
        <w:t xml:space="preserve"> </w:t>
      </w:r>
      <w:r w:rsidR="00114CCB" w:rsidRPr="00114CCB">
        <w:rPr>
          <w:rFonts w:ascii="Arial" w:hAnsi="Arial" w:cs="Arial"/>
          <w:lang w:val="en-US"/>
        </w:rPr>
        <w:tab/>
      </w:r>
      <w:r w:rsidR="00114CCB" w:rsidRPr="00114CCB">
        <w:rPr>
          <w:rFonts w:ascii="Arial" w:hAnsi="Arial" w:cs="Arial"/>
          <w:b/>
          <w:lang w:val="en-US"/>
        </w:rPr>
        <w:t xml:space="preserve">Figure </w:t>
      </w:r>
      <w:r w:rsidR="00005FBB">
        <w:rPr>
          <w:rFonts w:ascii="Arial" w:hAnsi="Arial" w:cs="Arial"/>
          <w:b/>
          <w:lang w:val="en-US"/>
        </w:rPr>
        <w:t>2.1</w:t>
      </w:r>
      <w:r w:rsidR="00114CCB" w:rsidRPr="00114CCB">
        <w:rPr>
          <w:rFonts w:ascii="Arial" w:hAnsi="Arial" w:cs="Arial"/>
          <w:b/>
          <w:lang w:val="en-US"/>
        </w:rPr>
        <w:t>: Elasticities Approach (the case foreign demand)</w:t>
      </w:r>
    </w:p>
    <w:p w14:paraId="64825D35" w14:textId="77777777" w:rsidR="00114CCB" w:rsidRPr="00114CCB" w:rsidRDefault="00114CCB" w:rsidP="0066301C">
      <w:pPr>
        <w:autoSpaceDE w:val="0"/>
        <w:autoSpaceDN w:val="0"/>
        <w:adjustRightInd w:val="0"/>
        <w:spacing w:line="360" w:lineRule="auto"/>
        <w:jc w:val="both"/>
        <w:rPr>
          <w:rFonts w:ascii="Arial" w:hAnsi="Arial" w:cs="Arial"/>
          <w:b/>
          <w:lang w:val="en-US"/>
        </w:rPr>
      </w:pPr>
    </w:p>
    <w:p w14:paraId="783E998F" w14:textId="77777777" w:rsidR="00114CCB" w:rsidRPr="00114CCB" w:rsidRDefault="00114CCB" w:rsidP="0066301C">
      <w:pPr>
        <w:autoSpaceDE w:val="0"/>
        <w:autoSpaceDN w:val="0"/>
        <w:adjustRightInd w:val="0"/>
        <w:spacing w:line="360" w:lineRule="auto"/>
        <w:jc w:val="both"/>
        <w:rPr>
          <w:rFonts w:ascii="Arial" w:hAnsi="Arial" w:cs="Arial"/>
          <w:b/>
          <w:lang w:val="en-US"/>
        </w:rPr>
      </w:pPr>
    </w:p>
    <w:p w14:paraId="149604F4" w14:textId="77777777" w:rsidR="00114CCB" w:rsidRPr="00114CCB" w:rsidRDefault="00114CCB" w:rsidP="0066301C">
      <w:pPr>
        <w:autoSpaceDE w:val="0"/>
        <w:autoSpaceDN w:val="0"/>
        <w:adjustRightInd w:val="0"/>
        <w:spacing w:line="360" w:lineRule="auto"/>
        <w:jc w:val="both"/>
        <w:rPr>
          <w:rFonts w:ascii="Arial" w:hAnsi="Arial" w:cs="Arial"/>
          <w:lang w:val="en-US"/>
        </w:rPr>
      </w:pPr>
    </w:p>
    <w:p w14:paraId="5A48BDCF" w14:textId="77777777" w:rsidR="00114CCB" w:rsidRPr="00114CCB" w:rsidRDefault="00114CCB" w:rsidP="0066301C">
      <w:pPr>
        <w:autoSpaceDE w:val="0"/>
        <w:autoSpaceDN w:val="0"/>
        <w:adjustRightInd w:val="0"/>
        <w:spacing w:line="360" w:lineRule="auto"/>
        <w:jc w:val="both"/>
        <w:rPr>
          <w:rFonts w:ascii="Arial" w:hAnsi="Arial" w:cs="Arial"/>
          <w:lang w:val="en-US"/>
        </w:rPr>
      </w:pPr>
    </w:p>
    <w:p w14:paraId="33A69EBE" w14:textId="77777777" w:rsidR="00114CCB" w:rsidRPr="00114CCB" w:rsidRDefault="00114CCB" w:rsidP="0066301C">
      <w:pPr>
        <w:autoSpaceDE w:val="0"/>
        <w:autoSpaceDN w:val="0"/>
        <w:adjustRightInd w:val="0"/>
        <w:spacing w:line="360" w:lineRule="auto"/>
        <w:jc w:val="both"/>
        <w:rPr>
          <w:rFonts w:ascii="Arial" w:hAnsi="Arial" w:cs="Arial"/>
          <w:lang w:val="en-US"/>
        </w:rPr>
      </w:pPr>
    </w:p>
    <w:p w14:paraId="1A24B21F" w14:textId="77777777" w:rsidR="00114CCB" w:rsidRPr="00114CCB" w:rsidRDefault="00114CCB" w:rsidP="0066301C">
      <w:pPr>
        <w:autoSpaceDE w:val="0"/>
        <w:autoSpaceDN w:val="0"/>
        <w:adjustRightInd w:val="0"/>
        <w:spacing w:line="360" w:lineRule="auto"/>
        <w:jc w:val="both"/>
        <w:rPr>
          <w:rFonts w:ascii="Arial" w:hAnsi="Arial" w:cs="Arial"/>
          <w:lang w:val="en-US"/>
        </w:rPr>
      </w:pPr>
    </w:p>
    <w:p w14:paraId="0CD2139A" w14:textId="77777777" w:rsidR="00114CCB" w:rsidRDefault="00114CCB" w:rsidP="0066301C">
      <w:pPr>
        <w:autoSpaceDE w:val="0"/>
        <w:autoSpaceDN w:val="0"/>
        <w:adjustRightInd w:val="0"/>
        <w:spacing w:line="360" w:lineRule="auto"/>
        <w:jc w:val="both"/>
        <w:rPr>
          <w:rFonts w:ascii="Arial" w:hAnsi="Arial" w:cs="Arial"/>
          <w:lang w:val="en-US"/>
        </w:rPr>
      </w:pPr>
    </w:p>
    <w:p w14:paraId="24416CAB" w14:textId="77777777" w:rsidR="00114CCB" w:rsidRDefault="00114CCB" w:rsidP="0066301C">
      <w:pPr>
        <w:autoSpaceDE w:val="0"/>
        <w:autoSpaceDN w:val="0"/>
        <w:adjustRightInd w:val="0"/>
        <w:spacing w:line="360" w:lineRule="auto"/>
        <w:jc w:val="both"/>
        <w:rPr>
          <w:rFonts w:ascii="Arial" w:hAnsi="Arial" w:cs="Arial"/>
          <w:lang w:val="en-US"/>
        </w:rPr>
      </w:pPr>
    </w:p>
    <w:p w14:paraId="010E4BAA" w14:textId="77777777" w:rsidR="00114CCB" w:rsidRDefault="00114CCB" w:rsidP="00EC689C">
      <w:pPr>
        <w:autoSpaceDE w:val="0"/>
        <w:autoSpaceDN w:val="0"/>
        <w:adjustRightInd w:val="0"/>
        <w:spacing w:line="240" w:lineRule="auto"/>
        <w:jc w:val="both"/>
        <w:rPr>
          <w:rFonts w:ascii="Arial" w:hAnsi="Arial" w:cs="Arial"/>
          <w:lang w:val="en-US"/>
        </w:rPr>
      </w:pPr>
    </w:p>
    <w:p w14:paraId="0DF0930F" w14:textId="343984D6" w:rsidR="00EC689C" w:rsidRPr="00EC689C" w:rsidRDefault="00EC689C" w:rsidP="00EC689C">
      <w:pPr>
        <w:autoSpaceDE w:val="0"/>
        <w:autoSpaceDN w:val="0"/>
        <w:adjustRightInd w:val="0"/>
        <w:spacing w:line="240" w:lineRule="auto"/>
        <w:jc w:val="both"/>
        <w:rPr>
          <w:rFonts w:ascii="Arial" w:hAnsi="Arial" w:cs="Arial"/>
          <w:sz w:val="20"/>
          <w:szCs w:val="20"/>
        </w:rPr>
      </w:pPr>
      <w:r w:rsidRPr="00EC689C">
        <w:rPr>
          <w:rFonts w:ascii="Arial" w:hAnsi="Arial" w:cs="Arial"/>
          <w:i/>
          <w:iCs/>
          <w:sz w:val="20"/>
          <w:szCs w:val="20"/>
        </w:rPr>
        <w:t>Source:</w:t>
      </w:r>
      <w:r w:rsidRPr="00EC689C">
        <w:rPr>
          <w:rFonts w:ascii="Arial" w:hAnsi="Arial" w:cs="Arial"/>
          <w:sz w:val="20"/>
          <w:szCs w:val="20"/>
        </w:rPr>
        <w:t xml:space="preserve"> </w:t>
      </w:r>
      <w:r w:rsidRPr="00EC689C">
        <w:rPr>
          <w:rFonts w:ascii="Arial" w:hAnsi="Arial" w:cs="Arial"/>
          <w:sz w:val="20"/>
          <w:szCs w:val="20"/>
          <w:lang w:val="en-US"/>
        </w:rPr>
        <w:t xml:space="preserve">Dhakir </w:t>
      </w:r>
      <w:r w:rsidRPr="00EC689C">
        <w:rPr>
          <w:rFonts w:ascii="Arial" w:hAnsi="Arial" w:cs="Arial"/>
          <w:i/>
          <w:sz w:val="20"/>
          <w:szCs w:val="20"/>
          <w:lang w:val="en-US"/>
        </w:rPr>
        <w:t xml:space="preserve">et al. </w:t>
      </w:r>
      <w:r w:rsidRPr="00EC689C">
        <w:rPr>
          <w:rFonts w:ascii="Arial" w:hAnsi="Arial" w:cs="Arial"/>
          <w:iCs/>
          <w:sz w:val="20"/>
          <w:szCs w:val="20"/>
          <w:lang w:val="en-US"/>
        </w:rPr>
        <w:t>(</w:t>
      </w:r>
      <w:r w:rsidRPr="00EC689C">
        <w:rPr>
          <w:rFonts w:ascii="Arial" w:hAnsi="Arial" w:cs="Arial"/>
          <w:sz w:val="20"/>
          <w:szCs w:val="20"/>
          <w:lang w:val="en-US"/>
        </w:rPr>
        <w:t>2014)</w:t>
      </w:r>
      <w:r w:rsidRPr="00EC689C">
        <w:rPr>
          <w:rFonts w:ascii="Arial" w:hAnsi="Arial" w:cs="Arial"/>
          <w:sz w:val="20"/>
          <w:szCs w:val="20"/>
        </w:rPr>
        <w:t>.</w:t>
      </w:r>
    </w:p>
    <w:p w14:paraId="7246A13B" w14:textId="12ECCDA7" w:rsidR="00114CCB" w:rsidRPr="00114CCB" w:rsidRDefault="00114CCB" w:rsidP="0066301C">
      <w:pPr>
        <w:autoSpaceDE w:val="0"/>
        <w:autoSpaceDN w:val="0"/>
        <w:adjustRightInd w:val="0"/>
        <w:spacing w:line="360" w:lineRule="auto"/>
        <w:jc w:val="both"/>
        <w:rPr>
          <w:rFonts w:ascii="Arial" w:hAnsi="Arial" w:cs="Arial"/>
          <w:lang w:val="en-US"/>
        </w:rPr>
      </w:pPr>
      <w:r w:rsidRPr="00114CCB">
        <w:rPr>
          <w:rFonts w:ascii="Arial" w:hAnsi="Arial" w:cs="Arial"/>
          <w:lang w:val="en-US"/>
        </w:rPr>
        <w:t xml:space="preserve">As seen on the figure above, same logic applies to the domestic demand, whereby lower prices in the domestic nation due to currency devaluation increases foreign demand for domestic products. But this can only occur if the foreign demand is elastic. On the contrary, if the foreign demand elasticity for domestic products is weak, then the quantity of domestic product will not rise to the level that it </w:t>
      </w:r>
      <w:r w:rsidR="00EE62BE" w:rsidRPr="00114CCB">
        <w:rPr>
          <w:rFonts w:ascii="Arial" w:hAnsi="Arial" w:cs="Arial"/>
          <w:lang w:val="en-US"/>
        </w:rPr>
        <w:t>exceeds</w:t>
      </w:r>
      <w:r w:rsidRPr="00114CCB">
        <w:rPr>
          <w:rFonts w:ascii="Arial" w:hAnsi="Arial" w:cs="Arial"/>
          <w:lang w:val="en-US"/>
        </w:rPr>
        <w:t xml:space="preserve"> the declined in the value of export caused by the cheaper prices (Dhakir </w:t>
      </w:r>
      <w:r w:rsidRPr="00114CCB">
        <w:rPr>
          <w:rFonts w:ascii="Arial" w:hAnsi="Arial" w:cs="Arial"/>
          <w:i/>
          <w:lang w:val="en-US"/>
        </w:rPr>
        <w:t xml:space="preserve">et al., </w:t>
      </w:r>
      <w:r w:rsidRPr="00114CCB">
        <w:rPr>
          <w:rFonts w:ascii="Arial" w:hAnsi="Arial" w:cs="Arial"/>
          <w:lang w:val="en-US"/>
        </w:rPr>
        <w:t xml:space="preserve">2014). From the same perspective, the case of domestic elasticity of demand is understood in similar context. If the domestic demand for foreign products is elastic, changes (increase) in prices in the local market will result to changes in the local consumers’ behavior. </w:t>
      </w:r>
      <w:r w:rsidRPr="00114CCB">
        <w:rPr>
          <w:rFonts w:ascii="Arial" w:hAnsi="Arial" w:cs="Arial"/>
          <w:lang w:val="en-US"/>
        </w:rPr>
        <w:lastRenderedPageBreak/>
        <w:t xml:space="preserve">They will switch from consuming foreign to local products, by so doing forcing down the value of imports. Thus, if the decline in the value of import is greater than the decline in the value of exports, there will be an improvement in the </w:t>
      </w:r>
      <w:r w:rsidR="00C04EAF">
        <w:rPr>
          <w:rFonts w:ascii="Arial" w:hAnsi="Arial" w:cs="Arial"/>
          <w:lang w:val="en-US"/>
        </w:rPr>
        <w:t>TB.</w:t>
      </w:r>
    </w:p>
    <w:p w14:paraId="1AA44DAC" w14:textId="44B6D29C" w:rsidR="00114CCB" w:rsidRDefault="00114CCB" w:rsidP="0066301C">
      <w:pPr>
        <w:autoSpaceDE w:val="0"/>
        <w:autoSpaceDN w:val="0"/>
        <w:adjustRightInd w:val="0"/>
        <w:spacing w:line="360" w:lineRule="auto"/>
        <w:jc w:val="both"/>
        <w:rPr>
          <w:rFonts w:ascii="Arial" w:hAnsi="Arial" w:cs="Arial"/>
          <w:lang w:val="en-US"/>
        </w:rPr>
      </w:pPr>
      <w:r w:rsidRPr="00114CCB">
        <w:rPr>
          <w:rFonts w:ascii="Arial" w:hAnsi="Arial" w:cs="Arial"/>
          <w:lang w:val="en-US"/>
        </w:rPr>
        <w:t xml:space="preserve">When a nation is face with trade balance deficit, policymakers often apply the elasticity approach to redress the situation. For this to be done, they take to consideration the responsiveness of import and export for a change in the exchange rate, to measure the extent at which a devaluation will impact the </w:t>
      </w:r>
      <w:r w:rsidR="00C04EAF">
        <w:rPr>
          <w:rFonts w:ascii="Arial" w:hAnsi="Arial" w:cs="Arial"/>
          <w:lang w:val="en-US"/>
        </w:rPr>
        <w:t xml:space="preserve">TB. </w:t>
      </w:r>
      <w:r w:rsidRPr="00114CCB">
        <w:rPr>
          <w:rFonts w:ascii="Arial" w:hAnsi="Arial" w:cs="Arial"/>
          <w:lang w:val="en-US"/>
        </w:rPr>
        <w:t xml:space="preserve">In case the foreign and domestic demands for both imports and exports are elastic, a little change in the exchange rate could have a significant impact on the </w:t>
      </w:r>
      <w:r w:rsidR="00C04EAF">
        <w:rPr>
          <w:rFonts w:ascii="Arial" w:hAnsi="Arial" w:cs="Arial"/>
          <w:lang w:val="en-US"/>
        </w:rPr>
        <w:t>TB</w:t>
      </w:r>
      <w:r w:rsidRPr="00114CCB">
        <w:rPr>
          <w:rFonts w:ascii="Arial" w:hAnsi="Arial" w:cs="Arial"/>
          <w:lang w:val="en-US"/>
        </w:rPr>
        <w:t xml:space="preserve"> (Dhakir </w:t>
      </w:r>
      <w:r w:rsidRPr="00114CCB">
        <w:rPr>
          <w:rFonts w:ascii="Arial" w:hAnsi="Arial" w:cs="Arial"/>
          <w:i/>
          <w:lang w:val="en-US"/>
        </w:rPr>
        <w:t xml:space="preserve">et al., </w:t>
      </w:r>
      <w:r w:rsidRPr="00114CCB">
        <w:rPr>
          <w:rFonts w:ascii="Arial" w:hAnsi="Arial" w:cs="Arial"/>
          <w:lang w:val="en-US"/>
        </w:rPr>
        <w:t xml:space="preserve">2014; Daniels and VanHoose, 2005). The condition for a devaluation to improve the </w:t>
      </w:r>
      <w:r w:rsidR="00C04EAF">
        <w:rPr>
          <w:rFonts w:ascii="Arial" w:hAnsi="Arial" w:cs="Arial"/>
          <w:lang w:val="en-US"/>
        </w:rPr>
        <w:t>TB</w:t>
      </w:r>
      <w:r w:rsidRPr="00114CCB">
        <w:rPr>
          <w:rFonts w:ascii="Arial" w:hAnsi="Arial" w:cs="Arial"/>
          <w:lang w:val="en-US"/>
        </w:rPr>
        <w:t xml:space="preserve"> that contributes directly to an improvement in the BoP is known as the Marshall-Lerner condition (MLC)</w:t>
      </w:r>
      <w:r w:rsidRPr="00114CCB">
        <w:rPr>
          <w:rStyle w:val="FootnoteReference"/>
          <w:rFonts w:ascii="Arial" w:hAnsi="Arial" w:cs="Arial"/>
          <w:lang w:val="en-US"/>
        </w:rPr>
        <w:footnoteReference w:id="46"/>
      </w:r>
      <w:r w:rsidRPr="00114CCB">
        <w:rPr>
          <w:rFonts w:ascii="Arial" w:hAnsi="Arial" w:cs="Arial"/>
          <w:lang w:val="en-US"/>
        </w:rPr>
        <w:t xml:space="preserve">. The MLC is </w:t>
      </w:r>
      <w:r w:rsidR="00C04EAF" w:rsidRPr="00114CCB">
        <w:rPr>
          <w:rFonts w:ascii="Arial" w:hAnsi="Arial" w:cs="Arial"/>
          <w:lang w:val="en-US"/>
        </w:rPr>
        <w:t>based</w:t>
      </w:r>
      <w:r w:rsidRPr="00114CCB">
        <w:rPr>
          <w:rFonts w:ascii="Arial" w:hAnsi="Arial" w:cs="Arial"/>
          <w:lang w:val="en-US"/>
        </w:rPr>
        <w:t xml:space="preserve"> on two main assumptions: The first being that trade was initially balance when the depreciation was done such that the foreign currency value of exports was equal the foreign currency value of imports. The second being that prices are fixed in seller’s </w:t>
      </w:r>
      <w:r w:rsidR="00C04EAF" w:rsidRPr="00114CCB">
        <w:rPr>
          <w:rFonts w:ascii="Arial" w:hAnsi="Arial" w:cs="Arial"/>
          <w:lang w:val="en-US"/>
        </w:rPr>
        <w:t>currencies;</w:t>
      </w:r>
      <w:r w:rsidRPr="00114CCB">
        <w:rPr>
          <w:rFonts w:ascii="Arial" w:hAnsi="Arial" w:cs="Arial"/>
          <w:lang w:val="en-US"/>
        </w:rPr>
        <w:t xml:space="preserve"> the supply elasticities are infinite. The effect is explain</w:t>
      </w:r>
      <w:r w:rsidR="00CD72DD">
        <w:rPr>
          <w:rFonts w:ascii="Arial" w:hAnsi="Arial" w:cs="Arial"/>
          <w:lang w:val="en-US"/>
        </w:rPr>
        <w:t>ed</w:t>
      </w:r>
      <w:r w:rsidRPr="00114CCB">
        <w:rPr>
          <w:rFonts w:ascii="Arial" w:hAnsi="Arial" w:cs="Arial"/>
          <w:lang w:val="en-US"/>
        </w:rPr>
        <w:t xml:space="preserve"> as shown on the figure below:</w:t>
      </w:r>
    </w:p>
    <w:p w14:paraId="2C446F11" w14:textId="5C9BB595" w:rsidR="00114CCB" w:rsidRPr="00114CCB" w:rsidRDefault="00D1766F" w:rsidP="0066301C">
      <w:pPr>
        <w:autoSpaceDE w:val="0"/>
        <w:autoSpaceDN w:val="0"/>
        <w:adjustRightInd w:val="0"/>
        <w:spacing w:line="360" w:lineRule="auto"/>
        <w:jc w:val="both"/>
        <w:rPr>
          <w:rFonts w:ascii="Arial" w:hAnsi="Arial" w:cs="Arial"/>
          <w:lang w:val="en-US"/>
        </w:rPr>
      </w:pPr>
      <w:r>
        <w:rPr>
          <w:noProof/>
        </w:rPr>
        <mc:AlternateContent>
          <mc:Choice Requires="wpg">
            <w:drawing>
              <wp:anchor distT="0" distB="0" distL="114300" distR="114300" simplePos="0" relativeHeight="251661312" behindDoc="0" locked="0" layoutInCell="1" allowOverlap="1" wp14:anchorId="28958146" wp14:editId="491242DB">
                <wp:simplePos x="0" y="0"/>
                <wp:positionH relativeFrom="column">
                  <wp:posOffset>-10160</wp:posOffset>
                </wp:positionH>
                <wp:positionV relativeFrom="paragraph">
                  <wp:posOffset>199390</wp:posOffset>
                </wp:positionV>
                <wp:extent cx="4744085" cy="3130550"/>
                <wp:effectExtent l="9525" t="11430" r="8890" b="10795"/>
                <wp:wrapNone/>
                <wp:docPr id="560350978" name="Group 2"/>
                <wp:cNvGraphicFramePr>
                  <a:graphicFrameLocks xmlns:a="http://schemas.openxmlformats.org/drawingml/2006/main"/>
                </wp:cNvGraphicFramePr>
                <a:graphic xmlns:a="http://schemas.openxmlformats.org/drawingml/2006/main">
                  <a:graphicData uri="http://schemas.microsoft.com/office/word/2010/wordprocessingGroup">
                    <wpg:wgp>
                      <wpg:cNvGrpSpPr>
                        <a:grpSpLocks/>
                      </wpg:cNvGrpSpPr>
                      <wpg:grpSpPr bwMode="auto">
                        <a:xfrm>
                          <a:off x="0" y="0"/>
                          <a:ext cx="4744085" cy="3130550"/>
                          <a:chOff x="0" y="0"/>
                          <a:chExt cx="47440" cy="31304"/>
                        </a:xfrm>
                      </wpg:grpSpPr>
                      <wps:wsp>
                        <wps:cNvPr id="798915166" name="Rectangle 1950090118"/>
                        <wps:cNvSpPr>
                          <a:spLocks noChangeArrowheads="1"/>
                        </wps:cNvSpPr>
                        <wps:spPr bwMode="auto">
                          <a:xfrm>
                            <a:off x="0" y="0"/>
                            <a:ext cx="47440" cy="31304"/>
                          </a:xfrm>
                          <a:prstGeom prst="rect">
                            <a:avLst/>
                          </a:prstGeom>
                          <a:solidFill>
                            <a:srgbClr val="FFFFFF"/>
                          </a:solidFill>
                          <a:ln w="12700">
                            <a:solidFill>
                              <a:srgbClr val="70AD47"/>
                            </a:solidFill>
                            <a:miter lim="800000"/>
                            <a:headEnd/>
                            <a:tailEnd/>
                          </a:ln>
                        </wps:spPr>
                        <wps:txbx>
                          <w:txbxContent>
                            <w:p w14:paraId="0EB21704" w14:textId="77777777" w:rsidR="00114CCB" w:rsidRDefault="00114CCB" w:rsidP="00114CCB"/>
                            <w:p w14:paraId="6129A60E" w14:textId="77777777" w:rsidR="00114CCB" w:rsidRDefault="00114CCB" w:rsidP="00114CCB"/>
                            <w:p w14:paraId="5C1ACC2A" w14:textId="77777777" w:rsidR="00673CE0" w:rsidRDefault="00114CCB" w:rsidP="00114CCB">
                              <w:r>
                                <w:tab/>
                              </w:r>
                              <w:r>
                                <w:tab/>
                              </w:r>
                              <w:r>
                                <w:tab/>
                                <w:t xml:space="preserve">     </w:t>
                              </w:r>
                            </w:p>
                            <w:p w14:paraId="35D3314E" w14:textId="77777777" w:rsidR="00673CE0" w:rsidRDefault="00673CE0" w:rsidP="00673CE0">
                              <w:pPr>
                                <w:ind w:left="2160"/>
                              </w:pPr>
                            </w:p>
                            <w:p w14:paraId="15D44A5E" w14:textId="51D1C98A" w:rsidR="00114CCB" w:rsidRDefault="00673CE0" w:rsidP="00673CE0">
                              <w:pPr>
                                <w:ind w:left="2160"/>
                              </w:pPr>
                              <w:r>
                                <w:t xml:space="preserve">          </w:t>
                              </w:r>
                              <w:r w:rsidR="00114CCB">
                                <w:t>A</w:t>
                              </w:r>
                              <w:r w:rsidR="00114CCB">
                                <w:tab/>
                              </w:r>
                              <w:r w:rsidR="00114CCB">
                                <w:tab/>
                                <w:t xml:space="preserve">   </w:t>
                              </w:r>
                              <w:r>
                                <w:t xml:space="preserve"> </w:t>
                              </w:r>
                              <w:r w:rsidR="00114CCB">
                                <w:t xml:space="preserve">              </w:t>
                              </w:r>
                              <w:r>
                                <w:t xml:space="preserve">   </w:t>
                              </w:r>
                              <w:r w:rsidR="00114CCB">
                                <w:t xml:space="preserve">  B</w:t>
                              </w:r>
                            </w:p>
                            <w:p w14:paraId="0C35C57A" w14:textId="77777777" w:rsidR="00114CCB" w:rsidRDefault="00114CCB" w:rsidP="00114CCB">
                              <w:pPr>
                                <w:ind w:left="1440" w:firstLine="720"/>
                              </w:pPr>
                            </w:p>
                            <w:p w14:paraId="05E59E2F" w14:textId="77777777" w:rsidR="00114CCB" w:rsidRDefault="00114CCB" w:rsidP="00114CCB">
                              <w:pPr>
                                <w:ind w:left="2880"/>
                              </w:pPr>
                            </w:p>
                            <w:p w14:paraId="54F221C7" w14:textId="6E5FC78C" w:rsidR="00114CCB" w:rsidRDefault="00114CCB" w:rsidP="00673CE0">
                              <w:pPr>
                                <w:ind w:left="2880"/>
                              </w:pPr>
                              <w:r>
                                <w:t xml:space="preserve">    </w:t>
                              </w:r>
                              <w:r w:rsidR="00673CE0">
                                <w:t xml:space="preserve">  </w:t>
                              </w:r>
                              <w:r>
                                <w:t xml:space="preserve">  C</w:t>
                              </w:r>
                            </w:p>
                            <w:p w14:paraId="6806ABAD" w14:textId="77777777" w:rsidR="00114CCB" w:rsidRDefault="00114CCB" w:rsidP="00114CCB">
                              <w:pPr>
                                <w:jc w:val="center"/>
                              </w:pPr>
                            </w:p>
                            <w:p w14:paraId="62F50AA0" w14:textId="77777777" w:rsidR="00114CCB" w:rsidRDefault="00114CCB" w:rsidP="00114CCB">
                              <w:pPr>
                                <w:jc w:val="center"/>
                              </w:pPr>
                            </w:p>
                            <w:p w14:paraId="6DA582D9" w14:textId="77777777" w:rsidR="00114CCB" w:rsidRDefault="00114CCB" w:rsidP="00114CCB">
                              <w:pPr>
                                <w:jc w:val="center"/>
                              </w:pPr>
                            </w:p>
                          </w:txbxContent>
                        </wps:txbx>
                        <wps:bodyPr rot="0" vert="horz" wrap="square" lIns="91440" tIns="45720" rIns="91440" bIns="45720" anchor="ctr" anchorCtr="0" upright="1">
                          <a:noAutofit/>
                        </wps:bodyPr>
                      </wps:wsp>
                      <wps:wsp>
                        <wps:cNvPr id="1532611035" name="Rounded Rectangle 79"/>
                        <wps:cNvSpPr>
                          <a:spLocks noChangeArrowheads="1"/>
                        </wps:cNvSpPr>
                        <wps:spPr bwMode="auto">
                          <a:xfrm>
                            <a:off x="1075" y="1398"/>
                            <a:ext cx="22374" cy="7531"/>
                          </a:xfrm>
                          <a:prstGeom prst="roundRect">
                            <a:avLst>
                              <a:gd name="adj" fmla="val 0"/>
                            </a:avLst>
                          </a:prstGeom>
                          <a:solidFill>
                            <a:srgbClr val="FFFFFF"/>
                          </a:solidFill>
                          <a:ln w="19050">
                            <a:solidFill>
                              <a:srgbClr val="70AD47"/>
                            </a:solidFill>
                            <a:miter lim="800000"/>
                            <a:headEnd/>
                            <a:tailEnd/>
                          </a:ln>
                        </wps:spPr>
                        <wps:txbx>
                          <w:txbxContent>
                            <w:p w14:paraId="026DAC28" w14:textId="77777777" w:rsidR="00114CCB" w:rsidRPr="000776FD" w:rsidRDefault="00114CCB" w:rsidP="000776FD">
                              <w:pPr>
                                <w:pStyle w:val="NoSpacing"/>
                                <w:numPr>
                                  <w:ilvl w:val="0"/>
                                  <w:numId w:val="45"/>
                                </w:numPr>
                                <w:ind w:left="142" w:hanging="142"/>
                                <w:jc w:val="both"/>
                                <w:rPr>
                                  <w:rFonts w:ascii="Arial" w:hAnsi="Arial" w:cs="Arial"/>
                                  <w:sz w:val="21"/>
                                  <w:szCs w:val="21"/>
                                </w:rPr>
                              </w:pPr>
                              <w:r w:rsidRPr="000776FD">
                                <w:rPr>
                                  <w:rFonts w:ascii="Arial" w:hAnsi="Arial" w:cs="Arial"/>
                                  <w:sz w:val="21"/>
                                  <w:szCs w:val="21"/>
                                </w:rPr>
                                <w:t>Increase the demand for home’s exports in the foreign nation.</w:t>
                              </w:r>
                            </w:p>
                            <w:p w14:paraId="4472240B" w14:textId="77777777" w:rsidR="00114CCB" w:rsidRPr="000776FD" w:rsidRDefault="00114CCB" w:rsidP="000776FD">
                              <w:pPr>
                                <w:pStyle w:val="NoSpacing"/>
                                <w:numPr>
                                  <w:ilvl w:val="0"/>
                                  <w:numId w:val="45"/>
                                </w:numPr>
                                <w:ind w:left="142" w:hanging="142"/>
                                <w:jc w:val="both"/>
                                <w:rPr>
                                  <w:rFonts w:ascii="Arial" w:hAnsi="Arial" w:cs="Arial"/>
                                  <w:sz w:val="21"/>
                                  <w:szCs w:val="21"/>
                                </w:rPr>
                              </w:pPr>
                              <w:r w:rsidRPr="000776FD">
                                <w:rPr>
                                  <w:rFonts w:ascii="Arial" w:hAnsi="Arial" w:cs="Arial"/>
                                  <w:sz w:val="21"/>
                                  <w:szCs w:val="21"/>
                                </w:rPr>
                                <w:t>Trade balance improves.</w:t>
                              </w:r>
                            </w:p>
                            <w:p w14:paraId="69DD9118" w14:textId="77777777" w:rsidR="00114CCB" w:rsidRPr="00EE62BE" w:rsidRDefault="00114CCB" w:rsidP="00114CCB">
                              <w:pPr>
                                <w:pStyle w:val="NoSpacing"/>
                                <w:ind w:left="142" w:hanging="142"/>
                                <w:rPr>
                                  <w:rFonts w:ascii="Arial" w:hAnsi="Arial" w:cs="Arial"/>
                                </w:rPr>
                              </w:pPr>
                            </w:p>
                          </w:txbxContent>
                        </wps:txbx>
                        <wps:bodyPr rot="0" vert="horz" wrap="square" lIns="91440" tIns="45720" rIns="91440" bIns="45720" anchor="ctr" anchorCtr="0" upright="1">
                          <a:noAutofit/>
                        </wps:bodyPr>
                      </wps:wsp>
                      <wps:wsp>
                        <wps:cNvPr id="1253512100" name="Rounded Rectangle 80"/>
                        <wps:cNvSpPr>
                          <a:spLocks noChangeArrowheads="1"/>
                        </wps:cNvSpPr>
                        <wps:spPr bwMode="auto">
                          <a:xfrm>
                            <a:off x="24635" y="1290"/>
                            <a:ext cx="21939" cy="8935"/>
                          </a:xfrm>
                          <a:prstGeom prst="roundRect">
                            <a:avLst>
                              <a:gd name="adj" fmla="val 0"/>
                            </a:avLst>
                          </a:prstGeom>
                          <a:solidFill>
                            <a:srgbClr val="FFFFFF"/>
                          </a:solidFill>
                          <a:ln w="19050">
                            <a:solidFill>
                              <a:srgbClr val="70AD47"/>
                            </a:solidFill>
                            <a:miter lim="800000"/>
                            <a:headEnd/>
                            <a:tailEnd/>
                          </a:ln>
                        </wps:spPr>
                        <wps:txbx>
                          <w:txbxContent>
                            <w:p w14:paraId="49217C87" w14:textId="77777777" w:rsidR="00114CCB" w:rsidRPr="000776FD" w:rsidRDefault="00114CCB" w:rsidP="00114CCB">
                              <w:pPr>
                                <w:pStyle w:val="NoSpacing"/>
                                <w:numPr>
                                  <w:ilvl w:val="0"/>
                                  <w:numId w:val="46"/>
                                </w:numPr>
                                <w:ind w:left="0" w:hanging="142"/>
                                <w:jc w:val="both"/>
                                <w:rPr>
                                  <w:rFonts w:ascii="Arial" w:hAnsi="Arial" w:cs="Arial"/>
                                  <w:sz w:val="20"/>
                                  <w:szCs w:val="20"/>
                                </w:rPr>
                              </w:pPr>
                              <w:r w:rsidRPr="000776FD">
                                <w:rPr>
                                  <w:rFonts w:ascii="Arial" w:hAnsi="Arial" w:cs="Arial"/>
                                  <w:sz w:val="20"/>
                                  <w:szCs w:val="20"/>
                                </w:rPr>
                                <w:t>Domestic currency prices for imports will rise.</w:t>
                              </w:r>
                            </w:p>
                            <w:p w14:paraId="24B317E5" w14:textId="77777777" w:rsidR="00114CCB" w:rsidRPr="000776FD" w:rsidRDefault="00114CCB" w:rsidP="00114CCB">
                              <w:pPr>
                                <w:pStyle w:val="NoSpacing"/>
                                <w:numPr>
                                  <w:ilvl w:val="0"/>
                                  <w:numId w:val="46"/>
                                </w:numPr>
                                <w:ind w:left="0" w:hanging="142"/>
                                <w:rPr>
                                  <w:rFonts w:ascii="Arial" w:hAnsi="Arial" w:cs="Arial"/>
                                  <w:sz w:val="20"/>
                                  <w:szCs w:val="20"/>
                                </w:rPr>
                              </w:pPr>
                              <w:r w:rsidRPr="000776FD">
                                <w:rPr>
                                  <w:rFonts w:ascii="Arial" w:hAnsi="Arial" w:cs="Arial"/>
                                  <w:sz w:val="20"/>
                                  <w:szCs w:val="20"/>
                                </w:rPr>
                                <w:t xml:space="preserve">Demanded volume for imports drops. </w:t>
                              </w:r>
                            </w:p>
                            <w:p w14:paraId="05A85F4C" w14:textId="77777777" w:rsidR="00114CCB" w:rsidRPr="00673CE0" w:rsidRDefault="00114CCB" w:rsidP="00114CCB">
                              <w:pPr>
                                <w:pStyle w:val="NoSpacing"/>
                                <w:numPr>
                                  <w:ilvl w:val="0"/>
                                  <w:numId w:val="46"/>
                                </w:numPr>
                                <w:ind w:left="0" w:hanging="142"/>
                                <w:rPr>
                                  <w:rFonts w:ascii="Arial" w:hAnsi="Arial" w:cs="Arial"/>
                                </w:rPr>
                              </w:pPr>
                              <w:r w:rsidRPr="000776FD">
                                <w:rPr>
                                  <w:rFonts w:ascii="Arial" w:hAnsi="Arial" w:cs="Arial"/>
                                  <w:sz w:val="20"/>
                                  <w:szCs w:val="20"/>
                                </w:rPr>
                                <w:t>Trade balance improves</w:t>
                              </w:r>
                              <w:r w:rsidRPr="00673CE0">
                                <w:rPr>
                                  <w:rFonts w:ascii="Arial" w:hAnsi="Arial" w:cs="Arial"/>
                                </w:rPr>
                                <w:t>.</w:t>
                              </w:r>
                            </w:p>
                          </w:txbxContent>
                        </wps:txbx>
                        <wps:bodyPr rot="0" vert="horz" wrap="square" lIns="91440" tIns="45720" rIns="91440" bIns="45720" anchor="ctr" anchorCtr="0" upright="1">
                          <a:noAutofit/>
                        </wps:bodyPr>
                      </wps:wsp>
                      <wps:wsp>
                        <wps:cNvPr id="120081563" name="Straight Connector 2003673000"/>
                        <wps:cNvCnPr>
                          <a:cxnSpLocks noChangeShapeType="1"/>
                        </wps:cNvCnPr>
                        <wps:spPr bwMode="auto">
                          <a:xfrm>
                            <a:off x="22698" y="19363"/>
                            <a:ext cx="0" cy="5378"/>
                          </a:xfrm>
                          <a:prstGeom prst="line">
                            <a:avLst/>
                          </a:prstGeom>
                          <a:noFill/>
                          <a:ln w="6350">
                            <a:solidFill>
                              <a:srgbClr val="000000"/>
                            </a:solidFill>
                            <a:miter lim="800000"/>
                            <a:headEnd/>
                            <a:tailEnd/>
                          </a:ln>
                          <a:extLst>
                            <a:ext uri="{909E8E84-426E-40DD-AFC4-6F175D3DCCD1}">
                              <a14:hiddenFill xmlns:a14="http://schemas.microsoft.com/office/drawing/2010/main">
                                <a:noFill/>
                              </a14:hiddenFill>
                            </a:ext>
                          </a:extLst>
                        </wps:spPr>
                        <wps:bodyPr/>
                      </wps:wsp>
                      <wps:wsp>
                        <wps:cNvPr id="2137905984" name="Rounded Rectangle 76"/>
                        <wps:cNvSpPr>
                          <a:spLocks noChangeArrowheads="1"/>
                        </wps:cNvSpPr>
                        <wps:spPr bwMode="auto">
                          <a:xfrm>
                            <a:off x="17427" y="14953"/>
                            <a:ext cx="11726" cy="4410"/>
                          </a:xfrm>
                          <a:prstGeom prst="roundRect">
                            <a:avLst>
                              <a:gd name="adj" fmla="val 0"/>
                            </a:avLst>
                          </a:prstGeom>
                          <a:solidFill>
                            <a:srgbClr val="FFFFFF"/>
                          </a:solidFill>
                          <a:ln w="19050">
                            <a:solidFill>
                              <a:srgbClr val="00B050"/>
                            </a:solidFill>
                            <a:miter lim="800000"/>
                            <a:headEnd/>
                            <a:tailEnd/>
                          </a:ln>
                        </wps:spPr>
                        <wps:txbx>
                          <w:txbxContent>
                            <w:p w14:paraId="25DDD7AF" w14:textId="77777777" w:rsidR="00114CCB" w:rsidRPr="000776FD" w:rsidRDefault="00114CCB" w:rsidP="00114CCB">
                              <w:pPr>
                                <w:pStyle w:val="NoSpacing"/>
                                <w:jc w:val="center"/>
                                <w:rPr>
                                  <w:rFonts w:ascii="Arial" w:hAnsi="Arial" w:cs="Arial"/>
                                  <w:sz w:val="20"/>
                                  <w:szCs w:val="20"/>
                                </w:rPr>
                              </w:pPr>
                              <w:r w:rsidRPr="000776FD">
                                <w:rPr>
                                  <w:rFonts w:ascii="Arial" w:hAnsi="Arial" w:cs="Arial"/>
                                  <w:sz w:val="20"/>
                                  <w:szCs w:val="20"/>
                                </w:rPr>
                                <w:t xml:space="preserve">Depreciation for home currency </w:t>
                              </w:r>
                            </w:p>
                          </w:txbxContent>
                        </wps:txbx>
                        <wps:bodyPr rot="0" vert="horz" wrap="square" lIns="91440" tIns="45720" rIns="91440" bIns="45720" anchor="ctr" anchorCtr="0" upright="1">
                          <a:noAutofit/>
                        </wps:bodyPr>
                      </wps:wsp>
                      <wps:wsp>
                        <wps:cNvPr id="1187425370" name="Rounded Rectangle 86"/>
                        <wps:cNvSpPr>
                          <a:spLocks noChangeArrowheads="1"/>
                        </wps:cNvSpPr>
                        <wps:spPr bwMode="auto">
                          <a:xfrm>
                            <a:off x="11187" y="24419"/>
                            <a:ext cx="22372" cy="6134"/>
                          </a:xfrm>
                          <a:prstGeom prst="roundRect">
                            <a:avLst>
                              <a:gd name="adj" fmla="val 0"/>
                            </a:avLst>
                          </a:prstGeom>
                          <a:solidFill>
                            <a:srgbClr val="FFFFFF"/>
                          </a:solidFill>
                          <a:ln w="19050">
                            <a:solidFill>
                              <a:srgbClr val="70AD47"/>
                            </a:solidFill>
                            <a:miter lim="800000"/>
                            <a:headEnd/>
                            <a:tailEnd/>
                          </a:ln>
                        </wps:spPr>
                        <wps:txbx>
                          <w:txbxContent>
                            <w:p w14:paraId="2F040176" w14:textId="77777777" w:rsidR="00114CCB" w:rsidRPr="000776FD" w:rsidRDefault="00114CCB" w:rsidP="00114CCB">
                              <w:pPr>
                                <w:pStyle w:val="NoSpacing"/>
                                <w:numPr>
                                  <w:ilvl w:val="0"/>
                                  <w:numId w:val="45"/>
                                </w:numPr>
                                <w:ind w:left="142" w:hanging="142"/>
                                <w:jc w:val="both"/>
                                <w:rPr>
                                  <w:rFonts w:ascii="Arial" w:hAnsi="Arial" w:cs="Arial"/>
                                  <w:sz w:val="20"/>
                                  <w:szCs w:val="20"/>
                                </w:rPr>
                              </w:pPr>
                              <w:r w:rsidRPr="000776FD">
                                <w:rPr>
                                  <w:rFonts w:ascii="Arial" w:hAnsi="Arial" w:cs="Arial"/>
                                  <w:sz w:val="20"/>
                                  <w:szCs w:val="20"/>
                                </w:rPr>
                                <w:t>The home nation must pay more for any remaining imports.</w:t>
                              </w:r>
                            </w:p>
                            <w:p w14:paraId="47B8CBC8" w14:textId="77777777" w:rsidR="00114CCB" w:rsidRPr="000776FD" w:rsidRDefault="00114CCB" w:rsidP="00114CCB">
                              <w:pPr>
                                <w:pStyle w:val="NoSpacing"/>
                                <w:numPr>
                                  <w:ilvl w:val="0"/>
                                  <w:numId w:val="45"/>
                                </w:numPr>
                                <w:ind w:left="142" w:hanging="142"/>
                                <w:jc w:val="both"/>
                                <w:rPr>
                                  <w:rFonts w:ascii="Arial" w:hAnsi="Arial" w:cs="Arial"/>
                                  <w:sz w:val="20"/>
                                  <w:szCs w:val="20"/>
                                </w:rPr>
                              </w:pPr>
                              <w:r w:rsidRPr="000776FD">
                                <w:rPr>
                                  <w:rFonts w:ascii="Arial" w:hAnsi="Arial" w:cs="Arial"/>
                                  <w:sz w:val="20"/>
                                  <w:szCs w:val="20"/>
                                </w:rPr>
                                <w:t>Trade balance deteriorates.</w:t>
                              </w:r>
                            </w:p>
                            <w:p w14:paraId="176E8F2D" w14:textId="77777777" w:rsidR="00114CCB" w:rsidRPr="00F72EAE" w:rsidRDefault="00114CCB" w:rsidP="00114CCB">
                              <w:pPr>
                                <w:pStyle w:val="NoSpacing"/>
                                <w:ind w:left="142" w:hanging="142"/>
                              </w:pPr>
                            </w:p>
                          </w:txbxContent>
                        </wps:txbx>
                        <wps:bodyPr rot="0" vert="horz" wrap="square" lIns="91440" tIns="45720" rIns="91440" bIns="45720" anchor="ctr" anchorCtr="0" upright="1">
                          <a:noAutofit/>
                        </wps:bodyPr>
                      </wps:wsp>
                      <wps:wsp>
                        <wps:cNvPr id="1110030942" name="Straight Connector 636137263"/>
                        <wps:cNvCnPr>
                          <a:cxnSpLocks noChangeShapeType="1"/>
                        </wps:cNvCnPr>
                        <wps:spPr bwMode="auto">
                          <a:xfrm>
                            <a:off x="16136" y="8928"/>
                            <a:ext cx="4518" cy="5810"/>
                          </a:xfrm>
                          <a:prstGeom prst="line">
                            <a:avLst/>
                          </a:prstGeom>
                          <a:noFill/>
                          <a:ln w="6350">
                            <a:solidFill>
                              <a:schemeClr val="dk1">
                                <a:lumMod val="100000"/>
                                <a:lumOff val="0"/>
                              </a:schemeClr>
                            </a:solidFill>
                            <a:miter lim="800000"/>
                            <a:headEnd/>
                            <a:tailEnd/>
                          </a:ln>
                          <a:extLst>
                            <a:ext uri="{909E8E84-426E-40DD-AFC4-6F175D3DCCD1}">
                              <a14:hiddenFill xmlns:a14="http://schemas.microsoft.com/office/drawing/2010/main">
                                <a:noFill/>
                              </a14:hiddenFill>
                            </a:ext>
                          </a:extLst>
                        </wps:spPr>
                        <wps:bodyPr/>
                      </wps:wsp>
                      <wps:wsp>
                        <wps:cNvPr id="660130457" name="Straight Connector 904404426"/>
                        <wps:cNvCnPr>
                          <a:cxnSpLocks noChangeShapeType="1"/>
                        </wps:cNvCnPr>
                        <wps:spPr bwMode="auto">
                          <a:xfrm flipH="1">
                            <a:off x="26678" y="10219"/>
                            <a:ext cx="8284" cy="4519"/>
                          </a:xfrm>
                          <a:prstGeom prst="line">
                            <a:avLst/>
                          </a:prstGeom>
                          <a:noFill/>
                          <a:ln w="6350">
                            <a:solidFill>
                              <a:schemeClr val="dk1">
                                <a:lumMod val="100000"/>
                                <a:lumOff val="0"/>
                              </a:schemeClr>
                            </a:solidFill>
                            <a:miter lim="800000"/>
                            <a:headEnd/>
                            <a:tailEnd/>
                          </a:ln>
                          <a:extLst>
                            <a:ext uri="{909E8E84-426E-40DD-AFC4-6F175D3DCCD1}">
                              <a14:hiddenFill xmlns:a14="http://schemas.microsoft.com/office/drawing/2010/main">
                                <a:noFill/>
                              </a14:hiddenFill>
                            </a:ext>
                          </a:extLst>
                        </wps:spPr>
                        <wps:bodyPr/>
                      </wps:wsp>
                    </wpg:wgp>
                  </a:graphicData>
                </a:graphic>
                <wp14:sizeRelH relativeFrom="page">
                  <wp14:pctWidth>0</wp14:pctWidth>
                </wp14:sizeRelH>
                <wp14:sizeRelV relativeFrom="page">
                  <wp14:pctHeight>0</wp14:pctHeight>
                </wp14:sizeRelV>
              </wp:anchor>
            </w:drawing>
          </mc:Choice>
          <mc:Fallback>
            <w:pict>
              <v:group w14:anchorId="28958146" id="Group 2" o:spid="_x0000_s1039" style="position:absolute;left:0;text-align:left;margin-left:-.8pt;margin-top:15.7pt;width:373.55pt;height:246.5pt;z-index:251661312" coordsize="47440,31304"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">
                <v:rect id="Rectangle 1950090118" o:spid="_x0000_s1040" style="position:absolute;width:47440;height:31304;visibility:visible;mso-wrap-style:square;v-text-anchor:middl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" strokecolor="#70ad47" strokeweight="1pt">
                  <v:textbox>
                    <w:txbxContent>
                      <w:p w14:paraId="0EB21704" w14:textId="77777777" w:rsidR="00114CCB" w:rsidRDefault="00114CCB" w:rsidP="00114CCB"/>
                      <w:p w14:paraId="6129A60E" w14:textId="77777777" w:rsidR="00114CCB" w:rsidRDefault="00114CCB" w:rsidP="00114CCB"/>
                      <w:p w14:paraId="5C1ACC2A" w14:textId="77777777" w:rsidR="00673CE0" w:rsidRDefault="00114CCB" w:rsidP="00114CCB">
                        <w:r>
                          <w:tab/>
                        </w:r>
                        <w:r>
                          <w:tab/>
                        </w:r>
                        <w:r>
                          <w:tab/>
                          <w:t xml:space="preserve">     </w:t>
                        </w:r>
                      </w:p>
                      <w:p w14:paraId="35D3314E" w14:textId="77777777" w:rsidR="00673CE0" w:rsidRDefault="00673CE0" w:rsidP="00673CE0">
                        <w:pPr>
                          <w:ind w:left="2160"/>
                        </w:pPr>
                      </w:p>
                      <w:p w14:paraId="15D44A5E" w14:textId="51D1C98A" w:rsidR="00114CCB" w:rsidRDefault="00673CE0" w:rsidP="00673CE0">
                        <w:pPr>
                          <w:ind w:left="2160"/>
                        </w:pPr>
                        <w:r>
                          <w:t xml:space="preserve">          </w:t>
                        </w:r>
                        <w:r w:rsidR="00114CCB">
                          <w:t>A</w:t>
                        </w:r>
                        <w:r w:rsidR="00114CCB">
                          <w:tab/>
                        </w:r>
                        <w:r w:rsidR="00114CCB">
                          <w:tab/>
                          <w:t xml:space="preserve">   </w:t>
                        </w:r>
                        <w:r>
                          <w:t xml:space="preserve"> </w:t>
                        </w:r>
                        <w:r w:rsidR="00114CCB">
                          <w:t xml:space="preserve">              </w:t>
                        </w:r>
                        <w:r>
                          <w:t xml:space="preserve">   </w:t>
                        </w:r>
                        <w:r w:rsidR="00114CCB">
                          <w:t xml:space="preserve">  B</w:t>
                        </w:r>
                      </w:p>
                      <w:p w14:paraId="0C35C57A" w14:textId="77777777" w:rsidR="00114CCB" w:rsidRDefault="00114CCB" w:rsidP="00114CCB">
                        <w:pPr>
                          <w:ind w:left="1440" w:firstLine="720"/>
                        </w:pPr>
                      </w:p>
                      <w:p w14:paraId="05E59E2F" w14:textId="77777777" w:rsidR="00114CCB" w:rsidRDefault="00114CCB" w:rsidP="00114CCB">
                        <w:pPr>
                          <w:ind w:left="2880"/>
                        </w:pPr>
                      </w:p>
                      <w:p w14:paraId="54F221C7" w14:textId="6E5FC78C" w:rsidR="00114CCB" w:rsidRDefault="00114CCB" w:rsidP="00673CE0">
                        <w:pPr>
                          <w:ind w:left="2880"/>
                        </w:pPr>
                        <w:r>
                          <w:t xml:space="preserve">    </w:t>
                        </w:r>
                        <w:r w:rsidR="00673CE0">
                          <w:t xml:space="preserve">  </w:t>
                        </w:r>
                        <w:r>
                          <w:t xml:space="preserve">  C</w:t>
                        </w:r>
                      </w:p>
                      <w:p w14:paraId="6806ABAD" w14:textId="77777777" w:rsidR="00114CCB" w:rsidRDefault="00114CCB" w:rsidP="00114CCB">
                        <w:pPr>
                          <w:jc w:val="center"/>
                        </w:pPr>
                      </w:p>
                      <w:p w14:paraId="62F50AA0" w14:textId="77777777" w:rsidR="00114CCB" w:rsidRDefault="00114CCB" w:rsidP="00114CCB">
                        <w:pPr>
                          <w:jc w:val="center"/>
                        </w:pPr>
                      </w:p>
                      <w:p w14:paraId="6DA582D9" w14:textId="77777777" w:rsidR="00114CCB" w:rsidRDefault="00114CCB" w:rsidP="00114CCB">
                        <w:pPr>
                          <w:jc w:val="center"/>
                        </w:pPr>
                      </w:p>
                    </w:txbxContent>
                  </v:textbox>
                </v:rect>
                <v:roundrect id="Rounded Rectangle 79" o:spid="_x0000_s1041" style="position:absolute;left:1075;top:1398;width:22374;height:7531;visibility:visible;mso-wrap-style:square;v-text-anchor:middle" arcsize="0"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" strokecolor="#70ad47" strokeweight="1.5pt">
                  <v:stroke joinstyle="miter"/>
                  <v:textbox>
                    <w:txbxContent>
                      <w:p w14:paraId="026DAC28" w14:textId="77777777" w:rsidR="00114CCB" w:rsidRPr="000776FD" w:rsidRDefault="00114CCB" w:rsidP="000776FD">
                        <w:pPr>
                          <w:pStyle w:val="NoSpacing"/>
                          <w:numPr>
                            <w:ilvl w:val="0"/>
                            <w:numId w:val="45"/>
                          </w:numPr>
                          <w:ind w:left="142" w:hanging="142"/>
                          <w:jc w:val="both"/>
                          <w:rPr>
                            <w:rFonts w:ascii="Arial" w:hAnsi="Arial" w:cs="Arial"/>
                            <w:sz w:val="21"/>
                            <w:szCs w:val="21"/>
                          </w:rPr>
                        </w:pPr>
                        <w:r w:rsidRPr="000776FD">
                          <w:rPr>
                            <w:rFonts w:ascii="Arial" w:hAnsi="Arial" w:cs="Arial"/>
                            <w:sz w:val="21"/>
                            <w:szCs w:val="21"/>
                          </w:rPr>
                          <w:t>Increase the demand for home’s exports in the foreign nation.</w:t>
                        </w:r>
                      </w:p>
                      <w:p w14:paraId="4472240B" w14:textId="77777777" w:rsidR="00114CCB" w:rsidRPr="000776FD" w:rsidRDefault="00114CCB" w:rsidP="000776FD">
                        <w:pPr>
                          <w:pStyle w:val="NoSpacing"/>
                          <w:numPr>
                            <w:ilvl w:val="0"/>
                            <w:numId w:val="45"/>
                          </w:numPr>
                          <w:ind w:left="142" w:hanging="142"/>
                          <w:jc w:val="both"/>
                          <w:rPr>
                            <w:rFonts w:ascii="Arial" w:hAnsi="Arial" w:cs="Arial"/>
                            <w:sz w:val="21"/>
                            <w:szCs w:val="21"/>
                          </w:rPr>
                        </w:pPr>
                        <w:r w:rsidRPr="000776FD">
                          <w:rPr>
                            <w:rFonts w:ascii="Arial" w:hAnsi="Arial" w:cs="Arial"/>
                            <w:sz w:val="21"/>
                            <w:szCs w:val="21"/>
                          </w:rPr>
                          <w:t>Trade balance improves.</w:t>
                        </w:r>
                      </w:p>
                      <w:p w14:paraId="69DD9118" w14:textId="77777777" w:rsidR="00114CCB" w:rsidRPr="00EE62BE" w:rsidRDefault="00114CCB" w:rsidP="00114CCB">
                        <w:pPr>
                          <w:pStyle w:val="NoSpacing"/>
                          <w:ind w:left="142" w:hanging="142"/>
                          <w:rPr>
                            <w:rFonts w:ascii="Arial" w:hAnsi="Arial" w:cs="Arial"/>
                          </w:rPr>
                        </w:pPr>
                      </w:p>
                    </w:txbxContent>
                  </v:textbox>
                </v:roundrect>
                <v:roundrect id="Rounded Rectangle 80" o:spid="_x0000_s1042" style="position:absolute;left:24635;top:1290;width:21939;height:8935;visibility:visible;mso-wrap-style:square;v-text-anchor:middle" arcsize="0"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" strokecolor="#70ad47" strokeweight="1.5pt">
                  <v:stroke joinstyle="miter"/>
                  <v:textbox>
                    <w:txbxContent>
                      <w:p w14:paraId="49217C87" w14:textId="77777777" w:rsidR="00114CCB" w:rsidRPr="000776FD" w:rsidRDefault="00114CCB" w:rsidP="00114CCB">
                        <w:pPr>
                          <w:pStyle w:val="NoSpacing"/>
                          <w:numPr>
                            <w:ilvl w:val="0"/>
                            <w:numId w:val="46"/>
                          </w:numPr>
                          <w:ind w:left="0" w:hanging="142"/>
                          <w:jc w:val="both"/>
                          <w:rPr>
                            <w:rFonts w:ascii="Arial" w:hAnsi="Arial" w:cs="Arial"/>
                            <w:sz w:val="20"/>
                            <w:szCs w:val="20"/>
                          </w:rPr>
                        </w:pPr>
                        <w:r w:rsidRPr="000776FD">
                          <w:rPr>
                            <w:rFonts w:ascii="Arial" w:hAnsi="Arial" w:cs="Arial"/>
                            <w:sz w:val="20"/>
                            <w:szCs w:val="20"/>
                          </w:rPr>
                          <w:t>Domestic currency prices for imports will rise.</w:t>
                        </w:r>
                      </w:p>
                      <w:p w14:paraId="24B317E5" w14:textId="77777777" w:rsidR="00114CCB" w:rsidRPr="000776FD" w:rsidRDefault="00114CCB" w:rsidP="00114CCB">
                        <w:pPr>
                          <w:pStyle w:val="NoSpacing"/>
                          <w:numPr>
                            <w:ilvl w:val="0"/>
                            <w:numId w:val="46"/>
                          </w:numPr>
                          <w:ind w:left="0" w:hanging="142"/>
                          <w:rPr>
                            <w:rFonts w:ascii="Arial" w:hAnsi="Arial" w:cs="Arial"/>
                            <w:sz w:val="20"/>
                            <w:szCs w:val="20"/>
                          </w:rPr>
                        </w:pPr>
                        <w:r w:rsidRPr="000776FD">
                          <w:rPr>
                            <w:rFonts w:ascii="Arial" w:hAnsi="Arial" w:cs="Arial"/>
                            <w:sz w:val="20"/>
                            <w:szCs w:val="20"/>
                          </w:rPr>
                          <w:t xml:space="preserve">Demanded volume for imports drops. </w:t>
                        </w:r>
                      </w:p>
                      <w:p w14:paraId="05A85F4C" w14:textId="77777777" w:rsidR="00114CCB" w:rsidRPr="00673CE0" w:rsidRDefault="00114CCB" w:rsidP="00114CCB">
                        <w:pPr>
                          <w:pStyle w:val="NoSpacing"/>
                          <w:numPr>
                            <w:ilvl w:val="0"/>
                            <w:numId w:val="46"/>
                          </w:numPr>
                          <w:ind w:left="0" w:hanging="142"/>
                          <w:rPr>
                            <w:rFonts w:ascii="Arial" w:hAnsi="Arial" w:cs="Arial"/>
                          </w:rPr>
                        </w:pPr>
                        <w:r w:rsidRPr="000776FD">
                          <w:rPr>
                            <w:rFonts w:ascii="Arial" w:hAnsi="Arial" w:cs="Arial"/>
                            <w:sz w:val="20"/>
                            <w:szCs w:val="20"/>
                          </w:rPr>
                          <w:t>Trade balance improves</w:t>
                        </w:r>
                        <w:r w:rsidRPr="00673CE0">
                          <w:rPr>
                            <w:rFonts w:ascii="Arial" w:hAnsi="Arial" w:cs="Arial"/>
                          </w:rPr>
                          <w:t>.</w:t>
                        </w:r>
                      </w:p>
                    </w:txbxContent>
                  </v:textbox>
                </v:roundrect>
                <v:line id="Straight Connector 2003673000" o:spid="_x0000_s1043" style="position:absolute;visibility:visible;mso-wrap-style:square" from="22698,19363" to="22698,24741"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" strokeweight=".5pt">
                  <v:stroke joinstyle="miter"/>
                </v:line>
                <v:roundrect id="Rounded Rectangle 76" o:spid="_x0000_s1044" style="position:absolute;left:17427;top:14953;width:11726;height:4410;visibility:visible;mso-wrap-style:square;v-text-anchor:middle" arcsize="0"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" strokecolor="#00b050" strokeweight="1.5pt">
                  <v:stroke joinstyle="miter"/>
                  <v:textbox>
                    <w:txbxContent>
                      <w:p w14:paraId="25DDD7AF" w14:textId="77777777" w:rsidR="00114CCB" w:rsidRPr="000776FD" w:rsidRDefault="00114CCB" w:rsidP="00114CCB">
                        <w:pPr>
                          <w:pStyle w:val="NoSpacing"/>
                          <w:jc w:val="center"/>
                          <w:rPr>
                            <w:rFonts w:ascii="Arial" w:hAnsi="Arial" w:cs="Arial"/>
                            <w:sz w:val="20"/>
                            <w:szCs w:val="20"/>
                          </w:rPr>
                        </w:pPr>
                        <w:r w:rsidRPr="000776FD">
                          <w:rPr>
                            <w:rFonts w:ascii="Arial" w:hAnsi="Arial" w:cs="Arial"/>
                            <w:sz w:val="20"/>
                            <w:szCs w:val="20"/>
                          </w:rPr>
                          <w:t xml:space="preserve">Depreciation for home currency </w:t>
                        </w:r>
                      </w:p>
                    </w:txbxContent>
                  </v:textbox>
                </v:roundrect>
                <v:roundrect id="Rounded Rectangle 86" o:spid="_x0000_s1045" style="position:absolute;left:11187;top:24419;width:22372;height:6134;visibility:visible;mso-wrap-style:square;v-text-anchor:middle" arcsize="0"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" strokecolor="#70ad47" strokeweight="1.5pt">
                  <v:stroke joinstyle="miter"/>
                  <v:textbox>
                    <w:txbxContent>
                      <w:p w14:paraId="2F040176" w14:textId="77777777" w:rsidR="00114CCB" w:rsidRPr="000776FD" w:rsidRDefault="00114CCB" w:rsidP="00114CCB">
                        <w:pPr>
                          <w:pStyle w:val="NoSpacing"/>
                          <w:numPr>
                            <w:ilvl w:val="0"/>
                            <w:numId w:val="45"/>
                          </w:numPr>
                          <w:ind w:left="142" w:hanging="142"/>
                          <w:jc w:val="both"/>
                          <w:rPr>
                            <w:rFonts w:ascii="Arial" w:hAnsi="Arial" w:cs="Arial"/>
                            <w:sz w:val="20"/>
                            <w:szCs w:val="20"/>
                          </w:rPr>
                        </w:pPr>
                        <w:r w:rsidRPr="000776FD">
                          <w:rPr>
                            <w:rFonts w:ascii="Arial" w:hAnsi="Arial" w:cs="Arial"/>
                            <w:sz w:val="20"/>
                            <w:szCs w:val="20"/>
                          </w:rPr>
                          <w:t>The home nation must pay more for any remaining imports.</w:t>
                        </w:r>
                      </w:p>
                      <w:p w14:paraId="47B8CBC8" w14:textId="77777777" w:rsidR="00114CCB" w:rsidRPr="000776FD" w:rsidRDefault="00114CCB" w:rsidP="00114CCB">
                        <w:pPr>
                          <w:pStyle w:val="NoSpacing"/>
                          <w:numPr>
                            <w:ilvl w:val="0"/>
                            <w:numId w:val="45"/>
                          </w:numPr>
                          <w:ind w:left="142" w:hanging="142"/>
                          <w:jc w:val="both"/>
                          <w:rPr>
                            <w:rFonts w:ascii="Arial" w:hAnsi="Arial" w:cs="Arial"/>
                            <w:sz w:val="20"/>
                            <w:szCs w:val="20"/>
                          </w:rPr>
                        </w:pPr>
                        <w:r w:rsidRPr="000776FD">
                          <w:rPr>
                            <w:rFonts w:ascii="Arial" w:hAnsi="Arial" w:cs="Arial"/>
                            <w:sz w:val="20"/>
                            <w:szCs w:val="20"/>
                          </w:rPr>
                          <w:t>Trade balance deteriorates.</w:t>
                        </w:r>
                      </w:p>
                      <w:p w14:paraId="176E8F2D" w14:textId="77777777" w:rsidR="00114CCB" w:rsidRPr="00F72EAE" w:rsidRDefault="00114CCB" w:rsidP="00114CCB">
                        <w:pPr>
                          <w:pStyle w:val="NoSpacing"/>
                          <w:ind w:left="142" w:hanging="142"/>
                        </w:pPr>
                      </w:p>
                    </w:txbxContent>
                  </v:textbox>
                </v:roundrect>
                <v:line id="Straight Connector 636137263" o:spid="_x0000_s1046" style="position:absolute;visibility:visible;mso-wrap-style:square" from="16136,8928" to="20654,14738"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" strokecolor="black [3200]" strokeweight=".5pt">
                  <v:stroke joinstyle="miter"/>
                </v:line>
                <v:line id="Straight Connector 904404426" o:spid="_x0000_s1047" style="position:absolute;flip:x;visibility:visible;mso-wrap-style:square" from="26678,10219" to="34962,14738"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" strokecolor="black [3200]" strokeweight=".5pt">
                  <v:stroke joinstyle="miter"/>
                </v:line>
              </v:group>
            </w:pict>
          </mc:Fallback>
        </mc:AlternateContent>
      </w:r>
      <w:r w:rsidR="00114CCB" w:rsidRPr="00114CCB">
        <w:rPr>
          <w:rFonts w:ascii="Arial" w:hAnsi="Arial" w:cs="Arial"/>
          <w:b/>
          <w:lang w:val="en-US"/>
        </w:rPr>
        <w:t xml:space="preserve">Figure </w:t>
      </w:r>
      <w:r w:rsidR="00C04EAF">
        <w:rPr>
          <w:rFonts w:ascii="Arial" w:hAnsi="Arial" w:cs="Arial"/>
          <w:b/>
          <w:lang w:val="en-US"/>
        </w:rPr>
        <w:t>2.2</w:t>
      </w:r>
      <w:r w:rsidR="00114CCB" w:rsidRPr="00114CCB">
        <w:rPr>
          <w:rFonts w:ascii="Arial" w:hAnsi="Arial" w:cs="Arial"/>
          <w:b/>
          <w:lang w:val="en-US"/>
        </w:rPr>
        <w:t>: Marshall-Lerner Condition</w:t>
      </w:r>
      <w:r w:rsidR="00114CCB" w:rsidRPr="00114CCB">
        <w:rPr>
          <w:rFonts w:ascii="Arial" w:hAnsi="Arial" w:cs="Arial"/>
          <w:lang w:val="en-US"/>
        </w:rPr>
        <w:t>.</w:t>
      </w:r>
    </w:p>
    <w:p w14:paraId="58659FC3" w14:textId="77777777" w:rsidR="00114CCB" w:rsidRPr="00114CCB" w:rsidRDefault="00114CCB" w:rsidP="0066301C">
      <w:pPr>
        <w:autoSpaceDE w:val="0"/>
        <w:autoSpaceDN w:val="0"/>
        <w:adjustRightInd w:val="0"/>
        <w:spacing w:line="360" w:lineRule="auto"/>
        <w:jc w:val="both"/>
        <w:rPr>
          <w:rFonts w:ascii="Arial" w:hAnsi="Arial" w:cs="Arial"/>
          <w:lang w:val="en-US"/>
        </w:rPr>
      </w:pPr>
    </w:p>
    <w:p w14:paraId="4DAEEBB5" w14:textId="77777777" w:rsidR="00114CCB" w:rsidRPr="00114CCB" w:rsidRDefault="00114CCB" w:rsidP="0066301C">
      <w:pPr>
        <w:autoSpaceDE w:val="0"/>
        <w:autoSpaceDN w:val="0"/>
        <w:adjustRightInd w:val="0"/>
        <w:spacing w:line="360" w:lineRule="auto"/>
        <w:jc w:val="both"/>
        <w:rPr>
          <w:rFonts w:ascii="Arial" w:hAnsi="Arial" w:cs="Arial"/>
          <w:lang w:val="en-US"/>
        </w:rPr>
      </w:pPr>
    </w:p>
    <w:p w14:paraId="4A955FDC" w14:textId="77777777" w:rsidR="00114CCB" w:rsidRPr="00114CCB" w:rsidRDefault="00114CCB" w:rsidP="0066301C">
      <w:pPr>
        <w:autoSpaceDE w:val="0"/>
        <w:autoSpaceDN w:val="0"/>
        <w:adjustRightInd w:val="0"/>
        <w:spacing w:line="360" w:lineRule="auto"/>
        <w:jc w:val="both"/>
        <w:rPr>
          <w:rFonts w:ascii="Arial" w:hAnsi="Arial" w:cs="Arial"/>
          <w:lang w:val="en-US"/>
        </w:rPr>
      </w:pPr>
    </w:p>
    <w:p w14:paraId="5F8B6458" w14:textId="77777777" w:rsidR="00114CCB" w:rsidRPr="00114CCB" w:rsidRDefault="00114CCB" w:rsidP="0066301C">
      <w:pPr>
        <w:autoSpaceDE w:val="0"/>
        <w:autoSpaceDN w:val="0"/>
        <w:adjustRightInd w:val="0"/>
        <w:spacing w:line="360" w:lineRule="auto"/>
        <w:jc w:val="both"/>
        <w:rPr>
          <w:rFonts w:ascii="Arial" w:hAnsi="Arial" w:cs="Arial"/>
          <w:lang w:val="en-US"/>
        </w:rPr>
      </w:pPr>
    </w:p>
    <w:p w14:paraId="0195739E" w14:textId="77777777" w:rsidR="00114CCB" w:rsidRPr="00114CCB" w:rsidRDefault="00114CCB" w:rsidP="0066301C">
      <w:pPr>
        <w:autoSpaceDE w:val="0"/>
        <w:autoSpaceDN w:val="0"/>
        <w:adjustRightInd w:val="0"/>
        <w:spacing w:line="360" w:lineRule="auto"/>
        <w:jc w:val="both"/>
        <w:rPr>
          <w:rFonts w:ascii="Arial" w:hAnsi="Arial" w:cs="Arial"/>
          <w:lang w:val="en-US"/>
        </w:rPr>
      </w:pPr>
    </w:p>
    <w:p w14:paraId="5D811A3C" w14:textId="68F98F53" w:rsidR="00114CCB" w:rsidRDefault="00673CE0" w:rsidP="0066301C">
      <w:pPr>
        <w:tabs>
          <w:tab w:val="left" w:pos="8325"/>
        </w:tabs>
        <w:autoSpaceDE w:val="0"/>
        <w:autoSpaceDN w:val="0"/>
        <w:adjustRightInd w:val="0"/>
        <w:spacing w:line="360" w:lineRule="auto"/>
        <w:jc w:val="both"/>
        <w:rPr>
          <w:rFonts w:ascii="Arial" w:hAnsi="Arial" w:cs="Arial"/>
          <w:lang w:val="en-US"/>
        </w:rPr>
      </w:pPr>
      <w:r>
        <w:rPr>
          <w:rFonts w:ascii="Arial" w:hAnsi="Arial" w:cs="Arial"/>
          <w:lang w:val="en-US"/>
        </w:rPr>
        <w:tab/>
      </w:r>
    </w:p>
    <w:p w14:paraId="158ACB16" w14:textId="77777777" w:rsidR="00673CE0" w:rsidRDefault="00673CE0" w:rsidP="0066301C">
      <w:pPr>
        <w:tabs>
          <w:tab w:val="left" w:pos="8325"/>
        </w:tabs>
        <w:autoSpaceDE w:val="0"/>
        <w:autoSpaceDN w:val="0"/>
        <w:adjustRightInd w:val="0"/>
        <w:spacing w:line="360" w:lineRule="auto"/>
        <w:jc w:val="both"/>
        <w:rPr>
          <w:rFonts w:ascii="Arial" w:hAnsi="Arial" w:cs="Arial"/>
          <w:lang w:val="en-US"/>
        </w:rPr>
      </w:pPr>
    </w:p>
    <w:p w14:paraId="2938D565" w14:textId="77777777" w:rsidR="00673CE0" w:rsidRPr="00114CCB" w:rsidRDefault="00673CE0" w:rsidP="0066301C">
      <w:pPr>
        <w:tabs>
          <w:tab w:val="left" w:pos="8325"/>
        </w:tabs>
        <w:autoSpaceDE w:val="0"/>
        <w:autoSpaceDN w:val="0"/>
        <w:adjustRightInd w:val="0"/>
        <w:spacing w:line="360" w:lineRule="auto"/>
        <w:jc w:val="both"/>
        <w:rPr>
          <w:rFonts w:ascii="Arial" w:hAnsi="Arial" w:cs="Arial"/>
          <w:lang w:val="en-US"/>
        </w:rPr>
      </w:pPr>
    </w:p>
    <w:p w14:paraId="3CD86596" w14:textId="77777777" w:rsidR="00114CCB" w:rsidRPr="00114CCB" w:rsidRDefault="00114CCB" w:rsidP="0066301C">
      <w:pPr>
        <w:pStyle w:val="ListParagraph"/>
        <w:autoSpaceDE w:val="0"/>
        <w:autoSpaceDN w:val="0"/>
        <w:adjustRightInd w:val="0"/>
        <w:spacing w:after="0" w:line="360" w:lineRule="auto"/>
        <w:ind w:left="0"/>
        <w:jc w:val="both"/>
        <w:rPr>
          <w:rFonts w:ascii="Arial" w:eastAsiaTheme="minorHAnsi" w:hAnsi="Arial" w:cs="Arial"/>
          <w:lang w:val="en-US" w:eastAsia="en-US"/>
        </w:rPr>
      </w:pPr>
    </w:p>
    <w:p w14:paraId="1DA9D89E" w14:textId="33DCA208" w:rsidR="00EC689C" w:rsidRPr="00EC689C" w:rsidRDefault="00EC689C" w:rsidP="00EC689C">
      <w:pPr>
        <w:autoSpaceDE w:val="0"/>
        <w:autoSpaceDN w:val="0"/>
        <w:adjustRightInd w:val="0"/>
        <w:spacing w:line="240" w:lineRule="auto"/>
        <w:jc w:val="both"/>
        <w:rPr>
          <w:rFonts w:ascii="Arial" w:hAnsi="Arial" w:cs="Arial"/>
          <w:sz w:val="20"/>
          <w:szCs w:val="20"/>
        </w:rPr>
      </w:pPr>
      <w:r w:rsidRPr="00EC689C">
        <w:rPr>
          <w:rFonts w:ascii="Arial" w:hAnsi="Arial" w:cs="Arial"/>
          <w:i/>
          <w:iCs/>
          <w:sz w:val="20"/>
          <w:szCs w:val="20"/>
        </w:rPr>
        <w:t>Source:</w:t>
      </w:r>
      <w:r w:rsidRPr="00EC689C">
        <w:rPr>
          <w:rFonts w:ascii="Arial" w:hAnsi="Arial" w:cs="Arial"/>
          <w:sz w:val="20"/>
          <w:szCs w:val="20"/>
        </w:rPr>
        <w:t xml:space="preserve"> </w:t>
      </w:r>
      <w:r w:rsidRPr="00EC689C">
        <w:rPr>
          <w:rFonts w:ascii="Arial" w:hAnsi="Arial" w:cs="Arial"/>
          <w:sz w:val="20"/>
          <w:szCs w:val="20"/>
          <w:lang w:val="en-US"/>
        </w:rPr>
        <w:t xml:space="preserve">Dhakir </w:t>
      </w:r>
      <w:r w:rsidRPr="00EC689C">
        <w:rPr>
          <w:rFonts w:ascii="Arial" w:hAnsi="Arial" w:cs="Arial"/>
          <w:i/>
          <w:sz w:val="20"/>
          <w:szCs w:val="20"/>
          <w:lang w:val="en-US"/>
        </w:rPr>
        <w:t xml:space="preserve">et al. </w:t>
      </w:r>
      <w:r w:rsidRPr="00EC689C">
        <w:rPr>
          <w:rFonts w:ascii="Arial" w:hAnsi="Arial" w:cs="Arial"/>
          <w:iCs/>
          <w:sz w:val="20"/>
          <w:szCs w:val="20"/>
          <w:lang w:val="en-US"/>
        </w:rPr>
        <w:t>(</w:t>
      </w:r>
      <w:r w:rsidRPr="00EC689C">
        <w:rPr>
          <w:rFonts w:ascii="Arial" w:hAnsi="Arial" w:cs="Arial"/>
          <w:sz w:val="20"/>
          <w:szCs w:val="20"/>
          <w:lang w:val="en-US"/>
        </w:rPr>
        <w:t>2014)</w:t>
      </w:r>
      <w:r w:rsidRPr="00EC689C">
        <w:rPr>
          <w:rFonts w:ascii="Arial" w:hAnsi="Arial" w:cs="Arial"/>
          <w:sz w:val="20"/>
          <w:szCs w:val="20"/>
        </w:rPr>
        <w:t>.</w:t>
      </w:r>
    </w:p>
    <w:p w14:paraId="17F0CA4A" w14:textId="54C6132B" w:rsidR="00114CCB" w:rsidRPr="00114CCB" w:rsidRDefault="00114CCB" w:rsidP="0066301C">
      <w:pPr>
        <w:spacing w:line="360" w:lineRule="auto"/>
        <w:jc w:val="both"/>
        <w:rPr>
          <w:rFonts w:ascii="Arial" w:hAnsi="Arial" w:cs="Arial"/>
          <w:lang w:val="en-US"/>
        </w:rPr>
      </w:pPr>
      <w:r w:rsidRPr="00114CCB">
        <w:rPr>
          <w:rFonts w:ascii="Arial" w:hAnsi="Arial" w:cs="Arial"/>
          <w:lang w:val="en-US"/>
        </w:rPr>
        <w:t xml:space="preserve">From the above figure, in the event of a currency depreciation, the </w:t>
      </w:r>
      <w:r w:rsidR="000776FD">
        <w:rPr>
          <w:rFonts w:ascii="Arial" w:hAnsi="Arial" w:cs="Arial"/>
          <w:lang w:val="en-US"/>
        </w:rPr>
        <w:t>TB</w:t>
      </w:r>
      <w:r w:rsidRPr="00114CCB">
        <w:rPr>
          <w:rFonts w:ascii="Arial" w:hAnsi="Arial" w:cs="Arial"/>
          <w:lang w:val="en-US"/>
        </w:rPr>
        <w:t xml:space="preserve"> improves when the volume effect (as seen in A and B) outweighs price effect (denoted C). Hence, ML = (A + B) &gt; (C). With </w:t>
      </w:r>
      <w:r w:rsidRPr="00114CCB">
        <w:rPr>
          <w:rFonts w:ascii="Arial" w:hAnsi="Arial" w:cs="Arial"/>
          <w:lang w:val="en-US"/>
        </w:rPr>
        <w:lastRenderedPageBreak/>
        <w:t xml:space="preserve">a small 1% depreciation, leads to a 1% fall in the foreign price of domestic exports.  In case the demand for exports increases by less than 1%, the foreign exchange rate earning will fall. If the demand rises beyond 1%, foreign exchange earnings will rise. If demand increases by exactly 1%, foreign exchange earnings will be the same. In this last scenario of unitary elasticity of demand, it will require a little reduction in import demand (an elasticity of demand for imports slightly above zero; </w:t>
      </w:r>
      <w:r w:rsidRPr="00114CCB">
        <w:rPr>
          <w:rFonts w:ascii="Arial" w:hAnsi="Arial" w:cs="Arial"/>
          <w:i/>
          <w:lang w:val="en-US"/>
        </w:rPr>
        <w:t>ƞ</w:t>
      </w:r>
      <w:r w:rsidRPr="00114CCB">
        <w:rPr>
          <w:rFonts w:ascii="Arial" w:hAnsi="Arial" w:cs="Arial"/>
          <w:i/>
          <w:vertAlign w:val="subscript"/>
          <w:lang w:val="en-US"/>
        </w:rPr>
        <w:t xml:space="preserve">m </w:t>
      </w:r>
      <w:r w:rsidRPr="00114CCB">
        <w:rPr>
          <w:rFonts w:ascii="Arial" w:hAnsi="Arial" w:cs="Arial"/>
          <w:lang w:val="en-US"/>
        </w:rPr>
        <w:t xml:space="preserve">&gt; 0) for the foreign exchange earnings to improve in total. Any combination of price elasticity of demand for import and export will improve the foreign exchange earnings </w:t>
      </w:r>
      <w:r w:rsidR="003C523C" w:rsidRPr="00114CCB">
        <w:rPr>
          <w:rFonts w:ascii="Arial" w:hAnsi="Arial" w:cs="Arial"/>
          <w:lang w:val="en-US"/>
        </w:rPr>
        <w:t>if</w:t>
      </w:r>
      <w:r w:rsidRPr="00114CCB">
        <w:rPr>
          <w:rFonts w:ascii="Arial" w:hAnsi="Arial" w:cs="Arial"/>
          <w:lang w:val="en-US"/>
        </w:rPr>
        <w:t xml:space="preserve"> the sum is greater than unity. </w:t>
      </w:r>
    </w:p>
    <w:p w14:paraId="415EBD6E" w14:textId="7FB35E33" w:rsidR="00114CCB" w:rsidRPr="00114CCB" w:rsidRDefault="00114CCB" w:rsidP="0066301C">
      <w:pPr>
        <w:spacing w:line="360" w:lineRule="auto"/>
        <w:jc w:val="both"/>
        <w:rPr>
          <w:rFonts w:ascii="Arial" w:hAnsi="Arial" w:cs="Arial"/>
          <w:lang w:val="en-US"/>
        </w:rPr>
      </w:pPr>
      <w:r w:rsidRPr="00114CCB">
        <w:rPr>
          <w:rFonts w:ascii="Arial" w:hAnsi="Arial" w:cs="Arial"/>
          <w:lang w:val="en-US"/>
        </w:rPr>
        <w:t xml:space="preserve">In line with the Pugel and Lindert (2000), the focus of the elasticity approach is that there are two direct </w:t>
      </w:r>
      <w:r w:rsidR="000F7260" w:rsidRPr="00114CCB">
        <w:rPr>
          <w:rFonts w:ascii="Arial" w:hAnsi="Arial" w:cs="Arial"/>
          <w:lang w:val="en-US"/>
        </w:rPr>
        <w:t>impacts</w:t>
      </w:r>
      <w:r w:rsidRPr="00114CCB">
        <w:rPr>
          <w:rFonts w:ascii="Arial" w:hAnsi="Arial" w:cs="Arial"/>
          <w:lang w:val="en-US"/>
        </w:rPr>
        <w:t xml:space="preserve"> of devaluation on the TB, one which work to improve and the other to worsen. The two effects are the volume effect and the price effect. The </w:t>
      </w:r>
      <w:r w:rsidRPr="00114CCB">
        <w:rPr>
          <w:rFonts w:ascii="Arial" w:hAnsi="Arial" w:cs="Arial"/>
          <w:i/>
          <w:lang w:val="en-US"/>
        </w:rPr>
        <w:t>volume effect</w:t>
      </w:r>
      <w:r w:rsidRPr="00114CCB">
        <w:rPr>
          <w:rFonts w:ascii="Arial" w:hAnsi="Arial" w:cs="Arial"/>
          <w:lang w:val="en-US"/>
        </w:rPr>
        <w:t xml:space="preserve"> contributes to the improvement of </w:t>
      </w:r>
      <w:r w:rsidR="003463BA">
        <w:rPr>
          <w:rFonts w:ascii="Arial" w:hAnsi="Arial" w:cs="Arial"/>
          <w:lang w:val="en-US"/>
        </w:rPr>
        <w:t>TB</w:t>
      </w:r>
      <w:r w:rsidRPr="00114CCB">
        <w:rPr>
          <w:rFonts w:ascii="Arial" w:hAnsi="Arial" w:cs="Arial"/>
          <w:lang w:val="en-US"/>
        </w:rPr>
        <w:t xml:space="preserve"> </w:t>
      </w:r>
      <w:r w:rsidR="003463BA" w:rsidRPr="00114CCB">
        <w:rPr>
          <w:rFonts w:ascii="Arial" w:hAnsi="Arial" w:cs="Arial"/>
          <w:lang w:val="en-US"/>
        </w:rPr>
        <w:t>because</w:t>
      </w:r>
      <w:r w:rsidRPr="00114CCB">
        <w:rPr>
          <w:rFonts w:ascii="Arial" w:hAnsi="Arial" w:cs="Arial"/>
          <w:lang w:val="en-US"/>
        </w:rPr>
        <w:t xml:space="preserve"> exports become cheaper, which encourages an increase in the volume to be exported. At the same token, imports become more expensive, thereby reducing the volume of import. The </w:t>
      </w:r>
      <w:r w:rsidRPr="00114CCB">
        <w:rPr>
          <w:rFonts w:ascii="Arial" w:hAnsi="Arial" w:cs="Arial"/>
          <w:i/>
          <w:lang w:val="en-US"/>
        </w:rPr>
        <w:t>price effect</w:t>
      </w:r>
      <w:r w:rsidRPr="00114CCB">
        <w:rPr>
          <w:rFonts w:ascii="Arial" w:hAnsi="Arial" w:cs="Arial"/>
          <w:lang w:val="en-US"/>
        </w:rPr>
        <w:t xml:space="preserve"> contributes to worsen the </w:t>
      </w:r>
      <w:r w:rsidR="003463BA">
        <w:rPr>
          <w:rFonts w:ascii="Arial" w:hAnsi="Arial" w:cs="Arial"/>
          <w:lang w:val="en-US"/>
        </w:rPr>
        <w:t>TB</w:t>
      </w:r>
      <w:r w:rsidRPr="00114CCB">
        <w:rPr>
          <w:rFonts w:ascii="Arial" w:hAnsi="Arial" w:cs="Arial"/>
          <w:lang w:val="en-US"/>
        </w:rPr>
        <w:t xml:space="preserve"> since exports become cheaper when measured in foreign currency and import becomes expensive when measured in home currency. Thus, the net effect depends on which of the two effects dominates i.e. volume or price.</w:t>
      </w:r>
      <w:r w:rsidR="003463BA">
        <w:rPr>
          <w:rStyle w:val="FootnoteReference"/>
          <w:rFonts w:ascii="Arial" w:hAnsi="Arial" w:cs="Arial"/>
          <w:lang w:val="en-US"/>
        </w:rPr>
        <w:footnoteReference w:id="47"/>
      </w:r>
      <w:r w:rsidRPr="00114CCB">
        <w:rPr>
          <w:rFonts w:ascii="Arial" w:hAnsi="Arial" w:cs="Arial"/>
          <w:lang w:val="en-US"/>
        </w:rPr>
        <w:t xml:space="preserve"> . </w:t>
      </w:r>
    </w:p>
    <w:p w14:paraId="6A960877" w14:textId="142869F7" w:rsidR="00114CCB" w:rsidRPr="00114CCB" w:rsidRDefault="00114CCB" w:rsidP="0066301C">
      <w:pPr>
        <w:pStyle w:val="ListParagraph"/>
        <w:autoSpaceDE w:val="0"/>
        <w:autoSpaceDN w:val="0"/>
        <w:adjustRightInd w:val="0"/>
        <w:spacing w:after="0" w:line="360" w:lineRule="auto"/>
        <w:ind w:left="0"/>
        <w:jc w:val="both"/>
        <w:rPr>
          <w:rFonts w:ascii="Arial" w:hAnsi="Arial" w:cs="Arial"/>
          <w:lang w:val="en-US"/>
        </w:rPr>
      </w:pPr>
      <w:r w:rsidRPr="00114CCB">
        <w:rPr>
          <w:rFonts w:ascii="Arial" w:hAnsi="Arial" w:cs="Arial"/>
          <w:lang w:val="en-US"/>
        </w:rPr>
        <w:t xml:space="preserve">The elasticity approach is </w:t>
      </w:r>
      <w:r w:rsidR="003C523C" w:rsidRPr="00114CCB">
        <w:rPr>
          <w:rFonts w:ascii="Arial" w:hAnsi="Arial" w:cs="Arial"/>
          <w:lang w:val="en-US"/>
        </w:rPr>
        <w:t>criticized</w:t>
      </w:r>
      <w:r w:rsidRPr="00114CCB">
        <w:rPr>
          <w:rFonts w:ascii="Arial" w:hAnsi="Arial" w:cs="Arial"/>
          <w:lang w:val="en-US"/>
        </w:rPr>
        <w:t xml:space="preserve"> mainly for being a partial equilibrium approach that does not account for the macroeconomic impacts arising from production price fluctuations and price changes in response to a devaluation (Kim, 2009). It accounts only for the volume and value response to changes in prices. On the other hand, both the absorption and monetary approaches descriptions are </w:t>
      </w:r>
      <w:r w:rsidR="003C523C" w:rsidRPr="00114CCB">
        <w:rPr>
          <w:rFonts w:ascii="Arial" w:hAnsi="Arial" w:cs="Arial"/>
          <w:lang w:val="en-US"/>
        </w:rPr>
        <w:t>related</w:t>
      </w:r>
      <w:r w:rsidRPr="00114CCB">
        <w:rPr>
          <w:rFonts w:ascii="Arial" w:hAnsi="Arial" w:cs="Arial"/>
          <w:lang w:val="en-US"/>
        </w:rPr>
        <w:t xml:space="preserve"> to the macroeconomic variables undermining the favorable effect of the currency devaluation on the </w:t>
      </w:r>
      <w:r w:rsidR="003C523C">
        <w:rPr>
          <w:rFonts w:ascii="Arial" w:hAnsi="Arial" w:cs="Arial"/>
          <w:lang w:val="en-US"/>
        </w:rPr>
        <w:t>TB</w:t>
      </w:r>
      <w:r w:rsidRPr="00114CCB">
        <w:rPr>
          <w:rFonts w:ascii="Arial" w:hAnsi="Arial" w:cs="Arial"/>
          <w:lang w:val="en-US"/>
        </w:rPr>
        <w:t xml:space="preserve">. The absorption approach is a merge of the elasticities </w:t>
      </w:r>
      <w:r w:rsidR="003C523C" w:rsidRPr="00114CCB">
        <w:rPr>
          <w:rFonts w:ascii="Arial" w:hAnsi="Arial" w:cs="Arial"/>
          <w:lang w:val="en-US"/>
        </w:rPr>
        <w:t>approach and</w:t>
      </w:r>
      <w:r w:rsidRPr="00114CCB">
        <w:rPr>
          <w:rFonts w:ascii="Arial" w:hAnsi="Arial" w:cs="Arial"/>
          <w:lang w:val="en-US"/>
        </w:rPr>
        <w:t xml:space="preserve"> was initially model in the 1950s by Meade (1951), Alexander (1952), and </w:t>
      </w:r>
      <w:r w:rsidR="003C523C" w:rsidRPr="00114CCB">
        <w:rPr>
          <w:rFonts w:ascii="Arial" w:hAnsi="Arial" w:cs="Arial"/>
          <w:lang w:val="en-US"/>
        </w:rPr>
        <w:t>others.</w:t>
      </w:r>
    </w:p>
    <w:p w14:paraId="79F5AA84" w14:textId="18042E19" w:rsidR="00264CD0" w:rsidRPr="00264CD0" w:rsidRDefault="00264CD0" w:rsidP="0066301C">
      <w:pPr>
        <w:pStyle w:val="Heading3"/>
        <w:numPr>
          <w:ilvl w:val="0"/>
          <w:numId w:val="0"/>
        </w:numPr>
        <w:spacing w:before="0" w:beforeAutospacing="0"/>
      </w:pPr>
      <w:bookmarkStart w:id="97" w:name="_Toc171075369"/>
      <w:r>
        <w:t>2.</w:t>
      </w:r>
      <w:r w:rsidR="00892A02">
        <w:t>4</w:t>
      </w:r>
      <w:r>
        <w:t>.3</w:t>
      </w:r>
      <w:r>
        <w:tab/>
      </w:r>
      <w:r w:rsidRPr="00264CD0">
        <w:rPr>
          <w:rFonts w:cs="Arial"/>
          <w:lang w:val="en-US"/>
        </w:rPr>
        <w:t>THE ABSORPTION APPROACH</w:t>
      </w:r>
      <w:bookmarkEnd w:id="97"/>
      <w:r w:rsidRPr="00264CD0">
        <w:rPr>
          <w:rFonts w:cs="Arial"/>
          <w:lang w:val="en-US"/>
        </w:rPr>
        <w:t xml:space="preserve"> </w:t>
      </w:r>
    </w:p>
    <w:p w14:paraId="609B7FE3" w14:textId="77777777" w:rsidR="00264CD0" w:rsidRPr="00264CD0" w:rsidRDefault="00264CD0" w:rsidP="0066301C">
      <w:pPr>
        <w:spacing w:line="360" w:lineRule="auto"/>
        <w:jc w:val="both"/>
        <w:rPr>
          <w:rFonts w:ascii="Arial" w:hAnsi="Arial" w:cs="Arial"/>
          <w:lang w:val="en-US"/>
        </w:rPr>
      </w:pPr>
      <w:r w:rsidRPr="00264CD0">
        <w:rPr>
          <w:rFonts w:ascii="Arial" w:hAnsi="Arial" w:cs="Arial"/>
          <w:lang w:val="en-US"/>
        </w:rPr>
        <w:t xml:space="preserve">The absorption approach to the BoP is general equilibrium in nature and based in the Keynesian national income liaison. It is also known as the Keynesian national income relationship. The main purpose of this approach is to integrate the BoP with the functioning of the entire economy in a general equilibrium framework in which the BoP disequilibrium of current account is regard as the outcome of the difference between decisions to produce and spend, or to save and invest </w:t>
      </w:r>
      <w:r w:rsidRPr="00264CD0">
        <w:rPr>
          <w:rFonts w:ascii="Arial" w:hAnsi="Arial" w:cs="Arial"/>
          <w:lang w:val="en-US"/>
        </w:rPr>
        <w:lastRenderedPageBreak/>
        <w:t>(Borena, 2013). The theory states that if a nation has a deficit in its balance of payment, it implies that it people are ‘absorbing’ more than they produce. The domestic expenditure on consumption and investment surpasses its national income. Alternatively, if it has a surplus in the BoP, then expenditure on consumption and investment is less than national income. Here, the BoP is regard as the difference between national income and domestic expenditure.</w:t>
      </w:r>
    </w:p>
    <w:p w14:paraId="69C4C84E" w14:textId="33AA0C8D" w:rsidR="00264CD0" w:rsidRDefault="00264CD0" w:rsidP="0066301C">
      <w:pPr>
        <w:pStyle w:val="ListParagraph"/>
        <w:autoSpaceDE w:val="0"/>
        <w:autoSpaceDN w:val="0"/>
        <w:adjustRightInd w:val="0"/>
        <w:spacing w:after="0" w:line="360" w:lineRule="auto"/>
        <w:ind w:left="0"/>
        <w:jc w:val="center"/>
        <w:rPr>
          <w:rFonts w:ascii="Arial" w:hAnsi="Arial" w:cs="Arial"/>
          <w:lang w:val="en-US"/>
        </w:rPr>
      </w:pPr>
      <m:oMath>
        <m:r>
          <w:rPr>
            <w:rFonts w:ascii="Cambria Math" w:hAnsi="Cambria Math" w:cs="Arial"/>
            <w:lang w:val="en-US"/>
          </w:rPr>
          <m:t>Y=C+I+G+</m:t>
        </m:r>
        <m:d>
          <m:dPr>
            <m:ctrlPr>
              <w:rPr>
                <w:rFonts w:ascii="Cambria Math" w:hAnsi="Cambria Math" w:cs="Arial"/>
                <w:i/>
                <w:lang w:val="en-US"/>
              </w:rPr>
            </m:ctrlPr>
          </m:dPr>
          <m:e>
            <m:r>
              <w:rPr>
                <w:rFonts w:ascii="Cambria Math" w:hAnsi="Cambria Math" w:cs="Arial"/>
                <w:lang w:val="en-US"/>
              </w:rPr>
              <m:t>X-M</m:t>
            </m:r>
          </m:e>
        </m:d>
      </m:oMath>
      <w:r>
        <w:rPr>
          <w:rFonts w:ascii="Arial" w:hAnsi="Arial" w:cs="Arial"/>
          <w:lang w:val="en-US"/>
        </w:rPr>
        <w:t xml:space="preserve">                                                                                    </w:t>
      </w:r>
      <w:r w:rsidR="00F6555D">
        <w:rPr>
          <w:rFonts w:ascii="Arial" w:hAnsi="Arial" w:cs="Arial"/>
          <w:lang w:val="en-US"/>
        </w:rPr>
        <w:t xml:space="preserve">   </w:t>
      </w:r>
      <w:r>
        <w:rPr>
          <w:rFonts w:ascii="Arial" w:hAnsi="Arial" w:cs="Arial"/>
          <w:lang w:val="en-US"/>
        </w:rPr>
        <w:t xml:space="preserve">        (2.1)</w:t>
      </w:r>
    </w:p>
    <w:p w14:paraId="5D22A300" w14:textId="77777777" w:rsidR="00264CD0" w:rsidRPr="00264CD0" w:rsidRDefault="00264CD0" w:rsidP="0066301C">
      <w:pPr>
        <w:pStyle w:val="ListParagraph"/>
        <w:autoSpaceDE w:val="0"/>
        <w:autoSpaceDN w:val="0"/>
        <w:adjustRightInd w:val="0"/>
        <w:spacing w:after="0" w:line="360" w:lineRule="auto"/>
        <w:ind w:left="0"/>
        <w:jc w:val="both"/>
        <w:rPr>
          <w:rFonts w:ascii="Arial" w:hAnsi="Arial" w:cs="Arial"/>
          <w:lang w:val="en-US"/>
        </w:rPr>
      </w:pPr>
      <w:r w:rsidRPr="00264CD0">
        <w:rPr>
          <w:rFonts w:ascii="Arial" w:hAnsi="Arial" w:cs="Arial"/>
          <w:lang w:val="en-US"/>
        </w:rPr>
        <w:t xml:space="preserve">Whereby Y is the national income, C is consumption expenditure, G is government expenditure, X is exports, and M is imports </w:t>
      </w:r>
    </w:p>
    <w:p w14:paraId="14D41663" w14:textId="7684E02E" w:rsidR="00264CD0" w:rsidRDefault="00264CD0" w:rsidP="0066301C">
      <w:pPr>
        <w:pStyle w:val="ListParagraph"/>
        <w:autoSpaceDE w:val="0"/>
        <w:autoSpaceDN w:val="0"/>
        <w:adjustRightInd w:val="0"/>
        <w:spacing w:after="0" w:line="360" w:lineRule="auto"/>
        <w:ind w:left="0"/>
        <w:jc w:val="both"/>
        <w:rPr>
          <w:rFonts w:ascii="Arial" w:hAnsi="Arial" w:cs="Arial"/>
          <w:lang w:val="en-US"/>
        </w:rPr>
      </w:pPr>
      <w:r w:rsidRPr="00264CD0">
        <w:rPr>
          <w:rFonts w:ascii="Arial" w:hAnsi="Arial" w:cs="Arial"/>
          <w:lang w:val="en-US"/>
        </w:rPr>
        <w:t>Rearranging equation (</w:t>
      </w:r>
      <w:r w:rsidR="0033784E">
        <w:rPr>
          <w:rFonts w:ascii="Arial" w:hAnsi="Arial" w:cs="Arial"/>
          <w:lang w:val="en-US"/>
        </w:rPr>
        <w:t>2.</w:t>
      </w:r>
      <w:r w:rsidRPr="00264CD0">
        <w:rPr>
          <w:rFonts w:ascii="Arial" w:hAnsi="Arial" w:cs="Arial"/>
          <w:lang w:val="en-US"/>
        </w:rPr>
        <w:t xml:space="preserve">1) above, we will have </w:t>
      </w:r>
    </w:p>
    <w:p w14:paraId="2974154E" w14:textId="5EB82196" w:rsidR="00264CD0" w:rsidRPr="00264CD0" w:rsidRDefault="00423B45" w:rsidP="0066301C">
      <w:pPr>
        <w:pStyle w:val="ListParagraph"/>
        <w:autoSpaceDE w:val="0"/>
        <w:autoSpaceDN w:val="0"/>
        <w:adjustRightInd w:val="0"/>
        <w:spacing w:after="0" w:line="360" w:lineRule="auto"/>
        <w:ind w:left="0"/>
        <w:jc w:val="center"/>
        <w:rPr>
          <w:rFonts w:ascii="Arial" w:hAnsi="Arial" w:cs="Arial"/>
          <w:lang w:val="en-US"/>
        </w:rPr>
      </w:pPr>
      <m:oMath>
        <m:r>
          <w:rPr>
            <w:rFonts w:ascii="Cambria Math" w:hAnsi="Cambria Math" w:cs="Arial"/>
            <w:lang w:val="en-US"/>
          </w:rPr>
          <m:t>Y+M=C+I+G+X</m:t>
        </m:r>
      </m:oMath>
      <w:r w:rsidR="00264CD0">
        <w:rPr>
          <w:rFonts w:ascii="Arial" w:hAnsi="Arial" w:cs="Arial"/>
          <w:lang w:val="en-US"/>
        </w:rPr>
        <w:t xml:space="preserve">                                                                                                  (2.2)</w:t>
      </w:r>
    </w:p>
    <w:p w14:paraId="64881C97" w14:textId="5F655EE5" w:rsidR="00264CD0" w:rsidRPr="00264CD0" w:rsidRDefault="00264CD0" w:rsidP="0066301C">
      <w:pPr>
        <w:pStyle w:val="ListParagraph"/>
        <w:autoSpaceDE w:val="0"/>
        <w:autoSpaceDN w:val="0"/>
        <w:adjustRightInd w:val="0"/>
        <w:spacing w:after="0" w:line="360" w:lineRule="auto"/>
        <w:ind w:left="0"/>
        <w:jc w:val="both"/>
        <w:rPr>
          <w:rFonts w:ascii="Arial" w:hAnsi="Arial" w:cs="Arial"/>
          <w:lang w:val="en-US"/>
        </w:rPr>
      </w:pPr>
      <w:r w:rsidRPr="00264CD0">
        <w:rPr>
          <w:rFonts w:ascii="Arial" w:hAnsi="Arial" w:cs="Arial"/>
          <w:lang w:val="en-US"/>
        </w:rPr>
        <w:t xml:space="preserve">Whereby the left sides of the equation represent the total supply in the economy, which is a sum of the total domestic supply (Y) and the total imports (M). While the right-hand side shows how the total supply in the economy is spent or total demand through consumption, investment, government purchase, and exports. The domestic absorption as A = C + I + G, the trade balance as TB = X – M. </w:t>
      </w:r>
    </w:p>
    <w:p w14:paraId="54BDB6CE" w14:textId="5EFBFE9F" w:rsidR="00264CD0" w:rsidRDefault="00264CD0" w:rsidP="0066301C">
      <w:pPr>
        <w:pStyle w:val="ListParagraph"/>
        <w:autoSpaceDE w:val="0"/>
        <w:autoSpaceDN w:val="0"/>
        <w:adjustRightInd w:val="0"/>
        <w:spacing w:after="0" w:line="360" w:lineRule="auto"/>
        <w:ind w:left="0"/>
        <w:jc w:val="both"/>
        <w:rPr>
          <w:rFonts w:ascii="Arial" w:hAnsi="Arial" w:cs="Arial"/>
          <w:lang w:val="en-US"/>
        </w:rPr>
      </w:pPr>
      <w:r w:rsidRPr="00264CD0">
        <w:rPr>
          <w:rFonts w:ascii="Arial" w:hAnsi="Arial" w:cs="Arial"/>
          <w:lang w:val="en-US"/>
        </w:rPr>
        <w:t>So, equation (2</w:t>
      </w:r>
      <w:r>
        <w:rPr>
          <w:rFonts w:ascii="Arial" w:hAnsi="Arial" w:cs="Arial"/>
          <w:lang w:val="en-US"/>
        </w:rPr>
        <w:t>.2</w:t>
      </w:r>
      <w:r w:rsidRPr="00264CD0">
        <w:rPr>
          <w:rFonts w:ascii="Arial" w:hAnsi="Arial" w:cs="Arial"/>
          <w:lang w:val="en-US"/>
        </w:rPr>
        <w:t>) could be rearranged as:</w:t>
      </w:r>
    </w:p>
    <w:p w14:paraId="0D5680A6" w14:textId="546B5983" w:rsidR="00264CD0" w:rsidRPr="00264CD0" w:rsidRDefault="00264CD0" w:rsidP="0066301C">
      <w:pPr>
        <w:pStyle w:val="ListParagraph"/>
        <w:autoSpaceDE w:val="0"/>
        <w:autoSpaceDN w:val="0"/>
        <w:adjustRightInd w:val="0"/>
        <w:spacing w:after="0" w:line="360" w:lineRule="auto"/>
        <w:ind w:left="0"/>
        <w:jc w:val="center"/>
        <w:rPr>
          <w:rFonts w:ascii="Arial" w:hAnsi="Arial" w:cs="Arial"/>
          <w:lang w:val="en-US"/>
        </w:rPr>
      </w:pPr>
      <m:oMath>
        <m:r>
          <w:rPr>
            <w:rFonts w:ascii="Cambria Math" w:hAnsi="Cambria Math" w:cs="Arial"/>
            <w:lang w:val="en-US"/>
          </w:rPr>
          <m:t>TB=Y-A</m:t>
        </m:r>
      </m:oMath>
      <w:r>
        <w:rPr>
          <w:rFonts w:ascii="Arial" w:hAnsi="Arial" w:cs="Arial"/>
          <w:lang w:val="en-US"/>
        </w:rPr>
        <w:t xml:space="preserve"> </w:t>
      </w:r>
      <w:r w:rsidR="00E405BA">
        <w:rPr>
          <w:rFonts w:ascii="Arial" w:hAnsi="Arial" w:cs="Arial"/>
          <w:lang w:val="en-US"/>
        </w:rPr>
        <w:t xml:space="preserve">                                                                                                                   </w:t>
      </w:r>
      <w:r>
        <w:rPr>
          <w:rFonts w:ascii="Arial" w:hAnsi="Arial" w:cs="Arial"/>
          <w:lang w:val="en-US"/>
        </w:rPr>
        <w:t>(2.3)</w:t>
      </w:r>
    </w:p>
    <w:p w14:paraId="58BEC71F" w14:textId="0CA56301" w:rsidR="00264CD0" w:rsidRDefault="00264CD0" w:rsidP="0066301C">
      <w:pPr>
        <w:pStyle w:val="ListParagraph"/>
        <w:autoSpaceDE w:val="0"/>
        <w:autoSpaceDN w:val="0"/>
        <w:adjustRightInd w:val="0"/>
        <w:spacing w:after="0" w:line="360" w:lineRule="auto"/>
        <w:ind w:left="0"/>
        <w:jc w:val="both"/>
        <w:rPr>
          <w:rFonts w:ascii="Arial" w:hAnsi="Arial" w:cs="Arial"/>
          <w:lang w:val="en-US"/>
        </w:rPr>
      </w:pPr>
      <w:r w:rsidRPr="00264CD0">
        <w:rPr>
          <w:rFonts w:ascii="Arial" w:hAnsi="Arial" w:cs="Arial"/>
          <w:lang w:val="en-US"/>
        </w:rPr>
        <w:t>Trade balance is the difference between income (gross domestic product) and absorption. But, since Y – C – G is the savings (S), equation (</w:t>
      </w:r>
      <w:r w:rsidR="00E405BA">
        <w:rPr>
          <w:rFonts w:ascii="Arial" w:hAnsi="Arial" w:cs="Arial"/>
          <w:lang w:val="en-US"/>
        </w:rPr>
        <w:t>2.</w:t>
      </w:r>
      <w:r w:rsidRPr="00264CD0">
        <w:rPr>
          <w:rFonts w:ascii="Arial" w:hAnsi="Arial" w:cs="Arial"/>
          <w:lang w:val="en-US"/>
        </w:rPr>
        <w:t xml:space="preserve">3) could be rewritten as:  </w:t>
      </w:r>
      <w:r w:rsidRPr="00264CD0">
        <w:rPr>
          <w:rFonts w:ascii="Arial" w:hAnsi="Arial" w:cs="Arial"/>
          <w:lang w:val="en-US"/>
        </w:rPr>
        <w:tab/>
      </w:r>
    </w:p>
    <w:p w14:paraId="3AAF48E9" w14:textId="5851A7D4" w:rsidR="00E405BA" w:rsidRPr="00264CD0" w:rsidRDefault="00C2251C" w:rsidP="0066301C">
      <w:pPr>
        <w:pStyle w:val="ListParagraph"/>
        <w:autoSpaceDE w:val="0"/>
        <w:autoSpaceDN w:val="0"/>
        <w:adjustRightInd w:val="0"/>
        <w:spacing w:after="0" w:line="360" w:lineRule="auto"/>
        <w:ind w:left="0"/>
        <w:jc w:val="center"/>
        <w:rPr>
          <w:rFonts w:ascii="Arial" w:hAnsi="Arial" w:cs="Arial"/>
          <w:lang w:val="en-US"/>
        </w:rPr>
      </w:pPr>
      <m:oMath>
        <m:r>
          <w:rPr>
            <w:rFonts w:ascii="Cambria Math" w:hAnsi="Cambria Math" w:cs="Arial"/>
            <w:lang w:val="en-US"/>
          </w:rPr>
          <m:t>TB=S-I</m:t>
        </m:r>
      </m:oMath>
      <w:r>
        <w:rPr>
          <w:rFonts w:ascii="Arial" w:hAnsi="Arial" w:cs="Arial"/>
          <w:lang w:val="en-US"/>
        </w:rPr>
        <w:t xml:space="preserve">                                                                                                                      (2.4)</w:t>
      </w:r>
    </w:p>
    <w:p w14:paraId="643830AD" w14:textId="1B136C71" w:rsidR="00264CD0" w:rsidRPr="00264CD0" w:rsidRDefault="00264CD0" w:rsidP="0066301C">
      <w:pPr>
        <w:pStyle w:val="ListParagraph"/>
        <w:autoSpaceDE w:val="0"/>
        <w:autoSpaceDN w:val="0"/>
        <w:adjustRightInd w:val="0"/>
        <w:spacing w:after="0" w:line="360" w:lineRule="auto"/>
        <w:ind w:left="0"/>
        <w:jc w:val="both"/>
        <w:rPr>
          <w:rFonts w:ascii="Arial" w:hAnsi="Arial" w:cs="Arial"/>
          <w:lang w:val="en-US"/>
        </w:rPr>
      </w:pPr>
      <w:r w:rsidRPr="00264CD0">
        <w:rPr>
          <w:rFonts w:ascii="Arial" w:hAnsi="Arial" w:cs="Arial"/>
          <w:lang w:val="en-US"/>
        </w:rPr>
        <w:t>Also, the absorption approach could be spelled out using the leakage – injection terminology (Hallwood and Macdonald, 2000). Whereby the injections are flows additional to consumption that increase planned spending on domestic output, which includes investment (I), government expenditure (G) and exports (X). While leakages are withdrawal from the economic which causes the amount of income circulating in the economy to drop which constitute savings (S), taxes (T), and import (I). Hence, S+T+M=I+X+G and on rearrangement (S-I) + (T-G) = X-M. Within this framework, devaluation could be evaluated in terms of whether it raises income (Y) relative to absorption (A</w:t>
      </w:r>
      <w:r w:rsidR="00257C54" w:rsidRPr="00264CD0">
        <w:rPr>
          <w:rFonts w:ascii="Arial" w:hAnsi="Arial" w:cs="Arial"/>
          <w:lang w:val="en-US"/>
        </w:rPr>
        <w:t>)</w:t>
      </w:r>
      <w:r w:rsidR="00257C54">
        <w:rPr>
          <w:rFonts w:ascii="Arial" w:hAnsi="Arial" w:cs="Arial"/>
          <w:lang w:val="en-US"/>
        </w:rPr>
        <w:t>,</w:t>
      </w:r>
      <w:r w:rsidR="00257C54" w:rsidRPr="00264CD0">
        <w:rPr>
          <w:rFonts w:ascii="Arial" w:hAnsi="Arial" w:cs="Arial"/>
          <w:lang w:val="en-US"/>
        </w:rPr>
        <w:t xml:space="preserve"> or</w:t>
      </w:r>
      <w:r w:rsidRPr="00264CD0">
        <w:rPr>
          <w:rFonts w:ascii="Arial" w:hAnsi="Arial" w:cs="Arial"/>
          <w:lang w:val="en-US"/>
        </w:rPr>
        <w:t xml:space="preserve"> saving (S) relative to investment (I). Therefore, an understanding of how a currency devaluation affects both income and absorption is central to the absorption approach. Government policies to reduce A is known as expenditure reducing policies which comprises; high interest rates, low government expenditure, high taxes. While policies to raise Y is termed expenditure switching policies which includes export subsidies, import quotas, tariffs, and currency devaluation (Hallwood and Macdonald, 2000; Thirlwall, 2004). </w:t>
      </w:r>
    </w:p>
    <w:p w14:paraId="5AB050D6" w14:textId="77777777" w:rsidR="00264CD0" w:rsidRDefault="00264CD0" w:rsidP="0066301C">
      <w:pPr>
        <w:pStyle w:val="ListParagraph"/>
        <w:autoSpaceDE w:val="0"/>
        <w:autoSpaceDN w:val="0"/>
        <w:adjustRightInd w:val="0"/>
        <w:spacing w:after="0" w:line="360" w:lineRule="auto"/>
        <w:ind w:left="0"/>
        <w:jc w:val="both"/>
        <w:rPr>
          <w:rFonts w:ascii="Arial" w:hAnsi="Arial" w:cs="Arial"/>
          <w:lang w:val="en-US"/>
        </w:rPr>
      </w:pPr>
      <w:r w:rsidRPr="00264CD0">
        <w:rPr>
          <w:rFonts w:ascii="Arial" w:hAnsi="Arial" w:cs="Arial"/>
          <w:lang w:val="en-US"/>
        </w:rPr>
        <w:t xml:space="preserve">Currency devaluation increases exports and reduces imports, by so doing increases the national income. The additional income generated could further increase income through the multiplier effect. This results in an increase in domestic consumption. Hence, the net effect of the increase </w:t>
      </w:r>
      <w:r w:rsidRPr="00264CD0">
        <w:rPr>
          <w:rFonts w:ascii="Arial" w:hAnsi="Arial" w:cs="Arial"/>
          <w:lang w:val="en-US"/>
        </w:rPr>
        <w:lastRenderedPageBreak/>
        <w:t>in national income on the BoP will be the difference between the total increase in income and the induced increase in absorption i.e.;</w:t>
      </w:r>
    </w:p>
    <w:p w14:paraId="3C4A2620" w14:textId="5BE06E24" w:rsidR="00C2251C" w:rsidRPr="00264CD0" w:rsidRDefault="00C2251C" w:rsidP="0066301C">
      <w:pPr>
        <w:pStyle w:val="ListParagraph"/>
        <w:autoSpaceDE w:val="0"/>
        <w:autoSpaceDN w:val="0"/>
        <w:adjustRightInd w:val="0"/>
        <w:spacing w:after="0" w:line="360" w:lineRule="auto"/>
        <w:ind w:left="0"/>
        <w:jc w:val="center"/>
        <w:rPr>
          <w:rFonts w:ascii="Arial" w:hAnsi="Arial" w:cs="Arial"/>
          <w:lang w:val="en-US"/>
        </w:rPr>
      </w:pPr>
      <m:oMath>
        <m:r>
          <w:rPr>
            <w:rFonts w:ascii="Cambria Math" w:hAnsi="Cambria Math" w:cs="Arial"/>
            <w:lang w:val="en-US"/>
          </w:rPr>
          <m:t>∆TB=∆Y-∆A</m:t>
        </m:r>
      </m:oMath>
      <w:r>
        <w:rPr>
          <w:rFonts w:ascii="Arial" w:hAnsi="Arial" w:cs="Arial"/>
          <w:lang w:val="en-US"/>
        </w:rPr>
        <w:t xml:space="preserve">                                                                                                         (2.5)</w:t>
      </w:r>
    </w:p>
    <w:p w14:paraId="35DDC8E7" w14:textId="77777777" w:rsidR="00264CD0" w:rsidRDefault="00264CD0" w:rsidP="0066301C">
      <w:pPr>
        <w:pStyle w:val="ListParagraph"/>
        <w:autoSpaceDE w:val="0"/>
        <w:autoSpaceDN w:val="0"/>
        <w:adjustRightInd w:val="0"/>
        <w:spacing w:after="0" w:line="360" w:lineRule="auto"/>
        <w:ind w:left="0"/>
        <w:jc w:val="both"/>
        <w:rPr>
          <w:rFonts w:ascii="Arial" w:hAnsi="Arial" w:cs="Arial"/>
          <w:lang w:val="en-US"/>
        </w:rPr>
      </w:pPr>
      <w:r w:rsidRPr="00264CD0">
        <w:rPr>
          <w:rFonts w:ascii="Arial" w:hAnsi="Arial" w:cs="Arial"/>
          <w:lang w:val="en-US"/>
        </w:rPr>
        <w:t>Currency devaluation will have direct effect on income (∆Y), and on absorption (∆A), while indirect effects on absorption working through changes in income (D) whose magnitude depends on the marginal propensity to absorb, α (determined by the propensity to consume and invest) (α∆Y). Hence, changes in total absorption ∆A is:</w:t>
      </w:r>
    </w:p>
    <w:p w14:paraId="0D42D178" w14:textId="733F7DB1" w:rsidR="00C2251C" w:rsidRPr="00264CD0" w:rsidRDefault="00C2251C" w:rsidP="0066301C">
      <w:pPr>
        <w:pStyle w:val="ListParagraph"/>
        <w:autoSpaceDE w:val="0"/>
        <w:autoSpaceDN w:val="0"/>
        <w:adjustRightInd w:val="0"/>
        <w:spacing w:after="0" w:line="360" w:lineRule="auto"/>
        <w:ind w:left="0"/>
        <w:jc w:val="center"/>
        <w:rPr>
          <w:rFonts w:ascii="Arial" w:hAnsi="Arial" w:cs="Arial"/>
          <w:lang w:val="en-US"/>
        </w:rPr>
      </w:pPr>
      <m:oMath>
        <m:r>
          <w:rPr>
            <w:rFonts w:ascii="Cambria Math" w:hAnsi="Cambria Math" w:cs="Arial"/>
            <w:lang w:val="en-US"/>
          </w:rPr>
          <m:t>∆A=α∆Y+∆D</m:t>
        </m:r>
      </m:oMath>
      <w:r>
        <w:rPr>
          <w:rFonts w:ascii="Arial" w:hAnsi="Arial" w:cs="Arial"/>
          <w:iCs/>
          <w:lang w:val="en-US"/>
        </w:rPr>
        <w:t xml:space="preserve">                                                                                                        (2.6)</w:t>
      </w:r>
    </w:p>
    <w:p w14:paraId="4777602A" w14:textId="77777777" w:rsidR="00264CD0" w:rsidRDefault="00264CD0" w:rsidP="0066301C">
      <w:pPr>
        <w:pStyle w:val="ListParagraph"/>
        <w:autoSpaceDE w:val="0"/>
        <w:autoSpaceDN w:val="0"/>
        <w:adjustRightInd w:val="0"/>
        <w:spacing w:after="0" w:line="360" w:lineRule="auto"/>
        <w:ind w:left="0"/>
        <w:jc w:val="both"/>
        <w:rPr>
          <w:rFonts w:ascii="Arial" w:hAnsi="Arial" w:cs="Arial"/>
          <w:lang w:val="en-US"/>
        </w:rPr>
      </w:pPr>
      <w:r w:rsidRPr="00264CD0">
        <w:rPr>
          <w:rFonts w:ascii="Arial" w:hAnsi="Arial" w:cs="Arial"/>
          <w:lang w:val="en-US"/>
        </w:rPr>
        <w:t xml:space="preserve">Substituting (6) in to (5) gives: </w:t>
      </w:r>
    </w:p>
    <w:p w14:paraId="73F54B74" w14:textId="0077652E" w:rsidR="00C2251C" w:rsidRPr="00C2251C" w:rsidRDefault="00C2251C" w:rsidP="0066301C">
      <w:pPr>
        <w:pStyle w:val="ListParagraph"/>
        <w:autoSpaceDE w:val="0"/>
        <w:autoSpaceDN w:val="0"/>
        <w:adjustRightInd w:val="0"/>
        <w:spacing w:after="0" w:line="360" w:lineRule="auto"/>
        <w:ind w:left="0"/>
        <w:jc w:val="center"/>
        <w:rPr>
          <w:rFonts w:ascii="Arial" w:hAnsi="Arial" w:cs="Arial"/>
          <w:iCs/>
          <w:lang w:val="en-US"/>
        </w:rPr>
      </w:pPr>
      <m:oMath>
        <m:r>
          <m:rPr>
            <m:sty m:val="p"/>
          </m:rPr>
          <w:rPr>
            <w:rFonts w:ascii="Cambria Math" w:hAnsi="Cambria Math" w:cs="Arial"/>
            <w:lang w:val="en-US"/>
          </w:rPr>
          <m:t>∆TB = ∆Y – (α∆Y + ∆D) = ∆Y (1- α) – ∆D</m:t>
        </m:r>
      </m:oMath>
      <w:r w:rsidR="00423B45">
        <w:rPr>
          <w:rFonts w:ascii="Arial" w:hAnsi="Arial" w:cs="Arial"/>
          <w:lang w:val="en-US"/>
        </w:rPr>
        <w:t xml:space="preserve">                                                         (2.7)</w:t>
      </w:r>
    </w:p>
    <w:p w14:paraId="28315557" w14:textId="15D461DD" w:rsidR="00264CD0" w:rsidRPr="00264CD0" w:rsidRDefault="00264CD0" w:rsidP="0066301C">
      <w:pPr>
        <w:pStyle w:val="ListParagraph"/>
        <w:autoSpaceDE w:val="0"/>
        <w:autoSpaceDN w:val="0"/>
        <w:adjustRightInd w:val="0"/>
        <w:spacing w:after="0" w:line="360" w:lineRule="auto"/>
        <w:ind w:left="0"/>
        <w:jc w:val="both"/>
        <w:rPr>
          <w:rFonts w:ascii="Arial" w:hAnsi="Arial" w:cs="Arial"/>
          <w:lang w:val="en-US"/>
        </w:rPr>
      </w:pPr>
      <w:r w:rsidRPr="00264CD0">
        <w:rPr>
          <w:rFonts w:ascii="Arial" w:hAnsi="Arial" w:cs="Arial"/>
          <w:lang w:val="en-US"/>
        </w:rPr>
        <w:t>Equation (</w:t>
      </w:r>
      <w:r w:rsidR="00423B45">
        <w:rPr>
          <w:rFonts w:ascii="Arial" w:hAnsi="Arial" w:cs="Arial"/>
          <w:lang w:val="en-US"/>
        </w:rPr>
        <w:t>2.</w:t>
      </w:r>
      <w:r w:rsidRPr="00264CD0">
        <w:rPr>
          <w:rFonts w:ascii="Arial" w:hAnsi="Arial" w:cs="Arial"/>
          <w:lang w:val="en-US"/>
        </w:rPr>
        <w:t>7) shows three factors to be considered when analyzing the impact of devaluation in the absorption approach: (i) how does currency devaluation affect income? (ii) how does currency devaluation affect absorption directly? and (iii) what is the value of the propensity to absorb α?</w:t>
      </w:r>
      <w:r w:rsidR="00423B45">
        <w:rPr>
          <w:rStyle w:val="FootnoteReference"/>
          <w:rFonts w:ascii="Arial" w:hAnsi="Arial" w:cs="Arial"/>
          <w:lang w:val="en-US"/>
        </w:rPr>
        <w:footnoteReference w:id="48"/>
      </w:r>
      <w:r w:rsidRPr="00264CD0">
        <w:rPr>
          <w:rFonts w:ascii="Arial" w:hAnsi="Arial" w:cs="Arial"/>
          <w:lang w:val="en-US"/>
        </w:rPr>
        <w:t xml:space="preserve"> </w:t>
      </w:r>
    </w:p>
    <w:p w14:paraId="6C05E683" w14:textId="17CE8158" w:rsidR="00264CD0" w:rsidRPr="00264CD0" w:rsidRDefault="00264CD0" w:rsidP="0066301C">
      <w:pPr>
        <w:pStyle w:val="ListParagraph"/>
        <w:autoSpaceDE w:val="0"/>
        <w:autoSpaceDN w:val="0"/>
        <w:adjustRightInd w:val="0"/>
        <w:spacing w:after="0" w:line="360" w:lineRule="auto"/>
        <w:ind w:left="0"/>
        <w:jc w:val="both"/>
        <w:rPr>
          <w:rFonts w:ascii="Arial" w:hAnsi="Arial" w:cs="Arial"/>
          <w:lang w:val="en-US"/>
        </w:rPr>
      </w:pPr>
      <w:r w:rsidRPr="00264CD0">
        <w:rPr>
          <w:rFonts w:ascii="Arial" w:hAnsi="Arial" w:cs="Arial"/>
          <w:lang w:val="en-US"/>
        </w:rPr>
        <w:lastRenderedPageBreak/>
        <w:t xml:space="preserve">The absorption approach is often </w:t>
      </w:r>
      <w:r w:rsidR="00423B45" w:rsidRPr="00264CD0">
        <w:rPr>
          <w:rFonts w:ascii="Arial" w:hAnsi="Arial" w:cs="Arial"/>
          <w:lang w:val="en-US"/>
        </w:rPr>
        <w:t>criticized</w:t>
      </w:r>
      <w:r w:rsidRPr="00264CD0">
        <w:rPr>
          <w:rFonts w:ascii="Arial" w:hAnsi="Arial" w:cs="Arial"/>
          <w:lang w:val="en-US"/>
        </w:rPr>
        <w:t xml:space="preserve"> that it relies so much on policies designed at influencing domestic absorption without considering the impact of devaluation on the absorption of other nations. The approach fails as a corrective measure of BoP deficit under a fixed exchange rate regime. This is so because when there is a devaluation, people reduce their consumption expenses, and with the money supply remaining constant interest rate rises which leads to a fall in output along with absorption. Hence, currency devaluation has little impact on the BoP (Taboola, 2019). Also, the approach places much emphasis on the domestic consumption than on relative prices. For, a mere reduction in the domestic consumption level for reducing absorption does not imply that resources release will be </w:t>
      </w:r>
      <w:r w:rsidR="00423B45" w:rsidRPr="00264CD0">
        <w:rPr>
          <w:rFonts w:ascii="Arial" w:hAnsi="Arial" w:cs="Arial"/>
          <w:lang w:val="en-US"/>
        </w:rPr>
        <w:t>redirected</w:t>
      </w:r>
      <w:r w:rsidRPr="00264CD0">
        <w:rPr>
          <w:rFonts w:ascii="Arial" w:hAnsi="Arial" w:cs="Arial"/>
          <w:lang w:val="en-US"/>
        </w:rPr>
        <w:t xml:space="preserve"> to improve the BoP deficit.</w:t>
      </w:r>
    </w:p>
    <w:p w14:paraId="2EEE212D" w14:textId="288456BD" w:rsidR="00493C8C" w:rsidRPr="00264CD0" w:rsidRDefault="00493C8C" w:rsidP="0066301C">
      <w:pPr>
        <w:pStyle w:val="Heading3"/>
        <w:numPr>
          <w:ilvl w:val="0"/>
          <w:numId w:val="0"/>
        </w:numPr>
        <w:spacing w:before="0" w:beforeAutospacing="0"/>
      </w:pPr>
      <w:bookmarkStart w:id="98" w:name="_Toc171075370"/>
      <w:r>
        <w:t>2.</w:t>
      </w:r>
      <w:r w:rsidR="00892A02">
        <w:t>4</w:t>
      </w:r>
      <w:r>
        <w:t>.4</w:t>
      </w:r>
      <w:r>
        <w:tab/>
      </w:r>
      <w:r w:rsidRPr="00264CD0">
        <w:rPr>
          <w:rFonts w:cs="Arial"/>
          <w:lang w:val="en-US"/>
        </w:rPr>
        <w:t xml:space="preserve">THE </w:t>
      </w:r>
      <w:r w:rsidRPr="00493C8C">
        <w:rPr>
          <w:rFonts w:cs="Arial"/>
          <w:lang w:val="en-US"/>
        </w:rPr>
        <w:t>MONETARY</w:t>
      </w:r>
      <w:r w:rsidRPr="00264CD0">
        <w:rPr>
          <w:rFonts w:cs="Arial"/>
          <w:lang w:val="en-US"/>
        </w:rPr>
        <w:t xml:space="preserve"> APPROACH</w:t>
      </w:r>
      <w:bookmarkEnd w:id="98"/>
      <w:r w:rsidRPr="00264CD0">
        <w:rPr>
          <w:rFonts w:cs="Arial"/>
          <w:lang w:val="en-US"/>
        </w:rPr>
        <w:t xml:space="preserve"> </w:t>
      </w:r>
    </w:p>
    <w:p w14:paraId="1831E768" w14:textId="71A09D82" w:rsidR="00493C8C" w:rsidRPr="00493C8C" w:rsidRDefault="00493C8C" w:rsidP="0066301C">
      <w:pPr>
        <w:spacing w:line="360" w:lineRule="auto"/>
        <w:jc w:val="both"/>
        <w:rPr>
          <w:rFonts w:ascii="Arial" w:hAnsi="Arial" w:cs="Arial"/>
          <w:lang w:val="en-US"/>
        </w:rPr>
      </w:pPr>
      <w:r w:rsidRPr="00493C8C">
        <w:rPr>
          <w:rFonts w:ascii="Arial" w:hAnsi="Arial" w:cs="Arial"/>
          <w:lang w:val="en-US"/>
        </w:rPr>
        <w:t xml:space="preserve">Mundell and Johnson (1960) developed the monetary approach to the TB, and it states that the TB is fundamentally a monetary phenomenon. As per this theory, TB surplus and deficit is caused by tight and easy monetary policy respectively. A devalued currency </w:t>
      </w:r>
      <w:r w:rsidR="00C35F64" w:rsidRPr="00493C8C">
        <w:rPr>
          <w:rFonts w:ascii="Arial" w:hAnsi="Arial" w:cs="Arial"/>
          <w:lang w:val="en-US"/>
        </w:rPr>
        <w:t>influences</w:t>
      </w:r>
      <w:r w:rsidRPr="00493C8C">
        <w:rPr>
          <w:rFonts w:ascii="Arial" w:hAnsi="Arial" w:cs="Arial"/>
          <w:lang w:val="en-US"/>
        </w:rPr>
        <w:t xml:space="preserve"> the TB through it impact on the real money supply. This implies that when there is currency devaluation, domestic prices rise and real money supply decreases which results to lower imports. Nevertheless, if currency devaluation is followed by further rises in the nominal money supply, the initial disequilibrium will </w:t>
      </w:r>
      <w:r w:rsidR="00C35F64" w:rsidRPr="00493C8C">
        <w:rPr>
          <w:rFonts w:ascii="Arial" w:hAnsi="Arial" w:cs="Arial"/>
          <w:lang w:val="en-US"/>
        </w:rPr>
        <w:t>re-establish,</w:t>
      </w:r>
      <w:r w:rsidRPr="00493C8C">
        <w:rPr>
          <w:rFonts w:ascii="Arial" w:hAnsi="Arial" w:cs="Arial"/>
          <w:lang w:val="en-US"/>
        </w:rPr>
        <w:t xml:space="preserve"> and the positive impact of devaluation will be nullified. Hence, as per the monetary theory of TB, devaluation leads to an improvement of a nation’s TB through its demand channel by reducing imports so long the money supply remains the same (Eshetu, 2017; Blanchard, 1993). </w:t>
      </w:r>
    </w:p>
    <w:p w14:paraId="4D873275" w14:textId="77777777" w:rsidR="00493C8C" w:rsidRDefault="00493C8C" w:rsidP="0066301C">
      <w:pPr>
        <w:pStyle w:val="ListParagraph"/>
        <w:autoSpaceDE w:val="0"/>
        <w:autoSpaceDN w:val="0"/>
        <w:adjustRightInd w:val="0"/>
        <w:spacing w:after="0" w:line="360" w:lineRule="auto"/>
        <w:ind w:left="0"/>
        <w:jc w:val="both"/>
        <w:rPr>
          <w:rFonts w:ascii="Arial" w:hAnsi="Arial" w:cs="Arial"/>
          <w:lang w:val="en-US"/>
        </w:rPr>
      </w:pPr>
      <w:r w:rsidRPr="00493C8C">
        <w:rPr>
          <w:rFonts w:ascii="Arial" w:hAnsi="Arial" w:cs="Arial"/>
          <w:lang w:val="en-US"/>
        </w:rPr>
        <w:t>The core of the monetary theory is that the trade surplus and deficit in the BoP are denoted as disequilibrium in the money market. So, the disequilibrium (surplus or deficit) in the money market is a transitory phenomenon which lasts till the government responds by changing money supply. As per the theory, a nation’s supply of money is given by:</w:t>
      </w:r>
    </w:p>
    <w:p w14:paraId="363D16C4" w14:textId="36322C9B" w:rsidR="00E66964" w:rsidRPr="00E66964" w:rsidRDefault="00E66964" w:rsidP="0066301C">
      <w:pPr>
        <w:pStyle w:val="ListParagraph"/>
        <w:autoSpaceDE w:val="0"/>
        <w:autoSpaceDN w:val="0"/>
        <w:adjustRightInd w:val="0"/>
        <w:spacing w:after="0" w:line="360" w:lineRule="auto"/>
        <w:ind w:left="0"/>
        <w:jc w:val="center"/>
        <w:rPr>
          <w:rFonts w:ascii="Arial" w:hAnsi="Arial" w:cs="Arial"/>
          <w:lang w:val="en-US"/>
        </w:rPr>
      </w:pPr>
      <m:oMath>
        <m:r>
          <w:rPr>
            <w:rFonts w:ascii="Cambria Math" w:hAnsi="Cambria Math" w:cs="Arial"/>
            <w:lang w:val="en-US"/>
          </w:rPr>
          <m:t>H = D + F</m:t>
        </m:r>
      </m:oMath>
      <w:r>
        <w:rPr>
          <w:rFonts w:ascii="Arial" w:hAnsi="Arial" w:cs="Arial"/>
          <w:iCs/>
          <w:lang w:val="en-US"/>
        </w:rPr>
        <w:t xml:space="preserve">                                                                                                          </w:t>
      </w:r>
      <w:r>
        <w:rPr>
          <w:rFonts w:ascii="Arial" w:hAnsi="Arial" w:cs="Arial"/>
          <w:lang w:val="en-US"/>
        </w:rPr>
        <w:t xml:space="preserve"> (2.8)</w:t>
      </w:r>
    </w:p>
    <w:p w14:paraId="77356151" w14:textId="77777777" w:rsidR="00493C8C" w:rsidRDefault="00493C8C" w:rsidP="0066301C">
      <w:pPr>
        <w:pStyle w:val="ListParagraph"/>
        <w:autoSpaceDE w:val="0"/>
        <w:autoSpaceDN w:val="0"/>
        <w:adjustRightInd w:val="0"/>
        <w:spacing w:after="0" w:line="360" w:lineRule="auto"/>
        <w:ind w:left="0"/>
        <w:jc w:val="both"/>
        <w:rPr>
          <w:rFonts w:ascii="Arial" w:hAnsi="Arial" w:cs="Arial"/>
          <w:lang w:val="en-US"/>
        </w:rPr>
      </w:pPr>
      <w:r w:rsidRPr="00493C8C">
        <w:rPr>
          <w:rFonts w:ascii="Arial" w:hAnsi="Arial" w:cs="Arial"/>
          <w:lang w:val="en-US"/>
        </w:rPr>
        <w:t>Whereby H is a nation’s total money supply, D is the domestic components of the nation’s monetary base, and F is the foreign components of the nation’s monetary base. The money supply equation could be written as:</w:t>
      </w:r>
    </w:p>
    <w:p w14:paraId="41776B46" w14:textId="2CB7D136" w:rsidR="00E66964" w:rsidRPr="00E66964" w:rsidRDefault="00E66964" w:rsidP="0066301C">
      <w:pPr>
        <w:pStyle w:val="ListParagraph"/>
        <w:autoSpaceDE w:val="0"/>
        <w:autoSpaceDN w:val="0"/>
        <w:adjustRightInd w:val="0"/>
        <w:spacing w:after="0" w:line="360" w:lineRule="auto"/>
        <w:ind w:left="0"/>
        <w:jc w:val="center"/>
        <w:rPr>
          <w:rFonts w:ascii="Arial" w:hAnsi="Arial" w:cs="Arial"/>
          <w:lang w:val="en-US"/>
        </w:rPr>
      </w:pPr>
      <m:oMath>
        <m:r>
          <w:rPr>
            <w:rFonts w:ascii="Cambria Math" w:hAnsi="Cambria Math" w:cs="Arial"/>
            <w:lang w:val="en-US"/>
          </w:rPr>
          <m:t>∆NFA = ∆H - ∆D</m:t>
        </m:r>
      </m:oMath>
      <w:r>
        <w:rPr>
          <w:rFonts w:ascii="Arial" w:hAnsi="Arial" w:cs="Arial"/>
          <w:i/>
          <w:iCs/>
          <w:lang w:val="en-US"/>
        </w:rPr>
        <w:t xml:space="preserve">                                                                                                </w:t>
      </w:r>
      <w:r>
        <w:rPr>
          <w:rFonts w:ascii="Arial" w:hAnsi="Arial" w:cs="Arial"/>
          <w:lang w:val="en-US"/>
        </w:rPr>
        <w:t xml:space="preserve"> (2.9)</w:t>
      </w:r>
    </w:p>
    <w:p w14:paraId="0BE855BA" w14:textId="77777777" w:rsidR="00493C8C" w:rsidRPr="00493C8C" w:rsidRDefault="00493C8C" w:rsidP="0066301C">
      <w:pPr>
        <w:pStyle w:val="ListParagraph"/>
        <w:autoSpaceDE w:val="0"/>
        <w:autoSpaceDN w:val="0"/>
        <w:adjustRightInd w:val="0"/>
        <w:spacing w:after="0" w:line="360" w:lineRule="auto"/>
        <w:ind w:left="0"/>
        <w:jc w:val="both"/>
        <w:rPr>
          <w:rFonts w:ascii="Arial" w:hAnsi="Arial" w:cs="Arial"/>
          <w:lang w:val="en-US"/>
        </w:rPr>
      </w:pPr>
      <w:r w:rsidRPr="00493C8C">
        <w:rPr>
          <w:rFonts w:ascii="Arial" w:hAnsi="Arial" w:cs="Arial"/>
          <w:lang w:val="en-US"/>
        </w:rPr>
        <w:t xml:space="preserve">Whereby ∆NFA denotes change in the net foreign assets, ∆H denotes total money supply of a nation, and ∆D stands for the central bank’s extension of domestic credit. The equation above states that the change in the central bank’s holding of foreign assets equal the change in the </w:t>
      </w:r>
      <w:r w:rsidRPr="00493C8C">
        <w:rPr>
          <w:rFonts w:ascii="Arial" w:hAnsi="Arial" w:cs="Arial"/>
          <w:lang w:val="en-US"/>
        </w:rPr>
        <w:lastRenderedPageBreak/>
        <w:t>stock of high powered money less the change in the domestic credit. Hence, ∆NFA is the balance of payment (BoP). The domestic component of the nation’s monetary base (D) is the domestic credit created by the nation’s central bank (monetary authority). The external balance is given by:</w:t>
      </w:r>
    </w:p>
    <w:p w14:paraId="7AEF8892" w14:textId="10427B69" w:rsidR="00E66964" w:rsidRDefault="00E66964" w:rsidP="0066301C">
      <w:pPr>
        <w:pStyle w:val="ListParagraph"/>
        <w:autoSpaceDE w:val="0"/>
        <w:autoSpaceDN w:val="0"/>
        <w:adjustRightInd w:val="0"/>
        <w:spacing w:after="0" w:line="360" w:lineRule="auto"/>
        <w:ind w:left="0"/>
        <w:jc w:val="center"/>
        <w:rPr>
          <w:rFonts w:ascii="Arial" w:hAnsi="Arial" w:cs="Arial"/>
          <w:lang w:val="en-US"/>
        </w:rPr>
      </w:pPr>
      <m:oMath>
        <m:r>
          <w:rPr>
            <w:rFonts w:ascii="Cambria Math" w:hAnsi="Cambria Math" w:cs="Arial"/>
            <w:lang w:val="en-US"/>
          </w:rPr>
          <m:t>M – X = F</m:t>
        </m:r>
        <m:r>
          <w:rPr>
            <w:rFonts w:ascii="Cambria Math" w:hAnsi="Cambria Math" w:cs="Arial"/>
            <w:vertAlign w:val="subscript"/>
            <w:lang w:val="en-US"/>
          </w:rPr>
          <m:t>S</m:t>
        </m:r>
        <m:r>
          <w:rPr>
            <w:rFonts w:ascii="Cambria Math" w:hAnsi="Cambria Math" w:cs="Arial"/>
            <w:lang w:val="en-US"/>
          </w:rPr>
          <m:t xml:space="preserve"> - ∆R</m:t>
        </m:r>
      </m:oMath>
      <w:r>
        <w:rPr>
          <w:rFonts w:ascii="Arial" w:hAnsi="Arial" w:cs="Arial"/>
          <w:lang w:val="en-US"/>
        </w:rPr>
        <w:t xml:space="preserve">                                                          </w:t>
      </w:r>
      <w:r w:rsidR="00F6555D">
        <w:rPr>
          <w:rFonts w:ascii="Arial" w:hAnsi="Arial" w:cs="Arial"/>
          <w:lang w:val="en-US"/>
        </w:rPr>
        <w:t xml:space="preserve">  </w:t>
      </w:r>
      <w:r>
        <w:rPr>
          <w:rFonts w:ascii="Arial" w:hAnsi="Arial" w:cs="Arial"/>
          <w:lang w:val="en-US"/>
        </w:rPr>
        <w:t xml:space="preserve">                               (2.10)</w:t>
      </w:r>
    </w:p>
    <w:p w14:paraId="4CD4BEFC" w14:textId="6348A15B" w:rsidR="00493C8C" w:rsidRDefault="00493C8C" w:rsidP="0066301C">
      <w:pPr>
        <w:pStyle w:val="ListParagraph"/>
        <w:autoSpaceDE w:val="0"/>
        <w:autoSpaceDN w:val="0"/>
        <w:adjustRightInd w:val="0"/>
        <w:spacing w:after="0" w:line="360" w:lineRule="auto"/>
        <w:ind w:left="0"/>
        <w:jc w:val="both"/>
        <w:rPr>
          <w:rFonts w:ascii="Arial" w:hAnsi="Arial" w:cs="Arial"/>
          <w:lang w:val="en-US"/>
        </w:rPr>
      </w:pPr>
      <w:r w:rsidRPr="00493C8C">
        <w:rPr>
          <w:rFonts w:ascii="Arial" w:hAnsi="Arial" w:cs="Arial"/>
          <w:lang w:val="en-US"/>
        </w:rPr>
        <w:t>∆R is the change in international reserve and is the same as ∆NFA. Thus, the above equation shows that imports less exports equal foreign savings (Fs) minus changes in the international reserve (∆R). So, the relationship between TB (external balance) and the monetary account could be written as follows from equations (</w:t>
      </w:r>
      <w:r w:rsidR="00E66964">
        <w:rPr>
          <w:rFonts w:ascii="Arial" w:hAnsi="Arial" w:cs="Arial"/>
          <w:lang w:val="en-US"/>
        </w:rPr>
        <w:t>2.</w:t>
      </w:r>
      <w:r w:rsidRPr="00493C8C">
        <w:rPr>
          <w:rFonts w:ascii="Arial" w:hAnsi="Arial" w:cs="Arial"/>
          <w:lang w:val="en-US"/>
        </w:rPr>
        <w:t>9) and (</w:t>
      </w:r>
      <w:r w:rsidR="00E66964">
        <w:rPr>
          <w:rFonts w:ascii="Arial" w:hAnsi="Arial" w:cs="Arial"/>
          <w:lang w:val="en-US"/>
        </w:rPr>
        <w:t>2.</w:t>
      </w:r>
      <w:r w:rsidRPr="00493C8C">
        <w:rPr>
          <w:rFonts w:ascii="Arial" w:hAnsi="Arial" w:cs="Arial"/>
          <w:lang w:val="en-US"/>
        </w:rPr>
        <w:t xml:space="preserve">10): </w:t>
      </w:r>
    </w:p>
    <w:p w14:paraId="1835CEE5" w14:textId="2780BE3A" w:rsidR="00E66964" w:rsidRPr="00E66964" w:rsidRDefault="00E66964" w:rsidP="0066301C">
      <w:pPr>
        <w:pStyle w:val="ListParagraph"/>
        <w:autoSpaceDE w:val="0"/>
        <w:autoSpaceDN w:val="0"/>
        <w:adjustRightInd w:val="0"/>
        <w:spacing w:after="0" w:line="360" w:lineRule="auto"/>
        <w:ind w:left="0"/>
        <w:jc w:val="center"/>
        <w:rPr>
          <w:rFonts w:ascii="Arial" w:hAnsi="Arial" w:cs="Arial"/>
          <w:lang w:val="en-US"/>
        </w:rPr>
      </w:pPr>
      <m:oMath>
        <m:r>
          <w:rPr>
            <w:rFonts w:ascii="Cambria Math" w:hAnsi="Cambria Math" w:cs="Arial"/>
            <w:lang w:val="en-US"/>
          </w:rPr>
          <m:t>M – X = (∆H - ∆D) –Fs</m:t>
        </m:r>
      </m:oMath>
      <w:r>
        <w:rPr>
          <w:rFonts w:ascii="Arial" w:hAnsi="Arial" w:cs="Arial"/>
          <w:i/>
          <w:iCs/>
          <w:lang w:val="en-US"/>
        </w:rPr>
        <w:t xml:space="preserve">                                      </w:t>
      </w:r>
      <w:r w:rsidR="00F6555D">
        <w:rPr>
          <w:rFonts w:ascii="Arial" w:hAnsi="Arial" w:cs="Arial"/>
          <w:i/>
          <w:iCs/>
          <w:lang w:val="en-US"/>
        </w:rPr>
        <w:t xml:space="preserve">   </w:t>
      </w:r>
      <w:r>
        <w:rPr>
          <w:rFonts w:ascii="Arial" w:hAnsi="Arial" w:cs="Arial"/>
          <w:i/>
          <w:iCs/>
          <w:lang w:val="en-US"/>
        </w:rPr>
        <w:t xml:space="preserve">                                      </w:t>
      </w:r>
      <w:r>
        <w:rPr>
          <w:rFonts w:ascii="Arial" w:hAnsi="Arial" w:cs="Arial"/>
          <w:lang w:val="en-US"/>
        </w:rPr>
        <w:t>(2.11)</w:t>
      </w:r>
    </w:p>
    <w:p w14:paraId="2469A6A8" w14:textId="6898F123" w:rsidR="00493C8C" w:rsidRPr="00493C8C" w:rsidRDefault="00493C8C" w:rsidP="0066301C">
      <w:pPr>
        <w:pStyle w:val="ListParagraph"/>
        <w:autoSpaceDE w:val="0"/>
        <w:autoSpaceDN w:val="0"/>
        <w:adjustRightInd w:val="0"/>
        <w:spacing w:after="0" w:line="360" w:lineRule="auto"/>
        <w:ind w:left="0"/>
        <w:jc w:val="both"/>
        <w:rPr>
          <w:rFonts w:ascii="Arial" w:hAnsi="Arial" w:cs="Arial"/>
          <w:lang w:val="en-US"/>
        </w:rPr>
      </w:pPr>
      <w:r w:rsidRPr="00493C8C">
        <w:rPr>
          <w:rFonts w:ascii="Arial" w:hAnsi="Arial" w:cs="Arial"/>
          <w:lang w:val="en-US"/>
        </w:rPr>
        <w:t xml:space="preserve">The above equation shows how the external </w:t>
      </w:r>
      <w:r w:rsidR="00E66964" w:rsidRPr="00493C8C">
        <w:rPr>
          <w:rFonts w:ascii="Arial" w:hAnsi="Arial" w:cs="Arial"/>
          <w:lang w:val="en-US"/>
        </w:rPr>
        <w:t>account,</w:t>
      </w:r>
      <w:r w:rsidRPr="00493C8C">
        <w:rPr>
          <w:rFonts w:ascii="Arial" w:hAnsi="Arial" w:cs="Arial"/>
          <w:lang w:val="en-US"/>
        </w:rPr>
        <w:t xml:space="preserve"> and the monetary accounts are related to the monetary theory of TB of a nation. This shows that an excess stock of money supply is negatively to the TB of a nation (Eshetu, 2017). This implies that an excess stock of money supply will lead to an out flow of reserves (import increases) or a BoP deficit. It is obvious from equation (</w:t>
      </w:r>
      <w:r w:rsidR="00E66964">
        <w:rPr>
          <w:rFonts w:ascii="Arial" w:hAnsi="Arial" w:cs="Arial"/>
          <w:lang w:val="en-US"/>
        </w:rPr>
        <w:t>2.</w:t>
      </w:r>
      <w:r w:rsidRPr="00493C8C">
        <w:rPr>
          <w:rFonts w:ascii="Arial" w:hAnsi="Arial" w:cs="Arial"/>
          <w:lang w:val="en-US"/>
        </w:rPr>
        <w:t>1</w:t>
      </w:r>
      <w:r w:rsidR="00E66964">
        <w:rPr>
          <w:rFonts w:ascii="Arial" w:hAnsi="Arial" w:cs="Arial"/>
          <w:lang w:val="en-US"/>
        </w:rPr>
        <w:t>1</w:t>
      </w:r>
      <w:r w:rsidRPr="00493C8C">
        <w:rPr>
          <w:rFonts w:ascii="Arial" w:hAnsi="Arial" w:cs="Arial"/>
          <w:lang w:val="en-US"/>
        </w:rPr>
        <w:t xml:space="preserve">) that devaluation improves the TB of a nation in line with the monetary theory. In case there is disequilibrium in the money market, this results to greater import or export which in turn brings equilibrium in the money markets through its impact on the nation’s monetary base. This means that when the money market is in equilibrium, so does the BoP. Hence, a nation’s BoP deficit/surplus is a temporal and self-correcting </w:t>
      </w:r>
      <w:bookmarkStart w:id="99" w:name="_Hlk160314911"/>
      <w:r w:rsidRPr="00493C8C">
        <w:rPr>
          <w:rFonts w:ascii="Arial" w:hAnsi="Arial" w:cs="Arial"/>
          <w:lang w:val="en-US"/>
        </w:rPr>
        <w:t>phenomenon (Eshetu, 2017; Dornbusch and Fischer, 1996).</w:t>
      </w:r>
    </w:p>
    <w:p w14:paraId="4C1F7B82" w14:textId="36B60FC5" w:rsidR="00A04E24" w:rsidRDefault="005D7FAC" w:rsidP="0066301C">
      <w:pPr>
        <w:pStyle w:val="Heading3"/>
        <w:numPr>
          <w:ilvl w:val="0"/>
          <w:numId w:val="0"/>
        </w:numPr>
        <w:spacing w:before="0" w:beforeAutospacing="0"/>
        <w:rPr>
          <w:rFonts w:cs="Arial"/>
        </w:rPr>
      </w:pPr>
      <w:bookmarkStart w:id="100" w:name="_Toc171075371"/>
      <w:r>
        <w:t>2.</w:t>
      </w:r>
      <w:r w:rsidR="00892A02">
        <w:t>4</w:t>
      </w:r>
      <w:r>
        <w:t>.</w:t>
      </w:r>
      <w:r w:rsidR="00892A02">
        <w:t>5</w:t>
      </w:r>
      <w:r>
        <w:tab/>
      </w:r>
      <w:r w:rsidRPr="00264CD0">
        <w:rPr>
          <w:rFonts w:cs="Arial"/>
          <w:lang w:val="en-US"/>
        </w:rPr>
        <w:t xml:space="preserve">THE </w:t>
      </w:r>
      <w:r>
        <w:rPr>
          <w:rFonts w:cs="Arial"/>
          <w:i/>
          <w:iCs/>
          <w:lang w:val="en-US"/>
        </w:rPr>
        <w:t>J</w:t>
      </w:r>
      <w:r>
        <w:rPr>
          <w:rFonts w:cs="Arial"/>
          <w:lang w:val="en-US"/>
        </w:rPr>
        <w:t>-CURVE EFFECT</w:t>
      </w:r>
      <w:bookmarkEnd w:id="100"/>
    </w:p>
    <w:p w14:paraId="56EE5EDD" w14:textId="3DDA83F6" w:rsidR="00831DEB" w:rsidRPr="00CA5EB9" w:rsidRDefault="00831DEB" w:rsidP="0066301C">
      <w:pPr>
        <w:spacing w:line="360" w:lineRule="auto"/>
        <w:jc w:val="both"/>
        <w:rPr>
          <w:rFonts w:ascii="Arial" w:hAnsi="Arial" w:cs="Arial"/>
        </w:rPr>
      </w:pPr>
      <w:bookmarkStart w:id="101" w:name="_Hlk160957251"/>
      <w:bookmarkStart w:id="102" w:name="_Hlk160958635"/>
      <w:r w:rsidRPr="00CA5EB9">
        <w:rPr>
          <w:rFonts w:ascii="Arial" w:hAnsi="Arial" w:cs="Arial"/>
        </w:rPr>
        <w:t>The </w:t>
      </w:r>
      <w:r w:rsidRPr="00CA5EB9">
        <w:rPr>
          <w:rStyle w:val="Emphasis"/>
          <w:rFonts w:ascii="Arial" w:hAnsi="Arial" w:cs="Arial"/>
          <w:color w:val="0E101A"/>
        </w:rPr>
        <w:t>J-</w:t>
      </w:r>
      <w:r w:rsidRPr="00CA5EB9">
        <w:rPr>
          <w:rFonts w:ascii="Arial" w:hAnsi="Arial" w:cs="Arial"/>
        </w:rPr>
        <w:t>curve theory is the economics traditional wisdom of analysing the dynamic effect of exchange rate changes on TB. If the Marshall-Lerner Condition (MLC)</w:t>
      </w:r>
      <w:r w:rsidRPr="00CA5EB9">
        <w:rPr>
          <w:rStyle w:val="FootnoteReference"/>
          <w:rFonts w:ascii="Arial" w:hAnsi="Arial" w:cs="Arial"/>
        </w:rPr>
        <w:footnoteReference w:id="49"/>
      </w:r>
      <w:r w:rsidRPr="00CA5EB9">
        <w:rPr>
          <w:rFonts w:ascii="Arial" w:hAnsi="Arial" w:cs="Arial"/>
        </w:rPr>
        <w:t xml:space="preserve"> holds, it is likely that following a devaluation, an initial drop in TB occurs before an improvement follows (Ziramba and Chifamba, 2014; Baek </w:t>
      </w:r>
      <w:r w:rsidRPr="00CA5EB9">
        <w:rPr>
          <w:rStyle w:val="Emphasis"/>
          <w:rFonts w:ascii="Arial" w:hAnsi="Arial" w:cs="Arial"/>
          <w:color w:val="0E101A"/>
        </w:rPr>
        <w:t>et al., </w:t>
      </w:r>
      <w:r w:rsidRPr="00CA5EB9">
        <w:rPr>
          <w:rFonts w:ascii="Arial" w:hAnsi="Arial" w:cs="Arial"/>
        </w:rPr>
        <w:t>2006). The response of the TB over time looks like a tilted J shape. The </w:t>
      </w:r>
      <w:r w:rsidRPr="00CA5EB9">
        <w:rPr>
          <w:rStyle w:val="Emphasis"/>
          <w:rFonts w:ascii="Arial" w:hAnsi="Arial" w:cs="Arial"/>
          <w:color w:val="0E101A"/>
        </w:rPr>
        <w:t>J</w:t>
      </w:r>
      <w:r w:rsidRPr="00CA5EB9">
        <w:rPr>
          <w:rFonts w:ascii="Arial" w:hAnsi="Arial" w:cs="Arial"/>
        </w:rPr>
        <w:t xml:space="preserve">–curve phenomenon is attributed to the lagged adjustment of quantities to changes in the relative prices (Magee, 1973; Junz and Rhomberg, 1973). </w:t>
      </w:r>
      <w:bookmarkEnd w:id="101"/>
      <w:r w:rsidRPr="00CA5EB9">
        <w:rPr>
          <w:rFonts w:ascii="Arial" w:hAnsi="Arial" w:cs="Arial"/>
        </w:rPr>
        <w:t xml:space="preserve">For </w:t>
      </w:r>
      <w:r w:rsidR="00E377A5" w:rsidRPr="00CA5EB9">
        <w:rPr>
          <w:rFonts w:ascii="Arial" w:hAnsi="Arial" w:cs="Arial"/>
        </w:rPr>
        <w:t>instant</w:t>
      </w:r>
      <w:r w:rsidRPr="00CA5EB9">
        <w:rPr>
          <w:rFonts w:ascii="Arial" w:hAnsi="Arial" w:cs="Arial"/>
        </w:rPr>
        <w:t xml:space="preserve">, in case there is a devaluation of a domestic currency, then the increase in the domestic price competitiveness could result in the exportation of more and the importation of less. By so doing, it improves the TB, known as the volume effect. At the same time, the devaluation increases the import unit value, resulting in the deterioration of the TB, known as the price (value) effect. The price effect dominates in the short term, while the volume effect prevails in the long term, thereby causing </w:t>
      </w:r>
      <w:r w:rsidRPr="00CA5EB9">
        <w:rPr>
          <w:rFonts w:ascii="Arial" w:hAnsi="Arial" w:cs="Arial"/>
        </w:rPr>
        <w:lastRenderedPageBreak/>
        <w:t>the time path of the TB depicted by the </w:t>
      </w:r>
      <w:r w:rsidRPr="00CA5EB9">
        <w:rPr>
          <w:rStyle w:val="Emphasis"/>
          <w:rFonts w:ascii="Arial" w:hAnsi="Arial" w:cs="Arial"/>
          <w:color w:val="0E101A"/>
        </w:rPr>
        <w:t>J-</w:t>
      </w:r>
      <w:r w:rsidRPr="00CA5EB9">
        <w:rPr>
          <w:rFonts w:ascii="Arial" w:hAnsi="Arial" w:cs="Arial"/>
        </w:rPr>
        <w:t>curve phenomenon (Ziramba and Chifamba, 2014; Abd-El-Kader, 2013; Bahmani-Oskooee and Mitra, 2009). </w:t>
      </w:r>
    </w:p>
    <w:p w14:paraId="5F52AC3D" w14:textId="77777777" w:rsidR="00AA53AB" w:rsidRPr="00CA5EB9" w:rsidRDefault="007014CF" w:rsidP="0066301C">
      <w:pPr>
        <w:spacing w:line="360" w:lineRule="auto"/>
        <w:jc w:val="both"/>
        <w:rPr>
          <w:rFonts w:ascii="Arial" w:hAnsi="Arial" w:cs="Arial"/>
          <w:lang w:eastAsia="en-GB"/>
        </w:rPr>
      </w:pPr>
      <w:bookmarkStart w:id="103" w:name="_Hlk162662114"/>
      <w:r w:rsidRPr="00CA5EB9">
        <w:rPr>
          <w:rFonts w:ascii="Arial" w:hAnsi="Arial" w:cs="Arial"/>
          <w:lang w:eastAsia="en-GB"/>
        </w:rPr>
        <w:t>Among all the theories</w:t>
      </w:r>
      <w:r w:rsidR="005D53A7" w:rsidRPr="00CA5EB9">
        <w:rPr>
          <w:rFonts w:ascii="Arial" w:hAnsi="Arial" w:cs="Arial"/>
          <w:lang w:eastAsia="en-GB"/>
        </w:rPr>
        <w:t xml:space="preserve"> of TB</w:t>
      </w:r>
      <w:r w:rsidR="00C30900" w:rsidRPr="00CA5EB9">
        <w:rPr>
          <w:rFonts w:ascii="Arial" w:hAnsi="Arial" w:cs="Arial"/>
          <w:lang w:eastAsia="en-GB"/>
        </w:rPr>
        <w:t xml:space="preserve"> mentioned above</w:t>
      </w:r>
      <w:r w:rsidRPr="00CA5EB9">
        <w:rPr>
          <w:rFonts w:ascii="Arial" w:hAnsi="Arial" w:cs="Arial"/>
          <w:lang w:eastAsia="en-GB"/>
        </w:rPr>
        <w:t>, the </w:t>
      </w:r>
      <w:r w:rsidRPr="00CA5EB9">
        <w:rPr>
          <w:rFonts w:ascii="Arial" w:hAnsi="Arial" w:cs="Arial"/>
          <w:i/>
          <w:iCs/>
          <w:lang w:eastAsia="en-GB"/>
        </w:rPr>
        <w:t>J</w:t>
      </w:r>
      <w:r w:rsidRPr="00CA5EB9">
        <w:rPr>
          <w:rFonts w:ascii="Arial" w:hAnsi="Arial" w:cs="Arial"/>
          <w:lang w:eastAsia="en-GB"/>
        </w:rPr>
        <w:t>-curve theory has had the most attention</w:t>
      </w:r>
      <w:bookmarkEnd w:id="103"/>
      <w:r w:rsidRPr="00CA5EB9">
        <w:rPr>
          <w:rFonts w:ascii="Arial" w:hAnsi="Arial" w:cs="Arial"/>
          <w:lang w:eastAsia="en-GB"/>
        </w:rPr>
        <w:t>. The </w:t>
      </w:r>
      <w:r w:rsidRPr="00CA5EB9">
        <w:rPr>
          <w:rFonts w:ascii="Arial" w:hAnsi="Arial" w:cs="Arial"/>
          <w:i/>
          <w:iCs/>
          <w:lang w:eastAsia="en-GB"/>
        </w:rPr>
        <w:t>J-</w:t>
      </w:r>
      <w:r w:rsidRPr="00CA5EB9">
        <w:rPr>
          <w:rFonts w:ascii="Arial" w:hAnsi="Arial" w:cs="Arial"/>
          <w:lang w:eastAsia="en-GB"/>
        </w:rPr>
        <w:t>curve theory has occupied the most recent empirical literature due to its ability to incorporate other older approaches indirectly and, at the same time, provide a novel approach to the issue by itself (Dhakir </w:t>
      </w:r>
      <w:r w:rsidRPr="00CA5EB9">
        <w:rPr>
          <w:rFonts w:ascii="Arial" w:hAnsi="Arial" w:cs="Arial"/>
          <w:i/>
          <w:iCs/>
          <w:lang w:eastAsia="en-GB"/>
        </w:rPr>
        <w:t>et al.,</w:t>
      </w:r>
      <w:r w:rsidRPr="00CA5EB9">
        <w:rPr>
          <w:rFonts w:ascii="Arial" w:hAnsi="Arial" w:cs="Arial"/>
          <w:lang w:eastAsia="en-GB"/>
        </w:rPr>
        <w:t xml:space="preserve"> 2015). For instance, as stated by the Marshall-Lerner Condition (MLC), for currency depreciation to have a positive effect on the TB, the elasticities of demand for imports and exports must, in absolute terms, exceed unity (Marshall and Groenewegen, 1923). A long-term improvement of TB under the </w:t>
      </w:r>
      <w:r w:rsidRPr="00CA5EB9">
        <w:rPr>
          <w:rFonts w:ascii="Arial" w:hAnsi="Arial" w:cs="Arial"/>
          <w:i/>
          <w:iCs/>
          <w:lang w:eastAsia="en-GB"/>
        </w:rPr>
        <w:t>J</w:t>
      </w:r>
      <w:r w:rsidRPr="00CA5EB9">
        <w:rPr>
          <w:rFonts w:ascii="Arial" w:hAnsi="Arial" w:cs="Arial"/>
          <w:lang w:eastAsia="en-GB"/>
        </w:rPr>
        <w:t xml:space="preserve">-curve </w:t>
      </w:r>
      <w:bookmarkEnd w:id="102"/>
      <w:r w:rsidRPr="00CA5EB9">
        <w:rPr>
          <w:rFonts w:ascii="Arial" w:hAnsi="Arial" w:cs="Arial"/>
          <w:lang w:eastAsia="en-GB"/>
        </w:rPr>
        <w:t xml:space="preserve">analysis can show that the condition is met (Bahmani-Oskooee and Wang, 2008). Another approach is the Elasticity approach by Bickerdike-Robinson-Metzler, which states that for an exchange rate depreciation to improve the TB, the ultimate impact is determined by the interaction of the value and volume effects on the trade flow (Dhakir </w:t>
      </w:r>
      <w:r w:rsidRPr="00CA5EB9">
        <w:rPr>
          <w:rFonts w:ascii="Arial" w:hAnsi="Arial" w:cs="Arial"/>
          <w:i/>
          <w:iCs/>
          <w:lang w:eastAsia="en-GB"/>
        </w:rPr>
        <w:t>et al</w:t>
      </w:r>
      <w:r w:rsidRPr="00CA5EB9">
        <w:rPr>
          <w:rFonts w:ascii="Arial" w:hAnsi="Arial" w:cs="Arial"/>
          <w:lang w:eastAsia="en-GB"/>
        </w:rPr>
        <w:t>., 2015). In the short-term, the value effect is fast by changing the traded goods’ prices. Due to currency depreciation, the value of imports increases when paid in domestic currency, while at the same time, the volume of exports remains the same. Thus, the net exports decrease, causing the trade balance to worsen. However, in the long term, the value effect itself leads to improving TB by changing the volume of trade. The simultaneous combination of two effects causes this: firstly, the domestic market begins compensating for the relatively high price of imported products via the consumption of domestic production. Secondly, exports start improving due to the price competitive advantage of domestic products in the international markets.</w:t>
      </w:r>
      <w:r w:rsidR="007564D5" w:rsidRPr="00CA5EB9">
        <w:rPr>
          <w:rFonts w:ascii="Arial" w:hAnsi="Arial" w:cs="Arial"/>
          <w:lang w:eastAsia="en-GB"/>
        </w:rPr>
        <w:t xml:space="preserve"> </w:t>
      </w:r>
      <w:r w:rsidR="00C30900" w:rsidRPr="00CA5EB9">
        <w:rPr>
          <w:rFonts w:ascii="Arial" w:hAnsi="Arial" w:cs="Arial"/>
          <w:lang w:eastAsia="en-GB"/>
        </w:rPr>
        <w:t xml:space="preserve"> </w:t>
      </w:r>
    </w:p>
    <w:p w14:paraId="445B86FA" w14:textId="35D41E6B" w:rsidR="007014CF" w:rsidRPr="00CA5EB9" w:rsidRDefault="00F5257E" w:rsidP="0066301C">
      <w:pPr>
        <w:spacing w:line="360" w:lineRule="auto"/>
        <w:jc w:val="both"/>
        <w:rPr>
          <w:rFonts w:ascii="Arial" w:hAnsi="Arial" w:cs="Arial"/>
          <w:lang w:eastAsia="en-GB"/>
        </w:rPr>
      </w:pPr>
      <w:r w:rsidRPr="00CA5EB9">
        <w:rPr>
          <w:rFonts w:ascii="Arial" w:hAnsi="Arial" w:cs="Arial"/>
          <w:lang w:eastAsia="en-GB"/>
        </w:rPr>
        <w:t xml:space="preserve">Based on </w:t>
      </w:r>
      <w:r w:rsidR="00AA53AB" w:rsidRPr="00CA5EB9">
        <w:rPr>
          <w:rFonts w:ascii="Arial" w:hAnsi="Arial" w:cs="Arial"/>
          <w:lang w:eastAsia="en-GB"/>
        </w:rPr>
        <w:t xml:space="preserve">the </w:t>
      </w:r>
      <w:r w:rsidRPr="00CA5EB9">
        <w:rPr>
          <w:rFonts w:ascii="Arial" w:hAnsi="Arial" w:cs="Arial"/>
          <w:lang w:eastAsia="en-GB"/>
        </w:rPr>
        <w:t xml:space="preserve">criticisms of the other theories and the </w:t>
      </w:r>
      <w:r w:rsidR="00AA53AB" w:rsidRPr="00CA5EB9">
        <w:rPr>
          <w:rFonts w:ascii="Arial" w:hAnsi="Arial" w:cs="Arial"/>
          <w:lang w:eastAsia="en-GB"/>
        </w:rPr>
        <w:t xml:space="preserve">advantages the </w:t>
      </w:r>
      <w:r w:rsidR="00AA53AB" w:rsidRPr="00CA5EB9">
        <w:rPr>
          <w:rFonts w:ascii="Arial" w:hAnsi="Arial" w:cs="Arial"/>
          <w:i/>
          <w:iCs/>
          <w:lang w:eastAsia="en-GB"/>
        </w:rPr>
        <w:t>J-</w:t>
      </w:r>
      <w:r w:rsidR="00AA53AB" w:rsidRPr="00CA5EB9">
        <w:rPr>
          <w:rFonts w:ascii="Arial" w:hAnsi="Arial" w:cs="Arial"/>
          <w:lang w:eastAsia="en-GB"/>
        </w:rPr>
        <w:t>curve relative to the</w:t>
      </w:r>
      <w:r w:rsidRPr="00CA5EB9">
        <w:rPr>
          <w:rFonts w:ascii="Arial" w:hAnsi="Arial" w:cs="Arial"/>
          <w:lang w:eastAsia="en-GB"/>
        </w:rPr>
        <w:t xml:space="preserve">m as mentioned above, </w:t>
      </w:r>
      <w:r w:rsidR="00C30900" w:rsidRPr="00CA5EB9">
        <w:rPr>
          <w:rFonts w:ascii="Arial" w:hAnsi="Arial" w:cs="Arial"/>
          <w:lang w:eastAsia="en-GB"/>
        </w:rPr>
        <w:t xml:space="preserve">we will be using the </w:t>
      </w:r>
      <w:r w:rsidR="00C30900" w:rsidRPr="00CA5EB9">
        <w:rPr>
          <w:rFonts w:ascii="Arial" w:hAnsi="Arial" w:cs="Arial"/>
          <w:i/>
          <w:iCs/>
          <w:lang w:eastAsia="en-GB"/>
        </w:rPr>
        <w:t>J</w:t>
      </w:r>
      <w:r w:rsidR="00C30900" w:rsidRPr="00CA5EB9">
        <w:rPr>
          <w:rFonts w:ascii="Arial" w:hAnsi="Arial" w:cs="Arial"/>
          <w:lang w:eastAsia="en-GB"/>
        </w:rPr>
        <w:t>-curve effect to analyse the impact of R</w:t>
      </w:r>
      <w:r w:rsidR="00A35B57" w:rsidRPr="00CA5EB9">
        <w:rPr>
          <w:rFonts w:ascii="Arial" w:hAnsi="Arial" w:cs="Arial"/>
          <w:lang w:eastAsia="en-GB"/>
        </w:rPr>
        <w:t>E</w:t>
      </w:r>
      <w:r w:rsidR="00C30900" w:rsidRPr="00CA5EB9">
        <w:rPr>
          <w:rFonts w:ascii="Arial" w:hAnsi="Arial" w:cs="Arial"/>
          <w:lang w:eastAsia="en-GB"/>
        </w:rPr>
        <w:t>ER on the TB of CEMAC nations.</w:t>
      </w:r>
      <w:r w:rsidR="00AA53AB" w:rsidRPr="00CA5EB9">
        <w:rPr>
          <w:rFonts w:ascii="Arial" w:hAnsi="Arial" w:cs="Arial"/>
          <w:lang w:eastAsia="en-GB"/>
        </w:rPr>
        <w:t xml:space="preserve"> </w:t>
      </w:r>
      <w:r w:rsidR="00A829D3" w:rsidRPr="00CA5EB9">
        <w:rPr>
          <w:rFonts w:ascii="Arial" w:hAnsi="Arial" w:cs="Arial"/>
          <w:lang w:eastAsia="en-GB"/>
        </w:rPr>
        <w:t>This will be done in chapter</w:t>
      </w:r>
      <w:r w:rsidR="005E0F7D" w:rsidRPr="00CA5EB9">
        <w:rPr>
          <w:rFonts w:ascii="Arial" w:hAnsi="Arial" w:cs="Arial"/>
          <w:lang w:eastAsia="en-GB"/>
        </w:rPr>
        <w:t xml:space="preserve"> </w:t>
      </w:r>
      <w:r w:rsidR="00B54907" w:rsidRPr="00CA5EB9">
        <w:rPr>
          <w:rFonts w:ascii="Arial" w:hAnsi="Arial" w:cs="Arial"/>
          <w:lang w:eastAsia="en-GB"/>
        </w:rPr>
        <w:t>4</w:t>
      </w:r>
      <w:r w:rsidR="00A829D3" w:rsidRPr="00CA5EB9">
        <w:rPr>
          <w:rFonts w:ascii="Arial" w:hAnsi="Arial" w:cs="Arial"/>
          <w:lang w:eastAsia="en-GB"/>
        </w:rPr>
        <w:t xml:space="preserve"> </w:t>
      </w:r>
      <w:r w:rsidR="00AA53AB" w:rsidRPr="00CA5EB9">
        <w:rPr>
          <w:rFonts w:ascii="Arial" w:hAnsi="Arial" w:cs="Arial"/>
          <w:lang w:eastAsia="en-GB"/>
        </w:rPr>
        <w:t>(</w:t>
      </w:r>
      <w:r w:rsidR="00A829D3" w:rsidRPr="00CA5EB9">
        <w:rPr>
          <w:rFonts w:ascii="Arial" w:hAnsi="Arial" w:cs="Arial"/>
          <w:lang w:eastAsia="en-GB"/>
        </w:rPr>
        <w:t>section 4.3)</w:t>
      </w:r>
      <w:r w:rsidR="005E0F7D" w:rsidRPr="00CA5EB9">
        <w:rPr>
          <w:rFonts w:ascii="Arial" w:hAnsi="Arial" w:cs="Arial"/>
          <w:lang w:eastAsia="en-GB"/>
        </w:rPr>
        <w:t>,</w:t>
      </w:r>
      <w:r w:rsidR="00A829D3" w:rsidRPr="00CA5EB9">
        <w:rPr>
          <w:rFonts w:ascii="Arial" w:hAnsi="Arial" w:cs="Arial"/>
          <w:lang w:eastAsia="en-GB"/>
        </w:rPr>
        <w:t xml:space="preserve"> where we will be looking at the </w:t>
      </w:r>
      <w:r w:rsidR="00650734" w:rsidRPr="00CA5EB9">
        <w:rPr>
          <w:rFonts w:ascii="Arial" w:hAnsi="Arial" w:cs="Arial"/>
          <w:i/>
          <w:iCs/>
          <w:lang w:eastAsia="en-GB"/>
        </w:rPr>
        <w:t>J-</w:t>
      </w:r>
      <w:r w:rsidR="00650734" w:rsidRPr="00CA5EB9">
        <w:rPr>
          <w:rFonts w:ascii="Arial" w:hAnsi="Arial" w:cs="Arial"/>
          <w:lang w:eastAsia="en-GB"/>
        </w:rPr>
        <w:t xml:space="preserve">curve </w:t>
      </w:r>
      <w:r w:rsidR="00A829D3" w:rsidRPr="00CA5EB9">
        <w:rPr>
          <w:rFonts w:ascii="Arial" w:hAnsi="Arial" w:cs="Arial"/>
          <w:lang w:eastAsia="en-GB"/>
        </w:rPr>
        <w:t xml:space="preserve">assumptions. We will look at </w:t>
      </w:r>
      <w:r w:rsidR="005E0F7D" w:rsidRPr="00CA5EB9">
        <w:rPr>
          <w:rFonts w:ascii="Arial" w:hAnsi="Arial" w:cs="Arial"/>
          <w:lang w:eastAsia="en-GB"/>
        </w:rPr>
        <w:t xml:space="preserve">the </w:t>
      </w:r>
      <w:r w:rsidR="00650734" w:rsidRPr="00CA5EB9">
        <w:rPr>
          <w:rFonts w:ascii="Arial" w:hAnsi="Arial" w:cs="Arial"/>
        </w:rPr>
        <w:t>three adjustment periods of the</w:t>
      </w:r>
      <w:r w:rsidR="00650734" w:rsidRPr="00CA5EB9">
        <w:rPr>
          <w:rFonts w:ascii="Arial" w:hAnsi="Arial" w:cs="Arial"/>
          <w:i/>
          <w:iCs/>
          <w:lang w:eastAsia="en-GB"/>
        </w:rPr>
        <w:t xml:space="preserve"> </w:t>
      </w:r>
      <w:r w:rsidR="005E0F7D" w:rsidRPr="00CA5EB9">
        <w:rPr>
          <w:rFonts w:ascii="Arial" w:hAnsi="Arial" w:cs="Arial"/>
          <w:i/>
          <w:iCs/>
          <w:lang w:eastAsia="en-GB"/>
        </w:rPr>
        <w:t>J-</w:t>
      </w:r>
      <w:r w:rsidR="005E0F7D" w:rsidRPr="00CA5EB9">
        <w:rPr>
          <w:rFonts w:ascii="Arial" w:hAnsi="Arial" w:cs="Arial"/>
          <w:lang w:eastAsia="en-GB"/>
        </w:rPr>
        <w:t>curve</w:t>
      </w:r>
      <w:r w:rsidR="00A829D3" w:rsidRPr="00CA5EB9">
        <w:rPr>
          <w:rFonts w:ascii="Arial" w:hAnsi="Arial" w:cs="Arial"/>
        </w:rPr>
        <w:t xml:space="preserve">: i) the currency contract period, ii) the pass-through period, and iii) the sluggish response. Finally, we will go through the three different approaches of determining the </w:t>
      </w:r>
      <w:r w:rsidR="00A829D3" w:rsidRPr="00CA5EB9">
        <w:rPr>
          <w:rFonts w:ascii="Arial" w:hAnsi="Arial" w:cs="Arial"/>
          <w:i/>
          <w:iCs/>
        </w:rPr>
        <w:t>J-</w:t>
      </w:r>
      <w:r w:rsidR="00A829D3" w:rsidRPr="00CA5EB9">
        <w:rPr>
          <w:rFonts w:ascii="Arial" w:hAnsi="Arial" w:cs="Arial"/>
        </w:rPr>
        <w:t>curve</w:t>
      </w:r>
      <w:r w:rsidR="005E0F7D" w:rsidRPr="00CA5EB9">
        <w:rPr>
          <w:rFonts w:ascii="Arial" w:hAnsi="Arial" w:cs="Arial"/>
        </w:rPr>
        <w:t xml:space="preserve"> (Aggregate Trade Data Approach by Magee (1973), Bilateral Aggregate Trade Data Approach by Rose and Yellen (1989), Bilateral Disaggregate Trade Data approach by Doroodian </w:t>
      </w:r>
      <w:r w:rsidR="005E0F7D" w:rsidRPr="00CA5EB9">
        <w:rPr>
          <w:rStyle w:val="Emphasis"/>
          <w:rFonts w:ascii="Arial" w:hAnsi="Arial" w:cs="Arial"/>
          <w:color w:val="0E101A"/>
        </w:rPr>
        <w:t>et al. </w:t>
      </w:r>
      <w:r w:rsidR="005E0F7D" w:rsidRPr="00CA5EB9">
        <w:rPr>
          <w:rFonts w:ascii="Arial" w:hAnsi="Arial" w:cs="Arial"/>
        </w:rPr>
        <w:t>(1999)).</w:t>
      </w:r>
      <w:r w:rsidR="00AA53AB" w:rsidRPr="00CA5EB9">
        <w:rPr>
          <w:rFonts w:ascii="Arial" w:hAnsi="Arial" w:cs="Arial"/>
          <w:lang w:eastAsia="en-GB"/>
        </w:rPr>
        <w:t xml:space="preserve"> </w:t>
      </w:r>
      <w:r w:rsidR="005E0F7D" w:rsidRPr="00CA5EB9">
        <w:rPr>
          <w:rFonts w:ascii="Arial" w:hAnsi="Arial" w:cs="Arial"/>
          <w:lang w:eastAsia="en-GB"/>
        </w:rPr>
        <w:t>Thus, we</w:t>
      </w:r>
      <w:r w:rsidR="00AD4EAB" w:rsidRPr="00CA5EB9">
        <w:rPr>
          <w:rFonts w:ascii="Arial" w:hAnsi="Arial" w:cs="Arial"/>
          <w:lang w:eastAsia="en-GB"/>
        </w:rPr>
        <w:t xml:space="preserve"> will </w:t>
      </w:r>
      <w:r w:rsidR="005E0F7D" w:rsidRPr="00CA5EB9">
        <w:rPr>
          <w:rFonts w:ascii="Arial" w:hAnsi="Arial" w:cs="Arial"/>
          <w:lang w:eastAsia="en-GB"/>
        </w:rPr>
        <w:t>now</w:t>
      </w:r>
      <w:r w:rsidR="00AD4EAB" w:rsidRPr="00CA5EB9">
        <w:rPr>
          <w:rFonts w:ascii="Arial" w:hAnsi="Arial" w:cs="Arial"/>
          <w:lang w:eastAsia="en-GB"/>
        </w:rPr>
        <w:t xml:space="preserve"> proceed with empirical reviews.</w:t>
      </w:r>
    </w:p>
    <w:p w14:paraId="6DCA7524" w14:textId="77777777" w:rsidR="0074701C" w:rsidRPr="00CA5EB9" w:rsidRDefault="0074701C" w:rsidP="0066301C">
      <w:pPr>
        <w:spacing w:line="360" w:lineRule="auto"/>
        <w:jc w:val="both"/>
        <w:rPr>
          <w:rFonts w:ascii="Arial" w:hAnsi="Arial" w:cs="Arial"/>
        </w:rPr>
      </w:pPr>
      <w:bookmarkStart w:id="104" w:name="_Hlk170248718"/>
      <w:bookmarkStart w:id="105" w:name="_Hlk162662277"/>
      <w:bookmarkEnd w:id="99"/>
      <w:r w:rsidRPr="00CA5EB9">
        <w:rPr>
          <w:rFonts w:ascii="Arial" w:hAnsi="Arial" w:cs="Arial"/>
        </w:rPr>
        <w:t>Lots of empirical analyses on the </w:t>
      </w:r>
      <w:r w:rsidRPr="00CA5EB9">
        <w:rPr>
          <w:rStyle w:val="Emphasis"/>
          <w:rFonts w:ascii="Arial" w:hAnsi="Arial" w:cs="Arial"/>
        </w:rPr>
        <w:t>J-</w:t>
      </w:r>
      <w:r w:rsidRPr="00CA5EB9">
        <w:rPr>
          <w:rFonts w:ascii="Arial" w:hAnsi="Arial" w:cs="Arial"/>
        </w:rPr>
        <w:t>curve hypothesis are mixed.</w:t>
      </w:r>
      <w:bookmarkEnd w:id="104"/>
      <w:r w:rsidRPr="00CA5EB9">
        <w:rPr>
          <w:rFonts w:ascii="Arial" w:hAnsi="Arial" w:cs="Arial"/>
        </w:rPr>
        <w:t xml:space="preserve"> Studies on the impact of exchange rate movements on the trade balance are still in considerable disagreement on the relationships between these economic variables and the effectiveness of currency devaluation as a tool for improving the TB of a nation (Borena, 2013; Onafowora, 2003). </w:t>
      </w:r>
      <w:bookmarkEnd w:id="105"/>
      <w:r w:rsidRPr="00CA5EB9">
        <w:rPr>
          <w:rFonts w:ascii="Arial" w:hAnsi="Arial" w:cs="Arial"/>
        </w:rPr>
        <w:t>Mndaka </w:t>
      </w:r>
      <w:r w:rsidRPr="00CA5EB9">
        <w:rPr>
          <w:rStyle w:val="Emphasis"/>
          <w:rFonts w:ascii="Arial" w:hAnsi="Arial" w:cs="Arial"/>
        </w:rPr>
        <w:t>et al.</w:t>
      </w:r>
      <w:r w:rsidRPr="00CA5EB9">
        <w:rPr>
          <w:rFonts w:ascii="Arial" w:hAnsi="Arial" w:cs="Arial"/>
        </w:rPr>
        <w:t> (2022) tested for the validity of the </w:t>
      </w:r>
      <w:r w:rsidRPr="00CA5EB9">
        <w:rPr>
          <w:rStyle w:val="Emphasis"/>
          <w:rFonts w:ascii="Arial" w:hAnsi="Arial" w:cs="Arial"/>
        </w:rPr>
        <w:t>J-</w:t>
      </w:r>
      <w:r w:rsidRPr="00CA5EB9">
        <w:rPr>
          <w:rFonts w:ascii="Arial" w:hAnsi="Arial" w:cs="Arial"/>
        </w:rPr>
        <w:t xml:space="preserve">curve using evidence from South African Development Community </w:t>
      </w:r>
      <w:r w:rsidRPr="00CA5EB9">
        <w:rPr>
          <w:rFonts w:ascii="Arial" w:hAnsi="Arial" w:cs="Arial"/>
        </w:rPr>
        <w:lastRenderedPageBreak/>
        <w:t>Countries (SADC). The study adopts the Autoregressive Distributed Lagged (ARDL) cointegration technique from 1980 to 2018 for SADC countries using data from the World Development Indicators and the Trade Map. The study found that the theory holds for Angola, Comoros and Seychelles, Madagascar, Eswatini, and South Africa. The theory does not hold for Botswana, the Democratic Republic of Congo, Lesotho, Malawi, Mozambique, Namibia, Tanzania, and Zambia. For economies whose results are inconsistent with the </w:t>
      </w:r>
      <w:r w:rsidRPr="00CA5EB9">
        <w:rPr>
          <w:rStyle w:val="Emphasis"/>
          <w:rFonts w:ascii="Arial" w:hAnsi="Arial" w:cs="Arial"/>
        </w:rPr>
        <w:t>J</w:t>
      </w:r>
      <w:r w:rsidRPr="00CA5EB9">
        <w:rPr>
          <w:rFonts w:ascii="Arial" w:hAnsi="Arial" w:cs="Arial"/>
        </w:rPr>
        <w:t>-curve phenomenon, the study suggested that authorities must rely on other policies than the exchange rate policy. Deliberate policies toward export diversification and fiscal policies ought to be employed to resolve the financial challenges faced by the export sector.</w:t>
      </w:r>
    </w:p>
    <w:p w14:paraId="0AFCDA5F" w14:textId="4C0BE4D7" w:rsidR="0074701C" w:rsidRPr="00CA5EB9" w:rsidRDefault="00764125" w:rsidP="0066301C">
      <w:pPr>
        <w:spacing w:line="360" w:lineRule="auto"/>
        <w:jc w:val="both"/>
        <w:rPr>
          <w:rFonts w:ascii="Arial" w:hAnsi="Arial" w:cs="Arial"/>
        </w:rPr>
      </w:pPr>
      <w:r w:rsidRPr="00CA5EB9">
        <w:rPr>
          <w:rFonts w:ascii="Arial" w:hAnsi="Arial" w:cs="Arial"/>
        </w:rPr>
        <w:t xml:space="preserve">In </w:t>
      </w:r>
      <w:r w:rsidR="00383A9B" w:rsidRPr="00CA5EB9">
        <w:rPr>
          <w:rFonts w:ascii="Arial" w:hAnsi="Arial" w:cs="Arial"/>
        </w:rPr>
        <w:t>revisit</w:t>
      </w:r>
      <w:r w:rsidRPr="00CA5EB9">
        <w:rPr>
          <w:rFonts w:ascii="Arial" w:hAnsi="Arial" w:cs="Arial"/>
        </w:rPr>
        <w:t>ing</w:t>
      </w:r>
      <w:r w:rsidR="0074701C" w:rsidRPr="00CA5EB9">
        <w:rPr>
          <w:rFonts w:ascii="Arial" w:hAnsi="Arial" w:cs="Arial"/>
        </w:rPr>
        <w:t xml:space="preserve"> the J-curve hypothesis </w:t>
      </w:r>
      <w:r w:rsidRPr="00CA5EB9">
        <w:rPr>
          <w:rFonts w:ascii="Arial" w:hAnsi="Arial" w:cs="Arial"/>
        </w:rPr>
        <w:t>Kamal </w:t>
      </w:r>
      <w:r w:rsidRPr="00CA5EB9">
        <w:rPr>
          <w:rStyle w:val="Emphasis"/>
          <w:rFonts w:ascii="Arial" w:hAnsi="Arial" w:cs="Arial"/>
        </w:rPr>
        <w:t>et al. </w:t>
      </w:r>
      <w:r w:rsidRPr="00CA5EB9">
        <w:rPr>
          <w:rFonts w:ascii="Arial" w:hAnsi="Arial" w:cs="Arial"/>
        </w:rPr>
        <w:t xml:space="preserve">(2020) </w:t>
      </w:r>
      <w:r w:rsidR="0074701C" w:rsidRPr="00CA5EB9">
        <w:rPr>
          <w:rFonts w:ascii="Arial" w:hAnsi="Arial" w:cs="Arial"/>
        </w:rPr>
        <w:t>us</w:t>
      </w:r>
      <w:r w:rsidRPr="00CA5EB9">
        <w:rPr>
          <w:rFonts w:ascii="Arial" w:hAnsi="Arial" w:cs="Arial"/>
        </w:rPr>
        <w:t>ed</w:t>
      </w:r>
      <w:r w:rsidR="0074701C" w:rsidRPr="00CA5EB9">
        <w:rPr>
          <w:rFonts w:ascii="Arial" w:hAnsi="Arial" w:cs="Arial"/>
        </w:rPr>
        <w:t xml:space="preserve"> data on bilateral trade involving China and the USA, using quarterly time series data from 1999 to 2018. Results from error correction estimation show that an increase in domestic and foreign income significantly improves China's trade balance with the USA., while the monetary variables (both domestic and foreign) do not affect that trade balance. The key finding is that a depreciation of China's currency initially worsens its trade balance, but over time, its trade balance improves. This pattern supports the J-curve hypothesis tested in prior studies with mixed results.</w:t>
      </w:r>
    </w:p>
    <w:p w14:paraId="21521E65" w14:textId="0A141E9B" w:rsidR="0074701C" w:rsidRPr="00CA5EB9" w:rsidRDefault="00764125" w:rsidP="0066301C">
      <w:pPr>
        <w:spacing w:line="360" w:lineRule="auto"/>
        <w:jc w:val="both"/>
        <w:rPr>
          <w:rFonts w:ascii="Arial" w:hAnsi="Arial" w:cs="Arial"/>
        </w:rPr>
      </w:pPr>
      <w:r w:rsidRPr="00CA5EB9">
        <w:rPr>
          <w:rFonts w:ascii="Arial" w:hAnsi="Arial" w:cs="Arial"/>
        </w:rPr>
        <w:t xml:space="preserve">In </w:t>
      </w:r>
      <w:r w:rsidR="0074701C" w:rsidRPr="00CA5EB9">
        <w:rPr>
          <w:rFonts w:ascii="Arial" w:hAnsi="Arial" w:cs="Arial"/>
        </w:rPr>
        <w:t>research</w:t>
      </w:r>
      <w:r w:rsidRPr="00CA5EB9">
        <w:rPr>
          <w:rFonts w:ascii="Arial" w:hAnsi="Arial" w:cs="Arial"/>
        </w:rPr>
        <w:t>ing</w:t>
      </w:r>
      <w:r w:rsidR="0074701C" w:rsidRPr="00CA5EB9">
        <w:rPr>
          <w:rFonts w:ascii="Arial" w:hAnsi="Arial" w:cs="Arial"/>
        </w:rPr>
        <w:t xml:space="preserve"> the effect of exchange rate volatility on export performance in Southeast Asia </w:t>
      </w:r>
      <w:r w:rsidRPr="00CA5EB9">
        <w:rPr>
          <w:rFonts w:ascii="Arial" w:hAnsi="Arial" w:cs="Arial"/>
        </w:rPr>
        <w:t>Kamal </w:t>
      </w:r>
      <w:r w:rsidRPr="00CA5EB9">
        <w:rPr>
          <w:rStyle w:val="Emphasis"/>
          <w:rFonts w:ascii="Arial" w:hAnsi="Arial" w:cs="Arial"/>
        </w:rPr>
        <w:t>et al.</w:t>
      </w:r>
      <w:r w:rsidRPr="00CA5EB9">
        <w:rPr>
          <w:rFonts w:ascii="Arial" w:hAnsi="Arial" w:cs="Arial"/>
        </w:rPr>
        <w:t xml:space="preserve"> (2020) </w:t>
      </w:r>
      <w:r w:rsidR="0074701C" w:rsidRPr="00CA5EB9">
        <w:rPr>
          <w:rFonts w:ascii="Arial" w:hAnsi="Arial" w:cs="Arial"/>
        </w:rPr>
        <w:t>examin</w:t>
      </w:r>
      <w:r w:rsidRPr="00CA5EB9">
        <w:rPr>
          <w:rFonts w:ascii="Arial" w:hAnsi="Arial" w:cs="Arial"/>
        </w:rPr>
        <w:t>ed</w:t>
      </w:r>
      <w:r w:rsidR="0074701C" w:rsidRPr="00CA5EB9">
        <w:rPr>
          <w:rFonts w:ascii="Arial" w:hAnsi="Arial" w:cs="Arial"/>
        </w:rPr>
        <w:t xml:space="preserve"> this relationship for the ASEAN-5 group, including Thailand, Malaysia, Singapore, Indonesia, and the Philippines for the period 1975-2016 for Indonesia, 1994-2016 for Thailand, and 1979-2016 for other ASEAN-5 countries. The variables </w:t>
      </w:r>
      <w:r w:rsidR="00383A9B" w:rsidRPr="00CA5EB9">
        <w:rPr>
          <w:rFonts w:ascii="Arial" w:hAnsi="Arial" w:cs="Arial"/>
        </w:rPr>
        <w:t>modelled</w:t>
      </w:r>
      <w:r w:rsidR="0074701C" w:rsidRPr="00CA5EB9">
        <w:rPr>
          <w:rFonts w:ascii="Arial" w:hAnsi="Arial" w:cs="Arial"/>
        </w:rPr>
        <w:t xml:space="preserve"> in the research include real exports, real GDP, real-world output, terms of trade, and exchange rate volatility. From a statistical perspective, export volatility was derived from the real effective exchange rate using a GARCH model. The estimation techniques used in the study include panel unit root test, Johansen-Fisher panel cointegration tests, and error correction model (ECM). The results suggested that exchange rate volatility harmed the export performance of the ASEAN-5.</w:t>
      </w:r>
    </w:p>
    <w:p w14:paraId="6664BECA" w14:textId="2AF4CFE3" w:rsidR="0074701C" w:rsidRPr="00CA5EB9" w:rsidRDefault="004731E1" w:rsidP="0066301C">
      <w:pPr>
        <w:spacing w:line="360" w:lineRule="auto"/>
        <w:jc w:val="both"/>
        <w:rPr>
          <w:rFonts w:ascii="Arial" w:hAnsi="Arial" w:cs="Arial"/>
        </w:rPr>
      </w:pPr>
      <w:r w:rsidRPr="00CA5EB9">
        <w:rPr>
          <w:rFonts w:ascii="Arial" w:hAnsi="Arial" w:cs="Arial"/>
        </w:rPr>
        <w:t xml:space="preserve">In </w:t>
      </w:r>
      <w:r w:rsidR="0074701C" w:rsidRPr="00CA5EB9">
        <w:rPr>
          <w:rFonts w:ascii="Arial" w:hAnsi="Arial" w:cs="Arial"/>
        </w:rPr>
        <w:t>examin</w:t>
      </w:r>
      <w:r w:rsidRPr="00CA5EB9">
        <w:rPr>
          <w:rFonts w:ascii="Arial" w:hAnsi="Arial" w:cs="Arial"/>
        </w:rPr>
        <w:t>ing</w:t>
      </w:r>
      <w:r w:rsidR="0074701C" w:rsidRPr="00CA5EB9">
        <w:rPr>
          <w:rFonts w:ascii="Arial" w:hAnsi="Arial" w:cs="Arial"/>
        </w:rPr>
        <w:t xml:space="preserve"> the impact of exchange rate movements on the agricultural exports in Nigeria for the period 1981-2015, </w:t>
      </w:r>
      <w:r w:rsidRPr="00CA5EB9">
        <w:rPr>
          <w:rFonts w:ascii="Arial" w:hAnsi="Arial" w:cs="Arial"/>
        </w:rPr>
        <w:t>Anthony </w:t>
      </w:r>
      <w:r w:rsidRPr="00CA5EB9">
        <w:rPr>
          <w:rStyle w:val="Emphasis"/>
          <w:rFonts w:ascii="Arial" w:hAnsi="Arial" w:cs="Arial"/>
        </w:rPr>
        <w:t>et al.</w:t>
      </w:r>
      <w:r w:rsidRPr="00CA5EB9">
        <w:rPr>
          <w:rFonts w:ascii="Arial" w:hAnsi="Arial" w:cs="Arial"/>
        </w:rPr>
        <w:t> (2019)</w:t>
      </w:r>
      <w:r w:rsidR="0074701C" w:rsidRPr="00CA5EB9">
        <w:rPr>
          <w:rFonts w:ascii="Arial" w:hAnsi="Arial" w:cs="Arial"/>
        </w:rPr>
        <w:t xml:space="preserve"> appli</w:t>
      </w:r>
      <w:r w:rsidRPr="00CA5EB9">
        <w:rPr>
          <w:rFonts w:ascii="Arial" w:hAnsi="Arial" w:cs="Arial"/>
        </w:rPr>
        <w:t>ed the</w:t>
      </w:r>
      <w:r w:rsidR="0074701C" w:rsidRPr="00CA5EB9">
        <w:rPr>
          <w:rFonts w:ascii="Arial" w:hAnsi="Arial" w:cs="Arial"/>
        </w:rPr>
        <w:t xml:space="preserve"> unit root test and ordinary least square (OLS) regression analysis. The variables used were exchange rate, agricultural exports, government capital expenditure, foreign direct investment, credit to private sector, and Lending interest rate. The estimation results also indicated that exchange rate movements had a positive and significant influence on agricultural exports in Nigeria. Specifically, the findings showed that exchange rate, government capital expenditure, foreign direct investment, and lending interest rate were positively related to agricultural exports, while credit to the private sector was negatively related to the exports.</w:t>
      </w:r>
    </w:p>
    <w:p w14:paraId="41F82AC4" w14:textId="7438994C" w:rsidR="0074701C" w:rsidRPr="00CA5EB9" w:rsidRDefault="004731E1" w:rsidP="0066301C">
      <w:pPr>
        <w:spacing w:line="360" w:lineRule="auto"/>
        <w:jc w:val="both"/>
        <w:rPr>
          <w:rFonts w:ascii="Arial" w:hAnsi="Arial" w:cs="Arial"/>
        </w:rPr>
      </w:pPr>
      <w:r w:rsidRPr="00CA5EB9">
        <w:rPr>
          <w:rFonts w:ascii="Arial" w:hAnsi="Arial" w:cs="Arial"/>
        </w:rPr>
        <w:lastRenderedPageBreak/>
        <w:t>In</w:t>
      </w:r>
      <w:r w:rsidR="0074701C" w:rsidRPr="00CA5EB9">
        <w:rPr>
          <w:rFonts w:ascii="Arial" w:hAnsi="Arial" w:cs="Arial"/>
        </w:rPr>
        <w:t xml:space="preserve"> </w:t>
      </w:r>
      <w:r w:rsidRPr="00CA5EB9">
        <w:rPr>
          <w:rFonts w:ascii="Arial" w:hAnsi="Arial" w:cs="Arial"/>
        </w:rPr>
        <w:t>analysing</w:t>
      </w:r>
      <w:r w:rsidR="0074701C" w:rsidRPr="00CA5EB9">
        <w:rPr>
          <w:rFonts w:ascii="Arial" w:hAnsi="Arial" w:cs="Arial"/>
        </w:rPr>
        <w:t xml:space="preserve"> the impact of real exchange rate depreciation on the trade balance in Cameroon for the period 1980 to 2016</w:t>
      </w:r>
      <w:r w:rsidR="005A10BA" w:rsidRPr="00CA5EB9">
        <w:rPr>
          <w:rFonts w:ascii="Arial" w:hAnsi="Arial" w:cs="Arial"/>
        </w:rPr>
        <w:t>,</w:t>
      </w:r>
      <w:r w:rsidR="0074701C" w:rsidRPr="00CA5EB9">
        <w:rPr>
          <w:rFonts w:ascii="Arial" w:hAnsi="Arial" w:cs="Arial"/>
        </w:rPr>
        <w:t xml:space="preserve"> </w:t>
      </w:r>
      <w:r w:rsidR="005A10BA" w:rsidRPr="00CA5EB9">
        <w:rPr>
          <w:rFonts w:ascii="Arial" w:hAnsi="Arial" w:cs="Arial"/>
        </w:rPr>
        <w:t xml:space="preserve">Dongfack and Ouyang (2019) </w:t>
      </w:r>
      <w:r w:rsidR="0074701C" w:rsidRPr="00CA5EB9">
        <w:rPr>
          <w:rFonts w:ascii="Arial" w:hAnsi="Arial" w:cs="Arial"/>
        </w:rPr>
        <w:t>appli</w:t>
      </w:r>
      <w:r w:rsidR="005A10BA" w:rsidRPr="00CA5EB9">
        <w:rPr>
          <w:rFonts w:ascii="Arial" w:hAnsi="Arial" w:cs="Arial"/>
        </w:rPr>
        <w:t xml:space="preserve">ed </w:t>
      </w:r>
      <w:r w:rsidR="0074701C" w:rsidRPr="00CA5EB9">
        <w:rPr>
          <w:rFonts w:ascii="Arial" w:hAnsi="Arial" w:cs="Arial"/>
        </w:rPr>
        <w:t xml:space="preserve">the unit root test, cointegration test, vector error correction model (VECM), and Granger causality test. The variables </w:t>
      </w:r>
      <w:r w:rsidR="00383A9B" w:rsidRPr="00CA5EB9">
        <w:rPr>
          <w:rFonts w:ascii="Arial" w:hAnsi="Arial" w:cs="Arial"/>
        </w:rPr>
        <w:t>modelled</w:t>
      </w:r>
      <w:r w:rsidR="0074701C" w:rsidRPr="00CA5EB9">
        <w:rPr>
          <w:rFonts w:ascii="Arial" w:hAnsi="Arial" w:cs="Arial"/>
        </w:rPr>
        <w:t xml:space="preserve"> in the research were real exports, real imports, real exchange rate index, domestic income - proxied by gross domestic product, and foreign income - proxied by trading partners' GDP. The results of the unit root test revealed that all the variables were non-stationary at levels, but at first differencing, all the variables became stationary. Similarly, the Johansen cointegration test indicated evidence of a long-run equilibrium relationship among the variables. The estimation of short-run and long-run relationships between the variables using Johansen cointegration and the vector error correction model (VECM) as a mean to examine whether the Marshall-Lerner condition (MLC) and the J-curve phenomenon hold in the case of Cameroon yielded mitigated results. Although the Marshall Lerner Condition was not met for Cameroon, as the sum of the elasticities of demand for exports and imports was not greater than unity, the empirical analysis results provide evidence of correction over the long run of a prior deterioration of the trade balance; thus, supporting the existence of the J-curve pattern.</w:t>
      </w:r>
    </w:p>
    <w:p w14:paraId="688D83CE" w14:textId="2AF07B73" w:rsidR="0074701C" w:rsidRPr="00CA5EB9" w:rsidRDefault="00BA677B" w:rsidP="0066301C">
      <w:pPr>
        <w:spacing w:line="360" w:lineRule="auto"/>
        <w:jc w:val="both"/>
        <w:rPr>
          <w:rFonts w:ascii="Arial" w:hAnsi="Arial" w:cs="Arial"/>
        </w:rPr>
      </w:pPr>
      <w:r w:rsidRPr="00CA5EB9">
        <w:rPr>
          <w:rFonts w:ascii="Arial" w:hAnsi="Arial" w:cs="Arial"/>
        </w:rPr>
        <w:t>E</w:t>
      </w:r>
      <w:r w:rsidR="0074701C" w:rsidRPr="00CA5EB9">
        <w:rPr>
          <w:rFonts w:ascii="Arial" w:hAnsi="Arial" w:cs="Arial"/>
        </w:rPr>
        <w:t>stimat</w:t>
      </w:r>
      <w:r w:rsidR="005A10BA" w:rsidRPr="00CA5EB9">
        <w:rPr>
          <w:rFonts w:ascii="Arial" w:hAnsi="Arial" w:cs="Arial"/>
        </w:rPr>
        <w:t>ing</w:t>
      </w:r>
      <w:r w:rsidR="0074701C" w:rsidRPr="00CA5EB9">
        <w:rPr>
          <w:rFonts w:ascii="Arial" w:hAnsi="Arial" w:cs="Arial"/>
        </w:rPr>
        <w:t xml:space="preserve"> the long-run and short-run effects of the real exchange rate on Ethiopian export earnings for 1997-2016</w:t>
      </w:r>
      <w:r w:rsidR="00764125" w:rsidRPr="00CA5EB9">
        <w:rPr>
          <w:rFonts w:ascii="Arial" w:hAnsi="Arial" w:cs="Arial"/>
        </w:rPr>
        <w:t>,</w:t>
      </w:r>
      <w:r w:rsidR="0074701C" w:rsidRPr="00CA5EB9">
        <w:rPr>
          <w:rFonts w:ascii="Arial" w:hAnsi="Arial" w:cs="Arial"/>
        </w:rPr>
        <w:t xml:space="preserve"> </w:t>
      </w:r>
      <w:r w:rsidR="00764125" w:rsidRPr="00CA5EB9">
        <w:rPr>
          <w:rFonts w:ascii="Arial" w:hAnsi="Arial" w:cs="Arial"/>
        </w:rPr>
        <w:t>Samuel (2019)</w:t>
      </w:r>
      <w:r w:rsidR="0074701C" w:rsidRPr="00CA5EB9">
        <w:rPr>
          <w:rFonts w:ascii="Arial" w:hAnsi="Arial" w:cs="Arial"/>
        </w:rPr>
        <w:t xml:space="preserve"> appli</w:t>
      </w:r>
      <w:r w:rsidR="00764125" w:rsidRPr="00CA5EB9">
        <w:rPr>
          <w:rFonts w:ascii="Arial" w:hAnsi="Arial" w:cs="Arial"/>
        </w:rPr>
        <w:t>ed</w:t>
      </w:r>
      <w:r w:rsidR="0074701C" w:rsidRPr="00CA5EB9">
        <w:rPr>
          <w:rFonts w:ascii="Arial" w:hAnsi="Arial" w:cs="Arial"/>
        </w:rPr>
        <w:t xml:space="preserve"> </w:t>
      </w:r>
      <w:r w:rsidR="00764125" w:rsidRPr="00CA5EB9">
        <w:rPr>
          <w:rFonts w:ascii="Arial" w:hAnsi="Arial" w:cs="Arial"/>
        </w:rPr>
        <w:t xml:space="preserve">the </w:t>
      </w:r>
      <w:r w:rsidR="0074701C" w:rsidRPr="00CA5EB9">
        <w:rPr>
          <w:rFonts w:ascii="Arial" w:hAnsi="Arial" w:cs="Arial"/>
        </w:rPr>
        <w:t>panel unit root test, panel cointegration test, and panel causality test. The variables utilized in the study include export earnings, real exchange rate, and real foreign income. The study's results showed that the real exchange rate had a significant impact on export earnings in the long run, while it had no effect in the short run. It implies that the depreciation of the real exchange rate improves the export earnings of the country. The study, as reviewed, showed that stationarity of the variables was achieved at both levels and first differencing, which implies the ARDL model was the appropriate estimation technique needed to estimate the coefficients of the variables. However, the study failed to use the proper procedures in the investigation.</w:t>
      </w:r>
    </w:p>
    <w:p w14:paraId="1806778A" w14:textId="246E526B" w:rsidR="0074701C" w:rsidRPr="00CA5EB9" w:rsidRDefault="00BA677B" w:rsidP="0066301C">
      <w:pPr>
        <w:spacing w:line="360" w:lineRule="auto"/>
        <w:jc w:val="both"/>
        <w:rPr>
          <w:rFonts w:ascii="Arial" w:hAnsi="Arial" w:cs="Arial"/>
        </w:rPr>
      </w:pPr>
      <w:r w:rsidRPr="00CA5EB9">
        <w:rPr>
          <w:rFonts w:ascii="Arial" w:hAnsi="Arial" w:cs="Arial"/>
        </w:rPr>
        <w:t xml:space="preserve">In </w:t>
      </w:r>
      <w:r w:rsidR="0074701C" w:rsidRPr="00CA5EB9">
        <w:rPr>
          <w:rFonts w:ascii="Arial" w:hAnsi="Arial" w:cs="Arial"/>
        </w:rPr>
        <w:t>stud</w:t>
      </w:r>
      <w:r w:rsidRPr="00CA5EB9">
        <w:rPr>
          <w:rFonts w:ascii="Arial" w:hAnsi="Arial" w:cs="Arial"/>
        </w:rPr>
        <w:t>ying</w:t>
      </w:r>
      <w:r w:rsidR="0074701C" w:rsidRPr="00CA5EB9">
        <w:rPr>
          <w:rFonts w:ascii="Arial" w:hAnsi="Arial" w:cs="Arial"/>
        </w:rPr>
        <w:t xml:space="preserve"> the impact of the exchange rate on exports in South Africa between the period 1994-2016 </w:t>
      </w:r>
      <w:r w:rsidRPr="00CA5EB9">
        <w:rPr>
          <w:rFonts w:ascii="Arial" w:hAnsi="Arial" w:cs="Arial"/>
        </w:rPr>
        <w:t xml:space="preserve">Ngondo and Khobai (2018) </w:t>
      </w:r>
      <w:r w:rsidR="0074701C" w:rsidRPr="00CA5EB9">
        <w:rPr>
          <w:rFonts w:ascii="Arial" w:hAnsi="Arial" w:cs="Arial"/>
        </w:rPr>
        <w:t>appli</w:t>
      </w:r>
      <w:r w:rsidRPr="00CA5EB9">
        <w:rPr>
          <w:rFonts w:ascii="Arial" w:hAnsi="Arial" w:cs="Arial"/>
        </w:rPr>
        <w:t>ed</w:t>
      </w:r>
      <w:r w:rsidR="0074701C" w:rsidRPr="00CA5EB9">
        <w:rPr>
          <w:rFonts w:ascii="Arial" w:hAnsi="Arial" w:cs="Arial"/>
        </w:rPr>
        <w:t xml:space="preserve"> the Augmented Dickey-Fuller (ADF) and Philips Perron (PP) unit root tests and autoregressive distributed lag (ARDL) model. The variables used were exports, real exchange rate, real interest rate, inflation, and investment. The study incorporated real interest rates, investments, and inflation as control variables. By applying the ARDL approach, the study empirically investigated the impact of RER on exports in South Africa. The results revealed evidence of a long-run equilibrium relationship among the variables. The estimation results also indicated that the exchange rate has a significant and negative influence on exports, while real interest rate and investment had a positive and insignificant impact on exports in South Africa.</w:t>
      </w:r>
    </w:p>
    <w:p w14:paraId="35EAD8A8" w14:textId="70804560" w:rsidR="00402537" w:rsidRPr="00CA5EB9" w:rsidRDefault="00A060A6" w:rsidP="0066301C">
      <w:pPr>
        <w:spacing w:line="360" w:lineRule="auto"/>
        <w:jc w:val="both"/>
        <w:rPr>
          <w:rFonts w:ascii="Arial" w:hAnsi="Arial" w:cs="Arial"/>
          <w:lang w:eastAsia="en-GB"/>
        </w:rPr>
      </w:pPr>
      <w:r w:rsidRPr="00CA5EB9">
        <w:rPr>
          <w:rFonts w:ascii="Arial" w:hAnsi="Arial" w:cs="Arial"/>
          <w:lang w:eastAsia="en-GB"/>
        </w:rPr>
        <w:lastRenderedPageBreak/>
        <w:t xml:space="preserve">In </w:t>
      </w:r>
      <w:r w:rsidR="00402537" w:rsidRPr="00CA5EB9">
        <w:rPr>
          <w:rFonts w:ascii="Arial" w:hAnsi="Arial" w:cs="Arial"/>
          <w:lang w:eastAsia="en-GB"/>
        </w:rPr>
        <w:t>investigat</w:t>
      </w:r>
      <w:r w:rsidRPr="00CA5EB9">
        <w:rPr>
          <w:rFonts w:ascii="Arial" w:hAnsi="Arial" w:cs="Arial"/>
          <w:lang w:eastAsia="en-GB"/>
        </w:rPr>
        <w:t>ing</w:t>
      </w:r>
      <w:r w:rsidR="00402537" w:rsidRPr="00CA5EB9">
        <w:rPr>
          <w:rFonts w:ascii="Arial" w:hAnsi="Arial" w:cs="Arial"/>
          <w:lang w:eastAsia="en-GB"/>
        </w:rPr>
        <w:t xml:space="preserve"> the impact of exchange rate depreciation on the BOP in Nigeria</w:t>
      </w:r>
      <w:r w:rsidRPr="00CA5EB9">
        <w:rPr>
          <w:rFonts w:ascii="Arial" w:hAnsi="Arial" w:cs="Arial"/>
          <w:lang w:eastAsia="en-GB"/>
        </w:rPr>
        <w:t>, Iyoboyi and Muftau (2014)</w:t>
      </w:r>
      <w:r w:rsidR="00402537" w:rsidRPr="00CA5EB9">
        <w:rPr>
          <w:rFonts w:ascii="Arial" w:hAnsi="Arial" w:cs="Arial"/>
          <w:lang w:eastAsia="en-GB"/>
        </w:rPr>
        <w:t xml:space="preserve"> </w:t>
      </w:r>
      <w:r w:rsidRPr="00CA5EB9">
        <w:rPr>
          <w:rFonts w:ascii="Arial" w:hAnsi="Arial" w:cs="Arial"/>
          <w:lang w:eastAsia="en-GB"/>
        </w:rPr>
        <w:t>used</w:t>
      </w:r>
      <w:r w:rsidR="00402537" w:rsidRPr="00CA5EB9">
        <w:rPr>
          <w:rFonts w:ascii="Arial" w:hAnsi="Arial" w:cs="Arial"/>
          <w:lang w:eastAsia="en-GB"/>
        </w:rPr>
        <w:t xml:space="preserve"> secondary data obtained from the Statistical Bulletin of the Central Bank of Nigeria within the period 1961-2012. The data used were for the following variables: Balance of Payment, Exchange Rate, Government Expenditure, Real Gross Domestic Product, Money Supply, and Interest Rate (proxy by the prime lending rate). A multivariate Vector Error Correction Model (VECM) was adopted for all the variables. Three-unit root tests were used (Augmented Dickey-Fuller –ADF, Phillips-Perron – PP, and Kwiatkowski-Phillips-Schmidt-Shin –KPSS). The result showed that all the variables were non-stationary in levels (i.e., they had unit roots at level) and were stationary at their first difference. The Johansen cointegration test results showed that both the maximal eigenvalues and trace test statistics indicated that the hypothesis of no cointegration among the variables was rejected at the 5% significant level. The VECM result of the relationship between the exchange rate and BOP indicates that it is negative and statistically significant at the 1% level in the long term. The Granger causality test result shows a long-term causality between the BOP and all the variables in the system, and it is statistically significant at the 1% level. </w:t>
      </w:r>
      <w:r w:rsidR="00CA5EB9" w:rsidRPr="00CA5EB9">
        <w:rPr>
          <w:rFonts w:ascii="Arial" w:hAnsi="Arial" w:cs="Arial"/>
          <w:lang w:eastAsia="en-GB"/>
        </w:rPr>
        <w:t>Thus,</w:t>
      </w:r>
      <w:r w:rsidR="00402537" w:rsidRPr="00CA5EB9">
        <w:rPr>
          <w:rFonts w:ascii="Arial" w:hAnsi="Arial" w:cs="Arial"/>
          <w:lang w:eastAsia="en-GB"/>
        </w:rPr>
        <w:t xml:space="preserve"> showing that there exists bi-directional causality between BOP and exchange rate.</w:t>
      </w:r>
    </w:p>
    <w:p w14:paraId="0D867B80" w14:textId="2DA7883A" w:rsidR="00402537" w:rsidRPr="001B283A" w:rsidRDefault="00A060A6" w:rsidP="0066301C">
      <w:pPr>
        <w:spacing w:line="360" w:lineRule="auto"/>
        <w:jc w:val="both"/>
        <w:rPr>
          <w:rFonts w:ascii="Arial" w:hAnsi="Arial" w:cs="Arial"/>
          <w:lang w:eastAsia="en-GB"/>
        </w:rPr>
      </w:pPr>
      <w:r>
        <w:rPr>
          <w:rFonts w:ascii="Arial" w:hAnsi="Arial" w:cs="Arial"/>
          <w:lang w:eastAsia="en-GB"/>
        </w:rPr>
        <w:t xml:space="preserve">In </w:t>
      </w:r>
      <w:r w:rsidR="00402537" w:rsidRPr="001B283A">
        <w:rPr>
          <w:rFonts w:ascii="Arial" w:hAnsi="Arial" w:cs="Arial"/>
          <w:lang w:eastAsia="en-GB"/>
        </w:rPr>
        <w:t>estimat</w:t>
      </w:r>
      <w:r>
        <w:rPr>
          <w:rFonts w:ascii="Arial" w:hAnsi="Arial" w:cs="Arial"/>
          <w:lang w:eastAsia="en-GB"/>
        </w:rPr>
        <w:t xml:space="preserve">ing </w:t>
      </w:r>
      <w:r w:rsidR="00402537" w:rsidRPr="001B283A">
        <w:rPr>
          <w:rFonts w:ascii="Arial" w:hAnsi="Arial" w:cs="Arial"/>
          <w:lang w:eastAsia="en-GB"/>
        </w:rPr>
        <w:t xml:space="preserve">the impact of the exchange rate on the balance of payment in </w:t>
      </w:r>
      <w:r w:rsidRPr="001B283A">
        <w:rPr>
          <w:rFonts w:ascii="Arial" w:hAnsi="Arial" w:cs="Arial"/>
          <w:lang w:eastAsia="en-GB"/>
        </w:rPr>
        <w:t>Pakistan</w:t>
      </w:r>
      <w:r>
        <w:rPr>
          <w:rFonts w:ascii="Arial" w:hAnsi="Arial" w:cs="Arial"/>
          <w:lang w:eastAsia="en-GB"/>
        </w:rPr>
        <w:t xml:space="preserve">, </w:t>
      </w:r>
      <w:r w:rsidRPr="001B283A">
        <w:rPr>
          <w:rFonts w:ascii="Arial" w:hAnsi="Arial" w:cs="Arial"/>
          <w:lang w:eastAsia="en-GB"/>
        </w:rPr>
        <w:t>Ahmad </w:t>
      </w:r>
      <w:r w:rsidRPr="001B283A">
        <w:rPr>
          <w:rFonts w:ascii="Arial" w:hAnsi="Arial" w:cs="Arial"/>
          <w:i/>
          <w:iCs/>
          <w:lang w:eastAsia="en-GB"/>
        </w:rPr>
        <w:t>et al</w:t>
      </w:r>
      <w:r w:rsidRPr="001B283A">
        <w:rPr>
          <w:rFonts w:ascii="Arial" w:hAnsi="Arial" w:cs="Arial"/>
          <w:lang w:eastAsia="en-GB"/>
        </w:rPr>
        <w:t xml:space="preserve">. (2014) </w:t>
      </w:r>
      <w:r>
        <w:rPr>
          <w:rFonts w:ascii="Arial" w:hAnsi="Arial" w:cs="Arial"/>
          <w:lang w:eastAsia="en-GB"/>
        </w:rPr>
        <w:t>used m</w:t>
      </w:r>
      <w:r w:rsidR="00402537" w:rsidRPr="001B283A">
        <w:rPr>
          <w:rFonts w:ascii="Arial" w:hAnsi="Arial" w:cs="Arial"/>
          <w:lang w:eastAsia="en-GB"/>
        </w:rPr>
        <w:t>onthly data for exchange rate and balance of payment collected from the official website of the State Bank of Pakistan. The data comprised seven years from January 2007 to October 2013. The unit root test, ARDL, and Granger causality test were employed, and the study concludes that there is a significant and positive relationship between exchange rate and BOP. Therefore, the stability of the exchange rate creates a positive environment by encouraging investment, which can improve the balance of payment. The Granger pair-wise causality test result indicated a unidirectional causality running from exchange rate to BOP. This means that the BOP does not impact the exchange rate. </w:t>
      </w:r>
    </w:p>
    <w:p w14:paraId="5E9C86C3" w14:textId="6B2C2541" w:rsidR="00402537" w:rsidRPr="00FE4DCB" w:rsidRDefault="004731E1" w:rsidP="0066301C">
      <w:pPr>
        <w:spacing w:line="360" w:lineRule="auto"/>
        <w:jc w:val="both"/>
        <w:rPr>
          <w:rFonts w:ascii="Arial" w:hAnsi="Arial" w:cs="Arial"/>
          <w:lang w:eastAsia="en-GB"/>
        </w:rPr>
      </w:pPr>
      <w:r>
        <w:rPr>
          <w:rFonts w:ascii="Arial" w:hAnsi="Arial" w:cs="Arial"/>
          <w:lang w:eastAsia="en-GB"/>
        </w:rPr>
        <w:t xml:space="preserve">An analysis of </w:t>
      </w:r>
      <w:r w:rsidR="00402537" w:rsidRPr="001B283A">
        <w:rPr>
          <w:rFonts w:ascii="Arial" w:hAnsi="Arial" w:cs="Arial"/>
          <w:lang w:eastAsia="en-GB"/>
        </w:rPr>
        <w:t xml:space="preserve">the impact of the exchange rate on the balance of payments in Nigeria </w:t>
      </w:r>
      <w:r>
        <w:rPr>
          <w:rFonts w:ascii="Arial" w:hAnsi="Arial" w:cs="Arial"/>
          <w:lang w:eastAsia="en-GB"/>
        </w:rPr>
        <w:t xml:space="preserve">was done by </w:t>
      </w:r>
      <w:r w:rsidRPr="001B283A">
        <w:rPr>
          <w:rFonts w:ascii="Arial" w:hAnsi="Arial" w:cs="Arial"/>
          <w:lang w:eastAsia="en-GB"/>
        </w:rPr>
        <w:t>Odili (2014)</w:t>
      </w:r>
      <w:r>
        <w:rPr>
          <w:rFonts w:ascii="Arial" w:hAnsi="Arial" w:cs="Arial"/>
          <w:lang w:eastAsia="en-GB"/>
        </w:rPr>
        <w:t>,</w:t>
      </w:r>
      <w:r w:rsidRPr="001B283A">
        <w:rPr>
          <w:rFonts w:ascii="Arial" w:hAnsi="Arial" w:cs="Arial"/>
          <w:lang w:eastAsia="en-GB"/>
        </w:rPr>
        <w:t xml:space="preserve"> </w:t>
      </w:r>
      <w:r w:rsidR="00402537" w:rsidRPr="001B283A">
        <w:rPr>
          <w:rFonts w:ascii="Arial" w:hAnsi="Arial" w:cs="Arial"/>
          <w:lang w:eastAsia="en-GB"/>
        </w:rPr>
        <w:t xml:space="preserve">using annual data collected from the Central Bank of Nigeria statistic bulletin from 1971 to 2012. The variables used in the model are balance of payment, real exchange rate, exports, and imports. The empirical methodology employed an autoregressive distributed lag (ARDL) cointegration estimation technique to detect possible long-term and short-term dynamic relationships between the variables used in the model. The results revealed a positive and statistically significant relationship in the long term and a positive but statistically insignificant relationship in the short term between balance of payments and exchange rate. The BOP does </w:t>
      </w:r>
      <w:r w:rsidR="00402537" w:rsidRPr="00FD1702">
        <w:rPr>
          <w:rFonts w:ascii="Arial" w:hAnsi="Arial" w:cs="Arial"/>
          <w:lang w:eastAsia="en-GB"/>
        </w:rPr>
        <w:t>not causal the exchange rate.</w:t>
      </w:r>
    </w:p>
    <w:p w14:paraId="4B24ACB8" w14:textId="35F3F5DE" w:rsidR="0074701C" w:rsidRPr="00FE4DCB" w:rsidRDefault="005A10BA" w:rsidP="0066301C">
      <w:pPr>
        <w:spacing w:line="360" w:lineRule="auto"/>
        <w:jc w:val="both"/>
        <w:rPr>
          <w:rFonts w:ascii="Arial" w:hAnsi="Arial" w:cs="Arial"/>
        </w:rPr>
      </w:pPr>
      <w:r w:rsidRPr="00FE4DCB">
        <w:rPr>
          <w:rFonts w:ascii="Arial" w:hAnsi="Arial" w:cs="Arial"/>
        </w:rPr>
        <w:lastRenderedPageBreak/>
        <w:t xml:space="preserve">In the work of </w:t>
      </w:r>
      <w:r w:rsidR="0074701C" w:rsidRPr="00FE4DCB">
        <w:rPr>
          <w:rFonts w:ascii="Arial" w:hAnsi="Arial" w:cs="Arial"/>
        </w:rPr>
        <w:t>Šimakova (2013)</w:t>
      </w:r>
      <w:r>
        <w:rPr>
          <w:rFonts w:ascii="Arial" w:hAnsi="Arial" w:cs="Arial"/>
        </w:rPr>
        <w:t>, he</w:t>
      </w:r>
      <w:r w:rsidR="0074701C" w:rsidRPr="00FE4DCB">
        <w:rPr>
          <w:rFonts w:ascii="Arial" w:hAnsi="Arial" w:cs="Arial"/>
        </w:rPr>
        <w:t xml:space="preserve"> investigated the impact of depreciation on the Hungary TB with its major trading partners. He applied the Johansen cointegration test, using quarterly data from 1997 to 2012. The outcome of the research showed the presence of the </w:t>
      </w:r>
      <w:r w:rsidR="0074701C" w:rsidRPr="00FE4DCB">
        <w:rPr>
          <w:rStyle w:val="Emphasis"/>
          <w:rFonts w:ascii="Arial" w:hAnsi="Arial" w:cs="Arial"/>
        </w:rPr>
        <w:t>J-</w:t>
      </w:r>
      <w:r w:rsidR="0074701C" w:rsidRPr="00FE4DCB">
        <w:rPr>
          <w:rFonts w:ascii="Arial" w:hAnsi="Arial" w:cs="Arial"/>
        </w:rPr>
        <w:t>curve in the bilateral trade with the United Kingdom. Šimakova (2013) investigated the impact of depreciation on Slovakia's bilateral trade with the Czech Republic, Hungary, and Poland. Applying the cointegration approach on quarterly data from 1997 to 2013, using the aggregate and disaggregate trade data. The results showed the presence of the </w:t>
      </w:r>
      <w:r w:rsidR="0074701C" w:rsidRPr="00FE4DCB">
        <w:rPr>
          <w:rStyle w:val="Emphasis"/>
          <w:rFonts w:ascii="Arial" w:hAnsi="Arial" w:cs="Arial"/>
        </w:rPr>
        <w:t>J-</w:t>
      </w:r>
      <w:r w:rsidR="0074701C" w:rsidRPr="00FE4DCB">
        <w:rPr>
          <w:rFonts w:ascii="Arial" w:hAnsi="Arial" w:cs="Arial"/>
        </w:rPr>
        <w:t>curve. Bahmani-Oskooee and Zhang (2013) investigated the presence of the </w:t>
      </w:r>
      <w:r w:rsidR="0074701C" w:rsidRPr="00FE4DCB">
        <w:rPr>
          <w:rStyle w:val="Emphasis"/>
          <w:rFonts w:ascii="Arial" w:hAnsi="Arial" w:cs="Arial"/>
        </w:rPr>
        <w:t>J</w:t>
      </w:r>
      <w:r w:rsidR="0074701C" w:rsidRPr="00FE4DCB">
        <w:rPr>
          <w:rFonts w:ascii="Arial" w:hAnsi="Arial" w:cs="Arial"/>
        </w:rPr>
        <w:t>-curve between China and the United Kingdom. They used data for 47 sectors from 1978 to 2010, and their results showed that currency devaluation had a short-term impact on 38 industries. The short-term impact lasted into the long term in only 7 cases.</w:t>
      </w:r>
    </w:p>
    <w:p w14:paraId="5902E28A" w14:textId="77777777" w:rsidR="0074701C" w:rsidRPr="00FE4DCB" w:rsidRDefault="0074701C" w:rsidP="0066301C">
      <w:pPr>
        <w:spacing w:line="360" w:lineRule="auto"/>
        <w:jc w:val="both"/>
        <w:rPr>
          <w:rFonts w:ascii="Arial" w:hAnsi="Arial" w:cs="Arial"/>
        </w:rPr>
      </w:pPr>
      <w:r w:rsidRPr="00FE4DCB">
        <w:rPr>
          <w:rFonts w:ascii="Arial" w:hAnsi="Arial" w:cs="Arial"/>
        </w:rPr>
        <w:t>In the work of Dhasmana (2012), a panel data analysis of the bilateral trade data of India and its 15 major trading partners was done. Using quarterly data for the period 1975 to 2011. He concludes that though the direction of the relationship between RER and TB might differ in the short term from one nation to another or a commodity to another, the relationship is homogenous in the long term (i.e., depreciation should improve trade balance in the long term). By using the REER rather than the bilateral RER, the results show a strong positive relationship between the depreciation of the RER and the TB.</w:t>
      </w:r>
    </w:p>
    <w:p w14:paraId="5EB99DD9" w14:textId="6AC0481E" w:rsidR="0074701C" w:rsidRPr="00FE4DCB" w:rsidRDefault="005A10BA" w:rsidP="0066301C">
      <w:pPr>
        <w:spacing w:line="360" w:lineRule="auto"/>
        <w:jc w:val="both"/>
        <w:rPr>
          <w:rFonts w:ascii="Arial" w:hAnsi="Arial" w:cs="Arial"/>
        </w:rPr>
      </w:pPr>
      <w:r>
        <w:rPr>
          <w:rFonts w:ascii="Arial" w:hAnsi="Arial" w:cs="Arial"/>
        </w:rPr>
        <w:t>T</w:t>
      </w:r>
      <w:r w:rsidR="0074701C" w:rsidRPr="00FE4DCB">
        <w:rPr>
          <w:rFonts w:ascii="Arial" w:hAnsi="Arial" w:cs="Arial"/>
        </w:rPr>
        <w:t>he bilateral </w:t>
      </w:r>
      <w:r w:rsidR="0074701C" w:rsidRPr="00FE4DCB">
        <w:rPr>
          <w:rStyle w:val="Emphasis"/>
          <w:rFonts w:ascii="Arial" w:hAnsi="Arial" w:cs="Arial"/>
        </w:rPr>
        <w:t>J</w:t>
      </w:r>
      <w:r w:rsidR="0074701C" w:rsidRPr="00FE4DCB">
        <w:rPr>
          <w:rFonts w:ascii="Arial" w:hAnsi="Arial" w:cs="Arial"/>
        </w:rPr>
        <w:t>–curve between the USA and its trade partners</w:t>
      </w:r>
      <w:r w:rsidRPr="005A10BA">
        <w:rPr>
          <w:rFonts w:ascii="Arial" w:hAnsi="Arial" w:cs="Arial"/>
        </w:rPr>
        <w:t xml:space="preserve"> </w:t>
      </w:r>
      <w:r>
        <w:rPr>
          <w:rFonts w:ascii="Arial" w:hAnsi="Arial" w:cs="Arial"/>
        </w:rPr>
        <w:t xml:space="preserve">was </w:t>
      </w:r>
      <w:r w:rsidRPr="00FE4DCB">
        <w:rPr>
          <w:rFonts w:ascii="Arial" w:hAnsi="Arial" w:cs="Arial"/>
        </w:rPr>
        <w:t>researched</w:t>
      </w:r>
      <w:r>
        <w:rPr>
          <w:rFonts w:ascii="Arial" w:hAnsi="Arial" w:cs="Arial"/>
        </w:rPr>
        <w:t xml:space="preserve"> by </w:t>
      </w:r>
      <w:r w:rsidRPr="00FE4DCB">
        <w:rPr>
          <w:rFonts w:ascii="Arial" w:hAnsi="Arial" w:cs="Arial"/>
        </w:rPr>
        <w:t>Ross and Yellen (1989)</w:t>
      </w:r>
      <w:r w:rsidR="0074701C" w:rsidRPr="00FE4DCB">
        <w:rPr>
          <w:rFonts w:ascii="Arial" w:hAnsi="Arial" w:cs="Arial"/>
        </w:rPr>
        <w:t>. Specifying the equations for the demand and supply of imports, they followed the Marshallian demand analysis whereby the demand for imports by a home (foreign) nation is determined by the domestic (foreign) income and the relative price of imported goods. As such, an increase in home (foreign) real income results in an increase in the volume of import demand. Applying quarterly bilateral trade data from 1960 to 1985 for the USA and its six G-6 trading partners.</w:t>
      </w:r>
      <w:r w:rsidR="0074701C">
        <w:rPr>
          <w:rStyle w:val="FootnoteReference"/>
          <w:rFonts w:ascii="Arial" w:hAnsi="Arial" w:cs="Arial"/>
        </w:rPr>
        <w:footnoteReference w:id="50"/>
      </w:r>
      <w:r w:rsidR="0074701C" w:rsidRPr="00FE4DCB">
        <w:rPr>
          <w:rFonts w:ascii="Arial" w:hAnsi="Arial" w:cs="Arial"/>
        </w:rPr>
        <w:t> The results established the presence of the </w:t>
      </w:r>
      <w:r w:rsidR="0074701C" w:rsidRPr="00FE4DCB">
        <w:rPr>
          <w:rStyle w:val="Emphasis"/>
          <w:rFonts w:ascii="Arial" w:hAnsi="Arial" w:cs="Arial"/>
        </w:rPr>
        <w:t>J</w:t>
      </w:r>
      <w:r w:rsidR="0074701C" w:rsidRPr="00FE4DCB">
        <w:rPr>
          <w:rFonts w:ascii="Arial" w:hAnsi="Arial" w:cs="Arial"/>
        </w:rPr>
        <w:t>-curve in the bilateral trade with Germany and Italy. Marwah and Klein (1996) used quarterly data from Canada and the USA with five of their largest trade partners to establish the presence of the </w:t>
      </w:r>
      <w:r w:rsidR="0074701C" w:rsidRPr="00FE4DCB">
        <w:rPr>
          <w:rStyle w:val="Emphasis"/>
          <w:rFonts w:ascii="Arial" w:hAnsi="Arial" w:cs="Arial"/>
        </w:rPr>
        <w:t>J</w:t>
      </w:r>
      <w:r w:rsidR="0074701C" w:rsidRPr="00FE4DCB">
        <w:rPr>
          <w:rFonts w:ascii="Arial" w:hAnsi="Arial" w:cs="Arial"/>
        </w:rPr>
        <w:t>-curve. The results show the presence of the </w:t>
      </w:r>
      <w:r w:rsidR="0074701C" w:rsidRPr="00FE4DCB">
        <w:rPr>
          <w:rStyle w:val="Emphasis"/>
          <w:rFonts w:ascii="Arial" w:hAnsi="Arial" w:cs="Arial"/>
        </w:rPr>
        <w:t>J</w:t>
      </w:r>
      <w:r w:rsidR="0074701C" w:rsidRPr="00FE4DCB">
        <w:rPr>
          <w:rFonts w:ascii="Arial" w:hAnsi="Arial" w:cs="Arial"/>
        </w:rPr>
        <w:t>-curve for both Canada and the USA.  </w:t>
      </w:r>
    </w:p>
    <w:p w14:paraId="2D2DB250" w14:textId="11B750A7" w:rsidR="0074701C" w:rsidRPr="00FE4DCB" w:rsidRDefault="00A060A6" w:rsidP="0066301C">
      <w:pPr>
        <w:spacing w:line="360" w:lineRule="auto"/>
        <w:jc w:val="both"/>
        <w:rPr>
          <w:rFonts w:ascii="Arial" w:hAnsi="Arial" w:cs="Arial"/>
        </w:rPr>
      </w:pPr>
      <w:r>
        <w:rPr>
          <w:rFonts w:ascii="Arial" w:hAnsi="Arial" w:cs="Arial"/>
        </w:rPr>
        <w:t>I</w:t>
      </w:r>
      <w:r w:rsidR="0074701C" w:rsidRPr="00FE4DCB">
        <w:rPr>
          <w:rFonts w:ascii="Arial" w:hAnsi="Arial" w:cs="Arial"/>
        </w:rPr>
        <w:t xml:space="preserve">n a study on bilateral trade data, </w:t>
      </w:r>
      <w:r w:rsidRPr="00FE4DCB">
        <w:rPr>
          <w:rFonts w:ascii="Arial" w:hAnsi="Arial" w:cs="Arial"/>
        </w:rPr>
        <w:t xml:space="preserve">Bahmani-Oskooee and Brooks (1999), </w:t>
      </w:r>
      <w:r w:rsidR="0074701C" w:rsidRPr="00FE4DCB">
        <w:rPr>
          <w:rFonts w:ascii="Arial" w:hAnsi="Arial" w:cs="Arial"/>
        </w:rPr>
        <w:t xml:space="preserve">investigated the shortcomings of Rose and Yellen (1989) and Marwah and Klein (1996) analyses. Three deficiencies of Rose and Yellen (1989) work were identified; firstly, the unit of measurement of TB was the difference between merchandise export and import. Secondly, the cointegration technique (Engle-Granger) has low power as it requires the Dickey-Fuller (DF) or augmented Dicker-Fuller (ADF) test. The short-term results were from a simple autoregressive analysis </w:t>
      </w:r>
      <w:r w:rsidR="0074701C" w:rsidRPr="00FE4DCB">
        <w:rPr>
          <w:rFonts w:ascii="Arial" w:hAnsi="Arial" w:cs="Arial"/>
        </w:rPr>
        <w:lastRenderedPageBreak/>
        <w:t>instead of an error-correction modeling. Thirdly, they did not use any objective criterion in selecting the lag length to estimate their VAR model. The main shortcoming of Marwah and Klein (1996) analysis is using non-stationary data. Thus, Bahmani-Oskooee and Brooks (1999) avoided the abovementioned shortcomings in their analysis of the </w:t>
      </w:r>
      <w:r w:rsidR="0074701C" w:rsidRPr="00FE4DCB">
        <w:rPr>
          <w:rStyle w:val="Emphasis"/>
          <w:rFonts w:ascii="Arial" w:hAnsi="Arial" w:cs="Arial"/>
        </w:rPr>
        <w:t>J</w:t>
      </w:r>
      <w:r w:rsidR="0074701C" w:rsidRPr="00FE4DCB">
        <w:rPr>
          <w:rFonts w:ascii="Arial" w:hAnsi="Arial" w:cs="Arial"/>
        </w:rPr>
        <w:t>-curve between the USA and its six main trade partners. They adopted a model similar to that used by Rose and Yellen (1989) and employed a new cointegration technique of autoregressive-distributed lag (ARDL). The Error Correction Model was used to capture both short and long-term effects. By using quarterly bilateral trade data within the period 1973Q1 to 1996Q2, they found no short-term patterns favouring the </w:t>
      </w:r>
      <w:r w:rsidR="0074701C" w:rsidRPr="00FE4DCB">
        <w:rPr>
          <w:rStyle w:val="Emphasis"/>
          <w:rFonts w:ascii="Arial" w:hAnsi="Arial" w:cs="Arial"/>
        </w:rPr>
        <w:t>J</w:t>
      </w:r>
      <w:r w:rsidR="0074701C" w:rsidRPr="00FE4DCB">
        <w:rPr>
          <w:rFonts w:ascii="Arial" w:hAnsi="Arial" w:cs="Arial"/>
        </w:rPr>
        <w:t xml:space="preserve">-curve (i.e., their result did not find the coefficient of the RER having a negative sign in the </w:t>
      </w:r>
      <w:bookmarkStart w:id="106" w:name="_Hlk170248762"/>
      <w:r w:rsidR="0074701C" w:rsidRPr="00FE4DCB">
        <w:rPr>
          <w:rFonts w:ascii="Arial" w:hAnsi="Arial" w:cs="Arial"/>
        </w:rPr>
        <w:t>short-term and a positive sign in the long-term). </w:t>
      </w:r>
    </w:p>
    <w:p w14:paraId="74328FF9" w14:textId="6C460CC9" w:rsidR="000B2F30" w:rsidRPr="008C68B3" w:rsidRDefault="000B2F30" w:rsidP="0066301C">
      <w:pPr>
        <w:pStyle w:val="Heading2"/>
        <w:spacing w:before="0" w:beforeAutospacing="0"/>
      </w:pPr>
      <w:bookmarkStart w:id="107" w:name="_Toc171075372"/>
      <w:bookmarkStart w:id="108" w:name="_Hlk162662577"/>
      <w:r>
        <w:t>2.</w:t>
      </w:r>
      <w:r w:rsidR="00892A02">
        <w:t>5</w:t>
      </w:r>
      <w:r w:rsidR="00EB238E">
        <w:tab/>
      </w:r>
      <w:r w:rsidRPr="008C68B3">
        <w:t xml:space="preserve">THE </w:t>
      </w:r>
      <w:r>
        <w:t xml:space="preserve">IMPACT OF </w:t>
      </w:r>
      <w:r w:rsidRPr="008C68B3">
        <w:t xml:space="preserve">REAL </w:t>
      </w:r>
      <w:r>
        <w:t xml:space="preserve">EFFECTIVE EXCHANGE RATE ON </w:t>
      </w:r>
      <w:r w:rsidRPr="008204CC">
        <w:t>ECONOMIC GROWTH</w:t>
      </w:r>
      <w:bookmarkEnd w:id="107"/>
    </w:p>
    <w:p w14:paraId="6691170F" w14:textId="77777777" w:rsidR="000A43D8" w:rsidRPr="00231A69" w:rsidRDefault="000A43D8" w:rsidP="0066301C">
      <w:pPr>
        <w:spacing w:line="360" w:lineRule="auto"/>
        <w:jc w:val="both"/>
        <w:rPr>
          <w:rFonts w:ascii="Arial" w:hAnsi="Arial" w:cs="Arial"/>
        </w:rPr>
      </w:pPr>
      <w:r w:rsidRPr="00231A69">
        <w:rPr>
          <w:rFonts w:ascii="Arial" w:hAnsi="Arial" w:cs="Arial"/>
        </w:rPr>
        <w:t>The exchange rate and the choice of exchange rate regime have been at the centre stage in the post-crisis period. There is a continuous divide between policymakers and economists regarding the impact of foreign exchange on economic growth. Whereas laypeople and politicians are often convinced that a lower exchange rate will spur growth, economists are often sceptical that the relative price of two currencies could be a fundamental driver of growth over the long term. Most economists believe the exchange rate is an endogenous variable whose contribution to growth might be difficult to disentangle. Whether the exchange rate devaluation aids medium-term growth is still very unsettled in the literature. </w:t>
      </w:r>
    </w:p>
    <w:p w14:paraId="672E8F69" w14:textId="77777777" w:rsidR="000A43D8" w:rsidRPr="00231A69" w:rsidRDefault="000A43D8" w:rsidP="0066301C">
      <w:pPr>
        <w:spacing w:line="360" w:lineRule="auto"/>
        <w:jc w:val="both"/>
        <w:rPr>
          <w:rFonts w:ascii="Arial" w:hAnsi="Arial" w:cs="Arial"/>
        </w:rPr>
      </w:pPr>
      <w:bookmarkStart w:id="109" w:name="_Hlk162662652"/>
      <w:bookmarkEnd w:id="108"/>
      <w:r w:rsidRPr="00231A69">
        <w:rPr>
          <w:rFonts w:ascii="Arial" w:hAnsi="Arial" w:cs="Arial"/>
        </w:rPr>
        <w:t xml:space="preserve">The economic effect of the real exchange rate changes is among the controversial issues in the literature, especially the impact of changes in the real exchange rate on the economic growth of a nation over the past decades. </w:t>
      </w:r>
      <w:bookmarkStart w:id="110" w:name="_Hlk170248889"/>
      <w:r w:rsidRPr="00231A69">
        <w:rPr>
          <w:rFonts w:ascii="Arial" w:hAnsi="Arial" w:cs="Arial"/>
        </w:rPr>
        <w:t xml:space="preserve">The traditional view argues that there is a positive relationship between exchange rate changes and economic growth. </w:t>
      </w:r>
      <w:bookmarkEnd w:id="106"/>
      <w:r w:rsidRPr="00231A69">
        <w:rPr>
          <w:rFonts w:ascii="Arial" w:hAnsi="Arial" w:cs="Arial"/>
        </w:rPr>
        <w:t>An exchange rate devaluation influences the relative prices of domestic and foreign goods, promoting exports while decreasing imports. Currency devaluation converts the demands of foreigners into the country and directs the import demands of the indigenous to the local products. As such, currency devaluation supports economic growth by encouraging net exports (i.e., devaluation could be proposed as an effective policy tool to stimulate economic growth) (Karahan, 2020).</w:t>
      </w:r>
    </w:p>
    <w:p w14:paraId="00409DBE" w14:textId="77777777" w:rsidR="000A43D8" w:rsidRPr="00231A69" w:rsidRDefault="000A43D8" w:rsidP="0066301C">
      <w:pPr>
        <w:spacing w:line="360" w:lineRule="auto"/>
        <w:jc w:val="both"/>
        <w:rPr>
          <w:rFonts w:ascii="Arial" w:hAnsi="Arial" w:cs="Arial"/>
        </w:rPr>
      </w:pPr>
      <w:r w:rsidRPr="00231A69">
        <w:rPr>
          <w:rFonts w:ascii="Arial" w:hAnsi="Arial" w:cs="Arial"/>
        </w:rPr>
        <w:t xml:space="preserve">Structuralist economists, on the contrary, argued that currency devaluation hurts the economies of developing nations. A crucial structural problem in developing nations’ economies is the phenomenon of foreign dependency, as most of the inputs used by these nations in their production process are provided via imports. Most inputs used by these nations in their production processes are imported. An exchange rate devaluation will increase the cost of imported inputs like semi-finished goods and machinery used in the production process. Hence, </w:t>
      </w:r>
      <w:r w:rsidRPr="00231A69">
        <w:rPr>
          <w:rFonts w:ascii="Arial" w:hAnsi="Arial" w:cs="Arial"/>
        </w:rPr>
        <w:lastRenderedPageBreak/>
        <w:t>the increased cost of production because of the devaluation of domestic currency could harm the output level of the nation. </w:t>
      </w:r>
    </w:p>
    <w:bookmarkEnd w:id="109"/>
    <w:bookmarkEnd w:id="110"/>
    <w:p w14:paraId="49F03965" w14:textId="2E3FA02E" w:rsidR="000A43D8" w:rsidRPr="00231A69" w:rsidRDefault="000A43D8" w:rsidP="0066301C">
      <w:pPr>
        <w:spacing w:line="360" w:lineRule="auto"/>
        <w:jc w:val="both"/>
        <w:rPr>
          <w:rFonts w:ascii="Arial" w:hAnsi="Arial" w:cs="Arial"/>
        </w:rPr>
      </w:pPr>
      <w:r w:rsidRPr="00231A69">
        <w:rPr>
          <w:rFonts w:ascii="Arial" w:hAnsi="Arial" w:cs="Arial"/>
        </w:rPr>
        <w:t>Our goal is to find out if there is a link between RE</w:t>
      </w:r>
      <w:r w:rsidR="00CF44D6">
        <w:rPr>
          <w:rFonts w:ascii="Arial" w:hAnsi="Arial" w:cs="Arial"/>
        </w:rPr>
        <w:t>E</w:t>
      </w:r>
      <w:r w:rsidRPr="00231A69">
        <w:rPr>
          <w:rFonts w:ascii="Arial" w:hAnsi="Arial" w:cs="Arial"/>
        </w:rPr>
        <w:t xml:space="preserve">R devaluation and economic growth. Based on the work of Rodrik (2008), who evaluated this nexus on a database of 188 nations and 11 five-year periods from 1950 to 2004. His finding showed that for developing nations, an undervalued exchange rate predicted strong economic growth. The motivation for this finding was that tradable economic activities are special in developing nations as tradable suffer disproportionately from the institutional and market failure that keeps nations poor. In Rodrik’s view, a sustained real depreciation increases the relative profitability of investing in </w:t>
      </w:r>
      <w:r w:rsidR="00122B17" w:rsidRPr="00231A69">
        <w:rPr>
          <w:rFonts w:ascii="Arial" w:hAnsi="Arial" w:cs="Arial"/>
        </w:rPr>
        <w:t>tradable</w:t>
      </w:r>
      <w:r w:rsidRPr="00231A69">
        <w:rPr>
          <w:rFonts w:ascii="Arial" w:hAnsi="Arial" w:cs="Arial"/>
        </w:rPr>
        <w:t xml:space="preserve"> and acts in a second-best fashion to alleviate the economic cost of these distortions. However, a significant concern around this analysis regarding country-specific shocks like productivity shock could impact the REER, leading to reverse causality (i.e., the economic growth impacting the RER). Woodford (2008), in his discussion of Rodrik (2008), argued in </w:t>
      </w:r>
      <w:r w:rsidR="00122B17" w:rsidRPr="00231A69">
        <w:rPr>
          <w:rFonts w:ascii="Arial" w:hAnsi="Arial" w:cs="Arial"/>
        </w:rPr>
        <w:t>defence</w:t>
      </w:r>
      <w:r w:rsidRPr="00231A69">
        <w:rPr>
          <w:rFonts w:ascii="Arial" w:hAnsi="Arial" w:cs="Arial"/>
        </w:rPr>
        <w:t xml:space="preserve"> of OLS regression of economic growth on the RER, with the possibility of reverse causality (i.e., a positive link between growth and REER appreciation). There is a large body of </w:t>
      </w:r>
      <w:r w:rsidR="00992F17">
        <w:rPr>
          <w:rFonts w:ascii="Arial" w:hAnsi="Arial" w:cs="Arial"/>
        </w:rPr>
        <w:t>empirical</w:t>
      </w:r>
      <w:r w:rsidR="009F422A">
        <w:rPr>
          <w:rFonts w:ascii="Arial" w:hAnsi="Arial" w:cs="Arial"/>
        </w:rPr>
        <w:t xml:space="preserve"> work</w:t>
      </w:r>
      <w:r w:rsidRPr="00231A69">
        <w:rPr>
          <w:rFonts w:ascii="Arial" w:hAnsi="Arial" w:cs="Arial"/>
        </w:rPr>
        <w:t xml:space="preserve"> suggesting a nexus between RER and economic growth, as discussed below. </w:t>
      </w:r>
    </w:p>
    <w:p w14:paraId="31419577" w14:textId="77777777" w:rsidR="00F53C4E" w:rsidRPr="00A82C08" w:rsidRDefault="00F53C4E" w:rsidP="0066301C">
      <w:pPr>
        <w:spacing w:line="360" w:lineRule="auto"/>
        <w:jc w:val="both"/>
        <w:rPr>
          <w:rFonts w:ascii="Arial" w:eastAsia="Times New Roman" w:hAnsi="Arial" w:cs="Arial"/>
          <w:color w:val="0E101A"/>
          <w:lang w:eastAsia="en-GB"/>
        </w:rPr>
      </w:pPr>
      <w:r w:rsidRPr="00A82C08">
        <w:rPr>
          <w:rFonts w:ascii="Arial" w:eastAsia="Times New Roman" w:hAnsi="Arial" w:cs="Arial"/>
          <w:color w:val="0E101A"/>
          <w:lang w:eastAsia="en-GB"/>
        </w:rPr>
        <w:t>The impacts of devaluation on six Asian nations (India, Malaysia, Pakistan, Philippines, Sri Lanka, and Thailand) output were examined by Upadhyaya and Upadhyay (1999). A reduced model for output comprising the following explanatory variables: terms of trade, money supply, and government consumption. From their results, devaluation never had any positive impact on the output growth in the short-term, medium-term, and long-term in five of the six nations. Only in the Philippines did the real devaluation have an expansionary impact in both the short and medium term. The impact of currency devaluations was compared in two Latin American nations, Chile and Mexico, along with seven East Asian nations, Indonesia, Korea, Malaysia, Philippines, Singapore, Thailand, and Taiwan, by Kim and Ying (2007). Both bivariate Granger Causality analysis and the multivariate Vector Autoregressive Regression (VAR) model were conducted. To account for the structural break in the series because of the 1997 financial crises, the pre-1997 period was distinguished in their analysis. As such, their results had different results as per the periods used. The devaluation was not contractionary for the East Asian nations in the pre-1997 era, whereas it was strongly contractionary for both Chile and Mexico. Nonetheless, for the entire period, the devaluation was contractionary for the Latin American nations (Chile and Mexico) and some East Asian nations such as Indonesia, Malaysia, and the Philippines. The RER devaluation is perceived to be correlated with the contraction of the economy, while the appreciated RER has been expansionary over the past decades in Mexico. </w:t>
      </w:r>
    </w:p>
    <w:p w14:paraId="3C0FB492" w14:textId="6786B4FE" w:rsidR="00F53C4E" w:rsidRPr="00A82C08" w:rsidRDefault="00F53C4E" w:rsidP="0066301C">
      <w:pPr>
        <w:spacing w:line="360" w:lineRule="auto"/>
        <w:jc w:val="both"/>
        <w:rPr>
          <w:rFonts w:ascii="Arial" w:eastAsia="Times New Roman" w:hAnsi="Arial" w:cs="Arial"/>
          <w:color w:val="0E101A"/>
          <w:lang w:eastAsia="en-GB"/>
        </w:rPr>
      </w:pPr>
      <w:r w:rsidRPr="00A82C08">
        <w:rPr>
          <w:rFonts w:ascii="Arial" w:eastAsia="Times New Roman" w:hAnsi="Arial" w:cs="Arial"/>
          <w:color w:val="0E101A"/>
          <w:lang w:eastAsia="en-GB"/>
        </w:rPr>
        <w:lastRenderedPageBreak/>
        <w:t xml:space="preserve">The effects of RER depreciation on output growth for fourteen MENA nations were evaluated by Bahmani-Oskooee and Kandil (2009). They applied both cointegration and error correction </w:t>
      </w:r>
      <w:r w:rsidR="00122B17" w:rsidRPr="00A82C08">
        <w:rPr>
          <w:rFonts w:ascii="Arial" w:eastAsia="Times New Roman" w:hAnsi="Arial" w:cs="Arial"/>
          <w:color w:val="0E101A"/>
          <w:lang w:eastAsia="en-GB"/>
        </w:rPr>
        <w:t>modelling</w:t>
      </w:r>
      <w:r w:rsidRPr="00A82C08">
        <w:rPr>
          <w:rFonts w:ascii="Arial" w:eastAsia="Times New Roman" w:hAnsi="Arial" w:cs="Arial"/>
          <w:color w:val="0E101A"/>
          <w:lang w:eastAsia="en-GB"/>
        </w:rPr>
        <w:t xml:space="preserve"> to differentiate the growth effects of depreciation in the short term and the long term. Coupled with that, they differentiated the unanticipated and the anticipated components of RER. Their work showed that unanticipated depreciation was only evident in the short term, while in the long term, it had no expansionary impact. Contrarily, it had a long-term contractionary impact in Qatar, Kuwait, and Jordan. Meanwhile, the anticipated depreciation was contractionary in the long term for Libya and Lebanon but expansionary for Tunisia, Saudi Arabia, Syria, Oman, and Bahrain.</w:t>
      </w:r>
    </w:p>
    <w:p w14:paraId="418F23AC" w14:textId="70E31DAE" w:rsidR="00F53C4E" w:rsidRPr="00A82C08" w:rsidRDefault="00F53C4E" w:rsidP="0066301C">
      <w:pPr>
        <w:spacing w:line="360" w:lineRule="auto"/>
        <w:jc w:val="both"/>
        <w:rPr>
          <w:rFonts w:ascii="Arial" w:eastAsia="Times New Roman" w:hAnsi="Arial" w:cs="Arial"/>
          <w:color w:val="0E101A"/>
          <w:lang w:eastAsia="en-GB"/>
        </w:rPr>
      </w:pPr>
      <w:r w:rsidRPr="00A82C08">
        <w:rPr>
          <w:rFonts w:ascii="Arial" w:eastAsia="Times New Roman" w:hAnsi="Arial" w:cs="Arial"/>
          <w:color w:val="0E101A"/>
          <w:lang w:eastAsia="en-GB"/>
        </w:rPr>
        <w:t xml:space="preserve">Edwards (1986) used 30 devaluation episodes in 22 less-developed nations to analyze the </w:t>
      </w:r>
      <w:r w:rsidR="00122B17" w:rsidRPr="00A82C08">
        <w:rPr>
          <w:rFonts w:ascii="Arial" w:eastAsia="Times New Roman" w:hAnsi="Arial" w:cs="Arial"/>
          <w:color w:val="0E101A"/>
          <w:lang w:eastAsia="en-GB"/>
        </w:rPr>
        <w:t>behaviour</w:t>
      </w:r>
      <w:r w:rsidRPr="00A82C08">
        <w:rPr>
          <w:rFonts w:ascii="Arial" w:eastAsia="Times New Roman" w:hAnsi="Arial" w:cs="Arial"/>
          <w:color w:val="0E101A"/>
          <w:lang w:eastAsia="en-GB"/>
        </w:rPr>
        <w:t xml:space="preserve"> of investment, real output, and growth. The analysis showed a mixed outcome, depicting a contraction after the devaluation scenario in just a third to a half of the episodes. However, it was ambiguous if the reduction in the output was because of devaluation or changes in other exogenous variables. As such, by extending the study, Edwards (1986) set up a reduced-form equation for output controlling for the impact of foreign shocks, monetary policy, and fiscal policy. By using the pooled data of 12 less developed nations, it was confirmed that in the short-term, devaluation was contractionary, while in the long-term, it was neutral because the contemporaneous and lagged effects of RER </w:t>
      </w:r>
      <w:r w:rsidR="00122B17" w:rsidRPr="00A82C08">
        <w:rPr>
          <w:rFonts w:ascii="Arial" w:eastAsia="Times New Roman" w:hAnsi="Arial" w:cs="Arial"/>
          <w:color w:val="0E101A"/>
          <w:lang w:eastAsia="en-GB"/>
        </w:rPr>
        <w:t>cancelled</w:t>
      </w:r>
      <w:r w:rsidRPr="00A82C08">
        <w:rPr>
          <w:rFonts w:ascii="Arial" w:eastAsia="Times New Roman" w:hAnsi="Arial" w:cs="Arial"/>
          <w:color w:val="0E101A"/>
          <w:lang w:eastAsia="en-GB"/>
        </w:rPr>
        <w:t xml:space="preserve"> each out. </w:t>
      </w:r>
    </w:p>
    <w:p w14:paraId="2B586723" w14:textId="509C84DD" w:rsidR="00F53C4E" w:rsidRPr="00A82C08" w:rsidRDefault="00F53C4E" w:rsidP="0066301C">
      <w:pPr>
        <w:spacing w:line="360" w:lineRule="auto"/>
        <w:jc w:val="both"/>
        <w:rPr>
          <w:rFonts w:ascii="Arial" w:eastAsia="Times New Roman" w:hAnsi="Arial" w:cs="Arial"/>
          <w:color w:val="0E101A"/>
          <w:lang w:eastAsia="en-GB"/>
        </w:rPr>
      </w:pPr>
      <w:r w:rsidRPr="00A82C08">
        <w:rPr>
          <w:rFonts w:ascii="Arial" w:eastAsia="Times New Roman" w:hAnsi="Arial" w:cs="Arial"/>
          <w:color w:val="0E101A"/>
          <w:lang w:eastAsia="en-GB"/>
        </w:rPr>
        <w:t xml:space="preserve">Agenor (1991) </w:t>
      </w:r>
      <w:r w:rsidR="00387CE6" w:rsidRPr="00A82C08">
        <w:rPr>
          <w:rFonts w:ascii="Arial" w:eastAsia="Times New Roman" w:hAnsi="Arial" w:cs="Arial"/>
          <w:color w:val="0E101A"/>
          <w:lang w:eastAsia="en-GB"/>
        </w:rPr>
        <w:t>analysed</w:t>
      </w:r>
      <w:r w:rsidRPr="00A82C08">
        <w:rPr>
          <w:rFonts w:ascii="Arial" w:eastAsia="Times New Roman" w:hAnsi="Arial" w:cs="Arial"/>
          <w:color w:val="0E101A"/>
          <w:lang w:eastAsia="en-GB"/>
        </w:rPr>
        <w:t xml:space="preserve"> the impact of changes in RER on output for a set of 23 nations from 1978 to 1987. The empirical analysis was </w:t>
      </w:r>
      <w:r w:rsidR="00387CE6" w:rsidRPr="00A82C08">
        <w:rPr>
          <w:rFonts w:ascii="Arial" w:eastAsia="Times New Roman" w:hAnsi="Arial" w:cs="Arial"/>
          <w:color w:val="0E101A"/>
          <w:lang w:eastAsia="en-GB"/>
        </w:rPr>
        <w:t>centred</w:t>
      </w:r>
      <w:r w:rsidRPr="00A82C08">
        <w:rPr>
          <w:rFonts w:ascii="Arial" w:eastAsia="Times New Roman" w:hAnsi="Arial" w:cs="Arial"/>
          <w:color w:val="0E101A"/>
          <w:lang w:eastAsia="en-GB"/>
        </w:rPr>
        <w:t xml:space="preserve"> on an output equation obtained from a coherent expectations macro-model with intermediate products that are imported. By differentiating the impact of unanticipated and anticipated effects of a real depreciation, he applied the fixed effects estimation technique to the panel data set. The result showed that an unanticipated RER depreciation had a positive impact on output, while an anticipated RER depreciation harmed output. This result was contrary to that of Edwards (1986), whereby the contractionary impact of unanticipated depreciation was significant even after one year. Agenor (1991) postulates that depreciation was not neutral after a year, as stated by Edwards (1986); rather, it was continually contractionary in the medium-term to the long term. Concerning the differences in the estimation results to that of Edwards (1986), Agenor (1991) reiterated that it was important to define the RER adequately and to specify the output equation appropriately. Rather than using the bilateral RER, as done by Edward (1986), Agenor (1991) preferred using the multilateral (effective) RER.  </w:t>
      </w:r>
    </w:p>
    <w:p w14:paraId="409FAAF9" w14:textId="77777777" w:rsidR="00F53C4E" w:rsidRPr="00A82C08" w:rsidRDefault="00F53C4E" w:rsidP="0066301C">
      <w:pPr>
        <w:spacing w:line="360" w:lineRule="auto"/>
        <w:jc w:val="both"/>
        <w:rPr>
          <w:rFonts w:ascii="Arial" w:eastAsia="Times New Roman" w:hAnsi="Arial" w:cs="Arial"/>
          <w:color w:val="0E101A"/>
          <w:lang w:eastAsia="en-GB"/>
        </w:rPr>
      </w:pPr>
      <w:r w:rsidRPr="00A82C08">
        <w:rPr>
          <w:rFonts w:ascii="Arial" w:eastAsia="Times New Roman" w:hAnsi="Arial" w:cs="Arial"/>
          <w:color w:val="0E101A"/>
          <w:lang w:eastAsia="en-GB"/>
        </w:rPr>
        <w:t>Magendzo (2002) postulates that the reason previous studies had a contractionary devaluation was due to </w:t>
      </w:r>
      <w:r w:rsidRPr="00A82C08">
        <w:rPr>
          <w:rFonts w:ascii="Arial" w:eastAsia="Times New Roman" w:hAnsi="Arial" w:cs="Arial"/>
          <w:i/>
          <w:iCs/>
          <w:color w:val="0E101A"/>
          <w:lang w:eastAsia="en-GB"/>
        </w:rPr>
        <w:t>“selection bias”</w:t>
      </w:r>
      <w:r w:rsidRPr="00A82C08">
        <w:rPr>
          <w:rFonts w:ascii="Arial" w:eastAsia="Times New Roman" w:hAnsi="Arial" w:cs="Arial"/>
          <w:color w:val="0E101A"/>
          <w:lang w:eastAsia="en-GB"/>
        </w:rPr>
        <w:t xml:space="preserve"> because some variables affecting the possibility of a devaluation also determined the output growth. By using a Matching Estimator technique on a large set of </w:t>
      </w:r>
      <w:r w:rsidRPr="00A82C08">
        <w:rPr>
          <w:rFonts w:ascii="Arial" w:eastAsia="Times New Roman" w:hAnsi="Arial" w:cs="Arial"/>
          <w:color w:val="0E101A"/>
          <w:lang w:eastAsia="en-GB"/>
        </w:rPr>
        <w:lastRenderedPageBreak/>
        <w:t>data consisting of 155 nations from 1970 to 1999, the selection bias was controlled. The reason for the matching estimators is to compare similar nations that were devalued and not devalued. When the selective bias was not taken into cognition, it was found that devaluations were contractionary. However, when the selective bias was controlled, the contractionary impact of the devaluation disappeared, having no significant impact on output.</w:t>
      </w:r>
    </w:p>
    <w:p w14:paraId="486EE301" w14:textId="77777777" w:rsidR="00F53C4E" w:rsidRPr="00A82C08" w:rsidRDefault="00F53C4E" w:rsidP="0066301C">
      <w:pPr>
        <w:spacing w:line="360" w:lineRule="auto"/>
        <w:jc w:val="both"/>
        <w:rPr>
          <w:rFonts w:ascii="Arial" w:eastAsia="Times New Roman" w:hAnsi="Arial" w:cs="Arial"/>
          <w:color w:val="0E101A"/>
          <w:lang w:eastAsia="en-GB"/>
        </w:rPr>
      </w:pPr>
      <w:r w:rsidRPr="00A82C08">
        <w:rPr>
          <w:rFonts w:ascii="Arial" w:eastAsia="Times New Roman" w:hAnsi="Arial" w:cs="Arial"/>
          <w:color w:val="0E101A"/>
          <w:lang w:eastAsia="en-GB"/>
        </w:rPr>
        <w:t>In examining if depreciation under a flexible exchange-rate system and devaluations under a pegged exchange-rate system were similarly destructive for a country, Ahmed </w:t>
      </w:r>
      <w:r w:rsidRPr="00A82C08">
        <w:rPr>
          <w:rFonts w:ascii="Arial" w:eastAsia="Times New Roman" w:hAnsi="Arial" w:cs="Arial"/>
          <w:i/>
          <w:iCs/>
          <w:color w:val="0E101A"/>
          <w:lang w:eastAsia="en-GB"/>
        </w:rPr>
        <w:t>et al. </w:t>
      </w:r>
      <w:r w:rsidRPr="00A82C08">
        <w:rPr>
          <w:rFonts w:ascii="Arial" w:eastAsia="Times New Roman" w:hAnsi="Arial" w:cs="Arial"/>
          <w:color w:val="0E101A"/>
          <w:lang w:eastAsia="en-GB"/>
        </w:rPr>
        <w:t>(2003) said that governments of less developed nations often abandon the fixed-exchange-rate system in the event of a devaluation due to shortage of reserves. The relinquishment of the fixed-exchange-rate policy led to a drop in credibility in the economy from the investors’ perspective, a sudden outflow of capital, and a contraction of the economy. It is unclear if the devaluation led to adverse results or the abandonment of the fixed exchange-rate system after the devaluation. In a normal depreciation under a flexible exchange-rate regime, it is difficult to observe the negative shortcomings that could be found in devaluation under a fixed-exchange-rate system. As such, VAR models were estimated by Ahmed </w:t>
      </w:r>
      <w:r w:rsidRPr="00A82C08">
        <w:rPr>
          <w:rFonts w:ascii="Arial" w:eastAsia="Times New Roman" w:hAnsi="Arial" w:cs="Arial"/>
          <w:i/>
          <w:iCs/>
          <w:color w:val="0E101A"/>
          <w:lang w:eastAsia="en-GB"/>
        </w:rPr>
        <w:t>et al.</w:t>
      </w:r>
      <w:r w:rsidRPr="00A82C08">
        <w:rPr>
          <w:rFonts w:ascii="Arial" w:eastAsia="Times New Roman" w:hAnsi="Arial" w:cs="Arial"/>
          <w:color w:val="0E101A"/>
          <w:lang w:eastAsia="en-GB"/>
        </w:rPr>
        <w:t> (2003) in comparing the responses of developing nations to devaluation. The economies used in the finding consist of East Asian and Latin American nations, which alternated between flexible and fixed-exchange-rate systems, and two kinds of industrial economies (those with sustained pegged exchange-rate systems and those consistently flexible). The outcome of their finding showed contractionary responses to devaluation shocks in developing nations while expansionary ones for the two kinds of industrial nations. Ahmed </w:t>
      </w:r>
      <w:r w:rsidRPr="00A82C08">
        <w:rPr>
          <w:rFonts w:ascii="Arial" w:eastAsia="Times New Roman" w:hAnsi="Arial" w:cs="Arial"/>
          <w:i/>
          <w:iCs/>
          <w:color w:val="0E101A"/>
          <w:lang w:eastAsia="en-GB"/>
        </w:rPr>
        <w:t>et al.</w:t>
      </w:r>
      <w:r w:rsidRPr="00A82C08">
        <w:rPr>
          <w:rFonts w:ascii="Arial" w:eastAsia="Times New Roman" w:hAnsi="Arial" w:cs="Arial"/>
          <w:color w:val="0E101A"/>
          <w:lang w:eastAsia="en-GB"/>
        </w:rPr>
        <w:t> (2003) presumed that the contractionary effects of the devaluations could not be attributed solely to the exchange-rate system. Some structures of less developed nations cause devaluations to produce unorthodox contractionary effects on their economies. From this, it is necessary to look at other policies, like the monetary policy, fiscal policy, as well as the commodities exported.    </w:t>
      </w:r>
    </w:p>
    <w:p w14:paraId="61078151" w14:textId="235C48BF" w:rsidR="00F53C4E" w:rsidRPr="00A82C08" w:rsidRDefault="00F53C4E" w:rsidP="0066301C">
      <w:pPr>
        <w:spacing w:line="360" w:lineRule="auto"/>
        <w:jc w:val="both"/>
        <w:rPr>
          <w:rFonts w:ascii="Arial" w:eastAsia="Times New Roman" w:hAnsi="Arial" w:cs="Arial"/>
          <w:color w:val="0E101A"/>
          <w:lang w:eastAsia="en-GB"/>
        </w:rPr>
      </w:pPr>
      <w:r w:rsidRPr="00A82C08">
        <w:rPr>
          <w:rFonts w:ascii="Arial" w:eastAsia="Times New Roman" w:hAnsi="Arial" w:cs="Arial"/>
          <w:color w:val="0E101A"/>
          <w:lang w:eastAsia="en-GB"/>
        </w:rPr>
        <w:t xml:space="preserve">It is being postulated that developing nations could accomplish a high and sustainable growth rate via the pursuit of devaluation policy as the Eastern-Asian nations (Rodrik, 2008). He gave empirical evidence of the positive impact of undervalued RER on the economic growth of a nation. Working on a data set of 184 nations, Rodrik (2008) </w:t>
      </w:r>
      <w:r w:rsidR="00387CE6" w:rsidRPr="00A82C08">
        <w:rPr>
          <w:rFonts w:ascii="Arial" w:eastAsia="Times New Roman" w:hAnsi="Arial" w:cs="Arial"/>
          <w:color w:val="0E101A"/>
          <w:lang w:eastAsia="en-GB"/>
        </w:rPr>
        <w:t>analysed</w:t>
      </w:r>
      <w:r w:rsidRPr="00A82C08">
        <w:rPr>
          <w:rFonts w:ascii="Arial" w:eastAsia="Times New Roman" w:hAnsi="Arial" w:cs="Arial"/>
          <w:color w:val="0E101A"/>
          <w:lang w:eastAsia="en-GB"/>
        </w:rPr>
        <w:t xml:space="preserve"> the effect of RER undervaluation on their economic growth. By using an undervaluation index as an RER measure by adjusting the PPP-based RER measure with the Balassa-Samuelson effect. As per Balassa (1964) and Samuelson (1964), because developed nations have greater productivity of tradable commodities, their non-tradable products are more expensive than in less developed nations. As such, the RERs in developed nations are expected to be lower than in developing nations. By defining an undervaluation as the difference between the predicted and the observed RER, Rodrik (2008) estimated a panel data growth model for developed and developing nations via </w:t>
      </w:r>
      <w:r w:rsidRPr="00A82C08">
        <w:rPr>
          <w:rFonts w:ascii="Arial" w:eastAsia="Times New Roman" w:hAnsi="Arial" w:cs="Arial"/>
          <w:color w:val="0E101A"/>
          <w:lang w:eastAsia="en-GB"/>
        </w:rPr>
        <w:lastRenderedPageBreak/>
        <w:t>the adoption of General Method of Moments (GMM) and Fixed Effects (FE) estimators. The research outcome showed that currency undervaluation stimulates the economic growth of a nation, especially for developing nations. He postulates that the trading sector was the core mechanism behind the result and that because the tradable sector suffered unduly from both market failures and institutional weakness, an increase in the profitability of the tradable sector via an undervaluation of the RER facilitates developing nations' economic growth. </w:t>
      </w:r>
    </w:p>
    <w:p w14:paraId="77F8E61A" w14:textId="77777777" w:rsidR="00F53C4E" w:rsidRPr="00A82C08" w:rsidRDefault="00F53C4E" w:rsidP="0066301C">
      <w:pPr>
        <w:spacing w:line="360" w:lineRule="auto"/>
        <w:jc w:val="both"/>
        <w:rPr>
          <w:rFonts w:ascii="Arial" w:eastAsia="Times New Roman" w:hAnsi="Arial" w:cs="Arial"/>
          <w:color w:val="0E101A"/>
          <w:lang w:eastAsia="en-GB"/>
        </w:rPr>
      </w:pPr>
      <w:r w:rsidRPr="00A82C08">
        <w:rPr>
          <w:rFonts w:ascii="Arial" w:eastAsia="Times New Roman" w:hAnsi="Arial" w:cs="Arial"/>
          <w:color w:val="0E101A"/>
          <w:lang w:eastAsia="en-GB"/>
        </w:rPr>
        <w:t>Other studies (Gala, 2008; Di Nino </w:t>
      </w:r>
      <w:r w:rsidRPr="00A82C08">
        <w:rPr>
          <w:rFonts w:ascii="Arial" w:eastAsia="Times New Roman" w:hAnsi="Arial" w:cs="Arial"/>
          <w:i/>
          <w:iCs/>
          <w:color w:val="0E101A"/>
          <w:lang w:eastAsia="en-GB"/>
        </w:rPr>
        <w:t>et al., </w:t>
      </w:r>
      <w:r w:rsidRPr="00A82C08">
        <w:rPr>
          <w:rFonts w:ascii="Arial" w:eastAsia="Times New Roman" w:hAnsi="Arial" w:cs="Arial"/>
          <w:color w:val="0E101A"/>
          <w:lang w:eastAsia="en-GB"/>
        </w:rPr>
        <w:t>2011; Gluzmann </w:t>
      </w:r>
      <w:r w:rsidRPr="00A82C08">
        <w:rPr>
          <w:rFonts w:ascii="Arial" w:eastAsia="Times New Roman" w:hAnsi="Arial" w:cs="Arial"/>
          <w:i/>
          <w:iCs/>
          <w:color w:val="0E101A"/>
          <w:lang w:eastAsia="en-GB"/>
        </w:rPr>
        <w:t>et al.,</w:t>
      </w:r>
      <w:r w:rsidRPr="00A82C08">
        <w:rPr>
          <w:rFonts w:ascii="Arial" w:eastAsia="Times New Roman" w:hAnsi="Arial" w:cs="Arial"/>
          <w:color w:val="0E101A"/>
          <w:lang w:eastAsia="en-GB"/>
        </w:rPr>
        <w:t> 2012; Rapetti </w:t>
      </w:r>
      <w:r w:rsidRPr="00A82C08">
        <w:rPr>
          <w:rFonts w:ascii="Arial" w:eastAsia="Times New Roman" w:hAnsi="Arial" w:cs="Arial"/>
          <w:i/>
          <w:iCs/>
          <w:color w:val="0E101A"/>
          <w:lang w:eastAsia="en-GB"/>
        </w:rPr>
        <w:t>et al., </w:t>
      </w:r>
      <w:r w:rsidRPr="00A82C08">
        <w:rPr>
          <w:rFonts w:ascii="Arial" w:eastAsia="Times New Roman" w:hAnsi="Arial" w:cs="Arial"/>
          <w:color w:val="0E101A"/>
          <w:lang w:eastAsia="en-GB"/>
        </w:rPr>
        <w:t>2012) also used the undervaluation index as done by Rodrik (2008) in conducting a panel data analysis. Gala (2008) used a panel dataset of 58 developing nations from 1960 to 1999, with much attention paid to the theoretical channel via which the levels of RER could affect economic development. He found a positive liaison between RER undervaluation and economic growth. Ni Nino </w:t>
      </w:r>
      <w:r w:rsidRPr="00A82C08">
        <w:rPr>
          <w:rFonts w:ascii="Arial" w:eastAsia="Times New Roman" w:hAnsi="Arial" w:cs="Arial"/>
          <w:i/>
          <w:iCs/>
          <w:color w:val="0E101A"/>
          <w:lang w:eastAsia="en-GB"/>
        </w:rPr>
        <w:t>et al.</w:t>
      </w:r>
      <w:r w:rsidRPr="00A82C08">
        <w:rPr>
          <w:rFonts w:ascii="Arial" w:eastAsia="Times New Roman" w:hAnsi="Arial" w:cs="Arial"/>
          <w:color w:val="0E101A"/>
          <w:lang w:eastAsia="en-GB"/>
        </w:rPr>
        <w:t> (2011) used the more recent Penn World Table (PWT) dataset to extend the work of Rodrik (2008). They used alternative RER measures like the World Price Index (WPI) and the Consumer Price Index (CPI) based measures of the PWT dataset. Their result confirmed the results of Rodrik (2008). Rapetti </w:t>
      </w:r>
      <w:r w:rsidRPr="00A82C08">
        <w:rPr>
          <w:rFonts w:ascii="Arial" w:eastAsia="Times New Roman" w:hAnsi="Arial" w:cs="Arial"/>
          <w:i/>
          <w:iCs/>
          <w:color w:val="0E101A"/>
          <w:lang w:eastAsia="en-GB"/>
        </w:rPr>
        <w:t>et al. </w:t>
      </w:r>
      <w:r w:rsidRPr="00A82C08">
        <w:rPr>
          <w:rFonts w:ascii="Arial" w:eastAsia="Times New Roman" w:hAnsi="Arial" w:cs="Arial"/>
          <w:color w:val="0E101A"/>
          <w:lang w:eastAsia="en-GB"/>
        </w:rPr>
        <w:t>(2012) in adjusting Rodrik (2008) study, altered the definition of developed and developing nation samples. They emphatically showed that Rodrik (2008) work was sensitive to the criterion of separating the sample of developed from developing nations. Rodrik (2008) classified developed (developing) nations as those with a real per capita GDP of more (less) than $6,000. If the cut-off level was between $9,000 and $15,000, the estimated coefficient will also be highly significant for developed nations. It suggests that a disproportionateness between developing and developed nations could depend on the chosen cut-off point of the GDP per capita. Gluzmann </w:t>
      </w:r>
      <w:r w:rsidRPr="00A82C08">
        <w:rPr>
          <w:rFonts w:ascii="Arial" w:eastAsia="Times New Roman" w:hAnsi="Arial" w:cs="Arial"/>
          <w:i/>
          <w:iCs/>
          <w:color w:val="0E101A"/>
          <w:lang w:eastAsia="en-GB"/>
        </w:rPr>
        <w:t>et al.</w:t>
      </w:r>
      <w:r w:rsidRPr="00A82C08">
        <w:rPr>
          <w:rFonts w:ascii="Arial" w:eastAsia="Times New Roman" w:hAnsi="Arial" w:cs="Arial"/>
          <w:color w:val="0E101A"/>
          <w:lang w:eastAsia="en-GB"/>
        </w:rPr>
        <w:t> (2012) looked at the effect of currency undervaluation on the different GDP components like investment, imports, exports, employment, and consumption so as to ascertain the channels of the effects. Their result showed that undervaluation did not affect the tradeable sector either through the promotion of exports or the creation of substitution from imports in developing nations. Rather, it led to an increase in savings, investment, and employment. </w:t>
      </w:r>
    </w:p>
    <w:p w14:paraId="37B41EF7" w14:textId="7BD35AFD" w:rsidR="00F53C4E" w:rsidRPr="00C66121" w:rsidRDefault="00F53C4E" w:rsidP="0066301C">
      <w:pPr>
        <w:spacing w:line="360" w:lineRule="auto"/>
        <w:jc w:val="both"/>
        <w:rPr>
          <w:rFonts w:ascii="Arial" w:eastAsia="Times New Roman" w:hAnsi="Arial" w:cs="Arial"/>
          <w:color w:val="0E101A"/>
          <w:lang w:eastAsia="en-GB"/>
        </w:rPr>
      </w:pPr>
      <w:r w:rsidRPr="00A82C08">
        <w:rPr>
          <w:rFonts w:ascii="Arial" w:eastAsia="Times New Roman" w:hAnsi="Arial" w:cs="Arial"/>
          <w:color w:val="0E101A"/>
          <w:lang w:eastAsia="en-GB"/>
        </w:rPr>
        <w:t xml:space="preserve">On the other hand, Woodford (2009) challenged Rodrik (2008) definition of developing nations as Rodrik (2008) definition of developing nations was based on the fact that their GDP per capita income was lower than $6000. Woodford (2009) revealed that as the definition of developing nations changed to those with a GDP per capita less than $8000, there was a one-third significant reduction of the undervaluation coefficient. More to it was the view that the least-income nations (less than $1000 per capita income) were exempted from the sample; the coefficient was reduced by one-half and became insignificant. Thus, it was necessary to have a standardized definition of developed and developing nations. Also, Woodford (2009) unequivocally challenged the work of Rodrik (2008) because of the undervaluation index used. </w:t>
      </w:r>
      <w:r w:rsidRPr="00A82C08">
        <w:rPr>
          <w:rFonts w:ascii="Arial" w:eastAsia="Times New Roman" w:hAnsi="Arial" w:cs="Arial"/>
          <w:color w:val="0E101A"/>
          <w:lang w:eastAsia="en-GB"/>
        </w:rPr>
        <w:lastRenderedPageBreak/>
        <w:t>Stating that the undervaluation index amplified the robustness and strength of the effect of RER on growth. Woodford (2009) emphasized that it was not necessary for adjustment to be made on the Balassa-Samuelson effect since Rodrik (2008) panel growth regression already had a nation-fixed effect, which contributed to their disparities in the level of RER because of differences in the per capita income. </w:t>
      </w:r>
    </w:p>
    <w:p w14:paraId="66A7C68C" w14:textId="209D3416" w:rsidR="000A6B20" w:rsidRPr="00CA1132" w:rsidRDefault="000A6B20" w:rsidP="0066301C">
      <w:pPr>
        <w:pStyle w:val="Heading2"/>
        <w:spacing w:before="0" w:beforeAutospacing="0"/>
      </w:pPr>
      <w:bookmarkStart w:id="111" w:name="_Toc171075373"/>
      <w:r w:rsidRPr="00CA1132">
        <w:t>2.</w:t>
      </w:r>
      <w:r w:rsidR="00892A02">
        <w:t>6</w:t>
      </w:r>
      <w:r w:rsidR="009D6DC9" w:rsidRPr="00CA1132">
        <w:tab/>
      </w:r>
      <w:r w:rsidRPr="00CA1132">
        <w:t>CONCLUSION</w:t>
      </w:r>
      <w:bookmarkEnd w:id="111"/>
    </w:p>
    <w:p w14:paraId="325E9F61" w14:textId="77777777" w:rsidR="006E50FE" w:rsidRPr="00A82C08" w:rsidRDefault="006E50FE" w:rsidP="0066301C">
      <w:pPr>
        <w:spacing w:line="360" w:lineRule="auto"/>
        <w:jc w:val="both"/>
        <w:rPr>
          <w:rFonts w:ascii="Arial" w:hAnsi="Arial" w:cs="Arial"/>
        </w:rPr>
      </w:pPr>
      <w:r w:rsidRPr="00A82C08">
        <w:rPr>
          <w:rFonts w:ascii="Arial" w:hAnsi="Arial" w:cs="Arial"/>
        </w:rPr>
        <w:t>This chapter looked at the real exchange rate, focusing on the history of the CFA franc. The 'Washington Consensus' by Williamson (1994) acknowledges the vital role of RER in the growth process. According to it, an appropriate real exchange rate should be consistent with macroeconomic objectives (price stability, full employment, economic growth, balance of payment equilibrium, and social welfare) in the medium run and "sufﬁciently competitive" such that exports grow at a rate consistent with external balance. Contrary to the 'Washington Consensus' is the view that Rodrik (2008) championed, RER undervaluation promotes economic growth, and overvaluation harms it. This stance is in part due to the point of view that exchange rate – precisely an undervalued currency could be used in protecting home-based infant industries and the competitiveness of their exports.</w:t>
      </w:r>
    </w:p>
    <w:p w14:paraId="73150F85" w14:textId="58C5692E" w:rsidR="006E50FE" w:rsidRDefault="006E50FE" w:rsidP="0066301C">
      <w:pPr>
        <w:spacing w:line="360" w:lineRule="auto"/>
        <w:jc w:val="both"/>
        <w:rPr>
          <w:rFonts w:ascii="Arial" w:hAnsi="Arial" w:cs="Arial"/>
        </w:rPr>
      </w:pPr>
      <w:r w:rsidRPr="00A82C08">
        <w:rPr>
          <w:rFonts w:ascii="Arial" w:hAnsi="Arial" w:cs="Arial"/>
        </w:rPr>
        <w:t>To investigate the impact of the CFA franc on the economic growth of the CEMAC zone via the trade balance channel begins by knowing the state of the currency. Empirical work on the state of the CFA franc in the CEMAC Zone is scanty. Abdih and Tsangarides (2010) evaluated if the CFA franc is overvalued from its equilibrium rate, concluding that it was not overvalued. Their panel-based result failed to account for county-specific dynamics that might have policy implications. It is so because, as with the euro crisis, macroeconomic fundamentals could differ across the CFA franc nations. Some time series research on the CEMAC nations did not take into consideration all the six nations. In this research, we shall be looking at all the six nations</w:t>
      </w:r>
      <w:r w:rsidR="00F34ED3">
        <w:rPr>
          <w:rFonts w:ascii="Arial" w:hAnsi="Arial" w:cs="Arial"/>
        </w:rPr>
        <w:t>, investigating if the CFA franc is aligned in each of them</w:t>
      </w:r>
      <w:r w:rsidRPr="00A82C08">
        <w:rPr>
          <w:rFonts w:ascii="Arial" w:hAnsi="Arial" w:cs="Arial"/>
        </w:rPr>
        <w:t xml:space="preserve">. </w:t>
      </w:r>
      <w:r>
        <w:rPr>
          <w:rFonts w:ascii="Arial" w:hAnsi="Arial" w:cs="Arial"/>
        </w:rPr>
        <w:t>Hence</w:t>
      </w:r>
      <w:r w:rsidRPr="00A82C08">
        <w:rPr>
          <w:rFonts w:ascii="Arial" w:hAnsi="Arial" w:cs="Arial"/>
        </w:rPr>
        <w:t xml:space="preserve"> necessitating country-specific analysis to complement existing literature. The empirical results on the relationship between the RER and trade balance are mixed, as well as between the RER and economic growth. Thus</w:t>
      </w:r>
      <w:r>
        <w:rPr>
          <w:rFonts w:ascii="Arial" w:hAnsi="Arial" w:cs="Arial"/>
        </w:rPr>
        <w:t>,</w:t>
      </w:r>
      <w:r w:rsidRPr="00A82C08">
        <w:rPr>
          <w:rFonts w:ascii="Arial" w:hAnsi="Arial" w:cs="Arial"/>
        </w:rPr>
        <w:t xml:space="preserve"> necessitating empirical work about the CEMAC Zone, as seen in the following </w:t>
      </w:r>
      <w:bookmarkStart w:id="112" w:name="_Hlk170281849"/>
      <w:r w:rsidR="00F34ED3">
        <w:rPr>
          <w:rFonts w:ascii="Arial" w:hAnsi="Arial" w:cs="Arial"/>
        </w:rPr>
        <w:t xml:space="preserve">empirical </w:t>
      </w:r>
      <w:r w:rsidRPr="00A82C08">
        <w:rPr>
          <w:rFonts w:ascii="Arial" w:hAnsi="Arial" w:cs="Arial"/>
        </w:rPr>
        <w:t>chapters.  </w:t>
      </w:r>
    </w:p>
    <w:p w14:paraId="2D96F0E2" w14:textId="77777777" w:rsidR="00D164C6" w:rsidRDefault="00D164C6" w:rsidP="0066301C">
      <w:pPr>
        <w:spacing w:line="360" w:lineRule="auto"/>
        <w:jc w:val="both"/>
        <w:rPr>
          <w:rFonts w:ascii="Arial" w:hAnsi="Arial" w:cs="Arial"/>
        </w:rPr>
      </w:pPr>
    </w:p>
    <w:p w14:paraId="0020CB86" w14:textId="160C3991" w:rsidR="00257C54" w:rsidRDefault="001D111C" w:rsidP="0066301C">
      <w:pPr>
        <w:pStyle w:val="Heading1"/>
        <w:numPr>
          <w:ilvl w:val="0"/>
          <w:numId w:val="0"/>
        </w:numPr>
        <w:spacing w:before="0"/>
        <w:ind w:left="360" w:firstLine="360"/>
        <w:rPr>
          <w:rFonts w:cs="Arial"/>
        </w:rPr>
      </w:pPr>
      <w:bookmarkStart w:id="113" w:name="_Toc171075374"/>
      <w:bookmarkStart w:id="114" w:name="_Hlk170833792"/>
      <w:r>
        <w:rPr>
          <w:rFonts w:eastAsia="Times New Roman"/>
          <w:lang w:val="en-US"/>
        </w:rPr>
        <w:lastRenderedPageBreak/>
        <w:t>CHAPTER 3</w:t>
      </w:r>
      <w:r>
        <w:rPr>
          <w:rFonts w:eastAsia="Times New Roman"/>
          <w:lang w:val="en-US"/>
        </w:rPr>
        <w:br/>
        <w:t xml:space="preserve">EMPIRICAL </w:t>
      </w:r>
      <w:r>
        <w:t>INVESTIGAT</w:t>
      </w:r>
      <w:r w:rsidR="00502DB6">
        <w:t>ION OF</w:t>
      </w:r>
      <w:r>
        <w:t xml:space="preserve"> THE EQUILIBRIUM REAL </w:t>
      </w:r>
      <w:r>
        <w:rPr>
          <w:rFonts w:eastAsia="Times New Roman"/>
          <w:lang w:val="en-US"/>
        </w:rPr>
        <w:t>EFFECTIVE EXCHANGE RATE AND MISALIGNMENT</w:t>
      </w:r>
      <w:bookmarkEnd w:id="113"/>
    </w:p>
    <w:p w14:paraId="093CFED9" w14:textId="14E08A3B" w:rsidR="00806598" w:rsidRPr="008204CC" w:rsidRDefault="00C81D9C" w:rsidP="0066301C">
      <w:pPr>
        <w:pStyle w:val="Heading2"/>
        <w:spacing w:before="0" w:beforeAutospacing="0"/>
      </w:pPr>
      <w:bookmarkStart w:id="115" w:name="_Toc171075375"/>
      <w:r>
        <w:t>3</w:t>
      </w:r>
      <w:r w:rsidR="00806598">
        <w:t>.1</w:t>
      </w:r>
      <w:r w:rsidR="001F7562">
        <w:tab/>
      </w:r>
      <w:r w:rsidR="00806598" w:rsidRPr="008204CC">
        <w:t>INTRODUCTION</w:t>
      </w:r>
      <w:bookmarkEnd w:id="115"/>
      <w:r w:rsidR="00806598" w:rsidRPr="008204CC">
        <w:t xml:space="preserve"> </w:t>
      </w:r>
    </w:p>
    <w:p w14:paraId="3CB623C7" w14:textId="2049BBA8" w:rsidR="00A620DD" w:rsidRDefault="00693E88" w:rsidP="0066301C">
      <w:pPr>
        <w:spacing w:line="360" w:lineRule="auto"/>
        <w:jc w:val="both"/>
        <w:rPr>
          <w:rFonts w:ascii="Arial" w:hAnsi="Arial" w:cs="Arial"/>
        </w:rPr>
      </w:pPr>
      <w:bookmarkStart w:id="116" w:name="_Hlk170833840"/>
      <w:r>
        <w:rPr>
          <w:rFonts w:ascii="Arial" w:hAnsi="Arial" w:cs="Arial"/>
        </w:rPr>
        <w:t xml:space="preserve">This chapter </w:t>
      </w:r>
      <w:bookmarkStart w:id="117" w:name="_Hlk162603114"/>
      <w:r>
        <w:rPr>
          <w:rFonts w:ascii="Arial" w:hAnsi="Arial" w:cs="Arial"/>
        </w:rPr>
        <w:t>examines the</w:t>
      </w:r>
      <w:bookmarkEnd w:id="114"/>
      <w:r>
        <w:rPr>
          <w:rFonts w:ascii="Arial" w:hAnsi="Arial" w:cs="Arial"/>
        </w:rPr>
        <w:t xml:space="preserve"> extent of misalignment of </w:t>
      </w:r>
      <w:r w:rsidR="00344E08">
        <w:rPr>
          <w:rFonts w:ascii="Arial" w:hAnsi="Arial" w:cs="Arial"/>
        </w:rPr>
        <w:t>the CFA francs (</w:t>
      </w:r>
      <w:r>
        <w:rPr>
          <w:rFonts w:ascii="Arial" w:hAnsi="Arial" w:cs="Arial"/>
        </w:rPr>
        <w:t xml:space="preserve">the real effective exchange rate </w:t>
      </w:r>
      <w:r w:rsidR="00344E08">
        <w:rPr>
          <w:rFonts w:ascii="Arial" w:hAnsi="Arial" w:cs="Arial"/>
        </w:rPr>
        <w:t xml:space="preserve">- </w:t>
      </w:r>
      <w:r>
        <w:rPr>
          <w:rFonts w:ascii="Arial" w:hAnsi="Arial" w:cs="Arial"/>
        </w:rPr>
        <w:t xml:space="preserve">REER) in the CEMAC zone nations. </w:t>
      </w:r>
      <w:bookmarkEnd w:id="117"/>
      <w:r>
        <w:rPr>
          <w:rFonts w:ascii="Arial" w:hAnsi="Arial" w:cs="Arial"/>
        </w:rPr>
        <w:t>The CEMAC zone nations being open emerging market economies, closely linked with global markets, the nations</w:t>
      </w:r>
      <w:r w:rsidR="00A620DD">
        <w:rPr>
          <w:rFonts w:ascii="Arial" w:hAnsi="Arial" w:cs="Arial"/>
        </w:rPr>
        <w:t>’</w:t>
      </w:r>
      <w:r>
        <w:rPr>
          <w:rFonts w:ascii="Arial" w:hAnsi="Arial" w:cs="Arial"/>
        </w:rPr>
        <w:t xml:space="preserve"> economies are susceptible to external shocks and changes in the global trade patterns. </w:t>
      </w:r>
      <w:r w:rsidR="00F925FF">
        <w:rPr>
          <w:rFonts w:ascii="Arial" w:hAnsi="Arial" w:cs="Arial"/>
        </w:rPr>
        <w:t xml:space="preserve">Bases on the </w:t>
      </w:r>
      <w:r w:rsidR="004E7481">
        <w:rPr>
          <w:rFonts w:ascii="Arial" w:hAnsi="Arial" w:cs="Arial"/>
        </w:rPr>
        <w:t>B</w:t>
      </w:r>
      <w:r w:rsidR="00F925FF">
        <w:rPr>
          <w:rFonts w:ascii="Arial" w:hAnsi="Arial" w:cs="Arial"/>
        </w:rPr>
        <w:t xml:space="preserve">ehavioural </w:t>
      </w:r>
      <w:r w:rsidR="004E7481">
        <w:rPr>
          <w:rFonts w:ascii="Arial" w:hAnsi="Arial" w:cs="Arial"/>
        </w:rPr>
        <w:t>E</w:t>
      </w:r>
      <w:r w:rsidR="00F925FF">
        <w:rPr>
          <w:rFonts w:ascii="Arial" w:hAnsi="Arial" w:cs="Arial"/>
        </w:rPr>
        <w:t xml:space="preserve">quilibrium </w:t>
      </w:r>
      <w:r w:rsidR="004E7481">
        <w:rPr>
          <w:rFonts w:ascii="Arial" w:hAnsi="Arial" w:cs="Arial"/>
        </w:rPr>
        <w:t>E</w:t>
      </w:r>
      <w:r w:rsidR="00F925FF">
        <w:rPr>
          <w:rFonts w:ascii="Arial" w:hAnsi="Arial" w:cs="Arial"/>
        </w:rPr>
        <w:t xml:space="preserve">xchange </w:t>
      </w:r>
      <w:r w:rsidR="004E7481">
        <w:rPr>
          <w:rFonts w:ascii="Arial" w:hAnsi="Arial" w:cs="Arial"/>
        </w:rPr>
        <w:t>R</w:t>
      </w:r>
      <w:r w:rsidR="00F925FF">
        <w:rPr>
          <w:rFonts w:ascii="Arial" w:hAnsi="Arial" w:cs="Arial"/>
        </w:rPr>
        <w:t>ate (BEER)</w:t>
      </w:r>
      <w:r w:rsidR="00387009">
        <w:rPr>
          <w:rFonts w:ascii="Arial" w:hAnsi="Arial" w:cs="Arial"/>
        </w:rPr>
        <w:t xml:space="preserve"> </w:t>
      </w:r>
      <w:r w:rsidR="00F925FF">
        <w:rPr>
          <w:rFonts w:ascii="Arial" w:hAnsi="Arial" w:cs="Arial"/>
        </w:rPr>
        <w:t>framework of Clark and MacDonald (1998), this study uses a cointegration technique, which caters for endogeneity to estimate the equilibrium value of the CFA franc in each of the CEMAC nations.</w:t>
      </w:r>
      <w:r w:rsidR="00387009">
        <w:rPr>
          <w:rFonts w:ascii="Arial" w:hAnsi="Arial" w:cs="Arial"/>
        </w:rPr>
        <w:t xml:space="preserve"> </w:t>
      </w:r>
      <w:bookmarkStart w:id="118" w:name="_Hlk170855911"/>
      <w:r w:rsidR="00387009">
        <w:rPr>
          <w:rFonts w:ascii="Arial" w:hAnsi="Arial" w:cs="Arial"/>
        </w:rPr>
        <w:t xml:space="preserve">The </w:t>
      </w:r>
      <w:r w:rsidR="002E2B70">
        <w:rPr>
          <w:rFonts w:ascii="Arial" w:hAnsi="Arial" w:cs="Arial"/>
        </w:rPr>
        <w:t>study uses the Hodrick-</w:t>
      </w:r>
      <w:r w:rsidR="006178C6">
        <w:rPr>
          <w:rFonts w:ascii="Arial" w:hAnsi="Arial" w:cs="Arial"/>
        </w:rPr>
        <w:t>Prescott</w:t>
      </w:r>
      <w:r w:rsidR="002E2B70">
        <w:rPr>
          <w:rFonts w:ascii="Arial" w:hAnsi="Arial" w:cs="Arial"/>
        </w:rPr>
        <w:t xml:space="preserve"> (HP) filter to get the equilibrium real </w:t>
      </w:r>
      <w:r w:rsidR="00A620DD">
        <w:rPr>
          <w:rFonts w:ascii="Arial" w:hAnsi="Arial" w:cs="Arial"/>
        </w:rPr>
        <w:t xml:space="preserve">effective </w:t>
      </w:r>
      <w:r w:rsidR="002E2B70">
        <w:rPr>
          <w:rFonts w:ascii="Arial" w:hAnsi="Arial" w:cs="Arial"/>
        </w:rPr>
        <w:t>exchange rate (</w:t>
      </w:r>
      <w:r w:rsidR="00A620DD">
        <w:rPr>
          <w:rFonts w:ascii="Arial" w:hAnsi="Arial" w:cs="Arial"/>
        </w:rPr>
        <w:t>EREER</w:t>
      </w:r>
      <w:r w:rsidR="002E2B70">
        <w:rPr>
          <w:rFonts w:ascii="Arial" w:hAnsi="Arial" w:cs="Arial"/>
        </w:rPr>
        <w:t xml:space="preserve">). </w:t>
      </w:r>
      <w:r w:rsidR="002E2B70" w:rsidRPr="57585719">
        <w:rPr>
          <w:rFonts w:ascii="Arial" w:hAnsi="Arial" w:cs="Arial"/>
        </w:rPr>
        <w:t>The difference between the REER and EREER is the exchange rate misalignment.</w:t>
      </w:r>
      <w:bookmarkEnd w:id="118"/>
      <w:r w:rsidR="003611D5">
        <w:rPr>
          <w:rFonts w:ascii="Arial" w:hAnsi="Arial" w:cs="Arial"/>
        </w:rPr>
        <w:t xml:space="preserve"> </w:t>
      </w:r>
      <w:r w:rsidR="003611D5" w:rsidRPr="00426A26">
        <w:rPr>
          <w:rFonts w:ascii="Arial" w:hAnsi="Arial" w:cs="Arial"/>
        </w:rPr>
        <w:t xml:space="preserve">The results </w:t>
      </w:r>
      <w:r w:rsidR="004E7481">
        <w:rPr>
          <w:rFonts w:ascii="Arial" w:hAnsi="Arial" w:cs="Arial"/>
        </w:rPr>
        <w:t>a</w:t>
      </w:r>
      <w:r w:rsidR="003611D5" w:rsidRPr="00426A26">
        <w:rPr>
          <w:rFonts w:ascii="Arial" w:hAnsi="Arial" w:cs="Arial"/>
        </w:rPr>
        <w:t>re</w:t>
      </w:r>
      <w:r w:rsidR="003611D5">
        <w:rPr>
          <w:rFonts w:ascii="Arial" w:hAnsi="Arial" w:cs="Arial"/>
        </w:rPr>
        <w:t xml:space="preserve"> within the period 1980 to 2018, showing that </w:t>
      </w:r>
      <w:r w:rsidR="003611D5" w:rsidRPr="00426A26">
        <w:rPr>
          <w:rFonts w:ascii="Arial" w:hAnsi="Arial" w:cs="Arial"/>
        </w:rPr>
        <w:t xml:space="preserve">prior to the </w:t>
      </w:r>
      <w:r w:rsidR="004E7481" w:rsidRPr="00426A26">
        <w:rPr>
          <w:rFonts w:ascii="Arial" w:hAnsi="Arial" w:cs="Arial"/>
        </w:rPr>
        <w:t>12</w:t>
      </w:r>
      <w:r w:rsidR="004E7481" w:rsidRPr="00426A26">
        <w:rPr>
          <w:rFonts w:ascii="Arial" w:hAnsi="Arial" w:cs="Arial"/>
          <w:vertAlign w:val="superscript"/>
        </w:rPr>
        <w:t>th</w:t>
      </w:r>
      <w:r w:rsidR="003611D5">
        <w:rPr>
          <w:rFonts w:ascii="Arial" w:hAnsi="Arial" w:cs="Arial"/>
        </w:rPr>
        <w:t xml:space="preserve"> </w:t>
      </w:r>
      <w:r w:rsidR="004E7481">
        <w:rPr>
          <w:rFonts w:ascii="Arial" w:hAnsi="Arial" w:cs="Arial"/>
        </w:rPr>
        <w:t xml:space="preserve">of </w:t>
      </w:r>
      <w:r w:rsidR="003611D5">
        <w:rPr>
          <w:rFonts w:ascii="Arial" w:hAnsi="Arial" w:cs="Arial"/>
        </w:rPr>
        <w:t>January 1994 CFA francs devaluation,</w:t>
      </w:r>
      <w:r w:rsidR="003611D5" w:rsidRPr="00426A26">
        <w:rPr>
          <w:rFonts w:ascii="Arial" w:hAnsi="Arial" w:cs="Arial"/>
        </w:rPr>
        <w:t xml:space="preserve"> the currency experience</w:t>
      </w:r>
      <w:r w:rsidR="003611D5">
        <w:rPr>
          <w:rFonts w:ascii="Arial" w:hAnsi="Arial" w:cs="Arial"/>
        </w:rPr>
        <w:t>d</w:t>
      </w:r>
      <w:r w:rsidR="003611D5" w:rsidRPr="00426A26">
        <w:rPr>
          <w:rFonts w:ascii="Arial" w:hAnsi="Arial" w:cs="Arial"/>
        </w:rPr>
        <w:t xml:space="preserve"> series of fluctuation</w:t>
      </w:r>
      <w:r w:rsidR="003611D5">
        <w:rPr>
          <w:rFonts w:ascii="Arial" w:hAnsi="Arial" w:cs="Arial"/>
        </w:rPr>
        <w:t>s</w:t>
      </w:r>
      <w:r w:rsidR="003611D5" w:rsidRPr="00426A26">
        <w:rPr>
          <w:rFonts w:ascii="Arial" w:hAnsi="Arial" w:cs="Arial"/>
        </w:rPr>
        <w:t xml:space="preserve"> between undervaluation and overvaluation.</w:t>
      </w:r>
      <w:r w:rsidR="00A620DD">
        <w:rPr>
          <w:rFonts w:ascii="Arial" w:hAnsi="Arial" w:cs="Arial"/>
        </w:rPr>
        <w:t xml:space="preserve"> After the devaluation, the currency was undervalued, and thereafter it has been within its equilibrium. </w:t>
      </w:r>
      <w:r w:rsidR="003F15CF">
        <w:rPr>
          <w:rFonts w:ascii="Arial" w:hAnsi="Arial" w:cs="Arial"/>
        </w:rPr>
        <w:t>As of the year 2018, the currency was at equilibrium in all the CEMAC</w:t>
      </w:r>
      <w:r w:rsidR="00A620DD">
        <w:rPr>
          <w:rFonts w:ascii="Arial" w:hAnsi="Arial" w:cs="Arial"/>
        </w:rPr>
        <w:t xml:space="preserve"> nations and should </w:t>
      </w:r>
      <w:r w:rsidR="00A620DD" w:rsidRPr="008204CC">
        <w:rPr>
          <w:rFonts w:ascii="Arial" w:hAnsi="Arial" w:cs="Arial"/>
        </w:rPr>
        <w:t>be of no concern to the</w:t>
      </w:r>
      <w:r w:rsidR="00A620DD">
        <w:rPr>
          <w:rFonts w:ascii="Arial" w:hAnsi="Arial" w:cs="Arial"/>
        </w:rPr>
        <w:t>ir</w:t>
      </w:r>
      <w:r w:rsidR="00A620DD" w:rsidRPr="008204CC">
        <w:rPr>
          <w:rFonts w:ascii="Arial" w:hAnsi="Arial" w:cs="Arial"/>
        </w:rPr>
        <w:t xml:space="preserve"> monitory authorities</w:t>
      </w:r>
      <w:r w:rsidR="00A620DD">
        <w:rPr>
          <w:rFonts w:ascii="Arial" w:hAnsi="Arial" w:cs="Arial"/>
        </w:rPr>
        <w:t>.</w:t>
      </w:r>
    </w:p>
    <w:bookmarkEnd w:id="116"/>
    <w:p w14:paraId="135A87F7" w14:textId="65ECEFFE" w:rsidR="00270923" w:rsidRDefault="00BB3110" w:rsidP="0066301C">
      <w:pPr>
        <w:spacing w:line="360" w:lineRule="auto"/>
        <w:jc w:val="both"/>
        <w:rPr>
          <w:rFonts w:ascii="Arial" w:hAnsi="Arial" w:cs="Arial"/>
        </w:rPr>
      </w:pPr>
      <w:r>
        <w:rPr>
          <w:rFonts w:ascii="Arial" w:hAnsi="Arial" w:cs="Arial"/>
        </w:rPr>
        <w:t xml:space="preserve">The </w:t>
      </w:r>
      <w:r w:rsidR="003F4024">
        <w:rPr>
          <w:rFonts w:ascii="Arial" w:hAnsi="Arial" w:cs="Arial"/>
        </w:rPr>
        <w:t>R</w:t>
      </w:r>
      <w:r w:rsidR="009A3160">
        <w:rPr>
          <w:rFonts w:ascii="Arial" w:hAnsi="Arial" w:cs="Arial"/>
        </w:rPr>
        <w:t>E</w:t>
      </w:r>
      <w:r w:rsidR="003F4024">
        <w:rPr>
          <w:rFonts w:ascii="Arial" w:hAnsi="Arial" w:cs="Arial"/>
        </w:rPr>
        <w:t xml:space="preserve">ER </w:t>
      </w:r>
      <w:r>
        <w:rPr>
          <w:rFonts w:ascii="Arial" w:hAnsi="Arial" w:cs="Arial"/>
        </w:rPr>
        <w:t xml:space="preserve">is among the most important categories </w:t>
      </w:r>
      <w:bookmarkEnd w:id="112"/>
      <w:r>
        <w:rPr>
          <w:rFonts w:ascii="Arial" w:hAnsi="Arial" w:cs="Arial"/>
        </w:rPr>
        <w:t xml:space="preserve">in both macroeconomic and international economics analysis. The dynamic of the </w:t>
      </w:r>
      <w:r w:rsidR="003F4024">
        <w:rPr>
          <w:rFonts w:ascii="Arial" w:hAnsi="Arial" w:cs="Arial"/>
        </w:rPr>
        <w:t>R</w:t>
      </w:r>
      <w:r w:rsidR="009A3160">
        <w:rPr>
          <w:rFonts w:ascii="Arial" w:hAnsi="Arial" w:cs="Arial"/>
        </w:rPr>
        <w:t>E</w:t>
      </w:r>
      <w:r w:rsidR="003F4024">
        <w:rPr>
          <w:rFonts w:ascii="Arial" w:hAnsi="Arial" w:cs="Arial"/>
        </w:rPr>
        <w:t>ER</w:t>
      </w:r>
      <w:r w:rsidR="00553F09">
        <w:rPr>
          <w:rFonts w:ascii="Arial" w:hAnsi="Arial" w:cs="Arial"/>
        </w:rPr>
        <w:t xml:space="preserve"> influences (and is in turn influenced by) the dynamics of both real and financial sectors of all economies. Empirically, the </w:t>
      </w:r>
      <w:r w:rsidR="009A3160">
        <w:rPr>
          <w:rFonts w:ascii="Arial" w:hAnsi="Arial" w:cs="Arial"/>
        </w:rPr>
        <w:t>REER</w:t>
      </w:r>
      <w:r w:rsidR="00553F09">
        <w:rPr>
          <w:rFonts w:ascii="Arial" w:hAnsi="Arial" w:cs="Arial"/>
        </w:rPr>
        <w:t xml:space="preserve"> misalignments are purported to be the cause of the loss of competitiveness, growth slowdowns and currency crises in cases of overvaluation, an overheating and inflation in cases of undervaluation, sectoral misallocations of resources and global economic imbalances. </w:t>
      </w:r>
    </w:p>
    <w:p w14:paraId="54933C15" w14:textId="39476189" w:rsidR="00FE61D5" w:rsidRDefault="00270923" w:rsidP="0066301C">
      <w:pPr>
        <w:spacing w:line="360" w:lineRule="auto"/>
        <w:jc w:val="both"/>
        <w:rPr>
          <w:rFonts w:ascii="Arial" w:hAnsi="Arial" w:cs="Arial"/>
        </w:rPr>
      </w:pPr>
      <w:r>
        <w:rPr>
          <w:rFonts w:ascii="Arial" w:hAnsi="Arial" w:cs="Arial"/>
        </w:rPr>
        <w:t xml:space="preserve">In the case of currency union which includes the sovereign nations, the dynamic of the </w:t>
      </w:r>
      <w:r w:rsidR="009A3160">
        <w:rPr>
          <w:rFonts w:ascii="Arial" w:hAnsi="Arial" w:cs="Arial"/>
        </w:rPr>
        <w:t>REER</w:t>
      </w:r>
      <w:r>
        <w:rPr>
          <w:rFonts w:ascii="Arial" w:hAnsi="Arial" w:cs="Arial"/>
        </w:rPr>
        <w:t xml:space="preserve"> takes on an additional importance. The divergent dynamic of the REER in the individual nations – both the actual and an equilibrium – will exacerbate both economic and political tensions and could </w:t>
      </w:r>
      <w:r w:rsidR="004879A8">
        <w:rPr>
          <w:rFonts w:ascii="Arial" w:hAnsi="Arial" w:cs="Arial"/>
        </w:rPr>
        <w:t xml:space="preserve">result to the collapse of the monetary union and the underlying integration processes. This is because member of a currency union loose both the monetary policy to influence domestic economic dynamic and the nominal exchange rate as a tool for influencing unfavourable development vis-à-vis the rest of the global economy. This places an increasing </w:t>
      </w:r>
      <w:r w:rsidR="0036312D">
        <w:rPr>
          <w:rFonts w:ascii="Arial" w:hAnsi="Arial" w:cs="Arial"/>
        </w:rPr>
        <w:t xml:space="preserve">burden on the remaining </w:t>
      </w:r>
      <w:r w:rsidR="00CC4483">
        <w:rPr>
          <w:rFonts w:ascii="Arial" w:hAnsi="Arial" w:cs="Arial"/>
        </w:rPr>
        <w:t xml:space="preserve">economic </w:t>
      </w:r>
      <w:r w:rsidR="0036312D">
        <w:rPr>
          <w:rFonts w:ascii="Arial" w:hAnsi="Arial" w:cs="Arial"/>
        </w:rPr>
        <w:t>polic</w:t>
      </w:r>
      <w:r w:rsidR="00CC4483">
        <w:rPr>
          <w:rFonts w:ascii="Arial" w:hAnsi="Arial" w:cs="Arial"/>
        </w:rPr>
        <w:t xml:space="preserve">y tools </w:t>
      </w:r>
      <w:r w:rsidR="0036312D">
        <w:rPr>
          <w:rFonts w:ascii="Arial" w:hAnsi="Arial" w:cs="Arial"/>
        </w:rPr>
        <w:t xml:space="preserve">(which consist of both regulations in general and labour market </w:t>
      </w:r>
      <w:r w:rsidR="0036312D">
        <w:rPr>
          <w:rFonts w:ascii="Arial" w:hAnsi="Arial" w:cs="Arial"/>
        </w:rPr>
        <w:lastRenderedPageBreak/>
        <w:t>policies) and the fiscal policy</w:t>
      </w:r>
      <w:r w:rsidR="00CC4483">
        <w:rPr>
          <w:rFonts w:ascii="Arial" w:hAnsi="Arial" w:cs="Arial"/>
        </w:rPr>
        <w:t>.</w:t>
      </w:r>
      <w:r w:rsidR="007A4FD8">
        <w:rPr>
          <w:rStyle w:val="FootnoteReference"/>
          <w:rFonts w:ascii="Arial" w:hAnsi="Arial" w:cs="Arial"/>
        </w:rPr>
        <w:footnoteReference w:id="51"/>
      </w:r>
      <w:r w:rsidR="00CC4483">
        <w:rPr>
          <w:rFonts w:ascii="Arial" w:hAnsi="Arial" w:cs="Arial"/>
        </w:rPr>
        <w:t xml:space="preserve"> </w:t>
      </w:r>
      <w:r w:rsidR="0076069E">
        <w:rPr>
          <w:rFonts w:ascii="Arial" w:hAnsi="Arial" w:cs="Arial"/>
        </w:rPr>
        <w:t>In such circumstances, the individual governments try to influence the common monetary (and thus the exchange rate) policy in their favour. Because individual nations face different economic circumstances (and could have different economic preferences), attempting to influence the central monetary authority could result to rising tensions and disagreements between nations. This could eventually endanger the existence of the monetary union itself.</w:t>
      </w:r>
      <w:r w:rsidR="00FE61D5">
        <w:rPr>
          <w:rFonts w:ascii="Arial" w:hAnsi="Arial" w:cs="Arial"/>
        </w:rPr>
        <w:t xml:space="preserve"> Whether a currency union is in the process of increasing economic cohesion or an increasing divergence is an empirical question. </w:t>
      </w:r>
    </w:p>
    <w:p w14:paraId="1E61C3E9" w14:textId="4DBA9BBF" w:rsidR="00BB3110" w:rsidRDefault="00FE61D5" w:rsidP="0066301C">
      <w:pPr>
        <w:spacing w:line="360" w:lineRule="auto"/>
        <w:jc w:val="both"/>
        <w:rPr>
          <w:rFonts w:ascii="Arial" w:hAnsi="Arial" w:cs="Arial"/>
        </w:rPr>
      </w:pPr>
      <w:r w:rsidRPr="0067167D">
        <w:rPr>
          <w:rFonts w:ascii="Arial" w:hAnsi="Arial" w:cs="Arial"/>
        </w:rPr>
        <w:t>In entit</w:t>
      </w:r>
      <w:r w:rsidR="00ED1601" w:rsidRPr="0067167D">
        <w:rPr>
          <w:rFonts w:ascii="Arial" w:hAnsi="Arial" w:cs="Arial"/>
        </w:rPr>
        <w:t>ies</w:t>
      </w:r>
      <w:r w:rsidRPr="0067167D">
        <w:rPr>
          <w:rFonts w:ascii="Arial" w:hAnsi="Arial" w:cs="Arial"/>
        </w:rPr>
        <w:t xml:space="preserve"> like CFA francs - CEMAC </w:t>
      </w:r>
      <w:r w:rsidR="000071E4" w:rsidRPr="0067167D">
        <w:rPr>
          <w:rFonts w:ascii="Arial" w:hAnsi="Arial" w:cs="Arial"/>
        </w:rPr>
        <w:t xml:space="preserve">(Economic and Monetary Community of Central Africa) </w:t>
      </w:r>
      <w:r w:rsidRPr="0067167D">
        <w:rPr>
          <w:rFonts w:ascii="Arial" w:hAnsi="Arial" w:cs="Arial"/>
        </w:rPr>
        <w:t xml:space="preserve">zone, </w:t>
      </w:r>
      <w:r w:rsidR="000071E4" w:rsidRPr="0067167D">
        <w:rPr>
          <w:rFonts w:ascii="Arial" w:hAnsi="Arial" w:cs="Arial"/>
        </w:rPr>
        <w:t xml:space="preserve">a degree of difference among member </w:t>
      </w:r>
      <w:r w:rsidR="0011135B" w:rsidRPr="0067167D">
        <w:rPr>
          <w:rFonts w:ascii="Arial" w:hAnsi="Arial" w:cs="Arial"/>
        </w:rPr>
        <w:t>nations</w:t>
      </w:r>
      <w:r w:rsidR="000071E4" w:rsidRPr="0067167D">
        <w:rPr>
          <w:rFonts w:ascii="Arial" w:hAnsi="Arial" w:cs="Arial"/>
        </w:rPr>
        <w:t xml:space="preserve"> is natural</w:t>
      </w:r>
      <w:r w:rsidR="00CF6462" w:rsidRPr="0067167D">
        <w:rPr>
          <w:rFonts w:ascii="Arial" w:hAnsi="Arial" w:cs="Arial"/>
        </w:rPr>
        <w:t xml:space="preserve">. </w:t>
      </w:r>
      <w:r w:rsidR="00ED1601" w:rsidRPr="0067167D">
        <w:rPr>
          <w:rFonts w:ascii="Arial" w:hAnsi="Arial" w:cs="Arial"/>
        </w:rPr>
        <w:t xml:space="preserve">It is often </w:t>
      </w:r>
      <w:r w:rsidR="00231C80" w:rsidRPr="0067167D">
        <w:rPr>
          <w:rFonts w:ascii="Arial" w:hAnsi="Arial" w:cs="Arial"/>
        </w:rPr>
        <w:t>because of</w:t>
      </w:r>
      <w:r w:rsidR="00ED1601" w:rsidRPr="0067167D">
        <w:rPr>
          <w:rFonts w:ascii="Arial" w:hAnsi="Arial" w:cs="Arial"/>
        </w:rPr>
        <w:t xml:space="preserve"> different political, </w:t>
      </w:r>
      <w:r w:rsidR="007976D0" w:rsidRPr="0067167D">
        <w:rPr>
          <w:rFonts w:ascii="Arial" w:hAnsi="Arial" w:cs="Arial"/>
        </w:rPr>
        <w:t>economic,</w:t>
      </w:r>
      <w:r w:rsidR="00ED1601" w:rsidRPr="0067167D">
        <w:rPr>
          <w:rFonts w:ascii="Arial" w:hAnsi="Arial" w:cs="Arial"/>
        </w:rPr>
        <w:t xml:space="preserve"> and historical traditions, as they express themselves in differing </w:t>
      </w:r>
      <w:r w:rsidR="0011135B" w:rsidRPr="0067167D">
        <w:rPr>
          <w:rFonts w:ascii="Arial" w:hAnsi="Arial" w:cs="Arial"/>
        </w:rPr>
        <w:t xml:space="preserve">labour markets, </w:t>
      </w:r>
      <w:r w:rsidR="00ED1601" w:rsidRPr="0067167D">
        <w:rPr>
          <w:rFonts w:ascii="Arial" w:hAnsi="Arial" w:cs="Arial"/>
        </w:rPr>
        <w:t>legal systems</w:t>
      </w:r>
      <w:r w:rsidR="0011135B" w:rsidRPr="0067167D">
        <w:rPr>
          <w:rFonts w:ascii="Arial" w:hAnsi="Arial" w:cs="Arial"/>
        </w:rPr>
        <w:t xml:space="preserve">, social welfare, </w:t>
      </w:r>
      <w:r w:rsidR="007976D0" w:rsidRPr="0067167D">
        <w:rPr>
          <w:rFonts w:ascii="Arial" w:hAnsi="Arial" w:cs="Arial"/>
        </w:rPr>
        <w:t>regulations,</w:t>
      </w:r>
      <w:r w:rsidR="0011135B" w:rsidRPr="0067167D">
        <w:rPr>
          <w:rFonts w:ascii="Arial" w:hAnsi="Arial" w:cs="Arial"/>
        </w:rPr>
        <w:t xml:space="preserve"> and economic policy institutions</w:t>
      </w:r>
      <w:r w:rsidR="0067167D" w:rsidRPr="0067167D">
        <w:rPr>
          <w:rFonts w:ascii="Arial" w:hAnsi="Arial" w:cs="Arial"/>
        </w:rPr>
        <w:t xml:space="preserve"> (Rusek, 2012)</w:t>
      </w:r>
      <w:r w:rsidR="0011135B" w:rsidRPr="0067167D">
        <w:rPr>
          <w:rFonts w:ascii="Arial" w:hAnsi="Arial" w:cs="Arial"/>
        </w:rPr>
        <w:t>.</w:t>
      </w:r>
      <w:r w:rsidR="0011135B">
        <w:rPr>
          <w:rFonts w:ascii="Arial" w:hAnsi="Arial" w:cs="Arial"/>
        </w:rPr>
        <w:t xml:space="preserve"> Get rid of these differences is often a very </w:t>
      </w:r>
      <w:r w:rsidR="00231C80">
        <w:rPr>
          <w:rFonts w:ascii="Arial" w:hAnsi="Arial" w:cs="Arial"/>
        </w:rPr>
        <w:t>long-term</w:t>
      </w:r>
      <w:r w:rsidR="0011135B">
        <w:rPr>
          <w:rFonts w:ascii="Arial" w:hAnsi="Arial" w:cs="Arial"/>
        </w:rPr>
        <w:t xml:space="preserve"> process.</w:t>
      </w:r>
      <w:r w:rsidR="00231C80">
        <w:rPr>
          <w:rStyle w:val="FootnoteReference"/>
          <w:rFonts w:ascii="Arial" w:hAnsi="Arial" w:cs="Arial"/>
        </w:rPr>
        <w:footnoteReference w:id="52"/>
      </w:r>
      <w:r w:rsidR="0011135B">
        <w:rPr>
          <w:rFonts w:ascii="Arial" w:hAnsi="Arial" w:cs="Arial"/>
        </w:rPr>
        <w:t xml:space="preserve"> </w:t>
      </w:r>
      <w:r w:rsidR="007976D0">
        <w:rPr>
          <w:rFonts w:ascii="Arial" w:hAnsi="Arial" w:cs="Arial"/>
        </w:rPr>
        <w:t xml:space="preserve">The dynamics of the </w:t>
      </w:r>
      <w:r w:rsidR="00452B92">
        <w:rPr>
          <w:rFonts w:ascii="Arial" w:hAnsi="Arial" w:cs="Arial"/>
        </w:rPr>
        <w:t>REER</w:t>
      </w:r>
      <w:r w:rsidR="007976D0">
        <w:rPr>
          <w:rFonts w:ascii="Arial" w:hAnsi="Arial" w:cs="Arial"/>
        </w:rPr>
        <w:t xml:space="preserve"> may indicate possible answers. Though the nominal exchange rate is same for all CEMAC zone nations, the real exchange rates could differ. This could be due to the differing dynamics of the unit of labour costs in the individual nations, and the different trade patterns generating different weights in the calculation of the “effective” real exchange rates. </w:t>
      </w:r>
      <w:r w:rsidR="007C7BD2">
        <w:rPr>
          <w:rFonts w:ascii="Arial" w:hAnsi="Arial" w:cs="Arial"/>
        </w:rPr>
        <w:t>Although one</w:t>
      </w:r>
      <w:r w:rsidR="00AF46C4">
        <w:rPr>
          <w:rFonts w:ascii="Arial" w:hAnsi="Arial" w:cs="Arial"/>
        </w:rPr>
        <w:t xml:space="preserve"> would assume that as the CEMAC zone harmonisation increases (as it becomes a single economic area), the real effective exchange rate should also converge</w:t>
      </w:r>
      <w:r w:rsidR="007C7BD2">
        <w:rPr>
          <w:rFonts w:ascii="Arial" w:hAnsi="Arial" w:cs="Arial"/>
        </w:rPr>
        <w:t xml:space="preserve">, and this process should be observed not only in the actual REER, but more importantly for their “equilibrium” values also. </w:t>
      </w:r>
    </w:p>
    <w:p w14:paraId="6551B4AC" w14:textId="3314C30A" w:rsidR="00D9304C" w:rsidRPr="00287FD4" w:rsidRDefault="007C7BD2" w:rsidP="0066301C">
      <w:pPr>
        <w:spacing w:line="360" w:lineRule="auto"/>
        <w:jc w:val="both"/>
        <w:rPr>
          <w:rFonts w:ascii="Arial" w:hAnsi="Arial" w:cs="Arial"/>
        </w:rPr>
      </w:pPr>
      <w:bookmarkStart w:id="119" w:name="_Hlk170833939"/>
      <w:r>
        <w:rPr>
          <w:rFonts w:ascii="Arial" w:hAnsi="Arial" w:cs="Arial"/>
        </w:rPr>
        <w:t xml:space="preserve">The </w:t>
      </w:r>
      <w:r w:rsidR="000D3FA5">
        <w:rPr>
          <w:rFonts w:ascii="Arial" w:hAnsi="Arial" w:cs="Arial"/>
        </w:rPr>
        <w:t>aim</w:t>
      </w:r>
      <w:r>
        <w:rPr>
          <w:rFonts w:ascii="Arial" w:hAnsi="Arial" w:cs="Arial"/>
        </w:rPr>
        <w:t xml:space="preserve"> of this chapter is to </w:t>
      </w:r>
      <w:r w:rsidR="00B1033F">
        <w:rPr>
          <w:rFonts w:ascii="Arial" w:hAnsi="Arial" w:cs="Arial"/>
        </w:rPr>
        <w:t xml:space="preserve">determine </w:t>
      </w:r>
      <w:bookmarkStart w:id="120" w:name="_Hlk162603421"/>
      <w:r w:rsidR="00B1033F">
        <w:rPr>
          <w:rFonts w:ascii="Arial" w:hAnsi="Arial" w:cs="Arial"/>
        </w:rPr>
        <w:t xml:space="preserve">the extent to which the CFA franc’s REER is misaligned from </w:t>
      </w:r>
      <w:r w:rsidR="007F5AB2">
        <w:rPr>
          <w:rFonts w:ascii="Arial" w:hAnsi="Arial" w:cs="Arial"/>
        </w:rPr>
        <w:t>its</w:t>
      </w:r>
      <w:r w:rsidR="00B1033F">
        <w:rPr>
          <w:rFonts w:ascii="Arial" w:hAnsi="Arial" w:cs="Arial"/>
        </w:rPr>
        <w:t xml:space="preserve"> equilibrium level</w:t>
      </w:r>
      <w:r w:rsidR="002E764D">
        <w:rPr>
          <w:rFonts w:ascii="Arial" w:hAnsi="Arial" w:cs="Arial"/>
        </w:rPr>
        <w:t xml:space="preserve"> in the six CEMAC nations</w:t>
      </w:r>
      <w:r w:rsidR="00B1033F">
        <w:rPr>
          <w:rFonts w:ascii="Arial" w:hAnsi="Arial" w:cs="Arial"/>
        </w:rPr>
        <w:t xml:space="preserve">. </w:t>
      </w:r>
      <w:r w:rsidR="00D9304C">
        <w:rPr>
          <w:rFonts w:ascii="Arial" w:hAnsi="Arial" w:cs="Arial"/>
        </w:rPr>
        <w:t>This is achieve using the Behavioural Equilibrium Exchange Rate (BEER) framework of Clark and MacDonald (1998) to estimate the equilibrium value of the CFA franc consistent with economic fundamentals. The deviation of the observed exchange rate from this equilibrium level is interpreted as REER misalignment.</w:t>
      </w:r>
      <w:r w:rsidR="00D9304C" w:rsidRPr="00287FD4">
        <w:rPr>
          <w:rFonts w:ascii="Arial" w:hAnsi="Arial" w:cs="Arial"/>
        </w:rPr>
        <w:t xml:space="preserve"> </w:t>
      </w:r>
      <w:r w:rsidR="000560B2" w:rsidRPr="000C6E26">
        <w:rPr>
          <w:rFonts w:ascii="Arial" w:hAnsi="Arial" w:cs="Arial"/>
        </w:rPr>
        <w:t>Because the REER is seldom at equilibrium, we will assume it is at equilibrium when the differences between REER and EREER (misalignment) revolve around an absolute 5%.</w:t>
      </w:r>
      <w:r w:rsidR="006235DE">
        <w:rPr>
          <w:rFonts w:ascii="Arial" w:hAnsi="Arial" w:cs="Arial"/>
        </w:rPr>
        <w:t xml:space="preserve"> </w:t>
      </w:r>
      <w:r w:rsidR="007F5AB2">
        <w:rPr>
          <w:rFonts w:ascii="Arial" w:hAnsi="Arial" w:cs="Arial"/>
        </w:rPr>
        <w:t xml:space="preserve">We </w:t>
      </w:r>
      <w:r w:rsidR="00D9304C" w:rsidRPr="00287FD4">
        <w:rPr>
          <w:rFonts w:ascii="Arial" w:hAnsi="Arial" w:cs="Arial"/>
        </w:rPr>
        <w:t>use the Vector Autoregression (VAR) approach, which consists of the full-information maximum likelihood (FIML) method due to Johansen (1995).</w:t>
      </w:r>
      <w:r w:rsidR="00D9304C">
        <w:rPr>
          <w:rStyle w:val="FootnoteReference"/>
          <w:rFonts w:ascii="Arial" w:hAnsi="Arial" w:cs="Arial"/>
        </w:rPr>
        <w:footnoteReference w:id="53"/>
      </w:r>
      <w:r w:rsidR="00D9304C" w:rsidRPr="00287FD4">
        <w:rPr>
          <w:rFonts w:ascii="Arial" w:hAnsi="Arial" w:cs="Arial"/>
        </w:rPr>
        <w:t xml:space="preserve"> This econometrics methodology corrects </w:t>
      </w:r>
      <w:r w:rsidR="00D9304C" w:rsidRPr="00287FD4">
        <w:rPr>
          <w:rFonts w:ascii="Arial" w:hAnsi="Arial" w:cs="Arial"/>
        </w:rPr>
        <w:lastRenderedPageBreak/>
        <w:t>for autocorrelation and endogeneity parametrically using the vector error correction mechanism (VECM) specification. </w:t>
      </w:r>
      <w:bookmarkEnd w:id="120"/>
    </w:p>
    <w:p w14:paraId="0A8D0C58" w14:textId="0E5DA525" w:rsidR="00D9304C" w:rsidRPr="002E764D" w:rsidRDefault="00D9304C" w:rsidP="0066301C">
      <w:pPr>
        <w:spacing w:line="360" w:lineRule="auto"/>
        <w:jc w:val="both"/>
        <w:rPr>
          <w:rFonts w:ascii="Arial" w:hAnsi="Arial" w:cs="Arial"/>
          <w:color w:val="FF0000"/>
        </w:rPr>
      </w:pPr>
      <w:r w:rsidRPr="00287FD4">
        <w:rPr>
          <w:rFonts w:ascii="Arial" w:hAnsi="Arial" w:cs="Arial"/>
        </w:rPr>
        <w:t>The six CEMAC nations used are Cameroon, Central Africa Republic – CAR, Chad, Congo, Equatorial Guinea, and Gabon. The data used consist of the real effective exchange rate (REER) as the dependent variable, and the independent variables are government expenditure (or government debts - </w:t>
      </w:r>
      <w:r w:rsidRPr="00287FD4">
        <w:rPr>
          <w:rStyle w:val="Emphasis"/>
          <w:rFonts w:ascii="Arial" w:hAnsi="Arial" w:cs="Arial"/>
          <w:color w:val="0E101A"/>
        </w:rPr>
        <w:t>GEXP</w:t>
      </w:r>
      <w:r w:rsidRPr="00287FD4">
        <w:rPr>
          <w:rFonts w:ascii="Arial" w:hAnsi="Arial" w:cs="Arial"/>
        </w:rPr>
        <w:t>), terms of trade (</w:t>
      </w:r>
      <w:r w:rsidRPr="00287FD4">
        <w:rPr>
          <w:rStyle w:val="Emphasis"/>
          <w:rFonts w:ascii="Arial" w:hAnsi="Arial" w:cs="Arial"/>
          <w:color w:val="0E101A"/>
        </w:rPr>
        <w:t>TOT</w:t>
      </w:r>
      <w:r w:rsidRPr="00287FD4">
        <w:rPr>
          <w:rFonts w:ascii="Arial" w:hAnsi="Arial" w:cs="Arial"/>
        </w:rPr>
        <w:t>), net foreign assets (</w:t>
      </w:r>
      <w:r w:rsidRPr="00287FD4">
        <w:rPr>
          <w:rStyle w:val="Emphasis"/>
          <w:rFonts w:ascii="Arial" w:hAnsi="Arial" w:cs="Arial"/>
          <w:color w:val="0E101A"/>
        </w:rPr>
        <w:t>NFA</w:t>
      </w:r>
      <w:r w:rsidRPr="00287FD4">
        <w:rPr>
          <w:rFonts w:ascii="Arial" w:hAnsi="Arial" w:cs="Arial"/>
        </w:rPr>
        <w:t>), trade policy (proxy by openness - </w:t>
      </w:r>
      <w:r w:rsidRPr="00287FD4">
        <w:rPr>
          <w:rStyle w:val="Emphasis"/>
          <w:rFonts w:ascii="Arial" w:hAnsi="Arial" w:cs="Arial"/>
          <w:color w:val="0E101A"/>
        </w:rPr>
        <w:t>OPEN</w:t>
      </w:r>
      <w:r w:rsidRPr="00287FD4">
        <w:rPr>
          <w:rFonts w:ascii="Arial" w:hAnsi="Arial" w:cs="Arial"/>
        </w:rPr>
        <w:t>) and productivity differentials (</w:t>
      </w:r>
      <w:r w:rsidRPr="00287FD4">
        <w:rPr>
          <w:rStyle w:val="Emphasis"/>
          <w:rFonts w:ascii="Arial" w:hAnsi="Arial" w:cs="Arial"/>
          <w:color w:val="0E101A"/>
        </w:rPr>
        <w:t>PROD</w:t>
      </w:r>
      <w:r w:rsidRPr="00287FD4">
        <w:rPr>
          <w:rFonts w:ascii="Arial" w:hAnsi="Arial" w:cs="Arial"/>
        </w:rPr>
        <w:t xml:space="preserve">). The time series data used are secondary annual data from 1980 to 2018. This period enables us to observe the variables prior to the 1994 CFA franc devaluation, events during the devaluation, and the situation as of the year 2018. Data from 1980 to 2018 were available for Cameroon, CAR, and Gabon. The REER data for Equatorial Guinea was between the periods 1985 </w:t>
      </w:r>
      <w:r w:rsidR="00452B92">
        <w:rPr>
          <w:rFonts w:ascii="Arial" w:hAnsi="Arial" w:cs="Arial"/>
        </w:rPr>
        <w:t>to</w:t>
      </w:r>
      <w:r w:rsidRPr="00287FD4">
        <w:rPr>
          <w:rFonts w:ascii="Arial" w:hAnsi="Arial" w:cs="Arial"/>
        </w:rPr>
        <w:t xml:space="preserve"> 2018 because data prior to the year 1985 was not available. This dataset is good because it covers the entire period (before, during, and after the devaluation). Data for Chad and Congo (REER) are from 2004 to 2018. Though it will not be possible to know the situation of the exchange rate prior to the devaluation and immediately after the devaluation, it will tell us the present situation of the currency (i.e., is the currency at equilibrium or not). </w:t>
      </w:r>
      <w:bookmarkStart w:id="121" w:name="_Hlk163652562"/>
      <w:r w:rsidRPr="00D47AF4">
        <w:rPr>
          <w:rFonts w:ascii="Arial" w:hAnsi="Arial" w:cs="Arial"/>
        </w:rPr>
        <w:t xml:space="preserve">The rest of the chapter is as follows: section 3.2 deals with the </w:t>
      </w:r>
      <w:r w:rsidR="007C27D5" w:rsidRPr="00D47AF4">
        <w:rPr>
          <w:rFonts w:ascii="Arial" w:hAnsi="Arial" w:cs="Arial"/>
        </w:rPr>
        <w:t>equilibrium real effective</w:t>
      </w:r>
      <w:r w:rsidRPr="00D47AF4">
        <w:rPr>
          <w:rFonts w:ascii="Arial" w:hAnsi="Arial" w:cs="Arial"/>
        </w:rPr>
        <w:t xml:space="preserve"> exchange rate, section 3.3 focuses on the Behavioural Equilibrium Exchange Rate (BEER) approach, </w:t>
      </w:r>
      <w:r w:rsidR="004D07BF" w:rsidRPr="00D47AF4">
        <w:rPr>
          <w:rFonts w:ascii="Arial" w:hAnsi="Arial" w:cs="Arial"/>
        </w:rPr>
        <w:t xml:space="preserve">section 3.4 deals with the econometric approach, </w:t>
      </w:r>
      <w:r w:rsidRPr="00D47AF4">
        <w:rPr>
          <w:rFonts w:ascii="Arial" w:hAnsi="Arial" w:cs="Arial"/>
        </w:rPr>
        <w:t xml:space="preserve">section 3.5 </w:t>
      </w:r>
      <w:r w:rsidR="00B47130" w:rsidRPr="00D47AF4">
        <w:rPr>
          <w:rFonts w:ascii="Arial" w:hAnsi="Arial" w:cs="Arial"/>
        </w:rPr>
        <w:t>deals with the empirical result analysis,</w:t>
      </w:r>
      <w:r w:rsidRPr="00D47AF4">
        <w:rPr>
          <w:rFonts w:ascii="Arial" w:hAnsi="Arial" w:cs="Arial"/>
        </w:rPr>
        <w:t xml:space="preserve"> </w:t>
      </w:r>
      <w:r w:rsidR="002F4216" w:rsidRPr="00D47AF4">
        <w:rPr>
          <w:rFonts w:ascii="Arial" w:hAnsi="Arial" w:cs="Arial"/>
        </w:rPr>
        <w:t xml:space="preserve">and </w:t>
      </w:r>
      <w:r w:rsidRPr="00D47AF4">
        <w:rPr>
          <w:rFonts w:ascii="Arial" w:hAnsi="Arial" w:cs="Arial"/>
        </w:rPr>
        <w:t>section 3.6 is the conclusion of the chapter. </w:t>
      </w:r>
      <w:bookmarkEnd w:id="121"/>
    </w:p>
    <w:p w14:paraId="339FE753" w14:textId="06BE5EE7" w:rsidR="00CA0FE8" w:rsidRPr="008C68B3" w:rsidRDefault="00CA0FE8" w:rsidP="0066301C">
      <w:pPr>
        <w:pStyle w:val="Heading2"/>
        <w:spacing w:before="0" w:beforeAutospacing="0"/>
      </w:pPr>
      <w:bookmarkStart w:id="122" w:name="_Toc171075376"/>
      <w:bookmarkEnd w:id="119"/>
      <w:r>
        <w:t>3.2</w:t>
      </w:r>
      <w:r>
        <w:tab/>
        <w:t>EQUILIBRIUM</w:t>
      </w:r>
      <w:r w:rsidRPr="008C68B3">
        <w:t xml:space="preserve"> REAL </w:t>
      </w:r>
      <w:r w:rsidR="00150C87">
        <w:t xml:space="preserve">EFFECTIVE </w:t>
      </w:r>
      <w:r w:rsidRPr="008C68B3">
        <w:t>EXCHANGE RATE</w:t>
      </w:r>
      <w:r w:rsidR="00150C87">
        <w:t>:</w:t>
      </w:r>
      <w:bookmarkEnd w:id="122"/>
    </w:p>
    <w:p w14:paraId="77EF5213" w14:textId="48E4DE4B" w:rsidR="00157558" w:rsidRPr="00157558" w:rsidRDefault="00157558" w:rsidP="0066301C">
      <w:pPr>
        <w:spacing w:line="360" w:lineRule="auto"/>
        <w:jc w:val="both"/>
        <w:rPr>
          <w:rFonts w:ascii="Arial" w:hAnsi="Arial" w:cs="Arial"/>
        </w:rPr>
      </w:pPr>
      <w:r w:rsidRPr="00157558">
        <w:rPr>
          <w:rFonts w:ascii="Arial" w:hAnsi="Arial" w:cs="Arial"/>
        </w:rPr>
        <w:t>The equilibrium REER is the relative price of tradable to non-tradable which for given (sustainable or equilibrium) values of other variables (like technology, international prices, trade taxes, capital and aid flow), results in the simultaneous achievement of both internal and external equilibrium (Edward, 1989; MacDonald and Clark, 1997). The internal equilibrium means that the market for non-tradable goods clears in the current period and is expected to be in equilibrium in future. This implies that there is no deviation from the natural rate of unemployment within the economy. While the external equilibrium is reach when the entirety of the present current account and the expected current account in the future satiates the intertemporal budget constraint; which states that the discounted value of the current account balances has to be equivalent to zero (Edward, 1989; MacDonald and Clark, 1997).  That is, the current account balance (current and future) is compatible with long-run sustainable capital flows (Edward, 1989).</w:t>
      </w:r>
    </w:p>
    <w:p w14:paraId="3DCC1D79" w14:textId="712AD824" w:rsidR="00AB49EB" w:rsidRDefault="00AB49EB" w:rsidP="0066301C">
      <w:pPr>
        <w:spacing w:line="360" w:lineRule="auto"/>
        <w:jc w:val="both"/>
        <w:rPr>
          <w:rFonts w:ascii="Arial" w:hAnsi="Arial" w:cs="Arial"/>
        </w:rPr>
      </w:pPr>
      <w:r>
        <w:rPr>
          <w:rFonts w:ascii="Arial" w:hAnsi="Arial" w:cs="Arial"/>
        </w:rPr>
        <w:t xml:space="preserve">The </w:t>
      </w:r>
      <w:r w:rsidR="005271CB">
        <w:rPr>
          <w:rFonts w:ascii="Arial" w:hAnsi="Arial" w:cs="Arial"/>
        </w:rPr>
        <w:t>present</w:t>
      </w:r>
      <w:r>
        <w:rPr>
          <w:rFonts w:ascii="Arial" w:hAnsi="Arial" w:cs="Arial"/>
        </w:rPr>
        <w:t xml:space="preserve"> economic and econometric approaches </w:t>
      </w:r>
      <w:r w:rsidR="00E871BC">
        <w:rPr>
          <w:rFonts w:ascii="Arial" w:hAnsi="Arial" w:cs="Arial"/>
        </w:rPr>
        <w:t>for estimating the EREER generally follow one of these three basic analytical models developed in the economic literature</w:t>
      </w:r>
      <w:r w:rsidR="00883D7F">
        <w:rPr>
          <w:rFonts w:ascii="Arial" w:hAnsi="Arial" w:cs="Arial"/>
        </w:rPr>
        <w:t>.</w:t>
      </w:r>
      <w:r w:rsidR="00157558">
        <w:rPr>
          <w:rFonts w:ascii="Arial" w:hAnsi="Arial" w:cs="Arial"/>
        </w:rPr>
        <w:t xml:space="preserve"> </w:t>
      </w:r>
      <w:r w:rsidR="00711DFA">
        <w:rPr>
          <w:rFonts w:ascii="Arial" w:hAnsi="Arial" w:cs="Arial"/>
        </w:rPr>
        <w:t xml:space="preserve">In </w:t>
      </w:r>
      <w:r w:rsidR="00B03A92">
        <w:rPr>
          <w:rFonts w:ascii="Arial" w:hAnsi="Arial" w:cs="Arial"/>
        </w:rPr>
        <w:t>a chronological perspective, the model</w:t>
      </w:r>
      <w:r w:rsidR="00384CE4">
        <w:rPr>
          <w:rFonts w:ascii="Arial" w:hAnsi="Arial" w:cs="Arial"/>
        </w:rPr>
        <w:t>s</w:t>
      </w:r>
      <w:r w:rsidR="00B03A92">
        <w:rPr>
          <w:rFonts w:ascii="Arial" w:hAnsi="Arial" w:cs="Arial"/>
        </w:rPr>
        <w:t xml:space="preserve"> </w:t>
      </w:r>
      <w:r w:rsidR="00384CE4">
        <w:rPr>
          <w:rFonts w:ascii="Arial" w:hAnsi="Arial" w:cs="Arial"/>
        </w:rPr>
        <w:t>are:</w:t>
      </w:r>
      <w:r w:rsidR="00B03A92">
        <w:rPr>
          <w:rFonts w:ascii="Arial" w:hAnsi="Arial" w:cs="Arial"/>
        </w:rPr>
        <w:t xml:space="preserve"> </w:t>
      </w:r>
      <w:r w:rsidR="00711DFA">
        <w:rPr>
          <w:rFonts w:ascii="Arial" w:hAnsi="Arial" w:cs="Arial"/>
        </w:rPr>
        <w:t>F</w:t>
      </w:r>
      <w:r w:rsidR="00B03A92">
        <w:rPr>
          <w:rFonts w:ascii="Arial" w:hAnsi="Arial" w:cs="Arial"/>
        </w:rPr>
        <w:t xml:space="preserve">undamental </w:t>
      </w:r>
      <w:r w:rsidR="00711DFA">
        <w:rPr>
          <w:rFonts w:ascii="Arial" w:hAnsi="Arial" w:cs="Arial"/>
        </w:rPr>
        <w:t>E</w:t>
      </w:r>
      <w:r w:rsidR="00B03A92">
        <w:rPr>
          <w:rFonts w:ascii="Arial" w:hAnsi="Arial" w:cs="Arial"/>
        </w:rPr>
        <w:t xml:space="preserve">quilibrium </w:t>
      </w:r>
      <w:r w:rsidR="00711DFA">
        <w:rPr>
          <w:rFonts w:ascii="Arial" w:hAnsi="Arial" w:cs="Arial"/>
        </w:rPr>
        <w:t>E</w:t>
      </w:r>
      <w:r w:rsidR="00B03A92">
        <w:rPr>
          <w:rFonts w:ascii="Arial" w:hAnsi="Arial" w:cs="Arial"/>
        </w:rPr>
        <w:t xml:space="preserve">xchange </w:t>
      </w:r>
      <w:r w:rsidR="00711DFA">
        <w:rPr>
          <w:rFonts w:ascii="Arial" w:hAnsi="Arial" w:cs="Arial"/>
        </w:rPr>
        <w:t>R</w:t>
      </w:r>
      <w:r w:rsidR="00B03A92">
        <w:rPr>
          <w:rFonts w:ascii="Arial" w:hAnsi="Arial" w:cs="Arial"/>
        </w:rPr>
        <w:t xml:space="preserve">ate </w:t>
      </w:r>
      <w:r w:rsidR="00E871BC">
        <w:rPr>
          <w:rFonts w:ascii="Arial" w:hAnsi="Arial" w:cs="Arial"/>
        </w:rPr>
        <w:t>(FEER</w:t>
      </w:r>
      <w:r w:rsidR="00B03A92">
        <w:rPr>
          <w:rFonts w:ascii="Arial" w:hAnsi="Arial" w:cs="Arial"/>
        </w:rPr>
        <w:t>)</w:t>
      </w:r>
      <w:r w:rsidR="008C67FF">
        <w:rPr>
          <w:rFonts w:ascii="Arial" w:hAnsi="Arial" w:cs="Arial"/>
        </w:rPr>
        <w:t xml:space="preserve"> by </w:t>
      </w:r>
      <w:r w:rsidR="008C67FF">
        <w:rPr>
          <w:rFonts w:ascii="Arial" w:hAnsi="Arial" w:cs="Arial"/>
        </w:rPr>
        <w:lastRenderedPageBreak/>
        <w:t>Williamson (1983)</w:t>
      </w:r>
      <w:r w:rsidR="00711DFA">
        <w:rPr>
          <w:rFonts w:ascii="Arial" w:hAnsi="Arial" w:cs="Arial"/>
        </w:rPr>
        <w:t>, Natural Real Exchange Rate (NATREX)</w:t>
      </w:r>
      <w:r w:rsidR="000D106B">
        <w:rPr>
          <w:rFonts w:ascii="Arial" w:hAnsi="Arial" w:cs="Arial"/>
        </w:rPr>
        <w:t xml:space="preserve"> by Stein (1999)</w:t>
      </w:r>
      <w:r w:rsidR="00711DFA">
        <w:rPr>
          <w:rFonts w:ascii="Arial" w:hAnsi="Arial" w:cs="Arial"/>
        </w:rPr>
        <w:t>, and Behavioural Equilibrium Exchange Rate (BEER)</w:t>
      </w:r>
      <w:r w:rsidR="000D106B">
        <w:rPr>
          <w:rFonts w:ascii="Arial" w:hAnsi="Arial" w:cs="Arial"/>
        </w:rPr>
        <w:t xml:space="preserve"> by </w:t>
      </w:r>
      <w:r w:rsidR="000D106B" w:rsidRPr="000D106B">
        <w:rPr>
          <w:rFonts w:ascii="Arial" w:hAnsi="Arial" w:cs="Arial"/>
        </w:rPr>
        <w:t>Clark and MacDonald (199</w:t>
      </w:r>
      <w:r w:rsidR="000D106B">
        <w:rPr>
          <w:rFonts w:ascii="Arial" w:hAnsi="Arial" w:cs="Arial"/>
        </w:rPr>
        <w:t>8</w:t>
      </w:r>
      <w:r w:rsidR="000D106B" w:rsidRPr="000D106B">
        <w:rPr>
          <w:rFonts w:ascii="Arial" w:hAnsi="Arial" w:cs="Arial"/>
        </w:rPr>
        <w:t>)</w:t>
      </w:r>
      <w:r w:rsidR="00711DFA">
        <w:rPr>
          <w:rFonts w:ascii="Arial" w:hAnsi="Arial" w:cs="Arial"/>
        </w:rPr>
        <w:t xml:space="preserve">. </w:t>
      </w:r>
      <w:r w:rsidR="00883D7F">
        <w:rPr>
          <w:rFonts w:ascii="Arial" w:hAnsi="Arial" w:cs="Arial"/>
        </w:rPr>
        <w:t xml:space="preserve">These models are presented in the </w:t>
      </w:r>
      <w:r w:rsidR="00883D7F" w:rsidRPr="00452B92">
        <w:rPr>
          <w:rFonts w:ascii="Arial" w:hAnsi="Arial" w:cs="Arial"/>
        </w:rPr>
        <w:t>literature survey chapter (section 2.3).</w:t>
      </w:r>
      <w:r w:rsidR="00883D7F">
        <w:rPr>
          <w:rFonts w:ascii="Arial" w:hAnsi="Arial" w:cs="Arial"/>
        </w:rPr>
        <w:t xml:space="preserve"> </w:t>
      </w:r>
      <w:r w:rsidR="00384CE4">
        <w:rPr>
          <w:rFonts w:ascii="Arial" w:hAnsi="Arial" w:cs="Arial"/>
        </w:rPr>
        <w:t>T</w:t>
      </w:r>
      <w:r w:rsidR="00711DFA">
        <w:rPr>
          <w:rFonts w:ascii="Arial" w:hAnsi="Arial" w:cs="Arial"/>
        </w:rPr>
        <w:t xml:space="preserve">he FEER model is derived from the standard economic assumption that the equilibrium REER is </w:t>
      </w:r>
      <w:r w:rsidR="008C67FF">
        <w:rPr>
          <w:rFonts w:ascii="Arial" w:hAnsi="Arial" w:cs="Arial"/>
        </w:rPr>
        <w:t>compatible to both the internal and external equilibri</w:t>
      </w:r>
      <w:r w:rsidR="00384CE4">
        <w:rPr>
          <w:rFonts w:ascii="Arial" w:hAnsi="Arial" w:cs="Arial"/>
        </w:rPr>
        <w:t>a</w:t>
      </w:r>
      <w:r w:rsidR="0092750A">
        <w:rPr>
          <w:rFonts w:ascii="Arial" w:hAnsi="Arial" w:cs="Arial"/>
        </w:rPr>
        <w:t xml:space="preserve">. </w:t>
      </w:r>
      <w:r w:rsidR="00384CE4">
        <w:rPr>
          <w:rFonts w:ascii="Arial" w:hAnsi="Arial" w:cs="Arial"/>
        </w:rPr>
        <w:t xml:space="preserve">In empirical work, the small multi-equilibrium macroeconomic model is specified and estimated using observed values of the relevant economic variables. The EREER is calculated using presumed long run (equilibrium) values of the economic variables. </w:t>
      </w:r>
      <w:r w:rsidR="0092750A">
        <w:rPr>
          <w:rFonts w:ascii="Arial" w:hAnsi="Arial" w:cs="Arial"/>
        </w:rPr>
        <w:t>The degree of misalignment is calculated by comparing the actual REER with its calculated equilibrium value (that is the reason this approach is regarded as an equilibrium calculation and not equilibrium estimation). The FEER has been critique because; firstly, the use and the implied need to estimate that the multi-equation macroeconomic model introduces possible inconsistencies</w:t>
      </w:r>
      <w:r w:rsidR="003E654D">
        <w:rPr>
          <w:rFonts w:ascii="Arial" w:hAnsi="Arial" w:cs="Arial"/>
        </w:rPr>
        <w:t xml:space="preserve"> and thus biases into the values of estimated coefficients</w:t>
      </w:r>
      <w:r w:rsidR="00340FB5">
        <w:rPr>
          <w:rFonts w:ascii="Arial" w:hAnsi="Arial" w:cs="Arial"/>
        </w:rPr>
        <w:t>.</w:t>
      </w:r>
      <w:r w:rsidR="003E654D">
        <w:rPr>
          <w:rStyle w:val="FootnoteReference"/>
          <w:rFonts w:ascii="Arial" w:hAnsi="Arial" w:cs="Arial"/>
        </w:rPr>
        <w:footnoteReference w:id="54"/>
      </w:r>
      <w:r w:rsidR="003E654D">
        <w:rPr>
          <w:rFonts w:ascii="Arial" w:hAnsi="Arial" w:cs="Arial"/>
        </w:rPr>
        <w:t xml:space="preserve"> </w:t>
      </w:r>
      <w:r w:rsidR="005F262C">
        <w:rPr>
          <w:rFonts w:ascii="Arial" w:hAnsi="Arial" w:cs="Arial"/>
        </w:rPr>
        <w:t>Secondly, the specification of both internal and external equilibria are often controversial</w:t>
      </w:r>
      <w:r w:rsidR="00DE1198">
        <w:rPr>
          <w:rFonts w:ascii="Arial" w:hAnsi="Arial" w:cs="Arial"/>
        </w:rPr>
        <w:t xml:space="preserve">. </w:t>
      </w:r>
      <w:r w:rsidR="00DE1198">
        <w:rPr>
          <w:rStyle w:val="FootnoteReference"/>
          <w:rFonts w:ascii="Arial" w:hAnsi="Arial" w:cs="Arial"/>
        </w:rPr>
        <w:footnoteReference w:id="55"/>
      </w:r>
      <w:r w:rsidR="005F262C">
        <w:rPr>
          <w:rFonts w:ascii="Arial" w:hAnsi="Arial" w:cs="Arial"/>
        </w:rPr>
        <w:t xml:space="preserve"> </w:t>
      </w:r>
    </w:p>
    <w:p w14:paraId="54C60686" w14:textId="38E639DD" w:rsidR="004F3A3A" w:rsidRDefault="00794D63" w:rsidP="0066301C">
      <w:pPr>
        <w:spacing w:line="360" w:lineRule="auto"/>
        <w:jc w:val="both"/>
        <w:rPr>
          <w:rFonts w:ascii="Arial" w:hAnsi="Arial" w:cs="Arial"/>
        </w:rPr>
      </w:pPr>
      <w:r>
        <w:rPr>
          <w:rFonts w:ascii="Arial" w:hAnsi="Arial" w:cs="Arial"/>
        </w:rPr>
        <w:t xml:space="preserve">The Natural Real Exchange Rate (NATREX) reflects an effort to address some of the shortcomings of the </w:t>
      </w:r>
      <w:r w:rsidR="00856FF8">
        <w:rPr>
          <w:rFonts w:ascii="Arial" w:hAnsi="Arial" w:cs="Arial"/>
        </w:rPr>
        <w:t xml:space="preserve">FEER approach whereby the internal equilibrium is </w:t>
      </w:r>
      <w:r w:rsidR="00165881">
        <w:rPr>
          <w:rFonts w:ascii="Arial" w:hAnsi="Arial" w:cs="Arial"/>
        </w:rPr>
        <w:t xml:space="preserve">preserved using the NAIRU concept. </w:t>
      </w:r>
      <w:r w:rsidR="006178C6">
        <w:rPr>
          <w:rFonts w:ascii="Arial" w:hAnsi="Arial" w:cs="Arial"/>
        </w:rPr>
        <w:t>But</w:t>
      </w:r>
      <w:r w:rsidR="00165881">
        <w:rPr>
          <w:rFonts w:ascii="Arial" w:hAnsi="Arial" w:cs="Arial"/>
        </w:rPr>
        <w:t xml:space="preserve"> the external is modelled as a dynamic interaction between the </w:t>
      </w:r>
      <w:r w:rsidR="00D03F85">
        <w:rPr>
          <w:rFonts w:ascii="Arial" w:hAnsi="Arial" w:cs="Arial"/>
        </w:rPr>
        <w:t>long-term</w:t>
      </w:r>
      <w:r w:rsidR="00165881">
        <w:rPr>
          <w:rFonts w:ascii="Arial" w:hAnsi="Arial" w:cs="Arial"/>
        </w:rPr>
        <w:t xml:space="preserve"> values of domestic savings and investments, which determines the current account and thus the </w:t>
      </w:r>
      <w:r w:rsidR="00095EC5">
        <w:rPr>
          <w:rFonts w:ascii="Arial" w:hAnsi="Arial" w:cs="Arial"/>
        </w:rPr>
        <w:t>long-term</w:t>
      </w:r>
      <w:r w:rsidR="00165881">
        <w:rPr>
          <w:rFonts w:ascii="Arial" w:hAnsi="Arial" w:cs="Arial"/>
        </w:rPr>
        <w:t xml:space="preserve"> capital flows. The </w:t>
      </w:r>
      <w:r w:rsidR="006178C6">
        <w:rPr>
          <w:rFonts w:ascii="Arial" w:hAnsi="Arial" w:cs="Arial"/>
        </w:rPr>
        <w:t>long-term</w:t>
      </w:r>
      <w:r w:rsidR="00165881">
        <w:rPr>
          <w:rFonts w:ascii="Arial" w:hAnsi="Arial" w:cs="Arial"/>
        </w:rPr>
        <w:t xml:space="preserve"> dynamic of domestic savings and investments is determined by economic fundamentals, while the </w:t>
      </w:r>
      <w:r w:rsidR="006178C6">
        <w:rPr>
          <w:rFonts w:ascii="Arial" w:hAnsi="Arial" w:cs="Arial"/>
        </w:rPr>
        <w:t>short-term</w:t>
      </w:r>
      <w:r w:rsidR="00165881">
        <w:rPr>
          <w:rFonts w:ascii="Arial" w:hAnsi="Arial" w:cs="Arial"/>
        </w:rPr>
        <w:t xml:space="preserve"> influences are excluded from the determination of the EREER. </w:t>
      </w:r>
      <w:r w:rsidR="00C07C2E">
        <w:rPr>
          <w:rFonts w:ascii="Arial" w:hAnsi="Arial" w:cs="Arial"/>
        </w:rPr>
        <w:t xml:space="preserve">The NATREX approach of REER determination is regarded as “dynamic”, reflecting the </w:t>
      </w:r>
      <w:r w:rsidR="006178C6">
        <w:rPr>
          <w:rFonts w:ascii="Arial" w:hAnsi="Arial" w:cs="Arial"/>
        </w:rPr>
        <w:t>long-term</w:t>
      </w:r>
      <w:r w:rsidR="00C07C2E">
        <w:rPr>
          <w:rFonts w:ascii="Arial" w:hAnsi="Arial" w:cs="Arial"/>
        </w:rPr>
        <w:t xml:space="preserve"> dynamics of domestic savings and investments</w:t>
      </w:r>
      <w:r w:rsidR="006178C6">
        <w:rPr>
          <w:rFonts w:ascii="Arial" w:hAnsi="Arial" w:cs="Arial"/>
        </w:rPr>
        <w:t>. In the long-term domestic savings must equal domestic investments – the current account (i.e., the external position is balanced) (Rusek, 2012).</w:t>
      </w:r>
      <w:r w:rsidR="00BA73F4">
        <w:rPr>
          <w:rFonts w:ascii="Arial" w:hAnsi="Arial" w:cs="Arial"/>
        </w:rPr>
        <w:t xml:space="preserve"> </w:t>
      </w:r>
    </w:p>
    <w:p w14:paraId="290327F6" w14:textId="3BF8E96E" w:rsidR="00D03F85" w:rsidRDefault="00BA73F4" w:rsidP="0066301C">
      <w:pPr>
        <w:spacing w:line="360" w:lineRule="auto"/>
        <w:jc w:val="both"/>
        <w:rPr>
          <w:rFonts w:ascii="Arial" w:hAnsi="Arial" w:cs="Arial"/>
        </w:rPr>
      </w:pPr>
      <w:r>
        <w:rPr>
          <w:rFonts w:ascii="Arial" w:hAnsi="Arial" w:cs="Arial"/>
        </w:rPr>
        <w:t>Both the FEER and the NATREX approaches define the EREER as one corresponding to some definition of the general macroeconomic equilibrium.</w:t>
      </w:r>
      <w:r w:rsidR="002F4216">
        <w:rPr>
          <w:rStyle w:val="FootnoteReference"/>
          <w:rFonts w:ascii="Arial" w:hAnsi="Arial" w:cs="Arial"/>
        </w:rPr>
        <w:footnoteReference w:id="56"/>
      </w:r>
      <w:r w:rsidR="002F4216">
        <w:rPr>
          <w:rFonts w:ascii="Arial" w:hAnsi="Arial" w:cs="Arial"/>
        </w:rPr>
        <w:t xml:space="preserve"> </w:t>
      </w:r>
      <w:r w:rsidR="004F3A3A">
        <w:rPr>
          <w:rFonts w:ascii="Arial" w:hAnsi="Arial" w:cs="Arial"/>
        </w:rPr>
        <w:t xml:space="preserve">Contrarily to this is the </w:t>
      </w:r>
      <w:r>
        <w:rPr>
          <w:rFonts w:ascii="Arial" w:hAnsi="Arial" w:cs="Arial"/>
        </w:rPr>
        <w:t xml:space="preserve">Behavioural </w:t>
      </w:r>
      <w:r>
        <w:rPr>
          <w:rFonts w:ascii="Arial" w:hAnsi="Arial" w:cs="Arial"/>
        </w:rPr>
        <w:lastRenderedPageBreak/>
        <w:t>Equilibrium Exchange Rate (BEER) framework by Clark and MacDonald (1998)</w:t>
      </w:r>
      <w:r w:rsidR="004F3A3A">
        <w:rPr>
          <w:rFonts w:ascii="Arial" w:hAnsi="Arial" w:cs="Arial"/>
        </w:rPr>
        <w:t>, which</w:t>
      </w:r>
      <w:r>
        <w:rPr>
          <w:rFonts w:ascii="Arial" w:hAnsi="Arial" w:cs="Arial"/>
        </w:rPr>
        <w:t xml:space="preserve"> view the equilibrium rate as one consistent with the prevailing level of economic fundamentals. </w:t>
      </w:r>
      <w:r w:rsidR="00416CAD">
        <w:rPr>
          <w:rFonts w:ascii="Arial" w:hAnsi="Arial" w:cs="Arial"/>
        </w:rPr>
        <w:t xml:space="preserve">The </w:t>
      </w:r>
      <w:r w:rsidR="001B596E">
        <w:rPr>
          <w:rFonts w:ascii="Arial" w:hAnsi="Arial" w:cs="Arial"/>
        </w:rPr>
        <w:t xml:space="preserve">original BEER approach by Clark and MacDonald is not based on any specific exchange rate model, and as such could be regarded as a very general approach for modelling the equilibrium exchange rates. </w:t>
      </w:r>
      <w:bookmarkStart w:id="123" w:name="_Hlk162603690"/>
      <w:r w:rsidR="001B596E">
        <w:rPr>
          <w:rFonts w:ascii="Arial" w:hAnsi="Arial" w:cs="Arial"/>
        </w:rPr>
        <w:t xml:space="preserve">The BEER approach is often argued to have a number of advantages over </w:t>
      </w:r>
      <w:r w:rsidR="000402AF">
        <w:rPr>
          <w:rFonts w:ascii="Arial" w:hAnsi="Arial" w:cs="Arial"/>
        </w:rPr>
        <w:t xml:space="preserve">the internal – external balance approaches (specifically the FEER). For instant, the FEER approach is a method of calculation rather than an estimated exchange rate model like the BEER approach. The BEER approach has the potential of capturing all the systematic and fundamental movements of the exchange rates and can be subject to rigorous statistical testing of various metrics, such as the speed of mean reversion. </w:t>
      </w:r>
      <w:r w:rsidR="009D50C5">
        <w:rPr>
          <w:rFonts w:ascii="Arial" w:hAnsi="Arial" w:cs="Arial"/>
        </w:rPr>
        <w:t xml:space="preserve">Also, the BEER is a highly tractable approach to gauging an equilibrium exchange rate, relying on a single equation approach using either time series or panel data. </w:t>
      </w:r>
      <w:bookmarkEnd w:id="123"/>
      <w:r w:rsidR="009D50C5">
        <w:rPr>
          <w:rFonts w:ascii="Arial" w:hAnsi="Arial" w:cs="Arial"/>
        </w:rPr>
        <w:t xml:space="preserve">Contrarily, the </w:t>
      </w:r>
      <w:r w:rsidR="00D16985">
        <w:rPr>
          <w:rFonts w:ascii="Arial" w:hAnsi="Arial" w:cs="Arial"/>
        </w:rPr>
        <w:t>FEER based</w:t>
      </w:r>
      <w:r w:rsidR="009D50C5">
        <w:rPr>
          <w:rFonts w:ascii="Arial" w:hAnsi="Arial" w:cs="Arial"/>
        </w:rPr>
        <w:t xml:space="preserve"> estimate require the </w:t>
      </w:r>
      <w:r w:rsidR="00D16985">
        <w:rPr>
          <w:rFonts w:ascii="Arial" w:hAnsi="Arial" w:cs="Arial"/>
        </w:rPr>
        <w:t>full-blown</w:t>
      </w:r>
      <w:r w:rsidR="009D50C5">
        <w:rPr>
          <w:rFonts w:ascii="Arial" w:hAnsi="Arial" w:cs="Arial"/>
        </w:rPr>
        <w:t xml:space="preserve"> multi-nation macroeconomic model which could be cumbersome</w:t>
      </w:r>
      <w:r w:rsidR="00D16985">
        <w:rPr>
          <w:rFonts w:ascii="Arial" w:hAnsi="Arial" w:cs="Arial"/>
        </w:rPr>
        <w:t>, though it has t</w:t>
      </w:r>
      <w:r w:rsidR="00D03F85">
        <w:rPr>
          <w:rFonts w:ascii="Arial" w:hAnsi="Arial" w:cs="Arial"/>
        </w:rPr>
        <w:t xml:space="preserve">he advantages in terms of ensuring internal consistency of the estimates (MacDonald and Dias, 2007). Contrarily to the FEER approach, the BEER approach could </w:t>
      </w:r>
      <w:r w:rsidR="00A93A7A">
        <w:rPr>
          <w:rFonts w:ascii="Arial" w:hAnsi="Arial" w:cs="Arial"/>
        </w:rPr>
        <w:t>produce measures of exchange rate misalignment that are free of any normative elements retaining to sustainability.</w:t>
      </w:r>
    </w:p>
    <w:p w14:paraId="38A1C115" w14:textId="1859E44E" w:rsidR="00810600" w:rsidRPr="00810600" w:rsidRDefault="00D92A16" w:rsidP="0066301C">
      <w:pPr>
        <w:pStyle w:val="Heading2"/>
        <w:spacing w:before="0" w:beforeAutospacing="0"/>
      </w:pPr>
      <w:bookmarkStart w:id="124" w:name="_Toc171075377"/>
      <w:r>
        <w:t>3</w:t>
      </w:r>
      <w:r w:rsidR="00810600">
        <w:t>.</w:t>
      </w:r>
      <w:r w:rsidR="000B4288">
        <w:t>3</w:t>
      </w:r>
      <w:r w:rsidR="007A3D81">
        <w:tab/>
      </w:r>
      <w:r w:rsidR="00810600" w:rsidRPr="00810600">
        <w:t>BEHAVIOURAL EQUILIBRIUM EXCHANGE RATE (BEER) APPROACH</w:t>
      </w:r>
      <w:bookmarkEnd w:id="124"/>
      <w:r w:rsidR="00810600" w:rsidRPr="00810600">
        <w:t xml:space="preserve"> </w:t>
      </w:r>
    </w:p>
    <w:p w14:paraId="30792589" w14:textId="221DAD6F" w:rsidR="00810600" w:rsidRPr="00070B30" w:rsidRDefault="009E0AC6" w:rsidP="0066301C">
      <w:pPr>
        <w:spacing w:line="360" w:lineRule="auto"/>
        <w:jc w:val="both"/>
        <w:rPr>
          <w:rFonts w:ascii="Arial" w:hAnsi="Arial" w:cs="Arial"/>
          <w:color w:val="0E101A"/>
        </w:rPr>
      </w:pPr>
      <w:r w:rsidRPr="00185EF7">
        <w:rPr>
          <w:rFonts w:ascii="Arial" w:hAnsi="Arial" w:cs="Arial"/>
          <w:color w:val="0E101A"/>
        </w:rPr>
        <w:t>The Behavioural Equilibrium Exchange Rate (BEER) approach by Clark and MacDonald (1998) will be used in estimating the equilibrium exchange rate for each of the CEMAC nations. The difference between the actual (prevailing) real effective exchange rate (REER) and the equilibrium real effective exchange rate (EREER or BEER) will let us know if the currency is misaligned or not. Depicting from Clark and MacDonald (1998) analysis, the exchange rate is characterised in terms of a dynamic reduced-form relationship that relates it to a set of independent variables (economic fundamentals).</w:t>
      </w:r>
      <w:r>
        <w:rPr>
          <w:rStyle w:val="FootnoteReference"/>
          <w:rFonts w:ascii="Arial" w:hAnsi="Arial" w:cs="Arial"/>
          <w:color w:val="0E101A"/>
        </w:rPr>
        <w:footnoteReference w:id="57"/>
      </w:r>
      <w:r w:rsidRPr="00185EF7">
        <w:rPr>
          <w:rFonts w:ascii="Arial" w:hAnsi="Arial" w:cs="Arial"/>
          <w:color w:val="0E101A"/>
        </w:rPr>
        <w:t xml:space="preserve"> The estimated reduced form equation is used in explaining the behaviour of the REER with the associated economic fundamentals as follows:</w:t>
      </w:r>
    </w:p>
    <w:p w14:paraId="32A1C99E" w14:textId="27D4C15F" w:rsidR="00810600" w:rsidRPr="00F47E01" w:rsidRDefault="00000000" w:rsidP="0066301C">
      <w:pPr>
        <w:spacing w:line="360" w:lineRule="auto"/>
        <w:jc w:val="center"/>
        <w:rPr>
          <w:rFonts w:ascii="Arial" w:hAnsi="Arial" w:cs="Arial"/>
        </w:rPr>
      </w:pPr>
      <m:oMath>
        <m:sSub>
          <m:sSubPr>
            <m:ctrlPr>
              <w:rPr>
                <w:rFonts w:ascii="Cambria Math" w:hAnsi="Cambria Math" w:cs="Arial"/>
                <w:i/>
              </w:rPr>
            </m:ctrlPr>
          </m:sSubPr>
          <m:e>
            <m:r>
              <w:rPr>
                <w:rFonts w:ascii="Cambria Math" w:hAnsi="Cambria Math" w:cs="Arial"/>
              </w:rPr>
              <m:t>q</m:t>
            </m:r>
          </m:e>
          <m:sub>
            <m:r>
              <w:rPr>
                <w:rFonts w:ascii="Cambria Math" w:hAnsi="Cambria Math" w:cs="Arial"/>
                <w:vertAlign w:val="subscript"/>
              </w:rPr>
              <m:t>it</m:t>
            </m:r>
          </m:sub>
        </m:sSub>
        <m:r>
          <w:rPr>
            <w:rFonts w:ascii="Cambria Math" w:hAnsi="Cambria Math" w:cs="Arial"/>
          </w:rPr>
          <m:t>=</m:t>
        </m:r>
        <m:sSub>
          <m:sSubPr>
            <m:ctrlPr>
              <w:rPr>
                <w:rFonts w:ascii="Cambria Math" w:hAnsi="Cambria Math" w:cs="Arial"/>
                <w:i/>
              </w:rPr>
            </m:ctrlPr>
          </m:sSubPr>
          <m:e>
            <m:r>
              <w:rPr>
                <w:rFonts w:ascii="Cambria Math" w:hAnsi="Cambria Math" w:cs="Arial"/>
              </w:rPr>
              <m:t>β’Z</m:t>
            </m:r>
          </m:e>
          <m:sub>
            <m:r>
              <w:rPr>
                <w:rFonts w:ascii="Cambria Math" w:hAnsi="Cambria Math" w:cs="Arial"/>
                <w:vertAlign w:val="subscript"/>
              </w:rPr>
              <m:t>it</m:t>
            </m:r>
          </m:sub>
        </m:sSub>
        <m:r>
          <m:rPr>
            <m:sty m:val="p"/>
          </m:rPr>
          <w:rPr>
            <w:rFonts w:ascii="Cambria Math" w:hAnsi="Cambria Math" w:cs="Arial"/>
          </w:rPr>
          <m:t>+</m:t>
        </m:r>
        <m:sSub>
          <m:sSubPr>
            <m:ctrlPr>
              <w:rPr>
                <w:rFonts w:ascii="Cambria Math" w:hAnsi="Cambria Math" w:cs="Arial"/>
                <w:i/>
              </w:rPr>
            </m:ctrlPr>
          </m:sSubPr>
          <m:e>
            <m:r>
              <w:rPr>
                <w:rFonts w:ascii="Cambria Math" w:hAnsi="Cambria Math" w:cs="Arial"/>
              </w:rPr>
              <m:t>θ'T</m:t>
            </m:r>
          </m:e>
          <m:sub>
            <m:r>
              <w:rPr>
                <w:rFonts w:ascii="Cambria Math" w:hAnsi="Cambria Math" w:cs="Arial"/>
                <w:vertAlign w:val="subscript"/>
              </w:rPr>
              <m:t xml:space="preserve">it </m:t>
            </m:r>
          </m:sub>
        </m:sSub>
        <m:r>
          <m:rPr>
            <m:sty m:val="p"/>
          </m:rPr>
          <w:rPr>
            <w:rFonts w:ascii="Cambria Math" w:hAnsi="Cambria Math" w:cs="Arial"/>
          </w:rPr>
          <m:t>+</m:t>
        </m:r>
        <m:sSub>
          <m:sSubPr>
            <m:ctrlPr>
              <w:rPr>
                <w:rFonts w:ascii="Cambria Math" w:hAnsi="Cambria Math" w:cs="Arial"/>
              </w:rPr>
            </m:ctrlPr>
          </m:sSubPr>
          <m:e>
            <m:r>
              <w:rPr>
                <w:rFonts w:ascii="Cambria Math" w:hAnsi="Cambria Math" w:cs="Arial"/>
              </w:rPr>
              <m:t>Ɛ</m:t>
            </m:r>
          </m:e>
          <m:sub>
            <m:r>
              <w:rPr>
                <w:rFonts w:ascii="Cambria Math" w:hAnsi="Cambria Math" w:cs="Arial"/>
                <w:vertAlign w:val="subscript"/>
              </w:rPr>
              <m:t>it</m:t>
            </m:r>
          </m:sub>
        </m:sSub>
      </m:oMath>
      <w:r w:rsidR="00AA7655">
        <w:rPr>
          <w:rFonts w:ascii="Arial" w:eastAsiaTheme="minorEastAsia" w:hAnsi="Arial" w:cs="Arial"/>
        </w:rPr>
        <w:t xml:space="preserve">  </w:t>
      </w:r>
      <w:r w:rsidR="00DD3EDE">
        <w:rPr>
          <w:rFonts w:ascii="Arial" w:eastAsiaTheme="minorEastAsia" w:hAnsi="Arial" w:cs="Arial"/>
        </w:rPr>
        <w:t xml:space="preserve">                                                                           </w:t>
      </w:r>
      <w:r w:rsidR="00810600" w:rsidRPr="0018268D">
        <w:rPr>
          <w:rFonts w:ascii="Arial" w:eastAsiaTheme="minorEastAsia" w:hAnsi="Arial" w:cs="Arial"/>
        </w:rPr>
        <w:t>(</w:t>
      </w:r>
      <w:r w:rsidR="0018268D">
        <w:rPr>
          <w:rFonts w:ascii="Arial" w:eastAsiaTheme="minorEastAsia" w:hAnsi="Arial" w:cs="Arial"/>
        </w:rPr>
        <w:t>3</w:t>
      </w:r>
      <w:r w:rsidR="0018268D" w:rsidRPr="0018268D">
        <w:rPr>
          <w:rFonts w:ascii="Arial" w:eastAsiaTheme="minorEastAsia" w:hAnsi="Arial" w:cs="Arial"/>
        </w:rPr>
        <w:t>.</w:t>
      </w:r>
      <w:r w:rsidR="00187849">
        <w:rPr>
          <w:rFonts w:ascii="Arial" w:eastAsiaTheme="minorEastAsia" w:hAnsi="Arial" w:cs="Arial"/>
        </w:rPr>
        <w:t>1</w:t>
      </w:r>
      <w:r w:rsidR="00810600" w:rsidRPr="0018268D">
        <w:rPr>
          <w:rFonts w:ascii="Arial" w:eastAsiaTheme="minorEastAsia" w:hAnsi="Arial" w:cs="Arial"/>
        </w:rPr>
        <w:t>)</w:t>
      </w:r>
    </w:p>
    <w:p w14:paraId="03C08BDE" w14:textId="77777777" w:rsidR="00810600" w:rsidRPr="00F47E01" w:rsidRDefault="00810600" w:rsidP="0066301C">
      <w:pPr>
        <w:pStyle w:val="i"/>
        <w:spacing w:before="0"/>
        <w:rPr>
          <w:rFonts w:ascii="Arial" w:hAnsi="Arial" w:cs="Arial"/>
          <w:sz w:val="22"/>
          <w:szCs w:val="22"/>
        </w:rPr>
      </w:pPr>
      <w:r w:rsidRPr="00F47E01">
        <w:rPr>
          <w:rFonts w:ascii="Arial" w:hAnsi="Arial" w:cs="Arial"/>
          <w:sz w:val="22"/>
          <w:szCs w:val="22"/>
        </w:rPr>
        <w:t xml:space="preserve">Whereby: </w:t>
      </w:r>
    </w:p>
    <w:p w14:paraId="0CC2727B" w14:textId="77777777" w:rsidR="00810600" w:rsidRPr="00F47E01" w:rsidRDefault="00810600" w:rsidP="0066301C">
      <w:pPr>
        <w:pStyle w:val="i"/>
        <w:spacing w:before="0"/>
        <w:rPr>
          <w:rFonts w:ascii="Arial" w:hAnsi="Arial" w:cs="Arial"/>
          <w:i/>
          <w:sz w:val="22"/>
          <w:szCs w:val="22"/>
        </w:rPr>
      </w:pPr>
      <w:r w:rsidRPr="00F47E01">
        <w:rPr>
          <w:rFonts w:ascii="Arial" w:hAnsi="Arial" w:cs="Arial"/>
          <w:i/>
          <w:sz w:val="22"/>
          <w:szCs w:val="22"/>
        </w:rPr>
        <w:t>q</w:t>
      </w:r>
      <w:r w:rsidRPr="00F47E01">
        <w:rPr>
          <w:rFonts w:ascii="Arial" w:hAnsi="Arial" w:cs="Arial"/>
          <w:i/>
          <w:sz w:val="22"/>
          <w:szCs w:val="22"/>
          <w:vertAlign w:val="subscript"/>
        </w:rPr>
        <w:t>t</w:t>
      </w:r>
      <w:r w:rsidRPr="00F47E01">
        <w:rPr>
          <w:rFonts w:ascii="Arial" w:hAnsi="Arial" w:cs="Arial"/>
          <w:sz w:val="22"/>
          <w:szCs w:val="22"/>
        </w:rPr>
        <w:t xml:space="preserve"> is the observed actual real effective exchange rate in time </w:t>
      </w:r>
      <w:r w:rsidRPr="00F47E01">
        <w:rPr>
          <w:rFonts w:ascii="Arial" w:hAnsi="Arial" w:cs="Arial"/>
          <w:i/>
          <w:sz w:val="22"/>
          <w:szCs w:val="22"/>
        </w:rPr>
        <w:t xml:space="preserve">t </w:t>
      </w:r>
      <w:r w:rsidRPr="00F47E01">
        <w:rPr>
          <w:rFonts w:ascii="Arial" w:hAnsi="Arial" w:cs="Arial"/>
          <w:sz w:val="22"/>
          <w:szCs w:val="22"/>
        </w:rPr>
        <w:t>(</w:t>
      </w:r>
      <w:r w:rsidRPr="00F47E01">
        <w:rPr>
          <w:rFonts w:ascii="Arial" w:hAnsi="Arial" w:cs="Arial"/>
          <w:i/>
          <w:sz w:val="22"/>
          <w:szCs w:val="22"/>
        </w:rPr>
        <w:t>REER</w:t>
      </w:r>
      <w:r w:rsidRPr="00F47E01">
        <w:rPr>
          <w:rFonts w:ascii="Arial" w:hAnsi="Arial" w:cs="Arial"/>
          <w:i/>
          <w:sz w:val="22"/>
          <w:szCs w:val="22"/>
          <w:vertAlign w:val="subscript"/>
        </w:rPr>
        <w:t>t</w:t>
      </w:r>
      <w:r w:rsidRPr="00F47E01">
        <w:rPr>
          <w:rFonts w:ascii="Arial" w:hAnsi="Arial" w:cs="Arial"/>
          <w:sz w:val="22"/>
          <w:szCs w:val="22"/>
        </w:rPr>
        <w:t>).</w:t>
      </w:r>
      <w:r w:rsidRPr="00F47E01">
        <w:rPr>
          <w:rFonts w:ascii="Arial" w:hAnsi="Arial" w:cs="Arial"/>
          <w:i/>
          <w:sz w:val="22"/>
          <w:szCs w:val="22"/>
        </w:rPr>
        <w:t xml:space="preserve"> </w:t>
      </w:r>
    </w:p>
    <w:p w14:paraId="1AAEA051" w14:textId="1A40A1C1" w:rsidR="00810600" w:rsidRPr="00F47E01" w:rsidRDefault="00810600" w:rsidP="0066301C">
      <w:pPr>
        <w:pStyle w:val="i"/>
        <w:spacing w:before="0"/>
        <w:rPr>
          <w:rFonts w:ascii="Arial" w:hAnsi="Arial" w:cs="Arial"/>
          <w:sz w:val="22"/>
          <w:szCs w:val="22"/>
        </w:rPr>
      </w:pPr>
      <w:r w:rsidRPr="00F47E01">
        <w:rPr>
          <w:rFonts w:ascii="Arial" w:hAnsi="Arial" w:cs="Arial"/>
          <w:i/>
          <w:sz w:val="22"/>
          <w:szCs w:val="22"/>
        </w:rPr>
        <w:lastRenderedPageBreak/>
        <w:t>Z</w:t>
      </w:r>
      <w:r w:rsidRPr="00F47E01">
        <w:rPr>
          <w:rFonts w:ascii="Arial" w:hAnsi="Arial" w:cs="Arial"/>
          <w:i/>
          <w:sz w:val="22"/>
          <w:szCs w:val="22"/>
          <w:vertAlign w:val="subscript"/>
        </w:rPr>
        <w:t>t</w:t>
      </w:r>
      <w:r w:rsidRPr="00F47E01">
        <w:rPr>
          <w:rFonts w:ascii="Arial" w:hAnsi="Arial" w:cs="Arial"/>
          <w:sz w:val="22"/>
          <w:szCs w:val="22"/>
        </w:rPr>
        <w:t xml:space="preserve"> is a vector of the economic fundamentals expected to influence the </w:t>
      </w:r>
      <w:r>
        <w:rPr>
          <w:rFonts w:ascii="Arial" w:hAnsi="Arial" w:cs="Arial"/>
          <w:sz w:val="22"/>
          <w:szCs w:val="22"/>
        </w:rPr>
        <w:t>REER</w:t>
      </w:r>
      <w:r w:rsidRPr="00F47E01">
        <w:rPr>
          <w:rFonts w:ascii="Arial" w:hAnsi="Arial" w:cs="Arial"/>
          <w:sz w:val="22"/>
          <w:szCs w:val="22"/>
        </w:rPr>
        <w:t xml:space="preserve"> in the medium-term to the long-term.</w:t>
      </w:r>
      <w:r w:rsidR="00090831">
        <w:rPr>
          <w:rStyle w:val="FootnoteReference"/>
          <w:rFonts w:ascii="Arial" w:hAnsi="Arial" w:cs="Arial"/>
          <w:sz w:val="22"/>
          <w:szCs w:val="22"/>
        </w:rPr>
        <w:footnoteReference w:id="58"/>
      </w:r>
      <w:r w:rsidRPr="00F47E01">
        <w:rPr>
          <w:rFonts w:ascii="Arial" w:hAnsi="Arial" w:cs="Arial"/>
          <w:sz w:val="22"/>
          <w:szCs w:val="22"/>
        </w:rPr>
        <w:t xml:space="preserve"> </w:t>
      </w:r>
    </w:p>
    <w:p w14:paraId="38490FC7" w14:textId="77777777" w:rsidR="00810600" w:rsidRPr="00F47E01" w:rsidRDefault="00810600" w:rsidP="0066301C">
      <w:pPr>
        <w:pStyle w:val="i"/>
        <w:spacing w:before="0"/>
        <w:rPr>
          <w:rFonts w:ascii="Arial" w:hAnsi="Arial" w:cs="Arial"/>
          <w:sz w:val="22"/>
          <w:szCs w:val="22"/>
        </w:rPr>
      </w:pPr>
      <w:r w:rsidRPr="00F47E01">
        <w:rPr>
          <w:rFonts w:ascii="Arial" w:hAnsi="Arial" w:cs="Arial"/>
          <w:i/>
          <w:sz w:val="22"/>
          <w:szCs w:val="22"/>
        </w:rPr>
        <w:t>T</w:t>
      </w:r>
      <w:r w:rsidRPr="00F47E01">
        <w:rPr>
          <w:rFonts w:ascii="Arial" w:hAnsi="Arial" w:cs="Arial"/>
          <w:i/>
          <w:sz w:val="22"/>
          <w:szCs w:val="22"/>
          <w:vertAlign w:val="subscript"/>
        </w:rPr>
        <w:t>t</w:t>
      </w:r>
      <w:r w:rsidRPr="00F47E01">
        <w:rPr>
          <w:rFonts w:ascii="Arial" w:hAnsi="Arial" w:cs="Arial"/>
          <w:i/>
          <w:sz w:val="22"/>
          <w:szCs w:val="22"/>
        </w:rPr>
        <w:t xml:space="preserve"> </w:t>
      </w:r>
      <w:r w:rsidRPr="00F47E01">
        <w:rPr>
          <w:rFonts w:ascii="Arial" w:hAnsi="Arial" w:cs="Arial"/>
          <w:sz w:val="22"/>
          <w:szCs w:val="22"/>
        </w:rPr>
        <w:t xml:space="preserve">is the vector of transitory factors affecting the </w:t>
      </w:r>
      <w:r>
        <w:rPr>
          <w:rFonts w:ascii="Arial" w:hAnsi="Arial" w:cs="Arial"/>
          <w:sz w:val="22"/>
          <w:szCs w:val="22"/>
        </w:rPr>
        <w:t>REER</w:t>
      </w:r>
      <w:r w:rsidRPr="00F47E01">
        <w:rPr>
          <w:rFonts w:ascii="Arial" w:hAnsi="Arial" w:cs="Arial"/>
          <w:sz w:val="22"/>
          <w:szCs w:val="22"/>
        </w:rPr>
        <w:t xml:space="preserve"> in the short-term.</w:t>
      </w:r>
    </w:p>
    <w:p w14:paraId="65EF22A7" w14:textId="77777777" w:rsidR="00810600" w:rsidRPr="00F47E01" w:rsidRDefault="00810600" w:rsidP="0066301C">
      <w:pPr>
        <w:pStyle w:val="i"/>
        <w:spacing w:before="0"/>
        <w:rPr>
          <w:rFonts w:ascii="Arial" w:hAnsi="Arial" w:cs="Arial"/>
          <w:sz w:val="22"/>
          <w:szCs w:val="22"/>
        </w:rPr>
      </w:pPr>
      <w:r w:rsidRPr="00F47E01">
        <w:rPr>
          <w:rFonts w:ascii="Arial" w:hAnsi="Arial" w:cs="Arial"/>
          <w:i/>
          <w:sz w:val="22"/>
          <w:szCs w:val="22"/>
        </w:rPr>
        <w:t xml:space="preserve">Ɛ </w:t>
      </w:r>
      <w:r w:rsidRPr="00F47E01">
        <w:rPr>
          <w:rFonts w:ascii="Arial" w:hAnsi="Arial" w:cs="Arial"/>
          <w:sz w:val="22"/>
          <w:szCs w:val="22"/>
        </w:rPr>
        <w:t>is the error term (random disturbance).</w:t>
      </w:r>
    </w:p>
    <w:p w14:paraId="221146F2" w14:textId="5A7D76BA" w:rsidR="00810600" w:rsidRPr="00F47E01" w:rsidRDefault="00810600" w:rsidP="0066301C">
      <w:pPr>
        <w:pStyle w:val="i"/>
        <w:spacing w:before="0"/>
        <w:rPr>
          <w:rFonts w:ascii="Arial" w:hAnsi="Arial" w:cs="Arial"/>
          <w:sz w:val="22"/>
          <w:szCs w:val="22"/>
        </w:rPr>
      </w:pPr>
      <w:r w:rsidRPr="00F47E01">
        <w:rPr>
          <w:rFonts w:ascii="Arial" w:hAnsi="Arial" w:cs="Arial"/>
          <w:i/>
          <w:sz w:val="22"/>
          <w:szCs w:val="22"/>
        </w:rPr>
        <w:t xml:space="preserve">β </w:t>
      </w:r>
      <w:r w:rsidRPr="00F47E01">
        <w:rPr>
          <w:rFonts w:ascii="Arial" w:hAnsi="Arial" w:cs="Arial"/>
          <w:sz w:val="22"/>
          <w:szCs w:val="22"/>
        </w:rPr>
        <w:t xml:space="preserve">and </w:t>
      </w:r>
      <m:oMath>
        <m:r>
          <w:rPr>
            <w:rFonts w:ascii="Cambria Math" w:hAnsi="Cambria Math" w:cs="Arial"/>
          </w:rPr>
          <m:t>θ</m:t>
        </m:r>
      </m:oMath>
      <w:r w:rsidRPr="00F47E01">
        <w:rPr>
          <w:rFonts w:ascii="Arial" w:hAnsi="Arial" w:cs="Arial"/>
          <w:sz w:val="22"/>
          <w:szCs w:val="22"/>
        </w:rPr>
        <w:t xml:space="preserve"> are the coefficients of the vectors. </w:t>
      </w:r>
    </w:p>
    <w:p w14:paraId="0BDB896F" w14:textId="77777777" w:rsidR="00810600" w:rsidRPr="00F47E01" w:rsidRDefault="00810600" w:rsidP="0066301C">
      <w:pPr>
        <w:pStyle w:val="i"/>
        <w:spacing w:before="0"/>
        <w:rPr>
          <w:rFonts w:ascii="Arial" w:hAnsi="Arial" w:cs="Arial"/>
          <w:sz w:val="22"/>
          <w:szCs w:val="22"/>
        </w:rPr>
      </w:pPr>
      <w:r w:rsidRPr="00F47E01">
        <w:rPr>
          <w:rFonts w:ascii="Arial" w:hAnsi="Arial" w:cs="Arial"/>
          <w:sz w:val="22"/>
          <w:szCs w:val="22"/>
        </w:rPr>
        <w:t xml:space="preserve">Indices </w:t>
      </w:r>
      <w:r w:rsidRPr="00F47E01">
        <w:rPr>
          <w:rFonts w:ascii="Arial" w:hAnsi="Arial" w:cs="Arial"/>
          <w:i/>
          <w:sz w:val="22"/>
          <w:szCs w:val="22"/>
        </w:rPr>
        <w:t xml:space="preserve">t </w:t>
      </w:r>
      <w:r w:rsidRPr="00F47E01">
        <w:rPr>
          <w:rFonts w:ascii="Arial" w:hAnsi="Arial" w:cs="Arial"/>
          <w:sz w:val="22"/>
          <w:szCs w:val="22"/>
        </w:rPr>
        <w:t xml:space="preserve">and </w:t>
      </w:r>
      <w:r w:rsidRPr="00F47E01">
        <w:rPr>
          <w:rFonts w:ascii="Arial" w:hAnsi="Arial" w:cs="Arial"/>
          <w:i/>
          <w:sz w:val="22"/>
          <w:szCs w:val="22"/>
        </w:rPr>
        <w:t xml:space="preserve">i </w:t>
      </w:r>
      <w:r w:rsidRPr="00F47E01">
        <w:rPr>
          <w:rFonts w:ascii="Arial" w:hAnsi="Arial" w:cs="Arial"/>
          <w:sz w:val="22"/>
          <w:szCs w:val="22"/>
        </w:rPr>
        <w:t xml:space="preserve">refer to years and nations respectively. </w:t>
      </w:r>
    </w:p>
    <w:p w14:paraId="0644B93E" w14:textId="77777777" w:rsidR="003C39E7" w:rsidRPr="00F47E01" w:rsidRDefault="003C39E7" w:rsidP="0066301C">
      <w:pPr>
        <w:pStyle w:val="i"/>
        <w:spacing w:before="0"/>
        <w:rPr>
          <w:rFonts w:ascii="Arial" w:eastAsia="Segoe UI Symbol" w:hAnsi="Arial" w:cs="Arial"/>
          <w:sz w:val="22"/>
          <w:szCs w:val="22"/>
        </w:rPr>
      </w:pPr>
      <w:r w:rsidRPr="00F47E01">
        <w:rPr>
          <w:rFonts w:ascii="Arial" w:hAnsi="Arial" w:cs="Arial"/>
          <w:sz w:val="22"/>
          <w:szCs w:val="22"/>
        </w:rPr>
        <w:t>Following Clark and MacDonald (1998), it is necessary to distinguish between the actual REER (</w:t>
      </w:r>
      <w:r w:rsidRPr="00F47E01">
        <w:rPr>
          <w:rFonts w:ascii="Arial" w:hAnsi="Arial" w:cs="Arial"/>
          <w:i/>
          <w:sz w:val="22"/>
          <w:szCs w:val="22"/>
        </w:rPr>
        <w:t>q</w:t>
      </w:r>
      <w:r w:rsidRPr="00F47E01">
        <w:rPr>
          <w:rFonts w:ascii="Arial" w:hAnsi="Arial" w:cs="Arial"/>
          <w:sz w:val="22"/>
          <w:szCs w:val="22"/>
        </w:rPr>
        <w:t>) and the curr</w:t>
      </w:r>
      <w:r>
        <w:rPr>
          <w:rFonts w:ascii="Arial" w:hAnsi="Arial" w:cs="Arial"/>
          <w:sz w:val="22"/>
          <w:szCs w:val="22"/>
        </w:rPr>
        <w:t>ent EREER</w:t>
      </w:r>
      <w:r w:rsidRPr="00F47E01">
        <w:rPr>
          <w:rFonts w:ascii="Arial" w:hAnsi="Arial" w:cs="Arial"/>
          <w:sz w:val="22"/>
          <w:szCs w:val="22"/>
        </w:rPr>
        <w:t xml:space="preserve"> </w:t>
      </w:r>
      <m:oMath>
        <m:sSubSup>
          <m:sSubSupPr>
            <m:ctrlPr>
              <w:rPr>
                <w:rFonts w:ascii="Cambria Math" w:eastAsia="Segoe UI Symbol" w:hAnsi="Cambria Math" w:cs="Arial"/>
                <w:i/>
                <w:sz w:val="22"/>
                <w:szCs w:val="22"/>
                <w:lang w:eastAsia="en-US"/>
              </w:rPr>
            </m:ctrlPr>
          </m:sSubSupPr>
          <m:e>
            <m:r>
              <w:rPr>
                <w:rFonts w:ascii="Cambria Math" w:eastAsia="Segoe UI Symbol" w:hAnsi="Cambria Math" w:cs="Arial"/>
                <w:sz w:val="22"/>
                <w:szCs w:val="22"/>
              </w:rPr>
              <m:t>q</m:t>
            </m:r>
          </m:e>
          <m:sub>
            <m:r>
              <w:rPr>
                <w:rFonts w:ascii="Cambria Math" w:eastAsia="Segoe UI Symbol" w:hAnsi="Cambria Math" w:cs="Arial"/>
                <w:sz w:val="22"/>
                <w:szCs w:val="22"/>
              </w:rPr>
              <m:t>t</m:t>
            </m:r>
          </m:sub>
          <m:sup>
            <m:r>
              <w:rPr>
                <w:rFonts w:ascii="Cambria Math" w:eastAsia="Segoe UI Symbol" w:hAnsi="Cambria Math" w:cs="Arial"/>
                <w:sz w:val="22"/>
                <w:szCs w:val="22"/>
              </w:rPr>
              <m:t>'</m:t>
            </m:r>
          </m:sup>
        </m:sSubSup>
      </m:oMath>
      <w:r w:rsidRPr="00F47E01">
        <w:rPr>
          <w:rFonts w:ascii="Arial" w:eastAsia="Segoe UI Symbol" w:hAnsi="Arial" w:cs="Arial"/>
          <w:sz w:val="22"/>
          <w:szCs w:val="22"/>
          <w:vertAlign w:val="subscript"/>
        </w:rPr>
        <w:t xml:space="preserve">. </w:t>
      </w:r>
      <w:r w:rsidRPr="00F47E01">
        <w:rPr>
          <w:rFonts w:ascii="Arial" w:hAnsi="Arial" w:cs="Arial"/>
          <w:sz w:val="22"/>
          <w:szCs w:val="22"/>
        </w:rPr>
        <w:t xml:space="preserve">The </w:t>
      </w:r>
      <m:oMath>
        <m:sSubSup>
          <m:sSubSupPr>
            <m:ctrlPr>
              <w:rPr>
                <w:rFonts w:ascii="Cambria Math" w:eastAsia="Segoe UI Symbol" w:hAnsi="Cambria Math" w:cs="Arial"/>
                <w:i/>
                <w:sz w:val="22"/>
                <w:szCs w:val="22"/>
                <w:lang w:eastAsia="en-US"/>
              </w:rPr>
            </m:ctrlPr>
          </m:sSubSupPr>
          <m:e>
            <m:r>
              <w:rPr>
                <w:rFonts w:ascii="Cambria Math" w:eastAsia="Segoe UI Symbol" w:hAnsi="Cambria Math" w:cs="Arial"/>
                <w:sz w:val="22"/>
                <w:szCs w:val="22"/>
              </w:rPr>
              <m:t>q</m:t>
            </m:r>
          </m:e>
          <m:sub>
            <m:r>
              <w:rPr>
                <w:rFonts w:ascii="Cambria Math" w:eastAsia="Segoe UI Symbol" w:hAnsi="Cambria Math" w:cs="Arial"/>
                <w:sz w:val="22"/>
                <w:szCs w:val="22"/>
              </w:rPr>
              <m:t>t</m:t>
            </m:r>
          </m:sub>
          <m:sup>
            <m:r>
              <w:rPr>
                <w:rFonts w:ascii="Cambria Math" w:eastAsia="Segoe UI Symbol" w:hAnsi="Cambria Math" w:cs="Arial"/>
                <w:sz w:val="22"/>
                <w:szCs w:val="22"/>
              </w:rPr>
              <m:t>'</m:t>
            </m:r>
          </m:sup>
        </m:sSubSup>
      </m:oMath>
      <w:r w:rsidRPr="00F47E01">
        <w:rPr>
          <w:rFonts w:ascii="Arial" w:hAnsi="Arial" w:cs="Arial"/>
          <w:sz w:val="22"/>
          <w:szCs w:val="22"/>
        </w:rPr>
        <w:t xml:space="preserve"> </w:t>
      </w:r>
      <w:r w:rsidRPr="00F47E01">
        <w:rPr>
          <w:rFonts w:ascii="Arial" w:eastAsia="Segoe UI Symbol" w:hAnsi="Arial" w:cs="Arial"/>
          <w:sz w:val="22"/>
          <w:szCs w:val="22"/>
        </w:rPr>
        <w:t xml:space="preserve">value is when both the transitory and random terms are zero: </w:t>
      </w:r>
    </w:p>
    <w:p w14:paraId="15832C42" w14:textId="798F875E" w:rsidR="003C39E7" w:rsidRPr="00F47E01" w:rsidRDefault="00000000" w:rsidP="0066301C">
      <w:pPr>
        <w:pStyle w:val="i"/>
        <w:spacing w:before="0"/>
        <w:jc w:val="center"/>
        <w:rPr>
          <w:rFonts w:ascii="Arial" w:eastAsia="Segoe UI Symbol" w:hAnsi="Arial" w:cs="Arial"/>
          <w:sz w:val="22"/>
          <w:szCs w:val="22"/>
        </w:rPr>
      </w:pPr>
      <m:oMath>
        <m:sSubSup>
          <m:sSubSupPr>
            <m:ctrlPr>
              <w:rPr>
                <w:rFonts w:ascii="Cambria Math" w:eastAsia="Segoe UI Symbol" w:hAnsi="Cambria Math" w:cs="Arial"/>
                <w:i/>
                <w:sz w:val="22"/>
                <w:szCs w:val="22"/>
                <w:lang w:eastAsia="en-US"/>
              </w:rPr>
            </m:ctrlPr>
          </m:sSubSupPr>
          <m:e>
            <m:r>
              <w:rPr>
                <w:rFonts w:ascii="Cambria Math" w:eastAsia="Segoe UI Symbol" w:hAnsi="Cambria Math" w:cs="Arial"/>
                <w:sz w:val="22"/>
                <w:szCs w:val="22"/>
              </w:rPr>
              <m:t>q</m:t>
            </m:r>
          </m:e>
          <m:sub>
            <m:r>
              <w:rPr>
                <w:rFonts w:ascii="Cambria Math" w:eastAsia="Segoe UI Symbol" w:hAnsi="Cambria Math" w:cs="Arial"/>
                <w:sz w:val="22"/>
                <w:szCs w:val="22"/>
              </w:rPr>
              <m:t>t</m:t>
            </m:r>
          </m:sub>
          <m:sup>
            <m:r>
              <w:rPr>
                <w:rFonts w:ascii="Cambria Math" w:eastAsia="Segoe UI Symbol" w:hAnsi="Cambria Math" w:cs="Arial"/>
                <w:sz w:val="22"/>
                <w:szCs w:val="22"/>
              </w:rPr>
              <m:t>'</m:t>
            </m:r>
          </m:sup>
        </m:sSubSup>
        <m:r>
          <m:rPr>
            <m:sty m:val="p"/>
          </m:rPr>
          <w:rPr>
            <w:rFonts w:ascii="Cambria Math" w:eastAsia="Segoe UI Symbol" w:hAnsi="Cambria Math" w:cs="Arial"/>
            <w:sz w:val="22"/>
            <w:szCs w:val="22"/>
          </w:rPr>
          <m:t>=</m:t>
        </m:r>
        <m:sSub>
          <m:sSubPr>
            <m:ctrlPr>
              <w:rPr>
                <w:rFonts w:ascii="Cambria Math" w:eastAsia="Segoe UI Symbol" w:hAnsi="Cambria Math" w:cs="Arial"/>
                <w:i/>
                <w:sz w:val="22"/>
                <w:szCs w:val="22"/>
                <w:lang w:eastAsia="en-US"/>
              </w:rPr>
            </m:ctrlPr>
          </m:sSubPr>
          <m:e>
            <m:r>
              <w:rPr>
                <w:rFonts w:ascii="Cambria Math" w:eastAsia="Segoe UI Symbol" w:hAnsi="Cambria Math" w:cs="Arial"/>
                <w:sz w:val="22"/>
                <w:szCs w:val="22"/>
              </w:rPr>
              <m:t>β</m:t>
            </m:r>
            <m:r>
              <m:rPr>
                <m:sty m:val="p"/>
              </m:rPr>
              <w:rPr>
                <w:rFonts w:ascii="Cambria Math" w:hAnsi="Cambria Math" w:cs="Arial"/>
                <w:sz w:val="22"/>
                <w:szCs w:val="22"/>
                <w:vertAlign w:val="superscript"/>
              </w:rPr>
              <m:t>'</m:t>
            </m:r>
            <m:r>
              <w:rPr>
                <w:rFonts w:ascii="Cambria Math" w:hAnsi="Cambria Math" w:cs="Arial"/>
                <w:sz w:val="22"/>
                <w:szCs w:val="22"/>
              </w:rPr>
              <m:t>Z</m:t>
            </m:r>
            <m:r>
              <m:rPr>
                <m:sty m:val="p"/>
              </m:rPr>
              <w:rPr>
                <w:rFonts w:ascii="Cambria Math" w:hAnsi="Cambria Math" w:cs="Arial"/>
                <w:sz w:val="22"/>
                <w:szCs w:val="22"/>
              </w:rPr>
              <m:t xml:space="preserve"> </m:t>
            </m:r>
          </m:e>
          <m:sub>
            <m:r>
              <w:rPr>
                <w:rFonts w:ascii="Cambria Math" w:hAnsi="Cambria Math" w:cs="Arial"/>
                <w:sz w:val="22"/>
                <w:szCs w:val="22"/>
                <w:vertAlign w:val="subscript"/>
              </w:rPr>
              <m:t>t</m:t>
            </m:r>
          </m:sub>
        </m:sSub>
        <m:r>
          <m:rPr>
            <m:sty m:val="p"/>
          </m:rPr>
          <w:rPr>
            <w:rFonts w:ascii="Cambria Math" w:hAnsi="Cambria Math" w:cs="Arial"/>
            <w:sz w:val="22"/>
            <w:szCs w:val="22"/>
          </w:rPr>
          <m:t xml:space="preserve"> </m:t>
        </m:r>
      </m:oMath>
      <w:r w:rsidR="003C39E7" w:rsidRPr="00F47E01">
        <w:rPr>
          <w:rFonts w:ascii="Arial" w:eastAsia="Segoe UI Symbol" w:hAnsi="Arial" w:cs="Arial"/>
          <w:sz w:val="22"/>
          <w:szCs w:val="22"/>
        </w:rPr>
        <w:tab/>
        <w:t xml:space="preserve">   </w:t>
      </w:r>
      <w:r w:rsidR="003C39E7">
        <w:rPr>
          <w:rFonts w:ascii="Arial" w:eastAsia="Segoe UI Symbol" w:hAnsi="Arial" w:cs="Arial"/>
          <w:sz w:val="22"/>
          <w:szCs w:val="22"/>
        </w:rPr>
        <w:t xml:space="preserve">               </w:t>
      </w:r>
      <w:r w:rsidR="003C39E7" w:rsidRPr="00F47E01">
        <w:rPr>
          <w:rFonts w:ascii="Arial" w:eastAsia="Segoe UI Symbol" w:hAnsi="Arial" w:cs="Arial"/>
          <w:sz w:val="22"/>
          <w:szCs w:val="22"/>
        </w:rPr>
        <w:t xml:space="preserve">                        </w:t>
      </w:r>
      <w:r w:rsidR="003C39E7">
        <w:rPr>
          <w:rFonts w:ascii="Arial" w:eastAsia="Segoe UI Symbol" w:hAnsi="Arial" w:cs="Arial"/>
          <w:sz w:val="22"/>
          <w:szCs w:val="22"/>
        </w:rPr>
        <w:tab/>
      </w:r>
      <w:r w:rsidR="003C39E7">
        <w:rPr>
          <w:rFonts w:ascii="Arial" w:eastAsia="Segoe UI Symbol" w:hAnsi="Arial" w:cs="Arial"/>
          <w:sz w:val="22"/>
          <w:szCs w:val="22"/>
        </w:rPr>
        <w:tab/>
      </w:r>
      <w:r w:rsidR="00DD3EDE">
        <w:rPr>
          <w:rFonts w:ascii="Arial" w:eastAsia="Segoe UI Symbol" w:hAnsi="Arial" w:cs="Arial"/>
          <w:sz w:val="22"/>
          <w:szCs w:val="22"/>
        </w:rPr>
        <w:t xml:space="preserve">                        </w:t>
      </w:r>
      <w:r w:rsidR="003C39E7">
        <w:rPr>
          <w:rFonts w:ascii="Arial" w:eastAsia="Segoe UI Symbol" w:hAnsi="Arial" w:cs="Arial"/>
          <w:sz w:val="22"/>
          <w:szCs w:val="22"/>
        </w:rPr>
        <w:tab/>
      </w:r>
      <w:r w:rsidR="003C39E7" w:rsidRPr="00F47E01">
        <w:rPr>
          <w:rFonts w:ascii="Arial" w:eastAsia="Segoe UI Symbol" w:hAnsi="Arial" w:cs="Arial"/>
          <w:sz w:val="22"/>
          <w:szCs w:val="22"/>
        </w:rPr>
        <w:t xml:space="preserve"> </w:t>
      </w:r>
      <w:r w:rsidR="003C39E7" w:rsidRPr="00FA715C">
        <w:rPr>
          <w:rFonts w:ascii="Arial" w:eastAsia="Segoe UI Symbol" w:hAnsi="Arial" w:cs="Arial"/>
          <w:sz w:val="22"/>
          <w:szCs w:val="22"/>
        </w:rPr>
        <w:t>(3.</w:t>
      </w:r>
      <w:r w:rsidR="00187849">
        <w:rPr>
          <w:rFonts w:ascii="Arial" w:eastAsia="Segoe UI Symbol" w:hAnsi="Arial" w:cs="Arial"/>
          <w:sz w:val="22"/>
          <w:szCs w:val="22"/>
        </w:rPr>
        <w:t>2</w:t>
      </w:r>
      <w:r w:rsidR="003C39E7" w:rsidRPr="00FA715C">
        <w:rPr>
          <w:rFonts w:ascii="Arial" w:eastAsia="Segoe UI Symbol" w:hAnsi="Arial" w:cs="Arial"/>
          <w:sz w:val="22"/>
          <w:szCs w:val="22"/>
        </w:rPr>
        <w:t>)</w:t>
      </w:r>
    </w:p>
    <w:p w14:paraId="6445A44F" w14:textId="77777777" w:rsidR="003C39E7" w:rsidRPr="00F47E01" w:rsidRDefault="003C39E7" w:rsidP="0066301C">
      <w:pPr>
        <w:pStyle w:val="i"/>
        <w:spacing w:before="0"/>
        <w:rPr>
          <w:rFonts w:ascii="Arial" w:hAnsi="Arial" w:cs="Arial"/>
          <w:sz w:val="22"/>
          <w:szCs w:val="22"/>
        </w:rPr>
      </w:pPr>
      <w:r w:rsidRPr="00F47E01">
        <w:rPr>
          <w:rFonts w:ascii="Arial" w:hAnsi="Arial" w:cs="Arial"/>
          <w:sz w:val="22"/>
          <w:szCs w:val="22"/>
        </w:rPr>
        <w:t xml:space="preserve">The related current misalignment, </w:t>
      </w:r>
      <w:r w:rsidRPr="00F47E01">
        <w:rPr>
          <w:rFonts w:ascii="Arial" w:hAnsi="Arial" w:cs="Arial"/>
          <w:i/>
          <w:sz w:val="22"/>
          <w:szCs w:val="22"/>
        </w:rPr>
        <w:t xml:space="preserve">cm, </w:t>
      </w:r>
      <w:r w:rsidRPr="00F47E01">
        <w:rPr>
          <w:rFonts w:ascii="Arial" w:hAnsi="Arial" w:cs="Arial"/>
          <w:sz w:val="22"/>
          <w:szCs w:val="22"/>
        </w:rPr>
        <w:t>is:</w:t>
      </w:r>
    </w:p>
    <w:p w14:paraId="5EBD5DB6" w14:textId="17EE3AF3" w:rsidR="003C39E7" w:rsidRPr="00F47E01" w:rsidRDefault="00000000" w:rsidP="0066301C">
      <w:pPr>
        <w:pStyle w:val="i"/>
        <w:spacing w:before="0"/>
        <w:jc w:val="center"/>
        <w:rPr>
          <w:rFonts w:ascii="Arial" w:hAnsi="Arial" w:cs="Arial"/>
          <w:sz w:val="22"/>
          <w:szCs w:val="22"/>
        </w:rPr>
      </w:pPr>
      <m:oMath>
        <m:sSub>
          <m:sSubPr>
            <m:ctrlPr>
              <w:rPr>
                <w:rFonts w:ascii="Cambria Math" w:hAnsi="Cambria Math" w:cs="Arial"/>
                <w:i/>
                <w:sz w:val="22"/>
                <w:szCs w:val="22"/>
              </w:rPr>
            </m:ctrlPr>
          </m:sSubPr>
          <m:e>
            <m:r>
              <w:rPr>
                <w:rFonts w:ascii="Cambria Math" w:hAnsi="Cambria Math" w:cs="Arial"/>
                <w:sz w:val="22"/>
                <w:szCs w:val="22"/>
              </w:rPr>
              <m:t>cm</m:t>
            </m:r>
          </m:e>
          <m:sub>
            <m:r>
              <w:rPr>
                <w:rFonts w:ascii="Cambria Math" w:hAnsi="Cambria Math" w:cs="Arial"/>
                <w:sz w:val="22"/>
                <w:szCs w:val="22"/>
                <w:vertAlign w:val="subscript"/>
              </w:rPr>
              <m:t>t</m:t>
            </m:r>
          </m:sub>
        </m:sSub>
        <m:r>
          <m:rPr>
            <m:sty m:val="p"/>
          </m:rPr>
          <w:rPr>
            <w:rFonts w:ascii="Cambria Math" w:eastAsia="Segoe UI Symbol" w:hAnsi="Cambria Math" w:cs="Arial"/>
            <w:sz w:val="22"/>
            <w:szCs w:val="22"/>
          </w:rPr>
          <m:t>=</m:t>
        </m:r>
        <m:sSub>
          <m:sSubPr>
            <m:ctrlPr>
              <w:rPr>
                <w:rFonts w:ascii="Cambria Math" w:eastAsia="Segoe UI Symbol" w:hAnsi="Cambria Math" w:cs="Arial"/>
                <w:sz w:val="22"/>
                <w:szCs w:val="22"/>
              </w:rPr>
            </m:ctrlPr>
          </m:sSubPr>
          <m:e>
            <m:r>
              <w:rPr>
                <w:rFonts w:ascii="Cambria Math" w:eastAsia="Segoe UI Symbol" w:hAnsi="Cambria Math" w:cs="Arial"/>
                <w:sz w:val="22"/>
                <w:szCs w:val="22"/>
              </w:rPr>
              <m:t>q</m:t>
            </m:r>
          </m:e>
          <m:sub>
            <m:r>
              <w:rPr>
                <w:rFonts w:ascii="Cambria Math" w:eastAsia="Segoe UI Symbol" w:hAnsi="Cambria Math" w:cs="Arial"/>
                <w:sz w:val="22"/>
                <w:szCs w:val="22"/>
                <w:vertAlign w:val="subscript"/>
              </w:rPr>
              <m:t>t</m:t>
            </m:r>
          </m:sub>
        </m:sSub>
        <m:r>
          <w:rPr>
            <w:rFonts w:ascii="Cambria Math" w:eastAsia="Segoe UI Symbol" w:hAnsi="Cambria Math" w:cs="Arial"/>
            <w:sz w:val="22"/>
            <w:szCs w:val="22"/>
          </w:rPr>
          <m:t>-</m:t>
        </m:r>
        <m:sSubSup>
          <m:sSubSupPr>
            <m:ctrlPr>
              <w:rPr>
                <w:rFonts w:ascii="Cambria Math" w:eastAsia="Segoe UI Symbol" w:hAnsi="Cambria Math" w:cs="Arial"/>
                <w:i/>
                <w:sz w:val="22"/>
                <w:szCs w:val="22"/>
                <w:lang w:eastAsia="en-US"/>
              </w:rPr>
            </m:ctrlPr>
          </m:sSubSupPr>
          <m:e>
            <m:r>
              <w:rPr>
                <w:rFonts w:ascii="Cambria Math" w:eastAsia="Segoe UI Symbol" w:hAnsi="Cambria Math" w:cs="Arial"/>
                <w:sz w:val="22"/>
                <w:szCs w:val="22"/>
              </w:rPr>
              <m:t>q</m:t>
            </m:r>
          </m:e>
          <m:sub>
            <m:r>
              <w:rPr>
                <w:rFonts w:ascii="Cambria Math" w:eastAsia="Segoe UI Symbol" w:hAnsi="Cambria Math" w:cs="Arial"/>
                <w:sz w:val="22"/>
                <w:szCs w:val="22"/>
              </w:rPr>
              <m:t>t</m:t>
            </m:r>
          </m:sub>
          <m:sup>
            <m:r>
              <w:rPr>
                <w:rFonts w:ascii="Cambria Math" w:eastAsia="Segoe UI Symbol" w:hAnsi="Cambria Math" w:cs="Arial"/>
                <w:sz w:val="22"/>
                <w:szCs w:val="22"/>
              </w:rPr>
              <m:t>'</m:t>
            </m:r>
          </m:sup>
        </m:sSubSup>
        <m:r>
          <m:rPr>
            <m:sty m:val="p"/>
          </m:rPr>
          <w:rPr>
            <w:rFonts w:ascii="Cambria Math" w:hAnsi="Cambria Math" w:cs="Arial"/>
            <w:sz w:val="22"/>
            <w:szCs w:val="22"/>
          </w:rPr>
          <m:t xml:space="preserve">= </m:t>
        </m:r>
        <m:sSub>
          <m:sSubPr>
            <m:ctrlPr>
              <w:rPr>
                <w:rFonts w:ascii="Cambria Math" w:eastAsia="Segoe UI Symbol" w:hAnsi="Cambria Math" w:cs="Arial"/>
                <w:sz w:val="22"/>
                <w:szCs w:val="22"/>
              </w:rPr>
            </m:ctrlPr>
          </m:sSubPr>
          <m:e>
            <m:r>
              <w:rPr>
                <w:rFonts w:ascii="Cambria Math" w:eastAsia="Segoe UI Symbol" w:hAnsi="Cambria Math" w:cs="Arial"/>
                <w:sz w:val="22"/>
                <w:szCs w:val="22"/>
              </w:rPr>
              <m:t>q</m:t>
            </m:r>
          </m:e>
          <m:sub>
            <m:r>
              <w:rPr>
                <w:rFonts w:ascii="Cambria Math" w:eastAsia="Segoe UI Symbol" w:hAnsi="Cambria Math" w:cs="Arial"/>
                <w:sz w:val="22"/>
                <w:szCs w:val="22"/>
                <w:vertAlign w:val="subscript"/>
              </w:rPr>
              <m:t>t</m:t>
            </m:r>
          </m:sub>
        </m:sSub>
        <m:r>
          <m:rPr>
            <m:sty m:val="p"/>
          </m:rPr>
          <w:rPr>
            <w:rFonts w:ascii="Cambria Math" w:hAnsi="Cambria Math" w:cs="Arial"/>
            <w:sz w:val="22"/>
            <w:szCs w:val="22"/>
          </w:rPr>
          <m:t>-</m:t>
        </m:r>
        <m:sSub>
          <m:sSubPr>
            <m:ctrlPr>
              <w:rPr>
                <w:rFonts w:ascii="Cambria Math" w:hAnsi="Cambria Math" w:cs="Arial"/>
                <w:i/>
              </w:rPr>
            </m:ctrlPr>
          </m:sSubPr>
          <m:e>
            <m:r>
              <w:rPr>
                <w:rFonts w:ascii="Cambria Math" w:hAnsi="Cambria Math" w:cs="Arial"/>
              </w:rPr>
              <m:t>β’Z</m:t>
            </m:r>
          </m:e>
          <m:sub>
            <m:r>
              <w:rPr>
                <w:rFonts w:ascii="Cambria Math" w:hAnsi="Cambria Math" w:cs="Arial"/>
                <w:vertAlign w:val="subscript"/>
              </w:rPr>
              <m:t>it</m:t>
            </m:r>
          </m:sub>
        </m:sSub>
        <m:r>
          <m:rPr>
            <m:sty m:val="p"/>
          </m:rPr>
          <w:rPr>
            <w:rFonts w:ascii="Cambria Math" w:hAnsi="Cambria Math" w:cs="Arial"/>
            <w:sz w:val="22"/>
            <w:szCs w:val="22"/>
          </w:rPr>
          <m:t>=</m:t>
        </m:r>
        <m:sSub>
          <m:sSubPr>
            <m:ctrlPr>
              <w:rPr>
                <w:rFonts w:ascii="Cambria Math" w:hAnsi="Cambria Math" w:cs="Arial"/>
                <w:sz w:val="22"/>
                <w:szCs w:val="22"/>
              </w:rPr>
            </m:ctrlPr>
          </m:sSubPr>
          <m:e>
            <m:r>
              <w:rPr>
                <w:rFonts w:ascii="Cambria Math" w:hAnsi="Cambria Math" w:cs="Arial"/>
                <w:sz w:val="22"/>
                <w:szCs w:val="22"/>
              </w:rPr>
              <m:t>θ'T</m:t>
            </m:r>
          </m:e>
          <m:sub>
            <m:r>
              <w:rPr>
                <w:rFonts w:ascii="Cambria Math" w:hAnsi="Cambria Math" w:cs="Arial"/>
                <w:sz w:val="22"/>
                <w:szCs w:val="22"/>
                <w:vertAlign w:val="subscript"/>
              </w:rPr>
              <m:t>t</m:t>
            </m:r>
          </m:sub>
        </m:sSub>
        <m:r>
          <w:rPr>
            <w:rFonts w:ascii="Cambria Math" w:eastAsia="Segoe UI Symbol" w:hAnsi="Cambria Math" w:cs="Arial"/>
            <w:sz w:val="22"/>
            <w:szCs w:val="22"/>
          </w:rPr>
          <m:t>+</m:t>
        </m:r>
        <m:sSub>
          <m:sSubPr>
            <m:ctrlPr>
              <w:rPr>
                <w:rFonts w:ascii="Cambria Math" w:eastAsia="Segoe UI Symbol" w:hAnsi="Cambria Math" w:cs="Arial"/>
                <w:i/>
                <w:sz w:val="22"/>
                <w:szCs w:val="22"/>
              </w:rPr>
            </m:ctrlPr>
          </m:sSubPr>
          <m:e>
            <m:r>
              <w:rPr>
                <w:rFonts w:ascii="Cambria Math" w:eastAsia="Segoe UI Symbol" w:hAnsi="Cambria Math" w:cs="Arial"/>
                <w:sz w:val="22"/>
                <w:szCs w:val="22"/>
              </w:rPr>
              <m:t>ε</m:t>
            </m:r>
          </m:e>
          <m:sub>
            <m:r>
              <w:rPr>
                <w:rFonts w:ascii="Cambria Math" w:hAnsi="Cambria Math" w:cs="Arial"/>
                <w:sz w:val="22"/>
                <w:szCs w:val="22"/>
                <w:vertAlign w:val="subscript"/>
              </w:rPr>
              <m:t>t</m:t>
            </m:r>
            <m:r>
              <m:rPr>
                <m:sty m:val="p"/>
              </m:rPr>
              <w:rPr>
                <w:rFonts w:ascii="Cambria Math" w:hAnsi="Cambria Math" w:cs="Arial"/>
                <w:sz w:val="22"/>
                <w:szCs w:val="22"/>
              </w:rPr>
              <m:t xml:space="preserve"> </m:t>
            </m:r>
          </m:sub>
        </m:sSub>
        <m:r>
          <w:rPr>
            <w:rFonts w:ascii="Cambria Math" w:hAnsi="Cambria Math" w:cs="Arial"/>
            <w:sz w:val="22"/>
            <w:szCs w:val="22"/>
            <w:vertAlign w:val="subscript"/>
          </w:rPr>
          <m:t xml:space="preserve"> </m:t>
        </m:r>
      </m:oMath>
      <w:r w:rsidR="003C39E7" w:rsidRPr="00F47E01">
        <w:rPr>
          <w:rFonts w:ascii="Arial" w:hAnsi="Arial" w:cs="Arial"/>
          <w:sz w:val="22"/>
          <w:szCs w:val="22"/>
          <w:vertAlign w:val="subscript"/>
        </w:rPr>
        <w:tab/>
        <w:t xml:space="preserve">    </w:t>
      </w:r>
      <w:r w:rsidR="003C39E7">
        <w:rPr>
          <w:rFonts w:ascii="Arial" w:hAnsi="Arial" w:cs="Arial"/>
          <w:sz w:val="22"/>
          <w:szCs w:val="22"/>
          <w:vertAlign w:val="subscript"/>
        </w:rPr>
        <w:tab/>
      </w:r>
      <w:r w:rsidR="003C39E7">
        <w:rPr>
          <w:rFonts w:ascii="Arial" w:hAnsi="Arial" w:cs="Arial"/>
          <w:sz w:val="22"/>
          <w:szCs w:val="22"/>
          <w:vertAlign w:val="subscript"/>
        </w:rPr>
        <w:tab/>
      </w:r>
      <w:r w:rsidR="003C39E7">
        <w:rPr>
          <w:rFonts w:ascii="Arial" w:hAnsi="Arial" w:cs="Arial"/>
          <w:sz w:val="22"/>
          <w:szCs w:val="22"/>
          <w:vertAlign w:val="subscript"/>
        </w:rPr>
        <w:tab/>
        <w:t xml:space="preserve">                 </w:t>
      </w:r>
      <w:r w:rsidR="003C39E7" w:rsidRPr="00F47E01">
        <w:rPr>
          <w:rFonts w:ascii="Arial" w:hAnsi="Arial" w:cs="Arial"/>
          <w:sz w:val="22"/>
          <w:szCs w:val="22"/>
          <w:vertAlign w:val="subscript"/>
        </w:rPr>
        <w:t xml:space="preserve">   </w:t>
      </w:r>
      <w:r w:rsidR="003C39E7" w:rsidRPr="00FA715C">
        <w:rPr>
          <w:rFonts w:ascii="Arial" w:hAnsi="Arial" w:cs="Arial"/>
          <w:sz w:val="22"/>
          <w:szCs w:val="22"/>
        </w:rPr>
        <w:t>(3.</w:t>
      </w:r>
      <w:r w:rsidR="00187849">
        <w:rPr>
          <w:rFonts w:ascii="Arial" w:hAnsi="Arial" w:cs="Arial"/>
          <w:sz w:val="22"/>
          <w:szCs w:val="22"/>
        </w:rPr>
        <w:t>3</w:t>
      </w:r>
      <w:r w:rsidR="003C39E7" w:rsidRPr="00FA715C">
        <w:rPr>
          <w:rFonts w:ascii="Arial" w:hAnsi="Arial" w:cs="Arial"/>
          <w:sz w:val="22"/>
          <w:szCs w:val="22"/>
        </w:rPr>
        <w:t>)</w:t>
      </w:r>
    </w:p>
    <w:p w14:paraId="4E34BFB2" w14:textId="5059C8F3" w:rsidR="00810600" w:rsidRPr="00F47E01" w:rsidRDefault="00810600" w:rsidP="0066301C">
      <w:pPr>
        <w:spacing w:line="360" w:lineRule="auto"/>
        <w:jc w:val="both"/>
        <w:rPr>
          <w:rFonts w:ascii="Arial" w:hAnsi="Arial" w:cs="Arial"/>
        </w:rPr>
      </w:pPr>
      <w:r w:rsidRPr="00F47E01">
        <w:rPr>
          <w:rFonts w:ascii="Arial" w:hAnsi="Arial" w:cs="Arial"/>
        </w:rPr>
        <w:t xml:space="preserve">The </w:t>
      </w:r>
      <w:r w:rsidRPr="57585719">
        <w:rPr>
          <w:rFonts w:ascii="Arial" w:hAnsi="Arial" w:cs="Arial"/>
          <w:i/>
          <w:iCs/>
        </w:rPr>
        <w:t>cm</w:t>
      </w:r>
      <w:r w:rsidRPr="00F47E01">
        <w:rPr>
          <w:rFonts w:ascii="Arial" w:hAnsi="Arial" w:cs="Arial"/>
        </w:rPr>
        <w:t xml:space="preserve"> is a sum of the transitory and random errors. Because the current values of the economic fundamentals could deviate from the sustainable (long-term) value, it is necessary to analyse the total misalignment</w:t>
      </w:r>
      <w:r w:rsidR="00D137C6">
        <w:rPr>
          <w:rFonts w:ascii="Arial" w:hAnsi="Arial" w:cs="Arial"/>
        </w:rPr>
        <w:t xml:space="preserve"> (</w:t>
      </w:r>
      <w:r w:rsidR="00D137C6">
        <w:rPr>
          <w:rFonts w:ascii="Arial" w:hAnsi="Arial" w:cs="Arial"/>
          <w:i/>
          <w:iCs/>
        </w:rPr>
        <w:t>tm</w:t>
      </w:r>
      <w:r w:rsidR="00D137C6">
        <w:rPr>
          <w:rFonts w:ascii="Arial" w:hAnsi="Arial" w:cs="Arial"/>
        </w:rPr>
        <w:t>)</w:t>
      </w:r>
      <w:r w:rsidRPr="00F47E01">
        <w:rPr>
          <w:rFonts w:ascii="Arial" w:hAnsi="Arial" w:cs="Arial"/>
        </w:rPr>
        <w:t>. The total misalignment is the deviation of the actual real effective exchange rate (REER) from the equilibrium real effective exchange rate (EREER)</w:t>
      </w:r>
      <w:r>
        <w:rPr>
          <w:rFonts w:ascii="Arial" w:hAnsi="Arial" w:cs="Arial"/>
        </w:rPr>
        <w:t>.</w:t>
      </w:r>
      <w:r w:rsidRPr="00F47E01">
        <w:rPr>
          <w:rStyle w:val="FootnoteReference"/>
          <w:rFonts w:ascii="Arial" w:hAnsi="Arial" w:cs="Arial"/>
        </w:rPr>
        <w:footnoteReference w:id="59"/>
      </w:r>
      <w:r w:rsidRPr="00F47E01">
        <w:rPr>
          <w:rFonts w:ascii="Arial" w:hAnsi="Arial" w:cs="Arial"/>
        </w:rPr>
        <w:t xml:space="preserve"> For this to be estimate</w:t>
      </w:r>
      <w:r w:rsidR="00161066">
        <w:rPr>
          <w:rFonts w:ascii="Arial" w:hAnsi="Arial" w:cs="Arial"/>
        </w:rPr>
        <w:t>d</w:t>
      </w:r>
      <w:r w:rsidRPr="00F47E01">
        <w:rPr>
          <w:rFonts w:ascii="Arial" w:hAnsi="Arial" w:cs="Arial"/>
        </w:rPr>
        <w:t xml:space="preserve">, </w:t>
      </w:r>
      <w:r w:rsidRPr="57585719">
        <w:rPr>
          <w:rFonts w:ascii="Arial" w:hAnsi="Arial" w:cs="Arial"/>
          <w:i/>
          <w:iCs/>
        </w:rPr>
        <w:t>Z</w:t>
      </w:r>
      <w:r w:rsidRPr="00F47E01">
        <w:rPr>
          <w:rFonts w:ascii="Arial" w:hAnsi="Arial" w:cs="Arial"/>
        </w:rPr>
        <w:t xml:space="preserve"> is replaced with the equilibrium (long-term) values of the </w:t>
      </w:r>
      <w:r w:rsidR="007162DA" w:rsidRPr="00F47E01">
        <w:rPr>
          <w:rFonts w:ascii="Arial" w:hAnsi="Arial" w:cs="Arial"/>
        </w:rPr>
        <w:t>fundamentals</w:t>
      </w:r>
      <m:oMath>
        <m:r>
          <w:rPr>
            <w:rFonts w:ascii="Cambria Math" w:hAnsi="Cambria Math" w:cs="Arial"/>
          </w:rPr>
          <m:t xml:space="preserve"> </m:t>
        </m:r>
        <m:acc>
          <m:accPr>
            <m:chr m:val="̅"/>
            <m:ctrlPr>
              <w:rPr>
                <w:rFonts w:ascii="Cambria Math" w:hAnsi="Cambria Math" w:cs="Arial"/>
                <w:i/>
              </w:rPr>
            </m:ctrlPr>
          </m:accPr>
          <m:e>
            <m:r>
              <w:rPr>
                <w:rFonts w:ascii="Cambria Math" w:hAnsi="Cambria Math" w:cs="Arial"/>
              </w:rPr>
              <m:t>Z</m:t>
            </m:r>
          </m:e>
        </m:acc>
      </m:oMath>
      <w:r w:rsidR="007162DA" w:rsidRPr="00F47E01">
        <w:rPr>
          <w:rFonts w:ascii="Arial" w:hAnsi="Arial" w:cs="Arial"/>
        </w:rPr>
        <w:t>.</w:t>
      </w:r>
      <w:r w:rsidR="00C8298B">
        <w:rPr>
          <w:rFonts w:ascii="Arial" w:hAnsi="Arial" w:cs="Arial"/>
        </w:rPr>
        <w:t xml:space="preserve"> </w:t>
      </w:r>
      <w:r w:rsidRPr="00F47E01">
        <w:rPr>
          <w:rFonts w:ascii="Arial" w:hAnsi="Arial" w:cs="Arial"/>
        </w:rPr>
        <w:t>That is, the to</w:t>
      </w:r>
      <w:r>
        <w:rPr>
          <w:rFonts w:ascii="Arial" w:hAnsi="Arial" w:cs="Arial"/>
        </w:rPr>
        <w:t xml:space="preserve">tal equilibrium exchange rate </w:t>
      </w:r>
      <w:r w:rsidR="002F08B3">
        <w:rPr>
          <w:rFonts w:ascii="Arial" w:hAnsi="Arial" w:cs="Arial"/>
        </w:rPr>
        <w:t xml:space="preserve">is </w:t>
      </w:r>
      <w:r w:rsidRPr="00F47E01">
        <w:rPr>
          <w:rFonts w:ascii="Arial" w:hAnsi="Arial" w:cs="Arial"/>
        </w:rPr>
        <w:t>estimated by filtering the fundamentals from speculative and cyclical factors. The calibration of the fundamentals at their desired level is attain</w:t>
      </w:r>
      <w:r w:rsidR="00C34E26">
        <w:rPr>
          <w:rFonts w:ascii="Arial" w:hAnsi="Arial" w:cs="Arial"/>
        </w:rPr>
        <w:t>ed</w:t>
      </w:r>
      <w:r w:rsidRPr="00F47E01">
        <w:rPr>
          <w:rFonts w:ascii="Arial" w:hAnsi="Arial" w:cs="Arial"/>
        </w:rPr>
        <w:t xml:space="preserve"> by using </w:t>
      </w:r>
      <w:r w:rsidR="00C34E26">
        <w:rPr>
          <w:rFonts w:ascii="Arial" w:hAnsi="Arial" w:cs="Arial"/>
        </w:rPr>
        <w:t xml:space="preserve">a </w:t>
      </w:r>
      <w:r w:rsidRPr="00F47E01">
        <w:rPr>
          <w:rFonts w:ascii="Arial" w:hAnsi="Arial" w:cs="Arial"/>
        </w:rPr>
        <w:t>statistical filter such as Hodrick-Prescott (HP) filter</w:t>
      </w:r>
      <w:r w:rsidR="00B81AF6" w:rsidRPr="00F47E01">
        <w:rPr>
          <w:rStyle w:val="FootnoteReference"/>
          <w:rFonts w:ascii="Arial" w:hAnsi="Arial" w:cs="Arial"/>
        </w:rPr>
        <w:footnoteReference w:id="60"/>
      </w:r>
      <w:r w:rsidR="00B81AF6">
        <w:rPr>
          <w:rFonts w:ascii="Arial" w:hAnsi="Arial" w:cs="Arial"/>
        </w:rPr>
        <w:t>, a Granger-Gonzalo decomposition or a Beveridge Nelson decomposition</w:t>
      </w:r>
      <w:r>
        <w:rPr>
          <w:rFonts w:ascii="Arial" w:hAnsi="Arial" w:cs="Arial"/>
        </w:rPr>
        <w:t>.</w:t>
      </w:r>
    </w:p>
    <w:p w14:paraId="61AA5CD1" w14:textId="6DB76626" w:rsidR="00461B16" w:rsidRDefault="00810600" w:rsidP="0066301C">
      <w:pPr>
        <w:pStyle w:val="i"/>
        <w:spacing w:before="0"/>
        <w:rPr>
          <w:rFonts w:ascii="Arial" w:hAnsi="Arial" w:cs="Arial"/>
          <w:sz w:val="22"/>
          <w:szCs w:val="22"/>
        </w:rPr>
      </w:pPr>
      <w:r w:rsidRPr="00F47E01">
        <w:rPr>
          <w:rFonts w:ascii="Arial" w:hAnsi="Arial" w:cs="Arial"/>
          <w:sz w:val="22"/>
          <w:szCs w:val="22"/>
        </w:rPr>
        <w:t>The Hodrick-Prescott (HP) filter with a smoothing factor of 100 is used to smooth the variables.</w:t>
      </w:r>
      <w:r w:rsidRPr="00F47E01">
        <w:rPr>
          <w:rStyle w:val="FootnoteReference"/>
          <w:rFonts w:ascii="Arial" w:hAnsi="Arial" w:cs="Arial"/>
          <w:sz w:val="22"/>
          <w:szCs w:val="22"/>
        </w:rPr>
        <w:footnoteReference w:id="61"/>
      </w:r>
      <w:r w:rsidRPr="00F47E01">
        <w:rPr>
          <w:rFonts w:ascii="Arial" w:hAnsi="Arial" w:cs="Arial"/>
          <w:sz w:val="22"/>
          <w:szCs w:val="22"/>
        </w:rPr>
        <w:t xml:space="preserve"> The HP filtering for the data is achieve</w:t>
      </w:r>
      <w:r w:rsidR="00C34E26">
        <w:rPr>
          <w:rFonts w:ascii="Arial" w:hAnsi="Arial" w:cs="Arial"/>
          <w:sz w:val="22"/>
          <w:szCs w:val="22"/>
        </w:rPr>
        <w:t>d</w:t>
      </w:r>
      <w:r w:rsidRPr="00F47E01">
        <w:rPr>
          <w:rFonts w:ascii="Arial" w:hAnsi="Arial" w:cs="Arial"/>
          <w:sz w:val="22"/>
          <w:szCs w:val="22"/>
        </w:rPr>
        <w:t xml:space="preserve"> by using Eviews1</w:t>
      </w:r>
      <w:r w:rsidR="00CB2365">
        <w:rPr>
          <w:rFonts w:ascii="Arial" w:hAnsi="Arial" w:cs="Arial"/>
          <w:sz w:val="22"/>
          <w:szCs w:val="22"/>
        </w:rPr>
        <w:t>2</w:t>
      </w:r>
      <w:r w:rsidRPr="00F47E01">
        <w:rPr>
          <w:rFonts w:ascii="Arial" w:hAnsi="Arial" w:cs="Arial"/>
          <w:sz w:val="22"/>
          <w:szCs w:val="22"/>
        </w:rPr>
        <w:t xml:space="preserve"> econometric software application to </w:t>
      </w:r>
      <w:r w:rsidRPr="00F47E01">
        <w:rPr>
          <w:rFonts w:ascii="Arial" w:hAnsi="Arial" w:cs="Arial"/>
          <w:sz w:val="22"/>
          <w:szCs w:val="22"/>
        </w:rPr>
        <w:lastRenderedPageBreak/>
        <w:t>get the sustainable or long-term equilibrium exchange rate (BEER or EREER).</w:t>
      </w:r>
      <w:r>
        <w:rPr>
          <w:rFonts w:ascii="Arial" w:hAnsi="Arial" w:cs="Arial"/>
          <w:sz w:val="22"/>
          <w:szCs w:val="22"/>
        </w:rPr>
        <w:t xml:space="preserve"> </w:t>
      </w:r>
      <w:r w:rsidRPr="57585719">
        <w:rPr>
          <w:rFonts w:ascii="Arial" w:hAnsi="Arial" w:cs="Arial"/>
          <w:sz w:val="22"/>
          <w:szCs w:val="22"/>
        </w:rPr>
        <w:t>The difference between the REER and EREER (BEER) is the exchange rate misalignment.</w:t>
      </w:r>
      <w:r w:rsidRPr="57585719">
        <w:rPr>
          <w:rFonts w:ascii="Arial" w:hAnsi="Arial" w:cs="Arial"/>
          <w:i/>
          <w:iCs/>
        </w:rPr>
        <w:t xml:space="preserve"> </w:t>
      </w:r>
      <w:r w:rsidR="00461B16" w:rsidRPr="00F47E01">
        <w:rPr>
          <w:rFonts w:ascii="Arial" w:hAnsi="Arial" w:cs="Arial"/>
          <w:sz w:val="22"/>
          <w:szCs w:val="22"/>
        </w:rPr>
        <w:t xml:space="preserve">Thus, the total misalignment will encompass both the current misalignment and the misalignment between the actual and the long-term fundamentals: </w:t>
      </w:r>
    </w:p>
    <w:p w14:paraId="7C222C23" w14:textId="2B2E4DAF" w:rsidR="00BD5767" w:rsidRPr="00F47E01" w:rsidRDefault="00000000" w:rsidP="0066301C">
      <w:pPr>
        <w:pStyle w:val="i"/>
        <w:spacing w:before="0"/>
        <w:jc w:val="center"/>
        <w:rPr>
          <w:rFonts w:ascii="Arial" w:hAnsi="Arial" w:cs="Arial"/>
          <w:sz w:val="22"/>
          <w:szCs w:val="22"/>
        </w:rPr>
      </w:pPr>
      <m:oMath>
        <m:sSub>
          <m:sSubPr>
            <m:ctrlPr>
              <w:rPr>
                <w:rFonts w:ascii="Cambria Math" w:hAnsi="Cambria Math" w:cs="Arial"/>
                <w:i/>
                <w:sz w:val="22"/>
                <w:szCs w:val="22"/>
              </w:rPr>
            </m:ctrlPr>
          </m:sSubPr>
          <m:e>
            <m:r>
              <w:rPr>
                <w:rFonts w:ascii="Cambria Math" w:hAnsi="Cambria Math" w:cs="Arial"/>
                <w:sz w:val="22"/>
                <w:szCs w:val="22"/>
              </w:rPr>
              <m:t>tm</m:t>
            </m:r>
          </m:e>
          <m:sub>
            <m:r>
              <w:rPr>
                <w:rFonts w:ascii="Cambria Math" w:hAnsi="Cambria Math" w:cs="Arial"/>
                <w:sz w:val="22"/>
                <w:szCs w:val="22"/>
                <w:vertAlign w:val="subscript"/>
              </w:rPr>
              <m:t>t</m:t>
            </m:r>
          </m:sub>
        </m:sSub>
        <m:r>
          <w:rPr>
            <w:rFonts w:ascii="Cambria Math" w:hAnsi="Cambria Math" w:cs="Arial"/>
            <w:sz w:val="22"/>
            <w:szCs w:val="22"/>
          </w:rPr>
          <m:t>=</m:t>
        </m:r>
        <m:sSub>
          <m:sSubPr>
            <m:ctrlPr>
              <w:rPr>
                <w:rFonts w:ascii="Cambria Math" w:hAnsi="Cambria Math" w:cs="Arial"/>
                <w:sz w:val="22"/>
                <w:szCs w:val="22"/>
              </w:rPr>
            </m:ctrlPr>
          </m:sSubPr>
          <m:e>
            <m:r>
              <w:rPr>
                <w:rFonts w:ascii="Cambria Math" w:hAnsi="Cambria Math" w:cs="Arial"/>
                <w:sz w:val="22"/>
                <w:szCs w:val="22"/>
              </w:rPr>
              <m:t>q</m:t>
            </m:r>
          </m:e>
          <m:sub>
            <m:r>
              <w:rPr>
                <w:rFonts w:ascii="Cambria Math" w:eastAsia="Segoe UI Symbol" w:hAnsi="Cambria Math" w:cs="Arial"/>
                <w:sz w:val="22"/>
                <w:szCs w:val="22"/>
                <w:vertAlign w:val="subscript"/>
              </w:rPr>
              <m:t>t</m:t>
            </m:r>
          </m:sub>
        </m:sSub>
        <m:r>
          <w:rPr>
            <w:rFonts w:ascii="Cambria Math" w:hAnsi="Cambria Math" w:cs="Arial"/>
            <w:sz w:val="22"/>
            <w:szCs w:val="22"/>
          </w:rPr>
          <m:t>-</m:t>
        </m:r>
        <m:r>
          <w:rPr>
            <w:rFonts w:ascii="Cambria Math" w:eastAsia="Segoe UI Symbol" w:hAnsi="Cambria Math" w:cs="Arial"/>
            <w:sz w:val="22"/>
            <w:szCs w:val="22"/>
          </w:rPr>
          <m:t>β</m:t>
        </m:r>
        <m:r>
          <m:rPr>
            <m:sty m:val="p"/>
          </m:rPr>
          <w:rPr>
            <w:rFonts w:ascii="Cambria Math" w:hAnsi="Cambria Math" w:cs="Arial"/>
            <w:sz w:val="22"/>
            <w:szCs w:val="22"/>
            <w:vertAlign w:val="superscript"/>
          </w:rPr>
          <m:t>'</m:t>
        </m:r>
        <m:sSub>
          <m:sSubPr>
            <m:ctrlPr>
              <w:rPr>
                <w:rFonts w:ascii="Cambria Math" w:hAnsi="Cambria Math" w:cs="Arial"/>
                <w:i/>
                <w:sz w:val="22"/>
                <w:szCs w:val="22"/>
                <w:vertAlign w:val="subscript"/>
              </w:rPr>
            </m:ctrlPr>
          </m:sSubPr>
          <m:e>
            <m:acc>
              <m:accPr>
                <m:chr m:val="̅"/>
                <m:ctrlPr>
                  <w:rPr>
                    <w:rFonts w:ascii="Cambria Math" w:hAnsi="Cambria Math" w:cs="Arial"/>
                    <w:i/>
                    <w:sz w:val="22"/>
                    <w:szCs w:val="22"/>
                  </w:rPr>
                </m:ctrlPr>
              </m:accPr>
              <m:e>
                <m:r>
                  <w:rPr>
                    <w:rFonts w:ascii="Cambria Math" w:hAnsi="Cambria Math" w:cs="Arial"/>
                    <w:sz w:val="22"/>
                    <w:szCs w:val="22"/>
                  </w:rPr>
                  <m:t>Z</m:t>
                </m:r>
              </m:e>
            </m:acc>
          </m:e>
          <m:sub>
            <m:r>
              <w:rPr>
                <w:rFonts w:ascii="Cambria Math" w:hAnsi="Cambria Math" w:cs="Arial"/>
                <w:sz w:val="22"/>
                <w:szCs w:val="22"/>
                <w:vertAlign w:val="subscript"/>
              </w:rPr>
              <m:t>t</m:t>
            </m:r>
          </m:sub>
        </m:sSub>
        <m:r>
          <w:rPr>
            <w:rFonts w:ascii="Cambria Math" w:hAnsi="Cambria Math" w:cs="Arial"/>
            <w:sz w:val="22"/>
            <w:szCs w:val="22"/>
          </w:rPr>
          <m:t xml:space="preserve"> </m:t>
        </m:r>
      </m:oMath>
      <w:r w:rsidR="00BD5767">
        <w:rPr>
          <w:rFonts w:ascii="Arial" w:hAnsi="Arial" w:cs="Arial"/>
          <w:sz w:val="22"/>
          <w:szCs w:val="22"/>
        </w:rPr>
        <w:t xml:space="preserve">                                                                                </w:t>
      </w:r>
      <w:r w:rsidR="00BD5767" w:rsidRPr="008533BE">
        <w:rPr>
          <w:rFonts w:ascii="Arial" w:hAnsi="Arial" w:cs="Arial"/>
          <w:sz w:val="22"/>
          <w:szCs w:val="22"/>
        </w:rPr>
        <w:t>(</w:t>
      </w:r>
      <w:r w:rsidR="00BD5767">
        <w:rPr>
          <w:rFonts w:ascii="Arial" w:hAnsi="Arial" w:cs="Arial"/>
          <w:sz w:val="22"/>
          <w:szCs w:val="22"/>
        </w:rPr>
        <w:t>3</w:t>
      </w:r>
      <w:r w:rsidR="00BD5767" w:rsidRPr="008533BE">
        <w:rPr>
          <w:rFonts w:ascii="Arial" w:hAnsi="Arial" w:cs="Arial"/>
          <w:sz w:val="22"/>
          <w:szCs w:val="22"/>
        </w:rPr>
        <w:t>.</w:t>
      </w:r>
      <w:r w:rsidR="00BD5767">
        <w:rPr>
          <w:rFonts w:ascii="Arial" w:hAnsi="Arial" w:cs="Arial"/>
          <w:sz w:val="22"/>
          <w:szCs w:val="22"/>
        </w:rPr>
        <w:t>4</w:t>
      </w:r>
      <w:r w:rsidR="00BD5767" w:rsidRPr="008533BE">
        <w:rPr>
          <w:rFonts w:ascii="Arial" w:hAnsi="Arial" w:cs="Arial"/>
          <w:sz w:val="22"/>
          <w:szCs w:val="22"/>
        </w:rPr>
        <w:t>)</w:t>
      </w:r>
    </w:p>
    <w:p w14:paraId="1D4D5341" w14:textId="46042A95" w:rsidR="00122D52" w:rsidRPr="00122D52" w:rsidRDefault="00122D52" w:rsidP="0066301C">
      <w:pPr>
        <w:pStyle w:val="i"/>
        <w:spacing w:before="0"/>
        <w:rPr>
          <w:rFonts w:ascii="Arial" w:hAnsi="Arial" w:cs="Arial"/>
          <w:sz w:val="22"/>
          <w:szCs w:val="22"/>
        </w:rPr>
      </w:pPr>
    </w:p>
    <w:p w14:paraId="345114FF" w14:textId="409C6489" w:rsidR="00122D52" w:rsidRPr="00187849" w:rsidRDefault="00122D52" w:rsidP="0066301C">
      <w:pPr>
        <w:pStyle w:val="i"/>
        <w:spacing w:before="0"/>
        <w:rPr>
          <w:rFonts w:ascii="Arial" w:hAnsi="Arial" w:cs="Arial"/>
          <w:sz w:val="22"/>
          <w:szCs w:val="22"/>
        </w:rPr>
      </w:pPr>
      <w:r w:rsidRPr="00187849">
        <w:rPr>
          <w:rFonts w:ascii="Arial" w:hAnsi="Arial" w:cs="Arial"/>
          <w:sz w:val="22"/>
          <w:szCs w:val="22"/>
        </w:rPr>
        <w:t xml:space="preserve">By adding and subtracting </w:t>
      </w:r>
      <m:oMath>
        <m:sSubSup>
          <m:sSubSupPr>
            <m:ctrlPr>
              <w:rPr>
                <w:rFonts w:ascii="Cambria Math" w:eastAsia="Segoe UI Symbol" w:hAnsi="Cambria Math" w:cs="Arial"/>
                <w:i/>
                <w:sz w:val="22"/>
                <w:szCs w:val="22"/>
              </w:rPr>
            </m:ctrlPr>
          </m:sSubSupPr>
          <m:e>
            <m:r>
              <w:rPr>
                <w:rFonts w:ascii="Cambria Math" w:eastAsia="Segoe UI Symbol" w:hAnsi="Cambria Math" w:cs="Arial"/>
                <w:sz w:val="22"/>
                <w:szCs w:val="22"/>
              </w:rPr>
              <m:t>q</m:t>
            </m:r>
          </m:e>
          <m:sub>
            <m:r>
              <w:rPr>
                <w:rFonts w:ascii="Cambria Math" w:eastAsia="Segoe UI Symbol" w:hAnsi="Cambria Math" w:cs="Arial"/>
                <w:sz w:val="22"/>
                <w:szCs w:val="22"/>
              </w:rPr>
              <m:t>t</m:t>
            </m:r>
          </m:sub>
          <m:sup>
            <m:r>
              <w:rPr>
                <w:rFonts w:ascii="Cambria Math" w:eastAsia="Segoe UI Symbol" w:hAnsi="Cambria Math" w:cs="Arial"/>
                <w:sz w:val="22"/>
                <w:szCs w:val="22"/>
              </w:rPr>
              <m:t>'</m:t>
            </m:r>
          </m:sup>
        </m:sSubSup>
      </m:oMath>
      <w:r w:rsidR="00187849" w:rsidRPr="00187849">
        <w:rPr>
          <w:rFonts w:ascii="Arial" w:hAnsi="Arial" w:cs="Arial"/>
          <w:sz w:val="22"/>
          <w:szCs w:val="22"/>
        </w:rPr>
        <w:t xml:space="preserve"> from the right-hand side of the above equation, the total misalignment could be decomposed into two components.</w:t>
      </w:r>
    </w:p>
    <w:p w14:paraId="5FB7A999" w14:textId="4B7FB0C5" w:rsidR="00461B16" w:rsidRPr="00F47E01" w:rsidRDefault="00000000" w:rsidP="0066301C">
      <w:pPr>
        <w:pStyle w:val="i"/>
        <w:spacing w:before="0"/>
        <w:jc w:val="center"/>
        <w:rPr>
          <w:rFonts w:ascii="Arial" w:hAnsi="Arial" w:cs="Arial"/>
          <w:sz w:val="22"/>
          <w:szCs w:val="22"/>
        </w:rPr>
      </w:pPr>
      <m:oMath>
        <m:sSub>
          <m:sSubPr>
            <m:ctrlPr>
              <w:rPr>
                <w:rFonts w:ascii="Cambria Math" w:hAnsi="Cambria Math" w:cs="Arial"/>
                <w:i/>
                <w:sz w:val="22"/>
                <w:szCs w:val="22"/>
              </w:rPr>
            </m:ctrlPr>
          </m:sSubPr>
          <m:e>
            <m:r>
              <w:rPr>
                <w:rFonts w:ascii="Cambria Math" w:hAnsi="Cambria Math" w:cs="Arial"/>
                <w:sz w:val="22"/>
                <w:szCs w:val="22"/>
              </w:rPr>
              <m:t>tm</m:t>
            </m:r>
          </m:e>
          <m:sub>
            <m:r>
              <w:rPr>
                <w:rFonts w:ascii="Cambria Math" w:hAnsi="Cambria Math" w:cs="Arial"/>
                <w:sz w:val="22"/>
                <w:szCs w:val="22"/>
                <w:vertAlign w:val="subscript"/>
              </w:rPr>
              <m:t>t</m:t>
            </m:r>
          </m:sub>
        </m:sSub>
        <m:r>
          <w:rPr>
            <w:rFonts w:ascii="Cambria Math" w:hAnsi="Cambria Math" w:cs="Arial"/>
            <w:sz w:val="22"/>
            <w:szCs w:val="22"/>
          </w:rPr>
          <m:t>=</m:t>
        </m:r>
        <m:r>
          <m:rPr>
            <m:sty m:val="p"/>
          </m:rPr>
          <w:rPr>
            <w:rFonts w:ascii="Cambria Math" w:hAnsi="Cambria Math" w:cs="Arial"/>
            <w:sz w:val="22"/>
            <w:szCs w:val="22"/>
          </w:rPr>
          <m:t>(</m:t>
        </m:r>
        <m:sSub>
          <m:sSubPr>
            <m:ctrlPr>
              <w:rPr>
                <w:rFonts w:ascii="Cambria Math" w:hAnsi="Cambria Math" w:cs="Arial"/>
                <w:sz w:val="22"/>
                <w:szCs w:val="22"/>
              </w:rPr>
            </m:ctrlPr>
          </m:sSubPr>
          <m:e>
            <m:r>
              <w:rPr>
                <w:rFonts w:ascii="Cambria Math" w:hAnsi="Cambria Math" w:cs="Arial"/>
                <w:sz w:val="22"/>
                <w:szCs w:val="22"/>
              </w:rPr>
              <m:t>q</m:t>
            </m:r>
          </m:e>
          <m:sub>
            <m:r>
              <w:rPr>
                <w:rFonts w:ascii="Cambria Math" w:eastAsia="Segoe UI Symbol" w:hAnsi="Cambria Math" w:cs="Arial"/>
                <w:sz w:val="22"/>
                <w:szCs w:val="22"/>
                <w:vertAlign w:val="subscript"/>
              </w:rPr>
              <m:t>t</m:t>
            </m:r>
          </m:sub>
        </m:sSub>
        <m:r>
          <w:rPr>
            <w:rFonts w:ascii="Cambria Math" w:eastAsia="Segoe UI Symbol" w:hAnsi="Cambria Math" w:cs="Arial"/>
            <w:sz w:val="22"/>
            <w:szCs w:val="22"/>
          </w:rPr>
          <m:t>-</m:t>
        </m:r>
        <m:sSub>
          <m:sSubPr>
            <m:ctrlPr>
              <w:rPr>
                <w:rFonts w:ascii="Cambria Math" w:eastAsia="Segoe UI Symbol" w:hAnsi="Cambria Math" w:cs="Arial"/>
                <w:i/>
                <w:sz w:val="22"/>
                <w:szCs w:val="22"/>
              </w:rPr>
            </m:ctrlPr>
          </m:sSubPr>
          <m:e>
            <m:r>
              <w:rPr>
                <w:rFonts w:ascii="Cambria Math" w:hAnsi="Cambria Math" w:cs="Arial"/>
                <w:sz w:val="22"/>
                <w:szCs w:val="22"/>
              </w:rPr>
              <m:t>q</m:t>
            </m:r>
            <m:r>
              <w:rPr>
                <w:rFonts w:ascii="Cambria Math" w:eastAsia="Segoe UI Symbol" w:hAnsi="Cambria Math" w:cs="Arial"/>
                <w:sz w:val="22"/>
                <w:szCs w:val="22"/>
                <w:vertAlign w:val="superscript"/>
              </w:rPr>
              <m:t>'</m:t>
            </m:r>
          </m:e>
          <m:sub>
            <m:r>
              <w:rPr>
                <w:rFonts w:ascii="Cambria Math" w:eastAsia="Segoe UI Symbol" w:hAnsi="Cambria Math" w:cs="Arial"/>
                <w:sz w:val="22"/>
                <w:szCs w:val="22"/>
                <w:vertAlign w:val="subscript"/>
              </w:rPr>
              <m:t>t</m:t>
            </m:r>
          </m:sub>
        </m:sSub>
        <m:r>
          <m:rPr>
            <m:sty m:val="p"/>
          </m:rPr>
          <w:rPr>
            <w:rFonts w:ascii="Cambria Math" w:eastAsia="Segoe UI Symbol" w:hAnsi="Cambria Math" w:cs="Arial"/>
            <w:sz w:val="22"/>
            <w:szCs w:val="22"/>
          </w:rPr>
          <m:t>)+</m:t>
        </m:r>
        <m:r>
          <w:rPr>
            <w:rFonts w:ascii="Cambria Math" w:eastAsia="Segoe UI Symbol" w:hAnsi="Cambria Math" w:cs="Arial"/>
            <w:sz w:val="22"/>
            <w:szCs w:val="22"/>
          </w:rPr>
          <m:t>β</m:t>
        </m:r>
        <m:r>
          <m:rPr>
            <m:sty m:val="p"/>
          </m:rPr>
          <w:rPr>
            <w:rFonts w:ascii="Cambria Math" w:hAnsi="Cambria Math" w:cs="Arial"/>
            <w:sz w:val="22"/>
            <w:szCs w:val="22"/>
            <w:vertAlign w:val="superscript"/>
          </w:rPr>
          <m:t>'</m:t>
        </m:r>
        <m:r>
          <m:rPr>
            <m:sty m:val="p"/>
          </m:rPr>
          <w:rPr>
            <w:rFonts w:ascii="Cambria Math" w:hAnsi="Cambria Math" w:cs="Arial"/>
            <w:sz w:val="22"/>
            <w:szCs w:val="22"/>
          </w:rPr>
          <m:t>(</m:t>
        </m:r>
        <m:sSub>
          <m:sSubPr>
            <m:ctrlPr>
              <w:rPr>
                <w:rFonts w:ascii="Cambria Math" w:hAnsi="Cambria Math" w:cs="Arial"/>
                <w:i/>
                <w:sz w:val="22"/>
                <w:szCs w:val="22"/>
              </w:rPr>
            </m:ctrlPr>
          </m:sSubPr>
          <m:e>
            <m:r>
              <w:rPr>
                <w:rFonts w:ascii="Cambria Math" w:hAnsi="Cambria Math" w:cs="Arial"/>
                <w:sz w:val="22"/>
                <w:szCs w:val="22"/>
              </w:rPr>
              <m:t>Z</m:t>
            </m:r>
          </m:e>
          <m:sub>
            <m:r>
              <w:rPr>
                <w:rFonts w:ascii="Cambria Math" w:hAnsi="Cambria Math" w:cs="Arial"/>
                <w:sz w:val="22"/>
                <w:szCs w:val="22"/>
                <w:vertAlign w:val="subscript"/>
              </w:rPr>
              <m:t>t</m:t>
            </m:r>
          </m:sub>
        </m:sSub>
        <m:r>
          <w:rPr>
            <w:rFonts w:ascii="Cambria Math" w:eastAsia="Segoe UI Symbol" w:hAnsi="Cambria Math" w:cs="Arial"/>
            <w:sz w:val="22"/>
            <w:szCs w:val="22"/>
          </w:rPr>
          <m:t>–</m:t>
        </m:r>
        <m:sSub>
          <m:sSubPr>
            <m:ctrlPr>
              <w:rPr>
                <w:rFonts w:ascii="Cambria Math" w:hAnsi="Cambria Math" w:cs="Arial"/>
                <w:i/>
                <w:sz w:val="22"/>
                <w:szCs w:val="22"/>
                <w:vertAlign w:val="subscript"/>
              </w:rPr>
            </m:ctrlPr>
          </m:sSubPr>
          <m:e>
            <m:acc>
              <m:accPr>
                <m:chr m:val="̅"/>
                <m:ctrlPr>
                  <w:rPr>
                    <w:rFonts w:ascii="Cambria Math" w:hAnsi="Cambria Math" w:cs="Arial"/>
                    <w:i/>
                    <w:sz w:val="22"/>
                    <w:szCs w:val="22"/>
                  </w:rPr>
                </m:ctrlPr>
              </m:accPr>
              <m:e>
                <m:r>
                  <w:rPr>
                    <w:rFonts w:ascii="Cambria Math" w:hAnsi="Cambria Math" w:cs="Arial"/>
                    <w:sz w:val="22"/>
                    <w:szCs w:val="22"/>
                  </w:rPr>
                  <m:t>Z</m:t>
                </m:r>
              </m:e>
            </m:acc>
          </m:e>
          <m:sub>
            <m:r>
              <w:rPr>
                <w:rFonts w:ascii="Cambria Math" w:hAnsi="Cambria Math" w:cs="Arial"/>
                <w:sz w:val="22"/>
                <w:szCs w:val="22"/>
                <w:vertAlign w:val="subscript"/>
              </w:rPr>
              <m:t>t</m:t>
            </m:r>
          </m:sub>
        </m:sSub>
        <m:r>
          <m:rPr>
            <m:sty m:val="p"/>
          </m:rPr>
          <w:rPr>
            <w:rFonts w:ascii="Cambria Math" w:hAnsi="Cambria Math" w:cs="Arial"/>
            <w:sz w:val="22"/>
            <w:szCs w:val="22"/>
          </w:rPr>
          <m:t xml:space="preserve">) </m:t>
        </m:r>
      </m:oMath>
      <w:r w:rsidR="00461B16" w:rsidRPr="00F47E01">
        <w:rPr>
          <w:rFonts w:ascii="Arial" w:hAnsi="Arial" w:cs="Arial"/>
          <w:sz w:val="22"/>
          <w:szCs w:val="22"/>
        </w:rPr>
        <w:tab/>
      </w:r>
      <w:r w:rsidR="00461B16">
        <w:rPr>
          <w:rFonts w:ascii="Arial" w:hAnsi="Arial" w:cs="Arial"/>
          <w:sz w:val="22"/>
          <w:szCs w:val="22"/>
        </w:rPr>
        <w:tab/>
      </w:r>
      <w:r w:rsidR="00461B16">
        <w:rPr>
          <w:rFonts w:ascii="Arial" w:hAnsi="Arial" w:cs="Arial"/>
          <w:sz w:val="22"/>
          <w:szCs w:val="22"/>
        </w:rPr>
        <w:tab/>
      </w:r>
      <w:r w:rsidR="00461B16">
        <w:rPr>
          <w:rFonts w:ascii="Arial" w:hAnsi="Arial" w:cs="Arial"/>
          <w:sz w:val="22"/>
          <w:szCs w:val="22"/>
        </w:rPr>
        <w:tab/>
        <w:t xml:space="preserve">                       </w:t>
      </w:r>
      <w:r w:rsidR="00461B16" w:rsidRPr="008533BE">
        <w:rPr>
          <w:rFonts w:ascii="Arial" w:hAnsi="Arial" w:cs="Arial"/>
          <w:sz w:val="22"/>
          <w:szCs w:val="22"/>
        </w:rPr>
        <w:t>(</w:t>
      </w:r>
      <w:r w:rsidR="00461B16">
        <w:rPr>
          <w:rFonts w:ascii="Arial" w:hAnsi="Arial" w:cs="Arial"/>
          <w:sz w:val="22"/>
          <w:szCs w:val="22"/>
        </w:rPr>
        <w:t>3</w:t>
      </w:r>
      <w:r w:rsidR="00461B16" w:rsidRPr="008533BE">
        <w:rPr>
          <w:rFonts w:ascii="Arial" w:hAnsi="Arial" w:cs="Arial"/>
          <w:sz w:val="22"/>
          <w:szCs w:val="22"/>
        </w:rPr>
        <w:t>.</w:t>
      </w:r>
      <w:r w:rsidR="00BD5767">
        <w:rPr>
          <w:rFonts w:ascii="Arial" w:hAnsi="Arial" w:cs="Arial"/>
          <w:sz w:val="22"/>
          <w:szCs w:val="22"/>
        </w:rPr>
        <w:t>5</w:t>
      </w:r>
      <w:r w:rsidR="00461B16" w:rsidRPr="008533BE">
        <w:rPr>
          <w:rFonts w:ascii="Arial" w:hAnsi="Arial" w:cs="Arial"/>
          <w:sz w:val="22"/>
          <w:szCs w:val="22"/>
        </w:rPr>
        <w:t>)</w:t>
      </w:r>
    </w:p>
    <w:p w14:paraId="23F22D19" w14:textId="77777777" w:rsidR="00461B16" w:rsidRPr="00F47E01" w:rsidRDefault="00461B16" w:rsidP="0066301C">
      <w:pPr>
        <w:pStyle w:val="ListParagraph"/>
        <w:autoSpaceDE w:val="0"/>
        <w:autoSpaceDN w:val="0"/>
        <w:adjustRightInd w:val="0"/>
        <w:spacing w:line="360" w:lineRule="auto"/>
        <w:ind w:left="0"/>
        <w:rPr>
          <w:rFonts w:ascii="Arial" w:hAnsi="Arial" w:cs="Arial"/>
        </w:rPr>
      </w:pPr>
      <w:r w:rsidRPr="00F47E01">
        <w:rPr>
          <w:rFonts w:ascii="Arial" w:hAnsi="Arial" w:cs="Arial"/>
        </w:rPr>
        <w:t xml:space="preserve">Because </w:t>
      </w:r>
      <m:oMath>
        <m:sSub>
          <m:sSubPr>
            <m:ctrlPr>
              <w:rPr>
                <w:rFonts w:ascii="Cambria Math" w:eastAsia="Segoe UI Symbol" w:hAnsi="Cambria Math" w:cs="Arial"/>
              </w:rPr>
            </m:ctrlPr>
          </m:sSubPr>
          <m:e>
            <m:r>
              <w:rPr>
                <w:rFonts w:ascii="Cambria Math" w:eastAsia="Segoe UI Symbol" w:hAnsi="Cambria Math" w:cs="Arial"/>
              </w:rPr>
              <m:t>q</m:t>
            </m:r>
          </m:e>
          <m:sub>
            <m:r>
              <w:rPr>
                <w:rFonts w:ascii="Cambria Math" w:eastAsia="Segoe UI Symbol" w:hAnsi="Cambria Math" w:cs="Arial"/>
                <w:vertAlign w:val="subscript"/>
              </w:rPr>
              <m:t>t</m:t>
            </m:r>
          </m:sub>
        </m:sSub>
        <m:r>
          <w:rPr>
            <w:rFonts w:ascii="Cambria Math" w:eastAsia="Segoe UI Symbol" w:hAnsi="Cambria Math" w:cs="Arial"/>
          </w:rPr>
          <m:t>-</m:t>
        </m:r>
        <m:sSubSup>
          <m:sSubSupPr>
            <m:ctrlPr>
              <w:rPr>
                <w:rFonts w:ascii="Cambria Math" w:eastAsia="Segoe UI Symbol" w:hAnsi="Cambria Math" w:cs="Arial"/>
                <w:i/>
              </w:rPr>
            </m:ctrlPr>
          </m:sSubSupPr>
          <m:e>
            <m:r>
              <w:rPr>
                <w:rFonts w:ascii="Cambria Math" w:eastAsia="Segoe UI Symbol" w:hAnsi="Cambria Math" w:cs="Arial"/>
              </w:rPr>
              <m:t>q</m:t>
            </m:r>
          </m:e>
          <m:sub>
            <m:r>
              <w:rPr>
                <w:rFonts w:ascii="Cambria Math" w:eastAsia="Segoe UI Symbol" w:hAnsi="Cambria Math" w:cs="Arial"/>
              </w:rPr>
              <m:t>t</m:t>
            </m:r>
          </m:sub>
          <m:sup>
            <m:r>
              <w:rPr>
                <w:rFonts w:ascii="Cambria Math" w:eastAsia="Segoe UI Symbol" w:hAnsi="Cambria Math" w:cs="Arial"/>
              </w:rPr>
              <m:t>'</m:t>
            </m:r>
          </m:sup>
        </m:sSubSup>
        <m:r>
          <m:rPr>
            <m:sty m:val="p"/>
          </m:rPr>
          <w:rPr>
            <w:rFonts w:ascii="Cambria Math" w:hAnsi="Cambria Math" w:cs="Arial"/>
          </w:rPr>
          <m:t>=</m:t>
        </m:r>
        <m:sSub>
          <m:sSubPr>
            <m:ctrlPr>
              <w:rPr>
                <w:rFonts w:ascii="Cambria Math" w:hAnsi="Cambria Math" w:cs="Arial"/>
              </w:rPr>
            </m:ctrlPr>
          </m:sSubPr>
          <m:e>
            <m:sSup>
              <m:sSupPr>
                <m:ctrlPr>
                  <w:rPr>
                    <w:rFonts w:ascii="Cambria Math" w:hAnsi="Cambria Math" w:cs="Arial"/>
                    <w:i/>
                  </w:rPr>
                </m:ctrlPr>
              </m:sSupPr>
              <m:e>
                <m:r>
                  <w:rPr>
                    <w:rFonts w:ascii="Cambria Math" w:hAnsi="Cambria Math" w:cs="Arial"/>
                  </w:rPr>
                  <m:t>θ</m:t>
                </m:r>
              </m:e>
              <m:sup>
                <m:r>
                  <w:rPr>
                    <w:rFonts w:ascii="Cambria Math" w:hAnsi="Cambria Math" w:cs="Arial"/>
                  </w:rPr>
                  <m:t>'</m:t>
                </m:r>
              </m:sup>
            </m:sSup>
            <m:r>
              <w:rPr>
                <w:rFonts w:ascii="Cambria Math" w:hAnsi="Cambria Math" w:cs="Arial"/>
              </w:rPr>
              <m:t>T</m:t>
            </m:r>
          </m:e>
          <m:sub>
            <m:r>
              <w:rPr>
                <w:rFonts w:ascii="Cambria Math" w:hAnsi="Cambria Math" w:cs="Arial"/>
                <w:vertAlign w:val="subscript"/>
              </w:rPr>
              <m:t>t</m:t>
            </m:r>
          </m:sub>
        </m:sSub>
        <m:r>
          <w:rPr>
            <w:rFonts w:ascii="Cambria Math" w:eastAsia="Segoe UI Symbol" w:hAnsi="Cambria Math" w:cs="Arial"/>
          </w:rPr>
          <m:t>+</m:t>
        </m:r>
        <m:sSub>
          <m:sSubPr>
            <m:ctrlPr>
              <w:rPr>
                <w:rFonts w:ascii="Cambria Math" w:eastAsia="Segoe UI Symbol" w:hAnsi="Cambria Math" w:cs="Arial"/>
                <w:i/>
              </w:rPr>
            </m:ctrlPr>
          </m:sSubPr>
          <m:e>
            <m:r>
              <w:rPr>
                <w:rFonts w:ascii="Cambria Math" w:eastAsia="Segoe UI Symbol" w:hAnsi="Cambria Math" w:cs="Arial"/>
              </w:rPr>
              <m:t>ε</m:t>
            </m:r>
          </m:e>
          <m:sub>
            <m:r>
              <w:rPr>
                <w:rFonts w:ascii="Cambria Math" w:hAnsi="Cambria Math" w:cs="Arial"/>
                <w:vertAlign w:val="subscript"/>
              </w:rPr>
              <m:t>t</m:t>
            </m:r>
            <m:r>
              <m:rPr>
                <m:sty m:val="p"/>
              </m:rPr>
              <w:rPr>
                <w:rFonts w:ascii="Cambria Math" w:hAnsi="Cambria Math" w:cs="Arial"/>
              </w:rPr>
              <m:t xml:space="preserve"> </m:t>
            </m:r>
          </m:sub>
        </m:sSub>
        <m:r>
          <w:rPr>
            <w:rFonts w:ascii="Cambria Math" w:eastAsia="Segoe UI Symbol" w:hAnsi="Cambria Math" w:cs="Arial"/>
          </w:rPr>
          <m:t>,</m:t>
        </m:r>
      </m:oMath>
      <w:r>
        <w:rPr>
          <w:rFonts w:ascii="Arial" w:hAnsi="Arial" w:cs="Arial"/>
        </w:rPr>
        <w:t xml:space="preserve"> </w:t>
      </w:r>
      <w:r w:rsidRPr="00F47E01">
        <w:rPr>
          <w:rFonts w:ascii="Arial" w:hAnsi="Arial" w:cs="Arial"/>
        </w:rPr>
        <w:t>the total misalignment in the above equation is re-written as:</w:t>
      </w:r>
    </w:p>
    <w:p w14:paraId="1CB8DBBF" w14:textId="20225693" w:rsidR="00461B16" w:rsidRDefault="00000000" w:rsidP="0066301C">
      <w:pPr>
        <w:pStyle w:val="ListParagraph"/>
        <w:autoSpaceDE w:val="0"/>
        <w:autoSpaceDN w:val="0"/>
        <w:adjustRightInd w:val="0"/>
        <w:spacing w:line="360" w:lineRule="auto"/>
        <w:ind w:left="0"/>
        <w:jc w:val="center"/>
        <w:rPr>
          <w:rFonts w:ascii="Arial" w:eastAsiaTheme="minorEastAsia" w:hAnsi="Arial" w:cs="Arial"/>
        </w:rPr>
      </w:pPr>
      <m:oMath>
        <m:sSub>
          <m:sSubPr>
            <m:ctrlPr>
              <w:rPr>
                <w:rFonts w:ascii="Cambria Math" w:hAnsi="Cambria Math" w:cs="Arial"/>
                <w:i/>
              </w:rPr>
            </m:ctrlPr>
          </m:sSubPr>
          <m:e>
            <m:r>
              <w:rPr>
                <w:rFonts w:ascii="Cambria Math" w:hAnsi="Cambria Math" w:cs="Arial"/>
              </w:rPr>
              <m:t>tm</m:t>
            </m:r>
          </m:e>
          <m:sub>
            <m:r>
              <w:rPr>
                <w:rFonts w:ascii="Cambria Math" w:hAnsi="Cambria Math" w:cs="Arial"/>
                <w:vertAlign w:val="subscript"/>
              </w:rPr>
              <m:t>t</m:t>
            </m:r>
          </m:sub>
        </m:sSub>
        <m:r>
          <w:rPr>
            <w:rFonts w:ascii="Cambria Math" w:hAnsi="Cambria Math" w:cs="Arial"/>
          </w:rPr>
          <m:t>=</m:t>
        </m:r>
        <m:sSub>
          <m:sSubPr>
            <m:ctrlPr>
              <w:rPr>
                <w:rFonts w:ascii="Cambria Math" w:hAnsi="Cambria Math" w:cs="Arial"/>
                <w:i/>
              </w:rPr>
            </m:ctrlPr>
          </m:sSubPr>
          <m:e>
            <m:r>
              <w:rPr>
                <w:rFonts w:ascii="Cambria Math" w:hAnsi="Cambria Math" w:cs="Arial"/>
              </w:rPr>
              <m:t>θ'T</m:t>
            </m:r>
          </m:e>
          <m:sub>
            <m:r>
              <w:rPr>
                <w:rFonts w:ascii="Cambria Math" w:hAnsi="Cambria Math" w:cs="Arial"/>
                <w:vertAlign w:val="subscript"/>
              </w:rPr>
              <m:t>t</m:t>
            </m:r>
          </m:sub>
        </m:sSub>
        <m:r>
          <w:rPr>
            <w:rFonts w:ascii="Cambria Math" w:hAnsi="Cambria Math" w:cs="Arial"/>
          </w:rPr>
          <m:t>+</m:t>
        </m:r>
        <m:sSub>
          <m:sSubPr>
            <m:ctrlPr>
              <w:rPr>
                <w:rFonts w:ascii="Cambria Math" w:hAnsi="Cambria Math" w:cs="Arial"/>
                <w:i/>
              </w:rPr>
            </m:ctrlPr>
          </m:sSubPr>
          <m:e>
            <m:r>
              <w:rPr>
                <w:rFonts w:ascii="Cambria Math" w:eastAsia="Segoe UI Symbol" w:hAnsi="Cambria Math" w:cs="Arial"/>
              </w:rPr>
              <m:t xml:space="preserve"> ε</m:t>
            </m:r>
          </m:e>
          <m:sub>
            <m:r>
              <w:rPr>
                <w:rFonts w:ascii="Cambria Math" w:hAnsi="Cambria Math" w:cs="Arial"/>
                <w:vertAlign w:val="subscript"/>
              </w:rPr>
              <m:t>t</m:t>
            </m:r>
          </m:sub>
        </m:sSub>
        <m:r>
          <w:rPr>
            <w:rFonts w:ascii="Cambria Math" w:hAnsi="Cambria Math" w:cs="Arial"/>
          </w:rPr>
          <m:t>+</m:t>
        </m:r>
        <m:r>
          <w:rPr>
            <w:rFonts w:ascii="Cambria Math" w:eastAsia="Segoe UI Symbol" w:hAnsi="Cambria Math" w:cs="Arial"/>
          </w:rPr>
          <m:t>β</m:t>
        </m:r>
        <m:r>
          <m:rPr>
            <m:sty m:val="p"/>
          </m:rPr>
          <w:rPr>
            <w:rFonts w:ascii="Cambria Math" w:hAnsi="Cambria Math" w:cs="Arial"/>
            <w:vertAlign w:val="superscript"/>
          </w:rPr>
          <m:t>'(</m:t>
        </m:r>
        <m:sSub>
          <m:sSubPr>
            <m:ctrlPr>
              <w:rPr>
                <w:rFonts w:ascii="Cambria Math" w:hAnsi="Cambria Math" w:cs="Arial"/>
                <w:i/>
              </w:rPr>
            </m:ctrlPr>
          </m:sSubPr>
          <m:e>
            <m:r>
              <w:rPr>
                <w:rFonts w:ascii="Cambria Math" w:hAnsi="Cambria Math" w:cs="Arial"/>
              </w:rPr>
              <m:t>Z</m:t>
            </m:r>
          </m:e>
          <m:sub>
            <m:r>
              <w:rPr>
                <w:rFonts w:ascii="Cambria Math" w:hAnsi="Cambria Math" w:cs="Arial"/>
              </w:rPr>
              <m:t>t</m:t>
            </m:r>
          </m:sub>
        </m:sSub>
        <m:r>
          <w:rPr>
            <w:rFonts w:ascii="Cambria Math" w:hAnsi="Cambria Math" w:cs="Arial"/>
          </w:rPr>
          <m:t>-</m:t>
        </m:r>
        <m:sSub>
          <m:sSubPr>
            <m:ctrlPr>
              <w:rPr>
                <w:rFonts w:ascii="Cambria Math" w:hAnsi="Cambria Math" w:cs="Arial"/>
                <w:i/>
                <w:vertAlign w:val="subscript"/>
              </w:rPr>
            </m:ctrlPr>
          </m:sSubPr>
          <m:e>
            <m:acc>
              <m:accPr>
                <m:chr m:val="̅"/>
                <m:ctrlPr>
                  <w:rPr>
                    <w:rFonts w:ascii="Cambria Math" w:hAnsi="Cambria Math" w:cs="Arial"/>
                    <w:i/>
                  </w:rPr>
                </m:ctrlPr>
              </m:accPr>
              <m:e>
                <m:r>
                  <w:rPr>
                    <w:rFonts w:ascii="Cambria Math" w:hAnsi="Cambria Math" w:cs="Arial"/>
                  </w:rPr>
                  <m:t>Z</m:t>
                </m:r>
              </m:e>
            </m:acc>
          </m:e>
          <m:sub>
            <m:r>
              <w:rPr>
                <w:rFonts w:ascii="Cambria Math" w:hAnsi="Cambria Math" w:cs="Arial"/>
                <w:vertAlign w:val="subscript"/>
              </w:rPr>
              <m:t>t</m:t>
            </m:r>
          </m:sub>
        </m:sSub>
        <m:r>
          <m:rPr>
            <m:sty m:val="p"/>
          </m:rPr>
          <w:rPr>
            <w:rFonts w:ascii="Cambria Math" w:hAnsi="Cambria Math" w:cs="Arial"/>
          </w:rPr>
          <m:t>)</m:t>
        </m:r>
      </m:oMath>
      <w:r w:rsidR="00461B16" w:rsidRPr="00F47E01">
        <w:rPr>
          <w:rFonts w:ascii="Arial" w:eastAsiaTheme="minorEastAsia" w:hAnsi="Arial" w:cs="Arial"/>
        </w:rPr>
        <w:tab/>
      </w:r>
      <w:r w:rsidR="00461B16">
        <w:rPr>
          <w:rFonts w:ascii="Arial" w:eastAsiaTheme="minorEastAsia" w:hAnsi="Arial" w:cs="Arial"/>
        </w:rPr>
        <w:tab/>
      </w:r>
      <w:r w:rsidR="00461B16">
        <w:rPr>
          <w:rFonts w:ascii="Arial" w:eastAsiaTheme="minorEastAsia" w:hAnsi="Arial" w:cs="Arial"/>
        </w:rPr>
        <w:tab/>
        <w:t xml:space="preserve">                        </w:t>
      </w:r>
      <w:r w:rsidR="00461B16">
        <w:rPr>
          <w:rFonts w:ascii="Arial" w:eastAsiaTheme="minorEastAsia" w:hAnsi="Arial" w:cs="Arial"/>
        </w:rPr>
        <w:tab/>
      </w:r>
      <w:r w:rsidR="00461B16" w:rsidRPr="00241EC1">
        <w:rPr>
          <w:rFonts w:ascii="Arial" w:eastAsiaTheme="minorEastAsia" w:hAnsi="Arial" w:cs="Arial"/>
        </w:rPr>
        <w:t>(3.</w:t>
      </w:r>
      <w:r w:rsidR="00BD5767">
        <w:rPr>
          <w:rFonts w:ascii="Arial" w:eastAsiaTheme="minorEastAsia" w:hAnsi="Arial" w:cs="Arial"/>
        </w:rPr>
        <w:t>6</w:t>
      </w:r>
      <w:r w:rsidR="00461B16" w:rsidRPr="00241EC1">
        <w:rPr>
          <w:rFonts w:ascii="Arial" w:eastAsiaTheme="minorEastAsia" w:hAnsi="Arial" w:cs="Arial"/>
        </w:rPr>
        <w:t>)</w:t>
      </w:r>
    </w:p>
    <w:p w14:paraId="4D517AD7" w14:textId="4DD363A4" w:rsidR="004C0B92" w:rsidRDefault="004C0B92" w:rsidP="0066301C">
      <w:pPr>
        <w:pStyle w:val="ListParagraph"/>
        <w:autoSpaceDE w:val="0"/>
        <w:autoSpaceDN w:val="0"/>
        <w:adjustRightInd w:val="0"/>
        <w:spacing w:line="360" w:lineRule="auto"/>
        <w:ind w:left="0"/>
        <w:jc w:val="both"/>
        <w:rPr>
          <w:rFonts w:ascii="Arial" w:eastAsiaTheme="minorEastAsia" w:hAnsi="Arial" w:cs="Arial"/>
        </w:rPr>
      </w:pPr>
      <w:r>
        <w:rPr>
          <w:rFonts w:ascii="Arial" w:eastAsiaTheme="minorEastAsia" w:hAnsi="Arial" w:cs="Arial"/>
        </w:rPr>
        <w:t xml:space="preserve">The above equation indicates that the total misalignment at any point in time could be decomposed into the effect of the transitory factors, the random disturbances, and the extent to which the economic fundamentals are away from their sustainable values. Different </w:t>
      </w:r>
      <w:r w:rsidR="008948D2">
        <w:rPr>
          <w:rFonts w:ascii="Arial" w:eastAsiaTheme="minorEastAsia" w:hAnsi="Arial" w:cs="Arial"/>
        </w:rPr>
        <w:t>approaches to the EREER do not necessarily make this distinction explicit. For instant, the FEER approach focuses on the measures of total misalignment, while the Capital Enhanced Equilibrium Exchange Rate (CHEERS) approach focuses on the current misalignment.</w:t>
      </w:r>
    </w:p>
    <w:p w14:paraId="6F1ADC37" w14:textId="513C808E" w:rsidR="00EB7227" w:rsidRDefault="00EB7227" w:rsidP="0066301C">
      <w:pPr>
        <w:pStyle w:val="ListParagraph"/>
        <w:autoSpaceDE w:val="0"/>
        <w:autoSpaceDN w:val="0"/>
        <w:adjustRightInd w:val="0"/>
        <w:spacing w:line="360" w:lineRule="auto"/>
        <w:ind w:left="0"/>
        <w:jc w:val="both"/>
        <w:rPr>
          <w:rFonts w:ascii="Arial" w:eastAsiaTheme="minorEastAsia" w:hAnsi="Arial" w:cs="Arial"/>
        </w:rPr>
      </w:pPr>
      <w:r>
        <w:rPr>
          <w:rFonts w:ascii="Arial" w:eastAsiaTheme="minorEastAsia" w:hAnsi="Arial" w:cs="Arial"/>
        </w:rPr>
        <w:t xml:space="preserve"> </w:t>
      </w:r>
      <w:r w:rsidR="005E3CDC">
        <w:rPr>
          <w:rFonts w:ascii="Arial" w:eastAsiaTheme="minorEastAsia" w:hAnsi="Arial" w:cs="Arial"/>
        </w:rPr>
        <w:t xml:space="preserve">Illustrating this approach, Clark and MacDonald (1998) took the risk adjusted real interest parity relationship, which has been used by numerous researchers to model equilibrium real exchange rates: </w:t>
      </w:r>
    </w:p>
    <w:p w14:paraId="265B5B7D" w14:textId="1481C913" w:rsidR="00EB7227" w:rsidRDefault="00000000" w:rsidP="0066301C">
      <w:pPr>
        <w:pStyle w:val="ListParagraph"/>
        <w:autoSpaceDE w:val="0"/>
        <w:autoSpaceDN w:val="0"/>
        <w:adjustRightInd w:val="0"/>
        <w:spacing w:line="360" w:lineRule="auto"/>
        <w:ind w:left="0"/>
        <w:jc w:val="center"/>
        <w:rPr>
          <w:rFonts w:ascii="Arial" w:eastAsiaTheme="minorEastAsia" w:hAnsi="Arial" w:cs="Arial"/>
        </w:rPr>
      </w:pPr>
      <m:oMath>
        <m:sSubSup>
          <m:sSubSupPr>
            <m:ctrlPr>
              <w:rPr>
                <w:rFonts w:ascii="Cambria Math" w:eastAsiaTheme="minorEastAsia" w:hAnsi="Cambria Math" w:cs="Arial"/>
                <w:i/>
              </w:rPr>
            </m:ctrlPr>
          </m:sSubSupPr>
          <m:e>
            <m:r>
              <w:rPr>
                <w:rFonts w:ascii="Cambria Math" w:eastAsiaTheme="minorEastAsia" w:hAnsi="Cambria Math" w:cs="Arial"/>
              </w:rPr>
              <m:t>∆q</m:t>
            </m:r>
          </m:e>
          <m:sub>
            <m:r>
              <w:rPr>
                <w:rFonts w:ascii="Cambria Math" w:eastAsiaTheme="minorEastAsia" w:hAnsi="Cambria Math" w:cs="Arial"/>
              </w:rPr>
              <m:t xml:space="preserve"> t+k</m:t>
            </m:r>
          </m:sub>
          <m:sup>
            <m:r>
              <m:rPr>
                <m:scr m:val="script"/>
              </m:rPr>
              <w:rPr>
                <w:rFonts w:ascii="Cambria Math" w:eastAsiaTheme="minorEastAsia" w:hAnsi="Cambria Math" w:cs="Arial"/>
              </w:rPr>
              <m:t>e</m:t>
            </m:r>
          </m:sup>
        </m:sSubSup>
        <m:r>
          <w:rPr>
            <w:rFonts w:ascii="Cambria Math" w:eastAsiaTheme="minorEastAsia" w:hAnsi="Cambria Math" w:cs="Arial"/>
          </w:rPr>
          <m:t>=-</m:t>
        </m:r>
        <m:d>
          <m:dPr>
            <m:ctrlPr>
              <w:rPr>
                <w:rFonts w:ascii="Cambria Math" w:eastAsiaTheme="minorEastAsia" w:hAnsi="Cambria Math" w:cs="Arial"/>
                <w:i/>
              </w:rPr>
            </m:ctrlPr>
          </m:dPr>
          <m:e>
            <m:sSubSup>
              <m:sSubSupPr>
                <m:ctrlPr>
                  <w:rPr>
                    <w:rFonts w:ascii="Cambria Math" w:eastAsiaTheme="minorEastAsia" w:hAnsi="Cambria Math" w:cs="Arial"/>
                    <w:i/>
                  </w:rPr>
                </m:ctrlPr>
              </m:sSubSupPr>
              <m:e>
                <m:r>
                  <w:rPr>
                    <w:rFonts w:ascii="Cambria Math" w:eastAsiaTheme="minorEastAsia" w:hAnsi="Cambria Math" w:cs="Arial"/>
                  </w:rPr>
                  <m:t>r</m:t>
                </m:r>
              </m:e>
              <m:sub>
                <m:r>
                  <w:rPr>
                    <w:rFonts w:ascii="Cambria Math" w:eastAsiaTheme="minorEastAsia" w:hAnsi="Cambria Math" w:cs="Arial"/>
                  </w:rPr>
                  <m:t>t,t+k</m:t>
                </m:r>
              </m:sub>
              <m:sup>
                <m:r>
                  <m:rPr>
                    <m:scr m:val="script"/>
                  </m:rPr>
                  <w:rPr>
                    <w:rFonts w:ascii="Cambria Math" w:eastAsiaTheme="minorEastAsia" w:hAnsi="Cambria Math" w:cs="Arial"/>
                  </w:rPr>
                  <m:t>e</m:t>
                </m:r>
              </m:sup>
            </m:sSubSup>
            <m:r>
              <w:rPr>
                <w:rFonts w:ascii="Cambria Math" w:eastAsiaTheme="minorEastAsia" w:hAnsi="Cambria Math" w:cs="Arial"/>
              </w:rPr>
              <m:t>-</m:t>
            </m:r>
            <m:sSubSup>
              <m:sSubSupPr>
                <m:ctrlPr>
                  <w:rPr>
                    <w:rFonts w:ascii="Cambria Math" w:eastAsiaTheme="minorEastAsia" w:hAnsi="Cambria Math" w:cs="Arial"/>
                    <w:i/>
                  </w:rPr>
                </m:ctrlPr>
              </m:sSubSupPr>
              <m:e>
                <m:r>
                  <w:rPr>
                    <w:rFonts w:ascii="Cambria Math" w:eastAsiaTheme="minorEastAsia" w:hAnsi="Cambria Math" w:cs="Arial"/>
                  </w:rPr>
                  <m:t>r</m:t>
                </m:r>
              </m:e>
              <m:sub>
                <m:r>
                  <w:rPr>
                    <w:rFonts w:ascii="Cambria Math" w:eastAsiaTheme="minorEastAsia" w:hAnsi="Cambria Math" w:cs="Arial"/>
                  </w:rPr>
                  <m:t>t,t+k</m:t>
                </m:r>
              </m:sub>
              <m:sup>
                <m:r>
                  <m:rPr>
                    <m:scr m:val="script"/>
                  </m:rPr>
                  <w:rPr>
                    <w:rFonts w:ascii="Cambria Math" w:eastAsiaTheme="minorEastAsia" w:hAnsi="Cambria Math" w:cs="Arial"/>
                  </w:rPr>
                  <m:t>*e</m:t>
                </m:r>
              </m:sup>
            </m:sSubSup>
          </m:e>
        </m:d>
        <m:r>
          <w:rPr>
            <w:rFonts w:ascii="Cambria Math" w:eastAsiaTheme="minorEastAsia" w:hAnsi="Cambria Math" w:cs="Arial"/>
          </w:rPr>
          <m:t>+</m:t>
        </m:r>
        <m:sSub>
          <m:sSubPr>
            <m:ctrlPr>
              <w:rPr>
                <w:rFonts w:ascii="Cambria Math" w:eastAsiaTheme="minorEastAsia" w:hAnsi="Cambria Math" w:cs="Arial"/>
                <w:i/>
              </w:rPr>
            </m:ctrlPr>
          </m:sSubPr>
          <m:e>
            <m:r>
              <w:rPr>
                <w:rFonts w:ascii="Cambria Math" w:eastAsiaTheme="minorEastAsia" w:hAnsi="Cambria Math" w:cs="Arial"/>
              </w:rPr>
              <m:t>λ</m:t>
            </m:r>
          </m:e>
          <m:sub>
            <m:r>
              <w:rPr>
                <w:rFonts w:ascii="Cambria Math" w:eastAsiaTheme="minorEastAsia" w:hAnsi="Cambria Math" w:cs="Arial"/>
              </w:rPr>
              <m:t>t</m:t>
            </m:r>
          </m:sub>
        </m:sSub>
      </m:oMath>
      <w:r w:rsidR="00EB7227">
        <w:rPr>
          <w:rFonts w:ascii="Arial" w:eastAsiaTheme="minorEastAsia" w:hAnsi="Arial" w:cs="Arial"/>
        </w:rPr>
        <w:tab/>
        <w:t xml:space="preserve">      </w:t>
      </w:r>
      <w:r w:rsidR="005E3CDC">
        <w:rPr>
          <w:rFonts w:ascii="Arial" w:eastAsiaTheme="minorEastAsia" w:hAnsi="Arial" w:cs="Arial"/>
        </w:rPr>
        <w:t xml:space="preserve">           </w:t>
      </w:r>
      <w:r w:rsidR="00EB7227">
        <w:rPr>
          <w:rFonts w:ascii="Arial" w:eastAsiaTheme="minorEastAsia" w:hAnsi="Arial" w:cs="Arial"/>
        </w:rPr>
        <w:t xml:space="preserve">                  </w:t>
      </w:r>
      <w:r w:rsidR="00DD3EDE">
        <w:rPr>
          <w:rFonts w:ascii="Arial" w:eastAsiaTheme="minorEastAsia" w:hAnsi="Arial" w:cs="Arial"/>
        </w:rPr>
        <w:t xml:space="preserve">  </w:t>
      </w:r>
      <w:r w:rsidR="00EB7227">
        <w:rPr>
          <w:rFonts w:ascii="Arial" w:eastAsiaTheme="minorEastAsia" w:hAnsi="Arial" w:cs="Arial"/>
        </w:rPr>
        <w:t xml:space="preserve">         </w:t>
      </w:r>
      <w:r w:rsidR="00EB7227" w:rsidRPr="00241EC1">
        <w:rPr>
          <w:rFonts w:ascii="Arial" w:eastAsiaTheme="minorEastAsia" w:hAnsi="Arial" w:cs="Arial"/>
        </w:rPr>
        <w:t>(3.</w:t>
      </w:r>
      <w:r w:rsidR="00BD5767">
        <w:rPr>
          <w:rFonts w:ascii="Arial" w:eastAsiaTheme="minorEastAsia" w:hAnsi="Arial" w:cs="Arial"/>
        </w:rPr>
        <w:t>7</w:t>
      </w:r>
      <w:r w:rsidR="00EB7227" w:rsidRPr="00241EC1">
        <w:rPr>
          <w:rFonts w:ascii="Arial" w:eastAsiaTheme="minorEastAsia" w:hAnsi="Arial" w:cs="Arial"/>
        </w:rPr>
        <w:t>)</w:t>
      </w:r>
    </w:p>
    <w:p w14:paraId="55AA7659" w14:textId="71622499" w:rsidR="00501026" w:rsidRDefault="005E3CDC" w:rsidP="0066301C">
      <w:pPr>
        <w:pStyle w:val="ListParagraph"/>
        <w:autoSpaceDE w:val="0"/>
        <w:autoSpaceDN w:val="0"/>
        <w:adjustRightInd w:val="0"/>
        <w:spacing w:line="360" w:lineRule="auto"/>
        <w:ind w:left="0"/>
        <w:jc w:val="both"/>
        <w:rPr>
          <w:rFonts w:ascii="Arial" w:eastAsiaTheme="minorEastAsia" w:hAnsi="Arial" w:cs="Arial"/>
        </w:rPr>
      </w:pPr>
      <w:r>
        <w:rPr>
          <w:rFonts w:ascii="Arial" w:eastAsiaTheme="minorEastAsia" w:hAnsi="Arial" w:cs="Arial"/>
        </w:rPr>
        <w:t xml:space="preserve">Whereby: </w:t>
      </w:r>
      <m:oMath>
        <m:sSubSup>
          <m:sSubSupPr>
            <m:ctrlPr>
              <w:rPr>
                <w:rFonts w:ascii="Cambria Math" w:eastAsiaTheme="minorEastAsia" w:hAnsi="Cambria Math" w:cs="Arial"/>
                <w:i/>
              </w:rPr>
            </m:ctrlPr>
          </m:sSubSupPr>
          <m:e>
            <m:r>
              <w:rPr>
                <w:rFonts w:ascii="Cambria Math" w:eastAsiaTheme="minorEastAsia" w:hAnsi="Cambria Math" w:cs="Arial"/>
              </w:rPr>
              <m:t>∆q</m:t>
            </m:r>
          </m:e>
          <m:sub>
            <m:r>
              <w:rPr>
                <w:rFonts w:ascii="Cambria Math" w:eastAsiaTheme="minorEastAsia" w:hAnsi="Cambria Math" w:cs="Arial"/>
              </w:rPr>
              <m:t xml:space="preserve"> t+k</m:t>
            </m:r>
          </m:sub>
          <m:sup>
            <m:r>
              <m:rPr>
                <m:scr m:val="script"/>
              </m:rPr>
              <w:rPr>
                <w:rFonts w:ascii="Cambria Math" w:eastAsiaTheme="minorEastAsia" w:hAnsi="Cambria Math" w:cs="Arial"/>
              </w:rPr>
              <m:t>e</m:t>
            </m:r>
          </m:sup>
        </m:sSubSup>
      </m:oMath>
      <w:r>
        <w:rPr>
          <w:rFonts w:ascii="Arial" w:eastAsiaTheme="minorEastAsia" w:hAnsi="Arial" w:cs="Arial"/>
        </w:rPr>
        <w:t xml:space="preserve"> is the difference between the R</w:t>
      </w:r>
      <w:r w:rsidR="008B4FE4">
        <w:rPr>
          <w:rFonts w:ascii="Arial" w:eastAsiaTheme="minorEastAsia" w:hAnsi="Arial" w:cs="Arial"/>
        </w:rPr>
        <w:t>E</w:t>
      </w:r>
      <w:r>
        <w:rPr>
          <w:rFonts w:ascii="Arial" w:eastAsiaTheme="minorEastAsia" w:hAnsi="Arial" w:cs="Arial"/>
        </w:rPr>
        <w:t xml:space="preserve">R expected in </w:t>
      </w:r>
      <w:r>
        <w:rPr>
          <w:rFonts w:ascii="Arial" w:eastAsiaTheme="minorEastAsia" w:hAnsi="Arial" w:cs="Arial"/>
          <w:i/>
          <w:iCs/>
        </w:rPr>
        <w:t xml:space="preserve">t </w:t>
      </w:r>
      <w:r>
        <w:rPr>
          <w:rFonts w:ascii="Arial" w:eastAsiaTheme="minorEastAsia" w:hAnsi="Arial" w:cs="Arial"/>
        </w:rPr>
        <w:t xml:space="preserve">for </w:t>
      </w:r>
      <m:oMath>
        <m:r>
          <w:rPr>
            <w:rFonts w:ascii="Cambria Math" w:eastAsiaTheme="minorEastAsia" w:hAnsi="Cambria Math" w:cs="Arial"/>
          </w:rPr>
          <m:t xml:space="preserve">t+k </m:t>
        </m:r>
      </m:oMath>
      <w:r>
        <w:rPr>
          <w:rFonts w:ascii="Arial" w:eastAsiaTheme="minorEastAsia" w:hAnsi="Arial" w:cs="Arial"/>
          <w:i/>
          <w:iCs/>
        </w:rPr>
        <w:t xml:space="preserve"> </w:t>
      </w:r>
      <m:oMath>
        <m:sSubSup>
          <m:sSubSupPr>
            <m:ctrlPr>
              <w:rPr>
                <w:rFonts w:ascii="Cambria Math" w:eastAsiaTheme="minorEastAsia" w:hAnsi="Cambria Math" w:cs="Arial"/>
                <w:i/>
              </w:rPr>
            </m:ctrlPr>
          </m:sSubSupPr>
          <m:e>
            <m:r>
              <w:rPr>
                <w:rFonts w:ascii="Cambria Math" w:eastAsiaTheme="minorEastAsia" w:hAnsi="Cambria Math" w:cs="Arial"/>
              </w:rPr>
              <m:t>(q</m:t>
            </m:r>
          </m:e>
          <m:sub>
            <m:r>
              <w:rPr>
                <w:rFonts w:ascii="Cambria Math" w:eastAsiaTheme="minorEastAsia" w:hAnsi="Cambria Math" w:cs="Arial"/>
              </w:rPr>
              <m:t>t, t+k</m:t>
            </m:r>
          </m:sub>
          <m:sup>
            <m:r>
              <m:rPr>
                <m:scr m:val="script"/>
              </m:rPr>
              <w:rPr>
                <w:rFonts w:ascii="Cambria Math" w:eastAsiaTheme="minorEastAsia" w:hAnsi="Cambria Math" w:cs="Arial"/>
              </w:rPr>
              <m:t>e</m:t>
            </m:r>
          </m:sup>
        </m:sSubSup>
        <m:r>
          <w:rPr>
            <w:rFonts w:ascii="Cambria Math" w:eastAsiaTheme="minorEastAsia" w:hAnsi="Cambria Math" w:cs="Arial"/>
          </w:rPr>
          <m:t>)</m:t>
        </m:r>
      </m:oMath>
      <w:r w:rsidR="00980F13">
        <w:rPr>
          <w:rFonts w:ascii="Arial" w:eastAsiaTheme="minorEastAsia" w:hAnsi="Arial" w:cs="Arial"/>
          <w:iCs/>
        </w:rPr>
        <w:t xml:space="preserve"> and the observed R</w:t>
      </w:r>
      <w:r w:rsidR="008B4FE4">
        <w:rPr>
          <w:rFonts w:ascii="Arial" w:eastAsiaTheme="minorEastAsia" w:hAnsi="Arial" w:cs="Arial"/>
          <w:iCs/>
        </w:rPr>
        <w:t>E</w:t>
      </w:r>
      <w:r w:rsidR="00980F13">
        <w:rPr>
          <w:rFonts w:ascii="Arial" w:eastAsiaTheme="minorEastAsia" w:hAnsi="Arial" w:cs="Arial"/>
          <w:iCs/>
        </w:rPr>
        <w:t xml:space="preserve">R in period </w:t>
      </w:r>
      <w:r w:rsidR="00980F13" w:rsidRPr="00980F13">
        <w:rPr>
          <w:rFonts w:ascii="Arial" w:eastAsiaTheme="minorEastAsia" w:hAnsi="Arial" w:cs="Arial"/>
          <w:i/>
        </w:rPr>
        <w:t>t</w:t>
      </w:r>
      <w:r w:rsidR="00980F13">
        <w:rPr>
          <w:rFonts w:ascii="Arial" w:eastAsiaTheme="minorEastAsia" w:hAnsi="Arial" w:cs="Arial"/>
          <w:iCs/>
        </w:rPr>
        <w:t xml:space="preserve">, </w:t>
      </w:r>
      <m:oMath>
        <m:sSub>
          <m:sSubPr>
            <m:ctrlPr>
              <w:rPr>
                <w:rFonts w:ascii="Cambria Math" w:hAnsi="Cambria Math" w:cs="Arial"/>
              </w:rPr>
            </m:ctrlPr>
          </m:sSubPr>
          <m:e>
            <m:r>
              <w:rPr>
                <w:rFonts w:ascii="Cambria Math" w:hAnsi="Cambria Math" w:cs="Arial"/>
              </w:rPr>
              <m:t>q</m:t>
            </m:r>
          </m:e>
          <m:sub>
            <m:r>
              <w:rPr>
                <w:rFonts w:ascii="Cambria Math" w:eastAsia="Segoe UI Symbol" w:hAnsi="Cambria Math" w:cs="Arial"/>
                <w:vertAlign w:val="subscript"/>
              </w:rPr>
              <m:t>t</m:t>
            </m:r>
          </m:sub>
        </m:sSub>
      </m:oMath>
      <w:r w:rsidR="00980F13">
        <w:rPr>
          <w:rFonts w:ascii="Arial" w:eastAsiaTheme="minorEastAsia" w:hAnsi="Arial" w:cs="Arial"/>
        </w:rPr>
        <w:t xml:space="preserve">, where the latter is defined as the foreign currency price of a unit of domestic currency and a rise denotes an appreciation, </w:t>
      </w:r>
      <m:oMath>
        <m:sSubSup>
          <m:sSubSupPr>
            <m:ctrlPr>
              <w:rPr>
                <w:rFonts w:ascii="Cambria Math" w:eastAsiaTheme="minorEastAsia" w:hAnsi="Cambria Math" w:cs="Arial"/>
                <w:i/>
              </w:rPr>
            </m:ctrlPr>
          </m:sSubSupPr>
          <m:e>
            <m:r>
              <w:rPr>
                <w:rFonts w:ascii="Cambria Math" w:eastAsiaTheme="minorEastAsia" w:hAnsi="Cambria Math" w:cs="Arial"/>
              </w:rPr>
              <m:t>r</m:t>
            </m:r>
          </m:e>
          <m:sub>
            <m:r>
              <w:rPr>
                <w:rFonts w:ascii="Cambria Math" w:eastAsiaTheme="minorEastAsia" w:hAnsi="Cambria Math" w:cs="Arial"/>
              </w:rPr>
              <m:t>t,t+k</m:t>
            </m:r>
          </m:sub>
          <m:sup>
            <m:r>
              <m:rPr>
                <m:scr m:val="script"/>
              </m:rPr>
              <w:rPr>
                <w:rFonts w:ascii="Cambria Math" w:eastAsiaTheme="minorEastAsia" w:hAnsi="Cambria Math" w:cs="Arial"/>
              </w:rPr>
              <m:t>e</m:t>
            </m:r>
          </m:sup>
        </m:sSubSup>
      </m:oMath>
      <w:r w:rsidR="00980F13">
        <w:rPr>
          <w:rFonts w:ascii="Arial" w:eastAsiaTheme="minorEastAsia" w:hAnsi="Arial" w:cs="Arial"/>
        </w:rPr>
        <w:t xml:space="preserve"> is the ex-ante real interest rate </w:t>
      </w:r>
      <m:oMath>
        <m:d>
          <m:dPr>
            <m:ctrlPr>
              <w:rPr>
                <w:rFonts w:ascii="Cambria Math" w:eastAsiaTheme="minorEastAsia" w:hAnsi="Cambria Math" w:cs="Arial"/>
                <w:i/>
              </w:rPr>
            </m:ctrlPr>
          </m:dPr>
          <m:e>
            <m:sSubSup>
              <m:sSubSupPr>
                <m:ctrlPr>
                  <w:rPr>
                    <w:rFonts w:ascii="Cambria Math" w:eastAsiaTheme="minorEastAsia" w:hAnsi="Cambria Math" w:cs="Arial"/>
                    <w:i/>
                  </w:rPr>
                </m:ctrlPr>
              </m:sSubSupPr>
              <m:e>
                <m:r>
                  <w:rPr>
                    <w:rFonts w:ascii="Cambria Math" w:eastAsiaTheme="minorEastAsia" w:hAnsi="Cambria Math" w:cs="Arial"/>
                  </w:rPr>
                  <m:t>r</m:t>
                </m:r>
              </m:e>
              <m:sub>
                <m:r>
                  <w:rPr>
                    <w:rFonts w:ascii="Cambria Math" w:eastAsiaTheme="minorEastAsia" w:hAnsi="Cambria Math" w:cs="Arial"/>
                  </w:rPr>
                  <m:t>t,t+k</m:t>
                </m:r>
              </m:sub>
              <m:sup>
                <m:r>
                  <m:rPr>
                    <m:scr m:val="script"/>
                  </m:rPr>
                  <w:rPr>
                    <w:rFonts w:ascii="Cambria Math" w:eastAsiaTheme="minorEastAsia" w:hAnsi="Cambria Math" w:cs="Arial"/>
                  </w:rPr>
                  <m:t>e</m:t>
                </m:r>
              </m:sup>
            </m:sSubSup>
            <m:r>
              <w:rPr>
                <w:rFonts w:ascii="Cambria Math" w:eastAsiaTheme="minorEastAsia" w:hAnsi="Cambria Math" w:cs="Arial"/>
              </w:rPr>
              <m:t>=</m:t>
            </m:r>
            <m:sSub>
              <m:sSubPr>
                <m:ctrlPr>
                  <w:rPr>
                    <w:rFonts w:ascii="Cambria Math" w:eastAsiaTheme="minorEastAsia" w:hAnsi="Cambria Math" w:cs="Arial"/>
                    <w:i/>
                  </w:rPr>
                </m:ctrlPr>
              </m:sSubPr>
              <m:e>
                <m:r>
                  <w:rPr>
                    <w:rFonts w:ascii="Cambria Math" w:eastAsiaTheme="minorEastAsia" w:hAnsi="Cambria Math" w:cs="Arial"/>
                  </w:rPr>
                  <m:t>i</m:t>
                </m:r>
              </m:e>
              <m:sub>
                <m:r>
                  <w:rPr>
                    <w:rFonts w:ascii="Cambria Math" w:eastAsiaTheme="minorEastAsia" w:hAnsi="Cambria Math" w:cs="Arial"/>
                  </w:rPr>
                  <m:t>t</m:t>
                </m:r>
              </m:sub>
            </m:sSub>
            <m:r>
              <w:rPr>
                <w:rFonts w:ascii="Cambria Math" w:eastAsiaTheme="minorEastAsia" w:hAnsi="Cambria Math" w:cs="Arial"/>
              </w:rPr>
              <m:t>-</m:t>
            </m:r>
            <m:sSubSup>
              <m:sSubSupPr>
                <m:ctrlPr>
                  <w:rPr>
                    <w:rFonts w:ascii="Cambria Math" w:eastAsiaTheme="minorEastAsia" w:hAnsi="Cambria Math" w:cs="Arial"/>
                    <w:i/>
                  </w:rPr>
                </m:ctrlPr>
              </m:sSubSupPr>
              <m:e>
                <m:r>
                  <w:rPr>
                    <w:rFonts w:ascii="Cambria Math" w:eastAsiaTheme="minorEastAsia" w:hAnsi="Cambria Math" w:cs="Arial"/>
                  </w:rPr>
                  <m:t>∆p</m:t>
                </m:r>
              </m:e>
              <m:sub>
                <m:r>
                  <w:rPr>
                    <w:rFonts w:ascii="Cambria Math" w:eastAsiaTheme="minorEastAsia" w:hAnsi="Cambria Math" w:cs="Arial"/>
                  </w:rPr>
                  <m:t>t+k</m:t>
                </m:r>
              </m:sub>
              <m:sup>
                <m:r>
                  <m:rPr>
                    <m:scr m:val="script"/>
                  </m:rPr>
                  <w:rPr>
                    <w:rFonts w:ascii="Cambria Math" w:eastAsiaTheme="minorEastAsia" w:hAnsi="Cambria Math" w:cs="Arial"/>
                  </w:rPr>
                  <m:t>e</m:t>
                </m:r>
              </m:sup>
            </m:sSubSup>
          </m:e>
        </m:d>
      </m:oMath>
      <w:r w:rsidR="00980F13">
        <w:rPr>
          <w:rFonts w:ascii="Arial" w:eastAsiaTheme="minorEastAsia" w:hAnsi="Arial" w:cs="Arial"/>
        </w:rPr>
        <w:t xml:space="preserve">. An asterisk denotes a foreign magnitude and </w:t>
      </w:r>
      <m:oMath>
        <m:sSub>
          <m:sSubPr>
            <m:ctrlPr>
              <w:rPr>
                <w:rFonts w:ascii="Cambria Math" w:eastAsiaTheme="minorEastAsia" w:hAnsi="Cambria Math" w:cs="Arial"/>
                <w:i/>
              </w:rPr>
            </m:ctrlPr>
          </m:sSubPr>
          <m:e>
            <m:r>
              <w:rPr>
                <w:rFonts w:ascii="Cambria Math" w:eastAsiaTheme="minorEastAsia" w:hAnsi="Cambria Math" w:cs="Arial"/>
              </w:rPr>
              <m:t>λ</m:t>
            </m:r>
          </m:e>
          <m:sub>
            <m:r>
              <w:rPr>
                <w:rFonts w:ascii="Cambria Math" w:eastAsiaTheme="minorEastAsia" w:hAnsi="Cambria Math" w:cs="Arial"/>
              </w:rPr>
              <m:t>t</m:t>
            </m:r>
          </m:sub>
        </m:sSub>
      </m:oMath>
      <w:r w:rsidR="00980F13">
        <w:rPr>
          <w:rFonts w:ascii="Arial" w:eastAsiaTheme="minorEastAsia" w:hAnsi="Arial" w:cs="Arial"/>
        </w:rPr>
        <w:t xml:space="preserve"> is a measure of the risk premium, usually assumed to be a function of relative bond supplies.</w:t>
      </w:r>
      <w:r w:rsidR="00BD5767">
        <w:rPr>
          <w:rFonts w:ascii="Arial" w:eastAsiaTheme="minorEastAsia" w:hAnsi="Arial" w:cs="Arial"/>
        </w:rPr>
        <w:t xml:space="preserve"> Equation (3.7) could be rearranged as an expression for the RER as: </w:t>
      </w:r>
    </w:p>
    <w:p w14:paraId="1ED93C1B" w14:textId="501D969F" w:rsidR="00501026" w:rsidRDefault="00000000" w:rsidP="0066301C">
      <w:pPr>
        <w:pStyle w:val="ListParagraph"/>
        <w:autoSpaceDE w:val="0"/>
        <w:autoSpaceDN w:val="0"/>
        <w:adjustRightInd w:val="0"/>
        <w:spacing w:line="360" w:lineRule="auto"/>
        <w:ind w:left="0"/>
        <w:jc w:val="center"/>
        <w:rPr>
          <w:rFonts w:ascii="Arial" w:eastAsiaTheme="minorEastAsia" w:hAnsi="Arial" w:cs="Arial"/>
        </w:rPr>
      </w:pPr>
      <m:oMath>
        <m:sSubSup>
          <m:sSubSupPr>
            <m:ctrlPr>
              <w:rPr>
                <w:rFonts w:ascii="Cambria Math" w:eastAsiaTheme="minorEastAsia" w:hAnsi="Cambria Math" w:cs="Arial"/>
                <w:i/>
              </w:rPr>
            </m:ctrlPr>
          </m:sSubSupPr>
          <m:e>
            <m:sSub>
              <m:sSubPr>
                <m:ctrlPr>
                  <w:rPr>
                    <w:rFonts w:ascii="Cambria Math" w:hAnsi="Cambria Math" w:cs="Arial"/>
                  </w:rPr>
                </m:ctrlPr>
              </m:sSubPr>
              <m:e>
                <m:r>
                  <w:rPr>
                    <w:rFonts w:ascii="Cambria Math" w:hAnsi="Cambria Math" w:cs="Arial"/>
                  </w:rPr>
                  <m:t>q</m:t>
                </m:r>
              </m:e>
              <m:sub>
                <m:r>
                  <w:rPr>
                    <w:rFonts w:ascii="Cambria Math" w:eastAsia="Segoe UI Symbol" w:hAnsi="Cambria Math" w:cs="Arial"/>
                    <w:vertAlign w:val="subscript"/>
                  </w:rPr>
                  <m:t>t</m:t>
                </m:r>
              </m:sub>
            </m:sSub>
            <m:r>
              <w:rPr>
                <w:rFonts w:ascii="Cambria Math" w:eastAsiaTheme="minorEastAsia" w:hAnsi="Cambria Math" w:cs="Arial"/>
              </w:rPr>
              <m:t>=q</m:t>
            </m:r>
          </m:e>
          <m:sub>
            <m:r>
              <w:rPr>
                <w:rFonts w:ascii="Cambria Math" w:eastAsiaTheme="minorEastAsia" w:hAnsi="Cambria Math" w:cs="Arial"/>
              </w:rPr>
              <m:t>t, t+k</m:t>
            </m:r>
          </m:sub>
          <m:sup>
            <m:r>
              <m:rPr>
                <m:scr m:val="script"/>
              </m:rPr>
              <w:rPr>
                <w:rFonts w:ascii="Cambria Math" w:eastAsiaTheme="minorEastAsia" w:hAnsi="Cambria Math" w:cs="Arial"/>
              </w:rPr>
              <m:t>e</m:t>
            </m:r>
          </m:sup>
        </m:sSubSup>
        <m:r>
          <w:rPr>
            <w:rFonts w:ascii="Cambria Math" w:eastAsiaTheme="minorEastAsia" w:hAnsi="Cambria Math" w:cs="Arial"/>
          </w:rPr>
          <m:t>+</m:t>
        </m:r>
        <m:d>
          <m:dPr>
            <m:ctrlPr>
              <w:rPr>
                <w:rFonts w:ascii="Cambria Math" w:eastAsiaTheme="minorEastAsia" w:hAnsi="Cambria Math" w:cs="Arial"/>
                <w:i/>
              </w:rPr>
            </m:ctrlPr>
          </m:dPr>
          <m:e>
            <m:sSubSup>
              <m:sSubSupPr>
                <m:ctrlPr>
                  <w:rPr>
                    <w:rFonts w:ascii="Cambria Math" w:eastAsiaTheme="minorEastAsia" w:hAnsi="Cambria Math" w:cs="Arial"/>
                    <w:i/>
                  </w:rPr>
                </m:ctrlPr>
              </m:sSubSupPr>
              <m:e>
                <m:r>
                  <w:rPr>
                    <w:rFonts w:ascii="Cambria Math" w:eastAsiaTheme="minorEastAsia" w:hAnsi="Cambria Math" w:cs="Arial"/>
                  </w:rPr>
                  <m:t>r</m:t>
                </m:r>
              </m:e>
              <m:sub>
                <m:r>
                  <w:rPr>
                    <w:rFonts w:ascii="Cambria Math" w:eastAsiaTheme="minorEastAsia" w:hAnsi="Cambria Math" w:cs="Arial"/>
                  </w:rPr>
                  <m:t>t,t+k</m:t>
                </m:r>
              </m:sub>
              <m:sup>
                <m:r>
                  <m:rPr>
                    <m:scr m:val="script"/>
                  </m:rPr>
                  <w:rPr>
                    <w:rFonts w:ascii="Cambria Math" w:eastAsiaTheme="minorEastAsia" w:hAnsi="Cambria Math" w:cs="Arial"/>
                  </w:rPr>
                  <m:t>e</m:t>
                </m:r>
              </m:sup>
            </m:sSubSup>
            <m:r>
              <w:rPr>
                <w:rFonts w:ascii="Cambria Math" w:eastAsiaTheme="minorEastAsia" w:hAnsi="Cambria Math" w:cs="Arial"/>
              </w:rPr>
              <m:t>-</m:t>
            </m:r>
            <m:sSubSup>
              <m:sSubSupPr>
                <m:ctrlPr>
                  <w:rPr>
                    <w:rFonts w:ascii="Cambria Math" w:eastAsiaTheme="minorEastAsia" w:hAnsi="Cambria Math" w:cs="Arial"/>
                    <w:i/>
                  </w:rPr>
                </m:ctrlPr>
              </m:sSubSupPr>
              <m:e>
                <m:r>
                  <w:rPr>
                    <w:rFonts w:ascii="Cambria Math" w:eastAsiaTheme="minorEastAsia" w:hAnsi="Cambria Math" w:cs="Arial"/>
                  </w:rPr>
                  <m:t>r</m:t>
                </m:r>
              </m:e>
              <m:sub>
                <m:r>
                  <w:rPr>
                    <w:rFonts w:ascii="Cambria Math" w:eastAsiaTheme="minorEastAsia" w:hAnsi="Cambria Math" w:cs="Arial"/>
                  </w:rPr>
                  <m:t>t,t+k</m:t>
                </m:r>
              </m:sub>
              <m:sup>
                <m:r>
                  <m:rPr>
                    <m:scr m:val="script"/>
                  </m:rPr>
                  <w:rPr>
                    <w:rFonts w:ascii="Cambria Math" w:eastAsiaTheme="minorEastAsia" w:hAnsi="Cambria Math" w:cs="Arial"/>
                  </w:rPr>
                  <m:t>*e</m:t>
                </m:r>
              </m:sup>
            </m:sSubSup>
          </m:e>
        </m:d>
        <m:r>
          <w:rPr>
            <w:rFonts w:ascii="Cambria Math" w:eastAsiaTheme="minorEastAsia" w:hAnsi="Cambria Math" w:cs="Arial"/>
          </w:rPr>
          <m:t>-</m:t>
        </m:r>
        <m:sSub>
          <m:sSubPr>
            <m:ctrlPr>
              <w:rPr>
                <w:rFonts w:ascii="Cambria Math" w:eastAsiaTheme="minorEastAsia" w:hAnsi="Cambria Math" w:cs="Arial"/>
                <w:i/>
              </w:rPr>
            </m:ctrlPr>
          </m:sSubPr>
          <m:e>
            <m:r>
              <w:rPr>
                <w:rFonts w:ascii="Cambria Math" w:eastAsiaTheme="minorEastAsia" w:hAnsi="Cambria Math" w:cs="Arial"/>
              </w:rPr>
              <m:t>λ</m:t>
            </m:r>
          </m:e>
          <m:sub>
            <m:r>
              <w:rPr>
                <w:rFonts w:ascii="Cambria Math" w:eastAsiaTheme="minorEastAsia" w:hAnsi="Cambria Math" w:cs="Arial"/>
              </w:rPr>
              <m:t>t</m:t>
            </m:r>
          </m:sub>
        </m:sSub>
      </m:oMath>
      <w:r w:rsidR="00501026">
        <w:rPr>
          <w:rFonts w:ascii="Arial" w:eastAsiaTheme="minorEastAsia" w:hAnsi="Arial" w:cs="Arial"/>
        </w:rPr>
        <w:tab/>
        <w:t xml:space="preserve">                         </w:t>
      </w:r>
      <w:r w:rsidR="00DD3EDE">
        <w:rPr>
          <w:rFonts w:ascii="Arial" w:eastAsiaTheme="minorEastAsia" w:hAnsi="Arial" w:cs="Arial"/>
        </w:rPr>
        <w:t xml:space="preserve">              </w:t>
      </w:r>
      <w:r w:rsidR="00501026">
        <w:rPr>
          <w:rFonts w:ascii="Arial" w:eastAsiaTheme="minorEastAsia" w:hAnsi="Arial" w:cs="Arial"/>
        </w:rPr>
        <w:t xml:space="preserve">        </w:t>
      </w:r>
      <w:r w:rsidR="00501026" w:rsidRPr="00241EC1">
        <w:rPr>
          <w:rFonts w:ascii="Arial" w:eastAsiaTheme="minorEastAsia" w:hAnsi="Arial" w:cs="Arial"/>
        </w:rPr>
        <w:t>(3.</w:t>
      </w:r>
      <w:r w:rsidR="00BD5767">
        <w:rPr>
          <w:rFonts w:ascii="Arial" w:eastAsiaTheme="minorEastAsia" w:hAnsi="Arial" w:cs="Arial"/>
        </w:rPr>
        <w:t>8</w:t>
      </w:r>
      <w:r w:rsidR="00501026" w:rsidRPr="00241EC1">
        <w:rPr>
          <w:rFonts w:ascii="Arial" w:eastAsiaTheme="minorEastAsia" w:hAnsi="Arial" w:cs="Arial"/>
        </w:rPr>
        <w:t>)</w:t>
      </w:r>
    </w:p>
    <w:p w14:paraId="4AAB0B31" w14:textId="76864AFA" w:rsidR="00501026" w:rsidRDefault="00BD5767" w:rsidP="0066301C">
      <w:pPr>
        <w:pStyle w:val="ListParagraph"/>
        <w:autoSpaceDE w:val="0"/>
        <w:autoSpaceDN w:val="0"/>
        <w:adjustRightInd w:val="0"/>
        <w:spacing w:line="360" w:lineRule="auto"/>
        <w:ind w:left="0"/>
        <w:jc w:val="both"/>
        <w:rPr>
          <w:rFonts w:ascii="Arial" w:eastAsiaTheme="minorEastAsia" w:hAnsi="Arial" w:cs="Arial"/>
        </w:rPr>
      </w:pPr>
      <w:r>
        <w:rPr>
          <w:rFonts w:ascii="Arial" w:eastAsiaTheme="minorEastAsia" w:hAnsi="Arial" w:cs="Arial"/>
        </w:rPr>
        <w:t xml:space="preserve">If </w:t>
      </w:r>
      <m:oMath>
        <m:sSubSup>
          <m:sSubSupPr>
            <m:ctrlPr>
              <w:rPr>
                <w:rFonts w:ascii="Cambria Math" w:eastAsiaTheme="minorEastAsia" w:hAnsi="Cambria Math" w:cs="Arial"/>
                <w:i/>
              </w:rPr>
            </m:ctrlPr>
          </m:sSubSupPr>
          <m:e>
            <m:r>
              <w:rPr>
                <w:rFonts w:ascii="Cambria Math" w:eastAsiaTheme="minorEastAsia" w:hAnsi="Cambria Math" w:cs="Arial"/>
              </w:rPr>
              <m:t>q</m:t>
            </m:r>
          </m:e>
          <m:sub>
            <m:r>
              <w:rPr>
                <w:rFonts w:ascii="Cambria Math" w:eastAsiaTheme="minorEastAsia" w:hAnsi="Cambria Math" w:cs="Arial"/>
              </w:rPr>
              <m:t>t, t+k</m:t>
            </m:r>
          </m:sub>
          <m:sup>
            <m:r>
              <m:rPr>
                <m:scr m:val="script"/>
              </m:rPr>
              <w:rPr>
                <w:rFonts w:ascii="Cambria Math" w:eastAsiaTheme="minorEastAsia" w:hAnsi="Cambria Math" w:cs="Arial"/>
              </w:rPr>
              <m:t>e</m:t>
            </m:r>
          </m:sup>
        </m:sSubSup>
      </m:oMath>
      <w:r>
        <w:rPr>
          <w:rFonts w:ascii="Arial" w:eastAsiaTheme="minorEastAsia" w:hAnsi="Arial" w:cs="Arial"/>
        </w:rPr>
        <w:t xml:space="preserve"> is interpreted as the ‘long-term’, systemic component of the R</w:t>
      </w:r>
      <w:r w:rsidR="008B4FE4">
        <w:rPr>
          <w:rFonts w:ascii="Arial" w:eastAsiaTheme="minorEastAsia" w:hAnsi="Arial" w:cs="Arial"/>
        </w:rPr>
        <w:t>E</w:t>
      </w:r>
      <w:r>
        <w:rPr>
          <w:rFonts w:ascii="Arial" w:eastAsiaTheme="minorEastAsia" w:hAnsi="Arial" w:cs="Arial"/>
        </w:rPr>
        <w:t xml:space="preserve">R, it could be assumed to be the outcome of the expected values of the fundamentals and could be replaced by </w:t>
      </w:r>
      <m:oMath>
        <m:sSub>
          <m:sSubPr>
            <m:ctrlPr>
              <w:rPr>
                <w:rFonts w:ascii="Cambria Math" w:eastAsiaTheme="minorEastAsia" w:hAnsi="Cambria Math" w:cs="Arial"/>
                <w:i/>
              </w:rPr>
            </m:ctrlPr>
          </m:sSubPr>
          <m:e>
            <m:acc>
              <m:accPr>
                <m:chr m:val="̅"/>
                <m:ctrlPr>
                  <w:rPr>
                    <w:rFonts w:ascii="Cambria Math" w:eastAsiaTheme="minorEastAsia" w:hAnsi="Cambria Math" w:cs="Arial"/>
                    <w:i/>
                  </w:rPr>
                </m:ctrlPr>
              </m:accPr>
              <m:e>
                <m:r>
                  <w:rPr>
                    <w:rFonts w:ascii="Cambria Math" w:eastAsiaTheme="minorEastAsia" w:hAnsi="Cambria Math" w:cs="Arial"/>
                  </w:rPr>
                  <m:t>q</m:t>
                </m:r>
              </m:e>
            </m:acc>
          </m:e>
          <m:sub>
            <m:r>
              <w:rPr>
                <w:rFonts w:ascii="Cambria Math" w:eastAsiaTheme="minorEastAsia" w:hAnsi="Cambria Math" w:cs="Arial"/>
              </w:rPr>
              <m:t>t</m:t>
            </m:r>
          </m:sub>
        </m:sSub>
      </m:oMath>
      <w:r>
        <w:rPr>
          <w:rFonts w:ascii="Arial" w:eastAsiaTheme="minorEastAsia" w:hAnsi="Arial" w:cs="Arial"/>
        </w:rPr>
        <w:t xml:space="preserve"> as seen below:</w:t>
      </w:r>
    </w:p>
    <w:p w14:paraId="60EEB35E" w14:textId="15964F0E" w:rsidR="00501026" w:rsidRDefault="00000000" w:rsidP="0066301C">
      <w:pPr>
        <w:pStyle w:val="ListParagraph"/>
        <w:autoSpaceDE w:val="0"/>
        <w:autoSpaceDN w:val="0"/>
        <w:adjustRightInd w:val="0"/>
        <w:spacing w:line="360" w:lineRule="auto"/>
        <w:ind w:left="0"/>
        <w:jc w:val="center"/>
        <w:rPr>
          <w:rFonts w:ascii="Arial" w:eastAsiaTheme="minorEastAsia" w:hAnsi="Arial" w:cs="Arial"/>
        </w:rPr>
      </w:pPr>
      <m:oMath>
        <m:sSub>
          <m:sSubPr>
            <m:ctrlPr>
              <w:rPr>
                <w:rFonts w:ascii="Cambria Math" w:eastAsiaTheme="minorEastAsia" w:hAnsi="Cambria Math" w:cs="Arial"/>
                <w:i/>
              </w:rPr>
            </m:ctrlPr>
          </m:sSubPr>
          <m:e>
            <m:r>
              <w:rPr>
                <w:rFonts w:ascii="Cambria Math" w:eastAsiaTheme="minorEastAsia" w:hAnsi="Cambria Math" w:cs="Arial"/>
              </w:rPr>
              <m:t>q</m:t>
            </m:r>
          </m:e>
          <m:sub>
            <m:r>
              <w:rPr>
                <w:rFonts w:ascii="Cambria Math" w:eastAsiaTheme="minorEastAsia" w:hAnsi="Cambria Math" w:cs="Arial"/>
              </w:rPr>
              <m:t>t</m:t>
            </m:r>
          </m:sub>
        </m:sSub>
        <m:r>
          <w:rPr>
            <w:rFonts w:ascii="Cambria Math" w:eastAsiaTheme="minorEastAsia" w:hAnsi="Cambria Math" w:cs="Arial"/>
          </w:rPr>
          <m:t>=</m:t>
        </m:r>
        <m:sSub>
          <m:sSubPr>
            <m:ctrlPr>
              <w:rPr>
                <w:rFonts w:ascii="Cambria Math" w:eastAsiaTheme="minorEastAsia" w:hAnsi="Cambria Math" w:cs="Arial"/>
                <w:i/>
              </w:rPr>
            </m:ctrlPr>
          </m:sSubPr>
          <m:e>
            <m:acc>
              <m:accPr>
                <m:chr m:val="̅"/>
                <m:ctrlPr>
                  <w:rPr>
                    <w:rFonts w:ascii="Cambria Math" w:eastAsiaTheme="minorEastAsia" w:hAnsi="Cambria Math" w:cs="Arial"/>
                    <w:i/>
                  </w:rPr>
                </m:ctrlPr>
              </m:accPr>
              <m:e>
                <m:r>
                  <w:rPr>
                    <w:rFonts w:ascii="Cambria Math" w:eastAsiaTheme="minorEastAsia" w:hAnsi="Cambria Math" w:cs="Arial"/>
                  </w:rPr>
                  <m:t>q</m:t>
                </m:r>
              </m:e>
            </m:acc>
          </m:e>
          <m:sub>
            <m:r>
              <w:rPr>
                <w:rFonts w:ascii="Cambria Math" w:eastAsiaTheme="minorEastAsia" w:hAnsi="Cambria Math" w:cs="Arial"/>
              </w:rPr>
              <m:t>t</m:t>
            </m:r>
          </m:sub>
        </m:sSub>
        <m:r>
          <w:rPr>
            <w:rFonts w:ascii="Cambria Math" w:eastAsiaTheme="minorEastAsia" w:hAnsi="Cambria Math" w:cs="Arial"/>
          </w:rPr>
          <m:t>-</m:t>
        </m:r>
        <m:d>
          <m:dPr>
            <m:ctrlPr>
              <w:rPr>
                <w:rFonts w:ascii="Cambria Math" w:eastAsiaTheme="minorEastAsia" w:hAnsi="Cambria Math" w:cs="Arial"/>
                <w:i/>
              </w:rPr>
            </m:ctrlPr>
          </m:dPr>
          <m:e>
            <m:sSubSup>
              <m:sSubSupPr>
                <m:ctrlPr>
                  <w:rPr>
                    <w:rFonts w:ascii="Cambria Math" w:eastAsiaTheme="minorEastAsia" w:hAnsi="Cambria Math" w:cs="Arial"/>
                    <w:i/>
                  </w:rPr>
                </m:ctrlPr>
              </m:sSubSupPr>
              <m:e>
                <m:r>
                  <w:rPr>
                    <w:rFonts w:ascii="Cambria Math" w:eastAsiaTheme="minorEastAsia" w:hAnsi="Cambria Math" w:cs="Arial"/>
                  </w:rPr>
                  <m:t>r</m:t>
                </m:r>
              </m:e>
              <m:sub>
                <m:r>
                  <w:rPr>
                    <w:rFonts w:ascii="Cambria Math" w:eastAsiaTheme="minorEastAsia" w:hAnsi="Cambria Math" w:cs="Arial"/>
                  </w:rPr>
                  <m:t>t,t+k</m:t>
                </m:r>
              </m:sub>
              <m:sup>
                <m:r>
                  <m:rPr>
                    <m:scr m:val="script"/>
                  </m:rPr>
                  <w:rPr>
                    <w:rFonts w:ascii="Cambria Math" w:eastAsiaTheme="minorEastAsia" w:hAnsi="Cambria Math" w:cs="Arial"/>
                  </w:rPr>
                  <m:t>e</m:t>
                </m:r>
              </m:sup>
            </m:sSubSup>
            <m:r>
              <w:rPr>
                <w:rFonts w:ascii="Cambria Math" w:eastAsiaTheme="minorEastAsia" w:hAnsi="Cambria Math" w:cs="Arial"/>
              </w:rPr>
              <m:t>-</m:t>
            </m:r>
            <m:sSubSup>
              <m:sSubSupPr>
                <m:ctrlPr>
                  <w:rPr>
                    <w:rFonts w:ascii="Cambria Math" w:eastAsiaTheme="minorEastAsia" w:hAnsi="Cambria Math" w:cs="Arial"/>
                    <w:i/>
                  </w:rPr>
                </m:ctrlPr>
              </m:sSubSupPr>
              <m:e>
                <m:r>
                  <w:rPr>
                    <w:rFonts w:ascii="Cambria Math" w:eastAsiaTheme="minorEastAsia" w:hAnsi="Cambria Math" w:cs="Arial"/>
                  </w:rPr>
                  <m:t>r</m:t>
                </m:r>
              </m:e>
              <m:sub>
                <m:r>
                  <w:rPr>
                    <w:rFonts w:ascii="Cambria Math" w:eastAsiaTheme="minorEastAsia" w:hAnsi="Cambria Math" w:cs="Arial"/>
                  </w:rPr>
                  <m:t>t,t+k</m:t>
                </m:r>
              </m:sub>
              <m:sup>
                <m:r>
                  <m:rPr>
                    <m:scr m:val="script"/>
                  </m:rPr>
                  <w:rPr>
                    <w:rFonts w:ascii="Cambria Math" w:eastAsiaTheme="minorEastAsia" w:hAnsi="Cambria Math" w:cs="Arial"/>
                  </w:rPr>
                  <m:t>*e</m:t>
                </m:r>
              </m:sup>
            </m:sSubSup>
          </m:e>
        </m:d>
        <m:r>
          <w:rPr>
            <w:rFonts w:ascii="Cambria Math" w:eastAsiaTheme="minorEastAsia" w:hAnsi="Cambria Math" w:cs="Arial"/>
          </w:rPr>
          <m:t>-</m:t>
        </m:r>
        <m:sSub>
          <m:sSubPr>
            <m:ctrlPr>
              <w:rPr>
                <w:rFonts w:ascii="Cambria Math" w:eastAsiaTheme="minorEastAsia" w:hAnsi="Cambria Math" w:cs="Arial"/>
                <w:i/>
              </w:rPr>
            </m:ctrlPr>
          </m:sSubPr>
          <m:e>
            <m:r>
              <w:rPr>
                <w:rFonts w:ascii="Cambria Math" w:eastAsiaTheme="minorEastAsia" w:hAnsi="Cambria Math" w:cs="Arial"/>
              </w:rPr>
              <m:t>λ</m:t>
            </m:r>
          </m:e>
          <m:sub>
            <m:r>
              <w:rPr>
                <w:rFonts w:ascii="Cambria Math" w:eastAsiaTheme="minorEastAsia" w:hAnsi="Cambria Math" w:cs="Arial"/>
              </w:rPr>
              <m:t>t</m:t>
            </m:r>
          </m:sub>
        </m:sSub>
      </m:oMath>
      <w:r w:rsidR="00501026">
        <w:rPr>
          <w:rFonts w:ascii="Arial" w:eastAsiaTheme="minorEastAsia" w:hAnsi="Arial" w:cs="Arial"/>
        </w:rPr>
        <w:tab/>
        <w:t xml:space="preserve">                  </w:t>
      </w:r>
      <w:r w:rsidR="00DD3EDE">
        <w:rPr>
          <w:rFonts w:ascii="Arial" w:eastAsiaTheme="minorEastAsia" w:hAnsi="Arial" w:cs="Arial"/>
        </w:rPr>
        <w:t xml:space="preserve">   </w:t>
      </w:r>
      <w:r w:rsidR="00501026">
        <w:rPr>
          <w:rFonts w:ascii="Arial" w:eastAsiaTheme="minorEastAsia" w:hAnsi="Arial" w:cs="Arial"/>
        </w:rPr>
        <w:t xml:space="preserve">      </w:t>
      </w:r>
      <w:r w:rsidR="001A59A7">
        <w:rPr>
          <w:rFonts w:ascii="Arial" w:eastAsiaTheme="minorEastAsia" w:hAnsi="Arial" w:cs="Arial"/>
        </w:rPr>
        <w:t xml:space="preserve">             </w:t>
      </w:r>
      <w:r w:rsidR="00501026">
        <w:rPr>
          <w:rFonts w:ascii="Arial" w:eastAsiaTheme="minorEastAsia" w:hAnsi="Arial" w:cs="Arial"/>
        </w:rPr>
        <w:t xml:space="preserve">     </w:t>
      </w:r>
      <w:r w:rsidR="00DD3EDE">
        <w:rPr>
          <w:rFonts w:ascii="Arial" w:eastAsiaTheme="minorEastAsia" w:hAnsi="Arial" w:cs="Arial"/>
        </w:rPr>
        <w:t xml:space="preserve">             </w:t>
      </w:r>
      <w:r w:rsidR="00501026">
        <w:rPr>
          <w:rFonts w:ascii="Arial" w:eastAsiaTheme="minorEastAsia" w:hAnsi="Arial" w:cs="Arial"/>
        </w:rPr>
        <w:t xml:space="preserve">    </w:t>
      </w:r>
      <w:r w:rsidR="00501026" w:rsidRPr="00241EC1">
        <w:rPr>
          <w:rFonts w:ascii="Arial" w:eastAsiaTheme="minorEastAsia" w:hAnsi="Arial" w:cs="Arial"/>
        </w:rPr>
        <w:t>(3.</w:t>
      </w:r>
      <w:r w:rsidR="00BD5767">
        <w:rPr>
          <w:rFonts w:ascii="Arial" w:eastAsiaTheme="minorEastAsia" w:hAnsi="Arial" w:cs="Arial"/>
        </w:rPr>
        <w:t>9</w:t>
      </w:r>
      <w:r w:rsidR="00501026" w:rsidRPr="00241EC1">
        <w:rPr>
          <w:rFonts w:ascii="Arial" w:eastAsiaTheme="minorEastAsia" w:hAnsi="Arial" w:cs="Arial"/>
        </w:rPr>
        <w:t>)</w:t>
      </w:r>
    </w:p>
    <w:p w14:paraId="181E5CF6" w14:textId="6740630F" w:rsidR="001A59A7" w:rsidRDefault="00995649" w:rsidP="0066301C">
      <w:pPr>
        <w:pStyle w:val="ListParagraph"/>
        <w:autoSpaceDE w:val="0"/>
        <w:autoSpaceDN w:val="0"/>
        <w:adjustRightInd w:val="0"/>
        <w:spacing w:line="360" w:lineRule="auto"/>
        <w:ind w:left="0"/>
        <w:jc w:val="both"/>
        <w:rPr>
          <w:rFonts w:ascii="Arial" w:eastAsiaTheme="minorEastAsia" w:hAnsi="Arial" w:cs="Arial"/>
        </w:rPr>
      </w:pPr>
      <w:r>
        <w:rPr>
          <w:rFonts w:ascii="Arial" w:eastAsiaTheme="minorEastAsia" w:hAnsi="Arial" w:cs="Arial"/>
        </w:rPr>
        <w:lastRenderedPageBreak/>
        <w:t xml:space="preserve">What determines </w:t>
      </w:r>
      <m:oMath>
        <m:sSub>
          <m:sSubPr>
            <m:ctrlPr>
              <w:rPr>
                <w:rFonts w:ascii="Cambria Math" w:eastAsiaTheme="minorEastAsia" w:hAnsi="Cambria Math" w:cs="Arial"/>
                <w:i/>
              </w:rPr>
            </m:ctrlPr>
          </m:sSubPr>
          <m:e>
            <m:acc>
              <m:accPr>
                <m:chr m:val="̅"/>
                <m:ctrlPr>
                  <w:rPr>
                    <w:rFonts w:ascii="Cambria Math" w:eastAsiaTheme="minorEastAsia" w:hAnsi="Cambria Math" w:cs="Arial"/>
                    <w:i/>
                  </w:rPr>
                </m:ctrlPr>
              </m:accPr>
              <m:e>
                <m:r>
                  <w:rPr>
                    <w:rFonts w:ascii="Cambria Math" w:eastAsiaTheme="minorEastAsia" w:hAnsi="Cambria Math" w:cs="Arial"/>
                  </w:rPr>
                  <m:t>q</m:t>
                </m:r>
              </m:e>
            </m:acc>
          </m:e>
          <m:sub>
            <m:r>
              <w:rPr>
                <w:rFonts w:ascii="Cambria Math" w:eastAsiaTheme="minorEastAsia" w:hAnsi="Cambria Math" w:cs="Arial"/>
              </w:rPr>
              <m:t>t</m:t>
            </m:r>
          </m:sub>
        </m:sSub>
      </m:oMath>
      <w:r>
        <w:rPr>
          <w:rFonts w:ascii="Arial" w:eastAsiaTheme="minorEastAsia" w:hAnsi="Arial" w:cs="Arial"/>
        </w:rPr>
        <w:t xml:space="preserve">? Virtually all open economy macro models which have as their focus the long-term equilibrium </w:t>
      </w:r>
      <w:r w:rsidR="008B4FE4">
        <w:rPr>
          <w:rFonts w:ascii="Arial" w:eastAsiaTheme="minorEastAsia" w:hAnsi="Arial" w:cs="Arial"/>
        </w:rPr>
        <w:t xml:space="preserve">effective </w:t>
      </w:r>
      <w:r>
        <w:rPr>
          <w:rFonts w:ascii="Arial" w:eastAsiaTheme="minorEastAsia" w:hAnsi="Arial" w:cs="Arial"/>
        </w:rPr>
        <w:t>exchange rate as a tie down condition that the current account be zero in equilibrium:</w:t>
      </w:r>
    </w:p>
    <w:p w14:paraId="5647F104" w14:textId="45DEEE94" w:rsidR="001A59A7" w:rsidRDefault="00000000" w:rsidP="0066301C">
      <w:pPr>
        <w:pStyle w:val="ListParagraph"/>
        <w:autoSpaceDE w:val="0"/>
        <w:autoSpaceDN w:val="0"/>
        <w:adjustRightInd w:val="0"/>
        <w:spacing w:line="360" w:lineRule="auto"/>
        <w:ind w:left="0"/>
        <w:jc w:val="center"/>
        <w:rPr>
          <w:rFonts w:ascii="Arial" w:eastAsiaTheme="minorEastAsia" w:hAnsi="Arial" w:cs="Arial"/>
        </w:rPr>
      </w:pPr>
      <m:oMath>
        <m:sSub>
          <m:sSubPr>
            <m:ctrlPr>
              <w:rPr>
                <w:rFonts w:ascii="Cambria Math" w:eastAsiaTheme="minorEastAsia" w:hAnsi="Cambria Math" w:cs="Arial"/>
                <w:i/>
              </w:rPr>
            </m:ctrlPr>
          </m:sSubPr>
          <m:e>
            <m:r>
              <w:rPr>
                <w:rFonts w:ascii="Cambria Math" w:eastAsiaTheme="minorEastAsia" w:hAnsi="Cambria Math" w:cs="Arial"/>
              </w:rPr>
              <m:t>ca</m:t>
            </m:r>
          </m:e>
          <m:sub>
            <m:r>
              <w:rPr>
                <w:rFonts w:ascii="Cambria Math" w:eastAsiaTheme="minorEastAsia" w:hAnsi="Cambria Math" w:cs="Arial"/>
              </w:rPr>
              <m:t>t</m:t>
            </m:r>
          </m:sub>
        </m:sSub>
        <m:r>
          <w:rPr>
            <w:rFonts w:ascii="Cambria Math" w:eastAsiaTheme="minorEastAsia" w:hAnsi="Cambria Math" w:cs="Arial"/>
          </w:rPr>
          <m:t>=</m:t>
        </m:r>
        <m:sSub>
          <m:sSubPr>
            <m:ctrlPr>
              <w:rPr>
                <w:rFonts w:ascii="Cambria Math" w:eastAsiaTheme="minorEastAsia" w:hAnsi="Cambria Math" w:cs="Arial"/>
                <w:i/>
              </w:rPr>
            </m:ctrlPr>
          </m:sSubPr>
          <m:e>
            <m:r>
              <w:rPr>
                <w:rFonts w:ascii="Cambria Math" w:eastAsiaTheme="minorEastAsia" w:hAnsi="Cambria Math" w:cs="Arial"/>
              </w:rPr>
              <m:t>tb</m:t>
            </m:r>
          </m:e>
          <m:sub>
            <m:r>
              <w:rPr>
                <w:rFonts w:ascii="Cambria Math" w:eastAsiaTheme="minorEastAsia" w:hAnsi="Cambria Math" w:cs="Arial"/>
              </w:rPr>
              <m:t>t</m:t>
            </m:r>
          </m:sub>
        </m:sSub>
        <m:r>
          <w:rPr>
            <w:rFonts w:ascii="Cambria Math" w:eastAsiaTheme="minorEastAsia" w:hAnsi="Cambria Math" w:cs="Arial"/>
          </w:rPr>
          <m:t>+</m:t>
        </m:r>
        <m:sSubSup>
          <m:sSubSupPr>
            <m:ctrlPr>
              <w:rPr>
                <w:rFonts w:ascii="Cambria Math" w:eastAsiaTheme="minorEastAsia" w:hAnsi="Cambria Math" w:cs="Arial"/>
                <w:i/>
              </w:rPr>
            </m:ctrlPr>
          </m:sSubSupPr>
          <m:e>
            <m:r>
              <w:rPr>
                <w:rFonts w:ascii="Cambria Math" w:eastAsiaTheme="minorEastAsia" w:hAnsi="Cambria Math" w:cs="Arial"/>
              </w:rPr>
              <m:t>r</m:t>
            </m:r>
          </m:e>
          <m:sub>
            <m:r>
              <w:rPr>
                <w:rFonts w:ascii="Cambria Math" w:eastAsiaTheme="minorEastAsia" w:hAnsi="Cambria Math" w:cs="Arial"/>
              </w:rPr>
              <m:t>t</m:t>
            </m:r>
          </m:sub>
          <m:sup>
            <m:r>
              <w:rPr>
                <w:rFonts w:ascii="Cambria Math" w:eastAsiaTheme="minorEastAsia" w:hAnsi="Cambria Math" w:cs="Arial"/>
              </w:rPr>
              <m:t>*</m:t>
            </m:r>
          </m:sup>
        </m:sSubSup>
        <m:sSub>
          <m:sSubPr>
            <m:ctrlPr>
              <w:rPr>
                <w:rFonts w:ascii="Cambria Math" w:eastAsiaTheme="minorEastAsia" w:hAnsi="Cambria Math" w:cs="Arial"/>
                <w:i/>
              </w:rPr>
            </m:ctrlPr>
          </m:sSubPr>
          <m:e>
            <m:r>
              <w:rPr>
                <w:rFonts w:ascii="Cambria Math" w:eastAsiaTheme="minorEastAsia" w:hAnsi="Cambria Math" w:cs="Arial"/>
              </w:rPr>
              <m:t>nfa</m:t>
            </m:r>
          </m:e>
          <m:sub>
            <m:r>
              <w:rPr>
                <w:rFonts w:ascii="Cambria Math" w:eastAsiaTheme="minorEastAsia" w:hAnsi="Cambria Math" w:cs="Arial"/>
              </w:rPr>
              <m:t>t</m:t>
            </m:r>
          </m:sub>
        </m:sSub>
        <m:r>
          <w:rPr>
            <w:rFonts w:ascii="Cambria Math" w:eastAsiaTheme="minorEastAsia" w:hAnsi="Cambria Math" w:cs="Arial"/>
          </w:rPr>
          <m:t>=0</m:t>
        </m:r>
      </m:oMath>
      <w:r w:rsidR="001A59A7">
        <w:rPr>
          <w:rFonts w:ascii="Arial" w:eastAsiaTheme="minorEastAsia" w:hAnsi="Arial" w:cs="Arial"/>
        </w:rPr>
        <w:t xml:space="preserve">,                                  </w:t>
      </w:r>
      <w:r w:rsidR="00DD3EDE">
        <w:rPr>
          <w:rFonts w:ascii="Arial" w:eastAsiaTheme="minorEastAsia" w:hAnsi="Arial" w:cs="Arial"/>
        </w:rPr>
        <w:t xml:space="preserve">       </w:t>
      </w:r>
      <w:r w:rsidR="001A59A7">
        <w:rPr>
          <w:rFonts w:ascii="Arial" w:eastAsiaTheme="minorEastAsia" w:hAnsi="Arial" w:cs="Arial"/>
        </w:rPr>
        <w:t xml:space="preserve">             </w:t>
      </w:r>
      <w:r w:rsidR="00DD3EDE">
        <w:rPr>
          <w:rFonts w:ascii="Arial" w:eastAsiaTheme="minorEastAsia" w:hAnsi="Arial" w:cs="Arial"/>
        </w:rPr>
        <w:t xml:space="preserve">          </w:t>
      </w:r>
      <w:r w:rsidR="001A59A7">
        <w:rPr>
          <w:rFonts w:ascii="Arial" w:eastAsiaTheme="minorEastAsia" w:hAnsi="Arial" w:cs="Arial"/>
        </w:rPr>
        <w:t xml:space="preserve">         </w:t>
      </w:r>
      <w:r w:rsidR="001A59A7" w:rsidRPr="00241EC1">
        <w:rPr>
          <w:rFonts w:ascii="Arial" w:eastAsiaTheme="minorEastAsia" w:hAnsi="Arial" w:cs="Arial"/>
        </w:rPr>
        <w:t>(3.</w:t>
      </w:r>
      <w:r w:rsidR="00BD5767">
        <w:rPr>
          <w:rFonts w:ascii="Arial" w:eastAsiaTheme="minorEastAsia" w:hAnsi="Arial" w:cs="Arial"/>
        </w:rPr>
        <w:t>10</w:t>
      </w:r>
      <w:r w:rsidR="001A59A7" w:rsidRPr="00241EC1">
        <w:rPr>
          <w:rFonts w:ascii="Arial" w:eastAsiaTheme="minorEastAsia" w:hAnsi="Arial" w:cs="Arial"/>
        </w:rPr>
        <w:t>)</w:t>
      </w:r>
    </w:p>
    <w:p w14:paraId="3B2E85B8" w14:textId="55BF7A3B" w:rsidR="001A59A7" w:rsidRDefault="001A59A7" w:rsidP="0066301C">
      <w:pPr>
        <w:pStyle w:val="ListParagraph"/>
        <w:autoSpaceDE w:val="0"/>
        <w:autoSpaceDN w:val="0"/>
        <w:adjustRightInd w:val="0"/>
        <w:spacing w:line="360" w:lineRule="auto"/>
        <w:ind w:left="0"/>
        <w:jc w:val="center"/>
        <w:rPr>
          <w:rFonts w:ascii="Arial" w:eastAsiaTheme="minorEastAsia" w:hAnsi="Arial" w:cs="Arial"/>
        </w:rPr>
      </w:pPr>
      <w:r>
        <w:rPr>
          <w:rFonts w:ascii="Arial" w:eastAsiaTheme="minorEastAsia" w:hAnsi="Arial" w:cs="Arial"/>
        </w:rPr>
        <w:t>or:</w:t>
      </w:r>
    </w:p>
    <w:p w14:paraId="1384DC0F" w14:textId="653B55DE" w:rsidR="001A59A7" w:rsidRDefault="00000000" w:rsidP="0066301C">
      <w:pPr>
        <w:pStyle w:val="ListParagraph"/>
        <w:autoSpaceDE w:val="0"/>
        <w:autoSpaceDN w:val="0"/>
        <w:adjustRightInd w:val="0"/>
        <w:spacing w:line="360" w:lineRule="auto"/>
        <w:ind w:left="0"/>
        <w:jc w:val="center"/>
        <w:rPr>
          <w:rFonts w:ascii="Arial" w:eastAsiaTheme="minorEastAsia" w:hAnsi="Arial" w:cs="Arial"/>
        </w:rPr>
      </w:pPr>
      <m:oMath>
        <m:sSub>
          <m:sSubPr>
            <m:ctrlPr>
              <w:rPr>
                <w:rFonts w:ascii="Cambria Math" w:eastAsiaTheme="minorEastAsia" w:hAnsi="Cambria Math" w:cs="Arial"/>
                <w:i/>
              </w:rPr>
            </m:ctrlPr>
          </m:sSubPr>
          <m:e>
            <m:r>
              <w:rPr>
                <w:rFonts w:ascii="Cambria Math" w:eastAsiaTheme="minorEastAsia" w:hAnsi="Cambria Math" w:cs="Arial"/>
              </w:rPr>
              <m:t>tb</m:t>
            </m:r>
          </m:e>
          <m:sub>
            <m:r>
              <w:rPr>
                <w:rFonts w:ascii="Cambria Math" w:eastAsiaTheme="minorEastAsia" w:hAnsi="Cambria Math" w:cs="Arial"/>
              </w:rPr>
              <m:t>t</m:t>
            </m:r>
          </m:sub>
        </m:sSub>
        <m:r>
          <w:rPr>
            <w:rFonts w:ascii="Cambria Math" w:eastAsiaTheme="minorEastAsia" w:hAnsi="Cambria Math" w:cs="Arial"/>
          </w:rPr>
          <m:t>=-</m:t>
        </m:r>
        <m:sSubSup>
          <m:sSubSupPr>
            <m:ctrlPr>
              <w:rPr>
                <w:rFonts w:ascii="Cambria Math" w:eastAsiaTheme="minorEastAsia" w:hAnsi="Cambria Math" w:cs="Arial"/>
                <w:i/>
              </w:rPr>
            </m:ctrlPr>
          </m:sSubSupPr>
          <m:e>
            <m:r>
              <w:rPr>
                <w:rFonts w:ascii="Cambria Math" w:eastAsiaTheme="minorEastAsia" w:hAnsi="Cambria Math" w:cs="Arial"/>
              </w:rPr>
              <m:t>r</m:t>
            </m:r>
          </m:e>
          <m:sub>
            <m:r>
              <w:rPr>
                <w:rFonts w:ascii="Cambria Math" w:eastAsiaTheme="minorEastAsia" w:hAnsi="Cambria Math" w:cs="Arial"/>
              </w:rPr>
              <m:t>t</m:t>
            </m:r>
          </m:sub>
          <m:sup>
            <m:r>
              <w:rPr>
                <w:rFonts w:ascii="Cambria Math" w:eastAsiaTheme="minorEastAsia" w:hAnsi="Cambria Math" w:cs="Arial"/>
              </w:rPr>
              <m:t>*</m:t>
            </m:r>
          </m:sup>
        </m:sSubSup>
        <m:sSub>
          <m:sSubPr>
            <m:ctrlPr>
              <w:rPr>
                <w:rFonts w:ascii="Cambria Math" w:eastAsiaTheme="minorEastAsia" w:hAnsi="Cambria Math" w:cs="Arial"/>
                <w:i/>
              </w:rPr>
            </m:ctrlPr>
          </m:sSubPr>
          <m:e>
            <m:r>
              <w:rPr>
                <w:rFonts w:ascii="Cambria Math" w:eastAsiaTheme="minorEastAsia" w:hAnsi="Cambria Math" w:cs="Arial"/>
              </w:rPr>
              <m:t>nfa</m:t>
            </m:r>
          </m:e>
          <m:sub>
            <m:r>
              <w:rPr>
                <w:rFonts w:ascii="Cambria Math" w:eastAsiaTheme="minorEastAsia" w:hAnsi="Cambria Math" w:cs="Arial"/>
              </w:rPr>
              <m:t>t</m:t>
            </m:r>
          </m:sub>
        </m:sSub>
      </m:oMath>
      <w:r w:rsidR="001A59A7">
        <w:rPr>
          <w:rFonts w:ascii="Arial" w:eastAsiaTheme="minorEastAsia" w:hAnsi="Arial" w:cs="Arial"/>
        </w:rPr>
        <w:t xml:space="preserve">,                                            </w:t>
      </w:r>
      <w:r w:rsidR="00DD3EDE">
        <w:rPr>
          <w:rFonts w:ascii="Arial" w:eastAsiaTheme="minorEastAsia" w:hAnsi="Arial" w:cs="Arial"/>
        </w:rPr>
        <w:t xml:space="preserve">         </w:t>
      </w:r>
      <w:r w:rsidR="001A59A7">
        <w:rPr>
          <w:rFonts w:ascii="Arial" w:eastAsiaTheme="minorEastAsia" w:hAnsi="Arial" w:cs="Arial"/>
        </w:rPr>
        <w:t xml:space="preserve">                </w:t>
      </w:r>
      <w:r w:rsidR="00DD3EDE">
        <w:rPr>
          <w:rFonts w:ascii="Arial" w:eastAsiaTheme="minorEastAsia" w:hAnsi="Arial" w:cs="Arial"/>
        </w:rPr>
        <w:t xml:space="preserve">          </w:t>
      </w:r>
      <w:r w:rsidR="001A59A7">
        <w:rPr>
          <w:rFonts w:ascii="Arial" w:eastAsiaTheme="minorEastAsia" w:hAnsi="Arial" w:cs="Arial"/>
        </w:rPr>
        <w:t xml:space="preserve">        </w:t>
      </w:r>
      <w:r w:rsidR="001A59A7" w:rsidRPr="00241EC1">
        <w:rPr>
          <w:rFonts w:ascii="Arial" w:eastAsiaTheme="minorEastAsia" w:hAnsi="Arial" w:cs="Arial"/>
        </w:rPr>
        <w:t>(3.</w:t>
      </w:r>
      <w:r w:rsidR="001A59A7">
        <w:rPr>
          <w:rFonts w:ascii="Arial" w:eastAsiaTheme="minorEastAsia" w:hAnsi="Arial" w:cs="Arial"/>
        </w:rPr>
        <w:t>1</w:t>
      </w:r>
      <w:r w:rsidR="00BD5767">
        <w:rPr>
          <w:rFonts w:ascii="Arial" w:eastAsiaTheme="minorEastAsia" w:hAnsi="Arial" w:cs="Arial"/>
        </w:rPr>
        <w:t>1</w:t>
      </w:r>
      <w:r w:rsidR="001A59A7" w:rsidRPr="00241EC1">
        <w:rPr>
          <w:rFonts w:ascii="Arial" w:eastAsiaTheme="minorEastAsia" w:hAnsi="Arial" w:cs="Arial"/>
        </w:rPr>
        <w:t>)</w:t>
      </w:r>
    </w:p>
    <w:p w14:paraId="4971F695" w14:textId="153A3EC2" w:rsidR="00ED2334" w:rsidRDefault="00ED2334" w:rsidP="0066301C">
      <w:pPr>
        <w:pStyle w:val="ListParagraph"/>
        <w:autoSpaceDE w:val="0"/>
        <w:autoSpaceDN w:val="0"/>
        <w:adjustRightInd w:val="0"/>
        <w:spacing w:line="360" w:lineRule="auto"/>
        <w:ind w:left="0"/>
        <w:jc w:val="both"/>
        <w:rPr>
          <w:rFonts w:ascii="Arial" w:eastAsiaTheme="minorEastAsia" w:hAnsi="Arial" w:cs="Arial"/>
        </w:rPr>
      </w:pPr>
      <w:r>
        <w:rPr>
          <w:rFonts w:ascii="Arial" w:eastAsiaTheme="minorEastAsia" w:hAnsi="Arial" w:cs="Arial"/>
        </w:rPr>
        <w:t>and that the RER will be more depreciated the larger is the steady state surplus:</w:t>
      </w:r>
    </w:p>
    <w:p w14:paraId="6C425CCA" w14:textId="77777777" w:rsidR="001A59A7" w:rsidRDefault="001A59A7" w:rsidP="0066301C">
      <w:pPr>
        <w:pStyle w:val="ListParagraph"/>
        <w:autoSpaceDE w:val="0"/>
        <w:autoSpaceDN w:val="0"/>
        <w:adjustRightInd w:val="0"/>
        <w:spacing w:line="360" w:lineRule="auto"/>
        <w:ind w:left="0"/>
        <w:jc w:val="center"/>
        <w:rPr>
          <w:rFonts w:ascii="Arial" w:eastAsiaTheme="minorEastAsia" w:hAnsi="Arial" w:cs="Arial"/>
        </w:rPr>
      </w:pPr>
    </w:p>
    <w:p w14:paraId="73060C56" w14:textId="3F6EB236" w:rsidR="001A59A7" w:rsidRDefault="00000000" w:rsidP="0066301C">
      <w:pPr>
        <w:pStyle w:val="ListParagraph"/>
        <w:autoSpaceDE w:val="0"/>
        <w:autoSpaceDN w:val="0"/>
        <w:adjustRightInd w:val="0"/>
        <w:spacing w:line="360" w:lineRule="auto"/>
        <w:ind w:left="0"/>
        <w:jc w:val="center"/>
        <w:rPr>
          <w:rFonts w:ascii="Arial" w:eastAsiaTheme="minorEastAsia" w:hAnsi="Arial" w:cs="Arial"/>
        </w:rPr>
      </w:pPr>
      <m:oMath>
        <m:sSub>
          <m:sSubPr>
            <m:ctrlPr>
              <w:rPr>
                <w:rFonts w:ascii="Cambria Math" w:eastAsiaTheme="minorEastAsia" w:hAnsi="Cambria Math" w:cs="Arial"/>
                <w:i/>
              </w:rPr>
            </m:ctrlPr>
          </m:sSubPr>
          <m:e>
            <m:r>
              <w:rPr>
                <w:rFonts w:ascii="Cambria Math" w:eastAsiaTheme="minorEastAsia" w:hAnsi="Cambria Math" w:cs="Arial"/>
              </w:rPr>
              <m:t>q</m:t>
            </m:r>
          </m:e>
          <m:sub>
            <m:r>
              <w:rPr>
                <w:rFonts w:ascii="Cambria Math" w:eastAsiaTheme="minorEastAsia" w:hAnsi="Cambria Math" w:cs="Arial"/>
              </w:rPr>
              <m:t>t</m:t>
            </m:r>
          </m:sub>
        </m:sSub>
        <m:r>
          <w:rPr>
            <w:rFonts w:ascii="Cambria Math" w:eastAsiaTheme="minorEastAsia" w:hAnsi="Cambria Math" w:cs="Arial"/>
          </w:rPr>
          <m:t>=</m:t>
        </m:r>
        <m:sSub>
          <m:sSubPr>
            <m:ctrlPr>
              <w:rPr>
                <w:rFonts w:ascii="Cambria Math" w:eastAsiaTheme="minorEastAsia" w:hAnsi="Cambria Math" w:cs="Arial"/>
                <w:i/>
              </w:rPr>
            </m:ctrlPr>
          </m:sSubPr>
          <m:e>
            <m:r>
              <w:rPr>
                <w:rFonts w:ascii="Cambria Math" w:eastAsiaTheme="minorEastAsia" w:hAnsi="Cambria Math" w:cs="Arial"/>
              </w:rPr>
              <m:t>-αtb</m:t>
            </m:r>
          </m:e>
          <m:sub>
            <m:r>
              <w:rPr>
                <w:rFonts w:ascii="Cambria Math" w:eastAsiaTheme="minorEastAsia" w:hAnsi="Cambria Math" w:cs="Arial"/>
              </w:rPr>
              <m:t>t</m:t>
            </m:r>
          </m:sub>
        </m:sSub>
        <m:r>
          <w:rPr>
            <w:rFonts w:ascii="Cambria Math" w:eastAsiaTheme="minorEastAsia" w:hAnsi="Cambria Math" w:cs="Arial"/>
          </w:rPr>
          <m:t>+</m:t>
        </m:r>
        <m:sSub>
          <m:sSubPr>
            <m:ctrlPr>
              <w:rPr>
                <w:rFonts w:ascii="Cambria Math" w:eastAsiaTheme="minorEastAsia" w:hAnsi="Cambria Math" w:cs="Arial"/>
                <w:i/>
              </w:rPr>
            </m:ctrlPr>
          </m:sSubPr>
          <m:e>
            <m:r>
              <w:rPr>
                <w:rFonts w:ascii="Cambria Math" w:eastAsiaTheme="minorEastAsia" w:hAnsi="Cambria Math" w:cs="Arial"/>
              </w:rPr>
              <m:t>BX</m:t>
            </m:r>
          </m:e>
          <m:sub>
            <m:r>
              <w:rPr>
                <w:rFonts w:ascii="Cambria Math" w:eastAsiaTheme="minorEastAsia" w:hAnsi="Cambria Math" w:cs="Arial"/>
              </w:rPr>
              <m:t>t</m:t>
            </m:r>
          </m:sub>
        </m:sSub>
        <m:r>
          <w:rPr>
            <w:rFonts w:ascii="Cambria Math" w:eastAsiaTheme="minorEastAsia" w:hAnsi="Cambria Math" w:cs="Arial"/>
          </w:rPr>
          <m:t xml:space="preserve"> </m:t>
        </m:r>
      </m:oMath>
      <w:r w:rsidR="001A59A7">
        <w:rPr>
          <w:rFonts w:ascii="Arial" w:eastAsiaTheme="minorEastAsia" w:hAnsi="Arial" w:cs="Arial"/>
        </w:rPr>
        <w:t xml:space="preserve">,                                        </w:t>
      </w:r>
      <w:r w:rsidR="00DD3EDE">
        <w:rPr>
          <w:rFonts w:ascii="Arial" w:eastAsiaTheme="minorEastAsia" w:hAnsi="Arial" w:cs="Arial"/>
        </w:rPr>
        <w:t xml:space="preserve">           </w:t>
      </w:r>
      <w:r w:rsidR="001A59A7">
        <w:rPr>
          <w:rFonts w:ascii="Arial" w:eastAsiaTheme="minorEastAsia" w:hAnsi="Arial" w:cs="Arial"/>
        </w:rPr>
        <w:t xml:space="preserve">                     </w:t>
      </w:r>
      <w:r w:rsidR="00DD3EDE">
        <w:rPr>
          <w:rFonts w:ascii="Arial" w:eastAsiaTheme="minorEastAsia" w:hAnsi="Arial" w:cs="Arial"/>
        </w:rPr>
        <w:t xml:space="preserve">      </w:t>
      </w:r>
      <w:r w:rsidR="001A59A7">
        <w:rPr>
          <w:rFonts w:ascii="Arial" w:eastAsiaTheme="minorEastAsia" w:hAnsi="Arial" w:cs="Arial"/>
        </w:rPr>
        <w:t xml:space="preserve">  </w:t>
      </w:r>
      <w:r w:rsidR="001A59A7" w:rsidRPr="00241EC1">
        <w:rPr>
          <w:rFonts w:ascii="Arial" w:eastAsiaTheme="minorEastAsia" w:hAnsi="Arial" w:cs="Arial"/>
        </w:rPr>
        <w:t>(3.</w:t>
      </w:r>
      <w:r w:rsidR="001A59A7">
        <w:rPr>
          <w:rFonts w:ascii="Arial" w:eastAsiaTheme="minorEastAsia" w:hAnsi="Arial" w:cs="Arial"/>
        </w:rPr>
        <w:t>12</w:t>
      </w:r>
      <w:r w:rsidR="001A59A7" w:rsidRPr="00241EC1">
        <w:rPr>
          <w:rFonts w:ascii="Arial" w:eastAsiaTheme="minorEastAsia" w:hAnsi="Arial" w:cs="Arial"/>
        </w:rPr>
        <w:t>)</w:t>
      </w:r>
    </w:p>
    <w:p w14:paraId="04C41FD6" w14:textId="7C475B05" w:rsidR="001A59A7" w:rsidRDefault="00ED2334" w:rsidP="0066301C">
      <w:pPr>
        <w:pStyle w:val="ListParagraph"/>
        <w:autoSpaceDE w:val="0"/>
        <w:autoSpaceDN w:val="0"/>
        <w:adjustRightInd w:val="0"/>
        <w:spacing w:line="360" w:lineRule="auto"/>
        <w:ind w:left="0"/>
        <w:jc w:val="both"/>
        <w:rPr>
          <w:rFonts w:ascii="Arial" w:eastAsiaTheme="minorEastAsia" w:hAnsi="Arial" w:cs="Arial"/>
        </w:rPr>
      </w:pPr>
      <w:r>
        <w:rPr>
          <w:rFonts w:ascii="Arial" w:eastAsiaTheme="minorEastAsia" w:hAnsi="Arial" w:cs="Arial"/>
        </w:rPr>
        <w:t xml:space="preserve">Whereby </w:t>
      </w:r>
      <m:oMath>
        <m:sSub>
          <m:sSubPr>
            <m:ctrlPr>
              <w:rPr>
                <w:rFonts w:ascii="Cambria Math" w:eastAsiaTheme="minorEastAsia" w:hAnsi="Cambria Math" w:cs="Arial"/>
                <w:i/>
              </w:rPr>
            </m:ctrlPr>
          </m:sSubPr>
          <m:e>
            <m:r>
              <w:rPr>
                <w:rFonts w:ascii="Cambria Math" w:eastAsiaTheme="minorEastAsia" w:hAnsi="Cambria Math" w:cs="Arial"/>
              </w:rPr>
              <m:t>X</m:t>
            </m:r>
          </m:e>
          <m:sub>
            <m:r>
              <w:rPr>
                <w:rFonts w:ascii="Cambria Math" w:eastAsiaTheme="minorEastAsia" w:hAnsi="Cambria Math" w:cs="Arial"/>
              </w:rPr>
              <m:t>t</m:t>
            </m:r>
          </m:sub>
        </m:sSub>
      </m:oMath>
      <w:r>
        <w:rPr>
          <w:rFonts w:ascii="Arial" w:eastAsiaTheme="minorEastAsia" w:hAnsi="Arial" w:cs="Arial"/>
        </w:rPr>
        <w:t xml:space="preserve"> denotes other factors determining the RER</w:t>
      </w:r>
      <w:r w:rsidR="008B4FE4">
        <w:rPr>
          <w:rFonts w:ascii="Arial" w:eastAsiaTheme="minorEastAsia" w:hAnsi="Arial" w:cs="Arial"/>
        </w:rPr>
        <w:t>. Equation (</w:t>
      </w:r>
      <w:r w:rsidR="00DD3EDE">
        <w:rPr>
          <w:rFonts w:ascii="Arial" w:eastAsiaTheme="minorEastAsia" w:hAnsi="Arial" w:cs="Arial"/>
        </w:rPr>
        <w:t>3.</w:t>
      </w:r>
      <w:r w:rsidR="008B4FE4">
        <w:rPr>
          <w:rFonts w:ascii="Arial" w:eastAsiaTheme="minorEastAsia" w:hAnsi="Arial" w:cs="Arial"/>
        </w:rPr>
        <w:t>11) and (</w:t>
      </w:r>
      <w:r w:rsidR="00DD3EDE">
        <w:rPr>
          <w:rFonts w:ascii="Arial" w:eastAsiaTheme="minorEastAsia" w:hAnsi="Arial" w:cs="Arial"/>
        </w:rPr>
        <w:t>3.</w:t>
      </w:r>
      <w:r w:rsidR="008B4FE4">
        <w:rPr>
          <w:rFonts w:ascii="Arial" w:eastAsiaTheme="minorEastAsia" w:hAnsi="Arial" w:cs="Arial"/>
        </w:rPr>
        <w:t>12) may then be used to solve for the REER as:</w:t>
      </w:r>
    </w:p>
    <w:p w14:paraId="26604DB4" w14:textId="31C0D9C8" w:rsidR="001A59A7" w:rsidRDefault="00000000" w:rsidP="0066301C">
      <w:pPr>
        <w:pStyle w:val="ListParagraph"/>
        <w:autoSpaceDE w:val="0"/>
        <w:autoSpaceDN w:val="0"/>
        <w:adjustRightInd w:val="0"/>
        <w:spacing w:line="360" w:lineRule="auto"/>
        <w:ind w:left="0"/>
        <w:jc w:val="center"/>
        <w:rPr>
          <w:rFonts w:ascii="Arial" w:eastAsiaTheme="minorEastAsia" w:hAnsi="Arial" w:cs="Arial"/>
        </w:rPr>
      </w:pPr>
      <m:oMath>
        <m:sSub>
          <m:sSubPr>
            <m:ctrlPr>
              <w:rPr>
                <w:rFonts w:ascii="Cambria Math" w:eastAsiaTheme="minorEastAsia" w:hAnsi="Cambria Math" w:cs="Arial"/>
                <w:i/>
              </w:rPr>
            </m:ctrlPr>
          </m:sSubPr>
          <m:e>
            <m:r>
              <w:rPr>
                <w:rFonts w:ascii="Cambria Math" w:eastAsiaTheme="minorEastAsia" w:hAnsi="Cambria Math" w:cs="Arial"/>
              </w:rPr>
              <m:t>q</m:t>
            </m:r>
          </m:e>
          <m:sub>
            <m:r>
              <w:rPr>
                <w:rFonts w:ascii="Cambria Math" w:eastAsiaTheme="minorEastAsia" w:hAnsi="Cambria Math" w:cs="Arial"/>
              </w:rPr>
              <m:t>t</m:t>
            </m:r>
          </m:sub>
        </m:sSub>
        <m:r>
          <w:rPr>
            <w:rFonts w:ascii="Cambria Math" w:eastAsiaTheme="minorEastAsia" w:hAnsi="Cambria Math" w:cs="Arial"/>
          </w:rPr>
          <m:t>=</m:t>
        </m:r>
        <m:sSub>
          <m:sSubPr>
            <m:ctrlPr>
              <w:rPr>
                <w:rFonts w:ascii="Cambria Math" w:eastAsiaTheme="minorEastAsia" w:hAnsi="Cambria Math" w:cs="Arial"/>
                <w:i/>
              </w:rPr>
            </m:ctrlPr>
          </m:sSubPr>
          <m:e>
            <m:r>
              <w:rPr>
                <w:rFonts w:ascii="Cambria Math" w:eastAsiaTheme="minorEastAsia" w:hAnsi="Cambria Math" w:cs="Arial"/>
              </w:rPr>
              <m:t>αnfa</m:t>
            </m:r>
          </m:e>
          <m:sub>
            <m:r>
              <w:rPr>
                <w:rFonts w:ascii="Cambria Math" w:eastAsiaTheme="minorEastAsia" w:hAnsi="Cambria Math" w:cs="Arial"/>
              </w:rPr>
              <m:t>t</m:t>
            </m:r>
          </m:sub>
        </m:sSub>
        <m:r>
          <w:rPr>
            <w:rFonts w:ascii="Cambria Math" w:eastAsiaTheme="minorEastAsia" w:hAnsi="Cambria Math" w:cs="Arial"/>
          </w:rPr>
          <m:t>+</m:t>
        </m:r>
        <m:sSub>
          <m:sSubPr>
            <m:ctrlPr>
              <w:rPr>
                <w:rFonts w:ascii="Cambria Math" w:eastAsiaTheme="minorEastAsia" w:hAnsi="Cambria Math" w:cs="Arial"/>
                <w:i/>
              </w:rPr>
            </m:ctrlPr>
          </m:sSubPr>
          <m:e>
            <m:r>
              <w:rPr>
                <w:rFonts w:ascii="Cambria Math" w:eastAsiaTheme="minorEastAsia" w:hAnsi="Cambria Math" w:cs="Arial"/>
              </w:rPr>
              <m:t>BX</m:t>
            </m:r>
          </m:e>
          <m:sub>
            <m:r>
              <w:rPr>
                <w:rFonts w:ascii="Cambria Math" w:eastAsiaTheme="minorEastAsia" w:hAnsi="Cambria Math" w:cs="Arial"/>
              </w:rPr>
              <m:t>t</m:t>
            </m:r>
          </m:sub>
        </m:sSub>
        <m:r>
          <w:rPr>
            <w:rFonts w:ascii="Cambria Math" w:eastAsiaTheme="minorEastAsia" w:hAnsi="Cambria Math" w:cs="Arial"/>
          </w:rPr>
          <m:t xml:space="preserve"> </m:t>
        </m:r>
      </m:oMath>
      <w:r w:rsidR="001A59A7">
        <w:rPr>
          <w:rFonts w:ascii="Arial" w:eastAsiaTheme="minorEastAsia" w:hAnsi="Arial" w:cs="Arial"/>
        </w:rPr>
        <w:t xml:space="preserve">, </w:t>
      </w:r>
      <w:r w:rsidR="008C197E">
        <w:rPr>
          <w:rFonts w:ascii="Arial" w:eastAsiaTheme="minorEastAsia" w:hAnsi="Arial" w:cs="Arial"/>
        </w:rPr>
        <w:t xml:space="preserve">   </w:t>
      </w:r>
      <w:r w:rsidR="001A59A7">
        <w:rPr>
          <w:rFonts w:ascii="Arial" w:eastAsiaTheme="minorEastAsia" w:hAnsi="Arial" w:cs="Arial"/>
        </w:rPr>
        <w:t xml:space="preserve">                           </w:t>
      </w:r>
      <w:r w:rsidR="00DD3EDE">
        <w:rPr>
          <w:rFonts w:ascii="Arial" w:eastAsiaTheme="minorEastAsia" w:hAnsi="Arial" w:cs="Arial"/>
        </w:rPr>
        <w:t xml:space="preserve">            </w:t>
      </w:r>
      <w:r w:rsidR="001A59A7">
        <w:rPr>
          <w:rFonts w:ascii="Arial" w:eastAsiaTheme="minorEastAsia" w:hAnsi="Arial" w:cs="Arial"/>
        </w:rPr>
        <w:t xml:space="preserve">                             </w:t>
      </w:r>
      <w:r w:rsidR="00DD3EDE">
        <w:rPr>
          <w:rFonts w:ascii="Arial" w:eastAsiaTheme="minorEastAsia" w:hAnsi="Arial" w:cs="Arial"/>
        </w:rPr>
        <w:t xml:space="preserve">      </w:t>
      </w:r>
      <w:r w:rsidR="001A59A7">
        <w:rPr>
          <w:rFonts w:ascii="Arial" w:eastAsiaTheme="minorEastAsia" w:hAnsi="Arial" w:cs="Arial"/>
        </w:rPr>
        <w:t xml:space="preserve">  </w:t>
      </w:r>
      <w:r w:rsidR="001A59A7" w:rsidRPr="00241EC1">
        <w:rPr>
          <w:rFonts w:ascii="Arial" w:eastAsiaTheme="minorEastAsia" w:hAnsi="Arial" w:cs="Arial"/>
        </w:rPr>
        <w:t>(3.</w:t>
      </w:r>
      <w:r w:rsidR="001A59A7">
        <w:rPr>
          <w:rFonts w:ascii="Arial" w:eastAsiaTheme="minorEastAsia" w:hAnsi="Arial" w:cs="Arial"/>
        </w:rPr>
        <w:t>13</w:t>
      </w:r>
      <w:r w:rsidR="001A59A7" w:rsidRPr="00241EC1">
        <w:rPr>
          <w:rFonts w:ascii="Arial" w:eastAsiaTheme="minorEastAsia" w:hAnsi="Arial" w:cs="Arial"/>
        </w:rPr>
        <w:t>)</w:t>
      </w:r>
    </w:p>
    <w:p w14:paraId="36474EAE" w14:textId="500C1F55" w:rsidR="001A59A7" w:rsidRDefault="00AB6085" w:rsidP="0066301C">
      <w:pPr>
        <w:pStyle w:val="ListParagraph"/>
        <w:autoSpaceDE w:val="0"/>
        <w:autoSpaceDN w:val="0"/>
        <w:adjustRightInd w:val="0"/>
        <w:spacing w:line="360" w:lineRule="auto"/>
        <w:ind w:left="0"/>
        <w:jc w:val="both"/>
        <w:rPr>
          <w:rFonts w:ascii="Arial" w:eastAsiaTheme="minorEastAsia" w:hAnsi="Arial" w:cs="Arial"/>
        </w:rPr>
      </w:pPr>
      <w:r>
        <w:rPr>
          <w:rFonts w:ascii="Arial" w:eastAsiaTheme="minorEastAsia" w:hAnsi="Arial" w:cs="Arial"/>
        </w:rPr>
        <w:t xml:space="preserve">Where the RER is increasing in the net foreign asset position. This is the </w:t>
      </w:r>
      <w:r w:rsidR="008C197E">
        <w:rPr>
          <w:rFonts w:ascii="Arial" w:eastAsiaTheme="minorEastAsia" w:hAnsi="Arial" w:cs="Arial"/>
        </w:rPr>
        <w:t>kind</w:t>
      </w:r>
      <w:r>
        <w:rPr>
          <w:rFonts w:ascii="Arial" w:eastAsiaTheme="minorEastAsia" w:hAnsi="Arial" w:cs="Arial"/>
        </w:rPr>
        <w:t xml:space="preserve"> of relationship normally estimated in BEER type equations (</w:t>
      </w:r>
      <w:r w:rsidR="008C197E">
        <w:rPr>
          <w:rFonts w:ascii="Arial" w:eastAsiaTheme="minorEastAsia" w:hAnsi="Arial" w:cs="Arial"/>
        </w:rPr>
        <w:t xml:space="preserve">MacDonald and Dias, 2007; </w:t>
      </w:r>
      <w:r>
        <w:rPr>
          <w:rFonts w:ascii="Arial" w:eastAsiaTheme="minorEastAsia" w:hAnsi="Arial" w:cs="Arial"/>
        </w:rPr>
        <w:t xml:space="preserve">Egert </w:t>
      </w:r>
      <w:r>
        <w:rPr>
          <w:rFonts w:ascii="Arial" w:eastAsiaTheme="minorEastAsia" w:hAnsi="Arial" w:cs="Arial"/>
          <w:i/>
          <w:iCs/>
        </w:rPr>
        <w:t>et al.,</w:t>
      </w:r>
      <w:r>
        <w:rPr>
          <w:rFonts w:ascii="Arial" w:eastAsiaTheme="minorEastAsia" w:hAnsi="Arial" w:cs="Arial"/>
        </w:rPr>
        <w:t>2006; Clark and MacDonald, 1998</w:t>
      </w:r>
      <w:r w:rsidR="00EC7404">
        <w:rPr>
          <w:rFonts w:ascii="Arial" w:eastAsiaTheme="minorEastAsia" w:hAnsi="Arial" w:cs="Arial"/>
        </w:rPr>
        <w:t>).</w:t>
      </w:r>
      <w:r>
        <w:rPr>
          <w:rFonts w:ascii="Arial" w:eastAsiaTheme="minorEastAsia" w:hAnsi="Arial" w:cs="Arial"/>
        </w:rPr>
        <w:t xml:space="preserve"> </w:t>
      </w:r>
    </w:p>
    <w:p w14:paraId="5494CD46" w14:textId="20FAAC22" w:rsidR="000C22EB" w:rsidRPr="00EB1A0C" w:rsidRDefault="00751082" w:rsidP="0066301C">
      <w:pPr>
        <w:spacing w:line="360" w:lineRule="auto"/>
        <w:jc w:val="both"/>
        <w:rPr>
          <w:rFonts w:ascii="Arial" w:hAnsi="Arial" w:cs="Arial"/>
          <w:lang w:eastAsia="en-GB"/>
        </w:rPr>
      </w:pPr>
      <w:r w:rsidRPr="00EB1A0C">
        <w:rPr>
          <w:rFonts w:ascii="Arial" w:hAnsi="Arial" w:cs="Arial"/>
          <w:lang w:eastAsia="en-GB"/>
        </w:rPr>
        <w:t>Clark and MacDonald (1998) stipulate that the equilibrium RER is determined as a function of economic fundamentals.</w:t>
      </w:r>
      <w:r w:rsidR="00EC7404">
        <w:rPr>
          <w:rStyle w:val="FootnoteReference"/>
          <w:rFonts w:ascii="Arial" w:hAnsi="Arial" w:cs="Arial"/>
          <w:lang w:eastAsia="en-GB"/>
        </w:rPr>
        <w:footnoteReference w:id="62"/>
      </w:r>
      <w:r w:rsidRPr="00EB1A0C">
        <w:rPr>
          <w:rFonts w:ascii="Arial" w:hAnsi="Arial" w:cs="Arial"/>
          <w:lang w:eastAsia="en-GB"/>
        </w:rPr>
        <w:t xml:space="preserve"> The </w:t>
      </w:r>
      <w:r w:rsidRPr="00EB1A0C">
        <w:rPr>
          <w:rFonts w:ascii="Arial" w:hAnsi="Arial" w:cs="Arial"/>
          <w:i/>
          <w:iCs/>
          <w:lang w:eastAsia="en-GB"/>
        </w:rPr>
        <w:t>external RER fundamentals</w:t>
      </w:r>
      <w:r w:rsidRPr="00EB1A0C">
        <w:rPr>
          <w:rFonts w:ascii="Arial" w:hAnsi="Arial" w:cs="Arial"/>
          <w:lang w:eastAsia="en-GB"/>
        </w:rPr>
        <w:t> are: i) international prices (terms of trade), ii) international transfers (openness), and iii) world real interest rates (net foreign assets). The </w:t>
      </w:r>
      <w:r w:rsidRPr="00EB1A0C">
        <w:rPr>
          <w:rFonts w:ascii="Arial" w:hAnsi="Arial" w:cs="Arial"/>
          <w:i/>
          <w:iCs/>
          <w:lang w:eastAsia="en-GB"/>
        </w:rPr>
        <w:t>domestic or internal</w:t>
      </w:r>
      <w:r w:rsidRPr="00EB1A0C">
        <w:rPr>
          <w:rFonts w:ascii="Arial" w:hAnsi="Arial" w:cs="Arial"/>
          <w:lang w:eastAsia="en-GB"/>
        </w:rPr>
        <w:t> </w:t>
      </w:r>
      <w:r w:rsidRPr="00EB1A0C">
        <w:rPr>
          <w:rFonts w:ascii="Arial" w:hAnsi="Arial" w:cs="Arial"/>
          <w:i/>
          <w:iCs/>
          <w:lang w:eastAsia="en-GB"/>
        </w:rPr>
        <w:t>RER fundamental</w:t>
      </w:r>
      <w:r w:rsidRPr="00EB1A0C">
        <w:rPr>
          <w:rFonts w:ascii="Arial" w:hAnsi="Arial" w:cs="Arial"/>
          <w:lang w:eastAsia="en-GB"/>
        </w:rPr>
        <w:t> is divided into variables that are policy-related and those that are independent of policy decisions. Policy-related RER fundamentals include i) import tariffs, export taxes, and quotas; ii) taxes and subsidies; iii) exchange and capital controls. iv) composition of government expenditure. We proxy all the policy-related variables as government expenditure. Among the non-policy fundamentals, technological progress is the most important (proxy as productivity differential). Thus, the fundamentals used in this research consist of government expenditure (or government debts - </w:t>
      </w:r>
      <w:r w:rsidRPr="00EB1A0C">
        <w:rPr>
          <w:rFonts w:ascii="Arial" w:hAnsi="Arial" w:cs="Arial"/>
          <w:i/>
          <w:iCs/>
          <w:lang w:eastAsia="en-GB"/>
        </w:rPr>
        <w:t>GEXP</w:t>
      </w:r>
      <w:r w:rsidRPr="00EB1A0C">
        <w:rPr>
          <w:rFonts w:ascii="Arial" w:hAnsi="Arial" w:cs="Arial"/>
          <w:lang w:eastAsia="en-GB"/>
        </w:rPr>
        <w:t>), terms of trade (</w:t>
      </w:r>
      <w:r w:rsidRPr="00EB1A0C">
        <w:rPr>
          <w:rFonts w:ascii="Arial" w:hAnsi="Arial" w:cs="Arial"/>
          <w:i/>
          <w:iCs/>
          <w:lang w:eastAsia="en-GB"/>
        </w:rPr>
        <w:t>TOT</w:t>
      </w:r>
      <w:r w:rsidRPr="00EB1A0C">
        <w:rPr>
          <w:rFonts w:ascii="Arial" w:hAnsi="Arial" w:cs="Arial"/>
          <w:lang w:eastAsia="en-GB"/>
        </w:rPr>
        <w:t>), net foreign assets (</w:t>
      </w:r>
      <w:r w:rsidRPr="00EB1A0C">
        <w:rPr>
          <w:rFonts w:ascii="Arial" w:hAnsi="Arial" w:cs="Arial"/>
          <w:i/>
          <w:iCs/>
          <w:lang w:eastAsia="en-GB"/>
        </w:rPr>
        <w:t>NFA</w:t>
      </w:r>
      <w:r w:rsidRPr="00EB1A0C">
        <w:rPr>
          <w:rFonts w:ascii="Arial" w:hAnsi="Arial" w:cs="Arial"/>
          <w:lang w:eastAsia="en-GB"/>
        </w:rPr>
        <w:t>), trade policy (proxy by openness - </w:t>
      </w:r>
      <w:r w:rsidRPr="00EB1A0C">
        <w:rPr>
          <w:rFonts w:ascii="Arial" w:hAnsi="Arial" w:cs="Arial"/>
          <w:i/>
          <w:iCs/>
          <w:lang w:eastAsia="en-GB"/>
        </w:rPr>
        <w:t>OPEN</w:t>
      </w:r>
      <w:r w:rsidRPr="00EB1A0C">
        <w:rPr>
          <w:rFonts w:ascii="Arial" w:hAnsi="Arial" w:cs="Arial"/>
          <w:lang w:eastAsia="en-GB"/>
        </w:rPr>
        <w:t>), and productivity differentials (</w:t>
      </w:r>
      <w:r w:rsidRPr="00EB1A0C">
        <w:rPr>
          <w:rFonts w:ascii="Arial" w:hAnsi="Arial" w:cs="Arial"/>
          <w:i/>
          <w:iCs/>
          <w:lang w:eastAsia="en-GB"/>
        </w:rPr>
        <w:t>PROD</w:t>
      </w:r>
      <w:r w:rsidRPr="00EB1A0C">
        <w:rPr>
          <w:rFonts w:ascii="Arial" w:hAnsi="Arial" w:cs="Arial"/>
          <w:lang w:eastAsia="en-GB"/>
        </w:rPr>
        <w:t xml:space="preserve">) Zhang (2010). The </w:t>
      </w:r>
      <w:r>
        <w:rPr>
          <w:rFonts w:ascii="Arial" w:hAnsi="Arial" w:cs="Arial"/>
          <w:lang w:eastAsia="en-GB"/>
        </w:rPr>
        <w:t>above-mentioned</w:t>
      </w:r>
      <w:r w:rsidRPr="00EB1A0C">
        <w:rPr>
          <w:rFonts w:ascii="Arial" w:hAnsi="Arial" w:cs="Arial"/>
          <w:lang w:eastAsia="en-GB"/>
        </w:rPr>
        <w:t xml:space="preserve"> fundamentals are </w:t>
      </w:r>
      <w:r w:rsidR="00D66CDA" w:rsidRPr="00EB1A0C">
        <w:rPr>
          <w:rFonts w:ascii="Arial" w:hAnsi="Arial" w:cs="Arial"/>
          <w:lang w:eastAsia="en-GB"/>
        </w:rPr>
        <w:t>like</w:t>
      </w:r>
      <w:r w:rsidRPr="00EB1A0C">
        <w:rPr>
          <w:rFonts w:ascii="Arial" w:hAnsi="Arial" w:cs="Arial"/>
          <w:lang w:eastAsia="en-GB"/>
        </w:rPr>
        <w:t xml:space="preserve"> those used by Clark and MacDonald (1998), </w:t>
      </w:r>
      <w:r w:rsidR="000C22EB" w:rsidRPr="00EB1A0C">
        <w:rPr>
          <w:rFonts w:ascii="Arial" w:hAnsi="Arial" w:cs="Arial"/>
          <w:lang w:eastAsia="en-GB"/>
        </w:rPr>
        <w:t>which are:  </w:t>
      </w:r>
    </w:p>
    <w:p w14:paraId="6B93CFD1" w14:textId="1421C714" w:rsidR="000C22EB" w:rsidRPr="00F47E01" w:rsidRDefault="000C22EB" w:rsidP="0066301C">
      <w:pPr>
        <w:spacing w:line="360" w:lineRule="auto"/>
        <w:jc w:val="center"/>
        <w:rPr>
          <w:rFonts w:ascii="Arial" w:hAnsi="Arial" w:cs="Arial"/>
        </w:rPr>
      </w:pPr>
      <m:oMath>
        <m:r>
          <w:rPr>
            <w:rFonts w:ascii="Cambria Math" w:eastAsiaTheme="minorEastAsia" w:hAnsi="Cambria Math" w:cs="Arial"/>
          </w:rPr>
          <w:lastRenderedPageBreak/>
          <m:t>BEER=f</m:t>
        </m:r>
        <m:d>
          <m:dPr>
            <m:begChr m:val="["/>
            <m:endChr m:val="]"/>
            <m:ctrlPr>
              <w:rPr>
                <w:rFonts w:ascii="Cambria Math" w:eastAsiaTheme="minorEastAsia" w:hAnsi="Cambria Math" w:cs="Arial"/>
                <w:i/>
              </w:rPr>
            </m:ctrlPr>
          </m:dPr>
          <m:e>
            <m:d>
              <m:dPr>
                <m:ctrlPr>
                  <w:rPr>
                    <w:rFonts w:ascii="Cambria Math" w:eastAsiaTheme="minorEastAsia" w:hAnsi="Cambria Math" w:cs="Arial"/>
                    <w:i/>
                  </w:rPr>
                </m:ctrlPr>
              </m:dPr>
              <m:e>
                <m:r>
                  <w:rPr>
                    <w:rFonts w:ascii="Cambria Math" w:eastAsiaTheme="minorEastAsia" w:hAnsi="Cambria Math" w:cs="Arial"/>
                  </w:rPr>
                  <m:t>r-</m:t>
                </m:r>
                <m:sSup>
                  <m:sSupPr>
                    <m:ctrlPr>
                      <w:rPr>
                        <w:rFonts w:ascii="Cambria Math" w:eastAsiaTheme="minorEastAsia" w:hAnsi="Cambria Math" w:cs="Arial"/>
                        <w:i/>
                      </w:rPr>
                    </m:ctrlPr>
                  </m:sSupPr>
                  <m:e>
                    <m:r>
                      <w:rPr>
                        <w:rFonts w:ascii="Cambria Math" w:eastAsiaTheme="minorEastAsia" w:hAnsi="Cambria Math" w:cs="Arial"/>
                      </w:rPr>
                      <m:t>r</m:t>
                    </m:r>
                  </m:e>
                  <m:sup>
                    <m:r>
                      <w:rPr>
                        <w:rFonts w:ascii="Cambria Math" w:eastAsiaTheme="minorEastAsia" w:hAnsi="Cambria Math" w:cs="Arial"/>
                      </w:rPr>
                      <m:t>*</m:t>
                    </m:r>
                  </m:sup>
                </m:sSup>
              </m:e>
            </m:d>
            <m:r>
              <w:rPr>
                <w:rFonts w:ascii="Cambria Math" w:eastAsiaTheme="minorEastAsia" w:hAnsi="Cambria Math" w:cs="Arial"/>
              </w:rPr>
              <m:t>,tot,nfa,tnt,gdebt</m:t>
            </m:r>
          </m:e>
        </m:d>
      </m:oMath>
      <w:r w:rsidRPr="00F47E01">
        <w:rPr>
          <w:rFonts w:ascii="Arial" w:eastAsiaTheme="minorEastAsia" w:hAnsi="Arial" w:cs="Arial"/>
        </w:rPr>
        <w:tab/>
      </w:r>
      <w:r w:rsidRPr="00F47E01">
        <w:rPr>
          <w:rFonts w:ascii="Arial" w:eastAsiaTheme="minorEastAsia" w:hAnsi="Arial" w:cs="Arial"/>
        </w:rPr>
        <w:tab/>
      </w:r>
      <w:r>
        <w:rPr>
          <w:rFonts w:ascii="Arial" w:eastAsiaTheme="minorEastAsia" w:hAnsi="Arial" w:cs="Arial"/>
        </w:rPr>
        <w:tab/>
      </w:r>
      <w:r>
        <w:rPr>
          <w:rFonts w:ascii="Arial" w:eastAsiaTheme="minorEastAsia" w:hAnsi="Arial" w:cs="Arial"/>
        </w:rPr>
        <w:tab/>
      </w:r>
      <w:r w:rsidR="00DD3EDE">
        <w:rPr>
          <w:rFonts w:ascii="Arial" w:eastAsiaTheme="minorEastAsia" w:hAnsi="Arial" w:cs="Arial"/>
        </w:rPr>
        <w:t xml:space="preserve">     </w:t>
      </w:r>
      <w:r>
        <w:rPr>
          <w:rFonts w:ascii="Arial" w:eastAsiaTheme="minorEastAsia" w:hAnsi="Arial" w:cs="Arial"/>
        </w:rPr>
        <w:t xml:space="preserve">            </w:t>
      </w:r>
      <w:r w:rsidRPr="00046F1F">
        <w:rPr>
          <w:rFonts w:ascii="Arial" w:eastAsiaTheme="minorEastAsia" w:hAnsi="Arial" w:cs="Arial"/>
        </w:rPr>
        <w:t>(3.1</w:t>
      </w:r>
      <w:r w:rsidR="00D66CDA">
        <w:rPr>
          <w:rFonts w:ascii="Arial" w:eastAsiaTheme="minorEastAsia" w:hAnsi="Arial" w:cs="Arial"/>
        </w:rPr>
        <w:t>4</w:t>
      </w:r>
      <w:r w:rsidRPr="00046F1F">
        <w:rPr>
          <w:rFonts w:ascii="Arial" w:eastAsiaTheme="minorEastAsia" w:hAnsi="Arial" w:cs="Arial"/>
        </w:rPr>
        <w:t>)</w:t>
      </w:r>
    </w:p>
    <w:p w14:paraId="20987984" w14:textId="77777777" w:rsidR="000C22EB" w:rsidRPr="00F47E01" w:rsidRDefault="000C22EB" w:rsidP="0066301C">
      <w:pPr>
        <w:spacing w:line="360" w:lineRule="auto"/>
        <w:jc w:val="both"/>
        <w:rPr>
          <w:rFonts w:ascii="Arial" w:eastAsiaTheme="minorEastAsia" w:hAnsi="Arial" w:cs="Arial"/>
        </w:rPr>
      </w:pPr>
      <w:r w:rsidRPr="00F47E01">
        <w:rPr>
          <w:rFonts w:ascii="Arial" w:eastAsiaTheme="minorEastAsia" w:hAnsi="Arial" w:cs="Arial"/>
        </w:rPr>
        <w:t xml:space="preserve">Whereby; </w:t>
      </w:r>
      <m:oMath>
        <m:d>
          <m:dPr>
            <m:ctrlPr>
              <w:rPr>
                <w:rFonts w:ascii="Cambria Math" w:eastAsiaTheme="minorEastAsia" w:hAnsi="Cambria Math" w:cs="Arial"/>
                <w:i/>
              </w:rPr>
            </m:ctrlPr>
          </m:dPr>
          <m:e>
            <m:r>
              <w:rPr>
                <w:rFonts w:ascii="Cambria Math" w:eastAsiaTheme="minorEastAsia" w:hAnsi="Cambria Math" w:cs="Arial"/>
              </w:rPr>
              <m:t xml:space="preserve">r- </m:t>
            </m:r>
            <m:sSup>
              <m:sSupPr>
                <m:ctrlPr>
                  <w:rPr>
                    <w:rFonts w:ascii="Cambria Math" w:eastAsiaTheme="minorEastAsia" w:hAnsi="Cambria Math" w:cs="Arial"/>
                    <w:i/>
                  </w:rPr>
                </m:ctrlPr>
              </m:sSupPr>
              <m:e>
                <m:r>
                  <w:rPr>
                    <w:rFonts w:ascii="Cambria Math" w:eastAsiaTheme="minorEastAsia" w:hAnsi="Cambria Math" w:cs="Arial"/>
                  </w:rPr>
                  <m:t>r</m:t>
                </m:r>
              </m:e>
              <m:sup>
                <m:r>
                  <w:rPr>
                    <w:rFonts w:ascii="Cambria Math" w:eastAsiaTheme="minorEastAsia" w:hAnsi="Cambria Math" w:cs="Arial"/>
                  </w:rPr>
                  <m:t>*</m:t>
                </m:r>
              </m:sup>
            </m:sSup>
          </m:e>
        </m:d>
      </m:oMath>
      <w:r w:rsidRPr="00F47E01">
        <w:rPr>
          <w:rFonts w:ascii="Arial" w:eastAsiaTheme="minorEastAsia" w:hAnsi="Arial" w:cs="Arial"/>
        </w:rPr>
        <w:t xml:space="preserve"> is the interest rate differential, TOT is the term of trade, NFA is the net foreign assets, TNT is the tradable to non-tradable, and GDEBT is government expenditures.</w:t>
      </w:r>
    </w:p>
    <w:p w14:paraId="147A88B5" w14:textId="1D98B3AB" w:rsidR="000C22EB" w:rsidRPr="00F47E01" w:rsidRDefault="000C22EB" w:rsidP="0066301C">
      <w:pPr>
        <w:spacing w:line="360" w:lineRule="auto"/>
        <w:jc w:val="both"/>
        <w:rPr>
          <w:rFonts w:ascii="Arial" w:hAnsi="Arial" w:cs="Arial"/>
        </w:rPr>
      </w:pPr>
      <w:r w:rsidRPr="00F47E01">
        <w:rPr>
          <w:rFonts w:ascii="Arial" w:eastAsiaTheme="minorEastAsia" w:hAnsi="Arial" w:cs="Arial"/>
        </w:rPr>
        <w:t xml:space="preserve">The above </w:t>
      </w:r>
      <w:r w:rsidRPr="00046F1F">
        <w:rPr>
          <w:rFonts w:ascii="Arial" w:eastAsiaTheme="minorEastAsia" w:hAnsi="Arial" w:cs="Arial"/>
        </w:rPr>
        <w:t>equation (3.1</w:t>
      </w:r>
      <w:r w:rsidR="00D66CDA">
        <w:rPr>
          <w:rFonts w:ascii="Arial" w:eastAsiaTheme="minorEastAsia" w:hAnsi="Arial" w:cs="Arial"/>
        </w:rPr>
        <w:t>4</w:t>
      </w:r>
      <w:r w:rsidRPr="00046F1F">
        <w:rPr>
          <w:rFonts w:ascii="Arial" w:eastAsiaTheme="minorEastAsia" w:hAnsi="Arial" w:cs="Arial"/>
        </w:rPr>
        <w:t>)</w:t>
      </w:r>
      <w:r w:rsidRPr="00F47E01">
        <w:rPr>
          <w:rFonts w:ascii="Arial" w:eastAsiaTheme="minorEastAsia" w:hAnsi="Arial" w:cs="Arial"/>
        </w:rPr>
        <w:t xml:space="preserve"> is similar to the internal and external equilibrium exchange rate determinant proposed by </w:t>
      </w:r>
      <w:r w:rsidRPr="00F47E01">
        <w:rPr>
          <w:rFonts w:ascii="Arial" w:hAnsi="Arial" w:cs="Arial"/>
        </w:rPr>
        <w:t xml:space="preserve">(Edwards, 1989) proxy as: </w:t>
      </w:r>
    </w:p>
    <w:p w14:paraId="3BDB53BB" w14:textId="59FAEE0F" w:rsidR="000C22EB" w:rsidRPr="00F47E01" w:rsidRDefault="000C22EB" w:rsidP="0066301C">
      <w:pPr>
        <w:spacing w:line="360" w:lineRule="auto"/>
        <w:jc w:val="center"/>
        <w:rPr>
          <w:rFonts w:ascii="Arial" w:hAnsi="Arial" w:cs="Arial"/>
        </w:rPr>
      </w:pPr>
      <m:oMath>
        <m:r>
          <w:rPr>
            <w:rFonts w:ascii="Cambria Math" w:hAnsi="Cambria Math" w:cs="Arial"/>
          </w:rPr>
          <m:t>REER=f</m:t>
        </m:r>
        <m:r>
          <m:rPr>
            <m:sty m:val="p"/>
          </m:rPr>
          <w:rPr>
            <w:rFonts w:ascii="Cambria Math" w:hAnsi="Cambria Math" w:cs="Arial"/>
          </w:rPr>
          <m:t>[</m:t>
        </m:r>
        <m:r>
          <w:rPr>
            <w:rFonts w:ascii="Cambria Math" w:hAnsi="Cambria Math" w:cs="Arial"/>
          </w:rPr>
          <m:t>TOT,NFA,GEXP,OPEN,PROD</m:t>
        </m:r>
        <m:r>
          <m:rPr>
            <m:sty m:val="p"/>
          </m:rPr>
          <w:rPr>
            <w:rFonts w:ascii="Cambria Math" w:hAnsi="Cambria Math" w:cs="Arial"/>
          </w:rPr>
          <m:t>]</m:t>
        </m:r>
      </m:oMath>
      <w:r w:rsidRPr="00F47E01">
        <w:rPr>
          <w:rFonts w:ascii="Arial" w:eastAsiaTheme="minorEastAsia" w:hAnsi="Arial" w:cs="Arial"/>
        </w:rPr>
        <w:tab/>
      </w:r>
      <w:r>
        <w:rPr>
          <w:rFonts w:ascii="Arial" w:eastAsiaTheme="minorEastAsia" w:hAnsi="Arial" w:cs="Arial"/>
        </w:rPr>
        <w:tab/>
      </w:r>
      <w:r>
        <w:rPr>
          <w:rFonts w:ascii="Arial" w:eastAsiaTheme="minorEastAsia" w:hAnsi="Arial" w:cs="Arial"/>
        </w:rPr>
        <w:tab/>
      </w:r>
      <w:r w:rsidR="00DD3EDE">
        <w:rPr>
          <w:rFonts w:ascii="Arial" w:eastAsiaTheme="minorEastAsia" w:hAnsi="Arial" w:cs="Arial"/>
        </w:rPr>
        <w:t xml:space="preserve">             </w:t>
      </w:r>
      <w:r>
        <w:rPr>
          <w:rFonts w:ascii="Arial" w:eastAsiaTheme="minorEastAsia" w:hAnsi="Arial" w:cs="Arial"/>
        </w:rPr>
        <w:t xml:space="preserve">            </w:t>
      </w:r>
      <w:r>
        <w:rPr>
          <w:rFonts w:ascii="Arial" w:eastAsiaTheme="minorEastAsia" w:hAnsi="Arial" w:cs="Arial"/>
        </w:rPr>
        <w:tab/>
      </w:r>
      <w:r w:rsidRPr="00D92A16">
        <w:rPr>
          <w:rFonts w:ascii="Arial" w:eastAsiaTheme="minorEastAsia" w:hAnsi="Arial" w:cs="Arial"/>
        </w:rPr>
        <w:t>(3.1</w:t>
      </w:r>
      <w:r w:rsidR="001213DC">
        <w:rPr>
          <w:rFonts w:ascii="Arial" w:eastAsiaTheme="minorEastAsia" w:hAnsi="Arial" w:cs="Arial"/>
        </w:rPr>
        <w:t>5</w:t>
      </w:r>
      <w:r w:rsidRPr="00D92A16">
        <w:rPr>
          <w:rFonts w:ascii="Arial" w:eastAsiaTheme="minorEastAsia" w:hAnsi="Arial" w:cs="Arial"/>
        </w:rPr>
        <w:t>)</w:t>
      </w:r>
    </w:p>
    <w:p w14:paraId="68280DD0" w14:textId="77777777" w:rsidR="000C22EB" w:rsidRPr="00F47E01" w:rsidRDefault="000C22EB" w:rsidP="0066301C">
      <w:pPr>
        <w:pStyle w:val="i"/>
        <w:spacing w:before="0"/>
        <w:rPr>
          <w:rFonts w:ascii="Arial" w:hAnsi="Arial" w:cs="Arial"/>
          <w:sz w:val="22"/>
          <w:szCs w:val="22"/>
        </w:rPr>
      </w:pPr>
      <w:r w:rsidRPr="00F47E01">
        <w:rPr>
          <w:rFonts w:ascii="Arial" w:hAnsi="Arial" w:cs="Arial"/>
          <w:sz w:val="22"/>
          <w:szCs w:val="22"/>
        </w:rPr>
        <w:t>Based on the discussion above, we estimate the following econometric (empirical) model, which encompass all the variables:</w:t>
      </w:r>
    </w:p>
    <w:p w14:paraId="63A6DF71" w14:textId="5274F6AC" w:rsidR="000C22EB" w:rsidRDefault="00000000" w:rsidP="0066301C">
      <w:pPr>
        <w:pStyle w:val="i"/>
        <w:spacing w:before="0"/>
        <w:jc w:val="center"/>
        <w:rPr>
          <w:rFonts w:ascii="Arial" w:hAnsi="Arial" w:cs="Arial"/>
          <w:sz w:val="22"/>
          <w:szCs w:val="22"/>
        </w:rPr>
      </w:pPr>
      <m:oMath>
        <m:sSub>
          <m:sSubPr>
            <m:ctrlPr>
              <w:rPr>
                <w:rFonts w:ascii="Cambria Math" w:hAnsi="Cambria Math" w:cs="Arial"/>
                <w:i/>
                <w:sz w:val="22"/>
                <w:szCs w:val="22"/>
              </w:rPr>
            </m:ctrlPr>
          </m:sSubPr>
          <m:e>
            <m:r>
              <m:rPr>
                <m:sty m:val="p"/>
              </m:rPr>
              <w:rPr>
                <w:rFonts w:ascii="Cambria Math" w:hAnsi="Cambria Math" w:cs="Arial"/>
                <w:sz w:val="22"/>
                <w:szCs w:val="22"/>
              </w:rPr>
              <m:t>REER</m:t>
            </m:r>
          </m:e>
          <m:sub>
            <m:r>
              <m:rPr>
                <m:sty m:val="p"/>
              </m:rPr>
              <w:rPr>
                <w:rFonts w:ascii="Cambria Math" w:hAnsi="Cambria Math" w:cs="Arial"/>
                <w:sz w:val="22"/>
                <w:szCs w:val="22"/>
                <w:vertAlign w:val="subscript"/>
              </w:rPr>
              <m:t>it</m:t>
            </m:r>
          </m:sub>
        </m:sSub>
        <m:r>
          <w:rPr>
            <w:rFonts w:ascii="Cambria Math" w:hAnsi="Cambria Math" w:cs="Arial"/>
            <w:sz w:val="22"/>
            <w:szCs w:val="22"/>
          </w:rPr>
          <m:t>=</m:t>
        </m:r>
        <m:sSub>
          <m:sSubPr>
            <m:ctrlPr>
              <w:rPr>
                <w:rFonts w:ascii="Cambria Math" w:hAnsi="Cambria Math" w:cs="Arial"/>
                <w:i/>
                <w:sz w:val="22"/>
                <w:szCs w:val="22"/>
              </w:rPr>
            </m:ctrlPr>
          </m:sSubPr>
          <m:e>
            <m:r>
              <m:rPr>
                <m:sty m:val="p"/>
              </m:rPr>
              <w:rPr>
                <w:rFonts w:ascii="Cambria Math" w:hAnsi="Cambria Math" w:cs="Arial"/>
                <w:sz w:val="22"/>
                <w:szCs w:val="22"/>
              </w:rPr>
              <m:t>α</m:t>
            </m:r>
          </m:e>
          <m:sub>
            <m:r>
              <m:rPr>
                <m:sty m:val="p"/>
              </m:rPr>
              <w:rPr>
                <w:rFonts w:ascii="Cambria Math" w:hAnsi="Cambria Math" w:cs="Arial"/>
                <w:sz w:val="22"/>
                <w:szCs w:val="22"/>
                <w:vertAlign w:val="subscript"/>
              </w:rPr>
              <m:t>0</m:t>
            </m:r>
          </m:sub>
        </m:sSub>
        <m:r>
          <w:rPr>
            <w:rFonts w:ascii="Cambria Math" w:hAnsi="Cambria Math" w:cs="Arial"/>
            <w:sz w:val="22"/>
            <w:szCs w:val="22"/>
          </w:rPr>
          <m:t>+</m:t>
        </m:r>
        <m:sSub>
          <m:sSubPr>
            <m:ctrlPr>
              <w:rPr>
                <w:rFonts w:ascii="Cambria Math" w:hAnsi="Cambria Math" w:cs="Arial"/>
                <w:i/>
                <w:sz w:val="22"/>
                <w:szCs w:val="22"/>
              </w:rPr>
            </m:ctrlPr>
          </m:sSubPr>
          <m:e>
            <m:r>
              <m:rPr>
                <m:sty m:val="p"/>
              </m:rPr>
              <w:rPr>
                <w:rFonts w:ascii="Cambria Math" w:hAnsi="Cambria Math" w:cs="Arial"/>
                <w:sz w:val="22"/>
                <w:szCs w:val="22"/>
              </w:rPr>
              <m:t>α</m:t>
            </m:r>
          </m:e>
          <m:sub>
            <m:r>
              <m:rPr>
                <m:sty m:val="p"/>
              </m:rPr>
              <w:rPr>
                <w:rFonts w:ascii="Cambria Math" w:hAnsi="Cambria Math" w:cs="Arial"/>
                <w:sz w:val="22"/>
                <w:szCs w:val="22"/>
                <w:vertAlign w:val="subscript"/>
              </w:rPr>
              <m:t>1</m:t>
            </m:r>
          </m:sub>
        </m:sSub>
        <m:sSub>
          <m:sSubPr>
            <m:ctrlPr>
              <w:rPr>
                <w:rFonts w:ascii="Cambria Math" w:hAnsi="Cambria Math" w:cs="Arial"/>
                <w:i/>
                <w:sz w:val="22"/>
                <w:szCs w:val="22"/>
              </w:rPr>
            </m:ctrlPr>
          </m:sSubPr>
          <m:e>
            <m:r>
              <m:rPr>
                <m:sty m:val="p"/>
              </m:rPr>
              <w:rPr>
                <w:rFonts w:ascii="Cambria Math" w:hAnsi="Cambria Math" w:cs="Arial"/>
                <w:sz w:val="22"/>
                <w:szCs w:val="22"/>
              </w:rPr>
              <m:t>TOT</m:t>
            </m:r>
          </m:e>
          <m:sub>
            <m:r>
              <m:rPr>
                <m:sty m:val="p"/>
              </m:rPr>
              <w:rPr>
                <w:rFonts w:ascii="Cambria Math" w:hAnsi="Cambria Math" w:cs="Arial"/>
                <w:sz w:val="22"/>
                <w:szCs w:val="22"/>
                <w:vertAlign w:val="subscript"/>
              </w:rPr>
              <m:t>it</m:t>
            </m:r>
          </m:sub>
        </m:sSub>
        <m:r>
          <w:rPr>
            <w:rFonts w:ascii="Cambria Math" w:hAnsi="Cambria Math" w:cs="Arial"/>
            <w:sz w:val="22"/>
            <w:szCs w:val="22"/>
          </w:rPr>
          <m:t>+</m:t>
        </m:r>
        <m:sSub>
          <m:sSubPr>
            <m:ctrlPr>
              <w:rPr>
                <w:rFonts w:ascii="Cambria Math" w:hAnsi="Cambria Math" w:cs="Arial"/>
                <w:i/>
                <w:sz w:val="22"/>
                <w:szCs w:val="22"/>
              </w:rPr>
            </m:ctrlPr>
          </m:sSubPr>
          <m:e>
            <m:r>
              <m:rPr>
                <m:sty m:val="p"/>
              </m:rPr>
              <w:rPr>
                <w:rFonts w:ascii="Cambria Math" w:hAnsi="Cambria Math" w:cs="Arial"/>
                <w:sz w:val="22"/>
                <w:szCs w:val="22"/>
              </w:rPr>
              <m:t>α</m:t>
            </m:r>
          </m:e>
          <m:sub>
            <m:r>
              <m:rPr>
                <m:sty m:val="p"/>
              </m:rPr>
              <w:rPr>
                <w:rFonts w:ascii="Cambria Math" w:hAnsi="Cambria Math" w:cs="Arial"/>
                <w:sz w:val="22"/>
                <w:szCs w:val="22"/>
                <w:vertAlign w:val="subscript"/>
              </w:rPr>
              <m:t>2</m:t>
            </m:r>
          </m:sub>
        </m:sSub>
        <m:sSub>
          <m:sSubPr>
            <m:ctrlPr>
              <w:rPr>
                <w:rFonts w:ascii="Cambria Math" w:hAnsi="Cambria Math" w:cs="Arial"/>
                <w:i/>
                <w:sz w:val="22"/>
                <w:szCs w:val="22"/>
              </w:rPr>
            </m:ctrlPr>
          </m:sSubPr>
          <m:e>
            <m:r>
              <m:rPr>
                <m:sty m:val="p"/>
              </m:rPr>
              <w:rPr>
                <w:rFonts w:ascii="Cambria Math" w:hAnsi="Cambria Math" w:cs="Arial"/>
                <w:sz w:val="22"/>
                <w:szCs w:val="22"/>
              </w:rPr>
              <m:t>NFA</m:t>
            </m:r>
          </m:e>
          <m:sub>
            <m:r>
              <m:rPr>
                <m:sty m:val="p"/>
              </m:rPr>
              <w:rPr>
                <w:rFonts w:ascii="Cambria Math" w:hAnsi="Cambria Math" w:cs="Arial"/>
                <w:sz w:val="22"/>
                <w:szCs w:val="22"/>
                <w:vertAlign w:val="subscript"/>
              </w:rPr>
              <m:t>it</m:t>
            </m:r>
          </m:sub>
        </m:sSub>
        <m:r>
          <w:rPr>
            <w:rFonts w:ascii="Cambria Math" w:hAnsi="Cambria Math" w:cs="Arial"/>
            <w:sz w:val="22"/>
            <w:szCs w:val="22"/>
          </w:rPr>
          <m:t>+</m:t>
        </m:r>
        <m:sSub>
          <m:sSubPr>
            <m:ctrlPr>
              <w:rPr>
                <w:rFonts w:ascii="Cambria Math" w:hAnsi="Cambria Math" w:cs="Arial"/>
                <w:i/>
                <w:sz w:val="22"/>
                <w:szCs w:val="22"/>
              </w:rPr>
            </m:ctrlPr>
          </m:sSubPr>
          <m:e>
            <m:r>
              <m:rPr>
                <m:sty m:val="p"/>
              </m:rPr>
              <w:rPr>
                <w:rFonts w:ascii="Cambria Math" w:hAnsi="Cambria Math" w:cs="Arial"/>
                <w:sz w:val="22"/>
                <w:szCs w:val="22"/>
              </w:rPr>
              <m:t>α</m:t>
            </m:r>
          </m:e>
          <m:sub>
            <m:r>
              <m:rPr>
                <m:sty m:val="p"/>
              </m:rPr>
              <w:rPr>
                <w:rFonts w:ascii="Cambria Math" w:hAnsi="Cambria Math" w:cs="Arial"/>
                <w:sz w:val="22"/>
                <w:szCs w:val="22"/>
                <w:vertAlign w:val="subscript"/>
              </w:rPr>
              <m:t>3</m:t>
            </m:r>
          </m:sub>
        </m:sSub>
        <m:sSub>
          <m:sSubPr>
            <m:ctrlPr>
              <w:rPr>
                <w:rFonts w:ascii="Cambria Math" w:hAnsi="Cambria Math" w:cs="Arial"/>
                <w:i/>
                <w:sz w:val="22"/>
                <w:szCs w:val="22"/>
              </w:rPr>
            </m:ctrlPr>
          </m:sSubPr>
          <m:e>
            <m:r>
              <m:rPr>
                <m:sty m:val="p"/>
              </m:rPr>
              <w:rPr>
                <w:rFonts w:ascii="Cambria Math" w:hAnsi="Cambria Math" w:cs="Arial"/>
                <w:sz w:val="22"/>
                <w:szCs w:val="22"/>
              </w:rPr>
              <m:t>GOVCON</m:t>
            </m:r>
          </m:e>
          <m:sub>
            <m:r>
              <m:rPr>
                <m:sty m:val="p"/>
              </m:rPr>
              <w:rPr>
                <w:rFonts w:ascii="Cambria Math" w:hAnsi="Cambria Math" w:cs="Arial"/>
                <w:sz w:val="22"/>
                <w:szCs w:val="22"/>
                <w:vertAlign w:val="subscript"/>
              </w:rPr>
              <m:t>it</m:t>
            </m:r>
          </m:sub>
        </m:sSub>
        <m:r>
          <w:rPr>
            <w:rFonts w:ascii="Cambria Math" w:hAnsi="Cambria Math" w:cs="Arial"/>
            <w:sz w:val="22"/>
            <w:szCs w:val="22"/>
          </w:rPr>
          <m:t>+</m:t>
        </m:r>
        <m:sSub>
          <m:sSubPr>
            <m:ctrlPr>
              <w:rPr>
                <w:rFonts w:ascii="Cambria Math" w:hAnsi="Cambria Math" w:cs="Arial"/>
                <w:i/>
                <w:sz w:val="22"/>
                <w:szCs w:val="22"/>
              </w:rPr>
            </m:ctrlPr>
          </m:sSubPr>
          <m:e>
            <m:r>
              <m:rPr>
                <m:sty m:val="p"/>
              </m:rPr>
              <w:rPr>
                <w:rFonts w:ascii="Cambria Math" w:hAnsi="Cambria Math" w:cs="Arial"/>
                <w:sz w:val="22"/>
                <w:szCs w:val="22"/>
              </w:rPr>
              <m:t>α</m:t>
            </m:r>
          </m:e>
          <m:sub>
            <m:r>
              <m:rPr>
                <m:sty m:val="p"/>
              </m:rPr>
              <w:rPr>
                <w:rFonts w:ascii="Cambria Math" w:hAnsi="Cambria Math" w:cs="Arial"/>
                <w:sz w:val="22"/>
                <w:szCs w:val="22"/>
                <w:vertAlign w:val="subscript"/>
              </w:rPr>
              <m:t>4</m:t>
            </m:r>
          </m:sub>
        </m:sSub>
        <m:sSub>
          <m:sSubPr>
            <m:ctrlPr>
              <w:rPr>
                <w:rFonts w:ascii="Cambria Math" w:hAnsi="Cambria Math" w:cs="Arial"/>
                <w:i/>
                <w:sz w:val="22"/>
                <w:szCs w:val="22"/>
              </w:rPr>
            </m:ctrlPr>
          </m:sSubPr>
          <m:e>
            <m:r>
              <m:rPr>
                <m:sty m:val="p"/>
              </m:rPr>
              <w:rPr>
                <w:rFonts w:ascii="Cambria Math" w:hAnsi="Cambria Math" w:cs="Arial"/>
                <w:sz w:val="22"/>
                <w:szCs w:val="22"/>
              </w:rPr>
              <m:t>OPEN</m:t>
            </m:r>
          </m:e>
          <m:sub>
            <m:r>
              <m:rPr>
                <m:sty m:val="p"/>
              </m:rPr>
              <w:rPr>
                <w:rFonts w:ascii="Cambria Math" w:hAnsi="Cambria Math" w:cs="Arial"/>
                <w:sz w:val="22"/>
                <w:szCs w:val="22"/>
                <w:vertAlign w:val="subscript"/>
              </w:rPr>
              <m:t>it</m:t>
            </m:r>
          </m:sub>
        </m:sSub>
        <m:r>
          <w:rPr>
            <w:rFonts w:ascii="Cambria Math" w:hAnsi="Cambria Math" w:cs="Arial"/>
            <w:sz w:val="22"/>
            <w:szCs w:val="22"/>
          </w:rPr>
          <m:t>+</m:t>
        </m:r>
        <m:sSub>
          <m:sSubPr>
            <m:ctrlPr>
              <w:rPr>
                <w:rFonts w:ascii="Cambria Math" w:hAnsi="Cambria Math" w:cs="Arial"/>
                <w:i/>
                <w:sz w:val="22"/>
                <w:szCs w:val="22"/>
              </w:rPr>
            </m:ctrlPr>
          </m:sSubPr>
          <m:e>
            <m:r>
              <m:rPr>
                <m:sty m:val="p"/>
              </m:rPr>
              <w:rPr>
                <w:rFonts w:ascii="Cambria Math" w:hAnsi="Cambria Math" w:cs="Arial"/>
                <w:sz w:val="22"/>
                <w:szCs w:val="22"/>
              </w:rPr>
              <m:t>α</m:t>
            </m:r>
          </m:e>
          <m:sub>
            <m:r>
              <m:rPr>
                <m:sty m:val="p"/>
              </m:rPr>
              <w:rPr>
                <w:rFonts w:ascii="Cambria Math" w:hAnsi="Cambria Math" w:cs="Arial"/>
                <w:sz w:val="22"/>
                <w:szCs w:val="22"/>
                <w:vertAlign w:val="subscript"/>
              </w:rPr>
              <m:t>5</m:t>
            </m:r>
          </m:sub>
        </m:sSub>
        <m:sSub>
          <m:sSubPr>
            <m:ctrlPr>
              <w:rPr>
                <w:rFonts w:ascii="Cambria Math" w:hAnsi="Cambria Math" w:cs="Arial"/>
                <w:i/>
                <w:sz w:val="22"/>
                <w:szCs w:val="22"/>
              </w:rPr>
            </m:ctrlPr>
          </m:sSubPr>
          <m:e>
            <m:r>
              <m:rPr>
                <m:sty m:val="p"/>
              </m:rPr>
              <w:rPr>
                <w:rFonts w:ascii="Cambria Math" w:hAnsi="Cambria Math" w:cs="Arial"/>
                <w:sz w:val="22"/>
                <w:szCs w:val="22"/>
              </w:rPr>
              <m:t>PROD</m:t>
            </m:r>
          </m:e>
          <m:sub>
            <m:r>
              <m:rPr>
                <m:sty m:val="p"/>
              </m:rPr>
              <w:rPr>
                <w:rFonts w:ascii="Cambria Math" w:hAnsi="Cambria Math" w:cs="Arial"/>
                <w:sz w:val="22"/>
                <w:szCs w:val="22"/>
                <w:vertAlign w:val="subscript"/>
              </w:rPr>
              <m:t>it</m:t>
            </m:r>
          </m:sub>
        </m:sSub>
        <m:r>
          <w:rPr>
            <w:rFonts w:ascii="Cambria Math" w:hAnsi="Cambria Math" w:cs="Arial"/>
            <w:sz w:val="22"/>
            <w:szCs w:val="22"/>
          </w:rPr>
          <m:t>+</m:t>
        </m:r>
        <m:sSub>
          <m:sSubPr>
            <m:ctrlPr>
              <w:rPr>
                <w:rFonts w:ascii="Cambria Math" w:hAnsi="Cambria Math" w:cs="Arial"/>
                <w:i/>
                <w:sz w:val="22"/>
                <w:szCs w:val="22"/>
              </w:rPr>
            </m:ctrlPr>
          </m:sSubPr>
          <m:e>
            <m:r>
              <m:rPr>
                <m:sty m:val="p"/>
              </m:rPr>
              <w:rPr>
                <w:rFonts w:ascii="Cambria Math" w:eastAsia="Segoe UI Symbol" w:hAnsi="Cambria Math" w:cs="Arial"/>
                <w:sz w:val="22"/>
                <w:szCs w:val="22"/>
              </w:rPr>
              <m:t>ε</m:t>
            </m:r>
          </m:e>
          <m:sub>
            <m:r>
              <m:rPr>
                <m:sty m:val="p"/>
              </m:rPr>
              <w:rPr>
                <w:rFonts w:ascii="Cambria Math" w:hAnsi="Cambria Math" w:cs="Arial"/>
                <w:sz w:val="22"/>
                <w:szCs w:val="22"/>
                <w:vertAlign w:val="subscript"/>
              </w:rPr>
              <m:t>it</m:t>
            </m:r>
          </m:sub>
        </m:sSub>
      </m:oMath>
      <w:r w:rsidR="000C22EB" w:rsidRPr="003D0D02">
        <w:rPr>
          <w:rFonts w:ascii="Arial" w:hAnsi="Arial" w:cs="Arial"/>
          <w:sz w:val="22"/>
          <w:szCs w:val="22"/>
        </w:rPr>
        <w:t xml:space="preserve">     </w:t>
      </w:r>
      <w:r w:rsidR="000C22EB">
        <w:rPr>
          <w:rFonts w:ascii="Arial" w:hAnsi="Arial" w:cs="Arial"/>
          <w:sz w:val="22"/>
          <w:szCs w:val="22"/>
        </w:rPr>
        <w:t xml:space="preserve">     </w:t>
      </w:r>
      <w:r w:rsidR="000C22EB" w:rsidRPr="00D92A16">
        <w:rPr>
          <w:rFonts w:ascii="Arial" w:hAnsi="Arial" w:cs="Arial"/>
          <w:sz w:val="22"/>
          <w:szCs w:val="22"/>
        </w:rPr>
        <w:t>(3.1</w:t>
      </w:r>
      <w:r w:rsidR="001213DC">
        <w:rPr>
          <w:rFonts w:ascii="Arial" w:hAnsi="Arial" w:cs="Arial"/>
          <w:sz w:val="22"/>
          <w:szCs w:val="22"/>
        </w:rPr>
        <w:t>6</w:t>
      </w:r>
      <w:r w:rsidR="000C22EB" w:rsidRPr="00D92A16">
        <w:rPr>
          <w:rFonts w:ascii="Arial" w:hAnsi="Arial" w:cs="Arial"/>
          <w:sz w:val="22"/>
          <w:szCs w:val="22"/>
        </w:rPr>
        <w:t>)</w:t>
      </w:r>
    </w:p>
    <w:p w14:paraId="0CF9738F" w14:textId="59315B56" w:rsidR="00D66CDA" w:rsidRDefault="00D66CDA" w:rsidP="0066301C">
      <w:pPr>
        <w:pStyle w:val="i"/>
        <w:spacing w:before="0"/>
        <w:rPr>
          <w:rFonts w:ascii="Arial" w:hAnsi="Arial" w:cs="Arial"/>
          <w:sz w:val="22"/>
          <w:szCs w:val="22"/>
        </w:rPr>
      </w:pPr>
      <w:bookmarkStart w:id="125" w:name="_Hlk170834800"/>
      <w:r>
        <w:rPr>
          <w:rFonts w:ascii="Arial" w:hAnsi="Arial" w:cs="Arial"/>
          <w:sz w:val="22"/>
          <w:szCs w:val="22"/>
        </w:rPr>
        <w:t xml:space="preserve">Thus, the estimation of the BEER </w:t>
      </w:r>
      <w:r w:rsidR="001213DC">
        <w:rPr>
          <w:rFonts w:ascii="Arial" w:hAnsi="Arial" w:cs="Arial"/>
          <w:sz w:val="22"/>
          <w:szCs w:val="22"/>
        </w:rPr>
        <w:t>basically</w:t>
      </w:r>
      <w:r>
        <w:rPr>
          <w:rFonts w:ascii="Arial" w:hAnsi="Arial" w:cs="Arial"/>
          <w:sz w:val="22"/>
          <w:szCs w:val="22"/>
        </w:rPr>
        <w:t xml:space="preserve"> proceeds in four stages:</w:t>
      </w:r>
    </w:p>
    <w:p w14:paraId="29E8EA44" w14:textId="1972A81F" w:rsidR="00D66CDA" w:rsidRDefault="00D66CDA" w:rsidP="0066301C">
      <w:pPr>
        <w:pStyle w:val="i"/>
        <w:numPr>
          <w:ilvl w:val="0"/>
          <w:numId w:val="44"/>
        </w:numPr>
        <w:spacing w:before="0"/>
        <w:ind w:left="0" w:firstLine="0"/>
        <w:rPr>
          <w:rFonts w:ascii="Arial" w:hAnsi="Arial" w:cs="Arial"/>
          <w:sz w:val="22"/>
          <w:szCs w:val="22"/>
        </w:rPr>
      </w:pPr>
      <w:r>
        <w:rPr>
          <w:rFonts w:ascii="Arial" w:hAnsi="Arial" w:cs="Arial"/>
          <w:sz w:val="22"/>
          <w:szCs w:val="22"/>
        </w:rPr>
        <w:t xml:space="preserve">Estimating the statistical long-term relationship between the RER, the </w:t>
      </w:r>
      <w:r w:rsidR="001213DC">
        <w:rPr>
          <w:rFonts w:ascii="Arial" w:hAnsi="Arial" w:cs="Arial"/>
          <w:sz w:val="22"/>
          <w:szCs w:val="22"/>
        </w:rPr>
        <w:t>fundamentals,</w:t>
      </w:r>
      <w:r>
        <w:rPr>
          <w:rFonts w:ascii="Arial" w:hAnsi="Arial" w:cs="Arial"/>
          <w:sz w:val="22"/>
          <w:szCs w:val="22"/>
        </w:rPr>
        <w:t xml:space="preserve"> and the short-run variables, which is synonymous to</w:t>
      </w:r>
      <w:r w:rsidR="008D491E">
        <w:rPr>
          <w:rFonts w:ascii="Arial" w:hAnsi="Arial" w:cs="Arial"/>
          <w:sz w:val="22"/>
          <w:szCs w:val="22"/>
        </w:rPr>
        <w:t xml:space="preserve"> estimating a reduced form RER model. This is often achieved using a VECM approach or a panel estimator</w:t>
      </w:r>
      <w:r w:rsidR="005F7315">
        <w:rPr>
          <w:rFonts w:ascii="Arial" w:hAnsi="Arial" w:cs="Arial"/>
          <w:sz w:val="22"/>
          <w:szCs w:val="22"/>
        </w:rPr>
        <w:t>.</w:t>
      </w:r>
    </w:p>
    <w:p w14:paraId="55B006E9" w14:textId="7CF2E010" w:rsidR="008D491E" w:rsidRDefault="008D491E" w:rsidP="0066301C">
      <w:pPr>
        <w:pStyle w:val="i"/>
        <w:numPr>
          <w:ilvl w:val="0"/>
          <w:numId w:val="44"/>
        </w:numPr>
        <w:spacing w:before="0"/>
        <w:ind w:left="0" w:firstLine="0"/>
        <w:rPr>
          <w:rFonts w:ascii="Arial" w:hAnsi="Arial" w:cs="Arial"/>
          <w:sz w:val="22"/>
          <w:szCs w:val="22"/>
        </w:rPr>
      </w:pPr>
      <w:r>
        <w:rPr>
          <w:rFonts w:ascii="Arial" w:hAnsi="Arial" w:cs="Arial"/>
          <w:sz w:val="22"/>
          <w:szCs w:val="22"/>
        </w:rPr>
        <w:t xml:space="preserve">Calculating the actual </w:t>
      </w:r>
      <w:r w:rsidR="00932DBA">
        <w:rPr>
          <w:rFonts w:ascii="Arial" w:hAnsi="Arial" w:cs="Arial"/>
          <w:sz w:val="22"/>
          <w:szCs w:val="22"/>
        </w:rPr>
        <w:t xml:space="preserve">or current misalignment. The short-run variables are set to zero and the actual </w:t>
      </w:r>
      <w:r w:rsidR="00366942">
        <w:rPr>
          <w:rFonts w:ascii="Arial" w:hAnsi="Arial" w:cs="Arial"/>
          <w:sz w:val="22"/>
          <w:szCs w:val="22"/>
        </w:rPr>
        <w:t>of fundamentals identified in step 1) are substituted into the estimated relationship. The actual misalignment is taken as the difference between the fitted and the actual value of the RER</w:t>
      </w:r>
      <w:r w:rsidR="005F7315">
        <w:rPr>
          <w:rFonts w:ascii="Arial" w:hAnsi="Arial" w:cs="Arial"/>
          <w:sz w:val="22"/>
          <w:szCs w:val="22"/>
        </w:rPr>
        <w:t>.</w:t>
      </w:r>
    </w:p>
    <w:p w14:paraId="3EE2E85D" w14:textId="3FA81E22" w:rsidR="00366942" w:rsidRDefault="00366942" w:rsidP="0066301C">
      <w:pPr>
        <w:pStyle w:val="i"/>
        <w:numPr>
          <w:ilvl w:val="0"/>
          <w:numId w:val="44"/>
        </w:numPr>
        <w:spacing w:before="0"/>
        <w:ind w:left="0" w:firstLine="0"/>
        <w:rPr>
          <w:rFonts w:ascii="Arial" w:hAnsi="Arial" w:cs="Arial"/>
          <w:sz w:val="22"/>
          <w:szCs w:val="22"/>
        </w:rPr>
      </w:pPr>
      <w:r>
        <w:rPr>
          <w:rFonts w:ascii="Arial" w:hAnsi="Arial" w:cs="Arial"/>
          <w:sz w:val="22"/>
          <w:szCs w:val="22"/>
        </w:rPr>
        <w:t>Identifying long-term or sustainable values for the fundamentals. This could be achieved by decomposing the series into permanent and transitory components (for example the HP filter or a Beveridge-Nelson decomposition) or using a subjective evaluation of the long-term values</w:t>
      </w:r>
      <w:r w:rsidR="005F7315">
        <w:rPr>
          <w:rFonts w:ascii="Arial" w:hAnsi="Arial" w:cs="Arial"/>
          <w:sz w:val="22"/>
          <w:szCs w:val="22"/>
        </w:rPr>
        <w:t>.</w:t>
      </w:r>
    </w:p>
    <w:p w14:paraId="0A31B96C" w14:textId="1E9A6C45" w:rsidR="00366942" w:rsidRPr="00680D94" w:rsidRDefault="00366942" w:rsidP="0066301C">
      <w:pPr>
        <w:pStyle w:val="i"/>
        <w:numPr>
          <w:ilvl w:val="0"/>
          <w:numId w:val="44"/>
        </w:numPr>
        <w:spacing w:before="0"/>
        <w:ind w:left="0" w:firstLine="0"/>
        <w:rPr>
          <w:rFonts w:ascii="Arial" w:hAnsi="Arial" w:cs="Arial"/>
          <w:sz w:val="22"/>
          <w:szCs w:val="22"/>
        </w:rPr>
      </w:pPr>
      <w:r>
        <w:rPr>
          <w:rFonts w:ascii="Arial" w:hAnsi="Arial" w:cs="Arial"/>
          <w:sz w:val="22"/>
          <w:szCs w:val="22"/>
        </w:rPr>
        <w:t>Calculate total misalignment</w:t>
      </w:r>
      <w:r w:rsidR="00C316FC">
        <w:rPr>
          <w:rFonts w:ascii="Arial" w:hAnsi="Arial" w:cs="Arial"/>
          <w:sz w:val="22"/>
          <w:szCs w:val="22"/>
        </w:rPr>
        <w:t xml:space="preserve">. </w:t>
      </w:r>
      <w:r w:rsidR="005F7315">
        <w:rPr>
          <w:rFonts w:ascii="Arial" w:hAnsi="Arial" w:cs="Arial"/>
          <w:sz w:val="22"/>
          <w:szCs w:val="22"/>
        </w:rPr>
        <w:t>T</w:t>
      </w:r>
      <w:r w:rsidR="00C316FC">
        <w:rPr>
          <w:rFonts w:ascii="Arial" w:hAnsi="Arial" w:cs="Arial"/>
          <w:sz w:val="22"/>
          <w:szCs w:val="22"/>
        </w:rPr>
        <w:t>he long-term values of fundamental</w:t>
      </w:r>
      <w:r w:rsidR="005F7315">
        <w:rPr>
          <w:rFonts w:ascii="Arial" w:hAnsi="Arial" w:cs="Arial"/>
          <w:sz w:val="22"/>
          <w:szCs w:val="22"/>
        </w:rPr>
        <w:t>s</w:t>
      </w:r>
      <w:r w:rsidR="00C316FC">
        <w:rPr>
          <w:rFonts w:ascii="Arial" w:hAnsi="Arial" w:cs="Arial"/>
          <w:sz w:val="22"/>
          <w:szCs w:val="22"/>
        </w:rPr>
        <w:t xml:space="preserve"> are substituted into the estimated relationship, relating the RER to the fundamentals, and short-term variables are again set to zero. Total m</w:t>
      </w:r>
      <w:r w:rsidR="00AA2E4D">
        <w:rPr>
          <w:rFonts w:ascii="Arial" w:hAnsi="Arial" w:cs="Arial"/>
          <w:sz w:val="22"/>
          <w:szCs w:val="22"/>
        </w:rPr>
        <w:t>isalignment is the difference between the fitted and actual val</w:t>
      </w:r>
      <w:r w:rsidR="005F7315">
        <w:rPr>
          <w:rFonts w:ascii="Arial" w:hAnsi="Arial" w:cs="Arial"/>
          <w:sz w:val="22"/>
          <w:szCs w:val="22"/>
        </w:rPr>
        <w:t>u</w:t>
      </w:r>
      <w:r w:rsidR="00AA2E4D">
        <w:rPr>
          <w:rFonts w:ascii="Arial" w:hAnsi="Arial" w:cs="Arial"/>
          <w:sz w:val="22"/>
          <w:szCs w:val="22"/>
        </w:rPr>
        <w:t xml:space="preserve">e of the RER when sustainable values of fundamentals are used. </w:t>
      </w:r>
      <w:r w:rsidR="005F7315">
        <w:rPr>
          <w:rFonts w:ascii="Arial" w:hAnsi="Arial" w:cs="Arial"/>
          <w:sz w:val="22"/>
          <w:szCs w:val="22"/>
        </w:rPr>
        <w:t>T</w:t>
      </w:r>
      <w:r w:rsidR="00AA2E4D">
        <w:rPr>
          <w:rFonts w:ascii="Arial" w:hAnsi="Arial" w:cs="Arial"/>
          <w:sz w:val="22"/>
          <w:szCs w:val="22"/>
        </w:rPr>
        <w:t>otal misalignment depends on the short-term effect and on the departure of fundamentals from their long-term value.</w:t>
      </w:r>
    </w:p>
    <w:p w14:paraId="6331FCAD" w14:textId="360B9FCC" w:rsidR="00680D94" w:rsidRDefault="00A114B7" w:rsidP="0066301C">
      <w:pPr>
        <w:pStyle w:val="Heading3"/>
        <w:numPr>
          <w:ilvl w:val="0"/>
          <w:numId w:val="0"/>
        </w:numPr>
        <w:spacing w:before="0" w:beforeAutospacing="0"/>
      </w:pPr>
      <w:bookmarkStart w:id="126" w:name="_Toc171075378"/>
      <w:bookmarkEnd w:id="125"/>
      <w:r>
        <w:t>3</w:t>
      </w:r>
      <w:r w:rsidR="00680D94">
        <w:t>.</w:t>
      </w:r>
      <w:r w:rsidR="00AA2E4D">
        <w:t>3</w:t>
      </w:r>
      <w:r w:rsidR="00680D94">
        <w:t>.</w:t>
      </w:r>
      <w:r w:rsidR="00680D94" w:rsidRPr="001F7562">
        <w:t>1</w:t>
      </w:r>
      <w:r w:rsidR="001F7562">
        <w:tab/>
      </w:r>
      <w:r w:rsidR="00680D94" w:rsidRPr="001F7562">
        <w:t>TYPES</w:t>
      </w:r>
      <w:r w:rsidR="00680D94" w:rsidRPr="00680D94">
        <w:t xml:space="preserve"> AND </w:t>
      </w:r>
      <w:r w:rsidR="00680D94" w:rsidRPr="002E5CA3">
        <w:t>SOURCE</w:t>
      </w:r>
      <w:r w:rsidR="00680D94" w:rsidRPr="00680D94">
        <w:t xml:space="preserve"> OF DATA</w:t>
      </w:r>
      <w:bookmarkEnd w:id="126"/>
      <w:r w:rsidR="00680D94" w:rsidRPr="00A24A53">
        <w:t xml:space="preserve"> </w:t>
      </w:r>
    </w:p>
    <w:p w14:paraId="5B656223" w14:textId="1302DDFB" w:rsidR="005D12A3" w:rsidRPr="003E18BA" w:rsidRDefault="005D12A3" w:rsidP="0066301C">
      <w:pPr>
        <w:spacing w:line="360" w:lineRule="auto"/>
        <w:jc w:val="both"/>
        <w:rPr>
          <w:rFonts w:ascii="Arial" w:hAnsi="Arial" w:cs="Arial"/>
        </w:rPr>
      </w:pPr>
      <w:r w:rsidRPr="003E18BA">
        <w:rPr>
          <w:rFonts w:ascii="Arial" w:hAnsi="Arial" w:cs="Arial"/>
        </w:rPr>
        <w:t xml:space="preserve">This research deals with the CEMAC zone, which consists of six nations (Cameroon, Central Africa Republic – CAR, Chad, Congo, Equatorial Guinea, and Gabon). The time series data used are secondary annual data from 1980 to 2018. This period enables us to observe the variables prior to the 1994 devaluation, events during the devaluation, and the situation at present. The data collected were available until 2018 because data beyond that period were unavailable. Data within this period, 1980 to 2018, were available for Cameroon, CAR, and Gabon. The REER data of Equatorial Guinea is between the periods 1985 and 2018 because data prior to the year 1985 is not available. It is good because it covers the entire period (before, </w:t>
      </w:r>
      <w:r w:rsidRPr="003E18BA">
        <w:rPr>
          <w:rFonts w:ascii="Arial" w:hAnsi="Arial" w:cs="Arial"/>
        </w:rPr>
        <w:lastRenderedPageBreak/>
        <w:t>during, and after - the present exchange rate). The data for Chad and Congo (REER) are from 2004 to 2018. Though it will not be possible to know the situation of the exchange rate prior to the devaluation and immediately after the devaluation, it will tell us the present situation of the currency (i.e., is the currency at equilibrium or not). Thus, this research question will deal with all six CEMAC nations, with the data of the variables and their sources explained below.</w:t>
      </w:r>
    </w:p>
    <w:p w14:paraId="767FC273" w14:textId="77777777" w:rsidR="00810600" w:rsidRDefault="00810600" w:rsidP="0066301C">
      <w:pPr>
        <w:spacing w:line="360" w:lineRule="auto"/>
        <w:jc w:val="both"/>
        <w:rPr>
          <w:rFonts w:ascii="Arial" w:hAnsi="Arial" w:cs="Arial"/>
        </w:rPr>
      </w:pPr>
      <w:r w:rsidRPr="00A24A53">
        <w:rPr>
          <w:rFonts w:ascii="Arial" w:hAnsi="Arial" w:cs="Arial"/>
          <w:b/>
          <w:i/>
        </w:rPr>
        <w:t>R</w:t>
      </w:r>
      <w:r>
        <w:rPr>
          <w:rFonts w:ascii="Arial" w:hAnsi="Arial" w:cs="Arial"/>
          <w:b/>
          <w:i/>
        </w:rPr>
        <w:t>eal Effective Exchange R</w:t>
      </w:r>
      <w:r w:rsidRPr="00A24A53">
        <w:rPr>
          <w:rFonts w:ascii="Arial" w:hAnsi="Arial" w:cs="Arial"/>
          <w:b/>
          <w:i/>
        </w:rPr>
        <w:t>ate (REER) index</w:t>
      </w:r>
      <w:r w:rsidRPr="009B02EF">
        <w:rPr>
          <w:rFonts w:ascii="Arial" w:hAnsi="Arial" w:cs="Arial"/>
          <w:b/>
          <w:iCs/>
        </w:rPr>
        <w:t>:</w:t>
      </w:r>
      <w:r w:rsidRPr="00A24A53">
        <w:rPr>
          <w:rFonts w:ascii="Arial" w:hAnsi="Arial" w:cs="Arial"/>
        </w:rPr>
        <w:t xml:space="preserve"> </w:t>
      </w:r>
    </w:p>
    <w:p w14:paraId="54E1EE0C" w14:textId="77777777" w:rsidR="00D205B3" w:rsidRPr="003E18BA" w:rsidRDefault="00D205B3" w:rsidP="0066301C">
      <w:pPr>
        <w:spacing w:line="360" w:lineRule="auto"/>
        <w:jc w:val="both"/>
        <w:rPr>
          <w:rFonts w:ascii="Arial" w:hAnsi="Arial" w:cs="Arial"/>
        </w:rPr>
      </w:pPr>
      <w:r w:rsidRPr="003E18BA">
        <w:rPr>
          <w:rFonts w:ascii="Arial" w:hAnsi="Arial" w:cs="Arial"/>
        </w:rPr>
        <w:t>This is the measure of the value of a nation’s currency against a weighted average of foreign trade partners’ currencies divided by a price deflator or index of costs. An increase in the REER implies that the nation's exports have become more expensive, and imports have become cheaper. This increase indicates a loss in the domestic nation’s trade competitiveness. The reverse is true when the REER experiences a decrease. The REER movements based on different years can be interpreted differently. The primary criterion for a base year is that both internal and external equilibrium should be simultaneously met in the specific year. That is, the REER is assumed to be at both internal and external equilibrium when it has an index value of 100. If the value is above 100, the exchange rate is assumed to be overvalued, and if it is less than 100, it is assumed to be devalued.</w:t>
      </w:r>
      <w:r w:rsidRPr="003E18BA">
        <w:rPr>
          <w:rStyle w:val="Emphasis"/>
          <w:rFonts w:ascii="Arial" w:eastAsiaTheme="majorEastAsia" w:hAnsi="Arial" w:cs="Arial"/>
          <w:color w:val="0E101A"/>
        </w:rPr>
        <w:t> </w:t>
      </w:r>
      <w:r w:rsidRPr="003E18BA">
        <w:rPr>
          <w:rFonts w:ascii="Arial" w:hAnsi="Arial" w:cs="Arial"/>
        </w:rPr>
        <w:t>International financial organisations like the World Bank and IMF often publish the REER every ten years. The REER used in this research is the real effective exchange rate index for the base year 2010 = 100, with the data collected from the World Bank Development Indicator (WDI).</w:t>
      </w:r>
    </w:p>
    <w:p w14:paraId="7A761E12" w14:textId="77777777" w:rsidR="00D205B3" w:rsidRPr="003E18BA" w:rsidRDefault="00D205B3" w:rsidP="0066301C">
      <w:pPr>
        <w:spacing w:line="360" w:lineRule="auto"/>
        <w:jc w:val="both"/>
        <w:rPr>
          <w:rFonts w:ascii="Arial" w:hAnsi="Arial" w:cs="Arial"/>
        </w:rPr>
      </w:pPr>
      <w:r w:rsidRPr="003E18BA">
        <w:rPr>
          <w:rFonts w:ascii="Arial" w:hAnsi="Arial" w:cs="Arial"/>
        </w:rPr>
        <w:t>In this research, the REER “is the nominal index adjusted for relative changes in consumer prices. That is, the REER is the nominal effective exchange rate (NEER) index adjusted for relative movements in the national price or cost indicators of the home country, selected countries, and the euro area (expressed on the base year 2010 = 100) (World Bank, 2020)”. An increase in the REER above the base year ‘100’ represents an appreciation of the local currency, while a decrease represents a depreciation of the local currency. The data for all the CEMAC nations but for Chad and Congo were collected from the World Bank - World Development Indicators (WDI) database, last updated on 18/03/2020. The data for Chad is from Knoema (</w:t>
      </w:r>
      <w:hyperlink r:id="rId20" w:tgtFrame="_blank" w:history="1">
        <w:r w:rsidRPr="003E18BA">
          <w:rPr>
            <w:rStyle w:val="Hyperlink"/>
            <w:rFonts w:ascii="Arial" w:hAnsi="Arial" w:cs="Arial"/>
            <w:color w:val="4A6EE0"/>
          </w:rPr>
          <w:t>Sub-Saharan Africa: Regional Economic Outlook (AFRREO), October 2019</w:t>
        </w:r>
      </w:hyperlink>
      <w:r w:rsidRPr="003E18BA">
        <w:rPr>
          <w:rFonts w:ascii="Arial" w:hAnsi="Arial" w:cs="Arial"/>
        </w:rPr>
        <w:t>). Data for Congo is from FRED Graph Observations (Federal Reserve Economic Data - Federal Reserve Bank of St. Louis, USA), updated on 21/10/2019.</w:t>
      </w:r>
    </w:p>
    <w:p w14:paraId="3692A7AC" w14:textId="77777777" w:rsidR="00810600" w:rsidRDefault="00810600" w:rsidP="0066301C">
      <w:pPr>
        <w:pStyle w:val="i"/>
        <w:spacing w:before="0"/>
        <w:rPr>
          <w:rFonts w:ascii="Arial" w:hAnsi="Arial" w:cs="Arial"/>
          <w:b/>
          <w:sz w:val="22"/>
          <w:szCs w:val="22"/>
        </w:rPr>
      </w:pPr>
      <w:r>
        <w:rPr>
          <w:rFonts w:ascii="Arial" w:hAnsi="Arial" w:cs="Arial"/>
          <w:b/>
          <w:i/>
          <w:sz w:val="22"/>
          <w:szCs w:val="22"/>
        </w:rPr>
        <w:t>Terms of T</w:t>
      </w:r>
      <w:r w:rsidRPr="00A24A53">
        <w:rPr>
          <w:rFonts w:ascii="Arial" w:hAnsi="Arial" w:cs="Arial"/>
          <w:b/>
          <w:i/>
          <w:sz w:val="22"/>
          <w:szCs w:val="22"/>
        </w:rPr>
        <w:t>rade (TOT)</w:t>
      </w:r>
      <w:r w:rsidRPr="00A24A53">
        <w:rPr>
          <w:rFonts w:ascii="Arial" w:hAnsi="Arial" w:cs="Arial"/>
          <w:b/>
          <w:sz w:val="22"/>
          <w:szCs w:val="22"/>
        </w:rPr>
        <w:t>:</w:t>
      </w:r>
    </w:p>
    <w:p w14:paraId="34FD8496" w14:textId="77777777" w:rsidR="003D0D02" w:rsidRPr="008204CC" w:rsidRDefault="00520F89" w:rsidP="0066301C">
      <w:pPr>
        <w:autoSpaceDE w:val="0"/>
        <w:autoSpaceDN w:val="0"/>
        <w:adjustRightInd w:val="0"/>
        <w:spacing w:after="200" w:line="360" w:lineRule="auto"/>
        <w:jc w:val="both"/>
        <w:rPr>
          <w:rFonts w:ascii="Arial" w:hAnsi="Arial" w:cs="Arial"/>
        </w:rPr>
      </w:pPr>
      <w:r w:rsidRPr="003E18BA">
        <w:rPr>
          <w:rFonts w:ascii="Arial" w:hAnsi="Arial" w:cs="Arial"/>
        </w:rPr>
        <w:t xml:space="preserve">TOT measures how much-imported products a nation could get for a unit of exported products (Reinsdorf, 2009). The TOT is measured as - the ratio of the price of export to the price of import </w:t>
      </w:r>
      <w:r w:rsidRPr="003E18BA">
        <w:rPr>
          <w:rFonts w:ascii="Arial" w:hAnsi="Arial" w:cs="Arial"/>
        </w:rPr>
        <w:lastRenderedPageBreak/>
        <w:t xml:space="preserve">(Coleman, 2008; Elbadawi, 1994; Edwards, 1989). In the real world, where nations export and import large amounts of goods, the TOT is computed </w:t>
      </w:r>
      <w:r w:rsidR="003D0D02" w:rsidRPr="008204CC">
        <w:rPr>
          <w:rFonts w:ascii="Arial" w:hAnsi="Arial" w:cs="Arial"/>
        </w:rPr>
        <w:t>as:</w:t>
      </w:r>
    </w:p>
    <w:p w14:paraId="7CD43AB1" w14:textId="77777777" w:rsidR="003D0D02" w:rsidRPr="008204CC" w:rsidRDefault="003D0D02" w:rsidP="0066301C">
      <w:pPr>
        <w:autoSpaceDE w:val="0"/>
        <w:autoSpaceDN w:val="0"/>
        <w:adjustRightInd w:val="0"/>
        <w:spacing w:after="200" w:line="360" w:lineRule="auto"/>
        <w:jc w:val="center"/>
        <w:rPr>
          <w:rFonts w:ascii="Arial" w:hAnsi="Arial" w:cs="Arial"/>
        </w:rPr>
      </w:pPr>
      <w:r w:rsidRPr="008204CC">
        <w:rPr>
          <w:rFonts w:ascii="Arial" w:hAnsi="Arial" w:cs="Arial"/>
        </w:rPr>
        <w:t xml:space="preserve">TOT = </w:t>
      </w:r>
      <m:oMath>
        <m:f>
          <m:fPr>
            <m:ctrlPr>
              <w:rPr>
                <w:rFonts w:ascii="Cambria Math" w:hAnsi="Cambria Math" w:cs="Arial"/>
                <w:i/>
              </w:rPr>
            </m:ctrlPr>
          </m:fPr>
          <m:num>
            <m:r>
              <m:rPr>
                <m:sty m:val="p"/>
              </m:rPr>
              <w:rPr>
                <w:rFonts w:ascii="Cambria Math" w:hAnsi="Cambria Math" w:cs="Arial"/>
              </w:rPr>
              <m:t>Index of export prices</m:t>
            </m:r>
          </m:num>
          <m:den>
            <m:r>
              <m:rPr>
                <m:sty m:val="p"/>
              </m:rPr>
              <w:rPr>
                <w:rFonts w:ascii="Cambria Math" w:hAnsi="Cambria Math" w:cs="Arial"/>
              </w:rPr>
              <m:t>Index of import prices</m:t>
            </m:r>
          </m:den>
        </m:f>
        <m:r>
          <w:rPr>
            <w:rFonts w:ascii="Cambria Math" w:hAnsi="Cambria Math" w:cs="Arial"/>
          </w:rPr>
          <m:t xml:space="preserve"> </m:t>
        </m:r>
        <m:r>
          <m:rPr>
            <m:sty m:val="p"/>
          </m:rPr>
          <w:rPr>
            <w:rFonts w:ascii="Cambria Math" w:hAnsi="Cambria Math" w:cs="Arial"/>
          </w:rPr>
          <m:t>x 100</m:t>
        </m:r>
      </m:oMath>
    </w:p>
    <w:p w14:paraId="08686672" w14:textId="549D5AD1" w:rsidR="002564FB" w:rsidRPr="003E18BA" w:rsidRDefault="002564FB" w:rsidP="0066301C">
      <w:pPr>
        <w:autoSpaceDE w:val="0"/>
        <w:autoSpaceDN w:val="0"/>
        <w:adjustRightInd w:val="0"/>
        <w:spacing w:after="200" w:line="360" w:lineRule="auto"/>
        <w:jc w:val="both"/>
        <w:rPr>
          <w:rFonts w:ascii="Arial" w:hAnsi="Arial" w:cs="Arial"/>
        </w:rPr>
      </w:pPr>
      <w:r w:rsidRPr="003E18BA">
        <w:rPr>
          <w:rFonts w:ascii="Arial" w:hAnsi="Arial" w:cs="Arial"/>
        </w:rPr>
        <w:t xml:space="preserve">A rise of the TOT above 100 means it is improving, while a fall of the TOT below 100 means it is worsening. The TOT could also be expressed in terms of the number 1, with a figure above 1 indicating an improvement. While a figure below 1 indicates a worsening of the TOT. Improvement in a nation’s TOT means that a unit of its exports sold can buy more units of the import products. A rise in the TOT creates benefits for a nation as few of its products chase more foreign products (i.e., an appreciation of the nation’s exchange rate). However, a nation could suffer in terms of a fall in its export volume and a worsening of the balance of payments (Coleman, 2008; Elbadawi, 1994; Edwards, 1989). A worsening of the TOT indicates that a </w:t>
      </w:r>
      <w:r w:rsidR="00AA4703" w:rsidRPr="003E18BA">
        <w:rPr>
          <w:rFonts w:ascii="Arial" w:hAnsi="Arial" w:cs="Arial"/>
        </w:rPr>
        <w:t>nation export</w:t>
      </w:r>
      <w:r w:rsidRPr="003E18BA">
        <w:rPr>
          <w:rFonts w:ascii="Arial" w:hAnsi="Arial" w:cs="Arial"/>
        </w:rPr>
        <w:t xml:space="preserve"> more of its products to import a given quantity of imports. That is the nation’s exchange rate has depreciated and has a competitive advantage, mindful of the products exported. If the exported products are manufactured, then the competitive effect could have a positive impact on the nation’s current account. However, suppose the nation’s exports are mainly primary commodities that are sticky. In that case, a decline in the TOT or exchange rate depreciation worsens the nation’s current account.</w:t>
      </w:r>
      <w:r>
        <w:rPr>
          <w:rStyle w:val="FootnoteReference"/>
          <w:rFonts w:ascii="Arial" w:hAnsi="Arial" w:cs="Arial"/>
        </w:rPr>
        <w:footnoteReference w:id="63"/>
      </w:r>
      <w:r w:rsidRPr="003E18BA">
        <w:rPr>
          <w:rFonts w:ascii="Arial" w:hAnsi="Arial" w:cs="Arial"/>
        </w:rPr>
        <w:t> Several empirical studies found that improvement in the TOT tends to appreciate the REER (Clark and MacDonald, 1999; De Gregorio and Wolf, 1994).</w:t>
      </w:r>
    </w:p>
    <w:p w14:paraId="282EDA6A" w14:textId="5B228FE0" w:rsidR="002564FB" w:rsidRPr="003E18BA" w:rsidRDefault="002564FB" w:rsidP="0066301C">
      <w:pPr>
        <w:spacing w:line="360" w:lineRule="auto"/>
        <w:jc w:val="both"/>
        <w:rPr>
          <w:rFonts w:ascii="Arial" w:hAnsi="Arial" w:cs="Arial"/>
        </w:rPr>
      </w:pPr>
      <w:r w:rsidRPr="003E18BA">
        <w:rPr>
          <w:rFonts w:ascii="Arial" w:hAnsi="Arial" w:cs="Arial"/>
        </w:rPr>
        <w:t> In this research, the TOT is the ratio of the export and import price index. TOT = [(Export value index (2000 = 100) / Import value index (2000 = 100)] * 100. The export values index is the current value of exports converted to U.S. dollars and expressed as a percentage of the average for the base period (2000). Import value indexes are the current value of imports converted to U.S. dollars and expressed as a percentage of the average for the base period (2000) (World Bank, 2020). They are multiplied by 100 such that values greater than 100 means the TOT is improving, while a value below 100 means that it is worsening. The data is from the World banks - World Development Indicators (WDI) database lastly updated on 18/03/2020.</w:t>
      </w:r>
    </w:p>
    <w:p w14:paraId="4D5ADBBA" w14:textId="77777777" w:rsidR="00810600" w:rsidRDefault="00810600" w:rsidP="0066301C">
      <w:pPr>
        <w:spacing w:line="360" w:lineRule="auto"/>
        <w:jc w:val="both"/>
        <w:rPr>
          <w:rFonts w:ascii="Arial" w:hAnsi="Arial" w:cs="Arial"/>
          <w:lang w:eastAsia="en-GB"/>
        </w:rPr>
      </w:pPr>
      <w:r w:rsidRPr="00A24A53">
        <w:rPr>
          <w:rFonts w:ascii="Arial" w:hAnsi="Arial" w:cs="Arial"/>
          <w:b/>
          <w:i/>
          <w:lang w:eastAsia="en-GB"/>
        </w:rPr>
        <w:t>Net Foreign Assets (NFA)</w:t>
      </w:r>
      <w:r w:rsidRPr="00A24A53">
        <w:rPr>
          <w:rFonts w:ascii="Arial" w:hAnsi="Arial" w:cs="Arial"/>
          <w:b/>
          <w:lang w:eastAsia="en-GB"/>
        </w:rPr>
        <w:t>:</w:t>
      </w:r>
      <w:r w:rsidRPr="00A24A53">
        <w:rPr>
          <w:rFonts w:ascii="Arial" w:hAnsi="Arial" w:cs="Arial"/>
          <w:lang w:eastAsia="en-GB"/>
        </w:rPr>
        <w:t xml:space="preserve"> </w:t>
      </w:r>
    </w:p>
    <w:p w14:paraId="31AC573F" w14:textId="3C439EF4" w:rsidR="00810600" w:rsidRPr="008204CC" w:rsidRDefault="00755A2C" w:rsidP="0066301C">
      <w:pPr>
        <w:autoSpaceDE w:val="0"/>
        <w:autoSpaceDN w:val="0"/>
        <w:adjustRightInd w:val="0"/>
        <w:spacing w:after="200" w:line="360" w:lineRule="auto"/>
        <w:jc w:val="both"/>
        <w:rPr>
          <w:rFonts w:ascii="Arial" w:hAnsi="Arial" w:cs="Arial"/>
        </w:rPr>
      </w:pPr>
      <w:r w:rsidRPr="003E18BA">
        <w:rPr>
          <w:rFonts w:ascii="Arial" w:hAnsi="Arial" w:cs="Arial"/>
        </w:rPr>
        <w:lastRenderedPageBreak/>
        <w:t>This is the value of assets owned by a nation abroad, less the value of domestic assets owned by foreigners. The </w:t>
      </w:r>
      <w:r w:rsidRPr="003E18BA">
        <w:rPr>
          <w:rStyle w:val="Emphasis"/>
          <w:rFonts w:ascii="Arial" w:eastAsiaTheme="majorEastAsia" w:hAnsi="Arial" w:cs="Arial"/>
          <w:color w:val="0E101A"/>
        </w:rPr>
        <w:t>NFA </w:t>
      </w:r>
      <w:r w:rsidRPr="003E18BA">
        <w:rPr>
          <w:rFonts w:ascii="Arial" w:hAnsi="Arial" w:cs="Arial"/>
        </w:rPr>
        <w:t>position of a nation is also defined as the cumulative change in its current account, which is the sum of the balance of trade, net current transfers over time, and net income over time (Coleman, 2008; Elbadawi, 1994; Edwards, 1989). A nation’s </w:t>
      </w:r>
      <w:r w:rsidRPr="003E18BA">
        <w:rPr>
          <w:rStyle w:val="Emphasis"/>
          <w:rFonts w:ascii="Arial" w:eastAsiaTheme="majorEastAsia" w:hAnsi="Arial" w:cs="Arial"/>
          <w:color w:val="0E101A"/>
        </w:rPr>
        <w:t>NFA</w:t>
      </w:r>
      <w:r w:rsidRPr="003E18BA">
        <w:rPr>
          <w:rFonts w:ascii="Arial" w:hAnsi="Arial" w:cs="Arial"/>
        </w:rPr>
        <w:t> position indicates whether it is a net debtor or creditor to the rest of the world. A negative </w:t>
      </w:r>
      <w:r w:rsidRPr="003E18BA">
        <w:rPr>
          <w:rStyle w:val="Emphasis"/>
          <w:rFonts w:ascii="Arial" w:eastAsiaTheme="majorEastAsia" w:hAnsi="Arial" w:cs="Arial"/>
          <w:color w:val="0E101A"/>
        </w:rPr>
        <w:t>NFA</w:t>
      </w:r>
      <w:r w:rsidRPr="003E18BA">
        <w:rPr>
          <w:rFonts w:ascii="Arial" w:hAnsi="Arial" w:cs="Arial"/>
        </w:rPr>
        <w:t> implies a net borrower, while a positive </w:t>
      </w:r>
      <w:r w:rsidRPr="003E18BA">
        <w:rPr>
          <w:rStyle w:val="Emphasis"/>
          <w:rFonts w:ascii="Arial" w:eastAsiaTheme="majorEastAsia" w:hAnsi="Arial" w:cs="Arial"/>
          <w:color w:val="0E101A"/>
        </w:rPr>
        <w:t>NFA</w:t>
      </w:r>
      <w:r w:rsidRPr="003E18BA">
        <w:rPr>
          <w:rFonts w:ascii="Arial" w:hAnsi="Arial" w:cs="Arial"/>
        </w:rPr>
        <w:t> shows that it is a net lender. The </w:t>
      </w:r>
      <w:r w:rsidRPr="003E18BA">
        <w:rPr>
          <w:rStyle w:val="Emphasis"/>
          <w:rFonts w:ascii="Arial" w:eastAsiaTheme="majorEastAsia" w:hAnsi="Arial" w:cs="Arial"/>
          <w:color w:val="0E101A"/>
        </w:rPr>
        <w:t>NFA</w:t>
      </w:r>
      <w:r w:rsidRPr="003E18BA">
        <w:rPr>
          <w:rFonts w:ascii="Arial" w:hAnsi="Arial" w:cs="Arial"/>
        </w:rPr>
        <w:t> position of a nation reflects the indebtedness of the nation</w:t>
      </w:r>
      <w:r w:rsidR="00810600" w:rsidRPr="008204CC">
        <w:rPr>
          <w:rFonts w:ascii="Arial" w:hAnsi="Arial" w:cs="Arial"/>
        </w:rPr>
        <w:t>.</w:t>
      </w:r>
    </w:p>
    <w:p w14:paraId="3B9BDC36" w14:textId="204F0806" w:rsidR="00810600" w:rsidRPr="00EE025F" w:rsidRDefault="00810600" w:rsidP="0066301C">
      <w:pPr>
        <w:autoSpaceDE w:val="0"/>
        <w:autoSpaceDN w:val="0"/>
        <w:adjustRightInd w:val="0"/>
        <w:spacing w:after="200" w:line="360" w:lineRule="auto"/>
        <w:contextualSpacing/>
        <w:jc w:val="center"/>
        <w:rPr>
          <w:rFonts w:ascii="Arial" w:eastAsia="Times New Roman" w:hAnsi="Arial" w:cs="Arial"/>
          <w:i/>
          <w:lang w:val="pt-BR" w:eastAsia="en-GB"/>
        </w:rPr>
      </w:pPr>
      <w:r w:rsidRPr="00EE025F">
        <w:rPr>
          <w:rFonts w:ascii="Arial" w:eastAsia="Times New Roman" w:hAnsi="Arial" w:cs="Arial"/>
          <w:i/>
          <w:lang w:val="pt-BR" w:eastAsia="en-GB"/>
        </w:rPr>
        <w:t>NFA =</w:t>
      </w:r>
      <w:r w:rsidR="00636406" w:rsidRPr="00EE025F">
        <w:rPr>
          <w:rFonts w:ascii="Arial" w:eastAsia="Times New Roman" w:hAnsi="Arial" w:cs="Arial"/>
          <w:i/>
          <w:lang w:val="pt-BR" w:eastAsia="en-GB"/>
        </w:rPr>
        <w:t xml:space="preserve"> =</w:t>
      </w:r>
      <m:oMath>
        <m:f>
          <m:fPr>
            <m:ctrlPr>
              <w:rPr>
                <w:rFonts w:ascii="Cambria Math" w:eastAsia="Times New Roman" w:hAnsi="Cambria Math" w:cs="Arial"/>
                <w:i/>
                <w:lang w:eastAsia="en-GB"/>
              </w:rPr>
            </m:ctrlPr>
          </m:fPr>
          <m:num>
            <m:r>
              <w:rPr>
                <w:rFonts w:ascii="Cambria Math" w:eastAsia="Times New Roman" w:hAnsi="Cambria Math" w:cs="Arial"/>
                <w:lang w:eastAsia="en-GB"/>
              </w:rPr>
              <m:t>Net</m:t>
            </m:r>
            <m:r>
              <w:rPr>
                <w:rFonts w:ascii="Cambria Math" w:eastAsia="Times New Roman" w:hAnsi="Cambria Math" w:cs="Arial"/>
                <w:lang w:val="pt-BR" w:eastAsia="en-GB"/>
              </w:rPr>
              <m:t xml:space="preserve"> </m:t>
            </m:r>
            <m:r>
              <w:rPr>
                <w:rFonts w:ascii="Cambria Math" w:eastAsia="Times New Roman" w:hAnsi="Cambria Math" w:cs="Arial"/>
                <w:lang w:eastAsia="en-GB"/>
              </w:rPr>
              <m:t>Foreign</m:t>
            </m:r>
            <m:r>
              <w:rPr>
                <w:rFonts w:ascii="Cambria Math" w:eastAsia="Times New Roman" w:hAnsi="Cambria Math" w:cs="Arial"/>
                <w:lang w:val="pt-BR" w:eastAsia="en-GB"/>
              </w:rPr>
              <m:t xml:space="preserve"> </m:t>
            </m:r>
            <m:r>
              <w:rPr>
                <w:rFonts w:ascii="Cambria Math" w:eastAsia="Times New Roman" w:hAnsi="Cambria Math" w:cs="Arial"/>
                <w:lang w:eastAsia="en-GB"/>
              </w:rPr>
              <m:t>Asset</m:t>
            </m:r>
          </m:num>
          <m:den>
            <m:r>
              <w:rPr>
                <w:rFonts w:ascii="Cambria Math" w:eastAsia="Times New Roman" w:hAnsi="Cambria Math" w:cs="Arial"/>
                <w:lang w:eastAsia="en-GB"/>
              </w:rPr>
              <m:t>GDP</m:t>
            </m:r>
          </m:den>
        </m:f>
      </m:oMath>
    </w:p>
    <w:p w14:paraId="1144BD86" w14:textId="2410C2B0" w:rsidR="00F5481D" w:rsidRPr="003E18BA" w:rsidRDefault="00F5481D" w:rsidP="0066301C">
      <w:pPr>
        <w:spacing w:line="360" w:lineRule="auto"/>
        <w:jc w:val="both"/>
        <w:rPr>
          <w:rFonts w:ascii="Arial" w:hAnsi="Arial" w:cs="Arial"/>
        </w:rPr>
      </w:pPr>
      <w:r w:rsidRPr="003E18BA">
        <w:rPr>
          <w:rFonts w:ascii="Arial" w:hAnsi="Arial" w:cs="Arial"/>
        </w:rPr>
        <w:t>The </w:t>
      </w:r>
      <w:r w:rsidRPr="003E18BA">
        <w:rPr>
          <w:rStyle w:val="Emphasis"/>
          <w:rFonts w:ascii="Arial" w:eastAsiaTheme="majorEastAsia" w:hAnsi="Arial" w:cs="Arial"/>
          <w:color w:val="0E101A"/>
        </w:rPr>
        <w:t>NFA</w:t>
      </w:r>
      <w:r w:rsidRPr="003E18BA">
        <w:rPr>
          <w:rFonts w:ascii="Arial" w:hAnsi="Arial" w:cs="Arial"/>
        </w:rPr>
        <w:t> position could drive changes in a nation’s exchange rate because chronic current account deficits could prove unsustainable over time. A nation having a significant negative </w:t>
      </w:r>
      <w:r w:rsidRPr="003E18BA">
        <w:rPr>
          <w:rStyle w:val="Emphasis"/>
          <w:rFonts w:ascii="Arial" w:eastAsiaTheme="majorEastAsia" w:hAnsi="Arial" w:cs="Arial"/>
          <w:color w:val="0E101A"/>
        </w:rPr>
        <w:t>NFA</w:t>
      </w:r>
      <w:r w:rsidRPr="003E18BA">
        <w:rPr>
          <w:rFonts w:ascii="Arial" w:hAnsi="Arial" w:cs="Arial"/>
        </w:rPr>
        <w:t> </w:t>
      </w:r>
      <w:r w:rsidR="00AA4703" w:rsidRPr="003E18BA">
        <w:rPr>
          <w:rFonts w:ascii="Arial" w:hAnsi="Arial" w:cs="Arial"/>
        </w:rPr>
        <w:t>position,</w:t>
      </w:r>
      <w:r w:rsidRPr="003E18BA">
        <w:rPr>
          <w:rFonts w:ascii="Arial" w:hAnsi="Arial" w:cs="Arial"/>
        </w:rPr>
        <w:t xml:space="preserve"> and a growing current account deficit could get under attack from currency speculators seeking to drive it lower. At the same token, the exchange rate fluctuation could also have an impact on the </w:t>
      </w:r>
      <w:r w:rsidRPr="003E18BA">
        <w:rPr>
          <w:rStyle w:val="Emphasis"/>
          <w:rFonts w:ascii="Arial" w:eastAsiaTheme="majorEastAsia" w:hAnsi="Arial" w:cs="Arial"/>
          <w:color w:val="0E101A"/>
        </w:rPr>
        <w:t>NFA</w:t>
      </w:r>
      <w:r w:rsidRPr="003E18BA">
        <w:rPr>
          <w:rFonts w:ascii="Arial" w:hAnsi="Arial" w:cs="Arial"/>
        </w:rPr>
        <w:t> position. The depreciation of the nation’s currency against those of other nations will increase the value of foreign currency-dominated assets and liabilities, while appreciation will decrease the value of the overseas assets and liabilities. Hence, if a nation is a net debtor, a currency depreciation will augment its foreign currency debt burden.</w:t>
      </w:r>
    </w:p>
    <w:p w14:paraId="152780BE" w14:textId="77777777" w:rsidR="00F5481D" w:rsidRPr="003E18BA" w:rsidRDefault="00F5481D" w:rsidP="0066301C">
      <w:pPr>
        <w:spacing w:line="360" w:lineRule="auto"/>
        <w:jc w:val="both"/>
        <w:rPr>
          <w:rFonts w:ascii="Arial" w:hAnsi="Arial" w:cs="Arial"/>
        </w:rPr>
      </w:pPr>
      <w:r w:rsidRPr="003E18BA">
        <w:rPr>
          <w:rFonts w:ascii="Arial" w:hAnsi="Arial" w:cs="Arial"/>
        </w:rPr>
        <w:t>In this research, the NFA is the ratio of the net foreign assets to the gross domestic product (GDP) denominated in local currency (LCU). NFA = (NFA current LCU/ GDP current LCU). NFA is the sum of foreign assets held by monetary authorities and deposit money banks, less their foreign liabilities. GDP at purchaser's prices is the sum of gross value added by all resident producers in the economy plus any product taxes and minus any subsidies not included in the value of the products (World Bank, 2020). The data is from the World banks - World Development Indicators (WDI) database lastly updated on 18/03/2020. </w:t>
      </w:r>
    </w:p>
    <w:p w14:paraId="39243E7B" w14:textId="77777777" w:rsidR="00810600" w:rsidRDefault="00810600" w:rsidP="0066301C">
      <w:pPr>
        <w:spacing w:line="360" w:lineRule="auto"/>
        <w:jc w:val="both"/>
        <w:rPr>
          <w:rFonts w:ascii="Arial" w:hAnsi="Arial" w:cs="Arial"/>
        </w:rPr>
      </w:pPr>
      <w:r w:rsidRPr="00A24A53">
        <w:rPr>
          <w:rFonts w:ascii="Arial" w:hAnsi="Arial" w:cs="Arial"/>
          <w:b/>
          <w:i/>
        </w:rPr>
        <w:t>Degree of Openness (OPEN)</w:t>
      </w:r>
      <w:r w:rsidRPr="00A24A53">
        <w:rPr>
          <w:rFonts w:ascii="Arial" w:hAnsi="Arial" w:cs="Arial"/>
          <w:b/>
        </w:rPr>
        <w:t>:</w:t>
      </w:r>
      <w:r w:rsidRPr="00A24A53">
        <w:rPr>
          <w:rFonts w:ascii="Arial" w:hAnsi="Arial" w:cs="Arial"/>
        </w:rPr>
        <w:t xml:space="preserve"> </w:t>
      </w:r>
    </w:p>
    <w:p w14:paraId="454E2F03" w14:textId="77777777" w:rsidR="00B23E42" w:rsidRPr="003E18BA" w:rsidRDefault="00B23E42" w:rsidP="0066301C">
      <w:pPr>
        <w:spacing w:line="360" w:lineRule="auto"/>
        <w:jc w:val="both"/>
        <w:rPr>
          <w:rFonts w:ascii="Arial" w:hAnsi="Arial" w:cs="Arial"/>
        </w:rPr>
      </w:pPr>
      <w:r w:rsidRPr="003E18BA">
        <w:rPr>
          <w:rFonts w:ascii="Arial" w:hAnsi="Arial" w:cs="Arial"/>
        </w:rPr>
        <w:t>OPEN measures the extent to which a nation depends on trade with other nations. That is, the degree to which non-domestic transactions (imports and exports) take place and affect the growth and size of a nation (Coleman, 2008; Elbadawi, 1994; Edwards, 1989). The OPEN is measured by the actual size of all registered imports and exports within a nation. Thus, it is the ratio of the sum of imports and exports of goods and services to GDP. </w:t>
      </w:r>
    </w:p>
    <w:p w14:paraId="7D150914" w14:textId="636E52E4" w:rsidR="00810600" w:rsidRPr="008204CC" w:rsidRDefault="00B23E42" w:rsidP="0066301C">
      <w:pPr>
        <w:autoSpaceDE w:val="0"/>
        <w:autoSpaceDN w:val="0"/>
        <w:adjustRightInd w:val="0"/>
        <w:spacing w:after="200" w:line="360" w:lineRule="auto"/>
        <w:contextualSpacing/>
        <w:jc w:val="both"/>
        <w:rPr>
          <w:rFonts w:ascii="Arial" w:eastAsia="Times New Roman" w:hAnsi="Arial" w:cs="Arial"/>
          <w:lang w:eastAsia="en-GB"/>
        </w:rPr>
      </w:pPr>
      <w:r w:rsidRPr="003E18BA">
        <w:rPr>
          <w:rFonts w:ascii="Arial" w:hAnsi="Arial" w:cs="Arial"/>
        </w:rPr>
        <w:t>The openness index is an economic metric calculated as the ratio of a nation’s trade, the sum of exports plus imports, to the nation’s gross domestic product</w:t>
      </w:r>
      <w:r w:rsidR="00810600" w:rsidRPr="008204CC">
        <w:rPr>
          <w:rFonts w:ascii="Arial" w:eastAsia="Times New Roman" w:hAnsi="Arial" w:cs="Arial"/>
          <w:lang w:eastAsia="en-GB"/>
        </w:rPr>
        <w:t xml:space="preserve">: </w:t>
      </w:r>
    </w:p>
    <w:p w14:paraId="2B0A43CC" w14:textId="144BB139" w:rsidR="00810600" w:rsidRPr="008204CC" w:rsidRDefault="00810600" w:rsidP="0066301C">
      <w:pPr>
        <w:autoSpaceDE w:val="0"/>
        <w:autoSpaceDN w:val="0"/>
        <w:adjustRightInd w:val="0"/>
        <w:spacing w:after="200" w:line="360" w:lineRule="auto"/>
        <w:contextualSpacing/>
        <w:jc w:val="center"/>
        <w:rPr>
          <w:rFonts w:ascii="Arial" w:eastAsia="Times New Roman" w:hAnsi="Arial" w:cs="Arial"/>
          <w:lang w:eastAsia="en-GB"/>
        </w:rPr>
      </w:pPr>
      <w:r w:rsidRPr="008204CC">
        <w:rPr>
          <w:rFonts w:ascii="Arial" w:eastAsia="Times New Roman" w:hAnsi="Arial" w:cs="Arial"/>
          <w:lang w:eastAsia="en-GB"/>
        </w:rPr>
        <w:t xml:space="preserve">OPEN = </w:t>
      </w:r>
      <m:oMath>
        <m:f>
          <m:fPr>
            <m:ctrlPr>
              <w:rPr>
                <w:rFonts w:ascii="Cambria Math" w:eastAsia="Times New Roman" w:hAnsi="Cambria Math" w:cs="Arial"/>
                <w:i/>
                <w:lang w:eastAsia="en-GB"/>
              </w:rPr>
            </m:ctrlPr>
          </m:fPr>
          <m:num>
            <m:r>
              <w:rPr>
                <w:rFonts w:ascii="Cambria Math" w:eastAsia="Times New Roman" w:hAnsi="Cambria Math" w:cs="Arial"/>
                <w:lang w:eastAsia="en-GB"/>
              </w:rPr>
              <m:t>Export +Import</m:t>
            </m:r>
          </m:num>
          <m:den>
            <m:r>
              <w:rPr>
                <w:rFonts w:ascii="Cambria Math" w:eastAsia="Times New Roman" w:hAnsi="Cambria Math" w:cs="Arial"/>
                <w:lang w:eastAsia="en-GB"/>
              </w:rPr>
              <m:t>GDP</m:t>
            </m:r>
          </m:den>
        </m:f>
      </m:oMath>
    </w:p>
    <w:p w14:paraId="1D8E1435" w14:textId="77777777" w:rsidR="00F47D90" w:rsidRPr="003E18BA" w:rsidRDefault="00F47D90" w:rsidP="0066301C">
      <w:pPr>
        <w:spacing w:line="360" w:lineRule="auto"/>
        <w:jc w:val="both"/>
        <w:rPr>
          <w:rFonts w:ascii="Arial" w:hAnsi="Arial" w:cs="Arial"/>
        </w:rPr>
      </w:pPr>
      <w:r w:rsidRPr="003E18BA">
        <w:rPr>
          <w:rFonts w:ascii="Arial" w:hAnsi="Arial" w:cs="Arial"/>
        </w:rPr>
        <w:t xml:space="preserve">The liaison between trade openness and REER is that when a REER appreciates, the domestic products become more expensive for the rest of the world, and their demand, therefore, </w:t>
      </w:r>
      <w:r w:rsidRPr="003E18BA">
        <w:rPr>
          <w:rFonts w:ascii="Arial" w:hAnsi="Arial" w:cs="Arial"/>
        </w:rPr>
        <w:lastRenderedPageBreak/>
        <w:t>decreases. On the other hand, an appreciated exchange rate makes foreign tradable products cheaper, thereby increasing imports unless the government raises their cost via tariffs or quotas. It is argued that trade liberalization leads to the depreciation of the REER (Gantman and Dabós, 2018; Dornbusch, 1974). A reduction in import tariffs leads to an imbalance in a nation’s current account, which is due to the increasing demand for imports. As such, the need for the real exchange rate to depreciate is induced, with the intention to redress the current account deficit (making domestic products competitive).  </w:t>
      </w:r>
    </w:p>
    <w:p w14:paraId="6EA9E654" w14:textId="77777777" w:rsidR="00F47D90" w:rsidRPr="003E18BA" w:rsidRDefault="00F47D90" w:rsidP="0066301C">
      <w:pPr>
        <w:spacing w:line="360" w:lineRule="auto"/>
        <w:jc w:val="both"/>
        <w:rPr>
          <w:rFonts w:ascii="Arial" w:hAnsi="Arial" w:cs="Arial"/>
        </w:rPr>
      </w:pPr>
      <w:r w:rsidRPr="003E18BA">
        <w:rPr>
          <w:rFonts w:ascii="Arial" w:hAnsi="Arial" w:cs="Arial"/>
        </w:rPr>
        <w:t>Studies on the relationship between trade openness and REER found that import taxes (protectionism) appreciated the REER in a sample of Latin American nations, thereby supporting the hypothesis that trade liberalisation produces depreciation of the REER (Yusoff and Febrina, 2014; Zakaria and Ghauri, 2011; Li, 2004; Deveraux and Connolly, 1996). This is so because most developing nations import machinery and technological imports for their production process. An increase in the price of imported input via taxation causes the cost of production to increase, leading to an increase in the price of the final products. These products become more expensive and less competitive in the international market.</w:t>
      </w:r>
    </w:p>
    <w:p w14:paraId="06F623BF" w14:textId="77777777" w:rsidR="00F47D90" w:rsidRPr="003E18BA" w:rsidRDefault="00F47D90" w:rsidP="0066301C">
      <w:pPr>
        <w:spacing w:line="360" w:lineRule="auto"/>
        <w:jc w:val="both"/>
        <w:rPr>
          <w:rFonts w:ascii="Arial" w:hAnsi="Arial" w:cs="Arial"/>
        </w:rPr>
      </w:pPr>
      <w:r w:rsidRPr="003E18BA">
        <w:rPr>
          <w:rFonts w:ascii="Arial" w:hAnsi="Arial" w:cs="Arial"/>
        </w:rPr>
        <w:t>In this research, OPEN is the sum of exports and imports of goods and services as a percentage of GDP. OPEN = [Exports of goods and services (% of GDP) + Imports of goods and services (% of GDP)]. Exports of goods and services represent the value of all goods and other market services provided to the rest of the world. They include the value of merchandise, freight, insurance, transport, travel, royalties, license fees, and other services, such as communication, construction, financial, information, business, personal, and government services. Imports of goods and services represent the value of all goods and other market services from the rest of the world. They include the value of merchandise and other services (World Bank, 2020). The data is from the World banks - World Development Indicators (WDI) database lastly updated on 18/03/2020.</w:t>
      </w:r>
    </w:p>
    <w:p w14:paraId="3B338AC0" w14:textId="77777777" w:rsidR="00810600" w:rsidRDefault="00810600" w:rsidP="0066301C">
      <w:pPr>
        <w:spacing w:after="0" w:line="360" w:lineRule="auto"/>
        <w:jc w:val="both"/>
        <w:rPr>
          <w:rFonts w:ascii="Arial" w:hAnsi="Arial" w:cs="Arial"/>
        </w:rPr>
      </w:pPr>
      <w:r w:rsidRPr="00A24A53">
        <w:rPr>
          <w:rFonts w:ascii="Arial" w:hAnsi="Arial" w:cs="Arial"/>
          <w:b/>
          <w:i/>
        </w:rPr>
        <w:t>Government Consumption (GOVCON)</w:t>
      </w:r>
      <w:r w:rsidRPr="00A24A53">
        <w:rPr>
          <w:rFonts w:ascii="Arial" w:hAnsi="Arial" w:cs="Arial"/>
        </w:rPr>
        <w:t xml:space="preserve">: </w:t>
      </w:r>
    </w:p>
    <w:p w14:paraId="435ECCAE" w14:textId="356B86D8" w:rsidR="00810600" w:rsidRPr="008204CC" w:rsidRDefault="00D773D7" w:rsidP="0066301C">
      <w:pPr>
        <w:autoSpaceDE w:val="0"/>
        <w:autoSpaceDN w:val="0"/>
        <w:adjustRightInd w:val="0"/>
        <w:spacing w:after="200" w:line="360" w:lineRule="auto"/>
        <w:contextualSpacing/>
        <w:jc w:val="both"/>
        <w:rPr>
          <w:rFonts w:ascii="Arial" w:eastAsia="Times New Roman" w:hAnsi="Arial" w:cs="Arial"/>
          <w:lang w:eastAsia="en-GB"/>
        </w:rPr>
      </w:pPr>
      <w:r w:rsidRPr="003E18BA">
        <w:rPr>
          <w:rFonts w:ascii="Arial" w:hAnsi="Arial" w:cs="Arial"/>
        </w:rPr>
        <w:t xml:space="preserve">It is the purchase of goods and services, which includes public investment, public consumption, and transfer payments consisting of capital transfers and income transfers. A government spends money on the supply of goods and services that the private sector does not provide but are important for the nation’s welfare. Government spending is done on infrastructure, health, welfare benefits, and national </w:t>
      </w:r>
      <w:r w:rsidR="002450A2" w:rsidRPr="003E18BA">
        <w:rPr>
          <w:rFonts w:ascii="Arial" w:hAnsi="Arial" w:cs="Arial"/>
        </w:rPr>
        <w:t>defence</w:t>
      </w:r>
      <w:r w:rsidRPr="003E18BA">
        <w:rPr>
          <w:rFonts w:ascii="Arial" w:hAnsi="Arial" w:cs="Arial"/>
        </w:rPr>
        <w:t>. Also, the government subsidises industries that cannot propel their operation with private sector funding, like agriculture or transportation. The total government expenditure is necessary for the economic activity of a nation. It affects the rate of economic growth and the level of production in the private sector. Thus, GOVCON is a ratio of GOVCON as a share of GDP</w:t>
      </w:r>
      <w:r w:rsidR="00810600" w:rsidRPr="008204CC">
        <w:rPr>
          <w:rFonts w:ascii="Arial" w:eastAsia="Times New Roman" w:hAnsi="Arial" w:cs="Arial"/>
          <w:lang w:eastAsia="en-GB"/>
        </w:rPr>
        <w:t xml:space="preserve">:  </w:t>
      </w:r>
    </w:p>
    <w:p w14:paraId="26DF07DA" w14:textId="05C05B71" w:rsidR="00810600" w:rsidRPr="008204CC" w:rsidRDefault="00810600" w:rsidP="0066301C">
      <w:pPr>
        <w:autoSpaceDE w:val="0"/>
        <w:autoSpaceDN w:val="0"/>
        <w:adjustRightInd w:val="0"/>
        <w:spacing w:after="200" w:line="360" w:lineRule="auto"/>
        <w:contextualSpacing/>
        <w:jc w:val="center"/>
        <w:rPr>
          <w:rFonts w:ascii="Arial" w:eastAsia="Times New Roman" w:hAnsi="Arial" w:cs="Arial"/>
          <w:lang w:eastAsia="en-GB"/>
        </w:rPr>
      </w:pPr>
      <w:r w:rsidRPr="008204CC">
        <w:rPr>
          <w:rFonts w:ascii="Arial" w:eastAsia="Times New Roman" w:hAnsi="Arial" w:cs="Arial"/>
          <w:lang w:eastAsia="en-GB"/>
        </w:rPr>
        <w:lastRenderedPageBreak/>
        <w:t xml:space="preserve">GOVCON = </w:t>
      </w:r>
      <m:oMath>
        <m:f>
          <m:fPr>
            <m:ctrlPr>
              <w:rPr>
                <w:rFonts w:ascii="Cambria Math" w:eastAsia="Times New Roman" w:hAnsi="Cambria Math" w:cs="Arial"/>
                <w:i/>
                <w:lang w:eastAsia="en-GB"/>
              </w:rPr>
            </m:ctrlPr>
          </m:fPr>
          <m:num>
            <m:r>
              <w:rPr>
                <w:rFonts w:ascii="Cambria Math" w:eastAsia="Times New Roman" w:hAnsi="Cambria Math" w:cs="Arial"/>
                <w:lang w:eastAsia="en-GB"/>
              </w:rPr>
              <m:t>GOVK</m:t>
            </m:r>
          </m:num>
          <m:den>
            <m:r>
              <w:rPr>
                <w:rFonts w:ascii="Cambria Math" w:eastAsia="Times New Roman" w:hAnsi="Cambria Math" w:cs="Arial"/>
                <w:lang w:eastAsia="en-GB"/>
              </w:rPr>
              <m:t>GDP</m:t>
            </m:r>
          </m:den>
        </m:f>
      </m:oMath>
    </w:p>
    <w:p w14:paraId="553D0B76" w14:textId="77777777" w:rsidR="00810600" w:rsidRDefault="00810600" w:rsidP="0066301C">
      <w:pPr>
        <w:spacing w:line="360" w:lineRule="auto"/>
        <w:jc w:val="both"/>
        <w:rPr>
          <w:rFonts w:ascii="Arial" w:hAnsi="Arial" w:cs="Arial"/>
          <w:lang w:eastAsia="en-GB"/>
        </w:rPr>
      </w:pPr>
      <w:r w:rsidRPr="00E306E3">
        <w:rPr>
          <w:rFonts w:ascii="Arial" w:hAnsi="Arial" w:cs="Arial"/>
          <w:lang w:eastAsia="en-GB"/>
        </w:rPr>
        <w:t>The volume and composition of government spending affects the value of the REER</w:t>
      </w:r>
      <w:r>
        <w:rPr>
          <w:rFonts w:ascii="Arial" w:hAnsi="Arial" w:cs="Arial"/>
          <w:lang w:eastAsia="en-GB"/>
        </w:rPr>
        <w:t>;</w:t>
      </w:r>
      <w:r w:rsidRPr="00E306E3">
        <w:rPr>
          <w:rFonts w:ascii="Arial" w:hAnsi="Arial" w:cs="Arial"/>
          <w:lang w:eastAsia="en-GB"/>
        </w:rPr>
        <w:t xml:space="preserve"> depends on if the purchases are mainly in tradable or non-tradable products. In case government expenditures are mainly on non-tradable products, it could be associated with overvaluation. On the other hand, if government purchases are mainly on tradable products, this could lead to the deterioration of the trade balance due to increased imports, resulting to an underestimation of the RE</w:t>
      </w:r>
      <w:r>
        <w:rPr>
          <w:rFonts w:ascii="Arial" w:hAnsi="Arial" w:cs="Arial"/>
          <w:lang w:eastAsia="en-GB"/>
        </w:rPr>
        <w:t>E</w:t>
      </w:r>
      <w:r w:rsidRPr="00E306E3">
        <w:rPr>
          <w:rFonts w:ascii="Arial" w:hAnsi="Arial" w:cs="Arial"/>
          <w:lang w:eastAsia="en-GB"/>
        </w:rPr>
        <w:t xml:space="preserve">R (Cakrani </w:t>
      </w:r>
      <w:r w:rsidRPr="00E306E3">
        <w:rPr>
          <w:rFonts w:ascii="Arial" w:hAnsi="Arial" w:cs="Arial"/>
          <w:i/>
          <w:lang w:eastAsia="en-GB"/>
        </w:rPr>
        <w:t>et al.,</w:t>
      </w:r>
      <w:r w:rsidRPr="00E306E3">
        <w:rPr>
          <w:rFonts w:ascii="Arial" w:hAnsi="Arial" w:cs="Arial"/>
          <w:lang w:eastAsia="en-GB"/>
        </w:rPr>
        <w:t xml:space="preserve"> 2013). Thus, the impact of government spending on the R</w:t>
      </w:r>
      <w:r>
        <w:rPr>
          <w:rFonts w:ascii="Arial" w:hAnsi="Arial" w:cs="Arial"/>
          <w:lang w:eastAsia="en-GB"/>
        </w:rPr>
        <w:t>E</w:t>
      </w:r>
      <w:r w:rsidRPr="00E306E3">
        <w:rPr>
          <w:rFonts w:ascii="Arial" w:hAnsi="Arial" w:cs="Arial"/>
          <w:lang w:eastAsia="en-GB"/>
        </w:rPr>
        <w:t xml:space="preserve">ER is unclear. This view is supported by empirical studies that showed that government expenditure could be associated with either overvaluation or undervaluation. In one of the studies, </w:t>
      </w:r>
      <w:bookmarkStart w:id="127" w:name="_Hlk131177400"/>
      <w:r w:rsidRPr="00E306E3">
        <w:rPr>
          <w:rFonts w:ascii="Arial" w:hAnsi="Arial" w:cs="Arial"/>
          <w:lang w:eastAsia="en-GB"/>
        </w:rPr>
        <w:t xml:space="preserve">Edwards (1989) </w:t>
      </w:r>
      <w:bookmarkEnd w:id="127"/>
      <w:r w:rsidRPr="00E306E3">
        <w:rPr>
          <w:rFonts w:ascii="Arial" w:hAnsi="Arial" w:cs="Arial"/>
          <w:lang w:eastAsia="en-GB"/>
        </w:rPr>
        <w:t>found that an increase in government spending induced the appreciation of the RE</w:t>
      </w:r>
      <w:r>
        <w:rPr>
          <w:rFonts w:ascii="Arial" w:hAnsi="Arial" w:cs="Arial"/>
          <w:lang w:eastAsia="en-GB"/>
        </w:rPr>
        <w:t>E</w:t>
      </w:r>
      <w:r w:rsidRPr="00E306E3">
        <w:rPr>
          <w:rFonts w:ascii="Arial" w:hAnsi="Arial" w:cs="Arial"/>
          <w:lang w:eastAsia="en-GB"/>
        </w:rPr>
        <w:t xml:space="preserve">R in 12 developing nations. On the other hand, </w:t>
      </w:r>
      <w:bookmarkStart w:id="128" w:name="_Hlk131177412"/>
      <w:r w:rsidRPr="00E306E3">
        <w:rPr>
          <w:rFonts w:ascii="Arial" w:hAnsi="Arial" w:cs="Arial"/>
          <w:lang w:eastAsia="en-GB"/>
        </w:rPr>
        <w:t xml:space="preserve">Ravn </w:t>
      </w:r>
      <w:r w:rsidRPr="00E306E3">
        <w:rPr>
          <w:rFonts w:ascii="Arial" w:hAnsi="Arial" w:cs="Arial"/>
          <w:i/>
          <w:lang w:eastAsia="en-GB"/>
        </w:rPr>
        <w:t>et al.</w:t>
      </w:r>
      <w:r w:rsidRPr="00E306E3">
        <w:rPr>
          <w:rFonts w:ascii="Arial" w:hAnsi="Arial" w:cs="Arial"/>
          <w:lang w:eastAsia="en-GB"/>
        </w:rPr>
        <w:t xml:space="preserve"> (2012, 2007) </w:t>
      </w:r>
      <w:bookmarkEnd w:id="128"/>
      <w:r w:rsidRPr="00E306E3">
        <w:rPr>
          <w:rFonts w:ascii="Arial" w:hAnsi="Arial" w:cs="Arial"/>
          <w:lang w:eastAsia="en-GB"/>
        </w:rPr>
        <w:t>found that an increase in government spending led to the expansion in output and private consumption, a trade balance deterioration, and depreciation of the R</w:t>
      </w:r>
      <w:r>
        <w:rPr>
          <w:rFonts w:ascii="Arial" w:hAnsi="Arial" w:cs="Arial"/>
          <w:lang w:eastAsia="en-GB"/>
        </w:rPr>
        <w:t>E</w:t>
      </w:r>
      <w:r w:rsidRPr="00E306E3">
        <w:rPr>
          <w:rFonts w:ascii="Arial" w:hAnsi="Arial" w:cs="Arial"/>
          <w:lang w:eastAsia="en-GB"/>
        </w:rPr>
        <w:t xml:space="preserve">ER. </w:t>
      </w:r>
    </w:p>
    <w:p w14:paraId="21EDA2D5" w14:textId="77777777" w:rsidR="00810600" w:rsidRPr="00A24A53" w:rsidRDefault="00810600" w:rsidP="0066301C">
      <w:pPr>
        <w:spacing w:after="0" w:line="360" w:lineRule="auto"/>
        <w:jc w:val="both"/>
        <w:rPr>
          <w:rFonts w:ascii="Arial" w:hAnsi="Arial" w:cs="Arial"/>
          <w:lang w:eastAsia="en-GB"/>
        </w:rPr>
      </w:pPr>
      <w:r>
        <w:rPr>
          <w:rFonts w:ascii="Arial" w:hAnsi="Arial" w:cs="Arial"/>
        </w:rPr>
        <w:t xml:space="preserve">In this research, GOVCON </w:t>
      </w:r>
      <w:r w:rsidRPr="00A24A53">
        <w:rPr>
          <w:rFonts w:ascii="Arial" w:hAnsi="Arial" w:cs="Arial"/>
        </w:rPr>
        <w:t>is the g</w:t>
      </w:r>
      <w:r w:rsidRPr="00A24A53">
        <w:rPr>
          <w:rFonts w:ascii="Arial" w:eastAsia="Times New Roman" w:hAnsi="Arial" w:cs="Arial"/>
          <w:color w:val="000000"/>
          <w:lang w:eastAsia="en-GB"/>
        </w:rPr>
        <w:t xml:space="preserve">eneral government final consumption expenditure (formerly general government consumption) includes all government current expenditures for purchases of goods and services (including compensation of employees). It also includes most expenditures on national defence and security but excludes government military expenditures that are part of government capital formation. </w:t>
      </w:r>
      <w:r w:rsidRPr="00A24A53">
        <w:rPr>
          <w:rFonts w:ascii="Arial" w:hAnsi="Arial" w:cs="Arial"/>
        </w:rPr>
        <w:t>GOVCON = [</w:t>
      </w:r>
      <w:r w:rsidRPr="00A24A53">
        <w:rPr>
          <w:rFonts w:ascii="Arial" w:eastAsia="Times New Roman" w:hAnsi="Arial" w:cs="Arial"/>
          <w:bCs/>
          <w:color w:val="000000"/>
          <w:lang w:eastAsia="en-GB"/>
        </w:rPr>
        <w:t xml:space="preserve">General Government Final Consumption Expenditure (% of GDP)]. </w:t>
      </w:r>
      <w:r w:rsidRPr="00A24A53">
        <w:rPr>
          <w:rFonts w:ascii="Arial" w:hAnsi="Arial" w:cs="Arial"/>
          <w:lang w:eastAsia="en-GB"/>
        </w:rPr>
        <w:t>The data is from the World banks - World Development Indicators (WDI) database lastly updated on 18/03/2020.</w:t>
      </w:r>
    </w:p>
    <w:p w14:paraId="348C8D9C" w14:textId="77777777" w:rsidR="00810600" w:rsidRDefault="00810600" w:rsidP="0066301C">
      <w:pPr>
        <w:pStyle w:val="ListParagraph"/>
        <w:autoSpaceDE w:val="0"/>
        <w:autoSpaceDN w:val="0"/>
        <w:adjustRightInd w:val="0"/>
        <w:spacing w:line="360" w:lineRule="auto"/>
        <w:ind w:left="0"/>
        <w:jc w:val="both"/>
        <w:rPr>
          <w:rFonts w:ascii="Arial" w:hAnsi="Arial" w:cs="Arial"/>
          <w:b/>
        </w:rPr>
      </w:pPr>
      <w:r w:rsidRPr="00A24A53">
        <w:rPr>
          <w:rFonts w:ascii="Arial" w:hAnsi="Arial" w:cs="Arial"/>
          <w:b/>
          <w:i/>
        </w:rPr>
        <w:t>Productivity Differentials (PROD)</w:t>
      </w:r>
      <w:r w:rsidRPr="00A24A53">
        <w:rPr>
          <w:rFonts w:ascii="Arial" w:hAnsi="Arial" w:cs="Arial"/>
          <w:b/>
        </w:rPr>
        <w:t xml:space="preserve">: </w:t>
      </w:r>
    </w:p>
    <w:p w14:paraId="0F217769" w14:textId="77777777" w:rsidR="00810600" w:rsidRPr="008A072B" w:rsidRDefault="00810600" w:rsidP="0066301C">
      <w:pPr>
        <w:spacing w:after="200" w:line="360" w:lineRule="auto"/>
        <w:jc w:val="both"/>
        <w:rPr>
          <w:rFonts w:ascii="Arial" w:eastAsia="Times New Roman" w:hAnsi="Arial" w:cs="Arial"/>
          <w:lang w:eastAsia="en-GB"/>
        </w:rPr>
      </w:pPr>
      <w:r w:rsidRPr="008204CC">
        <w:rPr>
          <w:rFonts w:ascii="Arial" w:eastAsia="Times New Roman" w:hAnsi="Arial" w:cs="Arial"/>
          <w:lang w:eastAsia="en-GB"/>
        </w:rPr>
        <w:t>According to the Balassa-Samuelson effect, a key explanatory factor of the REER is the difference in productivity. It is argued that because there is a productivity gap between high- and low-income nations and assume that differences in labour productivity are higher in tradable than non-tradable goods sectors, the R</w:t>
      </w:r>
      <w:r>
        <w:rPr>
          <w:rFonts w:ascii="Arial" w:eastAsia="Times New Roman" w:hAnsi="Arial" w:cs="Arial"/>
          <w:lang w:eastAsia="en-GB"/>
        </w:rPr>
        <w:t>E</w:t>
      </w:r>
      <w:r w:rsidRPr="008204CC">
        <w:rPr>
          <w:rFonts w:ascii="Arial" w:eastAsia="Times New Roman" w:hAnsi="Arial" w:cs="Arial"/>
          <w:lang w:eastAsia="en-GB"/>
        </w:rPr>
        <w:t>ER in richer nations will be overvalued. Low profitability, low investment, and lack of technological enhancements prevents firms in developing nations from producing high-value-added and high-quality goods. This explains the inability of developing nations to improve their export performance and access new markets. As such, depreciation become the second-best option to improve their competitiveness in the international markets (</w:t>
      </w:r>
      <w:bookmarkStart w:id="129" w:name="_Hlk131182535"/>
      <w:r w:rsidRPr="008204CC">
        <w:rPr>
          <w:rFonts w:ascii="Arial" w:eastAsia="Times New Roman" w:hAnsi="Arial" w:cs="Arial"/>
          <w:lang w:eastAsia="en-GB"/>
        </w:rPr>
        <w:t>Rodrik, 2008</w:t>
      </w:r>
      <w:bookmarkEnd w:id="129"/>
      <w:r w:rsidRPr="008204CC">
        <w:rPr>
          <w:rFonts w:ascii="Arial" w:eastAsia="Times New Roman" w:hAnsi="Arial" w:cs="Arial"/>
          <w:lang w:eastAsia="en-GB"/>
        </w:rPr>
        <w:t>). Thus, low productivity leads to the REER devaluation and high productivity results in REER overvaluation.</w:t>
      </w:r>
    </w:p>
    <w:p w14:paraId="6D6428E3" w14:textId="3730E2E9" w:rsidR="00FE4FFB" w:rsidRDefault="00810600" w:rsidP="0066301C">
      <w:pPr>
        <w:pStyle w:val="ListParagraph"/>
        <w:autoSpaceDE w:val="0"/>
        <w:autoSpaceDN w:val="0"/>
        <w:adjustRightInd w:val="0"/>
        <w:spacing w:line="360" w:lineRule="auto"/>
        <w:ind w:left="0"/>
        <w:jc w:val="both"/>
        <w:rPr>
          <w:rFonts w:ascii="Arial" w:hAnsi="Arial" w:cs="Arial"/>
        </w:rPr>
      </w:pPr>
      <w:r>
        <w:rPr>
          <w:rFonts w:ascii="Arial" w:hAnsi="Arial" w:cs="Arial"/>
        </w:rPr>
        <w:t xml:space="preserve">In this research, </w:t>
      </w:r>
      <w:r w:rsidRPr="00A24A53">
        <w:rPr>
          <w:rFonts w:ascii="Arial" w:hAnsi="Arial" w:cs="Arial"/>
        </w:rPr>
        <w:t xml:space="preserve">PROD is proxy by GDP per capita (current US$). </w:t>
      </w:r>
      <w:r w:rsidRPr="00A24A53">
        <w:rPr>
          <w:rFonts w:ascii="Arial" w:hAnsi="Arial" w:cs="Arial"/>
          <w:color w:val="000000"/>
        </w:rPr>
        <w:t xml:space="preserve">GDP per capita is gross domestic product divided by midyear population. GDP is the sum of gross value added by all resident producers in the economy plus any product taxes and minus any subsidies not included in the value of the products. It is calculated without making deductions for depreciation of </w:t>
      </w:r>
      <w:r w:rsidRPr="00A24A53">
        <w:rPr>
          <w:rFonts w:ascii="Arial" w:hAnsi="Arial" w:cs="Arial"/>
          <w:color w:val="000000"/>
        </w:rPr>
        <w:lastRenderedPageBreak/>
        <w:t xml:space="preserve">fabricated assets or for depletion and degradation of natural resources </w:t>
      </w:r>
      <w:r w:rsidRPr="00A24A53">
        <w:rPr>
          <w:rFonts w:ascii="Arial" w:hAnsi="Arial" w:cs="Arial"/>
        </w:rPr>
        <w:t>(World Bank, 2020)</w:t>
      </w:r>
      <w:r w:rsidRPr="00A24A53">
        <w:rPr>
          <w:rFonts w:ascii="Arial" w:hAnsi="Arial" w:cs="Arial"/>
          <w:color w:val="000000"/>
        </w:rPr>
        <w:t xml:space="preserve">. Data are in current </w:t>
      </w:r>
      <w:bookmarkStart w:id="130" w:name="_Hlk131722856"/>
      <w:r w:rsidRPr="00A24A53">
        <w:rPr>
          <w:rFonts w:ascii="Arial" w:hAnsi="Arial" w:cs="Arial"/>
          <w:color w:val="000000"/>
        </w:rPr>
        <w:t>U.S. dollars and t</w:t>
      </w:r>
      <w:r w:rsidRPr="00A24A53">
        <w:rPr>
          <w:rFonts w:ascii="Arial" w:hAnsi="Arial" w:cs="Arial"/>
        </w:rPr>
        <w:t>he data is from the World Banks - World Development Indicators (WDI) database lastly updated on 18/03/2020.</w:t>
      </w:r>
      <w:bookmarkStart w:id="131" w:name="_Hlk134454163"/>
    </w:p>
    <w:p w14:paraId="5E7136E1" w14:textId="0D53D4DF" w:rsidR="00BB5F33" w:rsidRDefault="00DE02F4" w:rsidP="0066301C">
      <w:pPr>
        <w:pStyle w:val="Heading2"/>
        <w:spacing w:before="0" w:beforeAutospacing="0"/>
      </w:pPr>
      <w:bookmarkStart w:id="132" w:name="_Hlk131722800"/>
      <w:bookmarkStart w:id="133" w:name="_Toc171075379"/>
      <w:bookmarkStart w:id="134" w:name="_Hlk170834865"/>
      <w:r>
        <w:t>3</w:t>
      </w:r>
      <w:r w:rsidR="00BB5F33">
        <w:t>.</w:t>
      </w:r>
      <w:r w:rsidR="00AA2E4D">
        <w:t>4</w:t>
      </w:r>
      <w:r w:rsidR="00625766">
        <w:tab/>
      </w:r>
      <w:r w:rsidR="00BB5F33">
        <w:t>ECONOMETRIC APPROACH</w:t>
      </w:r>
      <w:bookmarkEnd w:id="132"/>
      <w:bookmarkEnd w:id="133"/>
    </w:p>
    <w:bookmarkEnd w:id="130"/>
    <w:p w14:paraId="09E12F55" w14:textId="77777777" w:rsidR="00AB24A4" w:rsidRPr="00EB1A0C" w:rsidRDefault="00AB24A4" w:rsidP="0066301C">
      <w:pPr>
        <w:spacing w:line="360" w:lineRule="auto"/>
        <w:jc w:val="both"/>
        <w:rPr>
          <w:rFonts w:ascii="Arial" w:hAnsi="Arial" w:cs="Arial"/>
          <w:lang w:eastAsia="en-GB"/>
        </w:rPr>
      </w:pPr>
      <w:r w:rsidRPr="00EB1A0C">
        <w:rPr>
          <w:rFonts w:ascii="Arial" w:hAnsi="Arial" w:cs="Arial"/>
          <w:lang w:eastAsia="en-GB"/>
        </w:rPr>
        <w:t>In economics, it is always good to get the long-run relationship between variables to be better prepared on how to make both political and economic projections, as well as to know the various macroeconomic policies to be put in place to achieve the objectives (Gujarati, 2009). For this to be achieved, it is essential to perform a cointegration test. It is a test to verify that variables used in a model have a long-run and short-run relationship among themselves (Maddala, 2001). Different approaches could be used to determine the nature of the relationship between variables in a model, such as Vector Autoregression (VAR) or the Autoregressive Distributed Lag (ARDL) of Pesaran </w:t>
      </w:r>
      <w:r w:rsidRPr="00EB1A0C">
        <w:rPr>
          <w:rFonts w:ascii="Arial" w:hAnsi="Arial" w:cs="Arial"/>
          <w:i/>
          <w:iCs/>
          <w:lang w:eastAsia="en-GB"/>
        </w:rPr>
        <w:t>et al. </w:t>
      </w:r>
      <w:r w:rsidRPr="00EB1A0C">
        <w:rPr>
          <w:rFonts w:ascii="Arial" w:hAnsi="Arial" w:cs="Arial"/>
          <w:lang w:eastAsia="en-GB"/>
        </w:rPr>
        <w:t xml:space="preserve">(2001). The integration level of the variables determines the appropriate approach. </w:t>
      </w:r>
      <w:bookmarkStart w:id="135" w:name="_Hlk162604685"/>
      <w:bookmarkStart w:id="136" w:name="_Hlk162604757"/>
      <w:r w:rsidRPr="00EB1A0C">
        <w:rPr>
          <w:rFonts w:ascii="Arial" w:hAnsi="Arial" w:cs="Arial"/>
          <w:lang w:eastAsia="en-GB"/>
        </w:rPr>
        <w:t>The VAR approach is used when all the variables in the models are integrated of order one (i.e., the variables become stationary at the first difference - </w:t>
      </w:r>
      <w:r w:rsidRPr="00EB1A0C">
        <w:rPr>
          <w:rFonts w:ascii="Arial" w:hAnsi="Arial" w:cs="Arial"/>
          <w:b/>
          <w:bCs/>
          <w:i/>
          <w:iCs/>
          <w:lang w:eastAsia="en-GB"/>
        </w:rPr>
        <w:t>I</w:t>
      </w:r>
      <w:r w:rsidRPr="00EB1A0C">
        <w:rPr>
          <w:rFonts w:ascii="Arial" w:hAnsi="Arial" w:cs="Arial"/>
          <w:b/>
          <w:bCs/>
          <w:lang w:eastAsia="en-GB"/>
        </w:rPr>
        <w:t>(1)</w:t>
      </w:r>
      <w:r w:rsidRPr="00EB1A0C">
        <w:rPr>
          <w:rFonts w:ascii="Arial" w:hAnsi="Arial" w:cs="Arial"/>
          <w:lang w:eastAsia="en-GB"/>
        </w:rPr>
        <w:t>).</w:t>
      </w:r>
      <w:bookmarkEnd w:id="135"/>
      <w:r w:rsidRPr="00EB1A0C">
        <w:rPr>
          <w:rFonts w:ascii="Arial" w:hAnsi="Arial" w:cs="Arial"/>
          <w:lang w:eastAsia="en-GB"/>
        </w:rPr>
        <w:t xml:space="preserve"> On the other hand, the ARDL approach can be applied irrespective of whether the variables are integrated of order zero (i.e., the variables are stationary at level form - </w:t>
      </w:r>
      <w:r w:rsidRPr="00EB1A0C">
        <w:rPr>
          <w:rFonts w:ascii="Arial" w:hAnsi="Arial" w:cs="Arial"/>
          <w:b/>
          <w:bCs/>
          <w:i/>
          <w:iCs/>
          <w:lang w:eastAsia="en-GB"/>
        </w:rPr>
        <w:t>I</w:t>
      </w:r>
      <w:r w:rsidRPr="00EB1A0C">
        <w:rPr>
          <w:rFonts w:ascii="Arial" w:hAnsi="Arial" w:cs="Arial"/>
          <w:b/>
          <w:bCs/>
          <w:lang w:eastAsia="en-GB"/>
        </w:rPr>
        <w:t>(0)</w:t>
      </w:r>
      <w:r w:rsidRPr="00EB1A0C">
        <w:rPr>
          <w:rFonts w:ascii="Arial" w:hAnsi="Arial" w:cs="Arial"/>
          <w:lang w:eastAsia="en-GB"/>
        </w:rPr>
        <w:t>) or integrated of order one (i.e., the variables become stationary at first difference - </w:t>
      </w:r>
      <w:r w:rsidRPr="00EB1A0C">
        <w:rPr>
          <w:rFonts w:ascii="Arial" w:hAnsi="Arial" w:cs="Arial"/>
          <w:b/>
          <w:bCs/>
          <w:i/>
          <w:iCs/>
          <w:lang w:eastAsia="en-GB"/>
        </w:rPr>
        <w:t>I</w:t>
      </w:r>
      <w:r w:rsidRPr="00EB1A0C">
        <w:rPr>
          <w:rFonts w:ascii="Arial" w:hAnsi="Arial" w:cs="Arial"/>
          <w:b/>
          <w:bCs/>
          <w:lang w:eastAsia="en-GB"/>
        </w:rPr>
        <w:t>(1)</w:t>
      </w:r>
      <w:r w:rsidRPr="00EB1A0C">
        <w:rPr>
          <w:rFonts w:ascii="Arial" w:hAnsi="Arial" w:cs="Arial"/>
          <w:lang w:eastAsia="en-GB"/>
        </w:rPr>
        <w:t>). However, the variables must not be integrated of order two (i.e., the variables are stationary at second difference – </w:t>
      </w:r>
      <w:r w:rsidRPr="00EB1A0C">
        <w:rPr>
          <w:rFonts w:ascii="Arial" w:hAnsi="Arial" w:cs="Arial"/>
          <w:b/>
          <w:bCs/>
          <w:i/>
          <w:iCs/>
          <w:lang w:eastAsia="en-GB"/>
        </w:rPr>
        <w:t>I</w:t>
      </w:r>
      <w:r w:rsidRPr="00EB1A0C">
        <w:rPr>
          <w:rFonts w:ascii="Arial" w:hAnsi="Arial" w:cs="Arial"/>
          <w:b/>
          <w:bCs/>
          <w:lang w:eastAsia="en-GB"/>
        </w:rPr>
        <w:t>(2)</w:t>
      </w:r>
      <w:r w:rsidRPr="00EB1A0C">
        <w:rPr>
          <w:rFonts w:ascii="Arial" w:hAnsi="Arial" w:cs="Arial"/>
          <w:lang w:eastAsia="en-GB"/>
        </w:rPr>
        <w:t>).</w:t>
      </w:r>
      <w:bookmarkEnd w:id="136"/>
      <w:r w:rsidRPr="00EB1A0C">
        <w:rPr>
          <w:rFonts w:ascii="Arial" w:hAnsi="Arial" w:cs="Arial"/>
          <w:lang w:eastAsia="en-GB"/>
        </w:rPr>
        <w:t> </w:t>
      </w:r>
    </w:p>
    <w:p w14:paraId="1EE187A1" w14:textId="52F91E9A" w:rsidR="00AB24A4" w:rsidRPr="00EB1A0C" w:rsidRDefault="00AB24A4" w:rsidP="0066301C">
      <w:pPr>
        <w:spacing w:line="360" w:lineRule="auto"/>
        <w:jc w:val="both"/>
        <w:rPr>
          <w:rFonts w:ascii="Arial" w:hAnsi="Arial" w:cs="Arial"/>
          <w:lang w:eastAsia="en-GB"/>
        </w:rPr>
      </w:pPr>
      <w:r w:rsidRPr="00EB1A0C">
        <w:rPr>
          <w:rFonts w:ascii="Arial" w:hAnsi="Arial" w:cs="Arial"/>
          <w:lang w:eastAsia="en-GB"/>
        </w:rPr>
        <w:t>Based on the classical works of Clark and MacDonald (2004,1998), this study uses the Vector Autoregression (VAR) approach, which consists of the full-information maximum likelihood (FIML) method due to Johansen (1995).</w:t>
      </w:r>
      <w:r>
        <w:rPr>
          <w:rStyle w:val="FootnoteReference"/>
          <w:rFonts w:ascii="Arial" w:hAnsi="Arial" w:cs="Arial"/>
          <w:lang w:eastAsia="en-GB"/>
        </w:rPr>
        <w:footnoteReference w:id="64"/>
      </w:r>
      <w:r w:rsidRPr="00EB1A0C">
        <w:rPr>
          <w:rFonts w:ascii="Arial" w:hAnsi="Arial" w:cs="Arial"/>
          <w:lang w:eastAsia="en-GB"/>
        </w:rPr>
        <w:t> This econometrics methodology corrects for autocorrelation and endogeneity parametrically using the vector error correction mechanism (VECM) specification. The estimation procedure for the VAR method entails the following steps</w:t>
      </w:r>
      <w:r w:rsidR="00AA7320">
        <w:rPr>
          <w:rFonts w:ascii="Arial" w:hAnsi="Arial" w:cs="Arial"/>
          <w:lang w:eastAsia="en-GB"/>
        </w:rPr>
        <w:t>:</w:t>
      </w:r>
      <w:r>
        <w:rPr>
          <w:rStyle w:val="FootnoteReference"/>
          <w:rFonts w:ascii="Arial" w:hAnsi="Arial" w:cs="Arial"/>
          <w:lang w:eastAsia="en-GB"/>
        </w:rPr>
        <w:footnoteReference w:id="65"/>
      </w:r>
    </w:p>
    <w:p w14:paraId="412AF309" w14:textId="3500C2F7" w:rsidR="00043157" w:rsidRPr="00AE4C63" w:rsidRDefault="00043157" w:rsidP="0066301C">
      <w:pPr>
        <w:autoSpaceDE w:val="0"/>
        <w:autoSpaceDN w:val="0"/>
        <w:adjustRightInd w:val="0"/>
        <w:spacing w:after="0" w:line="360" w:lineRule="auto"/>
        <w:jc w:val="both"/>
        <w:rPr>
          <w:rFonts w:ascii="Arial" w:hAnsi="Arial" w:cs="Arial"/>
          <w:b/>
          <w:bCs/>
        </w:rPr>
      </w:pPr>
      <w:r w:rsidRPr="00AE4C63">
        <w:rPr>
          <w:rFonts w:ascii="Arial" w:hAnsi="Arial" w:cs="Arial"/>
          <w:b/>
          <w:bCs/>
        </w:rPr>
        <w:t xml:space="preserve">The </w:t>
      </w:r>
      <w:r>
        <w:rPr>
          <w:rFonts w:ascii="Arial" w:hAnsi="Arial" w:cs="Arial"/>
          <w:b/>
          <w:bCs/>
        </w:rPr>
        <w:t xml:space="preserve">step to </w:t>
      </w:r>
      <w:r w:rsidRPr="00AE4C63">
        <w:rPr>
          <w:rFonts w:ascii="Arial" w:hAnsi="Arial" w:cs="Arial"/>
          <w:b/>
          <w:bCs/>
        </w:rPr>
        <w:t>estimat</w:t>
      </w:r>
      <w:r>
        <w:rPr>
          <w:rFonts w:ascii="Arial" w:hAnsi="Arial" w:cs="Arial"/>
          <w:b/>
          <w:bCs/>
        </w:rPr>
        <w:t>e</w:t>
      </w:r>
      <w:r w:rsidRPr="00AE4C63">
        <w:rPr>
          <w:rFonts w:ascii="Arial" w:hAnsi="Arial" w:cs="Arial"/>
          <w:b/>
          <w:bCs/>
        </w:rPr>
        <w:t xml:space="preserve"> the VAR method </w:t>
      </w:r>
      <w:r>
        <w:rPr>
          <w:rFonts w:ascii="Arial" w:hAnsi="Arial" w:cs="Arial"/>
          <w:b/>
          <w:bCs/>
        </w:rPr>
        <w:t>using EViews 12 are as</w:t>
      </w:r>
      <w:r w:rsidRPr="00AE4C63">
        <w:rPr>
          <w:rFonts w:ascii="Arial" w:hAnsi="Arial" w:cs="Arial"/>
          <w:b/>
          <w:bCs/>
        </w:rPr>
        <w:t xml:space="preserve"> following:</w:t>
      </w:r>
    </w:p>
    <w:p w14:paraId="22A9FAB7" w14:textId="77777777" w:rsidR="00D37EF8" w:rsidRPr="00D37EF8" w:rsidRDefault="00A77551" w:rsidP="0066301C">
      <w:pPr>
        <w:pStyle w:val="NoSpacing"/>
        <w:numPr>
          <w:ilvl w:val="0"/>
          <w:numId w:val="16"/>
        </w:numPr>
        <w:autoSpaceDE w:val="0"/>
        <w:autoSpaceDN w:val="0"/>
        <w:adjustRightInd w:val="0"/>
        <w:spacing w:line="360" w:lineRule="auto"/>
        <w:ind w:left="426"/>
        <w:jc w:val="both"/>
        <w:rPr>
          <w:rFonts w:ascii="Arial" w:hAnsi="Arial" w:cs="Arial"/>
          <w:b/>
          <w:bCs/>
        </w:rPr>
      </w:pPr>
      <w:r w:rsidRPr="00D37EF8">
        <w:rPr>
          <w:rFonts w:ascii="Arial" w:hAnsi="Arial" w:cs="Arial"/>
        </w:rPr>
        <w:t>P</w:t>
      </w:r>
      <w:r w:rsidR="00043157" w:rsidRPr="00D37EF8">
        <w:rPr>
          <w:rFonts w:ascii="Arial" w:hAnsi="Arial" w:cs="Arial"/>
        </w:rPr>
        <w:t xml:space="preserve">erform some Diagnostic Test: </w:t>
      </w:r>
    </w:p>
    <w:p w14:paraId="6B659177" w14:textId="29259AA2" w:rsidR="00043157" w:rsidRPr="00D37EF8" w:rsidRDefault="00043157" w:rsidP="0066301C">
      <w:pPr>
        <w:pStyle w:val="NoSpacing"/>
        <w:numPr>
          <w:ilvl w:val="0"/>
          <w:numId w:val="16"/>
        </w:numPr>
        <w:autoSpaceDE w:val="0"/>
        <w:autoSpaceDN w:val="0"/>
        <w:adjustRightInd w:val="0"/>
        <w:spacing w:line="360" w:lineRule="auto"/>
        <w:ind w:left="426"/>
        <w:jc w:val="both"/>
        <w:rPr>
          <w:rFonts w:ascii="Arial" w:hAnsi="Arial" w:cs="Arial"/>
          <w:b/>
          <w:bCs/>
        </w:rPr>
      </w:pPr>
      <w:r w:rsidRPr="00D37EF8">
        <w:rPr>
          <w:rFonts w:ascii="Arial" w:hAnsi="Arial" w:cs="Arial"/>
        </w:rPr>
        <w:t xml:space="preserve">All series must be stationary at </w:t>
      </w:r>
      <w:r w:rsidRPr="00D37EF8">
        <w:rPr>
          <w:rFonts w:ascii="Arial" w:hAnsi="Arial" w:cs="Arial"/>
          <w:i/>
        </w:rPr>
        <w:t>I</w:t>
      </w:r>
      <w:r w:rsidRPr="00D37EF8">
        <w:rPr>
          <w:rFonts w:ascii="Arial" w:hAnsi="Arial" w:cs="Arial"/>
        </w:rPr>
        <w:t xml:space="preserve">(1) and not at </w:t>
      </w:r>
      <w:r w:rsidRPr="00D37EF8">
        <w:rPr>
          <w:rFonts w:ascii="Arial" w:hAnsi="Arial" w:cs="Arial"/>
          <w:i/>
        </w:rPr>
        <w:t>I</w:t>
      </w:r>
      <w:r w:rsidRPr="00D37EF8">
        <w:rPr>
          <w:rFonts w:ascii="Arial" w:hAnsi="Arial" w:cs="Arial"/>
        </w:rPr>
        <w:t xml:space="preserve">(2) - unit root tests. </w:t>
      </w:r>
    </w:p>
    <w:p w14:paraId="56650E05" w14:textId="04975AC5" w:rsidR="00D37EF8" w:rsidRPr="00D37EF8" w:rsidRDefault="00D37EF8" w:rsidP="0066301C">
      <w:pPr>
        <w:pStyle w:val="ListParagraph"/>
        <w:numPr>
          <w:ilvl w:val="0"/>
          <w:numId w:val="16"/>
        </w:numPr>
        <w:autoSpaceDE w:val="0"/>
        <w:autoSpaceDN w:val="0"/>
        <w:adjustRightInd w:val="0"/>
        <w:spacing w:after="0" w:line="360" w:lineRule="auto"/>
        <w:ind w:left="426"/>
        <w:jc w:val="both"/>
        <w:rPr>
          <w:rFonts w:ascii="Arial" w:hAnsi="Arial" w:cs="Arial"/>
          <w:b/>
          <w:bCs/>
        </w:rPr>
      </w:pPr>
      <w:r w:rsidRPr="001016F9">
        <w:rPr>
          <w:rFonts w:ascii="Arial" w:hAnsi="Arial" w:cs="Arial"/>
        </w:rPr>
        <w:t>Determine the optimal lag length (</w:t>
      </w:r>
      <w:r w:rsidRPr="001016F9">
        <w:rPr>
          <w:rFonts w:ascii="Arial" w:hAnsi="Arial" w:cs="Arial"/>
          <w:i/>
        </w:rPr>
        <w:t>p</w:t>
      </w:r>
      <w:r w:rsidRPr="001016F9">
        <w:rPr>
          <w:rFonts w:ascii="Arial" w:hAnsi="Arial" w:cs="Arial"/>
        </w:rPr>
        <w:t>) using the information criterion</w:t>
      </w:r>
      <w:r>
        <w:rPr>
          <w:rFonts w:ascii="Arial" w:hAnsi="Arial" w:cs="Arial"/>
        </w:rPr>
        <w:t>.</w:t>
      </w:r>
    </w:p>
    <w:p w14:paraId="056D3D14" w14:textId="124D9259" w:rsidR="00043157" w:rsidRPr="00D37EF8" w:rsidRDefault="00D37EF8" w:rsidP="0066301C">
      <w:pPr>
        <w:pStyle w:val="ListParagraph"/>
        <w:numPr>
          <w:ilvl w:val="0"/>
          <w:numId w:val="16"/>
        </w:numPr>
        <w:autoSpaceDE w:val="0"/>
        <w:autoSpaceDN w:val="0"/>
        <w:adjustRightInd w:val="0"/>
        <w:spacing w:after="0" w:line="360" w:lineRule="auto"/>
        <w:ind w:left="426"/>
        <w:jc w:val="both"/>
        <w:rPr>
          <w:rFonts w:ascii="Arial" w:hAnsi="Arial" w:cs="Arial"/>
          <w:b/>
          <w:bCs/>
        </w:rPr>
      </w:pPr>
      <w:r w:rsidRPr="001016F9">
        <w:rPr>
          <w:rFonts w:ascii="Arial" w:hAnsi="Arial" w:cs="Arial"/>
        </w:rPr>
        <w:t>Perform the Johansen cointegration test by inputting the lag length (</w:t>
      </w:r>
      <w:r w:rsidRPr="001016F9">
        <w:rPr>
          <w:rFonts w:ascii="Arial" w:hAnsi="Arial" w:cs="Arial"/>
          <w:i/>
        </w:rPr>
        <w:t>p</w:t>
      </w:r>
      <w:r w:rsidRPr="001016F9">
        <w:rPr>
          <w:rFonts w:ascii="Arial" w:hAnsi="Arial" w:cs="Arial"/>
        </w:rPr>
        <w:t>) into the</w:t>
      </w:r>
      <w:r>
        <w:rPr>
          <w:rFonts w:ascii="Arial" w:hAnsi="Arial" w:cs="Arial"/>
        </w:rPr>
        <w:t xml:space="preserve"> </w:t>
      </w:r>
      <w:r w:rsidR="00043157" w:rsidRPr="00D37EF8">
        <w:rPr>
          <w:rFonts w:ascii="Arial" w:hAnsi="Arial" w:cs="Arial"/>
        </w:rPr>
        <w:t>Johansen model.</w:t>
      </w:r>
    </w:p>
    <w:p w14:paraId="4ACCCD94" w14:textId="77777777" w:rsidR="00043157" w:rsidRPr="001016F9" w:rsidRDefault="00043157" w:rsidP="0066301C">
      <w:pPr>
        <w:pStyle w:val="ListParagraph"/>
        <w:numPr>
          <w:ilvl w:val="0"/>
          <w:numId w:val="14"/>
        </w:numPr>
        <w:autoSpaceDE w:val="0"/>
        <w:autoSpaceDN w:val="0"/>
        <w:adjustRightInd w:val="0"/>
        <w:spacing w:after="0" w:line="360" w:lineRule="auto"/>
        <w:jc w:val="both"/>
        <w:rPr>
          <w:rFonts w:ascii="Arial" w:hAnsi="Arial" w:cs="Arial"/>
        </w:rPr>
      </w:pPr>
      <w:r w:rsidRPr="001016F9">
        <w:rPr>
          <w:rFonts w:ascii="Arial" w:hAnsi="Arial" w:cs="Arial"/>
        </w:rPr>
        <w:t>If there is no cointegration, the unrestricted VAR model (basic VAR) is estimated.</w:t>
      </w:r>
    </w:p>
    <w:p w14:paraId="369F5DC0" w14:textId="62889CCD" w:rsidR="00A77551" w:rsidRPr="00A77551" w:rsidRDefault="00043157" w:rsidP="0066301C">
      <w:pPr>
        <w:pStyle w:val="ListParagraph"/>
        <w:numPr>
          <w:ilvl w:val="0"/>
          <w:numId w:val="14"/>
        </w:numPr>
        <w:autoSpaceDE w:val="0"/>
        <w:autoSpaceDN w:val="0"/>
        <w:adjustRightInd w:val="0"/>
        <w:spacing w:after="0" w:line="360" w:lineRule="auto"/>
        <w:jc w:val="both"/>
        <w:rPr>
          <w:rFonts w:ascii="Arial" w:hAnsi="Arial" w:cs="Arial"/>
        </w:rPr>
      </w:pPr>
      <w:r w:rsidRPr="001016F9">
        <w:rPr>
          <w:rFonts w:ascii="Arial" w:hAnsi="Arial" w:cs="Arial"/>
        </w:rPr>
        <w:lastRenderedPageBreak/>
        <w:t>If there is cointegration, the VECM with (</w:t>
      </w:r>
      <w:r w:rsidRPr="001016F9">
        <w:rPr>
          <w:rFonts w:ascii="Arial" w:hAnsi="Arial" w:cs="Arial"/>
          <w:i/>
        </w:rPr>
        <w:t>p</w:t>
      </w:r>
      <w:r w:rsidRPr="001016F9">
        <w:rPr>
          <w:rFonts w:ascii="Arial" w:hAnsi="Arial" w:cs="Arial"/>
        </w:rPr>
        <w:t xml:space="preserve">-1) lag is specified. As such, </w:t>
      </w:r>
      <w:r>
        <w:rPr>
          <w:rFonts w:ascii="Arial" w:hAnsi="Arial" w:cs="Arial"/>
        </w:rPr>
        <w:t>(</w:t>
      </w:r>
      <w:r w:rsidRPr="001016F9">
        <w:rPr>
          <w:rFonts w:ascii="Arial" w:hAnsi="Arial" w:cs="Arial"/>
        </w:rPr>
        <w:t>step a) above is skip.</w:t>
      </w:r>
    </w:p>
    <w:p w14:paraId="6E1CBFFC" w14:textId="32CD4CFD" w:rsidR="00043157" w:rsidRPr="00D37EF8" w:rsidRDefault="00A77551" w:rsidP="0066301C">
      <w:pPr>
        <w:pStyle w:val="ListParagraph"/>
        <w:numPr>
          <w:ilvl w:val="0"/>
          <w:numId w:val="16"/>
        </w:numPr>
        <w:autoSpaceDE w:val="0"/>
        <w:autoSpaceDN w:val="0"/>
        <w:adjustRightInd w:val="0"/>
        <w:spacing w:after="0" w:line="360" w:lineRule="auto"/>
        <w:jc w:val="both"/>
        <w:rPr>
          <w:rFonts w:ascii="Arial" w:hAnsi="Arial" w:cs="Arial"/>
        </w:rPr>
      </w:pPr>
      <w:r w:rsidRPr="00D37EF8">
        <w:rPr>
          <w:rFonts w:ascii="Arial" w:hAnsi="Arial" w:cs="Arial"/>
        </w:rPr>
        <w:t>Perform Stability Test</w:t>
      </w:r>
      <w:r w:rsidR="00D37EF8">
        <w:rPr>
          <w:rFonts w:ascii="Arial" w:hAnsi="Arial" w:cs="Arial"/>
        </w:rPr>
        <w:t xml:space="preserve"> </w:t>
      </w:r>
      <w:r w:rsidR="00043157" w:rsidRPr="00D37EF8">
        <w:rPr>
          <w:rFonts w:ascii="Arial" w:hAnsi="Arial" w:cs="Arial"/>
        </w:rPr>
        <w:t>by applying (</w:t>
      </w:r>
      <w:r w:rsidR="00043157" w:rsidRPr="00D37EF8">
        <w:rPr>
          <w:rFonts w:ascii="Arial" w:hAnsi="Arial" w:cs="Arial"/>
          <w:i/>
          <w:iCs/>
        </w:rPr>
        <w:t>CUSUM and CUSUMQ graph</w:t>
      </w:r>
      <w:r w:rsidR="00043157" w:rsidRPr="00D37EF8">
        <w:rPr>
          <w:rFonts w:ascii="Arial" w:hAnsi="Arial" w:cs="Arial"/>
        </w:rPr>
        <w:t>).</w:t>
      </w:r>
    </w:p>
    <w:p w14:paraId="5A845F20" w14:textId="14A6C860" w:rsidR="00F560D3" w:rsidRDefault="00140316" w:rsidP="0066301C">
      <w:pPr>
        <w:pStyle w:val="Heading3"/>
        <w:numPr>
          <w:ilvl w:val="0"/>
          <w:numId w:val="0"/>
        </w:numPr>
        <w:spacing w:before="0" w:beforeAutospacing="0"/>
      </w:pPr>
      <w:bookmarkStart w:id="137" w:name="_Toc171075380"/>
      <w:bookmarkStart w:id="138" w:name="_Hlk170835002"/>
      <w:bookmarkEnd w:id="134"/>
      <w:r>
        <w:t>3</w:t>
      </w:r>
      <w:r w:rsidR="00F01B84">
        <w:t>.</w:t>
      </w:r>
      <w:r w:rsidR="00AA2E4D">
        <w:t>4</w:t>
      </w:r>
      <w:r w:rsidR="00F01B84">
        <w:t>.</w:t>
      </w:r>
      <w:r w:rsidR="00F01B84" w:rsidRPr="007161FB">
        <w:t>1</w:t>
      </w:r>
      <w:r w:rsidR="007161FB">
        <w:tab/>
      </w:r>
      <w:r w:rsidR="00F560D3" w:rsidRPr="007161FB">
        <w:t>DIAGNOSTIC</w:t>
      </w:r>
      <w:r w:rsidR="00F560D3" w:rsidRPr="00932CBE">
        <w:t xml:space="preserve"> TEST</w:t>
      </w:r>
      <w:r w:rsidR="005D5AF8">
        <w:t>S</w:t>
      </w:r>
      <w:bookmarkEnd w:id="137"/>
    </w:p>
    <w:p w14:paraId="23422E03" w14:textId="4E0C052C" w:rsidR="00F560D3" w:rsidRPr="001016F9" w:rsidRDefault="00D0183C" w:rsidP="0066301C">
      <w:pPr>
        <w:autoSpaceDE w:val="0"/>
        <w:autoSpaceDN w:val="0"/>
        <w:adjustRightInd w:val="0"/>
        <w:spacing w:line="360" w:lineRule="auto"/>
        <w:jc w:val="both"/>
        <w:rPr>
          <w:rFonts w:ascii="Arial" w:hAnsi="Arial" w:cs="Arial"/>
        </w:rPr>
      </w:pPr>
      <w:r w:rsidRPr="001016F9">
        <w:rPr>
          <w:rFonts w:ascii="Arial" w:hAnsi="Arial" w:cs="Arial"/>
        </w:rPr>
        <w:t>To</w:t>
      </w:r>
      <w:r w:rsidR="00F560D3" w:rsidRPr="001016F9">
        <w:rPr>
          <w:rFonts w:ascii="Arial" w:hAnsi="Arial" w:cs="Arial"/>
        </w:rPr>
        <w:t xml:space="preserve"> assess the </w:t>
      </w:r>
      <w:r w:rsidR="00F560D3">
        <w:rPr>
          <w:rFonts w:ascii="Arial" w:hAnsi="Arial" w:cs="Arial"/>
        </w:rPr>
        <w:t>reliability</w:t>
      </w:r>
      <w:r w:rsidR="00F560D3" w:rsidRPr="001016F9">
        <w:rPr>
          <w:rFonts w:ascii="Arial" w:hAnsi="Arial" w:cs="Arial"/>
        </w:rPr>
        <w:t xml:space="preserve"> of the results, several diagnostic tests will be performed. The three main test</w:t>
      </w:r>
      <w:r w:rsidR="00F560D3">
        <w:rPr>
          <w:rFonts w:ascii="Arial" w:hAnsi="Arial" w:cs="Arial"/>
        </w:rPr>
        <w:t>s</w:t>
      </w:r>
      <w:r w:rsidR="00F560D3" w:rsidRPr="001016F9">
        <w:rPr>
          <w:rFonts w:ascii="Arial" w:hAnsi="Arial" w:cs="Arial"/>
        </w:rPr>
        <w:t xml:space="preserve"> done are</w:t>
      </w:r>
      <w:r w:rsidR="00F560D3">
        <w:rPr>
          <w:rFonts w:ascii="Arial" w:hAnsi="Arial" w:cs="Arial"/>
        </w:rPr>
        <w:t>:</w:t>
      </w:r>
      <w:r w:rsidR="00F560D3" w:rsidRPr="001016F9">
        <w:rPr>
          <w:rFonts w:ascii="Arial" w:hAnsi="Arial" w:cs="Arial"/>
        </w:rPr>
        <w:t xml:space="preserve"> VEC residual normality test, VEC residual heteroscedasticity test, VEC residual serial correlation </w:t>
      </w:r>
      <w:r w:rsidR="00F560D3">
        <w:rPr>
          <w:rFonts w:ascii="Arial" w:hAnsi="Arial" w:cs="Arial"/>
        </w:rPr>
        <w:t xml:space="preserve">(Autocorrelation) </w:t>
      </w:r>
      <w:r w:rsidR="00F560D3" w:rsidRPr="001016F9">
        <w:rPr>
          <w:rFonts w:ascii="Arial" w:hAnsi="Arial" w:cs="Arial"/>
        </w:rPr>
        <w:t>test.</w:t>
      </w:r>
      <w:r w:rsidR="00F560D3" w:rsidRPr="001016F9">
        <w:rPr>
          <w:rFonts w:ascii="Arial" w:hAnsi="Arial" w:cs="Arial"/>
          <w:b/>
        </w:rPr>
        <w:t xml:space="preserve"> </w:t>
      </w:r>
      <w:bookmarkEnd w:id="138"/>
      <w:r w:rsidR="00F560D3">
        <w:rPr>
          <w:rFonts w:ascii="Arial" w:hAnsi="Arial" w:cs="Arial"/>
        </w:rPr>
        <w:t>These tests will be performed on EViews 12, and t</w:t>
      </w:r>
      <w:r w:rsidR="00F560D3" w:rsidRPr="001016F9">
        <w:rPr>
          <w:rFonts w:ascii="Arial" w:hAnsi="Arial" w:cs="Arial"/>
        </w:rPr>
        <w:t xml:space="preserve">he normality test result is composed of the results for Skewness, Kurtosis, and Jarque-Bera. We are interested in the Jarque-Bera test because it factors in both the Skewness, and Kurtosis in its computation. If the </w:t>
      </w:r>
      <w:r w:rsidR="00F560D3" w:rsidRPr="001016F9">
        <w:rPr>
          <w:rFonts w:ascii="Arial" w:hAnsi="Arial" w:cs="Arial"/>
          <w:i/>
        </w:rPr>
        <w:t>p-</w:t>
      </w:r>
      <w:r w:rsidR="00F560D3" w:rsidRPr="001016F9">
        <w:rPr>
          <w:rFonts w:ascii="Arial" w:hAnsi="Arial" w:cs="Arial"/>
        </w:rPr>
        <w:t xml:space="preserve">value &gt; 0.05, it implies that the residuals are normally distributed, and vice versa if the </w:t>
      </w:r>
      <w:r w:rsidR="00F560D3" w:rsidRPr="001016F9">
        <w:rPr>
          <w:rFonts w:ascii="Arial" w:hAnsi="Arial" w:cs="Arial"/>
          <w:i/>
        </w:rPr>
        <w:t>p-</w:t>
      </w:r>
      <w:r w:rsidR="00F560D3" w:rsidRPr="001016F9">
        <w:rPr>
          <w:rFonts w:ascii="Arial" w:hAnsi="Arial" w:cs="Arial"/>
        </w:rPr>
        <w:t xml:space="preserve">value &lt; 0.05. The </w:t>
      </w:r>
      <w:r w:rsidR="00F560D3" w:rsidRPr="001016F9">
        <w:rPr>
          <w:rFonts w:ascii="Arial" w:hAnsi="Arial" w:cs="Arial"/>
          <w:i/>
        </w:rPr>
        <w:t>p-</w:t>
      </w:r>
      <w:r w:rsidR="00F560D3" w:rsidRPr="001016F9">
        <w:rPr>
          <w:rFonts w:ascii="Arial" w:hAnsi="Arial" w:cs="Arial"/>
        </w:rPr>
        <w:t xml:space="preserve">value of both the heteroscedasticity test and the serial correlation test must also be </w:t>
      </w:r>
      <w:r w:rsidR="00F560D3">
        <w:rPr>
          <w:rFonts w:ascii="Arial" w:hAnsi="Arial" w:cs="Arial"/>
        </w:rPr>
        <w:t>greater</w:t>
      </w:r>
      <w:r w:rsidR="00F560D3" w:rsidRPr="001016F9">
        <w:rPr>
          <w:rFonts w:ascii="Arial" w:hAnsi="Arial" w:cs="Arial"/>
        </w:rPr>
        <w:t xml:space="preserve"> than 5% for the model to be good.</w:t>
      </w:r>
    </w:p>
    <w:p w14:paraId="4D26348B" w14:textId="77777777" w:rsidR="00B66C72" w:rsidRPr="00A104A0" w:rsidRDefault="00B66C72" w:rsidP="0066301C">
      <w:pPr>
        <w:spacing w:line="360" w:lineRule="auto"/>
        <w:jc w:val="both"/>
        <w:rPr>
          <w:rFonts w:ascii="Arial" w:hAnsi="Arial" w:cs="Arial"/>
        </w:rPr>
      </w:pPr>
      <w:r w:rsidRPr="00A104A0">
        <w:rPr>
          <w:rStyle w:val="Strong"/>
          <w:rFonts w:ascii="Arial" w:hAnsi="Arial" w:cs="Arial"/>
          <w:color w:val="0E101A"/>
        </w:rPr>
        <w:t>Normality Test: </w:t>
      </w:r>
      <w:r w:rsidRPr="00A104A0">
        <w:rPr>
          <w:rFonts w:ascii="Arial" w:hAnsi="Arial" w:cs="Arial"/>
        </w:rPr>
        <w:t>The normality test allows us to determine if the data is normal or not. The normality test is a test for the normality of data (i.e., it is a specific statistical distribution called a normal distribution or Gaussian distribution or bell-shaped curve). The normal distribution is a symmetrical continuous distribution defined by the mean and standard deviation of the data. The normality test is not whether the data is exactly consistent with a normal distribution, rather if the data is close enough to normal that one could use statistical tools without concern. The normality test is a hypothesis test whereby: </w:t>
      </w:r>
    </w:p>
    <w:p w14:paraId="6B30EF22" w14:textId="54B04139" w:rsidR="00E47A11" w:rsidRDefault="00E47A11" w:rsidP="0066301C">
      <w:pPr>
        <w:spacing w:line="360" w:lineRule="auto"/>
        <w:jc w:val="both"/>
        <w:rPr>
          <w:rFonts w:ascii="Arial" w:hAnsi="Arial" w:cs="Arial"/>
        </w:rPr>
      </w:pPr>
      <w:r>
        <w:rPr>
          <w:rFonts w:ascii="Arial" w:hAnsi="Arial" w:cs="Arial"/>
        </w:rPr>
        <w:t>N</w:t>
      </w:r>
      <w:r w:rsidR="00F560D3" w:rsidRPr="00A26859">
        <w:rPr>
          <w:rFonts w:ascii="Arial" w:hAnsi="Arial" w:cs="Arial"/>
        </w:rPr>
        <w:t xml:space="preserve">ull hypothesis </w:t>
      </w:r>
      <w:r w:rsidR="00F560D3" w:rsidRPr="008204CC">
        <w:rPr>
          <w:rFonts w:ascii="Arial" w:hAnsi="Arial" w:cs="Arial"/>
        </w:rPr>
        <w:t>(H</w:t>
      </w:r>
      <w:r w:rsidR="00F560D3" w:rsidRPr="008204CC">
        <w:rPr>
          <w:rFonts w:ascii="Arial" w:hAnsi="Arial" w:cs="Arial"/>
          <w:vertAlign w:val="subscript"/>
        </w:rPr>
        <w:t>0</w:t>
      </w:r>
      <w:r w:rsidR="00F560D3" w:rsidRPr="008204CC">
        <w:rPr>
          <w:rFonts w:ascii="Arial" w:hAnsi="Arial" w:cs="Arial"/>
        </w:rPr>
        <w:t>)</w:t>
      </w:r>
      <w:r w:rsidR="00F560D3" w:rsidRPr="00A26859">
        <w:rPr>
          <w:rFonts w:ascii="Arial" w:hAnsi="Arial" w:cs="Arial"/>
        </w:rPr>
        <w:t xml:space="preserve">: the data is not different from a normal distribution and the </w:t>
      </w:r>
      <w:r w:rsidR="00F560D3" w:rsidRPr="00A26859">
        <w:rPr>
          <w:rFonts w:ascii="Arial" w:hAnsi="Arial" w:cs="Arial"/>
          <w:i/>
        </w:rPr>
        <w:t>p-</w:t>
      </w:r>
      <w:r w:rsidR="00F560D3" w:rsidRPr="00A26859">
        <w:rPr>
          <w:rFonts w:ascii="Arial" w:hAnsi="Arial" w:cs="Arial"/>
        </w:rPr>
        <w:t xml:space="preserve">value &gt; 0.05 (i.e., the residual of the components is normally distributed). </w:t>
      </w:r>
    </w:p>
    <w:p w14:paraId="39D8E722" w14:textId="3F63A3E6" w:rsidR="00E47A11" w:rsidRDefault="00E47A11" w:rsidP="0066301C">
      <w:pPr>
        <w:spacing w:line="360" w:lineRule="auto"/>
        <w:jc w:val="both"/>
        <w:rPr>
          <w:rFonts w:ascii="Arial" w:hAnsi="Arial" w:cs="Arial"/>
        </w:rPr>
      </w:pPr>
      <w:r>
        <w:rPr>
          <w:rFonts w:ascii="Arial" w:hAnsi="Arial" w:cs="Arial"/>
        </w:rPr>
        <w:t>A</w:t>
      </w:r>
      <w:r w:rsidR="00F560D3" w:rsidRPr="00A26859">
        <w:rPr>
          <w:rFonts w:ascii="Arial" w:hAnsi="Arial" w:cs="Arial"/>
        </w:rPr>
        <w:t xml:space="preserve">lternative hypothesis </w:t>
      </w:r>
      <w:r w:rsidR="00F560D3" w:rsidRPr="008204CC">
        <w:rPr>
          <w:rFonts w:ascii="Arial" w:hAnsi="Arial" w:cs="Arial"/>
        </w:rPr>
        <w:t>(H</w:t>
      </w:r>
      <w:r w:rsidR="00F560D3" w:rsidRPr="008204CC">
        <w:rPr>
          <w:rFonts w:ascii="Arial" w:hAnsi="Arial" w:cs="Arial"/>
          <w:vertAlign w:val="subscript"/>
        </w:rPr>
        <w:t>1</w:t>
      </w:r>
      <w:r w:rsidR="00F560D3" w:rsidRPr="008204CC">
        <w:rPr>
          <w:rFonts w:ascii="Arial" w:hAnsi="Arial" w:cs="Arial"/>
        </w:rPr>
        <w:t>):</w:t>
      </w:r>
      <w:r w:rsidR="00F560D3" w:rsidRPr="00A26859">
        <w:rPr>
          <w:rFonts w:ascii="Arial" w:hAnsi="Arial" w:cs="Arial"/>
        </w:rPr>
        <w:t xml:space="preserve"> the data is different from a normal distribution and the </w:t>
      </w:r>
      <w:r w:rsidR="00F560D3" w:rsidRPr="00A26859">
        <w:rPr>
          <w:rFonts w:ascii="Arial" w:hAnsi="Arial" w:cs="Arial"/>
          <w:i/>
        </w:rPr>
        <w:t>p-</w:t>
      </w:r>
      <w:r w:rsidR="00F560D3" w:rsidRPr="00A26859">
        <w:rPr>
          <w:rFonts w:ascii="Arial" w:hAnsi="Arial" w:cs="Arial"/>
        </w:rPr>
        <w:t>value &lt; 0.05 (i.e., the residual of the components is not normally distributed).</w:t>
      </w:r>
      <w:r w:rsidR="00F560D3">
        <w:rPr>
          <w:rFonts w:ascii="Arial" w:hAnsi="Arial" w:cs="Arial"/>
        </w:rPr>
        <w:t xml:space="preserve"> </w:t>
      </w:r>
    </w:p>
    <w:p w14:paraId="40C9C937" w14:textId="5127C3F0" w:rsidR="00F560D3" w:rsidRDefault="00F560D3" w:rsidP="0066301C">
      <w:pPr>
        <w:spacing w:line="360" w:lineRule="auto"/>
        <w:jc w:val="both"/>
        <w:rPr>
          <w:rFonts w:ascii="Arial" w:hAnsi="Arial" w:cs="Arial"/>
        </w:rPr>
      </w:pPr>
      <w:r>
        <w:rPr>
          <w:rFonts w:ascii="Arial" w:hAnsi="Arial" w:cs="Arial"/>
        </w:rPr>
        <w:t>Using EViews 12, t</w:t>
      </w:r>
      <w:r w:rsidRPr="008204CC">
        <w:rPr>
          <w:rFonts w:ascii="Arial" w:hAnsi="Arial" w:cs="Arial"/>
        </w:rPr>
        <w:t xml:space="preserve">he normality test result is composed of the results for Skewness, Kurtosis, and </w:t>
      </w:r>
      <w:bookmarkStart w:id="139" w:name="_Hlk133840923"/>
      <w:r w:rsidRPr="008204CC">
        <w:rPr>
          <w:rFonts w:ascii="Arial" w:hAnsi="Arial" w:cs="Arial"/>
        </w:rPr>
        <w:t>Jarque-Bera</w:t>
      </w:r>
      <w:bookmarkEnd w:id="139"/>
      <w:r w:rsidRPr="008204CC">
        <w:rPr>
          <w:rFonts w:ascii="Arial" w:hAnsi="Arial" w:cs="Arial"/>
        </w:rPr>
        <w:t>. We are interested in the Jarque-Bera</w:t>
      </w:r>
      <w:r>
        <w:rPr>
          <w:rFonts w:ascii="Arial" w:hAnsi="Arial" w:cs="Arial"/>
        </w:rPr>
        <w:t xml:space="preserve"> (JB)</w:t>
      </w:r>
      <w:r w:rsidRPr="008204CC">
        <w:rPr>
          <w:rFonts w:ascii="Arial" w:hAnsi="Arial" w:cs="Arial"/>
        </w:rPr>
        <w:t xml:space="preserve"> test because it factors in both the Skewness, and Kurtosis in its computation.</w:t>
      </w:r>
      <w:r>
        <w:rPr>
          <w:rStyle w:val="FootnoteReference"/>
          <w:rFonts w:ascii="Arial" w:hAnsi="Arial" w:cs="Arial"/>
        </w:rPr>
        <w:footnoteReference w:id="66"/>
      </w:r>
      <w:r w:rsidRPr="008204CC">
        <w:rPr>
          <w:rFonts w:ascii="Arial" w:hAnsi="Arial" w:cs="Arial"/>
        </w:rPr>
        <w:t xml:space="preserve"> If the </w:t>
      </w:r>
      <w:r w:rsidRPr="57585719">
        <w:rPr>
          <w:rFonts w:ascii="Arial" w:hAnsi="Arial" w:cs="Arial"/>
          <w:i/>
          <w:iCs/>
        </w:rPr>
        <w:t>p-</w:t>
      </w:r>
      <w:r w:rsidRPr="008204CC">
        <w:rPr>
          <w:rFonts w:ascii="Arial" w:hAnsi="Arial" w:cs="Arial"/>
        </w:rPr>
        <w:t xml:space="preserve">value &gt; 0.05, it implies that the residuals are normally distributed, and vice versa if the </w:t>
      </w:r>
      <w:r w:rsidRPr="57585719">
        <w:rPr>
          <w:rFonts w:ascii="Arial" w:hAnsi="Arial" w:cs="Arial"/>
          <w:i/>
          <w:iCs/>
        </w:rPr>
        <w:t>p-</w:t>
      </w:r>
      <w:r w:rsidRPr="008204CC">
        <w:rPr>
          <w:rFonts w:ascii="Arial" w:hAnsi="Arial" w:cs="Arial"/>
        </w:rPr>
        <w:t xml:space="preserve">value &lt; 0.05. </w:t>
      </w:r>
    </w:p>
    <w:p w14:paraId="6F5BD22F" w14:textId="77777777" w:rsidR="005F1018" w:rsidRPr="00A104A0" w:rsidRDefault="005F1018" w:rsidP="0066301C">
      <w:pPr>
        <w:spacing w:line="360" w:lineRule="auto"/>
        <w:jc w:val="both"/>
        <w:rPr>
          <w:rFonts w:ascii="Arial" w:hAnsi="Arial" w:cs="Arial"/>
        </w:rPr>
      </w:pPr>
      <w:r w:rsidRPr="00A104A0">
        <w:rPr>
          <w:rStyle w:val="Strong"/>
          <w:rFonts w:ascii="Arial" w:hAnsi="Arial" w:cs="Arial"/>
          <w:color w:val="0E101A"/>
        </w:rPr>
        <w:lastRenderedPageBreak/>
        <w:t>Serial Correlation Test</w:t>
      </w:r>
      <w:r w:rsidRPr="00A104A0">
        <w:rPr>
          <w:rFonts w:ascii="Arial" w:hAnsi="Arial" w:cs="Arial"/>
        </w:rPr>
        <w:t>: Also known as autocorrelation test, is a test to measure the relationship between a variable’s present value and any past values. In other words, it is a test to ensure that the past values of a time series do not influence the present value. Autocorrelation is an ideal method for uncovering trends and patterns in time series data that would have otherwise gone undiscovered. As such, this might cause our analysis to be biased since the time series is not independent, as errors in one period depend on an error in the previous period(s). Autocorrelation could often be removed by adding additional explanatory (independent) variables and/or changing functional form.</w:t>
      </w:r>
    </w:p>
    <w:p w14:paraId="309B3715" w14:textId="77777777" w:rsidR="005F1018" w:rsidRPr="00A104A0" w:rsidRDefault="005F1018" w:rsidP="0066301C">
      <w:pPr>
        <w:spacing w:line="360" w:lineRule="auto"/>
        <w:jc w:val="both"/>
        <w:rPr>
          <w:rFonts w:ascii="Arial" w:hAnsi="Arial" w:cs="Arial"/>
        </w:rPr>
      </w:pPr>
      <w:r w:rsidRPr="00A104A0">
        <w:rPr>
          <w:rFonts w:ascii="Arial" w:hAnsi="Arial" w:cs="Arial"/>
        </w:rPr>
        <w:t>The null hypothesis (H0): there is no autocorrelation in the data, and the </w:t>
      </w:r>
      <w:r w:rsidRPr="00A104A0">
        <w:rPr>
          <w:rStyle w:val="Emphasis"/>
          <w:rFonts w:ascii="Arial" w:eastAsiaTheme="majorEastAsia" w:hAnsi="Arial" w:cs="Arial"/>
          <w:color w:val="0E101A"/>
        </w:rPr>
        <w:t>p-</w:t>
      </w:r>
      <w:r w:rsidRPr="00A104A0">
        <w:rPr>
          <w:rFonts w:ascii="Arial" w:hAnsi="Arial" w:cs="Arial"/>
        </w:rPr>
        <w:t>value &gt; 0.05. </w:t>
      </w:r>
    </w:p>
    <w:p w14:paraId="4D9CEA95" w14:textId="77777777" w:rsidR="005F1018" w:rsidRPr="00A104A0" w:rsidRDefault="005F1018" w:rsidP="0066301C">
      <w:pPr>
        <w:spacing w:line="360" w:lineRule="auto"/>
        <w:jc w:val="both"/>
        <w:rPr>
          <w:rFonts w:ascii="Arial" w:hAnsi="Arial" w:cs="Arial"/>
        </w:rPr>
      </w:pPr>
      <w:r w:rsidRPr="00A104A0">
        <w:rPr>
          <w:rFonts w:ascii="Arial" w:hAnsi="Arial" w:cs="Arial"/>
        </w:rPr>
        <w:t>The alternative hypothesis (H1): there is autocorrelation in the data, and the </w:t>
      </w:r>
      <w:r w:rsidRPr="00A104A0">
        <w:rPr>
          <w:rStyle w:val="Emphasis"/>
          <w:rFonts w:ascii="Arial" w:eastAsiaTheme="majorEastAsia" w:hAnsi="Arial" w:cs="Arial"/>
          <w:color w:val="0E101A"/>
        </w:rPr>
        <w:t>p-</w:t>
      </w:r>
      <w:r w:rsidRPr="00A104A0">
        <w:rPr>
          <w:rFonts w:ascii="Arial" w:hAnsi="Arial" w:cs="Arial"/>
        </w:rPr>
        <w:t>value &lt; 0.05.</w:t>
      </w:r>
    </w:p>
    <w:p w14:paraId="4BFC374C" w14:textId="3F3FE1AE" w:rsidR="00F560D3" w:rsidRPr="00FC0072" w:rsidRDefault="005F1018" w:rsidP="0066301C">
      <w:pPr>
        <w:spacing w:line="360" w:lineRule="auto"/>
        <w:jc w:val="both"/>
        <w:rPr>
          <w:rFonts w:ascii="Arial" w:hAnsi="Arial" w:cs="Arial"/>
        </w:rPr>
      </w:pPr>
      <w:r w:rsidRPr="00A104A0">
        <w:rPr>
          <w:rFonts w:ascii="Arial" w:hAnsi="Arial" w:cs="Arial"/>
        </w:rPr>
        <w:t>In this research, the Breusch-Godfrey serial correlation Lagrange multiplier (LM) test will be used in EViews 12 to investigate the presence of autocorrelation in the time series.</w:t>
      </w:r>
      <w:r w:rsidR="00F560D3" w:rsidRPr="00505B65">
        <w:rPr>
          <w:rStyle w:val="FootnoteReference"/>
          <w:rFonts w:ascii="Arial" w:hAnsi="Arial" w:cs="Arial"/>
        </w:rPr>
        <w:t xml:space="preserve"> </w:t>
      </w:r>
      <w:r w:rsidR="00F560D3">
        <w:rPr>
          <w:rStyle w:val="FootnoteReference"/>
          <w:rFonts w:ascii="Arial" w:hAnsi="Arial" w:cs="Arial"/>
        </w:rPr>
        <w:footnoteReference w:id="67"/>
      </w:r>
      <w:r w:rsidR="00F560D3">
        <w:rPr>
          <w:rFonts w:ascii="Arial" w:hAnsi="Arial" w:cs="Arial"/>
        </w:rPr>
        <w:t xml:space="preserve"> This is a chi-squared test: if the test statistic has a </w:t>
      </w:r>
      <w:r w:rsidR="00F560D3" w:rsidRPr="57585719">
        <w:rPr>
          <w:rFonts w:ascii="Arial" w:hAnsi="Arial" w:cs="Arial"/>
          <w:i/>
          <w:iCs/>
        </w:rPr>
        <w:t>p-</w:t>
      </w:r>
      <w:r w:rsidR="00F560D3">
        <w:rPr>
          <w:rFonts w:ascii="Arial" w:hAnsi="Arial" w:cs="Arial"/>
        </w:rPr>
        <w:t>value</w:t>
      </w:r>
      <w:r w:rsidR="00F560D3" w:rsidRPr="57585719">
        <w:rPr>
          <w:rFonts w:ascii="Arial" w:hAnsi="Arial" w:cs="Arial"/>
          <w:i/>
          <w:iCs/>
        </w:rPr>
        <w:t xml:space="preserve"> &gt; </w:t>
      </w:r>
      <w:r w:rsidR="00F560D3">
        <w:rPr>
          <w:rFonts w:ascii="Arial" w:hAnsi="Arial" w:cs="Arial"/>
        </w:rPr>
        <w:t>0.05 (observed R</w:t>
      </w:r>
      <w:r w:rsidR="00F560D3">
        <w:rPr>
          <w:rFonts w:ascii="Arial" w:hAnsi="Arial" w:cs="Arial"/>
          <w:vertAlign w:val="superscript"/>
        </w:rPr>
        <w:t>2</w:t>
      </w:r>
      <w:r w:rsidR="00F560D3">
        <w:rPr>
          <w:rFonts w:ascii="Arial" w:hAnsi="Arial" w:cs="Arial"/>
        </w:rPr>
        <w:t xml:space="preserve">), the model is said to have no autocorrelation and vice versa. </w:t>
      </w:r>
    </w:p>
    <w:p w14:paraId="26253AD9" w14:textId="51E16C80" w:rsidR="004D70DF" w:rsidRPr="00A104A0" w:rsidRDefault="004D70DF" w:rsidP="0066301C">
      <w:pPr>
        <w:spacing w:line="360" w:lineRule="auto"/>
        <w:jc w:val="both"/>
        <w:rPr>
          <w:rFonts w:ascii="Arial" w:hAnsi="Arial" w:cs="Arial"/>
        </w:rPr>
      </w:pPr>
      <w:r w:rsidRPr="00A104A0">
        <w:rPr>
          <w:rStyle w:val="Strong"/>
          <w:rFonts w:ascii="Arial" w:hAnsi="Arial" w:cs="Arial"/>
          <w:color w:val="0E101A"/>
        </w:rPr>
        <w:lastRenderedPageBreak/>
        <w:t>Heteroscedasticity Test: </w:t>
      </w:r>
      <w:r w:rsidRPr="00A104A0">
        <w:rPr>
          <w:rFonts w:ascii="Arial" w:hAnsi="Arial" w:cs="Arial"/>
        </w:rPr>
        <w:t xml:space="preserve">The opposite, being homoscedasticity – is used in statistics, especially in the context of linear regression or for time series analysis, to describe the case where the variance of errors or the model is not the same for all observations. One of the basic assumptions in </w:t>
      </w:r>
      <w:r w:rsidR="00AC7A45" w:rsidRPr="00A104A0">
        <w:rPr>
          <w:rFonts w:ascii="Arial" w:hAnsi="Arial" w:cs="Arial"/>
        </w:rPr>
        <w:t>modelling</w:t>
      </w:r>
      <w:r w:rsidRPr="00A104A0">
        <w:rPr>
          <w:rFonts w:ascii="Arial" w:hAnsi="Arial" w:cs="Arial"/>
        </w:rPr>
        <w:t xml:space="preserve"> is that the variances are homogeneous and that the error of the model is identically distributed. In linear regression analysis, the fact that the error of the model (also named residuals) is not homoscedastic has the consequence that the model coefficients estimated using ordinary least squares (OLS) are neither unbiased nor those with minimum variance. The estimation of their variance is not reliable. If suspected that the variances are not homogeneous (a representation of the residuals against the explanatory variables may reveal heteroscedasticity). As such, it is imperative to perform a test for heteroscedasticity with the following null and alternative hypotheses:</w:t>
      </w:r>
    </w:p>
    <w:p w14:paraId="7D4F58EB" w14:textId="77777777" w:rsidR="004D70DF" w:rsidRPr="00A104A0" w:rsidRDefault="004D70DF" w:rsidP="0066301C">
      <w:pPr>
        <w:spacing w:line="360" w:lineRule="auto"/>
        <w:jc w:val="both"/>
        <w:rPr>
          <w:rFonts w:ascii="Arial" w:hAnsi="Arial" w:cs="Arial"/>
        </w:rPr>
      </w:pPr>
      <w:r w:rsidRPr="00A104A0">
        <w:rPr>
          <w:rFonts w:ascii="Arial" w:hAnsi="Arial" w:cs="Arial"/>
        </w:rPr>
        <w:t>The null hypothesis (H0): there is no heteroscedasticity (residuals are homoscedastic), and the </w:t>
      </w:r>
      <w:r w:rsidRPr="00A104A0">
        <w:rPr>
          <w:rStyle w:val="Emphasis"/>
          <w:rFonts w:ascii="Arial" w:eastAsiaTheme="majorEastAsia" w:hAnsi="Arial" w:cs="Arial"/>
          <w:color w:val="0E101A"/>
        </w:rPr>
        <w:t>p-</w:t>
      </w:r>
      <w:r w:rsidRPr="00A104A0">
        <w:rPr>
          <w:rFonts w:ascii="Arial" w:hAnsi="Arial" w:cs="Arial"/>
        </w:rPr>
        <w:t>value &gt; 0.05.</w:t>
      </w:r>
    </w:p>
    <w:p w14:paraId="68131CA7" w14:textId="77777777" w:rsidR="004D70DF" w:rsidRPr="00A104A0" w:rsidRDefault="004D70DF" w:rsidP="0066301C">
      <w:pPr>
        <w:spacing w:line="360" w:lineRule="auto"/>
        <w:jc w:val="both"/>
        <w:rPr>
          <w:rFonts w:ascii="Arial" w:hAnsi="Arial" w:cs="Arial"/>
        </w:rPr>
      </w:pPr>
      <w:r w:rsidRPr="00A104A0">
        <w:rPr>
          <w:rFonts w:ascii="Arial" w:hAnsi="Arial" w:cs="Arial"/>
        </w:rPr>
        <w:t>The alternative hypothesis (H1): there is heteroscedasticity in the data, and the </w:t>
      </w:r>
      <w:r w:rsidRPr="00A104A0">
        <w:rPr>
          <w:rStyle w:val="Emphasis"/>
          <w:rFonts w:ascii="Arial" w:eastAsiaTheme="majorEastAsia" w:hAnsi="Arial" w:cs="Arial"/>
          <w:color w:val="0E101A"/>
        </w:rPr>
        <w:t>p-</w:t>
      </w:r>
      <w:r w:rsidRPr="00A104A0">
        <w:rPr>
          <w:rFonts w:ascii="Arial" w:hAnsi="Arial" w:cs="Arial"/>
        </w:rPr>
        <w:t>value &lt; 0.05.</w:t>
      </w:r>
    </w:p>
    <w:p w14:paraId="0BAE931A" w14:textId="3670211F" w:rsidR="00F560D3" w:rsidRDefault="004D70DF" w:rsidP="0066301C">
      <w:pPr>
        <w:spacing w:line="360" w:lineRule="auto"/>
        <w:jc w:val="both"/>
        <w:rPr>
          <w:rFonts w:ascii="Arial" w:hAnsi="Arial" w:cs="Arial"/>
        </w:rPr>
      </w:pPr>
      <w:r w:rsidRPr="00A104A0">
        <w:rPr>
          <w:rFonts w:ascii="Arial" w:hAnsi="Arial" w:cs="Arial"/>
        </w:rPr>
        <w:t>In statistics, the Breusch-Pagan is used to test for heteroskedasticity in a linear regression model. It tests if the variance of the errors from a regression is dependent on the values of independent variables.</w:t>
      </w:r>
      <w:r w:rsidR="00F560D3" w:rsidRPr="00D21451">
        <w:rPr>
          <w:rFonts w:ascii="Arial" w:hAnsi="Arial" w:cs="Arial"/>
        </w:rPr>
        <w:t xml:space="preserve"> </w:t>
      </w:r>
      <w:r w:rsidR="00F560D3">
        <w:rPr>
          <w:rStyle w:val="FootnoteReference"/>
          <w:rFonts w:ascii="Arial" w:hAnsi="Arial" w:cs="Arial"/>
        </w:rPr>
        <w:footnoteReference w:id="68"/>
      </w:r>
    </w:p>
    <w:p w14:paraId="2BF227B0" w14:textId="68054790" w:rsidR="00F01B84" w:rsidRPr="003B42B0" w:rsidRDefault="00A6430E" w:rsidP="0066301C">
      <w:pPr>
        <w:pStyle w:val="Heading3"/>
        <w:numPr>
          <w:ilvl w:val="0"/>
          <w:numId w:val="0"/>
        </w:numPr>
        <w:spacing w:before="0" w:beforeAutospacing="0"/>
      </w:pPr>
      <w:bookmarkStart w:id="140" w:name="_Toc171075381"/>
      <w:bookmarkStart w:id="141" w:name="_Hlk170835046"/>
      <w:bookmarkStart w:id="142" w:name="_Hlk159189446"/>
      <w:r>
        <w:t>3</w:t>
      </w:r>
      <w:r w:rsidR="00F01B84">
        <w:t>.</w:t>
      </w:r>
      <w:r w:rsidR="0031658F">
        <w:t>4</w:t>
      </w:r>
      <w:r w:rsidR="00F01B84">
        <w:t>.2</w:t>
      </w:r>
      <w:r w:rsidR="006C28E1">
        <w:tab/>
      </w:r>
      <w:r w:rsidR="00F01B84" w:rsidRPr="00D37EF8">
        <w:t>TEST FOR STATIONARITY (UNIT ROOT TEST)</w:t>
      </w:r>
      <w:bookmarkEnd w:id="140"/>
    </w:p>
    <w:p w14:paraId="03E95D4A" w14:textId="3777ADDE" w:rsidR="00F01B84" w:rsidRDefault="00F01B84" w:rsidP="0066301C">
      <w:pPr>
        <w:spacing w:line="360" w:lineRule="auto"/>
        <w:jc w:val="both"/>
        <w:rPr>
          <w:rFonts w:ascii="Arial" w:hAnsi="Arial" w:cs="Arial"/>
        </w:rPr>
      </w:pPr>
      <w:r>
        <w:rPr>
          <w:rFonts w:ascii="Arial" w:hAnsi="Arial" w:cs="Arial"/>
        </w:rPr>
        <w:t>Stationarity of a series (i.e.</w:t>
      </w:r>
      <w:r w:rsidR="00574F26">
        <w:rPr>
          <w:rFonts w:ascii="Arial" w:hAnsi="Arial" w:cs="Arial"/>
        </w:rPr>
        <w:t>,</w:t>
      </w:r>
      <w:r>
        <w:rPr>
          <w:rFonts w:ascii="Arial" w:hAnsi="Arial" w:cs="Arial"/>
        </w:rPr>
        <w:t xml:space="preserve"> a variable) implies that its mean, variance</w:t>
      </w:r>
      <w:r w:rsidR="00FC3750">
        <w:rPr>
          <w:rFonts w:ascii="Arial" w:hAnsi="Arial" w:cs="Arial"/>
        </w:rPr>
        <w:t>,</w:t>
      </w:r>
      <w:r>
        <w:rPr>
          <w:rFonts w:ascii="Arial" w:hAnsi="Arial" w:cs="Arial"/>
        </w:rPr>
        <w:t xml:space="preserve"> and covariance are constant over time. This means that the series is </w:t>
      </w:r>
      <w:r w:rsidRPr="00366BDA">
        <w:rPr>
          <w:rFonts w:ascii="Arial" w:hAnsi="Arial" w:cs="Arial"/>
          <w:i/>
          <w:iCs/>
        </w:rPr>
        <w:t>time</w:t>
      </w:r>
      <w:r w:rsidR="00FC3750">
        <w:rPr>
          <w:rFonts w:ascii="Arial" w:hAnsi="Arial" w:cs="Arial"/>
          <w:i/>
          <w:iCs/>
        </w:rPr>
        <w:t>-</w:t>
      </w:r>
      <w:r w:rsidRPr="00366BDA">
        <w:rPr>
          <w:rFonts w:ascii="Arial" w:hAnsi="Arial" w:cs="Arial"/>
          <w:i/>
          <w:iCs/>
        </w:rPr>
        <w:t>invariant</w:t>
      </w:r>
      <w:r>
        <w:rPr>
          <w:rFonts w:ascii="Arial" w:hAnsi="Arial" w:cs="Arial"/>
          <w:i/>
          <w:iCs/>
        </w:rPr>
        <w:t xml:space="preserve">. </w:t>
      </w:r>
      <w:r>
        <w:rPr>
          <w:rFonts w:ascii="Arial" w:hAnsi="Arial" w:cs="Arial"/>
        </w:rPr>
        <w:t xml:space="preserve">However, if this is not the </w:t>
      </w:r>
      <w:bookmarkEnd w:id="141"/>
      <w:r>
        <w:rPr>
          <w:rFonts w:ascii="Arial" w:hAnsi="Arial" w:cs="Arial"/>
        </w:rPr>
        <w:t xml:space="preserve">case, it means that the series is non-stationary. </w:t>
      </w:r>
      <w:r w:rsidRPr="00B04E86">
        <w:rPr>
          <w:rFonts w:ascii="Arial" w:hAnsi="Arial" w:cs="Arial"/>
        </w:rPr>
        <w:t>A non-stationary variable has a definite positive or negative trend over time and is said to have a unit root. To see why consider a variable whose time series is represented by a first-order, autoregressive scheme, AR (1) for short, i.e.</w:t>
      </w:r>
    </w:p>
    <w:p w14:paraId="2AAC84E6" w14:textId="3099D1F0" w:rsidR="00F01B84" w:rsidRDefault="00000000" w:rsidP="0066301C">
      <w:pPr>
        <w:spacing w:line="360" w:lineRule="auto"/>
        <w:jc w:val="center"/>
        <w:rPr>
          <w:rFonts w:ascii="Arial" w:hAnsi="Arial" w:cs="Arial"/>
        </w:rPr>
      </w:pPr>
      <m:oMath>
        <m:sSub>
          <m:sSubPr>
            <m:ctrlPr>
              <w:rPr>
                <w:rFonts w:ascii="Cambria Math" w:hAnsi="Cambria Math" w:cs="Arial"/>
                <w:i/>
                <w:sz w:val="24"/>
                <w:szCs w:val="24"/>
              </w:rPr>
            </m:ctrlPr>
          </m:sSubPr>
          <m:e>
            <m:r>
              <w:rPr>
                <w:rFonts w:ascii="Cambria Math" w:hAnsi="Cambria Math" w:cs="Arial"/>
                <w:sz w:val="24"/>
                <w:szCs w:val="24"/>
              </w:rPr>
              <m:t>Y</m:t>
            </m:r>
          </m:e>
          <m:sub>
            <m:r>
              <w:rPr>
                <w:rFonts w:ascii="Cambria Math" w:hAnsi="Cambria Math" w:cs="Arial"/>
                <w:sz w:val="24"/>
                <w:szCs w:val="24"/>
              </w:rPr>
              <m:t>t</m:t>
            </m:r>
          </m:sub>
        </m:sSub>
        <m:r>
          <w:rPr>
            <w:rFonts w:ascii="Cambria Math" w:hAnsi="Cambria Math" w:cs="Arial"/>
            <w:sz w:val="24"/>
            <w:szCs w:val="24"/>
          </w:rPr>
          <m:t xml:space="preserve">= </m:t>
        </m:r>
        <m:sSub>
          <m:sSubPr>
            <m:ctrlPr>
              <w:rPr>
                <w:rFonts w:ascii="Cambria Math" w:hAnsi="Cambria Math" w:cs="Arial"/>
                <w:i/>
                <w:sz w:val="24"/>
                <w:szCs w:val="24"/>
              </w:rPr>
            </m:ctrlPr>
          </m:sSubPr>
          <m:e>
            <m:r>
              <w:rPr>
                <w:rFonts w:ascii="Cambria Math" w:hAnsi="Cambria Math" w:cs="Arial"/>
                <w:sz w:val="24"/>
                <w:szCs w:val="24"/>
              </w:rPr>
              <m:t>αY</m:t>
            </m:r>
          </m:e>
          <m:sub>
            <m:r>
              <w:rPr>
                <w:rFonts w:ascii="Cambria Math" w:hAnsi="Cambria Math" w:cs="Arial"/>
                <w:sz w:val="24"/>
                <w:szCs w:val="24"/>
              </w:rPr>
              <m:t>t-1</m:t>
            </m:r>
          </m:sub>
        </m:sSub>
        <m:r>
          <w:rPr>
            <w:rFonts w:ascii="Cambria Math" w:hAnsi="Cambria Math" w:cs="Arial"/>
            <w:sz w:val="24"/>
            <w:szCs w:val="24"/>
          </w:rPr>
          <m:t>+</m:t>
        </m:r>
        <m:sSub>
          <m:sSubPr>
            <m:ctrlPr>
              <w:rPr>
                <w:rFonts w:ascii="Cambria Math" w:hAnsi="Cambria Math" w:cs="Arial"/>
                <w:i/>
                <w:sz w:val="24"/>
                <w:szCs w:val="24"/>
              </w:rPr>
            </m:ctrlPr>
          </m:sSubPr>
          <m:e>
            <m:r>
              <m:rPr>
                <m:sty m:val="p"/>
              </m:rPr>
              <w:rPr>
                <w:rFonts w:ascii="Cambria Math" w:hAnsi="Cambria Math" w:cs="Arial"/>
                <w:sz w:val="24"/>
                <w:szCs w:val="24"/>
              </w:rPr>
              <m:t>ε</m:t>
            </m:r>
          </m:e>
          <m:sub>
            <m:r>
              <w:rPr>
                <w:rFonts w:ascii="Cambria Math" w:hAnsi="Cambria Math" w:cs="Arial"/>
                <w:sz w:val="24"/>
                <w:szCs w:val="24"/>
              </w:rPr>
              <m:t>t</m:t>
            </m:r>
          </m:sub>
        </m:sSub>
      </m:oMath>
      <w:r w:rsidR="005D5AF8">
        <w:rPr>
          <w:rFonts w:ascii="Arial" w:eastAsiaTheme="minorEastAsia" w:hAnsi="Arial" w:cs="Arial"/>
          <w:sz w:val="24"/>
          <w:szCs w:val="24"/>
        </w:rPr>
        <w:t xml:space="preserve">                                                                            </w:t>
      </w:r>
      <w:r w:rsidR="005D5AF8" w:rsidRPr="005D5AF8">
        <w:rPr>
          <w:rFonts w:ascii="Arial" w:eastAsiaTheme="minorEastAsia" w:hAnsi="Arial" w:cs="Arial"/>
        </w:rPr>
        <w:t>(3.17)</w:t>
      </w:r>
    </w:p>
    <w:p w14:paraId="37733B0E" w14:textId="77777777" w:rsidR="00F01B84" w:rsidRPr="00B04E86" w:rsidRDefault="00F01B84" w:rsidP="0066301C">
      <w:pPr>
        <w:spacing w:line="360" w:lineRule="auto"/>
        <w:jc w:val="both"/>
        <w:rPr>
          <w:rFonts w:ascii="Arial" w:hAnsi="Arial" w:cs="Arial"/>
        </w:rPr>
      </w:pPr>
      <w:r w:rsidRPr="00B04E86">
        <w:rPr>
          <w:rFonts w:ascii="Arial" w:hAnsi="Arial" w:cs="Arial"/>
        </w:rPr>
        <w:t xml:space="preserve">where </w:t>
      </w:r>
      <w:r w:rsidRPr="00B04E86">
        <w:rPr>
          <w:rFonts w:ascii="Arial" w:hAnsi="Arial" w:cs="Arial"/>
          <w:i/>
          <w:iCs/>
        </w:rPr>
        <w:t>ε</w:t>
      </w:r>
      <w:r w:rsidRPr="00B04E86">
        <w:rPr>
          <w:rFonts w:ascii="Arial" w:hAnsi="Arial" w:cs="Arial"/>
          <w:i/>
          <w:iCs/>
          <w:vertAlign w:val="subscript"/>
        </w:rPr>
        <w:t>t</w:t>
      </w:r>
      <w:r w:rsidRPr="00B04E86">
        <w:rPr>
          <w:rFonts w:ascii="Arial" w:hAnsi="Arial" w:cs="Arial"/>
        </w:rPr>
        <w:t xml:space="preserve"> is a standard normal variable</w:t>
      </w:r>
      <w:r>
        <w:rPr>
          <w:rFonts w:ascii="Arial" w:hAnsi="Arial" w:cs="Arial"/>
        </w:rPr>
        <w:t>.</w:t>
      </w:r>
    </w:p>
    <w:p w14:paraId="5AAD5735" w14:textId="5B7AC190" w:rsidR="00F01B84" w:rsidRPr="00B04E86" w:rsidRDefault="00F01B84" w:rsidP="0066301C">
      <w:pPr>
        <w:spacing w:line="360" w:lineRule="auto"/>
        <w:jc w:val="both"/>
        <w:rPr>
          <w:rFonts w:ascii="Arial" w:hAnsi="Arial" w:cs="Arial"/>
        </w:rPr>
      </w:pPr>
      <w:r w:rsidRPr="00B04E86">
        <w:rPr>
          <w:rFonts w:ascii="Arial" w:hAnsi="Arial" w:cs="Arial"/>
        </w:rPr>
        <w:t xml:space="preserve">If </w:t>
      </w:r>
      <w:r w:rsidRPr="00B04E86">
        <w:rPr>
          <w:rFonts w:ascii="Arial" w:hAnsi="Arial" w:cs="Arial"/>
          <w:i/>
          <w:iCs/>
        </w:rPr>
        <w:t>α</w:t>
      </w:r>
      <w:r w:rsidRPr="00B04E86">
        <w:rPr>
          <w:rFonts w:ascii="Arial" w:hAnsi="Arial" w:cs="Arial"/>
        </w:rPr>
        <w:t xml:space="preserve"> is less than one, then the time path is stationary, i.e., although it will fluctuate</w:t>
      </w:r>
      <w:r w:rsidR="0015675A">
        <w:rPr>
          <w:rFonts w:ascii="Arial" w:hAnsi="Arial" w:cs="Arial"/>
        </w:rPr>
        <w:t>,</w:t>
      </w:r>
      <w:r w:rsidRPr="00B04E86">
        <w:rPr>
          <w:rFonts w:ascii="Arial" w:hAnsi="Arial" w:cs="Arial"/>
        </w:rPr>
        <w:t xml:space="preserve"> the value of </w:t>
      </w:r>
      <w:r w:rsidRPr="00B04E86">
        <w:rPr>
          <w:rFonts w:ascii="Arial" w:hAnsi="Arial" w:cs="Arial"/>
          <w:i/>
          <w:iCs/>
        </w:rPr>
        <w:t>Y</w:t>
      </w:r>
      <w:r w:rsidRPr="00B04E86">
        <w:rPr>
          <w:rFonts w:ascii="Arial" w:hAnsi="Arial" w:cs="Arial"/>
          <w:i/>
          <w:iCs/>
          <w:vertAlign w:val="subscript"/>
        </w:rPr>
        <w:t>t</w:t>
      </w:r>
      <w:r w:rsidRPr="00B04E86">
        <w:rPr>
          <w:rFonts w:ascii="Arial" w:hAnsi="Arial" w:cs="Arial"/>
        </w:rPr>
        <w:t xml:space="preserve"> will tend to keep coming back to its mean value. Graphically</w:t>
      </w:r>
      <w:r w:rsidR="0015675A">
        <w:rPr>
          <w:rFonts w:ascii="Arial" w:hAnsi="Arial" w:cs="Arial"/>
        </w:rPr>
        <w:t>,</w:t>
      </w:r>
      <w:r w:rsidRPr="00B04E86">
        <w:rPr>
          <w:rFonts w:ascii="Arial" w:hAnsi="Arial" w:cs="Arial"/>
        </w:rPr>
        <w:t xml:space="preserve"> the time path of </w:t>
      </w:r>
      <w:r w:rsidRPr="00B04E86">
        <w:rPr>
          <w:rFonts w:ascii="Arial" w:hAnsi="Arial" w:cs="Arial"/>
          <w:i/>
          <w:iCs/>
        </w:rPr>
        <w:t>Y</w:t>
      </w:r>
      <w:r w:rsidRPr="00B04E86">
        <w:rPr>
          <w:rFonts w:ascii="Arial" w:hAnsi="Arial" w:cs="Arial"/>
          <w:i/>
          <w:iCs/>
          <w:vertAlign w:val="subscript"/>
        </w:rPr>
        <w:t>t</w:t>
      </w:r>
      <w:r w:rsidRPr="00B04E86">
        <w:rPr>
          <w:rFonts w:ascii="Arial" w:hAnsi="Arial" w:cs="Arial"/>
        </w:rPr>
        <w:t xml:space="preserve"> will have no </w:t>
      </w:r>
      <w:r w:rsidRPr="00B04E86">
        <w:rPr>
          <w:rFonts w:ascii="Arial" w:hAnsi="Arial" w:cs="Arial"/>
        </w:rPr>
        <w:lastRenderedPageBreak/>
        <w:t>upward or downward trend, and the fluctuations around the constant mean value will be contained within constant bounds.</w:t>
      </w:r>
    </w:p>
    <w:p w14:paraId="46F78543" w14:textId="552E6829" w:rsidR="00F01B84" w:rsidRDefault="00F01B84" w:rsidP="0066301C">
      <w:pPr>
        <w:autoSpaceDE w:val="0"/>
        <w:autoSpaceDN w:val="0"/>
        <w:adjustRightInd w:val="0"/>
        <w:spacing w:after="0" w:line="360" w:lineRule="auto"/>
        <w:contextualSpacing/>
        <w:jc w:val="both"/>
        <w:rPr>
          <w:rFonts w:ascii="Arial" w:eastAsia="Times New Roman" w:hAnsi="Arial" w:cs="Arial"/>
          <w:lang w:eastAsia="en-GB"/>
        </w:rPr>
      </w:pPr>
      <w:r w:rsidRPr="00B04E86">
        <w:rPr>
          <w:rFonts w:ascii="Arial" w:hAnsi="Arial" w:cs="Arial"/>
        </w:rPr>
        <w:t xml:space="preserve">However, if </w:t>
      </w:r>
      <w:r w:rsidRPr="00B04E86">
        <w:rPr>
          <w:rFonts w:ascii="Arial" w:hAnsi="Arial" w:cs="Arial"/>
          <w:i/>
          <w:iCs/>
        </w:rPr>
        <w:t>α</w:t>
      </w:r>
      <w:r w:rsidRPr="00B04E86">
        <w:rPr>
          <w:rFonts w:ascii="Arial" w:hAnsi="Arial" w:cs="Arial"/>
        </w:rPr>
        <w:t xml:space="preserve"> is equal to one, the time path of </w:t>
      </w:r>
      <w:r w:rsidRPr="00B04E86">
        <w:rPr>
          <w:rFonts w:ascii="Arial" w:hAnsi="Arial" w:cs="Arial"/>
          <w:i/>
          <w:iCs/>
        </w:rPr>
        <w:t>Y</w:t>
      </w:r>
      <w:r w:rsidRPr="00B04E86">
        <w:rPr>
          <w:rFonts w:ascii="Arial" w:hAnsi="Arial" w:cs="Arial"/>
          <w:i/>
          <w:iCs/>
          <w:vertAlign w:val="subscript"/>
        </w:rPr>
        <w:t>t</w:t>
      </w:r>
      <w:r w:rsidRPr="00B04E86">
        <w:rPr>
          <w:rFonts w:ascii="Arial" w:hAnsi="Arial" w:cs="Arial"/>
        </w:rPr>
        <w:t xml:space="preserve"> is non-stationary, and it will have an upward trend. As </w:t>
      </w:r>
      <w:r w:rsidRPr="00B04E86">
        <w:rPr>
          <w:rFonts w:ascii="Arial" w:hAnsi="Arial" w:cs="Arial"/>
          <w:i/>
          <w:iCs/>
        </w:rPr>
        <w:t>α</w:t>
      </w:r>
      <w:r w:rsidRPr="00B04E86">
        <w:rPr>
          <w:rFonts w:ascii="Arial" w:hAnsi="Arial" w:cs="Arial"/>
        </w:rPr>
        <w:t xml:space="preserve"> is known as the root of the process, non-stationarity implies having a unit root.</w:t>
      </w:r>
      <w:r w:rsidRPr="00B04E86">
        <w:rPr>
          <w:rFonts w:ascii="Arial" w:eastAsia="Times New Roman" w:hAnsi="Arial" w:cs="Arial"/>
          <w:lang w:eastAsia="en-GB"/>
        </w:rPr>
        <w:t xml:space="preserve"> </w:t>
      </w:r>
      <w:r w:rsidRPr="001016F9">
        <w:rPr>
          <w:rFonts w:ascii="Arial" w:eastAsia="Times New Roman" w:hAnsi="Arial" w:cs="Arial"/>
          <w:lang w:eastAsia="en-GB"/>
        </w:rPr>
        <w:t>A time series is a level series if it does not have unit root (stationary or no random walk). A non-stationarity variable could be made stationary by differencing. This removes the trend in the series</w:t>
      </w:r>
      <w:r w:rsidR="00ED2F43">
        <w:rPr>
          <w:rFonts w:ascii="Arial" w:eastAsia="Times New Roman" w:hAnsi="Arial" w:cs="Arial"/>
          <w:lang w:eastAsia="en-GB"/>
        </w:rPr>
        <w:t>,</w:t>
      </w:r>
      <w:r w:rsidRPr="001016F9">
        <w:rPr>
          <w:rFonts w:ascii="Arial" w:eastAsia="Times New Roman" w:hAnsi="Arial" w:cs="Arial"/>
          <w:lang w:eastAsia="en-GB"/>
        </w:rPr>
        <w:t xml:space="preserve"> taking the first difference: </w:t>
      </w:r>
    </w:p>
    <w:p w14:paraId="20C04298" w14:textId="77777777" w:rsidR="00F01B84" w:rsidRPr="00B04E86" w:rsidRDefault="00F01B84" w:rsidP="0066301C">
      <w:pPr>
        <w:autoSpaceDE w:val="0"/>
        <w:autoSpaceDN w:val="0"/>
        <w:adjustRightInd w:val="0"/>
        <w:spacing w:after="0" w:line="360" w:lineRule="auto"/>
        <w:contextualSpacing/>
        <w:jc w:val="both"/>
        <w:rPr>
          <w:rFonts w:ascii="Arial" w:eastAsia="Times New Roman" w:hAnsi="Arial" w:cs="Arial"/>
          <w:i/>
          <w:iCs/>
          <w:lang w:eastAsia="en-GB"/>
        </w:rPr>
      </w:pPr>
      <w:r w:rsidRPr="00B04E86">
        <w:rPr>
          <w:rFonts w:ascii="Arial" w:eastAsia="Times New Roman" w:hAnsi="Arial" w:cs="Arial"/>
          <w:i/>
          <w:iCs/>
          <w:lang w:eastAsia="en-GB"/>
        </w:rPr>
        <w:t>∆Y</w:t>
      </w:r>
      <w:r w:rsidRPr="00B04E86">
        <w:rPr>
          <w:rFonts w:ascii="Arial" w:eastAsia="Times New Roman" w:hAnsi="Arial" w:cs="Arial"/>
          <w:i/>
          <w:iCs/>
          <w:vertAlign w:val="subscript"/>
          <w:lang w:eastAsia="en-GB"/>
        </w:rPr>
        <w:t>t</w:t>
      </w:r>
      <w:r w:rsidRPr="00B04E86">
        <w:rPr>
          <w:rFonts w:ascii="Arial" w:eastAsia="Times New Roman" w:hAnsi="Arial" w:cs="Arial"/>
          <w:i/>
          <w:iCs/>
          <w:lang w:eastAsia="en-GB"/>
        </w:rPr>
        <w:t xml:space="preserve"> = Y</w:t>
      </w:r>
      <w:r w:rsidRPr="00B04E86">
        <w:rPr>
          <w:rFonts w:ascii="Arial" w:eastAsia="Times New Roman" w:hAnsi="Arial" w:cs="Arial"/>
          <w:i/>
          <w:iCs/>
          <w:vertAlign w:val="subscript"/>
          <w:lang w:eastAsia="en-GB"/>
        </w:rPr>
        <w:t>t</w:t>
      </w:r>
      <w:r w:rsidRPr="00B04E86">
        <w:rPr>
          <w:rFonts w:ascii="Arial" w:eastAsia="Times New Roman" w:hAnsi="Arial" w:cs="Arial"/>
          <w:i/>
          <w:iCs/>
          <w:lang w:eastAsia="en-GB"/>
        </w:rPr>
        <w:t xml:space="preserve"> – Y</w:t>
      </w:r>
      <w:r w:rsidRPr="00B04E86">
        <w:rPr>
          <w:rFonts w:ascii="Arial" w:eastAsia="Times New Roman" w:hAnsi="Arial" w:cs="Arial"/>
          <w:i/>
          <w:iCs/>
          <w:vertAlign w:val="subscript"/>
          <w:lang w:eastAsia="en-GB"/>
        </w:rPr>
        <w:t>t-1</w:t>
      </w:r>
      <w:r w:rsidRPr="00B04E86">
        <w:rPr>
          <w:rFonts w:ascii="Arial" w:eastAsia="Times New Roman" w:hAnsi="Arial" w:cs="Arial"/>
          <w:i/>
          <w:iCs/>
          <w:lang w:eastAsia="en-GB"/>
        </w:rPr>
        <w:t>.</w:t>
      </w:r>
    </w:p>
    <w:p w14:paraId="0AC7803D" w14:textId="77777777" w:rsidR="00F01B84" w:rsidRDefault="00F01B84" w:rsidP="0066301C">
      <w:pPr>
        <w:autoSpaceDE w:val="0"/>
        <w:autoSpaceDN w:val="0"/>
        <w:adjustRightInd w:val="0"/>
        <w:spacing w:after="0" w:line="360" w:lineRule="auto"/>
        <w:contextualSpacing/>
        <w:jc w:val="both"/>
        <w:rPr>
          <w:rFonts w:ascii="Arial" w:eastAsia="Times New Roman" w:hAnsi="Arial" w:cs="Arial"/>
          <w:lang w:eastAsia="en-GB"/>
        </w:rPr>
      </w:pPr>
      <w:r w:rsidRPr="001016F9">
        <w:rPr>
          <w:rFonts w:ascii="Arial" w:eastAsia="Times New Roman" w:hAnsi="Arial" w:cs="Arial"/>
          <w:lang w:eastAsia="en-GB"/>
        </w:rPr>
        <w:t xml:space="preserve">Annual data’s (such as exchange rate) first difference are always stationary and are said to be integrated of order 1 to make it stationary and is written as </w:t>
      </w:r>
      <w:r w:rsidRPr="001016F9">
        <w:rPr>
          <w:rFonts w:ascii="Arial" w:eastAsia="Times New Roman" w:hAnsi="Arial" w:cs="Arial"/>
          <w:i/>
          <w:lang w:eastAsia="en-GB"/>
        </w:rPr>
        <w:t>I(</w:t>
      </w:r>
      <w:r w:rsidRPr="001016F9">
        <w:rPr>
          <w:rFonts w:ascii="Arial" w:eastAsia="Times New Roman" w:hAnsi="Arial" w:cs="Arial"/>
          <w:lang w:eastAsia="en-GB"/>
        </w:rPr>
        <w:t>1</w:t>
      </w:r>
      <w:r w:rsidRPr="001016F9">
        <w:rPr>
          <w:rFonts w:ascii="Arial" w:eastAsia="Times New Roman" w:hAnsi="Arial" w:cs="Arial"/>
          <w:i/>
          <w:lang w:eastAsia="en-GB"/>
        </w:rPr>
        <w:t xml:space="preserve">). </w:t>
      </w:r>
      <w:r w:rsidRPr="001016F9">
        <w:rPr>
          <w:rFonts w:ascii="Arial" w:eastAsia="Times New Roman" w:hAnsi="Arial" w:cs="Arial"/>
          <w:lang w:eastAsia="en-GB"/>
        </w:rPr>
        <w:t xml:space="preserve">In case it is still not stationary after the first difference, </w:t>
      </w:r>
      <w:r>
        <w:rPr>
          <w:rFonts w:ascii="Arial" w:eastAsia="Times New Roman" w:hAnsi="Arial" w:cs="Arial"/>
          <w:lang w:eastAsia="en-GB"/>
        </w:rPr>
        <w:t xml:space="preserve">it will have to be difference twice to make it stationary, i.e., </w:t>
      </w:r>
      <w:r w:rsidRPr="00B04E86">
        <w:rPr>
          <w:rFonts w:ascii="Arial" w:hAnsi="Arial" w:cs="Arial"/>
          <w:i/>
          <w:iCs/>
        </w:rPr>
        <w:t>Y</w:t>
      </w:r>
      <w:r w:rsidRPr="00B04E86">
        <w:rPr>
          <w:rFonts w:ascii="Arial" w:hAnsi="Arial" w:cs="Arial"/>
          <w:i/>
          <w:iCs/>
          <w:vertAlign w:val="subscript"/>
        </w:rPr>
        <w:t>t</w:t>
      </w:r>
      <w:r w:rsidRPr="00B04E86">
        <w:rPr>
          <w:rFonts w:ascii="Arial" w:hAnsi="Arial" w:cs="Arial"/>
        </w:rPr>
        <w:t xml:space="preserve"> and Δ</w:t>
      </w:r>
      <w:r w:rsidRPr="00B04E86">
        <w:rPr>
          <w:rFonts w:ascii="Arial" w:hAnsi="Arial" w:cs="Arial"/>
          <w:i/>
          <w:iCs/>
        </w:rPr>
        <w:t>Y</w:t>
      </w:r>
      <w:r w:rsidRPr="00B04E86">
        <w:rPr>
          <w:rFonts w:ascii="Arial" w:hAnsi="Arial" w:cs="Arial"/>
          <w:i/>
          <w:iCs/>
          <w:vertAlign w:val="subscript"/>
        </w:rPr>
        <w:t>t</w:t>
      </w:r>
      <w:r w:rsidRPr="00B04E86">
        <w:rPr>
          <w:rFonts w:ascii="Arial" w:hAnsi="Arial" w:cs="Arial"/>
        </w:rPr>
        <w:t xml:space="preserve"> are non-stationary, but Δ</w:t>
      </w:r>
      <w:r w:rsidRPr="00B04E86">
        <w:rPr>
          <w:rFonts w:ascii="Arial" w:hAnsi="Arial" w:cs="Arial"/>
          <w:vertAlign w:val="superscript"/>
        </w:rPr>
        <w:t>2</w:t>
      </w:r>
      <w:r w:rsidRPr="00B04E86">
        <w:rPr>
          <w:rFonts w:ascii="Arial" w:hAnsi="Arial" w:cs="Arial"/>
          <w:i/>
          <w:iCs/>
        </w:rPr>
        <w:t>Y</w:t>
      </w:r>
      <w:r w:rsidRPr="00B04E86">
        <w:rPr>
          <w:rFonts w:ascii="Arial" w:hAnsi="Arial" w:cs="Arial"/>
          <w:i/>
          <w:iCs/>
          <w:vertAlign w:val="subscript"/>
        </w:rPr>
        <w:t>t</w:t>
      </w:r>
      <w:r w:rsidRPr="00B04E86">
        <w:rPr>
          <w:rFonts w:ascii="Arial" w:hAnsi="Arial" w:cs="Arial"/>
        </w:rPr>
        <w:t xml:space="preserve"> is stationary. In this case, </w:t>
      </w:r>
      <w:r w:rsidRPr="00B04E86">
        <w:rPr>
          <w:rFonts w:ascii="Arial" w:hAnsi="Arial" w:cs="Arial"/>
          <w:i/>
          <w:iCs/>
        </w:rPr>
        <w:t>Y</w:t>
      </w:r>
      <w:r w:rsidRPr="00B04E86">
        <w:rPr>
          <w:rFonts w:ascii="Arial" w:hAnsi="Arial" w:cs="Arial"/>
          <w:i/>
          <w:iCs/>
          <w:vertAlign w:val="subscript"/>
        </w:rPr>
        <w:t>t</w:t>
      </w:r>
      <w:r w:rsidRPr="00B04E86">
        <w:rPr>
          <w:rFonts w:ascii="Arial" w:hAnsi="Arial" w:cs="Arial"/>
        </w:rPr>
        <w:t xml:space="preserve"> is said to be integrated of order 2, written </w:t>
      </w:r>
      <w:r w:rsidRPr="00E377EB">
        <w:rPr>
          <w:rFonts w:ascii="Arial" w:hAnsi="Arial" w:cs="Arial"/>
          <w:i/>
          <w:iCs/>
        </w:rPr>
        <w:t>I</w:t>
      </w:r>
      <w:r w:rsidRPr="00B04E86">
        <w:rPr>
          <w:rFonts w:ascii="Arial" w:hAnsi="Arial" w:cs="Arial"/>
        </w:rPr>
        <w:t>(2).</w:t>
      </w:r>
      <w:r>
        <w:rPr>
          <w:rFonts w:ascii="Arial" w:eastAsia="Times New Roman" w:hAnsi="Arial" w:cs="Arial"/>
          <w:lang w:eastAsia="en-GB"/>
        </w:rPr>
        <w:t xml:space="preserve"> </w:t>
      </w:r>
    </w:p>
    <w:p w14:paraId="228F4E6C" w14:textId="705ED33E" w:rsidR="00F01B84" w:rsidRPr="001016F9" w:rsidRDefault="00F01B84" w:rsidP="0066301C">
      <w:pPr>
        <w:autoSpaceDE w:val="0"/>
        <w:autoSpaceDN w:val="0"/>
        <w:adjustRightInd w:val="0"/>
        <w:spacing w:after="0" w:line="360" w:lineRule="auto"/>
        <w:contextualSpacing/>
        <w:jc w:val="both"/>
        <w:rPr>
          <w:rFonts w:ascii="Arial" w:eastAsia="Times New Roman" w:hAnsi="Arial" w:cs="Arial"/>
          <w:lang w:eastAsia="en-GB"/>
        </w:rPr>
      </w:pPr>
      <w:r w:rsidRPr="001016F9">
        <w:rPr>
          <w:rFonts w:ascii="Arial" w:eastAsia="Times New Roman" w:hAnsi="Arial" w:cs="Arial"/>
          <w:lang w:eastAsia="en-GB"/>
        </w:rPr>
        <w:t>There exist different ways of testing for stationarity</w:t>
      </w:r>
      <w:r w:rsidR="00ED2F43">
        <w:rPr>
          <w:rFonts w:ascii="Arial" w:eastAsia="Times New Roman" w:hAnsi="Arial" w:cs="Arial"/>
          <w:lang w:eastAsia="en-GB"/>
        </w:rPr>
        <w:t>:</w:t>
      </w:r>
    </w:p>
    <w:p w14:paraId="6EC049CB" w14:textId="77777777" w:rsidR="00F01B84" w:rsidRPr="001016F9" w:rsidRDefault="00F01B84" w:rsidP="0066301C">
      <w:pPr>
        <w:pStyle w:val="ListParagraph"/>
        <w:numPr>
          <w:ilvl w:val="0"/>
          <w:numId w:val="13"/>
        </w:numPr>
        <w:autoSpaceDE w:val="0"/>
        <w:autoSpaceDN w:val="0"/>
        <w:adjustRightInd w:val="0"/>
        <w:spacing w:after="0" w:line="360" w:lineRule="auto"/>
        <w:jc w:val="both"/>
        <w:rPr>
          <w:rFonts w:ascii="Arial" w:hAnsi="Arial" w:cs="Arial"/>
        </w:rPr>
      </w:pPr>
      <w:r w:rsidRPr="001016F9">
        <w:rPr>
          <w:rFonts w:ascii="Arial" w:hAnsi="Arial" w:cs="Arial"/>
        </w:rPr>
        <w:t>Informal testing (time plot): Plotting of the series on a graph to visualise its nature. If the graph shows trends, it could mean that the series has unit root and vice versa.</w:t>
      </w:r>
    </w:p>
    <w:p w14:paraId="61DBD24D" w14:textId="77777777" w:rsidR="00F01B84" w:rsidRPr="001016F9" w:rsidRDefault="00F01B84" w:rsidP="0066301C">
      <w:pPr>
        <w:numPr>
          <w:ilvl w:val="0"/>
          <w:numId w:val="13"/>
        </w:numPr>
        <w:autoSpaceDE w:val="0"/>
        <w:autoSpaceDN w:val="0"/>
        <w:adjustRightInd w:val="0"/>
        <w:spacing w:after="0" w:line="360" w:lineRule="auto"/>
        <w:contextualSpacing/>
        <w:jc w:val="both"/>
        <w:rPr>
          <w:rFonts w:ascii="Arial" w:eastAsia="Times New Roman" w:hAnsi="Arial" w:cs="Arial"/>
          <w:lang w:eastAsia="en-GB"/>
        </w:rPr>
      </w:pPr>
      <w:bookmarkStart w:id="143" w:name="_Hlk170835098"/>
      <w:r w:rsidRPr="001016F9">
        <w:rPr>
          <w:rFonts w:ascii="Arial" w:eastAsia="Times New Roman" w:hAnsi="Arial" w:cs="Arial"/>
          <w:lang w:eastAsia="en-GB"/>
        </w:rPr>
        <w:t>Formal test: in order to examine the existence of unit root, we shall apply the following test:</w:t>
      </w:r>
    </w:p>
    <w:p w14:paraId="491FC0FE" w14:textId="77777777" w:rsidR="00F01B84" w:rsidRPr="001016F9" w:rsidRDefault="00F01B84" w:rsidP="0066301C">
      <w:pPr>
        <w:numPr>
          <w:ilvl w:val="0"/>
          <w:numId w:val="4"/>
        </w:numPr>
        <w:autoSpaceDE w:val="0"/>
        <w:autoSpaceDN w:val="0"/>
        <w:adjustRightInd w:val="0"/>
        <w:spacing w:after="200" w:line="360" w:lineRule="auto"/>
        <w:contextualSpacing/>
        <w:jc w:val="both"/>
        <w:rPr>
          <w:rFonts w:ascii="Arial" w:eastAsia="Times New Roman" w:hAnsi="Arial" w:cs="Arial"/>
          <w:lang w:eastAsia="en-GB"/>
        </w:rPr>
      </w:pPr>
      <w:r w:rsidRPr="001016F9">
        <w:rPr>
          <w:rFonts w:ascii="Arial" w:eastAsia="Times New Roman" w:hAnsi="Arial" w:cs="Arial"/>
          <w:lang w:eastAsia="en-GB"/>
        </w:rPr>
        <w:t>The Augmented Dickey-Fuller ‘</w:t>
      </w:r>
      <w:r w:rsidRPr="001016F9">
        <w:rPr>
          <w:rFonts w:ascii="Arial" w:eastAsia="Times New Roman" w:hAnsi="Arial" w:cs="Arial"/>
          <w:i/>
          <w:lang w:eastAsia="en-GB"/>
        </w:rPr>
        <w:t>ADF</w:t>
      </w:r>
      <w:r w:rsidRPr="001016F9">
        <w:rPr>
          <w:rFonts w:ascii="Arial" w:eastAsia="Times New Roman" w:hAnsi="Arial" w:cs="Arial"/>
          <w:lang w:eastAsia="en-GB"/>
        </w:rPr>
        <w:t xml:space="preserve">’ test. </w:t>
      </w:r>
    </w:p>
    <w:p w14:paraId="623BB520" w14:textId="77777777" w:rsidR="00F01B84" w:rsidRPr="001016F9" w:rsidRDefault="00F01B84" w:rsidP="0066301C">
      <w:pPr>
        <w:numPr>
          <w:ilvl w:val="0"/>
          <w:numId w:val="4"/>
        </w:numPr>
        <w:autoSpaceDE w:val="0"/>
        <w:autoSpaceDN w:val="0"/>
        <w:adjustRightInd w:val="0"/>
        <w:spacing w:after="200" w:line="360" w:lineRule="auto"/>
        <w:contextualSpacing/>
        <w:jc w:val="both"/>
        <w:rPr>
          <w:rFonts w:ascii="Arial" w:eastAsia="Times New Roman" w:hAnsi="Arial" w:cs="Arial"/>
          <w:lang w:eastAsia="en-GB"/>
        </w:rPr>
      </w:pPr>
      <w:r w:rsidRPr="001016F9">
        <w:rPr>
          <w:rFonts w:ascii="Arial" w:eastAsia="Times New Roman" w:hAnsi="Arial" w:cs="Arial"/>
          <w:lang w:eastAsia="en-GB"/>
        </w:rPr>
        <w:t>Philips-Perron ‘</w:t>
      </w:r>
      <w:r w:rsidRPr="001016F9">
        <w:rPr>
          <w:rFonts w:ascii="Arial" w:eastAsia="Times New Roman" w:hAnsi="Arial" w:cs="Arial"/>
          <w:i/>
          <w:lang w:eastAsia="en-GB"/>
        </w:rPr>
        <w:t>PP</w:t>
      </w:r>
      <w:r w:rsidRPr="001016F9">
        <w:rPr>
          <w:rFonts w:ascii="Arial" w:eastAsia="Times New Roman" w:hAnsi="Arial" w:cs="Arial"/>
          <w:lang w:eastAsia="en-GB"/>
        </w:rPr>
        <w:t>’ test.</w:t>
      </w:r>
    </w:p>
    <w:bookmarkEnd w:id="143"/>
    <w:p w14:paraId="27A07933" w14:textId="1ECE6F74" w:rsidR="00F01B84" w:rsidRPr="003A1D9E" w:rsidRDefault="00F01B84" w:rsidP="0066301C">
      <w:pPr>
        <w:pStyle w:val="StepHead"/>
        <w:spacing w:line="360" w:lineRule="auto"/>
        <w:jc w:val="both"/>
        <w:rPr>
          <w:rFonts w:ascii="Arial" w:hAnsi="Arial" w:cs="Arial"/>
          <w:i w:val="0"/>
          <w:iCs/>
          <w:sz w:val="22"/>
          <w:szCs w:val="22"/>
        </w:rPr>
      </w:pPr>
      <w:r w:rsidRPr="003A1D9E">
        <w:rPr>
          <w:rFonts w:ascii="Arial" w:hAnsi="Arial" w:cs="Arial"/>
          <w:i w:val="0"/>
          <w:iCs/>
          <w:sz w:val="22"/>
          <w:szCs w:val="22"/>
        </w:rPr>
        <w:t xml:space="preserve">Perform an ADF </w:t>
      </w:r>
      <w:r w:rsidR="0031658F">
        <w:rPr>
          <w:rFonts w:ascii="Arial" w:hAnsi="Arial" w:cs="Arial"/>
          <w:i w:val="0"/>
          <w:iCs/>
          <w:sz w:val="22"/>
          <w:szCs w:val="22"/>
        </w:rPr>
        <w:t>T</w:t>
      </w:r>
      <w:r w:rsidRPr="003A1D9E">
        <w:rPr>
          <w:rFonts w:ascii="Arial" w:hAnsi="Arial" w:cs="Arial"/>
          <w:i w:val="0"/>
          <w:iCs/>
          <w:sz w:val="22"/>
          <w:szCs w:val="22"/>
        </w:rPr>
        <w:t>est</w:t>
      </w:r>
    </w:p>
    <w:p w14:paraId="52565492" w14:textId="77777777" w:rsidR="00F01B84" w:rsidRDefault="00F01B84" w:rsidP="0066301C">
      <w:pPr>
        <w:spacing w:line="360" w:lineRule="auto"/>
        <w:jc w:val="both"/>
        <w:rPr>
          <w:rFonts w:ascii="Arial" w:hAnsi="Arial" w:cs="Arial"/>
        </w:rPr>
      </w:pPr>
      <w:r w:rsidRPr="003A1D9E">
        <w:rPr>
          <w:rFonts w:ascii="Arial" w:hAnsi="Arial" w:cs="Arial"/>
        </w:rPr>
        <w:t xml:space="preserve">To test a variable </w:t>
      </w:r>
      <w:r w:rsidRPr="003A1D9E">
        <w:rPr>
          <w:rFonts w:ascii="Arial" w:hAnsi="Arial" w:cs="Arial"/>
          <w:i/>
          <w:iCs/>
        </w:rPr>
        <w:t>Y</w:t>
      </w:r>
      <w:r w:rsidRPr="003A1D9E">
        <w:rPr>
          <w:rFonts w:ascii="Arial" w:hAnsi="Arial" w:cs="Arial"/>
          <w:i/>
          <w:iCs/>
          <w:vertAlign w:val="subscript"/>
        </w:rPr>
        <w:t>t</w:t>
      </w:r>
      <w:r w:rsidRPr="003A1D9E">
        <w:rPr>
          <w:rFonts w:ascii="Arial" w:hAnsi="Arial" w:cs="Arial"/>
        </w:rPr>
        <w:t xml:space="preserve"> for a unit root the following regression equation is estimated:</w:t>
      </w:r>
    </w:p>
    <w:p w14:paraId="54F743F9" w14:textId="5478A72B" w:rsidR="00F01B84" w:rsidRPr="003A1D9E" w:rsidRDefault="00000000" w:rsidP="0066301C">
      <w:pPr>
        <w:spacing w:line="360" w:lineRule="auto"/>
        <w:jc w:val="center"/>
        <w:rPr>
          <w:rFonts w:ascii="Arial" w:hAnsi="Arial" w:cs="Arial"/>
        </w:rPr>
      </w:pPr>
      <m:oMath>
        <m:sSub>
          <m:sSubPr>
            <m:ctrlPr>
              <w:rPr>
                <w:rFonts w:ascii="Cambria Math" w:hAnsi="Cambria Math" w:cs="Arial"/>
                <w:i/>
              </w:rPr>
            </m:ctrlPr>
          </m:sSubPr>
          <m:e>
            <m:r>
              <w:rPr>
                <w:rFonts w:ascii="Cambria Math" w:hAnsi="Cambria Math" w:cs="Arial"/>
              </w:rPr>
              <m:t>∆Y</m:t>
            </m:r>
          </m:e>
          <m:sub>
            <m:r>
              <w:rPr>
                <w:rFonts w:ascii="Cambria Math" w:hAnsi="Cambria Math" w:cs="Arial"/>
              </w:rPr>
              <m:t>t</m:t>
            </m:r>
          </m:sub>
        </m:sSub>
        <m:r>
          <w:rPr>
            <w:rFonts w:ascii="Cambria Math" w:hAnsi="Cambria Math" w:cs="Arial"/>
          </w:rPr>
          <m:t>=</m:t>
        </m:r>
        <m:sSub>
          <m:sSubPr>
            <m:ctrlPr>
              <w:rPr>
                <w:rFonts w:ascii="Cambria Math" w:hAnsi="Cambria Math" w:cs="Arial"/>
                <w:i/>
              </w:rPr>
            </m:ctrlPr>
          </m:sSubPr>
          <m:e>
            <m:r>
              <w:rPr>
                <w:rFonts w:ascii="Cambria Math" w:hAnsi="Cambria Math" w:cs="Arial"/>
              </w:rPr>
              <m:t>α</m:t>
            </m:r>
          </m:e>
          <m:sub>
            <m:r>
              <w:rPr>
                <w:rFonts w:ascii="Cambria Math" w:hAnsi="Cambria Math" w:cs="Arial"/>
              </w:rPr>
              <m:t>0</m:t>
            </m:r>
          </m:sub>
        </m:sSub>
        <m:r>
          <w:rPr>
            <w:rFonts w:ascii="Cambria Math" w:hAnsi="Cambria Math" w:cs="Arial"/>
          </w:rPr>
          <m:t>+</m:t>
        </m:r>
        <m:sSub>
          <m:sSubPr>
            <m:ctrlPr>
              <w:rPr>
                <w:rFonts w:ascii="Cambria Math" w:hAnsi="Cambria Math" w:cs="Arial"/>
                <w:i/>
              </w:rPr>
            </m:ctrlPr>
          </m:sSubPr>
          <m:e>
            <m:r>
              <w:rPr>
                <w:rFonts w:ascii="Cambria Math" w:hAnsi="Cambria Math" w:cs="Arial"/>
              </w:rPr>
              <m:t>α</m:t>
            </m:r>
          </m:e>
          <m:sub>
            <m:r>
              <w:rPr>
                <w:rFonts w:ascii="Cambria Math" w:hAnsi="Cambria Math" w:cs="Arial"/>
              </w:rPr>
              <m:t>1</m:t>
            </m:r>
          </m:sub>
        </m:sSub>
        <m:r>
          <w:rPr>
            <w:rFonts w:ascii="Cambria Math" w:hAnsi="Cambria Math" w:cs="Arial"/>
          </w:rPr>
          <m:t>t+</m:t>
        </m:r>
        <m:sSub>
          <m:sSubPr>
            <m:ctrlPr>
              <w:rPr>
                <w:rFonts w:ascii="Cambria Math" w:hAnsi="Cambria Math" w:cs="Arial"/>
                <w:i/>
              </w:rPr>
            </m:ctrlPr>
          </m:sSubPr>
          <m:e>
            <m:r>
              <w:rPr>
                <w:rFonts w:ascii="Cambria Math" w:hAnsi="Cambria Math" w:cs="Arial"/>
              </w:rPr>
              <m:t>α</m:t>
            </m:r>
          </m:e>
          <m:sub>
            <m:r>
              <w:rPr>
                <w:rFonts w:ascii="Cambria Math" w:hAnsi="Cambria Math" w:cs="Arial"/>
              </w:rPr>
              <m:t>2</m:t>
            </m:r>
          </m:sub>
        </m:sSub>
        <m:sSub>
          <m:sSubPr>
            <m:ctrlPr>
              <w:rPr>
                <w:rFonts w:ascii="Cambria Math" w:hAnsi="Cambria Math" w:cs="Arial"/>
                <w:i/>
              </w:rPr>
            </m:ctrlPr>
          </m:sSubPr>
          <m:e>
            <m:r>
              <w:rPr>
                <w:rFonts w:ascii="Cambria Math" w:hAnsi="Cambria Math" w:cs="Arial"/>
              </w:rPr>
              <m:t>Y</m:t>
            </m:r>
          </m:e>
          <m:sub>
            <m:r>
              <w:rPr>
                <w:rFonts w:ascii="Cambria Math" w:hAnsi="Cambria Math" w:cs="Arial"/>
              </w:rPr>
              <m:t>t-1</m:t>
            </m:r>
          </m:sub>
        </m:sSub>
        <m:r>
          <w:rPr>
            <w:rFonts w:ascii="Cambria Math" w:hAnsi="Cambria Math" w:cs="Arial"/>
          </w:rPr>
          <m:t>+log</m:t>
        </m:r>
        <m:sSub>
          <m:sSubPr>
            <m:ctrlPr>
              <w:rPr>
                <w:rFonts w:ascii="Cambria Math" w:hAnsi="Cambria Math" w:cs="Arial"/>
                <w:i/>
              </w:rPr>
            </m:ctrlPr>
          </m:sSubPr>
          <m:e>
            <m:r>
              <w:rPr>
                <w:rFonts w:ascii="Cambria Math" w:hAnsi="Cambria Math" w:cs="Arial"/>
              </w:rPr>
              <m:t>∆Y</m:t>
            </m:r>
          </m:e>
          <m:sub>
            <m:r>
              <w:rPr>
                <w:rFonts w:ascii="Cambria Math" w:hAnsi="Cambria Math" w:cs="Arial"/>
              </w:rPr>
              <m:t>t</m:t>
            </m:r>
          </m:sub>
        </m:sSub>
        <m:r>
          <w:rPr>
            <w:rFonts w:ascii="Cambria Math" w:hAnsi="Cambria Math" w:cs="Arial"/>
          </w:rPr>
          <m:t>+</m:t>
        </m:r>
        <m:sSub>
          <m:sSubPr>
            <m:ctrlPr>
              <w:rPr>
                <w:rFonts w:ascii="Cambria Math" w:hAnsi="Cambria Math" w:cs="Arial"/>
                <w:i/>
              </w:rPr>
            </m:ctrlPr>
          </m:sSubPr>
          <m:e>
            <m:r>
              <w:rPr>
                <w:rFonts w:ascii="Cambria Math" w:hAnsi="Cambria Math" w:cs="Arial"/>
              </w:rPr>
              <m:t>ε</m:t>
            </m:r>
          </m:e>
          <m:sub>
            <m:r>
              <w:rPr>
                <w:rFonts w:ascii="Cambria Math" w:hAnsi="Cambria Math" w:cs="Arial"/>
              </w:rPr>
              <m:t>t</m:t>
            </m:r>
          </m:sub>
        </m:sSub>
      </m:oMath>
      <w:r w:rsidR="005D5AF8">
        <w:rPr>
          <w:rFonts w:ascii="Arial" w:eastAsiaTheme="minorEastAsia" w:hAnsi="Arial" w:cs="Arial"/>
          <w:sz w:val="24"/>
          <w:szCs w:val="24"/>
        </w:rPr>
        <w:t xml:space="preserve">                                                      </w:t>
      </w:r>
      <w:r w:rsidR="005D5AF8" w:rsidRPr="005D5AF8">
        <w:rPr>
          <w:rFonts w:ascii="Arial" w:eastAsiaTheme="minorEastAsia" w:hAnsi="Arial" w:cs="Arial"/>
        </w:rPr>
        <w:t>(3.18)</w:t>
      </w:r>
    </w:p>
    <w:p w14:paraId="2CF7869E" w14:textId="396EB146" w:rsidR="00F01B84" w:rsidRPr="003A1D9E" w:rsidRDefault="00F01B84" w:rsidP="0066301C">
      <w:pPr>
        <w:spacing w:line="360" w:lineRule="auto"/>
        <w:jc w:val="both"/>
        <w:rPr>
          <w:rFonts w:ascii="Arial" w:hAnsi="Arial" w:cs="Arial"/>
        </w:rPr>
      </w:pPr>
      <w:r w:rsidRPr="003A1D9E">
        <w:rPr>
          <w:rFonts w:ascii="Arial" w:hAnsi="Arial" w:cs="Arial"/>
        </w:rPr>
        <w:t>i.e.</w:t>
      </w:r>
      <w:r w:rsidR="00E60AA5">
        <w:rPr>
          <w:rFonts w:ascii="Arial" w:hAnsi="Arial" w:cs="Arial"/>
        </w:rPr>
        <w:t>,</w:t>
      </w:r>
      <w:r w:rsidRPr="003A1D9E">
        <w:rPr>
          <w:rFonts w:ascii="Arial" w:hAnsi="Arial" w:cs="Arial"/>
        </w:rPr>
        <w:t xml:space="preserve"> the first difference of </w:t>
      </w:r>
      <w:r w:rsidRPr="003A1D9E">
        <w:rPr>
          <w:rFonts w:ascii="Arial" w:hAnsi="Arial" w:cs="Arial"/>
          <w:i/>
          <w:iCs/>
        </w:rPr>
        <w:t>Y</w:t>
      </w:r>
      <w:r w:rsidRPr="003A1D9E">
        <w:rPr>
          <w:rFonts w:ascii="Arial" w:hAnsi="Arial" w:cs="Arial"/>
          <w:i/>
          <w:iCs/>
          <w:vertAlign w:val="subscript"/>
        </w:rPr>
        <w:t>t</w:t>
      </w:r>
      <w:r w:rsidRPr="003A1D9E">
        <w:rPr>
          <w:rFonts w:ascii="Arial" w:hAnsi="Arial" w:cs="Arial"/>
        </w:rPr>
        <w:t xml:space="preserve"> is regressed against a constant, a time trend (</w:t>
      </w:r>
      <w:r w:rsidRPr="003A1D9E">
        <w:rPr>
          <w:rFonts w:ascii="Arial" w:hAnsi="Arial" w:cs="Arial"/>
          <w:i/>
          <w:iCs/>
        </w:rPr>
        <w:t>t</w:t>
      </w:r>
      <w:r w:rsidRPr="003A1D9E">
        <w:rPr>
          <w:rFonts w:ascii="Arial" w:hAnsi="Arial" w:cs="Arial"/>
        </w:rPr>
        <w:t xml:space="preserve"> = 1, 2,...,</w:t>
      </w:r>
      <w:r w:rsidR="003B7BE2">
        <w:rPr>
          <w:rFonts w:ascii="Arial" w:hAnsi="Arial" w:cs="Arial"/>
        </w:rPr>
        <w:t xml:space="preserve"> </w:t>
      </w:r>
      <w:r w:rsidRPr="003A1D9E">
        <w:rPr>
          <w:rFonts w:ascii="Arial" w:hAnsi="Arial" w:cs="Arial"/>
        </w:rPr>
        <w:t xml:space="preserve">T), the first lag of </w:t>
      </w:r>
      <w:r w:rsidRPr="003A1D9E">
        <w:rPr>
          <w:rFonts w:ascii="Arial" w:hAnsi="Arial" w:cs="Arial"/>
          <w:i/>
          <w:iCs/>
        </w:rPr>
        <w:t>Y</w:t>
      </w:r>
      <w:r w:rsidRPr="003A1D9E">
        <w:rPr>
          <w:rFonts w:ascii="Arial" w:hAnsi="Arial" w:cs="Arial"/>
          <w:i/>
          <w:iCs/>
          <w:vertAlign w:val="subscript"/>
        </w:rPr>
        <w:t>t</w:t>
      </w:r>
      <w:r w:rsidRPr="003A1D9E">
        <w:rPr>
          <w:rFonts w:ascii="Arial" w:hAnsi="Arial" w:cs="Arial"/>
        </w:rPr>
        <w:t xml:space="preserve">, and, if necessary, lags of </w:t>
      </w:r>
      <w:r w:rsidRPr="003A1D9E">
        <w:rPr>
          <w:rFonts w:ascii="Arial" w:hAnsi="Arial" w:cs="Arial"/>
          <w:i/>
          <w:iCs/>
        </w:rPr>
        <w:t>ΔY</w:t>
      </w:r>
      <w:r w:rsidRPr="003A1D9E">
        <w:rPr>
          <w:rFonts w:ascii="Arial" w:hAnsi="Arial" w:cs="Arial"/>
          <w:i/>
          <w:iCs/>
          <w:vertAlign w:val="subscript"/>
        </w:rPr>
        <w:t>t</w:t>
      </w:r>
      <w:r w:rsidRPr="003A1D9E">
        <w:rPr>
          <w:rFonts w:ascii="Arial" w:hAnsi="Arial" w:cs="Arial"/>
          <w:i/>
          <w:iCs/>
        </w:rPr>
        <w:t>.</w:t>
      </w:r>
      <w:r w:rsidRPr="003A1D9E">
        <w:rPr>
          <w:rFonts w:ascii="Arial" w:hAnsi="Arial" w:cs="Arial"/>
        </w:rPr>
        <w:t xml:space="preserve"> Sufficient lags of Δ</w:t>
      </w:r>
      <w:r w:rsidRPr="003A1D9E">
        <w:rPr>
          <w:rFonts w:ascii="Arial" w:hAnsi="Arial" w:cs="Arial"/>
          <w:i/>
          <w:iCs/>
        </w:rPr>
        <w:t>Y</w:t>
      </w:r>
      <w:r w:rsidRPr="003A1D9E">
        <w:rPr>
          <w:rFonts w:ascii="Arial" w:hAnsi="Arial" w:cs="Arial"/>
          <w:i/>
          <w:iCs/>
          <w:vertAlign w:val="subscript"/>
        </w:rPr>
        <w:t>t</w:t>
      </w:r>
      <w:r w:rsidRPr="003A1D9E">
        <w:rPr>
          <w:rFonts w:ascii="Arial" w:hAnsi="Arial" w:cs="Arial"/>
        </w:rPr>
        <w:t xml:space="preserve"> must be included to ensure no autocorrelation in the error term. One lag (or even no lag) is usually sufficient with annual data. The test for a unit root, i.e., non-stationarity, is based on the t-stat on the coefficient of the lagged dependent variable, Y</w:t>
      </w:r>
      <w:r w:rsidRPr="003A1D9E">
        <w:rPr>
          <w:rFonts w:ascii="Arial" w:hAnsi="Arial" w:cs="Arial"/>
          <w:vertAlign w:val="subscript"/>
        </w:rPr>
        <w:t>t-1</w:t>
      </w:r>
      <w:r w:rsidRPr="003A1D9E">
        <w:rPr>
          <w:rFonts w:ascii="Arial" w:hAnsi="Arial" w:cs="Arial"/>
        </w:rPr>
        <w:t>.</w:t>
      </w:r>
    </w:p>
    <w:p w14:paraId="2EF4291A" w14:textId="79CB1298" w:rsidR="00F01B84" w:rsidRPr="001016F9" w:rsidRDefault="00F01B84" w:rsidP="0066301C">
      <w:pPr>
        <w:rPr>
          <w:rFonts w:ascii="Arial" w:hAnsi="Arial" w:cs="Arial"/>
        </w:rPr>
      </w:pPr>
      <w:r w:rsidRPr="001016F9">
        <w:rPr>
          <w:rFonts w:ascii="Arial" w:hAnsi="Arial" w:cs="Arial"/>
        </w:rPr>
        <w:t>In the unit root test, both the null and alternative hypotheses are express</w:t>
      </w:r>
      <w:r w:rsidR="004C08CE">
        <w:rPr>
          <w:rFonts w:ascii="Arial" w:hAnsi="Arial" w:cs="Arial"/>
        </w:rPr>
        <w:t>ed</w:t>
      </w:r>
      <w:r w:rsidRPr="001016F9">
        <w:rPr>
          <w:rFonts w:ascii="Arial" w:hAnsi="Arial" w:cs="Arial"/>
        </w:rPr>
        <w:t xml:space="preserve"> as</w:t>
      </w:r>
      <w:r>
        <w:rPr>
          <w:rFonts w:ascii="Arial" w:hAnsi="Arial" w:cs="Arial"/>
        </w:rPr>
        <w:t>:</w:t>
      </w:r>
    </w:p>
    <w:p w14:paraId="67D98BC8" w14:textId="7E954C79" w:rsidR="00F01B84" w:rsidRPr="001016F9" w:rsidRDefault="00F01B84" w:rsidP="0066301C">
      <w:pPr>
        <w:jc w:val="both"/>
        <w:rPr>
          <w:rFonts w:ascii="Arial" w:hAnsi="Arial" w:cs="Arial"/>
        </w:rPr>
      </w:pPr>
      <w:r w:rsidRPr="001016F9">
        <w:rPr>
          <w:rFonts w:ascii="Arial" w:hAnsi="Arial" w:cs="Arial"/>
        </w:rPr>
        <w:t>Null Hypothesis (H</w:t>
      </w:r>
      <w:r w:rsidRPr="001016F9">
        <w:rPr>
          <w:rFonts w:ascii="Arial" w:hAnsi="Arial" w:cs="Arial"/>
          <w:vertAlign w:val="subscript"/>
        </w:rPr>
        <w:t>0</w:t>
      </w:r>
      <w:r>
        <w:rPr>
          <w:rFonts w:ascii="Arial" w:hAnsi="Arial" w:cs="Arial"/>
        </w:rPr>
        <w:t>): series has unit root (</w:t>
      </w:r>
      <w:r w:rsidRPr="00965101">
        <w:rPr>
          <w:rFonts w:ascii="Arial" w:hAnsi="Arial" w:cs="Arial"/>
        </w:rPr>
        <w:t>i.e.</w:t>
      </w:r>
      <w:r>
        <w:rPr>
          <w:rFonts w:ascii="Arial" w:hAnsi="Arial" w:cs="Arial"/>
        </w:rPr>
        <w:t>,</w:t>
      </w:r>
      <w:r w:rsidRPr="00965101">
        <w:rPr>
          <w:rFonts w:ascii="Arial" w:hAnsi="Arial" w:cs="Arial"/>
        </w:rPr>
        <w:t xml:space="preserve"> if the </w:t>
      </w:r>
      <w:r w:rsidRPr="00965101">
        <w:rPr>
          <w:rFonts w:ascii="Arial" w:hAnsi="Arial" w:cs="Arial"/>
          <w:i/>
        </w:rPr>
        <w:t>p-</w:t>
      </w:r>
      <w:r w:rsidRPr="00965101">
        <w:rPr>
          <w:rFonts w:ascii="Arial" w:hAnsi="Arial" w:cs="Arial"/>
        </w:rPr>
        <w:t>value &gt; 0.05</w:t>
      </w:r>
      <w:r>
        <w:rPr>
          <w:rFonts w:ascii="Arial" w:hAnsi="Arial" w:cs="Arial"/>
        </w:rPr>
        <w:t>).</w:t>
      </w:r>
    </w:p>
    <w:p w14:paraId="1FD4607C" w14:textId="69200196" w:rsidR="00F01B84" w:rsidRPr="001016F9" w:rsidRDefault="00F01B84" w:rsidP="0066301C">
      <w:pPr>
        <w:jc w:val="both"/>
        <w:rPr>
          <w:rFonts w:ascii="Arial" w:hAnsi="Arial" w:cs="Arial"/>
        </w:rPr>
      </w:pPr>
      <w:r w:rsidRPr="001016F9">
        <w:rPr>
          <w:rFonts w:ascii="Arial" w:hAnsi="Arial" w:cs="Arial"/>
        </w:rPr>
        <w:t>Alternative Hypothesis (H</w:t>
      </w:r>
      <w:r w:rsidRPr="001016F9">
        <w:rPr>
          <w:rFonts w:ascii="Arial" w:hAnsi="Arial" w:cs="Arial"/>
          <w:vertAlign w:val="subscript"/>
        </w:rPr>
        <w:t>1</w:t>
      </w:r>
      <w:r w:rsidRPr="001016F9">
        <w:rPr>
          <w:rFonts w:ascii="Arial" w:hAnsi="Arial" w:cs="Arial"/>
        </w:rPr>
        <w:t>): series does not have unit root</w:t>
      </w:r>
      <w:r>
        <w:rPr>
          <w:rFonts w:ascii="Arial" w:hAnsi="Arial" w:cs="Arial"/>
        </w:rPr>
        <w:t xml:space="preserve"> (i.e., if </w:t>
      </w:r>
      <w:r w:rsidRPr="00965101">
        <w:rPr>
          <w:rFonts w:ascii="Arial" w:hAnsi="Arial" w:cs="Arial"/>
          <w:i/>
        </w:rPr>
        <w:t>p-</w:t>
      </w:r>
      <w:r w:rsidRPr="00965101">
        <w:rPr>
          <w:rFonts w:ascii="Arial" w:hAnsi="Arial" w:cs="Arial"/>
        </w:rPr>
        <w:t>value &lt; 0.05</w:t>
      </w:r>
      <w:r>
        <w:rPr>
          <w:rFonts w:ascii="Arial" w:hAnsi="Arial" w:cs="Arial"/>
        </w:rPr>
        <w:t>)</w:t>
      </w:r>
      <w:r w:rsidRPr="001016F9">
        <w:rPr>
          <w:rFonts w:ascii="Arial" w:hAnsi="Arial" w:cs="Arial"/>
        </w:rPr>
        <w:t>.</w:t>
      </w:r>
    </w:p>
    <w:p w14:paraId="31862CF2" w14:textId="2DD88427" w:rsidR="00F01B84" w:rsidRDefault="00F01B84" w:rsidP="0066301C">
      <w:pPr>
        <w:spacing w:line="360" w:lineRule="auto"/>
        <w:jc w:val="both"/>
        <w:rPr>
          <w:rFonts w:ascii="Arial" w:hAnsi="Arial" w:cs="Arial"/>
        </w:rPr>
      </w:pPr>
      <w:r w:rsidRPr="001016F9">
        <w:rPr>
          <w:rFonts w:ascii="Arial" w:hAnsi="Arial" w:cs="Arial"/>
        </w:rPr>
        <w:t>The null hypothesis is rejected (i.e., the series does not have unit root) if the absolute value of the computed</w:t>
      </w:r>
      <w:r w:rsidRPr="001016F9">
        <w:rPr>
          <w:rFonts w:ascii="Arial" w:hAnsi="Arial" w:cs="Arial"/>
          <w:i/>
        </w:rPr>
        <w:t xml:space="preserve"> ADF</w:t>
      </w:r>
      <w:r w:rsidRPr="001016F9">
        <w:rPr>
          <w:rFonts w:ascii="Arial" w:hAnsi="Arial" w:cs="Arial"/>
        </w:rPr>
        <w:t xml:space="preserve"> and/or</w:t>
      </w:r>
      <w:r w:rsidRPr="001016F9">
        <w:rPr>
          <w:rFonts w:ascii="Arial" w:hAnsi="Arial" w:cs="Arial"/>
          <w:i/>
        </w:rPr>
        <w:t xml:space="preserve"> PP </w:t>
      </w:r>
      <w:r w:rsidRPr="001016F9">
        <w:rPr>
          <w:rFonts w:ascii="Arial" w:hAnsi="Arial" w:cs="Arial"/>
        </w:rPr>
        <w:t>test statistic is greater than</w:t>
      </w:r>
      <w:r>
        <w:rPr>
          <w:rFonts w:ascii="Arial" w:hAnsi="Arial" w:cs="Arial"/>
        </w:rPr>
        <w:t xml:space="preserve"> the test critical values. That is, </w:t>
      </w:r>
      <w:r w:rsidRPr="00965101">
        <w:rPr>
          <w:rFonts w:ascii="Arial" w:hAnsi="Arial" w:cs="Arial"/>
        </w:rPr>
        <w:t>when the probability value is less than 0.05 (</w:t>
      </w:r>
      <w:r w:rsidRPr="00965101">
        <w:rPr>
          <w:rFonts w:ascii="Arial" w:hAnsi="Arial" w:cs="Arial"/>
          <w:i/>
        </w:rPr>
        <w:t>p-</w:t>
      </w:r>
      <w:r w:rsidRPr="00965101">
        <w:rPr>
          <w:rFonts w:ascii="Arial" w:hAnsi="Arial" w:cs="Arial"/>
        </w:rPr>
        <w:t>value &lt; 0.05), the model is stationary</w:t>
      </w:r>
      <w:r w:rsidR="006C011A">
        <w:rPr>
          <w:rFonts w:ascii="Arial" w:hAnsi="Arial" w:cs="Arial"/>
        </w:rPr>
        <w:t>,</w:t>
      </w:r>
      <w:r w:rsidRPr="00965101">
        <w:rPr>
          <w:rFonts w:ascii="Arial" w:hAnsi="Arial" w:cs="Arial"/>
        </w:rPr>
        <w:t xml:space="preserve"> and as such, the </w:t>
      </w:r>
      <w:r w:rsidRPr="00965101">
        <w:rPr>
          <w:rFonts w:ascii="Arial" w:hAnsi="Arial" w:cs="Arial"/>
        </w:rPr>
        <w:lastRenderedPageBreak/>
        <w:t xml:space="preserve">null hypothesis is rejected (while the alternative hypothesis is accepted). However, if the </w:t>
      </w:r>
      <w:r w:rsidRPr="00965101">
        <w:rPr>
          <w:rFonts w:ascii="Arial" w:hAnsi="Arial" w:cs="Arial"/>
          <w:i/>
        </w:rPr>
        <w:t>ADF</w:t>
      </w:r>
      <w:r w:rsidRPr="00965101">
        <w:rPr>
          <w:rFonts w:ascii="Arial" w:hAnsi="Arial" w:cs="Arial"/>
        </w:rPr>
        <w:t xml:space="preserve"> and/or</w:t>
      </w:r>
      <w:r w:rsidRPr="00965101">
        <w:rPr>
          <w:rFonts w:ascii="Arial" w:hAnsi="Arial" w:cs="Arial"/>
          <w:i/>
        </w:rPr>
        <w:t xml:space="preserve"> PP</w:t>
      </w:r>
      <w:r w:rsidRPr="00965101">
        <w:rPr>
          <w:rFonts w:ascii="Arial" w:hAnsi="Arial" w:cs="Arial"/>
        </w:rPr>
        <w:t xml:space="preserve"> are less than the test critical value (i.e., if the </w:t>
      </w:r>
      <w:r w:rsidRPr="00965101">
        <w:rPr>
          <w:rFonts w:ascii="Arial" w:hAnsi="Arial" w:cs="Arial"/>
          <w:i/>
        </w:rPr>
        <w:t>p-</w:t>
      </w:r>
      <w:r w:rsidRPr="00965101">
        <w:rPr>
          <w:rFonts w:ascii="Arial" w:hAnsi="Arial" w:cs="Arial"/>
        </w:rPr>
        <w:t>value &gt; 0.05), it means that the model has unit root, and the null hypothesis is not rejected.</w:t>
      </w:r>
      <w:r>
        <w:rPr>
          <w:rFonts w:ascii="Arial" w:hAnsi="Arial" w:cs="Arial"/>
        </w:rPr>
        <w:t xml:space="preserve"> The series </w:t>
      </w:r>
      <w:r w:rsidR="001C230A">
        <w:rPr>
          <w:rFonts w:ascii="Arial" w:hAnsi="Arial" w:cs="Arial"/>
        </w:rPr>
        <w:t>should</w:t>
      </w:r>
      <w:r>
        <w:rPr>
          <w:rFonts w:ascii="Arial" w:hAnsi="Arial" w:cs="Arial"/>
        </w:rPr>
        <w:t xml:space="preserve"> be difference </w:t>
      </w:r>
      <w:r w:rsidR="001C230A">
        <w:rPr>
          <w:rFonts w:ascii="Arial" w:hAnsi="Arial" w:cs="Arial"/>
        </w:rPr>
        <w:t>to</w:t>
      </w:r>
      <w:r>
        <w:rPr>
          <w:rFonts w:ascii="Arial" w:hAnsi="Arial" w:cs="Arial"/>
        </w:rPr>
        <w:t xml:space="preserve"> remove the unit root. </w:t>
      </w:r>
    </w:p>
    <w:p w14:paraId="2654D5A8" w14:textId="5666197D" w:rsidR="00D37EF8" w:rsidRPr="00D37EF8" w:rsidRDefault="00A93691" w:rsidP="0066301C">
      <w:pPr>
        <w:pStyle w:val="Heading3"/>
        <w:numPr>
          <w:ilvl w:val="0"/>
          <w:numId w:val="0"/>
        </w:numPr>
        <w:spacing w:before="0" w:beforeAutospacing="0"/>
      </w:pPr>
      <w:bookmarkStart w:id="144" w:name="_Toc171075382"/>
      <w:bookmarkEnd w:id="142"/>
      <w:r>
        <w:t>3</w:t>
      </w:r>
      <w:r w:rsidR="00D37EF8" w:rsidRPr="00D37EF8">
        <w:t>.</w:t>
      </w:r>
      <w:r w:rsidR="0031658F">
        <w:t>4</w:t>
      </w:r>
      <w:r w:rsidR="00D37EF8" w:rsidRPr="00D37EF8">
        <w:t>.3</w:t>
      </w:r>
      <w:r w:rsidR="00260AC2">
        <w:tab/>
      </w:r>
      <w:r w:rsidR="00D37EF8" w:rsidRPr="00D37EF8">
        <w:t>D</w:t>
      </w:r>
      <w:r w:rsidR="00FE73A3">
        <w:t>E</w:t>
      </w:r>
      <w:r w:rsidR="00D37EF8" w:rsidRPr="00D37EF8">
        <w:t>TERMINE OPTIMAL LAG LENGTH</w:t>
      </w:r>
      <w:bookmarkEnd w:id="144"/>
    </w:p>
    <w:p w14:paraId="0EF0F494" w14:textId="77777777" w:rsidR="00434AAD" w:rsidRPr="00650A6C" w:rsidRDefault="00434AAD" w:rsidP="0066301C">
      <w:pPr>
        <w:spacing w:line="360" w:lineRule="auto"/>
        <w:jc w:val="both"/>
        <w:rPr>
          <w:rFonts w:ascii="Arial" w:hAnsi="Arial" w:cs="Arial"/>
        </w:rPr>
      </w:pPr>
      <w:r w:rsidRPr="00650A6C">
        <w:rPr>
          <w:rFonts w:ascii="Arial" w:hAnsi="Arial" w:cs="Arial"/>
        </w:rPr>
        <w:t>In economics, the dependence of a variable </w:t>
      </w:r>
      <w:r w:rsidRPr="00650A6C">
        <w:rPr>
          <w:rStyle w:val="Strong"/>
          <w:rFonts w:ascii="Arial" w:hAnsi="Arial" w:cs="Arial"/>
          <w:color w:val="0E101A"/>
        </w:rPr>
        <w:t>Y</w:t>
      </w:r>
      <w:r w:rsidRPr="00650A6C">
        <w:rPr>
          <w:rFonts w:ascii="Arial" w:hAnsi="Arial" w:cs="Arial"/>
        </w:rPr>
        <w:t> on another variable </w:t>
      </w:r>
      <w:r w:rsidRPr="00650A6C">
        <w:rPr>
          <w:rStyle w:val="Strong"/>
          <w:rFonts w:ascii="Arial" w:hAnsi="Arial" w:cs="Arial"/>
          <w:color w:val="0E101A"/>
        </w:rPr>
        <w:t>X</w:t>
      </w:r>
      <w:r w:rsidRPr="00650A6C">
        <w:rPr>
          <w:rFonts w:ascii="Arial" w:hAnsi="Arial" w:cs="Arial"/>
        </w:rPr>
        <w:t> is rarely instantaneous. That is, most often, the dependent variable </w:t>
      </w:r>
      <w:r w:rsidRPr="00650A6C">
        <w:rPr>
          <w:rStyle w:val="Strong"/>
          <w:rFonts w:ascii="Arial" w:hAnsi="Arial" w:cs="Arial"/>
          <w:color w:val="0E101A"/>
        </w:rPr>
        <w:t>Y </w:t>
      </w:r>
      <w:r w:rsidRPr="00650A6C">
        <w:rPr>
          <w:rFonts w:ascii="Arial" w:hAnsi="Arial" w:cs="Arial"/>
        </w:rPr>
        <w:t>responds to the independent variable </w:t>
      </w:r>
      <w:r w:rsidRPr="00650A6C">
        <w:rPr>
          <w:rStyle w:val="Strong"/>
          <w:rFonts w:ascii="Arial" w:hAnsi="Arial" w:cs="Arial"/>
          <w:color w:val="0E101A"/>
        </w:rPr>
        <w:t>X </w:t>
      </w:r>
      <w:r w:rsidRPr="00650A6C">
        <w:rPr>
          <w:rFonts w:ascii="Arial" w:hAnsi="Arial" w:cs="Arial"/>
        </w:rPr>
        <w:t>with a time-lapse. Such a lapse of time is referred to as a lag. This means that </w:t>
      </w:r>
      <w:r w:rsidRPr="00650A6C">
        <w:rPr>
          <w:rStyle w:val="Strong"/>
          <w:rFonts w:ascii="Arial" w:hAnsi="Arial" w:cs="Arial"/>
          <w:color w:val="0E101A"/>
        </w:rPr>
        <w:t>Y </w:t>
      </w:r>
      <w:r w:rsidRPr="00650A6C">
        <w:rPr>
          <w:rFonts w:ascii="Arial" w:hAnsi="Arial" w:cs="Arial"/>
        </w:rPr>
        <w:t>does not respond to </w:t>
      </w:r>
      <w:r w:rsidRPr="00650A6C">
        <w:rPr>
          <w:rStyle w:val="Strong"/>
          <w:rFonts w:ascii="Arial" w:hAnsi="Arial" w:cs="Arial"/>
          <w:color w:val="0E101A"/>
        </w:rPr>
        <w:t>X</w:t>
      </w:r>
      <w:r w:rsidRPr="00650A6C">
        <w:rPr>
          <w:rFonts w:ascii="Arial" w:hAnsi="Arial" w:cs="Arial"/>
        </w:rPr>
        <w:t> immediately. Thus, there is a lag in the response time. We need to be careful about the number of lags we put in our model because too many lags often lead to a loss of degree of freedom. It could also cause multicollinearity among the regressors; it could lead to serial correlation in the error terms and misspecification error. On the other hand, too few lags could result in specification errors.</w:t>
      </w:r>
    </w:p>
    <w:p w14:paraId="4CE39D98" w14:textId="77777777" w:rsidR="00434AAD" w:rsidRPr="00650A6C" w:rsidRDefault="00434AAD" w:rsidP="0066301C">
      <w:pPr>
        <w:spacing w:line="360" w:lineRule="auto"/>
        <w:jc w:val="both"/>
        <w:rPr>
          <w:rFonts w:ascii="Arial" w:hAnsi="Arial" w:cs="Arial"/>
        </w:rPr>
      </w:pPr>
      <w:r w:rsidRPr="00650A6C">
        <w:rPr>
          <w:rFonts w:ascii="Arial" w:hAnsi="Arial" w:cs="Arial"/>
        </w:rPr>
        <w:t>Hence, the number of lags used in a model is empirical. Most often, the number of lags for annual data is typically small (1 or 2), for quarterly data (1 to 8 lags is appropriate), and for monthly data (6, 12, or 24 lags if there are sufficient data points). The optimal lags can be chosen using the following information criterion: Final prediction error (FPE), Akaike information criterion (AIC), Schwarz information criterion (SC), and Hannan-Quinn information criterion (HQ). The asterisk (*) on the values indicates the lag order selected by the information criterion, and the criterion with the lowest * value’s lag length is chosen as the optimal lag length.</w:t>
      </w:r>
    </w:p>
    <w:p w14:paraId="3D222F29" w14:textId="07627BDA" w:rsidR="00043157" w:rsidRDefault="00CF67C4" w:rsidP="0066301C">
      <w:pPr>
        <w:pStyle w:val="Heading3"/>
        <w:numPr>
          <w:ilvl w:val="0"/>
          <w:numId w:val="0"/>
        </w:numPr>
        <w:spacing w:before="0" w:beforeAutospacing="0"/>
      </w:pPr>
      <w:bookmarkStart w:id="145" w:name="_Toc171075383"/>
      <w:bookmarkStart w:id="146" w:name="_Hlk170835554"/>
      <w:r>
        <w:t>3</w:t>
      </w:r>
      <w:r w:rsidR="00D37EF8" w:rsidRPr="00D37EF8">
        <w:t>.</w:t>
      </w:r>
      <w:r w:rsidR="0031658F">
        <w:t>4</w:t>
      </w:r>
      <w:r w:rsidR="00D37EF8" w:rsidRPr="00D37EF8">
        <w:t>.</w:t>
      </w:r>
      <w:r w:rsidR="00C11130" w:rsidRPr="00EB02D3">
        <w:t>4</w:t>
      </w:r>
      <w:r w:rsidR="00EB02D3">
        <w:tab/>
      </w:r>
      <w:r w:rsidR="00002F76" w:rsidRPr="00EB02D3">
        <w:t>COINTEGRATION</w:t>
      </w:r>
      <w:r w:rsidR="00002F76">
        <w:t xml:space="preserve"> TEST</w:t>
      </w:r>
      <w:bookmarkEnd w:id="145"/>
    </w:p>
    <w:p w14:paraId="295EDDEA" w14:textId="77777777" w:rsidR="004D2C97" w:rsidRPr="00F7338A" w:rsidRDefault="00F7338A" w:rsidP="0066301C">
      <w:pPr>
        <w:spacing w:line="360" w:lineRule="auto"/>
        <w:jc w:val="both"/>
        <w:rPr>
          <w:rFonts w:ascii="Arial" w:hAnsi="Arial" w:cs="Arial"/>
        </w:rPr>
      </w:pPr>
      <w:r w:rsidRPr="00F7338A">
        <w:rPr>
          <w:rFonts w:ascii="Arial" w:hAnsi="Arial" w:cs="Arial"/>
        </w:rPr>
        <w:t>In this chapter, we used Johansen’s cointegration test (1988, 1995), which allows us to determine the number of long-run equilibrium relationships between integrated variables of the same order. That is, the variables are all integrated in order one (</w:t>
      </w:r>
      <w:r w:rsidRPr="00F7338A">
        <w:rPr>
          <w:rStyle w:val="Emphasis"/>
          <w:rFonts w:ascii="Arial" w:hAnsi="Arial" w:cs="Arial"/>
          <w:b/>
          <w:bCs/>
          <w:color w:val="0E101A"/>
        </w:rPr>
        <w:t>I</w:t>
      </w:r>
      <w:r w:rsidRPr="00F7338A">
        <w:rPr>
          <w:rStyle w:val="Strong"/>
          <w:rFonts w:ascii="Arial" w:hAnsi="Arial" w:cs="Arial"/>
          <w:color w:val="0E101A"/>
        </w:rPr>
        <w:t>(1)</w:t>
      </w:r>
      <w:r w:rsidRPr="00F7338A">
        <w:rPr>
          <w:rFonts w:ascii="Arial" w:hAnsi="Arial" w:cs="Arial"/>
        </w:rPr>
        <w:t xml:space="preserve">). Johansen proposed two likelihood ratio tests, which represent the key statistics for testing for cointegration. </w:t>
      </w:r>
      <w:r w:rsidR="004D2C97" w:rsidRPr="00F7338A">
        <w:rPr>
          <w:rFonts w:ascii="Arial" w:hAnsi="Arial" w:cs="Arial"/>
        </w:rPr>
        <w:t>These tests are the Trace statistic and the Maximum eigenvalue statistic. Johansen (1995) explains that the tests have optimal sequence starting with the null hypothesis </w:t>
      </w:r>
      <w:r w:rsidR="004D2C97" w:rsidRPr="00F7338A">
        <w:rPr>
          <w:rStyle w:val="Emphasis"/>
          <w:rFonts w:ascii="Arial" w:hAnsi="Arial" w:cs="Arial"/>
          <w:color w:val="0E101A"/>
        </w:rPr>
        <w:t>r = </w:t>
      </w:r>
      <w:r w:rsidR="004D2C97" w:rsidRPr="00F7338A">
        <w:rPr>
          <w:rFonts w:ascii="Arial" w:hAnsi="Arial" w:cs="Arial"/>
        </w:rPr>
        <w:t>0 (no cointegration) against the alternative </w:t>
      </w:r>
      <w:r w:rsidR="004D2C97" w:rsidRPr="00F7338A">
        <w:rPr>
          <w:rStyle w:val="Emphasis"/>
          <w:rFonts w:ascii="Arial" w:hAnsi="Arial" w:cs="Arial"/>
          <w:color w:val="0E101A"/>
        </w:rPr>
        <w:t>r </w:t>
      </w:r>
      <w:r w:rsidR="004D2C97" w:rsidRPr="00F7338A">
        <w:rPr>
          <w:rFonts w:ascii="Arial" w:hAnsi="Arial" w:cs="Arial"/>
        </w:rPr>
        <w:t>≤ 1 (at least one cointegrating vector) and subsequent further order of cointegration </w:t>
      </w:r>
      <w:r w:rsidR="004D2C97" w:rsidRPr="00F7338A">
        <w:rPr>
          <w:rStyle w:val="Emphasis"/>
          <w:rFonts w:ascii="Arial" w:hAnsi="Arial" w:cs="Arial"/>
          <w:color w:val="0E101A"/>
        </w:rPr>
        <w:t>r </w:t>
      </w:r>
      <w:r w:rsidR="004D2C97" w:rsidRPr="00F7338A">
        <w:rPr>
          <w:rFonts w:ascii="Arial" w:hAnsi="Arial" w:cs="Arial"/>
        </w:rPr>
        <w:t>= </w:t>
      </w:r>
      <w:r w:rsidR="004D2C97" w:rsidRPr="00F7338A">
        <w:rPr>
          <w:rStyle w:val="Emphasis"/>
          <w:rFonts w:ascii="Arial" w:hAnsi="Arial" w:cs="Arial"/>
          <w:color w:val="0E101A"/>
        </w:rPr>
        <w:t>i </w:t>
      </w:r>
      <w:r w:rsidR="004D2C97" w:rsidRPr="00F7338A">
        <w:rPr>
          <w:rFonts w:ascii="Arial" w:hAnsi="Arial" w:cs="Arial"/>
        </w:rPr>
        <w:t>against the alternative</w:t>
      </w:r>
      <w:r w:rsidR="004D2C97" w:rsidRPr="00F7338A">
        <w:rPr>
          <w:rStyle w:val="Emphasis"/>
          <w:rFonts w:ascii="Arial" w:hAnsi="Arial" w:cs="Arial"/>
          <w:color w:val="0E101A"/>
        </w:rPr>
        <w:t> r </w:t>
      </w:r>
      <w:r w:rsidR="004D2C97" w:rsidRPr="00F7338A">
        <w:rPr>
          <w:rFonts w:ascii="Arial" w:hAnsi="Arial" w:cs="Arial"/>
        </w:rPr>
        <w:t>≤ </w:t>
      </w:r>
      <w:r w:rsidR="004D2C97" w:rsidRPr="00F7338A">
        <w:rPr>
          <w:rStyle w:val="Emphasis"/>
          <w:rFonts w:ascii="Arial" w:hAnsi="Arial" w:cs="Arial"/>
          <w:color w:val="0E101A"/>
        </w:rPr>
        <w:t>i + </w:t>
      </w:r>
      <w:r w:rsidR="004D2C97" w:rsidRPr="00F7338A">
        <w:rPr>
          <w:rFonts w:ascii="Arial" w:hAnsi="Arial" w:cs="Arial"/>
        </w:rPr>
        <w:t>1; the sequence stops at </w:t>
      </w:r>
      <w:r w:rsidR="004D2C97" w:rsidRPr="00F7338A">
        <w:rPr>
          <w:rStyle w:val="Emphasis"/>
          <w:rFonts w:ascii="Arial" w:hAnsi="Arial" w:cs="Arial"/>
          <w:color w:val="0E101A"/>
        </w:rPr>
        <w:t>r = i</w:t>
      </w:r>
      <w:r w:rsidR="004D2C97" w:rsidRPr="00F7338A">
        <w:rPr>
          <w:rFonts w:ascii="Arial" w:hAnsi="Arial" w:cs="Arial"/>
        </w:rPr>
        <w:t> when the null cannot be rejected. These tests could be written as follows: </w:t>
      </w:r>
    </w:p>
    <w:bookmarkEnd w:id="146"/>
    <w:p w14:paraId="37741188" w14:textId="77777777" w:rsidR="004D2C97" w:rsidRDefault="004D2C97" w:rsidP="0066301C">
      <w:pPr>
        <w:pStyle w:val="ListParagraph"/>
        <w:numPr>
          <w:ilvl w:val="0"/>
          <w:numId w:val="12"/>
        </w:numPr>
        <w:spacing w:line="360" w:lineRule="auto"/>
        <w:jc w:val="both"/>
        <w:rPr>
          <w:rFonts w:ascii="Arial" w:hAnsi="Arial" w:cs="Arial"/>
        </w:rPr>
      </w:pPr>
      <w:r w:rsidRPr="006C7BF6">
        <w:rPr>
          <w:rFonts w:ascii="Arial" w:hAnsi="Arial" w:cs="Arial"/>
        </w:rPr>
        <w:t xml:space="preserve">The </w:t>
      </w:r>
      <w:r>
        <w:rPr>
          <w:rFonts w:ascii="Arial" w:hAnsi="Arial" w:cs="Arial"/>
        </w:rPr>
        <w:t xml:space="preserve">trace statistic tests the null hypothesis of r cointegrating vectors against the alternative hypothesis of n cointegrating vectors given by: </w:t>
      </w:r>
    </w:p>
    <w:p w14:paraId="7AD158BB" w14:textId="77777777" w:rsidR="004D2C97" w:rsidRDefault="00000000" w:rsidP="0066301C">
      <w:pPr>
        <w:pStyle w:val="ListParagraph"/>
        <w:spacing w:line="360" w:lineRule="auto"/>
        <w:jc w:val="both"/>
        <w:rPr>
          <w:rFonts w:ascii="Arial" w:hAnsi="Arial" w:cs="Arial"/>
        </w:rPr>
      </w:pPr>
      <m:oMath>
        <m:sSub>
          <m:sSubPr>
            <m:ctrlPr>
              <w:rPr>
                <w:rFonts w:ascii="Cambria Math" w:hAnsi="Cambria Math" w:cs="Arial"/>
                <w:i/>
              </w:rPr>
            </m:ctrlPr>
          </m:sSubPr>
          <m:e>
            <m:r>
              <w:rPr>
                <w:rFonts w:ascii="Cambria Math" w:hAnsi="Cambria Math" w:cs="Arial"/>
              </w:rPr>
              <m:t>λ</m:t>
            </m:r>
          </m:e>
          <m:sub>
            <m:r>
              <w:rPr>
                <w:rFonts w:ascii="Cambria Math" w:hAnsi="Cambria Math" w:cs="Arial"/>
              </w:rPr>
              <m:t>trace</m:t>
            </m:r>
          </m:sub>
        </m:sSub>
      </m:oMath>
      <w:r w:rsidR="004D2C97">
        <w:rPr>
          <w:rFonts w:ascii="Arial" w:hAnsi="Arial" w:cs="Arial"/>
        </w:rPr>
        <w:t xml:space="preserve"> = </w:t>
      </w:r>
      <m:oMath>
        <m:r>
          <m:rPr>
            <m:sty m:val="p"/>
          </m:rPr>
          <w:rPr>
            <w:rFonts w:ascii="Cambria Math" w:hAnsi="Cambria Math" w:cs="Arial"/>
          </w:rPr>
          <m:t>-</m:t>
        </m:r>
        <m:r>
          <w:rPr>
            <w:rFonts w:ascii="Cambria Math" w:hAnsi="Cambria Math" w:cs="Arial"/>
          </w:rPr>
          <m:t>T</m:t>
        </m:r>
        <m:nary>
          <m:naryPr>
            <m:chr m:val="∑"/>
            <m:ctrlPr>
              <w:rPr>
                <w:rFonts w:ascii="Cambria Math" w:hAnsi="Cambria Math" w:cs="Arial"/>
                <w:i/>
              </w:rPr>
            </m:ctrlPr>
          </m:naryPr>
          <m:sub>
            <m:r>
              <w:rPr>
                <w:rFonts w:ascii="Cambria Math" w:hAnsi="Cambria Math" w:cs="Arial"/>
              </w:rPr>
              <m:t>i=r+1</m:t>
            </m:r>
          </m:sub>
          <m:sup>
            <m:r>
              <w:rPr>
                <w:rFonts w:ascii="Cambria Math" w:hAnsi="Cambria Math" w:cs="Arial"/>
              </w:rPr>
              <m:t>n</m:t>
            </m:r>
          </m:sup>
          <m:e>
            <m:r>
              <w:rPr>
                <w:rFonts w:ascii="Cambria Math" w:hAnsi="Cambria Math" w:cs="Arial"/>
              </w:rPr>
              <m:t>(1-</m:t>
            </m:r>
            <m:sSub>
              <m:sSubPr>
                <m:ctrlPr>
                  <w:rPr>
                    <w:rFonts w:ascii="Cambria Math" w:hAnsi="Cambria Math" w:cs="Arial"/>
                    <w:i/>
                  </w:rPr>
                </m:ctrlPr>
              </m:sSubPr>
              <m:e>
                <m:r>
                  <w:rPr>
                    <w:rFonts w:ascii="Cambria Math" w:hAnsi="Cambria Math" w:cs="Arial"/>
                  </w:rPr>
                  <m:t>λ</m:t>
                </m:r>
              </m:e>
              <m:sub>
                <m:r>
                  <w:rPr>
                    <w:rFonts w:ascii="Cambria Math" w:hAnsi="Cambria Math" w:cs="Arial"/>
                  </w:rPr>
                  <m:t>t</m:t>
                </m:r>
              </m:sub>
            </m:sSub>
            <m:r>
              <w:rPr>
                <w:rFonts w:ascii="Cambria Math" w:hAnsi="Cambria Math" w:cs="Arial"/>
              </w:rPr>
              <m:t>)</m:t>
            </m:r>
          </m:e>
        </m:nary>
      </m:oMath>
      <w:r w:rsidR="004D2C97">
        <w:rPr>
          <w:rFonts w:ascii="Arial" w:hAnsi="Arial" w:cs="Arial"/>
        </w:rPr>
        <w:t xml:space="preserve">  </w:t>
      </w:r>
    </w:p>
    <w:p w14:paraId="4C460554" w14:textId="77777777" w:rsidR="004D2C97" w:rsidRDefault="004D2C97" w:rsidP="0066301C">
      <w:pPr>
        <w:pStyle w:val="ListParagraph"/>
        <w:spacing w:line="360" w:lineRule="auto"/>
        <w:jc w:val="both"/>
        <w:rPr>
          <w:rFonts w:ascii="Arial" w:hAnsi="Arial" w:cs="Arial"/>
        </w:rPr>
      </w:pPr>
      <w:r>
        <w:rPr>
          <w:rFonts w:ascii="Arial" w:hAnsi="Arial" w:cs="Arial"/>
        </w:rPr>
        <w:t xml:space="preserve">Whereby T is the sample size and </w:t>
      </w:r>
      <m:oMath>
        <m:sSub>
          <m:sSubPr>
            <m:ctrlPr>
              <w:rPr>
                <w:rFonts w:ascii="Cambria Math" w:hAnsi="Cambria Math" w:cs="Arial"/>
                <w:i/>
              </w:rPr>
            </m:ctrlPr>
          </m:sSubPr>
          <m:e>
            <m:r>
              <w:rPr>
                <w:rFonts w:ascii="Cambria Math" w:hAnsi="Cambria Math" w:cs="Arial"/>
              </w:rPr>
              <m:t>λ</m:t>
            </m:r>
          </m:e>
          <m:sub>
            <m:r>
              <w:rPr>
                <w:rFonts w:ascii="Cambria Math" w:hAnsi="Cambria Math" w:cs="Arial"/>
              </w:rPr>
              <m:t>t</m:t>
            </m:r>
          </m:sub>
        </m:sSub>
      </m:oMath>
      <w:r>
        <w:rPr>
          <w:rFonts w:ascii="Arial" w:hAnsi="Arial" w:cs="Arial"/>
        </w:rPr>
        <w:t xml:space="preserve">is the </w:t>
      </w:r>
      <w:r>
        <w:rPr>
          <w:rFonts w:ascii="Arial" w:hAnsi="Arial" w:cs="Arial"/>
          <w:i/>
          <w:iCs/>
        </w:rPr>
        <w:t>i</w:t>
      </w:r>
      <w:r>
        <w:rPr>
          <w:rFonts w:ascii="Arial" w:hAnsi="Arial" w:cs="Arial"/>
        </w:rPr>
        <w:t xml:space="preserve">-th largest canonical correlation.  </w:t>
      </w:r>
    </w:p>
    <w:p w14:paraId="35474A0C" w14:textId="77777777" w:rsidR="004D2C97" w:rsidRDefault="004D2C97" w:rsidP="0066301C">
      <w:pPr>
        <w:pStyle w:val="ListParagraph"/>
        <w:numPr>
          <w:ilvl w:val="0"/>
          <w:numId w:val="12"/>
        </w:numPr>
        <w:spacing w:line="360" w:lineRule="auto"/>
        <w:jc w:val="both"/>
        <w:rPr>
          <w:rFonts w:ascii="Arial" w:hAnsi="Arial" w:cs="Arial"/>
        </w:rPr>
      </w:pPr>
      <w:r>
        <w:rPr>
          <w:rFonts w:ascii="Arial" w:hAnsi="Arial" w:cs="Arial"/>
        </w:rPr>
        <w:lastRenderedPageBreak/>
        <w:t xml:space="preserve">The Maximum eigenvalue tests the null hypothesis of </w:t>
      </w:r>
      <w:r>
        <w:rPr>
          <w:rFonts w:ascii="Arial" w:hAnsi="Arial" w:cs="Arial"/>
          <w:i/>
          <w:iCs/>
        </w:rPr>
        <w:t xml:space="preserve">r </w:t>
      </w:r>
      <w:r>
        <w:rPr>
          <w:rFonts w:ascii="Arial" w:hAnsi="Arial" w:cs="Arial"/>
        </w:rPr>
        <w:t xml:space="preserve">cointegrating vectors against the alternative hypothesis of </w:t>
      </w:r>
      <w:r>
        <w:rPr>
          <w:rFonts w:ascii="Arial" w:hAnsi="Arial" w:cs="Arial"/>
          <w:i/>
          <w:iCs/>
        </w:rPr>
        <w:t xml:space="preserve">r +1 </w:t>
      </w:r>
      <w:r>
        <w:rPr>
          <w:rFonts w:ascii="Arial" w:hAnsi="Arial" w:cs="Arial"/>
        </w:rPr>
        <w:t>cointegrating vectors:</w:t>
      </w:r>
    </w:p>
    <w:p w14:paraId="0AF082BB" w14:textId="77777777" w:rsidR="004D2C97" w:rsidRDefault="00000000" w:rsidP="0066301C">
      <w:pPr>
        <w:pStyle w:val="ListParagraph"/>
        <w:spacing w:line="360" w:lineRule="auto"/>
        <w:jc w:val="both"/>
        <w:rPr>
          <w:rFonts w:ascii="Arial" w:hAnsi="Arial" w:cs="Arial"/>
        </w:rPr>
      </w:pPr>
      <m:oMath>
        <m:sSub>
          <m:sSubPr>
            <m:ctrlPr>
              <w:rPr>
                <w:rFonts w:ascii="Cambria Math" w:hAnsi="Cambria Math" w:cs="Arial"/>
                <w:i/>
              </w:rPr>
            </m:ctrlPr>
          </m:sSubPr>
          <m:e>
            <m:r>
              <w:rPr>
                <w:rFonts w:ascii="Cambria Math" w:hAnsi="Cambria Math" w:cs="Arial"/>
              </w:rPr>
              <m:t>λ</m:t>
            </m:r>
          </m:e>
          <m:sub>
            <m:r>
              <w:rPr>
                <w:rFonts w:ascii="Cambria Math" w:hAnsi="Cambria Math" w:cs="Arial"/>
              </w:rPr>
              <m:t>max</m:t>
            </m:r>
          </m:sub>
        </m:sSub>
      </m:oMath>
      <w:r w:rsidR="004D2C97">
        <w:rPr>
          <w:rFonts w:ascii="Arial" w:hAnsi="Arial" w:cs="Arial"/>
        </w:rPr>
        <w:t xml:space="preserve"> = </w:t>
      </w:r>
      <m:oMath>
        <m:r>
          <m:rPr>
            <m:sty m:val="p"/>
          </m:rPr>
          <w:rPr>
            <w:rFonts w:ascii="Cambria Math" w:hAnsi="Cambria Math" w:cs="Arial"/>
          </w:rPr>
          <m:t>-</m:t>
        </m:r>
        <m:r>
          <w:rPr>
            <w:rFonts w:ascii="Cambria Math" w:hAnsi="Cambria Math" w:cs="Arial"/>
          </w:rPr>
          <m:t>T(1-</m:t>
        </m:r>
        <m:sSub>
          <m:sSubPr>
            <m:ctrlPr>
              <w:rPr>
                <w:rFonts w:ascii="Cambria Math" w:hAnsi="Cambria Math" w:cs="Arial"/>
                <w:i/>
              </w:rPr>
            </m:ctrlPr>
          </m:sSubPr>
          <m:e>
            <m:r>
              <w:rPr>
                <w:rFonts w:ascii="Cambria Math" w:hAnsi="Cambria Math" w:cs="Arial"/>
              </w:rPr>
              <m:t>λ</m:t>
            </m:r>
          </m:e>
          <m:sub>
            <m:r>
              <w:rPr>
                <w:rFonts w:ascii="Cambria Math" w:hAnsi="Cambria Math" w:cs="Arial"/>
              </w:rPr>
              <m:t>t</m:t>
            </m:r>
          </m:sub>
        </m:sSub>
        <m:r>
          <w:rPr>
            <w:rFonts w:ascii="Cambria Math" w:hAnsi="Cambria Math" w:cs="Arial"/>
          </w:rPr>
          <m:t>)</m:t>
        </m:r>
      </m:oMath>
    </w:p>
    <w:p w14:paraId="1963A9DE" w14:textId="47D407A4" w:rsidR="000A7016" w:rsidRPr="00650A6C" w:rsidRDefault="000A7016" w:rsidP="0066301C">
      <w:pPr>
        <w:spacing w:line="360" w:lineRule="auto"/>
        <w:jc w:val="both"/>
        <w:rPr>
          <w:rFonts w:ascii="Arial" w:hAnsi="Arial" w:cs="Arial"/>
        </w:rPr>
      </w:pPr>
      <w:r w:rsidRPr="00650A6C">
        <w:rPr>
          <w:rFonts w:ascii="Arial" w:hAnsi="Arial" w:cs="Arial"/>
        </w:rPr>
        <w:t>Thus, the Johansen cointegration test consists of detecting the number of cointegrating vectors between the dependent variable (REER) and the independent variables using statistical values like “Maximum Eigenvalue and/or Trace statistics.” If there exists a long-term relationship between the variables in the model, they are said to be cointegrated. Using the Johansen cointegration test in Eviews12, the Null and Alternative hypotheses are:</w:t>
      </w:r>
    </w:p>
    <w:p w14:paraId="1C461C3D" w14:textId="77777777" w:rsidR="00AE7F4C" w:rsidRPr="001016F9" w:rsidRDefault="00AE7F4C" w:rsidP="0066301C">
      <w:pPr>
        <w:pStyle w:val="ListParagraph"/>
        <w:autoSpaceDE w:val="0"/>
        <w:autoSpaceDN w:val="0"/>
        <w:adjustRightInd w:val="0"/>
        <w:ind w:left="0"/>
        <w:jc w:val="both"/>
        <w:rPr>
          <w:rFonts w:ascii="Arial" w:hAnsi="Arial" w:cs="Arial"/>
        </w:rPr>
      </w:pPr>
      <w:r w:rsidRPr="001016F9">
        <w:rPr>
          <w:rFonts w:ascii="Arial" w:hAnsi="Arial" w:cs="Arial"/>
        </w:rPr>
        <w:t>H</w:t>
      </w:r>
      <w:r w:rsidRPr="001016F9">
        <w:rPr>
          <w:rFonts w:ascii="Arial" w:hAnsi="Arial" w:cs="Arial"/>
          <w:vertAlign w:val="subscript"/>
        </w:rPr>
        <w:t>o</w:t>
      </w:r>
      <w:r w:rsidRPr="001016F9">
        <w:rPr>
          <w:rFonts w:ascii="Arial" w:hAnsi="Arial" w:cs="Arial"/>
        </w:rPr>
        <w:t>: no cointegrating equation</w:t>
      </w:r>
      <w:r>
        <w:rPr>
          <w:rFonts w:ascii="Arial" w:hAnsi="Arial" w:cs="Arial"/>
        </w:rPr>
        <w:t xml:space="preserve">, (i.e., </w:t>
      </w:r>
      <w:r>
        <w:rPr>
          <w:rFonts w:ascii="Arial" w:hAnsi="Arial" w:cs="Arial"/>
          <w:i/>
        </w:rPr>
        <w:t>p</w:t>
      </w:r>
      <w:r>
        <w:rPr>
          <w:rFonts w:ascii="Arial" w:hAnsi="Arial" w:cs="Arial"/>
        </w:rPr>
        <w:t>-value &gt; 0.5)</w:t>
      </w:r>
    </w:p>
    <w:p w14:paraId="48B619BD" w14:textId="77777777" w:rsidR="00AE7F4C" w:rsidRPr="001016F9" w:rsidRDefault="00AE7F4C" w:rsidP="0066301C">
      <w:pPr>
        <w:pStyle w:val="ListParagraph"/>
        <w:autoSpaceDE w:val="0"/>
        <w:autoSpaceDN w:val="0"/>
        <w:adjustRightInd w:val="0"/>
        <w:spacing w:line="360" w:lineRule="auto"/>
        <w:ind w:left="0"/>
        <w:jc w:val="both"/>
        <w:rPr>
          <w:rFonts w:ascii="Arial" w:hAnsi="Arial" w:cs="Arial"/>
        </w:rPr>
      </w:pPr>
      <w:r w:rsidRPr="001016F9">
        <w:rPr>
          <w:rFonts w:ascii="Arial" w:hAnsi="Arial" w:cs="Arial"/>
        </w:rPr>
        <w:t>H</w:t>
      </w:r>
      <w:r w:rsidRPr="001016F9">
        <w:rPr>
          <w:rFonts w:ascii="Arial" w:hAnsi="Arial" w:cs="Arial"/>
          <w:vertAlign w:val="subscript"/>
        </w:rPr>
        <w:t>1</w:t>
      </w:r>
      <w:r w:rsidRPr="001016F9">
        <w:rPr>
          <w:rFonts w:ascii="Arial" w:hAnsi="Arial" w:cs="Arial"/>
        </w:rPr>
        <w:t>: cointegrating equation</w:t>
      </w:r>
      <w:r>
        <w:rPr>
          <w:rFonts w:ascii="Arial" w:hAnsi="Arial" w:cs="Arial"/>
        </w:rPr>
        <w:t xml:space="preserve">, (i.e., </w:t>
      </w:r>
      <w:r>
        <w:rPr>
          <w:rFonts w:ascii="Arial" w:hAnsi="Arial" w:cs="Arial"/>
          <w:i/>
        </w:rPr>
        <w:t>p</w:t>
      </w:r>
      <w:r>
        <w:rPr>
          <w:rFonts w:ascii="Arial" w:hAnsi="Arial" w:cs="Arial"/>
        </w:rPr>
        <w:t>-value &lt; 0.5)</w:t>
      </w:r>
      <w:r w:rsidRPr="001016F9">
        <w:rPr>
          <w:rFonts w:ascii="Arial" w:hAnsi="Arial" w:cs="Arial"/>
        </w:rPr>
        <w:t xml:space="preserve"> (H</w:t>
      </w:r>
      <w:r w:rsidRPr="001016F9">
        <w:rPr>
          <w:rFonts w:ascii="Arial" w:hAnsi="Arial" w:cs="Arial"/>
          <w:vertAlign w:val="subscript"/>
        </w:rPr>
        <w:t>o</w:t>
      </w:r>
      <w:r w:rsidRPr="001016F9">
        <w:rPr>
          <w:rFonts w:ascii="Arial" w:hAnsi="Arial" w:cs="Arial"/>
        </w:rPr>
        <w:t xml:space="preserve"> is not true).</w:t>
      </w:r>
    </w:p>
    <w:p w14:paraId="0D064FBD" w14:textId="77777777" w:rsidR="00AE7F4C" w:rsidRPr="001016F9" w:rsidRDefault="00AE7F4C" w:rsidP="0066301C">
      <w:pPr>
        <w:pStyle w:val="ListParagraph"/>
        <w:autoSpaceDE w:val="0"/>
        <w:autoSpaceDN w:val="0"/>
        <w:adjustRightInd w:val="0"/>
        <w:spacing w:line="360" w:lineRule="auto"/>
        <w:ind w:left="0"/>
        <w:jc w:val="both"/>
        <w:rPr>
          <w:rFonts w:ascii="Arial" w:hAnsi="Arial" w:cs="Arial"/>
          <w:b/>
        </w:rPr>
      </w:pPr>
      <w:r w:rsidRPr="001016F9">
        <w:rPr>
          <w:rFonts w:ascii="Arial" w:hAnsi="Arial" w:cs="Arial"/>
          <w:b/>
        </w:rPr>
        <w:t xml:space="preserve">Decision criteria </w:t>
      </w:r>
    </w:p>
    <w:p w14:paraId="462DC49A" w14:textId="77777777" w:rsidR="00AE7F4C" w:rsidRPr="001016F9" w:rsidRDefault="00AE7F4C" w:rsidP="0066301C">
      <w:pPr>
        <w:pStyle w:val="ListParagraph"/>
        <w:autoSpaceDE w:val="0"/>
        <w:autoSpaceDN w:val="0"/>
        <w:adjustRightInd w:val="0"/>
        <w:spacing w:line="360" w:lineRule="auto"/>
        <w:ind w:left="0"/>
        <w:jc w:val="both"/>
        <w:rPr>
          <w:rFonts w:ascii="Arial" w:hAnsi="Arial" w:cs="Arial"/>
        </w:rPr>
      </w:pPr>
      <w:r w:rsidRPr="001016F9">
        <w:rPr>
          <w:rFonts w:ascii="Arial" w:hAnsi="Arial" w:cs="Arial"/>
        </w:rPr>
        <w:t xml:space="preserve">Rejection at 5% level. </w:t>
      </w:r>
    </w:p>
    <w:p w14:paraId="13E52878" w14:textId="77777777" w:rsidR="00334D1B" w:rsidRPr="00650A6C" w:rsidRDefault="00334D1B" w:rsidP="0066301C">
      <w:pPr>
        <w:spacing w:line="360" w:lineRule="auto"/>
        <w:jc w:val="both"/>
        <w:rPr>
          <w:rFonts w:ascii="Arial" w:hAnsi="Arial" w:cs="Arial"/>
        </w:rPr>
      </w:pPr>
      <w:r w:rsidRPr="00650A6C">
        <w:rPr>
          <w:rFonts w:ascii="Arial" w:hAnsi="Arial" w:cs="Arial"/>
        </w:rPr>
        <w:t>The null hypothesis is rejected if the value of the Trace statistic and Maximum Eigenvalue statistics are greater than that of the 5% critical value and the </w:t>
      </w:r>
      <w:r w:rsidRPr="00650A6C">
        <w:rPr>
          <w:rStyle w:val="Emphasis"/>
          <w:rFonts w:ascii="Arial" w:hAnsi="Arial" w:cs="Arial"/>
          <w:color w:val="0E101A"/>
        </w:rPr>
        <w:t>p-</w:t>
      </w:r>
      <w:r w:rsidRPr="00650A6C">
        <w:rPr>
          <w:rFonts w:ascii="Arial" w:hAnsi="Arial" w:cs="Arial"/>
        </w:rPr>
        <w:t>value &lt;0.05. That is, there is cointegration, or there exists a long-term relationship among the variables in the model, and the alternative hypothesis is selected. Otherwise, the null hypothesis is not rejected, meaning that there is no long-term relationship among the variables used in the model. </w:t>
      </w:r>
    </w:p>
    <w:p w14:paraId="594E3C77" w14:textId="77777777" w:rsidR="00334D1B" w:rsidRPr="00650A6C" w:rsidRDefault="00334D1B" w:rsidP="0066301C">
      <w:pPr>
        <w:spacing w:line="360" w:lineRule="auto"/>
        <w:jc w:val="both"/>
        <w:rPr>
          <w:rFonts w:ascii="Arial" w:hAnsi="Arial" w:cs="Arial"/>
        </w:rPr>
      </w:pPr>
      <w:r w:rsidRPr="00650A6C">
        <w:rPr>
          <w:rFonts w:ascii="Arial" w:hAnsi="Arial" w:cs="Arial"/>
        </w:rPr>
        <w:t xml:space="preserve">In case the series are cointegrated, it means they exhibit a long-term relationship. That is, even if there were shocks in the short-term that may affect movement in individual series, they will, with time (in the long-term), converge (get back to the equilibrium). </w:t>
      </w:r>
      <w:bookmarkStart w:id="147" w:name="_Hlk170835616"/>
      <w:r w:rsidRPr="00650A6C">
        <w:rPr>
          <w:rFonts w:ascii="Arial" w:hAnsi="Arial" w:cs="Arial"/>
        </w:rPr>
        <w:t>Hence, estimate both short-term and long-term models. The appropriate estimation techniques are the vector autoregressive (VAR) and vector error correction models (VECM). If series are cointegrated, the restricted VAR (vector error correction model – VECM) is used. Whereas, if the series is not cointegrated (that is, they do not exhibit a long-term relationship), the unrestricted VAR model will be used and not the VECM. </w:t>
      </w:r>
    </w:p>
    <w:bookmarkEnd w:id="147"/>
    <w:p w14:paraId="05579F79" w14:textId="77777777" w:rsidR="002D1C00" w:rsidRPr="00650A6C" w:rsidRDefault="002D1C00" w:rsidP="0066301C">
      <w:pPr>
        <w:spacing w:line="360" w:lineRule="auto"/>
        <w:jc w:val="both"/>
        <w:rPr>
          <w:rFonts w:ascii="Arial" w:hAnsi="Arial" w:cs="Arial"/>
        </w:rPr>
      </w:pPr>
      <w:r w:rsidRPr="00650A6C">
        <w:rPr>
          <w:rFonts w:ascii="Arial" w:hAnsi="Arial" w:cs="Arial"/>
        </w:rPr>
        <w:t>The unrestricted VAR shows the relationship between the variables in the short term. That is, it shows the short-term response of the REER to changes or shocks in the independent variables and does not deal with the long-term relationship, as seen below.</w:t>
      </w:r>
    </w:p>
    <w:p w14:paraId="0D8D8A93" w14:textId="02255A30" w:rsidR="002D1C00" w:rsidRDefault="00000000" w:rsidP="0066301C">
      <w:pPr>
        <w:autoSpaceDE w:val="0"/>
        <w:autoSpaceDN w:val="0"/>
        <w:adjustRightInd w:val="0"/>
        <w:spacing w:after="200" w:line="360" w:lineRule="auto"/>
        <w:jc w:val="both"/>
        <w:rPr>
          <w:rFonts w:ascii="Arial" w:hAnsi="Arial" w:cs="Arial"/>
        </w:rPr>
      </w:pPr>
      <m:oMath>
        <m:sSub>
          <m:sSubPr>
            <m:ctrlPr>
              <w:rPr>
                <w:rFonts w:ascii="Cambria Math" w:hAnsi="Cambria Math" w:cs="Arial"/>
                <w:i/>
              </w:rPr>
            </m:ctrlPr>
          </m:sSubPr>
          <m:e>
            <m:r>
              <w:rPr>
                <w:rFonts w:ascii="Cambria Math" w:hAnsi="Cambria Math" w:cs="Arial"/>
              </w:rPr>
              <m:t>y</m:t>
            </m:r>
          </m:e>
          <m:sub>
            <m:r>
              <w:rPr>
                <w:rFonts w:ascii="Cambria Math" w:hAnsi="Cambria Math" w:cs="Arial"/>
              </w:rPr>
              <m:t>t</m:t>
            </m:r>
          </m:sub>
        </m:sSub>
        <m:r>
          <w:rPr>
            <w:rFonts w:ascii="Cambria Math" w:hAnsi="Cambria Math" w:cs="Arial"/>
          </w:rPr>
          <m:t>=</m:t>
        </m:r>
        <m:sSub>
          <m:sSubPr>
            <m:ctrlPr>
              <w:rPr>
                <w:rFonts w:ascii="Cambria Math" w:hAnsi="Cambria Math" w:cs="Arial"/>
                <w:i/>
              </w:rPr>
            </m:ctrlPr>
          </m:sSubPr>
          <m:e>
            <m:r>
              <w:rPr>
                <w:rFonts w:ascii="Cambria Math" w:hAnsi="Cambria Math" w:cs="Arial"/>
              </w:rPr>
              <m:t>α</m:t>
            </m:r>
          </m:e>
          <m:sub>
            <m:r>
              <w:rPr>
                <w:rFonts w:ascii="Cambria Math" w:hAnsi="Cambria Math" w:cs="Arial"/>
              </w:rPr>
              <m:t>0</m:t>
            </m:r>
          </m:sub>
        </m:sSub>
        <m:r>
          <w:rPr>
            <w:rFonts w:ascii="Cambria Math" w:hAnsi="Cambria Math" w:cs="Arial"/>
          </w:rPr>
          <m:t>+</m:t>
        </m:r>
        <m:nary>
          <m:naryPr>
            <m:chr m:val="∑"/>
            <m:limLoc m:val="undOvr"/>
            <m:ctrlPr>
              <w:rPr>
                <w:rFonts w:ascii="Cambria Math" w:hAnsi="Cambria Math" w:cs="Arial"/>
              </w:rPr>
            </m:ctrlPr>
          </m:naryPr>
          <m:sub>
            <m:r>
              <w:rPr>
                <w:rFonts w:ascii="Cambria Math" w:hAnsi="Cambria Math" w:cs="Arial"/>
              </w:rPr>
              <m:t>i</m:t>
            </m:r>
            <m:r>
              <m:rPr>
                <m:sty m:val="p"/>
              </m:rPr>
              <w:rPr>
                <w:rFonts w:ascii="Cambria Math" w:hAnsi="Cambria Math" w:cs="Arial"/>
              </w:rPr>
              <m:t>=1</m:t>
            </m:r>
          </m:sub>
          <m:sup>
            <m:r>
              <w:rPr>
                <w:rFonts w:ascii="Cambria Math" w:hAnsi="Cambria Math" w:cs="Arial"/>
              </w:rPr>
              <m:t>k</m:t>
            </m:r>
          </m:sup>
          <m:e>
            <m:sSub>
              <m:sSubPr>
                <m:ctrlPr>
                  <w:rPr>
                    <w:rFonts w:ascii="Cambria Math" w:hAnsi="Cambria Math" w:cs="Arial"/>
                  </w:rPr>
                </m:ctrlPr>
              </m:sSubPr>
              <m:e>
                <m:sSub>
                  <m:sSubPr>
                    <m:ctrlPr>
                      <w:rPr>
                        <w:rFonts w:ascii="Cambria Math" w:hAnsi="Cambria Math" w:cs="Arial"/>
                      </w:rPr>
                    </m:ctrlPr>
                  </m:sSubPr>
                  <m:e>
                    <m:r>
                      <w:rPr>
                        <w:rFonts w:ascii="Cambria Math" w:hAnsi="Cambria Math" w:cs="Arial"/>
                      </w:rPr>
                      <m:t>α</m:t>
                    </m:r>
                  </m:e>
                  <m:sub>
                    <m:r>
                      <m:rPr>
                        <m:sty m:val="p"/>
                      </m:rPr>
                      <w:rPr>
                        <w:rFonts w:ascii="Cambria Math" w:hAnsi="Cambria Math" w:cs="Arial"/>
                        <w:vertAlign w:val="subscript"/>
                      </w:rPr>
                      <m:t>1</m:t>
                    </m:r>
                  </m:sub>
                </m:sSub>
                <m:r>
                  <w:rPr>
                    <w:rFonts w:ascii="Cambria Math" w:hAnsi="Cambria Math" w:cs="Arial"/>
                  </w:rPr>
                  <m:t>y</m:t>
                </m:r>
              </m:e>
              <m:sub>
                <m:r>
                  <w:rPr>
                    <w:rFonts w:ascii="Cambria Math" w:hAnsi="Cambria Math" w:cs="Arial"/>
                    <w:vertAlign w:val="subscript"/>
                  </w:rPr>
                  <m:t>t</m:t>
                </m:r>
                <m:r>
                  <m:rPr>
                    <m:sty m:val="p"/>
                  </m:rPr>
                  <w:rPr>
                    <w:rFonts w:ascii="Cambria Math" w:hAnsi="Cambria Math" w:cs="Arial"/>
                    <w:vertAlign w:val="subscript"/>
                  </w:rPr>
                  <m:t>-</m:t>
                </m:r>
                <m:r>
                  <w:rPr>
                    <w:rFonts w:ascii="Cambria Math" w:hAnsi="Cambria Math" w:cs="Arial"/>
                    <w:vertAlign w:val="subscript"/>
                  </w:rPr>
                  <m:t>i</m:t>
                </m:r>
              </m:sub>
            </m:sSub>
          </m:e>
        </m:nary>
        <m:r>
          <m:rPr>
            <m:sty m:val="p"/>
          </m:rPr>
          <w:rPr>
            <w:rFonts w:ascii="Cambria Math" w:hAnsi="Cambria Math" w:cs="Arial"/>
          </w:rPr>
          <m:t xml:space="preserve">+ </m:t>
        </m:r>
        <m:nary>
          <m:naryPr>
            <m:chr m:val="∑"/>
            <m:limLoc m:val="undOvr"/>
            <m:ctrlPr>
              <w:rPr>
                <w:rFonts w:ascii="Cambria Math" w:hAnsi="Cambria Math" w:cs="Arial"/>
              </w:rPr>
            </m:ctrlPr>
          </m:naryPr>
          <m:sub>
            <m:r>
              <w:rPr>
                <w:rFonts w:ascii="Cambria Math" w:hAnsi="Cambria Math" w:cs="Arial"/>
              </w:rPr>
              <m:t>i</m:t>
            </m:r>
            <m:r>
              <m:rPr>
                <m:sty m:val="p"/>
              </m:rPr>
              <w:rPr>
                <w:rFonts w:ascii="Cambria Math" w:hAnsi="Cambria Math" w:cs="Arial"/>
              </w:rPr>
              <m:t>=1</m:t>
            </m:r>
          </m:sub>
          <m:sup>
            <m:r>
              <w:rPr>
                <w:rFonts w:ascii="Cambria Math" w:hAnsi="Cambria Math" w:cs="Arial"/>
              </w:rPr>
              <m:t>k</m:t>
            </m:r>
          </m:sup>
          <m:e>
            <m:sSub>
              <m:sSubPr>
                <m:ctrlPr>
                  <w:rPr>
                    <w:rFonts w:ascii="Cambria Math" w:hAnsi="Cambria Math" w:cs="Arial"/>
                  </w:rPr>
                </m:ctrlPr>
              </m:sSubPr>
              <m:e>
                <m:sSub>
                  <m:sSubPr>
                    <m:ctrlPr>
                      <w:rPr>
                        <w:rFonts w:ascii="Cambria Math" w:hAnsi="Cambria Math" w:cs="Arial"/>
                      </w:rPr>
                    </m:ctrlPr>
                  </m:sSubPr>
                  <m:e>
                    <m:r>
                      <w:rPr>
                        <w:rFonts w:ascii="Cambria Math" w:hAnsi="Cambria Math" w:cs="Arial"/>
                      </w:rPr>
                      <m:t>α</m:t>
                    </m:r>
                  </m:e>
                  <m:sub>
                    <m:r>
                      <m:rPr>
                        <m:sty m:val="p"/>
                      </m:rPr>
                      <w:rPr>
                        <w:rFonts w:ascii="Cambria Math" w:hAnsi="Cambria Math" w:cs="Arial"/>
                        <w:vertAlign w:val="subscript"/>
                      </w:rPr>
                      <m:t>2</m:t>
                    </m:r>
                  </m:sub>
                </m:sSub>
                <m:r>
                  <w:rPr>
                    <w:rFonts w:ascii="Cambria Math" w:hAnsi="Cambria Math" w:cs="Arial"/>
                  </w:rPr>
                  <m:t>z</m:t>
                </m:r>
              </m:e>
              <m:sub>
                <m:r>
                  <w:rPr>
                    <w:rFonts w:ascii="Cambria Math" w:hAnsi="Cambria Math" w:cs="Arial"/>
                    <w:vertAlign w:val="subscript"/>
                  </w:rPr>
                  <m:t>t</m:t>
                </m:r>
                <m:r>
                  <m:rPr>
                    <m:sty m:val="p"/>
                  </m:rPr>
                  <w:rPr>
                    <w:rFonts w:ascii="Cambria Math" w:hAnsi="Cambria Math" w:cs="Arial"/>
                    <w:vertAlign w:val="subscript"/>
                  </w:rPr>
                  <m:t>-</m:t>
                </m:r>
                <m:r>
                  <w:rPr>
                    <w:rFonts w:ascii="Cambria Math" w:hAnsi="Cambria Math" w:cs="Arial"/>
                    <w:vertAlign w:val="subscript"/>
                  </w:rPr>
                  <m:t>i</m:t>
                </m:r>
              </m:sub>
            </m:sSub>
          </m:e>
        </m:nary>
        <m:r>
          <m:rPr>
            <m:sty m:val="p"/>
          </m:rPr>
          <w:rPr>
            <w:rFonts w:ascii="Cambria Math" w:hAnsi="Cambria Math" w:cs="Arial"/>
          </w:rPr>
          <m:t xml:space="preserve"> + </m:t>
        </m:r>
        <m:nary>
          <m:naryPr>
            <m:chr m:val="∑"/>
            <m:limLoc m:val="undOvr"/>
            <m:ctrlPr>
              <w:rPr>
                <w:rFonts w:ascii="Cambria Math" w:hAnsi="Cambria Math" w:cs="Arial"/>
              </w:rPr>
            </m:ctrlPr>
          </m:naryPr>
          <m:sub>
            <m:r>
              <w:rPr>
                <w:rFonts w:ascii="Cambria Math" w:hAnsi="Cambria Math" w:cs="Arial"/>
              </w:rPr>
              <m:t>i</m:t>
            </m:r>
            <m:r>
              <m:rPr>
                <m:sty m:val="p"/>
              </m:rPr>
              <w:rPr>
                <w:rFonts w:ascii="Cambria Math" w:hAnsi="Cambria Math" w:cs="Arial"/>
              </w:rPr>
              <m:t>=1</m:t>
            </m:r>
          </m:sub>
          <m:sup>
            <m:r>
              <w:rPr>
                <w:rFonts w:ascii="Cambria Math" w:hAnsi="Cambria Math" w:cs="Arial"/>
              </w:rPr>
              <m:t>k</m:t>
            </m:r>
          </m:sup>
          <m:e>
            <m:sSub>
              <m:sSubPr>
                <m:ctrlPr>
                  <w:rPr>
                    <w:rFonts w:ascii="Cambria Math" w:hAnsi="Cambria Math" w:cs="Arial"/>
                  </w:rPr>
                </m:ctrlPr>
              </m:sSubPr>
              <m:e>
                <m:sSub>
                  <m:sSubPr>
                    <m:ctrlPr>
                      <w:rPr>
                        <w:rFonts w:ascii="Cambria Math" w:hAnsi="Cambria Math" w:cs="Arial"/>
                      </w:rPr>
                    </m:ctrlPr>
                  </m:sSubPr>
                  <m:e>
                    <m:r>
                      <w:rPr>
                        <w:rFonts w:ascii="Cambria Math" w:hAnsi="Cambria Math" w:cs="Arial"/>
                      </w:rPr>
                      <m:t>α</m:t>
                    </m:r>
                  </m:e>
                  <m:sub>
                    <m:r>
                      <m:rPr>
                        <m:sty m:val="p"/>
                      </m:rPr>
                      <w:rPr>
                        <w:rFonts w:ascii="Cambria Math" w:hAnsi="Cambria Math" w:cs="Arial"/>
                        <w:vertAlign w:val="subscript"/>
                      </w:rPr>
                      <m:t>3</m:t>
                    </m:r>
                  </m:sub>
                </m:sSub>
                <m:r>
                  <w:rPr>
                    <w:rFonts w:ascii="Cambria Math" w:hAnsi="Cambria Math" w:cs="Arial"/>
                  </w:rPr>
                  <m:t>x</m:t>
                </m:r>
              </m:e>
              <m:sub>
                <m:r>
                  <w:rPr>
                    <w:rFonts w:ascii="Cambria Math" w:hAnsi="Cambria Math" w:cs="Arial"/>
                    <w:vertAlign w:val="subscript"/>
                  </w:rPr>
                  <m:t>t</m:t>
                </m:r>
                <m:r>
                  <m:rPr>
                    <m:sty m:val="p"/>
                  </m:rPr>
                  <w:rPr>
                    <w:rFonts w:ascii="Cambria Math" w:hAnsi="Cambria Math" w:cs="Arial"/>
                    <w:vertAlign w:val="subscript"/>
                  </w:rPr>
                  <m:t>-</m:t>
                </m:r>
                <m:r>
                  <w:rPr>
                    <w:rFonts w:ascii="Cambria Math" w:hAnsi="Cambria Math" w:cs="Arial"/>
                    <w:vertAlign w:val="subscript"/>
                  </w:rPr>
                  <m:t>i</m:t>
                </m:r>
              </m:sub>
            </m:sSub>
          </m:e>
        </m:nary>
        <m:r>
          <m:rPr>
            <m:sty m:val="p"/>
          </m:rPr>
          <w:rPr>
            <w:rFonts w:ascii="Cambria Math" w:hAnsi="Cambria Math" w:cs="Arial"/>
          </w:rPr>
          <m:t xml:space="preserve"> + </m:t>
        </m:r>
        <m:nary>
          <m:naryPr>
            <m:chr m:val="∑"/>
            <m:limLoc m:val="undOvr"/>
            <m:ctrlPr>
              <w:rPr>
                <w:rFonts w:ascii="Cambria Math" w:hAnsi="Cambria Math" w:cs="Arial"/>
              </w:rPr>
            </m:ctrlPr>
          </m:naryPr>
          <m:sub>
            <m:r>
              <w:rPr>
                <w:rFonts w:ascii="Cambria Math" w:hAnsi="Cambria Math" w:cs="Arial"/>
              </w:rPr>
              <m:t>i</m:t>
            </m:r>
            <m:r>
              <m:rPr>
                <m:sty m:val="p"/>
              </m:rPr>
              <w:rPr>
                <w:rFonts w:ascii="Cambria Math" w:hAnsi="Cambria Math" w:cs="Arial"/>
              </w:rPr>
              <m:t>=1</m:t>
            </m:r>
          </m:sub>
          <m:sup>
            <m:r>
              <w:rPr>
                <w:rFonts w:ascii="Cambria Math" w:hAnsi="Cambria Math" w:cs="Arial"/>
              </w:rPr>
              <m:t>k</m:t>
            </m:r>
          </m:sup>
          <m:e>
            <m:sSub>
              <m:sSubPr>
                <m:ctrlPr>
                  <w:rPr>
                    <w:rFonts w:ascii="Cambria Math" w:hAnsi="Cambria Math" w:cs="Arial"/>
                  </w:rPr>
                </m:ctrlPr>
              </m:sSubPr>
              <m:e>
                <m:sSub>
                  <m:sSubPr>
                    <m:ctrlPr>
                      <w:rPr>
                        <w:rFonts w:ascii="Cambria Math" w:hAnsi="Cambria Math" w:cs="Arial"/>
                      </w:rPr>
                    </m:ctrlPr>
                  </m:sSubPr>
                  <m:e>
                    <m:r>
                      <w:rPr>
                        <w:rFonts w:ascii="Cambria Math" w:hAnsi="Cambria Math" w:cs="Arial"/>
                      </w:rPr>
                      <m:t>α</m:t>
                    </m:r>
                  </m:e>
                  <m:sub>
                    <m:r>
                      <m:rPr>
                        <m:sty m:val="p"/>
                      </m:rPr>
                      <w:rPr>
                        <w:rFonts w:ascii="Cambria Math" w:hAnsi="Cambria Math" w:cs="Arial"/>
                        <w:vertAlign w:val="subscript"/>
                      </w:rPr>
                      <m:t>4</m:t>
                    </m:r>
                  </m:sub>
                </m:sSub>
                <m:r>
                  <w:rPr>
                    <w:rFonts w:ascii="Cambria Math" w:hAnsi="Cambria Math" w:cs="Arial"/>
                  </w:rPr>
                  <m:t>m</m:t>
                </m:r>
              </m:e>
              <m:sub>
                <m:r>
                  <w:rPr>
                    <w:rFonts w:ascii="Cambria Math" w:hAnsi="Cambria Math" w:cs="Arial"/>
                    <w:vertAlign w:val="subscript"/>
                  </w:rPr>
                  <m:t>t</m:t>
                </m:r>
                <m:r>
                  <m:rPr>
                    <m:sty m:val="p"/>
                  </m:rPr>
                  <w:rPr>
                    <w:rFonts w:ascii="Cambria Math" w:hAnsi="Cambria Math" w:cs="Arial"/>
                    <w:vertAlign w:val="subscript"/>
                  </w:rPr>
                  <m:t>-</m:t>
                </m:r>
                <m:r>
                  <w:rPr>
                    <w:rFonts w:ascii="Cambria Math" w:hAnsi="Cambria Math" w:cs="Arial"/>
                    <w:vertAlign w:val="subscript"/>
                  </w:rPr>
                  <m:t>i</m:t>
                </m:r>
              </m:sub>
            </m:sSub>
          </m:e>
        </m:nary>
        <m:r>
          <m:rPr>
            <m:sty m:val="p"/>
          </m:rPr>
          <w:rPr>
            <w:rFonts w:ascii="Cambria Math" w:hAnsi="Cambria Math" w:cs="Arial"/>
          </w:rPr>
          <m:t xml:space="preserve">+ </m:t>
        </m:r>
        <m:nary>
          <m:naryPr>
            <m:chr m:val="∑"/>
            <m:limLoc m:val="undOvr"/>
            <m:ctrlPr>
              <w:rPr>
                <w:rFonts w:ascii="Cambria Math" w:hAnsi="Cambria Math" w:cs="Arial"/>
              </w:rPr>
            </m:ctrlPr>
          </m:naryPr>
          <m:sub>
            <m:r>
              <w:rPr>
                <w:rFonts w:ascii="Cambria Math" w:hAnsi="Cambria Math" w:cs="Arial"/>
              </w:rPr>
              <m:t>i</m:t>
            </m:r>
            <m:r>
              <m:rPr>
                <m:sty m:val="p"/>
              </m:rPr>
              <w:rPr>
                <w:rFonts w:ascii="Cambria Math" w:hAnsi="Cambria Math" w:cs="Arial"/>
              </w:rPr>
              <m:t>=1</m:t>
            </m:r>
          </m:sub>
          <m:sup>
            <m:r>
              <w:rPr>
                <w:rFonts w:ascii="Cambria Math" w:hAnsi="Cambria Math" w:cs="Arial"/>
              </w:rPr>
              <m:t>k</m:t>
            </m:r>
          </m:sup>
          <m:e>
            <m:sSub>
              <m:sSubPr>
                <m:ctrlPr>
                  <w:rPr>
                    <w:rFonts w:ascii="Cambria Math" w:hAnsi="Cambria Math" w:cs="Arial"/>
                  </w:rPr>
                </m:ctrlPr>
              </m:sSubPr>
              <m:e>
                <m:sSub>
                  <m:sSubPr>
                    <m:ctrlPr>
                      <w:rPr>
                        <w:rFonts w:ascii="Cambria Math" w:hAnsi="Cambria Math" w:cs="Arial"/>
                      </w:rPr>
                    </m:ctrlPr>
                  </m:sSubPr>
                  <m:e>
                    <m:r>
                      <w:rPr>
                        <w:rFonts w:ascii="Cambria Math" w:hAnsi="Cambria Math" w:cs="Arial"/>
                      </w:rPr>
                      <m:t>α</m:t>
                    </m:r>
                  </m:e>
                  <m:sub>
                    <m:r>
                      <m:rPr>
                        <m:sty m:val="p"/>
                      </m:rPr>
                      <w:rPr>
                        <w:rFonts w:ascii="Cambria Math" w:hAnsi="Cambria Math" w:cs="Arial"/>
                      </w:rPr>
                      <m:t>5</m:t>
                    </m:r>
                  </m:sub>
                </m:sSub>
                <m:r>
                  <w:rPr>
                    <w:rFonts w:ascii="Cambria Math" w:hAnsi="Cambria Math" w:cs="Arial"/>
                  </w:rPr>
                  <m:t>n</m:t>
                </m:r>
              </m:e>
              <m:sub>
                <m:r>
                  <w:rPr>
                    <w:rFonts w:ascii="Cambria Math" w:hAnsi="Cambria Math" w:cs="Arial"/>
                    <w:vertAlign w:val="subscript"/>
                  </w:rPr>
                  <m:t>t</m:t>
                </m:r>
                <m:r>
                  <m:rPr>
                    <m:sty m:val="p"/>
                  </m:rPr>
                  <w:rPr>
                    <w:rFonts w:ascii="Cambria Math" w:hAnsi="Cambria Math" w:cs="Arial"/>
                    <w:vertAlign w:val="subscript"/>
                  </w:rPr>
                  <m:t>-</m:t>
                </m:r>
                <m:r>
                  <w:rPr>
                    <w:rFonts w:ascii="Cambria Math" w:hAnsi="Cambria Math" w:cs="Arial"/>
                    <w:vertAlign w:val="subscript"/>
                  </w:rPr>
                  <m:t>i</m:t>
                </m:r>
              </m:sub>
            </m:sSub>
          </m:e>
        </m:nary>
        <m:r>
          <m:rPr>
            <m:sty m:val="p"/>
          </m:rPr>
          <w:rPr>
            <w:rFonts w:ascii="Cambria Math" w:hAnsi="Cambria Math" w:cs="Arial"/>
          </w:rPr>
          <m:t>+</m:t>
        </m:r>
        <m:nary>
          <m:naryPr>
            <m:chr m:val="∑"/>
            <m:limLoc m:val="undOvr"/>
            <m:ctrlPr>
              <w:rPr>
                <w:rFonts w:ascii="Cambria Math" w:hAnsi="Cambria Math" w:cs="Arial"/>
              </w:rPr>
            </m:ctrlPr>
          </m:naryPr>
          <m:sub>
            <m:r>
              <w:rPr>
                <w:rFonts w:ascii="Cambria Math" w:hAnsi="Cambria Math" w:cs="Arial"/>
              </w:rPr>
              <m:t>i</m:t>
            </m:r>
            <m:r>
              <m:rPr>
                <m:sty m:val="p"/>
              </m:rPr>
              <w:rPr>
                <w:rFonts w:ascii="Cambria Math" w:hAnsi="Cambria Math" w:cs="Arial"/>
              </w:rPr>
              <m:t>=1</m:t>
            </m:r>
          </m:sub>
          <m:sup>
            <m:r>
              <w:rPr>
                <w:rFonts w:ascii="Cambria Math" w:hAnsi="Cambria Math" w:cs="Arial"/>
              </w:rPr>
              <m:t>k</m:t>
            </m:r>
          </m:sup>
          <m:e>
            <m:sSub>
              <m:sSubPr>
                <m:ctrlPr>
                  <w:rPr>
                    <w:rFonts w:ascii="Cambria Math" w:hAnsi="Cambria Math" w:cs="Arial"/>
                  </w:rPr>
                </m:ctrlPr>
              </m:sSubPr>
              <m:e>
                <m:sSub>
                  <m:sSubPr>
                    <m:ctrlPr>
                      <w:rPr>
                        <w:rFonts w:ascii="Cambria Math" w:hAnsi="Cambria Math" w:cs="Arial"/>
                      </w:rPr>
                    </m:ctrlPr>
                  </m:sSubPr>
                  <m:e>
                    <m:r>
                      <w:rPr>
                        <w:rFonts w:ascii="Cambria Math" w:hAnsi="Cambria Math" w:cs="Arial"/>
                      </w:rPr>
                      <m:t>α</m:t>
                    </m:r>
                  </m:e>
                  <m:sub>
                    <m:r>
                      <m:rPr>
                        <m:sty m:val="p"/>
                      </m:rPr>
                      <w:rPr>
                        <w:rFonts w:ascii="Cambria Math" w:hAnsi="Cambria Math" w:cs="Arial"/>
                      </w:rPr>
                      <m:t>6</m:t>
                    </m:r>
                  </m:sub>
                </m:sSub>
                <m:r>
                  <w:rPr>
                    <w:rFonts w:ascii="Cambria Math" w:hAnsi="Cambria Math" w:cs="Arial"/>
                  </w:rPr>
                  <m:t>q</m:t>
                </m:r>
              </m:e>
              <m:sub>
                <m:r>
                  <w:rPr>
                    <w:rFonts w:ascii="Cambria Math" w:hAnsi="Cambria Math" w:cs="Arial"/>
                    <w:vertAlign w:val="subscript"/>
                  </w:rPr>
                  <m:t>t</m:t>
                </m:r>
                <m:r>
                  <m:rPr>
                    <m:sty m:val="p"/>
                  </m:rPr>
                  <w:rPr>
                    <w:rFonts w:ascii="Cambria Math" w:hAnsi="Cambria Math" w:cs="Arial"/>
                    <w:vertAlign w:val="subscript"/>
                  </w:rPr>
                  <m:t>-</m:t>
                </m:r>
                <m:r>
                  <w:rPr>
                    <w:rFonts w:ascii="Cambria Math" w:hAnsi="Cambria Math" w:cs="Arial"/>
                    <w:vertAlign w:val="subscript"/>
                  </w:rPr>
                  <m:t>i</m:t>
                </m:r>
              </m:sub>
            </m:sSub>
          </m:e>
        </m:nary>
        <m:r>
          <m:rPr>
            <m:sty m:val="p"/>
          </m:rPr>
          <w:rPr>
            <w:rFonts w:ascii="Cambria Math" w:hAnsi="Cambria Math" w:cs="Arial"/>
          </w:rPr>
          <m:t>+</m:t>
        </m:r>
        <m:sSub>
          <m:sSubPr>
            <m:ctrlPr>
              <w:rPr>
                <w:rFonts w:ascii="Cambria Math" w:eastAsiaTheme="minorEastAsia" w:hAnsi="Cambria Math" w:cs="Arial"/>
                <w:i/>
              </w:rPr>
            </m:ctrlPr>
          </m:sSubPr>
          <m:e>
            <m:r>
              <w:rPr>
                <w:rFonts w:ascii="Cambria Math" w:eastAsia="Segoe UI Symbol" w:hAnsi="Cambria Math" w:cs="Arial"/>
              </w:rPr>
              <m:t>ε</m:t>
            </m:r>
          </m:e>
          <m:sub>
            <m:r>
              <w:rPr>
                <w:rFonts w:ascii="Cambria Math" w:eastAsiaTheme="minorEastAsia" w:hAnsi="Cambria Math" w:cs="Arial"/>
              </w:rPr>
              <m:t>t</m:t>
            </m:r>
          </m:sub>
        </m:sSub>
      </m:oMath>
      <w:r w:rsidR="002D1C00">
        <w:rPr>
          <w:rFonts w:ascii="Arial" w:eastAsiaTheme="minorEastAsia" w:hAnsi="Arial" w:cs="Arial"/>
        </w:rPr>
        <w:t xml:space="preserve">                                                                                                             </w:t>
      </w:r>
      <w:r w:rsidR="00587FE3">
        <w:rPr>
          <w:rFonts w:ascii="Arial" w:eastAsiaTheme="minorEastAsia" w:hAnsi="Arial" w:cs="Arial"/>
        </w:rPr>
        <w:t xml:space="preserve">   </w:t>
      </w:r>
      <w:r w:rsidR="002D1C00" w:rsidRPr="00CF67C4">
        <w:rPr>
          <w:rFonts w:ascii="Arial" w:eastAsiaTheme="minorEastAsia" w:hAnsi="Arial" w:cs="Arial"/>
        </w:rPr>
        <w:t>(</w:t>
      </w:r>
      <w:r w:rsidR="002D1C00">
        <w:rPr>
          <w:rFonts w:ascii="Arial" w:eastAsiaTheme="minorEastAsia" w:hAnsi="Arial" w:cs="Arial"/>
        </w:rPr>
        <w:t>3</w:t>
      </w:r>
      <w:r w:rsidR="002D1C00" w:rsidRPr="00CF67C4">
        <w:rPr>
          <w:rFonts w:ascii="Arial" w:eastAsiaTheme="minorEastAsia" w:hAnsi="Arial" w:cs="Arial"/>
        </w:rPr>
        <w:t>.1</w:t>
      </w:r>
      <w:r w:rsidR="005D5AF8">
        <w:rPr>
          <w:rFonts w:ascii="Arial" w:eastAsiaTheme="minorEastAsia" w:hAnsi="Arial" w:cs="Arial"/>
        </w:rPr>
        <w:t>9</w:t>
      </w:r>
      <w:r w:rsidR="002D1C00" w:rsidRPr="00CF67C4">
        <w:rPr>
          <w:rFonts w:ascii="Arial" w:eastAsiaTheme="minorEastAsia" w:hAnsi="Arial" w:cs="Arial"/>
        </w:rPr>
        <w:t>)</w:t>
      </w:r>
    </w:p>
    <w:p w14:paraId="0A09E3ED" w14:textId="77777777" w:rsidR="002D1C00" w:rsidRDefault="002D1C00" w:rsidP="0066301C">
      <w:pPr>
        <w:autoSpaceDE w:val="0"/>
        <w:autoSpaceDN w:val="0"/>
        <w:adjustRightInd w:val="0"/>
        <w:spacing w:after="200" w:line="360" w:lineRule="auto"/>
        <w:jc w:val="both"/>
        <w:rPr>
          <w:rFonts w:ascii="Arial" w:hAnsi="Arial" w:cs="Arial"/>
        </w:rPr>
      </w:pPr>
      <w:r>
        <w:rPr>
          <w:rFonts w:ascii="Arial" w:hAnsi="Arial" w:cs="Arial"/>
        </w:rPr>
        <w:t xml:space="preserve">Whereby the dependent variable (y) is a function of its lagged and the lagged values of other variables (independent) in the model. </w:t>
      </w:r>
      <w:r w:rsidRPr="002D1C00">
        <w:rPr>
          <w:rFonts w:ascii="Arial" w:hAnsi="Arial" w:cs="Arial"/>
        </w:rPr>
        <w:t xml:space="preserve">The </w:t>
      </w:r>
      <w:r w:rsidRPr="002D1C00">
        <w:rPr>
          <w:rFonts w:ascii="Arial" w:hAnsi="Arial" w:cs="Arial"/>
          <w:i/>
          <w:iCs/>
        </w:rPr>
        <w:t xml:space="preserve">VAR </w:t>
      </w:r>
      <w:r w:rsidRPr="002D1C00">
        <w:rPr>
          <w:rFonts w:ascii="Arial" w:hAnsi="Arial" w:cs="Arial"/>
        </w:rPr>
        <w:t xml:space="preserve">must be specified in level because VAR in </w:t>
      </w:r>
      <w:r w:rsidRPr="002D1C00">
        <w:rPr>
          <w:rFonts w:ascii="Arial" w:hAnsi="Arial" w:cs="Arial"/>
        </w:rPr>
        <w:lastRenderedPageBreak/>
        <w:t>differences will be mis-specified.</w:t>
      </w:r>
      <w:r>
        <w:rPr>
          <w:rFonts w:ascii="Arial" w:hAnsi="Arial" w:cs="Arial"/>
        </w:rPr>
        <w:t xml:space="preserve"> </w:t>
      </w:r>
      <m:oMath>
        <m:r>
          <w:rPr>
            <w:rFonts w:ascii="Cambria Math" w:eastAsia="Segoe UI Symbol" w:hAnsi="Cambria Math" w:cs="Arial"/>
          </w:rPr>
          <m:t>ε</m:t>
        </m:r>
      </m:oMath>
      <w:r>
        <w:rPr>
          <w:rFonts w:ascii="Arial" w:eastAsiaTheme="minorEastAsia" w:hAnsi="Arial" w:cs="Arial"/>
        </w:rPr>
        <w:t xml:space="preserve"> is the stochastic error term also called impulse, or innovation, or</w:t>
      </w:r>
      <w:r w:rsidRPr="003B5C0F">
        <w:rPr>
          <w:rFonts w:ascii="Arial" w:eastAsiaTheme="minorEastAsia" w:hAnsi="Arial" w:cs="Arial"/>
        </w:rPr>
        <w:t xml:space="preserve"> </w:t>
      </w:r>
      <w:r>
        <w:rPr>
          <w:rFonts w:ascii="Arial" w:eastAsiaTheme="minorEastAsia" w:hAnsi="Arial" w:cs="Arial"/>
        </w:rPr>
        <w:t>shock.</w:t>
      </w:r>
    </w:p>
    <w:p w14:paraId="36670AC6" w14:textId="77777777" w:rsidR="007F6B94" w:rsidRDefault="007F6B94" w:rsidP="0066301C">
      <w:pPr>
        <w:autoSpaceDE w:val="0"/>
        <w:autoSpaceDN w:val="0"/>
        <w:adjustRightInd w:val="0"/>
        <w:spacing w:after="200" w:line="360" w:lineRule="auto"/>
        <w:jc w:val="both"/>
        <w:rPr>
          <w:rFonts w:ascii="Arial" w:hAnsi="Arial" w:cs="Arial"/>
        </w:rPr>
      </w:pPr>
      <w:bookmarkStart w:id="148" w:name="_Hlk139933121"/>
      <w:r w:rsidRPr="00650A6C">
        <w:rPr>
          <w:rFonts w:ascii="Arial" w:hAnsi="Arial" w:cs="Arial"/>
        </w:rPr>
        <w:t xml:space="preserve">However, if </w:t>
      </w:r>
      <w:bookmarkStart w:id="149" w:name="_Hlk162605385"/>
      <w:r w:rsidRPr="00650A6C">
        <w:rPr>
          <w:rFonts w:ascii="Arial" w:hAnsi="Arial" w:cs="Arial"/>
        </w:rPr>
        <w:t>the outcome of the Johansen cointegration test reveals that there is cointegration, we proceed to the restricted VAR (VECM). The result of the VECM consists of the estimates of both short-term and long-term dynamics of the time series, taking into consideration the coefficient of the error correction term (ECT).</w:t>
      </w:r>
      <w:bookmarkEnd w:id="149"/>
      <w:r w:rsidRPr="00650A6C">
        <w:rPr>
          <w:rFonts w:ascii="Arial" w:hAnsi="Arial" w:cs="Arial"/>
        </w:rPr>
        <w:t xml:space="preserve"> </w:t>
      </w:r>
      <w:r>
        <w:rPr>
          <w:rFonts w:ascii="Arial" w:hAnsi="Arial" w:cs="Arial"/>
        </w:rPr>
        <w:t>When specifying the VECM, we lose a lag because a VECM is the same as VAR in 1</w:t>
      </w:r>
      <w:r w:rsidRPr="004317BD">
        <w:rPr>
          <w:rFonts w:ascii="Arial" w:hAnsi="Arial" w:cs="Arial"/>
          <w:vertAlign w:val="superscript"/>
        </w:rPr>
        <w:t>st</w:t>
      </w:r>
      <w:r>
        <w:rPr>
          <w:rFonts w:ascii="Arial" w:hAnsi="Arial" w:cs="Arial"/>
        </w:rPr>
        <w:t xml:space="preserve"> difference as seen below:</w:t>
      </w:r>
    </w:p>
    <w:p w14:paraId="2A1525F9" w14:textId="0AF535A9" w:rsidR="007F6B94" w:rsidRDefault="007F6B94" w:rsidP="0066301C">
      <w:pPr>
        <w:autoSpaceDE w:val="0"/>
        <w:autoSpaceDN w:val="0"/>
        <w:adjustRightInd w:val="0"/>
        <w:spacing w:after="200" w:line="360" w:lineRule="auto"/>
        <w:jc w:val="both"/>
        <w:rPr>
          <w:rFonts w:ascii="Arial" w:eastAsiaTheme="minorEastAsia" w:hAnsi="Arial" w:cs="Arial"/>
        </w:rPr>
      </w:pPr>
      <m:oMath>
        <m:r>
          <w:rPr>
            <w:rFonts w:ascii="Cambria Math" w:hAnsi="Cambria Math" w:cs="Arial"/>
          </w:rPr>
          <m:t>Δ</m:t>
        </m:r>
        <m:sSub>
          <m:sSubPr>
            <m:ctrlPr>
              <w:rPr>
                <w:rFonts w:ascii="Cambria Math" w:hAnsi="Cambria Math" w:cs="Arial"/>
                <w:i/>
              </w:rPr>
            </m:ctrlPr>
          </m:sSubPr>
          <m:e>
            <m:r>
              <w:rPr>
                <w:rFonts w:ascii="Cambria Math" w:hAnsi="Cambria Math" w:cs="Arial"/>
              </w:rPr>
              <m:t>y</m:t>
            </m:r>
          </m:e>
          <m:sub>
            <m:r>
              <w:rPr>
                <w:rFonts w:ascii="Cambria Math" w:hAnsi="Cambria Math" w:cs="Arial"/>
              </w:rPr>
              <m:t>t</m:t>
            </m:r>
          </m:sub>
        </m:sSub>
        <m:r>
          <w:rPr>
            <w:rFonts w:ascii="Cambria Math" w:hAnsi="Cambria Math" w:cs="Arial"/>
          </w:rPr>
          <m:t>=</m:t>
        </m:r>
        <m:sSub>
          <m:sSubPr>
            <m:ctrlPr>
              <w:rPr>
                <w:rFonts w:ascii="Cambria Math" w:hAnsi="Cambria Math" w:cs="Arial"/>
                <w:i/>
              </w:rPr>
            </m:ctrlPr>
          </m:sSubPr>
          <m:e>
            <m:r>
              <w:rPr>
                <w:rFonts w:ascii="Cambria Math" w:hAnsi="Cambria Math" w:cs="Arial"/>
              </w:rPr>
              <m:t>α</m:t>
            </m:r>
          </m:e>
          <m:sub>
            <m:r>
              <w:rPr>
                <w:rFonts w:ascii="Cambria Math" w:hAnsi="Cambria Math" w:cs="Arial"/>
              </w:rPr>
              <m:t>0</m:t>
            </m:r>
          </m:sub>
        </m:sSub>
        <m:r>
          <w:rPr>
            <w:rFonts w:ascii="Cambria Math" w:hAnsi="Cambria Math" w:cs="Arial"/>
          </w:rPr>
          <m:t>+</m:t>
        </m:r>
        <m:nary>
          <m:naryPr>
            <m:chr m:val="∑"/>
            <m:limLoc m:val="undOvr"/>
            <m:ctrlPr>
              <w:rPr>
                <w:rFonts w:ascii="Cambria Math" w:hAnsi="Cambria Math" w:cs="Arial"/>
              </w:rPr>
            </m:ctrlPr>
          </m:naryPr>
          <m:sub>
            <m:r>
              <w:rPr>
                <w:rFonts w:ascii="Cambria Math" w:hAnsi="Cambria Math" w:cs="Arial"/>
              </w:rPr>
              <m:t>i</m:t>
            </m:r>
            <m:r>
              <m:rPr>
                <m:sty m:val="p"/>
              </m:rPr>
              <w:rPr>
                <w:rFonts w:ascii="Cambria Math" w:hAnsi="Cambria Math" w:cs="Arial"/>
              </w:rPr>
              <m:t>=1</m:t>
            </m:r>
          </m:sub>
          <m:sup>
            <m:r>
              <w:rPr>
                <w:rFonts w:ascii="Cambria Math" w:hAnsi="Cambria Math" w:cs="Arial"/>
              </w:rPr>
              <m:t>k-1</m:t>
            </m:r>
          </m:sup>
          <m:e>
            <m:sSub>
              <m:sSubPr>
                <m:ctrlPr>
                  <w:rPr>
                    <w:rFonts w:ascii="Cambria Math" w:hAnsi="Cambria Math" w:cs="Arial"/>
                  </w:rPr>
                </m:ctrlPr>
              </m:sSubPr>
              <m:e>
                <m:sSub>
                  <m:sSubPr>
                    <m:ctrlPr>
                      <w:rPr>
                        <w:rFonts w:ascii="Cambria Math" w:hAnsi="Cambria Math" w:cs="Arial"/>
                      </w:rPr>
                    </m:ctrlPr>
                  </m:sSubPr>
                  <m:e>
                    <m:r>
                      <w:rPr>
                        <w:rFonts w:ascii="Cambria Math" w:hAnsi="Cambria Math" w:cs="Arial"/>
                      </w:rPr>
                      <m:t>α</m:t>
                    </m:r>
                  </m:e>
                  <m:sub>
                    <m:r>
                      <m:rPr>
                        <m:sty m:val="p"/>
                      </m:rPr>
                      <w:rPr>
                        <w:rFonts w:ascii="Cambria Math" w:hAnsi="Cambria Math" w:cs="Arial"/>
                        <w:vertAlign w:val="subscript"/>
                      </w:rPr>
                      <m:t>1</m:t>
                    </m:r>
                  </m:sub>
                </m:sSub>
                <m:r>
                  <w:rPr>
                    <w:rFonts w:ascii="Cambria Math" w:hAnsi="Cambria Math" w:cs="Arial"/>
                  </w:rPr>
                  <m:t>Δy</m:t>
                </m:r>
              </m:e>
              <m:sub>
                <m:r>
                  <w:rPr>
                    <w:rFonts w:ascii="Cambria Math" w:hAnsi="Cambria Math" w:cs="Arial"/>
                    <w:vertAlign w:val="subscript"/>
                  </w:rPr>
                  <m:t>t</m:t>
                </m:r>
                <m:r>
                  <m:rPr>
                    <m:sty m:val="p"/>
                  </m:rPr>
                  <w:rPr>
                    <w:rFonts w:ascii="Cambria Math" w:hAnsi="Cambria Math" w:cs="Arial"/>
                    <w:vertAlign w:val="subscript"/>
                  </w:rPr>
                  <m:t>-</m:t>
                </m:r>
                <m:r>
                  <w:rPr>
                    <w:rFonts w:ascii="Cambria Math" w:hAnsi="Cambria Math" w:cs="Arial"/>
                    <w:vertAlign w:val="subscript"/>
                  </w:rPr>
                  <m:t>i</m:t>
                </m:r>
              </m:sub>
            </m:sSub>
          </m:e>
        </m:nary>
        <m:r>
          <m:rPr>
            <m:sty m:val="p"/>
          </m:rPr>
          <w:rPr>
            <w:rFonts w:ascii="Cambria Math" w:hAnsi="Cambria Math" w:cs="Arial"/>
          </w:rPr>
          <m:t xml:space="preserve">+ </m:t>
        </m:r>
        <m:nary>
          <m:naryPr>
            <m:chr m:val="∑"/>
            <m:limLoc m:val="undOvr"/>
            <m:ctrlPr>
              <w:rPr>
                <w:rFonts w:ascii="Cambria Math" w:hAnsi="Cambria Math" w:cs="Arial"/>
              </w:rPr>
            </m:ctrlPr>
          </m:naryPr>
          <m:sub>
            <m:r>
              <w:rPr>
                <w:rFonts w:ascii="Cambria Math" w:hAnsi="Cambria Math" w:cs="Arial"/>
              </w:rPr>
              <m:t>i</m:t>
            </m:r>
            <m:r>
              <m:rPr>
                <m:sty m:val="p"/>
              </m:rPr>
              <w:rPr>
                <w:rFonts w:ascii="Cambria Math" w:hAnsi="Cambria Math" w:cs="Arial"/>
              </w:rPr>
              <m:t>=1</m:t>
            </m:r>
          </m:sub>
          <m:sup>
            <m:r>
              <w:rPr>
                <w:rFonts w:ascii="Cambria Math" w:hAnsi="Cambria Math" w:cs="Arial"/>
              </w:rPr>
              <m:t>k-1</m:t>
            </m:r>
          </m:sup>
          <m:e>
            <m:sSub>
              <m:sSubPr>
                <m:ctrlPr>
                  <w:rPr>
                    <w:rFonts w:ascii="Cambria Math" w:hAnsi="Cambria Math" w:cs="Arial"/>
                  </w:rPr>
                </m:ctrlPr>
              </m:sSubPr>
              <m:e>
                <m:sSub>
                  <m:sSubPr>
                    <m:ctrlPr>
                      <w:rPr>
                        <w:rFonts w:ascii="Cambria Math" w:hAnsi="Cambria Math" w:cs="Arial"/>
                      </w:rPr>
                    </m:ctrlPr>
                  </m:sSubPr>
                  <m:e>
                    <m:r>
                      <w:rPr>
                        <w:rFonts w:ascii="Cambria Math" w:hAnsi="Cambria Math" w:cs="Arial"/>
                      </w:rPr>
                      <m:t>α</m:t>
                    </m:r>
                  </m:e>
                  <m:sub>
                    <m:r>
                      <m:rPr>
                        <m:sty m:val="p"/>
                      </m:rPr>
                      <w:rPr>
                        <w:rFonts w:ascii="Cambria Math" w:hAnsi="Cambria Math" w:cs="Arial"/>
                        <w:vertAlign w:val="subscript"/>
                      </w:rPr>
                      <m:t>2</m:t>
                    </m:r>
                  </m:sub>
                </m:sSub>
                <m:r>
                  <w:rPr>
                    <w:rFonts w:ascii="Cambria Math" w:hAnsi="Cambria Math" w:cs="Arial"/>
                  </w:rPr>
                  <m:t>Δz</m:t>
                </m:r>
              </m:e>
              <m:sub>
                <m:r>
                  <w:rPr>
                    <w:rFonts w:ascii="Cambria Math" w:hAnsi="Cambria Math" w:cs="Arial"/>
                    <w:vertAlign w:val="subscript"/>
                  </w:rPr>
                  <m:t>t</m:t>
                </m:r>
                <m:r>
                  <m:rPr>
                    <m:sty m:val="p"/>
                  </m:rPr>
                  <w:rPr>
                    <w:rFonts w:ascii="Cambria Math" w:hAnsi="Cambria Math" w:cs="Arial"/>
                    <w:vertAlign w:val="subscript"/>
                  </w:rPr>
                  <m:t>-</m:t>
                </m:r>
                <m:r>
                  <w:rPr>
                    <w:rFonts w:ascii="Cambria Math" w:hAnsi="Cambria Math" w:cs="Arial"/>
                    <w:vertAlign w:val="subscript"/>
                  </w:rPr>
                  <m:t>i</m:t>
                </m:r>
              </m:sub>
            </m:sSub>
          </m:e>
        </m:nary>
        <m:r>
          <m:rPr>
            <m:sty m:val="p"/>
          </m:rPr>
          <w:rPr>
            <w:rFonts w:ascii="Cambria Math" w:hAnsi="Cambria Math" w:cs="Arial"/>
          </w:rPr>
          <m:t xml:space="preserve"> + </m:t>
        </m:r>
        <m:nary>
          <m:naryPr>
            <m:chr m:val="∑"/>
            <m:limLoc m:val="undOvr"/>
            <m:ctrlPr>
              <w:rPr>
                <w:rFonts w:ascii="Cambria Math" w:hAnsi="Cambria Math" w:cs="Arial"/>
              </w:rPr>
            </m:ctrlPr>
          </m:naryPr>
          <m:sub>
            <m:r>
              <w:rPr>
                <w:rFonts w:ascii="Cambria Math" w:hAnsi="Cambria Math" w:cs="Arial"/>
              </w:rPr>
              <m:t>i</m:t>
            </m:r>
            <m:r>
              <m:rPr>
                <m:sty m:val="p"/>
              </m:rPr>
              <w:rPr>
                <w:rFonts w:ascii="Cambria Math" w:hAnsi="Cambria Math" w:cs="Arial"/>
              </w:rPr>
              <m:t>=1</m:t>
            </m:r>
          </m:sub>
          <m:sup>
            <m:r>
              <w:rPr>
                <w:rFonts w:ascii="Cambria Math" w:hAnsi="Cambria Math" w:cs="Arial"/>
              </w:rPr>
              <m:t>k-1</m:t>
            </m:r>
          </m:sup>
          <m:e>
            <m:sSub>
              <m:sSubPr>
                <m:ctrlPr>
                  <w:rPr>
                    <w:rFonts w:ascii="Cambria Math" w:hAnsi="Cambria Math" w:cs="Arial"/>
                  </w:rPr>
                </m:ctrlPr>
              </m:sSubPr>
              <m:e>
                <m:sSub>
                  <m:sSubPr>
                    <m:ctrlPr>
                      <w:rPr>
                        <w:rFonts w:ascii="Cambria Math" w:hAnsi="Cambria Math" w:cs="Arial"/>
                      </w:rPr>
                    </m:ctrlPr>
                  </m:sSubPr>
                  <m:e>
                    <m:r>
                      <w:rPr>
                        <w:rFonts w:ascii="Cambria Math" w:hAnsi="Cambria Math" w:cs="Arial"/>
                      </w:rPr>
                      <m:t>α</m:t>
                    </m:r>
                  </m:e>
                  <m:sub>
                    <m:r>
                      <m:rPr>
                        <m:sty m:val="p"/>
                      </m:rPr>
                      <w:rPr>
                        <w:rFonts w:ascii="Cambria Math" w:hAnsi="Cambria Math" w:cs="Arial"/>
                        <w:vertAlign w:val="subscript"/>
                      </w:rPr>
                      <m:t>3</m:t>
                    </m:r>
                  </m:sub>
                </m:sSub>
                <m:r>
                  <w:rPr>
                    <w:rFonts w:ascii="Cambria Math" w:hAnsi="Cambria Math" w:cs="Arial"/>
                  </w:rPr>
                  <m:t>Δx</m:t>
                </m:r>
              </m:e>
              <m:sub>
                <m:r>
                  <w:rPr>
                    <w:rFonts w:ascii="Cambria Math" w:hAnsi="Cambria Math" w:cs="Arial"/>
                    <w:vertAlign w:val="subscript"/>
                  </w:rPr>
                  <m:t>t</m:t>
                </m:r>
                <m:r>
                  <m:rPr>
                    <m:sty m:val="p"/>
                  </m:rPr>
                  <w:rPr>
                    <w:rFonts w:ascii="Cambria Math" w:hAnsi="Cambria Math" w:cs="Arial"/>
                    <w:vertAlign w:val="subscript"/>
                  </w:rPr>
                  <m:t>-</m:t>
                </m:r>
                <m:r>
                  <w:rPr>
                    <w:rFonts w:ascii="Cambria Math" w:hAnsi="Cambria Math" w:cs="Arial"/>
                    <w:vertAlign w:val="subscript"/>
                  </w:rPr>
                  <m:t>i</m:t>
                </m:r>
              </m:sub>
            </m:sSub>
          </m:e>
        </m:nary>
        <m:r>
          <m:rPr>
            <m:sty m:val="p"/>
          </m:rPr>
          <w:rPr>
            <w:rFonts w:ascii="Cambria Math" w:hAnsi="Cambria Math" w:cs="Arial"/>
          </w:rPr>
          <m:t xml:space="preserve"> + </m:t>
        </m:r>
        <m:nary>
          <m:naryPr>
            <m:chr m:val="∑"/>
            <m:limLoc m:val="undOvr"/>
            <m:ctrlPr>
              <w:rPr>
                <w:rFonts w:ascii="Cambria Math" w:hAnsi="Cambria Math" w:cs="Arial"/>
              </w:rPr>
            </m:ctrlPr>
          </m:naryPr>
          <m:sub>
            <m:r>
              <w:rPr>
                <w:rFonts w:ascii="Cambria Math" w:hAnsi="Cambria Math" w:cs="Arial"/>
              </w:rPr>
              <m:t>i</m:t>
            </m:r>
            <m:r>
              <m:rPr>
                <m:sty m:val="p"/>
              </m:rPr>
              <w:rPr>
                <w:rFonts w:ascii="Cambria Math" w:hAnsi="Cambria Math" w:cs="Arial"/>
              </w:rPr>
              <m:t>=1</m:t>
            </m:r>
          </m:sub>
          <m:sup>
            <m:r>
              <w:rPr>
                <w:rFonts w:ascii="Cambria Math" w:hAnsi="Cambria Math" w:cs="Arial"/>
              </w:rPr>
              <m:t>k-1</m:t>
            </m:r>
          </m:sup>
          <m:e>
            <m:sSub>
              <m:sSubPr>
                <m:ctrlPr>
                  <w:rPr>
                    <w:rFonts w:ascii="Cambria Math" w:hAnsi="Cambria Math" w:cs="Arial"/>
                  </w:rPr>
                </m:ctrlPr>
              </m:sSubPr>
              <m:e>
                <m:sSub>
                  <m:sSubPr>
                    <m:ctrlPr>
                      <w:rPr>
                        <w:rFonts w:ascii="Cambria Math" w:hAnsi="Cambria Math" w:cs="Arial"/>
                      </w:rPr>
                    </m:ctrlPr>
                  </m:sSubPr>
                  <m:e>
                    <m:r>
                      <w:rPr>
                        <w:rFonts w:ascii="Cambria Math" w:hAnsi="Cambria Math" w:cs="Arial"/>
                      </w:rPr>
                      <m:t>α</m:t>
                    </m:r>
                  </m:e>
                  <m:sub>
                    <m:r>
                      <m:rPr>
                        <m:sty m:val="p"/>
                      </m:rPr>
                      <w:rPr>
                        <w:rFonts w:ascii="Cambria Math" w:hAnsi="Cambria Math" w:cs="Arial"/>
                        <w:vertAlign w:val="subscript"/>
                      </w:rPr>
                      <m:t>4</m:t>
                    </m:r>
                  </m:sub>
                </m:sSub>
                <m:r>
                  <w:rPr>
                    <w:rFonts w:ascii="Cambria Math" w:hAnsi="Cambria Math" w:cs="Arial"/>
                  </w:rPr>
                  <m:t>Δm</m:t>
                </m:r>
              </m:e>
              <m:sub>
                <m:r>
                  <w:rPr>
                    <w:rFonts w:ascii="Cambria Math" w:hAnsi="Cambria Math" w:cs="Arial"/>
                    <w:vertAlign w:val="subscript"/>
                  </w:rPr>
                  <m:t>t</m:t>
                </m:r>
                <m:r>
                  <m:rPr>
                    <m:sty m:val="p"/>
                  </m:rPr>
                  <w:rPr>
                    <w:rFonts w:ascii="Cambria Math" w:hAnsi="Cambria Math" w:cs="Arial"/>
                    <w:vertAlign w:val="subscript"/>
                  </w:rPr>
                  <m:t>-</m:t>
                </m:r>
                <m:r>
                  <w:rPr>
                    <w:rFonts w:ascii="Cambria Math" w:hAnsi="Cambria Math" w:cs="Arial"/>
                    <w:vertAlign w:val="subscript"/>
                  </w:rPr>
                  <m:t>i</m:t>
                </m:r>
              </m:sub>
            </m:sSub>
          </m:e>
        </m:nary>
        <m:r>
          <m:rPr>
            <m:sty m:val="p"/>
          </m:rPr>
          <w:rPr>
            <w:rFonts w:ascii="Cambria Math" w:hAnsi="Cambria Math" w:cs="Arial"/>
          </w:rPr>
          <m:t xml:space="preserve">+ </m:t>
        </m:r>
        <m:nary>
          <m:naryPr>
            <m:chr m:val="∑"/>
            <m:limLoc m:val="undOvr"/>
            <m:ctrlPr>
              <w:rPr>
                <w:rFonts w:ascii="Cambria Math" w:hAnsi="Cambria Math" w:cs="Arial"/>
              </w:rPr>
            </m:ctrlPr>
          </m:naryPr>
          <m:sub>
            <m:r>
              <w:rPr>
                <w:rFonts w:ascii="Cambria Math" w:hAnsi="Cambria Math" w:cs="Arial"/>
              </w:rPr>
              <m:t>i</m:t>
            </m:r>
            <m:r>
              <m:rPr>
                <m:sty m:val="p"/>
              </m:rPr>
              <w:rPr>
                <w:rFonts w:ascii="Cambria Math" w:hAnsi="Cambria Math" w:cs="Arial"/>
              </w:rPr>
              <m:t>=1</m:t>
            </m:r>
          </m:sub>
          <m:sup>
            <m:r>
              <w:rPr>
                <w:rFonts w:ascii="Cambria Math" w:hAnsi="Cambria Math" w:cs="Arial"/>
              </w:rPr>
              <m:t>k-1</m:t>
            </m:r>
          </m:sup>
          <m:e>
            <m:sSub>
              <m:sSubPr>
                <m:ctrlPr>
                  <w:rPr>
                    <w:rFonts w:ascii="Cambria Math" w:hAnsi="Cambria Math" w:cs="Arial"/>
                  </w:rPr>
                </m:ctrlPr>
              </m:sSubPr>
              <m:e>
                <m:sSub>
                  <m:sSubPr>
                    <m:ctrlPr>
                      <w:rPr>
                        <w:rFonts w:ascii="Cambria Math" w:hAnsi="Cambria Math" w:cs="Arial"/>
                      </w:rPr>
                    </m:ctrlPr>
                  </m:sSubPr>
                  <m:e>
                    <m:r>
                      <w:rPr>
                        <w:rFonts w:ascii="Cambria Math" w:hAnsi="Cambria Math" w:cs="Arial"/>
                      </w:rPr>
                      <m:t>α</m:t>
                    </m:r>
                  </m:e>
                  <m:sub>
                    <m:r>
                      <m:rPr>
                        <m:sty m:val="p"/>
                      </m:rPr>
                      <w:rPr>
                        <w:rFonts w:ascii="Cambria Math" w:hAnsi="Cambria Math" w:cs="Arial"/>
                      </w:rPr>
                      <m:t>5</m:t>
                    </m:r>
                  </m:sub>
                </m:sSub>
                <m:r>
                  <w:rPr>
                    <w:rFonts w:ascii="Cambria Math" w:hAnsi="Cambria Math" w:cs="Arial"/>
                  </w:rPr>
                  <m:t>Δn</m:t>
                </m:r>
              </m:e>
              <m:sub>
                <m:r>
                  <w:rPr>
                    <w:rFonts w:ascii="Cambria Math" w:hAnsi="Cambria Math" w:cs="Arial"/>
                    <w:vertAlign w:val="subscript"/>
                  </w:rPr>
                  <m:t>t</m:t>
                </m:r>
                <m:r>
                  <m:rPr>
                    <m:sty m:val="p"/>
                  </m:rPr>
                  <w:rPr>
                    <w:rFonts w:ascii="Cambria Math" w:hAnsi="Cambria Math" w:cs="Arial"/>
                    <w:vertAlign w:val="subscript"/>
                  </w:rPr>
                  <m:t>-</m:t>
                </m:r>
                <m:r>
                  <w:rPr>
                    <w:rFonts w:ascii="Cambria Math" w:hAnsi="Cambria Math" w:cs="Arial"/>
                    <w:vertAlign w:val="subscript"/>
                  </w:rPr>
                  <m:t>i</m:t>
                </m:r>
              </m:sub>
            </m:sSub>
          </m:e>
        </m:nary>
        <m:r>
          <m:rPr>
            <m:sty m:val="p"/>
          </m:rPr>
          <w:rPr>
            <w:rFonts w:ascii="Cambria Math" w:hAnsi="Cambria Math" w:cs="Arial"/>
          </w:rPr>
          <m:t>+</m:t>
        </m:r>
        <m:nary>
          <m:naryPr>
            <m:chr m:val="∑"/>
            <m:limLoc m:val="undOvr"/>
            <m:ctrlPr>
              <w:rPr>
                <w:rFonts w:ascii="Cambria Math" w:hAnsi="Cambria Math" w:cs="Arial"/>
              </w:rPr>
            </m:ctrlPr>
          </m:naryPr>
          <m:sub>
            <m:r>
              <w:rPr>
                <w:rFonts w:ascii="Cambria Math" w:hAnsi="Cambria Math" w:cs="Arial"/>
              </w:rPr>
              <m:t>i</m:t>
            </m:r>
            <m:r>
              <m:rPr>
                <m:sty m:val="p"/>
              </m:rPr>
              <w:rPr>
                <w:rFonts w:ascii="Cambria Math" w:hAnsi="Cambria Math" w:cs="Arial"/>
              </w:rPr>
              <m:t>=1</m:t>
            </m:r>
          </m:sub>
          <m:sup>
            <m:r>
              <w:rPr>
                <w:rFonts w:ascii="Cambria Math" w:hAnsi="Cambria Math" w:cs="Arial"/>
              </w:rPr>
              <m:t>k-1</m:t>
            </m:r>
          </m:sup>
          <m:e>
            <m:sSub>
              <m:sSubPr>
                <m:ctrlPr>
                  <w:rPr>
                    <w:rFonts w:ascii="Cambria Math" w:hAnsi="Cambria Math" w:cs="Arial"/>
                  </w:rPr>
                </m:ctrlPr>
              </m:sSubPr>
              <m:e>
                <m:sSub>
                  <m:sSubPr>
                    <m:ctrlPr>
                      <w:rPr>
                        <w:rFonts w:ascii="Cambria Math" w:hAnsi="Cambria Math" w:cs="Arial"/>
                      </w:rPr>
                    </m:ctrlPr>
                  </m:sSubPr>
                  <m:e>
                    <m:r>
                      <w:rPr>
                        <w:rFonts w:ascii="Cambria Math" w:hAnsi="Cambria Math" w:cs="Arial"/>
                      </w:rPr>
                      <m:t>α</m:t>
                    </m:r>
                  </m:e>
                  <m:sub>
                    <m:r>
                      <m:rPr>
                        <m:sty m:val="p"/>
                      </m:rPr>
                      <w:rPr>
                        <w:rFonts w:ascii="Cambria Math" w:hAnsi="Cambria Math" w:cs="Arial"/>
                      </w:rPr>
                      <m:t>6</m:t>
                    </m:r>
                  </m:sub>
                </m:sSub>
                <m:r>
                  <w:rPr>
                    <w:rFonts w:ascii="Cambria Math" w:hAnsi="Cambria Math" w:cs="Arial"/>
                  </w:rPr>
                  <m:t>Δq</m:t>
                </m:r>
              </m:e>
              <m:sub>
                <m:r>
                  <w:rPr>
                    <w:rFonts w:ascii="Cambria Math" w:hAnsi="Cambria Math" w:cs="Arial"/>
                    <w:vertAlign w:val="subscript"/>
                  </w:rPr>
                  <m:t>t</m:t>
                </m:r>
                <m:r>
                  <m:rPr>
                    <m:sty m:val="p"/>
                  </m:rPr>
                  <w:rPr>
                    <w:rFonts w:ascii="Cambria Math" w:hAnsi="Cambria Math" w:cs="Arial"/>
                    <w:vertAlign w:val="subscript"/>
                  </w:rPr>
                  <m:t>-</m:t>
                </m:r>
                <m:r>
                  <w:rPr>
                    <w:rFonts w:ascii="Cambria Math" w:hAnsi="Cambria Math" w:cs="Arial"/>
                    <w:vertAlign w:val="subscript"/>
                  </w:rPr>
                  <m:t>i</m:t>
                </m:r>
              </m:sub>
            </m:sSub>
          </m:e>
        </m:nary>
        <m:r>
          <m:rPr>
            <m:sty m:val="p"/>
          </m:rPr>
          <w:rPr>
            <w:rFonts w:ascii="Cambria Math" w:hAnsi="Cambria Math" w:cs="Arial"/>
          </w:rPr>
          <m:t>+</m:t>
        </m:r>
        <m:sSub>
          <m:sSubPr>
            <m:ctrlPr>
              <w:rPr>
                <w:rFonts w:ascii="Cambria Math" w:eastAsiaTheme="minorEastAsia" w:hAnsi="Cambria Math" w:cs="Arial"/>
                <w:i/>
              </w:rPr>
            </m:ctrlPr>
          </m:sSubPr>
          <m:e>
            <m:r>
              <w:rPr>
                <w:rFonts w:ascii="Cambria Math" w:hAnsi="Cambria Math" w:cs="Arial"/>
              </w:rPr>
              <m:t>λECT</m:t>
            </m:r>
          </m:e>
          <m:sub>
            <m:r>
              <w:rPr>
                <w:rFonts w:ascii="Cambria Math" w:eastAsiaTheme="minorEastAsia" w:hAnsi="Cambria Math" w:cs="Arial"/>
              </w:rPr>
              <m:t>t-1</m:t>
            </m:r>
          </m:sub>
        </m:sSub>
        <m:r>
          <m:rPr>
            <m:sty m:val="p"/>
          </m:rPr>
          <w:rPr>
            <w:rFonts w:ascii="Cambria Math" w:hAnsi="Cambria Math" w:cs="Arial"/>
          </w:rPr>
          <m:t>+</m:t>
        </m:r>
        <m:sSub>
          <m:sSubPr>
            <m:ctrlPr>
              <w:rPr>
                <w:rFonts w:ascii="Cambria Math" w:eastAsiaTheme="minorEastAsia" w:hAnsi="Cambria Math" w:cs="Arial"/>
                <w:i/>
              </w:rPr>
            </m:ctrlPr>
          </m:sSubPr>
          <m:e>
            <m:r>
              <w:rPr>
                <w:rFonts w:ascii="Cambria Math" w:eastAsia="Segoe UI Symbol" w:hAnsi="Cambria Math" w:cs="Arial"/>
              </w:rPr>
              <m:t>ε</m:t>
            </m:r>
          </m:e>
          <m:sub>
            <m:r>
              <w:rPr>
                <w:rFonts w:ascii="Cambria Math" w:eastAsiaTheme="minorEastAsia" w:hAnsi="Cambria Math" w:cs="Arial"/>
              </w:rPr>
              <m:t>t</m:t>
            </m:r>
          </m:sub>
        </m:sSub>
      </m:oMath>
      <w:r>
        <w:rPr>
          <w:rFonts w:ascii="Arial" w:eastAsiaTheme="minorEastAsia" w:hAnsi="Arial" w:cs="Arial"/>
        </w:rPr>
        <w:t xml:space="preserve">                                                                                              </w:t>
      </w:r>
      <w:r w:rsidRPr="00CF67C4">
        <w:rPr>
          <w:rFonts w:ascii="Arial" w:eastAsiaTheme="minorEastAsia" w:hAnsi="Arial" w:cs="Arial"/>
        </w:rPr>
        <w:t>(</w:t>
      </w:r>
      <w:r>
        <w:rPr>
          <w:rFonts w:ascii="Arial" w:eastAsiaTheme="minorEastAsia" w:hAnsi="Arial" w:cs="Arial"/>
        </w:rPr>
        <w:t>3</w:t>
      </w:r>
      <w:r w:rsidRPr="00CF67C4">
        <w:rPr>
          <w:rFonts w:ascii="Arial" w:eastAsiaTheme="minorEastAsia" w:hAnsi="Arial" w:cs="Arial"/>
        </w:rPr>
        <w:t>.</w:t>
      </w:r>
      <w:r w:rsidR="00272AC8">
        <w:rPr>
          <w:rFonts w:ascii="Arial" w:eastAsiaTheme="minorEastAsia" w:hAnsi="Arial" w:cs="Arial"/>
        </w:rPr>
        <w:t>20</w:t>
      </w:r>
      <w:r w:rsidRPr="00CF67C4">
        <w:rPr>
          <w:rFonts w:ascii="Arial" w:eastAsiaTheme="minorEastAsia" w:hAnsi="Arial" w:cs="Arial"/>
        </w:rPr>
        <w:t>)</w:t>
      </w:r>
    </w:p>
    <w:p w14:paraId="085E8559" w14:textId="77777777" w:rsidR="007F6B94" w:rsidRDefault="007F6B94" w:rsidP="0066301C">
      <w:pPr>
        <w:autoSpaceDE w:val="0"/>
        <w:autoSpaceDN w:val="0"/>
        <w:adjustRightInd w:val="0"/>
        <w:spacing w:after="200" w:line="360" w:lineRule="auto"/>
        <w:jc w:val="both"/>
        <w:rPr>
          <w:rFonts w:ascii="Arial" w:eastAsiaTheme="minorEastAsia" w:hAnsi="Arial" w:cs="Arial"/>
        </w:rPr>
      </w:pPr>
      <w:r>
        <w:rPr>
          <w:rFonts w:ascii="Arial" w:eastAsiaTheme="minorEastAsia" w:hAnsi="Arial" w:cs="Arial"/>
        </w:rPr>
        <w:t>Whereby:</w:t>
      </w:r>
    </w:p>
    <w:p w14:paraId="2D2E4A2D" w14:textId="547D0BC7" w:rsidR="007F6B94" w:rsidRDefault="00000000" w:rsidP="0066301C">
      <w:pPr>
        <w:autoSpaceDE w:val="0"/>
        <w:autoSpaceDN w:val="0"/>
        <w:adjustRightInd w:val="0"/>
        <w:spacing w:after="200" w:line="360" w:lineRule="auto"/>
        <w:jc w:val="center"/>
        <w:rPr>
          <w:rFonts w:ascii="Arial" w:eastAsiaTheme="minorEastAsia" w:hAnsi="Arial" w:cs="Arial"/>
        </w:rPr>
      </w:pPr>
      <m:oMath>
        <m:sSub>
          <m:sSubPr>
            <m:ctrlPr>
              <w:rPr>
                <w:rFonts w:ascii="Cambria Math" w:eastAsiaTheme="minorEastAsia" w:hAnsi="Cambria Math" w:cs="Arial"/>
                <w:i/>
              </w:rPr>
            </m:ctrlPr>
          </m:sSubPr>
          <m:e>
            <m:r>
              <w:rPr>
                <w:rFonts w:ascii="Cambria Math" w:hAnsi="Cambria Math" w:cs="Arial"/>
              </w:rPr>
              <m:t>ECT</m:t>
            </m:r>
          </m:e>
          <m:sub>
            <m:r>
              <w:rPr>
                <w:rFonts w:ascii="Cambria Math" w:eastAsiaTheme="minorEastAsia" w:hAnsi="Cambria Math" w:cs="Arial"/>
              </w:rPr>
              <m:t>t-1</m:t>
            </m:r>
          </m:sub>
        </m:sSub>
      </m:oMath>
      <w:r w:rsidR="007F6B94">
        <w:rPr>
          <w:rFonts w:ascii="Arial" w:eastAsiaTheme="minorEastAsia" w:hAnsi="Arial" w:cs="Arial"/>
        </w:rPr>
        <w:t xml:space="preserve"> = </w:t>
      </w:r>
      <m:oMath>
        <m:sSub>
          <m:sSubPr>
            <m:ctrlPr>
              <w:rPr>
                <w:rFonts w:ascii="Cambria Math" w:hAnsi="Cambria Math" w:cs="Arial"/>
              </w:rPr>
            </m:ctrlPr>
          </m:sSubPr>
          <m:e>
            <m:r>
              <w:rPr>
                <w:rFonts w:ascii="Cambria Math" w:hAnsi="Cambria Math" w:cs="Arial"/>
              </w:rPr>
              <m:t>y</m:t>
            </m:r>
          </m:e>
          <m:sub>
            <m:r>
              <w:rPr>
                <w:rFonts w:ascii="Cambria Math" w:hAnsi="Cambria Math" w:cs="Arial"/>
                <w:vertAlign w:val="subscript"/>
              </w:rPr>
              <m:t>t</m:t>
            </m:r>
            <m:r>
              <m:rPr>
                <m:sty m:val="p"/>
              </m:rPr>
              <w:rPr>
                <w:rFonts w:ascii="Cambria Math" w:hAnsi="Cambria Math" w:cs="Arial"/>
                <w:vertAlign w:val="subscript"/>
              </w:rPr>
              <m:t>-</m:t>
            </m:r>
            <m:r>
              <w:rPr>
                <w:rFonts w:ascii="Cambria Math" w:hAnsi="Cambria Math" w:cs="Arial"/>
                <w:vertAlign w:val="subscript"/>
              </w:rPr>
              <m:t>i</m:t>
            </m:r>
          </m:sub>
        </m:sSub>
      </m:oMath>
      <w:r w:rsidR="007F6B94">
        <w:rPr>
          <w:rFonts w:ascii="Arial" w:eastAsiaTheme="minorEastAsia" w:hAnsi="Arial" w:cs="Arial"/>
        </w:rPr>
        <w:t xml:space="preserve"> - </w:t>
      </w:r>
      <m:oMath>
        <m:sSub>
          <m:sSubPr>
            <m:ctrlPr>
              <w:rPr>
                <w:rFonts w:ascii="Cambria Math" w:hAnsi="Cambria Math" w:cs="Arial"/>
              </w:rPr>
            </m:ctrlPr>
          </m:sSubPr>
          <m:e>
            <m:sSub>
              <m:sSubPr>
                <m:ctrlPr>
                  <w:rPr>
                    <w:rFonts w:ascii="Cambria Math" w:hAnsi="Cambria Math" w:cs="Arial"/>
                  </w:rPr>
                </m:ctrlPr>
              </m:sSubPr>
              <m:e>
                <m:r>
                  <w:rPr>
                    <w:rFonts w:ascii="Cambria Math" w:hAnsi="Cambria Math" w:cs="Arial"/>
                  </w:rPr>
                  <m:t>α</m:t>
                </m:r>
              </m:e>
              <m:sub>
                <m:r>
                  <m:rPr>
                    <m:sty m:val="p"/>
                  </m:rPr>
                  <w:rPr>
                    <w:rFonts w:ascii="Cambria Math" w:hAnsi="Cambria Math" w:cs="Arial"/>
                    <w:vertAlign w:val="subscript"/>
                  </w:rPr>
                  <m:t>2</m:t>
                </m:r>
              </m:sub>
            </m:sSub>
            <m:r>
              <w:rPr>
                <w:rFonts w:ascii="Cambria Math" w:hAnsi="Cambria Math" w:cs="Arial"/>
              </w:rPr>
              <m:t>z</m:t>
            </m:r>
          </m:e>
          <m:sub>
            <m:r>
              <w:rPr>
                <w:rFonts w:ascii="Cambria Math" w:hAnsi="Cambria Math" w:cs="Arial"/>
                <w:vertAlign w:val="subscript"/>
              </w:rPr>
              <m:t>t</m:t>
            </m:r>
            <m:r>
              <m:rPr>
                <m:sty m:val="p"/>
              </m:rPr>
              <w:rPr>
                <w:rFonts w:ascii="Cambria Math" w:hAnsi="Cambria Math" w:cs="Arial"/>
                <w:vertAlign w:val="subscript"/>
              </w:rPr>
              <m:t>-</m:t>
            </m:r>
            <m:r>
              <w:rPr>
                <w:rFonts w:ascii="Cambria Math" w:hAnsi="Cambria Math" w:cs="Arial"/>
                <w:vertAlign w:val="subscript"/>
              </w:rPr>
              <m:t>i</m:t>
            </m:r>
          </m:sub>
        </m:sSub>
      </m:oMath>
      <w:r w:rsidR="007F6B94">
        <w:rPr>
          <w:rFonts w:ascii="Arial" w:eastAsiaTheme="minorEastAsia" w:hAnsi="Arial" w:cs="Arial"/>
        </w:rPr>
        <w:t xml:space="preserve"> - </w:t>
      </w:r>
      <m:oMath>
        <m:sSub>
          <m:sSubPr>
            <m:ctrlPr>
              <w:rPr>
                <w:rFonts w:ascii="Cambria Math" w:hAnsi="Cambria Math" w:cs="Arial"/>
              </w:rPr>
            </m:ctrlPr>
          </m:sSubPr>
          <m:e>
            <m:sSub>
              <m:sSubPr>
                <m:ctrlPr>
                  <w:rPr>
                    <w:rFonts w:ascii="Cambria Math" w:hAnsi="Cambria Math" w:cs="Arial"/>
                  </w:rPr>
                </m:ctrlPr>
              </m:sSubPr>
              <m:e>
                <m:r>
                  <w:rPr>
                    <w:rFonts w:ascii="Cambria Math" w:hAnsi="Cambria Math" w:cs="Arial"/>
                  </w:rPr>
                  <m:t>α</m:t>
                </m:r>
              </m:e>
              <m:sub>
                <m:r>
                  <m:rPr>
                    <m:sty m:val="p"/>
                  </m:rPr>
                  <w:rPr>
                    <w:rFonts w:ascii="Cambria Math" w:hAnsi="Cambria Math" w:cs="Arial"/>
                    <w:vertAlign w:val="subscript"/>
                  </w:rPr>
                  <m:t>3</m:t>
                </m:r>
              </m:sub>
            </m:sSub>
            <m:r>
              <w:rPr>
                <w:rFonts w:ascii="Cambria Math" w:hAnsi="Cambria Math" w:cs="Arial"/>
              </w:rPr>
              <m:t>x</m:t>
            </m:r>
          </m:e>
          <m:sub>
            <m:r>
              <w:rPr>
                <w:rFonts w:ascii="Cambria Math" w:hAnsi="Cambria Math" w:cs="Arial"/>
                <w:vertAlign w:val="subscript"/>
              </w:rPr>
              <m:t>t</m:t>
            </m:r>
            <m:r>
              <m:rPr>
                <m:sty m:val="p"/>
              </m:rPr>
              <w:rPr>
                <w:rFonts w:ascii="Cambria Math" w:hAnsi="Cambria Math" w:cs="Arial"/>
                <w:vertAlign w:val="subscript"/>
              </w:rPr>
              <m:t>-</m:t>
            </m:r>
            <m:r>
              <w:rPr>
                <w:rFonts w:ascii="Cambria Math" w:hAnsi="Cambria Math" w:cs="Arial"/>
                <w:vertAlign w:val="subscript"/>
              </w:rPr>
              <m:t>i</m:t>
            </m:r>
          </m:sub>
        </m:sSub>
      </m:oMath>
      <w:r w:rsidR="007F6B94">
        <w:rPr>
          <w:rFonts w:ascii="Arial" w:eastAsiaTheme="minorEastAsia" w:hAnsi="Arial" w:cs="Arial"/>
        </w:rPr>
        <w:t xml:space="preserve"> - </w:t>
      </w:r>
      <m:oMath>
        <m:sSub>
          <m:sSubPr>
            <m:ctrlPr>
              <w:rPr>
                <w:rFonts w:ascii="Cambria Math" w:hAnsi="Cambria Math" w:cs="Arial"/>
              </w:rPr>
            </m:ctrlPr>
          </m:sSubPr>
          <m:e>
            <m:sSub>
              <m:sSubPr>
                <m:ctrlPr>
                  <w:rPr>
                    <w:rFonts w:ascii="Cambria Math" w:hAnsi="Cambria Math" w:cs="Arial"/>
                  </w:rPr>
                </m:ctrlPr>
              </m:sSubPr>
              <m:e>
                <m:r>
                  <w:rPr>
                    <w:rFonts w:ascii="Cambria Math" w:hAnsi="Cambria Math" w:cs="Arial"/>
                  </w:rPr>
                  <m:t>α</m:t>
                </m:r>
              </m:e>
              <m:sub>
                <m:r>
                  <m:rPr>
                    <m:sty m:val="p"/>
                  </m:rPr>
                  <w:rPr>
                    <w:rFonts w:ascii="Cambria Math" w:hAnsi="Cambria Math" w:cs="Arial"/>
                    <w:vertAlign w:val="subscript"/>
                  </w:rPr>
                  <m:t>4</m:t>
                </m:r>
              </m:sub>
            </m:sSub>
            <m:r>
              <w:rPr>
                <w:rFonts w:ascii="Cambria Math" w:hAnsi="Cambria Math" w:cs="Arial"/>
              </w:rPr>
              <m:t>m</m:t>
            </m:r>
          </m:e>
          <m:sub>
            <m:r>
              <w:rPr>
                <w:rFonts w:ascii="Cambria Math" w:hAnsi="Cambria Math" w:cs="Arial"/>
                <w:vertAlign w:val="subscript"/>
              </w:rPr>
              <m:t>t</m:t>
            </m:r>
            <m:r>
              <m:rPr>
                <m:sty m:val="p"/>
              </m:rPr>
              <w:rPr>
                <w:rFonts w:ascii="Cambria Math" w:hAnsi="Cambria Math" w:cs="Arial"/>
                <w:vertAlign w:val="subscript"/>
              </w:rPr>
              <m:t>-</m:t>
            </m:r>
            <m:r>
              <w:rPr>
                <w:rFonts w:ascii="Cambria Math" w:hAnsi="Cambria Math" w:cs="Arial"/>
                <w:vertAlign w:val="subscript"/>
              </w:rPr>
              <m:t>i</m:t>
            </m:r>
          </m:sub>
        </m:sSub>
      </m:oMath>
      <w:r w:rsidR="007F6B94">
        <w:rPr>
          <w:rFonts w:ascii="Arial" w:eastAsiaTheme="minorEastAsia" w:hAnsi="Arial" w:cs="Arial"/>
        </w:rPr>
        <w:t xml:space="preserve"> - </w:t>
      </w:r>
      <m:oMath>
        <m:sSub>
          <m:sSubPr>
            <m:ctrlPr>
              <w:rPr>
                <w:rFonts w:ascii="Cambria Math" w:hAnsi="Cambria Math" w:cs="Arial"/>
              </w:rPr>
            </m:ctrlPr>
          </m:sSubPr>
          <m:e>
            <m:sSub>
              <m:sSubPr>
                <m:ctrlPr>
                  <w:rPr>
                    <w:rFonts w:ascii="Cambria Math" w:hAnsi="Cambria Math" w:cs="Arial"/>
                  </w:rPr>
                </m:ctrlPr>
              </m:sSubPr>
              <m:e>
                <m:r>
                  <w:rPr>
                    <w:rFonts w:ascii="Cambria Math" w:hAnsi="Cambria Math" w:cs="Arial"/>
                  </w:rPr>
                  <m:t>α</m:t>
                </m:r>
              </m:e>
              <m:sub>
                <m:r>
                  <m:rPr>
                    <m:sty m:val="p"/>
                  </m:rPr>
                  <w:rPr>
                    <w:rFonts w:ascii="Cambria Math" w:hAnsi="Cambria Math" w:cs="Arial"/>
                  </w:rPr>
                  <m:t>5</m:t>
                </m:r>
              </m:sub>
            </m:sSub>
            <m:r>
              <w:rPr>
                <w:rFonts w:ascii="Cambria Math" w:hAnsi="Cambria Math" w:cs="Arial"/>
              </w:rPr>
              <m:t>n</m:t>
            </m:r>
          </m:e>
          <m:sub>
            <m:r>
              <w:rPr>
                <w:rFonts w:ascii="Cambria Math" w:hAnsi="Cambria Math" w:cs="Arial"/>
                <w:vertAlign w:val="subscript"/>
              </w:rPr>
              <m:t>t</m:t>
            </m:r>
            <m:r>
              <m:rPr>
                <m:sty m:val="p"/>
              </m:rPr>
              <w:rPr>
                <w:rFonts w:ascii="Cambria Math" w:hAnsi="Cambria Math" w:cs="Arial"/>
                <w:vertAlign w:val="subscript"/>
              </w:rPr>
              <m:t>-</m:t>
            </m:r>
            <m:r>
              <w:rPr>
                <w:rFonts w:ascii="Cambria Math" w:hAnsi="Cambria Math" w:cs="Arial"/>
                <w:vertAlign w:val="subscript"/>
              </w:rPr>
              <m:t>i</m:t>
            </m:r>
          </m:sub>
        </m:sSub>
      </m:oMath>
      <w:r w:rsidR="007F6B94">
        <w:rPr>
          <w:rFonts w:ascii="Arial" w:eastAsiaTheme="minorEastAsia" w:hAnsi="Arial" w:cs="Arial"/>
        </w:rPr>
        <w:t xml:space="preserve"> - </w:t>
      </w:r>
      <m:oMath>
        <m:sSub>
          <m:sSubPr>
            <m:ctrlPr>
              <w:rPr>
                <w:rFonts w:ascii="Cambria Math" w:hAnsi="Cambria Math" w:cs="Arial"/>
              </w:rPr>
            </m:ctrlPr>
          </m:sSubPr>
          <m:e>
            <m:sSub>
              <m:sSubPr>
                <m:ctrlPr>
                  <w:rPr>
                    <w:rFonts w:ascii="Cambria Math" w:hAnsi="Cambria Math" w:cs="Arial"/>
                  </w:rPr>
                </m:ctrlPr>
              </m:sSubPr>
              <m:e>
                <m:r>
                  <w:rPr>
                    <w:rFonts w:ascii="Cambria Math" w:hAnsi="Cambria Math" w:cs="Arial"/>
                  </w:rPr>
                  <m:t>α</m:t>
                </m:r>
              </m:e>
              <m:sub>
                <m:r>
                  <m:rPr>
                    <m:sty m:val="p"/>
                  </m:rPr>
                  <w:rPr>
                    <w:rFonts w:ascii="Cambria Math" w:hAnsi="Cambria Math" w:cs="Arial"/>
                  </w:rPr>
                  <m:t>6</m:t>
                </m:r>
              </m:sub>
            </m:sSub>
            <m:r>
              <w:rPr>
                <w:rFonts w:ascii="Cambria Math" w:hAnsi="Cambria Math" w:cs="Arial"/>
              </w:rPr>
              <m:t>q</m:t>
            </m:r>
          </m:e>
          <m:sub>
            <m:r>
              <w:rPr>
                <w:rFonts w:ascii="Cambria Math" w:hAnsi="Cambria Math" w:cs="Arial"/>
                <w:vertAlign w:val="subscript"/>
              </w:rPr>
              <m:t>t</m:t>
            </m:r>
            <m:r>
              <m:rPr>
                <m:sty m:val="p"/>
              </m:rPr>
              <w:rPr>
                <w:rFonts w:ascii="Cambria Math" w:hAnsi="Cambria Math" w:cs="Arial"/>
                <w:vertAlign w:val="subscript"/>
              </w:rPr>
              <m:t>-</m:t>
            </m:r>
            <m:r>
              <w:rPr>
                <w:rFonts w:ascii="Cambria Math" w:hAnsi="Cambria Math" w:cs="Arial"/>
                <w:vertAlign w:val="subscript"/>
              </w:rPr>
              <m:t>i</m:t>
            </m:r>
          </m:sub>
        </m:sSub>
      </m:oMath>
      <w:r w:rsidR="007F6B94">
        <w:rPr>
          <w:rFonts w:ascii="Arial" w:eastAsiaTheme="minorEastAsia" w:hAnsi="Arial" w:cs="Arial"/>
        </w:rPr>
        <w:t xml:space="preserve">   </w:t>
      </w:r>
      <w:r w:rsidR="007F6B94">
        <w:rPr>
          <w:rFonts w:ascii="Arial" w:eastAsiaTheme="minorEastAsia" w:hAnsi="Arial" w:cs="Arial"/>
        </w:rPr>
        <w:tab/>
      </w:r>
      <w:r w:rsidR="007F6B94">
        <w:rPr>
          <w:rFonts w:ascii="Arial" w:eastAsiaTheme="minorEastAsia" w:hAnsi="Arial" w:cs="Arial"/>
        </w:rPr>
        <w:tab/>
      </w:r>
      <w:r w:rsidR="0074054B">
        <w:rPr>
          <w:rFonts w:ascii="Arial" w:eastAsiaTheme="minorEastAsia" w:hAnsi="Arial" w:cs="Arial"/>
        </w:rPr>
        <w:t xml:space="preserve">   </w:t>
      </w:r>
      <w:r w:rsidR="007F6B94">
        <w:rPr>
          <w:rFonts w:ascii="Arial" w:eastAsiaTheme="minorEastAsia" w:hAnsi="Arial" w:cs="Arial"/>
        </w:rPr>
        <w:t xml:space="preserve">                          </w:t>
      </w:r>
      <w:r w:rsidR="0074054B">
        <w:rPr>
          <w:rFonts w:ascii="Arial" w:eastAsiaTheme="minorEastAsia" w:hAnsi="Arial" w:cs="Arial"/>
        </w:rPr>
        <w:t xml:space="preserve">  (</w:t>
      </w:r>
      <w:r w:rsidR="007F6B94">
        <w:rPr>
          <w:rFonts w:ascii="Arial" w:eastAsiaTheme="minorEastAsia" w:hAnsi="Arial" w:cs="Arial"/>
        </w:rPr>
        <w:t>3</w:t>
      </w:r>
      <w:r w:rsidR="007F6B94" w:rsidRPr="002D30C0">
        <w:rPr>
          <w:rFonts w:ascii="Arial" w:eastAsiaTheme="minorEastAsia" w:hAnsi="Arial" w:cs="Arial"/>
        </w:rPr>
        <w:t>.</w:t>
      </w:r>
      <w:r w:rsidR="00272AC8">
        <w:rPr>
          <w:rFonts w:ascii="Arial" w:eastAsiaTheme="minorEastAsia" w:hAnsi="Arial" w:cs="Arial"/>
        </w:rPr>
        <w:t>2</w:t>
      </w:r>
      <w:r w:rsidR="007F6B94" w:rsidRPr="002D30C0">
        <w:rPr>
          <w:rFonts w:ascii="Arial" w:eastAsiaTheme="minorEastAsia" w:hAnsi="Arial" w:cs="Arial"/>
        </w:rPr>
        <w:t>1</w:t>
      </w:r>
      <w:r w:rsidR="00272AC8">
        <w:rPr>
          <w:rFonts w:ascii="Arial" w:eastAsiaTheme="minorEastAsia" w:hAnsi="Arial" w:cs="Arial"/>
        </w:rPr>
        <w:t>)</w:t>
      </w:r>
    </w:p>
    <w:p w14:paraId="63E06594" w14:textId="77777777" w:rsidR="007F6B94" w:rsidRDefault="007F6B94" w:rsidP="0066301C">
      <w:pPr>
        <w:autoSpaceDE w:val="0"/>
        <w:autoSpaceDN w:val="0"/>
        <w:adjustRightInd w:val="0"/>
        <w:spacing w:after="0" w:line="360" w:lineRule="auto"/>
        <w:jc w:val="both"/>
        <w:rPr>
          <w:rFonts w:ascii="Arial" w:eastAsiaTheme="minorEastAsia" w:hAnsi="Arial" w:cs="Arial"/>
        </w:rPr>
      </w:pPr>
      <w:r>
        <w:rPr>
          <w:rFonts w:ascii="Arial" w:eastAsiaTheme="minorEastAsia" w:hAnsi="Arial" w:cs="Arial"/>
        </w:rPr>
        <w:t xml:space="preserve">The above equation for </w:t>
      </w:r>
      <m:oMath>
        <m:sSub>
          <m:sSubPr>
            <m:ctrlPr>
              <w:rPr>
                <w:rFonts w:ascii="Cambria Math" w:eastAsiaTheme="minorEastAsia" w:hAnsi="Cambria Math" w:cs="Arial"/>
                <w:i/>
              </w:rPr>
            </m:ctrlPr>
          </m:sSubPr>
          <m:e>
            <m:r>
              <w:rPr>
                <w:rFonts w:ascii="Cambria Math" w:hAnsi="Cambria Math" w:cs="Arial"/>
              </w:rPr>
              <m:t>ECT</m:t>
            </m:r>
          </m:e>
          <m:sub>
            <m:r>
              <w:rPr>
                <w:rFonts w:ascii="Cambria Math" w:eastAsiaTheme="minorEastAsia" w:hAnsi="Cambria Math" w:cs="Arial"/>
              </w:rPr>
              <m:t>t-1</m:t>
            </m:r>
          </m:sub>
        </m:sSub>
      </m:oMath>
      <w:r>
        <w:rPr>
          <w:rFonts w:ascii="Arial" w:eastAsiaTheme="minorEastAsia" w:hAnsi="Arial" w:cs="Arial"/>
        </w:rPr>
        <w:t xml:space="preserve">, represents the cointegrating equation and long-run model. </w:t>
      </w:r>
    </w:p>
    <w:p w14:paraId="32A5D8AD" w14:textId="77777777" w:rsidR="007F6B94" w:rsidRPr="00BF7137" w:rsidRDefault="007F6B94" w:rsidP="0066301C">
      <w:pPr>
        <w:spacing w:line="360" w:lineRule="auto"/>
        <w:jc w:val="both"/>
        <w:rPr>
          <w:rFonts w:ascii="Arial" w:hAnsi="Arial" w:cs="Arial"/>
          <w:lang w:eastAsia="en-GB"/>
        </w:rPr>
      </w:pPr>
      <w:r w:rsidRPr="00BF7137">
        <w:rPr>
          <w:rFonts w:ascii="Arial" w:hAnsi="Arial" w:cs="Arial"/>
          <w:lang w:eastAsia="en-GB"/>
        </w:rPr>
        <w:t xml:space="preserve">Whereby:  </w:t>
      </w:r>
    </w:p>
    <w:p w14:paraId="1F762CA2" w14:textId="77777777" w:rsidR="007F6B94" w:rsidRPr="001016F9" w:rsidRDefault="007F6B94" w:rsidP="0066301C">
      <w:pPr>
        <w:spacing w:line="360" w:lineRule="auto"/>
        <w:jc w:val="both"/>
        <w:rPr>
          <w:rFonts w:ascii="Arial" w:hAnsi="Arial" w:cs="Arial"/>
          <w:lang w:eastAsia="en-GB"/>
        </w:rPr>
      </w:pPr>
      <w:r w:rsidRPr="00BF7137">
        <w:rPr>
          <w:rFonts w:ascii="Arial" w:hAnsi="Arial" w:cs="Arial"/>
          <w:lang w:eastAsia="en-GB"/>
        </w:rPr>
        <w:t>[</w:t>
      </w:r>
      <m:oMath>
        <m:sSub>
          <m:sSubPr>
            <m:ctrlPr>
              <w:rPr>
                <w:rFonts w:ascii="Cambria Math" w:hAnsi="Cambria Math" w:cs="Arial"/>
                <w:i/>
              </w:rPr>
            </m:ctrlPr>
          </m:sSubPr>
          <m:e>
            <m:r>
              <w:rPr>
                <w:rFonts w:ascii="Cambria Math" w:hAnsi="Cambria Math" w:cs="Arial"/>
              </w:rPr>
              <m:t>α</m:t>
            </m:r>
          </m:e>
          <m:sub>
            <m:r>
              <w:rPr>
                <w:rFonts w:ascii="Cambria Math" w:hAnsi="Cambria Math" w:cs="Arial"/>
              </w:rPr>
              <m:t>0</m:t>
            </m:r>
          </m:sub>
        </m:sSub>
        <m:r>
          <w:rPr>
            <w:rFonts w:ascii="Cambria Math" w:hAnsi="Cambria Math" w:cs="Arial"/>
          </w:rPr>
          <m:t>+</m:t>
        </m:r>
        <m:nary>
          <m:naryPr>
            <m:chr m:val="∑"/>
            <m:limLoc m:val="undOvr"/>
            <m:ctrlPr>
              <w:rPr>
                <w:rFonts w:ascii="Cambria Math" w:hAnsi="Cambria Math" w:cs="Arial"/>
              </w:rPr>
            </m:ctrlPr>
          </m:naryPr>
          <m:sub>
            <m:r>
              <w:rPr>
                <w:rFonts w:ascii="Cambria Math" w:hAnsi="Cambria Math" w:cs="Arial"/>
              </w:rPr>
              <m:t>i</m:t>
            </m:r>
            <m:r>
              <m:rPr>
                <m:sty m:val="p"/>
              </m:rPr>
              <w:rPr>
                <w:rFonts w:ascii="Cambria Math" w:hAnsi="Cambria Math" w:cs="Arial"/>
              </w:rPr>
              <m:t>=1</m:t>
            </m:r>
          </m:sub>
          <m:sup>
            <m:r>
              <w:rPr>
                <w:rFonts w:ascii="Cambria Math" w:hAnsi="Cambria Math" w:cs="Arial"/>
              </w:rPr>
              <m:t>k-1</m:t>
            </m:r>
          </m:sup>
          <m:e>
            <m:sSub>
              <m:sSubPr>
                <m:ctrlPr>
                  <w:rPr>
                    <w:rFonts w:ascii="Cambria Math" w:hAnsi="Cambria Math" w:cs="Arial"/>
                  </w:rPr>
                </m:ctrlPr>
              </m:sSubPr>
              <m:e>
                <m:sSub>
                  <m:sSubPr>
                    <m:ctrlPr>
                      <w:rPr>
                        <w:rFonts w:ascii="Cambria Math" w:hAnsi="Cambria Math" w:cs="Arial"/>
                      </w:rPr>
                    </m:ctrlPr>
                  </m:sSubPr>
                  <m:e>
                    <m:r>
                      <w:rPr>
                        <w:rFonts w:ascii="Cambria Math" w:hAnsi="Cambria Math" w:cs="Arial"/>
                      </w:rPr>
                      <m:t>α</m:t>
                    </m:r>
                  </m:e>
                  <m:sub>
                    <m:r>
                      <m:rPr>
                        <m:sty m:val="p"/>
                      </m:rPr>
                      <w:rPr>
                        <w:rFonts w:ascii="Cambria Math" w:hAnsi="Cambria Math" w:cs="Arial"/>
                        <w:vertAlign w:val="subscript"/>
                      </w:rPr>
                      <m:t>1</m:t>
                    </m:r>
                  </m:sub>
                </m:sSub>
                <m:r>
                  <w:rPr>
                    <w:rFonts w:ascii="Cambria Math" w:hAnsi="Cambria Math" w:cs="Arial"/>
                  </w:rPr>
                  <m:t>Δy</m:t>
                </m:r>
              </m:e>
              <m:sub>
                <m:r>
                  <w:rPr>
                    <w:rFonts w:ascii="Cambria Math" w:hAnsi="Cambria Math" w:cs="Arial"/>
                    <w:vertAlign w:val="subscript"/>
                  </w:rPr>
                  <m:t>t</m:t>
                </m:r>
                <m:r>
                  <m:rPr>
                    <m:sty m:val="p"/>
                  </m:rPr>
                  <w:rPr>
                    <w:rFonts w:ascii="Cambria Math" w:hAnsi="Cambria Math" w:cs="Arial"/>
                    <w:vertAlign w:val="subscript"/>
                  </w:rPr>
                  <m:t>-</m:t>
                </m:r>
                <m:r>
                  <w:rPr>
                    <w:rFonts w:ascii="Cambria Math" w:hAnsi="Cambria Math" w:cs="Arial"/>
                    <w:vertAlign w:val="subscript"/>
                  </w:rPr>
                  <m:t>i</m:t>
                </m:r>
              </m:sub>
            </m:sSub>
          </m:e>
        </m:nary>
        <m:r>
          <m:rPr>
            <m:sty m:val="p"/>
          </m:rPr>
          <w:rPr>
            <w:rFonts w:ascii="Cambria Math" w:hAnsi="Cambria Math" w:cs="Arial"/>
          </w:rPr>
          <m:t xml:space="preserve">+ </m:t>
        </m:r>
        <m:nary>
          <m:naryPr>
            <m:chr m:val="∑"/>
            <m:limLoc m:val="undOvr"/>
            <m:ctrlPr>
              <w:rPr>
                <w:rFonts w:ascii="Cambria Math" w:hAnsi="Cambria Math" w:cs="Arial"/>
              </w:rPr>
            </m:ctrlPr>
          </m:naryPr>
          <m:sub>
            <m:r>
              <w:rPr>
                <w:rFonts w:ascii="Cambria Math" w:hAnsi="Cambria Math" w:cs="Arial"/>
              </w:rPr>
              <m:t>i</m:t>
            </m:r>
            <m:r>
              <m:rPr>
                <m:sty m:val="p"/>
              </m:rPr>
              <w:rPr>
                <w:rFonts w:ascii="Cambria Math" w:hAnsi="Cambria Math" w:cs="Arial"/>
              </w:rPr>
              <m:t>=1</m:t>
            </m:r>
          </m:sub>
          <m:sup>
            <m:r>
              <w:rPr>
                <w:rFonts w:ascii="Cambria Math" w:hAnsi="Cambria Math" w:cs="Arial"/>
              </w:rPr>
              <m:t>k-1</m:t>
            </m:r>
          </m:sup>
          <m:e>
            <m:sSub>
              <m:sSubPr>
                <m:ctrlPr>
                  <w:rPr>
                    <w:rFonts w:ascii="Cambria Math" w:hAnsi="Cambria Math" w:cs="Arial"/>
                  </w:rPr>
                </m:ctrlPr>
              </m:sSubPr>
              <m:e>
                <m:sSub>
                  <m:sSubPr>
                    <m:ctrlPr>
                      <w:rPr>
                        <w:rFonts w:ascii="Cambria Math" w:hAnsi="Cambria Math" w:cs="Arial"/>
                      </w:rPr>
                    </m:ctrlPr>
                  </m:sSubPr>
                  <m:e>
                    <m:r>
                      <w:rPr>
                        <w:rFonts w:ascii="Cambria Math" w:hAnsi="Cambria Math" w:cs="Arial"/>
                      </w:rPr>
                      <m:t>α</m:t>
                    </m:r>
                  </m:e>
                  <m:sub>
                    <m:r>
                      <m:rPr>
                        <m:sty m:val="p"/>
                      </m:rPr>
                      <w:rPr>
                        <w:rFonts w:ascii="Cambria Math" w:hAnsi="Cambria Math" w:cs="Arial"/>
                        <w:vertAlign w:val="subscript"/>
                      </w:rPr>
                      <m:t>2</m:t>
                    </m:r>
                  </m:sub>
                </m:sSub>
                <m:r>
                  <w:rPr>
                    <w:rFonts w:ascii="Cambria Math" w:hAnsi="Cambria Math" w:cs="Arial"/>
                  </w:rPr>
                  <m:t>Δz</m:t>
                </m:r>
              </m:e>
              <m:sub>
                <m:r>
                  <w:rPr>
                    <w:rFonts w:ascii="Cambria Math" w:hAnsi="Cambria Math" w:cs="Arial"/>
                    <w:vertAlign w:val="subscript"/>
                  </w:rPr>
                  <m:t>t</m:t>
                </m:r>
                <m:r>
                  <m:rPr>
                    <m:sty m:val="p"/>
                  </m:rPr>
                  <w:rPr>
                    <w:rFonts w:ascii="Cambria Math" w:hAnsi="Cambria Math" w:cs="Arial"/>
                    <w:vertAlign w:val="subscript"/>
                  </w:rPr>
                  <m:t>-</m:t>
                </m:r>
                <m:r>
                  <w:rPr>
                    <w:rFonts w:ascii="Cambria Math" w:hAnsi="Cambria Math" w:cs="Arial"/>
                    <w:vertAlign w:val="subscript"/>
                  </w:rPr>
                  <m:t>i</m:t>
                </m:r>
              </m:sub>
            </m:sSub>
          </m:e>
        </m:nary>
        <m:r>
          <m:rPr>
            <m:sty m:val="p"/>
          </m:rPr>
          <w:rPr>
            <w:rFonts w:ascii="Cambria Math" w:hAnsi="Cambria Math" w:cs="Arial"/>
          </w:rPr>
          <m:t xml:space="preserve"> + </m:t>
        </m:r>
        <m:nary>
          <m:naryPr>
            <m:chr m:val="∑"/>
            <m:limLoc m:val="undOvr"/>
            <m:ctrlPr>
              <w:rPr>
                <w:rFonts w:ascii="Cambria Math" w:hAnsi="Cambria Math" w:cs="Arial"/>
              </w:rPr>
            </m:ctrlPr>
          </m:naryPr>
          <m:sub>
            <m:r>
              <w:rPr>
                <w:rFonts w:ascii="Cambria Math" w:hAnsi="Cambria Math" w:cs="Arial"/>
              </w:rPr>
              <m:t>i</m:t>
            </m:r>
            <m:r>
              <m:rPr>
                <m:sty m:val="p"/>
              </m:rPr>
              <w:rPr>
                <w:rFonts w:ascii="Cambria Math" w:hAnsi="Cambria Math" w:cs="Arial"/>
              </w:rPr>
              <m:t>=1</m:t>
            </m:r>
          </m:sub>
          <m:sup>
            <m:r>
              <w:rPr>
                <w:rFonts w:ascii="Cambria Math" w:hAnsi="Cambria Math" w:cs="Arial"/>
              </w:rPr>
              <m:t>k-1</m:t>
            </m:r>
          </m:sup>
          <m:e>
            <m:sSub>
              <m:sSubPr>
                <m:ctrlPr>
                  <w:rPr>
                    <w:rFonts w:ascii="Cambria Math" w:hAnsi="Cambria Math" w:cs="Arial"/>
                  </w:rPr>
                </m:ctrlPr>
              </m:sSubPr>
              <m:e>
                <m:sSub>
                  <m:sSubPr>
                    <m:ctrlPr>
                      <w:rPr>
                        <w:rFonts w:ascii="Cambria Math" w:hAnsi="Cambria Math" w:cs="Arial"/>
                      </w:rPr>
                    </m:ctrlPr>
                  </m:sSubPr>
                  <m:e>
                    <m:r>
                      <w:rPr>
                        <w:rFonts w:ascii="Cambria Math" w:hAnsi="Cambria Math" w:cs="Arial"/>
                      </w:rPr>
                      <m:t>α</m:t>
                    </m:r>
                  </m:e>
                  <m:sub>
                    <m:r>
                      <m:rPr>
                        <m:sty m:val="p"/>
                      </m:rPr>
                      <w:rPr>
                        <w:rFonts w:ascii="Cambria Math" w:hAnsi="Cambria Math" w:cs="Arial"/>
                        <w:vertAlign w:val="subscript"/>
                      </w:rPr>
                      <m:t>3</m:t>
                    </m:r>
                  </m:sub>
                </m:sSub>
                <m:r>
                  <w:rPr>
                    <w:rFonts w:ascii="Cambria Math" w:hAnsi="Cambria Math" w:cs="Arial"/>
                  </w:rPr>
                  <m:t>Δx</m:t>
                </m:r>
              </m:e>
              <m:sub>
                <m:r>
                  <w:rPr>
                    <w:rFonts w:ascii="Cambria Math" w:hAnsi="Cambria Math" w:cs="Arial"/>
                    <w:vertAlign w:val="subscript"/>
                  </w:rPr>
                  <m:t>t</m:t>
                </m:r>
                <m:r>
                  <m:rPr>
                    <m:sty m:val="p"/>
                  </m:rPr>
                  <w:rPr>
                    <w:rFonts w:ascii="Cambria Math" w:hAnsi="Cambria Math" w:cs="Arial"/>
                    <w:vertAlign w:val="subscript"/>
                  </w:rPr>
                  <m:t>-</m:t>
                </m:r>
                <m:r>
                  <w:rPr>
                    <w:rFonts w:ascii="Cambria Math" w:hAnsi="Cambria Math" w:cs="Arial"/>
                    <w:vertAlign w:val="subscript"/>
                  </w:rPr>
                  <m:t>i</m:t>
                </m:r>
              </m:sub>
            </m:sSub>
          </m:e>
        </m:nary>
        <m:r>
          <m:rPr>
            <m:sty m:val="p"/>
          </m:rPr>
          <w:rPr>
            <w:rFonts w:ascii="Cambria Math" w:hAnsi="Cambria Math" w:cs="Arial"/>
          </w:rPr>
          <m:t xml:space="preserve"> + </m:t>
        </m:r>
        <m:nary>
          <m:naryPr>
            <m:chr m:val="∑"/>
            <m:limLoc m:val="undOvr"/>
            <m:ctrlPr>
              <w:rPr>
                <w:rFonts w:ascii="Cambria Math" w:hAnsi="Cambria Math" w:cs="Arial"/>
              </w:rPr>
            </m:ctrlPr>
          </m:naryPr>
          <m:sub>
            <m:r>
              <w:rPr>
                <w:rFonts w:ascii="Cambria Math" w:hAnsi="Cambria Math" w:cs="Arial"/>
              </w:rPr>
              <m:t>i</m:t>
            </m:r>
            <m:r>
              <m:rPr>
                <m:sty m:val="p"/>
              </m:rPr>
              <w:rPr>
                <w:rFonts w:ascii="Cambria Math" w:hAnsi="Cambria Math" w:cs="Arial"/>
              </w:rPr>
              <m:t>=1</m:t>
            </m:r>
          </m:sub>
          <m:sup>
            <m:r>
              <w:rPr>
                <w:rFonts w:ascii="Cambria Math" w:hAnsi="Cambria Math" w:cs="Arial"/>
              </w:rPr>
              <m:t>k-1</m:t>
            </m:r>
          </m:sup>
          <m:e>
            <m:sSub>
              <m:sSubPr>
                <m:ctrlPr>
                  <w:rPr>
                    <w:rFonts w:ascii="Cambria Math" w:hAnsi="Cambria Math" w:cs="Arial"/>
                  </w:rPr>
                </m:ctrlPr>
              </m:sSubPr>
              <m:e>
                <m:sSub>
                  <m:sSubPr>
                    <m:ctrlPr>
                      <w:rPr>
                        <w:rFonts w:ascii="Cambria Math" w:hAnsi="Cambria Math" w:cs="Arial"/>
                      </w:rPr>
                    </m:ctrlPr>
                  </m:sSubPr>
                  <m:e>
                    <m:r>
                      <w:rPr>
                        <w:rFonts w:ascii="Cambria Math" w:hAnsi="Cambria Math" w:cs="Arial"/>
                      </w:rPr>
                      <m:t>α</m:t>
                    </m:r>
                  </m:e>
                  <m:sub>
                    <m:r>
                      <m:rPr>
                        <m:sty m:val="p"/>
                      </m:rPr>
                      <w:rPr>
                        <w:rFonts w:ascii="Cambria Math" w:hAnsi="Cambria Math" w:cs="Arial"/>
                        <w:vertAlign w:val="subscript"/>
                      </w:rPr>
                      <m:t>4</m:t>
                    </m:r>
                  </m:sub>
                </m:sSub>
                <m:r>
                  <w:rPr>
                    <w:rFonts w:ascii="Cambria Math" w:hAnsi="Cambria Math" w:cs="Arial"/>
                  </w:rPr>
                  <m:t>Δm</m:t>
                </m:r>
              </m:e>
              <m:sub>
                <m:r>
                  <w:rPr>
                    <w:rFonts w:ascii="Cambria Math" w:hAnsi="Cambria Math" w:cs="Arial"/>
                    <w:vertAlign w:val="subscript"/>
                  </w:rPr>
                  <m:t>t</m:t>
                </m:r>
                <m:r>
                  <m:rPr>
                    <m:sty m:val="p"/>
                  </m:rPr>
                  <w:rPr>
                    <w:rFonts w:ascii="Cambria Math" w:hAnsi="Cambria Math" w:cs="Arial"/>
                    <w:vertAlign w:val="subscript"/>
                  </w:rPr>
                  <m:t>-</m:t>
                </m:r>
                <m:r>
                  <w:rPr>
                    <w:rFonts w:ascii="Cambria Math" w:hAnsi="Cambria Math" w:cs="Arial"/>
                    <w:vertAlign w:val="subscript"/>
                  </w:rPr>
                  <m:t>i</m:t>
                </m:r>
              </m:sub>
            </m:sSub>
          </m:e>
        </m:nary>
        <m:r>
          <m:rPr>
            <m:sty m:val="p"/>
          </m:rPr>
          <w:rPr>
            <w:rFonts w:ascii="Cambria Math" w:hAnsi="Cambria Math" w:cs="Arial"/>
          </w:rPr>
          <m:t xml:space="preserve">+ </m:t>
        </m:r>
        <m:nary>
          <m:naryPr>
            <m:chr m:val="∑"/>
            <m:limLoc m:val="undOvr"/>
            <m:ctrlPr>
              <w:rPr>
                <w:rFonts w:ascii="Cambria Math" w:hAnsi="Cambria Math" w:cs="Arial"/>
              </w:rPr>
            </m:ctrlPr>
          </m:naryPr>
          <m:sub>
            <m:r>
              <w:rPr>
                <w:rFonts w:ascii="Cambria Math" w:hAnsi="Cambria Math" w:cs="Arial"/>
              </w:rPr>
              <m:t>i</m:t>
            </m:r>
            <m:r>
              <m:rPr>
                <m:sty m:val="p"/>
              </m:rPr>
              <w:rPr>
                <w:rFonts w:ascii="Cambria Math" w:hAnsi="Cambria Math" w:cs="Arial"/>
              </w:rPr>
              <m:t>=1</m:t>
            </m:r>
          </m:sub>
          <m:sup>
            <m:r>
              <w:rPr>
                <w:rFonts w:ascii="Cambria Math" w:hAnsi="Cambria Math" w:cs="Arial"/>
              </w:rPr>
              <m:t>k-1</m:t>
            </m:r>
          </m:sup>
          <m:e>
            <m:sSub>
              <m:sSubPr>
                <m:ctrlPr>
                  <w:rPr>
                    <w:rFonts w:ascii="Cambria Math" w:hAnsi="Cambria Math" w:cs="Arial"/>
                  </w:rPr>
                </m:ctrlPr>
              </m:sSubPr>
              <m:e>
                <m:sSub>
                  <m:sSubPr>
                    <m:ctrlPr>
                      <w:rPr>
                        <w:rFonts w:ascii="Cambria Math" w:hAnsi="Cambria Math" w:cs="Arial"/>
                      </w:rPr>
                    </m:ctrlPr>
                  </m:sSubPr>
                  <m:e>
                    <m:r>
                      <w:rPr>
                        <w:rFonts w:ascii="Cambria Math" w:hAnsi="Cambria Math" w:cs="Arial"/>
                      </w:rPr>
                      <m:t>α</m:t>
                    </m:r>
                  </m:e>
                  <m:sub>
                    <m:r>
                      <m:rPr>
                        <m:sty m:val="p"/>
                      </m:rPr>
                      <w:rPr>
                        <w:rFonts w:ascii="Cambria Math" w:hAnsi="Cambria Math" w:cs="Arial"/>
                      </w:rPr>
                      <m:t>5</m:t>
                    </m:r>
                  </m:sub>
                </m:sSub>
                <m:r>
                  <w:rPr>
                    <w:rFonts w:ascii="Cambria Math" w:hAnsi="Cambria Math" w:cs="Arial"/>
                  </w:rPr>
                  <m:t>Δn</m:t>
                </m:r>
              </m:e>
              <m:sub>
                <m:r>
                  <w:rPr>
                    <w:rFonts w:ascii="Cambria Math" w:hAnsi="Cambria Math" w:cs="Arial"/>
                    <w:vertAlign w:val="subscript"/>
                  </w:rPr>
                  <m:t>t</m:t>
                </m:r>
                <m:r>
                  <m:rPr>
                    <m:sty m:val="p"/>
                  </m:rPr>
                  <w:rPr>
                    <w:rFonts w:ascii="Cambria Math" w:hAnsi="Cambria Math" w:cs="Arial"/>
                    <w:vertAlign w:val="subscript"/>
                  </w:rPr>
                  <m:t>-</m:t>
                </m:r>
                <m:r>
                  <w:rPr>
                    <w:rFonts w:ascii="Cambria Math" w:hAnsi="Cambria Math" w:cs="Arial"/>
                    <w:vertAlign w:val="subscript"/>
                  </w:rPr>
                  <m:t>i</m:t>
                </m:r>
              </m:sub>
            </m:sSub>
          </m:e>
        </m:nary>
        <m:r>
          <m:rPr>
            <m:sty m:val="p"/>
          </m:rPr>
          <w:rPr>
            <w:rFonts w:ascii="Cambria Math" w:hAnsi="Cambria Math" w:cs="Arial"/>
          </w:rPr>
          <m:t>+</m:t>
        </m:r>
        <m:nary>
          <m:naryPr>
            <m:chr m:val="∑"/>
            <m:limLoc m:val="undOvr"/>
            <m:ctrlPr>
              <w:rPr>
                <w:rFonts w:ascii="Cambria Math" w:hAnsi="Cambria Math" w:cs="Arial"/>
              </w:rPr>
            </m:ctrlPr>
          </m:naryPr>
          <m:sub>
            <m:r>
              <w:rPr>
                <w:rFonts w:ascii="Cambria Math" w:hAnsi="Cambria Math" w:cs="Arial"/>
              </w:rPr>
              <m:t>i</m:t>
            </m:r>
            <m:r>
              <m:rPr>
                <m:sty m:val="p"/>
              </m:rPr>
              <w:rPr>
                <w:rFonts w:ascii="Cambria Math" w:hAnsi="Cambria Math" w:cs="Arial"/>
              </w:rPr>
              <m:t>=1</m:t>
            </m:r>
          </m:sub>
          <m:sup>
            <m:r>
              <w:rPr>
                <w:rFonts w:ascii="Cambria Math" w:hAnsi="Cambria Math" w:cs="Arial"/>
              </w:rPr>
              <m:t>k-1</m:t>
            </m:r>
          </m:sup>
          <m:e>
            <m:sSub>
              <m:sSubPr>
                <m:ctrlPr>
                  <w:rPr>
                    <w:rFonts w:ascii="Cambria Math" w:hAnsi="Cambria Math" w:cs="Arial"/>
                  </w:rPr>
                </m:ctrlPr>
              </m:sSubPr>
              <m:e>
                <m:sSub>
                  <m:sSubPr>
                    <m:ctrlPr>
                      <w:rPr>
                        <w:rFonts w:ascii="Cambria Math" w:hAnsi="Cambria Math" w:cs="Arial"/>
                      </w:rPr>
                    </m:ctrlPr>
                  </m:sSubPr>
                  <m:e>
                    <m:r>
                      <w:rPr>
                        <w:rFonts w:ascii="Cambria Math" w:hAnsi="Cambria Math" w:cs="Arial"/>
                      </w:rPr>
                      <m:t>α</m:t>
                    </m:r>
                  </m:e>
                  <m:sub>
                    <m:r>
                      <m:rPr>
                        <m:sty m:val="p"/>
                      </m:rPr>
                      <w:rPr>
                        <w:rFonts w:ascii="Cambria Math" w:hAnsi="Cambria Math" w:cs="Arial"/>
                      </w:rPr>
                      <m:t>6</m:t>
                    </m:r>
                  </m:sub>
                </m:sSub>
                <m:r>
                  <w:rPr>
                    <w:rFonts w:ascii="Cambria Math" w:hAnsi="Cambria Math" w:cs="Arial"/>
                  </w:rPr>
                  <m:t>Δq</m:t>
                </m:r>
              </m:e>
              <m:sub>
                <m:r>
                  <w:rPr>
                    <w:rFonts w:ascii="Cambria Math" w:hAnsi="Cambria Math" w:cs="Arial"/>
                    <w:vertAlign w:val="subscript"/>
                  </w:rPr>
                  <m:t>t</m:t>
                </m:r>
                <m:r>
                  <m:rPr>
                    <m:sty m:val="p"/>
                  </m:rPr>
                  <w:rPr>
                    <w:rFonts w:ascii="Cambria Math" w:hAnsi="Cambria Math" w:cs="Arial"/>
                    <w:vertAlign w:val="subscript"/>
                  </w:rPr>
                  <m:t>-</m:t>
                </m:r>
                <m:r>
                  <w:rPr>
                    <w:rFonts w:ascii="Cambria Math" w:hAnsi="Cambria Math" w:cs="Arial"/>
                    <w:vertAlign w:val="subscript"/>
                  </w:rPr>
                  <m:t>i</m:t>
                </m:r>
              </m:sub>
            </m:sSub>
          </m:e>
        </m:nary>
      </m:oMath>
      <w:r w:rsidRPr="00BF7137">
        <w:rPr>
          <w:rFonts w:ascii="Arial" w:hAnsi="Arial" w:cs="Arial"/>
          <w:lang w:eastAsia="en-GB"/>
        </w:rPr>
        <w:t>]  is the short</w:t>
      </w:r>
      <w:r>
        <w:rPr>
          <w:rFonts w:ascii="Arial" w:hAnsi="Arial" w:cs="Arial"/>
          <w:lang w:eastAsia="en-GB"/>
        </w:rPr>
        <w:t>-</w:t>
      </w:r>
      <w:r w:rsidRPr="00BF7137">
        <w:rPr>
          <w:rFonts w:ascii="Arial" w:hAnsi="Arial" w:cs="Arial"/>
          <w:lang w:eastAsia="en-GB"/>
        </w:rPr>
        <w:t xml:space="preserve">term dynamic of the relationship between </w:t>
      </w:r>
      <m:oMath>
        <m:sSub>
          <m:sSubPr>
            <m:ctrlPr>
              <w:rPr>
                <w:rFonts w:ascii="Cambria Math" w:hAnsi="Cambria Math" w:cs="Arial"/>
                <w:i/>
              </w:rPr>
            </m:ctrlPr>
          </m:sSubPr>
          <m:e>
            <m:r>
              <w:rPr>
                <w:rFonts w:ascii="Cambria Math" w:hAnsi="Cambria Math" w:cs="Arial"/>
              </w:rPr>
              <m:t>y</m:t>
            </m:r>
          </m:e>
          <m:sub>
            <m:r>
              <w:rPr>
                <w:rFonts w:ascii="Cambria Math" w:hAnsi="Cambria Math" w:cs="Arial"/>
              </w:rPr>
              <m:t>t</m:t>
            </m:r>
          </m:sub>
        </m:sSub>
      </m:oMath>
      <w:r w:rsidRPr="00BF7137">
        <w:rPr>
          <w:rFonts w:ascii="Arial" w:hAnsi="Arial" w:cs="Arial"/>
          <w:lang w:eastAsia="en-GB"/>
        </w:rPr>
        <w:t xml:space="preserve"> and the independent variables. The second section of the equation represent</w:t>
      </w:r>
      <w:r>
        <w:rPr>
          <w:rFonts w:ascii="Arial" w:hAnsi="Arial" w:cs="Arial"/>
          <w:lang w:eastAsia="en-GB"/>
        </w:rPr>
        <w:t>s</w:t>
      </w:r>
      <w:r w:rsidRPr="00BF7137">
        <w:rPr>
          <w:rFonts w:ascii="Arial" w:hAnsi="Arial" w:cs="Arial"/>
          <w:lang w:eastAsia="en-GB"/>
        </w:rPr>
        <w:t xml:space="preserve"> the cointegration, that is the long-term information presented as [</w:t>
      </w:r>
      <m:oMath>
        <m:r>
          <m:rPr>
            <m:sty m:val="p"/>
          </m:rPr>
          <w:rPr>
            <w:rFonts w:ascii="Cambria Math" w:hAnsi="Cambria Math" w:cs="Arial"/>
          </w:rPr>
          <m:t>–</m:t>
        </m:r>
        <m:r>
          <w:rPr>
            <w:rFonts w:ascii="Cambria Math" w:hAnsi="Cambria Math" w:cs="Arial"/>
          </w:rPr>
          <m:t>λ</m:t>
        </m:r>
        <m:r>
          <m:rPr>
            <m:sty m:val="p"/>
          </m:rPr>
          <w:rPr>
            <w:rFonts w:ascii="Cambria Math" w:hAnsi="Cambria Math" w:cs="Arial"/>
          </w:rPr>
          <m:t>(</m:t>
        </m:r>
        <m:sSub>
          <m:sSubPr>
            <m:ctrlPr>
              <w:rPr>
                <w:rFonts w:ascii="Cambria Math" w:hAnsi="Cambria Math" w:cs="Arial"/>
              </w:rPr>
            </m:ctrlPr>
          </m:sSubPr>
          <m:e>
            <m:r>
              <w:rPr>
                <w:rFonts w:ascii="Cambria Math" w:hAnsi="Cambria Math" w:cs="Arial"/>
              </w:rPr>
              <m:t>y</m:t>
            </m:r>
          </m:e>
          <m:sub>
            <m:r>
              <w:rPr>
                <w:rFonts w:ascii="Cambria Math" w:hAnsi="Cambria Math" w:cs="Arial"/>
                <w:vertAlign w:val="subscript"/>
              </w:rPr>
              <m:t>t</m:t>
            </m:r>
            <m:r>
              <m:rPr>
                <m:sty m:val="p"/>
              </m:rPr>
              <w:rPr>
                <w:rFonts w:ascii="Cambria Math" w:hAnsi="Cambria Math" w:cs="Arial"/>
                <w:vertAlign w:val="subscript"/>
              </w:rPr>
              <m:t>-</m:t>
            </m:r>
            <m:r>
              <w:rPr>
                <w:rFonts w:ascii="Cambria Math" w:hAnsi="Cambria Math" w:cs="Arial"/>
                <w:vertAlign w:val="subscript"/>
              </w:rPr>
              <m:t>i</m:t>
            </m:r>
          </m:sub>
        </m:sSub>
      </m:oMath>
      <w:r w:rsidRPr="00BF7137">
        <w:rPr>
          <w:rFonts w:ascii="Arial" w:eastAsiaTheme="minorEastAsia" w:hAnsi="Arial" w:cs="Arial"/>
        </w:rPr>
        <w:t xml:space="preserve"> - </w:t>
      </w:r>
      <m:oMath>
        <m:sSub>
          <m:sSubPr>
            <m:ctrlPr>
              <w:rPr>
                <w:rFonts w:ascii="Cambria Math" w:hAnsi="Cambria Math" w:cs="Arial"/>
              </w:rPr>
            </m:ctrlPr>
          </m:sSubPr>
          <m:e>
            <m:sSub>
              <m:sSubPr>
                <m:ctrlPr>
                  <w:rPr>
                    <w:rFonts w:ascii="Cambria Math" w:hAnsi="Cambria Math" w:cs="Arial"/>
                  </w:rPr>
                </m:ctrlPr>
              </m:sSubPr>
              <m:e>
                <m:r>
                  <w:rPr>
                    <w:rFonts w:ascii="Cambria Math" w:hAnsi="Cambria Math" w:cs="Arial"/>
                  </w:rPr>
                  <m:t>α</m:t>
                </m:r>
              </m:e>
              <m:sub>
                <m:r>
                  <m:rPr>
                    <m:sty m:val="p"/>
                  </m:rPr>
                  <w:rPr>
                    <w:rFonts w:ascii="Cambria Math" w:hAnsi="Cambria Math" w:cs="Arial"/>
                    <w:vertAlign w:val="subscript"/>
                  </w:rPr>
                  <m:t>2</m:t>
                </m:r>
              </m:sub>
            </m:sSub>
            <m:r>
              <w:rPr>
                <w:rFonts w:ascii="Cambria Math" w:hAnsi="Cambria Math" w:cs="Arial"/>
              </w:rPr>
              <m:t>z</m:t>
            </m:r>
          </m:e>
          <m:sub>
            <m:r>
              <w:rPr>
                <w:rFonts w:ascii="Cambria Math" w:hAnsi="Cambria Math" w:cs="Arial"/>
                <w:vertAlign w:val="subscript"/>
              </w:rPr>
              <m:t>t</m:t>
            </m:r>
            <m:r>
              <m:rPr>
                <m:sty m:val="p"/>
              </m:rPr>
              <w:rPr>
                <w:rFonts w:ascii="Cambria Math" w:hAnsi="Cambria Math" w:cs="Arial"/>
                <w:vertAlign w:val="subscript"/>
              </w:rPr>
              <m:t>-</m:t>
            </m:r>
            <m:r>
              <w:rPr>
                <w:rFonts w:ascii="Cambria Math" w:hAnsi="Cambria Math" w:cs="Arial"/>
                <w:vertAlign w:val="subscript"/>
              </w:rPr>
              <m:t>i</m:t>
            </m:r>
          </m:sub>
        </m:sSub>
      </m:oMath>
      <w:r w:rsidRPr="00BF7137">
        <w:rPr>
          <w:rFonts w:ascii="Arial" w:eastAsiaTheme="minorEastAsia" w:hAnsi="Arial" w:cs="Arial"/>
        </w:rPr>
        <w:t xml:space="preserve"> - </w:t>
      </w:r>
      <m:oMath>
        <m:sSub>
          <m:sSubPr>
            <m:ctrlPr>
              <w:rPr>
                <w:rFonts w:ascii="Cambria Math" w:hAnsi="Cambria Math" w:cs="Arial"/>
              </w:rPr>
            </m:ctrlPr>
          </m:sSubPr>
          <m:e>
            <m:sSub>
              <m:sSubPr>
                <m:ctrlPr>
                  <w:rPr>
                    <w:rFonts w:ascii="Cambria Math" w:hAnsi="Cambria Math" w:cs="Arial"/>
                  </w:rPr>
                </m:ctrlPr>
              </m:sSubPr>
              <m:e>
                <m:r>
                  <w:rPr>
                    <w:rFonts w:ascii="Cambria Math" w:hAnsi="Cambria Math" w:cs="Arial"/>
                  </w:rPr>
                  <m:t>α</m:t>
                </m:r>
              </m:e>
              <m:sub>
                <m:r>
                  <m:rPr>
                    <m:sty m:val="p"/>
                  </m:rPr>
                  <w:rPr>
                    <w:rFonts w:ascii="Cambria Math" w:hAnsi="Cambria Math" w:cs="Arial"/>
                    <w:vertAlign w:val="subscript"/>
                  </w:rPr>
                  <m:t>3</m:t>
                </m:r>
              </m:sub>
            </m:sSub>
            <m:r>
              <w:rPr>
                <w:rFonts w:ascii="Cambria Math" w:hAnsi="Cambria Math" w:cs="Arial"/>
              </w:rPr>
              <m:t>x</m:t>
            </m:r>
          </m:e>
          <m:sub>
            <m:r>
              <w:rPr>
                <w:rFonts w:ascii="Cambria Math" w:hAnsi="Cambria Math" w:cs="Arial"/>
                <w:vertAlign w:val="subscript"/>
              </w:rPr>
              <m:t>t</m:t>
            </m:r>
            <m:r>
              <m:rPr>
                <m:sty m:val="p"/>
              </m:rPr>
              <w:rPr>
                <w:rFonts w:ascii="Cambria Math" w:hAnsi="Cambria Math" w:cs="Arial"/>
                <w:vertAlign w:val="subscript"/>
              </w:rPr>
              <m:t>-</m:t>
            </m:r>
            <m:r>
              <w:rPr>
                <w:rFonts w:ascii="Cambria Math" w:hAnsi="Cambria Math" w:cs="Arial"/>
                <w:vertAlign w:val="subscript"/>
              </w:rPr>
              <m:t>i</m:t>
            </m:r>
          </m:sub>
        </m:sSub>
      </m:oMath>
      <w:r w:rsidRPr="00BF7137">
        <w:rPr>
          <w:rFonts w:ascii="Arial" w:eastAsiaTheme="minorEastAsia" w:hAnsi="Arial" w:cs="Arial"/>
        </w:rPr>
        <w:t xml:space="preserve"> - </w:t>
      </w:r>
      <m:oMath>
        <m:sSub>
          <m:sSubPr>
            <m:ctrlPr>
              <w:rPr>
                <w:rFonts w:ascii="Cambria Math" w:hAnsi="Cambria Math" w:cs="Arial"/>
              </w:rPr>
            </m:ctrlPr>
          </m:sSubPr>
          <m:e>
            <m:sSub>
              <m:sSubPr>
                <m:ctrlPr>
                  <w:rPr>
                    <w:rFonts w:ascii="Cambria Math" w:hAnsi="Cambria Math" w:cs="Arial"/>
                  </w:rPr>
                </m:ctrlPr>
              </m:sSubPr>
              <m:e>
                <m:r>
                  <w:rPr>
                    <w:rFonts w:ascii="Cambria Math" w:hAnsi="Cambria Math" w:cs="Arial"/>
                  </w:rPr>
                  <m:t>α</m:t>
                </m:r>
              </m:e>
              <m:sub>
                <m:r>
                  <m:rPr>
                    <m:sty m:val="p"/>
                  </m:rPr>
                  <w:rPr>
                    <w:rFonts w:ascii="Cambria Math" w:hAnsi="Cambria Math" w:cs="Arial"/>
                    <w:vertAlign w:val="subscript"/>
                  </w:rPr>
                  <m:t>4</m:t>
                </m:r>
              </m:sub>
            </m:sSub>
            <m:r>
              <w:rPr>
                <w:rFonts w:ascii="Cambria Math" w:hAnsi="Cambria Math" w:cs="Arial"/>
              </w:rPr>
              <m:t>m</m:t>
            </m:r>
          </m:e>
          <m:sub>
            <m:r>
              <w:rPr>
                <w:rFonts w:ascii="Cambria Math" w:hAnsi="Cambria Math" w:cs="Arial"/>
                <w:vertAlign w:val="subscript"/>
              </w:rPr>
              <m:t>t</m:t>
            </m:r>
            <m:r>
              <m:rPr>
                <m:sty m:val="p"/>
              </m:rPr>
              <w:rPr>
                <w:rFonts w:ascii="Cambria Math" w:hAnsi="Cambria Math" w:cs="Arial"/>
                <w:vertAlign w:val="subscript"/>
              </w:rPr>
              <m:t>-</m:t>
            </m:r>
            <m:r>
              <w:rPr>
                <w:rFonts w:ascii="Cambria Math" w:hAnsi="Cambria Math" w:cs="Arial"/>
                <w:vertAlign w:val="subscript"/>
              </w:rPr>
              <m:t>i</m:t>
            </m:r>
          </m:sub>
        </m:sSub>
      </m:oMath>
      <w:r w:rsidRPr="00BF7137">
        <w:rPr>
          <w:rFonts w:ascii="Arial" w:eastAsiaTheme="minorEastAsia" w:hAnsi="Arial" w:cs="Arial"/>
        </w:rPr>
        <w:t xml:space="preserve"> - </w:t>
      </w:r>
      <m:oMath>
        <m:sSub>
          <m:sSubPr>
            <m:ctrlPr>
              <w:rPr>
                <w:rFonts w:ascii="Cambria Math" w:hAnsi="Cambria Math" w:cs="Arial"/>
              </w:rPr>
            </m:ctrlPr>
          </m:sSubPr>
          <m:e>
            <m:sSub>
              <m:sSubPr>
                <m:ctrlPr>
                  <w:rPr>
                    <w:rFonts w:ascii="Cambria Math" w:hAnsi="Cambria Math" w:cs="Arial"/>
                  </w:rPr>
                </m:ctrlPr>
              </m:sSubPr>
              <m:e>
                <m:r>
                  <w:rPr>
                    <w:rFonts w:ascii="Cambria Math" w:hAnsi="Cambria Math" w:cs="Arial"/>
                  </w:rPr>
                  <m:t>α</m:t>
                </m:r>
              </m:e>
              <m:sub>
                <m:r>
                  <m:rPr>
                    <m:sty m:val="p"/>
                  </m:rPr>
                  <w:rPr>
                    <w:rFonts w:ascii="Cambria Math" w:hAnsi="Cambria Math" w:cs="Arial"/>
                  </w:rPr>
                  <m:t>5</m:t>
                </m:r>
              </m:sub>
            </m:sSub>
            <m:r>
              <w:rPr>
                <w:rFonts w:ascii="Cambria Math" w:hAnsi="Cambria Math" w:cs="Arial"/>
              </w:rPr>
              <m:t>n</m:t>
            </m:r>
          </m:e>
          <m:sub>
            <m:r>
              <w:rPr>
                <w:rFonts w:ascii="Cambria Math" w:hAnsi="Cambria Math" w:cs="Arial"/>
                <w:vertAlign w:val="subscript"/>
              </w:rPr>
              <m:t>t</m:t>
            </m:r>
            <m:r>
              <m:rPr>
                <m:sty m:val="p"/>
              </m:rPr>
              <w:rPr>
                <w:rFonts w:ascii="Cambria Math" w:hAnsi="Cambria Math" w:cs="Arial"/>
                <w:vertAlign w:val="subscript"/>
              </w:rPr>
              <m:t>-</m:t>
            </m:r>
            <m:r>
              <w:rPr>
                <w:rFonts w:ascii="Cambria Math" w:hAnsi="Cambria Math" w:cs="Arial"/>
                <w:vertAlign w:val="subscript"/>
              </w:rPr>
              <m:t>i</m:t>
            </m:r>
          </m:sub>
        </m:sSub>
      </m:oMath>
      <w:r w:rsidRPr="00BF7137">
        <w:rPr>
          <w:rFonts w:ascii="Arial" w:eastAsiaTheme="minorEastAsia" w:hAnsi="Arial" w:cs="Arial"/>
        </w:rPr>
        <w:t xml:space="preserve"> - </w:t>
      </w:r>
      <m:oMath>
        <m:sSub>
          <m:sSubPr>
            <m:ctrlPr>
              <w:rPr>
                <w:rFonts w:ascii="Cambria Math" w:hAnsi="Cambria Math" w:cs="Arial"/>
              </w:rPr>
            </m:ctrlPr>
          </m:sSubPr>
          <m:e>
            <m:sSub>
              <m:sSubPr>
                <m:ctrlPr>
                  <w:rPr>
                    <w:rFonts w:ascii="Cambria Math" w:hAnsi="Cambria Math" w:cs="Arial"/>
                  </w:rPr>
                </m:ctrlPr>
              </m:sSubPr>
              <m:e>
                <m:r>
                  <w:rPr>
                    <w:rFonts w:ascii="Cambria Math" w:hAnsi="Cambria Math" w:cs="Arial"/>
                  </w:rPr>
                  <m:t>α</m:t>
                </m:r>
              </m:e>
              <m:sub>
                <m:r>
                  <m:rPr>
                    <m:sty m:val="p"/>
                  </m:rPr>
                  <w:rPr>
                    <w:rFonts w:ascii="Cambria Math" w:hAnsi="Cambria Math" w:cs="Arial"/>
                  </w:rPr>
                  <m:t>6</m:t>
                </m:r>
              </m:sub>
            </m:sSub>
            <m:r>
              <w:rPr>
                <w:rFonts w:ascii="Cambria Math" w:hAnsi="Cambria Math" w:cs="Arial"/>
              </w:rPr>
              <m:t>q</m:t>
            </m:r>
          </m:e>
          <m:sub>
            <m:r>
              <w:rPr>
                <w:rFonts w:ascii="Cambria Math" w:hAnsi="Cambria Math" w:cs="Arial"/>
                <w:vertAlign w:val="subscript"/>
              </w:rPr>
              <m:t>t</m:t>
            </m:r>
            <m:r>
              <m:rPr>
                <m:sty m:val="p"/>
              </m:rPr>
              <w:rPr>
                <w:rFonts w:ascii="Cambria Math" w:hAnsi="Cambria Math" w:cs="Arial"/>
                <w:vertAlign w:val="subscript"/>
              </w:rPr>
              <m:t>-</m:t>
            </m:r>
            <m:r>
              <w:rPr>
                <w:rFonts w:ascii="Cambria Math" w:hAnsi="Cambria Math" w:cs="Arial"/>
                <w:vertAlign w:val="subscript"/>
              </w:rPr>
              <m:t>i</m:t>
            </m:r>
          </m:sub>
        </m:sSub>
        <m:r>
          <w:rPr>
            <w:rFonts w:ascii="Cambria Math" w:eastAsiaTheme="minorEastAsia" w:hAnsi="Cambria Math" w:cs="Arial"/>
          </w:rPr>
          <m:t>)-</m:t>
        </m:r>
        <m:sSub>
          <m:sSubPr>
            <m:ctrlPr>
              <w:rPr>
                <w:rFonts w:ascii="Cambria Math" w:eastAsiaTheme="minorEastAsia" w:hAnsi="Cambria Math" w:cs="Arial"/>
                <w:i/>
              </w:rPr>
            </m:ctrlPr>
          </m:sSubPr>
          <m:e>
            <m:r>
              <w:rPr>
                <w:rFonts w:ascii="Cambria Math" w:eastAsia="Segoe UI Symbol" w:hAnsi="Cambria Math" w:cs="Arial"/>
              </w:rPr>
              <m:t>ε</m:t>
            </m:r>
          </m:e>
          <m:sub>
            <m:r>
              <w:rPr>
                <w:rFonts w:ascii="Cambria Math" w:eastAsiaTheme="minorEastAsia" w:hAnsi="Cambria Math" w:cs="Arial"/>
              </w:rPr>
              <m:t>t</m:t>
            </m:r>
          </m:sub>
        </m:sSub>
      </m:oMath>
      <w:r w:rsidRPr="00BF7137">
        <w:rPr>
          <w:rFonts w:ascii="Arial" w:hAnsi="Arial" w:cs="Arial"/>
          <w:lang w:eastAsia="en-GB"/>
        </w:rPr>
        <w:t xml:space="preserve">]. While </w:t>
      </w:r>
      <w:r w:rsidRPr="00BF7137">
        <w:rPr>
          <w:rFonts w:ascii="Arial" w:hAnsi="Arial" w:cs="Arial"/>
          <w:i/>
          <w:iCs/>
        </w:rPr>
        <w:t>λ</w:t>
      </w:r>
      <w:r w:rsidRPr="00BF7137">
        <w:rPr>
          <w:rFonts w:ascii="Arial" w:hAnsi="Arial" w:cs="Arial"/>
          <w:lang w:eastAsia="en-GB"/>
        </w:rPr>
        <w:t xml:space="preserve"> is the speed of adjustment between the short term and the long-term, bearing a negative sign due to the convergence of </w:t>
      </w:r>
      <m:oMath>
        <m:sSub>
          <m:sSubPr>
            <m:ctrlPr>
              <w:rPr>
                <w:rFonts w:ascii="Cambria Math" w:hAnsi="Cambria Math" w:cs="Arial"/>
                <w:i/>
              </w:rPr>
            </m:ctrlPr>
          </m:sSubPr>
          <m:e>
            <m:r>
              <w:rPr>
                <w:rFonts w:ascii="Cambria Math" w:hAnsi="Cambria Math" w:cs="Arial"/>
              </w:rPr>
              <m:t>y</m:t>
            </m:r>
          </m:e>
          <m:sub>
            <m:r>
              <w:rPr>
                <w:rFonts w:ascii="Cambria Math" w:hAnsi="Cambria Math" w:cs="Arial"/>
              </w:rPr>
              <m:t>t</m:t>
            </m:r>
          </m:sub>
        </m:sSub>
      </m:oMath>
      <w:r w:rsidRPr="00BF7137">
        <w:rPr>
          <w:rFonts w:ascii="Arial" w:hAnsi="Arial" w:cs="Arial"/>
          <w:lang w:eastAsia="en-GB"/>
        </w:rPr>
        <w:t xml:space="preserve"> to the equilibrium after a short-term shock of the independent variables. </w:t>
      </w:r>
      <m:oMath>
        <m:sSub>
          <m:sSubPr>
            <m:ctrlPr>
              <w:rPr>
                <w:rFonts w:ascii="Cambria Math" w:eastAsiaTheme="minorEastAsia" w:hAnsi="Cambria Math" w:cs="Arial"/>
                <w:i/>
                <w:sz w:val="28"/>
                <w:szCs w:val="28"/>
              </w:rPr>
            </m:ctrlPr>
          </m:sSubPr>
          <m:e>
            <m:r>
              <w:rPr>
                <w:rFonts w:ascii="Cambria Math" w:eastAsia="Segoe UI Symbol" w:hAnsi="Cambria Math" w:cs="Arial"/>
                <w:sz w:val="28"/>
                <w:szCs w:val="28"/>
              </w:rPr>
              <m:t>ε</m:t>
            </m:r>
          </m:e>
          <m:sub>
            <m:r>
              <w:rPr>
                <w:rFonts w:ascii="Cambria Math" w:eastAsiaTheme="minorEastAsia" w:hAnsi="Cambria Math" w:cs="Arial"/>
                <w:sz w:val="28"/>
                <w:szCs w:val="28"/>
              </w:rPr>
              <m:t>t</m:t>
            </m:r>
          </m:sub>
        </m:sSub>
      </m:oMath>
      <w:r w:rsidRPr="00BF7137">
        <w:rPr>
          <w:rFonts w:ascii="Arial" w:hAnsi="Arial" w:cs="Arial"/>
          <w:i/>
          <w:vertAlign w:val="subscript"/>
          <w:lang w:eastAsia="en-GB"/>
        </w:rPr>
        <w:t xml:space="preserve"> </w:t>
      </w:r>
      <w:r w:rsidRPr="00BF7137">
        <w:rPr>
          <w:rFonts w:ascii="Arial" w:hAnsi="Arial" w:cs="Arial"/>
          <w:lang w:eastAsia="en-GB"/>
        </w:rPr>
        <w:t>is the white-noise term. The restricted VAR (i.e., vector error c</w:t>
      </w:r>
      <w:r>
        <w:rPr>
          <w:rFonts w:ascii="Arial" w:hAnsi="Arial" w:cs="Arial"/>
          <w:lang w:eastAsia="en-GB"/>
        </w:rPr>
        <w:t>orrection model – VECM) is applied</w:t>
      </w:r>
      <w:r w:rsidRPr="00BF7137">
        <w:rPr>
          <w:rFonts w:ascii="Arial" w:hAnsi="Arial" w:cs="Arial"/>
          <w:lang w:eastAsia="en-GB"/>
        </w:rPr>
        <w:t xml:space="preserve"> if there exist</w:t>
      </w:r>
      <w:r>
        <w:rPr>
          <w:rFonts w:ascii="Arial" w:hAnsi="Arial" w:cs="Arial"/>
          <w:lang w:eastAsia="en-GB"/>
        </w:rPr>
        <w:t>s</w:t>
      </w:r>
      <w:r w:rsidRPr="00BF7137">
        <w:rPr>
          <w:rFonts w:ascii="Arial" w:hAnsi="Arial" w:cs="Arial"/>
          <w:lang w:eastAsia="en-GB"/>
        </w:rPr>
        <w:t xml:space="preserve"> a long-term relationship among the variables in the model. While the unrestricted VAR approach is use</w:t>
      </w:r>
      <w:r>
        <w:rPr>
          <w:rFonts w:ascii="Arial" w:hAnsi="Arial" w:cs="Arial"/>
          <w:lang w:eastAsia="en-GB"/>
        </w:rPr>
        <w:t>d</w:t>
      </w:r>
      <w:r w:rsidRPr="00BF7137">
        <w:rPr>
          <w:rFonts w:ascii="Arial" w:hAnsi="Arial" w:cs="Arial"/>
          <w:lang w:eastAsia="en-GB"/>
        </w:rPr>
        <w:t xml:space="preserve"> if there exist</w:t>
      </w:r>
      <w:r>
        <w:rPr>
          <w:rFonts w:ascii="Arial" w:hAnsi="Arial" w:cs="Arial"/>
          <w:lang w:eastAsia="en-GB"/>
        </w:rPr>
        <w:t>s</w:t>
      </w:r>
      <w:r w:rsidRPr="00BF7137">
        <w:rPr>
          <w:rFonts w:ascii="Arial" w:hAnsi="Arial" w:cs="Arial"/>
          <w:lang w:eastAsia="en-GB"/>
        </w:rPr>
        <w:t xml:space="preserve"> no long-term relationship (i.e., no cointegration).</w:t>
      </w:r>
      <w:r w:rsidRPr="008E5379">
        <w:rPr>
          <w:rFonts w:ascii="Arial" w:hAnsi="Arial" w:cs="Arial"/>
          <w:lang w:eastAsia="en-GB"/>
        </w:rPr>
        <w:t xml:space="preserve"> </w:t>
      </w:r>
    </w:p>
    <w:p w14:paraId="452640BA" w14:textId="49905FE4" w:rsidR="00AE7F4C" w:rsidRDefault="00AE7F4C" w:rsidP="0066301C">
      <w:pPr>
        <w:autoSpaceDE w:val="0"/>
        <w:autoSpaceDN w:val="0"/>
        <w:adjustRightInd w:val="0"/>
        <w:spacing w:after="200" w:line="360" w:lineRule="auto"/>
        <w:jc w:val="both"/>
        <w:rPr>
          <w:rFonts w:ascii="Arial" w:hAnsi="Arial" w:cs="Arial"/>
        </w:rPr>
      </w:pPr>
      <w:r w:rsidRPr="001016F9">
        <w:rPr>
          <w:rFonts w:ascii="Arial" w:hAnsi="Arial" w:cs="Arial"/>
        </w:rPr>
        <w:t>The coefficient of ECT</w:t>
      </w:r>
      <w:r w:rsidR="00F46A72">
        <w:rPr>
          <w:rFonts w:ascii="Arial" w:hAnsi="Arial" w:cs="Arial"/>
        </w:rPr>
        <w:t xml:space="preserve"> (</w:t>
      </w:r>
      <w:r w:rsidR="004D00C5" w:rsidRPr="00E40176">
        <w:rPr>
          <w:rFonts w:ascii="Arial" w:hAnsi="Arial" w:cs="Arial"/>
          <w:i/>
          <w:iCs/>
        </w:rPr>
        <w:t>λ</w:t>
      </w:r>
      <w:r w:rsidR="00F46A72">
        <w:rPr>
          <w:rFonts w:ascii="Arial" w:hAnsi="Arial" w:cs="Arial"/>
        </w:rPr>
        <w:t>)</w:t>
      </w:r>
      <w:r w:rsidRPr="001016F9">
        <w:rPr>
          <w:rFonts w:ascii="Arial" w:hAnsi="Arial" w:cs="Arial"/>
        </w:rPr>
        <w:t xml:space="preserve"> is the speed at which the dependent variable returns to equilibrium after a change in other variables. For a variable to converge back in the long-run, the coefficient of the </w:t>
      </w:r>
      <w:r w:rsidRPr="00EA4789">
        <w:rPr>
          <w:rFonts w:ascii="Arial" w:hAnsi="Arial" w:cs="Arial"/>
          <w:iCs/>
        </w:rPr>
        <w:t>ECT</w:t>
      </w:r>
      <w:r w:rsidRPr="001016F9">
        <w:rPr>
          <w:rFonts w:ascii="Arial" w:hAnsi="Arial" w:cs="Arial"/>
          <w:i/>
        </w:rPr>
        <w:t xml:space="preserve"> </w:t>
      </w:r>
      <w:r w:rsidRPr="001016F9">
        <w:rPr>
          <w:rFonts w:ascii="Arial" w:hAnsi="Arial" w:cs="Arial"/>
        </w:rPr>
        <w:t xml:space="preserve">must be negative and statistically significant (i.e., the </w:t>
      </w:r>
      <w:r w:rsidRPr="001016F9">
        <w:rPr>
          <w:rFonts w:ascii="Arial" w:hAnsi="Arial" w:cs="Arial"/>
          <w:i/>
        </w:rPr>
        <w:t xml:space="preserve">t-stats </w:t>
      </w:r>
      <w:r w:rsidR="00365029">
        <w:rPr>
          <w:rFonts w:ascii="Arial" w:hAnsi="Arial" w:cs="Arial"/>
        </w:rPr>
        <w:t>≥ |2|</w:t>
      </w:r>
      <w:r w:rsidRPr="001016F9">
        <w:rPr>
          <w:rFonts w:ascii="Arial" w:hAnsi="Arial" w:cs="Arial"/>
        </w:rPr>
        <w:t xml:space="preserve">). This will imply that any shock happening in the short-term will be correct in the long-term as the variable converges to the equilibrium. The long-run model shows the long-run relationship among the variables </w:t>
      </w:r>
      <w:r>
        <w:rPr>
          <w:rFonts w:ascii="Arial" w:hAnsi="Arial" w:cs="Arial"/>
        </w:rPr>
        <w:t>(</w:t>
      </w:r>
      <w:r w:rsidRPr="001016F9">
        <w:rPr>
          <w:rFonts w:ascii="Arial" w:hAnsi="Arial" w:cs="Arial"/>
        </w:rPr>
        <w:t>i.e., it shows how the dependent variable will in the long-term respond to the independent variables</w:t>
      </w:r>
      <w:r>
        <w:rPr>
          <w:rFonts w:ascii="Arial" w:hAnsi="Arial" w:cs="Arial"/>
        </w:rPr>
        <w:t>)</w:t>
      </w:r>
      <w:r w:rsidRPr="001016F9">
        <w:rPr>
          <w:rFonts w:ascii="Arial" w:hAnsi="Arial" w:cs="Arial"/>
        </w:rPr>
        <w:t xml:space="preserve">. The short-term model shows the short-term relationship among the variables </w:t>
      </w:r>
      <w:r>
        <w:rPr>
          <w:rFonts w:ascii="Arial" w:hAnsi="Arial" w:cs="Arial"/>
        </w:rPr>
        <w:t>(</w:t>
      </w:r>
      <w:r w:rsidRPr="001016F9">
        <w:rPr>
          <w:rFonts w:ascii="Arial" w:hAnsi="Arial" w:cs="Arial"/>
        </w:rPr>
        <w:t>i.e., it shows how the dependent variable respon</w:t>
      </w:r>
      <w:r w:rsidR="0035369B">
        <w:rPr>
          <w:rFonts w:ascii="Arial" w:hAnsi="Arial" w:cs="Arial"/>
        </w:rPr>
        <w:t>ds</w:t>
      </w:r>
      <w:r w:rsidRPr="001016F9">
        <w:rPr>
          <w:rFonts w:ascii="Arial" w:hAnsi="Arial" w:cs="Arial"/>
        </w:rPr>
        <w:t xml:space="preserve"> to changes in the independent variables in the short-term</w:t>
      </w:r>
      <w:r>
        <w:rPr>
          <w:rFonts w:ascii="Arial" w:hAnsi="Arial" w:cs="Arial"/>
        </w:rPr>
        <w:t>)</w:t>
      </w:r>
      <w:r w:rsidRPr="001016F9">
        <w:rPr>
          <w:rFonts w:ascii="Arial" w:hAnsi="Arial" w:cs="Arial"/>
        </w:rPr>
        <w:t xml:space="preserve">. </w:t>
      </w:r>
    </w:p>
    <w:p w14:paraId="1831E5E8" w14:textId="3595B2A1" w:rsidR="00002F76" w:rsidRDefault="0051371D" w:rsidP="0066301C">
      <w:pPr>
        <w:pStyle w:val="Heading3"/>
        <w:numPr>
          <w:ilvl w:val="0"/>
          <w:numId w:val="0"/>
        </w:numPr>
        <w:spacing w:before="0" w:beforeAutospacing="0"/>
      </w:pPr>
      <w:bookmarkStart w:id="150" w:name="_Toc171075384"/>
      <w:bookmarkStart w:id="151" w:name="_Hlk170835639"/>
      <w:bookmarkEnd w:id="148"/>
      <w:r>
        <w:lastRenderedPageBreak/>
        <w:t>3</w:t>
      </w:r>
      <w:r w:rsidR="00002F76" w:rsidRPr="00002F76">
        <w:t>.</w:t>
      </w:r>
      <w:r w:rsidR="00272AC8">
        <w:t>4</w:t>
      </w:r>
      <w:r w:rsidR="00002F76" w:rsidRPr="00002F76">
        <w:t>.</w:t>
      </w:r>
      <w:r w:rsidR="00C11130">
        <w:t>5</w:t>
      </w:r>
      <w:r w:rsidR="00AD11A8">
        <w:tab/>
      </w:r>
      <w:r w:rsidR="00002F76" w:rsidRPr="00002F76">
        <w:t>STABILITY TEST</w:t>
      </w:r>
      <w:r w:rsidR="00272AC8">
        <w:t>S</w:t>
      </w:r>
      <w:bookmarkEnd w:id="150"/>
    </w:p>
    <w:p w14:paraId="1E5B5ED3" w14:textId="5918C2C7" w:rsidR="007E5859" w:rsidRPr="001016F9" w:rsidRDefault="00B357C8" w:rsidP="0066301C">
      <w:pPr>
        <w:spacing w:line="360" w:lineRule="auto"/>
        <w:jc w:val="both"/>
        <w:rPr>
          <w:rFonts w:ascii="Arial" w:hAnsi="Arial" w:cs="Arial"/>
        </w:rPr>
      </w:pPr>
      <w:bookmarkStart w:id="152" w:name="_Hlk162605515"/>
      <w:r w:rsidRPr="005E18A7">
        <w:rPr>
          <w:rFonts w:ascii="Arial" w:hAnsi="Arial" w:cs="Arial"/>
        </w:rPr>
        <w:t xml:space="preserve">We check if the estimated regression equations are stable throughout the sample period of the study. Parameter stability tests play a vital role in ensuring </w:t>
      </w:r>
      <w:r w:rsidR="005E15CD" w:rsidRPr="005E18A7">
        <w:rPr>
          <w:rFonts w:ascii="Arial" w:hAnsi="Arial" w:cs="Arial"/>
        </w:rPr>
        <w:t xml:space="preserve">the </w:t>
      </w:r>
      <w:r w:rsidRPr="005E18A7">
        <w:rPr>
          <w:rFonts w:ascii="Arial" w:hAnsi="Arial" w:cs="Arial"/>
        </w:rPr>
        <w:t>reliability of policy simulation based on the model</w:t>
      </w:r>
      <w:r w:rsidRPr="005E18A7">
        <w:rPr>
          <w:rFonts w:ascii="Arial" w:eastAsiaTheme="minorEastAsia" w:hAnsi="Arial" w:cs="Arial"/>
        </w:rPr>
        <w:t>.</w:t>
      </w:r>
      <w:r w:rsidRPr="57585719">
        <w:rPr>
          <w:rFonts w:ascii="Arial" w:eastAsiaTheme="minorEastAsia" w:hAnsi="Arial" w:cs="Arial"/>
        </w:rPr>
        <w:t xml:space="preserve"> To test for stability following Bahmani-Oskooee and Goswami (2003), we apply the cumulative sum (CUSUM) and cumulative sum square (CUSUMSQ) tests of Brown </w:t>
      </w:r>
      <w:r w:rsidRPr="57585719">
        <w:rPr>
          <w:rFonts w:ascii="Arial" w:eastAsiaTheme="minorEastAsia" w:hAnsi="Arial" w:cs="Arial"/>
          <w:i/>
          <w:iCs/>
        </w:rPr>
        <w:t xml:space="preserve">et al. </w:t>
      </w:r>
      <w:r w:rsidRPr="57585719">
        <w:rPr>
          <w:rFonts w:ascii="Arial" w:eastAsiaTheme="minorEastAsia" w:hAnsi="Arial" w:cs="Arial"/>
        </w:rPr>
        <w:t>(1975) to the residuals of the models.</w:t>
      </w:r>
      <w:bookmarkEnd w:id="152"/>
      <w:r w:rsidRPr="57585719">
        <w:rPr>
          <w:rFonts w:ascii="Arial" w:eastAsiaTheme="minorEastAsia" w:hAnsi="Arial" w:cs="Arial"/>
        </w:rPr>
        <w:t xml:space="preserve"> The advantage of this approach is that it selects the breakpoints recursively rather than arbitrarily. </w:t>
      </w:r>
      <w:r w:rsidR="006D2B62" w:rsidRPr="57585719">
        <w:rPr>
          <w:rFonts w:ascii="Arial" w:eastAsiaTheme="minorEastAsia" w:hAnsi="Arial" w:cs="Arial"/>
        </w:rPr>
        <w:t>As per</w:t>
      </w:r>
      <w:r w:rsidRPr="57585719">
        <w:rPr>
          <w:rFonts w:ascii="Arial" w:eastAsiaTheme="minorEastAsia" w:hAnsi="Arial" w:cs="Arial"/>
        </w:rPr>
        <w:t xml:space="preserve"> the CUSUM test</w:t>
      </w:r>
      <w:r w:rsidR="00B10068">
        <w:rPr>
          <w:rFonts w:ascii="Arial" w:eastAsiaTheme="minorEastAsia" w:hAnsi="Arial" w:cs="Arial"/>
        </w:rPr>
        <w:t>,</w:t>
      </w:r>
      <w:r w:rsidRPr="57585719">
        <w:rPr>
          <w:rFonts w:ascii="Arial" w:eastAsiaTheme="minorEastAsia" w:hAnsi="Arial" w:cs="Arial"/>
        </w:rPr>
        <w:t xml:space="preserve"> the recursive residuals are plotted against the breakpoints</w:t>
      </w:r>
      <w:r w:rsidR="003C1624">
        <w:rPr>
          <w:rFonts w:ascii="Arial" w:eastAsiaTheme="minorEastAsia" w:hAnsi="Arial" w:cs="Arial"/>
        </w:rPr>
        <w:t>,</w:t>
      </w:r>
      <w:r w:rsidRPr="57585719">
        <w:rPr>
          <w:rFonts w:ascii="Arial" w:eastAsiaTheme="minorEastAsia" w:hAnsi="Arial" w:cs="Arial"/>
        </w:rPr>
        <w:t xml:space="preserve"> while the CUSUMSQ plots the squared recursive residuals against the breakpoints. As a graphical illustration, these two statistics are then plotted with two straight lines which are bounded by </w:t>
      </w:r>
      <w:r w:rsidR="0030771A">
        <w:rPr>
          <w:rFonts w:ascii="Arial" w:eastAsiaTheme="minorEastAsia" w:hAnsi="Arial" w:cs="Arial"/>
        </w:rPr>
        <w:t xml:space="preserve">a </w:t>
      </w:r>
      <w:r w:rsidRPr="57585719">
        <w:rPr>
          <w:rFonts w:ascii="Arial" w:eastAsiaTheme="minorEastAsia" w:hAnsi="Arial" w:cs="Arial"/>
        </w:rPr>
        <w:t>5% significance level. If any point lay beyond the 5% significance level, the null hypothesis of stable parameters is rejected.</w:t>
      </w:r>
      <w:r w:rsidRPr="57585719">
        <w:rPr>
          <w:rStyle w:val="FootnoteReference"/>
          <w:rFonts w:ascii="Arial" w:eastAsiaTheme="minorEastAsia" w:hAnsi="Arial" w:cs="Arial"/>
        </w:rPr>
        <w:footnoteReference w:id="69"/>
      </w:r>
    </w:p>
    <w:p w14:paraId="48CBEF07" w14:textId="78C1B250" w:rsidR="003355F2" w:rsidRDefault="0051371D" w:rsidP="0066301C">
      <w:pPr>
        <w:pStyle w:val="Heading3"/>
        <w:numPr>
          <w:ilvl w:val="0"/>
          <w:numId w:val="0"/>
        </w:numPr>
        <w:spacing w:before="0" w:beforeAutospacing="0"/>
        <w:ind w:hanging="11"/>
      </w:pPr>
      <w:bookmarkStart w:id="153" w:name="_Toc171075385"/>
      <w:bookmarkEnd w:id="151"/>
      <w:r>
        <w:t>3</w:t>
      </w:r>
      <w:r w:rsidR="003355F2">
        <w:t>.</w:t>
      </w:r>
      <w:r w:rsidR="006235DE">
        <w:t>4</w:t>
      </w:r>
      <w:r w:rsidR="003355F2">
        <w:t>.</w:t>
      </w:r>
      <w:r w:rsidR="002E1C57" w:rsidRPr="0051130A">
        <w:t>6</w:t>
      </w:r>
      <w:r w:rsidR="0051130A">
        <w:tab/>
      </w:r>
      <w:r w:rsidR="003355F2" w:rsidRPr="0051130A">
        <w:t>EQUILIBRIUM</w:t>
      </w:r>
      <w:r w:rsidR="003355F2" w:rsidRPr="00502F67">
        <w:t xml:space="preserve"> EXCHANGE RATE AND MISALIGNMENT</w:t>
      </w:r>
      <w:bookmarkEnd w:id="153"/>
      <w:r w:rsidR="003355F2" w:rsidRPr="00502F67">
        <w:t xml:space="preserve">  </w:t>
      </w:r>
    </w:p>
    <w:p w14:paraId="625A79E0" w14:textId="5D6A0A23" w:rsidR="0075394A" w:rsidRDefault="00C17D92" w:rsidP="0066301C">
      <w:pPr>
        <w:autoSpaceDE w:val="0"/>
        <w:autoSpaceDN w:val="0"/>
        <w:adjustRightInd w:val="0"/>
        <w:spacing w:line="360" w:lineRule="auto"/>
        <w:jc w:val="both"/>
        <w:rPr>
          <w:rFonts w:ascii="Arial" w:hAnsi="Arial" w:cs="Arial"/>
        </w:rPr>
      </w:pPr>
      <w:r w:rsidRPr="00C17D92">
        <w:rPr>
          <w:rFonts w:ascii="Arial" w:hAnsi="Arial" w:cs="Arial"/>
        </w:rPr>
        <w:t>The equilibrium real effective exchange rate (EREER) is the rate that is consistent with its fundamental variables in the long term. The EREER is obtained by imposing the coefficients of the long-term equation on the permanent values of the fundamentals. The Hodrick-</w:t>
      </w:r>
      <w:r w:rsidR="00BB770B" w:rsidRPr="00C17D92">
        <w:rPr>
          <w:rFonts w:ascii="Arial" w:hAnsi="Arial" w:cs="Arial"/>
        </w:rPr>
        <w:t>Prescott</w:t>
      </w:r>
      <w:r w:rsidRPr="00C17D92">
        <w:rPr>
          <w:rFonts w:ascii="Arial" w:hAnsi="Arial" w:cs="Arial"/>
        </w:rPr>
        <w:t xml:space="preserve"> filter with a smoothing factor of 100 is used to smooth the variables using Eviews12 econometric software application</w:t>
      </w:r>
      <w:r w:rsidR="00502F67" w:rsidRPr="001016F9">
        <w:rPr>
          <w:rFonts w:ascii="Arial" w:hAnsi="Arial" w:cs="Arial"/>
        </w:rPr>
        <w:t>.</w:t>
      </w:r>
      <w:r w:rsidR="00EB734F">
        <w:rPr>
          <w:rStyle w:val="FootnoteReference"/>
          <w:rFonts w:ascii="Arial" w:hAnsi="Arial" w:cs="Arial"/>
        </w:rPr>
        <w:footnoteReference w:id="70"/>
      </w:r>
      <w:r w:rsidR="00502F67" w:rsidRPr="001016F9">
        <w:rPr>
          <w:rFonts w:ascii="Arial" w:hAnsi="Arial" w:cs="Arial"/>
        </w:rPr>
        <w:t xml:space="preserve"> </w:t>
      </w:r>
      <w:r w:rsidRPr="00C17D92">
        <w:rPr>
          <w:rFonts w:ascii="Arial" w:hAnsi="Arial" w:cs="Arial"/>
        </w:rPr>
        <w:t>The EREER is obtained from the REER</w:t>
      </w:r>
      <w:r w:rsidR="000560B2">
        <w:rPr>
          <w:rFonts w:ascii="Arial" w:hAnsi="Arial" w:cs="Arial"/>
        </w:rPr>
        <w:t xml:space="preserve"> (i.e., actual REER)</w:t>
      </w:r>
      <w:r w:rsidRPr="00C17D92">
        <w:rPr>
          <w:rFonts w:ascii="Arial" w:hAnsi="Arial" w:cs="Arial"/>
        </w:rPr>
        <w:t>, and the difference between them is the misalignment.</w:t>
      </w:r>
    </w:p>
    <w:p w14:paraId="1D42F706" w14:textId="68CA472B" w:rsidR="000C6E26" w:rsidRDefault="0075394A" w:rsidP="0066301C">
      <w:pPr>
        <w:autoSpaceDE w:val="0"/>
        <w:autoSpaceDN w:val="0"/>
        <w:adjustRightInd w:val="0"/>
        <w:spacing w:after="200" w:line="360" w:lineRule="auto"/>
        <w:jc w:val="both"/>
        <w:rPr>
          <w:rFonts w:ascii="Arial" w:hAnsi="Arial" w:cs="Arial"/>
          <w:i/>
          <w:iCs/>
        </w:rPr>
      </w:pPr>
      <w:r w:rsidRPr="00D46B41">
        <w:rPr>
          <w:rFonts w:ascii="Arial" w:hAnsi="Arial" w:cs="Arial"/>
          <w:i/>
          <w:iCs/>
        </w:rPr>
        <w:lastRenderedPageBreak/>
        <w:t>Misalignment = REER –</w:t>
      </w:r>
      <w:r w:rsidR="000560B2">
        <w:rPr>
          <w:rFonts w:ascii="Arial" w:hAnsi="Arial" w:cs="Arial"/>
          <w:i/>
          <w:iCs/>
        </w:rPr>
        <w:t xml:space="preserve"> ER</w:t>
      </w:r>
      <w:r w:rsidRPr="00D46B41">
        <w:rPr>
          <w:rFonts w:ascii="Arial" w:hAnsi="Arial" w:cs="Arial"/>
          <w:i/>
          <w:iCs/>
        </w:rPr>
        <w:t>EER.</w:t>
      </w:r>
    </w:p>
    <w:p w14:paraId="355C6E14" w14:textId="14855017" w:rsidR="000C6E26" w:rsidRPr="000C6E26" w:rsidRDefault="000C6E26" w:rsidP="0066301C">
      <w:pPr>
        <w:autoSpaceDE w:val="0"/>
        <w:autoSpaceDN w:val="0"/>
        <w:adjustRightInd w:val="0"/>
        <w:spacing w:after="200" w:line="360" w:lineRule="auto"/>
        <w:jc w:val="both"/>
        <w:rPr>
          <w:rFonts w:ascii="Arial" w:hAnsi="Arial" w:cs="Arial"/>
          <w:i/>
          <w:iCs/>
        </w:rPr>
      </w:pPr>
      <w:r w:rsidRPr="000C6E26">
        <w:rPr>
          <w:rFonts w:ascii="Arial" w:hAnsi="Arial" w:cs="Arial"/>
        </w:rPr>
        <w:t xml:space="preserve">If the EREER is greater than the REER, the currency is said to be undervalued. </w:t>
      </w:r>
      <w:r w:rsidR="00E76D6B">
        <w:rPr>
          <w:rFonts w:ascii="Arial" w:hAnsi="Arial" w:cs="Arial"/>
        </w:rPr>
        <w:t>I</w:t>
      </w:r>
      <w:r w:rsidRPr="000C6E26">
        <w:rPr>
          <w:rFonts w:ascii="Arial" w:hAnsi="Arial" w:cs="Arial"/>
        </w:rPr>
        <w:t xml:space="preserve">f the </w:t>
      </w:r>
      <w:r w:rsidR="000560B2">
        <w:rPr>
          <w:rFonts w:ascii="Arial" w:hAnsi="Arial" w:cs="Arial"/>
        </w:rPr>
        <w:t>ER</w:t>
      </w:r>
      <w:r w:rsidRPr="000C6E26">
        <w:rPr>
          <w:rFonts w:ascii="Arial" w:hAnsi="Arial" w:cs="Arial"/>
        </w:rPr>
        <w:t xml:space="preserve">EER is less than the REER, the currency is said to be overvalued. Also, the REER could revolve around the </w:t>
      </w:r>
      <w:r w:rsidR="000560B2">
        <w:rPr>
          <w:rFonts w:ascii="Arial" w:hAnsi="Arial" w:cs="Arial"/>
        </w:rPr>
        <w:t>ER</w:t>
      </w:r>
      <w:r w:rsidRPr="000C6E26">
        <w:rPr>
          <w:rFonts w:ascii="Arial" w:hAnsi="Arial" w:cs="Arial"/>
        </w:rPr>
        <w:t xml:space="preserve">EER, meaning that the currency is around its equilibrium. When plotted on a graph, if the REER is above the EREER, it is assumed that the exchange rate is overvalued. When the REER is below the EREER, it is assumed to be undervalued. It is explained when the extracted misalignment is plotted on a graph. When the misalignment graph is above the zero line, it means overvaluation. When the graph is below the zero line, it means undervaluation. However, when it rotates around the zero line, it is assumed to be around its equilibrium. Because the REER is seldom at equilibrium, we will assume it is at equilibrium when the differences between REER and EREER (misalignment) revolve around an absolute 5%. Thus, this graphical representation shows the behaviour (movement) of the exchange rate throughout the estimation period. </w:t>
      </w:r>
    </w:p>
    <w:p w14:paraId="734EF015" w14:textId="1EF970CB" w:rsidR="00806598" w:rsidRPr="008204CC" w:rsidRDefault="002E1C57" w:rsidP="0066301C">
      <w:pPr>
        <w:pStyle w:val="Heading2"/>
        <w:spacing w:before="0" w:beforeAutospacing="0"/>
      </w:pPr>
      <w:bookmarkStart w:id="154" w:name="_Toc171075386"/>
      <w:bookmarkEnd w:id="131"/>
      <w:r>
        <w:t>3</w:t>
      </w:r>
      <w:r w:rsidR="00932CBE">
        <w:t>.</w:t>
      </w:r>
      <w:r w:rsidR="006235DE">
        <w:t>5</w:t>
      </w:r>
      <w:r w:rsidR="00524744">
        <w:tab/>
      </w:r>
      <w:r w:rsidR="00806598" w:rsidRPr="008204CC">
        <w:t xml:space="preserve">EMPIRICAL </w:t>
      </w:r>
      <w:r w:rsidR="00B47130">
        <w:t xml:space="preserve">RESULTS </w:t>
      </w:r>
      <w:r w:rsidR="00806598" w:rsidRPr="008204CC">
        <w:t>ANALYSIS</w:t>
      </w:r>
      <w:bookmarkEnd w:id="154"/>
      <w:r w:rsidR="00806598" w:rsidRPr="008204CC">
        <w:t xml:space="preserve"> </w:t>
      </w:r>
      <w:r w:rsidR="00806598" w:rsidRPr="008204CC">
        <w:tab/>
      </w:r>
    </w:p>
    <w:p w14:paraId="32F3D883" w14:textId="77777777" w:rsidR="00C0398A" w:rsidRPr="00D21451" w:rsidRDefault="000C6E26" w:rsidP="0066301C">
      <w:pPr>
        <w:pStyle w:val="i"/>
        <w:spacing w:before="0"/>
        <w:rPr>
          <w:rFonts w:ascii="Arial" w:hAnsi="Arial" w:cs="Arial"/>
          <w:sz w:val="22"/>
          <w:szCs w:val="22"/>
        </w:rPr>
      </w:pPr>
      <w:r w:rsidRPr="000C6E26">
        <w:rPr>
          <w:rFonts w:ascii="Arial" w:hAnsi="Arial" w:cs="Arial"/>
          <w:sz w:val="22"/>
          <w:szCs w:val="22"/>
          <w:lang w:val="en-US"/>
        </w:rPr>
        <w:t xml:space="preserve">We determine the long-term relationship between RER and its fundamentals, as well as the degree of misalignment based on the analysis of Clark and MacDonald (1998). Because the CEMAC nations are small open developing economies, this study specifies the single equation for developing economies. The Vector Autoregression (VAR) approach - the full-information maximum likelihood (FIML) method due to Johansen (1995) will be used as discussed above. We estimate the following econometric (empirical) model, which encompasses all the </w:t>
      </w:r>
      <w:r w:rsidR="00C0398A" w:rsidRPr="000C6E26">
        <w:rPr>
          <w:rFonts w:ascii="Arial" w:hAnsi="Arial" w:cs="Arial"/>
          <w:sz w:val="22"/>
          <w:szCs w:val="22"/>
          <w:lang w:val="en-US"/>
        </w:rPr>
        <w:t>variables:</w:t>
      </w:r>
    </w:p>
    <w:p w14:paraId="4FC5D934" w14:textId="38A67C37" w:rsidR="00C0398A" w:rsidRPr="00D21451" w:rsidRDefault="00000000" w:rsidP="0066301C">
      <w:pPr>
        <w:pStyle w:val="i"/>
        <w:spacing w:before="0"/>
        <w:rPr>
          <w:rFonts w:ascii="Arial" w:hAnsi="Arial" w:cs="Arial"/>
          <w:sz w:val="22"/>
          <w:szCs w:val="22"/>
        </w:rPr>
      </w:pPr>
      <m:oMath>
        <m:sSub>
          <m:sSubPr>
            <m:ctrlPr>
              <w:rPr>
                <w:rFonts w:ascii="Cambria Math" w:hAnsi="Cambria Math" w:cs="Arial"/>
                <w:i/>
                <w:sz w:val="22"/>
                <w:szCs w:val="22"/>
              </w:rPr>
            </m:ctrlPr>
          </m:sSubPr>
          <m:e>
            <m:r>
              <m:rPr>
                <m:sty m:val="p"/>
              </m:rPr>
              <w:rPr>
                <w:rFonts w:ascii="Cambria Math" w:hAnsi="Cambria Math" w:cs="Arial"/>
                <w:sz w:val="22"/>
                <w:szCs w:val="22"/>
              </w:rPr>
              <m:t>REER</m:t>
            </m:r>
          </m:e>
          <m:sub>
            <m:r>
              <m:rPr>
                <m:sty m:val="p"/>
              </m:rPr>
              <w:rPr>
                <w:rFonts w:ascii="Cambria Math" w:hAnsi="Cambria Math" w:cs="Arial"/>
                <w:sz w:val="22"/>
                <w:szCs w:val="22"/>
                <w:vertAlign w:val="subscript"/>
              </w:rPr>
              <m:t>it</m:t>
            </m:r>
          </m:sub>
        </m:sSub>
        <m:r>
          <w:rPr>
            <w:rFonts w:ascii="Cambria Math" w:hAnsi="Cambria Math" w:cs="Arial"/>
            <w:sz w:val="22"/>
            <w:szCs w:val="22"/>
          </w:rPr>
          <m:t>=</m:t>
        </m:r>
        <w:bookmarkStart w:id="155" w:name="_Hlk133867169"/>
        <m:sSub>
          <m:sSubPr>
            <m:ctrlPr>
              <w:rPr>
                <w:rFonts w:ascii="Cambria Math" w:hAnsi="Cambria Math" w:cs="Arial"/>
                <w:i/>
                <w:sz w:val="22"/>
                <w:szCs w:val="22"/>
              </w:rPr>
            </m:ctrlPr>
          </m:sSubPr>
          <m:e>
            <m:r>
              <m:rPr>
                <m:sty m:val="p"/>
              </m:rPr>
              <w:rPr>
                <w:rFonts w:ascii="Cambria Math" w:hAnsi="Cambria Math" w:cs="Arial"/>
                <w:sz w:val="22"/>
                <w:szCs w:val="22"/>
              </w:rPr>
              <m:t>α</m:t>
            </m:r>
          </m:e>
          <m:sub>
            <m:r>
              <m:rPr>
                <m:sty m:val="p"/>
              </m:rPr>
              <w:rPr>
                <w:rFonts w:ascii="Cambria Math" w:hAnsi="Cambria Math" w:cs="Arial"/>
                <w:sz w:val="22"/>
                <w:szCs w:val="22"/>
                <w:vertAlign w:val="subscript"/>
              </w:rPr>
              <m:t>0</m:t>
            </m:r>
          </m:sub>
        </m:sSub>
        <m:r>
          <w:rPr>
            <w:rFonts w:ascii="Cambria Math" w:hAnsi="Cambria Math" w:cs="Arial"/>
            <w:sz w:val="22"/>
            <w:szCs w:val="22"/>
          </w:rPr>
          <m:t>+</m:t>
        </m:r>
        <m:sSub>
          <m:sSubPr>
            <m:ctrlPr>
              <w:rPr>
                <w:rFonts w:ascii="Cambria Math" w:hAnsi="Cambria Math" w:cs="Arial"/>
                <w:i/>
                <w:sz w:val="22"/>
                <w:szCs w:val="22"/>
              </w:rPr>
            </m:ctrlPr>
          </m:sSubPr>
          <m:e>
            <m:r>
              <m:rPr>
                <m:sty m:val="p"/>
              </m:rPr>
              <w:rPr>
                <w:rFonts w:ascii="Cambria Math" w:hAnsi="Cambria Math" w:cs="Arial"/>
                <w:sz w:val="22"/>
                <w:szCs w:val="22"/>
              </w:rPr>
              <m:t>α</m:t>
            </m:r>
          </m:e>
          <m:sub>
            <m:r>
              <m:rPr>
                <m:sty m:val="p"/>
              </m:rPr>
              <w:rPr>
                <w:rFonts w:ascii="Cambria Math" w:hAnsi="Cambria Math" w:cs="Arial"/>
                <w:sz w:val="22"/>
                <w:szCs w:val="22"/>
                <w:vertAlign w:val="subscript"/>
              </w:rPr>
              <m:t>1</m:t>
            </m:r>
          </m:sub>
        </m:sSub>
        <m:sSub>
          <m:sSubPr>
            <m:ctrlPr>
              <w:rPr>
                <w:rFonts w:ascii="Cambria Math" w:hAnsi="Cambria Math" w:cs="Arial"/>
                <w:i/>
                <w:sz w:val="22"/>
                <w:szCs w:val="22"/>
              </w:rPr>
            </m:ctrlPr>
          </m:sSubPr>
          <m:e>
            <m:r>
              <m:rPr>
                <m:sty m:val="p"/>
              </m:rPr>
              <w:rPr>
                <w:rFonts w:ascii="Cambria Math" w:hAnsi="Cambria Math" w:cs="Arial"/>
                <w:sz w:val="22"/>
                <w:szCs w:val="22"/>
              </w:rPr>
              <m:t>TOT</m:t>
            </m:r>
          </m:e>
          <m:sub>
            <m:r>
              <m:rPr>
                <m:sty m:val="p"/>
              </m:rPr>
              <w:rPr>
                <w:rFonts w:ascii="Cambria Math" w:hAnsi="Cambria Math" w:cs="Arial"/>
                <w:sz w:val="22"/>
                <w:szCs w:val="22"/>
                <w:vertAlign w:val="subscript"/>
              </w:rPr>
              <m:t>it</m:t>
            </m:r>
          </m:sub>
        </m:sSub>
        <m:r>
          <w:rPr>
            <w:rFonts w:ascii="Cambria Math" w:hAnsi="Cambria Math" w:cs="Arial"/>
            <w:sz w:val="22"/>
            <w:szCs w:val="22"/>
          </w:rPr>
          <m:t>+</m:t>
        </m:r>
        <m:sSub>
          <m:sSubPr>
            <m:ctrlPr>
              <w:rPr>
                <w:rFonts w:ascii="Cambria Math" w:hAnsi="Cambria Math" w:cs="Arial"/>
                <w:i/>
                <w:sz w:val="22"/>
                <w:szCs w:val="22"/>
              </w:rPr>
            </m:ctrlPr>
          </m:sSubPr>
          <m:e>
            <m:r>
              <m:rPr>
                <m:sty m:val="p"/>
              </m:rPr>
              <w:rPr>
                <w:rFonts w:ascii="Cambria Math" w:hAnsi="Cambria Math" w:cs="Arial"/>
                <w:sz w:val="22"/>
                <w:szCs w:val="22"/>
              </w:rPr>
              <m:t>α</m:t>
            </m:r>
          </m:e>
          <m:sub>
            <m:r>
              <m:rPr>
                <m:sty m:val="p"/>
              </m:rPr>
              <w:rPr>
                <w:rFonts w:ascii="Cambria Math" w:hAnsi="Cambria Math" w:cs="Arial"/>
                <w:sz w:val="22"/>
                <w:szCs w:val="22"/>
                <w:vertAlign w:val="subscript"/>
              </w:rPr>
              <m:t>2</m:t>
            </m:r>
          </m:sub>
        </m:sSub>
        <m:sSub>
          <m:sSubPr>
            <m:ctrlPr>
              <w:rPr>
                <w:rFonts w:ascii="Cambria Math" w:hAnsi="Cambria Math" w:cs="Arial"/>
                <w:i/>
                <w:sz w:val="22"/>
                <w:szCs w:val="22"/>
              </w:rPr>
            </m:ctrlPr>
          </m:sSubPr>
          <m:e>
            <m:r>
              <m:rPr>
                <m:sty m:val="p"/>
              </m:rPr>
              <w:rPr>
                <w:rFonts w:ascii="Cambria Math" w:hAnsi="Cambria Math" w:cs="Arial"/>
                <w:sz w:val="22"/>
                <w:szCs w:val="22"/>
              </w:rPr>
              <m:t>NFA</m:t>
            </m:r>
          </m:e>
          <m:sub>
            <m:r>
              <m:rPr>
                <m:sty m:val="p"/>
              </m:rPr>
              <w:rPr>
                <w:rFonts w:ascii="Cambria Math" w:hAnsi="Cambria Math" w:cs="Arial"/>
                <w:sz w:val="22"/>
                <w:szCs w:val="22"/>
                <w:vertAlign w:val="subscript"/>
              </w:rPr>
              <m:t>it</m:t>
            </m:r>
          </m:sub>
        </m:sSub>
        <m:r>
          <w:rPr>
            <w:rFonts w:ascii="Cambria Math" w:hAnsi="Cambria Math" w:cs="Arial"/>
            <w:sz w:val="22"/>
            <w:szCs w:val="22"/>
          </w:rPr>
          <m:t>+</m:t>
        </m:r>
        <m:sSub>
          <m:sSubPr>
            <m:ctrlPr>
              <w:rPr>
                <w:rFonts w:ascii="Cambria Math" w:hAnsi="Cambria Math" w:cs="Arial"/>
                <w:i/>
                <w:sz w:val="22"/>
                <w:szCs w:val="22"/>
              </w:rPr>
            </m:ctrlPr>
          </m:sSubPr>
          <m:e>
            <m:r>
              <m:rPr>
                <m:sty m:val="p"/>
              </m:rPr>
              <w:rPr>
                <w:rFonts w:ascii="Cambria Math" w:hAnsi="Cambria Math" w:cs="Arial"/>
                <w:sz w:val="22"/>
                <w:szCs w:val="22"/>
              </w:rPr>
              <m:t>α</m:t>
            </m:r>
          </m:e>
          <m:sub>
            <m:r>
              <m:rPr>
                <m:sty m:val="p"/>
              </m:rPr>
              <w:rPr>
                <w:rFonts w:ascii="Cambria Math" w:hAnsi="Cambria Math" w:cs="Arial"/>
                <w:sz w:val="22"/>
                <w:szCs w:val="22"/>
                <w:vertAlign w:val="subscript"/>
              </w:rPr>
              <m:t>3</m:t>
            </m:r>
          </m:sub>
        </m:sSub>
        <m:sSub>
          <m:sSubPr>
            <m:ctrlPr>
              <w:rPr>
                <w:rFonts w:ascii="Cambria Math" w:hAnsi="Cambria Math" w:cs="Arial"/>
                <w:i/>
                <w:sz w:val="22"/>
                <w:szCs w:val="22"/>
              </w:rPr>
            </m:ctrlPr>
          </m:sSubPr>
          <m:e>
            <m:r>
              <m:rPr>
                <m:sty m:val="p"/>
              </m:rPr>
              <w:rPr>
                <w:rFonts w:ascii="Cambria Math" w:hAnsi="Cambria Math" w:cs="Arial"/>
                <w:sz w:val="22"/>
                <w:szCs w:val="22"/>
              </w:rPr>
              <m:t>GOVCON</m:t>
            </m:r>
          </m:e>
          <m:sub>
            <m:r>
              <m:rPr>
                <m:sty m:val="p"/>
              </m:rPr>
              <w:rPr>
                <w:rFonts w:ascii="Cambria Math" w:hAnsi="Cambria Math" w:cs="Arial"/>
                <w:sz w:val="22"/>
                <w:szCs w:val="22"/>
                <w:vertAlign w:val="subscript"/>
              </w:rPr>
              <m:t>it</m:t>
            </m:r>
          </m:sub>
        </m:sSub>
        <m:r>
          <w:rPr>
            <w:rFonts w:ascii="Cambria Math" w:hAnsi="Cambria Math" w:cs="Arial"/>
            <w:sz w:val="22"/>
            <w:szCs w:val="22"/>
          </w:rPr>
          <m:t>+</m:t>
        </m:r>
        <m:sSub>
          <m:sSubPr>
            <m:ctrlPr>
              <w:rPr>
                <w:rFonts w:ascii="Cambria Math" w:hAnsi="Cambria Math" w:cs="Arial"/>
                <w:i/>
                <w:sz w:val="22"/>
                <w:szCs w:val="22"/>
              </w:rPr>
            </m:ctrlPr>
          </m:sSubPr>
          <m:e>
            <m:r>
              <m:rPr>
                <m:sty m:val="p"/>
              </m:rPr>
              <w:rPr>
                <w:rFonts w:ascii="Cambria Math" w:hAnsi="Cambria Math" w:cs="Arial"/>
                <w:sz w:val="22"/>
                <w:szCs w:val="22"/>
              </w:rPr>
              <m:t>α</m:t>
            </m:r>
          </m:e>
          <m:sub>
            <m:r>
              <m:rPr>
                <m:sty m:val="p"/>
              </m:rPr>
              <w:rPr>
                <w:rFonts w:ascii="Cambria Math" w:hAnsi="Cambria Math" w:cs="Arial"/>
                <w:sz w:val="22"/>
                <w:szCs w:val="22"/>
                <w:vertAlign w:val="subscript"/>
              </w:rPr>
              <m:t>4</m:t>
            </m:r>
          </m:sub>
        </m:sSub>
        <m:sSub>
          <m:sSubPr>
            <m:ctrlPr>
              <w:rPr>
                <w:rFonts w:ascii="Cambria Math" w:hAnsi="Cambria Math" w:cs="Arial"/>
                <w:i/>
                <w:sz w:val="22"/>
                <w:szCs w:val="22"/>
              </w:rPr>
            </m:ctrlPr>
          </m:sSubPr>
          <m:e>
            <m:r>
              <m:rPr>
                <m:sty m:val="p"/>
              </m:rPr>
              <w:rPr>
                <w:rFonts w:ascii="Cambria Math" w:hAnsi="Cambria Math" w:cs="Arial"/>
                <w:sz w:val="22"/>
                <w:szCs w:val="22"/>
              </w:rPr>
              <m:t>OPEN</m:t>
            </m:r>
          </m:e>
          <m:sub>
            <m:r>
              <m:rPr>
                <m:sty m:val="p"/>
              </m:rPr>
              <w:rPr>
                <w:rFonts w:ascii="Cambria Math" w:hAnsi="Cambria Math" w:cs="Arial"/>
                <w:sz w:val="22"/>
                <w:szCs w:val="22"/>
                <w:vertAlign w:val="subscript"/>
              </w:rPr>
              <m:t>it</m:t>
            </m:r>
          </m:sub>
        </m:sSub>
        <m:r>
          <w:rPr>
            <w:rFonts w:ascii="Cambria Math" w:hAnsi="Cambria Math" w:cs="Arial"/>
            <w:sz w:val="22"/>
            <w:szCs w:val="22"/>
          </w:rPr>
          <m:t>+</m:t>
        </m:r>
        <m:sSub>
          <m:sSubPr>
            <m:ctrlPr>
              <w:rPr>
                <w:rFonts w:ascii="Cambria Math" w:hAnsi="Cambria Math" w:cs="Arial"/>
                <w:i/>
                <w:sz w:val="22"/>
                <w:szCs w:val="22"/>
              </w:rPr>
            </m:ctrlPr>
          </m:sSubPr>
          <m:e>
            <m:r>
              <m:rPr>
                <m:sty m:val="p"/>
              </m:rPr>
              <w:rPr>
                <w:rFonts w:ascii="Cambria Math" w:hAnsi="Cambria Math" w:cs="Arial"/>
                <w:sz w:val="22"/>
                <w:szCs w:val="22"/>
              </w:rPr>
              <m:t>α</m:t>
            </m:r>
          </m:e>
          <m:sub>
            <m:r>
              <m:rPr>
                <m:sty m:val="p"/>
              </m:rPr>
              <w:rPr>
                <w:rFonts w:ascii="Cambria Math" w:hAnsi="Cambria Math" w:cs="Arial"/>
                <w:sz w:val="22"/>
                <w:szCs w:val="22"/>
                <w:vertAlign w:val="subscript"/>
              </w:rPr>
              <m:t>5</m:t>
            </m:r>
          </m:sub>
        </m:sSub>
        <m:sSub>
          <m:sSubPr>
            <m:ctrlPr>
              <w:rPr>
                <w:rFonts w:ascii="Cambria Math" w:hAnsi="Cambria Math" w:cs="Arial"/>
                <w:i/>
                <w:sz w:val="22"/>
                <w:szCs w:val="22"/>
              </w:rPr>
            </m:ctrlPr>
          </m:sSubPr>
          <m:e>
            <m:r>
              <m:rPr>
                <m:sty m:val="p"/>
              </m:rPr>
              <w:rPr>
                <w:rFonts w:ascii="Cambria Math" w:hAnsi="Cambria Math" w:cs="Arial"/>
                <w:sz w:val="22"/>
                <w:szCs w:val="22"/>
              </w:rPr>
              <m:t>PROD</m:t>
            </m:r>
          </m:e>
          <m:sub>
            <m:r>
              <m:rPr>
                <m:sty m:val="p"/>
              </m:rPr>
              <w:rPr>
                <w:rFonts w:ascii="Cambria Math" w:hAnsi="Cambria Math" w:cs="Arial"/>
                <w:sz w:val="22"/>
                <w:szCs w:val="22"/>
                <w:vertAlign w:val="subscript"/>
              </w:rPr>
              <m:t>it</m:t>
            </m:r>
          </m:sub>
        </m:sSub>
        <m:r>
          <w:rPr>
            <w:rFonts w:ascii="Cambria Math" w:hAnsi="Cambria Math" w:cs="Arial"/>
            <w:sz w:val="22"/>
            <w:szCs w:val="22"/>
          </w:rPr>
          <m:t>+</m:t>
        </m:r>
        <m:sSub>
          <m:sSubPr>
            <m:ctrlPr>
              <w:rPr>
                <w:rFonts w:ascii="Cambria Math" w:hAnsi="Cambria Math" w:cs="Arial"/>
                <w:i/>
                <w:sz w:val="22"/>
                <w:szCs w:val="22"/>
              </w:rPr>
            </m:ctrlPr>
          </m:sSubPr>
          <m:e>
            <m:r>
              <m:rPr>
                <m:sty m:val="p"/>
              </m:rPr>
              <w:rPr>
                <w:rFonts w:ascii="Cambria Math" w:eastAsia="Segoe UI Symbol" w:hAnsi="Cambria Math" w:cs="Arial"/>
                <w:sz w:val="22"/>
                <w:szCs w:val="22"/>
              </w:rPr>
              <m:t>ε</m:t>
            </m:r>
          </m:e>
          <m:sub>
            <m:r>
              <m:rPr>
                <m:sty m:val="p"/>
              </m:rPr>
              <w:rPr>
                <w:rFonts w:ascii="Cambria Math" w:hAnsi="Cambria Math" w:cs="Arial"/>
                <w:sz w:val="22"/>
                <w:szCs w:val="22"/>
                <w:vertAlign w:val="subscript"/>
              </w:rPr>
              <m:t>it</m:t>
            </m:r>
          </m:sub>
        </m:sSub>
      </m:oMath>
      <w:bookmarkEnd w:id="155"/>
      <w:r w:rsidR="00C0398A" w:rsidRPr="00D21451">
        <w:rPr>
          <w:rFonts w:ascii="Arial" w:hAnsi="Arial" w:cs="Arial"/>
          <w:sz w:val="22"/>
          <w:szCs w:val="22"/>
        </w:rPr>
        <w:t xml:space="preserve">            </w:t>
      </w:r>
      <w:r w:rsidR="00C0398A" w:rsidRPr="00943191">
        <w:rPr>
          <w:rFonts w:ascii="Arial" w:hAnsi="Arial" w:cs="Arial"/>
          <w:sz w:val="22"/>
          <w:szCs w:val="22"/>
        </w:rPr>
        <w:t>(</w:t>
      </w:r>
      <w:r w:rsidR="00C0398A">
        <w:rPr>
          <w:rFonts w:ascii="Arial" w:hAnsi="Arial" w:cs="Arial"/>
          <w:sz w:val="22"/>
          <w:szCs w:val="22"/>
        </w:rPr>
        <w:t>3</w:t>
      </w:r>
      <w:r w:rsidR="00C0398A" w:rsidRPr="001A11C0">
        <w:rPr>
          <w:rFonts w:ascii="Arial" w:hAnsi="Arial" w:cs="Arial"/>
          <w:sz w:val="22"/>
          <w:szCs w:val="22"/>
        </w:rPr>
        <w:t>.</w:t>
      </w:r>
      <w:r w:rsidR="006235DE">
        <w:rPr>
          <w:rFonts w:ascii="Arial" w:hAnsi="Arial" w:cs="Arial"/>
          <w:sz w:val="22"/>
          <w:szCs w:val="22"/>
        </w:rPr>
        <w:t>22</w:t>
      </w:r>
      <w:r w:rsidR="00C0398A" w:rsidRPr="001A11C0">
        <w:rPr>
          <w:rFonts w:ascii="Arial" w:hAnsi="Arial" w:cs="Arial"/>
          <w:sz w:val="22"/>
          <w:szCs w:val="22"/>
        </w:rPr>
        <w:t>)</w:t>
      </w:r>
    </w:p>
    <w:p w14:paraId="337697CA" w14:textId="4D282BD1" w:rsidR="00806598" w:rsidRPr="00D21451" w:rsidRDefault="00FA22AD" w:rsidP="0066301C">
      <w:pPr>
        <w:pStyle w:val="i"/>
        <w:spacing w:before="0"/>
        <w:rPr>
          <w:rFonts w:ascii="Arial" w:hAnsi="Arial" w:cs="Arial"/>
          <w:sz w:val="22"/>
          <w:szCs w:val="22"/>
          <w:lang w:val="en-US"/>
        </w:rPr>
      </w:pPr>
      <w:r w:rsidRPr="00D21451">
        <w:rPr>
          <w:rFonts w:ascii="Arial" w:hAnsi="Arial" w:cs="Arial"/>
          <w:sz w:val="22"/>
          <w:szCs w:val="22"/>
        </w:rPr>
        <w:t xml:space="preserve">Where </w:t>
      </w:r>
      <w:r w:rsidR="00004B46" w:rsidRPr="00D21451">
        <w:rPr>
          <w:rFonts w:ascii="Arial" w:hAnsi="Arial" w:cs="Arial"/>
          <w:sz w:val="22"/>
          <w:szCs w:val="22"/>
        </w:rPr>
        <w:t xml:space="preserve">REER is the dependent variable, and the other variables are the economic fundamentals that are expected to influence the exchange rate in the medium to long-term (independent variables). </w:t>
      </w:r>
      <w:r w:rsidR="00BB770B" w:rsidRPr="00D21451">
        <w:rPr>
          <w:rFonts w:ascii="Arial" w:hAnsi="Arial" w:cs="Arial"/>
          <w:i/>
          <w:iCs/>
          <w:sz w:val="22"/>
          <w:szCs w:val="22"/>
        </w:rPr>
        <w:t>α</w:t>
      </w:r>
      <w:r w:rsidR="00BB770B" w:rsidRPr="00D21451">
        <w:rPr>
          <w:rFonts w:ascii="Arial" w:hAnsi="Arial" w:cs="Arial"/>
          <w:i/>
          <w:iCs/>
          <w:sz w:val="22"/>
          <w:szCs w:val="22"/>
          <w:vertAlign w:val="subscript"/>
        </w:rPr>
        <w:t>0</w:t>
      </w:r>
      <w:r w:rsidR="00BB770B" w:rsidRPr="00D21451">
        <w:rPr>
          <w:rFonts w:ascii="Arial" w:hAnsi="Arial" w:cs="Arial"/>
          <w:i/>
          <w:iCs/>
          <w:sz w:val="22"/>
          <w:szCs w:val="22"/>
        </w:rPr>
        <w:t xml:space="preserve"> </w:t>
      </w:r>
      <w:r w:rsidR="00BB770B" w:rsidRPr="00D21451">
        <w:rPr>
          <w:rFonts w:ascii="Arial" w:hAnsi="Arial" w:cs="Arial"/>
          <w:sz w:val="22"/>
          <w:szCs w:val="22"/>
        </w:rPr>
        <w:t xml:space="preserve">is the constant, </w:t>
      </w:r>
      <w:r w:rsidR="00004B46" w:rsidRPr="00D21451">
        <w:rPr>
          <w:rFonts w:ascii="Arial" w:hAnsi="Arial" w:cs="Arial"/>
          <w:i/>
          <w:iCs/>
          <w:sz w:val="22"/>
          <w:szCs w:val="22"/>
        </w:rPr>
        <w:t>α</w:t>
      </w:r>
      <w:r w:rsidR="00004B46" w:rsidRPr="00D21451">
        <w:rPr>
          <w:rFonts w:ascii="Arial" w:hAnsi="Arial" w:cs="Arial"/>
          <w:i/>
          <w:iCs/>
          <w:sz w:val="22"/>
          <w:szCs w:val="22"/>
          <w:vertAlign w:val="subscript"/>
        </w:rPr>
        <w:t xml:space="preserve">s </w:t>
      </w:r>
      <w:r w:rsidR="00004B46" w:rsidRPr="00D21451">
        <w:rPr>
          <w:rFonts w:ascii="Arial" w:hAnsi="Arial" w:cs="Arial"/>
          <w:sz w:val="22"/>
          <w:szCs w:val="22"/>
        </w:rPr>
        <w:t xml:space="preserve">being the coefficients of the variables, and </w:t>
      </w:r>
      <w:r w:rsidR="00004B46" w:rsidRPr="00D21451">
        <w:rPr>
          <w:rFonts w:ascii="Arial" w:hAnsi="Arial" w:cs="Arial"/>
          <w:i/>
          <w:iCs/>
          <w:sz w:val="22"/>
          <w:szCs w:val="22"/>
        </w:rPr>
        <w:t>ε</w:t>
      </w:r>
      <w:r w:rsidR="00004B46" w:rsidRPr="00D21451">
        <w:rPr>
          <w:rFonts w:ascii="Arial" w:hAnsi="Arial" w:cs="Arial"/>
          <w:i/>
          <w:iCs/>
          <w:sz w:val="22"/>
          <w:szCs w:val="22"/>
          <w:vertAlign w:val="subscript"/>
        </w:rPr>
        <w:t xml:space="preserve">it </w:t>
      </w:r>
      <w:r w:rsidR="00004B46" w:rsidRPr="00D21451">
        <w:rPr>
          <w:rFonts w:ascii="Arial" w:hAnsi="Arial" w:cs="Arial"/>
          <w:sz w:val="22"/>
          <w:szCs w:val="22"/>
        </w:rPr>
        <w:t xml:space="preserve">is the random disturbance. </w:t>
      </w:r>
      <w:r w:rsidR="00806598" w:rsidRPr="00D21451">
        <w:rPr>
          <w:rFonts w:ascii="Arial" w:hAnsi="Arial" w:cs="Arial"/>
          <w:sz w:val="22"/>
          <w:szCs w:val="22"/>
        </w:rPr>
        <w:t xml:space="preserve">We begin with the diagnostic test as seen below. </w:t>
      </w:r>
      <w:r w:rsidR="00806598" w:rsidRPr="00D21451">
        <w:rPr>
          <w:rFonts w:ascii="Arial" w:hAnsi="Arial" w:cs="Arial"/>
          <w:sz w:val="22"/>
          <w:szCs w:val="22"/>
          <w:lang w:val="en-US"/>
        </w:rPr>
        <w:t xml:space="preserve"> </w:t>
      </w:r>
    </w:p>
    <w:p w14:paraId="67A9E1DE" w14:textId="7CA553E5" w:rsidR="00806598" w:rsidRPr="0034077E" w:rsidRDefault="00FD1EE3" w:rsidP="0066301C">
      <w:pPr>
        <w:pStyle w:val="Heading3"/>
        <w:numPr>
          <w:ilvl w:val="0"/>
          <w:numId w:val="0"/>
        </w:numPr>
        <w:spacing w:before="0" w:beforeAutospacing="0"/>
        <w:rPr>
          <w:lang w:val="en-US" w:eastAsia="en-GB"/>
        </w:rPr>
      </w:pPr>
      <w:bookmarkStart w:id="156" w:name="_Toc171075387"/>
      <w:r>
        <w:rPr>
          <w:lang w:val="en-US" w:eastAsia="en-GB"/>
        </w:rPr>
        <w:t>3</w:t>
      </w:r>
      <w:r w:rsidR="00806598" w:rsidRPr="0034077E">
        <w:rPr>
          <w:lang w:val="en-US" w:eastAsia="en-GB"/>
        </w:rPr>
        <w:t>.</w:t>
      </w:r>
      <w:r w:rsidR="006235DE">
        <w:rPr>
          <w:lang w:val="en-US" w:eastAsia="en-GB"/>
        </w:rPr>
        <w:t>5</w:t>
      </w:r>
      <w:r w:rsidR="00806598" w:rsidRPr="0034077E">
        <w:rPr>
          <w:lang w:val="en-US" w:eastAsia="en-GB"/>
        </w:rPr>
        <w:t>.</w:t>
      </w:r>
      <w:r w:rsidR="00806598" w:rsidRPr="00F51653">
        <w:t>1</w:t>
      </w:r>
      <w:bookmarkStart w:id="157" w:name="_Hlk134466128"/>
      <w:r w:rsidR="00F51653">
        <w:tab/>
      </w:r>
      <w:r w:rsidR="00806598" w:rsidRPr="00F51653">
        <w:t>DIAGNOSTIC</w:t>
      </w:r>
      <w:r w:rsidR="00806598" w:rsidRPr="0034077E">
        <w:rPr>
          <w:lang w:val="en-US" w:eastAsia="en-GB"/>
        </w:rPr>
        <w:t xml:space="preserve"> TEST RESULTS</w:t>
      </w:r>
      <w:bookmarkEnd w:id="156"/>
    </w:p>
    <w:p w14:paraId="156F813F" w14:textId="77777777" w:rsidR="00E13244" w:rsidRPr="00595CCA" w:rsidRDefault="00E13244" w:rsidP="0066301C">
      <w:pPr>
        <w:spacing w:line="360" w:lineRule="auto"/>
        <w:jc w:val="both"/>
        <w:rPr>
          <w:rFonts w:ascii="Arial" w:hAnsi="Arial" w:cs="Arial"/>
        </w:rPr>
      </w:pPr>
      <w:r w:rsidRPr="00595CCA">
        <w:rPr>
          <w:rFonts w:ascii="Arial" w:hAnsi="Arial" w:cs="Arial"/>
        </w:rPr>
        <w:t xml:space="preserve">To ascertain that the data used in this section are fit, we perform the following diagnostic (residual) tests: normality test, serial correlation (autocorrelation) test, and heteroscedasticity test. The normality test investigates whether the data is normally distributed. The normality test result consists of the results for Skewness, Kurtosis, and Jarque-Bera. We are interested in the Jarque-Bera test because it factors both the Skewness and Kurtosis in its computation. The autocorrelation test is a test to ensure that the past values of a time series do not influence the </w:t>
      </w:r>
      <w:r w:rsidRPr="00595CCA">
        <w:rPr>
          <w:rFonts w:ascii="Arial" w:hAnsi="Arial" w:cs="Arial"/>
        </w:rPr>
        <w:lastRenderedPageBreak/>
        <w:t>present value. The presence of autocorrelation will mean that our analysis is biased since the time series is not independent, as errors in one period depend on errors in the previous period(s). The heteroscedasticity test is a test to ensure that the variance of the model is homogeneous and that the errors in the model are identically distributed, as discussed above. The results of the three tests are summarized in table 3.1 below.</w:t>
      </w:r>
    </w:p>
    <w:p w14:paraId="0628AA2B" w14:textId="19349A0A" w:rsidR="00806598" w:rsidRPr="00876F6F" w:rsidRDefault="00806598" w:rsidP="0066301C">
      <w:pPr>
        <w:autoSpaceDE w:val="0"/>
        <w:autoSpaceDN w:val="0"/>
        <w:adjustRightInd w:val="0"/>
        <w:spacing w:after="0" w:line="240" w:lineRule="auto"/>
        <w:rPr>
          <w:rFonts w:ascii="Arial" w:hAnsi="Arial" w:cs="Arial"/>
        </w:rPr>
      </w:pPr>
      <w:r w:rsidRPr="00FD1EE3">
        <w:rPr>
          <w:rFonts w:ascii="Arial" w:hAnsi="Arial" w:cs="Arial"/>
          <w:b/>
        </w:rPr>
        <w:t xml:space="preserve">Table </w:t>
      </w:r>
      <w:r w:rsidR="00FD1EE3" w:rsidRPr="00FD1EE3">
        <w:rPr>
          <w:rFonts w:ascii="Arial" w:hAnsi="Arial" w:cs="Arial"/>
          <w:b/>
        </w:rPr>
        <w:t>3</w:t>
      </w:r>
      <w:r w:rsidRPr="00FD1EE3">
        <w:rPr>
          <w:rFonts w:ascii="Arial" w:hAnsi="Arial" w:cs="Arial"/>
          <w:b/>
        </w:rPr>
        <w:t>.1</w:t>
      </w:r>
      <w:r w:rsidRPr="00876F6F">
        <w:rPr>
          <w:rFonts w:ascii="Arial" w:hAnsi="Arial" w:cs="Arial"/>
          <w:b/>
        </w:rPr>
        <w:t>: Diagnostic Test Result</w:t>
      </w:r>
      <w:r w:rsidR="007400C9">
        <w:rPr>
          <w:rFonts w:ascii="Arial" w:hAnsi="Arial" w:cs="Arial"/>
          <w:b/>
        </w:rPr>
        <w:t>s</w:t>
      </w:r>
    </w:p>
    <w:tbl>
      <w:tblPr>
        <w:tblStyle w:val="TableGrid"/>
        <w:tblW w:w="9021" w:type="dxa"/>
        <w:tblInd w:w="-5" w:type="dxa"/>
        <w:tblLook w:val="04A0" w:firstRow="1" w:lastRow="0" w:firstColumn="1" w:lastColumn="0" w:noHBand="0" w:noVBand="1"/>
      </w:tblPr>
      <w:tblGrid>
        <w:gridCol w:w="2889"/>
        <w:gridCol w:w="1304"/>
        <w:gridCol w:w="1194"/>
        <w:gridCol w:w="1701"/>
        <w:gridCol w:w="1933"/>
      </w:tblGrid>
      <w:tr w:rsidR="00806598" w:rsidRPr="00876F6F" w14:paraId="7038E7DE" w14:textId="77777777" w:rsidTr="00800608">
        <w:tc>
          <w:tcPr>
            <w:tcW w:w="2889" w:type="dxa"/>
          </w:tcPr>
          <w:p w14:paraId="6114D4D0" w14:textId="741AA2FE" w:rsidR="00806598" w:rsidRPr="00876F6F" w:rsidRDefault="00407785" w:rsidP="0066301C">
            <w:pPr>
              <w:rPr>
                <w:rFonts w:ascii="Arial" w:hAnsi="Arial" w:cs="Arial"/>
                <w:b/>
              </w:rPr>
            </w:pPr>
            <w:r>
              <w:rPr>
                <w:rFonts w:ascii="Arial" w:hAnsi="Arial" w:cs="Arial"/>
                <w:b/>
              </w:rPr>
              <w:t>Diagnostic Test</w:t>
            </w:r>
          </w:p>
        </w:tc>
        <w:tc>
          <w:tcPr>
            <w:tcW w:w="1304" w:type="dxa"/>
          </w:tcPr>
          <w:p w14:paraId="77351B4E" w14:textId="77777777" w:rsidR="00806598" w:rsidRPr="00876F6F" w:rsidRDefault="00806598" w:rsidP="0066301C">
            <w:pPr>
              <w:autoSpaceDE w:val="0"/>
              <w:autoSpaceDN w:val="0"/>
              <w:adjustRightInd w:val="0"/>
              <w:jc w:val="center"/>
              <w:rPr>
                <w:rFonts w:ascii="Arial" w:hAnsi="Arial" w:cs="Arial"/>
                <w:b/>
                <w:lang w:val="en-US"/>
              </w:rPr>
            </w:pPr>
            <w:r w:rsidRPr="00876F6F">
              <w:rPr>
                <w:rFonts w:ascii="Arial" w:hAnsi="Arial" w:cs="Arial"/>
                <w:b/>
              </w:rPr>
              <w:t>Cameroon</w:t>
            </w:r>
          </w:p>
        </w:tc>
        <w:tc>
          <w:tcPr>
            <w:tcW w:w="1194" w:type="dxa"/>
          </w:tcPr>
          <w:p w14:paraId="4B65872E" w14:textId="77777777" w:rsidR="00806598" w:rsidRPr="00876F6F" w:rsidRDefault="00806598" w:rsidP="0066301C">
            <w:pPr>
              <w:autoSpaceDE w:val="0"/>
              <w:autoSpaceDN w:val="0"/>
              <w:adjustRightInd w:val="0"/>
              <w:jc w:val="center"/>
              <w:rPr>
                <w:rFonts w:ascii="Arial" w:hAnsi="Arial" w:cs="Arial"/>
                <w:b/>
              </w:rPr>
            </w:pPr>
            <w:r w:rsidRPr="00876F6F">
              <w:rPr>
                <w:rFonts w:ascii="Arial" w:hAnsi="Arial" w:cs="Arial"/>
                <w:b/>
                <w:color w:val="000000"/>
              </w:rPr>
              <w:t>CAR</w:t>
            </w:r>
          </w:p>
        </w:tc>
        <w:tc>
          <w:tcPr>
            <w:tcW w:w="1701" w:type="dxa"/>
          </w:tcPr>
          <w:p w14:paraId="10FFD5B1" w14:textId="77777777" w:rsidR="00806598" w:rsidRPr="00876F6F" w:rsidRDefault="00806598" w:rsidP="0066301C">
            <w:pPr>
              <w:autoSpaceDE w:val="0"/>
              <w:autoSpaceDN w:val="0"/>
              <w:adjustRightInd w:val="0"/>
              <w:jc w:val="center"/>
              <w:rPr>
                <w:rFonts w:ascii="Arial" w:hAnsi="Arial" w:cs="Arial"/>
                <w:b/>
              </w:rPr>
            </w:pPr>
            <w:r w:rsidRPr="00876F6F">
              <w:rPr>
                <w:rFonts w:ascii="Arial" w:hAnsi="Arial" w:cs="Arial"/>
                <w:b/>
                <w:color w:val="000000"/>
              </w:rPr>
              <w:t>Gabon</w:t>
            </w:r>
          </w:p>
        </w:tc>
        <w:tc>
          <w:tcPr>
            <w:tcW w:w="1933" w:type="dxa"/>
          </w:tcPr>
          <w:p w14:paraId="41B5A2F2" w14:textId="77777777" w:rsidR="00806598" w:rsidRPr="00876F6F" w:rsidRDefault="00806598" w:rsidP="0066301C">
            <w:pPr>
              <w:autoSpaceDE w:val="0"/>
              <w:autoSpaceDN w:val="0"/>
              <w:adjustRightInd w:val="0"/>
              <w:jc w:val="center"/>
              <w:rPr>
                <w:rFonts w:ascii="Arial" w:hAnsi="Arial" w:cs="Arial"/>
                <w:b/>
                <w:color w:val="000000"/>
              </w:rPr>
            </w:pPr>
            <w:r>
              <w:rPr>
                <w:rFonts w:ascii="Arial" w:hAnsi="Arial" w:cs="Arial"/>
                <w:b/>
                <w:color w:val="000000"/>
              </w:rPr>
              <w:t>Equatorial Guinea</w:t>
            </w:r>
          </w:p>
        </w:tc>
      </w:tr>
      <w:tr w:rsidR="00806598" w:rsidRPr="00876F6F" w14:paraId="0E079817" w14:textId="77777777" w:rsidTr="00800608">
        <w:tc>
          <w:tcPr>
            <w:tcW w:w="2889" w:type="dxa"/>
          </w:tcPr>
          <w:p w14:paraId="52241434" w14:textId="77777777" w:rsidR="00806598" w:rsidRPr="00876F6F" w:rsidRDefault="00806598" w:rsidP="0066301C">
            <w:pPr>
              <w:rPr>
                <w:rFonts w:ascii="Arial" w:hAnsi="Arial" w:cs="Arial"/>
              </w:rPr>
            </w:pPr>
            <w:r w:rsidRPr="00876F6F">
              <w:rPr>
                <w:rFonts w:ascii="Arial" w:hAnsi="Arial" w:cs="Arial"/>
                <w:color w:val="000000"/>
              </w:rPr>
              <w:t>Normality Test</w:t>
            </w:r>
            <w:r>
              <w:rPr>
                <w:rFonts w:ascii="Arial" w:hAnsi="Arial" w:cs="Arial"/>
                <w:color w:val="000000"/>
              </w:rPr>
              <w:t xml:space="preserve"> </w:t>
            </w:r>
            <w:r w:rsidRPr="00876F6F">
              <w:rPr>
                <w:rFonts w:ascii="Arial" w:hAnsi="Arial" w:cs="Arial"/>
                <w:i/>
                <w:color w:val="000000"/>
              </w:rPr>
              <w:t>P</w:t>
            </w:r>
            <w:r w:rsidRPr="00876F6F">
              <w:rPr>
                <w:rFonts w:ascii="Arial" w:hAnsi="Arial" w:cs="Arial"/>
                <w:color w:val="000000"/>
              </w:rPr>
              <w:t>-value</w:t>
            </w:r>
          </w:p>
        </w:tc>
        <w:tc>
          <w:tcPr>
            <w:tcW w:w="1304" w:type="dxa"/>
          </w:tcPr>
          <w:p w14:paraId="4D27DFBD" w14:textId="77777777" w:rsidR="00806598" w:rsidRPr="00876F6F" w:rsidRDefault="00806598" w:rsidP="0066301C">
            <w:pPr>
              <w:autoSpaceDE w:val="0"/>
              <w:autoSpaceDN w:val="0"/>
              <w:adjustRightInd w:val="0"/>
              <w:jc w:val="center"/>
              <w:rPr>
                <w:rFonts w:ascii="Arial" w:hAnsi="Arial" w:cs="Arial"/>
                <w:color w:val="000000"/>
              </w:rPr>
            </w:pPr>
            <w:r>
              <w:rPr>
                <w:rFonts w:ascii="Arial" w:hAnsi="Arial" w:cs="Arial"/>
                <w:color w:val="000000"/>
              </w:rPr>
              <w:t>0.0626</w:t>
            </w:r>
          </w:p>
        </w:tc>
        <w:tc>
          <w:tcPr>
            <w:tcW w:w="1194" w:type="dxa"/>
          </w:tcPr>
          <w:p w14:paraId="0DBF2F21" w14:textId="77777777" w:rsidR="00806598" w:rsidRPr="00876F6F" w:rsidRDefault="00806598" w:rsidP="0066301C">
            <w:pPr>
              <w:autoSpaceDE w:val="0"/>
              <w:autoSpaceDN w:val="0"/>
              <w:adjustRightInd w:val="0"/>
              <w:jc w:val="center"/>
              <w:rPr>
                <w:rFonts w:ascii="Arial" w:hAnsi="Arial" w:cs="Arial"/>
                <w:color w:val="000000"/>
              </w:rPr>
            </w:pPr>
            <w:r>
              <w:rPr>
                <w:rFonts w:ascii="Arial" w:hAnsi="Arial" w:cs="Arial"/>
                <w:color w:val="000000"/>
              </w:rPr>
              <w:t>0.0146</w:t>
            </w:r>
          </w:p>
        </w:tc>
        <w:tc>
          <w:tcPr>
            <w:tcW w:w="1701" w:type="dxa"/>
          </w:tcPr>
          <w:p w14:paraId="7A7FB3D1" w14:textId="77777777" w:rsidR="00806598" w:rsidRPr="00876F6F" w:rsidRDefault="00806598" w:rsidP="0066301C">
            <w:pPr>
              <w:autoSpaceDE w:val="0"/>
              <w:autoSpaceDN w:val="0"/>
              <w:adjustRightInd w:val="0"/>
              <w:jc w:val="center"/>
              <w:rPr>
                <w:rFonts w:ascii="Arial" w:hAnsi="Arial" w:cs="Arial"/>
                <w:color w:val="000000"/>
              </w:rPr>
            </w:pPr>
            <w:r>
              <w:rPr>
                <w:rFonts w:ascii="Arial" w:hAnsi="Arial" w:cs="Arial"/>
                <w:color w:val="000000"/>
              </w:rPr>
              <w:t>0.0805</w:t>
            </w:r>
          </w:p>
        </w:tc>
        <w:tc>
          <w:tcPr>
            <w:tcW w:w="1933" w:type="dxa"/>
          </w:tcPr>
          <w:p w14:paraId="102246EC" w14:textId="77777777" w:rsidR="00806598" w:rsidRPr="00876F6F" w:rsidRDefault="00806598" w:rsidP="0066301C">
            <w:pPr>
              <w:autoSpaceDE w:val="0"/>
              <w:autoSpaceDN w:val="0"/>
              <w:adjustRightInd w:val="0"/>
              <w:jc w:val="center"/>
              <w:rPr>
                <w:rFonts w:ascii="Arial" w:hAnsi="Arial" w:cs="Arial"/>
                <w:color w:val="000000"/>
              </w:rPr>
            </w:pPr>
            <w:r>
              <w:rPr>
                <w:rFonts w:ascii="Arial" w:hAnsi="Arial" w:cs="Arial"/>
                <w:color w:val="000000"/>
              </w:rPr>
              <w:t>0.1575</w:t>
            </w:r>
          </w:p>
        </w:tc>
      </w:tr>
      <w:tr w:rsidR="00806598" w:rsidRPr="00876F6F" w14:paraId="5FE187CC" w14:textId="77777777" w:rsidTr="00800608">
        <w:tc>
          <w:tcPr>
            <w:tcW w:w="2889" w:type="dxa"/>
          </w:tcPr>
          <w:p w14:paraId="5462615A" w14:textId="77777777" w:rsidR="00806598" w:rsidRPr="00876F6F" w:rsidRDefault="00806598" w:rsidP="0066301C">
            <w:pPr>
              <w:rPr>
                <w:rFonts w:ascii="Arial" w:hAnsi="Arial" w:cs="Arial"/>
              </w:rPr>
            </w:pPr>
            <w:r w:rsidRPr="00876F6F">
              <w:rPr>
                <w:rFonts w:ascii="Arial" w:hAnsi="Arial" w:cs="Arial"/>
                <w:color w:val="000000"/>
              </w:rPr>
              <w:t>Autocorrelation</w:t>
            </w:r>
            <w:r>
              <w:rPr>
                <w:rFonts w:ascii="Arial" w:hAnsi="Arial" w:cs="Arial"/>
                <w:color w:val="000000"/>
              </w:rPr>
              <w:t xml:space="preserve"> </w:t>
            </w:r>
            <w:r w:rsidRPr="00876F6F">
              <w:rPr>
                <w:rFonts w:ascii="Arial" w:hAnsi="Arial" w:cs="Arial"/>
                <w:i/>
                <w:color w:val="000000"/>
              </w:rPr>
              <w:t>P-</w:t>
            </w:r>
            <w:r w:rsidRPr="00876F6F">
              <w:rPr>
                <w:rFonts w:ascii="Arial" w:hAnsi="Arial" w:cs="Arial"/>
                <w:color w:val="000000"/>
              </w:rPr>
              <w:t>value</w:t>
            </w:r>
          </w:p>
        </w:tc>
        <w:tc>
          <w:tcPr>
            <w:tcW w:w="1304" w:type="dxa"/>
          </w:tcPr>
          <w:p w14:paraId="5D3D9FF9" w14:textId="77777777" w:rsidR="00806598" w:rsidRPr="00876F6F" w:rsidRDefault="00806598" w:rsidP="0066301C">
            <w:pPr>
              <w:autoSpaceDE w:val="0"/>
              <w:autoSpaceDN w:val="0"/>
              <w:adjustRightInd w:val="0"/>
              <w:jc w:val="center"/>
              <w:rPr>
                <w:rFonts w:ascii="Arial" w:hAnsi="Arial" w:cs="Arial"/>
                <w:lang w:val="en-US"/>
              </w:rPr>
            </w:pPr>
            <w:r>
              <w:rPr>
                <w:rFonts w:ascii="Arial" w:hAnsi="Arial" w:cs="Arial"/>
                <w:lang w:val="en-US"/>
              </w:rPr>
              <w:t>0.4463</w:t>
            </w:r>
          </w:p>
        </w:tc>
        <w:tc>
          <w:tcPr>
            <w:tcW w:w="1194" w:type="dxa"/>
          </w:tcPr>
          <w:p w14:paraId="202EEAFA" w14:textId="77777777" w:rsidR="00806598" w:rsidRPr="00876F6F" w:rsidRDefault="00806598" w:rsidP="0066301C">
            <w:pPr>
              <w:autoSpaceDE w:val="0"/>
              <w:autoSpaceDN w:val="0"/>
              <w:adjustRightInd w:val="0"/>
              <w:jc w:val="center"/>
              <w:rPr>
                <w:rFonts w:ascii="Arial" w:hAnsi="Arial" w:cs="Arial"/>
                <w:lang w:val="en-US"/>
              </w:rPr>
            </w:pPr>
            <w:r>
              <w:rPr>
                <w:rFonts w:ascii="Arial" w:hAnsi="Arial" w:cs="Arial"/>
                <w:lang w:val="en-US"/>
              </w:rPr>
              <w:t>0.4980</w:t>
            </w:r>
          </w:p>
        </w:tc>
        <w:tc>
          <w:tcPr>
            <w:tcW w:w="1701" w:type="dxa"/>
          </w:tcPr>
          <w:p w14:paraId="42F9324A" w14:textId="77777777" w:rsidR="00806598" w:rsidRPr="00876F6F" w:rsidRDefault="00806598" w:rsidP="0066301C">
            <w:pPr>
              <w:autoSpaceDE w:val="0"/>
              <w:autoSpaceDN w:val="0"/>
              <w:adjustRightInd w:val="0"/>
              <w:jc w:val="center"/>
              <w:rPr>
                <w:rFonts w:ascii="Arial" w:hAnsi="Arial" w:cs="Arial"/>
                <w:lang w:val="en-US"/>
              </w:rPr>
            </w:pPr>
            <w:r>
              <w:rPr>
                <w:rFonts w:ascii="Arial" w:hAnsi="Arial" w:cs="Arial"/>
                <w:lang w:val="en-US"/>
              </w:rPr>
              <w:t>0.3253</w:t>
            </w:r>
          </w:p>
        </w:tc>
        <w:tc>
          <w:tcPr>
            <w:tcW w:w="1933" w:type="dxa"/>
          </w:tcPr>
          <w:p w14:paraId="6D0B26EF" w14:textId="77777777" w:rsidR="00806598" w:rsidRPr="00876F6F" w:rsidRDefault="00806598" w:rsidP="0066301C">
            <w:pPr>
              <w:autoSpaceDE w:val="0"/>
              <w:autoSpaceDN w:val="0"/>
              <w:adjustRightInd w:val="0"/>
              <w:jc w:val="center"/>
              <w:rPr>
                <w:rFonts w:ascii="Arial" w:hAnsi="Arial" w:cs="Arial"/>
                <w:lang w:val="en-US"/>
              </w:rPr>
            </w:pPr>
            <w:r>
              <w:rPr>
                <w:rFonts w:ascii="Arial" w:hAnsi="Arial" w:cs="Arial"/>
                <w:lang w:val="en-US"/>
              </w:rPr>
              <w:t>0.7698</w:t>
            </w:r>
          </w:p>
        </w:tc>
      </w:tr>
      <w:tr w:rsidR="00806598" w:rsidRPr="00876F6F" w14:paraId="38403CD8" w14:textId="77777777" w:rsidTr="00800608">
        <w:tc>
          <w:tcPr>
            <w:tcW w:w="2889" w:type="dxa"/>
          </w:tcPr>
          <w:p w14:paraId="6A238961" w14:textId="2731F057" w:rsidR="00806598" w:rsidRPr="00876F6F" w:rsidRDefault="007C7D16" w:rsidP="0066301C">
            <w:pPr>
              <w:autoSpaceDE w:val="0"/>
              <w:autoSpaceDN w:val="0"/>
              <w:adjustRightInd w:val="0"/>
              <w:rPr>
                <w:rFonts w:ascii="Arial" w:hAnsi="Arial" w:cs="Arial"/>
              </w:rPr>
            </w:pPr>
            <w:r>
              <w:rPr>
                <w:rFonts w:ascii="Arial" w:hAnsi="Arial" w:cs="Arial"/>
              </w:rPr>
              <w:t>H</w:t>
            </w:r>
            <w:r w:rsidRPr="001016F9">
              <w:rPr>
                <w:rFonts w:ascii="Arial" w:hAnsi="Arial" w:cs="Arial"/>
              </w:rPr>
              <w:t>eteroscedasticity</w:t>
            </w:r>
            <w:r w:rsidR="00806598">
              <w:rPr>
                <w:rFonts w:ascii="Arial" w:hAnsi="Arial" w:cs="Arial"/>
                <w:color w:val="000000"/>
              </w:rPr>
              <w:t xml:space="preserve"> </w:t>
            </w:r>
            <w:r w:rsidR="00806598" w:rsidRPr="00876F6F">
              <w:rPr>
                <w:rFonts w:ascii="Arial" w:hAnsi="Arial" w:cs="Arial"/>
                <w:i/>
                <w:color w:val="000000"/>
              </w:rPr>
              <w:t>P-</w:t>
            </w:r>
            <w:r w:rsidR="00806598" w:rsidRPr="00876F6F">
              <w:rPr>
                <w:rFonts w:ascii="Arial" w:hAnsi="Arial" w:cs="Arial"/>
                <w:color w:val="000000"/>
              </w:rPr>
              <w:t>value</w:t>
            </w:r>
          </w:p>
        </w:tc>
        <w:tc>
          <w:tcPr>
            <w:tcW w:w="1304" w:type="dxa"/>
          </w:tcPr>
          <w:p w14:paraId="705A3A22" w14:textId="77777777" w:rsidR="00806598" w:rsidRPr="00876F6F" w:rsidRDefault="00806598" w:rsidP="0066301C">
            <w:pPr>
              <w:autoSpaceDE w:val="0"/>
              <w:autoSpaceDN w:val="0"/>
              <w:adjustRightInd w:val="0"/>
              <w:jc w:val="center"/>
              <w:rPr>
                <w:rFonts w:ascii="Arial" w:hAnsi="Arial" w:cs="Arial"/>
                <w:lang w:val="en-US"/>
              </w:rPr>
            </w:pPr>
            <w:r>
              <w:rPr>
                <w:rFonts w:ascii="Arial" w:hAnsi="Arial" w:cs="Arial"/>
                <w:lang w:val="en-US"/>
              </w:rPr>
              <w:t>0.3810</w:t>
            </w:r>
          </w:p>
        </w:tc>
        <w:tc>
          <w:tcPr>
            <w:tcW w:w="1194" w:type="dxa"/>
          </w:tcPr>
          <w:p w14:paraId="507519C5" w14:textId="77777777" w:rsidR="00806598" w:rsidRPr="00876F6F" w:rsidRDefault="00806598" w:rsidP="0066301C">
            <w:pPr>
              <w:autoSpaceDE w:val="0"/>
              <w:autoSpaceDN w:val="0"/>
              <w:adjustRightInd w:val="0"/>
              <w:jc w:val="center"/>
              <w:rPr>
                <w:rFonts w:ascii="Arial" w:hAnsi="Arial" w:cs="Arial"/>
                <w:lang w:val="en-US"/>
              </w:rPr>
            </w:pPr>
            <w:r>
              <w:rPr>
                <w:rFonts w:ascii="Arial" w:hAnsi="Arial" w:cs="Arial"/>
                <w:lang w:val="en-US"/>
              </w:rPr>
              <w:t>0.2994</w:t>
            </w:r>
          </w:p>
        </w:tc>
        <w:tc>
          <w:tcPr>
            <w:tcW w:w="1701" w:type="dxa"/>
          </w:tcPr>
          <w:p w14:paraId="376A784D" w14:textId="77777777" w:rsidR="00806598" w:rsidRPr="00876F6F" w:rsidRDefault="00806598" w:rsidP="0066301C">
            <w:pPr>
              <w:autoSpaceDE w:val="0"/>
              <w:autoSpaceDN w:val="0"/>
              <w:adjustRightInd w:val="0"/>
              <w:jc w:val="center"/>
              <w:rPr>
                <w:rFonts w:ascii="Arial" w:hAnsi="Arial" w:cs="Arial"/>
                <w:lang w:val="en-US"/>
              </w:rPr>
            </w:pPr>
            <w:r>
              <w:rPr>
                <w:rFonts w:ascii="Arial" w:hAnsi="Arial" w:cs="Arial"/>
                <w:lang w:val="en-US"/>
              </w:rPr>
              <w:t>0.4363</w:t>
            </w:r>
          </w:p>
        </w:tc>
        <w:tc>
          <w:tcPr>
            <w:tcW w:w="1933" w:type="dxa"/>
          </w:tcPr>
          <w:p w14:paraId="0A9604BB" w14:textId="77777777" w:rsidR="00806598" w:rsidRPr="00876F6F" w:rsidRDefault="00806598" w:rsidP="0066301C">
            <w:pPr>
              <w:autoSpaceDE w:val="0"/>
              <w:autoSpaceDN w:val="0"/>
              <w:adjustRightInd w:val="0"/>
              <w:jc w:val="center"/>
              <w:rPr>
                <w:rFonts w:ascii="Arial" w:hAnsi="Arial" w:cs="Arial"/>
                <w:lang w:val="en-US"/>
              </w:rPr>
            </w:pPr>
            <w:r>
              <w:rPr>
                <w:rFonts w:ascii="Arial" w:hAnsi="Arial" w:cs="Arial"/>
                <w:lang w:val="en-US"/>
              </w:rPr>
              <w:t>0.3068</w:t>
            </w:r>
          </w:p>
        </w:tc>
      </w:tr>
    </w:tbl>
    <w:p w14:paraId="136B0C2E" w14:textId="45C1F92B" w:rsidR="00806598" w:rsidRPr="005D14CA" w:rsidRDefault="00806598" w:rsidP="0066301C">
      <w:pPr>
        <w:pStyle w:val="ListParagraph"/>
        <w:autoSpaceDE w:val="0"/>
        <w:autoSpaceDN w:val="0"/>
        <w:adjustRightInd w:val="0"/>
        <w:spacing w:after="0" w:line="240" w:lineRule="auto"/>
        <w:ind w:left="0"/>
        <w:rPr>
          <w:rFonts w:ascii="Arial" w:hAnsi="Arial" w:cs="Arial"/>
          <w:b/>
          <w:sz w:val="20"/>
          <w:szCs w:val="20"/>
        </w:rPr>
      </w:pPr>
      <w:r w:rsidRPr="005D14CA">
        <w:rPr>
          <w:rFonts w:ascii="Arial" w:hAnsi="Arial" w:cs="Arial"/>
          <w:i/>
          <w:sz w:val="20"/>
          <w:szCs w:val="20"/>
        </w:rPr>
        <w:t>Source</w:t>
      </w:r>
      <w:r w:rsidRPr="005D14CA">
        <w:rPr>
          <w:rFonts w:ascii="Arial" w:hAnsi="Arial" w:cs="Arial"/>
          <w:sz w:val="20"/>
          <w:szCs w:val="20"/>
        </w:rPr>
        <w:t>: Computation from time-series data using EViews 1</w:t>
      </w:r>
      <w:r w:rsidR="003B42B0" w:rsidRPr="005D14CA">
        <w:rPr>
          <w:rFonts w:ascii="Arial" w:hAnsi="Arial" w:cs="Arial"/>
          <w:sz w:val="20"/>
          <w:szCs w:val="20"/>
        </w:rPr>
        <w:t>2</w:t>
      </w:r>
    </w:p>
    <w:p w14:paraId="0CBEEECC" w14:textId="77777777" w:rsidR="00806598" w:rsidRDefault="00806598" w:rsidP="0066301C">
      <w:pPr>
        <w:pStyle w:val="ListParagraph"/>
        <w:autoSpaceDE w:val="0"/>
        <w:autoSpaceDN w:val="0"/>
        <w:adjustRightInd w:val="0"/>
        <w:spacing w:after="0" w:line="360" w:lineRule="auto"/>
        <w:ind w:left="0"/>
        <w:jc w:val="both"/>
        <w:rPr>
          <w:rFonts w:ascii="Arial" w:hAnsi="Arial" w:cs="Arial"/>
        </w:rPr>
      </w:pPr>
    </w:p>
    <w:p w14:paraId="668972BF" w14:textId="2FC13A5C" w:rsidR="0045519E" w:rsidRPr="00115880" w:rsidRDefault="00B32E89" w:rsidP="0066301C">
      <w:pPr>
        <w:pStyle w:val="ListParagraph"/>
        <w:autoSpaceDE w:val="0"/>
        <w:autoSpaceDN w:val="0"/>
        <w:adjustRightInd w:val="0"/>
        <w:spacing w:after="0" w:line="360" w:lineRule="auto"/>
        <w:ind w:left="0"/>
        <w:jc w:val="both"/>
        <w:rPr>
          <w:rFonts w:ascii="Arial" w:hAnsi="Arial" w:cs="Arial"/>
        </w:rPr>
      </w:pPr>
      <w:r w:rsidRPr="00115880">
        <w:rPr>
          <w:rFonts w:ascii="Arial" w:hAnsi="Arial" w:cs="Arial"/>
        </w:rPr>
        <w:t>From the above diagnostic test, the results of all the nations but for CAR are good because the </w:t>
      </w:r>
      <w:r w:rsidRPr="00115880">
        <w:rPr>
          <w:rStyle w:val="Emphasis"/>
          <w:rFonts w:ascii="Arial" w:hAnsi="Arial" w:cs="Arial"/>
          <w:color w:val="0E101A"/>
        </w:rPr>
        <w:t>p-</w:t>
      </w:r>
      <w:r w:rsidRPr="00115880">
        <w:rPr>
          <w:rFonts w:ascii="Arial" w:hAnsi="Arial" w:cs="Arial"/>
        </w:rPr>
        <w:t>value of the test is greater than 0.05. It means that the models are fit to be used in this research. As for the model of CAR, but for the normality test with a </w:t>
      </w:r>
      <w:r w:rsidRPr="00115880">
        <w:rPr>
          <w:rStyle w:val="Emphasis"/>
          <w:rFonts w:ascii="Arial" w:hAnsi="Arial" w:cs="Arial"/>
          <w:color w:val="0E101A"/>
        </w:rPr>
        <w:t>p-</w:t>
      </w:r>
      <w:r w:rsidRPr="00115880">
        <w:rPr>
          <w:rFonts w:ascii="Arial" w:hAnsi="Arial" w:cs="Arial"/>
        </w:rPr>
        <w:t>value less than 0.05, the </w:t>
      </w:r>
      <w:r w:rsidRPr="00115880">
        <w:rPr>
          <w:rStyle w:val="Emphasis"/>
          <w:rFonts w:ascii="Arial" w:hAnsi="Arial" w:cs="Arial"/>
          <w:color w:val="0E101A"/>
        </w:rPr>
        <w:t>p–value</w:t>
      </w:r>
      <w:r w:rsidRPr="00115880">
        <w:rPr>
          <w:rFonts w:ascii="Arial" w:hAnsi="Arial" w:cs="Arial"/>
        </w:rPr>
        <w:t> of both the autocorrelation test and the heteroscedasticity test are greater than 0.05. It means that we could still use the model in this research. Thus, we proceed with the unit root test.</w:t>
      </w:r>
    </w:p>
    <w:p w14:paraId="1DD78822" w14:textId="5B33A354" w:rsidR="00067D96" w:rsidRPr="0034077E" w:rsidRDefault="00A53B1E" w:rsidP="0066301C">
      <w:pPr>
        <w:pStyle w:val="Heading3"/>
        <w:numPr>
          <w:ilvl w:val="0"/>
          <w:numId w:val="0"/>
        </w:numPr>
        <w:spacing w:before="0" w:beforeAutospacing="0"/>
        <w:rPr>
          <w:lang w:val="en-US" w:eastAsia="en-GB"/>
        </w:rPr>
      </w:pPr>
      <w:bookmarkStart w:id="158" w:name="_Toc171075388"/>
      <w:bookmarkEnd w:id="157"/>
      <w:r>
        <w:rPr>
          <w:lang w:val="en-US" w:eastAsia="en-GB"/>
        </w:rPr>
        <w:t>3</w:t>
      </w:r>
      <w:r w:rsidR="00067D96" w:rsidRPr="0034077E">
        <w:rPr>
          <w:lang w:val="en-US" w:eastAsia="en-GB"/>
        </w:rPr>
        <w:t>.</w:t>
      </w:r>
      <w:r w:rsidR="006235DE">
        <w:rPr>
          <w:lang w:val="en-US" w:eastAsia="en-GB"/>
        </w:rPr>
        <w:t>5</w:t>
      </w:r>
      <w:r w:rsidR="00067D96" w:rsidRPr="0034077E">
        <w:rPr>
          <w:lang w:val="en-US" w:eastAsia="en-GB"/>
        </w:rPr>
        <w:t>.</w:t>
      </w:r>
      <w:r w:rsidR="00067D96" w:rsidRPr="00A5354E">
        <w:t>2</w:t>
      </w:r>
      <w:r w:rsidR="000458A5">
        <w:tab/>
      </w:r>
      <w:r w:rsidR="00067D96" w:rsidRPr="00A5354E">
        <w:t>UNIT</w:t>
      </w:r>
      <w:r w:rsidR="00067D96" w:rsidRPr="002D5D84">
        <w:t xml:space="preserve"> ROOT TEST</w:t>
      </w:r>
      <w:bookmarkEnd w:id="158"/>
      <w:r w:rsidR="00067D96" w:rsidRPr="002D5D84">
        <w:t xml:space="preserve"> </w:t>
      </w:r>
    </w:p>
    <w:p w14:paraId="3DF1E5A6" w14:textId="41FCDCAD" w:rsidR="00B32E89" w:rsidRPr="00115880" w:rsidRDefault="001250FD" w:rsidP="0066301C">
      <w:pPr>
        <w:spacing w:after="200" w:line="360" w:lineRule="auto"/>
        <w:jc w:val="both"/>
        <w:rPr>
          <w:rFonts w:ascii="Arial" w:hAnsi="Arial" w:cs="Arial"/>
          <w:b/>
        </w:rPr>
      </w:pPr>
      <w:r w:rsidRPr="000A19AB">
        <w:rPr>
          <w:rFonts w:ascii="Arial" w:hAnsi="Arial" w:cs="Arial"/>
        </w:rPr>
        <w:t>An analysis for the presence of unit root is perform</w:t>
      </w:r>
      <w:r w:rsidR="00B2214F">
        <w:rPr>
          <w:rFonts w:ascii="Arial" w:hAnsi="Arial" w:cs="Arial"/>
        </w:rPr>
        <w:t>ed</w:t>
      </w:r>
      <w:r w:rsidRPr="000A19AB">
        <w:rPr>
          <w:rFonts w:ascii="Arial" w:hAnsi="Arial" w:cs="Arial"/>
        </w:rPr>
        <w:t xml:space="preserve"> using the </w:t>
      </w:r>
      <w:r w:rsidRPr="000A19AB">
        <w:rPr>
          <w:rStyle w:val="Emphasis"/>
          <w:rFonts w:ascii="Arial" w:hAnsi="Arial" w:cs="Arial"/>
          <w:color w:val="0E101A"/>
        </w:rPr>
        <w:t>Augmented Dickey-Fuller </w:t>
      </w:r>
      <w:r w:rsidRPr="000A19AB">
        <w:rPr>
          <w:rFonts w:ascii="Arial" w:hAnsi="Arial" w:cs="Arial"/>
        </w:rPr>
        <w:t>(ADF) and </w:t>
      </w:r>
      <w:r w:rsidRPr="000A19AB">
        <w:rPr>
          <w:rStyle w:val="Emphasis"/>
          <w:rFonts w:ascii="Arial" w:hAnsi="Arial" w:cs="Arial"/>
          <w:color w:val="0E101A"/>
        </w:rPr>
        <w:t>Philips-Perron</w:t>
      </w:r>
      <w:r w:rsidRPr="000A19AB">
        <w:rPr>
          <w:rFonts w:ascii="Arial" w:hAnsi="Arial" w:cs="Arial"/>
        </w:rPr>
        <w:t> (PP) test for the variables of the CEMAC nations using the EViews 12 econometric software application. The test results are summarise</w:t>
      </w:r>
      <w:r w:rsidR="00115880" w:rsidRPr="000A19AB">
        <w:rPr>
          <w:rFonts w:ascii="Arial" w:hAnsi="Arial" w:cs="Arial"/>
        </w:rPr>
        <w:t>d</w:t>
      </w:r>
      <w:r w:rsidRPr="000A19AB">
        <w:rPr>
          <w:rFonts w:ascii="Arial" w:hAnsi="Arial" w:cs="Arial"/>
        </w:rPr>
        <w:t xml:space="preserve"> in</w:t>
      </w:r>
      <w:r w:rsidR="00F64204">
        <w:rPr>
          <w:rFonts w:ascii="Arial" w:hAnsi="Arial" w:cs="Arial"/>
        </w:rPr>
        <w:t xml:space="preserve"> table 3.2 in </w:t>
      </w:r>
      <w:r w:rsidR="008D1BD5">
        <w:rPr>
          <w:rFonts w:ascii="Arial" w:hAnsi="Arial" w:cs="Arial"/>
        </w:rPr>
        <w:t>appendix</w:t>
      </w:r>
      <w:r w:rsidR="006235DE">
        <w:rPr>
          <w:rFonts w:ascii="Arial" w:hAnsi="Arial" w:cs="Arial"/>
        </w:rPr>
        <w:t xml:space="preserve"> A</w:t>
      </w:r>
      <w:r w:rsidR="008D1BD5">
        <w:rPr>
          <w:rFonts w:ascii="Arial" w:hAnsi="Arial" w:cs="Arial"/>
        </w:rPr>
        <w:t>.</w:t>
      </w:r>
      <w:r w:rsidRPr="000A19AB">
        <w:rPr>
          <w:rFonts w:ascii="Arial" w:hAnsi="Arial" w:cs="Arial"/>
        </w:rPr>
        <w:t xml:space="preserve"> A variable is stationary when the absolute value of the </w:t>
      </w:r>
      <w:r w:rsidRPr="000A19AB">
        <w:rPr>
          <w:rStyle w:val="Emphasis"/>
          <w:rFonts w:ascii="Arial" w:hAnsi="Arial" w:cs="Arial"/>
          <w:color w:val="0E101A"/>
        </w:rPr>
        <w:t>t-statistic </w:t>
      </w:r>
      <w:r w:rsidRPr="000A19AB">
        <w:rPr>
          <w:rFonts w:ascii="Arial" w:hAnsi="Arial" w:cs="Arial"/>
        </w:rPr>
        <w:t>of both the </w:t>
      </w:r>
      <w:r w:rsidRPr="000A19AB">
        <w:rPr>
          <w:rStyle w:val="Emphasis"/>
          <w:rFonts w:ascii="Arial" w:hAnsi="Arial" w:cs="Arial"/>
          <w:color w:val="0E101A"/>
        </w:rPr>
        <w:t>ADF </w:t>
      </w:r>
      <w:r w:rsidRPr="000A19AB">
        <w:rPr>
          <w:rFonts w:ascii="Arial" w:hAnsi="Arial" w:cs="Arial"/>
        </w:rPr>
        <w:t>and </w:t>
      </w:r>
      <w:r w:rsidRPr="000A19AB">
        <w:rPr>
          <w:rStyle w:val="Emphasis"/>
          <w:rFonts w:ascii="Arial" w:hAnsi="Arial" w:cs="Arial"/>
          <w:color w:val="0E101A"/>
        </w:rPr>
        <w:t>PP </w:t>
      </w:r>
      <w:r w:rsidRPr="000A19AB">
        <w:rPr>
          <w:rFonts w:ascii="Arial" w:hAnsi="Arial" w:cs="Arial"/>
        </w:rPr>
        <w:t>tests is greater than the 5% critical value. Alternatively, when the </w:t>
      </w:r>
      <w:r w:rsidRPr="000A19AB">
        <w:rPr>
          <w:rStyle w:val="Emphasis"/>
          <w:rFonts w:ascii="Arial" w:hAnsi="Arial" w:cs="Arial"/>
          <w:color w:val="0E101A"/>
        </w:rPr>
        <w:t>t-</w:t>
      </w:r>
      <w:r w:rsidRPr="000A19AB">
        <w:rPr>
          <w:rFonts w:ascii="Arial" w:hAnsi="Arial" w:cs="Arial"/>
        </w:rPr>
        <w:t xml:space="preserve">statistic value is less than the 5% critical value, the variable has a unit root (non-stationary). Stationarity is </w:t>
      </w:r>
      <w:r w:rsidR="00484F96" w:rsidRPr="000A19AB">
        <w:rPr>
          <w:rFonts w:ascii="Arial" w:hAnsi="Arial" w:cs="Arial"/>
        </w:rPr>
        <w:t>obtained</w:t>
      </w:r>
      <w:r w:rsidRPr="000A19AB">
        <w:rPr>
          <w:rFonts w:ascii="Arial" w:hAnsi="Arial" w:cs="Arial"/>
        </w:rPr>
        <w:t xml:space="preserve"> via differencing the variable. From the table on the </w:t>
      </w:r>
      <w:r w:rsidRPr="000A19AB">
        <w:rPr>
          <w:rStyle w:val="Emphasis"/>
          <w:rFonts w:ascii="Arial" w:hAnsi="Arial" w:cs="Arial"/>
          <w:color w:val="0E101A"/>
        </w:rPr>
        <w:t>ADF </w:t>
      </w:r>
      <w:r w:rsidRPr="000A19AB">
        <w:rPr>
          <w:rFonts w:ascii="Arial" w:hAnsi="Arial" w:cs="Arial"/>
        </w:rPr>
        <w:t>and </w:t>
      </w:r>
      <w:r w:rsidRPr="000A19AB">
        <w:rPr>
          <w:rStyle w:val="Emphasis"/>
          <w:rFonts w:ascii="Arial" w:hAnsi="Arial" w:cs="Arial"/>
          <w:color w:val="0E101A"/>
        </w:rPr>
        <w:t>PP </w:t>
      </w:r>
      <w:r w:rsidRPr="000A19AB">
        <w:rPr>
          <w:rFonts w:ascii="Arial" w:hAnsi="Arial" w:cs="Arial"/>
        </w:rPr>
        <w:t>tests, the absolute values of all the variables are stationary after their first difference. It justifies why we use the VAR approach to cointegration, as all the variables are stationary at their 1</w:t>
      </w:r>
      <w:r w:rsidRPr="000A19AB">
        <w:rPr>
          <w:rFonts w:ascii="Arial" w:hAnsi="Arial" w:cs="Arial"/>
          <w:vertAlign w:val="superscript"/>
        </w:rPr>
        <w:t>st</w:t>
      </w:r>
      <w:r w:rsidRPr="000A19AB">
        <w:rPr>
          <w:rFonts w:ascii="Arial" w:hAnsi="Arial" w:cs="Arial"/>
        </w:rPr>
        <w:t xml:space="preserve"> difference. In case the series have cointegration, it means that they exhibit a long-term relationship. That is, even if there were shocks in the short-term that may affect movement in individual series, with time, they converge (get </w:t>
      </w:r>
      <w:bookmarkStart w:id="159" w:name="_Hlk134147778"/>
      <w:r w:rsidRPr="000A19AB">
        <w:rPr>
          <w:rFonts w:ascii="Arial" w:hAnsi="Arial" w:cs="Arial"/>
        </w:rPr>
        <w:t>back to the equilibrium - in the long term).</w:t>
      </w:r>
      <w:r w:rsidRPr="00115880">
        <w:rPr>
          <w:rFonts w:ascii="Arial" w:hAnsi="Arial" w:cs="Arial"/>
        </w:rPr>
        <w:t> </w:t>
      </w:r>
    </w:p>
    <w:p w14:paraId="3D298851" w14:textId="77777777" w:rsidR="00EB067C" w:rsidRPr="00EB067C" w:rsidRDefault="00EB067C" w:rsidP="0066301C">
      <w:pPr>
        <w:pStyle w:val="ListParagraph"/>
        <w:keepNext/>
        <w:keepLines/>
        <w:numPr>
          <w:ilvl w:val="0"/>
          <w:numId w:val="5"/>
        </w:numPr>
        <w:spacing w:after="120" w:line="259" w:lineRule="auto"/>
        <w:contextualSpacing w:val="0"/>
        <w:outlineLvl w:val="2"/>
        <w:rPr>
          <w:rFonts w:ascii="Arial" w:hAnsi="Arial" w:cstheme="majorBidi"/>
          <w:b/>
          <w:vanish/>
          <w:szCs w:val="24"/>
          <w:lang w:val="en-US"/>
        </w:rPr>
      </w:pPr>
      <w:bookmarkStart w:id="160" w:name="_Toc104505643"/>
      <w:bookmarkStart w:id="161" w:name="_Toc104505838"/>
      <w:bookmarkStart w:id="162" w:name="_Toc104505952"/>
      <w:bookmarkStart w:id="163" w:name="_Toc104506066"/>
      <w:bookmarkStart w:id="164" w:name="_Toc104506180"/>
      <w:bookmarkStart w:id="165" w:name="_Toc104506300"/>
      <w:bookmarkStart w:id="166" w:name="_Toc104549595"/>
      <w:bookmarkStart w:id="167" w:name="_Toc104550196"/>
      <w:bookmarkStart w:id="168" w:name="_Toc104550307"/>
      <w:bookmarkStart w:id="169" w:name="_Toc104550418"/>
      <w:bookmarkStart w:id="170" w:name="_Toc104554716"/>
      <w:bookmarkStart w:id="171" w:name="_Toc108392568"/>
      <w:bookmarkStart w:id="172" w:name="_Toc124720489"/>
      <w:bookmarkStart w:id="173" w:name="_Toc131733812"/>
      <w:bookmarkStart w:id="174" w:name="_Toc131733901"/>
      <w:bookmarkStart w:id="175" w:name="_Toc144851337"/>
      <w:bookmarkStart w:id="176" w:name="_Toc144851439"/>
      <w:bookmarkStart w:id="177" w:name="_Toc144852061"/>
      <w:bookmarkStart w:id="178" w:name="_Toc144967458"/>
      <w:bookmarkStart w:id="179" w:name="_Toc144967561"/>
      <w:bookmarkStart w:id="180" w:name="_Toc147717543"/>
      <w:bookmarkStart w:id="181" w:name="_Toc147717740"/>
      <w:bookmarkStart w:id="182" w:name="_Toc147717878"/>
      <w:bookmarkStart w:id="183" w:name="_Toc148782202"/>
      <w:bookmarkStart w:id="184" w:name="_Toc148782308"/>
      <w:bookmarkStart w:id="185" w:name="_Toc148782439"/>
      <w:bookmarkStart w:id="186" w:name="_Toc148782868"/>
      <w:bookmarkStart w:id="187" w:name="_Toc148783386"/>
      <w:bookmarkStart w:id="188" w:name="_Toc150024768"/>
      <w:bookmarkStart w:id="189" w:name="_Toc150032879"/>
      <w:bookmarkStart w:id="190" w:name="_Toc158932033"/>
      <w:bookmarkStart w:id="191" w:name="_Toc158932142"/>
      <w:bookmarkStart w:id="192" w:name="_Toc161007877"/>
      <w:bookmarkStart w:id="193" w:name="_Toc161007990"/>
      <w:bookmarkStart w:id="194" w:name="_Toc162347902"/>
      <w:bookmarkStart w:id="195" w:name="_Toc162348014"/>
      <w:bookmarkStart w:id="196" w:name="_Toc162852060"/>
      <w:bookmarkStart w:id="197" w:name="_Toc162852176"/>
      <w:bookmarkStart w:id="198" w:name="_Toc162852292"/>
      <w:bookmarkStart w:id="199" w:name="_Toc162972902"/>
      <w:bookmarkStart w:id="200" w:name="_Toc162973018"/>
      <w:bookmarkStart w:id="201" w:name="_Toc162995723"/>
      <w:bookmarkStart w:id="202" w:name="_Toc162995838"/>
      <w:bookmarkStart w:id="203" w:name="_Toc163652840"/>
      <w:bookmarkStart w:id="204" w:name="_Toc163853001"/>
      <w:bookmarkStart w:id="205" w:name="_Toc163853115"/>
      <w:bookmarkStart w:id="206" w:name="_Toc163853229"/>
      <w:bookmarkStart w:id="207" w:name="_Toc163868909"/>
      <w:bookmarkStart w:id="208" w:name="_Toc164722118"/>
      <w:bookmarkStart w:id="209" w:name="_Toc164722229"/>
      <w:bookmarkStart w:id="210" w:name="_Toc164722695"/>
      <w:bookmarkStart w:id="211" w:name="_Toc164722806"/>
      <w:bookmarkStart w:id="212" w:name="_Toc164723125"/>
      <w:bookmarkStart w:id="213" w:name="_Toc164723236"/>
      <w:bookmarkStart w:id="214" w:name="_Toc164723347"/>
      <w:bookmarkStart w:id="215" w:name="_Toc164723458"/>
      <w:bookmarkStart w:id="216" w:name="_Toc165244719"/>
      <w:bookmarkStart w:id="217" w:name="_Toc165281447"/>
      <w:bookmarkStart w:id="218" w:name="_Toc165281558"/>
      <w:bookmarkStart w:id="219" w:name="_Toc165316460"/>
      <w:bookmarkStart w:id="220" w:name="_Toc165316571"/>
      <w:bookmarkStart w:id="221" w:name="_Toc165646337"/>
      <w:bookmarkStart w:id="222" w:name="_Toc171075389"/>
      <w:bookmarkEnd w:id="160"/>
      <w:bookmarkEnd w:id="161"/>
      <w:bookmarkEnd w:id="162"/>
      <w:bookmarkEnd w:id="163"/>
      <w:bookmarkEnd w:id="164"/>
      <w:bookmarkEnd w:id="165"/>
      <w:bookmarkEnd w:id="166"/>
      <w:bookmarkEnd w:id="167"/>
      <w:bookmarkEnd w:id="168"/>
      <w:bookmarkEnd w:id="169"/>
      <w:bookmarkEnd w:id="170"/>
      <w:bookmarkEnd w:id="171"/>
      <w:bookmarkEnd w:id="172"/>
      <w:bookmarkEnd w:id="173"/>
      <w:bookmarkEnd w:id="174"/>
      <w:bookmarkEnd w:id="175"/>
      <w:bookmarkEnd w:id="176"/>
      <w:bookmarkEnd w:id="177"/>
      <w:bookmarkEnd w:id="178"/>
      <w:bookmarkEnd w:id="179"/>
      <w:bookmarkEnd w:id="180"/>
      <w:bookmarkEnd w:id="181"/>
      <w:bookmarkEnd w:id="182"/>
      <w:bookmarkEnd w:id="183"/>
      <w:bookmarkEnd w:id="184"/>
      <w:bookmarkEnd w:id="185"/>
      <w:bookmarkEnd w:id="186"/>
      <w:bookmarkEnd w:id="187"/>
      <w:bookmarkEnd w:id="188"/>
      <w:bookmarkEnd w:id="189"/>
      <w:bookmarkEnd w:id="190"/>
      <w:bookmarkEnd w:id="191"/>
      <w:bookmarkEnd w:id="192"/>
      <w:bookmarkEnd w:id="193"/>
      <w:bookmarkEnd w:id="194"/>
      <w:bookmarkEnd w:id="195"/>
      <w:bookmarkEnd w:id="196"/>
      <w:bookmarkEnd w:id="197"/>
      <w:bookmarkEnd w:id="198"/>
      <w:bookmarkEnd w:id="199"/>
      <w:bookmarkEnd w:id="200"/>
      <w:bookmarkEnd w:id="201"/>
      <w:bookmarkEnd w:id="202"/>
      <w:bookmarkEnd w:id="203"/>
      <w:bookmarkEnd w:id="204"/>
      <w:bookmarkEnd w:id="205"/>
      <w:bookmarkEnd w:id="206"/>
      <w:bookmarkEnd w:id="207"/>
      <w:bookmarkEnd w:id="208"/>
      <w:bookmarkEnd w:id="209"/>
      <w:bookmarkEnd w:id="210"/>
      <w:bookmarkEnd w:id="211"/>
      <w:bookmarkEnd w:id="212"/>
      <w:bookmarkEnd w:id="213"/>
      <w:bookmarkEnd w:id="214"/>
      <w:bookmarkEnd w:id="215"/>
      <w:bookmarkEnd w:id="216"/>
      <w:bookmarkEnd w:id="217"/>
      <w:bookmarkEnd w:id="218"/>
      <w:bookmarkEnd w:id="219"/>
      <w:bookmarkEnd w:id="220"/>
      <w:bookmarkEnd w:id="221"/>
      <w:bookmarkEnd w:id="222"/>
    </w:p>
    <w:p w14:paraId="4DC2CA23" w14:textId="77777777" w:rsidR="00EB067C" w:rsidRPr="00EB067C" w:rsidRDefault="00EB067C" w:rsidP="0066301C">
      <w:pPr>
        <w:pStyle w:val="ListParagraph"/>
        <w:keepNext/>
        <w:keepLines/>
        <w:numPr>
          <w:ilvl w:val="1"/>
          <w:numId w:val="5"/>
        </w:numPr>
        <w:spacing w:after="120" w:line="259" w:lineRule="auto"/>
        <w:contextualSpacing w:val="0"/>
        <w:outlineLvl w:val="2"/>
        <w:rPr>
          <w:rFonts w:ascii="Arial" w:hAnsi="Arial" w:cstheme="majorBidi"/>
          <w:b/>
          <w:vanish/>
          <w:szCs w:val="24"/>
          <w:lang w:val="en-US"/>
        </w:rPr>
      </w:pPr>
      <w:bookmarkStart w:id="223" w:name="_Toc144851338"/>
      <w:bookmarkStart w:id="224" w:name="_Toc144851440"/>
      <w:bookmarkStart w:id="225" w:name="_Toc144852062"/>
      <w:bookmarkStart w:id="226" w:name="_Toc144967459"/>
      <w:bookmarkStart w:id="227" w:name="_Toc144967562"/>
      <w:bookmarkStart w:id="228" w:name="_Toc147717544"/>
      <w:bookmarkStart w:id="229" w:name="_Toc147717741"/>
      <w:bookmarkStart w:id="230" w:name="_Toc147717879"/>
      <w:bookmarkStart w:id="231" w:name="_Toc148782203"/>
      <w:bookmarkStart w:id="232" w:name="_Toc148782309"/>
      <w:bookmarkStart w:id="233" w:name="_Toc148782440"/>
      <w:bookmarkStart w:id="234" w:name="_Toc148782869"/>
      <w:bookmarkStart w:id="235" w:name="_Toc148783387"/>
      <w:bookmarkStart w:id="236" w:name="_Toc150024769"/>
      <w:bookmarkStart w:id="237" w:name="_Toc150032880"/>
      <w:bookmarkStart w:id="238" w:name="_Toc158932034"/>
      <w:bookmarkStart w:id="239" w:name="_Toc158932143"/>
      <w:bookmarkStart w:id="240" w:name="_Toc161007878"/>
      <w:bookmarkStart w:id="241" w:name="_Toc161007991"/>
      <w:bookmarkStart w:id="242" w:name="_Toc162347903"/>
      <w:bookmarkStart w:id="243" w:name="_Toc162348015"/>
      <w:bookmarkStart w:id="244" w:name="_Toc162852061"/>
      <w:bookmarkStart w:id="245" w:name="_Toc162852177"/>
      <w:bookmarkStart w:id="246" w:name="_Toc162852293"/>
      <w:bookmarkStart w:id="247" w:name="_Toc162972903"/>
      <w:bookmarkStart w:id="248" w:name="_Toc162973019"/>
      <w:bookmarkStart w:id="249" w:name="_Toc162995724"/>
      <w:bookmarkStart w:id="250" w:name="_Toc162995839"/>
      <w:bookmarkStart w:id="251" w:name="_Toc163652841"/>
      <w:bookmarkStart w:id="252" w:name="_Toc163853002"/>
      <w:bookmarkStart w:id="253" w:name="_Toc163853116"/>
      <w:bookmarkStart w:id="254" w:name="_Toc163853230"/>
      <w:bookmarkStart w:id="255" w:name="_Toc163868910"/>
      <w:bookmarkStart w:id="256" w:name="_Toc164722119"/>
      <w:bookmarkStart w:id="257" w:name="_Toc164722230"/>
      <w:bookmarkStart w:id="258" w:name="_Toc164722696"/>
      <w:bookmarkStart w:id="259" w:name="_Toc164722807"/>
      <w:bookmarkStart w:id="260" w:name="_Toc164723126"/>
      <w:bookmarkStart w:id="261" w:name="_Toc164723237"/>
      <w:bookmarkStart w:id="262" w:name="_Toc164723348"/>
      <w:bookmarkStart w:id="263" w:name="_Toc164723459"/>
      <w:bookmarkStart w:id="264" w:name="_Toc165244720"/>
      <w:bookmarkStart w:id="265" w:name="_Toc165281448"/>
      <w:bookmarkStart w:id="266" w:name="_Toc165281559"/>
      <w:bookmarkStart w:id="267" w:name="_Toc165316461"/>
      <w:bookmarkStart w:id="268" w:name="_Toc165316572"/>
      <w:bookmarkStart w:id="269" w:name="_Toc165646338"/>
      <w:bookmarkStart w:id="270" w:name="_Toc171075390"/>
      <w:bookmarkEnd w:id="223"/>
      <w:bookmarkEnd w:id="224"/>
      <w:bookmarkEnd w:id="225"/>
      <w:bookmarkEnd w:id="226"/>
      <w:bookmarkEnd w:id="227"/>
      <w:bookmarkEnd w:id="228"/>
      <w:bookmarkEnd w:id="229"/>
      <w:bookmarkEnd w:id="230"/>
      <w:bookmarkEnd w:id="231"/>
      <w:bookmarkEnd w:id="232"/>
      <w:bookmarkEnd w:id="233"/>
      <w:bookmarkEnd w:id="234"/>
      <w:bookmarkEnd w:id="235"/>
      <w:bookmarkEnd w:id="236"/>
      <w:bookmarkEnd w:id="237"/>
      <w:bookmarkEnd w:id="238"/>
      <w:bookmarkEnd w:id="239"/>
      <w:bookmarkEnd w:id="240"/>
      <w:bookmarkEnd w:id="241"/>
      <w:bookmarkEnd w:id="242"/>
      <w:bookmarkEnd w:id="243"/>
      <w:bookmarkEnd w:id="244"/>
      <w:bookmarkEnd w:id="245"/>
      <w:bookmarkEnd w:id="246"/>
      <w:bookmarkEnd w:id="247"/>
      <w:bookmarkEnd w:id="248"/>
      <w:bookmarkEnd w:id="249"/>
      <w:bookmarkEnd w:id="250"/>
      <w:bookmarkEnd w:id="251"/>
      <w:bookmarkEnd w:id="252"/>
      <w:bookmarkEnd w:id="253"/>
      <w:bookmarkEnd w:id="254"/>
      <w:bookmarkEnd w:id="255"/>
      <w:bookmarkEnd w:id="256"/>
      <w:bookmarkEnd w:id="257"/>
      <w:bookmarkEnd w:id="258"/>
      <w:bookmarkEnd w:id="259"/>
      <w:bookmarkEnd w:id="260"/>
      <w:bookmarkEnd w:id="261"/>
      <w:bookmarkEnd w:id="262"/>
      <w:bookmarkEnd w:id="263"/>
      <w:bookmarkEnd w:id="264"/>
      <w:bookmarkEnd w:id="265"/>
      <w:bookmarkEnd w:id="266"/>
      <w:bookmarkEnd w:id="267"/>
      <w:bookmarkEnd w:id="268"/>
      <w:bookmarkEnd w:id="269"/>
      <w:bookmarkEnd w:id="270"/>
    </w:p>
    <w:p w14:paraId="32C1F1FC" w14:textId="77777777" w:rsidR="00EB067C" w:rsidRPr="00EB067C" w:rsidRDefault="00EB067C" w:rsidP="0066301C">
      <w:pPr>
        <w:pStyle w:val="ListParagraph"/>
        <w:keepNext/>
        <w:keepLines/>
        <w:numPr>
          <w:ilvl w:val="1"/>
          <w:numId w:val="5"/>
        </w:numPr>
        <w:spacing w:after="120" w:line="259" w:lineRule="auto"/>
        <w:contextualSpacing w:val="0"/>
        <w:outlineLvl w:val="2"/>
        <w:rPr>
          <w:rFonts w:ascii="Arial" w:hAnsi="Arial" w:cstheme="majorBidi"/>
          <w:b/>
          <w:vanish/>
          <w:szCs w:val="24"/>
          <w:lang w:val="en-US"/>
        </w:rPr>
      </w:pPr>
      <w:bookmarkStart w:id="271" w:name="_Toc144851339"/>
      <w:bookmarkStart w:id="272" w:name="_Toc144851441"/>
      <w:bookmarkStart w:id="273" w:name="_Toc144852063"/>
      <w:bookmarkStart w:id="274" w:name="_Toc144967460"/>
      <w:bookmarkStart w:id="275" w:name="_Toc144967563"/>
      <w:bookmarkStart w:id="276" w:name="_Toc147717545"/>
      <w:bookmarkStart w:id="277" w:name="_Toc147717742"/>
      <w:bookmarkStart w:id="278" w:name="_Toc147717880"/>
      <w:bookmarkStart w:id="279" w:name="_Toc148782204"/>
      <w:bookmarkStart w:id="280" w:name="_Toc148782310"/>
      <w:bookmarkStart w:id="281" w:name="_Toc148782441"/>
      <w:bookmarkStart w:id="282" w:name="_Toc148782870"/>
      <w:bookmarkStart w:id="283" w:name="_Toc148783388"/>
      <w:bookmarkStart w:id="284" w:name="_Toc150024770"/>
      <w:bookmarkStart w:id="285" w:name="_Toc150032881"/>
      <w:bookmarkStart w:id="286" w:name="_Toc158932035"/>
      <w:bookmarkStart w:id="287" w:name="_Toc158932144"/>
      <w:bookmarkStart w:id="288" w:name="_Toc161007879"/>
      <w:bookmarkStart w:id="289" w:name="_Toc161007992"/>
      <w:bookmarkStart w:id="290" w:name="_Toc162347904"/>
      <w:bookmarkStart w:id="291" w:name="_Toc162348016"/>
      <w:bookmarkStart w:id="292" w:name="_Toc162852062"/>
      <w:bookmarkStart w:id="293" w:name="_Toc162852178"/>
      <w:bookmarkStart w:id="294" w:name="_Toc162852294"/>
      <w:bookmarkStart w:id="295" w:name="_Toc162972904"/>
      <w:bookmarkStart w:id="296" w:name="_Toc162973020"/>
      <w:bookmarkStart w:id="297" w:name="_Toc162995725"/>
      <w:bookmarkStart w:id="298" w:name="_Toc162995840"/>
      <w:bookmarkStart w:id="299" w:name="_Toc163652842"/>
      <w:bookmarkStart w:id="300" w:name="_Toc163853003"/>
      <w:bookmarkStart w:id="301" w:name="_Toc163853117"/>
      <w:bookmarkStart w:id="302" w:name="_Toc163853231"/>
      <w:bookmarkStart w:id="303" w:name="_Toc163868911"/>
      <w:bookmarkStart w:id="304" w:name="_Toc164722120"/>
      <w:bookmarkStart w:id="305" w:name="_Toc164722231"/>
      <w:bookmarkStart w:id="306" w:name="_Toc164722697"/>
      <w:bookmarkStart w:id="307" w:name="_Toc164722808"/>
      <w:bookmarkStart w:id="308" w:name="_Toc164723127"/>
      <w:bookmarkStart w:id="309" w:name="_Toc164723238"/>
      <w:bookmarkStart w:id="310" w:name="_Toc164723349"/>
      <w:bookmarkStart w:id="311" w:name="_Toc164723460"/>
      <w:bookmarkStart w:id="312" w:name="_Toc165244721"/>
      <w:bookmarkStart w:id="313" w:name="_Toc165281449"/>
      <w:bookmarkStart w:id="314" w:name="_Toc165281560"/>
      <w:bookmarkStart w:id="315" w:name="_Toc165316462"/>
      <w:bookmarkStart w:id="316" w:name="_Toc165316573"/>
      <w:bookmarkStart w:id="317" w:name="_Toc165646339"/>
      <w:bookmarkStart w:id="318" w:name="_Toc171075391"/>
      <w:bookmarkEnd w:id="271"/>
      <w:bookmarkEnd w:id="272"/>
      <w:bookmarkEnd w:id="273"/>
      <w:bookmarkEnd w:id="274"/>
      <w:bookmarkEnd w:id="275"/>
      <w:bookmarkEnd w:id="276"/>
      <w:bookmarkEnd w:id="277"/>
      <w:bookmarkEnd w:id="278"/>
      <w:bookmarkEnd w:id="279"/>
      <w:bookmarkEnd w:id="280"/>
      <w:bookmarkEnd w:id="281"/>
      <w:bookmarkEnd w:id="282"/>
      <w:bookmarkEnd w:id="283"/>
      <w:bookmarkEnd w:id="284"/>
      <w:bookmarkEnd w:id="285"/>
      <w:bookmarkEnd w:id="286"/>
      <w:bookmarkEnd w:id="287"/>
      <w:bookmarkEnd w:id="288"/>
      <w:bookmarkEnd w:id="289"/>
      <w:bookmarkEnd w:id="290"/>
      <w:bookmarkEnd w:id="291"/>
      <w:bookmarkEnd w:id="292"/>
      <w:bookmarkEnd w:id="293"/>
      <w:bookmarkEnd w:id="294"/>
      <w:bookmarkEnd w:id="295"/>
      <w:bookmarkEnd w:id="296"/>
      <w:bookmarkEnd w:id="297"/>
      <w:bookmarkEnd w:id="298"/>
      <w:bookmarkEnd w:id="299"/>
      <w:bookmarkEnd w:id="300"/>
      <w:bookmarkEnd w:id="301"/>
      <w:bookmarkEnd w:id="302"/>
      <w:bookmarkEnd w:id="303"/>
      <w:bookmarkEnd w:id="304"/>
      <w:bookmarkEnd w:id="305"/>
      <w:bookmarkEnd w:id="306"/>
      <w:bookmarkEnd w:id="307"/>
      <w:bookmarkEnd w:id="308"/>
      <w:bookmarkEnd w:id="309"/>
      <w:bookmarkEnd w:id="310"/>
      <w:bookmarkEnd w:id="311"/>
      <w:bookmarkEnd w:id="312"/>
      <w:bookmarkEnd w:id="313"/>
      <w:bookmarkEnd w:id="314"/>
      <w:bookmarkEnd w:id="315"/>
      <w:bookmarkEnd w:id="316"/>
      <w:bookmarkEnd w:id="317"/>
      <w:bookmarkEnd w:id="318"/>
    </w:p>
    <w:p w14:paraId="558D45D4" w14:textId="77777777" w:rsidR="00EB067C" w:rsidRPr="00EB067C" w:rsidRDefault="00EB067C" w:rsidP="0066301C">
      <w:pPr>
        <w:pStyle w:val="ListParagraph"/>
        <w:keepNext/>
        <w:keepLines/>
        <w:numPr>
          <w:ilvl w:val="2"/>
          <w:numId w:val="5"/>
        </w:numPr>
        <w:spacing w:after="120" w:line="259" w:lineRule="auto"/>
        <w:contextualSpacing w:val="0"/>
        <w:outlineLvl w:val="2"/>
        <w:rPr>
          <w:rFonts w:ascii="Arial" w:hAnsi="Arial" w:cstheme="majorBidi"/>
          <w:b/>
          <w:vanish/>
          <w:szCs w:val="24"/>
          <w:lang w:val="en-US"/>
        </w:rPr>
      </w:pPr>
      <w:bookmarkStart w:id="319" w:name="_Toc144851340"/>
      <w:bookmarkStart w:id="320" w:name="_Toc144851442"/>
      <w:bookmarkStart w:id="321" w:name="_Toc144852064"/>
      <w:bookmarkStart w:id="322" w:name="_Toc144967461"/>
      <w:bookmarkStart w:id="323" w:name="_Toc144967564"/>
      <w:bookmarkStart w:id="324" w:name="_Toc147717546"/>
      <w:bookmarkStart w:id="325" w:name="_Toc147717743"/>
      <w:bookmarkStart w:id="326" w:name="_Toc147717881"/>
      <w:bookmarkStart w:id="327" w:name="_Toc148782205"/>
      <w:bookmarkStart w:id="328" w:name="_Toc148782311"/>
      <w:bookmarkStart w:id="329" w:name="_Toc148782442"/>
      <w:bookmarkStart w:id="330" w:name="_Toc148782871"/>
      <w:bookmarkStart w:id="331" w:name="_Toc148783389"/>
      <w:bookmarkStart w:id="332" w:name="_Toc150024771"/>
      <w:bookmarkStart w:id="333" w:name="_Toc150032882"/>
      <w:bookmarkStart w:id="334" w:name="_Toc158932036"/>
      <w:bookmarkStart w:id="335" w:name="_Toc158932145"/>
      <w:bookmarkStart w:id="336" w:name="_Toc161007880"/>
      <w:bookmarkStart w:id="337" w:name="_Toc161007993"/>
      <w:bookmarkStart w:id="338" w:name="_Toc162347905"/>
      <w:bookmarkStart w:id="339" w:name="_Toc162348017"/>
      <w:bookmarkStart w:id="340" w:name="_Toc162852063"/>
      <w:bookmarkStart w:id="341" w:name="_Toc162852179"/>
      <w:bookmarkStart w:id="342" w:name="_Toc162852295"/>
      <w:bookmarkStart w:id="343" w:name="_Toc162972905"/>
      <w:bookmarkStart w:id="344" w:name="_Toc162973021"/>
      <w:bookmarkStart w:id="345" w:name="_Toc162995726"/>
      <w:bookmarkStart w:id="346" w:name="_Toc162995841"/>
      <w:bookmarkStart w:id="347" w:name="_Toc163652843"/>
      <w:bookmarkStart w:id="348" w:name="_Toc163853004"/>
      <w:bookmarkStart w:id="349" w:name="_Toc163853118"/>
      <w:bookmarkStart w:id="350" w:name="_Toc163853232"/>
      <w:bookmarkStart w:id="351" w:name="_Toc163868912"/>
      <w:bookmarkStart w:id="352" w:name="_Toc164722121"/>
      <w:bookmarkStart w:id="353" w:name="_Toc164722232"/>
      <w:bookmarkStart w:id="354" w:name="_Toc164722698"/>
      <w:bookmarkStart w:id="355" w:name="_Toc164722809"/>
      <w:bookmarkStart w:id="356" w:name="_Toc164723128"/>
      <w:bookmarkStart w:id="357" w:name="_Toc164723239"/>
      <w:bookmarkStart w:id="358" w:name="_Toc164723350"/>
      <w:bookmarkStart w:id="359" w:name="_Toc164723461"/>
      <w:bookmarkStart w:id="360" w:name="_Toc165244722"/>
      <w:bookmarkStart w:id="361" w:name="_Toc165281450"/>
      <w:bookmarkStart w:id="362" w:name="_Toc165281561"/>
      <w:bookmarkStart w:id="363" w:name="_Toc165316463"/>
      <w:bookmarkStart w:id="364" w:name="_Toc165316574"/>
      <w:bookmarkStart w:id="365" w:name="_Toc165646340"/>
      <w:bookmarkStart w:id="366" w:name="_Toc171075392"/>
      <w:bookmarkEnd w:id="319"/>
      <w:bookmarkEnd w:id="320"/>
      <w:bookmarkEnd w:id="321"/>
      <w:bookmarkEnd w:id="322"/>
      <w:bookmarkEnd w:id="323"/>
      <w:bookmarkEnd w:id="324"/>
      <w:bookmarkEnd w:id="325"/>
      <w:bookmarkEnd w:id="326"/>
      <w:bookmarkEnd w:id="327"/>
      <w:bookmarkEnd w:id="328"/>
      <w:bookmarkEnd w:id="329"/>
      <w:bookmarkEnd w:id="330"/>
      <w:bookmarkEnd w:id="331"/>
      <w:bookmarkEnd w:id="332"/>
      <w:bookmarkEnd w:id="333"/>
      <w:bookmarkEnd w:id="334"/>
      <w:bookmarkEnd w:id="335"/>
      <w:bookmarkEnd w:id="336"/>
      <w:bookmarkEnd w:id="337"/>
      <w:bookmarkEnd w:id="338"/>
      <w:bookmarkEnd w:id="339"/>
      <w:bookmarkEnd w:id="340"/>
      <w:bookmarkEnd w:id="341"/>
      <w:bookmarkEnd w:id="342"/>
      <w:bookmarkEnd w:id="343"/>
      <w:bookmarkEnd w:id="344"/>
      <w:bookmarkEnd w:id="345"/>
      <w:bookmarkEnd w:id="346"/>
      <w:bookmarkEnd w:id="347"/>
      <w:bookmarkEnd w:id="348"/>
      <w:bookmarkEnd w:id="349"/>
      <w:bookmarkEnd w:id="350"/>
      <w:bookmarkEnd w:id="351"/>
      <w:bookmarkEnd w:id="352"/>
      <w:bookmarkEnd w:id="353"/>
      <w:bookmarkEnd w:id="354"/>
      <w:bookmarkEnd w:id="355"/>
      <w:bookmarkEnd w:id="356"/>
      <w:bookmarkEnd w:id="357"/>
      <w:bookmarkEnd w:id="358"/>
      <w:bookmarkEnd w:id="359"/>
      <w:bookmarkEnd w:id="360"/>
      <w:bookmarkEnd w:id="361"/>
      <w:bookmarkEnd w:id="362"/>
      <w:bookmarkEnd w:id="363"/>
      <w:bookmarkEnd w:id="364"/>
      <w:bookmarkEnd w:id="365"/>
      <w:bookmarkEnd w:id="366"/>
    </w:p>
    <w:p w14:paraId="1D3C6752" w14:textId="39AB89AC" w:rsidR="00806598" w:rsidRPr="008204CC" w:rsidRDefault="00602082" w:rsidP="0066301C">
      <w:pPr>
        <w:pStyle w:val="Heading3"/>
        <w:numPr>
          <w:ilvl w:val="0"/>
          <w:numId w:val="0"/>
        </w:numPr>
        <w:spacing w:before="0" w:beforeAutospacing="0"/>
        <w:rPr>
          <w:lang w:val="en-US" w:eastAsia="en-GB"/>
        </w:rPr>
      </w:pPr>
      <w:bookmarkStart w:id="367" w:name="_Toc171075393"/>
      <w:r>
        <w:rPr>
          <w:lang w:val="en-US" w:eastAsia="en-GB"/>
        </w:rPr>
        <w:t>3.</w:t>
      </w:r>
      <w:r w:rsidR="006235DE">
        <w:rPr>
          <w:lang w:val="en-US" w:eastAsia="en-GB"/>
        </w:rPr>
        <w:t>5</w:t>
      </w:r>
      <w:r w:rsidR="00DD44BB">
        <w:rPr>
          <w:lang w:val="en-US" w:eastAsia="en-GB"/>
        </w:rPr>
        <w:t>.</w:t>
      </w:r>
      <w:r w:rsidR="00DD44BB" w:rsidRPr="00DD44BB">
        <w:t>3</w:t>
      </w:r>
      <w:r w:rsidR="00DD44BB">
        <w:tab/>
      </w:r>
      <w:r w:rsidR="00806598" w:rsidRPr="00DD44BB">
        <w:t>OPTIMAL</w:t>
      </w:r>
      <w:r w:rsidR="00806598" w:rsidRPr="008204CC">
        <w:rPr>
          <w:lang w:val="en-US" w:eastAsia="en-GB"/>
        </w:rPr>
        <w:t xml:space="preserve"> LAG LENGTH</w:t>
      </w:r>
      <w:bookmarkEnd w:id="367"/>
    </w:p>
    <w:bookmarkEnd w:id="159"/>
    <w:p w14:paraId="5B3415C1" w14:textId="5D2F2D23" w:rsidR="005F097B" w:rsidRPr="00D64C69" w:rsidRDefault="005F097B" w:rsidP="0066301C">
      <w:pPr>
        <w:spacing w:after="0" w:line="360" w:lineRule="auto"/>
        <w:jc w:val="both"/>
        <w:rPr>
          <w:rFonts w:ascii="Arial" w:eastAsia="Times New Roman" w:hAnsi="Arial" w:cs="Arial"/>
          <w:color w:val="0E101A"/>
          <w:lang w:eastAsia="en-GB"/>
        </w:rPr>
      </w:pPr>
      <w:r w:rsidRPr="00D64C69">
        <w:rPr>
          <w:rFonts w:ascii="Arial" w:eastAsia="Times New Roman" w:hAnsi="Arial" w:cs="Arial"/>
          <w:color w:val="0E101A"/>
          <w:lang w:eastAsia="en-GB"/>
        </w:rPr>
        <w:t>Before the Johansen cointegration test is performed</w:t>
      </w:r>
      <w:r w:rsidR="001B4D64">
        <w:rPr>
          <w:rFonts w:ascii="Arial" w:eastAsia="Times New Roman" w:hAnsi="Arial" w:cs="Arial"/>
          <w:color w:val="0E101A"/>
          <w:lang w:eastAsia="en-GB"/>
        </w:rPr>
        <w:t>,</w:t>
      </w:r>
      <w:r w:rsidRPr="00D64C69">
        <w:rPr>
          <w:rFonts w:ascii="Arial" w:eastAsia="Times New Roman" w:hAnsi="Arial" w:cs="Arial"/>
          <w:color w:val="0E101A"/>
          <w:lang w:eastAsia="en-GB"/>
        </w:rPr>
        <w:t xml:space="preserve"> the optimal lag length is to be established. Applying the wrong lag (too many lags) in the analy</w:t>
      </w:r>
      <w:r w:rsidR="004759B0">
        <w:rPr>
          <w:rFonts w:ascii="Arial" w:eastAsia="Times New Roman" w:hAnsi="Arial" w:cs="Arial"/>
          <w:color w:val="0E101A"/>
          <w:lang w:eastAsia="en-GB"/>
        </w:rPr>
        <w:t xml:space="preserve">sis could result in a loss of </w:t>
      </w:r>
      <w:r w:rsidRPr="00D64C69">
        <w:rPr>
          <w:rFonts w:ascii="Arial" w:eastAsia="Times New Roman" w:hAnsi="Arial" w:cs="Arial"/>
          <w:color w:val="0E101A"/>
          <w:lang w:eastAsia="en-GB"/>
        </w:rPr>
        <w:t xml:space="preserve">degree of freedom, cause multicollinearity among the regressors, serial correlation in the error terms, and misspecification error. On the other hand, too few lags could result in specification errors. As such, the right lag </w:t>
      </w:r>
      <w:r w:rsidR="004759B0" w:rsidRPr="00D64C69">
        <w:rPr>
          <w:rFonts w:ascii="Arial" w:eastAsia="Times New Roman" w:hAnsi="Arial" w:cs="Arial"/>
          <w:color w:val="0E101A"/>
          <w:lang w:eastAsia="en-GB"/>
        </w:rPr>
        <w:t>must</w:t>
      </w:r>
      <w:r w:rsidRPr="00D64C69">
        <w:rPr>
          <w:rFonts w:ascii="Arial" w:eastAsia="Times New Roman" w:hAnsi="Arial" w:cs="Arial"/>
          <w:color w:val="0E101A"/>
          <w:lang w:eastAsia="en-GB"/>
        </w:rPr>
        <w:t xml:space="preserve"> be applied to avoid the above</w:t>
      </w:r>
      <w:r w:rsidR="001B4D64">
        <w:rPr>
          <w:rFonts w:ascii="Arial" w:eastAsia="Times New Roman" w:hAnsi="Arial" w:cs="Arial"/>
          <w:color w:val="0E101A"/>
          <w:lang w:eastAsia="en-GB"/>
        </w:rPr>
        <w:t>-</w:t>
      </w:r>
      <w:r w:rsidRPr="00D64C69">
        <w:rPr>
          <w:rFonts w:ascii="Arial" w:eastAsia="Times New Roman" w:hAnsi="Arial" w:cs="Arial"/>
          <w:color w:val="0E101A"/>
          <w:lang w:eastAsia="en-GB"/>
        </w:rPr>
        <w:t>mention</w:t>
      </w:r>
      <w:r w:rsidR="001B4D64">
        <w:rPr>
          <w:rFonts w:ascii="Arial" w:eastAsia="Times New Roman" w:hAnsi="Arial" w:cs="Arial"/>
          <w:color w:val="0E101A"/>
          <w:lang w:eastAsia="en-GB"/>
        </w:rPr>
        <w:t>ed</w:t>
      </w:r>
      <w:r w:rsidRPr="00D64C69">
        <w:rPr>
          <w:rFonts w:ascii="Arial" w:eastAsia="Times New Roman" w:hAnsi="Arial" w:cs="Arial"/>
          <w:color w:val="0E101A"/>
          <w:lang w:eastAsia="en-GB"/>
        </w:rPr>
        <w:t xml:space="preserve"> errors. The optimal lag length </w:t>
      </w:r>
      <w:r w:rsidRPr="00D64C69">
        <w:rPr>
          <w:rFonts w:ascii="Arial" w:eastAsia="Times New Roman" w:hAnsi="Arial" w:cs="Arial"/>
          <w:color w:val="0E101A"/>
          <w:lang w:eastAsia="en-GB"/>
        </w:rPr>
        <w:lastRenderedPageBreak/>
        <w:t>of Cameroon is (1), CAR is (3), Gabon is (3), and Equatorial Guinea is (1)</w:t>
      </w:r>
      <w:r w:rsidR="00ED4A58">
        <w:rPr>
          <w:rFonts w:ascii="Arial" w:eastAsia="Times New Roman" w:hAnsi="Arial" w:cs="Arial"/>
          <w:color w:val="0E101A"/>
          <w:lang w:eastAsia="en-GB"/>
        </w:rPr>
        <w:t>,</w:t>
      </w:r>
      <w:r w:rsidRPr="00D64C69">
        <w:rPr>
          <w:rFonts w:ascii="Arial" w:eastAsia="Times New Roman" w:hAnsi="Arial" w:cs="Arial"/>
          <w:color w:val="0E101A"/>
          <w:lang w:eastAsia="en-GB"/>
        </w:rPr>
        <w:t xml:space="preserve"> as seen in </w:t>
      </w:r>
      <w:r w:rsidRPr="00E816A4">
        <w:rPr>
          <w:rFonts w:ascii="Arial" w:eastAsia="Times New Roman" w:hAnsi="Arial" w:cs="Arial"/>
          <w:color w:val="0E101A"/>
          <w:lang w:eastAsia="en-GB"/>
        </w:rPr>
        <w:t xml:space="preserve">table </w:t>
      </w:r>
      <w:r w:rsidR="00E816A4" w:rsidRPr="00E816A4">
        <w:rPr>
          <w:rFonts w:ascii="Arial" w:eastAsia="Times New Roman" w:hAnsi="Arial" w:cs="Arial"/>
          <w:color w:val="0E101A"/>
          <w:lang w:eastAsia="en-GB"/>
        </w:rPr>
        <w:t>3</w:t>
      </w:r>
      <w:r w:rsidRPr="00E816A4">
        <w:rPr>
          <w:rFonts w:ascii="Arial" w:eastAsia="Times New Roman" w:hAnsi="Arial" w:cs="Arial"/>
          <w:color w:val="0E101A"/>
          <w:lang w:eastAsia="en-GB"/>
        </w:rPr>
        <w:t>.3 below</w:t>
      </w:r>
      <w:r w:rsidRPr="00D64C69">
        <w:rPr>
          <w:rFonts w:ascii="Arial" w:eastAsia="Times New Roman" w:hAnsi="Arial" w:cs="Arial"/>
          <w:color w:val="0E101A"/>
          <w:lang w:eastAsia="en-GB"/>
        </w:rPr>
        <w:t xml:space="preserve">. Due to insufficient time series data for Chad and Congo, we were unable to obtain their optimal lag length. Each of these two nations had time series data only for 15 years (15 observations), which was not enough to perform an optimal lag length analysis. </w:t>
      </w:r>
      <w:r w:rsidR="004759B0">
        <w:rPr>
          <w:rFonts w:ascii="Arial" w:eastAsia="Times New Roman" w:hAnsi="Arial" w:cs="Arial"/>
          <w:color w:val="0E101A"/>
          <w:lang w:eastAsia="en-GB"/>
        </w:rPr>
        <w:t>Without the optimal lag</w:t>
      </w:r>
      <w:r w:rsidRPr="00D64C69">
        <w:rPr>
          <w:rFonts w:ascii="Arial" w:eastAsia="Times New Roman" w:hAnsi="Arial" w:cs="Arial"/>
          <w:color w:val="0E101A"/>
          <w:lang w:eastAsia="en-GB"/>
        </w:rPr>
        <w:t xml:space="preserve"> length result for each of these two nations, it becomes difficult to proceed with their analysis. Thus, the rest of the analysis will be on the other four CEMAC nations (Cameroon, CAR, Gabon, and Equatorial Guinea).</w:t>
      </w:r>
    </w:p>
    <w:p w14:paraId="0FF9D5D1" w14:textId="5AC194E0" w:rsidR="00806598" w:rsidRPr="008204CC" w:rsidRDefault="00806598" w:rsidP="0066301C">
      <w:pPr>
        <w:spacing w:after="0" w:line="240" w:lineRule="auto"/>
        <w:rPr>
          <w:rFonts w:ascii="Arial" w:hAnsi="Arial" w:cs="Arial"/>
          <w:b/>
        </w:rPr>
      </w:pPr>
      <w:r w:rsidRPr="00E816A4">
        <w:rPr>
          <w:rFonts w:ascii="Arial" w:hAnsi="Arial" w:cs="Arial"/>
          <w:b/>
        </w:rPr>
        <w:t xml:space="preserve">Table </w:t>
      </w:r>
      <w:r w:rsidR="00E816A4" w:rsidRPr="00E816A4">
        <w:rPr>
          <w:rFonts w:ascii="Arial" w:hAnsi="Arial" w:cs="Arial"/>
          <w:b/>
        </w:rPr>
        <w:t>3</w:t>
      </w:r>
      <w:r w:rsidRPr="00E816A4">
        <w:rPr>
          <w:rFonts w:ascii="Arial" w:hAnsi="Arial" w:cs="Arial"/>
          <w:b/>
        </w:rPr>
        <w:t>.3:</w:t>
      </w:r>
      <w:r w:rsidRPr="008204CC">
        <w:rPr>
          <w:rFonts w:ascii="Arial" w:hAnsi="Arial" w:cs="Arial"/>
          <w:b/>
        </w:rPr>
        <w:t xml:space="preserve"> Optimal Lag Length Results.</w:t>
      </w:r>
    </w:p>
    <w:tbl>
      <w:tblPr>
        <w:tblStyle w:val="TableGrid4"/>
        <w:tblW w:w="0" w:type="auto"/>
        <w:tblLook w:val="04A0" w:firstRow="1" w:lastRow="0" w:firstColumn="1" w:lastColumn="0" w:noHBand="0" w:noVBand="1"/>
      </w:tblPr>
      <w:tblGrid>
        <w:gridCol w:w="2309"/>
        <w:gridCol w:w="2316"/>
        <w:gridCol w:w="2493"/>
      </w:tblGrid>
      <w:tr w:rsidR="00806598" w:rsidRPr="008204CC" w14:paraId="5011486A" w14:textId="77777777" w:rsidTr="00800608">
        <w:trPr>
          <w:trHeight w:val="601"/>
        </w:trPr>
        <w:tc>
          <w:tcPr>
            <w:tcW w:w="2309" w:type="dxa"/>
          </w:tcPr>
          <w:p w14:paraId="7E8C62E0" w14:textId="77777777" w:rsidR="00806598" w:rsidRPr="008204CC" w:rsidRDefault="00806598" w:rsidP="008462CA">
            <w:pPr>
              <w:jc w:val="both"/>
              <w:rPr>
                <w:rFonts w:ascii="Arial" w:hAnsi="Arial" w:cs="Arial"/>
                <w:b/>
              </w:rPr>
            </w:pPr>
            <w:r w:rsidRPr="008204CC">
              <w:rPr>
                <w:rFonts w:ascii="Arial" w:hAnsi="Arial" w:cs="Arial"/>
                <w:b/>
              </w:rPr>
              <w:t xml:space="preserve">CEMAC </w:t>
            </w:r>
          </w:p>
          <w:p w14:paraId="6ABA352A" w14:textId="77777777" w:rsidR="00806598" w:rsidRPr="008204CC" w:rsidRDefault="00806598" w:rsidP="008462CA">
            <w:pPr>
              <w:jc w:val="both"/>
              <w:rPr>
                <w:rFonts w:ascii="Arial" w:hAnsi="Arial" w:cs="Arial"/>
                <w:b/>
              </w:rPr>
            </w:pPr>
            <w:r w:rsidRPr="008204CC">
              <w:rPr>
                <w:rFonts w:ascii="Arial" w:hAnsi="Arial" w:cs="Arial"/>
                <w:b/>
              </w:rPr>
              <w:t>Nations</w:t>
            </w:r>
          </w:p>
        </w:tc>
        <w:tc>
          <w:tcPr>
            <w:tcW w:w="2316" w:type="dxa"/>
          </w:tcPr>
          <w:p w14:paraId="04968DF6" w14:textId="77777777" w:rsidR="00806598" w:rsidRPr="008204CC" w:rsidRDefault="00806598" w:rsidP="008462CA">
            <w:pPr>
              <w:jc w:val="both"/>
              <w:rPr>
                <w:rFonts w:ascii="Arial" w:hAnsi="Arial" w:cs="Arial"/>
                <w:b/>
              </w:rPr>
            </w:pPr>
            <w:r w:rsidRPr="008204CC">
              <w:rPr>
                <w:rFonts w:ascii="Arial" w:hAnsi="Arial" w:cs="Arial"/>
                <w:b/>
              </w:rPr>
              <w:t xml:space="preserve">Optimal lag </w:t>
            </w:r>
          </w:p>
          <w:p w14:paraId="1ED0D9F4" w14:textId="77777777" w:rsidR="00806598" w:rsidRPr="008204CC" w:rsidRDefault="00806598" w:rsidP="008462CA">
            <w:pPr>
              <w:jc w:val="both"/>
              <w:rPr>
                <w:rFonts w:ascii="Arial" w:hAnsi="Arial" w:cs="Arial"/>
                <w:b/>
              </w:rPr>
            </w:pPr>
            <w:r w:rsidRPr="008204CC">
              <w:rPr>
                <w:rFonts w:ascii="Arial" w:hAnsi="Arial" w:cs="Arial"/>
                <w:b/>
              </w:rPr>
              <w:t>value (AIC)</w:t>
            </w:r>
          </w:p>
        </w:tc>
        <w:tc>
          <w:tcPr>
            <w:tcW w:w="2493" w:type="dxa"/>
          </w:tcPr>
          <w:p w14:paraId="4D463956" w14:textId="77777777" w:rsidR="00806598" w:rsidRPr="008204CC" w:rsidRDefault="00806598" w:rsidP="008462CA">
            <w:pPr>
              <w:jc w:val="both"/>
              <w:rPr>
                <w:rFonts w:ascii="Arial" w:hAnsi="Arial" w:cs="Arial"/>
                <w:b/>
              </w:rPr>
            </w:pPr>
            <w:r w:rsidRPr="008204CC">
              <w:rPr>
                <w:rFonts w:ascii="Arial" w:hAnsi="Arial" w:cs="Arial"/>
                <w:b/>
              </w:rPr>
              <w:t xml:space="preserve">Optimal </w:t>
            </w:r>
          </w:p>
          <w:p w14:paraId="1A126DF6" w14:textId="77777777" w:rsidR="00806598" w:rsidRPr="008204CC" w:rsidRDefault="00806598" w:rsidP="008462CA">
            <w:pPr>
              <w:jc w:val="both"/>
              <w:rPr>
                <w:rFonts w:ascii="Arial" w:hAnsi="Arial" w:cs="Arial"/>
                <w:b/>
              </w:rPr>
            </w:pPr>
            <w:r w:rsidRPr="008204CC">
              <w:rPr>
                <w:rFonts w:ascii="Arial" w:hAnsi="Arial" w:cs="Arial"/>
                <w:b/>
              </w:rPr>
              <w:t xml:space="preserve">Lag length </w:t>
            </w:r>
          </w:p>
        </w:tc>
      </w:tr>
      <w:tr w:rsidR="00806598" w:rsidRPr="008204CC" w14:paraId="5D849E97" w14:textId="77777777" w:rsidTr="00800608">
        <w:trPr>
          <w:trHeight w:val="345"/>
        </w:trPr>
        <w:tc>
          <w:tcPr>
            <w:tcW w:w="2309" w:type="dxa"/>
          </w:tcPr>
          <w:p w14:paraId="4213E060" w14:textId="77777777" w:rsidR="00806598" w:rsidRPr="008204CC" w:rsidRDefault="00806598" w:rsidP="008462CA">
            <w:pPr>
              <w:jc w:val="both"/>
              <w:rPr>
                <w:rFonts w:ascii="Arial" w:hAnsi="Arial" w:cs="Arial"/>
              </w:rPr>
            </w:pPr>
            <w:r w:rsidRPr="008204CC">
              <w:rPr>
                <w:rFonts w:ascii="Arial" w:hAnsi="Arial" w:cs="Arial"/>
              </w:rPr>
              <w:t>Cameroon</w:t>
            </w:r>
          </w:p>
        </w:tc>
        <w:tc>
          <w:tcPr>
            <w:tcW w:w="2316" w:type="dxa"/>
          </w:tcPr>
          <w:p w14:paraId="0F93A2DD" w14:textId="77777777" w:rsidR="00806598" w:rsidRPr="008204CC" w:rsidRDefault="00806598" w:rsidP="008462CA">
            <w:pPr>
              <w:jc w:val="both"/>
              <w:rPr>
                <w:rFonts w:ascii="Arial" w:hAnsi="Arial" w:cs="Arial"/>
              </w:rPr>
            </w:pPr>
            <w:r w:rsidRPr="008204CC">
              <w:rPr>
                <w:rFonts w:ascii="Arial" w:hAnsi="Arial" w:cs="Arial"/>
                <w:color w:val="000000"/>
              </w:rPr>
              <w:t>30.30058*</w:t>
            </w:r>
          </w:p>
        </w:tc>
        <w:tc>
          <w:tcPr>
            <w:tcW w:w="2493" w:type="dxa"/>
          </w:tcPr>
          <w:p w14:paraId="2DDB9F8D" w14:textId="77777777" w:rsidR="00806598" w:rsidRPr="008204CC" w:rsidRDefault="00806598" w:rsidP="008462CA">
            <w:pPr>
              <w:jc w:val="both"/>
              <w:rPr>
                <w:rFonts w:ascii="Arial" w:hAnsi="Arial" w:cs="Arial"/>
              </w:rPr>
            </w:pPr>
            <w:r w:rsidRPr="008204CC">
              <w:rPr>
                <w:rFonts w:ascii="Arial" w:hAnsi="Arial" w:cs="Arial"/>
              </w:rPr>
              <w:t>1</w:t>
            </w:r>
          </w:p>
        </w:tc>
      </w:tr>
      <w:tr w:rsidR="00806598" w:rsidRPr="008204CC" w14:paraId="4C4A92C8" w14:textId="77777777" w:rsidTr="00800608">
        <w:trPr>
          <w:trHeight w:val="345"/>
        </w:trPr>
        <w:tc>
          <w:tcPr>
            <w:tcW w:w="2309" w:type="dxa"/>
          </w:tcPr>
          <w:p w14:paraId="43C4F3CD" w14:textId="77777777" w:rsidR="00806598" w:rsidRPr="008204CC" w:rsidRDefault="00806598" w:rsidP="008462CA">
            <w:pPr>
              <w:jc w:val="both"/>
              <w:rPr>
                <w:rFonts w:ascii="Arial" w:hAnsi="Arial" w:cs="Arial"/>
              </w:rPr>
            </w:pPr>
            <w:r w:rsidRPr="008204CC">
              <w:rPr>
                <w:rFonts w:ascii="Arial" w:hAnsi="Arial" w:cs="Arial"/>
              </w:rPr>
              <w:t>CAR</w:t>
            </w:r>
          </w:p>
        </w:tc>
        <w:tc>
          <w:tcPr>
            <w:tcW w:w="2316" w:type="dxa"/>
          </w:tcPr>
          <w:p w14:paraId="75C9DD5B" w14:textId="77777777" w:rsidR="00806598" w:rsidRPr="008204CC" w:rsidRDefault="00806598" w:rsidP="008462CA">
            <w:pPr>
              <w:jc w:val="both"/>
              <w:rPr>
                <w:rFonts w:ascii="Arial" w:hAnsi="Arial" w:cs="Arial"/>
              </w:rPr>
            </w:pPr>
            <w:r w:rsidRPr="008204CC">
              <w:rPr>
                <w:rFonts w:ascii="Arial" w:hAnsi="Arial" w:cs="Arial"/>
                <w:color w:val="000000"/>
              </w:rPr>
              <w:t>30.60804*</w:t>
            </w:r>
          </w:p>
        </w:tc>
        <w:tc>
          <w:tcPr>
            <w:tcW w:w="2493" w:type="dxa"/>
          </w:tcPr>
          <w:p w14:paraId="5C3DDCC0" w14:textId="77777777" w:rsidR="00806598" w:rsidRPr="008204CC" w:rsidRDefault="00806598" w:rsidP="008462CA">
            <w:pPr>
              <w:jc w:val="both"/>
              <w:rPr>
                <w:rFonts w:ascii="Arial" w:hAnsi="Arial" w:cs="Arial"/>
              </w:rPr>
            </w:pPr>
            <w:r w:rsidRPr="008204CC">
              <w:rPr>
                <w:rFonts w:ascii="Arial" w:hAnsi="Arial" w:cs="Arial"/>
              </w:rPr>
              <w:t>3</w:t>
            </w:r>
          </w:p>
        </w:tc>
      </w:tr>
      <w:tr w:rsidR="00806598" w:rsidRPr="008204CC" w14:paraId="4A0AC966" w14:textId="77777777" w:rsidTr="00800608">
        <w:trPr>
          <w:trHeight w:val="345"/>
        </w:trPr>
        <w:tc>
          <w:tcPr>
            <w:tcW w:w="2309" w:type="dxa"/>
          </w:tcPr>
          <w:p w14:paraId="63EDE51C" w14:textId="77777777" w:rsidR="00806598" w:rsidRPr="008204CC" w:rsidRDefault="00806598" w:rsidP="008462CA">
            <w:pPr>
              <w:jc w:val="both"/>
              <w:rPr>
                <w:rFonts w:ascii="Arial" w:hAnsi="Arial" w:cs="Arial"/>
              </w:rPr>
            </w:pPr>
            <w:r w:rsidRPr="008204CC">
              <w:rPr>
                <w:rFonts w:ascii="Arial" w:hAnsi="Arial" w:cs="Arial"/>
              </w:rPr>
              <w:t>Gabon</w:t>
            </w:r>
          </w:p>
        </w:tc>
        <w:tc>
          <w:tcPr>
            <w:tcW w:w="2316" w:type="dxa"/>
          </w:tcPr>
          <w:p w14:paraId="387B56F0" w14:textId="77777777" w:rsidR="00806598" w:rsidRPr="008204CC" w:rsidRDefault="00806598" w:rsidP="008462CA">
            <w:pPr>
              <w:jc w:val="both"/>
              <w:rPr>
                <w:rFonts w:ascii="Arial" w:hAnsi="Arial" w:cs="Arial"/>
              </w:rPr>
            </w:pPr>
            <w:r w:rsidRPr="008204CC">
              <w:rPr>
                <w:rFonts w:ascii="Arial" w:hAnsi="Arial" w:cs="Arial"/>
                <w:color w:val="000000"/>
              </w:rPr>
              <w:t>38.71170*</w:t>
            </w:r>
          </w:p>
        </w:tc>
        <w:tc>
          <w:tcPr>
            <w:tcW w:w="2493" w:type="dxa"/>
          </w:tcPr>
          <w:p w14:paraId="6EC30103" w14:textId="77777777" w:rsidR="00806598" w:rsidRPr="008204CC" w:rsidRDefault="00806598" w:rsidP="008462CA">
            <w:pPr>
              <w:jc w:val="both"/>
              <w:rPr>
                <w:rFonts w:ascii="Arial" w:hAnsi="Arial" w:cs="Arial"/>
              </w:rPr>
            </w:pPr>
            <w:r w:rsidRPr="008204CC">
              <w:rPr>
                <w:rFonts w:ascii="Arial" w:hAnsi="Arial" w:cs="Arial"/>
              </w:rPr>
              <w:t>3</w:t>
            </w:r>
          </w:p>
        </w:tc>
      </w:tr>
      <w:tr w:rsidR="00806598" w:rsidRPr="008204CC" w14:paraId="4555732F" w14:textId="77777777" w:rsidTr="00800608">
        <w:trPr>
          <w:trHeight w:val="345"/>
        </w:trPr>
        <w:tc>
          <w:tcPr>
            <w:tcW w:w="2309" w:type="dxa"/>
          </w:tcPr>
          <w:p w14:paraId="1ADD2AE5" w14:textId="77777777" w:rsidR="00806598" w:rsidRPr="008204CC" w:rsidRDefault="00806598" w:rsidP="008462CA">
            <w:pPr>
              <w:jc w:val="both"/>
              <w:rPr>
                <w:rFonts w:ascii="Arial" w:hAnsi="Arial" w:cs="Arial"/>
              </w:rPr>
            </w:pPr>
            <w:r w:rsidRPr="008204CC">
              <w:rPr>
                <w:rFonts w:ascii="Arial" w:hAnsi="Arial" w:cs="Arial"/>
              </w:rPr>
              <w:t>Equatorial Guinea</w:t>
            </w:r>
          </w:p>
        </w:tc>
        <w:tc>
          <w:tcPr>
            <w:tcW w:w="2316" w:type="dxa"/>
          </w:tcPr>
          <w:p w14:paraId="31C348B1" w14:textId="77777777" w:rsidR="00806598" w:rsidRPr="008204CC" w:rsidRDefault="00806598" w:rsidP="008462CA">
            <w:pPr>
              <w:jc w:val="both"/>
              <w:rPr>
                <w:rFonts w:ascii="Arial" w:hAnsi="Arial" w:cs="Arial"/>
              </w:rPr>
            </w:pPr>
            <w:r w:rsidRPr="008204CC">
              <w:rPr>
                <w:rFonts w:ascii="Arial" w:hAnsi="Arial" w:cs="Arial"/>
                <w:color w:val="000000"/>
              </w:rPr>
              <w:t>31.02811*</w:t>
            </w:r>
          </w:p>
        </w:tc>
        <w:tc>
          <w:tcPr>
            <w:tcW w:w="2493" w:type="dxa"/>
          </w:tcPr>
          <w:p w14:paraId="2BC87C4D" w14:textId="77777777" w:rsidR="00806598" w:rsidRPr="008204CC" w:rsidRDefault="00806598" w:rsidP="008462CA">
            <w:pPr>
              <w:jc w:val="both"/>
              <w:rPr>
                <w:rFonts w:ascii="Arial" w:hAnsi="Arial" w:cs="Arial"/>
              </w:rPr>
            </w:pPr>
            <w:r w:rsidRPr="008204CC">
              <w:rPr>
                <w:rFonts w:ascii="Arial" w:hAnsi="Arial" w:cs="Arial"/>
              </w:rPr>
              <w:t>1</w:t>
            </w:r>
          </w:p>
        </w:tc>
      </w:tr>
    </w:tbl>
    <w:p w14:paraId="7A30AA69" w14:textId="7CEC715A" w:rsidR="00806598" w:rsidRPr="005D14CA" w:rsidRDefault="00806598" w:rsidP="0066301C">
      <w:pPr>
        <w:autoSpaceDE w:val="0"/>
        <w:autoSpaceDN w:val="0"/>
        <w:adjustRightInd w:val="0"/>
        <w:spacing w:after="0" w:line="276" w:lineRule="auto"/>
        <w:rPr>
          <w:rFonts w:ascii="Arial" w:hAnsi="Arial" w:cs="Arial"/>
          <w:sz w:val="20"/>
          <w:szCs w:val="20"/>
        </w:rPr>
      </w:pPr>
      <w:r w:rsidRPr="005D14CA">
        <w:rPr>
          <w:rFonts w:ascii="Arial" w:hAnsi="Arial" w:cs="Arial"/>
          <w:i/>
          <w:sz w:val="20"/>
          <w:szCs w:val="20"/>
        </w:rPr>
        <w:t xml:space="preserve">Source: </w:t>
      </w:r>
      <w:r w:rsidRPr="005D14CA">
        <w:rPr>
          <w:rFonts w:ascii="Arial" w:hAnsi="Arial" w:cs="Arial"/>
          <w:sz w:val="20"/>
          <w:szCs w:val="20"/>
        </w:rPr>
        <w:t xml:space="preserve">Computation from </w:t>
      </w:r>
      <w:r w:rsidR="00943191" w:rsidRPr="005D14CA">
        <w:rPr>
          <w:rFonts w:ascii="Arial" w:hAnsi="Arial" w:cs="Arial"/>
          <w:sz w:val="20"/>
          <w:szCs w:val="20"/>
        </w:rPr>
        <w:t>time-series data using EViews 12</w:t>
      </w:r>
    </w:p>
    <w:p w14:paraId="6D0D03EF" w14:textId="54760CB0" w:rsidR="00806598" w:rsidRPr="008204CC" w:rsidRDefault="005719C7" w:rsidP="0066301C">
      <w:pPr>
        <w:pStyle w:val="Heading3"/>
        <w:numPr>
          <w:ilvl w:val="0"/>
          <w:numId w:val="0"/>
        </w:numPr>
        <w:spacing w:before="0" w:beforeAutospacing="0"/>
        <w:rPr>
          <w:lang w:val="en-US" w:eastAsia="en-GB"/>
        </w:rPr>
      </w:pPr>
      <w:bookmarkStart w:id="368" w:name="_Toc171075394"/>
      <w:bookmarkStart w:id="369" w:name="_Hlk170860752"/>
      <w:bookmarkStart w:id="370" w:name="_Hlk134147802"/>
      <w:r>
        <w:rPr>
          <w:lang w:val="en-US" w:eastAsia="en-GB"/>
        </w:rPr>
        <w:t>3.</w:t>
      </w:r>
      <w:r w:rsidR="006235DE">
        <w:rPr>
          <w:lang w:val="en-US" w:eastAsia="en-GB"/>
        </w:rPr>
        <w:t>5</w:t>
      </w:r>
      <w:r>
        <w:rPr>
          <w:lang w:val="en-US" w:eastAsia="en-GB"/>
        </w:rPr>
        <w:t>.</w:t>
      </w:r>
      <w:r w:rsidRPr="005719C7">
        <w:t>4</w:t>
      </w:r>
      <w:r>
        <w:tab/>
      </w:r>
      <w:r w:rsidR="00806598" w:rsidRPr="005719C7">
        <w:t>COINTEGRATION</w:t>
      </w:r>
      <w:r w:rsidR="00806598" w:rsidRPr="008204CC">
        <w:rPr>
          <w:lang w:val="en-US" w:eastAsia="en-GB"/>
        </w:rPr>
        <w:t xml:space="preserve"> TEST</w:t>
      </w:r>
      <w:bookmarkEnd w:id="368"/>
      <w:r w:rsidR="00806598" w:rsidRPr="008204CC">
        <w:rPr>
          <w:lang w:val="en-US" w:eastAsia="en-GB"/>
        </w:rPr>
        <w:t xml:space="preserve"> </w:t>
      </w:r>
    </w:p>
    <w:bookmarkEnd w:id="369"/>
    <w:p w14:paraId="1289ED8D" w14:textId="74FF45E5" w:rsidR="00D543B6" w:rsidRDefault="005F097B" w:rsidP="0066301C">
      <w:pPr>
        <w:autoSpaceDE w:val="0"/>
        <w:autoSpaceDN w:val="0"/>
        <w:adjustRightInd w:val="0"/>
        <w:spacing w:line="360" w:lineRule="auto"/>
        <w:jc w:val="both"/>
        <w:rPr>
          <w:rFonts w:ascii="Arial" w:eastAsia="Times New Roman" w:hAnsi="Arial" w:cs="Arial"/>
          <w:color w:val="0E101A"/>
          <w:lang w:eastAsia="en-GB"/>
        </w:rPr>
      </w:pPr>
      <w:r w:rsidRPr="00D64C69">
        <w:rPr>
          <w:rFonts w:ascii="Arial" w:eastAsia="Times New Roman" w:hAnsi="Arial" w:cs="Arial"/>
          <w:color w:val="0E101A"/>
          <w:lang w:eastAsia="en-GB"/>
        </w:rPr>
        <w:t xml:space="preserve">The cointegration test verifies that variables used in a model have a long-run and short-run relationship between themselves, as explained in the econometric approach section above. </w:t>
      </w:r>
      <w:r w:rsidRPr="006B2710">
        <w:rPr>
          <w:rFonts w:ascii="Arial" w:eastAsia="Times New Roman" w:hAnsi="Arial" w:cs="Arial"/>
          <w:color w:val="0E101A"/>
          <w:lang w:eastAsia="en-GB"/>
        </w:rPr>
        <w:t>Johansen’s</w:t>
      </w:r>
      <w:r w:rsidRPr="00D64C69">
        <w:rPr>
          <w:rFonts w:ascii="Arial" w:eastAsia="Times New Roman" w:hAnsi="Arial" w:cs="Arial"/>
          <w:color w:val="0E101A"/>
          <w:lang w:eastAsia="en-GB"/>
        </w:rPr>
        <w:t xml:space="preserve"> cointegration approach is used in this chapter</w:t>
      </w:r>
      <w:r w:rsidR="00806598" w:rsidRPr="003971C9">
        <w:rPr>
          <w:rFonts w:ascii="Arial" w:hAnsi="Arial" w:cs="Arial"/>
        </w:rPr>
        <w:t>.</w:t>
      </w:r>
      <w:r w:rsidR="00806598" w:rsidRPr="003971C9">
        <w:rPr>
          <w:rStyle w:val="FootnoteReference"/>
          <w:rFonts w:ascii="Arial" w:hAnsi="Arial" w:cs="Arial"/>
        </w:rPr>
        <w:footnoteReference w:id="71"/>
      </w:r>
      <w:r w:rsidR="00806598" w:rsidRPr="003971C9">
        <w:rPr>
          <w:rFonts w:ascii="Arial" w:hAnsi="Arial" w:cs="Arial"/>
        </w:rPr>
        <w:t xml:space="preserve"> </w:t>
      </w:r>
      <w:r w:rsidRPr="00D64C69">
        <w:rPr>
          <w:rFonts w:ascii="Arial" w:eastAsia="Times New Roman" w:hAnsi="Arial" w:cs="Arial"/>
          <w:color w:val="0E101A"/>
          <w:lang w:eastAsia="en-GB"/>
        </w:rPr>
        <w:t xml:space="preserve">The Trace statistic and Maximum eigenvalue statistic of the Johansen cointegration test for the four CEMAC nations are </w:t>
      </w:r>
      <w:r w:rsidRPr="00846F75">
        <w:rPr>
          <w:rFonts w:ascii="Arial" w:eastAsia="Times New Roman" w:hAnsi="Arial" w:cs="Arial"/>
          <w:lang w:eastAsia="en-GB"/>
        </w:rPr>
        <w:t xml:space="preserve">presented </w:t>
      </w:r>
      <w:r w:rsidRPr="002617D2">
        <w:rPr>
          <w:rFonts w:ascii="Arial" w:eastAsia="Times New Roman" w:hAnsi="Arial" w:cs="Arial"/>
          <w:lang w:eastAsia="en-GB"/>
        </w:rPr>
        <w:t xml:space="preserve">in tables </w:t>
      </w:r>
      <w:r w:rsidR="00E816A4" w:rsidRPr="002617D2">
        <w:rPr>
          <w:rFonts w:ascii="Arial" w:eastAsia="Times New Roman" w:hAnsi="Arial" w:cs="Arial"/>
          <w:lang w:eastAsia="en-GB"/>
        </w:rPr>
        <w:t>3</w:t>
      </w:r>
      <w:r w:rsidRPr="002617D2">
        <w:rPr>
          <w:rFonts w:ascii="Arial" w:eastAsia="Times New Roman" w:hAnsi="Arial" w:cs="Arial"/>
          <w:lang w:eastAsia="en-GB"/>
        </w:rPr>
        <w:t xml:space="preserve">.4 </w:t>
      </w:r>
      <w:r w:rsidR="00B66DF4" w:rsidRPr="002617D2">
        <w:rPr>
          <w:rFonts w:ascii="Arial" w:eastAsia="Times New Roman" w:hAnsi="Arial" w:cs="Arial"/>
          <w:lang w:eastAsia="en-GB"/>
        </w:rPr>
        <w:t>below</w:t>
      </w:r>
      <w:r w:rsidRPr="002617D2">
        <w:rPr>
          <w:rFonts w:ascii="Arial" w:eastAsia="Times New Roman" w:hAnsi="Arial" w:cs="Arial"/>
          <w:color w:val="0E101A"/>
          <w:lang w:eastAsia="en-GB"/>
        </w:rPr>
        <w:t>.</w:t>
      </w:r>
      <w:r w:rsidRPr="00D64C69">
        <w:rPr>
          <w:rFonts w:ascii="Arial" w:eastAsia="Times New Roman" w:hAnsi="Arial" w:cs="Arial"/>
          <w:color w:val="0E101A"/>
          <w:lang w:eastAsia="en-GB"/>
        </w:rPr>
        <w:t xml:space="preserve"> The null hypothesis states that there is no cointegrating equation(s) at a 0.05 level. While alternative hypothesis (*) denotes the rejection of the null hypothesis at the 0.05 level (i.e., there is cointegration in the model). </w:t>
      </w:r>
    </w:p>
    <w:p w14:paraId="4BAB514D" w14:textId="77777777" w:rsidR="00B66DF4" w:rsidRDefault="00B66DF4" w:rsidP="0066301C">
      <w:pPr>
        <w:autoSpaceDE w:val="0"/>
        <w:autoSpaceDN w:val="0"/>
        <w:adjustRightInd w:val="0"/>
        <w:spacing w:line="360" w:lineRule="auto"/>
        <w:jc w:val="both"/>
        <w:rPr>
          <w:rFonts w:ascii="Arial" w:eastAsia="Times New Roman" w:hAnsi="Arial" w:cs="Arial"/>
          <w:color w:val="0E101A"/>
          <w:lang w:eastAsia="en-GB"/>
        </w:rPr>
      </w:pPr>
    </w:p>
    <w:p w14:paraId="5512E371" w14:textId="77777777" w:rsidR="00B66DF4" w:rsidRDefault="00B66DF4" w:rsidP="0066301C">
      <w:pPr>
        <w:autoSpaceDE w:val="0"/>
        <w:autoSpaceDN w:val="0"/>
        <w:adjustRightInd w:val="0"/>
        <w:spacing w:line="360" w:lineRule="auto"/>
        <w:jc w:val="both"/>
        <w:rPr>
          <w:rFonts w:ascii="Arial" w:eastAsia="Times New Roman" w:hAnsi="Arial" w:cs="Arial"/>
          <w:color w:val="0E101A"/>
          <w:lang w:eastAsia="en-GB"/>
        </w:rPr>
      </w:pPr>
    </w:p>
    <w:p w14:paraId="7E9CB726" w14:textId="77777777" w:rsidR="00B66DF4" w:rsidRDefault="00B66DF4" w:rsidP="0066301C">
      <w:pPr>
        <w:autoSpaceDE w:val="0"/>
        <w:autoSpaceDN w:val="0"/>
        <w:adjustRightInd w:val="0"/>
        <w:spacing w:line="360" w:lineRule="auto"/>
        <w:jc w:val="both"/>
        <w:rPr>
          <w:rFonts w:ascii="Arial" w:eastAsia="Times New Roman" w:hAnsi="Arial" w:cs="Arial"/>
          <w:color w:val="0E101A"/>
          <w:lang w:eastAsia="en-GB"/>
        </w:rPr>
      </w:pPr>
    </w:p>
    <w:p w14:paraId="4F970E09" w14:textId="77777777" w:rsidR="00B66DF4" w:rsidRDefault="00B66DF4" w:rsidP="0066301C">
      <w:pPr>
        <w:autoSpaceDE w:val="0"/>
        <w:autoSpaceDN w:val="0"/>
        <w:adjustRightInd w:val="0"/>
        <w:spacing w:after="0" w:line="240" w:lineRule="auto"/>
        <w:rPr>
          <w:rFonts w:ascii="Arial" w:hAnsi="Arial" w:cs="Arial"/>
          <w:b/>
        </w:rPr>
        <w:sectPr w:rsidR="00B66DF4" w:rsidSect="00D14E7F">
          <w:footerReference w:type="default" r:id="rId21"/>
          <w:pgSz w:w="11906" w:h="16838" w:code="9"/>
          <w:pgMar w:top="1440" w:right="1416" w:bottom="1440" w:left="1276" w:header="709" w:footer="709" w:gutter="0"/>
          <w:pgNumType w:start="1"/>
          <w:cols w:space="708"/>
          <w:docGrid w:linePitch="360"/>
        </w:sectPr>
      </w:pPr>
    </w:p>
    <w:p w14:paraId="24D16C54" w14:textId="77777777" w:rsidR="00B66DF4" w:rsidRPr="00E95ADC" w:rsidRDefault="00B66DF4" w:rsidP="0066301C">
      <w:pPr>
        <w:autoSpaceDE w:val="0"/>
        <w:autoSpaceDN w:val="0"/>
        <w:adjustRightInd w:val="0"/>
        <w:spacing w:after="0" w:line="240" w:lineRule="auto"/>
        <w:rPr>
          <w:rFonts w:ascii="Arial" w:hAnsi="Arial" w:cs="Arial"/>
        </w:rPr>
      </w:pPr>
      <w:r w:rsidRPr="00E95ADC">
        <w:rPr>
          <w:rFonts w:ascii="Arial" w:hAnsi="Arial" w:cs="Arial"/>
          <w:b/>
        </w:rPr>
        <w:lastRenderedPageBreak/>
        <w:t>Table 3.4: Johansen Cointegration Test Results.</w:t>
      </w:r>
    </w:p>
    <w:tbl>
      <w:tblPr>
        <w:tblStyle w:val="TableGrid9"/>
        <w:tblW w:w="13758" w:type="dxa"/>
        <w:tblLook w:val="04A0" w:firstRow="1" w:lastRow="0" w:firstColumn="1" w:lastColumn="0" w:noHBand="0" w:noVBand="1"/>
      </w:tblPr>
      <w:tblGrid>
        <w:gridCol w:w="1549"/>
        <w:gridCol w:w="1305"/>
        <w:gridCol w:w="1195"/>
        <w:gridCol w:w="1270"/>
        <w:gridCol w:w="1325"/>
        <w:gridCol w:w="1580"/>
        <w:gridCol w:w="1404"/>
        <w:gridCol w:w="1373"/>
        <w:gridCol w:w="1373"/>
        <w:gridCol w:w="1384"/>
      </w:tblGrid>
      <w:tr w:rsidR="00B66DF4" w:rsidRPr="00E95ADC" w14:paraId="4F8FD9DB" w14:textId="77777777" w:rsidTr="004D74AB">
        <w:tc>
          <w:tcPr>
            <w:tcW w:w="13758" w:type="dxa"/>
            <w:gridSpan w:val="10"/>
          </w:tcPr>
          <w:p w14:paraId="11359488" w14:textId="77777777" w:rsidR="00B66DF4" w:rsidRPr="00E95ADC" w:rsidRDefault="00B66DF4" w:rsidP="0066301C">
            <w:pPr>
              <w:autoSpaceDE w:val="0"/>
              <w:autoSpaceDN w:val="0"/>
              <w:adjustRightInd w:val="0"/>
              <w:jc w:val="center"/>
              <w:rPr>
                <w:rFonts w:ascii="Arial" w:hAnsi="Arial" w:cs="Arial"/>
                <w:b/>
              </w:rPr>
            </w:pPr>
            <w:r w:rsidRPr="00E95ADC">
              <w:rPr>
                <w:rFonts w:ascii="Arial" w:hAnsi="Arial" w:cs="Arial"/>
                <w:b/>
              </w:rPr>
              <w:t xml:space="preserve">Cameroon </w:t>
            </w:r>
          </w:p>
        </w:tc>
      </w:tr>
      <w:tr w:rsidR="00B66DF4" w:rsidRPr="00E95ADC" w14:paraId="4A931AA6" w14:textId="77777777" w:rsidTr="004D74AB">
        <w:tc>
          <w:tcPr>
            <w:tcW w:w="6406" w:type="dxa"/>
            <w:gridSpan w:val="5"/>
          </w:tcPr>
          <w:p w14:paraId="5CA58617" w14:textId="77777777" w:rsidR="00B66DF4" w:rsidRPr="00E95ADC" w:rsidRDefault="00B66DF4" w:rsidP="0066301C">
            <w:pPr>
              <w:autoSpaceDE w:val="0"/>
              <w:autoSpaceDN w:val="0"/>
              <w:adjustRightInd w:val="0"/>
              <w:rPr>
                <w:rFonts w:ascii="Arial" w:hAnsi="Arial" w:cs="Arial"/>
              </w:rPr>
            </w:pPr>
            <w:r w:rsidRPr="00E95ADC">
              <w:rPr>
                <w:rFonts w:ascii="Arial" w:hAnsi="Arial" w:cs="Arial"/>
                <w:color w:val="000000"/>
              </w:rPr>
              <w:t>Unrestricted Cointegration Rank Test (Trace)</w:t>
            </w:r>
          </w:p>
        </w:tc>
        <w:tc>
          <w:tcPr>
            <w:tcW w:w="7352" w:type="dxa"/>
            <w:gridSpan w:val="5"/>
          </w:tcPr>
          <w:p w14:paraId="551610E6" w14:textId="77777777" w:rsidR="00B66DF4" w:rsidRPr="00E95ADC" w:rsidRDefault="00B66DF4" w:rsidP="0066301C">
            <w:pPr>
              <w:autoSpaceDE w:val="0"/>
              <w:autoSpaceDN w:val="0"/>
              <w:adjustRightInd w:val="0"/>
              <w:rPr>
                <w:rFonts w:ascii="Arial" w:hAnsi="Arial" w:cs="Arial"/>
              </w:rPr>
            </w:pPr>
            <w:r w:rsidRPr="00E95ADC">
              <w:rPr>
                <w:rFonts w:ascii="Arial" w:hAnsi="Arial" w:cs="Arial"/>
                <w:color w:val="000000"/>
              </w:rPr>
              <w:t>Unrestricted Cointegration Rank Test (Maximum Eigenvalue)</w:t>
            </w:r>
          </w:p>
        </w:tc>
      </w:tr>
      <w:tr w:rsidR="00B66DF4" w:rsidRPr="00E95ADC" w14:paraId="5077BF65" w14:textId="77777777" w:rsidTr="004D74AB">
        <w:tc>
          <w:tcPr>
            <w:tcW w:w="1401" w:type="dxa"/>
          </w:tcPr>
          <w:p w14:paraId="08723D02" w14:textId="77777777" w:rsidR="00B66DF4" w:rsidRPr="00E95ADC" w:rsidRDefault="00B66DF4" w:rsidP="0066301C">
            <w:pPr>
              <w:autoSpaceDE w:val="0"/>
              <w:autoSpaceDN w:val="0"/>
              <w:adjustRightInd w:val="0"/>
              <w:jc w:val="center"/>
              <w:rPr>
                <w:rFonts w:ascii="Arial" w:hAnsi="Arial" w:cs="Arial"/>
              </w:rPr>
            </w:pPr>
            <w:r w:rsidRPr="00E95ADC">
              <w:rPr>
                <w:rFonts w:ascii="Arial" w:hAnsi="Arial" w:cs="Arial"/>
              </w:rPr>
              <w:t>Hypothesized number of cointegrating equations</w:t>
            </w:r>
          </w:p>
        </w:tc>
        <w:tc>
          <w:tcPr>
            <w:tcW w:w="1176" w:type="dxa"/>
            <w:tcBorders>
              <w:bottom w:val="single" w:sz="4" w:space="0" w:color="auto"/>
            </w:tcBorders>
          </w:tcPr>
          <w:p w14:paraId="219B1C04" w14:textId="77777777" w:rsidR="00B66DF4" w:rsidRPr="00E95ADC" w:rsidRDefault="00B66DF4" w:rsidP="0066301C">
            <w:pPr>
              <w:autoSpaceDE w:val="0"/>
              <w:autoSpaceDN w:val="0"/>
              <w:adjustRightInd w:val="0"/>
              <w:jc w:val="center"/>
              <w:rPr>
                <w:rFonts w:ascii="Arial" w:hAnsi="Arial" w:cs="Arial"/>
              </w:rPr>
            </w:pPr>
            <w:r w:rsidRPr="00E95ADC">
              <w:rPr>
                <w:rFonts w:ascii="Arial" w:hAnsi="Arial" w:cs="Arial"/>
                <w:color w:val="000000"/>
              </w:rPr>
              <w:t>Eigenvalue</w:t>
            </w:r>
          </w:p>
        </w:tc>
        <w:tc>
          <w:tcPr>
            <w:tcW w:w="1176" w:type="dxa"/>
            <w:tcBorders>
              <w:bottom w:val="single" w:sz="4" w:space="0" w:color="auto"/>
            </w:tcBorders>
          </w:tcPr>
          <w:p w14:paraId="568E9853" w14:textId="77777777" w:rsidR="00B66DF4" w:rsidRPr="00E95ADC" w:rsidRDefault="00B66DF4" w:rsidP="0066301C">
            <w:pPr>
              <w:autoSpaceDE w:val="0"/>
              <w:autoSpaceDN w:val="0"/>
              <w:adjustRightInd w:val="0"/>
              <w:jc w:val="center"/>
              <w:rPr>
                <w:rFonts w:ascii="Arial" w:hAnsi="Arial" w:cs="Arial"/>
              </w:rPr>
            </w:pPr>
            <w:r w:rsidRPr="00E95ADC">
              <w:rPr>
                <w:rFonts w:ascii="Arial" w:hAnsi="Arial" w:cs="Arial"/>
              </w:rPr>
              <w:t>Trace Statistic</w:t>
            </w:r>
          </w:p>
        </w:tc>
        <w:tc>
          <w:tcPr>
            <w:tcW w:w="1298" w:type="dxa"/>
            <w:tcBorders>
              <w:bottom w:val="single" w:sz="4" w:space="0" w:color="auto"/>
            </w:tcBorders>
          </w:tcPr>
          <w:p w14:paraId="37767DF2" w14:textId="77777777" w:rsidR="00B66DF4" w:rsidRPr="00E95ADC" w:rsidRDefault="00B66DF4" w:rsidP="0066301C">
            <w:pPr>
              <w:autoSpaceDE w:val="0"/>
              <w:autoSpaceDN w:val="0"/>
              <w:adjustRightInd w:val="0"/>
              <w:jc w:val="center"/>
              <w:rPr>
                <w:rFonts w:ascii="Arial" w:hAnsi="Arial" w:cs="Arial"/>
              </w:rPr>
            </w:pPr>
            <w:r w:rsidRPr="00E95ADC">
              <w:rPr>
                <w:rFonts w:ascii="Arial" w:hAnsi="Arial" w:cs="Arial"/>
              </w:rPr>
              <w:t>0.05 Critical Value</w:t>
            </w:r>
          </w:p>
        </w:tc>
        <w:tc>
          <w:tcPr>
            <w:tcW w:w="1355" w:type="dxa"/>
            <w:tcBorders>
              <w:bottom w:val="single" w:sz="4" w:space="0" w:color="auto"/>
            </w:tcBorders>
          </w:tcPr>
          <w:p w14:paraId="57CA85EE" w14:textId="77777777" w:rsidR="00B66DF4" w:rsidRPr="00E95ADC" w:rsidRDefault="00B66DF4" w:rsidP="0066301C">
            <w:pPr>
              <w:autoSpaceDE w:val="0"/>
              <w:autoSpaceDN w:val="0"/>
              <w:adjustRightInd w:val="0"/>
              <w:jc w:val="center"/>
              <w:rPr>
                <w:rFonts w:ascii="Arial" w:hAnsi="Arial" w:cs="Arial"/>
              </w:rPr>
            </w:pPr>
            <w:r w:rsidRPr="00E95ADC">
              <w:rPr>
                <w:rFonts w:ascii="Arial" w:hAnsi="Arial" w:cs="Arial"/>
              </w:rPr>
              <w:t xml:space="preserve">Probability Value </w:t>
            </w:r>
          </w:p>
        </w:tc>
        <w:tc>
          <w:tcPr>
            <w:tcW w:w="1592" w:type="dxa"/>
            <w:tcBorders>
              <w:bottom w:val="single" w:sz="4" w:space="0" w:color="auto"/>
            </w:tcBorders>
          </w:tcPr>
          <w:p w14:paraId="0F80CD36" w14:textId="77777777" w:rsidR="00B66DF4" w:rsidRPr="00E95ADC" w:rsidRDefault="00B66DF4" w:rsidP="0066301C">
            <w:pPr>
              <w:autoSpaceDE w:val="0"/>
              <w:autoSpaceDN w:val="0"/>
              <w:adjustRightInd w:val="0"/>
              <w:jc w:val="center"/>
              <w:rPr>
                <w:rFonts w:ascii="Arial" w:hAnsi="Arial" w:cs="Arial"/>
              </w:rPr>
            </w:pPr>
            <w:r w:rsidRPr="00E95ADC">
              <w:rPr>
                <w:rFonts w:ascii="Arial" w:hAnsi="Arial" w:cs="Arial"/>
              </w:rPr>
              <w:t>Hypothesized number of cointegrating equations</w:t>
            </w:r>
          </w:p>
        </w:tc>
        <w:tc>
          <w:tcPr>
            <w:tcW w:w="1441" w:type="dxa"/>
            <w:tcBorders>
              <w:bottom w:val="single" w:sz="4" w:space="0" w:color="auto"/>
            </w:tcBorders>
          </w:tcPr>
          <w:p w14:paraId="5B4D4A9C" w14:textId="77777777" w:rsidR="00B66DF4" w:rsidRPr="00E95ADC" w:rsidRDefault="00B66DF4" w:rsidP="0066301C">
            <w:pPr>
              <w:autoSpaceDE w:val="0"/>
              <w:autoSpaceDN w:val="0"/>
              <w:adjustRightInd w:val="0"/>
              <w:rPr>
                <w:rFonts w:ascii="Arial" w:hAnsi="Arial" w:cs="Arial"/>
              </w:rPr>
            </w:pPr>
            <w:r w:rsidRPr="00E95ADC">
              <w:rPr>
                <w:rFonts w:ascii="Arial" w:hAnsi="Arial" w:cs="Arial"/>
                <w:color w:val="000000"/>
              </w:rPr>
              <w:t>Eigenvalue</w:t>
            </w:r>
          </w:p>
        </w:tc>
        <w:tc>
          <w:tcPr>
            <w:tcW w:w="1441" w:type="dxa"/>
            <w:tcBorders>
              <w:bottom w:val="single" w:sz="4" w:space="0" w:color="auto"/>
            </w:tcBorders>
          </w:tcPr>
          <w:p w14:paraId="3F343324" w14:textId="77777777" w:rsidR="00B66DF4" w:rsidRPr="00E95ADC" w:rsidRDefault="00B66DF4" w:rsidP="0066301C">
            <w:pPr>
              <w:autoSpaceDE w:val="0"/>
              <w:autoSpaceDN w:val="0"/>
              <w:adjustRightInd w:val="0"/>
              <w:jc w:val="center"/>
              <w:rPr>
                <w:rFonts w:ascii="Arial" w:hAnsi="Arial" w:cs="Arial"/>
              </w:rPr>
            </w:pPr>
            <w:r w:rsidRPr="00E95ADC">
              <w:rPr>
                <w:rFonts w:ascii="Arial" w:hAnsi="Arial" w:cs="Arial"/>
              </w:rPr>
              <w:t>Max-Eigen Statistic</w:t>
            </w:r>
          </w:p>
        </w:tc>
        <w:tc>
          <w:tcPr>
            <w:tcW w:w="1441" w:type="dxa"/>
            <w:tcBorders>
              <w:bottom w:val="single" w:sz="4" w:space="0" w:color="auto"/>
            </w:tcBorders>
          </w:tcPr>
          <w:p w14:paraId="509AB834" w14:textId="77777777" w:rsidR="00B66DF4" w:rsidRPr="00E95ADC" w:rsidRDefault="00B66DF4" w:rsidP="0066301C">
            <w:pPr>
              <w:autoSpaceDE w:val="0"/>
              <w:autoSpaceDN w:val="0"/>
              <w:adjustRightInd w:val="0"/>
              <w:jc w:val="center"/>
              <w:rPr>
                <w:rFonts w:ascii="Arial" w:hAnsi="Arial" w:cs="Arial"/>
              </w:rPr>
            </w:pPr>
            <w:r w:rsidRPr="00E95ADC">
              <w:rPr>
                <w:rFonts w:ascii="Arial" w:hAnsi="Arial" w:cs="Arial"/>
              </w:rPr>
              <w:t>0.05 Critical Value</w:t>
            </w:r>
          </w:p>
        </w:tc>
        <w:tc>
          <w:tcPr>
            <w:tcW w:w="1437" w:type="dxa"/>
            <w:tcBorders>
              <w:bottom w:val="single" w:sz="4" w:space="0" w:color="auto"/>
            </w:tcBorders>
          </w:tcPr>
          <w:p w14:paraId="5A9991B5" w14:textId="77777777" w:rsidR="00B66DF4" w:rsidRPr="00E95ADC" w:rsidRDefault="00B66DF4" w:rsidP="0066301C">
            <w:pPr>
              <w:autoSpaceDE w:val="0"/>
              <w:autoSpaceDN w:val="0"/>
              <w:adjustRightInd w:val="0"/>
              <w:jc w:val="center"/>
              <w:rPr>
                <w:rFonts w:ascii="Arial" w:hAnsi="Arial" w:cs="Arial"/>
              </w:rPr>
            </w:pPr>
            <w:r w:rsidRPr="00E95ADC">
              <w:rPr>
                <w:rFonts w:ascii="Arial" w:hAnsi="Arial" w:cs="Arial"/>
              </w:rPr>
              <w:t xml:space="preserve">Probability Value </w:t>
            </w:r>
          </w:p>
        </w:tc>
      </w:tr>
      <w:tr w:rsidR="00B66DF4" w:rsidRPr="00E95ADC" w14:paraId="7FE49355" w14:textId="77777777" w:rsidTr="004D74AB">
        <w:trPr>
          <w:trHeight w:val="269"/>
        </w:trPr>
        <w:tc>
          <w:tcPr>
            <w:tcW w:w="1401" w:type="dxa"/>
            <w:vAlign w:val="bottom"/>
          </w:tcPr>
          <w:p w14:paraId="1CF65C16" w14:textId="77777777" w:rsidR="00B66DF4" w:rsidRPr="00E95ADC" w:rsidRDefault="00B66DF4" w:rsidP="0066301C">
            <w:pPr>
              <w:jc w:val="both"/>
              <w:rPr>
                <w:rFonts w:ascii="Arial" w:hAnsi="Arial" w:cs="Arial"/>
              </w:rPr>
            </w:pPr>
            <w:r w:rsidRPr="00E95ADC">
              <w:rPr>
                <w:rFonts w:ascii="Arial" w:hAnsi="Arial" w:cs="Arial"/>
              </w:rPr>
              <w:t>None *</w:t>
            </w:r>
          </w:p>
        </w:tc>
        <w:tc>
          <w:tcPr>
            <w:tcW w:w="1176" w:type="dxa"/>
            <w:tcBorders>
              <w:top w:val="single" w:sz="4" w:space="0" w:color="auto"/>
              <w:left w:val="nil"/>
              <w:bottom w:val="single" w:sz="4" w:space="0" w:color="auto"/>
              <w:right w:val="single" w:sz="4" w:space="0" w:color="auto"/>
            </w:tcBorders>
            <w:vAlign w:val="bottom"/>
          </w:tcPr>
          <w:p w14:paraId="32377C07" w14:textId="77777777" w:rsidR="00B66DF4" w:rsidRPr="00E95ADC" w:rsidRDefault="00B66DF4" w:rsidP="0066301C">
            <w:pPr>
              <w:autoSpaceDE w:val="0"/>
              <w:autoSpaceDN w:val="0"/>
              <w:adjustRightInd w:val="0"/>
              <w:jc w:val="center"/>
              <w:rPr>
                <w:rFonts w:ascii="Arial" w:hAnsi="Arial" w:cs="Arial"/>
                <w:color w:val="000000"/>
              </w:rPr>
            </w:pPr>
            <w:r w:rsidRPr="00E95ADC">
              <w:rPr>
                <w:rFonts w:ascii="Arial" w:hAnsi="Arial" w:cs="Arial"/>
                <w:color w:val="000000"/>
              </w:rPr>
              <w:t> 0.636113</w:t>
            </w:r>
          </w:p>
        </w:tc>
        <w:tc>
          <w:tcPr>
            <w:tcW w:w="1176" w:type="dxa"/>
            <w:tcBorders>
              <w:top w:val="single" w:sz="4" w:space="0" w:color="auto"/>
              <w:left w:val="single" w:sz="4" w:space="0" w:color="auto"/>
              <w:bottom w:val="single" w:sz="4" w:space="0" w:color="auto"/>
              <w:right w:val="single" w:sz="4" w:space="0" w:color="auto"/>
            </w:tcBorders>
            <w:vAlign w:val="bottom"/>
          </w:tcPr>
          <w:p w14:paraId="159DEFB0" w14:textId="77777777" w:rsidR="00B66DF4" w:rsidRPr="00E95ADC" w:rsidRDefault="00B66DF4" w:rsidP="0066301C">
            <w:pPr>
              <w:autoSpaceDE w:val="0"/>
              <w:autoSpaceDN w:val="0"/>
              <w:adjustRightInd w:val="0"/>
              <w:jc w:val="center"/>
              <w:rPr>
                <w:rFonts w:ascii="Arial" w:hAnsi="Arial" w:cs="Arial"/>
                <w:color w:val="000000"/>
              </w:rPr>
            </w:pPr>
            <w:r w:rsidRPr="00E95ADC">
              <w:rPr>
                <w:rFonts w:ascii="Arial" w:hAnsi="Arial" w:cs="Arial"/>
                <w:color w:val="000000"/>
              </w:rPr>
              <w:t> 102.7550</w:t>
            </w:r>
          </w:p>
        </w:tc>
        <w:tc>
          <w:tcPr>
            <w:tcW w:w="1298" w:type="dxa"/>
            <w:tcBorders>
              <w:top w:val="single" w:sz="4" w:space="0" w:color="auto"/>
              <w:left w:val="single" w:sz="4" w:space="0" w:color="auto"/>
              <w:bottom w:val="single" w:sz="4" w:space="0" w:color="auto"/>
              <w:right w:val="single" w:sz="4" w:space="0" w:color="auto"/>
            </w:tcBorders>
            <w:vAlign w:val="bottom"/>
          </w:tcPr>
          <w:p w14:paraId="6700EFED" w14:textId="77777777" w:rsidR="00B66DF4" w:rsidRPr="00E95ADC" w:rsidRDefault="00B66DF4" w:rsidP="0066301C">
            <w:pPr>
              <w:autoSpaceDE w:val="0"/>
              <w:autoSpaceDN w:val="0"/>
              <w:adjustRightInd w:val="0"/>
              <w:jc w:val="center"/>
              <w:rPr>
                <w:rFonts w:ascii="Arial" w:hAnsi="Arial" w:cs="Arial"/>
                <w:color w:val="000000"/>
              </w:rPr>
            </w:pPr>
            <w:r w:rsidRPr="00E95ADC">
              <w:rPr>
                <w:rFonts w:ascii="Arial" w:hAnsi="Arial" w:cs="Arial"/>
                <w:color w:val="000000"/>
              </w:rPr>
              <w:t> 95.75366</w:t>
            </w:r>
          </w:p>
        </w:tc>
        <w:tc>
          <w:tcPr>
            <w:tcW w:w="1355" w:type="dxa"/>
            <w:tcBorders>
              <w:top w:val="single" w:sz="4" w:space="0" w:color="auto"/>
              <w:left w:val="single" w:sz="4" w:space="0" w:color="auto"/>
              <w:bottom w:val="single" w:sz="4" w:space="0" w:color="auto"/>
              <w:right w:val="single" w:sz="4" w:space="0" w:color="auto"/>
            </w:tcBorders>
            <w:vAlign w:val="bottom"/>
          </w:tcPr>
          <w:p w14:paraId="2A0151C2" w14:textId="77777777" w:rsidR="00B66DF4" w:rsidRPr="00E95ADC" w:rsidRDefault="00B66DF4" w:rsidP="0066301C">
            <w:pPr>
              <w:autoSpaceDE w:val="0"/>
              <w:autoSpaceDN w:val="0"/>
              <w:adjustRightInd w:val="0"/>
              <w:jc w:val="center"/>
              <w:rPr>
                <w:rFonts w:ascii="Arial" w:hAnsi="Arial" w:cs="Arial"/>
                <w:color w:val="000000"/>
              </w:rPr>
            </w:pPr>
            <w:r w:rsidRPr="00E95ADC">
              <w:rPr>
                <w:rFonts w:ascii="Arial" w:hAnsi="Arial" w:cs="Arial"/>
                <w:color w:val="000000"/>
              </w:rPr>
              <w:t> 0.0151</w:t>
            </w:r>
          </w:p>
        </w:tc>
        <w:tc>
          <w:tcPr>
            <w:tcW w:w="1592" w:type="dxa"/>
            <w:tcBorders>
              <w:top w:val="single" w:sz="4" w:space="0" w:color="auto"/>
              <w:left w:val="single" w:sz="4" w:space="0" w:color="auto"/>
              <w:bottom w:val="single" w:sz="4" w:space="0" w:color="auto"/>
              <w:right w:val="single" w:sz="4" w:space="0" w:color="auto"/>
            </w:tcBorders>
            <w:vAlign w:val="bottom"/>
          </w:tcPr>
          <w:p w14:paraId="0FAA4038" w14:textId="77777777" w:rsidR="00B66DF4" w:rsidRPr="00E95ADC" w:rsidRDefault="00B66DF4" w:rsidP="0066301C">
            <w:pPr>
              <w:jc w:val="both"/>
              <w:rPr>
                <w:rFonts w:ascii="Arial" w:hAnsi="Arial" w:cs="Arial"/>
              </w:rPr>
            </w:pPr>
            <w:r w:rsidRPr="00E95ADC">
              <w:rPr>
                <w:rFonts w:ascii="Arial" w:hAnsi="Arial" w:cs="Arial"/>
              </w:rPr>
              <w:t>None</w:t>
            </w:r>
          </w:p>
        </w:tc>
        <w:tc>
          <w:tcPr>
            <w:tcW w:w="1441" w:type="dxa"/>
            <w:tcBorders>
              <w:top w:val="single" w:sz="4" w:space="0" w:color="auto"/>
              <w:left w:val="single" w:sz="4" w:space="0" w:color="auto"/>
              <w:bottom w:val="single" w:sz="4" w:space="0" w:color="auto"/>
              <w:right w:val="single" w:sz="4" w:space="0" w:color="auto"/>
            </w:tcBorders>
            <w:vAlign w:val="bottom"/>
          </w:tcPr>
          <w:p w14:paraId="116E556D" w14:textId="77777777" w:rsidR="00B66DF4" w:rsidRPr="00E95ADC" w:rsidRDefault="00B66DF4" w:rsidP="0066301C">
            <w:pPr>
              <w:autoSpaceDE w:val="0"/>
              <w:autoSpaceDN w:val="0"/>
              <w:adjustRightInd w:val="0"/>
              <w:jc w:val="center"/>
              <w:rPr>
                <w:rFonts w:ascii="Arial" w:hAnsi="Arial" w:cs="Arial"/>
                <w:color w:val="000000"/>
              </w:rPr>
            </w:pPr>
            <w:r w:rsidRPr="00E95ADC">
              <w:rPr>
                <w:rFonts w:ascii="Arial" w:hAnsi="Arial" w:cs="Arial"/>
                <w:color w:val="000000"/>
              </w:rPr>
              <w:t> 0.636113</w:t>
            </w:r>
          </w:p>
        </w:tc>
        <w:tc>
          <w:tcPr>
            <w:tcW w:w="1441" w:type="dxa"/>
            <w:tcBorders>
              <w:top w:val="single" w:sz="4" w:space="0" w:color="auto"/>
              <w:left w:val="single" w:sz="4" w:space="0" w:color="auto"/>
              <w:bottom w:val="single" w:sz="4" w:space="0" w:color="auto"/>
              <w:right w:val="single" w:sz="4" w:space="0" w:color="auto"/>
            </w:tcBorders>
            <w:vAlign w:val="bottom"/>
          </w:tcPr>
          <w:p w14:paraId="50CFE919" w14:textId="77777777" w:rsidR="00B66DF4" w:rsidRPr="00E95ADC" w:rsidRDefault="00B66DF4" w:rsidP="0066301C">
            <w:pPr>
              <w:autoSpaceDE w:val="0"/>
              <w:autoSpaceDN w:val="0"/>
              <w:adjustRightInd w:val="0"/>
              <w:jc w:val="center"/>
              <w:rPr>
                <w:rFonts w:ascii="Arial" w:hAnsi="Arial" w:cs="Arial"/>
                <w:color w:val="000000"/>
              </w:rPr>
            </w:pPr>
            <w:r w:rsidRPr="00E95ADC">
              <w:rPr>
                <w:rFonts w:ascii="Arial" w:hAnsi="Arial" w:cs="Arial"/>
                <w:color w:val="000000"/>
              </w:rPr>
              <w:t> 37.40370</w:t>
            </w:r>
          </w:p>
        </w:tc>
        <w:tc>
          <w:tcPr>
            <w:tcW w:w="1441" w:type="dxa"/>
            <w:tcBorders>
              <w:top w:val="single" w:sz="4" w:space="0" w:color="auto"/>
              <w:left w:val="single" w:sz="4" w:space="0" w:color="auto"/>
              <w:bottom w:val="single" w:sz="4" w:space="0" w:color="auto"/>
              <w:right w:val="single" w:sz="4" w:space="0" w:color="auto"/>
            </w:tcBorders>
            <w:vAlign w:val="bottom"/>
          </w:tcPr>
          <w:p w14:paraId="532E4E41" w14:textId="77777777" w:rsidR="00B66DF4" w:rsidRPr="00E95ADC" w:rsidRDefault="00B66DF4" w:rsidP="0066301C">
            <w:pPr>
              <w:autoSpaceDE w:val="0"/>
              <w:autoSpaceDN w:val="0"/>
              <w:adjustRightInd w:val="0"/>
              <w:jc w:val="center"/>
              <w:rPr>
                <w:rFonts w:ascii="Arial" w:hAnsi="Arial" w:cs="Arial"/>
                <w:color w:val="000000"/>
              </w:rPr>
            </w:pPr>
            <w:r w:rsidRPr="00E95ADC">
              <w:rPr>
                <w:rFonts w:ascii="Arial" w:hAnsi="Arial" w:cs="Arial"/>
                <w:color w:val="000000"/>
              </w:rPr>
              <w:t> 40.07757</w:t>
            </w:r>
          </w:p>
        </w:tc>
        <w:tc>
          <w:tcPr>
            <w:tcW w:w="1437" w:type="dxa"/>
            <w:tcBorders>
              <w:top w:val="single" w:sz="4" w:space="0" w:color="auto"/>
              <w:left w:val="single" w:sz="4" w:space="0" w:color="auto"/>
              <w:bottom w:val="single" w:sz="4" w:space="0" w:color="auto"/>
              <w:right w:val="single" w:sz="4" w:space="0" w:color="auto"/>
            </w:tcBorders>
            <w:vAlign w:val="bottom"/>
          </w:tcPr>
          <w:p w14:paraId="327CFC37" w14:textId="77777777" w:rsidR="00B66DF4" w:rsidRPr="00E95ADC" w:rsidRDefault="00B66DF4" w:rsidP="0066301C">
            <w:pPr>
              <w:autoSpaceDE w:val="0"/>
              <w:autoSpaceDN w:val="0"/>
              <w:adjustRightInd w:val="0"/>
              <w:jc w:val="center"/>
              <w:rPr>
                <w:rFonts w:ascii="Arial" w:hAnsi="Arial" w:cs="Arial"/>
                <w:color w:val="000000"/>
              </w:rPr>
            </w:pPr>
            <w:r w:rsidRPr="00E95ADC">
              <w:rPr>
                <w:rFonts w:ascii="Arial" w:hAnsi="Arial" w:cs="Arial"/>
                <w:color w:val="000000"/>
              </w:rPr>
              <w:t> 0.0971</w:t>
            </w:r>
          </w:p>
        </w:tc>
      </w:tr>
      <w:tr w:rsidR="00B66DF4" w:rsidRPr="00E95ADC" w14:paraId="454DF3D5" w14:textId="77777777" w:rsidTr="004D74AB">
        <w:trPr>
          <w:trHeight w:val="205"/>
        </w:trPr>
        <w:tc>
          <w:tcPr>
            <w:tcW w:w="1401" w:type="dxa"/>
          </w:tcPr>
          <w:p w14:paraId="7EF51D69" w14:textId="77777777" w:rsidR="00B66DF4" w:rsidRPr="00E95ADC" w:rsidRDefault="00B66DF4" w:rsidP="0066301C">
            <w:pPr>
              <w:jc w:val="both"/>
              <w:rPr>
                <w:rFonts w:ascii="Arial" w:hAnsi="Arial" w:cs="Arial"/>
              </w:rPr>
            </w:pPr>
            <w:r w:rsidRPr="00E95ADC">
              <w:rPr>
                <w:rFonts w:ascii="Arial" w:hAnsi="Arial" w:cs="Arial"/>
              </w:rPr>
              <w:t>At most 1</w:t>
            </w:r>
          </w:p>
        </w:tc>
        <w:tc>
          <w:tcPr>
            <w:tcW w:w="1176" w:type="dxa"/>
            <w:tcBorders>
              <w:top w:val="single" w:sz="4" w:space="0" w:color="auto"/>
              <w:left w:val="nil"/>
              <w:bottom w:val="single" w:sz="4" w:space="0" w:color="auto"/>
              <w:right w:val="single" w:sz="4" w:space="0" w:color="auto"/>
            </w:tcBorders>
            <w:vAlign w:val="bottom"/>
          </w:tcPr>
          <w:p w14:paraId="1C7636F7" w14:textId="77777777" w:rsidR="00B66DF4" w:rsidRPr="00E95ADC" w:rsidRDefault="00B66DF4" w:rsidP="0066301C">
            <w:pPr>
              <w:autoSpaceDE w:val="0"/>
              <w:autoSpaceDN w:val="0"/>
              <w:adjustRightInd w:val="0"/>
              <w:jc w:val="center"/>
              <w:rPr>
                <w:rFonts w:ascii="Arial" w:hAnsi="Arial" w:cs="Arial"/>
                <w:color w:val="000000"/>
              </w:rPr>
            </w:pPr>
            <w:r w:rsidRPr="00E95ADC">
              <w:rPr>
                <w:rFonts w:ascii="Arial" w:hAnsi="Arial" w:cs="Arial"/>
                <w:color w:val="000000"/>
              </w:rPr>
              <w:t> 0.520662</w:t>
            </w:r>
          </w:p>
        </w:tc>
        <w:tc>
          <w:tcPr>
            <w:tcW w:w="1176" w:type="dxa"/>
            <w:tcBorders>
              <w:top w:val="single" w:sz="4" w:space="0" w:color="auto"/>
              <w:left w:val="single" w:sz="4" w:space="0" w:color="auto"/>
              <w:bottom w:val="single" w:sz="4" w:space="0" w:color="auto"/>
              <w:right w:val="single" w:sz="4" w:space="0" w:color="auto"/>
            </w:tcBorders>
            <w:vAlign w:val="bottom"/>
          </w:tcPr>
          <w:p w14:paraId="7E2751E8" w14:textId="77777777" w:rsidR="00B66DF4" w:rsidRPr="00E95ADC" w:rsidRDefault="00B66DF4" w:rsidP="0066301C">
            <w:pPr>
              <w:autoSpaceDE w:val="0"/>
              <w:autoSpaceDN w:val="0"/>
              <w:adjustRightInd w:val="0"/>
              <w:jc w:val="center"/>
              <w:rPr>
                <w:rFonts w:ascii="Arial" w:hAnsi="Arial" w:cs="Arial"/>
                <w:color w:val="000000"/>
              </w:rPr>
            </w:pPr>
            <w:r w:rsidRPr="00E95ADC">
              <w:rPr>
                <w:rFonts w:ascii="Arial" w:hAnsi="Arial" w:cs="Arial"/>
                <w:color w:val="000000"/>
              </w:rPr>
              <w:t> 65.35126</w:t>
            </w:r>
          </w:p>
        </w:tc>
        <w:tc>
          <w:tcPr>
            <w:tcW w:w="1298" w:type="dxa"/>
            <w:tcBorders>
              <w:top w:val="single" w:sz="4" w:space="0" w:color="auto"/>
              <w:left w:val="single" w:sz="4" w:space="0" w:color="auto"/>
              <w:bottom w:val="single" w:sz="4" w:space="0" w:color="auto"/>
              <w:right w:val="single" w:sz="4" w:space="0" w:color="auto"/>
            </w:tcBorders>
            <w:vAlign w:val="bottom"/>
          </w:tcPr>
          <w:p w14:paraId="457E299E" w14:textId="77777777" w:rsidR="00B66DF4" w:rsidRPr="00E95ADC" w:rsidRDefault="00B66DF4" w:rsidP="0066301C">
            <w:pPr>
              <w:autoSpaceDE w:val="0"/>
              <w:autoSpaceDN w:val="0"/>
              <w:adjustRightInd w:val="0"/>
              <w:jc w:val="center"/>
              <w:rPr>
                <w:rFonts w:ascii="Arial" w:hAnsi="Arial" w:cs="Arial"/>
                <w:color w:val="000000"/>
              </w:rPr>
            </w:pPr>
            <w:r w:rsidRPr="00E95ADC">
              <w:rPr>
                <w:rFonts w:ascii="Arial" w:hAnsi="Arial" w:cs="Arial"/>
                <w:color w:val="000000"/>
              </w:rPr>
              <w:t> 69.81889</w:t>
            </w:r>
          </w:p>
        </w:tc>
        <w:tc>
          <w:tcPr>
            <w:tcW w:w="1355" w:type="dxa"/>
            <w:tcBorders>
              <w:top w:val="single" w:sz="4" w:space="0" w:color="auto"/>
              <w:left w:val="single" w:sz="4" w:space="0" w:color="auto"/>
              <w:bottom w:val="single" w:sz="4" w:space="0" w:color="auto"/>
              <w:right w:val="single" w:sz="4" w:space="0" w:color="auto"/>
            </w:tcBorders>
            <w:vAlign w:val="bottom"/>
          </w:tcPr>
          <w:p w14:paraId="140F6173" w14:textId="77777777" w:rsidR="00B66DF4" w:rsidRPr="00E95ADC" w:rsidRDefault="00B66DF4" w:rsidP="0066301C">
            <w:pPr>
              <w:autoSpaceDE w:val="0"/>
              <w:autoSpaceDN w:val="0"/>
              <w:adjustRightInd w:val="0"/>
              <w:jc w:val="center"/>
              <w:rPr>
                <w:rFonts w:ascii="Arial" w:hAnsi="Arial" w:cs="Arial"/>
                <w:color w:val="000000"/>
              </w:rPr>
            </w:pPr>
            <w:r w:rsidRPr="00E95ADC">
              <w:rPr>
                <w:rFonts w:ascii="Arial" w:hAnsi="Arial" w:cs="Arial"/>
                <w:color w:val="000000"/>
              </w:rPr>
              <w:t> 0.1079</w:t>
            </w:r>
          </w:p>
        </w:tc>
        <w:tc>
          <w:tcPr>
            <w:tcW w:w="1592" w:type="dxa"/>
            <w:tcBorders>
              <w:top w:val="single" w:sz="4" w:space="0" w:color="auto"/>
              <w:left w:val="single" w:sz="4" w:space="0" w:color="auto"/>
              <w:bottom w:val="single" w:sz="4" w:space="0" w:color="auto"/>
              <w:right w:val="single" w:sz="4" w:space="0" w:color="auto"/>
            </w:tcBorders>
            <w:vAlign w:val="bottom"/>
          </w:tcPr>
          <w:p w14:paraId="2D1A4475" w14:textId="77777777" w:rsidR="00B66DF4" w:rsidRPr="00E95ADC" w:rsidRDefault="00B66DF4" w:rsidP="0066301C">
            <w:pPr>
              <w:jc w:val="both"/>
              <w:rPr>
                <w:rFonts w:ascii="Arial" w:hAnsi="Arial" w:cs="Arial"/>
              </w:rPr>
            </w:pPr>
            <w:r w:rsidRPr="00E95ADC">
              <w:rPr>
                <w:rFonts w:ascii="Arial" w:hAnsi="Arial" w:cs="Arial"/>
              </w:rPr>
              <w:t>At most 1</w:t>
            </w:r>
          </w:p>
        </w:tc>
        <w:tc>
          <w:tcPr>
            <w:tcW w:w="1441" w:type="dxa"/>
            <w:tcBorders>
              <w:top w:val="single" w:sz="4" w:space="0" w:color="auto"/>
              <w:left w:val="single" w:sz="4" w:space="0" w:color="auto"/>
              <w:bottom w:val="single" w:sz="4" w:space="0" w:color="auto"/>
              <w:right w:val="single" w:sz="4" w:space="0" w:color="auto"/>
            </w:tcBorders>
            <w:vAlign w:val="bottom"/>
          </w:tcPr>
          <w:p w14:paraId="63C10183" w14:textId="77777777" w:rsidR="00B66DF4" w:rsidRPr="00E95ADC" w:rsidRDefault="00B66DF4" w:rsidP="0066301C">
            <w:pPr>
              <w:autoSpaceDE w:val="0"/>
              <w:autoSpaceDN w:val="0"/>
              <w:adjustRightInd w:val="0"/>
              <w:jc w:val="center"/>
              <w:rPr>
                <w:rFonts w:ascii="Arial" w:hAnsi="Arial" w:cs="Arial"/>
                <w:color w:val="000000"/>
              </w:rPr>
            </w:pPr>
            <w:r w:rsidRPr="00E95ADC">
              <w:rPr>
                <w:rFonts w:ascii="Arial" w:hAnsi="Arial" w:cs="Arial"/>
                <w:color w:val="000000"/>
              </w:rPr>
              <w:t> 0.520662</w:t>
            </w:r>
          </w:p>
        </w:tc>
        <w:tc>
          <w:tcPr>
            <w:tcW w:w="1441" w:type="dxa"/>
            <w:tcBorders>
              <w:top w:val="single" w:sz="4" w:space="0" w:color="auto"/>
              <w:left w:val="single" w:sz="4" w:space="0" w:color="auto"/>
              <w:bottom w:val="single" w:sz="4" w:space="0" w:color="auto"/>
              <w:right w:val="single" w:sz="4" w:space="0" w:color="auto"/>
            </w:tcBorders>
            <w:vAlign w:val="bottom"/>
          </w:tcPr>
          <w:p w14:paraId="7E63E397" w14:textId="77777777" w:rsidR="00B66DF4" w:rsidRPr="00E95ADC" w:rsidRDefault="00B66DF4" w:rsidP="0066301C">
            <w:pPr>
              <w:autoSpaceDE w:val="0"/>
              <w:autoSpaceDN w:val="0"/>
              <w:adjustRightInd w:val="0"/>
              <w:jc w:val="center"/>
              <w:rPr>
                <w:rFonts w:ascii="Arial" w:hAnsi="Arial" w:cs="Arial"/>
                <w:color w:val="000000"/>
              </w:rPr>
            </w:pPr>
            <w:r w:rsidRPr="00E95ADC">
              <w:rPr>
                <w:rFonts w:ascii="Arial" w:hAnsi="Arial" w:cs="Arial"/>
                <w:color w:val="000000"/>
              </w:rPr>
              <w:t> 27.20790</w:t>
            </w:r>
          </w:p>
        </w:tc>
        <w:tc>
          <w:tcPr>
            <w:tcW w:w="1441" w:type="dxa"/>
            <w:tcBorders>
              <w:top w:val="single" w:sz="4" w:space="0" w:color="auto"/>
              <w:left w:val="single" w:sz="4" w:space="0" w:color="auto"/>
              <w:bottom w:val="single" w:sz="4" w:space="0" w:color="auto"/>
              <w:right w:val="single" w:sz="4" w:space="0" w:color="auto"/>
            </w:tcBorders>
            <w:vAlign w:val="bottom"/>
          </w:tcPr>
          <w:p w14:paraId="591F125D" w14:textId="77777777" w:rsidR="00B66DF4" w:rsidRPr="00E95ADC" w:rsidRDefault="00B66DF4" w:rsidP="0066301C">
            <w:pPr>
              <w:autoSpaceDE w:val="0"/>
              <w:autoSpaceDN w:val="0"/>
              <w:adjustRightInd w:val="0"/>
              <w:jc w:val="center"/>
              <w:rPr>
                <w:rFonts w:ascii="Arial" w:hAnsi="Arial" w:cs="Arial"/>
                <w:color w:val="000000"/>
              </w:rPr>
            </w:pPr>
            <w:r w:rsidRPr="00E95ADC">
              <w:rPr>
                <w:rFonts w:ascii="Arial" w:hAnsi="Arial" w:cs="Arial"/>
                <w:color w:val="000000"/>
              </w:rPr>
              <w:t> 33.87687</w:t>
            </w:r>
          </w:p>
        </w:tc>
        <w:tc>
          <w:tcPr>
            <w:tcW w:w="1437" w:type="dxa"/>
            <w:tcBorders>
              <w:top w:val="single" w:sz="4" w:space="0" w:color="auto"/>
              <w:left w:val="single" w:sz="4" w:space="0" w:color="auto"/>
              <w:bottom w:val="single" w:sz="4" w:space="0" w:color="auto"/>
              <w:right w:val="single" w:sz="4" w:space="0" w:color="auto"/>
            </w:tcBorders>
            <w:vAlign w:val="bottom"/>
          </w:tcPr>
          <w:p w14:paraId="18105307" w14:textId="77777777" w:rsidR="00B66DF4" w:rsidRPr="00E95ADC" w:rsidRDefault="00B66DF4" w:rsidP="0066301C">
            <w:pPr>
              <w:autoSpaceDE w:val="0"/>
              <w:autoSpaceDN w:val="0"/>
              <w:adjustRightInd w:val="0"/>
              <w:jc w:val="center"/>
              <w:rPr>
                <w:rFonts w:ascii="Arial" w:hAnsi="Arial" w:cs="Arial"/>
                <w:color w:val="000000"/>
              </w:rPr>
            </w:pPr>
            <w:r w:rsidRPr="00E95ADC">
              <w:rPr>
                <w:rFonts w:ascii="Arial" w:hAnsi="Arial" w:cs="Arial"/>
                <w:color w:val="000000"/>
              </w:rPr>
              <w:t> 0.2524</w:t>
            </w:r>
          </w:p>
        </w:tc>
      </w:tr>
      <w:tr w:rsidR="00B66DF4" w:rsidRPr="00E95ADC" w14:paraId="183E6746" w14:textId="77777777" w:rsidTr="004D74AB">
        <w:tc>
          <w:tcPr>
            <w:tcW w:w="1401" w:type="dxa"/>
          </w:tcPr>
          <w:p w14:paraId="5A90065F" w14:textId="77777777" w:rsidR="00B66DF4" w:rsidRPr="00E95ADC" w:rsidRDefault="00B66DF4" w:rsidP="0066301C">
            <w:pPr>
              <w:jc w:val="both"/>
              <w:rPr>
                <w:rFonts w:ascii="Arial" w:hAnsi="Arial" w:cs="Arial"/>
              </w:rPr>
            </w:pPr>
            <w:r w:rsidRPr="00E95ADC">
              <w:rPr>
                <w:rFonts w:ascii="Arial" w:hAnsi="Arial" w:cs="Arial"/>
              </w:rPr>
              <w:t>At most 2</w:t>
            </w:r>
          </w:p>
        </w:tc>
        <w:tc>
          <w:tcPr>
            <w:tcW w:w="1176" w:type="dxa"/>
            <w:tcBorders>
              <w:top w:val="single" w:sz="4" w:space="0" w:color="auto"/>
              <w:left w:val="nil"/>
              <w:bottom w:val="single" w:sz="4" w:space="0" w:color="auto"/>
              <w:right w:val="single" w:sz="4" w:space="0" w:color="auto"/>
            </w:tcBorders>
            <w:vAlign w:val="bottom"/>
          </w:tcPr>
          <w:p w14:paraId="62515C1A" w14:textId="77777777" w:rsidR="00B66DF4" w:rsidRPr="00E95ADC" w:rsidRDefault="00B66DF4" w:rsidP="0066301C">
            <w:pPr>
              <w:autoSpaceDE w:val="0"/>
              <w:autoSpaceDN w:val="0"/>
              <w:adjustRightInd w:val="0"/>
              <w:jc w:val="center"/>
              <w:rPr>
                <w:rFonts w:ascii="Arial" w:hAnsi="Arial" w:cs="Arial"/>
                <w:color w:val="000000"/>
              </w:rPr>
            </w:pPr>
            <w:r w:rsidRPr="00E95ADC">
              <w:rPr>
                <w:rFonts w:ascii="Arial" w:hAnsi="Arial" w:cs="Arial"/>
                <w:color w:val="000000"/>
              </w:rPr>
              <w:t> 0.352980</w:t>
            </w:r>
          </w:p>
        </w:tc>
        <w:tc>
          <w:tcPr>
            <w:tcW w:w="1176" w:type="dxa"/>
            <w:tcBorders>
              <w:top w:val="single" w:sz="4" w:space="0" w:color="auto"/>
              <w:left w:val="single" w:sz="4" w:space="0" w:color="auto"/>
              <w:bottom w:val="single" w:sz="4" w:space="0" w:color="auto"/>
              <w:right w:val="single" w:sz="4" w:space="0" w:color="auto"/>
            </w:tcBorders>
            <w:vAlign w:val="bottom"/>
          </w:tcPr>
          <w:p w14:paraId="6647395E" w14:textId="77777777" w:rsidR="00B66DF4" w:rsidRPr="00E95ADC" w:rsidRDefault="00B66DF4" w:rsidP="0066301C">
            <w:pPr>
              <w:autoSpaceDE w:val="0"/>
              <w:autoSpaceDN w:val="0"/>
              <w:adjustRightInd w:val="0"/>
              <w:jc w:val="center"/>
              <w:rPr>
                <w:rFonts w:ascii="Arial" w:hAnsi="Arial" w:cs="Arial"/>
                <w:color w:val="000000"/>
              </w:rPr>
            </w:pPr>
            <w:r w:rsidRPr="00E95ADC">
              <w:rPr>
                <w:rFonts w:ascii="Arial" w:hAnsi="Arial" w:cs="Arial"/>
                <w:color w:val="000000"/>
              </w:rPr>
              <w:t> 38.14336</w:t>
            </w:r>
          </w:p>
        </w:tc>
        <w:tc>
          <w:tcPr>
            <w:tcW w:w="1298" w:type="dxa"/>
            <w:tcBorders>
              <w:top w:val="single" w:sz="4" w:space="0" w:color="auto"/>
              <w:left w:val="single" w:sz="4" w:space="0" w:color="auto"/>
              <w:bottom w:val="single" w:sz="4" w:space="0" w:color="auto"/>
              <w:right w:val="single" w:sz="4" w:space="0" w:color="auto"/>
            </w:tcBorders>
            <w:vAlign w:val="bottom"/>
          </w:tcPr>
          <w:p w14:paraId="5570C8E1" w14:textId="77777777" w:rsidR="00B66DF4" w:rsidRPr="00E95ADC" w:rsidRDefault="00B66DF4" w:rsidP="0066301C">
            <w:pPr>
              <w:autoSpaceDE w:val="0"/>
              <w:autoSpaceDN w:val="0"/>
              <w:adjustRightInd w:val="0"/>
              <w:jc w:val="center"/>
              <w:rPr>
                <w:rFonts w:ascii="Arial" w:hAnsi="Arial" w:cs="Arial"/>
                <w:color w:val="000000"/>
              </w:rPr>
            </w:pPr>
            <w:r w:rsidRPr="00E95ADC">
              <w:rPr>
                <w:rFonts w:ascii="Arial" w:hAnsi="Arial" w:cs="Arial"/>
                <w:color w:val="000000"/>
              </w:rPr>
              <w:t> 47.85613</w:t>
            </w:r>
          </w:p>
        </w:tc>
        <w:tc>
          <w:tcPr>
            <w:tcW w:w="1355" w:type="dxa"/>
            <w:tcBorders>
              <w:top w:val="single" w:sz="4" w:space="0" w:color="auto"/>
              <w:left w:val="single" w:sz="4" w:space="0" w:color="auto"/>
              <w:bottom w:val="single" w:sz="4" w:space="0" w:color="auto"/>
              <w:right w:val="single" w:sz="4" w:space="0" w:color="auto"/>
            </w:tcBorders>
            <w:vAlign w:val="bottom"/>
          </w:tcPr>
          <w:p w14:paraId="62D731A2" w14:textId="77777777" w:rsidR="00B66DF4" w:rsidRPr="00E95ADC" w:rsidRDefault="00B66DF4" w:rsidP="0066301C">
            <w:pPr>
              <w:autoSpaceDE w:val="0"/>
              <w:autoSpaceDN w:val="0"/>
              <w:adjustRightInd w:val="0"/>
              <w:jc w:val="center"/>
              <w:rPr>
                <w:rFonts w:ascii="Arial" w:hAnsi="Arial" w:cs="Arial"/>
                <w:color w:val="000000"/>
              </w:rPr>
            </w:pPr>
            <w:r w:rsidRPr="00E95ADC">
              <w:rPr>
                <w:rFonts w:ascii="Arial" w:hAnsi="Arial" w:cs="Arial"/>
                <w:color w:val="000000"/>
              </w:rPr>
              <w:t> 0.2958</w:t>
            </w:r>
          </w:p>
        </w:tc>
        <w:tc>
          <w:tcPr>
            <w:tcW w:w="1592" w:type="dxa"/>
            <w:tcBorders>
              <w:top w:val="single" w:sz="4" w:space="0" w:color="auto"/>
              <w:left w:val="single" w:sz="4" w:space="0" w:color="auto"/>
              <w:bottom w:val="single" w:sz="4" w:space="0" w:color="auto"/>
              <w:right w:val="single" w:sz="4" w:space="0" w:color="auto"/>
            </w:tcBorders>
          </w:tcPr>
          <w:p w14:paraId="74980225" w14:textId="77777777" w:rsidR="00B66DF4" w:rsidRPr="00E95ADC" w:rsidRDefault="00B66DF4" w:rsidP="0066301C">
            <w:pPr>
              <w:jc w:val="both"/>
              <w:rPr>
                <w:rFonts w:ascii="Arial" w:hAnsi="Arial" w:cs="Arial"/>
              </w:rPr>
            </w:pPr>
            <w:r w:rsidRPr="00E95ADC">
              <w:rPr>
                <w:rFonts w:ascii="Arial" w:hAnsi="Arial" w:cs="Arial"/>
              </w:rPr>
              <w:t>At most 2</w:t>
            </w:r>
          </w:p>
        </w:tc>
        <w:tc>
          <w:tcPr>
            <w:tcW w:w="1441" w:type="dxa"/>
            <w:tcBorders>
              <w:top w:val="single" w:sz="4" w:space="0" w:color="auto"/>
              <w:left w:val="single" w:sz="4" w:space="0" w:color="auto"/>
              <w:bottom w:val="single" w:sz="4" w:space="0" w:color="auto"/>
              <w:right w:val="single" w:sz="4" w:space="0" w:color="auto"/>
            </w:tcBorders>
            <w:vAlign w:val="bottom"/>
          </w:tcPr>
          <w:p w14:paraId="06972DAC" w14:textId="77777777" w:rsidR="00B66DF4" w:rsidRPr="00E95ADC" w:rsidRDefault="00B66DF4" w:rsidP="0066301C">
            <w:pPr>
              <w:autoSpaceDE w:val="0"/>
              <w:autoSpaceDN w:val="0"/>
              <w:adjustRightInd w:val="0"/>
              <w:jc w:val="center"/>
              <w:rPr>
                <w:rFonts w:ascii="Arial" w:hAnsi="Arial" w:cs="Arial"/>
                <w:color w:val="000000"/>
              </w:rPr>
            </w:pPr>
            <w:r w:rsidRPr="00E95ADC">
              <w:rPr>
                <w:rFonts w:ascii="Arial" w:hAnsi="Arial" w:cs="Arial"/>
                <w:color w:val="000000"/>
              </w:rPr>
              <w:t> 0.352980</w:t>
            </w:r>
          </w:p>
        </w:tc>
        <w:tc>
          <w:tcPr>
            <w:tcW w:w="1441" w:type="dxa"/>
            <w:tcBorders>
              <w:top w:val="single" w:sz="4" w:space="0" w:color="auto"/>
              <w:left w:val="single" w:sz="4" w:space="0" w:color="auto"/>
              <w:bottom w:val="single" w:sz="4" w:space="0" w:color="auto"/>
              <w:right w:val="single" w:sz="4" w:space="0" w:color="auto"/>
            </w:tcBorders>
            <w:vAlign w:val="bottom"/>
          </w:tcPr>
          <w:p w14:paraId="70BFC612" w14:textId="77777777" w:rsidR="00B66DF4" w:rsidRPr="00E95ADC" w:rsidRDefault="00B66DF4" w:rsidP="0066301C">
            <w:pPr>
              <w:autoSpaceDE w:val="0"/>
              <w:autoSpaceDN w:val="0"/>
              <w:adjustRightInd w:val="0"/>
              <w:jc w:val="center"/>
              <w:rPr>
                <w:rFonts w:ascii="Arial" w:hAnsi="Arial" w:cs="Arial"/>
                <w:color w:val="000000"/>
              </w:rPr>
            </w:pPr>
            <w:r w:rsidRPr="00E95ADC">
              <w:rPr>
                <w:rFonts w:ascii="Arial" w:hAnsi="Arial" w:cs="Arial"/>
                <w:color w:val="000000"/>
              </w:rPr>
              <w:t> 16.10902</w:t>
            </w:r>
          </w:p>
        </w:tc>
        <w:tc>
          <w:tcPr>
            <w:tcW w:w="1441" w:type="dxa"/>
            <w:tcBorders>
              <w:top w:val="single" w:sz="4" w:space="0" w:color="auto"/>
              <w:left w:val="single" w:sz="4" w:space="0" w:color="auto"/>
              <w:bottom w:val="single" w:sz="4" w:space="0" w:color="auto"/>
              <w:right w:val="single" w:sz="4" w:space="0" w:color="auto"/>
            </w:tcBorders>
            <w:vAlign w:val="bottom"/>
          </w:tcPr>
          <w:p w14:paraId="081E8F49" w14:textId="77777777" w:rsidR="00B66DF4" w:rsidRPr="00E95ADC" w:rsidRDefault="00B66DF4" w:rsidP="0066301C">
            <w:pPr>
              <w:autoSpaceDE w:val="0"/>
              <w:autoSpaceDN w:val="0"/>
              <w:adjustRightInd w:val="0"/>
              <w:jc w:val="center"/>
              <w:rPr>
                <w:rFonts w:ascii="Arial" w:hAnsi="Arial" w:cs="Arial"/>
                <w:color w:val="000000"/>
              </w:rPr>
            </w:pPr>
            <w:r w:rsidRPr="00E95ADC">
              <w:rPr>
                <w:rFonts w:ascii="Arial" w:hAnsi="Arial" w:cs="Arial"/>
                <w:color w:val="000000"/>
              </w:rPr>
              <w:t> 27.58434</w:t>
            </w:r>
          </w:p>
        </w:tc>
        <w:tc>
          <w:tcPr>
            <w:tcW w:w="1437" w:type="dxa"/>
            <w:tcBorders>
              <w:top w:val="single" w:sz="4" w:space="0" w:color="auto"/>
              <w:left w:val="single" w:sz="4" w:space="0" w:color="auto"/>
              <w:bottom w:val="single" w:sz="4" w:space="0" w:color="auto"/>
              <w:right w:val="single" w:sz="4" w:space="0" w:color="auto"/>
            </w:tcBorders>
            <w:vAlign w:val="bottom"/>
          </w:tcPr>
          <w:p w14:paraId="176BA8FB" w14:textId="77777777" w:rsidR="00B66DF4" w:rsidRPr="00E95ADC" w:rsidRDefault="00B66DF4" w:rsidP="0066301C">
            <w:pPr>
              <w:autoSpaceDE w:val="0"/>
              <w:autoSpaceDN w:val="0"/>
              <w:adjustRightInd w:val="0"/>
              <w:jc w:val="center"/>
              <w:rPr>
                <w:rFonts w:ascii="Arial" w:hAnsi="Arial" w:cs="Arial"/>
                <w:color w:val="000000"/>
              </w:rPr>
            </w:pPr>
            <w:r w:rsidRPr="00E95ADC">
              <w:rPr>
                <w:rFonts w:ascii="Arial" w:hAnsi="Arial" w:cs="Arial"/>
                <w:color w:val="000000"/>
              </w:rPr>
              <w:t> 0.6565</w:t>
            </w:r>
          </w:p>
        </w:tc>
      </w:tr>
      <w:tr w:rsidR="00B66DF4" w:rsidRPr="00E95ADC" w14:paraId="73CF4FA4" w14:textId="77777777" w:rsidTr="004D74AB">
        <w:tc>
          <w:tcPr>
            <w:tcW w:w="1401" w:type="dxa"/>
            <w:tcBorders>
              <w:bottom w:val="single" w:sz="4" w:space="0" w:color="auto"/>
            </w:tcBorders>
          </w:tcPr>
          <w:p w14:paraId="2D0CA3D9" w14:textId="77777777" w:rsidR="00B66DF4" w:rsidRPr="00E95ADC" w:rsidRDefault="00B66DF4" w:rsidP="0066301C">
            <w:pPr>
              <w:jc w:val="both"/>
              <w:rPr>
                <w:rFonts w:ascii="Arial" w:hAnsi="Arial" w:cs="Arial"/>
              </w:rPr>
            </w:pPr>
            <w:r w:rsidRPr="00E95ADC">
              <w:rPr>
                <w:rFonts w:ascii="Arial" w:hAnsi="Arial" w:cs="Arial"/>
              </w:rPr>
              <w:t>At most 3</w:t>
            </w:r>
          </w:p>
        </w:tc>
        <w:tc>
          <w:tcPr>
            <w:tcW w:w="1176" w:type="dxa"/>
            <w:tcBorders>
              <w:top w:val="single" w:sz="4" w:space="0" w:color="auto"/>
              <w:left w:val="nil"/>
              <w:bottom w:val="single" w:sz="4" w:space="0" w:color="auto"/>
              <w:right w:val="single" w:sz="4" w:space="0" w:color="auto"/>
            </w:tcBorders>
            <w:vAlign w:val="bottom"/>
          </w:tcPr>
          <w:p w14:paraId="58F6973E" w14:textId="77777777" w:rsidR="00B66DF4" w:rsidRPr="00E95ADC" w:rsidRDefault="00B66DF4" w:rsidP="0066301C">
            <w:pPr>
              <w:autoSpaceDE w:val="0"/>
              <w:autoSpaceDN w:val="0"/>
              <w:adjustRightInd w:val="0"/>
              <w:jc w:val="center"/>
              <w:rPr>
                <w:rFonts w:ascii="Arial" w:hAnsi="Arial" w:cs="Arial"/>
                <w:color w:val="000000"/>
              </w:rPr>
            </w:pPr>
            <w:r w:rsidRPr="00E95ADC">
              <w:rPr>
                <w:rFonts w:ascii="Arial" w:hAnsi="Arial" w:cs="Arial"/>
                <w:color w:val="000000"/>
              </w:rPr>
              <w:t> 0.294898</w:t>
            </w:r>
          </w:p>
        </w:tc>
        <w:tc>
          <w:tcPr>
            <w:tcW w:w="1176" w:type="dxa"/>
            <w:tcBorders>
              <w:top w:val="single" w:sz="4" w:space="0" w:color="auto"/>
              <w:left w:val="single" w:sz="4" w:space="0" w:color="auto"/>
              <w:bottom w:val="single" w:sz="4" w:space="0" w:color="auto"/>
              <w:right w:val="single" w:sz="4" w:space="0" w:color="auto"/>
            </w:tcBorders>
            <w:vAlign w:val="bottom"/>
          </w:tcPr>
          <w:p w14:paraId="07151672" w14:textId="77777777" w:rsidR="00B66DF4" w:rsidRPr="00E95ADC" w:rsidRDefault="00B66DF4" w:rsidP="0066301C">
            <w:pPr>
              <w:autoSpaceDE w:val="0"/>
              <w:autoSpaceDN w:val="0"/>
              <w:adjustRightInd w:val="0"/>
              <w:jc w:val="center"/>
              <w:rPr>
                <w:rFonts w:ascii="Arial" w:hAnsi="Arial" w:cs="Arial"/>
                <w:color w:val="000000"/>
              </w:rPr>
            </w:pPr>
            <w:r w:rsidRPr="00E95ADC">
              <w:rPr>
                <w:rFonts w:ascii="Arial" w:hAnsi="Arial" w:cs="Arial"/>
                <w:color w:val="000000"/>
              </w:rPr>
              <w:t> 22.03434</w:t>
            </w:r>
          </w:p>
        </w:tc>
        <w:tc>
          <w:tcPr>
            <w:tcW w:w="1298" w:type="dxa"/>
            <w:tcBorders>
              <w:top w:val="single" w:sz="4" w:space="0" w:color="auto"/>
              <w:left w:val="single" w:sz="4" w:space="0" w:color="auto"/>
              <w:bottom w:val="single" w:sz="4" w:space="0" w:color="auto"/>
              <w:right w:val="single" w:sz="4" w:space="0" w:color="auto"/>
            </w:tcBorders>
            <w:vAlign w:val="bottom"/>
          </w:tcPr>
          <w:p w14:paraId="4F0ABCA0" w14:textId="77777777" w:rsidR="00B66DF4" w:rsidRPr="00E95ADC" w:rsidRDefault="00B66DF4" w:rsidP="0066301C">
            <w:pPr>
              <w:autoSpaceDE w:val="0"/>
              <w:autoSpaceDN w:val="0"/>
              <w:adjustRightInd w:val="0"/>
              <w:jc w:val="center"/>
              <w:rPr>
                <w:rFonts w:ascii="Arial" w:hAnsi="Arial" w:cs="Arial"/>
                <w:color w:val="000000"/>
              </w:rPr>
            </w:pPr>
            <w:r w:rsidRPr="00E95ADC">
              <w:rPr>
                <w:rFonts w:ascii="Arial" w:hAnsi="Arial" w:cs="Arial"/>
                <w:color w:val="000000"/>
              </w:rPr>
              <w:t> 29.79707</w:t>
            </w:r>
          </w:p>
        </w:tc>
        <w:tc>
          <w:tcPr>
            <w:tcW w:w="1355" w:type="dxa"/>
            <w:tcBorders>
              <w:top w:val="single" w:sz="4" w:space="0" w:color="auto"/>
              <w:left w:val="single" w:sz="4" w:space="0" w:color="auto"/>
              <w:bottom w:val="single" w:sz="4" w:space="0" w:color="auto"/>
              <w:right w:val="single" w:sz="4" w:space="0" w:color="auto"/>
            </w:tcBorders>
            <w:vAlign w:val="bottom"/>
          </w:tcPr>
          <w:p w14:paraId="69F31C37" w14:textId="77777777" w:rsidR="00B66DF4" w:rsidRPr="00E95ADC" w:rsidRDefault="00B66DF4" w:rsidP="0066301C">
            <w:pPr>
              <w:autoSpaceDE w:val="0"/>
              <w:autoSpaceDN w:val="0"/>
              <w:adjustRightInd w:val="0"/>
              <w:jc w:val="center"/>
              <w:rPr>
                <w:rFonts w:ascii="Arial" w:hAnsi="Arial" w:cs="Arial"/>
                <w:color w:val="000000"/>
              </w:rPr>
            </w:pPr>
            <w:r w:rsidRPr="00E95ADC">
              <w:rPr>
                <w:rFonts w:ascii="Arial" w:hAnsi="Arial" w:cs="Arial"/>
                <w:color w:val="000000"/>
              </w:rPr>
              <w:t> 0.2966</w:t>
            </w:r>
          </w:p>
        </w:tc>
        <w:tc>
          <w:tcPr>
            <w:tcW w:w="1592" w:type="dxa"/>
            <w:tcBorders>
              <w:top w:val="single" w:sz="4" w:space="0" w:color="auto"/>
              <w:left w:val="single" w:sz="4" w:space="0" w:color="auto"/>
              <w:bottom w:val="single" w:sz="4" w:space="0" w:color="auto"/>
              <w:right w:val="single" w:sz="4" w:space="0" w:color="auto"/>
            </w:tcBorders>
          </w:tcPr>
          <w:p w14:paraId="2E8E5EDF" w14:textId="77777777" w:rsidR="00B66DF4" w:rsidRPr="00E95ADC" w:rsidRDefault="00B66DF4" w:rsidP="0066301C">
            <w:pPr>
              <w:jc w:val="both"/>
              <w:rPr>
                <w:rFonts w:ascii="Arial" w:hAnsi="Arial" w:cs="Arial"/>
              </w:rPr>
            </w:pPr>
            <w:r w:rsidRPr="00E95ADC">
              <w:rPr>
                <w:rFonts w:ascii="Arial" w:hAnsi="Arial" w:cs="Arial"/>
              </w:rPr>
              <w:t>At most 3</w:t>
            </w:r>
          </w:p>
        </w:tc>
        <w:tc>
          <w:tcPr>
            <w:tcW w:w="1441" w:type="dxa"/>
            <w:tcBorders>
              <w:top w:val="single" w:sz="4" w:space="0" w:color="auto"/>
              <w:left w:val="single" w:sz="4" w:space="0" w:color="auto"/>
              <w:bottom w:val="single" w:sz="4" w:space="0" w:color="auto"/>
              <w:right w:val="single" w:sz="4" w:space="0" w:color="auto"/>
            </w:tcBorders>
            <w:vAlign w:val="bottom"/>
          </w:tcPr>
          <w:p w14:paraId="26DA5247" w14:textId="77777777" w:rsidR="00B66DF4" w:rsidRPr="00E95ADC" w:rsidRDefault="00B66DF4" w:rsidP="0066301C">
            <w:pPr>
              <w:autoSpaceDE w:val="0"/>
              <w:autoSpaceDN w:val="0"/>
              <w:adjustRightInd w:val="0"/>
              <w:jc w:val="center"/>
              <w:rPr>
                <w:rFonts w:ascii="Arial" w:hAnsi="Arial" w:cs="Arial"/>
                <w:color w:val="000000"/>
              </w:rPr>
            </w:pPr>
            <w:r w:rsidRPr="00E95ADC">
              <w:rPr>
                <w:rFonts w:ascii="Arial" w:hAnsi="Arial" w:cs="Arial"/>
                <w:color w:val="000000"/>
              </w:rPr>
              <w:t> 0.294898</w:t>
            </w:r>
          </w:p>
        </w:tc>
        <w:tc>
          <w:tcPr>
            <w:tcW w:w="1441" w:type="dxa"/>
            <w:tcBorders>
              <w:top w:val="single" w:sz="4" w:space="0" w:color="auto"/>
              <w:left w:val="single" w:sz="4" w:space="0" w:color="auto"/>
              <w:bottom w:val="single" w:sz="4" w:space="0" w:color="auto"/>
              <w:right w:val="single" w:sz="4" w:space="0" w:color="auto"/>
            </w:tcBorders>
            <w:vAlign w:val="bottom"/>
          </w:tcPr>
          <w:p w14:paraId="2093294A" w14:textId="77777777" w:rsidR="00B66DF4" w:rsidRPr="00E95ADC" w:rsidRDefault="00B66DF4" w:rsidP="0066301C">
            <w:pPr>
              <w:autoSpaceDE w:val="0"/>
              <w:autoSpaceDN w:val="0"/>
              <w:adjustRightInd w:val="0"/>
              <w:jc w:val="center"/>
              <w:rPr>
                <w:rFonts w:ascii="Arial" w:hAnsi="Arial" w:cs="Arial"/>
                <w:color w:val="000000"/>
              </w:rPr>
            </w:pPr>
            <w:r w:rsidRPr="00E95ADC">
              <w:rPr>
                <w:rFonts w:ascii="Arial" w:hAnsi="Arial" w:cs="Arial"/>
                <w:color w:val="000000"/>
              </w:rPr>
              <w:t> 12.92826</w:t>
            </w:r>
          </w:p>
        </w:tc>
        <w:tc>
          <w:tcPr>
            <w:tcW w:w="1441" w:type="dxa"/>
            <w:tcBorders>
              <w:top w:val="single" w:sz="4" w:space="0" w:color="auto"/>
              <w:left w:val="single" w:sz="4" w:space="0" w:color="auto"/>
              <w:bottom w:val="single" w:sz="4" w:space="0" w:color="auto"/>
              <w:right w:val="single" w:sz="4" w:space="0" w:color="auto"/>
            </w:tcBorders>
            <w:vAlign w:val="bottom"/>
          </w:tcPr>
          <w:p w14:paraId="48A3B7E6" w14:textId="77777777" w:rsidR="00B66DF4" w:rsidRPr="00E95ADC" w:rsidRDefault="00B66DF4" w:rsidP="0066301C">
            <w:pPr>
              <w:autoSpaceDE w:val="0"/>
              <w:autoSpaceDN w:val="0"/>
              <w:adjustRightInd w:val="0"/>
              <w:jc w:val="center"/>
              <w:rPr>
                <w:rFonts w:ascii="Arial" w:hAnsi="Arial" w:cs="Arial"/>
                <w:color w:val="000000"/>
              </w:rPr>
            </w:pPr>
            <w:r w:rsidRPr="00E95ADC">
              <w:rPr>
                <w:rFonts w:ascii="Arial" w:hAnsi="Arial" w:cs="Arial"/>
                <w:color w:val="000000"/>
              </w:rPr>
              <w:t> 21.13162</w:t>
            </w:r>
          </w:p>
        </w:tc>
        <w:tc>
          <w:tcPr>
            <w:tcW w:w="1437" w:type="dxa"/>
            <w:tcBorders>
              <w:top w:val="single" w:sz="4" w:space="0" w:color="auto"/>
              <w:left w:val="single" w:sz="4" w:space="0" w:color="auto"/>
              <w:bottom w:val="single" w:sz="4" w:space="0" w:color="auto"/>
              <w:right w:val="single" w:sz="4" w:space="0" w:color="auto"/>
            </w:tcBorders>
            <w:vAlign w:val="bottom"/>
          </w:tcPr>
          <w:p w14:paraId="4BD2DF5A" w14:textId="77777777" w:rsidR="00B66DF4" w:rsidRPr="00E95ADC" w:rsidRDefault="00B66DF4" w:rsidP="0066301C">
            <w:pPr>
              <w:autoSpaceDE w:val="0"/>
              <w:autoSpaceDN w:val="0"/>
              <w:adjustRightInd w:val="0"/>
              <w:jc w:val="center"/>
              <w:rPr>
                <w:rFonts w:ascii="Arial" w:hAnsi="Arial" w:cs="Arial"/>
                <w:color w:val="000000"/>
              </w:rPr>
            </w:pPr>
            <w:r w:rsidRPr="00E95ADC">
              <w:rPr>
                <w:rFonts w:ascii="Arial" w:hAnsi="Arial" w:cs="Arial"/>
                <w:color w:val="000000"/>
              </w:rPr>
              <w:t> 0.4588</w:t>
            </w:r>
          </w:p>
        </w:tc>
      </w:tr>
      <w:tr w:rsidR="00B66DF4" w:rsidRPr="00E95ADC" w14:paraId="38ED06D6" w14:textId="77777777" w:rsidTr="004D74AB">
        <w:tc>
          <w:tcPr>
            <w:tcW w:w="1401" w:type="dxa"/>
            <w:tcBorders>
              <w:bottom w:val="single" w:sz="4" w:space="0" w:color="auto"/>
            </w:tcBorders>
          </w:tcPr>
          <w:p w14:paraId="732F3F82" w14:textId="77777777" w:rsidR="00B66DF4" w:rsidRPr="00E95ADC" w:rsidRDefault="00B66DF4" w:rsidP="0066301C">
            <w:pPr>
              <w:jc w:val="both"/>
              <w:rPr>
                <w:rFonts w:ascii="Arial" w:hAnsi="Arial" w:cs="Arial"/>
              </w:rPr>
            </w:pPr>
            <w:r w:rsidRPr="00E95ADC">
              <w:rPr>
                <w:rFonts w:ascii="Arial" w:hAnsi="Arial" w:cs="Arial"/>
              </w:rPr>
              <w:t>At most 4</w:t>
            </w:r>
          </w:p>
        </w:tc>
        <w:tc>
          <w:tcPr>
            <w:tcW w:w="1176" w:type="dxa"/>
            <w:tcBorders>
              <w:top w:val="single" w:sz="4" w:space="0" w:color="auto"/>
              <w:left w:val="nil"/>
              <w:bottom w:val="single" w:sz="4" w:space="0" w:color="auto"/>
              <w:right w:val="single" w:sz="4" w:space="0" w:color="auto"/>
            </w:tcBorders>
            <w:vAlign w:val="bottom"/>
          </w:tcPr>
          <w:p w14:paraId="76A46505" w14:textId="77777777" w:rsidR="00B66DF4" w:rsidRPr="00E95ADC" w:rsidRDefault="00B66DF4" w:rsidP="0066301C">
            <w:pPr>
              <w:autoSpaceDE w:val="0"/>
              <w:autoSpaceDN w:val="0"/>
              <w:adjustRightInd w:val="0"/>
              <w:jc w:val="center"/>
              <w:rPr>
                <w:rFonts w:ascii="Arial" w:hAnsi="Arial" w:cs="Arial"/>
                <w:color w:val="000000"/>
              </w:rPr>
            </w:pPr>
            <w:r w:rsidRPr="00E95ADC">
              <w:rPr>
                <w:rFonts w:ascii="Arial" w:hAnsi="Arial" w:cs="Arial"/>
                <w:color w:val="000000"/>
              </w:rPr>
              <w:t> 0.217002</w:t>
            </w:r>
          </w:p>
        </w:tc>
        <w:tc>
          <w:tcPr>
            <w:tcW w:w="1176" w:type="dxa"/>
            <w:tcBorders>
              <w:top w:val="single" w:sz="4" w:space="0" w:color="auto"/>
              <w:left w:val="single" w:sz="4" w:space="0" w:color="auto"/>
              <w:bottom w:val="single" w:sz="4" w:space="0" w:color="auto"/>
              <w:right w:val="single" w:sz="4" w:space="0" w:color="auto"/>
            </w:tcBorders>
            <w:vAlign w:val="bottom"/>
          </w:tcPr>
          <w:p w14:paraId="1BC46854" w14:textId="77777777" w:rsidR="00B66DF4" w:rsidRPr="00E95ADC" w:rsidRDefault="00B66DF4" w:rsidP="0066301C">
            <w:pPr>
              <w:autoSpaceDE w:val="0"/>
              <w:autoSpaceDN w:val="0"/>
              <w:adjustRightInd w:val="0"/>
              <w:jc w:val="center"/>
              <w:rPr>
                <w:rFonts w:ascii="Arial" w:hAnsi="Arial" w:cs="Arial"/>
                <w:color w:val="000000"/>
              </w:rPr>
            </w:pPr>
            <w:r w:rsidRPr="00E95ADC">
              <w:rPr>
                <w:rFonts w:ascii="Arial" w:hAnsi="Arial" w:cs="Arial"/>
                <w:color w:val="000000"/>
              </w:rPr>
              <w:t> 9.106075</w:t>
            </w:r>
          </w:p>
        </w:tc>
        <w:tc>
          <w:tcPr>
            <w:tcW w:w="1298" w:type="dxa"/>
            <w:tcBorders>
              <w:top w:val="single" w:sz="4" w:space="0" w:color="auto"/>
              <w:left w:val="single" w:sz="4" w:space="0" w:color="auto"/>
              <w:bottom w:val="single" w:sz="4" w:space="0" w:color="auto"/>
              <w:right w:val="single" w:sz="4" w:space="0" w:color="auto"/>
            </w:tcBorders>
            <w:vAlign w:val="bottom"/>
          </w:tcPr>
          <w:p w14:paraId="58E32D90" w14:textId="77777777" w:rsidR="00B66DF4" w:rsidRPr="00E95ADC" w:rsidRDefault="00B66DF4" w:rsidP="0066301C">
            <w:pPr>
              <w:autoSpaceDE w:val="0"/>
              <w:autoSpaceDN w:val="0"/>
              <w:adjustRightInd w:val="0"/>
              <w:jc w:val="center"/>
              <w:rPr>
                <w:rFonts w:ascii="Arial" w:hAnsi="Arial" w:cs="Arial"/>
                <w:color w:val="000000"/>
              </w:rPr>
            </w:pPr>
            <w:r w:rsidRPr="00E95ADC">
              <w:rPr>
                <w:rFonts w:ascii="Arial" w:hAnsi="Arial" w:cs="Arial"/>
                <w:color w:val="000000"/>
              </w:rPr>
              <w:t> 15.49471</w:t>
            </w:r>
          </w:p>
        </w:tc>
        <w:tc>
          <w:tcPr>
            <w:tcW w:w="1355" w:type="dxa"/>
            <w:tcBorders>
              <w:top w:val="single" w:sz="4" w:space="0" w:color="auto"/>
              <w:left w:val="single" w:sz="4" w:space="0" w:color="auto"/>
              <w:bottom w:val="single" w:sz="4" w:space="0" w:color="auto"/>
              <w:right w:val="single" w:sz="4" w:space="0" w:color="auto"/>
            </w:tcBorders>
            <w:vAlign w:val="bottom"/>
          </w:tcPr>
          <w:p w14:paraId="1E57DF5B" w14:textId="77777777" w:rsidR="00B66DF4" w:rsidRPr="00E95ADC" w:rsidRDefault="00B66DF4" w:rsidP="0066301C">
            <w:pPr>
              <w:autoSpaceDE w:val="0"/>
              <w:autoSpaceDN w:val="0"/>
              <w:adjustRightInd w:val="0"/>
              <w:jc w:val="center"/>
              <w:rPr>
                <w:rFonts w:ascii="Arial" w:hAnsi="Arial" w:cs="Arial"/>
                <w:color w:val="000000"/>
              </w:rPr>
            </w:pPr>
            <w:r w:rsidRPr="00E95ADC">
              <w:rPr>
                <w:rFonts w:ascii="Arial" w:hAnsi="Arial" w:cs="Arial"/>
                <w:color w:val="000000"/>
              </w:rPr>
              <w:t> 0.3557</w:t>
            </w:r>
          </w:p>
        </w:tc>
        <w:tc>
          <w:tcPr>
            <w:tcW w:w="1592" w:type="dxa"/>
            <w:tcBorders>
              <w:top w:val="single" w:sz="4" w:space="0" w:color="auto"/>
              <w:left w:val="single" w:sz="4" w:space="0" w:color="auto"/>
              <w:bottom w:val="single" w:sz="4" w:space="0" w:color="auto"/>
              <w:right w:val="single" w:sz="4" w:space="0" w:color="auto"/>
            </w:tcBorders>
          </w:tcPr>
          <w:p w14:paraId="2C206B12" w14:textId="77777777" w:rsidR="00B66DF4" w:rsidRPr="00E95ADC" w:rsidRDefault="00B66DF4" w:rsidP="0066301C">
            <w:pPr>
              <w:jc w:val="both"/>
              <w:rPr>
                <w:rFonts w:ascii="Arial" w:hAnsi="Arial" w:cs="Arial"/>
              </w:rPr>
            </w:pPr>
            <w:r w:rsidRPr="00E95ADC">
              <w:rPr>
                <w:rFonts w:ascii="Arial" w:hAnsi="Arial" w:cs="Arial"/>
              </w:rPr>
              <w:t>At most 4</w:t>
            </w:r>
          </w:p>
        </w:tc>
        <w:tc>
          <w:tcPr>
            <w:tcW w:w="1441" w:type="dxa"/>
            <w:tcBorders>
              <w:top w:val="single" w:sz="4" w:space="0" w:color="auto"/>
              <w:left w:val="single" w:sz="4" w:space="0" w:color="auto"/>
              <w:bottom w:val="single" w:sz="4" w:space="0" w:color="auto"/>
              <w:right w:val="single" w:sz="4" w:space="0" w:color="auto"/>
            </w:tcBorders>
            <w:vAlign w:val="bottom"/>
          </w:tcPr>
          <w:p w14:paraId="72B8502D" w14:textId="77777777" w:rsidR="00B66DF4" w:rsidRPr="00E95ADC" w:rsidRDefault="00B66DF4" w:rsidP="0066301C">
            <w:pPr>
              <w:autoSpaceDE w:val="0"/>
              <w:autoSpaceDN w:val="0"/>
              <w:adjustRightInd w:val="0"/>
              <w:jc w:val="center"/>
              <w:rPr>
                <w:rFonts w:ascii="Arial" w:hAnsi="Arial" w:cs="Arial"/>
                <w:color w:val="000000"/>
              </w:rPr>
            </w:pPr>
            <w:r w:rsidRPr="00E95ADC">
              <w:rPr>
                <w:rFonts w:ascii="Arial" w:hAnsi="Arial" w:cs="Arial"/>
                <w:color w:val="000000"/>
              </w:rPr>
              <w:t> 0.217002</w:t>
            </w:r>
          </w:p>
        </w:tc>
        <w:tc>
          <w:tcPr>
            <w:tcW w:w="1441" w:type="dxa"/>
            <w:tcBorders>
              <w:top w:val="single" w:sz="4" w:space="0" w:color="auto"/>
              <w:left w:val="single" w:sz="4" w:space="0" w:color="auto"/>
              <w:bottom w:val="single" w:sz="4" w:space="0" w:color="auto"/>
              <w:right w:val="single" w:sz="4" w:space="0" w:color="auto"/>
            </w:tcBorders>
            <w:vAlign w:val="bottom"/>
          </w:tcPr>
          <w:p w14:paraId="23E8C8DC" w14:textId="77777777" w:rsidR="00B66DF4" w:rsidRPr="00E95ADC" w:rsidRDefault="00B66DF4" w:rsidP="0066301C">
            <w:pPr>
              <w:autoSpaceDE w:val="0"/>
              <w:autoSpaceDN w:val="0"/>
              <w:adjustRightInd w:val="0"/>
              <w:jc w:val="center"/>
              <w:rPr>
                <w:rFonts w:ascii="Arial" w:hAnsi="Arial" w:cs="Arial"/>
                <w:color w:val="000000"/>
              </w:rPr>
            </w:pPr>
            <w:r w:rsidRPr="00E95ADC">
              <w:rPr>
                <w:rFonts w:ascii="Arial" w:hAnsi="Arial" w:cs="Arial"/>
                <w:color w:val="000000"/>
              </w:rPr>
              <w:t> 9.051151</w:t>
            </w:r>
          </w:p>
        </w:tc>
        <w:tc>
          <w:tcPr>
            <w:tcW w:w="1441" w:type="dxa"/>
            <w:tcBorders>
              <w:top w:val="single" w:sz="4" w:space="0" w:color="auto"/>
              <w:left w:val="single" w:sz="4" w:space="0" w:color="auto"/>
              <w:bottom w:val="single" w:sz="4" w:space="0" w:color="auto"/>
              <w:right w:val="single" w:sz="4" w:space="0" w:color="auto"/>
            </w:tcBorders>
            <w:vAlign w:val="bottom"/>
          </w:tcPr>
          <w:p w14:paraId="346E52CD" w14:textId="77777777" w:rsidR="00B66DF4" w:rsidRPr="00E95ADC" w:rsidRDefault="00B66DF4" w:rsidP="0066301C">
            <w:pPr>
              <w:autoSpaceDE w:val="0"/>
              <w:autoSpaceDN w:val="0"/>
              <w:adjustRightInd w:val="0"/>
              <w:jc w:val="center"/>
              <w:rPr>
                <w:rFonts w:ascii="Arial" w:hAnsi="Arial" w:cs="Arial"/>
                <w:color w:val="000000"/>
              </w:rPr>
            </w:pPr>
            <w:r w:rsidRPr="00E95ADC">
              <w:rPr>
                <w:rFonts w:ascii="Arial" w:hAnsi="Arial" w:cs="Arial"/>
                <w:color w:val="000000"/>
              </w:rPr>
              <w:t> 14.26460</w:t>
            </w:r>
          </w:p>
        </w:tc>
        <w:tc>
          <w:tcPr>
            <w:tcW w:w="1437" w:type="dxa"/>
            <w:tcBorders>
              <w:top w:val="single" w:sz="4" w:space="0" w:color="auto"/>
              <w:left w:val="single" w:sz="4" w:space="0" w:color="auto"/>
              <w:bottom w:val="single" w:sz="4" w:space="0" w:color="auto"/>
              <w:right w:val="single" w:sz="4" w:space="0" w:color="auto"/>
            </w:tcBorders>
            <w:vAlign w:val="bottom"/>
          </w:tcPr>
          <w:p w14:paraId="076B42C4" w14:textId="77777777" w:rsidR="00B66DF4" w:rsidRPr="00E95ADC" w:rsidRDefault="00B66DF4" w:rsidP="0066301C">
            <w:pPr>
              <w:autoSpaceDE w:val="0"/>
              <w:autoSpaceDN w:val="0"/>
              <w:adjustRightInd w:val="0"/>
              <w:jc w:val="center"/>
              <w:rPr>
                <w:rFonts w:ascii="Arial" w:hAnsi="Arial" w:cs="Arial"/>
                <w:color w:val="000000"/>
              </w:rPr>
            </w:pPr>
            <w:r w:rsidRPr="00E95ADC">
              <w:rPr>
                <w:rFonts w:ascii="Arial" w:hAnsi="Arial" w:cs="Arial"/>
                <w:color w:val="000000"/>
              </w:rPr>
              <w:t> 0.2819</w:t>
            </w:r>
          </w:p>
        </w:tc>
      </w:tr>
      <w:tr w:rsidR="00B66DF4" w:rsidRPr="00E95ADC" w14:paraId="72BA518C" w14:textId="77777777" w:rsidTr="004D74AB">
        <w:tc>
          <w:tcPr>
            <w:tcW w:w="1401" w:type="dxa"/>
            <w:tcBorders>
              <w:bottom w:val="single" w:sz="4" w:space="0" w:color="auto"/>
            </w:tcBorders>
          </w:tcPr>
          <w:p w14:paraId="782C0AF8" w14:textId="77777777" w:rsidR="00B66DF4" w:rsidRPr="00E95ADC" w:rsidRDefault="00B66DF4" w:rsidP="0066301C">
            <w:pPr>
              <w:jc w:val="both"/>
              <w:rPr>
                <w:rFonts w:ascii="Arial" w:hAnsi="Arial" w:cs="Arial"/>
              </w:rPr>
            </w:pPr>
            <w:r w:rsidRPr="00E95ADC">
              <w:rPr>
                <w:rFonts w:ascii="Arial" w:hAnsi="Arial" w:cs="Arial"/>
              </w:rPr>
              <w:t>At most 5</w:t>
            </w:r>
          </w:p>
        </w:tc>
        <w:tc>
          <w:tcPr>
            <w:tcW w:w="1176" w:type="dxa"/>
            <w:tcBorders>
              <w:top w:val="single" w:sz="4" w:space="0" w:color="auto"/>
              <w:left w:val="nil"/>
              <w:bottom w:val="single" w:sz="4" w:space="0" w:color="auto"/>
              <w:right w:val="single" w:sz="4" w:space="0" w:color="auto"/>
            </w:tcBorders>
            <w:vAlign w:val="bottom"/>
          </w:tcPr>
          <w:p w14:paraId="4CADB405" w14:textId="77777777" w:rsidR="00B66DF4" w:rsidRPr="00E95ADC" w:rsidRDefault="00B66DF4" w:rsidP="0066301C">
            <w:pPr>
              <w:autoSpaceDE w:val="0"/>
              <w:autoSpaceDN w:val="0"/>
              <w:adjustRightInd w:val="0"/>
              <w:jc w:val="center"/>
              <w:rPr>
                <w:rFonts w:ascii="Arial" w:hAnsi="Arial" w:cs="Arial"/>
                <w:color w:val="000000"/>
              </w:rPr>
            </w:pPr>
            <w:r w:rsidRPr="00E95ADC">
              <w:rPr>
                <w:rFonts w:ascii="Arial" w:hAnsi="Arial" w:cs="Arial"/>
                <w:color w:val="000000"/>
              </w:rPr>
              <w:t> 0.001483</w:t>
            </w:r>
          </w:p>
        </w:tc>
        <w:tc>
          <w:tcPr>
            <w:tcW w:w="1176" w:type="dxa"/>
            <w:tcBorders>
              <w:top w:val="single" w:sz="4" w:space="0" w:color="auto"/>
              <w:left w:val="single" w:sz="4" w:space="0" w:color="auto"/>
              <w:bottom w:val="single" w:sz="4" w:space="0" w:color="auto"/>
              <w:right w:val="single" w:sz="4" w:space="0" w:color="auto"/>
            </w:tcBorders>
            <w:vAlign w:val="bottom"/>
          </w:tcPr>
          <w:p w14:paraId="3EDFFB42" w14:textId="77777777" w:rsidR="00B66DF4" w:rsidRPr="00E95ADC" w:rsidRDefault="00B66DF4" w:rsidP="0066301C">
            <w:pPr>
              <w:autoSpaceDE w:val="0"/>
              <w:autoSpaceDN w:val="0"/>
              <w:adjustRightInd w:val="0"/>
              <w:jc w:val="center"/>
              <w:rPr>
                <w:rFonts w:ascii="Arial" w:hAnsi="Arial" w:cs="Arial"/>
                <w:color w:val="000000"/>
              </w:rPr>
            </w:pPr>
            <w:r w:rsidRPr="00E95ADC">
              <w:rPr>
                <w:rFonts w:ascii="Arial" w:hAnsi="Arial" w:cs="Arial"/>
                <w:color w:val="000000"/>
              </w:rPr>
              <w:t> 0.054924</w:t>
            </w:r>
          </w:p>
        </w:tc>
        <w:tc>
          <w:tcPr>
            <w:tcW w:w="1298" w:type="dxa"/>
            <w:tcBorders>
              <w:top w:val="single" w:sz="4" w:space="0" w:color="auto"/>
              <w:left w:val="single" w:sz="4" w:space="0" w:color="auto"/>
              <w:bottom w:val="single" w:sz="4" w:space="0" w:color="auto"/>
              <w:right w:val="single" w:sz="4" w:space="0" w:color="auto"/>
            </w:tcBorders>
            <w:vAlign w:val="bottom"/>
          </w:tcPr>
          <w:p w14:paraId="31B6EBD8" w14:textId="77777777" w:rsidR="00B66DF4" w:rsidRPr="00E95ADC" w:rsidRDefault="00B66DF4" w:rsidP="0066301C">
            <w:pPr>
              <w:autoSpaceDE w:val="0"/>
              <w:autoSpaceDN w:val="0"/>
              <w:adjustRightInd w:val="0"/>
              <w:jc w:val="center"/>
              <w:rPr>
                <w:rFonts w:ascii="Arial" w:hAnsi="Arial" w:cs="Arial"/>
                <w:color w:val="000000"/>
              </w:rPr>
            </w:pPr>
            <w:r w:rsidRPr="00E95ADC">
              <w:rPr>
                <w:rFonts w:ascii="Arial" w:hAnsi="Arial" w:cs="Arial"/>
                <w:color w:val="000000"/>
              </w:rPr>
              <w:t> 3.841465</w:t>
            </w:r>
          </w:p>
        </w:tc>
        <w:tc>
          <w:tcPr>
            <w:tcW w:w="1355" w:type="dxa"/>
            <w:tcBorders>
              <w:top w:val="single" w:sz="4" w:space="0" w:color="auto"/>
              <w:left w:val="single" w:sz="4" w:space="0" w:color="auto"/>
              <w:bottom w:val="single" w:sz="4" w:space="0" w:color="auto"/>
              <w:right w:val="single" w:sz="4" w:space="0" w:color="auto"/>
            </w:tcBorders>
            <w:vAlign w:val="bottom"/>
          </w:tcPr>
          <w:p w14:paraId="51828147" w14:textId="77777777" w:rsidR="00B66DF4" w:rsidRPr="00E95ADC" w:rsidRDefault="00B66DF4" w:rsidP="0066301C">
            <w:pPr>
              <w:autoSpaceDE w:val="0"/>
              <w:autoSpaceDN w:val="0"/>
              <w:adjustRightInd w:val="0"/>
              <w:jc w:val="center"/>
              <w:rPr>
                <w:rFonts w:ascii="Arial" w:hAnsi="Arial" w:cs="Arial"/>
                <w:color w:val="000000"/>
              </w:rPr>
            </w:pPr>
            <w:r w:rsidRPr="00E95ADC">
              <w:rPr>
                <w:rFonts w:ascii="Arial" w:hAnsi="Arial" w:cs="Arial"/>
                <w:color w:val="000000"/>
              </w:rPr>
              <w:t> 0.8147</w:t>
            </w:r>
          </w:p>
        </w:tc>
        <w:tc>
          <w:tcPr>
            <w:tcW w:w="1592" w:type="dxa"/>
            <w:tcBorders>
              <w:top w:val="single" w:sz="4" w:space="0" w:color="auto"/>
              <w:left w:val="single" w:sz="4" w:space="0" w:color="auto"/>
              <w:bottom w:val="single" w:sz="4" w:space="0" w:color="auto"/>
              <w:right w:val="single" w:sz="4" w:space="0" w:color="auto"/>
            </w:tcBorders>
          </w:tcPr>
          <w:p w14:paraId="16A66965" w14:textId="77777777" w:rsidR="00B66DF4" w:rsidRPr="00E95ADC" w:rsidRDefault="00B66DF4" w:rsidP="0066301C">
            <w:pPr>
              <w:jc w:val="both"/>
              <w:rPr>
                <w:rFonts w:ascii="Arial" w:hAnsi="Arial" w:cs="Arial"/>
              </w:rPr>
            </w:pPr>
            <w:r w:rsidRPr="00E95ADC">
              <w:rPr>
                <w:rFonts w:ascii="Arial" w:hAnsi="Arial" w:cs="Arial"/>
              </w:rPr>
              <w:t>At most 5</w:t>
            </w:r>
          </w:p>
        </w:tc>
        <w:tc>
          <w:tcPr>
            <w:tcW w:w="1441" w:type="dxa"/>
            <w:tcBorders>
              <w:top w:val="single" w:sz="4" w:space="0" w:color="auto"/>
              <w:left w:val="single" w:sz="4" w:space="0" w:color="auto"/>
              <w:bottom w:val="single" w:sz="4" w:space="0" w:color="auto"/>
              <w:right w:val="single" w:sz="4" w:space="0" w:color="auto"/>
            </w:tcBorders>
            <w:vAlign w:val="bottom"/>
          </w:tcPr>
          <w:p w14:paraId="0926110D" w14:textId="77777777" w:rsidR="00B66DF4" w:rsidRPr="00E95ADC" w:rsidRDefault="00B66DF4" w:rsidP="0066301C">
            <w:pPr>
              <w:autoSpaceDE w:val="0"/>
              <w:autoSpaceDN w:val="0"/>
              <w:adjustRightInd w:val="0"/>
              <w:jc w:val="center"/>
              <w:rPr>
                <w:rFonts w:ascii="Arial" w:hAnsi="Arial" w:cs="Arial"/>
                <w:color w:val="000000"/>
              </w:rPr>
            </w:pPr>
            <w:r w:rsidRPr="00E95ADC">
              <w:rPr>
                <w:rFonts w:ascii="Arial" w:hAnsi="Arial" w:cs="Arial"/>
                <w:color w:val="000000"/>
              </w:rPr>
              <w:t> 0.001483</w:t>
            </w:r>
          </w:p>
        </w:tc>
        <w:tc>
          <w:tcPr>
            <w:tcW w:w="1441" w:type="dxa"/>
            <w:tcBorders>
              <w:top w:val="single" w:sz="4" w:space="0" w:color="auto"/>
              <w:left w:val="single" w:sz="4" w:space="0" w:color="auto"/>
              <w:bottom w:val="single" w:sz="4" w:space="0" w:color="auto"/>
              <w:right w:val="single" w:sz="4" w:space="0" w:color="auto"/>
            </w:tcBorders>
            <w:vAlign w:val="bottom"/>
          </w:tcPr>
          <w:p w14:paraId="1468CC88" w14:textId="77777777" w:rsidR="00B66DF4" w:rsidRPr="00E95ADC" w:rsidRDefault="00B66DF4" w:rsidP="0066301C">
            <w:pPr>
              <w:autoSpaceDE w:val="0"/>
              <w:autoSpaceDN w:val="0"/>
              <w:adjustRightInd w:val="0"/>
              <w:jc w:val="center"/>
              <w:rPr>
                <w:rFonts w:ascii="Arial" w:hAnsi="Arial" w:cs="Arial"/>
                <w:color w:val="000000"/>
              </w:rPr>
            </w:pPr>
            <w:r w:rsidRPr="00E95ADC">
              <w:rPr>
                <w:rFonts w:ascii="Arial" w:hAnsi="Arial" w:cs="Arial"/>
                <w:color w:val="000000"/>
              </w:rPr>
              <w:t> 0.054924</w:t>
            </w:r>
          </w:p>
        </w:tc>
        <w:tc>
          <w:tcPr>
            <w:tcW w:w="1441" w:type="dxa"/>
            <w:tcBorders>
              <w:top w:val="single" w:sz="4" w:space="0" w:color="auto"/>
              <w:left w:val="single" w:sz="4" w:space="0" w:color="auto"/>
              <w:bottom w:val="single" w:sz="4" w:space="0" w:color="auto"/>
              <w:right w:val="single" w:sz="4" w:space="0" w:color="auto"/>
            </w:tcBorders>
            <w:vAlign w:val="bottom"/>
          </w:tcPr>
          <w:p w14:paraId="137B48B6" w14:textId="77777777" w:rsidR="00B66DF4" w:rsidRPr="00E95ADC" w:rsidRDefault="00B66DF4" w:rsidP="0066301C">
            <w:pPr>
              <w:autoSpaceDE w:val="0"/>
              <w:autoSpaceDN w:val="0"/>
              <w:adjustRightInd w:val="0"/>
              <w:jc w:val="center"/>
              <w:rPr>
                <w:rFonts w:ascii="Arial" w:hAnsi="Arial" w:cs="Arial"/>
                <w:color w:val="000000"/>
              </w:rPr>
            </w:pPr>
            <w:r w:rsidRPr="00E95ADC">
              <w:rPr>
                <w:rFonts w:ascii="Arial" w:hAnsi="Arial" w:cs="Arial"/>
                <w:color w:val="000000"/>
              </w:rPr>
              <w:t> 3.841465</w:t>
            </w:r>
          </w:p>
        </w:tc>
        <w:tc>
          <w:tcPr>
            <w:tcW w:w="1437" w:type="dxa"/>
            <w:tcBorders>
              <w:top w:val="single" w:sz="4" w:space="0" w:color="auto"/>
              <w:left w:val="single" w:sz="4" w:space="0" w:color="auto"/>
              <w:bottom w:val="single" w:sz="4" w:space="0" w:color="auto"/>
              <w:right w:val="single" w:sz="4" w:space="0" w:color="auto"/>
            </w:tcBorders>
            <w:vAlign w:val="bottom"/>
          </w:tcPr>
          <w:p w14:paraId="7BA136A5" w14:textId="77777777" w:rsidR="00B66DF4" w:rsidRPr="00E95ADC" w:rsidRDefault="00B66DF4" w:rsidP="0066301C">
            <w:pPr>
              <w:autoSpaceDE w:val="0"/>
              <w:autoSpaceDN w:val="0"/>
              <w:adjustRightInd w:val="0"/>
              <w:jc w:val="center"/>
              <w:rPr>
                <w:rFonts w:ascii="Arial" w:hAnsi="Arial" w:cs="Arial"/>
                <w:color w:val="000000"/>
              </w:rPr>
            </w:pPr>
            <w:r w:rsidRPr="00E95ADC">
              <w:rPr>
                <w:rFonts w:ascii="Arial" w:hAnsi="Arial" w:cs="Arial"/>
                <w:color w:val="000000"/>
              </w:rPr>
              <w:t> 0.8147</w:t>
            </w:r>
          </w:p>
        </w:tc>
      </w:tr>
      <w:tr w:rsidR="00B66DF4" w:rsidRPr="00E95ADC" w14:paraId="573A9451" w14:textId="77777777" w:rsidTr="004D74AB">
        <w:tc>
          <w:tcPr>
            <w:tcW w:w="6406" w:type="dxa"/>
            <w:gridSpan w:val="5"/>
            <w:tcBorders>
              <w:bottom w:val="single" w:sz="4" w:space="0" w:color="auto"/>
              <w:right w:val="single" w:sz="4" w:space="0" w:color="auto"/>
            </w:tcBorders>
          </w:tcPr>
          <w:p w14:paraId="70D76091" w14:textId="77777777" w:rsidR="00B66DF4" w:rsidRPr="00E95ADC" w:rsidRDefault="00B66DF4" w:rsidP="0066301C">
            <w:pPr>
              <w:jc w:val="both"/>
              <w:rPr>
                <w:rFonts w:ascii="Arial" w:hAnsi="Arial" w:cs="Arial"/>
              </w:rPr>
            </w:pPr>
            <w:r w:rsidRPr="00E95ADC">
              <w:rPr>
                <w:rFonts w:ascii="Arial" w:hAnsi="Arial" w:cs="Arial"/>
                <w:color w:val="000000"/>
              </w:rPr>
              <w:t>Trace test indicates 1 cointegrating eqn(s) at the 0.05 level</w:t>
            </w:r>
          </w:p>
        </w:tc>
        <w:tc>
          <w:tcPr>
            <w:tcW w:w="7352" w:type="dxa"/>
            <w:gridSpan w:val="5"/>
            <w:tcBorders>
              <w:top w:val="single" w:sz="4" w:space="0" w:color="auto"/>
              <w:left w:val="single" w:sz="4" w:space="0" w:color="auto"/>
              <w:bottom w:val="single" w:sz="4" w:space="0" w:color="auto"/>
              <w:right w:val="single" w:sz="4" w:space="0" w:color="auto"/>
            </w:tcBorders>
            <w:vAlign w:val="bottom"/>
          </w:tcPr>
          <w:p w14:paraId="11A08C7F" w14:textId="77777777" w:rsidR="00B66DF4" w:rsidRPr="00E95ADC" w:rsidRDefault="00B66DF4" w:rsidP="0066301C">
            <w:pPr>
              <w:jc w:val="both"/>
              <w:rPr>
                <w:rFonts w:ascii="Arial" w:hAnsi="Arial" w:cs="Arial"/>
              </w:rPr>
            </w:pPr>
            <w:r w:rsidRPr="00E95ADC">
              <w:rPr>
                <w:rFonts w:ascii="Arial" w:hAnsi="Arial" w:cs="Arial"/>
                <w:color w:val="000000"/>
              </w:rPr>
              <w:t>Max-eigenvalue test indicates no cointegration at the 0.05 level</w:t>
            </w:r>
          </w:p>
        </w:tc>
      </w:tr>
      <w:tr w:rsidR="00B66DF4" w:rsidRPr="00E95ADC" w14:paraId="4FCD4CF4" w14:textId="77777777" w:rsidTr="004D74AB">
        <w:tc>
          <w:tcPr>
            <w:tcW w:w="13758" w:type="dxa"/>
            <w:gridSpan w:val="10"/>
          </w:tcPr>
          <w:p w14:paraId="7D58B965" w14:textId="77777777" w:rsidR="00B66DF4" w:rsidRPr="00E95ADC" w:rsidRDefault="00B66DF4" w:rsidP="0066301C">
            <w:pPr>
              <w:autoSpaceDE w:val="0"/>
              <w:autoSpaceDN w:val="0"/>
              <w:adjustRightInd w:val="0"/>
              <w:jc w:val="center"/>
              <w:rPr>
                <w:rFonts w:ascii="Arial" w:hAnsi="Arial" w:cs="Arial"/>
                <w:b/>
              </w:rPr>
            </w:pPr>
            <w:r w:rsidRPr="00E95ADC">
              <w:rPr>
                <w:rFonts w:ascii="Arial" w:hAnsi="Arial" w:cs="Arial"/>
                <w:b/>
              </w:rPr>
              <w:t>CAR</w:t>
            </w:r>
          </w:p>
        </w:tc>
      </w:tr>
      <w:tr w:rsidR="00B66DF4" w:rsidRPr="00E95ADC" w14:paraId="0C5A875D" w14:textId="77777777" w:rsidTr="004D74AB">
        <w:tc>
          <w:tcPr>
            <w:tcW w:w="6406" w:type="dxa"/>
            <w:gridSpan w:val="5"/>
          </w:tcPr>
          <w:p w14:paraId="120E10D3" w14:textId="77777777" w:rsidR="00B66DF4" w:rsidRPr="00E95ADC" w:rsidRDefault="00B66DF4" w:rsidP="0066301C">
            <w:pPr>
              <w:autoSpaceDE w:val="0"/>
              <w:autoSpaceDN w:val="0"/>
              <w:adjustRightInd w:val="0"/>
              <w:rPr>
                <w:rFonts w:ascii="Arial" w:hAnsi="Arial" w:cs="Arial"/>
              </w:rPr>
            </w:pPr>
            <w:r w:rsidRPr="00E95ADC">
              <w:rPr>
                <w:rFonts w:ascii="Arial" w:hAnsi="Arial" w:cs="Arial"/>
                <w:color w:val="000000"/>
              </w:rPr>
              <w:t>Unrestricted Cointegration Rank Test (Trace)</w:t>
            </w:r>
          </w:p>
        </w:tc>
        <w:tc>
          <w:tcPr>
            <w:tcW w:w="7352" w:type="dxa"/>
            <w:gridSpan w:val="5"/>
          </w:tcPr>
          <w:p w14:paraId="40A81C82" w14:textId="77777777" w:rsidR="00B66DF4" w:rsidRPr="00E95ADC" w:rsidRDefault="00B66DF4" w:rsidP="0066301C">
            <w:pPr>
              <w:autoSpaceDE w:val="0"/>
              <w:autoSpaceDN w:val="0"/>
              <w:adjustRightInd w:val="0"/>
              <w:rPr>
                <w:rFonts w:ascii="Arial" w:hAnsi="Arial" w:cs="Arial"/>
              </w:rPr>
            </w:pPr>
            <w:r w:rsidRPr="00E95ADC">
              <w:rPr>
                <w:rFonts w:ascii="Arial" w:hAnsi="Arial" w:cs="Arial"/>
                <w:color w:val="000000"/>
              </w:rPr>
              <w:t>Unrestricted Cointegration Rank Test (Maximum Eigenvalue)</w:t>
            </w:r>
          </w:p>
        </w:tc>
      </w:tr>
      <w:tr w:rsidR="00B66DF4" w:rsidRPr="00E95ADC" w14:paraId="549E1C33" w14:textId="77777777" w:rsidTr="004D74AB">
        <w:tc>
          <w:tcPr>
            <w:tcW w:w="1401" w:type="dxa"/>
          </w:tcPr>
          <w:p w14:paraId="0807AFFD" w14:textId="77777777" w:rsidR="00B66DF4" w:rsidRPr="00E95ADC" w:rsidRDefault="00B66DF4" w:rsidP="0066301C">
            <w:pPr>
              <w:autoSpaceDE w:val="0"/>
              <w:autoSpaceDN w:val="0"/>
              <w:adjustRightInd w:val="0"/>
              <w:jc w:val="center"/>
              <w:rPr>
                <w:rFonts w:ascii="Arial" w:hAnsi="Arial" w:cs="Arial"/>
              </w:rPr>
            </w:pPr>
            <w:r w:rsidRPr="00E95ADC">
              <w:rPr>
                <w:rFonts w:ascii="Arial" w:hAnsi="Arial" w:cs="Arial"/>
              </w:rPr>
              <w:t>Hypothesized number of cointegrating equations</w:t>
            </w:r>
          </w:p>
        </w:tc>
        <w:tc>
          <w:tcPr>
            <w:tcW w:w="1176" w:type="dxa"/>
            <w:tcBorders>
              <w:bottom w:val="single" w:sz="4" w:space="0" w:color="auto"/>
            </w:tcBorders>
          </w:tcPr>
          <w:p w14:paraId="29F72F0A" w14:textId="77777777" w:rsidR="00B66DF4" w:rsidRPr="00E95ADC" w:rsidRDefault="00B66DF4" w:rsidP="0066301C">
            <w:pPr>
              <w:autoSpaceDE w:val="0"/>
              <w:autoSpaceDN w:val="0"/>
              <w:adjustRightInd w:val="0"/>
              <w:jc w:val="center"/>
              <w:rPr>
                <w:rFonts w:ascii="Arial" w:hAnsi="Arial" w:cs="Arial"/>
              </w:rPr>
            </w:pPr>
            <w:r w:rsidRPr="00E95ADC">
              <w:rPr>
                <w:rFonts w:ascii="Arial" w:hAnsi="Arial" w:cs="Arial"/>
                <w:color w:val="000000"/>
              </w:rPr>
              <w:t>Eigenvalue</w:t>
            </w:r>
          </w:p>
        </w:tc>
        <w:tc>
          <w:tcPr>
            <w:tcW w:w="1176" w:type="dxa"/>
            <w:tcBorders>
              <w:bottom w:val="single" w:sz="4" w:space="0" w:color="auto"/>
            </w:tcBorders>
          </w:tcPr>
          <w:p w14:paraId="0AD459F8" w14:textId="77777777" w:rsidR="00B66DF4" w:rsidRPr="00E95ADC" w:rsidRDefault="00B66DF4" w:rsidP="0066301C">
            <w:pPr>
              <w:autoSpaceDE w:val="0"/>
              <w:autoSpaceDN w:val="0"/>
              <w:adjustRightInd w:val="0"/>
              <w:jc w:val="center"/>
              <w:rPr>
                <w:rFonts w:ascii="Arial" w:hAnsi="Arial" w:cs="Arial"/>
              </w:rPr>
            </w:pPr>
            <w:r w:rsidRPr="00E95ADC">
              <w:rPr>
                <w:rFonts w:ascii="Arial" w:hAnsi="Arial" w:cs="Arial"/>
              </w:rPr>
              <w:t>Trace Statistic</w:t>
            </w:r>
          </w:p>
        </w:tc>
        <w:tc>
          <w:tcPr>
            <w:tcW w:w="1298" w:type="dxa"/>
            <w:tcBorders>
              <w:bottom w:val="single" w:sz="4" w:space="0" w:color="auto"/>
            </w:tcBorders>
          </w:tcPr>
          <w:p w14:paraId="0F8C2F93" w14:textId="77777777" w:rsidR="00B66DF4" w:rsidRPr="00E95ADC" w:rsidRDefault="00B66DF4" w:rsidP="0066301C">
            <w:pPr>
              <w:autoSpaceDE w:val="0"/>
              <w:autoSpaceDN w:val="0"/>
              <w:adjustRightInd w:val="0"/>
              <w:jc w:val="center"/>
              <w:rPr>
                <w:rFonts w:ascii="Arial" w:hAnsi="Arial" w:cs="Arial"/>
              </w:rPr>
            </w:pPr>
            <w:r w:rsidRPr="00E95ADC">
              <w:rPr>
                <w:rFonts w:ascii="Arial" w:hAnsi="Arial" w:cs="Arial"/>
              </w:rPr>
              <w:t>0.05 Critical Value</w:t>
            </w:r>
          </w:p>
        </w:tc>
        <w:tc>
          <w:tcPr>
            <w:tcW w:w="1355" w:type="dxa"/>
            <w:tcBorders>
              <w:bottom w:val="single" w:sz="4" w:space="0" w:color="auto"/>
            </w:tcBorders>
          </w:tcPr>
          <w:p w14:paraId="1009E1E3" w14:textId="77777777" w:rsidR="00B66DF4" w:rsidRPr="00E95ADC" w:rsidRDefault="00B66DF4" w:rsidP="0066301C">
            <w:pPr>
              <w:autoSpaceDE w:val="0"/>
              <w:autoSpaceDN w:val="0"/>
              <w:adjustRightInd w:val="0"/>
              <w:jc w:val="center"/>
              <w:rPr>
                <w:rFonts w:ascii="Arial" w:hAnsi="Arial" w:cs="Arial"/>
              </w:rPr>
            </w:pPr>
            <w:r w:rsidRPr="00E95ADC">
              <w:rPr>
                <w:rFonts w:ascii="Arial" w:hAnsi="Arial" w:cs="Arial"/>
              </w:rPr>
              <w:t xml:space="preserve">Probability Value </w:t>
            </w:r>
          </w:p>
        </w:tc>
        <w:tc>
          <w:tcPr>
            <w:tcW w:w="1592" w:type="dxa"/>
            <w:tcBorders>
              <w:bottom w:val="single" w:sz="4" w:space="0" w:color="auto"/>
            </w:tcBorders>
          </w:tcPr>
          <w:p w14:paraId="662B7FE1" w14:textId="77777777" w:rsidR="00B66DF4" w:rsidRPr="00E95ADC" w:rsidRDefault="00B66DF4" w:rsidP="0066301C">
            <w:pPr>
              <w:autoSpaceDE w:val="0"/>
              <w:autoSpaceDN w:val="0"/>
              <w:adjustRightInd w:val="0"/>
              <w:jc w:val="center"/>
              <w:rPr>
                <w:rFonts w:ascii="Arial" w:hAnsi="Arial" w:cs="Arial"/>
              </w:rPr>
            </w:pPr>
            <w:r w:rsidRPr="00E95ADC">
              <w:rPr>
                <w:rFonts w:ascii="Arial" w:hAnsi="Arial" w:cs="Arial"/>
              </w:rPr>
              <w:t>Hypothesized number of cointegrating equations</w:t>
            </w:r>
          </w:p>
        </w:tc>
        <w:tc>
          <w:tcPr>
            <w:tcW w:w="1441" w:type="dxa"/>
            <w:tcBorders>
              <w:bottom w:val="single" w:sz="4" w:space="0" w:color="auto"/>
            </w:tcBorders>
          </w:tcPr>
          <w:p w14:paraId="2DD5C058" w14:textId="77777777" w:rsidR="00B66DF4" w:rsidRPr="00E95ADC" w:rsidRDefault="00B66DF4" w:rsidP="0066301C">
            <w:pPr>
              <w:autoSpaceDE w:val="0"/>
              <w:autoSpaceDN w:val="0"/>
              <w:adjustRightInd w:val="0"/>
              <w:rPr>
                <w:rFonts w:ascii="Arial" w:hAnsi="Arial" w:cs="Arial"/>
              </w:rPr>
            </w:pPr>
            <w:r w:rsidRPr="00E95ADC">
              <w:rPr>
                <w:rFonts w:ascii="Arial" w:hAnsi="Arial" w:cs="Arial"/>
                <w:color w:val="000000"/>
              </w:rPr>
              <w:t>Eigenvalue</w:t>
            </w:r>
          </w:p>
        </w:tc>
        <w:tc>
          <w:tcPr>
            <w:tcW w:w="1441" w:type="dxa"/>
            <w:tcBorders>
              <w:bottom w:val="single" w:sz="4" w:space="0" w:color="auto"/>
            </w:tcBorders>
          </w:tcPr>
          <w:p w14:paraId="7C40AF21" w14:textId="77777777" w:rsidR="00B66DF4" w:rsidRPr="00E95ADC" w:rsidRDefault="00B66DF4" w:rsidP="0066301C">
            <w:pPr>
              <w:autoSpaceDE w:val="0"/>
              <w:autoSpaceDN w:val="0"/>
              <w:adjustRightInd w:val="0"/>
              <w:jc w:val="center"/>
              <w:rPr>
                <w:rFonts w:ascii="Arial" w:hAnsi="Arial" w:cs="Arial"/>
              </w:rPr>
            </w:pPr>
            <w:r w:rsidRPr="00E95ADC">
              <w:rPr>
                <w:rFonts w:ascii="Arial" w:hAnsi="Arial" w:cs="Arial"/>
              </w:rPr>
              <w:t>Max-Eigen Statistic</w:t>
            </w:r>
          </w:p>
        </w:tc>
        <w:tc>
          <w:tcPr>
            <w:tcW w:w="1441" w:type="dxa"/>
            <w:tcBorders>
              <w:bottom w:val="single" w:sz="4" w:space="0" w:color="auto"/>
            </w:tcBorders>
          </w:tcPr>
          <w:p w14:paraId="588B89E9" w14:textId="77777777" w:rsidR="00B66DF4" w:rsidRPr="00E95ADC" w:rsidRDefault="00B66DF4" w:rsidP="0066301C">
            <w:pPr>
              <w:autoSpaceDE w:val="0"/>
              <w:autoSpaceDN w:val="0"/>
              <w:adjustRightInd w:val="0"/>
              <w:jc w:val="center"/>
              <w:rPr>
                <w:rFonts w:ascii="Arial" w:hAnsi="Arial" w:cs="Arial"/>
              </w:rPr>
            </w:pPr>
            <w:r w:rsidRPr="00E95ADC">
              <w:rPr>
                <w:rFonts w:ascii="Arial" w:hAnsi="Arial" w:cs="Arial"/>
              </w:rPr>
              <w:t>0.05 Critical Value</w:t>
            </w:r>
          </w:p>
        </w:tc>
        <w:tc>
          <w:tcPr>
            <w:tcW w:w="1437" w:type="dxa"/>
            <w:tcBorders>
              <w:bottom w:val="single" w:sz="4" w:space="0" w:color="auto"/>
            </w:tcBorders>
          </w:tcPr>
          <w:p w14:paraId="7C369279" w14:textId="77777777" w:rsidR="00B66DF4" w:rsidRPr="00E95ADC" w:rsidRDefault="00B66DF4" w:rsidP="0066301C">
            <w:pPr>
              <w:autoSpaceDE w:val="0"/>
              <w:autoSpaceDN w:val="0"/>
              <w:adjustRightInd w:val="0"/>
              <w:jc w:val="center"/>
              <w:rPr>
                <w:rFonts w:ascii="Arial" w:hAnsi="Arial" w:cs="Arial"/>
              </w:rPr>
            </w:pPr>
            <w:r w:rsidRPr="00E95ADC">
              <w:rPr>
                <w:rFonts w:ascii="Arial" w:hAnsi="Arial" w:cs="Arial"/>
              </w:rPr>
              <w:t xml:space="preserve">Probability Value </w:t>
            </w:r>
          </w:p>
        </w:tc>
      </w:tr>
      <w:tr w:rsidR="00B66DF4" w:rsidRPr="00E95ADC" w14:paraId="296A79B6" w14:textId="77777777" w:rsidTr="004D74AB">
        <w:trPr>
          <w:trHeight w:val="269"/>
        </w:trPr>
        <w:tc>
          <w:tcPr>
            <w:tcW w:w="1401" w:type="dxa"/>
            <w:vAlign w:val="bottom"/>
          </w:tcPr>
          <w:p w14:paraId="50ACAE43" w14:textId="77777777" w:rsidR="00B66DF4" w:rsidRPr="00E95ADC" w:rsidRDefault="00B66DF4" w:rsidP="0066301C">
            <w:pPr>
              <w:jc w:val="both"/>
              <w:rPr>
                <w:rFonts w:ascii="Arial" w:hAnsi="Arial" w:cs="Arial"/>
              </w:rPr>
            </w:pPr>
            <w:r w:rsidRPr="00E95ADC">
              <w:rPr>
                <w:rFonts w:ascii="Arial" w:hAnsi="Arial" w:cs="Arial"/>
              </w:rPr>
              <w:t>None *</w:t>
            </w:r>
          </w:p>
        </w:tc>
        <w:tc>
          <w:tcPr>
            <w:tcW w:w="1176" w:type="dxa"/>
            <w:tcBorders>
              <w:top w:val="single" w:sz="4" w:space="0" w:color="auto"/>
              <w:left w:val="nil"/>
              <w:bottom w:val="single" w:sz="4" w:space="0" w:color="auto"/>
              <w:right w:val="single" w:sz="4" w:space="0" w:color="auto"/>
            </w:tcBorders>
            <w:vAlign w:val="bottom"/>
          </w:tcPr>
          <w:p w14:paraId="0BA62319" w14:textId="77777777" w:rsidR="00B66DF4" w:rsidRPr="00E95ADC" w:rsidRDefault="00B66DF4" w:rsidP="0066301C">
            <w:pPr>
              <w:autoSpaceDE w:val="0"/>
              <w:autoSpaceDN w:val="0"/>
              <w:adjustRightInd w:val="0"/>
              <w:jc w:val="center"/>
              <w:rPr>
                <w:rFonts w:ascii="Arial" w:hAnsi="Arial" w:cs="Arial"/>
                <w:color w:val="000000"/>
              </w:rPr>
            </w:pPr>
            <w:r w:rsidRPr="00E95ADC">
              <w:rPr>
                <w:rFonts w:ascii="Arial" w:hAnsi="Arial" w:cs="Arial"/>
                <w:color w:val="000000"/>
              </w:rPr>
              <w:t> 0.939366</w:t>
            </w:r>
          </w:p>
        </w:tc>
        <w:tc>
          <w:tcPr>
            <w:tcW w:w="1176" w:type="dxa"/>
            <w:tcBorders>
              <w:top w:val="single" w:sz="4" w:space="0" w:color="auto"/>
              <w:left w:val="single" w:sz="4" w:space="0" w:color="auto"/>
              <w:bottom w:val="single" w:sz="4" w:space="0" w:color="auto"/>
              <w:right w:val="single" w:sz="4" w:space="0" w:color="auto"/>
            </w:tcBorders>
            <w:vAlign w:val="bottom"/>
          </w:tcPr>
          <w:p w14:paraId="7F9D38FD" w14:textId="77777777" w:rsidR="00B66DF4" w:rsidRPr="00E95ADC" w:rsidRDefault="00B66DF4" w:rsidP="0066301C">
            <w:pPr>
              <w:autoSpaceDE w:val="0"/>
              <w:autoSpaceDN w:val="0"/>
              <w:adjustRightInd w:val="0"/>
              <w:jc w:val="center"/>
              <w:rPr>
                <w:rFonts w:ascii="Arial" w:hAnsi="Arial" w:cs="Arial"/>
                <w:color w:val="000000"/>
              </w:rPr>
            </w:pPr>
            <w:r w:rsidRPr="00E95ADC">
              <w:rPr>
                <w:rFonts w:ascii="Arial" w:hAnsi="Arial" w:cs="Arial"/>
                <w:color w:val="000000"/>
              </w:rPr>
              <w:t> 277.1227</w:t>
            </w:r>
          </w:p>
        </w:tc>
        <w:tc>
          <w:tcPr>
            <w:tcW w:w="1298" w:type="dxa"/>
            <w:tcBorders>
              <w:top w:val="single" w:sz="4" w:space="0" w:color="auto"/>
              <w:left w:val="single" w:sz="4" w:space="0" w:color="auto"/>
              <w:bottom w:val="single" w:sz="4" w:space="0" w:color="auto"/>
              <w:right w:val="single" w:sz="4" w:space="0" w:color="auto"/>
            </w:tcBorders>
            <w:vAlign w:val="bottom"/>
          </w:tcPr>
          <w:p w14:paraId="4DA049FB" w14:textId="77777777" w:rsidR="00B66DF4" w:rsidRPr="00E95ADC" w:rsidRDefault="00B66DF4" w:rsidP="0066301C">
            <w:pPr>
              <w:autoSpaceDE w:val="0"/>
              <w:autoSpaceDN w:val="0"/>
              <w:adjustRightInd w:val="0"/>
              <w:jc w:val="center"/>
              <w:rPr>
                <w:rFonts w:ascii="Arial" w:hAnsi="Arial" w:cs="Arial"/>
                <w:color w:val="000000"/>
              </w:rPr>
            </w:pPr>
            <w:r w:rsidRPr="00E95ADC">
              <w:rPr>
                <w:rFonts w:ascii="Arial" w:hAnsi="Arial" w:cs="Arial"/>
                <w:color w:val="000000"/>
              </w:rPr>
              <w:t> 95.75366</w:t>
            </w:r>
          </w:p>
        </w:tc>
        <w:tc>
          <w:tcPr>
            <w:tcW w:w="1355" w:type="dxa"/>
            <w:tcBorders>
              <w:top w:val="single" w:sz="4" w:space="0" w:color="auto"/>
              <w:left w:val="single" w:sz="4" w:space="0" w:color="auto"/>
              <w:bottom w:val="single" w:sz="4" w:space="0" w:color="auto"/>
              <w:right w:val="nil"/>
            </w:tcBorders>
            <w:vAlign w:val="bottom"/>
          </w:tcPr>
          <w:p w14:paraId="1942F6A1" w14:textId="77777777" w:rsidR="00B66DF4" w:rsidRPr="00E95ADC" w:rsidRDefault="00B66DF4" w:rsidP="0066301C">
            <w:pPr>
              <w:autoSpaceDE w:val="0"/>
              <w:autoSpaceDN w:val="0"/>
              <w:adjustRightInd w:val="0"/>
              <w:jc w:val="center"/>
              <w:rPr>
                <w:rFonts w:ascii="Arial" w:hAnsi="Arial" w:cs="Arial"/>
                <w:color w:val="000000"/>
              </w:rPr>
            </w:pPr>
            <w:r w:rsidRPr="00E95ADC">
              <w:rPr>
                <w:rFonts w:ascii="Arial" w:hAnsi="Arial" w:cs="Arial"/>
                <w:color w:val="000000"/>
              </w:rPr>
              <w:t> 0.0000</w:t>
            </w:r>
          </w:p>
        </w:tc>
        <w:tc>
          <w:tcPr>
            <w:tcW w:w="1592" w:type="dxa"/>
            <w:tcBorders>
              <w:top w:val="single" w:sz="4" w:space="0" w:color="auto"/>
              <w:left w:val="single" w:sz="4" w:space="0" w:color="auto"/>
              <w:bottom w:val="single" w:sz="4" w:space="0" w:color="auto"/>
              <w:right w:val="single" w:sz="4" w:space="0" w:color="auto"/>
            </w:tcBorders>
            <w:vAlign w:val="bottom"/>
          </w:tcPr>
          <w:p w14:paraId="38FC4D2A" w14:textId="77777777" w:rsidR="00B66DF4" w:rsidRPr="00E95ADC" w:rsidRDefault="00B66DF4" w:rsidP="0066301C">
            <w:pPr>
              <w:jc w:val="both"/>
              <w:rPr>
                <w:rFonts w:ascii="Arial" w:hAnsi="Arial" w:cs="Arial"/>
              </w:rPr>
            </w:pPr>
            <w:r w:rsidRPr="00E95ADC">
              <w:rPr>
                <w:rFonts w:ascii="Arial" w:hAnsi="Arial" w:cs="Arial"/>
              </w:rPr>
              <w:t>None *</w:t>
            </w:r>
          </w:p>
        </w:tc>
        <w:tc>
          <w:tcPr>
            <w:tcW w:w="1441" w:type="dxa"/>
            <w:tcBorders>
              <w:top w:val="single" w:sz="4" w:space="0" w:color="auto"/>
              <w:left w:val="nil"/>
              <w:bottom w:val="single" w:sz="4" w:space="0" w:color="auto"/>
              <w:right w:val="single" w:sz="4" w:space="0" w:color="auto"/>
            </w:tcBorders>
            <w:vAlign w:val="bottom"/>
          </w:tcPr>
          <w:p w14:paraId="42291375" w14:textId="77777777" w:rsidR="00B66DF4" w:rsidRPr="00E95ADC" w:rsidRDefault="00B66DF4" w:rsidP="0066301C">
            <w:pPr>
              <w:autoSpaceDE w:val="0"/>
              <w:autoSpaceDN w:val="0"/>
              <w:adjustRightInd w:val="0"/>
              <w:jc w:val="center"/>
              <w:rPr>
                <w:rFonts w:ascii="Arial" w:hAnsi="Arial" w:cs="Arial"/>
                <w:color w:val="000000"/>
              </w:rPr>
            </w:pPr>
            <w:r w:rsidRPr="00E95ADC">
              <w:rPr>
                <w:rFonts w:ascii="Arial" w:hAnsi="Arial" w:cs="Arial"/>
                <w:color w:val="000000"/>
              </w:rPr>
              <w:t> 0.939366</w:t>
            </w:r>
          </w:p>
        </w:tc>
        <w:tc>
          <w:tcPr>
            <w:tcW w:w="1441" w:type="dxa"/>
            <w:tcBorders>
              <w:top w:val="single" w:sz="4" w:space="0" w:color="auto"/>
              <w:left w:val="single" w:sz="4" w:space="0" w:color="auto"/>
              <w:bottom w:val="single" w:sz="4" w:space="0" w:color="auto"/>
              <w:right w:val="single" w:sz="4" w:space="0" w:color="auto"/>
            </w:tcBorders>
            <w:vAlign w:val="bottom"/>
          </w:tcPr>
          <w:p w14:paraId="3CDC491E" w14:textId="77777777" w:rsidR="00B66DF4" w:rsidRPr="00E95ADC" w:rsidRDefault="00B66DF4" w:rsidP="0066301C">
            <w:pPr>
              <w:autoSpaceDE w:val="0"/>
              <w:autoSpaceDN w:val="0"/>
              <w:adjustRightInd w:val="0"/>
              <w:jc w:val="center"/>
              <w:rPr>
                <w:rFonts w:ascii="Arial" w:hAnsi="Arial" w:cs="Arial"/>
                <w:color w:val="000000"/>
              </w:rPr>
            </w:pPr>
            <w:r w:rsidRPr="00E95ADC">
              <w:rPr>
                <w:rFonts w:ascii="Arial" w:hAnsi="Arial" w:cs="Arial"/>
                <w:color w:val="000000"/>
              </w:rPr>
              <w:t> 98.10158</w:t>
            </w:r>
          </w:p>
        </w:tc>
        <w:tc>
          <w:tcPr>
            <w:tcW w:w="1441" w:type="dxa"/>
            <w:tcBorders>
              <w:top w:val="single" w:sz="4" w:space="0" w:color="auto"/>
              <w:left w:val="single" w:sz="4" w:space="0" w:color="auto"/>
              <w:bottom w:val="single" w:sz="4" w:space="0" w:color="auto"/>
              <w:right w:val="single" w:sz="4" w:space="0" w:color="auto"/>
            </w:tcBorders>
            <w:vAlign w:val="bottom"/>
          </w:tcPr>
          <w:p w14:paraId="69EDE707" w14:textId="77777777" w:rsidR="00B66DF4" w:rsidRPr="00E95ADC" w:rsidRDefault="00B66DF4" w:rsidP="0066301C">
            <w:pPr>
              <w:autoSpaceDE w:val="0"/>
              <w:autoSpaceDN w:val="0"/>
              <w:adjustRightInd w:val="0"/>
              <w:jc w:val="center"/>
              <w:rPr>
                <w:rFonts w:ascii="Arial" w:hAnsi="Arial" w:cs="Arial"/>
                <w:color w:val="000000"/>
              </w:rPr>
            </w:pPr>
            <w:r w:rsidRPr="00E95ADC">
              <w:rPr>
                <w:rFonts w:ascii="Arial" w:hAnsi="Arial" w:cs="Arial"/>
                <w:color w:val="000000"/>
              </w:rPr>
              <w:t> 40.07757</w:t>
            </w:r>
          </w:p>
        </w:tc>
        <w:tc>
          <w:tcPr>
            <w:tcW w:w="1437" w:type="dxa"/>
            <w:tcBorders>
              <w:top w:val="single" w:sz="4" w:space="0" w:color="auto"/>
              <w:left w:val="single" w:sz="4" w:space="0" w:color="auto"/>
              <w:bottom w:val="single" w:sz="4" w:space="0" w:color="auto"/>
              <w:right w:val="single" w:sz="4" w:space="0" w:color="auto"/>
            </w:tcBorders>
            <w:vAlign w:val="bottom"/>
          </w:tcPr>
          <w:p w14:paraId="66C4DD4B" w14:textId="77777777" w:rsidR="00B66DF4" w:rsidRPr="00E95ADC" w:rsidRDefault="00B66DF4" w:rsidP="0066301C">
            <w:pPr>
              <w:autoSpaceDE w:val="0"/>
              <w:autoSpaceDN w:val="0"/>
              <w:adjustRightInd w:val="0"/>
              <w:jc w:val="center"/>
              <w:rPr>
                <w:rFonts w:ascii="Arial" w:hAnsi="Arial" w:cs="Arial"/>
                <w:color w:val="000000"/>
              </w:rPr>
            </w:pPr>
            <w:r w:rsidRPr="00E95ADC">
              <w:rPr>
                <w:rFonts w:ascii="Arial" w:hAnsi="Arial" w:cs="Arial"/>
                <w:color w:val="000000"/>
              </w:rPr>
              <w:t> 0.0000</w:t>
            </w:r>
          </w:p>
        </w:tc>
      </w:tr>
      <w:tr w:rsidR="00B66DF4" w:rsidRPr="00E95ADC" w14:paraId="5330D49D" w14:textId="77777777" w:rsidTr="004D74AB">
        <w:trPr>
          <w:trHeight w:val="205"/>
        </w:trPr>
        <w:tc>
          <w:tcPr>
            <w:tcW w:w="1401" w:type="dxa"/>
          </w:tcPr>
          <w:p w14:paraId="74CC116F" w14:textId="77777777" w:rsidR="00B66DF4" w:rsidRPr="00E95ADC" w:rsidRDefault="00B66DF4" w:rsidP="0066301C">
            <w:pPr>
              <w:jc w:val="both"/>
              <w:rPr>
                <w:rFonts w:ascii="Arial" w:hAnsi="Arial" w:cs="Arial"/>
              </w:rPr>
            </w:pPr>
            <w:r w:rsidRPr="00E95ADC">
              <w:rPr>
                <w:rFonts w:ascii="Arial" w:hAnsi="Arial" w:cs="Arial"/>
              </w:rPr>
              <w:t>At most 1*</w:t>
            </w:r>
          </w:p>
        </w:tc>
        <w:tc>
          <w:tcPr>
            <w:tcW w:w="1176" w:type="dxa"/>
            <w:tcBorders>
              <w:top w:val="single" w:sz="4" w:space="0" w:color="auto"/>
              <w:left w:val="nil"/>
              <w:bottom w:val="single" w:sz="4" w:space="0" w:color="auto"/>
              <w:right w:val="single" w:sz="4" w:space="0" w:color="auto"/>
            </w:tcBorders>
            <w:vAlign w:val="bottom"/>
          </w:tcPr>
          <w:p w14:paraId="53C5B2C1" w14:textId="77777777" w:rsidR="00B66DF4" w:rsidRPr="00E95ADC" w:rsidRDefault="00B66DF4" w:rsidP="0066301C">
            <w:pPr>
              <w:autoSpaceDE w:val="0"/>
              <w:autoSpaceDN w:val="0"/>
              <w:adjustRightInd w:val="0"/>
              <w:jc w:val="center"/>
              <w:rPr>
                <w:rFonts w:ascii="Arial" w:hAnsi="Arial" w:cs="Arial"/>
                <w:color w:val="000000"/>
              </w:rPr>
            </w:pPr>
            <w:r w:rsidRPr="00E95ADC">
              <w:rPr>
                <w:rFonts w:ascii="Arial" w:hAnsi="Arial" w:cs="Arial"/>
                <w:color w:val="000000"/>
              </w:rPr>
              <w:t> 0.895780</w:t>
            </w:r>
          </w:p>
        </w:tc>
        <w:tc>
          <w:tcPr>
            <w:tcW w:w="1176" w:type="dxa"/>
            <w:tcBorders>
              <w:top w:val="single" w:sz="4" w:space="0" w:color="auto"/>
              <w:left w:val="single" w:sz="4" w:space="0" w:color="auto"/>
              <w:bottom w:val="single" w:sz="4" w:space="0" w:color="auto"/>
              <w:right w:val="single" w:sz="4" w:space="0" w:color="auto"/>
            </w:tcBorders>
            <w:vAlign w:val="bottom"/>
          </w:tcPr>
          <w:p w14:paraId="62677173" w14:textId="77777777" w:rsidR="00B66DF4" w:rsidRPr="00E95ADC" w:rsidRDefault="00B66DF4" w:rsidP="0066301C">
            <w:pPr>
              <w:autoSpaceDE w:val="0"/>
              <w:autoSpaceDN w:val="0"/>
              <w:adjustRightInd w:val="0"/>
              <w:jc w:val="center"/>
              <w:rPr>
                <w:rFonts w:ascii="Arial" w:hAnsi="Arial" w:cs="Arial"/>
                <w:color w:val="000000"/>
              </w:rPr>
            </w:pPr>
            <w:r w:rsidRPr="00E95ADC">
              <w:rPr>
                <w:rFonts w:ascii="Arial" w:hAnsi="Arial" w:cs="Arial"/>
                <w:color w:val="000000"/>
              </w:rPr>
              <w:t> 179.0211</w:t>
            </w:r>
          </w:p>
        </w:tc>
        <w:tc>
          <w:tcPr>
            <w:tcW w:w="1298" w:type="dxa"/>
            <w:tcBorders>
              <w:top w:val="single" w:sz="4" w:space="0" w:color="auto"/>
              <w:left w:val="single" w:sz="4" w:space="0" w:color="auto"/>
              <w:bottom w:val="single" w:sz="4" w:space="0" w:color="auto"/>
              <w:right w:val="single" w:sz="4" w:space="0" w:color="auto"/>
            </w:tcBorders>
            <w:vAlign w:val="bottom"/>
          </w:tcPr>
          <w:p w14:paraId="357832BA" w14:textId="77777777" w:rsidR="00B66DF4" w:rsidRPr="00E95ADC" w:rsidRDefault="00B66DF4" w:rsidP="0066301C">
            <w:pPr>
              <w:autoSpaceDE w:val="0"/>
              <w:autoSpaceDN w:val="0"/>
              <w:adjustRightInd w:val="0"/>
              <w:jc w:val="center"/>
              <w:rPr>
                <w:rFonts w:ascii="Arial" w:hAnsi="Arial" w:cs="Arial"/>
                <w:color w:val="000000"/>
              </w:rPr>
            </w:pPr>
            <w:r w:rsidRPr="00E95ADC">
              <w:rPr>
                <w:rFonts w:ascii="Arial" w:hAnsi="Arial" w:cs="Arial"/>
                <w:color w:val="000000"/>
              </w:rPr>
              <w:t> 69.81889</w:t>
            </w:r>
          </w:p>
        </w:tc>
        <w:tc>
          <w:tcPr>
            <w:tcW w:w="1355" w:type="dxa"/>
            <w:tcBorders>
              <w:top w:val="single" w:sz="4" w:space="0" w:color="auto"/>
              <w:left w:val="single" w:sz="4" w:space="0" w:color="auto"/>
              <w:bottom w:val="single" w:sz="4" w:space="0" w:color="auto"/>
              <w:right w:val="nil"/>
            </w:tcBorders>
            <w:vAlign w:val="bottom"/>
          </w:tcPr>
          <w:p w14:paraId="5F3EDD43" w14:textId="77777777" w:rsidR="00B66DF4" w:rsidRPr="00E95ADC" w:rsidRDefault="00B66DF4" w:rsidP="0066301C">
            <w:pPr>
              <w:autoSpaceDE w:val="0"/>
              <w:autoSpaceDN w:val="0"/>
              <w:adjustRightInd w:val="0"/>
              <w:jc w:val="center"/>
              <w:rPr>
                <w:rFonts w:ascii="Arial" w:hAnsi="Arial" w:cs="Arial"/>
                <w:color w:val="000000"/>
              </w:rPr>
            </w:pPr>
            <w:r w:rsidRPr="00E95ADC">
              <w:rPr>
                <w:rFonts w:ascii="Arial" w:hAnsi="Arial" w:cs="Arial"/>
                <w:color w:val="000000"/>
              </w:rPr>
              <w:t> 0.0000</w:t>
            </w:r>
          </w:p>
        </w:tc>
        <w:tc>
          <w:tcPr>
            <w:tcW w:w="1592" w:type="dxa"/>
            <w:tcBorders>
              <w:top w:val="single" w:sz="4" w:space="0" w:color="auto"/>
              <w:left w:val="single" w:sz="4" w:space="0" w:color="auto"/>
              <w:bottom w:val="single" w:sz="4" w:space="0" w:color="auto"/>
              <w:right w:val="single" w:sz="4" w:space="0" w:color="auto"/>
            </w:tcBorders>
          </w:tcPr>
          <w:p w14:paraId="09BB4F6D" w14:textId="77777777" w:rsidR="00B66DF4" w:rsidRPr="00E95ADC" w:rsidRDefault="00B66DF4" w:rsidP="0066301C">
            <w:pPr>
              <w:jc w:val="both"/>
              <w:rPr>
                <w:rFonts w:ascii="Arial" w:hAnsi="Arial" w:cs="Arial"/>
              </w:rPr>
            </w:pPr>
            <w:r w:rsidRPr="00E95ADC">
              <w:rPr>
                <w:rFonts w:ascii="Arial" w:hAnsi="Arial" w:cs="Arial"/>
              </w:rPr>
              <w:t>At most 1*</w:t>
            </w:r>
          </w:p>
        </w:tc>
        <w:tc>
          <w:tcPr>
            <w:tcW w:w="1441" w:type="dxa"/>
            <w:tcBorders>
              <w:top w:val="single" w:sz="4" w:space="0" w:color="auto"/>
              <w:left w:val="nil"/>
              <w:bottom w:val="single" w:sz="4" w:space="0" w:color="auto"/>
              <w:right w:val="single" w:sz="4" w:space="0" w:color="auto"/>
            </w:tcBorders>
            <w:vAlign w:val="bottom"/>
          </w:tcPr>
          <w:p w14:paraId="71E2B447" w14:textId="77777777" w:rsidR="00B66DF4" w:rsidRPr="00E95ADC" w:rsidRDefault="00B66DF4" w:rsidP="0066301C">
            <w:pPr>
              <w:autoSpaceDE w:val="0"/>
              <w:autoSpaceDN w:val="0"/>
              <w:adjustRightInd w:val="0"/>
              <w:jc w:val="center"/>
              <w:rPr>
                <w:rFonts w:ascii="Arial" w:hAnsi="Arial" w:cs="Arial"/>
                <w:color w:val="000000"/>
              </w:rPr>
            </w:pPr>
            <w:r w:rsidRPr="00E95ADC">
              <w:rPr>
                <w:rFonts w:ascii="Arial" w:hAnsi="Arial" w:cs="Arial"/>
                <w:color w:val="000000"/>
              </w:rPr>
              <w:t> 0.895780</w:t>
            </w:r>
          </w:p>
        </w:tc>
        <w:tc>
          <w:tcPr>
            <w:tcW w:w="1441" w:type="dxa"/>
            <w:tcBorders>
              <w:top w:val="single" w:sz="4" w:space="0" w:color="auto"/>
              <w:left w:val="single" w:sz="4" w:space="0" w:color="auto"/>
              <w:bottom w:val="single" w:sz="4" w:space="0" w:color="auto"/>
              <w:right w:val="single" w:sz="4" w:space="0" w:color="auto"/>
            </w:tcBorders>
            <w:vAlign w:val="bottom"/>
          </w:tcPr>
          <w:p w14:paraId="212B0407" w14:textId="77777777" w:rsidR="00B66DF4" w:rsidRPr="00E95ADC" w:rsidRDefault="00B66DF4" w:rsidP="0066301C">
            <w:pPr>
              <w:autoSpaceDE w:val="0"/>
              <w:autoSpaceDN w:val="0"/>
              <w:adjustRightInd w:val="0"/>
              <w:jc w:val="center"/>
              <w:rPr>
                <w:rFonts w:ascii="Arial" w:hAnsi="Arial" w:cs="Arial"/>
                <w:color w:val="000000"/>
              </w:rPr>
            </w:pPr>
            <w:r w:rsidRPr="00E95ADC">
              <w:rPr>
                <w:rFonts w:ascii="Arial" w:hAnsi="Arial" w:cs="Arial"/>
                <w:color w:val="000000"/>
              </w:rPr>
              <w:t> 79.14395</w:t>
            </w:r>
          </w:p>
        </w:tc>
        <w:tc>
          <w:tcPr>
            <w:tcW w:w="1441" w:type="dxa"/>
            <w:tcBorders>
              <w:top w:val="single" w:sz="4" w:space="0" w:color="auto"/>
              <w:left w:val="single" w:sz="4" w:space="0" w:color="auto"/>
              <w:bottom w:val="single" w:sz="4" w:space="0" w:color="auto"/>
              <w:right w:val="single" w:sz="4" w:space="0" w:color="auto"/>
            </w:tcBorders>
            <w:vAlign w:val="bottom"/>
          </w:tcPr>
          <w:p w14:paraId="0A463A51" w14:textId="77777777" w:rsidR="00B66DF4" w:rsidRPr="00E95ADC" w:rsidRDefault="00B66DF4" w:rsidP="0066301C">
            <w:pPr>
              <w:autoSpaceDE w:val="0"/>
              <w:autoSpaceDN w:val="0"/>
              <w:adjustRightInd w:val="0"/>
              <w:jc w:val="center"/>
              <w:rPr>
                <w:rFonts w:ascii="Arial" w:hAnsi="Arial" w:cs="Arial"/>
                <w:color w:val="000000"/>
              </w:rPr>
            </w:pPr>
            <w:r w:rsidRPr="00E95ADC">
              <w:rPr>
                <w:rFonts w:ascii="Arial" w:hAnsi="Arial" w:cs="Arial"/>
                <w:color w:val="000000"/>
              </w:rPr>
              <w:t> 33.87687</w:t>
            </w:r>
          </w:p>
        </w:tc>
        <w:tc>
          <w:tcPr>
            <w:tcW w:w="1437" w:type="dxa"/>
            <w:tcBorders>
              <w:top w:val="single" w:sz="4" w:space="0" w:color="auto"/>
              <w:left w:val="single" w:sz="4" w:space="0" w:color="auto"/>
              <w:bottom w:val="single" w:sz="4" w:space="0" w:color="auto"/>
              <w:right w:val="single" w:sz="4" w:space="0" w:color="auto"/>
            </w:tcBorders>
            <w:vAlign w:val="bottom"/>
          </w:tcPr>
          <w:p w14:paraId="4337EAA0" w14:textId="77777777" w:rsidR="00B66DF4" w:rsidRPr="00E95ADC" w:rsidRDefault="00B66DF4" w:rsidP="0066301C">
            <w:pPr>
              <w:autoSpaceDE w:val="0"/>
              <w:autoSpaceDN w:val="0"/>
              <w:adjustRightInd w:val="0"/>
              <w:jc w:val="center"/>
              <w:rPr>
                <w:rFonts w:ascii="Arial" w:hAnsi="Arial" w:cs="Arial"/>
                <w:color w:val="000000"/>
              </w:rPr>
            </w:pPr>
            <w:r w:rsidRPr="00E95ADC">
              <w:rPr>
                <w:rFonts w:ascii="Arial" w:hAnsi="Arial" w:cs="Arial"/>
                <w:color w:val="000000"/>
              </w:rPr>
              <w:t> 0.0000</w:t>
            </w:r>
          </w:p>
        </w:tc>
      </w:tr>
      <w:tr w:rsidR="00B66DF4" w:rsidRPr="00E95ADC" w14:paraId="43A789C6" w14:textId="77777777" w:rsidTr="004D74AB">
        <w:tc>
          <w:tcPr>
            <w:tcW w:w="1401" w:type="dxa"/>
          </w:tcPr>
          <w:p w14:paraId="135978BC" w14:textId="77777777" w:rsidR="00B66DF4" w:rsidRPr="00E95ADC" w:rsidRDefault="00B66DF4" w:rsidP="0066301C">
            <w:pPr>
              <w:jc w:val="both"/>
              <w:rPr>
                <w:rFonts w:ascii="Arial" w:hAnsi="Arial" w:cs="Arial"/>
              </w:rPr>
            </w:pPr>
            <w:r w:rsidRPr="00E95ADC">
              <w:rPr>
                <w:rFonts w:ascii="Arial" w:hAnsi="Arial" w:cs="Arial"/>
              </w:rPr>
              <w:t>At most 2*</w:t>
            </w:r>
          </w:p>
        </w:tc>
        <w:tc>
          <w:tcPr>
            <w:tcW w:w="1176" w:type="dxa"/>
            <w:tcBorders>
              <w:top w:val="single" w:sz="4" w:space="0" w:color="auto"/>
              <w:left w:val="nil"/>
              <w:bottom w:val="single" w:sz="4" w:space="0" w:color="auto"/>
              <w:right w:val="single" w:sz="4" w:space="0" w:color="auto"/>
            </w:tcBorders>
            <w:vAlign w:val="bottom"/>
          </w:tcPr>
          <w:p w14:paraId="6A7974C6" w14:textId="77777777" w:rsidR="00B66DF4" w:rsidRPr="00E95ADC" w:rsidRDefault="00B66DF4" w:rsidP="0066301C">
            <w:pPr>
              <w:autoSpaceDE w:val="0"/>
              <w:autoSpaceDN w:val="0"/>
              <w:adjustRightInd w:val="0"/>
              <w:jc w:val="center"/>
              <w:rPr>
                <w:rFonts w:ascii="Arial" w:hAnsi="Arial" w:cs="Arial"/>
                <w:color w:val="000000"/>
              </w:rPr>
            </w:pPr>
            <w:r w:rsidRPr="00E95ADC">
              <w:rPr>
                <w:rFonts w:ascii="Arial" w:hAnsi="Arial" w:cs="Arial"/>
                <w:color w:val="000000"/>
              </w:rPr>
              <w:t> 0.660673</w:t>
            </w:r>
          </w:p>
        </w:tc>
        <w:tc>
          <w:tcPr>
            <w:tcW w:w="1176" w:type="dxa"/>
            <w:tcBorders>
              <w:top w:val="single" w:sz="4" w:space="0" w:color="auto"/>
              <w:left w:val="single" w:sz="4" w:space="0" w:color="auto"/>
              <w:bottom w:val="single" w:sz="4" w:space="0" w:color="auto"/>
              <w:right w:val="single" w:sz="4" w:space="0" w:color="auto"/>
            </w:tcBorders>
            <w:vAlign w:val="bottom"/>
          </w:tcPr>
          <w:p w14:paraId="5081BDC6" w14:textId="77777777" w:rsidR="00B66DF4" w:rsidRPr="00E95ADC" w:rsidRDefault="00B66DF4" w:rsidP="0066301C">
            <w:pPr>
              <w:autoSpaceDE w:val="0"/>
              <w:autoSpaceDN w:val="0"/>
              <w:adjustRightInd w:val="0"/>
              <w:jc w:val="center"/>
              <w:rPr>
                <w:rFonts w:ascii="Arial" w:hAnsi="Arial" w:cs="Arial"/>
                <w:color w:val="000000"/>
              </w:rPr>
            </w:pPr>
            <w:r w:rsidRPr="00E95ADC">
              <w:rPr>
                <w:rFonts w:ascii="Arial" w:hAnsi="Arial" w:cs="Arial"/>
                <w:color w:val="000000"/>
              </w:rPr>
              <w:t> 99.87719</w:t>
            </w:r>
          </w:p>
        </w:tc>
        <w:tc>
          <w:tcPr>
            <w:tcW w:w="1298" w:type="dxa"/>
            <w:tcBorders>
              <w:top w:val="single" w:sz="4" w:space="0" w:color="auto"/>
              <w:left w:val="single" w:sz="4" w:space="0" w:color="auto"/>
              <w:bottom w:val="single" w:sz="4" w:space="0" w:color="auto"/>
              <w:right w:val="single" w:sz="4" w:space="0" w:color="auto"/>
            </w:tcBorders>
            <w:vAlign w:val="bottom"/>
          </w:tcPr>
          <w:p w14:paraId="1C5A39B6" w14:textId="77777777" w:rsidR="00B66DF4" w:rsidRPr="00E95ADC" w:rsidRDefault="00B66DF4" w:rsidP="0066301C">
            <w:pPr>
              <w:autoSpaceDE w:val="0"/>
              <w:autoSpaceDN w:val="0"/>
              <w:adjustRightInd w:val="0"/>
              <w:jc w:val="center"/>
              <w:rPr>
                <w:rFonts w:ascii="Arial" w:hAnsi="Arial" w:cs="Arial"/>
                <w:color w:val="000000"/>
              </w:rPr>
            </w:pPr>
            <w:r w:rsidRPr="00E95ADC">
              <w:rPr>
                <w:rFonts w:ascii="Arial" w:hAnsi="Arial" w:cs="Arial"/>
                <w:color w:val="000000"/>
              </w:rPr>
              <w:t> 47.85613</w:t>
            </w:r>
          </w:p>
        </w:tc>
        <w:tc>
          <w:tcPr>
            <w:tcW w:w="1355" w:type="dxa"/>
            <w:tcBorders>
              <w:top w:val="single" w:sz="4" w:space="0" w:color="auto"/>
              <w:left w:val="single" w:sz="4" w:space="0" w:color="auto"/>
              <w:bottom w:val="single" w:sz="4" w:space="0" w:color="auto"/>
              <w:right w:val="nil"/>
            </w:tcBorders>
            <w:vAlign w:val="bottom"/>
          </w:tcPr>
          <w:p w14:paraId="4C64BA5B" w14:textId="77777777" w:rsidR="00B66DF4" w:rsidRPr="00E95ADC" w:rsidRDefault="00B66DF4" w:rsidP="0066301C">
            <w:pPr>
              <w:autoSpaceDE w:val="0"/>
              <w:autoSpaceDN w:val="0"/>
              <w:adjustRightInd w:val="0"/>
              <w:jc w:val="center"/>
              <w:rPr>
                <w:rFonts w:ascii="Arial" w:hAnsi="Arial" w:cs="Arial"/>
                <w:color w:val="000000"/>
              </w:rPr>
            </w:pPr>
            <w:r w:rsidRPr="00E95ADC">
              <w:rPr>
                <w:rFonts w:ascii="Arial" w:hAnsi="Arial" w:cs="Arial"/>
                <w:color w:val="000000"/>
              </w:rPr>
              <w:t> 0.0000</w:t>
            </w:r>
          </w:p>
        </w:tc>
        <w:tc>
          <w:tcPr>
            <w:tcW w:w="1592" w:type="dxa"/>
            <w:tcBorders>
              <w:top w:val="single" w:sz="4" w:space="0" w:color="auto"/>
              <w:left w:val="single" w:sz="4" w:space="0" w:color="auto"/>
              <w:bottom w:val="single" w:sz="4" w:space="0" w:color="auto"/>
              <w:right w:val="single" w:sz="4" w:space="0" w:color="auto"/>
            </w:tcBorders>
          </w:tcPr>
          <w:p w14:paraId="4F4E1A96" w14:textId="77777777" w:rsidR="00B66DF4" w:rsidRPr="00E95ADC" w:rsidRDefault="00B66DF4" w:rsidP="0066301C">
            <w:pPr>
              <w:jc w:val="both"/>
              <w:rPr>
                <w:rFonts w:ascii="Arial" w:hAnsi="Arial" w:cs="Arial"/>
              </w:rPr>
            </w:pPr>
            <w:r w:rsidRPr="00E95ADC">
              <w:rPr>
                <w:rFonts w:ascii="Arial" w:hAnsi="Arial" w:cs="Arial"/>
              </w:rPr>
              <w:t>At most 2*</w:t>
            </w:r>
          </w:p>
        </w:tc>
        <w:tc>
          <w:tcPr>
            <w:tcW w:w="1441" w:type="dxa"/>
            <w:tcBorders>
              <w:top w:val="single" w:sz="4" w:space="0" w:color="auto"/>
              <w:left w:val="nil"/>
              <w:bottom w:val="single" w:sz="4" w:space="0" w:color="auto"/>
              <w:right w:val="single" w:sz="4" w:space="0" w:color="auto"/>
            </w:tcBorders>
            <w:vAlign w:val="bottom"/>
          </w:tcPr>
          <w:p w14:paraId="025ECB0E" w14:textId="77777777" w:rsidR="00B66DF4" w:rsidRPr="00E95ADC" w:rsidRDefault="00B66DF4" w:rsidP="0066301C">
            <w:pPr>
              <w:autoSpaceDE w:val="0"/>
              <w:autoSpaceDN w:val="0"/>
              <w:adjustRightInd w:val="0"/>
              <w:jc w:val="center"/>
              <w:rPr>
                <w:rFonts w:ascii="Arial" w:hAnsi="Arial" w:cs="Arial"/>
                <w:color w:val="000000"/>
              </w:rPr>
            </w:pPr>
            <w:r w:rsidRPr="00E95ADC">
              <w:rPr>
                <w:rFonts w:ascii="Arial" w:hAnsi="Arial" w:cs="Arial"/>
                <w:color w:val="000000"/>
              </w:rPr>
              <w:t> 0.660673</w:t>
            </w:r>
          </w:p>
        </w:tc>
        <w:tc>
          <w:tcPr>
            <w:tcW w:w="1441" w:type="dxa"/>
            <w:tcBorders>
              <w:top w:val="single" w:sz="4" w:space="0" w:color="auto"/>
              <w:left w:val="single" w:sz="4" w:space="0" w:color="auto"/>
              <w:bottom w:val="single" w:sz="4" w:space="0" w:color="auto"/>
              <w:right w:val="single" w:sz="4" w:space="0" w:color="auto"/>
            </w:tcBorders>
            <w:vAlign w:val="bottom"/>
          </w:tcPr>
          <w:p w14:paraId="09A09468" w14:textId="77777777" w:rsidR="00B66DF4" w:rsidRPr="00E95ADC" w:rsidRDefault="00B66DF4" w:rsidP="0066301C">
            <w:pPr>
              <w:autoSpaceDE w:val="0"/>
              <w:autoSpaceDN w:val="0"/>
              <w:adjustRightInd w:val="0"/>
              <w:jc w:val="center"/>
              <w:rPr>
                <w:rFonts w:ascii="Arial" w:hAnsi="Arial" w:cs="Arial"/>
                <w:color w:val="000000"/>
              </w:rPr>
            </w:pPr>
            <w:r w:rsidRPr="00E95ADC">
              <w:rPr>
                <w:rFonts w:ascii="Arial" w:hAnsi="Arial" w:cs="Arial"/>
                <w:color w:val="000000"/>
              </w:rPr>
              <w:t> 37.82767</w:t>
            </w:r>
          </w:p>
        </w:tc>
        <w:tc>
          <w:tcPr>
            <w:tcW w:w="1441" w:type="dxa"/>
            <w:tcBorders>
              <w:top w:val="single" w:sz="4" w:space="0" w:color="auto"/>
              <w:left w:val="single" w:sz="4" w:space="0" w:color="auto"/>
              <w:bottom w:val="single" w:sz="4" w:space="0" w:color="auto"/>
              <w:right w:val="single" w:sz="4" w:space="0" w:color="auto"/>
            </w:tcBorders>
            <w:vAlign w:val="bottom"/>
          </w:tcPr>
          <w:p w14:paraId="706A15B9" w14:textId="77777777" w:rsidR="00B66DF4" w:rsidRPr="00E95ADC" w:rsidRDefault="00B66DF4" w:rsidP="0066301C">
            <w:pPr>
              <w:autoSpaceDE w:val="0"/>
              <w:autoSpaceDN w:val="0"/>
              <w:adjustRightInd w:val="0"/>
              <w:jc w:val="center"/>
              <w:rPr>
                <w:rFonts w:ascii="Arial" w:hAnsi="Arial" w:cs="Arial"/>
                <w:color w:val="000000"/>
              </w:rPr>
            </w:pPr>
            <w:r w:rsidRPr="00E95ADC">
              <w:rPr>
                <w:rFonts w:ascii="Arial" w:hAnsi="Arial" w:cs="Arial"/>
                <w:color w:val="000000"/>
              </w:rPr>
              <w:t> 27.58434</w:t>
            </w:r>
          </w:p>
        </w:tc>
        <w:tc>
          <w:tcPr>
            <w:tcW w:w="1437" w:type="dxa"/>
            <w:tcBorders>
              <w:top w:val="single" w:sz="4" w:space="0" w:color="auto"/>
              <w:left w:val="single" w:sz="4" w:space="0" w:color="auto"/>
              <w:bottom w:val="single" w:sz="4" w:space="0" w:color="auto"/>
              <w:right w:val="single" w:sz="4" w:space="0" w:color="auto"/>
            </w:tcBorders>
            <w:vAlign w:val="bottom"/>
          </w:tcPr>
          <w:p w14:paraId="30D05708" w14:textId="77777777" w:rsidR="00B66DF4" w:rsidRPr="00E95ADC" w:rsidRDefault="00B66DF4" w:rsidP="0066301C">
            <w:pPr>
              <w:autoSpaceDE w:val="0"/>
              <w:autoSpaceDN w:val="0"/>
              <w:adjustRightInd w:val="0"/>
              <w:jc w:val="center"/>
              <w:rPr>
                <w:rFonts w:ascii="Arial" w:hAnsi="Arial" w:cs="Arial"/>
                <w:color w:val="000000"/>
              </w:rPr>
            </w:pPr>
            <w:r w:rsidRPr="00E95ADC">
              <w:rPr>
                <w:rFonts w:ascii="Arial" w:hAnsi="Arial" w:cs="Arial"/>
                <w:color w:val="000000"/>
              </w:rPr>
              <w:t> 0.0017</w:t>
            </w:r>
          </w:p>
        </w:tc>
      </w:tr>
      <w:tr w:rsidR="00B66DF4" w:rsidRPr="00E95ADC" w14:paraId="5B087C90" w14:textId="77777777" w:rsidTr="004D74AB">
        <w:tc>
          <w:tcPr>
            <w:tcW w:w="1401" w:type="dxa"/>
          </w:tcPr>
          <w:p w14:paraId="0D5D4FCB" w14:textId="77777777" w:rsidR="00B66DF4" w:rsidRPr="00E95ADC" w:rsidRDefault="00B66DF4" w:rsidP="0066301C">
            <w:pPr>
              <w:jc w:val="both"/>
              <w:rPr>
                <w:rFonts w:ascii="Arial" w:hAnsi="Arial" w:cs="Arial"/>
              </w:rPr>
            </w:pPr>
            <w:r w:rsidRPr="00E95ADC">
              <w:rPr>
                <w:rFonts w:ascii="Arial" w:hAnsi="Arial" w:cs="Arial"/>
              </w:rPr>
              <w:t>At most 3*</w:t>
            </w:r>
          </w:p>
        </w:tc>
        <w:tc>
          <w:tcPr>
            <w:tcW w:w="1176" w:type="dxa"/>
            <w:tcBorders>
              <w:top w:val="single" w:sz="4" w:space="0" w:color="auto"/>
              <w:left w:val="nil"/>
              <w:bottom w:val="single" w:sz="4" w:space="0" w:color="auto"/>
              <w:right w:val="single" w:sz="4" w:space="0" w:color="auto"/>
            </w:tcBorders>
            <w:vAlign w:val="bottom"/>
          </w:tcPr>
          <w:p w14:paraId="4FCAD093" w14:textId="77777777" w:rsidR="00B66DF4" w:rsidRPr="00E95ADC" w:rsidRDefault="00B66DF4" w:rsidP="0066301C">
            <w:pPr>
              <w:autoSpaceDE w:val="0"/>
              <w:autoSpaceDN w:val="0"/>
              <w:adjustRightInd w:val="0"/>
              <w:jc w:val="center"/>
              <w:rPr>
                <w:rFonts w:ascii="Arial" w:hAnsi="Arial" w:cs="Arial"/>
                <w:color w:val="000000"/>
              </w:rPr>
            </w:pPr>
            <w:r w:rsidRPr="00E95ADC">
              <w:rPr>
                <w:rFonts w:ascii="Arial" w:hAnsi="Arial" w:cs="Arial"/>
                <w:color w:val="000000"/>
              </w:rPr>
              <w:t> 0.639803</w:t>
            </w:r>
          </w:p>
        </w:tc>
        <w:tc>
          <w:tcPr>
            <w:tcW w:w="1176" w:type="dxa"/>
            <w:tcBorders>
              <w:top w:val="single" w:sz="4" w:space="0" w:color="auto"/>
              <w:left w:val="single" w:sz="4" w:space="0" w:color="auto"/>
              <w:bottom w:val="single" w:sz="4" w:space="0" w:color="auto"/>
              <w:right w:val="single" w:sz="4" w:space="0" w:color="auto"/>
            </w:tcBorders>
            <w:vAlign w:val="bottom"/>
          </w:tcPr>
          <w:p w14:paraId="32B0693A" w14:textId="77777777" w:rsidR="00B66DF4" w:rsidRPr="00E95ADC" w:rsidRDefault="00B66DF4" w:rsidP="0066301C">
            <w:pPr>
              <w:autoSpaceDE w:val="0"/>
              <w:autoSpaceDN w:val="0"/>
              <w:adjustRightInd w:val="0"/>
              <w:jc w:val="center"/>
              <w:rPr>
                <w:rFonts w:ascii="Arial" w:hAnsi="Arial" w:cs="Arial"/>
                <w:color w:val="000000"/>
              </w:rPr>
            </w:pPr>
            <w:r w:rsidRPr="00E95ADC">
              <w:rPr>
                <w:rFonts w:ascii="Arial" w:hAnsi="Arial" w:cs="Arial"/>
                <w:color w:val="000000"/>
              </w:rPr>
              <w:t> 62.04952</w:t>
            </w:r>
          </w:p>
        </w:tc>
        <w:tc>
          <w:tcPr>
            <w:tcW w:w="1298" w:type="dxa"/>
            <w:tcBorders>
              <w:top w:val="single" w:sz="4" w:space="0" w:color="auto"/>
              <w:left w:val="single" w:sz="4" w:space="0" w:color="auto"/>
              <w:bottom w:val="single" w:sz="4" w:space="0" w:color="auto"/>
              <w:right w:val="single" w:sz="4" w:space="0" w:color="auto"/>
            </w:tcBorders>
            <w:vAlign w:val="bottom"/>
          </w:tcPr>
          <w:p w14:paraId="34C19709" w14:textId="77777777" w:rsidR="00B66DF4" w:rsidRPr="00E95ADC" w:rsidRDefault="00B66DF4" w:rsidP="0066301C">
            <w:pPr>
              <w:autoSpaceDE w:val="0"/>
              <w:autoSpaceDN w:val="0"/>
              <w:adjustRightInd w:val="0"/>
              <w:jc w:val="center"/>
              <w:rPr>
                <w:rFonts w:ascii="Arial" w:hAnsi="Arial" w:cs="Arial"/>
                <w:color w:val="000000"/>
              </w:rPr>
            </w:pPr>
            <w:r w:rsidRPr="00E95ADC">
              <w:rPr>
                <w:rFonts w:ascii="Arial" w:hAnsi="Arial" w:cs="Arial"/>
                <w:color w:val="000000"/>
              </w:rPr>
              <w:t> 29.79707</w:t>
            </w:r>
          </w:p>
        </w:tc>
        <w:tc>
          <w:tcPr>
            <w:tcW w:w="1355" w:type="dxa"/>
            <w:tcBorders>
              <w:top w:val="single" w:sz="4" w:space="0" w:color="auto"/>
              <w:left w:val="single" w:sz="4" w:space="0" w:color="auto"/>
              <w:bottom w:val="single" w:sz="4" w:space="0" w:color="auto"/>
              <w:right w:val="nil"/>
            </w:tcBorders>
            <w:vAlign w:val="bottom"/>
          </w:tcPr>
          <w:p w14:paraId="01CBFA42" w14:textId="77777777" w:rsidR="00B66DF4" w:rsidRPr="00E95ADC" w:rsidRDefault="00B66DF4" w:rsidP="0066301C">
            <w:pPr>
              <w:autoSpaceDE w:val="0"/>
              <w:autoSpaceDN w:val="0"/>
              <w:adjustRightInd w:val="0"/>
              <w:jc w:val="center"/>
              <w:rPr>
                <w:rFonts w:ascii="Arial" w:hAnsi="Arial" w:cs="Arial"/>
                <w:color w:val="000000"/>
              </w:rPr>
            </w:pPr>
            <w:r w:rsidRPr="00E95ADC">
              <w:rPr>
                <w:rFonts w:ascii="Arial" w:hAnsi="Arial" w:cs="Arial"/>
                <w:color w:val="000000"/>
              </w:rPr>
              <w:t> 0.0000</w:t>
            </w:r>
          </w:p>
        </w:tc>
        <w:tc>
          <w:tcPr>
            <w:tcW w:w="1592" w:type="dxa"/>
            <w:tcBorders>
              <w:top w:val="single" w:sz="4" w:space="0" w:color="auto"/>
              <w:left w:val="single" w:sz="4" w:space="0" w:color="auto"/>
              <w:bottom w:val="single" w:sz="4" w:space="0" w:color="auto"/>
              <w:right w:val="single" w:sz="4" w:space="0" w:color="auto"/>
            </w:tcBorders>
          </w:tcPr>
          <w:p w14:paraId="094C5C1E" w14:textId="77777777" w:rsidR="00B66DF4" w:rsidRPr="00E95ADC" w:rsidRDefault="00B66DF4" w:rsidP="0066301C">
            <w:pPr>
              <w:jc w:val="both"/>
              <w:rPr>
                <w:rFonts w:ascii="Arial" w:hAnsi="Arial" w:cs="Arial"/>
              </w:rPr>
            </w:pPr>
            <w:r w:rsidRPr="00E95ADC">
              <w:rPr>
                <w:rFonts w:ascii="Arial" w:hAnsi="Arial" w:cs="Arial"/>
              </w:rPr>
              <w:t>At most 3*</w:t>
            </w:r>
          </w:p>
        </w:tc>
        <w:tc>
          <w:tcPr>
            <w:tcW w:w="1441" w:type="dxa"/>
            <w:tcBorders>
              <w:top w:val="single" w:sz="4" w:space="0" w:color="auto"/>
              <w:left w:val="nil"/>
              <w:bottom w:val="single" w:sz="4" w:space="0" w:color="auto"/>
              <w:right w:val="single" w:sz="4" w:space="0" w:color="auto"/>
            </w:tcBorders>
            <w:vAlign w:val="bottom"/>
          </w:tcPr>
          <w:p w14:paraId="5176AFD6" w14:textId="77777777" w:rsidR="00B66DF4" w:rsidRPr="00E95ADC" w:rsidRDefault="00B66DF4" w:rsidP="0066301C">
            <w:pPr>
              <w:autoSpaceDE w:val="0"/>
              <w:autoSpaceDN w:val="0"/>
              <w:adjustRightInd w:val="0"/>
              <w:jc w:val="center"/>
              <w:rPr>
                <w:rFonts w:ascii="Arial" w:hAnsi="Arial" w:cs="Arial"/>
                <w:color w:val="000000"/>
              </w:rPr>
            </w:pPr>
            <w:r w:rsidRPr="00E95ADC">
              <w:rPr>
                <w:rFonts w:ascii="Arial" w:hAnsi="Arial" w:cs="Arial"/>
                <w:color w:val="000000"/>
              </w:rPr>
              <w:t> 0.639803</w:t>
            </w:r>
          </w:p>
        </w:tc>
        <w:tc>
          <w:tcPr>
            <w:tcW w:w="1441" w:type="dxa"/>
            <w:tcBorders>
              <w:top w:val="single" w:sz="4" w:space="0" w:color="auto"/>
              <w:left w:val="single" w:sz="4" w:space="0" w:color="auto"/>
              <w:bottom w:val="single" w:sz="4" w:space="0" w:color="auto"/>
              <w:right w:val="single" w:sz="4" w:space="0" w:color="auto"/>
            </w:tcBorders>
            <w:vAlign w:val="bottom"/>
          </w:tcPr>
          <w:p w14:paraId="51447368" w14:textId="77777777" w:rsidR="00B66DF4" w:rsidRPr="00E95ADC" w:rsidRDefault="00B66DF4" w:rsidP="0066301C">
            <w:pPr>
              <w:autoSpaceDE w:val="0"/>
              <w:autoSpaceDN w:val="0"/>
              <w:adjustRightInd w:val="0"/>
              <w:jc w:val="center"/>
              <w:rPr>
                <w:rFonts w:ascii="Arial" w:hAnsi="Arial" w:cs="Arial"/>
                <w:color w:val="000000"/>
              </w:rPr>
            </w:pPr>
            <w:r w:rsidRPr="00E95ADC">
              <w:rPr>
                <w:rFonts w:ascii="Arial" w:hAnsi="Arial" w:cs="Arial"/>
                <w:color w:val="000000"/>
              </w:rPr>
              <w:t> 35.73865</w:t>
            </w:r>
          </w:p>
        </w:tc>
        <w:tc>
          <w:tcPr>
            <w:tcW w:w="1441" w:type="dxa"/>
            <w:tcBorders>
              <w:top w:val="single" w:sz="4" w:space="0" w:color="auto"/>
              <w:left w:val="single" w:sz="4" w:space="0" w:color="auto"/>
              <w:bottom w:val="single" w:sz="4" w:space="0" w:color="auto"/>
              <w:right w:val="single" w:sz="4" w:space="0" w:color="auto"/>
            </w:tcBorders>
            <w:vAlign w:val="bottom"/>
          </w:tcPr>
          <w:p w14:paraId="4A0C430F" w14:textId="77777777" w:rsidR="00B66DF4" w:rsidRPr="00E95ADC" w:rsidRDefault="00B66DF4" w:rsidP="0066301C">
            <w:pPr>
              <w:autoSpaceDE w:val="0"/>
              <w:autoSpaceDN w:val="0"/>
              <w:adjustRightInd w:val="0"/>
              <w:jc w:val="center"/>
              <w:rPr>
                <w:rFonts w:ascii="Arial" w:hAnsi="Arial" w:cs="Arial"/>
                <w:color w:val="000000"/>
              </w:rPr>
            </w:pPr>
            <w:r w:rsidRPr="00E95ADC">
              <w:rPr>
                <w:rFonts w:ascii="Arial" w:hAnsi="Arial" w:cs="Arial"/>
                <w:color w:val="000000"/>
              </w:rPr>
              <w:t> 21.13162</w:t>
            </w:r>
          </w:p>
        </w:tc>
        <w:tc>
          <w:tcPr>
            <w:tcW w:w="1437" w:type="dxa"/>
            <w:tcBorders>
              <w:top w:val="single" w:sz="4" w:space="0" w:color="auto"/>
              <w:left w:val="single" w:sz="4" w:space="0" w:color="auto"/>
              <w:bottom w:val="single" w:sz="4" w:space="0" w:color="auto"/>
              <w:right w:val="single" w:sz="4" w:space="0" w:color="auto"/>
            </w:tcBorders>
            <w:vAlign w:val="bottom"/>
          </w:tcPr>
          <w:p w14:paraId="53756DF7" w14:textId="77777777" w:rsidR="00B66DF4" w:rsidRPr="00E95ADC" w:rsidRDefault="00B66DF4" w:rsidP="0066301C">
            <w:pPr>
              <w:autoSpaceDE w:val="0"/>
              <w:autoSpaceDN w:val="0"/>
              <w:adjustRightInd w:val="0"/>
              <w:jc w:val="center"/>
              <w:rPr>
                <w:rFonts w:ascii="Arial" w:hAnsi="Arial" w:cs="Arial"/>
                <w:color w:val="000000"/>
              </w:rPr>
            </w:pPr>
            <w:r w:rsidRPr="00E95ADC">
              <w:rPr>
                <w:rFonts w:ascii="Arial" w:hAnsi="Arial" w:cs="Arial"/>
                <w:color w:val="000000"/>
              </w:rPr>
              <w:t> 0.0002</w:t>
            </w:r>
          </w:p>
        </w:tc>
      </w:tr>
      <w:tr w:rsidR="00B66DF4" w:rsidRPr="00E95ADC" w14:paraId="7C35FBA1" w14:textId="77777777" w:rsidTr="004D74AB">
        <w:tc>
          <w:tcPr>
            <w:tcW w:w="1401" w:type="dxa"/>
          </w:tcPr>
          <w:p w14:paraId="6F9F865D" w14:textId="77777777" w:rsidR="00B66DF4" w:rsidRPr="00E95ADC" w:rsidRDefault="00B66DF4" w:rsidP="0066301C">
            <w:pPr>
              <w:jc w:val="both"/>
              <w:rPr>
                <w:rFonts w:ascii="Arial" w:hAnsi="Arial" w:cs="Arial"/>
              </w:rPr>
            </w:pPr>
            <w:r w:rsidRPr="00E95ADC">
              <w:rPr>
                <w:rFonts w:ascii="Arial" w:hAnsi="Arial" w:cs="Arial"/>
              </w:rPr>
              <w:t>At most 4*</w:t>
            </w:r>
          </w:p>
        </w:tc>
        <w:tc>
          <w:tcPr>
            <w:tcW w:w="1176" w:type="dxa"/>
            <w:tcBorders>
              <w:top w:val="single" w:sz="4" w:space="0" w:color="auto"/>
              <w:left w:val="nil"/>
              <w:bottom w:val="single" w:sz="4" w:space="0" w:color="auto"/>
              <w:right w:val="single" w:sz="4" w:space="0" w:color="auto"/>
            </w:tcBorders>
            <w:vAlign w:val="bottom"/>
          </w:tcPr>
          <w:p w14:paraId="55F286C2" w14:textId="77777777" w:rsidR="00B66DF4" w:rsidRPr="00E95ADC" w:rsidRDefault="00B66DF4" w:rsidP="0066301C">
            <w:pPr>
              <w:autoSpaceDE w:val="0"/>
              <w:autoSpaceDN w:val="0"/>
              <w:adjustRightInd w:val="0"/>
              <w:jc w:val="center"/>
              <w:rPr>
                <w:rFonts w:ascii="Arial" w:hAnsi="Arial" w:cs="Arial"/>
                <w:color w:val="000000"/>
              </w:rPr>
            </w:pPr>
            <w:r w:rsidRPr="00E95ADC">
              <w:rPr>
                <w:rFonts w:ascii="Arial" w:hAnsi="Arial" w:cs="Arial"/>
                <w:color w:val="000000"/>
              </w:rPr>
              <w:t> 0.349398</w:t>
            </w:r>
          </w:p>
        </w:tc>
        <w:tc>
          <w:tcPr>
            <w:tcW w:w="1176" w:type="dxa"/>
            <w:tcBorders>
              <w:top w:val="single" w:sz="4" w:space="0" w:color="auto"/>
              <w:left w:val="single" w:sz="4" w:space="0" w:color="auto"/>
              <w:bottom w:val="single" w:sz="4" w:space="0" w:color="auto"/>
              <w:right w:val="single" w:sz="4" w:space="0" w:color="auto"/>
            </w:tcBorders>
            <w:vAlign w:val="bottom"/>
          </w:tcPr>
          <w:p w14:paraId="5428ACBF" w14:textId="77777777" w:rsidR="00B66DF4" w:rsidRPr="00E95ADC" w:rsidRDefault="00B66DF4" w:rsidP="0066301C">
            <w:pPr>
              <w:autoSpaceDE w:val="0"/>
              <w:autoSpaceDN w:val="0"/>
              <w:adjustRightInd w:val="0"/>
              <w:jc w:val="center"/>
              <w:rPr>
                <w:rFonts w:ascii="Arial" w:hAnsi="Arial" w:cs="Arial"/>
                <w:color w:val="000000"/>
              </w:rPr>
            </w:pPr>
            <w:r w:rsidRPr="00E95ADC">
              <w:rPr>
                <w:rFonts w:ascii="Arial" w:hAnsi="Arial" w:cs="Arial"/>
                <w:color w:val="000000"/>
              </w:rPr>
              <w:t> 26.31087</w:t>
            </w:r>
          </w:p>
        </w:tc>
        <w:tc>
          <w:tcPr>
            <w:tcW w:w="1298" w:type="dxa"/>
            <w:tcBorders>
              <w:top w:val="single" w:sz="4" w:space="0" w:color="auto"/>
              <w:left w:val="single" w:sz="4" w:space="0" w:color="auto"/>
              <w:bottom w:val="single" w:sz="4" w:space="0" w:color="auto"/>
              <w:right w:val="single" w:sz="4" w:space="0" w:color="auto"/>
            </w:tcBorders>
            <w:vAlign w:val="bottom"/>
          </w:tcPr>
          <w:p w14:paraId="37780749" w14:textId="77777777" w:rsidR="00B66DF4" w:rsidRPr="00E95ADC" w:rsidRDefault="00B66DF4" w:rsidP="0066301C">
            <w:pPr>
              <w:autoSpaceDE w:val="0"/>
              <w:autoSpaceDN w:val="0"/>
              <w:adjustRightInd w:val="0"/>
              <w:jc w:val="center"/>
              <w:rPr>
                <w:rFonts w:ascii="Arial" w:hAnsi="Arial" w:cs="Arial"/>
                <w:color w:val="000000"/>
              </w:rPr>
            </w:pPr>
            <w:r w:rsidRPr="00E95ADC">
              <w:rPr>
                <w:rFonts w:ascii="Arial" w:hAnsi="Arial" w:cs="Arial"/>
                <w:color w:val="000000"/>
              </w:rPr>
              <w:t> 15.49471</w:t>
            </w:r>
          </w:p>
        </w:tc>
        <w:tc>
          <w:tcPr>
            <w:tcW w:w="1355" w:type="dxa"/>
            <w:tcBorders>
              <w:top w:val="single" w:sz="4" w:space="0" w:color="auto"/>
              <w:left w:val="single" w:sz="4" w:space="0" w:color="auto"/>
              <w:bottom w:val="single" w:sz="4" w:space="0" w:color="auto"/>
              <w:right w:val="nil"/>
            </w:tcBorders>
            <w:vAlign w:val="bottom"/>
          </w:tcPr>
          <w:p w14:paraId="12BC4494" w14:textId="77777777" w:rsidR="00B66DF4" w:rsidRPr="00E95ADC" w:rsidRDefault="00B66DF4" w:rsidP="0066301C">
            <w:pPr>
              <w:autoSpaceDE w:val="0"/>
              <w:autoSpaceDN w:val="0"/>
              <w:adjustRightInd w:val="0"/>
              <w:jc w:val="center"/>
              <w:rPr>
                <w:rFonts w:ascii="Arial" w:hAnsi="Arial" w:cs="Arial"/>
                <w:color w:val="000000"/>
              </w:rPr>
            </w:pPr>
            <w:r w:rsidRPr="00E95ADC">
              <w:rPr>
                <w:rFonts w:ascii="Arial" w:hAnsi="Arial" w:cs="Arial"/>
                <w:color w:val="000000"/>
              </w:rPr>
              <w:t> 0.0008</w:t>
            </w:r>
          </w:p>
        </w:tc>
        <w:tc>
          <w:tcPr>
            <w:tcW w:w="1592" w:type="dxa"/>
            <w:tcBorders>
              <w:top w:val="single" w:sz="4" w:space="0" w:color="auto"/>
              <w:left w:val="single" w:sz="4" w:space="0" w:color="auto"/>
              <w:bottom w:val="single" w:sz="4" w:space="0" w:color="auto"/>
              <w:right w:val="single" w:sz="4" w:space="0" w:color="auto"/>
            </w:tcBorders>
          </w:tcPr>
          <w:p w14:paraId="5B9F9910" w14:textId="77777777" w:rsidR="00B66DF4" w:rsidRPr="00E95ADC" w:rsidRDefault="00B66DF4" w:rsidP="0066301C">
            <w:pPr>
              <w:jc w:val="both"/>
              <w:rPr>
                <w:rFonts w:ascii="Arial" w:hAnsi="Arial" w:cs="Arial"/>
              </w:rPr>
            </w:pPr>
            <w:r w:rsidRPr="00E95ADC">
              <w:rPr>
                <w:rFonts w:ascii="Arial" w:hAnsi="Arial" w:cs="Arial"/>
              </w:rPr>
              <w:t>At most 4*</w:t>
            </w:r>
          </w:p>
        </w:tc>
        <w:tc>
          <w:tcPr>
            <w:tcW w:w="1441" w:type="dxa"/>
            <w:tcBorders>
              <w:top w:val="single" w:sz="4" w:space="0" w:color="auto"/>
              <w:left w:val="nil"/>
              <w:bottom w:val="single" w:sz="4" w:space="0" w:color="auto"/>
              <w:right w:val="single" w:sz="4" w:space="0" w:color="auto"/>
            </w:tcBorders>
            <w:vAlign w:val="bottom"/>
          </w:tcPr>
          <w:p w14:paraId="14BFD69A" w14:textId="77777777" w:rsidR="00B66DF4" w:rsidRPr="00E95ADC" w:rsidRDefault="00B66DF4" w:rsidP="0066301C">
            <w:pPr>
              <w:autoSpaceDE w:val="0"/>
              <w:autoSpaceDN w:val="0"/>
              <w:adjustRightInd w:val="0"/>
              <w:jc w:val="center"/>
              <w:rPr>
                <w:rFonts w:ascii="Arial" w:hAnsi="Arial" w:cs="Arial"/>
                <w:color w:val="000000"/>
              </w:rPr>
            </w:pPr>
            <w:r w:rsidRPr="00E95ADC">
              <w:rPr>
                <w:rFonts w:ascii="Arial" w:hAnsi="Arial" w:cs="Arial"/>
                <w:color w:val="000000"/>
              </w:rPr>
              <w:t> 0.349398</w:t>
            </w:r>
          </w:p>
        </w:tc>
        <w:tc>
          <w:tcPr>
            <w:tcW w:w="1441" w:type="dxa"/>
            <w:tcBorders>
              <w:top w:val="single" w:sz="4" w:space="0" w:color="auto"/>
              <w:left w:val="single" w:sz="4" w:space="0" w:color="auto"/>
              <w:bottom w:val="single" w:sz="4" w:space="0" w:color="auto"/>
              <w:right w:val="single" w:sz="4" w:space="0" w:color="auto"/>
            </w:tcBorders>
            <w:vAlign w:val="bottom"/>
          </w:tcPr>
          <w:p w14:paraId="1E9898FB" w14:textId="77777777" w:rsidR="00B66DF4" w:rsidRPr="00E95ADC" w:rsidRDefault="00B66DF4" w:rsidP="0066301C">
            <w:pPr>
              <w:autoSpaceDE w:val="0"/>
              <w:autoSpaceDN w:val="0"/>
              <w:adjustRightInd w:val="0"/>
              <w:jc w:val="center"/>
              <w:rPr>
                <w:rFonts w:ascii="Arial" w:hAnsi="Arial" w:cs="Arial"/>
                <w:color w:val="000000"/>
              </w:rPr>
            </w:pPr>
            <w:r w:rsidRPr="00E95ADC">
              <w:rPr>
                <w:rFonts w:ascii="Arial" w:hAnsi="Arial" w:cs="Arial"/>
                <w:color w:val="000000"/>
              </w:rPr>
              <w:t> 15.04499</w:t>
            </w:r>
          </w:p>
        </w:tc>
        <w:tc>
          <w:tcPr>
            <w:tcW w:w="1441" w:type="dxa"/>
            <w:tcBorders>
              <w:top w:val="single" w:sz="4" w:space="0" w:color="auto"/>
              <w:left w:val="single" w:sz="4" w:space="0" w:color="auto"/>
              <w:bottom w:val="single" w:sz="4" w:space="0" w:color="auto"/>
              <w:right w:val="single" w:sz="4" w:space="0" w:color="auto"/>
            </w:tcBorders>
            <w:vAlign w:val="bottom"/>
          </w:tcPr>
          <w:p w14:paraId="5F319027" w14:textId="77777777" w:rsidR="00B66DF4" w:rsidRPr="00E95ADC" w:rsidRDefault="00B66DF4" w:rsidP="0066301C">
            <w:pPr>
              <w:autoSpaceDE w:val="0"/>
              <w:autoSpaceDN w:val="0"/>
              <w:adjustRightInd w:val="0"/>
              <w:jc w:val="center"/>
              <w:rPr>
                <w:rFonts w:ascii="Arial" w:hAnsi="Arial" w:cs="Arial"/>
                <w:color w:val="000000"/>
              </w:rPr>
            </w:pPr>
            <w:r w:rsidRPr="00E95ADC">
              <w:rPr>
                <w:rFonts w:ascii="Arial" w:hAnsi="Arial" w:cs="Arial"/>
                <w:color w:val="000000"/>
              </w:rPr>
              <w:t> 14.26460</w:t>
            </w:r>
          </w:p>
        </w:tc>
        <w:tc>
          <w:tcPr>
            <w:tcW w:w="1437" w:type="dxa"/>
            <w:tcBorders>
              <w:top w:val="single" w:sz="4" w:space="0" w:color="auto"/>
              <w:left w:val="single" w:sz="4" w:space="0" w:color="auto"/>
              <w:bottom w:val="single" w:sz="4" w:space="0" w:color="auto"/>
              <w:right w:val="single" w:sz="4" w:space="0" w:color="auto"/>
            </w:tcBorders>
            <w:vAlign w:val="bottom"/>
          </w:tcPr>
          <w:p w14:paraId="0B740023" w14:textId="77777777" w:rsidR="00B66DF4" w:rsidRPr="00E95ADC" w:rsidRDefault="00B66DF4" w:rsidP="0066301C">
            <w:pPr>
              <w:autoSpaceDE w:val="0"/>
              <w:autoSpaceDN w:val="0"/>
              <w:adjustRightInd w:val="0"/>
              <w:jc w:val="center"/>
              <w:rPr>
                <w:rFonts w:ascii="Arial" w:hAnsi="Arial" w:cs="Arial"/>
                <w:color w:val="000000"/>
              </w:rPr>
            </w:pPr>
            <w:r w:rsidRPr="00E95ADC">
              <w:rPr>
                <w:rFonts w:ascii="Arial" w:hAnsi="Arial" w:cs="Arial"/>
                <w:color w:val="000000"/>
              </w:rPr>
              <w:t> 0.0376</w:t>
            </w:r>
          </w:p>
        </w:tc>
      </w:tr>
      <w:tr w:rsidR="00B66DF4" w:rsidRPr="00E95ADC" w14:paraId="7B712C9E" w14:textId="77777777" w:rsidTr="004D74AB">
        <w:tc>
          <w:tcPr>
            <w:tcW w:w="1401" w:type="dxa"/>
          </w:tcPr>
          <w:p w14:paraId="3E03432E" w14:textId="77777777" w:rsidR="00B66DF4" w:rsidRPr="00E95ADC" w:rsidRDefault="00B66DF4" w:rsidP="0066301C">
            <w:pPr>
              <w:jc w:val="both"/>
              <w:rPr>
                <w:rFonts w:ascii="Arial" w:hAnsi="Arial" w:cs="Arial"/>
              </w:rPr>
            </w:pPr>
            <w:r w:rsidRPr="00E95ADC">
              <w:rPr>
                <w:rFonts w:ascii="Arial" w:hAnsi="Arial" w:cs="Arial"/>
              </w:rPr>
              <w:t>At most 5*</w:t>
            </w:r>
          </w:p>
        </w:tc>
        <w:tc>
          <w:tcPr>
            <w:tcW w:w="1176" w:type="dxa"/>
            <w:tcBorders>
              <w:top w:val="single" w:sz="4" w:space="0" w:color="auto"/>
              <w:left w:val="nil"/>
              <w:bottom w:val="single" w:sz="4" w:space="0" w:color="auto"/>
              <w:right w:val="single" w:sz="4" w:space="0" w:color="auto"/>
            </w:tcBorders>
            <w:vAlign w:val="bottom"/>
          </w:tcPr>
          <w:p w14:paraId="1E350093" w14:textId="77777777" w:rsidR="00B66DF4" w:rsidRPr="00E95ADC" w:rsidRDefault="00B66DF4" w:rsidP="0066301C">
            <w:pPr>
              <w:autoSpaceDE w:val="0"/>
              <w:autoSpaceDN w:val="0"/>
              <w:adjustRightInd w:val="0"/>
              <w:jc w:val="center"/>
              <w:rPr>
                <w:rFonts w:ascii="Arial" w:hAnsi="Arial" w:cs="Arial"/>
                <w:color w:val="000000"/>
              </w:rPr>
            </w:pPr>
            <w:r w:rsidRPr="00E95ADC">
              <w:rPr>
                <w:rFonts w:ascii="Arial" w:hAnsi="Arial" w:cs="Arial"/>
                <w:color w:val="000000"/>
              </w:rPr>
              <w:t> 0.275216</w:t>
            </w:r>
          </w:p>
        </w:tc>
        <w:tc>
          <w:tcPr>
            <w:tcW w:w="1176" w:type="dxa"/>
            <w:tcBorders>
              <w:top w:val="single" w:sz="4" w:space="0" w:color="auto"/>
              <w:left w:val="single" w:sz="4" w:space="0" w:color="auto"/>
              <w:bottom w:val="single" w:sz="4" w:space="0" w:color="auto"/>
              <w:right w:val="single" w:sz="4" w:space="0" w:color="auto"/>
            </w:tcBorders>
            <w:vAlign w:val="bottom"/>
          </w:tcPr>
          <w:p w14:paraId="7263B81A" w14:textId="77777777" w:rsidR="00B66DF4" w:rsidRPr="00E95ADC" w:rsidRDefault="00B66DF4" w:rsidP="0066301C">
            <w:pPr>
              <w:autoSpaceDE w:val="0"/>
              <w:autoSpaceDN w:val="0"/>
              <w:adjustRightInd w:val="0"/>
              <w:jc w:val="center"/>
              <w:rPr>
                <w:rFonts w:ascii="Arial" w:hAnsi="Arial" w:cs="Arial"/>
                <w:color w:val="000000"/>
              </w:rPr>
            </w:pPr>
            <w:r w:rsidRPr="00E95ADC">
              <w:rPr>
                <w:rFonts w:ascii="Arial" w:hAnsi="Arial" w:cs="Arial"/>
                <w:color w:val="000000"/>
              </w:rPr>
              <w:t> 11.26588</w:t>
            </w:r>
          </w:p>
        </w:tc>
        <w:tc>
          <w:tcPr>
            <w:tcW w:w="1298" w:type="dxa"/>
            <w:tcBorders>
              <w:top w:val="single" w:sz="4" w:space="0" w:color="auto"/>
              <w:left w:val="single" w:sz="4" w:space="0" w:color="auto"/>
              <w:bottom w:val="single" w:sz="4" w:space="0" w:color="auto"/>
              <w:right w:val="single" w:sz="4" w:space="0" w:color="auto"/>
            </w:tcBorders>
            <w:vAlign w:val="bottom"/>
          </w:tcPr>
          <w:p w14:paraId="769AC031" w14:textId="77777777" w:rsidR="00B66DF4" w:rsidRPr="00E95ADC" w:rsidRDefault="00B66DF4" w:rsidP="0066301C">
            <w:pPr>
              <w:autoSpaceDE w:val="0"/>
              <w:autoSpaceDN w:val="0"/>
              <w:adjustRightInd w:val="0"/>
              <w:jc w:val="center"/>
              <w:rPr>
                <w:rFonts w:ascii="Arial" w:hAnsi="Arial" w:cs="Arial"/>
                <w:color w:val="000000"/>
              </w:rPr>
            </w:pPr>
            <w:r w:rsidRPr="00E95ADC">
              <w:rPr>
                <w:rFonts w:ascii="Arial" w:hAnsi="Arial" w:cs="Arial"/>
                <w:color w:val="000000"/>
              </w:rPr>
              <w:t> 3.841465</w:t>
            </w:r>
          </w:p>
        </w:tc>
        <w:tc>
          <w:tcPr>
            <w:tcW w:w="1355" w:type="dxa"/>
            <w:tcBorders>
              <w:top w:val="single" w:sz="4" w:space="0" w:color="auto"/>
              <w:left w:val="single" w:sz="4" w:space="0" w:color="auto"/>
              <w:bottom w:val="single" w:sz="4" w:space="0" w:color="auto"/>
              <w:right w:val="nil"/>
            </w:tcBorders>
            <w:vAlign w:val="bottom"/>
          </w:tcPr>
          <w:p w14:paraId="29CC16A8" w14:textId="77777777" w:rsidR="00B66DF4" w:rsidRPr="00E95ADC" w:rsidRDefault="00B66DF4" w:rsidP="0066301C">
            <w:pPr>
              <w:autoSpaceDE w:val="0"/>
              <w:autoSpaceDN w:val="0"/>
              <w:adjustRightInd w:val="0"/>
              <w:jc w:val="center"/>
              <w:rPr>
                <w:rFonts w:ascii="Arial" w:hAnsi="Arial" w:cs="Arial"/>
                <w:color w:val="000000"/>
              </w:rPr>
            </w:pPr>
            <w:r w:rsidRPr="00E95ADC">
              <w:rPr>
                <w:rFonts w:ascii="Arial" w:hAnsi="Arial" w:cs="Arial"/>
                <w:color w:val="000000"/>
              </w:rPr>
              <w:t> 0.0008</w:t>
            </w:r>
          </w:p>
        </w:tc>
        <w:tc>
          <w:tcPr>
            <w:tcW w:w="1592" w:type="dxa"/>
            <w:tcBorders>
              <w:top w:val="single" w:sz="4" w:space="0" w:color="auto"/>
              <w:left w:val="single" w:sz="4" w:space="0" w:color="auto"/>
              <w:bottom w:val="single" w:sz="4" w:space="0" w:color="auto"/>
              <w:right w:val="single" w:sz="4" w:space="0" w:color="auto"/>
            </w:tcBorders>
          </w:tcPr>
          <w:p w14:paraId="158DF271" w14:textId="77777777" w:rsidR="00B66DF4" w:rsidRPr="00E95ADC" w:rsidRDefault="00B66DF4" w:rsidP="0066301C">
            <w:pPr>
              <w:jc w:val="both"/>
              <w:rPr>
                <w:rFonts w:ascii="Arial" w:hAnsi="Arial" w:cs="Arial"/>
              </w:rPr>
            </w:pPr>
            <w:r w:rsidRPr="00E95ADC">
              <w:rPr>
                <w:rFonts w:ascii="Arial" w:hAnsi="Arial" w:cs="Arial"/>
              </w:rPr>
              <w:t>At most 5*</w:t>
            </w:r>
          </w:p>
        </w:tc>
        <w:tc>
          <w:tcPr>
            <w:tcW w:w="1441" w:type="dxa"/>
            <w:tcBorders>
              <w:top w:val="single" w:sz="4" w:space="0" w:color="auto"/>
              <w:left w:val="nil"/>
              <w:bottom w:val="single" w:sz="4" w:space="0" w:color="auto"/>
              <w:right w:val="single" w:sz="4" w:space="0" w:color="auto"/>
            </w:tcBorders>
            <w:vAlign w:val="bottom"/>
          </w:tcPr>
          <w:p w14:paraId="019A9080" w14:textId="77777777" w:rsidR="00B66DF4" w:rsidRPr="00E95ADC" w:rsidRDefault="00B66DF4" w:rsidP="0066301C">
            <w:pPr>
              <w:autoSpaceDE w:val="0"/>
              <w:autoSpaceDN w:val="0"/>
              <w:adjustRightInd w:val="0"/>
              <w:jc w:val="center"/>
              <w:rPr>
                <w:rFonts w:ascii="Arial" w:hAnsi="Arial" w:cs="Arial"/>
                <w:color w:val="000000"/>
              </w:rPr>
            </w:pPr>
            <w:r w:rsidRPr="00E95ADC">
              <w:rPr>
                <w:rFonts w:ascii="Arial" w:hAnsi="Arial" w:cs="Arial"/>
                <w:color w:val="000000"/>
              </w:rPr>
              <w:t> 0.275216</w:t>
            </w:r>
          </w:p>
        </w:tc>
        <w:tc>
          <w:tcPr>
            <w:tcW w:w="1441" w:type="dxa"/>
            <w:tcBorders>
              <w:top w:val="single" w:sz="4" w:space="0" w:color="auto"/>
              <w:left w:val="single" w:sz="4" w:space="0" w:color="auto"/>
              <w:bottom w:val="single" w:sz="4" w:space="0" w:color="auto"/>
              <w:right w:val="single" w:sz="4" w:space="0" w:color="auto"/>
            </w:tcBorders>
            <w:vAlign w:val="bottom"/>
          </w:tcPr>
          <w:p w14:paraId="21A641DD" w14:textId="77777777" w:rsidR="00B66DF4" w:rsidRPr="00E95ADC" w:rsidRDefault="00B66DF4" w:rsidP="0066301C">
            <w:pPr>
              <w:autoSpaceDE w:val="0"/>
              <w:autoSpaceDN w:val="0"/>
              <w:adjustRightInd w:val="0"/>
              <w:jc w:val="center"/>
              <w:rPr>
                <w:rFonts w:ascii="Arial" w:hAnsi="Arial" w:cs="Arial"/>
                <w:color w:val="000000"/>
              </w:rPr>
            </w:pPr>
            <w:r w:rsidRPr="00E95ADC">
              <w:rPr>
                <w:rFonts w:ascii="Arial" w:hAnsi="Arial" w:cs="Arial"/>
                <w:color w:val="000000"/>
              </w:rPr>
              <w:t> 11.26588</w:t>
            </w:r>
          </w:p>
        </w:tc>
        <w:tc>
          <w:tcPr>
            <w:tcW w:w="1441" w:type="dxa"/>
            <w:tcBorders>
              <w:top w:val="single" w:sz="4" w:space="0" w:color="auto"/>
              <w:left w:val="single" w:sz="4" w:space="0" w:color="auto"/>
              <w:bottom w:val="single" w:sz="4" w:space="0" w:color="auto"/>
              <w:right w:val="single" w:sz="4" w:space="0" w:color="auto"/>
            </w:tcBorders>
            <w:vAlign w:val="bottom"/>
          </w:tcPr>
          <w:p w14:paraId="02397A15" w14:textId="77777777" w:rsidR="00B66DF4" w:rsidRPr="00E95ADC" w:rsidRDefault="00B66DF4" w:rsidP="0066301C">
            <w:pPr>
              <w:autoSpaceDE w:val="0"/>
              <w:autoSpaceDN w:val="0"/>
              <w:adjustRightInd w:val="0"/>
              <w:jc w:val="center"/>
              <w:rPr>
                <w:rFonts w:ascii="Arial" w:hAnsi="Arial" w:cs="Arial"/>
                <w:color w:val="000000"/>
              </w:rPr>
            </w:pPr>
            <w:r w:rsidRPr="00E95ADC">
              <w:rPr>
                <w:rFonts w:ascii="Arial" w:hAnsi="Arial" w:cs="Arial"/>
                <w:color w:val="000000"/>
              </w:rPr>
              <w:t> 3.841465</w:t>
            </w:r>
          </w:p>
        </w:tc>
        <w:tc>
          <w:tcPr>
            <w:tcW w:w="1437" w:type="dxa"/>
            <w:tcBorders>
              <w:top w:val="single" w:sz="4" w:space="0" w:color="auto"/>
              <w:left w:val="single" w:sz="4" w:space="0" w:color="auto"/>
              <w:bottom w:val="single" w:sz="4" w:space="0" w:color="auto"/>
              <w:right w:val="single" w:sz="4" w:space="0" w:color="auto"/>
            </w:tcBorders>
            <w:vAlign w:val="bottom"/>
          </w:tcPr>
          <w:p w14:paraId="720D187B" w14:textId="77777777" w:rsidR="00B66DF4" w:rsidRPr="00E95ADC" w:rsidRDefault="00B66DF4" w:rsidP="0066301C">
            <w:pPr>
              <w:autoSpaceDE w:val="0"/>
              <w:autoSpaceDN w:val="0"/>
              <w:adjustRightInd w:val="0"/>
              <w:jc w:val="center"/>
              <w:rPr>
                <w:rFonts w:ascii="Arial" w:hAnsi="Arial" w:cs="Arial"/>
                <w:color w:val="000000"/>
              </w:rPr>
            </w:pPr>
            <w:r w:rsidRPr="00E95ADC">
              <w:rPr>
                <w:rFonts w:ascii="Arial" w:hAnsi="Arial" w:cs="Arial"/>
                <w:color w:val="000000"/>
              </w:rPr>
              <w:t> 0.0008</w:t>
            </w:r>
          </w:p>
        </w:tc>
      </w:tr>
      <w:tr w:rsidR="00B66DF4" w:rsidRPr="00E95ADC" w14:paraId="7708C8AF" w14:textId="77777777" w:rsidTr="004D74AB">
        <w:tc>
          <w:tcPr>
            <w:tcW w:w="6406" w:type="dxa"/>
            <w:gridSpan w:val="5"/>
          </w:tcPr>
          <w:p w14:paraId="3FC9A15C" w14:textId="77777777" w:rsidR="00B66DF4" w:rsidRPr="00E95ADC" w:rsidRDefault="00B66DF4" w:rsidP="0066301C">
            <w:pPr>
              <w:jc w:val="both"/>
              <w:rPr>
                <w:rFonts w:ascii="Arial" w:hAnsi="Arial" w:cs="Arial"/>
                <w:color w:val="000000"/>
              </w:rPr>
            </w:pPr>
            <w:r w:rsidRPr="00E95ADC">
              <w:rPr>
                <w:rFonts w:ascii="Arial" w:hAnsi="Arial" w:cs="Arial"/>
                <w:color w:val="000000"/>
              </w:rPr>
              <w:t>Trace test indicates 6 cointegrating eqn(s) at the 0.05 level</w:t>
            </w:r>
          </w:p>
        </w:tc>
        <w:tc>
          <w:tcPr>
            <w:tcW w:w="7352" w:type="dxa"/>
            <w:gridSpan w:val="5"/>
            <w:tcBorders>
              <w:top w:val="single" w:sz="4" w:space="0" w:color="auto"/>
              <w:left w:val="single" w:sz="4" w:space="0" w:color="auto"/>
              <w:bottom w:val="single" w:sz="4" w:space="0" w:color="auto"/>
              <w:right w:val="single" w:sz="4" w:space="0" w:color="auto"/>
            </w:tcBorders>
            <w:vAlign w:val="bottom"/>
          </w:tcPr>
          <w:p w14:paraId="354018EB" w14:textId="77777777" w:rsidR="00B66DF4" w:rsidRPr="00E95ADC" w:rsidRDefault="00B66DF4" w:rsidP="0066301C">
            <w:pPr>
              <w:jc w:val="both"/>
              <w:rPr>
                <w:rFonts w:ascii="Arial" w:hAnsi="Arial" w:cs="Arial"/>
                <w:color w:val="000000"/>
              </w:rPr>
            </w:pPr>
            <w:r w:rsidRPr="00E95ADC">
              <w:rPr>
                <w:rFonts w:ascii="Arial" w:hAnsi="Arial" w:cs="Arial"/>
                <w:color w:val="000000"/>
              </w:rPr>
              <w:t>Max-eigenvalue test indicates 6 cointegrating eqn(s) at the 0.05 level</w:t>
            </w:r>
          </w:p>
        </w:tc>
      </w:tr>
      <w:tr w:rsidR="00B66DF4" w:rsidRPr="00E95ADC" w14:paraId="71A4811C" w14:textId="77777777" w:rsidTr="004D74AB">
        <w:tc>
          <w:tcPr>
            <w:tcW w:w="13758" w:type="dxa"/>
            <w:gridSpan w:val="10"/>
          </w:tcPr>
          <w:p w14:paraId="2707CF32" w14:textId="77777777" w:rsidR="00B66DF4" w:rsidRPr="00E95ADC" w:rsidRDefault="00B66DF4" w:rsidP="0066301C">
            <w:pPr>
              <w:autoSpaceDE w:val="0"/>
              <w:autoSpaceDN w:val="0"/>
              <w:adjustRightInd w:val="0"/>
              <w:jc w:val="center"/>
              <w:rPr>
                <w:rFonts w:ascii="Arial" w:hAnsi="Arial" w:cs="Arial"/>
                <w:b/>
              </w:rPr>
            </w:pPr>
            <w:r w:rsidRPr="00E95ADC">
              <w:rPr>
                <w:rFonts w:ascii="Arial" w:hAnsi="Arial" w:cs="Arial"/>
                <w:b/>
              </w:rPr>
              <w:t>Gabon</w:t>
            </w:r>
          </w:p>
        </w:tc>
      </w:tr>
      <w:tr w:rsidR="00B66DF4" w:rsidRPr="00E95ADC" w14:paraId="057C1F9A" w14:textId="77777777" w:rsidTr="004D74AB">
        <w:tc>
          <w:tcPr>
            <w:tcW w:w="6406" w:type="dxa"/>
            <w:gridSpan w:val="5"/>
          </w:tcPr>
          <w:p w14:paraId="4EFA081B" w14:textId="77777777" w:rsidR="00B66DF4" w:rsidRPr="00E95ADC" w:rsidRDefault="00B66DF4" w:rsidP="0066301C">
            <w:pPr>
              <w:autoSpaceDE w:val="0"/>
              <w:autoSpaceDN w:val="0"/>
              <w:adjustRightInd w:val="0"/>
              <w:rPr>
                <w:rFonts w:ascii="Arial" w:hAnsi="Arial" w:cs="Arial"/>
              </w:rPr>
            </w:pPr>
            <w:r w:rsidRPr="00E95ADC">
              <w:rPr>
                <w:rFonts w:ascii="Arial" w:hAnsi="Arial" w:cs="Arial"/>
                <w:color w:val="000000"/>
              </w:rPr>
              <w:t>Unrestricted Cointegration Rank Test (Trace)</w:t>
            </w:r>
          </w:p>
        </w:tc>
        <w:tc>
          <w:tcPr>
            <w:tcW w:w="7352" w:type="dxa"/>
            <w:gridSpan w:val="5"/>
          </w:tcPr>
          <w:p w14:paraId="6915D43D" w14:textId="77777777" w:rsidR="00B66DF4" w:rsidRPr="00E95ADC" w:rsidRDefault="00B66DF4" w:rsidP="0066301C">
            <w:pPr>
              <w:autoSpaceDE w:val="0"/>
              <w:autoSpaceDN w:val="0"/>
              <w:adjustRightInd w:val="0"/>
              <w:rPr>
                <w:rFonts w:ascii="Arial" w:hAnsi="Arial" w:cs="Arial"/>
              </w:rPr>
            </w:pPr>
            <w:r w:rsidRPr="00E95ADC">
              <w:rPr>
                <w:rFonts w:ascii="Arial" w:hAnsi="Arial" w:cs="Arial"/>
                <w:color w:val="000000"/>
              </w:rPr>
              <w:t>Unrestricted Cointegration Rank Test (Maximum Eigenvalue)</w:t>
            </w:r>
          </w:p>
        </w:tc>
      </w:tr>
      <w:tr w:rsidR="00B66DF4" w:rsidRPr="00E95ADC" w14:paraId="34B29894" w14:textId="77777777" w:rsidTr="004D74AB">
        <w:tc>
          <w:tcPr>
            <w:tcW w:w="1401" w:type="dxa"/>
          </w:tcPr>
          <w:p w14:paraId="05D4F898" w14:textId="77777777" w:rsidR="00B66DF4" w:rsidRPr="00E95ADC" w:rsidRDefault="00B66DF4" w:rsidP="0066301C">
            <w:pPr>
              <w:autoSpaceDE w:val="0"/>
              <w:autoSpaceDN w:val="0"/>
              <w:adjustRightInd w:val="0"/>
              <w:jc w:val="center"/>
              <w:rPr>
                <w:rFonts w:ascii="Arial" w:hAnsi="Arial" w:cs="Arial"/>
              </w:rPr>
            </w:pPr>
            <w:r w:rsidRPr="00E95ADC">
              <w:rPr>
                <w:rFonts w:ascii="Arial" w:hAnsi="Arial" w:cs="Arial"/>
              </w:rPr>
              <w:t>Hypothesized number of cointegrating equations</w:t>
            </w:r>
          </w:p>
        </w:tc>
        <w:tc>
          <w:tcPr>
            <w:tcW w:w="1176" w:type="dxa"/>
            <w:tcBorders>
              <w:bottom w:val="single" w:sz="4" w:space="0" w:color="auto"/>
            </w:tcBorders>
          </w:tcPr>
          <w:p w14:paraId="565181AF" w14:textId="77777777" w:rsidR="00B66DF4" w:rsidRPr="00E95ADC" w:rsidRDefault="00B66DF4" w:rsidP="0066301C">
            <w:pPr>
              <w:autoSpaceDE w:val="0"/>
              <w:autoSpaceDN w:val="0"/>
              <w:adjustRightInd w:val="0"/>
              <w:jc w:val="center"/>
              <w:rPr>
                <w:rFonts w:ascii="Arial" w:hAnsi="Arial" w:cs="Arial"/>
              </w:rPr>
            </w:pPr>
            <w:r w:rsidRPr="00E95ADC">
              <w:rPr>
                <w:rFonts w:ascii="Arial" w:hAnsi="Arial" w:cs="Arial"/>
                <w:color w:val="000000"/>
              </w:rPr>
              <w:t>Eigenvalue</w:t>
            </w:r>
          </w:p>
        </w:tc>
        <w:tc>
          <w:tcPr>
            <w:tcW w:w="1176" w:type="dxa"/>
            <w:tcBorders>
              <w:bottom w:val="single" w:sz="4" w:space="0" w:color="auto"/>
            </w:tcBorders>
          </w:tcPr>
          <w:p w14:paraId="0FE905B2" w14:textId="77777777" w:rsidR="00B66DF4" w:rsidRPr="00E95ADC" w:rsidRDefault="00B66DF4" w:rsidP="0066301C">
            <w:pPr>
              <w:autoSpaceDE w:val="0"/>
              <w:autoSpaceDN w:val="0"/>
              <w:adjustRightInd w:val="0"/>
              <w:jc w:val="center"/>
              <w:rPr>
                <w:rFonts w:ascii="Arial" w:hAnsi="Arial" w:cs="Arial"/>
              </w:rPr>
            </w:pPr>
            <w:r w:rsidRPr="00E95ADC">
              <w:rPr>
                <w:rFonts w:ascii="Arial" w:hAnsi="Arial" w:cs="Arial"/>
              </w:rPr>
              <w:t>Trace Statistic</w:t>
            </w:r>
          </w:p>
        </w:tc>
        <w:tc>
          <w:tcPr>
            <w:tcW w:w="1298" w:type="dxa"/>
            <w:tcBorders>
              <w:bottom w:val="single" w:sz="4" w:space="0" w:color="auto"/>
            </w:tcBorders>
          </w:tcPr>
          <w:p w14:paraId="798C3F73" w14:textId="77777777" w:rsidR="00B66DF4" w:rsidRPr="00E95ADC" w:rsidRDefault="00B66DF4" w:rsidP="0066301C">
            <w:pPr>
              <w:autoSpaceDE w:val="0"/>
              <w:autoSpaceDN w:val="0"/>
              <w:adjustRightInd w:val="0"/>
              <w:jc w:val="center"/>
              <w:rPr>
                <w:rFonts w:ascii="Arial" w:hAnsi="Arial" w:cs="Arial"/>
              </w:rPr>
            </w:pPr>
            <w:r w:rsidRPr="00E95ADC">
              <w:rPr>
                <w:rFonts w:ascii="Arial" w:hAnsi="Arial" w:cs="Arial"/>
              </w:rPr>
              <w:t>0.05 Critical Value</w:t>
            </w:r>
          </w:p>
        </w:tc>
        <w:tc>
          <w:tcPr>
            <w:tcW w:w="1355" w:type="dxa"/>
            <w:tcBorders>
              <w:bottom w:val="single" w:sz="4" w:space="0" w:color="auto"/>
            </w:tcBorders>
          </w:tcPr>
          <w:p w14:paraId="146B0B0D" w14:textId="77777777" w:rsidR="00B66DF4" w:rsidRPr="00E95ADC" w:rsidRDefault="00B66DF4" w:rsidP="0066301C">
            <w:pPr>
              <w:autoSpaceDE w:val="0"/>
              <w:autoSpaceDN w:val="0"/>
              <w:adjustRightInd w:val="0"/>
              <w:jc w:val="center"/>
              <w:rPr>
                <w:rFonts w:ascii="Arial" w:hAnsi="Arial" w:cs="Arial"/>
              </w:rPr>
            </w:pPr>
            <w:r w:rsidRPr="00E95ADC">
              <w:rPr>
                <w:rFonts w:ascii="Arial" w:hAnsi="Arial" w:cs="Arial"/>
              </w:rPr>
              <w:t xml:space="preserve">Probability Value </w:t>
            </w:r>
          </w:p>
        </w:tc>
        <w:tc>
          <w:tcPr>
            <w:tcW w:w="1592" w:type="dxa"/>
            <w:tcBorders>
              <w:bottom w:val="single" w:sz="4" w:space="0" w:color="auto"/>
            </w:tcBorders>
          </w:tcPr>
          <w:p w14:paraId="6993B754" w14:textId="77777777" w:rsidR="00B66DF4" w:rsidRPr="00E95ADC" w:rsidRDefault="00B66DF4" w:rsidP="0066301C">
            <w:pPr>
              <w:autoSpaceDE w:val="0"/>
              <w:autoSpaceDN w:val="0"/>
              <w:adjustRightInd w:val="0"/>
              <w:jc w:val="center"/>
              <w:rPr>
                <w:rFonts w:ascii="Arial" w:hAnsi="Arial" w:cs="Arial"/>
              </w:rPr>
            </w:pPr>
            <w:r w:rsidRPr="00E95ADC">
              <w:rPr>
                <w:rFonts w:ascii="Arial" w:hAnsi="Arial" w:cs="Arial"/>
              </w:rPr>
              <w:t>Hypothesized number of cointegrating equations</w:t>
            </w:r>
          </w:p>
        </w:tc>
        <w:tc>
          <w:tcPr>
            <w:tcW w:w="1441" w:type="dxa"/>
            <w:tcBorders>
              <w:bottom w:val="single" w:sz="4" w:space="0" w:color="auto"/>
            </w:tcBorders>
          </w:tcPr>
          <w:p w14:paraId="62ED07E7" w14:textId="77777777" w:rsidR="00B66DF4" w:rsidRPr="00E95ADC" w:rsidRDefault="00B66DF4" w:rsidP="0066301C">
            <w:pPr>
              <w:autoSpaceDE w:val="0"/>
              <w:autoSpaceDN w:val="0"/>
              <w:adjustRightInd w:val="0"/>
              <w:rPr>
                <w:rFonts w:ascii="Arial" w:hAnsi="Arial" w:cs="Arial"/>
              </w:rPr>
            </w:pPr>
            <w:r w:rsidRPr="00E95ADC">
              <w:rPr>
                <w:rFonts w:ascii="Arial" w:hAnsi="Arial" w:cs="Arial"/>
                <w:color w:val="000000"/>
              </w:rPr>
              <w:t>Eigenvalue</w:t>
            </w:r>
          </w:p>
        </w:tc>
        <w:tc>
          <w:tcPr>
            <w:tcW w:w="1441" w:type="dxa"/>
            <w:tcBorders>
              <w:bottom w:val="single" w:sz="4" w:space="0" w:color="auto"/>
            </w:tcBorders>
          </w:tcPr>
          <w:p w14:paraId="3A550275" w14:textId="77777777" w:rsidR="00B66DF4" w:rsidRPr="00E95ADC" w:rsidRDefault="00B66DF4" w:rsidP="0066301C">
            <w:pPr>
              <w:autoSpaceDE w:val="0"/>
              <w:autoSpaceDN w:val="0"/>
              <w:adjustRightInd w:val="0"/>
              <w:jc w:val="center"/>
              <w:rPr>
                <w:rFonts w:ascii="Arial" w:hAnsi="Arial" w:cs="Arial"/>
              </w:rPr>
            </w:pPr>
            <w:r w:rsidRPr="00E95ADC">
              <w:rPr>
                <w:rFonts w:ascii="Arial" w:hAnsi="Arial" w:cs="Arial"/>
              </w:rPr>
              <w:t>Max-Eigen Statistic</w:t>
            </w:r>
          </w:p>
        </w:tc>
        <w:tc>
          <w:tcPr>
            <w:tcW w:w="1441" w:type="dxa"/>
            <w:tcBorders>
              <w:bottom w:val="single" w:sz="4" w:space="0" w:color="auto"/>
            </w:tcBorders>
          </w:tcPr>
          <w:p w14:paraId="6A4C1EAA" w14:textId="77777777" w:rsidR="00B66DF4" w:rsidRPr="00E95ADC" w:rsidRDefault="00B66DF4" w:rsidP="0066301C">
            <w:pPr>
              <w:autoSpaceDE w:val="0"/>
              <w:autoSpaceDN w:val="0"/>
              <w:adjustRightInd w:val="0"/>
              <w:jc w:val="center"/>
              <w:rPr>
                <w:rFonts w:ascii="Arial" w:hAnsi="Arial" w:cs="Arial"/>
              </w:rPr>
            </w:pPr>
            <w:r w:rsidRPr="00E95ADC">
              <w:rPr>
                <w:rFonts w:ascii="Arial" w:hAnsi="Arial" w:cs="Arial"/>
              </w:rPr>
              <w:t>0.05 Critical Value</w:t>
            </w:r>
          </w:p>
        </w:tc>
        <w:tc>
          <w:tcPr>
            <w:tcW w:w="1437" w:type="dxa"/>
            <w:tcBorders>
              <w:bottom w:val="single" w:sz="4" w:space="0" w:color="auto"/>
            </w:tcBorders>
          </w:tcPr>
          <w:p w14:paraId="054149A3" w14:textId="77777777" w:rsidR="00B66DF4" w:rsidRPr="00E95ADC" w:rsidRDefault="00B66DF4" w:rsidP="0066301C">
            <w:pPr>
              <w:autoSpaceDE w:val="0"/>
              <w:autoSpaceDN w:val="0"/>
              <w:adjustRightInd w:val="0"/>
              <w:jc w:val="center"/>
              <w:rPr>
                <w:rFonts w:ascii="Arial" w:hAnsi="Arial" w:cs="Arial"/>
              </w:rPr>
            </w:pPr>
            <w:r w:rsidRPr="00E95ADC">
              <w:rPr>
                <w:rFonts w:ascii="Arial" w:hAnsi="Arial" w:cs="Arial"/>
              </w:rPr>
              <w:t xml:space="preserve">Probability Value </w:t>
            </w:r>
          </w:p>
        </w:tc>
      </w:tr>
      <w:tr w:rsidR="00B66DF4" w:rsidRPr="00E95ADC" w14:paraId="7825D29C" w14:textId="77777777" w:rsidTr="004D74AB">
        <w:trPr>
          <w:trHeight w:val="269"/>
        </w:trPr>
        <w:tc>
          <w:tcPr>
            <w:tcW w:w="1401" w:type="dxa"/>
            <w:vAlign w:val="bottom"/>
          </w:tcPr>
          <w:p w14:paraId="42943F9B" w14:textId="77777777" w:rsidR="00B66DF4" w:rsidRPr="00E95ADC" w:rsidRDefault="00B66DF4" w:rsidP="0066301C">
            <w:pPr>
              <w:jc w:val="both"/>
              <w:rPr>
                <w:rFonts w:ascii="Arial" w:hAnsi="Arial" w:cs="Arial"/>
              </w:rPr>
            </w:pPr>
            <w:r w:rsidRPr="00E95ADC">
              <w:rPr>
                <w:rFonts w:ascii="Arial" w:hAnsi="Arial" w:cs="Arial"/>
              </w:rPr>
              <w:t>None *</w:t>
            </w:r>
          </w:p>
        </w:tc>
        <w:tc>
          <w:tcPr>
            <w:tcW w:w="1176" w:type="dxa"/>
            <w:tcBorders>
              <w:top w:val="single" w:sz="4" w:space="0" w:color="auto"/>
              <w:left w:val="nil"/>
              <w:bottom w:val="single" w:sz="4" w:space="0" w:color="auto"/>
              <w:right w:val="single" w:sz="4" w:space="0" w:color="auto"/>
            </w:tcBorders>
            <w:vAlign w:val="bottom"/>
          </w:tcPr>
          <w:p w14:paraId="4C58EEFB" w14:textId="77777777" w:rsidR="00B66DF4" w:rsidRPr="00E95ADC" w:rsidRDefault="00B66DF4" w:rsidP="0066301C">
            <w:pPr>
              <w:autoSpaceDE w:val="0"/>
              <w:autoSpaceDN w:val="0"/>
              <w:adjustRightInd w:val="0"/>
              <w:jc w:val="center"/>
              <w:rPr>
                <w:rFonts w:ascii="Arial" w:hAnsi="Arial" w:cs="Arial"/>
                <w:color w:val="000000"/>
              </w:rPr>
            </w:pPr>
            <w:r w:rsidRPr="00E95ADC">
              <w:rPr>
                <w:rFonts w:ascii="Arial" w:hAnsi="Arial" w:cs="Arial"/>
                <w:color w:val="000000"/>
              </w:rPr>
              <w:t> 0.876948</w:t>
            </w:r>
          </w:p>
        </w:tc>
        <w:tc>
          <w:tcPr>
            <w:tcW w:w="1176" w:type="dxa"/>
            <w:tcBorders>
              <w:top w:val="single" w:sz="4" w:space="0" w:color="auto"/>
              <w:left w:val="single" w:sz="4" w:space="0" w:color="auto"/>
              <w:bottom w:val="single" w:sz="4" w:space="0" w:color="auto"/>
              <w:right w:val="single" w:sz="4" w:space="0" w:color="auto"/>
            </w:tcBorders>
            <w:vAlign w:val="bottom"/>
          </w:tcPr>
          <w:p w14:paraId="0AD4EC94" w14:textId="77777777" w:rsidR="00B66DF4" w:rsidRPr="00E95ADC" w:rsidRDefault="00B66DF4" w:rsidP="0066301C">
            <w:pPr>
              <w:autoSpaceDE w:val="0"/>
              <w:autoSpaceDN w:val="0"/>
              <w:adjustRightInd w:val="0"/>
              <w:jc w:val="center"/>
              <w:rPr>
                <w:rFonts w:ascii="Arial" w:hAnsi="Arial" w:cs="Arial"/>
                <w:color w:val="000000"/>
              </w:rPr>
            </w:pPr>
            <w:r w:rsidRPr="00E95ADC">
              <w:rPr>
                <w:rFonts w:ascii="Arial" w:hAnsi="Arial" w:cs="Arial"/>
                <w:color w:val="000000"/>
              </w:rPr>
              <w:t> 220.0275</w:t>
            </w:r>
          </w:p>
        </w:tc>
        <w:tc>
          <w:tcPr>
            <w:tcW w:w="1298" w:type="dxa"/>
            <w:tcBorders>
              <w:top w:val="single" w:sz="4" w:space="0" w:color="auto"/>
              <w:left w:val="single" w:sz="4" w:space="0" w:color="auto"/>
              <w:bottom w:val="single" w:sz="4" w:space="0" w:color="auto"/>
              <w:right w:val="single" w:sz="4" w:space="0" w:color="auto"/>
            </w:tcBorders>
            <w:vAlign w:val="bottom"/>
          </w:tcPr>
          <w:p w14:paraId="258491A1" w14:textId="77777777" w:rsidR="00B66DF4" w:rsidRPr="00E95ADC" w:rsidRDefault="00B66DF4" w:rsidP="0066301C">
            <w:pPr>
              <w:autoSpaceDE w:val="0"/>
              <w:autoSpaceDN w:val="0"/>
              <w:adjustRightInd w:val="0"/>
              <w:jc w:val="center"/>
              <w:rPr>
                <w:rFonts w:ascii="Arial" w:hAnsi="Arial" w:cs="Arial"/>
                <w:color w:val="000000"/>
              </w:rPr>
            </w:pPr>
            <w:r w:rsidRPr="00E95ADC">
              <w:rPr>
                <w:rFonts w:ascii="Arial" w:hAnsi="Arial" w:cs="Arial"/>
                <w:color w:val="000000"/>
              </w:rPr>
              <w:t> 95.75366</w:t>
            </w:r>
          </w:p>
        </w:tc>
        <w:tc>
          <w:tcPr>
            <w:tcW w:w="1355" w:type="dxa"/>
            <w:tcBorders>
              <w:top w:val="single" w:sz="4" w:space="0" w:color="auto"/>
              <w:left w:val="single" w:sz="4" w:space="0" w:color="auto"/>
              <w:bottom w:val="single" w:sz="4" w:space="0" w:color="auto"/>
              <w:right w:val="nil"/>
            </w:tcBorders>
            <w:vAlign w:val="bottom"/>
          </w:tcPr>
          <w:p w14:paraId="69D3993D" w14:textId="77777777" w:rsidR="00B66DF4" w:rsidRPr="00E95ADC" w:rsidRDefault="00B66DF4" w:rsidP="0066301C">
            <w:pPr>
              <w:autoSpaceDE w:val="0"/>
              <w:autoSpaceDN w:val="0"/>
              <w:adjustRightInd w:val="0"/>
              <w:jc w:val="center"/>
              <w:rPr>
                <w:rFonts w:ascii="Arial" w:hAnsi="Arial" w:cs="Arial"/>
                <w:color w:val="000000"/>
              </w:rPr>
            </w:pPr>
            <w:r w:rsidRPr="00E95ADC">
              <w:rPr>
                <w:rFonts w:ascii="Arial" w:hAnsi="Arial" w:cs="Arial"/>
                <w:color w:val="000000"/>
              </w:rPr>
              <w:t> 0.0000</w:t>
            </w:r>
          </w:p>
        </w:tc>
        <w:tc>
          <w:tcPr>
            <w:tcW w:w="1592" w:type="dxa"/>
            <w:tcBorders>
              <w:top w:val="single" w:sz="4" w:space="0" w:color="auto"/>
              <w:left w:val="single" w:sz="4" w:space="0" w:color="auto"/>
              <w:bottom w:val="single" w:sz="4" w:space="0" w:color="auto"/>
              <w:right w:val="single" w:sz="4" w:space="0" w:color="auto"/>
            </w:tcBorders>
            <w:vAlign w:val="bottom"/>
          </w:tcPr>
          <w:p w14:paraId="75AAAB7F" w14:textId="77777777" w:rsidR="00B66DF4" w:rsidRPr="00E95ADC" w:rsidRDefault="00B66DF4" w:rsidP="0066301C">
            <w:pPr>
              <w:jc w:val="both"/>
              <w:rPr>
                <w:rFonts w:ascii="Arial" w:hAnsi="Arial" w:cs="Arial"/>
              </w:rPr>
            </w:pPr>
            <w:r w:rsidRPr="00E95ADC">
              <w:rPr>
                <w:rFonts w:ascii="Arial" w:hAnsi="Arial" w:cs="Arial"/>
              </w:rPr>
              <w:t>None*</w:t>
            </w:r>
          </w:p>
        </w:tc>
        <w:tc>
          <w:tcPr>
            <w:tcW w:w="1441" w:type="dxa"/>
            <w:tcBorders>
              <w:top w:val="single" w:sz="4" w:space="0" w:color="auto"/>
              <w:left w:val="nil"/>
              <w:bottom w:val="single" w:sz="4" w:space="0" w:color="auto"/>
              <w:right w:val="single" w:sz="4" w:space="0" w:color="auto"/>
            </w:tcBorders>
            <w:vAlign w:val="bottom"/>
          </w:tcPr>
          <w:p w14:paraId="2F822E62" w14:textId="77777777" w:rsidR="00B66DF4" w:rsidRPr="00E95ADC" w:rsidRDefault="00B66DF4" w:rsidP="0066301C">
            <w:pPr>
              <w:autoSpaceDE w:val="0"/>
              <w:autoSpaceDN w:val="0"/>
              <w:adjustRightInd w:val="0"/>
              <w:jc w:val="center"/>
              <w:rPr>
                <w:rFonts w:ascii="Arial" w:hAnsi="Arial" w:cs="Arial"/>
                <w:color w:val="000000"/>
              </w:rPr>
            </w:pPr>
            <w:r w:rsidRPr="00E95ADC">
              <w:rPr>
                <w:rFonts w:ascii="Arial" w:hAnsi="Arial" w:cs="Arial"/>
                <w:color w:val="000000"/>
              </w:rPr>
              <w:t> 0.876948</w:t>
            </w:r>
          </w:p>
        </w:tc>
        <w:tc>
          <w:tcPr>
            <w:tcW w:w="1441" w:type="dxa"/>
            <w:tcBorders>
              <w:top w:val="single" w:sz="4" w:space="0" w:color="auto"/>
              <w:left w:val="single" w:sz="4" w:space="0" w:color="auto"/>
              <w:bottom w:val="single" w:sz="4" w:space="0" w:color="auto"/>
              <w:right w:val="single" w:sz="4" w:space="0" w:color="auto"/>
            </w:tcBorders>
            <w:vAlign w:val="bottom"/>
          </w:tcPr>
          <w:p w14:paraId="303A3A32" w14:textId="77777777" w:rsidR="00B66DF4" w:rsidRPr="00E95ADC" w:rsidRDefault="00B66DF4" w:rsidP="0066301C">
            <w:pPr>
              <w:autoSpaceDE w:val="0"/>
              <w:autoSpaceDN w:val="0"/>
              <w:adjustRightInd w:val="0"/>
              <w:jc w:val="center"/>
              <w:rPr>
                <w:rFonts w:ascii="Arial" w:hAnsi="Arial" w:cs="Arial"/>
                <w:color w:val="000000"/>
              </w:rPr>
            </w:pPr>
            <w:r w:rsidRPr="00E95ADC">
              <w:rPr>
                <w:rFonts w:ascii="Arial" w:hAnsi="Arial" w:cs="Arial"/>
                <w:color w:val="000000"/>
              </w:rPr>
              <w:t> 73.33024</w:t>
            </w:r>
          </w:p>
        </w:tc>
        <w:tc>
          <w:tcPr>
            <w:tcW w:w="1441" w:type="dxa"/>
            <w:tcBorders>
              <w:top w:val="single" w:sz="4" w:space="0" w:color="auto"/>
              <w:left w:val="single" w:sz="4" w:space="0" w:color="auto"/>
              <w:bottom w:val="single" w:sz="4" w:space="0" w:color="auto"/>
              <w:right w:val="single" w:sz="4" w:space="0" w:color="auto"/>
            </w:tcBorders>
            <w:vAlign w:val="bottom"/>
          </w:tcPr>
          <w:p w14:paraId="44D76CC7" w14:textId="77777777" w:rsidR="00B66DF4" w:rsidRPr="00E95ADC" w:rsidRDefault="00B66DF4" w:rsidP="0066301C">
            <w:pPr>
              <w:autoSpaceDE w:val="0"/>
              <w:autoSpaceDN w:val="0"/>
              <w:adjustRightInd w:val="0"/>
              <w:jc w:val="center"/>
              <w:rPr>
                <w:rFonts w:ascii="Arial" w:hAnsi="Arial" w:cs="Arial"/>
                <w:color w:val="000000"/>
              </w:rPr>
            </w:pPr>
            <w:r w:rsidRPr="00E95ADC">
              <w:rPr>
                <w:rFonts w:ascii="Arial" w:hAnsi="Arial" w:cs="Arial"/>
                <w:color w:val="000000"/>
              </w:rPr>
              <w:t> 40.07757</w:t>
            </w:r>
          </w:p>
        </w:tc>
        <w:tc>
          <w:tcPr>
            <w:tcW w:w="1437" w:type="dxa"/>
            <w:tcBorders>
              <w:top w:val="single" w:sz="4" w:space="0" w:color="auto"/>
              <w:left w:val="single" w:sz="4" w:space="0" w:color="auto"/>
              <w:bottom w:val="single" w:sz="4" w:space="0" w:color="auto"/>
              <w:right w:val="single" w:sz="4" w:space="0" w:color="auto"/>
            </w:tcBorders>
            <w:vAlign w:val="bottom"/>
          </w:tcPr>
          <w:p w14:paraId="1774D541" w14:textId="77777777" w:rsidR="00B66DF4" w:rsidRPr="00E95ADC" w:rsidRDefault="00B66DF4" w:rsidP="0066301C">
            <w:pPr>
              <w:autoSpaceDE w:val="0"/>
              <w:autoSpaceDN w:val="0"/>
              <w:adjustRightInd w:val="0"/>
              <w:jc w:val="center"/>
              <w:rPr>
                <w:rFonts w:ascii="Arial" w:hAnsi="Arial" w:cs="Arial"/>
                <w:color w:val="000000"/>
              </w:rPr>
            </w:pPr>
            <w:r w:rsidRPr="00E95ADC">
              <w:rPr>
                <w:rFonts w:ascii="Arial" w:hAnsi="Arial" w:cs="Arial"/>
                <w:color w:val="000000"/>
              </w:rPr>
              <w:t> 0.0000</w:t>
            </w:r>
          </w:p>
        </w:tc>
      </w:tr>
      <w:tr w:rsidR="00B66DF4" w:rsidRPr="00E95ADC" w14:paraId="6202ECA9" w14:textId="77777777" w:rsidTr="004D74AB">
        <w:trPr>
          <w:trHeight w:val="205"/>
        </w:trPr>
        <w:tc>
          <w:tcPr>
            <w:tcW w:w="1401" w:type="dxa"/>
          </w:tcPr>
          <w:p w14:paraId="5E0DAD1F" w14:textId="77777777" w:rsidR="00B66DF4" w:rsidRPr="00E95ADC" w:rsidRDefault="00B66DF4" w:rsidP="0066301C">
            <w:pPr>
              <w:jc w:val="both"/>
              <w:rPr>
                <w:rFonts w:ascii="Arial" w:hAnsi="Arial" w:cs="Arial"/>
              </w:rPr>
            </w:pPr>
            <w:r w:rsidRPr="00E95ADC">
              <w:rPr>
                <w:rFonts w:ascii="Arial" w:hAnsi="Arial" w:cs="Arial"/>
              </w:rPr>
              <w:lastRenderedPageBreak/>
              <w:t>At most 1*</w:t>
            </w:r>
          </w:p>
        </w:tc>
        <w:tc>
          <w:tcPr>
            <w:tcW w:w="1176" w:type="dxa"/>
            <w:tcBorders>
              <w:top w:val="single" w:sz="4" w:space="0" w:color="auto"/>
              <w:left w:val="nil"/>
              <w:bottom w:val="single" w:sz="4" w:space="0" w:color="auto"/>
              <w:right w:val="single" w:sz="4" w:space="0" w:color="auto"/>
            </w:tcBorders>
            <w:vAlign w:val="bottom"/>
          </w:tcPr>
          <w:p w14:paraId="4DB7613E" w14:textId="77777777" w:rsidR="00B66DF4" w:rsidRPr="00E95ADC" w:rsidRDefault="00B66DF4" w:rsidP="0066301C">
            <w:pPr>
              <w:autoSpaceDE w:val="0"/>
              <w:autoSpaceDN w:val="0"/>
              <w:adjustRightInd w:val="0"/>
              <w:jc w:val="center"/>
              <w:rPr>
                <w:rFonts w:ascii="Arial" w:hAnsi="Arial" w:cs="Arial"/>
                <w:color w:val="000000"/>
              </w:rPr>
            </w:pPr>
            <w:r w:rsidRPr="00E95ADC">
              <w:rPr>
                <w:rFonts w:ascii="Arial" w:hAnsi="Arial" w:cs="Arial"/>
                <w:color w:val="000000"/>
              </w:rPr>
              <w:t> 0.837024</w:t>
            </w:r>
          </w:p>
        </w:tc>
        <w:tc>
          <w:tcPr>
            <w:tcW w:w="1176" w:type="dxa"/>
            <w:tcBorders>
              <w:top w:val="single" w:sz="4" w:space="0" w:color="auto"/>
              <w:left w:val="single" w:sz="4" w:space="0" w:color="auto"/>
              <w:bottom w:val="single" w:sz="4" w:space="0" w:color="auto"/>
              <w:right w:val="single" w:sz="4" w:space="0" w:color="auto"/>
            </w:tcBorders>
            <w:vAlign w:val="bottom"/>
          </w:tcPr>
          <w:p w14:paraId="0F1A5F58" w14:textId="77777777" w:rsidR="00B66DF4" w:rsidRPr="00E95ADC" w:rsidRDefault="00B66DF4" w:rsidP="0066301C">
            <w:pPr>
              <w:autoSpaceDE w:val="0"/>
              <w:autoSpaceDN w:val="0"/>
              <w:adjustRightInd w:val="0"/>
              <w:jc w:val="center"/>
              <w:rPr>
                <w:rFonts w:ascii="Arial" w:hAnsi="Arial" w:cs="Arial"/>
                <w:color w:val="000000"/>
              </w:rPr>
            </w:pPr>
            <w:r w:rsidRPr="00E95ADC">
              <w:rPr>
                <w:rFonts w:ascii="Arial" w:hAnsi="Arial" w:cs="Arial"/>
                <w:color w:val="000000"/>
              </w:rPr>
              <w:t> 146.6972</w:t>
            </w:r>
          </w:p>
        </w:tc>
        <w:tc>
          <w:tcPr>
            <w:tcW w:w="1298" w:type="dxa"/>
            <w:tcBorders>
              <w:top w:val="single" w:sz="4" w:space="0" w:color="auto"/>
              <w:left w:val="single" w:sz="4" w:space="0" w:color="auto"/>
              <w:bottom w:val="single" w:sz="4" w:space="0" w:color="auto"/>
              <w:right w:val="single" w:sz="4" w:space="0" w:color="auto"/>
            </w:tcBorders>
            <w:vAlign w:val="bottom"/>
          </w:tcPr>
          <w:p w14:paraId="01C861F4" w14:textId="77777777" w:rsidR="00B66DF4" w:rsidRPr="00E95ADC" w:rsidRDefault="00B66DF4" w:rsidP="0066301C">
            <w:pPr>
              <w:autoSpaceDE w:val="0"/>
              <w:autoSpaceDN w:val="0"/>
              <w:adjustRightInd w:val="0"/>
              <w:jc w:val="center"/>
              <w:rPr>
                <w:rFonts w:ascii="Arial" w:hAnsi="Arial" w:cs="Arial"/>
                <w:color w:val="000000"/>
              </w:rPr>
            </w:pPr>
            <w:r w:rsidRPr="00E95ADC">
              <w:rPr>
                <w:rFonts w:ascii="Arial" w:hAnsi="Arial" w:cs="Arial"/>
                <w:color w:val="000000"/>
              </w:rPr>
              <w:t> 69.81889</w:t>
            </w:r>
          </w:p>
        </w:tc>
        <w:tc>
          <w:tcPr>
            <w:tcW w:w="1355" w:type="dxa"/>
            <w:tcBorders>
              <w:top w:val="single" w:sz="4" w:space="0" w:color="auto"/>
              <w:left w:val="single" w:sz="4" w:space="0" w:color="auto"/>
              <w:bottom w:val="single" w:sz="4" w:space="0" w:color="auto"/>
              <w:right w:val="nil"/>
            </w:tcBorders>
            <w:vAlign w:val="bottom"/>
          </w:tcPr>
          <w:p w14:paraId="7F627CD8" w14:textId="77777777" w:rsidR="00B66DF4" w:rsidRPr="00E95ADC" w:rsidRDefault="00B66DF4" w:rsidP="0066301C">
            <w:pPr>
              <w:autoSpaceDE w:val="0"/>
              <w:autoSpaceDN w:val="0"/>
              <w:adjustRightInd w:val="0"/>
              <w:jc w:val="center"/>
              <w:rPr>
                <w:rFonts w:ascii="Arial" w:hAnsi="Arial" w:cs="Arial"/>
                <w:color w:val="000000"/>
              </w:rPr>
            </w:pPr>
            <w:r w:rsidRPr="00E95ADC">
              <w:rPr>
                <w:rFonts w:ascii="Arial" w:hAnsi="Arial" w:cs="Arial"/>
                <w:color w:val="000000"/>
              </w:rPr>
              <w:t> 0.0000</w:t>
            </w:r>
          </w:p>
        </w:tc>
        <w:tc>
          <w:tcPr>
            <w:tcW w:w="1592" w:type="dxa"/>
            <w:tcBorders>
              <w:top w:val="single" w:sz="4" w:space="0" w:color="auto"/>
              <w:left w:val="single" w:sz="4" w:space="0" w:color="auto"/>
              <w:bottom w:val="single" w:sz="4" w:space="0" w:color="auto"/>
              <w:right w:val="single" w:sz="4" w:space="0" w:color="auto"/>
            </w:tcBorders>
            <w:vAlign w:val="bottom"/>
          </w:tcPr>
          <w:p w14:paraId="005C54F3" w14:textId="77777777" w:rsidR="00B66DF4" w:rsidRPr="00E95ADC" w:rsidRDefault="00B66DF4" w:rsidP="0066301C">
            <w:pPr>
              <w:jc w:val="both"/>
              <w:rPr>
                <w:rFonts w:ascii="Arial" w:hAnsi="Arial" w:cs="Arial"/>
              </w:rPr>
            </w:pPr>
            <w:r w:rsidRPr="00E95ADC">
              <w:rPr>
                <w:rFonts w:ascii="Arial" w:hAnsi="Arial" w:cs="Arial"/>
              </w:rPr>
              <w:t>At most 1*</w:t>
            </w:r>
          </w:p>
        </w:tc>
        <w:tc>
          <w:tcPr>
            <w:tcW w:w="1441" w:type="dxa"/>
            <w:tcBorders>
              <w:top w:val="single" w:sz="4" w:space="0" w:color="auto"/>
              <w:left w:val="nil"/>
              <w:bottom w:val="single" w:sz="4" w:space="0" w:color="auto"/>
              <w:right w:val="single" w:sz="4" w:space="0" w:color="auto"/>
            </w:tcBorders>
            <w:vAlign w:val="bottom"/>
          </w:tcPr>
          <w:p w14:paraId="713396A9" w14:textId="77777777" w:rsidR="00B66DF4" w:rsidRPr="00E95ADC" w:rsidRDefault="00B66DF4" w:rsidP="0066301C">
            <w:pPr>
              <w:autoSpaceDE w:val="0"/>
              <w:autoSpaceDN w:val="0"/>
              <w:adjustRightInd w:val="0"/>
              <w:jc w:val="center"/>
              <w:rPr>
                <w:rFonts w:ascii="Arial" w:hAnsi="Arial" w:cs="Arial"/>
                <w:color w:val="000000"/>
              </w:rPr>
            </w:pPr>
            <w:r w:rsidRPr="00E95ADC">
              <w:rPr>
                <w:rFonts w:ascii="Arial" w:hAnsi="Arial" w:cs="Arial"/>
                <w:color w:val="000000"/>
              </w:rPr>
              <w:t> 0.837024</w:t>
            </w:r>
          </w:p>
        </w:tc>
        <w:tc>
          <w:tcPr>
            <w:tcW w:w="1441" w:type="dxa"/>
            <w:tcBorders>
              <w:top w:val="single" w:sz="4" w:space="0" w:color="auto"/>
              <w:left w:val="single" w:sz="4" w:space="0" w:color="auto"/>
              <w:bottom w:val="single" w:sz="4" w:space="0" w:color="auto"/>
              <w:right w:val="single" w:sz="4" w:space="0" w:color="auto"/>
            </w:tcBorders>
            <w:vAlign w:val="bottom"/>
          </w:tcPr>
          <w:p w14:paraId="6327CDED" w14:textId="77777777" w:rsidR="00B66DF4" w:rsidRPr="00E95ADC" w:rsidRDefault="00B66DF4" w:rsidP="0066301C">
            <w:pPr>
              <w:autoSpaceDE w:val="0"/>
              <w:autoSpaceDN w:val="0"/>
              <w:adjustRightInd w:val="0"/>
              <w:jc w:val="center"/>
              <w:rPr>
                <w:rFonts w:ascii="Arial" w:hAnsi="Arial" w:cs="Arial"/>
                <w:color w:val="000000"/>
              </w:rPr>
            </w:pPr>
            <w:r w:rsidRPr="00E95ADC">
              <w:rPr>
                <w:rFonts w:ascii="Arial" w:hAnsi="Arial" w:cs="Arial"/>
                <w:color w:val="000000"/>
              </w:rPr>
              <w:t> 63.49540</w:t>
            </w:r>
          </w:p>
        </w:tc>
        <w:tc>
          <w:tcPr>
            <w:tcW w:w="1441" w:type="dxa"/>
            <w:tcBorders>
              <w:top w:val="single" w:sz="4" w:space="0" w:color="auto"/>
              <w:left w:val="single" w:sz="4" w:space="0" w:color="auto"/>
              <w:bottom w:val="single" w:sz="4" w:space="0" w:color="auto"/>
              <w:right w:val="single" w:sz="4" w:space="0" w:color="auto"/>
            </w:tcBorders>
            <w:vAlign w:val="bottom"/>
          </w:tcPr>
          <w:p w14:paraId="0913E0FB" w14:textId="77777777" w:rsidR="00B66DF4" w:rsidRPr="00E95ADC" w:rsidRDefault="00B66DF4" w:rsidP="0066301C">
            <w:pPr>
              <w:autoSpaceDE w:val="0"/>
              <w:autoSpaceDN w:val="0"/>
              <w:adjustRightInd w:val="0"/>
              <w:jc w:val="center"/>
              <w:rPr>
                <w:rFonts w:ascii="Arial" w:hAnsi="Arial" w:cs="Arial"/>
                <w:color w:val="000000"/>
              </w:rPr>
            </w:pPr>
            <w:r w:rsidRPr="00E95ADC">
              <w:rPr>
                <w:rFonts w:ascii="Arial" w:hAnsi="Arial" w:cs="Arial"/>
                <w:color w:val="000000"/>
              </w:rPr>
              <w:t> 33.87687</w:t>
            </w:r>
          </w:p>
        </w:tc>
        <w:tc>
          <w:tcPr>
            <w:tcW w:w="1437" w:type="dxa"/>
            <w:tcBorders>
              <w:top w:val="single" w:sz="4" w:space="0" w:color="auto"/>
              <w:left w:val="single" w:sz="4" w:space="0" w:color="auto"/>
              <w:bottom w:val="single" w:sz="4" w:space="0" w:color="auto"/>
              <w:right w:val="single" w:sz="4" w:space="0" w:color="auto"/>
            </w:tcBorders>
            <w:vAlign w:val="bottom"/>
          </w:tcPr>
          <w:p w14:paraId="5AAAB587" w14:textId="77777777" w:rsidR="00B66DF4" w:rsidRPr="00E95ADC" w:rsidRDefault="00B66DF4" w:rsidP="0066301C">
            <w:pPr>
              <w:autoSpaceDE w:val="0"/>
              <w:autoSpaceDN w:val="0"/>
              <w:adjustRightInd w:val="0"/>
              <w:jc w:val="center"/>
              <w:rPr>
                <w:rFonts w:ascii="Arial" w:hAnsi="Arial" w:cs="Arial"/>
                <w:color w:val="000000"/>
              </w:rPr>
            </w:pPr>
            <w:r w:rsidRPr="00E95ADC">
              <w:rPr>
                <w:rFonts w:ascii="Arial" w:hAnsi="Arial" w:cs="Arial"/>
                <w:color w:val="000000"/>
              </w:rPr>
              <w:t> 0.0000</w:t>
            </w:r>
          </w:p>
        </w:tc>
      </w:tr>
      <w:tr w:rsidR="00B66DF4" w:rsidRPr="00E95ADC" w14:paraId="3CA5F377" w14:textId="77777777" w:rsidTr="004D74AB">
        <w:tc>
          <w:tcPr>
            <w:tcW w:w="1401" w:type="dxa"/>
          </w:tcPr>
          <w:p w14:paraId="253DE976" w14:textId="77777777" w:rsidR="00B66DF4" w:rsidRPr="00E95ADC" w:rsidRDefault="00B66DF4" w:rsidP="0066301C">
            <w:pPr>
              <w:jc w:val="both"/>
              <w:rPr>
                <w:rFonts w:ascii="Arial" w:hAnsi="Arial" w:cs="Arial"/>
              </w:rPr>
            </w:pPr>
            <w:r w:rsidRPr="00E95ADC">
              <w:rPr>
                <w:rFonts w:ascii="Arial" w:hAnsi="Arial" w:cs="Arial"/>
              </w:rPr>
              <w:t>At most 2*</w:t>
            </w:r>
          </w:p>
        </w:tc>
        <w:tc>
          <w:tcPr>
            <w:tcW w:w="1176" w:type="dxa"/>
            <w:tcBorders>
              <w:top w:val="single" w:sz="4" w:space="0" w:color="auto"/>
              <w:left w:val="nil"/>
              <w:bottom w:val="single" w:sz="4" w:space="0" w:color="auto"/>
              <w:right w:val="single" w:sz="4" w:space="0" w:color="auto"/>
            </w:tcBorders>
            <w:vAlign w:val="bottom"/>
          </w:tcPr>
          <w:p w14:paraId="53321414" w14:textId="77777777" w:rsidR="00B66DF4" w:rsidRPr="00E95ADC" w:rsidRDefault="00B66DF4" w:rsidP="0066301C">
            <w:pPr>
              <w:autoSpaceDE w:val="0"/>
              <w:autoSpaceDN w:val="0"/>
              <w:adjustRightInd w:val="0"/>
              <w:jc w:val="center"/>
              <w:rPr>
                <w:rFonts w:ascii="Arial" w:hAnsi="Arial" w:cs="Arial"/>
                <w:color w:val="000000"/>
              </w:rPr>
            </w:pPr>
            <w:r w:rsidRPr="00E95ADC">
              <w:rPr>
                <w:rFonts w:ascii="Arial" w:hAnsi="Arial" w:cs="Arial"/>
                <w:color w:val="000000"/>
              </w:rPr>
              <w:t> 0.691983</w:t>
            </w:r>
          </w:p>
        </w:tc>
        <w:tc>
          <w:tcPr>
            <w:tcW w:w="1176" w:type="dxa"/>
            <w:tcBorders>
              <w:top w:val="single" w:sz="4" w:space="0" w:color="auto"/>
              <w:left w:val="single" w:sz="4" w:space="0" w:color="auto"/>
              <w:bottom w:val="single" w:sz="4" w:space="0" w:color="auto"/>
              <w:right w:val="single" w:sz="4" w:space="0" w:color="auto"/>
            </w:tcBorders>
            <w:vAlign w:val="bottom"/>
          </w:tcPr>
          <w:p w14:paraId="433936A8" w14:textId="77777777" w:rsidR="00B66DF4" w:rsidRPr="00E95ADC" w:rsidRDefault="00B66DF4" w:rsidP="0066301C">
            <w:pPr>
              <w:autoSpaceDE w:val="0"/>
              <w:autoSpaceDN w:val="0"/>
              <w:adjustRightInd w:val="0"/>
              <w:jc w:val="center"/>
              <w:rPr>
                <w:rFonts w:ascii="Arial" w:hAnsi="Arial" w:cs="Arial"/>
                <w:color w:val="000000"/>
              </w:rPr>
            </w:pPr>
            <w:r w:rsidRPr="00E95ADC">
              <w:rPr>
                <w:rFonts w:ascii="Arial" w:hAnsi="Arial" w:cs="Arial"/>
                <w:color w:val="000000"/>
              </w:rPr>
              <w:t> 83.20182</w:t>
            </w:r>
          </w:p>
        </w:tc>
        <w:tc>
          <w:tcPr>
            <w:tcW w:w="1298" w:type="dxa"/>
            <w:tcBorders>
              <w:top w:val="single" w:sz="4" w:space="0" w:color="auto"/>
              <w:left w:val="single" w:sz="4" w:space="0" w:color="auto"/>
              <w:bottom w:val="single" w:sz="4" w:space="0" w:color="auto"/>
              <w:right w:val="single" w:sz="4" w:space="0" w:color="auto"/>
            </w:tcBorders>
            <w:vAlign w:val="bottom"/>
          </w:tcPr>
          <w:p w14:paraId="04F29A62" w14:textId="77777777" w:rsidR="00B66DF4" w:rsidRPr="00E95ADC" w:rsidRDefault="00B66DF4" w:rsidP="0066301C">
            <w:pPr>
              <w:autoSpaceDE w:val="0"/>
              <w:autoSpaceDN w:val="0"/>
              <w:adjustRightInd w:val="0"/>
              <w:jc w:val="center"/>
              <w:rPr>
                <w:rFonts w:ascii="Arial" w:hAnsi="Arial" w:cs="Arial"/>
                <w:color w:val="000000"/>
              </w:rPr>
            </w:pPr>
            <w:r w:rsidRPr="00E95ADC">
              <w:rPr>
                <w:rFonts w:ascii="Arial" w:hAnsi="Arial" w:cs="Arial"/>
                <w:color w:val="000000"/>
              </w:rPr>
              <w:t> 47.85613</w:t>
            </w:r>
          </w:p>
        </w:tc>
        <w:tc>
          <w:tcPr>
            <w:tcW w:w="1355" w:type="dxa"/>
            <w:tcBorders>
              <w:top w:val="single" w:sz="4" w:space="0" w:color="auto"/>
              <w:left w:val="single" w:sz="4" w:space="0" w:color="auto"/>
              <w:bottom w:val="single" w:sz="4" w:space="0" w:color="auto"/>
              <w:right w:val="nil"/>
            </w:tcBorders>
            <w:vAlign w:val="bottom"/>
          </w:tcPr>
          <w:p w14:paraId="6A1962C9" w14:textId="77777777" w:rsidR="00B66DF4" w:rsidRPr="00E95ADC" w:rsidRDefault="00B66DF4" w:rsidP="0066301C">
            <w:pPr>
              <w:autoSpaceDE w:val="0"/>
              <w:autoSpaceDN w:val="0"/>
              <w:adjustRightInd w:val="0"/>
              <w:jc w:val="center"/>
              <w:rPr>
                <w:rFonts w:ascii="Arial" w:hAnsi="Arial" w:cs="Arial"/>
                <w:color w:val="000000"/>
              </w:rPr>
            </w:pPr>
            <w:r w:rsidRPr="00E95ADC">
              <w:rPr>
                <w:rFonts w:ascii="Arial" w:hAnsi="Arial" w:cs="Arial"/>
                <w:color w:val="000000"/>
              </w:rPr>
              <w:t> 0.0000</w:t>
            </w:r>
          </w:p>
        </w:tc>
        <w:tc>
          <w:tcPr>
            <w:tcW w:w="1592" w:type="dxa"/>
            <w:tcBorders>
              <w:top w:val="single" w:sz="4" w:space="0" w:color="auto"/>
              <w:left w:val="single" w:sz="4" w:space="0" w:color="auto"/>
              <w:bottom w:val="single" w:sz="4" w:space="0" w:color="auto"/>
              <w:right w:val="single" w:sz="4" w:space="0" w:color="auto"/>
            </w:tcBorders>
            <w:vAlign w:val="bottom"/>
          </w:tcPr>
          <w:p w14:paraId="6AEFBA45" w14:textId="77777777" w:rsidR="00B66DF4" w:rsidRPr="00E95ADC" w:rsidRDefault="00B66DF4" w:rsidP="0066301C">
            <w:pPr>
              <w:jc w:val="both"/>
              <w:rPr>
                <w:rFonts w:ascii="Arial" w:hAnsi="Arial" w:cs="Arial"/>
              </w:rPr>
            </w:pPr>
            <w:r w:rsidRPr="00E95ADC">
              <w:rPr>
                <w:rFonts w:ascii="Arial" w:hAnsi="Arial" w:cs="Arial"/>
              </w:rPr>
              <w:t>At most 2*</w:t>
            </w:r>
          </w:p>
        </w:tc>
        <w:tc>
          <w:tcPr>
            <w:tcW w:w="1441" w:type="dxa"/>
            <w:tcBorders>
              <w:top w:val="single" w:sz="4" w:space="0" w:color="auto"/>
              <w:left w:val="nil"/>
              <w:bottom w:val="single" w:sz="4" w:space="0" w:color="auto"/>
              <w:right w:val="single" w:sz="4" w:space="0" w:color="auto"/>
            </w:tcBorders>
            <w:vAlign w:val="bottom"/>
          </w:tcPr>
          <w:p w14:paraId="09C9CF92" w14:textId="77777777" w:rsidR="00B66DF4" w:rsidRPr="00E95ADC" w:rsidRDefault="00B66DF4" w:rsidP="0066301C">
            <w:pPr>
              <w:autoSpaceDE w:val="0"/>
              <w:autoSpaceDN w:val="0"/>
              <w:adjustRightInd w:val="0"/>
              <w:jc w:val="center"/>
              <w:rPr>
                <w:rFonts w:ascii="Arial" w:hAnsi="Arial" w:cs="Arial"/>
                <w:color w:val="000000"/>
              </w:rPr>
            </w:pPr>
            <w:r w:rsidRPr="00E95ADC">
              <w:rPr>
                <w:rFonts w:ascii="Arial" w:hAnsi="Arial" w:cs="Arial"/>
                <w:color w:val="000000"/>
              </w:rPr>
              <w:t> 0.691983</w:t>
            </w:r>
          </w:p>
        </w:tc>
        <w:tc>
          <w:tcPr>
            <w:tcW w:w="1441" w:type="dxa"/>
            <w:tcBorders>
              <w:top w:val="single" w:sz="4" w:space="0" w:color="auto"/>
              <w:left w:val="single" w:sz="4" w:space="0" w:color="auto"/>
              <w:bottom w:val="single" w:sz="4" w:space="0" w:color="auto"/>
              <w:right w:val="single" w:sz="4" w:space="0" w:color="auto"/>
            </w:tcBorders>
            <w:vAlign w:val="bottom"/>
          </w:tcPr>
          <w:p w14:paraId="1E2CDA19" w14:textId="77777777" w:rsidR="00B66DF4" w:rsidRPr="00E95ADC" w:rsidRDefault="00B66DF4" w:rsidP="0066301C">
            <w:pPr>
              <w:autoSpaceDE w:val="0"/>
              <w:autoSpaceDN w:val="0"/>
              <w:adjustRightInd w:val="0"/>
              <w:jc w:val="center"/>
              <w:rPr>
                <w:rFonts w:ascii="Arial" w:hAnsi="Arial" w:cs="Arial"/>
                <w:color w:val="000000"/>
              </w:rPr>
            </w:pPr>
            <w:r w:rsidRPr="00E95ADC">
              <w:rPr>
                <w:rFonts w:ascii="Arial" w:hAnsi="Arial" w:cs="Arial"/>
                <w:color w:val="000000"/>
              </w:rPr>
              <w:t> 41.21597</w:t>
            </w:r>
          </w:p>
        </w:tc>
        <w:tc>
          <w:tcPr>
            <w:tcW w:w="1441" w:type="dxa"/>
            <w:tcBorders>
              <w:top w:val="single" w:sz="4" w:space="0" w:color="auto"/>
              <w:left w:val="single" w:sz="4" w:space="0" w:color="auto"/>
              <w:bottom w:val="single" w:sz="4" w:space="0" w:color="auto"/>
              <w:right w:val="single" w:sz="4" w:space="0" w:color="auto"/>
            </w:tcBorders>
            <w:vAlign w:val="bottom"/>
          </w:tcPr>
          <w:p w14:paraId="39B7C48E" w14:textId="77777777" w:rsidR="00B66DF4" w:rsidRPr="00E95ADC" w:rsidRDefault="00B66DF4" w:rsidP="0066301C">
            <w:pPr>
              <w:autoSpaceDE w:val="0"/>
              <w:autoSpaceDN w:val="0"/>
              <w:adjustRightInd w:val="0"/>
              <w:jc w:val="center"/>
              <w:rPr>
                <w:rFonts w:ascii="Arial" w:hAnsi="Arial" w:cs="Arial"/>
                <w:color w:val="000000"/>
              </w:rPr>
            </w:pPr>
            <w:r w:rsidRPr="00E95ADC">
              <w:rPr>
                <w:rFonts w:ascii="Arial" w:hAnsi="Arial" w:cs="Arial"/>
                <w:color w:val="000000"/>
              </w:rPr>
              <w:t> 27.58434</w:t>
            </w:r>
          </w:p>
        </w:tc>
        <w:tc>
          <w:tcPr>
            <w:tcW w:w="1437" w:type="dxa"/>
            <w:tcBorders>
              <w:top w:val="single" w:sz="4" w:space="0" w:color="auto"/>
              <w:left w:val="single" w:sz="4" w:space="0" w:color="auto"/>
              <w:bottom w:val="single" w:sz="4" w:space="0" w:color="auto"/>
              <w:right w:val="single" w:sz="4" w:space="0" w:color="auto"/>
            </w:tcBorders>
            <w:vAlign w:val="bottom"/>
          </w:tcPr>
          <w:p w14:paraId="59FC3C66" w14:textId="77777777" w:rsidR="00B66DF4" w:rsidRPr="00E95ADC" w:rsidRDefault="00B66DF4" w:rsidP="0066301C">
            <w:pPr>
              <w:autoSpaceDE w:val="0"/>
              <w:autoSpaceDN w:val="0"/>
              <w:adjustRightInd w:val="0"/>
              <w:jc w:val="center"/>
              <w:rPr>
                <w:rFonts w:ascii="Arial" w:hAnsi="Arial" w:cs="Arial"/>
                <w:color w:val="000000"/>
              </w:rPr>
            </w:pPr>
            <w:r w:rsidRPr="00E95ADC">
              <w:rPr>
                <w:rFonts w:ascii="Arial" w:hAnsi="Arial" w:cs="Arial"/>
                <w:color w:val="000000"/>
              </w:rPr>
              <w:t> 0.0005</w:t>
            </w:r>
          </w:p>
        </w:tc>
      </w:tr>
      <w:tr w:rsidR="00B66DF4" w:rsidRPr="00E95ADC" w14:paraId="7A5856B9" w14:textId="77777777" w:rsidTr="004D74AB">
        <w:tc>
          <w:tcPr>
            <w:tcW w:w="1401" w:type="dxa"/>
          </w:tcPr>
          <w:p w14:paraId="4579F0F9" w14:textId="77777777" w:rsidR="00B66DF4" w:rsidRPr="00E95ADC" w:rsidRDefault="00B66DF4" w:rsidP="0066301C">
            <w:pPr>
              <w:jc w:val="both"/>
              <w:rPr>
                <w:rFonts w:ascii="Arial" w:hAnsi="Arial" w:cs="Arial"/>
              </w:rPr>
            </w:pPr>
            <w:r w:rsidRPr="00E95ADC">
              <w:rPr>
                <w:rFonts w:ascii="Arial" w:hAnsi="Arial" w:cs="Arial"/>
              </w:rPr>
              <w:t>At most 3*</w:t>
            </w:r>
          </w:p>
        </w:tc>
        <w:tc>
          <w:tcPr>
            <w:tcW w:w="1176" w:type="dxa"/>
            <w:tcBorders>
              <w:top w:val="single" w:sz="4" w:space="0" w:color="auto"/>
              <w:left w:val="nil"/>
              <w:bottom w:val="single" w:sz="4" w:space="0" w:color="auto"/>
              <w:right w:val="single" w:sz="4" w:space="0" w:color="auto"/>
            </w:tcBorders>
            <w:vAlign w:val="bottom"/>
          </w:tcPr>
          <w:p w14:paraId="721E6B01" w14:textId="77777777" w:rsidR="00B66DF4" w:rsidRPr="00E95ADC" w:rsidRDefault="00B66DF4" w:rsidP="0066301C">
            <w:pPr>
              <w:autoSpaceDE w:val="0"/>
              <w:autoSpaceDN w:val="0"/>
              <w:adjustRightInd w:val="0"/>
              <w:jc w:val="center"/>
              <w:rPr>
                <w:rFonts w:ascii="Arial" w:hAnsi="Arial" w:cs="Arial"/>
                <w:color w:val="000000"/>
              </w:rPr>
            </w:pPr>
            <w:r w:rsidRPr="00E95ADC">
              <w:rPr>
                <w:rFonts w:ascii="Arial" w:hAnsi="Arial" w:cs="Arial"/>
                <w:color w:val="000000"/>
              </w:rPr>
              <w:t> 0.607593</w:t>
            </w:r>
          </w:p>
        </w:tc>
        <w:tc>
          <w:tcPr>
            <w:tcW w:w="1176" w:type="dxa"/>
            <w:tcBorders>
              <w:top w:val="single" w:sz="4" w:space="0" w:color="auto"/>
              <w:left w:val="single" w:sz="4" w:space="0" w:color="auto"/>
              <w:bottom w:val="single" w:sz="4" w:space="0" w:color="auto"/>
              <w:right w:val="single" w:sz="4" w:space="0" w:color="auto"/>
            </w:tcBorders>
            <w:vAlign w:val="bottom"/>
          </w:tcPr>
          <w:p w14:paraId="13FBEA72" w14:textId="77777777" w:rsidR="00B66DF4" w:rsidRPr="00E95ADC" w:rsidRDefault="00B66DF4" w:rsidP="0066301C">
            <w:pPr>
              <w:autoSpaceDE w:val="0"/>
              <w:autoSpaceDN w:val="0"/>
              <w:adjustRightInd w:val="0"/>
              <w:jc w:val="center"/>
              <w:rPr>
                <w:rFonts w:ascii="Arial" w:hAnsi="Arial" w:cs="Arial"/>
                <w:color w:val="000000"/>
              </w:rPr>
            </w:pPr>
            <w:r w:rsidRPr="00E95ADC">
              <w:rPr>
                <w:rFonts w:ascii="Arial" w:hAnsi="Arial" w:cs="Arial"/>
                <w:color w:val="000000"/>
              </w:rPr>
              <w:t> 41.98585</w:t>
            </w:r>
          </w:p>
        </w:tc>
        <w:tc>
          <w:tcPr>
            <w:tcW w:w="1298" w:type="dxa"/>
            <w:tcBorders>
              <w:top w:val="single" w:sz="4" w:space="0" w:color="auto"/>
              <w:left w:val="single" w:sz="4" w:space="0" w:color="auto"/>
              <w:bottom w:val="single" w:sz="4" w:space="0" w:color="auto"/>
              <w:right w:val="single" w:sz="4" w:space="0" w:color="auto"/>
            </w:tcBorders>
            <w:vAlign w:val="bottom"/>
          </w:tcPr>
          <w:p w14:paraId="425DCC3D" w14:textId="77777777" w:rsidR="00B66DF4" w:rsidRPr="00E95ADC" w:rsidRDefault="00B66DF4" w:rsidP="0066301C">
            <w:pPr>
              <w:autoSpaceDE w:val="0"/>
              <w:autoSpaceDN w:val="0"/>
              <w:adjustRightInd w:val="0"/>
              <w:jc w:val="center"/>
              <w:rPr>
                <w:rFonts w:ascii="Arial" w:hAnsi="Arial" w:cs="Arial"/>
                <w:color w:val="000000"/>
              </w:rPr>
            </w:pPr>
            <w:r w:rsidRPr="00E95ADC">
              <w:rPr>
                <w:rFonts w:ascii="Arial" w:hAnsi="Arial" w:cs="Arial"/>
                <w:color w:val="000000"/>
              </w:rPr>
              <w:t> 29.79707</w:t>
            </w:r>
          </w:p>
        </w:tc>
        <w:tc>
          <w:tcPr>
            <w:tcW w:w="1355" w:type="dxa"/>
            <w:tcBorders>
              <w:top w:val="single" w:sz="4" w:space="0" w:color="auto"/>
              <w:left w:val="single" w:sz="4" w:space="0" w:color="auto"/>
              <w:bottom w:val="single" w:sz="4" w:space="0" w:color="auto"/>
              <w:right w:val="nil"/>
            </w:tcBorders>
            <w:vAlign w:val="bottom"/>
          </w:tcPr>
          <w:p w14:paraId="23711C2D" w14:textId="77777777" w:rsidR="00B66DF4" w:rsidRPr="00E95ADC" w:rsidRDefault="00B66DF4" w:rsidP="0066301C">
            <w:pPr>
              <w:autoSpaceDE w:val="0"/>
              <w:autoSpaceDN w:val="0"/>
              <w:adjustRightInd w:val="0"/>
              <w:jc w:val="center"/>
              <w:rPr>
                <w:rFonts w:ascii="Arial" w:hAnsi="Arial" w:cs="Arial"/>
                <w:color w:val="000000"/>
              </w:rPr>
            </w:pPr>
            <w:r w:rsidRPr="00E95ADC">
              <w:rPr>
                <w:rFonts w:ascii="Arial" w:hAnsi="Arial" w:cs="Arial"/>
                <w:color w:val="000000"/>
              </w:rPr>
              <w:t> 0.0012</w:t>
            </w:r>
          </w:p>
        </w:tc>
        <w:tc>
          <w:tcPr>
            <w:tcW w:w="1592" w:type="dxa"/>
            <w:tcBorders>
              <w:top w:val="single" w:sz="4" w:space="0" w:color="auto"/>
              <w:left w:val="single" w:sz="4" w:space="0" w:color="auto"/>
              <w:bottom w:val="single" w:sz="4" w:space="0" w:color="auto"/>
              <w:right w:val="single" w:sz="4" w:space="0" w:color="auto"/>
            </w:tcBorders>
            <w:vAlign w:val="bottom"/>
          </w:tcPr>
          <w:p w14:paraId="45529FEC" w14:textId="77777777" w:rsidR="00B66DF4" w:rsidRPr="00E95ADC" w:rsidRDefault="00B66DF4" w:rsidP="0066301C">
            <w:pPr>
              <w:jc w:val="both"/>
              <w:rPr>
                <w:rFonts w:ascii="Arial" w:hAnsi="Arial" w:cs="Arial"/>
              </w:rPr>
            </w:pPr>
            <w:r w:rsidRPr="00E95ADC">
              <w:rPr>
                <w:rFonts w:ascii="Arial" w:hAnsi="Arial" w:cs="Arial"/>
              </w:rPr>
              <w:t>At most 3*</w:t>
            </w:r>
          </w:p>
        </w:tc>
        <w:tc>
          <w:tcPr>
            <w:tcW w:w="1441" w:type="dxa"/>
            <w:tcBorders>
              <w:top w:val="single" w:sz="4" w:space="0" w:color="auto"/>
              <w:left w:val="nil"/>
              <w:bottom w:val="single" w:sz="4" w:space="0" w:color="auto"/>
              <w:right w:val="single" w:sz="4" w:space="0" w:color="auto"/>
            </w:tcBorders>
            <w:vAlign w:val="bottom"/>
          </w:tcPr>
          <w:p w14:paraId="0DCDF5B5" w14:textId="77777777" w:rsidR="00B66DF4" w:rsidRPr="00E95ADC" w:rsidRDefault="00B66DF4" w:rsidP="0066301C">
            <w:pPr>
              <w:autoSpaceDE w:val="0"/>
              <w:autoSpaceDN w:val="0"/>
              <w:adjustRightInd w:val="0"/>
              <w:jc w:val="center"/>
              <w:rPr>
                <w:rFonts w:ascii="Arial" w:hAnsi="Arial" w:cs="Arial"/>
                <w:color w:val="000000"/>
              </w:rPr>
            </w:pPr>
            <w:r w:rsidRPr="00E95ADC">
              <w:rPr>
                <w:rFonts w:ascii="Arial" w:hAnsi="Arial" w:cs="Arial"/>
                <w:color w:val="000000"/>
              </w:rPr>
              <w:t> 0.607593</w:t>
            </w:r>
          </w:p>
        </w:tc>
        <w:tc>
          <w:tcPr>
            <w:tcW w:w="1441" w:type="dxa"/>
            <w:tcBorders>
              <w:top w:val="single" w:sz="4" w:space="0" w:color="auto"/>
              <w:left w:val="single" w:sz="4" w:space="0" w:color="auto"/>
              <w:bottom w:val="single" w:sz="4" w:space="0" w:color="auto"/>
              <w:right w:val="single" w:sz="4" w:space="0" w:color="auto"/>
            </w:tcBorders>
            <w:vAlign w:val="bottom"/>
          </w:tcPr>
          <w:p w14:paraId="3157D37B" w14:textId="77777777" w:rsidR="00B66DF4" w:rsidRPr="00E95ADC" w:rsidRDefault="00B66DF4" w:rsidP="0066301C">
            <w:pPr>
              <w:autoSpaceDE w:val="0"/>
              <w:autoSpaceDN w:val="0"/>
              <w:adjustRightInd w:val="0"/>
              <w:jc w:val="center"/>
              <w:rPr>
                <w:rFonts w:ascii="Arial" w:hAnsi="Arial" w:cs="Arial"/>
                <w:color w:val="000000"/>
              </w:rPr>
            </w:pPr>
            <w:r w:rsidRPr="00E95ADC">
              <w:rPr>
                <w:rFonts w:ascii="Arial" w:hAnsi="Arial" w:cs="Arial"/>
                <w:color w:val="000000"/>
              </w:rPr>
              <w:t> 32.74096</w:t>
            </w:r>
          </w:p>
        </w:tc>
        <w:tc>
          <w:tcPr>
            <w:tcW w:w="1441" w:type="dxa"/>
            <w:tcBorders>
              <w:top w:val="single" w:sz="4" w:space="0" w:color="auto"/>
              <w:left w:val="single" w:sz="4" w:space="0" w:color="auto"/>
              <w:bottom w:val="single" w:sz="4" w:space="0" w:color="auto"/>
              <w:right w:val="single" w:sz="4" w:space="0" w:color="auto"/>
            </w:tcBorders>
            <w:vAlign w:val="bottom"/>
          </w:tcPr>
          <w:p w14:paraId="1158EE67" w14:textId="77777777" w:rsidR="00B66DF4" w:rsidRPr="00E95ADC" w:rsidRDefault="00B66DF4" w:rsidP="0066301C">
            <w:pPr>
              <w:autoSpaceDE w:val="0"/>
              <w:autoSpaceDN w:val="0"/>
              <w:adjustRightInd w:val="0"/>
              <w:jc w:val="center"/>
              <w:rPr>
                <w:rFonts w:ascii="Arial" w:hAnsi="Arial" w:cs="Arial"/>
                <w:color w:val="000000"/>
              </w:rPr>
            </w:pPr>
            <w:r w:rsidRPr="00E95ADC">
              <w:rPr>
                <w:rFonts w:ascii="Arial" w:hAnsi="Arial" w:cs="Arial"/>
                <w:color w:val="000000"/>
              </w:rPr>
              <w:t> 21.13162</w:t>
            </w:r>
          </w:p>
        </w:tc>
        <w:tc>
          <w:tcPr>
            <w:tcW w:w="1437" w:type="dxa"/>
            <w:tcBorders>
              <w:top w:val="single" w:sz="4" w:space="0" w:color="auto"/>
              <w:left w:val="single" w:sz="4" w:space="0" w:color="auto"/>
              <w:bottom w:val="single" w:sz="4" w:space="0" w:color="auto"/>
              <w:right w:val="single" w:sz="4" w:space="0" w:color="auto"/>
            </w:tcBorders>
            <w:vAlign w:val="bottom"/>
          </w:tcPr>
          <w:p w14:paraId="1BBE9B4B" w14:textId="77777777" w:rsidR="00B66DF4" w:rsidRPr="00E95ADC" w:rsidRDefault="00B66DF4" w:rsidP="0066301C">
            <w:pPr>
              <w:autoSpaceDE w:val="0"/>
              <w:autoSpaceDN w:val="0"/>
              <w:adjustRightInd w:val="0"/>
              <w:jc w:val="center"/>
              <w:rPr>
                <w:rFonts w:ascii="Arial" w:hAnsi="Arial" w:cs="Arial"/>
                <w:color w:val="000000"/>
              </w:rPr>
            </w:pPr>
            <w:r w:rsidRPr="00E95ADC">
              <w:rPr>
                <w:rFonts w:ascii="Arial" w:hAnsi="Arial" w:cs="Arial"/>
                <w:color w:val="000000"/>
              </w:rPr>
              <w:t> 0.0008</w:t>
            </w:r>
          </w:p>
        </w:tc>
      </w:tr>
      <w:tr w:rsidR="00B66DF4" w:rsidRPr="00E95ADC" w14:paraId="3D2E44F7" w14:textId="77777777" w:rsidTr="004D74AB">
        <w:tc>
          <w:tcPr>
            <w:tcW w:w="1401" w:type="dxa"/>
          </w:tcPr>
          <w:p w14:paraId="2A03E62D" w14:textId="77777777" w:rsidR="00B66DF4" w:rsidRPr="00E95ADC" w:rsidRDefault="00B66DF4" w:rsidP="0066301C">
            <w:pPr>
              <w:jc w:val="both"/>
              <w:rPr>
                <w:rFonts w:ascii="Arial" w:hAnsi="Arial" w:cs="Arial"/>
              </w:rPr>
            </w:pPr>
            <w:r w:rsidRPr="00E95ADC">
              <w:rPr>
                <w:rFonts w:ascii="Arial" w:hAnsi="Arial" w:cs="Arial"/>
              </w:rPr>
              <w:t>At most 4</w:t>
            </w:r>
          </w:p>
        </w:tc>
        <w:tc>
          <w:tcPr>
            <w:tcW w:w="1176" w:type="dxa"/>
            <w:tcBorders>
              <w:top w:val="single" w:sz="4" w:space="0" w:color="auto"/>
              <w:left w:val="nil"/>
              <w:bottom w:val="single" w:sz="4" w:space="0" w:color="auto"/>
              <w:right w:val="single" w:sz="4" w:space="0" w:color="auto"/>
            </w:tcBorders>
            <w:vAlign w:val="bottom"/>
          </w:tcPr>
          <w:p w14:paraId="72A226A2" w14:textId="77777777" w:rsidR="00B66DF4" w:rsidRPr="00E95ADC" w:rsidRDefault="00B66DF4" w:rsidP="0066301C">
            <w:pPr>
              <w:autoSpaceDE w:val="0"/>
              <w:autoSpaceDN w:val="0"/>
              <w:adjustRightInd w:val="0"/>
              <w:jc w:val="center"/>
              <w:rPr>
                <w:rFonts w:ascii="Arial" w:hAnsi="Arial" w:cs="Arial"/>
                <w:color w:val="000000"/>
              </w:rPr>
            </w:pPr>
            <w:r w:rsidRPr="00E95ADC">
              <w:rPr>
                <w:rFonts w:ascii="Arial" w:hAnsi="Arial" w:cs="Arial"/>
                <w:color w:val="000000"/>
              </w:rPr>
              <w:t> 0.169361</w:t>
            </w:r>
          </w:p>
        </w:tc>
        <w:tc>
          <w:tcPr>
            <w:tcW w:w="1176" w:type="dxa"/>
            <w:tcBorders>
              <w:top w:val="single" w:sz="4" w:space="0" w:color="auto"/>
              <w:left w:val="single" w:sz="4" w:space="0" w:color="auto"/>
              <w:bottom w:val="single" w:sz="4" w:space="0" w:color="auto"/>
              <w:right w:val="single" w:sz="4" w:space="0" w:color="auto"/>
            </w:tcBorders>
            <w:vAlign w:val="bottom"/>
          </w:tcPr>
          <w:p w14:paraId="51B11055" w14:textId="77777777" w:rsidR="00B66DF4" w:rsidRPr="00E95ADC" w:rsidRDefault="00B66DF4" w:rsidP="0066301C">
            <w:pPr>
              <w:autoSpaceDE w:val="0"/>
              <w:autoSpaceDN w:val="0"/>
              <w:adjustRightInd w:val="0"/>
              <w:jc w:val="center"/>
              <w:rPr>
                <w:rFonts w:ascii="Arial" w:hAnsi="Arial" w:cs="Arial"/>
                <w:color w:val="000000"/>
              </w:rPr>
            </w:pPr>
            <w:r w:rsidRPr="00E95ADC">
              <w:rPr>
                <w:rFonts w:ascii="Arial" w:hAnsi="Arial" w:cs="Arial"/>
                <w:color w:val="000000"/>
              </w:rPr>
              <w:t> 9.244897</w:t>
            </w:r>
          </w:p>
        </w:tc>
        <w:tc>
          <w:tcPr>
            <w:tcW w:w="1298" w:type="dxa"/>
            <w:tcBorders>
              <w:top w:val="single" w:sz="4" w:space="0" w:color="auto"/>
              <w:left w:val="single" w:sz="4" w:space="0" w:color="auto"/>
              <w:bottom w:val="single" w:sz="4" w:space="0" w:color="auto"/>
              <w:right w:val="single" w:sz="4" w:space="0" w:color="auto"/>
            </w:tcBorders>
            <w:vAlign w:val="bottom"/>
          </w:tcPr>
          <w:p w14:paraId="10CC73E9" w14:textId="77777777" w:rsidR="00B66DF4" w:rsidRPr="00E95ADC" w:rsidRDefault="00B66DF4" w:rsidP="0066301C">
            <w:pPr>
              <w:autoSpaceDE w:val="0"/>
              <w:autoSpaceDN w:val="0"/>
              <w:adjustRightInd w:val="0"/>
              <w:jc w:val="center"/>
              <w:rPr>
                <w:rFonts w:ascii="Arial" w:hAnsi="Arial" w:cs="Arial"/>
                <w:color w:val="000000"/>
              </w:rPr>
            </w:pPr>
            <w:r w:rsidRPr="00E95ADC">
              <w:rPr>
                <w:rFonts w:ascii="Arial" w:hAnsi="Arial" w:cs="Arial"/>
                <w:color w:val="000000"/>
              </w:rPr>
              <w:t> 15.49471</w:t>
            </w:r>
          </w:p>
        </w:tc>
        <w:tc>
          <w:tcPr>
            <w:tcW w:w="1355" w:type="dxa"/>
            <w:tcBorders>
              <w:top w:val="single" w:sz="4" w:space="0" w:color="auto"/>
              <w:left w:val="single" w:sz="4" w:space="0" w:color="auto"/>
              <w:bottom w:val="single" w:sz="4" w:space="0" w:color="auto"/>
              <w:right w:val="nil"/>
            </w:tcBorders>
            <w:vAlign w:val="bottom"/>
          </w:tcPr>
          <w:p w14:paraId="0E875BC2" w14:textId="77777777" w:rsidR="00B66DF4" w:rsidRPr="00E95ADC" w:rsidRDefault="00B66DF4" w:rsidP="0066301C">
            <w:pPr>
              <w:autoSpaceDE w:val="0"/>
              <w:autoSpaceDN w:val="0"/>
              <w:adjustRightInd w:val="0"/>
              <w:jc w:val="center"/>
              <w:rPr>
                <w:rFonts w:ascii="Arial" w:hAnsi="Arial" w:cs="Arial"/>
                <w:color w:val="000000"/>
              </w:rPr>
            </w:pPr>
            <w:r w:rsidRPr="00E95ADC">
              <w:rPr>
                <w:rFonts w:ascii="Arial" w:hAnsi="Arial" w:cs="Arial"/>
                <w:color w:val="000000"/>
              </w:rPr>
              <w:t> 0.3432</w:t>
            </w:r>
          </w:p>
        </w:tc>
        <w:tc>
          <w:tcPr>
            <w:tcW w:w="1592" w:type="dxa"/>
            <w:tcBorders>
              <w:top w:val="single" w:sz="4" w:space="0" w:color="auto"/>
              <w:left w:val="single" w:sz="4" w:space="0" w:color="auto"/>
              <w:bottom w:val="single" w:sz="4" w:space="0" w:color="auto"/>
              <w:right w:val="single" w:sz="4" w:space="0" w:color="auto"/>
            </w:tcBorders>
          </w:tcPr>
          <w:p w14:paraId="79D7D819" w14:textId="77777777" w:rsidR="00B66DF4" w:rsidRPr="00E95ADC" w:rsidRDefault="00B66DF4" w:rsidP="0066301C">
            <w:pPr>
              <w:jc w:val="both"/>
              <w:rPr>
                <w:rFonts w:ascii="Arial" w:hAnsi="Arial" w:cs="Arial"/>
              </w:rPr>
            </w:pPr>
            <w:r w:rsidRPr="00E95ADC">
              <w:rPr>
                <w:rFonts w:ascii="Arial" w:hAnsi="Arial" w:cs="Arial"/>
              </w:rPr>
              <w:t>At most 4</w:t>
            </w:r>
          </w:p>
        </w:tc>
        <w:tc>
          <w:tcPr>
            <w:tcW w:w="1441" w:type="dxa"/>
            <w:tcBorders>
              <w:top w:val="single" w:sz="4" w:space="0" w:color="auto"/>
              <w:left w:val="nil"/>
              <w:bottom w:val="single" w:sz="4" w:space="0" w:color="auto"/>
              <w:right w:val="single" w:sz="4" w:space="0" w:color="auto"/>
            </w:tcBorders>
            <w:vAlign w:val="bottom"/>
          </w:tcPr>
          <w:p w14:paraId="688A20E1" w14:textId="77777777" w:rsidR="00B66DF4" w:rsidRPr="00E95ADC" w:rsidRDefault="00B66DF4" w:rsidP="0066301C">
            <w:pPr>
              <w:autoSpaceDE w:val="0"/>
              <w:autoSpaceDN w:val="0"/>
              <w:adjustRightInd w:val="0"/>
              <w:jc w:val="center"/>
              <w:rPr>
                <w:rFonts w:ascii="Arial" w:hAnsi="Arial" w:cs="Arial"/>
                <w:color w:val="000000"/>
              </w:rPr>
            </w:pPr>
            <w:r w:rsidRPr="00E95ADC">
              <w:rPr>
                <w:rFonts w:ascii="Arial" w:hAnsi="Arial" w:cs="Arial"/>
                <w:color w:val="000000"/>
              </w:rPr>
              <w:t> 0.169361</w:t>
            </w:r>
          </w:p>
        </w:tc>
        <w:tc>
          <w:tcPr>
            <w:tcW w:w="1441" w:type="dxa"/>
            <w:tcBorders>
              <w:top w:val="single" w:sz="4" w:space="0" w:color="auto"/>
              <w:left w:val="single" w:sz="4" w:space="0" w:color="auto"/>
              <w:bottom w:val="single" w:sz="4" w:space="0" w:color="auto"/>
              <w:right w:val="single" w:sz="4" w:space="0" w:color="auto"/>
            </w:tcBorders>
            <w:vAlign w:val="bottom"/>
          </w:tcPr>
          <w:p w14:paraId="161C43DD" w14:textId="77777777" w:rsidR="00B66DF4" w:rsidRPr="00E95ADC" w:rsidRDefault="00B66DF4" w:rsidP="0066301C">
            <w:pPr>
              <w:autoSpaceDE w:val="0"/>
              <w:autoSpaceDN w:val="0"/>
              <w:adjustRightInd w:val="0"/>
              <w:jc w:val="center"/>
              <w:rPr>
                <w:rFonts w:ascii="Arial" w:hAnsi="Arial" w:cs="Arial"/>
                <w:color w:val="000000"/>
              </w:rPr>
            </w:pPr>
            <w:r w:rsidRPr="00E95ADC">
              <w:rPr>
                <w:rFonts w:ascii="Arial" w:hAnsi="Arial" w:cs="Arial"/>
                <w:color w:val="000000"/>
              </w:rPr>
              <w:t> 6.494609</w:t>
            </w:r>
          </w:p>
        </w:tc>
        <w:tc>
          <w:tcPr>
            <w:tcW w:w="1441" w:type="dxa"/>
            <w:tcBorders>
              <w:top w:val="single" w:sz="4" w:space="0" w:color="auto"/>
              <w:left w:val="single" w:sz="4" w:space="0" w:color="auto"/>
              <w:bottom w:val="single" w:sz="4" w:space="0" w:color="auto"/>
              <w:right w:val="single" w:sz="4" w:space="0" w:color="auto"/>
            </w:tcBorders>
            <w:vAlign w:val="bottom"/>
          </w:tcPr>
          <w:p w14:paraId="55642CE2" w14:textId="77777777" w:rsidR="00B66DF4" w:rsidRPr="00E95ADC" w:rsidRDefault="00B66DF4" w:rsidP="0066301C">
            <w:pPr>
              <w:autoSpaceDE w:val="0"/>
              <w:autoSpaceDN w:val="0"/>
              <w:adjustRightInd w:val="0"/>
              <w:jc w:val="center"/>
              <w:rPr>
                <w:rFonts w:ascii="Arial" w:hAnsi="Arial" w:cs="Arial"/>
                <w:color w:val="000000"/>
              </w:rPr>
            </w:pPr>
            <w:r w:rsidRPr="00E95ADC">
              <w:rPr>
                <w:rFonts w:ascii="Arial" w:hAnsi="Arial" w:cs="Arial"/>
                <w:color w:val="000000"/>
              </w:rPr>
              <w:t> 14.26460</w:t>
            </w:r>
          </w:p>
        </w:tc>
        <w:tc>
          <w:tcPr>
            <w:tcW w:w="1437" w:type="dxa"/>
            <w:tcBorders>
              <w:top w:val="single" w:sz="4" w:space="0" w:color="auto"/>
              <w:left w:val="single" w:sz="4" w:space="0" w:color="auto"/>
              <w:bottom w:val="single" w:sz="4" w:space="0" w:color="auto"/>
              <w:right w:val="single" w:sz="4" w:space="0" w:color="auto"/>
            </w:tcBorders>
            <w:vAlign w:val="bottom"/>
          </w:tcPr>
          <w:p w14:paraId="7F1AAB65" w14:textId="77777777" w:rsidR="00B66DF4" w:rsidRPr="00E95ADC" w:rsidRDefault="00B66DF4" w:rsidP="0066301C">
            <w:pPr>
              <w:autoSpaceDE w:val="0"/>
              <w:autoSpaceDN w:val="0"/>
              <w:adjustRightInd w:val="0"/>
              <w:jc w:val="center"/>
              <w:rPr>
                <w:rFonts w:ascii="Arial" w:hAnsi="Arial" w:cs="Arial"/>
                <w:color w:val="000000"/>
              </w:rPr>
            </w:pPr>
            <w:r w:rsidRPr="00E95ADC">
              <w:rPr>
                <w:rFonts w:ascii="Arial" w:hAnsi="Arial" w:cs="Arial"/>
                <w:color w:val="000000"/>
              </w:rPr>
              <w:t> 0.5506</w:t>
            </w:r>
          </w:p>
        </w:tc>
      </w:tr>
      <w:tr w:rsidR="00B66DF4" w:rsidRPr="00E95ADC" w14:paraId="53CAF061" w14:textId="77777777" w:rsidTr="004D74AB">
        <w:tc>
          <w:tcPr>
            <w:tcW w:w="1401" w:type="dxa"/>
          </w:tcPr>
          <w:p w14:paraId="33189A90" w14:textId="77777777" w:rsidR="00B66DF4" w:rsidRPr="00E95ADC" w:rsidRDefault="00B66DF4" w:rsidP="0066301C">
            <w:pPr>
              <w:jc w:val="both"/>
              <w:rPr>
                <w:rFonts w:ascii="Arial" w:hAnsi="Arial" w:cs="Arial"/>
              </w:rPr>
            </w:pPr>
            <w:r w:rsidRPr="00E95ADC">
              <w:rPr>
                <w:rFonts w:ascii="Arial" w:hAnsi="Arial" w:cs="Arial"/>
              </w:rPr>
              <w:t>At most 5</w:t>
            </w:r>
          </w:p>
        </w:tc>
        <w:tc>
          <w:tcPr>
            <w:tcW w:w="1176" w:type="dxa"/>
            <w:tcBorders>
              <w:top w:val="single" w:sz="4" w:space="0" w:color="auto"/>
              <w:left w:val="nil"/>
              <w:bottom w:val="single" w:sz="4" w:space="0" w:color="auto"/>
              <w:right w:val="single" w:sz="4" w:space="0" w:color="auto"/>
            </w:tcBorders>
            <w:vAlign w:val="bottom"/>
          </w:tcPr>
          <w:p w14:paraId="51EE5031" w14:textId="77777777" w:rsidR="00B66DF4" w:rsidRPr="00E95ADC" w:rsidRDefault="00B66DF4" w:rsidP="0066301C">
            <w:pPr>
              <w:autoSpaceDE w:val="0"/>
              <w:autoSpaceDN w:val="0"/>
              <w:adjustRightInd w:val="0"/>
              <w:jc w:val="center"/>
              <w:rPr>
                <w:rFonts w:ascii="Arial" w:hAnsi="Arial" w:cs="Arial"/>
                <w:color w:val="000000"/>
              </w:rPr>
            </w:pPr>
            <w:r w:rsidRPr="00E95ADC">
              <w:rPr>
                <w:rFonts w:ascii="Arial" w:hAnsi="Arial" w:cs="Arial"/>
                <w:color w:val="000000"/>
              </w:rPr>
              <w:t> 0.075572</w:t>
            </w:r>
          </w:p>
        </w:tc>
        <w:tc>
          <w:tcPr>
            <w:tcW w:w="1176" w:type="dxa"/>
            <w:tcBorders>
              <w:top w:val="single" w:sz="4" w:space="0" w:color="auto"/>
              <w:left w:val="single" w:sz="4" w:space="0" w:color="auto"/>
              <w:bottom w:val="single" w:sz="4" w:space="0" w:color="auto"/>
              <w:right w:val="single" w:sz="4" w:space="0" w:color="auto"/>
            </w:tcBorders>
            <w:vAlign w:val="bottom"/>
          </w:tcPr>
          <w:p w14:paraId="3E874563" w14:textId="77777777" w:rsidR="00B66DF4" w:rsidRPr="00E95ADC" w:rsidRDefault="00B66DF4" w:rsidP="0066301C">
            <w:pPr>
              <w:autoSpaceDE w:val="0"/>
              <w:autoSpaceDN w:val="0"/>
              <w:adjustRightInd w:val="0"/>
              <w:jc w:val="center"/>
              <w:rPr>
                <w:rFonts w:ascii="Arial" w:hAnsi="Arial" w:cs="Arial"/>
                <w:color w:val="000000"/>
              </w:rPr>
            </w:pPr>
            <w:r w:rsidRPr="00E95ADC">
              <w:rPr>
                <w:rFonts w:ascii="Arial" w:hAnsi="Arial" w:cs="Arial"/>
                <w:color w:val="000000"/>
              </w:rPr>
              <w:t> 2.750289</w:t>
            </w:r>
          </w:p>
        </w:tc>
        <w:tc>
          <w:tcPr>
            <w:tcW w:w="1298" w:type="dxa"/>
            <w:tcBorders>
              <w:top w:val="single" w:sz="4" w:space="0" w:color="auto"/>
              <w:left w:val="single" w:sz="4" w:space="0" w:color="auto"/>
              <w:bottom w:val="single" w:sz="4" w:space="0" w:color="auto"/>
              <w:right w:val="single" w:sz="4" w:space="0" w:color="auto"/>
            </w:tcBorders>
            <w:vAlign w:val="bottom"/>
          </w:tcPr>
          <w:p w14:paraId="667DBBC8" w14:textId="77777777" w:rsidR="00B66DF4" w:rsidRPr="00E95ADC" w:rsidRDefault="00B66DF4" w:rsidP="0066301C">
            <w:pPr>
              <w:autoSpaceDE w:val="0"/>
              <w:autoSpaceDN w:val="0"/>
              <w:adjustRightInd w:val="0"/>
              <w:jc w:val="center"/>
              <w:rPr>
                <w:rFonts w:ascii="Arial" w:hAnsi="Arial" w:cs="Arial"/>
                <w:color w:val="000000"/>
              </w:rPr>
            </w:pPr>
            <w:r w:rsidRPr="00E95ADC">
              <w:rPr>
                <w:rFonts w:ascii="Arial" w:hAnsi="Arial" w:cs="Arial"/>
                <w:color w:val="000000"/>
              </w:rPr>
              <w:t> 3.841465</w:t>
            </w:r>
          </w:p>
        </w:tc>
        <w:tc>
          <w:tcPr>
            <w:tcW w:w="1355" w:type="dxa"/>
            <w:tcBorders>
              <w:top w:val="single" w:sz="4" w:space="0" w:color="auto"/>
              <w:left w:val="single" w:sz="4" w:space="0" w:color="auto"/>
              <w:bottom w:val="single" w:sz="4" w:space="0" w:color="auto"/>
              <w:right w:val="nil"/>
            </w:tcBorders>
            <w:vAlign w:val="bottom"/>
          </w:tcPr>
          <w:p w14:paraId="0099D92D" w14:textId="77777777" w:rsidR="00B66DF4" w:rsidRPr="00E95ADC" w:rsidRDefault="00B66DF4" w:rsidP="0066301C">
            <w:pPr>
              <w:autoSpaceDE w:val="0"/>
              <w:autoSpaceDN w:val="0"/>
              <w:adjustRightInd w:val="0"/>
              <w:jc w:val="center"/>
              <w:rPr>
                <w:rFonts w:ascii="Arial" w:hAnsi="Arial" w:cs="Arial"/>
                <w:color w:val="000000"/>
              </w:rPr>
            </w:pPr>
            <w:r w:rsidRPr="00E95ADC">
              <w:rPr>
                <w:rFonts w:ascii="Arial" w:hAnsi="Arial" w:cs="Arial"/>
                <w:color w:val="000000"/>
              </w:rPr>
              <w:t> 0.0972</w:t>
            </w:r>
          </w:p>
        </w:tc>
        <w:tc>
          <w:tcPr>
            <w:tcW w:w="1592" w:type="dxa"/>
            <w:tcBorders>
              <w:top w:val="single" w:sz="4" w:space="0" w:color="auto"/>
              <w:left w:val="single" w:sz="4" w:space="0" w:color="auto"/>
              <w:bottom w:val="single" w:sz="4" w:space="0" w:color="auto"/>
              <w:right w:val="single" w:sz="4" w:space="0" w:color="auto"/>
            </w:tcBorders>
          </w:tcPr>
          <w:p w14:paraId="292D4DF1" w14:textId="77777777" w:rsidR="00B66DF4" w:rsidRPr="00E95ADC" w:rsidRDefault="00B66DF4" w:rsidP="0066301C">
            <w:pPr>
              <w:jc w:val="both"/>
              <w:rPr>
                <w:rFonts w:ascii="Arial" w:hAnsi="Arial" w:cs="Arial"/>
              </w:rPr>
            </w:pPr>
            <w:r w:rsidRPr="00E95ADC">
              <w:rPr>
                <w:rFonts w:ascii="Arial" w:hAnsi="Arial" w:cs="Arial"/>
              </w:rPr>
              <w:t>At most 5</w:t>
            </w:r>
          </w:p>
        </w:tc>
        <w:tc>
          <w:tcPr>
            <w:tcW w:w="1441" w:type="dxa"/>
            <w:tcBorders>
              <w:top w:val="single" w:sz="4" w:space="0" w:color="auto"/>
              <w:left w:val="nil"/>
              <w:bottom w:val="single" w:sz="4" w:space="0" w:color="auto"/>
              <w:right w:val="single" w:sz="4" w:space="0" w:color="auto"/>
            </w:tcBorders>
            <w:vAlign w:val="bottom"/>
          </w:tcPr>
          <w:p w14:paraId="4A13F20A" w14:textId="77777777" w:rsidR="00B66DF4" w:rsidRPr="00E95ADC" w:rsidRDefault="00B66DF4" w:rsidP="0066301C">
            <w:pPr>
              <w:autoSpaceDE w:val="0"/>
              <w:autoSpaceDN w:val="0"/>
              <w:adjustRightInd w:val="0"/>
              <w:jc w:val="center"/>
              <w:rPr>
                <w:rFonts w:ascii="Arial" w:hAnsi="Arial" w:cs="Arial"/>
                <w:color w:val="000000"/>
              </w:rPr>
            </w:pPr>
            <w:r w:rsidRPr="00E95ADC">
              <w:rPr>
                <w:rFonts w:ascii="Arial" w:hAnsi="Arial" w:cs="Arial"/>
                <w:color w:val="000000"/>
              </w:rPr>
              <w:t> 0.075572</w:t>
            </w:r>
          </w:p>
        </w:tc>
        <w:tc>
          <w:tcPr>
            <w:tcW w:w="1441" w:type="dxa"/>
            <w:tcBorders>
              <w:top w:val="single" w:sz="4" w:space="0" w:color="auto"/>
              <w:left w:val="single" w:sz="4" w:space="0" w:color="auto"/>
              <w:bottom w:val="single" w:sz="4" w:space="0" w:color="auto"/>
              <w:right w:val="single" w:sz="4" w:space="0" w:color="auto"/>
            </w:tcBorders>
            <w:vAlign w:val="bottom"/>
          </w:tcPr>
          <w:p w14:paraId="7A3946A7" w14:textId="77777777" w:rsidR="00B66DF4" w:rsidRPr="00E95ADC" w:rsidRDefault="00B66DF4" w:rsidP="0066301C">
            <w:pPr>
              <w:autoSpaceDE w:val="0"/>
              <w:autoSpaceDN w:val="0"/>
              <w:adjustRightInd w:val="0"/>
              <w:jc w:val="center"/>
              <w:rPr>
                <w:rFonts w:ascii="Arial" w:hAnsi="Arial" w:cs="Arial"/>
                <w:color w:val="000000"/>
              </w:rPr>
            </w:pPr>
            <w:r w:rsidRPr="00E95ADC">
              <w:rPr>
                <w:rFonts w:ascii="Arial" w:hAnsi="Arial" w:cs="Arial"/>
                <w:color w:val="000000"/>
              </w:rPr>
              <w:t> 2.750289</w:t>
            </w:r>
          </w:p>
        </w:tc>
        <w:tc>
          <w:tcPr>
            <w:tcW w:w="1441" w:type="dxa"/>
            <w:tcBorders>
              <w:top w:val="single" w:sz="4" w:space="0" w:color="auto"/>
              <w:left w:val="single" w:sz="4" w:space="0" w:color="auto"/>
              <w:bottom w:val="single" w:sz="4" w:space="0" w:color="auto"/>
              <w:right w:val="single" w:sz="4" w:space="0" w:color="auto"/>
            </w:tcBorders>
            <w:vAlign w:val="bottom"/>
          </w:tcPr>
          <w:p w14:paraId="02587519" w14:textId="77777777" w:rsidR="00B66DF4" w:rsidRPr="00E95ADC" w:rsidRDefault="00B66DF4" w:rsidP="0066301C">
            <w:pPr>
              <w:autoSpaceDE w:val="0"/>
              <w:autoSpaceDN w:val="0"/>
              <w:adjustRightInd w:val="0"/>
              <w:jc w:val="center"/>
              <w:rPr>
                <w:rFonts w:ascii="Arial" w:hAnsi="Arial" w:cs="Arial"/>
                <w:color w:val="000000"/>
              </w:rPr>
            </w:pPr>
            <w:r w:rsidRPr="00E95ADC">
              <w:rPr>
                <w:rFonts w:ascii="Arial" w:hAnsi="Arial" w:cs="Arial"/>
                <w:color w:val="000000"/>
              </w:rPr>
              <w:t> 3.841465</w:t>
            </w:r>
          </w:p>
        </w:tc>
        <w:tc>
          <w:tcPr>
            <w:tcW w:w="1437" w:type="dxa"/>
            <w:tcBorders>
              <w:top w:val="single" w:sz="4" w:space="0" w:color="auto"/>
              <w:left w:val="single" w:sz="4" w:space="0" w:color="auto"/>
              <w:bottom w:val="single" w:sz="4" w:space="0" w:color="auto"/>
              <w:right w:val="single" w:sz="4" w:space="0" w:color="auto"/>
            </w:tcBorders>
            <w:vAlign w:val="bottom"/>
          </w:tcPr>
          <w:p w14:paraId="16910073" w14:textId="77777777" w:rsidR="00B66DF4" w:rsidRPr="00E95ADC" w:rsidRDefault="00B66DF4" w:rsidP="0066301C">
            <w:pPr>
              <w:autoSpaceDE w:val="0"/>
              <w:autoSpaceDN w:val="0"/>
              <w:adjustRightInd w:val="0"/>
              <w:jc w:val="center"/>
              <w:rPr>
                <w:rFonts w:ascii="Arial" w:hAnsi="Arial" w:cs="Arial"/>
                <w:color w:val="000000"/>
              </w:rPr>
            </w:pPr>
            <w:r w:rsidRPr="00E95ADC">
              <w:rPr>
                <w:rFonts w:ascii="Arial" w:hAnsi="Arial" w:cs="Arial"/>
                <w:color w:val="000000"/>
              </w:rPr>
              <w:t> 0.0972</w:t>
            </w:r>
          </w:p>
        </w:tc>
      </w:tr>
      <w:tr w:rsidR="00B66DF4" w:rsidRPr="00E95ADC" w14:paraId="328B5F59" w14:textId="77777777" w:rsidTr="004D74AB">
        <w:tc>
          <w:tcPr>
            <w:tcW w:w="6406" w:type="dxa"/>
            <w:gridSpan w:val="5"/>
          </w:tcPr>
          <w:p w14:paraId="2B74975A" w14:textId="77777777" w:rsidR="00B66DF4" w:rsidRPr="00E95ADC" w:rsidRDefault="00B66DF4" w:rsidP="0066301C">
            <w:pPr>
              <w:jc w:val="both"/>
              <w:rPr>
                <w:rFonts w:ascii="Arial" w:hAnsi="Arial" w:cs="Arial"/>
                <w:color w:val="000000"/>
              </w:rPr>
            </w:pPr>
            <w:r w:rsidRPr="00E95ADC">
              <w:rPr>
                <w:rFonts w:ascii="Arial" w:hAnsi="Arial" w:cs="Arial"/>
                <w:color w:val="000000"/>
              </w:rPr>
              <w:t>Trace test indicates 4 cointegrating eqn(s) at the 0.05 level</w:t>
            </w:r>
          </w:p>
        </w:tc>
        <w:tc>
          <w:tcPr>
            <w:tcW w:w="7352" w:type="dxa"/>
            <w:gridSpan w:val="5"/>
            <w:tcBorders>
              <w:top w:val="single" w:sz="4" w:space="0" w:color="auto"/>
              <w:left w:val="single" w:sz="4" w:space="0" w:color="auto"/>
              <w:bottom w:val="single" w:sz="4" w:space="0" w:color="auto"/>
              <w:right w:val="single" w:sz="4" w:space="0" w:color="auto"/>
            </w:tcBorders>
            <w:vAlign w:val="bottom"/>
          </w:tcPr>
          <w:p w14:paraId="32DF1091" w14:textId="77777777" w:rsidR="00B66DF4" w:rsidRPr="00E95ADC" w:rsidRDefault="00B66DF4" w:rsidP="0066301C">
            <w:pPr>
              <w:jc w:val="both"/>
              <w:rPr>
                <w:rFonts w:ascii="Arial" w:hAnsi="Arial" w:cs="Arial"/>
                <w:color w:val="000000"/>
              </w:rPr>
            </w:pPr>
            <w:r w:rsidRPr="00E95ADC">
              <w:rPr>
                <w:rFonts w:ascii="Arial" w:hAnsi="Arial" w:cs="Arial"/>
                <w:color w:val="000000"/>
              </w:rPr>
              <w:t>Max-eigenvalue test indicates 4 cointegrating eqn(s) at the 0.05 level</w:t>
            </w:r>
          </w:p>
        </w:tc>
      </w:tr>
      <w:tr w:rsidR="00B66DF4" w:rsidRPr="00E95ADC" w14:paraId="47FD620F" w14:textId="77777777" w:rsidTr="004D74AB">
        <w:tc>
          <w:tcPr>
            <w:tcW w:w="13758" w:type="dxa"/>
            <w:gridSpan w:val="10"/>
          </w:tcPr>
          <w:p w14:paraId="27D5968D" w14:textId="77777777" w:rsidR="00B66DF4" w:rsidRPr="00E95ADC" w:rsidRDefault="00B66DF4" w:rsidP="0066301C">
            <w:pPr>
              <w:autoSpaceDE w:val="0"/>
              <w:autoSpaceDN w:val="0"/>
              <w:adjustRightInd w:val="0"/>
              <w:jc w:val="center"/>
              <w:rPr>
                <w:rFonts w:ascii="Arial" w:hAnsi="Arial" w:cs="Arial"/>
                <w:b/>
              </w:rPr>
            </w:pPr>
            <w:r w:rsidRPr="00E95ADC">
              <w:rPr>
                <w:rFonts w:ascii="Arial" w:hAnsi="Arial" w:cs="Arial"/>
                <w:b/>
              </w:rPr>
              <w:t>Equatorial Guinea</w:t>
            </w:r>
          </w:p>
        </w:tc>
      </w:tr>
      <w:tr w:rsidR="00B66DF4" w:rsidRPr="00E95ADC" w14:paraId="5860EAAA" w14:textId="77777777" w:rsidTr="004D74AB">
        <w:tc>
          <w:tcPr>
            <w:tcW w:w="6406" w:type="dxa"/>
            <w:gridSpan w:val="5"/>
          </w:tcPr>
          <w:p w14:paraId="5EA7B430" w14:textId="77777777" w:rsidR="00B66DF4" w:rsidRPr="00E95ADC" w:rsidRDefault="00B66DF4" w:rsidP="0066301C">
            <w:pPr>
              <w:autoSpaceDE w:val="0"/>
              <w:autoSpaceDN w:val="0"/>
              <w:adjustRightInd w:val="0"/>
              <w:rPr>
                <w:rFonts w:ascii="Arial" w:hAnsi="Arial" w:cs="Arial"/>
              </w:rPr>
            </w:pPr>
            <w:r w:rsidRPr="00E95ADC">
              <w:rPr>
                <w:rFonts w:ascii="Arial" w:hAnsi="Arial" w:cs="Arial"/>
                <w:color w:val="000000"/>
              </w:rPr>
              <w:t>Unrestricted Cointegration Rank Test (Trace)</w:t>
            </w:r>
          </w:p>
        </w:tc>
        <w:tc>
          <w:tcPr>
            <w:tcW w:w="7352" w:type="dxa"/>
            <w:gridSpan w:val="5"/>
          </w:tcPr>
          <w:p w14:paraId="62B86E00" w14:textId="77777777" w:rsidR="00B66DF4" w:rsidRPr="00E95ADC" w:rsidRDefault="00B66DF4" w:rsidP="0066301C">
            <w:pPr>
              <w:autoSpaceDE w:val="0"/>
              <w:autoSpaceDN w:val="0"/>
              <w:adjustRightInd w:val="0"/>
              <w:rPr>
                <w:rFonts w:ascii="Arial" w:hAnsi="Arial" w:cs="Arial"/>
              </w:rPr>
            </w:pPr>
            <w:r w:rsidRPr="00E95ADC">
              <w:rPr>
                <w:rFonts w:ascii="Arial" w:hAnsi="Arial" w:cs="Arial"/>
                <w:color w:val="000000"/>
              </w:rPr>
              <w:t>Unrestricted Cointegration Rank Test (Maximum Eigenvalue)</w:t>
            </w:r>
          </w:p>
        </w:tc>
      </w:tr>
      <w:tr w:rsidR="00B66DF4" w:rsidRPr="00E95ADC" w14:paraId="733F9A01" w14:textId="77777777" w:rsidTr="004D74AB">
        <w:tc>
          <w:tcPr>
            <w:tcW w:w="1401" w:type="dxa"/>
          </w:tcPr>
          <w:p w14:paraId="19174E7B" w14:textId="77777777" w:rsidR="00B66DF4" w:rsidRPr="00E95ADC" w:rsidRDefault="00B66DF4" w:rsidP="0066301C">
            <w:pPr>
              <w:autoSpaceDE w:val="0"/>
              <w:autoSpaceDN w:val="0"/>
              <w:adjustRightInd w:val="0"/>
              <w:jc w:val="center"/>
              <w:rPr>
                <w:rFonts w:ascii="Arial" w:hAnsi="Arial" w:cs="Arial"/>
              </w:rPr>
            </w:pPr>
            <w:r w:rsidRPr="00E95ADC">
              <w:rPr>
                <w:rFonts w:ascii="Arial" w:hAnsi="Arial" w:cs="Arial"/>
              </w:rPr>
              <w:t>Hypothesized number of cointegrating equations</w:t>
            </w:r>
          </w:p>
        </w:tc>
        <w:tc>
          <w:tcPr>
            <w:tcW w:w="1176" w:type="dxa"/>
            <w:tcBorders>
              <w:bottom w:val="single" w:sz="4" w:space="0" w:color="auto"/>
            </w:tcBorders>
          </w:tcPr>
          <w:p w14:paraId="2E2A8C8B" w14:textId="77777777" w:rsidR="00B66DF4" w:rsidRPr="00E95ADC" w:rsidRDefault="00B66DF4" w:rsidP="0066301C">
            <w:pPr>
              <w:autoSpaceDE w:val="0"/>
              <w:autoSpaceDN w:val="0"/>
              <w:adjustRightInd w:val="0"/>
              <w:jc w:val="center"/>
              <w:rPr>
                <w:rFonts w:ascii="Arial" w:hAnsi="Arial" w:cs="Arial"/>
              </w:rPr>
            </w:pPr>
            <w:r w:rsidRPr="00E95ADC">
              <w:rPr>
                <w:rFonts w:ascii="Arial" w:hAnsi="Arial" w:cs="Arial"/>
                <w:color w:val="000000"/>
              </w:rPr>
              <w:t>Eigenvalue</w:t>
            </w:r>
          </w:p>
        </w:tc>
        <w:tc>
          <w:tcPr>
            <w:tcW w:w="1176" w:type="dxa"/>
            <w:tcBorders>
              <w:bottom w:val="single" w:sz="4" w:space="0" w:color="auto"/>
            </w:tcBorders>
          </w:tcPr>
          <w:p w14:paraId="315E6B64" w14:textId="77777777" w:rsidR="00B66DF4" w:rsidRPr="00E95ADC" w:rsidRDefault="00B66DF4" w:rsidP="0066301C">
            <w:pPr>
              <w:autoSpaceDE w:val="0"/>
              <w:autoSpaceDN w:val="0"/>
              <w:adjustRightInd w:val="0"/>
              <w:jc w:val="center"/>
              <w:rPr>
                <w:rFonts w:ascii="Arial" w:hAnsi="Arial" w:cs="Arial"/>
              </w:rPr>
            </w:pPr>
            <w:r w:rsidRPr="00E95ADC">
              <w:rPr>
                <w:rFonts w:ascii="Arial" w:hAnsi="Arial" w:cs="Arial"/>
              </w:rPr>
              <w:t>Trace Statistic</w:t>
            </w:r>
          </w:p>
        </w:tc>
        <w:tc>
          <w:tcPr>
            <w:tcW w:w="1298" w:type="dxa"/>
            <w:tcBorders>
              <w:bottom w:val="single" w:sz="4" w:space="0" w:color="auto"/>
            </w:tcBorders>
          </w:tcPr>
          <w:p w14:paraId="0E4AAC54" w14:textId="77777777" w:rsidR="00B66DF4" w:rsidRPr="00E95ADC" w:rsidRDefault="00B66DF4" w:rsidP="0066301C">
            <w:pPr>
              <w:autoSpaceDE w:val="0"/>
              <w:autoSpaceDN w:val="0"/>
              <w:adjustRightInd w:val="0"/>
              <w:jc w:val="center"/>
              <w:rPr>
                <w:rFonts w:ascii="Arial" w:hAnsi="Arial" w:cs="Arial"/>
              </w:rPr>
            </w:pPr>
            <w:r w:rsidRPr="00E95ADC">
              <w:rPr>
                <w:rFonts w:ascii="Arial" w:hAnsi="Arial" w:cs="Arial"/>
              </w:rPr>
              <w:t>0.05 Critical Value</w:t>
            </w:r>
          </w:p>
        </w:tc>
        <w:tc>
          <w:tcPr>
            <w:tcW w:w="1355" w:type="dxa"/>
            <w:tcBorders>
              <w:bottom w:val="single" w:sz="4" w:space="0" w:color="auto"/>
            </w:tcBorders>
          </w:tcPr>
          <w:p w14:paraId="61C1D38D" w14:textId="77777777" w:rsidR="00B66DF4" w:rsidRPr="00E95ADC" w:rsidRDefault="00B66DF4" w:rsidP="0066301C">
            <w:pPr>
              <w:autoSpaceDE w:val="0"/>
              <w:autoSpaceDN w:val="0"/>
              <w:adjustRightInd w:val="0"/>
              <w:jc w:val="center"/>
              <w:rPr>
                <w:rFonts w:ascii="Arial" w:hAnsi="Arial" w:cs="Arial"/>
              </w:rPr>
            </w:pPr>
            <w:r w:rsidRPr="00E95ADC">
              <w:rPr>
                <w:rFonts w:ascii="Arial" w:hAnsi="Arial" w:cs="Arial"/>
              </w:rPr>
              <w:t xml:space="preserve">Probability Value </w:t>
            </w:r>
          </w:p>
        </w:tc>
        <w:tc>
          <w:tcPr>
            <w:tcW w:w="1592" w:type="dxa"/>
            <w:tcBorders>
              <w:bottom w:val="single" w:sz="4" w:space="0" w:color="auto"/>
            </w:tcBorders>
          </w:tcPr>
          <w:p w14:paraId="63DDBB89" w14:textId="77777777" w:rsidR="00B66DF4" w:rsidRPr="00E95ADC" w:rsidRDefault="00B66DF4" w:rsidP="0066301C">
            <w:pPr>
              <w:autoSpaceDE w:val="0"/>
              <w:autoSpaceDN w:val="0"/>
              <w:adjustRightInd w:val="0"/>
              <w:jc w:val="center"/>
              <w:rPr>
                <w:rFonts w:ascii="Arial" w:hAnsi="Arial" w:cs="Arial"/>
              </w:rPr>
            </w:pPr>
            <w:r w:rsidRPr="00E95ADC">
              <w:rPr>
                <w:rFonts w:ascii="Arial" w:hAnsi="Arial" w:cs="Arial"/>
              </w:rPr>
              <w:t>Hypothesized number of cointegrating equations</w:t>
            </w:r>
          </w:p>
        </w:tc>
        <w:tc>
          <w:tcPr>
            <w:tcW w:w="1441" w:type="dxa"/>
            <w:tcBorders>
              <w:bottom w:val="single" w:sz="4" w:space="0" w:color="auto"/>
            </w:tcBorders>
          </w:tcPr>
          <w:p w14:paraId="4C706583" w14:textId="77777777" w:rsidR="00B66DF4" w:rsidRPr="00E95ADC" w:rsidRDefault="00B66DF4" w:rsidP="0066301C">
            <w:pPr>
              <w:autoSpaceDE w:val="0"/>
              <w:autoSpaceDN w:val="0"/>
              <w:adjustRightInd w:val="0"/>
              <w:rPr>
                <w:rFonts w:ascii="Arial" w:hAnsi="Arial" w:cs="Arial"/>
              </w:rPr>
            </w:pPr>
            <w:r w:rsidRPr="00E95ADC">
              <w:rPr>
                <w:rFonts w:ascii="Arial" w:hAnsi="Arial" w:cs="Arial"/>
                <w:color w:val="000000"/>
              </w:rPr>
              <w:t>Eigenvalue</w:t>
            </w:r>
          </w:p>
        </w:tc>
        <w:tc>
          <w:tcPr>
            <w:tcW w:w="1441" w:type="dxa"/>
            <w:tcBorders>
              <w:bottom w:val="single" w:sz="4" w:space="0" w:color="auto"/>
            </w:tcBorders>
          </w:tcPr>
          <w:p w14:paraId="0EF33E44" w14:textId="77777777" w:rsidR="00B66DF4" w:rsidRPr="00E95ADC" w:rsidRDefault="00B66DF4" w:rsidP="0066301C">
            <w:pPr>
              <w:autoSpaceDE w:val="0"/>
              <w:autoSpaceDN w:val="0"/>
              <w:adjustRightInd w:val="0"/>
              <w:jc w:val="center"/>
              <w:rPr>
                <w:rFonts w:ascii="Arial" w:hAnsi="Arial" w:cs="Arial"/>
              </w:rPr>
            </w:pPr>
            <w:r w:rsidRPr="00E95ADC">
              <w:rPr>
                <w:rFonts w:ascii="Arial" w:hAnsi="Arial" w:cs="Arial"/>
              </w:rPr>
              <w:t>Max-Eigen Statistic</w:t>
            </w:r>
          </w:p>
        </w:tc>
        <w:tc>
          <w:tcPr>
            <w:tcW w:w="1441" w:type="dxa"/>
            <w:tcBorders>
              <w:bottom w:val="single" w:sz="4" w:space="0" w:color="auto"/>
            </w:tcBorders>
          </w:tcPr>
          <w:p w14:paraId="24A86ADB" w14:textId="77777777" w:rsidR="00B66DF4" w:rsidRPr="00E95ADC" w:rsidRDefault="00B66DF4" w:rsidP="0066301C">
            <w:pPr>
              <w:autoSpaceDE w:val="0"/>
              <w:autoSpaceDN w:val="0"/>
              <w:adjustRightInd w:val="0"/>
              <w:jc w:val="center"/>
              <w:rPr>
                <w:rFonts w:ascii="Arial" w:hAnsi="Arial" w:cs="Arial"/>
              </w:rPr>
            </w:pPr>
            <w:r w:rsidRPr="00E95ADC">
              <w:rPr>
                <w:rFonts w:ascii="Arial" w:hAnsi="Arial" w:cs="Arial"/>
              </w:rPr>
              <w:t>0.05 Critical Value</w:t>
            </w:r>
          </w:p>
        </w:tc>
        <w:tc>
          <w:tcPr>
            <w:tcW w:w="1437" w:type="dxa"/>
            <w:tcBorders>
              <w:bottom w:val="single" w:sz="4" w:space="0" w:color="auto"/>
            </w:tcBorders>
          </w:tcPr>
          <w:p w14:paraId="6C181737" w14:textId="77777777" w:rsidR="00B66DF4" w:rsidRPr="00E95ADC" w:rsidRDefault="00B66DF4" w:rsidP="0066301C">
            <w:pPr>
              <w:autoSpaceDE w:val="0"/>
              <w:autoSpaceDN w:val="0"/>
              <w:adjustRightInd w:val="0"/>
              <w:jc w:val="center"/>
              <w:rPr>
                <w:rFonts w:ascii="Arial" w:hAnsi="Arial" w:cs="Arial"/>
              </w:rPr>
            </w:pPr>
            <w:r w:rsidRPr="00E95ADC">
              <w:rPr>
                <w:rFonts w:ascii="Arial" w:hAnsi="Arial" w:cs="Arial"/>
              </w:rPr>
              <w:t xml:space="preserve">Probability Value </w:t>
            </w:r>
          </w:p>
        </w:tc>
      </w:tr>
      <w:tr w:rsidR="00B66DF4" w:rsidRPr="00E95ADC" w14:paraId="198E187E" w14:textId="77777777" w:rsidTr="004D74AB">
        <w:trPr>
          <w:trHeight w:val="269"/>
        </w:trPr>
        <w:tc>
          <w:tcPr>
            <w:tcW w:w="1401" w:type="dxa"/>
            <w:vAlign w:val="bottom"/>
          </w:tcPr>
          <w:p w14:paraId="6A041079" w14:textId="77777777" w:rsidR="00B66DF4" w:rsidRPr="00E95ADC" w:rsidRDefault="00B66DF4" w:rsidP="0066301C">
            <w:pPr>
              <w:jc w:val="both"/>
              <w:rPr>
                <w:rFonts w:ascii="Arial" w:hAnsi="Arial" w:cs="Arial"/>
              </w:rPr>
            </w:pPr>
            <w:r w:rsidRPr="00E95ADC">
              <w:rPr>
                <w:rFonts w:ascii="Arial" w:hAnsi="Arial" w:cs="Arial"/>
              </w:rPr>
              <w:t>None *</w:t>
            </w:r>
          </w:p>
        </w:tc>
        <w:tc>
          <w:tcPr>
            <w:tcW w:w="1176" w:type="dxa"/>
            <w:tcBorders>
              <w:top w:val="single" w:sz="4" w:space="0" w:color="auto"/>
              <w:left w:val="nil"/>
              <w:bottom w:val="single" w:sz="4" w:space="0" w:color="auto"/>
              <w:right w:val="single" w:sz="4" w:space="0" w:color="auto"/>
            </w:tcBorders>
            <w:vAlign w:val="bottom"/>
          </w:tcPr>
          <w:p w14:paraId="38F8D264" w14:textId="77777777" w:rsidR="00B66DF4" w:rsidRPr="00E95ADC" w:rsidRDefault="00B66DF4" w:rsidP="0066301C">
            <w:pPr>
              <w:autoSpaceDE w:val="0"/>
              <w:autoSpaceDN w:val="0"/>
              <w:adjustRightInd w:val="0"/>
              <w:jc w:val="center"/>
              <w:rPr>
                <w:rFonts w:ascii="Arial" w:hAnsi="Arial" w:cs="Arial"/>
                <w:color w:val="000000"/>
              </w:rPr>
            </w:pPr>
            <w:r w:rsidRPr="00E95ADC">
              <w:rPr>
                <w:rFonts w:ascii="Arial" w:hAnsi="Arial" w:cs="Arial"/>
                <w:color w:val="000000"/>
              </w:rPr>
              <w:t> 0.538068</w:t>
            </w:r>
          </w:p>
        </w:tc>
        <w:tc>
          <w:tcPr>
            <w:tcW w:w="1176" w:type="dxa"/>
            <w:tcBorders>
              <w:top w:val="single" w:sz="4" w:space="0" w:color="auto"/>
              <w:left w:val="single" w:sz="4" w:space="0" w:color="auto"/>
              <w:bottom w:val="single" w:sz="4" w:space="0" w:color="auto"/>
              <w:right w:val="single" w:sz="4" w:space="0" w:color="auto"/>
            </w:tcBorders>
            <w:vAlign w:val="bottom"/>
          </w:tcPr>
          <w:p w14:paraId="3CAC1767" w14:textId="77777777" w:rsidR="00B66DF4" w:rsidRPr="00E95ADC" w:rsidRDefault="00B66DF4" w:rsidP="0066301C">
            <w:pPr>
              <w:autoSpaceDE w:val="0"/>
              <w:autoSpaceDN w:val="0"/>
              <w:adjustRightInd w:val="0"/>
              <w:jc w:val="center"/>
              <w:rPr>
                <w:rFonts w:ascii="Arial" w:hAnsi="Arial" w:cs="Arial"/>
                <w:color w:val="000000"/>
              </w:rPr>
            </w:pPr>
            <w:r w:rsidRPr="00E95ADC">
              <w:rPr>
                <w:rFonts w:ascii="Arial" w:hAnsi="Arial" w:cs="Arial"/>
                <w:color w:val="000000"/>
              </w:rPr>
              <w:t> 52.13600</w:t>
            </w:r>
          </w:p>
        </w:tc>
        <w:tc>
          <w:tcPr>
            <w:tcW w:w="1298" w:type="dxa"/>
            <w:tcBorders>
              <w:top w:val="single" w:sz="4" w:space="0" w:color="auto"/>
              <w:left w:val="single" w:sz="4" w:space="0" w:color="auto"/>
              <w:bottom w:val="single" w:sz="4" w:space="0" w:color="auto"/>
              <w:right w:val="single" w:sz="4" w:space="0" w:color="auto"/>
            </w:tcBorders>
            <w:vAlign w:val="bottom"/>
          </w:tcPr>
          <w:p w14:paraId="310A926D" w14:textId="77777777" w:rsidR="00B66DF4" w:rsidRPr="00E95ADC" w:rsidRDefault="00B66DF4" w:rsidP="0066301C">
            <w:pPr>
              <w:autoSpaceDE w:val="0"/>
              <w:autoSpaceDN w:val="0"/>
              <w:adjustRightInd w:val="0"/>
              <w:jc w:val="center"/>
              <w:rPr>
                <w:rFonts w:ascii="Arial" w:hAnsi="Arial" w:cs="Arial"/>
                <w:color w:val="000000"/>
              </w:rPr>
            </w:pPr>
            <w:r w:rsidRPr="00E95ADC">
              <w:rPr>
                <w:rFonts w:ascii="Arial" w:hAnsi="Arial" w:cs="Arial"/>
                <w:color w:val="000000"/>
              </w:rPr>
              <w:t> 47.85613</w:t>
            </w:r>
          </w:p>
        </w:tc>
        <w:tc>
          <w:tcPr>
            <w:tcW w:w="1355" w:type="dxa"/>
            <w:tcBorders>
              <w:top w:val="single" w:sz="4" w:space="0" w:color="auto"/>
              <w:left w:val="single" w:sz="4" w:space="0" w:color="auto"/>
              <w:bottom w:val="single" w:sz="4" w:space="0" w:color="auto"/>
              <w:right w:val="nil"/>
            </w:tcBorders>
            <w:vAlign w:val="bottom"/>
          </w:tcPr>
          <w:p w14:paraId="7DA0286D" w14:textId="77777777" w:rsidR="00B66DF4" w:rsidRPr="00E95ADC" w:rsidRDefault="00B66DF4" w:rsidP="0066301C">
            <w:pPr>
              <w:autoSpaceDE w:val="0"/>
              <w:autoSpaceDN w:val="0"/>
              <w:adjustRightInd w:val="0"/>
              <w:jc w:val="center"/>
              <w:rPr>
                <w:rFonts w:ascii="Arial" w:hAnsi="Arial" w:cs="Arial"/>
                <w:color w:val="000000"/>
              </w:rPr>
            </w:pPr>
            <w:r w:rsidRPr="00E95ADC">
              <w:rPr>
                <w:rFonts w:ascii="Arial" w:hAnsi="Arial" w:cs="Arial"/>
                <w:color w:val="000000"/>
              </w:rPr>
              <w:t> 0.0188</w:t>
            </w:r>
          </w:p>
        </w:tc>
        <w:tc>
          <w:tcPr>
            <w:tcW w:w="1592" w:type="dxa"/>
            <w:tcBorders>
              <w:top w:val="single" w:sz="4" w:space="0" w:color="auto"/>
              <w:left w:val="single" w:sz="4" w:space="0" w:color="auto"/>
              <w:bottom w:val="single" w:sz="4" w:space="0" w:color="auto"/>
              <w:right w:val="single" w:sz="4" w:space="0" w:color="auto"/>
            </w:tcBorders>
            <w:vAlign w:val="bottom"/>
          </w:tcPr>
          <w:p w14:paraId="043BCCB8" w14:textId="77777777" w:rsidR="00B66DF4" w:rsidRPr="00E95ADC" w:rsidRDefault="00B66DF4" w:rsidP="0066301C">
            <w:pPr>
              <w:jc w:val="both"/>
              <w:rPr>
                <w:rFonts w:ascii="Arial" w:hAnsi="Arial" w:cs="Arial"/>
              </w:rPr>
            </w:pPr>
            <w:r w:rsidRPr="00E95ADC">
              <w:rPr>
                <w:rFonts w:ascii="Arial" w:hAnsi="Arial" w:cs="Arial"/>
              </w:rPr>
              <w:t>None</w:t>
            </w:r>
          </w:p>
        </w:tc>
        <w:tc>
          <w:tcPr>
            <w:tcW w:w="1441" w:type="dxa"/>
            <w:tcBorders>
              <w:top w:val="single" w:sz="4" w:space="0" w:color="auto"/>
              <w:left w:val="nil"/>
              <w:bottom w:val="single" w:sz="4" w:space="0" w:color="auto"/>
              <w:right w:val="single" w:sz="4" w:space="0" w:color="auto"/>
            </w:tcBorders>
            <w:vAlign w:val="bottom"/>
          </w:tcPr>
          <w:p w14:paraId="052970B6" w14:textId="77777777" w:rsidR="00B66DF4" w:rsidRPr="00E95ADC" w:rsidRDefault="00B66DF4" w:rsidP="0066301C">
            <w:pPr>
              <w:autoSpaceDE w:val="0"/>
              <w:autoSpaceDN w:val="0"/>
              <w:adjustRightInd w:val="0"/>
              <w:jc w:val="center"/>
              <w:rPr>
                <w:rFonts w:ascii="Arial" w:hAnsi="Arial" w:cs="Arial"/>
                <w:color w:val="000000"/>
              </w:rPr>
            </w:pPr>
            <w:r w:rsidRPr="00E95ADC">
              <w:rPr>
                <w:rFonts w:ascii="Arial" w:hAnsi="Arial" w:cs="Arial"/>
                <w:color w:val="000000"/>
              </w:rPr>
              <w:t> 0.538068</w:t>
            </w:r>
          </w:p>
        </w:tc>
        <w:tc>
          <w:tcPr>
            <w:tcW w:w="1441" w:type="dxa"/>
            <w:tcBorders>
              <w:top w:val="single" w:sz="4" w:space="0" w:color="auto"/>
              <w:left w:val="single" w:sz="4" w:space="0" w:color="auto"/>
              <w:bottom w:val="single" w:sz="4" w:space="0" w:color="auto"/>
              <w:right w:val="single" w:sz="4" w:space="0" w:color="auto"/>
            </w:tcBorders>
            <w:vAlign w:val="bottom"/>
          </w:tcPr>
          <w:p w14:paraId="21D59CA2" w14:textId="77777777" w:rsidR="00B66DF4" w:rsidRPr="00E95ADC" w:rsidRDefault="00B66DF4" w:rsidP="0066301C">
            <w:pPr>
              <w:autoSpaceDE w:val="0"/>
              <w:autoSpaceDN w:val="0"/>
              <w:adjustRightInd w:val="0"/>
              <w:jc w:val="center"/>
              <w:rPr>
                <w:rFonts w:ascii="Arial" w:hAnsi="Arial" w:cs="Arial"/>
                <w:color w:val="000000"/>
              </w:rPr>
            </w:pPr>
            <w:r w:rsidRPr="00E95ADC">
              <w:rPr>
                <w:rFonts w:ascii="Arial" w:hAnsi="Arial" w:cs="Arial"/>
                <w:color w:val="000000"/>
              </w:rPr>
              <w:t> 24.71483</w:t>
            </w:r>
          </w:p>
        </w:tc>
        <w:tc>
          <w:tcPr>
            <w:tcW w:w="1441" w:type="dxa"/>
            <w:tcBorders>
              <w:top w:val="single" w:sz="4" w:space="0" w:color="auto"/>
              <w:left w:val="single" w:sz="4" w:space="0" w:color="auto"/>
              <w:bottom w:val="single" w:sz="4" w:space="0" w:color="auto"/>
              <w:right w:val="single" w:sz="4" w:space="0" w:color="auto"/>
            </w:tcBorders>
            <w:vAlign w:val="bottom"/>
          </w:tcPr>
          <w:p w14:paraId="1AE6B444" w14:textId="77777777" w:rsidR="00B66DF4" w:rsidRPr="00E95ADC" w:rsidRDefault="00B66DF4" w:rsidP="0066301C">
            <w:pPr>
              <w:autoSpaceDE w:val="0"/>
              <w:autoSpaceDN w:val="0"/>
              <w:adjustRightInd w:val="0"/>
              <w:jc w:val="center"/>
              <w:rPr>
                <w:rFonts w:ascii="Arial" w:hAnsi="Arial" w:cs="Arial"/>
                <w:color w:val="000000"/>
              </w:rPr>
            </w:pPr>
            <w:r w:rsidRPr="00E95ADC">
              <w:rPr>
                <w:rFonts w:ascii="Arial" w:hAnsi="Arial" w:cs="Arial"/>
                <w:color w:val="000000"/>
              </w:rPr>
              <w:t> 27.58434</w:t>
            </w:r>
          </w:p>
        </w:tc>
        <w:tc>
          <w:tcPr>
            <w:tcW w:w="1437" w:type="dxa"/>
            <w:tcBorders>
              <w:top w:val="single" w:sz="4" w:space="0" w:color="auto"/>
              <w:left w:val="single" w:sz="4" w:space="0" w:color="auto"/>
              <w:bottom w:val="single" w:sz="4" w:space="0" w:color="auto"/>
              <w:right w:val="single" w:sz="4" w:space="0" w:color="auto"/>
            </w:tcBorders>
            <w:vAlign w:val="bottom"/>
          </w:tcPr>
          <w:p w14:paraId="1F9E5E23" w14:textId="77777777" w:rsidR="00B66DF4" w:rsidRPr="00E95ADC" w:rsidRDefault="00B66DF4" w:rsidP="0066301C">
            <w:pPr>
              <w:autoSpaceDE w:val="0"/>
              <w:autoSpaceDN w:val="0"/>
              <w:adjustRightInd w:val="0"/>
              <w:jc w:val="center"/>
              <w:rPr>
                <w:rFonts w:ascii="Arial" w:hAnsi="Arial" w:cs="Arial"/>
                <w:color w:val="000000"/>
              </w:rPr>
            </w:pPr>
            <w:r w:rsidRPr="00E95ADC">
              <w:rPr>
                <w:rFonts w:ascii="Arial" w:hAnsi="Arial" w:cs="Arial"/>
                <w:color w:val="000000"/>
              </w:rPr>
              <w:t> 0.1116</w:t>
            </w:r>
          </w:p>
        </w:tc>
      </w:tr>
      <w:tr w:rsidR="00B66DF4" w:rsidRPr="00E95ADC" w14:paraId="75DEBD4B" w14:textId="77777777" w:rsidTr="004D74AB">
        <w:trPr>
          <w:trHeight w:val="205"/>
        </w:trPr>
        <w:tc>
          <w:tcPr>
            <w:tcW w:w="1401" w:type="dxa"/>
          </w:tcPr>
          <w:p w14:paraId="7B4E60F4" w14:textId="77777777" w:rsidR="00B66DF4" w:rsidRPr="00E95ADC" w:rsidRDefault="00B66DF4" w:rsidP="0066301C">
            <w:pPr>
              <w:jc w:val="both"/>
              <w:rPr>
                <w:rFonts w:ascii="Arial" w:hAnsi="Arial" w:cs="Arial"/>
              </w:rPr>
            </w:pPr>
            <w:r w:rsidRPr="00E95ADC">
              <w:rPr>
                <w:rFonts w:ascii="Arial" w:hAnsi="Arial" w:cs="Arial"/>
              </w:rPr>
              <w:t>At most 1</w:t>
            </w:r>
          </w:p>
        </w:tc>
        <w:tc>
          <w:tcPr>
            <w:tcW w:w="1176" w:type="dxa"/>
            <w:tcBorders>
              <w:top w:val="single" w:sz="4" w:space="0" w:color="auto"/>
              <w:left w:val="nil"/>
              <w:bottom w:val="single" w:sz="4" w:space="0" w:color="auto"/>
              <w:right w:val="single" w:sz="4" w:space="0" w:color="auto"/>
            </w:tcBorders>
            <w:vAlign w:val="bottom"/>
          </w:tcPr>
          <w:p w14:paraId="08EA5FEA" w14:textId="77777777" w:rsidR="00B66DF4" w:rsidRPr="00E95ADC" w:rsidRDefault="00B66DF4" w:rsidP="0066301C">
            <w:pPr>
              <w:autoSpaceDE w:val="0"/>
              <w:autoSpaceDN w:val="0"/>
              <w:adjustRightInd w:val="0"/>
              <w:jc w:val="center"/>
              <w:rPr>
                <w:rFonts w:ascii="Arial" w:hAnsi="Arial" w:cs="Arial"/>
                <w:color w:val="000000"/>
              </w:rPr>
            </w:pPr>
            <w:r w:rsidRPr="00E95ADC">
              <w:rPr>
                <w:rFonts w:ascii="Arial" w:hAnsi="Arial" w:cs="Arial"/>
                <w:color w:val="000000"/>
              </w:rPr>
              <w:t> 0.368502</w:t>
            </w:r>
          </w:p>
        </w:tc>
        <w:tc>
          <w:tcPr>
            <w:tcW w:w="1176" w:type="dxa"/>
            <w:tcBorders>
              <w:top w:val="single" w:sz="4" w:space="0" w:color="auto"/>
              <w:left w:val="single" w:sz="4" w:space="0" w:color="auto"/>
              <w:bottom w:val="single" w:sz="4" w:space="0" w:color="auto"/>
              <w:right w:val="single" w:sz="4" w:space="0" w:color="auto"/>
            </w:tcBorders>
            <w:vAlign w:val="bottom"/>
          </w:tcPr>
          <w:p w14:paraId="226E3D72" w14:textId="77777777" w:rsidR="00B66DF4" w:rsidRPr="00E95ADC" w:rsidRDefault="00B66DF4" w:rsidP="0066301C">
            <w:pPr>
              <w:autoSpaceDE w:val="0"/>
              <w:autoSpaceDN w:val="0"/>
              <w:adjustRightInd w:val="0"/>
              <w:jc w:val="center"/>
              <w:rPr>
                <w:rFonts w:ascii="Arial" w:hAnsi="Arial" w:cs="Arial"/>
                <w:color w:val="000000"/>
              </w:rPr>
            </w:pPr>
            <w:r w:rsidRPr="00E95ADC">
              <w:rPr>
                <w:rFonts w:ascii="Arial" w:hAnsi="Arial" w:cs="Arial"/>
                <w:color w:val="000000"/>
              </w:rPr>
              <w:t> 27.42117</w:t>
            </w:r>
          </w:p>
        </w:tc>
        <w:tc>
          <w:tcPr>
            <w:tcW w:w="1298" w:type="dxa"/>
            <w:tcBorders>
              <w:top w:val="single" w:sz="4" w:space="0" w:color="auto"/>
              <w:left w:val="single" w:sz="4" w:space="0" w:color="auto"/>
              <w:bottom w:val="single" w:sz="4" w:space="0" w:color="auto"/>
              <w:right w:val="single" w:sz="4" w:space="0" w:color="auto"/>
            </w:tcBorders>
            <w:vAlign w:val="bottom"/>
          </w:tcPr>
          <w:p w14:paraId="7A38030C" w14:textId="77777777" w:rsidR="00B66DF4" w:rsidRPr="00E95ADC" w:rsidRDefault="00B66DF4" w:rsidP="0066301C">
            <w:pPr>
              <w:autoSpaceDE w:val="0"/>
              <w:autoSpaceDN w:val="0"/>
              <w:adjustRightInd w:val="0"/>
              <w:jc w:val="center"/>
              <w:rPr>
                <w:rFonts w:ascii="Arial" w:hAnsi="Arial" w:cs="Arial"/>
                <w:color w:val="000000"/>
              </w:rPr>
            </w:pPr>
            <w:r w:rsidRPr="00E95ADC">
              <w:rPr>
                <w:rFonts w:ascii="Arial" w:hAnsi="Arial" w:cs="Arial"/>
                <w:color w:val="000000"/>
              </w:rPr>
              <w:t> 29.79707</w:t>
            </w:r>
          </w:p>
        </w:tc>
        <w:tc>
          <w:tcPr>
            <w:tcW w:w="1355" w:type="dxa"/>
            <w:tcBorders>
              <w:top w:val="single" w:sz="4" w:space="0" w:color="auto"/>
              <w:left w:val="single" w:sz="4" w:space="0" w:color="auto"/>
              <w:bottom w:val="single" w:sz="4" w:space="0" w:color="auto"/>
              <w:right w:val="nil"/>
            </w:tcBorders>
            <w:vAlign w:val="bottom"/>
          </w:tcPr>
          <w:p w14:paraId="51D9CBE2" w14:textId="77777777" w:rsidR="00B66DF4" w:rsidRPr="00E95ADC" w:rsidRDefault="00B66DF4" w:rsidP="0066301C">
            <w:pPr>
              <w:autoSpaceDE w:val="0"/>
              <w:autoSpaceDN w:val="0"/>
              <w:adjustRightInd w:val="0"/>
              <w:jc w:val="center"/>
              <w:rPr>
                <w:rFonts w:ascii="Arial" w:hAnsi="Arial" w:cs="Arial"/>
                <w:color w:val="000000"/>
              </w:rPr>
            </w:pPr>
            <w:r w:rsidRPr="00E95ADC">
              <w:rPr>
                <w:rFonts w:ascii="Arial" w:hAnsi="Arial" w:cs="Arial"/>
                <w:color w:val="000000"/>
              </w:rPr>
              <w:t> 0.0917</w:t>
            </w:r>
          </w:p>
        </w:tc>
        <w:tc>
          <w:tcPr>
            <w:tcW w:w="1592" w:type="dxa"/>
            <w:tcBorders>
              <w:top w:val="single" w:sz="4" w:space="0" w:color="auto"/>
              <w:left w:val="single" w:sz="4" w:space="0" w:color="auto"/>
              <w:bottom w:val="single" w:sz="4" w:space="0" w:color="auto"/>
              <w:right w:val="single" w:sz="4" w:space="0" w:color="auto"/>
            </w:tcBorders>
            <w:vAlign w:val="bottom"/>
          </w:tcPr>
          <w:p w14:paraId="2B6F85EE" w14:textId="77777777" w:rsidR="00B66DF4" w:rsidRPr="00E95ADC" w:rsidRDefault="00B66DF4" w:rsidP="0066301C">
            <w:pPr>
              <w:jc w:val="both"/>
              <w:rPr>
                <w:rFonts w:ascii="Arial" w:hAnsi="Arial" w:cs="Arial"/>
              </w:rPr>
            </w:pPr>
            <w:r w:rsidRPr="00E95ADC">
              <w:rPr>
                <w:rFonts w:ascii="Arial" w:hAnsi="Arial" w:cs="Arial"/>
              </w:rPr>
              <w:t>At most 1</w:t>
            </w:r>
          </w:p>
        </w:tc>
        <w:tc>
          <w:tcPr>
            <w:tcW w:w="1441" w:type="dxa"/>
            <w:tcBorders>
              <w:top w:val="single" w:sz="4" w:space="0" w:color="auto"/>
              <w:left w:val="nil"/>
              <w:bottom w:val="single" w:sz="4" w:space="0" w:color="auto"/>
              <w:right w:val="single" w:sz="4" w:space="0" w:color="auto"/>
            </w:tcBorders>
            <w:vAlign w:val="bottom"/>
          </w:tcPr>
          <w:p w14:paraId="7071B35B" w14:textId="77777777" w:rsidR="00B66DF4" w:rsidRPr="00E95ADC" w:rsidRDefault="00B66DF4" w:rsidP="0066301C">
            <w:pPr>
              <w:autoSpaceDE w:val="0"/>
              <w:autoSpaceDN w:val="0"/>
              <w:adjustRightInd w:val="0"/>
              <w:jc w:val="center"/>
              <w:rPr>
                <w:rFonts w:ascii="Arial" w:hAnsi="Arial" w:cs="Arial"/>
                <w:color w:val="000000"/>
              </w:rPr>
            </w:pPr>
            <w:r w:rsidRPr="00E95ADC">
              <w:rPr>
                <w:rFonts w:ascii="Arial" w:hAnsi="Arial" w:cs="Arial"/>
                <w:color w:val="000000"/>
              </w:rPr>
              <w:t> 0.368502</w:t>
            </w:r>
          </w:p>
        </w:tc>
        <w:tc>
          <w:tcPr>
            <w:tcW w:w="1441" w:type="dxa"/>
            <w:tcBorders>
              <w:top w:val="single" w:sz="4" w:space="0" w:color="auto"/>
              <w:left w:val="single" w:sz="4" w:space="0" w:color="auto"/>
              <w:bottom w:val="single" w:sz="4" w:space="0" w:color="auto"/>
              <w:right w:val="single" w:sz="4" w:space="0" w:color="auto"/>
            </w:tcBorders>
            <w:vAlign w:val="bottom"/>
          </w:tcPr>
          <w:p w14:paraId="54FA973A" w14:textId="77777777" w:rsidR="00B66DF4" w:rsidRPr="00E95ADC" w:rsidRDefault="00B66DF4" w:rsidP="0066301C">
            <w:pPr>
              <w:autoSpaceDE w:val="0"/>
              <w:autoSpaceDN w:val="0"/>
              <w:adjustRightInd w:val="0"/>
              <w:jc w:val="center"/>
              <w:rPr>
                <w:rFonts w:ascii="Arial" w:hAnsi="Arial" w:cs="Arial"/>
                <w:color w:val="000000"/>
              </w:rPr>
            </w:pPr>
            <w:r w:rsidRPr="00E95ADC">
              <w:rPr>
                <w:rFonts w:ascii="Arial" w:hAnsi="Arial" w:cs="Arial"/>
                <w:color w:val="000000"/>
              </w:rPr>
              <w:t> 14.70914</w:t>
            </w:r>
          </w:p>
        </w:tc>
        <w:tc>
          <w:tcPr>
            <w:tcW w:w="1441" w:type="dxa"/>
            <w:tcBorders>
              <w:top w:val="single" w:sz="4" w:space="0" w:color="auto"/>
              <w:left w:val="single" w:sz="4" w:space="0" w:color="auto"/>
              <w:bottom w:val="single" w:sz="4" w:space="0" w:color="auto"/>
              <w:right w:val="single" w:sz="4" w:space="0" w:color="auto"/>
            </w:tcBorders>
            <w:vAlign w:val="bottom"/>
          </w:tcPr>
          <w:p w14:paraId="2C887EF0" w14:textId="77777777" w:rsidR="00B66DF4" w:rsidRPr="00E95ADC" w:rsidRDefault="00B66DF4" w:rsidP="0066301C">
            <w:pPr>
              <w:autoSpaceDE w:val="0"/>
              <w:autoSpaceDN w:val="0"/>
              <w:adjustRightInd w:val="0"/>
              <w:jc w:val="center"/>
              <w:rPr>
                <w:rFonts w:ascii="Arial" w:hAnsi="Arial" w:cs="Arial"/>
                <w:color w:val="000000"/>
              </w:rPr>
            </w:pPr>
            <w:r w:rsidRPr="00E95ADC">
              <w:rPr>
                <w:rFonts w:ascii="Arial" w:hAnsi="Arial" w:cs="Arial"/>
                <w:color w:val="000000"/>
              </w:rPr>
              <w:t> 21.13162</w:t>
            </w:r>
          </w:p>
        </w:tc>
        <w:tc>
          <w:tcPr>
            <w:tcW w:w="1437" w:type="dxa"/>
            <w:tcBorders>
              <w:top w:val="single" w:sz="4" w:space="0" w:color="auto"/>
              <w:left w:val="single" w:sz="4" w:space="0" w:color="auto"/>
              <w:bottom w:val="single" w:sz="4" w:space="0" w:color="auto"/>
              <w:right w:val="single" w:sz="4" w:space="0" w:color="auto"/>
            </w:tcBorders>
            <w:vAlign w:val="bottom"/>
          </w:tcPr>
          <w:p w14:paraId="0B7A8220" w14:textId="77777777" w:rsidR="00B66DF4" w:rsidRPr="00E95ADC" w:rsidRDefault="00B66DF4" w:rsidP="0066301C">
            <w:pPr>
              <w:autoSpaceDE w:val="0"/>
              <w:autoSpaceDN w:val="0"/>
              <w:adjustRightInd w:val="0"/>
              <w:jc w:val="center"/>
              <w:rPr>
                <w:rFonts w:ascii="Arial" w:hAnsi="Arial" w:cs="Arial"/>
                <w:color w:val="000000"/>
              </w:rPr>
            </w:pPr>
            <w:r w:rsidRPr="00E95ADC">
              <w:rPr>
                <w:rFonts w:ascii="Arial" w:hAnsi="Arial" w:cs="Arial"/>
                <w:color w:val="000000"/>
              </w:rPr>
              <w:t> 0.3098</w:t>
            </w:r>
          </w:p>
        </w:tc>
      </w:tr>
      <w:tr w:rsidR="00B66DF4" w:rsidRPr="00E95ADC" w14:paraId="4203FE8E" w14:textId="77777777" w:rsidTr="004D74AB">
        <w:tc>
          <w:tcPr>
            <w:tcW w:w="1401" w:type="dxa"/>
          </w:tcPr>
          <w:p w14:paraId="7D10E4DF" w14:textId="77777777" w:rsidR="00B66DF4" w:rsidRPr="00E95ADC" w:rsidRDefault="00B66DF4" w:rsidP="0066301C">
            <w:pPr>
              <w:jc w:val="both"/>
              <w:rPr>
                <w:rFonts w:ascii="Arial" w:hAnsi="Arial" w:cs="Arial"/>
              </w:rPr>
            </w:pPr>
            <w:r w:rsidRPr="00E95ADC">
              <w:rPr>
                <w:rFonts w:ascii="Arial" w:hAnsi="Arial" w:cs="Arial"/>
              </w:rPr>
              <w:t>At most 2</w:t>
            </w:r>
          </w:p>
        </w:tc>
        <w:tc>
          <w:tcPr>
            <w:tcW w:w="1176" w:type="dxa"/>
            <w:tcBorders>
              <w:top w:val="single" w:sz="4" w:space="0" w:color="auto"/>
              <w:left w:val="nil"/>
              <w:bottom w:val="single" w:sz="4" w:space="0" w:color="auto"/>
              <w:right w:val="single" w:sz="4" w:space="0" w:color="auto"/>
            </w:tcBorders>
            <w:vAlign w:val="bottom"/>
          </w:tcPr>
          <w:p w14:paraId="0C293E52" w14:textId="77777777" w:rsidR="00B66DF4" w:rsidRPr="00E95ADC" w:rsidRDefault="00B66DF4" w:rsidP="0066301C">
            <w:pPr>
              <w:autoSpaceDE w:val="0"/>
              <w:autoSpaceDN w:val="0"/>
              <w:adjustRightInd w:val="0"/>
              <w:jc w:val="center"/>
              <w:rPr>
                <w:rFonts w:ascii="Arial" w:hAnsi="Arial" w:cs="Arial"/>
                <w:color w:val="000000"/>
              </w:rPr>
            </w:pPr>
            <w:r w:rsidRPr="00E95ADC">
              <w:rPr>
                <w:rFonts w:ascii="Arial" w:hAnsi="Arial" w:cs="Arial"/>
                <w:color w:val="000000"/>
              </w:rPr>
              <w:t> 0.228496</w:t>
            </w:r>
          </w:p>
        </w:tc>
        <w:tc>
          <w:tcPr>
            <w:tcW w:w="1176" w:type="dxa"/>
            <w:tcBorders>
              <w:top w:val="single" w:sz="4" w:space="0" w:color="auto"/>
              <w:left w:val="single" w:sz="4" w:space="0" w:color="auto"/>
              <w:bottom w:val="single" w:sz="4" w:space="0" w:color="auto"/>
              <w:right w:val="single" w:sz="4" w:space="0" w:color="auto"/>
            </w:tcBorders>
            <w:vAlign w:val="bottom"/>
          </w:tcPr>
          <w:p w14:paraId="25487448" w14:textId="77777777" w:rsidR="00B66DF4" w:rsidRPr="00E95ADC" w:rsidRDefault="00B66DF4" w:rsidP="0066301C">
            <w:pPr>
              <w:autoSpaceDE w:val="0"/>
              <w:autoSpaceDN w:val="0"/>
              <w:adjustRightInd w:val="0"/>
              <w:jc w:val="center"/>
              <w:rPr>
                <w:rFonts w:ascii="Arial" w:hAnsi="Arial" w:cs="Arial"/>
                <w:color w:val="000000"/>
              </w:rPr>
            </w:pPr>
            <w:r w:rsidRPr="00E95ADC">
              <w:rPr>
                <w:rFonts w:ascii="Arial" w:hAnsi="Arial" w:cs="Arial"/>
                <w:color w:val="000000"/>
              </w:rPr>
              <w:t> 12.71204</w:t>
            </w:r>
          </w:p>
        </w:tc>
        <w:tc>
          <w:tcPr>
            <w:tcW w:w="1298" w:type="dxa"/>
            <w:tcBorders>
              <w:top w:val="single" w:sz="4" w:space="0" w:color="auto"/>
              <w:left w:val="single" w:sz="4" w:space="0" w:color="auto"/>
              <w:bottom w:val="single" w:sz="4" w:space="0" w:color="auto"/>
              <w:right w:val="single" w:sz="4" w:space="0" w:color="auto"/>
            </w:tcBorders>
            <w:vAlign w:val="bottom"/>
          </w:tcPr>
          <w:p w14:paraId="67A1B33D" w14:textId="77777777" w:rsidR="00B66DF4" w:rsidRPr="00E95ADC" w:rsidRDefault="00B66DF4" w:rsidP="0066301C">
            <w:pPr>
              <w:autoSpaceDE w:val="0"/>
              <w:autoSpaceDN w:val="0"/>
              <w:adjustRightInd w:val="0"/>
              <w:jc w:val="center"/>
              <w:rPr>
                <w:rFonts w:ascii="Arial" w:hAnsi="Arial" w:cs="Arial"/>
                <w:color w:val="000000"/>
              </w:rPr>
            </w:pPr>
            <w:r w:rsidRPr="00E95ADC">
              <w:rPr>
                <w:rFonts w:ascii="Arial" w:hAnsi="Arial" w:cs="Arial"/>
                <w:color w:val="000000"/>
              </w:rPr>
              <w:t> 15.49471</w:t>
            </w:r>
          </w:p>
        </w:tc>
        <w:tc>
          <w:tcPr>
            <w:tcW w:w="1355" w:type="dxa"/>
            <w:tcBorders>
              <w:top w:val="single" w:sz="4" w:space="0" w:color="auto"/>
              <w:left w:val="single" w:sz="4" w:space="0" w:color="auto"/>
              <w:bottom w:val="single" w:sz="4" w:space="0" w:color="auto"/>
              <w:right w:val="nil"/>
            </w:tcBorders>
            <w:vAlign w:val="bottom"/>
          </w:tcPr>
          <w:p w14:paraId="41661722" w14:textId="77777777" w:rsidR="00B66DF4" w:rsidRPr="00E95ADC" w:rsidRDefault="00B66DF4" w:rsidP="0066301C">
            <w:pPr>
              <w:autoSpaceDE w:val="0"/>
              <w:autoSpaceDN w:val="0"/>
              <w:adjustRightInd w:val="0"/>
              <w:jc w:val="center"/>
              <w:rPr>
                <w:rFonts w:ascii="Arial" w:hAnsi="Arial" w:cs="Arial"/>
                <w:color w:val="000000"/>
              </w:rPr>
            </w:pPr>
            <w:r w:rsidRPr="00E95ADC">
              <w:rPr>
                <w:rFonts w:ascii="Arial" w:hAnsi="Arial" w:cs="Arial"/>
                <w:color w:val="000000"/>
              </w:rPr>
              <w:t> 0.1258</w:t>
            </w:r>
          </w:p>
        </w:tc>
        <w:tc>
          <w:tcPr>
            <w:tcW w:w="1592" w:type="dxa"/>
            <w:tcBorders>
              <w:top w:val="single" w:sz="4" w:space="0" w:color="auto"/>
              <w:left w:val="single" w:sz="4" w:space="0" w:color="auto"/>
              <w:bottom w:val="single" w:sz="4" w:space="0" w:color="auto"/>
              <w:right w:val="single" w:sz="4" w:space="0" w:color="auto"/>
            </w:tcBorders>
            <w:vAlign w:val="bottom"/>
          </w:tcPr>
          <w:p w14:paraId="04924361" w14:textId="77777777" w:rsidR="00B66DF4" w:rsidRPr="00E95ADC" w:rsidRDefault="00B66DF4" w:rsidP="0066301C">
            <w:pPr>
              <w:jc w:val="both"/>
              <w:rPr>
                <w:rFonts w:ascii="Arial" w:hAnsi="Arial" w:cs="Arial"/>
              </w:rPr>
            </w:pPr>
            <w:r w:rsidRPr="00E95ADC">
              <w:rPr>
                <w:rFonts w:ascii="Arial" w:hAnsi="Arial" w:cs="Arial"/>
              </w:rPr>
              <w:t>At most 2</w:t>
            </w:r>
          </w:p>
        </w:tc>
        <w:tc>
          <w:tcPr>
            <w:tcW w:w="1441" w:type="dxa"/>
            <w:tcBorders>
              <w:top w:val="single" w:sz="4" w:space="0" w:color="auto"/>
              <w:left w:val="nil"/>
              <w:bottom w:val="single" w:sz="4" w:space="0" w:color="auto"/>
              <w:right w:val="single" w:sz="4" w:space="0" w:color="auto"/>
            </w:tcBorders>
            <w:vAlign w:val="bottom"/>
          </w:tcPr>
          <w:p w14:paraId="7A2F9369" w14:textId="77777777" w:rsidR="00B66DF4" w:rsidRPr="00E95ADC" w:rsidRDefault="00B66DF4" w:rsidP="0066301C">
            <w:pPr>
              <w:autoSpaceDE w:val="0"/>
              <w:autoSpaceDN w:val="0"/>
              <w:adjustRightInd w:val="0"/>
              <w:jc w:val="center"/>
              <w:rPr>
                <w:rFonts w:ascii="Arial" w:hAnsi="Arial" w:cs="Arial"/>
                <w:color w:val="000000"/>
              </w:rPr>
            </w:pPr>
            <w:r w:rsidRPr="00E95ADC">
              <w:rPr>
                <w:rFonts w:ascii="Arial" w:hAnsi="Arial" w:cs="Arial"/>
                <w:color w:val="000000"/>
              </w:rPr>
              <w:t> 0.228496</w:t>
            </w:r>
          </w:p>
        </w:tc>
        <w:tc>
          <w:tcPr>
            <w:tcW w:w="1441" w:type="dxa"/>
            <w:tcBorders>
              <w:top w:val="single" w:sz="4" w:space="0" w:color="auto"/>
              <w:left w:val="single" w:sz="4" w:space="0" w:color="auto"/>
              <w:bottom w:val="single" w:sz="4" w:space="0" w:color="auto"/>
              <w:right w:val="single" w:sz="4" w:space="0" w:color="auto"/>
            </w:tcBorders>
            <w:vAlign w:val="bottom"/>
          </w:tcPr>
          <w:p w14:paraId="0E3725AC" w14:textId="77777777" w:rsidR="00B66DF4" w:rsidRPr="00E95ADC" w:rsidRDefault="00B66DF4" w:rsidP="0066301C">
            <w:pPr>
              <w:autoSpaceDE w:val="0"/>
              <w:autoSpaceDN w:val="0"/>
              <w:adjustRightInd w:val="0"/>
              <w:jc w:val="center"/>
              <w:rPr>
                <w:rFonts w:ascii="Arial" w:hAnsi="Arial" w:cs="Arial"/>
                <w:color w:val="000000"/>
              </w:rPr>
            </w:pPr>
            <w:r w:rsidRPr="00E95ADC">
              <w:rPr>
                <w:rFonts w:ascii="Arial" w:hAnsi="Arial" w:cs="Arial"/>
                <w:color w:val="000000"/>
              </w:rPr>
              <w:t> 8.301220</w:t>
            </w:r>
          </w:p>
        </w:tc>
        <w:tc>
          <w:tcPr>
            <w:tcW w:w="1441" w:type="dxa"/>
            <w:tcBorders>
              <w:top w:val="single" w:sz="4" w:space="0" w:color="auto"/>
              <w:left w:val="single" w:sz="4" w:space="0" w:color="auto"/>
              <w:bottom w:val="single" w:sz="4" w:space="0" w:color="auto"/>
              <w:right w:val="single" w:sz="4" w:space="0" w:color="auto"/>
            </w:tcBorders>
            <w:vAlign w:val="bottom"/>
          </w:tcPr>
          <w:p w14:paraId="74ACFB24" w14:textId="77777777" w:rsidR="00B66DF4" w:rsidRPr="00E95ADC" w:rsidRDefault="00B66DF4" w:rsidP="0066301C">
            <w:pPr>
              <w:autoSpaceDE w:val="0"/>
              <w:autoSpaceDN w:val="0"/>
              <w:adjustRightInd w:val="0"/>
              <w:jc w:val="center"/>
              <w:rPr>
                <w:rFonts w:ascii="Arial" w:hAnsi="Arial" w:cs="Arial"/>
                <w:color w:val="000000"/>
              </w:rPr>
            </w:pPr>
            <w:r w:rsidRPr="00E95ADC">
              <w:rPr>
                <w:rFonts w:ascii="Arial" w:hAnsi="Arial" w:cs="Arial"/>
                <w:color w:val="000000"/>
              </w:rPr>
              <w:t> 14.26460</w:t>
            </w:r>
          </w:p>
        </w:tc>
        <w:tc>
          <w:tcPr>
            <w:tcW w:w="1437" w:type="dxa"/>
            <w:tcBorders>
              <w:top w:val="single" w:sz="4" w:space="0" w:color="auto"/>
              <w:left w:val="single" w:sz="4" w:space="0" w:color="auto"/>
              <w:bottom w:val="single" w:sz="4" w:space="0" w:color="auto"/>
              <w:right w:val="single" w:sz="4" w:space="0" w:color="auto"/>
            </w:tcBorders>
            <w:vAlign w:val="bottom"/>
          </w:tcPr>
          <w:p w14:paraId="2B2B951B" w14:textId="77777777" w:rsidR="00B66DF4" w:rsidRPr="00E95ADC" w:rsidRDefault="00B66DF4" w:rsidP="0066301C">
            <w:pPr>
              <w:autoSpaceDE w:val="0"/>
              <w:autoSpaceDN w:val="0"/>
              <w:adjustRightInd w:val="0"/>
              <w:jc w:val="center"/>
              <w:rPr>
                <w:rFonts w:ascii="Arial" w:hAnsi="Arial" w:cs="Arial"/>
                <w:color w:val="000000"/>
              </w:rPr>
            </w:pPr>
            <w:r w:rsidRPr="00E95ADC">
              <w:rPr>
                <w:rFonts w:ascii="Arial" w:hAnsi="Arial" w:cs="Arial"/>
                <w:color w:val="000000"/>
              </w:rPr>
              <w:t> 0.3489</w:t>
            </w:r>
          </w:p>
        </w:tc>
      </w:tr>
      <w:tr w:rsidR="00B66DF4" w:rsidRPr="00E95ADC" w14:paraId="2C1C2CD2" w14:textId="77777777" w:rsidTr="004D74AB">
        <w:tc>
          <w:tcPr>
            <w:tcW w:w="1401" w:type="dxa"/>
          </w:tcPr>
          <w:p w14:paraId="2E496DF2" w14:textId="77777777" w:rsidR="00B66DF4" w:rsidRPr="00E95ADC" w:rsidRDefault="00B66DF4" w:rsidP="0066301C">
            <w:pPr>
              <w:jc w:val="both"/>
              <w:rPr>
                <w:rFonts w:ascii="Arial" w:hAnsi="Arial" w:cs="Arial"/>
              </w:rPr>
            </w:pPr>
            <w:r w:rsidRPr="00E95ADC">
              <w:rPr>
                <w:rFonts w:ascii="Arial" w:hAnsi="Arial" w:cs="Arial"/>
              </w:rPr>
              <w:t>At most 3*</w:t>
            </w:r>
          </w:p>
        </w:tc>
        <w:tc>
          <w:tcPr>
            <w:tcW w:w="1176" w:type="dxa"/>
            <w:tcBorders>
              <w:top w:val="single" w:sz="4" w:space="0" w:color="auto"/>
              <w:left w:val="nil"/>
              <w:bottom w:val="single" w:sz="4" w:space="0" w:color="auto"/>
              <w:right w:val="single" w:sz="4" w:space="0" w:color="auto"/>
            </w:tcBorders>
            <w:vAlign w:val="bottom"/>
          </w:tcPr>
          <w:p w14:paraId="520BA704" w14:textId="77777777" w:rsidR="00B66DF4" w:rsidRPr="00E95ADC" w:rsidRDefault="00B66DF4" w:rsidP="0066301C">
            <w:pPr>
              <w:autoSpaceDE w:val="0"/>
              <w:autoSpaceDN w:val="0"/>
              <w:adjustRightInd w:val="0"/>
              <w:jc w:val="center"/>
              <w:rPr>
                <w:rFonts w:ascii="Arial" w:hAnsi="Arial" w:cs="Arial"/>
                <w:color w:val="000000"/>
              </w:rPr>
            </w:pPr>
            <w:r w:rsidRPr="00E95ADC">
              <w:rPr>
                <w:rFonts w:ascii="Arial" w:hAnsi="Arial" w:cs="Arial"/>
                <w:color w:val="000000"/>
              </w:rPr>
              <w:t> 0.128760</w:t>
            </w:r>
          </w:p>
        </w:tc>
        <w:tc>
          <w:tcPr>
            <w:tcW w:w="1176" w:type="dxa"/>
            <w:tcBorders>
              <w:top w:val="single" w:sz="4" w:space="0" w:color="auto"/>
              <w:left w:val="single" w:sz="4" w:space="0" w:color="auto"/>
              <w:bottom w:val="single" w:sz="4" w:space="0" w:color="auto"/>
              <w:right w:val="single" w:sz="4" w:space="0" w:color="auto"/>
            </w:tcBorders>
            <w:vAlign w:val="bottom"/>
          </w:tcPr>
          <w:p w14:paraId="241336F2" w14:textId="77777777" w:rsidR="00B66DF4" w:rsidRPr="00E95ADC" w:rsidRDefault="00B66DF4" w:rsidP="0066301C">
            <w:pPr>
              <w:autoSpaceDE w:val="0"/>
              <w:autoSpaceDN w:val="0"/>
              <w:adjustRightInd w:val="0"/>
              <w:jc w:val="center"/>
              <w:rPr>
                <w:rFonts w:ascii="Arial" w:hAnsi="Arial" w:cs="Arial"/>
                <w:color w:val="000000"/>
              </w:rPr>
            </w:pPr>
            <w:r w:rsidRPr="00E95ADC">
              <w:rPr>
                <w:rFonts w:ascii="Arial" w:hAnsi="Arial" w:cs="Arial"/>
                <w:color w:val="000000"/>
              </w:rPr>
              <w:t> 4.410815</w:t>
            </w:r>
          </w:p>
        </w:tc>
        <w:tc>
          <w:tcPr>
            <w:tcW w:w="1298" w:type="dxa"/>
            <w:tcBorders>
              <w:top w:val="single" w:sz="4" w:space="0" w:color="auto"/>
              <w:left w:val="single" w:sz="4" w:space="0" w:color="auto"/>
              <w:bottom w:val="single" w:sz="4" w:space="0" w:color="auto"/>
              <w:right w:val="single" w:sz="4" w:space="0" w:color="auto"/>
            </w:tcBorders>
            <w:vAlign w:val="bottom"/>
          </w:tcPr>
          <w:p w14:paraId="102FAA5F" w14:textId="77777777" w:rsidR="00B66DF4" w:rsidRPr="00E95ADC" w:rsidRDefault="00B66DF4" w:rsidP="0066301C">
            <w:pPr>
              <w:autoSpaceDE w:val="0"/>
              <w:autoSpaceDN w:val="0"/>
              <w:adjustRightInd w:val="0"/>
              <w:jc w:val="center"/>
              <w:rPr>
                <w:rFonts w:ascii="Arial" w:hAnsi="Arial" w:cs="Arial"/>
                <w:color w:val="000000"/>
              </w:rPr>
            </w:pPr>
            <w:r w:rsidRPr="00E95ADC">
              <w:rPr>
                <w:rFonts w:ascii="Arial" w:hAnsi="Arial" w:cs="Arial"/>
                <w:color w:val="000000"/>
              </w:rPr>
              <w:t> 3.841465</w:t>
            </w:r>
          </w:p>
        </w:tc>
        <w:tc>
          <w:tcPr>
            <w:tcW w:w="1355" w:type="dxa"/>
            <w:tcBorders>
              <w:top w:val="single" w:sz="4" w:space="0" w:color="auto"/>
              <w:left w:val="single" w:sz="4" w:space="0" w:color="auto"/>
              <w:bottom w:val="single" w:sz="4" w:space="0" w:color="auto"/>
              <w:right w:val="nil"/>
            </w:tcBorders>
            <w:vAlign w:val="bottom"/>
          </w:tcPr>
          <w:p w14:paraId="0FA7CACB" w14:textId="77777777" w:rsidR="00B66DF4" w:rsidRPr="00E95ADC" w:rsidRDefault="00B66DF4" w:rsidP="0066301C">
            <w:pPr>
              <w:autoSpaceDE w:val="0"/>
              <w:autoSpaceDN w:val="0"/>
              <w:adjustRightInd w:val="0"/>
              <w:jc w:val="center"/>
              <w:rPr>
                <w:rFonts w:ascii="Arial" w:hAnsi="Arial" w:cs="Arial"/>
                <w:color w:val="000000"/>
              </w:rPr>
            </w:pPr>
            <w:r w:rsidRPr="00E95ADC">
              <w:rPr>
                <w:rFonts w:ascii="Arial" w:hAnsi="Arial" w:cs="Arial"/>
                <w:color w:val="000000"/>
              </w:rPr>
              <w:t> 0.0357</w:t>
            </w:r>
          </w:p>
        </w:tc>
        <w:tc>
          <w:tcPr>
            <w:tcW w:w="1592" w:type="dxa"/>
            <w:tcBorders>
              <w:top w:val="single" w:sz="4" w:space="0" w:color="auto"/>
              <w:left w:val="single" w:sz="4" w:space="0" w:color="auto"/>
              <w:bottom w:val="single" w:sz="4" w:space="0" w:color="auto"/>
              <w:right w:val="single" w:sz="4" w:space="0" w:color="auto"/>
            </w:tcBorders>
            <w:vAlign w:val="bottom"/>
          </w:tcPr>
          <w:p w14:paraId="331B7DC7" w14:textId="77777777" w:rsidR="00B66DF4" w:rsidRPr="00E95ADC" w:rsidRDefault="00B66DF4" w:rsidP="0066301C">
            <w:pPr>
              <w:jc w:val="both"/>
              <w:rPr>
                <w:rFonts w:ascii="Arial" w:hAnsi="Arial" w:cs="Arial"/>
              </w:rPr>
            </w:pPr>
            <w:r w:rsidRPr="00E95ADC">
              <w:rPr>
                <w:rFonts w:ascii="Arial" w:hAnsi="Arial" w:cs="Arial"/>
              </w:rPr>
              <w:t>At most 3*</w:t>
            </w:r>
          </w:p>
        </w:tc>
        <w:tc>
          <w:tcPr>
            <w:tcW w:w="1441" w:type="dxa"/>
            <w:tcBorders>
              <w:top w:val="single" w:sz="4" w:space="0" w:color="auto"/>
              <w:left w:val="nil"/>
              <w:bottom w:val="single" w:sz="4" w:space="0" w:color="auto"/>
              <w:right w:val="single" w:sz="4" w:space="0" w:color="auto"/>
            </w:tcBorders>
            <w:vAlign w:val="bottom"/>
          </w:tcPr>
          <w:p w14:paraId="40B4FF54" w14:textId="77777777" w:rsidR="00B66DF4" w:rsidRPr="00E95ADC" w:rsidRDefault="00B66DF4" w:rsidP="0066301C">
            <w:pPr>
              <w:autoSpaceDE w:val="0"/>
              <w:autoSpaceDN w:val="0"/>
              <w:adjustRightInd w:val="0"/>
              <w:jc w:val="center"/>
              <w:rPr>
                <w:rFonts w:ascii="Arial" w:hAnsi="Arial" w:cs="Arial"/>
                <w:color w:val="000000"/>
              </w:rPr>
            </w:pPr>
            <w:r w:rsidRPr="00E95ADC">
              <w:rPr>
                <w:rFonts w:ascii="Arial" w:hAnsi="Arial" w:cs="Arial"/>
                <w:color w:val="000000"/>
              </w:rPr>
              <w:t> 0.128760</w:t>
            </w:r>
          </w:p>
        </w:tc>
        <w:tc>
          <w:tcPr>
            <w:tcW w:w="1441" w:type="dxa"/>
            <w:tcBorders>
              <w:top w:val="single" w:sz="4" w:space="0" w:color="auto"/>
              <w:left w:val="single" w:sz="4" w:space="0" w:color="auto"/>
              <w:bottom w:val="single" w:sz="4" w:space="0" w:color="auto"/>
              <w:right w:val="single" w:sz="4" w:space="0" w:color="auto"/>
            </w:tcBorders>
            <w:vAlign w:val="bottom"/>
          </w:tcPr>
          <w:p w14:paraId="7AB410A7" w14:textId="77777777" w:rsidR="00B66DF4" w:rsidRPr="00E95ADC" w:rsidRDefault="00B66DF4" w:rsidP="0066301C">
            <w:pPr>
              <w:autoSpaceDE w:val="0"/>
              <w:autoSpaceDN w:val="0"/>
              <w:adjustRightInd w:val="0"/>
              <w:jc w:val="center"/>
              <w:rPr>
                <w:rFonts w:ascii="Arial" w:hAnsi="Arial" w:cs="Arial"/>
                <w:color w:val="000000"/>
              </w:rPr>
            </w:pPr>
            <w:r w:rsidRPr="00E95ADC">
              <w:rPr>
                <w:rFonts w:ascii="Arial" w:hAnsi="Arial" w:cs="Arial"/>
                <w:color w:val="000000"/>
              </w:rPr>
              <w:t> 4.410815</w:t>
            </w:r>
          </w:p>
        </w:tc>
        <w:tc>
          <w:tcPr>
            <w:tcW w:w="1441" w:type="dxa"/>
            <w:tcBorders>
              <w:top w:val="single" w:sz="4" w:space="0" w:color="auto"/>
              <w:left w:val="single" w:sz="4" w:space="0" w:color="auto"/>
              <w:bottom w:val="single" w:sz="4" w:space="0" w:color="auto"/>
              <w:right w:val="single" w:sz="4" w:space="0" w:color="auto"/>
            </w:tcBorders>
            <w:vAlign w:val="bottom"/>
          </w:tcPr>
          <w:p w14:paraId="68EFE062" w14:textId="77777777" w:rsidR="00B66DF4" w:rsidRPr="00E95ADC" w:rsidRDefault="00B66DF4" w:rsidP="0066301C">
            <w:pPr>
              <w:autoSpaceDE w:val="0"/>
              <w:autoSpaceDN w:val="0"/>
              <w:adjustRightInd w:val="0"/>
              <w:jc w:val="center"/>
              <w:rPr>
                <w:rFonts w:ascii="Arial" w:hAnsi="Arial" w:cs="Arial"/>
                <w:color w:val="000000"/>
              </w:rPr>
            </w:pPr>
            <w:r w:rsidRPr="00E95ADC">
              <w:rPr>
                <w:rFonts w:ascii="Arial" w:hAnsi="Arial" w:cs="Arial"/>
                <w:color w:val="000000"/>
              </w:rPr>
              <w:t> 3.841465</w:t>
            </w:r>
          </w:p>
        </w:tc>
        <w:tc>
          <w:tcPr>
            <w:tcW w:w="1437" w:type="dxa"/>
            <w:tcBorders>
              <w:top w:val="single" w:sz="4" w:space="0" w:color="auto"/>
              <w:left w:val="single" w:sz="4" w:space="0" w:color="auto"/>
              <w:bottom w:val="single" w:sz="4" w:space="0" w:color="auto"/>
              <w:right w:val="single" w:sz="4" w:space="0" w:color="auto"/>
            </w:tcBorders>
            <w:vAlign w:val="bottom"/>
          </w:tcPr>
          <w:p w14:paraId="55800A68" w14:textId="77777777" w:rsidR="00B66DF4" w:rsidRPr="00E95ADC" w:rsidRDefault="00B66DF4" w:rsidP="0066301C">
            <w:pPr>
              <w:autoSpaceDE w:val="0"/>
              <w:autoSpaceDN w:val="0"/>
              <w:adjustRightInd w:val="0"/>
              <w:jc w:val="center"/>
              <w:rPr>
                <w:rFonts w:ascii="Arial" w:hAnsi="Arial" w:cs="Arial"/>
                <w:color w:val="000000"/>
              </w:rPr>
            </w:pPr>
            <w:r w:rsidRPr="00E95ADC">
              <w:rPr>
                <w:rFonts w:ascii="Arial" w:hAnsi="Arial" w:cs="Arial"/>
                <w:color w:val="000000"/>
              </w:rPr>
              <w:t> 0.0357</w:t>
            </w:r>
          </w:p>
        </w:tc>
      </w:tr>
      <w:tr w:rsidR="00B66DF4" w:rsidRPr="00790A7A" w14:paraId="47C0854F" w14:textId="77777777" w:rsidTr="004D74AB">
        <w:tc>
          <w:tcPr>
            <w:tcW w:w="6406" w:type="dxa"/>
            <w:gridSpan w:val="5"/>
          </w:tcPr>
          <w:p w14:paraId="4FF0437D" w14:textId="77777777" w:rsidR="00B66DF4" w:rsidRPr="00E95ADC" w:rsidRDefault="00B66DF4" w:rsidP="0066301C">
            <w:pPr>
              <w:jc w:val="both"/>
              <w:rPr>
                <w:rFonts w:ascii="Arial" w:hAnsi="Arial" w:cs="Arial"/>
                <w:color w:val="000000"/>
              </w:rPr>
            </w:pPr>
            <w:r w:rsidRPr="00E95ADC">
              <w:rPr>
                <w:rFonts w:ascii="Arial" w:hAnsi="Arial" w:cs="Arial"/>
                <w:color w:val="000000"/>
              </w:rPr>
              <w:t>Trace test indicates 1 cointegrating eqn(s) at the 0.05 level</w:t>
            </w:r>
          </w:p>
        </w:tc>
        <w:tc>
          <w:tcPr>
            <w:tcW w:w="7352" w:type="dxa"/>
            <w:gridSpan w:val="5"/>
            <w:tcBorders>
              <w:top w:val="single" w:sz="4" w:space="0" w:color="auto"/>
              <w:left w:val="single" w:sz="4" w:space="0" w:color="auto"/>
              <w:bottom w:val="single" w:sz="4" w:space="0" w:color="auto"/>
              <w:right w:val="single" w:sz="4" w:space="0" w:color="auto"/>
            </w:tcBorders>
            <w:vAlign w:val="bottom"/>
          </w:tcPr>
          <w:p w14:paraId="4F59EC06" w14:textId="77777777" w:rsidR="00B66DF4" w:rsidRPr="00790A7A" w:rsidRDefault="00B66DF4" w:rsidP="0066301C">
            <w:pPr>
              <w:jc w:val="both"/>
              <w:rPr>
                <w:rFonts w:ascii="Arial" w:hAnsi="Arial" w:cs="Arial"/>
                <w:color w:val="000000"/>
              </w:rPr>
            </w:pPr>
            <w:r w:rsidRPr="00E95ADC">
              <w:rPr>
                <w:rFonts w:ascii="Arial" w:hAnsi="Arial" w:cs="Arial"/>
                <w:color w:val="000000"/>
              </w:rPr>
              <w:t>Max-eigenvalue test indicates 0 cointegrating eqn(s) at the 0.05 level</w:t>
            </w:r>
          </w:p>
        </w:tc>
      </w:tr>
    </w:tbl>
    <w:p w14:paraId="3FC70D74" w14:textId="77777777" w:rsidR="00B66DF4" w:rsidRPr="00A85EAC" w:rsidRDefault="00B66DF4" w:rsidP="0066301C">
      <w:pPr>
        <w:autoSpaceDE w:val="0"/>
        <w:autoSpaceDN w:val="0"/>
        <w:adjustRightInd w:val="0"/>
        <w:spacing w:after="0"/>
        <w:rPr>
          <w:rFonts w:ascii="Arial" w:hAnsi="Arial" w:cs="Arial"/>
          <w:sz w:val="20"/>
          <w:szCs w:val="20"/>
        </w:rPr>
      </w:pPr>
      <w:r w:rsidRPr="00A85EAC">
        <w:rPr>
          <w:rFonts w:ascii="Arial" w:hAnsi="Arial" w:cs="Arial"/>
          <w:i/>
          <w:sz w:val="20"/>
          <w:szCs w:val="20"/>
        </w:rPr>
        <w:t xml:space="preserve">Source: Computation from time-series data using Eviews </w:t>
      </w:r>
      <w:r w:rsidRPr="00A85EAC">
        <w:rPr>
          <w:rFonts w:ascii="Arial" w:hAnsi="Arial" w:cs="Arial"/>
          <w:sz w:val="20"/>
          <w:szCs w:val="20"/>
        </w:rPr>
        <w:t>1</w:t>
      </w:r>
      <w:r>
        <w:rPr>
          <w:rFonts w:ascii="Arial" w:hAnsi="Arial" w:cs="Arial"/>
          <w:sz w:val="20"/>
          <w:szCs w:val="20"/>
        </w:rPr>
        <w:t>2</w:t>
      </w:r>
    </w:p>
    <w:p w14:paraId="710242D0" w14:textId="77777777" w:rsidR="00B66DF4" w:rsidRDefault="00B66DF4" w:rsidP="0066301C">
      <w:pPr>
        <w:spacing w:after="0" w:line="240" w:lineRule="auto"/>
        <w:jc w:val="both"/>
        <w:rPr>
          <w:rFonts w:ascii="Arial" w:eastAsia="Times New Roman" w:hAnsi="Arial" w:cs="Arial"/>
          <w:lang w:eastAsia="en-GB"/>
        </w:rPr>
        <w:sectPr w:rsidR="00B66DF4" w:rsidSect="00D14E7F">
          <w:footerReference w:type="default" r:id="rId22"/>
          <w:pgSz w:w="16838" w:h="11906" w:orient="landscape" w:code="9"/>
          <w:pgMar w:top="1440" w:right="1440" w:bottom="1440" w:left="1440" w:header="709" w:footer="709" w:gutter="0"/>
          <w:cols w:space="708"/>
          <w:docGrid w:linePitch="360"/>
        </w:sectPr>
      </w:pPr>
    </w:p>
    <w:p w14:paraId="61A4EF65" w14:textId="3BAD1151" w:rsidR="00F85F04" w:rsidRPr="00231CEF" w:rsidRDefault="00F85F04" w:rsidP="0066301C">
      <w:pPr>
        <w:spacing w:after="0" w:line="360" w:lineRule="auto"/>
        <w:jc w:val="both"/>
        <w:rPr>
          <w:rFonts w:ascii="Arial" w:hAnsi="Arial" w:cs="Arial"/>
        </w:rPr>
      </w:pPr>
      <w:bookmarkStart w:id="371" w:name="_Hlk132056230"/>
      <w:bookmarkEnd w:id="370"/>
      <w:r w:rsidRPr="00D64C69">
        <w:rPr>
          <w:rFonts w:ascii="Arial" w:eastAsia="Times New Roman" w:hAnsi="Arial" w:cs="Arial"/>
          <w:color w:val="0E101A"/>
          <w:lang w:eastAsia="en-GB"/>
        </w:rPr>
        <w:lastRenderedPageBreak/>
        <w:t>The trace statistics for Cameroon show the presence of a cointegrating equation in the model, while the maximum eigenvalue show</w:t>
      </w:r>
      <w:r>
        <w:rPr>
          <w:rFonts w:ascii="Arial" w:eastAsia="Times New Roman" w:hAnsi="Arial" w:cs="Arial"/>
          <w:color w:val="0E101A"/>
          <w:lang w:eastAsia="en-GB"/>
        </w:rPr>
        <w:t>s</w:t>
      </w:r>
      <w:r w:rsidRPr="00D64C69">
        <w:rPr>
          <w:rFonts w:ascii="Arial" w:eastAsia="Times New Roman" w:hAnsi="Arial" w:cs="Arial"/>
          <w:color w:val="0E101A"/>
          <w:lang w:eastAsia="en-GB"/>
        </w:rPr>
        <w:t xml:space="preserve"> that there is 0 cointegrating equation in the model. Because </w:t>
      </w:r>
      <w:r>
        <w:rPr>
          <w:rFonts w:ascii="Arial" w:eastAsia="Times New Roman" w:hAnsi="Arial" w:cs="Arial"/>
          <w:color w:val="0E101A"/>
          <w:lang w:eastAsia="en-GB"/>
        </w:rPr>
        <w:t>this result is not conclusive, we will perform the VECM, and from the ECT, we will determine if there exists a long-term relationship in the model</w:t>
      </w:r>
      <w:r w:rsidRPr="008204CC">
        <w:rPr>
          <w:rFonts w:ascii="Arial" w:hAnsi="Arial" w:cs="Arial"/>
        </w:rPr>
        <w:t>.</w:t>
      </w:r>
      <w:r w:rsidRPr="008204CC">
        <w:rPr>
          <w:rFonts w:ascii="Arial" w:hAnsi="Arial" w:cs="Arial"/>
          <w:vertAlign w:val="superscript"/>
        </w:rPr>
        <w:footnoteReference w:id="72"/>
      </w:r>
      <w:r w:rsidRPr="008204CC">
        <w:rPr>
          <w:rFonts w:ascii="Arial" w:hAnsi="Arial" w:cs="Arial"/>
        </w:rPr>
        <w:t xml:space="preserve"> </w:t>
      </w:r>
      <w:r w:rsidRPr="00D64C69">
        <w:rPr>
          <w:rFonts w:ascii="Arial" w:eastAsia="Times New Roman" w:hAnsi="Arial" w:cs="Arial"/>
          <w:color w:val="0E101A"/>
          <w:lang w:eastAsia="en-GB"/>
        </w:rPr>
        <w:t>Both the trace statistics and the maximum eigenvalue of CAR show</w:t>
      </w:r>
      <w:r w:rsidR="00BB770B">
        <w:rPr>
          <w:rFonts w:ascii="Arial" w:eastAsia="Times New Roman" w:hAnsi="Arial" w:cs="Arial"/>
          <w:color w:val="0E101A"/>
          <w:lang w:eastAsia="en-GB"/>
        </w:rPr>
        <w:t>s</w:t>
      </w:r>
      <w:r w:rsidRPr="00D64C69">
        <w:rPr>
          <w:rFonts w:ascii="Arial" w:eastAsia="Times New Roman" w:hAnsi="Arial" w:cs="Arial"/>
          <w:color w:val="0E101A"/>
          <w:lang w:eastAsia="en-GB"/>
        </w:rPr>
        <w:t xml:space="preserve"> that there are 6 cointegrating equations, meaning there is cointegration (thereby applying the VECM). The trace statistics and the maximum eigenvalue of Gabon show</w:t>
      </w:r>
      <w:r w:rsidR="00BB770B">
        <w:rPr>
          <w:rFonts w:ascii="Arial" w:eastAsia="Times New Roman" w:hAnsi="Arial" w:cs="Arial"/>
          <w:color w:val="0E101A"/>
          <w:lang w:eastAsia="en-GB"/>
        </w:rPr>
        <w:t>s</w:t>
      </w:r>
      <w:r w:rsidRPr="00D64C69">
        <w:rPr>
          <w:rFonts w:ascii="Arial" w:eastAsia="Times New Roman" w:hAnsi="Arial" w:cs="Arial"/>
          <w:color w:val="0E101A"/>
          <w:lang w:eastAsia="en-GB"/>
        </w:rPr>
        <w:t xml:space="preserve"> that there are 4 cointegrating vectors, and the VECM will also be used. The trace statistics for Equatorial Guinea show</w:t>
      </w:r>
      <w:r w:rsidR="00BB770B">
        <w:rPr>
          <w:rFonts w:ascii="Arial" w:eastAsia="Times New Roman" w:hAnsi="Arial" w:cs="Arial"/>
          <w:color w:val="0E101A"/>
          <w:lang w:eastAsia="en-GB"/>
        </w:rPr>
        <w:t>s</w:t>
      </w:r>
      <w:r w:rsidRPr="00D64C69">
        <w:rPr>
          <w:rFonts w:ascii="Arial" w:eastAsia="Times New Roman" w:hAnsi="Arial" w:cs="Arial"/>
          <w:color w:val="0E101A"/>
          <w:lang w:eastAsia="en-GB"/>
        </w:rPr>
        <w:t xml:space="preserve"> that there is 1 cointegrating vector, while the maximum eigenvalue shows that there is 0 cointegrating vector (implying no consensus on this result</w:t>
      </w:r>
      <w:r>
        <w:rPr>
          <w:rFonts w:ascii="Arial" w:eastAsia="Times New Roman" w:hAnsi="Arial" w:cs="Arial"/>
          <w:color w:val="0E101A"/>
          <w:lang w:eastAsia="en-GB"/>
        </w:rPr>
        <w:t>)</w:t>
      </w:r>
      <w:r w:rsidRPr="00D64C69">
        <w:rPr>
          <w:rFonts w:ascii="Arial" w:eastAsia="Times New Roman" w:hAnsi="Arial" w:cs="Arial"/>
          <w:color w:val="0E101A"/>
          <w:lang w:eastAsia="en-GB"/>
        </w:rPr>
        <w:t>. Just as with the case of Cameroon, we will perform the VECM. The VECM used is as seen below:</w:t>
      </w:r>
    </w:p>
    <w:bookmarkStart w:id="372" w:name="_Hlk132149461"/>
    <w:p w14:paraId="0F80E231" w14:textId="480C9FA3" w:rsidR="00F85F04" w:rsidRPr="004D00C5" w:rsidRDefault="00000000" w:rsidP="0066301C">
      <w:pPr>
        <w:spacing w:line="360" w:lineRule="auto"/>
        <w:jc w:val="both"/>
        <w:rPr>
          <w:rFonts w:ascii="Arial" w:hAnsi="Arial" w:cs="Arial"/>
          <w:color w:val="FF0000"/>
          <w:highlight w:val="yellow"/>
        </w:rPr>
      </w:pPr>
      <m:oMath>
        <m:sSub>
          <m:sSubPr>
            <m:ctrlPr>
              <w:rPr>
                <w:rFonts w:ascii="Cambria Math" w:hAnsi="Cambria Math" w:cs="Arial"/>
                <w:i/>
              </w:rPr>
            </m:ctrlPr>
          </m:sSubPr>
          <m:e>
            <m:r>
              <w:rPr>
                <w:rFonts w:ascii="Cambria Math" w:hAnsi="Cambria Math" w:cs="Arial"/>
              </w:rPr>
              <m:t>ΔREER</m:t>
            </m:r>
          </m:e>
          <m:sub>
            <m:r>
              <w:rPr>
                <w:rFonts w:ascii="Cambria Math" w:hAnsi="Cambria Math" w:cs="Arial"/>
              </w:rPr>
              <m:t>t</m:t>
            </m:r>
          </m:sub>
        </m:sSub>
        <m:r>
          <w:rPr>
            <w:rFonts w:ascii="Cambria Math" w:hAnsi="Cambria Math" w:cs="Arial"/>
          </w:rPr>
          <m:t>=</m:t>
        </m:r>
        <w:bookmarkEnd w:id="372"/>
        <m:sSub>
          <m:sSubPr>
            <m:ctrlPr>
              <w:rPr>
                <w:rFonts w:ascii="Cambria Math" w:hAnsi="Cambria Math" w:cs="Arial"/>
                <w:i/>
              </w:rPr>
            </m:ctrlPr>
          </m:sSubPr>
          <m:e>
            <m:r>
              <w:rPr>
                <w:rFonts w:ascii="Cambria Math" w:hAnsi="Cambria Math" w:cs="Arial"/>
              </w:rPr>
              <m:t>α</m:t>
            </m:r>
          </m:e>
          <m:sub>
            <m:r>
              <w:rPr>
                <w:rFonts w:ascii="Cambria Math" w:hAnsi="Cambria Math" w:cs="Arial"/>
              </w:rPr>
              <m:t>0</m:t>
            </m:r>
          </m:sub>
        </m:sSub>
        <m:r>
          <w:rPr>
            <w:rFonts w:ascii="Cambria Math" w:hAnsi="Cambria Math" w:cs="Arial"/>
          </w:rPr>
          <m:t>+</m:t>
        </m:r>
        <m:nary>
          <m:naryPr>
            <m:chr m:val="∑"/>
            <m:limLoc m:val="undOvr"/>
            <m:ctrlPr>
              <w:rPr>
                <w:rFonts w:ascii="Cambria Math" w:hAnsi="Cambria Math" w:cs="Arial"/>
              </w:rPr>
            </m:ctrlPr>
          </m:naryPr>
          <m:sub>
            <m:r>
              <w:rPr>
                <w:rFonts w:ascii="Cambria Math" w:hAnsi="Cambria Math" w:cs="Arial"/>
              </w:rPr>
              <m:t>i</m:t>
            </m:r>
            <m:r>
              <m:rPr>
                <m:sty m:val="p"/>
              </m:rPr>
              <w:rPr>
                <w:rFonts w:ascii="Cambria Math" w:hAnsi="Cambria Math" w:cs="Arial"/>
              </w:rPr>
              <m:t>=1</m:t>
            </m:r>
          </m:sub>
          <m:sup>
            <m:r>
              <w:rPr>
                <w:rFonts w:ascii="Cambria Math" w:hAnsi="Cambria Math" w:cs="Arial"/>
              </w:rPr>
              <m:t>k-1</m:t>
            </m:r>
          </m:sup>
          <m:e>
            <m:sSub>
              <m:sSubPr>
                <m:ctrlPr>
                  <w:rPr>
                    <w:rFonts w:ascii="Cambria Math" w:hAnsi="Cambria Math" w:cs="Arial"/>
                  </w:rPr>
                </m:ctrlPr>
              </m:sSubPr>
              <m:e>
                <m:sSub>
                  <m:sSubPr>
                    <m:ctrlPr>
                      <w:rPr>
                        <w:rFonts w:ascii="Cambria Math" w:hAnsi="Cambria Math" w:cs="Arial"/>
                      </w:rPr>
                    </m:ctrlPr>
                  </m:sSubPr>
                  <m:e>
                    <m:r>
                      <w:rPr>
                        <w:rFonts w:ascii="Cambria Math" w:hAnsi="Cambria Math" w:cs="Arial"/>
                      </w:rPr>
                      <m:t>α</m:t>
                    </m:r>
                  </m:e>
                  <m:sub>
                    <m:r>
                      <m:rPr>
                        <m:sty m:val="p"/>
                      </m:rPr>
                      <w:rPr>
                        <w:rFonts w:ascii="Cambria Math" w:hAnsi="Cambria Math" w:cs="Arial"/>
                        <w:vertAlign w:val="subscript"/>
                      </w:rPr>
                      <m:t>1</m:t>
                    </m:r>
                  </m:sub>
                </m:sSub>
                <m:r>
                  <w:rPr>
                    <w:rFonts w:ascii="Cambria Math" w:hAnsi="Cambria Math" w:cs="Arial"/>
                  </w:rPr>
                  <m:t>ΔTOT</m:t>
                </m:r>
              </m:e>
              <m:sub>
                <m:r>
                  <w:rPr>
                    <w:rFonts w:ascii="Cambria Math" w:hAnsi="Cambria Math" w:cs="Arial"/>
                    <w:vertAlign w:val="subscript"/>
                  </w:rPr>
                  <m:t>t</m:t>
                </m:r>
                <m:r>
                  <m:rPr>
                    <m:sty m:val="p"/>
                  </m:rPr>
                  <w:rPr>
                    <w:rFonts w:ascii="Cambria Math" w:hAnsi="Cambria Math" w:cs="Arial"/>
                    <w:vertAlign w:val="subscript"/>
                  </w:rPr>
                  <m:t>-</m:t>
                </m:r>
                <m:r>
                  <w:rPr>
                    <w:rFonts w:ascii="Cambria Math" w:hAnsi="Cambria Math" w:cs="Arial"/>
                    <w:vertAlign w:val="subscript"/>
                  </w:rPr>
                  <m:t>i</m:t>
                </m:r>
              </m:sub>
            </m:sSub>
          </m:e>
        </m:nary>
        <m:r>
          <m:rPr>
            <m:sty m:val="p"/>
          </m:rPr>
          <w:rPr>
            <w:rFonts w:ascii="Cambria Math" w:hAnsi="Cambria Math" w:cs="Arial"/>
          </w:rPr>
          <m:t xml:space="preserve">+ </m:t>
        </m:r>
        <m:nary>
          <m:naryPr>
            <m:chr m:val="∑"/>
            <m:limLoc m:val="undOvr"/>
            <m:ctrlPr>
              <w:rPr>
                <w:rFonts w:ascii="Cambria Math" w:hAnsi="Cambria Math" w:cs="Arial"/>
              </w:rPr>
            </m:ctrlPr>
          </m:naryPr>
          <m:sub>
            <m:r>
              <w:rPr>
                <w:rFonts w:ascii="Cambria Math" w:hAnsi="Cambria Math" w:cs="Arial"/>
              </w:rPr>
              <m:t>i</m:t>
            </m:r>
            <m:r>
              <m:rPr>
                <m:sty m:val="p"/>
              </m:rPr>
              <w:rPr>
                <w:rFonts w:ascii="Cambria Math" w:hAnsi="Cambria Math" w:cs="Arial"/>
              </w:rPr>
              <m:t>=1</m:t>
            </m:r>
          </m:sub>
          <m:sup>
            <m:r>
              <w:rPr>
                <w:rFonts w:ascii="Cambria Math" w:hAnsi="Cambria Math" w:cs="Arial"/>
              </w:rPr>
              <m:t>k-1</m:t>
            </m:r>
          </m:sup>
          <m:e>
            <m:sSub>
              <m:sSubPr>
                <m:ctrlPr>
                  <w:rPr>
                    <w:rFonts w:ascii="Cambria Math" w:hAnsi="Cambria Math" w:cs="Arial"/>
                  </w:rPr>
                </m:ctrlPr>
              </m:sSubPr>
              <m:e>
                <m:sSub>
                  <m:sSubPr>
                    <m:ctrlPr>
                      <w:rPr>
                        <w:rFonts w:ascii="Cambria Math" w:hAnsi="Cambria Math" w:cs="Arial"/>
                      </w:rPr>
                    </m:ctrlPr>
                  </m:sSubPr>
                  <m:e>
                    <m:r>
                      <w:rPr>
                        <w:rFonts w:ascii="Cambria Math" w:hAnsi="Cambria Math" w:cs="Arial"/>
                      </w:rPr>
                      <m:t>α</m:t>
                    </m:r>
                  </m:e>
                  <m:sub>
                    <m:r>
                      <m:rPr>
                        <m:sty m:val="p"/>
                      </m:rPr>
                      <w:rPr>
                        <w:rFonts w:ascii="Cambria Math" w:hAnsi="Cambria Math" w:cs="Arial"/>
                        <w:vertAlign w:val="subscript"/>
                      </w:rPr>
                      <m:t>2</m:t>
                    </m:r>
                  </m:sub>
                </m:sSub>
                <m:r>
                  <w:rPr>
                    <w:rFonts w:ascii="Cambria Math" w:hAnsi="Cambria Math" w:cs="Arial"/>
                  </w:rPr>
                  <m:t>ΔNFA</m:t>
                </m:r>
              </m:e>
              <m:sub>
                <m:r>
                  <w:rPr>
                    <w:rFonts w:ascii="Cambria Math" w:hAnsi="Cambria Math" w:cs="Arial"/>
                    <w:vertAlign w:val="subscript"/>
                  </w:rPr>
                  <m:t>t</m:t>
                </m:r>
                <m:r>
                  <m:rPr>
                    <m:sty m:val="p"/>
                  </m:rPr>
                  <w:rPr>
                    <w:rFonts w:ascii="Cambria Math" w:hAnsi="Cambria Math" w:cs="Arial"/>
                    <w:vertAlign w:val="subscript"/>
                  </w:rPr>
                  <m:t>-</m:t>
                </m:r>
                <m:r>
                  <w:rPr>
                    <w:rFonts w:ascii="Cambria Math" w:hAnsi="Cambria Math" w:cs="Arial"/>
                    <w:vertAlign w:val="subscript"/>
                  </w:rPr>
                  <m:t>i</m:t>
                </m:r>
              </m:sub>
            </m:sSub>
          </m:e>
        </m:nary>
        <m:r>
          <m:rPr>
            <m:sty m:val="p"/>
          </m:rPr>
          <w:rPr>
            <w:rFonts w:ascii="Cambria Math" w:hAnsi="Cambria Math" w:cs="Arial"/>
          </w:rPr>
          <m:t xml:space="preserve"> + </m:t>
        </m:r>
        <m:nary>
          <m:naryPr>
            <m:chr m:val="∑"/>
            <m:limLoc m:val="undOvr"/>
            <m:ctrlPr>
              <w:rPr>
                <w:rFonts w:ascii="Cambria Math" w:hAnsi="Cambria Math" w:cs="Arial"/>
              </w:rPr>
            </m:ctrlPr>
          </m:naryPr>
          <m:sub>
            <m:r>
              <w:rPr>
                <w:rFonts w:ascii="Cambria Math" w:hAnsi="Cambria Math" w:cs="Arial"/>
              </w:rPr>
              <m:t>i</m:t>
            </m:r>
            <m:r>
              <m:rPr>
                <m:sty m:val="p"/>
              </m:rPr>
              <w:rPr>
                <w:rFonts w:ascii="Cambria Math" w:hAnsi="Cambria Math" w:cs="Arial"/>
              </w:rPr>
              <m:t>=1</m:t>
            </m:r>
          </m:sub>
          <m:sup>
            <m:r>
              <w:rPr>
                <w:rFonts w:ascii="Cambria Math" w:hAnsi="Cambria Math" w:cs="Arial"/>
              </w:rPr>
              <m:t>k-1</m:t>
            </m:r>
          </m:sup>
          <m:e>
            <m:sSub>
              <m:sSubPr>
                <m:ctrlPr>
                  <w:rPr>
                    <w:rFonts w:ascii="Cambria Math" w:hAnsi="Cambria Math" w:cs="Arial"/>
                  </w:rPr>
                </m:ctrlPr>
              </m:sSubPr>
              <m:e>
                <m:sSub>
                  <m:sSubPr>
                    <m:ctrlPr>
                      <w:rPr>
                        <w:rFonts w:ascii="Cambria Math" w:hAnsi="Cambria Math" w:cs="Arial"/>
                      </w:rPr>
                    </m:ctrlPr>
                  </m:sSubPr>
                  <m:e>
                    <m:r>
                      <w:rPr>
                        <w:rFonts w:ascii="Cambria Math" w:hAnsi="Cambria Math" w:cs="Arial"/>
                      </w:rPr>
                      <m:t>α</m:t>
                    </m:r>
                  </m:e>
                  <m:sub>
                    <m:r>
                      <m:rPr>
                        <m:sty m:val="p"/>
                      </m:rPr>
                      <w:rPr>
                        <w:rFonts w:ascii="Cambria Math" w:hAnsi="Cambria Math" w:cs="Arial"/>
                        <w:vertAlign w:val="subscript"/>
                      </w:rPr>
                      <m:t>3</m:t>
                    </m:r>
                  </m:sub>
                </m:sSub>
                <m:r>
                  <w:rPr>
                    <w:rFonts w:ascii="Cambria Math" w:hAnsi="Cambria Math" w:cs="Arial"/>
                  </w:rPr>
                  <m:t>ΔGOVCON</m:t>
                </m:r>
              </m:e>
              <m:sub>
                <m:r>
                  <w:rPr>
                    <w:rFonts w:ascii="Cambria Math" w:hAnsi="Cambria Math" w:cs="Arial"/>
                    <w:vertAlign w:val="subscript"/>
                  </w:rPr>
                  <m:t>t</m:t>
                </m:r>
                <m:r>
                  <m:rPr>
                    <m:sty m:val="p"/>
                  </m:rPr>
                  <w:rPr>
                    <w:rFonts w:ascii="Cambria Math" w:hAnsi="Cambria Math" w:cs="Arial"/>
                    <w:vertAlign w:val="subscript"/>
                  </w:rPr>
                  <m:t>-</m:t>
                </m:r>
                <m:r>
                  <w:rPr>
                    <w:rFonts w:ascii="Cambria Math" w:hAnsi="Cambria Math" w:cs="Arial"/>
                    <w:vertAlign w:val="subscript"/>
                  </w:rPr>
                  <m:t>i</m:t>
                </m:r>
              </m:sub>
            </m:sSub>
          </m:e>
        </m:nary>
        <m:r>
          <m:rPr>
            <m:sty m:val="p"/>
          </m:rPr>
          <w:rPr>
            <w:rFonts w:ascii="Cambria Math" w:hAnsi="Cambria Math" w:cs="Arial"/>
          </w:rPr>
          <m:t xml:space="preserve"> + </m:t>
        </m:r>
        <m:nary>
          <m:naryPr>
            <m:chr m:val="∑"/>
            <m:limLoc m:val="undOvr"/>
            <m:ctrlPr>
              <w:rPr>
                <w:rFonts w:ascii="Cambria Math" w:hAnsi="Cambria Math" w:cs="Arial"/>
              </w:rPr>
            </m:ctrlPr>
          </m:naryPr>
          <m:sub>
            <m:r>
              <w:rPr>
                <w:rFonts w:ascii="Cambria Math" w:hAnsi="Cambria Math" w:cs="Arial"/>
              </w:rPr>
              <m:t>i</m:t>
            </m:r>
            <m:r>
              <m:rPr>
                <m:sty m:val="p"/>
              </m:rPr>
              <w:rPr>
                <w:rFonts w:ascii="Cambria Math" w:hAnsi="Cambria Math" w:cs="Arial"/>
              </w:rPr>
              <m:t>=1</m:t>
            </m:r>
          </m:sub>
          <m:sup>
            <m:r>
              <w:rPr>
                <w:rFonts w:ascii="Cambria Math" w:hAnsi="Cambria Math" w:cs="Arial"/>
              </w:rPr>
              <m:t>k-1</m:t>
            </m:r>
          </m:sup>
          <m:e>
            <m:sSub>
              <m:sSubPr>
                <m:ctrlPr>
                  <w:rPr>
                    <w:rFonts w:ascii="Cambria Math" w:hAnsi="Cambria Math" w:cs="Arial"/>
                  </w:rPr>
                </m:ctrlPr>
              </m:sSubPr>
              <m:e>
                <m:sSub>
                  <m:sSubPr>
                    <m:ctrlPr>
                      <w:rPr>
                        <w:rFonts w:ascii="Cambria Math" w:hAnsi="Cambria Math" w:cs="Arial"/>
                      </w:rPr>
                    </m:ctrlPr>
                  </m:sSubPr>
                  <m:e>
                    <m:r>
                      <w:rPr>
                        <w:rFonts w:ascii="Cambria Math" w:hAnsi="Cambria Math" w:cs="Arial"/>
                      </w:rPr>
                      <m:t>α</m:t>
                    </m:r>
                  </m:e>
                  <m:sub>
                    <m:r>
                      <m:rPr>
                        <m:sty m:val="p"/>
                      </m:rPr>
                      <w:rPr>
                        <w:rFonts w:ascii="Cambria Math" w:hAnsi="Cambria Math" w:cs="Arial"/>
                        <w:vertAlign w:val="subscript"/>
                      </w:rPr>
                      <m:t>4</m:t>
                    </m:r>
                  </m:sub>
                </m:sSub>
                <m:r>
                  <w:rPr>
                    <w:rFonts w:ascii="Cambria Math" w:hAnsi="Cambria Math" w:cs="Arial"/>
                  </w:rPr>
                  <m:t>ΔOPEN</m:t>
                </m:r>
              </m:e>
              <m:sub>
                <m:r>
                  <w:rPr>
                    <w:rFonts w:ascii="Cambria Math" w:hAnsi="Cambria Math" w:cs="Arial"/>
                    <w:vertAlign w:val="subscript"/>
                  </w:rPr>
                  <m:t>t</m:t>
                </m:r>
                <m:r>
                  <m:rPr>
                    <m:sty m:val="p"/>
                  </m:rPr>
                  <w:rPr>
                    <w:rFonts w:ascii="Cambria Math" w:hAnsi="Cambria Math" w:cs="Arial"/>
                    <w:vertAlign w:val="subscript"/>
                  </w:rPr>
                  <m:t>-</m:t>
                </m:r>
                <m:r>
                  <w:rPr>
                    <w:rFonts w:ascii="Cambria Math" w:hAnsi="Cambria Math" w:cs="Arial"/>
                    <w:vertAlign w:val="subscript"/>
                  </w:rPr>
                  <m:t>i</m:t>
                </m:r>
              </m:sub>
            </m:sSub>
          </m:e>
        </m:nary>
        <m:r>
          <m:rPr>
            <m:sty m:val="p"/>
          </m:rPr>
          <w:rPr>
            <w:rFonts w:ascii="Cambria Math" w:hAnsi="Cambria Math" w:cs="Arial"/>
          </w:rPr>
          <m:t xml:space="preserve">+ </m:t>
        </m:r>
        <m:nary>
          <m:naryPr>
            <m:chr m:val="∑"/>
            <m:limLoc m:val="undOvr"/>
            <m:ctrlPr>
              <w:rPr>
                <w:rFonts w:ascii="Cambria Math" w:hAnsi="Cambria Math" w:cs="Arial"/>
              </w:rPr>
            </m:ctrlPr>
          </m:naryPr>
          <m:sub>
            <m:r>
              <w:rPr>
                <w:rFonts w:ascii="Cambria Math" w:hAnsi="Cambria Math" w:cs="Arial"/>
              </w:rPr>
              <m:t>i</m:t>
            </m:r>
            <m:r>
              <m:rPr>
                <m:sty m:val="p"/>
              </m:rPr>
              <w:rPr>
                <w:rFonts w:ascii="Cambria Math" w:hAnsi="Cambria Math" w:cs="Arial"/>
              </w:rPr>
              <m:t>=1</m:t>
            </m:r>
          </m:sub>
          <m:sup>
            <m:r>
              <w:rPr>
                <w:rFonts w:ascii="Cambria Math" w:hAnsi="Cambria Math" w:cs="Arial"/>
              </w:rPr>
              <m:t>k-1</m:t>
            </m:r>
          </m:sup>
          <m:e>
            <m:sSub>
              <m:sSubPr>
                <m:ctrlPr>
                  <w:rPr>
                    <w:rFonts w:ascii="Cambria Math" w:hAnsi="Cambria Math" w:cs="Arial"/>
                  </w:rPr>
                </m:ctrlPr>
              </m:sSubPr>
              <m:e>
                <m:sSub>
                  <m:sSubPr>
                    <m:ctrlPr>
                      <w:rPr>
                        <w:rFonts w:ascii="Cambria Math" w:hAnsi="Cambria Math" w:cs="Arial"/>
                      </w:rPr>
                    </m:ctrlPr>
                  </m:sSubPr>
                  <m:e>
                    <m:r>
                      <w:rPr>
                        <w:rFonts w:ascii="Cambria Math" w:hAnsi="Cambria Math" w:cs="Arial"/>
                      </w:rPr>
                      <m:t>α</m:t>
                    </m:r>
                  </m:e>
                  <m:sub>
                    <m:r>
                      <m:rPr>
                        <m:sty m:val="p"/>
                      </m:rPr>
                      <w:rPr>
                        <w:rFonts w:ascii="Cambria Math" w:hAnsi="Cambria Math" w:cs="Arial"/>
                      </w:rPr>
                      <m:t>5</m:t>
                    </m:r>
                  </m:sub>
                </m:sSub>
                <m:r>
                  <w:rPr>
                    <w:rFonts w:ascii="Cambria Math" w:hAnsi="Cambria Math" w:cs="Arial"/>
                  </w:rPr>
                  <m:t>ΔPROD</m:t>
                </m:r>
              </m:e>
              <m:sub>
                <m:r>
                  <w:rPr>
                    <w:rFonts w:ascii="Cambria Math" w:hAnsi="Cambria Math" w:cs="Arial"/>
                    <w:vertAlign w:val="subscript"/>
                  </w:rPr>
                  <m:t>t</m:t>
                </m:r>
                <m:r>
                  <m:rPr>
                    <m:sty m:val="p"/>
                  </m:rPr>
                  <w:rPr>
                    <w:rFonts w:ascii="Cambria Math" w:hAnsi="Cambria Math" w:cs="Arial"/>
                    <w:vertAlign w:val="subscript"/>
                  </w:rPr>
                  <m:t>-</m:t>
                </m:r>
                <m:r>
                  <w:rPr>
                    <w:rFonts w:ascii="Cambria Math" w:hAnsi="Cambria Math" w:cs="Arial"/>
                    <w:vertAlign w:val="subscript"/>
                  </w:rPr>
                  <m:t>i</m:t>
                </m:r>
              </m:sub>
            </m:sSub>
          </m:e>
        </m:nary>
        <m:r>
          <m:rPr>
            <m:sty m:val="p"/>
          </m:rPr>
          <w:rPr>
            <w:rFonts w:ascii="Cambria Math" w:hAnsi="Cambria Math" w:cs="Arial"/>
          </w:rPr>
          <m:t xml:space="preserve"> –</m:t>
        </m:r>
        <m:r>
          <w:rPr>
            <w:rFonts w:ascii="Cambria Math" w:hAnsi="Cambria Math" w:cs="Arial"/>
          </w:rPr>
          <m:t>θ</m:t>
        </m:r>
        <m:r>
          <m:rPr>
            <m:sty m:val="p"/>
          </m:rPr>
          <w:rPr>
            <w:rFonts w:ascii="Cambria Math" w:hAnsi="Cambria Math" w:cs="Arial"/>
          </w:rPr>
          <m:t>(</m:t>
        </m:r>
        <m:sSub>
          <m:sSubPr>
            <m:ctrlPr>
              <w:rPr>
                <w:rFonts w:ascii="Cambria Math" w:hAnsi="Cambria Math" w:cs="Arial"/>
                <w:i/>
              </w:rPr>
            </m:ctrlPr>
          </m:sSubPr>
          <m:e>
            <m:r>
              <w:rPr>
                <w:rFonts w:ascii="Cambria Math" w:hAnsi="Cambria Math" w:cs="Arial"/>
              </w:rPr>
              <m:t>REER</m:t>
            </m:r>
          </m:e>
          <m:sub>
            <m:r>
              <w:rPr>
                <w:rFonts w:ascii="Cambria Math" w:hAnsi="Cambria Math" w:cs="Arial"/>
              </w:rPr>
              <m:t>i-1</m:t>
            </m:r>
          </m:sub>
        </m:sSub>
        <m:r>
          <w:rPr>
            <w:rFonts w:ascii="Cambria Math" w:eastAsiaTheme="minorEastAsia" w:hAnsi="Cambria Math" w:cs="Arial"/>
          </w:rPr>
          <m:t>-</m:t>
        </m:r>
        <m:sSub>
          <m:sSubPr>
            <m:ctrlPr>
              <w:rPr>
                <w:rFonts w:ascii="Cambria Math" w:eastAsiaTheme="minorEastAsia" w:hAnsi="Cambria Math" w:cs="Arial"/>
                <w:i/>
              </w:rPr>
            </m:ctrlPr>
          </m:sSubPr>
          <m:e>
            <m:r>
              <m:rPr>
                <m:sty m:val="p"/>
              </m:rPr>
              <w:rPr>
                <w:rFonts w:ascii="Cambria Math" w:hAnsi="Cambria Math" w:cs="Arial"/>
              </w:rPr>
              <m:t>σ</m:t>
            </m:r>
          </m:e>
          <m:sub>
            <m:r>
              <w:rPr>
                <w:rFonts w:ascii="Cambria Math" w:eastAsiaTheme="minorEastAsia" w:hAnsi="Cambria Math" w:cs="Arial"/>
              </w:rPr>
              <m:t>1</m:t>
            </m:r>
          </m:sub>
        </m:sSub>
        <m:sSub>
          <m:sSubPr>
            <m:ctrlPr>
              <w:rPr>
                <w:rFonts w:ascii="Cambria Math" w:eastAsiaTheme="minorEastAsia" w:hAnsi="Cambria Math" w:cs="Arial"/>
                <w:i/>
              </w:rPr>
            </m:ctrlPr>
          </m:sSubPr>
          <m:e>
            <m:r>
              <w:rPr>
                <w:rFonts w:ascii="Cambria Math" w:eastAsiaTheme="minorEastAsia" w:hAnsi="Cambria Math" w:cs="Arial"/>
              </w:rPr>
              <m:t>TOT</m:t>
            </m:r>
          </m:e>
          <m:sub>
            <m:r>
              <w:rPr>
                <w:rFonts w:ascii="Cambria Math" w:eastAsiaTheme="minorEastAsia" w:hAnsi="Cambria Math" w:cs="Arial"/>
              </w:rPr>
              <m:t>t-1</m:t>
            </m:r>
          </m:sub>
        </m:sSub>
        <m:r>
          <w:rPr>
            <w:rFonts w:ascii="Cambria Math" w:eastAsiaTheme="minorEastAsia" w:hAnsi="Cambria Math" w:cs="Arial"/>
          </w:rPr>
          <m:t>-</m:t>
        </m:r>
        <m:sSub>
          <m:sSubPr>
            <m:ctrlPr>
              <w:rPr>
                <w:rFonts w:ascii="Cambria Math" w:eastAsiaTheme="minorEastAsia" w:hAnsi="Cambria Math" w:cs="Arial"/>
                <w:i/>
              </w:rPr>
            </m:ctrlPr>
          </m:sSubPr>
          <m:e>
            <m:r>
              <m:rPr>
                <m:sty m:val="p"/>
              </m:rPr>
              <w:rPr>
                <w:rFonts w:ascii="Cambria Math" w:hAnsi="Cambria Math" w:cs="Arial"/>
              </w:rPr>
              <m:t>σ</m:t>
            </m:r>
          </m:e>
          <m:sub>
            <m:r>
              <w:rPr>
                <w:rFonts w:ascii="Cambria Math" w:eastAsiaTheme="minorEastAsia" w:hAnsi="Cambria Math" w:cs="Arial"/>
              </w:rPr>
              <m:t>2</m:t>
            </m:r>
          </m:sub>
        </m:sSub>
        <m:sSub>
          <m:sSubPr>
            <m:ctrlPr>
              <w:rPr>
                <w:rFonts w:ascii="Cambria Math" w:eastAsiaTheme="minorEastAsia" w:hAnsi="Cambria Math" w:cs="Arial"/>
                <w:i/>
              </w:rPr>
            </m:ctrlPr>
          </m:sSubPr>
          <m:e>
            <m:r>
              <w:rPr>
                <w:rFonts w:ascii="Cambria Math" w:eastAsiaTheme="minorEastAsia" w:hAnsi="Cambria Math" w:cs="Arial"/>
              </w:rPr>
              <m:t>NFA</m:t>
            </m:r>
          </m:e>
          <m:sub>
            <m:r>
              <w:rPr>
                <w:rFonts w:ascii="Cambria Math" w:eastAsiaTheme="minorEastAsia" w:hAnsi="Cambria Math" w:cs="Arial"/>
              </w:rPr>
              <m:t>t-1</m:t>
            </m:r>
          </m:sub>
        </m:sSub>
        <m:r>
          <w:rPr>
            <w:rFonts w:ascii="Cambria Math" w:eastAsiaTheme="minorEastAsia" w:hAnsi="Cambria Math" w:cs="Arial"/>
          </w:rPr>
          <m:t>-</m:t>
        </m:r>
        <m:sSub>
          <m:sSubPr>
            <m:ctrlPr>
              <w:rPr>
                <w:rFonts w:ascii="Cambria Math" w:eastAsiaTheme="minorEastAsia" w:hAnsi="Cambria Math" w:cs="Arial"/>
                <w:i/>
              </w:rPr>
            </m:ctrlPr>
          </m:sSubPr>
          <m:e>
            <m:r>
              <m:rPr>
                <m:sty m:val="p"/>
              </m:rPr>
              <w:rPr>
                <w:rFonts w:ascii="Cambria Math" w:hAnsi="Cambria Math" w:cs="Arial"/>
              </w:rPr>
              <m:t>σ</m:t>
            </m:r>
          </m:e>
          <m:sub>
            <m:r>
              <w:rPr>
                <w:rFonts w:ascii="Cambria Math" w:eastAsiaTheme="minorEastAsia" w:hAnsi="Cambria Math" w:cs="Arial"/>
              </w:rPr>
              <m:t>3</m:t>
            </m:r>
          </m:sub>
        </m:sSub>
        <m:sSub>
          <m:sSubPr>
            <m:ctrlPr>
              <w:rPr>
                <w:rFonts w:ascii="Cambria Math" w:eastAsiaTheme="minorEastAsia" w:hAnsi="Cambria Math" w:cs="Arial"/>
                <w:i/>
              </w:rPr>
            </m:ctrlPr>
          </m:sSubPr>
          <m:e>
            <m:r>
              <w:rPr>
                <w:rFonts w:ascii="Cambria Math" w:eastAsiaTheme="minorEastAsia" w:hAnsi="Cambria Math" w:cs="Arial"/>
              </w:rPr>
              <m:t>GOVCON</m:t>
            </m:r>
          </m:e>
          <m:sub>
            <m:r>
              <w:rPr>
                <w:rFonts w:ascii="Cambria Math" w:eastAsiaTheme="minorEastAsia" w:hAnsi="Cambria Math" w:cs="Arial"/>
              </w:rPr>
              <m:t>t-1</m:t>
            </m:r>
          </m:sub>
        </m:sSub>
        <m:r>
          <w:rPr>
            <w:rFonts w:ascii="Cambria Math" w:eastAsiaTheme="minorEastAsia" w:hAnsi="Cambria Math" w:cs="Arial"/>
          </w:rPr>
          <m:t>-</m:t>
        </m:r>
        <m:sSub>
          <m:sSubPr>
            <m:ctrlPr>
              <w:rPr>
                <w:rFonts w:ascii="Cambria Math" w:eastAsiaTheme="minorEastAsia" w:hAnsi="Cambria Math" w:cs="Arial"/>
                <w:i/>
              </w:rPr>
            </m:ctrlPr>
          </m:sSubPr>
          <m:e>
            <m:r>
              <m:rPr>
                <m:sty m:val="p"/>
              </m:rPr>
              <w:rPr>
                <w:rFonts w:ascii="Cambria Math" w:hAnsi="Cambria Math" w:cs="Arial"/>
              </w:rPr>
              <m:t>σ</m:t>
            </m:r>
          </m:e>
          <m:sub>
            <m:r>
              <w:rPr>
                <w:rFonts w:ascii="Cambria Math" w:eastAsiaTheme="minorEastAsia" w:hAnsi="Cambria Math" w:cs="Arial"/>
              </w:rPr>
              <m:t>4</m:t>
            </m:r>
          </m:sub>
        </m:sSub>
        <m:sSub>
          <m:sSubPr>
            <m:ctrlPr>
              <w:rPr>
                <w:rFonts w:ascii="Cambria Math" w:eastAsiaTheme="minorEastAsia" w:hAnsi="Cambria Math" w:cs="Arial"/>
                <w:i/>
              </w:rPr>
            </m:ctrlPr>
          </m:sSubPr>
          <m:e>
            <m:r>
              <w:rPr>
                <w:rFonts w:ascii="Cambria Math" w:eastAsiaTheme="minorEastAsia" w:hAnsi="Cambria Math" w:cs="Arial"/>
              </w:rPr>
              <m:t>OPEN</m:t>
            </m:r>
          </m:e>
          <m:sub>
            <m:r>
              <w:rPr>
                <w:rFonts w:ascii="Cambria Math" w:eastAsiaTheme="minorEastAsia" w:hAnsi="Cambria Math" w:cs="Arial"/>
              </w:rPr>
              <m:t>t-1</m:t>
            </m:r>
          </m:sub>
        </m:sSub>
        <m:r>
          <w:rPr>
            <w:rFonts w:ascii="Cambria Math" w:eastAsiaTheme="minorEastAsia" w:hAnsi="Cambria Math" w:cs="Arial"/>
          </w:rPr>
          <m:t>-</m:t>
        </m:r>
        <m:sSub>
          <m:sSubPr>
            <m:ctrlPr>
              <w:rPr>
                <w:rFonts w:ascii="Cambria Math" w:eastAsiaTheme="minorEastAsia" w:hAnsi="Cambria Math" w:cs="Arial"/>
                <w:i/>
              </w:rPr>
            </m:ctrlPr>
          </m:sSubPr>
          <m:e>
            <m:r>
              <m:rPr>
                <m:sty m:val="p"/>
              </m:rPr>
              <w:rPr>
                <w:rFonts w:ascii="Cambria Math" w:hAnsi="Cambria Math" w:cs="Arial"/>
              </w:rPr>
              <m:t>σ</m:t>
            </m:r>
          </m:e>
          <m:sub>
            <m:r>
              <w:rPr>
                <w:rFonts w:ascii="Cambria Math" w:eastAsiaTheme="minorEastAsia" w:hAnsi="Cambria Math" w:cs="Arial"/>
              </w:rPr>
              <m:t>5</m:t>
            </m:r>
          </m:sub>
        </m:sSub>
        <m:sSub>
          <m:sSubPr>
            <m:ctrlPr>
              <w:rPr>
                <w:rFonts w:ascii="Cambria Math" w:eastAsiaTheme="minorEastAsia" w:hAnsi="Cambria Math" w:cs="Arial"/>
                <w:i/>
              </w:rPr>
            </m:ctrlPr>
          </m:sSubPr>
          <m:e>
            <m:r>
              <w:rPr>
                <w:rFonts w:ascii="Cambria Math" w:eastAsiaTheme="minorEastAsia" w:hAnsi="Cambria Math" w:cs="Arial"/>
              </w:rPr>
              <m:t>PROD</m:t>
            </m:r>
          </m:e>
          <m:sub>
            <m:r>
              <w:rPr>
                <w:rFonts w:ascii="Cambria Math" w:eastAsiaTheme="minorEastAsia" w:hAnsi="Cambria Math" w:cs="Arial"/>
              </w:rPr>
              <m:t>t-1</m:t>
            </m:r>
          </m:sub>
        </m:sSub>
        <m:r>
          <w:rPr>
            <w:rFonts w:ascii="Cambria Math" w:eastAsiaTheme="minorEastAsia" w:hAnsi="Cambria Math" w:cs="Arial"/>
          </w:rPr>
          <m:t>)-</m:t>
        </m:r>
        <m:sSub>
          <m:sSubPr>
            <m:ctrlPr>
              <w:rPr>
                <w:rFonts w:ascii="Cambria Math" w:eastAsiaTheme="minorEastAsia" w:hAnsi="Cambria Math" w:cs="Arial"/>
                <w:i/>
              </w:rPr>
            </m:ctrlPr>
          </m:sSubPr>
          <m:e>
            <m:r>
              <w:rPr>
                <w:rFonts w:ascii="Cambria Math" w:eastAsia="Segoe UI Symbol" w:hAnsi="Cambria Math" w:cs="Arial"/>
              </w:rPr>
              <m:t>ε</m:t>
            </m:r>
          </m:e>
          <m:sub>
            <m:r>
              <w:rPr>
                <w:rFonts w:ascii="Cambria Math" w:eastAsiaTheme="minorEastAsia" w:hAnsi="Cambria Math" w:cs="Arial"/>
              </w:rPr>
              <m:t>t</m:t>
            </m:r>
          </m:sub>
        </m:sSub>
      </m:oMath>
      <w:r w:rsidR="00F85F04" w:rsidRPr="007F19C7">
        <w:rPr>
          <w:rFonts w:ascii="Arial" w:eastAsiaTheme="minorEastAsia" w:hAnsi="Arial" w:cs="Arial"/>
        </w:rPr>
        <w:t xml:space="preserve">               </w:t>
      </w:r>
      <w:r w:rsidR="00F85F04">
        <w:rPr>
          <w:rFonts w:ascii="Arial" w:hAnsi="Arial" w:cs="Arial"/>
        </w:rPr>
        <w:t xml:space="preserve">                                           </w:t>
      </w:r>
      <w:r w:rsidR="00F85F04" w:rsidRPr="00E816A4">
        <w:rPr>
          <w:rFonts w:ascii="Arial" w:hAnsi="Arial" w:cs="Arial"/>
        </w:rPr>
        <w:t>(</w:t>
      </w:r>
      <w:r w:rsidR="00F73C9A">
        <w:rPr>
          <w:rFonts w:ascii="Arial" w:hAnsi="Arial" w:cs="Arial"/>
        </w:rPr>
        <w:t>3</w:t>
      </w:r>
      <w:r w:rsidR="00F85F04" w:rsidRPr="00E816A4">
        <w:rPr>
          <w:rFonts w:ascii="Arial" w:hAnsi="Arial" w:cs="Arial"/>
        </w:rPr>
        <w:t>.</w:t>
      </w:r>
      <w:r w:rsidR="0074054B">
        <w:rPr>
          <w:rFonts w:ascii="Arial" w:hAnsi="Arial" w:cs="Arial"/>
        </w:rPr>
        <w:t>23</w:t>
      </w:r>
      <w:r w:rsidR="00F85F04" w:rsidRPr="00E816A4">
        <w:rPr>
          <w:rFonts w:ascii="Arial" w:hAnsi="Arial" w:cs="Arial"/>
        </w:rPr>
        <w:t>)</w:t>
      </w:r>
    </w:p>
    <w:p w14:paraId="5E723CE1" w14:textId="77777777" w:rsidR="00F85F04" w:rsidRPr="006664A8" w:rsidRDefault="00F85F04" w:rsidP="0066301C">
      <w:pPr>
        <w:spacing w:line="360" w:lineRule="auto"/>
        <w:jc w:val="both"/>
        <w:rPr>
          <w:rFonts w:ascii="Arial" w:hAnsi="Arial" w:cs="Arial"/>
          <w:lang w:eastAsia="en-GB"/>
        </w:rPr>
      </w:pPr>
      <w:bookmarkStart w:id="373" w:name="_Hlk134147843"/>
      <w:r w:rsidRPr="006664A8">
        <w:rPr>
          <w:rFonts w:ascii="Arial" w:hAnsi="Arial" w:cs="Arial"/>
          <w:lang w:eastAsia="en-GB"/>
        </w:rPr>
        <w:t xml:space="preserve">Whereby:  </w:t>
      </w:r>
    </w:p>
    <w:p w14:paraId="5F965DBA" w14:textId="0C9112F3" w:rsidR="00F85F04" w:rsidRDefault="00F85F04" w:rsidP="0066301C">
      <w:pPr>
        <w:spacing w:line="360" w:lineRule="auto"/>
        <w:jc w:val="both"/>
        <w:rPr>
          <w:rFonts w:ascii="Arial" w:hAnsi="Arial" w:cs="Arial"/>
          <w:lang w:eastAsia="en-GB"/>
        </w:rPr>
      </w:pPr>
      <w:r w:rsidRPr="006664A8">
        <w:rPr>
          <w:rFonts w:ascii="Arial" w:hAnsi="Arial" w:cs="Arial"/>
          <w:lang w:eastAsia="en-GB"/>
        </w:rPr>
        <w:t>[</w:t>
      </w:r>
      <m:oMath>
        <m:sSub>
          <m:sSubPr>
            <m:ctrlPr>
              <w:rPr>
                <w:rFonts w:ascii="Cambria Math" w:hAnsi="Cambria Math" w:cs="Arial"/>
                <w:i/>
              </w:rPr>
            </m:ctrlPr>
          </m:sSubPr>
          <m:e>
            <m:r>
              <w:rPr>
                <w:rFonts w:ascii="Cambria Math" w:hAnsi="Cambria Math" w:cs="Arial"/>
              </w:rPr>
              <m:t>α</m:t>
            </m:r>
          </m:e>
          <m:sub>
            <m:r>
              <w:rPr>
                <w:rFonts w:ascii="Cambria Math" w:hAnsi="Cambria Math" w:cs="Arial"/>
              </w:rPr>
              <m:t>0</m:t>
            </m:r>
          </m:sub>
        </m:sSub>
        <m:r>
          <w:rPr>
            <w:rFonts w:ascii="Cambria Math" w:hAnsi="Cambria Math" w:cs="Arial"/>
          </w:rPr>
          <m:t>+</m:t>
        </m:r>
        <m:nary>
          <m:naryPr>
            <m:chr m:val="∑"/>
            <m:limLoc m:val="undOvr"/>
            <m:ctrlPr>
              <w:rPr>
                <w:rFonts w:ascii="Cambria Math" w:hAnsi="Cambria Math" w:cs="Arial"/>
              </w:rPr>
            </m:ctrlPr>
          </m:naryPr>
          <m:sub>
            <m:r>
              <w:rPr>
                <w:rFonts w:ascii="Cambria Math" w:hAnsi="Cambria Math" w:cs="Arial"/>
              </w:rPr>
              <m:t>i</m:t>
            </m:r>
            <m:r>
              <m:rPr>
                <m:sty m:val="p"/>
              </m:rPr>
              <w:rPr>
                <w:rFonts w:ascii="Cambria Math" w:hAnsi="Cambria Math" w:cs="Arial"/>
              </w:rPr>
              <m:t>=1</m:t>
            </m:r>
          </m:sub>
          <m:sup>
            <m:r>
              <w:rPr>
                <w:rFonts w:ascii="Cambria Math" w:hAnsi="Cambria Math" w:cs="Arial"/>
              </w:rPr>
              <m:t>k-1</m:t>
            </m:r>
          </m:sup>
          <m:e>
            <m:sSub>
              <m:sSubPr>
                <m:ctrlPr>
                  <w:rPr>
                    <w:rFonts w:ascii="Cambria Math" w:hAnsi="Cambria Math" w:cs="Arial"/>
                  </w:rPr>
                </m:ctrlPr>
              </m:sSubPr>
              <m:e>
                <m:sSub>
                  <m:sSubPr>
                    <m:ctrlPr>
                      <w:rPr>
                        <w:rFonts w:ascii="Cambria Math" w:hAnsi="Cambria Math" w:cs="Arial"/>
                      </w:rPr>
                    </m:ctrlPr>
                  </m:sSubPr>
                  <m:e>
                    <m:r>
                      <w:rPr>
                        <w:rFonts w:ascii="Cambria Math" w:hAnsi="Cambria Math" w:cs="Arial"/>
                      </w:rPr>
                      <m:t>α</m:t>
                    </m:r>
                  </m:e>
                  <m:sub>
                    <m:r>
                      <m:rPr>
                        <m:sty m:val="p"/>
                      </m:rPr>
                      <w:rPr>
                        <w:rFonts w:ascii="Cambria Math" w:hAnsi="Cambria Math" w:cs="Arial"/>
                        <w:vertAlign w:val="subscript"/>
                      </w:rPr>
                      <m:t>1</m:t>
                    </m:r>
                  </m:sub>
                </m:sSub>
                <m:r>
                  <w:rPr>
                    <w:rFonts w:ascii="Cambria Math" w:hAnsi="Cambria Math" w:cs="Arial"/>
                  </w:rPr>
                  <m:t>ΔTOT</m:t>
                </m:r>
              </m:e>
              <m:sub>
                <m:r>
                  <w:rPr>
                    <w:rFonts w:ascii="Cambria Math" w:hAnsi="Cambria Math" w:cs="Arial"/>
                    <w:vertAlign w:val="subscript"/>
                  </w:rPr>
                  <m:t>t</m:t>
                </m:r>
                <m:r>
                  <m:rPr>
                    <m:sty m:val="p"/>
                  </m:rPr>
                  <w:rPr>
                    <w:rFonts w:ascii="Cambria Math" w:hAnsi="Cambria Math" w:cs="Arial"/>
                    <w:vertAlign w:val="subscript"/>
                  </w:rPr>
                  <m:t>-</m:t>
                </m:r>
                <m:r>
                  <w:rPr>
                    <w:rFonts w:ascii="Cambria Math" w:hAnsi="Cambria Math" w:cs="Arial"/>
                    <w:vertAlign w:val="subscript"/>
                  </w:rPr>
                  <m:t>i</m:t>
                </m:r>
              </m:sub>
            </m:sSub>
          </m:e>
        </m:nary>
        <m:r>
          <m:rPr>
            <m:sty m:val="p"/>
          </m:rPr>
          <w:rPr>
            <w:rFonts w:ascii="Cambria Math" w:hAnsi="Cambria Math" w:cs="Arial"/>
          </w:rPr>
          <m:t xml:space="preserve">+ </m:t>
        </m:r>
        <m:nary>
          <m:naryPr>
            <m:chr m:val="∑"/>
            <m:limLoc m:val="undOvr"/>
            <m:ctrlPr>
              <w:rPr>
                <w:rFonts w:ascii="Cambria Math" w:hAnsi="Cambria Math" w:cs="Arial"/>
              </w:rPr>
            </m:ctrlPr>
          </m:naryPr>
          <m:sub>
            <m:r>
              <w:rPr>
                <w:rFonts w:ascii="Cambria Math" w:hAnsi="Cambria Math" w:cs="Arial"/>
              </w:rPr>
              <m:t>i</m:t>
            </m:r>
            <m:r>
              <m:rPr>
                <m:sty m:val="p"/>
              </m:rPr>
              <w:rPr>
                <w:rFonts w:ascii="Cambria Math" w:hAnsi="Cambria Math" w:cs="Arial"/>
              </w:rPr>
              <m:t>=1</m:t>
            </m:r>
          </m:sub>
          <m:sup>
            <m:r>
              <w:rPr>
                <w:rFonts w:ascii="Cambria Math" w:hAnsi="Cambria Math" w:cs="Arial"/>
              </w:rPr>
              <m:t>k-1</m:t>
            </m:r>
          </m:sup>
          <m:e>
            <m:sSub>
              <m:sSubPr>
                <m:ctrlPr>
                  <w:rPr>
                    <w:rFonts w:ascii="Cambria Math" w:hAnsi="Cambria Math" w:cs="Arial"/>
                  </w:rPr>
                </m:ctrlPr>
              </m:sSubPr>
              <m:e>
                <m:sSub>
                  <m:sSubPr>
                    <m:ctrlPr>
                      <w:rPr>
                        <w:rFonts w:ascii="Cambria Math" w:hAnsi="Cambria Math" w:cs="Arial"/>
                      </w:rPr>
                    </m:ctrlPr>
                  </m:sSubPr>
                  <m:e>
                    <m:r>
                      <w:rPr>
                        <w:rFonts w:ascii="Cambria Math" w:hAnsi="Cambria Math" w:cs="Arial"/>
                      </w:rPr>
                      <m:t>α</m:t>
                    </m:r>
                  </m:e>
                  <m:sub>
                    <m:r>
                      <m:rPr>
                        <m:sty m:val="p"/>
                      </m:rPr>
                      <w:rPr>
                        <w:rFonts w:ascii="Cambria Math" w:hAnsi="Cambria Math" w:cs="Arial"/>
                        <w:vertAlign w:val="subscript"/>
                      </w:rPr>
                      <m:t>2</m:t>
                    </m:r>
                  </m:sub>
                </m:sSub>
                <m:r>
                  <w:rPr>
                    <w:rFonts w:ascii="Cambria Math" w:hAnsi="Cambria Math" w:cs="Arial"/>
                  </w:rPr>
                  <m:t>ΔNFA</m:t>
                </m:r>
              </m:e>
              <m:sub>
                <m:r>
                  <w:rPr>
                    <w:rFonts w:ascii="Cambria Math" w:hAnsi="Cambria Math" w:cs="Arial"/>
                    <w:vertAlign w:val="subscript"/>
                  </w:rPr>
                  <m:t>t</m:t>
                </m:r>
                <m:r>
                  <m:rPr>
                    <m:sty m:val="p"/>
                  </m:rPr>
                  <w:rPr>
                    <w:rFonts w:ascii="Cambria Math" w:hAnsi="Cambria Math" w:cs="Arial"/>
                    <w:vertAlign w:val="subscript"/>
                  </w:rPr>
                  <m:t>-</m:t>
                </m:r>
                <m:r>
                  <w:rPr>
                    <w:rFonts w:ascii="Cambria Math" w:hAnsi="Cambria Math" w:cs="Arial"/>
                    <w:vertAlign w:val="subscript"/>
                  </w:rPr>
                  <m:t>i</m:t>
                </m:r>
              </m:sub>
            </m:sSub>
          </m:e>
        </m:nary>
        <m:r>
          <m:rPr>
            <m:sty m:val="p"/>
          </m:rPr>
          <w:rPr>
            <w:rFonts w:ascii="Cambria Math" w:hAnsi="Cambria Math" w:cs="Arial"/>
          </w:rPr>
          <m:t xml:space="preserve"> + </m:t>
        </m:r>
        <m:nary>
          <m:naryPr>
            <m:chr m:val="∑"/>
            <m:limLoc m:val="undOvr"/>
            <m:ctrlPr>
              <w:rPr>
                <w:rFonts w:ascii="Cambria Math" w:hAnsi="Cambria Math" w:cs="Arial"/>
              </w:rPr>
            </m:ctrlPr>
          </m:naryPr>
          <m:sub>
            <m:r>
              <w:rPr>
                <w:rFonts w:ascii="Cambria Math" w:hAnsi="Cambria Math" w:cs="Arial"/>
              </w:rPr>
              <m:t>i</m:t>
            </m:r>
            <m:r>
              <m:rPr>
                <m:sty m:val="p"/>
              </m:rPr>
              <w:rPr>
                <w:rFonts w:ascii="Cambria Math" w:hAnsi="Cambria Math" w:cs="Arial"/>
              </w:rPr>
              <m:t>=1</m:t>
            </m:r>
          </m:sub>
          <m:sup>
            <m:r>
              <w:rPr>
                <w:rFonts w:ascii="Cambria Math" w:hAnsi="Cambria Math" w:cs="Arial"/>
              </w:rPr>
              <m:t>k-1</m:t>
            </m:r>
          </m:sup>
          <m:e>
            <m:sSub>
              <m:sSubPr>
                <m:ctrlPr>
                  <w:rPr>
                    <w:rFonts w:ascii="Cambria Math" w:hAnsi="Cambria Math" w:cs="Arial"/>
                  </w:rPr>
                </m:ctrlPr>
              </m:sSubPr>
              <m:e>
                <m:sSub>
                  <m:sSubPr>
                    <m:ctrlPr>
                      <w:rPr>
                        <w:rFonts w:ascii="Cambria Math" w:hAnsi="Cambria Math" w:cs="Arial"/>
                      </w:rPr>
                    </m:ctrlPr>
                  </m:sSubPr>
                  <m:e>
                    <m:r>
                      <w:rPr>
                        <w:rFonts w:ascii="Cambria Math" w:hAnsi="Cambria Math" w:cs="Arial"/>
                      </w:rPr>
                      <m:t>α</m:t>
                    </m:r>
                  </m:e>
                  <m:sub>
                    <m:r>
                      <m:rPr>
                        <m:sty m:val="p"/>
                      </m:rPr>
                      <w:rPr>
                        <w:rFonts w:ascii="Cambria Math" w:hAnsi="Cambria Math" w:cs="Arial"/>
                        <w:vertAlign w:val="subscript"/>
                      </w:rPr>
                      <m:t>3</m:t>
                    </m:r>
                  </m:sub>
                </m:sSub>
                <m:r>
                  <w:rPr>
                    <w:rFonts w:ascii="Cambria Math" w:hAnsi="Cambria Math" w:cs="Arial"/>
                  </w:rPr>
                  <m:t>ΔGOVCON</m:t>
                </m:r>
              </m:e>
              <m:sub>
                <m:r>
                  <w:rPr>
                    <w:rFonts w:ascii="Cambria Math" w:hAnsi="Cambria Math" w:cs="Arial"/>
                    <w:vertAlign w:val="subscript"/>
                  </w:rPr>
                  <m:t>t</m:t>
                </m:r>
                <m:r>
                  <m:rPr>
                    <m:sty m:val="p"/>
                  </m:rPr>
                  <w:rPr>
                    <w:rFonts w:ascii="Cambria Math" w:hAnsi="Cambria Math" w:cs="Arial"/>
                    <w:vertAlign w:val="subscript"/>
                  </w:rPr>
                  <m:t>-</m:t>
                </m:r>
                <m:r>
                  <w:rPr>
                    <w:rFonts w:ascii="Cambria Math" w:hAnsi="Cambria Math" w:cs="Arial"/>
                    <w:vertAlign w:val="subscript"/>
                  </w:rPr>
                  <m:t>i</m:t>
                </m:r>
              </m:sub>
            </m:sSub>
          </m:e>
        </m:nary>
        <m:r>
          <m:rPr>
            <m:sty m:val="p"/>
          </m:rPr>
          <w:rPr>
            <w:rFonts w:ascii="Cambria Math" w:hAnsi="Cambria Math" w:cs="Arial"/>
          </w:rPr>
          <m:t xml:space="preserve"> + </m:t>
        </m:r>
        <m:nary>
          <m:naryPr>
            <m:chr m:val="∑"/>
            <m:limLoc m:val="undOvr"/>
            <m:ctrlPr>
              <w:rPr>
                <w:rFonts w:ascii="Cambria Math" w:hAnsi="Cambria Math" w:cs="Arial"/>
              </w:rPr>
            </m:ctrlPr>
          </m:naryPr>
          <m:sub>
            <m:r>
              <w:rPr>
                <w:rFonts w:ascii="Cambria Math" w:hAnsi="Cambria Math" w:cs="Arial"/>
              </w:rPr>
              <m:t>i</m:t>
            </m:r>
            <m:r>
              <m:rPr>
                <m:sty m:val="p"/>
              </m:rPr>
              <w:rPr>
                <w:rFonts w:ascii="Cambria Math" w:hAnsi="Cambria Math" w:cs="Arial"/>
              </w:rPr>
              <m:t>=1</m:t>
            </m:r>
          </m:sub>
          <m:sup>
            <m:r>
              <w:rPr>
                <w:rFonts w:ascii="Cambria Math" w:hAnsi="Cambria Math" w:cs="Arial"/>
              </w:rPr>
              <m:t>k-1</m:t>
            </m:r>
          </m:sup>
          <m:e>
            <m:sSub>
              <m:sSubPr>
                <m:ctrlPr>
                  <w:rPr>
                    <w:rFonts w:ascii="Cambria Math" w:hAnsi="Cambria Math" w:cs="Arial"/>
                  </w:rPr>
                </m:ctrlPr>
              </m:sSubPr>
              <m:e>
                <m:sSub>
                  <m:sSubPr>
                    <m:ctrlPr>
                      <w:rPr>
                        <w:rFonts w:ascii="Cambria Math" w:hAnsi="Cambria Math" w:cs="Arial"/>
                      </w:rPr>
                    </m:ctrlPr>
                  </m:sSubPr>
                  <m:e>
                    <m:r>
                      <w:rPr>
                        <w:rFonts w:ascii="Cambria Math" w:hAnsi="Cambria Math" w:cs="Arial"/>
                      </w:rPr>
                      <m:t>α</m:t>
                    </m:r>
                  </m:e>
                  <m:sub>
                    <m:r>
                      <m:rPr>
                        <m:sty m:val="p"/>
                      </m:rPr>
                      <w:rPr>
                        <w:rFonts w:ascii="Cambria Math" w:hAnsi="Cambria Math" w:cs="Arial"/>
                        <w:vertAlign w:val="subscript"/>
                      </w:rPr>
                      <m:t>4</m:t>
                    </m:r>
                  </m:sub>
                </m:sSub>
                <m:r>
                  <w:rPr>
                    <w:rFonts w:ascii="Cambria Math" w:hAnsi="Cambria Math" w:cs="Arial"/>
                  </w:rPr>
                  <m:t>ΔOPEN</m:t>
                </m:r>
              </m:e>
              <m:sub>
                <m:r>
                  <w:rPr>
                    <w:rFonts w:ascii="Cambria Math" w:hAnsi="Cambria Math" w:cs="Arial"/>
                    <w:vertAlign w:val="subscript"/>
                  </w:rPr>
                  <m:t>t</m:t>
                </m:r>
                <m:r>
                  <m:rPr>
                    <m:sty m:val="p"/>
                  </m:rPr>
                  <w:rPr>
                    <w:rFonts w:ascii="Cambria Math" w:hAnsi="Cambria Math" w:cs="Arial"/>
                    <w:vertAlign w:val="subscript"/>
                  </w:rPr>
                  <m:t>-</m:t>
                </m:r>
                <m:r>
                  <w:rPr>
                    <w:rFonts w:ascii="Cambria Math" w:hAnsi="Cambria Math" w:cs="Arial"/>
                    <w:vertAlign w:val="subscript"/>
                  </w:rPr>
                  <m:t>i</m:t>
                </m:r>
              </m:sub>
            </m:sSub>
          </m:e>
        </m:nary>
        <m:r>
          <m:rPr>
            <m:sty m:val="p"/>
          </m:rPr>
          <w:rPr>
            <w:rFonts w:ascii="Cambria Math" w:hAnsi="Cambria Math" w:cs="Arial"/>
          </w:rPr>
          <m:t xml:space="preserve">+ </m:t>
        </m:r>
        <m:nary>
          <m:naryPr>
            <m:chr m:val="∑"/>
            <m:limLoc m:val="undOvr"/>
            <m:ctrlPr>
              <w:rPr>
                <w:rFonts w:ascii="Cambria Math" w:hAnsi="Cambria Math" w:cs="Arial"/>
              </w:rPr>
            </m:ctrlPr>
          </m:naryPr>
          <m:sub>
            <m:r>
              <w:rPr>
                <w:rFonts w:ascii="Cambria Math" w:hAnsi="Cambria Math" w:cs="Arial"/>
              </w:rPr>
              <m:t>i</m:t>
            </m:r>
            <m:r>
              <m:rPr>
                <m:sty m:val="p"/>
              </m:rPr>
              <w:rPr>
                <w:rFonts w:ascii="Cambria Math" w:hAnsi="Cambria Math" w:cs="Arial"/>
              </w:rPr>
              <m:t>=1</m:t>
            </m:r>
          </m:sub>
          <m:sup>
            <m:r>
              <w:rPr>
                <w:rFonts w:ascii="Cambria Math" w:hAnsi="Cambria Math" w:cs="Arial"/>
              </w:rPr>
              <m:t>k-1</m:t>
            </m:r>
          </m:sup>
          <m:e>
            <m:sSub>
              <m:sSubPr>
                <m:ctrlPr>
                  <w:rPr>
                    <w:rFonts w:ascii="Cambria Math" w:hAnsi="Cambria Math" w:cs="Arial"/>
                  </w:rPr>
                </m:ctrlPr>
              </m:sSubPr>
              <m:e>
                <m:sSub>
                  <m:sSubPr>
                    <m:ctrlPr>
                      <w:rPr>
                        <w:rFonts w:ascii="Cambria Math" w:hAnsi="Cambria Math" w:cs="Arial"/>
                      </w:rPr>
                    </m:ctrlPr>
                  </m:sSubPr>
                  <m:e>
                    <m:r>
                      <w:rPr>
                        <w:rFonts w:ascii="Cambria Math" w:hAnsi="Cambria Math" w:cs="Arial"/>
                      </w:rPr>
                      <m:t>α</m:t>
                    </m:r>
                  </m:e>
                  <m:sub>
                    <m:r>
                      <m:rPr>
                        <m:sty m:val="p"/>
                      </m:rPr>
                      <w:rPr>
                        <w:rFonts w:ascii="Cambria Math" w:hAnsi="Cambria Math" w:cs="Arial"/>
                      </w:rPr>
                      <m:t>5</m:t>
                    </m:r>
                  </m:sub>
                </m:sSub>
                <m:r>
                  <w:rPr>
                    <w:rFonts w:ascii="Cambria Math" w:hAnsi="Cambria Math" w:cs="Arial"/>
                  </w:rPr>
                  <m:t>ΔPROD</m:t>
                </m:r>
              </m:e>
              <m:sub>
                <m:r>
                  <w:rPr>
                    <w:rFonts w:ascii="Cambria Math" w:hAnsi="Cambria Math" w:cs="Arial"/>
                    <w:vertAlign w:val="subscript"/>
                  </w:rPr>
                  <m:t>t</m:t>
                </m:r>
                <m:r>
                  <m:rPr>
                    <m:sty m:val="p"/>
                  </m:rPr>
                  <w:rPr>
                    <w:rFonts w:ascii="Cambria Math" w:hAnsi="Cambria Math" w:cs="Arial"/>
                    <w:vertAlign w:val="subscript"/>
                  </w:rPr>
                  <m:t>-</m:t>
                </m:r>
                <m:r>
                  <w:rPr>
                    <w:rFonts w:ascii="Cambria Math" w:hAnsi="Cambria Math" w:cs="Arial"/>
                    <w:vertAlign w:val="subscript"/>
                  </w:rPr>
                  <m:t>i</m:t>
                </m:r>
              </m:sub>
            </m:sSub>
          </m:e>
        </m:nary>
      </m:oMath>
      <w:r w:rsidRPr="006664A8">
        <w:rPr>
          <w:rFonts w:ascii="Arial" w:hAnsi="Arial" w:cs="Arial"/>
          <w:lang w:eastAsia="en-GB"/>
        </w:rPr>
        <w:t xml:space="preserve">] </w:t>
      </w:r>
      <w:r w:rsidRPr="00D64C69">
        <w:rPr>
          <w:rFonts w:ascii="Arial" w:eastAsia="Times New Roman" w:hAnsi="Arial" w:cs="Arial"/>
          <w:color w:val="0E101A"/>
          <w:lang w:eastAsia="en-GB"/>
        </w:rPr>
        <w:t xml:space="preserve">is the short-term dynamic of the relationship between REER and the independent variables. The second section of the equation represents the cointegration, that is the long-term information presented as </w:t>
      </w:r>
      <w:r w:rsidRPr="006664A8">
        <w:rPr>
          <w:rFonts w:ascii="Arial" w:hAnsi="Arial" w:cs="Arial"/>
          <w:lang w:eastAsia="en-GB"/>
        </w:rPr>
        <w:t>[</w:t>
      </w:r>
      <m:oMath>
        <m:r>
          <m:rPr>
            <m:sty m:val="p"/>
          </m:rPr>
          <w:rPr>
            <w:rFonts w:ascii="Cambria Math" w:hAnsi="Cambria Math" w:cs="Arial"/>
          </w:rPr>
          <m:t>–</m:t>
        </m:r>
        <m:r>
          <w:rPr>
            <w:rFonts w:ascii="Cambria Math" w:hAnsi="Cambria Math" w:cs="Arial"/>
          </w:rPr>
          <m:t>θ</m:t>
        </m:r>
        <m:r>
          <m:rPr>
            <m:sty m:val="p"/>
          </m:rPr>
          <w:rPr>
            <w:rFonts w:ascii="Cambria Math" w:hAnsi="Cambria Math" w:cs="Arial"/>
          </w:rPr>
          <m:t>(</m:t>
        </m:r>
        <m:sSub>
          <m:sSubPr>
            <m:ctrlPr>
              <w:rPr>
                <w:rFonts w:ascii="Cambria Math" w:hAnsi="Cambria Math" w:cs="Arial"/>
                <w:i/>
              </w:rPr>
            </m:ctrlPr>
          </m:sSubPr>
          <m:e>
            <m:r>
              <w:rPr>
                <w:rFonts w:ascii="Cambria Math" w:hAnsi="Cambria Math" w:cs="Arial"/>
              </w:rPr>
              <m:t>REER</m:t>
            </m:r>
          </m:e>
          <m:sub>
            <m:r>
              <w:rPr>
                <w:rFonts w:ascii="Cambria Math" w:hAnsi="Cambria Math" w:cs="Arial"/>
              </w:rPr>
              <m:t>i-1</m:t>
            </m:r>
          </m:sub>
        </m:sSub>
        <m:r>
          <w:rPr>
            <w:rFonts w:ascii="Cambria Math" w:eastAsiaTheme="minorEastAsia" w:hAnsi="Cambria Math" w:cs="Arial"/>
          </w:rPr>
          <m:t>-</m:t>
        </m:r>
        <m:sSub>
          <m:sSubPr>
            <m:ctrlPr>
              <w:rPr>
                <w:rFonts w:ascii="Cambria Math" w:eastAsiaTheme="minorEastAsia" w:hAnsi="Cambria Math" w:cs="Arial"/>
                <w:i/>
              </w:rPr>
            </m:ctrlPr>
          </m:sSubPr>
          <m:e>
            <m:r>
              <m:rPr>
                <m:sty m:val="p"/>
              </m:rPr>
              <w:rPr>
                <w:rFonts w:ascii="Cambria Math" w:hAnsi="Cambria Math" w:cs="Arial"/>
              </w:rPr>
              <m:t>σ</m:t>
            </m:r>
          </m:e>
          <m:sub>
            <m:r>
              <w:rPr>
                <w:rFonts w:ascii="Cambria Math" w:eastAsiaTheme="minorEastAsia" w:hAnsi="Cambria Math" w:cs="Arial"/>
              </w:rPr>
              <m:t>1</m:t>
            </m:r>
          </m:sub>
        </m:sSub>
        <m:sSub>
          <m:sSubPr>
            <m:ctrlPr>
              <w:rPr>
                <w:rFonts w:ascii="Cambria Math" w:eastAsiaTheme="minorEastAsia" w:hAnsi="Cambria Math" w:cs="Arial"/>
                <w:i/>
              </w:rPr>
            </m:ctrlPr>
          </m:sSubPr>
          <m:e>
            <m:r>
              <w:rPr>
                <w:rFonts w:ascii="Cambria Math" w:eastAsiaTheme="minorEastAsia" w:hAnsi="Cambria Math" w:cs="Arial"/>
              </w:rPr>
              <m:t>TOT</m:t>
            </m:r>
          </m:e>
          <m:sub>
            <m:r>
              <w:rPr>
                <w:rFonts w:ascii="Cambria Math" w:eastAsiaTheme="minorEastAsia" w:hAnsi="Cambria Math" w:cs="Arial"/>
              </w:rPr>
              <m:t>t-1</m:t>
            </m:r>
          </m:sub>
        </m:sSub>
        <m:r>
          <w:rPr>
            <w:rFonts w:ascii="Cambria Math" w:eastAsiaTheme="minorEastAsia" w:hAnsi="Cambria Math" w:cs="Arial"/>
          </w:rPr>
          <m:t>-</m:t>
        </m:r>
        <m:sSub>
          <m:sSubPr>
            <m:ctrlPr>
              <w:rPr>
                <w:rFonts w:ascii="Cambria Math" w:eastAsiaTheme="minorEastAsia" w:hAnsi="Cambria Math" w:cs="Arial"/>
                <w:i/>
              </w:rPr>
            </m:ctrlPr>
          </m:sSubPr>
          <m:e>
            <m:r>
              <m:rPr>
                <m:sty m:val="p"/>
              </m:rPr>
              <w:rPr>
                <w:rFonts w:ascii="Cambria Math" w:hAnsi="Cambria Math" w:cs="Arial"/>
              </w:rPr>
              <m:t>σ</m:t>
            </m:r>
          </m:e>
          <m:sub>
            <m:r>
              <w:rPr>
                <w:rFonts w:ascii="Cambria Math" w:eastAsiaTheme="minorEastAsia" w:hAnsi="Cambria Math" w:cs="Arial"/>
              </w:rPr>
              <m:t>2</m:t>
            </m:r>
          </m:sub>
        </m:sSub>
        <m:sSub>
          <m:sSubPr>
            <m:ctrlPr>
              <w:rPr>
                <w:rFonts w:ascii="Cambria Math" w:eastAsiaTheme="minorEastAsia" w:hAnsi="Cambria Math" w:cs="Arial"/>
                <w:i/>
              </w:rPr>
            </m:ctrlPr>
          </m:sSubPr>
          <m:e>
            <m:r>
              <w:rPr>
                <w:rFonts w:ascii="Cambria Math" w:eastAsiaTheme="minorEastAsia" w:hAnsi="Cambria Math" w:cs="Arial"/>
              </w:rPr>
              <m:t>NFA</m:t>
            </m:r>
          </m:e>
          <m:sub>
            <m:r>
              <w:rPr>
                <w:rFonts w:ascii="Cambria Math" w:eastAsiaTheme="minorEastAsia" w:hAnsi="Cambria Math" w:cs="Arial"/>
              </w:rPr>
              <m:t>t-1</m:t>
            </m:r>
          </m:sub>
        </m:sSub>
        <m:r>
          <w:rPr>
            <w:rFonts w:ascii="Cambria Math" w:eastAsiaTheme="minorEastAsia" w:hAnsi="Cambria Math" w:cs="Arial"/>
          </w:rPr>
          <m:t>-</m:t>
        </m:r>
        <m:sSub>
          <m:sSubPr>
            <m:ctrlPr>
              <w:rPr>
                <w:rFonts w:ascii="Cambria Math" w:eastAsiaTheme="minorEastAsia" w:hAnsi="Cambria Math" w:cs="Arial"/>
                <w:i/>
              </w:rPr>
            </m:ctrlPr>
          </m:sSubPr>
          <m:e>
            <m:r>
              <m:rPr>
                <m:sty m:val="p"/>
              </m:rPr>
              <w:rPr>
                <w:rFonts w:ascii="Cambria Math" w:hAnsi="Cambria Math" w:cs="Arial"/>
              </w:rPr>
              <m:t>σ</m:t>
            </m:r>
          </m:e>
          <m:sub>
            <m:r>
              <w:rPr>
                <w:rFonts w:ascii="Cambria Math" w:eastAsiaTheme="minorEastAsia" w:hAnsi="Cambria Math" w:cs="Arial"/>
              </w:rPr>
              <m:t>3</m:t>
            </m:r>
          </m:sub>
        </m:sSub>
        <m:sSub>
          <m:sSubPr>
            <m:ctrlPr>
              <w:rPr>
                <w:rFonts w:ascii="Cambria Math" w:eastAsiaTheme="minorEastAsia" w:hAnsi="Cambria Math" w:cs="Arial"/>
                <w:i/>
              </w:rPr>
            </m:ctrlPr>
          </m:sSubPr>
          <m:e>
            <m:r>
              <w:rPr>
                <w:rFonts w:ascii="Cambria Math" w:eastAsiaTheme="minorEastAsia" w:hAnsi="Cambria Math" w:cs="Arial"/>
              </w:rPr>
              <m:t>GOVCON</m:t>
            </m:r>
          </m:e>
          <m:sub>
            <m:r>
              <w:rPr>
                <w:rFonts w:ascii="Cambria Math" w:eastAsiaTheme="minorEastAsia" w:hAnsi="Cambria Math" w:cs="Arial"/>
              </w:rPr>
              <m:t>t-1</m:t>
            </m:r>
          </m:sub>
        </m:sSub>
        <m:r>
          <w:rPr>
            <w:rFonts w:ascii="Cambria Math" w:eastAsiaTheme="minorEastAsia" w:hAnsi="Cambria Math" w:cs="Arial"/>
          </w:rPr>
          <m:t>-</m:t>
        </m:r>
        <m:sSub>
          <m:sSubPr>
            <m:ctrlPr>
              <w:rPr>
                <w:rFonts w:ascii="Cambria Math" w:eastAsiaTheme="minorEastAsia" w:hAnsi="Cambria Math" w:cs="Arial"/>
                <w:i/>
              </w:rPr>
            </m:ctrlPr>
          </m:sSubPr>
          <m:e>
            <m:r>
              <m:rPr>
                <m:sty m:val="p"/>
              </m:rPr>
              <w:rPr>
                <w:rFonts w:ascii="Cambria Math" w:hAnsi="Cambria Math" w:cs="Arial"/>
              </w:rPr>
              <m:t>σ</m:t>
            </m:r>
          </m:e>
          <m:sub>
            <m:r>
              <w:rPr>
                <w:rFonts w:ascii="Cambria Math" w:eastAsiaTheme="minorEastAsia" w:hAnsi="Cambria Math" w:cs="Arial"/>
              </w:rPr>
              <m:t>4</m:t>
            </m:r>
          </m:sub>
        </m:sSub>
        <m:sSub>
          <m:sSubPr>
            <m:ctrlPr>
              <w:rPr>
                <w:rFonts w:ascii="Cambria Math" w:eastAsiaTheme="minorEastAsia" w:hAnsi="Cambria Math" w:cs="Arial"/>
                <w:i/>
              </w:rPr>
            </m:ctrlPr>
          </m:sSubPr>
          <m:e>
            <m:r>
              <w:rPr>
                <w:rFonts w:ascii="Cambria Math" w:eastAsiaTheme="minorEastAsia" w:hAnsi="Cambria Math" w:cs="Arial"/>
              </w:rPr>
              <m:t>OPEN</m:t>
            </m:r>
          </m:e>
          <m:sub>
            <m:r>
              <w:rPr>
                <w:rFonts w:ascii="Cambria Math" w:eastAsiaTheme="minorEastAsia" w:hAnsi="Cambria Math" w:cs="Arial"/>
              </w:rPr>
              <m:t>t-1</m:t>
            </m:r>
          </m:sub>
        </m:sSub>
        <m:r>
          <w:rPr>
            <w:rFonts w:ascii="Cambria Math" w:eastAsiaTheme="minorEastAsia" w:hAnsi="Cambria Math" w:cs="Arial"/>
          </w:rPr>
          <m:t>-</m:t>
        </m:r>
        <m:sSub>
          <m:sSubPr>
            <m:ctrlPr>
              <w:rPr>
                <w:rFonts w:ascii="Cambria Math" w:eastAsiaTheme="minorEastAsia" w:hAnsi="Cambria Math" w:cs="Arial"/>
                <w:i/>
              </w:rPr>
            </m:ctrlPr>
          </m:sSubPr>
          <m:e>
            <m:r>
              <m:rPr>
                <m:sty m:val="p"/>
              </m:rPr>
              <w:rPr>
                <w:rFonts w:ascii="Cambria Math" w:hAnsi="Cambria Math" w:cs="Arial"/>
              </w:rPr>
              <m:t>σ</m:t>
            </m:r>
          </m:e>
          <m:sub>
            <m:r>
              <w:rPr>
                <w:rFonts w:ascii="Cambria Math" w:eastAsiaTheme="minorEastAsia" w:hAnsi="Cambria Math" w:cs="Arial"/>
              </w:rPr>
              <m:t>5</m:t>
            </m:r>
          </m:sub>
        </m:sSub>
        <m:sSub>
          <m:sSubPr>
            <m:ctrlPr>
              <w:rPr>
                <w:rFonts w:ascii="Cambria Math" w:eastAsiaTheme="minorEastAsia" w:hAnsi="Cambria Math" w:cs="Arial"/>
                <w:i/>
              </w:rPr>
            </m:ctrlPr>
          </m:sSubPr>
          <m:e>
            <m:r>
              <w:rPr>
                <w:rFonts w:ascii="Cambria Math" w:eastAsiaTheme="minorEastAsia" w:hAnsi="Cambria Math" w:cs="Arial"/>
              </w:rPr>
              <m:t>PROD</m:t>
            </m:r>
          </m:e>
          <m:sub>
            <m:r>
              <w:rPr>
                <w:rFonts w:ascii="Cambria Math" w:eastAsiaTheme="minorEastAsia" w:hAnsi="Cambria Math" w:cs="Arial"/>
              </w:rPr>
              <m:t>t-1</m:t>
            </m:r>
          </m:sub>
        </m:sSub>
        <m:r>
          <w:rPr>
            <w:rFonts w:ascii="Cambria Math" w:eastAsiaTheme="minorEastAsia" w:hAnsi="Cambria Math" w:cs="Arial"/>
          </w:rPr>
          <m:t>)-</m:t>
        </m:r>
        <m:sSub>
          <m:sSubPr>
            <m:ctrlPr>
              <w:rPr>
                <w:rFonts w:ascii="Cambria Math" w:eastAsiaTheme="minorEastAsia" w:hAnsi="Cambria Math" w:cs="Arial"/>
                <w:i/>
              </w:rPr>
            </m:ctrlPr>
          </m:sSubPr>
          <m:e>
            <m:r>
              <w:rPr>
                <w:rFonts w:ascii="Cambria Math" w:eastAsia="Segoe UI Symbol" w:hAnsi="Cambria Math" w:cs="Arial"/>
              </w:rPr>
              <m:t>ε</m:t>
            </m:r>
          </m:e>
          <m:sub>
            <m:r>
              <w:rPr>
                <w:rFonts w:ascii="Cambria Math" w:eastAsiaTheme="minorEastAsia" w:hAnsi="Cambria Math" w:cs="Arial"/>
              </w:rPr>
              <m:t>t</m:t>
            </m:r>
          </m:sub>
        </m:sSub>
      </m:oMath>
      <w:r w:rsidRPr="006664A8">
        <w:rPr>
          <w:rFonts w:ascii="Arial" w:hAnsi="Arial" w:cs="Arial"/>
          <w:lang w:eastAsia="en-GB"/>
        </w:rPr>
        <w:t xml:space="preserve">]. </w:t>
      </w:r>
      <w:r w:rsidRPr="00D64C69">
        <w:rPr>
          <w:rFonts w:ascii="Arial" w:eastAsia="Times New Roman" w:hAnsi="Arial" w:cs="Arial"/>
          <w:color w:val="0E101A"/>
          <w:lang w:eastAsia="en-GB"/>
        </w:rPr>
        <w:t>While </w:t>
      </w:r>
      <w:r w:rsidRPr="00D64C69">
        <w:rPr>
          <w:rFonts w:ascii="Arial" w:eastAsia="Times New Roman" w:hAnsi="Arial" w:cs="Arial"/>
          <w:i/>
          <w:iCs/>
          <w:color w:val="0E101A"/>
          <w:lang w:eastAsia="en-GB"/>
        </w:rPr>
        <w:t>θ</w:t>
      </w:r>
      <w:r w:rsidRPr="00D64C69">
        <w:rPr>
          <w:rFonts w:ascii="Arial" w:eastAsia="Times New Roman" w:hAnsi="Arial" w:cs="Arial"/>
          <w:color w:val="0E101A"/>
          <w:lang w:eastAsia="en-GB"/>
        </w:rPr>
        <w:t> is the speed of adjustment between the short-term and the long-term, bearing a negative sign due to the convergence of REER to the equilib</w:t>
      </w:r>
      <w:r>
        <w:rPr>
          <w:rFonts w:ascii="Arial" w:eastAsia="Times New Roman" w:hAnsi="Arial" w:cs="Arial"/>
          <w:color w:val="0E101A"/>
          <w:lang w:eastAsia="en-GB"/>
        </w:rPr>
        <w:t xml:space="preserve">rium after a </w:t>
      </w:r>
      <w:r w:rsidR="00185DEE">
        <w:rPr>
          <w:rFonts w:ascii="Arial" w:eastAsia="Times New Roman" w:hAnsi="Arial" w:cs="Arial"/>
          <w:color w:val="0E101A"/>
          <w:lang w:eastAsia="en-GB"/>
        </w:rPr>
        <w:t>short-term</w:t>
      </w:r>
      <w:r>
        <w:rPr>
          <w:rFonts w:ascii="Arial" w:eastAsia="Times New Roman" w:hAnsi="Arial" w:cs="Arial"/>
          <w:color w:val="0E101A"/>
          <w:lang w:eastAsia="en-GB"/>
        </w:rPr>
        <w:t xml:space="preserve"> shock on</w:t>
      </w:r>
      <w:r w:rsidRPr="00D64C69">
        <w:rPr>
          <w:rFonts w:ascii="Arial" w:eastAsia="Times New Roman" w:hAnsi="Arial" w:cs="Arial"/>
          <w:color w:val="0E101A"/>
          <w:lang w:eastAsia="en-GB"/>
        </w:rPr>
        <w:t xml:space="preserve"> currency devaluation, causing REER to decrease. The dynamic eventually changes in the long term</w:t>
      </w:r>
      <w:r>
        <w:rPr>
          <w:rFonts w:ascii="Arial" w:eastAsia="Times New Roman" w:hAnsi="Arial" w:cs="Arial"/>
          <w:color w:val="0E101A"/>
          <w:lang w:eastAsia="en-GB"/>
        </w:rPr>
        <w:t>,</w:t>
      </w:r>
      <w:r w:rsidRPr="00D64C69">
        <w:rPr>
          <w:rFonts w:ascii="Arial" w:eastAsia="Times New Roman" w:hAnsi="Arial" w:cs="Arial"/>
          <w:color w:val="0E101A"/>
          <w:lang w:eastAsia="en-GB"/>
        </w:rPr>
        <w:t xml:space="preserve"> and REER improves in the </w:t>
      </w:r>
      <w:r w:rsidRPr="00CB1420">
        <w:rPr>
          <w:rFonts w:ascii="Arial" w:eastAsia="Times New Roman" w:hAnsi="Arial" w:cs="Arial"/>
          <w:color w:val="0E101A"/>
          <w:lang w:eastAsia="en-GB"/>
        </w:rPr>
        <w:t>long term</w:t>
      </w:r>
      <w:r w:rsidRPr="00D64C69">
        <w:rPr>
          <w:rFonts w:ascii="Arial" w:eastAsia="Times New Roman" w:hAnsi="Arial" w:cs="Arial"/>
          <w:color w:val="0E101A"/>
          <w:lang w:eastAsia="en-GB"/>
        </w:rPr>
        <w:t>. </w:t>
      </w:r>
      <m:oMath>
        <m:sSub>
          <m:sSubPr>
            <m:ctrlPr>
              <w:rPr>
                <w:rFonts w:ascii="Cambria Math" w:eastAsiaTheme="minorEastAsia" w:hAnsi="Cambria Math" w:cs="Arial"/>
                <w:i/>
              </w:rPr>
            </m:ctrlPr>
          </m:sSubPr>
          <m:e>
            <m:r>
              <w:rPr>
                <w:rFonts w:ascii="Cambria Math" w:eastAsia="Segoe UI Symbol" w:hAnsi="Cambria Math" w:cs="Arial"/>
              </w:rPr>
              <m:t>ε</m:t>
            </m:r>
          </m:e>
          <m:sub>
            <m:r>
              <w:rPr>
                <w:rFonts w:ascii="Cambria Math" w:eastAsiaTheme="minorEastAsia" w:hAnsi="Cambria Math" w:cs="Arial"/>
              </w:rPr>
              <m:t>t</m:t>
            </m:r>
          </m:sub>
        </m:sSub>
      </m:oMath>
      <w:r w:rsidRPr="00D64C69">
        <w:rPr>
          <w:rFonts w:ascii="Arial" w:eastAsia="Times New Roman" w:hAnsi="Arial" w:cs="Arial"/>
          <w:i/>
          <w:iCs/>
          <w:color w:val="0E101A"/>
          <w:lang w:eastAsia="en-GB"/>
        </w:rPr>
        <w:t> </w:t>
      </w:r>
      <w:r w:rsidRPr="00D64C69">
        <w:rPr>
          <w:rFonts w:ascii="Arial" w:eastAsia="Times New Roman" w:hAnsi="Arial" w:cs="Arial"/>
          <w:color w:val="0E101A"/>
          <w:lang w:eastAsia="en-GB"/>
        </w:rPr>
        <w:t xml:space="preserve">is the white-noise term. The restricted VAR (i.e., vector error correction model – VECM) is applied if there exists a long-term relationship among the variables in the model. To ascertain if there exists a long-term relationship in the REER models of the four CEMAC nations, we look at the coefficient of their </w:t>
      </w:r>
      <m:oMath>
        <m:sSub>
          <m:sSubPr>
            <m:ctrlPr>
              <w:rPr>
                <w:rFonts w:ascii="Cambria Math" w:eastAsiaTheme="minorEastAsia" w:hAnsi="Cambria Math" w:cs="Arial"/>
                <w:i/>
              </w:rPr>
            </m:ctrlPr>
          </m:sSubPr>
          <m:e>
            <m:r>
              <w:rPr>
                <w:rFonts w:ascii="Cambria Math" w:hAnsi="Cambria Math" w:cs="Arial"/>
              </w:rPr>
              <m:t>ECT</m:t>
            </m:r>
          </m:e>
          <m:sub>
            <m:r>
              <w:rPr>
                <w:rFonts w:ascii="Cambria Math" w:eastAsiaTheme="minorEastAsia" w:hAnsi="Cambria Math" w:cs="Arial"/>
              </w:rPr>
              <m:t>t-1</m:t>
            </m:r>
          </m:sub>
        </m:sSub>
      </m:oMath>
      <w:r>
        <w:rPr>
          <w:rFonts w:ascii="Arial" w:hAnsi="Arial" w:cs="Arial"/>
          <w:lang w:eastAsia="en-GB"/>
        </w:rPr>
        <w:t>(</w:t>
      </w:r>
      <m:oMath>
        <m:r>
          <w:rPr>
            <w:rFonts w:ascii="Cambria Math" w:hAnsi="Cambria Math" w:cs="Arial"/>
          </w:rPr>
          <m:t>θ</m:t>
        </m:r>
      </m:oMath>
      <w:r>
        <w:rPr>
          <w:rFonts w:ascii="Arial" w:hAnsi="Arial" w:cs="Arial"/>
          <w:lang w:eastAsia="en-GB"/>
        </w:rPr>
        <w:t>), as seen below.</w:t>
      </w:r>
    </w:p>
    <w:p w14:paraId="13D2AE5A" w14:textId="77777777" w:rsidR="005E7379" w:rsidRDefault="005E7379" w:rsidP="0066301C">
      <w:pPr>
        <w:spacing w:line="360" w:lineRule="auto"/>
        <w:jc w:val="both"/>
        <w:rPr>
          <w:rFonts w:ascii="Arial" w:hAnsi="Arial" w:cs="Arial"/>
          <w:lang w:eastAsia="en-GB"/>
        </w:rPr>
      </w:pPr>
    </w:p>
    <w:p w14:paraId="51FBEF7A" w14:textId="77777777" w:rsidR="005E7379" w:rsidRDefault="005E7379" w:rsidP="0066301C">
      <w:pPr>
        <w:spacing w:line="360" w:lineRule="auto"/>
        <w:jc w:val="both"/>
        <w:rPr>
          <w:rFonts w:ascii="Arial" w:hAnsi="Arial" w:cs="Arial"/>
          <w:lang w:val="en-US" w:eastAsia="en-GB"/>
        </w:rPr>
      </w:pPr>
    </w:p>
    <w:p w14:paraId="5C581AA7" w14:textId="6E152091" w:rsidR="00806598" w:rsidRPr="008204CC" w:rsidRDefault="00806598" w:rsidP="0066301C">
      <w:pPr>
        <w:spacing w:after="0" w:line="240" w:lineRule="auto"/>
        <w:rPr>
          <w:rFonts w:ascii="Arial" w:hAnsi="Arial" w:cs="Arial"/>
          <w:b/>
        </w:rPr>
      </w:pPr>
      <w:bookmarkStart w:id="374" w:name="_Hlk170835872"/>
      <w:bookmarkEnd w:id="373"/>
      <w:r w:rsidRPr="00E816A4">
        <w:rPr>
          <w:rFonts w:ascii="Arial" w:hAnsi="Arial" w:cs="Arial"/>
          <w:b/>
        </w:rPr>
        <w:t xml:space="preserve">Table </w:t>
      </w:r>
      <w:r w:rsidR="00E816A4" w:rsidRPr="00E816A4">
        <w:rPr>
          <w:rFonts w:ascii="Arial" w:hAnsi="Arial" w:cs="Arial"/>
          <w:b/>
        </w:rPr>
        <w:t>3</w:t>
      </w:r>
      <w:r w:rsidRPr="00E816A4">
        <w:rPr>
          <w:rFonts w:ascii="Arial" w:hAnsi="Arial" w:cs="Arial"/>
          <w:b/>
        </w:rPr>
        <w:t>.</w:t>
      </w:r>
      <w:r w:rsidR="00C8237F" w:rsidRPr="00E816A4">
        <w:rPr>
          <w:rFonts w:ascii="Arial" w:hAnsi="Arial" w:cs="Arial"/>
          <w:b/>
        </w:rPr>
        <w:t>5</w:t>
      </w:r>
      <w:r w:rsidRPr="00E816A4">
        <w:rPr>
          <w:rFonts w:ascii="Arial" w:hAnsi="Arial" w:cs="Arial"/>
          <w:b/>
        </w:rPr>
        <w:t xml:space="preserve">: </w:t>
      </w:r>
      <w:r w:rsidR="00450859" w:rsidRPr="00E816A4">
        <w:rPr>
          <w:rFonts w:ascii="Arial" w:hAnsi="Arial" w:cs="Arial"/>
          <w:b/>
        </w:rPr>
        <w:t>Coefficient of</w:t>
      </w:r>
      <w:r w:rsidRPr="00E816A4">
        <w:rPr>
          <w:rFonts w:ascii="Arial" w:hAnsi="Arial" w:cs="Arial"/>
          <w:b/>
        </w:rPr>
        <w:t xml:space="preserve"> Error Correction </w:t>
      </w:r>
      <w:r w:rsidR="00450859" w:rsidRPr="00E816A4">
        <w:rPr>
          <w:rFonts w:ascii="Arial" w:hAnsi="Arial" w:cs="Arial"/>
          <w:b/>
        </w:rPr>
        <w:t>Term</w:t>
      </w:r>
      <w:r w:rsidR="00450859">
        <w:rPr>
          <w:rFonts w:ascii="Arial" w:hAnsi="Arial" w:cs="Arial"/>
          <w:b/>
        </w:rPr>
        <w:t xml:space="preserve"> </w:t>
      </w:r>
      <w:r w:rsidRPr="008204CC">
        <w:rPr>
          <w:rFonts w:ascii="Arial" w:hAnsi="Arial" w:cs="Arial"/>
          <w:b/>
        </w:rPr>
        <w:t xml:space="preserve"> </w:t>
      </w:r>
    </w:p>
    <w:tbl>
      <w:tblPr>
        <w:tblStyle w:val="TableGrid"/>
        <w:tblW w:w="9016" w:type="dxa"/>
        <w:tblLook w:val="04A0" w:firstRow="1" w:lastRow="0" w:firstColumn="1" w:lastColumn="0" w:noHBand="0" w:noVBand="1"/>
      </w:tblPr>
      <w:tblGrid>
        <w:gridCol w:w="2141"/>
        <w:gridCol w:w="1681"/>
        <w:gridCol w:w="1840"/>
        <w:gridCol w:w="1771"/>
        <w:gridCol w:w="1583"/>
      </w:tblGrid>
      <w:tr w:rsidR="00256C15" w:rsidRPr="008204CC" w14:paraId="1BC302A0" w14:textId="39E84960" w:rsidTr="00256C15">
        <w:tc>
          <w:tcPr>
            <w:tcW w:w="2141" w:type="dxa"/>
          </w:tcPr>
          <w:p w14:paraId="3B037187" w14:textId="77777777" w:rsidR="00256C15" w:rsidRPr="008204CC" w:rsidRDefault="00256C15" w:rsidP="008462CA">
            <w:pPr>
              <w:rPr>
                <w:rFonts w:ascii="Arial" w:hAnsi="Arial" w:cs="Arial"/>
                <w:b/>
              </w:rPr>
            </w:pPr>
            <w:r w:rsidRPr="008204CC">
              <w:rPr>
                <w:rFonts w:ascii="Arial" w:hAnsi="Arial" w:cs="Arial"/>
                <w:b/>
              </w:rPr>
              <w:t>Nations</w:t>
            </w:r>
          </w:p>
        </w:tc>
        <w:tc>
          <w:tcPr>
            <w:tcW w:w="1681" w:type="dxa"/>
          </w:tcPr>
          <w:p w14:paraId="0E27215C" w14:textId="77777777" w:rsidR="00256C15" w:rsidRPr="008204CC" w:rsidRDefault="00256C15" w:rsidP="008462CA">
            <w:pPr>
              <w:rPr>
                <w:rFonts w:ascii="Arial" w:hAnsi="Arial" w:cs="Arial"/>
                <w:b/>
              </w:rPr>
            </w:pPr>
            <w:r w:rsidRPr="008204CC">
              <w:rPr>
                <w:rFonts w:ascii="Arial" w:hAnsi="Arial" w:cs="Arial"/>
                <w:b/>
              </w:rPr>
              <w:t>REER</w:t>
            </w:r>
          </w:p>
        </w:tc>
        <w:tc>
          <w:tcPr>
            <w:tcW w:w="1840" w:type="dxa"/>
          </w:tcPr>
          <w:p w14:paraId="0E378DAF" w14:textId="77777777" w:rsidR="00256C15" w:rsidRPr="008204CC" w:rsidRDefault="00256C15" w:rsidP="008462CA">
            <w:pPr>
              <w:rPr>
                <w:rFonts w:ascii="Arial" w:hAnsi="Arial" w:cs="Arial"/>
                <w:b/>
              </w:rPr>
            </w:pPr>
            <w:r w:rsidRPr="008204CC">
              <w:rPr>
                <w:rFonts w:ascii="Arial" w:hAnsi="Arial" w:cs="Arial"/>
                <w:b/>
              </w:rPr>
              <w:t>ECT</w:t>
            </w:r>
          </w:p>
          <w:p w14:paraId="04431C17" w14:textId="77A7CAED" w:rsidR="00256C15" w:rsidRPr="00F81254" w:rsidRDefault="00256C15" w:rsidP="008462CA">
            <w:pPr>
              <w:rPr>
                <w:rFonts w:ascii="Arial" w:hAnsi="Arial" w:cs="Arial"/>
                <w:b/>
              </w:rPr>
            </w:pPr>
            <w:r w:rsidRPr="00F81254">
              <w:rPr>
                <w:rFonts w:ascii="Arial" w:hAnsi="Arial" w:cs="Arial"/>
                <w:b/>
              </w:rPr>
              <w:lastRenderedPageBreak/>
              <w:t>Coefficient (</w:t>
            </w:r>
            <w:r w:rsidRPr="00F81254">
              <w:rPr>
                <w:rFonts w:ascii="Arial" w:hAnsi="Arial" w:cs="Arial"/>
                <w:b/>
                <w:lang w:eastAsia="en-GB"/>
              </w:rPr>
              <w:t>)</w:t>
            </w:r>
          </w:p>
        </w:tc>
        <w:tc>
          <w:tcPr>
            <w:tcW w:w="1771" w:type="dxa"/>
          </w:tcPr>
          <w:p w14:paraId="1D994399" w14:textId="77777777" w:rsidR="00256C15" w:rsidRPr="008204CC" w:rsidRDefault="00256C15" w:rsidP="008462CA">
            <w:pPr>
              <w:autoSpaceDE w:val="0"/>
              <w:autoSpaceDN w:val="0"/>
              <w:adjustRightInd w:val="0"/>
              <w:rPr>
                <w:rFonts w:ascii="Arial" w:hAnsi="Arial" w:cs="Arial"/>
                <w:b/>
                <w:lang w:val="en-US"/>
              </w:rPr>
            </w:pPr>
            <w:r w:rsidRPr="008204CC">
              <w:rPr>
                <w:rFonts w:ascii="Arial" w:hAnsi="Arial" w:cs="Arial"/>
                <w:b/>
                <w:i/>
                <w:lang w:val="en-US"/>
              </w:rPr>
              <w:lastRenderedPageBreak/>
              <w:t>t-</w:t>
            </w:r>
            <w:r w:rsidRPr="008204CC">
              <w:rPr>
                <w:rFonts w:ascii="Arial" w:hAnsi="Arial" w:cs="Arial"/>
                <w:b/>
                <w:lang w:val="en-US"/>
              </w:rPr>
              <w:t>statistic</w:t>
            </w:r>
          </w:p>
        </w:tc>
        <w:tc>
          <w:tcPr>
            <w:tcW w:w="1583" w:type="dxa"/>
          </w:tcPr>
          <w:p w14:paraId="1F53A8C4" w14:textId="2F9C1DF6" w:rsidR="00256C15" w:rsidRPr="00256C15" w:rsidRDefault="00256C15" w:rsidP="008462CA">
            <w:pPr>
              <w:autoSpaceDE w:val="0"/>
              <w:autoSpaceDN w:val="0"/>
              <w:adjustRightInd w:val="0"/>
              <w:rPr>
                <w:rFonts w:ascii="Arial" w:hAnsi="Arial" w:cs="Arial"/>
                <w:b/>
                <w:iCs/>
                <w:lang w:val="en-US"/>
              </w:rPr>
            </w:pPr>
            <w:r>
              <w:rPr>
                <w:rFonts w:ascii="Arial" w:hAnsi="Arial" w:cs="Arial"/>
                <w:b/>
                <w:i/>
                <w:lang w:val="en-US"/>
              </w:rPr>
              <w:t xml:space="preserve">P - </w:t>
            </w:r>
            <w:r>
              <w:rPr>
                <w:rFonts w:ascii="Arial" w:hAnsi="Arial" w:cs="Arial"/>
                <w:b/>
                <w:iCs/>
                <w:lang w:val="en-US"/>
              </w:rPr>
              <w:t>Value</w:t>
            </w:r>
          </w:p>
        </w:tc>
      </w:tr>
      <w:tr w:rsidR="00256C15" w:rsidRPr="008204CC" w14:paraId="088B78B4" w14:textId="677E2637" w:rsidTr="00256C15">
        <w:tc>
          <w:tcPr>
            <w:tcW w:w="2141" w:type="dxa"/>
          </w:tcPr>
          <w:p w14:paraId="234876E3" w14:textId="77777777" w:rsidR="00256C15" w:rsidRPr="008204CC" w:rsidRDefault="00256C15" w:rsidP="008462CA">
            <w:pPr>
              <w:rPr>
                <w:rFonts w:ascii="Arial" w:hAnsi="Arial" w:cs="Arial"/>
              </w:rPr>
            </w:pPr>
            <w:r w:rsidRPr="008204CC">
              <w:rPr>
                <w:rFonts w:ascii="Arial" w:hAnsi="Arial" w:cs="Arial"/>
              </w:rPr>
              <w:t>Cameroon</w:t>
            </w:r>
          </w:p>
        </w:tc>
        <w:tc>
          <w:tcPr>
            <w:tcW w:w="1681" w:type="dxa"/>
          </w:tcPr>
          <w:p w14:paraId="2E05B63C" w14:textId="77777777" w:rsidR="00256C15" w:rsidRPr="008204CC" w:rsidRDefault="00256C15" w:rsidP="008462CA">
            <w:pPr>
              <w:rPr>
                <w:rFonts w:ascii="Arial" w:hAnsi="Arial" w:cs="Arial"/>
                <w:color w:val="000000"/>
              </w:rPr>
            </w:pPr>
            <w:r w:rsidRPr="008204CC">
              <w:rPr>
                <w:rFonts w:ascii="Arial" w:hAnsi="Arial" w:cs="Arial"/>
                <w:color w:val="000000"/>
              </w:rPr>
              <w:t>1.000000</w:t>
            </w:r>
          </w:p>
        </w:tc>
        <w:tc>
          <w:tcPr>
            <w:tcW w:w="1840" w:type="dxa"/>
          </w:tcPr>
          <w:p w14:paraId="2C2CF87C" w14:textId="77777777" w:rsidR="00256C15" w:rsidRPr="008204CC" w:rsidRDefault="00256C15" w:rsidP="008462CA">
            <w:pPr>
              <w:rPr>
                <w:rFonts w:ascii="Arial" w:hAnsi="Arial" w:cs="Arial"/>
              </w:rPr>
            </w:pPr>
            <w:r w:rsidRPr="008204CC">
              <w:rPr>
                <w:rFonts w:ascii="Arial" w:hAnsi="Arial" w:cs="Arial"/>
                <w:color w:val="000000"/>
              </w:rPr>
              <w:t>0.077252</w:t>
            </w:r>
          </w:p>
        </w:tc>
        <w:tc>
          <w:tcPr>
            <w:tcW w:w="1771" w:type="dxa"/>
          </w:tcPr>
          <w:p w14:paraId="54457AF9" w14:textId="77777777" w:rsidR="00256C15" w:rsidRPr="008204CC" w:rsidRDefault="00256C15" w:rsidP="008462CA">
            <w:pPr>
              <w:autoSpaceDE w:val="0"/>
              <w:autoSpaceDN w:val="0"/>
              <w:adjustRightInd w:val="0"/>
              <w:rPr>
                <w:rFonts w:ascii="Arial" w:hAnsi="Arial" w:cs="Arial"/>
                <w:lang w:val="en-US"/>
              </w:rPr>
            </w:pPr>
            <w:r w:rsidRPr="008204CC">
              <w:rPr>
                <w:rFonts w:ascii="Arial" w:hAnsi="Arial" w:cs="Arial"/>
                <w:color w:val="000000"/>
              </w:rPr>
              <w:t>1.60494</w:t>
            </w:r>
          </w:p>
        </w:tc>
        <w:tc>
          <w:tcPr>
            <w:tcW w:w="1583" w:type="dxa"/>
          </w:tcPr>
          <w:p w14:paraId="6D8D02F7" w14:textId="78EEDB26" w:rsidR="00256C15" w:rsidRPr="008204CC" w:rsidRDefault="00256C15" w:rsidP="008462CA">
            <w:pPr>
              <w:autoSpaceDE w:val="0"/>
              <w:autoSpaceDN w:val="0"/>
              <w:adjustRightInd w:val="0"/>
              <w:rPr>
                <w:rFonts w:ascii="Arial" w:hAnsi="Arial" w:cs="Arial"/>
                <w:color w:val="000000"/>
              </w:rPr>
            </w:pPr>
            <w:r>
              <w:rPr>
                <w:rFonts w:ascii="Arial" w:hAnsi="Arial" w:cs="Arial"/>
                <w:color w:val="000000"/>
              </w:rPr>
              <w:t>0.1103</w:t>
            </w:r>
          </w:p>
        </w:tc>
      </w:tr>
      <w:tr w:rsidR="00256C15" w:rsidRPr="008204CC" w14:paraId="6A414BDA" w14:textId="55B7A8A7" w:rsidTr="00256C15">
        <w:tc>
          <w:tcPr>
            <w:tcW w:w="2141" w:type="dxa"/>
          </w:tcPr>
          <w:p w14:paraId="69A2477D" w14:textId="77777777" w:rsidR="00256C15" w:rsidRPr="008204CC" w:rsidRDefault="00256C15" w:rsidP="008462CA">
            <w:pPr>
              <w:rPr>
                <w:rFonts w:ascii="Arial" w:hAnsi="Arial" w:cs="Arial"/>
              </w:rPr>
            </w:pPr>
            <w:r w:rsidRPr="008204CC">
              <w:rPr>
                <w:rFonts w:ascii="Arial" w:hAnsi="Arial" w:cs="Arial"/>
              </w:rPr>
              <w:t>CAR</w:t>
            </w:r>
          </w:p>
        </w:tc>
        <w:tc>
          <w:tcPr>
            <w:tcW w:w="1681" w:type="dxa"/>
          </w:tcPr>
          <w:p w14:paraId="119D65CC" w14:textId="77777777" w:rsidR="00256C15" w:rsidRPr="008204CC" w:rsidRDefault="00256C15" w:rsidP="008462CA">
            <w:pPr>
              <w:rPr>
                <w:rFonts w:ascii="Arial" w:hAnsi="Arial" w:cs="Arial"/>
                <w:color w:val="000000"/>
              </w:rPr>
            </w:pPr>
            <w:r w:rsidRPr="008204CC">
              <w:rPr>
                <w:rFonts w:ascii="Arial" w:hAnsi="Arial" w:cs="Arial"/>
                <w:color w:val="000000"/>
              </w:rPr>
              <w:t>1.000000</w:t>
            </w:r>
          </w:p>
        </w:tc>
        <w:tc>
          <w:tcPr>
            <w:tcW w:w="1840" w:type="dxa"/>
          </w:tcPr>
          <w:p w14:paraId="5E56FF5A" w14:textId="77777777" w:rsidR="00256C15" w:rsidRPr="008204CC" w:rsidRDefault="00256C15" w:rsidP="008462CA">
            <w:pPr>
              <w:rPr>
                <w:rFonts w:ascii="Arial" w:hAnsi="Arial" w:cs="Arial"/>
              </w:rPr>
            </w:pPr>
            <w:r w:rsidRPr="008204CC">
              <w:rPr>
                <w:rFonts w:ascii="Arial" w:hAnsi="Arial" w:cs="Arial"/>
                <w:color w:val="000000"/>
              </w:rPr>
              <w:t>-0.103846</w:t>
            </w:r>
          </w:p>
        </w:tc>
        <w:tc>
          <w:tcPr>
            <w:tcW w:w="1771" w:type="dxa"/>
          </w:tcPr>
          <w:p w14:paraId="4A8EFB08" w14:textId="77777777" w:rsidR="00256C15" w:rsidRPr="008204CC" w:rsidRDefault="00256C15" w:rsidP="008462CA">
            <w:pPr>
              <w:autoSpaceDE w:val="0"/>
              <w:autoSpaceDN w:val="0"/>
              <w:adjustRightInd w:val="0"/>
              <w:rPr>
                <w:rFonts w:ascii="Arial" w:hAnsi="Arial" w:cs="Arial"/>
                <w:lang w:val="en-US"/>
              </w:rPr>
            </w:pPr>
            <w:r w:rsidRPr="008204CC">
              <w:rPr>
                <w:rFonts w:ascii="Arial" w:hAnsi="Arial" w:cs="Arial"/>
                <w:color w:val="000000"/>
              </w:rPr>
              <w:t>-2.86504</w:t>
            </w:r>
          </w:p>
        </w:tc>
        <w:tc>
          <w:tcPr>
            <w:tcW w:w="1583" w:type="dxa"/>
          </w:tcPr>
          <w:p w14:paraId="01CDF04E" w14:textId="0016E17A" w:rsidR="00256C15" w:rsidRPr="008204CC" w:rsidRDefault="00256C15" w:rsidP="008462CA">
            <w:pPr>
              <w:autoSpaceDE w:val="0"/>
              <w:autoSpaceDN w:val="0"/>
              <w:adjustRightInd w:val="0"/>
              <w:rPr>
                <w:rFonts w:ascii="Arial" w:hAnsi="Arial" w:cs="Arial"/>
                <w:color w:val="000000"/>
              </w:rPr>
            </w:pPr>
            <w:r>
              <w:rPr>
                <w:rFonts w:ascii="Arial" w:hAnsi="Arial" w:cs="Arial"/>
                <w:color w:val="000000"/>
              </w:rPr>
              <w:t>0.0049</w:t>
            </w:r>
          </w:p>
        </w:tc>
      </w:tr>
      <w:tr w:rsidR="00256C15" w:rsidRPr="008204CC" w14:paraId="0C54B9B8" w14:textId="54888773" w:rsidTr="00256C15">
        <w:trPr>
          <w:trHeight w:val="243"/>
        </w:trPr>
        <w:tc>
          <w:tcPr>
            <w:tcW w:w="2141" w:type="dxa"/>
          </w:tcPr>
          <w:p w14:paraId="6607E440" w14:textId="77777777" w:rsidR="00256C15" w:rsidRPr="008204CC" w:rsidRDefault="00256C15" w:rsidP="008462CA">
            <w:pPr>
              <w:rPr>
                <w:rFonts w:ascii="Arial" w:hAnsi="Arial" w:cs="Arial"/>
              </w:rPr>
            </w:pPr>
            <w:r w:rsidRPr="008204CC">
              <w:rPr>
                <w:rFonts w:ascii="Arial" w:hAnsi="Arial" w:cs="Arial"/>
              </w:rPr>
              <w:t>Gabon</w:t>
            </w:r>
          </w:p>
        </w:tc>
        <w:tc>
          <w:tcPr>
            <w:tcW w:w="1681" w:type="dxa"/>
          </w:tcPr>
          <w:p w14:paraId="57CC6755" w14:textId="77777777" w:rsidR="00256C15" w:rsidRPr="008204CC" w:rsidRDefault="00256C15" w:rsidP="008462CA">
            <w:pPr>
              <w:rPr>
                <w:rFonts w:ascii="Arial" w:hAnsi="Arial" w:cs="Arial"/>
                <w:color w:val="000000"/>
              </w:rPr>
            </w:pPr>
            <w:r w:rsidRPr="008204CC">
              <w:rPr>
                <w:rFonts w:ascii="Arial" w:hAnsi="Arial" w:cs="Arial"/>
                <w:color w:val="000000"/>
              </w:rPr>
              <w:t>1.000000</w:t>
            </w:r>
          </w:p>
        </w:tc>
        <w:tc>
          <w:tcPr>
            <w:tcW w:w="1840" w:type="dxa"/>
          </w:tcPr>
          <w:p w14:paraId="57A4F9ED" w14:textId="77777777" w:rsidR="00256C15" w:rsidRPr="008204CC" w:rsidRDefault="00256C15" w:rsidP="008462CA">
            <w:pPr>
              <w:rPr>
                <w:rFonts w:ascii="Arial" w:hAnsi="Arial" w:cs="Arial"/>
              </w:rPr>
            </w:pPr>
            <w:r w:rsidRPr="008204CC">
              <w:rPr>
                <w:rFonts w:ascii="Arial" w:hAnsi="Arial" w:cs="Arial"/>
                <w:color w:val="000000"/>
              </w:rPr>
              <w:t>0.029311</w:t>
            </w:r>
          </w:p>
        </w:tc>
        <w:tc>
          <w:tcPr>
            <w:tcW w:w="1771" w:type="dxa"/>
          </w:tcPr>
          <w:p w14:paraId="6F14CEF7" w14:textId="77777777" w:rsidR="00256C15" w:rsidRPr="008204CC" w:rsidRDefault="00256C15" w:rsidP="008462CA">
            <w:pPr>
              <w:autoSpaceDE w:val="0"/>
              <w:autoSpaceDN w:val="0"/>
              <w:adjustRightInd w:val="0"/>
              <w:rPr>
                <w:rFonts w:ascii="Arial" w:hAnsi="Arial" w:cs="Arial"/>
                <w:lang w:val="en-US"/>
              </w:rPr>
            </w:pPr>
            <w:r w:rsidRPr="008204CC">
              <w:rPr>
                <w:rFonts w:ascii="Arial" w:hAnsi="Arial" w:cs="Arial"/>
                <w:color w:val="000000"/>
              </w:rPr>
              <w:t>1.76199</w:t>
            </w:r>
          </w:p>
        </w:tc>
        <w:tc>
          <w:tcPr>
            <w:tcW w:w="1583" w:type="dxa"/>
          </w:tcPr>
          <w:p w14:paraId="14C11994" w14:textId="138E295A" w:rsidR="00256C15" w:rsidRPr="008204CC" w:rsidRDefault="00256C15" w:rsidP="008462CA">
            <w:pPr>
              <w:autoSpaceDE w:val="0"/>
              <w:autoSpaceDN w:val="0"/>
              <w:adjustRightInd w:val="0"/>
              <w:rPr>
                <w:rFonts w:ascii="Arial" w:hAnsi="Arial" w:cs="Arial"/>
                <w:color w:val="000000"/>
              </w:rPr>
            </w:pPr>
            <w:r>
              <w:rPr>
                <w:rFonts w:ascii="Arial" w:hAnsi="Arial" w:cs="Arial"/>
                <w:color w:val="000000"/>
              </w:rPr>
              <w:t>0.0804</w:t>
            </w:r>
          </w:p>
        </w:tc>
      </w:tr>
      <w:tr w:rsidR="00256C15" w:rsidRPr="008204CC" w14:paraId="5243B0DD" w14:textId="4EFF023B" w:rsidTr="00256C15">
        <w:tc>
          <w:tcPr>
            <w:tcW w:w="2141" w:type="dxa"/>
          </w:tcPr>
          <w:p w14:paraId="29656F2F" w14:textId="77777777" w:rsidR="00256C15" w:rsidRPr="008204CC" w:rsidRDefault="00256C15" w:rsidP="008462CA">
            <w:pPr>
              <w:rPr>
                <w:rFonts w:ascii="Arial" w:hAnsi="Arial" w:cs="Arial"/>
              </w:rPr>
            </w:pPr>
            <w:r w:rsidRPr="008204CC">
              <w:rPr>
                <w:rFonts w:ascii="Arial" w:hAnsi="Arial" w:cs="Arial"/>
              </w:rPr>
              <w:t>Equatorial Guinea</w:t>
            </w:r>
          </w:p>
        </w:tc>
        <w:tc>
          <w:tcPr>
            <w:tcW w:w="1681" w:type="dxa"/>
          </w:tcPr>
          <w:p w14:paraId="33671F6A" w14:textId="77777777" w:rsidR="00256C15" w:rsidRPr="008204CC" w:rsidRDefault="00256C15" w:rsidP="008462CA">
            <w:pPr>
              <w:rPr>
                <w:rFonts w:ascii="Arial" w:hAnsi="Arial" w:cs="Arial"/>
                <w:color w:val="000000"/>
              </w:rPr>
            </w:pPr>
            <w:r w:rsidRPr="008204CC">
              <w:rPr>
                <w:rFonts w:ascii="Arial" w:hAnsi="Arial" w:cs="Arial"/>
                <w:color w:val="000000"/>
              </w:rPr>
              <w:t>1.000000</w:t>
            </w:r>
          </w:p>
        </w:tc>
        <w:tc>
          <w:tcPr>
            <w:tcW w:w="1840" w:type="dxa"/>
          </w:tcPr>
          <w:p w14:paraId="162CE7F9" w14:textId="77777777" w:rsidR="00256C15" w:rsidRPr="008204CC" w:rsidRDefault="00256C15" w:rsidP="008462CA">
            <w:pPr>
              <w:rPr>
                <w:rFonts w:ascii="Arial" w:hAnsi="Arial" w:cs="Arial"/>
              </w:rPr>
            </w:pPr>
            <w:r w:rsidRPr="008204CC">
              <w:rPr>
                <w:rFonts w:ascii="Arial" w:hAnsi="Arial" w:cs="Arial"/>
                <w:color w:val="000000"/>
              </w:rPr>
              <w:t>-0.244693</w:t>
            </w:r>
          </w:p>
        </w:tc>
        <w:tc>
          <w:tcPr>
            <w:tcW w:w="1771" w:type="dxa"/>
          </w:tcPr>
          <w:p w14:paraId="53CBF35A" w14:textId="77777777" w:rsidR="00256C15" w:rsidRPr="008204CC" w:rsidRDefault="00256C15" w:rsidP="008462CA">
            <w:pPr>
              <w:autoSpaceDE w:val="0"/>
              <w:autoSpaceDN w:val="0"/>
              <w:adjustRightInd w:val="0"/>
              <w:rPr>
                <w:rFonts w:ascii="Arial" w:hAnsi="Arial" w:cs="Arial"/>
                <w:color w:val="000000"/>
              </w:rPr>
            </w:pPr>
            <w:r w:rsidRPr="008204CC">
              <w:rPr>
                <w:rFonts w:ascii="Arial" w:hAnsi="Arial" w:cs="Arial"/>
                <w:color w:val="000000"/>
              </w:rPr>
              <w:t>-4.23747</w:t>
            </w:r>
          </w:p>
        </w:tc>
        <w:tc>
          <w:tcPr>
            <w:tcW w:w="1583" w:type="dxa"/>
          </w:tcPr>
          <w:p w14:paraId="28056581" w14:textId="26447F0E" w:rsidR="00256C15" w:rsidRPr="008204CC" w:rsidRDefault="00256C15" w:rsidP="008462CA">
            <w:pPr>
              <w:autoSpaceDE w:val="0"/>
              <w:autoSpaceDN w:val="0"/>
              <w:adjustRightInd w:val="0"/>
              <w:rPr>
                <w:rFonts w:ascii="Arial" w:hAnsi="Arial" w:cs="Arial"/>
                <w:color w:val="000000"/>
              </w:rPr>
            </w:pPr>
            <w:r>
              <w:rPr>
                <w:rFonts w:ascii="Arial" w:hAnsi="Arial" w:cs="Arial"/>
                <w:color w:val="000000"/>
              </w:rPr>
              <w:t>0.0000</w:t>
            </w:r>
          </w:p>
        </w:tc>
      </w:tr>
    </w:tbl>
    <w:p w14:paraId="09E50114" w14:textId="04884768" w:rsidR="00806598" w:rsidRPr="005D14CA" w:rsidRDefault="00806598" w:rsidP="0066301C">
      <w:pPr>
        <w:autoSpaceDE w:val="0"/>
        <w:autoSpaceDN w:val="0"/>
        <w:adjustRightInd w:val="0"/>
        <w:spacing w:after="0" w:line="276" w:lineRule="auto"/>
        <w:rPr>
          <w:rFonts w:ascii="Arial" w:hAnsi="Arial" w:cs="Arial"/>
          <w:i/>
          <w:sz w:val="20"/>
          <w:szCs w:val="20"/>
          <w:lang w:val="en-US"/>
        </w:rPr>
      </w:pPr>
      <w:r w:rsidRPr="005D14CA">
        <w:rPr>
          <w:rFonts w:ascii="Arial" w:hAnsi="Arial" w:cs="Arial"/>
          <w:i/>
          <w:sz w:val="20"/>
          <w:szCs w:val="20"/>
          <w:lang w:val="en-US"/>
        </w:rPr>
        <w:t xml:space="preserve">Source: </w:t>
      </w:r>
      <w:r w:rsidRPr="005D14CA">
        <w:rPr>
          <w:rFonts w:ascii="Arial" w:hAnsi="Arial" w:cs="Arial"/>
          <w:sz w:val="20"/>
          <w:szCs w:val="20"/>
          <w:lang w:val="en-US"/>
        </w:rPr>
        <w:t>Computing from time-series data using EViews 1</w:t>
      </w:r>
      <w:r w:rsidR="006664A8" w:rsidRPr="005D14CA">
        <w:rPr>
          <w:rFonts w:ascii="Arial" w:hAnsi="Arial" w:cs="Arial"/>
          <w:sz w:val="20"/>
          <w:szCs w:val="20"/>
          <w:lang w:val="en-US"/>
        </w:rPr>
        <w:t>2</w:t>
      </w:r>
      <w:r w:rsidRPr="005D14CA">
        <w:rPr>
          <w:rFonts w:ascii="Arial" w:hAnsi="Arial" w:cs="Arial"/>
          <w:sz w:val="20"/>
          <w:szCs w:val="20"/>
          <w:lang w:val="en-US"/>
        </w:rPr>
        <w:t>.</w:t>
      </w:r>
      <w:r w:rsidRPr="005D14CA">
        <w:rPr>
          <w:rFonts w:ascii="Arial" w:hAnsi="Arial" w:cs="Arial"/>
          <w:i/>
          <w:sz w:val="20"/>
          <w:szCs w:val="20"/>
          <w:lang w:val="en-US"/>
        </w:rPr>
        <w:t xml:space="preserve"> </w:t>
      </w:r>
    </w:p>
    <w:p w14:paraId="557CE3E0" w14:textId="12A3D79C" w:rsidR="00AC28DE" w:rsidRPr="00AC28DE" w:rsidRDefault="00AC28DE" w:rsidP="0066301C">
      <w:pPr>
        <w:spacing w:line="360" w:lineRule="auto"/>
        <w:jc w:val="both"/>
        <w:rPr>
          <w:rFonts w:ascii="Arial" w:hAnsi="Arial" w:cs="Arial"/>
          <w:lang w:eastAsia="en-GB"/>
        </w:rPr>
      </w:pPr>
      <w:bookmarkStart w:id="375" w:name="_Hlk134147913"/>
      <w:bookmarkEnd w:id="371"/>
      <w:r w:rsidRPr="00AC28DE">
        <w:rPr>
          <w:rFonts w:ascii="Arial" w:hAnsi="Arial" w:cs="Arial"/>
          <w:lang w:eastAsia="en-GB"/>
        </w:rPr>
        <w:t>From the above results with the REER as the dependent (target) variable, the coefficient of the ECT result of Cameroon is positive (0.077) and is statistically insignificant as the value of the </w:t>
      </w:r>
      <w:r w:rsidRPr="00AC28DE">
        <w:rPr>
          <w:rFonts w:ascii="Arial" w:hAnsi="Arial" w:cs="Arial"/>
          <w:i/>
          <w:iCs/>
          <w:lang w:eastAsia="en-GB"/>
        </w:rPr>
        <w:t>t-statistic </w:t>
      </w:r>
      <w:r w:rsidRPr="00AC28DE">
        <w:rPr>
          <w:rFonts w:ascii="Arial" w:hAnsi="Arial" w:cs="Arial"/>
          <w:lang w:eastAsia="en-GB"/>
        </w:rPr>
        <w:t>(1.60</w:t>
      </w:r>
      <w:r w:rsidR="00EF556C">
        <w:rPr>
          <w:rFonts w:ascii="Arial" w:hAnsi="Arial" w:cs="Arial"/>
          <w:lang w:eastAsia="en-GB"/>
        </w:rPr>
        <w:t>5</w:t>
      </w:r>
      <w:r w:rsidRPr="00AC28DE">
        <w:rPr>
          <w:rFonts w:ascii="Arial" w:hAnsi="Arial" w:cs="Arial"/>
          <w:lang w:eastAsia="en-GB"/>
        </w:rPr>
        <w:t>) is less than (|2|). This is also supported by the </w:t>
      </w:r>
      <w:r w:rsidRPr="00AC28DE">
        <w:rPr>
          <w:rFonts w:ascii="Arial" w:hAnsi="Arial" w:cs="Arial"/>
          <w:i/>
          <w:iCs/>
          <w:lang w:eastAsia="en-GB"/>
        </w:rPr>
        <w:t>p-</w:t>
      </w:r>
      <w:r w:rsidRPr="00AC28DE">
        <w:rPr>
          <w:rFonts w:ascii="Arial" w:hAnsi="Arial" w:cs="Arial"/>
          <w:lang w:eastAsia="en-GB"/>
        </w:rPr>
        <w:t xml:space="preserve">value greater than 5% (11%). This implies that there is no long-term relationship between the REER and its fundamentals. This helps solve the doubt we earlier had in the trace statistics and the maximum eigenvalue of the Johansen cointegration test. </w:t>
      </w:r>
      <w:r w:rsidRPr="00C44537">
        <w:rPr>
          <w:rFonts w:ascii="Arial" w:hAnsi="Arial" w:cs="Arial"/>
          <w:lang w:eastAsia="en-GB"/>
        </w:rPr>
        <w:t xml:space="preserve">This means there is no long-term relationship between REER and the independent variables </w:t>
      </w:r>
      <w:r w:rsidRPr="00AC28DE">
        <w:rPr>
          <w:rFonts w:ascii="Arial" w:hAnsi="Arial" w:cs="Arial"/>
          <w:lang w:eastAsia="en-GB"/>
        </w:rPr>
        <w:t>(i.e., the variables do not impact REER in the long term). As such, we will perform the unrestricted/ basic VAR to look for the short-term relationship in the model. </w:t>
      </w:r>
    </w:p>
    <w:bookmarkEnd w:id="374"/>
    <w:p w14:paraId="151F57FD" w14:textId="695EE6EC" w:rsidR="00D15791" w:rsidRDefault="00AC28DE" w:rsidP="0066301C">
      <w:pPr>
        <w:spacing w:line="360" w:lineRule="auto"/>
        <w:jc w:val="both"/>
        <w:rPr>
          <w:rFonts w:ascii="Arial" w:hAnsi="Arial" w:cs="Arial"/>
          <w:lang w:eastAsia="en-GB"/>
        </w:rPr>
      </w:pPr>
      <w:r w:rsidRPr="00AC28DE">
        <w:rPr>
          <w:rFonts w:ascii="Arial" w:hAnsi="Arial" w:cs="Arial"/>
          <w:lang w:eastAsia="en-GB"/>
        </w:rPr>
        <w:t>The coefficient of the ECT of Gabon is also positive (0.029) and statistically insignificant, with a </w:t>
      </w:r>
      <w:r w:rsidRPr="00AC28DE">
        <w:rPr>
          <w:rFonts w:ascii="Arial" w:hAnsi="Arial" w:cs="Arial"/>
          <w:i/>
          <w:iCs/>
          <w:lang w:eastAsia="en-GB"/>
        </w:rPr>
        <w:t>t-</w:t>
      </w:r>
      <w:r w:rsidRPr="00AC28DE">
        <w:rPr>
          <w:rFonts w:ascii="Arial" w:hAnsi="Arial" w:cs="Arial"/>
          <w:lang w:eastAsia="en-GB"/>
        </w:rPr>
        <w:t>statistic less tha</w:t>
      </w:r>
      <w:r w:rsidR="00A72E13">
        <w:rPr>
          <w:rFonts w:ascii="Arial" w:hAnsi="Arial" w:cs="Arial"/>
          <w:lang w:eastAsia="en-GB"/>
        </w:rPr>
        <w:t>n 2 (i</w:t>
      </w:r>
      <w:r w:rsidR="00025F80">
        <w:rPr>
          <w:rFonts w:ascii="Arial" w:hAnsi="Arial" w:cs="Arial"/>
          <w:lang w:eastAsia="en-GB"/>
        </w:rPr>
        <w:t xml:space="preserve">.e., </w:t>
      </w:r>
      <w:r w:rsidRPr="00AC28DE">
        <w:rPr>
          <w:rFonts w:ascii="Arial" w:hAnsi="Arial" w:cs="Arial"/>
          <w:lang w:eastAsia="en-GB"/>
        </w:rPr>
        <w:t>1.761) and </w:t>
      </w:r>
      <w:r w:rsidRPr="00AC28DE">
        <w:rPr>
          <w:rFonts w:ascii="Arial" w:hAnsi="Arial" w:cs="Arial"/>
          <w:i/>
          <w:iCs/>
          <w:lang w:eastAsia="en-GB"/>
        </w:rPr>
        <w:t>a p-</w:t>
      </w:r>
      <w:r w:rsidRPr="00AC28DE">
        <w:rPr>
          <w:rFonts w:ascii="Arial" w:hAnsi="Arial" w:cs="Arial"/>
          <w:lang w:eastAsia="en-GB"/>
        </w:rPr>
        <w:t>value greater than 5% (8%). This also means that there is no long-term relationship between the REER and its fundamentals. As such, we will also perform the unrestricted/ basic VAR to look for the short-term relationship in the model.</w:t>
      </w:r>
      <w:r w:rsidR="00E371EC">
        <w:rPr>
          <w:rStyle w:val="FootnoteReference"/>
          <w:rFonts w:ascii="Arial" w:hAnsi="Arial" w:cs="Arial"/>
          <w:lang w:eastAsia="en-GB"/>
        </w:rPr>
        <w:footnoteReference w:id="73"/>
      </w:r>
      <w:r w:rsidRPr="00AC28DE">
        <w:rPr>
          <w:rFonts w:ascii="Arial" w:hAnsi="Arial" w:cs="Arial"/>
          <w:lang w:eastAsia="en-GB"/>
        </w:rPr>
        <w:t xml:space="preserve"> </w:t>
      </w:r>
    </w:p>
    <w:p w14:paraId="359AF58B" w14:textId="77777777" w:rsidR="00E371EC" w:rsidRDefault="00AC28DE" w:rsidP="0066301C">
      <w:pPr>
        <w:spacing w:line="360" w:lineRule="auto"/>
        <w:jc w:val="both"/>
        <w:rPr>
          <w:rFonts w:ascii="Arial" w:hAnsi="Arial" w:cs="Arial"/>
          <w:lang w:eastAsia="en-GB"/>
        </w:rPr>
      </w:pPr>
      <w:r w:rsidRPr="00AC28DE">
        <w:rPr>
          <w:rFonts w:ascii="Arial" w:hAnsi="Arial" w:cs="Arial"/>
          <w:lang w:eastAsia="en-GB"/>
        </w:rPr>
        <w:t>As earlier mentioned, due to insufficient time series data for both Congo and Chad, the</w:t>
      </w:r>
      <w:r w:rsidR="00E371EC">
        <w:rPr>
          <w:rFonts w:ascii="Arial" w:hAnsi="Arial" w:cs="Arial"/>
          <w:lang w:eastAsia="en-GB"/>
        </w:rPr>
        <w:t>re</w:t>
      </w:r>
      <w:r w:rsidRPr="00AC28DE">
        <w:rPr>
          <w:rFonts w:ascii="Arial" w:hAnsi="Arial" w:cs="Arial"/>
          <w:lang w:eastAsia="en-GB"/>
        </w:rPr>
        <w:t xml:space="preserve"> optimal lag length test</w:t>
      </w:r>
      <w:r w:rsidR="00E371EC">
        <w:rPr>
          <w:rFonts w:ascii="Arial" w:hAnsi="Arial" w:cs="Arial"/>
          <w:lang w:eastAsia="en-GB"/>
        </w:rPr>
        <w:t>s</w:t>
      </w:r>
      <w:r w:rsidRPr="00AC28DE">
        <w:rPr>
          <w:rFonts w:ascii="Arial" w:hAnsi="Arial" w:cs="Arial"/>
          <w:lang w:eastAsia="en-GB"/>
        </w:rPr>
        <w:t xml:space="preserve"> could not be performed, and as such</w:t>
      </w:r>
      <w:r w:rsidR="00A654CB">
        <w:rPr>
          <w:rFonts w:ascii="Arial" w:hAnsi="Arial" w:cs="Arial"/>
          <w:lang w:eastAsia="en-GB"/>
        </w:rPr>
        <w:t>,</w:t>
      </w:r>
      <w:r w:rsidRPr="00AC28DE">
        <w:rPr>
          <w:rFonts w:ascii="Arial" w:hAnsi="Arial" w:cs="Arial"/>
          <w:lang w:eastAsia="en-GB"/>
        </w:rPr>
        <w:t xml:space="preserve"> both the Johansen cointegration test and VAR test could not be performed. </w:t>
      </w:r>
    </w:p>
    <w:p w14:paraId="1A2B7082" w14:textId="1889814E" w:rsidR="00AC28DE" w:rsidRPr="00D15791" w:rsidRDefault="00E371EC" w:rsidP="0066301C">
      <w:pPr>
        <w:spacing w:line="360" w:lineRule="auto"/>
        <w:jc w:val="both"/>
        <w:rPr>
          <w:rFonts w:ascii="Arial" w:hAnsi="Arial" w:cs="Arial"/>
          <w:lang w:eastAsia="en-GB"/>
        </w:rPr>
      </w:pPr>
      <w:r>
        <w:rPr>
          <w:rFonts w:ascii="Arial" w:eastAsia="Times New Roman" w:hAnsi="Arial" w:cs="Arial"/>
          <w:color w:val="0E101A"/>
          <w:lang w:eastAsia="en-GB"/>
        </w:rPr>
        <w:t>T</w:t>
      </w:r>
      <w:r w:rsidRPr="00D64C69">
        <w:rPr>
          <w:rFonts w:ascii="Arial" w:eastAsia="Times New Roman" w:hAnsi="Arial" w:cs="Arial"/>
          <w:color w:val="0E101A"/>
          <w:lang w:eastAsia="en-GB"/>
        </w:rPr>
        <w:t>he coefficient of the ECT</w:t>
      </w:r>
      <w:r>
        <w:rPr>
          <w:rFonts w:ascii="Arial" w:hAnsi="Arial" w:cs="Arial"/>
          <w:lang w:eastAsia="en-GB"/>
        </w:rPr>
        <w:t xml:space="preserve"> of </w:t>
      </w:r>
      <w:r w:rsidR="00AC28DE" w:rsidRPr="00D64C69">
        <w:rPr>
          <w:rFonts w:ascii="Arial" w:eastAsia="Times New Roman" w:hAnsi="Arial" w:cs="Arial"/>
          <w:color w:val="0E101A"/>
          <w:lang w:eastAsia="en-GB"/>
        </w:rPr>
        <w:t>CAR and Equatorial Guinea are (|-0.10</w:t>
      </w:r>
      <w:r w:rsidR="00D009C5">
        <w:rPr>
          <w:rFonts w:ascii="Arial" w:eastAsia="Times New Roman" w:hAnsi="Arial" w:cs="Arial"/>
          <w:color w:val="0E101A"/>
          <w:lang w:eastAsia="en-GB"/>
        </w:rPr>
        <w:t>4</w:t>
      </w:r>
      <w:r w:rsidR="00AC28DE" w:rsidRPr="00D64C69">
        <w:rPr>
          <w:rFonts w:ascii="Arial" w:eastAsia="Times New Roman" w:hAnsi="Arial" w:cs="Arial"/>
          <w:color w:val="0E101A"/>
          <w:lang w:eastAsia="en-GB"/>
        </w:rPr>
        <w:t>| and |-0.2</w:t>
      </w:r>
      <w:r w:rsidR="00D009C5">
        <w:rPr>
          <w:rFonts w:ascii="Arial" w:eastAsia="Times New Roman" w:hAnsi="Arial" w:cs="Arial"/>
          <w:color w:val="0E101A"/>
          <w:lang w:eastAsia="en-GB"/>
        </w:rPr>
        <w:t>5</w:t>
      </w:r>
      <w:r w:rsidR="00AC28DE" w:rsidRPr="00D64C69">
        <w:rPr>
          <w:rFonts w:ascii="Arial" w:eastAsia="Times New Roman" w:hAnsi="Arial" w:cs="Arial"/>
          <w:color w:val="0E101A"/>
          <w:lang w:eastAsia="en-GB"/>
        </w:rPr>
        <w:t>| respectively). The</w:t>
      </w:r>
      <w:r>
        <w:rPr>
          <w:rFonts w:ascii="Arial" w:eastAsia="Times New Roman" w:hAnsi="Arial" w:cs="Arial"/>
          <w:color w:val="0E101A"/>
          <w:lang w:eastAsia="en-GB"/>
        </w:rPr>
        <w:t>se</w:t>
      </w:r>
      <w:r w:rsidR="00AC28DE" w:rsidRPr="00D64C69">
        <w:rPr>
          <w:rFonts w:ascii="Arial" w:eastAsia="Times New Roman" w:hAnsi="Arial" w:cs="Arial"/>
          <w:color w:val="0E101A"/>
          <w:lang w:eastAsia="en-GB"/>
        </w:rPr>
        <w:t xml:space="preserve"> results are statistically significant as th</w:t>
      </w:r>
      <w:r>
        <w:rPr>
          <w:rFonts w:ascii="Arial" w:eastAsia="Times New Roman" w:hAnsi="Arial" w:cs="Arial"/>
          <w:color w:val="0E101A"/>
          <w:lang w:eastAsia="en-GB"/>
        </w:rPr>
        <w:t>e</w:t>
      </w:r>
      <w:r w:rsidR="00AC28DE" w:rsidRPr="00D64C69">
        <w:rPr>
          <w:rFonts w:ascii="Arial" w:eastAsia="Times New Roman" w:hAnsi="Arial" w:cs="Arial"/>
          <w:color w:val="0E101A"/>
          <w:lang w:eastAsia="en-GB"/>
        </w:rPr>
        <w:t> </w:t>
      </w:r>
      <w:r w:rsidR="00AC28DE" w:rsidRPr="00D64C69">
        <w:rPr>
          <w:rFonts w:ascii="Arial" w:eastAsia="Times New Roman" w:hAnsi="Arial" w:cs="Arial"/>
          <w:i/>
          <w:iCs/>
          <w:color w:val="0E101A"/>
          <w:lang w:eastAsia="en-GB"/>
        </w:rPr>
        <w:t>t-statistics </w:t>
      </w:r>
      <w:r w:rsidR="00AC28DE" w:rsidRPr="00D64C69">
        <w:rPr>
          <w:rFonts w:ascii="Arial" w:eastAsia="Times New Roman" w:hAnsi="Arial" w:cs="Arial"/>
          <w:color w:val="0E101A"/>
          <w:lang w:eastAsia="en-GB"/>
        </w:rPr>
        <w:t>are (|</w:t>
      </w:r>
      <w:r w:rsidR="00180B9C">
        <w:rPr>
          <w:rFonts w:ascii="Arial" w:eastAsia="Times New Roman" w:hAnsi="Arial" w:cs="Arial"/>
          <w:color w:val="0E101A"/>
          <w:lang w:eastAsia="en-GB"/>
        </w:rPr>
        <w:t>-</w:t>
      </w:r>
      <w:r w:rsidR="00AC28DE" w:rsidRPr="00D64C69">
        <w:rPr>
          <w:rFonts w:ascii="Arial" w:eastAsia="Times New Roman" w:hAnsi="Arial" w:cs="Arial"/>
          <w:color w:val="0E101A"/>
          <w:lang w:eastAsia="en-GB"/>
        </w:rPr>
        <w:t>2.86|</w:t>
      </w:r>
      <w:r w:rsidR="00E67AA3">
        <w:rPr>
          <w:rFonts w:ascii="Arial" w:eastAsia="Times New Roman" w:hAnsi="Arial" w:cs="Arial"/>
          <w:color w:val="0E101A"/>
          <w:lang w:eastAsia="en-GB"/>
        </w:rPr>
        <w:t>5</w:t>
      </w:r>
      <w:r w:rsidR="00AC28DE" w:rsidRPr="00D64C69">
        <w:rPr>
          <w:rFonts w:ascii="Arial" w:eastAsia="Times New Roman" w:hAnsi="Arial" w:cs="Arial"/>
          <w:color w:val="0E101A"/>
          <w:lang w:eastAsia="en-GB"/>
        </w:rPr>
        <w:t xml:space="preserve"> and |</w:t>
      </w:r>
      <w:r w:rsidR="00180B9C">
        <w:rPr>
          <w:rFonts w:ascii="Arial" w:eastAsia="Times New Roman" w:hAnsi="Arial" w:cs="Arial"/>
          <w:color w:val="0E101A"/>
          <w:lang w:eastAsia="en-GB"/>
        </w:rPr>
        <w:t>-</w:t>
      </w:r>
      <w:r w:rsidR="00AC28DE" w:rsidRPr="00D64C69">
        <w:rPr>
          <w:rFonts w:ascii="Arial" w:eastAsia="Times New Roman" w:hAnsi="Arial" w:cs="Arial"/>
          <w:color w:val="0E101A"/>
          <w:lang w:eastAsia="en-GB"/>
        </w:rPr>
        <w:t>4.23</w:t>
      </w:r>
      <w:r w:rsidR="00E67AA3">
        <w:rPr>
          <w:rFonts w:ascii="Arial" w:eastAsia="Times New Roman" w:hAnsi="Arial" w:cs="Arial"/>
          <w:color w:val="0E101A"/>
          <w:lang w:eastAsia="en-GB"/>
        </w:rPr>
        <w:t>7</w:t>
      </w:r>
      <w:r w:rsidR="00AC28DE" w:rsidRPr="00D64C69">
        <w:rPr>
          <w:rFonts w:ascii="Arial" w:eastAsia="Times New Roman" w:hAnsi="Arial" w:cs="Arial"/>
          <w:color w:val="0E101A"/>
          <w:lang w:eastAsia="en-GB"/>
        </w:rPr>
        <w:t>|)</w:t>
      </w:r>
      <w:r w:rsidR="007D0740">
        <w:rPr>
          <w:rFonts w:ascii="Arial" w:eastAsia="Times New Roman" w:hAnsi="Arial" w:cs="Arial"/>
          <w:color w:val="0E101A"/>
          <w:lang w:eastAsia="en-GB"/>
        </w:rPr>
        <w:t>,</w:t>
      </w:r>
      <w:r w:rsidR="00AC28DE" w:rsidRPr="00D64C69">
        <w:rPr>
          <w:rFonts w:ascii="Arial" w:eastAsia="Times New Roman" w:hAnsi="Arial" w:cs="Arial"/>
          <w:color w:val="0E101A"/>
          <w:lang w:eastAsia="en-GB"/>
        </w:rPr>
        <w:t xml:space="preserve"> respectively which is greater than (|2|). This means that there are long-term relationships between the REER and its fundamentals in both nations</w:t>
      </w:r>
      <w:r>
        <w:rPr>
          <w:rFonts w:ascii="Arial" w:eastAsia="Times New Roman" w:hAnsi="Arial" w:cs="Arial"/>
          <w:color w:val="0E101A"/>
          <w:lang w:eastAsia="en-GB"/>
        </w:rPr>
        <w:t>, necessitating the performance of restricted VAR (i.e., VECM)</w:t>
      </w:r>
      <w:r w:rsidR="00AC28DE" w:rsidRPr="00D64C69">
        <w:rPr>
          <w:rFonts w:ascii="Arial" w:eastAsia="Times New Roman" w:hAnsi="Arial" w:cs="Arial"/>
          <w:color w:val="0E101A"/>
          <w:lang w:eastAsia="en-GB"/>
        </w:rPr>
        <w:t>. Thus, the long-run model is seen below.</w:t>
      </w:r>
    </w:p>
    <w:p w14:paraId="13847BEE" w14:textId="103906CD" w:rsidR="008B4F47" w:rsidRDefault="008B4F47" w:rsidP="0066301C">
      <w:pPr>
        <w:spacing w:after="200" w:line="360" w:lineRule="auto"/>
        <w:jc w:val="both"/>
        <w:rPr>
          <w:rFonts w:ascii="Arial" w:hAnsi="Arial" w:cs="Arial"/>
          <w:b/>
          <w:bCs/>
        </w:rPr>
      </w:pPr>
      <w:bookmarkStart w:id="376" w:name="_Hlk170835896"/>
      <w:r w:rsidRPr="008B4F47">
        <w:rPr>
          <w:rFonts w:ascii="Arial" w:hAnsi="Arial" w:cs="Arial"/>
          <w:b/>
          <w:bCs/>
        </w:rPr>
        <w:t>Long-Run Relationship between REER and its Fundamentals</w:t>
      </w:r>
    </w:p>
    <w:p w14:paraId="7450507E" w14:textId="7D71756D" w:rsidR="00B10E7E" w:rsidRPr="005E62B2" w:rsidRDefault="008B4F47" w:rsidP="0066301C">
      <w:pPr>
        <w:spacing w:after="200" w:line="360" w:lineRule="auto"/>
        <w:jc w:val="both"/>
        <w:rPr>
          <w:rFonts w:ascii="Arial" w:hAnsi="Arial" w:cs="Arial"/>
        </w:rPr>
      </w:pPr>
      <w:r w:rsidRPr="00914B41">
        <w:rPr>
          <w:rFonts w:ascii="Arial" w:hAnsi="Arial" w:cs="Arial"/>
        </w:rPr>
        <w:t xml:space="preserve">The long-run model for the relationship between REER and its fundamentals </w:t>
      </w:r>
      <w:r w:rsidR="00914B41" w:rsidRPr="00914B41">
        <w:rPr>
          <w:rFonts w:ascii="Arial" w:hAnsi="Arial" w:cs="Arial"/>
        </w:rPr>
        <w:t xml:space="preserve">for CAR and Equatorial Guinea </w:t>
      </w:r>
      <w:r w:rsidRPr="00914B41">
        <w:rPr>
          <w:rFonts w:ascii="Arial" w:hAnsi="Arial" w:cs="Arial"/>
        </w:rPr>
        <w:t>is as seen below</w:t>
      </w:r>
      <w:bookmarkEnd w:id="375"/>
      <w:r w:rsidR="00914B41" w:rsidRPr="00914B41">
        <w:rPr>
          <w:rFonts w:ascii="Arial" w:hAnsi="Arial" w:cs="Arial"/>
        </w:rPr>
        <w:t>.</w:t>
      </w:r>
      <w:r>
        <w:rPr>
          <w:rFonts w:ascii="Arial" w:hAnsi="Arial" w:cs="Arial"/>
        </w:rPr>
        <w:t xml:space="preserve"> </w:t>
      </w:r>
    </w:p>
    <w:p w14:paraId="1403D605" w14:textId="753C9AF6" w:rsidR="00CB60E8" w:rsidRDefault="00507F9F" w:rsidP="0066301C">
      <w:pPr>
        <w:spacing w:after="0" w:line="240" w:lineRule="auto"/>
        <w:jc w:val="both"/>
        <w:rPr>
          <w:rFonts w:ascii="Arial" w:hAnsi="Arial" w:cs="Arial"/>
          <w:b/>
          <w:bCs/>
        </w:rPr>
      </w:pPr>
      <w:r w:rsidRPr="009C0D9E">
        <w:rPr>
          <w:rFonts w:ascii="Arial" w:hAnsi="Arial" w:cs="Arial"/>
          <w:b/>
          <w:bCs/>
        </w:rPr>
        <w:t xml:space="preserve">Table </w:t>
      </w:r>
      <w:r w:rsidR="009C0D9E">
        <w:rPr>
          <w:rFonts w:ascii="Arial" w:hAnsi="Arial" w:cs="Arial"/>
          <w:b/>
          <w:bCs/>
        </w:rPr>
        <w:t>3</w:t>
      </w:r>
      <w:r w:rsidRPr="009C0D9E">
        <w:rPr>
          <w:rFonts w:ascii="Arial" w:hAnsi="Arial" w:cs="Arial"/>
          <w:b/>
          <w:bCs/>
        </w:rPr>
        <w:t xml:space="preserve">.6: </w:t>
      </w:r>
      <w:r w:rsidR="00937D86" w:rsidRPr="009C0D9E">
        <w:rPr>
          <w:rFonts w:ascii="Arial" w:hAnsi="Arial" w:cs="Arial"/>
          <w:b/>
          <w:bCs/>
        </w:rPr>
        <w:t xml:space="preserve">Long-Run </w:t>
      </w:r>
      <w:r w:rsidR="00D91A32" w:rsidRPr="009C0D9E">
        <w:rPr>
          <w:rFonts w:ascii="Arial" w:hAnsi="Arial" w:cs="Arial"/>
          <w:b/>
          <w:bCs/>
        </w:rPr>
        <w:t>Estimates</w:t>
      </w:r>
    </w:p>
    <w:tbl>
      <w:tblPr>
        <w:tblStyle w:val="TableGrid"/>
        <w:tblW w:w="8719" w:type="dxa"/>
        <w:tblInd w:w="-5" w:type="dxa"/>
        <w:tblLook w:val="04A0" w:firstRow="1" w:lastRow="0" w:firstColumn="1" w:lastColumn="0" w:noHBand="0" w:noVBand="1"/>
      </w:tblPr>
      <w:tblGrid>
        <w:gridCol w:w="1713"/>
        <w:gridCol w:w="1521"/>
        <w:gridCol w:w="1394"/>
        <w:gridCol w:w="1375"/>
        <w:gridCol w:w="1572"/>
        <w:gridCol w:w="1144"/>
      </w:tblGrid>
      <w:tr w:rsidR="00926F79" w:rsidRPr="008204CC" w14:paraId="06AD9179" w14:textId="49C3DC91" w:rsidTr="00D91A32">
        <w:trPr>
          <w:trHeight w:val="371"/>
        </w:trPr>
        <w:tc>
          <w:tcPr>
            <w:tcW w:w="1713" w:type="dxa"/>
          </w:tcPr>
          <w:p w14:paraId="39A5F903" w14:textId="7969DCB7" w:rsidR="00926F79" w:rsidRPr="008204CC" w:rsidRDefault="00926F79" w:rsidP="008462CA">
            <w:pPr>
              <w:rPr>
                <w:rFonts w:ascii="Arial" w:hAnsi="Arial" w:cs="Arial"/>
                <w:b/>
              </w:rPr>
            </w:pPr>
            <w:bookmarkStart w:id="377" w:name="_Hlk132164301"/>
            <w:r>
              <w:rPr>
                <w:rFonts w:ascii="Arial" w:hAnsi="Arial" w:cs="Arial"/>
                <w:b/>
              </w:rPr>
              <w:t>Variables</w:t>
            </w:r>
          </w:p>
        </w:tc>
        <w:tc>
          <w:tcPr>
            <w:tcW w:w="1521" w:type="dxa"/>
          </w:tcPr>
          <w:p w14:paraId="2F4EC7ED" w14:textId="66EF3887" w:rsidR="00926F79" w:rsidRPr="00926F79" w:rsidRDefault="00926F79" w:rsidP="008462CA">
            <w:pPr>
              <w:rPr>
                <w:rFonts w:ascii="Arial" w:hAnsi="Arial" w:cs="Arial"/>
                <w:b/>
                <w:bCs/>
              </w:rPr>
            </w:pPr>
            <w:r w:rsidRPr="00926F79">
              <w:rPr>
                <w:rFonts w:ascii="Arial" w:hAnsi="Arial" w:cs="Arial"/>
                <w:b/>
                <w:bCs/>
              </w:rPr>
              <w:t>TOT</w:t>
            </w:r>
          </w:p>
        </w:tc>
        <w:tc>
          <w:tcPr>
            <w:tcW w:w="1394" w:type="dxa"/>
          </w:tcPr>
          <w:p w14:paraId="7C588EC9" w14:textId="5CDA0443" w:rsidR="00926F79" w:rsidRPr="00926F79" w:rsidRDefault="00926F79" w:rsidP="008462CA">
            <w:pPr>
              <w:rPr>
                <w:rFonts w:ascii="Arial" w:hAnsi="Arial" w:cs="Arial"/>
                <w:b/>
                <w:bCs/>
              </w:rPr>
            </w:pPr>
            <w:r w:rsidRPr="00926F79">
              <w:rPr>
                <w:rFonts w:ascii="Arial" w:hAnsi="Arial" w:cs="Arial"/>
                <w:b/>
                <w:bCs/>
              </w:rPr>
              <w:t>NFA</w:t>
            </w:r>
          </w:p>
        </w:tc>
        <w:tc>
          <w:tcPr>
            <w:tcW w:w="1375" w:type="dxa"/>
          </w:tcPr>
          <w:p w14:paraId="6C6A9DFE" w14:textId="68F56F91" w:rsidR="00926F79" w:rsidRPr="00926F79" w:rsidRDefault="00926F79" w:rsidP="008462CA">
            <w:pPr>
              <w:autoSpaceDE w:val="0"/>
              <w:autoSpaceDN w:val="0"/>
              <w:adjustRightInd w:val="0"/>
              <w:rPr>
                <w:rFonts w:ascii="Arial" w:hAnsi="Arial" w:cs="Arial"/>
                <w:b/>
                <w:bCs/>
                <w:i/>
                <w:lang w:val="en-US"/>
              </w:rPr>
            </w:pPr>
            <w:r w:rsidRPr="00926F79">
              <w:rPr>
                <w:rFonts w:ascii="Arial" w:hAnsi="Arial" w:cs="Arial"/>
                <w:b/>
                <w:bCs/>
              </w:rPr>
              <w:t>GOVCON</w:t>
            </w:r>
          </w:p>
        </w:tc>
        <w:tc>
          <w:tcPr>
            <w:tcW w:w="1572" w:type="dxa"/>
          </w:tcPr>
          <w:p w14:paraId="513C058B" w14:textId="5E2F1F99" w:rsidR="00926F79" w:rsidRPr="00926F79" w:rsidRDefault="00926F79" w:rsidP="008462CA">
            <w:pPr>
              <w:autoSpaceDE w:val="0"/>
              <w:autoSpaceDN w:val="0"/>
              <w:adjustRightInd w:val="0"/>
              <w:rPr>
                <w:rFonts w:ascii="Arial" w:hAnsi="Arial" w:cs="Arial"/>
                <w:b/>
                <w:bCs/>
                <w:i/>
                <w:lang w:val="en-US"/>
              </w:rPr>
            </w:pPr>
            <w:r w:rsidRPr="00926F79">
              <w:rPr>
                <w:rFonts w:ascii="Arial" w:hAnsi="Arial" w:cs="Arial"/>
                <w:b/>
                <w:bCs/>
              </w:rPr>
              <w:t>OPEN</w:t>
            </w:r>
          </w:p>
        </w:tc>
        <w:tc>
          <w:tcPr>
            <w:tcW w:w="1144" w:type="dxa"/>
          </w:tcPr>
          <w:p w14:paraId="79F1908C" w14:textId="4B5565D5" w:rsidR="00926F79" w:rsidRPr="00926F79" w:rsidRDefault="00926F79" w:rsidP="008462CA">
            <w:pPr>
              <w:autoSpaceDE w:val="0"/>
              <w:autoSpaceDN w:val="0"/>
              <w:adjustRightInd w:val="0"/>
              <w:rPr>
                <w:rFonts w:ascii="Arial" w:hAnsi="Arial" w:cs="Arial"/>
                <w:b/>
                <w:bCs/>
              </w:rPr>
            </w:pPr>
            <w:r w:rsidRPr="00926F79">
              <w:rPr>
                <w:rFonts w:ascii="Arial" w:hAnsi="Arial" w:cs="Arial"/>
                <w:b/>
                <w:bCs/>
              </w:rPr>
              <w:t>PROD</w:t>
            </w:r>
          </w:p>
        </w:tc>
      </w:tr>
      <w:tr w:rsidR="00926F79" w:rsidRPr="008204CC" w14:paraId="318A1A5C" w14:textId="43433DF3" w:rsidTr="00D91A32">
        <w:trPr>
          <w:trHeight w:val="463"/>
        </w:trPr>
        <w:tc>
          <w:tcPr>
            <w:tcW w:w="1713" w:type="dxa"/>
          </w:tcPr>
          <w:p w14:paraId="5EB1F7C2" w14:textId="669064BD" w:rsidR="00926F79" w:rsidRPr="008204CC" w:rsidRDefault="00926F79" w:rsidP="008462CA">
            <w:pPr>
              <w:rPr>
                <w:rFonts w:ascii="Arial" w:hAnsi="Arial" w:cs="Arial"/>
              </w:rPr>
            </w:pPr>
            <w:r>
              <w:rPr>
                <w:rFonts w:ascii="Arial" w:hAnsi="Arial" w:cs="Arial"/>
                <w:b/>
              </w:rPr>
              <w:lastRenderedPageBreak/>
              <w:t>CAR</w:t>
            </w:r>
          </w:p>
        </w:tc>
        <w:tc>
          <w:tcPr>
            <w:tcW w:w="1521" w:type="dxa"/>
          </w:tcPr>
          <w:p w14:paraId="14E34BFA" w14:textId="77777777" w:rsidR="00926F79" w:rsidRDefault="00926F79" w:rsidP="008462CA">
            <w:pPr>
              <w:jc w:val="center"/>
              <w:rPr>
                <w:rFonts w:ascii="Arial" w:hAnsi="Arial" w:cs="Arial"/>
                <w:color w:val="000000"/>
                <w:sz w:val="18"/>
                <w:szCs w:val="18"/>
              </w:rPr>
            </w:pPr>
            <w:r>
              <w:rPr>
                <w:rFonts w:ascii="Arial" w:hAnsi="Arial" w:cs="Arial"/>
                <w:color w:val="000000"/>
                <w:sz w:val="18"/>
                <w:szCs w:val="18"/>
              </w:rPr>
              <w:t>2.601</w:t>
            </w:r>
          </w:p>
          <w:p w14:paraId="6C7ABFD1" w14:textId="7418D6C3" w:rsidR="00926F79" w:rsidRPr="008204CC" w:rsidRDefault="00926F79" w:rsidP="008462CA">
            <w:pPr>
              <w:jc w:val="center"/>
              <w:rPr>
                <w:rFonts w:ascii="Arial" w:hAnsi="Arial" w:cs="Arial"/>
                <w:color w:val="000000"/>
              </w:rPr>
            </w:pPr>
            <w:r>
              <w:rPr>
                <w:rFonts w:ascii="Arial" w:hAnsi="Arial" w:cs="Arial"/>
                <w:color w:val="000000"/>
                <w:sz w:val="18"/>
                <w:szCs w:val="18"/>
              </w:rPr>
              <w:t>[4.436]</w:t>
            </w:r>
          </w:p>
        </w:tc>
        <w:tc>
          <w:tcPr>
            <w:tcW w:w="1394" w:type="dxa"/>
          </w:tcPr>
          <w:p w14:paraId="0F3FE1C8" w14:textId="77777777" w:rsidR="00926F79" w:rsidRDefault="00926F79" w:rsidP="008462CA">
            <w:pPr>
              <w:jc w:val="center"/>
              <w:rPr>
                <w:rFonts w:ascii="Arial" w:hAnsi="Arial" w:cs="Arial"/>
                <w:color w:val="000000"/>
                <w:sz w:val="18"/>
                <w:szCs w:val="18"/>
              </w:rPr>
            </w:pPr>
            <w:r>
              <w:rPr>
                <w:rFonts w:ascii="Arial" w:hAnsi="Arial" w:cs="Arial"/>
                <w:color w:val="000000"/>
                <w:sz w:val="18"/>
                <w:szCs w:val="18"/>
              </w:rPr>
              <w:t>991.291</w:t>
            </w:r>
          </w:p>
          <w:p w14:paraId="3C1D95CF" w14:textId="20C572F3" w:rsidR="00926F79" w:rsidRPr="008204CC" w:rsidRDefault="00926F79" w:rsidP="008462CA">
            <w:pPr>
              <w:jc w:val="center"/>
              <w:rPr>
                <w:rFonts w:ascii="Arial" w:hAnsi="Arial" w:cs="Arial"/>
              </w:rPr>
            </w:pPr>
            <w:r>
              <w:rPr>
                <w:rFonts w:ascii="Arial" w:hAnsi="Arial" w:cs="Arial"/>
                <w:color w:val="000000"/>
                <w:sz w:val="18"/>
                <w:szCs w:val="18"/>
              </w:rPr>
              <w:t>[6.055]</w:t>
            </w:r>
          </w:p>
        </w:tc>
        <w:tc>
          <w:tcPr>
            <w:tcW w:w="1375" w:type="dxa"/>
          </w:tcPr>
          <w:p w14:paraId="133D2B53" w14:textId="77777777" w:rsidR="00926F79" w:rsidRDefault="00926F79" w:rsidP="008462CA">
            <w:pPr>
              <w:jc w:val="center"/>
              <w:rPr>
                <w:rFonts w:ascii="Arial" w:hAnsi="Arial" w:cs="Arial"/>
                <w:color w:val="000000"/>
                <w:sz w:val="18"/>
                <w:szCs w:val="18"/>
              </w:rPr>
            </w:pPr>
            <w:r>
              <w:rPr>
                <w:rFonts w:ascii="Arial" w:hAnsi="Arial" w:cs="Arial"/>
                <w:color w:val="000000"/>
                <w:sz w:val="18"/>
                <w:szCs w:val="18"/>
              </w:rPr>
              <w:t>-7.085</w:t>
            </w:r>
          </w:p>
          <w:p w14:paraId="5608FACB" w14:textId="2CB3CF5E" w:rsidR="00926F79" w:rsidRPr="008204CC" w:rsidRDefault="00926F79" w:rsidP="008462CA">
            <w:pPr>
              <w:autoSpaceDE w:val="0"/>
              <w:autoSpaceDN w:val="0"/>
              <w:adjustRightInd w:val="0"/>
              <w:jc w:val="center"/>
              <w:rPr>
                <w:rFonts w:ascii="Arial" w:hAnsi="Arial" w:cs="Arial"/>
                <w:lang w:val="en-US"/>
              </w:rPr>
            </w:pPr>
            <w:r>
              <w:rPr>
                <w:rFonts w:ascii="Arial" w:hAnsi="Arial" w:cs="Arial"/>
                <w:color w:val="000000"/>
                <w:sz w:val="18"/>
                <w:szCs w:val="18"/>
              </w:rPr>
              <w:t>[-2.024]</w:t>
            </w:r>
          </w:p>
        </w:tc>
        <w:tc>
          <w:tcPr>
            <w:tcW w:w="1572" w:type="dxa"/>
          </w:tcPr>
          <w:p w14:paraId="68D4C3C4" w14:textId="77777777" w:rsidR="00926F79" w:rsidRDefault="00926F79" w:rsidP="008462CA">
            <w:pPr>
              <w:jc w:val="center"/>
              <w:rPr>
                <w:rFonts w:ascii="Arial" w:hAnsi="Arial" w:cs="Arial"/>
                <w:color w:val="000000"/>
                <w:sz w:val="18"/>
                <w:szCs w:val="18"/>
              </w:rPr>
            </w:pPr>
            <w:r>
              <w:rPr>
                <w:rFonts w:ascii="Arial" w:hAnsi="Arial" w:cs="Arial"/>
                <w:color w:val="000000"/>
                <w:sz w:val="18"/>
                <w:szCs w:val="18"/>
              </w:rPr>
              <w:t>0.590</w:t>
            </w:r>
          </w:p>
          <w:p w14:paraId="5C7B5839" w14:textId="45673282" w:rsidR="00926F79" w:rsidRPr="008204CC" w:rsidRDefault="00926F79" w:rsidP="008462CA">
            <w:pPr>
              <w:autoSpaceDE w:val="0"/>
              <w:autoSpaceDN w:val="0"/>
              <w:adjustRightInd w:val="0"/>
              <w:jc w:val="center"/>
              <w:rPr>
                <w:rFonts w:ascii="Arial" w:hAnsi="Arial" w:cs="Arial"/>
                <w:color w:val="000000"/>
              </w:rPr>
            </w:pPr>
            <w:r>
              <w:rPr>
                <w:rFonts w:ascii="Arial" w:hAnsi="Arial" w:cs="Arial"/>
                <w:color w:val="000000"/>
                <w:sz w:val="18"/>
                <w:szCs w:val="18"/>
              </w:rPr>
              <w:t>[0.440]</w:t>
            </w:r>
          </w:p>
        </w:tc>
        <w:tc>
          <w:tcPr>
            <w:tcW w:w="1144" w:type="dxa"/>
          </w:tcPr>
          <w:p w14:paraId="17D2AF4A" w14:textId="77777777" w:rsidR="00926F79" w:rsidRDefault="00926F79" w:rsidP="008462CA">
            <w:pPr>
              <w:jc w:val="center"/>
              <w:rPr>
                <w:rFonts w:ascii="Arial" w:hAnsi="Arial" w:cs="Arial"/>
                <w:color w:val="000000"/>
                <w:sz w:val="18"/>
                <w:szCs w:val="18"/>
              </w:rPr>
            </w:pPr>
            <w:r>
              <w:rPr>
                <w:rFonts w:ascii="Arial" w:hAnsi="Arial" w:cs="Arial"/>
                <w:color w:val="000000"/>
                <w:sz w:val="18"/>
                <w:szCs w:val="18"/>
              </w:rPr>
              <w:t>0.599</w:t>
            </w:r>
          </w:p>
          <w:p w14:paraId="05AC6D1F" w14:textId="089B6D66" w:rsidR="00926F79" w:rsidRDefault="00926F79" w:rsidP="008462CA">
            <w:pPr>
              <w:jc w:val="center"/>
              <w:rPr>
                <w:rFonts w:ascii="Arial" w:hAnsi="Arial" w:cs="Arial"/>
                <w:color w:val="000000"/>
                <w:sz w:val="18"/>
                <w:szCs w:val="18"/>
              </w:rPr>
            </w:pPr>
            <w:r>
              <w:rPr>
                <w:rFonts w:ascii="Arial" w:hAnsi="Arial" w:cs="Arial"/>
                <w:color w:val="000000"/>
                <w:sz w:val="18"/>
                <w:szCs w:val="18"/>
              </w:rPr>
              <w:t>[4.439]</w:t>
            </w:r>
          </w:p>
        </w:tc>
      </w:tr>
      <w:tr w:rsidR="00926F79" w:rsidRPr="008204CC" w14:paraId="282636AA" w14:textId="7F84CD2F" w:rsidTr="00D91A32">
        <w:trPr>
          <w:trHeight w:val="401"/>
        </w:trPr>
        <w:tc>
          <w:tcPr>
            <w:tcW w:w="1713" w:type="dxa"/>
          </w:tcPr>
          <w:p w14:paraId="4866FB9C" w14:textId="7ACB1377" w:rsidR="00926F79" w:rsidRPr="008204CC" w:rsidRDefault="00926F79" w:rsidP="008462CA">
            <w:pPr>
              <w:rPr>
                <w:rFonts w:ascii="Arial" w:hAnsi="Arial" w:cs="Arial"/>
              </w:rPr>
            </w:pPr>
            <w:r w:rsidRPr="00E9422B">
              <w:rPr>
                <w:rFonts w:ascii="Arial" w:hAnsi="Arial" w:cs="Arial"/>
                <w:b/>
                <w:bCs/>
              </w:rPr>
              <w:t>Equatorial Guinea</w:t>
            </w:r>
          </w:p>
        </w:tc>
        <w:tc>
          <w:tcPr>
            <w:tcW w:w="1521" w:type="dxa"/>
          </w:tcPr>
          <w:p w14:paraId="79124C2B" w14:textId="77777777" w:rsidR="00926F79" w:rsidRDefault="00926F79" w:rsidP="008462CA">
            <w:pPr>
              <w:autoSpaceDE w:val="0"/>
              <w:autoSpaceDN w:val="0"/>
              <w:adjustRightInd w:val="0"/>
              <w:jc w:val="center"/>
              <w:rPr>
                <w:rFonts w:ascii="Arial" w:hAnsi="Arial" w:cs="Arial"/>
                <w:color w:val="000000"/>
                <w:sz w:val="18"/>
                <w:szCs w:val="18"/>
              </w:rPr>
            </w:pPr>
            <w:r>
              <w:rPr>
                <w:rFonts w:ascii="Arial" w:hAnsi="Arial" w:cs="Arial"/>
                <w:color w:val="000000"/>
                <w:sz w:val="18"/>
                <w:szCs w:val="18"/>
              </w:rPr>
              <w:t>-0.539</w:t>
            </w:r>
          </w:p>
          <w:p w14:paraId="31CF64DE" w14:textId="4E01141E" w:rsidR="00926F79" w:rsidRPr="008204CC" w:rsidRDefault="00926F79" w:rsidP="008462CA">
            <w:pPr>
              <w:jc w:val="center"/>
              <w:rPr>
                <w:rFonts w:ascii="Arial" w:hAnsi="Arial" w:cs="Arial"/>
                <w:color w:val="000000"/>
              </w:rPr>
            </w:pPr>
            <w:r>
              <w:rPr>
                <w:rFonts w:ascii="Arial" w:hAnsi="Arial" w:cs="Arial"/>
                <w:color w:val="000000"/>
                <w:sz w:val="18"/>
                <w:szCs w:val="18"/>
                <w:lang w:val="en-US"/>
              </w:rPr>
              <w:t>[</w:t>
            </w:r>
            <w:r>
              <w:rPr>
                <w:rFonts w:ascii="Arial" w:hAnsi="Arial" w:cs="Arial"/>
                <w:color w:val="000000"/>
                <w:sz w:val="18"/>
                <w:szCs w:val="18"/>
              </w:rPr>
              <w:t>-3.692</w:t>
            </w:r>
            <w:r>
              <w:rPr>
                <w:rFonts w:ascii="Arial" w:hAnsi="Arial" w:cs="Arial"/>
                <w:color w:val="000000"/>
                <w:sz w:val="18"/>
                <w:szCs w:val="18"/>
                <w:lang w:val="en-US"/>
              </w:rPr>
              <w:t>]</w:t>
            </w:r>
          </w:p>
        </w:tc>
        <w:tc>
          <w:tcPr>
            <w:tcW w:w="1394" w:type="dxa"/>
          </w:tcPr>
          <w:p w14:paraId="3F077591" w14:textId="77777777" w:rsidR="00926F79" w:rsidRDefault="00926F79" w:rsidP="008462CA">
            <w:pPr>
              <w:autoSpaceDE w:val="0"/>
              <w:autoSpaceDN w:val="0"/>
              <w:adjustRightInd w:val="0"/>
              <w:jc w:val="center"/>
              <w:rPr>
                <w:rFonts w:ascii="Arial" w:hAnsi="Arial" w:cs="Arial"/>
                <w:color w:val="000000"/>
                <w:sz w:val="18"/>
                <w:szCs w:val="18"/>
              </w:rPr>
            </w:pPr>
            <w:r>
              <w:rPr>
                <w:rFonts w:ascii="Arial" w:hAnsi="Arial" w:cs="Arial"/>
                <w:color w:val="000000"/>
                <w:sz w:val="18"/>
                <w:szCs w:val="18"/>
              </w:rPr>
              <w:t>137.939</w:t>
            </w:r>
          </w:p>
          <w:p w14:paraId="7C5D6047" w14:textId="1C3624BA" w:rsidR="00926F79" w:rsidRPr="008204CC" w:rsidRDefault="00926F79" w:rsidP="008462CA">
            <w:pPr>
              <w:jc w:val="center"/>
              <w:rPr>
                <w:rFonts w:ascii="Arial" w:hAnsi="Arial" w:cs="Arial"/>
              </w:rPr>
            </w:pPr>
            <w:r>
              <w:rPr>
                <w:rFonts w:ascii="Arial" w:hAnsi="Arial" w:cs="Arial"/>
                <w:color w:val="000000"/>
                <w:sz w:val="18"/>
                <w:szCs w:val="18"/>
                <w:lang w:val="en-US"/>
              </w:rPr>
              <w:t>[</w:t>
            </w:r>
            <w:r>
              <w:rPr>
                <w:rFonts w:ascii="Arial" w:hAnsi="Arial" w:cs="Arial"/>
                <w:color w:val="000000"/>
                <w:sz w:val="18"/>
                <w:szCs w:val="18"/>
              </w:rPr>
              <w:t>2.664</w:t>
            </w:r>
            <w:r>
              <w:rPr>
                <w:rFonts w:ascii="Arial" w:hAnsi="Arial" w:cs="Arial"/>
                <w:color w:val="000000"/>
                <w:sz w:val="18"/>
                <w:szCs w:val="18"/>
                <w:lang w:val="en-US"/>
              </w:rPr>
              <w:t>]</w:t>
            </w:r>
          </w:p>
        </w:tc>
        <w:tc>
          <w:tcPr>
            <w:tcW w:w="1375" w:type="dxa"/>
          </w:tcPr>
          <w:p w14:paraId="25437683" w14:textId="1DAE261C" w:rsidR="00926F79" w:rsidRPr="008204CC" w:rsidRDefault="00926F79" w:rsidP="008462CA">
            <w:pPr>
              <w:autoSpaceDE w:val="0"/>
              <w:autoSpaceDN w:val="0"/>
              <w:adjustRightInd w:val="0"/>
              <w:jc w:val="center"/>
              <w:rPr>
                <w:rFonts w:ascii="Arial" w:hAnsi="Arial" w:cs="Arial"/>
                <w:lang w:val="en-US"/>
              </w:rPr>
            </w:pPr>
          </w:p>
        </w:tc>
        <w:tc>
          <w:tcPr>
            <w:tcW w:w="1572" w:type="dxa"/>
          </w:tcPr>
          <w:p w14:paraId="272560F9" w14:textId="067C1516" w:rsidR="00926F79" w:rsidRPr="008204CC" w:rsidRDefault="00926F79" w:rsidP="008462CA">
            <w:pPr>
              <w:autoSpaceDE w:val="0"/>
              <w:autoSpaceDN w:val="0"/>
              <w:adjustRightInd w:val="0"/>
              <w:jc w:val="center"/>
              <w:rPr>
                <w:rFonts w:ascii="Arial" w:hAnsi="Arial" w:cs="Arial"/>
                <w:color w:val="000000"/>
              </w:rPr>
            </w:pPr>
          </w:p>
        </w:tc>
        <w:tc>
          <w:tcPr>
            <w:tcW w:w="1144" w:type="dxa"/>
          </w:tcPr>
          <w:p w14:paraId="74A57BED" w14:textId="77777777" w:rsidR="00926F79" w:rsidRDefault="00926F79" w:rsidP="008462CA">
            <w:pPr>
              <w:autoSpaceDE w:val="0"/>
              <w:autoSpaceDN w:val="0"/>
              <w:adjustRightInd w:val="0"/>
              <w:jc w:val="center"/>
              <w:rPr>
                <w:rFonts w:ascii="Arial" w:hAnsi="Arial" w:cs="Arial"/>
                <w:color w:val="000000"/>
                <w:sz w:val="18"/>
                <w:szCs w:val="18"/>
              </w:rPr>
            </w:pPr>
            <w:r>
              <w:rPr>
                <w:rFonts w:ascii="Arial" w:hAnsi="Arial" w:cs="Arial"/>
                <w:color w:val="000000"/>
                <w:sz w:val="18"/>
                <w:szCs w:val="18"/>
              </w:rPr>
              <w:t>-0.004</w:t>
            </w:r>
          </w:p>
          <w:p w14:paraId="24C07631" w14:textId="0B902B36" w:rsidR="00926F79" w:rsidRPr="008204CC" w:rsidRDefault="00926F79" w:rsidP="008462CA">
            <w:pPr>
              <w:autoSpaceDE w:val="0"/>
              <w:autoSpaceDN w:val="0"/>
              <w:adjustRightInd w:val="0"/>
              <w:jc w:val="center"/>
              <w:rPr>
                <w:rFonts w:ascii="Arial" w:hAnsi="Arial" w:cs="Arial"/>
                <w:color w:val="000000"/>
              </w:rPr>
            </w:pPr>
            <w:r>
              <w:rPr>
                <w:rFonts w:ascii="Arial" w:hAnsi="Arial" w:cs="Arial"/>
                <w:color w:val="000000"/>
                <w:sz w:val="18"/>
                <w:szCs w:val="18"/>
              </w:rPr>
              <w:t>[-4.518]</w:t>
            </w:r>
          </w:p>
        </w:tc>
      </w:tr>
    </w:tbl>
    <w:bookmarkEnd w:id="377"/>
    <w:p w14:paraId="1345AA41" w14:textId="4E5DC654" w:rsidR="005D14CA" w:rsidRPr="005D14CA" w:rsidRDefault="00EC689C" w:rsidP="0066301C">
      <w:pPr>
        <w:spacing w:after="0" w:line="240" w:lineRule="auto"/>
        <w:jc w:val="both"/>
        <w:rPr>
          <w:rFonts w:ascii="Arial" w:hAnsi="Arial" w:cs="Arial"/>
          <w:sz w:val="20"/>
          <w:szCs w:val="20"/>
          <w:lang w:val="en-US"/>
        </w:rPr>
      </w:pPr>
      <w:r w:rsidRPr="00EC689C">
        <w:rPr>
          <w:rFonts w:ascii="Arial" w:hAnsi="Arial" w:cs="Arial"/>
          <w:b/>
          <w:bCs/>
          <w:i/>
          <w:iCs/>
          <w:sz w:val="20"/>
          <w:szCs w:val="20"/>
        </w:rPr>
        <w:t>Source</w:t>
      </w:r>
      <w:r w:rsidR="00DE591C" w:rsidRPr="005D14CA">
        <w:rPr>
          <w:rFonts w:ascii="Arial" w:hAnsi="Arial" w:cs="Arial"/>
          <w:sz w:val="20"/>
          <w:szCs w:val="20"/>
        </w:rPr>
        <w:t xml:space="preserve">: </w:t>
      </w:r>
      <w:r w:rsidR="005D14CA" w:rsidRPr="005D14CA">
        <w:rPr>
          <w:rFonts w:ascii="Arial" w:hAnsi="Arial" w:cs="Arial"/>
          <w:sz w:val="20"/>
          <w:szCs w:val="20"/>
          <w:lang w:val="en-US"/>
        </w:rPr>
        <w:t xml:space="preserve">Computing from time-series data using EViews 12. </w:t>
      </w:r>
    </w:p>
    <w:p w14:paraId="59EF3EC0" w14:textId="72A1431F" w:rsidR="00DE591C" w:rsidRPr="005D14CA" w:rsidRDefault="00DE591C" w:rsidP="0066301C">
      <w:pPr>
        <w:spacing w:after="0" w:line="240" w:lineRule="auto"/>
        <w:jc w:val="both"/>
        <w:rPr>
          <w:rFonts w:ascii="Arial" w:hAnsi="Arial" w:cs="Arial"/>
          <w:sz w:val="20"/>
          <w:szCs w:val="20"/>
        </w:rPr>
      </w:pPr>
      <w:r w:rsidRPr="005D14CA">
        <w:rPr>
          <w:rFonts w:ascii="Arial" w:hAnsi="Arial" w:cs="Arial"/>
          <w:sz w:val="20"/>
          <w:szCs w:val="20"/>
        </w:rPr>
        <w:t xml:space="preserve">Values in the brackets are the associated </w:t>
      </w:r>
      <w:r w:rsidRPr="005D14CA">
        <w:rPr>
          <w:rFonts w:ascii="Arial" w:hAnsi="Arial" w:cs="Arial"/>
          <w:i/>
          <w:iCs/>
          <w:sz w:val="20"/>
          <w:szCs w:val="20"/>
        </w:rPr>
        <w:t>t-</w:t>
      </w:r>
      <w:r w:rsidRPr="005D14CA">
        <w:rPr>
          <w:rFonts w:ascii="Arial" w:hAnsi="Arial" w:cs="Arial"/>
          <w:sz w:val="20"/>
          <w:szCs w:val="20"/>
        </w:rPr>
        <w:t>statistics.</w:t>
      </w:r>
    </w:p>
    <w:p w14:paraId="3719D9F9" w14:textId="77777777" w:rsidR="00E457DD" w:rsidRDefault="00E457DD" w:rsidP="0066301C">
      <w:pPr>
        <w:spacing w:line="360" w:lineRule="auto"/>
        <w:jc w:val="both"/>
        <w:rPr>
          <w:rFonts w:ascii="Arial" w:hAnsi="Arial" w:cs="Arial"/>
          <w:b/>
          <w:bCs/>
          <w:u w:val="single"/>
          <w:lang w:eastAsia="en-GB"/>
        </w:rPr>
      </w:pPr>
      <w:bookmarkStart w:id="378" w:name="_Hlk134147954"/>
    </w:p>
    <w:p w14:paraId="15A6136E" w14:textId="042C6B37" w:rsidR="00EF1DC8" w:rsidRPr="00EF1DC8" w:rsidRDefault="00EF1DC8" w:rsidP="0066301C">
      <w:pPr>
        <w:spacing w:line="360" w:lineRule="auto"/>
        <w:jc w:val="both"/>
        <w:rPr>
          <w:rFonts w:ascii="Arial" w:hAnsi="Arial" w:cs="Arial"/>
          <w:b/>
          <w:bCs/>
          <w:u w:val="single"/>
          <w:lang w:eastAsia="en-GB"/>
        </w:rPr>
      </w:pPr>
      <w:bookmarkStart w:id="379" w:name="_Hlk170891786"/>
      <w:bookmarkEnd w:id="376"/>
      <w:r w:rsidRPr="00EF1DC8">
        <w:rPr>
          <w:rFonts w:ascii="Arial" w:hAnsi="Arial" w:cs="Arial"/>
          <w:b/>
          <w:bCs/>
          <w:u w:val="single"/>
          <w:lang w:eastAsia="en-GB"/>
        </w:rPr>
        <w:t>CAR</w:t>
      </w:r>
    </w:p>
    <w:p w14:paraId="1F441697" w14:textId="50A50138" w:rsidR="00EF1DC8" w:rsidRPr="009A3703" w:rsidRDefault="00EF1DC8" w:rsidP="0066301C">
      <w:pPr>
        <w:spacing w:line="360" w:lineRule="auto"/>
        <w:jc w:val="both"/>
        <w:rPr>
          <w:rFonts w:ascii="Arial" w:hAnsi="Arial" w:cs="Arial"/>
          <w:lang w:eastAsia="en-GB"/>
        </w:rPr>
      </w:pPr>
      <w:r w:rsidRPr="009A3703">
        <w:rPr>
          <w:rFonts w:ascii="Arial" w:hAnsi="Arial" w:cs="Arial"/>
          <w:lang w:eastAsia="en-GB"/>
        </w:rPr>
        <w:t>The above long-run estimate table shows that there exists a long-term relationship between REER and its fundamentals, as their coefficient are statistically significant. But for OPEN, whose </w:t>
      </w:r>
      <w:r w:rsidRPr="009A3703">
        <w:rPr>
          <w:rFonts w:ascii="Arial" w:hAnsi="Arial" w:cs="Arial"/>
          <w:i/>
          <w:iCs/>
          <w:lang w:eastAsia="en-GB"/>
        </w:rPr>
        <w:t>t-</w:t>
      </w:r>
      <w:r w:rsidRPr="009A3703">
        <w:rPr>
          <w:rFonts w:ascii="Arial" w:hAnsi="Arial" w:cs="Arial"/>
          <w:lang w:eastAsia="en-GB"/>
        </w:rPr>
        <w:t>statistic is less than |2| (i.e., [0,440]), meaning it is statistically insignificant. This means that OPEN does not have an impact on the CFA franc in the long</w:t>
      </w:r>
      <w:r w:rsidR="009438AD">
        <w:rPr>
          <w:rFonts w:ascii="Arial" w:hAnsi="Arial" w:cs="Arial"/>
          <w:lang w:eastAsia="en-GB"/>
        </w:rPr>
        <w:t>-term</w:t>
      </w:r>
      <w:r w:rsidRPr="009A3703">
        <w:rPr>
          <w:rFonts w:ascii="Arial" w:hAnsi="Arial" w:cs="Arial"/>
          <w:lang w:eastAsia="en-GB"/>
        </w:rPr>
        <w:t>. This is in contrast with the prescriptions of economic theory that OPEN has a negative pressure on REER.</w:t>
      </w:r>
      <w:r w:rsidR="009438AD">
        <w:rPr>
          <w:rStyle w:val="FootnoteReference"/>
          <w:rFonts w:ascii="Arial" w:hAnsi="Arial" w:cs="Arial"/>
          <w:lang w:eastAsia="en-GB"/>
        </w:rPr>
        <w:footnoteReference w:id="74"/>
      </w:r>
      <w:r w:rsidRPr="009A3703">
        <w:rPr>
          <w:rFonts w:ascii="Arial" w:hAnsi="Arial" w:cs="Arial"/>
          <w:lang w:eastAsia="en-GB"/>
        </w:rPr>
        <w:t xml:space="preserve"> </w:t>
      </w:r>
    </w:p>
    <w:p w14:paraId="1223581B" w14:textId="77777777" w:rsidR="00EF1DC8" w:rsidRPr="009A3703" w:rsidRDefault="00EF1DC8" w:rsidP="0066301C">
      <w:pPr>
        <w:spacing w:line="360" w:lineRule="auto"/>
        <w:jc w:val="both"/>
        <w:rPr>
          <w:rFonts w:ascii="Arial" w:hAnsi="Arial" w:cs="Arial"/>
          <w:lang w:eastAsia="en-GB"/>
        </w:rPr>
      </w:pPr>
      <w:r w:rsidRPr="009A3703">
        <w:rPr>
          <w:rFonts w:ascii="Arial" w:hAnsi="Arial" w:cs="Arial"/>
          <w:lang w:eastAsia="en-GB"/>
        </w:rPr>
        <w:t>The result shows that there is a positive relation between TOT and REER. A 1% increase in TOT will cause the REER to increase by 2.6% </w:t>
      </w:r>
      <w:r w:rsidRPr="009A3703">
        <w:rPr>
          <w:rFonts w:ascii="Arial" w:hAnsi="Arial" w:cs="Arial"/>
          <w:i/>
          <w:iCs/>
          <w:lang w:eastAsia="en-GB"/>
        </w:rPr>
        <w:t>ceteris paribus. </w:t>
      </w:r>
      <w:r w:rsidRPr="009A3703">
        <w:rPr>
          <w:rFonts w:ascii="Arial" w:hAnsi="Arial" w:cs="Arial"/>
          <w:lang w:eastAsia="en-GB"/>
        </w:rPr>
        <w:t>This means that an improvement in the TOT causes an appreciation of the CFA franc and vice versa. A rise in the TOT creates benefits for a nation as few of its products chase more foreign products (i.e., an appreciation of the nation’s exchange rate) and vice versa (Couharde and Sallenave, 2013; Elbadawi </w:t>
      </w:r>
      <w:r w:rsidRPr="009A3703">
        <w:rPr>
          <w:rFonts w:ascii="Arial" w:hAnsi="Arial" w:cs="Arial"/>
          <w:i/>
          <w:iCs/>
          <w:lang w:eastAsia="en-GB"/>
        </w:rPr>
        <w:t>et al</w:t>
      </w:r>
      <w:r w:rsidRPr="009A3703">
        <w:rPr>
          <w:rFonts w:ascii="Arial" w:hAnsi="Arial" w:cs="Arial"/>
          <w:lang w:eastAsia="en-GB"/>
        </w:rPr>
        <w:t>., 2012; Coleman, 2008). </w:t>
      </w:r>
    </w:p>
    <w:bookmarkEnd w:id="379"/>
    <w:p w14:paraId="70F7AE97" w14:textId="36B56125" w:rsidR="00EF1DC8" w:rsidRPr="009A3703" w:rsidRDefault="00EF1DC8" w:rsidP="0066301C">
      <w:pPr>
        <w:spacing w:line="360" w:lineRule="auto"/>
        <w:jc w:val="both"/>
        <w:rPr>
          <w:rFonts w:ascii="Arial" w:hAnsi="Arial" w:cs="Arial"/>
          <w:lang w:eastAsia="en-GB"/>
        </w:rPr>
      </w:pPr>
      <w:r w:rsidRPr="009A3703">
        <w:rPr>
          <w:rFonts w:ascii="Arial" w:hAnsi="Arial" w:cs="Arial"/>
          <w:lang w:eastAsia="en-GB"/>
        </w:rPr>
        <w:t>The result of NFA shows that there is a positive relationship between it and the REER. A 1% increase in NFA will result in a great appreciation of the CFA franc and vice versa, </w:t>
      </w:r>
      <w:r w:rsidRPr="009A3703">
        <w:rPr>
          <w:rFonts w:ascii="Arial" w:hAnsi="Arial" w:cs="Arial"/>
          <w:i/>
          <w:iCs/>
          <w:lang w:eastAsia="en-GB"/>
        </w:rPr>
        <w:t>ceteris paribus.</w:t>
      </w:r>
      <w:r w:rsidR="00775CF6">
        <w:rPr>
          <w:rFonts w:ascii="Arial" w:hAnsi="Arial" w:cs="Arial"/>
          <w:i/>
          <w:iCs/>
          <w:lang w:eastAsia="en-GB"/>
        </w:rPr>
        <w:t xml:space="preserve"> </w:t>
      </w:r>
      <w:r w:rsidRPr="009A3703">
        <w:rPr>
          <w:rFonts w:ascii="Arial" w:hAnsi="Arial" w:cs="Arial"/>
          <w:lang w:eastAsia="en-GB"/>
        </w:rPr>
        <w:t>This result is consistent with the theory, and we can say that investments in CAR allow the acquisition of capital goods, which in turn will contribute to increasing the production capacity for export in the long term (Wonyra, 2018). </w:t>
      </w:r>
    </w:p>
    <w:p w14:paraId="68F1CC31" w14:textId="5BA5E61C" w:rsidR="00EF1DC8" w:rsidRPr="009A3703" w:rsidRDefault="00EF1DC8" w:rsidP="0066301C">
      <w:pPr>
        <w:spacing w:line="360" w:lineRule="auto"/>
        <w:jc w:val="both"/>
        <w:rPr>
          <w:rFonts w:ascii="Arial" w:hAnsi="Arial" w:cs="Arial"/>
          <w:lang w:eastAsia="en-GB"/>
        </w:rPr>
      </w:pPr>
      <w:r w:rsidRPr="009A3703">
        <w:rPr>
          <w:rFonts w:ascii="Arial" w:hAnsi="Arial" w:cs="Arial"/>
          <w:lang w:eastAsia="en-GB"/>
        </w:rPr>
        <w:t xml:space="preserve">Government spending (GOVCON) has a negative relationship with REER. That is, government spending depreciates the CFA franc as a 1% increase in government spending reduces the value of the exchange rate by 7.085%. This could be </w:t>
      </w:r>
      <w:r w:rsidR="00775CF6" w:rsidRPr="009A3703">
        <w:rPr>
          <w:rFonts w:ascii="Arial" w:hAnsi="Arial" w:cs="Arial"/>
          <w:lang w:eastAsia="en-GB"/>
        </w:rPr>
        <w:t>because</w:t>
      </w:r>
      <w:r w:rsidRPr="009A3703">
        <w:rPr>
          <w:rFonts w:ascii="Arial" w:hAnsi="Arial" w:cs="Arial"/>
          <w:lang w:eastAsia="en-GB"/>
        </w:rPr>
        <w:t xml:space="preserve"> the expenditures are often intended for the purchase of imported goods and services. The more import is done, the more foreign currency is demanded for the purchase purpose. This results in the appreciation of foreign currency and the depreciation of CFA franc (Cakrani </w:t>
      </w:r>
      <w:r w:rsidRPr="009A3703">
        <w:rPr>
          <w:rFonts w:ascii="Arial" w:hAnsi="Arial" w:cs="Arial"/>
          <w:i/>
          <w:iCs/>
          <w:lang w:eastAsia="en-GB"/>
        </w:rPr>
        <w:t>et al.,</w:t>
      </w:r>
      <w:r w:rsidRPr="009A3703">
        <w:rPr>
          <w:rFonts w:ascii="Arial" w:hAnsi="Arial" w:cs="Arial"/>
          <w:lang w:eastAsia="en-GB"/>
        </w:rPr>
        <w:t> 2013). </w:t>
      </w:r>
    </w:p>
    <w:p w14:paraId="1F335F07" w14:textId="77777777" w:rsidR="00EF1DC8" w:rsidRPr="009A3703" w:rsidRDefault="00EF1DC8" w:rsidP="0066301C">
      <w:pPr>
        <w:spacing w:line="360" w:lineRule="auto"/>
        <w:jc w:val="both"/>
        <w:rPr>
          <w:rFonts w:ascii="Arial" w:hAnsi="Arial" w:cs="Arial"/>
          <w:lang w:eastAsia="en-GB"/>
        </w:rPr>
      </w:pPr>
      <w:r w:rsidRPr="009A3703">
        <w:rPr>
          <w:rFonts w:ascii="Arial" w:hAnsi="Arial" w:cs="Arial"/>
          <w:lang w:eastAsia="en-GB"/>
        </w:rPr>
        <w:lastRenderedPageBreak/>
        <w:t>Furthermore, PROD has a positive impact on REER, with 1% increase in PROD leading to 0.599 appreciation of CFA franc and vice versa, </w:t>
      </w:r>
      <w:r w:rsidRPr="009A3703">
        <w:rPr>
          <w:rFonts w:ascii="Arial" w:hAnsi="Arial" w:cs="Arial"/>
          <w:i/>
          <w:iCs/>
          <w:lang w:eastAsia="en-GB"/>
        </w:rPr>
        <w:t>ceteris paribus</w:t>
      </w:r>
      <w:r w:rsidRPr="009A3703">
        <w:rPr>
          <w:rFonts w:ascii="Arial" w:hAnsi="Arial" w:cs="Arial"/>
          <w:lang w:eastAsia="en-GB"/>
        </w:rPr>
        <w:t>. The result also confirms the existence of the Balassa–Samuelson effect in the CFA franc since an increase in the productivity gap between tradable and non-tradable goods implies an appreciation of the real equilibrium exchange rate (Couharde and Sallenave, 2013; Elbadawi et al., 2012).  </w:t>
      </w:r>
    </w:p>
    <w:p w14:paraId="045E2816" w14:textId="492C3822" w:rsidR="00DC73A0" w:rsidRPr="00B10E7E" w:rsidRDefault="00EC674F" w:rsidP="0066301C">
      <w:pPr>
        <w:spacing w:after="0" w:line="360" w:lineRule="auto"/>
        <w:jc w:val="both"/>
        <w:rPr>
          <w:rFonts w:ascii="Arial" w:hAnsi="Arial" w:cs="Arial"/>
          <w:b/>
          <w:bCs/>
          <w:u w:val="single"/>
        </w:rPr>
      </w:pPr>
      <w:r>
        <w:rPr>
          <w:rFonts w:ascii="Arial" w:hAnsi="Arial" w:cs="Arial"/>
          <w:b/>
          <w:bCs/>
          <w:u w:val="single"/>
        </w:rPr>
        <w:t>Equatorial Guinea</w:t>
      </w:r>
    </w:p>
    <w:p w14:paraId="0C22AB25" w14:textId="790EDCA4" w:rsidR="001F19EC" w:rsidRDefault="00DC73A0" w:rsidP="0066301C">
      <w:pPr>
        <w:spacing w:after="200" w:line="360" w:lineRule="auto"/>
        <w:jc w:val="both"/>
        <w:rPr>
          <w:rFonts w:ascii="Arial" w:hAnsi="Arial" w:cs="Arial"/>
        </w:rPr>
      </w:pPr>
      <w:r>
        <w:rPr>
          <w:rFonts w:ascii="Arial" w:hAnsi="Arial" w:cs="Arial"/>
        </w:rPr>
        <w:t xml:space="preserve">The result shows that there is a </w:t>
      </w:r>
      <w:r w:rsidR="00EC674F">
        <w:rPr>
          <w:rFonts w:ascii="Arial" w:hAnsi="Arial" w:cs="Arial"/>
        </w:rPr>
        <w:t>nega</w:t>
      </w:r>
      <w:r>
        <w:rPr>
          <w:rFonts w:ascii="Arial" w:hAnsi="Arial" w:cs="Arial"/>
        </w:rPr>
        <w:t xml:space="preserve">tive relation between TOT and REER. A 1% increase in TOT will cause the REER to </w:t>
      </w:r>
      <w:r w:rsidR="00EC674F">
        <w:rPr>
          <w:rFonts w:ascii="Arial" w:hAnsi="Arial" w:cs="Arial"/>
        </w:rPr>
        <w:t>de</w:t>
      </w:r>
      <w:r>
        <w:rPr>
          <w:rFonts w:ascii="Arial" w:hAnsi="Arial" w:cs="Arial"/>
        </w:rPr>
        <w:t xml:space="preserve">crease by </w:t>
      </w:r>
      <w:r w:rsidR="00EC674F">
        <w:rPr>
          <w:rFonts w:ascii="Arial" w:hAnsi="Arial" w:cs="Arial"/>
        </w:rPr>
        <w:t>0</w:t>
      </w:r>
      <w:r>
        <w:rPr>
          <w:rFonts w:ascii="Arial" w:hAnsi="Arial" w:cs="Arial"/>
        </w:rPr>
        <w:t>.</w:t>
      </w:r>
      <w:r w:rsidR="00EC674F">
        <w:rPr>
          <w:rFonts w:ascii="Arial" w:hAnsi="Arial" w:cs="Arial"/>
        </w:rPr>
        <w:t>539</w:t>
      </w:r>
      <w:r>
        <w:rPr>
          <w:rFonts w:ascii="Arial" w:hAnsi="Arial" w:cs="Arial"/>
        </w:rPr>
        <w:t xml:space="preserve">% </w:t>
      </w:r>
      <w:r w:rsidRPr="007B02B5">
        <w:rPr>
          <w:rFonts w:ascii="Arial" w:hAnsi="Arial" w:cs="Arial"/>
          <w:i/>
          <w:iCs/>
        </w:rPr>
        <w:t>ceteris</w:t>
      </w:r>
      <w:r w:rsidRPr="009A1194">
        <w:rPr>
          <w:rFonts w:ascii="Arial" w:hAnsi="Arial" w:cs="Arial"/>
          <w:i/>
          <w:iCs/>
          <w:color w:val="FF0000"/>
        </w:rPr>
        <w:t xml:space="preserve"> </w:t>
      </w:r>
      <w:r>
        <w:rPr>
          <w:rFonts w:ascii="Arial" w:hAnsi="Arial" w:cs="Arial"/>
          <w:i/>
          <w:iCs/>
        </w:rPr>
        <w:t xml:space="preserve">paribus. </w:t>
      </w:r>
      <w:r>
        <w:rPr>
          <w:rFonts w:ascii="Arial" w:hAnsi="Arial" w:cs="Arial"/>
        </w:rPr>
        <w:t xml:space="preserve">This means that an improvement in the TOT causes a </w:t>
      </w:r>
      <w:r w:rsidR="00EC674F">
        <w:rPr>
          <w:rFonts w:ascii="Arial" w:hAnsi="Arial" w:cs="Arial"/>
        </w:rPr>
        <w:t>dep</w:t>
      </w:r>
      <w:r>
        <w:rPr>
          <w:rFonts w:ascii="Arial" w:hAnsi="Arial" w:cs="Arial"/>
        </w:rPr>
        <w:t>reciation of the CFA franc and vice versa. A rise in the TOT</w:t>
      </w:r>
      <w:r w:rsidR="00637275">
        <w:rPr>
          <w:rFonts w:ascii="Arial" w:hAnsi="Arial" w:cs="Arial"/>
        </w:rPr>
        <w:t>,</w:t>
      </w:r>
      <w:r>
        <w:rPr>
          <w:rFonts w:ascii="Arial" w:hAnsi="Arial" w:cs="Arial"/>
        </w:rPr>
        <w:t xml:space="preserve"> </w:t>
      </w:r>
      <w:r w:rsidR="001F19EC">
        <w:rPr>
          <w:rFonts w:ascii="Arial" w:hAnsi="Arial" w:cs="Arial"/>
        </w:rPr>
        <w:t xml:space="preserve">especially for developing nations </w:t>
      </w:r>
      <w:r w:rsidR="00637275">
        <w:rPr>
          <w:rFonts w:ascii="Arial" w:hAnsi="Arial" w:cs="Arial"/>
        </w:rPr>
        <w:t>that</w:t>
      </w:r>
      <w:r w:rsidR="001F19EC">
        <w:rPr>
          <w:rFonts w:ascii="Arial" w:hAnsi="Arial" w:cs="Arial"/>
        </w:rPr>
        <w:t xml:space="preserve"> export primary product</w:t>
      </w:r>
      <w:r w:rsidR="00637275">
        <w:rPr>
          <w:rFonts w:ascii="Arial" w:hAnsi="Arial" w:cs="Arial"/>
        </w:rPr>
        <w:t>s</w:t>
      </w:r>
      <w:r w:rsidR="001F19EC">
        <w:rPr>
          <w:rFonts w:ascii="Arial" w:hAnsi="Arial" w:cs="Arial"/>
        </w:rPr>
        <w:t xml:space="preserve"> that are sticky and less competitive</w:t>
      </w:r>
      <w:r w:rsidR="00577C0A">
        <w:rPr>
          <w:rFonts w:ascii="Arial" w:hAnsi="Arial" w:cs="Arial"/>
        </w:rPr>
        <w:t>,</w:t>
      </w:r>
      <w:r w:rsidR="001F19EC">
        <w:rPr>
          <w:rFonts w:ascii="Arial" w:hAnsi="Arial" w:cs="Arial"/>
        </w:rPr>
        <w:t xml:space="preserve"> will result in the depreciation of the currency as </w:t>
      </w:r>
      <w:r w:rsidR="00EC39E2">
        <w:rPr>
          <w:rFonts w:ascii="Arial" w:hAnsi="Arial" w:cs="Arial"/>
        </w:rPr>
        <w:t>less of the currency is demanded to purchase the nation’s products. As such a negative relationship between TOT and REER.</w:t>
      </w:r>
      <w:r w:rsidR="00EC39E2" w:rsidRPr="00EC39E2">
        <w:rPr>
          <w:rFonts w:ascii="Arial" w:hAnsi="Arial" w:cs="Arial"/>
        </w:rPr>
        <w:t xml:space="preserve"> </w:t>
      </w:r>
    </w:p>
    <w:p w14:paraId="0C2E2571" w14:textId="59DD675E" w:rsidR="00DC73A0" w:rsidRDefault="00DC73A0" w:rsidP="0066301C">
      <w:pPr>
        <w:spacing w:after="200" w:line="360" w:lineRule="auto"/>
        <w:jc w:val="both"/>
        <w:rPr>
          <w:rFonts w:ascii="Arial" w:hAnsi="Arial" w:cs="Arial"/>
        </w:rPr>
      </w:pPr>
      <w:r>
        <w:rPr>
          <w:rFonts w:ascii="Arial" w:hAnsi="Arial" w:cs="Arial"/>
        </w:rPr>
        <w:t xml:space="preserve">The result of NFA shows that there is a positive relationship between it and the REER. A 1% increase in NFA will result </w:t>
      </w:r>
      <w:r w:rsidR="008D2B83">
        <w:rPr>
          <w:rFonts w:ascii="Arial" w:hAnsi="Arial" w:cs="Arial"/>
        </w:rPr>
        <w:t>in</w:t>
      </w:r>
      <w:r>
        <w:rPr>
          <w:rFonts w:ascii="Arial" w:hAnsi="Arial" w:cs="Arial"/>
        </w:rPr>
        <w:t xml:space="preserve"> a</w:t>
      </w:r>
      <w:r w:rsidR="00C63384">
        <w:rPr>
          <w:rFonts w:ascii="Arial" w:hAnsi="Arial" w:cs="Arial"/>
        </w:rPr>
        <w:t>n</w:t>
      </w:r>
      <w:r>
        <w:rPr>
          <w:rFonts w:ascii="Arial" w:hAnsi="Arial" w:cs="Arial"/>
        </w:rPr>
        <w:t xml:space="preserve"> appreciation of the CFA franc and vice versa, </w:t>
      </w:r>
      <w:r>
        <w:rPr>
          <w:rFonts w:ascii="Arial" w:hAnsi="Arial" w:cs="Arial"/>
          <w:i/>
          <w:iCs/>
        </w:rPr>
        <w:t xml:space="preserve">ceteris paribus. </w:t>
      </w:r>
      <w:r>
        <w:rPr>
          <w:rFonts w:ascii="Arial" w:hAnsi="Arial" w:cs="Arial"/>
        </w:rPr>
        <w:t>This shows that if CAR is a net borrower, the CFA will be devalued.</w:t>
      </w:r>
      <w:r>
        <w:rPr>
          <w:rFonts w:ascii="Arial" w:hAnsi="Arial" w:cs="Arial"/>
          <w:i/>
          <w:iCs/>
        </w:rPr>
        <w:t xml:space="preserve"> </w:t>
      </w:r>
      <w:r>
        <w:rPr>
          <w:rFonts w:ascii="Arial" w:hAnsi="Arial" w:cs="Arial"/>
        </w:rPr>
        <w:t xml:space="preserve"> </w:t>
      </w:r>
      <w:r w:rsidRPr="008E3C11">
        <w:rPr>
          <w:rFonts w:ascii="Arial" w:hAnsi="Arial" w:cs="Arial"/>
        </w:rPr>
        <w:t>This result is consistent with the theory</w:t>
      </w:r>
      <w:r w:rsidR="00A36657">
        <w:rPr>
          <w:rFonts w:ascii="Arial" w:hAnsi="Arial" w:cs="Arial"/>
        </w:rPr>
        <w:t>,</w:t>
      </w:r>
      <w:r w:rsidRPr="008E3C11">
        <w:rPr>
          <w:rFonts w:ascii="Arial" w:hAnsi="Arial" w:cs="Arial"/>
        </w:rPr>
        <w:t xml:space="preserve"> and we can say that investments in CAR allow the acquisition of capital goods</w:t>
      </w:r>
      <w:r w:rsidR="00A36657">
        <w:rPr>
          <w:rFonts w:ascii="Arial" w:hAnsi="Arial" w:cs="Arial"/>
        </w:rPr>
        <w:t>,</w:t>
      </w:r>
      <w:r w:rsidRPr="008E3C11">
        <w:rPr>
          <w:rFonts w:ascii="Arial" w:hAnsi="Arial" w:cs="Arial"/>
        </w:rPr>
        <w:t xml:space="preserve"> which in turn will contribute to increase the production capacity for export in the long term</w:t>
      </w:r>
      <w:r>
        <w:rPr>
          <w:rFonts w:ascii="Arial" w:hAnsi="Arial" w:cs="Arial"/>
        </w:rPr>
        <w:t xml:space="preserve"> (Wonyra, 2018)</w:t>
      </w:r>
      <w:r w:rsidRPr="008E3C11">
        <w:rPr>
          <w:rFonts w:ascii="Arial" w:hAnsi="Arial" w:cs="Arial"/>
        </w:rPr>
        <w:t>.</w:t>
      </w:r>
      <w:r>
        <w:rPr>
          <w:rFonts w:ascii="Arial" w:hAnsi="Arial" w:cs="Arial"/>
        </w:rPr>
        <w:t xml:space="preserve"> </w:t>
      </w:r>
    </w:p>
    <w:p w14:paraId="3F5DDBA9" w14:textId="3490A1FC" w:rsidR="00EC39E2" w:rsidRDefault="00EC39E2" w:rsidP="0066301C">
      <w:pPr>
        <w:spacing w:line="360" w:lineRule="auto"/>
        <w:jc w:val="both"/>
        <w:rPr>
          <w:rFonts w:ascii="Arial" w:hAnsi="Arial" w:cs="Arial"/>
        </w:rPr>
      </w:pPr>
      <w:r w:rsidRPr="00F60B7D">
        <w:rPr>
          <w:rFonts w:ascii="Arial" w:hAnsi="Arial" w:cs="Arial"/>
        </w:rPr>
        <w:t xml:space="preserve">PROD has a </w:t>
      </w:r>
      <w:r>
        <w:rPr>
          <w:rFonts w:ascii="Arial" w:hAnsi="Arial" w:cs="Arial"/>
        </w:rPr>
        <w:t>nega</w:t>
      </w:r>
      <w:r w:rsidRPr="00F60B7D">
        <w:rPr>
          <w:rFonts w:ascii="Arial" w:hAnsi="Arial" w:cs="Arial"/>
        </w:rPr>
        <w:t>tive impact on REER, with 1% increase in PROD leading to 0</w:t>
      </w:r>
      <w:r w:rsidR="007C371A">
        <w:rPr>
          <w:rFonts w:ascii="Arial" w:hAnsi="Arial" w:cs="Arial"/>
        </w:rPr>
        <w:t>.004</w:t>
      </w:r>
      <w:r>
        <w:rPr>
          <w:rFonts w:ascii="Arial" w:hAnsi="Arial" w:cs="Arial"/>
        </w:rPr>
        <w:t>%</w:t>
      </w:r>
      <w:r w:rsidRPr="00F60B7D">
        <w:rPr>
          <w:rFonts w:ascii="Arial" w:hAnsi="Arial" w:cs="Arial"/>
        </w:rPr>
        <w:t xml:space="preserve"> </w:t>
      </w:r>
      <w:r w:rsidR="000C5A2D">
        <w:rPr>
          <w:rFonts w:ascii="Arial" w:hAnsi="Arial" w:cs="Arial"/>
        </w:rPr>
        <w:t>de</w:t>
      </w:r>
      <w:r w:rsidRPr="00F60B7D">
        <w:rPr>
          <w:rFonts w:ascii="Arial" w:hAnsi="Arial" w:cs="Arial"/>
        </w:rPr>
        <w:t xml:space="preserve">preciation of CFA franc and vice versa, </w:t>
      </w:r>
      <w:r w:rsidRPr="00F60B7D">
        <w:rPr>
          <w:rFonts w:ascii="Arial" w:hAnsi="Arial" w:cs="Arial"/>
          <w:i/>
          <w:iCs/>
        </w:rPr>
        <w:t>ceteris paribus</w:t>
      </w:r>
      <w:r w:rsidRPr="00F60B7D">
        <w:rPr>
          <w:rFonts w:ascii="Arial" w:hAnsi="Arial" w:cs="Arial"/>
        </w:rPr>
        <w:t xml:space="preserve">. </w:t>
      </w:r>
      <w:r w:rsidR="000C5A2D">
        <w:rPr>
          <w:rFonts w:ascii="Arial" w:hAnsi="Arial" w:cs="Arial"/>
        </w:rPr>
        <w:t>This result is in contrast to what is expected of developing nations</w:t>
      </w:r>
      <w:r w:rsidR="0091593E">
        <w:rPr>
          <w:rFonts w:ascii="Arial" w:hAnsi="Arial" w:cs="Arial"/>
        </w:rPr>
        <w:t>, which</w:t>
      </w:r>
      <w:r w:rsidR="000C5A2D">
        <w:rPr>
          <w:rFonts w:ascii="Arial" w:hAnsi="Arial" w:cs="Arial"/>
        </w:rPr>
        <w:t xml:space="preserve"> produce primary products that are less competitive and sticky. </w:t>
      </w:r>
    </w:p>
    <w:p w14:paraId="2A3C175E" w14:textId="7B287CC0" w:rsidR="000C5A2D" w:rsidRDefault="000668F0" w:rsidP="0066301C">
      <w:pPr>
        <w:spacing w:after="200" w:line="360" w:lineRule="auto"/>
        <w:jc w:val="both"/>
        <w:rPr>
          <w:rFonts w:ascii="Arial" w:hAnsi="Arial" w:cs="Arial"/>
          <w:b/>
          <w:bCs/>
        </w:rPr>
      </w:pPr>
      <w:bookmarkStart w:id="380" w:name="_Hlk170835918"/>
      <w:r>
        <w:rPr>
          <w:rFonts w:ascii="Arial" w:hAnsi="Arial" w:cs="Arial"/>
          <w:b/>
          <w:bCs/>
        </w:rPr>
        <w:t>Short</w:t>
      </w:r>
      <w:r w:rsidR="000C5A2D" w:rsidRPr="008B4F47">
        <w:rPr>
          <w:rFonts w:ascii="Arial" w:hAnsi="Arial" w:cs="Arial"/>
          <w:b/>
          <w:bCs/>
        </w:rPr>
        <w:t>-Run Relationship between REER and its Fundamentals</w:t>
      </w:r>
    </w:p>
    <w:p w14:paraId="5A0275BF" w14:textId="2B45805A" w:rsidR="009C0D9E" w:rsidRPr="00357FDB" w:rsidRDefault="000668F0" w:rsidP="0066301C">
      <w:pPr>
        <w:spacing w:after="200" w:line="360" w:lineRule="auto"/>
        <w:jc w:val="both"/>
        <w:rPr>
          <w:rFonts w:ascii="Arial" w:hAnsi="Arial" w:cs="Arial"/>
        </w:rPr>
      </w:pPr>
      <w:r>
        <w:rPr>
          <w:rFonts w:ascii="Arial" w:hAnsi="Arial" w:cs="Arial"/>
        </w:rPr>
        <w:t xml:space="preserve">In contrast to the </w:t>
      </w:r>
      <w:r w:rsidR="000C5A2D">
        <w:rPr>
          <w:rFonts w:ascii="Arial" w:hAnsi="Arial" w:cs="Arial"/>
        </w:rPr>
        <w:t xml:space="preserve">long-run </w:t>
      </w:r>
      <w:r>
        <w:rPr>
          <w:rFonts w:ascii="Arial" w:hAnsi="Arial" w:cs="Arial"/>
        </w:rPr>
        <w:t xml:space="preserve">relationship, the short-run relationship estimate shows the following effects of the different variables of the estimated models for the four CEMAC nations. </w:t>
      </w:r>
      <w:bookmarkEnd w:id="378"/>
    </w:p>
    <w:p w14:paraId="21378495" w14:textId="62D9D663" w:rsidR="000C5A2D" w:rsidRDefault="004274D4" w:rsidP="0066301C">
      <w:pPr>
        <w:spacing w:after="0" w:line="240" w:lineRule="auto"/>
        <w:jc w:val="both"/>
        <w:rPr>
          <w:rFonts w:ascii="Arial" w:hAnsi="Arial" w:cs="Arial"/>
          <w:b/>
          <w:bCs/>
        </w:rPr>
      </w:pPr>
      <w:r w:rsidRPr="009C0D9E">
        <w:rPr>
          <w:rFonts w:ascii="Arial" w:hAnsi="Arial" w:cs="Arial"/>
          <w:b/>
          <w:bCs/>
        </w:rPr>
        <w:t xml:space="preserve">Table </w:t>
      </w:r>
      <w:r w:rsidR="009C0D9E" w:rsidRPr="009C0D9E">
        <w:rPr>
          <w:rFonts w:ascii="Arial" w:hAnsi="Arial" w:cs="Arial"/>
          <w:b/>
          <w:bCs/>
        </w:rPr>
        <w:t>3</w:t>
      </w:r>
      <w:r w:rsidRPr="009C0D9E">
        <w:rPr>
          <w:rFonts w:ascii="Arial" w:hAnsi="Arial" w:cs="Arial"/>
          <w:b/>
          <w:bCs/>
        </w:rPr>
        <w:t>.7</w:t>
      </w:r>
      <w:r w:rsidR="000C5A2D" w:rsidRPr="009C0D9E">
        <w:rPr>
          <w:rFonts w:ascii="Arial" w:hAnsi="Arial" w:cs="Arial"/>
          <w:b/>
          <w:bCs/>
        </w:rPr>
        <w:t xml:space="preserve">: </w:t>
      </w:r>
      <w:r w:rsidR="005E62B2" w:rsidRPr="009C0D9E">
        <w:rPr>
          <w:rFonts w:ascii="Arial" w:hAnsi="Arial" w:cs="Arial"/>
          <w:b/>
          <w:bCs/>
        </w:rPr>
        <w:t>Short</w:t>
      </w:r>
      <w:r w:rsidR="000C5A2D" w:rsidRPr="009C0D9E">
        <w:rPr>
          <w:rFonts w:ascii="Arial" w:hAnsi="Arial" w:cs="Arial"/>
          <w:b/>
          <w:bCs/>
        </w:rPr>
        <w:t>-Run Estimates</w:t>
      </w:r>
    </w:p>
    <w:tbl>
      <w:tblPr>
        <w:tblStyle w:val="TableGrid"/>
        <w:tblW w:w="9782" w:type="dxa"/>
        <w:tblInd w:w="-289" w:type="dxa"/>
        <w:tblLook w:val="04A0" w:firstRow="1" w:lastRow="0" w:firstColumn="1" w:lastColumn="0" w:noHBand="0" w:noVBand="1"/>
      </w:tblPr>
      <w:tblGrid>
        <w:gridCol w:w="1196"/>
        <w:gridCol w:w="1356"/>
        <w:gridCol w:w="1268"/>
        <w:gridCol w:w="1006"/>
        <w:gridCol w:w="1195"/>
        <w:gridCol w:w="1353"/>
        <w:gridCol w:w="1278"/>
        <w:gridCol w:w="1130"/>
      </w:tblGrid>
      <w:tr w:rsidR="005E62B2" w:rsidRPr="00AA4D12" w14:paraId="202BE6CD" w14:textId="77777777" w:rsidTr="002B6C6B">
        <w:tc>
          <w:tcPr>
            <w:tcW w:w="4826" w:type="dxa"/>
            <w:gridSpan w:val="4"/>
          </w:tcPr>
          <w:p w14:paraId="3DC21F3C" w14:textId="77777777" w:rsidR="005E62B2" w:rsidRPr="00AA4D12" w:rsidRDefault="005E62B2" w:rsidP="008462CA">
            <w:pPr>
              <w:autoSpaceDE w:val="0"/>
              <w:autoSpaceDN w:val="0"/>
              <w:adjustRightInd w:val="0"/>
              <w:jc w:val="center"/>
              <w:rPr>
                <w:rFonts w:ascii="Arial" w:hAnsi="Arial" w:cs="Arial"/>
                <w:b/>
                <w:lang w:val="en-US"/>
              </w:rPr>
            </w:pPr>
            <w:r>
              <w:rPr>
                <w:rFonts w:ascii="Arial" w:hAnsi="Arial" w:cs="Arial"/>
                <w:b/>
                <w:lang w:val="en-US"/>
              </w:rPr>
              <w:t>CAR</w:t>
            </w:r>
          </w:p>
        </w:tc>
        <w:tc>
          <w:tcPr>
            <w:tcW w:w="4956" w:type="dxa"/>
            <w:gridSpan w:val="4"/>
          </w:tcPr>
          <w:p w14:paraId="5B35207B" w14:textId="77777777" w:rsidR="005E62B2" w:rsidRPr="00AA4D12" w:rsidRDefault="005E62B2" w:rsidP="008462CA">
            <w:pPr>
              <w:autoSpaceDE w:val="0"/>
              <w:autoSpaceDN w:val="0"/>
              <w:adjustRightInd w:val="0"/>
              <w:jc w:val="center"/>
              <w:rPr>
                <w:rFonts w:ascii="Arial" w:hAnsi="Arial" w:cs="Arial"/>
                <w:b/>
                <w:lang w:val="en-US"/>
              </w:rPr>
            </w:pPr>
            <w:r>
              <w:rPr>
                <w:rFonts w:ascii="Arial" w:hAnsi="Arial" w:cs="Arial"/>
                <w:b/>
                <w:lang w:val="en-US"/>
              </w:rPr>
              <w:t>Equatorial Guinea</w:t>
            </w:r>
          </w:p>
        </w:tc>
      </w:tr>
      <w:tr w:rsidR="005E62B2" w:rsidRPr="00DD05D2" w14:paraId="51ADE2F4" w14:textId="77777777" w:rsidTr="002B6C6B">
        <w:tc>
          <w:tcPr>
            <w:tcW w:w="1196" w:type="dxa"/>
          </w:tcPr>
          <w:p w14:paraId="4F421153" w14:textId="77777777" w:rsidR="005E62B2" w:rsidRPr="00DD05D2" w:rsidRDefault="005E62B2" w:rsidP="008462CA">
            <w:pPr>
              <w:rPr>
                <w:rFonts w:ascii="Arial" w:hAnsi="Arial" w:cs="Arial"/>
              </w:rPr>
            </w:pPr>
            <w:r>
              <w:rPr>
                <w:rFonts w:ascii="Arial" w:hAnsi="Arial" w:cs="Arial"/>
                <w:b/>
              </w:rPr>
              <w:t>Variables</w:t>
            </w:r>
          </w:p>
        </w:tc>
        <w:tc>
          <w:tcPr>
            <w:tcW w:w="1356" w:type="dxa"/>
          </w:tcPr>
          <w:p w14:paraId="349F889A" w14:textId="77777777" w:rsidR="005E62B2" w:rsidRPr="00DD05D2" w:rsidRDefault="005E62B2" w:rsidP="008462CA">
            <w:pPr>
              <w:rPr>
                <w:rFonts w:ascii="Arial" w:hAnsi="Arial" w:cs="Arial"/>
              </w:rPr>
            </w:pPr>
            <w:r w:rsidRPr="00DD05D2">
              <w:rPr>
                <w:rFonts w:ascii="Arial" w:hAnsi="Arial" w:cs="Arial"/>
                <w:b/>
              </w:rPr>
              <w:t>Coefficient</w:t>
            </w:r>
          </w:p>
        </w:tc>
        <w:tc>
          <w:tcPr>
            <w:tcW w:w="1268" w:type="dxa"/>
          </w:tcPr>
          <w:p w14:paraId="6748418D" w14:textId="77777777" w:rsidR="005E62B2" w:rsidRPr="00DD05D2" w:rsidRDefault="005E62B2" w:rsidP="008462CA">
            <w:pPr>
              <w:autoSpaceDE w:val="0"/>
              <w:autoSpaceDN w:val="0"/>
              <w:adjustRightInd w:val="0"/>
              <w:rPr>
                <w:rFonts w:ascii="Arial" w:hAnsi="Arial" w:cs="Arial"/>
                <w:lang w:val="en-US"/>
              </w:rPr>
            </w:pPr>
            <w:r w:rsidRPr="00DD05D2">
              <w:rPr>
                <w:rFonts w:ascii="Arial" w:hAnsi="Arial" w:cs="Arial"/>
                <w:b/>
                <w:i/>
                <w:lang w:val="en-US"/>
              </w:rPr>
              <w:t>t-</w:t>
            </w:r>
            <w:r w:rsidRPr="00DD05D2">
              <w:rPr>
                <w:rFonts w:ascii="Arial" w:hAnsi="Arial" w:cs="Arial"/>
                <w:b/>
                <w:lang w:val="en-US"/>
              </w:rPr>
              <w:t>statistic</w:t>
            </w:r>
          </w:p>
        </w:tc>
        <w:tc>
          <w:tcPr>
            <w:tcW w:w="1006" w:type="dxa"/>
          </w:tcPr>
          <w:p w14:paraId="5A07B49C" w14:textId="77777777" w:rsidR="005E62B2" w:rsidRPr="00DD05D2" w:rsidRDefault="005E62B2" w:rsidP="008462CA">
            <w:pPr>
              <w:autoSpaceDE w:val="0"/>
              <w:autoSpaceDN w:val="0"/>
              <w:adjustRightInd w:val="0"/>
              <w:rPr>
                <w:rFonts w:ascii="Arial" w:hAnsi="Arial" w:cs="Arial"/>
                <w:lang w:val="en-US"/>
              </w:rPr>
            </w:pPr>
            <w:r w:rsidRPr="00DD05D2">
              <w:rPr>
                <w:rFonts w:ascii="Arial" w:hAnsi="Arial" w:cs="Arial"/>
                <w:b/>
                <w:i/>
                <w:lang w:val="en-US"/>
              </w:rPr>
              <w:t>P-</w:t>
            </w:r>
            <w:r w:rsidRPr="00DD05D2">
              <w:rPr>
                <w:rFonts w:ascii="Arial" w:hAnsi="Arial" w:cs="Arial"/>
                <w:b/>
                <w:lang w:val="en-US"/>
              </w:rPr>
              <w:t>value</w:t>
            </w:r>
          </w:p>
        </w:tc>
        <w:tc>
          <w:tcPr>
            <w:tcW w:w="1195" w:type="dxa"/>
          </w:tcPr>
          <w:p w14:paraId="74A89E35" w14:textId="77777777" w:rsidR="005E62B2" w:rsidRPr="00DD05D2" w:rsidRDefault="005E62B2" w:rsidP="008462CA">
            <w:pPr>
              <w:rPr>
                <w:rFonts w:ascii="Arial" w:hAnsi="Arial" w:cs="Arial"/>
              </w:rPr>
            </w:pPr>
            <w:r>
              <w:rPr>
                <w:rFonts w:ascii="Arial" w:hAnsi="Arial" w:cs="Arial"/>
                <w:b/>
              </w:rPr>
              <w:t>Variables</w:t>
            </w:r>
          </w:p>
        </w:tc>
        <w:tc>
          <w:tcPr>
            <w:tcW w:w="1353" w:type="dxa"/>
          </w:tcPr>
          <w:p w14:paraId="03CA59C8" w14:textId="77777777" w:rsidR="005E62B2" w:rsidRPr="00DD05D2" w:rsidRDefault="005E62B2" w:rsidP="008462CA">
            <w:pPr>
              <w:rPr>
                <w:rFonts w:ascii="Arial" w:hAnsi="Arial" w:cs="Arial"/>
              </w:rPr>
            </w:pPr>
            <w:r w:rsidRPr="00DD05D2">
              <w:rPr>
                <w:rFonts w:ascii="Arial" w:hAnsi="Arial" w:cs="Arial"/>
                <w:b/>
              </w:rPr>
              <w:t>Coefficient</w:t>
            </w:r>
          </w:p>
        </w:tc>
        <w:tc>
          <w:tcPr>
            <w:tcW w:w="1278" w:type="dxa"/>
          </w:tcPr>
          <w:p w14:paraId="04E31152" w14:textId="77777777" w:rsidR="005E62B2" w:rsidRPr="00DD05D2" w:rsidRDefault="005E62B2" w:rsidP="008462CA">
            <w:pPr>
              <w:autoSpaceDE w:val="0"/>
              <w:autoSpaceDN w:val="0"/>
              <w:adjustRightInd w:val="0"/>
              <w:rPr>
                <w:rFonts w:ascii="Arial" w:hAnsi="Arial" w:cs="Arial"/>
                <w:lang w:val="en-US"/>
              </w:rPr>
            </w:pPr>
            <w:r w:rsidRPr="00DD05D2">
              <w:rPr>
                <w:rFonts w:ascii="Arial" w:hAnsi="Arial" w:cs="Arial"/>
                <w:b/>
                <w:i/>
                <w:lang w:val="en-US"/>
              </w:rPr>
              <w:t>t-</w:t>
            </w:r>
            <w:r w:rsidRPr="00DD05D2">
              <w:rPr>
                <w:rFonts w:ascii="Arial" w:hAnsi="Arial" w:cs="Arial"/>
                <w:b/>
                <w:lang w:val="en-US"/>
              </w:rPr>
              <w:t>statistic</w:t>
            </w:r>
          </w:p>
        </w:tc>
        <w:tc>
          <w:tcPr>
            <w:tcW w:w="1130" w:type="dxa"/>
          </w:tcPr>
          <w:p w14:paraId="161C2B18" w14:textId="77777777" w:rsidR="005E62B2" w:rsidRPr="00DD05D2" w:rsidRDefault="005E62B2" w:rsidP="008462CA">
            <w:pPr>
              <w:autoSpaceDE w:val="0"/>
              <w:autoSpaceDN w:val="0"/>
              <w:adjustRightInd w:val="0"/>
              <w:rPr>
                <w:rFonts w:ascii="Arial" w:hAnsi="Arial" w:cs="Arial"/>
                <w:lang w:val="en-US"/>
              </w:rPr>
            </w:pPr>
            <w:r w:rsidRPr="00DD05D2">
              <w:rPr>
                <w:rFonts w:ascii="Arial" w:hAnsi="Arial" w:cs="Arial"/>
                <w:b/>
                <w:i/>
                <w:lang w:val="en-US"/>
              </w:rPr>
              <w:t>P-</w:t>
            </w:r>
            <w:r w:rsidRPr="00DD05D2">
              <w:rPr>
                <w:rFonts w:ascii="Arial" w:hAnsi="Arial" w:cs="Arial"/>
                <w:b/>
                <w:lang w:val="en-US"/>
              </w:rPr>
              <w:t>value</w:t>
            </w:r>
          </w:p>
        </w:tc>
      </w:tr>
      <w:tr w:rsidR="005E62B2" w:rsidRPr="00DD05D2" w14:paraId="1EB0859C" w14:textId="77777777" w:rsidTr="002B6C6B">
        <w:tc>
          <w:tcPr>
            <w:tcW w:w="1196" w:type="dxa"/>
          </w:tcPr>
          <w:p w14:paraId="16E87D11" w14:textId="77777777" w:rsidR="005E62B2" w:rsidRPr="00DD05D2" w:rsidRDefault="005E62B2" w:rsidP="008462CA">
            <w:pPr>
              <w:rPr>
                <w:rFonts w:ascii="Arial" w:hAnsi="Arial" w:cs="Arial"/>
                <w:sz w:val="20"/>
                <w:szCs w:val="20"/>
              </w:rPr>
            </w:pPr>
            <w:r w:rsidRPr="00DD05D2">
              <w:rPr>
                <w:rFonts w:ascii="Arial" w:hAnsi="Arial" w:cs="Arial"/>
                <w:sz w:val="20"/>
                <w:szCs w:val="20"/>
              </w:rPr>
              <w:t>TOT</w:t>
            </w:r>
          </w:p>
        </w:tc>
        <w:tc>
          <w:tcPr>
            <w:tcW w:w="1356" w:type="dxa"/>
          </w:tcPr>
          <w:p w14:paraId="7012A128" w14:textId="77777777" w:rsidR="005E62B2" w:rsidRPr="00DD05D2" w:rsidRDefault="005E62B2" w:rsidP="008462CA">
            <w:pPr>
              <w:rPr>
                <w:rFonts w:ascii="Arial" w:hAnsi="Arial" w:cs="Arial"/>
                <w:sz w:val="20"/>
                <w:szCs w:val="20"/>
              </w:rPr>
            </w:pPr>
            <w:r>
              <w:rPr>
                <w:rFonts w:ascii="Arial" w:hAnsi="Arial" w:cs="Arial"/>
                <w:sz w:val="20"/>
                <w:szCs w:val="20"/>
              </w:rPr>
              <w:t>-0.4172</w:t>
            </w:r>
          </w:p>
        </w:tc>
        <w:tc>
          <w:tcPr>
            <w:tcW w:w="1268" w:type="dxa"/>
          </w:tcPr>
          <w:p w14:paraId="15BD6D46" w14:textId="77777777" w:rsidR="005E62B2" w:rsidRPr="00DD05D2" w:rsidRDefault="005E62B2" w:rsidP="008462CA">
            <w:pPr>
              <w:autoSpaceDE w:val="0"/>
              <w:autoSpaceDN w:val="0"/>
              <w:adjustRightInd w:val="0"/>
              <w:rPr>
                <w:rFonts w:ascii="Arial" w:hAnsi="Arial" w:cs="Arial"/>
                <w:sz w:val="20"/>
                <w:szCs w:val="20"/>
                <w:lang w:val="en-US"/>
              </w:rPr>
            </w:pPr>
            <w:r>
              <w:rPr>
                <w:rFonts w:ascii="Arial" w:hAnsi="Arial" w:cs="Arial"/>
                <w:sz w:val="20"/>
                <w:szCs w:val="20"/>
                <w:lang w:val="en-US"/>
              </w:rPr>
              <w:t>-3.4483</w:t>
            </w:r>
          </w:p>
        </w:tc>
        <w:tc>
          <w:tcPr>
            <w:tcW w:w="1006" w:type="dxa"/>
          </w:tcPr>
          <w:p w14:paraId="1F15E615" w14:textId="77777777" w:rsidR="005E62B2" w:rsidRPr="00DD05D2" w:rsidRDefault="005E62B2" w:rsidP="008462CA">
            <w:pPr>
              <w:autoSpaceDE w:val="0"/>
              <w:autoSpaceDN w:val="0"/>
              <w:adjustRightInd w:val="0"/>
              <w:rPr>
                <w:rFonts w:ascii="Arial" w:hAnsi="Arial" w:cs="Arial"/>
                <w:sz w:val="20"/>
                <w:szCs w:val="20"/>
                <w:lang w:val="en-US"/>
              </w:rPr>
            </w:pPr>
            <w:r>
              <w:rPr>
                <w:rFonts w:ascii="Arial" w:hAnsi="Arial" w:cs="Arial"/>
                <w:sz w:val="20"/>
                <w:szCs w:val="20"/>
                <w:lang w:val="en-US"/>
              </w:rPr>
              <w:t>0.0008</w:t>
            </w:r>
          </w:p>
        </w:tc>
        <w:tc>
          <w:tcPr>
            <w:tcW w:w="1195" w:type="dxa"/>
          </w:tcPr>
          <w:p w14:paraId="26286A54" w14:textId="77777777" w:rsidR="005E62B2" w:rsidRPr="00DD05D2" w:rsidRDefault="005E62B2" w:rsidP="008462CA">
            <w:pPr>
              <w:rPr>
                <w:rFonts w:ascii="Arial" w:hAnsi="Arial" w:cs="Arial"/>
                <w:sz w:val="20"/>
                <w:szCs w:val="20"/>
              </w:rPr>
            </w:pPr>
            <w:r w:rsidRPr="00DD05D2">
              <w:rPr>
                <w:rFonts w:ascii="Arial" w:hAnsi="Arial" w:cs="Arial"/>
                <w:sz w:val="20"/>
                <w:szCs w:val="20"/>
              </w:rPr>
              <w:t>TOT</w:t>
            </w:r>
          </w:p>
        </w:tc>
        <w:tc>
          <w:tcPr>
            <w:tcW w:w="1353" w:type="dxa"/>
          </w:tcPr>
          <w:p w14:paraId="7783E2EB" w14:textId="77777777" w:rsidR="005E62B2" w:rsidRPr="00DD05D2" w:rsidRDefault="005E62B2" w:rsidP="008462CA">
            <w:pPr>
              <w:autoSpaceDE w:val="0"/>
              <w:autoSpaceDN w:val="0"/>
              <w:adjustRightInd w:val="0"/>
              <w:rPr>
                <w:rFonts w:ascii="Arial" w:hAnsi="Arial" w:cs="Arial"/>
                <w:sz w:val="20"/>
                <w:szCs w:val="20"/>
                <w:lang w:val="en-US"/>
              </w:rPr>
            </w:pPr>
            <w:r>
              <w:rPr>
                <w:rFonts w:ascii="Arial" w:hAnsi="Arial" w:cs="Arial"/>
                <w:sz w:val="20"/>
                <w:szCs w:val="20"/>
                <w:lang w:val="en-US"/>
              </w:rPr>
              <w:t>0.0085</w:t>
            </w:r>
          </w:p>
        </w:tc>
        <w:tc>
          <w:tcPr>
            <w:tcW w:w="1278" w:type="dxa"/>
          </w:tcPr>
          <w:p w14:paraId="19A53960" w14:textId="77777777" w:rsidR="005E62B2" w:rsidRPr="00DD05D2" w:rsidRDefault="005E62B2" w:rsidP="008462CA">
            <w:pPr>
              <w:autoSpaceDE w:val="0"/>
              <w:autoSpaceDN w:val="0"/>
              <w:adjustRightInd w:val="0"/>
              <w:rPr>
                <w:rFonts w:ascii="Arial" w:hAnsi="Arial" w:cs="Arial"/>
                <w:color w:val="000000"/>
                <w:sz w:val="20"/>
                <w:szCs w:val="20"/>
              </w:rPr>
            </w:pPr>
            <w:r>
              <w:rPr>
                <w:rFonts w:ascii="Arial" w:hAnsi="Arial" w:cs="Arial"/>
                <w:color w:val="000000"/>
                <w:sz w:val="20"/>
                <w:szCs w:val="20"/>
              </w:rPr>
              <w:t>0.2456</w:t>
            </w:r>
          </w:p>
        </w:tc>
        <w:tc>
          <w:tcPr>
            <w:tcW w:w="1130" w:type="dxa"/>
          </w:tcPr>
          <w:p w14:paraId="7296CFD8" w14:textId="77777777" w:rsidR="005E62B2" w:rsidRPr="00DD05D2" w:rsidRDefault="005E62B2" w:rsidP="008462CA">
            <w:pPr>
              <w:autoSpaceDE w:val="0"/>
              <w:autoSpaceDN w:val="0"/>
              <w:adjustRightInd w:val="0"/>
              <w:rPr>
                <w:rFonts w:ascii="Arial" w:hAnsi="Arial" w:cs="Arial"/>
                <w:sz w:val="20"/>
                <w:szCs w:val="20"/>
                <w:lang w:val="en-US"/>
              </w:rPr>
            </w:pPr>
            <w:r>
              <w:rPr>
                <w:rFonts w:ascii="Arial" w:hAnsi="Arial" w:cs="Arial"/>
                <w:sz w:val="20"/>
                <w:szCs w:val="20"/>
                <w:lang w:val="en-US"/>
              </w:rPr>
              <w:t>0.8064</w:t>
            </w:r>
          </w:p>
        </w:tc>
      </w:tr>
      <w:tr w:rsidR="005E62B2" w:rsidRPr="00DD05D2" w14:paraId="35BAE419" w14:textId="77777777" w:rsidTr="002B6C6B">
        <w:tc>
          <w:tcPr>
            <w:tcW w:w="1196" w:type="dxa"/>
          </w:tcPr>
          <w:p w14:paraId="75027A20" w14:textId="77777777" w:rsidR="005E62B2" w:rsidRPr="00DD05D2" w:rsidRDefault="005E62B2" w:rsidP="008462CA">
            <w:pPr>
              <w:rPr>
                <w:rFonts w:ascii="Arial" w:hAnsi="Arial" w:cs="Arial"/>
                <w:sz w:val="20"/>
                <w:szCs w:val="20"/>
              </w:rPr>
            </w:pPr>
            <w:r w:rsidRPr="00DD05D2">
              <w:rPr>
                <w:rFonts w:ascii="Arial" w:hAnsi="Arial" w:cs="Arial"/>
                <w:sz w:val="20"/>
                <w:szCs w:val="20"/>
              </w:rPr>
              <w:t>NFA</w:t>
            </w:r>
          </w:p>
        </w:tc>
        <w:tc>
          <w:tcPr>
            <w:tcW w:w="1356" w:type="dxa"/>
          </w:tcPr>
          <w:p w14:paraId="7B141043" w14:textId="77777777" w:rsidR="005E62B2" w:rsidRPr="00DD05D2" w:rsidRDefault="005E62B2" w:rsidP="008462CA">
            <w:pPr>
              <w:rPr>
                <w:rFonts w:ascii="Arial" w:hAnsi="Arial" w:cs="Arial"/>
                <w:sz w:val="20"/>
                <w:szCs w:val="20"/>
              </w:rPr>
            </w:pPr>
            <w:r>
              <w:rPr>
                <w:rFonts w:ascii="Arial" w:hAnsi="Arial" w:cs="Arial"/>
                <w:sz w:val="20"/>
                <w:szCs w:val="20"/>
              </w:rPr>
              <w:t>17.2328</w:t>
            </w:r>
          </w:p>
        </w:tc>
        <w:tc>
          <w:tcPr>
            <w:tcW w:w="1268" w:type="dxa"/>
          </w:tcPr>
          <w:p w14:paraId="4BC0D73F" w14:textId="77777777" w:rsidR="005E62B2" w:rsidRPr="00DD05D2" w:rsidRDefault="005E62B2" w:rsidP="008462CA">
            <w:pPr>
              <w:autoSpaceDE w:val="0"/>
              <w:autoSpaceDN w:val="0"/>
              <w:adjustRightInd w:val="0"/>
              <w:rPr>
                <w:rFonts w:ascii="Arial" w:hAnsi="Arial" w:cs="Arial"/>
                <w:sz w:val="20"/>
                <w:szCs w:val="20"/>
                <w:lang w:val="en-US"/>
              </w:rPr>
            </w:pPr>
            <w:r>
              <w:rPr>
                <w:rFonts w:ascii="Arial" w:hAnsi="Arial" w:cs="Arial"/>
                <w:sz w:val="20"/>
                <w:szCs w:val="20"/>
                <w:lang w:val="en-US"/>
              </w:rPr>
              <w:t>0.2178</w:t>
            </w:r>
          </w:p>
        </w:tc>
        <w:tc>
          <w:tcPr>
            <w:tcW w:w="1006" w:type="dxa"/>
          </w:tcPr>
          <w:p w14:paraId="400E5DEF" w14:textId="77777777" w:rsidR="005E62B2" w:rsidRPr="00DD05D2" w:rsidRDefault="005E62B2" w:rsidP="008462CA">
            <w:pPr>
              <w:autoSpaceDE w:val="0"/>
              <w:autoSpaceDN w:val="0"/>
              <w:adjustRightInd w:val="0"/>
              <w:rPr>
                <w:rFonts w:ascii="Arial" w:hAnsi="Arial" w:cs="Arial"/>
                <w:sz w:val="20"/>
                <w:szCs w:val="20"/>
                <w:lang w:val="en-US"/>
              </w:rPr>
            </w:pPr>
            <w:r>
              <w:rPr>
                <w:rFonts w:ascii="Arial" w:hAnsi="Arial" w:cs="Arial"/>
                <w:sz w:val="20"/>
                <w:szCs w:val="20"/>
                <w:lang w:val="en-US"/>
              </w:rPr>
              <w:t>0.8279</w:t>
            </w:r>
          </w:p>
        </w:tc>
        <w:tc>
          <w:tcPr>
            <w:tcW w:w="1195" w:type="dxa"/>
          </w:tcPr>
          <w:p w14:paraId="02366FB2" w14:textId="77777777" w:rsidR="005E62B2" w:rsidRPr="00DD05D2" w:rsidRDefault="005E62B2" w:rsidP="008462CA">
            <w:pPr>
              <w:rPr>
                <w:rFonts w:ascii="Arial" w:hAnsi="Arial" w:cs="Arial"/>
                <w:sz w:val="20"/>
                <w:szCs w:val="20"/>
              </w:rPr>
            </w:pPr>
            <w:r w:rsidRPr="00DD05D2">
              <w:rPr>
                <w:rFonts w:ascii="Arial" w:hAnsi="Arial" w:cs="Arial"/>
                <w:sz w:val="20"/>
                <w:szCs w:val="20"/>
              </w:rPr>
              <w:t>NFA</w:t>
            </w:r>
          </w:p>
        </w:tc>
        <w:tc>
          <w:tcPr>
            <w:tcW w:w="1353" w:type="dxa"/>
          </w:tcPr>
          <w:p w14:paraId="7D67B948" w14:textId="77777777" w:rsidR="005E62B2" w:rsidRPr="00DD05D2" w:rsidRDefault="005E62B2" w:rsidP="008462CA">
            <w:pPr>
              <w:autoSpaceDE w:val="0"/>
              <w:autoSpaceDN w:val="0"/>
              <w:adjustRightInd w:val="0"/>
              <w:rPr>
                <w:rFonts w:ascii="Arial" w:hAnsi="Arial" w:cs="Arial"/>
                <w:sz w:val="20"/>
                <w:szCs w:val="20"/>
                <w:lang w:val="en-US"/>
              </w:rPr>
            </w:pPr>
            <w:r>
              <w:rPr>
                <w:rFonts w:ascii="Arial" w:hAnsi="Arial" w:cs="Arial"/>
                <w:sz w:val="20"/>
                <w:szCs w:val="20"/>
                <w:lang w:val="en-US"/>
              </w:rPr>
              <w:t>-30.3590</w:t>
            </w:r>
          </w:p>
        </w:tc>
        <w:tc>
          <w:tcPr>
            <w:tcW w:w="1278" w:type="dxa"/>
          </w:tcPr>
          <w:p w14:paraId="0F3BF327" w14:textId="77777777" w:rsidR="005E62B2" w:rsidRPr="00DD05D2" w:rsidRDefault="005E62B2" w:rsidP="008462CA">
            <w:pPr>
              <w:autoSpaceDE w:val="0"/>
              <w:autoSpaceDN w:val="0"/>
              <w:adjustRightInd w:val="0"/>
              <w:rPr>
                <w:rFonts w:ascii="Arial" w:hAnsi="Arial" w:cs="Arial"/>
                <w:color w:val="000000"/>
                <w:sz w:val="20"/>
                <w:szCs w:val="20"/>
              </w:rPr>
            </w:pPr>
            <w:r>
              <w:rPr>
                <w:rFonts w:ascii="Arial" w:hAnsi="Arial" w:cs="Arial"/>
                <w:color w:val="000000"/>
                <w:sz w:val="20"/>
                <w:szCs w:val="20"/>
              </w:rPr>
              <w:t>-1.6249</w:t>
            </w:r>
          </w:p>
        </w:tc>
        <w:tc>
          <w:tcPr>
            <w:tcW w:w="1130" w:type="dxa"/>
          </w:tcPr>
          <w:p w14:paraId="09EBCA41" w14:textId="77777777" w:rsidR="005E62B2" w:rsidRPr="00DD05D2" w:rsidRDefault="005E62B2" w:rsidP="008462CA">
            <w:pPr>
              <w:autoSpaceDE w:val="0"/>
              <w:autoSpaceDN w:val="0"/>
              <w:adjustRightInd w:val="0"/>
              <w:rPr>
                <w:rFonts w:ascii="Arial" w:hAnsi="Arial" w:cs="Arial"/>
                <w:sz w:val="20"/>
                <w:szCs w:val="20"/>
                <w:lang w:val="en-US"/>
              </w:rPr>
            </w:pPr>
            <w:r>
              <w:rPr>
                <w:rFonts w:ascii="Arial" w:hAnsi="Arial" w:cs="Arial"/>
                <w:sz w:val="20"/>
                <w:szCs w:val="20"/>
                <w:lang w:val="en-US"/>
              </w:rPr>
              <w:t>0.1072</w:t>
            </w:r>
          </w:p>
        </w:tc>
      </w:tr>
      <w:tr w:rsidR="005E62B2" w:rsidRPr="00DD05D2" w14:paraId="25D05ED4" w14:textId="77777777" w:rsidTr="002B6C6B">
        <w:tc>
          <w:tcPr>
            <w:tcW w:w="1196" w:type="dxa"/>
          </w:tcPr>
          <w:p w14:paraId="5DCD6DAB" w14:textId="77777777" w:rsidR="005E62B2" w:rsidRPr="00DD05D2" w:rsidRDefault="005E62B2" w:rsidP="008462CA">
            <w:pPr>
              <w:rPr>
                <w:rFonts w:ascii="Arial" w:hAnsi="Arial" w:cs="Arial"/>
                <w:sz w:val="20"/>
                <w:szCs w:val="20"/>
              </w:rPr>
            </w:pPr>
            <w:r w:rsidRPr="00DD05D2">
              <w:rPr>
                <w:rFonts w:ascii="Arial" w:hAnsi="Arial" w:cs="Arial"/>
                <w:sz w:val="20"/>
                <w:szCs w:val="20"/>
              </w:rPr>
              <w:t>GOVCON</w:t>
            </w:r>
          </w:p>
        </w:tc>
        <w:tc>
          <w:tcPr>
            <w:tcW w:w="1356" w:type="dxa"/>
          </w:tcPr>
          <w:p w14:paraId="2CF52A1D" w14:textId="77777777" w:rsidR="005E62B2" w:rsidRPr="00DD05D2" w:rsidRDefault="005E62B2" w:rsidP="008462CA">
            <w:pPr>
              <w:rPr>
                <w:rFonts w:ascii="Arial" w:hAnsi="Arial" w:cs="Arial"/>
                <w:sz w:val="20"/>
                <w:szCs w:val="20"/>
              </w:rPr>
            </w:pPr>
            <w:r>
              <w:rPr>
                <w:rFonts w:ascii="Arial" w:hAnsi="Arial" w:cs="Arial"/>
                <w:sz w:val="20"/>
                <w:szCs w:val="20"/>
              </w:rPr>
              <w:t>2.364</w:t>
            </w:r>
          </w:p>
        </w:tc>
        <w:tc>
          <w:tcPr>
            <w:tcW w:w="1268" w:type="dxa"/>
          </w:tcPr>
          <w:p w14:paraId="545D7114" w14:textId="77777777" w:rsidR="005E62B2" w:rsidRPr="00DD05D2" w:rsidRDefault="005E62B2" w:rsidP="008462CA">
            <w:pPr>
              <w:autoSpaceDE w:val="0"/>
              <w:autoSpaceDN w:val="0"/>
              <w:adjustRightInd w:val="0"/>
              <w:rPr>
                <w:rFonts w:ascii="Arial" w:hAnsi="Arial" w:cs="Arial"/>
                <w:sz w:val="20"/>
                <w:szCs w:val="20"/>
                <w:lang w:val="en-US"/>
              </w:rPr>
            </w:pPr>
            <w:r>
              <w:rPr>
                <w:rFonts w:ascii="Arial" w:hAnsi="Arial" w:cs="Arial"/>
                <w:sz w:val="20"/>
                <w:szCs w:val="20"/>
                <w:lang w:val="en-US"/>
              </w:rPr>
              <w:t>2.5103</w:t>
            </w:r>
          </w:p>
        </w:tc>
        <w:tc>
          <w:tcPr>
            <w:tcW w:w="1006" w:type="dxa"/>
          </w:tcPr>
          <w:p w14:paraId="1FC7DE3D" w14:textId="77777777" w:rsidR="005E62B2" w:rsidRPr="00DD05D2" w:rsidRDefault="005E62B2" w:rsidP="008462CA">
            <w:pPr>
              <w:autoSpaceDE w:val="0"/>
              <w:autoSpaceDN w:val="0"/>
              <w:adjustRightInd w:val="0"/>
              <w:rPr>
                <w:rFonts w:ascii="Arial" w:hAnsi="Arial" w:cs="Arial"/>
                <w:sz w:val="20"/>
                <w:szCs w:val="20"/>
                <w:lang w:val="en-US"/>
              </w:rPr>
            </w:pPr>
            <w:r>
              <w:rPr>
                <w:rFonts w:ascii="Arial" w:hAnsi="Arial" w:cs="Arial"/>
                <w:sz w:val="20"/>
                <w:szCs w:val="20"/>
                <w:lang w:val="en-US"/>
              </w:rPr>
              <w:t>0.0133</w:t>
            </w:r>
          </w:p>
        </w:tc>
        <w:tc>
          <w:tcPr>
            <w:tcW w:w="1195" w:type="dxa"/>
          </w:tcPr>
          <w:p w14:paraId="51A5990F" w14:textId="77777777" w:rsidR="005E62B2" w:rsidRPr="00DD05D2" w:rsidRDefault="005E62B2" w:rsidP="008462CA">
            <w:pPr>
              <w:rPr>
                <w:rFonts w:ascii="Arial" w:hAnsi="Arial" w:cs="Arial"/>
                <w:sz w:val="20"/>
                <w:szCs w:val="20"/>
              </w:rPr>
            </w:pPr>
            <w:r w:rsidRPr="00DD05D2">
              <w:rPr>
                <w:rFonts w:ascii="Arial" w:hAnsi="Arial" w:cs="Arial"/>
                <w:sz w:val="20"/>
                <w:szCs w:val="20"/>
              </w:rPr>
              <w:t>GOVCON</w:t>
            </w:r>
          </w:p>
        </w:tc>
        <w:tc>
          <w:tcPr>
            <w:tcW w:w="1353" w:type="dxa"/>
          </w:tcPr>
          <w:p w14:paraId="58EDB88D" w14:textId="77777777" w:rsidR="005E62B2" w:rsidRPr="00DD05D2" w:rsidRDefault="005E62B2" w:rsidP="008462CA">
            <w:pPr>
              <w:autoSpaceDE w:val="0"/>
              <w:autoSpaceDN w:val="0"/>
              <w:adjustRightInd w:val="0"/>
              <w:rPr>
                <w:rFonts w:ascii="Arial" w:hAnsi="Arial" w:cs="Arial"/>
                <w:sz w:val="20"/>
                <w:szCs w:val="20"/>
                <w:lang w:val="en-US"/>
              </w:rPr>
            </w:pPr>
          </w:p>
        </w:tc>
        <w:tc>
          <w:tcPr>
            <w:tcW w:w="1278" w:type="dxa"/>
          </w:tcPr>
          <w:p w14:paraId="32CDECD7" w14:textId="77777777" w:rsidR="005E62B2" w:rsidRPr="00DD05D2" w:rsidRDefault="005E62B2" w:rsidP="008462CA">
            <w:pPr>
              <w:autoSpaceDE w:val="0"/>
              <w:autoSpaceDN w:val="0"/>
              <w:adjustRightInd w:val="0"/>
              <w:rPr>
                <w:rFonts w:ascii="Arial" w:hAnsi="Arial" w:cs="Arial"/>
                <w:color w:val="000000"/>
                <w:sz w:val="20"/>
                <w:szCs w:val="20"/>
              </w:rPr>
            </w:pPr>
          </w:p>
        </w:tc>
        <w:tc>
          <w:tcPr>
            <w:tcW w:w="1130" w:type="dxa"/>
          </w:tcPr>
          <w:p w14:paraId="2103B200" w14:textId="77777777" w:rsidR="005E62B2" w:rsidRPr="00DD05D2" w:rsidRDefault="005E62B2" w:rsidP="008462CA">
            <w:pPr>
              <w:autoSpaceDE w:val="0"/>
              <w:autoSpaceDN w:val="0"/>
              <w:adjustRightInd w:val="0"/>
              <w:rPr>
                <w:rFonts w:ascii="Arial" w:hAnsi="Arial" w:cs="Arial"/>
                <w:sz w:val="20"/>
                <w:szCs w:val="20"/>
                <w:lang w:val="en-US"/>
              </w:rPr>
            </w:pPr>
          </w:p>
        </w:tc>
      </w:tr>
      <w:tr w:rsidR="005E62B2" w:rsidRPr="00DD05D2" w14:paraId="19D533B2" w14:textId="77777777" w:rsidTr="002B6C6B">
        <w:tc>
          <w:tcPr>
            <w:tcW w:w="1196" w:type="dxa"/>
          </w:tcPr>
          <w:p w14:paraId="45D2A0AA" w14:textId="77777777" w:rsidR="005E62B2" w:rsidRPr="00DD05D2" w:rsidRDefault="005E62B2" w:rsidP="008462CA">
            <w:pPr>
              <w:rPr>
                <w:rFonts w:ascii="Arial" w:hAnsi="Arial" w:cs="Arial"/>
                <w:sz w:val="20"/>
                <w:szCs w:val="20"/>
              </w:rPr>
            </w:pPr>
            <w:r w:rsidRPr="00DD05D2">
              <w:rPr>
                <w:rFonts w:ascii="Arial" w:hAnsi="Arial" w:cs="Arial"/>
                <w:sz w:val="20"/>
                <w:szCs w:val="20"/>
              </w:rPr>
              <w:t>OPEN</w:t>
            </w:r>
          </w:p>
        </w:tc>
        <w:tc>
          <w:tcPr>
            <w:tcW w:w="1356" w:type="dxa"/>
          </w:tcPr>
          <w:p w14:paraId="3C6A75B2" w14:textId="77777777" w:rsidR="005E62B2" w:rsidRPr="00DD05D2" w:rsidRDefault="005E62B2" w:rsidP="008462CA">
            <w:pPr>
              <w:rPr>
                <w:rFonts w:ascii="Arial" w:hAnsi="Arial" w:cs="Arial"/>
                <w:sz w:val="20"/>
                <w:szCs w:val="20"/>
              </w:rPr>
            </w:pPr>
            <w:r>
              <w:rPr>
                <w:rFonts w:ascii="Arial" w:hAnsi="Arial" w:cs="Arial"/>
                <w:sz w:val="20"/>
                <w:szCs w:val="20"/>
              </w:rPr>
              <w:t>-0.4176</w:t>
            </w:r>
          </w:p>
        </w:tc>
        <w:tc>
          <w:tcPr>
            <w:tcW w:w="1268" w:type="dxa"/>
          </w:tcPr>
          <w:p w14:paraId="5B3202A2" w14:textId="77777777" w:rsidR="005E62B2" w:rsidRPr="00DD05D2" w:rsidRDefault="005E62B2" w:rsidP="008462CA">
            <w:pPr>
              <w:autoSpaceDE w:val="0"/>
              <w:autoSpaceDN w:val="0"/>
              <w:adjustRightInd w:val="0"/>
              <w:rPr>
                <w:rFonts w:ascii="Arial" w:hAnsi="Arial" w:cs="Arial"/>
                <w:sz w:val="20"/>
                <w:szCs w:val="20"/>
                <w:lang w:val="en-US"/>
              </w:rPr>
            </w:pPr>
            <w:r>
              <w:rPr>
                <w:rFonts w:ascii="Arial" w:hAnsi="Arial" w:cs="Arial"/>
                <w:sz w:val="20"/>
                <w:szCs w:val="20"/>
                <w:lang w:val="en-US"/>
              </w:rPr>
              <w:t>-0.9261</w:t>
            </w:r>
          </w:p>
        </w:tc>
        <w:tc>
          <w:tcPr>
            <w:tcW w:w="1006" w:type="dxa"/>
          </w:tcPr>
          <w:p w14:paraId="289BD9F1" w14:textId="77777777" w:rsidR="005E62B2" w:rsidRPr="00DD05D2" w:rsidRDefault="005E62B2" w:rsidP="008462CA">
            <w:pPr>
              <w:autoSpaceDE w:val="0"/>
              <w:autoSpaceDN w:val="0"/>
              <w:adjustRightInd w:val="0"/>
              <w:rPr>
                <w:rFonts w:ascii="Arial" w:hAnsi="Arial" w:cs="Arial"/>
                <w:sz w:val="20"/>
                <w:szCs w:val="20"/>
                <w:lang w:val="en-US"/>
              </w:rPr>
            </w:pPr>
            <w:r>
              <w:rPr>
                <w:rFonts w:ascii="Arial" w:hAnsi="Arial" w:cs="Arial"/>
                <w:sz w:val="20"/>
                <w:szCs w:val="20"/>
                <w:lang w:val="en-US"/>
              </w:rPr>
              <w:t>0.3561</w:t>
            </w:r>
          </w:p>
        </w:tc>
        <w:tc>
          <w:tcPr>
            <w:tcW w:w="1195" w:type="dxa"/>
          </w:tcPr>
          <w:p w14:paraId="7E04CB43" w14:textId="77777777" w:rsidR="005E62B2" w:rsidRPr="00DD05D2" w:rsidRDefault="005E62B2" w:rsidP="008462CA">
            <w:pPr>
              <w:rPr>
                <w:rFonts w:ascii="Arial" w:hAnsi="Arial" w:cs="Arial"/>
                <w:sz w:val="20"/>
                <w:szCs w:val="20"/>
              </w:rPr>
            </w:pPr>
            <w:r w:rsidRPr="00DD05D2">
              <w:rPr>
                <w:rFonts w:ascii="Arial" w:hAnsi="Arial" w:cs="Arial"/>
                <w:sz w:val="20"/>
                <w:szCs w:val="20"/>
              </w:rPr>
              <w:t>OPEN</w:t>
            </w:r>
          </w:p>
        </w:tc>
        <w:tc>
          <w:tcPr>
            <w:tcW w:w="1353" w:type="dxa"/>
          </w:tcPr>
          <w:p w14:paraId="18F6CBF1" w14:textId="77777777" w:rsidR="005E62B2" w:rsidRPr="00DD05D2" w:rsidRDefault="005E62B2" w:rsidP="008462CA">
            <w:pPr>
              <w:autoSpaceDE w:val="0"/>
              <w:autoSpaceDN w:val="0"/>
              <w:adjustRightInd w:val="0"/>
              <w:rPr>
                <w:rFonts w:ascii="Arial" w:hAnsi="Arial" w:cs="Arial"/>
                <w:color w:val="000000"/>
                <w:sz w:val="20"/>
                <w:szCs w:val="20"/>
              </w:rPr>
            </w:pPr>
          </w:p>
        </w:tc>
        <w:tc>
          <w:tcPr>
            <w:tcW w:w="1278" w:type="dxa"/>
          </w:tcPr>
          <w:p w14:paraId="4EFAA71B" w14:textId="77777777" w:rsidR="005E62B2" w:rsidRPr="00DD05D2" w:rsidRDefault="005E62B2" w:rsidP="008462CA">
            <w:pPr>
              <w:autoSpaceDE w:val="0"/>
              <w:autoSpaceDN w:val="0"/>
              <w:adjustRightInd w:val="0"/>
              <w:rPr>
                <w:rFonts w:ascii="Arial" w:hAnsi="Arial" w:cs="Arial"/>
                <w:color w:val="000000"/>
                <w:sz w:val="20"/>
                <w:szCs w:val="20"/>
              </w:rPr>
            </w:pPr>
          </w:p>
        </w:tc>
        <w:tc>
          <w:tcPr>
            <w:tcW w:w="1130" w:type="dxa"/>
          </w:tcPr>
          <w:p w14:paraId="00E98663" w14:textId="77777777" w:rsidR="005E62B2" w:rsidRPr="00DD05D2" w:rsidRDefault="005E62B2" w:rsidP="008462CA">
            <w:pPr>
              <w:autoSpaceDE w:val="0"/>
              <w:autoSpaceDN w:val="0"/>
              <w:adjustRightInd w:val="0"/>
              <w:rPr>
                <w:rFonts w:ascii="Arial" w:hAnsi="Arial" w:cs="Arial"/>
                <w:sz w:val="20"/>
                <w:szCs w:val="20"/>
                <w:lang w:val="en-US"/>
              </w:rPr>
            </w:pPr>
          </w:p>
        </w:tc>
      </w:tr>
      <w:tr w:rsidR="005E62B2" w:rsidRPr="00DD05D2" w14:paraId="48092A76" w14:textId="77777777" w:rsidTr="002B6C6B">
        <w:tc>
          <w:tcPr>
            <w:tcW w:w="1196" w:type="dxa"/>
          </w:tcPr>
          <w:p w14:paraId="232D0231" w14:textId="77777777" w:rsidR="005E62B2" w:rsidRPr="00DD05D2" w:rsidRDefault="005E62B2" w:rsidP="008462CA">
            <w:pPr>
              <w:rPr>
                <w:rFonts w:ascii="Arial" w:hAnsi="Arial" w:cs="Arial"/>
                <w:sz w:val="20"/>
                <w:szCs w:val="20"/>
              </w:rPr>
            </w:pPr>
            <w:r w:rsidRPr="00DD05D2">
              <w:rPr>
                <w:rFonts w:ascii="Arial" w:hAnsi="Arial" w:cs="Arial"/>
                <w:sz w:val="20"/>
                <w:szCs w:val="20"/>
              </w:rPr>
              <w:t>PROD</w:t>
            </w:r>
          </w:p>
        </w:tc>
        <w:tc>
          <w:tcPr>
            <w:tcW w:w="1356" w:type="dxa"/>
          </w:tcPr>
          <w:p w14:paraId="10B9DE91" w14:textId="77777777" w:rsidR="005E62B2" w:rsidRPr="00DD05D2" w:rsidRDefault="005E62B2" w:rsidP="008462CA">
            <w:pPr>
              <w:rPr>
                <w:rFonts w:ascii="Arial" w:hAnsi="Arial" w:cs="Arial"/>
                <w:sz w:val="20"/>
                <w:szCs w:val="20"/>
              </w:rPr>
            </w:pPr>
            <w:r>
              <w:rPr>
                <w:rFonts w:ascii="Arial" w:hAnsi="Arial" w:cs="Arial"/>
                <w:sz w:val="20"/>
                <w:szCs w:val="20"/>
              </w:rPr>
              <w:t>-0.0179</w:t>
            </w:r>
          </w:p>
        </w:tc>
        <w:tc>
          <w:tcPr>
            <w:tcW w:w="1268" w:type="dxa"/>
          </w:tcPr>
          <w:p w14:paraId="459C2AD1" w14:textId="77777777" w:rsidR="005E62B2" w:rsidRPr="00DD05D2" w:rsidRDefault="005E62B2" w:rsidP="008462CA">
            <w:pPr>
              <w:autoSpaceDE w:val="0"/>
              <w:autoSpaceDN w:val="0"/>
              <w:adjustRightInd w:val="0"/>
              <w:rPr>
                <w:rFonts w:ascii="Arial" w:hAnsi="Arial" w:cs="Arial"/>
                <w:sz w:val="20"/>
                <w:szCs w:val="20"/>
                <w:lang w:val="en-US"/>
              </w:rPr>
            </w:pPr>
            <w:r>
              <w:rPr>
                <w:rFonts w:ascii="Arial" w:hAnsi="Arial" w:cs="Arial"/>
                <w:sz w:val="20"/>
                <w:szCs w:val="20"/>
                <w:lang w:val="en-US"/>
              </w:rPr>
              <w:t>-0.3725</w:t>
            </w:r>
          </w:p>
        </w:tc>
        <w:tc>
          <w:tcPr>
            <w:tcW w:w="1006" w:type="dxa"/>
          </w:tcPr>
          <w:p w14:paraId="132376B9" w14:textId="77777777" w:rsidR="005E62B2" w:rsidRPr="00DD05D2" w:rsidRDefault="005E62B2" w:rsidP="008462CA">
            <w:pPr>
              <w:autoSpaceDE w:val="0"/>
              <w:autoSpaceDN w:val="0"/>
              <w:adjustRightInd w:val="0"/>
              <w:rPr>
                <w:rFonts w:ascii="Arial" w:hAnsi="Arial" w:cs="Arial"/>
                <w:sz w:val="20"/>
                <w:szCs w:val="20"/>
                <w:lang w:val="en-US"/>
              </w:rPr>
            </w:pPr>
            <w:r>
              <w:rPr>
                <w:rFonts w:ascii="Arial" w:hAnsi="Arial" w:cs="Arial"/>
                <w:sz w:val="20"/>
                <w:szCs w:val="20"/>
                <w:lang w:val="en-US"/>
              </w:rPr>
              <w:t>0.7101</w:t>
            </w:r>
          </w:p>
        </w:tc>
        <w:tc>
          <w:tcPr>
            <w:tcW w:w="1195" w:type="dxa"/>
          </w:tcPr>
          <w:p w14:paraId="528E4A75" w14:textId="77777777" w:rsidR="005E62B2" w:rsidRPr="00DD05D2" w:rsidRDefault="005E62B2" w:rsidP="008462CA">
            <w:pPr>
              <w:rPr>
                <w:rFonts w:ascii="Arial" w:hAnsi="Arial" w:cs="Arial"/>
                <w:sz w:val="20"/>
                <w:szCs w:val="20"/>
              </w:rPr>
            </w:pPr>
            <w:r w:rsidRPr="00DD05D2">
              <w:rPr>
                <w:rFonts w:ascii="Arial" w:hAnsi="Arial" w:cs="Arial"/>
                <w:sz w:val="20"/>
                <w:szCs w:val="20"/>
              </w:rPr>
              <w:t>PROD</w:t>
            </w:r>
          </w:p>
        </w:tc>
        <w:tc>
          <w:tcPr>
            <w:tcW w:w="1353" w:type="dxa"/>
          </w:tcPr>
          <w:p w14:paraId="37CB4DA3" w14:textId="77777777" w:rsidR="005E62B2" w:rsidRPr="00DD05D2" w:rsidRDefault="005E62B2" w:rsidP="008462CA">
            <w:pPr>
              <w:autoSpaceDE w:val="0"/>
              <w:autoSpaceDN w:val="0"/>
              <w:adjustRightInd w:val="0"/>
              <w:rPr>
                <w:rFonts w:ascii="Arial" w:hAnsi="Arial" w:cs="Arial"/>
                <w:sz w:val="20"/>
                <w:szCs w:val="20"/>
                <w:lang w:val="en-US"/>
              </w:rPr>
            </w:pPr>
            <w:r>
              <w:rPr>
                <w:rFonts w:ascii="Arial" w:hAnsi="Arial" w:cs="Arial"/>
                <w:sz w:val="20"/>
                <w:szCs w:val="20"/>
                <w:lang w:val="en-US"/>
              </w:rPr>
              <w:t>0.0011</w:t>
            </w:r>
          </w:p>
        </w:tc>
        <w:tc>
          <w:tcPr>
            <w:tcW w:w="1278" w:type="dxa"/>
          </w:tcPr>
          <w:p w14:paraId="0D6E259C" w14:textId="77777777" w:rsidR="005E62B2" w:rsidRPr="00DD05D2" w:rsidRDefault="005E62B2" w:rsidP="008462CA">
            <w:pPr>
              <w:autoSpaceDE w:val="0"/>
              <w:autoSpaceDN w:val="0"/>
              <w:adjustRightInd w:val="0"/>
              <w:rPr>
                <w:rFonts w:ascii="Arial" w:hAnsi="Arial" w:cs="Arial"/>
                <w:color w:val="000000"/>
                <w:sz w:val="20"/>
                <w:szCs w:val="20"/>
              </w:rPr>
            </w:pPr>
            <w:r>
              <w:rPr>
                <w:rFonts w:ascii="Arial" w:hAnsi="Arial" w:cs="Arial"/>
                <w:color w:val="000000"/>
                <w:sz w:val="20"/>
                <w:szCs w:val="20"/>
              </w:rPr>
              <w:t>2.4324</w:t>
            </w:r>
          </w:p>
        </w:tc>
        <w:tc>
          <w:tcPr>
            <w:tcW w:w="1130" w:type="dxa"/>
          </w:tcPr>
          <w:p w14:paraId="55A57869" w14:textId="77777777" w:rsidR="005E62B2" w:rsidRPr="00DD05D2" w:rsidRDefault="005E62B2" w:rsidP="008462CA">
            <w:pPr>
              <w:autoSpaceDE w:val="0"/>
              <w:autoSpaceDN w:val="0"/>
              <w:adjustRightInd w:val="0"/>
              <w:rPr>
                <w:rFonts w:ascii="Arial" w:hAnsi="Arial" w:cs="Arial"/>
                <w:sz w:val="20"/>
                <w:szCs w:val="20"/>
                <w:lang w:val="en-US"/>
              </w:rPr>
            </w:pPr>
            <w:r>
              <w:rPr>
                <w:rFonts w:ascii="Arial" w:hAnsi="Arial" w:cs="Arial"/>
                <w:sz w:val="20"/>
                <w:szCs w:val="20"/>
                <w:lang w:val="en-US"/>
              </w:rPr>
              <w:t>0.0167</w:t>
            </w:r>
          </w:p>
        </w:tc>
      </w:tr>
      <w:tr w:rsidR="005E62B2" w:rsidRPr="00AA4D12" w14:paraId="05F947FF" w14:textId="77777777" w:rsidTr="002B6C6B">
        <w:tc>
          <w:tcPr>
            <w:tcW w:w="4826" w:type="dxa"/>
            <w:gridSpan w:val="4"/>
          </w:tcPr>
          <w:p w14:paraId="22AED44D" w14:textId="77777777" w:rsidR="005E62B2" w:rsidRPr="00AA4D12" w:rsidRDefault="005E62B2" w:rsidP="008462CA">
            <w:pPr>
              <w:autoSpaceDE w:val="0"/>
              <w:autoSpaceDN w:val="0"/>
              <w:adjustRightInd w:val="0"/>
              <w:jc w:val="center"/>
              <w:rPr>
                <w:rFonts w:ascii="Arial" w:hAnsi="Arial" w:cs="Arial"/>
                <w:b/>
                <w:lang w:val="en-US"/>
              </w:rPr>
            </w:pPr>
            <w:r w:rsidRPr="00AA4D12">
              <w:rPr>
                <w:rFonts w:ascii="Arial" w:hAnsi="Arial" w:cs="Arial"/>
                <w:b/>
                <w:lang w:val="en-US"/>
              </w:rPr>
              <w:t>Cameroon</w:t>
            </w:r>
          </w:p>
        </w:tc>
        <w:tc>
          <w:tcPr>
            <w:tcW w:w="4956" w:type="dxa"/>
            <w:gridSpan w:val="4"/>
          </w:tcPr>
          <w:p w14:paraId="281342E0" w14:textId="77777777" w:rsidR="005E62B2" w:rsidRPr="00AA4D12" w:rsidRDefault="005E62B2" w:rsidP="008462CA">
            <w:pPr>
              <w:autoSpaceDE w:val="0"/>
              <w:autoSpaceDN w:val="0"/>
              <w:adjustRightInd w:val="0"/>
              <w:jc w:val="center"/>
              <w:rPr>
                <w:rFonts w:ascii="Arial" w:hAnsi="Arial" w:cs="Arial"/>
                <w:b/>
                <w:lang w:val="en-US"/>
              </w:rPr>
            </w:pPr>
            <w:r w:rsidRPr="00AA4D12">
              <w:rPr>
                <w:rFonts w:ascii="Arial" w:hAnsi="Arial" w:cs="Arial"/>
                <w:b/>
                <w:lang w:val="en-US"/>
              </w:rPr>
              <w:t>Gabon</w:t>
            </w:r>
          </w:p>
        </w:tc>
      </w:tr>
      <w:tr w:rsidR="005E62B2" w:rsidRPr="00DD05D2" w14:paraId="11335F6C" w14:textId="77777777" w:rsidTr="002B6C6B">
        <w:tc>
          <w:tcPr>
            <w:tcW w:w="1196" w:type="dxa"/>
          </w:tcPr>
          <w:p w14:paraId="474BB317" w14:textId="77777777" w:rsidR="005E62B2" w:rsidRPr="00DD05D2" w:rsidRDefault="005E62B2" w:rsidP="008462CA">
            <w:pPr>
              <w:rPr>
                <w:rFonts w:ascii="Arial" w:hAnsi="Arial" w:cs="Arial"/>
              </w:rPr>
            </w:pPr>
            <w:r>
              <w:rPr>
                <w:rFonts w:ascii="Arial" w:hAnsi="Arial" w:cs="Arial"/>
                <w:b/>
              </w:rPr>
              <w:t>Variables</w:t>
            </w:r>
          </w:p>
        </w:tc>
        <w:tc>
          <w:tcPr>
            <w:tcW w:w="1356" w:type="dxa"/>
          </w:tcPr>
          <w:p w14:paraId="3E224EB3" w14:textId="77777777" w:rsidR="005E62B2" w:rsidRPr="00DD05D2" w:rsidRDefault="005E62B2" w:rsidP="008462CA">
            <w:pPr>
              <w:rPr>
                <w:rFonts w:ascii="Arial" w:hAnsi="Arial" w:cs="Arial"/>
              </w:rPr>
            </w:pPr>
            <w:r w:rsidRPr="00DD05D2">
              <w:rPr>
                <w:rFonts w:ascii="Arial" w:hAnsi="Arial" w:cs="Arial"/>
                <w:b/>
              </w:rPr>
              <w:t>Coefficient</w:t>
            </w:r>
          </w:p>
        </w:tc>
        <w:tc>
          <w:tcPr>
            <w:tcW w:w="1268" w:type="dxa"/>
          </w:tcPr>
          <w:p w14:paraId="4531FE98" w14:textId="77777777" w:rsidR="005E62B2" w:rsidRPr="00DD05D2" w:rsidRDefault="005E62B2" w:rsidP="008462CA">
            <w:pPr>
              <w:autoSpaceDE w:val="0"/>
              <w:autoSpaceDN w:val="0"/>
              <w:adjustRightInd w:val="0"/>
              <w:rPr>
                <w:rFonts w:ascii="Arial" w:hAnsi="Arial" w:cs="Arial"/>
                <w:lang w:val="en-US"/>
              </w:rPr>
            </w:pPr>
            <w:r w:rsidRPr="00DD05D2">
              <w:rPr>
                <w:rFonts w:ascii="Arial" w:hAnsi="Arial" w:cs="Arial"/>
                <w:b/>
                <w:i/>
                <w:lang w:val="en-US"/>
              </w:rPr>
              <w:t>t-</w:t>
            </w:r>
            <w:r w:rsidRPr="00DD05D2">
              <w:rPr>
                <w:rFonts w:ascii="Arial" w:hAnsi="Arial" w:cs="Arial"/>
                <w:b/>
                <w:lang w:val="en-US"/>
              </w:rPr>
              <w:t>statistic</w:t>
            </w:r>
          </w:p>
        </w:tc>
        <w:tc>
          <w:tcPr>
            <w:tcW w:w="1006" w:type="dxa"/>
          </w:tcPr>
          <w:p w14:paraId="2A00F7B2" w14:textId="77777777" w:rsidR="005E62B2" w:rsidRPr="00DD05D2" w:rsidRDefault="005E62B2" w:rsidP="008462CA">
            <w:pPr>
              <w:autoSpaceDE w:val="0"/>
              <w:autoSpaceDN w:val="0"/>
              <w:adjustRightInd w:val="0"/>
              <w:rPr>
                <w:rFonts w:ascii="Arial" w:hAnsi="Arial" w:cs="Arial"/>
                <w:lang w:val="en-US"/>
              </w:rPr>
            </w:pPr>
            <w:r w:rsidRPr="00DD05D2">
              <w:rPr>
                <w:rFonts w:ascii="Arial" w:hAnsi="Arial" w:cs="Arial"/>
                <w:b/>
                <w:i/>
                <w:lang w:val="en-US"/>
              </w:rPr>
              <w:t>P-</w:t>
            </w:r>
            <w:r w:rsidRPr="00DD05D2">
              <w:rPr>
                <w:rFonts w:ascii="Arial" w:hAnsi="Arial" w:cs="Arial"/>
                <w:b/>
                <w:lang w:val="en-US"/>
              </w:rPr>
              <w:t>value</w:t>
            </w:r>
          </w:p>
        </w:tc>
        <w:tc>
          <w:tcPr>
            <w:tcW w:w="1195" w:type="dxa"/>
          </w:tcPr>
          <w:p w14:paraId="022B1F6A" w14:textId="77777777" w:rsidR="005E62B2" w:rsidRPr="00DD05D2" w:rsidRDefault="005E62B2" w:rsidP="008462CA">
            <w:pPr>
              <w:rPr>
                <w:rFonts w:ascii="Arial" w:hAnsi="Arial" w:cs="Arial"/>
              </w:rPr>
            </w:pPr>
            <w:r>
              <w:rPr>
                <w:rFonts w:ascii="Arial" w:hAnsi="Arial" w:cs="Arial"/>
                <w:b/>
              </w:rPr>
              <w:t>Variables</w:t>
            </w:r>
          </w:p>
        </w:tc>
        <w:tc>
          <w:tcPr>
            <w:tcW w:w="1353" w:type="dxa"/>
          </w:tcPr>
          <w:p w14:paraId="4B60DE61" w14:textId="77777777" w:rsidR="005E62B2" w:rsidRPr="00DD05D2" w:rsidRDefault="005E62B2" w:rsidP="008462CA">
            <w:pPr>
              <w:rPr>
                <w:rFonts w:ascii="Arial" w:hAnsi="Arial" w:cs="Arial"/>
              </w:rPr>
            </w:pPr>
            <w:r w:rsidRPr="00DD05D2">
              <w:rPr>
                <w:rFonts w:ascii="Arial" w:hAnsi="Arial" w:cs="Arial"/>
                <w:b/>
              </w:rPr>
              <w:t>Coefficient</w:t>
            </w:r>
          </w:p>
        </w:tc>
        <w:tc>
          <w:tcPr>
            <w:tcW w:w="1278" w:type="dxa"/>
          </w:tcPr>
          <w:p w14:paraId="5E4003E8" w14:textId="77777777" w:rsidR="005E62B2" w:rsidRPr="00DD05D2" w:rsidRDefault="005E62B2" w:rsidP="008462CA">
            <w:pPr>
              <w:autoSpaceDE w:val="0"/>
              <w:autoSpaceDN w:val="0"/>
              <w:adjustRightInd w:val="0"/>
              <w:rPr>
                <w:rFonts w:ascii="Arial" w:hAnsi="Arial" w:cs="Arial"/>
                <w:lang w:val="en-US"/>
              </w:rPr>
            </w:pPr>
            <w:r w:rsidRPr="00DD05D2">
              <w:rPr>
                <w:rFonts w:ascii="Arial" w:hAnsi="Arial" w:cs="Arial"/>
                <w:b/>
                <w:i/>
                <w:lang w:val="en-US"/>
              </w:rPr>
              <w:t>t-</w:t>
            </w:r>
            <w:r w:rsidRPr="00DD05D2">
              <w:rPr>
                <w:rFonts w:ascii="Arial" w:hAnsi="Arial" w:cs="Arial"/>
                <w:b/>
                <w:lang w:val="en-US"/>
              </w:rPr>
              <w:t>statistic</w:t>
            </w:r>
          </w:p>
        </w:tc>
        <w:tc>
          <w:tcPr>
            <w:tcW w:w="1130" w:type="dxa"/>
          </w:tcPr>
          <w:p w14:paraId="58E2D5DD" w14:textId="77777777" w:rsidR="005E62B2" w:rsidRPr="00DD05D2" w:rsidRDefault="005E62B2" w:rsidP="008462CA">
            <w:pPr>
              <w:autoSpaceDE w:val="0"/>
              <w:autoSpaceDN w:val="0"/>
              <w:adjustRightInd w:val="0"/>
              <w:rPr>
                <w:rFonts w:ascii="Arial" w:hAnsi="Arial" w:cs="Arial"/>
                <w:lang w:val="en-US"/>
              </w:rPr>
            </w:pPr>
            <w:r w:rsidRPr="00DD05D2">
              <w:rPr>
                <w:rFonts w:ascii="Arial" w:hAnsi="Arial" w:cs="Arial"/>
                <w:b/>
                <w:i/>
                <w:lang w:val="en-US"/>
              </w:rPr>
              <w:t>P-</w:t>
            </w:r>
            <w:r w:rsidRPr="00DD05D2">
              <w:rPr>
                <w:rFonts w:ascii="Arial" w:hAnsi="Arial" w:cs="Arial"/>
                <w:b/>
                <w:lang w:val="en-US"/>
              </w:rPr>
              <w:t>value</w:t>
            </w:r>
          </w:p>
        </w:tc>
      </w:tr>
      <w:tr w:rsidR="005E62B2" w:rsidRPr="00DD05D2" w14:paraId="1CAFB164" w14:textId="77777777" w:rsidTr="002B6C6B">
        <w:tc>
          <w:tcPr>
            <w:tcW w:w="1196" w:type="dxa"/>
          </w:tcPr>
          <w:p w14:paraId="7AE0676E" w14:textId="77777777" w:rsidR="005E62B2" w:rsidRPr="00DD05D2" w:rsidRDefault="005E62B2" w:rsidP="008462CA">
            <w:pPr>
              <w:rPr>
                <w:rFonts w:ascii="Arial" w:hAnsi="Arial" w:cs="Arial"/>
                <w:sz w:val="20"/>
                <w:szCs w:val="20"/>
              </w:rPr>
            </w:pPr>
            <w:r w:rsidRPr="00DD05D2">
              <w:rPr>
                <w:rFonts w:ascii="Arial" w:hAnsi="Arial" w:cs="Arial"/>
                <w:sz w:val="20"/>
                <w:szCs w:val="20"/>
              </w:rPr>
              <w:t>TOT</w:t>
            </w:r>
          </w:p>
        </w:tc>
        <w:tc>
          <w:tcPr>
            <w:tcW w:w="1356" w:type="dxa"/>
          </w:tcPr>
          <w:p w14:paraId="0DECE5D1" w14:textId="77777777" w:rsidR="005E62B2" w:rsidRPr="00DD05D2" w:rsidRDefault="005E62B2" w:rsidP="008462CA">
            <w:pPr>
              <w:rPr>
                <w:rFonts w:ascii="Arial" w:hAnsi="Arial" w:cs="Arial"/>
                <w:sz w:val="20"/>
                <w:szCs w:val="20"/>
              </w:rPr>
            </w:pPr>
            <w:r w:rsidRPr="00DD05D2">
              <w:rPr>
                <w:rFonts w:ascii="Arial" w:hAnsi="Arial" w:cs="Arial"/>
                <w:sz w:val="20"/>
                <w:szCs w:val="20"/>
              </w:rPr>
              <w:t>-0.1674</w:t>
            </w:r>
          </w:p>
        </w:tc>
        <w:tc>
          <w:tcPr>
            <w:tcW w:w="1268" w:type="dxa"/>
          </w:tcPr>
          <w:p w14:paraId="54394A55" w14:textId="77777777" w:rsidR="005E62B2" w:rsidRPr="00DD05D2" w:rsidRDefault="005E62B2" w:rsidP="008462CA">
            <w:pPr>
              <w:autoSpaceDE w:val="0"/>
              <w:autoSpaceDN w:val="0"/>
              <w:adjustRightInd w:val="0"/>
              <w:rPr>
                <w:rFonts w:ascii="Arial" w:hAnsi="Arial" w:cs="Arial"/>
                <w:sz w:val="20"/>
                <w:szCs w:val="20"/>
                <w:lang w:val="en-US"/>
              </w:rPr>
            </w:pPr>
            <w:r w:rsidRPr="00DD05D2">
              <w:rPr>
                <w:rFonts w:ascii="Arial" w:hAnsi="Arial" w:cs="Arial"/>
                <w:sz w:val="20"/>
                <w:szCs w:val="20"/>
                <w:lang w:val="en-US"/>
              </w:rPr>
              <w:t>-2.4965</w:t>
            </w:r>
          </w:p>
        </w:tc>
        <w:tc>
          <w:tcPr>
            <w:tcW w:w="1006" w:type="dxa"/>
          </w:tcPr>
          <w:p w14:paraId="34E57CB1" w14:textId="77777777" w:rsidR="005E62B2" w:rsidRPr="00DD05D2" w:rsidRDefault="005E62B2" w:rsidP="008462CA">
            <w:pPr>
              <w:autoSpaceDE w:val="0"/>
              <w:autoSpaceDN w:val="0"/>
              <w:adjustRightInd w:val="0"/>
              <w:rPr>
                <w:rFonts w:ascii="Arial" w:hAnsi="Arial" w:cs="Arial"/>
                <w:sz w:val="20"/>
                <w:szCs w:val="20"/>
                <w:lang w:val="en-US"/>
              </w:rPr>
            </w:pPr>
            <w:r w:rsidRPr="00DD05D2">
              <w:rPr>
                <w:rFonts w:ascii="Arial" w:hAnsi="Arial" w:cs="Arial"/>
                <w:sz w:val="20"/>
                <w:szCs w:val="20"/>
                <w:lang w:val="en-US"/>
              </w:rPr>
              <w:t>0.0134</w:t>
            </w:r>
          </w:p>
        </w:tc>
        <w:tc>
          <w:tcPr>
            <w:tcW w:w="1195" w:type="dxa"/>
          </w:tcPr>
          <w:p w14:paraId="62ED55A9" w14:textId="77777777" w:rsidR="005E62B2" w:rsidRPr="00DD05D2" w:rsidRDefault="005E62B2" w:rsidP="008462CA">
            <w:pPr>
              <w:rPr>
                <w:rFonts w:ascii="Arial" w:hAnsi="Arial" w:cs="Arial"/>
                <w:sz w:val="20"/>
                <w:szCs w:val="20"/>
              </w:rPr>
            </w:pPr>
            <w:r w:rsidRPr="00DD05D2">
              <w:rPr>
                <w:rFonts w:ascii="Arial" w:hAnsi="Arial" w:cs="Arial"/>
                <w:sz w:val="20"/>
                <w:szCs w:val="20"/>
              </w:rPr>
              <w:t>TOT</w:t>
            </w:r>
          </w:p>
        </w:tc>
        <w:tc>
          <w:tcPr>
            <w:tcW w:w="1353" w:type="dxa"/>
          </w:tcPr>
          <w:p w14:paraId="45FC198C" w14:textId="77777777" w:rsidR="005E62B2" w:rsidRPr="00DD05D2" w:rsidRDefault="005E62B2" w:rsidP="008462CA">
            <w:pPr>
              <w:autoSpaceDE w:val="0"/>
              <w:autoSpaceDN w:val="0"/>
              <w:adjustRightInd w:val="0"/>
              <w:rPr>
                <w:rFonts w:ascii="Arial" w:hAnsi="Arial" w:cs="Arial"/>
                <w:sz w:val="20"/>
                <w:szCs w:val="20"/>
                <w:lang w:val="en-US"/>
              </w:rPr>
            </w:pPr>
            <w:r>
              <w:rPr>
                <w:rFonts w:ascii="Arial" w:hAnsi="Arial" w:cs="Arial"/>
                <w:sz w:val="20"/>
                <w:szCs w:val="20"/>
                <w:lang w:val="en-US"/>
              </w:rPr>
              <w:t>-0.2322</w:t>
            </w:r>
          </w:p>
        </w:tc>
        <w:tc>
          <w:tcPr>
            <w:tcW w:w="1278" w:type="dxa"/>
          </w:tcPr>
          <w:p w14:paraId="736CF1F0" w14:textId="77777777" w:rsidR="005E62B2" w:rsidRPr="00DD05D2" w:rsidRDefault="005E62B2" w:rsidP="008462CA">
            <w:pPr>
              <w:autoSpaceDE w:val="0"/>
              <w:autoSpaceDN w:val="0"/>
              <w:adjustRightInd w:val="0"/>
              <w:rPr>
                <w:rFonts w:ascii="Arial" w:hAnsi="Arial" w:cs="Arial"/>
                <w:color w:val="000000"/>
                <w:sz w:val="20"/>
                <w:szCs w:val="20"/>
              </w:rPr>
            </w:pPr>
            <w:r>
              <w:rPr>
                <w:rFonts w:ascii="Arial" w:hAnsi="Arial" w:cs="Arial"/>
                <w:color w:val="000000"/>
                <w:sz w:val="20"/>
                <w:szCs w:val="20"/>
              </w:rPr>
              <w:t>-1.0513</w:t>
            </w:r>
          </w:p>
        </w:tc>
        <w:tc>
          <w:tcPr>
            <w:tcW w:w="1130" w:type="dxa"/>
          </w:tcPr>
          <w:p w14:paraId="358A7B79" w14:textId="77777777" w:rsidR="005E62B2" w:rsidRPr="00DD05D2" w:rsidRDefault="005E62B2" w:rsidP="008462CA">
            <w:pPr>
              <w:autoSpaceDE w:val="0"/>
              <w:autoSpaceDN w:val="0"/>
              <w:adjustRightInd w:val="0"/>
              <w:rPr>
                <w:rFonts w:ascii="Arial" w:hAnsi="Arial" w:cs="Arial"/>
                <w:sz w:val="20"/>
                <w:szCs w:val="20"/>
                <w:lang w:val="en-US"/>
              </w:rPr>
            </w:pPr>
            <w:r>
              <w:rPr>
                <w:rFonts w:ascii="Arial" w:hAnsi="Arial" w:cs="Arial"/>
                <w:sz w:val="20"/>
                <w:szCs w:val="20"/>
                <w:lang w:val="en-US"/>
              </w:rPr>
              <w:t>0.2951</w:t>
            </w:r>
          </w:p>
        </w:tc>
      </w:tr>
      <w:tr w:rsidR="005E62B2" w:rsidRPr="00DD05D2" w14:paraId="2CA0241F" w14:textId="77777777" w:rsidTr="002B6C6B">
        <w:tc>
          <w:tcPr>
            <w:tcW w:w="1196" w:type="dxa"/>
          </w:tcPr>
          <w:p w14:paraId="1B351A67" w14:textId="77777777" w:rsidR="005E62B2" w:rsidRPr="00DD05D2" w:rsidRDefault="005E62B2" w:rsidP="008462CA">
            <w:pPr>
              <w:rPr>
                <w:rFonts w:ascii="Arial" w:hAnsi="Arial" w:cs="Arial"/>
                <w:sz w:val="20"/>
                <w:szCs w:val="20"/>
              </w:rPr>
            </w:pPr>
            <w:r w:rsidRPr="00DD05D2">
              <w:rPr>
                <w:rFonts w:ascii="Arial" w:hAnsi="Arial" w:cs="Arial"/>
                <w:sz w:val="20"/>
                <w:szCs w:val="20"/>
              </w:rPr>
              <w:t>NFA</w:t>
            </w:r>
          </w:p>
        </w:tc>
        <w:tc>
          <w:tcPr>
            <w:tcW w:w="1356" w:type="dxa"/>
          </w:tcPr>
          <w:p w14:paraId="5F42A96C" w14:textId="77777777" w:rsidR="005E62B2" w:rsidRPr="00DD05D2" w:rsidRDefault="005E62B2" w:rsidP="008462CA">
            <w:pPr>
              <w:rPr>
                <w:rFonts w:ascii="Arial" w:hAnsi="Arial" w:cs="Arial"/>
                <w:sz w:val="20"/>
                <w:szCs w:val="20"/>
              </w:rPr>
            </w:pPr>
            <w:r w:rsidRPr="00DD05D2">
              <w:rPr>
                <w:rFonts w:ascii="Arial" w:hAnsi="Arial" w:cs="Arial"/>
                <w:sz w:val="20"/>
                <w:szCs w:val="20"/>
              </w:rPr>
              <w:t>-24.664</w:t>
            </w:r>
            <w:r>
              <w:rPr>
                <w:rFonts w:ascii="Arial" w:hAnsi="Arial" w:cs="Arial"/>
                <w:sz w:val="20"/>
                <w:szCs w:val="20"/>
              </w:rPr>
              <w:t>1</w:t>
            </w:r>
          </w:p>
        </w:tc>
        <w:tc>
          <w:tcPr>
            <w:tcW w:w="1268" w:type="dxa"/>
          </w:tcPr>
          <w:p w14:paraId="1B6A836E" w14:textId="77777777" w:rsidR="005E62B2" w:rsidRPr="00DD05D2" w:rsidRDefault="005E62B2" w:rsidP="008462CA">
            <w:pPr>
              <w:autoSpaceDE w:val="0"/>
              <w:autoSpaceDN w:val="0"/>
              <w:adjustRightInd w:val="0"/>
              <w:rPr>
                <w:rFonts w:ascii="Arial" w:hAnsi="Arial" w:cs="Arial"/>
                <w:sz w:val="20"/>
                <w:szCs w:val="20"/>
                <w:lang w:val="en-US"/>
              </w:rPr>
            </w:pPr>
            <w:r w:rsidRPr="00DD05D2">
              <w:rPr>
                <w:rFonts w:ascii="Arial" w:hAnsi="Arial" w:cs="Arial"/>
                <w:sz w:val="20"/>
                <w:szCs w:val="20"/>
                <w:lang w:val="en-US"/>
              </w:rPr>
              <w:t>-0.4988</w:t>
            </w:r>
          </w:p>
        </w:tc>
        <w:tc>
          <w:tcPr>
            <w:tcW w:w="1006" w:type="dxa"/>
          </w:tcPr>
          <w:p w14:paraId="6040DBB7" w14:textId="77777777" w:rsidR="005E62B2" w:rsidRPr="00DD05D2" w:rsidRDefault="005E62B2" w:rsidP="008462CA">
            <w:pPr>
              <w:autoSpaceDE w:val="0"/>
              <w:autoSpaceDN w:val="0"/>
              <w:adjustRightInd w:val="0"/>
              <w:rPr>
                <w:rFonts w:ascii="Arial" w:hAnsi="Arial" w:cs="Arial"/>
                <w:sz w:val="20"/>
                <w:szCs w:val="20"/>
                <w:lang w:val="en-US"/>
              </w:rPr>
            </w:pPr>
            <w:r w:rsidRPr="00DD05D2">
              <w:rPr>
                <w:rFonts w:ascii="Arial" w:hAnsi="Arial" w:cs="Arial"/>
                <w:sz w:val="20"/>
                <w:szCs w:val="20"/>
                <w:lang w:val="en-US"/>
              </w:rPr>
              <w:t>0.6185</w:t>
            </w:r>
          </w:p>
        </w:tc>
        <w:tc>
          <w:tcPr>
            <w:tcW w:w="1195" w:type="dxa"/>
          </w:tcPr>
          <w:p w14:paraId="3339E3A2" w14:textId="77777777" w:rsidR="005E62B2" w:rsidRPr="00DD05D2" w:rsidRDefault="005E62B2" w:rsidP="008462CA">
            <w:pPr>
              <w:rPr>
                <w:rFonts w:ascii="Arial" w:hAnsi="Arial" w:cs="Arial"/>
                <w:sz w:val="20"/>
                <w:szCs w:val="20"/>
              </w:rPr>
            </w:pPr>
            <w:r w:rsidRPr="00DD05D2">
              <w:rPr>
                <w:rFonts w:ascii="Arial" w:hAnsi="Arial" w:cs="Arial"/>
                <w:sz w:val="20"/>
                <w:szCs w:val="20"/>
              </w:rPr>
              <w:t>NFA</w:t>
            </w:r>
          </w:p>
        </w:tc>
        <w:tc>
          <w:tcPr>
            <w:tcW w:w="1353" w:type="dxa"/>
          </w:tcPr>
          <w:p w14:paraId="4EDE83C2" w14:textId="77777777" w:rsidR="005E62B2" w:rsidRPr="00DD05D2" w:rsidRDefault="005E62B2" w:rsidP="008462CA">
            <w:pPr>
              <w:autoSpaceDE w:val="0"/>
              <w:autoSpaceDN w:val="0"/>
              <w:adjustRightInd w:val="0"/>
              <w:rPr>
                <w:rFonts w:ascii="Arial" w:hAnsi="Arial" w:cs="Arial"/>
                <w:sz w:val="20"/>
                <w:szCs w:val="20"/>
                <w:lang w:val="en-US"/>
              </w:rPr>
            </w:pPr>
            <w:r>
              <w:rPr>
                <w:rFonts w:ascii="Arial" w:hAnsi="Arial" w:cs="Arial"/>
                <w:sz w:val="20"/>
                <w:szCs w:val="20"/>
                <w:lang w:val="en-US"/>
              </w:rPr>
              <w:t>-0.3172</w:t>
            </w:r>
          </w:p>
        </w:tc>
        <w:tc>
          <w:tcPr>
            <w:tcW w:w="1278" w:type="dxa"/>
          </w:tcPr>
          <w:p w14:paraId="49719560" w14:textId="77777777" w:rsidR="005E62B2" w:rsidRPr="00DD05D2" w:rsidRDefault="005E62B2" w:rsidP="008462CA">
            <w:pPr>
              <w:autoSpaceDE w:val="0"/>
              <w:autoSpaceDN w:val="0"/>
              <w:adjustRightInd w:val="0"/>
              <w:rPr>
                <w:rFonts w:ascii="Arial" w:hAnsi="Arial" w:cs="Arial"/>
                <w:color w:val="000000"/>
                <w:sz w:val="20"/>
                <w:szCs w:val="20"/>
              </w:rPr>
            </w:pPr>
            <w:r>
              <w:rPr>
                <w:rFonts w:ascii="Arial" w:hAnsi="Arial" w:cs="Arial"/>
                <w:color w:val="000000"/>
                <w:sz w:val="20"/>
                <w:szCs w:val="20"/>
              </w:rPr>
              <w:t>-1.4422</w:t>
            </w:r>
          </w:p>
        </w:tc>
        <w:tc>
          <w:tcPr>
            <w:tcW w:w="1130" w:type="dxa"/>
          </w:tcPr>
          <w:p w14:paraId="257C4CEF" w14:textId="77777777" w:rsidR="005E62B2" w:rsidRPr="00DD05D2" w:rsidRDefault="005E62B2" w:rsidP="008462CA">
            <w:pPr>
              <w:autoSpaceDE w:val="0"/>
              <w:autoSpaceDN w:val="0"/>
              <w:adjustRightInd w:val="0"/>
              <w:rPr>
                <w:rFonts w:ascii="Arial" w:hAnsi="Arial" w:cs="Arial"/>
                <w:sz w:val="20"/>
                <w:szCs w:val="20"/>
                <w:lang w:val="en-US"/>
              </w:rPr>
            </w:pPr>
            <w:r>
              <w:rPr>
                <w:rFonts w:ascii="Arial" w:hAnsi="Arial" w:cs="Arial"/>
                <w:sz w:val="20"/>
                <w:szCs w:val="20"/>
                <w:lang w:val="en-US"/>
              </w:rPr>
              <w:t>0.1516</w:t>
            </w:r>
          </w:p>
        </w:tc>
      </w:tr>
      <w:tr w:rsidR="005E62B2" w:rsidRPr="00DD05D2" w14:paraId="72548E84" w14:textId="77777777" w:rsidTr="002B6C6B">
        <w:tc>
          <w:tcPr>
            <w:tcW w:w="1196" w:type="dxa"/>
          </w:tcPr>
          <w:p w14:paraId="1696950D" w14:textId="77777777" w:rsidR="005E62B2" w:rsidRPr="00DD05D2" w:rsidRDefault="005E62B2" w:rsidP="008462CA">
            <w:pPr>
              <w:rPr>
                <w:rFonts w:ascii="Arial" w:hAnsi="Arial" w:cs="Arial"/>
                <w:sz w:val="20"/>
                <w:szCs w:val="20"/>
              </w:rPr>
            </w:pPr>
            <w:r w:rsidRPr="00DD05D2">
              <w:rPr>
                <w:rFonts w:ascii="Arial" w:hAnsi="Arial" w:cs="Arial"/>
                <w:sz w:val="20"/>
                <w:szCs w:val="20"/>
              </w:rPr>
              <w:t>GOVCON</w:t>
            </w:r>
          </w:p>
        </w:tc>
        <w:tc>
          <w:tcPr>
            <w:tcW w:w="1356" w:type="dxa"/>
          </w:tcPr>
          <w:p w14:paraId="29E0DAC2" w14:textId="77777777" w:rsidR="005E62B2" w:rsidRPr="00DD05D2" w:rsidRDefault="005E62B2" w:rsidP="008462CA">
            <w:pPr>
              <w:rPr>
                <w:rFonts w:ascii="Arial" w:hAnsi="Arial" w:cs="Arial"/>
                <w:sz w:val="20"/>
                <w:szCs w:val="20"/>
              </w:rPr>
            </w:pPr>
            <w:r w:rsidRPr="00DD05D2">
              <w:rPr>
                <w:rFonts w:ascii="Arial" w:hAnsi="Arial" w:cs="Arial"/>
                <w:sz w:val="20"/>
                <w:szCs w:val="20"/>
              </w:rPr>
              <w:t>-0.1564</w:t>
            </w:r>
          </w:p>
        </w:tc>
        <w:tc>
          <w:tcPr>
            <w:tcW w:w="1268" w:type="dxa"/>
          </w:tcPr>
          <w:p w14:paraId="3234FF72" w14:textId="77777777" w:rsidR="005E62B2" w:rsidRPr="00DD05D2" w:rsidRDefault="005E62B2" w:rsidP="008462CA">
            <w:pPr>
              <w:autoSpaceDE w:val="0"/>
              <w:autoSpaceDN w:val="0"/>
              <w:adjustRightInd w:val="0"/>
              <w:rPr>
                <w:rFonts w:ascii="Arial" w:hAnsi="Arial" w:cs="Arial"/>
                <w:sz w:val="20"/>
                <w:szCs w:val="20"/>
                <w:lang w:val="en-US"/>
              </w:rPr>
            </w:pPr>
            <w:r w:rsidRPr="00DD05D2">
              <w:rPr>
                <w:rFonts w:ascii="Arial" w:hAnsi="Arial" w:cs="Arial"/>
                <w:sz w:val="20"/>
                <w:szCs w:val="20"/>
                <w:lang w:val="en-US"/>
              </w:rPr>
              <w:t>-</w:t>
            </w:r>
            <w:r>
              <w:rPr>
                <w:rFonts w:ascii="Arial" w:hAnsi="Arial" w:cs="Arial"/>
                <w:sz w:val="20"/>
                <w:szCs w:val="20"/>
                <w:lang w:val="en-US"/>
              </w:rPr>
              <w:t>0.084</w:t>
            </w:r>
            <w:r w:rsidRPr="00DD05D2">
              <w:rPr>
                <w:rFonts w:ascii="Arial" w:hAnsi="Arial" w:cs="Arial"/>
                <w:sz w:val="20"/>
                <w:szCs w:val="20"/>
                <w:lang w:val="en-US"/>
              </w:rPr>
              <w:t>1</w:t>
            </w:r>
          </w:p>
        </w:tc>
        <w:tc>
          <w:tcPr>
            <w:tcW w:w="1006" w:type="dxa"/>
          </w:tcPr>
          <w:p w14:paraId="36389061" w14:textId="77777777" w:rsidR="005E62B2" w:rsidRPr="00DD05D2" w:rsidRDefault="005E62B2" w:rsidP="008462CA">
            <w:pPr>
              <w:autoSpaceDE w:val="0"/>
              <w:autoSpaceDN w:val="0"/>
              <w:adjustRightInd w:val="0"/>
              <w:rPr>
                <w:rFonts w:ascii="Arial" w:hAnsi="Arial" w:cs="Arial"/>
                <w:sz w:val="20"/>
                <w:szCs w:val="20"/>
                <w:lang w:val="en-US"/>
              </w:rPr>
            </w:pPr>
            <w:r w:rsidRPr="00DD05D2">
              <w:rPr>
                <w:rFonts w:ascii="Arial" w:hAnsi="Arial" w:cs="Arial"/>
                <w:sz w:val="20"/>
                <w:szCs w:val="20"/>
                <w:lang w:val="en-US"/>
              </w:rPr>
              <w:t>0.9331</w:t>
            </w:r>
          </w:p>
        </w:tc>
        <w:tc>
          <w:tcPr>
            <w:tcW w:w="1195" w:type="dxa"/>
          </w:tcPr>
          <w:p w14:paraId="3307BC85" w14:textId="77777777" w:rsidR="005E62B2" w:rsidRPr="00DD05D2" w:rsidRDefault="005E62B2" w:rsidP="008462CA">
            <w:pPr>
              <w:rPr>
                <w:rFonts w:ascii="Arial" w:hAnsi="Arial" w:cs="Arial"/>
                <w:sz w:val="20"/>
                <w:szCs w:val="20"/>
              </w:rPr>
            </w:pPr>
            <w:r w:rsidRPr="00DD05D2">
              <w:rPr>
                <w:rFonts w:ascii="Arial" w:hAnsi="Arial" w:cs="Arial"/>
                <w:sz w:val="20"/>
                <w:szCs w:val="20"/>
              </w:rPr>
              <w:t>GOVCON</w:t>
            </w:r>
          </w:p>
        </w:tc>
        <w:tc>
          <w:tcPr>
            <w:tcW w:w="1353" w:type="dxa"/>
          </w:tcPr>
          <w:p w14:paraId="4AD807A4" w14:textId="77777777" w:rsidR="005E62B2" w:rsidRPr="00DD05D2" w:rsidRDefault="005E62B2" w:rsidP="008462CA">
            <w:pPr>
              <w:autoSpaceDE w:val="0"/>
              <w:autoSpaceDN w:val="0"/>
              <w:adjustRightInd w:val="0"/>
              <w:rPr>
                <w:rFonts w:ascii="Arial" w:hAnsi="Arial" w:cs="Arial"/>
                <w:sz w:val="20"/>
                <w:szCs w:val="20"/>
                <w:lang w:val="en-US"/>
              </w:rPr>
            </w:pPr>
            <w:r>
              <w:rPr>
                <w:rFonts w:ascii="Arial" w:hAnsi="Arial" w:cs="Arial"/>
                <w:sz w:val="20"/>
                <w:szCs w:val="20"/>
                <w:lang w:val="en-US"/>
              </w:rPr>
              <w:t>-0.1496</w:t>
            </w:r>
          </w:p>
        </w:tc>
        <w:tc>
          <w:tcPr>
            <w:tcW w:w="1278" w:type="dxa"/>
          </w:tcPr>
          <w:p w14:paraId="5CAA09CD" w14:textId="77777777" w:rsidR="005E62B2" w:rsidRPr="00DD05D2" w:rsidRDefault="005E62B2" w:rsidP="008462CA">
            <w:pPr>
              <w:autoSpaceDE w:val="0"/>
              <w:autoSpaceDN w:val="0"/>
              <w:adjustRightInd w:val="0"/>
              <w:rPr>
                <w:rFonts w:ascii="Arial" w:hAnsi="Arial" w:cs="Arial"/>
                <w:color w:val="000000"/>
                <w:sz w:val="20"/>
                <w:szCs w:val="20"/>
              </w:rPr>
            </w:pPr>
            <w:r>
              <w:rPr>
                <w:rFonts w:ascii="Arial" w:hAnsi="Arial" w:cs="Arial"/>
                <w:color w:val="000000"/>
                <w:sz w:val="20"/>
                <w:szCs w:val="20"/>
              </w:rPr>
              <w:t>-0.5040</w:t>
            </w:r>
          </w:p>
        </w:tc>
        <w:tc>
          <w:tcPr>
            <w:tcW w:w="1130" w:type="dxa"/>
          </w:tcPr>
          <w:p w14:paraId="0246D48B" w14:textId="77777777" w:rsidR="005E62B2" w:rsidRPr="00DD05D2" w:rsidRDefault="005E62B2" w:rsidP="008462CA">
            <w:pPr>
              <w:autoSpaceDE w:val="0"/>
              <w:autoSpaceDN w:val="0"/>
              <w:adjustRightInd w:val="0"/>
              <w:rPr>
                <w:rFonts w:ascii="Arial" w:hAnsi="Arial" w:cs="Arial"/>
                <w:sz w:val="20"/>
                <w:szCs w:val="20"/>
                <w:lang w:val="en-US"/>
              </w:rPr>
            </w:pPr>
            <w:r>
              <w:rPr>
                <w:rFonts w:ascii="Arial" w:hAnsi="Arial" w:cs="Arial"/>
                <w:sz w:val="20"/>
                <w:szCs w:val="20"/>
                <w:lang w:val="en-US"/>
              </w:rPr>
              <w:t>0.6151</w:t>
            </w:r>
          </w:p>
        </w:tc>
      </w:tr>
      <w:tr w:rsidR="005E62B2" w:rsidRPr="00DD05D2" w14:paraId="46CF3F8D" w14:textId="77777777" w:rsidTr="002B6C6B">
        <w:tc>
          <w:tcPr>
            <w:tcW w:w="1196" w:type="dxa"/>
          </w:tcPr>
          <w:p w14:paraId="30EC5CBC" w14:textId="77777777" w:rsidR="005E62B2" w:rsidRPr="00DD05D2" w:rsidRDefault="005E62B2" w:rsidP="008462CA">
            <w:pPr>
              <w:rPr>
                <w:rFonts w:ascii="Arial" w:hAnsi="Arial" w:cs="Arial"/>
                <w:sz w:val="20"/>
                <w:szCs w:val="20"/>
              </w:rPr>
            </w:pPr>
            <w:r w:rsidRPr="00DD05D2">
              <w:rPr>
                <w:rFonts w:ascii="Arial" w:hAnsi="Arial" w:cs="Arial"/>
                <w:sz w:val="20"/>
                <w:szCs w:val="20"/>
              </w:rPr>
              <w:lastRenderedPageBreak/>
              <w:t>OPEN</w:t>
            </w:r>
          </w:p>
        </w:tc>
        <w:tc>
          <w:tcPr>
            <w:tcW w:w="1356" w:type="dxa"/>
          </w:tcPr>
          <w:p w14:paraId="76AE6FBC" w14:textId="77777777" w:rsidR="005E62B2" w:rsidRPr="00DD05D2" w:rsidRDefault="005E62B2" w:rsidP="008462CA">
            <w:pPr>
              <w:rPr>
                <w:rFonts w:ascii="Arial" w:hAnsi="Arial" w:cs="Arial"/>
                <w:sz w:val="20"/>
                <w:szCs w:val="20"/>
              </w:rPr>
            </w:pPr>
            <w:r w:rsidRPr="00DD05D2">
              <w:rPr>
                <w:rFonts w:ascii="Arial" w:hAnsi="Arial" w:cs="Arial"/>
                <w:sz w:val="20"/>
                <w:szCs w:val="20"/>
              </w:rPr>
              <w:t>0.3239</w:t>
            </w:r>
          </w:p>
        </w:tc>
        <w:tc>
          <w:tcPr>
            <w:tcW w:w="1268" w:type="dxa"/>
          </w:tcPr>
          <w:p w14:paraId="1D017E87" w14:textId="77777777" w:rsidR="005E62B2" w:rsidRPr="00DD05D2" w:rsidRDefault="005E62B2" w:rsidP="008462CA">
            <w:pPr>
              <w:autoSpaceDE w:val="0"/>
              <w:autoSpaceDN w:val="0"/>
              <w:adjustRightInd w:val="0"/>
              <w:rPr>
                <w:rFonts w:ascii="Arial" w:hAnsi="Arial" w:cs="Arial"/>
                <w:sz w:val="20"/>
                <w:szCs w:val="20"/>
                <w:lang w:val="en-US"/>
              </w:rPr>
            </w:pPr>
            <w:r w:rsidRPr="00DD05D2">
              <w:rPr>
                <w:rFonts w:ascii="Arial" w:hAnsi="Arial" w:cs="Arial"/>
                <w:sz w:val="20"/>
                <w:szCs w:val="20"/>
                <w:lang w:val="en-US"/>
              </w:rPr>
              <w:t>1</w:t>
            </w:r>
            <w:r>
              <w:rPr>
                <w:rFonts w:ascii="Arial" w:hAnsi="Arial" w:cs="Arial"/>
                <w:sz w:val="20"/>
                <w:szCs w:val="20"/>
                <w:lang w:val="en-US"/>
              </w:rPr>
              <w:t>.2602</w:t>
            </w:r>
          </w:p>
        </w:tc>
        <w:tc>
          <w:tcPr>
            <w:tcW w:w="1006" w:type="dxa"/>
          </w:tcPr>
          <w:p w14:paraId="5D5FC500" w14:textId="77777777" w:rsidR="005E62B2" w:rsidRPr="00DD05D2" w:rsidRDefault="005E62B2" w:rsidP="008462CA">
            <w:pPr>
              <w:autoSpaceDE w:val="0"/>
              <w:autoSpaceDN w:val="0"/>
              <w:adjustRightInd w:val="0"/>
              <w:rPr>
                <w:rFonts w:ascii="Arial" w:hAnsi="Arial" w:cs="Arial"/>
                <w:sz w:val="20"/>
                <w:szCs w:val="20"/>
                <w:lang w:val="en-US"/>
              </w:rPr>
            </w:pPr>
            <w:r w:rsidRPr="00DD05D2">
              <w:rPr>
                <w:rFonts w:ascii="Arial" w:hAnsi="Arial" w:cs="Arial"/>
                <w:sz w:val="20"/>
                <w:szCs w:val="20"/>
                <w:lang w:val="en-US"/>
              </w:rPr>
              <w:t>0.2092</w:t>
            </w:r>
          </w:p>
        </w:tc>
        <w:tc>
          <w:tcPr>
            <w:tcW w:w="1195" w:type="dxa"/>
          </w:tcPr>
          <w:p w14:paraId="3E158789" w14:textId="77777777" w:rsidR="005E62B2" w:rsidRPr="00DD05D2" w:rsidRDefault="005E62B2" w:rsidP="008462CA">
            <w:pPr>
              <w:rPr>
                <w:rFonts w:ascii="Arial" w:hAnsi="Arial" w:cs="Arial"/>
                <w:sz w:val="20"/>
                <w:szCs w:val="20"/>
              </w:rPr>
            </w:pPr>
            <w:r w:rsidRPr="00DD05D2">
              <w:rPr>
                <w:rFonts w:ascii="Arial" w:hAnsi="Arial" w:cs="Arial"/>
                <w:sz w:val="20"/>
                <w:szCs w:val="20"/>
              </w:rPr>
              <w:t>OPEN</w:t>
            </w:r>
          </w:p>
        </w:tc>
        <w:tc>
          <w:tcPr>
            <w:tcW w:w="1353" w:type="dxa"/>
          </w:tcPr>
          <w:p w14:paraId="5AFD7A3F" w14:textId="77777777" w:rsidR="005E62B2" w:rsidRPr="00DD05D2" w:rsidRDefault="005E62B2" w:rsidP="008462CA">
            <w:pPr>
              <w:autoSpaceDE w:val="0"/>
              <w:autoSpaceDN w:val="0"/>
              <w:adjustRightInd w:val="0"/>
              <w:rPr>
                <w:rFonts w:ascii="Arial" w:hAnsi="Arial" w:cs="Arial"/>
                <w:color w:val="000000"/>
                <w:sz w:val="20"/>
                <w:szCs w:val="20"/>
              </w:rPr>
            </w:pPr>
            <w:r>
              <w:rPr>
                <w:rFonts w:ascii="Arial" w:hAnsi="Arial" w:cs="Arial"/>
                <w:color w:val="000000"/>
                <w:sz w:val="20"/>
                <w:szCs w:val="20"/>
              </w:rPr>
              <w:t>-0.0468</w:t>
            </w:r>
          </w:p>
        </w:tc>
        <w:tc>
          <w:tcPr>
            <w:tcW w:w="1278" w:type="dxa"/>
          </w:tcPr>
          <w:p w14:paraId="494796CE" w14:textId="77777777" w:rsidR="005E62B2" w:rsidRPr="00DD05D2" w:rsidRDefault="005E62B2" w:rsidP="008462CA">
            <w:pPr>
              <w:autoSpaceDE w:val="0"/>
              <w:autoSpaceDN w:val="0"/>
              <w:adjustRightInd w:val="0"/>
              <w:rPr>
                <w:rFonts w:ascii="Arial" w:hAnsi="Arial" w:cs="Arial"/>
                <w:color w:val="000000"/>
                <w:sz w:val="20"/>
                <w:szCs w:val="20"/>
              </w:rPr>
            </w:pPr>
            <w:r>
              <w:rPr>
                <w:rFonts w:ascii="Arial" w:hAnsi="Arial" w:cs="Arial"/>
                <w:color w:val="000000"/>
                <w:sz w:val="20"/>
                <w:szCs w:val="20"/>
              </w:rPr>
              <w:t>-0.1950</w:t>
            </w:r>
          </w:p>
        </w:tc>
        <w:tc>
          <w:tcPr>
            <w:tcW w:w="1130" w:type="dxa"/>
          </w:tcPr>
          <w:p w14:paraId="5A714775" w14:textId="77777777" w:rsidR="005E62B2" w:rsidRPr="00DD05D2" w:rsidRDefault="005E62B2" w:rsidP="008462CA">
            <w:pPr>
              <w:autoSpaceDE w:val="0"/>
              <w:autoSpaceDN w:val="0"/>
              <w:adjustRightInd w:val="0"/>
              <w:rPr>
                <w:rFonts w:ascii="Arial" w:hAnsi="Arial" w:cs="Arial"/>
                <w:sz w:val="20"/>
                <w:szCs w:val="20"/>
                <w:lang w:val="en-US"/>
              </w:rPr>
            </w:pPr>
            <w:r>
              <w:rPr>
                <w:rFonts w:ascii="Arial" w:hAnsi="Arial" w:cs="Arial"/>
                <w:sz w:val="20"/>
                <w:szCs w:val="20"/>
                <w:lang w:val="en-US"/>
              </w:rPr>
              <w:t>0.8457</w:t>
            </w:r>
          </w:p>
        </w:tc>
      </w:tr>
      <w:tr w:rsidR="005E62B2" w:rsidRPr="00DD05D2" w14:paraId="5AA1B00A" w14:textId="77777777" w:rsidTr="002B6C6B">
        <w:tc>
          <w:tcPr>
            <w:tcW w:w="1196" w:type="dxa"/>
          </w:tcPr>
          <w:p w14:paraId="17C5DB38" w14:textId="77777777" w:rsidR="005E62B2" w:rsidRPr="00DD05D2" w:rsidRDefault="005E62B2" w:rsidP="008462CA">
            <w:pPr>
              <w:rPr>
                <w:rFonts w:ascii="Arial" w:hAnsi="Arial" w:cs="Arial"/>
                <w:sz w:val="20"/>
                <w:szCs w:val="20"/>
              </w:rPr>
            </w:pPr>
            <w:r w:rsidRPr="00DD05D2">
              <w:rPr>
                <w:rFonts w:ascii="Arial" w:hAnsi="Arial" w:cs="Arial"/>
                <w:sz w:val="20"/>
                <w:szCs w:val="20"/>
              </w:rPr>
              <w:t>PROD</w:t>
            </w:r>
          </w:p>
        </w:tc>
        <w:tc>
          <w:tcPr>
            <w:tcW w:w="1356" w:type="dxa"/>
          </w:tcPr>
          <w:p w14:paraId="1C77A267" w14:textId="77777777" w:rsidR="005E62B2" w:rsidRPr="00DD05D2" w:rsidRDefault="005E62B2" w:rsidP="008462CA">
            <w:pPr>
              <w:rPr>
                <w:rFonts w:ascii="Arial" w:hAnsi="Arial" w:cs="Arial"/>
                <w:sz w:val="20"/>
                <w:szCs w:val="20"/>
              </w:rPr>
            </w:pPr>
            <w:r w:rsidRPr="00DD05D2">
              <w:rPr>
                <w:rFonts w:ascii="Arial" w:hAnsi="Arial" w:cs="Arial"/>
                <w:sz w:val="20"/>
                <w:szCs w:val="20"/>
              </w:rPr>
              <w:t>-0.0112</w:t>
            </w:r>
          </w:p>
        </w:tc>
        <w:tc>
          <w:tcPr>
            <w:tcW w:w="1268" w:type="dxa"/>
          </w:tcPr>
          <w:p w14:paraId="349DFF98" w14:textId="77777777" w:rsidR="005E62B2" w:rsidRPr="00DD05D2" w:rsidRDefault="005E62B2" w:rsidP="008462CA">
            <w:pPr>
              <w:autoSpaceDE w:val="0"/>
              <w:autoSpaceDN w:val="0"/>
              <w:adjustRightInd w:val="0"/>
              <w:rPr>
                <w:rFonts w:ascii="Arial" w:hAnsi="Arial" w:cs="Arial"/>
                <w:sz w:val="20"/>
                <w:szCs w:val="20"/>
                <w:lang w:val="en-US"/>
              </w:rPr>
            </w:pPr>
            <w:r w:rsidRPr="00DD05D2">
              <w:rPr>
                <w:rFonts w:ascii="Arial" w:hAnsi="Arial" w:cs="Arial"/>
                <w:sz w:val="20"/>
                <w:szCs w:val="20"/>
                <w:lang w:val="en-US"/>
              </w:rPr>
              <w:t>-</w:t>
            </w:r>
            <w:r>
              <w:rPr>
                <w:rFonts w:ascii="Arial" w:hAnsi="Arial" w:cs="Arial"/>
                <w:sz w:val="20"/>
                <w:szCs w:val="20"/>
                <w:lang w:val="en-US"/>
              </w:rPr>
              <w:t>0.9972</w:t>
            </w:r>
          </w:p>
        </w:tc>
        <w:tc>
          <w:tcPr>
            <w:tcW w:w="1006" w:type="dxa"/>
          </w:tcPr>
          <w:p w14:paraId="2C632A36" w14:textId="77777777" w:rsidR="005E62B2" w:rsidRPr="00DD05D2" w:rsidRDefault="005E62B2" w:rsidP="008462CA">
            <w:pPr>
              <w:autoSpaceDE w:val="0"/>
              <w:autoSpaceDN w:val="0"/>
              <w:adjustRightInd w:val="0"/>
              <w:rPr>
                <w:rFonts w:ascii="Arial" w:hAnsi="Arial" w:cs="Arial"/>
                <w:sz w:val="20"/>
                <w:szCs w:val="20"/>
                <w:lang w:val="en-US"/>
              </w:rPr>
            </w:pPr>
            <w:r w:rsidRPr="00DD05D2">
              <w:rPr>
                <w:rFonts w:ascii="Arial" w:hAnsi="Arial" w:cs="Arial"/>
                <w:sz w:val="20"/>
                <w:szCs w:val="20"/>
                <w:lang w:val="en-US"/>
              </w:rPr>
              <w:t>0.3200</w:t>
            </w:r>
          </w:p>
        </w:tc>
        <w:tc>
          <w:tcPr>
            <w:tcW w:w="1195" w:type="dxa"/>
          </w:tcPr>
          <w:p w14:paraId="735711BC" w14:textId="77777777" w:rsidR="005E62B2" w:rsidRPr="00DD05D2" w:rsidRDefault="005E62B2" w:rsidP="008462CA">
            <w:pPr>
              <w:rPr>
                <w:rFonts w:ascii="Arial" w:hAnsi="Arial" w:cs="Arial"/>
                <w:sz w:val="20"/>
                <w:szCs w:val="20"/>
              </w:rPr>
            </w:pPr>
            <w:r w:rsidRPr="00DD05D2">
              <w:rPr>
                <w:rFonts w:ascii="Arial" w:hAnsi="Arial" w:cs="Arial"/>
                <w:sz w:val="20"/>
                <w:szCs w:val="20"/>
              </w:rPr>
              <w:t>PROD</w:t>
            </w:r>
          </w:p>
        </w:tc>
        <w:tc>
          <w:tcPr>
            <w:tcW w:w="1353" w:type="dxa"/>
          </w:tcPr>
          <w:p w14:paraId="6E505B5F" w14:textId="77777777" w:rsidR="005E62B2" w:rsidRPr="00DD05D2" w:rsidRDefault="005E62B2" w:rsidP="008462CA">
            <w:pPr>
              <w:autoSpaceDE w:val="0"/>
              <w:autoSpaceDN w:val="0"/>
              <w:adjustRightInd w:val="0"/>
              <w:rPr>
                <w:rFonts w:ascii="Arial" w:hAnsi="Arial" w:cs="Arial"/>
                <w:sz w:val="20"/>
                <w:szCs w:val="20"/>
                <w:lang w:val="en-US"/>
              </w:rPr>
            </w:pPr>
            <w:r>
              <w:rPr>
                <w:rFonts w:ascii="Arial" w:hAnsi="Arial" w:cs="Arial"/>
                <w:sz w:val="20"/>
                <w:szCs w:val="20"/>
                <w:lang w:val="en-US"/>
              </w:rPr>
              <w:t>-81.5801</w:t>
            </w:r>
          </w:p>
        </w:tc>
        <w:tc>
          <w:tcPr>
            <w:tcW w:w="1278" w:type="dxa"/>
          </w:tcPr>
          <w:p w14:paraId="1BCE31F1" w14:textId="77777777" w:rsidR="005E62B2" w:rsidRPr="00DD05D2" w:rsidRDefault="005E62B2" w:rsidP="008462CA">
            <w:pPr>
              <w:autoSpaceDE w:val="0"/>
              <w:autoSpaceDN w:val="0"/>
              <w:adjustRightInd w:val="0"/>
              <w:rPr>
                <w:rFonts w:ascii="Arial" w:hAnsi="Arial" w:cs="Arial"/>
                <w:color w:val="000000"/>
                <w:sz w:val="20"/>
                <w:szCs w:val="20"/>
              </w:rPr>
            </w:pPr>
            <w:r>
              <w:rPr>
                <w:rFonts w:ascii="Arial" w:hAnsi="Arial" w:cs="Arial"/>
                <w:color w:val="000000"/>
                <w:sz w:val="20"/>
                <w:szCs w:val="20"/>
              </w:rPr>
              <w:t>-09.0554</w:t>
            </w:r>
          </w:p>
        </w:tc>
        <w:tc>
          <w:tcPr>
            <w:tcW w:w="1130" w:type="dxa"/>
          </w:tcPr>
          <w:p w14:paraId="505EA9B7" w14:textId="77777777" w:rsidR="005E62B2" w:rsidRPr="00DD05D2" w:rsidRDefault="005E62B2" w:rsidP="008462CA">
            <w:pPr>
              <w:autoSpaceDE w:val="0"/>
              <w:autoSpaceDN w:val="0"/>
              <w:adjustRightInd w:val="0"/>
              <w:rPr>
                <w:rFonts w:ascii="Arial" w:hAnsi="Arial" w:cs="Arial"/>
                <w:sz w:val="20"/>
                <w:szCs w:val="20"/>
                <w:lang w:val="en-US"/>
              </w:rPr>
            </w:pPr>
            <w:r>
              <w:rPr>
                <w:rFonts w:ascii="Arial" w:hAnsi="Arial" w:cs="Arial"/>
                <w:sz w:val="20"/>
                <w:szCs w:val="20"/>
                <w:lang w:val="en-US"/>
              </w:rPr>
              <w:t>0.3668</w:t>
            </w:r>
          </w:p>
        </w:tc>
      </w:tr>
    </w:tbl>
    <w:p w14:paraId="068238DC" w14:textId="163735AB" w:rsidR="00806598" w:rsidRDefault="00806598" w:rsidP="0066301C">
      <w:pPr>
        <w:spacing w:after="0" w:line="240" w:lineRule="auto"/>
        <w:jc w:val="both"/>
        <w:rPr>
          <w:rFonts w:ascii="Arial" w:hAnsi="Arial" w:cs="Arial"/>
          <w:i/>
          <w:sz w:val="20"/>
          <w:szCs w:val="20"/>
          <w:lang w:val="en-US"/>
        </w:rPr>
      </w:pPr>
      <w:bookmarkStart w:id="381" w:name="_Hlk132167238"/>
      <w:r w:rsidRPr="00547A25">
        <w:rPr>
          <w:rFonts w:ascii="Arial" w:hAnsi="Arial" w:cs="Arial"/>
          <w:b/>
          <w:bCs/>
          <w:i/>
          <w:sz w:val="20"/>
          <w:szCs w:val="20"/>
          <w:lang w:val="en-US"/>
        </w:rPr>
        <w:t>Source:</w:t>
      </w:r>
      <w:r w:rsidRPr="00547A25">
        <w:rPr>
          <w:rFonts w:ascii="Arial" w:hAnsi="Arial" w:cs="Arial"/>
          <w:i/>
          <w:sz w:val="20"/>
          <w:szCs w:val="20"/>
          <w:lang w:val="en-US"/>
        </w:rPr>
        <w:t xml:space="preserve"> </w:t>
      </w:r>
      <w:r w:rsidRPr="00547A25">
        <w:rPr>
          <w:rFonts w:ascii="Arial" w:hAnsi="Arial" w:cs="Arial"/>
          <w:sz w:val="20"/>
          <w:szCs w:val="20"/>
          <w:lang w:val="en-US"/>
        </w:rPr>
        <w:t>Computing from time-series data using EViews 1</w:t>
      </w:r>
      <w:r w:rsidR="006664A8" w:rsidRPr="00547A25">
        <w:rPr>
          <w:rFonts w:ascii="Arial" w:hAnsi="Arial" w:cs="Arial"/>
          <w:sz w:val="20"/>
          <w:szCs w:val="20"/>
          <w:lang w:val="en-US"/>
        </w:rPr>
        <w:t>2</w:t>
      </w:r>
      <w:r w:rsidRPr="00547A25">
        <w:rPr>
          <w:rFonts w:ascii="Arial" w:hAnsi="Arial" w:cs="Arial"/>
          <w:sz w:val="20"/>
          <w:szCs w:val="20"/>
          <w:lang w:val="en-US"/>
        </w:rPr>
        <w:t>.</w:t>
      </w:r>
      <w:r w:rsidRPr="00547A25">
        <w:rPr>
          <w:rFonts w:ascii="Arial" w:hAnsi="Arial" w:cs="Arial"/>
          <w:i/>
          <w:sz w:val="20"/>
          <w:szCs w:val="20"/>
          <w:lang w:val="en-US"/>
        </w:rPr>
        <w:t xml:space="preserve"> </w:t>
      </w:r>
    </w:p>
    <w:p w14:paraId="5F129857" w14:textId="26744347" w:rsidR="00547A25" w:rsidRDefault="00547A25" w:rsidP="0066301C">
      <w:pPr>
        <w:spacing w:after="0" w:line="240" w:lineRule="auto"/>
        <w:jc w:val="both"/>
        <w:rPr>
          <w:rFonts w:ascii="Arial" w:hAnsi="Arial" w:cs="Arial"/>
          <w:sz w:val="20"/>
          <w:szCs w:val="20"/>
        </w:rPr>
      </w:pPr>
      <w:r w:rsidRPr="00547A25">
        <w:rPr>
          <w:rFonts w:ascii="Arial" w:hAnsi="Arial" w:cs="Arial"/>
          <w:b/>
          <w:bCs/>
          <w:i/>
          <w:sz w:val="20"/>
          <w:szCs w:val="20"/>
          <w:lang w:val="en-US"/>
        </w:rPr>
        <w:t>Note</w:t>
      </w:r>
      <w:r w:rsidRPr="00547A25">
        <w:rPr>
          <w:rFonts w:ascii="Arial" w:hAnsi="Arial" w:cs="Arial"/>
          <w:i/>
          <w:sz w:val="20"/>
          <w:szCs w:val="20"/>
          <w:lang w:val="en-US"/>
        </w:rPr>
        <w:t>: t-</w:t>
      </w:r>
      <w:r w:rsidRPr="00547A25">
        <w:rPr>
          <w:rFonts w:ascii="Arial" w:hAnsi="Arial" w:cs="Arial"/>
          <w:iCs/>
          <w:sz w:val="20"/>
          <w:szCs w:val="20"/>
          <w:lang w:val="en-US"/>
        </w:rPr>
        <w:t xml:space="preserve">statistic ≥ </w:t>
      </w:r>
      <w:r w:rsidRPr="00547A25">
        <w:rPr>
          <w:rFonts w:ascii="Arial" w:hAnsi="Arial" w:cs="Arial"/>
          <w:sz w:val="20"/>
          <w:szCs w:val="20"/>
        </w:rPr>
        <w:t>|2| implies that there is a short-term relationship between the dependent variable and REER, and vice versa.</w:t>
      </w:r>
    </w:p>
    <w:p w14:paraId="64CAA055" w14:textId="77777777" w:rsidR="00AC7A0C" w:rsidRPr="00547A25" w:rsidRDefault="00AC7A0C" w:rsidP="0066301C">
      <w:pPr>
        <w:spacing w:after="0" w:line="240" w:lineRule="auto"/>
        <w:jc w:val="both"/>
        <w:rPr>
          <w:rFonts w:ascii="Arial" w:hAnsi="Arial" w:cs="Arial"/>
          <w:b/>
          <w:bCs/>
          <w:iCs/>
          <w:sz w:val="20"/>
          <w:szCs w:val="20"/>
          <w:u w:val="single"/>
        </w:rPr>
      </w:pPr>
    </w:p>
    <w:p w14:paraId="16EB3E55" w14:textId="77777777" w:rsidR="005375A3" w:rsidRDefault="005375A3" w:rsidP="0066301C">
      <w:pPr>
        <w:spacing w:after="200" w:line="360" w:lineRule="auto"/>
        <w:jc w:val="both"/>
        <w:rPr>
          <w:rFonts w:ascii="Arial" w:hAnsi="Arial" w:cs="Arial"/>
        </w:rPr>
      </w:pPr>
      <w:bookmarkStart w:id="382" w:name="_Hlk134148031"/>
      <w:bookmarkEnd w:id="380"/>
      <w:bookmarkEnd w:id="381"/>
      <w:r>
        <w:rPr>
          <w:rFonts w:ascii="Arial" w:hAnsi="Arial" w:cs="Arial"/>
        </w:rPr>
        <w:t>The above short-term estimates consist of the restricted VAR (VECM) for CAR and Equatorial Guinea, and the unrestricted VAR (basic VAR) for Cameroon and Gabon.</w:t>
      </w:r>
      <w:r>
        <w:rPr>
          <w:rStyle w:val="FootnoteReference"/>
          <w:rFonts w:ascii="Arial" w:hAnsi="Arial" w:cs="Arial"/>
        </w:rPr>
        <w:footnoteReference w:id="75"/>
      </w:r>
      <w:r>
        <w:rPr>
          <w:rFonts w:ascii="Arial" w:hAnsi="Arial" w:cs="Arial"/>
        </w:rPr>
        <w:t xml:space="preserve">  </w:t>
      </w:r>
      <w:r w:rsidR="00806598" w:rsidRPr="008204CC">
        <w:rPr>
          <w:rFonts w:ascii="Arial" w:hAnsi="Arial" w:cs="Arial"/>
        </w:rPr>
        <w:t xml:space="preserve">From the above table, the </w:t>
      </w:r>
      <w:r w:rsidR="00385F6D" w:rsidRPr="57585719">
        <w:rPr>
          <w:rFonts w:ascii="Arial" w:hAnsi="Arial" w:cs="Arial"/>
          <w:i/>
          <w:iCs/>
        </w:rPr>
        <w:t>p</w:t>
      </w:r>
      <w:r w:rsidR="00806598" w:rsidRPr="008204CC">
        <w:rPr>
          <w:rFonts w:ascii="Arial" w:hAnsi="Arial" w:cs="Arial"/>
        </w:rPr>
        <w:t>-value less than 5% shows that there exist</w:t>
      </w:r>
      <w:r w:rsidR="00806598">
        <w:rPr>
          <w:rFonts w:ascii="Arial" w:hAnsi="Arial" w:cs="Arial"/>
        </w:rPr>
        <w:t>s</w:t>
      </w:r>
      <w:r w:rsidR="00806598" w:rsidRPr="008204CC">
        <w:rPr>
          <w:rFonts w:ascii="Arial" w:hAnsi="Arial" w:cs="Arial"/>
        </w:rPr>
        <w:t xml:space="preserve"> a </w:t>
      </w:r>
      <w:r w:rsidR="001C2E54">
        <w:rPr>
          <w:rFonts w:ascii="Arial" w:hAnsi="Arial" w:cs="Arial"/>
        </w:rPr>
        <w:t>short</w:t>
      </w:r>
      <w:r w:rsidR="00806598" w:rsidRPr="008204CC">
        <w:rPr>
          <w:rFonts w:ascii="Arial" w:hAnsi="Arial" w:cs="Arial"/>
        </w:rPr>
        <w:t xml:space="preserve">-term relationship between the REER and the independent variable. </w:t>
      </w:r>
      <w:r w:rsidR="00385F6D">
        <w:rPr>
          <w:rFonts w:ascii="Arial" w:hAnsi="Arial" w:cs="Arial"/>
        </w:rPr>
        <w:t>W</w:t>
      </w:r>
      <w:r w:rsidR="00806598" w:rsidRPr="008204CC">
        <w:rPr>
          <w:rFonts w:ascii="Arial" w:hAnsi="Arial" w:cs="Arial"/>
        </w:rPr>
        <w:t xml:space="preserve">hen the </w:t>
      </w:r>
      <w:r w:rsidR="00385F6D" w:rsidRPr="57585719">
        <w:rPr>
          <w:rFonts w:ascii="Arial" w:hAnsi="Arial" w:cs="Arial"/>
          <w:i/>
          <w:iCs/>
        </w:rPr>
        <w:t>p</w:t>
      </w:r>
      <w:r w:rsidR="00806598" w:rsidRPr="008204CC">
        <w:rPr>
          <w:rFonts w:ascii="Arial" w:hAnsi="Arial" w:cs="Arial"/>
        </w:rPr>
        <w:t>-value is more than 5%</w:t>
      </w:r>
      <w:r w:rsidR="00385F6D">
        <w:rPr>
          <w:rFonts w:ascii="Arial" w:hAnsi="Arial" w:cs="Arial"/>
        </w:rPr>
        <w:t>, it</w:t>
      </w:r>
      <w:r w:rsidR="00806598" w:rsidRPr="008204CC">
        <w:rPr>
          <w:rFonts w:ascii="Arial" w:hAnsi="Arial" w:cs="Arial"/>
        </w:rPr>
        <w:t xml:space="preserve"> means that there is no </w:t>
      </w:r>
      <w:r w:rsidR="001C2E54">
        <w:rPr>
          <w:rFonts w:ascii="Arial" w:hAnsi="Arial" w:cs="Arial"/>
        </w:rPr>
        <w:t>short</w:t>
      </w:r>
      <w:r w:rsidR="00806598" w:rsidRPr="008204CC">
        <w:rPr>
          <w:rFonts w:ascii="Arial" w:hAnsi="Arial" w:cs="Arial"/>
        </w:rPr>
        <w:t xml:space="preserve">-term relationship between the REER and the independent variable. </w:t>
      </w:r>
    </w:p>
    <w:p w14:paraId="4C827102" w14:textId="583A74C9" w:rsidR="00806598" w:rsidRPr="008204CC" w:rsidRDefault="004F4CAB" w:rsidP="0066301C">
      <w:pPr>
        <w:spacing w:after="200" w:line="360" w:lineRule="auto"/>
        <w:jc w:val="both"/>
        <w:rPr>
          <w:rFonts w:ascii="Arial" w:hAnsi="Arial" w:cs="Arial"/>
        </w:rPr>
      </w:pPr>
      <w:r>
        <w:rPr>
          <w:rFonts w:ascii="Arial" w:hAnsi="Arial" w:cs="Arial"/>
        </w:rPr>
        <w:t xml:space="preserve">The </w:t>
      </w:r>
      <w:r w:rsidR="00806598" w:rsidRPr="008204CC">
        <w:rPr>
          <w:rFonts w:ascii="Arial" w:hAnsi="Arial" w:cs="Arial"/>
        </w:rPr>
        <w:t xml:space="preserve">test </w:t>
      </w:r>
      <w:r>
        <w:rPr>
          <w:rFonts w:ascii="Arial" w:hAnsi="Arial" w:cs="Arial"/>
        </w:rPr>
        <w:t xml:space="preserve">result </w:t>
      </w:r>
      <w:r w:rsidR="00F86DA9">
        <w:rPr>
          <w:rFonts w:ascii="Arial" w:hAnsi="Arial" w:cs="Arial"/>
        </w:rPr>
        <w:t>of CAR shows that</w:t>
      </w:r>
      <w:r w:rsidR="00806598" w:rsidRPr="008204CC">
        <w:rPr>
          <w:rFonts w:ascii="Arial" w:hAnsi="Arial" w:cs="Arial"/>
        </w:rPr>
        <w:t xml:space="preserve"> TOT and GOVCON have a </w:t>
      </w:r>
      <w:r w:rsidR="001C2E54">
        <w:rPr>
          <w:rFonts w:ascii="Arial" w:hAnsi="Arial" w:cs="Arial"/>
        </w:rPr>
        <w:t>short</w:t>
      </w:r>
      <w:r w:rsidR="00806598" w:rsidRPr="008204CC">
        <w:rPr>
          <w:rFonts w:ascii="Arial" w:hAnsi="Arial" w:cs="Arial"/>
        </w:rPr>
        <w:t>-term relationship with the REER</w:t>
      </w:r>
      <w:r>
        <w:rPr>
          <w:rFonts w:ascii="Arial" w:hAnsi="Arial" w:cs="Arial"/>
        </w:rPr>
        <w:t xml:space="preserve"> (as their </w:t>
      </w:r>
      <w:r>
        <w:rPr>
          <w:rFonts w:ascii="Arial" w:hAnsi="Arial" w:cs="Arial"/>
          <w:i/>
          <w:iCs/>
        </w:rPr>
        <w:t>p</w:t>
      </w:r>
      <w:r>
        <w:rPr>
          <w:rFonts w:ascii="Arial" w:hAnsi="Arial" w:cs="Arial"/>
        </w:rPr>
        <w:t xml:space="preserve">-value &lt; 0.05, </w:t>
      </w:r>
      <w:r>
        <w:rPr>
          <w:rFonts w:ascii="Arial" w:hAnsi="Arial" w:cs="Arial"/>
          <w:i/>
          <w:iCs/>
        </w:rPr>
        <w:t>cet</w:t>
      </w:r>
      <w:r w:rsidR="00F630CE">
        <w:rPr>
          <w:rFonts w:ascii="Arial" w:hAnsi="Arial" w:cs="Arial"/>
          <w:i/>
          <w:iCs/>
        </w:rPr>
        <w:t>e</w:t>
      </w:r>
      <w:r>
        <w:rPr>
          <w:rFonts w:ascii="Arial" w:hAnsi="Arial" w:cs="Arial"/>
          <w:i/>
          <w:iCs/>
        </w:rPr>
        <w:t>ris paribus</w:t>
      </w:r>
      <w:r>
        <w:rPr>
          <w:rFonts w:ascii="Arial" w:hAnsi="Arial" w:cs="Arial"/>
        </w:rPr>
        <w:t>)</w:t>
      </w:r>
      <w:r w:rsidR="00806598" w:rsidRPr="008204CC">
        <w:rPr>
          <w:rFonts w:ascii="Arial" w:hAnsi="Arial" w:cs="Arial"/>
        </w:rPr>
        <w:t>. This means that a sh</w:t>
      </w:r>
      <w:r w:rsidR="00806598">
        <w:rPr>
          <w:rFonts w:ascii="Arial" w:hAnsi="Arial" w:cs="Arial"/>
        </w:rPr>
        <w:t xml:space="preserve">ock on the TOT and GOVCON </w:t>
      </w:r>
      <w:r w:rsidR="00806598" w:rsidRPr="008204CC">
        <w:rPr>
          <w:rFonts w:ascii="Arial" w:hAnsi="Arial" w:cs="Arial"/>
        </w:rPr>
        <w:t>cause</w:t>
      </w:r>
      <w:r w:rsidR="00806598">
        <w:rPr>
          <w:rFonts w:ascii="Arial" w:hAnsi="Arial" w:cs="Arial"/>
        </w:rPr>
        <w:t>s</w:t>
      </w:r>
      <w:r w:rsidR="00806598" w:rsidRPr="008204CC">
        <w:rPr>
          <w:rFonts w:ascii="Arial" w:hAnsi="Arial" w:cs="Arial"/>
        </w:rPr>
        <w:t xml:space="preserve"> the REER to deviate from its equilibrium value in the short</w:t>
      </w:r>
      <w:r w:rsidR="007C12B2">
        <w:rPr>
          <w:rFonts w:ascii="Arial" w:hAnsi="Arial" w:cs="Arial"/>
        </w:rPr>
        <w:t xml:space="preserve"> </w:t>
      </w:r>
      <w:r w:rsidR="00806598" w:rsidRPr="008204CC">
        <w:rPr>
          <w:rFonts w:ascii="Arial" w:hAnsi="Arial" w:cs="Arial"/>
        </w:rPr>
        <w:t>term and</w:t>
      </w:r>
      <w:r w:rsidR="00806598">
        <w:rPr>
          <w:rFonts w:ascii="Arial" w:hAnsi="Arial" w:cs="Arial"/>
        </w:rPr>
        <w:t xml:space="preserve"> </w:t>
      </w:r>
      <w:r w:rsidR="00806598" w:rsidRPr="008204CC">
        <w:rPr>
          <w:rFonts w:ascii="Arial" w:hAnsi="Arial" w:cs="Arial"/>
        </w:rPr>
        <w:t>will eventually converge back to the equilibrium in the long</w:t>
      </w:r>
      <w:r w:rsidR="00ED75CB">
        <w:rPr>
          <w:rFonts w:ascii="Arial" w:hAnsi="Arial" w:cs="Arial"/>
        </w:rPr>
        <w:t xml:space="preserve"> term</w:t>
      </w:r>
      <w:r w:rsidR="00806598" w:rsidRPr="008204CC">
        <w:rPr>
          <w:rFonts w:ascii="Arial" w:hAnsi="Arial" w:cs="Arial"/>
        </w:rPr>
        <w:t xml:space="preserve"> as the </w:t>
      </w:r>
      <w:r w:rsidR="00806598" w:rsidRPr="00385F6D">
        <w:rPr>
          <w:rFonts w:ascii="Arial" w:hAnsi="Arial" w:cs="Arial"/>
          <w:i/>
          <w:iCs/>
        </w:rPr>
        <w:t>p</w:t>
      </w:r>
      <w:r w:rsidR="00806598" w:rsidRPr="008204CC">
        <w:rPr>
          <w:rFonts w:ascii="Arial" w:hAnsi="Arial" w:cs="Arial"/>
        </w:rPr>
        <w:t xml:space="preserve">-value of TOT and GOVCON are </w:t>
      </w:r>
      <w:r w:rsidR="006648D3">
        <w:rPr>
          <w:rFonts w:ascii="Arial" w:hAnsi="Arial" w:cs="Arial"/>
        </w:rPr>
        <w:t>0.0008</w:t>
      </w:r>
      <w:r w:rsidR="00806598" w:rsidRPr="008204CC">
        <w:rPr>
          <w:rFonts w:ascii="Arial" w:hAnsi="Arial" w:cs="Arial"/>
        </w:rPr>
        <w:t xml:space="preserve"> and </w:t>
      </w:r>
      <w:r w:rsidR="006648D3">
        <w:rPr>
          <w:rFonts w:ascii="Arial" w:hAnsi="Arial" w:cs="Arial"/>
        </w:rPr>
        <w:t>0.0133</w:t>
      </w:r>
      <w:r w:rsidR="00806598" w:rsidRPr="008204CC">
        <w:rPr>
          <w:rFonts w:ascii="Arial" w:hAnsi="Arial" w:cs="Arial"/>
        </w:rPr>
        <w:t xml:space="preserve"> respectively</w:t>
      </w:r>
      <w:r w:rsidR="00385F6D">
        <w:rPr>
          <w:rFonts w:ascii="Arial" w:hAnsi="Arial" w:cs="Arial"/>
        </w:rPr>
        <w:t xml:space="preserve"> (they </w:t>
      </w:r>
      <w:r w:rsidR="00806598" w:rsidRPr="008204CC">
        <w:rPr>
          <w:rFonts w:ascii="Arial" w:hAnsi="Arial" w:cs="Arial"/>
        </w:rPr>
        <w:t xml:space="preserve">are less than </w:t>
      </w:r>
      <w:r w:rsidR="00806598">
        <w:rPr>
          <w:rFonts w:ascii="Arial" w:hAnsi="Arial" w:cs="Arial"/>
        </w:rPr>
        <w:t>0.05</w:t>
      </w:r>
      <w:r w:rsidR="00385F6D">
        <w:rPr>
          <w:rFonts w:ascii="Arial" w:hAnsi="Arial" w:cs="Arial"/>
        </w:rPr>
        <w:t>)</w:t>
      </w:r>
      <w:r w:rsidR="00806598" w:rsidRPr="008204CC">
        <w:rPr>
          <w:rFonts w:ascii="Arial" w:hAnsi="Arial" w:cs="Arial"/>
        </w:rPr>
        <w:t xml:space="preserve">. </w:t>
      </w:r>
      <w:r w:rsidR="005424DE">
        <w:rPr>
          <w:rFonts w:ascii="Arial" w:hAnsi="Arial" w:cs="Arial"/>
        </w:rPr>
        <w:t>The signs of the</w:t>
      </w:r>
      <w:r w:rsidR="00F630CE">
        <w:rPr>
          <w:rFonts w:ascii="Arial" w:hAnsi="Arial" w:cs="Arial"/>
        </w:rPr>
        <w:t xml:space="preserve">ir coefficient </w:t>
      </w:r>
      <w:r w:rsidR="005424DE">
        <w:rPr>
          <w:rFonts w:ascii="Arial" w:hAnsi="Arial" w:cs="Arial"/>
        </w:rPr>
        <w:t>are opposite to th</w:t>
      </w:r>
      <w:r w:rsidR="00F630CE">
        <w:rPr>
          <w:rFonts w:ascii="Arial" w:hAnsi="Arial" w:cs="Arial"/>
        </w:rPr>
        <w:t>ose</w:t>
      </w:r>
      <w:r w:rsidR="005424DE">
        <w:rPr>
          <w:rFonts w:ascii="Arial" w:hAnsi="Arial" w:cs="Arial"/>
        </w:rPr>
        <w:t xml:space="preserve"> of their </w:t>
      </w:r>
      <w:r w:rsidR="00506B1A">
        <w:rPr>
          <w:rFonts w:ascii="Arial" w:hAnsi="Arial" w:cs="Arial"/>
        </w:rPr>
        <w:t>long-term</w:t>
      </w:r>
      <w:r w:rsidR="005424DE">
        <w:rPr>
          <w:rFonts w:ascii="Arial" w:hAnsi="Arial" w:cs="Arial"/>
        </w:rPr>
        <w:t xml:space="preserve"> relation</w:t>
      </w:r>
      <w:r w:rsidR="00F630CE">
        <w:rPr>
          <w:rFonts w:ascii="Arial" w:hAnsi="Arial" w:cs="Arial"/>
        </w:rPr>
        <w:t>ship (these are as expected). A 1% increase in TOT will cause the REER to dev</w:t>
      </w:r>
      <w:r w:rsidR="006648D3">
        <w:rPr>
          <w:rFonts w:ascii="Arial" w:hAnsi="Arial" w:cs="Arial"/>
        </w:rPr>
        <w:t>alue</w:t>
      </w:r>
      <w:r w:rsidR="00F630CE">
        <w:rPr>
          <w:rFonts w:ascii="Arial" w:hAnsi="Arial" w:cs="Arial"/>
        </w:rPr>
        <w:t xml:space="preserve"> by </w:t>
      </w:r>
      <w:r w:rsidR="006648D3">
        <w:rPr>
          <w:rFonts w:ascii="Arial" w:hAnsi="Arial" w:cs="Arial"/>
        </w:rPr>
        <w:t>-</w:t>
      </w:r>
      <w:r w:rsidR="006648D3" w:rsidRPr="008204CC">
        <w:rPr>
          <w:rFonts w:ascii="Arial" w:hAnsi="Arial" w:cs="Arial"/>
        </w:rPr>
        <w:t>0.</w:t>
      </w:r>
      <w:r w:rsidR="006648D3">
        <w:rPr>
          <w:rFonts w:ascii="Arial" w:hAnsi="Arial" w:cs="Arial"/>
        </w:rPr>
        <w:t>417</w:t>
      </w:r>
      <w:r w:rsidR="00F630CE">
        <w:rPr>
          <w:rFonts w:ascii="Arial" w:hAnsi="Arial" w:cs="Arial"/>
        </w:rPr>
        <w:t>%</w:t>
      </w:r>
      <w:r w:rsidR="006648D3">
        <w:rPr>
          <w:rFonts w:ascii="Arial" w:hAnsi="Arial" w:cs="Arial"/>
        </w:rPr>
        <w:t xml:space="preserve"> in the short</w:t>
      </w:r>
      <w:r w:rsidR="00ED75CB">
        <w:rPr>
          <w:rFonts w:ascii="Arial" w:hAnsi="Arial" w:cs="Arial"/>
        </w:rPr>
        <w:t xml:space="preserve"> </w:t>
      </w:r>
      <w:r w:rsidR="006648D3">
        <w:rPr>
          <w:rFonts w:ascii="Arial" w:hAnsi="Arial" w:cs="Arial"/>
        </w:rPr>
        <w:t>term</w:t>
      </w:r>
      <w:r w:rsidR="00F630CE">
        <w:rPr>
          <w:rFonts w:ascii="Arial" w:hAnsi="Arial" w:cs="Arial"/>
        </w:rPr>
        <w:t xml:space="preserve"> </w:t>
      </w:r>
      <w:r w:rsidR="006648D3">
        <w:rPr>
          <w:rFonts w:ascii="Arial" w:hAnsi="Arial" w:cs="Arial"/>
        </w:rPr>
        <w:t>and will appreciate in the long</w:t>
      </w:r>
      <w:r w:rsidR="00ED75CB">
        <w:rPr>
          <w:rFonts w:ascii="Arial" w:hAnsi="Arial" w:cs="Arial"/>
        </w:rPr>
        <w:t xml:space="preserve"> </w:t>
      </w:r>
      <w:r w:rsidR="006648D3">
        <w:rPr>
          <w:rFonts w:ascii="Arial" w:hAnsi="Arial" w:cs="Arial"/>
        </w:rPr>
        <w:t xml:space="preserve">term, </w:t>
      </w:r>
      <w:r w:rsidR="00F630CE" w:rsidRPr="007B02B5">
        <w:rPr>
          <w:rFonts w:ascii="Arial" w:hAnsi="Arial" w:cs="Arial"/>
          <w:i/>
          <w:iCs/>
        </w:rPr>
        <w:t>ceteris</w:t>
      </w:r>
      <w:r w:rsidR="00F630CE" w:rsidRPr="009A1194">
        <w:rPr>
          <w:rFonts w:ascii="Arial" w:hAnsi="Arial" w:cs="Arial"/>
          <w:i/>
          <w:iCs/>
          <w:color w:val="FF0000"/>
        </w:rPr>
        <w:t xml:space="preserve"> </w:t>
      </w:r>
      <w:r w:rsidR="00F630CE">
        <w:rPr>
          <w:rFonts w:ascii="Arial" w:hAnsi="Arial" w:cs="Arial"/>
          <w:i/>
          <w:iCs/>
        </w:rPr>
        <w:t>paribus.</w:t>
      </w:r>
      <w:r w:rsidR="006648D3">
        <w:rPr>
          <w:rFonts w:ascii="Arial" w:hAnsi="Arial" w:cs="Arial"/>
        </w:rPr>
        <w:t xml:space="preserve"> A 1% increase in GOVCON will cause the REER to appreciate by 2.364% </w:t>
      </w:r>
      <w:r w:rsidR="00AF20C3">
        <w:rPr>
          <w:rFonts w:ascii="Arial" w:hAnsi="Arial" w:cs="Arial"/>
        </w:rPr>
        <w:t>in the short</w:t>
      </w:r>
      <w:r w:rsidR="00ED75CB">
        <w:rPr>
          <w:rFonts w:ascii="Arial" w:hAnsi="Arial" w:cs="Arial"/>
        </w:rPr>
        <w:t xml:space="preserve"> </w:t>
      </w:r>
      <w:r w:rsidR="00AF20C3">
        <w:rPr>
          <w:rFonts w:ascii="Arial" w:hAnsi="Arial" w:cs="Arial"/>
        </w:rPr>
        <w:t xml:space="preserve">term </w:t>
      </w:r>
      <w:r w:rsidR="006648D3">
        <w:rPr>
          <w:rFonts w:ascii="Arial" w:hAnsi="Arial" w:cs="Arial"/>
        </w:rPr>
        <w:t>and will depreci</w:t>
      </w:r>
      <w:r w:rsidR="00D13B3A">
        <w:rPr>
          <w:rFonts w:ascii="Arial" w:hAnsi="Arial" w:cs="Arial"/>
        </w:rPr>
        <w:t>a</w:t>
      </w:r>
      <w:r w:rsidR="006648D3">
        <w:rPr>
          <w:rFonts w:ascii="Arial" w:hAnsi="Arial" w:cs="Arial"/>
        </w:rPr>
        <w:t>te in the long</w:t>
      </w:r>
      <w:r w:rsidR="00B54F48">
        <w:rPr>
          <w:rFonts w:ascii="Arial" w:hAnsi="Arial" w:cs="Arial"/>
        </w:rPr>
        <w:t xml:space="preserve"> </w:t>
      </w:r>
      <w:r w:rsidR="006648D3">
        <w:rPr>
          <w:rFonts w:ascii="Arial" w:hAnsi="Arial" w:cs="Arial"/>
        </w:rPr>
        <w:t xml:space="preserve">term, </w:t>
      </w:r>
      <w:r w:rsidR="006648D3" w:rsidRPr="007B02B5">
        <w:rPr>
          <w:rFonts w:ascii="Arial" w:hAnsi="Arial" w:cs="Arial"/>
          <w:i/>
          <w:iCs/>
        </w:rPr>
        <w:t>ceteris</w:t>
      </w:r>
      <w:r w:rsidR="006648D3" w:rsidRPr="009A1194">
        <w:rPr>
          <w:rFonts w:ascii="Arial" w:hAnsi="Arial" w:cs="Arial"/>
          <w:i/>
          <w:iCs/>
          <w:color w:val="FF0000"/>
        </w:rPr>
        <w:t xml:space="preserve"> </w:t>
      </w:r>
      <w:r w:rsidR="006648D3">
        <w:rPr>
          <w:rFonts w:ascii="Arial" w:hAnsi="Arial" w:cs="Arial"/>
          <w:i/>
          <w:iCs/>
        </w:rPr>
        <w:t>paribus.</w:t>
      </w:r>
      <w:r w:rsidR="005375A3">
        <w:rPr>
          <w:rFonts w:ascii="Arial" w:hAnsi="Arial" w:cs="Arial"/>
          <w:i/>
          <w:iCs/>
        </w:rPr>
        <w:t xml:space="preserve"> </w:t>
      </w:r>
      <w:r w:rsidR="00D13B3A">
        <w:rPr>
          <w:rFonts w:ascii="Arial" w:hAnsi="Arial" w:cs="Arial"/>
        </w:rPr>
        <w:t>The result shows that</w:t>
      </w:r>
      <w:r w:rsidR="00806598" w:rsidRPr="008204CC">
        <w:rPr>
          <w:rFonts w:ascii="Arial" w:hAnsi="Arial" w:cs="Arial"/>
        </w:rPr>
        <w:t xml:space="preserve"> </w:t>
      </w:r>
      <w:r w:rsidR="00385F6D">
        <w:rPr>
          <w:rFonts w:ascii="Arial" w:hAnsi="Arial" w:cs="Arial"/>
        </w:rPr>
        <w:t xml:space="preserve">there is no short-term relationship between </w:t>
      </w:r>
      <w:r w:rsidR="00385F6D" w:rsidRPr="008204CC">
        <w:rPr>
          <w:rFonts w:ascii="Arial" w:hAnsi="Arial" w:cs="Arial"/>
        </w:rPr>
        <w:t xml:space="preserve">NFA, OPEN, and PROD </w:t>
      </w:r>
      <w:r w:rsidR="0048291B">
        <w:rPr>
          <w:rFonts w:ascii="Arial" w:hAnsi="Arial" w:cs="Arial"/>
        </w:rPr>
        <w:t>with</w:t>
      </w:r>
      <w:r w:rsidR="00385F6D">
        <w:rPr>
          <w:rFonts w:ascii="Arial" w:hAnsi="Arial" w:cs="Arial"/>
        </w:rPr>
        <w:t xml:space="preserve"> REER</w:t>
      </w:r>
      <w:r w:rsidR="0048291B">
        <w:rPr>
          <w:rFonts w:ascii="Arial" w:hAnsi="Arial" w:cs="Arial"/>
        </w:rPr>
        <w:t>. A</w:t>
      </w:r>
      <w:r w:rsidR="00806598" w:rsidRPr="008204CC">
        <w:rPr>
          <w:rFonts w:ascii="Arial" w:hAnsi="Arial" w:cs="Arial"/>
        </w:rPr>
        <w:t xml:space="preserve"> shock on the NFA, OPEN, and PROD will </w:t>
      </w:r>
      <w:r w:rsidR="00385F6D">
        <w:rPr>
          <w:rFonts w:ascii="Arial" w:hAnsi="Arial" w:cs="Arial"/>
        </w:rPr>
        <w:t xml:space="preserve">not </w:t>
      </w:r>
      <w:r w:rsidR="00806598" w:rsidRPr="008204CC">
        <w:rPr>
          <w:rFonts w:ascii="Arial" w:hAnsi="Arial" w:cs="Arial"/>
        </w:rPr>
        <w:t>cause the REER to move away from its equil</w:t>
      </w:r>
      <w:r w:rsidR="00171C50">
        <w:rPr>
          <w:rFonts w:ascii="Arial" w:hAnsi="Arial" w:cs="Arial"/>
        </w:rPr>
        <w:t>ibrium. This is because</w:t>
      </w:r>
      <w:r w:rsidR="00385F6D">
        <w:rPr>
          <w:rFonts w:ascii="Arial" w:hAnsi="Arial" w:cs="Arial"/>
        </w:rPr>
        <w:t xml:space="preserve"> the </w:t>
      </w:r>
      <w:r w:rsidR="00385F6D">
        <w:rPr>
          <w:rFonts w:ascii="Arial" w:hAnsi="Arial" w:cs="Arial"/>
          <w:i/>
          <w:iCs/>
        </w:rPr>
        <w:t>t-</w:t>
      </w:r>
      <w:r w:rsidR="00385F6D">
        <w:rPr>
          <w:rFonts w:ascii="Arial" w:hAnsi="Arial" w:cs="Arial"/>
        </w:rPr>
        <w:t>statistic</w:t>
      </w:r>
      <w:r w:rsidR="00D13B3A">
        <w:rPr>
          <w:rFonts w:ascii="Arial" w:hAnsi="Arial" w:cs="Arial"/>
        </w:rPr>
        <w:t>s</w:t>
      </w:r>
      <w:r w:rsidR="00385F6D">
        <w:rPr>
          <w:rFonts w:ascii="Arial" w:hAnsi="Arial" w:cs="Arial"/>
        </w:rPr>
        <w:t xml:space="preserve"> of these three variables </w:t>
      </w:r>
      <w:r w:rsidR="00D13B3A">
        <w:rPr>
          <w:rFonts w:ascii="Arial" w:hAnsi="Arial" w:cs="Arial"/>
        </w:rPr>
        <w:t>are</w:t>
      </w:r>
      <w:r w:rsidR="0048291B">
        <w:rPr>
          <w:rFonts w:ascii="Arial" w:hAnsi="Arial" w:cs="Arial"/>
        </w:rPr>
        <w:t xml:space="preserve"> </w:t>
      </w:r>
      <w:r w:rsidR="00D13B3A">
        <w:rPr>
          <w:rFonts w:ascii="Arial" w:hAnsi="Arial" w:cs="Arial"/>
        </w:rPr>
        <w:t xml:space="preserve">statistically </w:t>
      </w:r>
      <w:r w:rsidR="0048291B">
        <w:rPr>
          <w:rFonts w:ascii="Arial" w:hAnsi="Arial" w:cs="Arial"/>
        </w:rPr>
        <w:t xml:space="preserve">insignificant as they are less than </w:t>
      </w:r>
      <w:r w:rsidR="0048291B" w:rsidRPr="008204CC">
        <w:rPr>
          <w:rFonts w:ascii="Arial" w:hAnsi="Arial" w:cs="Arial"/>
        </w:rPr>
        <w:t>|</w:t>
      </w:r>
      <w:r w:rsidR="0048291B">
        <w:rPr>
          <w:rFonts w:ascii="Arial" w:hAnsi="Arial" w:cs="Arial"/>
        </w:rPr>
        <w:t>2</w:t>
      </w:r>
      <w:r w:rsidR="0048291B" w:rsidRPr="008204CC">
        <w:rPr>
          <w:rFonts w:ascii="Arial" w:hAnsi="Arial" w:cs="Arial"/>
        </w:rPr>
        <w:t>|</w:t>
      </w:r>
      <w:r w:rsidR="00D13B3A">
        <w:rPr>
          <w:rFonts w:ascii="Arial" w:hAnsi="Arial" w:cs="Arial"/>
        </w:rPr>
        <w:t xml:space="preserve"> (i.e., 0.2178, -0.9261, and -0.3725</w:t>
      </w:r>
      <w:r w:rsidR="00B54F48">
        <w:rPr>
          <w:rFonts w:ascii="Arial" w:hAnsi="Arial" w:cs="Arial"/>
        </w:rPr>
        <w:t>,</w:t>
      </w:r>
      <w:r w:rsidR="00D13B3A">
        <w:rPr>
          <w:rFonts w:ascii="Arial" w:hAnsi="Arial" w:cs="Arial"/>
        </w:rPr>
        <w:t xml:space="preserve"> respectively</w:t>
      </w:r>
      <w:r w:rsidR="0048291B">
        <w:rPr>
          <w:rFonts w:ascii="Arial" w:hAnsi="Arial" w:cs="Arial"/>
        </w:rPr>
        <w:t>).</w:t>
      </w:r>
      <w:r w:rsidR="00806598" w:rsidRPr="008204CC">
        <w:rPr>
          <w:rFonts w:ascii="Arial" w:hAnsi="Arial" w:cs="Arial"/>
        </w:rPr>
        <w:t xml:space="preserve"> </w:t>
      </w:r>
    </w:p>
    <w:p w14:paraId="1ACAABCA" w14:textId="64D07B4E" w:rsidR="00D02CDE" w:rsidRDefault="00806598" w:rsidP="0066301C">
      <w:pPr>
        <w:spacing w:after="200" w:line="360" w:lineRule="auto"/>
        <w:jc w:val="both"/>
        <w:rPr>
          <w:rFonts w:ascii="Arial" w:hAnsi="Arial" w:cs="Arial"/>
        </w:rPr>
      </w:pPr>
      <w:r w:rsidRPr="008204CC">
        <w:rPr>
          <w:rFonts w:ascii="Arial" w:hAnsi="Arial" w:cs="Arial"/>
        </w:rPr>
        <w:t>The result of Equatorial Guinea shows that out of the three independent variables used</w:t>
      </w:r>
      <w:r w:rsidR="003C59E1">
        <w:rPr>
          <w:rFonts w:ascii="Arial" w:hAnsi="Arial" w:cs="Arial"/>
        </w:rPr>
        <w:t>,</w:t>
      </w:r>
      <w:r w:rsidRPr="008204CC">
        <w:rPr>
          <w:rFonts w:ascii="Arial" w:hAnsi="Arial" w:cs="Arial"/>
        </w:rPr>
        <w:t xml:space="preserve"> only the PROD has a </w:t>
      </w:r>
      <w:r w:rsidR="00506B1A">
        <w:rPr>
          <w:rFonts w:ascii="Arial" w:hAnsi="Arial" w:cs="Arial"/>
        </w:rPr>
        <w:t>short-term</w:t>
      </w:r>
      <w:r w:rsidRPr="008204CC">
        <w:rPr>
          <w:rFonts w:ascii="Arial" w:hAnsi="Arial" w:cs="Arial"/>
        </w:rPr>
        <w:t xml:space="preserve"> relationship with the REER</w:t>
      </w:r>
      <w:r w:rsidR="00B92225">
        <w:rPr>
          <w:rFonts w:ascii="Arial" w:hAnsi="Arial" w:cs="Arial"/>
        </w:rPr>
        <w:t xml:space="preserve">. A 1% increase in PROD leads to a 0.001% decrease in REER (devaluation), </w:t>
      </w:r>
      <w:r w:rsidR="00B92225">
        <w:rPr>
          <w:rFonts w:ascii="Arial" w:hAnsi="Arial" w:cs="Arial"/>
          <w:i/>
          <w:iCs/>
        </w:rPr>
        <w:t>ceteris paribus</w:t>
      </w:r>
      <w:r w:rsidR="00B92225">
        <w:rPr>
          <w:rFonts w:ascii="Arial" w:hAnsi="Arial" w:cs="Arial"/>
        </w:rPr>
        <w:t>.</w:t>
      </w:r>
      <w:r w:rsidRPr="008204CC">
        <w:rPr>
          <w:rFonts w:ascii="Arial" w:hAnsi="Arial" w:cs="Arial"/>
        </w:rPr>
        <w:t xml:space="preserve"> </w:t>
      </w:r>
      <w:r w:rsidR="00B92225">
        <w:rPr>
          <w:rFonts w:ascii="Arial" w:hAnsi="Arial" w:cs="Arial"/>
        </w:rPr>
        <w:t>This result is like that observed in CAR’s PROD in the short-term. W</w:t>
      </w:r>
      <w:r w:rsidRPr="008204CC">
        <w:rPr>
          <w:rFonts w:ascii="Arial" w:hAnsi="Arial" w:cs="Arial"/>
        </w:rPr>
        <w:t>hile TOT and NFA do not have a</w:t>
      </w:r>
      <w:r w:rsidR="00B92225">
        <w:rPr>
          <w:rFonts w:ascii="Arial" w:hAnsi="Arial" w:cs="Arial"/>
        </w:rPr>
        <w:t>ny impact (relationship)</w:t>
      </w:r>
      <w:r w:rsidRPr="008204CC">
        <w:rPr>
          <w:rFonts w:ascii="Arial" w:hAnsi="Arial" w:cs="Arial"/>
        </w:rPr>
        <w:t xml:space="preserve"> </w:t>
      </w:r>
      <w:r w:rsidR="002E51C2">
        <w:rPr>
          <w:rFonts w:ascii="Arial" w:hAnsi="Arial" w:cs="Arial"/>
        </w:rPr>
        <w:t>on</w:t>
      </w:r>
      <w:r w:rsidRPr="008204CC">
        <w:rPr>
          <w:rFonts w:ascii="Arial" w:hAnsi="Arial" w:cs="Arial"/>
        </w:rPr>
        <w:t xml:space="preserve"> the REER</w:t>
      </w:r>
      <w:r w:rsidR="00B92225">
        <w:rPr>
          <w:rFonts w:ascii="Arial" w:hAnsi="Arial" w:cs="Arial"/>
        </w:rPr>
        <w:t xml:space="preserve"> in the short</w:t>
      </w:r>
      <w:r w:rsidR="003C59E1">
        <w:rPr>
          <w:rFonts w:ascii="Arial" w:hAnsi="Arial" w:cs="Arial"/>
        </w:rPr>
        <w:t xml:space="preserve"> </w:t>
      </w:r>
      <w:r w:rsidR="00B92225">
        <w:rPr>
          <w:rFonts w:ascii="Arial" w:hAnsi="Arial" w:cs="Arial"/>
        </w:rPr>
        <w:t>term</w:t>
      </w:r>
      <w:r w:rsidR="00A3106E">
        <w:rPr>
          <w:rFonts w:ascii="Arial" w:hAnsi="Arial" w:cs="Arial"/>
        </w:rPr>
        <w:t xml:space="preserve"> as </w:t>
      </w:r>
      <w:r w:rsidR="00B92225">
        <w:rPr>
          <w:rFonts w:ascii="Arial" w:hAnsi="Arial" w:cs="Arial"/>
        </w:rPr>
        <w:t xml:space="preserve">their </w:t>
      </w:r>
      <w:r w:rsidR="00B92225">
        <w:rPr>
          <w:rFonts w:ascii="Arial" w:hAnsi="Arial" w:cs="Arial"/>
          <w:i/>
          <w:iCs/>
        </w:rPr>
        <w:t>t-</w:t>
      </w:r>
      <w:r w:rsidR="00B92225">
        <w:rPr>
          <w:rFonts w:ascii="Arial" w:hAnsi="Arial" w:cs="Arial"/>
        </w:rPr>
        <w:t xml:space="preserve">statistics are statistically insignificant (i.e., the </w:t>
      </w:r>
      <w:r w:rsidR="00B92225">
        <w:rPr>
          <w:rFonts w:ascii="Arial" w:hAnsi="Arial" w:cs="Arial"/>
          <w:i/>
          <w:iCs/>
        </w:rPr>
        <w:t>t-</w:t>
      </w:r>
      <w:r w:rsidR="00B92225">
        <w:rPr>
          <w:rFonts w:ascii="Arial" w:hAnsi="Arial" w:cs="Arial"/>
        </w:rPr>
        <w:t xml:space="preserve">statistic &lt; </w:t>
      </w:r>
      <w:r w:rsidR="00B92225" w:rsidRPr="008204CC">
        <w:rPr>
          <w:rFonts w:ascii="Arial" w:hAnsi="Arial" w:cs="Arial"/>
        </w:rPr>
        <w:t>|</w:t>
      </w:r>
      <w:r w:rsidR="00B92225">
        <w:rPr>
          <w:rFonts w:ascii="Arial" w:hAnsi="Arial" w:cs="Arial"/>
        </w:rPr>
        <w:t>2</w:t>
      </w:r>
      <w:r w:rsidR="00B92225" w:rsidRPr="008204CC">
        <w:rPr>
          <w:rFonts w:ascii="Arial" w:hAnsi="Arial" w:cs="Arial"/>
        </w:rPr>
        <w:t>|</w:t>
      </w:r>
      <w:r w:rsidR="00B92225">
        <w:rPr>
          <w:rFonts w:ascii="Arial" w:hAnsi="Arial" w:cs="Arial"/>
        </w:rPr>
        <w:t xml:space="preserve">). </w:t>
      </w:r>
      <w:bookmarkEnd w:id="382"/>
      <w:r w:rsidR="00A3106E">
        <w:rPr>
          <w:rFonts w:ascii="Arial" w:hAnsi="Arial" w:cs="Arial"/>
        </w:rPr>
        <w:t xml:space="preserve">Though there is no short-term relationship </w:t>
      </w:r>
      <w:r w:rsidR="00DC4B20">
        <w:rPr>
          <w:rFonts w:ascii="Arial" w:hAnsi="Arial" w:cs="Arial"/>
        </w:rPr>
        <w:t>between TOT and NFA with REER</w:t>
      </w:r>
      <w:r w:rsidR="00A3106E">
        <w:rPr>
          <w:rFonts w:ascii="Arial" w:hAnsi="Arial" w:cs="Arial"/>
        </w:rPr>
        <w:t>, there exist</w:t>
      </w:r>
      <w:r w:rsidR="00465291">
        <w:rPr>
          <w:rFonts w:ascii="Arial" w:hAnsi="Arial" w:cs="Arial"/>
        </w:rPr>
        <w:t>s</w:t>
      </w:r>
      <w:r w:rsidR="00A3106E">
        <w:rPr>
          <w:rFonts w:ascii="Arial" w:hAnsi="Arial" w:cs="Arial"/>
        </w:rPr>
        <w:t xml:space="preserve"> a long-term </w:t>
      </w:r>
      <w:r w:rsidR="00DC4B20">
        <w:rPr>
          <w:rFonts w:ascii="Arial" w:hAnsi="Arial" w:cs="Arial"/>
        </w:rPr>
        <w:t>relationship.</w:t>
      </w:r>
    </w:p>
    <w:p w14:paraId="38C6F38B" w14:textId="2B8996DA" w:rsidR="00F42C85" w:rsidRDefault="00806598" w:rsidP="0066301C">
      <w:pPr>
        <w:spacing w:after="200" w:line="360" w:lineRule="auto"/>
        <w:jc w:val="both"/>
        <w:rPr>
          <w:rFonts w:ascii="Arial" w:hAnsi="Arial" w:cs="Arial"/>
        </w:rPr>
      </w:pPr>
      <w:bookmarkStart w:id="383" w:name="_Hlk134148133"/>
      <w:r>
        <w:rPr>
          <w:rFonts w:ascii="Arial" w:hAnsi="Arial" w:cs="Arial"/>
          <w:lang w:val="en-US"/>
        </w:rPr>
        <w:t xml:space="preserve">The </w:t>
      </w:r>
      <w:r w:rsidR="00F42C85">
        <w:rPr>
          <w:rFonts w:ascii="Arial" w:hAnsi="Arial" w:cs="Arial"/>
          <w:lang w:val="en-US"/>
        </w:rPr>
        <w:t xml:space="preserve">unrestricted VAR results </w:t>
      </w:r>
      <w:r>
        <w:rPr>
          <w:rFonts w:ascii="Arial" w:hAnsi="Arial" w:cs="Arial"/>
          <w:lang w:val="en-US"/>
        </w:rPr>
        <w:t xml:space="preserve">of Cameroon shows </w:t>
      </w:r>
      <w:r w:rsidR="007E6027">
        <w:rPr>
          <w:rFonts w:ascii="Arial" w:hAnsi="Arial" w:cs="Arial"/>
          <w:lang w:val="en-US"/>
        </w:rPr>
        <w:t xml:space="preserve">the presence of a </w:t>
      </w:r>
      <w:r>
        <w:rPr>
          <w:rFonts w:ascii="Arial" w:hAnsi="Arial" w:cs="Arial"/>
          <w:lang w:val="en-US"/>
        </w:rPr>
        <w:t xml:space="preserve">short-term relationship </w:t>
      </w:r>
      <w:r w:rsidR="007E6027">
        <w:rPr>
          <w:rFonts w:ascii="Arial" w:hAnsi="Arial" w:cs="Arial"/>
          <w:lang w:val="en-US"/>
        </w:rPr>
        <w:t xml:space="preserve">between TOT and REER.  </w:t>
      </w:r>
      <w:r w:rsidR="007E6027">
        <w:rPr>
          <w:rFonts w:ascii="Arial" w:hAnsi="Arial" w:cs="Arial"/>
        </w:rPr>
        <w:t xml:space="preserve">A 1% increase in TOT leads to a </w:t>
      </w:r>
      <w:r w:rsidR="005B292D">
        <w:rPr>
          <w:rFonts w:ascii="Arial" w:hAnsi="Arial" w:cs="Arial"/>
        </w:rPr>
        <w:t xml:space="preserve">0.1674% devaluation and vice versa, </w:t>
      </w:r>
      <w:r w:rsidR="005B292D">
        <w:rPr>
          <w:rFonts w:ascii="Arial" w:hAnsi="Arial" w:cs="Arial"/>
          <w:i/>
          <w:iCs/>
        </w:rPr>
        <w:t xml:space="preserve">ceteris paribus. </w:t>
      </w:r>
      <w:r>
        <w:rPr>
          <w:rFonts w:ascii="Arial" w:hAnsi="Arial" w:cs="Arial"/>
        </w:rPr>
        <w:t xml:space="preserve">The </w:t>
      </w:r>
      <w:r w:rsidR="005B292D">
        <w:rPr>
          <w:rFonts w:ascii="Arial" w:hAnsi="Arial" w:cs="Arial"/>
        </w:rPr>
        <w:t>r</w:t>
      </w:r>
      <w:r>
        <w:rPr>
          <w:rFonts w:ascii="Arial" w:hAnsi="Arial" w:cs="Arial"/>
        </w:rPr>
        <w:t>esult show</w:t>
      </w:r>
      <w:r w:rsidR="005B292D">
        <w:rPr>
          <w:rFonts w:ascii="Arial" w:hAnsi="Arial" w:cs="Arial"/>
        </w:rPr>
        <w:t>s</w:t>
      </w:r>
      <w:r>
        <w:rPr>
          <w:rFonts w:ascii="Arial" w:hAnsi="Arial" w:cs="Arial"/>
        </w:rPr>
        <w:t xml:space="preserve"> that </w:t>
      </w:r>
      <w:r w:rsidR="00F42C85">
        <w:rPr>
          <w:rFonts w:ascii="Arial" w:hAnsi="Arial" w:cs="Arial"/>
        </w:rPr>
        <w:t xml:space="preserve">there </w:t>
      </w:r>
      <w:r w:rsidR="005B292D">
        <w:rPr>
          <w:rFonts w:ascii="Arial" w:hAnsi="Arial" w:cs="Arial"/>
        </w:rPr>
        <w:t xml:space="preserve">is no </w:t>
      </w:r>
      <w:r w:rsidR="00F42C85">
        <w:rPr>
          <w:rFonts w:ascii="Arial" w:hAnsi="Arial" w:cs="Arial"/>
        </w:rPr>
        <w:t xml:space="preserve">short-term relationship between </w:t>
      </w:r>
      <w:r w:rsidR="005B292D">
        <w:rPr>
          <w:rFonts w:ascii="Arial" w:hAnsi="Arial" w:cs="Arial"/>
        </w:rPr>
        <w:t xml:space="preserve">the </w:t>
      </w:r>
      <w:r w:rsidR="005B292D">
        <w:rPr>
          <w:rFonts w:ascii="Arial" w:hAnsi="Arial" w:cs="Arial"/>
        </w:rPr>
        <w:lastRenderedPageBreak/>
        <w:t>other variables</w:t>
      </w:r>
      <w:r w:rsidR="00F42C85">
        <w:rPr>
          <w:rFonts w:ascii="Arial" w:hAnsi="Arial" w:cs="Arial"/>
        </w:rPr>
        <w:t xml:space="preserve"> and REER</w:t>
      </w:r>
      <w:r w:rsidR="005B292D">
        <w:rPr>
          <w:rFonts w:ascii="Arial" w:hAnsi="Arial" w:cs="Arial"/>
        </w:rPr>
        <w:t xml:space="preserve"> (i.e., the va</w:t>
      </w:r>
      <w:r w:rsidR="00DC4B20">
        <w:rPr>
          <w:rFonts w:ascii="Arial" w:hAnsi="Arial" w:cs="Arial"/>
        </w:rPr>
        <w:t>riables do not impact the REER as their</w:t>
      </w:r>
      <w:r w:rsidR="005B292D">
        <w:rPr>
          <w:rFonts w:ascii="Arial" w:hAnsi="Arial" w:cs="Arial"/>
        </w:rPr>
        <w:t xml:space="preserve"> </w:t>
      </w:r>
      <w:r w:rsidR="005B292D">
        <w:rPr>
          <w:rFonts w:ascii="Arial" w:hAnsi="Arial" w:cs="Arial"/>
          <w:i/>
          <w:iCs/>
        </w:rPr>
        <w:t>t-</w:t>
      </w:r>
      <w:r w:rsidR="005B292D">
        <w:rPr>
          <w:rFonts w:ascii="Arial" w:hAnsi="Arial" w:cs="Arial"/>
        </w:rPr>
        <w:t xml:space="preserve">statistic &lt; </w:t>
      </w:r>
      <w:r w:rsidR="005B292D" w:rsidRPr="008204CC">
        <w:rPr>
          <w:rFonts w:ascii="Arial" w:hAnsi="Arial" w:cs="Arial"/>
        </w:rPr>
        <w:t>|</w:t>
      </w:r>
      <w:r w:rsidR="005B292D">
        <w:rPr>
          <w:rFonts w:ascii="Arial" w:hAnsi="Arial" w:cs="Arial"/>
        </w:rPr>
        <w:t>2</w:t>
      </w:r>
      <w:r w:rsidR="005B292D" w:rsidRPr="008204CC">
        <w:rPr>
          <w:rFonts w:ascii="Arial" w:hAnsi="Arial" w:cs="Arial"/>
        </w:rPr>
        <w:t>|</w:t>
      </w:r>
      <w:r w:rsidR="005B292D">
        <w:rPr>
          <w:rFonts w:ascii="Arial" w:hAnsi="Arial" w:cs="Arial"/>
        </w:rPr>
        <w:t xml:space="preserve"> - statistically insignificant)</w:t>
      </w:r>
      <w:r w:rsidR="00F42C85">
        <w:rPr>
          <w:rFonts w:ascii="Arial" w:hAnsi="Arial" w:cs="Arial"/>
        </w:rPr>
        <w:t xml:space="preserve">. </w:t>
      </w:r>
    </w:p>
    <w:p w14:paraId="0148CE7A" w14:textId="21045EA0" w:rsidR="00806598" w:rsidRDefault="00295391" w:rsidP="0066301C">
      <w:pPr>
        <w:spacing w:after="200" w:line="360" w:lineRule="auto"/>
        <w:jc w:val="both"/>
        <w:rPr>
          <w:rFonts w:ascii="Arial" w:hAnsi="Arial" w:cs="Arial"/>
        </w:rPr>
      </w:pPr>
      <w:r>
        <w:rPr>
          <w:rFonts w:ascii="Arial" w:hAnsi="Arial" w:cs="Arial"/>
          <w:lang w:val="en-US"/>
        </w:rPr>
        <w:t xml:space="preserve">The unrestricted VAR results of </w:t>
      </w:r>
      <w:r w:rsidR="00806598">
        <w:rPr>
          <w:rFonts w:ascii="Arial" w:hAnsi="Arial" w:cs="Arial"/>
        </w:rPr>
        <w:t>Gabon</w:t>
      </w:r>
      <w:r>
        <w:rPr>
          <w:rFonts w:ascii="Arial" w:hAnsi="Arial" w:cs="Arial"/>
        </w:rPr>
        <w:t xml:space="preserve"> </w:t>
      </w:r>
      <w:r w:rsidR="00806598">
        <w:rPr>
          <w:rFonts w:ascii="Arial" w:hAnsi="Arial" w:cs="Arial"/>
        </w:rPr>
        <w:t>show that the</w:t>
      </w:r>
      <w:r>
        <w:rPr>
          <w:rFonts w:ascii="Arial" w:hAnsi="Arial" w:cs="Arial"/>
        </w:rPr>
        <w:t>re is no short-term relationship between an</w:t>
      </w:r>
      <w:r w:rsidR="005318CD">
        <w:rPr>
          <w:rFonts w:ascii="Arial" w:hAnsi="Arial" w:cs="Arial"/>
        </w:rPr>
        <w:t>y of the variables and the REER</w:t>
      </w:r>
      <w:r w:rsidR="00465291">
        <w:rPr>
          <w:rFonts w:ascii="Arial" w:hAnsi="Arial" w:cs="Arial"/>
        </w:rPr>
        <w:t>,</w:t>
      </w:r>
      <w:r w:rsidR="005318CD">
        <w:rPr>
          <w:rFonts w:ascii="Arial" w:hAnsi="Arial" w:cs="Arial"/>
        </w:rPr>
        <w:t xml:space="preserve"> as the</w:t>
      </w:r>
      <w:r>
        <w:rPr>
          <w:rFonts w:ascii="Arial" w:hAnsi="Arial" w:cs="Arial"/>
        </w:rPr>
        <w:t xml:space="preserve"> </w:t>
      </w:r>
      <w:r w:rsidR="005318CD">
        <w:rPr>
          <w:rFonts w:ascii="Arial" w:hAnsi="Arial" w:cs="Arial"/>
        </w:rPr>
        <w:t>models are</w:t>
      </w:r>
      <w:r>
        <w:rPr>
          <w:rFonts w:ascii="Arial" w:hAnsi="Arial" w:cs="Arial"/>
        </w:rPr>
        <w:t xml:space="preserve"> statistically </w:t>
      </w:r>
      <w:r w:rsidR="005318CD">
        <w:rPr>
          <w:rFonts w:ascii="Arial" w:hAnsi="Arial" w:cs="Arial"/>
        </w:rPr>
        <w:t>in</w:t>
      </w:r>
      <w:r>
        <w:rPr>
          <w:rFonts w:ascii="Arial" w:hAnsi="Arial" w:cs="Arial"/>
        </w:rPr>
        <w:t xml:space="preserve">significant </w:t>
      </w:r>
      <w:r w:rsidR="005318CD">
        <w:rPr>
          <w:rFonts w:ascii="Arial" w:hAnsi="Arial" w:cs="Arial"/>
        </w:rPr>
        <w:t>with</w:t>
      </w:r>
      <w:r>
        <w:rPr>
          <w:rFonts w:ascii="Arial" w:hAnsi="Arial" w:cs="Arial"/>
        </w:rPr>
        <w:t xml:space="preserve"> </w:t>
      </w:r>
      <w:r>
        <w:rPr>
          <w:rFonts w:ascii="Arial" w:hAnsi="Arial" w:cs="Arial"/>
          <w:i/>
          <w:iCs/>
        </w:rPr>
        <w:t>t-</w:t>
      </w:r>
      <w:r>
        <w:rPr>
          <w:rFonts w:ascii="Arial" w:hAnsi="Arial" w:cs="Arial"/>
        </w:rPr>
        <w:t xml:space="preserve">statistic &lt; </w:t>
      </w:r>
      <w:r w:rsidRPr="008204CC">
        <w:rPr>
          <w:rFonts w:ascii="Arial" w:hAnsi="Arial" w:cs="Arial"/>
        </w:rPr>
        <w:t>|</w:t>
      </w:r>
      <w:r>
        <w:rPr>
          <w:rFonts w:ascii="Arial" w:hAnsi="Arial" w:cs="Arial"/>
        </w:rPr>
        <w:t>2</w:t>
      </w:r>
      <w:r w:rsidRPr="008204CC">
        <w:rPr>
          <w:rFonts w:ascii="Arial" w:hAnsi="Arial" w:cs="Arial"/>
        </w:rPr>
        <w:t>|</w:t>
      </w:r>
      <w:r>
        <w:rPr>
          <w:rFonts w:ascii="Arial" w:hAnsi="Arial" w:cs="Arial"/>
        </w:rPr>
        <w:t xml:space="preserve">. </w:t>
      </w:r>
      <w:r w:rsidR="00806598">
        <w:rPr>
          <w:rFonts w:ascii="Arial" w:hAnsi="Arial" w:cs="Arial"/>
        </w:rPr>
        <w:t>This means that there is no short-term relationship between REER and its independent variables (i.e.</w:t>
      </w:r>
      <w:r w:rsidR="00C222AA">
        <w:rPr>
          <w:rFonts w:ascii="Arial" w:hAnsi="Arial" w:cs="Arial"/>
        </w:rPr>
        <w:t>,</w:t>
      </w:r>
      <w:r w:rsidR="00806598">
        <w:rPr>
          <w:rFonts w:ascii="Arial" w:hAnsi="Arial" w:cs="Arial"/>
        </w:rPr>
        <w:t xml:space="preserve"> none of the variables used impact the REER). Because we are interested </w:t>
      </w:r>
      <w:r w:rsidR="00CF121A">
        <w:rPr>
          <w:rFonts w:ascii="Arial" w:hAnsi="Arial" w:cs="Arial"/>
        </w:rPr>
        <w:t xml:space="preserve">in </w:t>
      </w:r>
      <w:r w:rsidR="00806598">
        <w:rPr>
          <w:rFonts w:ascii="Arial" w:hAnsi="Arial" w:cs="Arial"/>
        </w:rPr>
        <w:t xml:space="preserve">the state of the REER of the CEMAC nations, we proceed to </w:t>
      </w:r>
      <w:r w:rsidR="00F13665">
        <w:rPr>
          <w:rFonts w:ascii="Arial" w:hAnsi="Arial" w:cs="Arial"/>
        </w:rPr>
        <w:t>investigate</w:t>
      </w:r>
      <w:r w:rsidR="00806598">
        <w:rPr>
          <w:rFonts w:ascii="Arial" w:hAnsi="Arial" w:cs="Arial"/>
        </w:rPr>
        <w:t xml:space="preserve"> the </w:t>
      </w:r>
      <w:r w:rsidR="00F13665">
        <w:rPr>
          <w:rFonts w:ascii="Arial" w:hAnsi="Arial" w:cs="Arial"/>
        </w:rPr>
        <w:t xml:space="preserve">presence of the </w:t>
      </w:r>
      <w:r w:rsidR="00806598">
        <w:rPr>
          <w:rFonts w:ascii="Arial" w:hAnsi="Arial" w:cs="Arial"/>
        </w:rPr>
        <w:t xml:space="preserve">equilibrium </w:t>
      </w:r>
      <w:bookmarkStart w:id="384" w:name="_Hlk170836055"/>
      <w:r w:rsidR="00806598">
        <w:rPr>
          <w:rFonts w:ascii="Arial" w:hAnsi="Arial" w:cs="Arial"/>
        </w:rPr>
        <w:t>exchange rate</w:t>
      </w:r>
      <w:r w:rsidR="00F13665">
        <w:rPr>
          <w:rFonts w:ascii="Arial" w:hAnsi="Arial" w:cs="Arial"/>
        </w:rPr>
        <w:t>,</w:t>
      </w:r>
      <w:r w:rsidR="00806598">
        <w:rPr>
          <w:rFonts w:ascii="Arial" w:hAnsi="Arial" w:cs="Arial"/>
        </w:rPr>
        <w:t xml:space="preserve"> as seen </w:t>
      </w:r>
      <w:r w:rsidR="00F13665">
        <w:rPr>
          <w:rFonts w:ascii="Arial" w:hAnsi="Arial" w:cs="Arial"/>
        </w:rPr>
        <w:t xml:space="preserve">in </w:t>
      </w:r>
      <w:r w:rsidR="00806598">
        <w:rPr>
          <w:rFonts w:ascii="Arial" w:hAnsi="Arial" w:cs="Arial"/>
        </w:rPr>
        <w:t xml:space="preserve">the next section. </w:t>
      </w:r>
    </w:p>
    <w:p w14:paraId="6125DA09" w14:textId="73A6A9EC" w:rsidR="00806598" w:rsidRPr="008204CC" w:rsidRDefault="00FE73A3" w:rsidP="0066301C">
      <w:pPr>
        <w:pStyle w:val="Heading3"/>
        <w:numPr>
          <w:ilvl w:val="0"/>
          <w:numId w:val="0"/>
        </w:numPr>
        <w:spacing w:before="0" w:beforeAutospacing="0"/>
      </w:pPr>
      <w:bookmarkStart w:id="385" w:name="_Toc171075395"/>
      <w:r>
        <w:t>3</w:t>
      </w:r>
      <w:r w:rsidR="002779D1">
        <w:t>.</w:t>
      </w:r>
      <w:r w:rsidR="00846F75">
        <w:t>5</w:t>
      </w:r>
      <w:r w:rsidR="002115D6">
        <w:t>.</w:t>
      </w:r>
      <w:r w:rsidR="002115D6" w:rsidRPr="0015676F">
        <w:t>5</w:t>
      </w:r>
      <w:r w:rsidR="0015676F">
        <w:tab/>
      </w:r>
      <w:r w:rsidR="00806598" w:rsidRPr="0015676F">
        <w:t>EQUILIBRIUM</w:t>
      </w:r>
      <w:r w:rsidR="00806598" w:rsidRPr="008204CC">
        <w:t xml:space="preserve"> EXCHANGE RATE AND MISALIGNMENT</w:t>
      </w:r>
      <w:bookmarkEnd w:id="385"/>
    </w:p>
    <w:p w14:paraId="79E2F29B" w14:textId="15DD6938" w:rsidR="00806598" w:rsidRDefault="00806598" w:rsidP="0066301C">
      <w:pPr>
        <w:spacing w:line="360" w:lineRule="auto"/>
        <w:jc w:val="both"/>
        <w:rPr>
          <w:rFonts w:ascii="Arial" w:hAnsi="Arial" w:cs="Arial"/>
        </w:rPr>
      </w:pPr>
      <w:r w:rsidRPr="004520E1">
        <w:rPr>
          <w:rFonts w:ascii="Arial" w:hAnsi="Arial" w:cs="Arial"/>
        </w:rPr>
        <w:t>Because the equilibrium real effective exchange rate (EREER) is a continuous process and not a fix</w:t>
      </w:r>
      <w:r w:rsidR="00295391" w:rsidRPr="004520E1">
        <w:rPr>
          <w:rFonts w:ascii="Arial" w:hAnsi="Arial" w:cs="Arial"/>
        </w:rPr>
        <w:t>ed</w:t>
      </w:r>
      <w:r w:rsidRPr="004520E1">
        <w:rPr>
          <w:rFonts w:ascii="Arial" w:hAnsi="Arial" w:cs="Arial"/>
        </w:rPr>
        <w:t xml:space="preserve"> value, the behavioural equilibrium exchange rate (BEER) approach by Clark and MacDonald (1998) </w:t>
      </w:r>
      <w:r w:rsidR="00295391" w:rsidRPr="004520E1">
        <w:rPr>
          <w:rFonts w:ascii="Arial" w:hAnsi="Arial" w:cs="Arial"/>
        </w:rPr>
        <w:t>was</w:t>
      </w:r>
      <w:r w:rsidRPr="004520E1">
        <w:rPr>
          <w:rFonts w:ascii="Arial" w:hAnsi="Arial" w:cs="Arial"/>
        </w:rPr>
        <w:t xml:space="preserve"> used to track the movements of the exchange rate over time</w:t>
      </w:r>
      <w:r w:rsidR="00A31A78" w:rsidRPr="004520E1">
        <w:rPr>
          <w:rFonts w:ascii="Arial" w:hAnsi="Arial" w:cs="Arial"/>
        </w:rPr>
        <w:t>.</w:t>
      </w:r>
      <w:r w:rsidRPr="004520E1">
        <w:rPr>
          <w:rFonts w:ascii="Arial" w:hAnsi="Arial" w:cs="Arial"/>
        </w:rPr>
        <w:t xml:space="preserve"> To ascertain if the actual REER is at equilibrium or not, the </w:t>
      </w:r>
      <w:r w:rsidRPr="004520E1">
        <w:rPr>
          <w:rFonts w:ascii="Arial" w:hAnsi="Arial" w:cs="Arial"/>
          <w:lang w:eastAsia="en-GB"/>
        </w:rPr>
        <w:t>Hodrick-Prescott filter with a smoothing factor of 100 was used to smooth the variables on Eviews1</w:t>
      </w:r>
      <w:r w:rsidR="00A31A78" w:rsidRPr="004520E1">
        <w:rPr>
          <w:rFonts w:ascii="Arial" w:hAnsi="Arial" w:cs="Arial"/>
          <w:lang w:eastAsia="en-GB"/>
        </w:rPr>
        <w:t>2</w:t>
      </w:r>
      <w:r w:rsidRPr="004520E1">
        <w:rPr>
          <w:rFonts w:ascii="Arial" w:hAnsi="Arial" w:cs="Arial"/>
          <w:lang w:eastAsia="en-GB"/>
        </w:rPr>
        <w:t xml:space="preserve"> econometric software application. This helps to </w:t>
      </w:r>
      <w:r w:rsidRPr="004520E1">
        <w:rPr>
          <w:rFonts w:ascii="Arial" w:hAnsi="Arial" w:cs="Arial"/>
        </w:rPr>
        <w:t>extract the EREER from the actual REER. The difference between the actual REER and the EREER will be the misalignment. Because the REER is seldom at equilibrium, we assume</w:t>
      </w:r>
      <w:r w:rsidR="00A31A78" w:rsidRPr="004520E1">
        <w:rPr>
          <w:rFonts w:ascii="Arial" w:hAnsi="Arial" w:cs="Arial"/>
        </w:rPr>
        <w:t>d</w:t>
      </w:r>
      <w:r w:rsidRPr="004520E1">
        <w:rPr>
          <w:rFonts w:ascii="Arial" w:hAnsi="Arial" w:cs="Arial"/>
        </w:rPr>
        <w:t xml:space="preserve"> it is at equilibrium when the differences between REER and EREER revolve around absolute 5% as seen </w:t>
      </w:r>
      <w:r w:rsidR="00043A01" w:rsidRPr="004520E1">
        <w:rPr>
          <w:rFonts w:ascii="Arial" w:hAnsi="Arial" w:cs="Arial"/>
        </w:rPr>
        <w:t>i</w:t>
      </w:r>
      <w:r w:rsidR="00A31A78" w:rsidRPr="004520E1">
        <w:rPr>
          <w:rFonts w:ascii="Arial" w:hAnsi="Arial" w:cs="Arial"/>
        </w:rPr>
        <w:t xml:space="preserve">n </w:t>
      </w:r>
      <w:r w:rsidR="001C0375" w:rsidRPr="002617D2">
        <w:rPr>
          <w:rFonts w:ascii="Arial" w:hAnsi="Arial" w:cs="Arial"/>
        </w:rPr>
        <w:t xml:space="preserve">table </w:t>
      </w:r>
      <w:r w:rsidR="0079459C" w:rsidRPr="002617D2">
        <w:rPr>
          <w:rFonts w:ascii="Arial" w:hAnsi="Arial" w:cs="Arial"/>
        </w:rPr>
        <w:t>3</w:t>
      </w:r>
      <w:r w:rsidR="001C0375" w:rsidRPr="002617D2">
        <w:rPr>
          <w:rFonts w:ascii="Arial" w:hAnsi="Arial" w:cs="Arial"/>
        </w:rPr>
        <w:t>.8</w:t>
      </w:r>
      <w:r w:rsidR="00A31A78" w:rsidRPr="002617D2">
        <w:rPr>
          <w:rFonts w:ascii="Arial" w:hAnsi="Arial" w:cs="Arial"/>
        </w:rPr>
        <w:t xml:space="preserve"> </w:t>
      </w:r>
      <w:r w:rsidR="00C15C50" w:rsidRPr="002617D2">
        <w:rPr>
          <w:rFonts w:ascii="Arial" w:hAnsi="Arial" w:cs="Arial"/>
        </w:rPr>
        <w:t>in the appendix</w:t>
      </w:r>
      <w:r w:rsidR="00846F75" w:rsidRPr="002617D2">
        <w:rPr>
          <w:rFonts w:ascii="Arial" w:hAnsi="Arial" w:cs="Arial"/>
        </w:rPr>
        <w:t xml:space="preserve"> A</w:t>
      </w:r>
      <w:r w:rsidR="00C15C50">
        <w:rPr>
          <w:rFonts w:ascii="Arial" w:hAnsi="Arial" w:cs="Arial"/>
        </w:rPr>
        <w:t>.</w:t>
      </w:r>
      <w:r w:rsidRPr="004520E1">
        <w:rPr>
          <w:rFonts w:ascii="Arial" w:hAnsi="Arial" w:cs="Arial"/>
        </w:rPr>
        <w:t xml:space="preserve">   </w:t>
      </w:r>
    </w:p>
    <w:bookmarkEnd w:id="384"/>
    <w:p w14:paraId="277473AE" w14:textId="240EA170" w:rsidR="00806598" w:rsidRPr="00D6147C" w:rsidRDefault="00806598" w:rsidP="0066301C">
      <w:pPr>
        <w:tabs>
          <w:tab w:val="left" w:pos="2640"/>
        </w:tabs>
        <w:spacing w:line="360" w:lineRule="auto"/>
        <w:jc w:val="both"/>
        <w:rPr>
          <w:rFonts w:ascii="Arial" w:hAnsi="Arial" w:cs="Arial"/>
          <w:b/>
          <w:u w:val="single"/>
          <w:lang w:eastAsia="en-GB"/>
        </w:rPr>
      </w:pPr>
      <w:r>
        <w:rPr>
          <w:rFonts w:ascii="Arial" w:hAnsi="Arial" w:cs="Arial"/>
          <w:b/>
          <w:u w:val="single"/>
          <w:lang w:eastAsia="en-GB"/>
        </w:rPr>
        <w:t>Cameroon</w:t>
      </w:r>
    </w:p>
    <w:p w14:paraId="3986ADFB" w14:textId="7A90A7BB" w:rsidR="00806598" w:rsidRDefault="00806598" w:rsidP="0066301C">
      <w:pPr>
        <w:tabs>
          <w:tab w:val="left" w:pos="2640"/>
        </w:tabs>
        <w:spacing w:line="360" w:lineRule="auto"/>
        <w:jc w:val="both"/>
        <w:rPr>
          <w:rFonts w:ascii="Arial" w:hAnsi="Arial" w:cs="Arial"/>
          <w:lang w:eastAsia="en-GB"/>
        </w:rPr>
      </w:pPr>
      <w:r w:rsidRPr="008204CC">
        <w:rPr>
          <w:rFonts w:ascii="Arial" w:hAnsi="Arial" w:cs="Arial"/>
          <w:lang w:eastAsia="en-GB"/>
        </w:rPr>
        <w:t>Beginning with Came</w:t>
      </w:r>
      <w:r w:rsidR="00BD24DF">
        <w:rPr>
          <w:rFonts w:ascii="Arial" w:hAnsi="Arial" w:cs="Arial"/>
          <w:lang w:eastAsia="en-GB"/>
        </w:rPr>
        <w:t xml:space="preserve">roon’s result on the HP filter </w:t>
      </w:r>
      <w:r w:rsidR="00F10BDD">
        <w:rPr>
          <w:rFonts w:ascii="Arial" w:hAnsi="Arial" w:cs="Arial"/>
          <w:lang w:eastAsia="en-GB"/>
        </w:rPr>
        <w:t>o</w:t>
      </w:r>
      <w:r w:rsidR="00BD24DF">
        <w:rPr>
          <w:rFonts w:ascii="Arial" w:hAnsi="Arial" w:cs="Arial"/>
          <w:lang w:eastAsia="en-GB"/>
        </w:rPr>
        <w:t>n</w:t>
      </w:r>
      <w:r w:rsidRPr="008204CC">
        <w:rPr>
          <w:rFonts w:ascii="Arial" w:hAnsi="Arial" w:cs="Arial"/>
          <w:lang w:eastAsia="en-GB"/>
        </w:rPr>
        <w:t xml:space="preserve"> </w:t>
      </w:r>
      <w:r w:rsidR="001C0375" w:rsidRPr="00661110">
        <w:rPr>
          <w:rFonts w:ascii="Arial" w:hAnsi="Arial" w:cs="Arial"/>
          <w:lang w:eastAsia="en-GB"/>
        </w:rPr>
        <w:t xml:space="preserve">table </w:t>
      </w:r>
      <w:r w:rsidR="00661110">
        <w:rPr>
          <w:rFonts w:ascii="Arial" w:hAnsi="Arial" w:cs="Arial"/>
          <w:lang w:eastAsia="en-GB"/>
        </w:rPr>
        <w:t>3</w:t>
      </w:r>
      <w:r w:rsidR="001C0375" w:rsidRPr="00661110">
        <w:rPr>
          <w:rFonts w:ascii="Arial" w:hAnsi="Arial" w:cs="Arial"/>
          <w:lang w:eastAsia="en-GB"/>
        </w:rPr>
        <w:t>.8</w:t>
      </w:r>
      <w:r w:rsidR="004969C1">
        <w:rPr>
          <w:rFonts w:ascii="Arial" w:hAnsi="Arial" w:cs="Arial"/>
          <w:lang w:eastAsia="en-GB"/>
        </w:rPr>
        <w:t xml:space="preserve"> in the appendix</w:t>
      </w:r>
      <w:r w:rsidR="00652434">
        <w:rPr>
          <w:rFonts w:ascii="Arial" w:hAnsi="Arial" w:cs="Arial"/>
          <w:lang w:eastAsia="en-GB"/>
        </w:rPr>
        <w:t xml:space="preserve"> A</w:t>
      </w:r>
      <w:r w:rsidRPr="008204CC">
        <w:rPr>
          <w:rFonts w:ascii="Arial" w:hAnsi="Arial" w:cs="Arial"/>
          <w:lang w:eastAsia="en-GB"/>
        </w:rPr>
        <w:t>, the exchange rate was overvalue</w:t>
      </w:r>
      <w:r>
        <w:rPr>
          <w:rFonts w:ascii="Arial" w:hAnsi="Arial" w:cs="Arial"/>
          <w:lang w:eastAsia="en-GB"/>
        </w:rPr>
        <w:t>d</w:t>
      </w:r>
      <w:r w:rsidRPr="008204CC">
        <w:rPr>
          <w:rFonts w:ascii="Arial" w:hAnsi="Arial" w:cs="Arial"/>
          <w:lang w:eastAsia="en-GB"/>
        </w:rPr>
        <w:t xml:space="preserve"> in 1980 by </w:t>
      </w:r>
      <w:r>
        <w:rPr>
          <w:rFonts w:ascii="Arial" w:hAnsi="Arial" w:cs="Arial"/>
          <w:lang w:eastAsia="en-GB"/>
        </w:rPr>
        <w:t>(</w:t>
      </w:r>
      <w:r w:rsidRPr="008204CC">
        <w:rPr>
          <w:rFonts w:ascii="Arial" w:hAnsi="Arial" w:cs="Arial"/>
          <w:lang w:eastAsia="en-GB"/>
        </w:rPr>
        <w:t>7.44%</w:t>
      </w:r>
      <w:r>
        <w:rPr>
          <w:rFonts w:ascii="Arial" w:hAnsi="Arial" w:cs="Arial"/>
          <w:lang w:eastAsia="en-GB"/>
        </w:rPr>
        <w:t>)</w:t>
      </w:r>
      <w:r w:rsidRPr="008204CC">
        <w:rPr>
          <w:rFonts w:ascii="Arial" w:hAnsi="Arial" w:cs="Arial"/>
          <w:lang w:eastAsia="en-GB"/>
        </w:rPr>
        <w:t>. From 1981 to 1985, the currency was undervalued with the lowest value being (-12.12%) in 1982. From 1986 till 1993</w:t>
      </w:r>
      <w:r w:rsidR="00800E59">
        <w:rPr>
          <w:rFonts w:ascii="Arial" w:hAnsi="Arial" w:cs="Arial"/>
          <w:lang w:eastAsia="en-GB"/>
        </w:rPr>
        <w:t>,</w:t>
      </w:r>
      <w:r w:rsidRPr="008204CC">
        <w:rPr>
          <w:rFonts w:ascii="Arial" w:hAnsi="Arial" w:cs="Arial"/>
          <w:lang w:eastAsia="en-GB"/>
        </w:rPr>
        <w:t xml:space="preserve"> prior to the 1994 devaluation, the currency was overvalued</w:t>
      </w:r>
      <w:r w:rsidR="00985DA5">
        <w:rPr>
          <w:rFonts w:ascii="Arial" w:hAnsi="Arial" w:cs="Arial"/>
          <w:lang w:eastAsia="en-GB"/>
        </w:rPr>
        <w:t>,</w:t>
      </w:r>
      <w:r w:rsidRPr="008204CC">
        <w:rPr>
          <w:rFonts w:ascii="Arial" w:hAnsi="Arial" w:cs="Arial"/>
          <w:lang w:eastAsia="en-GB"/>
        </w:rPr>
        <w:t xml:space="preserve"> with the highest overvaluation being </w:t>
      </w:r>
      <w:r>
        <w:rPr>
          <w:rFonts w:ascii="Arial" w:hAnsi="Arial" w:cs="Arial"/>
          <w:lang w:eastAsia="en-GB"/>
        </w:rPr>
        <w:t>(</w:t>
      </w:r>
      <w:r w:rsidRPr="008204CC">
        <w:rPr>
          <w:rFonts w:ascii="Arial" w:hAnsi="Arial" w:cs="Arial"/>
          <w:lang w:eastAsia="en-GB"/>
        </w:rPr>
        <w:t>21.73%</w:t>
      </w:r>
      <w:r>
        <w:rPr>
          <w:rFonts w:ascii="Arial" w:hAnsi="Arial" w:cs="Arial"/>
          <w:lang w:eastAsia="en-GB"/>
        </w:rPr>
        <w:t>)</w:t>
      </w:r>
      <w:r w:rsidRPr="008204CC">
        <w:rPr>
          <w:rFonts w:ascii="Arial" w:hAnsi="Arial" w:cs="Arial"/>
          <w:lang w:eastAsia="en-GB"/>
        </w:rPr>
        <w:t xml:space="preserve"> in 1987 and the lowest overvaluation being </w:t>
      </w:r>
      <w:r>
        <w:rPr>
          <w:rFonts w:ascii="Arial" w:hAnsi="Arial" w:cs="Arial"/>
          <w:lang w:eastAsia="en-GB"/>
        </w:rPr>
        <w:t>(</w:t>
      </w:r>
      <w:r w:rsidRPr="008204CC">
        <w:rPr>
          <w:rFonts w:ascii="Arial" w:hAnsi="Arial" w:cs="Arial"/>
          <w:lang w:eastAsia="en-GB"/>
        </w:rPr>
        <w:t>4.95%</w:t>
      </w:r>
      <w:r>
        <w:rPr>
          <w:rFonts w:ascii="Arial" w:hAnsi="Arial" w:cs="Arial"/>
          <w:lang w:eastAsia="en-GB"/>
        </w:rPr>
        <w:t>)</w:t>
      </w:r>
      <w:r w:rsidRPr="008204CC">
        <w:rPr>
          <w:rFonts w:ascii="Arial" w:hAnsi="Arial" w:cs="Arial"/>
          <w:lang w:eastAsia="en-GB"/>
        </w:rPr>
        <w:t xml:space="preserve"> in 1986, which </w:t>
      </w:r>
      <w:r w:rsidR="00E31764">
        <w:rPr>
          <w:rFonts w:ascii="Arial" w:hAnsi="Arial" w:cs="Arial"/>
          <w:lang w:eastAsia="en-GB"/>
        </w:rPr>
        <w:t>is</w:t>
      </w:r>
      <w:r w:rsidRPr="008204CC">
        <w:rPr>
          <w:rFonts w:ascii="Arial" w:hAnsi="Arial" w:cs="Arial"/>
          <w:lang w:eastAsia="en-GB"/>
        </w:rPr>
        <w:t xml:space="preserve"> at equilibrium since we s</w:t>
      </w:r>
      <w:r>
        <w:rPr>
          <w:rFonts w:ascii="Arial" w:hAnsi="Arial" w:cs="Arial"/>
          <w:lang w:eastAsia="en-GB"/>
        </w:rPr>
        <w:t>tated that values within |5%| are</w:t>
      </w:r>
      <w:r w:rsidRPr="008204CC">
        <w:rPr>
          <w:rFonts w:ascii="Arial" w:hAnsi="Arial" w:cs="Arial"/>
          <w:lang w:eastAsia="en-GB"/>
        </w:rPr>
        <w:t xml:space="preserve"> at equilibrium. The </w:t>
      </w:r>
      <w:r w:rsidR="00846F75" w:rsidRPr="008204CC">
        <w:rPr>
          <w:rFonts w:ascii="Arial" w:hAnsi="Arial" w:cs="Arial"/>
          <w:lang w:eastAsia="en-GB"/>
        </w:rPr>
        <w:t>12</w:t>
      </w:r>
      <w:r w:rsidR="00846F75" w:rsidRPr="008204CC">
        <w:rPr>
          <w:rFonts w:ascii="Arial" w:hAnsi="Arial" w:cs="Arial"/>
          <w:vertAlign w:val="superscript"/>
          <w:lang w:eastAsia="en-GB"/>
        </w:rPr>
        <w:t xml:space="preserve">th </w:t>
      </w:r>
      <w:r w:rsidRPr="008204CC">
        <w:rPr>
          <w:rFonts w:ascii="Arial" w:hAnsi="Arial" w:cs="Arial"/>
          <w:lang w:eastAsia="en-GB"/>
        </w:rPr>
        <w:t>January 1994 CFA franc devaluation by 50% cause</w:t>
      </w:r>
      <w:r w:rsidR="00FC70B9">
        <w:rPr>
          <w:rFonts w:ascii="Arial" w:hAnsi="Arial" w:cs="Arial"/>
          <w:lang w:eastAsia="en-GB"/>
        </w:rPr>
        <w:t>d</w:t>
      </w:r>
      <w:r w:rsidRPr="008204CC">
        <w:rPr>
          <w:rFonts w:ascii="Arial" w:hAnsi="Arial" w:cs="Arial"/>
          <w:lang w:eastAsia="en-GB"/>
        </w:rPr>
        <w:t xml:space="preserve"> the currency to be undervalue</w:t>
      </w:r>
      <w:r w:rsidR="00FC70B9">
        <w:rPr>
          <w:rFonts w:ascii="Arial" w:hAnsi="Arial" w:cs="Arial"/>
          <w:lang w:eastAsia="en-GB"/>
        </w:rPr>
        <w:t>d</w:t>
      </w:r>
      <w:r w:rsidRPr="008204CC">
        <w:rPr>
          <w:rFonts w:ascii="Arial" w:hAnsi="Arial" w:cs="Arial"/>
          <w:lang w:eastAsia="en-GB"/>
        </w:rPr>
        <w:t xml:space="preserve"> by (-30.67%), which is the lowest value experience</w:t>
      </w:r>
      <w:r w:rsidR="00D51735">
        <w:rPr>
          <w:rFonts w:ascii="Arial" w:hAnsi="Arial" w:cs="Arial"/>
          <w:lang w:eastAsia="en-GB"/>
        </w:rPr>
        <w:t>d</w:t>
      </w:r>
      <w:r w:rsidRPr="008204CC">
        <w:rPr>
          <w:rFonts w:ascii="Arial" w:hAnsi="Arial" w:cs="Arial"/>
          <w:lang w:eastAsia="en-GB"/>
        </w:rPr>
        <w:t xml:space="preserve"> throughout the research period. This means that though the currency was overvalued by </w:t>
      </w:r>
      <w:r>
        <w:rPr>
          <w:rFonts w:ascii="Arial" w:hAnsi="Arial" w:cs="Arial"/>
          <w:lang w:eastAsia="en-GB"/>
        </w:rPr>
        <w:t>(</w:t>
      </w:r>
      <w:r w:rsidRPr="008204CC">
        <w:rPr>
          <w:rFonts w:ascii="Arial" w:hAnsi="Arial" w:cs="Arial"/>
          <w:lang w:eastAsia="en-GB"/>
        </w:rPr>
        <w:t>12.36%</w:t>
      </w:r>
      <w:r>
        <w:rPr>
          <w:rFonts w:ascii="Arial" w:hAnsi="Arial" w:cs="Arial"/>
          <w:lang w:eastAsia="en-GB"/>
        </w:rPr>
        <w:t>)</w:t>
      </w:r>
      <w:r w:rsidRPr="008204CC">
        <w:rPr>
          <w:rFonts w:ascii="Arial" w:hAnsi="Arial" w:cs="Arial"/>
          <w:lang w:eastAsia="en-GB"/>
        </w:rPr>
        <w:t xml:space="preserve"> in 1993, the 1994 devaluation was much more than the required amount. As such, after the devaluation</w:t>
      </w:r>
      <w:r w:rsidR="00963C32">
        <w:rPr>
          <w:rFonts w:ascii="Arial" w:hAnsi="Arial" w:cs="Arial"/>
          <w:lang w:eastAsia="en-GB"/>
        </w:rPr>
        <w:t>,</w:t>
      </w:r>
      <w:r w:rsidRPr="008204CC">
        <w:rPr>
          <w:rFonts w:ascii="Arial" w:hAnsi="Arial" w:cs="Arial"/>
          <w:lang w:eastAsia="en-GB"/>
        </w:rPr>
        <w:t xml:space="preserve"> the currency was not at its equilibrium but rather was undervalue</w:t>
      </w:r>
      <w:r w:rsidR="00E42BF2">
        <w:rPr>
          <w:rFonts w:ascii="Arial" w:hAnsi="Arial" w:cs="Arial"/>
          <w:lang w:eastAsia="en-GB"/>
        </w:rPr>
        <w:t>d</w:t>
      </w:r>
      <w:r w:rsidRPr="008204CC">
        <w:rPr>
          <w:rFonts w:ascii="Arial" w:hAnsi="Arial" w:cs="Arial"/>
          <w:lang w:eastAsia="en-GB"/>
        </w:rPr>
        <w:t xml:space="preserve"> by (-30.67%). It took four years for the devaluation to go off and for the currency to start revolving around its equilibrium at a 5% interval (i.e., the currency was undervalued between the period 1994 with a value of -30.67% to the year 1997 with value -9.11%). From 1998 onward, the currency revolved around its equilibrium </w:t>
      </w:r>
      <w:r w:rsidR="00590CEF">
        <w:rPr>
          <w:rFonts w:ascii="Arial" w:hAnsi="Arial" w:cs="Arial"/>
          <w:lang w:eastAsia="en-GB"/>
        </w:rPr>
        <w:t>(</w:t>
      </w:r>
      <w:r w:rsidRPr="008204CC">
        <w:rPr>
          <w:rFonts w:ascii="Arial" w:hAnsi="Arial" w:cs="Arial"/>
          <w:lang w:eastAsia="en-GB"/>
        </w:rPr>
        <w:t>at a 5% within its equilibrium</w:t>
      </w:r>
      <w:r w:rsidR="00590CEF">
        <w:rPr>
          <w:rFonts w:ascii="Arial" w:hAnsi="Arial" w:cs="Arial"/>
          <w:lang w:eastAsia="en-GB"/>
        </w:rPr>
        <w:t>)</w:t>
      </w:r>
      <w:r w:rsidRPr="008204CC">
        <w:rPr>
          <w:rFonts w:ascii="Arial" w:hAnsi="Arial" w:cs="Arial"/>
          <w:lang w:eastAsia="en-GB"/>
        </w:rPr>
        <w:t>, with some few years of misalignment (the year</w:t>
      </w:r>
      <w:r>
        <w:rPr>
          <w:rFonts w:ascii="Arial" w:hAnsi="Arial" w:cs="Arial"/>
          <w:lang w:eastAsia="en-GB"/>
        </w:rPr>
        <w:t xml:space="preserve"> 2000 had an undervaluation of </w:t>
      </w:r>
      <w:r w:rsidRPr="008204CC">
        <w:rPr>
          <w:rFonts w:ascii="Arial" w:hAnsi="Arial" w:cs="Arial"/>
          <w:lang w:eastAsia="en-GB"/>
        </w:rPr>
        <w:t>-5.80%</w:t>
      </w:r>
      <w:r w:rsidR="00846F75">
        <w:rPr>
          <w:rFonts w:ascii="Arial" w:hAnsi="Arial" w:cs="Arial"/>
          <w:lang w:eastAsia="en-GB"/>
        </w:rPr>
        <w:t xml:space="preserve"> - post euro</w:t>
      </w:r>
      <w:r w:rsidRPr="008204CC">
        <w:rPr>
          <w:rFonts w:ascii="Arial" w:hAnsi="Arial" w:cs="Arial"/>
          <w:lang w:eastAsia="en-GB"/>
        </w:rPr>
        <w:t>, and the year 2009 had an overvaluation of 5.91%</w:t>
      </w:r>
      <w:r w:rsidR="006D0ACF">
        <w:rPr>
          <w:rFonts w:ascii="Arial" w:hAnsi="Arial" w:cs="Arial"/>
          <w:lang w:eastAsia="en-GB"/>
        </w:rPr>
        <w:t xml:space="preserve"> - post 2008 </w:t>
      </w:r>
      <w:r w:rsidR="00876A32">
        <w:rPr>
          <w:rFonts w:ascii="Arial" w:hAnsi="Arial" w:cs="Arial"/>
          <w:lang w:eastAsia="en-GB"/>
        </w:rPr>
        <w:t xml:space="preserve">global </w:t>
      </w:r>
      <w:r w:rsidR="006D0ACF">
        <w:rPr>
          <w:rFonts w:ascii="Arial" w:hAnsi="Arial" w:cs="Arial"/>
          <w:lang w:eastAsia="en-GB"/>
        </w:rPr>
        <w:t xml:space="preserve">financial </w:t>
      </w:r>
      <w:r w:rsidR="00876A32">
        <w:rPr>
          <w:rFonts w:ascii="Arial" w:hAnsi="Arial" w:cs="Arial"/>
          <w:lang w:eastAsia="en-GB"/>
        </w:rPr>
        <w:t>crisis</w:t>
      </w:r>
      <w:r w:rsidRPr="008204CC">
        <w:rPr>
          <w:rFonts w:ascii="Arial" w:hAnsi="Arial" w:cs="Arial"/>
          <w:lang w:eastAsia="en-GB"/>
        </w:rPr>
        <w:t xml:space="preserve">). As of </w:t>
      </w:r>
      <w:r w:rsidR="00A66EDD">
        <w:rPr>
          <w:rFonts w:ascii="Arial" w:hAnsi="Arial" w:cs="Arial"/>
          <w:lang w:eastAsia="en-GB"/>
        </w:rPr>
        <w:t xml:space="preserve">the </w:t>
      </w:r>
      <w:r w:rsidR="00A66EDD">
        <w:rPr>
          <w:rFonts w:ascii="Arial" w:hAnsi="Arial" w:cs="Arial"/>
          <w:lang w:eastAsia="en-GB"/>
        </w:rPr>
        <w:lastRenderedPageBreak/>
        <w:t xml:space="preserve">year </w:t>
      </w:r>
      <w:r w:rsidRPr="008204CC">
        <w:rPr>
          <w:rFonts w:ascii="Arial" w:hAnsi="Arial" w:cs="Arial"/>
          <w:lang w:eastAsia="en-GB"/>
        </w:rPr>
        <w:t xml:space="preserve">2018, the currency was 1.85% above its equilibrium value, which means the actual REER revolves around the equilibrium REER (BEER) </w:t>
      </w:r>
      <w:r>
        <w:rPr>
          <w:rFonts w:ascii="Arial" w:hAnsi="Arial" w:cs="Arial"/>
          <w:lang w:eastAsia="en-GB"/>
        </w:rPr>
        <w:t>as</w:t>
      </w:r>
      <w:r w:rsidRPr="008204CC">
        <w:rPr>
          <w:rFonts w:ascii="Arial" w:hAnsi="Arial" w:cs="Arial"/>
          <w:lang w:eastAsia="en-GB"/>
        </w:rPr>
        <w:t xml:space="preserve"> presented </w:t>
      </w:r>
      <w:r w:rsidR="004058FE">
        <w:rPr>
          <w:rFonts w:ascii="Arial" w:hAnsi="Arial" w:cs="Arial"/>
          <w:lang w:eastAsia="en-GB"/>
        </w:rPr>
        <w:t>i</w:t>
      </w:r>
      <w:r>
        <w:rPr>
          <w:rFonts w:ascii="Arial" w:hAnsi="Arial" w:cs="Arial"/>
          <w:lang w:eastAsia="en-GB"/>
        </w:rPr>
        <w:t>n the graphs below</w:t>
      </w:r>
      <w:r w:rsidRPr="008204CC">
        <w:rPr>
          <w:rFonts w:ascii="Arial" w:hAnsi="Arial" w:cs="Arial"/>
          <w:lang w:eastAsia="en-GB"/>
        </w:rPr>
        <w:t xml:space="preserve">. Thus, as </w:t>
      </w:r>
      <w:r w:rsidR="00D128D0">
        <w:rPr>
          <w:rFonts w:ascii="Arial" w:hAnsi="Arial" w:cs="Arial"/>
          <w:lang w:eastAsia="en-GB"/>
        </w:rPr>
        <w:t>of</w:t>
      </w:r>
      <w:r w:rsidRPr="008204CC">
        <w:rPr>
          <w:rFonts w:ascii="Arial" w:hAnsi="Arial" w:cs="Arial"/>
          <w:lang w:eastAsia="en-GB"/>
        </w:rPr>
        <w:t xml:space="preserve"> the year 2018, the CFA franc was at equilibrium, meaning that Cameroon government via its Central bank should not be concern</w:t>
      </w:r>
      <w:r w:rsidR="009E5808">
        <w:rPr>
          <w:rFonts w:ascii="Arial" w:hAnsi="Arial" w:cs="Arial"/>
          <w:lang w:eastAsia="en-GB"/>
        </w:rPr>
        <w:t>ed</w:t>
      </w:r>
      <w:r w:rsidRPr="008204CC">
        <w:rPr>
          <w:rFonts w:ascii="Arial" w:hAnsi="Arial" w:cs="Arial"/>
          <w:lang w:eastAsia="en-GB"/>
        </w:rPr>
        <w:t xml:space="preserve"> about the state of the currency. Nevertheless, since there is no fix</w:t>
      </w:r>
      <w:r w:rsidR="009E5808">
        <w:rPr>
          <w:rFonts w:ascii="Arial" w:hAnsi="Arial" w:cs="Arial"/>
          <w:lang w:eastAsia="en-GB"/>
        </w:rPr>
        <w:t>ed</w:t>
      </w:r>
      <w:r w:rsidRPr="008204CC">
        <w:rPr>
          <w:rFonts w:ascii="Arial" w:hAnsi="Arial" w:cs="Arial"/>
          <w:lang w:eastAsia="en-GB"/>
        </w:rPr>
        <w:t xml:space="preserve"> exchange rate, the central bank </w:t>
      </w:r>
      <w:r>
        <w:rPr>
          <w:rFonts w:ascii="Arial" w:hAnsi="Arial" w:cs="Arial"/>
          <w:lang w:eastAsia="en-GB"/>
        </w:rPr>
        <w:t>ought</w:t>
      </w:r>
      <w:r w:rsidRPr="008204CC">
        <w:rPr>
          <w:rFonts w:ascii="Arial" w:hAnsi="Arial" w:cs="Arial"/>
          <w:lang w:eastAsia="en-GB"/>
        </w:rPr>
        <w:t xml:space="preserve"> to be vigilant and proactive to identify any major movement in the currency and improvise for possible amendments.  </w:t>
      </w:r>
    </w:p>
    <w:p w14:paraId="7ECD52DE" w14:textId="77777777" w:rsidR="00806598" w:rsidRPr="00D6147C" w:rsidRDefault="00806598" w:rsidP="0066301C">
      <w:pPr>
        <w:tabs>
          <w:tab w:val="left" w:pos="2640"/>
        </w:tabs>
        <w:spacing w:line="360" w:lineRule="auto"/>
        <w:jc w:val="both"/>
        <w:rPr>
          <w:rFonts w:ascii="Arial" w:hAnsi="Arial" w:cs="Arial"/>
          <w:b/>
          <w:u w:val="single"/>
          <w:lang w:eastAsia="en-GB"/>
        </w:rPr>
      </w:pPr>
      <w:r>
        <w:rPr>
          <w:rFonts w:ascii="Arial" w:hAnsi="Arial" w:cs="Arial"/>
          <w:b/>
          <w:u w:val="single"/>
          <w:lang w:eastAsia="en-GB"/>
        </w:rPr>
        <w:t>CAR</w:t>
      </w:r>
    </w:p>
    <w:p w14:paraId="25F102F0" w14:textId="1B676F41" w:rsidR="00806598" w:rsidRDefault="00806598" w:rsidP="0066301C">
      <w:pPr>
        <w:spacing w:after="200" w:line="360" w:lineRule="auto"/>
        <w:jc w:val="both"/>
        <w:rPr>
          <w:rFonts w:ascii="Arial" w:hAnsi="Arial" w:cs="Arial"/>
          <w:lang w:eastAsia="en-GB"/>
        </w:rPr>
      </w:pPr>
      <w:r w:rsidRPr="008204CC">
        <w:rPr>
          <w:rFonts w:ascii="Arial" w:hAnsi="Arial" w:cs="Arial"/>
          <w:lang w:eastAsia="en-GB"/>
        </w:rPr>
        <w:t xml:space="preserve">From CAR result of the HP filter, the exchange rate was overvalued in the year 1980 by </w:t>
      </w:r>
      <w:r>
        <w:rPr>
          <w:rFonts w:ascii="Arial" w:hAnsi="Arial" w:cs="Arial"/>
          <w:lang w:eastAsia="en-GB"/>
        </w:rPr>
        <w:t>(</w:t>
      </w:r>
      <w:r w:rsidRPr="008204CC">
        <w:rPr>
          <w:rFonts w:ascii="Arial" w:hAnsi="Arial" w:cs="Arial"/>
          <w:lang w:eastAsia="en-GB"/>
        </w:rPr>
        <w:t>9.80%</w:t>
      </w:r>
      <w:r>
        <w:rPr>
          <w:rFonts w:ascii="Arial" w:hAnsi="Arial" w:cs="Arial"/>
          <w:lang w:eastAsia="en-GB"/>
        </w:rPr>
        <w:t>)</w:t>
      </w:r>
      <w:r w:rsidRPr="008204CC">
        <w:rPr>
          <w:rFonts w:ascii="Arial" w:hAnsi="Arial" w:cs="Arial"/>
          <w:lang w:eastAsia="en-GB"/>
        </w:rPr>
        <w:t xml:space="preserve"> as seen </w:t>
      </w:r>
      <w:r w:rsidR="00F10BDD">
        <w:rPr>
          <w:rFonts w:ascii="Arial" w:hAnsi="Arial" w:cs="Arial"/>
          <w:lang w:eastAsia="en-GB"/>
        </w:rPr>
        <w:t>o</w:t>
      </w:r>
      <w:r w:rsidR="00652434">
        <w:rPr>
          <w:rFonts w:ascii="Arial" w:hAnsi="Arial" w:cs="Arial"/>
          <w:lang w:eastAsia="en-GB"/>
        </w:rPr>
        <w:t>n</w:t>
      </w:r>
      <w:r w:rsidR="00652434" w:rsidRPr="008204CC">
        <w:rPr>
          <w:rFonts w:ascii="Arial" w:hAnsi="Arial" w:cs="Arial"/>
          <w:lang w:eastAsia="en-GB"/>
        </w:rPr>
        <w:t xml:space="preserve"> </w:t>
      </w:r>
      <w:r w:rsidR="00652434" w:rsidRPr="00661110">
        <w:rPr>
          <w:rFonts w:ascii="Arial" w:hAnsi="Arial" w:cs="Arial"/>
          <w:lang w:eastAsia="en-GB"/>
        </w:rPr>
        <w:t xml:space="preserve">table </w:t>
      </w:r>
      <w:r w:rsidR="00652434">
        <w:rPr>
          <w:rFonts w:ascii="Arial" w:hAnsi="Arial" w:cs="Arial"/>
          <w:lang w:eastAsia="en-GB"/>
        </w:rPr>
        <w:t>3</w:t>
      </w:r>
      <w:r w:rsidR="00652434" w:rsidRPr="00661110">
        <w:rPr>
          <w:rFonts w:ascii="Arial" w:hAnsi="Arial" w:cs="Arial"/>
          <w:lang w:eastAsia="en-GB"/>
        </w:rPr>
        <w:t>.8</w:t>
      </w:r>
      <w:r w:rsidR="00652434">
        <w:rPr>
          <w:rFonts w:ascii="Arial" w:hAnsi="Arial" w:cs="Arial"/>
          <w:lang w:eastAsia="en-GB"/>
        </w:rPr>
        <w:t xml:space="preserve"> in the appendix A</w:t>
      </w:r>
      <w:r w:rsidRPr="00D3381F">
        <w:rPr>
          <w:rFonts w:ascii="Arial" w:hAnsi="Arial" w:cs="Arial"/>
          <w:lang w:eastAsia="en-GB"/>
        </w:rPr>
        <w:t>.</w:t>
      </w:r>
      <w:r w:rsidRPr="008204CC">
        <w:rPr>
          <w:rFonts w:ascii="Arial" w:hAnsi="Arial" w:cs="Arial"/>
          <w:lang w:eastAsia="en-GB"/>
        </w:rPr>
        <w:t xml:space="preserve"> From the year 1981 to 1984, the currency was undervalued</w:t>
      </w:r>
      <w:r w:rsidR="003B057B">
        <w:rPr>
          <w:rFonts w:ascii="Arial" w:hAnsi="Arial" w:cs="Arial"/>
          <w:lang w:eastAsia="en-GB"/>
        </w:rPr>
        <w:t>,</w:t>
      </w:r>
      <w:r w:rsidRPr="008204CC">
        <w:rPr>
          <w:rFonts w:ascii="Arial" w:hAnsi="Arial" w:cs="Arial"/>
          <w:lang w:eastAsia="en-GB"/>
        </w:rPr>
        <w:t xml:space="preserve"> with the lowest value being (-11.98%) in 1981. From 1985 till 1993</w:t>
      </w:r>
      <w:r w:rsidR="00AB099E">
        <w:rPr>
          <w:rFonts w:ascii="Arial" w:hAnsi="Arial" w:cs="Arial"/>
          <w:lang w:eastAsia="en-GB"/>
        </w:rPr>
        <w:t>,</w:t>
      </w:r>
      <w:r w:rsidRPr="008204CC">
        <w:rPr>
          <w:rFonts w:ascii="Arial" w:hAnsi="Arial" w:cs="Arial"/>
          <w:lang w:eastAsia="en-GB"/>
        </w:rPr>
        <w:t xml:space="preserve"> prior to the 1994 devaluation, the currency was overvalued</w:t>
      </w:r>
      <w:r w:rsidR="00AB099E">
        <w:rPr>
          <w:rFonts w:ascii="Arial" w:hAnsi="Arial" w:cs="Arial"/>
          <w:lang w:eastAsia="en-GB"/>
        </w:rPr>
        <w:t>,</w:t>
      </w:r>
      <w:r w:rsidRPr="008204CC">
        <w:rPr>
          <w:rFonts w:ascii="Arial" w:hAnsi="Arial" w:cs="Arial"/>
          <w:lang w:eastAsia="en-GB"/>
        </w:rPr>
        <w:t xml:space="preserve"> with the highest overvaluation being </w:t>
      </w:r>
      <w:r>
        <w:rPr>
          <w:rFonts w:ascii="Arial" w:hAnsi="Arial" w:cs="Arial"/>
          <w:lang w:eastAsia="en-GB"/>
        </w:rPr>
        <w:t>(</w:t>
      </w:r>
      <w:r w:rsidRPr="008204CC">
        <w:rPr>
          <w:rFonts w:ascii="Arial" w:hAnsi="Arial" w:cs="Arial"/>
          <w:lang w:eastAsia="en-GB"/>
        </w:rPr>
        <w:t>18.6%</w:t>
      </w:r>
      <w:r>
        <w:rPr>
          <w:rFonts w:ascii="Arial" w:hAnsi="Arial" w:cs="Arial"/>
          <w:lang w:eastAsia="en-GB"/>
        </w:rPr>
        <w:t>)</w:t>
      </w:r>
      <w:r w:rsidRPr="008204CC">
        <w:rPr>
          <w:rFonts w:ascii="Arial" w:hAnsi="Arial" w:cs="Arial"/>
          <w:lang w:eastAsia="en-GB"/>
        </w:rPr>
        <w:t xml:space="preserve"> in the year 1986 and the lowest overvaluation being </w:t>
      </w:r>
      <w:r>
        <w:rPr>
          <w:rFonts w:ascii="Arial" w:hAnsi="Arial" w:cs="Arial"/>
          <w:lang w:eastAsia="en-GB"/>
        </w:rPr>
        <w:t>(</w:t>
      </w:r>
      <w:r w:rsidRPr="008204CC">
        <w:rPr>
          <w:rFonts w:ascii="Arial" w:hAnsi="Arial" w:cs="Arial"/>
          <w:lang w:eastAsia="en-GB"/>
        </w:rPr>
        <w:t>1.25%</w:t>
      </w:r>
      <w:r>
        <w:rPr>
          <w:rFonts w:ascii="Arial" w:hAnsi="Arial" w:cs="Arial"/>
          <w:lang w:eastAsia="en-GB"/>
        </w:rPr>
        <w:t>)</w:t>
      </w:r>
      <w:r w:rsidRPr="008204CC">
        <w:rPr>
          <w:rFonts w:ascii="Arial" w:hAnsi="Arial" w:cs="Arial"/>
          <w:lang w:eastAsia="en-GB"/>
        </w:rPr>
        <w:t xml:space="preserve"> in 1989. I</w:t>
      </w:r>
      <w:r w:rsidRPr="008204CC">
        <w:rPr>
          <w:rFonts w:ascii="Arial" w:hAnsi="Arial" w:cs="Arial"/>
        </w:rPr>
        <w:t>n 1993</w:t>
      </w:r>
      <w:r w:rsidR="009C1EEE">
        <w:rPr>
          <w:rFonts w:ascii="Arial" w:hAnsi="Arial" w:cs="Arial"/>
        </w:rPr>
        <w:t>,</w:t>
      </w:r>
      <w:r w:rsidRPr="008204CC">
        <w:rPr>
          <w:rFonts w:ascii="Arial" w:hAnsi="Arial" w:cs="Arial"/>
        </w:rPr>
        <w:t xml:space="preserve"> prior to the devaluation, the CFA franc was </w:t>
      </w:r>
      <w:r>
        <w:rPr>
          <w:rFonts w:ascii="Arial" w:hAnsi="Arial" w:cs="Arial"/>
        </w:rPr>
        <w:t>(</w:t>
      </w:r>
      <w:r w:rsidRPr="008204CC">
        <w:rPr>
          <w:rFonts w:ascii="Arial" w:hAnsi="Arial" w:cs="Arial"/>
        </w:rPr>
        <w:t>9.68%</w:t>
      </w:r>
      <w:r>
        <w:rPr>
          <w:rFonts w:ascii="Arial" w:hAnsi="Arial" w:cs="Arial"/>
        </w:rPr>
        <w:t>)</w:t>
      </w:r>
      <w:r w:rsidRPr="008204CC">
        <w:rPr>
          <w:rFonts w:ascii="Arial" w:hAnsi="Arial" w:cs="Arial"/>
        </w:rPr>
        <w:t xml:space="preserve"> overvalued. </w:t>
      </w:r>
      <w:r w:rsidRPr="008204CC">
        <w:rPr>
          <w:rFonts w:ascii="Arial" w:hAnsi="Arial" w:cs="Arial"/>
          <w:lang w:eastAsia="en-GB"/>
        </w:rPr>
        <w:t>The 1994 CFA franc devaluation by 50% caused the currency to be undervalue</w:t>
      </w:r>
      <w:r w:rsidR="003A0FA1">
        <w:rPr>
          <w:rFonts w:ascii="Arial" w:hAnsi="Arial" w:cs="Arial"/>
          <w:lang w:eastAsia="en-GB"/>
        </w:rPr>
        <w:t>d</w:t>
      </w:r>
      <w:r w:rsidRPr="008204CC">
        <w:rPr>
          <w:rFonts w:ascii="Arial" w:hAnsi="Arial" w:cs="Arial"/>
          <w:lang w:eastAsia="en-GB"/>
        </w:rPr>
        <w:t xml:space="preserve"> by (-32.46%), which is the lowest value experience</w:t>
      </w:r>
      <w:r w:rsidR="00590CEF">
        <w:rPr>
          <w:rFonts w:ascii="Arial" w:hAnsi="Arial" w:cs="Arial"/>
          <w:lang w:eastAsia="en-GB"/>
        </w:rPr>
        <w:t>d</w:t>
      </w:r>
      <w:r w:rsidRPr="008204CC">
        <w:rPr>
          <w:rFonts w:ascii="Arial" w:hAnsi="Arial" w:cs="Arial"/>
          <w:lang w:eastAsia="en-GB"/>
        </w:rPr>
        <w:t xml:space="preserve"> throughout the research period. It took just two years for the currency to recover from the undervaluation and converge around the equilibrium REER (i.e., the currency was undervalued in </w:t>
      </w:r>
      <w:r w:rsidR="000349DB">
        <w:rPr>
          <w:rFonts w:ascii="Arial" w:hAnsi="Arial" w:cs="Arial"/>
          <w:lang w:eastAsia="en-GB"/>
        </w:rPr>
        <w:t>the</w:t>
      </w:r>
      <w:r w:rsidRPr="008204CC">
        <w:rPr>
          <w:rFonts w:ascii="Arial" w:hAnsi="Arial" w:cs="Arial"/>
          <w:lang w:eastAsia="en-GB"/>
        </w:rPr>
        <w:t xml:space="preserve"> periods 1994 and 1995 by -32.46% and -10.98%</w:t>
      </w:r>
      <w:r w:rsidR="00510B42">
        <w:rPr>
          <w:rFonts w:ascii="Arial" w:hAnsi="Arial" w:cs="Arial"/>
          <w:lang w:eastAsia="en-GB"/>
        </w:rPr>
        <w:t>,</w:t>
      </w:r>
      <w:r w:rsidRPr="008204CC">
        <w:rPr>
          <w:rFonts w:ascii="Arial" w:hAnsi="Arial" w:cs="Arial"/>
          <w:lang w:eastAsia="en-GB"/>
        </w:rPr>
        <w:t xml:space="preserve"> respectively).  From 1996 onward, the currency revolved around its equilibrium with three period</w:t>
      </w:r>
      <w:r w:rsidR="00510B42">
        <w:rPr>
          <w:rFonts w:ascii="Arial" w:hAnsi="Arial" w:cs="Arial"/>
          <w:lang w:eastAsia="en-GB"/>
        </w:rPr>
        <w:t>s</w:t>
      </w:r>
      <w:r w:rsidRPr="008204CC">
        <w:rPr>
          <w:rFonts w:ascii="Arial" w:hAnsi="Arial" w:cs="Arial"/>
          <w:lang w:eastAsia="en-GB"/>
        </w:rPr>
        <w:t xml:space="preserve"> of overvaluation (i.e., the years 2003, 2008, and 2009 were overvalued by 5.78%, 6.33%, and 6.83% respectively, whereby the 5% trench-hold is surpassed). In the year 2011, the currency was undervalued by (-5.14%). As of</w:t>
      </w:r>
      <w:r>
        <w:rPr>
          <w:rFonts w:ascii="Arial" w:hAnsi="Arial" w:cs="Arial"/>
          <w:lang w:eastAsia="en-GB"/>
        </w:rPr>
        <w:t xml:space="preserve"> the year</w:t>
      </w:r>
      <w:r w:rsidRPr="008204CC">
        <w:rPr>
          <w:rFonts w:ascii="Arial" w:hAnsi="Arial" w:cs="Arial"/>
          <w:lang w:eastAsia="en-GB"/>
        </w:rPr>
        <w:t xml:space="preserve"> 2018, the currency was </w:t>
      </w:r>
      <w:r>
        <w:rPr>
          <w:rFonts w:ascii="Arial" w:hAnsi="Arial" w:cs="Arial"/>
          <w:lang w:eastAsia="en-GB"/>
        </w:rPr>
        <w:t>(</w:t>
      </w:r>
      <w:r w:rsidRPr="008204CC">
        <w:rPr>
          <w:rFonts w:ascii="Arial" w:hAnsi="Arial" w:cs="Arial"/>
          <w:lang w:eastAsia="en-GB"/>
        </w:rPr>
        <w:t>3.73%</w:t>
      </w:r>
      <w:r>
        <w:rPr>
          <w:rFonts w:ascii="Arial" w:hAnsi="Arial" w:cs="Arial"/>
          <w:lang w:eastAsia="en-GB"/>
        </w:rPr>
        <w:t>)</w:t>
      </w:r>
      <w:r w:rsidRPr="008204CC">
        <w:rPr>
          <w:rFonts w:ascii="Arial" w:hAnsi="Arial" w:cs="Arial"/>
          <w:lang w:eastAsia="en-GB"/>
        </w:rPr>
        <w:t xml:space="preserve"> above its equilibrium value</w:t>
      </w:r>
      <w:r w:rsidR="0056209D">
        <w:rPr>
          <w:rFonts w:ascii="Arial" w:hAnsi="Arial" w:cs="Arial"/>
          <w:lang w:eastAsia="en-GB"/>
        </w:rPr>
        <w:t xml:space="preserve"> </w:t>
      </w:r>
      <w:r w:rsidR="006353D0">
        <w:rPr>
          <w:rFonts w:ascii="Arial" w:hAnsi="Arial" w:cs="Arial"/>
          <w:lang w:eastAsia="en-GB"/>
        </w:rPr>
        <w:t>(i.e.,</w:t>
      </w:r>
      <w:r w:rsidR="0056209D">
        <w:rPr>
          <w:rFonts w:ascii="Arial" w:hAnsi="Arial" w:cs="Arial"/>
          <w:lang w:eastAsia="en-GB"/>
        </w:rPr>
        <w:t xml:space="preserve"> it is within its equilibrium</w:t>
      </w:r>
      <w:r w:rsidR="006353D0">
        <w:rPr>
          <w:rFonts w:ascii="Arial" w:hAnsi="Arial" w:cs="Arial"/>
          <w:lang w:eastAsia="en-GB"/>
        </w:rPr>
        <w:t>)</w:t>
      </w:r>
      <w:r>
        <w:rPr>
          <w:rFonts w:ascii="Arial" w:hAnsi="Arial" w:cs="Arial"/>
          <w:lang w:eastAsia="en-GB"/>
        </w:rPr>
        <w:t xml:space="preserve">. </w:t>
      </w:r>
      <w:r w:rsidR="000E2D3F">
        <w:rPr>
          <w:rFonts w:ascii="Arial" w:hAnsi="Arial" w:cs="Arial"/>
          <w:lang w:eastAsia="en-GB"/>
        </w:rPr>
        <w:t>This m</w:t>
      </w:r>
      <w:r w:rsidRPr="008204CC">
        <w:rPr>
          <w:rFonts w:ascii="Arial" w:hAnsi="Arial" w:cs="Arial"/>
          <w:lang w:eastAsia="en-GB"/>
        </w:rPr>
        <w:t>ean that CAR government via its Central bank should not be concern</w:t>
      </w:r>
      <w:r w:rsidR="000E2D3F">
        <w:rPr>
          <w:rFonts w:ascii="Arial" w:hAnsi="Arial" w:cs="Arial"/>
          <w:lang w:eastAsia="en-GB"/>
        </w:rPr>
        <w:t>ed</w:t>
      </w:r>
      <w:r w:rsidRPr="008204CC">
        <w:rPr>
          <w:rFonts w:ascii="Arial" w:hAnsi="Arial" w:cs="Arial"/>
          <w:lang w:eastAsia="en-GB"/>
        </w:rPr>
        <w:t xml:space="preserve"> about the state of the currency.</w:t>
      </w:r>
    </w:p>
    <w:p w14:paraId="2A0A876E" w14:textId="77777777" w:rsidR="00806598" w:rsidRPr="00D6147C" w:rsidRDefault="00806598" w:rsidP="0066301C">
      <w:pPr>
        <w:spacing w:after="200" w:line="360" w:lineRule="auto"/>
        <w:jc w:val="both"/>
        <w:rPr>
          <w:rFonts w:ascii="Arial" w:hAnsi="Arial" w:cs="Arial"/>
          <w:b/>
          <w:u w:val="single"/>
          <w:lang w:eastAsia="en-GB"/>
        </w:rPr>
      </w:pPr>
      <w:r>
        <w:rPr>
          <w:rFonts w:ascii="Arial" w:hAnsi="Arial" w:cs="Arial"/>
          <w:b/>
          <w:u w:val="single"/>
          <w:lang w:eastAsia="en-GB"/>
        </w:rPr>
        <w:t>Gabon</w:t>
      </w:r>
    </w:p>
    <w:p w14:paraId="117FED26" w14:textId="189F389A" w:rsidR="00BA484E" w:rsidRDefault="00806598" w:rsidP="0066301C">
      <w:pPr>
        <w:spacing w:after="200" w:line="360" w:lineRule="auto"/>
        <w:jc w:val="both"/>
        <w:rPr>
          <w:rFonts w:ascii="Arial" w:hAnsi="Arial" w:cs="Arial"/>
          <w:lang w:eastAsia="en-GB"/>
        </w:rPr>
      </w:pPr>
      <w:r w:rsidRPr="008204CC">
        <w:rPr>
          <w:rFonts w:ascii="Arial" w:hAnsi="Arial" w:cs="Arial"/>
          <w:lang w:eastAsia="en-GB"/>
        </w:rPr>
        <w:t xml:space="preserve">From Gabon result of the HP filter, the exchange rate was overvalued in 1980 by </w:t>
      </w:r>
      <w:r>
        <w:rPr>
          <w:rFonts w:ascii="Arial" w:hAnsi="Arial" w:cs="Arial"/>
          <w:lang w:eastAsia="en-GB"/>
        </w:rPr>
        <w:t>(</w:t>
      </w:r>
      <w:r w:rsidRPr="008204CC">
        <w:rPr>
          <w:rFonts w:ascii="Arial" w:hAnsi="Arial" w:cs="Arial"/>
          <w:lang w:eastAsia="en-GB"/>
        </w:rPr>
        <w:t>9.70%</w:t>
      </w:r>
      <w:r>
        <w:rPr>
          <w:rFonts w:ascii="Arial" w:hAnsi="Arial" w:cs="Arial"/>
          <w:lang w:eastAsia="en-GB"/>
        </w:rPr>
        <w:t>)</w:t>
      </w:r>
      <w:r w:rsidRPr="008204CC">
        <w:rPr>
          <w:rFonts w:ascii="Arial" w:hAnsi="Arial" w:cs="Arial"/>
          <w:lang w:eastAsia="en-GB"/>
        </w:rPr>
        <w:t xml:space="preserve"> as seen </w:t>
      </w:r>
      <w:r w:rsidR="00652434">
        <w:rPr>
          <w:rFonts w:ascii="Arial" w:hAnsi="Arial" w:cs="Arial"/>
          <w:lang w:eastAsia="en-GB"/>
        </w:rPr>
        <w:t>in</w:t>
      </w:r>
      <w:r w:rsidR="00652434" w:rsidRPr="008204CC">
        <w:rPr>
          <w:rFonts w:ascii="Arial" w:hAnsi="Arial" w:cs="Arial"/>
          <w:lang w:eastAsia="en-GB"/>
        </w:rPr>
        <w:t xml:space="preserve"> </w:t>
      </w:r>
      <w:r w:rsidR="00652434" w:rsidRPr="00661110">
        <w:rPr>
          <w:rFonts w:ascii="Arial" w:hAnsi="Arial" w:cs="Arial"/>
          <w:lang w:eastAsia="en-GB"/>
        </w:rPr>
        <w:t xml:space="preserve">table </w:t>
      </w:r>
      <w:r w:rsidR="00652434">
        <w:rPr>
          <w:rFonts w:ascii="Arial" w:hAnsi="Arial" w:cs="Arial"/>
          <w:lang w:eastAsia="en-GB"/>
        </w:rPr>
        <w:t>3</w:t>
      </w:r>
      <w:r w:rsidR="00652434" w:rsidRPr="00661110">
        <w:rPr>
          <w:rFonts w:ascii="Arial" w:hAnsi="Arial" w:cs="Arial"/>
          <w:lang w:eastAsia="en-GB"/>
        </w:rPr>
        <w:t>.8</w:t>
      </w:r>
      <w:r w:rsidR="00652434">
        <w:rPr>
          <w:rFonts w:ascii="Arial" w:hAnsi="Arial" w:cs="Arial"/>
          <w:lang w:eastAsia="en-GB"/>
        </w:rPr>
        <w:t xml:space="preserve"> in appendix A</w:t>
      </w:r>
      <w:r w:rsidRPr="00D3381F">
        <w:rPr>
          <w:rFonts w:ascii="Arial" w:hAnsi="Arial" w:cs="Arial"/>
          <w:lang w:eastAsia="en-GB"/>
        </w:rPr>
        <w:t>.</w:t>
      </w:r>
      <w:r w:rsidRPr="008204CC">
        <w:rPr>
          <w:rFonts w:ascii="Arial" w:hAnsi="Arial" w:cs="Arial"/>
          <w:lang w:eastAsia="en-GB"/>
        </w:rPr>
        <w:t xml:space="preserve"> From 1981 to 1985, the currency was undervalued</w:t>
      </w:r>
      <w:r w:rsidR="00EA7952">
        <w:rPr>
          <w:rFonts w:ascii="Arial" w:hAnsi="Arial" w:cs="Arial"/>
          <w:lang w:eastAsia="en-GB"/>
        </w:rPr>
        <w:t>,</w:t>
      </w:r>
      <w:r w:rsidRPr="008204CC">
        <w:rPr>
          <w:rFonts w:ascii="Arial" w:hAnsi="Arial" w:cs="Arial"/>
          <w:lang w:eastAsia="en-GB"/>
        </w:rPr>
        <w:t xml:space="preserve"> with the lowest value being (-12.20%) in 1981. From 1986 through to 1990</w:t>
      </w:r>
      <w:r w:rsidR="003D4B4A">
        <w:rPr>
          <w:rFonts w:ascii="Arial" w:hAnsi="Arial" w:cs="Arial"/>
          <w:lang w:eastAsia="en-GB"/>
        </w:rPr>
        <w:t>,</w:t>
      </w:r>
      <w:r w:rsidRPr="008204CC">
        <w:rPr>
          <w:rFonts w:ascii="Arial" w:hAnsi="Arial" w:cs="Arial"/>
          <w:lang w:eastAsia="en-GB"/>
        </w:rPr>
        <w:t xml:space="preserve"> prior to the 1994 devaluation, the currency was misaligned </w:t>
      </w:r>
      <w:r w:rsidR="003D4B4A">
        <w:rPr>
          <w:rFonts w:ascii="Arial" w:hAnsi="Arial" w:cs="Arial"/>
          <w:lang w:eastAsia="en-GB"/>
        </w:rPr>
        <w:t>–</w:t>
      </w:r>
      <w:r w:rsidRPr="008204CC">
        <w:rPr>
          <w:rFonts w:ascii="Arial" w:hAnsi="Arial" w:cs="Arial"/>
          <w:lang w:eastAsia="en-GB"/>
        </w:rPr>
        <w:t xml:space="preserve"> overvalue</w:t>
      </w:r>
      <w:r w:rsidR="003D4B4A">
        <w:rPr>
          <w:rFonts w:ascii="Arial" w:hAnsi="Arial" w:cs="Arial"/>
          <w:lang w:eastAsia="en-GB"/>
        </w:rPr>
        <w:t>,</w:t>
      </w:r>
      <w:r w:rsidRPr="008204CC">
        <w:rPr>
          <w:rFonts w:ascii="Arial" w:hAnsi="Arial" w:cs="Arial"/>
          <w:lang w:eastAsia="en-GB"/>
        </w:rPr>
        <w:t xml:space="preserve"> with the highest overvaluation being </w:t>
      </w:r>
      <w:r>
        <w:rPr>
          <w:rFonts w:ascii="Arial" w:hAnsi="Arial" w:cs="Arial"/>
          <w:lang w:eastAsia="en-GB"/>
        </w:rPr>
        <w:t>(</w:t>
      </w:r>
      <w:r w:rsidRPr="008204CC">
        <w:rPr>
          <w:rFonts w:ascii="Arial" w:hAnsi="Arial" w:cs="Arial"/>
          <w:lang w:eastAsia="en-GB"/>
        </w:rPr>
        <w:t>41.14%</w:t>
      </w:r>
      <w:r>
        <w:rPr>
          <w:rFonts w:ascii="Arial" w:hAnsi="Arial" w:cs="Arial"/>
          <w:lang w:eastAsia="en-GB"/>
        </w:rPr>
        <w:t>)</w:t>
      </w:r>
      <w:r w:rsidRPr="008204CC">
        <w:rPr>
          <w:rFonts w:ascii="Arial" w:hAnsi="Arial" w:cs="Arial"/>
          <w:lang w:eastAsia="en-GB"/>
        </w:rPr>
        <w:t xml:space="preserve"> in 1990, and an undervaluation of (-7.56%) in 1988. The 1994 CFA franc devaluation by 50% might not have been necessary for Gabon since the currency was around its equilibrium of </w:t>
      </w:r>
      <w:r>
        <w:rPr>
          <w:rFonts w:ascii="Arial" w:hAnsi="Arial" w:cs="Arial"/>
          <w:lang w:eastAsia="en-GB"/>
        </w:rPr>
        <w:t>(</w:t>
      </w:r>
      <w:r w:rsidRPr="008204CC">
        <w:rPr>
          <w:rFonts w:ascii="Arial" w:hAnsi="Arial" w:cs="Arial"/>
          <w:lang w:eastAsia="en-GB"/>
        </w:rPr>
        <w:t>2.22%</w:t>
      </w:r>
      <w:r>
        <w:rPr>
          <w:rFonts w:ascii="Arial" w:hAnsi="Arial" w:cs="Arial"/>
          <w:lang w:eastAsia="en-GB"/>
        </w:rPr>
        <w:t>)</w:t>
      </w:r>
      <w:r w:rsidRPr="008204CC">
        <w:rPr>
          <w:rFonts w:ascii="Arial" w:hAnsi="Arial" w:cs="Arial"/>
          <w:lang w:eastAsia="en-GB"/>
        </w:rPr>
        <w:t xml:space="preserve"> in 1993. Moreover, prior to that the currency was around its equilibrium in both the ye</w:t>
      </w:r>
      <w:r>
        <w:rPr>
          <w:rFonts w:ascii="Arial" w:hAnsi="Arial" w:cs="Arial"/>
          <w:lang w:eastAsia="en-GB"/>
        </w:rPr>
        <w:t>ars 1991 and 1992 by (2.87%) and (-3.36%)</w:t>
      </w:r>
      <w:r w:rsidRPr="008204CC">
        <w:rPr>
          <w:rFonts w:ascii="Arial" w:hAnsi="Arial" w:cs="Arial"/>
          <w:lang w:eastAsia="en-GB"/>
        </w:rPr>
        <w:t xml:space="preserve"> respectively. But the periods prior to the 1990s had series of huge misalignment</w:t>
      </w:r>
      <w:r w:rsidR="001173FA">
        <w:rPr>
          <w:rFonts w:ascii="Arial" w:hAnsi="Arial" w:cs="Arial"/>
          <w:lang w:eastAsia="en-GB"/>
        </w:rPr>
        <w:t>s</w:t>
      </w:r>
      <w:r w:rsidRPr="008204CC">
        <w:rPr>
          <w:rFonts w:ascii="Arial" w:hAnsi="Arial" w:cs="Arial"/>
          <w:lang w:eastAsia="en-GB"/>
        </w:rPr>
        <w:t>, which might have instigated the devaluation process for the nation and the region. Thus, the devaluation caused the currency to be undervalue</w:t>
      </w:r>
      <w:r w:rsidR="004A50B9">
        <w:rPr>
          <w:rFonts w:ascii="Arial" w:hAnsi="Arial" w:cs="Arial"/>
          <w:lang w:eastAsia="en-GB"/>
        </w:rPr>
        <w:t>d</w:t>
      </w:r>
      <w:r w:rsidRPr="008204CC">
        <w:rPr>
          <w:rFonts w:ascii="Arial" w:hAnsi="Arial" w:cs="Arial"/>
          <w:lang w:eastAsia="en-GB"/>
        </w:rPr>
        <w:t xml:space="preserve"> by (-35.68%), which is the lowest value experience</w:t>
      </w:r>
      <w:r w:rsidR="004A50B9">
        <w:rPr>
          <w:rFonts w:ascii="Arial" w:hAnsi="Arial" w:cs="Arial"/>
          <w:lang w:eastAsia="en-GB"/>
        </w:rPr>
        <w:t>d</w:t>
      </w:r>
      <w:r w:rsidRPr="008204CC">
        <w:rPr>
          <w:rFonts w:ascii="Arial" w:hAnsi="Arial" w:cs="Arial"/>
          <w:lang w:eastAsia="en-GB"/>
        </w:rPr>
        <w:t xml:space="preserve"> by Gabon throughout the </w:t>
      </w:r>
      <w:r w:rsidRPr="008204CC">
        <w:rPr>
          <w:rFonts w:ascii="Arial" w:hAnsi="Arial" w:cs="Arial"/>
          <w:lang w:eastAsia="en-GB"/>
        </w:rPr>
        <w:lastRenderedPageBreak/>
        <w:t xml:space="preserve">research period. It took four years for the currency to get back </w:t>
      </w:r>
      <w:r w:rsidR="00AD21E9">
        <w:rPr>
          <w:rFonts w:ascii="Arial" w:hAnsi="Arial" w:cs="Arial"/>
          <w:lang w:eastAsia="en-GB"/>
        </w:rPr>
        <w:t>to</w:t>
      </w:r>
      <w:r w:rsidRPr="008204CC">
        <w:rPr>
          <w:rFonts w:ascii="Arial" w:hAnsi="Arial" w:cs="Arial"/>
          <w:lang w:eastAsia="en-GB"/>
        </w:rPr>
        <w:t xml:space="preserve"> its equilibrium (i.e., from 1994 to 1997</w:t>
      </w:r>
      <w:r w:rsidR="008407CE">
        <w:rPr>
          <w:rFonts w:ascii="Arial" w:hAnsi="Arial" w:cs="Arial"/>
          <w:lang w:eastAsia="en-GB"/>
        </w:rPr>
        <w:t>,</w:t>
      </w:r>
      <w:r w:rsidRPr="008204CC">
        <w:rPr>
          <w:rFonts w:ascii="Arial" w:hAnsi="Arial" w:cs="Arial"/>
          <w:lang w:eastAsia="en-GB"/>
        </w:rPr>
        <w:t xml:space="preserve"> the currency was undervalued). From 1998 onward, the currency revolve</w:t>
      </w:r>
      <w:r>
        <w:rPr>
          <w:rFonts w:ascii="Arial" w:hAnsi="Arial" w:cs="Arial"/>
          <w:lang w:eastAsia="en-GB"/>
        </w:rPr>
        <w:t>d</w:t>
      </w:r>
      <w:r w:rsidRPr="008204CC">
        <w:rPr>
          <w:rFonts w:ascii="Arial" w:hAnsi="Arial" w:cs="Arial"/>
          <w:lang w:eastAsia="en-GB"/>
        </w:rPr>
        <w:t xml:space="preserve"> around the equilibrium with the years 2008 and 2009 being overvalue</w:t>
      </w:r>
      <w:r w:rsidR="00AD21E9">
        <w:rPr>
          <w:rFonts w:ascii="Arial" w:hAnsi="Arial" w:cs="Arial"/>
          <w:lang w:eastAsia="en-GB"/>
        </w:rPr>
        <w:t>d</w:t>
      </w:r>
      <w:r w:rsidRPr="008204CC">
        <w:rPr>
          <w:rFonts w:ascii="Arial" w:hAnsi="Arial" w:cs="Arial"/>
          <w:lang w:eastAsia="en-GB"/>
        </w:rPr>
        <w:t xml:space="preserve"> by </w:t>
      </w:r>
      <w:r>
        <w:rPr>
          <w:rFonts w:ascii="Arial" w:hAnsi="Arial" w:cs="Arial"/>
          <w:lang w:eastAsia="en-GB"/>
        </w:rPr>
        <w:t>(</w:t>
      </w:r>
      <w:r w:rsidRPr="008204CC">
        <w:rPr>
          <w:rFonts w:ascii="Arial" w:hAnsi="Arial" w:cs="Arial"/>
          <w:lang w:eastAsia="en-GB"/>
        </w:rPr>
        <w:t>6.70%</w:t>
      </w:r>
      <w:r>
        <w:rPr>
          <w:rFonts w:ascii="Arial" w:hAnsi="Arial" w:cs="Arial"/>
          <w:lang w:eastAsia="en-GB"/>
        </w:rPr>
        <w:t>)</w:t>
      </w:r>
      <w:r w:rsidRPr="008204CC">
        <w:rPr>
          <w:rFonts w:ascii="Arial" w:hAnsi="Arial" w:cs="Arial"/>
          <w:lang w:eastAsia="en-GB"/>
        </w:rPr>
        <w:t xml:space="preserve"> and </w:t>
      </w:r>
      <w:r>
        <w:rPr>
          <w:rFonts w:ascii="Arial" w:hAnsi="Arial" w:cs="Arial"/>
          <w:lang w:eastAsia="en-GB"/>
        </w:rPr>
        <w:t>(</w:t>
      </w:r>
      <w:r w:rsidRPr="008204CC">
        <w:rPr>
          <w:rFonts w:ascii="Arial" w:hAnsi="Arial" w:cs="Arial"/>
          <w:lang w:eastAsia="en-GB"/>
        </w:rPr>
        <w:t>7.36%</w:t>
      </w:r>
      <w:r>
        <w:rPr>
          <w:rFonts w:ascii="Arial" w:hAnsi="Arial" w:cs="Arial"/>
          <w:lang w:eastAsia="en-GB"/>
        </w:rPr>
        <w:t>)</w:t>
      </w:r>
      <w:r w:rsidRPr="008204CC">
        <w:rPr>
          <w:rFonts w:ascii="Arial" w:hAnsi="Arial" w:cs="Arial"/>
          <w:lang w:eastAsia="en-GB"/>
        </w:rPr>
        <w:t xml:space="preserve"> respectively. In the year 2018, the currency was </w:t>
      </w:r>
      <w:r>
        <w:rPr>
          <w:rFonts w:ascii="Arial" w:hAnsi="Arial" w:cs="Arial"/>
          <w:lang w:eastAsia="en-GB"/>
        </w:rPr>
        <w:t>(</w:t>
      </w:r>
      <w:r w:rsidRPr="008204CC">
        <w:rPr>
          <w:rFonts w:ascii="Arial" w:hAnsi="Arial" w:cs="Arial"/>
          <w:lang w:eastAsia="en-GB"/>
        </w:rPr>
        <w:t>4.59%</w:t>
      </w:r>
      <w:r>
        <w:rPr>
          <w:rFonts w:ascii="Arial" w:hAnsi="Arial" w:cs="Arial"/>
          <w:lang w:eastAsia="en-GB"/>
        </w:rPr>
        <w:t>)</w:t>
      </w:r>
      <w:r w:rsidRPr="008204CC">
        <w:rPr>
          <w:rFonts w:ascii="Arial" w:hAnsi="Arial" w:cs="Arial"/>
          <w:lang w:eastAsia="en-GB"/>
        </w:rPr>
        <w:t xml:space="preserve"> above the equilibrium, meaning that the currency is revolving around the equilibrium. </w:t>
      </w:r>
    </w:p>
    <w:p w14:paraId="53901967" w14:textId="629632D0" w:rsidR="00F97AFA" w:rsidRPr="00522476" w:rsidRDefault="00806598" w:rsidP="0066301C">
      <w:pPr>
        <w:spacing w:after="200" w:line="360" w:lineRule="auto"/>
        <w:jc w:val="both"/>
        <w:rPr>
          <w:rFonts w:ascii="Arial" w:hAnsi="Arial" w:cs="Arial"/>
          <w:lang w:eastAsia="en-GB"/>
        </w:rPr>
      </w:pPr>
      <w:r w:rsidRPr="00522476">
        <w:rPr>
          <w:rFonts w:ascii="Arial" w:hAnsi="Arial" w:cs="Arial"/>
          <w:lang w:eastAsia="en-GB"/>
        </w:rPr>
        <w:t>Prior to the 1994 devaluation, the currency was just (2.22%) overvalued</w:t>
      </w:r>
      <w:r w:rsidR="00D358D6" w:rsidRPr="00522476">
        <w:rPr>
          <w:rFonts w:ascii="Arial" w:hAnsi="Arial" w:cs="Arial"/>
          <w:lang w:eastAsia="en-GB"/>
        </w:rPr>
        <w:t xml:space="preserve"> in the year 1993</w:t>
      </w:r>
      <w:r w:rsidR="002543FA" w:rsidRPr="00522476">
        <w:rPr>
          <w:rFonts w:ascii="Arial" w:hAnsi="Arial" w:cs="Arial"/>
          <w:lang w:eastAsia="en-GB"/>
        </w:rPr>
        <w:t xml:space="preserve"> (i.e., it was within equilibrium)</w:t>
      </w:r>
      <w:r w:rsidRPr="00522476">
        <w:rPr>
          <w:rFonts w:ascii="Arial" w:hAnsi="Arial" w:cs="Arial"/>
          <w:lang w:eastAsia="en-GB"/>
        </w:rPr>
        <w:t xml:space="preserve">, yet it was devalued. This means that, as of the </w:t>
      </w:r>
      <w:r w:rsidR="00254CFD" w:rsidRPr="00522476">
        <w:rPr>
          <w:rFonts w:ascii="Arial" w:hAnsi="Arial" w:cs="Arial"/>
          <w:lang w:eastAsia="en-GB"/>
        </w:rPr>
        <w:t xml:space="preserve">year </w:t>
      </w:r>
      <w:r w:rsidRPr="00522476">
        <w:rPr>
          <w:rFonts w:ascii="Arial" w:hAnsi="Arial" w:cs="Arial"/>
          <w:lang w:eastAsia="en-GB"/>
        </w:rPr>
        <w:t>2018, the currency was more overvalued than it was in the year 1993, thereby necessitating a devaluation</w:t>
      </w:r>
      <w:r w:rsidR="00F62C7C" w:rsidRPr="00522476">
        <w:rPr>
          <w:rFonts w:ascii="Arial" w:hAnsi="Arial" w:cs="Arial"/>
          <w:lang w:eastAsia="en-GB"/>
        </w:rPr>
        <w:t xml:space="preserve"> for Gabon</w:t>
      </w:r>
      <w:r w:rsidRPr="00522476">
        <w:rPr>
          <w:rFonts w:ascii="Arial" w:hAnsi="Arial" w:cs="Arial"/>
          <w:lang w:eastAsia="en-GB"/>
        </w:rPr>
        <w:t xml:space="preserve">. However, the main difference between both periods is that in the period prior to the </w:t>
      </w:r>
      <w:r w:rsidR="00166A16" w:rsidRPr="00522476">
        <w:rPr>
          <w:rFonts w:ascii="Arial" w:hAnsi="Arial" w:cs="Arial"/>
          <w:lang w:eastAsia="en-GB"/>
        </w:rPr>
        <w:t xml:space="preserve">1994 </w:t>
      </w:r>
      <w:r w:rsidRPr="00522476">
        <w:rPr>
          <w:rFonts w:ascii="Arial" w:hAnsi="Arial" w:cs="Arial"/>
          <w:lang w:eastAsia="en-GB"/>
        </w:rPr>
        <w:t xml:space="preserve">devaluation, the currency was severely misaligned with continuous period of overvaluation </w:t>
      </w:r>
      <w:r w:rsidR="004040C8" w:rsidRPr="00522476">
        <w:rPr>
          <w:rFonts w:ascii="Arial" w:hAnsi="Arial" w:cs="Arial"/>
          <w:lang w:eastAsia="en-GB"/>
        </w:rPr>
        <w:t>betwe</w:t>
      </w:r>
      <w:r w:rsidR="001B6BFB" w:rsidRPr="00522476">
        <w:rPr>
          <w:rFonts w:ascii="Arial" w:hAnsi="Arial" w:cs="Arial"/>
          <w:lang w:eastAsia="en-GB"/>
        </w:rPr>
        <w:t>en the year</w:t>
      </w:r>
      <w:r w:rsidR="008F05AA">
        <w:rPr>
          <w:rFonts w:ascii="Arial" w:hAnsi="Arial" w:cs="Arial"/>
          <w:lang w:eastAsia="en-GB"/>
        </w:rPr>
        <w:t>s</w:t>
      </w:r>
      <w:r w:rsidR="001B6BFB" w:rsidRPr="00522476">
        <w:rPr>
          <w:rFonts w:ascii="Arial" w:hAnsi="Arial" w:cs="Arial"/>
          <w:lang w:eastAsia="en-GB"/>
        </w:rPr>
        <w:t xml:space="preserve"> 1986 to 1990</w:t>
      </w:r>
      <w:r w:rsidR="00D97D84" w:rsidRPr="00522476">
        <w:rPr>
          <w:rFonts w:ascii="Arial" w:hAnsi="Arial" w:cs="Arial"/>
          <w:lang w:eastAsia="en-GB"/>
        </w:rPr>
        <w:t>, but for the year 1988 when it was devalued</w:t>
      </w:r>
      <w:r w:rsidRPr="00522476">
        <w:rPr>
          <w:rFonts w:ascii="Arial" w:hAnsi="Arial" w:cs="Arial"/>
          <w:lang w:eastAsia="en-GB"/>
        </w:rPr>
        <w:t>.</w:t>
      </w:r>
      <w:r w:rsidR="00FC5FC6" w:rsidRPr="00522476">
        <w:rPr>
          <w:rStyle w:val="FootnoteReference"/>
          <w:rFonts w:ascii="Arial" w:hAnsi="Arial" w:cs="Arial"/>
          <w:lang w:eastAsia="en-GB"/>
        </w:rPr>
        <w:footnoteReference w:id="76"/>
      </w:r>
      <w:r w:rsidR="009904C3" w:rsidRPr="00522476">
        <w:rPr>
          <w:rFonts w:ascii="Arial" w:hAnsi="Arial" w:cs="Arial"/>
          <w:lang w:eastAsia="en-GB"/>
        </w:rPr>
        <w:t xml:space="preserve"> </w:t>
      </w:r>
      <w:r w:rsidRPr="00522476">
        <w:rPr>
          <w:rFonts w:ascii="Arial" w:hAnsi="Arial" w:cs="Arial"/>
          <w:lang w:eastAsia="en-GB"/>
        </w:rPr>
        <w:t>Meanwhile in the</w:t>
      </w:r>
      <w:r w:rsidR="000934BE" w:rsidRPr="00522476">
        <w:rPr>
          <w:rFonts w:ascii="Arial" w:hAnsi="Arial" w:cs="Arial"/>
          <w:lang w:eastAsia="en-GB"/>
        </w:rPr>
        <w:t xml:space="preserve"> year</w:t>
      </w:r>
      <w:r w:rsidRPr="00522476">
        <w:rPr>
          <w:rFonts w:ascii="Arial" w:hAnsi="Arial" w:cs="Arial"/>
          <w:lang w:eastAsia="en-GB"/>
        </w:rPr>
        <w:t xml:space="preserve"> 2018, the currency has been around the equilibrium, with no spike of misalignment</w:t>
      </w:r>
      <w:r w:rsidR="00037B92" w:rsidRPr="00522476">
        <w:rPr>
          <w:rFonts w:ascii="Arial" w:hAnsi="Arial" w:cs="Arial"/>
          <w:lang w:eastAsia="en-GB"/>
        </w:rPr>
        <w:t>.</w:t>
      </w:r>
      <w:r w:rsidR="00037B92" w:rsidRPr="00522476">
        <w:rPr>
          <w:rStyle w:val="FootnoteReference"/>
          <w:rFonts w:ascii="Arial" w:hAnsi="Arial" w:cs="Arial"/>
          <w:lang w:eastAsia="en-GB"/>
        </w:rPr>
        <w:footnoteReference w:id="77"/>
      </w:r>
      <w:r w:rsidRPr="00522476">
        <w:rPr>
          <w:rFonts w:ascii="Arial" w:hAnsi="Arial" w:cs="Arial"/>
          <w:lang w:eastAsia="en-GB"/>
        </w:rPr>
        <w:t xml:space="preserve"> Gabon is part of the CEMAC zone</w:t>
      </w:r>
      <w:r w:rsidR="00916939" w:rsidRPr="00522476">
        <w:rPr>
          <w:rFonts w:ascii="Arial" w:hAnsi="Arial" w:cs="Arial"/>
          <w:lang w:eastAsia="en-GB"/>
        </w:rPr>
        <w:t>,</w:t>
      </w:r>
      <w:r w:rsidRPr="00522476">
        <w:rPr>
          <w:rFonts w:ascii="Arial" w:hAnsi="Arial" w:cs="Arial"/>
          <w:lang w:eastAsia="en-GB"/>
        </w:rPr>
        <w:t xml:space="preserve"> and all the other nations were face</w:t>
      </w:r>
      <w:r w:rsidR="0076513C" w:rsidRPr="00522476">
        <w:rPr>
          <w:rFonts w:ascii="Arial" w:hAnsi="Arial" w:cs="Arial"/>
          <w:lang w:eastAsia="en-GB"/>
        </w:rPr>
        <w:t>d</w:t>
      </w:r>
      <w:r w:rsidRPr="00522476">
        <w:rPr>
          <w:rFonts w:ascii="Arial" w:hAnsi="Arial" w:cs="Arial"/>
          <w:lang w:eastAsia="en-GB"/>
        </w:rPr>
        <w:t xml:space="preserve"> with overvaluation prior to the </w:t>
      </w:r>
      <w:r w:rsidR="00652434">
        <w:rPr>
          <w:rFonts w:ascii="Arial" w:hAnsi="Arial" w:cs="Arial"/>
          <w:lang w:eastAsia="en-GB"/>
        </w:rPr>
        <w:t xml:space="preserve">year 1994 </w:t>
      </w:r>
      <w:r w:rsidRPr="00522476">
        <w:rPr>
          <w:rFonts w:ascii="Arial" w:hAnsi="Arial" w:cs="Arial"/>
          <w:lang w:eastAsia="en-GB"/>
        </w:rPr>
        <w:t>devaluation</w:t>
      </w:r>
      <w:r w:rsidR="00652434">
        <w:rPr>
          <w:rFonts w:ascii="Arial" w:hAnsi="Arial" w:cs="Arial"/>
          <w:lang w:eastAsia="en-GB"/>
        </w:rPr>
        <w:t>. A</w:t>
      </w:r>
      <w:r w:rsidRPr="00522476">
        <w:rPr>
          <w:rFonts w:ascii="Arial" w:hAnsi="Arial" w:cs="Arial"/>
          <w:lang w:eastAsia="en-GB"/>
        </w:rPr>
        <w:t>s such</w:t>
      </w:r>
      <w:r w:rsidR="00652434">
        <w:rPr>
          <w:rFonts w:ascii="Arial" w:hAnsi="Arial" w:cs="Arial"/>
          <w:lang w:eastAsia="en-GB"/>
        </w:rPr>
        <w:t>,</w:t>
      </w:r>
      <w:r w:rsidRPr="00522476">
        <w:rPr>
          <w:rFonts w:ascii="Arial" w:hAnsi="Arial" w:cs="Arial"/>
          <w:lang w:eastAsia="en-GB"/>
        </w:rPr>
        <w:t xml:space="preserve"> the devaluation could not have been done without impacting Gabon.</w:t>
      </w:r>
      <w:r w:rsidR="009F562F" w:rsidRPr="00522476">
        <w:rPr>
          <w:rFonts w:ascii="Arial" w:hAnsi="Arial" w:cs="Arial"/>
          <w:lang w:eastAsia="en-GB"/>
        </w:rPr>
        <w:t xml:space="preserve"> </w:t>
      </w:r>
      <w:r w:rsidR="00916939" w:rsidRPr="00522476">
        <w:rPr>
          <w:rFonts w:ascii="Arial" w:hAnsi="Arial" w:cs="Arial"/>
          <w:lang w:eastAsia="en-GB"/>
        </w:rPr>
        <w:t>However,</w:t>
      </w:r>
      <w:r w:rsidR="00376F60" w:rsidRPr="00522476">
        <w:rPr>
          <w:rFonts w:ascii="Arial" w:hAnsi="Arial" w:cs="Arial"/>
          <w:lang w:eastAsia="en-GB"/>
        </w:rPr>
        <w:t xml:space="preserve"> </w:t>
      </w:r>
      <w:r w:rsidR="009F562F" w:rsidRPr="00522476">
        <w:rPr>
          <w:rFonts w:ascii="Arial" w:hAnsi="Arial" w:cs="Arial"/>
          <w:lang w:eastAsia="en-GB"/>
        </w:rPr>
        <w:t xml:space="preserve">it </w:t>
      </w:r>
      <w:r w:rsidR="00376F60" w:rsidRPr="00522476">
        <w:rPr>
          <w:rFonts w:ascii="Arial" w:hAnsi="Arial" w:cs="Arial"/>
          <w:lang w:eastAsia="en-GB"/>
        </w:rPr>
        <w:t>might</w:t>
      </w:r>
      <w:r w:rsidR="009F562F" w:rsidRPr="00522476">
        <w:rPr>
          <w:rFonts w:ascii="Arial" w:hAnsi="Arial" w:cs="Arial"/>
          <w:lang w:eastAsia="en-GB"/>
        </w:rPr>
        <w:t xml:space="preserve"> be good if the CFA franc was devalued on </w:t>
      </w:r>
      <w:r w:rsidR="00F13CE8">
        <w:rPr>
          <w:rFonts w:ascii="Arial" w:hAnsi="Arial" w:cs="Arial"/>
          <w:lang w:eastAsia="en-GB"/>
        </w:rPr>
        <w:t xml:space="preserve">a </w:t>
      </w:r>
      <w:r w:rsidR="007D0F6C" w:rsidRPr="00522476">
        <w:rPr>
          <w:rFonts w:ascii="Arial" w:hAnsi="Arial" w:cs="Arial"/>
          <w:lang w:eastAsia="en-GB"/>
        </w:rPr>
        <w:t>country</w:t>
      </w:r>
      <w:r w:rsidR="00E33266" w:rsidRPr="00522476">
        <w:rPr>
          <w:rFonts w:ascii="Arial" w:hAnsi="Arial" w:cs="Arial"/>
          <w:lang w:eastAsia="en-GB"/>
        </w:rPr>
        <w:t>-by-country</w:t>
      </w:r>
      <w:r w:rsidR="007D0F6C" w:rsidRPr="00522476">
        <w:rPr>
          <w:rFonts w:ascii="Arial" w:hAnsi="Arial" w:cs="Arial"/>
          <w:lang w:eastAsia="en-GB"/>
        </w:rPr>
        <w:t xml:space="preserve"> bas</w:t>
      </w:r>
      <w:r w:rsidR="00F13CE8">
        <w:rPr>
          <w:rFonts w:ascii="Arial" w:hAnsi="Arial" w:cs="Arial"/>
          <w:lang w:eastAsia="en-GB"/>
        </w:rPr>
        <w:t>is</w:t>
      </w:r>
      <w:r w:rsidR="00E33266" w:rsidRPr="00522476">
        <w:rPr>
          <w:rFonts w:ascii="Arial" w:hAnsi="Arial" w:cs="Arial"/>
          <w:lang w:eastAsia="en-GB"/>
        </w:rPr>
        <w:t>,</w:t>
      </w:r>
      <w:r w:rsidR="007D0F6C" w:rsidRPr="00522476">
        <w:rPr>
          <w:rFonts w:ascii="Arial" w:hAnsi="Arial" w:cs="Arial"/>
          <w:lang w:eastAsia="en-GB"/>
        </w:rPr>
        <w:t xml:space="preserve"> instead of having a one-fit-all approach of 50% devaluation across-board. </w:t>
      </w:r>
      <w:r w:rsidR="000D0EDF" w:rsidRPr="00522476">
        <w:rPr>
          <w:rFonts w:ascii="Arial" w:hAnsi="Arial" w:cs="Arial"/>
          <w:lang w:eastAsia="en-GB"/>
        </w:rPr>
        <w:t>But</w:t>
      </w:r>
      <w:r w:rsidR="00F97AFA" w:rsidRPr="00522476">
        <w:rPr>
          <w:rFonts w:ascii="Arial" w:hAnsi="Arial" w:cs="Arial"/>
          <w:lang w:eastAsia="en-GB"/>
        </w:rPr>
        <w:t xml:space="preserve"> t</w:t>
      </w:r>
      <w:r w:rsidR="00526222" w:rsidRPr="00522476">
        <w:rPr>
          <w:rFonts w:ascii="Arial" w:hAnsi="Arial" w:cs="Arial"/>
          <w:lang w:eastAsia="en-GB"/>
        </w:rPr>
        <w:t xml:space="preserve">hese are parts of the characteristics of a currency union </w:t>
      </w:r>
      <w:r w:rsidR="00A6024E" w:rsidRPr="00522476">
        <w:rPr>
          <w:rFonts w:ascii="Arial" w:hAnsi="Arial" w:cs="Arial"/>
          <w:lang w:eastAsia="en-GB"/>
        </w:rPr>
        <w:t>–</w:t>
      </w:r>
      <w:r w:rsidR="00526222" w:rsidRPr="00522476">
        <w:rPr>
          <w:rFonts w:ascii="Arial" w:hAnsi="Arial" w:cs="Arial"/>
          <w:lang w:eastAsia="en-GB"/>
        </w:rPr>
        <w:t xml:space="preserve"> </w:t>
      </w:r>
      <w:r w:rsidR="00A6024E" w:rsidRPr="00522476">
        <w:rPr>
          <w:rFonts w:ascii="Arial" w:hAnsi="Arial" w:cs="Arial"/>
          <w:lang w:eastAsia="en-GB"/>
        </w:rPr>
        <w:t xml:space="preserve">the monetary </w:t>
      </w:r>
      <w:r w:rsidR="00377296" w:rsidRPr="00522476">
        <w:rPr>
          <w:rFonts w:ascii="Arial" w:hAnsi="Arial" w:cs="Arial"/>
          <w:lang w:eastAsia="en-GB"/>
        </w:rPr>
        <w:t>policies (</w:t>
      </w:r>
      <w:r w:rsidR="00A6024E" w:rsidRPr="00522476">
        <w:rPr>
          <w:rFonts w:ascii="Arial" w:hAnsi="Arial" w:cs="Arial"/>
          <w:lang w:eastAsia="en-GB"/>
        </w:rPr>
        <w:t>currency devaluation</w:t>
      </w:r>
      <w:r w:rsidR="00377296" w:rsidRPr="00522476">
        <w:rPr>
          <w:rFonts w:ascii="Arial" w:hAnsi="Arial" w:cs="Arial"/>
          <w:lang w:eastAsia="en-GB"/>
        </w:rPr>
        <w:t xml:space="preserve">) are made for the entire </w:t>
      </w:r>
      <w:r w:rsidR="00000D0A" w:rsidRPr="00522476">
        <w:rPr>
          <w:rFonts w:ascii="Arial" w:hAnsi="Arial" w:cs="Arial"/>
          <w:lang w:eastAsia="en-GB"/>
        </w:rPr>
        <w:t>currency zone and not for specific nation</w:t>
      </w:r>
      <w:r w:rsidR="000C280D" w:rsidRPr="00522476">
        <w:rPr>
          <w:rFonts w:ascii="Arial" w:hAnsi="Arial" w:cs="Arial"/>
          <w:lang w:eastAsia="en-GB"/>
        </w:rPr>
        <w:t>s.</w:t>
      </w:r>
    </w:p>
    <w:p w14:paraId="50C5059E" w14:textId="77777777" w:rsidR="00806598" w:rsidRPr="00522476" w:rsidRDefault="00806598" w:rsidP="0066301C">
      <w:pPr>
        <w:spacing w:after="200" w:line="360" w:lineRule="auto"/>
        <w:jc w:val="both"/>
        <w:rPr>
          <w:rFonts w:ascii="Arial" w:hAnsi="Arial" w:cs="Arial"/>
          <w:b/>
          <w:u w:val="single"/>
          <w:lang w:eastAsia="en-GB"/>
        </w:rPr>
      </w:pPr>
      <w:r w:rsidRPr="00522476">
        <w:rPr>
          <w:rFonts w:ascii="Arial" w:hAnsi="Arial" w:cs="Arial"/>
          <w:b/>
          <w:u w:val="single"/>
          <w:lang w:eastAsia="en-GB"/>
        </w:rPr>
        <w:t>Equatorial Guinea</w:t>
      </w:r>
    </w:p>
    <w:p w14:paraId="143AC8A3" w14:textId="55994BEC" w:rsidR="00BF62B7" w:rsidRDefault="00806598" w:rsidP="0066301C">
      <w:pPr>
        <w:spacing w:after="200" w:line="360" w:lineRule="auto"/>
        <w:jc w:val="both"/>
        <w:rPr>
          <w:rFonts w:ascii="Arial" w:hAnsi="Arial" w:cs="Arial"/>
          <w:lang w:eastAsia="en-GB"/>
        </w:rPr>
      </w:pPr>
      <w:r w:rsidRPr="00522476">
        <w:rPr>
          <w:rFonts w:ascii="Arial" w:hAnsi="Arial" w:cs="Arial"/>
          <w:lang w:eastAsia="en-GB"/>
        </w:rPr>
        <w:t xml:space="preserve">From Equatorial Guinea result of the HP filter, the exchange rate was overvalued in the year 1985 by (15.02%) as seen </w:t>
      </w:r>
      <w:r w:rsidR="00BF62B7" w:rsidRPr="00522476">
        <w:rPr>
          <w:rFonts w:ascii="Arial" w:hAnsi="Arial" w:cs="Arial"/>
          <w:lang w:eastAsia="en-GB"/>
        </w:rPr>
        <w:t>i</w:t>
      </w:r>
      <w:r w:rsidRPr="00522476">
        <w:rPr>
          <w:rFonts w:ascii="Arial" w:hAnsi="Arial" w:cs="Arial"/>
          <w:lang w:eastAsia="en-GB"/>
        </w:rPr>
        <w:t xml:space="preserve">n table </w:t>
      </w:r>
      <w:r w:rsidR="00226DA6" w:rsidRPr="00522476">
        <w:rPr>
          <w:rFonts w:ascii="Arial" w:hAnsi="Arial" w:cs="Arial"/>
          <w:lang w:eastAsia="en-GB"/>
        </w:rPr>
        <w:t>3</w:t>
      </w:r>
      <w:r w:rsidRPr="00522476">
        <w:rPr>
          <w:rFonts w:ascii="Arial" w:hAnsi="Arial" w:cs="Arial"/>
          <w:lang w:eastAsia="en-GB"/>
        </w:rPr>
        <w:t>.</w:t>
      </w:r>
      <w:r w:rsidR="00BF62B7" w:rsidRPr="00522476">
        <w:rPr>
          <w:rFonts w:ascii="Arial" w:hAnsi="Arial" w:cs="Arial"/>
          <w:lang w:eastAsia="en-GB"/>
        </w:rPr>
        <w:t>8</w:t>
      </w:r>
      <w:r w:rsidRPr="00522476">
        <w:rPr>
          <w:rFonts w:ascii="Arial" w:hAnsi="Arial" w:cs="Arial"/>
          <w:lang w:eastAsia="en-GB"/>
        </w:rPr>
        <w:t xml:space="preserve"> </w:t>
      </w:r>
      <w:r w:rsidR="00BF62B7" w:rsidRPr="00522476">
        <w:rPr>
          <w:rFonts w:ascii="Arial" w:hAnsi="Arial" w:cs="Arial"/>
          <w:lang w:eastAsia="en-GB"/>
        </w:rPr>
        <w:t>in appendix</w:t>
      </w:r>
      <w:r w:rsidR="00652434">
        <w:rPr>
          <w:rFonts w:ascii="Arial" w:hAnsi="Arial" w:cs="Arial"/>
          <w:lang w:eastAsia="en-GB"/>
        </w:rPr>
        <w:t xml:space="preserve"> A</w:t>
      </w:r>
      <w:r w:rsidRPr="00522476">
        <w:rPr>
          <w:rFonts w:ascii="Arial" w:hAnsi="Arial" w:cs="Arial"/>
          <w:lang w:eastAsia="en-GB"/>
        </w:rPr>
        <w:t xml:space="preserve">. From the year </w:t>
      </w:r>
      <w:r w:rsidR="00BF62B7" w:rsidRPr="00522476">
        <w:rPr>
          <w:rFonts w:ascii="Arial" w:hAnsi="Arial" w:cs="Arial"/>
          <w:lang w:eastAsia="en-GB"/>
        </w:rPr>
        <w:t xml:space="preserve">1986 </w:t>
      </w:r>
      <w:r w:rsidR="003D214E">
        <w:rPr>
          <w:rFonts w:ascii="Arial" w:hAnsi="Arial" w:cs="Arial"/>
          <w:lang w:eastAsia="en-GB"/>
        </w:rPr>
        <w:t>to</w:t>
      </w:r>
      <w:r w:rsidR="00BF62B7" w:rsidRPr="00522476">
        <w:rPr>
          <w:rFonts w:ascii="Arial" w:hAnsi="Arial" w:cs="Arial"/>
          <w:lang w:eastAsia="en-GB"/>
        </w:rPr>
        <w:t xml:space="preserve"> 1992, the currency </w:t>
      </w:r>
      <w:r w:rsidR="00D61FC6" w:rsidRPr="00522476">
        <w:rPr>
          <w:rFonts w:ascii="Arial" w:hAnsi="Arial" w:cs="Arial"/>
          <w:lang w:eastAsia="en-GB"/>
        </w:rPr>
        <w:t>was</w:t>
      </w:r>
      <w:r w:rsidR="00BF62B7" w:rsidRPr="00522476">
        <w:rPr>
          <w:rFonts w:ascii="Arial" w:hAnsi="Arial" w:cs="Arial"/>
          <w:lang w:eastAsia="en-GB"/>
        </w:rPr>
        <w:t xml:space="preserve"> within equilibrium</w:t>
      </w:r>
      <w:r w:rsidR="003D214E">
        <w:rPr>
          <w:rFonts w:ascii="Arial" w:hAnsi="Arial" w:cs="Arial"/>
          <w:lang w:eastAsia="en-GB"/>
        </w:rPr>
        <w:t>,</w:t>
      </w:r>
      <w:r w:rsidR="00BF62B7" w:rsidRPr="00522476">
        <w:rPr>
          <w:rFonts w:ascii="Arial" w:hAnsi="Arial" w:cs="Arial"/>
          <w:lang w:eastAsia="en-GB"/>
        </w:rPr>
        <w:t xml:space="preserve"> with only the year</w:t>
      </w:r>
      <w:r w:rsidR="003D214E">
        <w:rPr>
          <w:rFonts w:ascii="Arial" w:hAnsi="Arial" w:cs="Arial"/>
          <w:lang w:eastAsia="en-GB"/>
        </w:rPr>
        <w:t>s</w:t>
      </w:r>
      <w:r w:rsidR="00BF62B7" w:rsidRPr="00522476">
        <w:rPr>
          <w:rFonts w:ascii="Arial" w:hAnsi="Arial" w:cs="Arial"/>
          <w:lang w:eastAsia="en-GB"/>
        </w:rPr>
        <w:t xml:space="preserve"> 1987 and 1988</w:t>
      </w:r>
      <w:r w:rsidR="003D214E">
        <w:rPr>
          <w:rFonts w:ascii="Arial" w:hAnsi="Arial" w:cs="Arial"/>
          <w:lang w:eastAsia="en-GB"/>
        </w:rPr>
        <w:t>, which</w:t>
      </w:r>
      <w:r w:rsidR="00BF62B7" w:rsidRPr="00522476">
        <w:rPr>
          <w:rFonts w:ascii="Arial" w:hAnsi="Arial" w:cs="Arial"/>
          <w:lang w:eastAsia="en-GB"/>
        </w:rPr>
        <w:t xml:space="preserve"> were undervalued by (-7,21% and -5.50% respectively). The only time the currency was overvalued was in the year 1993 (by 7.56%). If the currency was devalued in this country because of this one-off overvaluation, then it might not have been the best</w:t>
      </w:r>
      <w:r w:rsidR="00D61FC6" w:rsidRPr="00522476">
        <w:rPr>
          <w:rFonts w:ascii="Arial" w:hAnsi="Arial" w:cs="Arial"/>
          <w:lang w:eastAsia="en-GB"/>
        </w:rPr>
        <w:t xml:space="preserve"> </w:t>
      </w:r>
      <w:r w:rsidR="00BF62B7" w:rsidRPr="00522476">
        <w:rPr>
          <w:rFonts w:ascii="Arial" w:hAnsi="Arial" w:cs="Arial"/>
          <w:lang w:eastAsia="en-GB"/>
        </w:rPr>
        <w:t xml:space="preserve">idea. Just as </w:t>
      </w:r>
      <w:r w:rsidR="00EC7C5C">
        <w:rPr>
          <w:rFonts w:ascii="Arial" w:hAnsi="Arial" w:cs="Arial"/>
          <w:lang w:eastAsia="en-GB"/>
        </w:rPr>
        <w:t xml:space="preserve">in </w:t>
      </w:r>
      <w:r w:rsidR="00BF62B7" w:rsidRPr="00522476">
        <w:rPr>
          <w:rFonts w:ascii="Arial" w:hAnsi="Arial" w:cs="Arial"/>
          <w:lang w:eastAsia="en-GB"/>
        </w:rPr>
        <w:t>the case of Gabon, the currency was devalued for the entire CFA francs zone</w:t>
      </w:r>
      <w:r w:rsidR="00EC7C5C">
        <w:rPr>
          <w:rFonts w:ascii="Arial" w:hAnsi="Arial" w:cs="Arial"/>
          <w:lang w:eastAsia="en-GB"/>
        </w:rPr>
        <w:t>,</w:t>
      </w:r>
      <w:r w:rsidR="00BF62B7" w:rsidRPr="00522476">
        <w:rPr>
          <w:rFonts w:ascii="Arial" w:hAnsi="Arial" w:cs="Arial"/>
          <w:lang w:eastAsia="en-GB"/>
        </w:rPr>
        <w:t xml:space="preserve"> and </w:t>
      </w:r>
      <w:r w:rsidR="00980E09" w:rsidRPr="00522476">
        <w:rPr>
          <w:rFonts w:ascii="Arial" w:hAnsi="Arial" w:cs="Arial"/>
          <w:lang w:eastAsia="en-GB"/>
        </w:rPr>
        <w:t xml:space="preserve">Equatorial Guinea could not be left </w:t>
      </w:r>
      <w:r w:rsidR="00D61FC6" w:rsidRPr="00522476">
        <w:rPr>
          <w:rFonts w:ascii="Arial" w:hAnsi="Arial" w:cs="Arial"/>
          <w:lang w:eastAsia="en-GB"/>
        </w:rPr>
        <w:t>aside.</w:t>
      </w:r>
    </w:p>
    <w:p w14:paraId="31756115" w14:textId="510FC2CF" w:rsidR="00806598" w:rsidRDefault="00806598" w:rsidP="0066301C">
      <w:pPr>
        <w:spacing w:after="200" w:line="360" w:lineRule="auto"/>
        <w:jc w:val="both"/>
        <w:rPr>
          <w:rFonts w:ascii="Arial" w:hAnsi="Arial" w:cs="Arial"/>
        </w:rPr>
      </w:pPr>
      <w:r w:rsidRPr="008204CC">
        <w:rPr>
          <w:rFonts w:ascii="Arial" w:hAnsi="Arial" w:cs="Arial"/>
          <w:lang w:eastAsia="en-GB"/>
        </w:rPr>
        <w:t xml:space="preserve">The 1994 devaluation </w:t>
      </w:r>
      <w:r w:rsidR="00C81D05">
        <w:rPr>
          <w:rFonts w:ascii="Arial" w:hAnsi="Arial" w:cs="Arial"/>
          <w:lang w:eastAsia="en-GB"/>
        </w:rPr>
        <w:t>caused</w:t>
      </w:r>
      <w:r w:rsidRPr="008204CC">
        <w:rPr>
          <w:rFonts w:ascii="Arial" w:hAnsi="Arial" w:cs="Arial"/>
          <w:lang w:eastAsia="en-GB"/>
        </w:rPr>
        <w:t xml:space="preserve"> the currency to be undervalue</w:t>
      </w:r>
      <w:r w:rsidR="004F2BA5">
        <w:rPr>
          <w:rFonts w:ascii="Arial" w:hAnsi="Arial" w:cs="Arial"/>
          <w:lang w:eastAsia="en-GB"/>
        </w:rPr>
        <w:t>d</w:t>
      </w:r>
      <w:r w:rsidRPr="008204CC">
        <w:rPr>
          <w:rFonts w:ascii="Arial" w:hAnsi="Arial" w:cs="Arial"/>
          <w:lang w:eastAsia="en-GB"/>
        </w:rPr>
        <w:t xml:space="preserve"> by (-12.14%) and went back to its equilibrium from 1995. From the year 1995 till 2018, the currency revolved around the equilibrium, with the year</w:t>
      </w:r>
      <w:r w:rsidR="00C81D05">
        <w:rPr>
          <w:rFonts w:ascii="Arial" w:hAnsi="Arial" w:cs="Arial"/>
          <w:lang w:eastAsia="en-GB"/>
        </w:rPr>
        <w:t>s</w:t>
      </w:r>
      <w:r w:rsidRPr="008204CC">
        <w:rPr>
          <w:rFonts w:ascii="Arial" w:hAnsi="Arial" w:cs="Arial"/>
          <w:lang w:eastAsia="en-GB"/>
        </w:rPr>
        <w:t xml:space="preserve"> 2000, 2001, and 2002 being undervalue</w:t>
      </w:r>
      <w:r>
        <w:rPr>
          <w:rFonts w:ascii="Arial" w:hAnsi="Arial" w:cs="Arial"/>
          <w:lang w:eastAsia="en-GB"/>
        </w:rPr>
        <w:t>d</w:t>
      </w:r>
      <w:r w:rsidRPr="008204CC">
        <w:rPr>
          <w:rFonts w:ascii="Arial" w:hAnsi="Arial" w:cs="Arial"/>
          <w:lang w:eastAsia="en-GB"/>
        </w:rPr>
        <w:t xml:space="preserve"> by (-8.88%), (-8.20%), and (-5.34%) respectively, while being overvalue</w:t>
      </w:r>
      <w:r>
        <w:rPr>
          <w:rFonts w:ascii="Arial" w:hAnsi="Arial" w:cs="Arial"/>
          <w:lang w:eastAsia="en-GB"/>
        </w:rPr>
        <w:t>d</w:t>
      </w:r>
      <w:r w:rsidRPr="008204CC">
        <w:rPr>
          <w:rFonts w:ascii="Arial" w:hAnsi="Arial" w:cs="Arial"/>
          <w:lang w:eastAsia="en-GB"/>
        </w:rPr>
        <w:t xml:space="preserve"> in 2005 by </w:t>
      </w:r>
      <w:r>
        <w:rPr>
          <w:rFonts w:ascii="Arial" w:hAnsi="Arial" w:cs="Arial"/>
          <w:lang w:eastAsia="en-GB"/>
        </w:rPr>
        <w:t>(</w:t>
      </w:r>
      <w:r w:rsidRPr="008204CC">
        <w:rPr>
          <w:rFonts w:ascii="Arial" w:hAnsi="Arial" w:cs="Arial"/>
          <w:lang w:eastAsia="en-GB"/>
        </w:rPr>
        <w:t>5.31%</w:t>
      </w:r>
      <w:r>
        <w:rPr>
          <w:rFonts w:ascii="Arial" w:hAnsi="Arial" w:cs="Arial"/>
          <w:lang w:eastAsia="en-GB"/>
        </w:rPr>
        <w:t>)</w:t>
      </w:r>
      <w:r w:rsidRPr="008204CC">
        <w:rPr>
          <w:rFonts w:ascii="Arial" w:hAnsi="Arial" w:cs="Arial"/>
          <w:lang w:eastAsia="en-GB"/>
        </w:rPr>
        <w:t xml:space="preserve">. </w:t>
      </w:r>
      <w:r w:rsidR="00D61FC6">
        <w:rPr>
          <w:rFonts w:ascii="Arial" w:hAnsi="Arial" w:cs="Arial"/>
          <w:lang w:eastAsia="en-GB"/>
        </w:rPr>
        <w:t xml:space="preserve">As of the year 2018, </w:t>
      </w:r>
      <w:r w:rsidR="00D61FC6">
        <w:rPr>
          <w:rFonts w:ascii="Arial" w:hAnsi="Arial" w:cs="Arial"/>
          <w:lang w:eastAsia="en-GB"/>
        </w:rPr>
        <w:lastRenderedPageBreak/>
        <w:t>the currency is w</w:t>
      </w:r>
      <w:r w:rsidRPr="008204CC">
        <w:rPr>
          <w:rFonts w:ascii="Arial" w:hAnsi="Arial" w:cs="Arial"/>
          <w:lang w:eastAsia="en-GB"/>
        </w:rPr>
        <w:t>ithin its equilibrium, with the value (-0.7%</w:t>
      </w:r>
      <w:r w:rsidRPr="008204CC">
        <w:rPr>
          <w:rFonts w:ascii="Arial" w:hAnsi="Arial" w:cs="Arial"/>
        </w:rPr>
        <w:t>). Hence, the currency should be of no concern to the nation’s mon</w:t>
      </w:r>
      <w:r w:rsidR="00C81D05">
        <w:rPr>
          <w:rFonts w:ascii="Arial" w:hAnsi="Arial" w:cs="Arial"/>
        </w:rPr>
        <w:t>e</w:t>
      </w:r>
      <w:r w:rsidRPr="008204CC">
        <w:rPr>
          <w:rFonts w:ascii="Arial" w:hAnsi="Arial" w:cs="Arial"/>
        </w:rPr>
        <w:t>t</w:t>
      </w:r>
      <w:r w:rsidR="00365A1F">
        <w:rPr>
          <w:rFonts w:ascii="Arial" w:hAnsi="Arial" w:cs="Arial"/>
        </w:rPr>
        <w:t>a</w:t>
      </w:r>
      <w:r w:rsidRPr="008204CC">
        <w:rPr>
          <w:rFonts w:ascii="Arial" w:hAnsi="Arial" w:cs="Arial"/>
        </w:rPr>
        <w:t>ry authorities.</w:t>
      </w:r>
    </w:p>
    <w:p w14:paraId="7F1A1E91" w14:textId="77777777" w:rsidR="00806598" w:rsidRPr="00D6147C" w:rsidRDefault="00806598" w:rsidP="0066301C">
      <w:pPr>
        <w:spacing w:after="200" w:line="360" w:lineRule="auto"/>
        <w:jc w:val="both"/>
        <w:rPr>
          <w:rFonts w:ascii="Arial" w:hAnsi="Arial" w:cs="Arial"/>
          <w:b/>
          <w:u w:val="single"/>
        </w:rPr>
      </w:pPr>
      <w:r>
        <w:rPr>
          <w:rFonts w:ascii="Arial" w:hAnsi="Arial" w:cs="Arial"/>
          <w:b/>
          <w:u w:val="single"/>
        </w:rPr>
        <w:t>Chad</w:t>
      </w:r>
    </w:p>
    <w:p w14:paraId="2813ACDE" w14:textId="2AF0F746" w:rsidR="00806598" w:rsidRDefault="00806598" w:rsidP="0066301C">
      <w:pPr>
        <w:spacing w:after="200" w:line="360" w:lineRule="auto"/>
        <w:jc w:val="both"/>
        <w:rPr>
          <w:rFonts w:ascii="Arial" w:hAnsi="Arial" w:cs="Arial"/>
        </w:rPr>
      </w:pPr>
      <w:r w:rsidRPr="008204CC">
        <w:rPr>
          <w:rFonts w:ascii="Arial" w:hAnsi="Arial" w:cs="Arial"/>
          <w:lang w:eastAsia="en-GB"/>
        </w:rPr>
        <w:t>From Chad result of the HP filter, the exchange rate was within its equilibrium in the year 2004 (-4.31%). Throughout the period, the currency was revolving within the equilibrium</w:t>
      </w:r>
      <w:r w:rsidR="00365A1F">
        <w:rPr>
          <w:rFonts w:ascii="Arial" w:hAnsi="Arial" w:cs="Arial"/>
          <w:lang w:eastAsia="en-GB"/>
        </w:rPr>
        <w:t>,</w:t>
      </w:r>
      <w:r w:rsidRPr="008204CC">
        <w:rPr>
          <w:rFonts w:ascii="Arial" w:hAnsi="Arial" w:cs="Arial"/>
          <w:lang w:eastAsia="en-GB"/>
        </w:rPr>
        <w:t xml:space="preserve"> with the year</w:t>
      </w:r>
      <w:r w:rsidR="000829DE">
        <w:rPr>
          <w:rFonts w:ascii="Arial" w:hAnsi="Arial" w:cs="Arial"/>
          <w:lang w:eastAsia="en-GB"/>
        </w:rPr>
        <w:t>s</w:t>
      </w:r>
      <w:r w:rsidRPr="008204CC">
        <w:rPr>
          <w:rFonts w:ascii="Arial" w:hAnsi="Arial" w:cs="Arial"/>
          <w:lang w:eastAsia="en-GB"/>
        </w:rPr>
        <w:t xml:space="preserve"> 2007 and 2011 being undervalue</w:t>
      </w:r>
      <w:r w:rsidR="000829DE">
        <w:rPr>
          <w:rFonts w:ascii="Arial" w:hAnsi="Arial" w:cs="Arial"/>
          <w:lang w:eastAsia="en-GB"/>
        </w:rPr>
        <w:t>d</w:t>
      </w:r>
      <w:r w:rsidRPr="008204CC">
        <w:rPr>
          <w:rFonts w:ascii="Arial" w:hAnsi="Arial" w:cs="Arial"/>
          <w:lang w:eastAsia="en-GB"/>
        </w:rPr>
        <w:t xml:space="preserve"> by (-6.20%) and (-5.70%)</w:t>
      </w:r>
      <w:r w:rsidR="00365A1F">
        <w:rPr>
          <w:rFonts w:ascii="Arial" w:hAnsi="Arial" w:cs="Arial"/>
          <w:lang w:eastAsia="en-GB"/>
        </w:rPr>
        <w:t>,</w:t>
      </w:r>
      <w:r w:rsidRPr="008204CC">
        <w:rPr>
          <w:rFonts w:ascii="Arial" w:hAnsi="Arial" w:cs="Arial"/>
          <w:lang w:eastAsia="en-GB"/>
        </w:rPr>
        <w:t xml:space="preserve"> respectively. As of</w:t>
      </w:r>
      <w:r>
        <w:rPr>
          <w:rFonts w:ascii="Arial" w:hAnsi="Arial" w:cs="Arial"/>
          <w:lang w:eastAsia="en-GB"/>
        </w:rPr>
        <w:t xml:space="preserve"> the year</w:t>
      </w:r>
      <w:r w:rsidRPr="008204CC">
        <w:rPr>
          <w:rFonts w:ascii="Arial" w:hAnsi="Arial" w:cs="Arial"/>
          <w:lang w:eastAsia="en-GB"/>
        </w:rPr>
        <w:t xml:space="preserve"> 2018, the currency was within its equilibrium (-4.45%</w:t>
      </w:r>
      <w:r w:rsidRPr="008204CC">
        <w:rPr>
          <w:rFonts w:ascii="Arial" w:hAnsi="Arial" w:cs="Arial"/>
        </w:rPr>
        <w:t>) and should be of no concern to the nation’s mon</w:t>
      </w:r>
      <w:r w:rsidR="000829DE">
        <w:rPr>
          <w:rFonts w:ascii="Arial" w:hAnsi="Arial" w:cs="Arial"/>
        </w:rPr>
        <w:t>e</w:t>
      </w:r>
      <w:r w:rsidRPr="008204CC">
        <w:rPr>
          <w:rFonts w:ascii="Arial" w:hAnsi="Arial" w:cs="Arial"/>
        </w:rPr>
        <w:t>t</w:t>
      </w:r>
      <w:r w:rsidR="00AA6B10">
        <w:rPr>
          <w:rFonts w:ascii="Arial" w:hAnsi="Arial" w:cs="Arial"/>
        </w:rPr>
        <w:t>a</w:t>
      </w:r>
      <w:r w:rsidRPr="008204CC">
        <w:rPr>
          <w:rFonts w:ascii="Arial" w:hAnsi="Arial" w:cs="Arial"/>
        </w:rPr>
        <w:t>ry authorities.</w:t>
      </w:r>
    </w:p>
    <w:p w14:paraId="15DB94CC" w14:textId="77777777" w:rsidR="00806598" w:rsidRPr="00D6147C" w:rsidRDefault="00806598" w:rsidP="0066301C">
      <w:pPr>
        <w:spacing w:after="200" w:line="360" w:lineRule="auto"/>
        <w:jc w:val="both"/>
        <w:rPr>
          <w:rFonts w:ascii="Arial" w:hAnsi="Arial" w:cs="Arial"/>
          <w:b/>
          <w:u w:val="single"/>
        </w:rPr>
      </w:pPr>
      <w:r>
        <w:rPr>
          <w:rFonts w:ascii="Arial" w:hAnsi="Arial" w:cs="Arial"/>
          <w:b/>
          <w:u w:val="single"/>
        </w:rPr>
        <w:t>Congo</w:t>
      </w:r>
    </w:p>
    <w:p w14:paraId="23E808EA" w14:textId="09F52D38" w:rsidR="00806598" w:rsidRPr="008204CC" w:rsidRDefault="00806598" w:rsidP="0066301C">
      <w:pPr>
        <w:spacing w:after="200" w:line="360" w:lineRule="auto"/>
        <w:jc w:val="both"/>
        <w:rPr>
          <w:rFonts w:ascii="Arial" w:hAnsi="Arial" w:cs="Arial"/>
        </w:rPr>
      </w:pPr>
      <w:r w:rsidRPr="008204CC">
        <w:rPr>
          <w:rFonts w:ascii="Arial" w:hAnsi="Arial" w:cs="Arial"/>
          <w:lang w:eastAsia="en-GB"/>
        </w:rPr>
        <w:t>From Congo result of the HP filter, the exchange rate was undervalued between the years 2004 and 2005</w:t>
      </w:r>
      <w:r w:rsidR="000E204F">
        <w:rPr>
          <w:rFonts w:ascii="Arial" w:hAnsi="Arial" w:cs="Arial"/>
          <w:lang w:eastAsia="en-GB"/>
        </w:rPr>
        <w:t>,</w:t>
      </w:r>
      <w:r w:rsidRPr="008204CC">
        <w:rPr>
          <w:rFonts w:ascii="Arial" w:hAnsi="Arial" w:cs="Arial"/>
          <w:lang w:eastAsia="en-GB"/>
        </w:rPr>
        <w:t xml:space="preserve"> (-7.01%) and (-6.82%) respectively. From the year 2006 onward, the currency went through series of overvaluation and undervaluation</w:t>
      </w:r>
      <w:r w:rsidR="002539B7">
        <w:rPr>
          <w:rFonts w:ascii="Arial" w:hAnsi="Arial" w:cs="Arial"/>
          <w:lang w:eastAsia="en-GB"/>
        </w:rPr>
        <w:t>,</w:t>
      </w:r>
      <w:r w:rsidRPr="008204CC">
        <w:rPr>
          <w:rFonts w:ascii="Arial" w:hAnsi="Arial" w:cs="Arial"/>
          <w:lang w:eastAsia="en-GB"/>
        </w:rPr>
        <w:t xml:space="preserve"> with only the years 2013 and 2014 being around the equilibrium value.</w:t>
      </w:r>
      <w:r w:rsidR="00CD0C05">
        <w:rPr>
          <w:rFonts w:ascii="Arial" w:hAnsi="Arial" w:cs="Arial"/>
          <w:lang w:eastAsia="en-GB"/>
        </w:rPr>
        <w:t xml:space="preserve"> The currency seems volatile in this country and should be constant</w:t>
      </w:r>
      <w:r w:rsidR="00731D2A">
        <w:rPr>
          <w:rFonts w:ascii="Arial" w:hAnsi="Arial" w:cs="Arial"/>
          <w:lang w:eastAsia="en-GB"/>
        </w:rPr>
        <w:t>ly</w:t>
      </w:r>
      <w:r w:rsidR="00CD0C05">
        <w:rPr>
          <w:rFonts w:ascii="Arial" w:hAnsi="Arial" w:cs="Arial"/>
          <w:lang w:eastAsia="en-GB"/>
        </w:rPr>
        <w:t xml:space="preserve"> look</w:t>
      </w:r>
      <w:r w:rsidR="00731D2A">
        <w:rPr>
          <w:rFonts w:ascii="Arial" w:hAnsi="Arial" w:cs="Arial"/>
          <w:lang w:eastAsia="en-GB"/>
        </w:rPr>
        <w:t>ed</w:t>
      </w:r>
      <w:r w:rsidR="00CD0C05">
        <w:rPr>
          <w:rFonts w:ascii="Arial" w:hAnsi="Arial" w:cs="Arial"/>
          <w:lang w:eastAsia="en-GB"/>
        </w:rPr>
        <w:t xml:space="preserve"> at. </w:t>
      </w:r>
      <w:r w:rsidRPr="008204CC">
        <w:rPr>
          <w:rFonts w:ascii="Arial" w:hAnsi="Arial" w:cs="Arial"/>
          <w:lang w:eastAsia="en-GB"/>
        </w:rPr>
        <w:t xml:space="preserve"> However, the currency was within equilibrium in the year 2018, with the value being </w:t>
      </w:r>
      <w:r>
        <w:rPr>
          <w:rFonts w:ascii="Arial" w:hAnsi="Arial" w:cs="Arial"/>
          <w:lang w:eastAsia="en-GB"/>
        </w:rPr>
        <w:t>(</w:t>
      </w:r>
      <w:r w:rsidRPr="008204CC">
        <w:rPr>
          <w:rFonts w:ascii="Arial" w:hAnsi="Arial" w:cs="Arial"/>
          <w:lang w:eastAsia="en-GB"/>
        </w:rPr>
        <w:t>1.08%</w:t>
      </w:r>
      <w:r>
        <w:rPr>
          <w:rFonts w:ascii="Arial" w:hAnsi="Arial" w:cs="Arial"/>
          <w:lang w:eastAsia="en-GB"/>
        </w:rPr>
        <w:t>)</w:t>
      </w:r>
      <w:r w:rsidR="00CD0C05">
        <w:rPr>
          <w:rFonts w:ascii="Arial" w:hAnsi="Arial" w:cs="Arial"/>
          <w:lang w:eastAsia="en-GB"/>
        </w:rPr>
        <w:t>.</w:t>
      </w:r>
    </w:p>
    <w:p w14:paraId="17AAB255" w14:textId="5D74FB55" w:rsidR="00806598" w:rsidRPr="008204CC" w:rsidRDefault="00806598" w:rsidP="0066301C">
      <w:pPr>
        <w:spacing w:after="200" w:line="360" w:lineRule="auto"/>
        <w:jc w:val="both"/>
        <w:rPr>
          <w:rFonts w:ascii="Arial" w:hAnsi="Arial" w:cs="Arial"/>
          <w:lang w:eastAsia="en-GB"/>
        </w:rPr>
      </w:pPr>
      <w:r w:rsidRPr="008204CC">
        <w:rPr>
          <w:rFonts w:ascii="Arial" w:hAnsi="Arial" w:cs="Arial"/>
          <w:lang w:eastAsia="en-GB"/>
        </w:rPr>
        <w:t xml:space="preserve">The BEER approach graphically details the trend of the actual REER, EREER, and the misalignment over time beginning from the year 1980 to 2018. The above results for the </w:t>
      </w:r>
      <w:r w:rsidRPr="00925FB3">
        <w:rPr>
          <w:rFonts w:ascii="Arial" w:hAnsi="Arial" w:cs="Arial"/>
          <w:lang w:eastAsia="en-GB"/>
        </w:rPr>
        <w:t>six nations are graphically presented below, thereby showing the movement or behaviour of the REER, BEER, and misalignment:</w:t>
      </w:r>
    </w:p>
    <w:bookmarkEnd w:id="383"/>
    <w:p w14:paraId="0A8818A3" w14:textId="10D52717" w:rsidR="00806598" w:rsidRPr="008204CC" w:rsidRDefault="00806598" w:rsidP="00C32AE6">
      <w:pPr>
        <w:spacing w:after="0" w:line="240" w:lineRule="auto"/>
        <w:jc w:val="both"/>
        <w:rPr>
          <w:rFonts w:ascii="Arial" w:hAnsi="Arial" w:cs="Arial"/>
          <w:lang w:eastAsia="en-GB"/>
        </w:rPr>
      </w:pPr>
      <w:r w:rsidRPr="00226DA6">
        <w:rPr>
          <w:rFonts w:ascii="Arial" w:hAnsi="Arial" w:cs="Arial"/>
          <w:b/>
          <w:i/>
          <w:lang w:eastAsia="en-GB"/>
        </w:rPr>
        <w:t xml:space="preserve">Figure </w:t>
      </w:r>
      <w:r w:rsidR="00807090">
        <w:rPr>
          <w:rFonts w:ascii="Arial" w:hAnsi="Arial" w:cs="Arial"/>
          <w:b/>
          <w:i/>
          <w:lang w:eastAsia="en-GB"/>
        </w:rPr>
        <w:t>3</w:t>
      </w:r>
      <w:r w:rsidRPr="00226DA6">
        <w:rPr>
          <w:rFonts w:ascii="Arial" w:hAnsi="Arial" w:cs="Arial"/>
          <w:b/>
          <w:i/>
          <w:lang w:eastAsia="en-GB"/>
        </w:rPr>
        <w:t>.1a:</w:t>
      </w:r>
      <w:r w:rsidRPr="008204CC">
        <w:rPr>
          <w:rFonts w:ascii="Arial" w:hAnsi="Arial" w:cs="Arial"/>
          <w:b/>
          <w:i/>
          <w:lang w:eastAsia="en-GB"/>
        </w:rPr>
        <w:t xml:space="preserve"> Actual, Equilibrium, and Misalign REER (Cameroon</w:t>
      </w:r>
      <w:r w:rsidRPr="008204CC">
        <w:rPr>
          <w:rFonts w:ascii="Arial" w:hAnsi="Arial" w:cs="Arial"/>
          <w:b/>
          <w:lang w:eastAsia="en-GB"/>
        </w:rPr>
        <w:t>)</w:t>
      </w:r>
      <w:r w:rsidRPr="008204CC">
        <w:rPr>
          <w:rFonts w:ascii="Arial" w:hAnsi="Arial" w:cs="Arial"/>
          <w:b/>
          <w:i/>
          <w:noProof/>
          <w:lang w:eastAsia="en-GB"/>
        </w:rPr>
        <w:t xml:space="preserve"> </w:t>
      </w:r>
    </w:p>
    <w:p w14:paraId="2225C9B5" w14:textId="5C495447" w:rsidR="00806598" w:rsidRPr="008204CC" w:rsidRDefault="00C32AE6" w:rsidP="0066301C">
      <w:pPr>
        <w:spacing w:after="200" w:line="360" w:lineRule="auto"/>
        <w:jc w:val="both"/>
        <w:rPr>
          <w:rFonts w:ascii="Arial" w:hAnsi="Arial" w:cs="Arial"/>
          <w:lang w:eastAsia="en-GB"/>
        </w:rPr>
      </w:pPr>
      <w:r w:rsidRPr="00226DA6">
        <w:rPr>
          <w:rFonts w:ascii="Arial" w:hAnsi="Arial" w:cs="Arial"/>
          <w:b/>
          <w:i/>
          <w:noProof/>
          <w:lang w:val="en-US"/>
        </w:rPr>
        <w:drawing>
          <wp:anchor distT="0" distB="0" distL="114300" distR="114300" simplePos="0" relativeHeight="251653120" behindDoc="0" locked="0" layoutInCell="1" allowOverlap="1" wp14:anchorId="738E7C34" wp14:editId="5C78E5A7">
            <wp:simplePos x="0" y="0"/>
            <wp:positionH relativeFrom="column">
              <wp:posOffset>0</wp:posOffset>
            </wp:positionH>
            <wp:positionV relativeFrom="paragraph">
              <wp:posOffset>5715</wp:posOffset>
            </wp:positionV>
            <wp:extent cx="4634230" cy="1809750"/>
            <wp:effectExtent l="19050" t="19050" r="0" b="0"/>
            <wp:wrapNone/>
            <wp:docPr id="88" name="Picture 8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3" name="Picture 13"/>
                    <pic:cNvPicPr>
                      <a:picLocks noChangeAspect="1"/>
                    </pic:cNvPicPr>
                  </pic:nvPicPr>
                  <pic:blipFill>
                    <a:blip r:embed="rId23">
                      <a:extLst>
                        <a:ext uri="{28A0092B-C50C-407E-A947-70E740481C1C}">
                          <a14:useLocalDpi xmlns:a14="http://schemas.microsoft.com/office/drawing/2010/main" val="0"/>
                        </a:ext>
                      </a:extLst>
                    </a:blip>
                    <a:srcRect/>
                    <a:stretch>
                      <a:fillRect/>
                    </a:stretch>
                  </pic:blipFill>
                  <pic:spPr bwMode="auto">
                    <a:xfrm>
                      <a:off x="0" y="0"/>
                      <a:ext cx="4647479" cy="1814924"/>
                    </a:xfrm>
                    <a:prstGeom prst="rect">
                      <a:avLst/>
                    </a:prstGeom>
                    <a:noFill/>
                    <a:ln w="12700">
                      <a:solidFill>
                        <a:srgbClr val="5B9BD5"/>
                      </a:solidFill>
                    </a:ln>
                  </pic:spPr>
                </pic:pic>
              </a:graphicData>
            </a:graphic>
            <wp14:sizeRelH relativeFrom="margin">
              <wp14:pctWidth>0</wp14:pctWidth>
            </wp14:sizeRelH>
            <wp14:sizeRelV relativeFrom="margin">
              <wp14:pctHeight>0</wp14:pctHeight>
            </wp14:sizeRelV>
          </wp:anchor>
        </w:drawing>
      </w:r>
    </w:p>
    <w:p w14:paraId="1EB7E9D7" w14:textId="77777777" w:rsidR="00806598" w:rsidRPr="008204CC" w:rsidRDefault="00806598" w:rsidP="0066301C">
      <w:pPr>
        <w:spacing w:line="360" w:lineRule="auto"/>
        <w:jc w:val="both"/>
        <w:rPr>
          <w:rFonts w:ascii="Arial" w:hAnsi="Arial" w:cs="Arial"/>
          <w:i/>
          <w:lang w:eastAsia="en-GB"/>
        </w:rPr>
      </w:pPr>
    </w:p>
    <w:p w14:paraId="1092A2B8" w14:textId="77777777" w:rsidR="00806598" w:rsidRPr="008204CC" w:rsidRDefault="00806598" w:rsidP="0066301C">
      <w:pPr>
        <w:spacing w:line="360" w:lineRule="auto"/>
        <w:jc w:val="both"/>
        <w:rPr>
          <w:rFonts w:ascii="Arial" w:hAnsi="Arial" w:cs="Arial"/>
          <w:i/>
          <w:lang w:eastAsia="en-GB"/>
        </w:rPr>
      </w:pPr>
    </w:p>
    <w:p w14:paraId="64791681" w14:textId="77777777" w:rsidR="00806598" w:rsidRDefault="00806598" w:rsidP="0066301C">
      <w:pPr>
        <w:spacing w:after="0" w:line="240" w:lineRule="auto"/>
        <w:rPr>
          <w:rFonts w:ascii="Arial" w:hAnsi="Arial" w:cs="Arial"/>
          <w:i/>
          <w:lang w:eastAsia="en-GB"/>
        </w:rPr>
      </w:pPr>
    </w:p>
    <w:p w14:paraId="14612C68" w14:textId="15DE708C" w:rsidR="00806598" w:rsidRDefault="00806598" w:rsidP="0066301C">
      <w:pPr>
        <w:spacing w:after="0" w:line="240" w:lineRule="auto"/>
        <w:rPr>
          <w:rFonts w:ascii="Arial" w:hAnsi="Arial" w:cs="Arial"/>
          <w:i/>
          <w:lang w:eastAsia="en-GB"/>
        </w:rPr>
      </w:pPr>
    </w:p>
    <w:p w14:paraId="11906B3A" w14:textId="6C6E44AB" w:rsidR="004551B6" w:rsidRDefault="004551B6" w:rsidP="0066301C">
      <w:pPr>
        <w:spacing w:after="0" w:line="240" w:lineRule="auto"/>
        <w:rPr>
          <w:rFonts w:ascii="Arial" w:hAnsi="Arial" w:cs="Arial"/>
          <w:i/>
          <w:lang w:eastAsia="en-GB"/>
        </w:rPr>
      </w:pPr>
    </w:p>
    <w:p w14:paraId="5D4D4197" w14:textId="77DA263A" w:rsidR="004551B6" w:rsidRDefault="004551B6" w:rsidP="0066301C">
      <w:pPr>
        <w:spacing w:after="0" w:line="240" w:lineRule="auto"/>
        <w:rPr>
          <w:rFonts w:ascii="Arial" w:hAnsi="Arial" w:cs="Arial"/>
          <w:i/>
          <w:lang w:eastAsia="en-GB"/>
        </w:rPr>
      </w:pPr>
    </w:p>
    <w:p w14:paraId="06F98040" w14:textId="77777777" w:rsidR="004551B6" w:rsidRDefault="004551B6" w:rsidP="0066301C">
      <w:pPr>
        <w:spacing w:after="0" w:line="240" w:lineRule="auto"/>
        <w:rPr>
          <w:rFonts w:ascii="Arial" w:hAnsi="Arial" w:cs="Arial"/>
          <w:i/>
          <w:lang w:eastAsia="en-GB"/>
        </w:rPr>
      </w:pPr>
    </w:p>
    <w:p w14:paraId="622A7A61" w14:textId="612A7D3C" w:rsidR="00806598" w:rsidRPr="008204CC" w:rsidRDefault="00806598" w:rsidP="0066301C">
      <w:pPr>
        <w:spacing w:after="0" w:line="240" w:lineRule="auto"/>
        <w:rPr>
          <w:rFonts w:ascii="Arial" w:hAnsi="Arial" w:cs="Arial"/>
          <w:sz w:val="20"/>
          <w:szCs w:val="20"/>
        </w:rPr>
      </w:pPr>
      <w:r w:rsidRPr="008204CC">
        <w:rPr>
          <w:rFonts w:ascii="Arial" w:hAnsi="Arial" w:cs="Arial"/>
          <w:i/>
          <w:sz w:val="20"/>
          <w:szCs w:val="20"/>
          <w:lang w:eastAsia="en-GB"/>
        </w:rPr>
        <w:t xml:space="preserve">Source: </w:t>
      </w:r>
      <w:r w:rsidRPr="008204CC">
        <w:rPr>
          <w:rFonts w:ascii="Arial" w:hAnsi="Arial" w:cs="Arial"/>
          <w:sz w:val="20"/>
          <w:szCs w:val="20"/>
          <w:lang w:eastAsia="en-GB"/>
        </w:rPr>
        <w:t xml:space="preserve">Extracted from </w:t>
      </w:r>
      <w:r w:rsidRPr="00807090">
        <w:rPr>
          <w:rFonts w:ascii="Arial" w:hAnsi="Arial" w:cs="Arial"/>
          <w:sz w:val="20"/>
          <w:szCs w:val="20"/>
          <w:lang w:eastAsia="en-GB"/>
        </w:rPr>
        <w:t xml:space="preserve">table </w:t>
      </w:r>
      <w:r w:rsidR="00807090" w:rsidRPr="00807090">
        <w:rPr>
          <w:rFonts w:ascii="Arial" w:hAnsi="Arial" w:cs="Arial"/>
          <w:sz w:val="20"/>
          <w:szCs w:val="20"/>
          <w:lang w:eastAsia="en-GB"/>
        </w:rPr>
        <w:t>3</w:t>
      </w:r>
      <w:r w:rsidRPr="00807090">
        <w:rPr>
          <w:rFonts w:ascii="Arial" w:hAnsi="Arial" w:cs="Arial"/>
          <w:sz w:val="20"/>
          <w:szCs w:val="20"/>
          <w:lang w:eastAsia="en-GB"/>
        </w:rPr>
        <w:t>.</w:t>
      </w:r>
      <w:r w:rsidR="00E303F7" w:rsidRPr="00807090">
        <w:rPr>
          <w:rFonts w:ascii="Arial" w:hAnsi="Arial" w:cs="Arial"/>
          <w:sz w:val="20"/>
          <w:szCs w:val="20"/>
          <w:lang w:eastAsia="en-GB"/>
        </w:rPr>
        <w:t>8</w:t>
      </w:r>
      <w:r w:rsidRPr="008204CC">
        <w:rPr>
          <w:rFonts w:ascii="Arial" w:hAnsi="Arial" w:cs="Arial"/>
          <w:sz w:val="20"/>
          <w:szCs w:val="20"/>
          <w:lang w:eastAsia="en-GB"/>
        </w:rPr>
        <w:t xml:space="preserve"> </w:t>
      </w:r>
      <w:r w:rsidRPr="008204CC">
        <w:rPr>
          <w:rFonts w:ascii="Arial" w:hAnsi="Arial" w:cs="Arial"/>
          <w:sz w:val="20"/>
          <w:szCs w:val="20"/>
        </w:rPr>
        <w:t>The Hodrick-Prescott Filter (Cameroon).</w:t>
      </w:r>
    </w:p>
    <w:p w14:paraId="12A5BC0C" w14:textId="77777777" w:rsidR="00806598" w:rsidRPr="008204CC" w:rsidRDefault="00806598" w:rsidP="0066301C">
      <w:pPr>
        <w:spacing w:after="0" w:line="240" w:lineRule="auto"/>
        <w:rPr>
          <w:rFonts w:ascii="Arial" w:hAnsi="Arial" w:cs="Arial"/>
          <w:sz w:val="20"/>
          <w:szCs w:val="20"/>
          <w:lang w:eastAsia="en-GB"/>
        </w:rPr>
      </w:pPr>
      <w:r w:rsidRPr="008204CC">
        <w:rPr>
          <w:rFonts w:ascii="Arial" w:hAnsi="Arial" w:cs="Arial"/>
          <w:sz w:val="20"/>
          <w:szCs w:val="20"/>
          <w:lang w:eastAsia="en-GB"/>
        </w:rPr>
        <w:t xml:space="preserve">The blue line represents the REER, the red line represents the BEER (EREER), </w:t>
      </w:r>
    </w:p>
    <w:p w14:paraId="7B2BE5E8" w14:textId="77777777" w:rsidR="00806598" w:rsidRPr="008204CC" w:rsidRDefault="00806598" w:rsidP="0066301C">
      <w:pPr>
        <w:spacing w:after="0" w:line="360" w:lineRule="auto"/>
        <w:rPr>
          <w:rFonts w:ascii="Arial" w:hAnsi="Arial" w:cs="Arial"/>
          <w:sz w:val="20"/>
          <w:szCs w:val="20"/>
          <w:lang w:eastAsia="en-GB"/>
        </w:rPr>
      </w:pPr>
      <w:r w:rsidRPr="008204CC">
        <w:rPr>
          <w:rFonts w:ascii="Arial" w:hAnsi="Arial" w:cs="Arial"/>
          <w:sz w:val="20"/>
          <w:szCs w:val="20"/>
          <w:lang w:eastAsia="en-GB"/>
        </w:rPr>
        <w:t>and the green line represents the misalignment.</w:t>
      </w:r>
    </w:p>
    <w:p w14:paraId="5E1FF568" w14:textId="0BD3448D" w:rsidR="00806598" w:rsidRPr="008204CC" w:rsidRDefault="00806598" w:rsidP="0066301C">
      <w:pPr>
        <w:spacing w:after="200" w:line="360" w:lineRule="auto"/>
        <w:jc w:val="both"/>
        <w:rPr>
          <w:rFonts w:ascii="Arial" w:hAnsi="Arial" w:cs="Arial"/>
          <w:lang w:eastAsia="en-GB"/>
        </w:rPr>
      </w:pPr>
      <w:r w:rsidRPr="008204CC">
        <w:rPr>
          <w:rFonts w:ascii="Arial" w:hAnsi="Arial" w:cs="Arial"/>
          <w:lang w:eastAsia="en-GB"/>
        </w:rPr>
        <w:t>From the above figure for Cameroon, when the actual REER is above the EREER</w:t>
      </w:r>
      <w:r w:rsidR="007D1E12">
        <w:rPr>
          <w:rFonts w:ascii="Arial" w:hAnsi="Arial" w:cs="Arial"/>
          <w:lang w:eastAsia="en-GB"/>
        </w:rPr>
        <w:t>,</w:t>
      </w:r>
      <w:r w:rsidRPr="008204CC">
        <w:rPr>
          <w:rFonts w:ascii="Arial" w:hAnsi="Arial" w:cs="Arial"/>
          <w:lang w:eastAsia="en-GB"/>
        </w:rPr>
        <w:t xml:space="preserve"> it is said to be overvalued. When the actual REER is below the </w:t>
      </w:r>
      <w:r w:rsidR="00115880">
        <w:rPr>
          <w:rFonts w:ascii="Arial" w:hAnsi="Arial" w:cs="Arial"/>
          <w:lang w:eastAsia="en-GB"/>
        </w:rPr>
        <w:t>EREER</w:t>
      </w:r>
      <w:r w:rsidRPr="008204CC">
        <w:rPr>
          <w:rFonts w:ascii="Arial" w:hAnsi="Arial" w:cs="Arial"/>
          <w:lang w:eastAsia="en-GB"/>
        </w:rPr>
        <w:t>, it is undervalued. The actual REER experienced a sharp drop in the year 1994 due to the 50% devaluation that occurred on the 12</w:t>
      </w:r>
      <w:r w:rsidRPr="008204CC">
        <w:rPr>
          <w:rFonts w:ascii="Arial" w:hAnsi="Arial" w:cs="Arial"/>
          <w:vertAlign w:val="superscript"/>
          <w:lang w:eastAsia="en-GB"/>
        </w:rPr>
        <w:t>th</w:t>
      </w:r>
      <w:r w:rsidRPr="008204CC">
        <w:rPr>
          <w:rFonts w:ascii="Arial" w:hAnsi="Arial" w:cs="Arial"/>
          <w:lang w:eastAsia="en-GB"/>
        </w:rPr>
        <w:t xml:space="preserve"> January 1994. Before the devaluation, the actual REER went through a series of </w:t>
      </w:r>
      <w:r w:rsidRPr="008204CC">
        <w:rPr>
          <w:rFonts w:ascii="Arial" w:hAnsi="Arial" w:cs="Arial"/>
          <w:lang w:eastAsia="en-GB"/>
        </w:rPr>
        <w:lastRenderedPageBreak/>
        <w:t>undervaluation to overvaluation. After the 1994 devaluation, the actual REER experienced a period of undervaluation</w:t>
      </w:r>
      <w:r w:rsidR="00F71B0C">
        <w:rPr>
          <w:rFonts w:ascii="Arial" w:hAnsi="Arial" w:cs="Arial"/>
          <w:lang w:eastAsia="en-GB"/>
        </w:rPr>
        <w:t>,</w:t>
      </w:r>
      <w:r w:rsidRPr="008204CC">
        <w:rPr>
          <w:rFonts w:ascii="Arial" w:hAnsi="Arial" w:cs="Arial"/>
          <w:lang w:eastAsia="en-GB"/>
        </w:rPr>
        <w:t xml:space="preserve"> after which it began revolving around the equilibrium. The misalignment of the real </w:t>
      </w:r>
      <w:r w:rsidR="00115880">
        <w:rPr>
          <w:rFonts w:ascii="Arial" w:hAnsi="Arial" w:cs="Arial"/>
          <w:lang w:eastAsia="en-GB"/>
        </w:rPr>
        <w:t xml:space="preserve">effective </w:t>
      </w:r>
      <w:r w:rsidRPr="008204CC">
        <w:rPr>
          <w:rFonts w:ascii="Arial" w:hAnsi="Arial" w:cs="Arial"/>
          <w:lang w:eastAsia="en-GB"/>
        </w:rPr>
        <w:t xml:space="preserve">exchange rate is </w:t>
      </w:r>
      <w:r w:rsidR="00F71B0C">
        <w:rPr>
          <w:rFonts w:ascii="Arial" w:hAnsi="Arial" w:cs="Arial"/>
          <w:lang w:eastAsia="en-GB"/>
        </w:rPr>
        <w:t>i</w:t>
      </w:r>
      <w:r w:rsidRPr="008204CC">
        <w:rPr>
          <w:rFonts w:ascii="Arial" w:hAnsi="Arial" w:cs="Arial"/>
          <w:lang w:eastAsia="en-GB"/>
        </w:rPr>
        <w:t xml:space="preserve">n </w:t>
      </w:r>
      <w:r w:rsidRPr="00807090">
        <w:rPr>
          <w:rFonts w:ascii="Arial" w:hAnsi="Arial" w:cs="Arial"/>
          <w:lang w:eastAsia="en-GB"/>
        </w:rPr>
        <w:t xml:space="preserve">figure </w:t>
      </w:r>
      <w:r w:rsidR="00807090" w:rsidRPr="00807090">
        <w:rPr>
          <w:rFonts w:ascii="Arial" w:hAnsi="Arial" w:cs="Arial"/>
          <w:lang w:eastAsia="en-GB"/>
        </w:rPr>
        <w:t>3</w:t>
      </w:r>
      <w:r w:rsidRPr="00807090">
        <w:rPr>
          <w:rFonts w:ascii="Arial" w:hAnsi="Arial" w:cs="Arial"/>
          <w:lang w:eastAsia="en-GB"/>
        </w:rPr>
        <w:t>.2a below.</w:t>
      </w:r>
    </w:p>
    <w:p w14:paraId="0B168800" w14:textId="4C4394AF" w:rsidR="00806598" w:rsidRPr="008204CC" w:rsidRDefault="00806598" w:rsidP="0066301C">
      <w:pPr>
        <w:spacing w:after="0" w:line="240" w:lineRule="auto"/>
        <w:jc w:val="both"/>
        <w:rPr>
          <w:rFonts w:ascii="Arial" w:hAnsi="Arial" w:cs="Arial"/>
          <w:b/>
          <w:lang w:eastAsia="en-GB"/>
        </w:rPr>
      </w:pPr>
      <w:r w:rsidRPr="00807090">
        <w:rPr>
          <w:rFonts w:ascii="Arial" w:hAnsi="Arial" w:cs="Arial"/>
          <w:b/>
          <w:i/>
          <w:lang w:eastAsia="en-GB"/>
        </w:rPr>
        <w:t xml:space="preserve">Figure </w:t>
      </w:r>
      <w:r w:rsidR="00807090" w:rsidRPr="00807090">
        <w:rPr>
          <w:rFonts w:ascii="Arial" w:hAnsi="Arial" w:cs="Arial"/>
          <w:b/>
          <w:i/>
          <w:lang w:eastAsia="en-GB"/>
        </w:rPr>
        <w:t>3</w:t>
      </w:r>
      <w:r w:rsidRPr="00807090">
        <w:rPr>
          <w:rFonts w:ascii="Arial" w:hAnsi="Arial" w:cs="Arial"/>
          <w:b/>
          <w:i/>
          <w:lang w:eastAsia="en-GB"/>
        </w:rPr>
        <w:t>.2a:</w:t>
      </w:r>
      <w:r w:rsidRPr="008204CC">
        <w:rPr>
          <w:rFonts w:ascii="Arial" w:hAnsi="Arial" w:cs="Arial"/>
          <w:b/>
          <w:i/>
          <w:lang w:eastAsia="en-GB"/>
        </w:rPr>
        <w:t xml:space="preserve"> Misalignment of the REER</w:t>
      </w:r>
      <w:r w:rsidRPr="008204CC">
        <w:rPr>
          <w:rFonts w:ascii="Arial" w:hAnsi="Arial" w:cs="Arial"/>
          <w:b/>
          <w:lang w:eastAsia="en-GB"/>
        </w:rPr>
        <w:t xml:space="preserve"> (</w:t>
      </w:r>
      <w:r w:rsidRPr="008204CC">
        <w:rPr>
          <w:rFonts w:ascii="Arial" w:hAnsi="Arial" w:cs="Arial"/>
          <w:b/>
          <w:i/>
          <w:lang w:eastAsia="en-GB"/>
        </w:rPr>
        <w:t>Cameroon</w:t>
      </w:r>
      <w:r w:rsidRPr="008204CC">
        <w:rPr>
          <w:rFonts w:ascii="Arial" w:hAnsi="Arial" w:cs="Arial"/>
          <w:b/>
          <w:lang w:eastAsia="en-GB"/>
        </w:rPr>
        <w:t>).</w:t>
      </w:r>
    </w:p>
    <w:p w14:paraId="7A6C2D15" w14:textId="57ABCF52" w:rsidR="00806598" w:rsidRPr="008204CC" w:rsidRDefault="0019196C" w:rsidP="0066301C">
      <w:pPr>
        <w:spacing w:after="200" w:line="276" w:lineRule="auto"/>
        <w:jc w:val="both"/>
        <w:rPr>
          <w:rFonts w:ascii="Arial" w:hAnsi="Arial" w:cs="Arial"/>
        </w:rPr>
      </w:pPr>
      <w:r w:rsidRPr="008204CC">
        <w:rPr>
          <w:rFonts w:ascii="Arial" w:hAnsi="Arial" w:cs="Arial"/>
          <w:noProof/>
          <w:lang w:val="en-US"/>
        </w:rPr>
        <w:drawing>
          <wp:anchor distT="0" distB="0" distL="114300" distR="114300" simplePos="0" relativeHeight="251658240" behindDoc="0" locked="0" layoutInCell="1" allowOverlap="1" wp14:anchorId="24ECDCB8" wp14:editId="2ECA67AC">
            <wp:simplePos x="0" y="0"/>
            <wp:positionH relativeFrom="column">
              <wp:posOffset>3810</wp:posOffset>
            </wp:positionH>
            <wp:positionV relativeFrom="paragraph">
              <wp:posOffset>3175</wp:posOffset>
            </wp:positionV>
            <wp:extent cx="5078816" cy="2167890"/>
            <wp:effectExtent l="19050" t="19050" r="7620" b="3810"/>
            <wp:wrapNone/>
            <wp:docPr id="349" name="Picture 34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7"/>
                    <pic:cNvPicPr>
                      <a:picLocks noChangeAspect="1" noChangeArrowheads="1"/>
                    </pic:cNvPicPr>
                  </pic:nvPicPr>
                  <pic:blipFill>
                    <a:blip r:embed="rId24">
                      <a:extLst>
                        <a:ext uri="{28A0092B-C50C-407E-A947-70E740481C1C}">
                          <a14:useLocalDpi xmlns:a14="http://schemas.microsoft.com/office/drawing/2010/main" val="0"/>
                        </a:ext>
                      </a:extLst>
                    </a:blip>
                    <a:srcRect/>
                    <a:stretch>
                      <a:fillRect/>
                    </a:stretch>
                  </pic:blipFill>
                  <pic:spPr bwMode="auto">
                    <a:xfrm>
                      <a:off x="0" y="0"/>
                      <a:ext cx="5078816" cy="2167890"/>
                    </a:xfrm>
                    <a:prstGeom prst="rect">
                      <a:avLst/>
                    </a:prstGeom>
                    <a:noFill/>
                    <a:ln w="12700">
                      <a:solidFill>
                        <a:srgbClr val="5B9BD5"/>
                      </a:solidFill>
                      <a:miter lim="800000"/>
                      <a:headEnd/>
                      <a:tailEnd/>
                    </a:ln>
                  </pic:spPr>
                </pic:pic>
              </a:graphicData>
            </a:graphic>
            <wp14:sizeRelH relativeFrom="page">
              <wp14:pctWidth>0</wp14:pctWidth>
            </wp14:sizeRelH>
            <wp14:sizeRelV relativeFrom="page">
              <wp14:pctHeight>0</wp14:pctHeight>
            </wp14:sizeRelV>
          </wp:anchor>
        </w:drawing>
      </w:r>
    </w:p>
    <w:p w14:paraId="230A6A9A" w14:textId="77777777" w:rsidR="00806598" w:rsidRPr="008204CC" w:rsidRDefault="00806598" w:rsidP="0066301C">
      <w:pPr>
        <w:spacing w:after="200" w:line="276" w:lineRule="auto"/>
        <w:jc w:val="both"/>
        <w:rPr>
          <w:rFonts w:ascii="Arial" w:hAnsi="Arial" w:cs="Arial"/>
        </w:rPr>
      </w:pPr>
    </w:p>
    <w:p w14:paraId="61A8660B" w14:textId="77777777" w:rsidR="00806598" w:rsidRPr="008204CC" w:rsidRDefault="00806598" w:rsidP="0066301C">
      <w:pPr>
        <w:spacing w:after="200" w:line="276" w:lineRule="auto"/>
        <w:jc w:val="both"/>
        <w:rPr>
          <w:rFonts w:ascii="Arial" w:hAnsi="Arial" w:cs="Arial"/>
        </w:rPr>
      </w:pPr>
    </w:p>
    <w:p w14:paraId="145F9482" w14:textId="77777777" w:rsidR="00806598" w:rsidRPr="008204CC" w:rsidRDefault="00806598" w:rsidP="0066301C">
      <w:pPr>
        <w:spacing w:after="200" w:line="276" w:lineRule="auto"/>
        <w:jc w:val="both"/>
        <w:rPr>
          <w:rFonts w:ascii="Arial" w:hAnsi="Arial" w:cs="Arial"/>
        </w:rPr>
      </w:pPr>
    </w:p>
    <w:p w14:paraId="31D0F0E8" w14:textId="77777777" w:rsidR="00806598" w:rsidRPr="008204CC" w:rsidRDefault="00806598" w:rsidP="0066301C">
      <w:pPr>
        <w:spacing w:after="200" w:line="276" w:lineRule="auto"/>
        <w:jc w:val="both"/>
        <w:rPr>
          <w:rFonts w:ascii="Arial" w:hAnsi="Arial" w:cs="Arial"/>
        </w:rPr>
      </w:pPr>
    </w:p>
    <w:p w14:paraId="37B6B82B" w14:textId="77777777" w:rsidR="00806598" w:rsidRPr="008204CC" w:rsidRDefault="00806598" w:rsidP="0066301C">
      <w:pPr>
        <w:spacing w:after="200" w:line="276" w:lineRule="auto"/>
        <w:jc w:val="both"/>
        <w:rPr>
          <w:rFonts w:ascii="Arial" w:hAnsi="Arial" w:cs="Arial"/>
        </w:rPr>
      </w:pPr>
    </w:p>
    <w:p w14:paraId="77C412D3" w14:textId="77777777" w:rsidR="00806598" w:rsidRPr="008204CC" w:rsidRDefault="00806598" w:rsidP="0066301C">
      <w:pPr>
        <w:spacing w:after="200" w:line="276" w:lineRule="auto"/>
        <w:jc w:val="both"/>
        <w:rPr>
          <w:rFonts w:ascii="Arial" w:hAnsi="Arial" w:cs="Arial"/>
        </w:rPr>
      </w:pPr>
    </w:p>
    <w:p w14:paraId="4EFCAECB" w14:textId="2CC2A840" w:rsidR="00806598" w:rsidRPr="008204CC" w:rsidRDefault="00806598" w:rsidP="0066301C">
      <w:pPr>
        <w:spacing w:after="0" w:line="240" w:lineRule="auto"/>
        <w:rPr>
          <w:rFonts w:ascii="Arial" w:hAnsi="Arial" w:cs="Arial"/>
          <w:sz w:val="20"/>
          <w:szCs w:val="20"/>
        </w:rPr>
      </w:pPr>
      <w:r w:rsidRPr="008204CC">
        <w:rPr>
          <w:rFonts w:ascii="Arial" w:hAnsi="Arial" w:cs="Arial"/>
          <w:i/>
          <w:sz w:val="20"/>
          <w:szCs w:val="20"/>
          <w:lang w:eastAsia="en-GB"/>
        </w:rPr>
        <w:t xml:space="preserve">Source: </w:t>
      </w:r>
      <w:r w:rsidRPr="008204CC">
        <w:rPr>
          <w:rFonts w:ascii="Arial" w:hAnsi="Arial" w:cs="Arial"/>
          <w:sz w:val="20"/>
          <w:szCs w:val="20"/>
          <w:lang w:eastAsia="en-GB"/>
        </w:rPr>
        <w:t xml:space="preserve">Extracted from </w:t>
      </w:r>
      <w:r w:rsidRPr="00807090">
        <w:rPr>
          <w:rFonts w:ascii="Arial" w:hAnsi="Arial" w:cs="Arial"/>
          <w:sz w:val="20"/>
          <w:szCs w:val="20"/>
          <w:lang w:eastAsia="en-GB"/>
        </w:rPr>
        <w:t xml:space="preserve">figure </w:t>
      </w:r>
      <w:r w:rsidR="00807090" w:rsidRPr="00807090">
        <w:rPr>
          <w:rFonts w:ascii="Arial" w:hAnsi="Arial" w:cs="Arial"/>
          <w:sz w:val="20"/>
          <w:szCs w:val="20"/>
          <w:lang w:eastAsia="en-GB"/>
        </w:rPr>
        <w:t>3</w:t>
      </w:r>
      <w:r w:rsidRPr="00807090">
        <w:rPr>
          <w:rFonts w:ascii="Arial" w:hAnsi="Arial" w:cs="Arial"/>
          <w:sz w:val="20"/>
          <w:szCs w:val="20"/>
          <w:lang w:eastAsia="en-GB"/>
        </w:rPr>
        <w:t>.1a</w:t>
      </w:r>
      <w:r w:rsidRPr="008204CC">
        <w:rPr>
          <w:rFonts w:ascii="Arial" w:hAnsi="Arial" w:cs="Arial"/>
          <w:sz w:val="20"/>
          <w:szCs w:val="20"/>
          <w:lang w:eastAsia="en-GB"/>
        </w:rPr>
        <w:t xml:space="preserve"> above</w:t>
      </w:r>
      <w:r w:rsidRPr="008204CC">
        <w:rPr>
          <w:rFonts w:ascii="Arial" w:hAnsi="Arial" w:cs="Arial"/>
          <w:sz w:val="20"/>
          <w:szCs w:val="20"/>
        </w:rPr>
        <w:t xml:space="preserve"> (Cameroon).</w:t>
      </w:r>
    </w:p>
    <w:p w14:paraId="4ECA8FE4" w14:textId="77777777" w:rsidR="00806598" w:rsidRPr="008204CC" w:rsidRDefault="00806598" w:rsidP="0066301C">
      <w:pPr>
        <w:spacing w:after="0" w:line="240" w:lineRule="auto"/>
        <w:rPr>
          <w:rFonts w:ascii="Arial" w:hAnsi="Arial" w:cs="Arial"/>
          <w:sz w:val="20"/>
          <w:szCs w:val="20"/>
        </w:rPr>
      </w:pPr>
      <w:r w:rsidRPr="008204CC">
        <w:rPr>
          <w:rFonts w:ascii="Arial" w:hAnsi="Arial" w:cs="Arial"/>
          <w:sz w:val="20"/>
          <w:szCs w:val="20"/>
        </w:rPr>
        <w:t xml:space="preserve">The currency is said to revolve around the equilibrium when the blue line </w:t>
      </w:r>
    </w:p>
    <w:p w14:paraId="4BFEF81E" w14:textId="77777777" w:rsidR="00806598" w:rsidRPr="008204CC" w:rsidRDefault="00806598" w:rsidP="0066301C">
      <w:pPr>
        <w:spacing w:after="200" w:line="360" w:lineRule="auto"/>
        <w:rPr>
          <w:rFonts w:ascii="Arial" w:hAnsi="Arial" w:cs="Arial"/>
          <w:sz w:val="20"/>
          <w:szCs w:val="20"/>
        </w:rPr>
      </w:pPr>
      <w:r w:rsidRPr="008204CC">
        <w:rPr>
          <w:rFonts w:ascii="Arial" w:hAnsi="Arial" w:cs="Arial"/>
          <w:sz w:val="20"/>
          <w:szCs w:val="20"/>
        </w:rPr>
        <w:t>(misalignment) revolves around the zero-horizontal line.</w:t>
      </w:r>
    </w:p>
    <w:p w14:paraId="19715F9D" w14:textId="26D57D03" w:rsidR="00E303F7" w:rsidRDefault="00806598" w:rsidP="0066301C">
      <w:pPr>
        <w:spacing w:after="200" w:line="360" w:lineRule="auto"/>
        <w:jc w:val="both"/>
        <w:rPr>
          <w:rFonts w:ascii="Arial" w:hAnsi="Arial" w:cs="Arial"/>
          <w:lang w:eastAsia="en-GB"/>
        </w:rPr>
      </w:pPr>
      <w:r w:rsidRPr="008204CC">
        <w:rPr>
          <w:rFonts w:ascii="Arial" w:hAnsi="Arial" w:cs="Arial"/>
          <w:lang w:eastAsia="en-GB"/>
        </w:rPr>
        <w:t xml:space="preserve">The real exchange rate is likely to differ from the equilibrium level at any time due to changes in its fundamental determinants, </w:t>
      </w:r>
      <w:r w:rsidR="004C780F">
        <w:rPr>
          <w:rFonts w:ascii="Arial" w:hAnsi="Arial" w:cs="Arial"/>
          <w:lang w:eastAsia="en-GB"/>
        </w:rPr>
        <w:t xml:space="preserve">and </w:t>
      </w:r>
      <w:r w:rsidRPr="008204CC">
        <w:rPr>
          <w:rFonts w:ascii="Arial" w:hAnsi="Arial" w:cs="Arial"/>
          <w:lang w:eastAsia="en-GB"/>
        </w:rPr>
        <w:t>changes in other macroeconomic factors and polic</w:t>
      </w:r>
      <w:r w:rsidR="00CE79B6">
        <w:rPr>
          <w:rFonts w:ascii="Arial" w:hAnsi="Arial" w:cs="Arial"/>
          <w:lang w:eastAsia="en-GB"/>
        </w:rPr>
        <w:t>ies</w:t>
      </w:r>
      <w:r w:rsidRPr="008204CC">
        <w:rPr>
          <w:rFonts w:ascii="Arial" w:hAnsi="Arial" w:cs="Arial"/>
          <w:lang w:eastAsia="en-GB"/>
        </w:rPr>
        <w:t xml:space="preserve">. In the year 1980, Cameroon had an overvalued REER. From 1981 to 1985, it experienced an undervalued REER. Between 1986 </w:t>
      </w:r>
      <w:r w:rsidR="009863F9">
        <w:rPr>
          <w:rFonts w:ascii="Arial" w:hAnsi="Arial" w:cs="Arial"/>
          <w:lang w:eastAsia="en-GB"/>
        </w:rPr>
        <w:t>and</w:t>
      </w:r>
      <w:r w:rsidRPr="008204CC">
        <w:rPr>
          <w:rFonts w:ascii="Arial" w:hAnsi="Arial" w:cs="Arial"/>
          <w:lang w:eastAsia="en-GB"/>
        </w:rPr>
        <w:t xml:space="preserve"> 1993, the exchange rate was overvalued</w:t>
      </w:r>
      <w:r w:rsidR="00007BA0">
        <w:rPr>
          <w:rFonts w:ascii="Arial" w:hAnsi="Arial" w:cs="Arial"/>
          <w:lang w:eastAsia="en-GB"/>
        </w:rPr>
        <w:t>,</w:t>
      </w:r>
      <w:r w:rsidRPr="008204CC">
        <w:rPr>
          <w:rFonts w:ascii="Arial" w:hAnsi="Arial" w:cs="Arial"/>
          <w:lang w:eastAsia="en-GB"/>
        </w:rPr>
        <w:t xml:space="preserve"> with the peak being in </w:t>
      </w:r>
      <w:r>
        <w:rPr>
          <w:rFonts w:ascii="Arial" w:hAnsi="Arial" w:cs="Arial"/>
          <w:lang w:eastAsia="en-GB"/>
        </w:rPr>
        <w:t xml:space="preserve">the year </w:t>
      </w:r>
      <w:r w:rsidRPr="008204CC">
        <w:rPr>
          <w:rFonts w:ascii="Arial" w:hAnsi="Arial" w:cs="Arial"/>
          <w:lang w:eastAsia="en-GB"/>
        </w:rPr>
        <w:t>1987 (21.73</w:t>
      </w:r>
      <w:r>
        <w:rPr>
          <w:rFonts w:ascii="Arial" w:hAnsi="Arial" w:cs="Arial"/>
          <w:lang w:eastAsia="en-GB"/>
        </w:rPr>
        <w:t>%</w:t>
      </w:r>
      <w:r w:rsidRPr="008204CC">
        <w:rPr>
          <w:rFonts w:ascii="Arial" w:hAnsi="Arial" w:cs="Arial"/>
          <w:lang w:eastAsia="en-GB"/>
        </w:rPr>
        <w:t xml:space="preserve">). After the 1994 devaluation, the REER was undervalued till </w:t>
      </w:r>
      <w:r>
        <w:rPr>
          <w:rFonts w:ascii="Arial" w:hAnsi="Arial" w:cs="Arial"/>
          <w:lang w:eastAsia="en-GB"/>
        </w:rPr>
        <w:t xml:space="preserve">the year </w:t>
      </w:r>
      <w:r w:rsidRPr="008204CC">
        <w:rPr>
          <w:rFonts w:ascii="Arial" w:hAnsi="Arial" w:cs="Arial"/>
          <w:lang w:eastAsia="en-GB"/>
        </w:rPr>
        <w:t xml:space="preserve">2001. From </w:t>
      </w:r>
      <w:r>
        <w:rPr>
          <w:rFonts w:ascii="Arial" w:hAnsi="Arial" w:cs="Arial"/>
          <w:lang w:eastAsia="en-GB"/>
        </w:rPr>
        <w:t xml:space="preserve">the year </w:t>
      </w:r>
      <w:r w:rsidRPr="008204CC">
        <w:rPr>
          <w:rFonts w:ascii="Arial" w:hAnsi="Arial" w:cs="Arial"/>
          <w:lang w:eastAsia="en-GB"/>
        </w:rPr>
        <w:t>2002 till 2018, the REER has been revolving around the equilibrium apart from</w:t>
      </w:r>
      <w:r>
        <w:rPr>
          <w:rFonts w:ascii="Arial" w:hAnsi="Arial" w:cs="Arial"/>
          <w:lang w:eastAsia="en-GB"/>
        </w:rPr>
        <w:t xml:space="preserve"> the year</w:t>
      </w:r>
      <w:r w:rsidRPr="008204CC">
        <w:rPr>
          <w:rFonts w:ascii="Arial" w:hAnsi="Arial" w:cs="Arial"/>
          <w:lang w:eastAsia="en-GB"/>
        </w:rPr>
        <w:t xml:space="preserve"> 2009 when it was </w:t>
      </w:r>
      <w:r>
        <w:rPr>
          <w:rFonts w:ascii="Arial" w:hAnsi="Arial" w:cs="Arial"/>
          <w:lang w:eastAsia="en-GB"/>
        </w:rPr>
        <w:t>(</w:t>
      </w:r>
      <w:r w:rsidRPr="008204CC">
        <w:rPr>
          <w:rFonts w:ascii="Arial" w:hAnsi="Arial" w:cs="Arial"/>
          <w:lang w:eastAsia="en-GB"/>
        </w:rPr>
        <w:t>5.91%</w:t>
      </w:r>
      <w:r>
        <w:rPr>
          <w:rFonts w:ascii="Arial" w:hAnsi="Arial" w:cs="Arial"/>
          <w:lang w:eastAsia="en-GB"/>
        </w:rPr>
        <w:t>)</w:t>
      </w:r>
      <w:r w:rsidRPr="008204CC">
        <w:rPr>
          <w:rFonts w:ascii="Arial" w:hAnsi="Arial" w:cs="Arial"/>
          <w:lang w:eastAsia="en-GB"/>
        </w:rPr>
        <w:t xml:space="preserve"> overvalue</w:t>
      </w:r>
      <w:r>
        <w:rPr>
          <w:rFonts w:ascii="Arial" w:hAnsi="Arial" w:cs="Arial"/>
          <w:lang w:eastAsia="en-GB"/>
        </w:rPr>
        <w:t>d</w:t>
      </w:r>
      <w:r w:rsidRPr="008204CC">
        <w:rPr>
          <w:rFonts w:ascii="Arial" w:hAnsi="Arial" w:cs="Arial"/>
          <w:lang w:eastAsia="en-GB"/>
        </w:rPr>
        <w:t>. This implies that for the pas</w:t>
      </w:r>
      <w:r w:rsidR="00962992">
        <w:rPr>
          <w:rFonts w:ascii="Arial" w:hAnsi="Arial" w:cs="Arial"/>
          <w:lang w:eastAsia="en-GB"/>
        </w:rPr>
        <w:t>t</w:t>
      </w:r>
      <w:r w:rsidRPr="008204CC">
        <w:rPr>
          <w:rFonts w:ascii="Arial" w:hAnsi="Arial" w:cs="Arial"/>
          <w:lang w:eastAsia="en-GB"/>
        </w:rPr>
        <w:t xml:space="preserve"> 14 year</w:t>
      </w:r>
      <w:r w:rsidR="00962992">
        <w:rPr>
          <w:rFonts w:ascii="Arial" w:hAnsi="Arial" w:cs="Arial"/>
          <w:lang w:eastAsia="en-GB"/>
        </w:rPr>
        <w:t>s</w:t>
      </w:r>
      <w:r w:rsidRPr="008204CC">
        <w:rPr>
          <w:rFonts w:ascii="Arial" w:hAnsi="Arial" w:cs="Arial"/>
          <w:lang w:eastAsia="en-GB"/>
        </w:rPr>
        <w:t>, the CFA franc has been moving around its equilibrium, and there is no need for the government to be concerned about the exchange rate</w:t>
      </w:r>
      <w:r>
        <w:rPr>
          <w:rFonts w:ascii="Arial" w:hAnsi="Arial" w:cs="Arial"/>
          <w:lang w:eastAsia="en-GB"/>
        </w:rPr>
        <w:t>.</w:t>
      </w:r>
      <w:r w:rsidRPr="008204CC">
        <w:rPr>
          <w:rFonts w:ascii="Arial" w:hAnsi="Arial" w:cs="Arial"/>
          <w:lang w:eastAsia="en-GB"/>
        </w:rPr>
        <w:t xml:space="preserve"> </w:t>
      </w:r>
      <w:r w:rsidR="00962992">
        <w:rPr>
          <w:rFonts w:ascii="Arial" w:hAnsi="Arial" w:cs="Arial"/>
          <w:lang w:eastAsia="en-GB"/>
        </w:rPr>
        <w:t>However,</w:t>
      </w:r>
      <w:r w:rsidRPr="008204CC">
        <w:rPr>
          <w:rFonts w:ascii="Arial" w:hAnsi="Arial" w:cs="Arial"/>
          <w:lang w:eastAsia="en-GB"/>
        </w:rPr>
        <w:t xml:space="preserve"> since the exchange rate is influenced by the fundamentals, emphasis </w:t>
      </w:r>
      <w:r>
        <w:rPr>
          <w:rFonts w:ascii="Arial" w:hAnsi="Arial" w:cs="Arial"/>
          <w:lang w:eastAsia="en-GB"/>
        </w:rPr>
        <w:t>should</w:t>
      </w:r>
      <w:r w:rsidRPr="008204CC">
        <w:rPr>
          <w:rFonts w:ascii="Arial" w:hAnsi="Arial" w:cs="Arial"/>
          <w:lang w:eastAsia="en-GB"/>
        </w:rPr>
        <w:t xml:space="preserve"> be place</w:t>
      </w:r>
      <w:r w:rsidR="00962992">
        <w:rPr>
          <w:rFonts w:ascii="Arial" w:hAnsi="Arial" w:cs="Arial"/>
          <w:lang w:eastAsia="en-GB"/>
        </w:rPr>
        <w:t>d</w:t>
      </w:r>
      <w:r w:rsidRPr="008204CC">
        <w:rPr>
          <w:rFonts w:ascii="Arial" w:hAnsi="Arial" w:cs="Arial"/>
          <w:lang w:eastAsia="en-GB"/>
        </w:rPr>
        <w:t xml:space="preserve"> on the movements of the fundamentals. </w:t>
      </w:r>
    </w:p>
    <w:p w14:paraId="232FD633" w14:textId="77777777" w:rsidR="008462CA" w:rsidRDefault="008462CA" w:rsidP="0066301C">
      <w:pPr>
        <w:spacing w:after="200" w:line="360" w:lineRule="auto"/>
        <w:jc w:val="both"/>
        <w:rPr>
          <w:rFonts w:ascii="Arial" w:hAnsi="Arial" w:cs="Arial"/>
          <w:lang w:eastAsia="en-GB"/>
        </w:rPr>
      </w:pPr>
    </w:p>
    <w:p w14:paraId="471EE202" w14:textId="77777777" w:rsidR="008462CA" w:rsidRDefault="008462CA" w:rsidP="0066301C">
      <w:pPr>
        <w:spacing w:after="200" w:line="360" w:lineRule="auto"/>
        <w:jc w:val="both"/>
        <w:rPr>
          <w:rFonts w:ascii="Arial" w:hAnsi="Arial" w:cs="Arial"/>
          <w:lang w:eastAsia="en-GB"/>
        </w:rPr>
      </w:pPr>
    </w:p>
    <w:p w14:paraId="6E1A636B" w14:textId="77777777" w:rsidR="00166DB2" w:rsidRDefault="00166DB2" w:rsidP="0066301C">
      <w:pPr>
        <w:spacing w:after="200" w:line="360" w:lineRule="auto"/>
        <w:jc w:val="both"/>
        <w:rPr>
          <w:rFonts w:ascii="Arial" w:hAnsi="Arial" w:cs="Arial"/>
          <w:lang w:eastAsia="en-GB"/>
        </w:rPr>
      </w:pPr>
    </w:p>
    <w:p w14:paraId="1356BF4A" w14:textId="77777777" w:rsidR="00C32AE6" w:rsidRPr="00115880" w:rsidRDefault="00C32AE6" w:rsidP="0066301C">
      <w:pPr>
        <w:spacing w:after="200" w:line="360" w:lineRule="auto"/>
        <w:jc w:val="both"/>
        <w:rPr>
          <w:rFonts w:ascii="Arial" w:hAnsi="Arial" w:cs="Arial"/>
          <w:lang w:eastAsia="en-GB"/>
        </w:rPr>
      </w:pPr>
    </w:p>
    <w:p w14:paraId="69EE237E" w14:textId="75E7668C" w:rsidR="00806598" w:rsidRPr="008204CC" w:rsidRDefault="00806598" w:rsidP="0066301C">
      <w:pPr>
        <w:spacing w:after="0" w:line="240" w:lineRule="auto"/>
        <w:jc w:val="both"/>
        <w:rPr>
          <w:rFonts w:ascii="Arial" w:hAnsi="Arial" w:cs="Arial"/>
          <w:b/>
          <w:lang w:eastAsia="en-GB"/>
        </w:rPr>
      </w:pPr>
      <w:r w:rsidRPr="00807090">
        <w:rPr>
          <w:rFonts w:ascii="Arial" w:hAnsi="Arial" w:cs="Arial"/>
          <w:b/>
          <w:i/>
          <w:lang w:eastAsia="en-GB"/>
        </w:rPr>
        <w:t xml:space="preserve">Figure </w:t>
      </w:r>
      <w:r w:rsidR="00807090" w:rsidRPr="00807090">
        <w:rPr>
          <w:rFonts w:ascii="Arial" w:hAnsi="Arial" w:cs="Arial"/>
          <w:b/>
          <w:i/>
          <w:lang w:eastAsia="en-GB"/>
        </w:rPr>
        <w:t>3</w:t>
      </w:r>
      <w:r w:rsidRPr="00807090">
        <w:rPr>
          <w:rFonts w:ascii="Arial" w:hAnsi="Arial" w:cs="Arial"/>
          <w:b/>
          <w:i/>
          <w:lang w:eastAsia="en-GB"/>
        </w:rPr>
        <w:t>.1b:</w:t>
      </w:r>
      <w:r w:rsidRPr="008204CC">
        <w:rPr>
          <w:rFonts w:ascii="Arial" w:hAnsi="Arial" w:cs="Arial"/>
          <w:b/>
          <w:i/>
          <w:lang w:eastAsia="en-GB"/>
        </w:rPr>
        <w:t xml:space="preserve"> Actual, Equilibrium, and Misalign REER </w:t>
      </w:r>
      <w:r w:rsidRPr="008204CC">
        <w:rPr>
          <w:rFonts w:ascii="Arial" w:hAnsi="Arial" w:cs="Arial"/>
          <w:b/>
          <w:lang w:eastAsia="en-GB"/>
        </w:rPr>
        <w:t>(</w:t>
      </w:r>
      <w:r w:rsidRPr="008204CC">
        <w:rPr>
          <w:rFonts w:ascii="Arial" w:hAnsi="Arial" w:cs="Arial"/>
          <w:b/>
          <w:i/>
          <w:lang w:eastAsia="en-GB"/>
        </w:rPr>
        <w:t>CAR</w:t>
      </w:r>
      <w:r w:rsidRPr="008204CC">
        <w:rPr>
          <w:rFonts w:ascii="Arial" w:hAnsi="Arial" w:cs="Arial"/>
          <w:b/>
          <w:lang w:eastAsia="en-GB"/>
        </w:rPr>
        <w:t>)</w:t>
      </w:r>
    </w:p>
    <w:p w14:paraId="6FD47CA6" w14:textId="77777777" w:rsidR="00806598" w:rsidRPr="008204CC" w:rsidRDefault="00806598" w:rsidP="0066301C">
      <w:pPr>
        <w:spacing w:after="0" w:line="240" w:lineRule="auto"/>
        <w:jc w:val="both"/>
        <w:rPr>
          <w:rFonts w:ascii="Arial" w:hAnsi="Arial" w:cs="Arial"/>
        </w:rPr>
      </w:pPr>
      <w:r w:rsidRPr="008204CC">
        <w:rPr>
          <w:rFonts w:ascii="Arial" w:hAnsi="Arial" w:cs="Arial"/>
          <w:noProof/>
          <w:lang w:val="en-US"/>
        </w:rPr>
        <w:lastRenderedPageBreak/>
        <w:drawing>
          <wp:inline distT="0" distB="0" distL="0" distR="0" wp14:anchorId="76FB7D7F" wp14:editId="63830D37">
            <wp:extent cx="4807392" cy="2318210"/>
            <wp:effectExtent l="19050" t="19050" r="0" b="6350"/>
            <wp:docPr id="350" name="Picture 35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a:blip r:embed="rId25">
                      <a:extLst>
                        <a:ext uri="{28A0092B-C50C-407E-A947-70E740481C1C}">
                          <a14:useLocalDpi xmlns:a14="http://schemas.microsoft.com/office/drawing/2010/main" val="0"/>
                        </a:ext>
                      </a:extLst>
                    </a:blip>
                    <a:srcRect/>
                    <a:stretch>
                      <a:fillRect/>
                    </a:stretch>
                  </pic:blipFill>
                  <pic:spPr bwMode="auto">
                    <a:xfrm>
                      <a:off x="0" y="0"/>
                      <a:ext cx="4847125" cy="2337370"/>
                    </a:xfrm>
                    <a:prstGeom prst="rect">
                      <a:avLst/>
                    </a:prstGeom>
                    <a:noFill/>
                    <a:ln w="12700">
                      <a:solidFill>
                        <a:srgbClr val="5B9BD5"/>
                      </a:solidFill>
                    </a:ln>
                  </pic:spPr>
                </pic:pic>
              </a:graphicData>
            </a:graphic>
          </wp:inline>
        </w:drawing>
      </w:r>
    </w:p>
    <w:p w14:paraId="45BEF161" w14:textId="7873648E" w:rsidR="00806598" w:rsidRPr="008204CC" w:rsidRDefault="00806598" w:rsidP="0066301C">
      <w:pPr>
        <w:spacing w:after="0" w:line="240" w:lineRule="auto"/>
        <w:jc w:val="both"/>
        <w:rPr>
          <w:rFonts w:ascii="Arial" w:hAnsi="Arial" w:cs="Arial"/>
          <w:sz w:val="20"/>
          <w:szCs w:val="20"/>
        </w:rPr>
      </w:pPr>
      <w:r w:rsidRPr="008204CC">
        <w:rPr>
          <w:rFonts w:ascii="Arial" w:hAnsi="Arial" w:cs="Arial"/>
          <w:i/>
          <w:sz w:val="20"/>
          <w:szCs w:val="20"/>
          <w:lang w:eastAsia="en-GB"/>
        </w:rPr>
        <w:t xml:space="preserve">Source: </w:t>
      </w:r>
      <w:r w:rsidRPr="008204CC">
        <w:rPr>
          <w:rFonts w:ascii="Arial" w:hAnsi="Arial" w:cs="Arial"/>
          <w:sz w:val="20"/>
          <w:szCs w:val="20"/>
          <w:lang w:eastAsia="en-GB"/>
        </w:rPr>
        <w:t xml:space="preserve">Extracted from </w:t>
      </w:r>
      <w:r w:rsidRPr="00807090">
        <w:rPr>
          <w:rFonts w:ascii="Arial" w:hAnsi="Arial" w:cs="Arial"/>
          <w:sz w:val="20"/>
          <w:szCs w:val="20"/>
          <w:lang w:eastAsia="en-GB"/>
        </w:rPr>
        <w:t xml:space="preserve">table </w:t>
      </w:r>
      <w:r w:rsidR="00921FDC">
        <w:rPr>
          <w:rFonts w:ascii="Arial" w:hAnsi="Arial" w:cs="Arial"/>
          <w:sz w:val="20"/>
          <w:szCs w:val="20"/>
          <w:lang w:eastAsia="en-GB"/>
        </w:rPr>
        <w:t>3</w:t>
      </w:r>
      <w:r w:rsidRPr="00807090">
        <w:rPr>
          <w:rFonts w:ascii="Arial" w:hAnsi="Arial" w:cs="Arial"/>
          <w:sz w:val="20"/>
          <w:szCs w:val="20"/>
          <w:lang w:eastAsia="en-GB"/>
        </w:rPr>
        <w:t>.</w:t>
      </w:r>
      <w:r w:rsidR="00E303F7" w:rsidRPr="00807090">
        <w:rPr>
          <w:rFonts w:ascii="Arial" w:hAnsi="Arial" w:cs="Arial"/>
          <w:sz w:val="20"/>
          <w:szCs w:val="20"/>
          <w:lang w:eastAsia="en-GB"/>
        </w:rPr>
        <w:t>8</w:t>
      </w:r>
      <w:r w:rsidRPr="008204CC">
        <w:rPr>
          <w:rFonts w:ascii="Arial" w:hAnsi="Arial" w:cs="Arial"/>
          <w:sz w:val="20"/>
          <w:szCs w:val="20"/>
          <w:lang w:eastAsia="en-GB"/>
        </w:rPr>
        <w:t xml:space="preserve"> </w:t>
      </w:r>
      <w:r w:rsidRPr="008204CC">
        <w:rPr>
          <w:rFonts w:ascii="Arial" w:hAnsi="Arial" w:cs="Arial"/>
          <w:sz w:val="20"/>
          <w:szCs w:val="20"/>
        </w:rPr>
        <w:t>The Hodrick-Prescott Filter (CAR).</w:t>
      </w:r>
    </w:p>
    <w:p w14:paraId="493EE07E" w14:textId="77777777" w:rsidR="00806598" w:rsidRPr="008204CC" w:rsidRDefault="00806598" w:rsidP="0066301C">
      <w:pPr>
        <w:spacing w:after="0" w:line="240" w:lineRule="auto"/>
        <w:rPr>
          <w:rFonts w:ascii="Arial" w:hAnsi="Arial" w:cs="Arial"/>
          <w:sz w:val="20"/>
          <w:szCs w:val="20"/>
          <w:lang w:eastAsia="en-GB"/>
        </w:rPr>
      </w:pPr>
      <w:r w:rsidRPr="008204CC">
        <w:rPr>
          <w:rFonts w:ascii="Arial" w:hAnsi="Arial" w:cs="Arial"/>
          <w:sz w:val="20"/>
          <w:szCs w:val="20"/>
          <w:lang w:eastAsia="en-GB"/>
        </w:rPr>
        <w:t xml:space="preserve">The blue line represents the REER, the red line represents the BEER (EREER), </w:t>
      </w:r>
    </w:p>
    <w:p w14:paraId="0C371BD7" w14:textId="77777777" w:rsidR="00806598" w:rsidRPr="008204CC" w:rsidRDefault="00806598" w:rsidP="0066301C">
      <w:pPr>
        <w:spacing w:after="0" w:line="360" w:lineRule="auto"/>
        <w:rPr>
          <w:rFonts w:ascii="Arial" w:hAnsi="Arial" w:cs="Arial"/>
          <w:sz w:val="20"/>
          <w:szCs w:val="20"/>
          <w:lang w:eastAsia="en-GB"/>
        </w:rPr>
      </w:pPr>
      <w:r w:rsidRPr="008204CC">
        <w:rPr>
          <w:rFonts w:ascii="Arial" w:hAnsi="Arial" w:cs="Arial"/>
          <w:sz w:val="20"/>
          <w:szCs w:val="20"/>
          <w:lang w:eastAsia="en-GB"/>
        </w:rPr>
        <w:t>and the green line represents the misalignment.</w:t>
      </w:r>
    </w:p>
    <w:p w14:paraId="3933C752" w14:textId="77777777" w:rsidR="00806598" w:rsidRPr="008204CC" w:rsidRDefault="00806598" w:rsidP="0066301C">
      <w:pPr>
        <w:spacing w:after="0" w:line="360" w:lineRule="auto"/>
        <w:rPr>
          <w:rFonts w:ascii="Arial" w:hAnsi="Arial" w:cs="Arial"/>
          <w:sz w:val="20"/>
          <w:szCs w:val="20"/>
          <w:lang w:eastAsia="en-GB"/>
        </w:rPr>
      </w:pPr>
    </w:p>
    <w:p w14:paraId="45E58F36" w14:textId="06D13BD9" w:rsidR="001C0580" w:rsidRPr="008462CA" w:rsidRDefault="00806598" w:rsidP="008462CA">
      <w:pPr>
        <w:spacing w:after="0" w:line="360" w:lineRule="auto"/>
        <w:jc w:val="both"/>
        <w:rPr>
          <w:rFonts w:ascii="Arial" w:hAnsi="Arial" w:cs="Arial"/>
          <w:lang w:eastAsia="en-GB"/>
        </w:rPr>
      </w:pPr>
      <w:r w:rsidRPr="008204CC">
        <w:rPr>
          <w:rFonts w:ascii="Arial" w:hAnsi="Arial" w:cs="Arial"/>
          <w:lang w:eastAsia="en-GB"/>
        </w:rPr>
        <w:t>From the above figure for CAR, the actual REER was above the equilibrium (overvalued) in 1980.</w:t>
      </w:r>
      <w:r>
        <w:rPr>
          <w:rStyle w:val="FootnoteReference"/>
          <w:rFonts w:ascii="Arial" w:hAnsi="Arial" w:cs="Arial"/>
          <w:lang w:eastAsia="en-GB"/>
        </w:rPr>
        <w:footnoteReference w:id="78"/>
      </w:r>
      <w:r w:rsidRPr="008204CC">
        <w:rPr>
          <w:rFonts w:ascii="Arial" w:hAnsi="Arial" w:cs="Arial"/>
          <w:lang w:eastAsia="en-GB"/>
        </w:rPr>
        <w:t xml:space="preserve"> The actual REER experienced a sharp drop in 1994 due to the devaluation that occurred during that year. Before the devaluation, the actual REER went through a series of undervaluation and overvaluation</w:t>
      </w:r>
      <w:r w:rsidR="00ED38F8">
        <w:rPr>
          <w:rFonts w:ascii="Arial" w:hAnsi="Arial" w:cs="Arial"/>
          <w:lang w:eastAsia="en-GB"/>
        </w:rPr>
        <w:t>,</w:t>
      </w:r>
      <w:r w:rsidRPr="008204CC">
        <w:rPr>
          <w:rFonts w:ascii="Arial" w:hAnsi="Arial" w:cs="Arial"/>
          <w:lang w:eastAsia="en-GB"/>
        </w:rPr>
        <w:t xml:space="preserve"> just like the situation </w:t>
      </w:r>
      <w:r w:rsidR="00ED38F8">
        <w:rPr>
          <w:rFonts w:ascii="Arial" w:hAnsi="Arial" w:cs="Arial"/>
          <w:lang w:eastAsia="en-GB"/>
        </w:rPr>
        <w:t>in</w:t>
      </w:r>
      <w:r w:rsidRPr="008204CC">
        <w:rPr>
          <w:rFonts w:ascii="Arial" w:hAnsi="Arial" w:cs="Arial"/>
          <w:lang w:eastAsia="en-GB"/>
        </w:rPr>
        <w:t xml:space="preserve"> Cameroon. After the devaluation, the actual REER experienced a period of undervaluation</w:t>
      </w:r>
      <w:r w:rsidR="00387E64">
        <w:rPr>
          <w:rFonts w:ascii="Arial" w:hAnsi="Arial" w:cs="Arial"/>
          <w:lang w:eastAsia="en-GB"/>
        </w:rPr>
        <w:t>,</w:t>
      </w:r>
      <w:r w:rsidRPr="008204CC">
        <w:rPr>
          <w:rFonts w:ascii="Arial" w:hAnsi="Arial" w:cs="Arial"/>
          <w:lang w:eastAsia="en-GB"/>
        </w:rPr>
        <w:t xml:space="preserve"> after which it began revolving around the equilibrium. The misalignment of the real exchange rate is extracted an</w:t>
      </w:r>
      <w:r>
        <w:rPr>
          <w:rFonts w:ascii="Arial" w:hAnsi="Arial" w:cs="Arial"/>
          <w:lang w:eastAsia="en-GB"/>
        </w:rPr>
        <w:t xml:space="preserve">d shown in figure </w:t>
      </w:r>
      <w:r w:rsidR="00921FDC" w:rsidRPr="00921FDC">
        <w:rPr>
          <w:rFonts w:ascii="Arial" w:hAnsi="Arial" w:cs="Arial"/>
          <w:lang w:eastAsia="en-GB"/>
        </w:rPr>
        <w:t>3</w:t>
      </w:r>
      <w:r w:rsidRPr="00921FDC">
        <w:rPr>
          <w:rFonts w:ascii="Arial" w:hAnsi="Arial" w:cs="Arial"/>
          <w:lang w:eastAsia="en-GB"/>
        </w:rPr>
        <w:t>.2b below.</w:t>
      </w:r>
    </w:p>
    <w:p w14:paraId="6B4462EB" w14:textId="77777777" w:rsidR="005E7379" w:rsidRDefault="005E7379" w:rsidP="0066301C">
      <w:pPr>
        <w:spacing w:after="0" w:line="240" w:lineRule="auto"/>
        <w:jc w:val="both"/>
        <w:rPr>
          <w:rFonts w:ascii="Arial" w:hAnsi="Arial" w:cs="Arial"/>
          <w:b/>
          <w:i/>
          <w:lang w:eastAsia="en-GB"/>
        </w:rPr>
      </w:pPr>
    </w:p>
    <w:p w14:paraId="53708AFB" w14:textId="160224A4" w:rsidR="00806598" w:rsidRPr="008204CC" w:rsidRDefault="00806598" w:rsidP="0066301C">
      <w:pPr>
        <w:spacing w:after="0" w:line="240" w:lineRule="auto"/>
        <w:jc w:val="both"/>
        <w:rPr>
          <w:rFonts w:ascii="Arial" w:hAnsi="Arial" w:cs="Arial"/>
          <w:b/>
          <w:lang w:eastAsia="en-GB"/>
        </w:rPr>
      </w:pPr>
      <w:r w:rsidRPr="00921FDC">
        <w:rPr>
          <w:rFonts w:ascii="Arial" w:hAnsi="Arial" w:cs="Arial"/>
          <w:b/>
          <w:i/>
          <w:lang w:eastAsia="en-GB"/>
        </w:rPr>
        <w:t xml:space="preserve">Figure </w:t>
      </w:r>
      <w:r w:rsidR="00921FDC" w:rsidRPr="00921FDC">
        <w:rPr>
          <w:rFonts w:ascii="Arial" w:hAnsi="Arial" w:cs="Arial"/>
          <w:b/>
          <w:i/>
          <w:lang w:eastAsia="en-GB"/>
        </w:rPr>
        <w:t>3</w:t>
      </w:r>
      <w:r w:rsidRPr="00921FDC">
        <w:rPr>
          <w:rFonts w:ascii="Arial" w:hAnsi="Arial" w:cs="Arial"/>
          <w:b/>
          <w:i/>
          <w:lang w:eastAsia="en-GB"/>
        </w:rPr>
        <w:t>.2b:</w:t>
      </w:r>
      <w:r w:rsidRPr="008204CC">
        <w:rPr>
          <w:rFonts w:ascii="Arial" w:hAnsi="Arial" w:cs="Arial"/>
          <w:b/>
          <w:i/>
          <w:lang w:eastAsia="en-GB"/>
        </w:rPr>
        <w:t xml:space="preserve"> Misalignment of the REER</w:t>
      </w:r>
      <w:r w:rsidRPr="008204CC">
        <w:rPr>
          <w:rFonts w:ascii="Arial" w:hAnsi="Arial" w:cs="Arial"/>
          <w:b/>
          <w:lang w:eastAsia="en-GB"/>
        </w:rPr>
        <w:t xml:space="preserve"> (</w:t>
      </w:r>
      <w:r w:rsidRPr="008204CC">
        <w:rPr>
          <w:rFonts w:ascii="Arial" w:hAnsi="Arial" w:cs="Arial"/>
          <w:b/>
          <w:i/>
          <w:lang w:eastAsia="en-GB"/>
        </w:rPr>
        <w:t>CAR</w:t>
      </w:r>
      <w:r w:rsidRPr="008204CC">
        <w:rPr>
          <w:rFonts w:ascii="Arial" w:hAnsi="Arial" w:cs="Arial"/>
          <w:b/>
          <w:lang w:eastAsia="en-GB"/>
        </w:rPr>
        <w:t>).</w:t>
      </w:r>
    </w:p>
    <w:p w14:paraId="1F909A13" w14:textId="77777777" w:rsidR="00806598" w:rsidRPr="008204CC" w:rsidRDefault="00806598" w:rsidP="0019196C">
      <w:pPr>
        <w:spacing w:after="0" w:line="240" w:lineRule="auto"/>
        <w:jc w:val="both"/>
        <w:rPr>
          <w:rFonts w:ascii="Arial" w:hAnsi="Arial" w:cs="Arial"/>
        </w:rPr>
      </w:pPr>
      <w:r w:rsidRPr="008204CC">
        <w:rPr>
          <w:rFonts w:ascii="Arial" w:hAnsi="Arial" w:cs="Arial"/>
          <w:noProof/>
          <w:lang w:val="en-US"/>
        </w:rPr>
        <w:drawing>
          <wp:inline distT="0" distB="0" distL="0" distR="0" wp14:anchorId="0F7D1602" wp14:editId="365207D0">
            <wp:extent cx="4910759" cy="2294255"/>
            <wp:effectExtent l="19050" t="19050" r="4445" b="0"/>
            <wp:docPr id="351" name="Picture 35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pic:cNvPicPr>
                      <a:picLocks noChangeAspect="1" noChangeArrowheads="1"/>
                    </pic:cNvPicPr>
                  </pic:nvPicPr>
                  <pic:blipFill>
                    <a:blip r:embed="rId26">
                      <a:extLst>
                        <a:ext uri="{28A0092B-C50C-407E-A947-70E740481C1C}">
                          <a14:useLocalDpi xmlns:a14="http://schemas.microsoft.com/office/drawing/2010/main" val="0"/>
                        </a:ext>
                      </a:extLst>
                    </a:blip>
                    <a:srcRect/>
                    <a:stretch>
                      <a:fillRect/>
                    </a:stretch>
                  </pic:blipFill>
                  <pic:spPr bwMode="auto">
                    <a:xfrm>
                      <a:off x="0" y="0"/>
                      <a:ext cx="4943348" cy="2309480"/>
                    </a:xfrm>
                    <a:prstGeom prst="rect">
                      <a:avLst/>
                    </a:prstGeom>
                    <a:noFill/>
                    <a:ln w="12700">
                      <a:solidFill>
                        <a:srgbClr val="5B9BD5"/>
                      </a:solidFill>
                    </a:ln>
                  </pic:spPr>
                </pic:pic>
              </a:graphicData>
            </a:graphic>
          </wp:inline>
        </w:drawing>
      </w:r>
    </w:p>
    <w:p w14:paraId="09738B0B" w14:textId="51A0A702" w:rsidR="00806598" w:rsidRPr="008204CC" w:rsidRDefault="00806598" w:rsidP="0019196C">
      <w:pPr>
        <w:spacing w:after="0" w:line="240" w:lineRule="auto"/>
        <w:rPr>
          <w:rFonts w:ascii="Arial" w:hAnsi="Arial" w:cs="Arial"/>
          <w:sz w:val="20"/>
          <w:szCs w:val="20"/>
        </w:rPr>
      </w:pPr>
      <w:r w:rsidRPr="008204CC">
        <w:rPr>
          <w:rFonts w:ascii="Arial" w:hAnsi="Arial" w:cs="Arial"/>
          <w:i/>
          <w:sz w:val="20"/>
          <w:szCs w:val="20"/>
          <w:lang w:eastAsia="en-GB"/>
        </w:rPr>
        <w:t xml:space="preserve">Source: </w:t>
      </w:r>
      <w:r w:rsidRPr="008204CC">
        <w:rPr>
          <w:rFonts w:ascii="Arial" w:hAnsi="Arial" w:cs="Arial"/>
          <w:sz w:val="20"/>
          <w:szCs w:val="20"/>
          <w:lang w:eastAsia="en-GB"/>
        </w:rPr>
        <w:t xml:space="preserve">Extracted from </w:t>
      </w:r>
      <w:r w:rsidRPr="00E41BD7">
        <w:rPr>
          <w:rFonts w:ascii="Arial" w:hAnsi="Arial" w:cs="Arial"/>
          <w:sz w:val="20"/>
          <w:szCs w:val="20"/>
          <w:lang w:eastAsia="en-GB"/>
        </w:rPr>
        <w:t xml:space="preserve">figure </w:t>
      </w:r>
      <w:r w:rsidR="00921FDC" w:rsidRPr="00E41BD7">
        <w:rPr>
          <w:rFonts w:ascii="Arial" w:hAnsi="Arial" w:cs="Arial"/>
          <w:sz w:val="20"/>
          <w:szCs w:val="20"/>
          <w:lang w:eastAsia="en-GB"/>
        </w:rPr>
        <w:t>3</w:t>
      </w:r>
      <w:r w:rsidRPr="00E41BD7">
        <w:rPr>
          <w:rFonts w:ascii="Arial" w:hAnsi="Arial" w:cs="Arial"/>
          <w:sz w:val="20"/>
          <w:szCs w:val="20"/>
          <w:lang w:eastAsia="en-GB"/>
        </w:rPr>
        <w:t>.1b above</w:t>
      </w:r>
      <w:r w:rsidRPr="00E41BD7">
        <w:rPr>
          <w:rFonts w:ascii="Arial" w:hAnsi="Arial" w:cs="Arial"/>
          <w:sz w:val="20"/>
          <w:szCs w:val="20"/>
        </w:rPr>
        <w:t>.</w:t>
      </w:r>
    </w:p>
    <w:p w14:paraId="30A9EB0E" w14:textId="77777777" w:rsidR="00806598" w:rsidRPr="008204CC" w:rsidRDefault="00806598" w:rsidP="0019196C">
      <w:pPr>
        <w:spacing w:after="0" w:line="240" w:lineRule="auto"/>
        <w:rPr>
          <w:rFonts w:ascii="Arial" w:hAnsi="Arial" w:cs="Arial"/>
          <w:sz w:val="20"/>
          <w:szCs w:val="20"/>
        </w:rPr>
      </w:pPr>
      <w:r w:rsidRPr="008204CC">
        <w:rPr>
          <w:rFonts w:ascii="Arial" w:hAnsi="Arial" w:cs="Arial"/>
          <w:sz w:val="20"/>
          <w:szCs w:val="20"/>
        </w:rPr>
        <w:t xml:space="preserve">The currency is said to revolve around the equilibrium when the blue line </w:t>
      </w:r>
    </w:p>
    <w:p w14:paraId="01AB4B8F" w14:textId="77777777" w:rsidR="00806598" w:rsidRPr="008204CC" w:rsidRDefault="00806598" w:rsidP="0066301C">
      <w:pPr>
        <w:spacing w:after="0" w:line="240" w:lineRule="auto"/>
        <w:rPr>
          <w:rFonts w:ascii="Arial" w:hAnsi="Arial" w:cs="Arial"/>
          <w:sz w:val="20"/>
          <w:szCs w:val="20"/>
        </w:rPr>
      </w:pPr>
      <w:r w:rsidRPr="008204CC">
        <w:rPr>
          <w:rFonts w:ascii="Arial" w:hAnsi="Arial" w:cs="Arial"/>
          <w:sz w:val="20"/>
          <w:szCs w:val="20"/>
        </w:rPr>
        <w:t>(misalignment) revolves around the zero-horizontal line.</w:t>
      </w:r>
    </w:p>
    <w:p w14:paraId="237E6DC4" w14:textId="21B1BD0E" w:rsidR="00806598" w:rsidRPr="008204CC" w:rsidRDefault="00806598" w:rsidP="0066301C">
      <w:pPr>
        <w:tabs>
          <w:tab w:val="left" w:pos="7652"/>
        </w:tabs>
        <w:spacing w:after="200" w:line="360" w:lineRule="auto"/>
        <w:jc w:val="both"/>
        <w:rPr>
          <w:rFonts w:ascii="Arial" w:hAnsi="Arial" w:cs="Arial"/>
          <w:lang w:eastAsia="en-GB"/>
        </w:rPr>
      </w:pPr>
      <w:r w:rsidRPr="008204CC">
        <w:rPr>
          <w:rFonts w:ascii="Arial" w:hAnsi="Arial" w:cs="Arial"/>
          <w:lang w:eastAsia="en-GB"/>
        </w:rPr>
        <w:t xml:space="preserve">In the year 1980, CAR had an overvalued REER of </w:t>
      </w:r>
      <w:r>
        <w:rPr>
          <w:rFonts w:ascii="Arial" w:hAnsi="Arial" w:cs="Arial"/>
          <w:lang w:eastAsia="en-GB"/>
        </w:rPr>
        <w:t>(</w:t>
      </w:r>
      <w:r w:rsidRPr="008204CC">
        <w:rPr>
          <w:rFonts w:ascii="Arial" w:hAnsi="Arial" w:cs="Arial"/>
          <w:lang w:eastAsia="en-GB"/>
        </w:rPr>
        <w:t>9.80%</w:t>
      </w:r>
      <w:r>
        <w:rPr>
          <w:rFonts w:ascii="Arial" w:hAnsi="Arial" w:cs="Arial"/>
          <w:lang w:eastAsia="en-GB"/>
        </w:rPr>
        <w:t>)</w:t>
      </w:r>
      <w:r w:rsidRPr="008204CC">
        <w:rPr>
          <w:rFonts w:ascii="Arial" w:hAnsi="Arial" w:cs="Arial"/>
          <w:lang w:eastAsia="en-GB"/>
        </w:rPr>
        <w:t>. From 1981 to 1984, it experienced an undervalued REER. Between the periods 1985 to 1993, the exchange rate was overvalue</w:t>
      </w:r>
      <w:r>
        <w:rPr>
          <w:rFonts w:ascii="Arial" w:hAnsi="Arial" w:cs="Arial"/>
          <w:lang w:eastAsia="en-GB"/>
        </w:rPr>
        <w:t>d</w:t>
      </w:r>
      <w:r w:rsidR="006A2D2C">
        <w:rPr>
          <w:rFonts w:ascii="Arial" w:hAnsi="Arial" w:cs="Arial"/>
          <w:lang w:eastAsia="en-GB"/>
        </w:rPr>
        <w:t>,</w:t>
      </w:r>
      <w:r w:rsidRPr="008204CC">
        <w:rPr>
          <w:rFonts w:ascii="Arial" w:hAnsi="Arial" w:cs="Arial"/>
          <w:lang w:eastAsia="en-GB"/>
        </w:rPr>
        <w:t xml:space="preserve"> </w:t>
      </w:r>
      <w:r w:rsidRPr="008204CC">
        <w:rPr>
          <w:rFonts w:ascii="Arial" w:hAnsi="Arial" w:cs="Arial"/>
          <w:lang w:eastAsia="en-GB"/>
        </w:rPr>
        <w:lastRenderedPageBreak/>
        <w:t xml:space="preserve">which might have been a contributing factor for the </w:t>
      </w:r>
      <w:r>
        <w:rPr>
          <w:rFonts w:ascii="Arial" w:hAnsi="Arial" w:cs="Arial"/>
          <w:lang w:eastAsia="en-GB"/>
        </w:rPr>
        <w:t xml:space="preserve">1994 CFA franc </w:t>
      </w:r>
      <w:r w:rsidRPr="008204CC">
        <w:rPr>
          <w:rFonts w:ascii="Arial" w:hAnsi="Arial" w:cs="Arial"/>
          <w:lang w:eastAsia="en-GB"/>
        </w:rPr>
        <w:t xml:space="preserve">devaluation.  After the 1994 </w:t>
      </w:r>
      <w:r>
        <w:rPr>
          <w:rFonts w:ascii="Arial" w:hAnsi="Arial" w:cs="Arial"/>
          <w:lang w:eastAsia="en-GB"/>
        </w:rPr>
        <w:t>CF</w:t>
      </w:r>
      <w:r w:rsidR="005D2626">
        <w:rPr>
          <w:rFonts w:ascii="Arial" w:hAnsi="Arial" w:cs="Arial"/>
          <w:lang w:eastAsia="en-GB"/>
        </w:rPr>
        <w:t>A</w:t>
      </w:r>
      <w:r>
        <w:rPr>
          <w:rFonts w:ascii="Arial" w:hAnsi="Arial" w:cs="Arial"/>
          <w:lang w:eastAsia="en-GB"/>
        </w:rPr>
        <w:t xml:space="preserve"> franc </w:t>
      </w:r>
      <w:r w:rsidRPr="008204CC">
        <w:rPr>
          <w:rFonts w:ascii="Arial" w:hAnsi="Arial" w:cs="Arial"/>
          <w:lang w:eastAsia="en-GB"/>
        </w:rPr>
        <w:t>devaluation, the REER was undervalue</w:t>
      </w:r>
      <w:r>
        <w:rPr>
          <w:rFonts w:ascii="Arial" w:hAnsi="Arial" w:cs="Arial"/>
          <w:lang w:eastAsia="en-GB"/>
        </w:rPr>
        <w:t>d</w:t>
      </w:r>
      <w:r w:rsidRPr="008204CC">
        <w:rPr>
          <w:rFonts w:ascii="Arial" w:hAnsi="Arial" w:cs="Arial"/>
          <w:lang w:eastAsia="en-GB"/>
        </w:rPr>
        <w:t xml:space="preserve"> until 2001. From </w:t>
      </w:r>
      <w:r>
        <w:rPr>
          <w:rFonts w:ascii="Arial" w:hAnsi="Arial" w:cs="Arial"/>
          <w:lang w:eastAsia="en-GB"/>
        </w:rPr>
        <w:t xml:space="preserve">the year </w:t>
      </w:r>
      <w:r w:rsidRPr="008204CC">
        <w:rPr>
          <w:rFonts w:ascii="Arial" w:hAnsi="Arial" w:cs="Arial"/>
          <w:lang w:eastAsia="en-GB"/>
        </w:rPr>
        <w:t xml:space="preserve">2002 </w:t>
      </w:r>
      <w:r>
        <w:rPr>
          <w:rFonts w:ascii="Arial" w:hAnsi="Arial" w:cs="Arial"/>
          <w:lang w:eastAsia="en-GB"/>
        </w:rPr>
        <w:t>un</w:t>
      </w:r>
      <w:r w:rsidRPr="008204CC">
        <w:rPr>
          <w:rFonts w:ascii="Arial" w:hAnsi="Arial" w:cs="Arial"/>
          <w:lang w:eastAsia="en-GB"/>
        </w:rPr>
        <w:t>til 2016, the REER has been experiencing series of fluctuation</w:t>
      </w:r>
      <w:r w:rsidR="00D83411">
        <w:rPr>
          <w:rFonts w:ascii="Arial" w:hAnsi="Arial" w:cs="Arial"/>
          <w:lang w:eastAsia="en-GB"/>
        </w:rPr>
        <w:t>s</w:t>
      </w:r>
      <w:r w:rsidRPr="008204CC">
        <w:rPr>
          <w:rFonts w:ascii="Arial" w:hAnsi="Arial" w:cs="Arial"/>
          <w:lang w:eastAsia="en-GB"/>
        </w:rPr>
        <w:t xml:space="preserve"> between overvaluation and undervaluation. As of </w:t>
      </w:r>
      <w:r>
        <w:rPr>
          <w:rFonts w:ascii="Arial" w:hAnsi="Arial" w:cs="Arial"/>
          <w:lang w:eastAsia="en-GB"/>
        </w:rPr>
        <w:t xml:space="preserve">the year </w:t>
      </w:r>
      <w:r w:rsidRPr="008204CC">
        <w:rPr>
          <w:rFonts w:ascii="Arial" w:hAnsi="Arial" w:cs="Arial"/>
          <w:lang w:eastAsia="en-GB"/>
        </w:rPr>
        <w:t xml:space="preserve">2018, the currency was </w:t>
      </w:r>
      <w:r w:rsidR="005D2626">
        <w:rPr>
          <w:rFonts w:ascii="Arial" w:hAnsi="Arial" w:cs="Arial"/>
          <w:lang w:eastAsia="en-GB"/>
        </w:rPr>
        <w:t>within equilibrium</w:t>
      </w:r>
      <w:r w:rsidRPr="008204CC">
        <w:rPr>
          <w:rFonts w:ascii="Arial" w:hAnsi="Arial" w:cs="Arial"/>
          <w:lang w:eastAsia="en-GB"/>
        </w:rPr>
        <w:t xml:space="preserve"> </w:t>
      </w:r>
      <w:r>
        <w:rPr>
          <w:rFonts w:ascii="Arial" w:hAnsi="Arial" w:cs="Arial"/>
          <w:lang w:eastAsia="en-GB"/>
        </w:rPr>
        <w:t>(</w:t>
      </w:r>
      <w:r w:rsidRPr="008204CC">
        <w:rPr>
          <w:rFonts w:ascii="Arial" w:hAnsi="Arial" w:cs="Arial"/>
          <w:lang w:eastAsia="en-GB"/>
        </w:rPr>
        <w:t>3.73%</w:t>
      </w:r>
      <w:r>
        <w:rPr>
          <w:rFonts w:ascii="Arial" w:hAnsi="Arial" w:cs="Arial"/>
          <w:lang w:eastAsia="en-GB"/>
        </w:rPr>
        <w:t>)</w:t>
      </w:r>
      <w:r w:rsidRPr="008204CC">
        <w:rPr>
          <w:rFonts w:ascii="Arial" w:hAnsi="Arial" w:cs="Arial"/>
          <w:lang w:eastAsia="en-GB"/>
        </w:rPr>
        <w:t>.</w:t>
      </w:r>
      <w:r>
        <w:rPr>
          <w:rFonts w:ascii="Arial" w:hAnsi="Arial" w:cs="Arial"/>
          <w:lang w:eastAsia="en-GB"/>
        </w:rPr>
        <w:t xml:space="preserve"> Thus, it should not be a point of concern for the nation’s authorities.</w:t>
      </w:r>
      <w:r w:rsidRPr="008204CC">
        <w:rPr>
          <w:rFonts w:ascii="Arial" w:hAnsi="Arial" w:cs="Arial"/>
          <w:lang w:eastAsia="en-GB"/>
        </w:rPr>
        <w:t xml:space="preserve"> </w:t>
      </w:r>
    </w:p>
    <w:p w14:paraId="4445B040" w14:textId="1CA32CE9" w:rsidR="00806598" w:rsidRPr="008204CC" w:rsidRDefault="00806598" w:rsidP="0066301C">
      <w:pPr>
        <w:tabs>
          <w:tab w:val="left" w:pos="7652"/>
        </w:tabs>
        <w:spacing w:after="0" w:line="240" w:lineRule="auto"/>
        <w:jc w:val="both"/>
        <w:rPr>
          <w:rFonts w:ascii="Arial" w:hAnsi="Arial" w:cs="Arial"/>
          <w:lang w:eastAsia="en-GB"/>
        </w:rPr>
      </w:pPr>
      <w:r w:rsidRPr="00A11F9C">
        <w:rPr>
          <w:rFonts w:ascii="Arial" w:hAnsi="Arial" w:cs="Arial"/>
          <w:b/>
          <w:i/>
          <w:lang w:eastAsia="en-GB"/>
        </w:rPr>
        <w:t xml:space="preserve">Figure </w:t>
      </w:r>
      <w:r w:rsidR="00A11F9C" w:rsidRPr="00A11F9C">
        <w:rPr>
          <w:rFonts w:ascii="Arial" w:hAnsi="Arial" w:cs="Arial"/>
          <w:b/>
          <w:i/>
          <w:lang w:eastAsia="en-GB"/>
        </w:rPr>
        <w:t>3</w:t>
      </w:r>
      <w:r w:rsidRPr="00A11F9C">
        <w:rPr>
          <w:rFonts w:ascii="Arial" w:hAnsi="Arial" w:cs="Arial"/>
          <w:b/>
          <w:i/>
          <w:lang w:eastAsia="en-GB"/>
        </w:rPr>
        <w:t>.1c</w:t>
      </w:r>
      <w:r w:rsidRPr="008204CC">
        <w:rPr>
          <w:rFonts w:ascii="Arial" w:hAnsi="Arial" w:cs="Arial"/>
          <w:b/>
          <w:i/>
          <w:lang w:eastAsia="en-GB"/>
        </w:rPr>
        <w:t xml:space="preserve">: Actual, Equilibrium, and Misalign REER </w:t>
      </w:r>
      <w:r w:rsidRPr="008204CC">
        <w:rPr>
          <w:rFonts w:ascii="Arial" w:hAnsi="Arial" w:cs="Arial"/>
          <w:b/>
          <w:lang w:eastAsia="en-GB"/>
        </w:rPr>
        <w:t>(Gabon)</w:t>
      </w:r>
    </w:p>
    <w:p w14:paraId="408772FF" w14:textId="77777777" w:rsidR="00806598" w:rsidRPr="008204CC" w:rsidRDefault="00806598" w:rsidP="0066301C">
      <w:pPr>
        <w:spacing w:after="0" w:line="240" w:lineRule="auto"/>
        <w:jc w:val="both"/>
        <w:rPr>
          <w:rFonts w:ascii="Arial" w:hAnsi="Arial" w:cs="Arial"/>
          <w:i/>
          <w:lang w:eastAsia="en-GB"/>
        </w:rPr>
      </w:pPr>
      <w:r w:rsidRPr="008204CC">
        <w:rPr>
          <w:rFonts w:ascii="Arial" w:hAnsi="Arial" w:cs="Arial"/>
          <w:noProof/>
          <w:lang w:val="en-US"/>
        </w:rPr>
        <w:drawing>
          <wp:inline distT="0" distB="0" distL="0" distR="0" wp14:anchorId="4CE258CA" wp14:editId="23A4B206">
            <wp:extent cx="5022077" cy="2445385"/>
            <wp:effectExtent l="19050" t="19050" r="7620" b="0"/>
            <wp:docPr id="353" name="Picture 35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a:blip r:embed="rId27">
                      <a:extLst>
                        <a:ext uri="{28A0092B-C50C-407E-A947-70E740481C1C}">
                          <a14:useLocalDpi xmlns:a14="http://schemas.microsoft.com/office/drawing/2010/main" val="0"/>
                        </a:ext>
                      </a:extLst>
                    </a:blip>
                    <a:srcRect/>
                    <a:stretch>
                      <a:fillRect/>
                    </a:stretch>
                  </pic:blipFill>
                  <pic:spPr bwMode="auto">
                    <a:xfrm>
                      <a:off x="0" y="0"/>
                      <a:ext cx="5053069" cy="2460476"/>
                    </a:xfrm>
                    <a:prstGeom prst="rect">
                      <a:avLst/>
                    </a:prstGeom>
                    <a:noFill/>
                    <a:ln w="12700">
                      <a:solidFill>
                        <a:srgbClr val="5B9BD5"/>
                      </a:solidFill>
                    </a:ln>
                  </pic:spPr>
                </pic:pic>
              </a:graphicData>
            </a:graphic>
          </wp:inline>
        </w:drawing>
      </w:r>
    </w:p>
    <w:p w14:paraId="2753821F" w14:textId="39AFDABA" w:rsidR="00806598" w:rsidRPr="008204CC" w:rsidRDefault="00806598" w:rsidP="0066301C">
      <w:pPr>
        <w:spacing w:after="0" w:line="240" w:lineRule="auto"/>
        <w:jc w:val="both"/>
        <w:rPr>
          <w:rFonts w:ascii="Arial" w:hAnsi="Arial" w:cs="Arial"/>
          <w:sz w:val="20"/>
          <w:szCs w:val="20"/>
        </w:rPr>
      </w:pPr>
      <w:r w:rsidRPr="008204CC">
        <w:rPr>
          <w:rFonts w:ascii="Arial" w:hAnsi="Arial" w:cs="Arial"/>
          <w:i/>
          <w:sz w:val="20"/>
          <w:szCs w:val="20"/>
          <w:lang w:eastAsia="en-GB"/>
        </w:rPr>
        <w:t xml:space="preserve">Source: </w:t>
      </w:r>
      <w:r w:rsidRPr="008204CC">
        <w:rPr>
          <w:rFonts w:ascii="Arial" w:hAnsi="Arial" w:cs="Arial"/>
          <w:sz w:val="20"/>
          <w:szCs w:val="20"/>
          <w:lang w:eastAsia="en-GB"/>
        </w:rPr>
        <w:t xml:space="preserve">Extracted from </w:t>
      </w:r>
      <w:r w:rsidRPr="00A11F9C">
        <w:rPr>
          <w:rFonts w:ascii="Arial" w:hAnsi="Arial" w:cs="Arial"/>
          <w:sz w:val="20"/>
          <w:szCs w:val="20"/>
          <w:lang w:eastAsia="en-GB"/>
        </w:rPr>
        <w:t xml:space="preserve">table </w:t>
      </w:r>
      <w:r w:rsidR="00A11F9C" w:rsidRPr="00A11F9C">
        <w:rPr>
          <w:rFonts w:ascii="Arial" w:hAnsi="Arial" w:cs="Arial"/>
          <w:sz w:val="20"/>
          <w:szCs w:val="20"/>
          <w:lang w:eastAsia="en-GB"/>
        </w:rPr>
        <w:t>3</w:t>
      </w:r>
      <w:r w:rsidRPr="00A11F9C">
        <w:rPr>
          <w:rFonts w:ascii="Arial" w:hAnsi="Arial" w:cs="Arial"/>
          <w:sz w:val="20"/>
          <w:szCs w:val="20"/>
          <w:lang w:eastAsia="en-GB"/>
        </w:rPr>
        <w:t>.</w:t>
      </w:r>
      <w:r w:rsidR="005D2626" w:rsidRPr="00A11F9C">
        <w:rPr>
          <w:rFonts w:ascii="Arial" w:hAnsi="Arial" w:cs="Arial"/>
          <w:sz w:val="20"/>
          <w:szCs w:val="20"/>
          <w:lang w:eastAsia="en-GB"/>
        </w:rPr>
        <w:t>8</w:t>
      </w:r>
      <w:r w:rsidRPr="008204CC">
        <w:rPr>
          <w:rFonts w:ascii="Arial" w:hAnsi="Arial" w:cs="Arial"/>
          <w:sz w:val="20"/>
          <w:szCs w:val="20"/>
          <w:lang w:eastAsia="en-GB"/>
        </w:rPr>
        <w:t xml:space="preserve"> </w:t>
      </w:r>
      <w:r w:rsidRPr="008204CC">
        <w:rPr>
          <w:rFonts w:ascii="Arial" w:hAnsi="Arial" w:cs="Arial"/>
          <w:sz w:val="20"/>
          <w:szCs w:val="20"/>
        </w:rPr>
        <w:t>The Hodrick-Prescott Filter (Gabon).</w:t>
      </w:r>
    </w:p>
    <w:p w14:paraId="49B39ECD" w14:textId="77777777" w:rsidR="00806598" w:rsidRPr="008204CC" w:rsidRDefault="00806598" w:rsidP="0066301C">
      <w:pPr>
        <w:spacing w:after="0" w:line="240" w:lineRule="auto"/>
        <w:rPr>
          <w:rFonts w:ascii="Arial" w:hAnsi="Arial" w:cs="Arial"/>
          <w:sz w:val="20"/>
          <w:szCs w:val="20"/>
          <w:lang w:eastAsia="en-GB"/>
        </w:rPr>
      </w:pPr>
      <w:r w:rsidRPr="008204CC">
        <w:rPr>
          <w:rFonts w:ascii="Arial" w:hAnsi="Arial" w:cs="Arial"/>
          <w:sz w:val="20"/>
          <w:szCs w:val="20"/>
          <w:lang w:eastAsia="en-GB"/>
        </w:rPr>
        <w:t xml:space="preserve">The blue line represents the REER, the red line represents the BEER (EREER), </w:t>
      </w:r>
    </w:p>
    <w:p w14:paraId="12C406EA" w14:textId="48AB2A5A" w:rsidR="005E7379" w:rsidRPr="00F104AB" w:rsidRDefault="00806598" w:rsidP="00F104AB">
      <w:pPr>
        <w:spacing w:after="0" w:line="360" w:lineRule="auto"/>
        <w:rPr>
          <w:rFonts w:ascii="Arial" w:hAnsi="Arial" w:cs="Arial"/>
          <w:lang w:eastAsia="en-GB"/>
        </w:rPr>
      </w:pPr>
      <w:r w:rsidRPr="008204CC">
        <w:rPr>
          <w:rFonts w:ascii="Arial" w:hAnsi="Arial" w:cs="Arial"/>
          <w:sz w:val="20"/>
          <w:szCs w:val="20"/>
          <w:lang w:eastAsia="en-GB"/>
        </w:rPr>
        <w:t>and the green line represents the misalignment</w:t>
      </w:r>
      <w:r w:rsidRPr="008204CC">
        <w:rPr>
          <w:rFonts w:ascii="Arial" w:hAnsi="Arial" w:cs="Arial"/>
          <w:lang w:eastAsia="en-GB"/>
        </w:rPr>
        <w:t>.</w:t>
      </w:r>
    </w:p>
    <w:p w14:paraId="6E3A35D1" w14:textId="77777777" w:rsidR="001C0580" w:rsidRDefault="001C0580" w:rsidP="0066301C">
      <w:pPr>
        <w:spacing w:after="0" w:line="240" w:lineRule="auto"/>
        <w:jc w:val="both"/>
        <w:rPr>
          <w:rFonts w:ascii="Arial" w:hAnsi="Arial" w:cs="Arial"/>
          <w:b/>
          <w:i/>
          <w:lang w:eastAsia="en-GB"/>
        </w:rPr>
      </w:pPr>
    </w:p>
    <w:p w14:paraId="721831EF" w14:textId="647FB808" w:rsidR="00806598" w:rsidRPr="008204CC" w:rsidRDefault="00806598" w:rsidP="0066301C">
      <w:pPr>
        <w:spacing w:after="0" w:line="240" w:lineRule="auto"/>
        <w:jc w:val="both"/>
        <w:rPr>
          <w:rFonts w:ascii="Arial" w:hAnsi="Arial" w:cs="Arial"/>
          <w:lang w:eastAsia="en-GB"/>
        </w:rPr>
      </w:pPr>
      <w:r w:rsidRPr="00A11F9C">
        <w:rPr>
          <w:rFonts w:ascii="Arial" w:hAnsi="Arial" w:cs="Arial"/>
          <w:b/>
          <w:i/>
          <w:lang w:eastAsia="en-GB"/>
        </w:rPr>
        <w:t xml:space="preserve">Figure </w:t>
      </w:r>
      <w:r w:rsidR="00A11F9C" w:rsidRPr="00A11F9C">
        <w:rPr>
          <w:rFonts w:ascii="Arial" w:hAnsi="Arial" w:cs="Arial"/>
          <w:b/>
          <w:i/>
          <w:lang w:eastAsia="en-GB"/>
        </w:rPr>
        <w:t>3</w:t>
      </w:r>
      <w:r w:rsidRPr="00A11F9C">
        <w:rPr>
          <w:rFonts w:ascii="Arial" w:hAnsi="Arial" w:cs="Arial"/>
          <w:b/>
          <w:i/>
          <w:lang w:eastAsia="en-GB"/>
        </w:rPr>
        <w:t>.2c</w:t>
      </w:r>
      <w:r w:rsidRPr="008204CC">
        <w:rPr>
          <w:rFonts w:ascii="Arial" w:hAnsi="Arial" w:cs="Arial"/>
          <w:b/>
          <w:i/>
          <w:lang w:eastAsia="en-GB"/>
        </w:rPr>
        <w:t xml:space="preserve">: Misalignment of the REER </w:t>
      </w:r>
      <w:r w:rsidRPr="008204CC">
        <w:rPr>
          <w:rFonts w:ascii="Arial" w:hAnsi="Arial" w:cs="Arial"/>
          <w:b/>
          <w:lang w:eastAsia="en-GB"/>
        </w:rPr>
        <w:t>(Gabon)</w:t>
      </w:r>
      <w:r w:rsidRPr="008204CC">
        <w:rPr>
          <w:rFonts w:ascii="Arial" w:hAnsi="Arial" w:cs="Arial"/>
          <w:lang w:eastAsia="en-GB"/>
        </w:rPr>
        <w:t>.</w:t>
      </w:r>
    </w:p>
    <w:p w14:paraId="25409869" w14:textId="77777777" w:rsidR="00806598" w:rsidRPr="008204CC" w:rsidRDefault="00806598" w:rsidP="0066301C">
      <w:pPr>
        <w:spacing w:after="0" w:line="240" w:lineRule="auto"/>
        <w:jc w:val="both"/>
        <w:rPr>
          <w:rFonts w:ascii="Arial" w:hAnsi="Arial" w:cs="Arial"/>
        </w:rPr>
      </w:pPr>
      <w:r w:rsidRPr="008204CC">
        <w:rPr>
          <w:rFonts w:ascii="Arial" w:hAnsi="Arial" w:cs="Arial"/>
          <w:noProof/>
          <w:lang w:val="en-US"/>
        </w:rPr>
        <w:drawing>
          <wp:inline distT="0" distB="0" distL="0" distR="0" wp14:anchorId="02B5041D" wp14:editId="58A99D9F">
            <wp:extent cx="4918710" cy="2167255"/>
            <wp:effectExtent l="19050" t="19050" r="0" b="4445"/>
            <wp:docPr id="354" name="Picture 35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
                    <pic:cNvPicPr>
                      <a:picLocks noChangeAspect="1" noChangeArrowheads="1"/>
                    </pic:cNvPicPr>
                  </pic:nvPicPr>
                  <pic:blipFill>
                    <a:blip r:embed="rId28">
                      <a:extLst>
                        <a:ext uri="{28A0092B-C50C-407E-A947-70E740481C1C}">
                          <a14:useLocalDpi xmlns:a14="http://schemas.microsoft.com/office/drawing/2010/main" val="0"/>
                        </a:ext>
                      </a:extLst>
                    </a:blip>
                    <a:srcRect/>
                    <a:stretch>
                      <a:fillRect/>
                    </a:stretch>
                  </pic:blipFill>
                  <pic:spPr bwMode="auto">
                    <a:xfrm>
                      <a:off x="0" y="0"/>
                      <a:ext cx="5003115" cy="2204445"/>
                    </a:xfrm>
                    <a:prstGeom prst="rect">
                      <a:avLst/>
                    </a:prstGeom>
                    <a:noFill/>
                    <a:ln w="12700">
                      <a:solidFill>
                        <a:srgbClr val="5B9BD5"/>
                      </a:solidFill>
                    </a:ln>
                  </pic:spPr>
                </pic:pic>
              </a:graphicData>
            </a:graphic>
          </wp:inline>
        </w:drawing>
      </w:r>
    </w:p>
    <w:p w14:paraId="3A23ADEA" w14:textId="66E0D3AC" w:rsidR="00806598" w:rsidRPr="008204CC" w:rsidRDefault="00806598" w:rsidP="0066301C">
      <w:pPr>
        <w:spacing w:after="0" w:line="240" w:lineRule="auto"/>
        <w:jc w:val="both"/>
        <w:rPr>
          <w:rFonts w:ascii="Arial" w:hAnsi="Arial" w:cs="Arial"/>
          <w:sz w:val="20"/>
          <w:szCs w:val="20"/>
          <w:lang w:eastAsia="en-GB"/>
        </w:rPr>
      </w:pPr>
      <w:r w:rsidRPr="008204CC">
        <w:rPr>
          <w:rFonts w:ascii="Arial" w:hAnsi="Arial" w:cs="Arial"/>
          <w:i/>
          <w:sz w:val="20"/>
          <w:szCs w:val="20"/>
          <w:lang w:eastAsia="en-GB"/>
        </w:rPr>
        <w:t xml:space="preserve">Source: </w:t>
      </w:r>
      <w:r w:rsidRPr="008204CC">
        <w:rPr>
          <w:rFonts w:ascii="Arial" w:hAnsi="Arial" w:cs="Arial"/>
          <w:sz w:val="20"/>
          <w:szCs w:val="20"/>
          <w:lang w:eastAsia="en-GB"/>
        </w:rPr>
        <w:t xml:space="preserve">Extracted from </w:t>
      </w:r>
      <w:r w:rsidRPr="00A11F9C">
        <w:rPr>
          <w:rFonts w:ascii="Arial" w:hAnsi="Arial" w:cs="Arial"/>
          <w:sz w:val="20"/>
          <w:szCs w:val="20"/>
          <w:lang w:eastAsia="en-GB"/>
        </w:rPr>
        <w:t xml:space="preserve">figure </w:t>
      </w:r>
      <w:r w:rsidR="00A11F9C" w:rsidRPr="00A11F9C">
        <w:rPr>
          <w:rFonts w:ascii="Arial" w:hAnsi="Arial" w:cs="Arial"/>
          <w:sz w:val="20"/>
          <w:szCs w:val="20"/>
          <w:lang w:eastAsia="en-GB"/>
        </w:rPr>
        <w:t>3</w:t>
      </w:r>
      <w:r w:rsidRPr="00A11F9C">
        <w:rPr>
          <w:rFonts w:ascii="Arial" w:hAnsi="Arial" w:cs="Arial"/>
          <w:sz w:val="20"/>
          <w:szCs w:val="20"/>
          <w:lang w:eastAsia="en-GB"/>
        </w:rPr>
        <w:t>.1c</w:t>
      </w:r>
      <w:r w:rsidRPr="008204CC">
        <w:rPr>
          <w:rFonts w:ascii="Arial" w:hAnsi="Arial" w:cs="Arial"/>
          <w:sz w:val="20"/>
          <w:szCs w:val="20"/>
          <w:lang w:eastAsia="en-GB"/>
        </w:rPr>
        <w:t xml:space="preserve"> above.</w:t>
      </w:r>
    </w:p>
    <w:p w14:paraId="05D3C593" w14:textId="77777777" w:rsidR="00806598" w:rsidRPr="008204CC" w:rsidRDefault="00806598" w:rsidP="0066301C">
      <w:pPr>
        <w:spacing w:after="0" w:line="240" w:lineRule="auto"/>
        <w:rPr>
          <w:rFonts w:ascii="Arial" w:hAnsi="Arial" w:cs="Arial"/>
          <w:sz w:val="20"/>
          <w:szCs w:val="20"/>
        </w:rPr>
      </w:pPr>
      <w:r w:rsidRPr="008204CC">
        <w:rPr>
          <w:rFonts w:ascii="Arial" w:hAnsi="Arial" w:cs="Arial"/>
          <w:sz w:val="20"/>
          <w:szCs w:val="20"/>
        </w:rPr>
        <w:t xml:space="preserve">The currency is said to revolve around the equilibrium when the blue line </w:t>
      </w:r>
    </w:p>
    <w:p w14:paraId="284F4A88" w14:textId="77777777" w:rsidR="00806598" w:rsidRPr="008204CC" w:rsidRDefault="00806598" w:rsidP="0066301C">
      <w:pPr>
        <w:spacing w:after="200" w:line="360" w:lineRule="auto"/>
        <w:rPr>
          <w:rFonts w:ascii="Arial" w:hAnsi="Arial" w:cs="Arial"/>
          <w:sz w:val="20"/>
          <w:szCs w:val="20"/>
        </w:rPr>
      </w:pPr>
      <w:r w:rsidRPr="008204CC">
        <w:rPr>
          <w:rFonts w:ascii="Arial" w:hAnsi="Arial" w:cs="Arial"/>
          <w:sz w:val="20"/>
          <w:szCs w:val="20"/>
        </w:rPr>
        <w:t>(misalignment) revolves around the zero-horizontal line.</w:t>
      </w:r>
    </w:p>
    <w:p w14:paraId="04EB0ABE" w14:textId="5397BFBB" w:rsidR="00806598" w:rsidRPr="008204CC" w:rsidRDefault="00806598" w:rsidP="0066301C">
      <w:pPr>
        <w:spacing w:after="200" w:line="360" w:lineRule="auto"/>
        <w:jc w:val="both"/>
        <w:rPr>
          <w:rFonts w:ascii="Arial" w:hAnsi="Arial" w:cs="Arial"/>
        </w:rPr>
      </w:pPr>
      <w:r w:rsidRPr="008204CC">
        <w:rPr>
          <w:rFonts w:ascii="Arial" w:hAnsi="Arial" w:cs="Arial"/>
          <w:lang w:eastAsia="en-GB"/>
        </w:rPr>
        <w:t xml:space="preserve">From </w:t>
      </w:r>
      <w:r w:rsidRPr="00EF10E6">
        <w:rPr>
          <w:rFonts w:ascii="Arial" w:hAnsi="Arial" w:cs="Arial"/>
          <w:lang w:eastAsia="en-GB"/>
        </w:rPr>
        <w:t xml:space="preserve">figure </w:t>
      </w:r>
      <w:r w:rsidR="00EF10E6" w:rsidRPr="00EF10E6">
        <w:rPr>
          <w:rFonts w:ascii="Arial" w:hAnsi="Arial" w:cs="Arial"/>
          <w:lang w:eastAsia="en-GB"/>
        </w:rPr>
        <w:t>3</w:t>
      </w:r>
      <w:r w:rsidRPr="00EF10E6">
        <w:rPr>
          <w:rFonts w:ascii="Arial" w:hAnsi="Arial" w:cs="Arial"/>
          <w:lang w:eastAsia="en-GB"/>
        </w:rPr>
        <w:t xml:space="preserve">.1c and figure </w:t>
      </w:r>
      <w:r w:rsidR="00EF10E6" w:rsidRPr="00EF10E6">
        <w:rPr>
          <w:rFonts w:ascii="Arial" w:hAnsi="Arial" w:cs="Arial"/>
          <w:lang w:eastAsia="en-GB"/>
        </w:rPr>
        <w:t>3</w:t>
      </w:r>
      <w:r w:rsidRPr="00EF10E6">
        <w:rPr>
          <w:rFonts w:ascii="Arial" w:hAnsi="Arial" w:cs="Arial"/>
          <w:lang w:eastAsia="en-GB"/>
        </w:rPr>
        <w:t>.2c</w:t>
      </w:r>
      <w:r w:rsidRPr="008204CC">
        <w:rPr>
          <w:rFonts w:ascii="Arial" w:hAnsi="Arial" w:cs="Arial"/>
          <w:lang w:eastAsia="en-GB"/>
        </w:rPr>
        <w:t xml:space="preserve"> above for Gabon, the actual REER was above the equilibrium (overvalued) in </w:t>
      </w:r>
      <w:r>
        <w:rPr>
          <w:rFonts w:ascii="Arial" w:hAnsi="Arial" w:cs="Arial"/>
          <w:lang w:eastAsia="en-GB"/>
        </w:rPr>
        <w:t xml:space="preserve">the year </w:t>
      </w:r>
      <w:r w:rsidRPr="008204CC">
        <w:rPr>
          <w:rFonts w:ascii="Arial" w:hAnsi="Arial" w:cs="Arial"/>
          <w:lang w:eastAsia="en-GB"/>
        </w:rPr>
        <w:t xml:space="preserve">1980. Between the periods 1981 to 1985, the currency was undervalued. While between the years 1986 </w:t>
      </w:r>
      <w:r w:rsidR="00501A90">
        <w:rPr>
          <w:rFonts w:ascii="Arial" w:hAnsi="Arial" w:cs="Arial"/>
          <w:lang w:eastAsia="en-GB"/>
        </w:rPr>
        <w:t>and</w:t>
      </w:r>
      <w:r w:rsidRPr="008204CC">
        <w:rPr>
          <w:rFonts w:ascii="Arial" w:hAnsi="Arial" w:cs="Arial"/>
          <w:lang w:eastAsia="en-GB"/>
        </w:rPr>
        <w:t xml:space="preserve"> 1993, the currency was overvalued with two incidents of undervaluation, which were the years 1988 and 1992. Prior to the 1994 devaluation, the currency revolved around the equilibrium by (2.22%) in 1993. Between the </w:t>
      </w:r>
      <w:r w:rsidRPr="008204CC">
        <w:rPr>
          <w:rFonts w:ascii="Arial" w:hAnsi="Arial" w:cs="Arial"/>
          <w:lang w:eastAsia="en-GB"/>
        </w:rPr>
        <w:lastRenderedPageBreak/>
        <w:t xml:space="preserve">years 1994 </w:t>
      </w:r>
      <w:r w:rsidR="00501A90">
        <w:rPr>
          <w:rFonts w:ascii="Arial" w:hAnsi="Arial" w:cs="Arial"/>
          <w:lang w:eastAsia="en-GB"/>
        </w:rPr>
        <w:t>and</w:t>
      </w:r>
      <w:r w:rsidRPr="008204CC">
        <w:rPr>
          <w:rFonts w:ascii="Arial" w:hAnsi="Arial" w:cs="Arial"/>
          <w:lang w:eastAsia="en-GB"/>
        </w:rPr>
        <w:t xml:space="preserve"> 1997, the currency was undervalued, while between the period 1998 </w:t>
      </w:r>
      <w:r w:rsidR="001417D8">
        <w:rPr>
          <w:rFonts w:ascii="Arial" w:hAnsi="Arial" w:cs="Arial"/>
          <w:lang w:eastAsia="en-GB"/>
        </w:rPr>
        <w:t>and</w:t>
      </w:r>
      <w:r w:rsidRPr="008204CC">
        <w:rPr>
          <w:rFonts w:ascii="Arial" w:hAnsi="Arial" w:cs="Arial"/>
          <w:lang w:eastAsia="en-GB"/>
        </w:rPr>
        <w:t xml:space="preserve"> 2018 it fluctuated around the equilibrium. </w:t>
      </w:r>
      <w:r>
        <w:rPr>
          <w:rFonts w:ascii="Arial" w:hAnsi="Arial" w:cs="Arial"/>
          <w:lang w:eastAsia="en-GB"/>
        </w:rPr>
        <w:t>Thus, it should not be a point of concern for the nation’s authorities.</w:t>
      </w:r>
    </w:p>
    <w:p w14:paraId="4807CB80" w14:textId="76951384" w:rsidR="00806598" w:rsidRPr="008204CC" w:rsidRDefault="00806598" w:rsidP="0066301C">
      <w:pPr>
        <w:tabs>
          <w:tab w:val="left" w:pos="7652"/>
        </w:tabs>
        <w:spacing w:after="0" w:line="276" w:lineRule="auto"/>
        <w:jc w:val="both"/>
        <w:rPr>
          <w:rFonts w:ascii="Arial" w:hAnsi="Arial" w:cs="Arial"/>
          <w:lang w:eastAsia="en-GB"/>
        </w:rPr>
      </w:pPr>
      <w:r w:rsidRPr="00EF10E6">
        <w:rPr>
          <w:rFonts w:ascii="Arial" w:hAnsi="Arial" w:cs="Arial"/>
          <w:b/>
          <w:i/>
          <w:lang w:eastAsia="en-GB"/>
        </w:rPr>
        <w:t xml:space="preserve">Figure </w:t>
      </w:r>
      <w:r w:rsidR="00EF10E6" w:rsidRPr="00EF10E6">
        <w:rPr>
          <w:rFonts w:ascii="Arial" w:hAnsi="Arial" w:cs="Arial"/>
          <w:b/>
          <w:i/>
          <w:lang w:eastAsia="en-GB"/>
        </w:rPr>
        <w:t>3</w:t>
      </w:r>
      <w:r w:rsidRPr="00EF10E6">
        <w:rPr>
          <w:rFonts w:ascii="Arial" w:hAnsi="Arial" w:cs="Arial"/>
          <w:b/>
          <w:i/>
          <w:lang w:eastAsia="en-GB"/>
        </w:rPr>
        <w:t>.1d</w:t>
      </w:r>
      <w:r w:rsidRPr="008204CC">
        <w:rPr>
          <w:rFonts w:ascii="Arial" w:hAnsi="Arial" w:cs="Arial"/>
          <w:b/>
          <w:i/>
          <w:lang w:eastAsia="en-GB"/>
        </w:rPr>
        <w:t xml:space="preserve">: Actual, Equilibrium, and Misalign REER </w:t>
      </w:r>
      <w:r w:rsidRPr="008204CC">
        <w:rPr>
          <w:rFonts w:ascii="Arial" w:hAnsi="Arial" w:cs="Arial"/>
          <w:b/>
          <w:lang w:eastAsia="en-GB"/>
        </w:rPr>
        <w:t>(</w:t>
      </w:r>
      <w:r w:rsidRPr="008204CC">
        <w:rPr>
          <w:rFonts w:ascii="Arial" w:hAnsi="Arial" w:cs="Arial"/>
          <w:b/>
        </w:rPr>
        <w:t>Equatorial Guinea</w:t>
      </w:r>
      <w:r w:rsidRPr="008204CC">
        <w:rPr>
          <w:rFonts w:ascii="Arial" w:hAnsi="Arial" w:cs="Arial"/>
          <w:b/>
          <w:lang w:eastAsia="en-GB"/>
        </w:rPr>
        <w:t>)</w:t>
      </w:r>
    </w:p>
    <w:p w14:paraId="6E16DB58" w14:textId="77777777" w:rsidR="00806598" w:rsidRPr="008204CC" w:rsidRDefault="00806598" w:rsidP="00E457DD">
      <w:pPr>
        <w:spacing w:line="240" w:lineRule="auto"/>
        <w:rPr>
          <w:rFonts w:ascii="Arial" w:hAnsi="Arial" w:cs="Arial"/>
          <w:b/>
        </w:rPr>
      </w:pPr>
      <w:r w:rsidRPr="008204CC">
        <w:rPr>
          <w:rFonts w:ascii="Arial" w:hAnsi="Arial" w:cs="Arial"/>
          <w:b/>
          <w:noProof/>
          <w:lang w:val="en-US"/>
        </w:rPr>
        <w:drawing>
          <wp:inline distT="0" distB="0" distL="0" distR="0" wp14:anchorId="3800E5EE" wp14:editId="23781ABA">
            <wp:extent cx="5133395" cy="2358253"/>
            <wp:effectExtent l="19050" t="19050" r="0" b="4445"/>
            <wp:docPr id="355" name="Picture 35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2"/>
                    <pic:cNvPicPr>
                      <a:picLocks noChangeAspect="1" noChangeArrowheads="1"/>
                    </pic:cNvPicPr>
                  </pic:nvPicPr>
                  <pic:blipFill>
                    <a:blip r:embed="rId29">
                      <a:extLst>
                        <a:ext uri="{28A0092B-C50C-407E-A947-70E740481C1C}">
                          <a14:useLocalDpi xmlns:a14="http://schemas.microsoft.com/office/drawing/2010/main" val="0"/>
                        </a:ext>
                      </a:extLst>
                    </a:blip>
                    <a:srcRect/>
                    <a:stretch>
                      <a:fillRect/>
                    </a:stretch>
                  </pic:blipFill>
                  <pic:spPr bwMode="auto">
                    <a:xfrm>
                      <a:off x="0" y="0"/>
                      <a:ext cx="5170574" cy="2375333"/>
                    </a:xfrm>
                    <a:prstGeom prst="rect">
                      <a:avLst/>
                    </a:prstGeom>
                    <a:noFill/>
                    <a:ln w="12700">
                      <a:solidFill>
                        <a:srgbClr val="5B9BD5"/>
                      </a:solidFill>
                    </a:ln>
                  </pic:spPr>
                </pic:pic>
              </a:graphicData>
            </a:graphic>
          </wp:inline>
        </w:drawing>
      </w:r>
      <w:r w:rsidRPr="008204CC">
        <w:rPr>
          <w:rFonts w:ascii="Arial" w:hAnsi="Arial" w:cs="Arial"/>
          <w:b/>
          <w:noProof/>
          <w:lang w:eastAsia="en-GB"/>
        </w:rPr>
        <w:t xml:space="preserve"> </w:t>
      </w:r>
    </w:p>
    <w:p w14:paraId="7DE9A3BE" w14:textId="27462B51" w:rsidR="00806598" w:rsidRPr="008204CC" w:rsidRDefault="00806598" w:rsidP="008638F4">
      <w:pPr>
        <w:spacing w:after="0" w:line="240" w:lineRule="auto"/>
        <w:jc w:val="both"/>
        <w:rPr>
          <w:rFonts w:ascii="Arial" w:hAnsi="Arial" w:cs="Arial"/>
          <w:sz w:val="20"/>
          <w:szCs w:val="20"/>
        </w:rPr>
      </w:pPr>
      <w:r w:rsidRPr="008204CC">
        <w:rPr>
          <w:rFonts w:ascii="Arial" w:hAnsi="Arial" w:cs="Arial"/>
          <w:i/>
          <w:sz w:val="20"/>
          <w:szCs w:val="20"/>
          <w:lang w:eastAsia="en-GB"/>
        </w:rPr>
        <w:t xml:space="preserve">Source: </w:t>
      </w:r>
      <w:r w:rsidRPr="008204CC">
        <w:rPr>
          <w:rFonts w:ascii="Arial" w:hAnsi="Arial" w:cs="Arial"/>
          <w:sz w:val="20"/>
          <w:szCs w:val="20"/>
          <w:lang w:eastAsia="en-GB"/>
        </w:rPr>
        <w:t xml:space="preserve">Extracted from </w:t>
      </w:r>
      <w:r w:rsidRPr="00EF10E6">
        <w:rPr>
          <w:rFonts w:ascii="Arial" w:hAnsi="Arial" w:cs="Arial"/>
          <w:sz w:val="20"/>
          <w:szCs w:val="20"/>
          <w:lang w:eastAsia="en-GB"/>
        </w:rPr>
        <w:t xml:space="preserve">table </w:t>
      </w:r>
      <w:r w:rsidR="00EF10E6" w:rsidRPr="00EF10E6">
        <w:rPr>
          <w:rFonts w:ascii="Arial" w:hAnsi="Arial" w:cs="Arial"/>
          <w:sz w:val="20"/>
          <w:szCs w:val="20"/>
          <w:lang w:eastAsia="en-GB"/>
        </w:rPr>
        <w:t>3</w:t>
      </w:r>
      <w:r w:rsidRPr="00EF10E6">
        <w:rPr>
          <w:rFonts w:ascii="Arial" w:hAnsi="Arial" w:cs="Arial"/>
          <w:sz w:val="20"/>
          <w:szCs w:val="20"/>
          <w:lang w:eastAsia="en-GB"/>
        </w:rPr>
        <w:t>.</w:t>
      </w:r>
      <w:r w:rsidR="005D2626" w:rsidRPr="00EF10E6">
        <w:rPr>
          <w:rFonts w:ascii="Arial" w:hAnsi="Arial" w:cs="Arial"/>
          <w:sz w:val="20"/>
          <w:szCs w:val="20"/>
          <w:lang w:eastAsia="en-GB"/>
        </w:rPr>
        <w:t>8</w:t>
      </w:r>
      <w:r w:rsidRPr="008204CC">
        <w:rPr>
          <w:rFonts w:ascii="Arial" w:hAnsi="Arial" w:cs="Arial"/>
          <w:sz w:val="20"/>
          <w:szCs w:val="20"/>
          <w:lang w:eastAsia="en-GB"/>
        </w:rPr>
        <w:t xml:space="preserve"> </w:t>
      </w:r>
      <w:r w:rsidRPr="008204CC">
        <w:rPr>
          <w:rFonts w:ascii="Arial" w:hAnsi="Arial" w:cs="Arial"/>
          <w:sz w:val="20"/>
          <w:szCs w:val="20"/>
        </w:rPr>
        <w:t>The Hodrick-Prescott Filter (Equatorial Guinea).</w:t>
      </w:r>
    </w:p>
    <w:p w14:paraId="073BBC11" w14:textId="77777777" w:rsidR="00806598" w:rsidRPr="008204CC" w:rsidRDefault="00806598" w:rsidP="008638F4">
      <w:pPr>
        <w:spacing w:after="0" w:line="240" w:lineRule="auto"/>
        <w:rPr>
          <w:rFonts w:ascii="Arial" w:hAnsi="Arial" w:cs="Arial"/>
          <w:sz w:val="20"/>
          <w:szCs w:val="20"/>
          <w:lang w:eastAsia="en-GB"/>
        </w:rPr>
      </w:pPr>
      <w:r w:rsidRPr="008204CC">
        <w:rPr>
          <w:rFonts w:ascii="Arial" w:hAnsi="Arial" w:cs="Arial"/>
          <w:sz w:val="20"/>
          <w:szCs w:val="20"/>
          <w:lang w:eastAsia="en-GB"/>
        </w:rPr>
        <w:t xml:space="preserve">The blue line represents the REER, the red line represents the BEER (EREER), </w:t>
      </w:r>
    </w:p>
    <w:p w14:paraId="418AF702" w14:textId="789636EC" w:rsidR="00806598" w:rsidRPr="00EB5D2C" w:rsidRDefault="00806598" w:rsidP="0066301C">
      <w:pPr>
        <w:spacing w:after="0" w:line="360" w:lineRule="auto"/>
        <w:rPr>
          <w:rFonts w:ascii="Arial" w:hAnsi="Arial" w:cs="Arial"/>
          <w:sz w:val="20"/>
          <w:szCs w:val="20"/>
          <w:lang w:eastAsia="en-GB"/>
        </w:rPr>
      </w:pPr>
      <w:r w:rsidRPr="008204CC">
        <w:rPr>
          <w:rFonts w:ascii="Arial" w:hAnsi="Arial" w:cs="Arial"/>
          <w:sz w:val="20"/>
          <w:szCs w:val="20"/>
          <w:lang w:eastAsia="en-GB"/>
        </w:rPr>
        <w:t>and the green line represents the misalignment.</w:t>
      </w:r>
    </w:p>
    <w:p w14:paraId="51FB1C7C" w14:textId="77777777" w:rsidR="001C0580" w:rsidRDefault="001C0580" w:rsidP="0066301C">
      <w:pPr>
        <w:spacing w:after="0" w:line="240" w:lineRule="auto"/>
        <w:jc w:val="both"/>
        <w:rPr>
          <w:rFonts w:ascii="Arial" w:hAnsi="Arial" w:cs="Arial"/>
          <w:b/>
          <w:i/>
          <w:lang w:eastAsia="en-GB"/>
        </w:rPr>
      </w:pPr>
    </w:p>
    <w:p w14:paraId="0B32E6AA" w14:textId="331F4732" w:rsidR="00806598" w:rsidRPr="008204CC" w:rsidRDefault="00806598" w:rsidP="0066301C">
      <w:pPr>
        <w:spacing w:after="0" w:line="240" w:lineRule="auto"/>
        <w:jc w:val="both"/>
        <w:rPr>
          <w:rFonts w:ascii="Arial" w:hAnsi="Arial" w:cs="Arial"/>
          <w:lang w:eastAsia="en-GB"/>
        </w:rPr>
      </w:pPr>
      <w:r w:rsidRPr="00EF10E6">
        <w:rPr>
          <w:rFonts w:ascii="Arial" w:hAnsi="Arial" w:cs="Arial"/>
          <w:b/>
          <w:i/>
          <w:lang w:eastAsia="en-GB"/>
        </w:rPr>
        <w:t xml:space="preserve">Figure </w:t>
      </w:r>
      <w:r w:rsidR="00EF10E6" w:rsidRPr="00EF10E6">
        <w:rPr>
          <w:rFonts w:ascii="Arial" w:hAnsi="Arial" w:cs="Arial"/>
          <w:b/>
          <w:i/>
          <w:lang w:eastAsia="en-GB"/>
        </w:rPr>
        <w:t>3</w:t>
      </w:r>
      <w:r w:rsidRPr="00EF10E6">
        <w:rPr>
          <w:rFonts w:ascii="Arial" w:hAnsi="Arial" w:cs="Arial"/>
          <w:b/>
          <w:i/>
          <w:lang w:eastAsia="en-GB"/>
        </w:rPr>
        <w:t>.2d:</w:t>
      </w:r>
      <w:r w:rsidRPr="008204CC">
        <w:rPr>
          <w:rFonts w:ascii="Arial" w:hAnsi="Arial" w:cs="Arial"/>
          <w:b/>
          <w:i/>
          <w:lang w:eastAsia="en-GB"/>
        </w:rPr>
        <w:t xml:space="preserve"> Misalignment of the REER </w:t>
      </w:r>
      <w:r w:rsidRPr="008204CC">
        <w:rPr>
          <w:rFonts w:ascii="Arial" w:hAnsi="Arial" w:cs="Arial"/>
          <w:b/>
          <w:lang w:eastAsia="en-GB"/>
        </w:rPr>
        <w:t>(</w:t>
      </w:r>
      <w:r w:rsidRPr="008204CC">
        <w:rPr>
          <w:rFonts w:ascii="Arial" w:hAnsi="Arial" w:cs="Arial"/>
          <w:b/>
        </w:rPr>
        <w:t>Equatorial Guinea</w:t>
      </w:r>
      <w:r w:rsidRPr="008204CC">
        <w:rPr>
          <w:rFonts w:ascii="Arial" w:hAnsi="Arial" w:cs="Arial"/>
          <w:b/>
          <w:lang w:eastAsia="en-GB"/>
        </w:rPr>
        <w:t>)</w:t>
      </w:r>
      <w:r w:rsidRPr="008204CC">
        <w:rPr>
          <w:rFonts w:ascii="Arial" w:hAnsi="Arial" w:cs="Arial"/>
          <w:lang w:eastAsia="en-GB"/>
        </w:rPr>
        <w:t>.</w:t>
      </w:r>
    </w:p>
    <w:p w14:paraId="3AC7C08E" w14:textId="77777777" w:rsidR="00806598" w:rsidRPr="008204CC" w:rsidRDefault="00806598" w:rsidP="0066301C">
      <w:pPr>
        <w:spacing w:after="0" w:line="240" w:lineRule="auto"/>
        <w:jc w:val="both"/>
        <w:rPr>
          <w:rFonts w:ascii="Arial" w:hAnsi="Arial" w:cs="Arial"/>
        </w:rPr>
      </w:pPr>
      <w:r w:rsidRPr="008204CC">
        <w:rPr>
          <w:rFonts w:ascii="Arial" w:hAnsi="Arial" w:cs="Arial"/>
          <w:noProof/>
          <w:lang w:val="en-US"/>
        </w:rPr>
        <w:drawing>
          <wp:inline distT="0" distB="0" distL="0" distR="0" wp14:anchorId="2985BA22" wp14:editId="268D14CF">
            <wp:extent cx="4726793" cy="2032387"/>
            <wp:effectExtent l="19050" t="19050" r="0" b="6350"/>
            <wp:docPr id="356" name="Picture 35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
                    <pic:cNvPicPr>
                      <a:picLocks noChangeAspect="1" noChangeArrowheads="1"/>
                    </pic:cNvPicPr>
                  </pic:nvPicPr>
                  <pic:blipFill>
                    <a:blip r:embed="rId30">
                      <a:extLst>
                        <a:ext uri="{28A0092B-C50C-407E-A947-70E740481C1C}">
                          <a14:useLocalDpi xmlns:a14="http://schemas.microsoft.com/office/drawing/2010/main" val="0"/>
                        </a:ext>
                      </a:extLst>
                    </a:blip>
                    <a:srcRect/>
                    <a:stretch>
                      <a:fillRect/>
                    </a:stretch>
                  </pic:blipFill>
                  <pic:spPr bwMode="auto">
                    <a:xfrm>
                      <a:off x="0" y="0"/>
                      <a:ext cx="4744814" cy="2040135"/>
                    </a:xfrm>
                    <a:prstGeom prst="rect">
                      <a:avLst/>
                    </a:prstGeom>
                    <a:noFill/>
                    <a:ln w="12700">
                      <a:solidFill>
                        <a:srgbClr val="5B9BD5"/>
                      </a:solidFill>
                    </a:ln>
                  </pic:spPr>
                </pic:pic>
              </a:graphicData>
            </a:graphic>
          </wp:inline>
        </w:drawing>
      </w:r>
    </w:p>
    <w:p w14:paraId="1C32D54A" w14:textId="7DB469AE" w:rsidR="00806598" w:rsidRPr="008204CC" w:rsidRDefault="00806598" w:rsidP="0066301C">
      <w:pPr>
        <w:spacing w:after="0" w:line="240" w:lineRule="auto"/>
        <w:jc w:val="both"/>
        <w:rPr>
          <w:rFonts w:ascii="Arial" w:hAnsi="Arial" w:cs="Arial"/>
          <w:sz w:val="20"/>
          <w:szCs w:val="20"/>
          <w:lang w:eastAsia="en-GB"/>
        </w:rPr>
      </w:pPr>
      <w:r w:rsidRPr="008204CC">
        <w:rPr>
          <w:rFonts w:ascii="Arial" w:hAnsi="Arial" w:cs="Arial"/>
          <w:i/>
          <w:sz w:val="20"/>
          <w:szCs w:val="20"/>
          <w:lang w:eastAsia="en-GB"/>
        </w:rPr>
        <w:t xml:space="preserve">Source: </w:t>
      </w:r>
      <w:r w:rsidRPr="008204CC">
        <w:rPr>
          <w:rFonts w:ascii="Arial" w:hAnsi="Arial" w:cs="Arial"/>
          <w:sz w:val="20"/>
          <w:szCs w:val="20"/>
          <w:lang w:eastAsia="en-GB"/>
        </w:rPr>
        <w:t xml:space="preserve">Extracted from </w:t>
      </w:r>
      <w:r w:rsidRPr="00EF10E6">
        <w:rPr>
          <w:rFonts w:ascii="Arial" w:hAnsi="Arial" w:cs="Arial"/>
          <w:sz w:val="20"/>
          <w:szCs w:val="20"/>
          <w:lang w:eastAsia="en-GB"/>
        </w:rPr>
        <w:t xml:space="preserve">figure </w:t>
      </w:r>
      <w:r w:rsidR="00EF10E6" w:rsidRPr="00EF10E6">
        <w:rPr>
          <w:rFonts w:ascii="Arial" w:hAnsi="Arial" w:cs="Arial"/>
          <w:sz w:val="20"/>
          <w:szCs w:val="20"/>
          <w:lang w:eastAsia="en-GB"/>
        </w:rPr>
        <w:t>3</w:t>
      </w:r>
      <w:r w:rsidRPr="00EF10E6">
        <w:rPr>
          <w:rFonts w:ascii="Arial" w:hAnsi="Arial" w:cs="Arial"/>
          <w:sz w:val="20"/>
          <w:szCs w:val="20"/>
          <w:lang w:eastAsia="en-GB"/>
        </w:rPr>
        <w:t>.1d</w:t>
      </w:r>
      <w:r w:rsidRPr="008204CC">
        <w:rPr>
          <w:rFonts w:ascii="Arial" w:hAnsi="Arial" w:cs="Arial"/>
          <w:sz w:val="20"/>
          <w:szCs w:val="20"/>
          <w:lang w:eastAsia="en-GB"/>
        </w:rPr>
        <w:t xml:space="preserve"> above.</w:t>
      </w:r>
    </w:p>
    <w:p w14:paraId="652D3938" w14:textId="77777777" w:rsidR="00806598" w:rsidRPr="008204CC" w:rsidRDefault="00806598" w:rsidP="0066301C">
      <w:pPr>
        <w:spacing w:after="0" w:line="240" w:lineRule="auto"/>
        <w:rPr>
          <w:rFonts w:ascii="Arial" w:hAnsi="Arial" w:cs="Arial"/>
          <w:sz w:val="20"/>
          <w:szCs w:val="20"/>
        </w:rPr>
      </w:pPr>
      <w:bookmarkStart w:id="386" w:name="_Hlk104473778"/>
      <w:r w:rsidRPr="008204CC">
        <w:rPr>
          <w:rFonts w:ascii="Arial" w:hAnsi="Arial" w:cs="Arial"/>
          <w:sz w:val="20"/>
          <w:szCs w:val="20"/>
        </w:rPr>
        <w:t xml:space="preserve">The currency is said to revolve around the equilibrium when the blue line </w:t>
      </w:r>
    </w:p>
    <w:p w14:paraId="12F9022C" w14:textId="77777777" w:rsidR="00806598" w:rsidRPr="008204CC" w:rsidRDefault="00806598" w:rsidP="0066301C">
      <w:pPr>
        <w:spacing w:after="200" w:line="360" w:lineRule="auto"/>
        <w:rPr>
          <w:rFonts w:ascii="Arial" w:hAnsi="Arial" w:cs="Arial"/>
          <w:sz w:val="20"/>
          <w:szCs w:val="20"/>
        </w:rPr>
      </w:pPr>
      <w:r w:rsidRPr="008204CC">
        <w:rPr>
          <w:rFonts w:ascii="Arial" w:hAnsi="Arial" w:cs="Arial"/>
          <w:sz w:val="20"/>
          <w:szCs w:val="20"/>
        </w:rPr>
        <w:t>(misalignment) revolves around the zero-horizontal line.</w:t>
      </w:r>
    </w:p>
    <w:bookmarkEnd w:id="386"/>
    <w:p w14:paraId="75D509E1" w14:textId="61AFF58F" w:rsidR="00806598" w:rsidRPr="008204CC" w:rsidRDefault="00806598" w:rsidP="0066301C">
      <w:pPr>
        <w:spacing w:after="200" w:line="360" w:lineRule="auto"/>
        <w:jc w:val="both"/>
        <w:rPr>
          <w:rFonts w:ascii="Arial" w:hAnsi="Arial" w:cs="Arial"/>
          <w:lang w:eastAsia="en-GB"/>
        </w:rPr>
      </w:pPr>
      <w:r w:rsidRPr="008204CC">
        <w:rPr>
          <w:rFonts w:ascii="Arial" w:hAnsi="Arial" w:cs="Arial"/>
          <w:lang w:eastAsia="en-GB"/>
        </w:rPr>
        <w:t xml:space="preserve">From the above </w:t>
      </w:r>
      <w:r w:rsidRPr="00EF10E6">
        <w:rPr>
          <w:rFonts w:ascii="Arial" w:hAnsi="Arial" w:cs="Arial"/>
          <w:lang w:eastAsia="en-GB"/>
        </w:rPr>
        <w:t xml:space="preserve">figure </w:t>
      </w:r>
      <w:r w:rsidR="00EF10E6" w:rsidRPr="00EF10E6">
        <w:rPr>
          <w:rFonts w:ascii="Arial" w:hAnsi="Arial" w:cs="Arial"/>
          <w:lang w:eastAsia="en-GB"/>
        </w:rPr>
        <w:t>3</w:t>
      </w:r>
      <w:r w:rsidRPr="00EF10E6">
        <w:rPr>
          <w:rFonts w:ascii="Arial" w:hAnsi="Arial" w:cs="Arial"/>
          <w:lang w:eastAsia="en-GB"/>
        </w:rPr>
        <w:t xml:space="preserve">.1d and </w:t>
      </w:r>
      <w:r w:rsidR="00EF10E6" w:rsidRPr="00EF10E6">
        <w:rPr>
          <w:rFonts w:ascii="Arial" w:hAnsi="Arial" w:cs="Arial"/>
          <w:lang w:eastAsia="en-GB"/>
        </w:rPr>
        <w:t>3</w:t>
      </w:r>
      <w:r w:rsidRPr="00EF10E6">
        <w:rPr>
          <w:rFonts w:ascii="Arial" w:hAnsi="Arial" w:cs="Arial"/>
          <w:lang w:eastAsia="en-GB"/>
        </w:rPr>
        <w:t>.2d</w:t>
      </w:r>
      <w:r w:rsidRPr="008204CC">
        <w:rPr>
          <w:rFonts w:ascii="Arial" w:hAnsi="Arial" w:cs="Arial"/>
          <w:lang w:eastAsia="en-GB"/>
        </w:rPr>
        <w:t xml:space="preserve"> for Equatorial Guinea, the actual REER was overvalue</w:t>
      </w:r>
      <w:r w:rsidR="000A07C7">
        <w:rPr>
          <w:rFonts w:ascii="Arial" w:hAnsi="Arial" w:cs="Arial"/>
          <w:lang w:eastAsia="en-GB"/>
        </w:rPr>
        <w:t>d</w:t>
      </w:r>
      <w:r w:rsidRPr="008204CC">
        <w:rPr>
          <w:rFonts w:ascii="Arial" w:hAnsi="Arial" w:cs="Arial"/>
          <w:lang w:eastAsia="en-GB"/>
        </w:rPr>
        <w:t xml:space="preserve"> in 1985 by </w:t>
      </w:r>
      <w:r>
        <w:rPr>
          <w:rFonts w:ascii="Arial" w:hAnsi="Arial" w:cs="Arial"/>
          <w:lang w:eastAsia="en-GB"/>
        </w:rPr>
        <w:t>(</w:t>
      </w:r>
      <w:r w:rsidRPr="008204CC">
        <w:rPr>
          <w:rFonts w:ascii="Arial" w:hAnsi="Arial" w:cs="Arial"/>
          <w:lang w:eastAsia="en-GB"/>
        </w:rPr>
        <w:t>15.02%</w:t>
      </w:r>
      <w:r>
        <w:rPr>
          <w:rFonts w:ascii="Arial" w:hAnsi="Arial" w:cs="Arial"/>
          <w:lang w:eastAsia="en-GB"/>
        </w:rPr>
        <w:t>)</w:t>
      </w:r>
      <w:r w:rsidRPr="008204CC">
        <w:rPr>
          <w:rFonts w:ascii="Arial" w:hAnsi="Arial" w:cs="Arial"/>
          <w:lang w:eastAsia="en-GB"/>
        </w:rPr>
        <w:t>. The currency experienced series of fluctuation</w:t>
      </w:r>
      <w:r w:rsidR="000A07C7">
        <w:rPr>
          <w:rFonts w:ascii="Arial" w:hAnsi="Arial" w:cs="Arial"/>
          <w:lang w:eastAsia="en-GB"/>
        </w:rPr>
        <w:t>s</w:t>
      </w:r>
      <w:r w:rsidRPr="008204CC">
        <w:rPr>
          <w:rFonts w:ascii="Arial" w:hAnsi="Arial" w:cs="Arial"/>
          <w:lang w:eastAsia="en-GB"/>
        </w:rPr>
        <w:t xml:space="preserve"> between misalignment </w:t>
      </w:r>
      <w:r w:rsidRPr="00EF4090">
        <w:rPr>
          <w:rFonts w:ascii="Arial" w:hAnsi="Arial" w:cs="Arial"/>
          <w:lang w:eastAsia="en-GB"/>
        </w:rPr>
        <w:t>and equilibrium till the year 1993 prior to the devaluation. The currency was overvalued by</w:t>
      </w:r>
      <w:r w:rsidRPr="008204CC">
        <w:rPr>
          <w:rFonts w:ascii="Arial" w:hAnsi="Arial" w:cs="Arial"/>
          <w:lang w:eastAsia="en-GB"/>
        </w:rPr>
        <w:t xml:space="preserve"> </w:t>
      </w:r>
      <w:r>
        <w:rPr>
          <w:rFonts w:ascii="Arial" w:hAnsi="Arial" w:cs="Arial"/>
          <w:lang w:eastAsia="en-GB"/>
        </w:rPr>
        <w:t>(</w:t>
      </w:r>
      <w:r w:rsidRPr="008204CC">
        <w:rPr>
          <w:rFonts w:ascii="Arial" w:hAnsi="Arial" w:cs="Arial"/>
          <w:lang w:eastAsia="en-GB"/>
        </w:rPr>
        <w:t>7.56%</w:t>
      </w:r>
      <w:r>
        <w:rPr>
          <w:rFonts w:ascii="Arial" w:hAnsi="Arial" w:cs="Arial"/>
          <w:lang w:eastAsia="en-GB"/>
        </w:rPr>
        <w:t>)</w:t>
      </w:r>
      <w:r w:rsidRPr="008204CC">
        <w:rPr>
          <w:rFonts w:ascii="Arial" w:hAnsi="Arial" w:cs="Arial"/>
          <w:lang w:eastAsia="en-GB"/>
        </w:rPr>
        <w:t xml:space="preserve"> in 1993, prior to the devaluation, and the 1994 devaluation caused the currency to be devalued by (-12.14%). Immediate</w:t>
      </w:r>
      <w:r w:rsidR="000A07C7">
        <w:rPr>
          <w:rFonts w:ascii="Arial" w:hAnsi="Arial" w:cs="Arial"/>
          <w:lang w:eastAsia="en-GB"/>
        </w:rPr>
        <w:t>ly</w:t>
      </w:r>
      <w:r w:rsidRPr="008204CC">
        <w:rPr>
          <w:rFonts w:ascii="Arial" w:hAnsi="Arial" w:cs="Arial"/>
          <w:lang w:eastAsia="en-GB"/>
        </w:rPr>
        <w:t xml:space="preserve"> after the devaluation, the currency got back to </w:t>
      </w:r>
      <w:r w:rsidRPr="00EF4090">
        <w:rPr>
          <w:rFonts w:ascii="Arial" w:hAnsi="Arial" w:cs="Arial"/>
          <w:lang w:eastAsia="en-GB"/>
        </w:rPr>
        <w:t>equilibrium</w:t>
      </w:r>
      <w:r w:rsidRPr="008204CC">
        <w:rPr>
          <w:rFonts w:ascii="Arial" w:hAnsi="Arial" w:cs="Arial"/>
          <w:lang w:eastAsia="en-GB"/>
        </w:rPr>
        <w:t xml:space="preserve"> from 1995 and continued to revolve around the equilibrium with some few misalignments. As </w:t>
      </w:r>
      <w:r w:rsidR="000A742D">
        <w:rPr>
          <w:rFonts w:ascii="Arial" w:hAnsi="Arial" w:cs="Arial"/>
          <w:lang w:eastAsia="en-GB"/>
        </w:rPr>
        <w:lastRenderedPageBreak/>
        <w:t>of</w:t>
      </w:r>
      <w:r w:rsidRPr="008204CC">
        <w:rPr>
          <w:rFonts w:ascii="Arial" w:hAnsi="Arial" w:cs="Arial"/>
          <w:lang w:eastAsia="en-GB"/>
        </w:rPr>
        <w:t xml:space="preserve"> the year 2018 the currency was at equilibrium with value (-0.70%). </w:t>
      </w:r>
      <w:r>
        <w:rPr>
          <w:rFonts w:ascii="Arial" w:hAnsi="Arial" w:cs="Arial"/>
          <w:lang w:eastAsia="en-GB"/>
        </w:rPr>
        <w:t>Thus, it should not be a point of concern for the nation’s authorities.</w:t>
      </w:r>
    </w:p>
    <w:p w14:paraId="08E8E9EA" w14:textId="4F64D0F9" w:rsidR="00806598" w:rsidRPr="008204CC" w:rsidRDefault="00806598" w:rsidP="0066301C">
      <w:pPr>
        <w:spacing w:after="0" w:line="240" w:lineRule="auto"/>
        <w:jc w:val="both"/>
        <w:rPr>
          <w:rFonts w:ascii="Arial" w:hAnsi="Arial" w:cs="Arial"/>
          <w:lang w:eastAsia="en-GB"/>
        </w:rPr>
      </w:pPr>
      <w:r w:rsidRPr="00EF10E6">
        <w:rPr>
          <w:rFonts w:ascii="Arial" w:hAnsi="Arial" w:cs="Arial"/>
          <w:b/>
          <w:i/>
          <w:lang w:eastAsia="en-GB"/>
        </w:rPr>
        <w:t xml:space="preserve">Figure </w:t>
      </w:r>
      <w:r w:rsidR="00EF10E6" w:rsidRPr="00EF10E6">
        <w:rPr>
          <w:rFonts w:ascii="Arial" w:hAnsi="Arial" w:cs="Arial"/>
          <w:b/>
          <w:i/>
          <w:lang w:eastAsia="en-GB"/>
        </w:rPr>
        <w:t>3</w:t>
      </w:r>
      <w:r w:rsidRPr="00EF10E6">
        <w:rPr>
          <w:rFonts w:ascii="Arial" w:hAnsi="Arial" w:cs="Arial"/>
          <w:b/>
          <w:i/>
          <w:lang w:eastAsia="en-GB"/>
        </w:rPr>
        <w:t>.1e:</w:t>
      </w:r>
      <w:r w:rsidRPr="008204CC">
        <w:rPr>
          <w:rFonts w:ascii="Arial" w:hAnsi="Arial" w:cs="Arial"/>
          <w:b/>
          <w:i/>
          <w:lang w:eastAsia="en-GB"/>
        </w:rPr>
        <w:t xml:space="preserve"> Misalignment of the Real Effective Exchange Rate </w:t>
      </w:r>
      <w:r w:rsidRPr="008204CC">
        <w:rPr>
          <w:rFonts w:ascii="Arial" w:hAnsi="Arial" w:cs="Arial"/>
          <w:b/>
          <w:lang w:eastAsia="en-GB"/>
        </w:rPr>
        <w:t>(Chad)</w:t>
      </w:r>
      <w:r w:rsidRPr="008204CC">
        <w:rPr>
          <w:rFonts w:ascii="Arial" w:hAnsi="Arial" w:cs="Arial"/>
          <w:lang w:eastAsia="en-GB"/>
        </w:rPr>
        <w:t>.</w:t>
      </w:r>
    </w:p>
    <w:p w14:paraId="6A625C25" w14:textId="77777777" w:rsidR="00806598" w:rsidRPr="008204CC" w:rsidRDefault="00806598" w:rsidP="0066301C">
      <w:pPr>
        <w:spacing w:after="0" w:line="240" w:lineRule="auto"/>
        <w:jc w:val="both"/>
        <w:rPr>
          <w:rFonts w:ascii="Arial" w:hAnsi="Arial" w:cs="Arial"/>
        </w:rPr>
      </w:pPr>
      <w:r w:rsidRPr="008204CC">
        <w:rPr>
          <w:rFonts w:ascii="Arial" w:hAnsi="Arial" w:cs="Arial"/>
          <w:b/>
          <w:noProof/>
          <w:lang w:val="en-US"/>
        </w:rPr>
        <w:drawing>
          <wp:inline distT="0" distB="0" distL="0" distR="0" wp14:anchorId="31D97FE0" wp14:editId="2E483C60">
            <wp:extent cx="5045710" cy="2366341"/>
            <wp:effectExtent l="19050" t="19050" r="2540" b="0"/>
            <wp:docPr id="357" name="Picture 35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a:blip r:embed="rId31">
                      <a:extLst>
                        <a:ext uri="{28A0092B-C50C-407E-A947-70E740481C1C}">
                          <a14:useLocalDpi xmlns:a14="http://schemas.microsoft.com/office/drawing/2010/main" val="0"/>
                        </a:ext>
                      </a:extLst>
                    </a:blip>
                    <a:srcRect/>
                    <a:stretch>
                      <a:fillRect/>
                    </a:stretch>
                  </pic:blipFill>
                  <pic:spPr bwMode="auto">
                    <a:xfrm>
                      <a:off x="0" y="0"/>
                      <a:ext cx="5117736" cy="2400120"/>
                    </a:xfrm>
                    <a:prstGeom prst="rect">
                      <a:avLst/>
                    </a:prstGeom>
                    <a:noFill/>
                    <a:ln w="12700">
                      <a:solidFill>
                        <a:srgbClr val="5B9BD5"/>
                      </a:solidFill>
                    </a:ln>
                  </pic:spPr>
                </pic:pic>
              </a:graphicData>
            </a:graphic>
          </wp:inline>
        </w:drawing>
      </w:r>
    </w:p>
    <w:p w14:paraId="40BE73C2" w14:textId="77777777" w:rsidR="00DD3B73" w:rsidRDefault="00DD3B73" w:rsidP="0066301C">
      <w:pPr>
        <w:spacing w:after="0" w:line="240" w:lineRule="auto"/>
        <w:jc w:val="both"/>
        <w:rPr>
          <w:rFonts w:ascii="Arial" w:hAnsi="Arial" w:cs="Arial"/>
          <w:i/>
          <w:sz w:val="20"/>
          <w:szCs w:val="20"/>
          <w:lang w:eastAsia="en-GB"/>
        </w:rPr>
      </w:pPr>
    </w:p>
    <w:p w14:paraId="5A75E2BD" w14:textId="70F05466" w:rsidR="00806598" w:rsidRPr="008204CC" w:rsidRDefault="00806598" w:rsidP="0066301C">
      <w:pPr>
        <w:spacing w:after="0" w:line="240" w:lineRule="auto"/>
        <w:jc w:val="both"/>
        <w:rPr>
          <w:rFonts w:ascii="Arial" w:hAnsi="Arial" w:cs="Arial"/>
          <w:sz w:val="20"/>
          <w:szCs w:val="20"/>
        </w:rPr>
      </w:pPr>
      <w:r w:rsidRPr="008204CC">
        <w:rPr>
          <w:rFonts w:ascii="Arial" w:hAnsi="Arial" w:cs="Arial"/>
          <w:i/>
          <w:sz w:val="20"/>
          <w:szCs w:val="20"/>
          <w:lang w:eastAsia="en-GB"/>
        </w:rPr>
        <w:t xml:space="preserve">Source: </w:t>
      </w:r>
      <w:r w:rsidRPr="008204CC">
        <w:rPr>
          <w:rFonts w:ascii="Arial" w:hAnsi="Arial" w:cs="Arial"/>
          <w:sz w:val="20"/>
          <w:szCs w:val="20"/>
          <w:lang w:eastAsia="en-GB"/>
        </w:rPr>
        <w:t xml:space="preserve">Extracted from </w:t>
      </w:r>
      <w:r w:rsidRPr="00EF10E6">
        <w:rPr>
          <w:rFonts w:ascii="Arial" w:hAnsi="Arial" w:cs="Arial"/>
          <w:sz w:val="20"/>
          <w:szCs w:val="20"/>
          <w:lang w:eastAsia="en-GB"/>
        </w:rPr>
        <w:t xml:space="preserve">table </w:t>
      </w:r>
      <w:r w:rsidR="00EF10E6" w:rsidRPr="00EF10E6">
        <w:rPr>
          <w:rFonts w:ascii="Arial" w:hAnsi="Arial" w:cs="Arial"/>
          <w:sz w:val="20"/>
          <w:szCs w:val="20"/>
          <w:lang w:eastAsia="en-GB"/>
        </w:rPr>
        <w:t>3</w:t>
      </w:r>
      <w:r w:rsidRPr="00EF10E6">
        <w:rPr>
          <w:rFonts w:ascii="Arial" w:hAnsi="Arial" w:cs="Arial"/>
          <w:sz w:val="20"/>
          <w:szCs w:val="20"/>
          <w:lang w:eastAsia="en-GB"/>
        </w:rPr>
        <w:t>.</w:t>
      </w:r>
      <w:r w:rsidR="00925FB3" w:rsidRPr="00EF10E6">
        <w:rPr>
          <w:rFonts w:ascii="Arial" w:hAnsi="Arial" w:cs="Arial"/>
          <w:sz w:val="20"/>
          <w:szCs w:val="20"/>
          <w:lang w:eastAsia="en-GB"/>
        </w:rPr>
        <w:t>8</w:t>
      </w:r>
      <w:r w:rsidRPr="008204CC">
        <w:rPr>
          <w:rFonts w:ascii="Arial" w:hAnsi="Arial" w:cs="Arial"/>
          <w:sz w:val="20"/>
          <w:szCs w:val="20"/>
          <w:lang w:eastAsia="en-GB"/>
        </w:rPr>
        <w:t xml:space="preserve"> </w:t>
      </w:r>
      <w:r w:rsidRPr="008204CC">
        <w:rPr>
          <w:rFonts w:ascii="Arial" w:hAnsi="Arial" w:cs="Arial"/>
          <w:sz w:val="20"/>
          <w:szCs w:val="20"/>
        </w:rPr>
        <w:t>The Hodrick-Prescott Filter (Chad).</w:t>
      </w:r>
    </w:p>
    <w:p w14:paraId="77884AB1" w14:textId="77777777" w:rsidR="00806598" w:rsidRPr="008204CC" w:rsidRDefault="00806598" w:rsidP="0066301C">
      <w:pPr>
        <w:spacing w:after="0" w:line="240" w:lineRule="auto"/>
        <w:rPr>
          <w:rFonts w:ascii="Arial" w:hAnsi="Arial" w:cs="Arial"/>
          <w:sz w:val="20"/>
          <w:szCs w:val="20"/>
          <w:lang w:eastAsia="en-GB"/>
        </w:rPr>
      </w:pPr>
      <w:r w:rsidRPr="008204CC">
        <w:rPr>
          <w:rFonts w:ascii="Arial" w:hAnsi="Arial" w:cs="Arial"/>
          <w:sz w:val="20"/>
          <w:szCs w:val="20"/>
          <w:lang w:eastAsia="en-GB"/>
        </w:rPr>
        <w:t xml:space="preserve">The blue line represents the REER, the red line represents the BEER (EREER), </w:t>
      </w:r>
    </w:p>
    <w:p w14:paraId="42A666EE" w14:textId="77777777" w:rsidR="00806598" w:rsidRPr="008204CC" w:rsidRDefault="00806598" w:rsidP="0066301C">
      <w:pPr>
        <w:spacing w:after="0" w:line="360" w:lineRule="auto"/>
        <w:rPr>
          <w:rFonts w:ascii="Arial" w:hAnsi="Arial" w:cs="Arial"/>
          <w:sz w:val="20"/>
          <w:szCs w:val="20"/>
          <w:lang w:eastAsia="en-GB"/>
        </w:rPr>
      </w:pPr>
      <w:r w:rsidRPr="008204CC">
        <w:rPr>
          <w:rFonts w:ascii="Arial" w:hAnsi="Arial" w:cs="Arial"/>
          <w:sz w:val="20"/>
          <w:szCs w:val="20"/>
          <w:lang w:eastAsia="en-GB"/>
        </w:rPr>
        <w:t>and the green line represents the misalignment.</w:t>
      </w:r>
    </w:p>
    <w:p w14:paraId="020AA6C1" w14:textId="77777777" w:rsidR="005E7379" w:rsidRDefault="005E7379" w:rsidP="0066301C">
      <w:pPr>
        <w:spacing w:after="0" w:line="240" w:lineRule="auto"/>
        <w:jc w:val="both"/>
        <w:rPr>
          <w:rFonts w:ascii="Arial" w:hAnsi="Arial" w:cs="Arial"/>
          <w:sz w:val="20"/>
          <w:szCs w:val="20"/>
          <w:lang w:eastAsia="en-GB"/>
        </w:rPr>
      </w:pPr>
    </w:p>
    <w:p w14:paraId="7721E732" w14:textId="68C61014" w:rsidR="00806598" w:rsidRPr="008204CC" w:rsidRDefault="00806598" w:rsidP="0066301C">
      <w:pPr>
        <w:spacing w:after="0" w:line="240" w:lineRule="auto"/>
        <w:jc w:val="both"/>
        <w:rPr>
          <w:rFonts w:ascii="Arial" w:hAnsi="Arial" w:cs="Arial"/>
          <w:lang w:eastAsia="en-GB"/>
        </w:rPr>
      </w:pPr>
      <w:r w:rsidRPr="00EF10E6">
        <w:rPr>
          <w:rFonts w:ascii="Arial" w:hAnsi="Arial" w:cs="Arial"/>
          <w:b/>
          <w:i/>
          <w:lang w:eastAsia="en-GB"/>
        </w:rPr>
        <w:t xml:space="preserve">Figure </w:t>
      </w:r>
      <w:r w:rsidR="00EF10E6" w:rsidRPr="00EF10E6">
        <w:rPr>
          <w:rFonts w:ascii="Arial" w:hAnsi="Arial" w:cs="Arial"/>
          <w:b/>
          <w:i/>
          <w:lang w:eastAsia="en-GB"/>
        </w:rPr>
        <w:t>3</w:t>
      </w:r>
      <w:r w:rsidRPr="00EF10E6">
        <w:rPr>
          <w:rFonts w:ascii="Arial" w:hAnsi="Arial" w:cs="Arial"/>
          <w:b/>
          <w:i/>
          <w:lang w:eastAsia="en-GB"/>
        </w:rPr>
        <w:t>.2e:</w:t>
      </w:r>
      <w:r w:rsidRPr="008204CC">
        <w:rPr>
          <w:rFonts w:ascii="Arial" w:hAnsi="Arial" w:cs="Arial"/>
          <w:b/>
          <w:i/>
          <w:lang w:eastAsia="en-GB"/>
        </w:rPr>
        <w:t xml:space="preserve"> Misalignment of the Real Effective Exchange Rate </w:t>
      </w:r>
      <w:r w:rsidRPr="008204CC">
        <w:rPr>
          <w:rFonts w:ascii="Arial" w:hAnsi="Arial" w:cs="Arial"/>
          <w:b/>
          <w:lang w:eastAsia="en-GB"/>
        </w:rPr>
        <w:t>(Chad)</w:t>
      </w:r>
      <w:r w:rsidRPr="008204CC">
        <w:rPr>
          <w:rFonts w:ascii="Arial" w:hAnsi="Arial" w:cs="Arial"/>
          <w:lang w:eastAsia="en-GB"/>
        </w:rPr>
        <w:t>.</w:t>
      </w:r>
    </w:p>
    <w:p w14:paraId="6AAF4DA4" w14:textId="77777777" w:rsidR="00806598" w:rsidRPr="008204CC" w:rsidRDefault="00806598" w:rsidP="00CA5EB9">
      <w:pPr>
        <w:spacing w:line="240" w:lineRule="auto"/>
        <w:jc w:val="both"/>
        <w:rPr>
          <w:rFonts w:ascii="Arial" w:hAnsi="Arial" w:cs="Arial"/>
        </w:rPr>
      </w:pPr>
      <w:r w:rsidRPr="008204CC">
        <w:rPr>
          <w:rFonts w:ascii="Arial" w:hAnsi="Arial" w:cs="Arial"/>
          <w:noProof/>
          <w:lang w:val="en-US"/>
        </w:rPr>
        <w:drawing>
          <wp:inline distT="0" distB="0" distL="0" distR="0" wp14:anchorId="53D7C29F" wp14:editId="2EDBE805">
            <wp:extent cx="5307017" cy="2286828"/>
            <wp:effectExtent l="19050" t="19050" r="8255" b="0"/>
            <wp:docPr id="358" name="Picture 35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
                    <pic:cNvPicPr>
                      <a:picLocks noChangeAspect="1" noChangeArrowheads="1"/>
                    </pic:cNvPicPr>
                  </pic:nvPicPr>
                  <pic:blipFill>
                    <a:blip r:embed="rId32">
                      <a:extLst>
                        <a:ext uri="{28A0092B-C50C-407E-A947-70E740481C1C}">
                          <a14:useLocalDpi xmlns:a14="http://schemas.microsoft.com/office/drawing/2010/main" val="0"/>
                        </a:ext>
                      </a:extLst>
                    </a:blip>
                    <a:srcRect/>
                    <a:stretch>
                      <a:fillRect/>
                    </a:stretch>
                  </pic:blipFill>
                  <pic:spPr bwMode="auto">
                    <a:xfrm>
                      <a:off x="0" y="0"/>
                      <a:ext cx="5372215" cy="2314922"/>
                    </a:xfrm>
                    <a:prstGeom prst="rect">
                      <a:avLst/>
                    </a:prstGeom>
                    <a:noFill/>
                    <a:ln w="12700">
                      <a:solidFill>
                        <a:srgbClr val="5B9BD5"/>
                      </a:solidFill>
                    </a:ln>
                  </pic:spPr>
                </pic:pic>
              </a:graphicData>
            </a:graphic>
          </wp:inline>
        </w:drawing>
      </w:r>
    </w:p>
    <w:p w14:paraId="62427CBE" w14:textId="7B51A72E" w:rsidR="00806598" w:rsidRDefault="00806598" w:rsidP="00CA5EB9">
      <w:pPr>
        <w:spacing w:after="0" w:line="240" w:lineRule="auto"/>
        <w:rPr>
          <w:rFonts w:ascii="Arial" w:hAnsi="Arial" w:cs="Arial"/>
          <w:sz w:val="20"/>
          <w:szCs w:val="20"/>
          <w:lang w:eastAsia="en-GB"/>
        </w:rPr>
      </w:pPr>
      <w:r w:rsidRPr="008204CC">
        <w:rPr>
          <w:rFonts w:ascii="Arial" w:hAnsi="Arial" w:cs="Arial"/>
          <w:i/>
          <w:sz w:val="20"/>
          <w:szCs w:val="20"/>
          <w:lang w:eastAsia="en-GB"/>
        </w:rPr>
        <w:t xml:space="preserve">Source: </w:t>
      </w:r>
      <w:r w:rsidRPr="008204CC">
        <w:rPr>
          <w:rFonts w:ascii="Arial" w:hAnsi="Arial" w:cs="Arial"/>
          <w:sz w:val="20"/>
          <w:szCs w:val="20"/>
          <w:lang w:eastAsia="en-GB"/>
        </w:rPr>
        <w:t xml:space="preserve">Extracted from </w:t>
      </w:r>
      <w:r w:rsidRPr="005E36AB">
        <w:rPr>
          <w:rFonts w:ascii="Arial" w:hAnsi="Arial" w:cs="Arial"/>
          <w:sz w:val="20"/>
          <w:szCs w:val="20"/>
          <w:lang w:eastAsia="en-GB"/>
        </w:rPr>
        <w:t xml:space="preserve">figure </w:t>
      </w:r>
      <w:r w:rsidR="005E36AB" w:rsidRPr="005E36AB">
        <w:rPr>
          <w:rFonts w:ascii="Arial" w:hAnsi="Arial" w:cs="Arial"/>
          <w:sz w:val="20"/>
          <w:szCs w:val="20"/>
          <w:lang w:eastAsia="en-GB"/>
        </w:rPr>
        <w:t>3</w:t>
      </w:r>
      <w:r w:rsidRPr="005E36AB">
        <w:rPr>
          <w:rFonts w:ascii="Arial" w:hAnsi="Arial" w:cs="Arial"/>
          <w:sz w:val="20"/>
          <w:szCs w:val="20"/>
          <w:lang w:eastAsia="en-GB"/>
        </w:rPr>
        <w:t>.1e</w:t>
      </w:r>
      <w:r w:rsidRPr="008204CC">
        <w:rPr>
          <w:rFonts w:ascii="Arial" w:hAnsi="Arial" w:cs="Arial"/>
          <w:sz w:val="20"/>
          <w:szCs w:val="20"/>
          <w:lang w:eastAsia="en-GB"/>
        </w:rPr>
        <w:t xml:space="preserve"> above</w:t>
      </w:r>
      <w:r>
        <w:rPr>
          <w:rFonts w:ascii="Arial" w:hAnsi="Arial" w:cs="Arial"/>
          <w:sz w:val="20"/>
          <w:szCs w:val="20"/>
          <w:lang w:eastAsia="en-GB"/>
        </w:rPr>
        <w:t xml:space="preserve"> </w:t>
      </w:r>
    </w:p>
    <w:p w14:paraId="2BB88201" w14:textId="77777777" w:rsidR="00806598" w:rsidRPr="008204CC" w:rsidRDefault="00806598" w:rsidP="00CA5EB9">
      <w:pPr>
        <w:spacing w:after="0" w:line="240" w:lineRule="auto"/>
        <w:rPr>
          <w:rFonts w:ascii="Arial" w:hAnsi="Arial" w:cs="Arial"/>
          <w:sz w:val="20"/>
          <w:szCs w:val="20"/>
        </w:rPr>
      </w:pPr>
      <w:r w:rsidRPr="008204CC">
        <w:rPr>
          <w:rFonts w:ascii="Arial" w:hAnsi="Arial" w:cs="Arial"/>
          <w:sz w:val="20"/>
          <w:szCs w:val="20"/>
        </w:rPr>
        <w:t xml:space="preserve">The currency is said to revolve around the equilibrium when the blue line </w:t>
      </w:r>
    </w:p>
    <w:p w14:paraId="51D9AD03" w14:textId="22AE16C7" w:rsidR="00806598" w:rsidRPr="008204CC" w:rsidRDefault="00806598" w:rsidP="00CA5EB9">
      <w:pPr>
        <w:spacing w:after="0" w:line="360" w:lineRule="auto"/>
        <w:rPr>
          <w:rFonts w:ascii="Arial" w:hAnsi="Arial" w:cs="Arial"/>
          <w:sz w:val="20"/>
          <w:szCs w:val="20"/>
        </w:rPr>
      </w:pPr>
      <w:r w:rsidRPr="008204CC">
        <w:rPr>
          <w:rFonts w:ascii="Arial" w:hAnsi="Arial" w:cs="Arial"/>
          <w:sz w:val="20"/>
          <w:szCs w:val="20"/>
        </w:rPr>
        <w:t>(misalignment) revolves around the zero-horizontal line.</w:t>
      </w:r>
    </w:p>
    <w:p w14:paraId="26CF3C2F" w14:textId="41CE641E" w:rsidR="00806598" w:rsidRDefault="00806598" w:rsidP="0066301C">
      <w:pPr>
        <w:spacing w:after="0" w:line="360" w:lineRule="auto"/>
        <w:jc w:val="both"/>
        <w:rPr>
          <w:rFonts w:ascii="Arial" w:hAnsi="Arial" w:cs="Arial"/>
          <w:lang w:eastAsia="en-GB"/>
        </w:rPr>
      </w:pPr>
      <w:r w:rsidRPr="00221336">
        <w:rPr>
          <w:rFonts w:ascii="Arial" w:hAnsi="Arial" w:cs="Arial"/>
          <w:lang w:eastAsia="en-GB"/>
        </w:rPr>
        <w:t xml:space="preserve">From the above figure </w:t>
      </w:r>
      <w:r w:rsidR="00EF4090" w:rsidRPr="00221336">
        <w:rPr>
          <w:rFonts w:ascii="Arial" w:hAnsi="Arial" w:cs="Arial"/>
          <w:lang w:eastAsia="en-GB"/>
        </w:rPr>
        <w:t>3</w:t>
      </w:r>
      <w:r w:rsidRPr="00221336">
        <w:rPr>
          <w:rFonts w:ascii="Arial" w:hAnsi="Arial" w:cs="Arial"/>
          <w:lang w:eastAsia="en-GB"/>
        </w:rPr>
        <w:t xml:space="preserve">.1e and </w:t>
      </w:r>
      <w:r w:rsidR="00EF4090" w:rsidRPr="00221336">
        <w:rPr>
          <w:rFonts w:ascii="Arial" w:hAnsi="Arial" w:cs="Arial"/>
          <w:lang w:eastAsia="en-GB"/>
        </w:rPr>
        <w:t>3</w:t>
      </w:r>
      <w:r w:rsidRPr="00221336">
        <w:rPr>
          <w:rFonts w:ascii="Arial" w:hAnsi="Arial" w:cs="Arial"/>
          <w:lang w:eastAsia="en-GB"/>
        </w:rPr>
        <w:t xml:space="preserve">.2e for Chad, we cannot ascertain the state of the currency prior to the 1994 devaluation due to </w:t>
      </w:r>
      <w:r w:rsidR="001253A9">
        <w:rPr>
          <w:rFonts w:ascii="Arial" w:hAnsi="Arial" w:cs="Arial"/>
          <w:lang w:eastAsia="en-GB"/>
        </w:rPr>
        <w:t xml:space="preserve">the </w:t>
      </w:r>
      <w:r w:rsidRPr="00221336">
        <w:rPr>
          <w:rFonts w:ascii="Arial" w:hAnsi="Arial" w:cs="Arial"/>
          <w:lang w:eastAsia="en-GB"/>
        </w:rPr>
        <w:t>unavailability of data. But these graphs show that the currency has been revolving around the equilibrium throughout the period</w:t>
      </w:r>
      <w:r w:rsidR="001253A9">
        <w:rPr>
          <w:rFonts w:ascii="Arial" w:hAnsi="Arial" w:cs="Arial"/>
          <w:lang w:eastAsia="en-GB"/>
        </w:rPr>
        <w:t>,</w:t>
      </w:r>
      <w:r w:rsidRPr="00221336">
        <w:rPr>
          <w:rFonts w:ascii="Arial" w:hAnsi="Arial" w:cs="Arial"/>
          <w:lang w:eastAsia="en-GB"/>
        </w:rPr>
        <w:t xml:space="preserve"> with the years 2007 and 2011 being undervalue</w:t>
      </w:r>
      <w:r w:rsidR="001253A9">
        <w:rPr>
          <w:rFonts w:ascii="Arial" w:hAnsi="Arial" w:cs="Arial"/>
          <w:lang w:eastAsia="en-GB"/>
        </w:rPr>
        <w:t>d</w:t>
      </w:r>
      <w:r w:rsidRPr="00221336">
        <w:rPr>
          <w:rFonts w:ascii="Arial" w:hAnsi="Arial" w:cs="Arial"/>
          <w:lang w:eastAsia="en-GB"/>
        </w:rPr>
        <w:t xml:space="preserve"> at (-6.20%) and (-5.70%) respectively, and the year 2009 being overvalue</w:t>
      </w:r>
      <w:r w:rsidR="001253A9">
        <w:rPr>
          <w:rFonts w:ascii="Arial" w:hAnsi="Arial" w:cs="Arial"/>
          <w:lang w:eastAsia="en-GB"/>
        </w:rPr>
        <w:t>d</w:t>
      </w:r>
      <w:r w:rsidRPr="00221336">
        <w:rPr>
          <w:rFonts w:ascii="Arial" w:hAnsi="Arial" w:cs="Arial"/>
          <w:lang w:eastAsia="en-GB"/>
        </w:rPr>
        <w:t xml:space="preserve"> by (9.70%). As </w:t>
      </w:r>
      <w:r w:rsidR="008D4775">
        <w:rPr>
          <w:rFonts w:ascii="Arial" w:hAnsi="Arial" w:cs="Arial"/>
          <w:lang w:eastAsia="en-GB"/>
        </w:rPr>
        <w:t>of</w:t>
      </w:r>
      <w:r w:rsidRPr="00221336">
        <w:rPr>
          <w:rFonts w:ascii="Arial" w:hAnsi="Arial" w:cs="Arial"/>
          <w:lang w:eastAsia="en-GB"/>
        </w:rPr>
        <w:t xml:space="preserve"> the year 2018</w:t>
      </w:r>
      <w:r w:rsidR="008D4775">
        <w:rPr>
          <w:rFonts w:ascii="Arial" w:hAnsi="Arial" w:cs="Arial"/>
          <w:lang w:eastAsia="en-GB"/>
        </w:rPr>
        <w:t>,</w:t>
      </w:r>
      <w:r w:rsidRPr="00221336">
        <w:rPr>
          <w:rFonts w:ascii="Arial" w:hAnsi="Arial" w:cs="Arial"/>
          <w:lang w:eastAsia="en-GB"/>
        </w:rPr>
        <w:t xml:space="preserve"> the currency was at equilibrium with value (-4.48%). Thus, it should not be a point of concern for the nation’s authorities.</w:t>
      </w:r>
    </w:p>
    <w:p w14:paraId="7744A6B8" w14:textId="77777777" w:rsidR="00806598" w:rsidRPr="00221336" w:rsidRDefault="00806598" w:rsidP="0066301C">
      <w:pPr>
        <w:spacing w:after="0" w:line="240" w:lineRule="auto"/>
        <w:jc w:val="both"/>
        <w:rPr>
          <w:rFonts w:ascii="Arial" w:hAnsi="Arial" w:cs="Arial"/>
          <w:b/>
          <w:bCs/>
        </w:rPr>
      </w:pPr>
    </w:p>
    <w:p w14:paraId="1FBCE445" w14:textId="3C7C7979" w:rsidR="00806598" w:rsidRPr="00221336" w:rsidRDefault="00806598" w:rsidP="0066301C">
      <w:pPr>
        <w:spacing w:after="0" w:line="240" w:lineRule="auto"/>
        <w:jc w:val="both"/>
        <w:rPr>
          <w:rFonts w:ascii="Arial" w:hAnsi="Arial" w:cs="Arial"/>
          <w:b/>
          <w:bCs/>
        </w:rPr>
      </w:pPr>
      <w:r w:rsidRPr="00221336">
        <w:rPr>
          <w:rFonts w:ascii="Arial" w:hAnsi="Arial" w:cs="Arial"/>
          <w:b/>
          <w:bCs/>
          <w:i/>
          <w:lang w:eastAsia="en-GB"/>
        </w:rPr>
        <w:t xml:space="preserve">Figure </w:t>
      </w:r>
      <w:r w:rsidR="00EF4090" w:rsidRPr="00221336">
        <w:rPr>
          <w:rFonts w:ascii="Arial" w:hAnsi="Arial" w:cs="Arial"/>
          <w:b/>
          <w:bCs/>
          <w:i/>
          <w:lang w:eastAsia="en-GB"/>
        </w:rPr>
        <w:t>3</w:t>
      </w:r>
      <w:r w:rsidRPr="00221336">
        <w:rPr>
          <w:rFonts w:ascii="Arial" w:hAnsi="Arial" w:cs="Arial"/>
          <w:b/>
          <w:bCs/>
          <w:i/>
          <w:lang w:eastAsia="en-GB"/>
        </w:rPr>
        <w:t>.1f: Actual, Equilibrium, and Misalign REER</w:t>
      </w:r>
      <w:r w:rsidRPr="00221336">
        <w:rPr>
          <w:rFonts w:ascii="Arial" w:hAnsi="Arial" w:cs="Arial"/>
          <w:b/>
          <w:bCs/>
          <w:lang w:eastAsia="en-GB"/>
        </w:rPr>
        <w:t xml:space="preserve"> (Congo).</w:t>
      </w:r>
    </w:p>
    <w:p w14:paraId="2C8DF59F" w14:textId="605F7CBE" w:rsidR="00806598" w:rsidRPr="00221336" w:rsidRDefault="00D1766F" w:rsidP="0066301C">
      <w:pPr>
        <w:spacing w:after="0" w:line="240" w:lineRule="auto"/>
        <w:jc w:val="both"/>
        <w:rPr>
          <w:rFonts w:ascii="Arial" w:hAnsi="Arial" w:cs="Arial"/>
          <w:b/>
          <w:bCs/>
        </w:rPr>
      </w:pPr>
      <w:r>
        <w:rPr>
          <w:noProof/>
        </w:rPr>
        <w:lastRenderedPageBreak/>
        <mc:AlternateContent>
          <mc:Choice Requires="wpc">
            <w:drawing>
              <wp:anchor distT="0" distB="0" distL="114300" distR="114300" simplePos="0" relativeHeight="251657216" behindDoc="0" locked="0" layoutInCell="1" allowOverlap="1" wp14:anchorId="59C56D6D" wp14:editId="6D4DE538">
                <wp:simplePos x="0" y="0"/>
                <wp:positionH relativeFrom="page">
                  <wp:posOffset>961390</wp:posOffset>
                </wp:positionH>
                <wp:positionV relativeFrom="paragraph">
                  <wp:posOffset>53340</wp:posOffset>
                </wp:positionV>
                <wp:extent cx="4502785" cy="2971165"/>
                <wp:effectExtent l="18415" t="22225" r="22225" b="16510"/>
                <wp:wrapNone/>
                <wp:docPr id="32" name="Canvas 546"/>
                <wp:cNvGraphicFramePr>
                  <a:graphicFrameLocks xmlns:a="http://schemas.openxmlformats.org/drawingml/2006/main"/>
                </wp:cNvGraphicFramePr>
                <a:graphic xmlns:a="http://schemas.openxmlformats.org/drawingml/2006/main">
                  <a:graphicData uri="http://schemas.microsoft.com/office/word/2010/wordprocessingCanvas">
                    <wpc:wpc>
                      <wpc:bg>
                        <a:noFill/>
                      </wpc:bg>
                      <wpc:whole>
                        <a:ln w="12700" cap="flat" cmpd="sng" algn="ctr">
                          <a:solidFill>
                            <a:srgbClr val="5B9BD5"/>
                          </a:solidFill>
                          <a:prstDash val="solid"/>
                          <a:miter lim="800000"/>
                          <a:headEnd type="none" w="med" len="med"/>
                          <a:tailEnd type="none" w="med" len="med"/>
                        </a:ln>
                      </wpc:whole>
                      <wps:wsp>
                        <wps:cNvPr id="1633219633" name="Rectangle 5"/>
                        <wps:cNvSpPr>
                          <a:spLocks noChangeArrowheads="1"/>
                        </wps:cNvSpPr>
                        <wps:spPr bwMode="auto">
                          <a:xfrm>
                            <a:off x="570811" y="1003322"/>
                            <a:ext cx="3931974" cy="1967843"/>
                          </a:xfrm>
                          <a:prstGeom prst="rect">
                            <a:avLst/>
                          </a:prstGeom>
                          <a:solidFill>
                            <a:srgbClr val="FFFFFF"/>
                          </a:solidFill>
                          <a:ln>
                            <a:noFill/>
                          </a:ln>
                          <a:extLst>
                            <a:ext uri="{91240B29-F687-4F45-9708-019B960494DF}">
                              <a14:hiddenLine xmlns:a14="http://schemas.microsoft.com/office/drawing/2010/main" w="9525">
                                <a:solidFill>
                                  <a:srgbClr val="000000"/>
                                </a:solidFill>
                                <a:miter lim="800000"/>
                                <a:headEnd/>
                                <a:tailEnd/>
                              </a14:hiddenLine>
                            </a:ext>
                          </a:extLst>
                        </wps:spPr>
                        <wps:bodyPr rot="0" vert="horz" wrap="square" lIns="91440" tIns="45720" rIns="91440" bIns="45720" anchor="t" anchorCtr="0" upright="1">
                          <a:noAutofit/>
                        </wps:bodyPr>
                      </wps:wsp>
                      <wps:wsp>
                        <wps:cNvPr id="2145058875" name="Rectangle 6"/>
                        <wps:cNvSpPr>
                          <a:spLocks noChangeArrowheads="1"/>
                        </wps:cNvSpPr>
                        <wps:spPr bwMode="auto">
                          <a:xfrm>
                            <a:off x="0" y="2269250"/>
                            <a:ext cx="167603" cy="268606"/>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2AA71C1C" w14:textId="77777777" w:rsidR="00F41E4D" w:rsidRDefault="00F41E4D" w:rsidP="00806598">
                              <w:r>
                                <w:rPr>
                                  <w:rFonts w:ascii="Calibri" w:hAnsi="Calibri" w:cs="Calibri"/>
                                  <w:color w:val="000000"/>
                                  <w:sz w:val="20"/>
                                  <w:szCs w:val="20"/>
                                  <w:lang w:val="en-US"/>
                                </w:rPr>
                                <w:t>-30</w:t>
                              </w:r>
                            </w:p>
                          </w:txbxContent>
                        </wps:txbx>
                        <wps:bodyPr rot="0" vert="horz" wrap="none" lIns="0" tIns="0" rIns="0" bIns="0" anchor="t" anchorCtr="0" upright="1">
                          <a:spAutoFit/>
                        </wps:bodyPr>
                      </wps:wsp>
                      <wps:wsp>
                        <wps:cNvPr id="1109988898" name="Rectangle 7"/>
                        <wps:cNvSpPr>
                          <a:spLocks noChangeArrowheads="1"/>
                        </wps:cNvSpPr>
                        <wps:spPr bwMode="auto">
                          <a:xfrm>
                            <a:off x="0" y="2038745"/>
                            <a:ext cx="167603" cy="268606"/>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67EE1EE8" w14:textId="77777777" w:rsidR="00F41E4D" w:rsidRDefault="00F41E4D" w:rsidP="00806598">
                              <w:r>
                                <w:rPr>
                                  <w:rFonts w:ascii="Calibri" w:hAnsi="Calibri" w:cs="Calibri"/>
                                  <w:color w:val="000000"/>
                                  <w:sz w:val="20"/>
                                  <w:szCs w:val="20"/>
                                  <w:lang w:val="en-US"/>
                                </w:rPr>
                                <w:t>-20</w:t>
                              </w:r>
                            </w:p>
                          </w:txbxContent>
                        </wps:txbx>
                        <wps:bodyPr rot="0" vert="horz" wrap="none" lIns="0" tIns="0" rIns="0" bIns="0" anchor="t" anchorCtr="0" upright="1">
                          <a:spAutoFit/>
                        </wps:bodyPr>
                      </wps:wsp>
                      <wps:wsp>
                        <wps:cNvPr id="185921856" name="Line 8"/>
                        <wps:cNvCnPr>
                          <a:cxnSpLocks noChangeShapeType="1"/>
                        </wps:cNvCnPr>
                        <wps:spPr bwMode="auto">
                          <a:xfrm>
                            <a:off x="570811" y="2971165"/>
                            <a:ext cx="3931974" cy="0"/>
                          </a:xfrm>
                          <a:prstGeom prst="line">
                            <a:avLst/>
                          </a:prstGeom>
                          <a:noFill/>
                          <a:ln w="1905">
                            <a:solidFill>
                              <a:srgbClr val="E8E8E8"/>
                            </a:solidFill>
                            <a:round/>
                            <a:headEnd/>
                            <a:tailEnd/>
                          </a:ln>
                          <a:extLst>
                            <a:ext uri="{909E8E84-426E-40DD-AFC4-6F175D3DCCD1}">
                              <a14:hiddenFill xmlns:a14="http://schemas.microsoft.com/office/drawing/2010/main">
                                <a:noFill/>
                              </a14:hiddenFill>
                            </a:ext>
                          </a:extLst>
                        </wps:spPr>
                        <wps:bodyPr/>
                      </wps:wsp>
                      <wps:wsp>
                        <wps:cNvPr id="1533507004" name="Rectangle 9"/>
                        <wps:cNvSpPr>
                          <a:spLocks noChangeArrowheads="1"/>
                        </wps:cNvSpPr>
                        <wps:spPr bwMode="auto">
                          <a:xfrm>
                            <a:off x="0" y="1808240"/>
                            <a:ext cx="167603" cy="268606"/>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3524A816" w14:textId="77777777" w:rsidR="00F41E4D" w:rsidRDefault="00F41E4D" w:rsidP="00806598">
                              <w:r>
                                <w:rPr>
                                  <w:rFonts w:ascii="Calibri" w:hAnsi="Calibri" w:cs="Calibri"/>
                                  <w:color w:val="000000"/>
                                  <w:sz w:val="20"/>
                                  <w:szCs w:val="20"/>
                                  <w:lang w:val="en-US"/>
                                </w:rPr>
                                <w:t>-10</w:t>
                              </w:r>
                            </w:p>
                          </w:txbxContent>
                        </wps:txbx>
                        <wps:bodyPr rot="0" vert="horz" wrap="none" lIns="0" tIns="0" rIns="0" bIns="0" anchor="t" anchorCtr="0" upright="1">
                          <a:spAutoFit/>
                        </wps:bodyPr>
                      </wps:wsp>
                      <wps:wsp>
                        <wps:cNvPr id="114896204" name="Line 10"/>
                        <wps:cNvCnPr>
                          <a:cxnSpLocks noChangeShapeType="1"/>
                        </wps:cNvCnPr>
                        <wps:spPr bwMode="auto">
                          <a:xfrm>
                            <a:off x="218404" y="1912442"/>
                            <a:ext cx="3931974" cy="0"/>
                          </a:xfrm>
                          <a:prstGeom prst="line">
                            <a:avLst/>
                          </a:prstGeom>
                          <a:noFill/>
                          <a:ln w="1905">
                            <a:solidFill>
                              <a:srgbClr val="E8E8E8"/>
                            </a:solidFill>
                            <a:round/>
                            <a:headEnd/>
                            <a:tailEnd/>
                          </a:ln>
                          <a:extLst>
                            <a:ext uri="{909E8E84-426E-40DD-AFC4-6F175D3DCCD1}">
                              <a14:hiddenFill xmlns:a14="http://schemas.microsoft.com/office/drawing/2010/main">
                                <a:noFill/>
                              </a14:hiddenFill>
                            </a:ext>
                          </a:extLst>
                        </wps:spPr>
                        <wps:bodyPr/>
                      </wps:wsp>
                      <wps:wsp>
                        <wps:cNvPr id="1892384209" name="Rectangle 11"/>
                        <wps:cNvSpPr>
                          <a:spLocks noChangeArrowheads="1"/>
                        </wps:cNvSpPr>
                        <wps:spPr bwMode="auto">
                          <a:xfrm>
                            <a:off x="107902" y="1577135"/>
                            <a:ext cx="64801" cy="268606"/>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5A512CDB" w14:textId="77777777" w:rsidR="00F41E4D" w:rsidRDefault="00F41E4D" w:rsidP="00806598">
                              <w:r>
                                <w:rPr>
                                  <w:rFonts w:ascii="Calibri" w:hAnsi="Calibri" w:cs="Calibri"/>
                                  <w:color w:val="000000"/>
                                  <w:sz w:val="20"/>
                                  <w:szCs w:val="20"/>
                                  <w:lang w:val="en-US"/>
                                </w:rPr>
                                <w:t>0</w:t>
                              </w:r>
                            </w:p>
                          </w:txbxContent>
                        </wps:txbx>
                        <wps:bodyPr rot="0" vert="horz" wrap="none" lIns="0" tIns="0" rIns="0" bIns="0" anchor="t" anchorCtr="0" upright="1">
                          <a:spAutoFit/>
                        </wps:bodyPr>
                      </wps:wsp>
                      <wps:wsp>
                        <wps:cNvPr id="1101614240" name="Line 12"/>
                        <wps:cNvCnPr>
                          <a:cxnSpLocks noChangeShapeType="1"/>
                        </wps:cNvCnPr>
                        <wps:spPr bwMode="auto">
                          <a:xfrm>
                            <a:off x="218404" y="1681237"/>
                            <a:ext cx="3931974" cy="0"/>
                          </a:xfrm>
                          <a:prstGeom prst="line">
                            <a:avLst/>
                          </a:prstGeom>
                          <a:noFill/>
                          <a:ln w="1905">
                            <a:solidFill>
                              <a:srgbClr val="E8E8E8"/>
                            </a:solidFill>
                            <a:round/>
                            <a:headEnd/>
                            <a:tailEnd/>
                          </a:ln>
                          <a:extLst>
                            <a:ext uri="{909E8E84-426E-40DD-AFC4-6F175D3DCCD1}">
                              <a14:hiddenFill xmlns:a14="http://schemas.microsoft.com/office/drawing/2010/main">
                                <a:noFill/>
                              </a14:hiddenFill>
                            </a:ext>
                          </a:extLst>
                        </wps:spPr>
                        <wps:bodyPr/>
                      </wps:wsp>
                      <wps:wsp>
                        <wps:cNvPr id="1134900931" name="Rectangle 13"/>
                        <wps:cNvSpPr>
                          <a:spLocks noChangeArrowheads="1"/>
                        </wps:cNvSpPr>
                        <wps:spPr bwMode="auto">
                          <a:xfrm>
                            <a:off x="43101" y="1347929"/>
                            <a:ext cx="128902" cy="268606"/>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7732B7BB" w14:textId="77777777" w:rsidR="00F41E4D" w:rsidRDefault="00F41E4D" w:rsidP="00806598">
                              <w:r>
                                <w:rPr>
                                  <w:rFonts w:ascii="Calibri" w:hAnsi="Calibri" w:cs="Calibri"/>
                                  <w:color w:val="000000"/>
                                  <w:sz w:val="20"/>
                                  <w:szCs w:val="20"/>
                                  <w:lang w:val="en-US"/>
                                </w:rPr>
                                <w:t>10</w:t>
                              </w:r>
                            </w:p>
                          </w:txbxContent>
                        </wps:txbx>
                        <wps:bodyPr rot="0" vert="horz" wrap="none" lIns="0" tIns="0" rIns="0" bIns="0" anchor="t" anchorCtr="0" upright="1">
                          <a:spAutoFit/>
                        </wps:bodyPr>
                      </wps:wsp>
                      <wps:wsp>
                        <wps:cNvPr id="1636789780" name="Line 14"/>
                        <wps:cNvCnPr>
                          <a:cxnSpLocks noChangeShapeType="1"/>
                        </wps:cNvCnPr>
                        <wps:spPr bwMode="auto">
                          <a:xfrm>
                            <a:off x="218404" y="1452032"/>
                            <a:ext cx="3931974" cy="0"/>
                          </a:xfrm>
                          <a:prstGeom prst="line">
                            <a:avLst/>
                          </a:prstGeom>
                          <a:noFill/>
                          <a:ln w="1905">
                            <a:solidFill>
                              <a:srgbClr val="E8E8E8"/>
                            </a:solidFill>
                            <a:round/>
                            <a:headEnd/>
                            <a:tailEnd/>
                          </a:ln>
                          <a:extLst>
                            <a:ext uri="{909E8E84-426E-40DD-AFC4-6F175D3DCCD1}">
                              <a14:hiddenFill xmlns:a14="http://schemas.microsoft.com/office/drawing/2010/main">
                                <a:noFill/>
                              </a14:hiddenFill>
                            </a:ext>
                          </a:extLst>
                        </wps:spPr>
                        <wps:bodyPr/>
                      </wps:wsp>
                      <wps:wsp>
                        <wps:cNvPr id="473681568" name="Rectangle 15"/>
                        <wps:cNvSpPr>
                          <a:spLocks noChangeArrowheads="1"/>
                        </wps:cNvSpPr>
                        <wps:spPr bwMode="auto">
                          <a:xfrm>
                            <a:off x="43101" y="1116724"/>
                            <a:ext cx="128902" cy="268606"/>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6FBF6988" w14:textId="77777777" w:rsidR="00F41E4D" w:rsidRDefault="00F41E4D" w:rsidP="00806598">
                              <w:r>
                                <w:rPr>
                                  <w:rFonts w:ascii="Calibri" w:hAnsi="Calibri" w:cs="Calibri"/>
                                  <w:color w:val="000000"/>
                                  <w:sz w:val="20"/>
                                  <w:szCs w:val="20"/>
                                  <w:lang w:val="en-US"/>
                                </w:rPr>
                                <w:t>20</w:t>
                              </w:r>
                            </w:p>
                          </w:txbxContent>
                        </wps:txbx>
                        <wps:bodyPr rot="0" vert="horz" wrap="none" lIns="0" tIns="0" rIns="0" bIns="0" anchor="t" anchorCtr="0" upright="1">
                          <a:spAutoFit/>
                        </wps:bodyPr>
                      </wps:wsp>
                      <wps:wsp>
                        <wps:cNvPr id="555044781" name="Line 16"/>
                        <wps:cNvCnPr>
                          <a:cxnSpLocks noChangeShapeType="1"/>
                        </wps:cNvCnPr>
                        <wps:spPr bwMode="auto">
                          <a:xfrm>
                            <a:off x="218404" y="1220927"/>
                            <a:ext cx="3931974" cy="0"/>
                          </a:xfrm>
                          <a:prstGeom prst="line">
                            <a:avLst/>
                          </a:prstGeom>
                          <a:noFill/>
                          <a:ln w="1905">
                            <a:solidFill>
                              <a:srgbClr val="E8E8E8"/>
                            </a:solidFill>
                            <a:round/>
                            <a:headEnd/>
                            <a:tailEnd/>
                          </a:ln>
                          <a:extLst>
                            <a:ext uri="{909E8E84-426E-40DD-AFC4-6F175D3DCCD1}">
                              <a14:hiddenFill xmlns:a14="http://schemas.microsoft.com/office/drawing/2010/main">
                                <a:noFill/>
                              </a14:hiddenFill>
                            </a:ext>
                          </a:extLst>
                        </wps:spPr>
                        <wps:bodyPr/>
                      </wps:wsp>
                      <wps:wsp>
                        <wps:cNvPr id="536576062" name="Rectangle 17"/>
                        <wps:cNvSpPr>
                          <a:spLocks noChangeArrowheads="1"/>
                        </wps:cNvSpPr>
                        <wps:spPr bwMode="auto">
                          <a:xfrm>
                            <a:off x="4213880" y="1458332"/>
                            <a:ext cx="128902" cy="268706"/>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1D407620" w14:textId="77777777" w:rsidR="00F41E4D" w:rsidRDefault="00F41E4D" w:rsidP="00806598">
                              <w:r>
                                <w:rPr>
                                  <w:rFonts w:ascii="Calibri" w:hAnsi="Calibri" w:cs="Calibri"/>
                                  <w:color w:val="000000"/>
                                  <w:sz w:val="20"/>
                                  <w:szCs w:val="20"/>
                                  <w:lang w:val="en-US"/>
                                </w:rPr>
                                <w:t xml:space="preserve">80 </w:t>
                              </w:r>
                            </w:p>
                          </w:txbxContent>
                        </wps:txbx>
                        <wps:bodyPr rot="0" vert="horz" wrap="none" lIns="0" tIns="0" rIns="0" bIns="0" anchor="t" anchorCtr="0" upright="1">
                          <a:spAutoFit/>
                        </wps:bodyPr>
                      </wps:wsp>
                      <wps:wsp>
                        <wps:cNvPr id="228832272" name="Line 18"/>
                        <wps:cNvCnPr>
                          <a:cxnSpLocks noChangeShapeType="1"/>
                        </wps:cNvCnPr>
                        <wps:spPr bwMode="auto">
                          <a:xfrm>
                            <a:off x="4149078" y="1562534"/>
                            <a:ext cx="37501" cy="0"/>
                          </a:xfrm>
                          <a:prstGeom prst="line">
                            <a:avLst/>
                          </a:prstGeom>
                          <a:noFill/>
                          <a:ln w="3810">
                            <a:solidFill>
                              <a:srgbClr val="C0C0C0"/>
                            </a:solidFill>
                            <a:round/>
                            <a:headEnd/>
                            <a:tailEnd/>
                          </a:ln>
                          <a:extLst>
                            <a:ext uri="{909E8E84-426E-40DD-AFC4-6F175D3DCCD1}">
                              <a14:hiddenFill xmlns:a14="http://schemas.microsoft.com/office/drawing/2010/main">
                                <a:noFill/>
                              </a14:hiddenFill>
                            </a:ext>
                          </a:extLst>
                        </wps:spPr>
                        <wps:bodyPr/>
                      </wps:wsp>
                      <wps:wsp>
                        <wps:cNvPr id="2693825" name="Line 19"/>
                        <wps:cNvCnPr>
                          <a:cxnSpLocks noChangeShapeType="1"/>
                        </wps:cNvCnPr>
                        <wps:spPr bwMode="auto">
                          <a:xfrm>
                            <a:off x="218404" y="1562534"/>
                            <a:ext cx="3931974" cy="0"/>
                          </a:xfrm>
                          <a:prstGeom prst="line">
                            <a:avLst/>
                          </a:prstGeom>
                          <a:noFill/>
                          <a:ln w="1905">
                            <a:solidFill>
                              <a:srgbClr val="E8E8E8"/>
                            </a:solidFill>
                            <a:round/>
                            <a:headEnd/>
                            <a:tailEnd/>
                          </a:ln>
                          <a:extLst>
                            <a:ext uri="{909E8E84-426E-40DD-AFC4-6F175D3DCCD1}">
                              <a14:hiddenFill xmlns:a14="http://schemas.microsoft.com/office/drawing/2010/main">
                                <a:noFill/>
                              </a14:hiddenFill>
                            </a:ext>
                          </a:extLst>
                        </wps:spPr>
                        <wps:bodyPr/>
                      </wps:wsp>
                      <wps:wsp>
                        <wps:cNvPr id="169655756" name="Rectangle 20"/>
                        <wps:cNvSpPr>
                          <a:spLocks noChangeArrowheads="1"/>
                        </wps:cNvSpPr>
                        <wps:spPr bwMode="auto">
                          <a:xfrm>
                            <a:off x="4213880" y="1170126"/>
                            <a:ext cx="193704" cy="268606"/>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4D007CDF" w14:textId="77777777" w:rsidR="00F41E4D" w:rsidRDefault="00F41E4D" w:rsidP="00806598">
                              <w:r>
                                <w:rPr>
                                  <w:rFonts w:ascii="Calibri" w:hAnsi="Calibri" w:cs="Calibri"/>
                                  <w:color w:val="000000"/>
                                  <w:sz w:val="20"/>
                                  <w:szCs w:val="20"/>
                                  <w:lang w:val="en-US"/>
                                </w:rPr>
                                <w:t xml:space="preserve">100 </w:t>
                              </w:r>
                            </w:p>
                          </w:txbxContent>
                        </wps:txbx>
                        <wps:bodyPr rot="0" vert="horz" wrap="none" lIns="0" tIns="0" rIns="0" bIns="0" anchor="t" anchorCtr="0" upright="1">
                          <a:spAutoFit/>
                        </wps:bodyPr>
                      </wps:wsp>
                      <wps:wsp>
                        <wps:cNvPr id="335875063" name="Line 21"/>
                        <wps:cNvCnPr>
                          <a:cxnSpLocks noChangeShapeType="1"/>
                        </wps:cNvCnPr>
                        <wps:spPr bwMode="auto">
                          <a:xfrm>
                            <a:off x="4149078" y="1274228"/>
                            <a:ext cx="37501" cy="0"/>
                          </a:xfrm>
                          <a:prstGeom prst="line">
                            <a:avLst/>
                          </a:prstGeom>
                          <a:noFill/>
                          <a:ln w="3810">
                            <a:solidFill>
                              <a:srgbClr val="C0C0C0"/>
                            </a:solidFill>
                            <a:round/>
                            <a:headEnd/>
                            <a:tailEnd/>
                          </a:ln>
                          <a:extLst>
                            <a:ext uri="{909E8E84-426E-40DD-AFC4-6F175D3DCCD1}">
                              <a14:hiddenFill xmlns:a14="http://schemas.microsoft.com/office/drawing/2010/main">
                                <a:noFill/>
                              </a14:hiddenFill>
                            </a:ext>
                          </a:extLst>
                        </wps:spPr>
                        <wps:bodyPr/>
                      </wps:wsp>
                      <wps:wsp>
                        <wps:cNvPr id="443851675" name="Line 22"/>
                        <wps:cNvCnPr>
                          <a:cxnSpLocks noChangeShapeType="1"/>
                        </wps:cNvCnPr>
                        <wps:spPr bwMode="auto">
                          <a:xfrm>
                            <a:off x="218404" y="1274228"/>
                            <a:ext cx="3931974" cy="0"/>
                          </a:xfrm>
                          <a:prstGeom prst="line">
                            <a:avLst/>
                          </a:prstGeom>
                          <a:noFill/>
                          <a:ln w="1905">
                            <a:solidFill>
                              <a:srgbClr val="E8E8E8"/>
                            </a:solidFill>
                            <a:round/>
                            <a:headEnd/>
                            <a:tailEnd/>
                          </a:ln>
                          <a:extLst>
                            <a:ext uri="{909E8E84-426E-40DD-AFC4-6F175D3DCCD1}">
                              <a14:hiddenFill xmlns:a14="http://schemas.microsoft.com/office/drawing/2010/main">
                                <a:noFill/>
                              </a14:hiddenFill>
                            </a:ext>
                          </a:extLst>
                        </wps:spPr>
                        <wps:bodyPr/>
                      </wps:wsp>
                      <wps:wsp>
                        <wps:cNvPr id="593078747" name="Rectangle 23"/>
                        <wps:cNvSpPr>
                          <a:spLocks noChangeArrowheads="1"/>
                        </wps:cNvSpPr>
                        <wps:spPr bwMode="auto">
                          <a:xfrm>
                            <a:off x="4213880" y="882419"/>
                            <a:ext cx="193704" cy="268606"/>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26C34949" w14:textId="77777777" w:rsidR="00F41E4D" w:rsidRDefault="00F41E4D" w:rsidP="00806598">
                              <w:r>
                                <w:rPr>
                                  <w:rFonts w:ascii="Calibri" w:hAnsi="Calibri" w:cs="Calibri"/>
                                  <w:color w:val="000000"/>
                                  <w:sz w:val="20"/>
                                  <w:szCs w:val="20"/>
                                  <w:lang w:val="en-US"/>
                                </w:rPr>
                                <w:t xml:space="preserve">120 </w:t>
                              </w:r>
                            </w:p>
                          </w:txbxContent>
                        </wps:txbx>
                        <wps:bodyPr rot="0" vert="horz" wrap="none" lIns="0" tIns="0" rIns="0" bIns="0" anchor="t" anchorCtr="0" upright="1">
                          <a:spAutoFit/>
                        </wps:bodyPr>
                      </wps:wsp>
                      <wps:wsp>
                        <wps:cNvPr id="1682242324" name="Line 24"/>
                        <wps:cNvCnPr>
                          <a:cxnSpLocks noChangeShapeType="1"/>
                        </wps:cNvCnPr>
                        <wps:spPr bwMode="auto">
                          <a:xfrm>
                            <a:off x="4149078" y="986522"/>
                            <a:ext cx="37501" cy="0"/>
                          </a:xfrm>
                          <a:prstGeom prst="line">
                            <a:avLst/>
                          </a:prstGeom>
                          <a:noFill/>
                          <a:ln w="3810">
                            <a:solidFill>
                              <a:srgbClr val="C0C0C0"/>
                            </a:solidFill>
                            <a:round/>
                            <a:headEnd/>
                            <a:tailEnd/>
                          </a:ln>
                          <a:extLst>
                            <a:ext uri="{909E8E84-426E-40DD-AFC4-6F175D3DCCD1}">
                              <a14:hiddenFill xmlns:a14="http://schemas.microsoft.com/office/drawing/2010/main">
                                <a:noFill/>
                              </a14:hiddenFill>
                            </a:ext>
                          </a:extLst>
                        </wps:spPr>
                        <wps:bodyPr/>
                      </wps:wsp>
                      <wps:wsp>
                        <wps:cNvPr id="1144926949" name="Line 25"/>
                        <wps:cNvCnPr>
                          <a:cxnSpLocks noChangeShapeType="1"/>
                        </wps:cNvCnPr>
                        <wps:spPr bwMode="auto">
                          <a:xfrm>
                            <a:off x="218404" y="986522"/>
                            <a:ext cx="3931974" cy="0"/>
                          </a:xfrm>
                          <a:prstGeom prst="line">
                            <a:avLst/>
                          </a:prstGeom>
                          <a:noFill/>
                          <a:ln w="1905">
                            <a:solidFill>
                              <a:srgbClr val="E8E8E8"/>
                            </a:solidFill>
                            <a:round/>
                            <a:headEnd/>
                            <a:tailEnd/>
                          </a:ln>
                          <a:extLst>
                            <a:ext uri="{909E8E84-426E-40DD-AFC4-6F175D3DCCD1}">
                              <a14:hiddenFill xmlns:a14="http://schemas.microsoft.com/office/drawing/2010/main">
                                <a:noFill/>
                              </a14:hiddenFill>
                            </a:ext>
                          </a:extLst>
                        </wps:spPr>
                        <wps:bodyPr/>
                      </wps:wsp>
                      <wps:wsp>
                        <wps:cNvPr id="319834741" name="Rectangle 26"/>
                        <wps:cNvSpPr>
                          <a:spLocks noChangeArrowheads="1"/>
                        </wps:cNvSpPr>
                        <wps:spPr bwMode="auto">
                          <a:xfrm>
                            <a:off x="4213880" y="593513"/>
                            <a:ext cx="193704" cy="268606"/>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2CDF39EE" w14:textId="77777777" w:rsidR="00F41E4D" w:rsidRDefault="00F41E4D" w:rsidP="00806598">
                              <w:r>
                                <w:rPr>
                                  <w:rFonts w:ascii="Calibri" w:hAnsi="Calibri" w:cs="Calibri"/>
                                  <w:color w:val="000000"/>
                                  <w:sz w:val="20"/>
                                  <w:szCs w:val="20"/>
                                  <w:lang w:val="en-US"/>
                                </w:rPr>
                                <w:t xml:space="preserve">140 </w:t>
                              </w:r>
                            </w:p>
                          </w:txbxContent>
                        </wps:txbx>
                        <wps:bodyPr rot="0" vert="horz" wrap="none" lIns="0" tIns="0" rIns="0" bIns="0" anchor="t" anchorCtr="0" upright="1">
                          <a:spAutoFit/>
                        </wps:bodyPr>
                      </wps:wsp>
                      <wps:wsp>
                        <wps:cNvPr id="168850106" name="Line 27"/>
                        <wps:cNvCnPr>
                          <a:cxnSpLocks noChangeShapeType="1"/>
                        </wps:cNvCnPr>
                        <wps:spPr bwMode="auto">
                          <a:xfrm>
                            <a:off x="4149078" y="697615"/>
                            <a:ext cx="37501" cy="0"/>
                          </a:xfrm>
                          <a:prstGeom prst="line">
                            <a:avLst/>
                          </a:prstGeom>
                          <a:noFill/>
                          <a:ln w="3810">
                            <a:solidFill>
                              <a:srgbClr val="C0C0C0"/>
                            </a:solidFill>
                            <a:round/>
                            <a:headEnd/>
                            <a:tailEnd/>
                          </a:ln>
                          <a:extLst>
                            <a:ext uri="{909E8E84-426E-40DD-AFC4-6F175D3DCCD1}">
                              <a14:hiddenFill xmlns:a14="http://schemas.microsoft.com/office/drawing/2010/main">
                                <a:noFill/>
                              </a14:hiddenFill>
                            </a:ext>
                          </a:extLst>
                        </wps:spPr>
                        <wps:bodyPr/>
                      </wps:wsp>
                      <wps:wsp>
                        <wps:cNvPr id="1562623551" name="Line 28"/>
                        <wps:cNvCnPr>
                          <a:cxnSpLocks noChangeShapeType="1"/>
                        </wps:cNvCnPr>
                        <wps:spPr bwMode="auto">
                          <a:xfrm>
                            <a:off x="218404" y="697615"/>
                            <a:ext cx="3931974" cy="0"/>
                          </a:xfrm>
                          <a:prstGeom prst="line">
                            <a:avLst/>
                          </a:prstGeom>
                          <a:noFill/>
                          <a:ln w="1905">
                            <a:solidFill>
                              <a:srgbClr val="E8E8E8"/>
                            </a:solidFill>
                            <a:round/>
                            <a:headEnd/>
                            <a:tailEnd/>
                          </a:ln>
                          <a:extLst>
                            <a:ext uri="{909E8E84-426E-40DD-AFC4-6F175D3DCCD1}">
                              <a14:hiddenFill xmlns:a14="http://schemas.microsoft.com/office/drawing/2010/main">
                                <a:noFill/>
                              </a14:hiddenFill>
                            </a:ext>
                          </a:extLst>
                        </wps:spPr>
                        <wps:bodyPr/>
                      </wps:wsp>
                      <wps:wsp>
                        <wps:cNvPr id="1304090981" name="Rectangle 29"/>
                        <wps:cNvSpPr>
                          <a:spLocks noChangeArrowheads="1"/>
                        </wps:cNvSpPr>
                        <wps:spPr bwMode="auto">
                          <a:xfrm>
                            <a:off x="4213880" y="305807"/>
                            <a:ext cx="193704" cy="268606"/>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0ABE3316" w14:textId="77777777" w:rsidR="00F41E4D" w:rsidRDefault="00F41E4D" w:rsidP="00806598">
                              <w:r>
                                <w:rPr>
                                  <w:rFonts w:ascii="Calibri" w:hAnsi="Calibri" w:cs="Calibri"/>
                                  <w:color w:val="000000"/>
                                  <w:sz w:val="20"/>
                                  <w:szCs w:val="20"/>
                                  <w:lang w:val="en-US"/>
                                </w:rPr>
                                <w:t xml:space="preserve">160 </w:t>
                              </w:r>
                            </w:p>
                          </w:txbxContent>
                        </wps:txbx>
                        <wps:bodyPr rot="0" vert="horz" wrap="none" lIns="0" tIns="0" rIns="0" bIns="0" anchor="t" anchorCtr="0" upright="1">
                          <a:spAutoFit/>
                        </wps:bodyPr>
                      </wps:wsp>
                      <wps:wsp>
                        <wps:cNvPr id="1113610955" name="Line 30"/>
                        <wps:cNvCnPr>
                          <a:cxnSpLocks noChangeShapeType="1"/>
                        </wps:cNvCnPr>
                        <wps:spPr bwMode="auto">
                          <a:xfrm>
                            <a:off x="4149078" y="410609"/>
                            <a:ext cx="37501" cy="0"/>
                          </a:xfrm>
                          <a:prstGeom prst="line">
                            <a:avLst/>
                          </a:prstGeom>
                          <a:noFill/>
                          <a:ln w="3810">
                            <a:solidFill>
                              <a:srgbClr val="C0C0C0"/>
                            </a:solidFill>
                            <a:round/>
                            <a:headEnd/>
                            <a:tailEnd/>
                          </a:ln>
                          <a:extLst>
                            <a:ext uri="{909E8E84-426E-40DD-AFC4-6F175D3DCCD1}">
                              <a14:hiddenFill xmlns:a14="http://schemas.microsoft.com/office/drawing/2010/main">
                                <a:noFill/>
                              </a14:hiddenFill>
                            </a:ext>
                          </a:extLst>
                        </wps:spPr>
                        <wps:bodyPr/>
                      </wps:wsp>
                      <wps:wsp>
                        <wps:cNvPr id="1935131484" name="Line 31"/>
                        <wps:cNvCnPr>
                          <a:cxnSpLocks noChangeShapeType="1"/>
                        </wps:cNvCnPr>
                        <wps:spPr bwMode="auto">
                          <a:xfrm>
                            <a:off x="495009" y="358008"/>
                            <a:ext cx="3932074" cy="0"/>
                          </a:xfrm>
                          <a:prstGeom prst="line">
                            <a:avLst/>
                          </a:prstGeom>
                          <a:noFill/>
                          <a:ln w="1905">
                            <a:solidFill>
                              <a:srgbClr val="E8E8E8"/>
                            </a:solidFill>
                            <a:round/>
                            <a:headEnd/>
                            <a:tailEnd/>
                          </a:ln>
                          <a:extLst>
                            <a:ext uri="{909E8E84-426E-40DD-AFC4-6F175D3DCCD1}">
                              <a14:hiddenFill xmlns:a14="http://schemas.microsoft.com/office/drawing/2010/main">
                                <a:noFill/>
                              </a14:hiddenFill>
                            </a:ext>
                          </a:extLst>
                        </wps:spPr>
                        <wps:bodyPr/>
                      </wps:wsp>
                      <wps:wsp>
                        <wps:cNvPr id="187101147" name="Rectangle 32"/>
                        <wps:cNvSpPr>
                          <a:spLocks noChangeArrowheads="1"/>
                        </wps:cNvSpPr>
                        <wps:spPr bwMode="auto">
                          <a:xfrm>
                            <a:off x="285105" y="2389352"/>
                            <a:ext cx="128902" cy="268606"/>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3DBA7B61" w14:textId="77777777" w:rsidR="00F41E4D" w:rsidRDefault="00F41E4D" w:rsidP="00806598">
                              <w:r>
                                <w:rPr>
                                  <w:rFonts w:ascii="Calibri" w:hAnsi="Calibri" w:cs="Calibri"/>
                                  <w:color w:val="000000"/>
                                  <w:sz w:val="20"/>
                                  <w:szCs w:val="20"/>
                                  <w:lang w:val="en-US"/>
                                </w:rPr>
                                <w:t>04</w:t>
                              </w:r>
                            </w:p>
                          </w:txbxContent>
                        </wps:txbx>
                        <wps:bodyPr rot="0" vert="horz" wrap="none" lIns="0" tIns="0" rIns="0" bIns="0" anchor="t" anchorCtr="0" upright="1">
                          <a:spAutoFit/>
                        </wps:bodyPr>
                      </wps:wsp>
                      <wps:wsp>
                        <wps:cNvPr id="2117826017" name="Rectangle 33"/>
                        <wps:cNvSpPr>
                          <a:spLocks noChangeArrowheads="1"/>
                        </wps:cNvSpPr>
                        <wps:spPr bwMode="auto">
                          <a:xfrm>
                            <a:off x="547310" y="2389352"/>
                            <a:ext cx="128902" cy="268606"/>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361C0E68" w14:textId="77777777" w:rsidR="00F41E4D" w:rsidRDefault="00F41E4D" w:rsidP="00806598">
                              <w:r>
                                <w:rPr>
                                  <w:rFonts w:ascii="Calibri" w:hAnsi="Calibri" w:cs="Calibri"/>
                                  <w:color w:val="000000"/>
                                  <w:sz w:val="20"/>
                                  <w:szCs w:val="20"/>
                                  <w:lang w:val="en-US"/>
                                </w:rPr>
                                <w:t>05</w:t>
                              </w:r>
                            </w:p>
                          </w:txbxContent>
                        </wps:txbx>
                        <wps:bodyPr rot="0" vert="horz" wrap="none" lIns="0" tIns="0" rIns="0" bIns="0" anchor="t" anchorCtr="0" upright="1">
                          <a:spAutoFit/>
                        </wps:bodyPr>
                      </wps:wsp>
                      <wps:wsp>
                        <wps:cNvPr id="559017" name="Rectangle 34"/>
                        <wps:cNvSpPr>
                          <a:spLocks noChangeArrowheads="1"/>
                        </wps:cNvSpPr>
                        <wps:spPr bwMode="auto">
                          <a:xfrm>
                            <a:off x="809615" y="2389352"/>
                            <a:ext cx="128902" cy="268606"/>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6D618146" w14:textId="77777777" w:rsidR="00F41E4D" w:rsidRDefault="00F41E4D" w:rsidP="00806598">
                              <w:r>
                                <w:rPr>
                                  <w:rFonts w:ascii="Calibri" w:hAnsi="Calibri" w:cs="Calibri"/>
                                  <w:color w:val="000000"/>
                                  <w:sz w:val="20"/>
                                  <w:szCs w:val="20"/>
                                  <w:lang w:val="en-US"/>
                                </w:rPr>
                                <w:t>06</w:t>
                              </w:r>
                            </w:p>
                          </w:txbxContent>
                        </wps:txbx>
                        <wps:bodyPr rot="0" vert="horz" wrap="none" lIns="0" tIns="0" rIns="0" bIns="0" anchor="t" anchorCtr="0" upright="1">
                          <a:spAutoFit/>
                        </wps:bodyPr>
                      </wps:wsp>
                      <wps:wsp>
                        <wps:cNvPr id="930985567" name="Rectangle 35"/>
                        <wps:cNvSpPr>
                          <a:spLocks noChangeArrowheads="1"/>
                        </wps:cNvSpPr>
                        <wps:spPr bwMode="auto">
                          <a:xfrm>
                            <a:off x="1070620" y="2389352"/>
                            <a:ext cx="128902" cy="268606"/>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50A93DEF" w14:textId="77777777" w:rsidR="00F41E4D" w:rsidRDefault="00F41E4D" w:rsidP="00806598">
                              <w:r>
                                <w:rPr>
                                  <w:rFonts w:ascii="Calibri" w:hAnsi="Calibri" w:cs="Calibri"/>
                                  <w:color w:val="000000"/>
                                  <w:sz w:val="20"/>
                                  <w:szCs w:val="20"/>
                                  <w:lang w:val="en-US"/>
                                </w:rPr>
                                <w:t>07</w:t>
                              </w:r>
                            </w:p>
                          </w:txbxContent>
                        </wps:txbx>
                        <wps:bodyPr rot="0" vert="horz" wrap="none" lIns="0" tIns="0" rIns="0" bIns="0" anchor="t" anchorCtr="0" upright="1">
                          <a:spAutoFit/>
                        </wps:bodyPr>
                      </wps:wsp>
                      <wps:wsp>
                        <wps:cNvPr id="1807185580" name="Rectangle 36"/>
                        <wps:cNvSpPr>
                          <a:spLocks noChangeArrowheads="1"/>
                        </wps:cNvSpPr>
                        <wps:spPr bwMode="auto">
                          <a:xfrm>
                            <a:off x="1332825" y="2389352"/>
                            <a:ext cx="128902" cy="268606"/>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07B9DC0F" w14:textId="77777777" w:rsidR="00F41E4D" w:rsidRDefault="00F41E4D" w:rsidP="00806598">
                              <w:r>
                                <w:rPr>
                                  <w:rFonts w:ascii="Calibri" w:hAnsi="Calibri" w:cs="Calibri"/>
                                  <w:color w:val="000000"/>
                                  <w:sz w:val="20"/>
                                  <w:szCs w:val="20"/>
                                  <w:lang w:val="en-US"/>
                                </w:rPr>
                                <w:t>08</w:t>
                              </w:r>
                            </w:p>
                          </w:txbxContent>
                        </wps:txbx>
                        <wps:bodyPr rot="0" vert="horz" wrap="none" lIns="0" tIns="0" rIns="0" bIns="0" anchor="t" anchorCtr="0" upright="1">
                          <a:spAutoFit/>
                        </wps:bodyPr>
                      </wps:wsp>
                      <wps:wsp>
                        <wps:cNvPr id="956209021" name="Rectangle 37"/>
                        <wps:cNvSpPr>
                          <a:spLocks noChangeArrowheads="1"/>
                        </wps:cNvSpPr>
                        <wps:spPr bwMode="auto">
                          <a:xfrm>
                            <a:off x="1595130" y="2389352"/>
                            <a:ext cx="128902" cy="268606"/>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003BE3F3" w14:textId="77777777" w:rsidR="00F41E4D" w:rsidRDefault="00F41E4D" w:rsidP="00806598">
                              <w:r>
                                <w:rPr>
                                  <w:rFonts w:ascii="Calibri" w:hAnsi="Calibri" w:cs="Calibri"/>
                                  <w:color w:val="000000"/>
                                  <w:sz w:val="20"/>
                                  <w:szCs w:val="20"/>
                                  <w:lang w:val="en-US"/>
                                </w:rPr>
                                <w:t>09</w:t>
                              </w:r>
                            </w:p>
                          </w:txbxContent>
                        </wps:txbx>
                        <wps:bodyPr rot="0" vert="horz" wrap="none" lIns="0" tIns="0" rIns="0" bIns="0" anchor="t" anchorCtr="0" upright="1">
                          <a:spAutoFit/>
                        </wps:bodyPr>
                      </wps:wsp>
                      <wps:wsp>
                        <wps:cNvPr id="1022144234" name="Rectangle 38"/>
                        <wps:cNvSpPr>
                          <a:spLocks noChangeArrowheads="1"/>
                        </wps:cNvSpPr>
                        <wps:spPr bwMode="auto">
                          <a:xfrm>
                            <a:off x="1857335" y="2389352"/>
                            <a:ext cx="128902" cy="268606"/>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14A4931C" w14:textId="77777777" w:rsidR="00F41E4D" w:rsidRDefault="00F41E4D" w:rsidP="00806598">
                              <w:r>
                                <w:rPr>
                                  <w:rFonts w:ascii="Calibri" w:hAnsi="Calibri" w:cs="Calibri"/>
                                  <w:color w:val="000000"/>
                                  <w:sz w:val="20"/>
                                  <w:szCs w:val="20"/>
                                  <w:lang w:val="en-US"/>
                                </w:rPr>
                                <w:t>10</w:t>
                              </w:r>
                            </w:p>
                          </w:txbxContent>
                        </wps:txbx>
                        <wps:bodyPr rot="0" vert="horz" wrap="none" lIns="0" tIns="0" rIns="0" bIns="0" anchor="t" anchorCtr="0" upright="1">
                          <a:spAutoFit/>
                        </wps:bodyPr>
                      </wps:wsp>
                      <wps:wsp>
                        <wps:cNvPr id="614271086" name="Rectangle 39"/>
                        <wps:cNvSpPr>
                          <a:spLocks noChangeArrowheads="1"/>
                        </wps:cNvSpPr>
                        <wps:spPr bwMode="auto">
                          <a:xfrm>
                            <a:off x="2119640" y="2389352"/>
                            <a:ext cx="128902" cy="268606"/>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08AC44A3" w14:textId="77777777" w:rsidR="00F41E4D" w:rsidRDefault="00F41E4D" w:rsidP="00806598">
                              <w:r>
                                <w:rPr>
                                  <w:rFonts w:ascii="Calibri" w:hAnsi="Calibri" w:cs="Calibri"/>
                                  <w:color w:val="000000"/>
                                  <w:sz w:val="20"/>
                                  <w:szCs w:val="20"/>
                                  <w:lang w:val="en-US"/>
                                </w:rPr>
                                <w:t>11</w:t>
                              </w:r>
                            </w:p>
                          </w:txbxContent>
                        </wps:txbx>
                        <wps:bodyPr rot="0" vert="horz" wrap="none" lIns="0" tIns="0" rIns="0" bIns="0" anchor="t" anchorCtr="0" upright="1">
                          <a:spAutoFit/>
                        </wps:bodyPr>
                      </wps:wsp>
                      <wps:wsp>
                        <wps:cNvPr id="146941679" name="Rectangle 40"/>
                        <wps:cNvSpPr>
                          <a:spLocks noChangeArrowheads="1"/>
                        </wps:cNvSpPr>
                        <wps:spPr bwMode="auto">
                          <a:xfrm>
                            <a:off x="2381245" y="2389352"/>
                            <a:ext cx="128902" cy="268606"/>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53D1CA2E" w14:textId="77777777" w:rsidR="00F41E4D" w:rsidRDefault="00F41E4D" w:rsidP="00806598">
                              <w:r>
                                <w:rPr>
                                  <w:rFonts w:ascii="Calibri" w:hAnsi="Calibri" w:cs="Calibri"/>
                                  <w:color w:val="000000"/>
                                  <w:sz w:val="20"/>
                                  <w:szCs w:val="20"/>
                                  <w:lang w:val="en-US"/>
                                </w:rPr>
                                <w:t>12</w:t>
                              </w:r>
                            </w:p>
                          </w:txbxContent>
                        </wps:txbx>
                        <wps:bodyPr rot="0" vert="horz" wrap="none" lIns="0" tIns="0" rIns="0" bIns="0" anchor="t" anchorCtr="0" upright="1">
                          <a:spAutoFit/>
                        </wps:bodyPr>
                      </wps:wsp>
                      <wps:wsp>
                        <wps:cNvPr id="925508589" name="Rectangle 41"/>
                        <wps:cNvSpPr>
                          <a:spLocks noChangeArrowheads="1"/>
                        </wps:cNvSpPr>
                        <wps:spPr bwMode="auto">
                          <a:xfrm>
                            <a:off x="2643550" y="2389352"/>
                            <a:ext cx="128902" cy="268606"/>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3246361D" w14:textId="77777777" w:rsidR="00F41E4D" w:rsidRDefault="00F41E4D" w:rsidP="00806598">
                              <w:r>
                                <w:rPr>
                                  <w:rFonts w:ascii="Calibri" w:hAnsi="Calibri" w:cs="Calibri"/>
                                  <w:color w:val="000000"/>
                                  <w:sz w:val="20"/>
                                  <w:szCs w:val="20"/>
                                  <w:lang w:val="en-US"/>
                                </w:rPr>
                                <w:t>13</w:t>
                              </w:r>
                            </w:p>
                          </w:txbxContent>
                        </wps:txbx>
                        <wps:bodyPr rot="0" vert="horz" wrap="none" lIns="0" tIns="0" rIns="0" bIns="0" anchor="t" anchorCtr="0" upright="1">
                          <a:spAutoFit/>
                        </wps:bodyPr>
                      </wps:wsp>
                      <wps:wsp>
                        <wps:cNvPr id="50796367" name="Rectangle 42"/>
                        <wps:cNvSpPr>
                          <a:spLocks noChangeArrowheads="1"/>
                        </wps:cNvSpPr>
                        <wps:spPr bwMode="auto">
                          <a:xfrm>
                            <a:off x="2905755" y="2389352"/>
                            <a:ext cx="128902" cy="268606"/>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4A96B5B3" w14:textId="77777777" w:rsidR="00F41E4D" w:rsidRDefault="00F41E4D" w:rsidP="00806598">
                              <w:r>
                                <w:rPr>
                                  <w:rFonts w:ascii="Calibri" w:hAnsi="Calibri" w:cs="Calibri"/>
                                  <w:color w:val="000000"/>
                                  <w:sz w:val="20"/>
                                  <w:szCs w:val="20"/>
                                  <w:lang w:val="en-US"/>
                                </w:rPr>
                                <w:t>14</w:t>
                              </w:r>
                            </w:p>
                          </w:txbxContent>
                        </wps:txbx>
                        <wps:bodyPr rot="0" vert="horz" wrap="none" lIns="0" tIns="0" rIns="0" bIns="0" anchor="t" anchorCtr="0" upright="1">
                          <a:spAutoFit/>
                        </wps:bodyPr>
                      </wps:wsp>
                      <wps:wsp>
                        <wps:cNvPr id="1369069964" name="Rectangle 43"/>
                        <wps:cNvSpPr>
                          <a:spLocks noChangeArrowheads="1"/>
                        </wps:cNvSpPr>
                        <wps:spPr bwMode="auto">
                          <a:xfrm>
                            <a:off x="3168060" y="2389352"/>
                            <a:ext cx="128902" cy="268606"/>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12C57297" w14:textId="77777777" w:rsidR="00F41E4D" w:rsidRDefault="00F41E4D" w:rsidP="00806598">
                              <w:r>
                                <w:rPr>
                                  <w:rFonts w:ascii="Calibri" w:hAnsi="Calibri" w:cs="Calibri"/>
                                  <w:color w:val="000000"/>
                                  <w:sz w:val="20"/>
                                  <w:szCs w:val="20"/>
                                  <w:lang w:val="en-US"/>
                                </w:rPr>
                                <w:t>15</w:t>
                              </w:r>
                            </w:p>
                          </w:txbxContent>
                        </wps:txbx>
                        <wps:bodyPr rot="0" vert="horz" wrap="none" lIns="0" tIns="0" rIns="0" bIns="0" anchor="t" anchorCtr="0" upright="1">
                          <a:spAutoFit/>
                        </wps:bodyPr>
                      </wps:wsp>
                      <wps:wsp>
                        <wps:cNvPr id="1035219318" name="Rectangle 44"/>
                        <wps:cNvSpPr>
                          <a:spLocks noChangeArrowheads="1"/>
                        </wps:cNvSpPr>
                        <wps:spPr bwMode="auto">
                          <a:xfrm>
                            <a:off x="3430265" y="2389352"/>
                            <a:ext cx="128902" cy="268606"/>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3BC9C72C" w14:textId="77777777" w:rsidR="00F41E4D" w:rsidRDefault="00F41E4D" w:rsidP="00806598">
                              <w:r>
                                <w:rPr>
                                  <w:rFonts w:ascii="Calibri" w:hAnsi="Calibri" w:cs="Calibri"/>
                                  <w:color w:val="000000"/>
                                  <w:sz w:val="20"/>
                                  <w:szCs w:val="20"/>
                                  <w:lang w:val="en-US"/>
                                </w:rPr>
                                <w:t>16</w:t>
                              </w:r>
                            </w:p>
                          </w:txbxContent>
                        </wps:txbx>
                        <wps:bodyPr rot="0" vert="horz" wrap="none" lIns="0" tIns="0" rIns="0" bIns="0" anchor="t" anchorCtr="0" upright="1">
                          <a:spAutoFit/>
                        </wps:bodyPr>
                      </wps:wsp>
                      <wps:wsp>
                        <wps:cNvPr id="135150849" name="Rectangle 45"/>
                        <wps:cNvSpPr>
                          <a:spLocks noChangeArrowheads="1"/>
                        </wps:cNvSpPr>
                        <wps:spPr bwMode="auto">
                          <a:xfrm>
                            <a:off x="3691270" y="2389352"/>
                            <a:ext cx="128902" cy="268606"/>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46EAC54A" w14:textId="77777777" w:rsidR="00F41E4D" w:rsidRDefault="00F41E4D" w:rsidP="00806598">
                              <w:r>
                                <w:rPr>
                                  <w:rFonts w:ascii="Calibri" w:hAnsi="Calibri" w:cs="Calibri"/>
                                  <w:color w:val="000000"/>
                                  <w:sz w:val="20"/>
                                  <w:szCs w:val="20"/>
                                  <w:lang w:val="en-US"/>
                                </w:rPr>
                                <w:t>17</w:t>
                              </w:r>
                            </w:p>
                          </w:txbxContent>
                        </wps:txbx>
                        <wps:bodyPr rot="0" vert="horz" wrap="none" lIns="0" tIns="0" rIns="0" bIns="0" anchor="t" anchorCtr="0" upright="1">
                          <a:spAutoFit/>
                        </wps:bodyPr>
                      </wps:wsp>
                      <wps:wsp>
                        <wps:cNvPr id="1615280143" name="Rectangle 46"/>
                        <wps:cNvSpPr>
                          <a:spLocks noChangeArrowheads="1"/>
                        </wps:cNvSpPr>
                        <wps:spPr bwMode="auto">
                          <a:xfrm>
                            <a:off x="3953575" y="2389352"/>
                            <a:ext cx="128902" cy="268606"/>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379F8DB6" w14:textId="77777777" w:rsidR="00F41E4D" w:rsidRDefault="00F41E4D" w:rsidP="00806598">
                              <w:r>
                                <w:rPr>
                                  <w:rFonts w:ascii="Calibri" w:hAnsi="Calibri" w:cs="Calibri"/>
                                  <w:color w:val="000000"/>
                                  <w:sz w:val="20"/>
                                  <w:szCs w:val="20"/>
                                  <w:lang w:val="en-US"/>
                                </w:rPr>
                                <w:t>18</w:t>
                              </w:r>
                            </w:p>
                          </w:txbxContent>
                        </wps:txbx>
                        <wps:bodyPr rot="0" vert="horz" wrap="none" lIns="0" tIns="0" rIns="0" bIns="0" anchor="t" anchorCtr="0" upright="1">
                          <a:spAutoFit/>
                        </wps:bodyPr>
                      </wps:wsp>
                      <wps:wsp>
                        <wps:cNvPr id="81322496" name="Line 47"/>
                        <wps:cNvCnPr>
                          <a:cxnSpLocks noChangeShapeType="1"/>
                        </wps:cNvCnPr>
                        <wps:spPr bwMode="auto">
                          <a:xfrm>
                            <a:off x="742314" y="407409"/>
                            <a:ext cx="0" cy="1967943"/>
                          </a:xfrm>
                          <a:prstGeom prst="line">
                            <a:avLst/>
                          </a:prstGeom>
                          <a:noFill/>
                          <a:ln w="1905">
                            <a:solidFill>
                              <a:srgbClr val="E8E8E8"/>
                            </a:solidFill>
                            <a:round/>
                            <a:headEnd/>
                            <a:tailEnd/>
                          </a:ln>
                          <a:extLst>
                            <a:ext uri="{909E8E84-426E-40DD-AFC4-6F175D3DCCD1}">
                              <a14:hiddenFill xmlns:a14="http://schemas.microsoft.com/office/drawing/2010/main">
                                <a:noFill/>
                              </a14:hiddenFill>
                            </a:ext>
                          </a:extLst>
                        </wps:spPr>
                        <wps:bodyPr/>
                      </wps:wsp>
                      <wps:wsp>
                        <wps:cNvPr id="272993137" name="Line 48"/>
                        <wps:cNvCnPr>
                          <a:cxnSpLocks noChangeShapeType="1"/>
                        </wps:cNvCnPr>
                        <wps:spPr bwMode="auto">
                          <a:xfrm>
                            <a:off x="1266824" y="407409"/>
                            <a:ext cx="0" cy="1967943"/>
                          </a:xfrm>
                          <a:prstGeom prst="line">
                            <a:avLst/>
                          </a:prstGeom>
                          <a:noFill/>
                          <a:ln w="1905">
                            <a:solidFill>
                              <a:srgbClr val="E8E8E8"/>
                            </a:solidFill>
                            <a:round/>
                            <a:headEnd/>
                            <a:tailEnd/>
                          </a:ln>
                          <a:extLst>
                            <a:ext uri="{909E8E84-426E-40DD-AFC4-6F175D3DCCD1}">
                              <a14:hiddenFill xmlns:a14="http://schemas.microsoft.com/office/drawing/2010/main">
                                <a:noFill/>
                              </a14:hiddenFill>
                            </a:ext>
                          </a:extLst>
                        </wps:spPr>
                        <wps:bodyPr/>
                      </wps:wsp>
                      <wps:wsp>
                        <wps:cNvPr id="2027522129" name="Line 49"/>
                        <wps:cNvCnPr>
                          <a:cxnSpLocks noChangeShapeType="1"/>
                        </wps:cNvCnPr>
                        <wps:spPr bwMode="auto">
                          <a:xfrm>
                            <a:off x="1790034" y="407409"/>
                            <a:ext cx="0" cy="1967943"/>
                          </a:xfrm>
                          <a:prstGeom prst="line">
                            <a:avLst/>
                          </a:prstGeom>
                          <a:noFill/>
                          <a:ln w="1905">
                            <a:solidFill>
                              <a:srgbClr val="E8E8E8"/>
                            </a:solidFill>
                            <a:round/>
                            <a:headEnd/>
                            <a:tailEnd/>
                          </a:ln>
                          <a:extLst>
                            <a:ext uri="{909E8E84-426E-40DD-AFC4-6F175D3DCCD1}">
                              <a14:hiddenFill xmlns:a14="http://schemas.microsoft.com/office/drawing/2010/main">
                                <a:noFill/>
                              </a14:hiddenFill>
                            </a:ext>
                          </a:extLst>
                        </wps:spPr>
                        <wps:bodyPr/>
                      </wps:wsp>
                      <wps:wsp>
                        <wps:cNvPr id="1922930825" name="Line 50"/>
                        <wps:cNvCnPr>
                          <a:cxnSpLocks noChangeShapeType="1"/>
                        </wps:cNvCnPr>
                        <wps:spPr bwMode="auto">
                          <a:xfrm>
                            <a:off x="2314544" y="407409"/>
                            <a:ext cx="0" cy="1967943"/>
                          </a:xfrm>
                          <a:prstGeom prst="line">
                            <a:avLst/>
                          </a:prstGeom>
                          <a:noFill/>
                          <a:ln w="1905">
                            <a:solidFill>
                              <a:srgbClr val="E8E8E8"/>
                            </a:solidFill>
                            <a:round/>
                            <a:headEnd/>
                            <a:tailEnd/>
                          </a:ln>
                          <a:extLst>
                            <a:ext uri="{909E8E84-426E-40DD-AFC4-6F175D3DCCD1}">
                              <a14:hiddenFill xmlns:a14="http://schemas.microsoft.com/office/drawing/2010/main">
                                <a:noFill/>
                              </a14:hiddenFill>
                            </a:ext>
                          </a:extLst>
                        </wps:spPr>
                        <wps:bodyPr/>
                      </wps:wsp>
                      <wps:wsp>
                        <wps:cNvPr id="348047493" name="Line 51"/>
                        <wps:cNvCnPr>
                          <a:cxnSpLocks noChangeShapeType="1"/>
                        </wps:cNvCnPr>
                        <wps:spPr bwMode="auto">
                          <a:xfrm>
                            <a:off x="2839054" y="407409"/>
                            <a:ext cx="0" cy="1967943"/>
                          </a:xfrm>
                          <a:prstGeom prst="line">
                            <a:avLst/>
                          </a:prstGeom>
                          <a:noFill/>
                          <a:ln w="1905">
                            <a:solidFill>
                              <a:srgbClr val="E8E8E8"/>
                            </a:solidFill>
                            <a:round/>
                            <a:headEnd/>
                            <a:tailEnd/>
                          </a:ln>
                          <a:extLst>
                            <a:ext uri="{909E8E84-426E-40DD-AFC4-6F175D3DCCD1}">
                              <a14:hiddenFill xmlns:a14="http://schemas.microsoft.com/office/drawing/2010/main">
                                <a:noFill/>
                              </a14:hiddenFill>
                            </a:ext>
                          </a:extLst>
                        </wps:spPr>
                        <wps:bodyPr/>
                      </wps:wsp>
                      <wps:wsp>
                        <wps:cNvPr id="711011626" name="Line 53"/>
                        <wps:cNvCnPr>
                          <a:cxnSpLocks noChangeShapeType="1"/>
                        </wps:cNvCnPr>
                        <wps:spPr bwMode="auto">
                          <a:xfrm>
                            <a:off x="3886873" y="407409"/>
                            <a:ext cx="0" cy="1967943"/>
                          </a:xfrm>
                          <a:prstGeom prst="line">
                            <a:avLst/>
                          </a:prstGeom>
                          <a:noFill/>
                          <a:ln w="1905">
                            <a:solidFill>
                              <a:srgbClr val="E8E8E8"/>
                            </a:solidFill>
                            <a:round/>
                            <a:headEnd/>
                            <a:tailEnd/>
                          </a:ln>
                          <a:extLst>
                            <a:ext uri="{909E8E84-426E-40DD-AFC4-6F175D3DCCD1}">
                              <a14:hiddenFill xmlns:a14="http://schemas.microsoft.com/office/drawing/2010/main">
                                <a:noFill/>
                              </a14:hiddenFill>
                            </a:ext>
                          </a:extLst>
                        </wps:spPr>
                        <wps:bodyPr/>
                      </wps:wsp>
                      <wps:wsp>
                        <wps:cNvPr id="1527425638" name="Line 54"/>
                        <wps:cNvCnPr>
                          <a:cxnSpLocks noChangeShapeType="1"/>
                        </wps:cNvCnPr>
                        <wps:spPr bwMode="auto">
                          <a:xfrm>
                            <a:off x="570811" y="2882663"/>
                            <a:ext cx="3931974" cy="0"/>
                          </a:xfrm>
                          <a:prstGeom prst="line">
                            <a:avLst/>
                          </a:prstGeom>
                          <a:noFill/>
                          <a:ln w="0">
                            <a:solidFill>
                              <a:srgbClr val="C0C0C0"/>
                            </a:solidFill>
                            <a:round/>
                            <a:headEnd/>
                            <a:tailEnd/>
                          </a:ln>
                          <a:extLst>
                            <a:ext uri="{909E8E84-426E-40DD-AFC4-6F175D3DCCD1}">
                              <a14:hiddenFill xmlns:a14="http://schemas.microsoft.com/office/drawing/2010/main">
                                <a:noFill/>
                              </a14:hiddenFill>
                            </a:ext>
                          </a:extLst>
                        </wps:spPr>
                        <wps:bodyPr/>
                      </wps:wsp>
                      <wps:wsp>
                        <wps:cNvPr id="256896082" name="Freeform 55"/>
                        <wps:cNvSpPr>
                          <a:spLocks/>
                        </wps:cNvSpPr>
                        <wps:spPr bwMode="auto">
                          <a:xfrm>
                            <a:off x="349807" y="492511"/>
                            <a:ext cx="3668469" cy="781717"/>
                          </a:xfrm>
                          <a:custGeom>
                            <a:avLst/>
                            <a:gdLst>
                              <a:gd name="T0" fmla="*/ 0 w 3805"/>
                              <a:gd name="T1" fmla="*/ 158328575 h 810"/>
                              <a:gd name="T2" fmla="*/ 251896075 w 3805"/>
                              <a:gd name="T3" fmla="*/ 200239222 h 810"/>
                              <a:gd name="T4" fmla="*/ 504721559 w 3805"/>
                              <a:gd name="T5" fmla="*/ 0 h 810"/>
                              <a:gd name="T6" fmla="*/ 757546079 w 3805"/>
                              <a:gd name="T7" fmla="*/ 52155000 h 810"/>
                              <a:gd name="T8" fmla="*/ 1010371564 w 3805"/>
                              <a:gd name="T9" fmla="*/ 37254123 h 810"/>
                              <a:gd name="T10" fmla="*/ 1263197048 w 3805"/>
                              <a:gd name="T11" fmla="*/ 94065647 h 810"/>
                              <a:gd name="T12" fmla="*/ 1515093123 w 3805"/>
                              <a:gd name="T13" fmla="*/ 754390683 h 810"/>
                              <a:gd name="T14" fmla="*/ 1767917643 w 3805"/>
                              <a:gd name="T15" fmla="*/ 673363303 h 810"/>
                              <a:gd name="T16" fmla="*/ 2020743128 w 3805"/>
                              <a:gd name="T17" fmla="*/ 535524399 h 810"/>
                              <a:gd name="T18" fmla="*/ 2147483646 w 3805"/>
                              <a:gd name="T19" fmla="*/ 528073961 h 810"/>
                              <a:gd name="T20" fmla="*/ 2147483646 w 3805"/>
                              <a:gd name="T21" fmla="*/ 507584289 h 810"/>
                              <a:gd name="T22" fmla="*/ 2147483646 w 3805"/>
                              <a:gd name="T23" fmla="*/ 322245944 h 810"/>
                              <a:gd name="T24" fmla="*/ 2147483646 w 3805"/>
                              <a:gd name="T25" fmla="*/ 376263554 h 810"/>
                              <a:gd name="T26" fmla="*/ 2147483646 w 3805"/>
                              <a:gd name="T27" fmla="*/ 735763621 h 810"/>
                              <a:gd name="T28" fmla="*/ 2147483646 w 3805"/>
                              <a:gd name="T29" fmla="*/ 599787327 h 810"/>
                              <a:gd name="T30" fmla="*/ 0 60000 65536"/>
                              <a:gd name="T31" fmla="*/ 0 60000 65536"/>
                              <a:gd name="T32" fmla="*/ 0 60000 65536"/>
                              <a:gd name="T33" fmla="*/ 0 60000 65536"/>
                              <a:gd name="T34" fmla="*/ 0 60000 65536"/>
                              <a:gd name="T35" fmla="*/ 0 60000 65536"/>
                              <a:gd name="T36" fmla="*/ 0 60000 65536"/>
                              <a:gd name="T37" fmla="*/ 0 60000 65536"/>
                              <a:gd name="T38" fmla="*/ 0 60000 65536"/>
                              <a:gd name="T39" fmla="*/ 0 60000 65536"/>
                              <a:gd name="T40" fmla="*/ 0 60000 65536"/>
                              <a:gd name="T41" fmla="*/ 0 60000 65536"/>
                              <a:gd name="T42" fmla="*/ 0 60000 65536"/>
                              <a:gd name="T43" fmla="*/ 0 60000 65536"/>
                              <a:gd name="T44" fmla="*/ 0 60000 65536"/>
                            </a:gdLst>
                            <a:ahLst/>
                            <a:cxnLst>
                              <a:cxn ang="T30">
                                <a:pos x="T0" y="T1"/>
                              </a:cxn>
                              <a:cxn ang="T31">
                                <a:pos x="T2" y="T3"/>
                              </a:cxn>
                              <a:cxn ang="T32">
                                <a:pos x="T4" y="T5"/>
                              </a:cxn>
                              <a:cxn ang="T33">
                                <a:pos x="T6" y="T7"/>
                              </a:cxn>
                              <a:cxn ang="T34">
                                <a:pos x="T8" y="T9"/>
                              </a:cxn>
                              <a:cxn ang="T35">
                                <a:pos x="T10" y="T11"/>
                              </a:cxn>
                              <a:cxn ang="T36">
                                <a:pos x="T12" y="T13"/>
                              </a:cxn>
                              <a:cxn ang="T37">
                                <a:pos x="T14" y="T15"/>
                              </a:cxn>
                              <a:cxn ang="T38">
                                <a:pos x="T16" y="T17"/>
                              </a:cxn>
                              <a:cxn ang="T39">
                                <a:pos x="T18" y="T19"/>
                              </a:cxn>
                              <a:cxn ang="T40">
                                <a:pos x="T20" y="T21"/>
                              </a:cxn>
                              <a:cxn ang="T41">
                                <a:pos x="T22" y="T23"/>
                              </a:cxn>
                              <a:cxn ang="T42">
                                <a:pos x="T24" y="T25"/>
                              </a:cxn>
                              <a:cxn ang="T43">
                                <a:pos x="T26" y="T27"/>
                              </a:cxn>
                              <a:cxn ang="T44">
                                <a:pos x="T28" y="T29"/>
                              </a:cxn>
                            </a:cxnLst>
                            <a:rect l="0" t="0" r="r" b="b"/>
                            <a:pathLst>
                              <a:path w="3805" h="810">
                                <a:moveTo>
                                  <a:pt x="0" y="170"/>
                                </a:moveTo>
                                <a:lnTo>
                                  <a:pt x="271" y="215"/>
                                </a:lnTo>
                                <a:lnTo>
                                  <a:pt x="543" y="0"/>
                                </a:lnTo>
                                <a:lnTo>
                                  <a:pt x="815" y="56"/>
                                </a:lnTo>
                                <a:lnTo>
                                  <a:pt x="1087" y="40"/>
                                </a:lnTo>
                                <a:lnTo>
                                  <a:pt x="1359" y="101"/>
                                </a:lnTo>
                                <a:lnTo>
                                  <a:pt x="1630" y="810"/>
                                </a:lnTo>
                                <a:lnTo>
                                  <a:pt x="1902" y="723"/>
                                </a:lnTo>
                                <a:lnTo>
                                  <a:pt x="2174" y="575"/>
                                </a:lnTo>
                                <a:lnTo>
                                  <a:pt x="2446" y="567"/>
                                </a:lnTo>
                                <a:lnTo>
                                  <a:pt x="2718" y="545"/>
                                </a:lnTo>
                                <a:lnTo>
                                  <a:pt x="2989" y="346"/>
                                </a:lnTo>
                                <a:lnTo>
                                  <a:pt x="3261" y="404"/>
                                </a:lnTo>
                                <a:lnTo>
                                  <a:pt x="3533" y="790"/>
                                </a:lnTo>
                                <a:lnTo>
                                  <a:pt x="3805" y="644"/>
                                </a:lnTo>
                              </a:path>
                            </a:pathLst>
                          </a:custGeom>
                          <a:noFill/>
                          <a:ln w="13335">
                            <a:solidFill>
                              <a:srgbClr val="396AB1"/>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s:wsp>
                        <wps:cNvPr id="323114479" name="Freeform 56"/>
                        <wps:cNvSpPr>
                          <a:spLocks/>
                        </wps:cNvSpPr>
                        <wps:spPr bwMode="auto">
                          <a:xfrm>
                            <a:off x="349807" y="555412"/>
                            <a:ext cx="3668469" cy="574013"/>
                          </a:xfrm>
                          <a:custGeom>
                            <a:avLst/>
                            <a:gdLst>
                              <a:gd name="T0" fmla="*/ 0 w 3805"/>
                              <a:gd name="T1" fmla="*/ 0 h 595"/>
                              <a:gd name="T2" fmla="*/ 251896075 w 3805"/>
                              <a:gd name="T3" fmla="*/ 45606539 h 595"/>
                              <a:gd name="T4" fmla="*/ 504721559 w 3805"/>
                              <a:gd name="T5" fmla="*/ 91213078 h 595"/>
                              <a:gd name="T6" fmla="*/ 757546079 w 3805"/>
                              <a:gd name="T7" fmla="*/ 140542501 h 595"/>
                              <a:gd name="T8" fmla="*/ 1010371564 w 3805"/>
                              <a:gd name="T9" fmla="*/ 192663846 h 595"/>
                              <a:gd name="T10" fmla="*/ 1263197048 w 3805"/>
                              <a:gd name="T11" fmla="*/ 246647115 h 595"/>
                              <a:gd name="T12" fmla="*/ 1515093123 w 3805"/>
                              <a:gd name="T13" fmla="*/ 299699423 h 595"/>
                              <a:gd name="T14" fmla="*/ 1767917643 w 3805"/>
                              <a:gd name="T15" fmla="*/ 347166921 h 595"/>
                              <a:gd name="T16" fmla="*/ 2020743128 w 3805"/>
                              <a:gd name="T17" fmla="*/ 386258654 h 595"/>
                              <a:gd name="T18" fmla="*/ 2147483646 w 3805"/>
                              <a:gd name="T19" fmla="*/ 417903653 h 595"/>
                              <a:gd name="T20" fmla="*/ 2147483646 w 3805"/>
                              <a:gd name="T21" fmla="*/ 445825767 h 595"/>
                              <a:gd name="T22" fmla="*/ 2147483646 w 3805"/>
                              <a:gd name="T23" fmla="*/ 471886922 h 595"/>
                              <a:gd name="T24" fmla="*/ 2147483646 w 3805"/>
                              <a:gd name="T25" fmla="*/ 498878075 h 595"/>
                              <a:gd name="T26" fmla="*/ 2147483646 w 3805"/>
                              <a:gd name="T27" fmla="*/ 526801154 h 595"/>
                              <a:gd name="T28" fmla="*/ 2147483646 w 3805"/>
                              <a:gd name="T29" fmla="*/ 553792307 h 595"/>
                              <a:gd name="T30" fmla="*/ 0 60000 65536"/>
                              <a:gd name="T31" fmla="*/ 0 60000 65536"/>
                              <a:gd name="T32" fmla="*/ 0 60000 65536"/>
                              <a:gd name="T33" fmla="*/ 0 60000 65536"/>
                              <a:gd name="T34" fmla="*/ 0 60000 65536"/>
                              <a:gd name="T35" fmla="*/ 0 60000 65536"/>
                              <a:gd name="T36" fmla="*/ 0 60000 65536"/>
                              <a:gd name="T37" fmla="*/ 0 60000 65536"/>
                              <a:gd name="T38" fmla="*/ 0 60000 65536"/>
                              <a:gd name="T39" fmla="*/ 0 60000 65536"/>
                              <a:gd name="T40" fmla="*/ 0 60000 65536"/>
                              <a:gd name="T41" fmla="*/ 0 60000 65536"/>
                              <a:gd name="T42" fmla="*/ 0 60000 65536"/>
                              <a:gd name="T43" fmla="*/ 0 60000 65536"/>
                              <a:gd name="T44" fmla="*/ 0 60000 65536"/>
                            </a:gdLst>
                            <a:ahLst/>
                            <a:cxnLst>
                              <a:cxn ang="T30">
                                <a:pos x="T0" y="T1"/>
                              </a:cxn>
                              <a:cxn ang="T31">
                                <a:pos x="T2" y="T3"/>
                              </a:cxn>
                              <a:cxn ang="T32">
                                <a:pos x="T4" y="T5"/>
                              </a:cxn>
                              <a:cxn ang="T33">
                                <a:pos x="T6" y="T7"/>
                              </a:cxn>
                              <a:cxn ang="T34">
                                <a:pos x="T8" y="T9"/>
                              </a:cxn>
                              <a:cxn ang="T35">
                                <a:pos x="T10" y="T11"/>
                              </a:cxn>
                              <a:cxn ang="T36">
                                <a:pos x="T12" y="T13"/>
                              </a:cxn>
                              <a:cxn ang="T37">
                                <a:pos x="T14" y="T15"/>
                              </a:cxn>
                              <a:cxn ang="T38">
                                <a:pos x="T16" y="T17"/>
                              </a:cxn>
                              <a:cxn ang="T39">
                                <a:pos x="T18" y="T19"/>
                              </a:cxn>
                              <a:cxn ang="T40">
                                <a:pos x="T20" y="T21"/>
                              </a:cxn>
                              <a:cxn ang="T41">
                                <a:pos x="T22" y="T23"/>
                              </a:cxn>
                              <a:cxn ang="T42">
                                <a:pos x="T24" y="T25"/>
                              </a:cxn>
                              <a:cxn ang="T43">
                                <a:pos x="T26" y="T27"/>
                              </a:cxn>
                              <a:cxn ang="T44">
                                <a:pos x="T28" y="T29"/>
                              </a:cxn>
                            </a:cxnLst>
                            <a:rect l="0" t="0" r="r" b="b"/>
                            <a:pathLst>
                              <a:path w="3805" h="595">
                                <a:moveTo>
                                  <a:pt x="0" y="0"/>
                                </a:moveTo>
                                <a:lnTo>
                                  <a:pt x="271" y="49"/>
                                </a:lnTo>
                                <a:lnTo>
                                  <a:pt x="543" y="98"/>
                                </a:lnTo>
                                <a:lnTo>
                                  <a:pt x="815" y="151"/>
                                </a:lnTo>
                                <a:lnTo>
                                  <a:pt x="1087" y="207"/>
                                </a:lnTo>
                                <a:lnTo>
                                  <a:pt x="1359" y="265"/>
                                </a:lnTo>
                                <a:lnTo>
                                  <a:pt x="1630" y="322"/>
                                </a:lnTo>
                                <a:lnTo>
                                  <a:pt x="1902" y="373"/>
                                </a:lnTo>
                                <a:lnTo>
                                  <a:pt x="2174" y="415"/>
                                </a:lnTo>
                                <a:lnTo>
                                  <a:pt x="2446" y="449"/>
                                </a:lnTo>
                                <a:lnTo>
                                  <a:pt x="2718" y="479"/>
                                </a:lnTo>
                                <a:lnTo>
                                  <a:pt x="2989" y="507"/>
                                </a:lnTo>
                                <a:lnTo>
                                  <a:pt x="3261" y="536"/>
                                </a:lnTo>
                                <a:lnTo>
                                  <a:pt x="3533" y="566"/>
                                </a:lnTo>
                                <a:lnTo>
                                  <a:pt x="3805" y="595"/>
                                </a:lnTo>
                              </a:path>
                            </a:pathLst>
                          </a:custGeom>
                          <a:noFill/>
                          <a:ln w="13335">
                            <a:solidFill>
                              <a:srgbClr val="DA7C3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s:wsp>
                        <wps:cNvPr id="1282848697" name="Freeform 57"/>
                        <wps:cNvSpPr>
                          <a:spLocks/>
                        </wps:cNvSpPr>
                        <wps:spPr bwMode="auto">
                          <a:xfrm>
                            <a:off x="349807" y="1324429"/>
                            <a:ext cx="3668469" cy="1010922"/>
                          </a:xfrm>
                          <a:custGeom>
                            <a:avLst/>
                            <a:gdLst>
                              <a:gd name="T0" fmla="*/ 0 w 3805"/>
                              <a:gd name="T1" fmla="*/ 501560212 h 1047"/>
                              <a:gd name="T2" fmla="*/ 251896075 w 3805"/>
                              <a:gd name="T3" fmla="*/ 496899543 h 1047"/>
                              <a:gd name="T4" fmla="*/ 504721559 w 3805"/>
                              <a:gd name="T5" fmla="*/ 101617455 h 1047"/>
                              <a:gd name="T6" fmla="*/ 757546079 w 3805"/>
                              <a:gd name="T7" fmla="*/ 107210837 h 1047"/>
                              <a:gd name="T8" fmla="*/ 1010371564 w 3805"/>
                              <a:gd name="T9" fmla="*/ 0 h 1047"/>
                              <a:gd name="T10" fmla="*/ 1263197048 w 3805"/>
                              <a:gd name="T11" fmla="*/ 3728921 h 1047"/>
                              <a:gd name="T12" fmla="*/ 1515093123 w 3805"/>
                              <a:gd name="T13" fmla="*/ 976085261 h 1047"/>
                              <a:gd name="T14" fmla="*/ 1767917643 w 3805"/>
                              <a:gd name="T15" fmla="*/ 771918604 h 1047"/>
                              <a:gd name="T16" fmla="*/ 2020743128 w 3805"/>
                              <a:gd name="T17" fmla="*/ 487576274 h 1047"/>
                              <a:gd name="T18" fmla="*/ 2147483646 w 3805"/>
                              <a:gd name="T19" fmla="*/ 423249965 h 1047"/>
                              <a:gd name="T20" fmla="*/ 2147483646 w 3805"/>
                              <a:gd name="T21" fmla="*/ 345871465 h 1047"/>
                              <a:gd name="T22" fmla="*/ 2147483646 w 3805"/>
                              <a:gd name="T23" fmla="*/ 8390556 h 1047"/>
                              <a:gd name="T24" fmla="*/ 2147483646 w 3805"/>
                              <a:gd name="T25" fmla="*/ 51275084 h 1047"/>
                              <a:gd name="T26" fmla="*/ 2147483646 w 3805"/>
                              <a:gd name="T27" fmla="*/ 582667633 h 1047"/>
                              <a:gd name="T28" fmla="*/ 2147483646 w 3805"/>
                              <a:gd name="T29" fmla="*/ 320700763 h 1047"/>
                              <a:gd name="T30" fmla="*/ 0 60000 65536"/>
                              <a:gd name="T31" fmla="*/ 0 60000 65536"/>
                              <a:gd name="T32" fmla="*/ 0 60000 65536"/>
                              <a:gd name="T33" fmla="*/ 0 60000 65536"/>
                              <a:gd name="T34" fmla="*/ 0 60000 65536"/>
                              <a:gd name="T35" fmla="*/ 0 60000 65536"/>
                              <a:gd name="T36" fmla="*/ 0 60000 65536"/>
                              <a:gd name="T37" fmla="*/ 0 60000 65536"/>
                              <a:gd name="T38" fmla="*/ 0 60000 65536"/>
                              <a:gd name="T39" fmla="*/ 0 60000 65536"/>
                              <a:gd name="T40" fmla="*/ 0 60000 65536"/>
                              <a:gd name="T41" fmla="*/ 0 60000 65536"/>
                              <a:gd name="T42" fmla="*/ 0 60000 65536"/>
                              <a:gd name="T43" fmla="*/ 0 60000 65536"/>
                              <a:gd name="T44" fmla="*/ 0 60000 65536"/>
                            </a:gdLst>
                            <a:ahLst/>
                            <a:cxnLst>
                              <a:cxn ang="T30">
                                <a:pos x="T0" y="T1"/>
                              </a:cxn>
                              <a:cxn ang="T31">
                                <a:pos x="T2" y="T3"/>
                              </a:cxn>
                              <a:cxn ang="T32">
                                <a:pos x="T4" y="T5"/>
                              </a:cxn>
                              <a:cxn ang="T33">
                                <a:pos x="T6" y="T7"/>
                              </a:cxn>
                              <a:cxn ang="T34">
                                <a:pos x="T8" y="T9"/>
                              </a:cxn>
                              <a:cxn ang="T35">
                                <a:pos x="T10" y="T11"/>
                              </a:cxn>
                              <a:cxn ang="T36">
                                <a:pos x="T12" y="T13"/>
                              </a:cxn>
                              <a:cxn ang="T37">
                                <a:pos x="T14" y="T15"/>
                              </a:cxn>
                              <a:cxn ang="T38">
                                <a:pos x="T16" y="T17"/>
                              </a:cxn>
                              <a:cxn ang="T39">
                                <a:pos x="T18" y="T19"/>
                              </a:cxn>
                              <a:cxn ang="T40">
                                <a:pos x="T20" y="T21"/>
                              </a:cxn>
                              <a:cxn ang="T41">
                                <a:pos x="T22" y="T23"/>
                              </a:cxn>
                              <a:cxn ang="T42">
                                <a:pos x="T24" y="T25"/>
                              </a:cxn>
                              <a:cxn ang="T43">
                                <a:pos x="T26" y="T27"/>
                              </a:cxn>
                              <a:cxn ang="T44">
                                <a:pos x="T28" y="T29"/>
                              </a:cxn>
                            </a:cxnLst>
                            <a:rect l="0" t="0" r="r" b="b"/>
                            <a:pathLst>
                              <a:path w="3805" h="1047">
                                <a:moveTo>
                                  <a:pt x="0" y="538"/>
                                </a:moveTo>
                                <a:lnTo>
                                  <a:pt x="271" y="533"/>
                                </a:lnTo>
                                <a:lnTo>
                                  <a:pt x="543" y="109"/>
                                </a:lnTo>
                                <a:lnTo>
                                  <a:pt x="815" y="115"/>
                                </a:lnTo>
                                <a:lnTo>
                                  <a:pt x="1087" y="0"/>
                                </a:lnTo>
                                <a:lnTo>
                                  <a:pt x="1359" y="4"/>
                                </a:lnTo>
                                <a:lnTo>
                                  <a:pt x="1630" y="1047"/>
                                </a:lnTo>
                                <a:lnTo>
                                  <a:pt x="1902" y="828"/>
                                </a:lnTo>
                                <a:lnTo>
                                  <a:pt x="2174" y="523"/>
                                </a:lnTo>
                                <a:lnTo>
                                  <a:pt x="2446" y="454"/>
                                </a:lnTo>
                                <a:lnTo>
                                  <a:pt x="2718" y="371"/>
                                </a:lnTo>
                                <a:lnTo>
                                  <a:pt x="2989" y="9"/>
                                </a:lnTo>
                                <a:lnTo>
                                  <a:pt x="3261" y="55"/>
                                </a:lnTo>
                                <a:lnTo>
                                  <a:pt x="3533" y="625"/>
                                </a:lnTo>
                                <a:lnTo>
                                  <a:pt x="3805" y="344"/>
                                </a:lnTo>
                              </a:path>
                            </a:pathLst>
                          </a:custGeom>
                          <a:noFill/>
                          <a:ln w="13335">
                            <a:solidFill>
                              <a:srgbClr val="3E9651"/>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s:wsp>
                        <wps:cNvPr id="2098105836" name="Rectangle 58"/>
                        <wps:cNvSpPr>
                          <a:spLocks noChangeArrowheads="1"/>
                        </wps:cNvSpPr>
                        <wps:spPr bwMode="auto">
                          <a:xfrm>
                            <a:off x="1003319" y="2696059"/>
                            <a:ext cx="2360245" cy="198704"/>
                          </a:xfrm>
                          <a:prstGeom prst="rect">
                            <a:avLst/>
                          </a:prstGeom>
                          <a:solidFill>
                            <a:srgbClr val="FFFFFF"/>
                          </a:solidFill>
                          <a:ln>
                            <a:noFill/>
                          </a:ln>
                          <a:extLst>
                            <a:ext uri="{91240B29-F687-4F45-9708-019B960494DF}">
                              <a14:hiddenLine xmlns:a14="http://schemas.microsoft.com/office/drawing/2010/main" w="9525">
                                <a:solidFill>
                                  <a:srgbClr val="000000"/>
                                </a:solidFill>
                                <a:miter lim="800000"/>
                                <a:headEnd/>
                                <a:tailEnd/>
                              </a14:hiddenLine>
                            </a:ext>
                          </a:extLst>
                        </wps:spPr>
                        <wps:bodyPr rot="0" vert="horz" wrap="square" lIns="91440" tIns="45720" rIns="91440" bIns="45720" anchor="t" anchorCtr="0" upright="1">
                          <a:noAutofit/>
                        </wps:bodyPr>
                      </wps:wsp>
                      <wps:wsp>
                        <wps:cNvPr id="273186065" name="Rectangle 59"/>
                        <wps:cNvSpPr>
                          <a:spLocks noChangeArrowheads="1"/>
                        </wps:cNvSpPr>
                        <wps:spPr bwMode="auto">
                          <a:xfrm>
                            <a:off x="1003319" y="2696059"/>
                            <a:ext cx="2359045" cy="198104"/>
                          </a:xfrm>
                          <a:prstGeom prst="rect">
                            <a:avLst/>
                          </a:prstGeom>
                          <a:noFill/>
                          <a:ln w="4445">
                            <a:solidFill>
                              <a:srgbClr val="E8E8E8"/>
                            </a:solidFill>
                            <a:miter lim="800000"/>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s:wsp>
                        <wps:cNvPr id="462015281" name="Line 60"/>
                        <wps:cNvCnPr>
                          <a:cxnSpLocks noChangeShapeType="1"/>
                        </wps:cNvCnPr>
                        <wps:spPr bwMode="auto">
                          <a:xfrm>
                            <a:off x="1068020" y="2798261"/>
                            <a:ext cx="247705" cy="0"/>
                          </a:xfrm>
                          <a:prstGeom prst="line">
                            <a:avLst/>
                          </a:prstGeom>
                          <a:noFill/>
                          <a:ln w="13335" cap="sq">
                            <a:solidFill>
                              <a:srgbClr val="396AB1"/>
                            </a:solidFill>
                            <a:round/>
                            <a:headEnd/>
                            <a:tailEnd/>
                          </a:ln>
                          <a:extLst>
                            <a:ext uri="{909E8E84-426E-40DD-AFC4-6F175D3DCCD1}">
                              <a14:hiddenFill xmlns:a14="http://schemas.microsoft.com/office/drawing/2010/main">
                                <a:noFill/>
                              </a14:hiddenFill>
                            </a:ext>
                          </a:extLst>
                        </wps:spPr>
                        <wps:bodyPr/>
                      </wps:wsp>
                      <wps:wsp>
                        <wps:cNvPr id="975001191" name="Rectangle 61"/>
                        <wps:cNvSpPr>
                          <a:spLocks noChangeArrowheads="1"/>
                        </wps:cNvSpPr>
                        <wps:spPr bwMode="auto">
                          <a:xfrm>
                            <a:off x="1372826" y="2719559"/>
                            <a:ext cx="62301" cy="252106"/>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7F0C532F" w14:textId="77777777" w:rsidR="00F41E4D" w:rsidRDefault="00F41E4D" w:rsidP="00806598">
                              <w:r>
                                <w:rPr>
                                  <w:rFonts w:ascii="Calibri" w:hAnsi="Calibri" w:cs="Calibri"/>
                                  <w:color w:val="000000"/>
                                  <w:sz w:val="18"/>
                                  <w:szCs w:val="18"/>
                                  <w:lang w:val="en-US"/>
                                </w:rPr>
                                <w:t>R</w:t>
                              </w:r>
                            </w:p>
                          </w:txbxContent>
                        </wps:txbx>
                        <wps:bodyPr rot="0" vert="horz" wrap="none" lIns="0" tIns="0" rIns="0" bIns="0" anchor="t" anchorCtr="0" upright="1">
                          <a:spAutoFit/>
                        </wps:bodyPr>
                      </wps:wsp>
                      <wps:wsp>
                        <wps:cNvPr id="85564873" name="Rectangle 62"/>
                        <wps:cNvSpPr>
                          <a:spLocks noChangeArrowheads="1"/>
                        </wps:cNvSpPr>
                        <wps:spPr bwMode="auto">
                          <a:xfrm>
                            <a:off x="1430627" y="2719559"/>
                            <a:ext cx="55901" cy="252106"/>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16E02AA3" w14:textId="77777777" w:rsidR="00F41E4D" w:rsidRDefault="00F41E4D" w:rsidP="00806598">
                              <w:r>
                                <w:rPr>
                                  <w:rFonts w:ascii="Calibri" w:hAnsi="Calibri" w:cs="Calibri"/>
                                  <w:color w:val="000000"/>
                                  <w:sz w:val="18"/>
                                  <w:szCs w:val="18"/>
                                  <w:lang w:val="en-US"/>
                                </w:rPr>
                                <w:t>E</w:t>
                              </w:r>
                            </w:p>
                          </w:txbxContent>
                        </wps:txbx>
                        <wps:bodyPr rot="0" vert="horz" wrap="none" lIns="0" tIns="0" rIns="0" bIns="0" anchor="t" anchorCtr="0" upright="1">
                          <a:spAutoFit/>
                        </wps:bodyPr>
                      </wps:wsp>
                      <wps:wsp>
                        <wps:cNvPr id="481044640" name="Rectangle 63"/>
                        <wps:cNvSpPr>
                          <a:spLocks noChangeArrowheads="1"/>
                        </wps:cNvSpPr>
                        <wps:spPr bwMode="auto">
                          <a:xfrm>
                            <a:off x="1481428" y="2719559"/>
                            <a:ext cx="55901" cy="252106"/>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30D06CBB" w14:textId="77777777" w:rsidR="00F41E4D" w:rsidRDefault="00F41E4D" w:rsidP="00806598">
                              <w:r>
                                <w:rPr>
                                  <w:rFonts w:ascii="Calibri" w:hAnsi="Calibri" w:cs="Calibri"/>
                                  <w:color w:val="000000"/>
                                  <w:sz w:val="18"/>
                                  <w:szCs w:val="18"/>
                                  <w:lang w:val="en-US"/>
                                </w:rPr>
                                <w:t>E</w:t>
                              </w:r>
                            </w:p>
                          </w:txbxContent>
                        </wps:txbx>
                        <wps:bodyPr rot="0" vert="horz" wrap="none" lIns="0" tIns="0" rIns="0" bIns="0" anchor="t" anchorCtr="0" upright="1">
                          <a:spAutoFit/>
                        </wps:bodyPr>
                      </wps:wsp>
                      <wps:wsp>
                        <wps:cNvPr id="867300922" name="Rectangle 64"/>
                        <wps:cNvSpPr>
                          <a:spLocks noChangeArrowheads="1"/>
                        </wps:cNvSpPr>
                        <wps:spPr bwMode="auto">
                          <a:xfrm>
                            <a:off x="1532829" y="2719559"/>
                            <a:ext cx="62301" cy="252106"/>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46E820A5" w14:textId="77777777" w:rsidR="00F41E4D" w:rsidRDefault="00F41E4D" w:rsidP="00806598">
                              <w:r>
                                <w:rPr>
                                  <w:rFonts w:ascii="Calibri" w:hAnsi="Calibri" w:cs="Calibri"/>
                                  <w:color w:val="000000"/>
                                  <w:sz w:val="18"/>
                                  <w:szCs w:val="18"/>
                                  <w:lang w:val="en-US"/>
                                </w:rPr>
                                <w:t>R</w:t>
                              </w:r>
                            </w:p>
                          </w:txbxContent>
                        </wps:txbx>
                        <wps:bodyPr rot="0" vert="horz" wrap="none" lIns="0" tIns="0" rIns="0" bIns="0" anchor="t" anchorCtr="0" upright="1">
                          <a:spAutoFit/>
                        </wps:bodyPr>
                      </wps:wsp>
                      <wps:wsp>
                        <wps:cNvPr id="1411461179" name="Line 65"/>
                        <wps:cNvCnPr>
                          <a:cxnSpLocks noChangeShapeType="1"/>
                        </wps:cNvCnPr>
                        <wps:spPr bwMode="auto">
                          <a:xfrm>
                            <a:off x="1680232" y="2798261"/>
                            <a:ext cx="247605" cy="0"/>
                          </a:xfrm>
                          <a:prstGeom prst="line">
                            <a:avLst/>
                          </a:prstGeom>
                          <a:noFill/>
                          <a:ln w="13335" cap="sq">
                            <a:solidFill>
                              <a:srgbClr val="DA7C30"/>
                            </a:solidFill>
                            <a:round/>
                            <a:headEnd/>
                            <a:tailEnd/>
                          </a:ln>
                          <a:extLst>
                            <a:ext uri="{909E8E84-426E-40DD-AFC4-6F175D3DCCD1}">
                              <a14:hiddenFill xmlns:a14="http://schemas.microsoft.com/office/drawing/2010/main">
                                <a:noFill/>
                              </a14:hiddenFill>
                            </a:ext>
                          </a:extLst>
                        </wps:spPr>
                        <wps:bodyPr/>
                      </wps:wsp>
                      <wps:wsp>
                        <wps:cNvPr id="1452179768" name="Rectangle 66"/>
                        <wps:cNvSpPr>
                          <a:spLocks noChangeArrowheads="1"/>
                        </wps:cNvSpPr>
                        <wps:spPr bwMode="auto">
                          <a:xfrm>
                            <a:off x="1985037" y="2719559"/>
                            <a:ext cx="62201" cy="252106"/>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52392432" w14:textId="77777777" w:rsidR="00F41E4D" w:rsidRDefault="00F41E4D" w:rsidP="00806598">
                              <w:r>
                                <w:rPr>
                                  <w:rFonts w:ascii="Calibri" w:hAnsi="Calibri" w:cs="Calibri"/>
                                  <w:color w:val="000000"/>
                                  <w:sz w:val="18"/>
                                  <w:szCs w:val="18"/>
                                  <w:lang w:val="en-US"/>
                                </w:rPr>
                                <w:t>B</w:t>
                              </w:r>
                            </w:p>
                          </w:txbxContent>
                        </wps:txbx>
                        <wps:bodyPr rot="0" vert="horz" wrap="none" lIns="0" tIns="0" rIns="0" bIns="0" anchor="t" anchorCtr="0" upright="1">
                          <a:spAutoFit/>
                        </wps:bodyPr>
                      </wps:wsp>
                      <wps:wsp>
                        <wps:cNvPr id="1686633569" name="Rectangle 67"/>
                        <wps:cNvSpPr>
                          <a:spLocks noChangeArrowheads="1"/>
                        </wps:cNvSpPr>
                        <wps:spPr bwMode="auto">
                          <a:xfrm>
                            <a:off x="2042739" y="2719559"/>
                            <a:ext cx="55901" cy="252106"/>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752E6C3A" w14:textId="77777777" w:rsidR="00F41E4D" w:rsidRDefault="00F41E4D" w:rsidP="00806598">
                              <w:r>
                                <w:rPr>
                                  <w:rFonts w:ascii="Calibri" w:hAnsi="Calibri" w:cs="Calibri"/>
                                  <w:color w:val="000000"/>
                                  <w:sz w:val="18"/>
                                  <w:szCs w:val="18"/>
                                  <w:lang w:val="en-US"/>
                                </w:rPr>
                                <w:t>E</w:t>
                              </w:r>
                            </w:p>
                          </w:txbxContent>
                        </wps:txbx>
                        <wps:bodyPr rot="0" vert="horz" wrap="none" lIns="0" tIns="0" rIns="0" bIns="0" anchor="t" anchorCtr="0" upright="1">
                          <a:spAutoFit/>
                        </wps:bodyPr>
                      </wps:wsp>
                      <wps:wsp>
                        <wps:cNvPr id="1160173530" name="Rectangle 68"/>
                        <wps:cNvSpPr>
                          <a:spLocks noChangeArrowheads="1"/>
                        </wps:cNvSpPr>
                        <wps:spPr bwMode="auto">
                          <a:xfrm>
                            <a:off x="2093540" y="2719559"/>
                            <a:ext cx="55901" cy="252106"/>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10FAD3A6" w14:textId="77777777" w:rsidR="00F41E4D" w:rsidRDefault="00F41E4D" w:rsidP="00806598">
                              <w:r>
                                <w:rPr>
                                  <w:rFonts w:ascii="Calibri" w:hAnsi="Calibri" w:cs="Calibri"/>
                                  <w:color w:val="000000"/>
                                  <w:sz w:val="18"/>
                                  <w:szCs w:val="18"/>
                                  <w:lang w:val="en-US"/>
                                </w:rPr>
                                <w:t>E</w:t>
                              </w:r>
                            </w:p>
                          </w:txbxContent>
                        </wps:txbx>
                        <wps:bodyPr rot="0" vert="horz" wrap="none" lIns="0" tIns="0" rIns="0" bIns="0" anchor="t" anchorCtr="0" upright="1">
                          <a:spAutoFit/>
                        </wps:bodyPr>
                      </wps:wsp>
                      <wps:wsp>
                        <wps:cNvPr id="1447918977" name="Rectangle 69"/>
                        <wps:cNvSpPr>
                          <a:spLocks noChangeArrowheads="1"/>
                        </wps:cNvSpPr>
                        <wps:spPr bwMode="auto">
                          <a:xfrm>
                            <a:off x="2145040" y="2719559"/>
                            <a:ext cx="62201" cy="252106"/>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01965469" w14:textId="77777777" w:rsidR="00F41E4D" w:rsidRDefault="00F41E4D" w:rsidP="00806598">
                              <w:r>
                                <w:rPr>
                                  <w:rFonts w:ascii="Calibri" w:hAnsi="Calibri" w:cs="Calibri"/>
                                  <w:color w:val="000000"/>
                                  <w:sz w:val="18"/>
                                  <w:szCs w:val="18"/>
                                  <w:lang w:val="en-US"/>
                                </w:rPr>
                                <w:t>R</w:t>
                              </w:r>
                            </w:p>
                          </w:txbxContent>
                        </wps:txbx>
                        <wps:bodyPr rot="0" vert="horz" wrap="none" lIns="0" tIns="0" rIns="0" bIns="0" anchor="t" anchorCtr="0" upright="1">
                          <a:spAutoFit/>
                        </wps:bodyPr>
                      </wps:wsp>
                      <wps:wsp>
                        <wps:cNvPr id="1549998212" name="Line 70"/>
                        <wps:cNvCnPr>
                          <a:cxnSpLocks noChangeShapeType="1"/>
                        </wps:cNvCnPr>
                        <wps:spPr bwMode="auto">
                          <a:xfrm>
                            <a:off x="2292343" y="2798261"/>
                            <a:ext cx="247705" cy="0"/>
                          </a:xfrm>
                          <a:prstGeom prst="line">
                            <a:avLst/>
                          </a:prstGeom>
                          <a:noFill/>
                          <a:ln w="13335" cap="sq">
                            <a:solidFill>
                              <a:srgbClr val="3E9651"/>
                            </a:solidFill>
                            <a:round/>
                            <a:headEnd/>
                            <a:tailEnd/>
                          </a:ln>
                          <a:extLst>
                            <a:ext uri="{909E8E84-426E-40DD-AFC4-6F175D3DCCD1}">
                              <a14:hiddenFill xmlns:a14="http://schemas.microsoft.com/office/drawing/2010/main">
                                <a:noFill/>
                              </a14:hiddenFill>
                            </a:ext>
                          </a:extLst>
                        </wps:spPr>
                        <wps:bodyPr/>
                      </wps:wsp>
                      <wps:wsp>
                        <wps:cNvPr id="1038546461" name="Rectangle 71"/>
                        <wps:cNvSpPr>
                          <a:spLocks noChangeArrowheads="1"/>
                        </wps:cNvSpPr>
                        <wps:spPr bwMode="auto">
                          <a:xfrm>
                            <a:off x="2597149" y="2719559"/>
                            <a:ext cx="97802" cy="252106"/>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7F30F018" w14:textId="77777777" w:rsidR="00F41E4D" w:rsidRDefault="00F41E4D" w:rsidP="00806598">
                              <w:r>
                                <w:rPr>
                                  <w:rFonts w:ascii="Calibri" w:hAnsi="Calibri" w:cs="Calibri"/>
                                  <w:color w:val="000000"/>
                                  <w:sz w:val="18"/>
                                  <w:szCs w:val="18"/>
                                  <w:lang w:val="en-US"/>
                                </w:rPr>
                                <w:t>M</w:t>
                              </w:r>
                            </w:p>
                          </w:txbxContent>
                        </wps:txbx>
                        <wps:bodyPr rot="0" vert="horz" wrap="none" lIns="0" tIns="0" rIns="0" bIns="0" anchor="t" anchorCtr="0" upright="1">
                          <a:spAutoFit/>
                        </wps:bodyPr>
                      </wps:wsp>
                      <wps:wsp>
                        <wps:cNvPr id="473212979" name="Rectangle 72"/>
                        <wps:cNvSpPr>
                          <a:spLocks noChangeArrowheads="1"/>
                        </wps:cNvSpPr>
                        <wps:spPr bwMode="auto">
                          <a:xfrm>
                            <a:off x="2683551" y="2719559"/>
                            <a:ext cx="29201" cy="252106"/>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1377D284" w14:textId="77777777" w:rsidR="00F41E4D" w:rsidRDefault="00F41E4D" w:rsidP="00806598">
                              <w:r>
                                <w:rPr>
                                  <w:rFonts w:ascii="Calibri" w:hAnsi="Calibri" w:cs="Calibri"/>
                                  <w:color w:val="000000"/>
                                  <w:sz w:val="18"/>
                                  <w:szCs w:val="18"/>
                                  <w:lang w:val="en-US"/>
                                </w:rPr>
                                <w:t>I</w:t>
                              </w:r>
                            </w:p>
                          </w:txbxContent>
                        </wps:txbx>
                        <wps:bodyPr rot="0" vert="horz" wrap="none" lIns="0" tIns="0" rIns="0" bIns="0" anchor="t" anchorCtr="0" upright="1">
                          <a:spAutoFit/>
                        </wps:bodyPr>
                      </wps:wsp>
                      <wps:wsp>
                        <wps:cNvPr id="505176304" name="Rectangle 73"/>
                        <wps:cNvSpPr>
                          <a:spLocks noChangeArrowheads="1"/>
                        </wps:cNvSpPr>
                        <wps:spPr bwMode="auto">
                          <a:xfrm>
                            <a:off x="2712751" y="2719559"/>
                            <a:ext cx="52701" cy="252106"/>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76D3D277" w14:textId="77777777" w:rsidR="00F41E4D" w:rsidRDefault="00F41E4D" w:rsidP="00806598">
                              <w:r>
                                <w:rPr>
                                  <w:rFonts w:ascii="Calibri" w:hAnsi="Calibri" w:cs="Calibri"/>
                                  <w:color w:val="000000"/>
                                  <w:sz w:val="18"/>
                                  <w:szCs w:val="18"/>
                                  <w:lang w:val="en-US"/>
                                </w:rPr>
                                <w:t>S</w:t>
                              </w:r>
                            </w:p>
                          </w:txbxContent>
                        </wps:txbx>
                        <wps:bodyPr rot="0" vert="horz" wrap="none" lIns="0" tIns="0" rIns="0" bIns="0" anchor="t" anchorCtr="0" upright="1">
                          <a:spAutoFit/>
                        </wps:bodyPr>
                      </wps:wsp>
                      <wps:wsp>
                        <wps:cNvPr id="1747995246" name="Rectangle 74"/>
                        <wps:cNvSpPr>
                          <a:spLocks noChangeArrowheads="1"/>
                        </wps:cNvSpPr>
                        <wps:spPr bwMode="auto">
                          <a:xfrm>
                            <a:off x="2764752" y="2719559"/>
                            <a:ext cx="66701" cy="252106"/>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373E0822" w14:textId="77777777" w:rsidR="00F41E4D" w:rsidRDefault="00F41E4D" w:rsidP="00806598">
                              <w:r>
                                <w:rPr>
                                  <w:rFonts w:ascii="Calibri" w:hAnsi="Calibri" w:cs="Calibri"/>
                                  <w:color w:val="000000"/>
                                  <w:sz w:val="18"/>
                                  <w:szCs w:val="18"/>
                                  <w:lang w:val="en-US"/>
                                </w:rPr>
                                <w:t>A</w:t>
                              </w:r>
                            </w:p>
                          </w:txbxContent>
                        </wps:txbx>
                        <wps:bodyPr rot="0" vert="horz" wrap="none" lIns="0" tIns="0" rIns="0" bIns="0" anchor="t" anchorCtr="0" upright="1">
                          <a:spAutoFit/>
                        </wps:bodyPr>
                      </wps:wsp>
                      <wps:wsp>
                        <wps:cNvPr id="1056486851" name="Rectangle 75"/>
                        <wps:cNvSpPr>
                          <a:spLocks noChangeArrowheads="1"/>
                        </wps:cNvSpPr>
                        <wps:spPr bwMode="auto">
                          <a:xfrm>
                            <a:off x="2830153" y="2719559"/>
                            <a:ext cx="48301" cy="252106"/>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61CABF37" w14:textId="77777777" w:rsidR="00F41E4D" w:rsidRDefault="00F41E4D" w:rsidP="00806598">
                              <w:r>
                                <w:rPr>
                                  <w:rFonts w:ascii="Calibri" w:hAnsi="Calibri" w:cs="Calibri"/>
                                  <w:color w:val="000000"/>
                                  <w:sz w:val="18"/>
                                  <w:szCs w:val="18"/>
                                  <w:lang w:val="en-US"/>
                                </w:rPr>
                                <w:t>L</w:t>
                              </w:r>
                            </w:p>
                          </w:txbxContent>
                        </wps:txbx>
                        <wps:bodyPr rot="0" vert="horz" wrap="none" lIns="0" tIns="0" rIns="0" bIns="0" anchor="t" anchorCtr="0" upright="1">
                          <a:spAutoFit/>
                        </wps:bodyPr>
                      </wps:wsp>
                      <wps:wsp>
                        <wps:cNvPr id="716267819" name="Rectangle 76"/>
                        <wps:cNvSpPr>
                          <a:spLocks noChangeArrowheads="1"/>
                        </wps:cNvSpPr>
                        <wps:spPr bwMode="auto">
                          <a:xfrm>
                            <a:off x="2874054" y="2719559"/>
                            <a:ext cx="29201" cy="252106"/>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3A168A08" w14:textId="77777777" w:rsidR="00F41E4D" w:rsidRDefault="00F41E4D" w:rsidP="00806598">
                              <w:r>
                                <w:rPr>
                                  <w:rFonts w:ascii="Calibri" w:hAnsi="Calibri" w:cs="Calibri"/>
                                  <w:color w:val="000000"/>
                                  <w:sz w:val="18"/>
                                  <w:szCs w:val="18"/>
                                  <w:lang w:val="en-US"/>
                                </w:rPr>
                                <w:t>I</w:t>
                              </w:r>
                            </w:p>
                          </w:txbxContent>
                        </wps:txbx>
                        <wps:bodyPr rot="0" vert="horz" wrap="none" lIns="0" tIns="0" rIns="0" bIns="0" anchor="t" anchorCtr="0" upright="1">
                          <a:spAutoFit/>
                        </wps:bodyPr>
                      </wps:wsp>
                      <wps:wsp>
                        <wps:cNvPr id="1314151083" name="Rectangle 77"/>
                        <wps:cNvSpPr>
                          <a:spLocks noChangeArrowheads="1"/>
                        </wps:cNvSpPr>
                        <wps:spPr bwMode="auto">
                          <a:xfrm>
                            <a:off x="2903855" y="2719559"/>
                            <a:ext cx="72401" cy="252106"/>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0DBA21B6" w14:textId="77777777" w:rsidR="00F41E4D" w:rsidRDefault="00F41E4D" w:rsidP="00806598">
                              <w:r>
                                <w:rPr>
                                  <w:rFonts w:ascii="Calibri" w:hAnsi="Calibri" w:cs="Calibri"/>
                                  <w:color w:val="000000"/>
                                  <w:sz w:val="18"/>
                                  <w:szCs w:val="18"/>
                                  <w:lang w:val="en-US"/>
                                </w:rPr>
                                <w:t>G</w:t>
                              </w:r>
                            </w:p>
                          </w:txbxContent>
                        </wps:txbx>
                        <wps:bodyPr rot="0" vert="horz" wrap="none" lIns="0" tIns="0" rIns="0" bIns="0" anchor="t" anchorCtr="0" upright="1">
                          <a:spAutoFit/>
                        </wps:bodyPr>
                      </wps:wsp>
                      <wps:wsp>
                        <wps:cNvPr id="1499299330" name="Rectangle 78"/>
                        <wps:cNvSpPr>
                          <a:spLocks noChangeArrowheads="1"/>
                        </wps:cNvSpPr>
                        <wps:spPr bwMode="auto">
                          <a:xfrm>
                            <a:off x="2969256" y="2719559"/>
                            <a:ext cx="74301" cy="252106"/>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38ABFD90" w14:textId="77777777" w:rsidR="00F41E4D" w:rsidRDefault="00F41E4D" w:rsidP="00806598">
                              <w:r>
                                <w:rPr>
                                  <w:rFonts w:ascii="Calibri" w:hAnsi="Calibri" w:cs="Calibri"/>
                                  <w:color w:val="000000"/>
                                  <w:sz w:val="18"/>
                                  <w:szCs w:val="18"/>
                                  <w:lang w:val="en-US"/>
                                </w:rPr>
                                <w:t>N</w:t>
                              </w:r>
                            </w:p>
                          </w:txbxContent>
                        </wps:txbx>
                        <wps:bodyPr rot="0" vert="horz" wrap="none" lIns="0" tIns="0" rIns="0" bIns="0" anchor="t" anchorCtr="0" upright="1">
                          <a:spAutoFit/>
                        </wps:bodyPr>
                      </wps:wsp>
                      <wps:wsp>
                        <wps:cNvPr id="987982602" name="Rectangle 79"/>
                        <wps:cNvSpPr>
                          <a:spLocks noChangeArrowheads="1"/>
                        </wps:cNvSpPr>
                        <wps:spPr bwMode="auto">
                          <a:xfrm>
                            <a:off x="3041657" y="2719559"/>
                            <a:ext cx="97802" cy="252106"/>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392B4ADD" w14:textId="77777777" w:rsidR="00F41E4D" w:rsidRDefault="00F41E4D" w:rsidP="00806598">
                              <w:r>
                                <w:rPr>
                                  <w:rFonts w:ascii="Calibri" w:hAnsi="Calibri" w:cs="Calibri"/>
                                  <w:color w:val="000000"/>
                                  <w:sz w:val="18"/>
                                  <w:szCs w:val="18"/>
                                  <w:lang w:val="en-US"/>
                                </w:rPr>
                                <w:t>M</w:t>
                              </w:r>
                            </w:p>
                          </w:txbxContent>
                        </wps:txbx>
                        <wps:bodyPr rot="0" vert="horz" wrap="none" lIns="0" tIns="0" rIns="0" bIns="0" anchor="t" anchorCtr="0" upright="1">
                          <a:spAutoFit/>
                        </wps:bodyPr>
                      </wps:wsp>
                      <wps:wsp>
                        <wps:cNvPr id="1388147474" name="Rectangle 80"/>
                        <wps:cNvSpPr>
                          <a:spLocks noChangeArrowheads="1"/>
                        </wps:cNvSpPr>
                        <wps:spPr bwMode="auto">
                          <a:xfrm>
                            <a:off x="3129259" y="2719559"/>
                            <a:ext cx="55901" cy="252106"/>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4CE3DA0C" w14:textId="77777777" w:rsidR="00F41E4D" w:rsidRDefault="00F41E4D" w:rsidP="00806598">
                              <w:r>
                                <w:rPr>
                                  <w:rFonts w:ascii="Calibri" w:hAnsi="Calibri" w:cs="Calibri"/>
                                  <w:color w:val="000000"/>
                                  <w:sz w:val="18"/>
                                  <w:szCs w:val="18"/>
                                  <w:lang w:val="en-US"/>
                                </w:rPr>
                                <w:t>E</w:t>
                              </w:r>
                            </w:p>
                          </w:txbxContent>
                        </wps:txbx>
                        <wps:bodyPr rot="0" vert="horz" wrap="none" lIns="0" tIns="0" rIns="0" bIns="0" anchor="t" anchorCtr="0" upright="1">
                          <a:spAutoFit/>
                        </wps:bodyPr>
                      </wps:wsp>
                      <wps:wsp>
                        <wps:cNvPr id="1702131718" name="Rectangle 81"/>
                        <wps:cNvSpPr>
                          <a:spLocks noChangeArrowheads="1"/>
                        </wps:cNvSpPr>
                        <wps:spPr bwMode="auto">
                          <a:xfrm>
                            <a:off x="3180060" y="2719559"/>
                            <a:ext cx="74301" cy="252106"/>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5C30EF6D" w14:textId="77777777" w:rsidR="00F41E4D" w:rsidRDefault="00F41E4D" w:rsidP="00806598">
                              <w:r>
                                <w:rPr>
                                  <w:rFonts w:ascii="Calibri" w:hAnsi="Calibri" w:cs="Calibri"/>
                                  <w:color w:val="000000"/>
                                  <w:sz w:val="18"/>
                                  <w:szCs w:val="18"/>
                                  <w:lang w:val="en-US"/>
                                </w:rPr>
                                <w:t>N</w:t>
                              </w:r>
                            </w:p>
                          </w:txbxContent>
                        </wps:txbx>
                        <wps:bodyPr rot="0" vert="horz" wrap="none" lIns="0" tIns="0" rIns="0" bIns="0" anchor="t" anchorCtr="0" upright="1">
                          <a:spAutoFit/>
                        </wps:bodyPr>
                      </wps:wsp>
                      <wps:wsp>
                        <wps:cNvPr id="1371666297" name="Rectangle 82"/>
                        <wps:cNvSpPr>
                          <a:spLocks noChangeArrowheads="1"/>
                        </wps:cNvSpPr>
                        <wps:spPr bwMode="auto">
                          <a:xfrm>
                            <a:off x="3253761" y="2719559"/>
                            <a:ext cx="55901" cy="252106"/>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5C5E061B" w14:textId="77777777" w:rsidR="00F41E4D" w:rsidRDefault="00F41E4D" w:rsidP="00806598">
                              <w:r>
                                <w:rPr>
                                  <w:rFonts w:ascii="Calibri" w:hAnsi="Calibri" w:cs="Calibri"/>
                                  <w:color w:val="000000"/>
                                  <w:sz w:val="18"/>
                                  <w:szCs w:val="18"/>
                                  <w:lang w:val="en-US"/>
                                </w:rPr>
                                <w:t>T</w:t>
                              </w:r>
                            </w:p>
                          </w:txbxContent>
                        </wps:txbx>
                        <wps:bodyPr rot="0" vert="horz" wrap="none" lIns="0" tIns="0" rIns="0" bIns="0" anchor="t" anchorCtr="0" upright="1">
                          <a:spAutoFit/>
                        </wps:bodyPr>
                      </wps:wsp>
                      <wps:wsp>
                        <wps:cNvPr id="376230078" name="Rectangle 83"/>
                        <wps:cNvSpPr>
                          <a:spLocks noChangeArrowheads="1"/>
                        </wps:cNvSpPr>
                        <wps:spPr bwMode="auto">
                          <a:xfrm>
                            <a:off x="831816" y="35901"/>
                            <a:ext cx="87602" cy="285806"/>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1E1D2E06" w14:textId="77777777" w:rsidR="00F41E4D" w:rsidRDefault="00F41E4D" w:rsidP="00806598">
                              <w:r>
                                <w:rPr>
                                  <w:rFonts w:ascii="Calibri" w:hAnsi="Calibri" w:cs="Calibri"/>
                                  <w:color w:val="000000"/>
                                  <w:lang w:val="en-US"/>
                                </w:rPr>
                                <w:t>H</w:t>
                              </w:r>
                            </w:p>
                          </w:txbxContent>
                        </wps:txbx>
                        <wps:bodyPr rot="0" vert="horz" wrap="none" lIns="0" tIns="0" rIns="0" bIns="0" anchor="t" anchorCtr="0" upright="1">
                          <a:spAutoFit/>
                        </wps:bodyPr>
                      </wps:wsp>
                      <wps:wsp>
                        <wps:cNvPr id="154840079" name="Rectangle 84"/>
                        <wps:cNvSpPr>
                          <a:spLocks noChangeArrowheads="1"/>
                        </wps:cNvSpPr>
                        <wps:spPr bwMode="auto">
                          <a:xfrm>
                            <a:off x="918817" y="35901"/>
                            <a:ext cx="74301" cy="285806"/>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607B6B74" w14:textId="77777777" w:rsidR="00F41E4D" w:rsidRDefault="00F41E4D" w:rsidP="00806598">
                              <w:r>
                                <w:rPr>
                                  <w:rFonts w:ascii="Calibri" w:hAnsi="Calibri" w:cs="Calibri"/>
                                  <w:color w:val="000000"/>
                                  <w:lang w:val="en-US"/>
                                </w:rPr>
                                <w:t>o</w:t>
                              </w:r>
                            </w:p>
                          </w:txbxContent>
                        </wps:txbx>
                        <wps:bodyPr rot="0" vert="horz" wrap="none" lIns="0" tIns="0" rIns="0" bIns="0" anchor="t" anchorCtr="0" upright="1">
                          <a:spAutoFit/>
                        </wps:bodyPr>
                      </wps:wsp>
                      <wps:wsp>
                        <wps:cNvPr id="283421414" name="Rectangle 85"/>
                        <wps:cNvSpPr>
                          <a:spLocks noChangeArrowheads="1"/>
                        </wps:cNvSpPr>
                        <wps:spPr bwMode="auto">
                          <a:xfrm>
                            <a:off x="998819" y="35901"/>
                            <a:ext cx="73701" cy="285806"/>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79D621B8" w14:textId="77777777" w:rsidR="00F41E4D" w:rsidRDefault="00F41E4D" w:rsidP="00806598">
                              <w:r>
                                <w:rPr>
                                  <w:rFonts w:ascii="Calibri" w:hAnsi="Calibri" w:cs="Calibri"/>
                                  <w:color w:val="000000"/>
                                  <w:lang w:val="en-US"/>
                                </w:rPr>
                                <w:t>d</w:t>
                              </w:r>
                            </w:p>
                          </w:txbxContent>
                        </wps:txbx>
                        <wps:bodyPr rot="0" vert="horz" wrap="none" lIns="0" tIns="0" rIns="0" bIns="0" anchor="t" anchorCtr="0" upright="1">
                          <a:spAutoFit/>
                        </wps:bodyPr>
                      </wps:wsp>
                      <wps:wsp>
                        <wps:cNvPr id="1110362431" name="Rectangle 86"/>
                        <wps:cNvSpPr>
                          <a:spLocks noChangeArrowheads="1"/>
                        </wps:cNvSpPr>
                        <wps:spPr bwMode="auto">
                          <a:xfrm>
                            <a:off x="1078820" y="35901"/>
                            <a:ext cx="48901" cy="285806"/>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26D89538" w14:textId="77777777" w:rsidR="00F41E4D" w:rsidRDefault="00F41E4D" w:rsidP="00806598">
                              <w:r>
                                <w:rPr>
                                  <w:rFonts w:ascii="Calibri" w:hAnsi="Calibri" w:cs="Calibri"/>
                                  <w:color w:val="000000"/>
                                  <w:lang w:val="en-US"/>
                                </w:rPr>
                                <w:t>r</w:t>
                              </w:r>
                            </w:p>
                          </w:txbxContent>
                        </wps:txbx>
                        <wps:bodyPr rot="0" vert="horz" wrap="none" lIns="0" tIns="0" rIns="0" bIns="0" anchor="t" anchorCtr="0" upright="1">
                          <a:spAutoFit/>
                        </wps:bodyPr>
                      </wps:wsp>
                      <wps:wsp>
                        <wps:cNvPr id="1749891722" name="Rectangle 87"/>
                        <wps:cNvSpPr>
                          <a:spLocks noChangeArrowheads="1"/>
                        </wps:cNvSpPr>
                        <wps:spPr bwMode="auto">
                          <a:xfrm>
                            <a:off x="1129621" y="35901"/>
                            <a:ext cx="32401" cy="285806"/>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5DE1451B" w14:textId="77777777" w:rsidR="00F41E4D" w:rsidRDefault="00F41E4D" w:rsidP="00806598">
                              <w:r>
                                <w:rPr>
                                  <w:rFonts w:ascii="Calibri" w:hAnsi="Calibri" w:cs="Calibri"/>
                                  <w:color w:val="000000"/>
                                  <w:lang w:val="en-US"/>
                                </w:rPr>
                                <w:t>i</w:t>
                              </w:r>
                            </w:p>
                          </w:txbxContent>
                        </wps:txbx>
                        <wps:bodyPr rot="0" vert="horz" wrap="none" lIns="0" tIns="0" rIns="0" bIns="0" anchor="t" anchorCtr="0" upright="1">
                          <a:spAutoFit/>
                        </wps:bodyPr>
                      </wps:wsp>
                      <wps:wsp>
                        <wps:cNvPr id="1743665139" name="Rectangle 88"/>
                        <wps:cNvSpPr>
                          <a:spLocks noChangeArrowheads="1"/>
                        </wps:cNvSpPr>
                        <wps:spPr bwMode="auto">
                          <a:xfrm>
                            <a:off x="1166422" y="35901"/>
                            <a:ext cx="59701" cy="285806"/>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26250CC1" w14:textId="77777777" w:rsidR="00F41E4D" w:rsidRDefault="00F41E4D" w:rsidP="00806598">
                              <w:r>
                                <w:rPr>
                                  <w:rFonts w:ascii="Calibri" w:hAnsi="Calibri" w:cs="Calibri"/>
                                  <w:color w:val="000000"/>
                                  <w:lang w:val="en-US"/>
                                </w:rPr>
                                <w:t>c</w:t>
                              </w:r>
                            </w:p>
                          </w:txbxContent>
                        </wps:txbx>
                        <wps:bodyPr rot="0" vert="horz" wrap="none" lIns="0" tIns="0" rIns="0" bIns="0" anchor="t" anchorCtr="0" upright="1">
                          <a:spAutoFit/>
                        </wps:bodyPr>
                      </wps:wsp>
                      <wps:wsp>
                        <wps:cNvPr id="297615467" name="Rectangle 89"/>
                        <wps:cNvSpPr>
                          <a:spLocks noChangeArrowheads="1"/>
                        </wps:cNvSpPr>
                        <wps:spPr bwMode="auto">
                          <a:xfrm>
                            <a:off x="1224223" y="35901"/>
                            <a:ext cx="64201" cy="285806"/>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766709D3" w14:textId="77777777" w:rsidR="00F41E4D" w:rsidRDefault="00F41E4D" w:rsidP="00806598">
                              <w:r>
                                <w:rPr>
                                  <w:rFonts w:ascii="Calibri" w:hAnsi="Calibri" w:cs="Calibri"/>
                                  <w:color w:val="000000"/>
                                  <w:lang w:val="en-US"/>
                                </w:rPr>
                                <w:t>k</w:t>
                              </w:r>
                            </w:p>
                          </w:txbxContent>
                        </wps:txbx>
                        <wps:bodyPr rot="0" vert="horz" wrap="none" lIns="0" tIns="0" rIns="0" bIns="0" anchor="t" anchorCtr="0" upright="1">
                          <a:spAutoFit/>
                        </wps:bodyPr>
                      </wps:wsp>
                      <wps:wsp>
                        <wps:cNvPr id="1018305463" name="Rectangle 90"/>
                        <wps:cNvSpPr>
                          <a:spLocks noChangeArrowheads="1"/>
                        </wps:cNvSpPr>
                        <wps:spPr bwMode="auto">
                          <a:xfrm>
                            <a:off x="1289624" y="35901"/>
                            <a:ext cx="43201" cy="285806"/>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69F0C8F4" w14:textId="77777777" w:rsidR="00F41E4D" w:rsidRDefault="00F41E4D" w:rsidP="00806598">
                              <w:r>
                                <w:rPr>
                                  <w:rFonts w:ascii="Calibri" w:hAnsi="Calibri" w:cs="Calibri"/>
                                  <w:color w:val="000000"/>
                                  <w:lang w:val="en-US"/>
                                </w:rPr>
                                <w:t>-</w:t>
                              </w:r>
                            </w:p>
                          </w:txbxContent>
                        </wps:txbx>
                        <wps:bodyPr rot="0" vert="horz" wrap="none" lIns="0" tIns="0" rIns="0" bIns="0" anchor="t" anchorCtr="0" upright="1">
                          <a:spAutoFit/>
                        </wps:bodyPr>
                      </wps:wsp>
                      <wps:wsp>
                        <wps:cNvPr id="1359241697" name="Rectangle 91"/>
                        <wps:cNvSpPr>
                          <a:spLocks noChangeArrowheads="1"/>
                        </wps:cNvSpPr>
                        <wps:spPr bwMode="auto">
                          <a:xfrm>
                            <a:off x="1332825" y="35901"/>
                            <a:ext cx="72401" cy="285806"/>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555A28A8" w14:textId="77777777" w:rsidR="00F41E4D" w:rsidRDefault="00F41E4D" w:rsidP="00806598">
                              <w:r>
                                <w:rPr>
                                  <w:rFonts w:ascii="Calibri" w:hAnsi="Calibri" w:cs="Calibri"/>
                                  <w:color w:val="000000"/>
                                  <w:lang w:val="en-US"/>
                                </w:rPr>
                                <w:t>P</w:t>
                              </w:r>
                            </w:p>
                          </w:txbxContent>
                        </wps:txbx>
                        <wps:bodyPr rot="0" vert="horz" wrap="none" lIns="0" tIns="0" rIns="0" bIns="0" anchor="t" anchorCtr="0" upright="1">
                          <a:spAutoFit/>
                        </wps:bodyPr>
                      </wps:wsp>
                      <wps:wsp>
                        <wps:cNvPr id="16702898" name="Rectangle 92"/>
                        <wps:cNvSpPr>
                          <a:spLocks noChangeArrowheads="1"/>
                        </wps:cNvSpPr>
                        <wps:spPr bwMode="auto">
                          <a:xfrm>
                            <a:off x="1405227" y="35901"/>
                            <a:ext cx="48901" cy="285806"/>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7ED6A412" w14:textId="77777777" w:rsidR="00F41E4D" w:rsidRDefault="00F41E4D" w:rsidP="00806598">
                              <w:r>
                                <w:rPr>
                                  <w:rFonts w:ascii="Calibri" w:hAnsi="Calibri" w:cs="Calibri"/>
                                  <w:color w:val="000000"/>
                                  <w:lang w:val="en-US"/>
                                </w:rPr>
                                <w:t>r</w:t>
                              </w:r>
                            </w:p>
                          </w:txbxContent>
                        </wps:txbx>
                        <wps:bodyPr rot="0" vert="horz" wrap="none" lIns="0" tIns="0" rIns="0" bIns="0" anchor="t" anchorCtr="0" upright="1">
                          <a:spAutoFit/>
                        </wps:bodyPr>
                      </wps:wsp>
                      <wps:wsp>
                        <wps:cNvPr id="1330879629" name="Rectangle 93"/>
                        <wps:cNvSpPr>
                          <a:spLocks noChangeArrowheads="1"/>
                        </wps:cNvSpPr>
                        <wps:spPr bwMode="auto">
                          <a:xfrm>
                            <a:off x="1456627" y="35901"/>
                            <a:ext cx="69901" cy="285806"/>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0B614E16" w14:textId="77777777" w:rsidR="00F41E4D" w:rsidRDefault="00F41E4D" w:rsidP="00806598">
                              <w:r>
                                <w:rPr>
                                  <w:rFonts w:ascii="Calibri" w:hAnsi="Calibri" w:cs="Calibri"/>
                                  <w:color w:val="000000"/>
                                  <w:lang w:val="en-US"/>
                                </w:rPr>
                                <w:t>e</w:t>
                              </w:r>
                            </w:p>
                          </w:txbxContent>
                        </wps:txbx>
                        <wps:bodyPr rot="0" vert="horz" wrap="none" lIns="0" tIns="0" rIns="0" bIns="0" anchor="t" anchorCtr="0" upright="1">
                          <a:spAutoFit/>
                        </wps:bodyPr>
                      </wps:wsp>
                      <wps:wsp>
                        <wps:cNvPr id="1255154765" name="Rectangle 94"/>
                        <wps:cNvSpPr>
                          <a:spLocks noChangeArrowheads="1"/>
                        </wps:cNvSpPr>
                        <wps:spPr bwMode="auto">
                          <a:xfrm>
                            <a:off x="1529029" y="35901"/>
                            <a:ext cx="55301" cy="285806"/>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2EFD6C19" w14:textId="77777777" w:rsidR="00F41E4D" w:rsidRDefault="00F41E4D" w:rsidP="00806598">
                              <w:r>
                                <w:rPr>
                                  <w:rFonts w:ascii="Calibri" w:hAnsi="Calibri" w:cs="Calibri"/>
                                  <w:color w:val="000000"/>
                                  <w:lang w:val="en-US"/>
                                </w:rPr>
                                <w:t>s</w:t>
                              </w:r>
                            </w:p>
                          </w:txbxContent>
                        </wps:txbx>
                        <wps:bodyPr rot="0" vert="horz" wrap="none" lIns="0" tIns="0" rIns="0" bIns="0" anchor="t" anchorCtr="0" upright="1">
                          <a:spAutoFit/>
                        </wps:bodyPr>
                      </wps:wsp>
                      <wps:wsp>
                        <wps:cNvPr id="29260461" name="Rectangle 95"/>
                        <wps:cNvSpPr>
                          <a:spLocks noChangeArrowheads="1"/>
                        </wps:cNvSpPr>
                        <wps:spPr bwMode="auto">
                          <a:xfrm>
                            <a:off x="1586830" y="35901"/>
                            <a:ext cx="59701" cy="285806"/>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4B28C735" w14:textId="77777777" w:rsidR="00F41E4D" w:rsidRDefault="00F41E4D" w:rsidP="00806598">
                              <w:r>
                                <w:rPr>
                                  <w:rFonts w:ascii="Calibri" w:hAnsi="Calibri" w:cs="Calibri"/>
                                  <w:color w:val="000000"/>
                                  <w:lang w:val="en-US"/>
                                </w:rPr>
                                <w:t>c</w:t>
                              </w:r>
                            </w:p>
                          </w:txbxContent>
                        </wps:txbx>
                        <wps:bodyPr rot="0" vert="horz" wrap="none" lIns="0" tIns="0" rIns="0" bIns="0" anchor="t" anchorCtr="0" upright="1">
                          <a:spAutoFit/>
                        </wps:bodyPr>
                      </wps:wsp>
                      <wps:wsp>
                        <wps:cNvPr id="1147690594" name="Rectangle 96"/>
                        <wps:cNvSpPr>
                          <a:spLocks noChangeArrowheads="1"/>
                        </wps:cNvSpPr>
                        <wps:spPr bwMode="auto">
                          <a:xfrm>
                            <a:off x="1644631" y="35901"/>
                            <a:ext cx="74301" cy="285806"/>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766F2B12" w14:textId="77777777" w:rsidR="00F41E4D" w:rsidRDefault="00F41E4D" w:rsidP="00806598">
                              <w:r>
                                <w:rPr>
                                  <w:rFonts w:ascii="Calibri" w:hAnsi="Calibri" w:cs="Calibri"/>
                                  <w:color w:val="000000"/>
                                  <w:lang w:val="en-US"/>
                                </w:rPr>
                                <w:t>o</w:t>
                              </w:r>
                            </w:p>
                          </w:txbxContent>
                        </wps:txbx>
                        <wps:bodyPr rot="0" vert="horz" wrap="none" lIns="0" tIns="0" rIns="0" bIns="0" anchor="t" anchorCtr="0" upright="1">
                          <a:spAutoFit/>
                        </wps:bodyPr>
                      </wps:wsp>
                      <wps:wsp>
                        <wps:cNvPr id="112479419" name="Rectangle 97"/>
                        <wps:cNvSpPr>
                          <a:spLocks noChangeArrowheads="1"/>
                        </wps:cNvSpPr>
                        <wps:spPr bwMode="auto">
                          <a:xfrm>
                            <a:off x="1724633" y="35901"/>
                            <a:ext cx="47001" cy="285806"/>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21D4442E" w14:textId="77777777" w:rsidR="00F41E4D" w:rsidRDefault="00F41E4D" w:rsidP="00806598">
                              <w:r>
                                <w:rPr>
                                  <w:rFonts w:ascii="Calibri" w:hAnsi="Calibri" w:cs="Calibri"/>
                                  <w:color w:val="000000"/>
                                  <w:lang w:val="en-US"/>
                                </w:rPr>
                                <w:t>t</w:t>
                              </w:r>
                            </w:p>
                          </w:txbxContent>
                        </wps:txbx>
                        <wps:bodyPr rot="0" vert="horz" wrap="none" lIns="0" tIns="0" rIns="0" bIns="0" anchor="t" anchorCtr="0" upright="1">
                          <a:spAutoFit/>
                        </wps:bodyPr>
                      </wps:wsp>
                      <wps:wsp>
                        <wps:cNvPr id="903022256" name="Rectangle 98"/>
                        <wps:cNvSpPr>
                          <a:spLocks noChangeArrowheads="1"/>
                        </wps:cNvSpPr>
                        <wps:spPr bwMode="auto">
                          <a:xfrm>
                            <a:off x="1775434" y="35901"/>
                            <a:ext cx="47001" cy="285806"/>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67486F40" w14:textId="77777777" w:rsidR="00F41E4D" w:rsidRDefault="00F41E4D" w:rsidP="00806598">
                              <w:r>
                                <w:rPr>
                                  <w:rFonts w:ascii="Calibri" w:hAnsi="Calibri" w:cs="Calibri"/>
                                  <w:color w:val="000000"/>
                                  <w:lang w:val="en-US"/>
                                </w:rPr>
                                <w:t>t</w:t>
                              </w:r>
                            </w:p>
                          </w:txbxContent>
                        </wps:txbx>
                        <wps:bodyPr rot="0" vert="horz" wrap="none" lIns="0" tIns="0" rIns="0" bIns="0" anchor="t" anchorCtr="0" upright="1">
                          <a:spAutoFit/>
                        </wps:bodyPr>
                      </wps:wsp>
                      <wps:wsp>
                        <wps:cNvPr id="80072922" name="Rectangle 99"/>
                        <wps:cNvSpPr>
                          <a:spLocks noChangeArrowheads="1"/>
                        </wps:cNvSpPr>
                        <wps:spPr bwMode="auto">
                          <a:xfrm>
                            <a:off x="1826834" y="35901"/>
                            <a:ext cx="31801" cy="285806"/>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60E0E295" w14:textId="77777777" w:rsidR="00F41E4D" w:rsidRDefault="00F41E4D" w:rsidP="00806598">
                              <w:r>
                                <w:rPr>
                                  <w:rFonts w:ascii="Calibri" w:hAnsi="Calibri" w:cs="Calibri"/>
                                  <w:color w:val="000000"/>
                                  <w:lang w:val="en-US"/>
                                </w:rPr>
                                <w:t xml:space="preserve"> </w:t>
                              </w:r>
                            </w:p>
                          </w:txbxContent>
                        </wps:txbx>
                        <wps:bodyPr rot="0" vert="horz" wrap="none" lIns="0" tIns="0" rIns="0" bIns="0" anchor="t" anchorCtr="0" upright="1">
                          <a:spAutoFit/>
                        </wps:bodyPr>
                      </wps:wsp>
                      <wps:wsp>
                        <wps:cNvPr id="1628163387" name="Rectangle 100"/>
                        <wps:cNvSpPr>
                          <a:spLocks noChangeArrowheads="1"/>
                        </wps:cNvSpPr>
                        <wps:spPr bwMode="auto">
                          <a:xfrm>
                            <a:off x="1863035" y="35901"/>
                            <a:ext cx="64801" cy="285806"/>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2E616365" w14:textId="77777777" w:rsidR="00F41E4D" w:rsidRDefault="00F41E4D" w:rsidP="00806598">
                              <w:r>
                                <w:rPr>
                                  <w:rFonts w:ascii="Calibri" w:hAnsi="Calibri" w:cs="Calibri"/>
                                  <w:color w:val="000000"/>
                                  <w:lang w:val="en-US"/>
                                </w:rPr>
                                <w:t>F</w:t>
                              </w:r>
                            </w:p>
                          </w:txbxContent>
                        </wps:txbx>
                        <wps:bodyPr rot="0" vert="horz" wrap="none" lIns="0" tIns="0" rIns="0" bIns="0" anchor="t" anchorCtr="0" upright="1">
                          <a:spAutoFit/>
                        </wps:bodyPr>
                      </wps:wsp>
                      <wps:wsp>
                        <wps:cNvPr id="1127418941" name="Rectangle 101"/>
                        <wps:cNvSpPr>
                          <a:spLocks noChangeArrowheads="1"/>
                        </wps:cNvSpPr>
                        <wps:spPr bwMode="auto">
                          <a:xfrm>
                            <a:off x="1929136" y="35901"/>
                            <a:ext cx="32401" cy="285806"/>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692ED76E" w14:textId="77777777" w:rsidR="00F41E4D" w:rsidRDefault="00F41E4D" w:rsidP="00806598">
                              <w:r>
                                <w:rPr>
                                  <w:rFonts w:ascii="Calibri" w:hAnsi="Calibri" w:cs="Calibri"/>
                                  <w:color w:val="000000"/>
                                  <w:lang w:val="en-US"/>
                                </w:rPr>
                                <w:t>i</w:t>
                              </w:r>
                            </w:p>
                          </w:txbxContent>
                        </wps:txbx>
                        <wps:bodyPr rot="0" vert="horz" wrap="none" lIns="0" tIns="0" rIns="0" bIns="0" anchor="t" anchorCtr="0" upright="1">
                          <a:spAutoFit/>
                        </wps:bodyPr>
                      </wps:wsp>
                      <wps:wsp>
                        <wps:cNvPr id="119587883" name="Rectangle 102"/>
                        <wps:cNvSpPr>
                          <a:spLocks noChangeArrowheads="1"/>
                        </wps:cNvSpPr>
                        <wps:spPr bwMode="auto">
                          <a:xfrm>
                            <a:off x="1965337" y="35901"/>
                            <a:ext cx="32401" cy="285806"/>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450B8A93" w14:textId="77777777" w:rsidR="00F41E4D" w:rsidRDefault="00F41E4D" w:rsidP="00806598">
                              <w:r>
                                <w:rPr>
                                  <w:rFonts w:ascii="Calibri" w:hAnsi="Calibri" w:cs="Calibri"/>
                                  <w:color w:val="000000"/>
                                  <w:lang w:val="en-US"/>
                                </w:rPr>
                                <w:t>l</w:t>
                              </w:r>
                            </w:p>
                          </w:txbxContent>
                        </wps:txbx>
                        <wps:bodyPr rot="0" vert="horz" wrap="none" lIns="0" tIns="0" rIns="0" bIns="0" anchor="t" anchorCtr="0" upright="1">
                          <a:spAutoFit/>
                        </wps:bodyPr>
                      </wps:wsp>
                      <wps:wsp>
                        <wps:cNvPr id="1952397636" name="Rectangle 103"/>
                        <wps:cNvSpPr>
                          <a:spLocks noChangeArrowheads="1"/>
                        </wps:cNvSpPr>
                        <wps:spPr bwMode="auto">
                          <a:xfrm>
                            <a:off x="2002138" y="35901"/>
                            <a:ext cx="47001" cy="285806"/>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66D00DA8" w14:textId="77777777" w:rsidR="00F41E4D" w:rsidRDefault="00F41E4D" w:rsidP="00806598">
                              <w:r>
                                <w:rPr>
                                  <w:rFonts w:ascii="Calibri" w:hAnsi="Calibri" w:cs="Calibri"/>
                                  <w:color w:val="000000"/>
                                  <w:lang w:val="en-US"/>
                                </w:rPr>
                                <w:t>t</w:t>
                              </w:r>
                            </w:p>
                          </w:txbxContent>
                        </wps:txbx>
                        <wps:bodyPr rot="0" vert="horz" wrap="none" lIns="0" tIns="0" rIns="0" bIns="0" anchor="t" anchorCtr="0" upright="1">
                          <a:spAutoFit/>
                        </wps:bodyPr>
                      </wps:wsp>
                      <wps:wsp>
                        <wps:cNvPr id="2017381693" name="Rectangle 104"/>
                        <wps:cNvSpPr>
                          <a:spLocks noChangeArrowheads="1"/>
                        </wps:cNvSpPr>
                        <wps:spPr bwMode="auto">
                          <a:xfrm>
                            <a:off x="2053539" y="35901"/>
                            <a:ext cx="69901" cy="285806"/>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56A8C138" w14:textId="77777777" w:rsidR="00F41E4D" w:rsidRDefault="00F41E4D" w:rsidP="00806598">
                              <w:r>
                                <w:rPr>
                                  <w:rFonts w:ascii="Calibri" w:hAnsi="Calibri" w:cs="Calibri"/>
                                  <w:color w:val="000000"/>
                                  <w:lang w:val="en-US"/>
                                </w:rPr>
                                <w:t>e</w:t>
                              </w:r>
                            </w:p>
                          </w:txbxContent>
                        </wps:txbx>
                        <wps:bodyPr rot="0" vert="horz" wrap="none" lIns="0" tIns="0" rIns="0" bIns="0" anchor="t" anchorCtr="0" upright="1">
                          <a:spAutoFit/>
                        </wps:bodyPr>
                      </wps:wsp>
                      <wps:wsp>
                        <wps:cNvPr id="402853938" name="Rectangle 105"/>
                        <wps:cNvSpPr>
                          <a:spLocks noChangeArrowheads="1"/>
                        </wps:cNvSpPr>
                        <wps:spPr bwMode="auto">
                          <a:xfrm>
                            <a:off x="2125340" y="35901"/>
                            <a:ext cx="48901" cy="285806"/>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23095D5C" w14:textId="77777777" w:rsidR="00F41E4D" w:rsidRDefault="00F41E4D" w:rsidP="00806598">
                              <w:r>
                                <w:rPr>
                                  <w:rFonts w:ascii="Calibri" w:hAnsi="Calibri" w:cs="Calibri"/>
                                  <w:color w:val="000000"/>
                                  <w:lang w:val="en-US"/>
                                </w:rPr>
                                <w:t>r</w:t>
                              </w:r>
                            </w:p>
                          </w:txbxContent>
                        </wps:txbx>
                        <wps:bodyPr rot="0" vert="horz" wrap="none" lIns="0" tIns="0" rIns="0" bIns="0" anchor="t" anchorCtr="0" upright="1">
                          <a:spAutoFit/>
                        </wps:bodyPr>
                      </wps:wsp>
                      <wps:wsp>
                        <wps:cNvPr id="1692431861" name="Rectangle 106"/>
                        <wps:cNvSpPr>
                          <a:spLocks noChangeArrowheads="1"/>
                        </wps:cNvSpPr>
                        <wps:spPr bwMode="auto">
                          <a:xfrm>
                            <a:off x="2176741" y="35901"/>
                            <a:ext cx="31801" cy="285806"/>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394F47FF" w14:textId="77777777" w:rsidR="00F41E4D" w:rsidRDefault="00F41E4D" w:rsidP="00806598">
                              <w:r>
                                <w:rPr>
                                  <w:rFonts w:ascii="Calibri" w:hAnsi="Calibri" w:cs="Calibri"/>
                                  <w:color w:val="000000"/>
                                  <w:lang w:val="en-US"/>
                                </w:rPr>
                                <w:t xml:space="preserve"> </w:t>
                              </w:r>
                            </w:p>
                          </w:txbxContent>
                        </wps:txbx>
                        <wps:bodyPr rot="0" vert="horz" wrap="none" lIns="0" tIns="0" rIns="0" bIns="0" anchor="t" anchorCtr="0" upright="1">
                          <a:spAutoFit/>
                        </wps:bodyPr>
                      </wps:wsp>
                      <wps:wsp>
                        <wps:cNvPr id="1145767689" name="Rectangle 107"/>
                        <wps:cNvSpPr>
                          <a:spLocks noChangeArrowheads="1"/>
                        </wps:cNvSpPr>
                        <wps:spPr bwMode="auto">
                          <a:xfrm>
                            <a:off x="2213642" y="35901"/>
                            <a:ext cx="42501" cy="285806"/>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3189D69B" w14:textId="77777777" w:rsidR="00F41E4D" w:rsidRDefault="00F41E4D" w:rsidP="00806598">
                              <w:r>
                                <w:rPr>
                                  <w:rFonts w:ascii="Calibri" w:hAnsi="Calibri" w:cs="Calibri"/>
                                  <w:color w:val="000000"/>
                                  <w:lang w:val="en-US"/>
                                </w:rPr>
                                <w:t>(</w:t>
                              </w:r>
                            </w:p>
                          </w:txbxContent>
                        </wps:txbx>
                        <wps:bodyPr rot="0" vert="horz" wrap="none" lIns="0" tIns="0" rIns="0" bIns="0" anchor="t" anchorCtr="0" upright="1">
                          <a:spAutoFit/>
                        </wps:bodyPr>
                      </wps:wsp>
                      <wps:wsp>
                        <wps:cNvPr id="525114047" name="Rectangle 108"/>
                        <wps:cNvSpPr>
                          <a:spLocks noChangeArrowheads="1"/>
                        </wps:cNvSpPr>
                        <wps:spPr bwMode="auto">
                          <a:xfrm>
                            <a:off x="2256743" y="35901"/>
                            <a:ext cx="32401" cy="285806"/>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0FFAD167" w14:textId="77777777" w:rsidR="00F41E4D" w:rsidRDefault="00F41E4D" w:rsidP="00806598">
                              <w:r>
                                <w:rPr>
                                  <w:rFonts w:ascii="Calibri" w:hAnsi="Calibri" w:cs="Calibri"/>
                                  <w:color w:val="000000"/>
                                  <w:lang w:val="en-US"/>
                                </w:rPr>
                                <w:t>l</w:t>
                              </w:r>
                            </w:p>
                          </w:txbxContent>
                        </wps:txbx>
                        <wps:bodyPr rot="0" vert="horz" wrap="none" lIns="0" tIns="0" rIns="0" bIns="0" anchor="t" anchorCtr="0" upright="1">
                          <a:spAutoFit/>
                        </wps:bodyPr>
                      </wps:wsp>
                      <wps:wsp>
                        <wps:cNvPr id="1840887322" name="Rectangle 109"/>
                        <wps:cNvSpPr>
                          <a:spLocks noChangeArrowheads="1"/>
                        </wps:cNvSpPr>
                        <wps:spPr bwMode="auto">
                          <a:xfrm>
                            <a:off x="2293643" y="35901"/>
                            <a:ext cx="67301" cy="285806"/>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24400EC6" w14:textId="77777777" w:rsidR="00F41E4D" w:rsidRDefault="00F41E4D" w:rsidP="00806598">
                              <w:r>
                                <w:rPr>
                                  <w:rFonts w:ascii="Calibri" w:hAnsi="Calibri" w:cs="Calibri"/>
                                  <w:color w:val="000000"/>
                                  <w:lang w:val="en-US"/>
                                </w:rPr>
                                <w:t>a</w:t>
                              </w:r>
                            </w:p>
                          </w:txbxContent>
                        </wps:txbx>
                        <wps:bodyPr rot="0" vert="horz" wrap="none" lIns="0" tIns="0" rIns="0" bIns="0" anchor="t" anchorCtr="0" upright="1">
                          <a:spAutoFit/>
                        </wps:bodyPr>
                      </wps:wsp>
                      <wps:wsp>
                        <wps:cNvPr id="1689468386" name="Rectangle 110"/>
                        <wps:cNvSpPr>
                          <a:spLocks noChangeArrowheads="1"/>
                        </wps:cNvSpPr>
                        <wps:spPr bwMode="auto">
                          <a:xfrm>
                            <a:off x="2365345" y="35901"/>
                            <a:ext cx="111802" cy="285806"/>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488377CE" w14:textId="77777777" w:rsidR="00F41E4D" w:rsidRDefault="00F41E4D" w:rsidP="00806598">
                              <w:r>
                                <w:rPr>
                                  <w:rFonts w:ascii="Calibri" w:hAnsi="Calibri" w:cs="Calibri"/>
                                  <w:color w:val="000000"/>
                                  <w:lang w:val="en-US"/>
                                </w:rPr>
                                <w:t>m</w:t>
                              </w:r>
                            </w:p>
                          </w:txbxContent>
                        </wps:txbx>
                        <wps:bodyPr rot="0" vert="horz" wrap="none" lIns="0" tIns="0" rIns="0" bIns="0" anchor="t" anchorCtr="0" upright="1">
                          <a:spAutoFit/>
                        </wps:bodyPr>
                      </wps:wsp>
                      <wps:wsp>
                        <wps:cNvPr id="2137119234" name="Rectangle 111"/>
                        <wps:cNvSpPr>
                          <a:spLocks noChangeArrowheads="1"/>
                        </wps:cNvSpPr>
                        <wps:spPr bwMode="auto">
                          <a:xfrm>
                            <a:off x="2481547" y="35901"/>
                            <a:ext cx="73701" cy="285806"/>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7697E450" w14:textId="77777777" w:rsidR="00F41E4D" w:rsidRDefault="00F41E4D" w:rsidP="00806598">
                              <w:r>
                                <w:rPr>
                                  <w:rFonts w:ascii="Calibri" w:hAnsi="Calibri" w:cs="Calibri"/>
                                  <w:color w:val="000000"/>
                                  <w:lang w:val="en-US"/>
                                </w:rPr>
                                <w:t>b</w:t>
                              </w:r>
                            </w:p>
                          </w:txbxContent>
                        </wps:txbx>
                        <wps:bodyPr rot="0" vert="horz" wrap="none" lIns="0" tIns="0" rIns="0" bIns="0" anchor="t" anchorCtr="0" upright="1">
                          <a:spAutoFit/>
                        </wps:bodyPr>
                      </wps:wsp>
                      <wps:wsp>
                        <wps:cNvPr id="1773912605" name="Rectangle 112"/>
                        <wps:cNvSpPr>
                          <a:spLocks noChangeArrowheads="1"/>
                        </wps:cNvSpPr>
                        <wps:spPr bwMode="auto">
                          <a:xfrm>
                            <a:off x="2561548" y="35901"/>
                            <a:ext cx="73701" cy="285806"/>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3C1EC008" w14:textId="77777777" w:rsidR="00F41E4D" w:rsidRDefault="00F41E4D" w:rsidP="00806598">
                              <w:r>
                                <w:rPr>
                                  <w:rFonts w:ascii="Calibri" w:hAnsi="Calibri" w:cs="Calibri"/>
                                  <w:color w:val="000000"/>
                                  <w:lang w:val="en-US"/>
                                </w:rPr>
                                <w:t>d</w:t>
                              </w:r>
                            </w:p>
                          </w:txbxContent>
                        </wps:txbx>
                        <wps:bodyPr rot="0" vert="horz" wrap="none" lIns="0" tIns="0" rIns="0" bIns="0" anchor="t" anchorCtr="0" upright="1">
                          <a:spAutoFit/>
                        </wps:bodyPr>
                      </wps:wsp>
                      <wps:wsp>
                        <wps:cNvPr id="702085159" name="Rectangle 113"/>
                        <wps:cNvSpPr>
                          <a:spLocks noChangeArrowheads="1"/>
                        </wps:cNvSpPr>
                        <wps:spPr bwMode="auto">
                          <a:xfrm>
                            <a:off x="2641650" y="35901"/>
                            <a:ext cx="67301" cy="285806"/>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02B9CD33" w14:textId="77777777" w:rsidR="00F41E4D" w:rsidRDefault="00F41E4D" w:rsidP="00806598">
                              <w:r>
                                <w:rPr>
                                  <w:rFonts w:ascii="Calibri" w:hAnsi="Calibri" w:cs="Calibri"/>
                                  <w:color w:val="000000"/>
                                  <w:lang w:val="en-US"/>
                                </w:rPr>
                                <w:t>a</w:t>
                              </w:r>
                            </w:p>
                          </w:txbxContent>
                        </wps:txbx>
                        <wps:bodyPr rot="0" vert="horz" wrap="none" lIns="0" tIns="0" rIns="0" bIns="0" anchor="t" anchorCtr="0" upright="1">
                          <a:spAutoFit/>
                        </wps:bodyPr>
                      </wps:wsp>
                      <wps:wsp>
                        <wps:cNvPr id="1728339480" name="Rectangle 114"/>
                        <wps:cNvSpPr>
                          <a:spLocks noChangeArrowheads="1"/>
                        </wps:cNvSpPr>
                        <wps:spPr bwMode="auto">
                          <a:xfrm>
                            <a:off x="2713351" y="35901"/>
                            <a:ext cx="69901" cy="285806"/>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2D01CC49" w14:textId="77777777" w:rsidR="00F41E4D" w:rsidRDefault="00F41E4D" w:rsidP="00806598">
                              <w:r>
                                <w:rPr>
                                  <w:rFonts w:ascii="Calibri" w:hAnsi="Calibri" w:cs="Calibri"/>
                                  <w:color w:val="000000"/>
                                  <w:lang w:val="en-US"/>
                                </w:rPr>
                                <w:t>=</w:t>
                              </w:r>
                            </w:p>
                          </w:txbxContent>
                        </wps:txbx>
                        <wps:bodyPr rot="0" vert="horz" wrap="none" lIns="0" tIns="0" rIns="0" bIns="0" anchor="t" anchorCtr="0" upright="1">
                          <a:spAutoFit/>
                        </wps:bodyPr>
                      </wps:wsp>
                      <wps:wsp>
                        <wps:cNvPr id="2051796160" name="Rectangle 115"/>
                        <wps:cNvSpPr>
                          <a:spLocks noChangeArrowheads="1"/>
                        </wps:cNvSpPr>
                        <wps:spPr bwMode="auto">
                          <a:xfrm>
                            <a:off x="2785753" y="35901"/>
                            <a:ext cx="71101" cy="285806"/>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3906CD30" w14:textId="77777777" w:rsidR="00F41E4D" w:rsidRDefault="00F41E4D" w:rsidP="00806598">
                              <w:r>
                                <w:rPr>
                                  <w:rFonts w:ascii="Calibri" w:hAnsi="Calibri" w:cs="Calibri"/>
                                  <w:color w:val="000000"/>
                                  <w:lang w:val="en-US"/>
                                </w:rPr>
                                <w:t>1</w:t>
                              </w:r>
                            </w:p>
                          </w:txbxContent>
                        </wps:txbx>
                        <wps:bodyPr rot="0" vert="horz" wrap="none" lIns="0" tIns="0" rIns="0" bIns="0" anchor="t" anchorCtr="0" upright="1">
                          <a:spAutoFit/>
                        </wps:bodyPr>
                      </wps:wsp>
                      <wps:wsp>
                        <wps:cNvPr id="780523320" name="Rectangle 116"/>
                        <wps:cNvSpPr>
                          <a:spLocks noChangeArrowheads="1"/>
                        </wps:cNvSpPr>
                        <wps:spPr bwMode="auto">
                          <a:xfrm>
                            <a:off x="2858154" y="35901"/>
                            <a:ext cx="71101" cy="285806"/>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54FA6B8D" w14:textId="77777777" w:rsidR="00F41E4D" w:rsidRDefault="00F41E4D" w:rsidP="00806598">
                              <w:r>
                                <w:rPr>
                                  <w:rFonts w:ascii="Calibri" w:hAnsi="Calibri" w:cs="Calibri"/>
                                  <w:color w:val="000000"/>
                                  <w:lang w:val="en-US"/>
                                </w:rPr>
                                <w:t>0</w:t>
                              </w:r>
                            </w:p>
                          </w:txbxContent>
                        </wps:txbx>
                        <wps:bodyPr rot="0" vert="horz" wrap="none" lIns="0" tIns="0" rIns="0" bIns="0" anchor="t" anchorCtr="0" upright="1">
                          <a:spAutoFit/>
                        </wps:bodyPr>
                      </wps:wsp>
                      <wps:wsp>
                        <wps:cNvPr id="263737191" name="Rectangle 117"/>
                        <wps:cNvSpPr>
                          <a:spLocks noChangeArrowheads="1"/>
                        </wps:cNvSpPr>
                        <wps:spPr bwMode="auto">
                          <a:xfrm>
                            <a:off x="2930555" y="35901"/>
                            <a:ext cx="71101" cy="285806"/>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25FCD425" w14:textId="77777777" w:rsidR="00F41E4D" w:rsidRDefault="00F41E4D" w:rsidP="00806598">
                              <w:r>
                                <w:rPr>
                                  <w:rFonts w:ascii="Calibri" w:hAnsi="Calibri" w:cs="Calibri"/>
                                  <w:color w:val="000000"/>
                                  <w:lang w:val="en-US"/>
                                </w:rPr>
                                <w:t>0</w:t>
                              </w:r>
                            </w:p>
                          </w:txbxContent>
                        </wps:txbx>
                        <wps:bodyPr rot="0" vert="horz" wrap="none" lIns="0" tIns="0" rIns="0" bIns="0" anchor="t" anchorCtr="0" upright="1">
                          <a:spAutoFit/>
                        </wps:bodyPr>
                      </wps:wsp>
                      <wps:wsp>
                        <wps:cNvPr id="330780230" name="Rectangle 118"/>
                        <wps:cNvSpPr>
                          <a:spLocks noChangeArrowheads="1"/>
                        </wps:cNvSpPr>
                        <wps:spPr bwMode="auto">
                          <a:xfrm>
                            <a:off x="3002957" y="35901"/>
                            <a:ext cx="42501" cy="285806"/>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6F6353B3" w14:textId="77777777" w:rsidR="00F41E4D" w:rsidRDefault="00F41E4D" w:rsidP="00806598">
                              <w:r>
                                <w:rPr>
                                  <w:rFonts w:ascii="Calibri" w:hAnsi="Calibri" w:cs="Calibri"/>
                                  <w:color w:val="000000"/>
                                  <w:lang w:val="en-US"/>
                                </w:rPr>
                                <w:t>)</w:t>
                              </w:r>
                            </w:p>
                          </w:txbxContent>
                        </wps:txbx>
                        <wps:bodyPr rot="0" vert="horz" wrap="none" lIns="0" tIns="0" rIns="0" bIns="0" anchor="t" anchorCtr="0" upright="1">
                          <a:spAutoFit/>
                        </wps:bodyPr>
                      </wps:wsp>
                      <wps:wsp>
                        <wps:cNvPr id="1733942419" name="Rectangle 119"/>
                        <wps:cNvSpPr>
                          <a:spLocks noChangeArrowheads="1"/>
                        </wps:cNvSpPr>
                        <wps:spPr bwMode="auto">
                          <a:xfrm>
                            <a:off x="3046058" y="35901"/>
                            <a:ext cx="31801" cy="285806"/>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508EE613" w14:textId="77777777" w:rsidR="00F41E4D" w:rsidRDefault="00F41E4D" w:rsidP="00806598">
                              <w:r>
                                <w:rPr>
                                  <w:rFonts w:ascii="Calibri" w:hAnsi="Calibri" w:cs="Calibri"/>
                                  <w:color w:val="000000"/>
                                  <w:lang w:val="en-US"/>
                                </w:rPr>
                                <w:t xml:space="preserve"> </w:t>
                              </w:r>
                            </w:p>
                          </w:txbxContent>
                        </wps:txbx>
                        <wps:bodyPr rot="0" vert="horz" wrap="none" lIns="0" tIns="0" rIns="0" bIns="0" anchor="t" anchorCtr="0" upright="1">
                          <a:spAutoFit/>
                        </wps:bodyPr>
                      </wps:wsp>
                      <wps:wsp>
                        <wps:cNvPr id="304948846" name="Rectangle 120"/>
                        <wps:cNvSpPr>
                          <a:spLocks noChangeArrowheads="1"/>
                        </wps:cNvSpPr>
                        <wps:spPr bwMode="auto">
                          <a:xfrm>
                            <a:off x="3082958" y="35901"/>
                            <a:ext cx="43201" cy="285806"/>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151D3E0C" w14:textId="77777777" w:rsidR="00F41E4D" w:rsidRDefault="00F41E4D" w:rsidP="00806598">
                              <w:r>
                                <w:rPr>
                                  <w:rFonts w:ascii="Calibri" w:hAnsi="Calibri" w:cs="Calibri"/>
                                  <w:color w:val="000000"/>
                                  <w:lang w:val="en-US"/>
                                </w:rPr>
                                <w:t>-</w:t>
                              </w:r>
                            </w:p>
                          </w:txbxContent>
                        </wps:txbx>
                        <wps:bodyPr rot="0" vert="horz" wrap="none" lIns="0" tIns="0" rIns="0" bIns="0" anchor="t" anchorCtr="0" upright="1">
                          <a:spAutoFit/>
                        </wps:bodyPr>
                      </wps:wsp>
                      <wps:wsp>
                        <wps:cNvPr id="929623431" name="Rectangle 121"/>
                        <wps:cNvSpPr>
                          <a:spLocks noChangeArrowheads="1"/>
                        </wps:cNvSpPr>
                        <wps:spPr bwMode="auto">
                          <a:xfrm>
                            <a:off x="3126159" y="35901"/>
                            <a:ext cx="31701" cy="285806"/>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1DE20F5A" w14:textId="77777777" w:rsidR="00F41E4D" w:rsidRDefault="00F41E4D" w:rsidP="00806598">
                              <w:r>
                                <w:rPr>
                                  <w:rFonts w:ascii="Calibri" w:hAnsi="Calibri" w:cs="Calibri"/>
                                  <w:color w:val="000000"/>
                                  <w:lang w:val="en-US"/>
                                </w:rPr>
                                <w:t xml:space="preserve"> </w:t>
                              </w:r>
                            </w:p>
                          </w:txbxContent>
                        </wps:txbx>
                        <wps:bodyPr rot="0" vert="horz" wrap="none" lIns="0" tIns="0" rIns="0" bIns="0" anchor="t" anchorCtr="0" upright="1">
                          <a:spAutoFit/>
                        </wps:bodyPr>
                      </wps:wsp>
                      <wps:wsp>
                        <wps:cNvPr id="1435319902" name="Rectangle 122"/>
                        <wps:cNvSpPr>
                          <a:spLocks noChangeArrowheads="1"/>
                        </wps:cNvSpPr>
                        <wps:spPr bwMode="auto">
                          <a:xfrm>
                            <a:off x="3162960" y="35901"/>
                            <a:ext cx="74901" cy="285806"/>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0473C3FE" w14:textId="77777777" w:rsidR="00F41E4D" w:rsidRDefault="00F41E4D" w:rsidP="00806598">
                              <w:r>
                                <w:rPr>
                                  <w:rFonts w:ascii="Calibri" w:hAnsi="Calibri" w:cs="Calibri"/>
                                  <w:color w:val="000000"/>
                                  <w:lang w:val="en-US"/>
                                </w:rPr>
                                <w:t>C</w:t>
                              </w:r>
                            </w:p>
                          </w:txbxContent>
                        </wps:txbx>
                        <wps:bodyPr rot="0" vert="horz" wrap="none" lIns="0" tIns="0" rIns="0" bIns="0" anchor="t" anchorCtr="0" upright="1">
                          <a:spAutoFit/>
                        </wps:bodyPr>
                      </wps:wsp>
                      <wps:wsp>
                        <wps:cNvPr id="1824078586" name="Rectangle 123"/>
                        <wps:cNvSpPr>
                          <a:spLocks noChangeArrowheads="1"/>
                        </wps:cNvSpPr>
                        <wps:spPr bwMode="auto">
                          <a:xfrm>
                            <a:off x="3242961" y="35901"/>
                            <a:ext cx="74301" cy="285806"/>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6832A802" w14:textId="77777777" w:rsidR="00F41E4D" w:rsidRDefault="00F41E4D" w:rsidP="00806598">
                              <w:r>
                                <w:rPr>
                                  <w:rFonts w:ascii="Calibri" w:hAnsi="Calibri" w:cs="Calibri"/>
                                  <w:color w:val="000000"/>
                                  <w:lang w:val="en-US"/>
                                </w:rPr>
                                <w:t>o</w:t>
                              </w:r>
                            </w:p>
                          </w:txbxContent>
                        </wps:txbx>
                        <wps:bodyPr rot="0" vert="horz" wrap="none" lIns="0" tIns="0" rIns="0" bIns="0" anchor="t" anchorCtr="0" upright="1">
                          <a:spAutoFit/>
                        </wps:bodyPr>
                      </wps:wsp>
                      <wps:wsp>
                        <wps:cNvPr id="11044780" name="Rectangle 124"/>
                        <wps:cNvSpPr>
                          <a:spLocks noChangeArrowheads="1"/>
                        </wps:cNvSpPr>
                        <wps:spPr bwMode="auto">
                          <a:xfrm>
                            <a:off x="3322963" y="35901"/>
                            <a:ext cx="73701" cy="285806"/>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7A645287" w14:textId="77777777" w:rsidR="00F41E4D" w:rsidRDefault="00F41E4D" w:rsidP="00806598">
                              <w:r>
                                <w:rPr>
                                  <w:rFonts w:ascii="Calibri" w:hAnsi="Calibri" w:cs="Calibri"/>
                                  <w:color w:val="000000"/>
                                  <w:lang w:val="en-US"/>
                                </w:rPr>
                                <w:t>n</w:t>
                              </w:r>
                            </w:p>
                          </w:txbxContent>
                        </wps:txbx>
                        <wps:bodyPr rot="0" vert="horz" wrap="none" lIns="0" tIns="0" rIns="0" bIns="0" anchor="t" anchorCtr="0" upright="1">
                          <a:spAutoFit/>
                        </wps:bodyPr>
                      </wps:wsp>
                      <wps:wsp>
                        <wps:cNvPr id="2055714994" name="Rectangle 125"/>
                        <wps:cNvSpPr>
                          <a:spLocks noChangeArrowheads="1"/>
                        </wps:cNvSpPr>
                        <wps:spPr bwMode="auto">
                          <a:xfrm>
                            <a:off x="3402964" y="35901"/>
                            <a:ext cx="66101" cy="285806"/>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75BF0445" w14:textId="77777777" w:rsidR="00F41E4D" w:rsidRDefault="00F41E4D" w:rsidP="00806598">
                              <w:r>
                                <w:rPr>
                                  <w:rFonts w:ascii="Calibri" w:hAnsi="Calibri" w:cs="Calibri"/>
                                  <w:color w:val="000000"/>
                                  <w:lang w:val="en-US"/>
                                </w:rPr>
                                <w:t>g</w:t>
                              </w:r>
                            </w:p>
                          </w:txbxContent>
                        </wps:txbx>
                        <wps:bodyPr rot="0" vert="horz" wrap="none" lIns="0" tIns="0" rIns="0" bIns="0" anchor="t" anchorCtr="0" upright="1">
                          <a:spAutoFit/>
                        </wps:bodyPr>
                      </wps:wsp>
                      <wps:wsp>
                        <wps:cNvPr id="1816930071" name="Rectangle 126"/>
                        <wps:cNvSpPr>
                          <a:spLocks noChangeArrowheads="1"/>
                        </wps:cNvSpPr>
                        <wps:spPr bwMode="auto">
                          <a:xfrm>
                            <a:off x="3468365" y="35901"/>
                            <a:ext cx="74301" cy="285806"/>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3C13B564" w14:textId="77777777" w:rsidR="00F41E4D" w:rsidRDefault="00F41E4D" w:rsidP="00806598">
                              <w:r>
                                <w:rPr>
                                  <w:rFonts w:ascii="Calibri" w:hAnsi="Calibri" w:cs="Calibri"/>
                                  <w:color w:val="000000"/>
                                  <w:lang w:val="en-US"/>
                                </w:rPr>
                                <w:t>o</w:t>
                              </w:r>
                            </w:p>
                          </w:txbxContent>
                        </wps:txbx>
                        <wps:bodyPr rot="0" vert="horz" wrap="none" lIns="0" tIns="0" rIns="0" bIns="0" anchor="t" anchorCtr="0" upright="1">
                          <a:spAutoFit/>
                        </wps:bodyPr>
                      </wps:wsp>
                      <wps:wsp>
                        <wps:cNvPr id="1934605975" name="Rectangle 127"/>
                        <wps:cNvSpPr>
                          <a:spLocks noChangeArrowheads="1"/>
                        </wps:cNvSpPr>
                        <wps:spPr bwMode="auto">
                          <a:xfrm>
                            <a:off x="831816" y="35901"/>
                            <a:ext cx="87602" cy="285806"/>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5B228D93" w14:textId="77777777" w:rsidR="00F41E4D" w:rsidRDefault="00F41E4D" w:rsidP="00806598">
                              <w:r>
                                <w:rPr>
                                  <w:rFonts w:ascii="Calibri" w:hAnsi="Calibri" w:cs="Calibri"/>
                                  <w:color w:val="000000"/>
                                  <w:lang w:val="en-US"/>
                                </w:rPr>
                                <w:t>H</w:t>
                              </w:r>
                            </w:p>
                          </w:txbxContent>
                        </wps:txbx>
                        <wps:bodyPr rot="0" vert="horz" wrap="none" lIns="0" tIns="0" rIns="0" bIns="0" anchor="t" anchorCtr="0" upright="1">
                          <a:spAutoFit/>
                        </wps:bodyPr>
                      </wps:wsp>
                      <wps:wsp>
                        <wps:cNvPr id="1631768378" name="Rectangle 128"/>
                        <wps:cNvSpPr>
                          <a:spLocks noChangeArrowheads="1"/>
                        </wps:cNvSpPr>
                        <wps:spPr bwMode="auto">
                          <a:xfrm>
                            <a:off x="918817" y="35901"/>
                            <a:ext cx="74301" cy="285806"/>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579E2ED8" w14:textId="77777777" w:rsidR="00F41E4D" w:rsidRDefault="00F41E4D" w:rsidP="00806598">
                              <w:r>
                                <w:rPr>
                                  <w:rFonts w:ascii="Calibri" w:hAnsi="Calibri" w:cs="Calibri"/>
                                  <w:color w:val="000000"/>
                                  <w:lang w:val="en-US"/>
                                </w:rPr>
                                <w:t>o</w:t>
                              </w:r>
                            </w:p>
                          </w:txbxContent>
                        </wps:txbx>
                        <wps:bodyPr rot="0" vert="horz" wrap="none" lIns="0" tIns="0" rIns="0" bIns="0" anchor="t" anchorCtr="0" upright="1">
                          <a:spAutoFit/>
                        </wps:bodyPr>
                      </wps:wsp>
                      <wps:wsp>
                        <wps:cNvPr id="1500460137" name="Rectangle 129"/>
                        <wps:cNvSpPr>
                          <a:spLocks noChangeArrowheads="1"/>
                        </wps:cNvSpPr>
                        <wps:spPr bwMode="auto">
                          <a:xfrm>
                            <a:off x="998819" y="35901"/>
                            <a:ext cx="73701" cy="285806"/>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6A780AA1" w14:textId="77777777" w:rsidR="00F41E4D" w:rsidRDefault="00F41E4D" w:rsidP="00806598">
                              <w:r>
                                <w:rPr>
                                  <w:rFonts w:ascii="Calibri" w:hAnsi="Calibri" w:cs="Calibri"/>
                                  <w:color w:val="000000"/>
                                  <w:lang w:val="en-US"/>
                                </w:rPr>
                                <w:t>d</w:t>
                              </w:r>
                            </w:p>
                          </w:txbxContent>
                        </wps:txbx>
                        <wps:bodyPr rot="0" vert="horz" wrap="none" lIns="0" tIns="0" rIns="0" bIns="0" anchor="t" anchorCtr="0" upright="1">
                          <a:spAutoFit/>
                        </wps:bodyPr>
                      </wps:wsp>
                      <wps:wsp>
                        <wps:cNvPr id="629072494" name="Rectangle 130"/>
                        <wps:cNvSpPr>
                          <a:spLocks noChangeArrowheads="1"/>
                        </wps:cNvSpPr>
                        <wps:spPr bwMode="auto">
                          <a:xfrm>
                            <a:off x="1078820" y="35901"/>
                            <a:ext cx="48901" cy="285806"/>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1A3CAD7D" w14:textId="77777777" w:rsidR="00F41E4D" w:rsidRDefault="00F41E4D" w:rsidP="00806598">
                              <w:r>
                                <w:rPr>
                                  <w:rFonts w:ascii="Calibri" w:hAnsi="Calibri" w:cs="Calibri"/>
                                  <w:color w:val="000000"/>
                                  <w:lang w:val="en-US"/>
                                </w:rPr>
                                <w:t>r</w:t>
                              </w:r>
                            </w:p>
                          </w:txbxContent>
                        </wps:txbx>
                        <wps:bodyPr rot="0" vert="horz" wrap="none" lIns="0" tIns="0" rIns="0" bIns="0" anchor="t" anchorCtr="0" upright="1">
                          <a:spAutoFit/>
                        </wps:bodyPr>
                      </wps:wsp>
                      <wps:wsp>
                        <wps:cNvPr id="242741717" name="Rectangle 131"/>
                        <wps:cNvSpPr>
                          <a:spLocks noChangeArrowheads="1"/>
                        </wps:cNvSpPr>
                        <wps:spPr bwMode="auto">
                          <a:xfrm>
                            <a:off x="1129621" y="35901"/>
                            <a:ext cx="32401" cy="285806"/>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24D85693" w14:textId="77777777" w:rsidR="00F41E4D" w:rsidRDefault="00F41E4D" w:rsidP="00806598">
                              <w:r>
                                <w:rPr>
                                  <w:rFonts w:ascii="Calibri" w:hAnsi="Calibri" w:cs="Calibri"/>
                                  <w:color w:val="000000"/>
                                  <w:lang w:val="en-US"/>
                                </w:rPr>
                                <w:t>i</w:t>
                              </w:r>
                            </w:p>
                          </w:txbxContent>
                        </wps:txbx>
                        <wps:bodyPr rot="0" vert="horz" wrap="none" lIns="0" tIns="0" rIns="0" bIns="0" anchor="t" anchorCtr="0" upright="1">
                          <a:spAutoFit/>
                        </wps:bodyPr>
                      </wps:wsp>
                      <wps:wsp>
                        <wps:cNvPr id="1967206722" name="Rectangle 132"/>
                        <wps:cNvSpPr>
                          <a:spLocks noChangeArrowheads="1"/>
                        </wps:cNvSpPr>
                        <wps:spPr bwMode="auto">
                          <a:xfrm>
                            <a:off x="1166422" y="35901"/>
                            <a:ext cx="59701" cy="285806"/>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1A7E07CB" w14:textId="77777777" w:rsidR="00F41E4D" w:rsidRDefault="00F41E4D" w:rsidP="00806598">
                              <w:r>
                                <w:rPr>
                                  <w:rFonts w:ascii="Calibri" w:hAnsi="Calibri" w:cs="Calibri"/>
                                  <w:color w:val="000000"/>
                                  <w:lang w:val="en-US"/>
                                </w:rPr>
                                <w:t>c</w:t>
                              </w:r>
                            </w:p>
                          </w:txbxContent>
                        </wps:txbx>
                        <wps:bodyPr rot="0" vert="horz" wrap="none" lIns="0" tIns="0" rIns="0" bIns="0" anchor="t" anchorCtr="0" upright="1">
                          <a:spAutoFit/>
                        </wps:bodyPr>
                      </wps:wsp>
                      <wps:wsp>
                        <wps:cNvPr id="226646412" name="Rectangle 133"/>
                        <wps:cNvSpPr>
                          <a:spLocks noChangeArrowheads="1"/>
                        </wps:cNvSpPr>
                        <wps:spPr bwMode="auto">
                          <a:xfrm>
                            <a:off x="1224223" y="35901"/>
                            <a:ext cx="64201" cy="285806"/>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6FFDA7AC" w14:textId="77777777" w:rsidR="00F41E4D" w:rsidRDefault="00F41E4D" w:rsidP="00806598">
                              <w:r>
                                <w:rPr>
                                  <w:rFonts w:ascii="Calibri" w:hAnsi="Calibri" w:cs="Calibri"/>
                                  <w:color w:val="000000"/>
                                  <w:lang w:val="en-US"/>
                                </w:rPr>
                                <w:t>k</w:t>
                              </w:r>
                            </w:p>
                          </w:txbxContent>
                        </wps:txbx>
                        <wps:bodyPr rot="0" vert="horz" wrap="none" lIns="0" tIns="0" rIns="0" bIns="0" anchor="t" anchorCtr="0" upright="1">
                          <a:spAutoFit/>
                        </wps:bodyPr>
                      </wps:wsp>
                      <wps:wsp>
                        <wps:cNvPr id="2020869695" name="Rectangle 134"/>
                        <wps:cNvSpPr>
                          <a:spLocks noChangeArrowheads="1"/>
                        </wps:cNvSpPr>
                        <wps:spPr bwMode="auto">
                          <a:xfrm>
                            <a:off x="1289624" y="35901"/>
                            <a:ext cx="43201" cy="285806"/>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711662C6" w14:textId="77777777" w:rsidR="00F41E4D" w:rsidRDefault="00F41E4D" w:rsidP="00806598">
                              <w:r>
                                <w:rPr>
                                  <w:rFonts w:ascii="Calibri" w:hAnsi="Calibri" w:cs="Calibri"/>
                                  <w:color w:val="000000"/>
                                  <w:lang w:val="en-US"/>
                                </w:rPr>
                                <w:t>-</w:t>
                              </w:r>
                            </w:p>
                          </w:txbxContent>
                        </wps:txbx>
                        <wps:bodyPr rot="0" vert="horz" wrap="none" lIns="0" tIns="0" rIns="0" bIns="0" anchor="t" anchorCtr="0" upright="1">
                          <a:spAutoFit/>
                        </wps:bodyPr>
                      </wps:wsp>
                      <wps:wsp>
                        <wps:cNvPr id="316967472" name="Rectangle 135"/>
                        <wps:cNvSpPr>
                          <a:spLocks noChangeArrowheads="1"/>
                        </wps:cNvSpPr>
                        <wps:spPr bwMode="auto">
                          <a:xfrm>
                            <a:off x="1332825" y="35901"/>
                            <a:ext cx="72401" cy="285806"/>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02D83859" w14:textId="77777777" w:rsidR="00F41E4D" w:rsidRDefault="00F41E4D" w:rsidP="00806598">
                              <w:r>
                                <w:rPr>
                                  <w:rFonts w:ascii="Calibri" w:hAnsi="Calibri" w:cs="Calibri"/>
                                  <w:color w:val="000000"/>
                                  <w:lang w:val="en-US"/>
                                </w:rPr>
                                <w:t>P</w:t>
                              </w:r>
                            </w:p>
                          </w:txbxContent>
                        </wps:txbx>
                        <wps:bodyPr rot="0" vert="horz" wrap="none" lIns="0" tIns="0" rIns="0" bIns="0" anchor="t" anchorCtr="0" upright="1">
                          <a:spAutoFit/>
                        </wps:bodyPr>
                      </wps:wsp>
                      <wps:wsp>
                        <wps:cNvPr id="1236572893" name="Rectangle 136"/>
                        <wps:cNvSpPr>
                          <a:spLocks noChangeArrowheads="1"/>
                        </wps:cNvSpPr>
                        <wps:spPr bwMode="auto">
                          <a:xfrm>
                            <a:off x="1405227" y="35901"/>
                            <a:ext cx="48901" cy="285806"/>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3BF66FE5" w14:textId="77777777" w:rsidR="00F41E4D" w:rsidRDefault="00F41E4D" w:rsidP="00806598">
                              <w:r>
                                <w:rPr>
                                  <w:rFonts w:ascii="Calibri" w:hAnsi="Calibri" w:cs="Calibri"/>
                                  <w:color w:val="000000"/>
                                  <w:lang w:val="en-US"/>
                                </w:rPr>
                                <w:t>r</w:t>
                              </w:r>
                            </w:p>
                          </w:txbxContent>
                        </wps:txbx>
                        <wps:bodyPr rot="0" vert="horz" wrap="none" lIns="0" tIns="0" rIns="0" bIns="0" anchor="t" anchorCtr="0" upright="1">
                          <a:spAutoFit/>
                        </wps:bodyPr>
                      </wps:wsp>
                      <wps:wsp>
                        <wps:cNvPr id="469218903" name="Rectangle 137"/>
                        <wps:cNvSpPr>
                          <a:spLocks noChangeArrowheads="1"/>
                        </wps:cNvSpPr>
                        <wps:spPr bwMode="auto">
                          <a:xfrm>
                            <a:off x="1456627" y="35901"/>
                            <a:ext cx="69901" cy="285806"/>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782F7B8F" w14:textId="77777777" w:rsidR="00F41E4D" w:rsidRDefault="00F41E4D" w:rsidP="00806598">
                              <w:r>
                                <w:rPr>
                                  <w:rFonts w:ascii="Calibri" w:hAnsi="Calibri" w:cs="Calibri"/>
                                  <w:color w:val="000000"/>
                                  <w:lang w:val="en-US"/>
                                </w:rPr>
                                <w:t>e</w:t>
                              </w:r>
                            </w:p>
                          </w:txbxContent>
                        </wps:txbx>
                        <wps:bodyPr rot="0" vert="horz" wrap="none" lIns="0" tIns="0" rIns="0" bIns="0" anchor="t" anchorCtr="0" upright="1">
                          <a:spAutoFit/>
                        </wps:bodyPr>
                      </wps:wsp>
                      <wps:wsp>
                        <wps:cNvPr id="667923638" name="Rectangle 138"/>
                        <wps:cNvSpPr>
                          <a:spLocks noChangeArrowheads="1"/>
                        </wps:cNvSpPr>
                        <wps:spPr bwMode="auto">
                          <a:xfrm>
                            <a:off x="1529029" y="35901"/>
                            <a:ext cx="55301" cy="285806"/>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50A405D9" w14:textId="77777777" w:rsidR="00F41E4D" w:rsidRDefault="00F41E4D" w:rsidP="00806598">
                              <w:r>
                                <w:rPr>
                                  <w:rFonts w:ascii="Calibri" w:hAnsi="Calibri" w:cs="Calibri"/>
                                  <w:color w:val="000000"/>
                                  <w:lang w:val="en-US"/>
                                </w:rPr>
                                <w:t>s</w:t>
                              </w:r>
                            </w:p>
                          </w:txbxContent>
                        </wps:txbx>
                        <wps:bodyPr rot="0" vert="horz" wrap="none" lIns="0" tIns="0" rIns="0" bIns="0" anchor="t" anchorCtr="0" upright="1">
                          <a:spAutoFit/>
                        </wps:bodyPr>
                      </wps:wsp>
                      <wps:wsp>
                        <wps:cNvPr id="281576867" name="Rectangle 139"/>
                        <wps:cNvSpPr>
                          <a:spLocks noChangeArrowheads="1"/>
                        </wps:cNvSpPr>
                        <wps:spPr bwMode="auto">
                          <a:xfrm>
                            <a:off x="1586830" y="35901"/>
                            <a:ext cx="59701" cy="285806"/>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3F813B0F" w14:textId="77777777" w:rsidR="00F41E4D" w:rsidRDefault="00F41E4D" w:rsidP="00806598">
                              <w:r>
                                <w:rPr>
                                  <w:rFonts w:ascii="Calibri" w:hAnsi="Calibri" w:cs="Calibri"/>
                                  <w:color w:val="000000"/>
                                  <w:lang w:val="en-US"/>
                                </w:rPr>
                                <w:t>c</w:t>
                              </w:r>
                            </w:p>
                          </w:txbxContent>
                        </wps:txbx>
                        <wps:bodyPr rot="0" vert="horz" wrap="none" lIns="0" tIns="0" rIns="0" bIns="0" anchor="t" anchorCtr="0" upright="1">
                          <a:spAutoFit/>
                        </wps:bodyPr>
                      </wps:wsp>
                      <wps:wsp>
                        <wps:cNvPr id="332216057" name="Rectangle 140"/>
                        <wps:cNvSpPr>
                          <a:spLocks noChangeArrowheads="1"/>
                        </wps:cNvSpPr>
                        <wps:spPr bwMode="auto">
                          <a:xfrm>
                            <a:off x="1644631" y="35901"/>
                            <a:ext cx="74301" cy="285806"/>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5BC3977F" w14:textId="77777777" w:rsidR="00F41E4D" w:rsidRDefault="00F41E4D" w:rsidP="00806598">
                              <w:r>
                                <w:rPr>
                                  <w:rFonts w:ascii="Calibri" w:hAnsi="Calibri" w:cs="Calibri"/>
                                  <w:color w:val="000000"/>
                                  <w:lang w:val="en-US"/>
                                </w:rPr>
                                <w:t>o</w:t>
                              </w:r>
                            </w:p>
                          </w:txbxContent>
                        </wps:txbx>
                        <wps:bodyPr rot="0" vert="horz" wrap="none" lIns="0" tIns="0" rIns="0" bIns="0" anchor="t" anchorCtr="0" upright="1">
                          <a:spAutoFit/>
                        </wps:bodyPr>
                      </wps:wsp>
                      <wps:wsp>
                        <wps:cNvPr id="545819433" name="Rectangle 141"/>
                        <wps:cNvSpPr>
                          <a:spLocks noChangeArrowheads="1"/>
                        </wps:cNvSpPr>
                        <wps:spPr bwMode="auto">
                          <a:xfrm>
                            <a:off x="1724633" y="35901"/>
                            <a:ext cx="47001" cy="285806"/>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7997D64C" w14:textId="77777777" w:rsidR="00F41E4D" w:rsidRDefault="00F41E4D" w:rsidP="00806598">
                              <w:r>
                                <w:rPr>
                                  <w:rFonts w:ascii="Calibri" w:hAnsi="Calibri" w:cs="Calibri"/>
                                  <w:color w:val="000000"/>
                                  <w:lang w:val="en-US"/>
                                </w:rPr>
                                <w:t>t</w:t>
                              </w:r>
                            </w:p>
                          </w:txbxContent>
                        </wps:txbx>
                        <wps:bodyPr rot="0" vert="horz" wrap="none" lIns="0" tIns="0" rIns="0" bIns="0" anchor="t" anchorCtr="0" upright="1">
                          <a:spAutoFit/>
                        </wps:bodyPr>
                      </wps:wsp>
                      <wps:wsp>
                        <wps:cNvPr id="1761814820" name="Rectangle 142"/>
                        <wps:cNvSpPr>
                          <a:spLocks noChangeArrowheads="1"/>
                        </wps:cNvSpPr>
                        <wps:spPr bwMode="auto">
                          <a:xfrm>
                            <a:off x="1775434" y="35901"/>
                            <a:ext cx="47001" cy="285806"/>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510528C7" w14:textId="77777777" w:rsidR="00F41E4D" w:rsidRDefault="00F41E4D" w:rsidP="00806598">
                              <w:r>
                                <w:rPr>
                                  <w:rFonts w:ascii="Calibri" w:hAnsi="Calibri" w:cs="Calibri"/>
                                  <w:color w:val="000000"/>
                                  <w:lang w:val="en-US"/>
                                </w:rPr>
                                <w:t>t</w:t>
                              </w:r>
                            </w:p>
                          </w:txbxContent>
                        </wps:txbx>
                        <wps:bodyPr rot="0" vert="horz" wrap="none" lIns="0" tIns="0" rIns="0" bIns="0" anchor="t" anchorCtr="0" upright="1">
                          <a:spAutoFit/>
                        </wps:bodyPr>
                      </wps:wsp>
                      <wps:wsp>
                        <wps:cNvPr id="202186183" name="Rectangle 143"/>
                        <wps:cNvSpPr>
                          <a:spLocks noChangeArrowheads="1"/>
                        </wps:cNvSpPr>
                        <wps:spPr bwMode="auto">
                          <a:xfrm>
                            <a:off x="1826834" y="35901"/>
                            <a:ext cx="31801" cy="285806"/>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4DFA4E35" w14:textId="77777777" w:rsidR="00F41E4D" w:rsidRDefault="00F41E4D" w:rsidP="00806598">
                              <w:r>
                                <w:rPr>
                                  <w:rFonts w:ascii="Calibri" w:hAnsi="Calibri" w:cs="Calibri"/>
                                  <w:color w:val="000000"/>
                                  <w:lang w:val="en-US"/>
                                </w:rPr>
                                <w:t xml:space="preserve"> </w:t>
                              </w:r>
                            </w:p>
                          </w:txbxContent>
                        </wps:txbx>
                        <wps:bodyPr rot="0" vert="horz" wrap="none" lIns="0" tIns="0" rIns="0" bIns="0" anchor="t" anchorCtr="0" upright="1">
                          <a:spAutoFit/>
                        </wps:bodyPr>
                      </wps:wsp>
                      <wps:wsp>
                        <wps:cNvPr id="1181691323" name="Rectangle 144"/>
                        <wps:cNvSpPr>
                          <a:spLocks noChangeArrowheads="1"/>
                        </wps:cNvSpPr>
                        <wps:spPr bwMode="auto">
                          <a:xfrm>
                            <a:off x="1863035" y="35901"/>
                            <a:ext cx="64801" cy="285806"/>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16972105" w14:textId="77777777" w:rsidR="00F41E4D" w:rsidRDefault="00F41E4D" w:rsidP="00806598">
                              <w:r>
                                <w:rPr>
                                  <w:rFonts w:ascii="Calibri" w:hAnsi="Calibri" w:cs="Calibri"/>
                                  <w:color w:val="000000"/>
                                  <w:lang w:val="en-US"/>
                                </w:rPr>
                                <w:t>F</w:t>
                              </w:r>
                            </w:p>
                          </w:txbxContent>
                        </wps:txbx>
                        <wps:bodyPr rot="0" vert="horz" wrap="none" lIns="0" tIns="0" rIns="0" bIns="0" anchor="t" anchorCtr="0" upright="1">
                          <a:spAutoFit/>
                        </wps:bodyPr>
                      </wps:wsp>
                      <wps:wsp>
                        <wps:cNvPr id="1116230343" name="Rectangle 145"/>
                        <wps:cNvSpPr>
                          <a:spLocks noChangeArrowheads="1"/>
                        </wps:cNvSpPr>
                        <wps:spPr bwMode="auto">
                          <a:xfrm>
                            <a:off x="1929136" y="35901"/>
                            <a:ext cx="32401" cy="285806"/>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3EDA8785" w14:textId="77777777" w:rsidR="00F41E4D" w:rsidRDefault="00F41E4D" w:rsidP="00806598">
                              <w:r>
                                <w:rPr>
                                  <w:rFonts w:ascii="Calibri" w:hAnsi="Calibri" w:cs="Calibri"/>
                                  <w:color w:val="000000"/>
                                  <w:lang w:val="en-US"/>
                                </w:rPr>
                                <w:t>i</w:t>
                              </w:r>
                            </w:p>
                          </w:txbxContent>
                        </wps:txbx>
                        <wps:bodyPr rot="0" vert="horz" wrap="none" lIns="0" tIns="0" rIns="0" bIns="0" anchor="t" anchorCtr="0" upright="1">
                          <a:spAutoFit/>
                        </wps:bodyPr>
                      </wps:wsp>
                      <wps:wsp>
                        <wps:cNvPr id="1804539227" name="Rectangle 146"/>
                        <wps:cNvSpPr>
                          <a:spLocks noChangeArrowheads="1"/>
                        </wps:cNvSpPr>
                        <wps:spPr bwMode="auto">
                          <a:xfrm>
                            <a:off x="1965337" y="35901"/>
                            <a:ext cx="32401" cy="285806"/>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608DD6D3" w14:textId="77777777" w:rsidR="00F41E4D" w:rsidRDefault="00F41E4D" w:rsidP="00806598">
                              <w:r>
                                <w:rPr>
                                  <w:rFonts w:ascii="Calibri" w:hAnsi="Calibri" w:cs="Calibri"/>
                                  <w:color w:val="000000"/>
                                  <w:lang w:val="en-US"/>
                                </w:rPr>
                                <w:t>l</w:t>
                              </w:r>
                            </w:p>
                          </w:txbxContent>
                        </wps:txbx>
                        <wps:bodyPr rot="0" vert="horz" wrap="none" lIns="0" tIns="0" rIns="0" bIns="0" anchor="t" anchorCtr="0" upright="1">
                          <a:spAutoFit/>
                        </wps:bodyPr>
                      </wps:wsp>
                      <wps:wsp>
                        <wps:cNvPr id="2119982647" name="Rectangle 147"/>
                        <wps:cNvSpPr>
                          <a:spLocks noChangeArrowheads="1"/>
                        </wps:cNvSpPr>
                        <wps:spPr bwMode="auto">
                          <a:xfrm>
                            <a:off x="2002138" y="35901"/>
                            <a:ext cx="47001" cy="285806"/>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3C7750DE" w14:textId="77777777" w:rsidR="00F41E4D" w:rsidRDefault="00F41E4D" w:rsidP="00806598">
                              <w:r>
                                <w:rPr>
                                  <w:rFonts w:ascii="Calibri" w:hAnsi="Calibri" w:cs="Calibri"/>
                                  <w:color w:val="000000"/>
                                  <w:lang w:val="en-US"/>
                                </w:rPr>
                                <w:t>t</w:t>
                              </w:r>
                            </w:p>
                          </w:txbxContent>
                        </wps:txbx>
                        <wps:bodyPr rot="0" vert="horz" wrap="none" lIns="0" tIns="0" rIns="0" bIns="0" anchor="t" anchorCtr="0" upright="1">
                          <a:spAutoFit/>
                        </wps:bodyPr>
                      </wps:wsp>
                      <wps:wsp>
                        <wps:cNvPr id="1804514207" name="Rectangle 148"/>
                        <wps:cNvSpPr>
                          <a:spLocks noChangeArrowheads="1"/>
                        </wps:cNvSpPr>
                        <wps:spPr bwMode="auto">
                          <a:xfrm>
                            <a:off x="2053539" y="35901"/>
                            <a:ext cx="69901" cy="285806"/>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486623EC" w14:textId="77777777" w:rsidR="00F41E4D" w:rsidRDefault="00F41E4D" w:rsidP="00806598">
                              <w:r>
                                <w:rPr>
                                  <w:rFonts w:ascii="Calibri" w:hAnsi="Calibri" w:cs="Calibri"/>
                                  <w:color w:val="000000"/>
                                  <w:lang w:val="en-US"/>
                                </w:rPr>
                                <w:t>e</w:t>
                              </w:r>
                            </w:p>
                          </w:txbxContent>
                        </wps:txbx>
                        <wps:bodyPr rot="0" vert="horz" wrap="none" lIns="0" tIns="0" rIns="0" bIns="0" anchor="t" anchorCtr="0" upright="1">
                          <a:spAutoFit/>
                        </wps:bodyPr>
                      </wps:wsp>
                      <wps:wsp>
                        <wps:cNvPr id="1546816139" name="Rectangle 149"/>
                        <wps:cNvSpPr>
                          <a:spLocks noChangeArrowheads="1"/>
                        </wps:cNvSpPr>
                        <wps:spPr bwMode="auto">
                          <a:xfrm>
                            <a:off x="2125340" y="35901"/>
                            <a:ext cx="48901" cy="285806"/>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117CF552" w14:textId="77777777" w:rsidR="00F41E4D" w:rsidRDefault="00F41E4D" w:rsidP="00806598">
                              <w:r>
                                <w:rPr>
                                  <w:rFonts w:ascii="Calibri" w:hAnsi="Calibri" w:cs="Calibri"/>
                                  <w:color w:val="000000"/>
                                  <w:lang w:val="en-US"/>
                                </w:rPr>
                                <w:t>r</w:t>
                              </w:r>
                            </w:p>
                          </w:txbxContent>
                        </wps:txbx>
                        <wps:bodyPr rot="0" vert="horz" wrap="none" lIns="0" tIns="0" rIns="0" bIns="0" anchor="t" anchorCtr="0" upright="1">
                          <a:spAutoFit/>
                        </wps:bodyPr>
                      </wps:wsp>
                      <wps:wsp>
                        <wps:cNvPr id="1387850875" name="Rectangle 150"/>
                        <wps:cNvSpPr>
                          <a:spLocks noChangeArrowheads="1"/>
                        </wps:cNvSpPr>
                        <wps:spPr bwMode="auto">
                          <a:xfrm>
                            <a:off x="2176741" y="35901"/>
                            <a:ext cx="31801" cy="285806"/>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01DC0370" w14:textId="77777777" w:rsidR="00F41E4D" w:rsidRDefault="00F41E4D" w:rsidP="00806598">
                              <w:r>
                                <w:rPr>
                                  <w:rFonts w:ascii="Calibri" w:hAnsi="Calibri" w:cs="Calibri"/>
                                  <w:color w:val="000000"/>
                                  <w:lang w:val="en-US"/>
                                </w:rPr>
                                <w:t xml:space="preserve"> </w:t>
                              </w:r>
                            </w:p>
                          </w:txbxContent>
                        </wps:txbx>
                        <wps:bodyPr rot="0" vert="horz" wrap="none" lIns="0" tIns="0" rIns="0" bIns="0" anchor="t" anchorCtr="0" upright="1">
                          <a:spAutoFit/>
                        </wps:bodyPr>
                      </wps:wsp>
                      <wps:wsp>
                        <wps:cNvPr id="575001793" name="Rectangle 151"/>
                        <wps:cNvSpPr>
                          <a:spLocks noChangeArrowheads="1"/>
                        </wps:cNvSpPr>
                        <wps:spPr bwMode="auto">
                          <a:xfrm>
                            <a:off x="2213642" y="35901"/>
                            <a:ext cx="42501" cy="285806"/>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707C9F73" w14:textId="77777777" w:rsidR="00F41E4D" w:rsidRDefault="00F41E4D" w:rsidP="00806598">
                              <w:r>
                                <w:rPr>
                                  <w:rFonts w:ascii="Calibri" w:hAnsi="Calibri" w:cs="Calibri"/>
                                  <w:color w:val="000000"/>
                                  <w:lang w:val="en-US"/>
                                </w:rPr>
                                <w:t>(</w:t>
                              </w:r>
                            </w:p>
                          </w:txbxContent>
                        </wps:txbx>
                        <wps:bodyPr rot="0" vert="horz" wrap="none" lIns="0" tIns="0" rIns="0" bIns="0" anchor="t" anchorCtr="0" upright="1">
                          <a:spAutoFit/>
                        </wps:bodyPr>
                      </wps:wsp>
                      <wps:wsp>
                        <wps:cNvPr id="1992106862" name="Rectangle 152"/>
                        <wps:cNvSpPr>
                          <a:spLocks noChangeArrowheads="1"/>
                        </wps:cNvSpPr>
                        <wps:spPr bwMode="auto">
                          <a:xfrm>
                            <a:off x="2256743" y="35901"/>
                            <a:ext cx="32401" cy="285806"/>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77FDEEB8" w14:textId="77777777" w:rsidR="00F41E4D" w:rsidRDefault="00F41E4D" w:rsidP="00806598">
                              <w:r>
                                <w:rPr>
                                  <w:rFonts w:ascii="Calibri" w:hAnsi="Calibri" w:cs="Calibri"/>
                                  <w:color w:val="000000"/>
                                  <w:lang w:val="en-US"/>
                                </w:rPr>
                                <w:t>l</w:t>
                              </w:r>
                            </w:p>
                          </w:txbxContent>
                        </wps:txbx>
                        <wps:bodyPr rot="0" vert="horz" wrap="none" lIns="0" tIns="0" rIns="0" bIns="0" anchor="t" anchorCtr="0" upright="1">
                          <a:spAutoFit/>
                        </wps:bodyPr>
                      </wps:wsp>
                      <wps:wsp>
                        <wps:cNvPr id="1237667270" name="Rectangle 153"/>
                        <wps:cNvSpPr>
                          <a:spLocks noChangeArrowheads="1"/>
                        </wps:cNvSpPr>
                        <wps:spPr bwMode="auto">
                          <a:xfrm>
                            <a:off x="2293643" y="35901"/>
                            <a:ext cx="67301" cy="285806"/>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63BC07FF" w14:textId="77777777" w:rsidR="00F41E4D" w:rsidRDefault="00F41E4D" w:rsidP="00806598">
                              <w:r>
                                <w:rPr>
                                  <w:rFonts w:ascii="Calibri" w:hAnsi="Calibri" w:cs="Calibri"/>
                                  <w:color w:val="000000"/>
                                  <w:lang w:val="en-US"/>
                                </w:rPr>
                                <w:t>a</w:t>
                              </w:r>
                            </w:p>
                          </w:txbxContent>
                        </wps:txbx>
                        <wps:bodyPr rot="0" vert="horz" wrap="none" lIns="0" tIns="0" rIns="0" bIns="0" anchor="t" anchorCtr="0" upright="1">
                          <a:spAutoFit/>
                        </wps:bodyPr>
                      </wps:wsp>
                      <wps:wsp>
                        <wps:cNvPr id="1606007145" name="Rectangle 154"/>
                        <wps:cNvSpPr>
                          <a:spLocks noChangeArrowheads="1"/>
                        </wps:cNvSpPr>
                        <wps:spPr bwMode="auto">
                          <a:xfrm>
                            <a:off x="2365345" y="35901"/>
                            <a:ext cx="111802" cy="285806"/>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3F8BA4EB" w14:textId="77777777" w:rsidR="00F41E4D" w:rsidRDefault="00F41E4D" w:rsidP="00806598">
                              <w:r>
                                <w:rPr>
                                  <w:rFonts w:ascii="Calibri" w:hAnsi="Calibri" w:cs="Calibri"/>
                                  <w:color w:val="000000"/>
                                  <w:lang w:val="en-US"/>
                                </w:rPr>
                                <w:t>m</w:t>
                              </w:r>
                            </w:p>
                          </w:txbxContent>
                        </wps:txbx>
                        <wps:bodyPr rot="0" vert="horz" wrap="none" lIns="0" tIns="0" rIns="0" bIns="0" anchor="t" anchorCtr="0" upright="1">
                          <a:spAutoFit/>
                        </wps:bodyPr>
                      </wps:wsp>
                      <wps:wsp>
                        <wps:cNvPr id="395445815" name="Rectangle 155"/>
                        <wps:cNvSpPr>
                          <a:spLocks noChangeArrowheads="1"/>
                        </wps:cNvSpPr>
                        <wps:spPr bwMode="auto">
                          <a:xfrm>
                            <a:off x="2481547" y="35901"/>
                            <a:ext cx="73701" cy="285806"/>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6B4298B2" w14:textId="77777777" w:rsidR="00F41E4D" w:rsidRDefault="00F41E4D" w:rsidP="00806598">
                              <w:r>
                                <w:rPr>
                                  <w:rFonts w:ascii="Calibri" w:hAnsi="Calibri" w:cs="Calibri"/>
                                  <w:color w:val="000000"/>
                                  <w:lang w:val="en-US"/>
                                </w:rPr>
                                <w:t>b</w:t>
                              </w:r>
                            </w:p>
                          </w:txbxContent>
                        </wps:txbx>
                        <wps:bodyPr rot="0" vert="horz" wrap="none" lIns="0" tIns="0" rIns="0" bIns="0" anchor="t" anchorCtr="0" upright="1">
                          <a:spAutoFit/>
                        </wps:bodyPr>
                      </wps:wsp>
                      <wps:wsp>
                        <wps:cNvPr id="723399474" name="Rectangle 156"/>
                        <wps:cNvSpPr>
                          <a:spLocks noChangeArrowheads="1"/>
                        </wps:cNvSpPr>
                        <wps:spPr bwMode="auto">
                          <a:xfrm>
                            <a:off x="2561548" y="35901"/>
                            <a:ext cx="73701" cy="285806"/>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74E8CFE2" w14:textId="77777777" w:rsidR="00F41E4D" w:rsidRDefault="00F41E4D" w:rsidP="00806598">
                              <w:r>
                                <w:rPr>
                                  <w:rFonts w:ascii="Calibri" w:hAnsi="Calibri" w:cs="Calibri"/>
                                  <w:color w:val="000000"/>
                                  <w:lang w:val="en-US"/>
                                </w:rPr>
                                <w:t>d</w:t>
                              </w:r>
                            </w:p>
                          </w:txbxContent>
                        </wps:txbx>
                        <wps:bodyPr rot="0" vert="horz" wrap="none" lIns="0" tIns="0" rIns="0" bIns="0" anchor="t" anchorCtr="0" upright="1">
                          <a:spAutoFit/>
                        </wps:bodyPr>
                      </wps:wsp>
                      <wps:wsp>
                        <wps:cNvPr id="975517670" name="Rectangle 157"/>
                        <wps:cNvSpPr>
                          <a:spLocks noChangeArrowheads="1"/>
                        </wps:cNvSpPr>
                        <wps:spPr bwMode="auto">
                          <a:xfrm>
                            <a:off x="2641650" y="35901"/>
                            <a:ext cx="67301" cy="285806"/>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227C0E9C" w14:textId="77777777" w:rsidR="00F41E4D" w:rsidRDefault="00F41E4D" w:rsidP="00806598">
                              <w:r>
                                <w:rPr>
                                  <w:rFonts w:ascii="Calibri" w:hAnsi="Calibri" w:cs="Calibri"/>
                                  <w:color w:val="000000"/>
                                  <w:lang w:val="en-US"/>
                                </w:rPr>
                                <w:t>a</w:t>
                              </w:r>
                            </w:p>
                          </w:txbxContent>
                        </wps:txbx>
                        <wps:bodyPr rot="0" vert="horz" wrap="none" lIns="0" tIns="0" rIns="0" bIns="0" anchor="t" anchorCtr="0" upright="1">
                          <a:spAutoFit/>
                        </wps:bodyPr>
                      </wps:wsp>
                      <wps:wsp>
                        <wps:cNvPr id="630603222" name="Rectangle 158"/>
                        <wps:cNvSpPr>
                          <a:spLocks noChangeArrowheads="1"/>
                        </wps:cNvSpPr>
                        <wps:spPr bwMode="auto">
                          <a:xfrm>
                            <a:off x="2713351" y="35901"/>
                            <a:ext cx="69901" cy="285806"/>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0C4933BE" w14:textId="77777777" w:rsidR="00F41E4D" w:rsidRDefault="00F41E4D" w:rsidP="00806598">
                              <w:r>
                                <w:rPr>
                                  <w:rFonts w:ascii="Calibri" w:hAnsi="Calibri" w:cs="Calibri"/>
                                  <w:color w:val="000000"/>
                                  <w:lang w:val="en-US"/>
                                </w:rPr>
                                <w:t>=</w:t>
                              </w:r>
                            </w:p>
                          </w:txbxContent>
                        </wps:txbx>
                        <wps:bodyPr rot="0" vert="horz" wrap="none" lIns="0" tIns="0" rIns="0" bIns="0" anchor="t" anchorCtr="0" upright="1">
                          <a:spAutoFit/>
                        </wps:bodyPr>
                      </wps:wsp>
                      <wps:wsp>
                        <wps:cNvPr id="996351043" name="Rectangle 159"/>
                        <wps:cNvSpPr>
                          <a:spLocks noChangeArrowheads="1"/>
                        </wps:cNvSpPr>
                        <wps:spPr bwMode="auto">
                          <a:xfrm>
                            <a:off x="2785753" y="35901"/>
                            <a:ext cx="71101" cy="285806"/>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6F52B4EC" w14:textId="77777777" w:rsidR="00F41E4D" w:rsidRDefault="00F41E4D" w:rsidP="00806598">
                              <w:r>
                                <w:rPr>
                                  <w:rFonts w:ascii="Calibri" w:hAnsi="Calibri" w:cs="Calibri"/>
                                  <w:color w:val="000000"/>
                                  <w:lang w:val="en-US"/>
                                </w:rPr>
                                <w:t>1</w:t>
                              </w:r>
                            </w:p>
                          </w:txbxContent>
                        </wps:txbx>
                        <wps:bodyPr rot="0" vert="horz" wrap="none" lIns="0" tIns="0" rIns="0" bIns="0" anchor="t" anchorCtr="0" upright="1">
                          <a:spAutoFit/>
                        </wps:bodyPr>
                      </wps:wsp>
                      <wps:wsp>
                        <wps:cNvPr id="26330528" name="Rectangle 160"/>
                        <wps:cNvSpPr>
                          <a:spLocks noChangeArrowheads="1"/>
                        </wps:cNvSpPr>
                        <wps:spPr bwMode="auto">
                          <a:xfrm>
                            <a:off x="2858154" y="35901"/>
                            <a:ext cx="71101" cy="285806"/>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52F3A4B7" w14:textId="77777777" w:rsidR="00F41E4D" w:rsidRDefault="00F41E4D" w:rsidP="00806598">
                              <w:r>
                                <w:rPr>
                                  <w:rFonts w:ascii="Calibri" w:hAnsi="Calibri" w:cs="Calibri"/>
                                  <w:color w:val="000000"/>
                                  <w:lang w:val="en-US"/>
                                </w:rPr>
                                <w:t>0</w:t>
                              </w:r>
                            </w:p>
                          </w:txbxContent>
                        </wps:txbx>
                        <wps:bodyPr rot="0" vert="horz" wrap="none" lIns="0" tIns="0" rIns="0" bIns="0" anchor="t" anchorCtr="0" upright="1">
                          <a:spAutoFit/>
                        </wps:bodyPr>
                      </wps:wsp>
                      <wps:wsp>
                        <wps:cNvPr id="1296208631" name="Rectangle 161"/>
                        <wps:cNvSpPr>
                          <a:spLocks noChangeArrowheads="1"/>
                        </wps:cNvSpPr>
                        <wps:spPr bwMode="auto">
                          <a:xfrm>
                            <a:off x="2930555" y="35901"/>
                            <a:ext cx="71101" cy="285806"/>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6802D85F" w14:textId="77777777" w:rsidR="00F41E4D" w:rsidRDefault="00F41E4D" w:rsidP="00806598">
                              <w:r>
                                <w:rPr>
                                  <w:rFonts w:ascii="Calibri" w:hAnsi="Calibri" w:cs="Calibri"/>
                                  <w:color w:val="000000"/>
                                  <w:lang w:val="en-US"/>
                                </w:rPr>
                                <w:t>0</w:t>
                              </w:r>
                            </w:p>
                          </w:txbxContent>
                        </wps:txbx>
                        <wps:bodyPr rot="0" vert="horz" wrap="none" lIns="0" tIns="0" rIns="0" bIns="0" anchor="t" anchorCtr="0" upright="1">
                          <a:spAutoFit/>
                        </wps:bodyPr>
                      </wps:wsp>
                      <wps:wsp>
                        <wps:cNvPr id="112344951" name="Rectangle 162"/>
                        <wps:cNvSpPr>
                          <a:spLocks noChangeArrowheads="1"/>
                        </wps:cNvSpPr>
                        <wps:spPr bwMode="auto">
                          <a:xfrm>
                            <a:off x="3002957" y="35901"/>
                            <a:ext cx="42501" cy="285806"/>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503390D3" w14:textId="77777777" w:rsidR="00F41E4D" w:rsidRDefault="00F41E4D" w:rsidP="00806598">
                              <w:r>
                                <w:rPr>
                                  <w:rFonts w:ascii="Calibri" w:hAnsi="Calibri" w:cs="Calibri"/>
                                  <w:color w:val="000000"/>
                                  <w:lang w:val="en-US"/>
                                </w:rPr>
                                <w:t>)</w:t>
                              </w:r>
                            </w:p>
                          </w:txbxContent>
                        </wps:txbx>
                        <wps:bodyPr rot="0" vert="horz" wrap="none" lIns="0" tIns="0" rIns="0" bIns="0" anchor="t" anchorCtr="0" upright="1">
                          <a:spAutoFit/>
                        </wps:bodyPr>
                      </wps:wsp>
                      <wps:wsp>
                        <wps:cNvPr id="1163015401" name="Rectangle 163"/>
                        <wps:cNvSpPr>
                          <a:spLocks noChangeArrowheads="1"/>
                        </wps:cNvSpPr>
                        <wps:spPr bwMode="auto">
                          <a:xfrm>
                            <a:off x="3046058" y="35901"/>
                            <a:ext cx="31801" cy="285806"/>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6547C019" w14:textId="77777777" w:rsidR="00F41E4D" w:rsidRDefault="00F41E4D" w:rsidP="00806598">
                              <w:r>
                                <w:rPr>
                                  <w:rFonts w:ascii="Calibri" w:hAnsi="Calibri" w:cs="Calibri"/>
                                  <w:color w:val="000000"/>
                                  <w:lang w:val="en-US"/>
                                </w:rPr>
                                <w:t xml:space="preserve"> </w:t>
                              </w:r>
                            </w:p>
                          </w:txbxContent>
                        </wps:txbx>
                        <wps:bodyPr rot="0" vert="horz" wrap="none" lIns="0" tIns="0" rIns="0" bIns="0" anchor="t" anchorCtr="0" upright="1">
                          <a:spAutoFit/>
                        </wps:bodyPr>
                      </wps:wsp>
                      <wps:wsp>
                        <wps:cNvPr id="1794928674" name="Rectangle 164"/>
                        <wps:cNvSpPr>
                          <a:spLocks noChangeArrowheads="1"/>
                        </wps:cNvSpPr>
                        <wps:spPr bwMode="auto">
                          <a:xfrm>
                            <a:off x="3082958" y="35901"/>
                            <a:ext cx="43201" cy="285806"/>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0CA169EF" w14:textId="77777777" w:rsidR="00F41E4D" w:rsidRDefault="00F41E4D" w:rsidP="00806598">
                              <w:r>
                                <w:rPr>
                                  <w:rFonts w:ascii="Calibri" w:hAnsi="Calibri" w:cs="Calibri"/>
                                  <w:color w:val="000000"/>
                                  <w:lang w:val="en-US"/>
                                </w:rPr>
                                <w:t>-</w:t>
                              </w:r>
                            </w:p>
                          </w:txbxContent>
                        </wps:txbx>
                        <wps:bodyPr rot="0" vert="horz" wrap="none" lIns="0" tIns="0" rIns="0" bIns="0" anchor="t" anchorCtr="0" upright="1">
                          <a:spAutoFit/>
                        </wps:bodyPr>
                      </wps:wsp>
                      <wps:wsp>
                        <wps:cNvPr id="32866593" name="Rectangle 165"/>
                        <wps:cNvSpPr>
                          <a:spLocks noChangeArrowheads="1"/>
                        </wps:cNvSpPr>
                        <wps:spPr bwMode="auto">
                          <a:xfrm>
                            <a:off x="3126159" y="35901"/>
                            <a:ext cx="31701" cy="285806"/>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2769AA0D" w14:textId="77777777" w:rsidR="00F41E4D" w:rsidRDefault="00F41E4D" w:rsidP="00806598">
                              <w:r>
                                <w:rPr>
                                  <w:rFonts w:ascii="Calibri" w:hAnsi="Calibri" w:cs="Calibri"/>
                                  <w:color w:val="000000"/>
                                  <w:lang w:val="en-US"/>
                                </w:rPr>
                                <w:t xml:space="preserve"> </w:t>
                              </w:r>
                            </w:p>
                          </w:txbxContent>
                        </wps:txbx>
                        <wps:bodyPr rot="0" vert="horz" wrap="none" lIns="0" tIns="0" rIns="0" bIns="0" anchor="t" anchorCtr="0" upright="1">
                          <a:spAutoFit/>
                        </wps:bodyPr>
                      </wps:wsp>
                      <wps:wsp>
                        <wps:cNvPr id="1970630959" name="Rectangle 166"/>
                        <wps:cNvSpPr>
                          <a:spLocks noChangeArrowheads="1"/>
                        </wps:cNvSpPr>
                        <wps:spPr bwMode="auto">
                          <a:xfrm>
                            <a:off x="3162960" y="35901"/>
                            <a:ext cx="74901" cy="285806"/>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1BAD7F5B" w14:textId="77777777" w:rsidR="00F41E4D" w:rsidRDefault="00F41E4D" w:rsidP="00806598">
                              <w:r>
                                <w:rPr>
                                  <w:rFonts w:ascii="Calibri" w:hAnsi="Calibri" w:cs="Calibri"/>
                                  <w:color w:val="000000"/>
                                  <w:lang w:val="en-US"/>
                                </w:rPr>
                                <w:t>C</w:t>
                              </w:r>
                            </w:p>
                          </w:txbxContent>
                        </wps:txbx>
                        <wps:bodyPr rot="0" vert="horz" wrap="none" lIns="0" tIns="0" rIns="0" bIns="0" anchor="t" anchorCtr="0" upright="1">
                          <a:spAutoFit/>
                        </wps:bodyPr>
                      </wps:wsp>
                      <wps:wsp>
                        <wps:cNvPr id="1157607172" name="Rectangle 167"/>
                        <wps:cNvSpPr>
                          <a:spLocks noChangeArrowheads="1"/>
                        </wps:cNvSpPr>
                        <wps:spPr bwMode="auto">
                          <a:xfrm>
                            <a:off x="3242961" y="35901"/>
                            <a:ext cx="74301" cy="285806"/>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69FB763C" w14:textId="77777777" w:rsidR="00F41E4D" w:rsidRDefault="00F41E4D" w:rsidP="00806598">
                              <w:r>
                                <w:rPr>
                                  <w:rFonts w:ascii="Calibri" w:hAnsi="Calibri" w:cs="Calibri"/>
                                  <w:color w:val="000000"/>
                                  <w:lang w:val="en-US"/>
                                </w:rPr>
                                <w:t>o</w:t>
                              </w:r>
                            </w:p>
                          </w:txbxContent>
                        </wps:txbx>
                        <wps:bodyPr rot="0" vert="horz" wrap="none" lIns="0" tIns="0" rIns="0" bIns="0" anchor="t" anchorCtr="0" upright="1">
                          <a:spAutoFit/>
                        </wps:bodyPr>
                      </wps:wsp>
                      <wps:wsp>
                        <wps:cNvPr id="1175243229" name="Rectangle 168"/>
                        <wps:cNvSpPr>
                          <a:spLocks noChangeArrowheads="1"/>
                        </wps:cNvSpPr>
                        <wps:spPr bwMode="auto">
                          <a:xfrm>
                            <a:off x="3322963" y="35901"/>
                            <a:ext cx="73701" cy="285806"/>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6EF3D421" w14:textId="77777777" w:rsidR="00F41E4D" w:rsidRDefault="00F41E4D" w:rsidP="00806598">
                              <w:r>
                                <w:rPr>
                                  <w:rFonts w:ascii="Calibri" w:hAnsi="Calibri" w:cs="Calibri"/>
                                  <w:color w:val="000000"/>
                                  <w:lang w:val="en-US"/>
                                </w:rPr>
                                <w:t>n</w:t>
                              </w:r>
                            </w:p>
                          </w:txbxContent>
                        </wps:txbx>
                        <wps:bodyPr rot="0" vert="horz" wrap="none" lIns="0" tIns="0" rIns="0" bIns="0" anchor="t" anchorCtr="0" upright="1">
                          <a:spAutoFit/>
                        </wps:bodyPr>
                      </wps:wsp>
                      <wps:wsp>
                        <wps:cNvPr id="1069748770" name="Rectangle 169"/>
                        <wps:cNvSpPr>
                          <a:spLocks noChangeArrowheads="1"/>
                        </wps:cNvSpPr>
                        <wps:spPr bwMode="auto">
                          <a:xfrm>
                            <a:off x="3402964" y="35901"/>
                            <a:ext cx="66101" cy="285806"/>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1B1DEB41" w14:textId="77777777" w:rsidR="00F41E4D" w:rsidRDefault="00F41E4D" w:rsidP="00806598">
                              <w:r>
                                <w:rPr>
                                  <w:rFonts w:ascii="Calibri" w:hAnsi="Calibri" w:cs="Calibri"/>
                                  <w:color w:val="000000"/>
                                  <w:lang w:val="en-US"/>
                                </w:rPr>
                                <w:t>g</w:t>
                              </w:r>
                            </w:p>
                          </w:txbxContent>
                        </wps:txbx>
                        <wps:bodyPr rot="0" vert="horz" wrap="none" lIns="0" tIns="0" rIns="0" bIns="0" anchor="t" anchorCtr="0" upright="1">
                          <a:spAutoFit/>
                        </wps:bodyPr>
                      </wps:wsp>
                      <wps:wsp>
                        <wps:cNvPr id="1019323312" name="Rectangle 170"/>
                        <wps:cNvSpPr>
                          <a:spLocks noChangeArrowheads="1"/>
                        </wps:cNvSpPr>
                        <wps:spPr bwMode="auto">
                          <a:xfrm>
                            <a:off x="3468365" y="35901"/>
                            <a:ext cx="74301" cy="285806"/>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65D6DA6D" w14:textId="77777777" w:rsidR="00F41E4D" w:rsidRDefault="00F41E4D" w:rsidP="00806598">
                              <w:r>
                                <w:rPr>
                                  <w:rFonts w:ascii="Calibri" w:hAnsi="Calibri" w:cs="Calibri"/>
                                  <w:color w:val="000000"/>
                                  <w:lang w:val="en-US"/>
                                </w:rPr>
                                <w:t>o</w:t>
                              </w:r>
                            </w:p>
                          </w:txbxContent>
                        </wps:txbx>
                        <wps:bodyPr rot="0" vert="horz" wrap="none" lIns="0" tIns="0" rIns="0" bIns="0" anchor="t" anchorCtr="0" upright="1">
                          <a:spAutoFit/>
                        </wps:bodyPr>
                      </wps:wsp>
                    </wpc:wpc>
                  </a:graphicData>
                </a:graphic>
                <wp14:sizeRelH relativeFrom="page">
                  <wp14:pctWidth>0</wp14:pctWidth>
                </wp14:sizeRelH>
                <wp14:sizeRelV relativeFrom="page">
                  <wp14:pctHeight>0</wp14:pctHeight>
                </wp14:sizeRelV>
              </wp:anchor>
            </w:drawing>
          </mc:Choice>
          <mc:Fallback>
            <w:pict>
              <v:group w14:anchorId="59C56D6D" id="Canvas 546" o:spid="_x0000_s1048" editas="canvas" style="position:absolute;left:0;text-align:left;margin-left:75.7pt;margin-top:4.2pt;width:354.55pt;height:233.95pt;z-index:251657216;mso-position-horizontal-relative:page" coordsize="45027,29711"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">
                <v:shapetype id="_x0000_t75" coordsize="21600,21600" o:spt="75" o:preferrelative="t" path="m@4@5l@4@11@9@11@9@5xe" filled="f" stroked="f">
                  <v:stroke joinstyle="miter"/>
                  <v:formulas>
                    <v:f eqn="if lineDrawn pixelLineWidth 0"/>
                    <v:f eqn="sum @0 1 0"/>
                    <v:f eqn="sum 0 0 @1"/>
                    <v:f eqn="prod @2 1 2"/>
                    <v:f eqn="prod @3 21600 pixelWidth"/>
                    <v:f eqn="prod @3 21600 pixelHeight"/>
                    <v:f eqn="sum @0 0 1"/>
                    <v:f eqn="prod @6 1 2"/>
                    <v:f eqn="prod @7 21600 pixelWidth"/>
                    <v:f eqn="sum @8 21600 0"/>
                    <v:f eqn="prod @7 21600 pixelHeight"/>
                    <v:f eqn="sum @10 21600 0"/>
                  </v:formulas>
                  <v:path o:extrusionok="f" gradientshapeok="t" o:connecttype="rect"/>
                  <o:lock v:ext="edit" aspectratio="t"/>
                </v:shapetype>
                <v:shape id="_x0000_s1049" type="#_x0000_t75" style="position:absolute;width:45027;height:29711;visibility:visible;mso-wrap-style:square" stroked="t" strokecolor="#5b9bd5" strokeweight="1pt">
                  <v:fill o:detectmouseclick="t"/>
                  <v:path o:connecttype="none"/>
                </v:shape>
                <v:rect id="Rectangle 5" o:spid="_x0000_s1050" style="position:absolute;left:5708;top:10033;width:39319;height:19678;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" stroked="f"/>
                <v:rect id="Rectangle 6" o:spid="_x0000_s1051" style="position:absolute;top:22692;width:1676;height:2686;visibility:visible;mso-wrap-style:non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" filled="f" stroked="f">
                  <v:textbox style="mso-fit-shape-to-text:t" inset="0,0,0,0">
                    <w:txbxContent>
                      <w:p w14:paraId="2AA71C1C" w14:textId="77777777" w:rsidR="00F41E4D" w:rsidRDefault="00F41E4D" w:rsidP="00806598">
                        <w:r>
                          <w:rPr>
                            <w:rFonts w:ascii="Calibri" w:hAnsi="Calibri" w:cs="Calibri"/>
                            <w:color w:val="000000"/>
                            <w:sz w:val="20"/>
                            <w:szCs w:val="20"/>
                            <w:lang w:val="en-US"/>
                          </w:rPr>
                          <w:t>-30</w:t>
                        </w:r>
                      </w:p>
                    </w:txbxContent>
                  </v:textbox>
                </v:rect>
                <v:rect id="Rectangle 7" o:spid="_x0000_s1052" style="position:absolute;top:20387;width:1676;height:2686;visibility:visible;mso-wrap-style:non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" filled="f" stroked="f">
                  <v:textbox style="mso-fit-shape-to-text:t" inset="0,0,0,0">
                    <w:txbxContent>
                      <w:p w14:paraId="67EE1EE8" w14:textId="77777777" w:rsidR="00F41E4D" w:rsidRDefault="00F41E4D" w:rsidP="00806598">
                        <w:r>
                          <w:rPr>
                            <w:rFonts w:ascii="Calibri" w:hAnsi="Calibri" w:cs="Calibri"/>
                            <w:color w:val="000000"/>
                            <w:sz w:val="20"/>
                            <w:szCs w:val="20"/>
                            <w:lang w:val="en-US"/>
                          </w:rPr>
                          <w:t>-20</w:t>
                        </w:r>
                      </w:p>
                    </w:txbxContent>
                  </v:textbox>
                </v:rect>
                <v:line id="Line 8" o:spid="_x0000_s1053" style="position:absolute;visibility:visible;mso-wrap-style:square" from="5708,29711" to="45027,29711"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" strokecolor="#e8e8e8" strokeweight=".15pt"/>
                <v:rect id="Rectangle 9" o:spid="_x0000_s1054" style="position:absolute;top:18082;width:1676;height:2686;visibility:visible;mso-wrap-style:non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" filled="f" stroked="f">
                  <v:textbox style="mso-fit-shape-to-text:t" inset="0,0,0,0">
                    <w:txbxContent>
                      <w:p w14:paraId="3524A816" w14:textId="77777777" w:rsidR="00F41E4D" w:rsidRDefault="00F41E4D" w:rsidP="00806598">
                        <w:r>
                          <w:rPr>
                            <w:rFonts w:ascii="Calibri" w:hAnsi="Calibri" w:cs="Calibri"/>
                            <w:color w:val="000000"/>
                            <w:sz w:val="20"/>
                            <w:szCs w:val="20"/>
                            <w:lang w:val="en-US"/>
                          </w:rPr>
                          <w:t>-10</w:t>
                        </w:r>
                      </w:p>
                    </w:txbxContent>
                  </v:textbox>
                </v:rect>
                <v:line id="Line 10" o:spid="_x0000_s1055" style="position:absolute;visibility:visible;mso-wrap-style:square" from="2184,19124" to="41503,19124"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" strokecolor="#e8e8e8" strokeweight=".15pt"/>
                <v:rect id="Rectangle 11" o:spid="_x0000_s1056" style="position:absolute;left:1079;top:15771;width:648;height:2686;visibility:visible;mso-wrap-style:non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" filled="f" stroked="f">
                  <v:textbox style="mso-fit-shape-to-text:t" inset="0,0,0,0">
                    <w:txbxContent>
                      <w:p w14:paraId="5A512CDB" w14:textId="77777777" w:rsidR="00F41E4D" w:rsidRDefault="00F41E4D" w:rsidP="00806598">
                        <w:r>
                          <w:rPr>
                            <w:rFonts w:ascii="Calibri" w:hAnsi="Calibri" w:cs="Calibri"/>
                            <w:color w:val="000000"/>
                            <w:sz w:val="20"/>
                            <w:szCs w:val="20"/>
                            <w:lang w:val="en-US"/>
                          </w:rPr>
                          <w:t>0</w:t>
                        </w:r>
                      </w:p>
                    </w:txbxContent>
                  </v:textbox>
                </v:rect>
                <v:line id="Line 12" o:spid="_x0000_s1057" style="position:absolute;visibility:visible;mso-wrap-style:square" from="2184,16812" to="41503,16812"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" strokecolor="#e8e8e8" strokeweight=".15pt"/>
                <v:rect id="Rectangle 13" o:spid="_x0000_s1058" style="position:absolute;left:431;top:13479;width:1289;height:2686;visibility:visible;mso-wrap-style:non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" filled="f" stroked="f">
                  <v:textbox style="mso-fit-shape-to-text:t" inset="0,0,0,0">
                    <w:txbxContent>
                      <w:p w14:paraId="7732B7BB" w14:textId="77777777" w:rsidR="00F41E4D" w:rsidRDefault="00F41E4D" w:rsidP="00806598">
                        <w:r>
                          <w:rPr>
                            <w:rFonts w:ascii="Calibri" w:hAnsi="Calibri" w:cs="Calibri"/>
                            <w:color w:val="000000"/>
                            <w:sz w:val="20"/>
                            <w:szCs w:val="20"/>
                            <w:lang w:val="en-US"/>
                          </w:rPr>
                          <w:t>10</w:t>
                        </w:r>
                      </w:p>
                    </w:txbxContent>
                  </v:textbox>
                </v:rect>
                <v:line id="Line 14" o:spid="_x0000_s1059" style="position:absolute;visibility:visible;mso-wrap-style:square" from="2184,14520" to="41503,14520"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" strokecolor="#e8e8e8" strokeweight=".15pt"/>
                <v:rect id="Rectangle 15" o:spid="_x0000_s1060" style="position:absolute;left:431;top:11167;width:1289;height:2686;visibility:visible;mso-wrap-style:non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" filled="f" stroked="f">
                  <v:textbox style="mso-fit-shape-to-text:t" inset="0,0,0,0">
                    <w:txbxContent>
                      <w:p w14:paraId="6FBF6988" w14:textId="77777777" w:rsidR="00F41E4D" w:rsidRDefault="00F41E4D" w:rsidP="00806598">
                        <w:r>
                          <w:rPr>
                            <w:rFonts w:ascii="Calibri" w:hAnsi="Calibri" w:cs="Calibri"/>
                            <w:color w:val="000000"/>
                            <w:sz w:val="20"/>
                            <w:szCs w:val="20"/>
                            <w:lang w:val="en-US"/>
                          </w:rPr>
                          <w:t>20</w:t>
                        </w:r>
                      </w:p>
                    </w:txbxContent>
                  </v:textbox>
                </v:rect>
                <v:line id="Line 16" o:spid="_x0000_s1061" style="position:absolute;visibility:visible;mso-wrap-style:square" from="2184,12209" to="41503,12209"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" strokecolor="#e8e8e8" strokeweight=".15pt"/>
                <v:rect id="Rectangle 17" o:spid="_x0000_s1062" style="position:absolute;left:42138;top:14583;width:1289;height:2687;visibility:visible;mso-wrap-style:non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" filled="f" stroked="f">
                  <v:textbox style="mso-fit-shape-to-text:t" inset="0,0,0,0">
                    <w:txbxContent>
                      <w:p w14:paraId="1D407620" w14:textId="77777777" w:rsidR="00F41E4D" w:rsidRDefault="00F41E4D" w:rsidP="00806598">
                        <w:r>
                          <w:rPr>
                            <w:rFonts w:ascii="Calibri" w:hAnsi="Calibri" w:cs="Calibri"/>
                            <w:color w:val="000000"/>
                            <w:sz w:val="20"/>
                            <w:szCs w:val="20"/>
                            <w:lang w:val="en-US"/>
                          </w:rPr>
                          <w:t xml:space="preserve">80 </w:t>
                        </w:r>
                      </w:p>
                    </w:txbxContent>
                  </v:textbox>
                </v:rect>
                <v:line id="Line 18" o:spid="_x0000_s1063" style="position:absolute;visibility:visible;mso-wrap-style:square" from="41490,15625" to="41865,15625"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" strokecolor="silver" strokeweight=".3pt"/>
                <v:line id="Line 19" o:spid="_x0000_s1064" style="position:absolute;visibility:visible;mso-wrap-style:square" from="2184,15625" to="41503,15625"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" strokecolor="#e8e8e8" strokeweight=".15pt"/>
                <v:rect id="Rectangle 20" o:spid="_x0000_s1065" style="position:absolute;left:42138;top:11701;width:1937;height:2686;visibility:visible;mso-wrap-style:non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" filled="f" stroked="f">
                  <v:textbox style="mso-fit-shape-to-text:t" inset="0,0,0,0">
                    <w:txbxContent>
                      <w:p w14:paraId="4D007CDF" w14:textId="77777777" w:rsidR="00F41E4D" w:rsidRDefault="00F41E4D" w:rsidP="00806598">
                        <w:r>
                          <w:rPr>
                            <w:rFonts w:ascii="Calibri" w:hAnsi="Calibri" w:cs="Calibri"/>
                            <w:color w:val="000000"/>
                            <w:sz w:val="20"/>
                            <w:szCs w:val="20"/>
                            <w:lang w:val="en-US"/>
                          </w:rPr>
                          <w:t xml:space="preserve">100 </w:t>
                        </w:r>
                      </w:p>
                    </w:txbxContent>
                  </v:textbox>
                </v:rect>
                <v:line id="Line 21" o:spid="_x0000_s1066" style="position:absolute;visibility:visible;mso-wrap-style:square" from="41490,12742" to="41865,12742"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" strokecolor="silver" strokeweight=".3pt"/>
                <v:line id="Line 22" o:spid="_x0000_s1067" style="position:absolute;visibility:visible;mso-wrap-style:square" from="2184,12742" to="41503,12742"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" strokecolor="#e8e8e8" strokeweight=".15pt"/>
                <v:rect id="Rectangle 23" o:spid="_x0000_s1068" style="position:absolute;left:42138;top:8824;width:1937;height:2686;visibility:visible;mso-wrap-style:non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" filled="f" stroked="f">
                  <v:textbox style="mso-fit-shape-to-text:t" inset="0,0,0,0">
                    <w:txbxContent>
                      <w:p w14:paraId="26C34949" w14:textId="77777777" w:rsidR="00F41E4D" w:rsidRDefault="00F41E4D" w:rsidP="00806598">
                        <w:r>
                          <w:rPr>
                            <w:rFonts w:ascii="Calibri" w:hAnsi="Calibri" w:cs="Calibri"/>
                            <w:color w:val="000000"/>
                            <w:sz w:val="20"/>
                            <w:szCs w:val="20"/>
                            <w:lang w:val="en-US"/>
                          </w:rPr>
                          <w:t xml:space="preserve">120 </w:t>
                        </w:r>
                      </w:p>
                    </w:txbxContent>
                  </v:textbox>
                </v:rect>
                <v:line id="Line 24" o:spid="_x0000_s1069" style="position:absolute;visibility:visible;mso-wrap-style:square" from="41490,9865" to="41865,9865"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" strokecolor="silver" strokeweight=".3pt"/>
                <v:line id="Line 25" o:spid="_x0000_s1070" style="position:absolute;visibility:visible;mso-wrap-style:square" from="2184,9865" to="41503,9865"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" strokecolor="#e8e8e8" strokeweight=".15pt"/>
                <v:rect id="Rectangle 26" o:spid="_x0000_s1071" style="position:absolute;left:42138;top:5935;width:1937;height:2686;visibility:visible;mso-wrap-style:non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" filled="f" stroked="f">
                  <v:textbox style="mso-fit-shape-to-text:t" inset="0,0,0,0">
                    <w:txbxContent>
                      <w:p w14:paraId="2CDF39EE" w14:textId="77777777" w:rsidR="00F41E4D" w:rsidRDefault="00F41E4D" w:rsidP="00806598">
                        <w:r>
                          <w:rPr>
                            <w:rFonts w:ascii="Calibri" w:hAnsi="Calibri" w:cs="Calibri"/>
                            <w:color w:val="000000"/>
                            <w:sz w:val="20"/>
                            <w:szCs w:val="20"/>
                            <w:lang w:val="en-US"/>
                          </w:rPr>
                          <w:t xml:space="preserve">140 </w:t>
                        </w:r>
                      </w:p>
                    </w:txbxContent>
                  </v:textbox>
                </v:rect>
                <v:line id="Line 27" o:spid="_x0000_s1072" style="position:absolute;visibility:visible;mso-wrap-style:square" from="41490,6976" to="41865,6976"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" strokecolor="silver" strokeweight=".3pt"/>
                <v:line id="Line 28" o:spid="_x0000_s1073" style="position:absolute;visibility:visible;mso-wrap-style:square" from="2184,6976" to="41503,6976"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" strokecolor="#e8e8e8" strokeweight=".15pt"/>
                <v:rect id="Rectangle 29" o:spid="_x0000_s1074" style="position:absolute;left:42138;top:3058;width:1937;height:2686;visibility:visible;mso-wrap-style:non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" filled="f" stroked="f">
                  <v:textbox style="mso-fit-shape-to-text:t" inset="0,0,0,0">
                    <w:txbxContent>
                      <w:p w14:paraId="0ABE3316" w14:textId="77777777" w:rsidR="00F41E4D" w:rsidRDefault="00F41E4D" w:rsidP="00806598">
                        <w:r>
                          <w:rPr>
                            <w:rFonts w:ascii="Calibri" w:hAnsi="Calibri" w:cs="Calibri"/>
                            <w:color w:val="000000"/>
                            <w:sz w:val="20"/>
                            <w:szCs w:val="20"/>
                            <w:lang w:val="en-US"/>
                          </w:rPr>
                          <w:t xml:space="preserve">160 </w:t>
                        </w:r>
                      </w:p>
                    </w:txbxContent>
                  </v:textbox>
                </v:rect>
                <v:line id="Line 30" o:spid="_x0000_s1075" style="position:absolute;visibility:visible;mso-wrap-style:square" from="41490,4106" to="41865,4106"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" strokecolor="silver" strokeweight=".3pt"/>
                <v:line id="Line 31" o:spid="_x0000_s1076" style="position:absolute;visibility:visible;mso-wrap-style:square" from="4950,3580" to="44270,3580"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" strokecolor="#e8e8e8" strokeweight=".15pt"/>
                <v:rect id="Rectangle 32" o:spid="_x0000_s1077" style="position:absolute;left:2851;top:23893;width:1289;height:2686;visibility:visible;mso-wrap-style:non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" filled="f" stroked="f">
                  <v:textbox style="mso-fit-shape-to-text:t" inset="0,0,0,0">
                    <w:txbxContent>
                      <w:p w14:paraId="3DBA7B61" w14:textId="77777777" w:rsidR="00F41E4D" w:rsidRDefault="00F41E4D" w:rsidP="00806598">
                        <w:r>
                          <w:rPr>
                            <w:rFonts w:ascii="Calibri" w:hAnsi="Calibri" w:cs="Calibri"/>
                            <w:color w:val="000000"/>
                            <w:sz w:val="20"/>
                            <w:szCs w:val="20"/>
                            <w:lang w:val="en-US"/>
                          </w:rPr>
                          <w:t>04</w:t>
                        </w:r>
                      </w:p>
                    </w:txbxContent>
                  </v:textbox>
                </v:rect>
                <v:rect id="Rectangle 33" o:spid="_x0000_s1078" style="position:absolute;left:5473;top:23893;width:1289;height:2686;visibility:visible;mso-wrap-style:non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" filled="f" stroked="f">
                  <v:textbox style="mso-fit-shape-to-text:t" inset="0,0,0,0">
                    <w:txbxContent>
                      <w:p w14:paraId="361C0E68" w14:textId="77777777" w:rsidR="00F41E4D" w:rsidRDefault="00F41E4D" w:rsidP="00806598">
                        <w:r>
                          <w:rPr>
                            <w:rFonts w:ascii="Calibri" w:hAnsi="Calibri" w:cs="Calibri"/>
                            <w:color w:val="000000"/>
                            <w:sz w:val="20"/>
                            <w:szCs w:val="20"/>
                            <w:lang w:val="en-US"/>
                          </w:rPr>
                          <w:t>05</w:t>
                        </w:r>
                      </w:p>
                    </w:txbxContent>
                  </v:textbox>
                </v:rect>
                <v:rect id="Rectangle 34" o:spid="_x0000_s1079" style="position:absolute;left:8096;top:23893;width:1289;height:2686;visibility:visible;mso-wrap-style:non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" filled="f" stroked="f">
                  <v:textbox style="mso-fit-shape-to-text:t" inset="0,0,0,0">
                    <w:txbxContent>
                      <w:p w14:paraId="6D618146" w14:textId="77777777" w:rsidR="00F41E4D" w:rsidRDefault="00F41E4D" w:rsidP="00806598">
                        <w:r>
                          <w:rPr>
                            <w:rFonts w:ascii="Calibri" w:hAnsi="Calibri" w:cs="Calibri"/>
                            <w:color w:val="000000"/>
                            <w:sz w:val="20"/>
                            <w:szCs w:val="20"/>
                            <w:lang w:val="en-US"/>
                          </w:rPr>
                          <w:t>06</w:t>
                        </w:r>
                      </w:p>
                    </w:txbxContent>
                  </v:textbox>
                </v:rect>
                <v:rect id="Rectangle 35" o:spid="_x0000_s1080" style="position:absolute;left:10706;top:23893;width:1289;height:2686;visibility:visible;mso-wrap-style:non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" filled="f" stroked="f">
                  <v:textbox style="mso-fit-shape-to-text:t" inset="0,0,0,0">
                    <w:txbxContent>
                      <w:p w14:paraId="50A93DEF" w14:textId="77777777" w:rsidR="00F41E4D" w:rsidRDefault="00F41E4D" w:rsidP="00806598">
                        <w:r>
                          <w:rPr>
                            <w:rFonts w:ascii="Calibri" w:hAnsi="Calibri" w:cs="Calibri"/>
                            <w:color w:val="000000"/>
                            <w:sz w:val="20"/>
                            <w:szCs w:val="20"/>
                            <w:lang w:val="en-US"/>
                          </w:rPr>
                          <w:t>07</w:t>
                        </w:r>
                      </w:p>
                    </w:txbxContent>
                  </v:textbox>
                </v:rect>
                <v:rect id="Rectangle 36" o:spid="_x0000_s1081" style="position:absolute;left:13328;top:23893;width:1289;height:2686;visibility:visible;mso-wrap-style:non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" filled="f" stroked="f">
                  <v:textbox style="mso-fit-shape-to-text:t" inset="0,0,0,0">
                    <w:txbxContent>
                      <w:p w14:paraId="07B9DC0F" w14:textId="77777777" w:rsidR="00F41E4D" w:rsidRDefault="00F41E4D" w:rsidP="00806598">
                        <w:r>
                          <w:rPr>
                            <w:rFonts w:ascii="Calibri" w:hAnsi="Calibri" w:cs="Calibri"/>
                            <w:color w:val="000000"/>
                            <w:sz w:val="20"/>
                            <w:szCs w:val="20"/>
                            <w:lang w:val="en-US"/>
                          </w:rPr>
                          <w:t>08</w:t>
                        </w:r>
                      </w:p>
                    </w:txbxContent>
                  </v:textbox>
                </v:rect>
                <v:rect id="Rectangle 37" o:spid="_x0000_s1082" style="position:absolute;left:15951;top:23893;width:1289;height:2686;visibility:visible;mso-wrap-style:non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" filled="f" stroked="f">
                  <v:textbox style="mso-fit-shape-to-text:t" inset="0,0,0,0">
                    <w:txbxContent>
                      <w:p w14:paraId="003BE3F3" w14:textId="77777777" w:rsidR="00F41E4D" w:rsidRDefault="00F41E4D" w:rsidP="00806598">
                        <w:r>
                          <w:rPr>
                            <w:rFonts w:ascii="Calibri" w:hAnsi="Calibri" w:cs="Calibri"/>
                            <w:color w:val="000000"/>
                            <w:sz w:val="20"/>
                            <w:szCs w:val="20"/>
                            <w:lang w:val="en-US"/>
                          </w:rPr>
                          <w:t>09</w:t>
                        </w:r>
                      </w:p>
                    </w:txbxContent>
                  </v:textbox>
                </v:rect>
                <v:rect id="Rectangle 38" o:spid="_x0000_s1083" style="position:absolute;left:18573;top:23893;width:1289;height:2686;visibility:visible;mso-wrap-style:non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" filled="f" stroked="f">
                  <v:textbox style="mso-fit-shape-to-text:t" inset="0,0,0,0">
                    <w:txbxContent>
                      <w:p w14:paraId="14A4931C" w14:textId="77777777" w:rsidR="00F41E4D" w:rsidRDefault="00F41E4D" w:rsidP="00806598">
                        <w:r>
                          <w:rPr>
                            <w:rFonts w:ascii="Calibri" w:hAnsi="Calibri" w:cs="Calibri"/>
                            <w:color w:val="000000"/>
                            <w:sz w:val="20"/>
                            <w:szCs w:val="20"/>
                            <w:lang w:val="en-US"/>
                          </w:rPr>
                          <w:t>10</w:t>
                        </w:r>
                      </w:p>
                    </w:txbxContent>
                  </v:textbox>
                </v:rect>
                <v:rect id="Rectangle 39" o:spid="_x0000_s1084" style="position:absolute;left:21196;top:23893;width:1289;height:2686;visibility:visible;mso-wrap-style:non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" filled="f" stroked="f">
                  <v:textbox style="mso-fit-shape-to-text:t" inset="0,0,0,0">
                    <w:txbxContent>
                      <w:p w14:paraId="08AC44A3" w14:textId="77777777" w:rsidR="00F41E4D" w:rsidRDefault="00F41E4D" w:rsidP="00806598">
                        <w:r>
                          <w:rPr>
                            <w:rFonts w:ascii="Calibri" w:hAnsi="Calibri" w:cs="Calibri"/>
                            <w:color w:val="000000"/>
                            <w:sz w:val="20"/>
                            <w:szCs w:val="20"/>
                            <w:lang w:val="en-US"/>
                          </w:rPr>
                          <w:t>11</w:t>
                        </w:r>
                      </w:p>
                    </w:txbxContent>
                  </v:textbox>
                </v:rect>
                <v:rect id="Rectangle 40" o:spid="_x0000_s1085" style="position:absolute;left:23812;top:23893;width:1289;height:2686;visibility:visible;mso-wrap-style:non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" filled="f" stroked="f">
                  <v:textbox style="mso-fit-shape-to-text:t" inset="0,0,0,0">
                    <w:txbxContent>
                      <w:p w14:paraId="53D1CA2E" w14:textId="77777777" w:rsidR="00F41E4D" w:rsidRDefault="00F41E4D" w:rsidP="00806598">
                        <w:r>
                          <w:rPr>
                            <w:rFonts w:ascii="Calibri" w:hAnsi="Calibri" w:cs="Calibri"/>
                            <w:color w:val="000000"/>
                            <w:sz w:val="20"/>
                            <w:szCs w:val="20"/>
                            <w:lang w:val="en-US"/>
                          </w:rPr>
                          <w:t>12</w:t>
                        </w:r>
                      </w:p>
                    </w:txbxContent>
                  </v:textbox>
                </v:rect>
                <v:rect id="Rectangle 41" o:spid="_x0000_s1086" style="position:absolute;left:26435;top:23893;width:1289;height:2686;visibility:visible;mso-wrap-style:non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" filled="f" stroked="f">
                  <v:textbox style="mso-fit-shape-to-text:t" inset="0,0,0,0">
                    <w:txbxContent>
                      <w:p w14:paraId="3246361D" w14:textId="77777777" w:rsidR="00F41E4D" w:rsidRDefault="00F41E4D" w:rsidP="00806598">
                        <w:r>
                          <w:rPr>
                            <w:rFonts w:ascii="Calibri" w:hAnsi="Calibri" w:cs="Calibri"/>
                            <w:color w:val="000000"/>
                            <w:sz w:val="20"/>
                            <w:szCs w:val="20"/>
                            <w:lang w:val="en-US"/>
                          </w:rPr>
                          <w:t>13</w:t>
                        </w:r>
                      </w:p>
                    </w:txbxContent>
                  </v:textbox>
                </v:rect>
                <v:rect id="Rectangle 42" o:spid="_x0000_s1087" style="position:absolute;left:29057;top:23893;width:1289;height:2686;visibility:visible;mso-wrap-style:non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" filled="f" stroked="f">
                  <v:textbox style="mso-fit-shape-to-text:t" inset="0,0,0,0">
                    <w:txbxContent>
                      <w:p w14:paraId="4A96B5B3" w14:textId="77777777" w:rsidR="00F41E4D" w:rsidRDefault="00F41E4D" w:rsidP="00806598">
                        <w:r>
                          <w:rPr>
                            <w:rFonts w:ascii="Calibri" w:hAnsi="Calibri" w:cs="Calibri"/>
                            <w:color w:val="000000"/>
                            <w:sz w:val="20"/>
                            <w:szCs w:val="20"/>
                            <w:lang w:val="en-US"/>
                          </w:rPr>
                          <w:t>14</w:t>
                        </w:r>
                      </w:p>
                    </w:txbxContent>
                  </v:textbox>
                </v:rect>
                <v:rect id="Rectangle 43" o:spid="_x0000_s1088" style="position:absolute;left:31680;top:23893;width:1289;height:2686;visibility:visible;mso-wrap-style:non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" filled="f" stroked="f">
                  <v:textbox style="mso-fit-shape-to-text:t" inset="0,0,0,0">
                    <w:txbxContent>
                      <w:p w14:paraId="12C57297" w14:textId="77777777" w:rsidR="00F41E4D" w:rsidRDefault="00F41E4D" w:rsidP="00806598">
                        <w:r>
                          <w:rPr>
                            <w:rFonts w:ascii="Calibri" w:hAnsi="Calibri" w:cs="Calibri"/>
                            <w:color w:val="000000"/>
                            <w:sz w:val="20"/>
                            <w:szCs w:val="20"/>
                            <w:lang w:val="en-US"/>
                          </w:rPr>
                          <w:t>15</w:t>
                        </w:r>
                      </w:p>
                    </w:txbxContent>
                  </v:textbox>
                </v:rect>
                <v:rect id="Rectangle 44" o:spid="_x0000_s1089" style="position:absolute;left:34302;top:23893;width:1289;height:2686;visibility:visible;mso-wrap-style:non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" filled="f" stroked="f">
                  <v:textbox style="mso-fit-shape-to-text:t" inset="0,0,0,0">
                    <w:txbxContent>
                      <w:p w14:paraId="3BC9C72C" w14:textId="77777777" w:rsidR="00F41E4D" w:rsidRDefault="00F41E4D" w:rsidP="00806598">
                        <w:r>
                          <w:rPr>
                            <w:rFonts w:ascii="Calibri" w:hAnsi="Calibri" w:cs="Calibri"/>
                            <w:color w:val="000000"/>
                            <w:sz w:val="20"/>
                            <w:szCs w:val="20"/>
                            <w:lang w:val="en-US"/>
                          </w:rPr>
                          <w:t>16</w:t>
                        </w:r>
                      </w:p>
                    </w:txbxContent>
                  </v:textbox>
                </v:rect>
                <v:rect id="Rectangle 45" o:spid="_x0000_s1090" style="position:absolute;left:36912;top:23893;width:1289;height:2686;visibility:visible;mso-wrap-style:non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" filled="f" stroked="f">
                  <v:textbox style="mso-fit-shape-to-text:t" inset="0,0,0,0">
                    <w:txbxContent>
                      <w:p w14:paraId="46EAC54A" w14:textId="77777777" w:rsidR="00F41E4D" w:rsidRDefault="00F41E4D" w:rsidP="00806598">
                        <w:r>
                          <w:rPr>
                            <w:rFonts w:ascii="Calibri" w:hAnsi="Calibri" w:cs="Calibri"/>
                            <w:color w:val="000000"/>
                            <w:sz w:val="20"/>
                            <w:szCs w:val="20"/>
                            <w:lang w:val="en-US"/>
                          </w:rPr>
                          <w:t>17</w:t>
                        </w:r>
                      </w:p>
                    </w:txbxContent>
                  </v:textbox>
                </v:rect>
                <v:rect id="Rectangle 46" o:spid="_x0000_s1091" style="position:absolute;left:39535;top:23893;width:1289;height:2686;visibility:visible;mso-wrap-style:non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" filled="f" stroked="f">
                  <v:textbox style="mso-fit-shape-to-text:t" inset="0,0,0,0">
                    <w:txbxContent>
                      <w:p w14:paraId="379F8DB6" w14:textId="77777777" w:rsidR="00F41E4D" w:rsidRDefault="00F41E4D" w:rsidP="00806598">
                        <w:r>
                          <w:rPr>
                            <w:rFonts w:ascii="Calibri" w:hAnsi="Calibri" w:cs="Calibri"/>
                            <w:color w:val="000000"/>
                            <w:sz w:val="20"/>
                            <w:szCs w:val="20"/>
                            <w:lang w:val="en-US"/>
                          </w:rPr>
                          <w:t>18</w:t>
                        </w:r>
                      </w:p>
                    </w:txbxContent>
                  </v:textbox>
                </v:rect>
                <v:line id="Line 47" o:spid="_x0000_s1092" style="position:absolute;visibility:visible;mso-wrap-style:square" from="7423,4074" to="7423,23753"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" strokecolor="#e8e8e8" strokeweight=".15pt"/>
                <v:line id="Line 48" o:spid="_x0000_s1093" style="position:absolute;visibility:visible;mso-wrap-style:square" from="12668,4074" to="12668,23753"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" strokecolor="#e8e8e8" strokeweight=".15pt"/>
                <v:line id="Line 49" o:spid="_x0000_s1094" style="position:absolute;visibility:visible;mso-wrap-style:square" from="17900,4074" to="17900,23753"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" strokecolor="#e8e8e8" strokeweight=".15pt"/>
                <v:line id="Line 50" o:spid="_x0000_s1095" style="position:absolute;visibility:visible;mso-wrap-style:square" from="23145,4074" to="23145,23753"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" strokecolor="#e8e8e8" strokeweight=".15pt"/>
                <v:line id="Line 51" o:spid="_x0000_s1096" style="position:absolute;visibility:visible;mso-wrap-style:square" from="28390,4074" to="28390,23753"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" strokecolor="#e8e8e8" strokeweight=".15pt"/>
                <v:line id="Line 53" o:spid="_x0000_s1097" style="position:absolute;visibility:visible;mso-wrap-style:square" from="38868,4074" to="38868,23753"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" strokecolor="#e8e8e8" strokeweight=".15pt"/>
                <v:line id="Line 54" o:spid="_x0000_s1098" style="position:absolute;visibility:visible;mso-wrap-style:square" from="5708,28826" to="45027,28826"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" strokecolor="silver" strokeweight="0"/>
                <v:shape id="Freeform 55" o:spid="_x0000_s1099" style="position:absolute;left:3498;top:4925;width:36684;height:7817;visibility:visible;mso-wrap-style:square;v-text-anchor:top" coordsize="3805,810"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" path="m,170r271,45l543,,815,56,1087,40r272,61l1630,810r272,-87l2174,575r272,-8l2718,545,2989,346r272,58l3533,790,3805,644e" filled="f" strokecolor="#396ab1" strokeweight="1.05pt">
                  <v:path arrowok="t" o:connecttype="custom" o:connectlocs="0,2147483646;2147483646,2147483646;2147483646,0;2147483646,2147483646;2147483646,2147483646;2147483646,2147483646;2147483646,2147483646;2147483646,2147483646;2147483646,2147483646;2147483646,2147483646;2147483646,2147483646;2147483646,2147483646;2147483646,2147483646;2147483646,2147483646;2147483646,2147483646" o:connectangles="0,0,0,0,0,0,0,0,0,0,0,0,0,0,0"/>
                </v:shape>
                <v:shape id="Freeform 56" o:spid="_x0000_s1100" style="position:absolute;left:3498;top:5554;width:36684;height:5740;visibility:visible;mso-wrap-style:square;v-text-anchor:top" coordsize="3805,595"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" path="m,l271,49,543,98r272,53l1087,207r272,58l1630,322r272,51l2174,415r272,34l2718,479r271,28l3261,536r272,30l3805,595e" filled="f" strokecolor="#da7c30" strokeweight="1.05pt">
                  <v:path arrowok="t" o:connecttype="custom" o:connectlocs="0,0;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 o:connectangles="0,0,0,0,0,0,0,0,0,0,0,0,0,0,0"/>
                </v:shape>
                <v:shape id="Freeform 57" o:spid="_x0000_s1101" style="position:absolute;left:3498;top:13244;width:36684;height:10109;visibility:visible;mso-wrap-style:square;v-text-anchor:top" coordsize="3805,1047"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" path="m,538r271,-5l543,109r272,6l1087,r272,4l1630,1047,1902,828,2174,523r272,-69l2718,371,2989,9r272,46l3533,625,3805,344e" filled="f" strokecolor="#3e9651" strokeweight="1.05pt">
                  <v:path arrowok="t" o:connecttype="custom" o:connectlocs="0,2147483646;2147483646,2147483646;2147483646,2147483646;2147483646,2147483646;2147483646,0;2147483646,2147483646;2147483646,2147483646;2147483646,2147483646;2147483646,2147483646;2147483646,2147483646;2147483646,2147483646;2147483646,2147483646;2147483646,2147483646;2147483646,2147483646;2147483646,2147483646" o:connectangles="0,0,0,0,0,0,0,0,0,0,0,0,0,0,0"/>
                </v:shape>
                <v:rect id="Rectangle 58" o:spid="_x0000_s1102" style="position:absolute;left:10033;top:26960;width:23602;height:1987;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" stroked="f"/>
                <v:rect id="Rectangle 59" o:spid="_x0000_s1103" style="position:absolute;left:10033;top:26960;width:23590;height:1981;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" filled="f" strokecolor="#e8e8e8" strokeweight=".35pt"/>
                <v:line id="Line 60" o:spid="_x0000_s1104" style="position:absolute;visibility:visible;mso-wrap-style:square" from="10680,27982" to="13157,27982"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" strokecolor="#396ab1" strokeweight="1.05pt">
                  <v:stroke endcap="square"/>
                </v:line>
                <v:rect id="Rectangle 61" o:spid="_x0000_s1105" style="position:absolute;left:13728;top:27195;width:623;height:2521;visibility:visible;mso-wrap-style:non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" filled="f" stroked="f">
                  <v:textbox style="mso-fit-shape-to-text:t" inset="0,0,0,0">
                    <w:txbxContent>
                      <w:p w14:paraId="7F0C532F" w14:textId="77777777" w:rsidR="00F41E4D" w:rsidRDefault="00F41E4D" w:rsidP="00806598">
                        <w:r>
                          <w:rPr>
                            <w:rFonts w:ascii="Calibri" w:hAnsi="Calibri" w:cs="Calibri"/>
                            <w:color w:val="000000"/>
                            <w:sz w:val="18"/>
                            <w:szCs w:val="18"/>
                            <w:lang w:val="en-US"/>
                          </w:rPr>
                          <w:t>R</w:t>
                        </w:r>
                      </w:p>
                    </w:txbxContent>
                  </v:textbox>
                </v:rect>
                <v:rect id="Rectangle 62" o:spid="_x0000_s1106" style="position:absolute;left:14306;top:27195;width:559;height:2521;visibility:visible;mso-wrap-style:non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" filled="f" stroked="f">
                  <v:textbox style="mso-fit-shape-to-text:t" inset="0,0,0,0">
                    <w:txbxContent>
                      <w:p w14:paraId="16E02AA3" w14:textId="77777777" w:rsidR="00F41E4D" w:rsidRDefault="00F41E4D" w:rsidP="00806598">
                        <w:r>
                          <w:rPr>
                            <w:rFonts w:ascii="Calibri" w:hAnsi="Calibri" w:cs="Calibri"/>
                            <w:color w:val="000000"/>
                            <w:sz w:val="18"/>
                            <w:szCs w:val="18"/>
                            <w:lang w:val="en-US"/>
                          </w:rPr>
                          <w:t>E</w:t>
                        </w:r>
                      </w:p>
                    </w:txbxContent>
                  </v:textbox>
                </v:rect>
                <v:rect id="Rectangle 63" o:spid="_x0000_s1107" style="position:absolute;left:14814;top:27195;width:559;height:2521;visibility:visible;mso-wrap-style:non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" filled="f" stroked="f">
                  <v:textbox style="mso-fit-shape-to-text:t" inset="0,0,0,0">
                    <w:txbxContent>
                      <w:p w14:paraId="30D06CBB" w14:textId="77777777" w:rsidR="00F41E4D" w:rsidRDefault="00F41E4D" w:rsidP="00806598">
                        <w:r>
                          <w:rPr>
                            <w:rFonts w:ascii="Calibri" w:hAnsi="Calibri" w:cs="Calibri"/>
                            <w:color w:val="000000"/>
                            <w:sz w:val="18"/>
                            <w:szCs w:val="18"/>
                            <w:lang w:val="en-US"/>
                          </w:rPr>
                          <w:t>E</w:t>
                        </w:r>
                      </w:p>
                    </w:txbxContent>
                  </v:textbox>
                </v:rect>
                <v:rect id="Rectangle 64" o:spid="_x0000_s1108" style="position:absolute;left:15328;top:27195;width:623;height:2521;visibility:visible;mso-wrap-style:non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" filled="f" stroked="f">
                  <v:textbox style="mso-fit-shape-to-text:t" inset="0,0,0,0">
                    <w:txbxContent>
                      <w:p w14:paraId="46E820A5" w14:textId="77777777" w:rsidR="00F41E4D" w:rsidRDefault="00F41E4D" w:rsidP="00806598">
                        <w:r>
                          <w:rPr>
                            <w:rFonts w:ascii="Calibri" w:hAnsi="Calibri" w:cs="Calibri"/>
                            <w:color w:val="000000"/>
                            <w:sz w:val="18"/>
                            <w:szCs w:val="18"/>
                            <w:lang w:val="en-US"/>
                          </w:rPr>
                          <w:t>R</w:t>
                        </w:r>
                      </w:p>
                    </w:txbxContent>
                  </v:textbox>
                </v:rect>
                <v:line id="Line 65" o:spid="_x0000_s1109" style="position:absolute;visibility:visible;mso-wrap-style:square" from="16802,27982" to="19278,27982"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" strokecolor="#da7c30" strokeweight="1.05pt">
                  <v:stroke endcap="square"/>
                </v:line>
                <v:rect id="Rectangle 66" o:spid="_x0000_s1110" style="position:absolute;left:19850;top:27195;width:622;height:2521;visibility:visible;mso-wrap-style:non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" filled="f" stroked="f">
                  <v:textbox style="mso-fit-shape-to-text:t" inset="0,0,0,0">
                    <w:txbxContent>
                      <w:p w14:paraId="52392432" w14:textId="77777777" w:rsidR="00F41E4D" w:rsidRDefault="00F41E4D" w:rsidP="00806598">
                        <w:r>
                          <w:rPr>
                            <w:rFonts w:ascii="Calibri" w:hAnsi="Calibri" w:cs="Calibri"/>
                            <w:color w:val="000000"/>
                            <w:sz w:val="18"/>
                            <w:szCs w:val="18"/>
                            <w:lang w:val="en-US"/>
                          </w:rPr>
                          <w:t>B</w:t>
                        </w:r>
                      </w:p>
                    </w:txbxContent>
                  </v:textbox>
                </v:rect>
                <v:rect id="Rectangle 67" o:spid="_x0000_s1111" style="position:absolute;left:20427;top:27195;width:559;height:2521;visibility:visible;mso-wrap-style:non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" filled="f" stroked="f">
                  <v:textbox style="mso-fit-shape-to-text:t" inset="0,0,0,0">
                    <w:txbxContent>
                      <w:p w14:paraId="752E6C3A" w14:textId="77777777" w:rsidR="00F41E4D" w:rsidRDefault="00F41E4D" w:rsidP="00806598">
                        <w:r>
                          <w:rPr>
                            <w:rFonts w:ascii="Calibri" w:hAnsi="Calibri" w:cs="Calibri"/>
                            <w:color w:val="000000"/>
                            <w:sz w:val="18"/>
                            <w:szCs w:val="18"/>
                            <w:lang w:val="en-US"/>
                          </w:rPr>
                          <w:t>E</w:t>
                        </w:r>
                      </w:p>
                    </w:txbxContent>
                  </v:textbox>
                </v:rect>
                <v:rect id="Rectangle 68" o:spid="_x0000_s1112" style="position:absolute;left:20935;top:27195;width:559;height:2521;visibility:visible;mso-wrap-style:non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" filled="f" stroked="f">
                  <v:textbox style="mso-fit-shape-to-text:t" inset="0,0,0,0">
                    <w:txbxContent>
                      <w:p w14:paraId="10FAD3A6" w14:textId="77777777" w:rsidR="00F41E4D" w:rsidRDefault="00F41E4D" w:rsidP="00806598">
                        <w:r>
                          <w:rPr>
                            <w:rFonts w:ascii="Calibri" w:hAnsi="Calibri" w:cs="Calibri"/>
                            <w:color w:val="000000"/>
                            <w:sz w:val="18"/>
                            <w:szCs w:val="18"/>
                            <w:lang w:val="en-US"/>
                          </w:rPr>
                          <w:t>E</w:t>
                        </w:r>
                      </w:p>
                    </w:txbxContent>
                  </v:textbox>
                </v:rect>
                <v:rect id="Rectangle 69" o:spid="_x0000_s1113" style="position:absolute;left:21450;top:27195;width:622;height:2521;visibility:visible;mso-wrap-style:non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" filled="f" stroked="f">
                  <v:textbox style="mso-fit-shape-to-text:t" inset="0,0,0,0">
                    <w:txbxContent>
                      <w:p w14:paraId="01965469" w14:textId="77777777" w:rsidR="00F41E4D" w:rsidRDefault="00F41E4D" w:rsidP="00806598">
                        <w:r>
                          <w:rPr>
                            <w:rFonts w:ascii="Calibri" w:hAnsi="Calibri" w:cs="Calibri"/>
                            <w:color w:val="000000"/>
                            <w:sz w:val="18"/>
                            <w:szCs w:val="18"/>
                            <w:lang w:val="en-US"/>
                          </w:rPr>
                          <w:t>R</w:t>
                        </w:r>
                      </w:p>
                    </w:txbxContent>
                  </v:textbox>
                </v:rect>
                <v:line id="Line 70" o:spid="_x0000_s1114" style="position:absolute;visibility:visible;mso-wrap-style:square" from="22923,27982" to="25400,27982"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" strokecolor="#3e9651" strokeweight="1.05pt">
                  <v:stroke endcap="square"/>
                </v:line>
                <v:rect id="Rectangle 71" o:spid="_x0000_s1115" style="position:absolute;left:25971;top:27195;width:978;height:2521;visibility:visible;mso-wrap-style:non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" filled="f" stroked="f">
                  <v:textbox style="mso-fit-shape-to-text:t" inset="0,0,0,0">
                    <w:txbxContent>
                      <w:p w14:paraId="7F30F018" w14:textId="77777777" w:rsidR="00F41E4D" w:rsidRDefault="00F41E4D" w:rsidP="00806598">
                        <w:r>
                          <w:rPr>
                            <w:rFonts w:ascii="Calibri" w:hAnsi="Calibri" w:cs="Calibri"/>
                            <w:color w:val="000000"/>
                            <w:sz w:val="18"/>
                            <w:szCs w:val="18"/>
                            <w:lang w:val="en-US"/>
                          </w:rPr>
                          <w:t>M</w:t>
                        </w:r>
                      </w:p>
                    </w:txbxContent>
                  </v:textbox>
                </v:rect>
                <v:rect id="Rectangle 72" o:spid="_x0000_s1116" style="position:absolute;left:26835;top:27195;width:292;height:2521;visibility:visible;mso-wrap-style:non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" filled="f" stroked="f">
                  <v:textbox style="mso-fit-shape-to-text:t" inset="0,0,0,0">
                    <w:txbxContent>
                      <w:p w14:paraId="1377D284" w14:textId="77777777" w:rsidR="00F41E4D" w:rsidRDefault="00F41E4D" w:rsidP="00806598">
                        <w:r>
                          <w:rPr>
                            <w:rFonts w:ascii="Calibri" w:hAnsi="Calibri" w:cs="Calibri"/>
                            <w:color w:val="000000"/>
                            <w:sz w:val="18"/>
                            <w:szCs w:val="18"/>
                            <w:lang w:val="en-US"/>
                          </w:rPr>
                          <w:t>I</w:t>
                        </w:r>
                      </w:p>
                    </w:txbxContent>
                  </v:textbox>
                </v:rect>
                <v:rect id="Rectangle 73" o:spid="_x0000_s1117" style="position:absolute;left:27127;top:27195;width:527;height:2521;visibility:visible;mso-wrap-style:non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" filled="f" stroked="f">
                  <v:textbox style="mso-fit-shape-to-text:t" inset="0,0,0,0">
                    <w:txbxContent>
                      <w:p w14:paraId="76D3D277" w14:textId="77777777" w:rsidR="00F41E4D" w:rsidRDefault="00F41E4D" w:rsidP="00806598">
                        <w:r>
                          <w:rPr>
                            <w:rFonts w:ascii="Calibri" w:hAnsi="Calibri" w:cs="Calibri"/>
                            <w:color w:val="000000"/>
                            <w:sz w:val="18"/>
                            <w:szCs w:val="18"/>
                            <w:lang w:val="en-US"/>
                          </w:rPr>
                          <w:t>S</w:t>
                        </w:r>
                      </w:p>
                    </w:txbxContent>
                  </v:textbox>
                </v:rect>
                <v:rect id="Rectangle 74" o:spid="_x0000_s1118" style="position:absolute;left:27647;top:27195;width:667;height:2521;visibility:visible;mso-wrap-style:non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" filled="f" stroked="f">
                  <v:textbox style="mso-fit-shape-to-text:t" inset="0,0,0,0">
                    <w:txbxContent>
                      <w:p w14:paraId="373E0822" w14:textId="77777777" w:rsidR="00F41E4D" w:rsidRDefault="00F41E4D" w:rsidP="00806598">
                        <w:r>
                          <w:rPr>
                            <w:rFonts w:ascii="Calibri" w:hAnsi="Calibri" w:cs="Calibri"/>
                            <w:color w:val="000000"/>
                            <w:sz w:val="18"/>
                            <w:szCs w:val="18"/>
                            <w:lang w:val="en-US"/>
                          </w:rPr>
                          <w:t>A</w:t>
                        </w:r>
                      </w:p>
                    </w:txbxContent>
                  </v:textbox>
                </v:rect>
                <v:rect id="Rectangle 75" o:spid="_x0000_s1119" style="position:absolute;left:28301;top:27195;width:483;height:2521;visibility:visible;mso-wrap-style:non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" filled="f" stroked="f">
                  <v:textbox style="mso-fit-shape-to-text:t" inset="0,0,0,0">
                    <w:txbxContent>
                      <w:p w14:paraId="61CABF37" w14:textId="77777777" w:rsidR="00F41E4D" w:rsidRDefault="00F41E4D" w:rsidP="00806598">
                        <w:r>
                          <w:rPr>
                            <w:rFonts w:ascii="Calibri" w:hAnsi="Calibri" w:cs="Calibri"/>
                            <w:color w:val="000000"/>
                            <w:sz w:val="18"/>
                            <w:szCs w:val="18"/>
                            <w:lang w:val="en-US"/>
                          </w:rPr>
                          <w:t>L</w:t>
                        </w:r>
                      </w:p>
                    </w:txbxContent>
                  </v:textbox>
                </v:rect>
                <v:rect id="Rectangle 76" o:spid="_x0000_s1120" style="position:absolute;left:28740;top:27195;width:292;height:2521;visibility:visible;mso-wrap-style:non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" filled="f" stroked="f">
                  <v:textbox style="mso-fit-shape-to-text:t" inset="0,0,0,0">
                    <w:txbxContent>
                      <w:p w14:paraId="3A168A08" w14:textId="77777777" w:rsidR="00F41E4D" w:rsidRDefault="00F41E4D" w:rsidP="00806598">
                        <w:r>
                          <w:rPr>
                            <w:rFonts w:ascii="Calibri" w:hAnsi="Calibri" w:cs="Calibri"/>
                            <w:color w:val="000000"/>
                            <w:sz w:val="18"/>
                            <w:szCs w:val="18"/>
                            <w:lang w:val="en-US"/>
                          </w:rPr>
                          <w:t>I</w:t>
                        </w:r>
                      </w:p>
                    </w:txbxContent>
                  </v:textbox>
                </v:rect>
                <v:rect id="Rectangle 77" o:spid="_x0000_s1121" style="position:absolute;left:29038;top:27195;width:724;height:2521;visibility:visible;mso-wrap-style:non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" filled="f" stroked="f">
                  <v:textbox style="mso-fit-shape-to-text:t" inset="0,0,0,0">
                    <w:txbxContent>
                      <w:p w14:paraId="0DBA21B6" w14:textId="77777777" w:rsidR="00F41E4D" w:rsidRDefault="00F41E4D" w:rsidP="00806598">
                        <w:r>
                          <w:rPr>
                            <w:rFonts w:ascii="Calibri" w:hAnsi="Calibri" w:cs="Calibri"/>
                            <w:color w:val="000000"/>
                            <w:sz w:val="18"/>
                            <w:szCs w:val="18"/>
                            <w:lang w:val="en-US"/>
                          </w:rPr>
                          <w:t>G</w:t>
                        </w:r>
                      </w:p>
                    </w:txbxContent>
                  </v:textbox>
                </v:rect>
                <v:rect id="Rectangle 78" o:spid="_x0000_s1122" style="position:absolute;left:29692;top:27195;width:743;height:2521;visibility:visible;mso-wrap-style:non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" filled="f" stroked="f">
                  <v:textbox style="mso-fit-shape-to-text:t" inset="0,0,0,0">
                    <w:txbxContent>
                      <w:p w14:paraId="38ABFD90" w14:textId="77777777" w:rsidR="00F41E4D" w:rsidRDefault="00F41E4D" w:rsidP="00806598">
                        <w:r>
                          <w:rPr>
                            <w:rFonts w:ascii="Calibri" w:hAnsi="Calibri" w:cs="Calibri"/>
                            <w:color w:val="000000"/>
                            <w:sz w:val="18"/>
                            <w:szCs w:val="18"/>
                            <w:lang w:val="en-US"/>
                          </w:rPr>
                          <w:t>N</w:t>
                        </w:r>
                      </w:p>
                    </w:txbxContent>
                  </v:textbox>
                </v:rect>
                <v:rect id="Rectangle 79" o:spid="_x0000_s1123" style="position:absolute;left:30416;top:27195;width:978;height:2521;visibility:visible;mso-wrap-style:non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" filled="f" stroked="f">
                  <v:textbox style="mso-fit-shape-to-text:t" inset="0,0,0,0">
                    <w:txbxContent>
                      <w:p w14:paraId="392B4ADD" w14:textId="77777777" w:rsidR="00F41E4D" w:rsidRDefault="00F41E4D" w:rsidP="00806598">
                        <w:r>
                          <w:rPr>
                            <w:rFonts w:ascii="Calibri" w:hAnsi="Calibri" w:cs="Calibri"/>
                            <w:color w:val="000000"/>
                            <w:sz w:val="18"/>
                            <w:szCs w:val="18"/>
                            <w:lang w:val="en-US"/>
                          </w:rPr>
                          <w:t>M</w:t>
                        </w:r>
                      </w:p>
                    </w:txbxContent>
                  </v:textbox>
                </v:rect>
                <v:rect id="Rectangle 80" o:spid="_x0000_s1124" style="position:absolute;left:31292;top:27195;width:559;height:2521;visibility:visible;mso-wrap-style:non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" filled="f" stroked="f">
                  <v:textbox style="mso-fit-shape-to-text:t" inset="0,0,0,0">
                    <w:txbxContent>
                      <w:p w14:paraId="4CE3DA0C" w14:textId="77777777" w:rsidR="00F41E4D" w:rsidRDefault="00F41E4D" w:rsidP="00806598">
                        <w:r>
                          <w:rPr>
                            <w:rFonts w:ascii="Calibri" w:hAnsi="Calibri" w:cs="Calibri"/>
                            <w:color w:val="000000"/>
                            <w:sz w:val="18"/>
                            <w:szCs w:val="18"/>
                            <w:lang w:val="en-US"/>
                          </w:rPr>
                          <w:t>E</w:t>
                        </w:r>
                      </w:p>
                    </w:txbxContent>
                  </v:textbox>
                </v:rect>
                <v:rect id="Rectangle 81" o:spid="_x0000_s1125" style="position:absolute;left:31800;top:27195;width:743;height:2521;visibility:visible;mso-wrap-style:non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" filled="f" stroked="f">
                  <v:textbox style="mso-fit-shape-to-text:t" inset="0,0,0,0">
                    <w:txbxContent>
                      <w:p w14:paraId="5C30EF6D" w14:textId="77777777" w:rsidR="00F41E4D" w:rsidRDefault="00F41E4D" w:rsidP="00806598">
                        <w:r>
                          <w:rPr>
                            <w:rFonts w:ascii="Calibri" w:hAnsi="Calibri" w:cs="Calibri"/>
                            <w:color w:val="000000"/>
                            <w:sz w:val="18"/>
                            <w:szCs w:val="18"/>
                            <w:lang w:val="en-US"/>
                          </w:rPr>
                          <w:t>N</w:t>
                        </w:r>
                      </w:p>
                    </w:txbxContent>
                  </v:textbox>
                </v:rect>
                <v:rect id="Rectangle 82" o:spid="_x0000_s1126" style="position:absolute;left:32537;top:27195;width:559;height:2521;visibility:visible;mso-wrap-style:non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" filled="f" stroked="f">
                  <v:textbox style="mso-fit-shape-to-text:t" inset="0,0,0,0">
                    <w:txbxContent>
                      <w:p w14:paraId="5C5E061B" w14:textId="77777777" w:rsidR="00F41E4D" w:rsidRDefault="00F41E4D" w:rsidP="00806598">
                        <w:r>
                          <w:rPr>
                            <w:rFonts w:ascii="Calibri" w:hAnsi="Calibri" w:cs="Calibri"/>
                            <w:color w:val="000000"/>
                            <w:sz w:val="18"/>
                            <w:szCs w:val="18"/>
                            <w:lang w:val="en-US"/>
                          </w:rPr>
                          <w:t>T</w:t>
                        </w:r>
                      </w:p>
                    </w:txbxContent>
                  </v:textbox>
                </v:rect>
                <v:rect id="Rectangle 83" o:spid="_x0000_s1127" style="position:absolute;left:8318;top:359;width:876;height:2858;visibility:visible;mso-wrap-style:non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" filled="f" stroked="f">
                  <v:textbox style="mso-fit-shape-to-text:t" inset="0,0,0,0">
                    <w:txbxContent>
                      <w:p w14:paraId="1E1D2E06" w14:textId="77777777" w:rsidR="00F41E4D" w:rsidRDefault="00F41E4D" w:rsidP="00806598">
                        <w:r>
                          <w:rPr>
                            <w:rFonts w:ascii="Calibri" w:hAnsi="Calibri" w:cs="Calibri"/>
                            <w:color w:val="000000"/>
                            <w:lang w:val="en-US"/>
                          </w:rPr>
                          <w:t>H</w:t>
                        </w:r>
                      </w:p>
                    </w:txbxContent>
                  </v:textbox>
                </v:rect>
                <v:rect id="Rectangle 84" o:spid="_x0000_s1128" style="position:absolute;left:9188;top:359;width:743;height:2858;visibility:visible;mso-wrap-style:non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" filled="f" stroked="f">
                  <v:textbox style="mso-fit-shape-to-text:t" inset="0,0,0,0">
                    <w:txbxContent>
                      <w:p w14:paraId="607B6B74" w14:textId="77777777" w:rsidR="00F41E4D" w:rsidRDefault="00F41E4D" w:rsidP="00806598">
                        <w:r>
                          <w:rPr>
                            <w:rFonts w:ascii="Calibri" w:hAnsi="Calibri" w:cs="Calibri"/>
                            <w:color w:val="000000"/>
                            <w:lang w:val="en-US"/>
                          </w:rPr>
                          <w:t>o</w:t>
                        </w:r>
                      </w:p>
                    </w:txbxContent>
                  </v:textbox>
                </v:rect>
                <v:rect id="Rectangle 85" o:spid="_x0000_s1129" style="position:absolute;left:9988;top:359;width:737;height:2858;visibility:visible;mso-wrap-style:non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" filled="f" stroked="f">
                  <v:textbox style="mso-fit-shape-to-text:t" inset="0,0,0,0">
                    <w:txbxContent>
                      <w:p w14:paraId="79D621B8" w14:textId="77777777" w:rsidR="00F41E4D" w:rsidRDefault="00F41E4D" w:rsidP="00806598">
                        <w:r>
                          <w:rPr>
                            <w:rFonts w:ascii="Calibri" w:hAnsi="Calibri" w:cs="Calibri"/>
                            <w:color w:val="000000"/>
                            <w:lang w:val="en-US"/>
                          </w:rPr>
                          <w:t>d</w:t>
                        </w:r>
                      </w:p>
                    </w:txbxContent>
                  </v:textbox>
                </v:rect>
                <v:rect id="Rectangle 86" o:spid="_x0000_s1130" style="position:absolute;left:10788;top:359;width:489;height:2858;visibility:visible;mso-wrap-style:non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" filled="f" stroked="f">
                  <v:textbox style="mso-fit-shape-to-text:t" inset="0,0,0,0">
                    <w:txbxContent>
                      <w:p w14:paraId="26D89538" w14:textId="77777777" w:rsidR="00F41E4D" w:rsidRDefault="00F41E4D" w:rsidP="00806598">
                        <w:r>
                          <w:rPr>
                            <w:rFonts w:ascii="Calibri" w:hAnsi="Calibri" w:cs="Calibri"/>
                            <w:color w:val="000000"/>
                            <w:lang w:val="en-US"/>
                          </w:rPr>
                          <w:t>r</w:t>
                        </w:r>
                      </w:p>
                    </w:txbxContent>
                  </v:textbox>
                </v:rect>
                <v:rect id="Rectangle 87" o:spid="_x0000_s1131" style="position:absolute;left:11296;top:359;width:324;height:2858;visibility:visible;mso-wrap-style:non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" filled="f" stroked="f">
                  <v:textbox style="mso-fit-shape-to-text:t" inset="0,0,0,0">
                    <w:txbxContent>
                      <w:p w14:paraId="5DE1451B" w14:textId="77777777" w:rsidR="00F41E4D" w:rsidRDefault="00F41E4D" w:rsidP="00806598">
                        <w:r>
                          <w:rPr>
                            <w:rFonts w:ascii="Calibri" w:hAnsi="Calibri" w:cs="Calibri"/>
                            <w:color w:val="000000"/>
                            <w:lang w:val="en-US"/>
                          </w:rPr>
                          <w:t>i</w:t>
                        </w:r>
                      </w:p>
                    </w:txbxContent>
                  </v:textbox>
                </v:rect>
                <v:rect id="Rectangle 88" o:spid="_x0000_s1132" style="position:absolute;left:11664;top:359;width:597;height:2858;visibility:visible;mso-wrap-style:non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" filled="f" stroked="f">
                  <v:textbox style="mso-fit-shape-to-text:t" inset="0,0,0,0">
                    <w:txbxContent>
                      <w:p w14:paraId="26250CC1" w14:textId="77777777" w:rsidR="00F41E4D" w:rsidRDefault="00F41E4D" w:rsidP="00806598">
                        <w:r>
                          <w:rPr>
                            <w:rFonts w:ascii="Calibri" w:hAnsi="Calibri" w:cs="Calibri"/>
                            <w:color w:val="000000"/>
                            <w:lang w:val="en-US"/>
                          </w:rPr>
                          <w:t>c</w:t>
                        </w:r>
                      </w:p>
                    </w:txbxContent>
                  </v:textbox>
                </v:rect>
                <v:rect id="Rectangle 89" o:spid="_x0000_s1133" style="position:absolute;left:12242;top:359;width:642;height:2858;visibility:visible;mso-wrap-style:non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" filled="f" stroked="f">
                  <v:textbox style="mso-fit-shape-to-text:t" inset="0,0,0,0">
                    <w:txbxContent>
                      <w:p w14:paraId="766709D3" w14:textId="77777777" w:rsidR="00F41E4D" w:rsidRDefault="00F41E4D" w:rsidP="00806598">
                        <w:r>
                          <w:rPr>
                            <w:rFonts w:ascii="Calibri" w:hAnsi="Calibri" w:cs="Calibri"/>
                            <w:color w:val="000000"/>
                            <w:lang w:val="en-US"/>
                          </w:rPr>
                          <w:t>k</w:t>
                        </w:r>
                      </w:p>
                    </w:txbxContent>
                  </v:textbox>
                </v:rect>
                <v:rect id="Rectangle 90" o:spid="_x0000_s1134" style="position:absolute;left:12896;top:359;width:432;height:2858;visibility:visible;mso-wrap-style:non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" filled="f" stroked="f">
                  <v:textbox style="mso-fit-shape-to-text:t" inset="0,0,0,0">
                    <w:txbxContent>
                      <w:p w14:paraId="69F0C8F4" w14:textId="77777777" w:rsidR="00F41E4D" w:rsidRDefault="00F41E4D" w:rsidP="00806598">
                        <w:r>
                          <w:rPr>
                            <w:rFonts w:ascii="Calibri" w:hAnsi="Calibri" w:cs="Calibri"/>
                            <w:color w:val="000000"/>
                            <w:lang w:val="en-US"/>
                          </w:rPr>
                          <w:t>-</w:t>
                        </w:r>
                      </w:p>
                    </w:txbxContent>
                  </v:textbox>
                </v:rect>
                <v:rect id="Rectangle 91" o:spid="_x0000_s1135" style="position:absolute;left:13328;top:359;width:724;height:2858;visibility:visible;mso-wrap-style:non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" filled="f" stroked="f">
                  <v:textbox style="mso-fit-shape-to-text:t" inset="0,0,0,0">
                    <w:txbxContent>
                      <w:p w14:paraId="555A28A8" w14:textId="77777777" w:rsidR="00F41E4D" w:rsidRDefault="00F41E4D" w:rsidP="00806598">
                        <w:r>
                          <w:rPr>
                            <w:rFonts w:ascii="Calibri" w:hAnsi="Calibri" w:cs="Calibri"/>
                            <w:color w:val="000000"/>
                            <w:lang w:val="en-US"/>
                          </w:rPr>
                          <w:t>P</w:t>
                        </w:r>
                      </w:p>
                    </w:txbxContent>
                  </v:textbox>
                </v:rect>
                <v:rect id="Rectangle 92" o:spid="_x0000_s1136" style="position:absolute;left:14052;top:359;width:489;height:2858;visibility:visible;mso-wrap-style:non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" filled="f" stroked="f">
                  <v:textbox style="mso-fit-shape-to-text:t" inset="0,0,0,0">
                    <w:txbxContent>
                      <w:p w14:paraId="7ED6A412" w14:textId="77777777" w:rsidR="00F41E4D" w:rsidRDefault="00F41E4D" w:rsidP="00806598">
                        <w:r>
                          <w:rPr>
                            <w:rFonts w:ascii="Calibri" w:hAnsi="Calibri" w:cs="Calibri"/>
                            <w:color w:val="000000"/>
                            <w:lang w:val="en-US"/>
                          </w:rPr>
                          <w:t>r</w:t>
                        </w:r>
                      </w:p>
                    </w:txbxContent>
                  </v:textbox>
                </v:rect>
                <v:rect id="Rectangle 93" o:spid="_x0000_s1137" style="position:absolute;left:14566;top:359;width:699;height:2858;visibility:visible;mso-wrap-style:non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" filled="f" stroked="f">
                  <v:textbox style="mso-fit-shape-to-text:t" inset="0,0,0,0">
                    <w:txbxContent>
                      <w:p w14:paraId="0B614E16" w14:textId="77777777" w:rsidR="00F41E4D" w:rsidRDefault="00F41E4D" w:rsidP="00806598">
                        <w:r>
                          <w:rPr>
                            <w:rFonts w:ascii="Calibri" w:hAnsi="Calibri" w:cs="Calibri"/>
                            <w:color w:val="000000"/>
                            <w:lang w:val="en-US"/>
                          </w:rPr>
                          <w:t>e</w:t>
                        </w:r>
                      </w:p>
                    </w:txbxContent>
                  </v:textbox>
                </v:rect>
                <v:rect id="Rectangle 94" o:spid="_x0000_s1138" style="position:absolute;left:15290;top:359;width:553;height:2858;visibility:visible;mso-wrap-style:non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" filled="f" stroked="f">
                  <v:textbox style="mso-fit-shape-to-text:t" inset="0,0,0,0">
                    <w:txbxContent>
                      <w:p w14:paraId="2EFD6C19" w14:textId="77777777" w:rsidR="00F41E4D" w:rsidRDefault="00F41E4D" w:rsidP="00806598">
                        <w:r>
                          <w:rPr>
                            <w:rFonts w:ascii="Calibri" w:hAnsi="Calibri" w:cs="Calibri"/>
                            <w:color w:val="000000"/>
                            <w:lang w:val="en-US"/>
                          </w:rPr>
                          <w:t>s</w:t>
                        </w:r>
                      </w:p>
                    </w:txbxContent>
                  </v:textbox>
                </v:rect>
                <v:rect id="Rectangle 95" o:spid="_x0000_s1139" style="position:absolute;left:15868;top:359;width:597;height:2858;visibility:visible;mso-wrap-style:non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" filled="f" stroked="f">
                  <v:textbox style="mso-fit-shape-to-text:t" inset="0,0,0,0">
                    <w:txbxContent>
                      <w:p w14:paraId="4B28C735" w14:textId="77777777" w:rsidR="00F41E4D" w:rsidRDefault="00F41E4D" w:rsidP="00806598">
                        <w:r>
                          <w:rPr>
                            <w:rFonts w:ascii="Calibri" w:hAnsi="Calibri" w:cs="Calibri"/>
                            <w:color w:val="000000"/>
                            <w:lang w:val="en-US"/>
                          </w:rPr>
                          <w:t>c</w:t>
                        </w:r>
                      </w:p>
                    </w:txbxContent>
                  </v:textbox>
                </v:rect>
                <v:rect id="Rectangle 96" o:spid="_x0000_s1140" style="position:absolute;left:16446;top:359;width:743;height:2858;visibility:visible;mso-wrap-style:non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" filled="f" stroked="f">
                  <v:textbox style="mso-fit-shape-to-text:t" inset="0,0,0,0">
                    <w:txbxContent>
                      <w:p w14:paraId="766F2B12" w14:textId="77777777" w:rsidR="00F41E4D" w:rsidRDefault="00F41E4D" w:rsidP="00806598">
                        <w:r>
                          <w:rPr>
                            <w:rFonts w:ascii="Calibri" w:hAnsi="Calibri" w:cs="Calibri"/>
                            <w:color w:val="000000"/>
                            <w:lang w:val="en-US"/>
                          </w:rPr>
                          <w:t>o</w:t>
                        </w:r>
                      </w:p>
                    </w:txbxContent>
                  </v:textbox>
                </v:rect>
                <v:rect id="Rectangle 97" o:spid="_x0000_s1141" style="position:absolute;left:17246;top:359;width:470;height:2858;visibility:visible;mso-wrap-style:non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" filled="f" stroked="f">
                  <v:textbox style="mso-fit-shape-to-text:t" inset="0,0,0,0">
                    <w:txbxContent>
                      <w:p w14:paraId="21D4442E" w14:textId="77777777" w:rsidR="00F41E4D" w:rsidRDefault="00F41E4D" w:rsidP="00806598">
                        <w:r>
                          <w:rPr>
                            <w:rFonts w:ascii="Calibri" w:hAnsi="Calibri" w:cs="Calibri"/>
                            <w:color w:val="000000"/>
                            <w:lang w:val="en-US"/>
                          </w:rPr>
                          <w:t>t</w:t>
                        </w:r>
                      </w:p>
                    </w:txbxContent>
                  </v:textbox>
                </v:rect>
                <v:rect id="Rectangle 98" o:spid="_x0000_s1142" style="position:absolute;left:17754;top:359;width:470;height:2858;visibility:visible;mso-wrap-style:non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" filled="f" stroked="f">
                  <v:textbox style="mso-fit-shape-to-text:t" inset="0,0,0,0">
                    <w:txbxContent>
                      <w:p w14:paraId="67486F40" w14:textId="77777777" w:rsidR="00F41E4D" w:rsidRDefault="00F41E4D" w:rsidP="00806598">
                        <w:r>
                          <w:rPr>
                            <w:rFonts w:ascii="Calibri" w:hAnsi="Calibri" w:cs="Calibri"/>
                            <w:color w:val="000000"/>
                            <w:lang w:val="en-US"/>
                          </w:rPr>
                          <w:t>t</w:t>
                        </w:r>
                      </w:p>
                    </w:txbxContent>
                  </v:textbox>
                </v:rect>
                <v:rect id="Rectangle 99" o:spid="_x0000_s1143" style="position:absolute;left:18268;top:359;width:318;height:2858;visibility:visible;mso-wrap-style:non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" filled="f" stroked="f">
                  <v:textbox style="mso-fit-shape-to-text:t" inset="0,0,0,0">
                    <w:txbxContent>
                      <w:p w14:paraId="60E0E295" w14:textId="77777777" w:rsidR="00F41E4D" w:rsidRDefault="00F41E4D" w:rsidP="00806598">
                        <w:r>
                          <w:rPr>
                            <w:rFonts w:ascii="Calibri" w:hAnsi="Calibri" w:cs="Calibri"/>
                            <w:color w:val="000000"/>
                            <w:lang w:val="en-US"/>
                          </w:rPr>
                          <w:t xml:space="preserve"> </w:t>
                        </w:r>
                      </w:p>
                    </w:txbxContent>
                  </v:textbox>
                </v:rect>
                <v:rect id="Rectangle 100" o:spid="_x0000_s1144" style="position:absolute;left:18630;top:359;width:648;height:2858;visibility:visible;mso-wrap-style:non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" filled="f" stroked="f">
                  <v:textbox style="mso-fit-shape-to-text:t" inset="0,0,0,0">
                    <w:txbxContent>
                      <w:p w14:paraId="2E616365" w14:textId="77777777" w:rsidR="00F41E4D" w:rsidRDefault="00F41E4D" w:rsidP="00806598">
                        <w:r>
                          <w:rPr>
                            <w:rFonts w:ascii="Calibri" w:hAnsi="Calibri" w:cs="Calibri"/>
                            <w:color w:val="000000"/>
                            <w:lang w:val="en-US"/>
                          </w:rPr>
                          <w:t>F</w:t>
                        </w:r>
                      </w:p>
                    </w:txbxContent>
                  </v:textbox>
                </v:rect>
                <v:rect id="Rectangle 101" o:spid="_x0000_s1145" style="position:absolute;left:19291;top:359;width:324;height:2858;visibility:visible;mso-wrap-style:non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" filled="f" stroked="f">
                  <v:textbox style="mso-fit-shape-to-text:t" inset="0,0,0,0">
                    <w:txbxContent>
                      <w:p w14:paraId="692ED76E" w14:textId="77777777" w:rsidR="00F41E4D" w:rsidRDefault="00F41E4D" w:rsidP="00806598">
                        <w:r>
                          <w:rPr>
                            <w:rFonts w:ascii="Calibri" w:hAnsi="Calibri" w:cs="Calibri"/>
                            <w:color w:val="000000"/>
                            <w:lang w:val="en-US"/>
                          </w:rPr>
                          <w:t>i</w:t>
                        </w:r>
                      </w:p>
                    </w:txbxContent>
                  </v:textbox>
                </v:rect>
                <v:rect id="Rectangle 102" o:spid="_x0000_s1146" style="position:absolute;left:19653;top:359;width:324;height:2858;visibility:visible;mso-wrap-style:non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" filled="f" stroked="f">
                  <v:textbox style="mso-fit-shape-to-text:t" inset="0,0,0,0">
                    <w:txbxContent>
                      <w:p w14:paraId="450B8A93" w14:textId="77777777" w:rsidR="00F41E4D" w:rsidRDefault="00F41E4D" w:rsidP="00806598">
                        <w:r>
                          <w:rPr>
                            <w:rFonts w:ascii="Calibri" w:hAnsi="Calibri" w:cs="Calibri"/>
                            <w:color w:val="000000"/>
                            <w:lang w:val="en-US"/>
                          </w:rPr>
                          <w:t>l</w:t>
                        </w:r>
                      </w:p>
                    </w:txbxContent>
                  </v:textbox>
                </v:rect>
                <v:rect id="Rectangle 103" o:spid="_x0000_s1147" style="position:absolute;left:20021;top:359;width:470;height:2858;visibility:visible;mso-wrap-style:non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" filled="f" stroked="f">
                  <v:textbox style="mso-fit-shape-to-text:t" inset="0,0,0,0">
                    <w:txbxContent>
                      <w:p w14:paraId="66D00DA8" w14:textId="77777777" w:rsidR="00F41E4D" w:rsidRDefault="00F41E4D" w:rsidP="00806598">
                        <w:r>
                          <w:rPr>
                            <w:rFonts w:ascii="Calibri" w:hAnsi="Calibri" w:cs="Calibri"/>
                            <w:color w:val="000000"/>
                            <w:lang w:val="en-US"/>
                          </w:rPr>
                          <w:t>t</w:t>
                        </w:r>
                      </w:p>
                    </w:txbxContent>
                  </v:textbox>
                </v:rect>
                <v:rect id="Rectangle 104" o:spid="_x0000_s1148" style="position:absolute;left:20535;top:359;width:699;height:2858;visibility:visible;mso-wrap-style:non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" filled="f" stroked="f">
                  <v:textbox style="mso-fit-shape-to-text:t" inset="0,0,0,0">
                    <w:txbxContent>
                      <w:p w14:paraId="56A8C138" w14:textId="77777777" w:rsidR="00F41E4D" w:rsidRDefault="00F41E4D" w:rsidP="00806598">
                        <w:r>
                          <w:rPr>
                            <w:rFonts w:ascii="Calibri" w:hAnsi="Calibri" w:cs="Calibri"/>
                            <w:color w:val="000000"/>
                            <w:lang w:val="en-US"/>
                          </w:rPr>
                          <w:t>e</w:t>
                        </w:r>
                      </w:p>
                    </w:txbxContent>
                  </v:textbox>
                </v:rect>
                <v:rect id="Rectangle 105" o:spid="_x0000_s1149" style="position:absolute;left:21253;top:359;width:489;height:2858;visibility:visible;mso-wrap-style:non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" filled="f" stroked="f">
                  <v:textbox style="mso-fit-shape-to-text:t" inset="0,0,0,0">
                    <w:txbxContent>
                      <w:p w14:paraId="23095D5C" w14:textId="77777777" w:rsidR="00F41E4D" w:rsidRDefault="00F41E4D" w:rsidP="00806598">
                        <w:r>
                          <w:rPr>
                            <w:rFonts w:ascii="Calibri" w:hAnsi="Calibri" w:cs="Calibri"/>
                            <w:color w:val="000000"/>
                            <w:lang w:val="en-US"/>
                          </w:rPr>
                          <w:t>r</w:t>
                        </w:r>
                      </w:p>
                    </w:txbxContent>
                  </v:textbox>
                </v:rect>
                <v:rect id="Rectangle 106" o:spid="_x0000_s1150" style="position:absolute;left:21767;top:359;width:318;height:2858;visibility:visible;mso-wrap-style:non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" filled="f" stroked="f">
                  <v:textbox style="mso-fit-shape-to-text:t" inset="0,0,0,0">
                    <w:txbxContent>
                      <w:p w14:paraId="394F47FF" w14:textId="77777777" w:rsidR="00F41E4D" w:rsidRDefault="00F41E4D" w:rsidP="00806598">
                        <w:r>
                          <w:rPr>
                            <w:rFonts w:ascii="Calibri" w:hAnsi="Calibri" w:cs="Calibri"/>
                            <w:color w:val="000000"/>
                            <w:lang w:val="en-US"/>
                          </w:rPr>
                          <w:t xml:space="preserve"> </w:t>
                        </w:r>
                      </w:p>
                    </w:txbxContent>
                  </v:textbox>
                </v:rect>
                <v:rect id="Rectangle 107" o:spid="_x0000_s1151" style="position:absolute;left:22136;top:359;width:425;height:2858;visibility:visible;mso-wrap-style:non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" filled="f" stroked="f">
                  <v:textbox style="mso-fit-shape-to-text:t" inset="0,0,0,0">
                    <w:txbxContent>
                      <w:p w14:paraId="3189D69B" w14:textId="77777777" w:rsidR="00F41E4D" w:rsidRDefault="00F41E4D" w:rsidP="00806598">
                        <w:r>
                          <w:rPr>
                            <w:rFonts w:ascii="Calibri" w:hAnsi="Calibri" w:cs="Calibri"/>
                            <w:color w:val="000000"/>
                            <w:lang w:val="en-US"/>
                          </w:rPr>
                          <w:t>(</w:t>
                        </w:r>
                      </w:p>
                    </w:txbxContent>
                  </v:textbox>
                </v:rect>
                <v:rect id="Rectangle 108" o:spid="_x0000_s1152" style="position:absolute;left:22567;top:359;width:324;height:2858;visibility:visible;mso-wrap-style:non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" filled="f" stroked="f">
                  <v:textbox style="mso-fit-shape-to-text:t" inset="0,0,0,0">
                    <w:txbxContent>
                      <w:p w14:paraId="0FFAD167" w14:textId="77777777" w:rsidR="00F41E4D" w:rsidRDefault="00F41E4D" w:rsidP="00806598">
                        <w:r>
                          <w:rPr>
                            <w:rFonts w:ascii="Calibri" w:hAnsi="Calibri" w:cs="Calibri"/>
                            <w:color w:val="000000"/>
                            <w:lang w:val="en-US"/>
                          </w:rPr>
                          <w:t>l</w:t>
                        </w:r>
                      </w:p>
                    </w:txbxContent>
                  </v:textbox>
                </v:rect>
                <v:rect id="Rectangle 109" o:spid="_x0000_s1153" style="position:absolute;left:22936;top:359;width:673;height:2858;visibility:visible;mso-wrap-style:non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" filled="f" stroked="f">
                  <v:textbox style="mso-fit-shape-to-text:t" inset="0,0,0,0">
                    <w:txbxContent>
                      <w:p w14:paraId="24400EC6" w14:textId="77777777" w:rsidR="00F41E4D" w:rsidRDefault="00F41E4D" w:rsidP="00806598">
                        <w:r>
                          <w:rPr>
                            <w:rFonts w:ascii="Calibri" w:hAnsi="Calibri" w:cs="Calibri"/>
                            <w:color w:val="000000"/>
                            <w:lang w:val="en-US"/>
                          </w:rPr>
                          <w:t>a</w:t>
                        </w:r>
                      </w:p>
                    </w:txbxContent>
                  </v:textbox>
                </v:rect>
                <v:rect id="Rectangle 110" o:spid="_x0000_s1154" style="position:absolute;left:23653;top:359;width:1118;height:2858;visibility:visible;mso-wrap-style:non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" filled="f" stroked="f">
                  <v:textbox style="mso-fit-shape-to-text:t" inset="0,0,0,0">
                    <w:txbxContent>
                      <w:p w14:paraId="488377CE" w14:textId="77777777" w:rsidR="00F41E4D" w:rsidRDefault="00F41E4D" w:rsidP="00806598">
                        <w:r>
                          <w:rPr>
                            <w:rFonts w:ascii="Calibri" w:hAnsi="Calibri" w:cs="Calibri"/>
                            <w:color w:val="000000"/>
                            <w:lang w:val="en-US"/>
                          </w:rPr>
                          <w:t>m</w:t>
                        </w:r>
                      </w:p>
                    </w:txbxContent>
                  </v:textbox>
                </v:rect>
                <v:rect id="Rectangle 111" o:spid="_x0000_s1155" style="position:absolute;left:24815;top:359;width:737;height:2858;visibility:visible;mso-wrap-style:non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" filled="f" stroked="f">
                  <v:textbox style="mso-fit-shape-to-text:t" inset="0,0,0,0">
                    <w:txbxContent>
                      <w:p w14:paraId="7697E450" w14:textId="77777777" w:rsidR="00F41E4D" w:rsidRDefault="00F41E4D" w:rsidP="00806598">
                        <w:r>
                          <w:rPr>
                            <w:rFonts w:ascii="Calibri" w:hAnsi="Calibri" w:cs="Calibri"/>
                            <w:color w:val="000000"/>
                            <w:lang w:val="en-US"/>
                          </w:rPr>
                          <w:t>b</w:t>
                        </w:r>
                      </w:p>
                    </w:txbxContent>
                  </v:textbox>
                </v:rect>
                <v:rect id="Rectangle 112" o:spid="_x0000_s1156" style="position:absolute;left:25615;top:359;width:737;height:2858;visibility:visible;mso-wrap-style:non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" filled="f" stroked="f">
                  <v:textbox style="mso-fit-shape-to-text:t" inset="0,0,0,0">
                    <w:txbxContent>
                      <w:p w14:paraId="3C1EC008" w14:textId="77777777" w:rsidR="00F41E4D" w:rsidRDefault="00F41E4D" w:rsidP="00806598">
                        <w:r>
                          <w:rPr>
                            <w:rFonts w:ascii="Calibri" w:hAnsi="Calibri" w:cs="Calibri"/>
                            <w:color w:val="000000"/>
                            <w:lang w:val="en-US"/>
                          </w:rPr>
                          <w:t>d</w:t>
                        </w:r>
                      </w:p>
                    </w:txbxContent>
                  </v:textbox>
                </v:rect>
                <v:rect id="Rectangle 113" o:spid="_x0000_s1157" style="position:absolute;left:26416;top:359;width:673;height:2858;visibility:visible;mso-wrap-style:non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" filled="f" stroked="f">
                  <v:textbox style="mso-fit-shape-to-text:t" inset="0,0,0,0">
                    <w:txbxContent>
                      <w:p w14:paraId="02B9CD33" w14:textId="77777777" w:rsidR="00F41E4D" w:rsidRDefault="00F41E4D" w:rsidP="00806598">
                        <w:r>
                          <w:rPr>
                            <w:rFonts w:ascii="Calibri" w:hAnsi="Calibri" w:cs="Calibri"/>
                            <w:color w:val="000000"/>
                            <w:lang w:val="en-US"/>
                          </w:rPr>
                          <w:t>a</w:t>
                        </w:r>
                      </w:p>
                    </w:txbxContent>
                  </v:textbox>
                </v:rect>
                <v:rect id="Rectangle 114" o:spid="_x0000_s1158" style="position:absolute;left:27133;top:359;width:699;height:2858;visibility:visible;mso-wrap-style:non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" filled="f" stroked="f">
                  <v:textbox style="mso-fit-shape-to-text:t" inset="0,0,0,0">
                    <w:txbxContent>
                      <w:p w14:paraId="2D01CC49" w14:textId="77777777" w:rsidR="00F41E4D" w:rsidRDefault="00F41E4D" w:rsidP="00806598">
                        <w:r>
                          <w:rPr>
                            <w:rFonts w:ascii="Calibri" w:hAnsi="Calibri" w:cs="Calibri"/>
                            <w:color w:val="000000"/>
                            <w:lang w:val="en-US"/>
                          </w:rPr>
                          <w:t>=</w:t>
                        </w:r>
                      </w:p>
                    </w:txbxContent>
                  </v:textbox>
                </v:rect>
                <v:rect id="Rectangle 115" o:spid="_x0000_s1159" style="position:absolute;left:27857;top:359;width:711;height:2858;visibility:visible;mso-wrap-style:non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" filled="f" stroked="f">
                  <v:textbox style="mso-fit-shape-to-text:t" inset="0,0,0,0">
                    <w:txbxContent>
                      <w:p w14:paraId="3906CD30" w14:textId="77777777" w:rsidR="00F41E4D" w:rsidRDefault="00F41E4D" w:rsidP="00806598">
                        <w:r>
                          <w:rPr>
                            <w:rFonts w:ascii="Calibri" w:hAnsi="Calibri" w:cs="Calibri"/>
                            <w:color w:val="000000"/>
                            <w:lang w:val="en-US"/>
                          </w:rPr>
                          <w:t>1</w:t>
                        </w:r>
                      </w:p>
                    </w:txbxContent>
                  </v:textbox>
                </v:rect>
                <v:rect id="Rectangle 116" o:spid="_x0000_s1160" style="position:absolute;left:28581;top:359;width:711;height:2858;visibility:visible;mso-wrap-style:non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" filled="f" stroked="f">
                  <v:textbox style="mso-fit-shape-to-text:t" inset="0,0,0,0">
                    <w:txbxContent>
                      <w:p w14:paraId="54FA6B8D" w14:textId="77777777" w:rsidR="00F41E4D" w:rsidRDefault="00F41E4D" w:rsidP="00806598">
                        <w:r>
                          <w:rPr>
                            <w:rFonts w:ascii="Calibri" w:hAnsi="Calibri" w:cs="Calibri"/>
                            <w:color w:val="000000"/>
                            <w:lang w:val="en-US"/>
                          </w:rPr>
                          <w:t>0</w:t>
                        </w:r>
                      </w:p>
                    </w:txbxContent>
                  </v:textbox>
                </v:rect>
                <v:rect id="Rectangle 117" o:spid="_x0000_s1161" style="position:absolute;left:29305;top:359;width:711;height:2858;visibility:visible;mso-wrap-style:non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" filled="f" stroked="f">
                  <v:textbox style="mso-fit-shape-to-text:t" inset="0,0,0,0">
                    <w:txbxContent>
                      <w:p w14:paraId="25FCD425" w14:textId="77777777" w:rsidR="00F41E4D" w:rsidRDefault="00F41E4D" w:rsidP="00806598">
                        <w:r>
                          <w:rPr>
                            <w:rFonts w:ascii="Calibri" w:hAnsi="Calibri" w:cs="Calibri"/>
                            <w:color w:val="000000"/>
                            <w:lang w:val="en-US"/>
                          </w:rPr>
                          <w:t>0</w:t>
                        </w:r>
                      </w:p>
                    </w:txbxContent>
                  </v:textbox>
                </v:rect>
                <v:rect id="Rectangle 118" o:spid="_x0000_s1162" style="position:absolute;left:30029;top:359;width:425;height:2858;visibility:visible;mso-wrap-style:non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" filled="f" stroked="f">
                  <v:textbox style="mso-fit-shape-to-text:t" inset="0,0,0,0">
                    <w:txbxContent>
                      <w:p w14:paraId="6F6353B3" w14:textId="77777777" w:rsidR="00F41E4D" w:rsidRDefault="00F41E4D" w:rsidP="00806598">
                        <w:r>
                          <w:rPr>
                            <w:rFonts w:ascii="Calibri" w:hAnsi="Calibri" w:cs="Calibri"/>
                            <w:color w:val="000000"/>
                            <w:lang w:val="en-US"/>
                          </w:rPr>
                          <w:t>)</w:t>
                        </w:r>
                      </w:p>
                    </w:txbxContent>
                  </v:textbox>
                </v:rect>
                <v:rect id="Rectangle 119" o:spid="_x0000_s1163" style="position:absolute;left:30460;top:359;width:318;height:2858;visibility:visible;mso-wrap-style:non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" filled="f" stroked="f">
                  <v:textbox style="mso-fit-shape-to-text:t" inset="0,0,0,0">
                    <w:txbxContent>
                      <w:p w14:paraId="508EE613" w14:textId="77777777" w:rsidR="00F41E4D" w:rsidRDefault="00F41E4D" w:rsidP="00806598">
                        <w:r>
                          <w:rPr>
                            <w:rFonts w:ascii="Calibri" w:hAnsi="Calibri" w:cs="Calibri"/>
                            <w:color w:val="000000"/>
                            <w:lang w:val="en-US"/>
                          </w:rPr>
                          <w:t xml:space="preserve"> </w:t>
                        </w:r>
                      </w:p>
                    </w:txbxContent>
                  </v:textbox>
                </v:rect>
                <v:rect id="Rectangle 120" o:spid="_x0000_s1164" style="position:absolute;left:30829;top:359;width:432;height:2858;visibility:visible;mso-wrap-style:non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" filled="f" stroked="f">
                  <v:textbox style="mso-fit-shape-to-text:t" inset="0,0,0,0">
                    <w:txbxContent>
                      <w:p w14:paraId="151D3E0C" w14:textId="77777777" w:rsidR="00F41E4D" w:rsidRDefault="00F41E4D" w:rsidP="00806598">
                        <w:r>
                          <w:rPr>
                            <w:rFonts w:ascii="Calibri" w:hAnsi="Calibri" w:cs="Calibri"/>
                            <w:color w:val="000000"/>
                            <w:lang w:val="en-US"/>
                          </w:rPr>
                          <w:t>-</w:t>
                        </w:r>
                      </w:p>
                    </w:txbxContent>
                  </v:textbox>
                </v:rect>
                <v:rect id="Rectangle 121" o:spid="_x0000_s1165" style="position:absolute;left:31261;top:359;width:317;height:2858;visibility:visible;mso-wrap-style:non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" filled="f" stroked="f">
                  <v:textbox style="mso-fit-shape-to-text:t" inset="0,0,0,0">
                    <w:txbxContent>
                      <w:p w14:paraId="1DE20F5A" w14:textId="77777777" w:rsidR="00F41E4D" w:rsidRDefault="00F41E4D" w:rsidP="00806598">
                        <w:r>
                          <w:rPr>
                            <w:rFonts w:ascii="Calibri" w:hAnsi="Calibri" w:cs="Calibri"/>
                            <w:color w:val="000000"/>
                            <w:lang w:val="en-US"/>
                          </w:rPr>
                          <w:t xml:space="preserve"> </w:t>
                        </w:r>
                      </w:p>
                    </w:txbxContent>
                  </v:textbox>
                </v:rect>
                <v:rect id="Rectangle 122" o:spid="_x0000_s1166" style="position:absolute;left:31629;top:359;width:749;height:2858;visibility:visible;mso-wrap-style:non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" filled="f" stroked="f">
                  <v:textbox style="mso-fit-shape-to-text:t" inset="0,0,0,0">
                    <w:txbxContent>
                      <w:p w14:paraId="0473C3FE" w14:textId="77777777" w:rsidR="00F41E4D" w:rsidRDefault="00F41E4D" w:rsidP="00806598">
                        <w:r>
                          <w:rPr>
                            <w:rFonts w:ascii="Calibri" w:hAnsi="Calibri" w:cs="Calibri"/>
                            <w:color w:val="000000"/>
                            <w:lang w:val="en-US"/>
                          </w:rPr>
                          <w:t>C</w:t>
                        </w:r>
                      </w:p>
                    </w:txbxContent>
                  </v:textbox>
                </v:rect>
                <v:rect id="Rectangle 123" o:spid="_x0000_s1167" style="position:absolute;left:32429;top:359;width:743;height:2858;visibility:visible;mso-wrap-style:non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" filled="f" stroked="f">
                  <v:textbox style="mso-fit-shape-to-text:t" inset="0,0,0,0">
                    <w:txbxContent>
                      <w:p w14:paraId="6832A802" w14:textId="77777777" w:rsidR="00F41E4D" w:rsidRDefault="00F41E4D" w:rsidP="00806598">
                        <w:r>
                          <w:rPr>
                            <w:rFonts w:ascii="Calibri" w:hAnsi="Calibri" w:cs="Calibri"/>
                            <w:color w:val="000000"/>
                            <w:lang w:val="en-US"/>
                          </w:rPr>
                          <w:t>o</w:t>
                        </w:r>
                      </w:p>
                    </w:txbxContent>
                  </v:textbox>
                </v:rect>
                <v:rect id="Rectangle 124" o:spid="_x0000_s1168" style="position:absolute;left:33229;top:359;width:737;height:2858;visibility:visible;mso-wrap-style:non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" filled="f" stroked="f">
                  <v:textbox style="mso-fit-shape-to-text:t" inset="0,0,0,0">
                    <w:txbxContent>
                      <w:p w14:paraId="7A645287" w14:textId="77777777" w:rsidR="00F41E4D" w:rsidRDefault="00F41E4D" w:rsidP="00806598">
                        <w:r>
                          <w:rPr>
                            <w:rFonts w:ascii="Calibri" w:hAnsi="Calibri" w:cs="Calibri"/>
                            <w:color w:val="000000"/>
                            <w:lang w:val="en-US"/>
                          </w:rPr>
                          <w:t>n</w:t>
                        </w:r>
                      </w:p>
                    </w:txbxContent>
                  </v:textbox>
                </v:rect>
                <v:rect id="Rectangle 125" o:spid="_x0000_s1169" style="position:absolute;left:34029;top:359;width:661;height:2858;visibility:visible;mso-wrap-style:non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" filled="f" stroked="f">
                  <v:textbox style="mso-fit-shape-to-text:t" inset="0,0,0,0">
                    <w:txbxContent>
                      <w:p w14:paraId="75BF0445" w14:textId="77777777" w:rsidR="00F41E4D" w:rsidRDefault="00F41E4D" w:rsidP="00806598">
                        <w:r>
                          <w:rPr>
                            <w:rFonts w:ascii="Calibri" w:hAnsi="Calibri" w:cs="Calibri"/>
                            <w:color w:val="000000"/>
                            <w:lang w:val="en-US"/>
                          </w:rPr>
                          <w:t>g</w:t>
                        </w:r>
                      </w:p>
                    </w:txbxContent>
                  </v:textbox>
                </v:rect>
                <v:rect id="Rectangle 126" o:spid="_x0000_s1170" style="position:absolute;left:34683;top:359;width:743;height:2858;visibility:visible;mso-wrap-style:non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" filled="f" stroked="f">
                  <v:textbox style="mso-fit-shape-to-text:t" inset="0,0,0,0">
                    <w:txbxContent>
                      <w:p w14:paraId="3C13B564" w14:textId="77777777" w:rsidR="00F41E4D" w:rsidRDefault="00F41E4D" w:rsidP="00806598">
                        <w:r>
                          <w:rPr>
                            <w:rFonts w:ascii="Calibri" w:hAnsi="Calibri" w:cs="Calibri"/>
                            <w:color w:val="000000"/>
                            <w:lang w:val="en-US"/>
                          </w:rPr>
                          <w:t>o</w:t>
                        </w:r>
                      </w:p>
                    </w:txbxContent>
                  </v:textbox>
                </v:rect>
                <v:rect id="Rectangle 127" o:spid="_x0000_s1171" style="position:absolute;left:8318;top:359;width:876;height:2858;visibility:visible;mso-wrap-style:non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" filled="f" stroked="f">
                  <v:textbox style="mso-fit-shape-to-text:t" inset="0,0,0,0">
                    <w:txbxContent>
                      <w:p w14:paraId="5B228D93" w14:textId="77777777" w:rsidR="00F41E4D" w:rsidRDefault="00F41E4D" w:rsidP="00806598">
                        <w:r>
                          <w:rPr>
                            <w:rFonts w:ascii="Calibri" w:hAnsi="Calibri" w:cs="Calibri"/>
                            <w:color w:val="000000"/>
                            <w:lang w:val="en-US"/>
                          </w:rPr>
                          <w:t>H</w:t>
                        </w:r>
                      </w:p>
                    </w:txbxContent>
                  </v:textbox>
                </v:rect>
                <v:rect id="Rectangle 128" o:spid="_x0000_s1172" style="position:absolute;left:9188;top:359;width:743;height:2858;visibility:visible;mso-wrap-style:non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" filled="f" stroked="f">
                  <v:textbox style="mso-fit-shape-to-text:t" inset="0,0,0,0">
                    <w:txbxContent>
                      <w:p w14:paraId="579E2ED8" w14:textId="77777777" w:rsidR="00F41E4D" w:rsidRDefault="00F41E4D" w:rsidP="00806598">
                        <w:r>
                          <w:rPr>
                            <w:rFonts w:ascii="Calibri" w:hAnsi="Calibri" w:cs="Calibri"/>
                            <w:color w:val="000000"/>
                            <w:lang w:val="en-US"/>
                          </w:rPr>
                          <w:t>o</w:t>
                        </w:r>
                      </w:p>
                    </w:txbxContent>
                  </v:textbox>
                </v:rect>
                <v:rect id="Rectangle 129" o:spid="_x0000_s1173" style="position:absolute;left:9988;top:359;width:737;height:2858;visibility:visible;mso-wrap-style:non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" filled="f" stroked="f">
                  <v:textbox style="mso-fit-shape-to-text:t" inset="0,0,0,0">
                    <w:txbxContent>
                      <w:p w14:paraId="6A780AA1" w14:textId="77777777" w:rsidR="00F41E4D" w:rsidRDefault="00F41E4D" w:rsidP="00806598">
                        <w:r>
                          <w:rPr>
                            <w:rFonts w:ascii="Calibri" w:hAnsi="Calibri" w:cs="Calibri"/>
                            <w:color w:val="000000"/>
                            <w:lang w:val="en-US"/>
                          </w:rPr>
                          <w:t>d</w:t>
                        </w:r>
                      </w:p>
                    </w:txbxContent>
                  </v:textbox>
                </v:rect>
                <v:rect id="Rectangle 130" o:spid="_x0000_s1174" style="position:absolute;left:10788;top:359;width:489;height:2858;visibility:visible;mso-wrap-style:non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" filled="f" stroked="f">
                  <v:textbox style="mso-fit-shape-to-text:t" inset="0,0,0,0">
                    <w:txbxContent>
                      <w:p w14:paraId="1A3CAD7D" w14:textId="77777777" w:rsidR="00F41E4D" w:rsidRDefault="00F41E4D" w:rsidP="00806598">
                        <w:r>
                          <w:rPr>
                            <w:rFonts w:ascii="Calibri" w:hAnsi="Calibri" w:cs="Calibri"/>
                            <w:color w:val="000000"/>
                            <w:lang w:val="en-US"/>
                          </w:rPr>
                          <w:t>r</w:t>
                        </w:r>
                      </w:p>
                    </w:txbxContent>
                  </v:textbox>
                </v:rect>
                <v:rect id="Rectangle 131" o:spid="_x0000_s1175" style="position:absolute;left:11296;top:359;width:324;height:2858;visibility:visible;mso-wrap-style:non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" filled="f" stroked="f">
                  <v:textbox style="mso-fit-shape-to-text:t" inset="0,0,0,0">
                    <w:txbxContent>
                      <w:p w14:paraId="24D85693" w14:textId="77777777" w:rsidR="00F41E4D" w:rsidRDefault="00F41E4D" w:rsidP="00806598">
                        <w:r>
                          <w:rPr>
                            <w:rFonts w:ascii="Calibri" w:hAnsi="Calibri" w:cs="Calibri"/>
                            <w:color w:val="000000"/>
                            <w:lang w:val="en-US"/>
                          </w:rPr>
                          <w:t>i</w:t>
                        </w:r>
                      </w:p>
                    </w:txbxContent>
                  </v:textbox>
                </v:rect>
                <v:rect id="Rectangle 132" o:spid="_x0000_s1176" style="position:absolute;left:11664;top:359;width:597;height:2858;visibility:visible;mso-wrap-style:non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" filled="f" stroked="f">
                  <v:textbox style="mso-fit-shape-to-text:t" inset="0,0,0,0">
                    <w:txbxContent>
                      <w:p w14:paraId="1A7E07CB" w14:textId="77777777" w:rsidR="00F41E4D" w:rsidRDefault="00F41E4D" w:rsidP="00806598">
                        <w:r>
                          <w:rPr>
                            <w:rFonts w:ascii="Calibri" w:hAnsi="Calibri" w:cs="Calibri"/>
                            <w:color w:val="000000"/>
                            <w:lang w:val="en-US"/>
                          </w:rPr>
                          <w:t>c</w:t>
                        </w:r>
                      </w:p>
                    </w:txbxContent>
                  </v:textbox>
                </v:rect>
                <v:rect id="Rectangle 133" o:spid="_x0000_s1177" style="position:absolute;left:12242;top:359;width:642;height:2858;visibility:visible;mso-wrap-style:non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" filled="f" stroked="f">
                  <v:textbox style="mso-fit-shape-to-text:t" inset="0,0,0,0">
                    <w:txbxContent>
                      <w:p w14:paraId="6FFDA7AC" w14:textId="77777777" w:rsidR="00F41E4D" w:rsidRDefault="00F41E4D" w:rsidP="00806598">
                        <w:r>
                          <w:rPr>
                            <w:rFonts w:ascii="Calibri" w:hAnsi="Calibri" w:cs="Calibri"/>
                            <w:color w:val="000000"/>
                            <w:lang w:val="en-US"/>
                          </w:rPr>
                          <w:t>k</w:t>
                        </w:r>
                      </w:p>
                    </w:txbxContent>
                  </v:textbox>
                </v:rect>
                <v:rect id="Rectangle 134" o:spid="_x0000_s1178" style="position:absolute;left:12896;top:359;width:432;height:2858;visibility:visible;mso-wrap-style:non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" filled="f" stroked="f">
                  <v:textbox style="mso-fit-shape-to-text:t" inset="0,0,0,0">
                    <w:txbxContent>
                      <w:p w14:paraId="711662C6" w14:textId="77777777" w:rsidR="00F41E4D" w:rsidRDefault="00F41E4D" w:rsidP="00806598">
                        <w:r>
                          <w:rPr>
                            <w:rFonts w:ascii="Calibri" w:hAnsi="Calibri" w:cs="Calibri"/>
                            <w:color w:val="000000"/>
                            <w:lang w:val="en-US"/>
                          </w:rPr>
                          <w:t>-</w:t>
                        </w:r>
                      </w:p>
                    </w:txbxContent>
                  </v:textbox>
                </v:rect>
                <v:rect id="Rectangle 135" o:spid="_x0000_s1179" style="position:absolute;left:13328;top:359;width:724;height:2858;visibility:visible;mso-wrap-style:non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" filled="f" stroked="f">
                  <v:textbox style="mso-fit-shape-to-text:t" inset="0,0,0,0">
                    <w:txbxContent>
                      <w:p w14:paraId="02D83859" w14:textId="77777777" w:rsidR="00F41E4D" w:rsidRDefault="00F41E4D" w:rsidP="00806598">
                        <w:r>
                          <w:rPr>
                            <w:rFonts w:ascii="Calibri" w:hAnsi="Calibri" w:cs="Calibri"/>
                            <w:color w:val="000000"/>
                            <w:lang w:val="en-US"/>
                          </w:rPr>
                          <w:t>P</w:t>
                        </w:r>
                      </w:p>
                    </w:txbxContent>
                  </v:textbox>
                </v:rect>
                <v:rect id="Rectangle 136" o:spid="_x0000_s1180" style="position:absolute;left:14052;top:359;width:489;height:2858;visibility:visible;mso-wrap-style:non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" filled="f" stroked="f">
                  <v:textbox style="mso-fit-shape-to-text:t" inset="0,0,0,0">
                    <w:txbxContent>
                      <w:p w14:paraId="3BF66FE5" w14:textId="77777777" w:rsidR="00F41E4D" w:rsidRDefault="00F41E4D" w:rsidP="00806598">
                        <w:r>
                          <w:rPr>
                            <w:rFonts w:ascii="Calibri" w:hAnsi="Calibri" w:cs="Calibri"/>
                            <w:color w:val="000000"/>
                            <w:lang w:val="en-US"/>
                          </w:rPr>
                          <w:t>r</w:t>
                        </w:r>
                      </w:p>
                    </w:txbxContent>
                  </v:textbox>
                </v:rect>
                <v:rect id="Rectangle 137" o:spid="_x0000_s1181" style="position:absolute;left:14566;top:359;width:699;height:2858;visibility:visible;mso-wrap-style:non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" filled="f" stroked="f">
                  <v:textbox style="mso-fit-shape-to-text:t" inset="0,0,0,0">
                    <w:txbxContent>
                      <w:p w14:paraId="782F7B8F" w14:textId="77777777" w:rsidR="00F41E4D" w:rsidRDefault="00F41E4D" w:rsidP="00806598">
                        <w:r>
                          <w:rPr>
                            <w:rFonts w:ascii="Calibri" w:hAnsi="Calibri" w:cs="Calibri"/>
                            <w:color w:val="000000"/>
                            <w:lang w:val="en-US"/>
                          </w:rPr>
                          <w:t>e</w:t>
                        </w:r>
                      </w:p>
                    </w:txbxContent>
                  </v:textbox>
                </v:rect>
                <v:rect id="Rectangle 138" o:spid="_x0000_s1182" style="position:absolute;left:15290;top:359;width:553;height:2858;visibility:visible;mso-wrap-style:non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" filled="f" stroked="f">
                  <v:textbox style="mso-fit-shape-to-text:t" inset="0,0,0,0">
                    <w:txbxContent>
                      <w:p w14:paraId="50A405D9" w14:textId="77777777" w:rsidR="00F41E4D" w:rsidRDefault="00F41E4D" w:rsidP="00806598">
                        <w:r>
                          <w:rPr>
                            <w:rFonts w:ascii="Calibri" w:hAnsi="Calibri" w:cs="Calibri"/>
                            <w:color w:val="000000"/>
                            <w:lang w:val="en-US"/>
                          </w:rPr>
                          <w:t>s</w:t>
                        </w:r>
                      </w:p>
                    </w:txbxContent>
                  </v:textbox>
                </v:rect>
                <v:rect id="Rectangle 139" o:spid="_x0000_s1183" style="position:absolute;left:15868;top:359;width:597;height:2858;visibility:visible;mso-wrap-style:non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" filled="f" stroked="f">
                  <v:textbox style="mso-fit-shape-to-text:t" inset="0,0,0,0">
                    <w:txbxContent>
                      <w:p w14:paraId="3F813B0F" w14:textId="77777777" w:rsidR="00F41E4D" w:rsidRDefault="00F41E4D" w:rsidP="00806598">
                        <w:r>
                          <w:rPr>
                            <w:rFonts w:ascii="Calibri" w:hAnsi="Calibri" w:cs="Calibri"/>
                            <w:color w:val="000000"/>
                            <w:lang w:val="en-US"/>
                          </w:rPr>
                          <w:t>c</w:t>
                        </w:r>
                      </w:p>
                    </w:txbxContent>
                  </v:textbox>
                </v:rect>
                <v:rect id="Rectangle 140" o:spid="_x0000_s1184" style="position:absolute;left:16446;top:359;width:743;height:2858;visibility:visible;mso-wrap-style:non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" filled="f" stroked="f">
                  <v:textbox style="mso-fit-shape-to-text:t" inset="0,0,0,0">
                    <w:txbxContent>
                      <w:p w14:paraId="5BC3977F" w14:textId="77777777" w:rsidR="00F41E4D" w:rsidRDefault="00F41E4D" w:rsidP="00806598">
                        <w:r>
                          <w:rPr>
                            <w:rFonts w:ascii="Calibri" w:hAnsi="Calibri" w:cs="Calibri"/>
                            <w:color w:val="000000"/>
                            <w:lang w:val="en-US"/>
                          </w:rPr>
                          <w:t>o</w:t>
                        </w:r>
                      </w:p>
                    </w:txbxContent>
                  </v:textbox>
                </v:rect>
                <v:rect id="Rectangle 141" o:spid="_x0000_s1185" style="position:absolute;left:17246;top:359;width:470;height:2858;visibility:visible;mso-wrap-style:non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" filled="f" stroked="f">
                  <v:textbox style="mso-fit-shape-to-text:t" inset="0,0,0,0">
                    <w:txbxContent>
                      <w:p w14:paraId="7997D64C" w14:textId="77777777" w:rsidR="00F41E4D" w:rsidRDefault="00F41E4D" w:rsidP="00806598">
                        <w:r>
                          <w:rPr>
                            <w:rFonts w:ascii="Calibri" w:hAnsi="Calibri" w:cs="Calibri"/>
                            <w:color w:val="000000"/>
                            <w:lang w:val="en-US"/>
                          </w:rPr>
                          <w:t>t</w:t>
                        </w:r>
                      </w:p>
                    </w:txbxContent>
                  </v:textbox>
                </v:rect>
                <v:rect id="Rectangle 142" o:spid="_x0000_s1186" style="position:absolute;left:17754;top:359;width:470;height:2858;visibility:visible;mso-wrap-style:non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" filled="f" stroked="f">
                  <v:textbox style="mso-fit-shape-to-text:t" inset="0,0,0,0">
                    <w:txbxContent>
                      <w:p w14:paraId="510528C7" w14:textId="77777777" w:rsidR="00F41E4D" w:rsidRDefault="00F41E4D" w:rsidP="00806598">
                        <w:r>
                          <w:rPr>
                            <w:rFonts w:ascii="Calibri" w:hAnsi="Calibri" w:cs="Calibri"/>
                            <w:color w:val="000000"/>
                            <w:lang w:val="en-US"/>
                          </w:rPr>
                          <w:t>t</w:t>
                        </w:r>
                      </w:p>
                    </w:txbxContent>
                  </v:textbox>
                </v:rect>
                <v:rect id="Rectangle 143" o:spid="_x0000_s1187" style="position:absolute;left:18268;top:359;width:318;height:2858;visibility:visible;mso-wrap-style:non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" filled="f" stroked="f">
                  <v:textbox style="mso-fit-shape-to-text:t" inset="0,0,0,0">
                    <w:txbxContent>
                      <w:p w14:paraId="4DFA4E35" w14:textId="77777777" w:rsidR="00F41E4D" w:rsidRDefault="00F41E4D" w:rsidP="00806598">
                        <w:r>
                          <w:rPr>
                            <w:rFonts w:ascii="Calibri" w:hAnsi="Calibri" w:cs="Calibri"/>
                            <w:color w:val="000000"/>
                            <w:lang w:val="en-US"/>
                          </w:rPr>
                          <w:t xml:space="preserve"> </w:t>
                        </w:r>
                      </w:p>
                    </w:txbxContent>
                  </v:textbox>
                </v:rect>
                <v:rect id="Rectangle 144" o:spid="_x0000_s1188" style="position:absolute;left:18630;top:359;width:648;height:2858;visibility:visible;mso-wrap-style:non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" filled="f" stroked="f">
                  <v:textbox style="mso-fit-shape-to-text:t" inset="0,0,0,0">
                    <w:txbxContent>
                      <w:p w14:paraId="16972105" w14:textId="77777777" w:rsidR="00F41E4D" w:rsidRDefault="00F41E4D" w:rsidP="00806598">
                        <w:r>
                          <w:rPr>
                            <w:rFonts w:ascii="Calibri" w:hAnsi="Calibri" w:cs="Calibri"/>
                            <w:color w:val="000000"/>
                            <w:lang w:val="en-US"/>
                          </w:rPr>
                          <w:t>F</w:t>
                        </w:r>
                      </w:p>
                    </w:txbxContent>
                  </v:textbox>
                </v:rect>
                <v:rect id="Rectangle 145" o:spid="_x0000_s1189" style="position:absolute;left:19291;top:359;width:324;height:2858;visibility:visible;mso-wrap-style:non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" filled="f" stroked="f">
                  <v:textbox style="mso-fit-shape-to-text:t" inset="0,0,0,0">
                    <w:txbxContent>
                      <w:p w14:paraId="3EDA8785" w14:textId="77777777" w:rsidR="00F41E4D" w:rsidRDefault="00F41E4D" w:rsidP="00806598">
                        <w:r>
                          <w:rPr>
                            <w:rFonts w:ascii="Calibri" w:hAnsi="Calibri" w:cs="Calibri"/>
                            <w:color w:val="000000"/>
                            <w:lang w:val="en-US"/>
                          </w:rPr>
                          <w:t>i</w:t>
                        </w:r>
                      </w:p>
                    </w:txbxContent>
                  </v:textbox>
                </v:rect>
                <v:rect id="Rectangle 146" o:spid="_x0000_s1190" style="position:absolute;left:19653;top:359;width:324;height:2858;visibility:visible;mso-wrap-style:non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" filled="f" stroked="f">
                  <v:textbox style="mso-fit-shape-to-text:t" inset="0,0,0,0">
                    <w:txbxContent>
                      <w:p w14:paraId="608DD6D3" w14:textId="77777777" w:rsidR="00F41E4D" w:rsidRDefault="00F41E4D" w:rsidP="00806598">
                        <w:r>
                          <w:rPr>
                            <w:rFonts w:ascii="Calibri" w:hAnsi="Calibri" w:cs="Calibri"/>
                            <w:color w:val="000000"/>
                            <w:lang w:val="en-US"/>
                          </w:rPr>
                          <w:t>l</w:t>
                        </w:r>
                      </w:p>
                    </w:txbxContent>
                  </v:textbox>
                </v:rect>
                <v:rect id="Rectangle 147" o:spid="_x0000_s1191" style="position:absolute;left:20021;top:359;width:470;height:2858;visibility:visible;mso-wrap-style:non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" filled="f" stroked="f">
                  <v:textbox style="mso-fit-shape-to-text:t" inset="0,0,0,0">
                    <w:txbxContent>
                      <w:p w14:paraId="3C7750DE" w14:textId="77777777" w:rsidR="00F41E4D" w:rsidRDefault="00F41E4D" w:rsidP="00806598">
                        <w:r>
                          <w:rPr>
                            <w:rFonts w:ascii="Calibri" w:hAnsi="Calibri" w:cs="Calibri"/>
                            <w:color w:val="000000"/>
                            <w:lang w:val="en-US"/>
                          </w:rPr>
                          <w:t>t</w:t>
                        </w:r>
                      </w:p>
                    </w:txbxContent>
                  </v:textbox>
                </v:rect>
                <v:rect id="Rectangle 148" o:spid="_x0000_s1192" style="position:absolute;left:20535;top:359;width:699;height:2858;visibility:visible;mso-wrap-style:non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" filled="f" stroked="f">
                  <v:textbox style="mso-fit-shape-to-text:t" inset="0,0,0,0">
                    <w:txbxContent>
                      <w:p w14:paraId="486623EC" w14:textId="77777777" w:rsidR="00F41E4D" w:rsidRDefault="00F41E4D" w:rsidP="00806598">
                        <w:r>
                          <w:rPr>
                            <w:rFonts w:ascii="Calibri" w:hAnsi="Calibri" w:cs="Calibri"/>
                            <w:color w:val="000000"/>
                            <w:lang w:val="en-US"/>
                          </w:rPr>
                          <w:t>e</w:t>
                        </w:r>
                      </w:p>
                    </w:txbxContent>
                  </v:textbox>
                </v:rect>
                <v:rect id="Rectangle 149" o:spid="_x0000_s1193" style="position:absolute;left:21253;top:359;width:489;height:2858;visibility:visible;mso-wrap-style:non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" filled="f" stroked="f">
                  <v:textbox style="mso-fit-shape-to-text:t" inset="0,0,0,0">
                    <w:txbxContent>
                      <w:p w14:paraId="117CF552" w14:textId="77777777" w:rsidR="00F41E4D" w:rsidRDefault="00F41E4D" w:rsidP="00806598">
                        <w:r>
                          <w:rPr>
                            <w:rFonts w:ascii="Calibri" w:hAnsi="Calibri" w:cs="Calibri"/>
                            <w:color w:val="000000"/>
                            <w:lang w:val="en-US"/>
                          </w:rPr>
                          <w:t>r</w:t>
                        </w:r>
                      </w:p>
                    </w:txbxContent>
                  </v:textbox>
                </v:rect>
                <v:rect id="Rectangle 150" o:spid="_x0000_s1194" style="position:absolute;left:21767;top:359;width:318;height:2858;visibility:visible;mso-wrap-style:non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" filled="f" stroked="f">
                  <v:textbox style="mso-fit-shape-to-text:t" inset="0,0,0,0">
                    <w:txbxContent>
                      <w:p w14:paraId="01DC0370" w14:textId="77777777" w:rsidR="00F41E4D" w:rsidRDefault="00F41E4D" w:rsidP="00806598">
                        <w:r>
                          <w:rPr>
                            <w:rFonts w:ascii="Calibri" w:hAnsi="Calibri" w:cs="Calibri"/>
                            <w:color w:val="000000"/>
                            <w:lang w:val="en-US"/>
                          </w:rPr>
                          <w:t xml:space="preserve"> </w:t>
                        </w:r>
                      </w:p>
                    </w:txbxContent>
                  </v:textbox>
                </v:rect>
                <v:rect id="Rectangle 151" o:spid="_x0000_s1195" style="position:absolute;left:22136;top:359;width:425;height:2858;visibility:visible;mso-wrap-style:non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" filled="f" stroked="f">
                  <v:textbox style="mso-fit-shape-to-text:t" inset="0,0,0,0">
                    <w:txbxContent>
                      <w:p w14:paraId="707C9F73" w14:textId="77777777" w:rsidR="00F41E4D" w:rsidRDefault="00F41E4D" w:rsidP="00806598">
                        <w:r>
                          <w:rPr>
                            <w:rFonts w:ascii="Calibri" w:hAnsi="Calibri" w:cs="Calibri"/>
                            <w:color w:val="000000"/>
                            <w:lang w:val="en-US"/>
                          </w:rPr>
                          <w:t>(</w:t>
                        </w:r>
                      </w:p>
                    </w:txbxContent>
                  </v:textbox>
                </v:rect>
                <v:rect id="Rectangle 152" o:spid="_x0000_s1196" style="position:absolute;left:22567;top:359;width:324;height:2858;visibility:visible;mso-wrap-style:non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" filled="f" stroked="f">
                  <v:textbox style="mso-fit-shape-to-text:t" inset="0,0,0,0">
                    <w:txbxContent>
                      <w:p w14:paraId="77FDEEB8" w14:textId="77777777" w:rsidR="00F41E4D" w:rsidRDefault="00F41E4D" w:rsidP="00806598">
                        <w:r>
                          <w:rPr>
                            <w:rFonts w:ascii="Calibri" w:hAnsi="Calibri" w:cs="Calibri"/>
                            <w:color w:val="000000"/>
                            <w:lang w:val="en-US"/>
                          </w:rPr>
                          <w:t>l</w:t>
                        </w:r>
                      </w:p>
                    </w:txbxContent>
                  </v:textbox>
                </v:rect>
                <v:rect id="Rectangle 153" o:spid="_x0000_s1197" style="position:absolute;left:22936;top:359;width:673;height:2858;visibility:visible;mso-wrap-style:non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" filled="f" stroked="f">
                  <v:textbox style="mso-fit-shape-to-text:t" inset="0,0,0,0">
                    <w:txbxContent>
                      <w:p w14:paraId="63BC07FF" w14:textId="77777777" w:rsidR="00F41E4D" w:rsidRDefault="00F41E4D" w:rsidP="00806598">
                        <w:r>
                          <w:rPr>
                            <w:rFonts w:ascii="Calibri" w:hAnsi="Calibri" w:cs="Calibri"/>
                            <w:color w:val="000000"/>
                            <w:lang w:val="en-US"/>
                          </w:rPr>
                          <w:t>a</w:t>
                        </w:r>
                      </w:p>
                    </w:txbxContent>
                  </v:textbox>
                </v:rect>
                <v:rect id="Rectangle 154" o:spid="_x0000_s1198" style="position:absolute;left:23653;top:359;width:1118;height:2858;visibility:visible;mso-wrap-style:non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" filled="f" stroked="f">
                  <v:textbox style="mso-fit-shape-to-text:t" inset="0,0,0,0">
                    <w:txbxContent>
                      <w:p w14:paraId="3F8BA4EB" w14:textId="77777777" w:rsidR="00F41E4D" w:rsidRDefault="00F41E4D" w:rsidP="00806598">
                        <w:r>
                          <w:rPr>
                            <w:rFonts w:ascii="Calibri" w:hAnsi="Calibri" w:cs="Calibri"/>
                            <w:color w:val="000000"/>
                            <w:lang w:val="en-US"/>
                          </w:rPr>
                          <w:t>m</w:t>
                        </w:r>
                      </w:p>
                    </w:txbxContent>
                  </v:textbox>
                </v:rect>
                <v:rect id="Rectangle 155" o:spid="_x0000_s1199" style="position:absolute;left:24815;top:359;width:737;height:2858;visibility:visible;mso-wrap-style:non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" filled="f" stroked="f">
                  <v:textbox style="mso-fit-shape-to-text:t" inset="0,0,0,0">
                    <w:txbxContent>
                      <w:p w14:paraId="6B4298B2" w14:textId="77777777" w:rsidR="00F41E4D" w:rsidRDefault="00F41E4D" w:rsidP="00806598">
                        <w:r>
                          <w:rPr>
                            <w:rFonts w:ascii="Calibri" w:hAnsi="Calibri" w:cs="Calibri"/>
                            <w:color w:val="000000"/>
                            <w:lang w:val="en-US"/>
                          </w:rPr>
                          <w:t>b</w:t>
                        </w:r>
                      </w:p>
                    </w:txbxContent>
                  </v:textbox>
                </v:rect>
                <v:rect id="Rectangle 156" o:spid="_x0000_s1200" style="position:absolute;left:25615;top:359;width:737;height:2858;visibility:visible;mso-wrap-style:non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" filled="f" stroked="f">
                  <v:textbox style="mso-fit-shape-to-text:t" inset="0,0,0,0">
                    <w:txbxContent>
                      <w:p w14:paraId="74E8CFE2" w14:textId="77777777" w:rsidR="00F41E4D" w:rsidRDefault="00F41E4D" w:rsidP="00806598">
                        <w:r>
                          <w:rPr>
                            <w:rFonts w:ascii="Calibri" w:hAnsi="Calibri" w:cs="Calibri"/>
                            <w:color w:val="000000"/>
                            <w:lang w:val="en-US"/>
                          </w:rPr>
                          <w:t>d</w:t>
                        </w:r>
                      </w:p>
                    </w:txbxContent>
                  </v:textbox>
                </v:rect>
                <v:rect id="Rectangle 157" o:spid="_x0000_s1201" style="position:absolute;left:26416;top:359;width:673;height:2858;visibility:visible;mso-wrap-style:non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" filled="f" stroked="f">
                  <v:textbox style="mso-fit-shape-to-text:t" inset="0,0,0,0">
                    <w:txbxContent>
                      <w:p w14:paraId="227C0E9C" w14:textId="77777777" w:rsidR="00F41E4D" w:rsidRDefault="00F41E4D" w:rsidP="00806598">
                        <w:r>
                          <w:rPr>
                            <w:rFonts w:ascii="Calibri" w:hAnsi="Calibri" w:cs="Calibri"/>
                            <w:color w:val="000000"/>
                            <w:lang w:val="en-US"/>
                          </w:rPr>
                          <w:t>a</w:t>
                        </w:r>
                      </w:p>
                    </w:txbxContent>
                  </v:textbox>
                </v:rect>
                <v:rect id="Rectangle 158" o:spid="_x0000_s1202" style="position:absolute;left:27133;top:359;width:699;height:2858;visibility:visible;mso-wrap-style:non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" filled="f" stroked="f">
                  <v:textbox style="mso-fit-shape-to-text:t" inset="0,0,0,0">
                    <w:txbxContent>
                      <w:p w14:paraId="0C4933BE" w14:textId="77777777" w:rsidR="00F41E4D" w:rsidRDefault="00F41E4D" w:rsidP="00806598">
                        <w:r>
                          <w:rPr>
                            <w:rFonts w:ascii="Calibri" w:hAnsi="Calibri" w:cs="Calibri"/>
                            <w:color w:val="000000"/>
                            <w:lang w:val="en-US"/>
                          </w:rPr>
                          <w:t>=</w:t>
                        </w:r>
                      </w:p>
                    </w:txbxContent>
                  </v:textbox>
                </v:rect>
                <v:rect id="Rectangle 159" o:spid="_x0000_s1203" style="position:absolute;left:27857;top:359;width:711;height:2858;visibility:visible;mso-wrap-style:non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" filled="f" stroked="f">
                  <v:textbox style="mso-fit-shape-to-text:t" inset="0,0,0,0">
                    <w:txbxContent>
                      <w:p w14:paraId="6F52B4EC" w14:textId="77777777" w:rsidR="00F41E4D" w:rsidRDefault="00F41E4D" w:rsidP="00806598">
                        <w:r>
                          <w:rPr>
                            <w:rFonts w:ascii="Calibri" w:hAnsi="Calibri" w:cs="Calibri"/>
                            <w:color w:val="000000"/>
                            <w:lang w:val="en-US"/>
                          </w:rPr>
                          <w:t>1</w:t>
                        </w:r>
                      </w:p>
                    </w:txbxContent>
                  </v:textbox>
                </v:rect>
                <v:rect id="Rectangle 160" o:spid="_x0000_s1204" style="position:absolute;left:28581;top:359;width:711;height:2858;visibility:visible;mso-wrap-style:non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" filled="f" stroked="f">
                  <v:textbox style="mso-fit-shape-to-text:t" inset="0,0,0,0">
                    <w:txbxContent>
                      <w:p w14:paraId="52F3A4B7" w14:textId="77777777" w:rsidR="00F41E4D" w:rsidRDefault="00F41E4D" w:rsidP="00806598">
                        <w:r>
                          <w:rPr>
                            <w:rFonts w:ascii="Calibri" w:hAnsi="Calibri" w:cs="Calibri"/>
                            <w:color w:val="000000"/>
                            <w:lang w:val="en-US"/>
                          </w:rPr>
                          <w:t>0</w:t>
                        </w:r>
                      </w:p>
                    </w:txbxContent>
                  </v:textbox>
                </v:rect>
                <v:rect id="Rectangle 161" o:spid="_x0000_s1205" style="position:absolute;left:29305;top:359;width:711;height:2858;visibility:visible;mso-wrap-style:non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" filled="f" stroked="f">
                  <v:textbox style="mso-fit-shape-to-text:t" inset="0,0,0,0">
                    <w:txbxContent>
                      <w:p w14:paraId="6802D85F" w14:textId="77777777" w:rsidR="00F41E4D" w:rsidRDefault="00F41E4D" w:rsidP="00806598">
                        <w:r>
                          <w:rPr>
                            <w:rFonts w:ascii="Calibri" w:hAnsi="Calibri" w:cs="Calibri"/>
                            <w:color w:val="000000"/>
                            <w:lang w:val="en-US"/>
                          </w:rPr>
                          <w:t>0</w:t>
                        </w:r>
                      </w:p>
                    </w:txbxContent>
                  </v:textbox>
                </v:rect>
                <v:rect id="Rectangle 162" o:spid="_x0000_s1206" style="position:absolute;left:30029;top:359;width:425;height:2858;visibility:visible;mso-wrap-style:non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" filled="f" stroked="f">
                  <v:textbox style="mso-fit-shape-to-text:t" inset="0,0,0,0">
                    <w:txbxContent>
                      <w:p w14:paraId="503390D3" w14:textId="77777777" w:rsidR="00F41E4D" w:rsidRDefault="00F41E4D" w:rsidP="00806598">
                        <w:r>
                          <w:rPr>
                            <w:rFonts w:ascii="Calibri" w:hAnsi="Calibri" w:cs="Calibri"/>
                            <w:color w:val="000000"/>
                            <w:lang w:val="en-US"/>
                          </w:rPr>
                          <w:t>)</w:t>
                        </w:r>
                      </w:p>
                    </w:txbxContent>
                  </v:textbox>
                </v:rect>
                <v:rect id="Rectangle 163" o:spid="_x0000_s1207" style="position:absolute;left:30460;top:359;width:318;height:2858;visibility:visible;mso-wrap-style:non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" filled="f" stroked="f">
                  <v:textbox style="mso-fit-shape-to-text:t" inset="0,0,0,0">
                    <w:txbxContent>
                      <w:p w14:paraId="6547C019" w14:textId="77777777" w:rsidR="00F41E4D" w:rsidRDefault="00F41E4D" w:rsidP="00806598">
                        <w:r>
                          <w:rPr>
                            <w:rFonts w:ascii="Calibri" w:hAnsi="Calibri" w:cs="Calibri"/>
                            <w:color w:val="000000"/>
                            <w:lang w:val="en-US"/>
                          </w:rPr>
                          <w:t xml:space="preserve"> </w:t>
                        </w:r>
                      </w:p>
                    </w:txbxContent>
                  </v:textbox>
                </v:rect>
                <v:rect id="Rectangle 164" o:spid="_x0000_s1208" style="position:absolute;left:30829;top:359;width:432;height:2858;visibility:visible;mso-wrap-style:non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" filled="f" stroked="f">
                  <v:textbox style="mso-fit-shape-to-text:t" inset="0,0,0,0">
                    <w:txbxContent>
                      <w:p w14:paraId="0CA169EF" w14:textId="77777777" w:rsidR="00F41E4D" w:rsidRDefault="00F41E4D" w:rsidP="00806598">
                        <w:r>
                          <w:rPr>
                            <w:rFonts w:ascii="Calibri" w:hAnsi="Calibri" w:cs="Calibri"/>
                            <w:color w:val="000000"/>
                            <w:lang w:val="en-US"/>
                          </w:rPr>
                          <w:t>-</w:t>
                        </w:r>
                      </w:p>
                    </w:txbxContent>
                  </v:textbox>
                </v:rect>
                <v:rect id="Rectangle 165" o:spid="_x0000_s1209" style="position:absolute;left:31261;top:359;width:317;height:2858;visibility:visible;mso-wrap-style:non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" filled="f" stroked="f">
                  <v:textbox style="mso-fit-shape-to-text:t" inset="0,0,0,0">
                    <w:txbxContent>
                      <w:p w14:paraId="2769AA0D" w14:textId="77777777" w:rsidR="00F41E4D" w:rsidRDefault="00F41E4D" w:rsidP="00806598">
                        <w:r>
                          <w:rPr>
                            <w:rFonts w:ascii="Calibri" w:hAnsi="Calibri" w:cs="Calibri"/>
                            <w:color w:val="000000"/>
                            <w:lang w:val="en-US"/>
                          </w:rPr>
                          <w:t xml:space="preserve"> </w:t>
                        </w:r>
                      </w:p>
                    </w:txbxContent>
                  </v:textbox>
                </v:rect>
                <v:rect id="Rectangle 166" o:spid="_x0000_s1210" style="position:absolute;left:31629;top:359;width:749;height:2858;visibility:visible;mso-wrap-style:non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" filled="f" stroked="f">
                  <v:textbox style="mso-fit-shape-to-text:t" inset="0,0,0,0">
                    <w:txbxContent>
                      <w:p w14:paraId="1BAD7F5B" w14:textId="77777777" w:rsidR="00F41E4D" w:rsidRDefault="00F41E4D" w:rsidP="00806598">
                        <w:r>
                          <w:rPr>
                            <w:rFonts w:ascii="Calibri" w:hAnsi="Calibri" w:cs="Calibri"/>
                            <w:color w:val="000000"/>
                            <w:lang w:val="en-US"/>
                          </w:rPr>
                          <w:t>C</w:t>
                        </w:r>
                      </w:p>
                    </w:txbxContent>
                  </v:textbox>
                </v:rect>
                <v:rect id="Rectangle 167" o:spid="_x0000_s1211" style="position:absolute;left:32429;top:359;width:743;height:2858;visibility:visible;mso-wrap-style:non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" filled="f" stroked="f">
                  <v:textbox style="mso-fit-shape-to-text:t" inset="0,0,0,0">
                    <w:txbxContent>
                      <w:p w14:paraId="69FB763C" w14:textId="77777777" w:rsidR="00F41E4D" w:rsidRDefault="00F41E4D" w:rsidP="00806598">
                        <w:r>
                          <w:rPr>
                            <w:rFonts w:ascii="Calibri" w:hAnsi="Calibri" w:cs="Calibri"/>
                            <w:color w:val="000000"/>
                            <w:lang w:val="en-US"/>
                          </w:rPr>
                          <w:t>o</w:t>
                        </w:r>
                      </w:p>
                    </w:txbxContent>
                  </v:textbox>
                </v:rect>
                <v:rect id="Rectangle 168" o:spid="_x0000_s1212" style="position:absolute;left:33229;top:359;width:737;height:2858;visibility:visible;mso-wrap-style:non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" filled="f" stroked="f">
                  <v:textbox style="mso-fit-shape-to-text:t" inset="0,0,0,0">
                    <w:txbxContent>
                      <w:p w14:paraId="6EF3D421" w14:textId="77777777" w:rsidR="00F41E4D" w:rsidRDefault="00F41E4D" w:rsidP="00806598">
                        <w:r>
                          <w:rPr>
                            <w:rFonts w:ascii="Calibri" w:hAnsi="Calibri" w:cs="Calibri"/>
                            <w:color w:val="000000"/>
                            <w:lang w:val="en-US"/>
                          </w:rPr>
                          <w:t>n</w:t>
                        </w:r>
                      </w:p>
                    </w:txbxContent>
                  </v:textbox>
                </v:rect>
                <v:rect id="Rectangle 169" o:spid="_x0000_s1213" style="position:absolute;left:34029;top:359;width:661;height:2858;visibility:visible;mso-wrap-style:non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" filled="f" stroked="f">
                  <v:textbox style="mso-fit-shape-to-text:t" inset="0,0,0,0">
                    <w:txbxContent>
                      <w:p w14:paraId="1B1DEB41" w14:textId="77777777" w:rsidR="00F41E4D" w:rsidRDefault="00F41E4D" w:rsidP="00806598">
                        <w:r>
                          <w:rPr>
                            <w:rFonts w:ascii="Calibri" w:hAnsi="Calibri" w:cs="Calibri"/>
                            <w:color w:val="000000"/>
                            <w:lang w:val="en-US"/>
                          </w:rPr>
                          <w:t>g</w:t>
                        </w:r>
                      </w:p>
                    </w:txbxContent>
                  </v:textbox>
                </v:rect>
                <v:rect id="Rectangle 170" o:spid="_x0000_s1214" style="position:absolute;left:34683;top:359;width:743;height:2858;visibility:visible;mso-wrap-style:non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" filled="f" stroked="f">
                  <v:textbox style="mso-fit-shape-to-text:t" inset="0,0,0,0">
                    <w:txbxContent>
                      <w:p w14:paraId="65D6DA6D" w14:textId="77777777" w:rsidR="00F41E4D" w:rsidRDefault="00F41E4D" w:rsidP="00806598">
                        <w:r>
                          <w:rPr>
                            <w:rFonts w:ascii="Calibri" w:hAnsi="Calibri" w:cs="Calibri"/>
                            <w:color w:val="000000"/>
                            <w:lang w:val="en-US"/>
                          </w:rPr>
                          <w:t>o</w:t>
                        </w:r>
                      </w:p>
                    </w:txbxContent>
                  </v:textbox>
                </v:rect>
                <w10:wrap anchorx="page"/>
              </v:group>
            </w:pict>
          </mc:Fallback>
        </mc:AlternateContent>
      </w:r>
    </w:p>
    <w:p w14:paraId="5D14A456" w14:textId="77777777" w:rsidR="00806598" w:rsidRDefault="00806598" w:rsidP="0066301C">
      <w:pPr>
        <w:spacing w:after="0" w:line="240" w:lineRule="auto"/>
        <w:jc w:val="both"/>
        <w:rPr>
          <w:rFonts w:ascii="Arial" w:hAnsi="Arial" w:cs="Arial"/>
        </w:rPr>
      </w:pPr>
    </w:p>
    <w:p w14:paraId="7BF14D55" w14:textId="77777777" w:rsidR="00806598" w:rsidRDefault="00806598" w:rsidP="0066301C">
      <w:pPr>
        <w:spacing w:after="0" w:line="240" w:lineRule="auto"/>
        <w:jc w:val="both"/>
        <w:rPr>
          <w:rFonts w:ascii="Arial" w:hAnsi="Arial" w:cs="Arial"/>
        </w:rPr>
      </w:pPr>
    </w:p>
    <w:p w14:paraId="7330AAC4" w14:textId="77777777" w:rsidR="00806598" w:rsidRDefault="00806598" w:rsidP="0066301C">
      <w:pPr>
        <w:spacing w:after="0" w:line="240" w:lineRule="auto"/>
        <w:jc w:val="both"/>
        <w:rPr>
          <w:rFonts w:ascii="Arial" w:hAnsi="Arial" w:cs="Arial"/>
        </w:rPr>
      </w:pPr>
    </w:p>
    <w:p w14:paraId="2D1408D5" w14:textId="77777777" w:rsidR="00806598" w:rsidRDefault="00806598" w:rsidP="0066301C">
      <w:pPr>
        <w:spacing w:after="0" w:line="240" w:lineRule="auto"/>
        <w:jc w:val="both"/>
        <w:rPr>
          <w:rFonts w:ascii="Arial" w:hAnsi="Arial" w:cs="Arial"/>
        </w:rPr>
      </w:pPr>
    </w:p>
    <w:p w14:paraId="74A38EF2" w14:textId="77777777" w:rsidR="00806598" w:rsidRDefault="00806598" w:rsidP="0066301C">
      <w:pPr>
        <w:spacing w:after="0" w:line="240" w:lineRule="auto"/>
        <w:jc w:val="both"/>
        <w:rPr>
          <w:rFonts w:ascii="Arial" w:hAnsi="Arial" w:cs="Arial"/>
        </w:rPr>
      </w:pPr>
    </w:p>
    <w:p w14:paraId="41AFC343" w14:textId="77777777" w:rsidR="00806598" w:rsidRDefault="00806598" w:rsidP="0066301C">
      <w:pPr>
        <w:spacing w:after="0" w:line="240" w:lineRule="auto"/>
        <w:jc w:val="both"/>
        <w:rPr>
          <w:rFonts w:ascii="Arial" w:hAnsi="Arial" w:cs="Arial"/>
        </w:rPr>
      </w:pPr>
    </w:p>
    <w:p w14:paraId="0EE2CA2B" w14:textId="77777777" w:rsidR="00806598" w:rsidRDefault="00806598" w:rsidP="0066301C">
      <w:pPr>
        <w:spacing w:after="0" w:line="240" w:lineRule="auto"/>
        <w:jc w:val="both"/>
        <w:rPr>
          <w:rFonts w:ascii="Arial" w:hAnsi="Arial" w:cs="Arial"/>
        </w:rPr>
      </w:pPr>
    </w:p>
    <w:p w14:paraId="2D728B85" w14:textId="77777777" w:rsidR="00806598" w:rsidRDefault="00806598" w:rsidP="0066301C">
      <w:pPr>
        <w:spacing w:after="0" w:line="240" w:lineRule="auto"/>
        <w:jc w:val="both"/>
        <w:rPr>
          <w:rFonts w:ascii="Arial" w:hAnsi="Arial" w:cs="Arial"/>
        </w:rPr>
      </w:pPr>
    </w:p>
    <w:p w14:paraId="1E5F3420" w14:textId="77777777" w:rsidR="00806598" w:rsidRDefault="00806598" w:rsidP="0066301C">
      <w:pPr>
        <w:spacing w:after="0" w:line="240" w:lineRule="auto"/>
        <w:jc w:val="both"/>
        <w:rPr>
          <w:rFonts w:ascii="Arial" w:hAnsi="Arial" w:cs="Arial"/>
        </w:rPr>
      </w:pPr>
    </w:p>
    <w:p w14:paraId="455F7C0D" w14:textId="77777777" w:rsidR="00806598" w:rsidRDefault="00806598" w:rsidP="0066301C">
      <w:pPr>
        <w:spacing w:after="0" w:line="240" w:lineRule="auto"/>
        <w:jc w:val="both"/>
        <w:rPr>
          <w:rFonts w:ascii="Arial" w:hAnsi="Arial" w:cs="Arial"/>
        </w:rPr>
      </w:pPr>
    </w:p>
    <w:p w14:paraId="7B26E30C" w14:textId="77777777" w:rsidR="00806598" w:rsidRDefault="00806598" w:rsidP="0066301C">
      <w:pPr>
        <w:spacing w:after="0" w:line="240" w:lineRule="auto"/>
        <w:jc w:val="both"/>
        <w:rPr>
          <w:rFonts w:ascii="Arial" w:hAnsi="Arial" w:cs="Arial"/>
        </w:rPr>
      </w:pPr>
    </w:p>
    <w:p w14:paraId="1DE14BE2" w14:textId="77777777" w:rsidR="00806598" w:rsidRDefault="00806598" w:rsidP="0066301C">
      <w:pPr>
        <w:spacing w:after="0" w:line="240" w:lineRule="auto"/>
        <w:jc w:val="both"/>
        <w:rPr>
          <w:rFonts w:ascii="Arial" w:hAnsi="Arial" w:cs="Arial"/>
        </w:rPr>
      </w:pPr>
    </w:p>
    <w:p w14:paraId="6728CEC7" w14:textId="77777777" w:rsidR="00806598" w:rsidRDefault="00806598" w:rsidP="0066301C">
      <w:pPr>
        <w:spacing w:after="0" w:line="240" w:lineRule="auto"/>
        <w:jc w:val="both"/>
        <w:rPr>
          <w:rFonts w:ascii="Arial" w:hAnsi="Arial" w:cs="Arial"/>
        </w:rPr>
      </w:pPr>
    </w:p>
    <w:p w14:paraId="2391928B" w14:textId="77777777" w:rsidR="00806598" w:rsidRDefault="00806598" w:rsidP="0066301C">
      <w:pPr>
        <w:spacing w:after="0" w:line="240" w:lineRule="auto"/>
        <w:jc w:val="both"/>
        <w:rPr>
          <w:rFonts w:ascii="Arial" w:hAnsi="Arial" w:cs="Arial"/>
        </w:rPr>
      </w:pPr>
    </w:p>
    <w:p w14:paraId="22AFA7B4" w14:textId="77777777" w:rsidR="00806598" w:rsidRDefault="00806598" w:rsidP="0066301C">
      <w:pPr>
        <w:spacing w:after="0" w:line="240" w:lineRule="auto"/>
        <w:jc w:val="both"/>
        <w:rPr>
          <w:rFonts w:ascii="Arial" w:hAnsi="Arial" w:cs="Arial"/>
        </w:rPr>
      </w:pPr>
    </w:p>
    <w:p w14:paraId="47C169A0" w14:textId="77777777" w:rsidR="00806598" w:rsidRDefault="00806598" w:rsidP="0066301C">
      <w:pPr>
        <w:spacing w:after="0" w:line="240" w:lineRule="auto"/>
        <w:jc w:val="both"/>
        <w:rPr>
          <w:rFonts w:ascii="Arial" w:hAnsi="Arial" w:cs="Arial"/>
        </w:rPr>
      </w:pPr>
    </w:p>
    <w:p w14:paraId="61FDF2AB" w14:textId="77777777" w:rsidR="00806598" w:rsidRDefault="00806598" w:rsidP="0066301C">
      <w:pPr>
        <w:spacing w:after="0" w:line="240" w:lineRule="auto"/>
        <w:jc w:val="both"/>
        <w:rPr>
          <w:rFonts w:ascii="Arial" w:hAnsi="Arial" w:cs="Arial"/>
        </w:rPr>
      </w:pPr>
    </w:p>
    <w:p w14:paraId="66537843" w14:textId="7984528F" w:rsidR="00806598" w:rsidRPr="008204CC" w:rsidRDefault="00D1766F" w:rsidP="0066301C">
      <w:pPr>
        <w:spacing w:after="0" w:line="240" w:lineRule="auto"/>
        <w:jc w:val="both"/>
        <w:rPr>
          <w:rFonts w:ascii="Arial" w:hAnsi="Arial" w:cs="Arial"/>
        </w:rPr>
      </w:pPr>
      <w:r>
        <w:rPr>
          <w:noProof/>
        </w:rPr>
        <mc:AlternateContent>
          <mc:Choice Requires="wps">
            <w:drawing>
              <wp:anchor distT="0" distB="0" distL="114298" distR="114298" simplePos="0" relativeHeight="251659264" behindDoc="0" locked="0" layoutInCell="1" allowOverlap="1" wp14:anchorId="69E38377" wp14:editId="7EAACCEB">
                <wp:simplePos x="0" y="0"/>
                <wp:positionH relativeFrom="column">
                  <wp:posOffset>-1</wp:posOffset>
                </wp:positionH>
                <wp:positionV relativeFrom="paragraph">
                  <wp:posOffset>0</wp:posOffset>
                </wp:positionV>
                <wp:extent cx="0" cy="1967865"/>
                <wp:effectExtent l="0" t="0" r="19050" b="13335"/>
                <wp:wrapNone/>
                <wp:docPr id="586954786" name="Straight Connector 1"/>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a:off x="0" y="0"/>
                          <a:ext cx="0" cy="1967865"/>
                        </a:xfrm>
                        <a:prstGeom prst="line">
                          <a:avLst/>
                        </a:prstGeom>
                        <a:noFill/>
                        <a:ln w="1905" cap="flat">
                          <a:solidFill>
                            <a:srgbClr val="E8E8E8"/>
                          </a:solidFill>
                          <a:prstDash val="solid"/>
                          <a:round/>
                          <a:headEnd/>
                          <a:tailEnd/>
                        </a:ln>
                      </wps:spPr>
                      <wps:bodyPr/>
                    </wps:wsp>
                  </a:graphicData>
                </a:graphic>
                <wp14:sizeRelH relativeFrom="page">
                  <wp14:pctWidth>0</wp14:pctWidth>
                </wp14:sizeRelH>
                <wp14:sizeRelV relativeFrom="page">
                  <wp14:pctHeight>0</wp14:pctHeight>
                </wp14:sizeRelV>
              </wp:anchor>
            </w:drawing>
          </mc:Choice>
          <mc:Fallback>
            <w:pict>
              <v:line w14:anchorId="0649E06F" id="Straight Connector 1" o:spid="_x0000_s1026" style="position:absolute;z-index:251659264;visibility:visible;mso-wrap-style:square;mso-width-percent:0;mso-height-percent:0;mso-wrap-distance-left:3.17494mm;mso-wrap-distance-top:0;mso-wrap-distance-right:3.17494mm;mso-wrap-distance-bottom:0;mso-position-horizontal:absolute;mso-position-horizontal-relative:text;mso-position-vertical:absolute;mso-position-vertical-relative:text;mso-width-percent:0;mso-height-percent:0;mso-width-relative:page;mso-height-relative:page" from="0,0" to="0,154.95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" strokecolor="#e8e8e8" strokeweight=".15pt"/>
            </w:pict>
          </mc:Fallback>
        </mc:AlternateContent>
      </w:r>
    </w:p>
    <w:p w14:paraId="2B39A2FE" w14:textId="639835BF" w:rsidR="00806598" w:rsidRPr="008204CC" w:rsidRDefault="00806598" w:rsidP="0066301C">
      <w:pPr>
        <w:spacing w:after="0" w:line="240" w:lineRule="auto"/>
        <w:jc w:val="both"/>
        <w:rPr>
          <w:rFonts w:ascii="Arial" w:hAnsi="Arial" w:cs="Arial"/>
          <w:sz w:val="20"/>
          <w:szCs w:val="20"/>
        </w:rPr>
      </w:pPr>
      <w:r w:rsidRPr="008204CC">
        <w:rPr>
          <w:rFonts w:ascii="Arial" w:hAnsi="Arial" w:cs="Arial"/>
          <w:i/>
          <w:sz w:val="20"/>
          <w:szCs w:val="20"/>
          <w:lang w:eastAsia="en-GB"/>
        </w:rPr>
        <w:t xml:space="preserve">Source: </w:t>
      </w:r>
      <w:r w:rsidRPr="008204CC">
        <w:rPr>
          <w:rFonts w:ascii="Arial" w:hAnsi="Arial" w:cs="Arial"/>
          <w:sz w:val="20"/>
          <w:szCs w:val="20"/>
          <w:lang w:eastAsia="en-GB"/>
        </w:rPr>
        <w:t xml:space="preserve">Extracted from </w:t>
      </w:r>
      <w:r w:rsidRPr="000A39E8">
        <w:rPr>
          <w:rFonts w:ascii="Arial" w:hAnsi="Arial" w:cs="Arial"/>
          <w:sz w:val="20"/>
          <w:szCs w:val="20"/>
          <w:lang w:eastAsia="en-GB"/>
        </w:rPr>
        <w:t xml:space="preserve">table </w:t>
      </w:r>
      <w:r w:rsidR="000A39E8" w:rsidRPr="000A39E8">
        <w:rPr>
          <w:rFonts w:ascii="Arial" w:hAnsi="Arial" w:cs="Arial"/>
          <w:sz w:val="20"/>
          <w:szCs w:val="20"/>
          <w:lang w:eastAsia="en-GB"/>
        </w:rPr>
        <w:t>3</w:t>
      </w:r>
      <w:r w:rsidRPr="000A39E8">
        <w:rPr>
          <w:rFonts w:ascii="Arial" w:hAnsi="Arial" w:cs="Arial"/>
          <w:sz w:val="20"/>
          <w:szCs w:val="20"/>
          <w:lang w:eastAsia="en-GB"/>
        </w:rPr>
        <w:t>.</w:t>
      </w:r>
      <w:r w:rsidR="00925FB3" w:rsidRPr="000A39E8">
        <w:rPr>
          <w:rFonts w:ascii="Arial" w:hAnsi="Arial" w:cs="Arial"/>
          <w:sz w:val="20"/>
          <w:szCs w:val="20"/>
          <w:lang w:eastAsia="en-GB"/>
        </w:rPr>
        <w:t>8</w:t>
      </w:r>
      <w:r w:rsidRPr="008204CC">
        <w:rPr>
          <w:rFonts w:ascii="Arial" w:hAnsi="Arial" w:cs="Arial"/>
          <w:sz w:val="20"/>
          <w:szCs w:val="20"/>
          <w:lang w:eastAsia="en-GB"/>
        </w:rPr>
        <w:t xml:space="preserve"> </w:t>
      </w:r>
      <w:r w:rsidRPr="008204CC">
        <w:rPr>
          <w:rFonts w:ascii="Arial" w:hAnsi="Arial" w:cs="Arial"/>
          <w:sz w:val="20"/>
          <w:szCs w:val="20"/>
        </w:rPr>
        <w:t>The Hodrick-Prescott Filter (Congo).</w:t>
      </w:r>
    </w:p>
    <w:p w14:paraId="5D2EBF64" w14:textId="77777777" w:rsidR="00806598" w:rsidRPr="008204CC" w:rsidRDefault="00806598" w:rsidP="0066301C">
      <w:pPr>
        <w:spacing w:after="0" w:line="240" w:lineRule="auto"/>
        <w:rPr>
          <w:rFonts w:ascii="Arial" w:hAnsi="Arial" w:cs="Arial"/>
          <w:sz w:val="20"/>
          <w:szCs w:val="20"/>
          <w:lang w:eastAsia="en-GB"/>
        </w:rPr>
      </w:pPr>
      <w:r w:rsidRPr="008204CC">
        <w:rPr>
          <w:rFonts w:ascii="Arial" w:hAnsi="Arial" w:cs="Arial"/>
          <w:sz w:val="20"/>
          <w:szCs w:val="20"/>
          <w:lang w:eastAsia="en-GB"/>
        </w:rPr>
        <w:t xml:space="preserve">The blue line represents the REER, the red line represents the BEER (EREER), </w:t>
      </w:r>
    </w:p>
    <w:p w14:paraId="603DF7FE" w14:textId="04DBE1AC" w:rsidR="001F4EB6" w:rsidRPr="003210C6" w:rsidRDefault="00806598" w:rsidP="0066301C">
      <w:pPr>
        <w:spacing w:after="0" w:line="360" w:lineRule="auto"/>
        <w:rPr>
          <w:rFonts w:ascii="Arial" w:hAnsi="Arial" w:cs="Arial"/>
          <w:sz w:val="20"/>
          <w:szCs w:val="20"/>
          <w:lang w:eastAsia="en-GB"/>
        </w:rPr>
      </w:pPr>
      <w:r w:rsidRPr="008204CC">
        <w:rPr>
          <w:rFonts w:ascii="Arial" w:hAnsi="Arial" w:cs="Arial"/>
          <w:sz w:val="20"/>
          <w:szCs w:val="20"/>
          <w:lang w:eastAsia="en-GB"/>
        </w:rPr>
        <w:t>and the green line represents the misalignment.</w:t>
      </w:r>
    </w:p>
    <w:p w14:paraId="0AD19200" w14:textId="77777777" w:rsidR="001C0580" w:rsidRDefault="001C0580" w:rsidP="0066301C">
      <w:pPr>
        <w:spacing w:after="0" w:line="240" w:lineRule="auto"/>
        <w:jc w:val="both"/>
        <w:rPr>
          <w:rFonts w:ascii="Arial" w:hAnsi="Arial" w:cs="Arial"/>
          <w:b/>
          <w:i/>
          <w:lang w:eastAsia="en-GB"/>
        </w:rPr>
      </w:pPr>
    </w:p>
    <w:p w14:paraId="616CFB64" w14:textId="21490F02" w:rsidR="00806598" w:rsidRPr="008204CC" w:rsidRDefault="00806598" w:rsidP="0066301C">
      <w:pPr>
        <w:spacing w:after="0" w:line="240" w:lineRule="auto"/>
        <w:jc w:val="both"/>
        <w:rPr>
          <w:rFonts w:ascii="Arial" w:hAnsi="Arial" w:cs="Arial"/>
          <w:i/>
        </w:rPr>
      </w:pPr>
      <w:r w:rsidRPr="000A39E8">
        <w:rPr>
          <w:rFonts w:ascii="Arial" w:hAnsi="Arial" w:cs="Arial"/>
          <w:b/>
          <w:i/>
          <w:lang w:eastAsia="en-GB"/>
        </w:rPr>
        <w:t xml:space="preserve">Figure </w:t>
      </w:r>
      <w:r w:rsidR="000A39E8" w:rsidRPr="000A39E8">
        <w:rPr>
          <w:rFonts w:ascii="Arial" w:hAnsi="Arial" w:cs="Arial"/>
          <w:b/>
          <w:i/>
          <w:lang w:eastAsia="en-GB"/>
        </w:rPr>
        <w:t>3</w:t>
      </w:r>
      <w:r w:rsidRPr="000A39E8">
        <w:rPr>
          <w:rFonts w:ascii="Arial" w:hAnsi="Arial" w:cs="Arial"/>
          <w:b/>
          <w:i/>
          <w:lang w:eastAsia="en-GB"/>
        </w:rPr>
        <w:t>.2f:</w:t>
      </w:r>
      <w:r w:rsidRPr="008204CC">
        <w:rPr>
          <w:rFonts w:ascii="Arial" w:hAnsi="Arial" w:cs="Arial"/>
          <w:b/>
          <w:i/>
          <w:lang w:eastAsia="en-GB"/>
        </w:rPr>
        <w:t xml:space="preserve"> Misalignment of the REER </w:t>
      </w:r>
      <w:r w:rsidRPr="008204CC">
        <w:rPr>
          <w:rFonts w:ascii="Arial" w:hAnsi="Arial" w:cs="Arial"/>
          <w:b/>
          <w:lang w:eastAsia="en-GB"/>
        </w:rPr>
        <w:t>(Congo)</w:t>
      </w:r>
      <w:r w:rsidRPr="008204CC">
        <w:rPr>
          <w:rFonts w:ascii="Arial" w:hAnsi="Arial" w:cs="Arial"/>
          <w:lang w:eastAsia="en-GB"/>
        </w:rPr>
        <w:t>.</w:t>
      </w:r>
    </w:p>
    <w:p w14:paraId="2CF51521" w14:textId="77777777" w:rsidR="00806598" w:rsidRPr="008204CC" w:rsidRDefault="00806598" w:rsidP="0066301C">
      <w:pPr>
        <w:spacing w:after="0" w:line="240" w:lineRule="auto"/>
        <w:jc w:val="both"/>
        <w:rPr>
          <w:rFonts w:ascii="Arial" w:hAnsi="Arial" w:cs="Arial"/>
          <w:i/>
        </w:rPr>
      </w:pPr>
      <w:r w:rsidRPr="008204CC">
        <w:rPr>
          <w:rFonts w:ascii="Arial" w:hAnsi="Arial" w:cs="Arial"/>
          <w:i/>
          <w:noProof/>
          <w:lang w:val="en-US"/>
        </w:rPr>
        <w:drawing>
          <wp:inline distT="0" distB="0" distL="0" distR="0" wp14:anchorId="5EE79F4C" wp14:editId="32C2D30B">
            <wp:extent cx="5049998" cy="2223218"/>
            <wp:effectExtent l="19050" t="19050" r="0" b="5715"/>
            <wp:docPr id="360" name="Picture 36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6"/>
                    <pic:cNvPicPr>
                      <a:picLocks noChangeAspect="1" noChangeArrowheads="1"/>
                    </pic:cNvPicPr>
                  </pic:nvPicPr>
                  <pic:blipFill>
                    <a:blip r:embed="rId33">
                      <a:extLst>
                        <a:ext uri="{28A0092B-C50C-407E-A947-70E740481C1C}">
                          <a14:useLocalDpi xmlns:a14="http://schemas.microsoft.com/office/drawing/2010/main" val="0"/>
                        </a:ext>
                      </a:extLst>
                    </a:blip>
                    <a:srcRect/>
                    <a:stretch>
                      <a:fillRect/>
                    </a:stretch>
                  </pic:blipFill>
                  <pic:spPr bwMode="auto">
                    <a:xfrm>
                      <a:off x="0" y="0"/>
                      <a:ext cx="5128193" cy="2257643"/>
                    </a:xfrm>
                    <a:prstGeom prst="rect">
                      <a:avLst/>
                    </a:prstGeom>
                    <a:noFill/>
                    <a:ln w="12700">
                      <a:solidFill>
                        <a:srgbClr val="5B9BD5"/>
                      </a:solidFill>
                    </a:ln>
                  </pic:spPr>
                </pic:pic>
              </a:graphicData>
            </a:graphic>
          </wp:inline>
        </w:drawing>
      </w:r>
    </w:p>
    <w:p w14:paraId="513858BF" w14:textId="31991D81" w:rsidR="00806598" w:rsidRDefault="00806598" w:rsidP="0066301C">
      <w:pPr>
        <w:spacing w:after="0" w:line="240" w:lineRule="auto"/>
        <w:rPr>
          <w:rFonts w:ascii="Arial" w:hAnsi="Arial" w:cs="Arial"/>
          <w:sz w:val="20"/>
          <w:szCs w:val="20"/>
        </w:rPr>
      </w:pPr>
      <w:r w:rsidRPr="008204CC">
        <w:rPr>
          <w:i/>
          <w:lang w:eastAsia="en-GB"/>
        </w:rPr>
        <w:t xml:space="preserve">Source: </w:t>
      </w:r>
      <w:r w:rsidRPr="008204CC">
        <w:rPr>
          <w:lang w:eastAsia="en-GB"/>
        </w:rPr>
        <w:t xml:space="preserve">Extracted from </w:t>
      </w:r>
      <w:r w:rsidRPr="000A39E8">
        <w:rPr>
          <w:lang w:eastAsia="en-GB"/>
        </w:rPr>
        <w:t xml:space="preserve">figure </w:t>
      </w:r>
      <w:r w:rsidR="000A39E8" w:rsidRPr="000A39E8">
        <w:rPr>
          <w:lang w:eastAsia="en-GB"/>
        </w:rPr>
        <w:t>3</w:t>
      </w:r>
      <w:r w:rsidRPr="000A39E8">
        <w:rPr>
          <w:rFonts w:ascii="Arial" w:hAnsi="Arial" w:cs="Arial"/>
          <w:lang w:eastAsia="en-GB"/>
        </w:rPr>
        <w:t>.1f</w:t>
      </w:r>
      <w:r w:rsidRPr="00E306E3">
        <w:rPr>
          <w:rFonts w:ascii="Arial" w:hAnsi="Arial" w:cs="Arial"/>
          <w:lang w:eastAsia="en-GB"/>
        </w:rPr>
        <w:t xml:space="preserve"> above</w:t>
      </w:r>
      <w:r w:rsidRPr="003210C6">
        <w:rPr>
          <w:rFonts w:ascii="Arial" w:hAnsi="Arial" w:cs="Arial"/>
          <w:sz w:val="20"/>
          <w:szCs w:val="20"/>
        </w:rPr>
        <w:t xml:space="preserve"> </w:t>
      </w:r>
    </w:p>
    <w:p w14:paraId="79B17558" w14:textId="77777777" w:rsidR="00806598" w:rsidRPr="008204CC" w:rsidRDefault="00806598" w:rsidP="0066301C">
      <w:pPr>
        <w:spacing w:after="0" w:line="240" w:lineRule="auto"/>
        <w:rPr>
          <w:rFonts w:ascii="Arial" w:hAnsi="Arial" w:cs="Arial"/>
          <w:sz w:val="20"/>
          <w:szCs w:val="20"/>
        </w:rPr>
      </w:pPr>
      <w:r w:rsidRPr="008204CC">
        <w:rPr>
          <w:rFonts w:ascii="Arial" w:hAnsi="Arial" w:cs="Arial"/>
          <w:sz w:val="20"/>
          <w:szCs w:val="20"/>
        </w:rPr>
        <w:t xml:space="preserve">The currency is said to revolve around the equilibrium when the blue line </w:t>
      </w:r>
    </w:p>
    <w:p w14:paraId="27EFA8A2" w14:textId="77777777" w:rsidR="00806598" w:rsidRPr="008204CC" w:rsidRDefault="00806598" w:rsidP="0066301C">
      <w:pPr>
        <w:spacing w:after="200" w:line="360" w:lineRule="auto"/>
        <w:rPr>
          <w:rFonts w:ascii="Arial" w:hAnsi="Arial" w:cs="Arial"/>
          <w:sz w:val="20"/>
          <w:szCs w:val="20"/>
        </w:rPr>
      </w:pPr>
      <w:r w:rsidRPr="008204CC">
        <w:rPr>
          <w:rFonts w:ascii="Arial" w:hAnsi="Arial" w:cs="Arial"/>
          <w:sz w:val="20"/>
          <w:szCs w:val="20"/>
        </w:rPr>
        <w:t>(misalignment) revolves around the zero-horizontal line.</w:t>
      </w:r>
    </w:p>
    <w:p w14:paraId="3025057A" w14:textId="3BD1753F" w:rsidR="00806598" w:rsidRPr="00E306E3" w:rsidRDefault="00806598" w:rsidP="0066301C">
      <w:pPr>
        <w:spacing w:line="360" w:lineRule="auto"/>
        <w:jc w:val="both"/>
        <w:rPr>
          <w:rFonts w:ascii="Arial" w:hAnsi="Arial" w:cs="Arial"/>
          <w:lang w:eastAsia="en-GB"/>
        </w:rPr>
      </w:pPr>
      <w:r w:rsidRPr="00E306E3">
        <w:rPr>
          <w:rFonts w:ascii="Arial" w:hAnsi="Arial" w:cs="Arial"/>
          <w:lang w:eastAsia="en-GB"/>
        </w:rPr>
        <w:t xml:space="preserve">From the above </w:t>
      </w:r>
      <w:r w:rsidRPr="006443B9">
        <w:rPr>
          <w:rFonts w:ascii="Arial" w:hAnsi="Arial" w:cs="Arial"/>
          <w:lang w:eastAsia="en-GB"/>
        </w:rPr>
        <w:t xml:space="preserve">figure </w:t>
      </w:r>
      <w:r w:rsidR="006443B9" w:rsidRPr="006443B9">
        <w:rPr>
          <w:rFonts w:ascii="Arial" w:hAnsi="Arial" w:cs="Arial"/>
          <w:lang w:eastAsia="en-GB"/>
        </w:rPr>
        <w:t>3</w:t>
      </w:r>
      <w:r w:rsidRPr="006443B9">
        <w:rPr>
          <w:rFonts w:ascii="Arial" w:hAnsi="Arial" w:cs="Arial"/>
          <w:lang w:eastAsia="en-GB"/>
        </w:rPr>
        <w:t xml:space="preserve">.1f and </w:t>
      </w:r>
      <w:r w:rsidR="006443B9" w:rsidRPr="006443B9">
        <w:rPr>
          <w:rFonts w:ascii="Arial" w:hAnsi="Arial" w:cs="Arial"/>
          <w:lang w:eastAsia="en-GB"/>
        </w:rPr>
        <w:t>3</w:t>
      </w:r>
      <w:r w:rsidRPr="006443B9">
        <w:rPr>
          <w:rFonts w:ascii="Arial" w:hAnsi="Arial" w:cs="Arial"/>
          <w:lang w:eastAsia="en-GB"/>
        </w:rPr>
        <w:t>.2f</w:t>
      </w:r>
      <w:r w:rsidRPr="00E306E3">
        <w:rPr>
          <w:rFonts w:ascii="Arial" w:hAnsi="Arial" w:cs="Arial"/>
          <w:lang w:eastAsia="en-GB"/>
        </w:rPr>
        <w:t xml:space="preserve"> for Congo, just as with the case of Chad</w:t>
      </w:r>
      <w:r w:rsidR="00AB7E1A">
        <w:rPr>
          <w:rFonts w:ascii="Arial" w:hAnsi="Arial" w:cs="Arial"/>
          <w:lang w:eastAsia="en-GB"/>
        </w:rPr>
        <w:t>,</w:t>
      </w:r>
      <w:r w:rsidRPr="00E306E3">
        <w:rPr>
          <w:rFonts w:ascii="Arial" w:hAnsi="Arial" w:cs="Arial"/>
          <w:lang w:eastAsia="en-GB"/>
        </w:rPr>
        <w:t xml:space="preserve"> we cannot ascertain the state of the currency prior to the 1994 devaluation due</w:t>
      </w:r>
      <w:r>
        <w:rPr>
          <w:rFonts w:ascii="Arial" w:hAnsi="Arial" w:cs="Arial"/>
          <w:lang w:eastAsia="en-GB"/>
        </w:rPr>
        <w:t xml:space="preserve"> to </w:t>
      </w:r>
      <w:r w:rsidR="004B5E1B">
        <w:rPr>
          <w:rFonts w:ascii="Arial" w:hAnsi="Arial" w:cs="Arial"/>
          <w:lang w:eastAsia="en-GB"/>
        </w:rPr>
        <w:t xml:space="preserve">the </w:t>
      </w:r>
      <w:r>
        <w:rPr>
          <w:rFonts w:ascii="Arial" w:hAnsi="Arial" w:cs="Arial"/>
          <w:lang w:eastAsia="en-GB"/>
        </w:rPr>
        <w:t>unavailability of data. However,</w:t>
      </w:r>
      <w:r w:rsidRPr="00E306E3">
        <w:rPr>
          <w:rFonts w:ascii="Arial" w:hAnsi="Arial" w:cs="Arial"/>
          <w:lang w:eastAsia="en-GB"/>
        </w:rPr>
        <w:t xml:space="preserve"> these graphs show that the currency has gone through series of undervaluation, overvaluation, and equilibrium. However, as </w:t>
      </w:r>
      <w:r>
        <w:rPr>
          <w:rFonts w:ascii="Arial" w:hAnsi="Arial" w:cs="Arial"/>
          <w:lang w:eastAsia="en-GB"/>
        </w:rPr>
        <w:t xml:space="preserve">of </w:t>
      </w:r>
      <w:r w:rsidRPr="00E306E3">
        <w:rPr>
          <w:rFonts w:ascii="Arial" w:hAnsi="Arial" w:cs="Arial"/>
          <w:lang w:eastAsia="en-GB"/>
        </w:rPr>
        <w:t xml:space="preserve">2018, the currency was around the equilibrium (1.08%). </w:t>
      </w:r>
      <w:r>
        <w:rPr>
          <w:rFonts w:ascii="Arial" w:hAnsi="Arial" w:cs="Arial"/>
          <w:lang w:eastAsia="en-GB"/>
        </w:rPr>
        <w:t>Thus, it should not be a point of concern for the nation’s authorities.</w:t>
      </w:r>
    </w:p>
    <w:p w14:paraId="174FDCC2" w14:textId="45877495" w:rsidR="00806598" w:rsidRDefault="00806598" w:rsidP="0066301C">
      <w:pPr>
        <w:spacing w:line="360" w:lineRule="auto"/>
        <w:jc w:val="both"/>
        <w:rPr>
          <w:rFonts w:ascii="Arial" w:hAnsi="Arial" w:cs="Arial"/>
          <w:lang w:eastAsia="en-GB"/>
        </w:rPr>
      </w:pPr>
      <w:r w:rsidRPr="00E306E3">
        <w:rPr>
          <w:rFonts w:ascii="Arial" w:hAnsi="Arial" w:cs="Arial"/>
          <w:lang w:eastAsia="en-GB"/>
        </w:rPr>
        <w:t xml:space="preserve">The results of the BEER approach for the six CEMAC nations point some similarities among all the nations with some few discrepancies. Looking at the three nations with data beginning in </w:t>
      </w:r>
      <w:r>
        <w:rPr>
          <w:rFonts w:ascii="Arial" w:hAnsi="Arial" w:cs="Arial"/>
          <w:lang w:eastAsia="en-GB"/>
        </w:rPr>
        <w:t xml:space="preserve">the year </w:t>
      </w:r>
      <w:r w:rsidRPr="00E306E3">
        <w:rPr>
          <w:rFonts w:ascii="Arial" w:hAnsi="Arial" w:cs="Arial"/>
          <w:lang w:eastAsia="en-GB"/>
        </w:rPr>
        <w:t>1980</w:t>
      </w:r>
      <w:r>
        <w:rPr>
          <w:rFonts w:ascii="Arial" w:hAnsi="Arial" w:cs="Arial"/>
          <w:lang w:eastAsia="en-GB"/>
        </w:rPr>
        <w:t>;</w:t>
      </w:r>
      <w:r w:rsidRPr="00E306E3">
        <w:rPr>
          <w:rFonts w:ascii="Arial" w:hAnsi="Arial" w:cs="Arial"/>
          <w:lang w:eastAsia="en-GB"/>
        </w:rPr>
        <w:t xml:space="preserve"> Cameroon, CAR, and Gabon currency were overvalued by 7.44%, 9.80%, </w:t>
      </w:r>
      <w:r w:rsidRPr="00E306E3">
        <w:rPr>
          <w:rFonts w:ascii="Arial" w:hAnsi="Arial" w:cs="Arial"/>
          <w:lang w:eastAsia="en-GB"/>
        </w:rPr>
        <w:lastRenderedPageBreak/>
        <w:t>and 9.70</w:t>
      </w:r>
      <w:r>
        <w:rPr>
          <w:rFonts w:ascii="Arial" w:hAnsi="Arial" w:cs="Arial"/>
          <w:lang w:eastAsia="en-GB"/>
        </w:rPr>
        <w:t>%</w:t>
      </w:r>
      <w:r w:rsidR="00756790">
        <w:rPr>
          <w:rFonts w:ascii="Arial" w:hAnsi="Arial" w:cs="Arial"/>
          <w:lang w:eastAsia="en-GB"/>
        </w:rPr>
        <w:t>,</w:t>
      </w:r>
      <w:r w:rsidRPr="00E306E3">
        <w:rPr>
          <w:rFonts w:ascii="Arial" w:hAnsi="Arial" w:cs="Arial"/>
          <w:lang w:eastAsia="en-GB"/>
        </w:rPr>
        <w:t xml:space="preserve"> respectively. The four nations with data prior to the devaluation had overvalue</w:t>
      </w:r>
      <w:r w:rsidR="007670D1">
        <w:rPr>
          <w:rFonts w:ascii="Arial" w:hAnsi="Arial" w:cs="Arial"/>
          <w:lang w:eastAsia="en-GB"/>
        </w:rPr>
        <w:t>d</w:t>
      </w:r>
      <w:r w:rsidRPr="00E306E3">
        <w:rPr>
          <w:rFonts w:ascii="Arial" w:hAnsi="Arial" w:cs="Arial"/>
          <w:lang w:eastAsia="en-GB"/>
        </w:rPr>
        <w:t xml:space="preserve"> currency</w:t>
      </w:r>
      <w:r w:rsidR="007670D1">
        <w:rPr>
          <w:rFonts w:ascii="Arial" w:hAnsi="Arial" w:cs="Arial"/>
          <w:lang w:eastAsia="en-GB"/>
        </w:rPr>
        <w:t>,</w:t>
      </w:r>
      <w:r w:rsidRPr="00E306E3">
        <w:rPr>
          <w:rFonts w:ascii="Arial" w:hAnsi="Arial" w:cs="Arial"/>
          <w:lang w:eastAsia="en-GB"/>
        </w:rPr>
        <w:t xml:space="preserve"> but for Gabon (i.e., in </w:t>
      </w:r>
      <w:r>
        <w:rPr>
          <w:rFonts w:ascii="Arial" w:hAnsi="Arial" w:cs="Arial"/>
          <w:lang w:eastAsia="en-GB"/>
        </w:rPr>
        <w:t xml:space="preserve">the year </w:t>
      </w:r>
      <w:r w:rsidRPr="00E306E3">
        <w:rPr>
          <w:rFonts w:ascii="Arial" w:hAnsi="Arial" w:cs="Arial"/>
          <w:lang w:eastAsia="en-GB"/>
        </w:rPr>
        <w:t>1993</w:t>
      </w:r>
      <w:r>
        <w:rPr>
          <w:rFonts w:ascii="Arial" w:hAnsi="Arial" w:cs="Arial"/>
          <w:lang w:eastAsia="en-GB"/>
        </w:rPr>
        <w:t>;</w:t>
      </w:r>
      <w:r w:rsidRPr="00E306E3">
        <w:rPr>
          <w:rFonts w:ascii="Arial" w:hAnsi="Arial" w:cs="Arial"/>
          <w:lang w:eastAsia="en-GB"/>
        </w:rPr>
        <w:t xml:space="preserve"> Cameroon, CAR, and Equatorial Guinea were overvalued by 12.37%, 9.680%, and 7.56%</w:t>
      </w:r>
      <w:r w:rsidR="007670D1">
        <w:rPr>
          <w:rFonts w:ascii="Arial" w:hAnsi="Arial" w:cs="Arial"/>
          <w:lang w:eastAsia="en-GB"/>
        </w:rPr>
        <w:t>,</w:t>
      </w:r>
      <w:r w:rsidRPr="00E306E3">
        <w:rPr>
          <w:rFonts w:ascii="Arial" w:hAnsi="Arial" w:cs="Arial"/>
          <w:lang w:eastAsia="en-GB"/>
        </w:rPr>
        <w:t xml:space="preserve"> respectively, while Gabon was within equilibrium with value of 2.22%). The devaluation was aim</w:t>
      </w:r>
      <w:r w:rsidR="0051637E">
        <w:rPr>
          <w:rFonts w:ascii="Arial" w:hAnsi="Arial" w:cs="Arial"/>
          <w:lang w:eastAsia="en-GB"/>
        </w:rPr>
        <w:t>ed</w:t>
      </w:r>
      <w:r w:rsidRPr="00E306E3">
        <w:rPr>
          <w:rFonts w:ascii="Arial" w:hAnsi="Arial" w:cs="Arial"/>
          <w:lang w:eastAsia="en-GB"/>
        </w:rPr>
        <w:t xml:space="preserve"> at curbing the overvaluation faced by the nations. Instead of the devaluation getting the currency to equilibrium, they were deeply undervalued with</w:t>
      </w:r>
      <w:r w:rsidR="0051637E">
        <w:rPr>
          <w:rFonts w:ascii="Arial" w:hAnsi="Arial" w:cs="Arial"/>
          <w:lang w:eastAsia="en-GB"/>
        </w:rPr>
        <w:t>,</w:t>
      </w:r>
      <w:r w:rsidRPr="00E306E3">
        <w:rPr>
          <w:rFonts w:ascii="Arial" w:hAnsi="Arial" w:cs="Arial"/>
          <w:lang w:eastAsia="en-GB"/>
        </w:rPr>
        <w:t xml:space="preserve"> Cameroon, CAR, Gabon, and Equatorial Guinea having (-30.67%), (-32.46%), (-35.68%), and (-12.14%) respectively.</w:t>
      </w:r>
      <w:r w:rsidRPr="00E306E3">
        <w:rPr>
          <w:rFonts w:ascii="Arial" w:hAnsi="Arial" w:cs="Arial"/>
          <w:vertAlign w:val="superscript"/>
          <w:lang w:eastAsia="en-GB"/>
        </w:rPr>
        <w:footnoteReference w:id="79"/>
      </w:r>
      <w:r w:rsidRPr="00E306E3">
        <w:rPr>
          <w:rFonts w:ascii="Arial" w:hAnsi="Arial" w:cs="Arial"/>
          <w:lang w:eastAsia="en-GB"/>
        </w:rPr>
        <w:t xml:space="preserve"> Equatorial Guinea’s devaluation was not much relative to the other three nations, and it revolved around its equilibrium after just a year. Whereas the other three nations took two to four years to revolve around the equilibrium (Cameroon, CAR, and Gabon took 4, 2, and 3 years respectively). As </w:t>
      </w:r>
      <w:r w:rsidR="0051637E">
        <w:rPr>
          <w:rFonts w:ascii="Arial" w:hAnsi="Arial" w:cs="Arial"/>
          <w:lang w:eastAsia="en-GB"/>
        </w:rPr>
        <w:t>of</w:t>
      </w:r>
      <w:r w:rsidRPr="00E306E3">
        <w:rPr>
          <w:rFonts w:ascii="Arial" w:hAnsi="Arial" w:cs="Arial"/>
          <w:lang w:eastAsia="en-GB"/>
        </w:rPr>
        <w:t xml:space="preserve"> 2018, all the six nations revolved around the equilibrium, with their REER misalignment being less than 5% (Cameroon, CAR, Gabon, Equatorial </w:t>
      </w:r>
      <w:r>
        <w:rPr>
          <w:rFonts w:ascii="Arial" w:hAnsi="Arial" w:cs="Arial"/>
          <w:lang w:eastAsia="en-GB"/>
        </w:rPr>
        <w:t>G</w:t>
      </w:r>
      <w:r w:rsidRPr="00E306E3">
        <w:rPr>
          <w:rFonts w:ascii="Arial" w:hAnsi="Arial" w:cs="Arial"/>
          <w:lang w:eastAsia="en-GB"/>
        </w:rPr>
        <w:t>uinea, Chad, and Congo having 1.85%, 3.73%, 4.59%, -0.70%, -</w:t>
      </w:r>
      <w:r>
        <w:rPr>
          <w:rFonts w:ascii="Arial" w:hAnsi="Arial" w:cs="Arial"/>
          <w:lang w:eastAsia="en-GB"/>
        </w:rPr>
        <w:t>4.45</w:t>
      </w:r>
      <w:r w:rsidRPr="00E306E3">
        <w:rPr>
          <w:rFonts w:ascii="Arial" w:hAnsi="Arial" w:cs="Arial"/>
          <w:lang w:eastAsia="en-GB"/>
        </w:rPr>
        <w:t xml:space="preserve">%, and 1.08% respectively). Thus, the </w:t>
      </w:r>
      <w:bookmarkStart w:id="387" w:name="_Hlk170836117"/>
      <w:r w:rsidRPr="00E306E3">
        <w:rPr>
          <w:rFonts w:ascii="Arial" w:hAnsi="Arial" w:cs="Arial"/>
          <w:lang w:eastAsia="en-GB"/>
        </w:rPr>
        <w:t>CFA franc is at equilibrium in all the six CEMAC nations as of the year 2018.</w:t>
      </w:r>
    </w:p>
    <w:p w14:paraId="0734ADAA" w14:textId="50770BB1" w:rsidR="002D51AC" w:rsidRPr="002D51AC" w:rsidRDefault="00FE73A3" w:rsidP="0066301C">
      <w:pPr>
        <w:pStyle w:val="Heading3"/>
        <w:numPr>
          <w:ilvl w:val="0"/>
          <w:numId w:val="0"/>
        </w:numPr>
        <w:spacing w:before="0" w:beforeAutospacing="0"/>
        <w:rPr>
          <w:highlight w:val="cyan"/>
        </w:rPr>
      </w:pPr>
      <w:bookmarkStart w:id="388" w:name="_Toc171075396"/>
      <w:r>
        <w:t>3</w:t>
      </w:r>
      <w:r w:rsidR="00DA6F54">
        <w:t>.</w:t>
      </w:r>
      <w:r w:rsidR="00250E81">
        <w:t>5</w:t>
      </w:r>
      <w:r w:rsidR="00DA6F54">
        <w:t>.</w:t>
      </w:r>
      <w:r w:rsidR="00DA6F54" w:rsidRPr="00657EFD">
        <w:t>6</w:t>
      </w:r>
      <w:r w:rsidR="00657EFD">
        <w:tab/>
      </w:r>
      <w:r w:rsidR="00A925F3" w:rsidRPr="00657EFD">
        <w:t>STABILITY</w:t>
      </w:r>
      <w:r w:rsidR="00A925F3">
        <w:t xml:space="preserve"> TEST</w:t>
      </w:r>
      <w:r w:rsidR="00250E81">
        <w:t>S</w:t>
      </w:r>
      <w:bookmarkEnd w:id="388"/>
    </w:p>
    <w:p w14:paraId="3D23F0CD" w14:textId="14348CD1" w:rsidR="002D51AC" w:rsidRDefault="002D51AC" w:rsidP="0066301C">
      <w:pPr>
        <w:spacing w:line="360" w:lineRule="auto"/>
        <w:jc w:val="both"/>
        <w:rPr>
          <w:rFonts w:ascii="Arial" w:eastAsiaTheme="minorEastAsia" w:hAnsi="Arial" w:cs="Arial"/>
          <w:iCs/>
        </w:rPr>
      </w:pPr>
      <w:bookmarkStart w:id="389" w:name="_Hlk162606352"/>
      <w:r w:rsidRPr="00A54FDF">
        <w:rPr>
          <w:rFonts w:ascii="Arial" w:hAnsi="Arial" w:cs="Arial"/>
        </w:rPr>
        <w:t xml:space="preserve">We check if the estimated regression equations are stable throughout the sample period of the study. Parameter stability tests play a vital role in ensuring </w:t>
      </w:r>
      <w:r w:rsidR="00DE2E62" w:rsidRPr="00A54FDF">
        <w:rPr>
          <w:rFonts w:ascii="Arial" w:hAnsi="Arial" w:cs="Arial"/>
        </w:rPr>
        <w:t xml:space="preserve">the </w:t>
      </w:r>
      <w:r w:rsidRPr="00A54FDF">
        <w:rPr>
          <w:rFonts w:ascii="Arial" w:hAnsi="Arial" w:cs="Arial"/>
        </w:rPr>
        <w:t>reliability of policy simulation based on the model</w:t>
      </w:r>
      <w:r w:rsidRPr="00A54FDF">
        <w:rPr>
          <w:rFonts w:ascii="Arial" w:eastAsiaTheme="minorEastAsia" w:hAnsi="Arial" w:cs="Arial"/>
          <w:iCs/>
        </w:rPr>
        <w:t>.</w:t>
      </w:r>
      <w:r w:rsidRPr="00481B82">
        <w:rPr>
          <w:rFonts w:ascii="Arial" w:eastAsiaTheme="minorEastAsia" w:hAnsi="Arial" w:cs="Arial"/>
          <w:iCs/>
        </w:rPr>
        <w:t xml:space="preserve"> </w:t>
      </w:r>
      <w:bookmarkEnd w:id="389"/>
      <w:r w:rsidRPr="00481B82">
        <w:rPr>
          <w:rFonts w:ascii="Arial" w:eastAsiaTheme="minorEastAsia" w:hAnsi="Arial" w:cs="Arial"/>
          <w:iCs/>
        </w:rPr>
        <w:t xml:space="preserve">To test for stability following Bahmani-Oskooee and Goswami (2003), </w:t>
      </w:r>
      <w:bookmarkStart w:id="390" w:name="_Hlk162606419"/>
      <w:r w:rsidRPr="00481B82">
        <w:rPr>
          <w:rFonts w:ascii="Arial" w:eastAsiaTheme="minorEastAsia" w:hAnsi="Arial" w:cs="Arial"/>
          <w:iCs/>
        </w:rPr>
        <w:t xml:space="preserve">we apply the cumulative sum (CUSUM) and cumulative sum square (CUSUMSQ) tests of Brown </w:t>
      </w:r>
      <w:r w:rsidRPr="00481B82">
        <w:rPr>
          <w:rFonts w:ascii="Arial" w:eastAsiaTheme="minorEastAsia" w:hAnsi="Arial" w:cs="Arial"/>
          <w:i/>
        </w:rPr>
        <w:t xml:space="preserve">et al. </w:t>
      </w:r>
      <w:r w:rsidRPr="00481B82">
        <w:rPr>
          <w:rFonts w:ascii="Arial" w:eastAsiaTheme="minorEastAsia" w:hAnsi="Arial" w:cs="Arial"/>
          <w:iCs/>
        </w:rPr>
        <w:t xml:space="preserve">(1975) to the residuals of the models. </w:t>
      </w:r>
      <w:bookmarkEnd w:id="387"/>
      <w:bookmarkEnd w:id="390"/>
      <w:r w:rsidRPr="00481B82">
        <w:rPr>
          <w:rFonts w:ascii="Arial" w:eastAsiaTheme="minorEastAsia" w:hAnsi="Arial" w:cs="Arial"/>
          <w:iCs/>
        </w:rPr>
        <w:t>The advantage of this approach is that it selects the break points recursively rather than arbitrarily. According to the CUSUM test</w:t>
      </w:r>
      <w:r w:rsidR="00685EDA">
        <w:rPr>
          <w:rFonts w:ascii="Arial" w:eastAsiaTheme="minorEastAsia" w:hAnsi="Arial" w:cs="Arial"/>
          <w:iCs/>
        </w:rPr>
        <w:t>,</w:t>
      </w:r>
      <w:r w:rsidRPr="00481B82">
        <w:rPr>
          <w:rFonts w:ascii="Arial" w:eastAsiaTheme="minorEastAsia" w:hAnsi="Arial" w:cs="Arial"/>
          <w:iCs/>
        </w:rPr>
        <w:t xml:space="preserve"> the recursive residuals are plotted against the breakpoints</w:t>
      </w:r>
      <w:r w:rsidR="00685EDA">
        <w:rPr>
          <w:rFonts w:ascii="Arial" w:eastAsiaTheme="minorEastAsia" w:hAnsi="Arial" w:cs="Arial"/>
          <w:iCs/>
        </w:rPr>
        <w:t>,</w:t>
      </w:r>
      <w:r w:rsidRPr="00481B82">
        <w:rPr>
          <w:rFonts w:ascii="Arial" w:eastAsiaTheme="minorEastAsia" w:hAnsi="Arial" w:cs="Arial"/>
          <w:iCs/>
        </w:rPr>
        <w:t xml:space="preserve"> while the CUSUMSQ plots the squared recursive residuals against the breakpoints. As a graphical illustration, these two statistics are then plotted with two straight lines</w:t>
      </w:r>
      <w:r w:rsidR="00885539">
        <w:rPr>
          <w:rFonts w:ascii="Arial" w:eastAsiaTheme="minorEastAsia" w:hAnsi="Arial" w:cs="Arial"/>
          <w:iCs/>
        </w:rPr>
        <w:t>,</w:t>
      </w:r>
      <w:r w:rsidRPr="00481B82">
        <w:rPr>
          <w:rFonts w:ascii="Arial" w:eastAsiaTheme="minorEastAsia" w:hAnsi="Arial" w:cs="Arial"/>
          <w:iCs/>
        </w:rPr>
        <w:t xml:space="preserve"> which are bounded by 5% significance level. If any point l</w:t>
      </w:r>
      <w:r w:rsidR="00885539">
        <w:rPr>
          <w:rFonts w:ascii="Arial" w:eastAsiaTheme="minorEastAsia" w:hAnsi="Arial" w:cs="Arial"/>
          <w:iCs/>
        </w:rPr>
        <w:t>ies</w:t>
      </w:r>
      <w:r w:rsidRPr="00481B82">
        <w:rPr>
          <w:rFonts w:ascii="Arial" w:eastAsiaTheme="minorEastAsia" w:hAnsi="Arial" w:cs="Arial"/>
          <w:iCs/>
        </w:rPr>
        <w:t xml:space="preserve"> beyond the 5% significance level, the null hypothesis of stable parameters is rejected</w:t>
      </w:r>
      <w:r w:rsidR="002C0B32" w:rsidRPr="00481B82">
        <w:rPr>
          <w:rFonts w:ascii="Arial" w:eastAsiaTheme="minorEastAsia" w:hAnsi="Arial" w:cs="Arial"/>
          <w:iCs/>
        </w:rPr>
        <w:t xml:space="preserve">. </w:t>
      </w:r>
      <w:r w:rsidR="008B49AC" w:rsidRPr="00481B82">
        <w:rPr>
          <w:rFonts w:ascii="Arial" w:eastAsiaTheme="minorEastAsia" w:hAnsi="Arial" w:cs="Arial"/>
          <w:iCs/>
        </w:rPr>
        <w:t>The</w:t>
      </w:r>
      <w:r w:rsidR="008B49AC">
        <w:rPr>
          <w:rFonts w:ascii="Arial" w:eastAsiaTheme="minorEastAsia" w:hAnsi="Arial" w:cs="Arial"/>
          <w:iCs/>
        </w:rPr>
        <w:t xml:space="preserve"> stability test result</w:t>
      </w:r>
      <w:r w:rsidR="00CF49FC">
        <w:rPr>
          <w:rFonts w:ascii="Arial" w:eastAsiaTheme="minorEastAsia" w:hAnsi="Arial" w:cs="Arial"/>
          <w:iCs/>
        </w:rPr>
        <w:t>s</w:t>
      </w:r>
      <w:r w:rsidR="008B49AC">
        <w:rPr>
          <w:rFonts w:ascii="Arial" w:eastAsiaTheme="minorEastAsia" w:hAnsi="Arial" w:cs="Arial"/>
          <w:iCs/>
        </w:rPr>
        <w:t xml:space="preserve"> of the </w:t>
      </w:r>
      <w:r w:rsidR="004A17A6">
        <w:rPr>
          <w:rFonts w:ascii="Arial" w:eastAsiaTheme="minorEastAsia" w:hAnsi="Arial" w:cs="Arial"/>
          <w:iCs/>
        </w:rPr>
        <w:t>four CEMA</w:t>
      </w:r>
      <w:r w:rsidR="002B3297">
        <w:rPr>
          <w:rFonts w:ascii="Arial" w:eastAsiaTheme="minorEastAsia" w:hAnsi="Arial" w:cs="Arial"/>
          <w:iCs/>
        </w:rPr>
        <w:t xml:space="preserve">C nations are </w:t>
      </w:r>
      <w:r w:rsidR="001844EC">
        <w:rPr>
          <w:rFonts w:ascii="Arial" w:eastAsiaTheme="minorEastAsia" w:hAnsi="Arial" w:cs="Arial"/>
          <w:iCs/>
        </w:rPr>
        <w:t xml:space="preserve">graphically presented </w:t>
      </w:r>
      <w:r w:rsidR="00CF49FC">
        <w:rPr>
          <w:rFonts w:ascii="Arial" w:eastAsiaTheme="minorEastAsia" w:hAnsi="Arial" w:cs="Arial"/>
          <w:iCs/>
        </w:rPr>
        <w:t>i</w:t>
      </w:r>
      <w:r w:rsidR="001844EC">
        <w:rPr>
          <w:rFonts w:ascii="Arial" w:eastAsiaTheme="minorEastAsia" w:hAnsi="Arial" w:cs="Arial"/>
          <w:iCs/>
        </w:rPr>
        <w:t xml:space="preserve">n </w:t>
      </w:r>
      <w:r w:rsidR="001844EC" w:rsidRPr="00177EB2">
        <w:rPr>
          <w:rFonts w:ascii="Arial" w:eastAsiaTheme="minorEastAsia" w:hAnsi="Arial" w:cs="Arial"/>
          <w:iCs/>
        </w:rPr>
        <w:t xml:space="preserve">figures </w:t>
      </w:r>
      <w:r w:rsidR="00845EB8" w:rsidRPr="00177EB2">
        <w:rPr>
          <w:rFonts w:ascii="Arial" w:eastAsiaTheme="minorEastAsia" w:hAnsi="Arial" w:cs="Arial"/>
          <w:iCs/>
        </w:rPr>
        <w:t>3.3</w:t>
      </w:r>
      <w:r w:rsidR="0071785B">
        <w:rPr>
          <w:rFonts w:ascii="Arial" w:eastAsiaTheme="minorEastAsia" w:hAnsi="Arial" w:cs="Arial"/>
          <w:iCs/>
        </w:rPr>
        <w:t xml:space="preserve"> below</w:t>
      </w:r>
      <w:r w:rsidR="00E60EF3">
        <w:rPr>
          <w:rFonts w:ascii="Arial" w:eastAsiaTheme="minorEastAsia" w:hAnsi="Arial" w:cs="Arial"/>
          <w:iCs/>
        </w:rPr>
        <w:t>.</w:t>
      </w:r>
    </w:p>
    <w:p w14:paraId="60DC0150" w14:textId="77777777" w:rsidR="001E5699" w:rsidRDefault="001E5699" w:rsidP="0066301C">
      <w:pPr>
        <w:spacing w:line="360" w:lineRule="auto"/>
        <w:jc w:val="both"/>
        <w:rPr>
          <w:rFonts w:ascii="Arial" w:eastAsiaTheme="minorEastAsia" w:hAnsi="Arial" w:cs="Arial"/>
          <w:iCs/>
        </w:rPr>
      </w:pPr>
    </w:p>
    <w:p w14:paraId="3AE5773F" w14:textId="77777777" w:rsidR="00E60EF3" w:rsidRDefault="00E60EF3" w:rsidP="0066301C">
      <w:pPr>
        <w:autoSpaceDE w:val="0"/>
        <w:autoSpaceDN w:val="0"/>
        <w:adjustRightInd w:val="0"/>
        <w:spacing w:after="0"/>
        <w:ind w:right="237"/>
        <w:rPr>
          <w:rFonts w:ascii="Arial" w:hAnsi="Arial" w:cs="Arial"/>
          <w:b/>
          <w:color w:val="000000"/>
        </w:rPr>
      </w:pPr>
      <w:r w:rsidRPr="007C4A32">
        <w:rPr>
          <w:rFonts w:ascii="Arial" w:hAnsi="Arial" w:cs="Arial"/>
          <w:b/>
          <w:color w:val="000000"/>
        </w:rPr>
        <w:t xml:space="preserve">Figures 3.3: </w:t>
      </w:r>
      <w:r w:rsidRPr="0063382D">
        <w:rPr>
          <w:rFonts w:ascii="Arial" w:hAnsi="Arial" w:cs="Arial"/>
          <w:b/>
          <w:bCs/>
        </w:rPr>
        <w:t>CUSUM and CUSUMSQ</w:t>
      </w:r>
    </w:p>
    <w:p w14:paraId="101C8488" w14:textId="77777777" w:rsidR="00E60EF3" w:rsidRDefault="00E60EF3" w:rsidP="0066301C">
      <w:pPr>
        <w:autoSpaceDE w:val="0"/>
        <w:autoSpaceDN w:val="0"/>
        <w:adjustRightInd w:val="0"/>
        <w:spacing w:after="0"/>
        <w:jc w:val="both"/>
        <w:rPr>
          <w:rFonts w:ascii="Arial" w:hAnsi="Arial" w:cs="Arial"/>
          <w:sz w:val="20"/>
          <w:szCs w:val="20"/>
        </w:rPr>
      </w:pPr>
    </w:p>
    <w:p w14:paraId="31150450" w14:textId="77777777" w:rsidR="00E60EF3" w:rsidRPr="007B5321" w:rsidRDefault="00E60EF3" w:rsidP="0066301C">
      <w:pPr>
        <w:spacing w:after="0"/>
        <w:rPr>
          <w:rFonts w:ascii="Arial" w:hAnsi="Arial" w:cs="Arial"/>
          <w:b/>
          <w:bCs/>
        </w:rPr>
      </w:pPr>
      <w:r w:rsidRPr="0063382D">
        <w:rPr>
          <w:rFonts w:ascii="Arial" w:hAnsi="Arial" w:cs="Arial"/>
        </w:rPr>
        <w:t xml:space="preserve">   </w:t>
      </w:r>
      <w:r w:rsidRPr="007B5321">
        <w:rPr>
          <w:rFonts w:ascii="Arial" w:hAnsi="Arial" w:cs="Arial"/>
          <w:b/>
          <w:bCs/>
        </w:rPr>
        <w:t xml:space="preserve">Figure 3.3a: CUSUM and CUSUMSQ for Cameroon </w:t>
      </w:r>
    </w:p>
    <w:p w14:paraId="0E533FAA" w14:textId="77777777" w:rsidR="00E60EF3" w:rsidRDefault="00E60EF3" w:rsidP="0019196C">
      <w:pPr>
        <w:spacing w:after="0" w:line="240" w:lineRule="auto"/>
        <w:rPr>
          <w:bdr w:val="single" w:sz="4" w:space="0" w:color="auto"/>
        </w:rPr>
      </w:pPr>
      <w:r>
        <w:lastRenderedPageBreak/>
        <w:t xml:space="preserve">  </w:t>
      </w:r>
      <w:r w:rsidRPr="007F11A6">
        <w:rPr>
          <w:noProof/>
          <w:bdr w:val="single" w:sz="4" w:space="0" w:color="auto"/>
        </w:rPr>
        <w:drawing>
          <wp:inline distT="0" distB="0" distL="0" distR="0" wp14:anchorId="62AFAEB7" wp14:editId="08CE8A1C">
            <wp:extent cx="2613660" cy="2016760"/>
            <wp:effectExtent l="0" t="0" r="0" b="2540"/>
            <wp:docPr id="1323691712" name="Picture 132369171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pic:cNvPicPr>
                      <a:picLocks noChangeAspect="1" noChangeArrowheads="1"/>
                    </pic:cNvPicPr>
                  </pic:nvPicPr>
                  <pic:blipFill>
                    <a:blip r:embed="rId34" cstate="print">
                      <a:extLst>
                        <a:ext uri="{28A0092B-C50C-407E-A947-70E740481C1C}">
                          <a14:useLocalDpi xmlns:a14="http://schemas.microsoft.com/office/drawing/2010/main" val="0"/>
                        </a:ext>
                      </a:extLst>
                    </a:blip>
                    <a:srcRect/>
                    <a:stretch>
                      <a:fillRect/>
                    </a:stretch>
                  </pic:blipFill>
                  <pic:spPr bwMode="auto">
                    <a:xfrm>
                      <a:off x="0" y="0"/>
                      <a:ext cx="2613660" cy="2016760"/>
                    </a:xfrm>
                    <a:prstGeom prst="rect">
                      <a:avLst/>
                    </a:prstGeom>
                    <a:noFill/>
                    <a:ln>
                      <a:noFill/>
                    </a:ln>
                  </pic:spPr>
                </pic:pic>
              </a:graphicData>
            </a:graphic>
          </wp:inline>
        </w:drawing>
      </w:r>
      <w:r w:rsidRPr="007F11A6">
        <w:rPr>
          <w:bdr w:val="single" w:sz="4" w:space="0" w:color="auto"/>
        </w:rPr>
        <w:t xml:space="preserve">             </w:t>
      </w:r>
      <w:r w:rsidRPr="007F11A6">
        <w:rPr>
          <w:noProof/>
          <w:bdr w:val="single" w:sz="4" w:space="0" w:color="auto"/>
        </w:rPr>
        <w:drawing>
          <wp:inline distT="0" distB="0" distL="0" distR="0" wp14:anchorId="76950FA9" wp14:editId="4F86CF23">
            <wp:extent cx="2491740" cy="1888490"/>
            <wp:effectExtent l="0" t="0" r="3810" b="0"/>
            <wp:docPr id="1008146849" name="Picture 100814684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7"/>
                    <pic:cNvPicPr>
                      <a:picLocks noChangeAspect="1" noChangeArrowheads="1"/>
                    </pic:cNvPicPr>
                  </pic:nvPicPr>
                  <pic:blipFill>
                    <a:blip r:embed="rId35" cstate="print">
                      <a:extLst>
                        <a:ext uri="{28A0092B-C50C-407E-A947-70E740481C1C}">
                          <a14:useLocalDpi xmlns:a14="http://schemas.microsoft.com/office/drawing/2010/main" val="0"/>
                        </a:ext>
                      </a:extLst>
                    </a:blip>
                    <a:srcRect/>
                    <a:stretch>
                      <a:fillRect/>
                    </a:stretch>
                  </pic:blipFill>
                  <pic:spPr bwMode="auto">
                    <a:xfrm>
                      <a:off x="0" y="0"/>
                      <a:ext cx="2505378" cy="1898826"/>
                    </a:xfrm>
                    <a:prstGeom prst="rect">
                      <a:avLst/>
                    </a:prstGeom>
                    <a:noFill/>
                    <a:ln>
                      <a:noFill/>
                    </a:ln>
                  </pic:spPr>
                </pic:pic>
              </a:graphicData>
            </a:graphic>
          </wp:inline>
        </w:drawing>
      </w:r>
      <w:r w:rsidRPr="007F11A6">
        <w:rPr>
          <w:bdr w:val="single" w:sz="4" w:space="0" w:color="auto"/>
        </w:rPr>
        <w:t xml:space="preserve">        </w:t>
      </w:r>
      <w:r>
        <w:t xml:space="preserve">                                   </w:t>
      </w:r>
    </w:p>
    <w:p w14:paraId="5D94EFFA" w14:textId="25F60044" w:rsidR="00EC689C" w:rsidRPr="005D14CA" w:rsidRDefault="0019196C" w:rsidP="0019196C">
      <w:pPr>
        <w:pStyle w:val="ListParagraph"/>
        <w:autoSpaceDE w:val="0"/>
        <w:autoSpaceDN w:val="0"/>
        <w:adjustRightInd w:val="0"/>
        <w:spacing w:after="0" w:line="240" w:lineRule="auto"/>
        <w:ind w:left="0"/>
        <w:rPr>
          <w:rFonts w:ascii="Arial" w:hAnsi="Arial" w:cs="Arial"/>
          <w:b/>
          <w:sz w:val="20"/>
          <w:szCs w:val="20"/>
        </w:rPr>
      </w:pPr>
      <w:r>
        <w:rPr>
          <w:rFonts w:ascii="Arial" w:hAnsi="Arial" w:cs="Arial"/>
          <w:i/>
          <w:sz w:val="20"/>
          <w:szCs w:val="20"/>
        </w:rPr>
        <w:t xml:space="preserve"> </w:t>
      </w:r>
      <w:r w:rsidR="00EC689C" w:rsidRPr="005D14CA">
        <w:rPr>
          <w:rFonts w:ascii="Arial" w:hAnsi="Arial" w:cs="Arial"/>
          <w:i/>
          <w:sz w:val="20"/>
          <w:szCs w:val="20"/>
        </w:rPr>
        <w:t>Source</w:t>
      </w:r>
      <w:r w:rsidR="00EC689C" w:rsidRPr="005D14CA">
        <w:rPr>
          <w:rFonts w:ascii="Arial" w:hAnsi="Arial" w:cs="Arial"/>
          <w:sz w:val="20"/>
          <w:szCs w:val="20"/>
        </w:rPr>
        <w:t>: Computation from time-series data using EViews 12</w:t>
      </w:r>
    </w:p>
    <w:p w14:paraId="4F6C9626" w14:textId="77777777" w:rsidR="00E457DD" w:rsidRDefault="00E457DD" w:rsidP="0066301C">
      <w:pPr>
        <w:spacing w:after="0"/>
        <w:rPr>
          <w:b/>
          <w:bCs/>
        </w:rPr>
      </w:pPr>
    </w:p>
    <w:p w14:paraId="5B9DDBA5" w14:textId="256C8665" w:rsidR="00E60EF3" w:rsidRPr="007B5321" w:rsidRDefault="00E60EF3" w:rsidP="0066301C">
      <w:pPr>
        <w:spacing w:after="0"/>
        <w:rPr>
          <w:b/>
          <w:bCs/>
        </w:rPr>
      </w:pPr>
      <w:r w:rsidRPr="007B5321">
        <w:rPr>
          <w:b/>
          <w:bCs/>
        </w:rPr>
        <w:t>Figure 3.3b: CUSUM and CUSUMSQ for CAR</w:t>
      </w:r>
    </w:p>
    <w:p w14:paraId="52002BB2" w14:textId="77777777" w:rsidR="00E60EF3" w:rsidRDefault="00E60EF3" w:rsidP="0019196C">
      <w:pPr>
        <w:spacing w:after="0"/>
        <w:rPr>
          <w:noProof/>
        </w:rPr>
      </w:pPr>
      <w:r w:rsidRPr="00157512">
        <w:rPr>
          <w:noProof/>
          <w:bdr w:val="single" w:sz="4" w:space="0" w:color="auto"/>
        </w:rPr>
        <w:drawing>
          <wp:inline distT="0" distB="0" distL="0" distR="0" wp14:anchorId="01C55E97" wp14:editId="0BCA776A">
            <wp:extent cx="2659380" cy="1957705"/>
            <wp:effectExtent l="0" t="0" r="7620" b="4445"/>
            <wp:docPr id="710784464" name="Picture 71078446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
                    <pic:cNvPicPr>
                      <a:picLocks noChangeAspect="1" noChangeArrowheads="1"/>
                    </pic:cNvPicPr>
                  </pic:nvPicPr>
                  <pic:blipFill>
                    <a:blip r:embed="rId36">
                      <a:extLst>
                        <a:ext uri="{28A0092B-C50C-407E-A947-70E740481C1C}">
                          <a14:useLocalDpi xmlns:a14="http://schemas.microsoft.com/office/drawing/2010/main" val="0"/>
                        </a:ext>
                      </a:extLst>
                    </a:blip>
                    <a:srcRect/>
                    <a:stretch>
                      <a:fillRect/>
                    </a:stretch>
                  </pic:blipFill>
                  <pic:spPr bwMode="auto">
                    <a:xfrm>
                      <a:off x="0" y="0"/>
                      <a:ext cx="2675874" cy="1969847"/>
                    </a:xfrm>
                    <a:prstGeom prst="rect">
                      <a:avLst/>
                    </a:prstGeom>
                    <a:noFill/>
                    <a:ln>
                      <a:noFill/>
                    </a:ln>
                  </pic:spPr>
                </pic:pic>
              </a:graphicData>
            </a:graphic>
          </wp:inline>
        </w:drawing>
      </w:r>
      <w:r w:rsidRPr="00157512">
        <w:rPr>
          <w:noProof/>
          <w:bdr w:val="single" w:sz="4" w:space="0" w:color="auto"/>
        </w:rPr>
        <w:t xml:space="preserve">       </w:t>
      </w:r>
      <w:r>
        <w:rPr>
          <w:noProof/>
          <w:bdr w:val="single" w:sz="4" w:space="0" w:color="auto"/>
        </w:rPr>
        <w:t xml:space="preserve">  </w:t>
      </w:r>
      <w:r w:rsidRPr="00157512">
        <w:rPr>
          <w:noProof/>
          <w:bdr w:val="single" w:sz="4" w:space="0" w:color="auto"/>
        </w:rPr>
        <w:drawing>
          <wp:inline distT="0" distB="0" distL="0" distR="0" wp14:anchorId="7153C598" wp14:editId="35D04FDF">
            <wp:extent cx="2529840" cy="1922780"/>
            <wp:effectExtent l="0" t="0" r="3810" b="1270"/>
            <wp:docPr id="845966568" name="Picture 84596656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
                    <pic:cNvPicPr>
                      <a:picLocks noChangeAspect="1" noChangeArrowheads="1"/>
                    </pic:cNvPicPr>
                  </pic:nvPicPr>
                  <pic:blipFill>
                    <a:blip r:embed="rId37" cstate="print">
                      <a:extLst>
                        <a:ext uri="{28A0092B-C50C-407E-A947-70E740481C1C}">
                          <a14:useLocalDpi xmlns:a14="http://schemas.microsoft.com/office/drawing/2010/main" val="0"/>
                        </a:ext>
                      </a:extLst>
                    </a:blip>
                    <a:srcRect/>
                    <a:stretch>
                      <a:fillRect/>
                    </a:stretch>
                  </pic:blipFill>
                  <pic:spPr bwMode="auto">
                    <a:xfrm>
                      <a:off x="0" y="0"/>
                      <a:ext cx="2548462" cy="1936933"/>
                    </a:xfrm>
                    <a:prstGeom prst="rect">
                      <a:avLst/>
                    </a:prstGeom>
                    <a:noFill/>
                    <a:ln>
                      <a:noFill/>
                    </a:ln>
                  </pic:spPr>
                </pic:pic>
              </a:graphicData>
            </a:graphic>
          </wp:inline>
        </w:drawing>
      </w:r>
    </w:p>
    <w:p w14:paraId="35C71FB0" w14:textId="77777777" w:rsidR="00EC689C" w:rsidRPr="005D14CA" w:rsidRDefault="00EC689C" w:rsidP="0019196C">
      <w:pPr>
        <w:pStyle w:val="ListParagraph"/>
        <w:autoSpaceDE w:val="0"/>
        <w:autoSpaceDN w:val="0"/>
        <w:adjustRightInd w:val="0"/>
        <w:spacing w:after="0" w:line="240" w:lineRule="auto"/>
        <w:ind w:left="0"/>
        <w:rPr>
          <w:rFonts w:ascii="Arial" w:hAnsi="Arial" w:cs="Arial"/>
          <w:b/>
          <w:sz w:val="20"/>
          <w:szCs w:val="20"/>
        </w:rPr>
      </w:pPr>
      <w:r w:rsidRPr="005D14CA">
        <w:rPr>
          <w:rFonts w:ascii="Arial" w:hAnsi="Arial" w:cs="Arial"/>
          <w:i/>
          <w:sz w:val="20"/>
          <w:szCs w:val="20"/>
        </w:rPr>
        <w:t>Source</w:t>
      </w:r>
      <w:r w:rsidRPr="005D14CA">
        <w:rPr>
          <w:rFonts w:ascii="Arial" w:hAnsi="Arial" w:cs="Arial"/>
          <w:sz w:val="20"/>
          <w:szCs w:val="20"/>
        </w:rPr>
        <w:t>: Computation from time-series data using EViews 12</w:t>
      </w:r>
    </w:p>
    <w:p w14:paraId="6B9934F0" w14:textId="77777777" w:rsidR="00E60EF3" w:rsidRDefault="00E60EF3" w:rsidP="0066301C">
      <w:pPr>
        <w:autoSpaceDE w:val="0"/>
        <w:autoSpaceDN w:val="0"/>
        <w:adjustRightInd w:val="0"/>
        <w:spacing w:after="0"/>
        <w:jc w:val="both"/>
        <w:rPr>
          <w:rFonts w:ascii="Arial" w:hAnsi="Arial" w:cs="Arial"/>
          <w:sz w:val="20"/>
          <w:szCs w:val="20"/>
        </w:rPr>
      </w:pPr>
    </w:p>
    <w:p w14:paraId="6F90BCE4" w14:textId="77777777" w:rsidR="00E60EF3" w:rsidRPr="007B5321" w:rsidRDefault="00E60EF3" w:rsidP="0066301C">
      <w:pPr>
        <w:spacing w:after="0"/>
        <w:rPr>
          <w:b/>
          <w:bCs/>
        </w:rPr>
      </w:pPr>
      <w:r w:rsidRPr="007B5321">
        <w:rPr>
          <w:b/>
          <w:bCs/>
        </w:rPr>
        <w:t>Figure 3.3c: CUSUM and CUSUMSQ for Gabon</w:t>
      </w:r>
    </w:p>
    <w:p w14:paraId="1EAB71A3" w14:textId="77777777" w:rsidR="00E60EF3" w:rsidRDefault="00E60EF3" w:rsidP="0019196C">
      <w:pPr>
        <w:pBdr>
          <w:top w:val="single" w:sz="4" w:space="1" w:color="auto"/>
          <w:left w:val="single" w:sz="4" w:space="4" w:color="auto"/>
          <w:bottom w:val="single" w:sz="4" w:space="9" w:color="auto"/>
          <w:right w:val="single" w:sz="4" w:space="4" w:color="auto"/>
        </w:pBdr>
        <w:spacing w:after="0"/>
        <w:ind w:right="95"/>
      </w:pPr>
      <w:r w:rsidRPr="0082521B">
        <w:rPr>
          <w:noProof/>
        </w:rPr>
        <w:drawing>
          <wp:inline distT="0" distB="0" distL="0" distR="0" wp14:anchorId="1394EBB7" wp14:editId="53238CD1">
            <wp:extent cx="2419350" cy="1751512"/>
            <wp:effectExtent l="0" t="0" r="0" b="1270"/>
            <wp:docPr id="20658684" name="Picture 2065868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
                    <pic:cNvPicPr>
                      <a:picLocks noChangeAspect="1" noChangeArrowheads="1"/>
                    </pic:cNvPicPr>
                  </pic:nvPicPr>
                  <pic:blipFill>
                    <a:blip r:embed="rId38" cstate="print">
                      <a:extLst>
                        <a:ext uri="{28A0092B-C50C-407E-A947-70E740481C1C}">
                          <a14:useLocalDpi xmlns:a14="http://schemas.microsoft.com/office/drawing/2010/main" val="0"/>
                        </a:ext>
                      </a:extLst>
                    </a:blip>
                    <a:srcRect/>
                    <a:stretch>
                      <a:fillRect/>
                    </a:stretch>
                  </pic:blipFill>
                  <pic:spPr bwMode="auto">
                    <a:xfrm>
                      <a:off x="0" y="0"/>
                      <a:ext cx="2444539" cy="1769748"/>
                    </a:xfrm>
                    <a:prstGeom prst="rect">
                      <a:avLst/>
                    </a:prstGeom>
                    <a:noFill/>
                    <a:ln>
                      <a:noFill/>
                    </a:ln>
                  </pic:spPr>
                </pic:pic>
              </a:graphicData>
            </a:graphic>
          </wp:inline>
        </w:drawing>
      </w:r>
      <w:r>
        <w:t xml:space="preserve">   </w:t>
      </w:r>
      <w:r w:rsidRPr="0082521B">
        <w:rPr>
          <w:noProof/>
        </w:rPr>
        <w:drawing>
          <wp:inline distT="0" distB="0" distL="0" distR="0" wp14:anchorId="15DE16C1" wp14:editId="041BA204">
            <wp:extent cx="2857500" cy="1815539"/>
            <wp:effectExtent l="0" t="0" r="0" b="0"/>
            <wp:docPr id="1137566298" name="Picture 113756629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6"/>
                    <pic:cNvPicPr>
                      <a:picLocks noChangeAspect="1" noChangeArrowheads="1"/>
                    </pic:cNvPicPr>
                  </pic:nvPicPr>
                  <pic:blipFill>
                    <a:blip r:embed="rId39" cstate="print">
                      <a:extLst>
                        <a:ext uri="{28A0092B-C50C-407E-A947-70E740481C1C}">
                          <a14:useLocalDpi xmlns:a14="http://schemas.microsoft.com/office/drawing/2010/main" val="0"/>
                        </a:ext>
                      </a:extLst>
                    </a:blip>
                    <a:srcRect/>
                    <a:stretch>
                      <a:fillRect/>
                    </a:stretch>
                  </pic:blipFill>
                  <pic:spPr bwMode="auto">
                    <a:xfrm>
                      <a:off x="0" y="0"/>
                      <a:ext cx="2875766" cy="1827144"/>
                    </a:xfrm>
                    <a:prstGeom prst="rect">
                      <a:avLst/>
                    </a:prstGeom>
                    <a:noFill/>
                    <a:ln>
                      <a:noFill/>
                    </a:ln>
                  </pic:spPr>
                </pic:pic>
              </a:graphicData>
            </a:graphic>
          </wp:inline>
        </w:drawing>
      </w:r>
    </w:p>
    <w:p w14:paraId="331782EC" w14:textId="77777777" w:rsidR="00EC689C" w:rsidRPr="005D14CA" w:rsidRDefault="00EC689C" w:rsidP="0019196C">
      <w:pPr>
        <w:pStyle w:val="ListParagraph"/>
        <w:autoSpaceDE w:val="0"/>
        <w:autoSpaceDN w:val="0"/>
        <w:adjustRightInd w:val="0"/>
        <w:spacing w:after="0" w:line="240" w:lineRule="auto"/>
        <w:ind w:left="0"/>
        <w:rPr>
          <w:rFonts w:ascii="Arial" w:hAnsi="Arial" w:cs="Arial"/>
          <w:b/>
          <w:sz w:val="20"/>
          <w:szCs w:val="20"/>
        </w:rPr>
      </w:pPr>
      <w:r w:rsidRPr="005D14CA">
        <w:rPr>
          <w:rFonts w:ascii="Arial" w:hAnsi="Arial" w:cs="Arial"/>
          <w:i/>
          <w:sz w:val="20"/>
          <w:szCs w:val="20"/>
        </w:rPr>
        <w:t>Source</w:t>
      </w:r>
      <w:r w:rsidRPr="005D14CA">
        <w:rPr>
          <w:rFonts w:ascii="Arial" w:hAnsi="Arial" w:cs="Arial"/>
          <w:sz w:val="20"/>
          <w:szCs w:val="20"/>
        </w:rPr>
        <w:t>: Computation from time-series data using EViews 12</w:t>
      </w:r>
    </w:p>
    <w:p w14:paraId="2D9FD69C" w14:textId="77777777" w:rsidR="00F104AB" w:rsidRDefault="00F104AB" w:rsidP="0066301C">
      <w:pPr>
        <w:spacing w:after="0"/>
      </w:pPr>
    </w:p>
    <w:p w14:paraId="532F249C" w14:textId="77777777" w:rsidR="00F104AB" w:rsidRDefault="00F104AB" w:rsidP="0066301C">
      <w:pPr>
        <w:spacing w:after="0"/>
      </w:pPr>
    </w:p>
    <w:p w14:paraId="51BC066A" w14:textId="77777777" w:rsidR="00F104AB" w:rsidRDefault="00F104AB" w:rsidP="0066301C">
      <w:pPr>
        <w:spacing w:after="0"/>
      </w:pPr>
    </w:p>
    <w:p w14:paraId="3319009F" w14:textId="77777777" w:rsidR="00F104AB" w:rsidRDefault="00F104AB" w:rsidP="0066301C">
      <w:pPr>
        <w:spacing w:after="0"/>
      </w:pPr>
    </w:p>
    <w:p w14:paraId="7A8C9838" w14:textId="77777777" w:rsidR="00F104AB" w:rsidRDefault="00F104AB" w:rsidP="0066301C">
      <w:pPr>
        <w:spacing w:after="0"/>
      </w:pPr>
    </w:p>
    <w:p w14:paraId="0CD5E78A" w14:textId="77777777" w:rsidR="00F104AB" w:rsidRDefault="00F104AB" w:rsidP="0066301C">
      <w:pPr>
        <w:spacing w:after="0"/>
      </w:pPr>
    </w:p>
    <w:p w14:paraId="431C4EDC" w14:textId="77777777" w:rsidR="00F104AB" w:rsidRDefault="00F104AB" w:rsidP="0066301C">
      <w:pPr>
        <w:spacing w:after="0"/>
      </w:pPr>
    </w:p>
    <w:p w14:paraId="35A7434E" w14:textId="529C5029" w:rsidR="00E60EF3" w:rsidRPr="007B5321" w:rsidRDefault="00E60EF3" w:rsidP="0066301C">
      <w:pPr>
        <w:spacing w:after="0"/>
        <w:rPr>
          <w:b/>
          <w:bCs/>
        </w:rPr>
      </w:pPr>
      <w:r w:rsidRPr="00147ADD">
        <w:t xml:space="preserve">   </w:t>
      </w:r>
      <w:r>
        <w:t xml:space="preserve"> </w:t>
      </w:r>
      <w:r w:rsidRPr="007B5321">
        <w:rPr>
          <w:b/>
          <w:bCs/>
        </w:rPr>
        <w:t>Figure 3.3d: CUSUM and CUSUMSQ for Equatorial Guinea</w:t>
      </w:r>
    </w:p>
    <w:p w14:paraId="6CCDDA21" w14:textId="77777777" w:rsidR="00E60EF3" w:rsidRPr="004567D4" w:rsidRDefault="00E60EF3" w:rsidP="0019196C">
      <w:pPr>
        <w:pBdr>
          <w:top w:val="single" w:sz="4" w:space="1" w:color="auto"/>
          <w:left w:val="single" w:sz="4" w:space="4" w:color="auto"/>
          <w:bottom w:val="single" w:sz="4" w:space="1" w:color="auto"/>
          <w:right w:val="single" w:sz="4" w:space="0" w:color="auto"/>
        </w:pBdr>
        <w:spacing w:after="0"/>
        <w:ind w:right="-46"/>
        <w:rPr>
          <w:noProof/>
        </w:rPr>
      </w:pPr>
      <w:r w:rsidRPr="001015A9">
        <w:rPr>
          <w:noProof/>
        </w:rPr>
        <w:lastRenderedPageBreak/>
        <w:drawing>
          <wp:inline distT="0" distB="0" distL="0" distR="0" wp14:anchorId="332313E6" wp14:editId="63BF2AFB">
            <wp:extent cx="2528102" cy="1724025"/>
            <wp:effectExtent l="0" t="0" r="5715" b="0"/>
            <wp:docPr id="1525434359" name="Picture 152543435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
                    <pic:cNvPicPr>
                      <a:picLocks noChangeAspect="1" noChangeArrowheads="1"/>
                    </pic:cNvPicPr>
                  </pic:nvPicPr>
                  <pic:blipFill>
                    <a:blip r:embed="rId40" cstate="print">
                      <a:extLst>
                        <a:ext uri="{28A0092B-C50C-407E-A947-70E740481C1C}">
                          <a14:useLocalDpi xmlns:a14="http://schemas.microsoft.com/office/drawing/2010/main" val="0"/>
                        </a:ext>
                      </a:extLst>
                    </a:blip>
                    <a:srcRect/>
                    <a:stretch>
                      <a:fillRect/>
                    </a:stretch>
                  </pic:blipFill>
                  <pic:spPr bwMode="auto">
                    <a:xfrm>
                      <a:off x="0" y="0"/>
                      <a:ext cx="2539211" cy="1731601"/>
                    </a:xfrm>
                    <a:prstGeom prst="rect">
                      <a:avLst/>
                    </a:prstGeom>
                    <a:noFill/>
                    <a:ln>
                      <a:noFill/>
                    </a:ln>
                  </pic:spPr>
                </pic:pic>
              </a:graphicData>
            </a:graphic>
          </wp:inline>
        </w:drawing>
      </w:r>
      <w:r>
        <w:t xml:space="preserve">    </w:t>
      </w:r>
      <w:r w:rsidRPr="001015A9">
        <w:rPr>
          <w:noProof/>
        </w:rPr>
        <w:drawing>
          <wp:inline distT="0" distB="0" distL="0" distR="0" wp14:anchorId="37E0C383" wp14:editId="44B95ABF">
            <wp:extent cx="2438400" cy="1617752"/>
            <wp:effectExtent l="0" t="0" r="0" b="1905"/>
            <wp:docPr id="746857037" name="Picture 74685703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
                    <pic:cNvPicPr>
                      <a:picLocks noChangeAspect="1" noChangeArrowheads="1"/>
                    </pic:cNvPicPr>
                  </pic:nvPicPr>
                  <pic:blipFill>
                    <a:blip r:embed="rId41" cstate="print">
                      <a:extLst>
                        <a:ext uri="{28A0092B-C50C-407E-A947-70E740481C1C}">
                          <a14:useLocalDpi xmlns:a14="http://schemas.microsoft.com/office/drawing/2010/main" val="0"/>
                        </a:ext>
                      </a:extLst>
                    </a:blip>
                    <a:srcRect/>
                    <a:stretch>
                      <a:fillRect/>
                    </a:stretch>
                  </pic:blipFill>
                  <pic:spPr bwMode="auto">
                    <a:xfrm>
                      <a:off x="0" y="0"/>
                      <a:ext cx="2455563" cy="1629139"/>
                    </a:xfrm>
                    <a:prstGeom prst="rect">
                      <a:avLst/>
                    </a:prstGeom>
                    <a:noFill/>
                    <a:ln>
                      <a:noFill/>
                    </a:ln>
                  </pic:spPr>
                </pic:pic>
              </a:graphicData>
            </a:graphic>
          </wp:inline>
        </w:drawing>
      </w:r>
    </w:p>
    <w:p w14:paraId="7AC16A86" w14:textId="77777777" w:rsidR="0019196C" w:rsidRPr="005D14CA" w:rsidRDefault="0019196C" w:rsidP="0019196C">
      <w:pPr>
        <w:pStyle w:val="ListParagraph"/>
        <w:autoSpaceDE w:val="0"/>
        <w:autoSpaceDN w:val="0"/>
        <w:adjustRightInd w:val="0"/>
        <w:spacing w:after="0" w:line="240" w:lineRule="auto"/>
        <w:ind w:left="0"/>
        <w:rPr>
          <w:rFonts w:ascii="Arial" w:hAnsi="Arial" w:cs="Arial"/>
          <w:b/>
          <w:sz w:val="20"/>
          <w:szCs w:val="20"/>
        </w:rPr>
      </w:pPr>
      <w:r w:rsidRPr="005D14CA">
        <w:rPr>
          <w:rFonts w:ascii="Arial" w:hAnsi="Arial" w:cs="Arial"/>
          <w:i/>
          <w:sz w:val="20"/>
          <w:szCs w:val="20"/>
        </w:rPr>
        <w:t>Source</w:t>
      </w:r>
      <w:r w:rsidRPr="005D14CA">
        <w:rPr>
          <w:rFonts w:ascii="Arial" w:hAnsi="Arial" w:cs="Arial"/>
          <w:sz w:val="20"/>
          <w:szCs w:val="20"/>
        </w:rPr>
        <w:t>: Computation from time-series data using EViews 12</w:t>
      </w:r>
    </w:p>
    <w:p w14:paraId="3036192D" w14:textId="77777777" w:rsidR="00E60EF3" w:rsidRDefault="00E60EF3" w:rsidP="0066301C">
      <w:pPr>
        <w:autoSpaceDE w:val="0"/>
        <w:autoSpaceDN w:val="0"/>
        <w:adjustRightInd w:val="0"/>
        <w:spacing w:after="0"/>
        <w:ind w:right="237"/>
        <w:rPr>
          <w:rFonts w:ascii="Arial" w:hAnsi="Arial" w:cs="Arial"/>
          <w:b/>
          <w:color w:val="000000"/>
        </w:rPr>
      </w:pPr>
    </w:p>
    <w:p w14:paraId="5E581F9F" w14:textId="1AF242DD" w:rsidR="001B21D5" w:rsidRDefault="00B111DC" w:rsidP="00F104AB">
      <w:pPr>
        <w:spacing w:line="360" w:lineRule="auto"/>
        <w:jc w:val="both"/>
        <w:rPr>
          <w:rFonts w:ascii="Arial" w:eastAsiaTheme="minorEastAsia" w:hAnsi="Arial" w:cs="Arial"/>
          <w:iCs/>
        </w:rPr>
      </w:pPr>
      <w:r>
        <w:rPr>
          <w:rFonts w:ascii="Arial" w:hAnsi="Arial" w:cs="Arial"/>
          <w:lang w:eastAsia="en-GB"/>
        </w:rPr>
        <w:t xml:space="preserve">The </w:t>
      </w:r>
      <w:r w:rsidR="00B228A1">
        <w:rPr>
          <w:rFonts w:ascii="Arial" w:hAnsi="Arial" w:cs="Arial"/>
          <w:lang w:eastAsia="en-GB"/>
        </w:rPr>
        <w:t xml:space="preserve">stability </w:t>
      </w:r>
      <w:r w:rsidR="005D5BDD">
        <w:rPr>
          <w:rFonts w:ascii="Arial" w:hAnsi="Arial" w:cs="Arial"/>
          <w:lang w:eastAsia="en-GB"/>
        </w:rPr>
        <w:t xml:space="preserve">test results of the four CEMAC </w:t>
      </w:r>
      <w:r w:rsidR="0056656E">
        <w:rPr>
          <w:rFonts w:ascii="Arial" w:hAnsi="Arial" w:cs="Arial"/>
          <w:lang w:eastAsia="en-GB"/>
        </w:rPr>
        <w:t xml:space="preserve">nations </w:t>
      </w:r>
      <w:r w:rsidR="002B6768">
        <w:rPr>
          <w:rFonts w:ascii="Arial" w:hAnsi="Arial" w:cs="Arial"/>
          <w:lang w:eastAsia="en-GB"/>
        </w:rPr>
        <w:t xml:space="preserve">are </w:t>
      </w:r>
      <w:r w:rsidR="00400FBB">
        <w:rPr>
          <w:rFonts w:ascii="Arial" w:hAnsi="Arial" w:cs="Arial"/>
          <w:lang w:eastAsia="en-GB"/>
        </w:rPr>
        <w:t>good</w:t>
      </w:r>
      <w:r w:rsidR="003C5687">
        <w:rPr>
          <w:rFonts w:ascii="Arial" w:hAnsi="Arial" w:cs="Arial"/>
          <w:lang w:eastAsia="en-GB"/>
        </w:rPr>
        <w:t>,</w:t>
      </w:r>
      <w:r w:rsidR="0063597B">
        <w:rPr>
          <w:rFonts w:ascii="Arial" w:hAnsi="Arial" w:cs="Arial"/>
          <w:lang w:eastAsia="en-GB"/>
        </w:rPr>
        <w:t xml:space="preserve"> as </w:t>
      </w:r>
      <w:r w:rsidR="002B6768">
        <w:rPr>
          <w:rFonts w:ascii="Arial" w:hAnsi="Arial" w:cs="Arial"/>
          <w:lang w:eastAsia="en-GB"/>
        </w:rPr>
        <w:t>the plots of both CUSUM a</w:t>
      </w:r>
      <w:r w:rsidR="002C6F41">
        <w:rPr>
          <w:rFonts w:ascii="Arial" w:hAnsi="Arial" w:cs="Arial"/>
          <w:lang w:eastAsia="en-GB"/>
        </w:rPr>
        <w:t>n</w:t>
      </w:r>
      <w:r w:rsidR="002B6768">
        <w:rPr>
          <w:rFonts w:ascii="Arial" w:hAnsi="Arial" w:cs="Arial"/>
          <w:lang w:eastAsia="en-GB"/>
        </w:rPr>
        <w:t>d CUSUMSQ statistic</w:t>
      </w:r>
      <w:r w:rsidR="002C6F41">
        <w:rPr>
          <w:rFonts w:ascii="Arial" w:hAnsi="Arial" w:cs="Arial"/>
          <w:lang w:eastAsia="en-GB"/>
        </w:rPr>
        <w:t xml:space="preserve">s fall within </w:t>
      </w:r>
      <w:r w:rsidR="001A415E">
        <w:rPr>
          <w:rFonts w:ascii="Arial" w:hAnsi="Arial" w:cs="Arial"/>
          <w:lang w:eastAsia="en-GB"/>
        </w:rPr>
        <w:t xml:space="preserve">the 5% </w:t>
      </w:r>
      <w:r w:rsidR="002C6F41">
        <w:rPr>
          <w:rFonts w:ascii="Arial" w:hAnsi="Arial" w:cs="Arial"/>
          <w:lang w:eastAsia="en-GB"/>
        </w:rPr>
        <w:t>critical values.</w:t>
      </w:r>
      <w:r w:rsidR="00D97006">
        <w:rPr>
          <w:rFonts w:ascii="Arial" w:hAnsi="Arial" w:cs="Arial"/>
          <w:lang w:eastAsia="en-GB"/>
        </w:rPr>
        <w:t xml:space="preserve"> The </w:t>
      </w:r>
      <w:r w:rsidR="00C37AA6">
        <w:rPr>
          <w:rFonts w:ascii="Arial" w:hAnsi="Arial" w:cs="Arial"/>
          <w:lang w:eastAsia="en-GB"/>
        </w:rPr>
        <w:t xml:space="preserve">stability test result is summarised </w:t>
      </w:r>
      <w:r w:rsidR="00845EB8">
        <w:rPr>
          <w:rFonts w:ascii="Arial" w:hAnsi="Arial" w:cs="Arial"/>
          <w:lang w:eastAsia="en-GB"/>
        </w:rPr>
        <w:t>below in table 3.9 below</w:t>
      </w:r>
      <w:r w:rsidR="0060333C">
        <w:rPr>
          <w:rFonts w:ascii="Arial" w:hAnsi="Arial" w:cs="Arial"/>
          <w:lang w:eastAsia="en-GB"/>
        </w:rPr>
        <w:t>.</w:t>
      </w:r>
    </w:p>
    <w:p w14:paraId="0BB18CF3" w14:textId="20DD216D" w:rsidR="00845EB8" w:rsidRPr="007B5321" w:rsidRDefault="00845EB8" w:rsidP="0066301C">
      <w:pPr>
        <w:spacing w:after="0" w:line="360" w:lineRule="auto"/>
        <w:jc w:val="both"/>
        <w:rPr>
          <w:rFonts w:ascii="Arial" w:eastAsiaTheme="minorEastAsia" w:hAnsi="Arial" w:cs="Arial"/>
          <w:b/>
          <w:bCs/>
          <w:iCs/>
        </w:rPr>
      </w:pPr>
      <w:bookmarkStart w:id="391" w:name="_Hlk170836138"/>
      <w:r w:rsidRPr="007B5321">
        <w:rPr>
          <w:rFonts w:ascii="Arial" w:eastAsiaTheme="minorEastAsia" w:hAnsi="Arial" w:cs="Arial"/>
          <w:b/>
          <w:bCs/>
          <w:iCs/>
        </w:rPr>
        <w:t>Table 3.9: Stability Test Results Based on CUSUM and CUSUMSQ Test</w:t>
      </w:r>
    </w:p>
    <w:tbl>
      <w:tblPr>
        <w:tblStyle w:val="TableGrid"/>
        <w:tblW w:w="0" w:type="auto"/>
        <w:tblInd w:w="108" w:type="dxa"/>
        <w:tblLook w:val="04A0" w:firstRow="1" w:lastRow="0" w:firstColumn="1" w:lastColumn="0" w:noHBand="0" w:noVBand="1"/>
      </w:tblPr>
      <w:tblGrid>
        <w:gridCol w:w="3095"/>
        <w:gridCol w:w="2145"/>
        <w:gridCol w:w="1990"/>
      </w:tblGrid>
      <w:tr w:rsidR="00845EB8" w14:paraId="0DF29852" w14:textId="77777777" w:rsidTr="00E457DD">
        <w:trPr>
          <w:trHeight w:val="283"/>
        </w:trPr>
        <w:tc>
          <w:tcPr>
            <w:tcW w:w="3095" w:type="dxa"/>
          </w:tcPr>
          <w:p w14:paraId="35790119" w14:textId="77777777" w:rsidR="00845EB8" w:rsidRPr="00FB00A2" w:rsidRDefault="00845EB8" w:rsidP="0066301C">
            <w:pPr>
              <w:rPr>
                <w:rFonts w:ascii="Arial" w:hAnsi="Arial" w:cs="Arial"/>
                <w:b/>
                <w:bCs/>
              </w:rPr>
            </w:pPr>
            <w:r w:rsidRPr="00FB00A2">
              <w:rPr>
                <w:rFonts w:ascii="Arial" w:hAnsi="Arial" w:cs="Arial"/>
                <w:b/>
                <w:bCs/>
              </w:rPr>
              <w:t>Country</w:t>
            </w:r>
          </w:p>
        </w:tc>
        <w:tc>
          <w:tcPr>
            <w:tcW w:w="2145" w:type="dxa"/>
          </w:tcPr>
          <w:p w14:paraId="7E2BE61C" w14:textId="77777777" w:rsidR="00845EB8" w:rsidRPr="00FB00A2" w:rsidRDefault="00845EB8" w:rsidP="0066301C">
            <w:pPr>
              <w:rPr>
                <w:rFonts w:ascii="Arial" w:hAnsi="Arial" w:cs="Arial"/>
                <w:b/>
                <w:bCs/>
              </w:rPr>
            </w:pPr>
            <w:r w:rsidRPr="00FB00A2">
              <w:rPr>
                <w:rFonts w:ascii="Arial" w:hAnsi="Arial" w:cs="Arial"/>
                <w:b/>
                <w:bCs/>
              </w:rPr>
              <w:t>CUSUM</w:t>
            </w:r>
          </w:p>
        </w:tc>
        <w:tc>
          <w:tcPr>
            <w:tcW w:w="1990" w:type="dxa"/>
          </w:tcPr>
          <w:p w14:paraId="7527ABB1" w14:textId="77777777" w:rsidR="00845EB8" w:rsidRPr="00FB00A2" w:rsidRDefault="00845EB8" w:rsidP="0066301C">
            <w:pPr>
              <w:rPr>
                <w:rFonts w:ascii="Arial" w:hAnsi="Arial" w:cs="Arial"/>
                <w:b/>
                <w:bCs/>
              </w:rPr>
            </w:pPr>
            <w:r w:rsidRPr="00FB00A2">
              <w:rPr>
                <w:rFonts w:ascii="Arial" w:hAnsi="Arial" w:cs="Arial"/>
                <w:b/>
                <w:bCs/>
              </w:rPr>
              <w:t>CUSUMSQ</w:t>
            </w:r>
          </w:p>
        </w:tc>
      </w:tr>
      <w:tr w:rsidR="00845EB8" w14:paraId="215C9347" w14:textId="77777777" w:rsidTr="00E457DD">
        <w:trPr>
          <w:trHeight w:val="301"/>
        </w:trPr>
        <w:tc>
          <w:tcPr>
            <w:tcW w:w="3095" w:type="dxa"/>
          </w:tcPr>
          <w:p w14:paraId="2ECA2E5F" w14:textId="77777777" w:rsidR="00845EB8" w:rsidRDefault="00845EB8" w:rsidP="0066301C">
            <w:pPr>
              <w:rPr>
                <w:rFonts w:ascii="Arial" w:hAnsi="Arial" w:cs="Arial"/>
              </w:rPr>
            </w:pPr>
            <w:r>
              <w:rPr>
                <w:rFonts w:ascii="Arial" w:hAnsi="Arial" w:cs="Arial"/>
              </w:rPr>
              <w:t>Cameroon</w:t>
            </w:r>
          </w:p>
        </w:tc>
        <w:tc>
          <w:tcPr>
            <w:tcW w:w="2145" w:type="dxa"/>
          </w:tcPr>
          <w:p w14:paraId="1D61CF46" w14:textId="77777777" w:rsidR="00845EB8" w:rsidRDefault="00845EB8" w:rsidP="0066301C">
            <w:pPr>
              <w:rPr>
                <w:rFonts w:ascii="Arial" w:hAnsi="Arial" w:cs="Arial"/>
              </w:rPr>
            </w:pPr>
            <w:r>
              <w:rPr>
                <w:rFonts w:ascii="Arial" w:hAnsi="Arial" w:cs="Arial"/>
              </w:rPr>
              <w:t>Stable</w:t>
            </w:r>
          </w:p>
        </w:tc>
        <w:tc>
          <w:tcPr>
            <w:tcW w:w="1990" w:type="dxa"/>
          </w:tcPr>
          <w:p w14:paraId="4C598553" w14:textId="77777777" w:rsidR="00845EB8" w:rsidRDefault="00845EB8" w:rsidP="0066301C">
            <w:pPr>
              <w:rPr>
                <w:rFonts w:ascii="Arial" w:hAnsi="Arial" w:cs="Arial"/>
              </w:rPr>
            </w:pPr>
            <w:r>
              <w:rPr>
                <w:rFonts w:ascii="Arial" w:hAnsi="Arial" w:cs="Arial"/>
              </w:rPr>
              <w:t>Unstable</w:t>
            </w:r>
          </w:p>
        </w:tc>
      </w:tr>
      <w:tr w:rsidR="00845EB8" w14:paraId="235A22CD" w14:textId="77777777" w:rsidTr="00E457DD">
        <w:trPr>
          <w:trHeight w:val="283"/>
        </w:trPr>
        <w:tc>
          <w:tcPr>
            <w:tcW w:w="3095" w:type="dxa"/>
          </w:tcPr>
          <w:p w14:paraId="778AC143" w14:textId="77777777" w:rsidR="00845EB8" w:rsidRDefault="00845EB8" w:rsidP="0066301C">
            <w:pPr>
              <w:rPr>
                <w:rFonts w:ascii="Arial" w:hAnsi="Arial" w:cs="Arial"/>
              </w:rPr>
            </w:pPr>
            <w:r>
              <w:rPr>
                <w:rFonts w:ascii="Arial" w:hAnsi="Arial" w:cs="Arial"/>
              </w:rPr>
              <w:t>CAR</w:t>
            </w:r>
          </w:p>
        </w:tc>
        <w:tc>
          <w:tcPr>
            <w:tcW w:w="2145" w:type="dxa"/>
          </w:tcPr>
          <w:p w14:paraId="21252991" w14:textId="77777777" w:rsidR="00845EB8" w:rsidRDefault="00845EB8" w:rsidP="0066301C">
            <w:pPr>
              <w:rPr>
                <w:rFonts w:ascii="Arial" w:hAnsi="Arial" w:cs="Arial"/>
              </w:rPr>
            </w:pPr>
            <w:r>
              <w:rPr>
                <w:rFonts w:ascii="Arial" w:hAnsi="Arial" w:cs="Arial"/>
              </w:rPr>
              <w:t>Stable</w:t>
            </w:r>
          </w:p>
        </w:tc>
        <w:tc>
          <w:tcPr>
            <w:tcW w:w="1990" w:type="dxa"/>
          </w:tcPr>
          <w:p w14:paraId="29B86DD4" w14:textId="77777777" w:rsidR="00845EB8" w:rsidRDefault="00845EB8" w:rsidP="0066301C">
            <w:pPr>
              <w:rPr>
                <w:rFonts w:ascii="Arial" w:hAnsi="Arial" w:cs="Arial"/>
              </w:rPr>
            </w:pPr>
            <w:r>
              <w:rPr>
                <w:rFonts w:ascii="Arial" w:hAnsi="Arial" w:cs="Arial"/>
              </w:rPr>
              <w:t>Stable</w:t>
            </w:r>
          </w:p>
        </w:tc>
      </w:tr>
      <w:tr w:rsidR="00845EB8" w14:paraId="73C89ECD" w14:textId="77777777" w:rsidTr="00E457DD">
        <w:trPr>
          <w:trHeight w:val="301"/>
        </w:trPr>
        <w:tc>
          <w:tcPr>
            <w:tcW w:w="3095" w:type="dxa"/>
          </w:tcPr>
          <w:p w14:paraId="53F5E292" w14:textId="77777777" w:rsidR="00845EB8" w:rsidRDefault="00845EB8" w:rsidP="0066301C">
            <w:pPr>
              <w:rPr>
                <w:rFonts w:ascii="Arial" w:hAnsi="Arial" w:cs="Arial"/>
              </w:rPr>
            </w:pPr>
            <w:r>
              <w:rPr>
                <w:rFonts w:ascii="Arial" w:hAnsi="Arial" w:cs="Arial"/>
              </w:rPr>
              <w:t>Gabon</w:t>
            </w:r>
          </w:p>
        </w:tc>
        <w:tc>
          <w:tcPr>
            <w:tcW w:w="2145" w:type="dxa"/>
          </w:tcPr>
          <w:p w14:paraId="1B01DB8D" w14:textId="77777777" w:rsidR="00845EB8" w:rsidRDefault="00845EB8" w:rsidP="0066301C">
            <w:pPr>
              <w:rPr>
                <w:rFonts w:ascii="Arial" w:hAnsi="Arial" w:cs="Arial"/>
              </w:rPr>
            </w:pPr>
            <w:r>
              <w:rPr>
                <w:rFonts w:ascii="Arial" w:hAnsi="Arial" w:cs="Arial"/>
              </w:rPr>
              <w:t>Stable</w:t>
            </w:r>
          </w:p>
        </w:tc>
        <w:tc>
          <w:tcPr>
            <w:tcW w:w="1990" w:type="dxa"/>
          </w:tcPr>
          <w:p w14:paraId="315061E7" w14:textId="77777777" w:rsidR="00845EB8" w:rsidRDefault="00845EB8" w:rsidP="0066301C">
            <w:pPr>
              <w:rPr>
                <w:rFonts w:ascii="Arial" w:hAnsi="Arial" w:cs="Arial"/>
              </w:rPr>
            </w:pPr>
            <w:r>
              <w:rPr>
                <w:rFonts w:ascii="Arial" w:hAnsi="Arial" w:cs="Arial"/>
              </w:rPr>
              <w:t>Stable</w:t>
            </w:r>
          </w:p>
        </w:tc>
      </w:tr>
      <w:tr w:rsidR="00845EB8" w14:paraId="695CB9B9" w14:textId="77777777" w:rsidTr="00E457DD">
        <w:trPr>
          <w:trHeight w:val="283"/>
        </w:trPr>
        <w:tc>
          <w:tcPr>
            <w:tcW w:w="3095" w:type="dxa"/>
          </w:tcPr>
          <w:p w14:paraId="72810E0A" w14:textId="77777777" w:rsidR="00845EB8" w:rsidRDefault="00845EB8" w:rsidP="0066301C">
            <w:pPr>
              <w:rPr>
                <w:rFonts w:ascii="Arial" w:hAnsi="Arial" w:cs="Arial"/>
              </w:rPr>
            </w:pPr>
            <w:r>
              <w:rPr>
                <w:rFonts w:ascii="Arial" w:hAnsi="Arial" w:cs="Arial"/>
              </w:rPr>
              <w:t>Equatorial Guinea</w:t>
            </w:r>
          </w:p>
        </w:tc>
        <w:tc>
          <w:tcPr>
            <w:tcW w:w="2145" w:type="dxa"/>
          </w:tcPr>
          <w:p w14:paraId="5C04814E" w14:textId="77777777" w:rsidR="00845EB8" w:rsidRDefault="00845EB8" w:rsidP="0066301C">
            <w:pPr>
              <w:rPr>
                <w:rFonts w:ascii="Arial" w:hAnsi="Arial" w:cs="Arial"/>
              </w:rPr>
            </w:pPr>
            <w:r>
              <w:rPr>
                <w:rFonts w:ascii="Arial" w:hAnsi="Arial" w:cs="Arial"/>
              </w:rPr>
              <w:t>stable</w:t>
            </w:r>
          </w:p>
        </w:tc>
        <w:tc>
          <w:tcPr>
            <w:tcW w:w="1990" w:type="dxa"/>
          </w:tcPr>
          <w:p w14:paraId="33E167ED" w14:textId="77777777" w:rsidR="00845EB8" w:rsidRDefault="00845EB8" w:rsidP="0066301C">
            <w:pPr>
              <w:rPr>
                <w:rFonts w:ascii="Arial" w:hAnsi="Arial" w:cs="Arial"/>
              </w:rPr>
            </w:pPr>
            <w:r>
              <w:rPr>
                <w:rFonts w:ascii="Arial" w:hAnsi="Arial" w:cs="Arial"/>
              </w:rPr>
              <w:t>stable</w:t>
            </w:r>
          </w:p>
        </w:tc>
      </w:tr>
    </w:tbl>
    <w:p w14:paraId="32FB0F28" w14:textId="0EBFCD5C" w:rsidR="00845EB8" w:rsidRPr="00845EB8" w:rsidRDefault="00845EB8" w:rsidP="0066301C">
      <w:pPr>
        <w:spacing w:line="360" w:lineRule="auto"/>
        <w:jc w:val="both"/>
        <w:rPr>
          <w:rFonts w:ascii="Arial" w:hAnsi="Arial" w:cs="Arial"/>
          <w:sz w:val="20"/>
          <w:szCs w:val="20"/>
          <w:lang w:eastAsia="en-GB"/>
        </w:rPr>
      </w:pPr>
      <w:r w:rsidRPr="003D1715">
        <w:rPr>
          <w:rFonts w:ascii="Arial" w:hAnsi="Arial" w:cs="Arial"/>
          <w:i/>
          <w:iCs/>
          <w:sz w:val="20"/>
          <w:szCs w:val="20"/>
          <w:lang w:eastAsia="en-GB"/>
        </w:rPr>
        <w:t>Source</w:t>
      </w:r>
      <w:r w:rsidRPr="003D1715">
        <w:rPr>
          <w:rFonts w:ascii="Arial" w:hAnsi="Arial" w:cs="Arial"/>
          <w:sz w:val="20"/>
          <w:szCs w:val="20"/>
          <w:lang w:eastAsia="en-GB"/>
        </w:rPr>
        <w:t>: Extracted from EViews 12</w:t>
      </w:r>
    </w:p>
    <w:p w14:paraId="3DA954CC" w14:textId="45903285" w:rsidR="003D1715" w:rsidRPr="00E306E3" w:rsidRDefault="0060333C" w:rsidP="0066301C">
      <w:pPr>
        <w:spacing w:line="360" w:lineRule="auto"/>
        <w:jc w:val="both"/>
        <w:rPr>
          <w:rFonts w:ascii="Arial" w:hAnsi="Arial" w:cs="Arial"/>
          <w:lang w:eastAsia="en-GB"/>
        </w:rPr>
      </w:pPr>
      <w:r>
        <w:rPr>
          <w:rFonts w:ascii="Arial" w:hAnsi="Arial" w:cs="Arial"/>
          <w:lang w:eastAsia="en-GB"/>
        </w:rPr>
        <w:t xml:space="preserve">The result </w:t>
      </w:r>
      <w:r w:rsidR="001300C5">
        <w:rPr>
          <w:rFonts w:ascii="Arial" w:hAnsi="Arial" w:cs="Arial"/>
          <w:lang w:eastAsia="en-GB"/>
        </w:rPr>
        <w:t xml:space="preserve">above </w:t>
      </w:r>
      <w:r w:rsidR="002A322A">
        <w:rPr>
          <w:rFonts w:ascii="Arial" w:hAnsi="Arial" w:cs="Arial"/>
          <w:lang w:eastAsia="en-GB"/>
        </w:rPr>
        <w:t xml:space="preserve">reveals that the CUSUM statistic provides stable results for all the </w:t>
      </w:r>
      <w:r w:rsidR="00590E9F">
        <w:rPr>
          <w:rFonts w:ascii="Arial" w:hAnsi="Arial" w:cs="Arial"/>
          <w:lang w:eastAsia="en-GB"/>
        </w:rPr>
        <w:t>four nations. While the CUSUMSQ statistics provides stab</w:t>
      </w:r>
      <w:r w:rsidR="00CE666A">
        <w:rPr>
          <w:rFonts w:ascii="Arial" w:hAnsi="Arial" w:cs="Arial"/>
          <w:lang w:eastAsia="en-GB"/>
        </w:rPr>
        <w:t>le result for all the nations but for Cameroon</w:t>
      </w:r>
      <w:r w:rsidR="003A7277">
        <w:rPr>
          <w:rFonts w:ascii="Arial" w:hAnsi="Arial" w:cs="Arial"/>
          <w:lang w:eastAsia="en-GB"/>
        </w:rPr>
        <w:t>.</w:t>
      </w:r>
      <w:r w:rsidR="009901E1">
        <w:rPr>
          <w:rFonts w:ascii="Arial" w:hAnsi="Arial" w:cs="Arial"/>
          <w:lang w:eastAsia="en-GB"/>
        </w:rPr>
        <w:t xml:space="preserve"> </w:t>
      </w:r>
      <w:r w:rsidR="005E400D">
        <w:rPr>
          <w:rFonts w:ascii="Arial" w:hAnsi="Arial" w:cs="Arial"/>
          <w:lang w:eastAsia="en-GB"/>
        </w:rPr>
        <w:t>Thus, the model</w:t>
      </w:r>
      <w:r w:rsidR="00975510">
        <w:rPr>
          <w:rFonts w:ascii="Arial" w:hAnsi="Arial" w:cs="Arial"/>
          <w:lang w:eastAsia="en-GB"/>
        </w:rPr>
        <w:t xml:space="preserve">s for the </w:t>
      </w:r>
      <w:r w:rsidR="00187D36">
        <w:rPr>
          <w:rFonts w:ascii="Arial" w:hAnsi="Arial" w:cs="Arial"/>
          <w:lang w:eastAsia="en-GB"/>
        </w:rPr>
        <w:t>four CEMAC nations</w:t>
      </w:r>
      <w:r w:rsidR="005E400D">
        <w:rPr>
          <w:rFonts w:ascii="Arial" w:hAnsi="Arial" w:cs="Arial"/>
          <w:lang w:eastAsia="en-GB"/>
        </w:rPr>
        <w:t xml:space="preserve"> are stable</w:t>
      </w:r>
      <w:r w:rsidR="00021136">
        <w:rPr>
          <w:rFonts w:ascii="Arial" w:hAnsi="Arial" w:cs="Arial"/>
          <w:lang w:eastAsia="en-GB"/>
        </w:rPr>
        <w:t>.</w:t>
      </w:r>
    </w:p>
    <w:p w14:paraId="6DD4C43B" w14:textId="6B721D66" w:rsidR="00806598" w:rsidRPr="008204CC" w:rsidRDefault="0031503F" w:rsidP="0066301C">
      <w:pPr>
        <w:pStyle w:val="Heading2"/>
        <w:spacing w:before="0" w:beforeAutospacing="0"/>
      </w:pPr>
      <w:bookmarkStart w:id="392" w:name="_Toc171075397"/>
      <w:bookmarkEnd w:id="391"/>
      <w:r>
        <w:t>3</w:t>
      </w:r>
      <w:r w:rsidR="002D5D84">
        <w:t>.</w:t>
      </w:r>
      <w:r w:rsidR="00B47130">
        <w:t>6</w:t>
      </w:r>
      <w:r w:rsidR="00806598">
        <w:t xml:space="preserve"> </w:t>
      </w:r>
      <w:r w:rsidR="002D5D84">
        <w:tab/>
      </w:r>
      <w:r w:rsidR="00806598" w:rsidRPr="008204CC">
        <w:t>CONCLUSION</w:t>
      </w:r>
      <w:bookmarkEnd w:id="392"/>
    </w:p>
    <w:p w14:paraId="0359B8DC" w14:textId="2C50DEF6" w:rsidR="003D6541" w:rsidRDefault="00AF1715" w:rsidP="0066301C">
      <w:pPr>
        <w:spacing w:line="360" w:lineRule="auto"/>
        <w:ind w:left="-76"/>
        <w:jc w:val="both"/>
        <w:rPr>
          <w:rFonts w:ascii="Arial" w:hAnsi="Arial" w:cs="Arial"/>
        </w:rPr>
      </w:pPr>
      <w:bookmarkStart w:id="393" w:name="_Hlk163650323"/>
      <w:r>
        <w:rPr>
          <w:rFonts w:ascii="Arial" w:hAnsi="Arial" w:cs="Arial"/>
        </w:rPr>
        <w:t xml:space="preserve">This chapter was focused at </w:t>
      </w:r>
      <w:r w:rsidR="003F4024">
        <w:rPr>
          <w:rFonts w:ascii="Arial" w:hAnsi="Arial" w:cs="Arial"/>
        </w:rPr>
        <w:t>investigating</w:t>
      </w:r>
      <w:r>
        <w:rPr>
          <w:rFonts w:ascii="Arial" w:hAnsi="Arial" w:cs="Arial"/>
        </w:rPr>
        <w:t xml:space="preserve"> the state of the CFA francs (i.e., if it is </w:t>
      </w:r>
      <w:r w:rsidR="00DA088D">
        <w:rPr>
          <w:rFonts w:ascii="Arial" w:hAnsi="Arial" w:cs="Arial"/>
        </w:rPr>
        <w:t>align</w:t>
      </w:r>
      <w:r w:rsidR="00126742">
        <w:rPr>
          <w:rFonts w:ascii="Arial" w:hAnsi="Arial" w:cs="Arial"/>
        </w:rPr>
        <w:t>ed</w:t>
      </w:r>
      <w:r>
        <w:rPr>
          <w:rFonts w:ascii="Arial" w:hAnsi="Arial" w:cs="Arial"/>
        </w:rPr>
        <w:t xml:space="preserve"> or not) in the CEMAC zone nations</w:t>
      </w:r>
      <w:r w:rsidR="00126742">
        <w:rPr>
          <w:rFonts w:ascii="Arial" w:hAnsi="Arial" w:cs="Arial"/>
        </w:rPr>
        <w:t xml:space="preserve"> </w:t>
      </w:r>
      <w:r w:rsidR="00126742" w:rsidRPr="00426A26">
        <w:rPr>
          <w:rFonts w:ascii="Arial" w:hAnsi="Arial" w:cs="Arial"/>
        </w:rPr>
        <w:t>(Cameroon, Central Africa Republic – CAR, Gabon, Equatorial Guinea, Chad, and Congo)</w:t>
      </w:r>
      <w:r>
        <w:rPr>
          <w:rFonts w:ascii="Arial" w:hAnsi="Arial" w:cs="Arial"/>
        </w:rPr>
        <w:t xml:space="preserve">. </w:t>
      </w:r>
      <w:r w:rsidR="00DA76FD">
        <w:rPr>
          <w:rFonts w:ascii="Arial" w:hAnsi="Arial" w:cs="Arial"/>
        </w:rPr>
        <w:t xml:space="preserve">Based on the classical works of Clark and MacDonald (1998), </w:t>
      </w:r>
      <w:r>
        <w:rPr>
          <w:rFonts w:ascii="Arial" w:hAnsi="Arial" w:cs="Arial"/>
        </w:rPr>
        <w:t xml:space="preserve">we </w:t>
      </w:r>
      <w:r w:rsidR="00DA76FD">
        <w:rPr>
          <w:rFonts w:ascii="Arial" w:hAnsi="Arial" w:cs="Arial"/>
        </w:rPr>
        <w:t>use</w:t>
      </w:r>
      <w:r>
        <w:rPr>
          <w:rFonts w:ascii="Arial" w:hAnsi="Arial" w:cs="Arial"/>
        </w:rPr>
        <w:t>d</w:t>
      </w:r>
      <w:r w:rsidR="00DA76FD">
        <w:rPr>
          <w:rFonts w:ascii="Arial" w:hAnsi="Arial" w:cs="Arial"/>
        </w:rPr>
        <w:t xml:space="preserve"> the Vector Autoregression (VAR) approach</w:t>
      </w:r>
      <w:r w:rsidR="002559EF">
        <w:rPr>
          <w:rFonts w:ascii="Arial" w:hAnsi="Arial" w:cs="Arial"/>
        </w:rPr>
        <w:t>,</w:t>
      </w:r>
      <w:r w:rsidR="00DA76FD">
        <w:rPr>
          <w:rFonts w:ascii="Arial" w:hAnsi="Arial" w:cs="Arial"/>
        </w:rPr>
        <w:t xml:space="preserve"> which consist</w:t>
      </w:r>
      <w:r w:rsidR="002559EF">
        <w:rPr>
          <w:rFonts w:ascii="Arial" w:hAnsi="Arial" w:cs="Arial"/>
        </w:rPr>
        <w:t>s</w:t>
      </w:r>
      <w:r w:rsidR="00DA76FD">
        <w:rPr>
          <w:rFonts w:ascii="Arial" w:hAnsi="Arial" w:cs="Arial"/>
        </w:rPr>
        <w:t xml:space="preserve"> of the full-information maximum likelihood (FIML) method due to Johansen (1995).</w:t>
      </w:r>
      <w:r w:rsidR="00DA76FD">
        <w:rPr>
          <w:rStyle w:val="FootnoteReference"/>
          <w:rFonts w:ascii="Arial" w:hAnsi="Arial" w:cs="Arial"/>
        </w:rPr>
        <w:footnoteReference w:id="80"/>
      </w:r>
      <w:r w:rsidR="00DA76FD">
        <w:rPr>
          <w:rFonts w:ascii="Arial" w:hAnsi="Arial" w:cs="Arial"/>
        </w:rPr>
        <w:t xml:space="preserve"> This econometrics methodology corrects for autocorrelation and endogeneity parametrically using the vector error correction mechanism (VECM) specification. </w:t>
      </w:r>
      <w:r w:rsidR="00950B3F">
        <w:rPr>
          <w:rFonts w:ascii="Arial" w:hAnsi="Arial" w:cs="Arial"/>
        </w:rPr>
        <w:t xml:space="preserve">It was used </w:t>
      </w:r>
      <w:r w:rsidR="00E320EB">
        <w:rPr>
          <w:rFonts w:ascii="Arial" w:hAnsi="Arial" w:cs="Arial"/>
        </w:rPr>
        <w:t>to investigate both the long-term and short-term relationship between the REER and its fundamental</w:t>
      </w:r>
      <w:r w:rsidR="002559EF">
        <w:rPr>
          <w:rFonts w:ascii="Arial" w:hAnsi="Arial" w:cs="Arial"/>
        </w:rPr>
        <w:t>s</w:t>
      </w:r>
      <w:r w:rsidR="00E320EB">
        <w:rPr>
          <w:rFonts w:ascii="Arial" w:hAnsi="Arial" w:cs="Arial"/>
        </w:rPr>
        <w:t xml:space="preserve"> </w:t>
      </w:r>
      <w:r w:rsidR="00543B15">
        <w:rPr>
          <w:rFonts w:ascii="Arial" w:hAnsi="Arial" w:cs="Arial"/>
        </w:rPr>
        <w:t xml:space="preserve">in </w:t>
      </w:r>
      <w:r w:rsidR="00B4651A">
        <w:rPr>
          <w:rFonts w:ascii="Arial" w:hAnsi="Arial" w:cs="Arial"/>
        </w:rPr>
        <w:t xml:space="preserve">four </w:t>
      </w:r>
      <w:r w:rsidR="007878EF">
        <w:rPr>
          <w:rFonts w:ascii="Arial" w:hAnsi="Arial" w:cs="Arial"/>
        </w:rPr>
        <w:t>CEMAC nations</w:t>
      </w:r>
      <w:r w:rsidR="005A543A">
        <w:rPr>
          <w:rFonts w:ascii="Arial" w:hAnsi="Arial" w:cs="Arial"/>
        </w:rPr>
        <w:t xml:space="preserve"> </w:t>
      </w:r>
      <w:r w:rsidR="005A543A" w:rsidRPr="00426A26">
        <w:rPr>
          <w:rFonts w:ascii="Arial" w:hAnsi="Arial" w:cs="Arial"/>
        </w:rPr>
        <w:t>(Cameroon, Central Africa Republic – CAR, Gabon, Equatorial Guinea</w:t>
      </w:r>
      <w:r w:rsidR="005A543A">
        <w:rPr>
          <w:rFonts w:ascii="Arial" w:hAnsi="Arial" w:cs="Arial"/>
        </w:rPr>
        <w:t>)</w:t>
      </w:r>
      <w:r w:rsidR="007878EF">
        <w:rPr>
          <w:rFonts w:ascii="Arial" w:hAnsi="Arial" w:cs="Arial"/>
        </w:rPr>
        <w:t>.</w:t>
      </w:r>
      <w:r w:rsidR="00B73205">
        <w:rPr>
          <w:rFonts w:ascii="Arial" w:hAnsi="Arial" w:cs="Arial"/>
        </w:rPr>
        <w:t xml:space="preserve"> T</w:t>
      </w:r>
      <w:r w:rsidR="004004A6">
        <w:rPr>
          <w:rFonts w:ascii="Arial" w:hAnsi="Arial" w:cs="Arial"/>
        </w:rPr>
        <w:t xml:space="preserve">he fundamentals used are </w:t>
      </w:r>
      <w:r w:rsidR="008C357E" w:rsidRPr="00FD3B9A">
        <w:rPr>
          <w:rFonts w:ascii="Arial" w:hAnsi="Arial" w:cs="Arial"/>
        </w:rPr>
        <w:t>government expenditure (or</w:t>
      </w:r>
      <w:r w:rsidR="008C357E">
        <w:rPr>
          <w:rFonts w:ascii="Arial" w:hAnsi="Arial" w:cs="Arial"/>
        </w:rPr>
        <w:t xml:space="preserve"> </w:t>
      </w:r>
      <w:r w:rsidR="00695847" w:rsidRPr="00FD3B9A">
        <w:rPr>
          <w:rFonts w:ascii="Arial" w:hAnsi="Arial" w:cs="Arial"/>
        </w:rPr>
        <w:t xml:space="preserve">government debts - </w:t>
      </w:r>
      <w:r w:rsidR="00695847" w:rsidRPr="00FD3B9A">
        <w:rPr>
          <w:rFonts w:ascii="Arial" w:hAnsi="Arial" w:cs="Arial"/>
          <w:i/>
        </w:rPr>
        <w:t>GEXP</w:t>
      </w:r>
      <w:r w:rsidR="00695847" w:rsidRPr="00FD3B9A">
        <w:rPr>
          <w:rFonts w:ascii="Arial" w:hAnsi="Arial" w:cs="Arial"/>
        </w:rPr>
        <w:t>), terms of trade (</w:t>
      </w:r>
      <w:r w:rsidR="00695847" w:rsidRPr="00FD3B9A">
        <w:rPr>
          <w:rFonts w:ascii="Arial" w:hAnsi="Arial" w:cs="Arial"/>
          <w:i/>
        </w:rPr>
        <w:t>TOT</w:t>
      </w:r>
      <w:r w:rsidR="00695847" w:rsidRPr="00FD3B9A">
        <w:rPr>
          <w:rFonts w:ascii="Arial" w:hAnsi="Arial" w:cs="Arial"/>
        </w:rPr>
        <w:t xml:space="preserve">), net foreign </w:t>
      </w:r>
      <w:r w:rsidR="00695847" w:rsidRPr="00FD3B9A">
        <w:rPr>
          <w:rFonts w:ascii="Arial" w:hAnsi="Arial" w:cs="Arial"/>
        </w:rPr>
        <w:lastRenderedPageBreak/>
        <w:t>assets (</w:t>
      </w:r>
      <w:r w:rsidR="00695847" w:rsidRPr="00FD3B9A">
        <w:rPr>
          <w:rFonts w:ascii="Arial" w:hAnsi="Arial" w:cs="Arial"/>
          <w:i/>
        </w:rPr>
        <w:t>NFA</w:t>
      </w:r>
      <w:r w:rsidR="00695847" w:rsidRPr="00FD3B9A">
        <w:rPr>
          <w:rFonts w:ascii="Arial" w:hAnsi="Arial" w:cs="Arial"/>
        </w:rPr>
        <w:t xml:space="preserve">), trade policy (proxy by openness - </w:t>
      </w:r>
      <w:r w:rsidR="00695847" w:rsidRPr="00FD3B9A">
        <w:rPr>
          <w:rFonts w:ascii="Arial" w:hAnsi="Arial" w:cs="Arial"/>
          <w:i/>
        </w:rPr>
        <w:t>OPEN</w:t>
      </w:r>
      <w:r w:rsidR="00695847" w:rsidRPr="00FD3B9A">
        <w:rPr>
          <w:rFonts w:ascii="Arial" w:hAnsi="Arial" w:cs="Arial"/>
        </w:rPr>
        <w:t>)</w:t>
      </w:r>
      <w:r w:rsidR="005C45FF">
        <w:rPr>
          <w:rFonts w:ascii="Arial" w:hAnsi="Arial" w:cs="Arial"/>
        </w:rPr>
        <w:t>,</w:t>
      </w:r>
      <w:r w:rsidR="00695847" w:rsidRPr="00FD3B9A">
        <w:rPr>
          <w:rFonts w:ascii="Arial" w:hAnsi="Arial" w:cs="Arial"/>
        </w:rPr>
        <w:t xml:space="preserve"> and productivity differentials (</w:t>
      </w:r>
      <w:r w:rsidR="00695847" w:rsidRPr="00FD3B9A">
        <w:rPr>
          <w:rFonts w:ascii="Arial" w:hAnsi="Arial" w:cs="Arial"/>
          <w:i/>
        </w:rPr>
        <w:t>PROD</w:t>
      </w:r>
      <w:r w:rsidR="00695847">
        <w:rPr>
          <w:rFonts w:ascii="Arial" w:hAnsi="Arial" w:cs="Arial"/>
        </w:rPr>
        <w:t>).</w:t>
      </w:r>
      <w:r w:rsidR="003D6541">
        <w:rPr>
          <w:rFonts w:ascii="Arial" w:hAnsi="Arial" w:cs="Arial"/>
        </w:rPr>
        <w:t xml:space="preserve"> </w:t>
      </w:r>
      <w:r w:rsidR="00AB0A45">
        <w:rPr>
          <w:rFonts w:ascii="Arial" w:hAnsi="Arial" w:cs="Arial"/>
        </w:rPr>
        <w:t xml:space="preserve">The </w:t>
      </w:r>
      <w:r w:rsidR="00251D87" w:rsidRPr="00A46726">
        <w:rPr>
          <w:rFonts w:ascii="Arial" w:hAnsi="Arial" w:cs="Arial"/>
        </w:rPr>
        <w:t xml:space="preserve">Augmented Dickey-Fuller </w:t>
      </w:r>
      <w:r w:rsidR="007224F9" w:rsidRPr="00A46726">
        <w:rPr>
          <w:rFonts w:ascii="Arial" w:hAnsi="Arial" w:cs="Arial"/>
        </w:rPr>
        <w:t>(</w:t>
      </w:r>
      <w:r w:rsidR="00251D87" w:rsidRPr="00A46726">
        <w:rPr>
          <w:rFonts w:ascii="Arial" w:hAnsi="Arial" w:cs="Arial"/>
        </w:rPr>
        <w:t>ADF</w:t>
      </w:r>
      <w:r w:rsidR="007224F9" w:rsidRPr="00A46726">
        <w:rPr>
          <w:rFonts w:ascii="Arial" w:hAnsi="Arial" w:cs="Arial"/>
        </w:rPr>
        <w:t>)</w:t>
      </w:r>
      <w:r w:rsidR="00251D87" w:rsidRPr="00A46726">
        <w:rPr>
          <w:rFonts w:ascii="Arial" w:hAnsi="Arial" w:cs="Arial"/>
        </w:rPr>
        <w:t xml:space="preserve"> </w:t>
      </w:r>
      <w:r w:rsidR="005C45FF">
        <w:rPr>
          <w:rFonts w:ascii="Arial" w:hAnsi="Arial" w:cs="Arial"/>
        </w:rPr>
        <w:t xml:space="preserve">and </w:t>
      </w:r>
      <w:r w:rsidR="00251D87" w:rsidRPr="00A46726">
        <w:rPr>
          <w:rFonts w:ascii="Arial" w:hAnsi="Arial" w:cs="Arial"/>
        </w:rPr>
        <w:t xml:space="preserve">Phillips-Perron </w:t>
      </w:r>
      <w:r w:rsidR="007224F9" w:rsidRPr="00A46726">
        <w:rPr>
          <w:rFonts w:ascii="Arial" w:hAnsi="Arial" w:cs="Arial"/>
        </w:rPr>
        <w:t>(</w:t>
      </w:r>
      <w:r w:rsidR="00251D87" w:rsidRPr="00A46726">
        <w:rPr>
          <w:rFonts w:ascii="Arial" w:hAnsi="Arial" w:cs="Arial"/>
        </w:rPr>
        <w:t>PP</w:t>
      </w:r>
      <w:r w:rsidR="007224F9" w:rsidRPr="00A46726">
        <w:rPr>
          <w:rFonts w:ascii="Arial" w:hAnsi="Arial" w:cs="Arial"/>
        </w:rPr>
        <w:t>)</w:t>
      </w:r>
      <w:r w:rsidR="00251D87" w:rsidRPr="00A46726">
        <w:rPr>
          <w:rFonts w:ascii="Arial" w:hAnsi="Arial" w:cs="Arial"/>
        </w:rPr>
        <w:t xml:space="preserve"> </w:t>
      </w:r>
      <w:r w:rsidR="00251D87">
        <w:rPr>
          <w:rFonts w:ascii="Arial" w:hAnsi="Arial" w:cs="Arial"/>
        </w:rPr>
        <w:t>unit root test</w:t>
      </w:r>
      <w:r w:rsidR="005C45FF">
        <w:rPr>
          <w:rFonts w:ascii="Arial" w:hAnsi="Arial" w:cs="Arial"/>
        </w:rPr>
        <w:t>s</w:t>
      </w:r>
      <w:r w:rsidR="00251D87">
        <w:rPr>
          <w:rFonts w:ascii="Arial" w:hAnsi="Arial" w:cs="Arial"/>
        </w:rPr>
        <w:t xml:space="preserve"> were </w:t>
      </w:r>
      <w:r w:rsidR="00DA44DC">
        <w:rPr>
          <w:rFonts w:ascii="Arial" w:hAnsi="Arial" w:cs="Arial"/>
        </w:rPr>
        <w:t>done,</w:t>
      </w:r>
      <w:r w:rsidR="00251D87">
        <w:rPr>
          <w:rFonts w:ascii="Arial" w:hAnsi="Arial" w:cs="Arial"/>
        </w:rPr>
        <w:t xml:space="preserve"> </w:t>
      </w:r>
      <w:r w:rsidR="00C03665">
        <w:rPr>
          <w:rFonts w:ascii="Arial" w:hAnsi="Arial" w:cs="Arial"/>
        </w:rPr>
        <w:t xml:space="preserve">and the results showed that all the variables </w:t>
      </w:r>
      <w:r w:rsidR="00051C74">
        <w:rPr>
          <w:rFonts w:ascii="Arial" w:hAnsi="Arial" w:cs="Arial"/>
        </w:rPr>
        <w:t xml:space="preserve">were non-stationary at level, and stationary at </w:t>
      </w:r>
      <w:r w:rsidR="001F4B6D">
        <w:rPr>
          <w:rFonts w:ascii="Arial" w:hAnsi="Arial" w:cs="Arial"/>
        </w:rPr>
        <w:t xml:space="preserve">their first difference. </w:t>
      </w:r>
      <w:r w:rsidR="00EE1BBC">
        <w:rPr>
          <w:rFonts w:ascii="Arial" w:hAnsi="Arial" w:cs="Arial"/>
        </w:rPr>
        <w:t xml:space="preserve">The </w:t>
      </w:r>
      <w:r w:rsidR="0028683D">
        <w:rPr>
          <w:rFonts w:ascii="Arial" w:hAnsi="Arial" w:cs="Arial"/>
        </w:rPr>
        <w:t xml:space="preserve">VECM </w:t>
      </w:r>
      <w:r w:rsidR="00EE1BBC">
        <w:rPr>
          <w:rFonts w:ascii="Arial" w:hAnsi="Arial" w:cs="Arial"/>
        </w:rPr>
        <w:t>result sho</w:t>
      </w:r>
      <w:r w:rsidR="009546B5">
        <w:rPr>
          <w:rFonts w:ascii="Arial" w:hAnsi="Arial" w:cs="Arial"/>
        </w:rPr>
        <w:t>wed th</w:t>
      </w:r>
      <w:r w:rsidR="005D1AEA">
        <w:rPr>
          <w:rFonts w:ascii="Arial" w:hAnsi="Arial" w:cs="Arial"/>
        </w:rPr>
        <w:t xml:space="preserve">e presence of </w:t>
      </w:r>
      <w:r w:rsidR="009B028E">
        <w:rPr>
          <w:rFonts w:ascii="Arial" w:hAnsi="Arial" w:cs="Arial"/>
        </w:rPr>
        <w:t>long-term</w:t>
      </w:r>
      <w:r w:rsidR="005D1AEA">
        <w:rPr>
          <w:rFonts w:ascii="Arial" w:hAnsi="Arial" w:cs="Arial"/>
        </w:rPr>
        <w:t xml:space="preserve"> relationship between REER and </w:t>
      </w:r>
      <w:r w:rsidR="003D6384">
        <w:rPr>
          <w:rFonts w:ascii="Arial" w:hAnsi="Arial" w:cs="Arial"/>
        </w:rPr>
        <w:t>all</w:t>
      </w:r>
      <w:r w:rsidR="001442C6">
        <w:rPr>
          <w:rFonts w:ascii="Arial" w:hAnsi="Arial" w:cs="Arial"/>
        </w:rPr>
        <w:t xml:space="preserve"> its</w:t>
      </w:r>
      <w:r w:rsidR="006D5A44">
        <w:rPr>
          <w:rFonts w:ascii="Arial" w:hAnsi="Arial" w:cs="Arial"/>
        </w:rPr>
        <w:t xml:space="preserve"> fundamentals in CAR and Equatorial Guinea models</w:t>
      </w:r>
      <w:r w:rsidR="00A46726">
        <w:rPr>
          <w:rFonts w:ascii="Arial" w:hAnsi="Arial" w:cs="Arial"/>
        </w:rPr>
        <w:t xml:space="preserve"> (but for OPEN</w:t>
      </w:r>
      <w:r w:rsidR="00F23594">
        <w:rPr>
          <w:rFonts w:ascii="Arial" w:hAnsi="Arial" w:cs="Arial"/>
        </w:rPr>
        <w:t>,</w:t>
      </w:r>
      <w:r w:rsidR="00A46726">
        <w:rPr>
          <w:rFonts w:ascii="Arial" w:hAnsi="Arial" w:cs="Arial"/>
        </w:rPr>
        <w:t xml:space="preserve"> which had no long-term relationship)</w:t>
      </w:r>
      <w:r w:rsidR="006D5A44">
        <w:rPr>
          <w:rFonts w:ascii="Arial" w:hAnsi="Arial" w:cs="Arial"/>
        </w:rPr>
        <w:t xml:space="preserve">. </w:t>
      </w:r>
      <w:r w:rsidR="003D6541">
        <w:rPr>
          <w:rFonts w:ascii="Arial" w:hAnsi="Arial" w:cs="Arial"/>
        </w:rPr>
        <w:t xml:space="preserve">While there is no </w:t>
      </w:r>
      <w:r w:rsidR="009B028E">
        <w:rPr>
          <w:rFonts w:ascii="Arial" w:hAnsi="Arial" w:cs="Arial"/>
        </w:rPr>
        <w:t>long-term</w:t>
      </w:r>
      <w:r w:rsidR="003D6541">
        <w:rPr>
          <w:rFonts w:ascii="Arial" w:hAnsi="Arial" w:cs="Arial"/>
        </w:rPr>
        <w:t xml:space="preserve"> relationship </w:t>
      </w:r>
      <w:r w:rsidR="00024B71">
        <w:rPr>
          <w:rFonts w:ascii="Arial" w:hAnsi="Arial" w:cs="Arial"/>
        </w:rPr>
        <w:t xml:space="preserve">between REER and its fundamentals in the models of </w:t>
      </w:r>
      <w:r w:rsidR="0026449A">
        <w:rPr>
          <w:rFonts w:ascii="Arial" w:hAnsi="Arial" w:cs="Arial"/>
        </w:rPr>
        <w:t xml:space="preserve">Cameroon </w:t>
      </w:r>
      <w:r w:rsidR="00BD7861">
        <w:rPr>
          <w:rFonts w:ascii="Arial" w:hAnsi="Arial" w:cs="Arial"/>
        </w:rPr>
        <w:t xml:space="preserve">and </w:t>
      </w:r>
      <w:r w:rsidR="0026449A">
        <w:rPr>
          <w:rFonts w:ascii="Arial" w:hAnsi="Arial" w:cs="Arial"/>
        </w:rPr>
        <w:t>Gabon.</w:t>
      </w:r>
      <w:r w:rsidR="000C72C2">
        <w:rPr>
          <w:rFonts w:ascii="Arial" w:hAnsi="Arial" w:cs="Arial"/>
        </w:rPr>
        <w:t xml:space="preserve"> </w:t>
      </w:r>
      <w:r w:rsidR="007E3D23">
        <w:rPr>
          <w:rFonts w:ascii="Arial" w:hAnsi="Arial" w:cs="Arial"/>
        </w:rPr>
        <w:t>Th</w:t>
      </w:r>
      <w:r w:rsidR="00581016">
        <w:rPr>
          <w:rFonts w:ascii="Arial" w:hAnsi="Arial" w:cs="Arial"/>
        </w:rPr>
        <w:t xml:space="preserve">e result of Cameroon, CAR, and Equatorial Guinea shows the presence of </w:t>
      </w:r>
      <w:r w:rsidR="009B028E">
        <w:rPr>
          <w:rFonts w:ascii="Arial" w:hAnsi="Arial" w:cs="Arial"/>
        </w:rPr>
        <w:t>short-term</w:t>
      </w:r>
      <w:r w:rsidR="00581016">
        <w:rPr>
          <w:rFonts w:ascii="Arial" w:hAnsi="Arial" w:cs="Arial"/>
        </w:rPr>
        <w:t xml:space="preserve"> relationship between some of the </w:t>
      </w:r>
      <w:r w:rsidR="001F15CE">
        <w:rPr>
          <w:rFonts w:ascii="Arial" w:hAnsi="Arial" w:cs="Arial"/>
        </w:rPr>
        <w:t>fundamentals and REER</w:t>
      </w:r>
      <w:r w:rsidR="007E3D23">
        <w:rPr>
          <w:rFonts w:ascii="Arial" w:hAnsi="Arial" w:cs="Arial"/>
        </w:rPr>
        <w:t>. While</w:t>
      </w:r>
      <w:r w:rsidR="001F15CE">
        <w:rPr>
          <w:rFonts w:ascii="Arial" w:hAnsi="Arial" w:cs="Arial"/>
        </w:rPr>
        <w:t xml:space="preserve"> the result of Gabon shows th</w:t>
      </w:r>
      <w:r w:rsidR="00C6767C">
        <w:rPr>
          <w:rFonts w:ascii="Arial" w:hAnsi="Arial" w:cs="Arial"/>
        </w:rPr>
        <w:t xml:space="preserve">at there </w:t>
      </w:r>
      <w:r w:rsidR="006B231C">
        <w:rPr>
          <w:rFonts w:ascii="Arial" w:hAnsi="Arial" w:cs="Arial"/>
        </w:rPr>
        <w:t>are</w:t>
      </w:r>
      <w:r w:rsidR="00C6767C">
        <w:rPr>
          <w:rFonts w:ascii="Arial" w:hAnsi="Arial" w:cs="Arial"/>
        </w:rPr>
        <w:t xml:space="preserve"> no short-term relations between the fundamentals and REER. </w:t>
      </w:r>
    </w:p>
    <w:p w14:paraId="07500DC0" w14:textId="6BA293B2" w:rsidR="003177AF" w:rsidRDefault="00287887" w:rsidP="0066301C">
      <w:pPr>
        <w:spacing w:line="360" w:lineRule="auto"/>
        <w:jc w:val="both"/>
        <w:rPr>
          <w:rFonts w:ascii="Arial" w:hAnsi="Arial" w:cs="Arial"/>
        </w:rPr>
      </w:pPr>
      <w:r w:rsidRPr="008204CC">
        <w:rPr>
          <w:rFonts w:ascii="Arial" w:eastAsia="Times New Roman" w:hAnsi="Arial" w:cs="Arial"/>
          <w:lang w:val="en-US" w:eastAsia="en-GB"/>
        </w:rPr>
        <w:t>The</w:t>
      </w:r>
      <w:r w:rsidR="00806598" w:rsidRPr="00426A26">
        <w:rPr>
          <w:rFonts w:ascii="Arial" w:hAnsi="Arial" w:cs="Arial"/>
        </w:rPr>
        <w:t xml:space="preserve"> behavioural equilibrium exchange rate (BEER) approach by Clark and MacDonald (1998) was used to ascertain the state of the CFA francs in</w:t>
      </w:r>
      <w:r w:rsidR="00D346C4">
        <w:rPr>
          <w:rFonts w:ascii="Arial" w:hAnsi="Arial" w:cs="Arial"/>
        </w:rPr>
        <w:t xml:space="preserve"> all</w:t>
      </w:r>
      <w:r w:rsidR="00806598" w:rsidRPr="00426A26">
        <w:rPr>
          <w:rFonts w:ascii="Arial" w:hAnsi="Arial" w:cs="Arial"/>
        </w:rPr>
        <w:t xml:space="preserve"> the CEMAC nations. The results were</w:t>
      </w:r>
      <w:r w:rsidR="00806598">
        <w:rPr>
          <w:rFonts w:ascii="Arial" w:hAnsi="Arial" w:cs="Arial"/>
        </w:rPr>
        <w:t xml:space="preserve"> within the period 1980 to 2018, showing that </w:t>
      </w:r>
      <w:r w:rsidR="00806598" w:rsidRPr="00426A26">
        <w:rPr>
          <w:rFonts w:ascii="Arial" w:hAnsi="Arial" w:cs="Arial"/>
        </w:rPr>
        <w:t>prior to the 12</w:t>
      </w:r>
      <w:r w:rsidR="00806598" w:rsidRPr="00426A26">
        <w:rPr>
          <w:rFonts w:ascii="Arial" w:hAnsi="Arial" w:cs="Arial"/>
          <w:vertAlign w:val="superscript"/>
        </w:rPr>
        <w:t>th</w:t>
      </w:r>
      <w:r w:rsidR="00806598">
        <w:rPr>
          <w:rFonts w:ascii="Arial" w:hAnsi="Arial" w:cs="Arial"/>
        </w:rPr>
        <w:t xml:space="preserve"> January 1994 devaluation,</w:t>
      </w:r>
      <w:r w:rsidR="00806598" w:rsidRPr="00426A26">
        <w:rPr>
          <w:rFonts w:ascii="Arial" w:hAnsi="Arial" w:cs="Arial"/>
        </w:rPr>
        <w:t xml:space="preserve"> the currency experience</w:t>
      </w:r>
      <w:r w:rsidR="00806598">
        <w:rPr>
          <w:rFonts w:ascii="Arial" w:hAnsi="Arial" w:cs="Arial"/>
        </w:rPr>
        <w:t>d</w:t>
      </w:r>
      <w:r w:rsidR="00806598" w:rsidRPr="00426A26">
        <w:rPr>
          <w:rFonts w:ascii="Arial" w:hAnsi="Arial" w:cs="Arial"/>
        </w:rPr>
        <w:t xml:space="preserve"> series of fluctuation</w:t>
      </w:r>
      <w:r w:rsidR="00806598">
        <w:rPr>
          <w:rFonts w:ascii="Arial" w:hAnsi="Arial" w:cs="Arial"/>
        </w:rPr>
        <w:t>s</w:t>
      </w:r>
      <w:r w:rsidR="00806598" w:rsidRPr="00426A26">
        <w:rPr>
          <w:rFonts w:ascii="Arial" w:hAnsi="Arial" w:cs="Arial"/>
        </w:rPr>
        <w:t xml:space="preserve"> between undervaluation and overvaluation.</w:t>
      </w:r>
      <w:r w:rsidR="00806598">
        <w:rPr>
          <w:rFonts w:ascii="Arial" w:hAnsi="Arial" w:cs="Arial"/>
        </w:rPr>
        <w:t xml:space="preserve"> After the devaluation, the currency was undervalued, and thereafter</w:t>
      </w:r>
      <w:r w:rsidR="00CA3255">
        <w:rPr>
          <w:rFonts w:ascii="Arial" w:hAnsi="Arial" w:cs="Arial"/>
        </w:rPr>
        <w:t>,</w:t>
      </w:r>
      <w:r w:rsidR="00806598">
        <w:rPr>
          <w:rFonts w:ascii="Arial" w:hAnsi="Arial" w:cs="Arial"/>
        </w:rPr>
        <w:t xml:space="preserve"> it has been within its equilibrium. Thus, </w:t>
      </w:r>
      <w:r w:rsidR="00806598" w:rsidRPr="008204CC">
        <w:rPr>
          <w:rFonts w:ascii="Arial" w:hAnsi="Arial" w:cs="Arial"/>
        </w:rPr>
        <w:t xml:space="preserve">as of the year 2018, the CFA franc </w:t>
      </w:r>
      <w:r w:rsidR="00806598">
        <w:rPr>
          <w:rFonts w:ascii="Arial" w:hAnsi="Arial" w:cs="Arial"/>
        </w:rPr>
        <w:t>wa</w:t>
      </w:r>
      <w:r w:rsidR="00806598" w:rsidRPr="008204CC">
        <w:rPr>
          <w:rFonts w:ascii="Arial" w:hAnsi="Arial" w:cs="Arial"/>
        </w:rPr>
        <w:t xml:space="preserve">s </w:t>
      </w:r>
      <w:r w:rsidR="00806598">
        <w:rPr>
          <w:rFonts w:ascii="Arial" w:hAnsi="Arial" w:cs="Arial"/>
        </w:rPr>
        <w:t>within the</w:t>
      </w:r>
      <w:r w:rsidR="00806598" w:rsidRPr="008204CC">
        <w:rPr>
          <w:rFonts w:ascii="Arial" w:hAnsi="Arial" w:cs="Arial"/>
        </w:rPr>
        <w:t xml:space="preserve"> equilibrium (i.e., 1.85%</w:t>
      </w:r>
      <w:r w:rsidR="00806598">
        <w:rPr>
          <w:rFonts w:ascii="Arial" w:hAnsi="Arial" w:cs="Arial"/>
        </w:rPr>
        <w:t xml:space="preserve">, 3.73%, 4.59%, -0.70%, -4.45%, and 1.08% </w:t>
      </w:r>
      <w:r w:rsidR="00806598" w:rsidRPr="008204CC">
        <w:rPr>
          <w:rFonts w:ascii="Arial" w:hAnsi="Arial" w:cs="Arial"/>
        </w:rPr>
        <w:t>misalignment</w:t>
      </w:r>
      <w:r w:rsidR="00806598">
        <w:rPr>
          <w:rFonts w:ascii="Arial" w:hAnsi="Arial" w:cs="Arial"/>
        </w:rPr>
        <w:t xml:space="preserve"> for Cameroon, CAR, Gabon, Equatorial Guinea, Chad, and Congo</w:t>
      </w:r>
      <w:r w:rsidR="00806598" w:rsidRPr="008204CC">
        <w:rPr>
          <w:rFonts w:ascii="Arial" w:hAnsi="Arial" w:cs="Arial"/>
        </w:rPr>
        <w:t xml:space="preserve"> </w:t>
      </w:r>
      <w:r w:rsidR="00806598">
        <w:rPr>
          <w:rFonts w:ascii="Arial" w:hAnsi="Arial" w:cs="Arial"/>
        </w:rPr>
        <w:t>respectively</w:t>
      </w:r>
      <w:r w:rsidR="00806598" w:rsidRPr="008204CC">
        <w:rPr>
          <w:rFonts w:ascii="Arial" w:hAnsi="Arial" w:cs="Arial"/>
        </w:rPr>
        <w:t>)</w:t>
      </w:r>
      <w:r w:rsidR="00806598">
        <w:rPr>
          <w:rStyle w:val="FootnoteReference"/>
          <w:rFonts w:ascii="Arial" w:hAnsi="Arial" w:cs="Arial"/>
        </w:rPr>
        <w:footnoteReference w:id="81"/>
      </w:r>
      <w:r w:rsidR="00780BD1">
        <w:rPr>
          <w:rFonts w:ascii="Arial" w:hAnsi="Arial" w:cs="Arial"/>
        </w:rPr>
        <w:t xml:space="preserve">. </w:t>
      </w:r>
      <w:r w:rsidR="00AF450D">
        <w:rPr>
          <w:rFonts w:ascii="Arial" w:hAnsi="Arial" w:cs="Arial"/>
        </w:rPr>
        <w:t xml:space="preserve">It </w:t>
      </w:r>
      <w:r w:rsidR="00806598" w:rsidRPr="008204CC">
        <w:rPr>
          <w:rFonts w:ascii="Arial" w:hAnsi="Arial" w:cs="Arial"/>
        </w:rPr>
        <w:t xml:space="preserve">should be of no concern to the </w:t>
      </w:r>
      <w:r w:rsidR="00044523">
        <w:rPr>
          <w:rFonts w:ascii="Arial" w:hAnsi="Arial" w:cs="Arial"/>
        </w:rPr>
        <w:t xml:space="preserve">CEMAC </w:t>
      </w:r>
      <w:r w:rsidR="00806598" w:rsidRPr="008204CC">
        <w:rPr>
          <w:rFonts w:ascii="Arial" w:hAnsi="Arial" w:cs="Arial"/>
        </w:rPr>
        <w:t>nation</w:t>
      </w:r>
      <w:r w:rsidR="00806598">
        <w:rPr>
          <w:rFonts w:ascii="Arial" w:hAnsi="Arial" w:cs="Arial"/>
        </w:rPr>
        <w:t>s’</w:t>
      </w:r>
      <w:r w:rsidR="00806598" w:rsidRPr="008204CC">
        <w:rPr>
          <w:rFonts w:ascii="Arial" w:hAnsi="Arial" w:cs="Arial"/>
        </w:rPr>
        <w:t xml:space="preserve"> mon</w:t>
      </w:r>
      <w:r w:rsidR="00FD1204">
        <w:rPr>
          <w:rFonts w:ascii="Arial" w:hAnsi="Arial" w:cs="Arial"/>
        </w:rPr>
        <w:t>e</w:t>
      </w:r>
      <w:r w:rsidR="00806598" w:rsidRPr="008204CC">
        <w:rPr>
          <w:rFonts w:ascii="Arial" w:hAnsi="Arial" w:cs="Arial"/>
        </w:rPr>
        <w:t>t</w:t>
      </w:r>
      <w:r w:rsidR="00FD1204">
        <w:rPr>
          <w:rFonts w:ascii="Arial" w:hAnsi="Arial" w:cs="Arial"/>
        </w:rPr>
        <w:t>a</w:t>
      </w:r>
      <w:r w:rsidR="00806598" w:rsidRPr="008204CC">
        <w:rPr>
          <w:rFonts w:ascii="Arial" w:hAnsi="Arial" w:cs="Arial"/>
        </w:rPr>
        <w:t>ry authorities</w:t>
      </w:r>
      <w:r w:rsidR="00806598">
        <w:rPr>
          <w:rFonts w:ascii="Arial" w:hAnsi="Arial" w:cs="Arial"/>
        </w:rPr>
        <w:t xml:space="preserve"> since they are all within the 5% threshold</w:t>
      </w:r>
      <w:r w:rsidR="00806598" w:rsidRPr="008204CC">
        <w:rPr>
          <w:rFonts w:ascii="Arial" w:hAnsi="Arial" w:cs="Arial"/>
        </w:rPr>
        <w:t>.</w:t>
      </w:r>
      <w:r w:rsidR="008041A2">
        <w:rPr>
          <w:rFonts w:ascii="Arial" w:hAnsi="Arial" w:cs="Arial"/>
        </w:rPr>
        <w:t xml:space="preserve"> However, the results </w:t>
      </w:r>
      <w:r w:rsidR="00044523">
        <w:rPr>
          <w:rFonts w:ascii="Arial" w:hAnsi="Arial" w:cs="Arial"/>
        </w:rPr>
        <w:t xml:space="preserve">of </w:t>
      </w:r>
      <w:r w:rsidR="006D36CD">
        <w:rPr>
          <w:rFonts w:ascii="Arial" w:hAnsi="Arial" w:cs="Arial"/>
        </w:rPr>
        <w:t>Equatorial Guinea and Gabon revealed that</w:t>
      </w:r>
      <w:r w:rsidR="00E325CD">
        <w:rPr>
          <w:rFonts w:ascii="Arial" w:hAnsi="Arial" w:cs="Arial"/>
        </w:rPr>
        <w:t xml:space="preserve"> </w:t>
      </w:r>
      <w:r w:rsidR="00F00F66">
        <w:rPr>
          <w:rFonts w:ascii="Arial" w:hAnsi="Arial" w:cs="Arial"/>
        </w:rPr>
        <w:t xml:space="preserve">prior to the devaluation, </w:t>
      </w:r>
      <w:r w:rsidR="00F979F9">
        <w:rPr>
          <w:rFonts w:ascii="Arial" w:hAnsi="Arial" w:cs="Arial"/>
        </w:rPr>
        <w:t xml:space="preserve">the currency </w:t>
      </w:r>
      <w:r w:rsidR="00B0355B">
        <w:rPr>
          <w:rFonts w:ascii="Arial" w:hAnsi="Arial" w:cs="Arial"/>
        </w:rPr>
        <w:t xml:space="preserve">was within equilibrium and did not </w:t>
      </w:r>
      <w:r w:rsidR="00F979F9">
        <w:rPr>
          <w:rFonts w:ascii="Arial" w:hAnsi="Arial" w:cs="Arial"/>
        </w:rPr>
        <w:t>warrant devaluation</w:t>
      </w:r>
      <w:r w:rsidR="00B0355B">
        <w:rPr>
          <w:rFonts w:ascii="Arial" w:hAnsi="Arial" w:cs="Arial"/>
        </w:rPr>
        <w:t xml:space="preserve">. </w:t>
      </w:r>
      <w:r w:rsidR="00CE31DC">
        <w:rPr>
          <w:rFonts w:ascii="Arial" w:hAnsi="Arial" w:cs="Arial"/>
        </w:rPr>
        <w:t xml:space="preserve">Because CEMAC </w:t>
      </w:r>
      <w:r w:rsidR="00357CFE">
        <w:rPr>
          <w:rFonts w:ascii="Arial" w:hAnsi="Arial" w:cs="Arial"/>
        </w:rPr>
        <w:t xml:space="preserve">is a common currency zone, </w:t>
      </w:r>
      <w:r w:rsidR="003177AF">
        <w:rPr>
          <w:rFonts w:ascii="Arial" w:hAnsi="Arial" w:cs="Arial"/>
        </w:rPr>
        <w:t>decision</w:t>
      </w:r>
      <w:r w:rsidR="00AB0019">
        <w:rPr>
          <w:rFonts w:ascii="Arial" w:hAnsi="Arial" w:cs="Arial"/>
        </w:rPr>
        <w:t>s</w:t>
      </w:r>
      <w:r w:rsidR="00357CFE">
        <w:rPr>
          <w:rFonts w:ascii="Arial" w:hAnsi="Arial" w:cs="Arial"/>
        </w:rPr>
        <w:t xml:space="preserve"> made impact the entire Zone</w:t>
      </w:r>
      <w:r w:rsidR="005C5B00">
        <w:rPr>
          <w:rFonts w:ascii="Arial" w:hAnsi="Arial" w:cs="Arial"/>
        </w:rPr>
        <w:t xml:space="preserve">. The CFA franc could not be devalued </w:t>
      </w:r>
      <w:r w:rsidR="00DF12CB">
        <w:rPr>
          <w:rFonts w:ascii="Arial" w:hAnsi="Arial" w:cs="Arial"/>
        </w:rPr>
        <w:t xml:space="preserve">(treated) </w:t>
      </w:r>
      <w:r w:rsidR="00E36AE5">
        <w:rPr>
          <w:rFonts w:ascii="Arial" w:hAnsi="Arial" w:cs="Arial"/>
        </w:rPr>
        <w:t>on a country-by-country base</w:t>
      </w:r>
      <w:r w:rsidR="003177AF">
        <w:rPr>
          <w:rFonts w:ascii="Arial" w:hAnsi="Arial" w:cs="Arial"/>
        </w:rPr>
        <w:t>.</w:t>
      </w:r>
    </w:p>
    <w:bookmarkEnd w:id="393"/>
    <w:p w14:paraId="3F6E8BE8" w14:textId="5B980737" w:rsidR="000A0A50" w:rsidRDefault="000A0A50" w:rsidP="0066301C">
      <w:pPr>
        <w:spacing w:line="360" w:lineRule="auto"/>
        <w:jc w:val="both"/>
        <w:rPr>
          <w:rFonts w:ascii="Arial" w:hAnsi="Arial" w:cs="Arial"/>
        </w:rPr>
      </w:pPr>
    </w:p>
    <w:p w14:paraId="213ADDF9" w14:textId="77777777" w:rsidR="00523724" w:rsidRDefault="00523724" w:rsidP="0066301C">
      <w:pPr>
        <w:spacing w:line="360" w:lineRule="auto"/>
        <w:jc w:val="both"/>
        <w:rPr>
          <w:rFonts w:ascii="Arial" w:hAnsi="Arial" w:cs="Arial"/>
        </w:rPr>
      </w:pPr>
    </w:p>
    <w:p w14:paraId="22F2FF83" w14:textId="77777777" w:rsidR="00523724" w:rsidRDefault="00523724" w:rsidP="0066301C">
      <w:pPr>
        <w:spacing w:line="360" w:lineRule="auto"/>
        <w:jc w:val="both"/>
        <w:rPr>
          <w:rFonts w:ascii="Arial" w:hAnsi="Arial" w:cs="Arial"/>
        </w:rPr>
      </w:pPr>
    </w:p>
    <w:p w14:paraId="30656582" w14:textId="77777777" w:rsidR="001B21D5" w:rsidRDefault="001B21D5" w:rsidP="0066301C">
      <w:pPr>
        <w:spacing w:line="360" w:lineRule="auto"/>
        <w:jc w:val="both"/>
        <w:rPr>
          <w:rFonts w:ascii="Arial" w:hAnsi="Arial" w:cs="Arial"/>
        </w:rPr>
      </w:pPr>
    </w:p>
    <w:p w14:paraId="78C789C6" w14:textId="77777777" w:rsidR="001B21D5" w:rsidRDefault="001B21D5" w:rsidP="0066301C">
      <w:pPr>
        <w:spacing w:line="360" w:lineRule="auto"/>
        <w:jc w:val="both"/>
        <w:rPr>
          <w:rFonts w:ascii="Arial" w:hAnsi="Arial" w:cs="Arial"/>
        </w:rPr>
      </w:pPr>
    </w:p>
    <w:p w14:paraId="2C76A541" w14:textId="77777777" w:rsidR="001B21D5" w:rsidRDefault="001B21D5" w:rsidP="0066301C">
      <w:pPr>
        <w:spacing w:line="360" w:lineRule="auto"/>
        <w:jc w:val="both"/>
        <w:rPr>
          <w:rFonts w:ascii="Arial" w:hAnsi="Arial" w:cs="Arial"/>
        </w:rPr>
      </w:pPr>
    </w:p>
    <w:p w14:paraId="44229BDE" w14:textId="77777777" w:rsidR="00523724" w:rsidRDefault="00523724" w:rsidP="0066301C">
      <w:pPr>
        <w:spacing w:line="360" w:lineRule="auto"/>
        <w:jc w:val="both"/>
        <w:rPr>
          <w:rFonts w:ascii="Arial" w:hAnsi="Arial" w:cs="Arial"/>
        </w:rPr>
      </w:pPr>
    </w:p>
    <w:p w14:paraId="7F929BF0" w14:textId="48C92833" w:rsidR="008204CC" w:rsidRDefault="002D5D84" w:rsidP="0066301C">
      <w:pPr>
        <w:pStyle w:val="Heading1"/>
        <w:numPr>
          <w:ilvl w:val="0"/>
          <w:numId w:val="0"/>
        </w:numPr>
        <w:spacing w:before="0"/>
        <w:ind w:left="360" w:firstLine="360"/>
        <w:rPr>
          <w:rFonts w:eastAsia="Times New Roman"/>
          <w:lang w:val="en-US"/>
        </w:rPr>
      </w:pPr>
      <w:bookmarkStart w:id="394" w:name="_Toc171075398"/>
      <w:bookmarkStart w:id="395" w:name="_Hlk160310193"/>
      <w:bookmarkStart w:id="396" w:name="_Hlk170836396"/>
      <w:r>
        <w:rPr>
          <w:rFonts w:eastAsia="Times New Roman"/>
          <w:lang w:val="en-US"/>
        </w:rPr>
        <w:lastRenderedPageBreak/>
        <w:t xml:space="preserve">CHAPTER </w:t>
      </w:r>
      <w:r w:rsidR="008F70A3">
        <w:rPr>
          <w:rFonts w:eastAsia="Times New Roman"/>
          <w:lang w:val="en-US"/>
        </w:rPr>
        <w:t>4</w:t>
      </w:r>
      <w:r w:rsidR="00B27A20">
        <w:rPr>
          <w:rFonts w:eastAsia="Times New Roman"/>
          <w:lang w:val="en-US"/>
        </w:rPr>
        <w:br/>
      </w:r>
      <w:bookmarkStart w:id="397" w:name="_Hlk160315504"/>
      <w:r w:rsidR="00774837">
        <w:rPr>
          <w:rFonts w:eastAsia="Times New Roman"/>
          <w:lang w:val="en-US"/>
        </w:rPr>
        <w:t xml:space="preserve"> EMPIRICAL ANALYSIS OF </w:t>
      </w:r>
      <w:r w:rsidR="00F91DB7">
        <w:rPr>
          <w:rFonts w:eastAsia="Times New Roman"/>
          <w:lang w:val="en-US"/>
        </w:rPr>
        <w:t xml:space="preserve">THE IMPACT OF REER ON </w:t>
      </w:r>
      <w:r w:rsidR="00F91DB7" w:rsidRPr="002D5D84">
        <w:rPr>
          <w:rFonts w:eastAsia="Times New Roman"/>
          <w:lang w:val="en-US"/>
        </w:rPr>
        <w:t>TRADE BALANCE</w:t>
      </w:r>
      <w:bookmarkEnd w:id="394"/>
      <w:r w:rsidR="00F91DB7" w:rsidRPr="002D5D84">
        <w:rPr>
          <w:rFonts w:eastAsia="Times New Roman"/>
          <w:lang w:val="en-US"/>
        </w:rPr>
        <w:t xml:space="preserve"> </w:t>
      </w:r>
    </w:p>
    <w:p w14:paraId="36356D34" w14:textId="77704FC4" w:rsidR="00F91DB7" w:rsidRPr="006A1BE6" w:rsidRDefault="000C7C28" w:rsidP="0066301C">
      <w:pPr>
        <w:pStyle w:val="Heading2"/>
        <w:spacing w:before="0" w:beforeAutospacing="0"/>
      </w:pPr>
      <w:bookmarkStart w:id="398" w:name="_Toc171075399"/>
      <w:bookmarkEnd w:id="395"/>
      <w:r>
        <w:t>4</w:t>
      </w:r>
      <w:r w:rsidR="00F91DB7" w:rsidRPr="006A1BE6">
        <w:t>.1</w:t>
      </w:r>
      <w:r w:rsidR="00AE1D40">
        <w:tab/>
      </w:r>
      <w:r w:rsidR="00F91DB7" w:rsidRPr="006A1BE6">
        <w:t>INTRODUCTION</w:t>
      </w:r>
      <w:bookmarkEnd w:id="398"/>
      <w:r w:rsidR="00F91DB7" w:rsidRPr="006A1BE6">
        <w:t xml:space="preserve"> </w:t>
      </w:r>
    </w:p>
    <w:p w14:paraId="3971C133" w14:textId="69570CDC" w:rsidR="00617A28" w:rsidRDefault="00617A28" w:rsidP="0066301C">
      <w:pPr>
        <w:widowControl w:val="0"/>
        <w:autoSpaceDE w:val="0"/>
        <w:autoSpaceDN w:val="0"/>
        <w:adjustRightInd w:val="0"/>
        <w:spacing w:after="240" w:line="360" w:lineRule="auto"/>
        <w:jc w:val="both"/>
        <w:rPr>
          <w:rFonts w:ascii="Arial" w:hAnsi="Arial" w:cs="Arial"/>
        </w:rPr>
      </w:pPr>
      <w:r w:rsidRPr="0074777D">
        <w:rPr>
          <w:rFonts w:ascii="Arial" w:hAnsi="Arial" w:cs="Arial"/>
        </w:rPr>
        <w:t xml:space="preserve">The </w:t>
      </w:r>
      <w:bookmarkStart w:id="399" w:name="_Hlk162608068"/>
      <w:r w:rsidR="008E56C4">
        <w:rPr>
          <w:rFonts w:ascii="Arial" w:hAnsi="Arial" w:cs="Arial"/>
        </w:rPr>
        <w:t xml:space="preserve">chapter </w:t>
      </w:r>
      <w:r w:rsidRPr="0074777D">
        <w:rPr>
          <w:rFonts w:ascii="Arial" w:hAnsi="Arial" w:cs="Arial"/>
        </w:rPr>
        <w:t>investigate</w:t>
      </w:r>
      <w:r>
        <w:rPr>
          <w:rFonts w:ascii="Arial" w:hAnsi="Arial" w:cs="Arial"/>
        </w:rPr>
        <w:t>s</w:t>
      </w:r>
      <w:r w:rsidRPr="0074777D">
        <w:rPr>
          <w:rFonts w:ascii="Arial" w:hAnsi="Arial" w:cs="Arial"/>
        </w:rPr>
        <w:t xml:space="preserve"> if currency devaluation (CFA franc devaluation) ha</w:t>
      </w:r>
      <w:r>
        <w:rPr>
          <w:rFonts w:ascii="Arial" w:hAnsi="Arial" w:cs="Arial"/>
        </w:rPr>
        <w:t>d</w:t>
      </w:r>
      <w:r w:rsidRPr="0074777D">
        <w:rPr>
          <w:rFonts w:ascii="Arial" w:hAnsi="Arial" w:cs="Arial"/>
        </w:rPr>
        <w:t xml:space="preserve"> an impact (improvement) on the trade balance </w:t>
      </w:r>
      <w:r>
        <w:rPr>
          <w:rFonts w:ascii="Arial" w:hAnsi="Arial" w:cs="Arial"/>
        </w:rPr>
        <w:t xml:space="preserve">(TB) </w:t>
      </w:r>
      <w:r w:rsidRPr="0074777D">
        <w:rPr>
          <w:rFonts w:ascii="Arial" w:hAnsi="Arial" w:cs="Arial"/>
        </w:rPr>
        <w:t xml:space="preserve">of CEMAC nations. This </w:t>
      </w:r>
      <w:r>
        <w:rPr>
          <w:rFonts w:ascii="Arial" w:hAnsi="Arial" w:cs="Arial"/>
        </w:rPr>
        <w:t>was</w:t>
      </w:r>
      <w:r w:rsidRPr="0074777D">
        <w:rPr>
          <w:rFonts w:ascii="Arial" w:hAnsi="Arial" w:cs="Arial"/>
        </w:rPr>
        <w:t xml:space="preserve"> done by investigating </w:t>
      </w:r>
      <w:r>
        <w:rPr>
          <w:rFonts w:ascii="Arial" w:hAnsi="Arial" w:cs="Arial"/>
        </w:rPr>
        <w:t xml:space="preserve">for </w:t>
      </w:r>
      <w:r w:rsidRPr="0074777D">
        <w:rPr>
          <w:rFonts w:ascii="Arial" w:hAnsi="Arial" w:cs="Arial"/>
        </w:rPr>
        <w:t>the presence of </w:t>
      </w:r>
      <w:r w:rsidRPr="0074777D">
        <w:rPr>
          <w:rStyle w:val="Emphasis"/>
          <w:rFonts w:ascii="Arial" w:hAnsi="Arial" w:cs="Arial"/>
          <w:color w:val="0E101A"/>
        </w:rPr>
        <w:t>J-</w:t>
      </w:r>
      <w:r w:rsidRPr="0074777D">
        <w:rPr>
          <w:rFonts w:ascii="Arial" w:hAnsi="Arial" w:cs="Arial"/>
        </w:rPr>
        <w:t>curve in the TB of three CEMAC nations used</w:t>
      </w:r>
      <w:r>
        <w:rPr>
          <w:rFonts w:ascii="Arial" w:hAnsi="Arial" w:cs="Arial"/>
        </w:rPr>
        <w:t>.</w:t>
      </w:r>
      <w:r>
        <w:rPr>
          <w:rStyle w:val="FootnoteReference"/>
          <w:rFonts w:ascii="Arial" w:hAnsi="Arial" w:cs="Arial"/>
        </w:rPr>
        <w:footnoteReference w:id="82"/>
      </w:r>
      <w:r w:rsidRPr="0074777D">
        <w:rPr>
          <w:rFonts w:ascii="Arial" w:hAnsi="Arial" w:cs="Arial"/>
        </w:rPr>
        <w:t xml:space="preserve"> The aggregate bilateral trade data approach by Rose and Yellen (1989) </w:t>
      </w:r>
      <w:r>
        <w:rPr>
          <w:rFonts w:ascii="Arial" w:hAnsi="Arial" w:cs="Arial"/>
        </w:rPr>
        <w:t>wa</w:t>
      </w:r>
      <w:r w:rsidRPr="0074777D">
        <w:rPr>
          <w:rFonts w:ascii="Arial" w:hAnsi="Arial" w:cs="Arial"/>
        </w:rPr>
        <w:t xml:space="preserve">s used to </w:t>
      </w:r>
      <w:r w:rsidR="008E56C4">
        <w:rPr>
          <w:rFonts w:ascii="Arial" w:hAnsi="Arial" w:cs="Arial"/>
        </w:rPr>
        <w:t>examine</w:t>
      </w:r>
      <w:r w:rsidRPr="0074777D">
        <w:rPr>
          <w:rFonts w:ascii="Arial" w:hAnsi="Arial" w:cs="Arial"/>
        </w:rPr>
        <w:t xml:space="preserve"> </w:t>
      </w:r>
      <w:r w:rsidR="008E56C4">
        <w:rPr>
          <w:rFonts w:ascii="Arial" w:hAnsi="Arial" w:cs="Arial"/>
        </w:rPr>
        <w:t xml:space="preserve">for </w:t>
      </w:r>
      <w:r w:rsidRPr="0074777D">
        <w:rPr>
          <w:rFonts w:ascii="Arial" w:hAnsi="Arial" w:cs="Arial"/>
        </w:rPr>
        <w:t>the presence of the </w:t>
      </w:r>
      <w:r w:rsidRPr="0074777D">
        <w:rPr>
          <w:rStyle w:val="Emphasis"/>
          <w:rFonts w:ascii="Arial" w:hAnsi="Arial" w:cs="Arial"/>
          <w:color w:val="0E101A"/>
        </w:rPr>
        <w:t>J-</w:t>
      </w:r>
      <w:r w:rsidRPr="0074777D">
        <w:rPr>
          <w:rFonts w:ascii="Arial" w:hAnsi="Arial" w:cs="Arial"/>
        </w:rPr>
        <w:t xml:space="preserve">curve in the </w:t>
      </w:r>
      <w:r>
        <w:rPr>
          <w:rFonts w:ascii="Arial" w:hAnsi="Arial" w:cs="Arial"/>
        </w:rPr>
        <w:t>TB</w:t>
      </w:r>
      <w:r w:rsidRPr="0074777D">
        <w:rPr>
          <w:rFonts w:ascii="Arial" w:hAnsi="Arial" w:cs="Arial"/>
        </w:rPr>
        <w:t xml:space="preserve"> relationship between each of the three CEMAC nations and their individual main trade partners.</w:t>
      </w:r>
      <w:r>
        <w:rPr>
          <w:rStyle w:val="FootnoteReference"/>
          <w:rFonts w:ascii="Arial" w:hAnsi="Arial" w:cs="Arial"/>
        </w:rPr>
        <w:footnoteReference w:id="83"/>
      </w:r>
      <w:r w:rsidRPr="005776D3">
        <w:rPr>
          <w:rFonts w:ascii="Arial" w:hAnsi="Arial" w:cs="Arial"/>
        </w:rPr>
        <w:t xml:space="preserve"> </w:t>
      </w:r>
      <w:r w:rsidR="009F35DD" w:rsidRPr="0074777D">
        <w:rPr>
          <w:rFonts w:ascii="Arial" w:hAnsi="Arial" w:cs="Arial"/>
        </w:rPr>
        <w:t>To have a</w:t>
      </w:r>
      <w:r w:rsidR="009F35DD">
        <w:rPr>
          <w:rFonts w:ascii="Arial" w:hAnsi="Arial" w:cs="Arial"/>
        </w:rPr>
        <w:t>n overview</w:t>
      </w:r>
      <w:r w:rsidR="009F35DD" w:rsidRPr="0074777D">
        <w:rPr>
          <w:rFonts w:ascii="Arial" w:hAnsi="Arial" w:cs="Arial"/>
        </w:rPr>
        <w:t xml:space="preserve"> of the impact of CFA franc devaluation on the </w:t>
      </w:r>
      <w:r w:rsidR="009F35DD">
        <w:rPr>
          <w:rFonts w:ascii="Arial" w:hAnsi="Arial" w:cs="Arial"/>
        </w:rPr>
        <w:t xml:space="preserve">CEMAC </w:t>
      </w:r>
      <w:r w:rsidR="009F35DD" w:rsidRPr="0074777D">
        <w:rPr>
          <w:rFonts w:ascii="Arial" w:hAnsi="Arial" w:cs="Arial"/>
        </w:rPr>
        <w:t>nation</w:t>
      </w:r>
      <w:r w:rsidR="009F35DD">
        <w:rPr>
          <w:rFonts w:ascii="Arial" w:hAnsi="Arial" w:cs="Arial"/>
        </w:rPr>
        <w:t>s</w:t>
      </w:r>
      <w:r w:rsidR="009F35DD" w:rsidRPr="0074777D">
        <w:rPr>
          <w:rFonts w:ascii="Arial" w:hAnsi="Arial" w:cs="Arial"/>
        </w:rPr>
        <w:t xml:space="preserve">’ </w:t>
      </w:r>
      <w:r w:rsidR="009F35DD">
        <w:rPr>
          <w:rFonts w:ascii="Arial" w:hAnsi="Arial" w:cs="Arial"/>
        </w:rPr>
        <w:t>TB</w:t>
      </w:r>
      <w:r w:rsidR="009F35DD" w:rsidRPr="0074777D">
        <w:rPr>
          <w:rFonts w:ascii="Arial" w:hAnsi="Arial" w:cs="Arial"/>
        </w:rPr>
        <w:t>, we used the aggregate trade data approach by Magee (1973).</w:t>
      </w:r>
      <w:r w:rsidR="009F35DD">
        <w:rPr>
          <w:rFonts w:ascii="Arial" w:hAnsi="Arial" w:cs="Arial"/>
        </w:rPr>
        <w:t xml:space="preserve"> </w:t>
      </w:r>
      <w:r w:rsidRPr="0074777D">
        <w:rPr>
          <w:rFonts w:ascii="Arial" w:hAnsi="Arial" w:cs="Arial"/>
        </w:rPr>
        <w:t>The presence of the </w:t>
      </w:r>
      <w:r w:rsidRPr="0074777D">
        <w:rPr>
          <w:rStyle w:val="Emphasis"/>
          <w:rFonts w:ascii="Arial" w:hAnsi="Arial" w:cs="Arial"/>
          <w:color w:val="0E101A"/>
        </w:rPr>
        <w:t>J-</w:t>
      </w:r>
      <w:r w:rsidRPr="0074777D">
        <w:rPr>
          <w:rFonts w:ascii="Arial" w:hAnsi="Arial" w:cs="Arial"/>
        </w:rPr>
        <w:t xml:space="preserve">curve will mean that the CFA franc devaluation </w:t>
      </w:r>
      <w:r>
        <w:rPr>
          <w:rFonts w:ascii="Arial" w:hAnsi="Arial" w:cs="Arial"/>
        </w:rPr>
        <w:t xml:space="preserve">could </w:t>
      </w:r>
      <w:r w:rsidRPr="0074777D">
        <w:rPr>
          <w:rFonts w:ascii="Arial" w:hAnsi="Arial" w:cs="Arial"/>
        </w:rPr>
        <w:t xml:space="preserve">lead to the improvement of the CEMAC nations’ </w:t>
      </w:r>
      <w:r>
        <w:rPr>
          <w:rFonts w:ascii="Arial" w:hAnsi="Arial" w:cs="Arial"/>
        </w:rPr>
        <w:t>TB</w:t>
      </w:r>
      <w:r w:rsidRPr="0074777D">
        <w:rPr>
          <w:rFonts w:ascii="Arial" w:hAnsi="Arial" w:cs="Arial"/>
        </w:rPr>
        <w:t xml:space="preserve"> in the long-run.</w:t>
      </w:r>
      <w:r>
        <w:rPr>
          <w:rStyle w:val="FootnoteReference"/>
          <w:rFonts w:ascii="Arial" w:hAnsi="Arial" w:cs="Arial"/>
        </w:rPr>
        <w:footnoteReference w:id="84"/>
      </w:r>
      <w:r w:rsidRPr="0074777D">
        <w:rPr>
          <w:rFonts w:ascii="Arial" w:hAnsi="Arial" w:cs="Arial"/>
        </w:rPr>
        <w:t xml:space="preserve"> The Autoregressive Distributed Lag (ARDL) approach by Pesaran </w:t>
      </w:r>
      <w:r w:rsidRPr="0074777D">
        <w:rPr>
          <w:rStyle w:val="Emphasis"/>
          <w:rFonts w:ascii="Arial" w:hAnsi="Arial" w:cs="Arial"/>
          <w:color w:val="0E101A"/>
        </w:rPr>
        <w:t>et al. </w:t>
      </w:r>
      <w:r w:rsidRPr="0074777D">
        <w:rPr>
          <w:rFonts w:ascii="Arial" w:hAnsi="Arial" w:cs="Arial"/>
        </w:rPr>
        <w:t xml:space="preserve">(2001) </w:t>
      </w:r>
      <w:r>
        <w:rPr>
          <w:rFonts w:ascii="Arial" w:hAnsi="Arial" w:cs="Arial"/>
        </w:rPr>
        <w:t>wa</w:t>
      </w:r>
      <w:r w:rsidRPr="0074777D">
        <w:rPr>
          <w:rFonts w:ascii="Arial" w:hAnsi="Arial" w:cs="Arial"/>
        </w:rPr>
        <w:t>s used to investigate the presence of cointegration in the models.</w:t>
      </w:r>
      <w:r>
        <w:rPr>
          <w:rFonts w:ascii="Arial" w:hAnsi="Arial" w:cs="Arial"/>
        </w:rPr>
        <w:t xml:space="preserve"> The results revealed the presence of the </w:t>
      </w:r>
      <w:r>
        <w:rPr>
          <w:rFonts w:ascii="Arial" w:hAnsi="Arial" w:cs="Arial"/>
          <w:i/>
          <w:iCs/>
        </w:rPr>
        <w:t>J-</w:t>
      </w:r>
      <w:r>
        <w:rPr>
          <w:rFonts w:ascii="Arial" w:hAnsi="Arial" w:cs="Arial"/>
        </w:rPr>
        <w:t xml:space="preserve">curve </w:t>
      </w:r>
      <w:r w:rsidR="008E56C4">
        <w:rPr>
          <w:rFonts w:ascii="Arial" w:hAnsi="Arial" w:cs="Arial"/>
        </w:rPr>
        <w:t xml:space="preserve">in the TB </w:t>
      </w:r>
      <w:r>
        <w:rPr>
          <w:rFonts w:ascii="Arial" w:hAnsi="Arial" w:cs="Arial"/>
        </w:rPr>
        <w:t xml:space="preserve">between Cameroon and her individual main trade partners, and Cameroon and her </w:t>
      </w:r>
      <w:r w:rsidR="008E56C4">
        <w:rPr>
          <w:rFonts w:ascii="Arial" w:hAnsi="Arial" w:cs="Arial"/>
        </w:rPr>
        <w:t xml:space="preserve">main </w:t>
      </w:r>
      <w:r>
        <w:rPr>
          <w:rFonts w:ascii="Arial" w:hAnsi="Arial" w:cs="Arial"/>
        </w:rPr>
        <w:t>trade partners jointly</w:t>
      </w:r>
      <w:r w:rsidR="00453D7C">
        <w:rPr>
          <w:rFonts w:ascii="Arial" w:hAnsi="Arial" w:cs="Arial"/>
        </w:rPr>
        <w:t xml:space="preserve"> (i.e., in the </w:t>
      </w:r>
      <w:r w:rsidR="00453D7C" w:rsidRPr="0074777D">
        <w:rPr>
          <w:rFonts w:ascii="Arial" w:hAnsi="Arial" w:cs="Arial"/>
        </w:rPr>
        <w:t>aggregate bilateral trade data approach by Rose and Yellen (1989)</w:t>
      </w:r>
      <w:r w:rsidR="00453D7C">
        <w:rPr>
          <w:rFonts w:ascii="Arial" w:hAnsi="Arial" w:cs="Arial"/>
        </w:rPr>
        <w:t xml:space="preserve">, and </w:t>
      </w:r>
      <w:r w:rsidR="00A56EFE">
        <w:rPr>
          <w:rFonts w:ascii="Arial" w:hAnsi="Arial" w:cs="Arial"/>
        </w:rPr>
        <w:t xml:space="preserve">the </w:t>
      </w:r>
      <w:r w:rsidR="00453D7C" w:rsidRPr="0074777D">
        <w:rPr>
          <w:rFonts w:ascii="Arial" w:hAnsi="Arial" w:cs="Arial"/>
        </w:rPr>
        <w:t>aggregate trade data approach by Magee (1973)</w:t>
      </w:r>
      <w:r w:rsidR="00453D7C">
        <w:rPr>
          <w:rFonts w:ascii="Arial" w:hAnsi="Arial" w:cs="Arial"/>
        </w:rPr>
        <w:t>)</w:t>
      </w:r>
      <w:r>
        <w:rPr>
          <w:rFonts w:ascii="Arial" w:hAnsi="Arial" w:cs="Arial"/>
        </w:rPr>
        <w:t>. This means that the CFA franc devaluation improved Cameroon’s TB</w:t>
      </w:r>
      <w:r w:rsidR="00453D7C">
        <w:rPr>
          <w:rFonts w:ascii="Arial" w:hAnsi="Arial" w:cs="Arial"/>
        </w:rPr>
        <w:t xml:space="preserve"> and policymakers could use it as a tool to improve the</w:t>
      </w:r>
      <w:r w:rsidR="00A56EFE">
        <w:rPr>
          <w:rFonts w:ascii="Arial" w:hAnsi="Arial" w:cs="Arial"/>
        </w:rPr>
        <w:t xml:space="preserve"> nation’s</w:t>
      </w:r>
      <w:r w:rsidR="00453D7C">
        <w:rPr>
          <w:rFonts w:ascii="Arial" w:hAnsi="Arial" w:cs="Arial"/>
        </w:rPr>
        <w:t xml:space="preserve"> TB. </w:t>
      </w:r>
      <w:r w:rsidR="00A56EFE">
        <w:rPr>
          <w:rFonts w:ascii="Arial" w:hAnsi="Arial" w:cs="Arial"/>
        </w:rPr>
        <w:t>While t</w:t>
      </w:r>
      <w:r w:rsidR="00453D7C">
        <w:rPr>
          <w:rFonts w:ascii="Arial" w:hAnsi="Arial" w:cs="Arial"/>
        </w:rPr>
        <w:t xml:space="preserve">he results of both </w:t>
      </w:r>
      <w:r w:rsidR="003C16B9">
        <w:rPr>
          <w:rFonts w:ascii="Arial" w:hAnsi="Arial" w:cs="Arial"/>
        </w:rPr>
        <w:t xml:space="preserve">Central Africa Republic (CAR) and </w:t>
      </w:r>
      <w:r w:rsidR="00453D7C">
        <w:rPr>
          <w:rFonts w:ascii="Arial" w:hAnsi="Arial" w:cs="Arial"/>
        </w:rPr>
        <w:t xml:space="preserve">Gabon reveals the absence of the </w:t>
      </w:r>
      <w:r w:rsidR="00453D7C">
        <w:rPr>
          <w:rFonts w:ascii="Arial" w:hAnsi="Arial" w:cs="Arial"/>
          <w:i/>
          <w:iCs/>
        </w:rPr>
        <w:t>J-</w:t>
      </w:r>
      <w:r w:rsidR="00453D7C">
        <w:rPr>
          <w:rFonts w:ascii="Arial" w:hAnsi="Arial" w:cs="Arial"/>
        </w:rPr>
        <w:t xml:space="preserve">curve in their TB using the aggregate </w:t>
      </w:r>
      <w:r w:rsidR="00A56EFE">
        <w:rPr>
          <w:rFonts w:ascii="Arial" w:hAnsi="Arial" w:cs="Arial"/>
        </w:rPr>
        <w:t xml:space="preserve">bilateral </w:t>
      </w:r>
      <w:r w:rsidR="00453D7C">
        <w:rPr>
          <w:rFonts w:ascii="Arial" w:hAnsi="Arial" w:cs="Arial"/>
        </w:rPr>
        <w:t>trade data and aggregate trade data approaches. Thus, the</w:t>
      </w:r>
      <w:r w:rsidR="00A56EFE">
        <w:rPr>
          <w:rFonts w:ascii="Arial" w:hAnsi="Arial" w:cs="Arial"/>
        </w:rPr>
        <w:t>ir policymakers</w:t>
      </w:r>
      <w:r w:rsidR="00453D7C">
        <w:rPr>
          <w:rFonts w:ascii="Arial" w:hAnsi="Arial" w:cs="Arial"/>
        </w:rPr>
        <w:t xml:space="preserve"> </w:t>
      </w:r>
      <w:r>
        <w:rPr>
          <w:rFonts w:ascii="Arial" w:hAnsi="Arial" w:cs="Arial"/>
        </w:rPr>
        <w:t>should use other policy tools but for currency devaluation to improve their</w:t>
      </w:r>
      <w:r w:rsidR="00A56EFE">
        <w:rPr>
          <w:rFonts w:ascii="Arial" w:hAnsi="Arial" w:cs="Arial"/>
        </w:rPr>
        <w:t xml:space="preserve"> nations</w:t>
      </w:r>
      <w:r>
        <w:rPr>
          <w:rFonts w:ascii="Arial" w:hAnsi="Arial" w:cs="Arial"/>
        </w:rPr>
        <w:t xml:space="preserve"> TB. </w:t>
      </w:r>
    </w:p>
    <w:bookmarkEnd w:id="399"/>
    <w:p w14:paraId="65FBD7CD" w14:textId="3E4AD541" w:rsidR="008217BD" w:rsidRDefault="008217BD" w:rsidP="0066301C">
      <w:pPr>
        <w:spacing w:line="360" w:lineRule="auto"/>
        <w:jc w:val="both"/>
        <w:rPr>
          <w:rFonts w:ascii="Arial" w:hAnsi="Arial" w:cs="Arial"/>
        </w:rPr>
      </w:pPr>
      <w:r w:rsidRPr="0074777D">
        <w:rPr>
          <w:rFonts w:ascii="Arial" w:hAnsi="Arial" w:cs="Arial"/>
        </w:rPr>
        <w:t>There is a consensus among economists that international trade acts as an engine for the economic growth of nations</w:t>
      </w:r>
      <w:r w:rsidR="001C4BA0">
        <w:rPr>
          <w:rFonts w:ascii="Arial" w:hAnsi="Arial" w:cs="Arial"/>
        </w:rPr>
        <w:t xml:space="preserve"> </w:t>
      </w:r>
      <w:r w:rsidRPr="0074777D">
        <w:rPr>
          <w:rFonts w:ascii="Arial" w:hAnsi="Arial" w:cs="Arial"/>
        </w:rPr>
        <w:t>(Metougue, </w:t>
      </w:r>
      <w:r w:rsidRPr="0074777D">
        <w:rPr>
          <w:rStyle w:val="Emphasis"/>
          <w:rFonts w:ascii="Arial" w:hAnsi="Arial" w:cs="Arial"/>
          <w:color w:val="0E101A"/>
        </w:rPr>
        <w:t>et al., </w:t>
      </w:r>
      <w:r w:rsidRPr="0074777D">
        <w:rPr>
          <w:rFonts w:ascii="Arial" w:hAnsi="Arial" w:cs="Arial"/>
        </w:rPr>
        <w:t>2020). As such, nations and regional policymakers put in place institutional structure and programs that serves as platforms to boost international trade in their national and regional economies. Among other policies instituted by the CEMAC region (part of the CFA franc zone) was the devaluation of the CFA franc currency.</w:t>
      </w:r>
      <w:r w:rsidR="001132B0">
        <w:rPr>
          <w:rFonts w:ascii="Arial" w:hAnsi="Arial" w:cs="Arial"/>
        </w:rPr>
        <w:t xml:space="preserve"> </w:t>
      </w:r>
      <w:r w:rsidR="001132B0">
        <w:rPr>
          <w:rFonts w:ascii="Arial" w:hAnsi="Arial" w:cs="Arial"/>
        </w:rPr>
        <w:lastRenderedPageBreak/>
        <w:t>O</w:t>
      </w:r>
      <w:r w:rsidRPr="0074777D">
        <w:rPr>
          <w:rFonts w:ascii="Arial" w:hAnsi="Arial" w:cs="Arial"/>
        </w:rPr>
        <w:t xml:space="preserve">ne of the </w:t>
      </w:r>
      <w:r w:rsidR="001132B0">
        <w:rPr>
          <w:rFonts w:ascii="Arial" w:hAnsi="Arial" w:cs="Arial"/>
        </w:rPr>
        <w:t>aims</w:t>
      </w:r>
      <w:r w:rsidRPr="0074777D">
        <w:rPr>
          <w:rFonts w:ascii="Arial" w:hAnsi="Arial" w:cs="Arial"/>
        </w:rPr>
        <w:t xml:space="preserve"> of currency devaluation is to </w:t>
      </w:r>
      <w:r w:rsidR="00DA6E08">
        <w:rPr>
          <w:rFonts w:ascii="Arial" w:hAnsi="Arial" w:cs="Arial"/>
        </w:rPr>
        <w:t>address</w:t>
      </w:r>
      <w:r w:rsidR="001132B0">
        <w:rPr>
          <w:rFonts w:ascii="Arial" w:hAnsi="Arial" w:cs="Arial"/>
        </w:rPr>
        <w:t xml:space="preserve"> a nation’s trade deficit, thereby </w:t>
      </w:r>
      <w:r w:rsidRPr="0074777D">
        <w:rPr>
          <w:rFonts w:ascii="Arial" w:hAnsi="Arial" w:cs="Arial"/>
        </w:rPr>
        <w:t>improv</w:t>
      </w:r>
      <w:r w:rsidR="001132B0">
        <w:rPr>
          <w:rFonts w:ascii="Arial" w:hAnsi="Arial" w:cs="Arial"/>
        </w:rPr>
        <w:t>ing its TB</w:t>
      </w:r>
      <w:r w:rsidRPr="0074777D">
        <w:rPr>
          <w:rFonts w:ascii="Arial" w:hAnsi="Arial" w:cs="Arial"/>
        </w:rPr>
        <w:t xml:space="preserve"> (</w:t>
      </w:r>
      <w:r w:rsidR="00DA6E08">
        <w:rPr>
          <w:rFonts w:ascii="Arial" w:hAnsi="Arial" w:cs="Arial"/>
        </w:rPr>
        <w:t xml:space="preserve">and the </w:t>
      </w:r>
      <w:r w:rsidRPr="0074777D">
        <w:rPr>
          <w:rFonts w:ascii="Arial" w:hAnsi="Arial" w:cs="Arial"/>
        </w:rPr>
        <w:t>current account of balance of payment</w:t>
      </w:r>
      <w:r w:rsidR="00DA6E08">
        <w:rPr>
          <w:rFonts w:ascii="Arial" w:hAnsi="Arial" w:cs="Arial"/>
        </w:rPr>
        <w:t xml:space="preserve"> -</w:t>
      </w:r>
      <w:r w:rsidR="00177A90">
        <w:rPr>
          <w:rFonts w:ascii="Arial" w:hAnsi="Arial" w:cs="Arial"/>
        </w:rPr>
        <w:t xml:space="preserve"> </w:t>
      </w:r>
      <w:r w:rsidR="00DA6E08">
        <w:rPr>
          <w:rFonts w:ascii="Arial" w:hAnsi="Arial" w:cs="Arial"/>
        </w:rPr>
        <w:t>BoP</w:t>
      </w:r>
      <w:r w:rsidRPr="0074777D">
        <w:rPr>
          <w:rFonts w:ascii="Arial" w:hAnsi="Arial" w:cs="Arial"/>
        </w:rPr>
        <w:t>). The trade deficit in itself is not a big problem because most nations will have a deficit at one time or the other. Nations such as the United States of America (USA) often attract foreign investments to improve their capital account</w:t>
      </w:r>
      <w:r w:rsidR="00D331D7">
        <w:rPr>
          <w:rFonts w:ascii="Arial" w:hAnsi="Arial" w:cs="Arial"/>
        </w:rPr>
        <w:t>. This</w:t>
      </w:r>
      <w:r w:rsidRPr="0074777D">
        <w:rPr>
          <w:rFonts w:ascii="Arial" w:hAnsi="Arial" w:cs="Arial"/>
        </w:rPr>
        <w:t xml:space="preserve"> offset</w:t>
      </w:r>
      <w:r w:rsidR="00D331D7">
        <w:rPr>
          <w:rFonts w:ascii="Arial" w:hAnsi="Arial" w:cs="Arial"/>
        </w:rPr>
        <w:t>s</w:t>
      </w:r>
      <w:r w:rsidRPr="0074777D">
        <w:rPr>
          <w:rFonts w:ascii="Arial" w:hAnsi="Arial" w:cs="Arial"/>
        </w:rPr>
        <w:t xml:space="preserve"> the trade deficit of their current account </w:t>
      </w:r>
      <w:r w:rsidR="00D331D7">
        <w:rPr>
          <w:rFonts w:ascii="Arial" w:hAnsi="Arial" w:cs="Arial"/>
        </w:rPr>
        <w:t xml:space="preserve">and getting their BoP to equilibrium (i.e., the BoP gets to zero) </w:t>
      </w:r>
      <w:r w:rsidRPr="0074777D">
        <w:rPr>
          <w:rFonts w:ascii="Arial" w:hAnsi="Arial" w:cs="Arial"/>
        </w:rPr>
        <w:t>(Bhatt, 2020). A trade deficit is neither inherently entirely good nor bad. Initially, a deficit is not a bad thing, but with time, it could affect an economy via job outsourcing and a falling economy. However, it becomes a problem when the deficit is persistent and the nation continuously attracts capital (foreign investment) that could buy up existing businesses, natural resources, and other assets. In case this buying continues, foreign investors could eventually own almost everything in the nation. By so doing, foreigners own and manage the affairs of the nation. This is not safe enough, as the foreigners might have control of the nation’s security matters. </w:t>
      </w:r>
    </w:p>
    <w:p w14:paraId="1FCC2643" w14:textId="032B692E" w:rsidR="001275C4" w:rsidRDefault="008217BD" w:rsidP="0066301C">
      <w:pPr>
        <w:spacing w:line="360" w:lineRule="auto"/>
        <w:jc w:val="both"/>
        <w:rPr>
          <w:rFonts w:ascii="Arial" w:hAnsi="Arial" w:cs="Arial"/>
        </w:rPr>
      </w:pPr>
      <w:r w:rsidRPr="0074777D">
        <w:rPr>
          <w:rFonts w:ascii="Arial" w:hAnsi="Arial" w:cs="Arial"/>
        </w:rPr>
        <w:t>The </w:t>
      </w:r>
      <w:r w:rsidRPr="0074777D">
        <w:rPr>
          <w:rStyle w:val="Emphasis"/>
          <w:rFonts w:ascii="Arial" w:hAnsi="Arial" w:cs="Arial"/>
          <w:color w:val="0E101A"/>
        </w:rPr>
        <w:t>J-</w:t>
      </w:r>
      <w:r w:rsidRPr="0074777D">
        <w:rPr>
          <w:rFonts w:ascii="Arial" w:hAnsi="Arial" w:cs="Arial"/>
        </w:rPr>
        <w:t xml:space="preserve">curve </w:t>
      </w:r>
      <w:r w:rsidR="003C1F41">
        <w:rPr>
          <w:rFonts w:ascii="Arial" w:hAnsi="Arial" w:cs="Arial"/>
        </w:rPr>
        <w:t>effect</w:t>
      </w:r>
      <w:r w:rsidRPr="0074777D">
        <w:rPr>
          <w:rFonts w:ascii="Arial" w:hAnsi="Arial" w:cs="Arial"/>
        </w:rPr>
        <w:t xml:space="preserve"> is the economics traditional wisdom of analysing the dynamic effect of exchange rate changes on TB. </w:t>
      </w:r>
      <w:r w:rsidR="00A47273" w:rsidRPr="008204CC">
        <w:rPr>
          <w:rFonts w:ascii="Arial" w:hAnsi="Arial" w:cs="Arial"/>
        </w:rPr>
        <w:t xml:space="preserve">If the </w:t>
      </w:r>
      <w:r w:rsidR="00A47273">
        <w:rPr>
          <w:rFonts w:ascii="Arial" w:hAnsi="Arial" w:cs="Arial"/>
        </w:rPr>
        <w:t>Marshall-Lerner Condition (</w:t>
      </w:r>
      <w:r w:rsidR="00A47273" w:rsidRPr="008204CC">
        <w:rPr>
          <w:rFonts w:ascii="Arial" w:hAnsi="Arial" w:cs="Arial"/>
        </w:rPr>
        <w:t>MLC</w:t>
      </w:r>
      <w:r w:rsidR="00A47273">
        <w:rPr>
          <w:rFonts w:ascii="Arial" w:hAnsi="Arial" w:cs="Arial"/>
        </w:rPr>
        <w:t>)</w:t>
      </w:r>
      <w:r w:rsidR="00A47273">
        <w:rPr>
          <w:rStyle w:val="FootnoteReference"/>
          <w:rFonts w:ascii="Arial" w:hAnsi="Arial" w:cs="Arial"/>
        </w:rPr>
        <w:footnoteReference w:id="85"/>
      </w:r>
      <w:r w:rsidR="00A47273" w:rsidRPr="008204CC">
        <w:rPr>
          <w:rFonts w:ascii="Arial" w:hAnsi="Arial" w:cs="Arial"/>
        </w:rPr>
        <w:t xml:space="preserve"> holds, it is likely that following a devaluation, an initial drop in the TB occurs before an improvement follows (Ziramba and Chifamba, 2014; Baek </w:t>
      </w:r>
      <w:r w:rsidR="00A47273" w:rsidRPr="57585719">
        <w:rPr>
          <w:rFonts w:ascii="Arial" w:hAnsi="Arial" w:cs="Arial"/>
          <w:i/>
          <w:iCs/>
        </w:rPr>
        <w:t xml:space="preserve">et al., </w:t>
      </w:r>
      <w:r w:rsidR="00A47273" w:rsidRPr="008204CC">
        <w:rPr>
          <w:rFonts w:ascii="Arial" w:hAnsi="Arial" w:cs="Arial"/>
        </w:rPr>
        <w:t xml:space="preserve">2006). </w:t>
      </w:r>
      <w:r w:rsidR="00D7430F" w:rsidRPr="0074777D">
        <w:rPr>
          <w:rFonts w:ascii="Arial" w:hAnsi="Arial" w:cs="Arial"/>
        </w:rPr>
        <w:t>The response of the TB over time looks like a tilted J shape. The </w:t>
      </w:r>
      <w:r w:rsidR="00D7430F" w:rsidRPr="0074777D">
        <w:rPr>
          <w:rStyle w:val="Emphasis"/>
          <w:rFonts w:ascii="Arial" w:hAnsi="Arial" w:cs="Arial"/>
          <w:color w:val="0E101A"/>
        </w:rPr>
        <w:t>J</w:t>
      </w:r>
      <w:r w:rsidR="00D7430F" w:rsidRPr="0074777D">
        <w:rPr>
          <w:rFonts w:ascii="Arial" w:hAnsi="Arial" w:cs="Arial"/>
        </w:rPr>
        <w:t xml:space="preserve">–curve </w:t>
      </w:r>
      <w:r w:rsidR="005A2E62">
        <w:rPr>
          <w:rFonts w:ascii="Arial" w:hAnsi="Arial" w:cs="Arial"/>
        </w:rPr>
        <w:t>event</w:t>
      </w:r>
      <w:r w:rsidR="00D7430F" w:rsidRPr="0074777D">
        <w:rPr>
          <w:rFonts w:ascii="Arial" w:hAnsi="Arial" w:cs="Arial"/>
        </w:rPr>
        <w:t xml:space="preserve"> is attributed to the lagged adjustment of quantities to changes in the relative prices (Magee, 1973; Junz and Rhomberg, 1973).</w:t>
      </w:r>
      <w:r w:rsidR="005A2E62">
        <w:rPr>
          <w:rFonts w:ascii="Arial" w:hAnsi="Arial" w:cs="Arial"/>
        </w:rPr>
        <w:t xml:space="preserve"> </w:t>
      </w:r>
      <w:bookmarkStart w:id="400" w:name="_Hlk162614110"/>
      <w:r w:rsidR="000B7485" w:rsidRPr="0074777D">
        <w:rPr>
          <w:rFonts w:ascii="Arial" w:hAnsi="Arial" w:cs="Arial"/>
        </w:rPr>
        <w:t>The presence of the </w:t>
      </w:r>
      <w:r w:rsidR="000B7485" w:rsidRPr="0074777D">
        <w:rPr>
          <w:rStyle w:val="Emphasis"/>
          <w:rFonts w:ascii="Arial" w:hAnsi="Arial" w:cs="Arial"/>
          <w:color w:val="0E101A"/>
        </w:rPr>
        <w:t>J-</w:t>
      </w:r>
      <w:r w:rsidR="000B7485" w:rsidRPr="0074777D">
        <w:rPr>
          <w:rFonts w:ascii="Arial" w:hAnsi="Arial" w:cs="Arial"/>
        </w:rPr>
        <w:t>curve is achieved when:</w:t>
      </w:r>
    </w:p>
    <w:p w14:paraId="0A5ED776" w14:textId="186AEACF" w:rsidR="00B8692A" w:rsidRPr="00A92497" w:rsidRDefault="006572C3" w:rsidP="0066301C">
      <w:pPr>
        <w:pStyle w:val="ListParagraph"/>
        <w:numPr>
          <w:ilvl w:val="0"/>
          <w:numId w:val="32"/>
        </w:numPr>
        <w:spacing w:line="360" w:lineRule="auto"/>
        <w:ind w:left="426"/>
        <w:jc w:val="both"/>
        <w:rPr>
          <w:rFonts w:ascii="Arial" w:hAnsi="Arial" w:cs="Arial"/>
          <w:lang w:val="en-US"/>
        </w:rPr>
      </w:pPr>
      <w:r w:rsidRPr="00A92497">
        <w:rPr>
          <w:rFonts w:ascii="Arial" w:hAnsi="Arial" w:cs="Arial"/>
        </w:rPr>
        <w:t>The coefficient of R</w:t>
      </w:r>
      <w:r w:rsidR="009F35DD">
        <w:rPr>
          <w:rFonts w:ascii="Arial" w:hAnsi="Arial" w:cs="Arial"/>
        </w:rPr>
        <w:t>E</w:t>
      </w:r>
      <w:r w:rsidRPr="00A92497">
        <w:rPr>
          <w:rFonts w:ascii="Arial" w:hAnsi="Arial" w:cs="Arial"/>
        </w:rPr>
        <w:t xml:space="preserve">ER is positive and statistically significant </w:t>
      </w:r>
      <w:r w:rsidR="005C6551" w:rsidRPr="00A92497">
        <w:rPr>
          <w:rFonts w:ascii="Arial" w:hAnsi="Arial" w:cs="Arial"/>
        </w:rPr>
        <w:t xml:space="preserve">(i.e., the </w:t>
      </w:r>
      <w:r w:rsidR="005C6551" w:rsidRPr="00A92497">
        <w:rPr>
          <w:rFonts w:ascii="Arial" w:hAnsi="Arial" w:cs="Arial"/>
          <w:i/>
          <w:iCs/>
        </w:rPr>
        <w:t>t-</w:t>
      </w:r>
      <w:r w:rsidR="005C6551" w:rsidRPr="00A92497">
        <w:rPr>
          <w:rFonts w:ascii="Arial" w:hAnsi="Arial" w:cs="Arial"/>
        </w:rPr>
        <w:t xml:space="preserve">statistics </w:t>
      </w:r>
      <w:r w:rsidR="005C6551" w:rsidRPr="00A92497">
        <w:rPr>
          <w:rFonts w:ascii="Arial" w:hAnsi="Arial" w:cs="Arial"/>
          <w:lang w:val="en-US"/>
        </w:rPr>
        <w:t xml:space="preserve">≥ </w:t>
      </w:r>
      <w:r w:rsidR="0052096A" w:rsidRPr="00A92497">
        <w:rPr>
          <w:rFonts w:ascii="Arial" w:hAnsi="Arial" w:cs="Arial"/>
          <w:lang w:val="en-US"/>
        </w:rPr>
        <w:t>|</w:t>
      </w:r>
      <w:r w:rsidR="005C6551" w:rsidRPr="00A92497">
        <w:rPr>
          <w:rFonts w:ascii="Arial" w:hAnsi="Arial" w:cs="Arial"/>
          <w:lang w:val="en-US"/>
        </w:rPr>
        <w:t>2</w:t>
      </w:r>
      <w:r w:rsidR="0052096A" w:rsidRPr="00A92497">
        <w:rPr>
          <w:rFonts w:ascii="Arial" w:hAnsi="Arial" w:cs="Arial"/>
          <w:lang w:val="en-US"/>
        </w:rPr>
        <w:t>|</w:t>
      </w:r>
      <w:r w:rsidR="005C6551" w:rsidRPr="00A92497">
        <w:rPr>
          <w:rFonts w:ascii="Arial" w:hAnsi="Arial" w:cs="Arial"/>
        </w:rPr>
        <w:t xml:space="preserve">) </w:t>
      </w:r>
      <w:r w:rsidRPr="00A92497">
        <w:rPr>
          <w:rFonts w:ascii="Arial" w:hAnsi="Arial" w:cs="Arial"/>
        </w:rPr>
        <w:t>in the long run,</w:t>
      </w:r>
    </w:p>
    <w:p w14:paraId="48D060E1" w14:textId="58BEBD5F" w:rsidR="00EC0BCE" w:rsidRPr="00A92497" w:rsidRDefault="00824906" w:rsidP="0066301C">
      <w:pPr>
        <w:pStyle w:val="ListParagraph"/>
        <w:numPr>
          <w:ilvl w:val="0"/>
          <w:numId w:val="32"/>
        </w:numPr>
        <w:spacing w:line="360" w:lineRule="auto"/>
        <w:ind w:left="426"/>
        <w:jc w:val="both"/>
        <w:rPr>
          <w:rFonts w:ascii="Arial" w:hAnsi="Arial" w:cs="Arial"/>
          <w:lang w:val="en-US"/>
        </w:rPr>
      </w:pPr>
      <w:r w:rsidRPr="00A92497">
        <w:rPr>
          <w:rFonts w:ascii="Arial" w:hAnsi="Arial" w:cs="Arial"/>
        </w:rPr>
        <w:t>While the short run coefficient of R</w:t>
      </w:r>
      <w:r w:rsidR="009F35DD">
        <w:rPr>
          <w:rFonts w:ascii="Arial" w:hAnsi="Arial" w:cs="Arial"/>
        </w:rPr>
        <w:t>E</w:t>
      </w:r>
      <w:r w:rsidRPr="00A92497">
        <w:rPr>
          <w:rFonts w:ascii="Arial" w:hAnsi="Arial" w:cs="Arial"/>
        </w:rPr>
        <w:t xml:space="preserve">ER is negative and statistically significant (i.e., the </w:t>
      </w:r>
      <w:r w:rsidRPr="00A92497">
        <w:rPr>
          <w:rFonts w:ascii="Arial" w:hAnsi="Arial" w:cs="Arial"/>
          <w:i/>
          <w:iCs/>
        </w:rPr>
        <w:t>t-</w:t>
      </w:r>
      <w:r w:rsidRPr="00A92497">
        <w:rPr>
          <w:rFonts w:ascii="Arial" w:hAnsi="Arial" w:cs="Arial"/>
        </w:rPr>
        <w:t xml:space="preserve">statistics </w:t>
      </w:r>
      <w:r w:rsidRPr="00A92497">
        <w:rPr>
          <w:rFonts w:ascii="Arial" w:hAnsi="Arial" w:cs="Arial"/>
          <w:lang w:val="en-US"/>
        </w:rPr>
        <w:t xml:space="preserve">≥ </w:t>
      </w:r>
      <w:r w:rsidR="0081628B" w:rsidRPr="00A92497">
        <w:rPr>
          <w:rFonts w:ascii="Arial" w:hAnsi="Arial" w:cs="Arial"/>
          <w:lang w:val="en-US"/>
        </w:rPr>
        <w:t>|</w:t>
      </w:r>
      <w:r w:rsidRPr="00A92497">
        <w:rPr>
          <w:rFonts w:ascii="Arial" w:hAnsi="Arial" w:cs="Arial"/>
          <w:lang w:val="en-US"/>
        </w:rPr>
        <w:t>2</w:t>
      </w:r>
      <w:r w:rsidR="0081628B" w:rsidRPr="00A92497">
        <w:rPr>
          <w:rFonts w:ascii="Arial" w:hAnsi="Arial" w:cs="Arial"/>
          <w:lang w:val="en-US"/>
        </w:rPr>
        <w:t>|</w:t>
      </w:r>
      <w:r w:rsidRPr="00A92497">
        <w:rPr>
          <w:rFonts w:ascii="Arial" w:hAnsi="Arial" w:cs="Arial"/>
        </w:rPr>
        <w:t>).</w:t>
      </w:r>
    </w:p>
    <w:p w14:paraId="45806B7B" w14:textId="24D35FAC" w:rsidR="002949DF" w:rsidRPr="0074777D" w:rsidRDefault="003D3852" w:rsidP="0066301C">
      <w:pPr>
        <w:spacing w:line="360" w:lineRule="auto"/>
        <w:jc w:val="both"/>
        <w:rPr>
          <w:rFonts w:ascii="Arial" w:hAnsi="Arial" w:cs="Arial"/>
        </w:rPr>
      </w:pPr>
      <w:r w:rsidRPr="0074777D">
        <w:rPr>
          <w:rFonts w:ascii="Arial" w:hAnsi="Arial" w:cs="Arial"/>
        </w:rPr>
        <w:t>This is achieved when the coefficient of the error correction term (ECT) of the model is negative (with TB being the target variable) and statistically significant (with the </w:t>
      </w:r>
      <w:r w:rsidRPr="0074777D">
        <w:rPr>
          <w:rStyle w:val="Emphasis"/>
          <w:rFonts w:ascii="Arial" w:hAnsi="Arial" w:cs="Arial"/>
          <w:color w:val="0E101A"/>
        </w:rPr>
        <w:t>t-</w:t>
      </w:r>
      <w:r w:rsidRPr="0074777D">
        <w:rPr>
          <w:rFonts w:ascii="Arial" w:hAnsi="Arial" w:cs="Arial"/>
        </w:rPr>
        <w:t>stat ≥ |2|, and the </w:t>
      </w:r>
      <w:r w:rsidRPr="0074777D">
        <w:rPr>
          <w:rStyle w:val="Emphasis"/>
          <w:rFonts w:ascii="Arial" w:hAnsi="Arial" w:cs="Arial"/>
          <w:color w:val="0E101A"/>
        </w:rPr>
        <w:t>p-</w:t>
      </w:r>
      <w:r w:rsidRPr="0074777D">
        <w:rPr>
          <w:rFonts w:ascii="Arial" w:hAnsi="Arial" w:cs="Arial"/>
        </w:rPr>
        <w:t>value &lt; 0.05)</w:t>
      </w:r>
      <w:r w:rsidR="00EC0BCE" w:rsidRPr="00A92497">
        <w:rPr>
          <w:rFonts w:ascii="Arial" w:hAnsi="Arial" w:cs="Arial"/>
          <w:lang w:val="en-US"/>
        </w:rPr>
        <w:t>.</w:t>
      </w:r>
      <w:r w:rsidR="00EC0BCE" w:rsidRPr="00A92497">
        <w:rPr>
          <w:rStyle w:val="FootnoteReference"/>
          <w:rFonts w:ascii="Arial" w:hAnsi="Arial" w:cs="Arial"/>
          <w:lang w:val="en-US"/>
        </w:rPr>
        <w:footnoteReference w:id="86"/>
      </w:r>
      <w:r w:rsidR="00EC0BCE" w:rsidRPr="00A92497">
        <w:rPr>
          <w:rFonts w:ascii="Arial" w:hAnsi="Arial" w:cs="Arial"/>
          <w:lang w:val="en-US"/>
        </w:rPr>
        <w:t xml:space="preserve"> </w:t>
      </w:r>
      <w:r w:rsidR="002949DF" w:rsidRPr="0074777D">
        <w:rPr>
          <w:rFonts w:ascii="Arial" w:hAnsi="Arial" w:cs="Arial"/>
        </w:rPr>
        <w:t>This will mean that a shock in the RE</w:t>
      </w:r>
      <w:r w:rsidR="00A81719">
        <w:rPr>
          <w:rFonts w:ascii="Arial" w:hAnsi="Arial" w:cs="Arial"/>
        </w:rPr>
        <w:t>E</w:t>
      </w:r>
      <w:r w:rsidR="002949DF" w:rsidRPr="0074777D">
        <w:rPr>
          <w:rFonts w:ascii="Arial" w:hAnsi="Arial" w:cs="Arial"/>
        </w:rPr>
        <w:t xml:space="preserve">R will cause TB to deviate in the </w:t>
      </w:r>
      <w:r w:rsidR="002949DF">
        <w:rPr>
          <w:rFonts w:ascii="Arial" w:hAnsi="Arial" w:cs="Arial"/>
        </w:rPr>
        <w:t>short term</w:t>
      </w:r>
      <w:r w:rsidR="002949DF" w:rsidRPr="0074777D">
        <w:rPr>
          <w:rFonts w:ascii="Arial" w:hAnsi="Arial" w:cs="Arial"/>
        </w:rPr>
        <w:t xml:space="preserve"> before recovering and/or moving </w:t>
      </w:r>
      <w:r w:rsidR="002949DF">
        <w:rPr>
          <w:rFonts w:ascii="Arial" w:hAnsi="Arial" w:cs="Arial"/>
        </w:rPr>
        <w:t>in</w:t>
      </w:r>
      <w:r w:rsidR="002949DF" w:rsidRPr="0074777D">
        <w:rPr>
          <w:rFonts w:ascii="Arial" w:hAnsi="Arial" w:cs="Arial"/>
        </w:rPr>
        <w:t xml:space="preserve"> the opposite direction in the </w:t>
      </w:r>
      <w:r w:rsidR="002949DF">
        <w:rPr>
          <w:rFonts w:ascii="Arial" w:hAnsi="Arial" w:cs="Arial"/>
        </w:rPr>
        <w:t>long term</w:t>
      </w:r>
      <w:r w:rsidR="002949DF" w:rsidRPr="0074777D">
        <w:rPr>
          <w:rFonts w:ascii="Arial" w:hAnsi="Arial" w:cs="Arial"/>
        </w:rPr>
        <w:t>. Thus</w:t>
      </w:r>
      <w:r w:rsidR="00CD143C">
        <w:rPr>
          <w:rFonts w:ascii="Arial" w:hAnsi="Arial" w:cs="Arial"/>
        </w:rPr>
        <w:t>,</w:t>
      </w:r>
      <w:r w:rsidR="002949DF" w:rsidRPr="0074777D">
        <w:rPr>
          <w:rFonts w:ascii="Arial" w:hAnsi="Arial" w:cs="Arial"/>
        </w:rPr>
        <w:t xml:space="preserve"> necessitating a check of both the long-run and short-run relationship.</w:t>
      </w:r>
    </w:p>
    <w:bookmarkEnd w:id="400"/>
    <w:p w14:paraId="3BE224DC" w14:textId="6AD57ABC" w:rsidR="005B288E" w:rsidRPr="00170B6E" w:rsidRDefault="002949DF" w:rsidP="0066301C">
      <w:pPr>
        <w:autoSpaceDE w:val="0"/>
        <w:autoSpaceDN w:val="0"/>
        <w:adjustRightInd w:val="0"/>
        <w:spacing w:line="360" w:lineRule="auto"/>
        <w:jc w:val="both"/>
        <w:rPr>
          <w:rFonts w:ascii="Arial" w:hAnsi="Arial" w:cs="Arial"/>
          <w:lang w:val="en-US"/>
        </w:rPr>
      </w:pPr>
      <w:r w:rsidRPr="0074777D">
        <w:rPr>
          <w:rFonts w:ascii="Arial" w:hAnsi="Arial" w:cs="Arial"/>
        </w:rPr>
        <w:lastRenderedPageBreak/>
        <w:t>The Autoregressive Distributed Lag (ARDL) approach by Pesaran </w:t>
      </w:r>
      <w:r w:rsidRPr="0074777D">
        <w:rPr>
          <w:rStyle w:val="Emphasis"/>
          <w:rFonts w:ascii="Arial" w:hAnsi="Arial" w:cs="Arial"/>
          <w:color w:val="0E101A"/>
        </w:rPr>
        <w:t>et al. </w:t>
      </w:r>
      <w:r w:rsidRPr="0074777D">
        <w:rPr>
          <w:rFonts w:ascii="Arial" w:hAnsi="Arial" w:cs="Arial"/>
        </w:rPr>
        <w:t xml:space="preserve">(2001) is used to investigate the presence of cointegration in the models. </w:t>
      </w:r>
      <w:bookmarkStart w:id="401" w:name="_Hlk162608420"/>
      <w:r w:rsidRPr="0074777D">
        <w:rPr>
          <w:rFonts w:ascii="Arial" w:hAnsi="Arial" w:cs="Arial"/>
        </w:rPr>
        <w:t>It allows us to determine the number of long-run equilibrium relationships between integrated variables irrespective of whether the variables are integrated of order zero (i.e., the variables are stationary at level form - </w:t>
      </w:r>
      <w:r w:rsidRPr="0074777D">
        <w:rPr>
          <w:rStyle w:val="Emphasis"/>
          <w:rFonts w:ascii="Arial" w:hAnsi="Arial" w:cs="Arial"/>
          <w:color w:val="0E101A"/>
        </w:rPr>
        <w:t>I</w:t>
      </w:r>
      <w:r w:rsidRPr="0074777D">
        <w:rPr>
          <w:rStyle w:val="Strong"/>
          <w:rFonts w:ascii="Arial" w:hAnsi="Arial" w:cs="Arial"/>
          <w:color w:val="0E101A"/>
        </w:rPr>
        <w:t>(0)</w:t>
      </w:r>
      <w:r w:rsidRPr="0074777D">
        <w:rPr>
          <w:rFonts w:ascii="Arial" w:hAnsi="Arial" w:cs="Arial"/>
        </w:rPr>
        <w:t>) or integrated of order one (i.e., the variables become stationary at first difference - </w:t>
      </w:r>
      <w:r w:rsidRPr="0074777D">
        <w:rPr>
          <w:rStyle w:val="Emphasis"/>
          <w:rFonts w:ascii="Arial" w:hAnsi="Arial" w:cs="Arial"/>
          <w:color w:val="0E101A"/>
        </w:rPr>
        <w:t>I</w:t>
      </w:r>
      <w:r w:rsidRPr="0074777D">
        <w:rPr>
          <w:rStyle w:val="Strong"/>
          <w:rFonts w:ascii="Arial" w:hAnsi="Arial" w:cs="Arial"/>
          <w:color w:val="0E101A"/>
        </w:rPr>
        <w:t>(1)</w:t>
      </w:r>
      <w:r w:rsidRPr="0074777D">
        <w:rPr>
          <w:rFonts w:ascii="Arial" w:hAnsi="Arial" w:cs="Arial"/>
        </w:rPr>
        <w:t>)</w:t>
      </w:r>
      <w:r w:rsidR="005B288E" w:rsidRPr="000354BF">
        <w:rPr>
          <w:rFonts w:ascii="Arial" w:hAnsi="Arial" w:cs="Arial"/>
          <w:lang w:val="en-US"/>
        </w:rPr>
        <w:t>.</w:t>
      </w:r>
      <w:r w:rsidR="002379DE">
        <w:rPr>
          <w:rStyle w:val="FootnoteReference"/>
          <w:rFonts w:ascii="Arial" w:hAnsi="Arial" w:cs="Arial"/>
          <w:lang w:val="en-US"/>
        </w:rPr>
        <w:footnoteReference w:id="87"/>
      </w:r>
      <w:bookmarkEnd w:id="401"/>
    </w:p>
    <w:p w14:paraId="6EC0CD20" w14:textId="0698B9E5" w:rsidR="00241867" w:rsidRDefault="00613E6B" w:rsidP="0066301C">
      <w:pPr>
        <w:spacing w:line="360" w:lineRule="auto"/>
        <w:jc w:val="both"/>
        <w:rPr>
          <w:rFonts w:ascii="Arial" w:hAnsi="Arial" w:cs="Arial"/>
        </w:rPr>
      </w:pPr>
      <w:r w:rsidRPr="0074777D">
        <w:rPr>
          <w:rFonts w:ascii="Arial" w:hAnsi="Arial" w:cs="Arial"/>
        </w:rPr>
        <w:t xml:space="preserve">The variables </w:t>
      </w:r>
      <w:r w:rsidRPr="00C44537">
        <w:rPr>
          <w:rFonts w:ascii="Arial" w:hAnsi="Arial" w:cs="Arial"/>
        </w:rPr>
        <w:t>used are in their log form, with log trade balance (LNTB) being the dependent variable. The independent variables used</w:t>
      </w:r>
      <w:r w:rsidRPr="0074777D">
        <w:rPr>
          <w:rFonts w:ascii="Arial" w:hAnsi="Arial" w:cs="Arial"/>
        </w:rPr>
        <w:t xml:space="preserve"> are log real effective exchange rate (LNREER), log domestic income (LNDI), which is a proxy for each of the CEMAC nations’ gross domestic production (GDP), and log foreign income (LNFI) for the individual trade partner’s gross domestic product. The CEMAC nations used in this chapter are Cameroon, Central Africa Republic (CAR), and Gabon.</w:t>
      </w:r>
      <w:r w:rsidR="002920FD" w:rsidRPr="002920FD">
        <w:rPr>
          <w:rStyle w:val="FootnoteReference"/>
          <w:rFonts w:ascii="Arial" w:eastAsia="Times New Roman" w:hAnsi="Arial" w:cs="Arial"/>
          <w:lang w:val="en-US" w:eastAsia="en-GB"/>
        </w:rPr>
        <w:t xml:space="preserve"> </w:t>
      </w:r>
      <w:r w:rsidR="002920FD">
        <w:rPr>
          <w:rStyle w:val="FootnoteReference"/>
          <w:rFonts w:ascii="Arial" w:eastAsia="Times New Roman" w:hAnsi="Arial" w:cs="Arial"/>
          <w:lang w:val="en-US" w:eastAsia="en-GB"/>
        </w:rPr>
        <w:footnoteReference w:id="88"/>
      </w:r>
      <w:r w:rsidR="00C3632E">
        <w:rPr>
          <w:rFonts w:ascii="Arial" w:hAnsi="Arial" w:cs="Arial"/>
        </w:rPr>
        <w:t xml:space="preserve"> </w:t>
      </w:r>
      <w:r w:rsidR="00C3632E" w:rsidRPr="00876F6F">
        <w:rPr>
          <w:rFonts w:ascii="Arial" w:eastAsia="Times New Roman" w:hAnsi="Arial" w:cs="Arial"/>
          <w:lang w:val="en-US" w:eastAsia="en-GB"/>
        </w:rPr>
        <w:t>The dataset analyze</w:t>
      </w:r>
      <w:r w:rsidR="00C3632E">
        <w:rPr>
          <w:rFonts w:ascii="Arial" w:eastAsia="Times New Roman" w:hAnsi="Arial" w:cs="Arial"/>
          <w:lang w:val="en-US" w:eastAsia="en-GB"/>
        </w:rPr>
        <w:t>d</w:t>
      </w:r>
      <w:r w:rsidR="00C3632E" w:rsidRPr="00876F6F">
        <w:rPr>
          <w:rFonts w:ascii="Arial" w:eastAsia="Times New Roman" w:hAnsi="Arial" w:cs="Arial"/>
          <w:lang w:val="en-US" w:eastAsia="en-GB"/>
        </w:rPr>
        <w:t xml:space="preserve"> in this </w:t>
      </w:r>
      <w:r w:rsidR="002920FD">
        <w:rPr>
          <w:rFonts w:ascii="Arial" w:eastAsia="Times New Roman" w:hAnsi="Arial" w:cs="Arial"/>
          <w:lang w:val="en-US" w:eastAsia="en-GB"/>
        </w:rPr>
        <w:t>chapter</w:t>
      </w:r>
      <w:r w:rsidR="00C3632E" w:rsidRPr="00876F6F">
        <w:rPr>
          <w:rFonts w:ascii="Arial" w:eastAsia="Times New Roman" w:hAnsi="Arial" w:cs="Arial"/>
          <w:lang w:val="en-US" w:eastAsia="en-GB"/>
        </w:rPr>
        <w:t xml:space="preserve"> </w:t>
      </w:r>
      <w:r w:rsidR="00C3632E">
        <w:rPr>
          <w:rFonts w:ascii="Arial" w:eastAsia="Times New Roman" w:hAnsi="Arial" w:cs="Arial"/>
          <w:lang w:val="en-US" w:eastAsia="en-GB"/>
        </w:rPr>
        <w:t>are</w:t>
      </w:r>
      <w:r w:rsidR="00C3632E" w:rsidRPr="00876F6F">
        <w:rPr>
          <w:rFonts w:ascii="Arial" w:eastAsia="Times New Roman" w:hAnsi="Arial" w:cs="Arial"/>
          <w:lang w:val="en-US" w:eastAsia="en-GB"/>
        </w:rPr>
        <w:t xml:space="preserve"> secondary, sourced from the World Bank – World Development Indicators.</w:t>
      </w:r>
      <w:r w:rsidR="002920FD">
        <w:rPr>
          <w:rFonts w:ascii="Arial" w:eastAsia="Times New Roman" w:hAnsi="Arial" w:cs="Arial"/>
          <w:lang w:val="en-US" w:eastAsia="en-GB"/>
        </w:rPr>
        <w:t xml:space="preserve"> </w:t>
      </w:r>
      <w:r w:rsidR="00C3632E" w:rsidRPr="00876F6F">
        <w:rPr>
          <w:rFonts w:ascii="Arial" w:eastAsia="Times New Roman" w:hAnsi="Arial" w:cs="Arial"/>
          <w:lang w:val="en-US" w:eastAsia="en-GB"/>
        </w:rPr>
        <w:t xml:space="preserve">They are annual observations covering </w:t>
      </w:r>
      <w:r w:rsidRPr="0074777D">
        <w:rPr>
          <w:rFonts w:ascii="Arial" w:hAnsi="Arial" w:cs="Arial"/>
        </w:rPr>
        <w:t>the period 1980 to 2018</w:t>
      </w:r>
      <w:r w:rsidR="00C3632E">
        <w:rPr>
          <w:rFonts w:ascii="Arial" w:hAnsi="Arial" w:cs="Arial"/>
        </w:rPr>
        <w:t xml:space="preserve">. This </w:t>
      </w:r>
      <w:r w:rsidRPr="0074777D">
        <w:rPr>
          <w:rFonts w:ascii="Arial" w:hAnsi="Arial" w:cs="Arial"/>
        </w:rPr>
        <w:t>giv</w:t>
      </w:r>
      <w:r w:rsidR="00C3632E">
        <w:rPr>
          <w:rFonts w:ascii="Arial" w:hAnsi="Arial" w:cs="Arial"/>
        </w:rPr>
        <w:t>es</w:t>
      </w:r>
      <w:r w:rsidRPr="0074777D">
        <w:rPr>
          <w:rFonts w:ascii="Arial" w:hAnsi="Arial" w:cs="Arial"/>
        </w:rPr>
        <w:t xml:space="preserve"> a total of 39 observations, which is enough for analysis purposes. The CEMAC nations not used are Equatorial Guinea, Chad, and Congo.</w:t>
      </w:r>
      <w:r w:rsidR="006367C2" w:rsidRPr="00982185">
        <w:rPr>
          <w:rStyle w:val="FootnoteReference"/>
          <w:rFonts w:ascii="Arial" w:hAnsi="Arial" w:cs="Arial"/>
        </w:rPr>
        <w:footnoteReference w:id="89"/>
      </w:r>
      <w:r w:rsidR="00F91DB7" w:rsidRPr="00982185">
        <w:rPr>
          <w:rFonts w:ascii="Arial" w:hAnsi="Arial" w:cs="Arial"/>
        </w:rPr>
        <w:t xml:space="preserve"> </w:t>
      </w:r>
      <w:r w:rsidR="0054608D" w:rsidRPr="0074777D">
        <w:rPr>
          <w:rFonts w:ascii="Arial" w:hAnsi="Arial" w:cs="Arial"/>
        </w:rPr>
        <w:t xml:space="preserve">The rest of the chapter is as follows: section 4.2 deals with the </w:t>
      </w:r>
      <w:r w:rsidR="00560BEF">
        <w:rPr>
          <w:rFonts w:ascii="Arial" w:hAnsi="Arial" w:cs="Arial"/>
        </w:rPr>
        <w:t xml:space="preserve">relationship between REER </w:t>
      </w:r>
      <w:r w:rsidR="0054608D" w:rsidRPr="0074777D">
        <w:rPr>
          <w:rFonts w:ascii="Arial" w:hAnsi="Arial" w:cs="Arial"/>
        </w:rPr>
        <w:t>and trade balance, section 4.3 deals with the </w:t>
      </w:r>
      <w:r w:rsidR="0054608D" w:rsidRPr="0074777D">
        <w:rPr>
          <w:rStyle w:val="Emphasis"/>
          <w:rFonts w:ascii="Arial" w:hAnsi="Arial" w:cs="Arial"/>
          <w:color w:val="0E101A"/>
        </w:rPr>
        <w:t>J-</w:t>
      </w:r>
      <w:r w:rsidR="0054608D" w:rsidRPr="0074777D">
        <w:rPr>
          <w:rFonts w:ascii="Arial" w:hAnsi="Arial" w:cs="Arial"/>
        </w:rPr>
        <w:t xml:space="preserve">curve </w:t>
      </w:r>
      <w:r w:rsidR="00560BEF">
        <w:rPr>
          <w:rFonts w:ascii="Arial" w:hAnsi="Arial" w:cs="Arial"/>
        </w:rPr>
        <w:t>effect</w:t>
      </w:r>
      <w:r w:rsidR="0054608D" w:rsidRPr="0074777D">
        <w:rPr>
          <w:rFonts w:ascii="Arial" w:hAnsi="Arial" w:cs="Arial"/>
        </w:rPr>
        <w:t>, section 4.4 deals with the empirical model, section 4.5 deals with the econometric approach. Section 4.6 deals with the bilateral aggregate trade data approach result</w:t>
      </w:r>
      <w:r w:rsidR="00560BEF">
        <w:rPr>
          <w:rFonts w:ascii="Arial" w:hAnsi="Arial" w:cs="Arial"/>
        </w:rPr>
        <w:t>s</w:t>
      </w:r>
      <w:r w:rsidR="0054608D" w:rsidRPr="0074777D">
        <w:rPr>
          <w:rFonts w:ascii="Arial" w:hAnsi="Arial" w:cs="Arial"/>
        </w:rPr>
        <w:t xml:space="preserve"> and analys</w:t>
      </w:r>
      <w:r w:rsidR="00560BEF">
        <w:rPr>
          <w:rFonts w:ascii="Arial" w:hAnsi="Arial" w:cs="Arial"/>
        </w:rPr>
        <w:t>e</w:t>
      </w:r>
      <w:r w:rsidR="0054608D" w:rsidRPr="0074777D">
        <w:rPr>
          <w:rFonts w:ascii="Arial" w:hAnsi="Arial" w:cs="Arial"/>
        </w:rPr>
        <w:t>s. Section 4.7 deals with aggregate trade data approach results and analys</w:t>
      </w:r>
      <w:r w:rsidR="00560BEF">
        <w:rPr>
          <w:rFonts w:ascii="Arial" w:hAnsi="Arial" w:cs="Arial"/>
        </w:rPr>
        <w:t>e</w:t>
      </w:r>
      <w:r w:rsidR="0054608D" w:rsidRPr="0074777D">
        <w:rPr>
          <w:rFonts w:ascii="Arial" w:hAnsi="Arial" w:cs="Arial"/>
        </w:rPr>
        <w:t>s. Section 4.8 deals with policy recommendations, while section 4.9 deals with the chapter's conclusion.</w:t>
      </w:r>
    </w:p>
    <w:p w14:paraId="748730F3" w14:textId="5983E772" w:rsidR="00672B00" w:rsidRPr="001B4589" w:rsidRDefault="000C7C28" w:rsidP="0066301C">
      <w:pPr>
        <w:pStyle w:val="Heading2"/>
        <w:spacing w:before="0" w:beforeAutospacing="0"/>
      </w:pPr>
      <w:bookmarkStart w:id="402" w:name="_Toc171075400"/>
      <w:bookmarkEnd w:id="396"/>
      <w:r w:rsidRPr="001B4589">
        <w:lastRenderedPageBreak/>
        <w:t>4</w:t>
      </w:r>
      <w:r w:rsidR="00EA2008" w:rsidRPr="001B4589">
        <w:t>.2</w:t>
      </w:r>
      <w:r w:rsidR="00AE1D40">
        <w:tab/>
      </w:r>
      <w:r w:rsidR="00095EC5">
        <w:t>RELATIONSHIP BETWEEN reer</w:t>
      </w:r>
      <w:r w:rsidR="00672B00" w:rsidRPr="001B4589">
        <w:t xml:space="preserve"> AND TRADE BALANCE</w:t>
      </w:r>
      <w:bookmarkEnd w:id="402"/>
      <w:r w:rsidR="00672B00" w:rsidRPr="001B4589">
        <w:t xml:space="preserve"> </w:t>
      </w:r>
    </w:p>
    <w:p w14:paraId="2E1B0F66" w14:textId="0250E817" w:rsidR="0040129A" w:rsidRPr="0033762E" w:rsidRDefault="0040129A" w:rsidP="0066301C">
      <w:pPr>
        <w:spacing w:line="360" w:lineRule="auto"/>
        <w:jc w:val="both"/>
        <w:rPr>
          <w:rFonts w:ascii="Arial" w:hAnsi="Arial" w:cs="Arial"/>
        </w:rPr>
      </w:pPr>
      <w:bookmarkStart w:id="403" w:name="_Hlk160213789"/>
      <w:bookmarkStart w:id="404" w:name="_Hlk159315470"/>
      <w:r w:rsidRPr="0033762E">
        <w:rPr>
          <w:rFonts w:ascii="Arial" w:hAnsi="Arial" w:cs="Arial"/>
        </w:rPr>
        <w:t>It is highly contested among economists that currency devaluation improves a nation’s trade balance (TB) deficit, leading to a reduction of the current account deficit and improving economic growth (Kurtović, 2017; Bahmani-Oskooee, 1985). An undervalued exchange rate is viewed as an improvement in price competitiveness and a means towards faster economic growth, as championed by Rodrik (2008) and supported by others (Kurtović, 2017; Grekou, 2015; Schroder, 2013; Cakrani </w:t>
      </w:r>
      <w:r w:rsidRPr="0033762E">
        <w:rPr>
          <w:rStyle w:val="Emphasis"/>
          <w:rFonts w:ascii="Arial" w:hAnsi="Arial" w:cs="Arial"/>
          <w:color w:val="0E101A"/>
        </w:rPr>
        <w:t>et al.</w:t>
      </w:r>
      <w:r w:rsidRPr="0033762E">
        <w:rPr>
          <w:rFonts w:ascii="Arial" w:hAnsi="Arial" w:cs="Arial"/>
        </w:rPr>
        <w:t>,2013; Levy-Yeyati </w:t>
      </w:r>
      <w:r w:rsidRPr="0033762E">
        <w:rPr>
          <w:rStyle w:val="Emphasis"/>
          <w:rFonts w:ascii="Arial" w:hAnsi="Arial" w:cs="Arial"/>
          <w:color w:val="0E101A"/>
        </w:rPr>
        <w:t>et al.,</w:t>
      </w:r>
      <w:r w:rsidRPr="0033762E">
        <w:rPr>
          <w:rFonts w:ascii="Arial" w:hAnsi="Arial" w:cs="Arial"/>
        </w:rPr>
        <w:t> 2013). A REER de</w:t>
      </w:r>
      <w:r w:rsidR="00822DC6">
        <w:rPr>
          <w:rFonts w:ascii="Arial" w:hAnsi="Arial" w:cs="Arial"/>
        </w:rPr>
        <w:t>valuation</w:t>
      </w:r>
      <w:r w:rsidRPr="0033762E">
        <w:rPr>
          <w:rFonts w:ascii="Arial" w:hAnsi="Arial" w:cs="Arial"/>
        </w:rPr>
        <w:t xml:space="preserve"> could lead to the deterioration of TB in the short run while improving TB in the long run (Šimakova and Stavarek, 2015; Šimakova, 2013).</w:t>
      </w:r>
    </w:p>
    <w:p w14:paraId="5F2A7CA4" w14:textId="77777777" w:rsidR="0040129A" w:rsidRPr="0033762E" w:rsidRDefault="0040129A" w:rsidP="0066301C">
      <w:pPr>
        <w:spacing w:line="360" w:lineRule="auto"/>
        <w:jc w:val="both"/>
        <w:rPr>
          <w:rFonts w:ascii="Arial" w:hAnsi="Arial" w:cs="Arial"/>
        </w:rPr>
      </w:pPr>
      <w:r w:rsidRPr="0033762E">
        <w:rPr>
          <w:rFonts w:ascii="Arial" w:hAnsi="Arial" w:cs="Arial"/>
        </w:rPr>
        <w:t>Quantifying the short-term and long-term responsiveness of the TB to changes in the exchange rate is vital to economic policy for numerous reasons. First, it establishes if there exists a stable long-term relationship between the exchange rate and TB. In case a stable long-term relationship does not exist, then devaluating a currency might not be a reasonable way of improving a nation’s competitiveness in the long-run perspective. Second, if the long-term relationship exists, it is essential to establish if devaluation could lead to a net improvement of TB in the long term (causality) or not.</w:t>
      </w:r>
      <w:r>
        <w:rPr>
          <w:rStyle w:val="FootnoteReference"/>
          <w:rFonts w:ascii="Arial" w:hAnsi="Arial" w:cs="Arial"/>
        </w:rPr>
        <w:footnoteReference w:id="90"/>
      </w:r>
      <w:r w:rsidRPr="0033762E">
        <w:rPr>
          <w:rFonts w:ascii="Arial" w:hAnsi="Arial" w:cs="Arial"/>
        </w:rPr>
        <w:t xml:space="preserve"> Third, quantifying the extent of the TB improvement is desirable because it enables one to weigh the TB benefit against the cost of devaluation (like foreign reserve accumulation) (Stučka, 2004). Fourth, the estimate of the short-term dynamics provides information regarding the immediate and medium-term impacts of exchange rate changes on the TB (i.e., does a devaluation have a short-term adverse impact on the TB). If it does, it is reasonable to estimate the persistence and the extent of such adverse impact. </w:t>
      </w:r>
    </w:p>
    <w:p w14:paraId="7BFC8F71" w14:textId="77777777" w:rsidR="0040129A" w:rsidRPr="0033762E" w:rsidRDefault="0040129A" w:rsidP="0066301C">
      <w:pPr>
        <w:spacing w:line="360" w:lineRule="auto"/>
        <w:jc w:val="both"/>
        <w:rPr>
          <w:rFonts w:ascii="Arial" w:hAnsi="Arial" w:cs="Arial"/>
        </w:rPr>
      </w:pPr>
      <w:r w:rsidRPr="0033762E">
        <w:rPr>
          <w:rFonts w:ascii="Arial" w:hAnsi="Arial" w:cs="Arial"/>
        </w:rPr>
        <w:t>It is also important to know so that when TB gets negative in the short term, there will not be much concern because it will improve in the long term. If this understanding of the short-term negative impact is absent, there could be panic and a rush to reverse the devaluation policy (or implementation of other policies), thinking that it will lead to a further deficit of TB. This is often an empirical question, and the literature refers to it as the </w:t>
      </w:r>
      <w:r w:rsidRPr="0033762E">
        <w:rPr>
          <w:rStyle w:val="Emphasis"/>
          <w:rFonts w:ascii="Arial" w:hAnsi="Arial" w:cs="Arial"/>
          <w:color w:val="0E101A"/>
        </w:rPr>
        <w:t>J-</w:t>
      </w:r>
      <w:r w:rsidRPr="0033762E">
        <w:rPr>
          <w:rFonts w:ascii="Arial" w:hAnsi="Arial" w:cs="Arial"/>
        </w:rPr>
        <w:t>curve effect. The economic concept of the </w:t>
      </w:r>
      <w:r w:rsidRPr="0033762E">
        <w:rPr>
          <w:rStyle w:val="Emphasis"/>
          <w:rFonts w:ascii="Arial" w:hAnsi="Arial" w:cs="Arial"/>
          <w:color w:val="0E101A"/>
        </w:rPr>
        <w:t>J-</w:t>
      </w:r>
      <w:r w:rsidRPr="0033762E">
        <w:rPr>
          <w:rFonts w:ascii="Arial" w:hAnsi="Arial" w:cs="Arial"/>
        </w:rPr>
        <w:t>curve and the exchange rate devaluation are closely related, with Magee (1973) being the first researcher to introduce the </w:t>
      </w:r>
      <w:r w:rsidRPr="0033762E">
        <w:rPr>
          <w:rStyle w:val="Emphasis"/>
          <w:rFonts w:ascii="Arial" w:hAnsi="Arial" w:cs="Arial"/>
          <w:color w:val="0E101A"/>
        </w:rPr>
        <w:t>J</w:t>
      </w:r>
      <w:r w:rsidRPr="0033762E">
        <w:rPr>
          <w:rFonts w:ascii="Arial" w:hAnsi="Arial" w:cs="Arial"/>
        </w:rPr>
        <w:t>-curve phenomenon.</w:t>
      </w:r>
    </w:p>
    <w:p w14:paraId="2317E986" w14:textId="36DC9AE3" w:rsidR="0040129A" w:rsidRPr="00C44537" w:rsidRDefault="0040129A" w:rsidP="0066301C">
      <w:pPr>
        <w:spacing w:line="360" w:lineRule="auto"/>
        <w:jc w:val="both"/>
        <w:rPr>
          <w:rFonts w:ascii="Arial" w:hAnsi="Arial" w:cs="Arial"/>
        </w:rPr>
      </w:pPr>
      <w:bookmarkStart w:id="405" w:name="_Hlk162694126"/>
      <w:bookmarkStart w:id="406" w:name="_Hlk160214340"/>
      <w:bookmarkEnd w:id="403"/>
      <w:r w:rsidRPr="00C44537">
        <w:rPr>
          <w:rFonts w:ascii="Arial" w:hAnsi="Arial" w:cs="Arial"/>
        </w:rPr>
        <w:t xml:space="preserve">The two aspects of the TB responsiveness to changes in the exchange rate are the long-term and the short-term response. The long-term describes the steady state between the new level of the REER and the TB. Once the steady state is attained, the dynamic responses are worn </w:t>
      </w:r>
      <w:r w:rsidRPr="00C44537">
        <w:rPr>
          <w:rFonts w:ascii="Arial" w:hAnsi="Arial" w:cs="Arial"/>
        </w:rPr>
        <w:lastRenderedPageBreak/>
        <w:t>out, and the system is in a new equilibrium (Sahlan </w:t>
      </w:r>
      <w:r w:rsidRPr="00C44537">
        <w:rPr>
          <w:rStyle w:val="Emphasis"/>
          <w:rFonts w:ascii="Arial" w:hAnsi="Arial" w:cs="Arial"/>
          <w:color w:val="0E101A"/>
        </w:rPr>
        <w:t>et al.,</w:t>
      </w:r>
      <w:r w:rsidRPr="00C44537">
        <w:rPr>
          <w:rFonts w:ascii="Arial" w:hAnsi="Arial" w:cs="Arial"/>
        </w:rPr>
        <w:t> 2018). While the initial short-term deterioration of TB as a response to the devaluation is referred to in the literature as the </w:t>
      </w:r>
      <w:r w:rsidRPr="00C44537">
        <w:rPr>
          <w:rStyle w:val="Emphasis"/>
          <w:rFonts w:ascii="Arial" w:hAnsi="Arial" w:cs="Arial"/>
          <w:color w:val="0E101A"/>
        </w:rPr>
        <w:t>J</w:t>
      </w:r>
      <w:r w:rsidRPr="00C44537">
        <w:rPr>
          <w:rFonts w:ascii="Arial" w:hAnsi="Arial" w:cs="Arial"/>
        </w:rPr>
        <w:t>-curve (Sahlan </w:t>
      </w:r>
      <w:r w:rsidRPr="00C44537">
        <w:rPr>
          <w:rStyle w:val="Emphasis"/>
          <w:rFonts w:ascii="Arial" w:hAnsi="Arial" w:cs="Arial"/>
          <w:color w:val="0E101A"/>
        </w:rPr>
        <w:t>et al.,</w:t>
      </w:r>
      <w:r w:rsidRPr="00C44537">
        <w:rPr>
          <w:rFonts w:ascii="Arial" w:hAnsi="Arial" w:cs="Arial"/>
        </w:rPr>
        <w:t> 2018; Kurtovic </w:t>
      </w:r>
      <w:r w:rsidRPr="00C44537">
        <w:rPr>
          <w:rStyle w:val="Emphasis"/>
          <w:rFonts w:ascii="Arial" w:hAnsi="Arial" w:cs="Arial"/>
          <w:color w:val="0E101A"/>
        </w:rPr>
        <w:t>et al.,</w:t>
      </w:r>
      <w:r w:rsidRPr="00C44537">
        <w:rPr>
          <w:rFonts w:ascii="Arial" w:hAnsi="Arial" w:cs="Arial"/>
        </w:rPr>
        <w:t> 2016; Bahmani-Oskooee and Kantipong, 2001; Rose and Yellen, 1989; Magee, 1973). The name stems from the pattern of the TB caused by contracts outstanding during the exchange rate change. The </w:t>
      </w:r>
      <w:r w:rsidRPr="00C44537">
        <w:rPr>
          <w:rStyle w:val="Emphasis"/>
          <w:rFonts w:ascii="Arial" w:hAnsi="Arial" w:cs="Arial"/>
          <w:color w:val="0E101A"/>
        </w:rPr>
        <w:t>J</w:t>
      </w:r>
      <w:r w:rsidRPr="00C44537">
        <w:rPr>
          <w:rFonts w:ascii="Arial" w:hAnsi="Arial" w:cs="Arial"/>
        </w:rPr>
        <w:t>-curve occurs because of the sticky domestic currency prices of exports, which are subject to medium-term contracts. Therefore, the export prices in foreign currency fall, while at the same time the import prices in terms of domestic output increase. After a certain time lagged, export and import volumes adjust to the new prices, and the TB starts improving. In other words, the </w:t>
      </w:r>
      <w:r w:rsidRPr="00C44537">
        <w:rPr>
          <w:rStyle w:val="Emphasis"/>
          <w:rFonts w:ascii="Arial" w:hAnsi="Arial" w:cs="Arial"/>
          <w:color w:val="0E101A"/>
        </w:rPr>
        <w:t>J</w:t>
      </w:r>
      <w:r w:rsidRPr="00C44537">
        <w:rPr>
          <w:rFonts w:ascii="Arial" w:hAnsi="Arial" w:cs="Arial"/>
        </w:rPr>
        <w:t>-curve represents a possible transition path from the old equilibrium level to the new equilibrium level.</w:t>
      </w:r>
    </w:p>
    <w:bookmarkEnd w:id="405"/>
    <w:p w14:paraId="67667CBD" w14:textId="1D2BE798" w:rsidR="0040129A" w:rsidRPr="0033762E" w:rsidRDefault="0040129A" w:rsidP="0066301C">
      <w:pPr>
        <w:spacing w:line="360" w:lineRule="auto"/>
        <w:jc w:val="both"/>
        <w:rPr>
          <w:rFonts w:ascii="Arial" w:hAnsi="Arial" w:cs="Arial"/>
        </w:rPr>
      </w:pPr>
      <w:r w:rsidRPr="00C44537">
        <w:rPr>
          <w:rFonts w:ascii="Arial" w:hAnsi="Arial" w:cs="Arial"/>
        </w:rPr>
        <w:t>Several other theories have been used in analysing the impact of exchange rate movements on nations’ TB, which include the standard theory of international trade, the structuralists’ (elasticity theory), the Keynesian (absorption theory), and the monetary theory</w:t>
      </w:r>
      <w:r w:rsidR="00AA53AB" w:rsidRPr="00C44537">
        <w:rPr>
          <w:rFonts w:ascii="Arial" w:hAnsi="Arial" w:cs="Arial"/>
        </w:rPr>
        <w:t xml:space="preserve">, as earlier explained in the literature </w:t>
      </w:r>
      <w:r w:rsidR="00C44537">
        <w:rPr>
          <w:rFonts w:ascii="Arial" w:hAnsi="Arial" w:cs="Arial"/>
        </w:rPr>
        <w:t>survey</w:t>
      </w:r>
      <w:r w:rsidR="00AA53AB" w:rsidRPr="00C44537">
        <w:rPr>
          <w:rFonts w:ascii="Arial" w:hAnsi="Arial" w:cs="Arial"/>
        </w:rPr>
        <w:t xml:space="preserve"> chapter (section 2.</w:t>
      </w:r>
      <w:r w:rsidR="001C29B5" w:rsidRPr="00C44537">
        <w:rPr>
          <w:rFonts w:ascii="Arial" w:hAnsi="Arial" w:cs="Arial"/>
        </w:rPr>
        <w:t>4</w:t>
      </w:r>
      <w:r w:rsidR="00AA53AB" w:rsidRPr="00C44537">
        <w:rPr>
          <w:rFonts w:ascii="Arial" w:hAnsi="Arial" w:cs="Arial"/>
        </w:rPr>
        <w:t>)</w:t>
      </w:r>
      <w:r w:rsidRPr="00C44537">
        <w:rPr>
          <w:rFonts w:ascii="Arial" w:hAnsi="Arial" w:cs="Arial"/>
        </w:rPr>
        <w:t>. Among all the theories, the </w:t>
      </w:r>
      <w:r w:rsidRPr="00C44537">
        <w:rPr>
          <w:rStyle w:val="Emphasis"/>
          <w:rFonts w:ascii="Arial" w:hAnsi="Arial" w:cs="Arial"/>
          <w:color w:val="0E101A"/>
        </w:rPr>
        <w:t>J</w:t>
      </w:r>
      <w:r w:rsidRPr="00C44537">
        <w:rPr>
          <w:rFonts w:ascii="Arial" w:hAnsi="Arial" w:cs="Arial"/>
        </w:rPr>
        <w:t xml:space="preserve">-curve theory has had the most attention. The </w:t>
      </w:r>
      <w:r w:rsidRPr="00C44537">
        <w:rPr>
          <w:rFonts w:ascii="Arial" w:hAnsi="Arial" w:cs="Arial"/>
          <w:i/>
          <w:iCs/>
        </w:rPr>
        <w:t>J</w:t>
      </w:r>
      <w:r w:rsidRPr="00C44537">
        <w:rPr>
          <w:rFonts w:ascii="Arial" w:hAnsi="Arial" w:cs="Arial"/>
        </w:rPr>
        <w:t>-curve theory occupied the most recent empirical literature due to its ability to incorporate other older approaches indirectly and provide a novel approach to the issue by itself (Dhakir et al., 2015). For instance, as stated by the Marshall-Lerner condition (MLC),</w:t>
      </w:r>
      <w:r w:rsidRPr="00C44537">
        <w:rPr>
          <w:rFonts w:ascii="Arial" w:hAnsi="Arial" w:cs="Arial"/>
          <w:vertAlign w:val="superscript"/>
          <w:lang w:val="en-US"/>
        </w:rPr>
        <w:footnoteReference w:id="91"/>
      </w:r>
      <w:r w:rsidRPr="00C44537">
        <w:rPr>
          <w:rFonts w:ascii="Arial" w:hAnsi="Arial" w:cs="Arial"/>
          <w:lang w:val="en-US"/>
        </w:rPr>
        <w:t xml:space="preserve"> </w:t>
      </w:r>
      <w:r w:rsidRPr="00C44537">
        <w:rPr>
          <w:rFonts w:ascii="Arial" w:hAnsi="Arial" w:cs="Arial"/>
        </w:rPr>
        <w:t>for currency depreciation to have a positive effect on the TB, the elasticities of demand for imports and exports must, in absolute terms, exceed unity. A long-term improvement of TB under the </w:t>
      </w:r>
      <w:r w:rsidRPr="00C44537">
        <w:rPr>
          <w:rStyle w:val="Emphasis"/>
          <w:rFonts w:ascii="Arial" w:hAnsi="Arial" w:cs="Arial"/>
          <w:color w:val="0E101A"/>
        </w:rPr>
        <w:t>J</w:t>
      </w:r>
      <w:r w:rsidRPr="00C44537">
        <w:rPr>
          <w:rFonts w:ascii="Arial" w:hAnsi="Arial" w:cs="Arial"/>
        </w:rPr>
        <w:t>-curve analysis can show that the condition is met (Bahmani-Oskooee and Wang, 2008).</w:t>
      </w:r>
      <w:r w:rsidRPr="0033762E">
        <w:rPr>
          <w:rFonts w:ascii="Arial" w:hAnsi="Arial" w:cs="Arial"/>
        </w:rPr>
        <w:t>   </w:t>
      </w:r>
    </w:p>
    <w:bookmarkEnd w:id="397"/>
    <w:p w14:paraId="61CC4E4D" w14:textId="614649D3" w:rsidR="0040129A" w:rsidRPr="0040129A" w:rsidRDefault="0040129A" w:rsidP="0066301C">
      <w:pPr>
        <w:spacing w:line="360" w:lineRule="auto"/>
        <w:jc w:val="both"/>
        <w:rPr>
          <w:rFonts w:ascii="Arial" w:hAnsi="Arial" w:cs="Arial"/>
        </w:rPr>
      </w:pPr>
      <w:r w:rsidRPr="0033762E">
        <w:rPr>
          <w:rFonts w:ascii="Arial" w:hAnsi="Arial" w:cs="Arial"/>
        </w:rPr>
        <w:t>Another approach is the Elasticity approach by Bickerdike-Robinson-Metzler, which states that for an exchange rate depreciation to improve the TB, the ultimate impact is determined by the interaction of the value and volume effects on the trade flow (Dhakir </w:t>
      </w:r>
      <w:r w:rsidRPr="0033762E">
        <w:rPr>
          <w:rStyle w:val="Emphasis"/>
          <w:rFonts w:ascii="Arial" w:hAnsi="Arial" w:cs="Arial"/>
          <w:color w:val="0E101A"/>
        </w:rPr>
        <w:t>et al.,</w:t>
      </w:r>
      <w:r w:rsidRPr="0033762E">
        <w:rPr>
          <w:rFonts w:ascii="Arial" w:hAnsi="Arial" w:cs="Arial"/>
        </w:rPr>
        <w:t> 2015; Hooy and Chan, 2008</w:t>
      </w:r>
      <w:r w:rsidRPr="00EA07FA">
        <w:rPr>
          <w:rFonts w:ascii="Arial" w:hAnsi="Arial" w:cs="Arial"/>
          <w:lang w:val="en-US"/>
        </w:rPr>
        <w:t>).</w:t>
      </w:r>
      <w:r w:rsidRPr="00EA07FA">
        <w:rPr>
          <w:rFonts w:ascii="Arial" w:hAnsi="Arial" w:cs="Arial"/>
          <w:vertAlign w:val="superscript"/>
          <w:lang w:val="en-US"/>
        </w:rPr>
        <w:footnoteReference w:id="92"/>
      </w:r>
      <w:r w:rsidRPr="00EA07FA">
        <w:rPr>
          <w:rFonts w:ascii="Arial" w:hAnsi="Arial" w:cs="Arial"/>
          <w:lang w:val="en-US"/>
        </w:rPr>
        <w:t xml:space="preserve"> </w:t>
      </w:r>
      <w:r w:rsidRPr="0033762E">
        <w:rPr>
          <w:rFonts w:ascii="Arial" w:hAnsi="Arial" w:cs="Arial"/>
        </w:rPr>
        <w:t>In the short-term, the value effect is fast by changing the traded goods’ prices. Due to currency depreciation, the value of imports increases when paid in domestic currency, while the volume of exports remains the same. Thus, the net exports decrease, causing the trade balance to worsen. But, in the long-term, the value effect itself leads to the improvement of TB via changing the volume of trade. The simultaneous combination of two effects causes this: firstly, the domestic market begins compensating for the relatively high price of imported products via the consumption of domestic production. Secondly, exports start improving due to the price competitive advantage of domestic products in the international markets.</w:t>
      </w:r>
      <w:r>
        <w:rPr>
          <w:rFonts w:ascii="Arial" w:hAnsi="Arial" w:cs="Arial"/>
        </w:rPr>
        <w:t xml:space="preserve"> From the </w:t>
      </w:r>
      <w:r>
        <w:rPr>
          <w:rFonts w:ascii="Arial" w:hAnsi="Arial" w:cs="Arial"/>
        </w:rPr>
        <w:lastRenderedPageBreak/>
        <w:t xml:space="preserve">above-mentioned reasons, in this chapter we will </w:t>
      </w:r>
      <w:r w:rsidR="001D423D">
        <w:rPr>
          <w:rFonts w:ascii="Arial" w:hAnsi="Arial" w:cs="Arial"/>
        </w:rPr>
        <w:t>examine</w:t>
      </w:r>
      <w:r>
        <w:rPr>
          <w:rFonts w:ascii="Arial" w:hAnsi="Arial" w:cs="Arial"/>
        </w:rPr>
        <w:t xml:space="preserve"> the relationship between the CFA franc and the TB of CEMAC nations by investigating for the presence of the </w:t>
      </w:r>
      <w:r>
        <w:rPr>
          <w:rFonts w:ascii="Arial" w:hAnsi="Arial" w:cs="Arial"/>
          <w:i/>
          <w:iCs/>
        </w:rPr>
        <w:t>J-</w:t>
      </w:r>
      <w:r>
        <w:rPr>
          <w:rFonts w:ascii="Arial" w:hAnsi="Arial" w:cs="Arial"/>
        </w:rPr>
        <w:t>curve</w:t>
      </w:r>
      <w:r w:rsidR="001D423D">
        <w:rPr>
          <w:rFonts w:ascii="Arial" w:hAnsi="Arial" w:cs="Arial"/>
        </w:rPr>
        <w:t>.</w:t>
      </w:r>
      <w:r>
        <w:rPr>
          <w:rFonts w:ascii="Arial" w:hAnsi="Arial" w:cs="Arial"/>
        </w:rPr>
        <w:t xml:space="preserve"> </w:t>
      </w:r>
    </w:p>
    <w:p w14:paraId="6FEBF724" w14:textId="12E8FA41" w:rsidR="002B1422" w:rsidRPr="000915FB" w:rsidRDefault="00081869" w:rsidP="0066301C">
      <w:pPr>
        <w:pStyle w:val="Heading2"/>
        <w:spacing w:before="0" w:beforeAutospacing="0"/>
      </w:pPr>
      <w:bookmarkStart w:id="407" w:name="_Toc171075401"/>
      <w:bookmarkStart w:id="408" w:name="_Hlk160310144"/>
      <w:bookmarkEnd w:id="406"/>
      <w:r>
        <w:t>4</w:t>
      </w:r>
      <w:r w:rsidR="002B1422">
        <w:t xml:space="preserve">.3 </w:t>
      </w:r>
      <w:r w:rsidR="00075D41">
        <w:tab/>
      </w:r>
      <w:bookmarkStart w:id="409" w:name="_Hlk159315446"/>
      <w:r w:rsidR="002B1422" w:rsidRPr="000915FB">
        <w:t xml:space="preserve">THE </w:t>
      </w:r>
      <w:r w:rsidR="002B1422" w:rsidRPr="000915FB">
        <w:rPr>
          <w:i/>
        </w:rPr>
        <w:t>J-</w:t>
      </w:r>
      <w:r w:rsidR="002B1422" w:rsidRPr="000915FB">
        <w:t>CURV</w:t>
      </w:r>
      <w:r w:rsidR="002B1422">
        <w:t xml:space="preserve">E </w:t>
      </w:r>
      <w:r w:rsidR="00871A03">
        <w:t>EFFECT</w:t>
      </w:r>
      <w:bookmarkEnd w:id="407"/>
    </w:p>
    <w:p w14:paraId="3F327760" w14:textId="775B3942" w:rsidR="00F41E4D" w:rsidRPr="0033762E" w:rsidRDefault="00F41E4D" w:rsidP="0066301C">
      <w:pPr>
        <w:spacing w:line="360" w:lineRule="auto"/>
        <w:jc w:val="both"/>
        <w:rPr>
          <w:rFonts w:ascii="Arial" w:hAnsi="Arial" w:cs="Arial"/>
        </w:rPr>
      </w:pPr>
      <w:bookmarkStart w:id="410" w:name="_Hlk162661393"/>
      <w:bookmarkEnd w:id="408"/>
      <w:r w:rsidRPr="0033762E">
        <w:rPr>
          <w:rFonts w:ascii="Arial" w:hAnsi="Arial" w:cs="Arial"/>
        </w:rPr>
        <w:t>The </w:t>
      </w:r>
      <w:r w:rsidRPr="0033762E">
        <w:rPr>
          <w:rStyle w:val="Emphasis"/>
          <w:rFonts w:ascii="Arial" w:hAnsi="Arial" w:cs="Arial"/>
          <w:color w:val="0E101A"/>
        </w:rPr>
        <w:t>J-</w:t>
      </w:r>
      <w:r w:rsidRPr="0033762E">
        <w:rPr>
          <w:rFonts w:ascii="Arial" w:hAnsi="Arial" w:cs="Arial"/>
        </w:rPr>
        <w:t>curve theory is the economics traditional wisdom of analysing the dynamic effect of exchange rate changes on TB. If the Marshall-Lerner Condition (MLC</w:t>
      </w:r>
      <w:r w:rsidR="002B1422">
        <w:rPr>
          <w:rFonts w:ascii="Arial" w:hAnsi="Arial" w:cs="Arial"/>
        </w:rPr>
        <w:t>)</w:t>
      </w:r>
      <w:r w:rsidR="002B1422">
        <w:rPr>
          <w:rStyle w:val="FootnoteReference"/>
          <w:rFonts w:ascii="Arial" w:hAnsi="Arial" w:cs="Arial"/>
        </w:rPr>
        <w:footnoteReference w:id="93"/>
      </w:r>
      <w:r w:rsidR="002B1422" w:rsidRPr="008204CC">
        <w:rPr>
          <w:rFonts w:ascii="Arial" w:hAnsi="Arial" w:cs="Arial"/>
        </w:rPr>
        <w:t xml:space="preserve"> holds, </w:t>
      </w:r>
      <w:r w:rsidRPr="0033762E">
        <w:rPr>
          <w:rFonts w:ascii="Arial" w:hAnsi="Arial" w:cs="Arial"/>
        </w:rPr>
        <w:t>it is likely that following a devaluation, an initial drop in TB occurs before an improvement follows (Ziramba and Chifamba, 2014; Baek </w:t>
      </w:r>
      <w:r w:rsidRPr="0033762E">
        <w:rPr>
          <w:rStyle w:val="Emphasis"/>
          <w:rFonts w:ascii="Arial" w:hAnsi="Arial" w:cs="Arial"/>
          <w:color w:val="0E101A"/>
        </w:rPr>
        <w:t>et al., </w:t>
      </w:r>
      <w:r w:rsidRPr="0033762E">
        <w:rPr>
          <w:rFonts w:ascii="Arial" w:hAnsi="Arial" w:cs="Arial"/>
        </w:rPr>
        <w:t>2006). The response of the TB over time looks like a tilted J shape. The </w:t>
      </w:r>
      <w:r w:rsidRPr="0033762E">
        <w:rPr>
          <w:rStyle w:val="Emphasis"/>
          <w:rFonts w:ascii="Arial" w:hAnsi="Arial" w:cs="Arial"/>
          <w:color w:val="0E101A"/>
        </w:rPr>
        <w:t>J</w:t>
      </w:r>
      <w:r w:rsidRPr="0033762E">
        <w:rPr>
          <w:rFonts w:ascii="Arial" w:hAnsi="Arial" w:cs="Arial"/>
        </w:rPr>
        <w:t xml:space="preserve">–curve </w:t>
      </w:r>
      <w:r w:rsidR="00A75730">
        <w:rPr>
          <w:rFonts w:ascii="Arial" w:hAnsi="Arial" w:cs="Arial"/>
        </w:rPr>
        <w:t>effect</w:t>
      </w:r>
      <w:r w:rsidRPr="0033762E">
        <w:rPr>
          <w:rFonts w:ascii="Arial" w:hAnsi="Arial" w:cs="Arial"/>
        </w:rPr>
        <w:t xml:space="preserve"> is attributed to the lagged adjustment of quantities to changes in the relative prices (Magee, 1973; Junz and Rhomberg, 1973). </w:t>
      </w:r>
      <w:bookmarkStart w:id="411" w:name="_Hlk162692604"/>
      <w:bookmarkEnd w:id="410"/>
      <w:r w:rsidRPr="0033762E">
        <w:rPr>
          <w:rFonts w:ascii="Arial" w:hAnsi="Arial" w:cs="Arial"/>
        </w:rPr>
        <w:t xml:space="preserve">For example, in case there is a devaluation of a domestic currency, then the increase in the domestic price competitiveness </w:t>
      </w:r>
      <w:r w:rsidR="00BA75F9">
        <w:rPr>
          <w:rFonts w:ascii="Arial" w:hAnsi="Arial" w:cs="Arial"/>
        </w:rPr>
        <w:t xml:space="preserve">could </w:t>
      </w:r>
      <w:r w:rsidRPr="0033762E">
        <w:rPr>
          <w:rFonts w:ascii="Arial" w:hAnsi="Arial" w:cs="Arial"/>
        </w:rPr>
        <w:t>result in the exportation of more and the importation of less. By so doing, it improves the TB, known as the volume effect. At the same time, the devaluation increases the import unit value, resulting in the deterioration of the TB, known as the price (value) effect. The price effect dominates in the short term, while the volume effect prevails in the long term, thereby causing the time path of the TB depicted by the </w:t>
      </w:r>
      <w:r w:rsidRPr="0033762E">
        <w:rPr>
          <w:rStyle w:val="Emphasis"/>
          <w:rFonts w:ascii="Arial" w:hAnsi="Arial" w:cs="Arial"/>
          <w:color w:val="0E101A"/>
        </w:rPr>
        <w:t>J-</w:t>
      </w:r>
      <w:r w:rsidRPr="0033762E">
        <w:rPr>
          <w:rFonts w:ascii="Arial" w:hAnsi="Arial" w:cs="Arial"/>
        </w:rPr>
        <w:t>curve phenomenon (Ziramba and Chifamba, 2014; Abd-El-Kader, 2013; Bahmani-Oskooee and Mitra, 2009; Baek </w:t>
      </w:r>
      <w:r w:rsidRPr="0033762E">
        <w:rPr>
          <w:rStyle w:val="Emphasis"/>
          <w:rFonts w:ascii="Arial" w:hAnsi="Arial" w:cs="Arial"/>
          <w:color w:val="0E101A"/>
        </w:rPr>
        <w:t>et al., </w:t>
      </w:r>
      <w:r w:rsidRPr="0033762E">
        <w:rPr>
          <w:rFonts w:ascii="Arial" w:hAnsi="Arial" w:cs="Arial"/>
        </w:rPr>
        <w:t>2006). </w:t>
      </w:r>
      <w:bookmarkEnd w:id="411"/>
    </w:p>
    <w:p w14:paraId="297F39D8" w14:textId="50510F09" w:rsidR="00C44537" w:rsidRDefault="00F41E4D" w:rsidP="0066301C">
      <w:pPr>
        <w:spacing w:after="200" w:line="360" w:lineRule="auto"/>
        <w:jc w:val="both"/>
        <w:rPr>
          <w:rFonts w:ascii="Arial" w:hAnsi="Arial" w:cs="Arial"/>
        </w:rPr>
      </w:pPr>
      <w:bookmarkStart w:id="412" w:name="_Hlk162661447"/>
      <w:bookmarkStart w:id="413" w:name="_Hlk160310126"/>
      <w:r w:rsidRPr="0033762E">
        <w:rPr>
          <w:rFonts w:ascii="Arial" w:hAnsi="Arial" w:cs="Arial"/>
        </w:rPr>
        <w:t>The </w:t>
      </w:r>
      <w:r w:rsidRPr="0033762E">
        <w:rPr>
          <w:rStyle w:val="Emphasis"/>
          <w:rFonts w:ascii="Arial" w:hAnsi="Arial" w:cs="Arial"/>
          <w:color w:val="0E101A"/>
        </w:rPr>
        <w:t>J-</w:t>
      </w:r>
      <w:r w:rsidRPr="0033762E">
        <w:rPr>
          <w:rFonts w:ascii="Arial" w:hAnsi="Arial" w:cs="Arial"/>
        </w:rPr>
        <w:t>curve assumption suggests that because of price rigidities in the short term, the devaluation of a domestic currency deteriorates the TB but improves it in the long term (Koray and McMillin, 1998).</w:t>
      </w:r>
      <w:bookmarkEnd w:id="412"/>
      <w:r w:rsidRPr="0033762E">
        <w:rPr>
          <w:rFonts w:ascii="Arial" w:hAnsi="Arial" w:cs="Arial"/>
        </w:rPr>
        <w:t xml:space="preserve"> To explain the </w:t>
      </w:r>
      <w:r w:rsidRPr="0033762E">
        <w:rPr>
          <w:rStyle w:val="Emphasis"/>
          <w:rFonts w:ascii="Arial" w:hAnsi="Arial" w:cs="Arial"/>
          <w:color w:val="0E101A"/>
        </w:rPr>
        <w:t>J-</w:t>
      </w:r>
      <w:r w:rsidRPr="0033762E">
        <w:rPr>
          <w:rFonts w:ascii="Arial" w:hAnsi="Arial" w:cs="Arial"/>
        </w:rPr>
        <w:t xml:space="preserve">curve, we assume that a nation begins with a </w:t>
      </w:r>
      <w:bookmarkEnd w:id="413"/>
      <w:r w:rsidRPr="0033762E">
        <w:rPr>
          <w:rFonts w:ascii="Arial" w:hAnsi="Arial" w:cs="Arial"/>
        </w:rPr>
        <w:t>negative TB</w:t>
      </w:r>
      <w:r w:rsidR="002B1422" w:rsidRPr="008204CC">
        <w:rPr>
          <w:rFonts w:ascii="Arial" w:hAnsi="Arial" w:cs="Arial"/>
          <w:vertAlign w:val="superscript"/>
        </w:rPr>
        <w:footnoteReference w:id="94"/>
      </w:r>
      <w:r w:rsidR="002B1422" w:rsidRPr="008204CC">
        <w:rPr>
          <w:rFonts w:ascii="Arial" w:hAnsi="Arial" w:cs="Arial"/>
        </w:rPr>
        <w:t xml:space="preserve">, and </w:t>
      </w:r>
      <w:r w:rsidRPr="0033762E">
        <w:rPr>
          <w:rFonts w:ascii="Arial" w:hAnsi="Arial" w:cs="Arial"/>
        </w:rPr>
        <w:t>devalues its currency at time “</w:t>
      </w:r>
      <w:r w:rsidRPr="0033762E">
        <w:rPr>
          <w:rStyle w:val="Emphasis"/>
          <w:rFonts w:ascii="Arial" w:hAnsi="Arial" w:cs="Arial"/>
          <w:color w:val="0E101A"/>
        </w:rPr>
        <w:t>t”</w:t>
      </w:r>
      <w:r w:rsidRPr="0033762E">
        <w:rPr>
          <w:rFonts w:ascii="Arial" w:hAnsi="Arial" w:cs="Arial"/>
        </w:rPr>
        <w:t xml:space="preserve"> when the TB is negative </w:t>
      </w:r>
      <w:r w:rsidR="004A42F1">
        <w:rPr>
          <w:rFonts w:ascii="Arial" w:hAnsi="Arial" w:cs="Arial"/>
        </w:rPr>
        <w:t xml:space="preserve">- </w:t>
      </w:r>
      <w:r w:rsidRPr="0033762E">
        <w:rPr>
          <w:rFonts w:ascii="Arial" w:hAnsi="Arial" w:cs="Arial"/>
        </w:rPr>
        <w:t xml:space="preserve">point “A” as seen in (figure </w:t>
      </w:r>
      <w:r w:rsidR="00F8162C">
        <w:rPr>
          <w:rFonts w:ascii="Arial" w:hAnsi="Arial" w:cs="Arial"/>
        </w:rPr>
        <w:t>4</w:t>
      </w:r>
      <w:r w:rsidRPr="0033762E">
        <w:rPr>
          <w:rFonts w:ascii="Arial" w:hAnsi="Arial" w:cs="Arial"/>
        </w:rPr>
        <w:t>.1). As per the </w:t>
      </w:r>
      <w:r w:rsidRPr="0033762E">
        <w:rPr>
          <w:rStyle w:val="Emphasis"/>
          <w:rFonts w:ascii="Arial" w:hAnsi="Arial" w:cs="Arial"/>
          <w:color w:val="0E101A"/>
        </w:rPr>
        <w:t>J-</w:t>
      </w:r>
      <w:r w:rsidRPr="0033762E">
        <w:rPr>
          <w:rFonts w:ascii="Arial" w:hAnsi="Arial" w:cs="Arial"/>
        </w:rPr>
        <w:t>curve, the short-term response will be negative (i.e., the TB will decline more from point “A” to “B”). However, with time, the TB will improve such that it gets to point “C” and even get positive. Point “C” is when the TB is zero (i.e., there is neither trade deficit nor trade surplus). After point “C,” the nation begins to experience a trade surplus. The existence of the </w:t>
      </w:r>
      <w:r w:rsidRPr="0033762E">
        <w:rPr>
          <w:rStyle w:val="Emphasis"/>
          <w:rFonts w:ascii="Arial" w:hAnsi="Arial" w:cs="Arial"/>
          <w:color w:val="0E101A"/>
        </w:rPr>
        <w:t>J-</w:t>
      </w:r>
      <w:r w:rsidRPr="0033762E">
        <w:rPr>
          <w:rFonts w:ascii="Arial" w:hAnsi="Arial" w:cs="Arial"/>
        </w:rPr>
        <w:t>curve is very different across nations and vital to a nation’s policymakers (Stucka, 2003).</w:t>
      </w:r>
    </w:p>
    <w:p w14:paraId="31B9D80F" w14:textId="77777777" w:rsidR="007B5321" w:rsidRDefault="007B5321" w:rsidP="0066301C">
      <w:pPr>
        <w:spacing w:after="200" w:line="360" w:lineRule="auto"/>
        <w:jc w:val="both"/>
        <w:rPr>
          <w:rFonts w:ascii="Arial" w:hAnsi="Arial" w:cs="Arial"/>
        </w:rPr>
      </w:pPr>
    </w:p>
    <w:bookmarkEnd w:id="404"/>
    <w:bookmarkEnd w:id="409"/>
    <w:p w14:paraId="487FF796" w14:textId="77777777" w:rsidR="00EE025F" w:rsidRDefault="00EE025F">
      <w:pPr>
        <w:rPr>
          <w:rFonts w:ascii="Arial" w:hAnsi="Arial" w:cs="Arial"/>
          <w:b/>
          <w:lang w:val="en-US"/>
        </w:rPr>
      </w:pPr>
      <w:r>
        <w:rPr>
          <w:rFonts w:ascii="Arial" w:hAnsi="Arial" w:cs="Arial"/>
          <w:b/>
          <w:lang w:val="en-US"/>
        </w:rPr>
        <w:br w:type="page"/>
      </w:r>
    </w:p>
    <w:p w14:paraId="5DFF6E14" w14:textId="03CC1CF8" w:rsidR="002B1422" w:rsidRPr="00F41E4D" w:rsidRDefault="002B1422" w:rsidP="007B5321">
      <w:pPr>
        <w:spacing w:after="0" w:line="276" w:lineRule="auto"/>
        <w:jc w:val="both"/>
        <w:rPr>
          <w:rFonts w:ascii="Arial" w:hAnsi="Arial" w:cs="Arial"/>
        </w:rPr>
      </w:pPr>
      <w:r>
        <w:rPr>
          <w:rFonts w:ascii="Arial" w:hAnsi="Arial" w:cs="Arial"/>
          <w:b/>
          <w:lang w:val="en-US"/>
        </w:rPr>
        <w:lastRenderedPageBreak/>
        <w:t xml:space="preserve">Figure </w:t>
      </w:r>
      <w:r w:rsidR="00CA717D">
        <w:rPr>
          <w:rFonts w:ascii="Arial" w:hAnsi="Arial" w:cs="Arial"/>
          <w:b/>
          <w:lang w:val="en-US"/>
        </w:rPr>
        <w:t>4</w:t>
      </w:r>
      <w:r>
        <w:rPr>
          <w:rFonts w:ascii="Arial" w:hAnsi="Arial" w:cs="Arial"/>
          <w:b/>
          <w:lang w:val="en-US"/>
        </w:rPr>
        <w:t>.1</w:t>
      </w:r>
      <w:r w:rsidRPr="008204CC">
        <w:rPr>
          <w:rFonts w:ascii="Arial" w:hAnsi="Arial" w:cs="Arial"/>
          <w:b/>
          <w:lang w:val="en-US"/>
        </w:rPr>
        <w:t xml:space="preserve">: The </w:t>
      </w:r>
      <w:r w:rsidRPr="008204CC">
        <w:rPr>
          <w:rFonts w:ascii="Arial" w:hAnsi="Arial" w:cs="Arial"/>
          <w:b/>
          <w:i/>
          <w:lang w:val="en-US"/>
        </w:rPr>
        <w:t xml:space="preserve">J- </w:t>
      </w:r>
      <w:r w:rsidRPr="008204CC">
        <w:rPr>
          <w:rFonts w:ascii="Arial" w:hAnsi="Arial" w:cs="Arial"/>
          <w:b/>
          <w:lang w:val="en-US"/>
        </w:rPr>
        <w:t>curve</w:t>
      </w:r>
    </w:p>
    <w:p w14:paraId="2B2EDFD1" w14:textId="28221618" w:rsidR="002B1422" w:rsidRPr="008204CC" w:rsidRDefault="002B1422" w:rsidP="0066301C">
      <w:pPr>
        <w:spacing w:after="0" w:line="276" w:lineRule="auto"/>
        <w:rPr>
          <w:rFonts w:ascii="Arial" w:hAnsi="Arial" w:cs="Arial"/>
          <w:noProof/>
          <w:lang w:eastAsia="en-GB"/>
        </w:rPr>
      </w:pPr>
    </w:p>
    <w:p w14:paraId="67F755B0" w14:textId="41324FC4" w:rsidR="002B1422" w:rsidRPr="008204CC" w:rsidRDefault="00D1766F" w:rsidP="0066301C">
      <w:pPr>
        <w:spacing w:after="0" w:line="276" w:lineRule="auto"/>
        <w:rPr>
          <w:rFonts w:ascii="Arial" w:hAnsi="Arial" w:cs="Arial"/>
          <w:noProof/>
          <w:lang w:eastAsia="en-GB"/>
        </w:rPr>
      </w:pPr>
      <w:r>
        <w:rPr>
          <w:noProof/>
        </w:rPr>
        <mc:AlternateContent>
          <mc:Choice Requires="wpg">
            <w:drawing>
              <wp:anchor distT="0" distB="0" distL="114300" distR="114300" simplePos="0" relativeHeight="251660288" behindDoc="0" locked="0" layoutInCell="1" allowOverlap="1" wp14:anchorId="58F13BDE" wp14:editId="53B0D042">
                <wp:simplePos x="0" y="0"/>
                <wp:positionH relativeFrom="column">
                  <wp:posOffset>8890</wp:posOffset>
                </wp:positionH>
                <wp:positionV relativeFrom="paragraph">
                  <wp:posOffset>-224155</wp:posOffset>
                </wp:positionV>
                <wp:extent cx="4822190" cy="3262630"/>
                <wp:effectExtent l="8890" t="12065" r="0" b="11430"/>
                <wp:wrapNone/>
                <wp:docPr id="1806431747" name="Group 1926668320"/>
                <wp:cNvGraphicFramePr>
                  <a:graphicFrameLocks xmlns:a="http://schemas.openxmlformats.org/drawingml/2006/main"/>
                </wp:cNvGraphicFramePr>
                <a:graphic xmlns:a="http://schemas.openxmlformats.org/drawingml/2006/main">
                  <a:graphicData uri="http://schemas.microsoft.com/office/word/2010/wordprocessingGroup">
                    <wpg:wgp>
                      <wpg:cNvGrpSpPr>
                        <a:grpSpLocks/>
                      </wpg:cNvGrpSpPr>
                      <wpg:grpSpPr bwMode="auto">
                        <a:xfrm>
                          <a:off x="0" y="0"/>
                          <a:ext cx="4822190" cy="3262630"/>
                          <a:chOff x="0" y="0"/>
                          <a:chExt cx="47679" cy="33902"/>
                        </a:xfrm>
                      </wpg:grpSpPr>
                      <wpg:grpSp>
                        <wpg:cNvPr id="1564574496" name="Group 1926668321"/>
                        <wpg:cNvGrpSpPr>
                          <a:grpSpLocks/>
                        </wpg:cNvGrpSpPr>
                        <wpg:grpSpPr bwMode="auto">
                          <a:xfrm>
                            <a:off x="0" y="0"/>
                            <a:ext cx="47679" cy="33902"/>
                            <a:chOff x="0" y="0"/>
                            <a:chExt cx="47679" cy="33902"/>
                          </a:xfrm>
                        </wpg:grpSpPr>
                        <wpg:grpSp>
                          <wpg:cNvPr id="1955506268" name="Group 1926668322"/>
                          <wpg:cNvGrpSpPr>
                            <a:grpSpLocks/>
                          </wpg:cNvGrpSpPr>
                          <wpg:grpSpPr bwMode="auto">
                            <a:xfrm>
                              <a:off x="0" y="0"/>
                              <a:ext cx="47564" cy="33902"/>
                              <a:chOff x="0" y="1643"/>
                              <a:chExt cx="47569" cy="33904"/>
                            </a:xfrm>
                          </wpg:grpSpPr>
                          <wps:wsp>
                            <wps:cNvPr id="1081751817" name="Rectangle 1926668323"/>
                            <wps:cNvSpPr>
                              <a:spLocks noChangeArrowheads="1"/>
                            </wps:cNvSpPr>
                            <wps:spPr bwMode="auto">
                              <a:xfrm>
                                <a:off x="0" y="1643"/>
                                <a:ext cx="47569" cy="33905"/>
                              </a:xfrm>
                              <a:prstGeom prst="rect">
                                <a:avLst/>
                              </a:prstGeom>
                              <a:solidFill>
                                <a:srgbClr val="FFFFFF"/>
                              </a:solidFill>
                              <a:ln w="12700">
                                <a:solidFill>
                                  <a:srgbClr val="70AD47"/>
                                </a:solidFill>
                                <a:miter lim="800000"/>
                                <a:headEnd/>
                                <a:tailEnd/>
                              </a:ln>
                            </wps:spPr>
                            <wps:bodyPr rot="0" vert="horz" wrap="square" lIns="91440" tIns="45720" rIns="91440" bIns="45720" anchor="ctr" anchorCtr="0" upright="1">
                              <a:noAutofit/>
                            </wps:bodyPr>
                          </wps:wsp>
                          <wpg:grpSp>
                            <wpg:cNvPr id="1713603380" name="Group 1926668324"/>
                            <wpg:cNvGrpSpPr>
                              <a:grpSpLocks/>
                            </wpg:cNvGrpSpPr>
                            <wpg:grpSpPr bwMode="auto">
                              <a:xfrm>
                                <a:off x="924" y="1850"/>
                                <a:ext cx="43026" cy="30920"/>
                                <a:chOff x="0" y="1850"/>
                                <a:chExt cx="43026" cy="30920"/>
                              </a:xfrm>
                            </wpg:grpSpPr>
                            <wps:wsp>
                              <wps:cNvPr id="1627866679" name="Straight Connector 1926668325"/>
                              <wps:cNvCnPr>
                                <a:cxnSpLocks noChangeShapeType="1"/>
                              </wps:cNvCnPr>
                              <wps:spPr bwMode="auto">
                                <a:xfrm>
                                  <a:off x="7294" y="25993"/>
                                  <a:ext cx="0" cy="5125"/>
                                </a:xfrm>
                                <a:prstGeom prst="line">
                                  <a:avLst/>
                                </a:prstGeom>
                                <a:noFill/>
                                <a:ln w="6350">
                                  <a:solidFill>
                                    <a:srgbClr val="000000"/>
                                  </a:solidFill>
                                  <a:prstDash val="dash"/>
                                  <a:miter lim="800000"/>
                                  <a:headEnd/>
                                  <a:tailEnd/>
                                </a:ln>
                                <a:extLst>
                                  <a:ext uri="{909E8E84-426E-40DD-AFC4-6F175D3DCCD1}">
                                    <a14:hiddenFill xmlns:a14="http://schemas.microsoft.com/office/drawing/2010/main">
                                      <a:noFill/>
                                    </a14:hiddenFill>
                                  </a:ext>
                                </a:extLst>
                              </wps:spPr>
                              <wps:bodyPr/>
                            </wps:wsp>
                            <wpg:grpSp>
                              <wpg:cNvPr id="944492548" name="Group 1926668327"/>
                              <wpg:cNvGrpSpPr>
                                <a:grpSpLocks/>
                              </wpg:cNvGrpSpPr>
                              <wpg:grpSpPr bwMode="auto">
                                <a:xfrm>
                                  <a:off x="0" y="1850"/>
                                  <a:ext cx="43025" cy="30920"/>
                                  <a:chOff x="0" y="1850"/>
                                  <a:chExt cx="43026" cy="30920"/>
                                </a:xfrm>
                              </wpg:grpSpPr>
                              <wps:wsp>
                                <wps:cNvPr id="1024030693" name="Straight Connector 1926668328"/>
                                <wps:cNvCnPr>
                                  <a:cxnSpLocks noChangeShapeType="1"/>
                                </wps:cNvCnPr>
                                <wps:spPr bwMode="auto">
                                  <a:xfrm>
                                    <a:off x="1335" y="25890"/>
                                    <a:ext cx="5979" cy="0"/>
                                  </a:xfrm>
                                  <a:prstGeom prst="line">
                                    <a:avLst/>
                                  </a:prstGeom>
                                  <a:noFill/>
                                  <a:ln w="6350">
                                    <a:solidFill>
                                      <a:srgbClr val="000000"/>
                                    </a:solidFill>
                                    <a:miter lim="800000"/>
                                    <a:headEnd/>
                                    <a:tailEnd/>
                                  </a:ln>
                                  <a:extLst>
                                    <a:ext uri="{909E8E84-426E-40DD-AFC4-6F175D3DCCD1}">
                                      <a14:hiddenFill xmlns:a14="http://schemas.microsoft.com/office/drawing/2010/main">
                                        <a:noFill/>
                                      </a14:hiddenFill>
                                    </a:ext>
                                  </a:extLst>
                                </wps:spPr>
                                <wps:bodyPr/>
                              </wps:wsp>
                              <wpg:grpSp>
                                <wpg:cNvPr id="127214767" name="Group 1926668329"/>
                                <wpg:cNvGrpSpPr>
                                  <a:grpSpLocks/>
                                </wpg:cNvGrpSpPr>
                                <wpg:grpSpPr bwMode="auto">
                                  <a:xfrm>
                                    <a:off x="0" y="1850"/>
                                    <a:ext cx="43025" cy="30920"/>
                                    <a:chOff x="0" y="1850"/>
                                    <a:chExt cx="43026" cy="30920"/>
                                  </a:xfrm>
                                </wpg:grpSpPr>
                                <wps:wsp>
                                  <wps:cNvPr id="1827098350" name="Straight Arrow Connector 1926668330"/>
                                  <wps:cNvCnPr>
                                    <a:cxnSpLocks noChangeShapeType="1"/>
                                  </wps:cNvCnPr>
                                  <wps:spPr bwMode="auto">
                                    <a:xfrm flipV="1">
                                      <a:off x="1130" y="21370"/>
                                      <a:ext cx="41895" cy="136"/>
                                    </a:xfrm>
                                    <a:prstGeom prst="straightConnector1">
                                      <a:avLst/>
                                    </a:prstGeom>
                                    <a:noFill/>
                                    <a:ln w="22225">
                                      <a:solidFill>
                                        <a:srgbClr val="000000"/>
                                      </a:solidFill>
                                      <a:miter lim="800000"/>
                                      <a:headEnd/>
                                      <a:tailEnd type="triangle" w="med" len="med"/>
                                    </a:ln>
                                    <a:extLst>
                                      <a:ext uri="{909E8E84-426E-40DD-AFC4-6F175D3DCCD1}">
                                        <a14:hiddenFill xmlns:a14="http://schemas.microsoft.com/office/drawing/2010/main">
                                          <a:noFill/>
                                        </a14:hiddenFill>
                                      </a:ext>
                                    </a:extLst>
                                  </wps:spPr>
                                  <wps:bodyPr/>
                                </wps:wsp>
                                <wpg:grpSp>
                                  <wpg:cNvPr id="164906894" name="Group 1926668331"/>
                                  <wpg:cNvGrpSpPr>
                                    <a:grpSpLocks/>
                                  </wpg:cNvGrpSpPr>
                                  <wpg:grpSpPr bwMode="auto">
                                    <a:xfrm>
                                      <a:off x="0" y="1850"/>
                                      <a:ext cx="35726" cy="30920"/>
                                      <a:chOff x="0" y="1850"/>
                                      <a:chExt cx="35727" cy="30920"/>
                                    </a:xfrm>
                                  </wpg:grpSpPr>
                                  <wpg:grpSp>
                                    <wpg:cNvPr id="260314550" name="Group 1926668332"/>
                                    <wpg:cNvGrpSpPr>
                                      <a:grpSpLocks/>
                                    </wpg:cNvGrpSpPr>
                                    <wpg:grpSpPr bwMode="auto">
                                      <a:xfrm>
                                        <a:off x="1130" y="3801"/>
                                        <a:ext cx="34596" cy="28969"/>
                                        <a:chOff x="0" y="0"/>
                                        <a:chExt cx="34596" cy="28969"/>
                                      </a:xfrm>
                                    </wpg:grpSpPr>
                                    <wps:wsp>
                                      <wps:cNvPr id="1579746023" name="Straight Arrow Connector 1926668333"/>
                                      <wps:cNvCnPr>
                                        <a:cxnSpLocks noChangeShapeType="1"/>
                                      </wps:cNvCnPr>
                                      <wps:spPr bwMode="auto">
                                        <a:xfrm flipV="1">
                                          <a:off x="0" y="0"/>
                                          <a:ext cx="457" cy="28969"/>
                                        </a:xfrm>
                                        <a:prstGeom prst="straightConnector1">
                                          <a:avLst/>
                                        </a:prstGeom>
                                        <a:noFill/>
                                        <a:ln w="22225">
                                          <a:solidFill>
                                            <a:srgbClr val="000000"/>
                                          </a:solidFill>
                                          <a:miter lim="800000"/>
                                          <a:headEnd/>
                                          <a:tailEnd type="triangle" w="med" len="med"/>
                                        </a:ln>
                                        <a:extLst>
                                          <a:ext uri="{909E8E84-426E-40DD-AFC4-6F175D3DCCD1}">
                                            <a14:hiddenFill xmlns:a14="http://schemas.microsoft.com/office/drawing/2010/main">
                                              <a:noFill/>
                                            </a14:hiddenFill>
                                          </a:ext>
                                        </a:extLst>
                                      </wps:spPr>
                                      <wps:bodyPr/>
                                    </wps:wsp>
                                    <wps:wsp>
                                      <wps:cNvPr id="1386091956" name="Freeform 348"/>
                                      <wps:cNvSpPr>
                                        <a:spLocks/>
                                      </wps:cNvSpPr>
                                      <wps:spPr bwMode="auto">
                                        <a:xfrm>
                                          <a:off x="6267" y="8630"/>
                                          <a:ext cx="28329" cy="18714"/>
                                        </a:xfrm>
                                        <a:custGeom>
                                          <a:avLst/>
                                          <a:gdLst>
                                            <a:gd name="T0" fmla="*/ 0 w 2743200"/>
                                            <a:gd name="T1" fmla="*/ 19440 h 1801504"/>
                                            <a:gd name="T2" fmla="*/ 9897 w 2743200"/>
                                            <a:gd name="T3" fmla="*/ 15758 h 1801504"/>
                                            <a:gd name="T4" fmla="*/ 15283 w 2743200"/>
                                            <a:gd name="T5" fmla="*/ 8100 h 1801504"/>
                                            <a:gd name="T6" fmla="*/ 22269 w 2743200"/>
                                            <a:gd name="T7" fmla="*/ 1915 h 1801504"/>
                                            <a:gd name="T8" fmla="*/ 29256 w 2743200"/>
                                            <a:gd name="T9" fmla="*/ 0 h 1801504"/>
                                            <a:gd name="T10" fmla="*/ 29256 w 2743200"/>
                                            <a:gd name="T11" fmla="*/ 0 h 1801504"/>
                                            <a:gd name="T12" fmla="*/ 29256 w 2743200"/>
                                            <a:gd name="T13" fmla="*/ 0 h 1801504"/>
                                            <a:gd name="T14" fmla="*/ 0 60000 65536"/>
                                            <a:gd name="T15" fmla="*/ 0 60000 65536"/>
                                            <a:gd name="T16" fmla="*/ 0 60000 65536"/>
                                            <a:gd name="T17" fmla="*/ 0 60000 65536"/>
                                            <a:gd name="T18" fmla="*/ 0 60000 65536"/>
                                            <a:gd name="T19" fmla="*/ 0 60000 65536"/>
                                            <a:gd name="T20" fmla="*/ 0 60000 65536"/>
                                          </a:gdLst>
                                          <a:ahLst/>
                                          <a:cxnLst>
                                            <a:cxn ang="T14">
                                              <a:pos x="T0" y="T1"/>
                                            </a:cxn>
                                            <a:cxn ang="T15">
                                              <a:pos x="T2" y="T3"/>
                                            </a:cxn>
                                            <a:cxn ang="T16">
                                              <a:pos x="T4" y="T5"/>
                                            </a:cxn>
                                            <a:cxn ang="T17">
                                              <a:pos x="T6" y="T7"/>
                                            </a:cxn>
                                            <a:cxn ang="T18">
                                              <a:pos x="T8" y="T9"/>
                                            </a:cxn>
                                            <a:cxn ang="T19">
                                              <a:pos x="T10" y="T11"/>
                                            </a:cxn>
                                            <a:cxn ang="T20">
                                              <a:pos x="T12" y="T13"/>
                                            </a:cxn>
                                          </a:cxnLst>
                                          <a:rect l="0" t="0" r="r" b="b"/>
                                          <a:pathLst>
                                            <a:path w="2743200" h="1801504">
                                              <a:moveTo>
                                                <a:pt x="0" y="1801504"/>
                                              </a:moveTo>
                                              <a:cubicBezTo>
                                                <a:pt x="344605" y="1718480"/>
                                                <a:pt x="689211" y="1635456"/>
                                                <a:pt x="928047" y="1460310"/>
                                              </a:cubicBezTo>
                                              <a:cubicBezTo>
                                                <a:pt x="1166883" y="1285164"/>
                                                <a:pt x="1239672" y="964442"/>
                                                <a:pt x="1433015" y="750627"/>
                                              </a:cubicBezTo>
                                              <a:cubicBezTo>
                                                <a:pt x="1626358" y="536812"/>
                                                <a:pt x="1869743" y="302525"/>
                                                <a:pt x="2088107" y="177421"/>
                                              </a:cubicBezTo>
                                              <a:cubicBezTo>
                                                <a:pt x="2306471" y="52317"/>
                                                <a:pt x="2743200" y="0"/>
                                                <a:pt x="2743200" y="0"/>
                                              </a:cubicBezTo>
                                              <a:lnTo>
                                                <a:pt x="2743200" y="0"/>
                                              </a:lnTo>
                                            </a:path>
                                          </a:pathLst>
                                        </a:custGeom>
                                        <a:noFill/>
                                        <a:ln w="19050">
                                          <a:solidFill>
                                            <a:srgbClr val="000000"/>
                                          </a:solidFill>
                                          <a:miter lim="800000"/>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ctr" anchorCtr="0" upright="1">
                                        <a:noAutofit/>
                                      </wps:bodyPr>
                                    </wps:wsp>
                                    <wps:wsp>
                                      <wps:cNvPr id="707196844" name="Text Box 1926668335"/>
                                      <wps:cNvSpPr txBox="1">
                                        <a:spLocks noChangeArrowheads="1"/>
                                      </wps:cNvSpPr>
                                      <wps:spPr bwMode="auto">
                                        <a:xfrm>
                                          <a:off x="4006" y="24966"/>
                                          <a:ext cx="3494" cy="4002"/>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1413AA07" w14:textId="77777777" w:rsidR="00F41E4D" w:rsidRPr="00096E70" w:rsidRDefault="00F41E4D" w:rsidP="002B1422">
                                            <w:pPr>
                                              <w:spacing w:line="720" w:lineRule="auto"/>
                                              <w:rPr>
                                                <w:rFonts w:cs="Times New Roman"/>
                                                <w:i/>
                                                <w:color w:val="000000" w:themeColor="text1"/>
                                              </w:rPr>
                                            </w:pPr>
                                            <w:r w:rsidRPr="00096E70">
                                              <w:rPr>
                                                <w:rFonts w:cs="Times New Roman"/>
                                                <w:i/>
                                                <w:color w:val="000000" w:themeColor="text1"/>
                                              </w:rPr>
                                              <w:t>B</w:t>
                                            </w:r>
                                          </w:p>
                                        </w:txbxContent>
                                      </wps:txbx>
                                      <wps:bodyPr rot="0" vert="horz" wrap="square" lIns="91440" tIns="45720" rIns="91440" bIns="45720" anchor="t" anchorCtr="0" upright="1">
                                        <a:noAutofit/>
                                      </wps:bodyPr>
                                    </wps:wsp>
                                  </wpg:grpSp>
                                  <wps:wsp>
                                    <wps:cNvPr id="1439991156" name="Text Box 1926668336"/>
                                    <wps:cNvSpPr txBox="1">
                                      <a:spLocks noChangeArrowheads="1"/>
                                    </wps:cNvSpPr>
                                    <wps:spPr bwMode="auto">
                                      <a:xfrm>
                                        <a:off x="0" y="1850"/>
                                        <a:ext cx="4191" cy="3265"/>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1892BF13" w14:textId="77777777" w:rsidR="00F41E4D" w:rsidRPr="00096E70" w:rsidRDefault="00F41E4D" w:rsidP="002B1422">
                                          <w:pPr>
                                            <w:spacing w:after="0"/>
                                            <w:rPr>
                                              <w:i/>
                                              <w:color w:val="000000" w:themeColor="text1"/>
                                              <w:sz w:val="20"/>
                                              <w:szCs w:val="20"/>
                                              <w:lang w:val="en-US"/>
                                            </w:rPr>
                                          </w:pPr>
                                          <w:r w:rsidRPr="00096E70">
                                            <w:rPr>
                                              <w:i/>
                                              <w:color w:val="000000" w:themeColor="text1"/>
                                              <w:sz w:val="20"/>
                                              <w:szCs w:val="20"/>
                                              <w:lang w:val="en-US"/>
                                            </w:rPr>
                                            <w:t>NT</w:t>
                                          </w:r>
                                        </w:p>
                                      </w:txbxContent>
                                    </wps:txbx>
                                    <wps:bodyPr rot="0" vert="horz" wrap="square" lIns="91440" tIns="45720" rIns="91440" bIns="45720" anchor="t" anchorCtr="0" upright="1">
                                      <a:noAutofit/>
                                    </wps:bodyPr>
                                  </wps:wsp>
                                </wpg:grpSp>
                              </wpg:grpSp>
                            </wpg:grpSp>
                          </wpg:grpSp>
                        </wpg:grpSp>
                        <wps:wsp>
                          <wps:cNvPr id="1168914018" name="Text Box 1926668337"/>
                          <wps:cNvSpPr txBox="1">
                            <a:spLocks noChangeArrowheads="1"/>
                          </wps:cNvSpPr>
                          <wps:spPr bwMode="auto">
                            <a:xfrm>
                              <a:off x="7402" y="23295"/>
                              <a:ext cx="4191" cy="3264"/>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65A6C129" w14:textId="77777777" w:rsidR="00F41E4D" w:rsidRPr="00096E70" w:rsidRDefault="00F41E4D" w:rsidP="002B1422">
                                <w:pPr>
                                  <w:spacing w:after="0"/>
                                  <w:rPr>
                                    <w:i/>
                                    <w:color w:val="000000" w:themeColor="text1"/>
                                    <w:sz w:val="20"/>
                                    <w:szCs w:val="20"/>
                                    <w:lang w:val="en-US"/>
                                  </w:rPr>
                                </w:pPr>
                                <w:r w:rsidRPr="00096E70">
                                  <w:rPr>
                                    <w:i/>
                                    <w:color w:val="000000" w:themeColor="text1"/>
                                    <w:sz w:val="20"/>
                                    <w:szCs w:val="20"/>
                                    <w:lang w:val="en-US"/>
                                  </w:rPr>
                                  <w:t>A</w:t>
                                </w:r>
                              </w:p>
                            </w:txbxContent>
                          </wps:txbx>
                          <wps:bodyPr rot="0" vert="horz" wrap="square" lIns="91440" tIns="45720" rIns="91440" bIns="45720" anchor="t" anchorCtr="0" upright="1">
                            <a:noAutofit/>
                          </wps:bodyPr>
                        </wps:wsp>
                        <wps:wsp>
                          <wps:cNvPr id="1181124118" name="Text Box 1926668338"/>
                          <wps:cNvSpPr txBox="1">
                            <a:spLocks noChangeArrowheads="1"/>
                          </wps:cNvSpPr>
                          <wps:spPr bwMode="auto">
                            <a:xfrm>
                              <a:off x="20465" y="17417"/>
                              <a:ext cx="2933" cy="2502"/>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32E516A7" w14:textId="77777777" w:rsidR="00F41E4D" w:rsidRPr="00096E70" w:rsidRDefault="00F41E4D" w:rsidP="002B1422">
                                <w:pPr>
                                  <w:spacing w:after="0"/>
                                  <w:rPr>
                                    <w:i/>
                                    <w:color w:val="000000" w:themeColor="text1"/>
                                    <w:sz w:val="20"/>
                                    <w:szCs w:val="20"/>
                                    <w:lang w:val="en-US"/>
                                  </w:rPr>
                                </w:pPr>
                                <w:r w:rsidRPr="00096E70">
                                  <w:rPr>
                                    <w:i/>
                                    <w:color w:val="000000" w:themeColor="text1"/>
                                    <w:sz w:val="20"/>
                                    <w:szCs w:val="20"/>
                                    <w:lang w:val="en-US"/>
                                  </w:rPr>
                                  <w:t>C</w:t>
                                </w:r>
                              </w:p>
                            </w:txbxContent>
                          </wps:txbx>
                          <wps:bodyPr rot="0" vert="horz" wrap="square" lIns="91440" tIns="45720" rIns="91440" bIns="45720" anchor="t" anchorCtr="0" upright="1">
                            <a:noAutofit/>
                          </wps:bodyPr>
                        </wps:wsp>
                        <wps:wsp>
                          <wps:cNvPr id="1357830261" name="Text Box 1926668339"/>
                          <wps:cNvSpPr txBox="1">
                            <a:spLocks noChangeArrowheads="1"/>
                          </wps:cNvSpPr>
                          <wps:spPr bwMode="auto">
                            <a:xfrm>
                              <a:off x="8273" y="17417"/>
                              <a:ext cx="2068" cy="2503"/>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17813B70" w14:textId="77777777" w:rsidR="00F41E4D" w:rsidRPr="00096E70" w:rsidRDefault="00F41E4D" w:rsidP="002B1422">
                                <w:pPr>
                                  <w:spacing w:after="0"/>
                                  <w:rPr>
                                    <w:i/>
                                    <w:color w:val="000000" w:themeColor="text1"/>
                                    <w:sz w:val="20"/>
                                    <w:szCs w:val="20"/>
                                    <w:lang w:val="en-US"/>
                                  </w:rPr>
                                </w:pPr>
                                <w:r w:rsidRPr="00096E70">
                                  <w:rPr>
                                    <w:i/>
                                    <w:color w:val="000000" w:themeColor="text1"/>
                                    <w:sz w:val="20"/>
                                    <w:szCs w:val="20"/>
                                    <w:lang w:val="en-US"/>
                                  </w:rPr>
                                  <w:t>t</w:t>
                                </w:r>
                              </w:p>
                            </w:txbxContent>
                          </wps:txbx>
                          <wps:bodyPr rot="0" vert="horz" wrap="square" lIns="91440" tIns="45720" rIns="91440" bIns="45720" anchor="t" anchorCtr="0" upright="1">
                            <a:noAutofit/>
                          </wps:bodyPr>
                        </wps:wsp>
                        <wps:wsp>
                          <wps:cNvPr id="995664238" name="Text Box 1926668340"/>
                          <wps:cNvSpPr txBox="1">
                            <a:spLocks noChangeArrowheads="1"/>
                          </wps:cNvSpPr>
                          <wps:spPr bwMode="auto">
                            <a:xfrm>
                              <a:off x="43216" y="18288"/>
                              <a:ext cx="4463" cy="3263"/>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37AA76C2" w14:textId="77777777" w:rsidR="00F41E4D" w:rsidRPr="00096E70" w:rsidRDefault="00F41E4D" w:rsidP="002B1422">
                                <w:pPr>
                                  <w:spacing w:after="0"/>
                                  <w:rPr>
                                    <w:i/>
                                    <w:color w:val="000000" w:themeColor="text1"/>
                                    <w:sz w:val="20"/>
                                    <w:szCs w:val="20"/>
                                    <w:lang w:val="en-US"/>
                                  </w:rPr>
                                </w:pPr>
                                <w:r w:rsidRPr="00096E70">
                                  <w:rPr>
                                    <w:i/>
                                    <w:color w:val="000000" w:themeColor="text1"/>
                                    <w:sz w:val="20"/>
                                    <w:szCs w:val="20"/>
                                    <w:lang w:val="en-US"/>
                                  </w:rPr>
                                  <w:t>time</w:t>
                                </w:r>
                              </w:p>
                            </w:txbxContent>
                          </wps:txbx>
                          <wps:bodyPr rot="0" vert="horz" wrap="square" lIns="91440" tIns="45720" rIns="91440" bIns="45720" anchor="t" anchorCtr="0" upright="1">
                            <a:noAutofit/>
                          </wps:bodyPr>
                        </wps:wsp>
                      </wpg:grpSp>
                      <wps:wsp>
                        <wps:cNvPr id="1144553022" name="Text Box 1926668341"/>
                        <wps:cNvSpPr txBox="1">
                          <a:spLocks noChangeArrowheads="1"/>
                        </wps:cNvSpPr>
                        <wps:spPr bwMode="auto">
                          <a:xfrm>
                            <a:off x="7946" y="19050"/>
                            <a:ext cx="2064" cy="2501"/>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488A2B88" w14:textId="77777777" w:rsidR="00F41E4D" w:rsidRPr="00096E70" w:rsidRDefault="00F41E4D" w:rsidP="002B1422">
                              <w:pPr>
                                <w:spacing w:after="0"/>
                                <w:rPr>
                                  <w:color w:val="000000" w:themeColor="text1"/>
                                  <w:sz w:val="20"/>
                                  <w:szCs w:val="20"/>
                                  <w:lang w:val="en-US"/>
                                </w:rPr>
                              </w:pPr>
                              <w:r w:rsidRPr="00096E70">
                                <w:rPr>
                                  <w:color w:val="000000" w:themeColor="text1"/>
                                  <w:sz w:val="20"/>
                                  <w:szCs w:val="20"/>
                                  <w:lang w:val="en-US"/>
                                </w:rPr>
                                <w:t>I</w:t>
                              </w:r>
                            </w:p>
                          </w:txbxContent>
                        </wps:txbx>
                        <wps:bodyPr rot="0" vert="horz" wrap="square" lIns="91440" tIns="45720" rIns="91440" bIns="45720" anchor="t" anchorCtr="0" upright="1">
                          <a:noAutofit/>
                        </wps:bodyPr>
                      </wps:wsp>
                    </wpg:wgp>
                  </a:graphicData>
                </a:graphic>
                <wp14:sizeRelH relativeFrom="margin">
                  <wp14:pctWidth>0</wp14:pctWidth>
                </wp14:sizeRelH>
                <wp14:sizeRelV relativeFrom="margin">
                  <wp14:pctHeight>0</wp14:pctHeight>
                </wp14:sizeRelV>
              </wp:anchor>
            </w:drawing>
          </mc:Choice>
          <mc:Fallback>
            <w:pict>
              <v:group w14:anchorId="58F13BDE" id="Group 1926668320" o:spid="_x0000_s1215" style="position:absolute;margin-left:.7pt;margin-top:-17.65pt;width:379.7pt;height:256.9pt;z-index:251660288;mso-width-relative:margin;mso-height-relative:margin" coordsize="47679,33902"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">
                <v:group id="Group 1926668321" o:spid="_x0000_s1216" style="position:absolute;width:47679;height:33902" coordsize="47679,33902"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">
                  <v:group id="Group 1926668322" o:spid="_x0000_s1217" style="position:absolute;width:47564;height:33902" coordorigin=",1643" coordsize="47569,33904"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">
                    <v:rect id="Rectangle 1926668323" o:spid="_x0000_s1218" style="position:absolute;top:1643;width:47569;height:33905;visibility:visible;mso-wrap-style:square;v-text-anchor:middl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" strokecolor="#70ad47" strokeweight="1pt"/>
                    <v:group id="Group 1926668324" o:spid="_x0000_s1219" style="position:absolute;left:924;top:1850;width:43026;height:30920" coordorigin=",1850" coordsize="43026,30920"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">
                      <v:line id="Straight Connector 1926668325" o:spid="_x0000_s1220" style="position:absolute;visibility:visible;mso-wrap-style:square" from="7294,25993" to="7294,31118"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" strokeweight=".5pt">
                        <v:stroke dashstyle="dash" joinstyle="miter"/>
                      </v:line>
                      <v:group id="Group 1926668327" o:spid="_x0000_s1221" style="position:absolute;top:1850;width:43025;height:30920" coordorigin=",1850" coordsize="43026,30920"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">
                        <v:line id="Straight Connector 1926668328" o:spid="_x0000_s1222" style="position:absolute;visibility:visible;mso-wrap-style:square" from="1335,25890" to="7314,25890"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" strokeweight=".5pt">
                          <v:stroke joinstyle="miter"/>
                        </v:line>
                        <v:group id="Group 1926668329" o:spid="_x0000_s1223" style="position:absolute;top:1850;width:43025;height:30920" coordorigin=",1850" coordsize="43026,30920"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">
                          <v:shapetype id="_x0000_t32" coordsize="21600,21600" o:spt="32" o:oned="t" path="m,l21600,21600e" filled="f">
                            <v:path arrowok="t" fillok="f" o:connecttype="none"/>
                            <o:lock v:ext="edit" shapetype="t"/>
                          </v:shapetype>
                          <v:shape id="Straight Arrow Connector 1926668330" o:spid="_x0000_s1224" type="#_x0000_t32" style="position:absolute;left:1130;top:21370;width:41895;height:136;flip:y;visibility:visible;mso-wrap-style:square"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" strokeweight="1.75pt">
                            <v:stroke endarrow="block" joinstyle="miter"/>
                          </v:shape>
                          <v:group id="Group 1926668331" o:spid="_x0000_s1225" style="position:absolute;top:1850;width:35726;height:30920" coordorigin=",1850" coordsize="35727,30920"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">
                            <v:group id="Group 1926668332" o:spid="_x0000_s1226" style="position:absolute;left:1130;top:3801;width:34596;height:28969" coordsize="34596,28969"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">
                              <v:shape id="Straight Arrow Connector 1926668333" o:spid="_x0000_s1227" type="#_x0000_t32" style="position:absolute;width:457;height:28969;flip:y;visibility:visible;mso-wrap-style:square"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" strokeweight="1.75pt">
                                <v:stroke endarrow="block" joinstyle="miter"/>
                              </v:shape>
                              <v:shape id="Freeform 348" o:spid="_x0000_s1228" style="position:absolute;left:6267;top:8630;width:28329;height:18714;visibility:visible;mso-wrap-style:square;v-text-anchor:middle" coordsize="2743200,1801504"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" path="m,1801504v344605,-83024,689211,-166048,928047,-341194c1166883,1285164,1239672,964442,1433015,750627,1626358,536812,1869743,302525,2088107,177421,2306471,52317,2743200,,2743200,r,e" filled="f" strokeweight="1.5pt">
                                <v:stroke joinstyle="miter"/>
                                <v:path arrowok="t" o:connecttype="custom" o:connectlocs="0,202;102,164;158,84;230,20;302,0;302,0;302,0" o:connectangles="0,0,0,0,0,0,0"/>
                              </v:shape>
                              <v:shapetype id="_x0000_t202" coordsize="21600,21600" o:spt="202" path="m,l,21600r21600,l21600,xe">
                                <v:stroke joinstyle="miter"/>
                                <v:path gradientshapeok="t" o:connecttype="rect"/>
                              </v:shapetype>
                              <v:shape id="Text Box 1926668335" o:spid="_x0000_s1229" type="#_x0000_t202" style="position:absolute;left:4006;top:24966;width:3494;height:4002;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" filled="f" stroked="f">
                                <v:textbox>
                                  <w:txbxContent>
                                    <w:p w14:paraId="1413AA07" w14:textId="77777777" w:rsidR="00F41E4D" w:rsidRPr="00096E70" w:rsidRDefault="00F41E4D" w:rsidP="002B1422">
                                      <w:pPr>
                                        <w:spacing w:line="720" w:lineRule="auto"/>
                                        <w:rPr>
                                          <w:rFonts w:cs="Times New Roman"/>
                                          <w:i/>
                                          <w:color w:val="000000" w:themeColor="text1"/>
                                        </w:rPr>
                                      </w:pPr>
                                      <w:r w:rsidRPr="00096E70">
                                        <w:rPr>
                                          <w:rFonts w:cs="Times New Roman"/>
                                          <w:i/>
                                          <w:color w:val="000000" w:themeColor="text1"/>
                                        </w:rPr>
                                        <w:t>B</w:t>
                                      </w:r>
                                    </w:p>
                                  </w:txbxContent>
                                </v:textbox>
                              </v:shape>
                            </v:group>
                            <v:shape id="Text Box 1926668336" o:spid="_x0000_s1230" type="#_x0000_t202" style="position:absolute;top:1850;width:4191;height:3265;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" filled="f" stroked="f">
                              <v:textbox>
                                <w:txbxContent>
                                  <w:p w14:paraId="1892BF13" w14:textId="77777777" w:rsidR="00F41E4D" w:rsidRPr="00096E70" w:rsidRDefault="00F41E4D" w:rsidP="002B1422">
                                    <w:pPr>
                                      <w:spacing w:after="0"/>
                                      <w:rPr>
                                        <w:i/>
                                        <w:color w:val="000000" w:themeColor="text1"/>
                                        <w:sz w:val="20"/>
                                        <w:szCs w:val="20"/>
                                        <w:lang w:val="en-US"/>
                                      </w:rPr>
                                    </w:pPr>
                                    <w:r w:rsidRPr="00096E70">
                                      <w:rPr>
                                        <w:i/>
                                        <w:color w:val="000000" w:themeColor="text1"/>
                                        <w:sz w:val="20"/>
                                        <w:szCs w:val="20"/>
                                        <w:lang w:val="en-US"/>
                                      </w:rPr>
                                      <w:t>NT</w:t>
                                    </w:r>
                                  </w:p>
                                </w:txbxContent>
                              </v:textbox>
                            </v:shape>
                          </v:group>
                        </v:group>
                      </v:group>
                    </v:group>
                  </v:group>
                  <v:shape id="Text Box 1926668337" o:spid="_x0000_s1231" type="#_x0000_t202" style="position:absolute;left:7402;top:23295;width:4191;height:3264;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" filled="f" stroked="f">
                    <v:textbox>
                      <w:txbxContent>
                        <w:p w14:paraId="65A6C129" w14:textId="77777777" w:rsidR="00F41E4D" w:rsidRPr="00096E70" w:rsidRDefault="00F41E4D" w:rsidP="002B1422">
                          <w:pPr>
                            <w:spacing w:after="0"/>
                            <w:rPr>
                              <w:i/>
                              <w:color w:val="000000" w:themeColor="text1"/>
                              <w:sz w:val="20"/>
                              <w:szCs w:val="20"/>
                              <w:lang w:val="en-US"/>
                            </w:rPr>
                          </w:pPr>
                          <w:r w:rsidRPr="00096E70">
                            <w:rPr>
                              <w:i/>
                              <w:color w:val="000000" w:themeColor="text1"/>
                              <w:sz w:val="20"/>
                              <w:szCs w:val="20"/>
                              <w:lang w:val="en-US"/>
                            </w:rPr>
                            <w:t>A</w:t>
                          </w:r>
                        </w:p>
                      </w:txbxContent>
                    </v:textbox>
                  </v:shape>
                  <v:shape id="Text Box 1926668338" o:spid="_x0000_s1232" type="#_x0000_t202" style="position:absolute;left:20465;top:17417;width:2933;height:2502;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" filled="f" stroked="f">
                    <v:textbox>
                      <w:txbxContent>
                        <w:p w14:paraId="32E516A7" w14:textId="77777777" w:rsidR="00F41E4D" w:rsidRPr="00096E70" w:rsidRDefault="00F41E4D" w:rsidP="002B1422">
                          <w:pPr>
                            <w:spacing w:after="0"/>
                            <w:rPr>
                              <w:i/>
                              <w:color w:val="000000" w:themeColor="text1"/>
                              <w:sz w:val="20"/>
                              <w:szCs w:val="20"/>
                              <w:lang w:val="en-US"/>
                            </w:rPr>
                          </w:pPr>
                          <w:r w:rsidRPr="00096E70">
                            <w:rPr>
                              <w:i/>
                              <w:color w:val="000000" w:themeColor="text1"/>
                              <w:sz w:val="20"/>
                              <w:szCs w:val="20"/>
                              <w:lang w:val="en-US"/>
                            </w:rPr>
                            <w:t>C</w:t>
                          </w:r>
                        </w:p>
                      </w:txbxContent>
                    </v:textbox>
                  </v:shape>
                  <v:shape id="Text Box 1926668339" o:spid="_x0000_s1233" type="#_x0000_t202" style="position:absolute;left:8273;top:17417;width:2068;height:2503;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" filled="f" stroked="f">
                    <v:textbox>
                      <w:txbxContent>
                        <w:p w14:paraId="17813B70" w14:textId="77777777" w:rsidR="00F41E4D" w:rsidRPr="00096E70" w:rsidRDefault="00F41E4D" w:rsidP="002B1422">
                          <w:pPr>
                            <w:spacing w:after="0"/>
                            <w:rPr>
                              <w:i/>
                              <w:color w:val="000000" w:themeColor="text1"/>
                              <w:sz w:val="20"/>
                              <w:szCs w:val="20"/>
                              <w:lang w:val="en-US"/>
                            </w:rPr>
                          </w:pPr>
                          <w:r w:rsidRPr="00096E70">
                            <w:rPr>
                              <w:i/>
                              <w:color w:val="000000" w:themeColor="text1"/>
                              <w:sz w:val="20"/>
                              <w:szCs w:val="20"/>
                              <w:lang w:val="en-US"/>
                            </w:rPr>
                            <w:t>t</w:t>
                          </w:r>
                        </w:p>
                      </w:txbxContent>
                    </v:textbox>
                  </v:shape>
                  <v:shape id="Text Box 1926668340" o:spid="_x0000_s1234" type="#_x0000_t202" style="position:absolute;left:43216;top:18288;width:4463;height:3263;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" filled="f" stroked="f">
                    <v:textbox>
                      <w:txbxContent>
                        <w:p w14:paraId="37AA76C2" w14:textId="77777777" w:rsidR="00F41E4D" w:rsidRPr="00096E70" w:rsidRDefault="00F41E4D" w:rsidP="002B1422">
                          <w:pPr>
                            <w:spacing w:after="0"/>
                            <w:rPr>
                              <w:i/>
                              <w:color w:val="000000" w:themeColor="text1"/>
                              <w:sz w:val="20"/>
                              <w:szCs w:val="20"/>
                              <w:lang w:val="en-US"/>
                            </w:rPr>
                          </w:pPr>
                          <w:r w:rsidRPr="00096E70">
                            <w:rPr>
                              <w:i/>
                              <w:color w:val="000000" w:themeColor="text1"/>
                              <w:sz w:val="20"/>
                              <w:szCs w:val="20"/>
                              <w:lang w:val="en-US"/>
                            </w:rPr>
                            <w:t>time</w:t>
                          </w:r>
                        </w:p>
                      </w:txbxContent>
                    </v:textbox>
                  </v:shape>
                </v:group>
                <v:shape id="Text Box 1926668341" o:spid="_x0000_s1235" type="#_x0000_t202" style="position:absolute;left:7946;top:19050;width:2064;height:2501;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" filled="f" stroked="f">
                  <v:textbox>
                    <w:txbxContent>
                      <w:p w14:paraId="488A2B88" w14:textId="77777777" w:rsidR="00F41E4D" w:rsidRPr="00096E70" w:rsidRDefault="00F41E4D" w:rsidP="002B1422">
                        <w:pPr>
                          <w:spacing w:after="0"/>
                          <w:rPr>
                            <w:color w:val="000000" w:themeColor="text1"/>
                            <w:sz w:val="20"/>
                            <w:szCs w:val="20"/>
                            <w:lang w:val="en-US"/>
                          </w:rPr>
                        </w:pPr>
                        <w:r w:rsidRPr="00096E70">
                          <w:rPr>
                            <w:color w:val="000000" w:themeColor="text1"/>
                            <w:sz w:val="20"/>
                            <w:szCs w:val="20"/>
                            <w:lang w:val="en-US"/>
                          </w:rPr>
                          <w:t>I</w:t>
                        </w:r>
                      </w:p>
                    </w:txbxContent>
                  </v:textbox>
                </v:shape>
              </v:group>
            </w:pict>
          </mc:Fallback>
        </mc:AlternateContent>
      </w:r>
    </w:p>
    <w:p w14:paraId="169F3C59" w14:textId="77777777" w:rsidR="002B1422" w:rsidRPr="008204CC" w:rsidRDefault="002B1422" w:rsidP="0066301C">
      <w:pPr>
        <w:spacing w:after="0" w:line="276" w:lineRule="auto"/>
        <w:rPr>
          <w:rFonts w:ascii="Arial" w:hAnsi="Arial" w:cs="Arial"/>
          <w:noProof/>
          <w:lang w:eastAsia="en-GB"/>
        </w:rPr>
      </w:pPr>
    </w:p>
    <w:p w14:paraId="75DADC06" w14:textId="4026AE78" w:rsidR="002B1422" w:rsidRPr="008204CC" w:rsidRDefault="002B1422" w:rsidP="0066301C">
      <w:pPr>
        <w:spacing w:after="0" w:line="276" w:lineRule="auto"/>
        <w:rPr>
          <w:rFonts w:ascii="Arial" w:hAnsi="Arial" w:cs="Arial"/>
          <w:noProof/>
          <w:lang w:eastAsia="en-GB"/>
        </w:rPr>
      </w:pPr>
    </w:p>
    <w:p w14:paraId="6837CD23" w14:textId="02A2FAEA" w:rsidR="002B1422" w:rsidRPr="008204CC" w:rsidRDefault="002B1422" w:rsidP="0066301C">
      <w:pPr>
        <w:spacing w:after="200" w:line="276" w:lineRule="auto"/>
        <w:jc w:val="center"/>
        <w:rPr>
          <w:rFonts w:ascii="Arial" w:hAnsi="Arial" w:cs="Arial"/>
          <w:noProof/>
          <w:lang w:eastAsia="en-GB"/>
        </w:rPr>
      </w:pPr>
    </w:p>
    <w:p w14:paraId="3FC59467" w14:textId="102B2992" w:rsidR="002B1422" w:rsidRPr="008204CC" w:rsidRDefault="002B1422" w:rsidP="0066301C">
      <w:pPr>
        <w:spacing w:after="200" w:line="276" w:lineRule="auto"/>
        <w:jc w:val="center"/>
        <w:rPr>
          <w:rFonts w:ascii="Arial" w:hAnsi="Arial" w:cs="Arial"/>
        </w:rPr>
      </w:pPr>
    </w:p>
    <w:p w14:paraId="19DB0159" w14:textId="6F409156" w:rsidR="002B1422" w:rsidRPr="008204CC" w:rsidRDefault="002B1422" w:rsidP="0066301C">
      <w:pPr>
        <w:tabs>
          <w:tab w:val="left" w:pos="955"/>
          <w:tab w:val="center" w:pos="4513"/>
        </w:tabs>
        <w:spacing w:after="200" w:line="276" w:lineRule="auto"/>
        <w:rPr>
          <w:rFonts w:ascii="Arial" w:hAnsi="Arial" w:cs="Arial"/>
          <w:i/>
        </w:rPr>
      </w:pPr>
      <w:r w:rsidRPr="008204CC">
        <w:rPr>
          <w:rFonts w:ascii="Arial" w:hAnsi="Arial" w:cs="Arial"/>
        </w:rPr>
        <w:tab/>
        <w:t xml:space="preserve">       </w:t>
      </w:r>
      <w:r w:rsidRPr="008204CC">
        <w:rPr>
          <w:rFonts w:ascii="Arial" w:hAnsi="Arial" w:cs="Arial"/>
          <w:i/>
        </w:rPr>
        <w:t xml:space="preserve">                                      </w:t>
      </w:r>
    </w:p>
    <w:p w14:paraId="01CF6337" w14:textId="3E1663E9" w:rsidR="002B1422" w:rsidRPr="008204CC" w:rsidRDefault="002B1422" w:rsidP="0066301C">
      <w:pPr>
        <w:tabs>
          <w:tab w:val="left" w:pos="955"/>
          <w:tab w:val="center" w:pos="4513"/>
        </w:tabs>
        <w:spacing w:after="200" w:line="276" w:lineRule="auto"/>
        <w:rPr>
          <w:rFonts w:ascii="Arial" w:hAnsi="Arial" w:cs="Arial"/>
        </w:rPr>
      </w:pPr>
    </w:p>
    <w:p w14:paraId="0C1DEB15" w14:textId="7D8781B2" w:rsidR="002B1422" w:rsidRPr="008204CC" w:rsidRDefault="002B1422" w:rsidP="0066301C">
      <w:pPr>
        <w:tabs>
          <w:tab w:val="left" w:pos="955"/>
          <w:tab w:val="center" w:pos="4513"/>
        </w:tabs>
        <w:spacing w:after="200" w:line="276" w:lineRule="auto"/>
        <w:rPr>
          <w:rFonts w:ascii="Arial" w:hAnsi="Arial" w:cs="Arial"/>
        </w:rPr>
      </w:pPr>
    </w:p>
    <w:p w14:paraId="498ADA44" w14:textId="24F23985" w:rsidR="00F41E4D" w:rsidRDefault="002B1422" w:rsidP="0066301C">
      <w:pPr>
        <w:tabs>
          <w:tab w:val="center" w:pos="4513"/>
        </w:tabs>
        <w:spacing w:after="200" w:line="276" w:lineRule="auto"/>
        <w:rPr>
          <w:rFonts w:ascii="Arial" w:hAnsi="Arial" w:cs="Arial"/>
        </w:rPr>
      </w:pPr>
      <w:r w:rsidRPr="008204CC">
        <w:rPr>
          <w:rFonts w:ascii="Arial" w:hAnsi="Arial" w:cs="Arial"/>
        </w:rPr>
        <w:t xml:space="preserve"> </w:t>
      </w:r>
    </w:p>
    <w:p w14:paraId="42EE0972" w14:textId="6DE06E63" w:rsidR="00F41E4D" w:rsidRDefault="00F41E4D" w:rsidP="0066301C">
      <w:pPr>
        <w:tabs>
          <w:tab w:val="center" w:pos="4513"/>
        </w:tabs>
        <w:spacing w:after="200" w:line="276" w:lineRule="auto"/>
        <w:rPr>
          <w:rFonts w:ascii="Arial" w:hAnsi="Arial" w:cs="Arial"/>
        </w:rPr>
      </w:pPr>
    </w:p>
    <w:p w14:paraId="68DD5D8E" w14:textId="77777777" w:rsidR="00F41E4D" w:rsidRDefault="00F41E4D" w:rsidP="0066301C">
      <w:pPr>
        <w:tabs>
          <w:tab w:val="center" w:pos="4513"/>
        </w:tabs>
        <w:spacing w:after="200" w:line="276" w:lineRule="auto"/>
        <w:rPr>
          <w:rFonts w:ascii="Arial" w:hAnsi="Arial" w:cs="Arial"/>
        </w:rPr>
      </w:pPr>
    </w:p>
    <w:p w14:paraId="72D03DA6" w14:textId="36DF2C7C" w:rsidR="002B1422" w:rsidRPr="0019196C" w:rsidRDefault="0019196C" w:rsidP="0066301C">
      <w:pPr>
        <w:tabs>
          <w:tab w:val="center" w:pos="4513"/>
        </w:tabs>
        <w:spacing w:after="200" w:line="276" w:lineRule="auto"/>
        <w:rPr>
          <w:rFonts w:ascii="Arial" w:hAnsi="Arial" w:cs="Arial"/>
          <w:i/>
          <w:sz w:val="20"/>
          <w:szCs w:val="20"/>
        </w:rPr>
      </w:pPr>
      <w:r w:rsidRPr="0019196C">
        <w:rPr>
          <w:rFonts w:ascii="Arial" w:hAnsi="Arial" w:cs="Arial"/>
          <w:i/>
          <w:iCs/>
          <w:sz w:val="20"/>
          <w:szCs w:val="20"/>
        </w:rPr>
        <w:t>Source</w:t>
      </w:r>
      <w:r w:rsidRPr="0019196C">
        <w:rPr>
          <w:rFonts w:ascii="Arial" w:hAnsi="Arial" w:cs="Arial"/>
          <w:sz w:val="20"/>
          <w:szCs w:val="20"/>
        </w:rPr>
        <w:t>: Ziramba and Chifamba (2014).</w:t>
      </w:r>
      <w:r w:rsidR="002B1422" w:rsidRPr="0019196C">
        <w:rPr>
          <w:rFonts w:ascii="Arial" w:hAnsi="Arial" w:cs="Arial"/>
          <w:sz w:val="20"/>
          <w:szCs w:val="20"/>
        </w:rPr>
        <w:t xml:space="preserve">              </w:t>
      </w:r>
      <w:r w:rsidR="002B1422" w:rsidRPr="0019196C">
        <w:rPr>
          <w:rFonts w:ascii="Arial" w:hAnsi="Arial" w:cs="Arial"/>
          <w:sz w:val="20"/>
          <w:szCs w:val="20"/>
        </w:rPr>
        <w:tab/>
        <w:t xml:space="preserve">               </w:t>
      </w:r>
    </w:p>
    <w:p w14:paraId="55FF40C9" w14:textId="67E33D3C" w:rsidR="00F41E4D" w:rsidRPr="0033762E" w:rsidRDefault="00F41E4D" w:rsidP="0066301C">
      <w:pPr>
        <w:spacing w:line="360" w:lineRule="auto"/>
        <w:jc w:val="both"/>
        <w:rPr>
          <w:rFonts w:ascii="Arial" w:hAnsi="Arial" w:cs="Arial"/>
        </w:rPr>
      </w:pPr>
      <w:bookmarkStart w:id="414" w:name="_Hlk170836896"/>
      <w:r w:rsidRPr="0033762E">
        <w:rPr>
          <w:rFonts w:ascii="Arial" w:hAnsi="Arial" w:cs="Arial"/>
        </w:rPr>
        <w:t>It is believed that R</w:t>
      </w:r>
      <w:r w:rsidR="005130FA">
        <w:rPr>
          <w:rFonts w:ascii="Arial" w:hAnsi="Arial" w:cs="Arial"/>
        </w:rPr>
        <w:t>E</w:t>
      </w:r>
      <w:r w:rsidRPr="0033762E">
        <w:rPr>
          <w:rFonts w:ascii="Arial" w:hAnsi="Arial" w:cs="Arial"/>
        </w:rPr>
        <w:t xml:space="preserve">ER devaluation produces an improvement in TB in the long term after a short-term deterioration (Ziramba and Chifamba, 2014). </w:t>
      </w:r>
      <w:bookmarkStart w:id="415" w:name="_Hlk162697068"/>
      <w:r w:rsidRPr="0033762E">
        <w:rPr>
          <w:rFonts w:ascii="Arial" w:hAnsi="Arial" w:cs="Arial"/>
        </w:rPr>
        <w:t>The perverse short-term effect is thought to have a duration of about a year (Stucka, 2003; Krugman and Baldwin, 1987; Dornbusch and Krugman, 19976).</w:t>
      </w:r>
      <w:bookmarkEnd w:id="415"/>
      <w:r w:rsidRPr="0033762E">
        <w:rPr>
          <w:rFonts w:ascii="Arial" w:hAnsi="Arial" w:cs="Arial"/>
        </w:rPr>
        <w:t xml:space="preserve"> It is the RE</w:t>
      </w:r>
      <w:r w:rsidR="005130FA">
        <w:rPr>
          <w:rFonts w:ascii="Arial" w:hAnsi="Arial" w:cs="Arial"/>
        </w:rPr>
        <w:t>E</w:t>
      </w:r>
      <w:r w:rsidRPr="0033762E">
        <w:rPr>
          <w:rFonts w:ascii="Arial" w:hAnsi="Arial" w:cs="Arial"/>
        </w:rPr>
        <w:t>R effect on the TB that is regarded as the </w:t>
      </w:r>
      <w:r w:rsidRPr="0033762E">
        <w:rPr>
          <w:rStyle w:val="Emphasis"/>
          <w:rFonts w:ascii="Arial" w:hAnsi="Arial" w:cs="Arial"/>
          <w:color w:val="0E101A"/>
        </w:rPr>
        <w:t>J-</w:t>
      </w:r>
      <w:r w:rsidRPr="0033762E">
        <w:rPr>
          <w:rFonts w:ascii="Arial" w:hAnsi="Arial" w:cs="Arial"/>
        </w:rPr>
        <w:t xml:space="preserve">curve. </w:t>
      </w:r>
      <w:bookmarkStart w:id="416" w:name="_Hlk162697240"/>
      <w:bookmarkStart w:id="417" w:name="_Hlk160310102"/>
      <w:r w:rsidRPr="0033762E">
        <w:rPr>
          <w:rFonts w:ascii="Arial" w:hAnsi="Arial" w:cs="Arial"/>
        </w:rPr>
        <w:t>The cause of the </w:t>
      </w:r>
      <w:r w:rsidRPr="0033762E">
        <w:rPr>
          <w:rStyle w:val="Emphasis"/>
          <w:rFonts w:ascii="Arial" w:hAnsi="Arial" w:cs="Arial"/>
          <w:color w:val="0E101A"/>
        </w:rPr>
        <w:t>J-</w:t>
      </w:r>
      <w:r w:rsidRPr="0033762E">
        <w:rPr>
          <w:rFonts w:ascii="Arial" w:hAnsi="Arial" w:cs="Arial"/>
        </w:rPr>
        <w:t xml:space="preserve">curve </w:t>
      </w:r>
      <w:r w:rsidR="00F14335">
        <w:rPr>
          <w:rFonts w:ascii="Arial" w:hAnsi="Arial" w:cs="Arial"/>
        </w:rPr>
        <w:t>i</w:t>
      </w:r>
      <w:r w:rsidRPr="0033762E">
        <w:rPr>
          <w:rFonts w:ascii="Arial" w:hAnsi="Arial" w:cs="Arial"/>
        </w:rPr>
        <w:t>s attributed to three adjustment periods: i) the currency contract period – which is point “A,” ii) the pass-through period – point “B,” and iii) the sluggish response (quantity-adjustment) period - point “C” (Magee, 1973). </w:t>
      </w:r>
      <w:bookmarkEnd w:id="416"/>
    </w:p>
    <w:bookmarkEnd w:id="414"/>
    <w:bookmarkEnd w:id="417"/>
    <w:p w14:paraId="3C655149" w14:textId="77777777" w:rsidR="00F41E4D" w:rsidRPr="0033762E" w:rsidRDefault="00F41E4D" w:rsidP="0066301C">
      <w:pPr>
        <w:spacing w:line="360" w:lineRule="auto"/>
        <w:jc w:val="both"/>
        <w:rPr>
          <w:rFonts w:ascii="Arial" w:hAnsi="Arial" w:cs="Arial"/>
        </w:rPr>
      </w:pPr>
      <w:r w:rsidRPr="0033762E">
        <w:rPr>
          <w:rStyle w:val="Emphasis"/>
          <w:rFonts w:ascii="Arial" w:hAnsi="Arial" w:cs="Arial"/>
          <w:b/>
          <w:bCs/>
          <w:color w:val="0E101A"/>
        </w:rPr>
        <w:t>Currency contract period</w:t>
      </w:r>
      <w:r w:rsidRPr="0033762E">
        <w:rPr>
          <w:rFonts w:ascii="Arial" w:hAnsi="Arial" w:cs="Arial"/>
        </w:rPr>
        <w:t> - prior to signing a contract, economic agents take into cognizance their expectations concerning a future currency appreciation or devaluation to avoid a capital loss or make a capital gain. An exporter will desire payments in currencies expected to strengthen, while an importer will desire to make payments in currencies expected to weaken. The currency-contract period is a brief period immediately following a devaluation in which contracts negotiated before the change falls due. An example is a situation where domestic contracts are denominated in domestic currency, and domestic import contracts are denominated in foreign currency. In such a situation, a domestic currency devaluation increases the exchange rate and immediately deteriorates TB in the currency-contract period before any volume or price changes. </w:t>
      </w:r>
    </w:p>
    <w:p w14:paraId="15EC3770" w14:textId="77777777" w:rsidR="00F41E4D" w:rsidRPr="0033762E" w:rsidRDefault="00F41E4D" w:rsidP="0066301C">
      <w:pPr>
        <w:spacing w:line="360" w:lineRule="auto"/>
        <w:jc w:val="both"/>
        <w:rPr>
          <w:rFonts w:ascii="Arial" w:hAnsi="Arial" w:cs="Arial"/>
        </w:rPr>
      </w:pPr>
      <w:r w:rsidRPr="0033762E">
        <w:rPr>
          <w:rStyle w:val="Emphasis"/>
          <w:rFonts w:ascii="Arial" w:hAnsi="Arial" w:cs="Arial"/>
          <w:b/>
          <w:bCs/>
          <w:color w:val="0E101A"/>
        </w:rPr>
        <w:t>Pass-through period</w:t>
      </w:r>
      <w:r w:rsidRPr="0033762E">
        <w:rPr>
          <w:rStyle w:val="Emphasis"/>
          <w:rFonts w:ascii="Arial" w:hAnsi="Arial" w:cs="Arial"/>
          <w:color w:val="0E101A"/>
        </w:rPr>
        <w:t> - </w:t>
      </w:r>
      <w:r w:rsidRPr="0033762E">
        <w:rPr>
          <w:rFonts w:ascii="Arial" w:hAnsi="Arial" w:cs="Arial"/>
        </w:rPr>
        <w:t xml:space="preserve">the period after a devaluation in which the prices can change, but the quantities of exports and imports stay unchanged. This is the price (value) effect. The pass-through effect depends on the demand and supply elasticities of exports and imports. Because </w:t>
      </w:r>
      <w:r w:rsidRPr="0033762E">
        <w:rPr>
          <w:rFonts w:ascii="Arial" w:hAnsi="Arial" w:cs="Arial"/>
        </w:rPr>
        <w:lastRenderedPageBreak/>
        <w:t>quantity adjustments often take longer, in the short term, a successful pass-through signifies a worsening of TB (Ziramba and Chifamba, 2014). The constancy of quantities could be due to bottlenecks on either side: supply could be perfectly inelastic for a while because exporters cannot instantaneously change their output or sales abroad (for example is agriculture products - despite any changes, a cocoa tree will always have a set time period to produce cocoa beans). Similarly, demand may also be perfectly inelastic because importers need time to substitute between commodities and change their flow of orders. Considering a situation in which both domestic and foreign demand for imports is inelastic in the short term. As a result of a devaluation, the import price measured in domestic currency increases, but the demand stays the same, thereby leading to an increase in the value of imports (i.e., full pass-through). On the other side, the export price in foreign currency decreases by the same proportion of the exchange rate variation (full pass-through), and the export price in domestic currency remains unchanged. This helps in deteriorating the TB before any trade volume changes. In combining both the currency contract and the pass-through effects, the TB in local currency is expected to decrease following a J-curve pattern.</w:t>
      </w:r>
    </w:p>
    <w:p w14:paraId="221775F7" w14:textId="77777777" w:rsidR="00F41E4D" w:rsidRPr="0033762E" w:rsidRDefault="00F41E4D" w:rsidP="0066301C">
      <w:pPr>
        <w:spacing w:line="360" w:lineRule="auto"/>
        <w:jc w:val="both"/>
        <w:rPr>
          <w:rFonts w:ascii="Arial" w:hAnsi="Arial" w:cs="Arial"/>
        </w:rPr>
      </w:pPr>
      <w:r w:rsidRPr="0033762E">
        <w:rPr>
          <w:rStyle w:val="Emphasis"/>
          <w:rFonts w:ascii="Arial" w:hAnsi="Arial" w:cs="Arial"/>
          <w:b/>
          <w:bCs/>
          <w:color w:val="0E101A"/>
        </w:rPr>
        <w:t>Sluggish response period</w:t>
      </w:r>
      <w:r w:rsidRPr="0033762E">
        <w:rPr>
          <w:rFonts w:ascii="Arial" w:hAnsi="Arial" w:cs="Arial"/>
        </w:rPr>
        <w:t> – Also known as the quantity-adjustment period, it is the period in which quantities begin to adjust in response to changes in prices (this is known as the volume effect). In this circumstance, both the export and import elasticities increase, and the domestic volume of exports (imports) increases (decreases) in response to the increase (drop) in foreign (domestic) currency. Thus, the TB eventually improves as long as the ML condition is satisfied. Hence, Magee (1973) suggests that an increase in domestic activity or increases in domestic real income relative to activity abroad may swamp any favourable effects that the devaluation may generate. Initially, contracts already in force in specified currencies dominate the determinants of the current account. But, with time, new contracts done after the devaluation starts to dominate. During this brief period of pass-through, the TB may decrease because of the supply lags. Nevertheless, buying patterns do not change overnight due to changes in prices, and the TB could get worse during the early periods of the sluggish response because the price effects surpass the volume effect. The trend reverses in the long term when the TB improves, giving rise to a </w:t>
      </w:r>
      <w:r w:rsidRPr="0033762E">
        <w:rPr>
          <w:rStyle w:val="Emphasis"/>
          <w:rFonts w:ascii="Arial" w:hAnsi="Arial" w:cs="Arial"/>
          <w:color w:val="0E101A"/>
        </w:rPr>
        <w:t>J-</w:t>
      </w:r>
      <w:r w:rsidRPr="0033762E">
        <w:rPr>
          <w:rFonts w:ascii="Arial" w:hAnsi="Arial" w:cs="Arial"/>
        </w:rPr>
        <w:t>curve. </w:t>
      </w:r>
    </w:p>
    <w:p w14:paraId="2FE7AB11" w14:textId="6D8882EB" w:rsidR="002B334F" w:rsidRPr="0033762E" w:rsidRDefault="002B334F" w:rsidP="0066301C">
      <w:pPr>
        <w:spacing w:line="360" w:lineRule="auto"/>
        <w:jc w:val="both"/>
        <w:rPr>
          <w:rFonts w:ascii="Arial" w:hAnsi="Arial" w:cs="Arial"/>
        </w:rPr>
      </w:pPr>
      <w:bookmarkStart w:id="418" w:name="_Hlk160310074"/>
      <w:r w:rsidRPr="0033762E">
        <w:rPr>
          <w:rFonts w:ascii="Arial" w:hAnsi="Arial" w:cs="Arial"/>
        </w:rPr>
        <w:t>Though the </w:t>
      </w:r>
      <w:r w:rsidRPr="0033762E">
        <w:rPr>
          <w:rStyle w:val="Emphasis"/>
          <w:rFonts w:ascii="Arial" w:hAnsi="Arial" w:cs="Arial"/>
          <w:color w:val="0E101A"/>
        </w:rPr>
        <w:t>J-</w:t>
      </w:r>
      <w:r w:rsidRPr="0033762E">
        <w:rPr>
          <w:rFonts w:ascii="Arial" w:hAnsi="Arial" w:cs="Arial"/>
        </w:rPr>
        <w:t xml:space="preserve">curve </w:t>
      </w:r>
      <w:r w:rsidR="00020DA5">
        <w:rPr>
          <w:rFonts w:ascii="Arial" w:hAnsi="Arial" w:cs="Arial"/>
        </w:rPr>
        <w:t xml:space="preserve">effect </w:t>
      </w:r>
      <w:r w:rsidRPr="0033762E">
        <w:rPr>
          <w:rFonts w:ascii="Arial" w:hAnsi="Arial" w:cs="Arial"/>
        </w:rPr>
        <w:t>improved the understanding of the impact of movements in the exchange rate on TB, it has undergone several stages of improvement. There exist three different approaches to investigating the presence of </w:t>
      </w:r>
      <w:r w:rsidRPr="0033762E">
        <w:rPr>
          <w:rStyle w:val="Emphasis"/>
          <w:rFonts w:ascii="Arial" w:hAnsi="Arial" w:cs="Arial"/>
          <w:color w:val="0E101A"/>
        </w:rPr>
        <w:t>J-</w:t>
      </w:r>
      <w:r w:rsidRPr="0033762E">
        <w:rPr>
          <w:rFonts w:ascii="Arial" w:hAnsi="Arial" w:cs="Arial"/>
        </w:rPr>
        <w:t>curve in a nation’s TB, which include: </w:t>
      </w:r>
    </w:p>
    <w:p w14:paraId="659A6E29" w14:textId="77777777" w:rsidR="002B334F" w:rsidRPr="0033762E" w:rsidRDefault="002B334F" w:rsidP="0066301C">
      <w:pPr>
        <w:spacing w:line="360" w:lineRule="auto"/>
        <w:jc w:val="both"/>
        <w:rPr>
          <w:rFonts w:ascii="Arial" w:hAnsi="Arial" w:cs="Arial"/>
        </w:rPr>
      </w:pPr>
      <w:r w:rsidRPr="0033762E">
        <w:rPr>
          <w:rFonts w:ascii="Arial" w:hAnsi="Arial" w:cs="Arial"/>
        </w:rPr>
        <w:t>i) Aggregate Trade Data Approach by Magee (1973). </w:t>
      </w:r>
    </w:p>
    <w:p w14:paraId="70810391" w14:textId="77777777" w:rsidR="002B334F" w:rsidRPr="0033762E" w:rsidRDefault="002B334F" w:rsidP="0066301C">
      <w:pPr>
        <w:spacing w:line="360" w:lineRule="auto"/>
        <w:jc w:val="both"/>
        <w:rPr>
          <w:rFonts w:ascii="Arial" w:hAnsi="Arial" w:cs="Arial"/>
        </w:rPr>
      </w:pPr>
      <w:r w:rsidRPr="0033762E">
        <w:rPr>
          <w:rFonts w:ascii="Arial" w:hAnsi="Arial" w:cs="Arial"/>
        </w:rPr>
        <w:t>ii) Bilateral Aggregate Trade Data Approach by Rose and Yellen (1989). </w:t>
      </w:r>
    </w:p>
    <w:p w14:paraId="78152F27" w14:textId="77777777" w:rsidR="00D338A7" w:rsidRDefault="002B334F" w:rsidP="0066301C">
      <w:pPr>
        <w:spacing w:line="360" w:lineRule="auto"/>
        <w:jc w:val="both"/>
        <w:rPr>
          <w:rFonts w:ascii="Arial" w:hAnsi="Arial" w:cs="Arial"/>
        </w:rPr>
      </w:pPr>
      <w:r w:rsidRPr="0033762E">
        <w:rPr>
          <w:rFonts w:ascii="Arial" w:hAnsi="Arial" w:cs="Arial"/>
        </w:rPr>
        <w:t>iii) Bilateral Disaggregate Trade Data approach by Doroodian </w:t>
      </w:r>
      <w:r w:rsidRPr="0033762E">
        <w:rPr>
          <w:rStyle w:val="Emphasis"/>
          <w:rFonts w:ascii="Arial" w:hAnsi="Arial" w:cs="Arial"/>
          <w:color w:val="0E101A"/>
        </w:rPr>
        <w:t>et al. </w:t>
      </w:r>
      <w:r w:rsidRPr="0033762E">
        <w:rPr>
          <w:rFonts w:ascii="Arial" w:hAnsi="Arial" w:cs="Arial"/>
        </w:rPr>
        <w:t xml:space="preserve">(1999). </w:t>
      </w:r>
    </w:p>
    <w:bookmarkEnd w:id="418"/>
    <w:p w14:paraId="2072C85D" w14:textId="3FF6BF49" w:rsidR="002B334F" w:rsidRPr="0033762E" w:rsidRDefault="002B334F" w:rsidP="0066301C">
      <w:pPr>
        <w:spacing w:line="360" w:lineRule="auto"/>
        <w:jc w:val="both"/>
        <w:rPr>
          <w:rFonts w:ascii="Arial" w:hAnsi="Arial" w:cs="Arial"/>
        </w:rPr>
      </w:pPr>
      <w:r w:rsidRPr="0033762E">
        <w:rPr>
          <w:rFonts w:ascii="Arial" w:hAnsi="Arial" w:cs="Arial"/>
        </w:rPr>
        <w:lastRenderedPageBreak/>
        <w:t>The early studies of the </w:t>
      </w:r>
      <w:r w:rsidRPr="0033762E">
        <w:rPr>
          <w:rStyle w:val="Emphasis"/>
          <w:rFonts w:ascii="Arial" w:hAnsi="Arial" w:cs="Arial"/>
          <w:color w:val="0E101A"/>
        </w:rPr>
        <w:t>J-</w:t>
      </w:r>
      <w:r w:rsidRPr="0033762E">
        <w:rPr>
          <w:rFonts w:ascii="Arial" w:hAnsi="Arial" w:cs="Arial"/>
        </w:rPr>
        <w:t>curve used the aggregate trade data, which was the trade data of a nation with all its trading partners, to evaluate the overall relationship between the nation’s TB and currency devaluation. The early researchers of this approach are Magee (1973) and Himarios (1985). Magee (1973) tested the impact of currency depreciation on TB in a study that introduced the </w:t>
      </w:r>
      <w:r w:rsidRPr="0033762E">
        <w:rPr>
          <w:rStyle w:val="Emphasis"/>
          <w:rFonts w:ascii="Arial" w:hAnsi="Arial" w:cs="Arial"/>
          <w:color w:val="0E101A"/>
        </w:rPr>
        <w:t>J-</w:t>
      </w:r>
      <w:r w:rsidRPr="0033762E">
        <w:rPr>
          <w:rFonts w:ascii="Arial" w:hAnsi="Arial" w:cs="Arial"/>
        </w:rPr>
        <w:t>curve as a novel approach (Dhakir </w:t>
      </w:r>
      <w:r w:rsidRPr="0033762E">
        <w:rPr>
          <w:rStyle w:val="Emphasis"/>
          <w:rFonts w:ascii="Arial" w:hAnsi="Arial" w:cs="Arial"/>
          <w:color w:val="0E101A"/>
        </w:rPr>
        <w:t>et al., </w:t>
      </w:r>
      <w:r w:rsidRPr="0033762E">
        <w:rPr>
          <w:rFonts w:ascii="Arial" w:hAnsi="Arial" w:cs="Arial"/>
        </w:rPr>
        <w:t>2015). The study analyzed the three periods following a currency devaluation: the currency-contract, the pass-through, and the quantity-adjustment periods. The study discussed the possibility of different effects of devaluation in the short term and long term. Though in a successful devaluation, the TB worsens in the short-term and improves in the long-term, the study “argues that there could also not be a </w:t>
      </w:r>
      <w:r w:rsidRPr="0033762E">
        <w:rPr>
          <w:rStyle w:val="Emphasis"/>
          <w:rFonts w:ascii="Arial" w:hAnsi="Arial" w:cs="Arial"/>
          <w:color w:val="0E101A"/>
        </w:rPr>
        <w:t>J-</w:t>
      </w:r>
      <w:r w:rsidRPr="0033762E">
        <w:rPr>
          <w:rFonts w:ascii="Arial" w:hAnsi="Arial" w:cs="Arial"/>
        </w:rPr>
        <w:t>curve because the TB can change in either direction in each period” (Dhakir </w:t>
      </w:r>
      <w:r w:rsidRPr="0033762E">
        <w:rPr>
          <w:rStyle w:val="Emphasis"/>
          <w:rFonts w:ascii="Arial" w:hAnsi="Arial" w:cs="Arial"/>
          <w:color w:val="0E101A"/>
        </w:rPr>
        <w:t>et al., </w:t>
      </w:r>
      <w:r w:rsidRPr="0033762E">
        <w:rPr>
          <w:rFonts w:ascii="Arial" w:hAnsi="Arial" w:cs="Arial"/>
        </w:rPr>
        <w:t>2015; Magee, 1973). However, findings based on the aggregate trade data approach are mixed and ambiguous, such that the significance of the </w:t>
      </w:r>
      <w:r w:rsidRPr="0033762E">
        <w:rPr>
          <w:rStyle w:val="Emphasis"/>
          <w:rFonts w:ascii="Arial" w:hAnsi="Arial" w:cs="Arial"/>
          <w:color w:val="0E101A"/>
        </w:rPr>
        <w:t>J</w:t>
      </w:r>
      <w:r w:rsidRPr="0033762E">
        <w:rPr>
          <w:rFonts w:ascii="Arial" w:hAnsi="Arial" w:cs="Arial"/>
        </w:rPr>
        <w:t>-curve could be poorly defined (Dhakir </w:t>
      </w:r>
      <w:r w:rsidRPr="0033762E">
        <w:rPr>
          <w:rStyle w:val="Emphasis"/>
          <w:rFonts w:ascii="Arial" w:hAnsi="Arial" w:cs="Arial"/>
          <w:color w:val="0E101A"/>
        </w:rPr>
        <w:t>et al., </w:t>
      </w:r>
      <w:r w:rsidRPr="0033762E">
        <w:rPr>
          <w:rFonts w:ascii="Arial" w:hAnsi="Arial" w:cs="Arial"/>
        </w:rPr>
        <w:t>2015). </w:t>
      </w:r>
      <w:r w:rsidRPr="0033762E">
        <w:rPr>
          <w:rStyle w:val="Emphasis"/>
          <w:rFonts w:ascii="Arial" w:hAnsi="Arial" w:cs="Arial"/>
          <w:color w:val="0E101A"/>
        </w:rPr>
        <w:t> </w:t>
      </w:r>
    </w:p>
    <w:p w14:paraId="6E7D66D5" w14:textId="77777777" w:rsidR="002B334F" w:rsidRPr="0033762E" w:rsidRDefault="002B334F" w:rsidP="0066301C">
      <w:pPr>
        <w:spacing w:line="360" w:lineRule="auto"/>
        <w:jc w:val="both"/>
        <w:rPr>
          <w:rFonts w:ascii="Arial" w:hAnsi="Arial" w:cs="Arial"/>
        </w:rPr>
      </w:pPr>
      <w:r w:rsidRPr="0033762E">
        <w:rPr>
          <w:rFonts w:ascii="Arial" w:hAnsi="Arial" w:cs="Arial"/>
        </w:rPr>
        <w:t>Rose and Yellen (1989) argued that using the aggregate data in </w:t>
      </w:r>
      <w:r w:rsidRPr="0033762E">
        <w:rPr>
          <w:rStyle w:val="Emphasis"/>
          <w:rFonts w:ascii="Arial" w:hAnsi="Arial" w:cs="Arial"/>
          <w:color w:val="0E101A"/>
        </w:rPr>
        <w:t>J</w:t>
      </w:r>
      <w:r w:rsidRPr="0033762E">
        <w:rPr>
          <w:rFonts w:ascii="Arial" w:hAnsi="Arial" w:cs="Arial"/>
        </w:rPr>
        <w:t>-curve analysis creates an “aggregate bias,” and they initiated the second approach, the “Bilateral Aggregate trade Data” approach. This approach tries to reduce the possible effect of “aggregation bias” and the measurement problems by selecting specific pairs of nations. The presence of an aggregate bias problem, which is a drawback of the aggregate approach by Magee (1973), may be due to the different nature of trade in each pair of nations. It could be possible for the J-curve to exist between a nation and one of its trading partners while there is no significant liaison between currency devaluation and TB with the nation’s other trading partners. Taking this view into cognizance, an insignificant relationship between the exchange rate and the TB with a nation could offset a significant relationship with another trade partner.</w:t>
      </w:r>
    </w:p>
    <w:p w14:paraId="0FBE0949" w14:textId="73F8F1A3" w:rsidR="002B334F" w:rsidRPr="0033762E" w:rsidRDefault="002B334F" w:rsidP="0066301C">
      <w:pPr>
        <w:spacing w:line="360" w:lineRule="auto"/>
        <w:jc w:val="both"/>
        <w:rPr>
          <w:rFonts w:ascii="Arial" w:hAnsi="Arial" w:cs="Arial"/>
        </w:rPr>
      </w:pPr>
      <w:r w:rsidRPr="0033762E">
        <w:rPr>
          <w:rFonts w:ascii="Arial" w:hAnsi="Arial" w:cs="Arial"/>
        </w:rPr>
        <w:t xml:space="preserve">Just like in </w:t>
      </w:r>
      <w:bookmarkStart w:id="419" w:name="_Hlk160310022"/>
      <w:r w:rsidRPr="0033762E">
        <w:rPr>
          <w:rFonts w:ascii="Arial" w:hAnsi="Arial" w:cs="Arial"/>
        </w:rPr>
        <w:t xml:space="preserve">the aggregate trade data approach, it is assumed that the bilateral aggregate trade data approach </w:t>
      </w:r>
      <w:bookmarkEnd w:id="419"/>
      <w:r w:rsidRPr="0033762E">
        <w:rPr>
          <w:rFonts w:ascii="Arial" w:hAnsi="Arial" w:cs="Arial"/>
        </w:rPr>
        <w:t>is inconsistent and is expected to suffer from aggregation bias because it uses aggregate trade data rather than commodity or sectorial trade data. Thus, the next approach looks at the analysis of the relationship between the exchange rate depreciation and the TB from a bilateral disaggregated trade data approach. This third and most recent approach focuses on the analysis of sectoral or commodity trade data, with the aim to further reduce the aggregation bias. There is absolutely no way or reason for each bilateral sector of trade to respond in a similar manner to currency depreciation. As stated by Doroodian </w:t>
      </w:r>
      <w:r w:rsidRPr="0033762E">
        <w:rPr>
          <w:rStyle w:val="Emphasis"/>
          <w:rFonts w:ascii="Arial" w:hAnsi="Arial" w:cs="Arial"/>
          <w:color w:val="0E101A"/>
        </w:rPr>
        <w:t>et al. </w:t>
      </w:r>
      <w:r w:rsidRPr="0033762E">
        <w:rPr>
          <w:rFonts w:ascii="Arial" w:hAnsi="Arial" w:cs="Arial"/>
        </w:rPr>
        <w:t>(1999), payments for agricultural products are made upon delivery; hence, the delivery lag is often longer than that of manufactured products</w:t>
      </w:r>
      <w:r w:rsidR="002B1422" w:rsidRPr="008204CC">
        <w:rPr>
          <w:rFonts w:ascii="Arial" w:hAnsi="Arial" w:cs="Arial"/>
          <w:vertAlign w:val="superscript"/>
          <w:lang w:val="en-US"/>
        </w:rPr>
        <w:footnoteReference w:id="95"/>
      </w:r>
      <w:r w:rsidR="002B1422" w:rsidRPr="008204CC">
        <w:rPr>
          <w:rFonts w:ascii="Arial" w:hAnsi="Arial" w:cs="Arial"/>
          <w:lang w:val="en-US"/>
        </w:rPr>
        <w:t xml:space="preserve">. </w:t>
      </w:r>
      <w:r w:rsidRPr="0033762E">
        <w:rPr>
          <w:rFonts w:ascii="Arial" w:hAnsi="Arial" w:cs="Arial"/>
        </w:rPr>
        <w:t xml:space="preserve">Bahmani-Oskooee and Hegerty (2010) pointed out that “aggregate or bilateral usually arrive at conflicting or ambiguous outcomes or at time </w:t>
      </w:r>
      <w:r w:rsidRPr="0033762E">
        <w:rPr>
          <w:rFonts w:ascii="Arial" w:hAnsi="Arial" w:cs="Arial"/>
        </w:rPr>
        <w:lastRenderedPageBreak/>
        <w:t>no results at all.” As such, some researchers disapproved of the use of the two approaches because they could hide important information</w:t>
      </w:r>
      <w:r>
        <w:rPr>
          <w:rFonts w:ascii="Arial" w:hAnsi="Arial" w:cs="Arial"/>
        </w:rPr>
        <w:t>.</w:t>
      </w:r>
      <w:r w:rsidR="002B1422" w:rsidRPr="008204CC">
        <w:rPr>
          <w:rFonts w:ascii="Arial" w:hAnsi="Arial" w:cs="Arial"/>
          <w:vertAlign w:val="superscript"/>
          <w:lang w:val="en-US"/>
        </w:rPr>
        <w:footnoteReference w:id="96"/>
      </w:r>
      <w:r w:rsidR="002B1422" w:rsidRPr="008204CC">
        <w:rPr>
          <w:rFonts w:ascii="Arial" w:hAnsi="Arial" w:cs="Arial"/>
          <w:lang w:val="en-US"/>
        </w:rPr>
        <w:t xml:space="preserve"> </w:t>
      </w:r>
      <w:bookmarkStart w:id="420" w:name="_Hlk141670066"/>
      <w:r w:rsidRPr="0033762E">
        <w:rPr>
          <w:rFonts w:ascii="Arial" w:hAnsi="Arial" w:cs="Arial"/>
        </w:rPr>
        <w:t>For this reason, disaggregating the trade data into sectors or industries is used to aid in revealing the significant results undetected at the higher levels of aggregations. Many studies have been done using this approach, such as Bahmani-Oskooee and Zhang (2013), Bahmani-Oskooee and Wang (2008), Doroodian </w:t>
      </w:r>
      <w:r w:rsidRPr="0033762E">
        <w:rPr>
          <w:rStyle w:val="Emphasis"/>
          <w:rFonts w:ascii="Arial" w:hAnsi="Arial" w:cs="Arial"/>
          <w:color w:val="0E101A"/>
        </w:rPr>
        <w:t>et al.</w:t>
      </w:r>
      <w:r w:rsidRPr="0033762E">
        <w:rPr>
          <w:rFonts w:ascii="Arial" w:hAnsi="Arial" w:cs="Arial"/>
        </w:rPr>
        <w:t> (1999).</w:t>
      </w:r>
    </w:p>
    <w:p w14:paraId="6A012E51" w14:textId="39C1ACAB" w:rsidR="00B461ED" w:rsidRDefault="002B334F" w:rsidP="0066301C">
      <w:pPr>
        <w:spacing w:line="360" w:lineRule="auto"/>
        <w:jc w:val="both"/>
        <w:rPr>
          <w:rFonts w:ascii="Arial" w:hAnsi="Arial" w:cs="Arial"/>
        </w:rPr>
      </w:pPr>
      <w:bookmarkStart w:id="421" w:name="_Hlk160309990"/>
      <w:r w:rsidRPr="0033762E">
        <w:rPr>
          <w:rFonts w:ascii="Arial" w:hAnsi="Arial" w:cs="Arial"/>
        </w:rPr>
        <w:t xml:space="preserve">The bilateral disaggregated trade data approach has also come under some criticism due to the blurry meaning of the term “commodity-level.” </w:t>
      </w:r>
      <w:bookmarkEnd w:id="421"/>
      <w:r w:rsidRPr="0033762E">
        <w:rPr>
          <w:rFonts w:ascii="Arial" w:hAnsi="Arial" w:cs="Arial"/>
        </w:rPr>
        <w:t>In some studies, it is referred to as a single commodity, i.e., </w:t>
      </w:r>
      <w:r w:rsidRPr="0033762E">
        <w:rPr>
          <w:rStyle w:val="Emphasis"/>
          <w:rFonts w:ascii="Arial" w:hAnsi="Arial" w:cs="Arial"/>
          <w:color w:val="0E101A"/>
        </w:rPr>
        <w:t>tomatoes, </w:t>
      </w:r>
      <w:r w:rsidRPr="0033762E">
        <w:rPr>
          <w:rFonts w:ascii="Arial" w:hAnsi="Arial" w:cs="Arial"/>
        </w:rPr>
        <w:t>as done by Alias </w:t>
      </w:r>
      <w:r w:rsidRPr="0033762E">
        <w:rPr>
          <w:rStyle w:val="Emphasis"/>
          <w:rFonts w:ascii="Arial" w:hAnsi="Arial" w:cs="Arial"/>
          <w:color w:val="0E101A"/>
        </w:rPr>
        <w:t>et al. </w:t>
      </w:r>
      <w:r w:rsidRPr="0033762E">
        <w:rPr>
          <w:rFonts w:ascii="Arial" w:hAnsi="Arial" w:cs="Arial"/>
        </w:rPr>
        <w:t>(2012). In other studies, it is looked at as a group of commodities rather than a single commodity (i.e., </w:t>
      </w:r>
      <w:r w:rsidRPr="0033762E">
        <w:rPr>
          <w:rStyle w:val="Emphasis"/>
          <w:rFonts w:ascii="Arial" w:hAnsi="Arial" w:cs="Arial"/>
          <w:color w:val="0E101A"/>
        </w:rPr>
        <w:t>soap, cleaning and polishing paper</w:t>
      </w:r>
      <w:r w:rsidRPr="0033762E">
        <w:rPr>
          <w:rFonts w:ascii="Arial" w:hAnsi="Arial" w:cs="Arial"/>
        </w:rPr>
        <w:t>)</w:t>
      </w:r>
      <w:r w:rsidRPr="0033762E">
        <w:rPr>
          <w:rStyle w:val="Emphasis"/>
          <w:rFonts w:ascii="Arial" w:hAnsi="Arial" w:cs="Arial"/>
          <w:color w:val="0E101A"/>
        </w:rPr>
        <w:t> </w:t>
      </w:r>
      <w:r w:rsidRPr="0033762E">
        <w:rPr>
          <w:rFonts w:ascii="Arial" w:hAnsi="Arial" w:cs="Arial"/>
        </w:rPr>
        <w:t>regarded as a single commodity by Bahmani-Oskooee and Wang (2008). In some other research, the term is more appropriately regarded as “industry level” (Ardalani and Bahmani-Oskooee, 2007). Nonetheless, in some studies, both groups of commodities and industrial level are used interchangeably (Bahmani-Oskooee and Hosny, 2013).</w:t>
      </w:r>
      <w:r w:rsidR="00B461ED">
        <w:rPr>
          <w:rStyle w:val="FootnoteReference"/>
          <w:rFonts w:ascii="Arial" w:hAnsi="Arial" w:cs="Arial"/>
        </w:rPr>
        <w:footnoteReference w:id="97"/>
      </w:r>
      <w:r w:rsidRPr="0033762E">
        <w:rPr>
          <w:rFonts w:ascii="Arial" w:hAnsi="Arial" w:cs="Arial"/>
        </w:rPr>
        <w:t xml:space="preserve"> </w:t>
      </w:r>
      <w:r w:rsidR="00B461ED">
        <w:rPr>
          <w:rFonts w:ascii="Arial" w:hAnsi="Arial" w:cs="Arial"/>
        </w:rPr>
        <w:t>Thus, in this chapter we will use both the</w:t>
      </w:r>
      <w:r w:rsidR="00E53DA9">
        <w:rPr>
          <w:rFonts w:ascii="Arial" w:hAnsi="Arial" w:cs="Arial"/>
        </w:rPr>
        <w:t xml:space="preserve"> </w:t>
      </w:r>
      <w:r w:rsidR="00E53DA9" w:rsidRPr="0033762E">
        <w:rPr>
          <w:rFonts w:ascii="Arial" w:hAnsi="Arial" w:cs="Arial"/>
        </w:rPr>
        <w:t>bilateral</w:t>
      </w:r>
      <w:r w:rsidR="00B461ED">
        <w:rPr>
          <w:rFonts w:ascii="Arial" w:hAnsi="Arial" w:cs="Arial"/>
        </w:rPr>
        <w:t xml:space="preserve"> </w:t>
      </w:r>
      <w:r w:rsidR="00B461ED" w:rsidRPr="0033762E">
        <w:rPr>
          <w:rFonts w:ascii="Arial" w:hAnsi="Arial" w:cs="Arial"/>
        </w:rPr>
        <w:t>aggregate</w:t>
      </w:r>
      <w:r w:rsidR="00E53DA9">
        <w:rPr>
          <w:rFonts w:ascii="Arial" w:hAnsi="Arial" w:cs="Arial"/>
        </w:rPr>
        <w:t xml:space="preserve"> </w:t>
      </w:r>
      <w:r w:rsidR="00B461ED">
        <w:rPr>
          <w:rFonts w:ascii="Arial" w:hAnsi="Arial" w:cs="Arial"/>
        </w:rPr>
        <w:t xml:space="preserve">trade </w:t>
      </w:r>
      <w:r w:rsidR="00B461ED" w:rsidRPr="0033762E">
        <w:rPr>
          <w:rFonts w:ascii="Arial" w:hAnsi="Arial" w:cs="Arial"/>
        </w:rPr>
        <w:t>data</w:t>
      </w:r>
      <w:r w:rsidR="00B461ED">
        <w:rPr>
          <w:rFonts w:ascii="Arial" w:hAnsi="Arial" w:cs="Arial"/>
        </w:rPr>
        <w:t xml:space="preserve"> approach by </w:t>
      </w:r>
      <w:r w:rsidR="00B461ED" w:rsidRPr="0033762E">
        <w:rPr>
          <w:rFonts w:ascii="Arial" w:hAnsi="Arial" w:cs="Arial"/>
        </w:rPr>
        <w:t>Rose and Yellen (1989)</w:t>
      </w:r>
      <w:r w:rsidR="00B461ED">
        <w:rPr>
          <w:rFonts w:ascii="Arial" w:hAnsi="Arial" w:cs="Arial"/>
        </w:rPr>
        <w:t xml:space="preserve"> and the Aggregate Trade Data Approach by Magee (1973) to investigate for the </w:t>
      </w:r>
      <w:bookmarkStart w:id="422" w:name="_Hlk170837089"/>
      <w:r w:rsidR="00B461ED">
        <w:rPr>
          <w:rFonts w:ascii="Arial" w:hAnsi="Arial" w:cs="Arial"/>
        </w:rPr>
        <w:t xml:space="preserve">presence of </w:t>
      </w:r>
      <w:r w:rsidR="00B461ED">
        <w:rPr>
          <w:rFonts w:ascii="Arial" w:hAnsi="Arial" w:cs="Arial"/>
          <w:i/>
          <w:iCs/>
        </w:rPr>
        <w:t>J-</w:t>
      </w:r>
      <w:r w:rsidR="00B461ED">
        <w:rPr>
          <w:rFonts w:ascii="Arial" w:hAnsi="Arial" w:cs="Arial"/>
        </w:rPr>
        <w:t xml:space="preserve">curve in the TB of CEMAC nations. </w:t>
      </w:r>
    </w:p>
    <w:p w14:paraId="6DA305BA" w14:textId="56453FC1" w:rsidR="004C493F" w:rsidRPr="00623B85" w:rsidRDefault="00C50149" w:rsidP="0066301C">
      <w:pPr>
        <w:pStyle w:val="Heading2"/>
        <w:spacing w:before="0" w:beforeAutospacing="0"/>
      </w:pPr>
      <w:bookmarkStart w:id="423" w:name="_Toc171075402"/>
      <w:r w:rsidRPr="00623B85">
        <w:t>4</w:t>
      </w:r>
      <w:r w:rsidR="004C493F" w:rsidRPr="00623B85">
        <w:t>.</w:t>
      </w:r>
      <w:r w:rsidR="00805A08" w:rsidRPr="00623B85">
        <w:t>4</w:t>
      </w:r>
      <w:r w:rsidR="009C241C" w:rsidRPr="00623B85">
        <w:tab/>
      </w:r>
      <w:r w:rsidR="00886CF2" w:rsidRPr="00623B85">
        <w:t>EMPIRICAL MODEL</w:t>
      </w:r>
      <w:bookmarkEnd w:id="423"/>
    </w:p>
    <w:bookmarkEnd w:id="420"/>
    <w:p w14:paraId="6D7F66A0" w14:textId="77777777" w:rsidR="00DB518C" w:rsidRPr="000C2097" w:rsidRDefault="00DB518C" w:rsidP="0066301C">
      <w:pPr>
        <w:spacing w:line="360" w:lineRule="auto"/>
        <w:jc w:val="both"/>
        <w:rPr>
          <w:rFonts w:ascii="Arial" w:hAnsi="Arial" w:cs="Arial"/>
          <w:lang w:eastAsia="en-GB"/>
        </w:rPr>
      </w:pPr>
      <w:r w:rsidRPr="000C2097">
        <w:rPr>
          <w:rFonts w:ascii="Arial" w:hAnsi="Arial" w:cs="Arial"/>
          <w:lang w:eastAsia="en-GB"/>
        </w:rPr>
        <w:t>Here, we specify the empirical model used to estimate the nature of the relationship between the REER and the TB of the individual CEMAC nations. These nations are small open economies and are price takers, implying that prices in the international market are settled by external institutions, and the CEMAC nations cannot influence the process. Thus, exports depend on the foreign income of the main destinations of CEMAC nations' exports and the REER of the CFA Franc (Dongfack and Ouyang, 2019)</w:t>
      </w:r>
      <w:r>
        <w:rPr>
          <w:rFonts w:ascii="Arial" w:hAnsi="Arial" w:cs="Arial"/>
          <w:lang w:eastAsia="en-GB"/>
        </w:rPr>
        <w:t>.</w:t>
      </w:r>
      <w:r>
        <w:rPr>
          <w:rStyle w:val="FootnoteReference"/>
          <w:rFonts w:ascii="Arial" w:hAnsi="Arial" w:cs="Arial"/>
          <w:lang w:eastAsia="en-GB"/>
        </w:rPr>
        <w:footnoteReference w:id="98"/>
      </w:r>
      <w:r w:rsidRPr="000C2097">
        <w:rPr>
          <w:rFonts w:ascii="Arial" w:hAnsi="Arial" w:cs="Arial"/>
          <w:lang w:eastAsia="en-GB"/>
        </w:rPr>
        <w:t xml:space="preserve"> However, China, Nepal, the Korean Republic, India, and the United States of America are among the main contributors to CEMAC nations' export revenue and are the most affected by the exchange rate fluctuations as the </w:t>
      </w:r>
      <w:r w:rsidRPr="000C2097">
        <w:rPr>
          <w:rFonts w:ascii="Arial" w:hAnsi="Arial" w:cs="Arial"/>
          <w:lang w:eastAsia="en-GB"/>
        </w:rPr>
        <w:lastRenderedPageBreak/>
        <w:t>CFA franc is not pegged to them. On the other hand, France, the Netherlands, the Republic of Ireland (Ireland), and Spain use the Euro to which the CFA franc is pegged. </w:t>
      </w:r>
    </w:p>
    <w:bookmarkEnd w:id="422"/>
    <w:p w14:paraId="2DDE637F" w14:textId="77777777" w:rsidR="008074F5" w:rsidRDefault="00DB518C" w:rsidP="0066301C">
      <w:pPr>
        <w:spacing w:after="200" w:line="360" w:lineRule="auto"/>
        <w:jc w:val="both"/>
        <w:rPr>
          <w:rFonts w:ascii="Arial" w:hAnsi="Arial" w:cs="Arial"/>
          <w:lang w:eastAsia="en-GB"/>
        </w:rPr>
      </w:pPr>
      <w:r w:rsidRPr="000C2097">
        <w:rPr>
          <w:rFonts w:ascii="Arial" w:hAnsi="Arial" w:cs="Arial"/>
          <w:lang w:eastAsia="en-GB"/>
        </w:rPr>
        <w:t>We start by defining the model, which follows the standard "two-country" imperfect substitute model (i.e., the bilateral aggregate data approach) developed by Rose and Yellen (R&amp;Y) (1989).</w:t>
      </w:r>
      <w:r>
        <w:rPr>
          <w:rStyle w:val="FootnoteReference"/>
          <w:rFonts w:ascii="Arial" w:hAnsi="Arial" w:cs="Arial"/>
          <w:lang w:eastAsia="en-GB"/>
        </w:rPr>
        <w:footnoteReference w:id="99"/>
      </w:r>
      <w:r w:rsidRPr="000C2097">
        <w:rPr>
          <w:rFonts w:ascii="Arial" w:hAnsi="Arial" w:cs="Arial"/>
          <w:lang w:eastAsia="en-GB"/>
        </w:rPr>
        <w:t> The key assumptions of the models are that neither exports nor imports are perfect substitutes for domestic goods, such that finite elasticities for demand and supply could be estimated for traded goods. The volume of imported goods demanded by domestic (foreign) residents positively depends on real domestic (foreign) income and negatively on the relative price of imported goods. The functional forms of the demand for exports and the demand for imports are:</w:t>
      </w:r>
    </w:p>
    <w:p w14:paraId="29E5AA21" w14:textId="1A7C4E8E" w:rsidR="00BB7939" w:rsidRPr="00623B85" w:rsidRDefault="00BB7939" w:rsidP="0066301C">
      <w:pPr>
        <w:spacing w:after="200" w:line="360" w:lineRule="auto"/>
        <w:jc w:val="center"/>
        <w:rPr>
          <w:rFonts w:ascii="Arial" w:hAnsi="Arial" w:cs="Arial"/>
        </w:rPr>
      </w:pPr>
      <w:r w:rsidRPr="00BB7939">
        <w:rPr>
          <w:rFonts w:ascii="Cambria Math" w:hAnsi="Cambria Math" w:cs="Arial"/>
          <w:i/>
          <w:vertAlign w:val="subscript"/>
        </w:rPr>
        <w:t xml:space="preserve"> </w:t>
      </w:r>
      <m:oMath>
        <m:sSub>
          <m:sSubPr>
            <m:ctrlPr>
              <w:rPr>
                <w:rFonts w:ascii="Cambria Math" w:hAnsi="Cambria Math" w:cs="Arial"/>
                <w:i/>
                <w:vertAlign w:val="subscript"/>
              </w:rPr>
            </m:ctrlPr>
          </m:sSubPr>
          <m:e>
            <m:r>
              <w:rPr>
                <w:rFonts w:ascii="Cambria Math" w:hAnsi="Cambria Math" w:cs="Arial"/>
              </w:rPr>
              <m:t>X</m:t>
            </m:r>
          </m:e>
          <m:sub>
            <m:r>
              <w:rPr>
                <w:rFonts w:ascii="Cambria Math" w:hAnsi="Cambria Math" w:cs="Arial"/>
                <w:vertAlign w:val="subscript"/>
              </w:rPr>
              <m:t>t</m:t>
            </m:r>
          </m:sub>
        </m:sSub>
        <m:r>
          <w:rPr>
            <w:rFonts w:ascii="Cambria Math" w:hAnsi="Cambria Math" w:cs="Arial"/>
          </w:rPr>
          <m:t>=f</m:t>
        </m:r>
        <m:r>
          <m:rPr>
            <m:sty m:val="p"/>
          </m:rPr>
          <w:rPr>
            <w:rFonts w:ascii="Cambria Math" w:hAnsi="Cambria Math" w:cs="Arial"/>
          </w:rPr>
          <m:t>(</m:t>
        </m:r>
        <m:sSub>
          <m:sSubPr>
            <m:ctrlPr>
              <w:rPr>
                <w:rFonts w:ascii="Cambria Math" w:hAnsi="Cambria Math" w:cs="Arial"/>
              </w:rPr>
            </m:ctrlPr>
          </m:sSubPr>
          <m:e>
            <m:r>
              <w:rPr>
                <w:rFonts w:ascii="Cambria Math" w:hAnsi="Cambria Math" w:cs="Arial"/>
              </w:rPr>
              <m:t>REER</m:t>
            </m:r>
          </m:e>
          <m:sub>
            <m:r>
              <w:rPr>
                <w:rFonts w:ascii="Cambria Math" w:hAnsi="Cambria Math" w:cs="Arial"/>
                <w:vertAlign w:val="subscript"/>
              </w:rPr>
              <m:t>t</m:t>
            </m:r>
          </m:sub>
        </m:sSub>
        <m:r>
          <w:rPr>
            <w:rFonts w:ascii="Cambria Math" w:hAnsi="Cambria Math" w:cs="Arial"/>
          </w:rPr>
          <m:t>,</m:t>
        </m:r>
        <m:sSub>
          <m:sSubPr>
            <m:ctrlPr>
              <w:rPr>
                <w:rFonts w:ascii="Cambria Math" w:hAnsi="Cambria Math" w:cs="Arial"/>
                <w:i/>
              </w:rPr>
            </m:ctrlPr>
          </m:sSubPr>
          <m:e>
            <m:r>
              <w:rPr>
                <w:rFonts w:ascii="Cambria Math" w:hAnsi="Cambria Math" w:cs="Arial"/>
              </w:rPr>
              <m:t>FI</m:t>
            </m:r>
          </m:e>
          <m:sub>
            <m:r>
              <w:rPr>
                <w:rFonts w:ascii="Cambria Math" w:hAnsi="Cambria Math" w:cs="Arial"/>
                <w:vertAlign w:val="subscript"/>
              </w:rPr>
              <m:t>t</m:t>
            </m:r>
          </m:sub>
        </m:sSub>
        <m:r>
          <m:rPr>
            <m:sty m:val="p"/>
          </m:rPr>
          <w:rPr>
            <w:rFonts w:ascii="Cambria Math" w:hAnsi="Cambria Math" w:cs="Arial"/>
          </w:rPr>
          <m:t>)+</m:t>
        </m:r>
        <m:sSub>
          <m:sSubPr>
            <m:ctrlPr>
              <w:rPr>
                <w:rFonts w:ascii="Cambria Math" w:hAnsi="Cambria Math" w:cs="Arial"/>
              </w:rPr>
            </m:ctrlPr>
          </m:sSubPr>
          <m:e>
            <m:r>
              <w:rPr>
                <w:rFonts w:ascii="Cambria Math" w:hAnsi="Cambria Math" w:cs="Arial"/>
              </w:rPr>
              <m:t>u</m:t>
            </m:r>
          </m:e>
          <m:sub>
            <m:r>
              <w:rPr>
                <w:rFonts w:ascii="Cambria Math" w:hAnsi="Cambria Math" w:cs="Arial"/>
              </w:rPr>
              <m:t>i</m:t>
            </m:r>
          </m:sub>
        </m:sSub>
      </m:oMath>
      <w:r w:rsidRPr="00623B85">
        <w:rPr>
          <w:rFonts w:ascii="Arial" w:eastAsiaTheme="minorEastAsia" w:hAnsi="Arial" w:cs="Arial"/>
        </w:rPr>
        <w:tab/>
      </w:r>
      <w:r w:rsidRPr="00623B85">
        <w:rPr>
          <w:rFonts w:ascii="Arial" w:eastAsiaTheme="minorEastAsia" w:hAnsi="Arial" w:cs="Arial"/>
        </w:rPr>
        <w:tab/>
      </w:r>
      <w:r w:rsidRPr="00623B85">
        <w:rPr>
          <w:rFonts w:ascii="Arial" w:eastAsiaTheme="minorEastAsia" w:hAnsi="Arial" w:cs="Arial"/>
        </w:rPr>
        <w:tab/>
      </w:r>
      <w:r>
        <w:rPr>
          <w:rFonts w:ascii="Arial" w:eastAsiaTheme="minorEastAsia" w:hAnsi="Arial" w:cs="Arial"/>
        </w:rPr>
        <w:t xml:space="preserve">                                      </w:t>
      </w:r>
      <w:r w:rsidRPr="00623B85">
        <w:rPr>
          <w:rFonts w:ascii="Arial" w:eastAsiaTheme="minorEastAsia" w:hAnsi="Arial" w:cs="Arial"/>
        </w:rPr>
        <w:t>(4.1)</w:t>
      </w:r>
    </w:p>
    <w:p w14:paraId="6ABC8476" w14:textId="77777777" w:rsidR="00BB7939" w:rsidRPr="00623B85" w:rsidRDefault="00000000" w:rsidP="0066301C">
      <w:pPr>
        <w:spacing w:after="0" w:line="360" w:lineRule="auto"/>
        <w:jc w:val="center"/>
        <w:rPr>
          <w:rFonts w:ascii="Arial" w:hAnsi="Arial" w:cs="Arial"/>
        </w:rPr>
      </w:pPr>
      <m:oMath>
        <m:sSub>
          <m:sSubPr>
            <m:ctrlPr>
              <w:rPr>
                <w:rFonts w:ascii="Cambria Math" w:hAnsi="Cambria Math" w:cs="Arial"/>
                <w:i/>
              </w:rPr>
            </m:ctrlPr>
          </m:sSubPr>
          <m:e>
            <m:r>
              <w:rPr>
                <w:rFonts w:ascii="Cambria Math" w:hAnsi="Cambria Math" w:cs="Arial"/>
              </w:rPr>
              <m:t>M</m:t>
            </m:r>
          </m:e>
          <m:sub>
            <m:r>
              <w:rPr>
                <w:rFonts w:ascii="Cambria Math" w:hAnsi="Cambria Math" w:cs="Arial"/>
                <w:vertAlign w:val="subscript"/>
              </w:rPr>
              <m:t>t</m:t>
            </m:r>
          </m:sub>
        </m:sSub>
        <m:r>
          <w:rPr>
            <w:rFonts w:ascii="Cambria Math" w:hAnsi="Cambria Math" w:cs="Arial"/>
          </w:rPr>
          <m:t>=f</m:t>
        </m:r>
        <m:r>
          <m:rPr>
            <m:sty m:val="p"/>
          </m:rPr>
          <w:rPr>
            <w:rFonts w:ascii="Cambria Math" w:hAnsi="Cambria Math" w:cs="Arial"/>
          </w:rPr>
          <m:t>(</m:t>
        </m:r>
        <m:sSub>
          <m:sSubPr>
            <m:ctrlPr>
              <w:rPr>
                <w:rFonts w:ascii="Cambria Math" w:hAnsi="Cambria Math" w:cs="Arial"/>
              </w:rPr>
            </m:ctrlPr>
          </m:sSubPr>
          <m:e>
            <m:r>
              <w:rPr>
                <w:rFonts w:ascii="Cambria Math" w:hAnsi="Cambria Math" w:cs="Arial"/>
              </w:rPr>
              <m:t>REER</m:t>
            </m:r>
          </m:e>
          <m:sub>
            <m:r>
              <w:rPr>
                <w:rFonts w:ascii="Cambria Math" w:hAnsi="Cambria Math" w:cs="Arial"/>
                <w:vertAlign w:val="subscript"/>
              </w:rPr>
              <m:t>t</m:t>
            </m:r>
          </m:sub>
        </m:sSub>
        <m:r>
          <w:rPr>
            <w:rFonts w:ascii="Cambria Math" w:hAnsi="Cambria Math" w:cs="Arial"/>
          </w:rPr>
          <m:t xml:space="preserve">, </m:t>
        </m:r>
        <m:sSub>
          <m:sSubPr>
            <m:ctrlPr>
              <w:rPr>
                <w:rFonts w:ascii="Cambria Math" w:hAnsi="Cambria Math" w:cs="Arial"/>
                <w:i/>
              </w:rPr>
            </m:ctrlPr>
          </m:sSubPr>
          <m:e>
            <m:r>
              <w:rPr>
                <w:rFonts w:ascii="Cambria Math" w:hAnsi="Cambria Math" w:cs="Arial"/>
              </w:rPr>
              <m:t>DI</m:t>
            </m:r>
          </m:e>
          <m:sub>
            <m:r>
              <w:rPr>
                <w:rFonts w:ascii="Cambria Math" w:hAnsi="Cambria Math" w:cs="Arial"/>
                <w:vertAlign w:val="subscript"/>
              </w:rPr>
              <m:t>t</m:t>
            </m:r>
          </m:sub>
        </m:sSub>
        <m:r>
          <m:rPr>
            <m:sty m:val="p"/>
          </m:rPr>
          <w:rPr>
            <w:rFonts w:ascii="Cambria Math" w:hAnsi="Cambria Math" w:cs="Arial"/>
          </w:rPr>
          <m:t>)+</m:t>
        </m:r>
        <m:sSub>
          <m:sSubPr>
            <m:ctrlPr>
              <w:rPr>
                <w:rFonts w:ascii="Cambria Math" w:hAnsi="Cambria Math" w:cs="Arial"/>
              </w:rPr>
            </m:ctrlPr>
          </m:sSubPr>
          <m:e>
            <m:r>
              <w:rPr>
                <w:rFonts w:ascii="Cambria Math" w:hAnsi="Cambria Math" w:cs="Arial"/>
              </w:rPr>
              <m:t>v</m:t>
            </m:r>
          </m:e>
          <m:sub>
            <m:r>
              <w:rPr>
                <w:rFonts w:ascii="Cambria Math" w:hAnsi="Cambria Math" w:cs="Arial"/>
                <w:vertAlign w:val="subscript"/>
              </w:rPr>
              <m:t>i</m:t>
            </m:r>
          </m:sub>
        </m:sSub>
      </m:oMath>
      <w:r w:rsidR="00BB7939" w:rsidRPr="00623B85">
        <w:rPr>
          <w:rFonts w:ascii="Arial" w:eastAsiaTheme="minorEastAsia" w:hAnsi="Arial" w:cs="Arial"/>
          <w:i/>
        </w:rPr>
        <w:tab/>
      </w:r>
      <w:r w:rsidR="00BB7939" w:rsidRPr="00623B85">
        <w:rPr>
          <w:rFonts w:ascii="Arial" w:eastAsiaTheme="minorEastAsia" w:hAnsi="Arial" w:cs="Arial"/>
          <w:i/>
        </w:rPr>
        <w:tab/>
      </w:r>
      <w:r w:rsidR="00BB7939" w:rsidRPr="00623B85">
        <w:rPr>
          <w:rFonts w:ascii="Arial" w:eastAsiaTheme="minorEastAsia" w:hAnsi="Arial" w:cs="Arial"/>
          <w:i/>
        </w:rPr>
        <w:tab/>
      </w:r>
      <w:r w:rsidR="00BB7939">
        <w:rPr>
          <w:rFonts w:ascii="Arial" w:eastAsiaTheme="minorEastAsia" w:hAnsi="Arial" w:cs="Arial"/>
          <w:i/>
        </w:rPr>
        <w:t xml:space="preserve">                                      </w:t>
      </w:r>
      <w:r w:rsidR="00BB7939" w:rsidRPr="00623B85">
        <w:rPr>
          <w:rFonts w:ascii="Arial" w:eastAsiaTheme="minorEastAsia" w:hAnsi="Arial" w:cs="Arial"/>
          <w:i/>
        </w:rPr>
        <w:t xml:space="preserve"> </w:t>
      </w:r>
      <w:r w:rsidR="00BB7939" w:rsidRPr="00623B85">
        <w:rPr>
          <w:rFonts w:ascii="Arial" w:eastAsiaTheme="minorEastAsia" w:hAnsi="Arial" w:cs="Arial"/>
        </w:rPr>
        <w:t>(4.2)</w:t>
      </w:r>
    </w:p>
    <w:p w14:paraId="5D327FDA" w14:textId="77777777" w:rsidR="00BB7939" w:rsidRPr="00623B85" w:rsidRDefault="00BB7939" w:rsidP="0066301C">
      <w:pPr>
        <w:spacing w:after="0" w:line="360" w:lineRule="auto"/>
        <w:jc w:val="both"/>
        <w:rPr>
          <w:rFonts w:ascii="Arial" w:hAnsi="Arial" w:cs="Arial"/>
        </w:rPr>
      </w:pPr>
      <w:r w:rsidRPr="00623B85">
        <w:rPr>
          <w:rFonts w:ascii="Arial" w:hAnsi="Arial" w:cs="Arial"/>
        </w:rPr>
        <w:t xml:space="preserve">Whereby, </w:t>
      </w:r>
      <w:r w:rsidRPr="00623B85">
        <w:rPr>
          <w:rFonts w:ascii="Arial" w:hAnsi="Arial" w:cs="Arial"/>
          <w:i/>
        </w:rPr>
        <w:t>X</w:t>
      </w:r>
      <w:r w:rsidRPr="00623B85">
        <w:rPr>
          <w:rFonts w:ascii="Arial" w:hAnsi="Arial" w:cs="Arial"/>
          <w:i/>
          <w:vertAlign w:val="subscript"/>
        </w:rPr>
        <w:t xml:space="preserve">t </w:t>
      </w:r>
      <w:r w:rsidRPr="00623B85">
        <w:rPr>
          <w:rFonts w:ascii="Arial" w:hAnsi="Arial" w:cs="Arial"/>
        </w:rPr>
        <w:t xml:space="preserve">= CEMAC nations real exports of goods and services. </w:t>
      </w:r>
    </w:p>
    <w:p w14:paraId="755FB7FE" w14:textId="77777777" w:rsidR="00BB7939" w:rsidRPr="00623B85" w:rsidRDefault="00BB7939" w:rsidP="0066301C">
      <w:pPr>
        <w:spacing w:after="0" w:line="360" w:lineRule="auto"/>
        <w:jc w:val="both"/>
        <w:rPr>
          <w:rFonts w:ascii="Arial" w:hAnsi="Arial" w:cs="Arial"/>
        </w:rPr>
      </w:pPr>
      <w:r w:rsidRPr="00623B85">
        <w:rPr>
          <w:rFonts w:ascii="Arial" w:hAnsi="Arial" w:cs="Arial"/>
          <w:i/>
        </w:rPr>
        <w:t>M</w:t>
      </w:r>
      <w:r w:rsidRPr="00623B85">
        <w:rPr>
          <w:rFonts w:ascii="Arial" w:hAnsi="Arial" w:cs="Arial"/>
          <w:i/>
          <w:vertAlign w:val="subscript"/>
        </w:rPr>
        <w:t xml:space="preserve">t </w:t>
      </w:r>
      <w:r w:rsidRPr="00623B85">
        <w:rPr>
          <w:rFonts w:ascii="Arial" w:hAnsi="Arial" w:cs="Arial"/>
        </w:rPr>
        <w:t xml:space="preserve">= CEMAC nations real imports of goods and services. </w:t>
      </w:r>
    </w:p>
    <w:p w14:paraId="74227764" w14:textId="77777777" w:rsidR="00BB7939" w:rsidRPr="00623B85" w:rsidRDefault="00BB7939" w:rsidP="0066301C">
      <w:pPr>
        <w:spacing w:after="0" w:line="360" w:lineRule="auto"/>
        <w:jc w:val="both"/>
        <w:rPr>
          <w:rFonts w:ascii="Arial" w:hAnsi="Arial" w:cs="Arial"/>
        </w:rPr>
      </w:pPr>
      <w:r w:rsidRPr="00623B85">
        <w:rPr>
          <w:rFonts w:ascii="Arial" w:hAnsi="Arial" w:cs="Arial"/>
          <w:i/>
        </w:rPr>
        <w:t>REER</w:t>
      </w:r>
      <w:r w:rsidRPr="00623B85">
        <w:rPr>
          <w:rFonts w:ascii="Arial" w:hAnsi="Arial" w:cs="Arial"/>
          <w:i/>
          <w:vertAlign w:val="subscript"/>
        </w:rPr>
        <w:t xml:space="preserve">t </w:t>
      </w:r>
      <w:r w:rsidRPr="00623B85">
        <w:rPr>
          <w:rFonts w:ascii="Arial" w:hAnsi="Arial" w:cs="Arial"/>
        </w:rPr>
        <w:t xml:space="preserve">= CEMAC nations real effective exchange rate. </w:t>
      </w:r>
    </w:p>
    <w:p w14:paraId="694B3BB9" w14:textId="77777777" w:rsidR="00BB7939" w:rsidRPr="00623B85" w:rsidRDefault="00BB7939" w:rsidP="0066301C">
      <w:pPr>
        <w:spacing w:after="0" w:line="360" w:lineRule="auto"/>
        <w:jc w:val="both"/>
        <w:rPr>
          <w:rFonts w:ascii="Arial" w:hAnsi="Arial" w:cs="Arial"/>
        </w:rPr>
      </w:pPr>
      <w:r w:rsidRPr="00623B85">
        <w:rPr>
          <w:rFonts w:ascii="Arial" w:hAnsi="Arial" w:cs="Arial"/>
          <w:i/>
        </w:rPr>
        <w:t>DI</w:t>
      </w:r>
      <w:r w:rsidRPr="00623B85">
        <w:rPr>
          <w:rFonts w:ascii="Arial" w:hAnsi="Arial" w:cs="Arial"/>
          <w:i/>
          <w:vertAlign w:val="subscript"/>
        </w:rPr>
        <w:t>t</w:t>
      </w:r>
      <w:r w:rsidRPr="00623B85">
        <w:rPr>
          <w:rFonts w:ascii="Arial" w:hAnsi="Arial" w:cs="Arial"/>
          <w:i/>
        </w:rPr>
        <w:t xml:space="preserve"> </w:t>
      </w:r>
      <w:r w:rsidRPr="00623B85">
        <w:rPr>
          <w:rFonts w:ascii="Arial" w:hAnsi="Arial" w:cs="Arial"/>
        </w:rPr>
        <w:t xml:space="preserve">= Domestic income, proxy by CEMAC individual nation’s GDPs. </w:t>
      </w:r>
    </w:p>
    <w:p w14:paraId="063F26EA" w14:textId="77777777" w:rsidR="00BB7939" w:rsidRPr="00623B85" w:rsidRDefault="00BB7939" w:rsidP="0066301C">
      <w:pPr>
        <w:spacing w:after="0" w:line="360" w:lineRule="auto"/>
        <w:jc w:val="both"/>
        <w:rPr>
          <w:rFonts w:ascii="Arial" w:hAnsi="Arial" w:cs="Arial"/>
        </w:rPr>
      </w:pPr>
      <w:r w:rsidRPr="00623B85">
        <w:rPr>
          <w:rFonts w:ascii="Arial" w:hAnsi="Arial" w:cs="Arial"/>
          <w:i/>
        </w:rPr>
        <w:t>FI</w:t>
      </w:r>
      <w:r w:rsidRPr="00623B85">
        <w:rPr>
          <w:rFonts w:ascii="Arial" w:hAnsi="Arial" w:cs="Arial"/>
          <w:i/>
          <w:vertAlign w:val="subscript"/>
        </w:rPr>
        <w:t>t</w:t>
      </w:r>
      <w:r w:rsidRPr="00623B85">
        <w:rPr>
          <w:rFonts w:ascii="Arial" w:hAnsi="Arial" w:cs="Arial"/>
        </w:rPr>
        <w:t xml:space="preserve"> = Foreign income, proxy by main trading partners’ GDP </w:t>
      </w:r>
    </w:p>
    <w:p w14:paraId="3FC49867" w14:textId="77777777" w:rsidR="00BB7939" w:rsidRPr="00623B85" w:rsidRDefault="00BB7939" w:rsidP="0066301C">
      <w:pPr>
        <w:spacing w:after="0" w:line="360" w:lineRule="auto"/>
        <w:jc w:val="both"/>
        <w:rPr>
          <w:rFonts w:ascii="Arial" w:hAnsi="Arial" w:cs="Arial"/>
        </w:rPr>
      </w:pPr>
      <w:r w:rsidRPr="00623B85">
        <w:rPr>
          <w:rFonts w:ascii="Arial" w:hAnsi="Arial" w:cs="Arial"/>
          <w:i/>
        </w:rPr>
        <w:t>u</w:t>
      </w:r>
      <w:r w:rsidRPr="00623B85">
        <w:rPr>
          <w:rFonts w:ascii="Arial" w:hAnsi="Arial" w:cs="Arial"/>
          <w:i/>
          <w:vertAlign w:val="subscript"/>
        </w:rPr>
        <w:t xml:space="preserve">i </w:t>
      </w:r>
      <w:r w:rsidRPr="00623B85">
        <w:rPr>
          <w:rFonts w:ascii="Arial" w:hAnsi="Arial" w:cs="Arial"/>
          <w:i/>
        </w:rPr>
        <w:t xml:space="preserve"> </w:t>
      </w:r>
      <w:r w:rsidRPr="00623B85">
        <w:rPr>
          <w:rFonts w:ascii="Arial" w:hAnsi="Arial" w:cs="Arial"/>
        </w:rPr>
        <w:t>and</w:t>
      </w:r>
      <w:r w:rsidRPr="00623B85">
        <w:rPr>
          <w:rFonts w:ascii="Arial" w:hAnsi="Arial" w:cs="Arial"/>
          <w:i/>
          <w:vertAlign w:val="subscript"/>
        </w:rPr>
        <w:t xml:space="preserve"> </w:t>
      </w:r>
      <w:r w:rsidRPr="00623B85">
        <w:rPr>
          <w:rFonts w:ascii="Arial" w:hAnsi="Arial" w:cs="Arial"/>
          <w:i/>
        </w:rPr>
        <w:t>v</w:t>
      </w:r>
      <w:r w:rsidRPr="00623B85">
        <w:rPr>
          <w:rFonts w:ascii="Arial" w:hAnsi="Arial" w:cs="Arial"/>
          <w:i/>
          <w:vertAlign w:val="subscript"/>
        </w:rPr>
        <w:t>i</w:t>
      </w:r>
      <w:r w:rsidRPr="00623B85">
        <w:rPr>
          <w:rFonts w:ascii="Arial" w:hAnsi="Arial" w:cs="Arial"/>
        </w:rPr>
        <w:t xml:space="preserve"> are the disturbing terms. </w:t>
      </w:r>
    </w:p>
    <w:p w14:paraId="74178680" w14:textId="77777777" w:rsidR="00BB7939" w:rsidRPr="00623B85" w:rsidRDefault="00BB7939" w:rsidP="0066301C">
      <w:pPr>
        <w:spacing w:after="0" w:line="360" w:lineRule="auto"/>
        <w:jc w:val="both"/>
        <w:rPr>
          <w:rFonts w:ascii="Arial" w:hAnsi="Arial" w:cs="Arial"/>
        </w:rPr>
      </w:pPr>
      <w:r w:rsidRPr="00623B85">
        <w:rPr>
          <w:rFonts w:ascii="Arial" w:hAnsi="Arial" w:cs="Arial"/>
        </w:rPr>
        <w:t>The functional and explicit forms of the model is:</w:t>
      </w:r>
    </w:p>
    <w:p w14:paraId="458FC998" w14:textId="77777777" w:rsidR="00BB7939" w:rsidRPr="00623B85" w:rsidRDefault="00000000" w:rsidP="0066301C">
      <w:pPr>
        <w:spacing w:after="0" w:line="360" w:lineRule="auto"/>
        <w:jc w:val="center"/>
        <w:rPr>
          <w:rFonts w:ascii="Arial" w:eastAsiaTheme="minorEastAsia" w:hAnsi="Arial" w:cs="Arial"/>
        </w:rPr>
      </w:pPr>
      <m:oMath>
        <m:sSub>
          <m:sSubPr>
            <m:ctrlPr>
              <w:rPr>
                <w:rFonts w:ascii="Cambria Math" w:hAnsi="Cambria Math" w:cs="Arial"/>
                <w:i/>
              </w:rPr>
            </m:ctrlPr>
          </m:sSubPr>
          <m:e>
            <m:r>
              <w:rPr>
                <w:rFonts w:ascii="Cambria Math" w:hAnsi="Cambria Math" w:cs="Arial"/>
              </w:rPr>
              <m:t>TB</m:t>
            </m:r>
          </m:e>
          <m:sub>
            <m:r>
              <w:rPr>
                <w:rFonts w:ascii="Cambria Math" w:hAnsi="Cambria Math" w:cs="Arial"/>
                <w:vertAlign w:val="subscript"/>
              </w:rPr>
              <m:t>t</m:t>
            </m:r>
          </m:sub>
        </m:sSub>
        <m:r>
          <m:rPr>
            <m:sty m:val="p"/>
          </m:rPr>
          <w:rPr>
            <w:rFonts w:ascii="Cambria Math" w:hAnsi="Cambria Math" w:cs="Arial"/>
          </w:rPr>
          <m:t>=</m:t>
        </m:r>
        <m:r>
          <w:rPr>
            <w:rFonts w:ascii="Cambria Math" w:hAnsi="Cambria Math" w:cs="Arial"/>
          </w:rPr>
          <m:t>f</m:t>
        </m:r>
        <m:r>
          <m:rPr>
            <m:sty m:val="p"/>
          </m:rPr>
          <w:rPr>
            <w:rFonts w:ascii="Cambria Math" w:hAnsi="Cambria Math" w:cs="Arial"/>
          </w:rPr>
          <m:t>(</m:t>
        </m:r>
        <m:sSub>
          <m:sSubPr>
            <m:ctrlPr>
              <w:rPr>
                <w:rFonts w:ascii="Cambria Math" w:hAnsi="Cambria Math" w:cs="Arial"/>
              </w:rPr>
            </m:ctrlPr>
          </m:sSubPr>
          <m:e>
            <m:r>
              <w:rPr>
                <w:rFonts w:ascii="Cambria Math" w:hAnsi="Cambria Math" w:cs="Arial"/>
              </w:rPr>
              <m:t>REER</m:t>
            </m:r>
          </m:e>
          <m:sub>
            <m:r>
              <w:rPr>
                <w:rFonts w:ascii="Cambria Math" w:hAnsi="Cambria Math" w:cs="Arial"/>
                <w:vertAlign w:val="subscript"/>
              </w:rPr>
              <m:t>t</m:t>
            </m:r>
          </m:sub>
        </m:sSub>
        <m:r>
          <m:rPr>
            <m:sty m:val="p"/>
          </m:rPr>
          <w:rPr>
            <w:rFonts w:ascii="Cambria Math" w:hAnsi="Cambria Math" w:cs="Arial"/>
          </w:rPr>
          <m:t>,</m:t>
        </m:r>
        <m:sSub>
          <m:sSubPr>
            <m:ctrlPr>
              <w:rPr>
                <w:rFonts w:ascii="Cambria Math" w:hAnsi="Cambria Math" w:cs="Arial"/>
              </w:rPr>
            </m:ctrlPr>
          </m:sSubPr>
          <m:e>
            <m:r>
              <w:rPr>
                <w:rFonts w:ascii="Cambria Math" w:hAnsi="Cambria Math" w:cs="Arial"/>
              </w:rPr>
              <m:t>DI</m:t>
            </m:r>
          </m:e>
          <m:sub>
            <m:r>
              <w:rPr>
                <w:rFonts w:ascii="Cambria Math" w:hAnsi="Cambria Math" w:cs="Arial"/>
                <w:vertAlign w:val="subscript"/>
              </w:rPr>
              <m:t>t</m:t>
            </m:r>
          </m:sub>
        </m:sSub>
        <m:r>
          <w:rPr>
            <w:rFonts w:ascii="Cambria Math" w:hAnsi="Cambria Math" w:cs="Arial"/>
          </w:rPr>
          <m:t>,</m:t>
        </m:r>
        <m:sSub>
          <m:sSubPr>
            <m:ctrlPr>
              <w:rPr>
                <w:rFonts w:ascii="Cambria Math" w:hAnsi="Cambria Math" w:cs="Arial"/>
                <w:i/>
              </w:rPr>
            </m:ctrlPr>
          </m:sSubPr>
          <m:e>
            <m:r>
              <w:rPr>
                <w:rFonts w:ascii="Cambria Math" w:hAnsi="Cambria Math" w:cs="Arial"/>
              </w:rPr>
              <m:t>FI</m:t>
            </m:r>
          </m:e>
          <m:sub>
            <m:r>
              <w:rPr>
                <w:rFonts w:ascii="Cambria Math" w:hAnsi="Cambria Math" w:cs="Arial"/>
                <w:vertAlign w:val="subscript"/>
              </w:rPr>
              <m:t>ti</m:t>
            </m:r>
          </m:sub>
        </m:sSub>
        <m:r>
          <m:rPr>
            <m:sty m:val="p"/>
          </m:rPr>
          <w:rPr>
            <w:rFonts w:ascii="Cambria Math" w:hAnsi="Cambria Math" w:cs="Arial"/>
          </w:rPr>
          <m:t>)+</m:t>
        </m:r>
        <m:sSub>
          <m:sSubPr>
            <m:ctrlPr>
              <w:rPr>
                <w:rFonts w:ascii="Cambria Math" w:hAnsi="Cambria Math" w:cs="Arial"/>
              </w:rPr>
            </m:ctrlPr>
          </m:sSubPr>
          <m:e>
            <m:r>
              <w:rPr>
                <w:rFonts w:ascii="Cambria Math" w:hAnsi="Cambria Math" w:cs="Arial"/>
              </w:rPr>
              <m:t>ε</m:t>
            </m:r>
          </m:e>
          <m:sub>
            <m:r>
              <w:rPr>
                <w:rFonts w:ascii="Cambria Math" w:hAnsi="Cambria Math" w:cs="Arial"/>
                <w:vertAlign w:val="subscript"/>
              </w:rPr>
              <m:t>i</m:t>
            </m:r>
          </m:sub>
        </m:sSub>
      </m:oMath>
      <w:r w:rsidR="00BB7939" w:rsidRPr="00623B85">
        <w:rPr>
          <w:rFonts w:ascii="Arial" w:eastAsiaTheme="minorEastAsia" w:hAnsi="Arial" w:cs="Arial"/>
        </w:rPr>
        <w:tab/>
      </w:r>
      <w:r w:rsidR="00BB7939" w:rsidRPr="00623B85">
        <w:rPr>
          <w:rFonts w:ascii="Arial" w:eastAsiaTheme="minorEastAsia" w:hAnsi="Arial" w:cs="Arial"/>
        </w:rPr>
        <w:tab/>
      </w:r>
      <w:r w:rsidR="00BB7939" w:rsidRPr="00623B85">
        <w:rPr>
          <w:rFonts w:ascii="Arial" w:eastAsiaTheme="minorEastAsia" w:hAnsi="Arial" w:cs="Arial"/>
        </w:rPr>
        <w:tab/>
      </w:r>
      <w:r w:rsidR="00BB7939">
        <w:rPr>
          <w:rFonts w:ascii="Arial" w:eastAsiaTheme="minorEastAsia" w:hAnsi="Arial" w:cs="Arial"/>
        </w:rPr>
        <w:t xml:space="preserve">                        </w:t>
      </w:r>
      <w:r w:rsidR="00BB7939" w:rsidRPr="00623B85">
        <w:rPr>
          <w:rFonts w:ascii="Arial" w:eastAsiaTheme="minorEastAsia" w:hAnsi="Arial" w:cs="Arial"/>
        </w:rPr>
        <w:tab/>
        <w:t>(4.3)</w:t>
      </w:r>
    </w:p>
    <w:p w14:paraId="3835B80B" w14:textId="77777777" w:rsidR="00BB7939" w:rsidRPr="00623B85" w:rsidRDefault="00000000" w:rsidP="0066301C">
      <w:pPr>
        <w:spacing w:line="360" w:lineRule="auto"/>
        <w:jc w:val="center"/>
        <w:rPr>
          <w:rFonts w:ascii="Arial" w:eastAsiaTheme="minorEastAsia" w:hAnsi="Arial" w:cs="Arial"/>
        </w:rPr>
      </w:pPr>
      <m:oMath>
        <m:sSub>
          <m:sSubPr>
            <m:ctrlPr>
              <w:rPr>
                <w:rFonts w:ascii="Cambria Math" w:hAnsi="Cambria Math" w:cs="Arial"/>
                <w:i/>
              </w:rPr>
            </m:ctrlPr>
          </m:sSubPr>
          <m:e>
            <m:r>
              <w:rPr>
                <w:rFonts w:ascii="Cambria Math" w:hAnsi="Cambria Math" w:cs="Arial"/>
              </w:rPr>
              <m:t>TB</m:t>
            </m:r>
          </m:e>
          <m:sub>
            <m:r>
              <w:rPr>
                <w:rFonts w:ascii="Cambria Math" w:hAnsi="Cambria Math" w:cs="Arial"/>
                <w:vertAlign w:val="subscript"/>
              </w:rPr>
              <m:t>t</m:t>
            </m:r>
          </m:sub>
        </m:sSub>
        <m:r>
          <m:rPr>
            <m:sty m:val="p"/>
          </m:rPr>
          <w:rPr>
            <w:rFonts w:ascii="Cambria Math" w:hAnsi="Cambria Math" w:cs="Arial"/>
          </w:rPr>
          <m:t>=</m:t>
        </m:r>
        <m:r>
          <w:rPr>
            <w:rFonts w:ascii="Cambria Math" w:hAnsi="Cambria Math" w:cs="Arial"/>
          </w:rPr>
          <m:t>α</m:t>
        </m:r>
        <m:r>
          <m:rPr>
            <m:sty m:val="p"/>
          </m:rPr>
          <w:rPr>
            <w:rFonts w:ascii="Cambria Math" w:hAnsi="Cambria Math" w:cs="Arial"/>
          </w:rPr>
          <m:t>+</m:t>
        </m:r>
        <m:sSub>
          <m:sSubPr>
            <m:ctrlPr>
              <w:rPr>
                <w:rFonts w:ascii="Cambria Math" w:hAnsi="Cambria Math" w:cs="Arial"/>
              </w:rPr>
            </m:ctrlPr>
          </m:sSubPr>
          <m:e>
            <m:r>
              <w:rPr>
                <w:rFonts w:ascii="Cambria Math" w:hAnsi="Cambria Math" w:cs="Arial"/>
              </w:rPr>
              <m:t>β</m:t>
            </m:r>
          </m:e>
          <m:sub>
            <m:r>
              <m:rPr>
                <m:sty m:val="p"/>
              </m:rPr>
              <w:rPr>
                <w:rFonts w:ascii="Cambria Math" w:hAnsi="Cambria Math" w:cs="Arial"/>
                <w:vertAlign w:val="subscript"/>
              </w:rPr>
              <m:t>1</m:t>
            </m:r>
          </m:sub>
        </m:sSub>
        <m:sSub>
          <m:sSubPr>
            <m:ctrlPr>
              <w:rPr>
                <w:rFonts w:ascii="Cambria Math" w:hAnsi="Cambria Math" w:cs="Arial"/>
                <w:i/>
              </w:rPr>
            </m:ctrlPr>
          </m:sSubPr>
          <m:e>
            <m:r>
              <w:rPr>
                <w:rFonts w:ascii="Cambria Math" w:hAnsi="Cambria Math" w:cs="Arial"/>
              </w:rPr>
              <m:t>REER</m:t>
            </m:r>
          </m:e>
          <m:sub>
            <m:r>
              <w:rPr>
                <w:rFonts w:ascii="Cambria Math" w:hAnsi="Cambria Math" w:cs="Arial"/>
                <w:vertAlign w:val="subscript"/>
              </w:rPr>
              <m:t>t</m:t>
            </m:r>
          </m:sub>
        </m:sSub>
        <m:r>
          <m:rPr>
            <m:sty m:val="p"/>
          </m:rPr>
          <w:rPr>
            <w:rFonts w:ascii="Cambria Math" w:hAnsi="Cambria Math" w:cs="Arial"/>
          </w:rPr>
          <m:t>+</m:t>
        </m:r>
        <m:sSub>
          <m:sSubPr>
            <m:ctrlPr>
              <w:rPr>
                <w:rFonts w:ascii="Cambria Math" w:hAnsi="Cambria Math" w:cs="Arial"/>
              </w:rPr>
            </m:ctrlPr>
          </m:sSubPr>
          <m:e>
            <m:r>
              <w:rPr>
                <w:rFonts w:ascii="Cambria Math" w:hAnsi="Cambria Math" w:cs="Arial"/>
              </w:rPr>
              <m:t>β</m:t>
            </m:r>
          </m:e>
          <m:sub>
            <m:r>
              <m:rPr>
                <m:sty m:val="p"/>
              </m:rPr>
              <w:rPr>
                <w:rFonts w:ascii="Cambria Math" w:hAnsi="Cambria Math" w:cs="Arial"/>
                <w:vertAlign w:val="subscript"/>
              </w:rPr>
              <m:t>2</m:t>
            </m:r>
          </m:sub>
        </m:sSub>
        <m:sSub>
          <m:sSubPr>
            <m:ctrlPr>
              <w:rPr>
                <w:rFonts w:ascii="Cambria Math" w:hAnsi="Cambria Math" w:cs="Arial"/>
                <w:i/>
              </w:rPr>
            </m:ctrlPr>
          </m:sSubPr>
          <m:e>
            <m:r>
              <w:rPr>
                <w:rFonts w:ascii="Cambria Math" w:hAnsi="Cambria Math" w:cs="Arial"/>
              </w:rPr>
              <m:t>DI</m:t>
            </m:r>
          </m:e>
          <m:sub>
            <m:r>
              <w:rPr>
                <w:rFonts w:ascii="Cambria Math" w:hAnsi="Cambria Math" w:cs="Arial"/>
                <w:vertAlign w:val="subscript"/>
              </w:rPr>
              <m:t>t</m:t>
            </m:r>
          </m:sub>
        </m:sSub>
        <m:r>
          <m:rPr>
            <m:sty m:val="p"/>
          </m:rPr>
          <w:rPr>
            <w:rFonts w:ascii="Cambria Math" w:hAnsi="Cambria Math" w:cs="Arial"/>
          </w:rPr>
          <m:t>+</m:t>
        </m:r>
        <m:sSub>
          <m:sSubPr>
            <m:ctrlPr>
              <w:rPr>
                <w:rFonts w:ascii="Cambria Math" w:hAnsi="Cambria Math" w:cs="Arial"/>
              </w:rPr>
            </m:ctrlPr>
          </m:sSubPr>
          <m:e>
            <m:r>
              <w:rPr>
                <w:rFonts w:ascii="Cambria Math" w:hAnsi="Cambria Math" w:cs="Arial"/>
              </w:rPr>
              <m:t>β</m:t>
            </m:r>
          </m:e>
          <m:sub>
            <m:r>
              <m:rPr>
                <m:sty m:val="p"/>
              </m:rPr>
              <w:rPr>
                <w:rFonts w:ascii="Cambria Math" w:hAnsi="Cambria Math" w:cs="Arial"/>
                <w:vertAlign w:val="subscript"/>
              </w:rPr>
              <m:t>3</m:t>
            </m:r>
          </m:sub>
        </m:sSub>
        <m:sSub>
          <m:sSubPr>
            <m:ctrlPr>
              <w:rPr>
                <w:rFonts w:ascii="Cambria Math" w:hAnsi="Cambria Math" w:cs="Arial"/>
                <w:i/>
              </w:rPr>
            </m:ctrlPr>
          </m:sSubPr>
          <m:e>
            <m:r>
              <w:rPr>
                <w:rFonts w:ascii="Cambria Math" w:hAnsi="Cambria Math" w:cs="Arial"/>
              </w:rPr>
              <m:t>FI</m:t>
            </m:r>
          </m:e>
          <m:sub>
            <m:r>
              <w:rPr>
                <w:rFonts w:ascii="Cambria Math" w:hAnsi="Cambria Math" w:cs="Arial"/>
                <w:vertAlign w:val="subscript"/>
              </w:rPr>
              <m:t>t</m:t>
            </m:r>
          </m:sub>
        </m:sSub>
        <m:r>
          <m:rPr>
            <m:sty m:val="p"/>
          </m:rPr>
          <w:rPr>
            <w:rFonts w:ascii="Cambria Math" w:hAnsi="Cambria Math" w:cs="Arial"/>
          </w:rPr>
          <m:t>+</m:t>
        </m:r>
        <m:sSub>
          <m:sSubPr>
            <m:ctrlPr>
              <w:rPr>
                <w:rFonts w:ascii="Cambria Math" w:hAnsi="Cambria Math" w:cs="Arial"/>
              </w:rPr>
            </m:ctrlPr>
          </m:sSubPr>
          <m:e>
            <m:r>
              <w:rPr>
                <w:rFonts w:ascii="Cambria Math" w:hAnsi="Cambria Math" w:cs="Arial"/>
              </w:rPr>
              <m:t>ε</m:t>
            </m:r>
          </m:e>
          <m:sub>
            <m:r>
              <w:rPr>
                <w:rFonts w:ascii="Cambria Math" w:hAnsi="Cambria Math" w:cs="Arial"/>
                <w:vertAlign w:val="subscript"/>
              </w:rPr>
              <m:t>i</m:t>
            </m:r>
          </m:sub>
        </m:sSub>
        <m:r>
          <m:rPr>
            <m:sty m:val="p"/>
          </m:rPr>
          <w:rPr>
            <w:rFonts w:ascii="Cambria Math" w:hAnsi="Cambria Math" w:cs="Arial"/>
          </w:rPr>
          <m:t xml:space="preserve"> </m:t>
        </m:r>
      </m:oMath>
      <w:r w:rsidR="00BB7939" w:rsidRPr="00623B85">
        <w:rPr>
          <w:rFonts w:ascii="Arial" w:eastAsiaTheme="minorEastAsia" w:hAnsi="Arial" w:cs="Arial"/>
        </w:rPr>
        <w:tab/>
      </w:r>
      <w:r w:rsidR="00BB7939" w:rsidRPr="00623B85">
        <w:rPr>
          <w:rFonts w:ascii="Arial" w:eastAsiaTheme="minorEastAsia" w:hAnsi="Arial" w:cs="Arial"/>
        </w:rPr>
        <w:tab/>
      </w:r>
      <w:r w:rsidR="00BB7939">
        <w:rPr>
          <w:rFonts w:ascii="Arial" w:eastAsiaTheme="minorEastAsia" w:hAnsi="Arial" w:cs="Arial"/>
        </w:rPr>
        <w:t xml:space="preserve">                       </w:t>
      </w:r>
      <w:r w:rsidR="00BB7939" w:rsidRPr="00623B85">
        <w:rPr>
          <w:rFonts w:ascii="Arial" w:eastAsiaTheme="minorEastAsia" w:hAnsi="Arial" w:cs="Arial"/>
        </w:rPr>
        <w:t>(4.4)</w:t>
      </w:r>
    </w:p>
    <w:p w14:paraId="110CA2C1" w14:textId="74D489E6" w:rsidR="004740EF" w:rsidRPr="00623B85" w:rsidRDefault="005A67DB" w:rsidP="0066301C">
      <w:pPr>
        <w:spacing w:line="360" w:lineRule="auto"/>
        <w:jc w:val="both"/>
        <w:rPr>
          <w:rFonts w:ascii="Arial" w:hAnsi="Arial" w:cs="Arial"/>
          <w:lang w:eastAsia="en-GB"/>
        </w:rPr>
      </w:pPr>
      <w:r w:rsidRPr="000C2097">
        <w:rPr>
          <w:rFonts w:ascii="Arial" w:hAnsi="Arial" w:cs="Arial"/>
          <w:lang w:eastAsia="en-GB"/>
        </w:rPr>
        <w:t xml:space="preserve">The goal of this section is to </w:t>
      </w:r>
      <w:r w:rsidR="008B3AA6">
        <w:rPr>
          <w:rFonts w:ascii="Arial" w:hAnsi="Arial" w:cs="Arial"/>
          <w:lang w:eastAsia="en-GB"/>
        </w:rPr>
        <w:t>analyse</w:t>
      </w:r>
      <w:r w:rsidRPr="000C2097">
        <w:rPr>
          <w:rFonts w:ascii="Arial" w:hAnsi="Arial" w:cs="Arial"/>
          <w:lang w:eastAsia="en-GB"/>
        </w:rPr>
        <w:t xml:space="preserve"> if REER devaluation remedies the trade deficit faced by the individual CEMAC nations or not. The REER may have a significant effect on the exports </w:t>
      </w:r>
      <w:r w:rsidR="004740EF" w:rsidRPr="00623B85">
        <w:rPr>
          <w:rFonts w:ascii="Arial" w:hAnsi="Arial" w:cs="Arial"/>
        </w:rPr>
        <w:t>(</w:t>
      </w:r>
      <w:r w:rsidR="004740EF" w:rsidRPr="00623B85">
        <w:rPr>
          <w:rFonts w:ascii="Arial" w:hAnsi="Arial" w:cs="Arial"/>
          <w:i/>
          <w:iCs/>
        </w:rPr>
        <w:t>X</w:t>
      </w:r>
      <w:r w:rsidR="004740EF" w:rsidRPr="00623B85">
        <w:rPr>
          <w:rFonts w:ascii="Arial" w:hAnsi="Arial" w:cs="Arial"/>
          <w:i/>
          <w:iCs/>
          <w:vertAlign w:val="subscript"/>
        </w:rPr>
        <w:t>t</w:t>
      </w:r>
      <w:r w:rsidR="004740EF" w:rsidRPr="00623B85">
        <w:rPr>
          <w:rFonts w:ascii="Arial" w:hAnsi="Arial" w:cs="Arial"/>
        </w:rPr>
        <w:t>) and imports (</w:t>
      </w:r>
      <w:r w:rsidR="004740EF" w:rsidRPr="00623B85">
        <w:rPr>
          <w:rFonts w:ascii="Arial" w:hAnsi="Arial" w:cs="Arial"/>
          <w:i/>
          <w:iCs/>
        </w:rPr>
        <w:t>M</w:t>
      </w:r>
      <w:r w:rsidR="004740EF" w:rsidRPr="00623B85">
        <w:rPr>
          <w:rFonts w:ascii="Arial" w:hAnsi="Arial" w:cs="Arial"/>
          <w:i/>
          <w:iCs/>
          <w:vertAlign w:val="subscript"/>
        </w:rPr>
        <w:t>t</w:t>
      </w:r>
      <w:r w:rsidR="004740EF" w:rsidRPr="00623B85">
        <w:rPr>
          <w:rFonts w:ascii="Arial" w:hAnsi="Arial" w:cs="Arial"/>
        </w:rPr>
        <w:t xml:space="preserve">) used to evaluate the </w:t>
      </w:r>
      <w:r w:rsidR="004740EF" w:rsidRPr="00623B85">
        <w:rPr>
          <w:rFonts w:ascii="Arial" w:hAnsi="Arial" w:cs="Arial"/>
          <w:i/>
          <w:iCs/>
        </w:rPr>
        <w:t>TB</w:t>
      </w:r>
      <w:r w:rsidR="004740EF" w:rsidRPr="00623B85">
        <w:rPr>
          <w:rFonts w:ascii="Arial" w:hAnsi="Arial" w:cs="Arial"/>
          <w:i/>
          <w:iCs/>
          <w:vertAlign w:val="subscript"/>
        </w:rPr>
        <w:t>t</w:t>
      </w:r>
      <w:r w:rsidR="004740EF" w:rsidRPr="00623B85">
        <w:rPr>
          <w:rFonts w:ascii="Arial" w:hAnsi="Arial" w:cs="Arial"/>
        </w:rPr>
        <w:t xml:space="preserve">. </w:t>
      </w:r>
      <w:r w:rsidRPr="000C2097">
        <w:rPr>
          <w:rFonts w:ascii="Arial" w:hAnsi="Arial" w:cs="Arial"/>
          <w:lang w:eastAsia="en-GB"/>
        </w:rPr>
        <w:t xml:space="preserve">The net exports, also known as the net trade </w:t>
      </w:r>
      <w:r w:rsidRPr="000C2097">
        <w:rPr>
          <w:rFonts w:ascii="Arial" w:hAnsi="Arial" w:cs="Arial"/>
          <w:lang w:eastAsia="en-GB"/>
        </w:rPr>
        <w:lastRenderedPageBreak/>
        <w:t>balance, are a common means of evaluating the state of the trade balance: positive value</w:t>
      </w:r>
      <w:r w:rsidR="004740EF" w:rsidRPr="00623B85">
        <w:rPr>
          <w:rFonts w:ascii="Arial" w:hAnsi="Arial" w:cs="Arial"/>
        </w:rPr>
        <w:t xml:space="preserve"> (</w:t>
      </w:r>
      <w:r w:rsidR="004740EF" w:rsidRPr="00623B85">
        <w:rPr>
          <w:rFonts w:ascii="Arial" w:hAnsi="Arial" w:cs="Arial"/>
          <w:i/>
          <w:iCs/>
        </w:rPr>
        <w:t>X</w:t>
      </w:r>
      <w:r w:rsidR="004740EF" w:rsidRPr="00623B85">
        <w:rPr>
          <w:rFonts w:ascii="Arial" w:hAnsi="Arial" w:cs="Arial"/>
          <w:i/>
          <w:iCs/>
          <w:vertAlign w:val="subscript"/>
        </w:rPr>
        <w:t>t</w:t>
      </w:r>
      <w:r w:rsidR="004740EF" w:rsidRPr="00623B85">
        <w:rPr>
          <w:rFonts w:ascii="Arial" w:hAnsi="Arial" w:cs="Arial"/>
          <w:i/>
          <w:iCs/>
        </w:rPr>
        <w:t xml:space="preserve"> – M</w:t>
      </w:r>
      <w:r w:rsidR="004740EF" w:rsidRPr="00623B85">
        <w:rPr>
          <w:rFonts w:ascii="Arial" w:hAnsi="Arial" w:cs="Arial"/>
          <w:i/>
          <w:iCs/>
          <w:vertAlign w:val="subscript"/>
        </w:rPr>
        <w:t>t</w:t>
      </w:r>
      <w:r w:rsidR="004740EF" w:rsidRPr="00623B85">
        <w:rPr>
          <w:rFonts w:ascii="Arial" w:hAnsi="Arial" w:cs="Arial"/>
          <w:i/>
          <w:iCs/>
        </w:rPr>
        <w:t xml:space="preserve"> </w:t>
      </w:r>
      <w:r w:rsidR="004740EF" w:rsidRPr="00623B85">
        <w:rPr>
          <w:rFonts w:ascii="Arial" w:hAnsi="Arial" w:cs="Arial"/>
        </w:rPr>
        <w:t>&gt;0) is a trade surplus, while negative net exports (</w:t>
      </w:r>
      <w:r w:rsidR="004740EF" w:rsidRPr="00623B85">
        <w:rPr>
          <w:rFonts w:ascii="Arial" w:hAnsi="Arial" w:cs="Arial"/>
          <w:i/>
          <w:iCs/>
        </w:rPr>
        <w:t>X</w:t>
      </w:r>
      <w:r w:rsidR="004740EF" w:rsidRPr="00623B85">
        <w:rPr>
          <w:rFonts w:ascii="Arial" w:hAnsi="Arial" w:cs="Arial"/>
          <w:i/>
          <w:iCs/>
          <w:vertAlign w:val="subscript"/>
        </w:rPr>
        <w:t xml:space="preserve">t </w:t>
      </w:r>
      <w:r w:rsidR="004740EF" w:rsidRPr="00623B85">
        <w:rPr>
          <w:rFonts w:ascii="Arial" w:hAnsi="Arial" w:cs="Arial"/>
          <w:i/>
          <w:iCs/>
        </w:rPr>
        <w:t>–M</w:t>
      </w:r>
      <w:r w:rsidR="004740EF" w:rsidRPr="00623B85">
        <w:rPr>
          <w:rFonts w:ascii="Arial" w:hAnsi="Arial" w:cs="Arial"/>
          <w:i/>
          <w:iCs/>
          <w:vertAlign w:val="subscript"/>
        </w:rPr>
        <w:t>t</w:t>
      </w:r>
      <w:r w:rsidR="004740EF" w:rsidRPr="00623B85">
        <w:rPr>
          <w:rFonts w:ascii="Arial" w:hAnsi="Arial" w:cs="Arial"/>
          <w:i/>
          <w:iCs/>
        </w:rPr>
        <w:t xml:space="preserve"> </w:t>
      </w:r>
      <w:r w:rsidR="004740EF" w:rsidRPr="00623B85">
        <w:rPr>
          <w:rFonts w:ascii="Arial" w:hAnsi="Arial" w:cs="Arial"/>
        </w:rPr>
        <w:t>&lt; 0) impl</w:t>
      </w:r>
      <w:r>
        <w:rPr>
          <w:rFonts w:ascii="Arial" w:hAnsi="Arial" w:cs="Arial"/>
        </w:rPr>
        <w:t>y</w:t>
      </w:r>
      <w:r w:rsidR="004740EF" w:rsidRPr="00623B85">
        <w:rPr>
          <w:rFonts w:ascii="Arial" w:hAnsi="Arial" w:cs="Arial"/>
        </w:rPr>
        <w:t xml:space="preserve"> a trade deficit. </w:t>
      </w:r>
      <w:r w:rsidRPr="000C2097">
        <w:rPr>
          <w:rFonts w:ascii="Arial" w:hAnsi="Arial" w:cs="Arial"/>
          <w:lang w:eastAsia="en-GB"/>
        </w:rPr>
        <w:t xml:space="preserve">Because the net exports of the CEMAC nations have numerous occurrences of negative values from 1980s to 2018, this does not allow TB to be expressed in logarithm form </w:t>
      </w:r>
      <w:r w:rsidR="004740EF" w:rsidRPr="00623B85">
        <w:rPr>
          <w:rFonts w:ascii="Arial" w:hAnsi="Arial" w:cs="Arial"/>
          <w:lang w:eastAsia="en-GB"/>
        </w:rPr>
        <w:t>(</w:t>
      </w:r>
      <w:r w:rsidR="004740EF" w:rsidRPr="00623B85">
        <w:rPr>
          <w:rFonts w:ascii="Arial" w:hAnsi="Arial" w:cs="Arial"/>
          <w:i/>
          <w:iCs/>
          <w:lang w:eastAsia="en-GB"/>
        </w:rPr>
        <w:t>Ln</w:t>
      </w:r>
      <w:r w:rsidR="004740EF" w:rsidRPr="00623B85">
        <w:rPr>
          <w:rFonts w:ascii="Arial" w:hAnsi="Arial" w:cs="Arial"/>
          <w:lang w:eastAsia="en-GB"/>
        </w:rPr>
        <w:t xml:space="preserve">). </w:t>
      </w:r>
      <w:r w:rsidRPr="000C2097">
        <w:rPr>
          <w:rFonts w:ascii="Arial" w:hAnsi="Arial" w:cs="Arial"/>
          <w:lang w:eastAsia="en-GB"/>
        </w:rPr>
        <w:t>For the TB to be expressed in log form, it must be measured in ratio of exports to imports.</w:t>
      </w:r>
      <w:r>
        <w:rPr>
          <w:rStyle w:val="FootnoteReference"/>
          <w:rFonts w:ascii="Arial" w:hAnsi="Arial" w:cs="Arial"/>
          <w:lang w:eastAsia="en-GB"/>
        </w:rPr>
        <w:footnoteReference w:id="100"/>
      </w:r>
      <w:r w:rsidRPr="000C2097">
        <w:rPr>
          <w:rFonts w:ascii="Arial" w:hAnsi="Arial" w:cs="Arial"/>
          <w:lang w:eastAsia="en-GB"/>
        </w:rPr>
        <w:t xml:space="preserve"> This formula describes the state of the TB wherein the equilibrium value switches from 0 to 1. Values greater than 1 </w:t>
      </w:r>
      <w:r w:rsidR="004740EF" w:rsidRPr="00623B85">
        <w:rPr>
          <w:rFonts w:ascii="Arial" w:hAnsi="Arial" w:cs="Arial"/>
          <w:lang w:eastAsia="en-GB"/>
        </w:rPr>
        <w:t>(</w:t>
      </w:r>
      <w:r w:rsidR="004740EF" w:rsidRPr="00623B85">
        <w:rPr>
          <w:rFonts w:ascii="Arial" w:hAnsi="Arial" w:cs="Arial"/>
          <w:i/>
          <w:iCs/>
          <w:lang w:eastAsia="en-GB"/>
        </w:rPr>
        <w:t>X</w:t>
      </w:r>
      <w:r w:rsidR="004740EF" w:rsidRPr="00623B85">
        <w:rPr>
          <w:rFonts w:ascii="Arial" w:hAnsi="Arial" w:cs="Arial"/>
          <w:i/>
          <w:iCs/>
          <w:vertAlign w:val="subscript"/>
          <w:lang w:eastAsia="en-GB"/>
        </w:rPr>
        <w:t>t</w:t>
      </w:r>
      <w:r w:rsidR="004740EF" w:rsidRPr="00623B85">
        <w:rPr>
          <w:rFonts w:ascii="Arial" w:hAnsi="Arial" w:cs="Arial"/>
          <w:i/>
          <w:iCs/>
          <w:lang w:eastAsia="en-GB"/>
        </w:rPr>
        <w:t>/M</w:t>
      </w:r>
      <w:r w:rsidR="004740EF" w:rsidRPr="00623B85">
        <w:rPr>
          <w:rFonts w:ascii="Arial" w:hAnsi="Arial" w:cs="Arial"/>
          <w:i/>
          <w:iCs/>
          <w:vertAlign w:val="subscript"/>
          <w:lang w:eastAsia="en-GB"/>
        </w:rPr>
        <w:t>t</w:t>
      </w:r>
      <w:r w:rsidR="004740EF" w:rsidRPr="00623B85">
        <w:rPr>
          <w:rFonts w:ascii="Arial" w:hAnsi="Arial" w:cs="Arial"/>
          <w:lang w:eastAsia="en-GB"/>
        </w:rPr>
        <w:t xml:space="preserve"> &gt; 1) </w:t>
      </w:r>
      <w:r w:rsidR="004F25B8" w:rsidRPr="000C2097">
        <w:rPr>
          <w:rFonts w:ascii="Arial" w:hAnsi="Arial" w:cs="Arial"/>
          <w:lang w:eastAsia="en-GB"/>
        </w:rPr>
        <w:t xml:space="preserve">imply a trade surplus, while values less than 1 </w:t>
      </w:r>
      <w:r w:rsidR="004740EF" w:rsidRPr="00623B85">
        <w:rPr>
          <w:rFonts w:ascii="Arial" w:hAnsi="Arial" w:cs="Arial"/>
          <w:lang w:eastAsia="en-GB"/>
        </w:rPr>
        <w:t>(</w:t>
      </w:r>
      <w:r w:rsidR="004740EF" w:rsidRPr="00623B85">
        <w:rPr>
          <w:rFonts w:ascii="Arial" w:hAnsi="Arial" w:cs="Arial"/>
          <w:i/>
          <w:iCs/>
          <w:lang w:eastAsia="en-GB"/>
        </w:rPr>
        <w:t>X</w:t>
      </w:r>
      <w:r w:rsidR="004740EF" w:rsidRPr="00623B85">
        <w:rPr>
          <w:rFonts w:ascii="Arial" w:hAnsi="Arial" w:cs="Arial"/>
          <w:i/>
          <w:iCs/>
          <w:vertAlign w:val="subscript"/>
          <w:lang w:eastAsia="en-GB"/>
        </w:rPr>
        <w:t>t</w:t>
      </w:r>
      <w:r w:rsidR="004740EF" w:rsidRPr="00623B85">
        <w:rPr>
          <w:rFonts w:ascii="Arial" w:hAnsi="Arial" w:cs="Arial"/>
          <w:i/>
          <w:iCs/>
          <w:lang w:eastAsia="en-GB"/>
        </w:rPr>
        <w:t>/M</w:t>
      </w:r>
      <w:r w:rsidR="004740EF" w:rsidRPr="00623B85">
        <w:rPr>
          <w:rFonts w:ascii="Arial" w:hAnsi="Arial" w:cs="Arial"/>
          <w:i/>
          <w:iCs/>
          <w:vertAlign w:val="subscript"/>
          <w:lang w:eastAsia="en-GB"/>
        </w:rPr>
        <w:t>t</w:t>
      </w:r>
      <w:r w:rsidR="004740EF" w:rsidRPr="00623B85">
        <w:rPr>
          <w:rFonts w:ascii="Arial" w:hAnsi="Arial" w:cs="Arial"/>
          <w:lang w:eastAsia="en-GB"/>
        </w:rPr>
        <w:t xml:space="preserve"> &lt; 1) </w:t>
      </w:r>
      <w:r w:rsidR="004F25B8" w:rsidRPr="000C2097">
        <w:rPr>
          <w:rFonts w:ascii="Arial" w:hAnsi="Arial" w:cs="Arial"/>
          <w:lang w:eastAsia="en-GB"/>
        </w:rPr>
        <w:t xml:space="preserve">imply a trade deficit. The natural logarithm function of the trade balance </w:t>
      </w:r>
      <w:r w:rsidR="004740EF" w:rsidRPr="00623B85">
        <w:rPr>
          <w:rFonts w:ascii="Arial" w:hAnsi="Arial" w:cs="Arial"/>
          <w:lang w:eastAsia="en-GB"/>
        </w:rPr>
        <w:t>[</w:t>
      </w:r>
      <w:r w:rsidR="004740EF" w:rsidRPr="00623B85">
        <w:rPr>
          <w:rFonts w:ascii="Arial" w:hAnsi="Arial" w:cs="Arial"/>
          <w:i/>
          <w:iCs/>
          <w:lang w:eastAsia="en-GB"/>
        </w:rPr>
        <w:t xml:space="preserve">Ln </w:t>
      </w:r>
      <w:r w:rsidR="004740EF" w:rsidRPr="00623B85">
        <w:rPr>
          <w:rFonts w:ascii="Arial" w:hAnsi="Arial" w:cs="Arial"/>
          <w:lang w:eastAsia="en-GB"/>
        </w:rPr>
        <w:t>(</w:t>
      </w:r>
      <w:r w:rsidR="004740EF" w:rsidRPr="00623B85">
        <w:rPr>
          <w:rFonts w:ascii="Arial" w:hAnsi="Arial" w:cs="Arial"/>
          <w:i/>
          <w:iCs/>
          <w:lang w:eastAsia="en-GB"/>
        </w:rPr>
        <w:t>TB</w:t>
      </w:r>
      <w:r w:rsidR="004740EF" w:rsidRPr="00623B85">
        <w:rPr>
          <w:rFonts w:ascii="Arial" w:hAnsi="Arial" w:cs="Arial"/>
          <w:i/>
          <w:iCs/>
          <w:vertAlign w:val="subscript"/>
          <w:lang w:eastAsia="en-GB"/>
        </w:rPr>
        <w:t>t</w:t>
      </w:r>
      <w:r w:rsidR="004740EF" w:rsidRPr="00623B85">
        <w:rPr>
          <w:rFonts w:ascii="Arial" w:hAnsi="Arial" w:cs="Arial"/>
          <w:lang w:eastAsia="en-GB"/>
        </w:rPr>
        <w:t xml:space="preserve">) = </w:t>
      </w:r>
      <w:r w:rsidR="004740EF" w:rsidRPr="00623B85">
        <w:rPr>
          <w:rFonts w:ascii="Arial" w:hAnsi="Arial" w:cs="Arial"/>
          <w:i/>
          <w:iCs/>
          <w:lang w:eastAsia="en-GB"/>
        </w:rPr>
        <w:t xml:space="preserve">Ln </w:t>
      </w:r>
      <w:r w:rsidR="004740EF" w:rsidRPr="00623B85">
        <w:rPr>
          <w:rFonts w:ascii="Arial" w:hAnsi="Arial" w:cs="Arial"/>
          <w:lang w:eastAsia="en-GB"/>
        </w:rPr>
        <w:t>(</w:t>
      </w:r>
      <w:r w:rsidR="004740EF" w:rsidRPr="00623B85">
        <w:rPr>
          <w:rFonts w:ascii="Arial" w:hAnsi="Arial" w:cs="Arial"/>
          <w:i/>
          <w:iCs/>
          <w:lang w:eastAsia="en-GB"/>
        </w:rPr>
        <w:t>X</w:t>
      </w:r>
      <w:r w:rsidR="004740EF" w:rsidRPr="00623B85">
        <w:rPr>
          <w:rFonts w:ascii="Arial" w:hAnsi="Arial" w:cs="Arial"/>
          <w:i/>
          <w:iCs/>
          <w:vertAlign w:val="subscript"/>
          <w:lang w:eastAsia="en-GB"/>
        </w:rPr>
        <w:t>t</w:t>
      </w:r>
      <w:r w:rsidR="004740EF" w:rsidRPr="00623B85">
        <w:rPr>
          <w:rFonts w:ascii="Arial" w:hAnsi="Arial" w:cs="Arial"/>
          <w:i/>
          <w:iCs/>
          <w:lang w:eastAsia="en-GB"/>
        </w:rPr>
        <w:t xml:space="preserve"> /M</w:t>
      </w:r>
      <w:r w:rsidR="004740EF" w:rsidRPr="00623B85">
        <w:rPr>
          <w:rFonts w:ascii="Arial" w:hAnsi="Arial" w:cs="Arial"/>
          <w:i/>
          <w:iCs/>
          <w:vertAlign w:val="subscript"/>
          <w:lang w:eastAsia="en-GB"/>
        </w:rPr>
        <w:t>t</w:t>
      </w:r>
      <w:r w:rsidR="004740EF" w:rsidRPr="00623B85">
        <w:rPr>
          <w:rFonts w:ascii="Arial" w:hAnsi="Arial" w:cs="Arial"/>
          <w:lang w:eastAsia="en-GB"/>
        </w:rPr>
        <w:t xml:space="preserve">) = </w:t>
      </w:r>
      <w:r w:rsidR="004740EF" w:rsidRPr="00623B85">
        <w:rPr>
          <w:rFonts w:ascii="Arial" w:hAnsi="Arial" w:cs="Arial"/>
          <w:i/>
          <w:iCs/>
          <w:lang w:eastAsia="en-GB"/>
        </w:rPr>
        <w:t xml:space="preserve">Ln </w:t>
      </w:r>
      <w:r w:rsidR="004740EF" w:rsidRPr="00623B85">
        <w:rPr>
          <w:rFonts w:ascii="Arial" w:hAnsi="Arial" w:cs="Arial"/>
          <w:lang w:eastAsia="en-GB"/>
        </w:rPr>
        <w:t>(</w:t>
      </w:r>
      <w:r w:rsidR="004740EF" w:rsidRPr="00623B85">
        <w:rPr>
          <w:rFonts w:ascii="Arial" w:hAnsi="Arial" w:cs="Arial"/>
          <w:i/>
          <w:iCs/>
          <w:lang w:eastAsia="en-GB"/>
        </w:rPr>
        <w:t>X</w:t>
      </w:r>
      <w:r w:rsidR="004740EF" w:rsidRPr="00623B85">
        <w:rPr>
          <w:rFonts w:ascii="Arial" w:hAnsi="Arial" w:cs="Arial"/>
          <w:i/>
          <w:iCs/>
          <w:vertAlign w:val="subscript"/>
          <w:lang w:eastAsia="en-GB"/>
        </w:rPr>
        <w:t>t</w:t>
      </w:r>
      <w:r w:rsidR="004740EF" w:rsidRPr="00623B85">
        <w:rPr>
          <w:rFonts w:ascii="Arial" w:hAnsi="Arial" w:cs="Arial"/>
          <w:lang w:eastAsia="en-GB"/>
        </w:rPr>
        <w:t xml:space="preserve">) – </w:t>
      </w:r>
      <w:r w:rsidR="004740EF" w:rsidRPr="00623B85">
        <w:rPr>
          <w:rFonts w:ascii="Arial" w:hAnsi="Arial" w:cs="Arial"/>
          <w:i/>
          <w:iCs/>
          <w:lang w:eastAsia="en-GB"/>
        </w:rPr>
        <w:t xml:space="preserve">Ln </w:t>
      </w:r>
      <w:r w:rsidR="004740EF" w:rsidRPr="00623B85">
        <w:rPr>
          <w:rFonts w:ascii="Arial" w:hAnsi="Arial" w:cs="Arial"/>
          <w:lang w:eastAsia="en-GB"/>
        </w:rPr>
        <w:t>(</w:t>
      </w:r>
      <w:r w:rsidR="004740EF" w:rsidRPr="00623B85">
        <w:rPr>
          <w:rFonts w:ascii="Arial" w:hAnsi="Arial" w:cs="Arial"/>
          <w:i/>
          <w:iCs/>
          <w:lang w:eastAsia="en-GB"/>
        </w:rPr>
        <w:t>M</w:t>
      </w:r>
      <w:r w:rsidR="004740EF" w:rsidRPr="00623B85">
        <w:rPr>
          <w:rFonts w:ascii="Arial" w:hAnsi="Arial" w:cs="Arial"/>
          <w:i/>
          <w:iCs/>
          <w:vertAlign w:val="subscript"/>
          <w:lang w:eastAsia="en-GB"/>
        </w:rPr>
        <w:t>t</w:t>
      </w:r>
      <w:r w:rsidR="004740EF" w:rsidRPr="00623B85">
        <w:rPr>
          <w:rFonts w:ascii="Arial" w:hAnsi="Arial" w:cs="Arial"/>
          <w:lang w:eastAsia="en-GB"/>
        </w:rPr>
        <w:t xml:space="preserve">)] </w:t>
      </w:r>
      <w:r w:rsidR="004F25B8" w:rsidRPr="000C2097">
        <w:rPr>
          <w:rFonts w:ascii="Arial" w:hAnsi="Arial" w:cs="Arial"/>
          <w:lang w:eastAsia="en-GB"/>
        </w:rPr>
        <w:t xml:space="preserve">has the </w:t>
      </w:r>
      <w:bookmarkStart w:id="424" w:name="_Hlk162609833"/>
      <w:r w:rsidR="004F25B8" w:rsidRPr="000C2097">
        <w:rPr>
          <w:rFonts w:ascii="Arial" w:hAnsi="Arial" w:cs="Arial"/>
          <w:lang w:eastAsia="en-GB"/>
        </w:rPr>
        <w:t>advantage of making the estimated coefficients directly interpretable as a percentage change and a measure of elasticity, thereby letting us check if the Marshall-Lerner condition (MLC) is fulfilled or not (Dongfack and Ouyang, 2019; Onafowora, 2003).</w:t>
      </w:r>
      <w:r w:rsidR="004F25B8">
        <w:rPr>
          <w:rStyle w:val="FootnoteReference"/>
          <w:rFonts w:ascii="Arial" w:hAnsi="Arial" w:cs="Arial"/>
          <w:lang w:eastAsia="en-GB"/>
        </w:rPr>
        <w:footnoteReference w:id="101"/>
      </w:r>
      <w:r w:rsidR="004F25B8" w:rsidRPr="000C2097">
        <w:rPr>
          <w:rFonts w:ascii="Arial" w:hAnsi="Arial" w:cs="Arial"/>
          <w:lang w:eastAsia="en-GB"/>
        </w:rPr>
        <w:t> Also, it eliminates the need of explaining the dependent variable (TB) in real terms with the appropriate price index.  </w:t>
      </w:r>
      <w:bookmarkStart w:id="425" w:name="_Hlk170837259"/>
      <w:bookmarkEnd w:id="424"/>
    </w:p>
    <w:p w14:paraId="2CCC8A73" w14:textId="7C8B706E" w:rsidR="004740EF" w:rsidRPr="00623B85" w:rsidRDefault="00C77848" w:rsidP="0066301C">
      <w:pPr>
        <w:pStyle w:val="Heading3"/>
        <w:numPr>
          <w:ilvl w:val="0"/>
          <w:numId w:val="0"/>
        </w:numPr>
        <w:spacing w:before="0" w:beforeAutospacing="0"/>
      </w:pPr>
      <w:bookmarkStart w:id="426" w:name="_Toc171075403"/>
      <w:r w:rsidRPr="00623B85">
        <w:t>4</w:t>
      </w:r>
      <w:r w:rsidR="00B837DE" w:rsidRPr="00623B85">
        <w:t>.</w:t>
      </w:r>
      <w:r w:rsidR="00275DE8" w:rsidRPr="00623B85">
        <w:t>4</w:t>
      </w:r>
      <w:r w:rsidR="00B837DE" w:rsidRPr="00623B85">
        <w:t>.1</w:t>
      </w:r>
      <w:r w:rsidR="009C241C" w:rsidRPr="00623B85">
        <w:tab/>
      </w:r>
      <w:r w:rsidR="004740EF" w:rsidRPr="00623B85">
        <w:t>TYPES AND SOURCE OF DATA</w:t>
      </w:r>
      <w:bookmarkEnd w:id="426"/>
    </w:p>
    <w:p w14:paraId="6060ED88" w14:textId="340FA183" w:rsidR="00777D70" w:rsidRPr="00714DAF" w:rsidRDefault="00777D70" w:rsidP="0066301C">
      <w:pPr>
        <w:spacing w:line="360" w:lineRule="auto"/>
        <w:jc w:val="both"/>
        <w:rPr>
          <w:rFonts w:ascii="Arial" w:hAnsi="Arial" w:cs="Arial"/>
          <w:lang w:eastAsia="en-GB"/>
        </w:rPr>
      </w:pPr>
      <w:r w:rsidRPr="00714DAF">
        <w:rPr>
          <w:rFonts w:ascii="Arial" w:hAnsi="Arial" w:cs="Arial"/>
          <w:lang w:eastAsia="en-GB"/>
        </w:rPr>
        <w:t>This section deals with the variables used to investigate the presence of the </w:t>
      </w:r>
      <w:r w:rsidRPr="00714DAF">
        <w:rPr>
          <w:rFonts w:ascii="Arial" w:hAnsi="Arial" w:cs="Arial"/>
          <w:i/>
          <w:iCs/>
          <w:lang w:eastAsia="en-GB"/>
        </w:rPr>
        <w:t>J-</w:t>
      </w:r>
      <w:r w:rsidRPr="00714DAF">
        <w:rPr>
          <w:rFonts w:ascii="Arial" w:hAnsi="Arial" w:cs="Arial"/>
          <w:lang w:eastAsia="en-GB"/>
        </w:rPr>
        <w:t xml:space="preserve">curve between each of the CEMAC nations and their main trading partners. The data used are secondary annual data within the period 1980 to 2018. Data within this period were available for Cameroon, CAR, and Gabon, which will be used to represent the CEMAC nations. We will not use Equatorial Guinea, Chad, and Congo due to insufficient data. Though Equatorial Guinea’s data for REER is within the period 1985 to 2018, its data for TB is from the year 2005 to 2018. This gives a sum of 14 observations, which is insufficient for analytical purposes. As for Congo and Chad, though their data for TB is from the year 1980 to 2018, their data for REER is between the periods 2004 to 2018. This gives a sum of 15 observations, which are also insufficient for analytical purposes. Cameroon’s main trade partners are China, France, India, the Netherlands, and Spain. CAR's main trading partners are Cameroon, China, France, India, and Nepal. Gabon’s main trading partners are China, Ireland, the Korea Republic, the </w:t>
      </w:r>
      <w:r w:rsidRPr="00714DAF">
        <w:rPr>
          <w:rFonts w:ascii="Arial" w:hAnsi="Arial" w:cs="Arial"/>
          <w:lang w:eastAsia="en-GB"/>
        </w:rPr>
        <w:lastRenderedPageBreak/>
        <w:t>Netherlands, and the United States of America (USA).</w:t>
      </w:r>
      <w:r w:rsidR="00C275B6" w:rsidRPr="00C275B6">
        <w:rPr>
          <w:rStyle w:val="FootnoteReference"/>
          <w:rFonts w:ascii="Arial" w:hAnsi="Arial" w:cs="Arial"/>
          <w:lang w:eastAsia="en-GB"/>
        </w:rPr>
        <w:t xml:space="preserve"> </w:t>
      </w:r>
      <w:r w:rsidR="00C275B6" w:rsidRPr="00623B85">
        <w:rPr>
          <w:rStyle w:val="FootnoteReference"/>
          <w:rFonts w:ascii="Arial" w:hAnsi="Arial" w:cs="Arial"/>
          <w:lang w:eastAsia="en-GB"/>
        </w:rPr>
        <w:footnoteReference w:id="102"/>
      </w:r>
      <w:r w:rsidRPr="00714DAF">
        <w:rPr>
          <w:rFonts w:ascii="Arial" w:hAnsi="Arial" w:cs="Arial"/>
          <w:lang w:eastAsia="en-GB"/>
        </w:rPr>
        <w:t> Thus, these three CEMAC nations will be used to represent the CEMAC zone. </w:t>
      </w:r>
    </w:p>
    <w:p w14:paraId="01855B25" w14:textId="77777777" w:rsidR="00777D70" w:rsidRPr="00714DAF" w:rsidRDefault="00777D70" w:rsidP="0066301C">
      <w:pPr>
        <w:spacing w:line="360" w:lineRule="auto"/>
        <w:jc w:val="both"/>
        <w:rPr>
          <w:rFonts w:ascii="Arial" w:hAnsi="Arial" w:cs="Arial"/>
          <w:lang w:eastAsia="en-GB"/>
        </w:rPr>
      </w:pPr>
      <w:bookmarkStart w:id="427" w:name="_Hlk170837291"/>
      <w:bookmarkEnd w:id="425"/>
      <w:r w:rsidRPr="00714DAF">
        <w:rPr>
          <w:rFonts w:ascii="Arial" w:hAnsi="Arial" w:cs="Arial"/>
          <w:lang w:eastAsia="en-GB"/>
        </w:rPr>
        <w:t>The variables used are in their log form, with log trade balance (LNTB) being the dependent variable. The independent variables used are log real effective exchange rate (LNREER), log domestic income (LNDI), which is a proxy for each of the CEMAC nations’ gross domestic production (GDP), and log foreign income (FI) for the individual trade partners’ gross domestic production (GDP). The variables are better explained below.</w:t>
      </w:r>
    </w:p>
    <w:bookmarkEnd w:id="427"/>
    <w:p w14:paraId="74063AA8" w14:textId="6018765A" w:rsidR="00777D70" w:rsidRPr="00714DAF" w:rsidRDefault="00777D70" w:rsidP="0066301C">
      <w:pPr>
        <w:spacing w:line="360" w:lineRule="auto"/>
        <w:jc w:val="both"/>
        <w:rPr>
          <w:rFonts w:ascii="Arial" w:hAnsi="Arial" w:cs="Arial"/>
          <w:lang w:eastAsia="en-GB"/>
        </w:rPr>
      </w:pPr>
      <w:r w:rsidRPr="004600FC">
        <w:rPr>
          <w:rFonts w:ascii="Arial" w:hAnsi="Arial" w:cs="Arial"/>
          <w:b/>
          <w:bCs/>
          <w:lang w:eastAsia="en-GB"/>
        </w:rPr>
        <w:t xml:space="preserve">Trade </w:t>
      </w:r>
      <w:r w:rsidR="00FC3583">
        <w:rPr>
          <w:rFonts w:ascii="Arial" w:hAnsi="Arial" w:cs="Arial"/>
          <w:b/>
          <w:bCs/>
          <w:lang w:eastAsia="en-GB"/>
        </w:rPr>
        <w:t>B</w:t>
      </w:r>
      <w:r w:rsidRPr="004600FC">
        <w:rPr>
          <w:rFonts w:ascii="Arial" w:hAnsi="Arial" w:cs="Arial"/>
          <w:b/>
          <w:bCs/>
          <w:lang w:eastAsia="en-GB"/>
        </w:rPr>
        <w:t>alance (</w:t>
      </w:r>
      <w:r w:rsidRPr="004600FC">
        <w:rPr>
          <w:rFonts w:ascii="Arial" w:hAnsi="Arial" w:cs="Arial"/>
          <w:b/>
          <w:bCs/>
          <w:i/>
          <w:iCs/>
          <w:lang w:eastAsia="en-GB"/>
        </w:rPr>
        <w:t>TB</w:t>
      </w:r>
      <w:r w:rsidRPr="004600FC">
        <w:rPr>
          <w:rFonts w:ascii="Arial" w:hAnsi="Arial" w:cs="Arial"/>
          <w:b/>
          <w:bCs/>
          <w:lang w:eastAsia="en-GB"/>
        </w:rPr>
        <w:t>)</w:t>
      </w:r>
      <w:r w:rsidRPr="00714DAF">
        <w:rPr>
          <w:rFonts w:ascii="Arial" w:hAnsi="Arial" w:cs="Arial"/>
          <w:lang w:eastAsia="en-GB"/>
        </w:rPr>
        <w:t xml:space="preserve"> – is the exports to imports ratio of each of the CEMAC nations. That is, TB = Exports of goods and services (current US$) / Imports of goods and services (current US$). Exports deal with all the goods and services sold to foreign nations expressed in current US$. While imports are all the foreign goods and services entering the nation within the set timeframe expressed in the current US$ (World Bank, 2020). This formula describes the state of the TB wherein the equilibrium value switches from 0 to 1. Values greater than 1 (</w:t>
      </w:r>
      <w:r w:rsidRPr="00714DAF">
        <w:rPr>
          <w:rFonts w:ascii="Arial" w:hAnsi="Arial" w:cs="Arial"/>
          <w:i/>
          <w:iCs/>
          <w:lang w:eastAsia="en-GB"/>
        </w:rPr>
        <w:t>Xt/Mt</w:t>
      </w:r>
      <w:r w:rsidRPr="00714DAF">
        <w:rPr>
          <w:rFonts w:ascii="Arial" w:hAnsi="Arial" w:cs="Arial"/>
          <w:lang w:eastAsia="en-GB"/>
        </w:rPr>
        <w:t> &gt; 1) imply a trade surplus, while values less than 1 (</w:t>
      </w:r>
      <w:r w:rsidRPr="00714DAF">
        <w:rPr>
          <w:rFonts w:ascii="Arial" w:hAnsi="Arial" w:cs="Arial"/>
          <w:i/>
          <w:iCs/>
          <w:lang w:eastAsia="en-GB"/>
        </w:rPr>
        <w:t>Xt/Mt</w:t>
      </w:r>
      <w:r w:rsidRPr="00714DAF">
        <w:rPr>
          <w:rFonts w:ascii="Arial" w:hAnsi="Arial" w:cs="Arial"/>
          <w:lang w:eastAsia="en-GB"/>
        </w:rPr>
        <w:t> &lt; 1) imply a trade deficit. The data is from the World banks - World Development Indicators (WDI) database updated on 18/03/2020.</w:t>
      </w:r>
    </w:p>
    <w:p w14:paraId="2E054348" w14:textId="659FBA52" w:rsidR="00777D70" w:rsidRPr="00714DAF" w:rsidRDefault="00777D70" w:rsidP="0066301C">
      <w:pPr>
        <w:spacing w:line="360" w:lineRule="auto"/>
        <w:jc w:val="both"/>
        <w:rPr>
          <w:rFonts w:ascii="Arial" w:hAnsi="Arial" w:cs="Arial"/>
          <w:lang w:eastAsia="en-GB"/>
        </w:rPr>
      </w:pPr>
      <w:r w:rsidRPr="00DD4810">
        <w:rPr>
          <w:rFonts w:ascii="Arial" w:hAnsi="Arial" w:cs="Arial"/>
          <w:b/>
          <w:bCs/>
          <w:i/>
          <w:iCs/>
          <w:lang w:eastAsia="en-GB"/>
        </w:rPr>
        <w:t>Real Effective Exchange Rate (REER) index</w:t>
      </w:r>
      <w:r w:rsidRPr="00714DAF">
        <w:rPr>
          <w:rFonts w:ascii="Arial" w:hAnsi="Arial" w:cs="Arial"/>
          <w:lang w:eastAsia="en-GB"/>
        </w:rPr>
        <w:t> - is the measure of the value of a nation’s currency against a weighted average of foreign trade partners’ currencies divided by a price deflator or index of costs. An increase in the REER implies that the exports of the nation have become more expensive, and imports have become cheaper. This increase indicates a loss in the domestic nation’s trade competitiveness. The reverse is true when the REER experiences a decrease. The REER movements based on different years can be interpreted differently. The primary criterion for a base year is that both internal and external equilibrium should be simultaneously met in the specific year. That is, the REER is assumed to be at both internal and external equilibrium when it has an index value of 100. If the value is above 100, the exchange rate is assumed to be overvalued, and if it is less than 100, it is assumed to be devalued. International financial organisations like the World Bank and IMF often publish the REER every ten years. The REER used in this research is the real effective exchange rate index for the base year of 2010 = 100, with the data collected from the World Bank Development Indicator (WDI).</w:t>
      </w:r>
    </w:p>
    <w:p w14:paraId="1AF2F71A" w14:textId="77777777" w:rsidR="00777D70" w:rsidRPr="00714DAF" w:rsidRDefault="00777D70" w:rsidP="0066301C">
      <w:pPr>
        <w:spacing w:line="360" w:lineRule="auto"/>
        <w:jc w:val="both"/>
        <w:rPr>
          <w:rFonts w:ascii="Arial" w:hAnsi="Arial" w:cs="Arial"/>
          <w:lang w:eastAsia="en-GB"/>
        </w:rPr>
      </w:pPr>
      <w:r w:rsidRPr="00714DAF">
        <w:rPr>
          <w:rFonts w:ascii="Arial" w:hAnsi="Arial" w:cs="Arial"/>
          <w:lang w:eastAsia="en-GB"/>
        </w:rPr>
        <w:t xml:space="preserve">In this research, the REER “is the nominal index adjusted for relative changes in consumer prices. That is, the REER is the nominal effective exchange rate (NEER) index adjusted for relative movements in the national price or cost indicators of the home country, selected </w:t>
      </w:r>
      <w:r w:rsidRPr="00714DAF">
        <w:rPr>
          <w:rFonts w:ascii="Arial" w:hAnsi="Arial" w:cs="Arial"/>
          <w:lang w:eastAsia="en-GB"/>
        </w:rPr>
        <w:lastRenderedPageBreak/>
        <w:t>countries, and the euro area (expressed on the base year 2010 = 100) (World Bank, 2020)”. An increase in the REER above the base year ‘100’ represents an appreciation of the local currency, while a decrease represents a depreciation of the local currency. The data were collected from the World Bank - World Development Indicators (WDI) database, last updated on 18/03/2020. </w:t>
      </w:r>
    </w:p>
    <w:p w14:paraId="75FE6108" w14:textId="77777777" w:rsidR="00777D70" w:rsidRPr="00714DAF" w:rsidRDefault="00777D70" w:rsidP="0066301C">
      <w:pPr>
        <w:spacing w:line="360" w:lineRule="auto"/>
        <w:jc w:val="both"/>
        <w:rPr>
          <w:rFonts w:ascii="Arial" w:hAnsi="Arial" w:cs="Arial"/>
          <w:lang w:eastAsia="en-GB"/>
        </w:rPr>
      </w:pPr>
      <w:r w:rsidRPr="00DD4810">
        <w:rPr>
          <w:rFonts w:ascii="Arial" w:hAnsi="Arial" w:cs="Arial"/>
          <w:b/>
          <w:bCs/>
          <w:lang w:eastAsia="en-GB"/>
        </w:rPr>
        <w:t>Domestic income (</w:t>
      </w:r>
      <w:r w:rsidRPr="00DD4810">
        <w:rPr>
          <w:rFonts w:ascii="Arial" w:hAnsi="Arial" w:cs="Arial"/>
          <w:b/>
          <w:bCs/>
          <w:i/>
          <w:iCs/>
          <w:lang w:eastAsia="en-GB"/>
        </w:rPr>
        <w:t>DI</w:t>
      </w:r>
      <w:r w:rsidRPr="00DD4810">
        <w:rPr>
          <w:rFonts w:ascii="Arial" w:hAnsi="Arial" w:cs="Arial"/>
          <w:b/>
          <w:bCs/>
          <w:lang w:eastAsia="en-GB"/>
        </w:rPr>
        <w:t>)</w:t>
      </w:r>
      <w:r w:rsidRPr="00714DAF">
        <w:rPr>
          <w:rFonts w:ascii="Arial" w:hAnsi="Arial" w:cs="Arial"/>
          <w:lang w:eastAsia="en-GB"/>
        </w:rPr>
        <w:t> - is proxy by each of the CEMAC nations’ gross domestic production (GDP). “The GDP at purchaser's prices is the sum of gross value added by all resident producers in the economy plus any product taxes and minus any subsidies not included in the value of the products. It is calculated without making deductions for the depreciation of fabricated assets or for the depletion and degradation of natural resources. Data are in current US dollars. Dollar figures for GDP are converted from domestic currencies using single-year official exchange rates” (World Bank, 2020). The data is from the World banks - World Development Indicators (WDI) database updated on 18/03/2020. A rise in domestic income levels would make foreign goods to be more desirable to domestic consumers. Thus, an increase in import demand, which in turn worsens the trade balance and vice versa. </w:t>
      </w:r>
    </w:p>
    <w:p w14:paraId="3ADD5FC6" w14:textId="4D5F9B54" w:rsidR="00777D70" w:rsidRDefault="00777D70" w:rsidP="0066301C">
      <w:pPr>
        <w:spacing w:line="360" w:lineRule="auto"/>
        <w:jc w:val="both"/>
        <w:rPr>
          <w:rFonts w:ascii="Arial" w:hAnsi="Arial" w:cs="Arial"/>
          <w:lang w:eastAsia="en-GB"/>
        </w:rPr>
      </w:pPr>
      <w:r w:rsidRPr="00DD4810">
        <w:rPr>
          <w:rFonts w:ascii="Arial" w:hAnsi="Arial" w:cs="Arial"/>
          <w:b/>
          <w:bCs/>
          <w:lang w:eastAsia="en-GB"/>
        </w:rPr>
        <w:t>Foreign income</w:t>
      </w:r>
      <w:r w:rsidRPr="00DD4810">
        <w:rPr>
          <w:rFonts w:ascii="Arial" w:hAnsi="Arial" w:cs="Arial"/>
          <w:b/>
          <w:bCs/>
          <w:i/>
          <w:iCs/>
          <w:lang w:eastAsia="en-GB"/>
        </w:rPr>
        <w:t> </w:t>
      </w:r>
      <w:r w:rsidRPr="00DD4810">
        <w:rPr>
          <w:rFonts w:ascii="Arial" w:hAnsi="Arial" w:cs="Arial"/>
          <w:b/>
          <w:bCs/>
          <w:lang w:eastAsia="en-GB"/>
        </w:rPr>
        <w:t>(</w:t>
      </w:r>
      <w:r w:rsidRPr="00DD4810">
        <w:rPr>
          <w:rFonts w:ascii="Arial" w:hAnsi="Arial" w:cs="Arial"/>
          <w:b/>
          <w:bCs/>
          <w:i/>
          <w:iCs/>
          <w:lang w:eastAsia="en-GB"/>
        </w:rPr>
        <w:t>FI</w:t>
      </w:r>
      <w:r w:rsidRPr="00DD4810">
        <w:rPr>
          <w:rFonts w:ascii="Arial" w:hAnsi="Arial" w:cs="Arial"/>
          <w:b/>
          <w:bCs/>
          <w:lang w:eastAsia="en-GB"/>
        </w:rPr>
        <w:t>)</w:t>
      </w:r>
      <w:r w:rsidRPr="00714DAF">
        <w:rPr>
          <w:rFonts w:ascii="Arial" w:hAnsi="Arial" w:cs="Arial"/>
          <w:lang w:eastAsia="en-GB"/>
        </w:rPr>
        <w:t xml:space="preserve"> - is proxy by the main trading partners’ GDP (i.e., Cameroon, China, France, India, Korean Republic, Ireland, Nepal, Netherlands, Spain, USA). The GDP of the trading partners is calculated the same way as that of DI. The data is from the World banks - World Development Indicators (WDI) database updated on 18/03/2020. A rise in foreign income levels would make locally produced goods to be more desirable to foreign </w:t>
      </w:r>
      <w:bookmarkStart w:id="428" w:name="_Hlk170837316"/>
      <w:r w:rsidRPr="00714DAF">
        <w:rPr>
          <w:rFonts w:ascii="Arial" w:hAnsi="Arial" w:cs="Arial"/>
          <w:lang w:eastAsia="en-GB"/>
        </w:rPr>
        <w:t>consumers. Hence, an increase in exports could, in turn, improve the trade balance. </w:t>
      </w:r>
    </w:p>
    <w:p w14:paraId="321F9ED1" w14:textId="1F53A4E8" w:rsidR="004740EF" w:rsidRPr="00AA5FDB" w:rsidRDefault="001318E4" w:rsidP="0066301C">
      <w:pPr>
        <w:pStyle w:val="Heading2"/>
        <w:spacing w:before="0" w:beforeAutospacing="0"/>
      </w:pPr>
      <w:bookmarkStart w:id="429" w:name="_Toc171075404"/>
      <w:r w:rsidRPr="00AA5FDB">
        <w:t>4</w:t>
      </w:r>
      <w:r w:rsidR="00B837DE" w:rsidRPr="00AA5FDB">
        <w:t>.</w:t>
      </w:r>
      <w:r w:rsidR="00C05B93" w:rsidRPr="00AA5FDB">
        <w:t>5</w:t>
      </w:r>
      <w:r w:rsidR="009C241C" w:rsidRPr="00AA5FDB">
        <w:tab/>
      </w:r>
      <w:r w:rsidR="000B73F8" w:rsidRPr="00AA5FDB">
        <w:t xml:space="preserve">ECONOMETRIC </w:t>
      </w:r>
      <w:r w:rsidRPr="00AA5FDB">
        <w:t>APPROACH</w:t>
      </w:r>
      <w:bookmarkEnd w:id="429"/>
    </w:p>
    <w:p w14:paraId="7F95E8C9" w14:textId="77777777" w:rsidR="00501C58" w:rsidRPr="00AA5FDB" w:rsidRDefault="00501C58" w:rsidP="0066301C">
      <w:pPr>
        <w:spacing w:after="0" w:line="360" w:lineRule="auto"/>
        <w:jc w:val="both"/>
        <w:rPr>
          <w:rFonts w:ascii="Arial" w:hAnsi="Arial" w:cs="Arial"/>
        </w:rPr>
      </w:pPr>
      <w:bookmarkStart w:id="430" w:name="_Hlk134100636"/>
      <w:bookmarkEnd w:id="428"/>
      <w:r w:rsidRPr="00AA5FDB">
        <w:rPr>
          <w:rFonts w:ascii="Arial" w:eastAsiaTheme="minorEastAsia" w:hAnsi="Arial" w:cs="Arial"/>
        </w:rPr>
        <w:t>Following Bahmani-Oskooee and Brooks (1999) and Bahmani-Oskooee and Goswami (2003) the bilateral trade balance model takes the following form:</w:t>
      </w:r>
    </w:p>
    <w:p w14:paraId="35106B6B" w14:textId="77777777" w:rsidR="00501C58" w:rsidRPr="00AA5FDB" w:rsidRDefault="00000000" w:rsidP="0066301C">
      <w:pPr>
        <w:spacing w:after="0" w:line="360" w:lineRule="auto"/>
        <w:jc w:val="center"/>
        <w:rPr>
          <w:rFonts w:ascii="Arial" w:hAnsi="Arial" w:cs="Arial"/>
        </w:rPr>
      </w:pPr>
      <m:oMath>
        <m:sSub>
          <m:sSubPr>
            <m:ctrlPr>
              <w:rPr>
                <w:rFonts w:ascii="Cambria Math" w:hAnsi="Cambria Math" w:cs="Arial"/>
                <w:i/>
              </w:rPr>
            </m:ctrlPr>
          </m:sSubPr>
          <m:e>
            <m:r>
              <w:rPr>
                <w:rFonts w:ascii="Cambria Math" w:hAnsi="Cambria Math" w:cs="Arial"/>
              </w:rPr>
              <m:t>LnTB</m:t>
            </m:r>
          </m:e>
          <m:sub>
            <m:r>
              <w:rPr>
                <w:rFonts w:ascii="Cambria Math" w:hAnsi="Cambria Math" w:cs="Arial"/>
                <w:vertAlign w:val="subscript"/>
              </w:rPr>
              <m:t>t</m:t>
            </m:r>
          </m:sub>
        </m:sSub>
        <m:r>
          <m:rPr>
            <m:sty m:val="p"/>
          </m:rPr>
          <w:rPr>
            <w:rFonts w:ascii="Cambria Math" w:hAnsi="Cambria Math" w:cs="Arial"/>
          </w:rPr>
          <m:t>=</m:t>
        </m:r>
        <m:r>
          <w:rPr>
            <w:rFonts w:ascii="Cambria Math" w:hAnsi="Cambria Math" w:cs="Arial"/>
          </w:rPr>
          <m:t>α</m:t>
        </m:r>
        <m:r>
          <m:rPr>
            <m:sty m:val="p"/>
          </m:rPr>
          <w:rPr>
            <w:rFonts w:ascii="Cambria Math" w:hAnsi="Cambria Math" w:cs="Arial"/>
          </w:rPr>
          <m:t>+</m:t>
        </m:r>
        <m:sSub>
          <m:sSubPr>
            <m:ctrlPr>
              <w:rPr>
                <w:rFonts w:ascii="Cambria Math" w:hAnsi="Cambria Math" w:cs="Arial"/>
              </w:rPr>
            </m:ctrlPr>
          </m:sSubPr>
          <m:e>
            <m:r>
              <w:rPr>
                <w:rFonts w:ascii="Cambria Math" w:hAnsi="Cambria Math" w:cs="Arial"/>
              </w:rPr>
              <m:t>β</m:t>
            </m:r>
          </m:e>
          <m:sub>
            <m:r>
              <m:rPr>
                <m:sty m:val="p"/>
              </m:rPr>
              <w:rPr>
                <w:rFonts w:ascii="Cambria Math" w:hAnsi="Cambria Math" w:cs="Arial"/>
                <w:vertAlign w:val="subscript"/>
              </w:rPr>
              <m:t>1</m:t>
            </m:r>
          </m:sub>
        </m:sSub>
        <m:sSub>
          <m:sSubPr>
            <m:ctrlPr>
              <w:rPr>
                <w:rFonts w:ascii="Cambria Math" w:hAnsi="Cambria Math" w:cs="Arial"/>
                <w:i/>
              </w:rPr>
            </m:ctrlPr>
          </m:sSubPr>
          <m:e>
            <m:r>
              <w:rPr>
                <w:rFonts w:ascii="Cambria Math" w:hAnsi="Cambria Math" w:cs="Arial"/>
              </w:rPr>
              <m:t>LnREER</m:t>
            </m:r>
          </m:e>
          <m:sub>
            <m:r>
              <w:rPr>
                <w:rFonts w:ascii="Cambria Math" w:hAnsi="Cambria Math" w:cs="Arial"/>
                <w:vertAlign w:val="subscript"/>
              </w:rPr>
              <m:t>t</m:t>
            </m:r>
          </m:sub>
        </m:sSub>
        <m:r>
          <m:rPr>
            <m:sty m:val="p"/>
          </m:rPr>
          <w:rPr>
            <w:rFonts w:ascii="Cambria Math" w:hAnsi="Cambria Math" w:cs="Arial"/>
          </w:rPr>
          <m:t>+</m:t>
        </m:r>
        <m:sSub>
          <m:sSubPr>
            <m:ctrlPr>
              <w:rPr>
                <w:rFonts w:ascii="Cambria Math" w:hAnsi="Cambria Math" w:cs="Arial"/>
              </w:rPr>
            </m:ctrlPr>
          </m:sSubPr>
          <m:e>
            <m:r>
              <w:rPr>
                <w:rFonts w:ascii="Cambria Math" w:hAnsi="Cambria Math" w:cs="Arial"/>
              </w:rPr>
              <m:t>β</m:t>
            </m:r>
          </m:e>
          <m:sub>
            <m:r>
              <m:rPr>
                <m:sty m:val="p"/>
              </m:rPr>
              <w:rPr>
                <w:rFonts w:ascii="Cambria Math" w:hAnsi="Cambria Math" w:cs="Arial"/>
                <w:vertAlign w:val="subscript"/>
              </w:rPr>
              <m:t>2</m:t>
            </m:r>
          </m:sub>
        </m:sSub>
        <m:sSub>
          <m:sSubPr>
            <m:ctrlPr>
              <w:rPr>
                <w:rFonts w:ascii="Cambria Math" w:hAnsi="Cambria Math" w:cs="Arial"/>
                <w:i/>
              </w:rPr>
            </m:ctrlPr>
          </m:sSubPr>
          <m:e>
            <m:r>
              <w:rPr>
                <w:rFonts w:ascii="Cambria Math" w:hAnsi="Cambria Math" w:cs="Arial"/>
              </w:rPr>
              <m:t>LnDI</m:t>
            </m:r>
          </m:e>
          <m:sub>
            <m:r>
              <w:rPr>
                <w:rFonts w:ascii="Cambria Math" w:hAnsi="Cambria Math" w:cs="Arial"/>
                <w:vertAlign w:val="subscript"/>
              </w:rPr>
              <m:t>t</m:t>
            </m:r>
          </m:sub>
        </m:sSub>
        <m:r>
          <m:rPr>
            <m:sty m:val="p"/>
          </m:rPr>
          <w:rPr>
            <w:rFonts w:ascii="Cambria Math" w:hAnsi="Cambria Math" w:cs="Arial"/>
          </w:rPr>
          <m:t>+</m:t>
        </m:r>
        <m:sSub>
          <m:sSubPr>
            <m:ctrlPr>
              <w:rPr>
                <w:rFonts w:ascii="Cambria Math" w:hAnsi="Cambria Math" w:cs="Arial"/>
              </w:rPr>
            </m:ctrlPr>
          </m:sSubPr>
          <m:e>
            <m:r>
              <w:rPr>
                <w:rFonts w:ascii="Cambria Math" w:hAnsi="Cambria Math" w:cs="Arial"/>
              </w:rPr>
              <m:t>β</m:t>
            </m:r>
          </m:e>
          <m:sub>
            <m:r>
              <m:rPr>
                <m:sty m:val="p"/>
              </m:rPr>
              <w:rPr>
                <w:rFonts w:ascii="Cambria Math" w:hAnsi="Cambria Math" w:cs="Arial"/>
                <w:vertAlign w:val="subscript"/>
              </w:rPr>
              <m:t>3</m:t>
            </m:r>
          </m:sub>
        </m:sSub>
        <m:sSub>
          <m:sSubPr>
            <m:ctrlPr>
              <w:rPr>
                <w:rFonts w:ascii="Cambria Math" w:hAnsi="Cambria Math" w:cs="Arial"/>
                <w:i/>
              </w:rPr>
            </m:ctrlPr>
          </m:sSubPr>
          <m:e>
            <m:r>
              <w:rPr>
                <w:rFonts w:ascii="Cambria Math" w:hAnsi="Cambria Math" w:cs="Arial"/>
              </w:rPr>
              <m:t>LnFI</m:t>
            </m:r>
          </m:e>
          <m:sub>
            <m:r>
              <w:rPr>
                <w:rFonts w:ascii="Cambria Math" w:hAnsi="Cambria Math" w:cs="Arial"/>
                <w:vertAlign w:val="subscript"/>
              </w:rPr>
              <m:t>t</m:t>
            </m:r>
          </m:sub>
        </m:sSub>
        <m:r>
          <m:rPr>
            <m:sty m:val="p"/>
          </m:rPr>
          <w:rPr>
            <w:rFonts w:ascii="Cambria Math" w:hAnsi="Cambria Math" w:cs="Arial"/>
          </w:rPr>
          <m:t>+</m:t>
        </m:r>
        <m:sSub>
          <m:sSubPr>
            <m:ctrlPr>
              <w:rPr>
                <w:rFonts w:ascii="Cambria Math" w:hAnsi="Cambria Math" w:cs="Arial"/>
              </w:rPr>
            </m:ctrlPr>
          </m:sSubPr>
          <m:e>
            <m:r>
              <w:rPr>
                <w:rFonts w:ascii="Cambria Math" w:hAnsi="Cambria Math" w:cs="Arial"/>
              </w:rPr>
              <m:t>ε</m:t>
            </m:r>
          </m:e>
          <m:sub>
            <m:r>
              <w:rPr>
                <w:rFonts w:ascii="Cambria Math" w:hAnsi="Cambria Math" w:cs="Arial"/>
                <w:vertAlign w:val="subscript"/>
              </w:rPr>
              <m:t>i</m:t>
            </m:r>
          </m:sub>
        </m:sSub>
        <m:r>
          <m:rPr>
            <m:sty m:val="p"/>
          </m:rPr>
          <w:rPr>
            <w:rFonts w:ascii="Cambria Math" w:hAnsi="Cambria Math" w:cs="Arial"/>
          </w:rPr>
          <m:t xml:space="preserve"> </m:t>
        </m:r>
      </m:oMath>
      <w:r w:rsidR="00501C58" w:rsidRPr="00AA5FDB">
        <w:rPr>
          <w:rFonts w:ascii="Arial" w:eastAsiaTheme="minorEastAsia" w:hAnsi="Arial" w:cs="Arial"/>
        </w:rPr>
        <w:tab/>
        <w:t xml:space="preserve">                </w:t>
      </w:r>
      <w:r w:rsidR="00501C58">
        <w:rPr>
          <w:rFonts w:ascii="Arial" w:eastAsiaTheme="minorEastAsia" w:hAnsi="Arial" w:cs="Arial"/>
        </w:rPr>
        <w:t xml:space="preserve">         </w:t>
      </w:r>
      <w:r w:rsidR="00501C58" w:rsidRPr="00AA5FDB">
        <w:rPr>
          <w:rFonts w:ascii="Arial" w:eastAsiaTheme="minorEastAsia" w:hAnsi="Arial" w:cs="Arial"/>
        </w:rPr>
        <w:t xml:space="preserve">    (4.5)</w:t>
      </w:r>
    </w:p>
    <w:p w14:paraId="51F5C036" w14:textId="77777777" w:rsidR="00501C58" w:rsidRPr="00AA5FDB" w:rsidRDefault="00501C58" w:rsidP="0066301C">
      <w:pPr>
        <w:spacing w:after="0" w:line="360" w:lineRule="auto"/>
        <w:jc w:val="both"/>
        <w:rPr>
          <w:rFonts w:ascii="Arial" w:hAnsi="Arial" w:cs="Arial"/>
        </w:rPr>
      </w:pPr>
      <w:r w:rsidRPr="00AA5FDB">
        <w:rPr>
          <w:rFonts w:ascii="Arial" w:hAnsi="Arial" w:cs="Arial"/>
        </w:rPr>
        <w:t xml:space="preserve">Whereby </w:t>
      </w:r>
    </w:p>
    <w:p w14:paraId="5BDBB760" w14:textId="77777777" w:rsidR="00501C58" w:rsidRPr="00AA5FDB" w:rsidRDefault="00501C58" w:rsidP="0066301C">
      <w:pPr>
        <w:spacing w:after="0" w:line="360" w:lineRule="auto"/>
        <w:jc w:val="both"/>
        <w:rPr>
          <w:rFonts w:ascii="Arial" w:hAnsi="Arial" w:cs="Arial"/>
        </w:rPr>
      </w:pPr>
      <w:r w:rsidRPr="00AA5FDB">
        <w:rPr>
          <w:rFonts w:ascii="Arial" w:hAnsi="Arial" w:cs="Arial"/>
          <w:i/>
          <w:iCs/>
        </w:rPr>
        <w:t>Ln</w:t>
      </w:r>
      <w:r w:rsidRPr="00AA5FDB">
        <w:rPr>
          <w:rFonts w:ascii="Arial" w:hAnsi="Arial" w:cs="Arial"/>
          <w:i/>
        </w:rPr>
        <w:t>TB</w:t>
      </w:r>
      <w:r w:rsidRPr="00AA5FDB">
        <w:rPr>
          <w:rFonts w:ascii="Arial" w:hAnsi="Arial" w:cs="Arial"/>
          <w:i/>
          <w:vertAlign w:val="subscript"/>
        </w:rPr>
        <w:t xml:space="preserve">t </w:t>
      </w:r>
      <w:r w:rsidRPr="00AA5FDB">
        <w:rPr>
          <w:rFonts w:ascii="Arial" w:hAnsi="Arial" w:cs="Arial"/>
        </w:rPr>
        <w:t xml:space="preserve">is the CEMAC individual nation’s trade balance with its trade partner (i.e., it is the ratio of exports to import at time </w:t>
      </w:r>
      <w:r w:rsidRPr="00AA5FDB">
        <w:rPr>
          <w:rFonts w:ascii="Arial" w:hAnsi="Arial" w:cs="Arial"/>
          <w:i/>
          <w:iCs/>
        </w:rPr>
        <w:t>t</w:t>
      </w:r>
      <w:r w:rsidRPr="00AA5FDB">
        <w:rPr>
          <w:rFonts w:ascii="Arial" w:hAnsi="Arial" w:cs="Arial"/>
        </w:rPr>
        <w:t xml:space="preserve">). </w:t>
      </w:r>
    </w:p>
    <w:p w14:paraId="1716BCF6" w14:textId="77777777" w:rsidR="00501C58" w:rsidRPr="00AA5FDB" w:rsidRDefault="00501C58" w:rsidP="0066301C">
      <w:pPr>
        <w:spacing w:after="0" w:line="360" w:lineRule="auto"/>
        <w:jc w:val="both"/>
        <w:rPr>
          <w:rFonts w:ascii="Arial" w:hAnsi="Arial" w:cs="Arial"/>
        </w:rPr>
      </w:pPr>
      <w:r w:rsidRPr="00AA5FDB">
        <w:rPr>
          <w:rFonts w:ascii="Arial" w:hAnsi="Arial" w:cs="Arial"/>
          <w:i/>
          <w:iCs/>
        </w:rPr>
        <w:t>Ln</w:t>
      </w:r>
      <w:r w:rsidRPr="00AA5FDB">
        <w:rPr>
          <w:rFonts w:ascii="Arial" w:hAnsi="Arial" w:cs="Arial"/>
          <w:i/>
        </w:rPr>
        <w:t>DI</w:t>
      </w:r>
      <w:r w:rsidRPr="00AA5FDB">
        <w:rPr>
          <w:rFonts w:ascii="Arial" w:hAnsi="Arial" w:cs="Arial"/>
          <w:i/>
          <w:vertAlign w:val="subscript"/>
        </w:rPr>
        <w:t xml:space="preserve">t </w:t>
      </w:r>
      <w:r w:rsidRPr="00AA5FDB">
        <w:rPr>
          <w:rFonts w:ascii="Arial" w:hAnsi="Arial" w:cs="Arial"/>
        </w:rPr>
        <w:t xml:space="preserve">is the GDP of the individual CEMAC nations (the domestic nation), </w:t>
      </w:r>
    </w:p>
    <w:p w14:paraId="5E5BF019" w14:textId="77777777" w:rsidR="00501C58" w:rsidRPr="00AA5FDB" w:rsidRDefault="00501C58" w:rsidP="0066301C">
      <w:pPr>
        <w:spacing w:after="0" w:line="360" w:lineRule="auto"/>
        <w:jc w:val="both"/>
        <w:rPr>
          <w:rFonts w:ascii="Arial" w:hAnsi="Arial" w:cs="Arial"/>
        </w:rPr>
      </w:pPr>
      <w:r w:rsidRPr="00AA5FDB">
        <w:rPr>
          <w:rFonts w:ascii="Arial" w:hAnsi="Arial" w:cs="Arial"/>
          <w:i/>
          <w:iCs/>
        </w:rPr>
        <w:t>Ln</w:t>
      </w:r>
      <w:r w:rsidRPr="00AA5FDB">
        <w:rPr>
          <w:rFonts w:ascii="Arial" w:hAnsi="Arial" w:cs="Arial"/>
          <w:i/>
        </w:rPr>
        <w:t>FI</w:t>
      </w:r>
      <w:r w:rsidRPr="00AA5FDB">
        <w:rPr>
          <w:rFonts w:ascii="Arial" w:hAnsi="Arial" w:cs="Arial"/>
          <w:i/>
          <w:vertAlign w:val="subscript"/>
        </w:rPr>
        <w:t>t</w:t>
      </w:r>
      <w:r w:rsidRPr="00AA5FDB">
        <w:rPr>
          <w:rFonts w:ascii="Arial" w:hAnsi="Arial" w:cs="Arial"/>
        </w:rPr>
        <w:t xml:space="preserve"> is the trading partner’s real GDP.</w:t>
      </w:r>
    </w:p>
    <w:p w14:paraId="0816DAE8" w14:textId="77777777" w:rsidR="00501C58" w:rsidRPr="00AA5FDB" w:rsidRDefault="00501C58" w:rsidP="0066301C">
      <w:pPr>
        <w:spacing w:after="0" w:line="360" w:lineRule="auto"/>
        <w:jc w:val="both"/>
        <w:rPr>
          <w:rFonts w:ascii="Arial" w:hAnsi="Arial" w:cs="Arial"/>
        </w:rPr>
      </w:pPr>
      <w:r w:rsidRPr="00AA5FDB">
        <w:rPr>
          <w:rFonts w:ascii="Arial" w:hAnsi="Arial" w:cs="Arial"/>
        </w:rPr>
        <w:t xml:space="preserve"> </w:t>
      </w:r>
      <w:r w:rsidRPr="00AA5FDB">
        <w:rPr>
          <w:rFonts w:ascii="Arial" w:hAnsi="Arial" w:cs="Arial"/>
          <w:i/>
        </w:rPr>
        <w:t>ε</w:t>
      </w:r>
      <w:r w:rsidRPr="00AA5FDB">
        <w:rPr>
          <w:rFonts w:ascii="Arial" w:hAnsi="Arial" w:cs="Arial"/>
          <w:i/>
          <w:vertAlign w:val="subscript"/>
        </w:rPr>
        <w:t>i</w:t>
      </w:r>
      <w:r w:rsidRPr="00AA5FDB">
        <w:rPr>
          <w:rFonts w:ascii="Arial" w:hAnsi="Arial" w:cs="Arial"/>
        </w:rPr>
        <w:t xml:space="preserve"> is the disturbance term, </w:t>
      </w:r>
    </w:p>
    <w:p w14:paraId="6FD8B85E" w14:textId="77777777" w:rsidR="00501C58" w:rsidRPr="00AA5FDB" w:rsidRDefault="00501C58" w:rsidP="0066301C">
      <w:pPr>
        <w:spacing w:after="0" w:line="360" w:lineRule="auto"/>
        <w:jc w:val="both"/>
        <w:rPr>
          <w:rFonts w:ascii="Arial" w:hAnsi="Arial" w:cs="Arial"/>
        </w:rPr>
      </w:pPr>
      <w:r w:rsidRPr="00AA5FDB">
        <w:rPr>
          <w:rFonts w:ascii="Arial" w:hAnsi="Arial" w:cs="Arial"/>
          <w:i/>
          <w:iCs/>
        </w:rPr>
        <w:t xml:space="preserve">Ln </w:t>
      </w:r>
      <w:r w:rsidRPr="00AA5FDB">
        <w:rPr>
          <w:rFonts w:ascii="Arial" w:hAnsi="Arial" w:cs="Arial"/>
        </w:rPr>
        <w:t xml:space="preserve">stands for the natural logarithm. </w:t>
      </w:r>
    </w:p>
    <w:p w14:paraId="6825CFEE" w14:textId="77777777" w:rsidR="00501C58" w:rsidRPr="008A7E00" w:rsidRDefault="00501C58" w:rsidP="0066301C">
      <w:pPr>
        <w:spacing w:after="0" w:line="360" w:lineRule="auto"/>
        <w:jc w:val="both"/>
        <w:rPr>
          <w:rFonts w:ascii="Arial" w:hAnsi="Arial" w:cs="Arial"/>
        </w:rPr>
      </w:pPr>
      <w:r w:rsidRPr="00AA5FDB">
        <w:rPr>
          <w:rFonts w:ascii="Arial" w:hAnsi="Arial" w:cs="Arial"/>
          <w:i/>
          <w:iCs/>
        </w:rPr>
        <w:t>Ln</w:t>
      </w:r>
      <w:r w:rsidRPr="00AA5FDB">
        <w:rPr>
          <w:rFonts w:ascii="Arial" w:hAnsi="Arial" w:cs="Arial"/>
          <w:i/>
        </w:rPr>
        <w:t>REER</w:t>
      </w:r>
      <w:r w:rsidRPr="00AA5FDB">
        <w:rPr>
          <w:rFonts w:ascii="Arial" w:hAnsi="Arial" w:cs="Arial"/>
          <w:i/>
          <w:vertAlign w:val="subscript"/>
        </w:rPr>
        <w:t>t</w:t>
      </w:r>
      <w:r w:rsidRPr="00AA5FDB">
        <w:rPr>
          <w:rFonts w:ascii="Arial" w:hAnsi="Arial" w:cs="Arial"/>
        </w:rPr>
        <w:t xml:space="preserve"> is the real effective exchange rate. Here, the REER is defined in such a way that an increase represents a real devaluation of the CFA franc and a decrease represents an appreciation of the CFA franc.</w:t>
      </w:r>
    </w:p>
    <w:p w14:paraId="0DA6B8F4" w14:textId="304ACB7A" w:rsidR="00501C58" w:rsidRPr="000354BF" w:rsidRDefault="00501C58" w:rsidP="0066301C">
      <w:pPr>
        <w:spacing w:line="360" w:lineRule="auto"/>
        <w:jc w:val="both"/>
        <w:rPr>
          <w:rFonts w:ascii="Arial" w:eastAsiaTheme="minorEastAsia" w:hAnsi="Arial" w:cs="Arial"/>
        </w:rPr>
      </w:pPr>
      <w:r w:rsidRPr="00AA5FDB">
        <w:rPr>
          <w:rFonts w:ascii="Arial" w:hAnsi="Arial" w:cs="Arial"/>
        </w:rPr>
        <w:lastRenderedPageBreak/>
        <w:t xml:space="preserve"> </w:t>
      </w:r>
      <w:r w:rsidRPr="000354BF">
        <w:rPr>
          <w:rFonts w:ascii="Arial" w:hAnsi="Arial" w:cs="Arial"/>
        </w:rPr>
        <w:t xml:space="preserve">As far as the sign expectations in the above equation is concerned, it is expected that an estimate of </w:t>
      </w:r>
      <m:oMath>
        <m:sSub>
          <m:sSubPr>
            <m:ctrlPr>
              <w:rPr>
                <w:rFonts w:ascii="Cambria Math" w:hAnsi="Cambria Math" w:cs="Arial"/>
              </w:rPr>
            </m:ctrlPr>
          </m:sSubPr>
          <m:e>
            <m:r>
              <w:rPr>
                <w:rFonts w:ascii="Cambria Math" w:hAnsi="Cambria Math" w:cs="Arial"/>
              </w:rPr>
              <m:t>β</m:t>
            </m:r>
          </m:e>
          <m:sub>
            <m:r>
              <m:rPr>
                <m:sty m:val="p"/>
              </m:rPr>
              <w:rPr>
                <w:rFonts w:ascii="Cambria Math" w:hAnsi="Cambria Math" w:cs="Arial"/>
                <w:vertAlign w:val="subscript"/>
              </w:rPr>
              <m:t>2</m:t>
            </m:r>
          </m:sub>
        </m:sSub>
      </m:oMath>
      <w:r w:rsidRPr="000354BF">
        <w:rPr>
          <w:rFonts w:ascii="Arial" w:eastAsiaTheme="minorEastAsia" w:hAnsi="Arial" w:cs="Arial"/>
        </w:rPr>
        <w:t xml:space="preserve"> would be negative on the assumption that an increase in the CEMAC nations’ income will raise the demand for imports. Similarly, an increase in </w:t>
      </w:r>
      <w:r w:rsidR="00617A97">
        <w:rPr>
          <w:rFonts w:ascii="Arial" w:eastAsiaTheme="minorEastAsia" w:hAnsi="Arial" w:cs="Arial"/>
        </w:rPr>
        <w:t xml:space="preserve">the </w:t>
      </w:r>
      <w:r w:rsidRPr="000354BF">
        <w:rPr>
          <w:rFonts w:ascii="Arial" w:eastAsiaTheme="minorEastAsia" w:hAnsi="Arial" w:cs="Arial"/>
        </w:rPr>
        <w:t xml:space="preserve">partner’s income raises the exports, thereby yielding a positive estimate for </w:t>
      </w:r>
      <m:oMath>
        <m:sSub>
          <m:sSubPr>
            <m:ctrlPr>
              <w:rPr>
                <w:rFonts w:ascii="Cambria Math" w:hAnsi="Cambria Math" w:cs="Arial"/>
              </w:rPr>
            </m:ctrlPr>
          </m:sSubPr>
          <m:e>
            <m:r>
              <w:rPr>
                <w:rFonts w:ascii="Cambria Math" w:hAnsi="Cambria Math" w:cs="Arial"/>
              </w:rPr>
              <m:t>β</m:t>
            </m:r>
          </m:e>
          <m:sub>
            <m:r>
              <m:rPr>
                <m:sty m:val="p"/>
              </m:rPr>
              <w:rPr>
                <w:rFonts w:ascii="Cambria Math" w:hAnsi="Cambria Math" w:cs="Arial"/>
                <w:vertAlign w:val="subscript"/>
              </w:rPr>
              <m:t>3</m:t>
            </m:r>
          </m:sub>
        </m:sSub>
      </m:oMath>
      <w:r w:rsidRPr="000354BF">
        <w:rPr>
          <w:rFonts w:ascii="Arial" w:eastAsiaTheme="minorEastAsia" w:hAnsi="Arial" w:cs="Arial"/>
        </w:rPr>
        <w:t>. Meanwhile, the primary focus of this chapter is the coefficient for the exchange rate (</w:t>
      </w:r>
      <m:oMath>
        <m:sSub>
          <m:sSubPr>
            <m:ctrlPr>
              <w:rPr>
                <w:rFonts w:ascii="Cambria Math" w:hAnsi="Cambria Math" w:cs="Arial"/>
              </w:rPr>
            </m:ctrlPr>
          </m:sSubPr>
          <m:e>
            <m:r>
              <w:rPr>
                <w:rFonts w:ascii="Cambria Math" w:hAnsi="Cambria Math" w:cs="Arial"/>
              </w:rPr>
              <m:t>β</m:t>
            </m:r>
          </m:e>
          <m:sub>
            <m:r>
              <m:rPr>
                <m:sty m:val="p"/>
              </m:rPr>
              <w:rPr>
                <w:rFonts w:ascii="Cambria Math" w:hAnsi="Cambria Math" w:cs="Arial"/>
                <w:vertAlign w:val="subscript"/>
              </w:rPr>
              <m:t>1</m:t>
            </m:r>
          </m:sub>
        </m:sSub>
        <m:r>
          <w:rPr>
            <w:rFonts w:ascii="Cambria Math" w:hAnsi="Cambria Math" w:cs="Arial"/>
          </w:rPr>
          <m:t>)</m:t>
        </m:r>
      </m:oMath>
      <w:r w:rsidRPr="000354BF">
        <w:rPr>
          <w:rFonts w:ascii="Arial" w:eastAsiaTheme="minorEastAsia" w:hAnsi="Arial" w:cs="Arial"/>
        </w:rPr>
        <w:t>. If real devaluation of the CFA (an increase in REER) improve</w:t>
      </w:r>
      <w:r w:rsidR="0058256D">
        <w:rPr>
          <w:rFonts w:ascii="Arial" w:eastAsiaTheme="minorEastAsia" w:hAnsi="Arial" w:cs="Arial"/>
        </w:rPr>
        <w:t>s</w:t>
      </w:r>
      <w:r w:rsidRPr="000354BF">
        <w:rPr>
          <w:rFonts w:ascii="Arial" w:eastAsiaTheme="minorEastAsia" w:hAnsi="Arial" w:cs="Arial"/>
        </w:rPr>
        <w:t xml:space="preserve"> the trade balance, an estimate of </w:t>
      </w:r>
      <m:oMath>
        <m:sSub>
          <m:sSubPr>
            <m:ctrlPr>
              <w:rPr>
                <w:rFonts w:ascii="Cambria Math" w:hAnsi="Cambria Math" w:cs="Arial"/>
              </w:rPr>
            </m:ctrlPr>
          </m:sSubPr>
          <m:e>
            <m:r>
              <w:rPr>
                <w:rFonts w:ascii="Cambria Math" w:hAnsi="Cambria Math" w:cs="Arial"/>
              </w:rPr>
              <m:t>β</m:t>
            </m:r>
          </m:e>
          <m:sub>
            <m:r>
              <m:rPr>
                <m:sty m:val="p"/>
              </m:rPr>
              <w:rPr>
                <w:rFonts w:ascii="Cambria Math" w:hAnsi="Cambria Math" w:cs="Arial"/>
                <w:vertAlign w:val="subscript"/>
              </w:rPr>
              <m:t>1</m:t>
            </m:r>
          </m:sub>
        </m:sSub>
      </m:oMath>
      <w:r w:rsidRPr="000354BF">
        <w:rPr>
          <w:rFonts w:ascii="Arial" w:eastAsiaTheme="minorEastAsia" w:hAnsi="Arial" w:cs="Arial"/>
        </w:rPr>
        <w:t xml:space="preserve">should be positive. That is, we expect its long-term version to be positive </w:t>
      </w:r>
      <m:oMath>
        <m:sSub>
          <m:sSubPr>
            <m:ctrlPr>
              <w:rPr>
                <w:rFonts w:ascii="Cambria Math" w:hAnsi="Cambria Math" w:cs="Arial"/>
              </w:rPr>
            </m:ctrlPr>
          </m:sSubPr>
          <m:e>
            <m:r>
              <w:rPr>
                <w:rFonts w:ascii="Cambria Math" w:hAnsi="Cambria Math" w:cs="Arial"/>
              </w:rPr>
              <m:t>(β</m:t>
            </m:r>
          </m:e>
          <m:sub>
            <m:r>
              <m:rPr>
                <m:sty m:val="p"/>
              </m:rPr>
              <w:rPr>
                <w:rFonts w:ascii="Cambria Math" w:hAnsi="Cambria Math" w:cs="Arial"/>
                <w:vertAlign w:val="subscript"/>
              </w:rPr>
              <m:t>1</m:t>
            </m:r>
          </m:sub>
        </m:sSub>
        <m:r>
          <w:rPr>
            <w:rFonts w:ascii="Cambria Math" w:hAnsi="Cambria Math" w:cs="Arial"/>
          </w:rPr>
          <m:t>&gt;0</m:t>
        </m:r>
      </m:oMath>
      <w:r w:rsidRPr="000354BF">
        <w:rPr>
          <w:rFonts w:ascii="Arial" w:eastAsiaTheme="minorEastAsia" w:hAnsi="Arial" w:cs="Arial"/>
        </w:rPr>
        <w:t xml:space="preserve">) because, in theory, exchange rate depreciation (which is represented by an increase in REER) will lead to an improvement in the trade balance in the long-term. In the short-term, the estimate of </w:t>
      </w:r>
      <m:oMath>
        <m:sSub>
          <m:sSubPr>
            <m:ctrlPr>
              <w:rPr>
                <w:rFonts w:ascii="Cambria Math" w:hAnsi="Cambria Math" w:cs="Arial"/>
              </w:rPr>
            </m:ctrlPr>
          </m:sSubPr>
          <m:e>
            <m:r>
              <w:rPr>
                <w:rFonts w:ascii="Cambria Math" w:hAnsi="Cambria Math" w:cs="Arial"/>
              </w:rPr>
              <m:t>β</m:t>
            </m:r>
          </m:e>
          <m:sub>
            <m:r>
              <m:rPr>
                <m:sty m:val="p"/>
              </m:rPr>
              <w:rPr>
                <w:rFonts w:ascii="Cambria Math" w:hAnsi="Cambria Math" w:cs="Arial"/>
                <w:vertAlign w:val="subscript"/>
              </w:rPr>
              <m:t>1</m:t>
            </m:r>
          </m:sub>
        </m:sSub>
      </m:oMath>
      <w:r w:rsidRPr="000354BF">
        <w:rPr>
          <w:rFonts w:ascii="Arial" w:eastAsiaTheme="minorEastAsia" w:hAnsi="Arial" w:cs="Arial"/>
        </w:rPr>
        <w:t xml:space="preserve">must be negative (I.e., </w:t>
      </w:r>
      <m:oMath>
        <m:sSub>
          <m:sSubPr>
            <m:ctrlPr>
              <w:rPr>
                <w:rFonts w:ascii="Cambria Math" w:hAnsi="Cambria Math" w:cs="Arial"/>
              </w:rPr>
            </m:ctrlPr>
          </m:sSubPr>
          <m:e>
            <m:r>
              <w:rPr>
                <w:rFonts w:ascii="Cambria Math" w:hAnsi="Cambria Math" w:cs="Arial"/>
              </w:rPr>
              <m:t>β</m:t>
            </m:r>
          </m:e>
          <m:sub>
            <m:r>
              <m:rPr>
                <m:sty m:val="p"/>
              </m:rPr>
              <w:rPr>
                <w:rFonts w:ascii="Cambria Math" w:hAnsi="Cambria Math" w:cs="Arial"/>
                <w:vertAlign w:val="subscript"/>
              </w:rPr>
              <m:t>1</m:t>
            </m:r>
          </m:sub>
        </m:sSub>
        <m:r>
          <w:rPr>
            <w:rFonts w:ascii="Cambria Math" w:hAnsi="Cambria Math" w:cs="Arial"/>
          </w:rPr>
          <m:t>&lt;0</m:t>
        </m:r>
      </m:oMath>
      <w:r w:rsidRPr="000354BF">
        <w:rPr>
          <w:rFonts w:ascii="Arial" w:eastAsiaTheme="minorEastAsia" w:hAnsi="Arial" w:cs="Arial"/>
        </w:rPr>
        <w:t xml:space="preserve">) since the TB must diminish due to a dominating price effect, which will in turn engineer the </w:t>
      </w:r>
      <w:r w:rsidRPr="000354BF">
        <w:rPr>
          <w:rFonts w:ascii="Arial" w:eastAsiaTheme="minorEastAsia" w:hAnsi="Arial" w:cs="Arial"/>
          <w:i/>
          <w:iCs/>
        </w:rPr>
        <w:t>J-</w:t>
      </w:r>
      <w:r w:rsidRPr="000354BF">
        <w:rPr>
          <w:rFonts w:ascii="Arial" w:eastAsiaTheme="minorEastAsia" w:hAnsi="Arial" w:cs="Arial"/>
        </w:rPr>
        <w:t xml:space="preserve">curve dynamic. Thus, we need a method that demonstrates both the long-term and short-term behaviour of the TB in response to exchange rate innovations. </w:t>
      </w:r>
    </w:p>
    <w:p w14:paraId="5A5C2543" w14:textId="01E9BBA4" w:rsidR="00CD3BAE" w:rsidRDefault="005A3FEE" w:rsidP="0066301C">
      <w:pPr>
        <w:spacing w:line="360" w:lineRule="auto"/>
        <w:jc w:val="both"/>
        <w:rPr>
          <w:rFonts w:ascii="Arial" w:hAnsi="Arial" w:cs="Arial"/>
        </w:rPr>
      </w:pPr>
      <w:bookmarkStart w:id="431" w:name="_Hlk170837359"/>
      <w:r w:rsidRPr="57585719">
        <w:rPr>
          <w:rFonts w:ascii="Arial" w:eastAsiaTheme="minorEastAsia" w:hAnsi="Arial" w:cs="Arial"/>
        </w:rPr>
        <w:t>In this chapter, we use</w:t>
      </w:r>
      <w:r w:rsidR="00501C58">
        <w:rPr>
          <w:rFonts w:ascii="Arial" w:eastAsiaTheme="minorEastAsia" w:hAnsi="Arial" w:cs="Arial"/>
        </w:rPr>
        <w:t>d</w:t>
      </w:r>
      <w:r w:rsidRPr="57585719">
        <w:rPr>
          <w:rFonts w:ascii="Arial" w:eastAsiaTheme="minorEastAsia" w:hAnsi="Arial" w:cs="Arial"/>
        </w:rPr>
        <w:t xml:space="preserve"> the Autoregressive Distributed Lag (ARDL) of Pesaran </w:t>
      </w:r>
      <w:r w:rsidRPr="57585719">
        <w:rPr>
          <w:rFonts w:ascii="Arial" w:eastAsiaTheme="minorEastAsia" w:hAnsi="Arial" w:cs="Arial"/>
          <w:i/>
          <w:iCs/>
        </w:rPr>
        <w:t xml:space="preserve">et al. </w:t>
      </w:r>
      <w:r w:rsidRPr="57585719">
        <w:rPr>
          <w:rFonts w:ascii="Arial" w:eastAsiaTheme="minorEastAsia" w:hAnsi="Arial" w:cs="Arial"/>
        </w:rPr>
        <w:t>(2001)</w:t>
      </w:r>
      <w:r w:rsidR="00CD3BAE" w:rsidRPr="57585719">
        <w:rPr>
          <w:rFonts w:ascii="Arial" w:eastAsiaTheme="minorEastAsia" w:hAnsi="Arial" w:cs="Arial"/>
        </w:rPr>
        <w:t>.</w:t>
      </w:r>
      <w:r w:rsidR="001063F7" w:rsidRPr="57585719">
        <w:rPr>
          <w:rFonts w:ascii="Arial" w:eastAsiaTheme="minorEastAsia" w:hAnsi="Arial" w:cs="Arial"/>
        </w:rPr>
        <w:t xml:space="preserve"> </w:t>
      </w:r>
      <w:r w:rsidR="001063F7" w:rsidRPr="000354BF">
        <w:rPr>
          <w:rFonts w:ascii="Arial" w:hAnsi="Arial" w:cs="Arial"/>
          <w:lang w:val="en-US"/>
        </w:rPr>
        <w:t xml:space="preserve">This approach is used due to the following advantages it possesses: i) The short- and long- terms parameters are estimated simultaneously. ii) It can be applied irrespective of whether the variables are integrated of order zero (i.e., the variables are stationary at level form - I(0)) or integrated of order one (i.e., the variables become stationary at first difference - I(1)). </w:t>
      </w:r>
      <w:bookmarkStart w:id="432" w:name="_Hlk170839225"/>
      <w:bookmarkEnd w:id="431"/>
      <w:r w:rsidR="001063F7" w:rsidRPr="000354BF">
        <w:rPr>
          <w:rFonts w:ascii="Arial" w:hAnsi="Arial" w:cs="Arial"/>
          <w:lang w:val="en-US"/>
        </w:rPr>
        <w:t xml:space="preserve">iii) It has a better small sample property vis-à-vis multivariate cointegration test (i.e., it is more useful when sample size is small between 30 to 80 observations) (Mndaka </w:t>
      </w:r>
      <w:r w:rsidR="001063F7" w:rsidRPr="57585719">
        <w:rPr>
          <w:rFonts w:ascii="Arial" w:hAnsi="Arial" w:cs="Arial"/>
          <w:i/>
          <w:iCs/>
          <w:lang w:val="en-US"/>
        </w:rPr>
        <w:t>et al</w:t>
      </w:r>
      <w:r w:rsidR="001063F7" w:rsidRPr="000354BF">
        <w:rPr>
          <w:rFonts w:ascii="Arial" w:hAnsi="Arial" w:cs="Arial"/>
          <w:lang w:val="en-US"/>
        </w:rPr>
        <w:t>., 2022). iv) The ARDL bounds testing approach to cointegration is free from any problem faced by traditional techniques such as Engle-Granger (1987), Philips and Hansen (1990), Johansen and Juselius (1990), Johansen (1991) and Johansen (1992) maximum likelihood ratio in economic literature. The error correction method integrates the short-term dynamics with the long-term equilibrium, without losing long-term information.</w:t>
      </w:r>
      <w:r w:rsidR="00CD3BAE">
        <w:rPr>
          <w:rFonts w:ascii="Arial" w:hAnsi="Arial" w:cs="Arial"/>
          <w:lang w:val="en-US"/>
        </w:rPr>
        <w:t xml:space="preserve"> </w:t>
      </w:r>
      <w:r w:rsidR="004A3C4B">
        <w:rPr>
          <w:rFonts w:ascii="Arial" w:hAnsi="Arial" w:cs="Arial"/>
        </w:rPr>
        <w:t>The estimation procedure for the A</w:t>
      </w:r>
      <w:r w:rsidR="00042E8A">
        <w:rPr>
          <w:rFonts w:ascii="Arial" w:hAnsi="Arial" w:cs="Arial"/>
        </w:rPr>
        <w:t>RDL approach</w:t>
      </w:r>
      <w:r w:rsidR="004A3C4B">
        <w:rPr>
          <w:rFonts w:ascii="Arial" w:hAnsi="Arial" w:cs="Arial"/>
        </w:rPr>
        <w:t xml:space="preserve"> entails the following steps</w:t>
      </w:r>
      <w:r w:rsidR="00B36F38">
        <w:rPr>
          <w:rFonts w:ascii="Arial" w:hAnsi="Arial" w:cs="Arial"/>
        </w:rPr>
        <w:t>:</w:t>
      </w:r>
      <w:r w:rsidR="004A3C4B">
        <w:rPr>
          <w:rStyle w:val="FootnoteReference"/>
          <w:rFonts w:ascii="Arial" w:hAnsi="Arial" w:cs="Arial"/>
        </w:rPr>
        <w:footnoteReference w:id="103"/>
      </w:r>
    </w:p>
    <w:bookmarkEnd w:id="432"/>
    <w:p w14:paraId="39E6B0CF" w14:textId="77777777" w:rsidR="003C3582" w:rsidRPr="003C3582" w:rsidRDefault="003C3582" w:rsidP="0066301C">
      <w:pPr>
        <w:spacing w:after="0" w:line="360" w:lineRule="auto"/>
        <w:jc w:val="both"/>
        <w:rPr>
          <w:rFonts w:ascii="Arial" w:hAnsi="Arial" w:cs="Arial"/>
          <w:b/>
          <w:bCs/>
        </w:rPr>
      </w:pPr>
      <w:r w:rsidRPr="003C3582">
        <w:rPr>
          <w:rFonts w:ascii="Arial" w:hAnsi="Arial" w:cs="Arial"/>
          <w:b/>
          <w:bCs/>
        </w:rPr>
        <w:t>The steps to estimate ARDL Model using EViews 12 are as follows:</w:t>
      </w:r>
    </w:p>
    <w:p w14:paraId="6219CA04" w14:textId="77777777" w:rsidR="003C3582" w:rsidRPr="003C3582" w:rsidRDefault="003C3582" w:rsidP="0066301C">
      <w:pPr>
        <w:pStyle w:val="NoSpacing"/>
        <w:numPr>
          <w:ilvl w:val="0"/>
          <w:numId w:val="15"/>
        </w:numPr>
        <w:autoSpaceDE w:val="0"/>
        <w:autoSpaceDN w:val="0"/>
        <w:adjustRightInd w:val="0"/>
        <w:spacing w:line="360" w:lineRule="auto"/>
        <w:jc w:val="both"/>
        <w:rPr>
          <w:rFonts w:ascii="Arial" w:hAnsi="Arial" w:cs="Arial"/>
        </w:rPr>
      </w:pPr>
      <w:r w:rsidRPr="003C3582">
        <w:rPr>
          <w:rFonts w:ascii="Arial" w:hAnsi="Arial" w:cs="Arial"/>
        </w:rPr>
        <w:t>Perform some Diagnostic Test.</w:t>
      </w:r>
    </w:p>
    <w:p w14:paraId="1267ECF9" w14:textId="77777777" w:rsidR="003C3582" w:rsidRPr="003C3582" w:rsidRDefault="003C3582" w:rsidP="0066301C">
      <w:pPr>
        <w:pStyle w:val="ListParagraph"/>
        <w:numPr>
          <w:ilvl w:val="0"/>
          <w:numId w:val="15"/>
        </w:numPr>
        <w:autoSpaceDE w:val="0"/>
        <w:autoSpaceDN w:val="0"/>
        <w:adjustRightInd w:val="0"/>
        <w:spacing w:after="0" w:line="360" w:lineRule="auto"/>
        <w:jc w:val="both"/>
        <w:rPr>
          <w:rFonts w:ascii="Arial" w:hAnsi="Arial" w:cs="Arial"/>
        </w:rPr>
      </w:pPr>
      <w:r w:rsidRPr="003C3582">
        <w:rPr>
          <w:rFonts w:ascii="Arial" w:hAnsi="Arial" w:cs="Arial"/>
        </w:rPr>
        <w:t>Determine the optimal lag length (p) using the information criterion.</w:t>
      </w:r>
    </w:p>
    <w:p w14:paraId="37FAC70D" w14:textId="77777777" w:rsidR="003C3582" w:rsidRPr="003C3582" w:rsidRDefault="003C3582" w:rsidP="0066301C">
      <w:pPr>
        <w:pStyle w:val="NoSpacing"/>
        <w:numPr>
          <w:ilvl w:val="0"/>
          <w:numId w:val="15"/>
        </w:numPr>
        <w:spacing w:line="360" w:lineRule="auto"/>
        <w:jc w:val="both"/>
        <w:rPr>
          <w:rFonts w:ascii="Arial" w:hAnsi="Arial" w:cs="Arial"/>
        </w:rPr>
      </w:pPr>
      <w:r w:rsidRPr="003C3582">
        <w:rPr>
          <w:rFonts w:ascii="Arial" w:hAnsi="Arial" w:cs="Arial"/>
        </w:rPr>
        <w:t>Test for Stationarity (Unit Root).</w:t>
      </w:r>
    </w:p>
    <w:p w14:paraId="2AB31936" w14:textId="77777777" w:rsidR="003C3582" w:rsidRPr="003C3582" w:rsidRDefault="003C3582" w:rsidP="0066301C">
      <w:pPr>
        <w:pStyle w:val="NoSpacing"/>
        <w:spacing w:line="360" w:lineRule="auto"/>
        <w:ind w:left="720"/>
        <w:jc w:val="both"/>
        <w:rPr>
          <w:rFonts w:ascii="Arial" w:hAnsi="Arial" w:cs="Arial"/>
        </w:rPr>
      </w:pPr>
      <w:r w:rsidRPr="003C3582">
        <w:rPr>
          <w:rFonts w:ascii="Arial" w:hAnsi="Arial" w:cs="Arial"/>
        </w:rPr>
        <w:t>a) If Unit Root stationary at level I(0), we can use Simple regression.</w:t>
      </w:r>
    </w:p>
    <w:p w14:paraId="33DAFE24" w14:textId="77777777" w:rsidR="003C3582" w:rsidRPr="003C3582" w:rsidRDefault="003C3582" w:rsidP="0066301C">
      <w:pPr>
        <w:pStyle w:val="NoSpacing"/>
        <w:spacing w:line="360" w:lineRule="auto"/>
        <w:ind w:left="720"/>
        <w:jc w:val="both"/>
        <w:rPr>
          <w:rFonts w:ascii="Arial" w:hAnsi="Arial" w:cs="Arial"/>
        </w:rPr>
      </w:pPr>
      <w:r w:rsidRPr="003C3582">
        <w:rPr>
          <w:rFonts w:ascii="Arial" w:hAnsi="Arial" w:cs="Arial"/>
        </w:rPr>
        <w:t>b) If Unit Root stationary at first difference I(1), we can apply cointegration.</w:t>
      </w:r>
    </w:p>
    <w:p w14:paraId="73547687" w14:textId="1A20B753" w:rsidR="003C3582" w:rsidRPr="003C3582" w:rsidRDefault="003C3582" w:rsidP="0066301C">
      <w:pPr>
        <w:pStyle w:val="NoSpacing"/>
        <w:spacing w:line="360" w:lineRule="auto"/>
        <w:ind w:left="720"/>
        <w:jc w:val="both"/>
        <w:rPr>
          <w:rFonts w:ascii="Arial" w:hAnsi="Arial" w:cs="Arial"/>
        </w:rPr>
      </w:pPr>
      <w:r w:rsidRPr="003C3582">
        <w:rPr>
          <w:rFonts w:ascii="Arial" w:hAnsi="Arial" w:cs="Arial"/>
        </w:rPr>
        <w:t>c)</w:t>
      </w:r>
      <w:r>
        <w:rPr>
          <w:rFonts w:ascii="Arial" w:hAnsi="Arial" w:cs="Arial"/>
        </w:rPr>
        <w:t xml:space="preserve"> </w:t>
      </w:r>
      <w:r w:rsidRPr="003C3582">
        <w:rPr>
          <w:rFonts w:ascii="Arial" w:hAnsi="Arial" w:cs="Arial"/>
        </w:rPr>
        <w:t xml:space="preserve">If Unit Root stationary at level I(0) and first difference I(1) not second difference I(2), we apply ARDL model. </w:t>
      </w:r>
    </w:p>
    <w:p w14:paraId="0A5415E1" w14:textId="77777777" w:rsidR="003C3582" w:rsidRPr="003C3582" w:rsidRDefault="003C3582" w:rsidP="0066301C">
      <w:pPr>
        <w:pStyle w:val="NoSpacing"/>
        <w:numPr>
          <w:ilvl w:val="0"/>
          <w:numId w:val="15"/>
        </w:numPr>
        <w:spacing w:line="360" w:lineRule="auto"/>
        <w:jc w:val="both"/>
        <w:rPr>
          <w:rFonts w:ascii="Arial" w:hAnsi="Arial" w:cs="Arial"/>
        </w:rPr>
      </w:pPr>
      <w:r w:rsidRPr="003C3582">
        <w:rPr>
          <w:rFonts w:ascii="Arial" w:hAnsi="Arial" w:cs="Arial"/>
        </w:rPr>
        <w:t>Perform ARDL test</w:t>
      </w:r>
    </w:p>
    <w:p w14:paraId="56D7FD87" w14:textId="77777777" w:rsidR="003C3582" w:rsidRPr="003C3582" w:rsidRDefault="003C3582" w:rsidP="0066301C">
      <w:pPr>
        <w:pStyle w:val="NoSpacing"/>
        <w:numPr>
          <w:ilvl w:val="1"/>
          <w:numId w:val="15"/>
        </w:numPr>
        <w:spacing w:line="360" w:lineRule="auto"/>
        <w:ind w:left="993" w:hanging="219"/>
        <w:jc w:val="both"/>
        <w:rPr>
          <w:rFonts w:ascii="Arial" w:hAnsi="Arial" w:cs="Arial"/>
        </w:rPr>
      </w:pPr>
      <w:r w:rsidRPr="003C3582">
        <w:rPr>
          <w:rFonts w:ascii="Arial" w:hAnsi="Arial" w:cs="Arial"/>
        </w:rPr>
        <w:lastRenderedPageBreak/>
        <w:t>Test for cointegration and long-run form (Short-run and Long-run estimation).</w:t>
      </w:r>
    </w:p>
    <w:p w14:paraId="37260500" w14:textId="77777777" w:rsidR="003C3582" w:rsidRPr="003C3582" w:rsidRDefault="003C3582" w:rsidP="0066301C">
      <w:pPr>
        <w:pStyle w:val="NoSpacing"/>
        <w:numPr>
          <w:ilvl w:val="1"/>
          <w:numId w:val="15"/>
        </w:numPr>
        <w:spacing w:line="360" w:lineRule="auto"/>
        <w:ind w:left="993" w:hanging="219"/>
        <w:jc w:val="both"/>
        <w:rPr>
          <w:rFonts w:ascii="Arial" w:hAnsi="Arial" w:cs="Arial"/>
        </w:rPr>
      </w:pPr>
      <w:r w:rsidRPr="003C3582">
        <w:rPr>
          <w:rFonts w:ascii="Arial" w:hAnsi="Arial" w:cs="Arial"/>
        </w:rPr>
        <w:t>Test for Bound Test (F-statistics).</w:t>
      </w:r>
    </w:p>
    <w:p w14:paraId="489AAC7D" w14:textId="77777777" w:rsidR="003C3582" w:rsidRPr="0020008E" w:rsidRDefault="003C3582" w:rsidP="0066301C">
      <w:pPr>
        <w:pStyle w:val="NoSpacing"/>
        <w:numPr>
          <w:ilvl w:val="0"/>
          <w:numId w:val="15"/>
        </w:numPr>
        <w:spacing w:line="360" w:lineRule="auto"/>
        <w:jc w:val="both"/>
        <w:rPr>
          <w:rFonts w:ascii="Arial" w:hAnsi="Arial" w:cs="Arial"/>
        </w:rPr>
      </w:pPr>
      <w:r w:rsidRPr="0020008E">
        <w:rPr>
          <w:rFonts w:ascii="Arial" w:hAnsi="Arial" w:cs="Arial"/>
        </w:rPr>
        <w:t>If there is cointegration, we apply Error Correction Model (ECM).</w:t>
      </w:r>
    </w:p>
    <w:p w14:paraId="70D808EE" w14:textId="77777777" w:rsidR="003C3582" w:rsidRPr="003C3582" w:rsidRDefault="003C3582" w:rsidP="0066301C">
      <w:pPr>
        <w:pStyle w:val="NoSpacing"/>
        <w:numPr>
          <w:ilvl w:val="0"/>
          <w:numId w:val="15"/>
        </w:numPr>
        <w:spacing w:line="360" w:lineRule="auto"/>
        <w:jc w:val="both"/>
        <w:rPr>
          <w:rFonts w:ascii="Arial" w:hAnsi="Arial" w:cs="Arial"/>
        </w:rPr>
      </w:pPr>
      <w:r w:rsidRPr="003C3582">
        <w:rPr>
          <w:rFonts w:ascii="Arial" w:hAnsi="Arial" w:cs="Arial"/>
        </w:rPr>
        <w:t>If there is no cointegration, we apply VAR model.</w:t>
      </w:r>
    </w:p>
    <w:p w14:paraId="6DBF0EFA" w14:textId="4B247393" w:rsidR="003C3582" w:rsidRPr="00FF3A22" w:rsidRDefault="003C3582" w:rsidP="0066301C">
      <w:pPr>
        <w:pStyle w:val="NoSpacing"/>
        <w:numPr>
          <w:ilvl w:val="0"/>
          <w:numId w:val="15"/>
        </w:numPr>
        <w:spacing w:line="360" w:lineRule="auto"/>
        <w:jc w:val="both"/>
        <w:rPr>
          <w:rFonts w:ascii="Arial" w:hAnsi="Arial" w:cs="Arial"/>
        </w:rPr>
      </w:pPr>
      <w:r w:rsidRPr="003C3582">
        <w:rPr>
          <w:rFonts w:ascii="Arial" w:hAnsi="Arial" w:cs="Arial"/>
        </w:rPr>
        <w:t>Ensure the model is stable by applying (CUSUM and CUSUMQ graph).</w:t>
      </w:r>
    </w:p>
    <w:p w14:paraId="3030ABFA" w14:textId="46319077" w:rsidR="002F2E27" w:rsidRDefault="00E86083" w:rsidP="0066301C">
      <w:pPr>
        <w:pStyle w:val="Heading3"/>
        <w:numPr>
          <w:ilvl w:val="0"/>
          <w:numId w:val="0"/>
        </w:numPr>
        <w:spacing w:before="0" w:beforeAutospacing="0"/>
      </w:pPr>
      <w:bookmarkStart w:id="433" w:name="_Toc171075405"/>
      <w:r>
        <w:t>4</w:t>
      </w:r>
      <w:r w:rsidR="002F2E27">
        <w:t>.</w:t>
      </w:r>
      <w:r w:rsidR="00165F03">
        <w:t>5</w:t>
      </w:r>
      <w:r w:rsidR="00837A52">
        <w:t>.1</w:t>
      </w:r>
      <w:r w:rsidR="00165F03">
        <w:tab/>
      </w:r>
      <w:r w:rsidR="002F2E27" w:rsidRPr="00837A52">
        <w:t>DIAGNOSTIC</w:t>
      </w:r>
      <w:r w:rsidR="002F2E27">
        <w:t xml:space="preserve"> TEST</w:t>
      </w:r>
      <w:r w:rsidR="00B8180F">
        <w:t>S</w:t>
      </w:r>
      <w:bookmarkEnd w:id="433"/>
    </w:p>
    <w:p w14:paraId="564260AC" w14:textId="77777777" w:rsidR="002F2E27" w:rsidRDefault="002F2E27" w:rsidP="0066301C">
      <w:pPr>
        <w:autoSpaceDE w:val="0"/>
        <w:autoSpaceDN w:val="0"/>
        <w:adjustRightInd w:val="0"/>
        <w:spacing w:line="360" w:lineRule="auto"/>
        <w:jc w:val="both"/>
        <w:rPr>
          <w:rFonts w:ascii="Arial" w:hAnsi="Arial" w:cs="Arial"/>
        </w:rPr>
      </w:pPr>
      <w:r>
        <w:rPr>
          <w:rFonts w:ascii="Arial" w:hAnsi="Arial" w:cs="Arial"/>
        </w:rPr>
        <w:t>To assess the reliability of the results, several diagnostic tests will be performed. The three main tests done are: VEC residual normality test, VEC residual heteroscedasticity test, VEC residual serial correlation (Autocorrelation) test.</w:t>
      </w:r>
      <w:r>
        <w:rPr>
          <w:rFonts w:ascii="Arial" w:hAnsi="Arial" w:cs="Arial"/>
          <w:b/>
        </w:rPr>
        <w:t xml:space="preserve"> </w:t>
      </w:r>
      <w:r>
        <w:rPr>
          <w:rFonts w:ascii="Arial" w:hAnsi="Arial" w:cs="Arial"/>
        </w:rPr>
        <w:t xml:space="preserve">These tests will be performed on EViews 12, and the normality test result is composed of the results for Skewness, Kurtosis, and Jarque-Bera. We are interested in the </w:t>
      </w:r>
      <w:bookmarkStart w:id="434" w:name="_Hlk134477615"/>
      <w:r>
        <w:rPr>
          <w:rFonts w:ascii="Arial" w:hAnsi="Arial" w:cs="Arial"/>
        </w:rPr>
        <w:t xml:space="preserve">Jarque-Bera test </w:t>
      </w:r>
      <w:bookmarkEnd w:id="434"/>
      <w:r>
        <w:rPr>
          <w:rFonts w:ascii="Arial" w:hAnsi="Arial" w:cs="Arial"/>
        </w:rPr>
        <w:t xml:space="preserve">because it factors in both the Skewness, and Kurtosis in its computation. If the </w:t>
      </w:r>
      <w:r>
        <w:rPr>
          <w:rFonts w:ascii="Arial" w:hAnsi="Arial" w:cs="Arial"/>
          <w:i/>
        </w:rPr>
        <w:t>p-</w:t>
      </w:r>
      <w:r>
        <w:rPr>
          <w:rFonts w:ascii="Arial" w:hAnsi="Arial" w:cs="Arial"/>
        </w:rPr>
        <w:t xml:space="preserve">value &gt; 0.05, it implies that the residuals are normally distributed, and vice versa if the </w:t>
      </w:r>
      <w:r>
        <w:rPr>
          <w:rFonts w:ascii="Arial" w:hAnsi="Arial" w:cs="Arial"/>
          <w:i/>
        </w:rPr>
        <w:t>p-</w:t>
      </w:r>
      <w:r>
        <w:rPr>
          <w:rFonts w:ascii="Arial" w:hAnsi="Arial" w:cs="Arial"/>
        </w:rPr>
        <w:t xml:space="preserve">value &lt; 0.05. The </w:t>
      </w:r>
      <w:r>
        <w:rPr>
          <w:rFonts w:ascii="Arial" w:hAnsi="Arial" w:cs="Arial"/>
          <w:i/>
        </w:rPr>
        <w:t>p-</w:t>
      </w:r>
      <w:r>
        <w:rPr>
          <w:rFonts w:ascii="Arial" w:hAnsi="Arial" w:cs="Arial"/>
        </w:rPr>
        <w:t>value of both the heteroscedasticity test and the serial correlation test must also be greater than 5% for the model to be good.</w:t>
      </w:r>
    </w:p>
    <w:p w14:paraId="4B8391EE" w14:textId="77777777" w:rsidR="002F2E27" w:rsidRDefault="002F2E27" w:rsidP="0066301C">
      <w:pPr>
        <w:spacing w:line="360" w:lineRule="auto"/>
        <w:jc w:val="both"/>
        <w:rPr>
          <w:rFonts w:ascii="Arial" w:hAnsi="Arial" w:cs="Arial"/>
        </w:rPr>
      </w:pPr>
      <w:r>
        <w:rPr>
          <w:rFonts w:ascii="Arial" w:hAnsi="Arial" w:cs="Arial"/>
          <w:b/>
        </w:rPr>
        <w:t xml:space="preserve">Normality Test: </w:t>
      </w:r>
      <w:r>
        <w:rPr>
          <w:rFonts w:ascii="Arial" w:hAnsi="Arial" w:cs="Arial"/>
        </w:rPr>
        <w:t xml:space="preserve">The normality test allows us to determine if the data is normal or not. The normality test is a test for the normality of data (i.e., it is a specific statistical distribution called a normal distribution or Gaussian distribution or bell-shaped curve). The normal distribution is a symmetrical continuous distribution defined by the mean and standard deviation of the data. </w:t>
      </w:r>
      <w:bookmarkStart w:id="435" w:name="_Hlk134477808"/>
      <w:r>
        <w:rPr>
          <w:rFonts w:ascii="Arial" w:hAnsi="Arial" w:cs="Arial"/>
        </w:rPr>
        <w:t xml:space="preserve">The normality test </w:t>
      </w:r>
      <w:bookmarkEnd w:id="435"/>
      <w:r>
        <w:rPr>
          <w:rFonts w:ascii="Arial" w:hAnsi="Arial" w:cs="Arial"/>
        </w:rPr>
        <w:t xml:space="preserve">is not whether the data is exactly consistent with a normal distribution, rather if the data is close enough to normal that one could use statistical tools without concern. The normality test is a hypothesis test; whereby: </w:t>
      </w:r>
    </w:p>
    <w:p w14:paraId="313DD444" w14:textId="77777777" w:rsidR="006A6B47" w:rsidRDefault="002F2E27" w:rsidP="0066301C">
      <w:pPr>
        <w:spacing w:line="360" w:lineRule="auto"/>
        <w:jc w:val="both"/>
        <w:rPr>
          <w:rFonts w:ascii="Arial" w:hAnsi="Arial" w:cs="Arial"/>
        </w:rPr>
      </w:pPr>
      <w:bookmarkStart w:id="436" w:name="_Hlk134478044"/>
      <w:r>
        <w:rPr>
          <w:rFonts w:ascii="Arial" w:hAnsi="Arial" w:cs="Arial"/>
        </w:rPr>
        <w:t>The null hypothesis (H</w:t>
      </w:r>
      <w:r>
        <w:rPr>
          <w:rFonts w:ascii="Arial" w:hAnsi="Arial" w:cs="Arial"/>
          <w:vertAlign w:val="subscript"/>
        </w:rPr>
        <w:t>0</w:t>
      </w:r>
      <w:r>
        <w:rPr>
          <w:rFonts w:ascii="Arial" w:hAnsi="Arial" w:cs="Arial"/>
        </w:rPr>
        <w:t xml:space="preserve">): the data is not different from a normal distribution and the </w:t>
      </w:r>
      <w:r>
        <w:rPr>
          <w:rFonts w:ascii="Arial" w:hAnsi="Arial" w:cs="Arial"/>
          <w:i/>
        </w:rPr>
        <w:t>p-</w:t>
      </w:r>
      <w:r>
        <w:rPr>
          <w:rFonts w:ascii="Arial" w:hAnsi="Arial" w:cs="Arial"/>
        </w:rPr>
        <w:t>value &gt; 0.05 (i.e., the residual of the components is normally distributed).</w:t>
      </w:r>
      <w:bookmarkEnd w:id="436"/>
      <w:r>
        <w:rPr>
          <w:rFonts w:ascii="Arial" w:hAnsi="Arial" w:cs="Arial"/>
        </w:rPr>
        <w:t xml:space="preserve"> </w:t>
      </w:r>
    </w:p>
    <w:p w14:paraId="59FA516F" w14:textId="77777777" w:rsidR="006A6B47" w:rsidRDefault="002F2E27" w:rsidP="0066301C">
      <w:pPr>
        <w:spacing w:line="360" w:lineRule="auto"/>
        <w:jc w:val="both"/>
        <w:rPr>
          <w:rFonts w:ascii="Arial" w:hAnsi="Arial" w:cs="Arial"/>
        </w:rPr>
      </w:pPr>
      <w:r>
        <w:rPr>
          <w:rFonts w:ascii="Arial" w:hAnsi="Arial" w:cs="Arial"/>
        </w:rPr>
        <w:t>The alternative hypothesis (H</w:t>
      </w:r>
      <w:r>
        <w:rPr>
          <w:rFonts w:ascii="Arial" w:hAnsi="Arial" w:cs="Arial"/>
          <w:vertAlign w:val="subscript"/>
        </w:rPr>
        <w:t>1</w:t>
      </w:r>
      <w:r>
        <w:rPr>
          <w:rFonts w:ascii="Arial" w:hAnsi="Arial" w:cs="Arial"/>
        </w:rPr>
        <w:t xml:space="preserve">): the data is different from a normal distribution and the </w:t>
      </w:r>
      <w:r>
        <w:rPr>
          <w:rFonts w:ascii="Arial" w:hAnsi="Arial" w:cs="Arial"/>
          <w:i/>
        </w:rPr>
        <w:t>p-</w:t>
      </w:r>
      <w:r>
        <w:rPr>
          <w:rFonts w:ascii="Arial" w:hAnsi="Arial" w:cs="Arial"/>
        </w:rPr>
        <w:t xml:space="preserve">value &lt; 0.05 (i.e., the residual of the components is not normally distributed). </w:t>
      </w:r>
    </w:p>
    <w:p w14:paraId="11824370" w14:textId="2C0514C3" w:rsidR="002F2E27" w:rsidRDefault="002F2E27" w:rsidP="0066301C">
      <w:pPr>
        <w:spacing w:line="360" w:lineRule="auto"/>
        <w:jc w:val="both"/>
        <w:rPr>
          <w:rFonts w:ascii="Arial" w:hAnsi="Arial" w:cs="Arial"/>
        </w:rPr>
      </w:pPr>
      <w:r>
        <w:rPr>
          <w:rFonts w:ascii="Arial" w:hAnsi="Arial" w:cs="Arial"/>
        </w:rPr>
        <w:t>Using EViews 12, the normality test result is composed of the results for Skewness, Kurtosis, and Jarque-Bera. We are interested in the Jarque-Bera (JB) test because it factors in both the Skewness, and Kurtosis in its computation.</w:t>
      </w:r>
      <w:r>
        <w:rPr>
          <w:rStyle w:val="FootnoteReference"/>
          <w:rFonts w:ascii="Arial" w:hAnsi="Arial" w:cs="Arial"/>
        </w:rPr>
        <w:footnoteReference w:id="104"/>
      </w:r>
      <w:r>
        <w:rPr>
          <w:rFonts w:ascii="Arial" w:hAnsi="Arial" w:cs="Arial"/>
        </w:rPr>
        <w:t xml:space="preserve"> If the </w:t>
      </w:r>
      <w:r w:rsidRPr="57585719">
        <w:rPr>
          <w:rFonts w:ascii="Arial" w:hAnsi="Arial" w:cs="Arial"/>
          <w:i/>
          <w:iCs/>
        </w:rPr>
        <w:t>p-</w:t>
      </w:r>
      <w:r>
        <w:rPr>
          <w:rFonts w:ascii="Arial" w:hAnsi="Arial" w:cs="Arial"/>
        </w:rPr>
        <w:t xml:space="preserve">value &gt; 0.05, it implies that the residuals are normally distributed, and vice versa if the </w:t>
      </w:r>
      <w:r w:rsidRPr="57585719">
        <w:rPr>
          <w:rFonts w:ascii="Arial" w:hAnsi="Arial" w:cs="Arial"/>
          <w:i/>
          <w:iCs/>
        </w:rPr>
        <w:t>p-</w:t>
      </w:r>
      <w:r>
        <w:rPr>
          <w:rFonts w:ascii="Arial" w:hAnsi="Arial" w:cs="Arial"/>
        </w:rPr>
        <w:t xml:space="preserve">value &lt; 0.05. </w:t>
      </w:r>
    </w:p>
    <w:p w14:paraId="4D61C959" w14:textId="24841AEF" w:rsidR="002F2E27" w:rsidRDefault="002F2E27" w:rsidP="0066301C">
      <w:pPr>
        <w:spacing w:line="360" w:lineRule="auto"/>
        <w:jc w:val="both"/>
        <w:rPr>
          <w:rFonts w:ascii="Arial" w:hAnsi="Arial" w:cs="Arial"/>
        </w:rPr>
      </w:pPr>
      <w:r>
        <w:rPr>
          <w:rFonts w:ascii="Arial" w:hAnsi="Arial" w:cs="Arial"/>
          <w:b/>
        </w:rPr>
        <w:lastRenderedPageBreak/>
        <w:t>Serial Correlation Test</w:t>
      </w:r>
      <w:r>
        <w:rPr>
          <w:rFonts w:ascii="Arial" w:hAnsi="Arial" w:cs="Arial"/>
        </w:rPr>
        <w:t>: Also known as autocorrelation test, is a test to measure the relationship between a variable’s present value and any past values. In other words, it is a test to ensure that the past values of a time series do not influence the present value. Autocorrelation is an ideal method for uncovering trends and patterns in times series data that would have otherwise gone undiscovered. As such, this might cause our analysis to be bias</w:t>
      </w:r>
      <w:r w:rsidR="00160CDC">
        <w:rPr>
          <w:rFonts w:ascii="Arial" w:hAnsi="Arial" w:cs="Arial"/>
        </w:rPr>
        <w:t>ed</w:t>
      </w:r>
      <w:r>
        <w:rPr>
          <w:rFonts w:ascii="Arial" w:hAnsi="Arial" w:cs="Arial"/>
        </w:rPr>
        <w:t xml:space="preserve"> since the time series is not independent as errors in one period depends on error in previous period(s). Autocorrelation could often be removed by adding additional explanatory (independent) variables and/or changing functional form.</w:t>
      </w:r>
    </w:p>
    <w:p w14:paraId="3B7634DF" w14:textId="77777777" w:rsidR="002F2E27" w:rsidRDefault="002F2E27" w:rsidP="0066301C">
      <w:pPr>
        <w:spacing w:line="360" w:lineRule="auto"/>
        <w:jc w:val="both"/>
        <w:rPr>
          <w:rFonts w:ascii="Arial" w:hAnsi="Arial" w:cs="Arial"/>
        </w:rPr>
      </w:pPr>
      <w:bookmarkStart w:id="437" w:name="_Hlk134477724"/>
      <w:r>
        <w:rPr>
          <w:rFonts w:ascii="Arial" w:hAnsi="Arial" w:cs="Arial"/>
        </w:rPr>
        <w:t>The null hypothesis (H</w:t>
      </w:r>
      <w:r>
        <w:rPr>
          <w:rFonts w:ascii="Arial" w:hAnsi="Arial" w:cs="Arial"/>
          <w:vertAlign w:val="subscript"/>
        </w:rPr>
        <w:t>0</w:t>
      </w:r>
      <w:r>
        <w:rPr>
          <w:rFonts w:ascii="Arial" w:hAnsi="Arial" w:cs="Arial"/>
        </w:rPr>
        <w:t xml:space="preserve">): there is no autocorrelation in the data and the </w:t>
      </w:r>
      <w:r>
        <w:rPr>
          <w:rFonts w:ascii="Arial" w:hAnsi="Arial" w:cs="Arial"/>
          <w:i/>
        </w:rPr>
        <w:t>p-</w:t>
      </w:r>
      <w:r>
        <w:rPr>
          <w:rFonts w:ascii="Arial" w:hAnsi="Arial" w:cs="Arial"/>
        </w:rPr>
        <w:t xml:space="preserve">value &gt; 0.05. </w:t>
      </w:r>
    </w:p>
    <w:bookmarkEnd w:id="437"/>
    <w:p w14:paraId="40D72B2C" w14:textId="77777777" w:rsidR="002F2E27" w:rsidRDefault="002F2E27" w:rsidP="0066301C">
      <w:pPr>
        <w:spacing w:line="360" w:lineRule="auto"/>
        <w:jc w:val="both"/>
        <w:rPr>
          <w:rFonts w:ascii="Arial" w:hAnsi="Arial" w:cs="Arial"/>
        </w:rPr>
      </w:pPr>
      <w:r>
        <w:rPr>
          <w:rFonts w:ascii="Arial" w:hAnsi="Arial" w:cs="Arial"/>
        </w:rPr>
        <w:t>The alternative hypothesis (H</w:t>
      </w:r>
      <w:r>
        <w:rPr>
          <w:rFonts w:ascii="Arial" w:hAnsi="Arial" w:cs="Arial"/>
          <w:vertAlign w:val="subscript"/>
        </w:rPr>
        <w:t>1</w:t>
      </w:r>
      <w:r>
        <w:rPr>
          <w:rFonts w:ascii="Arial" w:hAnsi="Arial" w:cs="Arial"/>
        </w:rPr>
        <w:t xml:space="preserve">): there is autocorrelation in the data and the </w:t>
      </w:r>
      <w:r>
        <w:rPr>
          <w:rFonts w:ascii="Arial" w:hAnsi="Arial" w:cs="Arial"/>
          <w:i/>
        </w:rPr>
        <w:t>p-</w:t>
      </w:r>
      <w:r>
        <w:rPr>
          <w:rFonts w:ascii="Arial" w:hAnsi="Arial" w:cs="Arial"/>
        </w:rPr>
        <w:t>value &lt; 0.05.</w:t>
      </w:r>
    </w:p>
    <w:p w14:paraId="19A020DC" w14:textId="3E1E0329" w:rsidR="002F2E27" w:rsidRDefault="002F2E27" w:rsidP="0066301C">
      <w:pPr>
        <w:spacing w:line="360" w:lineRule="auto"/>
        <w:jc w:val="both"/>
        <w:rPr>
          <w:rFonts w:ascii="Arial" w:hAnsi="Arial" w:cs="Arial"/>
        </w:rPr>
      </w:pPr>
      <w:r>
        <w:rPr>
          <w:rFonts w:ascii="Arial" w:hAnsi="Arial" w:cs="Arial"/>
        </w:rPr>
        <w:t>In this research</w:t>
      </w:r>
      <w:r w:rsidR="00AD5D7D">
        <w:rPr>
          <w:rFonts w:ascii="Arial" w:hAnsi="Arial" w:cs="Arial"/>
        </w:rPr>
        <w:t>,</w:t>
      </w:r>
      <w:r>
        <w:rPr>
          <w:rFonts w:ascii="Arial" w:hAnsi="Arial" w:cs="Arial"/>
        </w:rPr>
        <w:t xml:space="preserve"> the Breusch-Godfrey serial correlation Lagrange multiplier (LM) test will be used in EViews 12 to investigate the presence of autocorrelation in the time series.</w:t>
      </w:r>
      <w:r>
        <w:rPr>
          <w:rStyle w:val="FootnoteReference"/>
          <w:rFonts w:ascii="Arial" w:hAnsi="Arial" w:cs="Arial"/>
        </w:rPr>
        <w:t xml:space="preserve"> </w:t>
      </w:r>
      <w:r>
        <w:rPr>
          <w:rStyle w:val="FootnoteReference"/>
          <w:rFonts w:ascii="Arial" w:hAnsi="Arial" w:cs="Arial"/>
        </w:rPr>
        <w:footnoteReference w:id="105"/>
      </w:r>
      <w:r>
        <w:rPr>
          <w:rFonts w:ascii="Arial" w:hAnsi="Arial" w:cs="Arial"/>
        </w:rPr>
        <w:t xml:space="preserve"> This is </w:t>
      </w:r>
      <w:r>
        <w:rPr>
          <w:rFonts w:ascii="Arial" w:hAnsi="Arial" w:cs="Arial"/>
        </w:rPr>
        <w:lastRenderedPageBreak/>
        <w:t xml:space="preserve">a chi-squared test: if the test statistic has a </w:t>
      </w:r>
      <w:r w:rsidRPr="57585719">
        <w:rPr>
          <w:rFonts w:ascii="Arial" w:hAnsi="Arial" w:cs="Arial"/>
          <w:i/>
          <w:iCs/>
        </w:rPr>
        <w:t>p-</w:t>
      </w:r>
      <w:r>
        <w:rPr>
          <w:rFonts w:ascii="Arial" w:hAnsi="Arial" w:cs="Arial"/>
        </w:rPr>
        <w:t>value</w:t>
      </w:r>
      <w:r w:rsidRPr="57585719">
        <w:rPr>
          <w:rFonts w:ascii="Arial" w:hAnsi="Arial" w:cs="Arial"/>
          <w:i/>
          <w:iCs/>
        </w:rPr>
        <w:t xml:space="preserve"> &gt; </w:t>
      </w:r>
      <w:r>
        <w:rPr>
          <w:rFonts w:ascii="Arial" w:hAnsi="Arial" w:cs="Arial"/>
        </w:rPr>
        <w:t>0.05 (observed R</w:t>
      </w:r>
      <w:r>
        <w:rPr>
          <w:rFonts w:ascii="Arial" w:hAnsi="Arial" w:cs="Arial"/>
          <w:vertAlign w:val="superscript"/>
        </w:rPr>
        <w:t>2</w:t>
      </w:r>
      <w:r>
        <w:rPr>
          <w:rFonts w:ascii="Arial" w:hAnsi="Arial" w:cs="Arial"/>
        </w:rPr>
        <w:t xml:space="preserve">), the model is said to have no autocorrelation and vice versa. </w:t>
      </w:r>
    </w:p>
    <w:p w14:paraId="2F1964A6" w14:textId="010592E3" w:rsidR="002F2E27" w:rsidRDefault="002F2E27" w:rsidP="0066301C">
      <w:pPr>
        <w:autoSpaceDE w:val="0"/>
        <w:autoSpaceDN w:val="0"/>
        <w:adjustRightInd w:val="0"/>
        <w:spacing w:line="360" w:lineRule="auto"/>
        <w:jc w:val="both"/>
        <w:rPr>
          <w:rFonts w:ascii="Arial" w:hAnsi="Arial" w:cs="Arial"/>
        </w:rPr>
      </w:pPr>
      <w:r>
        <w:rPr>
          <w:rFonts w:ascii="Arial" w:hAnsi="Arial" w:cs="Arial"/>
          <w:b/>
        </w:rPr>
        <w:t xml:space="preserve">Heteroscedasticity Test: </w:t>
      </w:r>
      <w:r>
        <w:rPr>
          <w:rFonts w:ascii="Arial" w:hAnsi="Arial" w:cs="Arial"/>
        </w:rPr>
        <w:t>The opposite</w:t>
      </w:r>
      <w:r w:rsidR="00AD5D7D">
        <w:rPr>
          <w:rFonts w:ascii="Arial" w:hAnsi="Arial" w:cs="Arial"/>
        </w:rPr>
        <w:t>,</w:t>
      </w:r>
      <w:r>
        <w:rPr>
          <w:rFonts w:ascii="Arial" w:hAnsi="Arial" w:cs="Arial"/>
        </w:rPr>
        <w:t xml:space="preserve"> being homoscedasticity – is used in statistics, especially in the context of linear regression or for time series analysis, to describe the case where the variance of errors or the model is not the same for all observations. One of the basic assumptions in modelling is that the variances are homogeneous and that the error</w:t>
      </w:r>
      <w:r w:rsidR="00A16EA5">
        <w:rPr>
          <w:rFonts w:ascii="Arial" w:hAnsi="Arial" w:cs="Arial"/>
        </w:rPr>
        <w:t>s</w:t>
      </w:r>
      <w:r>
        <w:rPr>
          <w:rFonts w:ascii="Arial" w:hAnsi="Arial" w:cs="Arial"/>
        </w:rPr>
        <w:t xml:space="preserve"> of the model are identically distributed. In linear regression analysis, the fact that the error of the model (also named residuals) is not homoscedastic has the consequence that the model coefficients estimated using ordinary least square (OLS) are neither unbiased nor those with minimum variance. The estimation of their variance is not reliable. If suspected that the variances are not homogeneous (a representation of the residuals against the explanatory variables may reveal heteroscedasticity). As such, it is imperative to perform a test for heteroscedasticity, with the following null and alternative hypothesis:</w:t>
      </w:r>
    </w:p>
    <w:p w14:paraId="7C370E24" w14:textId="77777777" w:rsidR="002F2E27" w:rsidRDefault="002F2E27" w:rsidP="0066301C">
      <w:pPr>
        <w:autoSpaceDE w:val="0"/>
        <w:autoSpaceDN w:val="0"/>
        <w:adjustRightInd w:val="0"/>
        <w:spacing w:line="360" w:lineRule="auto"/>
        <w:jc w:val="both"/>
        <w:rPr>
          <w:rFonts w:ascii="Arial" w:hAnsi="Arial" w:cs="Arial"/>
        </w:rPr>
      </w:pPr>
      <w:bookmarkStart w:id="439" w:name="_Hlk134477745"/>
      <w:r>
        <w:rPr>
          <w:rFonts w:ascii="Arial" w:hAnsi="Arial" w:cs="Arial"/>
        </w:rPr>
        <w:t>The null hypothesis (H</w:t>
      </w:r>
      <w:r>
        <w:rPr>
          <w:rFonts w:ascii="Arial" w:hAnsi="Arial" w:cs="Arial"/>
          <w:vertAlign w:val="subscript"/>
        </w:rPr>
        <w:t>0</w:t>
      </w:r>
      <w:r>
        <w:rPr>
          <w:rFonts w:ascii="Arial" w:hAnsi="Arial" w:cs="Arial"/>
        </w:rPr>
        <w:t xml:space="preserve">): there is no heteroscedasticity (residuals are homoscedastic) and the </w:t>
      </w:r>
      <w:r>
        <w:rPr>
          <w:rFonts w:ascii="Arial" w:hAnsi="Arial" w:cs="Arial"/>
          <w:i/>
        </w:rPr>
        <w:t>p-</w:t>
      </w:r>
      <w:r>
        <w:rPr>
          <w:rFonts w:ascii="Arial" w:hAnsi="Arial" w:cs="Arial"/>
        </w:rPr>
        <w:t>value &gt; 0.05.</w:t>
      </w:r>
    </w:p>
    <w:bookmarkEnd w:id="439"/>
    <w:p w14:paraId="76B6453B" w14:textId="77777777" w:rsidR="00F52105" w:rsidRDefault="002F2E27" w:rsidP="0066301C">
      <w:pPr>
        <w:spacing w:line="360" w:lineRule="auto"/>
        <w:jc w:val="both"/>
        <w:rPr>
          <w:rFonts w:ascii="Arial" w:hAnsi="Arial" w:cs="Arial"/>
        </w:rPr>
      </w:pPr>
      <w:r>
        <w:rPr>
          <w:rFonts w:ascii="Arial" w:hAnsi="Arial" w:cs="Arial"/>
        </w:rPr>
        <w:t>The alternative hypothesis (H</w:t>
      </w:r>
      <w:r>
        <w:rPr>
          <w:rFonts w:ascii="Arial" w:hAnsi="Arial" w:cs="Arial"/>
          <w:vertAlign w:val="subscript"/>
        </w:rPr>
        <w:t>1</w:t>
      </w:r>
      <w:r>
        <w:rPr>
          <w:rFonts w:ascii="Arial" w:hAnsi="Arial" w:cs="Arial"/>
        </w:rPr>
        <w:t xml:space="preserve">): there is heteroscedasticity in the data and the </w:t>
      </w:r>
      <w:r>
        <w:rPr>
          <w:rFonts w:ascii="Arial" w:hAnsi="Arial" w:cs="Arial"/>
          <w:i/>
        </w:rPr>
        <w:t>p-</w:t>
      </w:r>
      <w:r>
        <w:rPr>
          <w:rFonts w:ascii="Arial" w:hAnsi="Arial" w:cs="Arial"/>
        </w:rPr>
        <w:t>value &lt; 0.05.</w:t>
      </w:r>
    </w:p>
    <w:p w14:paraId="491AF913" w14:textId="290317D6" w:rsidR="002F2E27" w:rsidRDefault="002F2E27" w:rsidP="0066301C">
      <w:pPr>
        <w:spacing w:line="360" w:lineRule="auto"/>
        <w:jc w:val="both"/>
        <w:rPr>
          <w:rFonts w:ascii="Arial" w:hAnsi="Arial" w:cs="Arial"/>
        </w:rPr>
      </w:pPr>
      <w:r>
        <w:rPr>
          <w:rFonts w:ascii="Arial" w:hAnsi="Arial" w:cs="Arial"/>
        </w:rPr>
        <w:t xml:space="preserve">In statistic, the Breusch-Pagan is used to test for heteroskedasticity in a linear regression model. It tests if the variance of the errors from a regression is dependent on the values of independent variables. </w:t>
      </w:r>
      <w:r>
        <w:rPr>
          <w:rStyle w:val="FootnoteReference"/>
          <w:rFonts w:ascii="Arial" w:hAnsi="Arial" w:cs="Arial"/>
        </w:rPr>
        <w:footnoteReference w:id="106"/>
      </w:r>
    </w:p>
    <w:p w14:paraId="2AD22A11" w14:textId="188817CF" w:rsidR="002F2E27" w:rsidRDefault="00837A52" w:rsidP="0066301C">
      <w:pPr>
        <w:pStyle w:val="Heading3"/>
        <w:numPr>
          <w:ilvl w:val="0"/>
          <w:numId w:val="0"/>
        </w:numPr>
        <w:spacing w:before="0" w:beforeAutospacing="0"/>
      </w:pPr>
      <w:bookmarkStart w:id="441" w:name="_Toc171075406"/>
      <w:r>
        <w:t>4</w:t>
      </w:r>
      <w:r w:rsidR="002F2E27">
        <w:t>.</w:t>
      </w:r>
      <w:r w:rsidR="009D4EC5">
        <w:t>5</w:t>
      </w:r>
      <w:r w:rsidR="00ED2382">
        <w:t>.</w:t>
      </w:r>
      <w:r w:rsidR="002F2E27">
        <w:t>2</w:t>
      </w:r>
      <w:r w:rsidR="00387330">
        <w:tab/>
      </w:r>
      <w:r w:rsidR="002F2E27">
        <w:t>TEST FOR STATIONARITY (UNIT ROOT TEST)</w:t>
      </w:r>
      <w:bookmarkEnd w:id="441"/>
    </w:p>
    <w:p w14:paraId="5BA491AF" w14:textId="28451FEF" w:rsidR="002F2E27" w:rsidRDefault="002F2E27" w:rsidP="0066301C">
      <w:pPr>
        <w:spacing w:line="360" w:lineRule="auto"/>
        <w:jc w:val="both"/>
        <w:rPr>
          <w:rFonts w:ascii="Arial" w:hAnsi="Arial" w:cs="Arial"/>
        </w:rPr>
      </w:pPr>
      <w:r>
        <w:rPr>
          <w:rFonts w:ascii="Arial" w:hAnsi="Arial" w:cs="Arial"/>
        </w:rPr>
        <w:t xml:space="preserve">Stationarity of a series (i.e., a variable) implies that its mean, </w:t>
      </w:r>
      <w:r w:rsidR="00992EDC">
        <w:rPr>
          <w:rFonts w:ascii="Arial" w:hAnsi="Arial" w:cs="Arial"/>
        </w:rPr>
        <w:t>variance,</w:t>
      </w:r>
      <w:r>
        <w:rPr>
          <w:rFonts w:ascii="Arial" w:hAnsi="Arial" w:cs="Arial"/>
        </w:rPr>
        <w:t xml:space="preserve"> and covariance are constant over time. This means that the series is </w:t>
      </w:r>
      <w:r>
        <w:rPr>
          <w:rFonts w:ascii="Arial" w:hAnsi="Arial" w:cs="Arial"/>
          <w:i/>
          <w:iCs/>
        </w:rPr>
        <w:t xml:space="preserve">time invariant. </w:t>
      </w:r>
      <w:r>
        <w:rPr>
          <w:rFonts w:ascii="Arial" w:hAnsi="Arial" w:cs="Arial"/>
        </w:rPr>
        <w:t>However, if this is not the case, it means that the series is non-stationary. A non-stationary variable has a definite positive or negative trend over time and is said to have a unit root. To see why</w:t>
      </w:r>
      <w:r w:rsidR="00992EDC">
        <w:rPr>
          <w:rFonts w:ascii="Arial" w:hAnsi="Arial" w:cs="Arial"/>
        </w:rPr>
        <w:t>,</w:t>
      </w:r>
      <w:r>
        <w:rPr>
          <w:rFonts w:ascii="Arial" w:hAnsi="Arial" w:cs="Arial"/>
        </w:rPr>
        <w:t xml:space="preserve"> consider a </w:t>
      </w:r>
      <w:r>
        <w:rPr>
          <w:rFonts w:ascii="Arial" w:hAnsi="Arial" w:cs="Arial"/>
        </w:rPr>
        <w:lastRenderedPageBreak/>
        <w:t>variable whose time series is represented by a first-order, autoregressive scheme, AR (1) for short, i.e.</w:t>
      </w:r>
    </w:p>
    <w:p w14:paraId="5187B10D" w14:textId="55A9E420" w:rsidR="00871A03" w:rsidRPr="00871A03" w:rsidRDefault="00000000" w:rsidP="0066301C">
      <w:pPr>
        <w:spacing w:line="360" w:lineRule="auto"/>
        <w:jc w:val="center"/>
        <w:rPr>
          <w:rFonts w:ascii="Arial" w:hAnsi="Arial" w:cs="Arial"/>
        </w:rPr>
      </w:pPr>
      <m:oMath>
        <m:sSub>
          <m:sSubPr>
            <m:ctrlPr>
              <w:rPr>
                <w:rFonts w:ascii="Cambria Math" w:hAnsi="Cambria Math" w:cs="Arial"/>
                <w:i/>
                <w:sz w:val="24"/>
                <w:szCs w:val="24"/>
              </w:rPr>
            </m:ctrlPr>
          </m:sSubPr>
          <m:e>
            <m:r>
              <w:rPr>
                <w:rFonts w:ascii="Cambria Math" w:hAnsi="Cambria Math" w:cs="Arial"/>
                <w:sz w:val="24"/>
                <w:szCs w:val="24"/>
              </w:rPr>
              <m:t>Y</m:t>
            </m:r>
          </m:e>
          <m:sub>
            <m:r>
              <w:rPr>
                <w:rFonts w:ascii="Cambria Math" w:hAnsi="Cambria Math" w:cs="Arial"/>
                <w:sz w:val="24"/>
                <w:szCs w:val="24"/>
              </w:rPr>
              <m:t>t</m:t>
            </m:r>
          </m:sub>
        </m:sSub>
        <m:r>
          <w:rPr>
            <w:rFonts w:ascii="Cambria Math" w:hAnsi="Cambria Math" w:cs="Arial"/>
            <w:sz w:val="24"/>
            <w:szCs w:val="24"/>
          </w:rPr>
          <m:t>=</m:t>
        </m:r>
        <m:sSub>
          <m:sSubPr>
            <m:ctrlPr>
              <w:rPr>
                <w:rFonts w:ascii="Cambria Math" w:hAnsi="Cambria Math" w:cs="Arial"/>
                <w:i/>
                <w:sz w:val="24"/>
                <w:szCs w:val="24"/>
              </w:rPr>
            </m:ctrlPr>
          </m:sSubPr>
          <m:e>
            <m:r>
              <w:rPr>
                <w:rFonts w:ascii="Cambria Math" w:hAnsi="Cambria Math" w:cs="Arial"/>
                <w:sz w:val="24"/>
                <w:szCs w:val="24"/>
              </w:rPr>
              <m:t>αY</m:t>
            </m:r>
          </m:e>
          <m:sub>
            <m:r>
              <w:rPr>
                <w:rFonts w:ascii="Cambria Math" w:hAnsi="Cambria Math" w:cs="Arial"/>
                <w:sz w:val="24"/>
                <w:szCs w:val="24"/>
              </w:rPr>
              <m:t>t-1</m:t>
            </m:r>
          </m:sub>
        </m:sSub>
        <m:r>
          <w:rPr>
            <w:rFonts w:ascii="Cambria Math" w:hAnsi="Cambria Math" w:cs="Arial"/>
            <w:sz w:val="24"/>
            <w:szCs w:val="24"/>
          </w:rPr>
          <m:t>+</m:t>
        </m:r>
        <m:sSub>
          <m:sSubPr>
            <m:ctrlPr>
              <w:rPr>
                <w:rFonts w:ascii="Cambria Math" w:hAnsi="Cambria Math" w:cs="Arial"/>
                <w:i/>
                <w:sz w:val="24"/>
                <w:szCs w:val="24"/>
              </w:rPr>
            </m:ctrlPr>
          </m:sSubPr>
          <m:e>
            <m:r>
              <w:rPr>
                <w:rFonts w:ascii="Cambria Math" w:hAnsi="Cambria Math" w:cs="Arial"/>
                <w:sz w:val="24"/>
                <w:szCs w:val="24"/>
              </w:rPr>
              <m:t>ε</m:t>
            </m:r>
          </m:e>
          <m:sub>
            <m:r>
              <w:rPr>
                <w:rFonts w:ascii="Cambria Math" w:hAnsi="Cambria Math" w:cs="Arial"/>
                <w:sz w:val="24"/>
                <w:szCs w:val="24"/>
              </w:rPr>
              <m:t>t</m:t>
            </m:r>
          </m:sub>
        </m:sSub>
      </m:oMath>
      <w:r w:rsidR="00871A03">
        <w:rPr>
          <w:rFonts w:ascii="Arial" w:eastAsiaTheme="minorEastAsia" w:hAnsi="Arial" w:cs="Arial"/>
          <w:sz w:val="24"/>
          <w:szCs w:val="24"/>
        </w:rPr>
        <w:tab/>
        <w:t xml:space="preserve">                                                         </w:t>
      </w:r>
      <w:r w:rsidR="00871A03" w:rsidRPr="00871A03">
        <w:rPr>
          <w:rFonts w:ascii="Arial" w:eastAsiaTheme="minorEastAsia" w:hAnsi="Arial" w:cs="Arial"/>
        </w:rPr>
        <w:t>(4.6)</w:t>
      </w:r>
    </w:p>
    <w:p w14:paraId="6B2C2898" w14:textId="77777777" w:rsidR="002F2E27" w:rsidRDefault="002F2E27" w:rsidP="0066301C">
      <w:pPr>
        <w:spacing w:line="360" w:lineRule="auto"/>
        <w:jc w:val="both"/>
        <w:rPr>
          <w:rFonts w:ascii="Arial" w:hAnsi="Arial" w:cs="Arial"/>
        </w:rPr>
      </w:pPr>
      <w:r>
        <w:rPr>
          <w:rFonts w:ascii="Arial" w:hAnsi="Arial" w:cs="Arial"/>
        </w:rPr>
        <w:t xml:space="preserve">where </w:t>
      </w:r>
      <w:r>
        <w:rPr>
          <w:rFonts w:ascii="Arial" w:hAnsi="Arial" w:cs="Arial"/>
          <w:i/>
          <w:iCs/>
        </w:rPr>
        <w:t>ε</w:t>
      </w:r>
      <w:r>
        <w:rPr>
          <w:rFonts w:ascii="Arial" w:hAnsi="Arial" w:cs="Arial"/>
          <w:i/>
          <w:iCs/>
          <w:vertAlign w:val="subscript"/>
        </w:rPr>
        <w:t>t</w:t>
      </w:r>
      <w:r>
        <w:rPr>
          <w:rFonts w:ascii="Arial" w:hAnsi="Arial" w:cs="Arial"/>
        </w:rPr>
        <w:t xml:space="preserve"> is a standard normal variable.</w:t>
      </w:r>
    </w:p>
    <w:p w14:paraId="181E4742" w14:textId="77777777" w:rsidR="002F2E27" w:rsidRDefault="002F2E27" w:rsidP="0066301C">
      <w:pPr>
        <w:spacing w:line="360" w:lineRule="auto"/>
        <w:jc w:val="both"/>
        <w:rPr>
          <w:rFonts w:ascii="Arial" w:hAnsi="Arial" w:cs="Arial"/>
        </w:rPr>
      </w:pPr>
      <w:r>
        <w:rPr>
          <w:rFonts w:ascii="Arial" w:hAnsi="Arial" w:cs="Arial"/>
        </w:rPr>
        <w:t xml:space="preserve">If </w:t>
      </w:r>
      <w:r>
        <w:rPr>
          <w:rFonts w:ascii="Arial" w:hAnsi="Arial" w:cs="Arial"/>
          <w:i/>
          <w:iCs/>
        </w:rPr>
        <w:t>α</w:t>
      </w:r>
      <w:r>
        <w:rPr>
          <w:rFonts w:ascii="Arial" w:hAnsi="Arial" w:cs="Arial"/>
        </w:rPr>
        <w:t xml:space="preserve"> is less than one, then the time path is stationary, i.e., although it will fluctuate the value of </w:t>
      </w:r>
      <w:r>
        <w:rPr>
          <w:rFonts w:ascii="Arial" w:hAnsi="Arial" w:cs="Arial"/>
          <w:i/>
          <w:iCs/>
        </w:rPr>
        <w:t>Y</w:t>
      </w:r>
      <w:r>
        <w:rPr>
          <w:rFonts w:ascii="Arial" w:hAnsi="Arial" w:cs="Arial"/>
          <w:i/>
          <w:iCs/>
          <w:vertAlign w:val="subscript"/>
        </w:rPr>
        <w:t>t</w:t>
      </w:r>
      <w:r>
        <w:rPr>
          <w:rFonts w:ascii="Arial" w:hAnsi="Arial" w:cs="Arial"/>
        </w:rPr>
        <w:t xml:space="preserve"> will tend to keep coming back to its mean value. Graphically the time path of </w:t>
      </w:r>
      <w:r>
        <w:rPr>
          <w:rFonts w:ascii="Arial" w:hAnsi="Arial" w:cs="Arial"/>
          <w:i/>
          <w:iCs/>
        </w:rPr>
        <w:t>Y</w:t>
      </w:r>
      <w:r>
        <w:rPr>
          <w:rFonts w:ascii="Arial" w:hAnsi="Arial" w:cs="Arial"/>
          <w:i/>
          <w:iCs/>
          <w:vertAlign w:val="subscript"/>
        </w:rPr>
        <w:t>t</w:t>
      </w:r>
      <w:r>
        <w:rPr>
          <w:rFonts w:ascii="Arial" w:hAnsi="Arial" w:cs="Arial"/>
        </w:rPr>
        <w:t xml:space="preserve"> will have no upward or downward trend, and the fluctuations around the constant mean value will be contained within constant bounds.</w:t>
      </w:r>
    </w:p>
    <w:p w14:paraId="5CA06227" w14:textId="77777777" w:rsidR="002F2E27" w:rsidRDefault="002F2E27" w:rsidP="0066301C">
      <w:pPr>
        <w:autoSpaceDE w:val="0"/>
        <w:autoSpaceDN w:val="0"/>
        <w:adjustRightInd w:val="0"/>
        <w:spacing w:line="360" w:lineRule="auto"/>
        <w:contextualSpacing/>
        <w:jc w:val="both"/>
        <w:rPr>
          <w:rFonts w:ascii="Arial" w:eastAsia="Times New Roman" w:hAnsi="Arial" w:cs="Arial"/>
          <w:lang w:eastAsia="en-GB"/>
        </w:rPr>
      </w:pPr>
      <w:r>
        <w:rPr>
          <w:rFonts w:ascii="Arial" w:hAnsi="Arial" w:cs="Arial"/>
        </w:rPr>
        <w:t xml:space="preserve">However, if </w:t>
      </w:r>
      <w:r>
        <w:rPr>
          <w:rFonts w:ascii="Arial" w:hAnsi="Arial" w:cs="Arial"/>
          <w:i/>
          <w:iCs/>
        </w:rPr>
        <w:t>α</w:t>
      </w:r>
      <w:r>
        <w:rPr>
          <w:rFonts w:ascii="Arial" w:hAnsi="Arial" w:cs="Arial"/>
        </w:rPr>
        <w:t xml:space="preserve"> is equal to one, the time path of </w:t>
      </w:r>
      <w:r>
        <w:rPr>
          <w:rFonts w:ascii="Arial" w:hAnsi="Arial" w:cs="Arial"/>
          <w:i/>
          <w:iCs/>
        </w:rPr>
        <w:t>Y</w:t>
      </w:r>
      <w:r>
        <w:rPr>
          <w:rFonts w:ascii="Arial" w:hAnsi="Arial" w:cs="Arial"/>
          <w:i/>
          <w:iCs/>
          <w:vertAlign w:val="subscript"/>
        </w:rPr>
        <w:t>t</w:t>
      </w:r>
      <w:r>
        <w:rPr>
          <w:rFonts w:ascii="Arial" w:hAnsi="Arial" w:cs="Arial"/>
        </w:rPr>
        <w:t xml:space="preserve"> is non-stationary, and it will have an upward trend. As </w:t>
      </w:r>
      <w:r>
        <w:rPr>
          <w:rFonts w:ascii="Arial" w:hAnsi="Arial" w:cs="Arial"/>
          <w:i/>
          <w:iCs/>
        </w:rPr>
        <w:t>α</w:t>
      </w:r>
      <w:r>
        <w:rPr>
          <w:rFonts w:ascii="Arial" w:hAnsi="Arial" w:cs="Arial"/>
        </w:rPr>
        <w:t xml:space="preserve"> is known as the root of the process, non-stationarity implies having a unit root.</w:t>
      </w:r>
      <w:r>
        <w:rPr>
          <w:rFonts w:ascii="Arial" w:eastAsia="Times New Roman" w:hAnsi="Arial" w:cs="Arial"/>
          <w:lang w:eastAsia="en-GB"/>
        </w:rPr>
        <w:t xml:space="preserve"> A time series is a level series if it does not have unit root (stationary or no random walk). A non-stationarity variable could be made stationary by differencing. This removes the trend in the series taking the first difference: </w:t>
      </w:r>
    </w:p>
    <w:p w14:paraId="0FE24E55" w14:textId="77777777" w:rsidR="002F2E27" w:rsidRDefault="002F2E27" w:rsidP="0066301C">
      <w:pPr>
        <w:autoSpaceDE w:val="0"/>
        <w:autoSpaceDN w:val="0"/>
        <w:adjustRightInd w:val="0"/>
        <w:spacing w:line="360" w:lineRule="auto"/>
        <w:contextualSpacing/>
        <w:jc w:val="both"/>
        <w:rPr>
          <w:rFonts w:ascii="Arial" w:eastAsia="Times New Roman" w:hAnsi="Arial" w:cs="Arial"/>
          <w:i/>
          <w:iCs/>
          <w:lang w:eastAsia="en-GB"/>
        </w:rPr>
      </w:pPr>
      <w:r>
        <w:rPr>
          <w:rFonts w:ascii="Arial" w:eastAsia="Times New Roman" w:hAnsi="Arial" w:cs="Arial"/>
          <w:i/>
          <w:iCs/>
          <w:lang w:eastAsia="en-GB"/>
        </w:rPr>
        <w:t>∆Y</w:t>
      </w:r>
      <w:r>
        <w:rPr>
          <w:rFonts w:ascii="Arial" w:eastAsia="Times New Roman" w:hAnsi="Arial" w:cs="Arial"/>
          <w:i/>
          <w:iCs/>
          <w:vertAlign w:val="subscript"/>
          <w:lang w:eastAsia="en-GB"/>
        </w:rPr>
        <w:t>t</w:t>
      </w:r>
      <w:r>
        <w:rPr>
          <w:rFonts w:ascii="Arial" w:eastAsia="Times New Roman" w:hAnsi="Arial" w:cs="Arial"/>
          <w:i/>
          <w:iCs/>
          <w:lang w:eastAsia="en-GB"/>
        </w:rPr>
        <w:t xml:space="preserve"> = Y</w:t>
      </w:r>
      <w:r>
        <w:rPr>
          <w:rFonts w:ascii="Arial" w:eastAsia="Times New Roman" w:hAnsi="Arial" w:cs="Arial"/>
          <w:i/>
          <w:iCs/>
          <w:vertAlign w:val="subscript"/>
          <w:lang w:eastAsia="en-GB"/>
        </w:rPr>
        <w:t>t</w:t>
      </w:r>
      <w:r>
        <w:rPr>
          <w:rFonts w:ascii="Arial" w:eastAsia="Times New Roman" w:hAnsi="Arial" w:cs="Arial"/>
          <w:i/>
          <w:iCs/>
          <w:lang w:eastAsia="en-GB"/>
        </w:rPr>
        <w:t xml:space="preserve"> – Y</w:t>
      </w:r>
      <w:r>
        <w:rPr>
          <w:rFonts w:ascii="Arial" w:eastAsia="Times New Roman" w:hAnsi="Arial" w:cs="Arial"/>
          <w:i/>
          <w:iCs/>
          <w:vertAlign w:val="subscript"/>
          <w:lang w:eastAsia="en-GB"/>
        </w:rPr>
        <w:t>t-1</w:t>
      </w:r>
      <w:r>
        <w:rPr>
          <w:rFonts w:ascii="Arial" w:eastAsia="Times New Roman" w:hAnsi="Arial" w:cs="Arial"/>
          <w:i/>
          <w:iCs/>
          <w:lang w:eastAsia="en-GB"/>
        </w:rPr>
        <w:t>.</w:t>
      </w:r>
    </w:p>
    <w:p w14:paraId="77E3D663" w14:textId="4BC8DEF7" w:rsidR="002F2E27" w:rsidRDefault="002F2E27" w:rsidP="0066301C">
      <w:pPr>
        <w:autoSpaceDE w:val="0"/>
        <w:autoSpaceDN w:val="0"/>
        <w:adjustRightInd w:val="0"/>
        <w:spacing w:line="360" w:lineRule="auto"/>
        <w:contextualSpacing/>
        <w:jc w:val="both"/>
        <w:rPr>
          <w:rFonts w:ascii="Arial" w:eastAsia="Times New Roman" w:hAnsi="Arial" w:cs="Arial"/>
          <w:lang w:eastAsia="en-GB"/>
        </w:rPr>
      </w:pPr>
      <w:r>
        <w:rPr>
          <w:rFonts w:ascii="Arial" w:eastAsia="Times New Roman" w:hAnsi="Arial" w:cs="Arial"/>
          <w:lang w:eastAsia="en-GB"/>
        </w:rPr>
        <w:t xml:space="preserve">Annual data’s (such as exchange rate) first difference are always stationary and are said to be integrated of order 1 to make it stationary and is written as </w:t>
      </w:r>
      <w:r>
        <w:rPr>
          <w:rFonts w:ascii="Arial" w:eastAsia="Times New Roman" w:hAnsi="Arial" w:cs="Arial"/>
          <w:i/>
          <w:lang w:eastAsia="en-GB"/>
        </w:rPr>
        <w:t>I(</w:t>
      </w:r>
      <w:r>
        <w:rPr>
          <w:rFonts w:ascii="Arial" w:eastAsia="Times New Roman" w:hAnsi="Arial" w:cs="Arial"/>
          <w:lang w:eastAsia="en-GB"/>
        </w:rPr>
        <w:t>1</w:t>
      </w:r>
      <w:r>
        <w:rPr>
          <w:rFonts w:ascii="Arial" w:eastAsia="Times New Roman" w:hAnsi="Arial" w:cs="Arial"/>
          <w:i/>
          <w:lang w:eastAsia="en-GB"/>
        </w:rPr>
        <w:t xml:space="preserve">). </w:t>
      </w:r>
      <w:r>
        <w:rPr>
          <w:rFonts w:ascii="Arial" w:eastAsia="Times New Roman" w:hAnsi="Arial" w:cs="Arial"/>
          <w:lang w:eastAsia="en-GB"/>
        </w:rPr>
        <w:t>In case it is still not stationary after the first difference, it will be difference</w:t>
      </w:r>
      <w:r w:rsidR="00992EDC">
        <w:rPr>
          <w:rFonts w:ascii="Arial" w:eastAsia="Times New Roman" w:hAnsi="Arial" w:cs="Arial"/>
          <w:lang w:eastAsia="en-GB"/>
        </w:rPr>
        <w:t>d</w:t>
      </w:r>
      <w:r>
        <w:rPr>
          <w:rFonts w:ascii="Arial" w:eastAsia="Times New Roman" w:hAnsi="Arial" w:cs="Arial"/>
          <w:lang w:eastAsia="en-GB"/>
        </w:rPr>
        <w:t xml:space="preserve"> </w:t>
      </w:r>
      <w:r w:rsidR="00992EDC">
        <w:rPr>
          <w:rFonts w:ascii="Arial" w:eastAsia="Times New Roman" w:hAnsi="Arial" w:cs="Arial"/>
          <w:lang w:eastAsia="en-GB"/>
        </w:rPr>
        <w:t>the second time (</w:t>
      </w:r>
      <w:r>
        <w:rPr>
          <w:rFonts w:ascii="Arial" w:eastAsia="Times New Roman" w:hAnsi="Arial" w:cs="Arial"/>
          <w:lang w:eastAsia="en-GB"/>
        </w:rPr>
        <w:t>twice</w:t>
      </w:r>
      <w:r w:rsidR="00992EDC">
        <w:rPr>
          <w:rFonts w:ascii="Arial" w:eastAsia="Times New Roman" w:hAnsi="Arial" w:cs="Arial"/>
          <w:lang w:eastAsia="en-GB"/>
        </w:rPr>
        <w:t>)</w:t>
      </w:r>
      <w:r>
        <w:rPr>
          <w:rFonts w:ascii="Arial" w:eastAsia="Times New Roman" w:hAnsi="Arial" w:cs="Arial"/>
          <w:lang w:eastAsia="en-GB"/>
        </w:rPr>
        <w:t xml:space="preserve"> to make it stationary, </w:t>
      </w:r>
      <w:r w:rsidR="00992EDC">
        <w:rPr>
          <w:rFonts w:ascii="Arial" w:eastAsia="Times New Roman" w:hAnsi="Arial" w:cs="Arial"/>
          <w:lang w:eastAsia="en-GB"/>
        </w:rPr>
        <w:t>(</w:t>
      </w:r>
      <w:r>
        <w:rPr>
          <w:rFonts w:ascii="Arial" w:eastAsia="Times New Roman" w:hAnsi="Arial" w:cs="Arial"/>
          <w:lang w:eastAsia="en-GB"/>
        </w:rPr>
        <w:t xml:space="preserve">i.e., </w:t>
      </w:r>
      <w:r>
        <w:rPr>
          <w:rFonts w:ascii="Arial" w:hAnsi="Arial" w:cs="Arial"/>
          <w:i/>
          <w:iCs/>
        </w:rPr>
        <w:t>Y</w:t>
      </w:r>
      <w:r>
        <w:rPr>
          <w:rFonts w:ascii="Arial" w:hAnsi="Arial" w:cs="Arial"/>
          <w:i/>
          <w:iCs/>
          <w:vertAlign w:val="subscript"/>
        </w:rPr>
        <w:t>t</w:t>
      </w:r>
      <w:r>
        <w:rPr>
          <w:rFonts w:ascii="Arial" w:hAnsi="Arial" w:cs="Arial"/>
        </w:rPr>
        <w:t xml:space="preserve"> and Δ</w:t>
      </w:r>
      <w:r>
        <w:rPr>
          <w:rFonts w:ascii="Arial" w:hAnsi="Arial" w:cs="Arial"/>
          <w:i/>
          <w:iCs/>
        </w:rPr>
        <w:t>Y</w:t>
      </w:r>
      <w:r>
        <w:rPr>
          <w:rFonts w:ascii="Arial" w:hAnsi="Arial" w:cs="Arial"/>
          <w:i/>
          <w:iCs/>
          <w:vertAlign w:val="subscript"/>
        </w:rPr>
        <w:t>t</w:t>
      </w:r>
      <w:r>
        <w:rPr>
          <w:rFonts w:ascii="Arial" w:hAnsi="Arial" w:cs="Arial"/>
        </w:rPr>
        <w:t xml:space="preserve"> are non-stationary, but Δ</w:t>
      </w:r>
      <w:r>
        <w:rPr>
          <w:rFonts w:ascii="Arial" w:hAnsi="Arial" w:cs="Arial"/>
          <w:vertAlign w:val="superscript"/>
        </w:rPr>
        <w:t>2</w:t>
      </w:r>
      <w:r>
        <w:rPr>
          <w:rFonts w:ascii="Arial" w:hAnsi="Arial" w:cs="Arial"/>
          <w:i/>
          <w:iCs/>
        </w:rPr>
        <w:t>Y</w:t>
      </w:r>
      <w:r>
        <w:rPr>
          <w:rFonts w:ascii="Arial" w:hAnsi="Arial" w:cs="Arial"/>
          <w:i/>
          <w:iCs/>
          <w:vertAlign w:val="subscript"/>
        </w:rPr>
        <w:t>t</w:t>
      </w:r>
      <w:r>
        <w:rPr>
          <w:rFonts w:ascii="Arial" w:hAnsi="Arial" w:cs="Arial"/>
        </w:rPr>
        <w:t xml:space="preserve"> is stationary</w:t>
      </w:r>
      <w:r w:rsidR="00992EDC">
        <w:rPr>
          <w:rFonts w:ascii="Arial" w:hAnsi="Arial" w:cs="Arial"/>
        </w:rPr>
        <w:t>)</w:t>
      </w:r>
      <w:r>
        <w:rPr>
          <w:rFonts w:ascii="Arial" w:hAnsi="Arial" w:cs="Arial"/>
        </w:rPr>
        <w:t xml:space="preserve">. In this case, </w:t>
      </w:r>
      <w:r>
        <w:rPr>
          <w:rFonts w:ascii="Arial" w:hAnsi="Arial" w:cs="Arial"/>
          <w:i/>
          <w:iCs/>
        </w:rPr>
        <w:t>Y</w:t>
      </w:r>
      <w:r>
        <w:rPr>
          <w:rFonts w:ascii="Arial" w:hAnsi="Arial" w:cs="Arial"/>
          <w:i/>
          <w:iCs/>
          <w:vertAlign w:val="subscript"/>
        </w:rPr>
        <w:t>t</w:t>
      </w:r>
      <w:r>
        <w:rPr>
          <w:rFonts w:ascii="Arial" w:hAnsi="Arial" w:cs="Arial"/>
        </w:rPr>
        <w:t xml:space="preserve"> is said to be integrated of order 2, written </w:t>
      </w:r>
      <w:r>
        <w:rPr>
          <w:rFonts w:ascii="Arial" w:hAnsi="Arial" w:cs="Arial"/>
          <w:i/>
          <w:iCs/>
        </w:rPr>
        <w:t>I</w:t>
      </w:r>
      <w:r>
        <w:rPr>
          <w:rFonts w:ascii="Arial" w:hAnsi="Arial" w:cs="Arial"/>
        </w:rPr>
        <w:t>(2).</w:t>
      </w:r>
      <w:r>
        <w:rPr>
          <w:rFonts w:ascii="Arial" w:eastAsia="Times New Roman" w:hAnsi="Arial" w:cs="Arial"/>
          <w:lang w:eastAsia="en-GB"/>
        </w:rPr>
        <w:t xml:space="preserve"> </w:t>
      </w:r>
    </w:p>
    <w:p w14:paraId="7AA4870D" w14:textId="4379C79B" w:rsidR="002F2E27" w:rsidRDefault="002F2E27" w:rsidP="0066301C">
      <w:pPr>
        <w:autoSpaceDE w:val="0"/>
        <w:autoSpaceDN w:val="0"/>
        <w:adjustRightInd w:val="0"/>
        <w:spacing w:line="360" w:lineRule="auto"/>
        <w:contextualSpacing/>
        <w:jc w:val="both"/>
        <w:rPr>
          <w:rFonts w:ascii="Arial" w:eastAsia="Times New Roman" w:hAnsi="Arial" w:cs="Arial"/>
          <w:lang w:eastAsia="en-GB"/>
        </w:rPr>
      </w:pPr>
      <w:r>
        <w:rPr>
          <w:rFonts w:ascii="Arial" w:eastAsia="Times New Roman" w:hAnsi="Arial" w:cs="Arial"/>
          <w:lang w:eastAsia="en-GB"/>
        </w:rPr>
        <w:t xml:space="preserve">There exist different ways of testing for </w:t>
      </w:r>
      <w:r w:rsidR="00095EC5">
        <w:rPr>
          <w:rFonts w:ascii="Arial" w:eastAsia="Times New Roman" w:hAnsi="Arial" w:cs="Arial"/>
          <w:lang w:eastAsia="en-GB"/>
        </w:rPr>
        <w:t>stationarity.</w:t>
      </w:r>
    </w:p>
    <w:p w14:paraId="14DDFDEE" w14:textId="77777777" w:rsidR="002F2E27" w:rsidRDefault="002F2E27" w:rsidP="0066301C">
      <w:pPr>
        <w:pStyle w:val="ListParagraph"/>
        <w:numPr>
          <w:ilvl w:val="0"/>
          <w:numId w:val="17"/>
        </w:numPr>
        <w:autoSpaceDE w:val="0"/>
        <w:autoSpaceDN w:val="0"/>
        <w:adjustRightInd w:val="0"/>
        <w:spacing w:after="0" w:line="360" w:lineRule="auto"/>
        <w:jc w:val="both"/>
        <w:rPr>
          <w:rFonts w:ascii="Arial" w:hAnsi="Arial" w:cs="Arial"/>
        </w:rPr>
      </w:pPr>
      <w:r>
        <w:rPr>
          <w:rFonts w:ascii="Arial" w:hAnsi="Arial" w:cs="Arial"/>
        </w:rPr>
        <w:t>Informal testing (time plot): Plotting of the series on a graph to visualise its nature. If the graph shows trends, it could mean that the series has unit root and vice versa.</w:t>
      </w:r>
    </w:p>
    <w:p w14:paraId="23633ED9" w14:textId="4FA4E0FD" w:rsidR="002F2E27" w:rsidRDefault="002F2E27" w:rsidP="0066301C">
      <w:pPr>
        <w:numPr>
          <w:ilvl w:val="0"/>
          <w:numId w:val="17"/>
        </w:numPr>
        <w:autoSpaceDE w:val="0"/>
        <w:autoSpaceDN w:val="0"/>
        <w:adjustRightInd w:val="0"/>
        <w:spacing w:after="0" w:line="360" w:lineRule="auto"/>
        <w:contextualSpacing/>
        <w:jc w:val="both"/>
        <w:rPr>
          <w:rFonts w:ascii="Arial" w:eastAsia="Times New Roman" w:hAnsi="Arial" w:cs="Arial"/>
          <w:lang w:eastAsia="en-GB"/>
        </w:rPr>
      </w:pPr>
      <w:r>
        <w:rPr>
          <w:rFonts w:ascii="Arial" w:eastAsia="Times New Roman" w:hAnsi="Arial" w:cs="Arial"/>
          <w:lang w:eastAsia="en-GB"/>
        </w:rPr>
        <w:t xml:space="preserve">Formal test: </w:t>
      </w:r>
      <w:r w:rsidR="00992EDC">
        <w:rPr>
          <w:rFonts w:ascii="Arial" w:eastAsia="Times New Roman" w:hAnsi="Arial" w:cs="Arial"/>
          <w:lang w:eastAsia="en-GB"/>
        </w:rPr>
        <w:t>to</w:t>
      </w:r>
      <w:r>
        <w:rPr>
          <w:rFonts w:ascii="Arial" w:eastAsia="Times New Roman" w:hAnsi="Arial" w:cs="Arial"/>
          <w:lang w:eastAsia="en-GB"/>
        </w:rPr>
        <w:t xml:space="preserve"> examine the existence of unit root, we shall apply the following test:</w:t>
      </w:r>
    </w:p>
    <w:p w14:paraId="316EC4D4" w14:textId="77777777" w:rsidR="002F2E27" w:rsidRDefault="002F2E27" w:rsidP="0066301C">
      <w:pPr>
        <w:numPr>
          <w:ilvl w:val="0"/>
          <w:numId w:val="18"/>
        </w:numPr>
        <w:autoSpaceDE w:val="0"/>
        <w:autoSpaceDN w:val="0"/>
        <w:adjustRightInd w:val="0"/>
        <w:spacing w:after="0" w:line="360" w:lineRule="auto"/>
        <w:contextualSpacing/>
        <w:jc w:val="both"/>
        <w:rPr>
          <w:rFonts w:ascii="Arial" w:eastAsia="Times New Roman" w:hAnsi="Arial" w:cs="Arial"/>
          <w:lang w:eastAsia="en-GB"/>
        </w:rPr>
      </w:pPr>
      <w:r>
        <w:rPr>
          <w:rFonts w:ascii="Arial" w:eastAsia="Times New Roman" w:hAnsi="Arial" w:cs="Arial"/>
          <w:lang w:eastAsia="en-GB"/>
        </w:rPr>
        <w:t>The Augmented Dickey-Fuller ‘</w:t>
      </w:r>
      <w:r>
        <w:rPr>
          <w:rFonts w:ascii="Arial" w:eastAsia="Times New Roman" w:hAnsi="Arial" w:cs="Arial"/>
          <w:i/>
          <w:lang w:eastAsia="en-GB"/>
        </w:rPr>
        <w:t>ADF</w:t>
      </w:r>
      <w:r>
        <w:rPr>
          <w:rFonts w:ascii="Arial" w:eastAsia="Times New Roman" w:hAnsi="Arial" w:cs="Arial"/>
          <w:lang w:eastAsia="en-GB"/>
        </w:rPr>
        <w:t xml:space="preserve">’ test. </w:t>
      </w:r>
    </w:p>
    <w:p w14:paraId="0181C320" w14:textId="77777777" w:rsidR="002F2E27" w:rsidRDefault="002F2E27" w:rsidP="0066301C">
      <w:pPr>
        <w:numPr>
          <w:ilvl w:val="0"/>
          <w:numId w:val="18"/>
        </w:numPr>
        <w:autoSpaceDE w:val="0"/>
        <w:autoSpaceDN w:val="0"/>
        <w:adjustRightInd w:val="0"/>
        <w:spacing w:after="0" w:line="360" w:lineRule="auto"/>
        <w:contextualSpacing/>
        <w:jc w:val="both"/>
        <w:rPr>
          <w:rFonts w:ascii="Arial" w:eastAsia="Times New Roman" w:hAnsi="Arial" w:cs="Arial"/>
          <w:lang w:eastAsia="en-GB"/>
        </w:rPr>
      </w:pPr>
      <w:r>
        <w:rPr>
          <w:rFonts w:ascii="Arial" w:eastAsia="Times New Roman" w:hAnsi="Arial" w:cs="Arial"/>
          <w:lang w:eastAsia="en-GB"/>
        </w:rPr>
        <w:t>Philips-Perron ‘</w:t>
      </w:r>
      <w:r>
        <w:rPr>
          <w:rFonts w:ascii="Arial" w:eastAsia="Times New Roman" w:hAnsi="Arial" w:cs="Arial"/>
          <w:i/>
          <w:lang w:eastAsia="en-GB"/>
        </w:rPr>
        <w:t>PP</w:t>
      </w:r>
      <w:r>
        <w:rPr>
          <w:rFonts w:ascii="Arial" w:eastAsia="Times New Roman" w:hAnsi="Arial" w:cs="Arial"/>
          <w:lang w:eastAsia="en-GB"/>
        </w:rPr>
        <w:t>’ test.</w:t>
      </w:r>
    </w:p>
    <w:p w14:paraId="6A274863" w14:textId="1B02EE2C" w:rsidR="002F2E27" w:rsidRDefault="002F2E27" w:rsidP="0066301C">
      <w:pPr>
        <w:pStyle w:val="StepHead"/>
        <w:spacing w:line="360" w:lineRule="auto"/>
        <w:jc w:val="both"/>
        <w:rPr>
          <w:rFonts w:ascii="Arial" w:hAnsi="Arial" w:cs="Arial"/>
          <w:i w:val="0"/>
          <w:iCs/>
          <w:sz w:val="22"/>
          <w:szCs w:val="22"/>
        </w:rPr>
      </w:pPr>
      <w:r>
        <w:rPr>
          <w:rFonts w:ascii="Arial" w:hAnsi="Arial" w:cs="Arial"/>
          <w:i w:val="0"/>
          <w:iCs/>
          <w:sz w:val="22"/>
          <w:szCs w:val="22"/>
        </w:rPr>
        <w:t xml:space="preserve">Perform an ADF </w:t>
      </w:r>
      <w:r w:rsidR="00A36FA7">
        <w:rPr>
          <w:rFonts w:ascii="Arial" w:hAnsi="Arial" w:cs="Arial"/>
          <w:i w:val="0"/>
          <w:iCs/>
          <w:sz w:val="22"/>
          <w:szCs w:val="22"/>
        </w:rPr>
        <w:t>Test</w:t>
      </w:r>
    </w:p>
    <w:p w14:paraId="0010ECCA" w14:textId="77777777" w:rsidR="002F2E27" w:rsidRDefault="002F2E27" w:rsidP="0066301C">
      <w:pPr>
        <w:spacing w:line="360" w:lineRule="auto"/>
        <w:jc w:val="both"/>
        <w:rPr>
          <w:rFonts w:ascii="Arial" w:hAnsi="Arial" w:cs="Arial"/>
        </w:rPr>
      </w:pPr>
      <w:bookmarkStart w:id="442" w:name="_Hlk137651900"/>
      <w:r>
        <w:rPr>
          <w:rFonts w:ascii="Arial" w:hAnsi="Arial" w:cs="Arial"/>
        </w:rPr>
        <w:t xml:space="preserve">To test a variable </w:t>
      </w:r>
      <w:r>
        <w:rPr>
          <w:rFonts w:ascii="Arial" w:hAnsi="Arial" w:cs="Arial"/>
          <w:i/>
          <w:iCs/>
        </w:rPr>
        <w:t>Y</w:t>
      </w:r>
      <w:r>
        <w:rPr>
          <w:rFonts w:ascii="Arial" w:hAnsi="Arial" w:cs="Arial"/>
          <w:i/>
          <w:iCs/>
          <w:vertAlign w:val="subscript"/>
        </w:rPr>
        <w:t>t</w:t>
      </w:r>
      <w:r>
        <w:rPr>
          <w:rFonts w:ascii="Arial" w:hAnsi="Arial" w:cs="Arial"/>
        </w:rPr>
        <w:t xml:space="preserve"> for a unit root the following regression equation is estimated:</w:t>
      </w:r>
    </w:p>
    <w:p w14:paraId="766A6C10" w14:textId="22576978" w:rsidR="004D2416" w:rsidRPr="003A1D9E" w:rsidRDefault="00000000" w:rsidP="0066301C">
      <w:pPr>
        <w:spacing w:line="360" w:lineRule="auto"/>
        <w:jc w:val="center"/>
        <w:rPr>
          <w:rFonts w:ascii="Arial" w:hAnsi="Arial" w:cs="Arial"/>
        </w:rPr>
      </w:pPr>
      <m:oMath>
        <m:sSub>
          <m:sSubPr>
            <m:ctrlPr>
              <w:rPr>
                <w:rFonts w:ascii="Cambria Math" w:hAnsi="Cambria Math" w:cs="Arial"/>
                <w:i/>
              </w:rPr>
            </m:ctrlPr>
          </m:sSubPr>
          <m:e>
            <m:r>
              <w:rPr>
                <w:rFonts w:ascii="Cambria Math" w:hAnsi="Cambria Math" w:cs="Arial"/>
              </w:rPr>
              <m:t>∆Y</m:t>
            </m:r>
          </m:e>
          <m:sub>
            <m:r>
              <w:rPr>
                <w:rFonts w:ascii="Cambria Math" w:hAnsi="Cambria Math" w:cs="Arial"/>
              </w:rPr>
              <m:t>t</m:t>
            </m:r>
          </m:sub>
        </m:sSub>
        <m:r>
          <w:rPr>
            <w:rFonts w:ascii="Cambria Math" w:hAnsi="Cambria Math" w:cs="Arial"/>
          </w:rPr>
          <m:t>=</m:t>
        </m:r>
        <m:sSub>
          <m:sSubPr>
            <m:ctrlPr>
              <w:rPr>
                <w:rFonts w:ascii="Cambria Math" w:hAnsi="Cambria Math" w:cs="Arial"/>
                <w:i/>
              </w:rPr>
            </m:ctrlPr>
          </m:sSubPr>
          <m:e>
            <m:r>
              <w:rPr>
                <w:rFonts w:ascii="Cambria Math" w:hAnsi="Cambria Math" w:cs="Arial"/>
              </w:rPr>
              <m:t>α</m:t>
            </m:r>
          </m:e>
          <m:sub>
            <m:r>
              <w:rPr>
                <w:rFonts w:ascii="Cambria Math" w:hAnsi="Cambria Math" w:cs="Arial"/>
              </w:rPr>
              <m:t>0</m:t>
            </m:r>
          </m:sub>
        </m:sSub>
        <m:r>
          <w:rPr>
            <w:rFonts w:ascii="Cambria Math" w:hAnsi="Cambria Math" w:cs="Arial"/>
          </w:rPr>
          <m:t>+</m:t>
        </m:r>
        <m:sSub>
          <m:sSubPr>
            <m:ctrlPr>
              <w:rPr>
                <w:rFonts w:ascii="Cambria Math" w:hAnsi="Cambria Math" w:cs="Arial"/>
                <w:i/>
              </w:rPr>
            </m:ctrlPr>
          </m:sSubPr>
          <m:e>
            <m:r>
              <w:rPr>
                <w:rFonts w:ascii="Cambria Math" w:hAnsi="Cambria Math" w:cs="Arial"/>
              </w:rPr>
              <m:t>α</m:t>
            </m:r>
          </m:e>
          <m:sub>
            <m:r>
              <w:rPr>
                <w:rFonts w:ascii="Cambria Math" w:hAnsi="Cambria Math" w:cs="Arial"/>
              </w:rPr>
              <m:t>1</m:t>
            </m:r>
          </m:sub>
        </m:sSub>
        <m:r>
          <w:rPr>
            <w:rFonts w:ascii="Cambria Math" w:hAnsi="Cambria Math" w:cs="Arial"/>
          </w:rPr>
          <m:t>t+</m:t>
        </m:r>
        <m:sSub>
          <m:sSubPr>
            <m:ctrlPr>
              <w:rPr>
                <w:rFonts w:ascii="Cambria Math" w:hAnsi="Cambria Math" w:cs="Arial"/>
                <w:i/>
              </w:rPr>
            </m:ctrlPr>
          </m:sSubPr>
          <m:e>
            <m:r>
              <w:rPr>
                <w:rFonts w:ascii="Cambria Math" w:hAnsi="Cambria Math" w:cs="Arial"/>
              </w:rPr>
              <m:t>α</m:t>
            </m:r>
          </m:e>
          <m:sub>
            <m:r>
              <w:rPr>
                <w:rFonts w:ascii="Cambria Math" w:hAnsi="Cambria Math" w:cs="Arial"/>
              </w:rPr>
              <m:t>2</m:t>
            </m:r>
          </m:sub>
        </m:sSub>
        <m:sSub>
          <m:sSubPr>
            <m:ctrlPr>
              <w:rPr>
                <w:rFonts w:ascii="Cambria Math" w:hAnsi="Cambria Math" w:cs="Arial"/>
                <w:i/>
              </w:rPr>
            </m:ctrlPr>
          </m:sSubPr>
          <m:e>
            <m:r>
              <w:rPr>
                <w:rFonts w:ascii="Cambria Math" w:hAnsi="Cambria Math" w:cs="Arial"/>
              </w:rPr>
              <m:t>Y</m:t>
            </m:r>
          </m:e>
          <m:sub>
            <m:r>
              <w:rPr>
                <w:rFonts w:ascii="Cambria Math" w:hAnsi="Cambria Math" w:cs="Arial"/>
              </w:rPr>
              <m:t>t-1</m:t>
            </m:r>
          </m:sub>
        </m:sSub>
        <m:r>
          <w:rPr>
            <w:rFonts w:ascii="Cambria Math" w:hAnsi="Cambria Math" w:cs="Arial"/>
          </w:rPr>
          <m:t>+log</m:t>
        </m:r>
        <m:sSub>
          <m:sSubPr>
            <m:ctrlPr>
              <w:rPr>
                <w:rFonts w:ascii="Cambria Math" w:hAnsi="Cambria Math" w:cs="Arial"/>
                <w:i/>
              </w:rPr>
            </m:ctrlPr>
          </m:sSubPr>
          <m:e>
            <m:r>
              <w:rPr>
                <w:rFonts w:ascii="Cambria Math" w:hAnsi="Cambria Math" w:cs="Arial"/>
              </w:rPr>
              <m:t>∆Y</m:t>
            </m:r>
          </m:e>
          <m:sub>
            <m:r>
              <w:rPr>
                <w:rFonts w:ascii="Cambria Math" w:hAnsi="Cambria Math" w:cs="Arial"/>
              </w:rPr>
              <m:t>t</m:t>
            </m:r>
          </m:sub>
        </m:sSub>
        <m:r>
          <w:rPr>
            <w:rFonts w:ascii="Cambria Math" w:hAnsi="Cambria Math" w:cs="Arial"/>
          </w:rPr>
          <m:t>+</m:t>
        </m:r>
        <m:sSub>
          <m:sSubPr>
            <m:ctrlPr>
              <w:rPr>
                <w:rFonts w:ascii="Cambria Math" w:hAnsi="Cambria Math" w:cs="Arial"/>
                <w:i/>
              </w:rPr>
            </m:ctrlPr>
          </m:sSubPr>
          <m:e>
            <m:r>
              <w:rPr>
                <w:rFonts w:ascii="Cambria Math" w:hAnsi="Cambria Math" w:cs="Arial"/>
              </w:rPr>
              <m:t>ε</m:t>
            </m:r>
          </m:e>
          <m:sub>
            <m:r>
              <w:rPr>
                <w:rFonts w:ascii="Cambria Math" w:hAnsi="Cambria Math" w:cs="Arial"/>
              </w:rPr>
              <m:t>t</m:t>
            </m:r>
          </m:sub>
        </m:sSub>
      </m:oMath>
      <w:r w:rsidR="004D2416">
        <w:rPr>
          <w:rFonts w:ascii="Arial" w:eastAsiaTheme="minorEastAsia" w:hAnsi="Arial" w:cs="Arial"/>
          <w:sz w:val="24"/>
          <w:szCs w:val="24"/>
        </w:rPr>
        <w:t xml:space="preserve">                                                      </w:t>
      </w:r>
      <w:r w:rsidR="004D2416" w:rsidRPr="005D5AF8">
        <w:rPr>
          <w:rFonts w:ascii="Arial" w:eastAsiaTheme="minorEastAsia" w:hAnsi="Arial" w:cs="Arial"/>
        </w:rPr>
        <w:t>(</w:t>
      </w:r>
      <w:r w:rsidR="004D2416">
        <w:rPr>
          <w:rFonts w:ascii="Arial" w:eastAsiaTheme="minorEastAsia" w:hAnsi="Arial" w:cs="Arial"/>
        </w:rPr>
        <w:t>4</w:t>
      </w:r>
      <w:r w:rsidR="004D2416" w:rsidRPr="005D5AF8">
        <w:rPr>
          <w:rFonts w:ascii="Arial" w:eastAsiaTheme="minorEastAsia" w:hAnsi="Arial" w:cs="Arial"/>
        </w:rPr>
        <w:t>.</w:t>
      </w:r>
      <w:r w:rsidR="004D2416">
        <w:rPr>
          <w:rFonts w:ascii="Arial" w:eastAsiaTheme="minorEastAsia" w:hAnsi="Arial" w:cs="Arial"/>
        </w:rPr>
        <w:t>7</w:t>
      </w:r>
      <w:r w:rsidR="004D2416" w:rsidRPr="005D5AF8">
        <w:rPr>
          <w:rFonts w:ascii="Arial" w:eastAsiaTheme="minorEastAsia" w:hAnsi="Arial" w:cs="Arial"/>
        </w:rPr>
        <w:t>)</w:t>
      </w:r>
    </w:p>
    <w:p w14:paraId="79CEB137" w14:textId="2391F307" w:rsidR="002F2E27" w:rsidRDefault="00CE7BD6" w:rsidP="0066301C">
      <w:pPr>
        <w:spacing w:line="360" w:lineRule="auto"/>
        <w:jc w:val="both"/>
        <w:rPr>
          <w:rFonts w:ascii="Arial" w:hAnsi="Arial" w:cs="Arial"/>
        </w:rPr>
      </w:pPr>
      <w:r>
        <w:rPr>
          <w:rFonts w:ascii="Arial" w:hAnsi="Arial" w:cs="Arial"/>
        </w:rPr>
        <w:t>T</w:t>
      </w:r>
      <w:r w:rsidR="002F2E27">
        <w:rPr>
          <w:rFonts w:ascii="Arial" w:hAnsi="Arial" w:cs="Arial"/>
        </w:rPr>
        <w:t xml:space="preserve">he first difference of </w:t>
      </w:r>
      <w:r w:rsidR="002F2E27">
        <w:rPr>
          <w:rFonts w:ascii="Arial" w:hAnsi="Arial" w:cs="Arial"/>
          <w:i/>
          <w:iCs/>
        </w:rPr>
        <w:t>Y</w:t>
      </w:r>
      <w:r w:rsidR="002F2E27">
        <w:rPr>
          <w:rFonts w:ascii="Arial" w:hAnsi="Arial" w:cs="Arial"/>
          <w:i/>
          <w:iCs/>
          <w:vertAlign w:val="subscript"/>
        </w:rPr>
        <w:t>t</w:t>
      </w:r>
      <w:r w:rsidR="002F2E27">
        <w:rPr>
          <w:rFonts w:ascii="Arial" w:hAnsi="Arial" w:cs="Arial"/>
        </w:rPr>
        <w:t xml:space="preserve"> is regressed against a constant, a time trend (</w:t>
      </w:r>
      <w:r w:rsidR="002F2E27">
        <w:rPr>
          <w:rFonts w:ascii="Arial" w:hAnsi="Arial" w:cs="Arial"/>
          <w:i/>
          <w:iCs/>
        </w:rPr>
        <w:t>t</w:t>
      </w:r>
      <w:r w:rsidR="002F2E27">
        <w:rPr>
          <w:rFonts w:ascii="Arial" w:hAnsi="Arial" w:cs="Arial"/>
        </w:rPr>
        <w:t xml:space="preserve"> = 1, 2,...,T), the first lag of </w:t>
      </w:r>
      <w:r w:rsidR="002F2E27">
        <w:rPr>
          <w:rFonts w:ascii="Arial" w:hAnsi="Arial" w:cs="Arial"/>
          <w:i/>
          <w:iCs/>
        </w:rPr>
        <w:t>Y</w:t>
      </w:r>
      <w:r w:rsidR="002F2E27">
        <w:rPr>
          <w:rFonts w:ascii="Arial" w:hAnsi="Arial" w:cs="Arial"/>
          <w:i/>
          <w:iCs/>
          <w:vertAlign w:val="subscript"/>
        </w:rPr>
        <w:t>t</w:t>
      </w:r>
      <w:r w:rsidR="002F2E27">
        <w:rPr>
          <w:rFonts w:ascii="Arial" w:hAnsi="Arial" w:cs="Arial"/>
        </w:rPr>
        <w:t xml:space="preserve">, and, if necessary, lags of </w:t>
      </w:r>
      <w:r w:rsidR="002F2E27">
        <w:rPr>
          <w:rFonts w:ascii="Arial" w:hAnsi="Arial" w:cs="Arial"/>
          <w:i/>
          <w:iCs/>
        </w:rPr>
        <w:t>ΔY</w:t>
      </w:r>
      <w:r w:rsidR="002F2E27">
        <w:rPr>
          <w:rFonts w:ascii="Arial" w:hAnsi="Arial" w:cs="Arial"/>
          <w:i/>
          <w:iCs/>
          <w:vertAlign w:val="subscript"/>
        </w:rPr>
        <w:t>t</w:t>
      </w:r>
      <w:r w:rsidR="002F2E27">
        <w:rPr>
          <w:rFonts w:ascii="Arial" w:hAnsi="Arial" w:cs="Arial"/>
          <w:i/>
          <w:iCs/>
        </w:rPr>
        <w:t>.</w:t>
      </w:r>
      <w:r w:rsidR="002F2E27">
        <w:rPr>
          <w:rFonts w:ascii="Arial" w:hAnsi="Arial" w:cs="Arial"/>
        </w:rPr>
        <w:t xml:space="preserve"> Sufficient lags of Δ</w:t>
      </w:r>
      <w:r w:rsidR="002F2E27">
        <w:rPr>
          <w:rFonts w:ascii="Arial" w:hAnsi="Arial" w:cs="Arial"/>
          <w:i/>
          <w:iCs/>
        </w:rPr>
        <w:t>Y</w:t>
      </w:r>
      <w:r w:rsidR="002F2E27">
        <w:rPr>
          <w:rFonts w:ascii="Arial" w:hAnsi="Arial" w:cs="Arial"/>
          <w:i/>
          <w:iCs/>
          <w:vertAlign w:val="subscript"/>
        </w:rPr>
        <w:t>t</w:t>
      </w:r>
      <w:r w:rsidR="002F2E27">
        <w:rPr>
          <w:rFonts w:ascii="Arial" w:hAnsi="Arial" w:cs="Arial"/>
        </w:rPr>
        <w:t xml:space="preserve"> must be included to ensure no autocorrelation in the error term. One lag (or even no lags) is usually sufficient with annual data. The test for a unit root</w:t>
      </w:r>
      <w:r w:rsidR="00992EDC">
        <w:rPr>
          <w:rFonts w:ascii="Arial" w:hAnsi="Arial" w:cs="Arial"/>
        </w:rPr>
        <w:t xml:space="preserve"> (</w:t>
      </w:r>
      <w:r w:rsidR="002F2E27">
        <w:rPr>
          <w:rFonts w:ascii="Arial" w:hAnsi="Arial" w:cs="Arial"/>
        </w:rPr>
        <w:t>i.e., non-stationarity</w:t>
      </w:r>
      <w:r w:rsidR="00992EDC">
        <w:rPr>
          <w:rFonts w:ascii="Arial" w:hAnsi="Arial" w:cs="Arial"/>
        </w:rPr>
        <w:t>)</w:t>
      </w:r>
      <w:r w:rsidR="002F2E27">
        <w:rPr>
          <w:rFonts w:ascii="Arial" w:hAnsi="Arial" w:cs="Arial"/>
        </w:rPr>
        <w:t xml:space="preserve">, is based on the </w:t>
      </w:r>
      <w:r w:rsidR="002F2E27" w:rsidRPr="0071776A">
        <w:rPr>
          <w:rFonts w:ascii="Arial" w:hAnsi="Arial" w:cs="Arial"/>
          <w:i/>
          <w:iCs/>
        </w:rPr>
        <w:t>t-stat</w:t>
      </w:r>
      <w:r w:rsidR="0071776A" w:rsidRPr="0071776A">
        <w:rPr>
          <w:rFonts w:ascii="Arial" w:hAnsi="Arial" w:cs="Arial"/>
          <w:i/>
          <w:iCs/>
        </w:rPr>
        <w:t>istic</w:t>
      </w:r>
      <w:r w:rsidR="002F2E27">
        <w:rPr>
          <w:rFonts w:ascii="Arial" w:hAnsi="Arial" w:cs="Arial"/>
        </w:rPr>
        <w:t xml:space="preserve"> on the coefficient of the lagged dependent variable, Y</w:t>
      </w:r>
      <w:r w:rsidR="002F2E27">
        <w:rPr>
          <w:rFonts w:ascii="Arial" w:hAnsi="Arial" w:cs="Arial"/>
          <w:vertAlign w:val="subscript"/>
        </w:rPr>
        <w:t>t-1</w:t>
      </w:r>
      <w:r w:rsidR="002F2E27">
        <w:rPr>
          <w:rFonts w:ascii="Arial" w:hAnsi="Arial" w:cs="Arial"/>
        </w:rPr>
        <w:t>.</w:t>
      </w:r>
    </w:p>
    <w:p w14:paraId="0971724F" w14:textId="70CCC39D" w:rsidR="002F2E27" w:rsidRDefault="0071776A" w:rsidP="0066301C">
      <w:pPr>
        <w:rPr>
          <w:rFonts w:ascii="Arial" w:hAnsi="Arial" w:cs="Arial"/>
        </w:rPr>
      </w:pPr>
      <w:r>
        <w:rPr>
          <w:rFonts w:ascii="Arial" w:hAnsi="Arial" w:cs="Arial"/>
        </w:rPr>
        <w:lastRenderedPageBreak/>
        <w:t>B</w:t>
      </w:r>
      <w:r w:rsidR="002F2E27">
        <w:rPr>
          <w:rFonts w:ascii="Arial" w:hAnsi="Arial" w:cs="Arial"/>
        </w:rPr>
        <w:t>oth the null and alternative hypotheses are express as:</w:t>
      </w:r>
    </w:p>
    <w:p w14:paraId="603B06C1" w14:textId="77777777" w:rsidR="002F2E27" w:rsidRDefault="002F2E27" w:rsidP="0066301C">
      <w:pPr>
        <w:jc w:val="both"/>
        <w:rPr>
          <w:rFonts w:ascii="Arial" w:hAnsi="Arial" w:cs="Arial"/>
        </w:rPr>
      </w:pPr>
      <w:r>
        <w:rPr>
          <w:rFonts w:ascii="Arial" w:hAnsi="Arial" w:cs="Arial"/>
        </w:rPr>
        <w:t>Null Hypothesis (H</w:t>
      </w:r>
      <w:r>
        <w:rPr>
          <w:rFonts w:ascii="Arial" w:hAnsi="Arial" w:cs="Arial"/>
          <w:vertAlign w:val="subscript"/>
        </w:rPr>
        <w:t>0</w:t>
      </w:r>
      <w:r>
        <w:rPr>
          <w:rFonts w:ascii="Arial" w:hAnsi="Arial" w:cs="Arial"/>
        </w:rPr>
        <w:t xml:space="preserve">): series has unit root, (i.e., if the </w:t>
      </w:r>
      <w:r>
        <w:rPr>
          <w:rFonts w:ascii="Arial" w:hAnsi="Arial" w:cs="Arial"/>
          <w:i/>
        </w:rPr>
        <w:t>p-</w:t>
      </w:r>
      <w:r>
        <w:rPr>
          <w:rFonts w:ascii="Arial" w:hAnsi="Arial" w:cs="Arial"/>
        </w:rPr>
        <w:t>value &gt; 0.05).</w:t>
      </w:r>
    </w:p>
    <w:p w14:paraId="537F13F2" w14:textId="77777777" w:rsidR="002F2E27" w:rsidRDefault="002F2E27" w:rsidP="0066301C">
      <w:pPr>
        <w:jc w:val="both"/>
        <w:rPr>
          <w:rFonts w:ascii="Arial" w:hAnsi="Arial" w:cs="Arial"/>
        </w:rPr>
      </w:pPr>
      <w:r>
        <w:rPr>
          <w:rFonts w:ascii="Arial" w:hAnsi="Arial" w:cs="Arial"/>
        </w:rPr>
        <w:t>Alternative Hypothesis (H</w:t>
      </w:r>
      <w:r>
        <w:rPr>
          <w:rFonts w:ascii="Arial" w:hAnsi="Arial" w:cs="Arial"/>
          <w:vertAlign w:val="subscript"/>
        </w:rPr>
        <w:t>1</w:t>
      </w:r>
      <w:r>
        <w:rPr>
          <w:rFonts w:ascii="Arial" w:hAnsi="Arial" w:cs="Arial"/>
        </w:rPr>
        <w:t xml:space="preserve">): series does not have unit root, (i.e., if </w:t>
      </w:r>
      <w:r>
        <w:rPr>
          <w:rFonts w:ascii="Arial" w:hAnsi="Arial" w:cs="Arial"/>
          <w:i/>
        </w:rPr>
        <w:t>p-</w:t>
      </w:r>
      <w:r>
        <w:rPr>
          <w:rFonts w:ascii="Arial" w:hAnsi="Arial" w:cs="Arial"/>
        </w:rPr>
        <w:t>value &lt; 0.05).</w:t>
      </w:r>
    </w:p>
    <w:p w14:paraId="4D2D1217" w14:textId="5D5B5AEE" w:rsidR="002F2E27" w:rsidRDefault="002F2E27" w:rsidP="0066301C">
      <w:pPr>
        <w:spacing w:line="360" w:lineRule="auto"/>
        <w:jc w:val="both"/>
        <w:rPr>
          <w:rFonts w:ascii="Arial" w:hAnsi="Arial" w:cs="Arial"/>
        </w:rPr>
      </w:pPr>
      <w:r>
        <w:rPr>
          <w:rFonts w:ascii="Arial" w:hAnsi="Arial" w:cs="Arial"/>
        </w:rPr>
        <w:t>The null hypothesis is rejected (i.e., the series does not have unit root) if the absolute value of the computed</w:t>
      </w:r>
      <w:r w:rsidRPr="57585719">
        <w:rPr>
          <w:rFonts w:ascii="Arial" w:hAnsi="Arial" w:cs="Arial"/>
          <w:i/>
          <w:iCs/>
        </w:rPr>
        <w:t xml:space="preserve"> ADF</w:t>
      </w:r>
      <w:r>
        <w:rPr>
          <w:rFonts w:ascii="Arial" w:hAnsi="Arial" w:cs="Arial"/>
        </w:rPr>
        <w:t xml:space="preserve"> and/or</w:t>
      </w:r>
      <w:r w:rsidRPr="57585719">
        <w:rPr>
          <w:rFonts w:ascii="Arial" w:hAnsi="Arial" w:cs="Arial"/>
          <w:i/>
          <w:iCs/>
        </w:rPr>
        <w:t xml:space="preserve"> PP </w:t>
      </w:r>
      <w:r>
        <w:rPr>
          <w:rFonts w:ascii="Arial" w:hAnsi="Arial" w:cs="Arial"/>
        </w:rPr>
        <w:t>test statistic is greater than the test critical values.</w:t>
      </w:r>
      <w:r w:rsidR="00133D66">
        <w:rPr>
          <w:rStyle w:val="FootnoteReference"/>
          <w:rFonts w:ascii="Arial" w:hAnsi="Arial" w:cs="Arial"/>
        </w:rPr>
        <w:footnoteReference w:id="107"/>
      </w:r>
      <w:r>
        <w:rPr>
          <w:rFonts w:ascii="Arial" w:hAnsi="Arial" w:cs="Arial"/>
        </w:rPr>
        <w:t xml:space="preserve"> That is, when the probability value is less than 0.05 (</w:t>
      </w:r>
      <w:r w:rsidRPr="57585719">
        <w:rPr>
          <w:rFonts w:ascii="Arial" w:hAnsi="Arial" w:cs="Arial"/>
          <w:i/>
          <w:iCs/>
        </w:rPr>
        <w:t>p-</w:t>
      </w:r>
      <w:r>
        <w:rPr>
          <w:rFonts w:ascii="Arial" w:hAnsi="Arial" w:cs="Arial"/>
        </w:rPr>
        <w:t xml:space="preserve">value &lt; 0.05), the model is stationary and as such, the null hypothesis is rejected (while the alternative hypothesis is accepted). However, if the </w:t>
      </w:r>
      <w:r w:rsidRPr="57585719">
        <w:rPr>
          <w:rFonts w:ascii="Arial" w:hAnsi="Arial" w:cs="Arial"/>
          <w:i/>
          <w:iCs/>
        </w:rPr>
        <w:t>ADF</w:t>
      </w:r>
      <w:r>
        <w:rPr>
          <w:rFonts w:ascii="Arial" w:hAnsi="Arial" w:cs="Arial"/>
        </w:rPr>
        <w:t xml:space="preserve"> and/or</w:t>
      </w:r>
      <w:r w:rsidRPr="57585719">
        <w:rPr>
          <w:rFonts w:ascii="Arial" w:hAnsi="Arial" w:cs="Arial"/>
          <w:i/>
          <w:iCs/>
        </w:rPr>
        <w:t xml:space="preserve"> PP</w:t>
      </w:r>
      <w:r>
        <w:rPr>
          <w:rFonts w:ascii="Arial" w:hAnsi="Arial" w:cs="Arial"/>
        </w:rPr>
        <w:t xml:space="preserve"> are less than the test critical value, (i.e., if the </w:t>
      </w:r>
      <w:r w:rsidRPr="57585719">
        <w:rPr>
          <w:rFonts w:ascii="Arial" w:hAnsi="Arial" w:cs="Arial"/>
          <w:i/>
          <w:iCs/>
        </w:rPr>
        <w:t>p-</w:t>
      </w:r>
      <w:r>
        <w:rPr>
          <w:rFonts w:ascii="Arial" w:hAnsi="Arial" w:cs="Arial"/>
        </w:rPr>
        <w:t xml:space="preserve">value &gt; 0.05), it means that the model has unit root, and the null hypothesis is not rejected. The series </w:t>
      </w:r>
      <w:r w:rsidR="0071776A">
        <w:rPr>
          <w:rFonts w:ascii="Arial" w:hAnsi="Arial" w:cs="Arial"/>
        </w:rPr>
        <w:t>must</w:t>
      </w:r>
      <w:r>
        <w:rPr>
          <w:rFonts w:ascii="Arial" w:hAnsi="Arial" w:cs="Arial"/>
        </w:rPr>
        <w:t xml:space="preserve"> be difference </w:t>
      </w:r>
      <w:r w:rsidR="00CE7BD6">
        <w:rPr>
          <w:rFonts w:ascii="Arial" w:hAnsi="Arial" w:cs="Arial"/>
        </w:rPr>
        <w:t>to</w:t>
      </w:r>
      <w:r>
        <w:rPr>
          <w:rFonts w:ascii="Arial" w:hAnsi="Arial" w:cs="Arial"/>
        </w:rPr>
        <w:t xml:space="preserve"> remove the unit root. </w:t>
      </w:r>
    </w:p>
    <w:p w14:paraId="551BDAC4" w14:textId="47FEF1B0" w:rsidR="002F2E27" w:rsidRDefault="00ED2382" w:rsidP="0066301C">
      <w:pPr>
        <w:pStyle w:val="Heading3"/>
        <w:numPr>
          <w:ilvl w:val="0"/>
          <w:numId w:val="0"/>
        </w:numPr>
        <w:spacing w:before="0" w:beforeAutospacing="0"/>
      </w:pPr>
      <w:bookmarkStart w:id="443" w:name="_Toc171075407"/>
      <w:bookmarkEnd w:id="442"/>
      <w:r>
        <w:t>4.</w:t>
      </w:r>
      <w:r w:rsidR="00F91B2D">
        <w:t>5</w:t>
      </w:r>
      <w:r w:rsidR="002F2E27">
        <w:t>.</w:t>
      </w:r>
      <w:r w:rsidR="00F717EF">
        <w:t>3</w:t>
      </w:r>
      <w:r w:rsidR="002D33E0">
        <w:tab/>
      </w:r>
      <w:r w:rsidR="002F2E27">
        <w:t>D</w:t>
      </w:r>
      <w:r w:rsidR="002D33E0">
        <w:t>E</w:t>
      </w:r>
      <w:r w:rsidR="002F2E27">
        <w:t>TERMINE OPTIMAL LAG LENGTH</w:t>
      </w:r>
      <w:bookmarkEnd w:id="443"/>
    </w:p>
    <w:p w14:paraId="28A465F3" w14:textId="77777777" w:rsidR="002F2E27" w:rsidRDefault="002F2E27" w:rsidP="0066301C">
      <w:pPr>
        <w:pStyle w:val="FootnoteText"/>
        <w:spacing w:line="360" w:lineRule="auto"/>
        <w:jc w:val="both"/>
        <w:rPr>
          <w:rFonts w:ascii="Arial" w:hAnsi="Arial" w:cs="Arial"/>
          <w:sz w:val="22"/>
          <w:szCs w:val="22"/>
        </w:rPr>
      </w:pPr>
      <w:r>
        <w:rPr>
          <w:rFonts w:ascii="Arial" w:hAnsi="Arial" w:cs="Arial"/>
          <w:sz w:val="22"/>
          <w:szCs w:val="22"/>
        </w:rPr>
        <w:t xml:space="preserve">In economics, the dependence of a variable </w:t>
      </w:r>
      <w:r>
        <w:rPr>
          <w:rFonts w:ascii="Arial" w:hAnsi="Arial" w:cs="Arial"/>
          <w:b/>
          <w:sz w:val="22"/>
          <w:szCs w:val="22"/>
        </w:rPr>
        <w:t>Y</w:t>
      </w:r>
      <w:r>
        <w:rPr>
          <w:rFonts w:ascii="Arial" w:hAnsi="Arial" w:cs="Arial"/>
          <w:sz w:val="22"/>
          <w:szCs w:val="22"/>
        </w:rPr>
        <w:t xml:space="preserve"> on another variable </w:t>
      </w:r>
      <w:r>
        <w:rPr>
          <w:rFonts w:ascii="Arial" w:hAnsi="Arial" w:cs="Arial"/>
          <w:b/>
          <w:sz w:val="22"/>
          <w:szCs w:val="22"/>
        </w:rPr>
        <w:t>X</w:t>
      </w:r>
      <w:r>
        <w:rPr>
          <w:rFonts w:ascii="Arial" w:hAnsi="Arial" w:cs="Arial"/>
          <w:sz w:val="22"/>
          <w:szCs w:val="22"/>
        </w:rPr>
        <w:t xml:space="preserve"> is rarely instantaneous. That is, most often the dependant variable </w:t>
      </w:r>
      <w:r>
        <w:rPr>
          <w:rFonts w:ascii="Arial" w:hAnsi="Arial" w:cs="Arial"/>
          <w:b/>
          <w:sz w:val="22"/>
          <w:szCs w:val="22"/>
        </w:rPr>
        <w:t xml:space="preserve">Y </w:t>
      </w:r>
      <w:r>
        <w:rPr>
          <w:rFonts w:ascii="Arial" w:hAnsi="Arial" w:cs="Arial"/>
          <w:sz w:val="22"/>
          <w:szCs w:val="22"/>
        </w:rPr>
        <w:t xml:space="preserve">response to the independent variable </w:t>
      </w:r>
      <w:r>
        <w:rPr>
          <w:rFonts w:ascii="Arial" w:hAnsi="Arial" w:cs="Arial"/>
          <w:b/>
          <w:sz w:val="22"/>
          <w:szCs w:val="22"/>
        </w:rPr>
        <w:t xml:space="preserve">X </w:t>
      </w:r>
      <w:r>
        <w:rPr>
          <w:rFonts w:ascii="Arial" w:hAnsi="Arial" w:cs="Arial"/>
          <w:sz w:val="22"/>
          <w:szCs w:val="22"/>
        </w:rPr>
        <w:t xml:space="preserve">with a lapse of time. Such lapse of time is referred to as a lag. This means that </w:t>
      </w:r>
      <w:r>
        <w:rPr>
          <w:rFonts w:ascii="Arial" w:hAnsi="Arial" w:cs="Arial"/>
          <w:b/>
          <w:sz w:val="22"/>
          <w:szCs w:val="22"/>
        </w:rPr>
        <w:t xml:space="preserve">Y </w:t>
      </w:r>
      <w:r>
        <w:rPr>
          <w:rFonts w:ascii="Arial" w:hAnsi="Arial" w:cs="Arial"/>
          <w:sz w:val="22"/>
          <w:szCs w:val="22"/>
        </w:rPr>
        <w:t xml:space="preserve">does not response to </w:t>
      </w:r>
      <w:r>
        <w:rPr>
          <w:rFonts w:ascii="Arial" w:hAnsi="Arial" w:cs="Arial"/>
          <w:b/>
          <w:sz w:val="22"/>
          <w:szCs w:val="22"/>
        </w:rPr>
        <w:t>X</w:t>
      </w:r>
      <w:r>
        <w:rPr>
          <w:rFonts w:ascii="Arial" w:hAnsi="Arial" w:cs="Arial"/>
          <w:sz w:val="22"/>
          <w:szCs w:val="22"/>
        </w:rPr>
        <w:t xml:space="preserve"> immediately. Thus, there is a lag between the response time. We need to be careful on the number of lags we put in our model because too many lags often lead to loss of degree of freedom. It could also cause multicollinearity among the regressors, it could lead to serial correlation in the error terms, and misspecification error. On the other hand, too few lags could result in specification errors.</w:t>
      </w:r>
    </w:p>
    <w:p w14:paraId="45E7DF76" w14:textId="77777777" w:rsidR="002F2E27" w:rsidRDefault="002F2E27" w:rsidP="0066301C">
      <w:pPr>
        <w:autoSpaceDE w:val="0"/>
        <w:autoSpaceDN w:val="0"/>
        <w:adjustRightInd w:val="0"/>
        <w:spacing w:line="360" w:lineRule="auto"/>
        <w:jc w:val="both"/>
        <w:rPr>
          <w:rFonts w:ascii="Arial" w:hAnsi="Arial" w:cs="Arial"/>
        </w:rPr>
      </w:pPr>
      <w:r>
        <w:rPr>
          <w:rFonts w:ascii="Arial" w:hAnsi="Arial" w:cs="Arial"/>
        </w:rPr>
        <w:t>Hence, the question on the number of lags to be use in a model is empirical. Most often, the number of lags for annual data is typically small (1 or 2), for quarterly data (1 to 8 lags is appropriate), and for monthly data (6, 12, or 24 lags if there are sufficient data points). T</w:t>
      </w:r>
      <w:r>
        <w:rPr>
          <w:rFonts w:ascii="Arial" w:hAnsi="Arial" w:cs="Arial"/>
          <w:color w:val="000000"/>
        </w:rPr>
        <w:t>he optimal lags can be chosen using the following information criterion:</w:t>
      </w:r>
      <w:r>
        <w:rPr>
          <w:rFonts w:ascii="Arial" w:hAnsi="Arial" w:cs="Arial"/>
        </w:rPr>
        <w:t xml:space="preserve"> </w:t>
      </w:r>
      <w:r>
        <w:rPr>
          <w:rFonts w:ascii="Arial" w:hAnsi="Arial" w:cs="Arial"/>
          <w:color w:val="000000"/>
        </w:rPr>
        <w:t xml:space="preserve">Final prediction error (FPE), Akaike information criterion (AIC), Schwarz information criterion (SC), Hannan-Quinn information criterion (HQ). The </w:t>
      </w:r>
      <w:r>
        <w:rPr>
          <w:rFonts w:ascii="Arial" w:hAnsi="Arial" w:cs="Arial"/>
        </w:rPr>
        <w:t>asterisk (</w:t>
      </w:r>
      <w:r>
        <w:rPr>
          <w:rFonts w:ascii="Arial" w:hAnsi="Arial" w:cs="Arial"/>
          <w:color w:val="000000"/>
        </w:rPr>
        <w:t>*) on the values indicate the lag order selected by the information criterion, and the criterion with the lowest * value’s lag length is chosen as the optimal lag length</w:t>
      </w:r>
      <w:r>
        <w:rPr>
          <w:rFonts w:ascii="Arial" w:hAnsi="Arial" w:cs="Arial"/>
        </w:rPr>
        <w:t>.</w:t>
      </w:r>
    </w:p>
    <w:p w14:paraId="05180178" w14:textId="1BA79D9D" w:rsidR="00F717EF" w:rsidRDefault="007F6317" w:rsidP="0066301C">
      <w:pPr>
        <w:pStyle w:val="Heading3"/>
        <w:numPr>
          <w:ilvl w:val="0"/>
          <w:numId w:val="0"/>
        </w:numPr>
        <w:spacing w:before="0" w:beforeAutospacing="0"/>
      </w:pPr>
      <w:bookmarkStart w:id="444" w:name="_Toc171075408"/>
      <w:bookmarkStart w:id="445" w:name="_Hlk170839288"/>
      <w:r>
        <w:t>4</w:t>
      </w:r>
      <w:r w:rsidR="00F717EF">
        <w:t>.</w:t>
      </w:r>
      <w:r w:rsidR="00CC6FDE">
        <w:t>5</w:t>
      </w:r>
      <w:r w:rsidR="00F717EF">
        <w:t>.4</w:t>
      </w:r>
      <w:r w:rsidR="00CC6FDE">
        <w:tab/>
      </w:r>
      <w:r w:rsidR="00F717EF">
        <w:t>COINTEGRATION TEST</w:t>
      </w:r>
      <w:bookmarkEnd w:id="444"/>
    </w:p>
    <w:bookmarkEnd w:id="430"/>
    <w:p w14:paraId="35667047" w14:textId="77777777" w:rsidR="00DE4F7B" w:rsidRDefault="00DE4F7B" w:rsidP="0066301C">
      <w:pPr>
        <w:spacing w:line="360" w:lineRule="auto"/>
        <w:jc w:val="both"/>
        <w:rPr>
          <w:rFonts w:ascii="Arial" w:hAnsi="Arial" w:cs="Arial"/>
          <w:lang w:val="en-US"/>
        </w:rPr>
      </w:pPr>
      <w:r w:rsidRPr="000354BF">
        <w:rPr>
          <w:rFonts w:ascii="Arial" w:eastAsiaTheme="minorEastAsia" w:hAnsi="Arial" w:cs="Arial"/>
        </w:rPr>
        <w:t xml:space="preserve">In this chapter, we use the Autoregressive Distributed Lag (ARDL) of Pesaran </w:t>
      </w:r>
      <w:r w:rsidRPr="000354BF">
        <w:rPr>
          <w:rFonts w:ascii="Arial" w:eastAsiaTheme="minorEastAsia" w:hAnsi="Arial" w:cs="Arial"/>
          <w:i/>
          <w:iCs/>
        </w:rPr>
        <w:t xml:space="preserve">et al. </w:t>
      </w:r>
      <w:r w:rsidRPr="000354BF">
        <w:rPr>
          <w:rFonts w:ascii="Arial" w:eastAsiaTheme="minorEastAsia" w:hAnsi="Arial" w:cs="Arial"/>
        </w:rPr>
        <w:t>(2001)</w:t>
      </w:r>
      <w:r>
        <w:rPr>
          <w:rFonts w:ascii="Arial" w:eastAsiaTheme="minorEastAsia" w:hAnsi="Arial" w:cs="Arial"/>
        </w:rPr>
        <w:t xml:space="preserve"> to investigate the presence of cointegration in the models.</w:t>
      </w:r>
      <w:r w:rsidRPr="000354BF">
        <w:rPr>
          <w:rFonts w:ascii="Arial" w:eastAsiaTheme="minorEastAsia" w:hAnsi="Arial" w:cs="Arial"/>
        </w:rPr>
        <w:t xml:space="preserve"> </w:t>
      </w:r>
      <w:r>
        <w:rPr>
          <w:rFonts w:ascii="Arial" w:hAnsi="Arial" w:cs="Arial"/>
        </w:rPr>
        <w:t xml:space="preserve">It allows us to determine the number of long-run equilibrium relationships between integrated variables </w:t>
      </w:r>
      <w:r w:rsidRPr="000354BF">
        <w:rPr>
          <w:rFonts w:ascii="Arial" w:hAnsi="Arial" w:cs="Arial"/>
          <w:lang w:val="en-US"/>
        </w:rPr>
        <w:t xml:space="preserve">irrespective of whether the </w:t>
      </w:r>
      <w:r w:rsidRPr="000354BF">
        <w:rPr>
          <w:rFonts w:ascii="Arial" w:hAnsi="Arial" w:cs="Arial"/>
          <w:lang w:val="en-US"/>
        </w:rPr>
        <w:lastRenderedPageBreak/>
        <w:t xml:space="preserve">variables are integrated of order zero (i.e., the variables are stationary at level form - </w:t>
      </w:r>
      <w:r w:rsidRPr="002E0D6E">
        <w:rPr>
          <w:rFonts w:ascii="Arial" w:hAnsi="Arial" w:cs="Arial"/>
          <w:b/>
          <w:bCs/>
          <w:i/>
          <w:iCs/>
          <w:lang w:val="en-US"/>
        </w:rPr>
        <w:t>I</w:t>
      </w:r>
      <w:r w:rsidRPr="002E0D6E">
        <w:rPr>
          <w:rFonts w:ascii="Arial" w:hAnsi="Arial" w:cs="Arial"/>
          <w:b/>
          <w:bCs/>
          <w:lang w:val="en-US"/>
        </w:rPr>
        <w:t>(0)</w:t>
      </w:r>
      <w:r w:rsidRPr="000354BF">
        <w:rPr>
          <w:rFonts w:ascii="Arial" w:hAnsi="Arial" w:cs="Arial"/>
          <w:lang w:val="en-US"/>
        </w:rPr>
        <w:t xml:space="preserve">) or integrated of order one (i.e., the variables become stationary at first difference - </w:t>
      </w:r>
      <w:r w:rsidRPr="002E0D6E">
        <w:rPr>
          <w:rFonts w:ascii="Arial" w:hAnsi="Arial" w:cs="Arial"/>
          <w:b/>
          <w:bCs/>
          <w:i/>
          <w:iCs/>
          <w:lang w:val="en-US"/>
        </w:rPr>
        <w:t>I</w:t>
      </w:r>
      <w:r w:rsidRPr="002E0D6E">
        <w:rPr>
          <w:rFonts w:ascii="Arial" w:hAnsi="Arial" w:cs="Arial"/>
          <w:b/>
          <w:bCs/>
          <w:lang w:val="en-US"/>
        </w:rPr>
        <w:t>(1)</w:t>
      </w:r>
      <w:r w:rsidRPr="000354BF">
        <w:rPr>
          <w:rFonts w:ascii="Arial" w:hAnsi="Arial" w:cs="Arial"/>
          <w:lang w:val="en-US"/>
        </w:rPr>
        <w:t xml:space="preserve">). </w:t>
      </w:r>
    </w:p>
    <w:bookmarkEnd w:id="445"/>
    <w:p w14:paraId="35EE1E1F" w14:textId="77777777" w:rsidR="00DE4F7B" w:rsidRPr="000354BF" w:rsidRDefault="00DE4F7B" w:rsidP="0066301C">
      <w:pPr>
        <w:spacing w:after="0" w:line="360" w:lineRule="auto"/>
        <w:jc w:val="both"/>
        <w:rPr>
          <w:rFonts w:ascii="Arial" w:eastAsiaTheme="minorEastAsia" w:hAnsi="Arial" w:cs="Arial"/>
        </w:rPr>
      </w:pPr>
      <w:r w:rsidRPr="57585719">
        <w:rPr>
          <w:rFonts w:ascii="Arial" w:eastAsiaTheme="minorEastAsia" w:hAnsi="Arial" w:cs="Arial"/>
        </w:rPr>
        <w:t>The ARDL (or the bounds testing approach) is formulated as follows:</w:t>
      </w:r>
      <w:r w:rsidRPr="57585719">
        <w:rPr>
          <w:rStyle w:val="FootnoteReference"/>
          <w:rFonts w:ascii="Arial" w:eastAsiaTheme="minorEastAsia" w:hAnsi="Arial" w:cs="Arial"/>
        </w:rPr>
        <w:footnoteReference w:id="108"/>
      </w:r>
    </w:p>
    <w:p w14:paraId="0B066C4C" w14:textId="77777777" w:rsidR="00DE4F7B" w:rsidRDefault="00000000" w:rsidP="0066301C">
      <w:pPr>
        <w:spacing w:after="0" w:line="360" w:lineRule="auto"/>
        <w:jc w:val="both"/>
        <w:rPr>
          <w:rFonts w:ascii="Arial" w:eastAsiaTheme="minorEastAsia" w:hAnsi="Arial" w:cs="Arial"/>
        </w:rPr>
      </w:pPr>
      <m:oMath>
        <m:sSub>
          <m:sSubPr>
            <m:ctrlPr>
              <w:rPr>
                <w:rFonts w:ascii="Cambria Math" w:hAnsi="Cambria Math" w:cs="Arial"/>
                <w:i/>
              </w:rPr>
            </m:ctrlPr>
          </m:sSubPr>
          <m:e>
            <m:r>
              <w:rPr>
                <w:rFonts w:ascii="Cambria Math" w:hAnsi="Cambria Math" w:cs="Arial"/>
              </w:rPr>
              <m:t>ΔLnTB</m:t>
            </m:r>
          </m:e>
          <m:sub>
            <m:r>
              <w:rPr>
                <w:rFonts w:ascii="Cambria Math" w:hAnsi="Cambria Math" w:cs="Arial"/>
              </w:rPr>
              <m:t>t</m:t>
            </m:r>
          </m:sub>
        </m:sSub>
        <m:r>
          <w:rPr>
            <w:rFonts w:ascii="Cambria Math" w:hAnsi="Cambria Math" w:cs="Arial"/>
          </w:rPr>
          <m:t>=</m:t>
        </m:r>
        <m:sSub>
          <m:sSubPr>
            <m:ctrlPr>
              <w:rPr>
                <w:rFonts w:ascii="Cambria Math" w:hAnsi="Cambria Math" w:cs="Arial"/>
                <w:i/>
              </w:rPr>
            </m:ctrlPr>
          </m:sSubPr>
          <m:e>
            <m:r>
              <w:rPr>
                <w:rFonts w:ascii="Cambria Math" w:hAnsi="Cambria Math" w:cs="Arial"/>
              </w:rPr>
              <m:t>α</m:t>
            </m:r>
          </m:e>
          <m:sub>
            <m:r>
              <w:rPr>
                <w:rFonts w:ascii="Cambria Math" w:hAnsi="Cambria Math" w:cs="Arial"/>
              </w:rPr>
              <m:t>0</m:t>
            </m:r>
          </m:sub>
        </m:sSub>
        <m:r>
          <w:rPr>
            <w:rFonts w:ascii="Cambria Math" w:hAnsi="Cambria Math" w:cs="Arial"/>
          </w:rPr>
          <m:t>+</m:t>
        </m:r>
        <m:nary>
          <m:naryPr>
            <m:chr m:val="∑"/>
            <m:limLoc m:val="undOvr"/>
            <m:ctrlPr>
              <w:rPr>
                <w:rFonts w:ascii="Cambria Math" w:hAnsi="Cambria Math" w:cs="Arial"/>
              </w:rPr>
            </m:ctrlPr>
          </m:naryPr>
          <m:sub>
            <m:r>
              <w:rPr>
                <w:rFonts w:ascii="Cambria Math" w:hAnsi="Cambria Math" w:cs="Arial"/>
              </w:rPr>
              <m:t>i</m:t>
            </m:r>
            <m:r>
              <m:rPr>
                <m:sty m:val="p"/>
              </m:rPr>
              <w:rPr>
                <w:rFonts w:ascii="Cambria Math" w:hAnsi="Cambria Math" w:cs="Arial"/>
              </w:rPr>
              <m:t>=1</m:t>
            </m:r>
          </m:sub>
          <m:sup>
            <m:r>
              <w:rPr>
                <w:rFonts w:ascii="Cambria Math" w:hAnsi="Cambria Math" w:cs="Arial"/>
              </w:rPr>
              <m:t>m</m:t>
            </m:r>
          </m:sup>
          <m:e>
            <m:sSub>
              <m:sSubPr>
                <m:ctrlPr>
                  <w:rPr>
                    <w:rFonts w:ascii="Cambria Math" w:hAnsi="Cambria Math" w:cs="Arial"/>
                  </w:rPr>
                </m:ctrlPr>
              </m:sSubPr>
              <m:e>
                <m:sSub>
                  <m:sSubPr>
                    <m:ctrlPr>
                      <w:rPr>
                        <w:rFonts w:ascii="Cambria Math" w:hAnsi="Cambria Math" w:cs="Arial"/>
                      </w:rPr>
                    </m:ctrlPr>
                  </m:sSubPr>
                  <m:e>
                    <m:r>
                      <w:rPr>
                        <w:rFonts w:ascii="Cambria Math" w:hAnsi="Cambria Math" w:cs="Arial"/>
                      </w:rPr>
                      <m:t>β</m:t>
                    </m:r>
                  </m:e>
                  <m:sub>
                    <m:r>
                      <m:rPr>
                        <m:sty m:val="p"/>
                      </m:rPr>
                      <w:rPr>
                        <w:rFonts w:ascii="Cambria Math" w:hAnsi="Cambria Math" w:cs="Arial"/>
                        <w:vertAlign w:val="subscript"/>
                      </w:rPr>
                      <m:t>0</m:t>
                    </m:r>
                  </m:sub>
                </m:sSub>
                <m:r>
                  <w:rPr>
                    <w:rFonts w:ascii="Cambria Math" w:hAnsi="Cambria Math" w:cs="Arial"/>
                  </w:rPr>
                  <m:t>ΔLnTB</m:t>
                </m:r>
              </m:e>
              <m:sub>
                <m:r>
                  <w:rPr>
                    <w:rFonts w:ascii="Cambria Math" w:hAnsi="Cambria Math" w:cs="Arial"/>
                    <w:vertAlign w:val="subscript"/>
                  </w:rPr>
                  <m:t>t</m:t>
                </m:r>
                <m:r>
                  <m:rPr>
                    <m:sty m:val="p"/>
                  </m:rPr>
                  <w:rPr>
                    <w:rFonts w:ascii="Cambria Math" w:hAnsi="Cambria Math" w:cs="Arial"/>
                    <w:vertAlign w:val="subscript"/>
                  </w:rPr>
                  <m:t>-</m:t>
                </m:r>
                <m:r>
                  <w:rPr>
                    <w:rFonts w:ascii="Cambria Math" w:hAnsi="Cambria Math" w:cs="Arial"/>
                    <w:vertAlign w:val="subscript"/>
                  </w:rPr>
                  <m:t>i</m:t>
                </m:r>
              </m:sub>
            </m:sSub>
          </m:e>
        </m:nary>
        <m:r>
          <m:rPr>
            <m:sty m:val="p"/>
          </m:rPr>
          <w:rPr>
            <w:rFonts w:ascii="Cambria Math" w:hAnsi="Cambria Math" w:cs="Arial"/>
          </w:rPr>
          <m:t xml:space="preserve">+ </m:t>
        </m:r>
        <m:nary>
          <m:naryPr>
            <m:chr m:val="∑"/>
            <m:limLoc m:val="undOvr"/>
            <m:ctrlPr>
              <w:rPr>
                <w:rFonts w:ascii="Cambria Math" w:hAnsi="Cambria Math" w:cs="Arial"/>
              </w:rPr>
            </m:ctrlPr>
          </m:naryPr>
          <m:sub>
            <m:r>
              <w:rPr>
                <w:rFonts w:ascii="Cambria Math" w:hAnsi="Cambria Math" w:cs="Arial"/>
              </w:rPr>
              <m:t>i</m:t>
            </m:r>
            <m:r>
              <m:rPr>
                <m:sty m:val="p"/>
              </m:rPr>
              <w:rPr>
                <w:rFonts w:ascii="Cambria Math" w:hAnsi="Cambria Math" w:cs="Arial"/>
              </w:rPr>
              <m:t>=0</m:t>
            </m:r>
          </m:sub>
          <m:sup>
            <m:r>
              <w:rPr>
                <w:rFonts w:ascii="Cambria Math" w:hAnsi="Cambria Math" w:cs="Arial"/>
              </w:rPr>
              <m:t>m</m:t>
            </m:r>
          </m:sup>
          <m:e>
            <m:sSub>
              <m:sSubPr>
                <m:ctrlPr>
                  <w:rPr>
                    <w:rFonts w:ascii="Cambria Math" w:hAnsi="Cambria Math" w:cs="Arial"/>
                  </w:rPr>
                </m:ctrlPr>
              </m:sSubPr>
              <m:e>
                <m:sSub>
                  <m:sSubPr>
                    <m:ctrlPr>
                      <w:rPr>
                        <w:rFonts w:ascii="Cambria Math" w:hAnsi="Cambria Math" w:cs="Arial"/>
                      </w:rPr>
                    </m:ctrlPr>
                  </m:sSubPr>
                  <m:e>
                    <m:r>
                      <w:rPr>
                        <w:rFonts w:ascii="Cambria Math" w:hAnsi="Cambria Math" w:cs="Arial"/>
                      </w:rPr>
                      <m:t>β</m:t>
                    </m:r>
                  </m:e>
                  <m:sub>
                    <m:r>
                      <m:rPr>
                        <m:sty m:val="p"/>
                      </m:rPr>
                      <w:rPr>
                        <w:rFonts w:ascii="Cambria Math" w:hAnsi="Cambria Math" w:cs="Arial"/>
                        <w:vertAlign w:val="subscript"/>
                      </w:rPr>
                      <m:t>1</m:t>
                    </m:r>
                  </m:sub>
                </m:sSub>
                <m:r>
                  <w:rPr>
                    <w:rFonts w:ascii="Cambria Math" w:hAnsi="Cambria Math" w:cs="Arial"/>
                  </w:rPr>
                  <m:t>ΔLnREER</m:t>
                </m:r>
              </m:e>
              <m:sub>
                <m:r>
                  <w:rPr>
                    <w:rFonts w:ascii="Cambria Math" w:hAnsi="Cambria Math" w:cs="Arial"/>
                    <w:vertAlign w:val="subscript"/>
                  </w:rPr>
                  <m:t>t</m:t>
                </m:r>
                <m:r>
                  <m:rPr>
                    <m:sty m:val="p"/>
                  </m:rPr>
                  <w:rPr>
                    <w:rFonts w:ascii="Cambria Math" w:hAnsi="Cambria Math" w:cs="Arial"/>
                    <w:vertAlign w:val="subscript"/>
                  </w:rPr>
                  <m:t>-</m:t>
                </m:r>
                <m:r>
                  <w:rPr>
                    <w:rFonts w:ascii="Cambria Math" w:hAnsi="Cambria Math" w:cs="Arial"/>
                    <w:vertAlign w:val="subscript"/>
                  </w:rPr>
                  <m:t>i</m:t>
                </m:r>
              </m:sub>
            </m:sSub>
          </m:e>
        </m:nary>
        <m:r>
          <m:rPr>
            <m:sty m:val="p"/>
          </m:rPr>
          <w:rPr>
            <w:rFonts w:ascii="Cambria Math" w:hAnsi="Cambria Math" w:cs="Arial"/>
          </w:rPr>
          <m:t xml:space="preserve"> + </m:t>
        </m:r>
        <m:nary>
          <m:naryPr>
            <m:chr m:val="∑"/>
            <m:limLoc m:val="undOvr"/>
            <m:ctrlPr>
              <w:rPr>
                <w:rFonts w:ascii="Cambria Math" w:hAnsi="Cambria Math" w:cs="Arial"/>
              </w:rPr>
            </m:ctrlPr>
          </m:naryPr>
          <m:sub>
            <m:r>
              <w:rPr>
                <w:rFonts w:ascii="Cambria Math" w:hAnsi="Cambria Math" w:cs="Arial"/>
              </w:rPr>
              <m:t>i</m:t>
            </m:r>
            <m:r>
              <m:rPr>
                <m:sty m:val="p"/>
              </m:rPr>
              <w:rPr>
                <w:rFonts w:ascii="Cambria Math" w:hAnsi="Cambria Math" w:cs="Arial"/>
              </w:rPr>
              <m:t>=0</m:t>
            </m:r>
          </m:sub>
          <m:sup>
            <m:r>
              <w:rPr>
                <w:rFonts w:ascii="Cambria Math" w:hAnsi="Cambria Math" w:cs="Arial"/>
              </w:rPr>
              <m:t>m</m:t>
            </m:r>
          </m:sup>
          <m:e>
            <m:sSub>
              <m:sSubPr>
                <m:ctrlPr>
                  <w:rPr>
                    <w:rFonts w:ascii="Cambria Math" w:hAnsi="Cambria Math" w:cs="Arial"/>
                  </w:rPr>
                </m:ctrlPr>
              </m:sSubPr>
              <m:e>
                <m:sSub>
                  <m:sSubPr>
                    <m:ctrlPr>
                      <w:rPr>
                        <w:rFonts w:ascii="Cambria Math" w:hAnsi="Cambria Math" w:cs="Arial"/>
                      </w:rPr>
                    </m:ctrlPr>
                  </m:sSubPr>
                  <m:e>
                    <m:r>
                      <w:rPr>
                        <w:rFonts w:ascii="Cambria Math" w:hAnsi="Cambria Math" w:cs="Arial"/>
                      </w:rPr>
                      <m:t>β</m:t>
                    </m:r>
                  </m:e>
                  <m:sub>
                    <m:r>
                      <m:rPr>
                        <m:sty m:val="p"/>
                      </m:rPr>
                      <w:rPr>
                        <w:rFonts w:ascii="Cambria Math" w:hAnsi="Cambria Math" w:cs="Arial"/>
                        <w:vertAlign w:val="subscript"/>
                      </w:rPr>
                      <m:t>2</m:t>
                    </m:r>
                  </m:sub>
                </m:sSub>
                <m:r>
                  <w:rPr>
                    <w:rFonts w:ascii="Cambria Math" w:hAnsi="Cambria Math" w:cs="Arial"/>
                  </w:rPr>
                  <m:t>ΔLnDI</m:t>
                </m:r>
              </m:e>
              <m:sub>
                <m:r>
                  <w:rPr>
                    <w:rFonts w:ascii="Cambria Math" w:hAnsi="Cambria Math" w:cs="Arial"/>
                    <w:vertAlign w:val="subscript"/>
                  </w:rPr>
                  <m:t>t</m:t>
                </m:r>
                <m:r>
                  <m:rPr>
                    <m:sty m:val="p"/>
                  </m:rPr>
                  <w:rPr>
                    <w:rFonts w:ascii="Cambria Math" w:hAnsi="Cambria Math" w:cs="Arial"/>
                    <w:vertAlign w:val="subscript"/>
                  </w:rPr>
                  <m:t>-</m:t>
                </m:r>
                <m:r>
                  <w:rPr>
                    <w:rFonts w:ascii="Cambria Math" w:hAnsi="Cambria Math" w:cs="Arial"/>
                    <w:vertAlign w:val="subscript"/>
                  </w:rPr>
                  <m:t>i</m:t>
                </m:r>
              </m:sub>
            </m:sSub>
          </m:e>
        </m:nary>
        <m:r>
          <m:rPr>
            <m:sty m:val="p"/>
          </m:rPr>
          <w:rPr>
            <w:rFonts w:ascii="Cambria Math" w:hAnsi="Cambria Math" w:cs="Arial"/>
          </w:rPr>
          <m:t xml:space="preserve"> + </m:t>
        </m:r>
        <m:nary>
          <m:naryPr>
            <m:chr m:val="∑"/>
            <m:limLoc m:val="undOvr"/>
            <m:ctrlPr>
              <w:rPr>
                <w:rFonts w:ascii="Cambria Math" w:hAnsi="Cambria Math" w:cs="Arial"/>
              </w:rPr>
            </m:ctrlPr>
          </m:naryPr>
          <m:sub>
            <m:r>
              <w:rPr>
                <w:rFonts w:ascii="Cambria Math" w:hAnsi="Cambria Math" w:cs="Arial"/>
              </w:rPr>
              <m:t>i</m:t>
            </m:r>
            <m:r>
              <m:rPr>
                <m:sty m:val="p"/>
              </m:rPr>
              <w:rPr>
                <w:rFonts w:ascii="Cambria Math" w:hAnsi="Cambria Math" w:cs="Arial"/>
              </w:rPr>
              <m:t>=0</m:t>
            </m:r>
          </m:sub>
          <m:sup>
            <m:r>
              <w:rPr>
                <w:rFonts w:ascii="Cambria Math" w:hAnsi="Cambria Math" w:cs="Arial"/>
              </w:rPr>
              <m:t>m</m:t>
            </m:r>
          </m:sup>
          <m:e>
            <m:sSub>
              <m:sSubPr>
                <m:ctrlPr>
                  <w:rPr>
                    <w:rFonts w:ascii="Cambria Math" w:hAnsi="Cambria Math" w:cs="Arial"/>
                  </w:rPr>
                </m:ctrlPr>
              </m:sSubPr>
              <m:e>
                <m:sSub>
                  <m:sSubPr>
                    <m:ctrlPr>
                      <w:rPr>
                        <w:rFonts w:ascii="Cambria Math" w:hAnsi="Cambria Math" w:cs="Arial"/>
                      </w:rPr>
                    </m:ctrlPr>
                  </m:sSubPr>
                  <m:e>
                    <m:r>
                      <w:rPr>
                        <w:rFonts w:ascii="Cambria Math" w:hAnsi="Cambria Math" w:cs="Arial"/>
                      </w:rPr>
                      <m:t>β</m:t>
                    </m:r>
                  </m:e>
                  <m:sub>
                    <m:r>
                      <m:rPr>
                        <m:sty m:val="p"/>
                      </m:rPr>
                      <w:rPr>
                        <w:rFonts w:ascii="Cambria Math" w:hAnsi="Cambria Math" w:cs="Arial"/>
                        <w:vertAlign w:val="subscript"/>
                      </w:rPr>
                      <m:t>3</m:t>
                    </m:r>
                  </m:sub>
                </m:sSub>
                <m:r>
                  <w:rPr>
                    <w:rFonts w:ascii="Cambria Math" w:hAnsi="Cambria Math" w:cs="Arial"/>
                  </w:rPr>
                  <m:t>ΔLnFI</m:t>
                </m:r>
              </m:e>
              <m:sub>
                <m:r>
                  <w:rPr>
                    <w:rFonts w:ascii="Cambria Math" w:hAnsi="Cambria Math" w:cs="Arial"/>
                    <w:vertAlign w:val="subscript"/>
                  </w:rPr>
                  <m:t>t</m:t>
                </m:r>
                <m:r>
                  <m:rPr>
                    <m:sty m:val="p"/>
                  </m:rPr>
                  <w:rPr>
                    <w:rFonts w:ascii="Cambria Math" w:hAnsi="Cambria Math" w:cs="Arial"/>
                    <w:vertAlign w:val="subscript"/>
                  </w:rPr>
                  <m:t>-</m:t>
                </m:r>
                <m:r>
                  <w:rPr>
                    <w:rFonts w:ascii="Cambria Math" w:hAnsi="Cambria Math" w:cs="Arial"/>
                    <w:vertAlign w:val="subscript"/>
                  </w:rPr>
                  <m:t>i</m:t>
                </m:r>
              </m:sub>
            </m:sSub>
          </m:e>
        </m:nary>
        <m:r>
          <m:rPr>
            <m:sty m:val="p"/>
          </m:rPr>
          <w:rPr>
            <w:rFonts w:ascii="Cambria Math" w:hAnsi="Cambria Math" w:cs="Arial"/>
          </w:rPr>
          <m:t>+</m:t>
        </m:r>
        <m:sSub>
          <m:sSubPr>
            <m:ctrlPr>
              <w:rPr>
                <w:rFonts w:ascii="Cambria Math" w:hAnsi="Cambria Math" w:cs="Arial"/>
              </w:rPr>
            </m:ctrlPr>
          </m:sSubPr>
          <m:e>
            <m:sSub>
              <m:sSubPr>
                <m:ctrlPr>
                  <w:rPr>
                    <w:rFonts w:ascii="Cambria Math" w:hAnsi="Cambria Math" w:cs="Arial"/>
                  </w:rPr>
                </m:ctrlPr>
              </m:sSubPr>
              <m:e>
                <m:r>
                  <w:rPr>
                    <w:rFonts w:ascii="Cambria Math" w:hAnsi="Cambria Math" w:cs="Arial"/>
                  </w:rPr>
                  <m:t>β</m:t>
                </m:r>
              </m:e>
              <m:sub>
                <m:r>
                  <m:rPr>
                    <m:sty m:val="p"/>
                  </m:rPr>
                  <w:rPr>
                    <w:rFonts w:ascii="Cambria Math" w:hAnsi="Cambria Math" w:cs="Arial"/>
                    <w:vertAlign w:val="subscript"/>
                  </w:rPr>
                  <m:t>4</m:t>
                </m:r>
              </m:sub>
            </m:sSub>
            <m:r>
              <w:rPr>
                <w:rFonts w:ascii="Cambria Math" w:hAnsi="Cambria Math" w:cs="Arial"/>
              </w:rPr>
              <m:t>LnTB</m:t>
            </m:r>
          </m:e>
          <m:sub>
            <m:r>
              <w:rPr>
                <w:rFonts w:ascii="Cambria Math" w:hAnsi="Cambria Math" w:cs="Arial"/>
                <w:vertAlign w:val="subscript"/>
              </w:rPr>
              <m:t>t</m:t>
            </m:r>
            <m:r>
              <m:rPr>
                <m:sty m:val="p"/>
              </m:rPr>
              <w:rPr>
                <w:rFonts w:ascii="Cambria Math" w:hAnsi="Cambria Math" w:cs="Arial"/>
                <w:vertAlign w:val="subscript"/>
              </w:rPr>
              <m:t>-</m:t>
            </m:r>
            <m:r>
              <w:rPr>
                <w:rFonts w:ascii="Cambria Math" w:hAnsi="Cambria Math" w:cs="Arial"/>
                <w:vertAlign w:val="subscript"/>
              </w:rPr>
              <m:t>i</m:t>
            </m:r>
          </m:sub>
        </m:sSub>
        <m:r>
          <m:rPr>
            <m:sty m:val="p"/>
          </m:rPr>
          <w:rPr>
            <w:rFonts w:ascii="Cambria Math" w:hAnsi="Cambria Math" w:cs="Arial"/>
          </w:rPr>
          <m:t xml:space="preserve">+ </m:t>
        </m:r>
        <m:sSub>
          <m:sSubPr>
            <m:ctrlPr>
              <w:rPr>
                <w:rFonts w:ascii="Cambria Math" w:hAnsi="Cambria Math" w:cs="Arial"/>
              </w:rPr>
            </m:ctrlPr>
          </m:sSubPr>
          <m:e>
            <m:sSub>
              <m:sSubPr>
                <m:ctrlPr>
                  <w:rPr>
                    <w:rFonts w:ascii="Cambria Math" w:hAnsi="Cambria Math" w:cs="Arial"/>
                  </w:rPr>
                </m:ctrlPr>
              </m:sSubPr>
              <m:e>
                <m:r>
                  <w:rPr>
                    <w:rFonts w:ascii="Cambria Math" w:hAnsi="Cambria Math" w:cs="Arial"/>
                  </w:rPr>
                  <m:t>β</m:t>
                </m:r>
              </m:e>
              <m:sub>
                <m:r>
                  <m:rPr>
                    <m:sty m:val="p"/>
                  </m:rPr>
                  <w:rPr>
                    <w:rFonts w:ascii="Cambria Math" w:hAnsi="Cambria Math" w:cs="Arial"/>
                    <w:vertAlign w:val="subscript"/>
                  </w:rPr>
                  <m:t>5</m:t>
                </m:r>
              </m:sub>
            </m:sSub>
            <m:r>
              <w:rPr>
                <w:rFonts w:ascii="Cambria Math" w:hAnsi="Cambria Math" w:cs="Arial"/>
              </w:rPr>
              <m:t>LnREER</m:t>
            </m:r>
          </m:e>
          <m:sub>
            <m:r>
              <w:rPr>
                <w:rFonts w:ascii="Cambria Math" w:hAnsi="Cambria Math" w:cs="Arial"/>
                <w:vertAlign w:val="subscript"/>
              </w:rPr>
              <m:t>t</m:t>
            </m:r>
            <m:r>
              <m:rPr>
                <m:sty m:val="p"/>
              </m:rPr>
              <w:rPr>
                <w:rFonts w:ascii="Cambria Math" w:hAnsi="Cambria Math" w:cs="Arial"/>
                <w:vertAlign w:val="subscript"/>
              </w:rPr>
              <m:t>-</m:t>
            </m:r>
            <m:r>
              <w:rPr>
                <w:rFonts w:ascii="Cambria Math" w:hAnsi="Cambria Math" w:cs="Arial"/>
                <w:vertAlign w:val="subscript"/>
              </w:rPr>
              <m:t>i</m:t>
            </m:r>
          </m:sub>
        </m:sSub>
        <m:r>
          <m:rPr>
            <m:sty m:val="p"/>
          </m:rPr>
          <w:rPr>
            <w:rFonts w:ascii="Cambria Math" w:hAnsi="Cambria Math" w:cs="Arial"/>
          </w:rPr>
          <m:t xml:space="preserve">+ </m:t>
        </m:r>
        <m:sSub>
          <m:sSubPr>
            <m:ctrlPr>
              <w:rPr>
                <w:rFonts w:ascii="Cambria Math" w:hAnsi="Cambria Math" w:cs="Arial"/>
              </w:rPr>
            </m:ctrlPr>
          </m:sSubPr>
          <m:e>
            <m:sSub>
              <m:sSubPr>
                <m:ctrlPr>
                  <w:rPr>
                    <w:rFonts w:ascii="Cambria Math" w:hAnsi="Cambria Math" w:cs="Arial"/>
                  </w:rPr>
                </m:ctrlPr>
              </m:sSubPr>
              <m:e>
                <m:r>
                  <w:rPr>
                    <w:rFonts w:ascii="Cambria Math" w:hAnsi="Cambria Math" w:cs="Arial"/>
                  </w:rPr>
                  <m:t>β</m:t>
                </m:r>
              </m:e>
              <m:sub>
                <m:r>
                  <m:rPr>
                    <m:sty m:val="p"/>
                  </m:rPr>
                  <w:rPr>
                    <w:rFonts w:ascii="Cambria Math" w:hAnsi="Cambria Math" w:cs="Arial"/>
                    <w:vertAlign w:val="subscript"/>
                  </w:rPr>
                  <m:t>6</m:t>
                </m:r>
              </m:sub>
            </m:sSub>
            <m:r>
              <w:rPr>
                <w:rFonts w:ascii="Cambria Math" w:hAnsi="Cambria Math" w:cs="Arial"/>
              </w:rPr>
              <m:t>LnDI</m:t>
            </m:r>
          </m:e>
          <m:sub>
            <m:r>
              <w:rPr>
                <w:rFonts w:ascii="Cambria Math" w:hAnsi="Cambria Math" w:cs="Arial"/>
                <w:vertAlign w:val="subscript"/>
              </w:rPr>
              <m:t>t</m:t>
            </m:r>
            <m:r>
              <m:rPr>
                <m:sty m:val="p"/>
              </m:rPr>
              <w:rPr>
                <w:rFonts w:ascii="Cambria Math" w:hAnsi="Cambria Math" w:cs="Arial"/>
                <w:vertAlign w:val="subscript"/>
              </w:rPr>
              <m:t>-</m:t>
            </m:r>
            <m:r>
              <w:rPr>
                <w:rFonts w:ascii="Cambria Math" w:hAnsi="Cambria Math" w:cs="Arial"/>
                <w:vertAlign w:val="subscript"/>
              </w:rPr>
              <m:t>i</m:t>
            </m:r>
          </m:sub>
        </m:sSub>
        <m:r>
          <m:rPr>
            <m:sty m:val="p"/>
          </m:rPr>
          <w:rPr>
            <w:rFonts w:ascii="Cambria Math" w:hAnsi="Cambria Math" w:cs="Arial"/>
          </w:rPr>
          <m:t xml:space="preserve">+ </m:t>
        </m:r>
        <m:sSub>
          <m:sSubPr>
            <m:ctrlPr>
              <w:rPr>
                <w:rFonts w:ascii="Cambria Math" w:hAnsi="Cambria Math" w:cs="Arial"/>
              </w:rPr>
            </m:ctrlPr>
          </m:sSubPr>
          <m:e>
            <m:sSub>
              <m:sSubPr>
                <m:ctrlPr>
                  <w:rPr>
                    <w:rFonts w:ascii="Cambria Math" w:hAnsi="Cambria Math" w:cs="Arial"/>
                  </w:rPr>
                </m:ctrlPr>
              </m:sSubPr>
              <m:e>
                <m:r>
                  <w:rPr>
                    <w:rFonts w:ascii="Cambria Math" w:hAnsi="Cambria Math" w:cs="Arial"/>
                  </w:rPr>
                  <m:t>β</m:t>
                </m:r>
              </m:e>
              <m:sub>
                <m:r>
                  <m:rPr>
                    <m:sty m:val="p"/>
                  </m:rPr>
                  <w:rPr>
                    <w:rFonts w:ascii="Cambria Math" w:hAnsi="Cambria Math" w:cs="Arial"/>
                    <w:vertAlign w:val="subscript"/>
                  </w:rPr>
                  <m:t>7</m:t>
                </m:r>
              </m:sub>
            </m:sSub>
            <m:r>
              <w:rPr>
                <w:rFonts w:ascii="Cambria Math" w:hAnsi="Cambria Math" w:cs="Arial"/>
              </w:rPr>
              <m:t>LnFI</m:t>
            </m:r>
          </m:e>
          <m:sub>
            <m:r>
              <w:rPr>
                <w:rFonts w:ascii="Cambria Math" w:hAnsi="Cambria Math" w:cs="Arial"/>
                <w:vertAlign w:val="subscript"/>
              </w:rPr>
              <m:t>t</m:t>
            </m:r>
            <m:r>
              <m:rPr>
                <m:sty m:val="p"/>
              </m:rPr>
              <w:rPr>
                <w:rFonts w:ascii="Cambria Math" w:hAnsi="Cambria Math" w:cs="Arial"/>
                <w:vertAlign w:val="subscript"/>
              </w:rPr>
              <m:t>-</m:t>
            </m:r>
            <m:r>
              <w:rPr>
                <w:rFonts w:ascii="Cambria Math" w:hAnsi="Cambria Math" w:cs="Arial"/>
                <w:vertAlign w:val="subscript"/>
              </w:rPr>
              <m:t>i</m:t>
            </m:r>
          </m:sub>
        </m:sSub>
        <m:r>
          <w:rPr>
            <w:rFonts w:ascii="Cambria Math" w:eastAsiaTheme="minorEastAsia" w:hAnsi="Cambria Math" w:cs="Arial"/>
          </w:rPr>
          <m:t>+</m:t>
        </m:r>
        <m:sSub>
          <m:sSubPr>
            <m:ctrlPr>
              <w:rPr>
                <w:rFonts w:ascii="Cambria Math" w:eastAsiaTheme="minorEastAsia" w:hAnsi="Cambria Math" w:cs="Arial"/>
                <w:i/>
              </w:rPr>
            </m:ctrlPr>
          </m:sSubPr>
          <m:e>
            <m:r>
              <w:rPr>
                <w:rFonts w:ascii="Cambria Math" w:eastAsia="Segoe UI Symbol" w:hAnsi="Cambria Math" w:cs="Arial"/>
              </w:rPr>
              <m:t>ε</m:t>
            </m:r>
          </m:e>
          <m:sub>
            <m:r>
              <w:rPr>
                <w:rFonts w:ascii="Cambria Math" w:eastAsiaTheme="minorEastAsia" w:hAnsi="Cambria Math" w:cs="Arial"/>
              </w:rPr>
              <m:t>t</m:t>
            </m:r>
          </m:sub>
        </m:sSub>
      </m:oMath>
      <w:r w:rsidR="00DE4F7B" w:rsidRPr="008204CC">
        <w:rPr>
          <w:rFonts w:ascii="Arial" w:eastAsiaTheme="minorEastAsia" w:hAnsi="Arial" w:cs="Arial"/>
        </w:rPr>
        <w:t xml:space="preserve">  </w:t>
      </w:r>
      <w:r w:rsidR="00DE4F7B">
        <w:rPr>
          <w:rFonts w:ascii="Arial" w:eastAsiaTheme="minorEastAsia" w:hAnsi="Arial" w:cs="Arial"/>
        </w:rPr>
        <w:t xml:space="preserve">              </w:t>
      </w:r>
      <w:r w:rsidR="00DE4F7B" w:rsidRPr="00457D6A">
        <w:rPr>
          <w:rFonts w:ascii="Arial" w:eastAsiaTheme="minorEastAsia" w:hAnsi="Arial" w:cs="Arial"/>
        </w:rPr>
        <w:t>(</w:t>
      </w:r>
      <w:r w:rsidR="00DE4F7B">
        <w:rPr>
          <w:rFonts w:ascii="Arial" w:eastAsiaTheme="minorEastAsia" w:hAnsi="Arial" w:cs="Arial"/>
        </w:rPr>
        <w:t>4.8</w:t>
      </w:r>
      <w:r w:rsidR="00DE4F7B" w:rsidRPr="00457D6A">
        <w:rPr>
          <w:rFonts w:ascii="Arial" w:eastAsiaTheme="minorEastAsia" w:hAnsi="Arial" w:cs="Arial"/>
        </w:rPr>
        <w:t>)</w:t>
      </w:r>
    </w:p>
    <w:p w14:paraId="10755BB5" w14:textId="77777777" w:rsidR="00DE4F7B" w:rsidRPr="00B26CA0" w:rsidRDefault="00DE4F7B" w:rsidP="0066301C">
      <w:pPr>
        <w:spacing w:after="0" w:line="360" w:lineRule="auto"/>
        <w:jc w:val="both"/>
        <w:rPr>
          <w:rFonts w:ascii="Arial" w:eastAsiaTheme="minorEastAsia" w:hAnsi="Arial" w:cs="Arial"/>
        </w:rPr>
      </w:pPr>
    </w:p>
    <w:p w14:paraId="01E5961A" w14:textId="6FDBEE92" w:rsidR="00DE4F7B" w:rsidRDefault="00DE4F7B" w:rsidP="0066301C">
      <w:pPr>
        <w:pStyle w:val="NoSpacing"/>
        <w:spacing w:after="240" w:line="360" w:lineRule="auto"/>
        <w:jc w:val="both"/>
        <w:rPr>
          <w:rFonts w:ascii="Arial" w:hAnsi="Arial" w:cs="Arial"/>
        </w:rPr>
      </w:pPr>
      <w:r w:rsidRPr="00B26CA0">
        <w:rPr>
          <w:rFonts w:ascii="Arial" w:hAnsi="Arial" w:cs="Arial"/>
        </w:rPr>
        <w:t xml:space="preserve">Whereby </w:t>
      </w:r>
      <w:r w:rsidRPr="00B26CA0">
        <w:rPr>
          <w:rFonts w:ascii="Arial" w:hAnsi="Arial" w:cs="Arial"/>
          <w:i/>
          <w:iCs/>
        </w:rPr>
        <w:t xml:space="preserve">m </w:t>
      </w:r>
      <w:r w:rsidRPr="00B26CA0">
        <w:rPr>
          <w:rFonts w:ascii="Arial" w:hAnsi="Arial" w:cs="Arial"/>
        </w:rPr>
        <w:t xml:space="preserve">stands for the lag length. The Pesaran </w:t>
      </w:r>
      <w:r w:rsidRPr="00B26CA0">
        <w:rPr>
          <w:rFonts w:ascii="Arial" w:hAnsi="Arial" w:cs="Arial"/>
          <w:i/>
          <w:iCs/>
        </w:rPr>
        <w:t>et al.</w:t>
      </w:r>
      <w:r w:rsidRPr="00B26CA0">
        <w:rPr>
          <w:rFonts w:ascii="Arial" w:hAnsi="Arial" w:cs="Arial"/>
        </w:rPr>
        <w:t xml:space="preserve"> (2001)</w:t>
      </w:r>
      <w:r w:rsidRPr="00B26CA0">
        <w:rPr>
          <w:rFonts w:ascii="Arial" w:hAnsi="Arial" w:cs="Arial"/>
          <w:i/>
          <w:iCs/>
        </w:rPr>
        <w:t xml:space="preserve"> </w:t>
      </w:r>
      <w:r w:rsidRPr="00B26CA0">
        <w:rPr>
          <w:rFonts w:ascii="Arial" w:hAnsi="Arial" w:cs="Arial"/>
        </w:rPr>
        <w:t xml:space="preserve">cointegration procedure is briefly outlined as follows. The bounds testing procedure is based on the F or Wald-statistics and is the first stage of the ARDL cointegration method. The long-term effect of real depreciation is inferred by the size and significance of </w:t>
      </w:r>
      <m:oMath>
        <m:sSub>
          <m:sSubPr>
            <m:ctrlPr>
              <w:rPr>
                <w:rFonts w:ascii="Cambria Math" w:hAnsi="Cambria Math" w:cs="Arial"/>
              </w:rPr>
            </m:ctrlPr>
          </m:sSubPr>
          <m:e>
            <m:r>
              <w:rPr>
                <w:rFonts w:ascii="Cambria Math" w:hAnsi="Cambria Math" w:cs="Arial"/>
              </w:rPr>
              <m:t>β</m:t>
            </m:r>
          </m:e>
          <m:sub>
            <m:r>
              <m:rPr>
                <m:sty m:val="p"/>
              </m:rPr>
              <w:rPr>
                <w:rFonts w:ascii="Cambria Math" w:hAnsi="Cambria Math" w:cs="Arial"/>
                <w:vertAlign w:val="subscript"/>
              </w:rPr>
              <m:t>5</m:t>
            </m:r>
          </m:sub>
        </m:sSub>
      </m:oMath>
      <w:r w:rsidRPr="00B26CA0">
        <w:rPr>
          <w:rFonts w:ascii="Arial" w:hAnsi="Arial" w:cs="Arial"/>
        </w:rPr>
        <w:t xml:space="preserve"> that is normalized by </w:t>
      </w:r>
      <m:oMath>
        <m:sSub>
          <m:sSubPr>
            <m:ctrlPr>
              <w:rPr>
                <w:rFonts w:ascii="Cambria Math" w:hAnsi="Cambria Math" w:cs="Arial"/>
              </w:rPr>
            </m:ctrlPr>
          </m:sSubPr>
          <m:e>
            <m:r>
              <w:rPr>
                <w:rFonts w:ascii="Cambria Math" w:hAnsi="Cambria Math" w:cs="Arial"/>
              </w:rPr>
              <m:t>β</m:t>
            </m:r>
          </m:e>
          <m:sub>
            <m:r>
              <m:rPr>
                <m:sty m:val="p"/>
              </m:rPr>
              <w:rPr>
                <w:rFonts w:ascii="Cambria Math" w:hAnsi="Cambria Math" w:cs="Arial"/>
                <w:vertAlign w:val="subscript"/>
              </w:rPr>
              <m:t>4</m:t>
            </m:r>
          </m:sub>
        </m:sSub>
      </m:oMath>
      <w:r w:rsidRPr="00B26CA0">
        <w:rPr>
          <w:rFonts w:ascii="Arial" w:hAnsi="Arial" w:cs="Arial"/>
        </w:rPr>
        <w:t>. The null of no cointegration hypothesis, (</w:t>
      </w:r>
      <m:oMath>
        <m:sSub>
          <m:sSubPr>
            <m:ctrlPr>
              <w:rPr>
                <w:rFonts w:ascii="Cambria Math" w:hAnsi="Cambria Math" w:cs="Arial"/>
              </w:rPr>
            </m:ctrlPr>
          </m:sSubPr>
          <m:e>
            <m:r>
              <m:rPr>
                <m:sty m:val="p"/>
              </m:rPr>
              <w:rPr>
                <w:rFonts w:ascii="Cambria Math" w:hAnsi="Cambria Math" w:cs="Arial"/>
              </w:rPr>
              <m:t>H</m:t>
            </m:r>
          </m:e>
          <m:sub>
            <m:r>
              <m:rPr>
                <m:sty m:val="p"/>
              </m:rPr>
              <w:rPr>
                <w:rFonts w:ascii="Cambria Math" w:hAnsi="Cambria Math" w:cs="Arial"/>
                <w:vertAlign w:val="subscript"/>
              </w:rPr>
              <m:t>0</m:t>
            </m:r>
          </m:sub>
        </m:sSub>
      </m:oMath>
      <w:r w:rsidRPr="00B26CA0">
        <w:rPr>
          <w:rFonts w:ascii="Arial" w:hAnsi="Arial" w:cs="Arial"/>
        </w:rPr>
        <w:t xml:space="preserve">: </w:t>
      </w:r>
      <m:oMath>
        <m:sSub>
          <m:sSubPr>
            <m:ctrlPr>
              <w:rPr>
                <w:rFonts w:ascii="Cambria Math" w:hAnsi="Cambria Math" w:cs="Arial"/>
              </w:rPr>
            </m:ctrlPr>
          </m:sSubPr>
          <m:e>
            <m:r>
              <w:rPr>
                <w:rFonts w:ascii="Cambria Math" w:hAnsi="Cambria Math" w:cs="Arial"/>
              </w:rPr>
              <m:t>β</m:t>
            </m:r>
          </m:e>
          <m:sub>
            <m:r>
              <m:rPr>
                <m:sty m:val="p"/>
              </m:rPr>
              <w:rPr>
                <w:rFonts w:ascii="Cambria Math" w:hAnsi="Cambria Math" w:cs="Arial"/>
                <w:vertAlign w:val="subscript"/>
              </w:rPr>
              <m:t>4</m:t>
            </m:r>
          </m:sub>
        </m:sSub>
      </m:oMath>
      <w:r w:rsidRPr="00B26CA0">
        <w:rPr>
          <w:rFonts w:ascii="Arial" w:hAnsi="Arial" w:cs="Arial"/>
        </w:rPr>
        <w:t xml:space="preserve"> = </w:t>
      </w:r>
      <m:oMath>
        <m:sSub>
          <m:sSubPr>
            <m:ctrlPr>
              <w:rPr>
                <w:rFonts w:ascii="Cambria Math" w:hAnsi="Cambria Math" w:cs="Arial"/>
              </w:rPr>
            </m:ctrlPr>
          </m:sSubPr>
          <m:e>
            <m:r>
              <w:rPr>
                <w:rFonts w:ascii="Cambria Math" w:hAnsi="Cambria Math" w:cs="Arial"/>
              </w:rPr>
              <m:t>β</m:t>
            </m:r>
          </m:e>
          <m:sub>
            <m:r>
              <m:rPr>
                <m:sty m:val="p"/>
              </m:rPr>
              <w:rPr>
                <w:rFonts w:ascii="Cambria Math" w:hAnsi="Cambria Math" w:cs="Arial"/>
                <w:vertAlign w:val="subscript"/>
              </w:rPr>
              <m:t>5</m:t>
            </m:r>
          </m:sub>
        </m:sSub>
      </m:oMath>
      <w:r w:rsidRPr="00B26CA0">
        <w:rPr>
          <w:rFonts w:ascii="Arial" w:hAnsi="Arial" w:cs="Arial"/>
        </w:rPr>
        <w:t xml:space="preserve"> = </w:t>
      </w:r>
      <m:oMath>
        <m:sSub>
          <m:sSubPr>
            <m:ctrlPr>
              <w:rPr>
                <w:rFonts w:ascii="Cambria Math" w:hAnsi="Cambria Math" w:cs="Arial"/>
              </w:rPr>
            </m:ctrlPr>
          </m:sSubPr>
          <m:e>
            <m:r>
              <w:rPr>
                <w:rFonts w:ascii="Cambria Math" w:hAnsi="Cambria Math" w:cs="Arial"/>
              </w:rPr>
              <m:t>β</m:t>
            </m:r>
          </m:e>
          <m:sub>
            <m:r>
              <m:rPr>
                <m:sty m:val="p"/>
              </m:rPr>
              <w:rPr>
                <w:rFonts w:ascii="Cambria Math" w:hAnsi="Cambria Math" w:cs="Arial"/>
                <w:vertAlign w:val="subscript"/>
              </w:rPr>
              <m:t>6</m:t>
            </m:r>
          </m:sub>
        </m:sSub>
      </m:oMath>
      <w:r w:rsidRPr="00B26CA0">
        <w:rPr>
          <w:rFonts w:ascii="Arial" w:hAnsi="Arial" w:cs="Arial"/>
        </w:rPr>
        <w:t xml:space="preserve"> = </w:t>
      </w:r>
      <m:oMath>
        <m:sSub>
          <m:sSubPr>
            <m:ctrlPr>
              <w:rPr>
                <w:rFonts w:ascii="Cambria Math" w:hAnsi="Cambria Math" w:cs="Arial"/>
              </w:rPr>
            </m:ctrlPr>
          </m:sSubPr>
          <m:e>
            <m:r>
              <w:rPr>
                <w:rFonts w:ascii="Cambria Math" w:hAnsi="Cambria Math" w:cs="Arial"/>
              </w:rPr>
              <m:t>β</m:t>
            </m:r>
          </m:e>
          <m:sub>
            <m:r>
              <m:rPr>
                <m:sty m:val="p"/>
              </m:rPr>
              <w:rPr>
                <w:rFonts w:ascii="Cambria Math" w:hAnsi="Cambria Math" w:cs="Arial"/>
                <w:vertAlign w:val="subscript"/>
              </w:rPr>
              <m:t>7</m:t>
            </m:r>
          </m:sub>
        </m:sSub>
      </m:oMath>
      <w:r w:rsidRPr="00B26CA0">
        <w:rPr>
          <w:rFonts w:ascii="Arial" w:hAnsi="Arial" w:cs="Arial"/>
        </w:rPr>
        <w:t xml:space="preserve"> = 0) is tested against the alternative hypothesis, (</w:t>
      </w:r>
      <m:oMath>
        <m:sSub>
          <m:sSubPr>
            <m:ctrlPr>
              <w:rPr>
                <w:rFonts w:ascii="Cambria Math" w:hAnsi="Cambria Math" w:cs="Arial"/>
              </w:rPr>
            </m:ctrlPr>
          </m:sSubPr>
          <m:e>
            <m:r>
              <m:rPr>
                <m:sty m:val="p"/>
              </m:rPr>
              <w:rPr>
                <w:rFonts w:ascii="Cambria Math" w:hAnsi="Cambria Math" w:cs="Arial"/>
              </w:rPr>
              <m:t>H</m:t>
            </m:r>
          </m:e>
          <m:sub>
            <m:r>
              <m:rPr>
                <m:sty m:val="p"/>
              </m:rPr>
              <w:rPr>
                <w:rFonts w:ascii="Cambria Math" w:hAnsi="Cambria Math" w:cs="Arial"/>
                <w:vertAlign w:val="subscript"/>
              </w:rPr>
              <m:t>1</m:t>
            </m:r>
          </m:sub>
        </m:sSub>
      </m:oMath>
      <w:r w:rsidRPr="00B26CA0">
        <w:rPr>
          <w:rFonts w:ascii="Arial" w:hAnsi="Arial" w:cs="Arial"/>
        </w:rPr>
        <w:t xml:space="preserve">: </w:t>
      </w:r>
      <m:oMath>
        <m:sSub>
          <m:sSubPr>
            <m:ctrlPr>
              <w:rPr>
                <w:rFonts w:ascii="Cambria Math" w:hAnsi="Cambria Math" w:cs="Arial"/>
              </w:rPr>
            </m:ctrlPr>
          </m:sSubPr>
          <m:e>
            <m:r>
              <w:rPr>
                <w:rFonts w:ascii="Cambria Math" w:hAnsi="Cambria Math" w:cs="Arial"/>
              </w:rPr>
              <m:t>β</m:t>
            </m:r>
          </m:e>
          <m:sub>
            <m:r>
              <m:rPr>
                <m:sty m:val="p"/>
              </m:rPr>
              <w:rPr>
                <w:rFonts w:ascii="Cambria Math" w:hAnsi="Cambria Math" w:cs="Arial"/>
                <w:vertAlign w:val="subscript"/>
              </w:rPr>
              <m:t>4</m:t>
            </m:r>
          </m:sub>
        </m:sSub>
      </m:oMath>
      <w:r w:rsidRPr="00B26CA0">
        <w:rPr>
          <w:rFonts w:ascii="Arial" w:hAnsi="Arial" w:cs="Arial"/>
        </w:rPr>
        <w:t xml:space="preserve"> ≠ </w:t>
      </w:r>
      <m:oMath>
        <m:sSub>
          <m:sSubPr>
            <m:ctrlPr>
              <w:rPr>
                <w:rFonts w:ascii="Cambria Math" w:hAnsi="Cambria Math" w:cs="Arial"/>
              </w:rPr>
            </m:ctrlPr>
          </m:sSubPr>
          <m:e>
            <m:r>
              <w:rPr>
                <w:rFonts w:ascii="Cambria Math" w:hAnsi="Cambria Math" w:cs="Arial"/>
              </w:rPr>
              <m:t>β</m:t>
            </m:r>
          </m:e>
          <m:sub>
            <m:r>
              <m:rPr>
                <m:sty m:val="p"/>
              </m:rPr>
              <w:rPr>
                <w:rFonts w:ascii="Cambria Math" w:hAnsi="Cambria Math" w:cs="Arial"/>
                <w:vertAlign w:val="subscript"/>
              </w:rPr>
              <m:t>5</m:t>
            </m:r>
          </m:sub>
        </m:sSub>
      </m:oMath>
      <w:r w:rsidRPr="00B26CA0">
        <w:rPr>
          <w:rFonts w:ascii="Arial" w:hAnsi="Arial" w:cs="Arial"/>
        </w:rPr>
        <w:t xml:space="preserve"> ≠ </w:t>
      </w:r>
      <m:oMath>
        <m:sSub>
          <m:sSubPr>
            <m:ctrlPr>
              <w:rPr>
                <w:rFonts w:ascii="Cambria Math" w:hAnsi="Cambria Math" w:cs="Arial"/>
              </w:rPr>
            </m:ctrlPr>
          </m:sSubPr>
          <m:e>
            <m:r>
              <w:rPr>
                <w:rFonts w:ascii="Cambria Math" w:hAnsi="Cambria Math" w:cs="Arial"/>
              </w:rPr>
              <m:t>β</m:t>
            </m:r>
          </m:e>
          <m:sub>
            <m:r>
              <m:rPr>
                <m:sty m:val="p"/>
              </m:rPr>
              <w:rPr>
                <w:rFonts w:ascii="Cambria Math" w:hAnsi="Cambria Math" w:cs="Arial"/>
                <w:vertAlign w:val="subscript"/>
              </w:rPr>
              <m:t>6</m:t>
            </m:r>
          </m:sub>
        </m:sSub>
      </m:oMath>
      <w:r w:rsidRPr="00B26CA0">
        <w:rPr>
          <w:rFonts w:ascii="Arial" w:hAnsi="Arial" w:cs="Arial"/>
        </w:rPr>
        <w:t xml:space="preserve"> ≠ </w:t>
      </w:r>
      <m:oMath>
        <m:sSub>
          <m:sSubPr>
            <m:ctrlPr>
              <w:rPr>
                <w:rFonts w:ascii="Cambria Math" w:hAnsi="Cambria Math" w:cs="Arial"/>
              </w:rPr>
            </m:ctrlPr>
          </m:sSubPr>
          <m:e>
            <m:r>
              <w:rPr>
                <w:rFonts w:ascii="Cambria Math" w:hAnsi="Cambria Math" w:cs="Arial"/>
              </w:rPr>
              <m:t>β</m:t>
            </m:r>
          </m:e>
          <m:sub>
            <m:r>
              <m:rPr>
                <m:sty m:val="p"/>
              </m:rPr>
              <w:rPr>
                <w:rFonts w:ascii="Cambria Math" w:hAnsi="Cambria Math" w:cs="Arial"/>
                <w:vertAlign w:val="subscript"/>
              </w:rPr>
              <m:t>7</m:t>
            </m:r>
          </m:sub>
        </m:sSub>
      </m:oMath>
      <w:r w:rsidRPr="00B26CA0">
        <w:rPr>
          <w:rFonts w:ascii="Arial" w:hAnsi="Arial" w:cs="Arial"/>
        </w:rPr>
        <w:t xml:space="preserve"> ≠ 0). The F test used for this procedure has a non-standard distribution. Thus, Pesaran </w:t>
      </w:r>
      <w:r w:rsidRPr="00B26CA0">
        <w:rPr>
          <w:rFonts w:ascii="Arial" w:hAnsi="Arial" w:cs="Arial"/>
          <w:i/>
          <w:iCs/>
        </w:rPr>
        <w:t>et al.</w:t>
      </w:r>
      <w:r w:rsidRPr="00B26CA0">
        <w:rPr>
          <w:rFonts w:ascii="Arial" w:hAnsi="Arial" w:cs="Arial"/>
        </w:rPr>
        <w:t xml:space="preserve"> (2001)</w:t>
      </w:r>
      <w:r w:rsidRPr="00B26CA0">
        <w:rPr>
          <w:rFonts w:ascii="Arial" w:hAnsi="Arial" w:cs="Arial"/>
          <w:i/>
          <w:iCs/>
        </w:rPr>
        <w:t xml:space="preserve"> </w:t>
      </w:r>
      <w:r w:rsidRPr="00B26CA0">
        <w:rPr>
          <w:rFonts w:ascii="Arial" w:hAnsi="Arial" w:cs="Arial"/>
        </w:rPr>
        <w:t xml:space="preserve">compute two sets of critical values for a given significance level. One set assumes that all variables are </w:t>
      </w:r>
      <w:r w:rsidRPr="00B26CA0">
        <w:rPr>
          <w:rFonts w:ascii="Arial" w:hAnsi="Arial" w:cs="Arial"/>
          <w:i/>
          <w:iCs/>
        </w:rPr>
        <w:t>I</w:t>
      </w:r>
      <w:r w:rsidRPr="00B26CA0">
        <w:rPr>
          <w:rFonts w:ascii="Arial" w:hAnsi="Arial" w:cs="Arial"/>
        </w:rPr>
        <w:t xml:space="preserve">(0) and the other set assumes they are all </w:t>
      </w:r>
      <w:r w:rsidRPr="00B26CA0">
        <w:rPr>
          <w:rFonts w:ascii="Arial" w:hAnsi="Arial" w:cs="Arial"/>
          <w:i/>
          <w:iCs/>
        </w:rPr>
        <w:t>I</w:t>
      </w:r>
      <w:r w:rsidRPr="00B26CA0">
        <w:rPr>
          <w:rFonts w:ascii="Arial" w:hAnsi="Arial" w:cs="Arial"/>
        </w:rPr>
        <w:t xml:space="preserve">(1). </w:t>
      </w:r>
      <w:bookmarkStart w:id="446" w:name="_Hlk170839337"/>
      <w:r w:rsidRPr="00B26CA0">
        <w:rPr>
          <w:rFonts w:ascii="Arial" w:hAnsi="Arial" w:cs="Arial"/>
        </w:rPr>
        <w:t xml:space="preserve">If the computed F-statistic exceeds the upper critical bounds value, then the </w:t>
      </w:r>
      <m:oMath>
        <m:sSub>
          <m:sSubPr>
            <m:ctrlPr>
              <w:rPr>
                <w:rFonts w:ascii="Cambria Math" w:hAnsi="Cambria Math" w:cs="Arial"/>
              </w:rPr>
            </m:ctrlPr>
          </m:sSubPr>
          <m:e>
            <m:r>
              <m:rPr>
                <m:sty m:val="p"/>
              </m:rPr>
              <w:rPr>
                <w:rFonts w:ascii="Cambria Math" w:hAnsi="Cambria Math" w:cs="Arial"/>
              </w:rPr>
              <m:t>H</m:t>
            </m:r>
          </m:e>
          <m:sub>
            <m:r>
              <m:rPr>
                <m:sty m:val="p"/>
              </m:rPr>
              <w:rPr>
                <w:rFonts w:ascii="Cambria Math" w:hAnsi="Cambria Math" w:cs="Arial"/>
                <w:vertAlign w:val="subscript"/>
              </w:rPr>
              <m:t>0</m:t>
            </m:r>
          </m:sub>
        </m:sSub>
      </m:oMath>
      <w:r w:rsidRPr="00B26CA0">
        <w:rPr>
          <w:rFonts w:ascii="Arial" w:hAnsi="Arial" w:cs="Arial"/>
        </w:rPr>
        <w:t xml:space="preserve"> is rejected. If the F-statistic is below the lower critical bounds value, it implies no cointegration. Lastly, if the F-statistic falls into the bounds, then the test becomes inconclusive. In such situation, one could look at the error-correction term in the ARDL’s short-term representation (Kremers </w:t>
      </w:r>
      <w:r w:rsidRPr="00B26CA0">
        <w:rPr>
          <w:rFonts w:ascii="Arial" w:hAnsi="Arial" w:cs="Arial"/>
          <w:i/>
          <w:iCs/>
        </w:rPr>
        <w:t>et al.,</w:t>
      </w:r>
      <w:r w:rsidRPr="00B26CA0">
        <w:rPr>
          <w:rFonts w:ascii="Arial" w:hAnsi="Arial" w:cs="Arial"/>
        </w:rPr>
        <w:t>1992). If the error-correction term is negative and statistically significant, it means that the variables are quick on approaching their long-term stabilizing condition</w:t>
      </w:r>
      <w:r>
        <w:rPr>
          <w:rFonts w:ascii="Arial" w:hAnsi="Arial" w:cs="Arial"/>
        </w:rPr>
        <w:t xml:space="preserve"> and </w:t>
      </w:r>
      <w:r w:rsidRPr="00B26CA0">
        <w:rPr>
          <w:rFonts w:ascii="Arial" w:hAnsi="Arial" w:cs="Arial"/>
        </w:rPr>
        <w:t>can be used to establish cointegration.</w:t>
      </w:r>
    </w:p>
    <w:bookmarkEnd w:id="446"/>
    <w:p w14:paraId="66CCBB57" w14:textId="77777777" w:rsidR="00E26B71" w:rsidRPr="00B26CA0" w:rsidRDefault="00E26B71" w:rsidP="0066301C">
      <w:pPr>
        <w:spacing w:line="360" w:lineRule="auto"/>
        <w:jc w:val="both"/>
        <w:rPr>
          <w:rFonts w:ascii="Arial" w:hAnsi="Arial" w:cs="Arial"/>
        </w:rPr>
      </w:pPr>
      <w:r w:rsidRPr="00B26CA0">
        <w:rPr>
          <w:rFonts w:ascii="Arial" w:hAnsi="Arial" w:cs="Arial"/>
        </w:rPr>
        <w:t xml:space="preserve">A general error correction model (ECM) of the above equation is formulated as follows: </w:t>
      </w:r>
    </w:p>
    <w:p w14:paraId="573BF07D" w14:textId="77777777" w:rsidR="00E26B71" w:rsidRPr="0006652B" w:rsidRDefault="00000000" w:rsidP="0066301C">
      <w:pPr>
        <w:spacing w:after="0" w:line="360" w:lineRule="auto"/>
        <w:jc w:val="both"/>
        <w:rPr>
          <w:rFonts w:ascii="Arial" w:eastAsiaTheme="minorEastAsia" w:hAnsi="Arial" w:cs="Arial"/>
        </w:rPr>
      </w:pPr>
      <m:oMath>
        <m:sSub>
          <m:sSubPr>
            <m:ctrlPr>
              <w:rPr>
                <w:rFonts w:ascii="Cambria Math" w:hAnsi="Cambria Math" w:cs="Arial"/>
                <w:i/>
              </w:rPr>
            </m:ctrlPr>
          </m:sSubPr>
          <m:e>
            <m:r>
              <w:rPr>
                <w:rFonts w:ascii="Cambria Math" w:hAnsi="Cambria Math" w:cs="Arial"/>
              </w:rPr>
              <m:t>ΔLnTB</m:t>
            </m:r>
          </m:e>
          <m:sub>
            <m:r>
              <w:rPr>
                <w:rFonts w:ascii="Cambria Math" w:hAnsi="Cambria Math" w:cs="Arial"/>
              </w:rPr>
              <m:t>t</m:t>
            </m:r>
          </m:sub>
        </m:sSub>
        <m:r>
          <w:rPr>
            <w:rFonts w:ascii="Cambria Math" w:hAnsi="Cambria Math" w:cs="Arial"/>
          </w:rPr>
          <m:t>=</m:t>
        </m:r>
        <m:sSub>
          <m:sSubPr>
            <m:ctrlPr>
              <w:rPr>
                <w:rFonts w:ascii="Cambria Math" w:hAnsi="Cambria Math" w:cs="Arial"/>
                <w:i/>
              </w:rPr>
            </m:ctrlPr>
          </m:sSubPr>
          <m:e>
            <m:r>
              <w:rPr>
                <w:rFonts w:ascii="Cambria Math" w:hAnsi="Cambria Math" w:cs="Arial"/>
              </w:rPr>
              <m:t>α</m:t>
            </m:r>
          </m:e>
          <m:sub>
            <m:r>
              <w:rPr>
                <w:rFonts w:ascii="Cambria Math" w:hAnsi="Cambria Math" w:cs="Arial"/>
              </w:rPr>
              <m:t>0</m:t>
            </m:r>
          </m:sub>
        </m:sSub>
        <m:r>
          <w:rPr>
            <w:rFonts w:ascii="Cambria Math" w:hAnsi="Cambria Math" w:cs="Arial"/>
          </w:rPr>
          <m:t>+</m:t>
        </m:r>
        <m:nary>
          <m:naryPr>
            <m:chr m:val="∑"/>
            <m:limLoc m:val="undOvr"/>
            <m:ctrlPr>
              <w:rPr>
                <w:rFonts w:ascii="Cambria Math" w:hAnsi="Cambria Math" w:cs="Arial"/>
              </w:rPr>
            </m:ctrlPr>
          </m:naryPr>
          <m:sub>
            <m:r>
              <w:rPr>
                <w:rFonts w:ascii="Cambria Math" w:hAnsi="Cambria Math" w:cs="Arial"/>
              </w:rPr>
              <m:t>i</m:t>
            </m:r>
            <m:r>
              <m:rPr>
                <m:sty m:val="p"/>
              </m:rPr>
              <w:rPr>
                <w:rFonts w:ascii="Cambria Math" w:hAnsi="Cambria Math" w:cs="Arial"/>
              </w:rPr>
              <m:t>=1</m:t>
            </m:r>
          </m:sub>
          <m:sup>
            <m:r>
              <w:rPr>
                <w:rFonts w:ascii="Cambria Math" w:hAnsi="Cambria Math" w:cs="Arial"/>
              </w:rPr>
              <m:t>m</m:t>
            </m:r>
          </m:sup>
          <m:e>
            <m:sSub>
              <m:sSubPr>
                <m:ctrlPr>
                  <w:rPr>
                    <w:rFonts w:ascii="Cambria Math" w:hAnsi="Cambria Math" w:cs="Arial"/>
                  </w:rPr>
                </m:ctrlPr>
              </m:sSubPr>
              <m:e>
                <m:sSub>
                  <m:sSubPr>
                    <m:ctrlPr>
                      <w:rPr>
                        <w:rFonts w:ascii="Cambria Math" w:hAnsi="Cambria Math" w:cs="Arial"/>
                      </w:rPr>
                    </m:ctrlPr>
                  </m:sSubPr>
                  <m:e>
                    <m:r>
                      <w:rPr>
                        <w:rFonts w:ascii="Cambria Math" w:hAnsi="Cambria Math" w:cs="Arial"/>
                      </w:rPr>
                      <m:t>β</m:t>
                    </m:r>
                  </m:e>
                  <m:sub>
                    <m:r>
                      <m:rPr>
                        <m:sty m:val="p"/>
                      </m:rPr>
                      <w:rPr>
                        <w:rFonts w:ascii="Cambria Math" w:hAnsi="Cambria Math" w:cs="Arial"/>
                        <w:vertAlign w:val="subscript"/>
                      </w:rPr>
                      <m:t>0</m:t>
                    </m:r>
                  </m:sub>
                </m:sSub>
                <m:r>
                  <w:rPr>
                    <w:rFonts w:ascii="Cambria Math" w:hAnsi="Cambria Math" w:cs="Arial"/>
                  </w:rPr>
                  <m:t>ΔLnTB</m:t>
                </m:r>
              </m:e>
              <m:sub>
                <m:r>
                  <w:rPr>
                    <w:rFonts w:ascii="Cambria Math" w:hAnsi="Cambria Math" w:cs="Arial"/>
                    <w:vertAlign w:val="subscript"/>
                  </w:rPr>
                  <m:t>t</m:t>
                </m:r>
                <m:r>
                  <m:rPr>
                    <m:sty m:val="p"/>
                  </m:rPr>
                  <w:rPr>
                    <w:rFonts w:ascii="Cambria Math" w:hAnsi="Cambria Math" w:cs="Arial"/>
                    <w:vertAlign w:val="subscript"/>
                  </w:rPr>
                  <m:t>-</m:t>
                </m:r>
                <m:r>
                  <w:rPr>
                    <w:rFonts w:ascii="Cambria Math" w:hAnsi="Cambria Math" w:cs="Arial"/>
                    <w:vertAlign w:val="subscript"/>
                  </w:rPr>
                  <m:t>i</m:t>
                </m:r>
              </m:sub>
            </m:sSub>
          </m:e>
        </m:nary>
        <m:r>
          <m:rPr>
            <m:sty m:val="p"/>
          </m:rPr>
          <w:rPr>
            <w:rFonts w:ascii="Cambria Math" w:hAnsi="Cambria Math" w:cs="Arial"/>
          </w:rPr>
          <m:t xml:space="preserve">+ </m:t>
        </m:r>
        <m:nary>
          <m:naryPr>
            <m:chr m:val="∑"/>
            <m:limLoc m:val="undOvr"/>
            <m:ctrlPr>
              <w:rPr>
                <w:rFonts w:ascii="Cambria Math" w:hAnsi="Cambria Math" w:cs="Arial"/>
              </w:rPr>
            </m:ctrlPr>
          </m:naryPr>
          <m:sub>
            <m:r>
              <w:rPr>
                <w:rFonts w:ascii="Cambria Math" w:hAnsi="Cambria Math" w:cs="Arial"/>
              </w:rPr>
              <m:t>i</m:t>
            </m:r>
            <m:r>
              <m:rPr>
                <m:sty m:val="p"/>
              </m:rPr>
              <w:rPr>
                <w:rFonts w:ascii="Cambria Math" w:hAnsi="Cambria Math" w:cs="Arial"/>
              </w:rPr>
              <m:t>=0</m:t>
            </m:r>
          </m:sub>
          <m:sup>
            <m:r>
              <w:rPr>
                <w:rFonts w:ascii="Cambria Math" w:hAnsi="Cambria Math" w:cs="Arial"/>
              </w:rPr>
              <m:t>m</m:t>
            </m:r>
          </m:sup>
          <m:e>
            <m:sSub>
              <m:sSubPr>
                <m:ctrlPr>
                  <w:rPr>
                    <w:rFonts w:ascii="Cambria Math" w:hAnsi="Cambria Math" w:cs="Arial"/>
                  </w:rPr>
                </m:ctrlPr>
              </m:sSubPr>
              <m:e>
                <m:sSub>
                  <m:sSubPr>
                    <m:ctrlPr>
                      <w:rPr>
                        <w:rFonts w:ascii="Cambria Math" w:hAnsi="Cambria Math" w:cs="Arial"/>
                      </w:rPr>
                    </m:ctrlPr>
                  </m:sSubPr>
                  <m:e>
                    <m:r>
                      <w:rPr>
                        <w:rFonts w:ascii="Cambria Math" w:hAnsi="Cambria Math" w:cs="Arial"/>
                      </w:rPr>
                      <m:t>β</m:t>
                    </m:r>
                  </m:e>
                  <m:sub>
                    <m:r>
                      <m:rPr>
                        <m:sty m:val="p"/>
                      </m:rPr>
                      <w:rPr>
                        <w:rFonts w:ascii="Cambria Math" w:hAnsi="Cambria Math" w:cs="Arial"/>
                        <w:vertAlign w:val="subscript"/>
                      </w:rPr>
                      <m:t>1</m:t>
                    </m:r>
                  </m:sub>
                </m:sSub>
                <m:r>
                  <w:rPr>
                    <w:rFonts w:ascii="Cambria Math" w:hAnsi="Cambria Math" w:cs="Arial"/>
                  </w:rPr>
                  <m:t>ΔLnREER</m:t>
                </m:r>
              </m:e>
              <m:sub>
                <m:r>
                  <w:rPr>
                    <w:rFonts w:ascii="Cambria Math" w:hAnsi="Cambria Math" w:cs="Arial"/>
                    <w:vertAlign w:val="subscript"/>
                  </w:rPr>
                  <m:t>t</m:t>
                </m:r>
                <m:r>
                  <m:rPr>
                    <m:sty m:val="p"/>
                  </m:rPr>
                  <w:rPr>
                    <w:rFonts w:ascii="Cambria Math" w:hAnsi="Cambria Math" w:cs="Arial"/>
                    <w:vertAlign w:val="subscript"/>
                  </w:rPr>
                  <m:t>-</m:t>
                </m:r>
                <m:r>
                  <w:rPr>
                    <w:rFonts w:ascii="Cambria Math" w:hAnsi="Cambria Math" w:cs="Arial"/>
                    <w:vertAlign w:val="subscript"/>
                  </w:rPr>
                  <m:t>i</m:t>
                </m:r>
              </m:sub>
            </m:sSub>
          </m:e>
        </m:nary>
        <m:r>
          <m:rPr>
            <m:sty m:val="p"/>
          </m:rPr>
          <w:rPr>
            <w:rFonts w:ascii="Cambria Math" w:hAnsi="Cambria Math" w:cs="Arial"/>
          </w:rPr>
          <m:t xml:space="preserve"> + </m:t>
        </m:r>
        <m:nary>
          <m:naryPr>
            <m:chr m:val="∑"/>
            <m:limLoc m:val="undOvr"/>
            <m:ctrlPr>
              <w:rPr>
                <w:rFonts w:ascii="Cambria Math" w:hAnsi="Cambria Math" w:cs="Arial"/>
              </w:rPr>
            </m:ctrlPr>
          </m:naryPr>
          <m:sub>
            <m:r>
              <w:rPr>
                <w:rFonts w:ascii="Cambria Math" w:hAnsi="Cambria Math" w:cs="Arial"/>
              </w:rPr>
              <m:t>i</m:t>
            </m:r>
            <m:r>
              <m:rPr>
                <m:sty m:val="p"/>
              </m:rPr>
              <w:rPr>
                <w:rFonts w:ascii="Cambria Math" w:hAnsi="Cambria Math" w:cs="Arial"/>
              </w:rPr>
              <m:t>=0</m:t>
            </m:r>
          </m:sub>
          <m:sup>
            <m:r>
              <w:rPr>
                <w:rFonts w:ascii="Cambria Math" w:hAnsi="Cambria Math" w:cs="Arial"/>
              </w:rPr>
              <m:t>m</m:t>
            </m:r>
          </m:sup>
          <m:e>
            <m:sSub>
              <m:sSubPr>
                <m:ctrlPr>
                  <w:rPr>
                    <w:rFonts w:ascii="Cambria Math" w:hAnsi="Cambria Math" w:cs="Arial"/>
                  </w:rPr>
                </m:ctrlPr>
              </m:sSubPr>
              <m:e>
                <m:sSub>
                  <m:sSubPr>
                    <m:ctrlPr>
                      <w:rPr>
                        <w:rFonts w:ascii="Cambria Math" w:hAnsi="Cambria Math" w:cs="Arial"/>
                      </w:rPr>
                    </m:ctrlPr>
                  </m:sSubPr>
                  <m:e>
                    <m:r>
                      <w:rPr>
                        <w:rFonts w:ascii="Cambria Math" w:hAnsi="Cambria Math" w:cs="Arial"/>
                      </w:rPr>
                      <m:t>β</m:t>
                    </m:r>
                  </m:e>
                  <m:sub>
                    <m:r>
                      <m:rPr>
                        <m:sty m:val="p"/>
                      </m:rPr>
                      <w:rPr>
                        <w:rFonts w:ascii="Cambria Math" w:hAnsi="Cambria Math" w:cs="Arial"/>
                        <w:vertAlign w:val="subscript"/>
                      </w:rPr>
                      <m:t>2</m:t>
                    </m:r>
                  </m:sub>
                </m:sSub>
                <m:r>
                  <w:rPr>
                    <w:rFonts w:ascii="Cambria Math" w:hAnsi="Cambria Math" w:cs="Arial"/>
                  </w:rPr>
                  <m:t>ΔLnDI</m:t>
                </m:r>
              </m:e>
              <m:sub>
                <m:r>
                  <w:rPr>
                    <w:rFonts w:ascii="Cambria Math" w:hAnsi="Cambria Math" w:cs="Arial"/>
                    <w:vertAlign w:val="subscript"/>
                  </w:rPr>
                  <m:t>t</m:t>
                </m:r>
                <m:r>
                  <m:rPr>
                    <m:sty m:val="p"/>
                  </m:rPr>
                  <w:rPr>
                    <w:rFonts w:ascii="Cambria Math" w:hAnsi="Cambria Math" w:cs="Arial"/>
                    <w:vertAlign w:val="subscript"/>
                  </w:rPr>
                  <m:t>-</m:t>
                </m:r>
                <m:r>
                  <w:rPr>
                    <w:rFonts w:ascii="Cambria Math" w:hAnsi="Cambria Math" w:cs="Arial"/>
                    <w:vertAlign w:val="subscript"/>
                  </w:rPr>
                  <m:t>i</m:t>
                </m:r>
              </m:sub>
            </m:sSub>
          </m:e>
        </m:nary>
        <m:r>
          <m:rPr>
            <m:sty m:val="p"/>
          </m:rPr>
          <w:rPr>
            <w:rFonts w:ascii="Cambria Math" w:hAnsi="Cambria Math" w:cs="Arial"/>
          </w:rPr>
          <m:t xml:space="preserve"> + </m:t>
        </m:r>
        <m:nary>
          <m:naryPr>
            <m:chr m:val="∑"/>
            <m:limLoc m:val="undOvr"/>
            <m:ctrlPr>
              <w:rPr>
                <w:rFonts w:ascii="Cambria Math" w:hAnsi="Cambria Math" w:cs="Arial"/>
              </w:rPr>
            </m:ctrlPr>
          </m:naryPr>
          <m:sub>
            <m:r>
              <w:rPr>
                <w:rFonts w:ascii="Cambria Math" w:hAnsi="Cambria Math" w:cs="Arial"/>
              </w:rPr>
              <m:t>i</m:t>
            </m:r>
            <m:r>
              <m:rPr>
                <m:sty m:val="p"/>
              </m:rPr>
              <w:rPr>
                <w:rFonts w:ascii="Cambria Math" w:hAnsi="Cambria Math" w:cs="Arial"/>
              </w:rPr>
              <m:t>=0</m:t>
            </m:r>
          </m:sub>
          <m:sup>
            <m:r>
              <w:rPr>
                <w:rFonts w:ascii="Cambria Math" w:hAnsi="Cambria Math" w:cs="Arial"/>
              </w:rPr>
              <m:t>m</m:t>
            </m:r>
          </m:sup>
          <m:e>
            <m:sSub>
              <m:sSubPr>
                <m:ctrlPr>
                  <w:rPr>
                    <w:rFonts w:ascii="Cambria Math" w:hAnsi="Cambria Math" w:cs="Arial"/>
                  </w:rPr>
                </m:ctrlPr>
              </m:sSubPr>
              <m:e>
                <m:sSub>
                  <m:sSubPr>
                    <m:ctrlPr>
                      <w:rPr>
                        <w:rFonts w:ascii="Cambria Math" w:hAnsi="Cambria Math" w:cs="Arial"/>
                      </w:rPr>
                    </m:ctrlPr>
                  </m:sSubPr>
                  <m:e>
                    <m:r>
                      <w:rPr>
                        <w:rFonts w:ascii="Cambria Math" w:hAnsi="Cambria Math" w:cs="Arial"/>
                      </w:rPr>
                      <m:t>β</m:t>
                    </m:r>
                  </m:e>
                  <m:sub>
                    <m:r>
                      <m:rPr>
                        <m:sty m:val="p"/>
                      </m:rPr>
                      <w:rPr>
                        <w:rFonts w:ascii="Cambria Math" w:hAnsi="Cambria Math" w:cs="Arial"/>
                        <w:vertAlign w:val="subscript"/>
                      </w:rPr>
                      <m:t>3</m:t>
                    </m:r>
                  </m:sub>
                </m:sSub>
                <m:r>
                  <w:rPr>
                    <w:rFonts w:ascii="Cambria Math" w:hAnsi="Cambria Math" w:cs="Arial"/>
                  </w:rPr>
                  <m:t>ΔLnFI</m:t>
                </m:r>
              </m:e>
              <m:sub>
                <m:r>
                  <w:rPr>
                    <w:rFonts w:ascii="Cambria Math" w:hAnsi="Cambria Math" w:cs="Arial"/>
                    <w:vertAlign w:val="subscript"/>
                  </w:rPr>
                  <m:t>t</m:t>
                </m:r>
                <m:r>
                  <m:rPr>
                    <m:sty m:val="p"/>
                  </m:rPr>
                  <w:rPr>
                    <w:rFonts w:ascii="Cambria Math" w:hAnsi="Cambria Math" w:cs="Arial"/>
                    <w:vertAlign w:val="subscript"/>
                  </w:rPr>
                  <m:t>-</m:t>
                </m:r>
                <m:r>
                  <w:rPr>
                    <w:rFonts w:ascii="Cambria Math" w:hAnsi="Cambria Math" w:cs="Arial"/>
                    <w:vertAlign w:val="subscript"/>
                  </w:rPr>
                  <m:t>i</m:t>
                </m:r>
              </m:sub>
            </m:sSub>
          </m:e>
        </m:nary>
        <m:r>
          <m:rPr>
            <m:sty m:val="p"/>
          </m:rPr>
          <w:rPr>
            <w:rFonts w:ascii="Cambria Math" w:hAnsi="Cambria Math" w:cs="Arial"/>
          </w:rPr>
          <m:t>+</m:t>
        </m:r>
        <m:sSub>
          <m:sSubPr>
            <m:ctrlPr>
              <w:rPr>
                <w:rFonts w:ascii="Cambria Math" w:hAnsi="Cambria Math" w:cs="Arial"/>
              </w:rPr>
            </m:ctrlPr>
          </m:sSubPr>
          <m:e>
            <m:r>
              <w:rPr>
                <w:rFonts w:ascii="Cambria Math" w:hAnsi="Cambria Math" w:cs="Arial"/>
              </w:rPr>
              <m:t>λEC</m:t>
            </m:r>
          </m:e>
          <m:sub>
            <m:r>
              <w:rPr>
                <w:rFonts w:ascii="Cambria Math" w:hAnsi="Cambria Math" w:cs="Arial"/>
                <w:vertAlign w:val="subscript"/>
              </w:rPr>
              <m:t>t</m:t>
            </m:r>
            <m:r>
              <m:rPr>
                <m:sty m:val="p"/>
              </m:rPr>
              <w:rPr>
                <w:rFonts w:ascii="Cambria Math" w:hAnsi="Cambria Math" w:cs="Arial"/>
                <w:vertAlign w:val="subscript"/>
              </w:rPr>
              <m:t>-1</m:t>
            </m:r>
          </m:sub>
        </m:sSub>
        <m:r>
          <m:rPr>
            <m:sty m:val="p"/>
          </m:rPr>
          <w:rPr>
            <w:rFonts w:ascii="Cambria Math" w:hAnsi="Cambria Math" w:cs="Arial"/>
          </w:rPr>
          <m:t xml:space="preserve">+ </m:t>
        </m:r>
        <m:sSub>
          <m:sSubPr>
            <m:ctrlPr>
              <w:rPr>
                <w:rFonts w:ascii="Cambria Math" w:eastAsiaTheme="minorEastAsia" w:hAnsi="Cambria Math" w:cs="Arial"/>
                <w:i/>
              </w:rPr>
            </m:ctrlPr>
          </m:sSubPr>
          <m:e>
            <m:r>
              <w:rPr>
                <w:rFonts w:ascii="Cambria Math" w:eastAsia="Segoe UI Symbol" w:hAnsi="Cambria Math" w:cs="Arial"/>
              </w:rPr>
              <m:t>ε</m:t>
            </m:r>
          </m:e>
          <m:sub>
            <m:r>
              <w:rPr>
                <w:rFonts w:ascii="Cambria Math" w:eastAsiaTheme="minorEastAsia" w:hAnsi="Cambria Math" w:cs="Arial"/>
              </w:rPr>
              <m:t>t</m:t>
            </m:r>
          </m:sub>
        </m:sSub>
      </m:oMath>
      <w:r w:rsidR="00E26B71" w:rsidRPr="008204CC">
        <w:rPr>
          <w:rFonts w:ascii="Arial" w:eastAsiaTheme="minorEastAsia" w:hAnsi="Arial" w:cs="Arial"/>
        </w:rPr>
        <w:t xml:space="preserve">  </w:t>
      </w:r>
      <w:r w:rsidR="00E26B71">
        <w:rPr>
          <w:rFonts w:ascii="Arial" w:eastAsiaTheme="minorEastAsia" w:hAnsi="Arial" w:cs="Arial"/>
        </w:rPr>
        <w:tab/>
      </w:r>
      <w:r w:rsidR="00E26B71">
        <w:rPr>
          <w:rFonts w:ascii="Arial" w:eastAsiaTheme="minorEastAsia" w:hAnsi="Arial" w:cs="Arial"/>
        </w:rPr>
        <w:tab/>
      </w:r>
      <w:r w:rsidR="00E26B71">
        <w:rPr>
          <w:rFonts w:ascii="Arial" w:eastAsiaTheme="minorEastAsia" w:hAnsi="Arial" w:cs="Arial"/>
        </w:rPr>
        <w:tab/>
      </w:r>
      <w:r w:rsidR="00E26B71">
        <w:rPr>
          <w:rFonts w:ascii="Arial" w:eastAsiaTheme="minorEastAsia" w:hAnsi="Arial" w:cs="Arial"/>
        </w:rPr>
        <w:tab/>
      </w:r>
      <w:r w:rsidR="00E26B71">
        <w:rPr>
          <w:rFonts w:ascii="Arial" w:eastAsiaTheme="minorEastAsia" w:hAnsi="Arial" w:cs="Arial"/>
        </w:rPr>
        <w:tab/>
      </w:r>
      <w:r w:rsidR="00E26B71">
        <w:rPr>
          <w:rFonts w:ascii="Arial" w:eastAsiaTheme="minorEastAsia" w:hAnsi="Arial" w:cs="Arial"/>
        </w:rPr>
        <w:tab/>
      </w:r>
      <w:r w:rsidR="00E26B71">
        <w:rPr>
          <w:rFonts w:ascii="Arial" w:eastAsiaTheme="minorEastAsia" w:hAnsi="Arial" w:cs="Arial"/>
        </w:rPr>
        <w:tab/>
        <w:t xml:space="preserve">  </w:t>
      </w:r>
      <w:r w:rsidR="00E26B71" w:rsidRPr="00821B1D">
        <w:rPr>
          <w:rFonts w:ascii="Arial" w:eastAsiaTheme="minorEastAsia" w:hAnsi="Arial" w:cs="Arial"/>
        </w:rPr>
        <w:t>(</w:t>
      </w:r>
      <w:r w:rsidR="00E26B71">
        <w:rPr>
          <w:rFonts w:ascii="Arial" w:eastAsiaTheme="minorEastAsia" w:hAnsi="Arial" w:cs="Arial"/>
        </w:rPr>
        <w:t>4</w:t>
      </w:r>
      <w:r w:rsidR="00E26B71" w:rsidRPr="00821B1D">
        <w:rPr>
          <w:rFonts w:ascii="Arial" w:eastAsiaTheme="minorEastAsia" w:hAnsi="Arial" w:cs="Arial"/>
        </w:rPr>
        <w:t>.</w:t>
      </w:r>
      <w:r w:rsidR="00E26B71">
        <w:rPr>
          <w:rFonts w:ascii="Arial" w:eastAsiaTheme="minorEastAsia" w:hAnsi="Arial" w:cs="Arial"/>
        </w:rPr>
        <w:t>9</w:t>
      </w:r>
      <w:r w:rsidR="00E26B71" w:rsidRPr="00821B1D">
        <w:rPr>
          <w:rFonts w:ascii="Arial" w:eastAsiaTheme="minorEastAsia" w:hAnsi="Arial" w:cs="Arial"/>
        </w:rPr>
        <w:t>)</w:t>
      </w:r>
    </w:p>
    <w:p w14:paraId="635C4B97" w14:textId="587E02E4" w:rsidR="00E26B71" w:rsidRDefault="00E26B71" w:rsidP="0066301C">
      <w:pPr>
        <w:pStyle w:val="NoSpacing"/>
        <w:spacing w:after="240" w:line="360" w:lineRule="auto"/>
        <w:jc w:val="both"/>
        <w:rPr>
          <w:rFonts w:ascii="Arial" w:hAnsi="Arial" w:cs="Arial"/>
        </w:rPr>
      </w:pPr>
      <w:r>
        <w:t>W</w:t>
      </w:r>
      <w:r w:rsidRPr="00D23783">
        <w:rPr>
          <w:rFonts w:ascii="Arial" w:hAnsi="Arial" w:cs="Arial"/>
        </w:rPr>
        <w:t xml:space="preserve">here </w:t>
      </w:r>
      <m:oMath>
        <m:r>
          <w:rPr>
            <w:rFonts w:ascii="Cambria Math" w:hAnsi="Cambria Math" w:cs="Arial"/>
          </w:rPr>
          <m:t>λ</m:t>
        </m:r>
      </m:oMath>
      <w:r w:rsidRPr="00D23783">
        <w:rPr>
          <w:rFonts w:ascii="Arial" w:hAnsi="Arial" w:cs="Arial"/>
        </w:rPr>
        <w:t xml:space="preserve"> is the speed of adjustment parameter and EC </w:t>
      </w:r>
      <w:r>
        <w:rPr>
          <w:rFonts w:ascii="Arial" w:hAnsi="Arial" w:cs="Arial"/>
        </w:rPr>
        <w:t xml:space="preserve">or error term </w:t>
      </w:r>
      <w:r w:rsidRPr="00D23783">
        <w:rPr>
          <w:rFonts w:ascii="Arial" w:hAnsi="Arial" w:cs="Arial"/>
        </w:rPr>
        <w:t xml:space="preserve">is the residuals that are obtained </w:t>
      </w:r>
      <w:r>
        <w:rPr>
          <w:rFonts w:ascii="Arial" w:hAnsi="Arial" w:cs="Arial"/>
        </w:rPr>
        <w:t xml:space="preserve">by estimates normalized coefficient in </w:t>
      </w:r>
      <w:r w:rsidRPr="00D23783">
        <w:rPr>
          <w:rFonts w:ascii="Arial" w:hAnsi="Arial" w:cs="Arial"/>
        </w:rPr>
        <w:t xml:space="preserve">model of equation </w:t>
      </w:r>
      <w:r w:rsidRPr="002A0E07">
        <w:rPr>
          <w:rFonts w:ascii="Arial" w:hAnsi="Arial" w:cs="Arial"/>
        </w:rPr>
        <w:t>(5.</w:t>
      </w:r>
      <w:r>
        <w:rPr>
          <w:rFonts w:ascii="Arial" w:hAnsi="Arial" w:cs="Arial"/>
        </w:rPr>
        <w:t>7</w:t>
      </w:r>
      <w:r w:rsidRPr="002A0E07">
        <w:rPr>
          <w:rFonts w:ascii="Arial" w:hAnsi="Arial" w:cs="Arial"/>
        </w:rPr>
        <w:t>).</w:t>
      </w:r>
    </w:p>
    <w:p w14:paraId="41591F37" w14:textId="535994DD" w:rsidR="007D53A4" w:rsidRDefault="007F6317" w:rsidP="0066301C">
      <w:pPr>
        <w:pStyle w:val="Heading3"/>
        <w:numPr>
          <w:ilvl w:val="0"/>
          <w:numId w:val="0"/>
        </w:numPr>
        <w:spacing w:before="0" w:beforeAutospacing="0"/>
      </w:pPr>
      <w:bookmarkStart w:id="447" w:name="_Toc171075409"/>
      <w:r>
        <w:t>4</w:t>
      </w:r>
      <w:r w:rsidR="007D53A4">
        <w:t>.</w:t>
      </w:r>
      <w:r w:rsidR="008E63D7">
        <w:t>5</w:t>
      </w:r>
      <w:r w:rsidR="007D53A4">
        <w:t>.5</w:t>
      </w:r>
      <w:r w:rsidR="00E926D9">
        <w:tab/>
      </w:r>
      <w:r w:rsidR="007D53A4">
        <w:t>STABILITY TEST</w:t>
      </w:r>
      <w:bookmarkEnd w:id="447"/>
    </w:p>
    <w:p w14:paraId="1A0A1350" w14:textId="221210FB" w:rsidR="007D53A4" w:rsidRDefault="007D53A4" w:rsidP="0066301C">
      <w:pPr>
        <w:spacing w:line="360" w:lineRule="auto"/>
        <w:jc w:val="both"/>
        <w:rPr>
          <w:rFonts w:ascii="Arial" w:hAnsi="Arial" w:cs="Arial"/>
        </w:rPr>
      </w:pPr>
      <w:bookmarkStart w:id="448" w:name="_Hlk135733965"/>
      <w:r>
        <w:rPr>
          <w:rFonts w:ascii="Arial" w:hAnsi="Arial" w:cs="Arial"/>
          <w:sz w:val="20"/>
          <w:szCs w:val="20"/>
        </w:rPr>
        <w:t>We check if the estimated regression equations are stable throughout the sample period of the study. Parameter stability tests play a vital role in ensuring reliability of policy simulation based on the model</w:t>
      </w:r>
      <w:r w:rsidRPr="57585719">
        <w:rPr>
          <w:rFonts w:ascii="Arial" w:eastAsiaTheme="minorEastAsia" w:hAnsi="Arial" w:cs="Arial"/>
        </w:rPr>
        <w:t xml:space="preserve">. To test for stability following Bahmani-Oskooee and Goswami (2003), we apply the cumulative </w:t>
      </w:r>
      <w:r w:rsidRPr="57585719">
        <w:rPr>
          <w:rFonts w:ascii="Arial" w:eastAsiaTheme="minorEastAsia" w:hAnsi="Arial" w:cs="Arial"/>
        </w:rPr>
        <w:lastRenderedPageBreak/>
        <w:t xml:space="preserve">sum (CUSUM) and cumulative sum square (CUSUMSQ) tests of Brown </w:t>
      </w:r>
      <w:r w:rsidRPr="57585719">
        <w:rPr>
          <w:rFonts w:ascii="Arial" w:eastAsiaTheme="minorEastAsia" w:hAnsi="Arial" w:cs="Arial"/>
          <w:i/>
          <w:iCs/>
        </w:rPr>
        <w:t xml:space="preserve">et al. </w:t>
      </w:r>
      <w:r w:rsidRPr="57585719">
        <w:rPr>
          <w:rFonts w:ascii="Arial" w:eastAsiaTheme="minorEastAsia" w:hAnsi="Arial" w:cs="Arial"/>
        </w:rPr>
        <w:t>(1975) to the residuals of the models. The advantage of this approach is that it selects the break points recursively rather than arbitrarily. According to the CUSUM test the recursive residuals are plotted against the break points while the CUSUMSQ plots the squared recursive residuals against the break points. As a graphical illustration, these two statistics are then plotted with two straight lines which are bounded by 5% significance level. If any point lay beyond the 5% significance level, the null hypothesis of stable parameters is rejected.</w:t>
      </w:r>
      <w:r w:rsidRPr="57585719">
        <w:rPr>
          <w:rStyle w:val="FootnoteReference"/>
          <w:rFonts w:eastAsiaTheme="minorEastAsia" w:cs="Arial"/>
        </w:rPr>
        <w:footnoteReference w:id="109"/>
      </w:r>
    </w:p>
    <w:p w14:paraId="32AD01A5" w14:textId="0DCC6713" w:rsidR="00F91DB7" w:rsidRPr="00A817E8" w:rsidRDefault="0068271C" w:rsidP="0066301C">
      <w:pPr>
        <w:pStyle w:val="Heading2"/>
        <w:spacing w:before="0" w:beforeAutospacing="0"/>
      </w:pPr>
      <w:bookmarkStart w:id="449" w:name="_Toc171075410"/>
      <w:bookmarkStart w:id="450" w:name="_Hlk141670033"/>
      <w:bookmarkStart w:id="451" w:name="_Hlk132930244"/>
      <w:bookmarkEnd w:id="448"/>
      <w:r>
        <w:t>4</w:t>
      </w:r>
      <w:r w:rsidR="00F91DB7" w:rsidRPr="00A817E8">
        <w:t>.</w:t>
      </w:r>
      <w:r w:rsidR="00895839">
        <w:t>6</w:t>
      </w:r>
      <w:r w:rsidR="00895839">
        <w:tab/>
      </w:r>
      <w:r w:rsidR="00F91DB7">
        <w:t xml:space="preserve">BILATERAL AGGREGATE TRADE </w:t>
      </w:r>
      <w:r w:rsidR="00F91DB7" w:rsidRPr="00A817E8">
        <w:t>EMPIRICAL ANALYSIS</w:t>
      </w:r>
      <w:bookmarkEnd w:id="449"/>
      <w:r w:rsidR="00F91DB7" w:rsidRPr="00A817E8">
        <w:t xml:space="preserve"> </w:t>
      </w:r>
    </w:p>
    <w:p w14:paraId="3224E937" w14:textId="5302B047" w:rsidR="00F91DB7" w:rsidRDefault="00F91DB7" w:rsidP="0066301C">
      <w:pPr>
        <w:spacing w:line="360" w:lineRule="auto"/>
        <w:jc w:val="both"/>
        <w:rPr>
          <w:rFonts w:ascii="Arial" w:hAnsi="Arial" w:cs="Arial"/>
          <w:lang w:val="en-US"/>
        </w:rPr>
      </w:pPr>
      <w:r w:rsidRPr="008662E8">
        <w:rPr>
          <w:rFonts w:ascii="Arial" w:hAnsi="Arial" w:cs="Arial"/>
          <w:lang w:val="en-US"/>
        </w:rPr>
        <w:t>Th</w:t>
      </w:r>
      <w:r w:rsidR="00541134">
        <w:rPr>
          <w:rFonts w:ascii="Arial" w:hAnsi="Arial" w:cs="Arial"/>
          <w:lang w:val="en-US"/>
        </w:rPr>
        <w:t>e bilateral aggregate trade data</w:t>
      </w:r>
      <w:r w:rsidRPr="008662E8">
        <w:rPr>
          <w:rFonts w:ascii="Arial" w:hAnsi="Arial" w:cs="Arial"/>
          <w:lang w:val="en-US"/>
        </w:rPr>
        <w:t xml:space="preserve"> approac</w:t>
      </w:r>
      <w:r w:rsidR="00541134">
        <w:rPr>
          <w:rFonts w:ascii="Arial" w:hAnsi="Arial" w:cs="Arial"/>
          <w:lang w:val="en-US"/>
        </w:rPr>
        <w:t xml:space="preserve">h focuses on the trade relation between each of the CEMAC </w:t>
      </w:r>
      <w:bookmarkEnd w:id="450"/>
      <w:r w:rsidR="00541134">
        <w:rPr>
          <w:rFonts w:ascii="Arial" w:hAnsi="Arial" w:cs="Arial"/>
          <w:lang w:val="en-US"/>
        </w:rPr>
        <w:t>nations and their individual trade partners. This approach</w:t>
      </w:r>
      <w:r w:rsidRPr="008662E8">
        <w:rPr>
          <w:rFonts w:ascii="Arial" w:hAnsi="Arial" w:cs="Arial"/>
          <w:lang w:val="en-US"/>
        </w:rPr>
        <w:t xml:space="preserve"> tries to reduce the possible effect of “aggregation bias” and the measurement problems by selecting specific pairs of nations. The presence of aggregate bias problem, w</w:t>
      </w:r>
      <w:r>
        <w:rPr>
          <w:rFonts w:ascii="Arial" w:hAnsi="Arial" w:cs="Arial"/>
          <w:lang w:val="en-US"/>
        </w:rPr>
        <w:t>hich is a drawback of the aggregate</w:t>
      </w:r>
      <w:r w:rsidR="00541134">
        <w:rPr>
          <w:rFonts w:ascii="Arial" w:hAnsi="Arial" w:cs="Arial"/>
          <w:lang w:val="en-US"/>
        </w:rPr>
        <w:t xml:space="preserve"> trade data</w:t>
      </w:r>
      <w:r>
        <w:rPr>
          <w:rFonts w:ascii="Arial" w:hAnsi="Arial" w:cs="Arial"/>
          <w:lang w:val="en-US"/>
        </w:rPr>
        <w:t xml:space="preserve"> </w:t>
      </w:r>
      <w:r w:rsidRPr="008662E8">
        <w:rPr>
          <w:rFonts w:ascii="Arial" w:hAnsi="Arial" w:cs="Arial"/>
          <w:lang w:val="en-US"/>
        </w:rPr>
        <w:t>approach</w:t>
      </w:r>
      <w:r>
        <w:rPr>
          <w:rFonts w:ascii="Arial" w:hAnsi="Arial" w:cs="Arial"/>
          <w:lang w:val="en-US"/>
        </w:rPr>
        <w:t xml:space="preserve"> by Magee (1973)</w:t>
      </w:r>
      <w:r w:rsidRPr="008662E8">
        <w:rPr>
          <w:rFonts w:ascii="Arial" w:hAnsi="Arial" w:cs="Arial"/>
          <w:lang w:val="en-US"/>
        </w:rPr>
        <w:t xml:space="preserve">, may be due to the different nature of trade in each pair of nations. It could be possible for the J-curve to exist between a nation and one of its trading partners, while there is no significant liaison between currency devaluation and TB with the nation’s other trading partners. Taking this view into </w:t>
      </w:r>
      <w:r w:rsidR="2D2BE24D" w:rsidRPr="093D9A81">
        <w:rPr>
          <w:rFonts w:ascii="Arial" w:hAnsi="Arial" w:cs="Arial"/>
          <w:lang w:val="en-US"/>
        </w:rPr>
        <w:t>consideration</w:t>
      </w:r>
      <w:r w:rsidRPr="008662E8">
        <w:rPr>
          <w:rFonts w:ascii="Arial" w:hAnsi="Arial" w:cs="Arial"/>
          <w:lang w:val="en-US"/>
        </w:rPr>
        <w:t xml:space="preserve">, an insignificant relationship between the exchange rate and the TB with a nation could offset a significant relationship with other trade </w:t>
      </w:r>
      <w:r w:rsidR="5559B9E9" w:rsidRPr="093D9A81">
        <w:rPr>
          <w:rFonts w:ascii="Arial" w:hAnsi="Arial" w:cs="Arial"/>
          <w:lang w:val="en-US"/>
        </w:rPr>
        <w:t>partners</w:t>
      </w:r>
      <w:r w:rsidRPr="008662E8">
        <w:rPr>
          <w:rFonts w:ascii="Arial" w:hAnsi="Arial" w:cs="Arial"/>
          <w:lang w:val="en-US"/>
        </w:rPr>
        <w:t xml:space="preserve"> (Dhakir </w:t>
      </w:r>
      <w:r w:rsidRPr="008662E8">
        <w:rPr>
          <w:rFonts w:ascii="Arial" w:hAnsi="Arial" w:cs="Arial"/>
          <w:i/>
          <w:lang w:val="en-US"/>
        </w:rPr>
        <w:t xml:space="preserve">et al., </w:t>
      </w:r>
      <w:r w:rsidRPr="008662E8">
        <w:rPr>
          <w:rFonts w:ascii="Arial" w:hAnsi="Arial" w:cs="Arial"/>
          <w:lang w:val="en-US"/>
        </w:rPr>
        <w:t>2015).</w:t>
      </w:r>
      <w:r>
        <w:rPr>
          <w:rFonts w:ascii="Arial" w:hAnsi="Arial" w:cs="Arial"/>
          <w:lang w:val="en-US"/>
        </w:rPr>
        <w:t xml:space="preserve"> </w:t>
      </w:r>
    </w:p>
    <w:p w14:paraId="148D4617" w14:textId="5AC68F2C" w:rsidR="00013269" w:rsidRDefault="00F91DB7" w:rsidP="0066301C">
      <w:pPr>
        <w:spacing w:line="360" w:lineRule="auto"/>
        <w:jc w:val="both"/>
        <w:rPr>
          <w:rFonts w:ascii="Arial" w:hAnsi="Arial" w:cs="Arial"/>
          <w:lang w:val="en-US"/>
        </w:rPr>
      </w:pPr>
      <w:r w:rsidRPr="00876F6F">
        <w:rPr>
          <w:rFonts w:ascii="Arial" w:hAnsi="Arial" w:cs="Arial"/>
        </w:rPr>
        <w:t xml:space="preserve">Also, analysing from industrial or sectorial level (bilateral disaggregate trade data approach) might not give a clear picture of the entire impact of the devaluation, since we might not be able to capture all the industries or sectors of a nation. This is largely because CEMAC nations are developing nations, and data on some sectors might be hard to come by or not available. </w:t>
      </w:r>
      <w:r w:rsidR="00541134">
        <w:rPr>
          <w:rFonts w:ascii="Arial" w:hAnsi="Arial" w:cs="Arial"/>
        </w:rPr>
        <w:t>U</w:t>
      </w:r>
      <w:r w:rsidRPr="00876F6F">
        <w:rPr>
          <w:rFonts w:ascii="Arial" w:hAnsi="Arial" w:cs="Arial"/>
        </w:rPr>
        <w:t>sing such approach with insufficient data could give incomplete and misleading results</w:t>
      </w:r>
      <w:r>
        <w:rPr>
          <w:rFonts w:ascii="Arial" w:hAnsi="Arial" w:cs="Arial"/>
        </w:rPr>
        <w:t>.</w:t>
      </w:r>
      <w:r w:rsidRPr="008662E8">
        <w:rPr>
          <w:rFonts w:ascii="Arial" w:hAnsi="Arial" w:cs="Arial"/>
          <w:lang w:val="en-US"/>
        </w:rPr>
        <w:t xml:space="preserve"> </w:t>
      </w:r>
      <w:r>
        <w:rPr>
          <w:rFonts w:ascii="Arial" w:hAnsi="Arial" w:cs="Arial"/>
          <w:lang w:val="en-US"/>
        </w:rPr>
        <w:t xml:space="preserve">As </w:t>
      </w:r>
      <w:r>
        <w:rPr>
          <w:rFonts w:ascii="Arial" w:hAnsi="Arial" w:cs="Arial"/>
          <w:lang w:val="en-US"/>
        </w:rPr>
        <w:lastRenderedPageBreak/>
        <w:t xml:space="preserve">such, to get a better inside the bilateral approach is used. </w:t>
      </w:r>
      <w:r w:rsidR="00013269">
        <w:rPr>
          <w:rFonts w:ascii="Arial" w:hAnsi="Arial" w:cs="Arial"/>
          <w:lang w:val="en-US"/>
        </w:rPr>
        <w:t xml:space="preserve">We begin the analysis with the </w:t>
      </w:r>
      <w:r w:rsidR="00DE2EEC">
        <w:rPr>
          <w:rFonts w:ascii="Arial" w:hAnsi="Arial" w:cs="Arial"/>
          <w:lang w:val="en-US"/>
        </w:rPr>
        <w:t xml:space="preserve">diagnostic </w:t>
      </w:r>
      <w:r w:rsidR="00013269">
        <w:rPr>
          <w:rFonts w:ascii="Arial" w:hAnsi="Arial" w:cs="Arial"/>
          <w:lang w:val="en-US"/>
        </w:rPr>
        <w:t>test</w:t>
      </w:r>
      <w:r w:rsidR="00D864D9">
        <w:rPr>
          <w:rFonts w:ascii="Arial" w:hAnsi="Arial" w:cs="Arial"/>
          <w:lang w:val="en-US"/>
        </w:rPr>
        <w:t>.</w:t>
      </w:r>
    </w:p>
    <w:p w14:paraId="625EDC09" w14:textId="706BF40F" w:rsidR="00DE2EEC" w:rsidRPr="0034077E" w:rsidRDefault="009A4D9D" w:rsidP="0066301C">
      <w:pPr>
        <w:pStyle w:val="Heading3"/>
        <w:numPr>
          <w:ilvl w:val="0"/>
          <w:numId w:val="0"/>
        </w:numPr>
        <w:spacing w:before="0" w:beforeAutospacing="0"/>
        <w:rPr>
          <w:lang w:val="en-US" w:eastAsia="en-GB"/>
        </w:rPr>
      </w:pPr>
      <w:bookmarkStart w:id="452" w:name="_Toc171075411"/>
      <w:r>
        <w:rPr>
          <w:lang w:val="en-US" w:eastAsia="en-GB"/>
        </w:rPr>
        <w:t>4</w:t>
      </w:r>
      <w:r w:rsidR="00DE2EEC" w:rsidRPr="0034077E">
        <w:rPr>
          <w:lang w:val="en-US" w:eastAsia="en-GB"/>
        </w:rPr>
        <w:t>.</w:t>
      </w:r>
      <w:r w:rsidR="00895839">
        <w:rPr>
          <w:lang w:val="en-US" w:eastAsia="en-GB"/>
        </w:rPr>
        <w:t>6</w:t>
      </w:r>
      <w:r w:rsidR="00DE2EEC" w:rsidRPr="0034077E">
        <w:rPr>
          <w:lang w:val="en-US" w:eastAsia="en-GB"/>
        </w:rPr>
        <w:t>.</w:t>
      </w:r>
      <w:r w:rsidR="00DE2EEC" w:rsidRPr="005818F3">
        <w:t>1</w:t>
      </w:r>
      <w:r w:rsidR="005818F3">
        <w:tab/>
      </w:r>
      <w:r w:rsidR="00DE2EEC" w:rsidRPr="005818F3">
        <w:t>DIAGNOSTIC</w:t>
      </w:r>
      <w:r w:rsidR="00DE2EEC" w:rsidRPr="0034077E">
        <w:rPr>
          <w:lang w:val="en-US" w:eastAsia="en-GB"/>
        </w:rPr>
        <w:t xml:space="preserve"> TEST RESULTS</w:t>
      </w:r>
      <w:bookmarkEnd w:id="452"/>
    </w:p>
    <w:p w14:paraId="4C9CA8CD" w14:textId="56E1F20B" w:rsidR="00C26082" w:rsidRDefault="00594B58" w:rsidP="0066301C">
      <w:pPr>
        <w:autoSpaceDE w:val="0"/>
        <w:autoSpaceDN w:val="0"/>
        <w:adjustRightInd w:val="0"/>
        <w:spacing w:after="0" w:line="360" w:lineRule="auto"/>
        <w:jc w:val="both"/>
        <w:rPr>
          <w:rFonts w:ascii="Arial" w:hAnsi="Arial" w:cs="Arial"/>
          <w:color w:val="000000"/>
        </w:rPr>
      </w:pPr>
      <w:r>
        <w:rPr>
          <w:rFonts w:ascii="Arial" w:eastAsia="Times New Roman" w:hAnsi="Arial" w:cs="Arial"/>
          <w:lang w:val="en-US" w:eastAsia="en-GB"/>
        </w:rPr>
        <w:t>To</w:t>
      </w:r>
      <w:r w:rsidR="00DE2EEC">
        <w:rPr>
          <w:rFonts w:ascii="Arial" w:eastAsia="Times New Roman" w:hAnsi="Arial" w:cs="Arial"/>
          <w:lang w:val="en-US" w:eastAsia="en-GB"/>
        </w:rPr>
        <w:t xml:space="preserve"> assess that the data used in this section are good</w:t>
      </w:r>
      <w:r w:rsidR="00DE2EEC" w:rsidRPr="00262803">
        <w:rPr>
          <w:rFonts w:ascii="Arial" w:eastAsia="Times New Roman" w:hAnsi="Arial" w:cs="Arial"/>
          <w:lang w:val="en-US" w:eastAsia="en-GB"/>
        </w:rPr>
        <w:t xml:space="preserve">, the following diagnostic tests </w:t>
      </w:r>
      <w:r w:rsidR="00DE2EEC">
        <w:rPr>
          <w:rFonts w:ascii="Arial" w:eastAsia="Times New Roman" w:hAnsi="Arial" w:cs="Arial"/>
          <w:lang w:val="en-US" w:eastAsia="en-GB"/>
        </w:rPr>
        <w:t>were performed; normality test,</w:t>
      </w:r>
      <w:r w:rsidR="00DE2EEC" w:rsidRPr="00262803">
        <w:rPr>
          <w:rFonts w:ascii="Arial" w:eastAsia="Times New Roman" w:hAnsi="Arial" w:cs="Arial"/>
          <w:lang w:val="en-US" w:eastAsia="en-GB"/>
        </w:rPr>
        <w:t xml:space="preserve"> serial correlation </w:t>
      </w:r>
      <w:r w:rsidR="00DE2EEC">
        <w:rPr>
          <w:rFonts w:ascii="Arial" w:eastAsia="Times New Roman" w:hAnsi="Arial" w:cs="Arial"/>
          <w:lang w:val="en-US" w:eastAsia="en-GB"/>
        </w:rPr>
        <w:t xml:space="preserve">(autocorrelation) </w:t>
      </w:r>
      <w:r w:rsidR="00DE2EEC" w:rsidRPr="00262803">
        <w:rPr>
          <w:rFonts w:ascii="Arial" w:eastAsia="Times New Roman" w:hAnsi="Arial" w:cs="Arial"/>
          <w:lang w:val="en-US" w:eastAsia="en-GB"/>
        </w:rPr>
        <w:t>test</w:t>
      </w:r>
      <w:r w:rsidR="00DE2EEC">
        <w:rPr>
          <w:rFonts w:ascii="Arial" w:eastAsia="Times New Roman" w:hAnsi="Arial" w:cs="Arial"/>
          <w:lang w:val="en-US" w:eastAsia="en-GB"/>
        </w:rPr>
        <w:t>,</w:t>
      </w:r>
      <w:r w:rsidR="00DE2EEC" w:rsidRPr="00262803">
        <w:rPr>
          <w:rFonts w:ascii="Arial" w:eastAsia="Times New Roman" w:hAnsi="Arial" w:cs="Arial"/>
          <w:lang w:val="en-US" w:eastAsia="en-GB"/>
        </w:rPr>
        <w:t xml:space="preserve"> </w:t>
      </w:r>
      <w:r w:rsidR="00DE2EEC" w:rsidRPr="00262803">
        <w:rPr>
          <w:rFonts w:ascii="Arial" w:hAnsi="Arial" w:cs="Arial"/>
        </w:rPr>
        <w:t>and heteroskedasticity test</w:t>
      </w:r>
      <w:r w:rsidR="00DE2EEC" w:rsidRPr="00262803">
        <w:rPr>
          <w:rFonts w:ascii="Arial" w:eastAsia="Times New Roman" w:hAnsi="Arial" w:cs="Arial"/>
          <w:lang w:val="en-US" w:eastAsia="en-GB"/>
        </w:rPr>
        <w:t xml:space="preserve">. </w:t>
      </w:r>
      <w:r w:rsidR="00DE2EEC" w:rsidRPr="00262803">
        <w:rPr>
          <w:rFonts w:ascii="Arial" w:hAnsi="Arial" w:cs="Arial"/>
        </w:rPr>
        <w:t xml:space="preserve">The </w:t>
      </w:r>
      <w:r w:rsidR="00DE2EEC">
        <w:rPr>
          <w:rFonts w:ascii="Arial" w:hAnsi="Arial" w:cs="Arial"/>
        </w:rPr>
        <w:t xml:space="preserve">normality test is a test to see if the data are normally distributed as </w:t>
      </w:r>
      <w:r w:rsidR="009664D1">
        <w:rPr>
          <w:rFonts w:ascii="Arial" w:hAnsi="Arial" w:cs="Arial"/>
        </w:rPr>
        <w:t xml:space="preserve">earlier </w:t>
      </w:r>
      <w:r w:rsidR="00DE2EEC">
        <w:rPr>
          <w:rFonts w:ascii="Arial" w:hAnsi="Arial" w:cs="Arial"/>
        </w:rPr>
        <w:t xml:space="preserve">explained. The </w:t>
      </w:r>
      <w:r w:rsidR="00DE2EEC" w:rsidRPr="00262803">
        <w:rPr>
          <w:rFonts w:ascii="Arial" w:hAnsi="Arial" w:cs="Arial"/>
        </w:rPr>
        <w:t xml:space="preserve">normality test result </w:t>
      </w:r>
      <w:r w:rsidR="008459CE">
        <w:rPr>
          <w:rFonts w:ascii="Arial" w:hAnsi="Arial" w:cs="Arial"/>
        </w:rPr>
        <w:t>(</w:t>
      </w:r>
      <w:r w:rsidR="008459CE" w:rsidRPr="00262803">
        <w:rPr>
          <w:rFonts w:ascii="Arial" w:hAnsi="Arial" w:cs="Arial"/>
        </w:rPr>
        <w:t>Jarque-Bera test</w:t>
      </w:r>
      <w:r w:rsidR="008459CE">
        <w:rPr>
          <w:rFonts w:ascii="Arial" w:hAnsi="Arial" w:cs="Arial"/>
        </w:rPr>
        <w:t xml:space="preserve">) </w:t>
      </w:r>
      <w:r w:rsidR="00DE2EEC" w:rsidRPr="00262803">
        <w:rPr>
          <w:rFonts w:ascii="Arial" w:hAnsi="Arial" w:cs="Arial"/>
        </w:rPr>
        <w:t xml:space="preserve">is </w:t>
      </w:r>
      <w:r w:rsidR="008459CE">
        <w:rPr>
          <w:rFonts w:ascii="Arial" w:hAnsi="Arial" w:cs="Arial"/>
        </w:rPr>
        <w:t xml:space="preserve">said to be normally distributed when its </w:t>
      </w:r>
      <w:r w:rsidR="008459CE" w:rsidRPr="00262803">
        <w:rPr>
          <w:rFonts w:ascii="Arial" w:hAnsi="Arial" w:cs="Arial"/>
          <w:i/>
        </w:rPr>
        <w:t>p-</w:t>
      </w:r>
      <w:r w:rsidR="008459CE" w:rsidRPr="00262803">
        <w:rPr>
          <w:rFonts w:ascii="Arial" w:hAnsi="Arial" w:cs="Arial"/>
        </w:rPr>
        <w:t>value &gt; 0.05</w:t>
      </w:r>
      <w:r w:rsidR="00C26082">
        <w:rPr>
          <w:rFonts w:ascii="Arial" w:hAnsi="Arial" w:cs="Arial"/>
        </w:rPr>
        <w:t>,</w:t>
      </w:r>
      <w:r w:rsidR="008459CE" w:rsidRPr="00262803">
        <w:rPr>
          <w:rFonts w:ascii="Arial" w:hAnsi="Arial" w:cs="Arial"/>
        </w:rPr>
        <w:t xml:space="preserve"> impl</w:t>
      </w:r>
      <w:r w:rsidR="00C26082">
        <w:rPr>
          <w:rFonts w:ascii="Arial" w:hAnsi="Arial" w:cs="Arial"/>
        </w:rPr>
        <w:t>ying</w:t>
      </w:r>
      <w:r w:rsidR="008459CE" w:rsidRPr="00262803">
        <w:rPr>
          <w:rFonts w:ascii="Arial" w:hAnsi="Arial" w:cs="Arial"/>
        </w:rPr>
        <w:t xml:space="preserve"> that the residuals are normally distributed, and vice versa if the </w:t>
      </w:r>
      <w:r w:rsidR="008459CE" w:rsidRPr="00262803">
        <w:rPr>
          <w:rFonts w:ascii="Arial" w:hAnsi="Arial" w:cs="Arial"/>
          <w:i/>
        </w:rPr>
        <w:t>p-</w:t>
      </w:r>
      <w:r w:rsidR="008459CE" w:rsidRPr="00262803">
        <w:rPr>
          <w:rFonts w:ascii="Arial" w:hAnsi="Arial" w:cs="Arial"/>
        </w:rPr>
        <w:t>value &lt; 0.05.</w:t>
      </w:r>
      <w:r w:rsidR="00C26082">
        <w:rPr>
          <w:rFonts w:ascii="Arial" w:hAnsi="Arial" w:cs="Arial"/>
        </w:rPr>
        <w:t xml:space="preserve"> </w:t>
      </w:r>
      <w:r w:rsidR="00C26082">
        <w:rPr>
          <w:rFonts w:ascii="Arial" w:eastAsia="Times New Roman" w:hAnsi="Arial" w:cs="Arial"/>
          <w:lang w:val="en-US" w:eastAsia="en-GB"/>
        </w:rPr>
        <w:t xml:space="preserve">The autocorrelation test </w:t>
      </w:r>
      <w:r w:rsidR="00C26082">
        <w:rPr>
          <w:rFonts w:ascii="Arial" w:hAnsi="Arial" w:cs="Arial"/>
          <w:color w:val="212121"/>
          <w:sz w:val="20"/>
          <w:szCs w:val="20"/>
          <w:shd w:val="clear" w:color="auto" w:fill="FFFFFF"/>
        </w:rPr>
        <w:t xml:space="preserve">(Breusch-Godfrey test) </w:t>
      </w:r>
      <w:r w:rsidR="00C26082">
        <w:rPr>
          <w:rFonts w:ascii="Arial" w:eastAsia="Times New Roman" w:hAnsi="Arial" w:cs="Arial"/>
          <w:lang w:val="en-US" w:eastAsia="en-GB"/>
        </w:rPr>
        <w:t>is to test that past value of a time series do not influence the present value. T</w:t>
      </w:r>
      <w:r w:rsidR="00C26082" w:rsidRPr="00262803">
        <w:rPr>
          <w:rFonts w:ascii="Arial" w:hAnsi="Arial" w:cs="Arial"/>
          <w:color w:val="000000"/>
        </w:rPr>
        <w:t xml:space="preserve">he null hypothesis states that the model is not having serial correlation (meaning that error in one period does not depend on error in previous periods), and this is confirmed when the </w:t>
      </w:r>
      <w:r w:rsidR="00C26082" w:rsidRPr="00262803">
        <w:rPr>
          <w:rFonts w:ascii="Arial" w:hAnsi="Arial" w:cs="Arial"/>
          <w:i/>
          <w:color w:val="000000"/>
        </w:rPr>
        <w:t>p-</w:t>
      </w:r>
      <w:r w:rsidR="00C26082" w:rsidRPr="00262803">
        <w:rPr>
          <w:rFonts w:ascii="Arial" w:hAnsi="Arial" w:cs="Arial"/>
          <w:color w:val="000000"/>
        </w:rPr>
        <w:t>value &gt; 0.05</w:t>
      </w:r>
      <w:r w:rsidR="00C26082">
        <w:rPr>
          <w:rFonts w:ascii="Arial" w:hAnsi="Arial" w:cs="Arial"/>
          <w:color w:val="000000"/>
        </w:rPr>
        <w:t xml:space="preserve"> and vice versa</w:t>
      </w:r>
      <w:r w:rsidR="00C26082" w:rsidRPr="00262803">
        <w:rPr>
          <w:rFonts w:ascii="Arial" w:hAnsi="Arial" w:cs="Arial"/>
          <w:color w:val="000000"/>
        </w:rPr>
        <w:t>.</w:t>
      </w:r>
    </w:p>
    <w:p w14:paraId="03708D7E" w14:textId="72B561BC" w:rsidR="00852F9B" w:rsidRDefault="00852F9B" w:rsidP="0066301C">
      <w:pPr>
        <w:autoSpaceDE w:val="0"/>
        <w:autoSpaceDN w:val="0"/>
        <w:adjustRightInd w:val="0"/>
        <w:spacing w:after="0" w:line="360" w:lineRule="auto"/>
        <w:jc w:val="both"/>
        <w:rPr>
          <w:rFonts w:ascii="Arial" w:hAnsi="Arial" w:cs="Arial"/>
        </w:rPr>
      </w:pPr>
      <w:r>
        <w:rPr>
          <w:rFonts w:ascii="Arial" w:hAnsi="Arial" w:cs="Arial"/>
        </w:rPr>
        <w:t>Heteroscedasticity test (</w:t>
      </w:r>
      <w:r>
        <w:rPr>
          <w:rFonts w:ascii="Arial" w:hAnsi="Arial" w:cs="Arial"/>
          <w:sz w:val="20"/>
          <w:szCs w:val="20"/>
        </w:rPr>
        <w:t>Breusch-Pagan test)</w:t>
      </w:r>
      <w:r>
        <w:rPr>
          <w:rFonts w:ascii="Arial" w:hAnsi="Arial" w:cs="Arial"/>
        </w:rPr>
        <w:t xml:space="preserve"> is a test to ensure that the variances of the model are homogeneous and that the error of the model are identically distributed</w:t>
      </w:r>
      <w:r w:rsidR="007936B0">
        <w:rPr>
          <w:rFonts w:ascii="Arial" w:hAnsi="Arial" w:cs="Arial"/>
        </w:rPr>
        <w:t xml:space="preserve">. This is confirmed when the </w:t>
      </w:r>
      <w:r w:rsidR="007936B0" w:rsidRPr="00262803">
        <w:rPr>
          <w:rFonts w:ascii="Arial" w:hAnsi="Arial" w:cs="Arial"/>
          <w:i/>
          <w:color w:val="000000"/>
        </w:rPr>
        <w:t>p-</w:t>
      </w:r>
      <w:r w:rsidR="007936B0" w:rsidRPr="00262803">
        <w:rPr>
          <w:rFonts w:ascii="Arial" w:hAnsi="Arial" w:cs="Arial"/>
          <w:color w:val="000000"/>
        </w:rPr>
        <w:t>value &gt; 0.05</w:t>
      </w:r>
      <w:r w:rsidR="007936B0">
        <w:rPr>
          <w:rFonts w:ascii="Arial" w:hAnsi="Arial" w:cs="Arial"/>
          <w:color w:val="000000"/>
        </w:rPr>
        <w:t xml:space="preserve"> and vice versa.</w:t>
      </w:r>
      <w:r w:rsidR="007936B0">
        <w:rPr>
          <w:rFonts w:ascii="Arial" w:hAnsi="Arial" w:cs="Arial"/>
        </w:rPr>
        <w:t xml:space="preserve"> </w:t>
      </w:r>
      <w:r w:rsidRPr="00262803">
        <w:rPr>
          <w:rFonts w:ascii="Arial" w:hAnsi="Arial" w:cs="Arial"/>
          <w:color w:val="000000"/>
        </w:rPr>
        <w:t xml:space="preserve">The </w:t>
      </w:r>
      <w:r>
        <w:rPr>
          <w:rFonts w:ascii="Arial" w:hAnsi="Arial" w:cs="Arial"/>
          <w:color w:val="000000"/>
        </w:rPr>
        <w:t>diagnostic</w:t>
      </w:r>
      <w:r w:rsidRPr="00262803">
        <w:rPr>
          <w:rFonts w:ascii="Arial" w:hAnsi="Arial" w:cs="Arial"/>
          <w:color w:val="000000"/>
        </w:rPr>
        <w:t xml:space="preserve"> test for the three </w:t>
      </w:r>
      <w:r w:rsidRPr="00262803">
        <w:rPr>
          <w:rFonts w:ascii="Arial" w:hAnsi="Arial" w:cs="Arial"/>
        </w:rPr>
        <w:t xml:space="preserve">nations is summarize </w:t>
      </w:r>
      <w:r w:rsidR="003328A7">
        <w:rPr>
          <w:rFonts w:ascii="Arial" w:hAnsi="Arial" w:cs="Arial"/>
        </w:rPr>
        <w:t>l</w:t>
      </w:r>
      <w:r w:rsidR="007936B0">
        <w:rPr>
          <w:rFonts w:ascii="Arial" w:hAnsi="Arial" w:cs="Arial"/>
        </w:rPr>
        <w:t>n the table</w:t>
      </w:r>
      <w:r w:rsidR="007936B0" w:rsidRPr="00262803">
        <w:rPr>
          <w:rFonts w:ascii="Arial" w:hAnsi="Arial" w:cs="Arial"/>
        </w:rPr>
        <w:t xml:space="preserve"> below</w:t>
      </w:r>
      <w:r w:rsidR="007936B0">
        <w:rPr>
          <w:rFonts w:ascii="Arial" w:hAnsi="Arial" w:cs="Arial"/>
        </w:rPr>
        <w:t>.</w:t>
      </w:r>
    </w:p>
    <w:p w14:paraId="671E42AB" w14:textId="77777777" w:rsidR="007B5321" w:rsidRDefault="007B5321" w:rsidP="0066301C">
      <w:pPr>
        <w:autoSpaceDE w:val="0"/>
        <w:autoSpaceDN w:val="0"/>
        <w:adjustRightInd w:val="0"/>
        <w:spacing w:after="0" w:line="360" w:lineRule="auto"/>
        <w:jc w:val="both"/>
        <w:rPr>
          <w:rFonts w:ascii="Arial" w:hAnsi="Arial" w:cs="Arial"/>
        </w:rPr>
      </w:pPr>
    </w:p>
    <w:p w14:paraId="3CD670EC" w14:textId="77777777" w:rsidR="007B5321" w:rsidRDefault="007B5321" w:rsidP="0066301C">
      <w:pPr>
        <w:autoSpaceDE w:val="0"/>
        <w:autoSpaceDN w:val="0"/>
        <w:adjustRightInd w:val="0"/>
        <w:spacing w:after="0" w:line="360" w:lineRule="auto"/>
        <w:jc w:val="both"/>
        <w:rPr>
          <w:rFonts w:ascii="Arial" w:hAnsi="Arial" w:cs="Arial"/>
        </w:rPr>
      </w:pPr>
    </w:p>
    <w:p w14:paraId="4297A799" w14:textId="77777777" w:rsidR="007B5321" w:rsidRDefault="007B5321" w:rsidP="0066301C">
      <w:pPr>
        <w:autoSpaceDE w:val="0"/>
        <w:autoSpaceDN w:val="0"/>
        <w:adjustRightInd w:val="0"/>
        <w:spacing w:after="0" w:line="360" w:lineRule="auto"/>
        <w:jc w:val="both"/>
        <w:rPr>
          <w:rFonts w:ascii="Arial" w:hAnsi="Arial" w:cs="Arial"/>
        </w:rPr>
      </w:pPr>
    </w:p>
    <w:p w14:paraId="78F0AA72" w14:textId="3F1B1D2A" w:rsidR="00DE2EEC" w:rsidRPr="00262803" w:rsidRDefault="00DE2EEC" w:rsidP="0066301C">
      <w:pPr>
        <w:pStyle w:val="ListParagraph"/>
        <w:autoSpaceDE w:val="0"/>
        <w:autoSpaceDN w:val="0"/>
        <w:adjustRightInd w:val="0"/>
        <w:spacing w:after="0" w:line="240" w:lineRule="auto"/>
        <w:ind w:left="0"/>
        <w:jc w:val="both"/>
        <w:rPr>
          <w:rFonts w:ascii="Arial" w:hAnsi="Arial" w:cs="Arial"/>
        </w:rPr>
      </w:pPr>
      <w:bookmarkStart w:id="453" w:name="_Hlk134475354"/>
      <w:r w:rsidRPr="00D535FB">
        <w:rPr>
          <w:rFonts w:ascii="Arial" w:hAnsi="Arial" w:cs="Arial"/>
          <w:b/>
        </w:rPr>
        <w:t xml:space="preserve">Table </w:t>
      </w:r>
      <w:r w:rsidR="009B5879" w:rsidRPr="00D535FB">
        <w:rPr>
          <w:rFonts w:ascii="Arial" w:hAnsi="Arial" w:cs="Arial"/>
          <w:b/>
        </w:rPr>
        <w:t>4</w:t>
      </w:r>
      <w:r w:rsidRPr="00D535FB">
        <w:rPr>
          <w:rFonts w:ascii="Arial" w:hAnsi="Arial" w:cs="Arial"/>
          <w:b/>
        </w:rPr>
        <w:t>.1:</w:t>
      </w:r>
      <w:r w:rsidRPr="00262803">
        <w:rPr>
          <w:rFonts w:ascii="Arial" w:hAnsi="Arial" w:cs="Arial"/>
          <w:b/>
        </w:rPr>
        <w:t xml:space="preserve"> </w:t>
      </w:r>
      <w:r w:rsidR="007936B0">
        <w:rPr>
          <w:rFonts w:ascii="Arial" w:hAnsi="Arial" w:cs="Arial"/>
          <w:b/>
        </w:rPr>
        <w:t>Diagnostic</w:t>
      </w:r>
      <w:r w:rsidRPr="00262803">
        <w:rPr>
          <w:rFonts w:ascii="Arial" w:hAnsi="Arial" w:cs="Arial"/>
          <w:b/>
        </w:rPr>
        <w:t xml:space="preserve"> Test Result</w:t>
      </w:r>
      <w:r w:rsidR="00B76C3A">
        <w:rPr>
          <w:rFonts w:ascii="Arial" w:hAnsi="Arial" w:cs="Arial"/>
          <w:b/>
        </w:rPr>
        <w:t>s</w:t>
      </w:r>
    </w:p>
    <w:tbl>
      <w:tblPr>
        <w:tblStyle w:val="TableGrid"/>
        <w:tblW w:w="0" w:type="auto"/>
        <w:tblLook w:val="04A0" w:firstRow="1" w:lastRow="0" w:firstColumn="1" w:lastColumn="0" w:noHBand="0" w:noVBand="1"/>
      </w:tblPr>
      <w:tblGrid>
        <w:gridCol w:w="1354"/>
        <w:gridCol w:w="2014"/>
        <w:gridCol w:w="1244"/>
        <w:gridCol w:w="981"/>
        <w:gridCol w:w="1004"/>
        <w:gridCol w:w="1421"/>
        <w:gridCol w:w="998"/>
      </w:tblGrid>
      <w:tr w:rsidR="008463FB" w14:paraId="473E6FA2" w14:textId="77777777" w:rsidTr="008463FB">
        <w:tc>
          <w:tcPr>
            <w:tcW w:w="9016" w:type="dxa"/>
            <w:gridSpan w:val="7"/>
          </w:tcPr>
          <w:p w14:paraId="135BE3CA" w14:textId="77777777" w:rsidR="008463FB" w:rsidRPr="00377F13" w:rsidRDefault="008463FB" w:rsidP="0066301C">
            <w:pPr>
              <w:pStyle w:val="NoSpacing"/>
              <w:jc w:val="center"/>
              <w:rPr>
                <w:b/>
              </w:rPr>
            </w:pPr>
            <w:r w:rsidRPr="00377F13">
              <w:rPr>
                <w:b/>
              </w:rPr>
              <w:t>Cameroon</w:t>
            </w:r>
          </w:p>
        </w:tc>
      </w:tr>
      <w:tr w:rsidR="008463FB" w14:paraId="29160C64" w14:textId="77777777" w:rsidTr="008463FB">
        <w:tc>
          <w:tcPr>
            <w:tcW w:w="1354" w:type="dxa"/>
            <w:vMerge w:val="restart"/>
          </w:tcPr>
          <w:p w14:paraId="414D7CFB" w14:textId="77777777" w:rsidR="008463FB" w:rsidRPr="00262803" w:rsidRDefault="008463FB" w:rsidP="0066301C">
            <w:pPr>
              <w:pStyle w:val="NoSpacing"/>
              <w:jc w:val="both"/>
              <w:rPr>
                <w:rFonts w:ascii="Arial" w:hAnsi="Arial" w:cs="Arial"/>
              </w:rPr>
            </w:pPr>
            <w:r w:rsidRPr="00262803">
              <w:rPr>
                <w:rFonts w:ascii="Arial" w:eastAsia="Times New Roman" w:hAnsi="Arial" w:cs="Arial"/>
                <w:color w:val="000000"/>
                <w:lang w:eastAsia="en-GB"/>
              </w:rPr>
              <w:t>Component</w:t>
            </w:r>
          </w:p>
        </w:tc>
        <w:tc>
          <w:tcPr>
            <w:tcW w:w="2014" w:type="dxa"/>
            <w:vMerge w:val="restart"/>
          </w:tcPr>
          <w:p w14:paraId="54C08EEF" w14:textId="77777777" w:rsidR="008463FB" w:rsidRPr="00262803" w:rsidRDefault="008463FB" w:rsidP="0066301C">
            <w:pPr>
              <w:pStyle w:val="NoSpacing"/>
              <w:jc w:val="both"/>
              <w:rPr>
                <w:rFonts w:ascii="Arial" w:hAnsi="Arial" w:cs="Arial"/>
              </w:rPr>
            </w:pPr>
            <w:r>
              <w:rPr>
                <w:rFonts w:ascii="Arial" w:hAnsi="Arial" w:cs="Arial"/>
                <w:b/>
              </w:rPr>
              <w:t>Diagnostic Test</w:t>
            </w:r>
          </w:p>
        </w:tc>
        <w:tc>
          <w:tcPr>
            <w:tcW w:w="1244" w:type="dxa"/>
          </w:tcPr>
          <w:p w14:paraId="7A385A49" w14:textId="77777777" w:rsidR="008463FB" w:rsidRPr="00262803" w:rsidRDefault="008463FB" w:rsidP="0066301C">
            <w:pPr>
              <w:pStyle w:val="NoSpacing"/>
              <w:jc w:val="both"/>
              <w:rPr>
                <w:rFonts w:ascii="Arial" w:hAnsi="Arial" w:cs="Arial"/>
              </w:rPr>
            </w:pPr>
            <w:r w:rsidRPr="00262803">
              <w:rPr>
                <w:rFonts w:ascii="Arial" w:hAnsi="Arial" w:cs="Arial"/>
              </w:rPr>
              <w:t>China</w:t>
            </w:r>
          </w:p>
        </w:tc>
        <w:tc>
          <w:tcPr>
            <w:tcW w:w="981" w:type="dxa"/>
          </w:tcPr>
          <w:p w14:paraId="5EEC9F33" w14:textId="77777777" w:rsidR="008463FB" w:rsidRPr="00262803" w:rsidRDefault="008463FB" w:rsidP="0066301C">
            <w:pPr>
              <w:pStyle w:val="NoSpacing"/>
              <w:jc w:val="both"/>
              <w:rPr>
                <w:rFonts w:ascii="Arial" w:hAnsi="Arial" w:cs="Arial"/>
              </w:rPr>
            </w:pPr>
            <w:r w:rsidRPr="00262803">
              <w:rPr>
                <w:rFonts w:ascii="Arial" w:hAnsi="Arial" w:cs="Arial"/>
              </w:rPr>
              <w:t>France</w:t>
            </w:r>
          </w:p>
        </w:tc>
        <w:tc>
          <w:tcPr>
            <w:tcW w:w="1004" w:type="dxa"/>
          </w:tcPr>
          <w:p w14:paraId="36A44AF5" w14:textId="77777777" w:rsidR="008463FB" w:rsidRPr="00262803" w:rsidRDefault="008463FB" w:rsidP="0066301C">
            <w:pPr>
              <w:pStyle w:val="NoSpacing"/>
              <w:jc w:val="both"/>
              <w:rPr>
                <w:rFonts w:ascii="Arial" w:hAnsi="Arial" w:cs="Arial"/>
              </w:rPr>
            </w:pPr>
            <w:r w:rsidRPr="00262803">
              <w:rPr>
                <w:rFonts w:ascii="Arial" w:hAnsi="Arial" w:cs="Arial"/>
              </w:rPr>
              <w:t xml:space="preserve">India </w:t>
            </w:r>
          </w:p>
        </w:tc>
        <w:tc>
          <w:tcPr>
            <w:tcW w:w="1421" w:type="dxa"/>
          </w:tcPr>
          <w:p w14:paraId="57DC7444" w14:textId="77777777" w:rsidR="008463FB" w:rsidRPr="00262803" w:rsidRDefault="008463FB" w:rsidP="0066301C">
            <w:pPr>
              <w:pStyle w:val="NoSpacing"/>
              <w:jc w:val="both"/>
              <w:rPr>
                <w:rFonts w:ascii="Arial" w:hAnsi="Arial" w:cs="Arial"/>
              </w:rPr>
            </w:pPr>
            <w:r w:rsidRPr="00262803">
              <w:rPr>
                <w:rFonts w:ascii="Arial" w:hAnsi="Arial" w:cs="Arial"/>
              </w:rPr>
              <w:t>Netherlands</w:t>
            </w:r>
          </w:p>
        </w:tc>
        <w:tc>
          <w:tcPr>
            <w:tcW w:w="998" w:type="dxa"/>
          </w:tcPr>
          <w:p w14:paraId="3F6537AF" w14:textId="77777777" w:rsidR="008463FB" w:rsidRPr="00262803" w:rsidRDefault="008463FB" w:rsidP="0066301C">
            <w:pPr>
              <w:pStyle w:val="NoSpacing"/>
              <w:jc w:val="both"/>
              <w:rPr>
                <w:rFonts w:ascii="Arial" w:hAnsi="Arial" w:cs="Arial"/>
              </w:rPr>
            </w:pPr>
            <w:r w:rsidRPr="00262803">
              <w:rPr>
                <w:rFonts w:ascii="Arial" w:hAnsi="Arial" w:cs="Arial"/>
              </w:rPr>
              <w:t>Spain</w:t>
            </w:r>
          </w:p>
        </w:tc>
      </w:tr>
      <w:tr w:rsidR="008463FB" w14:paraId="2821088C" w14:textId="77777777" w:rsidTr="008463FB">
        <w:tc>
          <w:tcPr>
            <w:tcW w:w="1354" w:type="dxa"/>
            <w:vMerge/>
          </w:tcPr>
          <w:p w14:paraId="4DE62DAC" w14:textId="77777777" w:rsidR="008463FB" w:rsidRPr="00262803" w:rsidRDefault="008463FB" w:rsidP="0066301C">
            <w:pPr>
              <w:pStyle w:val="NoSpacing"/>
              <w:jc w:val="both"/>
              <w:rPr>
                <w:rFonts w:ascii="Arial" w:hAnsi="Arial" w:cs="Arial"/>
              </w:rPr>
            </w:pPr>
          </w:p>
        </w:tc>
        <w:tc>
          <w:tcPr>
            <w:tcW w:w="2014" w:type="dxa"/>
            <w:vMerge/>
          </w:tcPr>
          <w:p w14:paraId="1272F50E" w14:textId="77777777" w:rsidR="008463FB" w:rsidRPr="00262803" w:rsidRDefault="008463FB" w:rsidP="0066301C">
            <w:pPr>
              <w:pStyle w:val="NoSpacing"/>
              <w:jc w:val="both"/>
              <w:rPr>
                <w:rFonts w:ascii="Arial" w:hAnsi="Arial" w:cs="Arial"/>
              </w:rPr>
            </w:pPr>
          </w:p>
        </w:tc>
        <w:tc>
          <w:tcPr>
            <w:tcW w:w="1244" w:type="dxa"/>
          </w:tcPr>
          <w:p w14:paraId="5F2FDE32" w14:textId="77777777" w:rsidR="008463FB" w:rsidRPr="00262803" w:rsidRDefault="008463FB" w:rsidP="0066301C">
            <w:pPr>
              <w:pStyle w:val="NoSpacing"/>
              <w:jc w:val="both"/>
              <w:rPr>
                <w:rFonts w:ascii="Arial" w:hAnsi="Arial" w:cs="Arial"/>
              </w:rPr>
            </w:pPr>
            <w:r w:rsidRPr="00262803">
              <w:rPr>
                <w:rFonts w:ascii="Arial" w:hAnsi="Arial" w:cs="Arial"/>
                <w:i/>
              </w:rPr>
              <w:t>p-</w:t>
            </w:r>
            <w:r w:rsidRPr="00262803">
              <w:rPr>
                <w:rFonts w:ascii="Arial" w:hAnsi="Arial" w:cs="Arial"/>
              </w:rPr>
              <w:t>value</w:t>
            </w:r>
          </w:p>
        </w:tc>
        <w:tc>
          <w:tcPr>
            <w:tcW w:w="981" w:type="dxa"/>
          </w:tcPr>
          <w:p w14:paraId="4A6C0246" w14:textId="77777777" w:rsidR="008463FB" w:rsidRPr="00262803" w:rsidRDefault="008463FB" w:rsidP="0066301C">
            <w:pPr>
              <w:pStyle w:val="NoSpacing"/>
              <w:jc w:val="both"/>
              <w:rPr>
                <w:rFonts w:ascii="Arial" w:hAnsi="Arial" w:cs="Arial"/>
              </w:rPr>
            </w:pPr>
            <w:r w:rsidRPr="00262803">
              <w:rPr>
                <w:rFonts w:ascii="Arial" w:hAnsi="Arial" w:cs="Arial"/>
                <w:i/>
              </w:rPr>
              <w:t>p-</w:t>
            </w:r>
            <w:r w:rsidRPr="00262803">
              <w:rPr>
                <w:rFonts w:ascii="Arial" w:hAnsi="Arial" w:cs="Arial"/>
              </w:rPr>
              <w:t>value</w:t>
            </w:r>
          </w:p>
        </w:tc>
        <w:tc>
          <w:tcPr>
            <w:tcW w:w="1004" w:type="dxa"/>
          </w:tcPr>
          <w:p w14:paraId="2CA016AA" w14:textId="77777777" w:rsidR="008463FB" w:rsidRPr="00262803" w:rsidRDefault="008463FB" w:rsidP="0066301C">
            <w:pPr>
              <w:pStyle w:val="NoSpacing"/>
              <w:jc w:val="both"/>
              <w:rPr>
                <w:rFonts w:ascii="Arial" w:hAnsi="Arial" w:cs="Arial"/>
              </w:rPr>
            </w:pPr>
            <w:r w:rsidRPr="00262803">
              <w:rPr>
                <w:rFonts w:ascii="Arial" w:hAnsi="Arial" w:cs="Arial"/>
                <w:i/>
              </w:rPr>
              <w:t>p-</w:t>
            </w:r>
            <w:r w:rsidRPr="00262803">
              <w:rPr>
                <w:rFonts w:ascii="Arial" w:hAnsi="Arial" w:cs="Arial"/>
              </w:rPr>
              <w:t>value</w:t>
            </w:r>
          </w:p>
        </w:tc>
        <w:tc>
          <w:tcPr>
            <w:tcW w:w="1421" w:type="dxa"/>
          </w:tcPr>
          <w:p w14:paraId="14924C6E" w14:textId="77777777" w:rsidR="008463FB" w:rsidRPr="00262803" w:rsidRDefault="008463FB" w:rsidP="0066301C">
            <w:pPr>
              <w:pStyle w:val="NoSpacing"/>
              <w:jc w:val="both"/>
              <w:rPr>
                <w:rFonts w:ascii="Arial" w:hAnsi="Arial" w:cs="Arial"/>
              </w:rPr>
            </w:pPr>
            <w:r w:rsidRPr="00262803">
              <w:rPr>
                <w:rFonts w:ascii="Arial" w:hAnsi="Arial" w:cs="Arial"/>
                <w:i/>
              </w:rPr>
              <w:t>p-</w:t>
            </w:r>
            <w:r w:rsidRPr="00262803">
              <w:rPr>
                <w:rFonts w:ascii="Arial" w:hAnsi="Arial" w:cs="Arial"/>
              </w:rPr>
              <w:t>value</w:t>
            </w:r>
          </w:p>
        </w:tc>
        <w:tc>
          <w:tcPr>
            <w:tcW w:w="998" w:type="dxa"/>
          </w:tcPr>
          <w:p w14:paraId="4B8AD52D" w14:textId="77777777" w:rsidR="008463FB" w:rsidRPr="00262803" w:rsidRDefault="008463FB" w:rsidP="0066301C">
            <w:pPr>
              <w:pStyle w:val="NoSpacing"/>
              <w:jc w:val="both"/>
              <w:rPr>
                <w:rFonts w:ascii="Arial" w:hAnsi="Arial" w:cs="Arial"/>
              </w:rPr>
            </w:pPr>
            <w:r w:rsidRPr="00262803">
              <w:rPr>
                <w:rFonts w:ascii="Arial" w:hAnsi="Arial" w:cs="Arial"/>
                <w:i/>
              </w:rPr>
              <w:t>p-</w:t>
            </w:r>
            <w:r w:rsidRPr="00262803">
              <w:rPr>
                <w:rFonts w:ascii="Arial" w:hAnsi="Arial" w:cs="Arial"/>
              </w:rPr>
              <w:t>value</w:t>
            </w:r>
          </w:p>
        </w:tc>
      </w:tr>
      <w:tr w:rsidR="008463FB" w14:paraId="711C002A" w14:textId="77777777" w:rsidTr="008463FB">
        <w:tc>
          <w:tcPr>
            <w:tcW w:w="1354" w:type="dxa"/>
          </w:tcPr>
          <w:p w14:paraId="1651BD9A" w14:textId="77777777" w:rsidR="008463FB" w:rsidRPr="00262803" w:rsidRDefault="008463FB" w:rsidP="0066301C">
            <w:pPr>
              <w:pStyle w:val="NoSpacing"/>
              <w:jc w:val="center"/>
              <w:rPr>
                <w:rFonts w:ascii="Arial" w:hAnsi="Arial" w:cs="Arial"/>
              </w:rPr>
            </w:pPr>
            <w:r w:rsidRPr="00262803">
              <w:rPr>
                <w:rFonts w:ascii="Arial" w:hAnsi="Arial" w:cs="Arial"/>
              </w:rPr>
              <w:t>1</w:t>
            </w:r>
          </w:p>
        </w:tc>
        <w:tc>
          <w:tcPr>
            <w:tcW w:w="2014" w:type="dxa"/>
          </w:tcPr>
          <w:p w14:paraId="58E36F25" w14:textId="77777777" w:rsidR="008463FB" w:rsidRPr="00262803" w:rsidRDefault="008463FB" w:rsidP="0066301C">
            <w:pPr>
              <w:pStyle w:val="NoSpacing"/>
              <w:jc w:val="both"/>
              <w:rPr>
                <w:rFonts w:ascii="Arial" w:hAnsi="Arial" w:cs="Arial"/>
              </w:rPr>
            </w:pPr>
            <w:r>
              <w:rPr>
                <w:rFonts w:ascii="Arial" w:hAnsi="Arial" w:cs="Arial"/>
              </w:rPr>
              <w:t xml:space="preserve">Normality Test </w:t>
            </w:r>
          </w:p>
        </w:tc>
        <w:tc>
          <w:tcPr>
            <w:tcW w:w="1244" w:type="dxa"/>
            <w:vAlign w:val="bottom"/>
          </w:tcPr>
          <w:p w14:paraId="282BD31B" w14:textId="77777777" w:rsidR="008463FB" w:rsidRPr="00262803" w:rsidRDefault="008463FB" w:rsidP="0066301C">
            <w:pPr>
              <w:pStyle w:val="NoSpacing"/>
              <w:jc w:val="right"/>
              <w:rPr>
                <w:rFonts w:ascii="Arial" w:hAnsi="Arial" w:cs="Arial"/>
                <w:color w:val="000000"/>
              </w:rPr>
            </w:pPr>
            <w:r>
              <w:rPr>
                <w:rFonts w:ascii="Arial" w:hAnsi="Arial" w:cs="Arial"/>
                <w:color w:val="000000"/>
              </w:rPr>
              <w:t>0.245</w:t>
            </w:r>
          </w:p>
        </w:tc>
        <w:tc>
          <w:tcPr>
            <w:tcW w:w="981" w:type="dxa"/>
            <w:vAlign w:val="bottom"/>
          </w:tcPr>
          <w:p w14:paraId="344E8588" w14:textId="77777777" w:rsidR="008463FB" w:rsidRPr="00262803" w:rsidRDefault="008463FB" w:rsidP="0066301C">
            <w:pPr>
              <w:pStyle w:val="NoSpacing"/>
              <w:jc w:val="right"/>
              <w:rPr>
                <w:rFonts w:ascii="Arial" w:hAnsi="Arial" w:cs="Arial"/>
                <w:color w:val="000000"/>
              </w:rPr>
            </w:pPr>
            <w:r>
              <w:rPr>
                <w:rFonts w:ascii="Arial" w:hAnsi="Arial" w:cs="Arial"/>
                <w:color w:val="000000"/>
              </w:rPr>
              <w:t>0.335</w:t>
            </w:r>
          </w:p>
        </w:tc>
        <w:tc>
          <w:tcPr>
            <w:tcW w:w="1004" w:type="dxa"/>
            <w:vAlign w:val="bottom"/>
          </w:tcPr>
          <w:p w14:paraId="43657A43" w14:textId="77777777" w:rsidR="008463FB" w:rsidRPr="00262803" w:rsidRDefault="008463FB" w:rsidP="0066301C">
            <w:pPr>
              <w:pStyle w:val="NoSpacing"/>
              <w:jc w:val="right"/>
              <w:rPr>
                <w:rFonts w:ascii="Arial" w:hAnsi="Arial" w:cs="Arial"/>
                <w:color w:val="000000"/>
              </w:rPr>
            </w:pPr>
            <w:r>
              <w:rPr>
                <w:rFonts w:ascii="Arial" w:hAnsi="Arial" w:cs="Arial"/>
                <w:color w:val="000000"/>
              </w:rPr>
              <w:t>0.176</w:t>
            </w:r>
          </w:p>
        </w:tc>
        <w:tc>
          <w:tcPr>
            <w:tcW w:w="1421" w:type="dxa"/>
            <w:vAlign w:val="bottom"/>
          </w:tcPr>
          <w:p w14:paraId="27103D99" w14:textId="77777777" w:rsidR="008463FB" w:rsidRPr="00262803" w:rsidRDefault="008463FB" w:rsidP="0066301C">
            <w:pPr>
              <w:pStyle w:val="NoSpacing"/>
              <w:jc w:val="right"/>
              <w:rPr>
                <w:rFonts w:ascii="Arial" w:hAnsi="Arial" w:cs="Arial"/>
                <w:color w:val="000000"/>
              </w:rPr>
            </w:pPr>
            <w:r>
              <w:rPr>
                <w:rFonts w:ascii="Arial" w:hAnsi="Arial" w:cs="Arial"/>
                <w:color w:val="000000"/>
              </w:rPr>
              <w:t>0.905</w:t>
            </w:r>
          </w:p>
        </w:tc>
        <w:tc>
          <w:tcPr>
            <w:tcW w:w="998" w:type="dxa"/>
            <w:vAlign w:val="bottom"/>
          </w:tcPr>
          <w:p w14:paraId="3517E795" w14:textId="77777777" w:rsidR="008463FB" w:rsidRPr="00262803" w:rsidRDefault="008463FB" w:rsidP="0066301C">
            <w:pPr>
              <w:pStyle w:val="NoSpacing"/>
              <w:jc w:val="right"/>
              <w:rPr>
                <w:rFonts w:ascii="Arial" w:hAnsi="Arial" w:cs="Arial"/>
                <w:color w:val="000000"/>
              </w:rPr>
            </w:pPr>
            <w:r>
              <w:rPr>
                <w:rFonts w:ascii="Arial" w:hAnsi="Arial" w:cs="Arial"/>
                <w:color w:val="000000"/>
              </w:rPr>
              <w:t>0.979</w:t>
            </w:r>
          </w:p>
        </w:tc>
      </w:tr>
      <w:tr w:rsidR="008463FB" w14:paraId="688A138F" w14:textId="77777777" w:rsidTr="008463FB">
        <w:tc>
          <w:tcPr>
            <w:tcW w:w="1354" w:type="dxa"/>
          </w:tcPr>
          <w:p w14:paraId="5A3F3E92" w14:textId="77777777" w:rsidR="008463FB" w:rsidRPr="00262803" w:rsidRDefault="008463FB" w:rsidP="0066301C">
            <w:pPr>
              <w:pStyle w:val="NoSpacing"/>
              <w:jc w:val="center"/>
              <w:rPr>
                <w:rFonts w:ascii="Arial" w:hAnsi="Arial" w:cs="Arial"/>
              </w:rPr>
            </w:pPr>
            <w:r w:rsidRPr="00262803">
              <w:rPr>
                <w:rFonts w:ascii="Arial" w:hAnsi="Arial" w:cs="Arial"/>
              </w:rPr>
              <w:t>2</w:t>
            </w:r>
          </w:p>
        </w:tc>
        <w:tc>
          <w:tcPr>
            <w:tcW w:w="2014" w:type="dxa"/>
          </w:tcPr>
          <w:p w14:paraId="475055DC" w14:textId="77777777" w:rsidR="008463FB" w:rsidRPr="00407785" w:rsidRDefault="008463FB" w:rsidP="0066301C">
            <w:pPr>
              <w:pStyle w:val="NoSpacing"/>
              <w:jc w:val="both"/>
              <w:rPr>
                <w:rFonts w:ascii="Arial" w:hAnsi="Arial" w:cs="Arial"/>
              </w:rPr>
            </w:pPr>
            <w:r>
              <w:rPr>
                <w:rFonts w:ascii="Arial" w:hAnsi="Arial" w:cs="Arial"/>
              </w:rPr>
              <w:t xml:space="preserve">Autocorrelation </w:t>
            </w:r>
          </w:p>
        </w:tc>
        <w:tc>
          <w:tcPr>
            <w:tcW w:w="1244" w:type="dxa"/>
            <w:vAlign w:val="bottom"/>
          </w:tcPr>
          <w:p w14:paraId="6FFAA532" w14:textId="77777777" w:rsidR="008463FB" w:rsidRPr="00262803" w:rsidRDefault="008463FB" w:rsidP="0066301C">
            <w:pPr>
              <w:pStyle w:val="NoSpacing"/>
              <w:jc w:val="right"/>
              <w:rPr>
                <w:rFonts w:ascii="Arial" w:hAnsi="Arial" w:cs="Arial"/>
                <w:color w:val="000000"/>
              </w:rPr>
            </w:pPr>
            <w:r w:rsidRPr="00262803">
              <w:rPr>
                <w:rFonts w:ascii="Arial" w:hAnsi="Arial" w:cs="Arial"/>
                <w:color w:val="000000"/>
              </w:rPr>
              <w:t> </w:t>
            </w:r>
            <w:r>
              <w:rPr>
                <w:rFonts w:ascii="Arial" w:hAnsi="Arial" w:cs="Arial"/>
                <w:color w:val="000000"/>
              </w:rPr>
              <w:t>0.519</w:t>
            </w:r>
          </w:p>
        </w:tc>
        <w:tc>
          <w:tcPr>
            <w:tcW w:w="981" w:type="dxa"/>
            <w:vAlign w:val="bottom"/>
          </w:tcPr>
          <w:p w14:paraId="7DA06BEB" w14:textId="77777777" w:rsidR="008463FB" w:rsidRPr="00262803" w:rsidRDefault="008463FB" w:rsidP="0066301C">
            <w:pPr>
              <w:pStyle w:val="NoSpacing"/>
              <w:jc w:val="right"/>
              <w:rPr>
                <w:rFonts w:ascii="Arial" w:hAnsi="Arial" w:cs="Arial"/>
                <w:color w:val="000000"/>
              </w:rPr>
            </w:pPr>
            <w:r>
              <w:rPr>
                <w:rFonts w:ascii="Arial" w:hAnsi="Arial" w:cs="Arial"/>
                <w:color w:val="000000"/>
              </w:rPr>
              <w:t>0.579</w:t>
            </w:r>
          </w:p>
        </w:tc>
        <w:tc>
          <w:tcPr>
            <w:tcW w:w="1004" w:type="dxa"/>
            <w:vAlign w:val="bottom"/>
          </w:tcPr>
          <w:p w14:paraId="0E5900D9" w14:textId="77777777" w:rsidR="008463FB" w:rsidRPr="00262803" w:rsidRDefault="008463FB" w:rsidP="0066301C">
            <w:pPr>
              <w:pStyle w:val="NoSpacing"/>
              <w:jc w:val="right"/>
              <w:rPr>
                <w:rFonts w:ascii="Arial" w:hAnsi="Arial" w:cs="Arial"/>
                <w:color w:val="000000"/>
              </w:rPr>
            </w:pPr>
            <w:r>
              <w:rPr>
                <w:rFonts w:ascii="Arial" w:hAnsi="Arial" w:cs="Arial"/>
                <w:color w:val="000000"/>
              </w:rPr>
              <w:t>0.663</w:t>
            </w:r>
          </w:p>
        </w:tc>
        <w:tc>
          <w:tcPr>
            <w:tcW w:w="1421" w:type="dxa"/>
            <w:vAlign w:val="bottom"/>
          </w:tcPr>
          <w:p w14:paraId="07823CA8" w14:textId="77777777" w:rsidR="008463FB" w:rsidRPr="00262803" w:rsidRDefault="008463FB" w:rsidP="0066301C">
            <w:pPr>
              <w:pStyle w:val="NoSpacing"/>
              <w:jc w:val="right"/>
              <w:rPr>
                <w:rFonts w:ascii="Arial" w:hAnsi="Arial" w:cs="Arial"/>
                <w:color w:val="000000"/>
              </w:rPr>
            </w:pPr>
            <w:r>
              <w:rPr>
                <w:rFonts w:ascii="Arial" w:hAnsi="Arial" w:cs="Arial"/>
                <w:color w:val="000000"/>
              </w:rPr>
              <w:t>0.573</w:t>
            </w:r>
          </w:p>
        </w:tc>
        <w:tc>
          <w:tcPr>
            <w:tcW w:w="998" w:type="dxa"/>
            <w:vAlign w:val="bottom"/>
          </w:tcPr>
          <w:p w14:paraId="2A5DB8DF" w14:textId="77777777" w:rsidR="008463FB" w:rsidRPr="00262803" w:rsidRDefault="008463FB" w:rsidP="0066301C">
            <w:pPr>
              <w:pStyle w:val="NoSpacing"/>
              <w:jc w:val="right"/>
              <w:rPr>
                <w:rFonts w:ascii="Arial" w:hAnsi="Arial" w:cs="Arial"/>
                <w:color w:val="000000"/>
              </w:rPr>
            </w:pPr>
            <w:r>
              <w:rPr>
                <w:rFonts w:ascii="Arial" w:hAnsi="Arial" w:cs="Arial"/>
                <w:color w:val="000000"/>
              </w:rPr>
              <w:t>0.597</w:t>
            </w:r>
          </w:p>
        </w:tc>
      </w:tr>
      <w:tr w:rsidR="008463FB" w14:paraId="560C6A77" w14:textId="77777777" w:rsidTr="008463FB">
        <w:tc>
          <w:tcPr>
            <w:tcW w:w="1354" w:type="dxa"/>
          </w:tcPr>
          <w:p w14:paraId="141D38E8" w14:textId="77777777" w:rsidR="008463FB" w:rsidRPr="00262803" w:rsidRDefault="008463FB" w:rsidP="0066301C">
            <w:pPr>
              <w:pStyle w:val="NoSpacing"/>
              <w:jc w:val="center"/>
              <w:rPr>
                <w:rFonts w:ascii="Arial" w:hAnsi="Arial" w:cs="Arial"/>
              </w:rPr>
            </w:pPr>
            <w:r w:rsidRPr="00262803">
              <w:rPr>
                <w:rFonts w:ascii="Arial" w:hAnsi="Arial" w:cs="Arial"/>
              </w:rPr>
              <w:t>3</w:t>
            </w:r>
          </w:p>
        </w:tc>
        <w:tc>
          <w:tcPr>
            <w:tcW w:w="2014" w:type="dxa"/>
          </w:tcPr>
          <w:p w14:paraId="401CDB99" w14:textId="77777777" w:rsidR="008463FB" w:rsidRPr="00407785" w:rsidRDefault="008463FB" w:rsidP="0066301C">
            <w:pPr>
              <w:pStyle w:val="NoSpacing"/>
              <w:jc w:val="both"/>
              <w:rPr>
                <w:rFonts w:ascii="Arial" w:hAnsi="Arial" w:cs="Arial"/>
              </w:rPr>
            </w:pPr>
            <w:r>
              <w:rPr>
                <w:rFonts w:ascii="Arial" w:hAnsi="Arial" w:cs="Arial"/>
              </w:rPr>
              <w:t xml:space="preserve">Heteroscedasticity </w:t>
            </w:r>
          </w:p>
        </w:tc>
        <w:tc>
          <w:tcPr>
            <w:tcW w:w="1244" w:type="dxa"/>
            <w:vAlign w:val="bottom"/>
          </w:tcPr>
          <w:p w14:paraId="2E2142B7" w14:textId="77777777" w:rsidR="008463FB" w:rsidRPr="00262803" w:rsidRDefault="008463FB" w:rsidP="0066301C">
            <w:pPr>
              <w:pStyle w:val="NoSpacing"/>
              <w:jc w:val="right"/>
              <w:rPr>
                <w:rFonts w:ascii="Arial" w:hAnsi="Arial" w:cs="Arial"/>
                <w:color w:val="000000"/>
              </w:rPr>
            </w:pPr>
            <w:r>
              <w:rPr>
                <w:rFonts w:ascii="Arial" w:hAnsi="Arial" w:cs="Arial"/>
                <w:color w:val="000000"/>
              </w:rPr>
              <w:t>0.536</w:t>
            </w:r>
          </w:p>
        </w:tc>
        <w:tc>
          <w:tcPr>
            <w:tcW w:w="981" w:type="dxa"/>
            <w:vAlign w:val="bottom"/>
          </w:tcPr>
          <w:p w14:paraId="4D0940EB" w14:textId="77777777" w:rsidR="008463FB" w:rsidRPr="00262803" w:rsidRDefault="008463FB" w:rsidP="0066301C">
            <w:pPr>
              <w:pStyle w:val="NoSpacing"/>
              <w:ind w:hanging="30"/>
              <w:jc w:val="right"/>
              <w:rPr>
                <w:rFonts w:ascii="Arial" w:hAnsi="Arial" w:cs="Arial"/>
                <w:color w:val="000000"/>
              </w:rPr>
            </w:pPr>
            <w:r>
              <w:rPr>
                <w:rFonts w:ascii="Arial" w:hAnsi="Arial" w:cs="Arial"/>
                <w:color w:val="000000"/>
              </w:rPr>
              <w:t>0.365</w:t>
            </w:r>
          </w:p>
        </w:tc>
        <w:tc>
          <w:tcPr>
            <w:tcW w:w="1004" w:type="dxa"/>
            <w:vAlign w:val="bottom"/>
          </w:tcPr>
          <w:p w14:paraId="770C5A6C" w14:textId="77777777" w:rsidR="008463FB" w:rsidRPr="00262803" w:rsidRDefault="008463FB" w:rsidP="0066301C">
            <w:pPr>
              <w:pStyle w:val="NoSpacing"/>
              <w:jc w:val="right"/>
              <w:rPr>
                <w:rFonts w:ascii="Arial" w:hAnsi="Arial" w:cs="Arial"/>
                <w:color w:val="000000"/>
              </w:rPr>
            </w:pPr>
            <w:r>
              <w:rPr>
                <w:rFonts w:ascii="Arial" w:hAnsi="Arial" w:cs="Arial"/>
                <w:color w:val="000000"/>
              </w:rPr>
              <w:t>0.671</w:t>
            </w:r>
          </w:p>
        </w:tc>
        <w:tc>
          <w:tcPr>
            <w:tcW w:w="1421" w:type="dxa"/>
            <w:vAlign w:val="bottom"/>
          </w:tcPr>
          <w:p w14:paraId="2FF5E662" w14:textId="77777777" w:rsidR="008463FB" w:rsidRPr="00262803" w:rsidRDefault="008463FB" w:rsidP="0066301C">
            <w:pPr>
              <w:pStyle w:val="NoSpacing"/>
              <w:jc w:val="right"/>
              <w:rPr>
                <w:rFonts w:ascii="Arial" w:hAnsi="Arial" w:cs="Arial"/>
                <w:color w:val="000000"/>
              </w:rPr>
            </w:pPr>
            <w:r>
              <w:rPr>
                <w:rFonts w:ascii="Arial" w:hAnsi="Arial" w:cs="Arial"/>
                <w:color w:val="000000"/>
              </w:rPr>
              <w:t>0.662</w:t>
            </w:r>
          </w:p>
        </w:tc>
        <w:tc>
          <w:tcPr>
            <w:tcW w:w="998" w:type="dxa"/>
            <w:vAlign w:val="bottom"/>
          </w:tcPr>
          <w:p w14:paraId="07940EE7" w14:textId="77777777" w:rsidR="008463FB" w:rsidRPr="00262803" w:rsidRDefault="008463FB" w:rsidP="0066301C">
            <w:pPr>
              <w:pStyle w:val="NoSpacing"/>
              <w:jc w:val="right"/>
              <w:rPr>
                <w:rFonts w:ascii="Arial" w:hAnsi="Arial" w:cs="Arial"/>
                <w:color w:val="000000"/>
              </w:rPr>
            </w:pPr>
            <w:r>
              <w:rPr>
                <w:rFonts w:ascii="Arial" w:hAnsi="Arial" w:cs="Arial"/>
                <w:color w:val="000000"/>
              </w:rPr>
              <w:t>0.629</w:t>
            </w:r>
          </w:p>
        </w:tc>
      </w:tr>
      <w:tr w:rsidR="008463FB" w14:paraId="548941B1" w14:textId="77777777" w:rsidTr="008463FB">
        <w:tc>
          <w:tcPr>
            <w:tcW w:w="9016" w:type="dxa"/>
            <w:gridSpan w:val="7"/>
          </w:tcPr>
          <w:p w14:paraId="355D3A10" w14:textId="77777777" w:rsidR="008463FB" w:rsidRPr="00262803" w:rsidRDefault="008463FB" w:rsidP="0066301C">
            <w:pPr>
              <w:pStyle w:val="NoSpacing"/>
              <w:jc w:val="center"/>
              <w:rPr>
                <w:rFonts w:ascii="Arial" w:hAnsi="Arial" w:cs="Arial"/>
                <w:color w:val="000000"/>
              </w:rPr>
            </w:pPr>
            <w:r w:rsidRPr="00262803">
              <w:rPr>
                <w:rFonts w:ascii="Arial" w:hAnsi="Arial" w:cs="Arial"/>
                <w:b/>
                <w:color w:val="000000"/>
              </w:rPr>
              <w:t>CAR</w:t>
            </w:r>
          </w:p>
        </w:tc>
      </w:tr>
      <w:tr w:rsidR="008463FB" w14:paraId="4C0FD384" w14:textId="77777777" w:rsidTr="008463FB">
        <w:tc>
          <w:tcPr>
            <w:tcW w:w="1354" w:type="dxa"/>
            <w:vMerge w:val="restart"/>
          </w:tcPr>
          <w:p w14:paraId="30AA00E3" w14:textId="77777777" w:rsidR="008463FB" w:rsidRPr="00262803" w:rsidRDefault="008463FB" w:rsidP="0066301C">
            <w:pPr>
              <w:pStyle w:val="NoSpacing"/>
              <w:jc w:val="both"/>
              <w:rPr>
                <w:rFonts w:ascii="Arial" w:hAnsi="Arial" w:cs="Arial"/>
              </w:rPr>
            </w:pPr>
            <w:r w:rsidRPr="00262803">
              <w:rPr>
                <w:rFonts w:ascii="Arial" w:eastAsia="Times New Roman" w:hAnsi="Arial" w:cs="Arial"/>
                <w:color w:val="000000"/>
                <w:lang w:eastAsia="en-GB"/>
              </w:rPr>
              <w:t>Component</w:t>
            </w:r>
          </w:p>
        </w:tc>
        <w:tc>
          <w:tcPr>
            <w:tcW w:w="2014" w:type="dxa"/>
            <w:vMerge w:val="restart"/>
          </w:tcPr>
          <w:p w14:paraId="04F0D94A" w14:textId="77777777" w:rsidR="008463FB" w:rsidRPr="00262803" w:rsidRDefault="008463FB" w:rsidP="0066301C">
            <w:pPr>
              <w:pStyle w:val="NoSpacing"/>
              <w:jc w:val="both"/>
              <w:rPr>
                <w:rFonts w:ascii="Arial" w:hAnsi="Arial" w:cs="Arial"/>
              </w:rPr>
            </w:pPr>
            <w:r w:rsidRPr="00262803">
              <w:rPr>
                <w:rFonts w:ascii="Arial" w:hAnsi="Arial" w:cs="Arial"/>
              </w:rPr>
              <w:t xml:space="preserve">Variable </w:t>
            </w:r>
          </w:p>
        </w:tc>
        <w:tc>
          <w:tcPr>
            <w:tcW w:w="1244" w:type="dxa"/>
          </w:tcPr>
          <w:p w14:paraId="26CC90AD" w14:textId="77777777" w:rsidR="008463FB" w:rsidRPr="00262803" w:rsidRDefault="008463FB" w:rsidP="0066301C">
            <w:pPr>
              <w:pStyle w:val="NoSpacing"/>
              <w:jc w:val="both"/>
              <w:rPr>
                <w:rFonts w:ascii="Arial" w:hAnsi="Arial" w:cs="Arial"/>
              </w:rPr>
            </w:pPr>
            <w:r>
              <w:rPr>
                <w:rFonts w:ascii="Arial" w:hAnsi="Arial" w:cs="Arial"/>
              </w:rPr>
              <w:t>Cameroon</w:t>
            </w:r>
          </w:p>
        </w:tc>
        <w:tc>
          <w:tcPr>
            <w:tcW w:w="981" w:type="dxa"/>
          </w:tcPr>
          <w:p w14:paraId="10D6F772" w14:textId="77777777" w:rsidR="008463FB" w:rsidRPr="00262803" w:rsidRDefault="008463FB" w:rsidP="0066301C">
            <w:pPr>
              <w:pStyle w:val="NoSpacing"/>
              <w:jc w:val="both"/>
              <w:rPr>
                <w:rFonts w:ascii="Arial" w:hAnsi="Arial" w:cs="Arial"/>
              </w:rPr>
            </w:pPr>
            <w:r w:rsidRPr="00262803">
              <w:rPr>
                <w:rFonts w:ascii="Arial" w:hAnsi="Arial" w:cs="Arial"/>
              </w:rPr>
              <w:t>China</w:t>
            </w:r>
          </w:p>
        </w:tc>
        <w:tc>
          <w:tcPr>
            <w:tcW w:w="1004" w:type="dxa"/>
          </w:tcPr>
          <w:p w14:paraId="21DF858A" w14:textId="77777777" w:rsidR="008463FB" w:rsidRPr="00262803" w:rsidRDefault="008463FB" w:rsidP="0066301C">
            <w:pPr>
              <w:pStyle w:val="NoSpacing"/>
              <w:jc w:val="both"/>
              <w:rPr>
                <w:rFonts w:ascii="Arial" w:hAnsi="Arial" w:cs="Arial"/>
              </w:rPr>
            </w:pPr>
            <w:r w:rsidRPr="00262803">
              <w:rPr>
                <w:rFonts w:ascii="Arial" w:hAnsi="Arial" w:cs="Arial"/>
              </w:rPr>
              <w:t>France</w:t>
            </w:r>
          </w:p>
        </w:tc>
        <w:tc>
          <w:tcPr>
            <w:tcW w:w="1421" w:type="dxa"/>
          </w:tcPr>
          <w:p w14:paraId="1712D0A8" w14:textId="77777777" w:rsidR="008463FB" w:rsidRPr="00262803" w:rsidRDefault="008463FB" w:rsidP="0066301C">
            <w:pPr>
              <w:pStyle w:val="NoSpacing"/>
              <w:jc w:val="both"/>
              <w:rPr>
                <w:rFonts w:ascii="Arial" w:hAnsi="Arial" w:cs="Arial"/>
              </w:rPr>
            </w:pPr>
            <w:r w:rsidRPr="00262803">
              <w:rPr>
                <w:rFonts w:ascii="Arial" w:hAnsi="Arial" w:cs="Arial"/>
              </w:rPr>
              <w:t>India</w:t>
            </w:r>
          </w:p>
        </w:tc>
        <w:tc>
          <w:tcPr>
            <w:tcW w:w="998" w:type="dxa"/>
          </w:tcPr>
          <w:p w14:paraId="47DB887C" w14:textId="77777777" w:rsidR="008463FB" w:rsidRPr="00262803" w:rsidRDefault="008463FB" w:rsidP="0066301C">
            <w:pPr>
              <w:pStyle w:val="NoSpacing"/>
              <w:jc w:val="both"/>
              <w:rPr>
                <w:rFonts w:ascii="Arial" w:hAnsi="Arial" w:cs="Arial"/>
              </w:rPr>
            </w:pPr>
            <w:r>
              <w:rPr>
                <w:rFonts w:ascii="Arial" w:hAnsi="Arial" w:cs="Arial"/>
              </w:rPr>
              <w:t>Nepal</w:t>
            </w:r>
          </w:p>
        </w:tc>
      </w:tr>
      <w:tr w:rsidR="008463FB" w14:paraId="0AE70C4A" w14:textId="77777777" w:rsidTr="008463FB">
        <w:tc>
          <w:tcPr>
            <w:tcW w:w="1354" w:type="dxa"/>
            <w:vMerge/>
          </w:tcPr>
          <w:p w14:paraId="163239F6" w14:textId="77777777" w:rsidR="008463FB" w:rsidRPr="00262803" w:rsidRDefault="008463FB" w:rsidP="0066301C">
            <w:pPr>
              <w:pStyle w:val="NoSpacing"/>
              <w:jc w:val="both"/>
              <w:rPr>
                <w:rFonts w:ascii="Arial" w:hAnsi="Arial" w:cs="Arial"/>
              </w:rPr>
            </w:pPr>
          </w:p>
        </w:tc>
        <w:tc>
          <w:tcPr>
            <w:tcW w:w="2014" w:type="dxa"/>
            <w:vMerge/>
          </w:tcPr>
          <w:p w14:paraId="1FE63F07" w14:textId="77777777" w:rsidR="008463FB" w:rsidRPr="00262803" w:rsidRDefault="008463FB" w:rsidP="0066301C">
            <w:pPr>
              <w:pStyle w:val="NoSpacing"/>
              <w:jc w:val="both"/>
              <w:rPr>
                <w:rFonts w:ascii="Arial" w:hAnsi="Arial" w:cs="Arial"/>
              </w:rPr>
            </w:pPr>
          </w:p>
        </w:tc>
        <w:tc>
          <w:tcPr>
            <w:tcW w:w="1244" w:type="dxa"/>
          </w:tcPr>
          <w:p w14:paraId="5F0CACE8" w14:textId="77777777" w:rsidR="008463FB" w:rsidRPr="00262803" w:rsidRDefault="008463FB" w:rsidP="0066301C">
            <w:pPr>
              <w:pStyle w:val="NoSpacing"/>
              <w:jc w:val="both"/>
              <w:rPr>
                <w:rFonts w:ascii="Arial" w:hAnsi="Arial" w:cs="Arial"/>
              </w:rPr>
            </w:pPr>
            <w:r w:rsidRPr="00262803">
              <w:rPr>
                <w:rFonts w:ascii="Arial" w:hAnsi="Arial" w:cs="Arial"/>
                <w:i/>
              </w:rPr>
              <w:t>p-</w:t>
            </w:r>
            <w:r w:rsidRPr="00262803">
              <w:rPr>
                <w:rFonts w:ascii="Arial" w:hAnsi="Arial" w:cs="Arial"/>
              </w:rPr>
              <w:t>value</w:t>
            </w:r>
          </w:p>
        </w:tc>
        <w:tc>
          <w:tcPr>
            <w:tcW w:w="981" w:type="dxa"/>
          </w:tcPr>
          <w:p w14:paraId="0452376C" w14:textId="77777777" w:rsidR="008463FB" w:rsidRPr="00262803" w:rsidRDefault="008463FB" w:rsidP="0066301C">
            <w:pPr>
              <w:pStyle w:val="NoSpacing"/>
              <w:jc w:val="both"/>
              <w:rPr>
                <w:rFonts w:ascii="Arial" w:hAnsi="Arial" w:cs="Arial"/>
              </w:rPr>
            </w:pPr>
            <w:r w:rsidRPr="00262803">
              <w:rPr>
                <w:rFonts w:ascii="Arial" w:hAnsi="Arial" w:cs="Arial"/>
                <w:i/>
              </w:rPr>
              <w:t>p-</w:t>
            </w:r>
            <w:r w:rsidRPr="00262803">
              <w:rPr>
                <w:rFonts w:ascii="Arial" w:hAnsi="Arial" w:cs="Arial"/>
              </w:rPr>
              <w:t>value</w:t>
            </w:r>
          </w:p>
        </w:tc>
        <w:tc>
          <w:tcPr>
            <w:tcW w:w="1004" w:type="dxa"/>
          </w:tcPr>
          <w:p w14:paraId="6124D65E" w14:textId="77777777" w:rsidR="008463FB" w:rsidRPr="00262803" w:rsidRDefault="008463FB" w:rsidP="0066301C">
            <w:pPr>
              <w:pStyle w:val="NoSpacing"/>
              <w:jc w:val="both"/>
              <w:rPr>
                <w:rFonts w:ascii="Arial" w:hAnsi="Arial" w:cs="Arial"/>
              </w:rPr>
            </w:pPr>
            <w:r w:rsidRPr="00262803">
              <w:rPr>
                <w:rFonts w:ascii="Arial" w:hAnsi="Arial" w:cs="Arial"/>
                <w:i/>
              </w:rPr>
              <w:t>p-</w:t>
            </w:r>
            <w:r w:rsidRPr="00262803">
              <w:rPr>
                <w:rFonts w:ascii="Arial" w:hAnsi="Arial" w:cs="Arial"/>
              </w:rPr>
              <w:t>value</w:t>
            </w:r>
          </w:p>
        </w:tc>
        <w:tc>
          <w:tcPr>
            <w:tcW w:w="1421" w:type="dxa"/>
          </w:tcPr>
          <w:p w14:paraId="5D40AD76" w14:textId="77777777" w:rsidR="008463FB" w:rsidRPr="00262803" w:rsidRDefault="008463FB" w:rsidP="0066301C">
            <w:pPr>
              <w:pStyle w:val="NoSpacing"/>
              <w:jc w:val="both"/>
              <w:rPr>
                <w:rFonts w:ascii="Arial" w:hAnsi="Arial" w:cs="Arial"/>
              </w:rPr>
            </w:pPr>
            <w:r w:rsidRPr="00262803">
              <w:rPr>
                <w:rFonts w:ascii="Arial" w:hAnsi="Arial" w:cs="Arial"/>
                <w:i/>
              </w:rPr>
              <w:t>p-</w:t>
            </w:r>
            <w:r w:rsidRPr="00262803">
              <w:rPr>
                <w:rFonts w:ascii="Arial" w:hAnsi="Arial" w:cs="Arial"/>
              </w:rPr>
              <w:t>value</w:t>
            </w:r>
          </w:p>
        </w:tc>
        <w:tc>
          <w:tcPr>
            <w:tcW w:w="998" w:type="dxa"/>
          </w:tcPr>
          <w:p w14:paraId="154B757D" w14:textId="77777777" w:rsidR="008463FB" w:rsidRPr="00262803" w:rsidRDefault="008463FB" w:rsidP="0066301C">
            <w:pPr>
              <w:pStyle w:val="NoSpacing"/>
              <w:jc w:val="both"/>
              <w:rPr>
                <w:rFonts w:ascii="Arial" w:hAnsi="Arial" w:cs="Arial"/>
              </w:rPr>
            </w:pPr>
            <w:r w:rsidRPr="00262803">
              <w:rPr>
                <w:rFonts w:ascii="Arial" w:hAnsi="Arial" w:cs="Arial"/>
                <w:i/>
              </w:rPr>
              <w:t>p-</w:t>
            </w:r>
            <w:r w:rsidRPr="00262803">
              <w:rPr>
                <w:rFonts w:ascii="Arial" w:hAnsi="Arial" w:cs="Arial"/>
              </w:rPr>
              <w:t>value</w:t>
            </w:r>
          </w:p>
        </w:tc>
      </w:tr>
      <w:tr w:rsidR="008463FB" w14:paraId="066BA954" w14:textId="77777777" w:rsidTr="008463FB">
        <w:tc>
          <w:tcPr>
            <w:tcW w:w="1354" w:type="dxa"/>
          </w:tcPr>
          <w:p w14:paraId="5CCF181F" w14:textId="77777777" w:rsidR="008463FB" w:rsidRPr="00262803" w:rsidRDefault="008463FB" w:rsidP="0066301C">
            <w:pPr>
              <w:pStyle w:val="NoSpacing"/>
              <w:jc w:val="center"/>
              <w:rPr>
                <w:rFonts w:ascii="Arial" w:hAnsi="Arial" w:cs="Arial"/>
              </w:rPr>
            </w:pPr>
            <w:r w:rsidRPr="00262803">
              <w:rPr>
                <w:rFonts w:ascii="Arial" w:hAnsi="Arial" w:cs="Arial"/>
              </w:rPr>
              <w:t>1</w:t>
            </w:r>
          </w:p>
        </w:tc>
        <w:tc>
          <w:tcPr>
            <w:tcW w:w="2014" w:type="dxa"/>
          </w:tcPr>
          <w:p w14:paraId="0FDD41AB" w14:textId="77777777" w:rsidR="008463FB" w:rsidRPr="00262803" w:rsidRDefault="008463FB" w:rsidP="0066301C">
            <w:pPr>
              <w:pStyle w:val="NoSpacing"/>
              <w:jc w:val="both"/>
              <w:rPr>
                <w:rFonts w:ascii="Arial" w:hAnsi="Arial" w:cs="Arial"/>
              </w:rPr>
            </w:pPr>
            <w:r>
              <w:rPr>
                <w:rFonts w:ascii="Arial" w:hAnsi="Arial" w:cs="Arial"/>
              </w:rPr>
              <w:t xml:space="preserve">Normality Test </w:t>
            </w:r>
          </w:p>
        </w:tc>
        <w:tc>
          <w:tcPr>
            <w:tcW w:w="1244" w:type="dxa"/>
            <w:vAlign w:val="bottom"/>
          </w:tcPr>
          <w:p w14:paraId="362CFFE2" w14:textId="77777777" w:rsidR="008463FB" w:rsidRPr="00262803" w:rsidRDefault="008463FB" w:rsidP="0066301C">
            <w:pPr>
              <w:pStyle w:val="NoSpacing"/>
              <w:jc w:val="right"/>
              <w:rPr>
                <w:rFonts w:ascii="Arial" w:hAnsi="Arial" w:cs="Arial"/>
                <w:color w:val="000000"/>
              </w:rPr>
            </w:pPr>
            <w:r>
              <w:rPr>
                <w:rFonts w:ascii="Arial" w:hAnsi="Arial" w:cs="Arial"/>
                <w:color w:val="000000"/>
              </w:rPr>
              <w:t>0.002</w:t>
            </w:r>
          </w:p>
        </w:tc>
        <w:tc>
          <w:tcPr>
            <w:tcW w:w="981" w:type="dxa"/>
            <w:vAlign w:val="bottom"/>
          </w:tcPr>
          <w:p w14:paraId="776154DE" w14:textId="77777777" w:rsidR="008463FB" w:rsidRPr="00262803" w:rsidRDefault="008463FB" w:rsidP="0066301C">
            <w:pPr>
              <w:pStyle w:val="NoSpacing"/>
              <w:jc w:val="right"/>
              <w:rPr>
                <w:rFonts w:ascii="Arial" w:hAnsi="Arial" w:cs="Arial"/>
                <w:color w:val="000000"/>
              </w:rPr>
            </w:pPr>
            <w:r>
              <w:rPr>
                <w:rFonts w:ascii="Arial" w:hAnsi="Arial" w:cs="Arial"/>
                <w:color w:val="000000"/>
              </w:rPr>
              <w:t>0.005</w:t>
            </w:r>
          </w:p>
        </w:tc>
        <w:tc>
          <w:tcPr>
            <w:tcW w:w="1004" w:type="dxa"/>
            <w:vAlign w:val="bottom"/>
          </w:tcPr>
          <w:p w14:paraId="6C01CBB2" w14:textId="77777777" w:rsidR="008463FB" w:rsidRPr="00262803" w:rsidRDefault="008463FB" w:rsidP="0066301C">
            <w:pPr>
              <w:pStyle w:val="NoSpacing"/>
              <w:jc w:val="right"/>
              <w:rPr>
                <w:rFonts w:ascii="Arial" w:hAnsi="Arial" w:cs="Arial"/>
                <w:color w:val="000000"/>
              </w:rPr>
            </w:pPr>
            <w:r>
              <w:rPr>
                <w:rFonts w:ascii="Arial" w:hAnsi="Arial" w:cs="Arial"/>
                <w:color w:val="000000"/>
              </w:rPr>
              <w:t>0.203</w:t>
            </w:r>
          </w:p>
        </w:tc>
        <w:tc>
          <w:tcPr>
            <w:tcW w:w="1421" w:type="dxa"/>
            <w:vAlign w:val="bottom"/>
          </w:tcPr>
          <w:p w14:paraId="1BF06008" w14:textId="77777777" w:rsidR="008463FB" w:rsidRPr="00262803" w:rsidRDefault="008463FB" w:rsidP="0066301C">
            <w:pPr>
              <w:pStyle w:val="NoSpacing"/>
              <w:jc w:val="right"/>
              <w:rPr>
                <w:rFonts w:ascii="Arial" w:hAnsi="Arial" w:cs="Arial"/>
                <w:color w:val="000000"/>
              </w:rPr>
            </w:pPr>
            <w:r>
              <w:rPr>
                <w:rFonts w:ascii="Arial" w:hAnsi="Arial" w:cs="Arial"/>
                <w:color w:val="000000"/>
              </w:rPr>
              <w:t>0.111</w:t>
            </w:r>
          </w:p>
        </w:tc>
        <w:tc>
          <w:tcPr>
            <w:tcW w:w="998" w:type="dxa"/>
            <w:vAlign w:val="bottom"/>
          </w:tcPr>
          <w:p w14:paraId="6FA0C9D3" w14:textId="77777777" w:rsidR="008463FB" w:rsidRPr="00262803" w:rsidRDefault="008463FB" w:rsidP="0066301C">
            <w:pPr>
              <w:pStyle w:val="NoSpacing"/>
              <w:jc w:val="right"/>
              <w:rPr>
                <w:rFonts w:ascii="Arial" w:hAnsi="Arial" w:cs="Arial"/>
                <w:color w:val="000000"/>
              </w:rPr>
            </w:pPr>
            <w:r>
              <w:rPr>
                <w:rFonts w:ascii="Arial" w:hAnsi="Arial" w:cs="Arial"/>
                <w:color w:val="000000"/>
              </w:rPr>
              <w:t>0.254</w:t>
            </w:r>
          </w:p>
        </w:tc>
      </w:tr>
      <w:tr w:rsidR="008463FB" w14:paraId="4CDD1E81" w14:textId="77777777" w:rsidTr="008463FB">
        <w:trPr>
          <w:trHeight w:val="61"/>
        </w:trPr>
        <w:tc>
          <w:tcPr>
            <w:tcW w:w="1354" w:type="dxa"/>
          </w:tcPr>
          <w:p w14:paraId="6B4BB0CA" w14:textId="77777777" w:rsidR="008463FB" w:rsidRPr="00262803" w:rsidRDefault="008463FB" w:rsidP="0066301C">
            <w:pPr>
              <w:pStyle w:val="NoSpacing"/>
              <w:jc w:val="center"/>
              <w:rPr>
                <w:rFonts w:ascii="Arial" w:hAnsi="Arial" w:cs="Arial"/>
              </w:rPr>
            </w:pPr>
            <w:r w:rsidRPr="00262803">
              <w:rPr>
                <w:rFonts w:ascii="Arial" w:hAnsi="Arial" w:cs="Arial"/>
              </w:rPr>
              <w:t>2</w:t>
            </w:r>
          </w:p>
        </w:tc>
        <w:tc>
          <w:tcPr>
            <w:tcW w:w="2014" w:type="dxa"/>
          </w:tcPr>
          <w:p w14:paraId="51CA14D7" w14:textId="77777777" w:rsidR="008463FB" w:rsidRPr="00262803" w:rsidRDefault="008463FB" w:rsidP="0066301C">
            <w:pPr>
              <w:pStyle w:val="NoSpacing"/>
              <w:jc w:val="both"/>
              <w:rPr>
                <w:rFonts w:ascii="Arial" w:hAnsi="Arial" w:cs="Arial"/>
              </w:rPr>
            </w:pPr>
            <w:r>
              <w:rPr>
                <w:rFonts w:ascii="Arial" w:hAnsi="Arial" w:cs="Arial"/>
              </w:rPr>
              <w:t xml:space="preserve">Autocorrelation </w:t>
            </w:r>
          </w:p>
        </w:tc>
        <w:tc>
          <w:tcPr>
            <w:tcW w:w="1244" w:type="dxa"/>
            <w:vAlign w:val="bottom"/>
          </w:tcPr>
          <w:p w14:paraId="508E65D4" w14:textId="77777777" w:rsidR="008463FB" w:rsidRPr="00262803" w:rsidRDefault="008463FB" w:rsidP="0066301C">
            <w:pPr>
              <w:pStyle w:val="NoSpacing"/>
              <w:jc w:val="right"/>
              <w:rPr>
                <w:rFonts w:ascii="Arial" w:hAnsi="Arial" w:cs="Arial"/>
                <w:color w:val="000000"/>
              </w:rPr>
            </w:pPr>
            <w:r>
              <w:rPr>
                <w:rFonts w:ascii="Arial" w:hAnsi="Arial" w:cs="Arial"/>
                <w:color w:val="000000"/>
              </w:rPr>
              <w:t>0.30</w:t>
            </w:r>
          </w:p>
        </w:tc>
        <w:tc>
          <w:tcPr>
            <w:tcW w:w="981" w:type="dxa"/>
            <w:vAlign w:val="bottom"/>
          </w:tcPr>
          <w:p w14:paraId="01E55B2C" w14:textId="77777777" w:rsidR="008463FB" w:rsidRPr="00262803" w:rsidRDefault="008463FB" w:rsidP="0066301C">
            <w:pPr>
              <w:pStyle w:val="NoSpacing"/>
              <w:jc w:val="right"/>
              <w:rPr>
                <w:rFonts w:ascii="Arial" w:hAnsi="Arial" w:cs="Arial"/>
                <w:color w:val="000000"/>
              </w:rPr>
            </w:pPr>
            <w:r>
              <w:rPr>
                <w:rFonts w:ascii="Arial" w:hAnsi="Arial" w:cs="Arial"/>
                <w:color w:val="000000"/>
              </w:rPr>
              <w:t>0.896</w:t>
            </w:r>
          </w:p>
        </w:tc>
        <w:tc>
          <w:tcPr>
            <w:tcW w:w="1004" w:type="dxa"/>
            <w:vAlign w:val="bottom"/>
          </w:tcPr>
          <w:p w14:paraId="56E762B3" w14:textId="77777777" w:rsidR="008463FB" w:rsidRPr="00262803" w:rsidRDefault="008463FB" w:rsidP="0066301C">
            <w:pPr>
              <w:pStyle w:val="NoSpacing"/>
              <w:jc w:val="right"/>
              <w:rPr>
                <w:rFonts w:ascii="Arial" w:hAnsi="Arial" w:cs="Arial"/>
                <w:color w:val="000000"/>
              </w:rPr>
            </w:pPr>
            <w:r>
              <w:rPr>
                <w:rFonts w:ascii="Arial" w:hAnsi="Arial" w:cs="Arial"/>
                <w:color w:val="000000"/>
              </w:rPr>
              <w:t>0.738</w:t>
            </w:r>
          </w:p>
        </w:tc>
        <w:tc>
          <w:tcPr>
            <w:tcW w:w="1421" w:type="dxa"/>
            <w:vAlign w:val="bottom"/>
          </w:tcPr>
          <w:p w14:paraId="05C26452" w14:textId="77777777" w:rsidR="008463FB" w:rsidRPr="00262803" w:rsidRDefault="008463FB" w:rsidP="0066301C">
            <w:pPr>
              <w:pStyle w:val="NoSpacing"/>
              <w:jc w:val="right"/>
              <w:rPr>
                <w:rFonts w:ascii="Arial" w:hAnsi="Arial" w:cs="Arial"/>
                <w:color w:val="000000"/>
              </w:rPr>
            </w:pPr>
            <w:r>
              <w:rPr>
                <w:rFonts w:ascii="Arial" w:hAnsi="Arial" w:cs="Arial"/>
                <w:color w:val="000000"/>
              </w:rPr>
              <w:t>0.369</w:t>
            </w:r>
          </w:p>
        </w:tc>
        <w:tc>
          <w:tcPr>
            <w:tcW w:w="998" w:type="dxa"/>
            <w:vAlign w:val="bottom"/>
          </w:tcPr>
          <w:p w14:paraId="0D8F4880" w14:textId="77777777" w:rsidR="008463FB" w:rsidRPr="00262803" w:rsidRDefault="008463FB" w:rsidP="0066301C">
            <w:pPr>
              <w:pStyle w:val="NoSpacing"/>
              <w:jc w:val="right"/>
              <w:rPr>
                <w:rFonts w:ascii="Arial" w:hAnsi="Arial" w:cs="Arial"/>
                <w:color w:val="000000"/>
              </w:rPr>
            </w:pPr>
            <w:r>
              <w:rPr>
                <w:rFonts w:ascii="Arial" w:hAnsi="Arial" w:cs="Arial"/>
                <w:color w:val="000000"/>
              </w:rPr>
              <w:t>0.634</w:t>
            </w:r>
          </w:p>
        </w:tc>
      </w:tr>
      <w:tr w:rsidR="008463FB" w14:paraId="1A1D3F76" w14:textId="77777777" w:rsidTr="008463FB">
        <w:tc>
          <w:tcPr>
            <w:tcW w:w="1354" w:type="dxa"/>
          </w:tcPr>
          <w:p w14:paraId="59E82A0E" w14:textId="77777777" w:rsidR="008463FB" w:rsidRPr="00262803" w:rsidRDefault="008463FB" w:rsidP="0066301C">
            <w:pPr>
              <w:pStyle w:val="NoSpacing"/>
              <w:jc w:val="center"/>
              <w:rPr>
                <w:rFonts w:ascii="Arial" w:hAnsi="Arial" w:cs="Arial"/>
              </w:rPr>
            </w:pPr>
            <w:r w:rsidRPr="00262803">
              <w:rPr>
                <w:rFonts w:ascii="Arial" w:hAnsi="Arial" w:cs="Arial"/>
              </w:rPr>
              <w:t>3</w:t>
            </w:r>
          </w:p>
        </w:tc>
        <w:tc>
          <w:tcPr>
            <w:tcW w:w="2014" w:type="dxa"/>
          </w:tcPr>
          <w:p w14:paraId="3AA24A35" w14:textId="77777777" w:rsidR="008463FB" w:rsidRPr="00262803" w:rsidRDefault="008463FB" w:rsidP="0066301C">
            <w:pPr>
              <w:pStyle w:val="NoSpacing"/>
              <w:jc w:val="both"/>
              <w:rPr>
                <w:rFonts w:ascii="Arial" w:hAnsi="Arial" w:cs="Arial"/>
              </w:rPr>
            </w:pPr>
            <w:r>
              <w:rPr>
                <w:rFonts w:ascii="Arial" w:hAnsi="Arial" w:cs="Arial"/>
              </w:rPr>
              <w:t xml:space="preserve">Heteroscedasticity </w:t>
            </w:r>
          </w:p>
        </w:tc>
        <w:tc>
          <w:tcPr>
            <w:tcW w:w="1244" w:type="dxa"/>
            <w:vAlign w:val="bottom"/>
          </w:tcPr>
          <w:p w14:paraId="7F05950A" w14:textId="73E73662" w:rsidR="008463FB" w:rsidRPr="00262803" w:rsidRDefault="008463FB" w:rsidP="0066301C">
            <w:pPr>
              <w:pStyle w:val="NoSpacing"/>
              <w:jc w:val="right"/>
              <w:rPr>
                <w:rFonts w:ascii="Arial" w:hAnsi="Arial" w:cs="Arial"/>
                <w:color w:val="000000"/>
              </w:rPr>
            </w:pPr>
            <w:r>
              <w:rPr>
                <w:rFonts w:ascii="Arial" w:hAnsi="Arial" w:cs="Arial"/>
                <w:color w:val="000000"/>
              </w:rPr>
              <w:t>0.935</w:t>
            </w:r>
          </w:p>
        </w:tc>
        <w:tc>
          <w:tcPr>
            <w:tcW w:w="981" w:type="dxa"/>
            <w:vAlign w:val="bottom"/>
          </w:tcPr>
          <w:p w14:paraId="14338CE8" w14:textId="77777777" w:rsidR="008463FB" w:rsidRPr="00262803" w:rsidRDefault="008463FB" w:rsidP="0066301C">
            <w:pPr>
              <w:pStyle w:val="NoSpacing"/>
              <w:jc w:val="right"/>
              <w:rPr>
                <w:rFonts w:ascii="Arial" w:hAnsi="Arial" w:cs="Arial"/>
                <w:color w:val="000000"/>
              </w:rPr>
            </w:pPr>
            <w:r>
              <w:rPr>
                <w:rFonts w:ascii="Arial" w:hAnsi="Arial" w:cs="Arial"/>
                <w:color w:val="000000"/>
              </w:rPr>
              <w:t>0.845</w:t>
            </w:r>
          </w:p>
        </w:tc>
        <w:tc>
          <w:tcPr>
            <w:tcW w:w="1004" w:type="dxa"/>
            <w:vAlign w:val="bottom"/>
          </w:tcPr>
          <w:p w14:paraId="18B165E4" w14:textId="77777777" w:rsidR="008463FB" w:rsidRPr="00262803" w:rsidRDefault="008463FB" w:rsidP="0066301C">
            <w:pPr>
              <w:pStyle w:val="NoSpacing"/>
              <w:jc w:val="right"/>
              <w:rPr>
                <w:rFonts w:ascii="Arial" w:hAnsi="Arial" w:cs="Arial"/>
                <w:color w:val="000000"/>
              </w:rPr>
            </w:pPr>
            <w:r>
              <w:rPr>
                <w:rFonts w:ascii="Arial" w:hAnsi="Arial" w:cs="Arial"/>
                <w:color w:val="000000"/>
              </w:rPr>
              <w:t>0.578</w:t>
            </w:r>
          </w:p>
        </w:tc>
        <w:tc>
          <w:tcPr>
            <w:tcW w:w="1421" w:type="dxa"/>
            <w:vAlign w:val="bottom"/>
          </w:tcPr>
          <w:p w14:paraId="689EABD9" w14:textId="77777777" w:rsidR="008463FB" w:rsidRPr="00262803" w:rsidRDefault="008463FB" w:rsidP="0066301C">
            <w:pPr>
              <w:pStyle w:val="NoSpacing"/>
              <w:jc w:val="right"/>
              <w:rPr>
                <w:rFonts w:ascii="Arial" w:hAnsi="Arial" w:cs="Arial"/>
                <w:color w:val="000000"/>
              </w:rPr>
            </w:pPr>
            <w:r>
              <w:rPr>
                <w:rFonts w:ascii="Arial" w:hAnsi="Arial" w:cs="Arial"/>
                <w:color w:val="000000"/>
              </w:rPr>
              <w:t>0.244</w:t>
            </w:r>
          </w:p>
        </w:tc>
        <w:tc>
          <w:tcPr>
            <w:tcW w:w="998" w:type="dxa"/>
            <w:vAlign w:val="bottom"/>
          </w:tcPr>
          <w:p w14:paraId="2A33A3BC" w14:textId="77777777" w:rsidR="008463FB" w:rsidRPr="00262803" w:rsidRDefault="008463FB" w:rsidP="0066301C">
            <w:pPr>
              <w:pStyle w:val="NoSpacing"/>
              <w:jc w:val="right"/>
              <w:rPr>
                <w:rFonts w:ascii="Arial" w:hAnsi="Arial" w:cs="Arial"/>
                <w:color w:val="000000"/>
              </w:rPr>
            </w:pPr>
            <w:r>
              <w:rPr>
                <w:rFonts w:ascii="Arial" w:hAnsi="Arial" w:cs="Arial"/>
                <w:color w:val="000000"/>
              </w:rPr>
              <w:t>0.913</w:t>
            </w:r>
          </w:p>
        </w:tc>
      </w:tr>
      <w:tr w:rsidR="008463FB" w14:paraId="139036F8" w14:textId="77777777" w:rsidTr="008463FB">
        <w:tc>
          <w:tcPr>
            <w:tcW w:w="9016" w:type="dxa"/>
            <w:gridSpan w:val="7"/>
          </w:tcPr>
          <w:p w14:paraId="6F185560" w14:textId="77777777" w:rsidR="008463FB" w:rsidRPr="00262803" w:rsidRDefault="008463FB" w:rsidP="0066301C">
            <w:pPr>
              <w:pStyle w:val="NoSpacing"/>
              <w:jc w:val="center"/>
              <w:rPr>
                <w:rFonts w:ascii="Arial" w:hAnsi="Arial" w:cs="Arial"/>
                <w:color w:val="000000"/>
              </w:rPr>
            </w:pPr>
            <w:r w:rsidRPr="00262803">
              <w:rPr>
                <w:rFonts w:ascii="Arial" w:hAnsi="Arial" w:cs="Arial"/>
                <w:b/>
                <w:color w:val="000000"/>
              </w:rPr>
              <w:t>Gabon</w:t>
            </w:r>
          </w:p>
        </w:tc>
      </w:tr>
      <w:tr w:rsidR="008463FB" w14:paraId="5D454D8E" w14:textId="77777777" w:rsidTr="008463FB">
        <w:tc>
          <w:tcPr>
            <w:tcW w:w="1354" w:type="dxa"/>
            <w:vMerge w:val="restart"/>
          </w:tcPr>
          <w:p w14:paraId="1E997B92" w14:textId="77777777" w:rsidR="008463FB" w:rsidRPr="00262803" w:rsidRDefault="008463FB" w:rsidP="0066301C">
            <w:pPr>
              <w:pStyle w:val="NoSpacing"/>
              <w:jc w:val="both"/>
              <w:rPr>
                <w:rFonts w:ascii="Arial" w:hAnsi="Arial" w:cs="Arial"/>
              </w:rPr>
            </w:pPr>
            <w:r w:rsidRPr="00262803">
              <w:rPr>
                <w:rFonts w:ascii="Arial" w:eastAsia="Times New Roman" w:hAnsi="Arial" w:cs="Arial"/>
                <w:color w:val="000000"/>
                <w:lang w:eastAsia="en-GB"/>
              </w:rPr>
              <w:t>Component</w:t>
            </w:r>
          </w:p>
        </w:tc>
        <w:tc>
          <w:tcPr>
            <w:tcW w:w="2014" w:type="dxa"/>
            <w:vMerge w:val="restart"/>
          </w:tcPr>
          <w:p w14:paraId="012661B7" w14:textId="77777777" w:rsidR="008463FB" w:rsidRPr="00262803" w:rsidRDefault="008463FB" w:rsidP="0066301C">
            <w:pPr>
              <w:pStyle w:val="NoSpacing"/>
              <w:jc w:val="both"/>
              <w:rPr>
                <w:rFonts w:ascii="Arial" w:hAnsi="Arial" w:cs="Arial"/>
              </w:rPr>
            </w:pPr>
            <w:r w:rsidRPr="00262803">
              <w:rPr>
                <w:rFonts w:ascii="Arial" w:hAnsi="Arial" w:cs="Arial"/>
              </w:rPr>
              <w:t xml:space="preserve">Variable </w:t>
            </w:r>
          </w:p>
        </w:tc>
        <w:tc>
          <w:tcPr>
            <w:tcW w:w="1244" w:type="dxa"/>
          </w:tcPr>
          <w:p w14:paraId="387F5C82" w14:textId="77777777" w:rsidR="008463FB" w:rsidRPr="00262803" w:rsidRDefault="008463FB" w:rsidP="0066301C">
            <w:pPr>
              <w:pStyle w:val="NoSpacing"/>
              <w:jc w:val="both"/>
              <w:rPr>
                <w:rFonts w:ascii="Arial" w:hAnsi="Arial" w:cs="Arial"/>
              </w:rPr>
            </w:pPr>
            <w:r w:rsidRPr="00262803">
              <w:rPr>
                <w:rFonts w:ascii="Arial" w:hAnsi="Arial" w:cs="Arial"/>
              </w:rPr>
              <w:t>China</w:t>
            </w:r>
          </w:p>
        </w:tc>
        <w:tc>
          <w:tcPr>
            <w:tcW w:w="981" w:type="dxa"/>
          </w:tcPr>
          <w:p w14:paraId="090CB575" w14:textId="77777777" w:rsidR="008463FB" w:rsidRPr="00262803" w:rsidRDefault="008463FB" w:rsidP="0066301C">
            <w:pPr>
              <w:pStyle w:val="NoSpacing"/>
              <w:jc w:val="both"/>
              <w:rPr>
                <w:rFonts w:ascii="Arial" w:hAnsi="Arial" w:cs="Arial"/>
              </w:rPr>
            </w:pPr>
            <w:r>
              <w:rPr>
                <w:rFonts w:ascii="Arial" w:hAnsi="Arial" w:cs="Arial"/>
              </w:rPr>
              <w:t>Ireland</w:t>
            </w:r>
          </w:p>
        </w:tc>
        <w:tc>
          <w:tcPr>
            <w:tcW w:w="1004" w:type="dxa"/>
          </w:tcPr>
          <w:p w14:paraId="4799FA5B" w14:textId="77777777" w:rsidR="008463FB" w:rsidRPr="00262803" w:rsidRDefault="008463FB" w:rsidP="0066301C">
            <w:pPr>
              <w:pStyle w:val="NoSpacing"/>
              <w:jc w:val="both"/>
              <w:rPr>
                <w:rFonts w:ascii="Arial" w:hAnsi="Arial" w:cs="Arial"/>
              </w:rPr>
            </w:pPr>
            <w:r>
              <w:rPr>
                <w:rFonts w:ascii="Arial" w:hAnsi="Arial" w:cs="Arial"/>
              </w:rPr>
              <w:t>Korea</w:t>
            </w:r>
          </w:p>
        </w:tc>
        <w:tc>
          <w:tcPr>
            <w:tcW w:w="1421" w:type="dxa"/>
          </w:tcPr>
          <w:p w14:paraId="79265F61" w14:textId="77777777" w:rsidR="008463FB" w:rsidRPr="00262803" w:rsidRDefault="008463FB" w:rsidP="0066301C">
            <w:pPr>
              <w:pStyle w:val="NoSpacing"/>
              <w:jc w:val="both"/>
              <w:rPr>
                <w:rFonts w:ascii="Arial" w:hAnsi="Arial" w:cs="Arial"/>
              </w:rPr>
            </w:pPr>
            <w:r w:rsidRPr="00262803">
              <w:rPr>
                <w:rFonts w:ascii="Arial" w:hAnsi="Arial" w:cs="Arial"/>
              </w:rPr>
              <w:t>Netherlands</w:t>
            </w:r>
          </w:p>
        </w:tc>
        <w:tc>
          <w:tcPr>
            <w:tcW w:w="998" w:type="dxa"/>
          </w:tcPr>
          <w:p w14:paraId="502602C6" w14:textId="77777777" w:rsidR="008463FB" w:rsidRPr="00262803" w:rsidRDefault="008463FB" w:rsidP="0066301C">
            <w:pPr>
              <w:pStyle w:val="NoSpacing"/>
              <w:jc w:val="both"/>
              <w:rPr>
                <w:rFonts w:ascii="Arial" w:hAnsi="Arial" w:cs="Arial"/>
              </w:rPr>
            </w:pPr>
            <w:r>
              <w:rPr>
                <w:rFonts w:ascii="Arial" w:hAnsi="Arial" w:cs="Arial"/>
              </w:rPr>
              <w:t>USA</w:t>
            </w:r>
          </w:p>
        </w:tc>
      </w:tr>
      <w:tr w:rsidR="008463FB" w14:paraId="10FA5211" w14:textId="77777777" w:rsidTr="008463FB">
        <w:tc>
          <w:tcPr>
            <w:tcW w:w="1354" w:type="dxa"/>
            <w:vMerge/>
          </w:tcPr>
          <w:p w14:paraId="46BD2271" w14:textId="77777777" w:rsidR="008463FB" w:rsidRPr="00262803" w:rsidRDefault="008463FB" w:rsidP="0066301C">
            <w:pPr>
              <w:pStyle w:val="NoSpacing"/>
              <w:jc w:val="both"/>
              <w:rPr>
                <w:rFonts w:ascii="Arial" w:hAnsi="Arial" w:cs="Arial"/>
              </w:rPr>
            </w:pPr>
          </w:p>
        </w:tc>
        <w:tc>
          <w:tcPr>
            <w:tcW w:w="2014" w:type="dxa"/>
            <w:vMerge/>
          </w:tcPr>
          <w:p w14:paraId="60DF2B6E" w14:textId="77777777" w:rsidR="008463FB" w:rsidRPr="00262803" w:rsidRDefault="008463FB" w:rsidP="0066301C">
            <w:pPr>
              <w:pStyle w:val="NoSpacing"/>
              <w:jc w:val="both"/>
              <w:rPr>
                <w:rFonts w:ascii="Arial" w:hAnsi="Arial" w:cs="Arial"/>
              </w:rPr>
            </w:pPr>
          </w:p>
        </w:tc>
        <w:tc>
          <w:tcPr>
            <w:tcW w:w="1244" w:type="dxa"/>
          </w:tcPr>
          <w:p w14:paraId="6C9207C1" w14:textId="77777777" w:rsidR="008463FB" w:rsidRPr="00262803" w:rsidRDefault="008463FB" w:rsidP="0066301C">
            <w:pPr>
              <w:pStyle w:val="NoSpacing"/>
              <w:jc w:val="both"/>
              <w:rPr>
                <w:rFonts w:ascii="Arial" w:hAnsi="Arial" w:cs="Arial"/>
              </w:rPr>
            </w:pPr>
            <w:r w:rsidRPr="00262803">
              <w:rPr>
                <w:rFonts w:ascii="Arial" w:hAnsi="Arial" w:cs="Arial"/>
                <w:i/>
              </w:rPr>
              <w:t>p-</w:t>
            </w:r>
            <w:r w:rsidRPr="00262803">
              <w:rPr>
                <w:rFonts w:ascii="Arial" w:hAnsi="Arial" w:cs="Arial"/>
              </w:rPr>
              <w:t>value</w:t>
            </w:r>
          </w:p>
        </w:tc>
        <w:tc>
          <w:tcPr>
            <w:tcW w:w="981" w:type="dxa"/>
          </w:tcPr>
          <w:p w14:paraId="39406D6D" w14:textId="77777777" w:rsidR="008463FB" w:rsidRPr="00262803" w:rsidRDefault="008463FB" w:rsidP="0066301C">
            <w:pPr>
              <w:pStyle w:val="NoSpacing"/>
              <w:jc w:val="both"/>
              <w:rPr>
                <w:rFonts w:ascii="Arial" w:hAnsi="Arial" w:cs="Arial"/>
              </w:rPr>
            </w:pPr>
            <w:r w:rsidRPr="00262803">
              <w:rPr>
                <w:rFonts w:ascii="Arial" w:hAnsi="Arial" w:cs="Arial"/>
                <w:i/>
              </w:rPr>
              <w:t>p-</w:t>
            </w:r>
            <w:r w:rsidRPr="00262803">
              <w:rPr>
                <w:rFonts w:ascii="Arial" w:hAnsi="Arial" w:cs="Arial"/>
              </w:rPr>
              <w:t>value</w:t>
            </w:r>
          </w:p>
        </w:tc>
        <w:tc>
          <w:tcPr>
            <w:tcW w:w="1004" w:type="dxa"/>
          </w:tcPr>
          <w:p w14:paraId="77B2C13E" w14:textId="77777777" w:rsidR="008463FB" w:rsidRPr="00262803" w:rsidRDefault="008463FB" w:rsidP="0066301C">
            <w:pPr>
              <w:pStyle w:val="NoSpacing"/>
              <w:jc w:val="both"/>
              <w:rPr>
                <w:rFonts w:ascii="Arial" w:hAnsi="Arial" w:cs="Arial"/>
              </w:rPr>
            </w:pPr>
            <w:r w:rsidRPr="00262803">
              <w:rPr>
                <w:rFonts w:ascii="Arial" w:hAnsi="Arial" w:cs="Arial"/>
                <w:i/>
              </w:rPr>
              <w:t>p-</w:t>
            </w:r>
            <w:r w:rsidRPr="00262803">
              <w:rPr>
                <w:rFonts w:ascii="Arial" w:hAnsi="Arial" w:cs="Arial"/>
              </w:rPr>
              <w:t>value</w:t>
            </w:r>
          </w:p>
        </w:tc>
        <w:tc>
          <w:tcPr>
            <w:tcW w:w="1421" w:type="dxa"/>
          </w:tcPr>
          <w:p w14:paraId="1FAC4EC7" w14:textId="77777777" w:rsidR="008463FB" w:rsidRPr="00262803" w:rsidRDefault="008463FB" w:rsidP="0066301C">
            <w:pPr>
              <w:pStyle w:val="NoSpacing"/>
              <w:jc w:val="both"/>
              <w:rPr>
                <w:rFonts w:ascii="Arial" w:hAnsi="Arial" w:cs="Arial"/>
              </w:rPr>
            </w:pPr>
            <w:r w:rsidRPr="00262803">
              <w:rPr>
                <w:rFonts w:ascii="Arial" w:hAnsi="Arial" w:cs="Arial"/>
                <w:i/>
              </w:rPr>
              <w:t>p-</w:t>
            </w:r>
            <w:r w:rsidRPr="00262803">
              <w:rPr>
                <w:rFonts w:ascii="Arial" w:hAnsi="Arial" w:cs="Arial"/>
              </w:rPr>
              <w:t>value</w:t>
            </w:r>
          </w:p>
        </w:tc>
        <w:tc>
          <w:tcPr>
            <w:tcW w:w="998" w:type="dxa"/>
          </w:tcPr>
          <w:p w14:paraId="3056E775" w14:textId="77777777" w:rsidR="008463FB" w:rsidRPr="00262803" w:rsidRDefault="008463FB" w:rsidP="0066301C">
            <w:pPr>
              <w:pStyle w:val="NoSpacing"/>
              <w:jc w:val="both"/>
              <w:rPr>
                <w:rFonts w:ascii="Arial" w:hAnsi="Arial" w:cs="Arial"/>
              </w:rPr>
            </w:pPr>
            <w:r w:rsidRPr="00262803">
              <w:rPr>
                <w:rFonts w:ascii="Arial" w:hAnsi="Arial" w:cs="Arial"/>
                <w:i/>
              </w:rPr>
              <w:t>p-</w:t>
            </w:r>
            <w:r w:rsidRPr="00262803">
              <w:rPr>
                <w:rFonts w:ascii="Arial" w:hAnsi="Arial" w:cs="Arial"/>
              </w:rPr>
              <w:t>value</w:t>
            </w:r>
          </w:p>
        </w:tc>
      </w:tr>
      <w:tr w:rsidR="008463FB" w14:paraId="572C3608" w14:textId="77777777" w:rsidTr="008463FB">
        <w:tc>
          <w:tcPr>
            <w:tcW w:w="1354" w:type="dxa"/>
          </w:tcPr>
          <w:p w14:paraId="6E2B127E" w14:textId="77777777" w:rsidR="008463FB" w:rsidRPr="00262803" w:rsidRDefault="008463FB" w:rsidP="0066301C">
            <w:pPr>
              <w:pStyle w:val="NoSpacing"/>
              <w:jc w:val="center"/>
              <w:rPr>
                <w:rFonts w:ascii="Arial" w:hAnsi="Arial" w:cs="Arial"/>
              </w:rPr>
            </w:pPr>
            <w:r w:rsidRPr="00262803">
              <w:rPr>
                <w:rFonts w:ascii="Arial" w:hAnsi="Arial" w:cs="Arial"/>
              </w:rPr>
              <w:t>1</w:t>
            </w:r>
          </w:p>
        </w:tc>
        <w:tc>
          <w:tcPr>
            <w:tcW w:w="2014" w:type="dxa"/>
          </w:tcPr>
          <w:p w14:paraId="05714E15" w14:textId="77777777" w:rsidR="008463FB" w:rsidRPr="00262803" w:rsidRDefault="008463FB" w:rsidP="0066301C">
            <w:pPr>
              <w:pStyle w:val="NoSpacing"/>
              <w:jc w:val="both"/>
              <w:rPr>
                <w:rFonts w:ascii="Arial" w:hAnsi="Arial" w:cs="Arial"/>
              </w:rPr>
            </w:pPr>
            <w:r>
              <w:rPr>
                <w:rFonts w:ascii="Arial" w:hAnsi="Arial" w:cs="Arial"/>
              </w:rPr>
              <w:t xml:space="preserve">Normality Test </w:t>
            </w:r>
          </w:p>
        </w:tc>
        <w:tc>
          <w:tcPr>
            <w:tcW w:w="1244" w:type="dxa"/>
            <w:vAlign w:val="bottom"/>
          </w:tcPr>
          <w:p w14:paraId="66CD3B17" w14:textId="77777777" w:rsidR="008463FB" w:rsidRPr="00262803" w:rsidRDefault="008463FB" w:rsidP="0066301C">
            <w:pPr>
              <w:pStyle w:val="NoSpacing"/>
              <w:jc w:val="right"/>
              <w:rPr>
                <w:rFonts w:ascii="Arial" w:hAnsi="Arial" w:cs="Arial"/>
                <w:color w:val="000000"/>
              </w:rPr>
            </w:pPr>
            <w:r>
              <w:rPr>
                <w:rFonts w:ascii="Arial" w:hAnsi="Arial" w:cs="Arial"/>
                <w:color w:val="000000"/>
              </w:rPr>
              <w:t>0.03</w:t>
            </w:r>
          </w:p>
        </w:tc>
        <w:tc>
          <w:tcPr>
            <w:tcW w:w="981" w:type="dxa"/>
            <w:vAlign w:val="bottom"/>
          </w:tcPr>
          <w:p w14:paraId="6A60DBC9" w14:textId="2DC18FE8" w:rsidR="008463FB" w:rsidRPr="00262803" w:rsidRDefault="008463FB" w:rsidP="0066301C">
            <w:pPr>
              <w:pStyle w:val="NoSpacing"/>
              <w:jc w:val="right"/>
              <w:rPr>
                <w:rFonts w:ascii="Arial" w:hAnsi="Arial" w:cs="Arial"/>
                <w:color w:val="000000"/>
              </w:rPr>
            </w:pPr>
            <w:r>
              <w:rPr>
                <w:rFonts w:ascii="Arial" w:hAnsi="Arial" w:cs="Arial"/>
                <w:color w:val="000000"/>
              </w:rPr>
              <w:t>0.201</w:t>
            </w:r>
          </w:p>
        </w:tc>
        <w:tc>
          <w:tcPr>
            <w:tcW w:w="1004" w:type="dxa"/>
            <w:vAlign w:val="bottom"/>
          </w:tcPr>
          <w:p w14:paraId="20DCA695" w14:textId="5B6C1030" w:rsidR="008463FB" w:rsidRPr="00262803" w:rsidRDefault="008463FB" w:rsidP="0066301C">
            <w:pPr>
              <w:pStyle w:val="NoSpacing"/>
              <w:jc w:val="right"/>
              <w:rPr>
                <w:rFonts w:ascii="Arial" w:hAnsi="Arial" w:cs="Arial"/>
                <w:color w:val="000000"/>
              </w:rPr>
            </w:pPr>
            <w:r>
              <w:rPr>
                <w:rFonts w:ascii="Arial" w:hAnsi="Arial" w:cs="Arial"/>
                <w:color w:val="000000"/>
              </w:rPr>
              <w:t>0.001</w:t>
            </w:r>
          </w:p>
        </w:tc>
        <w:tc>
          <w:tcPr>
            <w:tcW w:w="1421" w:type="dxa"/>
            <w:vAlign w:val="bottom"/>
          </w:tcPr>
          <w:p w14:paraId="4BEF5F92" w14:textId="20BF9E42" w:rsidR="008463FB" w:rsidRPr="00262803" w:rsidRDefault="00B64392" w:rsidP="0066301C">
            <w:pPr>
              <w:pStyle w:val="NoSpacing"/>
              <w:jc w:val="right"/>
              <w:rPr>
                <w:rFonts w:ascii="Arial" w:hAnsi="Arial" w:cs="Arial"/>
                <w:color w:val="000000"/>
              </w:rPr>
            </w:pPr>
            <w:r>
              <w:rPr>
                <w:rFonts w:ascii="Arial" w:hAnsi="Arial" w:cs="Arial"/>
                <w:color w:val="000000"/>
              </w:rPr>
              <w:t>0.065</w:t>
            </w:r>
          </w:p>
        </w:tc>
        <w:tc>
          <w:tcPr>
            <w:tcW w:w="998" w:type="dxa"/>
            <w:vAlign w:val="bottom"/>
          </w:tcPr>
          <w:p w14:paraId="39323BC8" w14:textId="2AA36C51" w:rsidR="008463FB" w:rsidRPr="00262803" w:rsidRDefault="00B64392" w:rsidP="0066301C">
            <w:pPr>
              <w:pStyle w:val="NoSpacing"/>
              <w:jc w:val="right"/>
              <w:rPr>
                <w:rFonts w:ascii="Arial" w:hAnsi="Arial" w:cs="Arial"/>
                <w:color w:val="000000"/>
              </w:rPr>
            </w:pPr>
            <w:r>
              <w:rPr>
                <w:rFonts w:ascii="Arial" w:hAnsi="Arial" w:cs="Arial"/>
                <w:color w:val="000000"/>
              </w:rPr>
              <w:t>0.000</w:t>
            </w:r>
          </w:p>
        </w:tc>
      </w:tr>
      <w:tr w:rsidR="008463FB" w14:paraId="1D0B301F" w14:textId="77777777" w:rsidTr="008463FB">
        <w:tc>
          <w:tcPr>
            <w:tcW w:w="1354" w:type="dxa"/>
          </w:tcPr>
          <w:p w14:paraId="5621AA98" w14:textId="77777777" w:rsidR="008463FB" w:rsidRPr="00262803" w:rsidRDefault="008463FB" w:rsidP="0066301C">
            <w:pPr>
              <w:pStyle w:val="NoSpacing"/>
              <w:jc w:val="center"/>
              <w:rPr>
                <w:rFonts w:ascii="Arial" w:hAnsi="Arial" w:cs="Arial"/>
              </w:rPr>
            </w:pPr>
            <w:r w:rsidRPr="00262803">
              <w:rPr>
                <w:rFonts w:ascii="Arial" w:hAnsi="Arial" w:cs="Arial"/>
              </w:rPr>
              <w:t>2</w:t>
            </w:r>
          </w:p>
        </w:tc>
        <w:tc>
          <w:tcPr>
            <w:tcW w:w="2014" w:type="dxa"/>
          </w:tcPr>
          <w:p w14:paraId="649A7351" w14:textId="77777777" w:rsidR="008463FB" w:rsidRPr="00262803" w:rsidRDefault="008463FB" w:rsidP="0066301C">
            <w:pPr>
              <w:pStyle w:val="NoSpacing"/>
              <w:jc w:val="both"/>
              <w:rPr>
                <w:rFonts w:ascii="Arial" w:hAnsi="Arial" w:cs="Arial"/>
              </w:rPr>
            </w:pPr>
            <w:r>
              <w:rPr>
                <w:rFonts w:ascii="Arial" w:hAnsi="Arial" w:cs="Arial"/>
              </w:rPr>
              <w:t xml:space="preserve">Autocorrelation </w:t>
            </w:r>
          </w:p>
        </w:tc>
        <w:tc>
          <w:tcPr>
            <w:tcW w:w="1244" w:type="dxa"/>
            <w:vAlign w:val="bottom"/>
          </w:tcPr>
          <w:p w14:paraId="1446CC0F" w14:textId="77777777" w:rsidR="008463FB" w:rsidRPr="00262803" w:rsidRDefault="008463FB" w:rsidP="0066301C">
            <w:pPr>
              <w:pStyle w:val="NoSpacing"/>
              <w:jc w:val="right"/>
              <w:rPr>
                <w:rFonts w:ascii="Arial" w:hAnsi="Arial" w:cs="Arial"/>
                <w:color w:val="000000"/>
              </w:rPr>
            </w:pPr>
            <w:r>
              <w:rPr>
                <w:rFonts w:ascii="Arial" w:hAnsi="Arial" w:cs="Arial"/>
                <w:color w:val="000000"/>
              </w:rPr>
              <w:t>0.931</w:t>
            </w:r>
          </w:p>
        </w:tc>
        <w:tc>
          <w:tcPr>
            <w:tcW w:w="981" w:type="dxa"/>
            <w:vAlign w:val="bottom"/>
          </w:tcPr>
          <w:p w14:paraId="7B0F28EC" w14:textId="23E5752C" w:rsidR="008463FB" w:rsidRPr="00262803" w:rsidRDefault="008463FB" w:rsidP="0066301C">
            <w:pPr>
              <w:pStyle w:val="NoSpacing"/>
              <w:jc w:val="right"/>
              <w:rPr>
                <w:rFonts w:ascii="Arial" w:hAnsi="Arial" w:cs="Arial"/>
                <w:color w:val="000000"/>
              </w:rPr>
            </w:pPr>
            <w:r>
              <w:rPr>
                <w:rFonts w:ascii="Arial" w:hAnsi="Arial" w:cs="Arial"/>
                <w:color w:val="000000"/>
              </w:rPr>
              <w:t>0.769</w:t>
            </w:r>
          </w:p>
        </w:tc>
        <w:tc>
          <w:tcPr>
            <w:tcW w:w="1004" w:type="dxa"/>
            <w:vAlign w:val="bottom"/>
          </w:tcPr>
          <w:p w14:paraId="0FA1DEE6" w14:textId="379FF83B" w:rsidR="008463FB" w:rsidRPr="00262803" w:rsidRDefault="008463FB" w:rsidP="0066301C">
            <w:pPr>
              <w:pStyle w:val="NoSpacing"/>
              <w:jc w:val="right"/>
              <w:rPr>
                <w:rFonts w:ascii="Arial" w:hAnsi="Arial" w:cs="Arial"/>
                <w:color w:val="000000"/>
              </w:rPr>
            </w:pPr>
            <w:r>
              <w:rPr>
                <w:rFonts w:ascii="Arial" w:hAnsi="Arial" w:cs="Arial"/>
                <w:color w:val="000000"/>
              </w:rPr>
              <w:t>0.387</w:t>
            </w:r>
          </w:p>
        </w:tc>
        <w:tc>
          <w:tcPr>
            <w:tcW w:w="1421" w:type="dxa"/>
            <w:vAlign w:val="bottom"/>
          </w:tcPr>
          <w:p w14:paraId="4FF0C617" w14:textId="1118432F" w:rsidR="008463FB" w:rsidRPr="00262803" w:rsidRDefault="00B64392" w:rsidP="0066301C">
            <w:pPr>
              <w:pStyle w:val="NoSpacing"/>
              <w:jc w:val="right"/>
              <w:rPr>
                <w:rFonts w:ascii="Arial" w:hAnsi="Arial" w:cs="Arial"/>
                <w:color w:val="000000"/>
              </w:rPr>
            </w:pPr>
            <w:r>
              <w:rPr>
                <w:rFonts w:ascii="Arial" w:hAnsi="Arial" w:cs="Arial"/>
                <w:color w:val="000000"/>
              </w:rPr>
              <w:t>0.832</w:t>
            </w:r>
          </w:p>
        </w:tc>
        <w:tc>
          <w:tcPr>
            <w:tcW w:w="998" w:type="dxa"/>
            <w:vAlign w:val="bottom"/>
          </w:tcPr>
          <w:p w14:paraId="62EC4475" w14:textId="0DD6A1F2" w:rsidR="008463FB" w:rsidRPr="00262803" w:rsidRDefault="00B64392" w:rsidP="0066301C">
            <w:pPr>
              <w:pStyle w:val="NoSpacing"/>
              <w:jc w:val="right"/>
              <w:rPr>
                <w:rFonts w:ascii="Arial" w:hAnsi="Arial" w:cs="Arial"/>
                <w:color w:val="000000"/>
              </w:rPr>
            </w:pPr>
            <w:r>
              <w:rPr>
                <w:rFonts w:ascii="Arial" w:hAnsi="Arial" w:cs="Arial"/>
                <w:color w:val="000000"/>
              </w:rPr>
              <w:t>0.786</w:t>
            </w:r>
          </w:p>
        </w:tc>
      </w:tr>
      <w:tr w:rsidR="008463FB" w14:paraId="12D7B001" w14:textId="77777777" w:rsidTr="008463FB">
        <w:tc>
          <w:tcPr>
            <w:tcW w:w="1354" w:type="dxa"/>
          </w:tcPr>
          <w:p w14:paraId="5141D327" w14:textId="77777777" w:rsidR="008463FB" w:rsidRPr="00262803" w:rsidRDefault="008463FB" w:rsidP="0066301C">
            <w:pPr>
              <w:pStyle w:val="NoSpacing"/>
              <w:jc w:val="center"/>
              <w:rPr>
                <w:rFonts w:ascii="Arial" w:hAnsi="Arial" w:cs="Arial"/>
              </w:rPr>
            </w:pPr>
            <w:r w:rsidRPr="00262803">
              <w:rPr>
                <w:rFonts w:ascii="Arial" w:hAnsi="Arial" w:cs="Arial"/>
              </w:rPr>
              <w:t>3</w:t>
            </w:r>
          </w:p>
        </w:tc>
        <w:tc>
          <w:tcPr>
            <w:tcW w:w="2014" w:type="dxa"/>
          </w:tcPr>
          <w:p w14:paraId="654E5A5B" w14:textId="77777777" w:rsidR="008463FB" w:rsidRPr="00262803" w:rsidRDefault="008463FB" w:rsidP="0066301C">
            <w:pPr>
              <w:pStyle w:val="NoSpacing"/>
              <w:jc w:val="both"/>
              <w:rPr>
                <w:rFonts w:ascii="Arial" w:hAnsi="Arial" w:cs="Arial"/>
              </w:rPr>
            </w:pPr>
            <w:r>
              <w:rPr>
                <w:rFonts w:ascii="Arial" w:hAnsi="Arial" w:cs="Arial"/>
              </w:rPr>
              <w:t xml:space="preserve">Heteroscedasticity </w:t>
            </w:r>
          </w:p>
        </w:tc>
        <w:tc>
          <w:tcPr>
            <w:tcW w:w="1244" w:type="dxa"/>
            <w:vAlign w:val="bottom"/>
          </w:tcPr>
          <w:p w14:paraId="09ED3113" w14:textId="77777777" w:rsidR="008463FB" w:rsidRPr="00262803" w:rsidRDefault="008463FB" w:rsidP="0066301C">
            <w:pPr>
              <w:pStyle w:val="NoSpacing"/>
              <w:jc w:val="right"/>
              <w:rPr>
                <w:rFonts w:ascii="Arial" w:hAnsi="Arial" w:cs="Arial"/>
                <w:color w:val="000000"/>
              </w:rPr>
            </w:pPr>
            <w:r>
              <w:rPr>
                <w:rFonts w:ascii="Arial" w:hAnsi="Arial" w:cs="Arial"/>
                <w:color w:val="000000"/>
              </w:rPr>
              <w:t>0.132</w:t>
            </w:r>
          </w:p>
        </w:tc>
        <w:tc>
          <w:tcPr>
            <w:tcW w:w="981" w:type="dxa"/>
            <w:vAlign w:val="bottom"/>
          </w:tcPr>
          <w:p w14:paraId="6B805B79" w14:textId="77777777" w:rsidR="008463FB" w:rsidRPr="00262803" w:rsidRDefault="008463FB" w:rsidP="0066301C">
            <w:pPr>
              <w:pStyle w:val="NoSpacing"/>
              <w:jc w:val="right"/>
              <w:rPr>
                <w:rFonts w:ascii="Arial" w:hAnsi="Arial" w:cs="Arial"/>
                <w:color w:val="000000"/>
              </w:rPr>
            </w:pPr>
            <w:r>
              <w:rPr>
                <w:rFonts w:ascii="Arial" w:hAnsi="Arial" w:cs="Arial"/>
                <w:color w:val="000000"/>
              </w:rPr>
              <w:t>0.221</w:t>
            </w:r>
          </w:p>
        </w:tc>
        <w:tc>
          <w:tcPr>
            <w:tcW w:w="1004" w:type="dxa"/>
            <w:vAlign w:val="bottom"/>
          </w:tcPr>
          <w:p w14:paraId="36422C4A" w14:textId="32A2CC94" w:rsidR="008463FB" w:rsidRPr="00262803" w:rsidRDefault="00B64392" w:rsidP="0066301C">
            <w:pPr>
              <w:pStyle w:val="NoSpacing"/>
              <w:jc w:val="right"/>
              <w:rPr>
                <w:rFonts w:ascii="Arial" w:hAnsi="Arial" w:cs="Arial"/>
                <w:color w:val="000000"/>
              </w:rPr>
            </w:pPr>
            <w:r>
              <w:rPr>
                <w:rFonts w:ascii="Arial" w:hAnsi="Arial" w:cs="Arial"/>
                <w:color w:val="000000"/>
              </w:rPr>
              <w:t>0.543</w:t>
            </w:r>
          </w:p>
        </w:tc>
        <w:tc>
          <w:tcPr>
            <w:tcW w:w="1421" w:type="dxa"/>
            <w:vAlign w:val="bottom"/>
          </w:tcPr>
          <w:p w14:paraId="23A9EC20" w14:textId="305160F2" w:rsidR="008463FB" w:rsidRPr="00262803" w:rsidRDefault="00B64392" w:rsidP="0066301C">
            <w:pPr>
              <w:pStyle w:val="NoSpacing"/>
              <w:jc w:val="right"/>
              <w:rPr>
                <w:rFonts w:ascii="Arial" w:hAnsi="Arial" w:cs="Arial"/>
                <w:color w:val="000000"/>
              </w:rPr>
            </w:pPr>
            <w:r>
              <w:rPr>
                <w:rFonts w:ascii="Arial" w:hAnsi="Arial" w:cs="Arial"/>
                <w:color w:val="000000"/>
              </w:rPr>
              <w:t>0.134</w:t>
            </w:r>
          </w:p>
        </w:tc>
        <w:tc>
          <w:tcPr>
            <w:tcW w:w="998" w:type="dxa"/>
            <w:vAlign w:val="bottom"/>
          </w:tcPr>
          <w:p w14:paraId="48D447EA" w14:textId="4CC034FA" w:rsidR="008463FB" w:rsidRPr="00262803" w:rsidRDefault="00B64392" w:rsidP="0066301C">
            <w:pPr>
              <w:pStyle w:val="NoSpacing"/>
              <w:jc w:val="right"/>
              <w:rPr>
                <w:rFonts w:ascii="Arial" w:hAnsi="Arial" w:cs="Arial"/>
                <w:color w:val="000000"/>
              </w:rPr>
            </w:pPr>
            <w:r>
              <w:rPr>
                <w:rFonts w:ascii="Arial" w:hAnsi="Arial" w:cs="Arial"/>
                <w:color w:val="000000"/>
              </w:rPr>
              <w:t>0.249</w:t>
            </w:r>
          </w:p>
        </w:tc>
      </w:tr>
    </w:tbl>
    <w:p w14:paraId="4F624F51" w14:textId="5CB2B2DA" w:rsidR="000D074A" w:rsidRPr="001B21D5" w:rsidRDefault="00DE2EEC" w:rsidP="0066301C">
      <w:pPr>
        <w:autoSpaceDE w:val="0"/>
        <w:autoSpaceDN w:val="0"/>
        <w:adjustRightInd w:val="0"/>
        <w:jc w:val="both"/>
        <w:rPr>
          <w:rFonts w:ascii="Arial" w:hAnsi="Arial" w:cs="Arial"/>
          <w:i/>
          <w:sz w:val="20"/>
          <w:szCs w:val="20"/>
        </w:rPr>
      </w:pPr>
      <w:r w:rsidRPr="00EC16EC">
        <w:rPr>
          <w:rFonts w:ascii="Arial" w:hAnsi="Arial" w:cs="Arial"/>
          <w:i/>
          <w:sz w:val="20"/>
          <w:szCs w:val="20"/>
        </w:rPr>
        <w:t>Source</w:t>
      </w:r>
      <w:r w:rsidRPr="00EC16EC">
        <w:rPr>
          <w:rFonts w:ascii="Arial" w:hAnsi="Arial" w:cs="Arial"/>
          <w:sz w:val="20"/>
          <w:szCs w:val="20"/>
        </w:rPr>
        <w:t xml:space="preserve">: </w:t>
      </w:r>
      <w:r w:rsidRPr="00EC16EC">
        <w:rPr>
          <w:rFonts w:ascii="Arial" w:hAnsi="Arial" w:cs="Arial"/>
          <w:i/>
          <w:sz w:val="20"/>
          <w:szCs w:val="20"/>
        </w:rPr>
        <w:t>Computation from time-series data using EViews 1</w:t>
      </w:r>
      <w:r w:rsidR="00587631">
        <w:rPr>
          <w:rFonts w:ascii="Arial" w:hAnsi="Arial" w:cs="Arial"/>
          <w:i/>
          <w:sz w:val="20"/>
          <w:szCs w:val="20"/>
        </w:rPr>
        <w:t>2</w:t>
      </w:r>
      <w:r w:rsidRPr="00EC16EC">
        <w:rPr>
          <w:rFonts w:ascii="Arial" w:hAnsi="Arial" w:cs="Arial"/>
          <w:i/>
          <w:sz w:val="20"/>
          <w:szCs w:val="20"/>
        </w:rPr>
        <w:t>.</w:t>
      </w:r>
      <w:bookmarkEnd w:id="453"/>
    </w:p>
    <w:p w14:paraId="08E70346" w14:textId="63BC71B0" w:rsidR="0000408D" w:rsidRPr="005B5394" w:rsidRDefault="0000408D" w:rsidP="0066301C">
      <w:pPr>
        <w:autoSpaceDE w:val="0"/>
        <w:autoSpaceDN w:val="0"/>
        <w:adjustRightInd w:val="0"/>
        <w:spacing w:after="0" w:line="360" w:lineRule="auto"/>
        <w:jc w:val="both"/>
        <w:rPr>
          <w:rFonts w:ascii="Arial" w:hAnsi="Arial" w:cs="Arial"/>
          <w:b/>
          <w:u w:val="single"/>
        </w:rPr>
      </w:pPr>
      <w:r w:rsidRPr="005B5394">
        <w:rPr>
          <w:rFonts w:ascii="Arial" w:hAnsi="Arial" w:cs="Arial"/>
          <w:b/>
          <w:u w:val="single"/>
        </w:rPr>
        <w:t>Cameroon</w:t>
      </w:r>
    </w:p>
    <w:p w14:paraId="21755685" w14:textId="7287A446" w:rsidR="0000408D" w:rsidRDefault="0000408D" w:rsidP="0066301C">
      <w:pPr>
        <w:autoSpaceDE w:val="0"/>
        <w:autoSpaceDN w:val="0"/>
        <w:adjustRightInd w:val="0"/>
        <w:spacing w:after="0" w:line="360" w:lineRule="auto"/>
        <w:jc w:val="both"/>
        <w:rPr>
          <w:rFonts w:ascii="Arial" w:hAnsi="Arial" w:cs="Arial"/>
        </w:rPr>
      </w:pPr>
      <w:r w:rsidRPr="00262803">
        <w:rPr>
          <w:rFonts w:ascii="Arial" w:hAnsi="Arial" w:cs="Arial"/>
        </w:rPr>
        <w:lastRenderedPageBreak/>
        <w:t>From the above table,</w:t>
      </w:r>
      <w:r>
        <w:rPr>
          <w:rFonts w:ascii="Arial" w:hAnsi="Arial" w:cs="Arial"/>
        </w:rPr>
        <w:t xml:space="preserve"> </w:t>
      </w:r>
      <w:r w:rsidR="001115E1">
        <w:rPr>
          <w:rFonts w:ascii="Arial" w:hAnsi="Arial" w:cs="Arial"/>
        </w:rPr>
        <w:t xml:space="preserve">all </w:t>
      </w:r>
      <w:r w:rsidRPr="00262803">
        <w:rPr>
          <w:rFonts w:ascii="Arial" w:hAnsi="Arial" w:cs="Arial"/>
        </w:rPr>
        <w:t xml:space="preserve">the </w:t>
      </w:r>
      <w:r w:rsidR="001115E1">
        <w:rPr>
          <w:rFonts w:ascii="Arial" w:hAnsi="Arial" w:cs="Arial"/>
        </w:rPr>
        <w:t>diagnostic test results (</w:t>
      </w:r>
      <w:r>
        <w:rPr>
          <w:rFonts w:ascii="Arial" w:hAnsi="Arial" w:cs="Arial"/>
        </w:rPr>
        <w:t xml:space="preserve">normality, </w:t>
      </w:r>
      <w:r w:rsidRPr="00262803">
        <w:rPr>
          <w:rFonts w:ascii="Arial" w:hAnsi="Arial" w:cs="Arial"/>
        </w:rPr>
        <w:t>autocorrelation</w:t>
      </w:r>
      <w:r w:rsidR="625B2399" w:rsidRPr="396E8BDD">
        <w:rPr>
          <w:rFonts w:ascii="Arial" w:hAnsi="Arial" w:cs="Arial"/>
        </w:rPr>
        <w:t>,</w:t>
      </w:r>
      <w:r w:rsidRPr="00262803">
        <w:rPr>
          <w:rFonts w:ascii="Arial" w:hAnsi="Arial" w:cs="Arial"/>
        </w:rPr>
        <w:t xml:space="preserve"> and heteroscedasticity </w:t>
      </w:r>
      <w:r>
        <w:rPr>
          <w:rFonts w:ascii="Arial" w:hAnsi="Arial" w:cs="Arial"/>
        </w:rPr>
        <w:t>test</w:t>
      </w:r>
      <w:r w:rsidR="001115E1">
        <w:rPr>
          <w:rFonts w:ascii="Arial" w:hAnsi="Arial" w:cs="Arial"/>
        </w:rPr>
        <w:t>)</w:t>
      </w:r>
      <w:r>
        <w:rPr>
          <w:rFonts w:ascii="Arial" w:hAnsi="Arial" w:cs="Arial"/>
        </w:rPr>
        <w:t xml:space="preserve"> of Cameroon’s models’</w:t>
      </w:r>
      <w:r w:rsidRPr="00262803">
        <w:rPr>
          <w:rFonts w:ascii="Arial" w:hAnsi="Arial" w:cs="Arial"/>
        </w:rPr>
        <w:t xml:space="preserve"> </w:t>
      </w:r>
      <w:r w:rsidR="001115E1">
        <w:rPr>
          <w:rFonts w:ascii="Arial" w:hAnsi="Arial" w:cs="Arial"/>
        </w:rPr>
        <w:t xml:space="preserve">have </w:t>
      </w:r>
      <w:r w:rsidRPr="00262803">
        <w:rPr>
          <w:rFonts w:ascii="Arial" w:hAnsi="Arial" w:cs="Arial"/>
          <w:i/>
        </w:rPr>
        <w:t>p</w:t>
      </w:r>
      <w:r w:rsidRPr="00262803">
        <w:rPr>
          <w:rFonts w:ascii="Arial" w:hAnsi="Arial" w:cs="Arial"/>
        </w:rPr>
        <w:t>-values &gt; 0.05</w:t>
      </w:r>
      <w:r>
        <w:rPr>
          <w:rFonts w:ascii="Arial" w:hAnsi="Arial" w:cs="Arial"/>
        </w:rPr>
        <w:t>. This impl</w:t>
      </w:r>
      <w:r w:rsidR="00BA0A91">
        <w:rPr>
          <w:rFonts w:ascii="Arial" w:hAnsi="Arial" w:cs="Arial"/>
        </w:rPr>
        <w:t>ies</w:t>
      </w:r>
      <w:r w:rsidRPr="00262803">
        <w:rPr>
          <w:rFonts w:ascii="Arial" w:hAnsi="Arial" w:cs="Arial"/>
        </w:rPr>
        <w:t xml:space="preserve"> that </w:t>
      </w:r>
      <w:r>
        <w:rPr>
          <w:rFonts w:ascii="Arial" w:hAnsi="Arial" w:cs="Arial"/>
        </w:rPr>
        <w:t xml:space="preserve">the models </w:t>
      </w:r>
      <w:r w:rsidRPr="00262803">
        <w:rPr>
          <w:rFonts w:ascii="Arial" w:hAnsi="Arial" w:cs="Arial"/>
        </w:rPr>
        <w:t>are good</w:t>
      </w:r>
      <w:r>
        <w:rPr>
          <w:rFonts w:ascii="Arial" w:hAnsi="Arial" w:cs="Arial"/>
        </w:rPr>
        <w:t xml:space="preserve"> and reliable to be use</w:t>
      </w:r>
      <w:r w:rsidR="0004369D">
        <w:rPr>
          <w:rFonts w:ascii="Arial" w:hAnsi="Arial" w:cs="Arial"/>
        </w:rPr>
        <w:t>d</w:t>
      </w:r>
      <w:r>
        <w:rPr>
          <w:rFonts w:ascii="Arial" w:hAnsi="Arial" w:cs="Arial"/>
        </w:rPr>
        <w:t xml:space="preserve"> in this thesis</w:t>
      </w:r>
      <w:r w:rsidRPr="00262803">
        <w:rPr>
          <w:rFonts w:ascii="Arial" w:hAnsi="Arial" w:cs="Arial"/>
        </w:rPr>
        <w:t xml:space="preserve">. </w:t>
      </w:r>
    </w:p>
    <w:p w14:paraId="2D84E7BC" w14:textId="77777777" w:rsidR="0000408D" w:rsidRPr="00422F2B" w:rsidRDefault="0000408D" w:rsidP="0066301C">
      <w:pPr>
        <w:autoSpaceDE w:val="0"/>
        <w:autoSpaceDN w:val="0"/>
        <w:adjustRightInd w:val="0"/>
        <w:spacing w:after="0" w:line="360" w:lineRule="auto"/>
        <w:jc w:val="both"/>
        <w:rPr>
          <w:rFonts w:ascii="Arial" w:hAnsi="Arial" w:cs="Arial"/>
          <w:b/>
          <w:u w:val="single"/>
        </w:rPr>
      </w:pPr>
      <w:r w:rsidRPr="00422F2B">
        <w:rPr>
          <w:rFonts w:ascii="Arial" w:hAnsi="Arial" w:cs="Arial"/>
          <w:b/>
          <w:u w:val="single"/>
        </w:rPr>
        <w:t>CAR</w:t>
      </w:r>
    </w:p>
    <w:p w14:paraId="5EBAF2B5" w14:textId="4289F131" w:rsidR="0000408D" w:rsidRDefault="0000408D" w:rsidP="0066301C">
      <w:pPr>
        <w:autoSpaceDE w:val="0"/>
        <w:autoSpaceDN w:val="0"/>
        <w:adjustRightInd w:val="0"/>
        <w:spacing w:after="0" w:line="360" w:lineRule="auto"/>
        <w:jc w:val="both"/>
        <w:rPr>
          <w:rFonts w:ascii="Arial" w:hAnsi="Arial" w:cs="Arial"/>
        </w:rPr>
      </w:pPr>
      <w:r w:rsidRPr="00262803">
        <w:rPr>
          <w:rFonts w:ascii="Arial" w:hAnsi="Arial" w:cs="Arial"/>
        </w:rPr>
        <w:t>For the CAR results,</w:t>
      </w:r>
      <w:r>
        <w:rPr>
          <w:rFonts w:ascii="Arial" w:hAnsi="Arial" w:cs="Arial"/>
        </w:rPr>
        <w:t xml:space="preserve"> all the models’ test</w:t>
      </w:r>
      <w:r w:rsidR="0004369D">
        <w:rPr>
          <w:rFonts w:ascii="Arial" w:hAnsi="Arial" w:cs="Arial"/>
        </w:rPr>
        <w:t>s</w:t>
      </w:r>
      <w:r>
        <w:rPr>
          <w:rFonts w:ascii="Arial" w:hAnsi="Arial" w:cs="Arial"/>
        </w:rPr>
        <w:t xml:space="preserve"> are good</w:t>
      </w:r>
      <w:r w:rsidR="0004369D">
        <w:rPr>
          <w:rFonts w:ascii="Arial" w:hAnsi="Arial" w:cs="Arial"/>
        </w:rPr>
        <w:t>,</w:t>
      </w:r>
      <w:r>
        <w:rPr>
          <w:rFonts w:ascii="Arial" w:hAnsi="Arial" w:cs="Arial"/>
        </w:rPr>
        <w:t xml:space="preserve"> </w:t>
      </w:r>
      <w:r w:rsidR="008C6C4F">
        <w:rPr>
          <w:rFonts w:ascii="Arial" w:hAnsi="Arial" w:cs="Arial"/>
        </w:rPr>
        <w:t>but the</w:t>
      </w:r>
      <w:r w:rsidR="001115E1">
        <w:rPr>
          <w:rFonts w:ascii="Arial" w:hAnsi="Arial" w:cs="Arial"/>
        </w:rPr>
        <w:t xml:space="preserve"> </w:t>
      </w:r>
      <w:r>
        <w:rPr>
          <w:rFonts w:ascii="Arial" w:hAnsi="Arial" w:cs="Arial"/>
        </w:rPr>
        <w:t>normality test result</w:t>
      </w:r>
      <w:r w:rsidR="008C6C4F">
        <w:rPr>
          <w:rFonts w:ascii="Arial" w:hAnsi="Arial" w:cs="Arial"/>
        </w:rPr>
        <w:t>s</w:t>
      </w:r>
      <w:r>
        <w:rPr>
          <w:rFonts w:ascii="Arial" w:hAnsi="Arial" w:cs="Arial"/>
        </w:rPr>
        <w:t xml:space="preserve"> for Cameroon</w:t>
      </w:r>
      <w:r w:rsidR="008E2C84">
        <w:rPr>
          <w:rFonts w:ascii="Arial" w:hAnsi="Arial" w:cs="Arial"/>
        </w:rPr>
        <w:t xml:space="preserve"> and China</w:t>
      </w:r>
      <w:r>
        <w:rPr>
          <w:rFonts w:ascii="Arial" w:hAnsi="Arial" w:cs="Arial"/>
        </w:rPr>
        <w:t xml:space="preserve"> model</w:t>
      </w:r>
      <w:r w:rsidR="008E2C84">
        <w:rPr>
          <w:rFonts w:ascii="Arial" w:hAnsi="Arial" w:cs="Arial"/>
        </w:rPr>
        <w:t>s</w:t>
      </w:r>
      <w:r>
        <w:rPr>
          <w:rFonts w:ascii="Arial" w:hAnsi="Arial" w:cs="Arial"/>
        </w:rPr>
        <w:t>. The normality test result for Cameroon</w:t>
      </w:r>
      <w:r w:rsidR="008E2C84">
        <w:rPr>
          <w:rFonts w:ascii="Arial" w:hAnsi="Arial" w:cs="Arial"/>
        </w:rPr>
        <w:t xml:space="preserve"> and China</w:t>
      </w:r>
      <w:r>
        <w:rPr>
          <w:rFonts w:ascii="Arial" w:hAnsi="Arial" w:cs="Arial"/>
        </w:rPr>
        <w:t xml:space="preserve"> models</w:t>
      </w:r>
      <w:r w:rsidR="008E2C84">
        <w:rPr>
          <w:rFonts w:ascii="Arial" w:hAnsi="Arial" w:cs="Arial"/>
        </w:rPr>
        <w:t>’</w:t>
      </w:r>
      <w:r>
        <w:rPr>
          <w:rFonts w:ascii="Arial" w:hAnsi="Arial" w:cs="Arial"/>
        </w:rPr>
        <w:t xml:space="preserve"> </w:t>
      </w:r>
      <w:r w:rsidRPr="00262803">
        <w:rPr>
          <w:rFonts w:ascii="Arial" w:hAnsi="Arial" w:cs="Arial"/>
          <w:i/>
        </w:rPr>
        <w:t>p-</w:t>
      </w:r>
      <w:r>
        <w:rPr>
          <w:rFonts w:ascii="Arial" w:hAnsi="Arial" w:cs="Arial"/>
        </w:rPr>
        <w:t>value &lt;</w:t>
      </w:r>
      <w:r w:rsidRPr="00262803">
        <w:rPr>
          <w:rFonts w:ascii="Arial" w:hAnsi="Arial" w:cs="Arial"/>
        </w:rPr>
        <w:t xml:space="preserve"> 0.05</w:t>
      </w:r>
      <w:r>
        <w:rPr>
          <w:rFonts w:ascii="Arial" w:hAnsi="Arial" w:cs="Arial"/>
        </w:rPr>
        <w:t xml:space="preserve">, meaning </w:t>
      </w:r>
      <w:r w:rsidR="00707BEA">
        <w:rPr>
          <w:rFonts w:ascii="Arial" w:hAnsi="Arial" w:cs="Arial"/>
        </w:rPr>
        <w:t xml:space="preserve">it </w:t>
      </w:r>
      <w:r w:rsidR="008E2C84">
        <w:rPr>
          <w:rFonts w:ascii="Arial" w:hAnsi="Arial" w:cs="Arial"/>
        </w:rPr>
        <w:t>is</w:t>
      </w:r>
      <w:r>
        <w:rPr>
          <w:rFonts w:ascii="Arial" w:hAnsi="Arial" w:cs="Arial"/>
        </w:rPr>
        <w:t xml:space="preserve"> not normally distributed</w:t>
      </w:r>
      <w:r w:rsidRPr="00262803">
        <w:rPr>
          <w:rFonts w:ascii="Arial" w:hAnsi="Arial" w:cs="Arial"/>
        </w:rPr>
        <w:t xml:space="preserve">. </w:t>
      </w:r>
      <w:r>
        <w:rPr>
          <w:rFonts w:ascii="Arial" w:hAnsi="Arial" w:cs="Arial"/>
        </w:rPr>
        <w:t>However, the models a</w:t>
      </w:r>
      <w:r w:rsidRPr="00262803">
        <w:rPr>
          <w:rFonts w:ascii="Arial" w:hAnsi="Arial" w:cs="Arial"/>
          <w:color w:val="000000"/>
        </w:rPr>
        <w:t>re good</w:t>
      </w:r>
      <w:r>
        <w:rPr>
          <w:rFonts w:ascii="Arial" w:hAnsi="Arial" w:cs="Arial"/>
          <w:color w:val="000000"/>
        </w:rPr>
        <w:t xml:space="preserve"> from a holistic perspective </w:t>
      </w:r>
      <w:r w:rsidR="008E2C84">
        <w:rPr>
          <w:rFonts w:ascii="Arial" w:hAnsi="Arial" w:cs="Arial"/>
          <w:color w:val="000000"/>
        </w:rPr>
        <w:t>as the autocorrelation and heteroscedasticity results are good and</w:t>
      </w:r>
      <w:r>
        <w:rPr>
          <w:rFonts w:ascii="Arial" w:hAnsi="Arial" w:cs="Arial"/>
          <w:color w:val="000000"/>
        </w:rPr>
        <w:t xml:space="preserve"> could be use</w:t>
      </w:r>
      <w:r w:rsidR="005374EC">
        <w:rPr>
          <w:rFonts w:ascii="Arial" w:hAnsi="Arial" w:cs="Arial"/>
          <w:color w:val="000000"/>
        </w:rPr>
        <w:t>d</w:t>
      </w:r>
      <w:r>
        <w:rPr>
          <w:rFonts w:ascii="Arial" w:hAnsi="Arial" w:cs="Arial"/>
          <w:color w:val="000000"/>
        </w:rPr>
        <w:t xml:space="preserve"> in the research</w:t>
      </w:r>
      <w:r w:rsidRPr="00262803">
        <w:rPr>
          <w:rFonts w:ascii="Arial" w:hAnsi="Arial" w:cs="Arial"/>
          <w:color w:val="000000"/>
        </w:rPr>
        <w:t>.</w:t>
      </w:r>
    </w:p>
    <w:p w14:paraId="44FDFAAC" w14:textId="77777777" w:rsidR="0000408D" w:rsidRPr="00D94544" w:rsidRDefault="0000408D" w:rsidP="0066301C">
      <w:pPr>
        <w:autoSpaceDE w:val="0"/>
        <w:autoSpaceDN w:val="0"/>
        <w:adjustRightInd w:val="0"/>
        <w:spacing w:after="0" w:line="360" w:lineRule="auto"/>
        <w:jc w:val="both"/>
        <w:rPr>
          <w:rFonts w:ascii="Arial" w:hAnsi="Arial" w:cs="Arial"/>
          <w:b/>
          <w:color w:val="000000"/>
          <w:u w:val="single"/>
        </w:rPr>
      </w:pPr>
      <w:r w:rsidRPr="00D94544">
        <w:rPr>
          <w:rFonts w:ascii="Arial" w:hAnsi="Arial" w:cs="Arial"/>
          <w:b/>
          <w:u w:val="single"/>
        </w:rPr>
        <w:t>Gabon</w:t>
      </w:r>
    </w:p>
    <w:p w14:paraId="5E86680F" w14:textId="5BE9A7F7" w:rsidR="0000408D" w:rsidRPr="00C94012" w:rsidRDefault="0000408D" w:rsidP="0066301C">
      <w:pPr>
        <w:autoSpaceDE w:val="0"/>
        <w:autoSpaceDN w:val="0"/>
        <w:adjustRightInd w:val="0"/>
        <w:spacing w:after="0" w:line="360" w:lineRule="auto"/>
        <w:jc w:val="both"/>
        <w:rPr>
          <w:rFonts w:cs="Times New Roman"/>
          <w:i/>
          <w:sz w:val="20"/>
          <w:szCs w:val="20"/>
        </w:rPr>
      </w:pPr>
      <w:r w:rsidRPr="396E8BDD">
        <w:rPr>
          <w:rFonts w:ascii="Arial" w:hAnsi="Arial" w:cs="Arial"/>
          <w:color w:val="000000" w:themeColor="text1"/>
        </w:rPr>
        <w:t xml:space="preserve">For Gabon’s results, in all the models, </w:t>
      </w:r>
      <w:r w:rsidRPr="00262803">
        <w:rPr>
          <w:rFonts w:ascii="Arial" w:hAnsi="Arial" w:cs="Arial"/>
        </w:rPr>
        <w:t>the autocorrelation</w:t>
      </w:r>
      <w:r w:rsidR="001115E1">
        <w:rPr>
          <w:rFonts w:ascii="Arial" w:hAnsi="Arial" w:cs="Arial"/>
        </w:rPr>
        <w:t xml:space="preserve"> and heteroscedasticity</w:t>
      </w:r>
      <w:r w:rsidRPr="00262803">
        <w:rPr>
          <w:rFonts w:ascii="Arial" w:hAnsi="Arial" w:cs="Arial"/>
        </w:rPr>
        <w:t xml:space="preserve"> </w:t>
      </w:r>
      <w:r>
        <w:rPr>
          <w:rFonts w:ascii="Arial" w:hAnsi="Arial" w:cs="Arial"/>
          <w:i/>
        </w:rPr>
        <w:t>p-</w:t>
      </w:r>
      <w:r>
        <w:rPr>
          <w:rFonts w:ascii="Arial" w:hAnsi="Arial" w:cs="Arial"/>
        </w:rPr>
        <w:t>value &gt; 0.05, meaning that the</w:t>
      </w:r>
      <w:r w:rsidR="001115E1">
        <w:rPr>
          <w:rFonts w:ascii="Arial" w:hAnsi="Arial" w:cs="Arial"/>
        </w:rPr>
        <w:t>y are good.</w:t>
      </w:r>
      <w:r>
        <w:rPr>
          <w:rFonts w:ascii="Arial" w:hAnsi="Arial" w:cs="Arial"/>
        </w:rPr>
        <w:t xml:space="preserve"> While for the </w:t>
      </w:r>
      <w:r w:rsidR="001115E1">
        <w:rPr>
          <w:rFonts w:ascii="Arial" w:hAnsi="Arial" w:cs="Arial"/>
        </w:rPr>
        <w:t>normality</w:t>
      </w:r>
      <w:r>
        <w:rPr>
          <w:rFonts w:ascii="Arial" w:hAnsi="Arial" w:cs="Arial"/>
        </w:rPr>
        <w:t xml:space="preserve"> result</w:t>
      </w:r>
      <w:r w:rsidR="001115E1">
        <w:rPr>
          <w:rFonts w:ascii="Arial" w:hAnsi="Arial" w:cs="Arial"/>
        </w:rPr>
        <w:t>s</w:t>
      </w:r>
      <w:r>
        <w:rPr>
          <w:rFonts w:ascii="Arial" w:hAnsi="Arial" w:cs="Arial"/>
        </w:rPr>
        <w:t xml:space="preserve">, </w:t>
      </w:r>
      <w:r w:rsidR="001115E1">
        <w:rPr>
          <w:rFonts w:ascii="Arial" w:hAnsi="Arial" w:cs="Arial"/>
        </w:rPr>
        <w:t>China, Korea, and USA</w:t>
      </w:r>
      <w:r>
        <w:rPr>
          <w:rFonts w:ascii="Arial" w:hAnsi="Arial" w:cs="Arial"/>
        </w:rPr>
        <w:t xml:space="preserve"> models</w:t>
      </w:r>
      <w:r w:rsidRPr="00262803">
        <w:rPr>
          <w:rFonts w:ascii="Arial" w:hAnsi="Arial" w:cs="Arial"/>
        </w:rPr>
        <w:t xml:space="preserve"> </w:t>
      </w:r>
      <w:r w:rsidRPr="00262803">
        <w:rPr>
          <w:rFonts w:ascii="Arial" w:hAnsi="Arial" w:cs="Arial"/>
          <w:i/>
        </w:rPr>
        <w:t>p-</w:t>
      </w:r>
      <w:r>
        <w:rPr>
          <w:rFonts w:ascii="Arial" w:hAnsi="Arial" w:cs="Arial"/>
        </w:rPr>
        <w:t xml:space="preserve">value </w:t>
      </w:r>
      <w:r w:rsidR="001115E1">
        <w:rPr>
          <w:rFonts w:ascii="Arial" w:hAnsi="Arial" w:cs="Arial"/>
        </w:rPr>
        <w:t>&lt;</w:t>
      </w:r>
      <w:r>
        <w:rPr>
          <w:rFonts w:ascii="Arial" w:hAnsi="Arial" w:cs="Arial"/>
        </w:rPr>
        <w:t xml:space="preserve"> 0.05</w:t>
      </w:r>
      <w:r w:rsidR="001115E1">
        <w:rPr>
          <w:rFonts w:ascii="Arial" w:hAnsi="Arial" w:cs="Arial"/>
        </w:rPr>
        <w:t>,</w:t>
      </w:r>
      <w:r>
        <w:rPr>
          <w:rFonts w:ascii="Arial" w:hAnsi="Arial" w:cs="Arial"/>
        </w:rPr>
        <w:t xml:space="preserve"> meaning that </w:t>
      </w:r>
      <w:r w:rsidR="001115E1">
        <w:rPr>
          <w:rFonts w:ascii="Arial" w:hAnsi="Arial" w:cs="Arial"/>
        </w:rPr>
        <w:t>they</w:t>
      </w:r>
      <w:r>
        <w:rPr>
          <w:rFonts w:ascii="Arial" w:hAnsi="Arial" w:cs="Arial"/>
        </w:rPr>
        <w:t xml:space="preserve"> </w:t>
      </w:r>
      <w:r w:rsidR="001115E1">
        <w:rPr>
          <w:rFonts w:ascii="Arial" w:hAnsi="Arial" w:cs="Arial"/>
        </w:rPr>
        <w:t>are</w:t>
      </w:r>
      <w:r>
        <w:rPr>
          <w:rFonts w:ascii="Arial" w:hAnsi="Arial" w:cs="Arial"/>
        </w:rPr>
        <w:t xml:space="preserve"> </w:t>
      </w:r>
      <w:r w:rsidR="001115E1">
        <w:rPr>
          <w:rFonts w:ascii="Arial" w:hAnsi="Arial" w:cs="Arial"/>
        </w:rPr>
        <w:t xml:space="preserve">not normally distributed. </w:t>
      </w:r>
      <w:r>
        <w:rPr>
          <w:rFonts w:ascii="Arial" w:hAnsi="Arial" w:cs="Arial"/>
        </w:rPr>
        <w:t>However, the models a</w:t>
      </w:r>
      <w:r w:rsidRPr="396E8BDD">
        <w:rPr>
          <w:rFonts w:ascii="Arial" w:hAnsi="Arial" w:cs="Arial"/>
          <w:color w:val="000000" w:themeColor="text1"/>
        </w:rPr>
        <w:t xml:space="preserve">re good from a holistic perspective and </w:t>
      </w:r>
      <w:r w:rsidR="008E2C84" w:rsidRPr="396E8BDD">
        <w:rPr>
          <w:rFonts w:ascii="Arial" w:hAnsi="Arial" w:cs="Arial"/>
          <w:color w:val="000000" w:themeColor="text1"/>
        </w:rPr>
        <w:t>will</w:t>
      </w:r>
      <w:r w:rsidRPr="396E8BDD">
        <w:rPr>
          <w:rFonts w:ascii="Arial" w:hAnsi="Arial" w:cs="Arial"/>
          <w:color w:val="000000" w:themeColor="text1"/>
        </w:rPr>
        <w:t xml:space="preserve"> be use</w:t>
      </w:r>
      <w:r w:rsidR="005374EC">
        <w:rPr>
          <w:rFonts w:ascii="Arial" w:hAnsi="Arial" w:cs="Arial"/>
          <w:color w:val="000000" w:themeColor="text1"/>
        </w:rPr>
        <w:t>d</w:t>
      </w:r>
      <w:r w:rsidRPr="396E8BDD">
        <w:rPr>
          <w:rFonts w:ascii="Arial" w:hAnsi="Arial" w:cs="Arial"/>
          <w:color w:val="000000" w:themeColor="text1"/>
        </w:rPr>
        <w:t xml:space="preserve"> in the research. Thus, the models used in this research question are good and can be used for the various test</w:t>
      </w:r>
      <w:r w:rsidR="005B34AB">
        <w:rPr>
          <w:rFonts w:ascii="Arial" w:hAnsi="Arial" w:cs="Arial"/>
          <w:color w:val="000000" w:themeColor="text1"/>
        </w:rPr>
        <w:t>s</w:t>
      </w:r>
      <w:r w:rsidRPr="396E8BDD">
        <w:rPr>
          <w:rFonts w:ascii="Arial" w:hAnsi="Arial" w:cs="Arial"/>
          <w:color w:val="000000" w:themeColor="text1"/>
        </w:rPr>
        <w:t xml:space="preserve">, beginning with the unit root test as seen below.   </w:t>
      </w:r>
    </w:p>
    <w:p w14:paraId="53FA3D63" w14:textId="253D6F8D" w:rsidR="008658DE" w:rsidRPr="00A817E8" w:rsidRDefault="009B5879" w:rsidP="0066301C">
      <w:pPr>
        <w:pStyle w:val="Heading3"/>
        <w:numPr>
          <w:ilvl w:val="0"/>
          <w:numId w:val="0"/>
        </w:numPr>
        <w:spacing w:before="0" w:beforeAutospacing="0"/>
        <w:rPr>
          <w:lang w:val="en-US" w:eastAsia="en-GB"/>
        </w:rPr>
      </w:pPr>
      <w:bookmarkStart w:id="454" w:name="_Toc171075412"/>
      <w:r>
        <w:rPr>
          <w:lang w:val="en-US" w:eastAsia="en-GB"/>
        </w:rPr>
        <w:t>4</w:t>
      </w:r>
      <w:r w:rsidR="008658DE" w:rsidRPr="00A817E8">
        <w:rPr>
          <w:lang w:val="en-US" w:eastAsia="en-GB"/>
        </w:rPr>
        <w:t>.</w:t>
      </w:r>
      <w:r w:rsidR="005818F3">
        <w:rPr>
          <w:lang w:val="en-US" w:eastAsia="en-GB"/>
        </w:rPr>
        <w:t>6</w:t>
      </w:r>
      <w:r w:rsidR="008658DE">
        <w:rPr>
          <w:lang w:val="en-US" w:eastAsia="en-GB"/>
        </w:rPr>
        <w:t>.</w:t>
      </w:r>
      <w:r w:rsidR="008658DE" w:rsidRPr="005818F3">
        <w:t>2</w:t>
      </w:r>
      <w:r w:rsidR="005818F3">
        <w:tab/>
      </w:r>
      <w:r w:rsidR="008658DE" w:rsidRPr="005818F3">
        <w:t>UNIT</w:t>
      </w:r>
      <w:r w:rsidR="008658DE" w:rsidRPr="00A817E8">
        <w:rPr>
          <w:lang w:val="en-US" w:eastAsia="en-GB"/>
        </w:rPr>
        <w:t xml:space="preserve"> ROOT TEST</w:t>
      </w:r>
      <w:bookmarkEnd w:id="454"/>
      <w:r w:rsidR="008658DE" w:rsidRPr="00A817E8">
        <w:rPr>
          <w:lang w:val="en-US" w:eastAsia="en-GB"/>
        </w:rPr>
        <w:t xml:space="preserve"> </w:t>
      </w:r>
    </w:p>
    <w:p w14:paraId="73B219B1" w14:textId="1E481678" w:rsidR="00DE2EEC" w:rsidRPr="008658DE" w:rsidRDefault="008658DE" w:rsidP="0066301C">
      <w:pPr>
        <w:autoSpaceDE w:val="0"/>
        <w:autoSpaceDN w:val="0"/>
        <w:adjustRightInd w:val="0"/>
        <w:spacing w:after="0" w:line="360" w:lineRule="auto"/>
        <w:jc w:val="both"/>
        <w:rPr>
          <w:rFonts w:ascii="Arial" w:hAnsi="Arial" w:cs="Arial"/>
        </w:rPr>
      </w:pPr>
      <w:r w:rsidRPr="006A1BE6">
        <w:rPr>
          <w:rFonts w:ascii="Arial" w:hAnsi="Arial" w:cs="Arial"/>
        </w:rPr>
        <w:t>An analysis for the presence of unit root is perform</w:t>
      </w:r>
      <w:r w:rsidR="0049745E">
        <w:rPr>
          <w:rFonts w:ascii="Arial" w:hAnsi="Arial" w:cs="Arial"/>
        </w:rPr>
        <w:t>ed</w:t>
      </w:r>
      <w:r w:rsidRPr="006A1BE6">
        <w:rPr>
          <w:rFonts w:ascii="Arial" w:hAnsi="Arial" w:cs="Arial"/>
        </w:rPr>
        <w:t xml:space="preserve"> using the </w:t>
      </w:r>
      <w:r w:rsidRPr="57585719">
        <w:rPr>
          <w:rFonts w:ascii="Arial" w:hAnsi="Arial" w:cs="Arial"/>
          <w:i/>
          <w:iCs/>
        </w:rPr>
        <w:t xml:space="preserve">Augmented Dickey-Fuller </w:t>
      </w:r>
      <w:r w:rsidRPr="006A1BE6">
        <w:rPr>
          <w:rFonts w:ascii="Arial" w:hAnsi="Arial" w:cs="Arial"/>
        </w:rPr>
        <w:t xml:space="preserve">(ADF) and </w:t>
      </w:r>
      <w:r w:rsidRPr="57585719">
        <w:rPr>
          <w:rFonts w:ascii="Arial" w:hAnsi="Arial" w:cs="Arial"/>
          <w:i/>
          <w:iCs/>
        </w:rPr>
        <w:t>Philips-Perron</w:t>
      </w:r>
      <w:r w:rsidRPr="006A1BE6">
        <w:rPr>
          <w:rFonts w:ascii="Arial" w:hAnsi="Arial" w:cs="Arial"/>
        </w:rPr>
        <w:t xml:space="preserve"> (PP) test for the variables of the three CEMAC nations and their trade partners</w:t>
      </w:r>
      <w:r>
        <w:rPr>
          <w:rFonts w:ascii="Arial" w:hAnsi="Arial" w:cs="Arial"/>
        </w:rPr>
        <w:t xml:space="preserve">. </w:t>
      </w:r>
      <w:r w:rsidRPr="006A1BE6">
        <w:rPr>
          <w:rFonts w:ascii="Arial" w:hAnsi="Arial" w:cs="Arial"/>
        </w:rPr>
        <w:t>The test results are summarise</w:t>
      </w:r>
      <w:r>
        <w:rPr>
          <w:rFonts w:ascii="Arial" w:hAnsi="Arial" w:cs="Arial"/>
        </w:rPr>
        <w:t>d</w:t>
      </w:r>
      <w:r w:rsidRPr="006A1BE6">
        <w:rPr>
          <w:rFonts w:ascii="Arial" w:hAnsi="Arial" w:cs="Arial"/>
        </w:rPr>
        <w:t xml:space="preserve"> on </w:t>
      </w:r>
      <w:r w:rsidRPr="00D535FB">
        <w:rPr>
          <w:rFonts w:ascii="Arial" w:hAnsi="Arial" w:cs="Arial"/>
        </w:rPr>
        <w:t xml:space="preserve">table </w:t>
      </w:r>
      <w:r w:rsidR="00B07DD3" w:rsidRPr="00D535FB">
        <w:rPr>
          <w:rFonts w:ascii="Arial" w:hAnsi="Arial" w:cs="Arial"/>
        </w:rPr>
        <w:t>4</w:t>
      </w:r>
      <w:r w:rsidRPr="00D535FB">
        <w:rPr>
          <w:rFonts w:ascii="Arial" w:hAnsi="Arial" w:cs="Arial"/>
        </w:rPr>
        <w:t>.2</w:t>
      </w:r>
      <w:r w:rsidRPr="006A1BE6">
        <w:rPr>
          <w:rFonts w:ascii="Arial" w:hAnsi="Arial" w:cs="Arial"/>
        </w:rPr>
        <w:t xml:space="preserve"> in the </w:t>
      </w:r>
      <w:r w:rsidR="00D535FB">
        <w:rPr>
          <w:rFonts w:ascii="Arial" w:hAnsi="Arial" w:cs="Arial"/>
        </w:rPr>
        <w:t>a</w:t>
      </w:r>
      <w:r w:rsidRPr="006A1BE6">
        <w:rPr>
          <w:rFonts w:ascii="Arial" w:hAnsi="Arial" w:cs="Arial"/>
        </w:rPr>
        <w:t>ppendix</w:t>
      </w:r>
      <w:r w:rsidR="004D2416">
        <w:rPr>
          <w:rFonts w:ascii="Arial" w:hAnsi="Arial" w:cs="Arial"/>
        </w:rPr>
        <w:t xml:space="preserve"> </w:t>
      </w:r>
      <w:r w:rsidR="00DB2D41">
        <w:rPr>
          <w:rFonts w:ascii="Arial" w:hAnsi="Arial" w:cs="Arial"/>
        </w:rPr>
        <w:t>B</w:t>
      </w:r>
      <w:r>
        <w:rPr>
          <w:rFonts w:ascii="Arial" w:hAnsi="Arial" w:cs="Arial"/>
        </w:rPr>
        <w:t>, whereby the variables are tested using two options (i.e., with constant, and with Trend and Interception)</w:t>
      </w:r>
      <w:r w:rsidRPr="006A1BE6">
        <w:rPr>
          <w:rFonts w:ascii="Arial" w:hAnsi="Arial" w:cs="Arial"/>
        </w:rPr>
        <w:t>.</w:t>
      </w:r>
      <w:r>
        <w:rPr>
          <w:rStyle w:val="FootnoteReference"/>
          <w:rFonts w:ascii="Arial" w:hAnsi="Arial" w:cs="Arial"/>
        </w:rPr>
        <w:footnoteReference w:id="110"/>
      </w:r>
      <w:r w:rsidRPr="006A1BE6">
        <w:rPr>
          <w:rFonts w:ascii="Arial" w:hAnsi="Arial" w:cs="Arial"/>
        </w:rPr>
        <w:t xml:space="preserve"> </w:t>
      </w:r>
      <w:r>
        <w:rPr>
          <w:rFonts w:ascii="Arial" w:hAnsi="Arial" w:cs="Arial"/>
        </w:rPr>
        <w:t xml:space="preserve">The result indicates the non-existence of the </w:t>
      </w:r>
      <w:r w:rsidRPr="57585719">
        <w:rPr>
          <w:rFonts w:ascii="Arial" w:hAnsi="Arial" w:cs="Arial"/>
          <w:i/>
          <w:iCs/>
        </w:rPr>
        <w:t>I</w:t>
      </w:r>
      <w:r>
        <w:rPr>
          <w:rFonts w:ascii="Arial" w:hAnsi="Arial" w:cs="Arial"/>
        </w:rPr>
        <w:t xml:space="preserve">(2) variable in our study. </w:t>
      </w:r>
      <w:r w:rsidRPr="006A1BE6">
        <w:rPr>
          <w:rFonts w:ascii="Arial" w:hAnsi="Arial" w:cs="Arial"/>
        </w:rPr>
        <w:t xml:space="preserve">From the table on both the </w:t>
      </w:r>
      <w:r w:rsidRPr="57585719">
        <w:rPr>
          <w:rFonts w:ascii="Arial" w:hAnsi="Arial" w:cs="Arial"/>
          <w:i/>
          <w:iCs/>
        </w:rPr>
        <w:t xml:space="preserve">ADF </w:t>
      </w:r>
      <w:r w:rsidRPr="006A1BE6">
        <w:rPr>
          <w:rFonts w:ascii="Arial" w:hAnsi="Arial" w:cs="Arial"/>
        </w:rPr>
        <w:t xml:space="preserve">and </w:t>
      </w:r>
      <w:r w:rsidRPr="57585719">
        <w:rPr>
          <w:rFonts w:ascii="Arial" w:hAnsi="Arial" w:cs="Arial"/>
          <w:i/>
          <w:iCs/>
        </w:rPr>
        <w:t xml:space="preserve">PP </w:t>
      </w:r>
      <w:r w:rsidRPr="006A1BE6">
        <w:rPr>
          <w:rFonts w:ascii="Arial" w:hAnsi="Arial" w:cs="Arial"/>
        </w:rPr>
        <w:t xml:space="preserve">test, the absolute values of </w:t>
      </w:r>
      <w:r>
        <w:rPr>
          <w:rFonts w:ascii="Arial" w:hAnsi="Arial" w:cs="Arial"/>
        </w:rPr>
        <w:t>most</w:t>
      </w:r>
      <w:r w:rsidRPr="006A1BE6">
        <w:rPr>
          <w:rFonts w:ascii="Arial" w:hAnsi="Arial" w:cs="Arial"/>
        </w:rPr>
        <w:t xml:space="preserve"> variables are stationary after their first difference, but for LNTB for Cameroon, LNTB for Gabon</w:t>
      </w:r>
      <w:r>
        <w:rPr>
          <w:rFonts w:ascii="Arial" w:hAnsi="Arial" w:cs="Arial"/>
        </w:rPr>
        <w:t>, and LNUSAFI – Gabon trade partner</w:t>
      </w:r>
      <w:r w:rsidRPr="006A1BE6">
        <w:rPr>
          <w:rFonts w:ascii="Arial" w:hAnsi="Arial" w:cs="Arial"/>
        </w:rPr>
        <w:t xml:space="preserve"> that were stationary at level.</w:t>
      </w:r>
      <w:r>
        <w:rPr>
          <w:rFonts w:ascii="Arial" w:hAnsi="Arial" w:cs="Arial"/>
        </w:rPr>
        <w:t xml:space="preserve"> This justifies the use of ARDL approach to cointegration.</w:t>
      </w:r>
      <w:r>
        <w:rPr>
          <w:rStyle w:val="FootnoteReference"/>
          <w:rFonts w:ascii="Arial" w:hAnsi="Arial" w:cs="Arial"/>
        </w:rPr>
        <w:footnoteReference w:id="111"/>
      </w:r>
    </w:p>
    <w:p w14:paraId="6E499E80" w14:textId="25308625" w:rsidR="00F864D5" w:rsidRPr="00A817E8" w:rsidRDefault="00D16E4F" w:rsidP="0066301C">
      <w:pPr>
        <w:pStyle w:val="Heading3"/>
        <w:numPr>
          <w:ilvl w:val="0"/>
          <w:numId w:val="0"/>
        </w:numPr>
        <w:spacing w:before="0" w:beforeAutospacing="0"/>
        <w:rPr>
          <w:lang w:val="en-US" w:eastAsia="en-GB"/>
        </w:rPr>
      </w:pPr>
      <w:bookmarkStart w:id="455" w:name="_Toc171075413"/>
      <w:r>
        <w:rPr>
          <w:lang w:val="en-US" w:eastAsia="en-GB"/>
        </w:rPr>
        <w:t>4</w:t>
      </w:r>
      <w:r w:rsidR="00F864D5" w:rsidRPr="00A817E8">
        <w:rPr>
          <w:lang w:val="en-US" w:eastAsia="en-GB"/>
        </w:rPr>
        <w:t>.</w:t>
      </w:r>
      <w:r w:rsidR="00117785">
        <w:rPr>
          <w:lang w:val="en-US" w:eastAsia="en-GB"/>
        </w:rPr>
        <w:t>6</w:t>
      </w:r>
      <w:r w:rsidR="00F864D5">
        <w:rPr>
          <w:lang w:val="en-US" w:eastAsia="en-GB"/>
        </w:rPr>
        <w:t>.</w:t>
      </w:r>
      <w:r w:rsidR="008658DE" w:rsidRPr="00971971">
        <w:t>3</w:t>
      </w:r>
      <w:r w:rsidR="00971971">
        <w:tab/>
      </w:r>
      <w:r w:rsidR="00F864D5" w:rsidRPr="00971971">
        <w:t>OPTIMAL</w:t>
      </w:r>
      <w:r w:rsidR="00F864D5" w:rsidRPr="00A817E8">
        <w:rPr>
          <w:lang w:val="en-US" w:eastAsia="en-GB"/>
        </w:rPr>
        <w:t xml:space="preserve"> LAG LENGTH</w:t>
      </w:r>
      <w:bookmarkEnd w:id="455"/>
    </w:p>
    <w:p w14:paraId="195273BD" w14:textId="6B842325" w:rsidR="00F864D5" w:rsidRDefault="00F864D5" w:rsidP="0066301C">
      <w:pPr>
        <w:spacing w:line="360" w:lineRule="auto"/>
        <w:jc w:val="both"/>
        <w:rPr>
          <w:rFonts w:ascii="Arial" w:hAnsi="Arial" w:cs="Arial"/>
        </w:rPr>
      </w:pPr>
      <w:r w:rsidRPr="00D604D3">
        <w:rPr>
          <w:rFonts w:ascii="Arial" w:hAnsi="Arial" w:cs="Arial"/>
        </w:rPr>
        <w:t>The optimal lag length</w:t>
      </w:r>
      <w:r w:rsidR="00E9485A">
        <w:rPr>
          <w:rFonts w:ascii="Arial" w:hAnsi="Arial" w:cs="Arial"/>
        </w:rPr>
        <w:t>,</w:t>
      </w:r>
      <w:r w:rsidRPr="00D604D3">
        <w:rPr>
          <w:rFonts w:ascii="Arial" w:hAnsi="Arial" w:cs="Arial"/>
        </w:rPr>
        <w:t xml:space="preserve"> </w:t>
      </w:r>
      <w:r>
        <w:rPr>
          <w:rFonts w:ascii="Arial" w:hAnsi="Arial" w:cs="Arial"/>
        </w:rPr>
        <w:t>as discussed in the previous chapter</w:t>
      </w:r>
      <w:r w:rsidR="002A16AF">
        <w:rPr>
          <w:rFonts w:ascii="Arial" w:hAnsi="Arial" w:cs="Arial"/>
        </w:rPr>
        <w:t>,</w:t>
      </w:r>
      <w:r>
        <w:rPr>
          <w:rFonts w:ascii="Arial" w:hAnsi="Arial" w:cs="Arial"/>
        </w:rPr>
        <w:t xml:space="preserve"> is used to obtain the lag length to be used.</w:t>
      </w:r>
      <w:r>
        <w:rPr>
          <w:rStyle w:val="FootnoteReference"/>
          <w:rFonts w:ascii="Arial" w:hAnsi="Arial" w:cs="Arial"/>
        </w:rPr>
        <w:footnoteReference w:id="112"/>
      </w:r>
      <w:r>
        <w:rPr>
          <w:rFonts w:ascii="Arial" w:hAnsi="Arial" w:cs="Arial"/>
        </w:rPr>
        <w:t xml:space="preserve"> The Vector Autoregression Estimate shows the Akaike information criterion</w:t>
      </w:r>
      <w:r w:rsidR="00A22E16">
        <w:rPr>
          <w:rFonts w:ascii="Arial" w:hAnsi="Arial" w:cs="Arial"/>
        </w:rPr>
        <w:t xml:space="preserve"> (AIC)</w:t>
      </w:r>
      <w:r w:rsidR="00A22E16">
        <w:rPr>
          <w:rStyle w:val="FootnoteReference"/>
          <w:rFonts w:ascii="Arial" w:hAnsi="Arial" w:cs="Arial"/>
        </w:rPr>
        <w:footnoteReference w:id="113"/>
      </w:r>
      <w:r>
        <w:rPr>
          <w:rFonts w:ascii="Arial" w:hAnsi="Arial" w:cs="Arial"/>
        </w:rPr>
        <w:t xml:space="preserve"> as having the lowest, as such</w:t>
      </w:r>
      <w:r w:rsidR="0062318D">
        <w:rPr>
          <w:rFonts w:ascii="Arial" w:hAnsi="Arial" w:cs="Arial"/>
        </w:rPr>
        <w:t>,</w:t>
      </w:r>
      <w:r>
        <w:rPr>
          <w:rFonts w:ascii="Arial" w:hAnsi="Arial" w:cs="Arial"/>
        </w:rPr>
        <w:t xml:space="preserve"> will be used to obtain the optimal lag. The optimal lag </w:t>
      </w:r>
      <w:r>
        <w:rPr>
          <w:rFonts w:ascii="Arial" w:hAnsi="Arial" w:cs="Arial"/>
        </w:rPr>
        <w:lastRenderedPageBreak/>
        <w:t xml:space="preserve">length </w:t>
      </w:r>
      <w:r w:rsidRPr="00D604D3">
        <w:rPr>
          <w:rFonts w:ascii="Arial" w:hAnsi="Arial" w:cs="Arial"/>
        </w:rPr>
        <w:t xml:space="preserve">of the three CEMAC nations with each of their trade partners </w:t>
      </w:r>
      <w:r w:rsidR="009F4B1D" w:rsidRPr="00D604D3">
        <w:rPr>
          <w:rFonts w:ascii="Arial" w:hAnsi="Arial" w:cs="Arial"/>
        </w:rPr>
        <w:t>range</w:t>
      </w:r>
      <w:r w:rsidR="00B1622F">
        <w:rPr>
          <w:rFonts w:ascii="Arial" w:hAnsi="Arial" w:cs="Arial"/>
        </w:rPr>
        <w:t>s</w:t>
      </w:r>
      <w:r w:rsidR="009F4B1D" w:rsidRPr="00D604D3">
        <w:rPr>
          <w:rFonts w:ascii="Arial" w:hAnsi="Arial" w:cs="Arial"/>
        </w:rPr>
        <w:t xml:space="preserve"> between </w:t>
      </w:r>
      <w:r w:rsidR="009F4B1D">
        <w:rPr>
          <w:rFonts w:ascii="Arial" w:hAnsi="Arial" w:cs="Arial"/>
        </w:rPr>
        <w:t xml:space="preserve">one, </w:t>
      </w:r>
      <w:r w:rsidR="009F4B1D" w:rsidRPr="00D604D3">
        <w:rPr>
          <w:rFonts w:ascii="Arial" w:hAnsi="Arial" w:cs="Arial"/>
        </w:rPr>
        <w:t xml:space="preserve">two and three lag length </w:t>
      </w:r>
      <w:r w:rsidRPr="00D604D3">
        <w:rPr>
          <w:rFonts w:ascii="Arial" w:hAnsi="Arial" w:cs="Arial"/>
        </w:rPr>
        <w:t xml:space="preserve">as seen </w:t>
      </w:r>
      <w:r w:rsidR="003328A7">
        <w:rPr>
          <w:rFonts w:ascii="Arial" w:hAnsi="Arial" w:cs="Arial"/>
        </w:rPr>
        <w:t>i</w:t>
      </w:r>
      <w:r w:rsidRPr="00D604D3">
        <w:rPr>
          <w:rFonts w:ascii="Arial" w:hAnsi="Arial" w:cs="Arial"/>
        </w:rPr>
        <w:t>n the table below</w:t>
      </w:r>
      <w:r w:rsidR="009F4B1D">
        <w:rPr>
          <w:rFonts w:ascii="Arial" w:hAnsi="Arial" w:cs="Arial"/>
        </w:rPr>
        <w:t>.</w:t>
      </w:r>
      <w:r w:rsidRPr="00D604D3">
        <w:rPr>
          <w:rFonts w:ascii="Arial" w:hAnsi="Arial" w:cs="Arial"/>
        </w:rPr>
        <w:t xml:space="preserve"> </w:t>
      </w:r>
    </w:p>
    <w:p w14:paraId="0B2EC80B" w14:textId="46969494" w:rsidR="00F864D5" w:rsidRPr="00F679C0" w:rsidRDefault="00F864D5" w:rsidP="0066301C">
      <w:pPr>
        <w:spacing w:after="0" w:line="360" w:lineRule="auto"/>
        <w:jc w:val="both"/>
        <w:rPr>
          <w:rFonts w:ascii="Arial" w:hAnsi="Arial" w:cs="Arial"/>
          <w:b/>
        </w:rPr>
      </w:pPr>
      <w:r w:rsidRPr="0011354F">
        <w:rPr>
          <w:rFonts w:ascii="Arial" w:hAnsi="Arial" w:cs="Arial"/>
          <w:b/>
        </w:rPr>
        <w:t xml:space="preserve">Table </w:t>
      </w:r>
      <w:r w:rsidR="00117785" w:rsidRPr="0011354F">
        <w:rPr>
          <w:rFonts w:ascii="Arial" w:hAnsi="Arial" w:cs="Arial"/>
          <w:b/>
        </w:rPr>
        <w:t>4</w:t>
      </w:r>
      <w:r w:rsidRPr="0011354F">
        <w:rPr>
          <w:rFonts w:ascii="Arial" w:hAnsi="Arial" w:cs="Arial"/>
          <w:b/>
        </w:rPr>
        <w:t>.</w:t>
      </w:r>
      <w:r w:rsidR="001115E1" w:rsidRPr="0011354F">
        <w:rPr>
          <w:rFonts w:ascii="Arial" w:hAnsi="Arial" w:cs="Arial"/>
          <w:b/>
        </w:rPr>
        <w:t>3</w:t>
      </w:r>
      <w:r w:rsidRPr="0011354F">
        <w:rPr>
          <w:rFonts w:ascii="Arial" w:hAnsi="Arial" w:cs="Arial"/>
          <w:b/>
        </w:rPr>
        <w:t>:</w:t>
      </w:r>
      <w:r w:rsidRPr="00F679C0">
        <w:rPr>
          <w:rFonts w:ascii="Arial" w:hAnsi="Arial" w:cs="Arial"/>
          <w:b/>
        </w:rPr>
        <w:t xml:space="preserve"> Optimal Lag Length Results.</w:t>
      </w:r>
    </w:p>
    <w:tbl>
      <w:tblPr>
        <w:tblStyle w:val="TableGrid"/>
        <w:tblW w:w="0" w:type="auto"/>
        <w:tblLook w:val="04A0" w:firstRow="1" w:lastRow="0" w:firstColumn="1" w:lastColumn="0" w:noHBand="0" w:noVBand="1"/>
      </w:tblPr>
      <w:tblGrid>
        <w:gridCol w:w="1980"/>
        <w:gridCol w:w="1984"/>
        <w:gridCol w:w="2410"/>
      </w:tblGrid>
      <w:tr w:rsidR="00B31CA8" w:rsidRPr="00F679C0" w14:paraId="2BF5CCD8" w14:textId="77777777" w:rsidTr="00B31CA8">
        <w:tc>
          <w:tcPr>
            <w:tcW w:w="6374" w:type="dxa"/>
            <w:gridSpan w:val="3"/>
          </w:tcPr>
          <w:p w14:paraId="1C6F53CB" w14:textId="77777777" w:rsidR="00B31CA8" w:rsidRPr="001B21D5" w:rsidRDefault="00B31CA8" w:rsidP="0066301C">
            <w:pPr>
              <w:jc w:val="center"/>
              <w:rPr>
                <w:rFonts w:ascii="Arial" w:hAnsi="Arial" w:cs="Arial"/>
                <w:b/>
              </w:rPr>
            </w:pPr>
            <w:r w:rsidRPr="001B21D5">
              <w:rPr>
                <w:rFonts w:ascii="Arial" w:hAnsi="Arial" w:cs="Arial"/>
                <w:b/>
              </w:rPr>
              <w:t>Cameroon</w:t>
            </w:r>
          </w:p>
        </w:tc>
      </w:tr>
      <w:tr w:rsidR="00B31CA8" w:rsidRPr="00F679C0" w14:paraId="0BA4021F" w14:textId="77777777" w:rsidTr="00B31CA8">
        <w:trPr>
          <w:trHeight w:val="226"/>
        </w:trPr>
        <w:tc>
          <w:tcPr>
            <w:tcW w:w="1980" w:type="dxa"/>
          </w:tcPr>
          <w:p w14:paraId="0FC05609" w14:textId="77777777" w:rsidR="00B31CA8" w:rsidRPr="00A22E16" w:rsidRDefault="00B31CA8" w:rsidP="0066301C">
            <w:pPr>
              <w:jc w:val="center"/>
              <w:rPr>
                <w:rFonts w:ascii="Arial" w:hAnsi="Arial" w:cs="Arial"/>
                <w:b/>
              </w:rPr>
            </w:pPr>
            <w:r w:rsidRPr="00A22E16">
              <w:rPr>
                <w:rFonts w:ascii="Arial" w:hAnsi="Arial" w:cs="Arial"/>
                <w:b/>
              </w:rPr>
              <w:t>Trade Partners</w:t>
            </w:r>
          </w:p>
        </w:tc>
        <w:tc>
          <w:tcPr>
            <w:tcW w:w="1984" w:type="dxa"/>
          </w:tcPr>
          <w:p w14:paraId="60B14965" w14:textId="77777777" w:rsidR="00B31CA8" w:rsidRPr="00A22E16" w:rsidRDefault="00B31CA8" w:rsidP="0066301C">
            <w:pPr>
              <w:jc w:val="center"/>
              <w:rPr>
                <w:rFonts w:ascii="Arial" w:hAnsi="Arial" w:cs="Arial"/>
                <w:b/>
              </w:rPr>
            </w:pPr>
            <w:r w:rsidRPr="00A22E16">
              <w:rPr>
                <w:rFonts w:ascii="Arial" w:hAnsi="Arial" w:cs="Arial"/>
                <w:b/>
              </w:rPr>
              <w:t>Optimal lag value</w:t>
            </w:r>
          </w:p>
        </w:tc>
        <w:tc>
          <w:tcPr>
            <w:tcW w:w="2410" w:type="dxa"/>
          </w:tcPr>
          <w:p w14:paraId="0C599564" w14:textId="1645610B" w:rsidR="00B31CA8" w:rsidRPr="00A22E16" w:rsidRDefault="00B31CA8" w:rsidP="0066301C">
            <w:pPr>
              <w:jc w:val="center"/>
              <w:rPr>
                <w:rFonts w:ascii="Arial" w:hAnsi="Arial" w:cs="Arial"/>
                <w:b/>
              </w:rPr>
            </w:pPr>
            <w:r w:rsidRPr="00A22E16">
              <w:rPr>
                <w:rFonts w:ascii="Arial" w:hAnsi="Arial" w:cs="Arial"/>
                <w:b/>
              </w:rPr>
              <w:t>Optimal Lag length</w:t>
            </w:r>
          </w:p>
        </w:tc>
      </w:tr>
      <w:tr w:rsidR="00B31CA8" w:rsidRPr="00F679C0" w14:paraId="60825228" w14:textId="77777777" w:rsidTr="00B31CA8">
        <w:tc>
          <w:tcPr>
            <w:tcW w:w="1980" w:type="dxa"/>
          </w:tcPr>
          <w:p w14:paraId="2DF21776" w14:textId="77777777" w:rsidR="00B31CA8" w:rsidRPr="00A22E16" w:rsidRDefault="00B31CA8" w:rsidP="0066301C">
            <w:pPr>
              <w:rPr>
                <w:rFonts w:ascii="Arial" w:hAnsi="Arial" w:cs="Arial"/>
              </w:rPr>
            </w:pPr>
            <w:r w:rsidRPr="00A22E16">
              <w:rPr>
                <w:rFonts w:ascii="Arial" w:hAnsi="Arial" w:cs="Arial"/>
              </w:rPr>
              <w:t>China</w:t>
            </w:r>
          </w:p>
        </w:tc>
        <w:tc>
          <w:tcPr>
            <w:tcW w:w="1984" w:type="dxa"/>
          </w:tcPr>
          <w:p w14:paraId="3B7AC62F" w14:textId="77777777" w:rsidR="00B31CA8" w:rsidRPr="00A22E16" w:rsidRDefault="00B31CA8" w:rsidP="0066301C">
            <w:pPr>
              <w:jc w:val="center"/>
              <w:rPr>
                <w:rFonts w:ascii="Arial" w:hAnsi="Arial" w:cs="Arial"/>
              </w:rPr>
            </w:pPr>
            <w:r w:rsidRPr="00A22E16">
              <w:rPr>
                <w:rFonts w:ascii="Arial" w:hAnsi="Arial" w:cs="Arial"/>
                <w:color w:val="000000"/>
              </w:rPr>
              <w:t>-9.075250*</w:t>
            </w:r>
          </w:p>
        </w:tc>
        <w:tc>
          <w:tcPr>
            <w:tcW w:w="2410" w:type="dxa"/>
          </w:tcPr>
          <w:p w14:paraId="7011DB61" w14:textId="77777777" w:rsidR="00B31CA8" w:rsidRPr="00A22E16" w:rsidRDefault="00B31CA8" w:rsidP="0066301C">
            <w:pPr>
              <w:jc w:val="center"/>
              <w:rPr>
                <w:rFonts w:ascii="Arial" w:hAnsi="Arial" w:cs="Arial"/>
              </w:rPr>
            </w:pPr>
            <w:r w:rsidRPr="00A22E16">
              <w:rPr>
                <w:rFonts w:ascii="Arial" w:hAnsi="Arial" w:cs="Arial"/>
              </w:rPr>
              <w:t>2</w:t>
            </w:r>
          </w:p>
        </w:tc>
      </w:tr>
      <w:tr w:rsidR="00B31CA8" w:rsidRPr="00F679C0" w14:paraId="5ED5EE58" w14:textId="77777777" w:rsidTr="00B31CA8">
        <w:tc>
          <w:tcPr>
            <w:tcW w:w="1980" w:type="dxa"/>
          </w:tcPr>
          <w:p w14:paraId="0296BA20" w14:textId="77777777" w:rsidR="00B31CA8" w:rsidRPr="00A22E16" w:rsidRDefault="00B31CA8" w:rsidP="0066301C">
            <w:pPr>
              <w:rPr>
                <w:rFonts w:ascii="Arial" w:hAnsi="Arial" w:cs="Arial"/>
              </w:rPr>
            </w:pPr>
            <w:r w:rsidRPr="00A22E16">
              <w:rPr>
                <w:rFonts w:ascii="Arial" w:hAnsi="Arial" w:cs="Arial"/>
              </w:rPr>
              <w:t>France</w:t>
            </w:r>
          </w:p>
        </w:tc>
        <w:tc>
          <w:tcPr>
            <w:tcW w:w="1984" w:type="dxa"/>
          </w:tcPr>
          <w:p w14:paraId="6B6F1F2F" w14:textId="77777777" w:rsidR="00B31CA8" w:rsidRPr="00A22E16" w:rsidRDefault="00B31CA8" w:rsidP="0066301C">
            <w:pPr>
              <w:jc w:val="center"/>
              <w:rPr>
                <w:rFonts w:ascii="Arial" w:hAnsi="Arial" w:cs="Arial"/>
              </w:rPr>
            </w:pPr>
            <w:r w:rsidRPr="00A22E16">
              <w:rPr>
                <w:rFonts w:ascii="Arial" w:hAnsi="Arial" w:cs="Arial"/>
                <w:color w:val="000000"/>
              </w:rPr>
              <w:t>-8.833568*</w:t>
            </w:r>
          </w:p>
        </w:tc>
        <w:tc>
          <w:tcPr>
            <w:tcW w:w="2410" w:type="dxa"/>
          </w:tcPr>
          <w:p w14:paraId="210C4BCF" w14:textId="77777777" w:rsidR="00B31CA8" w:rsidRPr="00A22E16" w:rsidRDefault="00B31CA8" w:rsidP="0066301C">
            <w:pPr>
              <w:jc w:val="center"/>
              <w:rPr>
                <w:rFonts w:ascii="Arial" w:hAnsi="Arial" w:cs="Arial"/>
              </w:rPr>
            </w:pPr>
            <w:r w:rsidRPr="00A22E16">
              <w:rPr>
                <w:rFonts w:ascii="Arial" w:hAnsi="Arial" w:cs="Arial"/>
              </w:rPr>
              <w:t>2</w:t>
            </w:r>
          </w:p>
        </w:tc>
      </w:tr>
      <w:tr w:rsidR="00B31CA8" w:rsidRPr="00F679C0" w14:paraId="43551CE5" w14:textId="77777777" w:rsidTr="00B31CA8">
        <w:tc>
          <w:tcPr>
            <w:tcW w:w="1980" w:type="dxa"/>
          </w:tcPr>
          <w:p w14:paraId="50258128" w14:textId="77777777" w:rsidR="00B31CA8" w:rsidRPr="00A22E16" w:rsidRDefault="00B31CA8" w:rsidP="0066301C">
            <w:pPr>
              <w:rPr>
                <w:rFonts w:ascii="Arial" w:hAnsi="Arial" w:cs="Arial"/>
              </w:rPr>
            </w:pPr>
            <w:r w:rsidRPr="00A22E16">
              <w:rPr>
                <w:rFonts w:ascii="Arial" w:hAnsi="Arial" w:cs="Arial"/>
              </w:rPr>
              <w:t>India</w:t>
            </w:r>
          </w:p>
        </w:tc>
        <w:tc>
          <w:tcPr>
            <w:tcW w:w="1984" w:type="dxa"/>
          </w:tcPr>
          <w:p w14:paraId="49D8B78B" w14:textId="77777777" w:rsidR="00B31CA8" w:rsidRPr="00A22E16" w:rsidRDefault="00B31CA8" w:rsidP="0066301C">
            <w:pPr>
              <w:jc w:val="center"/>
              <w:rPr>
                <w:rFonts w:ascii="Arial" w:hAnsi="Arial" w:cs="Arial"/>
              </w:rPr>
            </w:pPr>
            <w:r w:rsidRPr="00A22E16">
              <w:rPr>
                <w:rFonts w:ascii="Arial" w:hAnsi="Arial" w:cs="Arial"/>
                <w:color w:val="000000"/>
              </w:rPr>
              <w:t>-9.174129*</w:t>
            </w:r>
          </w:p>
        </w:tc>
        <w:tc>
          <w:tcPr>
            <w:tcW w:w="2410" w:type="dxa"/>
          </w:tcPr>
          <w:p w14:paraId="1A062B70" w14:textId="77777777" w:rsidR="00B31CA8" w:rsidRPr="00A22E16" w:rsidRDefault="00B31CA8" w:rsidP="0066301C">
            <w:pPr>
              <w:jc w:val="center"/>
              <w:rPr>
                <w:rFonts w:ascii="Arial" w:hAnsi="Arial" w:cs="Arial"/>
              </w:rPr>
            </w:pPr>
            <w:r w:rsidRPr="00A22E16">
              <w:rPr>
                <w:rFonts w:ascii="Arial" w:hAnsi="Arial" w:cs="Arial"/>
              </w:rPr>
              <w:t>3</w:t>
            </w:r>
          </w:p>
        </w:tc>
      </w:tr>
      <w:tr w:rsidR="00B31CA8" w:rsidRPr="00F679C0" w14:paraId="2585914B" w14:textId="77777777" w:rsidTr="00B31CA8">
        <w:tc>
          <w:tcPr>
            <w:tcW w:w="1980" w:type="dxa"/>
          </w:tcPr>
          <w:p w14:paraId="3342463F" w14:textId="77777777" w:rsidR="00B31CA8" w:rsidRPr="00A22E16" w:rsidRDefault="00B31CA8" w:rsidP="0066301C">
            <w:pPr>
              <w:rPr>
                <w:rFonts w:ascii="Arial" w:hAnsi="Arial" w:cs="Arial"/>
              </w:rPr>
            </w:pPr>
            <w:r w:rsidRPr="00A22E16">
              <w:rPr>
                <w:rFonts w:ascii="Arial" w:hAnsi="Arial" w:cs="Arial"/>
              </w:rPr>
              <w:t>Netherlands</w:t>
            </w:r>
          </w:p>
        </w:tc>
        <w:tc>
          <w:tcPr>
            <w:tcW w:w="1984" w:type="dxa"/>
          </w:tcPr>
          <w:p w14:paraId="108DBC8D" w14:textId="1398AB02" w:rsidR="00B31CA8" w:rsidRPr="00A22E16" w:rsidRDefault="00B31CA8" w:rsidP="0066301C">
            <w:pPr>
              <w:jc w:val="center"/>
              <w:rPr>
                <w:rFonts w:ascii="Arial" w:hAnsi="Arial" w:cs="Arial"/>
              </w:rPr>
            </w:pPr>
            <w:r w:rsidRPr="00A22E16">
              <w:rPr>
                <w:rFonts w:ascii="Arial" w:hAnsi="Arial" w:cs="Arial"/>
                <w:color w:val="000000"/>
              </w:rPr>
              <w:t>-8.576575*</w:t>
            </w:r>
          </w:p>
        </w:tc>
        <w:tc>
          <w:tcPr>
            <w:tcW w:w="2410" w:type="dxa"/>
          </w:tcPr>
          <w:p w14:paraId="288722A6" w14:textId="77777777" w:rsidR="00B31CA8" w:rsidRPr="00A22E16" w:rsidRDefault="00B31CA8" w:rsidP="0066301C">
            <w:pPr>
              <w:jc w:val="center"/>
              <w:rPr>
                <w:rFonts w:ascii="Arial" w:hAnsi="Arial" w:cs="Arial"/>
              </w:rPr>
            </w:pPr>
            <w:r w:rsidRPr="00A22E16">
              <w:rPr>
                <w:rFonts w:ascii="Arial" w:hAnsi="Arial" w:cs="Arial"/>
              </w:rPr>
              <w:t>3</w:t>
            </w:r>
          </w:p>
        </w:tc>
      </w:tr>
      <w:tr w:rsidR="00B31CA8" w:rsidRPr="00F679C0" w14:paraId="7EE99BB5" w14:textId="77777777" w:rsidTr="00B31CA8">
        <w:tc>
          <w:tcPr>
            <w:tcW w:w="1980" w:type="dxa"/>
          </w:tcPr>
          <w:p w14:paraId="1023A61E" w14:textId="77777777" w:rsidR="00B31CA8" w:rsidRPr="00A22E16" w:rsidRDefault="00B31CA8" w:rsidP="0066301C">
            <w:pPr>
              <w:rPr>
                <w:rFonts w:ascii="Arial" w:hAnsi="Arial" w:cs="Arial"/>
              </w:rPr>
            </w:pPr>
            <w:r w:rsidRPr="00A22E16">
              <w:rPr>
                <w:rFonts w:ascii="Arial" w:hAnsi="Arial" w:cs="Arial"/>
              </w:rPr>
              <w:t>Spain</w:t>
            </w:r>
          </w:p>
        </w:tc>
        <w:tc>
          <w:tcPr>
            <w:tcW w:w="1984" w:type="dxa"/>
          </w:tcPr>
          <w:p w14:paraId="42A88565" w14:textId="62E51649" w:rsidR="00B31CA8" w:rsidRPr="00A22E16" w:rsidRDefault="00B31CA8" w:rsidP="0066301C">
            <w:pPr>
              <w:jc w:val="center"/>
              <w:rPr>
                <w:rFonts w:ascii="Arial" w:hAnsi="Arial" w:cs="Arial"/>
              </w:rPr>
            </w:pPr>
            <w:r w:rsidRPr="00A22E16">
              <w:rPr>
                <w:rFonts w:ascii="Arial" w:hAnsi="Arial" w:cs="Arial"/>
                <w:color w:val="000000"/>
              </w:rPr>
              <w:t>-8.556360*</w:t>
            </w:r>
          </w:p>
        </w:tc>
        <w:tc>
          <w:tcPr>
            <w:tcW w:w="2410" w:type="dxa"/>
          </w:tcPr>
          <w:p w14:paraId="56124BE2" w14:textId="77777777" w:rsidR="00B31CA8" w:rsidRPr="00A22E16" w:rsidRDefault="00B31CA8" w:rsidP="0066301C">
            <w:pPr>
              <w:jc w:val="center"/>
              <w:rPr>
                <w:rFonts w:ascii="Arial" w:hAnsi="Arial" w:cs="Arial"/>
              </w:rPr>
            </w:pPr>
            <w:r w:rsidRPr="00A22E16">
              <w:rPr>
                <w:rFonts w:ascii="Arial" w:hAnsi="Arial" w:cs="Arial"/>
              </w:rPr>
              <w:t>3</w:t>
            </w:r>
          </w:p>
        </w:tc>
      </w:tr>
      <w:tr w:rsidR="00B31CA8" w:rsidRPr="00F679C0" w14:paraId="6BC52506" w14:textId="77777777" w:rsidTr="00B31CA8">
        <w:tc>
          <w:tcPr>
            <w:tcW w:w="6374" w:type="dxa"/>
            <w:gridSpan w:val="3"/>
          </w:tcPr>
          <w:p w14:paraId="3B1EC20E" w14:textId="40826F52" w:rsidR="00B31CA8" w:rsidRPr="00A22E16" w:rsidRDefault="00B31CA8" w:rsidP="0066301C">
            <w:pPr>
              <w:jc w:val="center"/>
              <w:rPr>
                <w:rFonts w:ascii="Arial" w:hAnsi="Arial" w:cs="Arial"/>
              </w:rPr>
            </w:pPr>
            <w:r w:rsidRPr="00A22E16">
              <w:rPr>
                <w:rFonts w:ascii="Arial" w:hAnsi="Arial" w:cs="Arial"/>
                <w:b/>
              </w:rPr>
              <w:t>CAR</w:t>
            </w:r>
          </w:p>
        </w:tc>
      </w:tr>
      <w:tr w:rsidR="00B31CA8" w:rsidRPr="00F679C0" w14:paraId="646E7E3B" w14:textId="77777777" w:rsidTr="00B31CA8">
        <w:tc>
          <w:tcPr>
            <w:tcW w:w="1980" w:type="dxa"/>
          </w:tcPr>
          <w:p w14:paraId="77B9F5B1" w14:textId="7DED9CF5" w:rsidR="00B31CA8" w:rsidRPr="00A22E16" w:rsidRDefault="00B31CA8" w:rsidP="0066301C">
            <w:pPr>
              <w:jc w:val="center"/>
              <w:rPr>
                <w:rFonts w:ascii="Arial" w:hAnsi="Arial" w:cs="Arial"/>
              </w:rPr>
            </w:pPr>
            <w:r w:rsidRPr="00A22E16">
              <w:rPr>
                <w:rFonts w:ascii="Arial" w:hAnsi="Arial" w:cs="Arial"/>
                <w:b/>
              </w:rPr>
              <w:t>Trade Partners</w:t>
            </w:r>
          </w:p>
        </w:tc>
        <w:tc>
          <w:tcPr>
            <w:tcW w:w="1984" w:type="dxa"/>
          </w:tcPr>
          <w:p w14:paraId="34138987" w14:textId="1FAB690E" w:rsidR="00B31CA8" w:rsidRPr="00A22E16" w:rsidRDefault="00B31CA8" w:rsidP="0066301C">
            <w:pPr>
              <w:jc w:val="center"/>
              <w:rPr>
                <w:rFonts w:ascii="Arial" w:hAnsi="Arial" w:cs="Arial"/>
                <w:b/>
              </w:rPr>
            </w:pPr>
            <w:r w:rsidRPr="00A22E16">
              <w:rPr>
                <w:rFonts w:ascii="Arial" w:hAnsi="Arial" w:cs="Arial"/>
                <w:b/>
              </w:rPr>
              <w:t>Optimal lag value</w:t>
            </w:r>
          </w:p>
        </w:tc>
        <w:tc>
          <w:tcPr>
            <w:tcW w:w="2410" w:type="dxa"/>
          </w:tcPr>
          <w:p w14:paraId="6C8FCE31" w14:textId="7EA89D49" w:rsidR="00B31CA8" w:rsidRPr="00A22E16" w:rsidRDefault="00B31CA8" w:rsidP="0066301C">
            <w:pPr>
              <w:jc w:val="center"/>
              <w:rPr>
                <w:rFonts w:ascii="Arial" w:hAnsi="Arial" w:cs="Arial"/>
              </w:rPr>
            </w:pPr>
            <w:r w:rsidRPr="00A22E16">
              <w:rPr>
                <w:rFonts w:ascii="Arial" w:hAnsi="Arial" w:cs="Arial"/>
                <w:b/>
              </w:rPr>
              <w:t>Optimal Lag length</w:t>
            </w:r>
          </w:p>
        </w:tc>
      </w:tr>
      <w:tr w:rsidR="00B31CA8" w:rsidRPr="00F679C0" w14:paraId="05FEB850" w14:textId="77777777" w:rsidTr="00B31CA8">
        <w:tc>
          <w:tcPr>
            <w:tcW w:w="1980" w:type="dxa"/>
          </w:tcPr>
          <w:p w14:paraId="685DC0A3" w14:textId="677224E6" w:rsidR="00B31CA8" w:rsidRPr="00F92DED" w:rsidRDefault="00B31CA8" w:rsidP="0066301C">
            <w:pPr>
              <w:rPr>
                <w:rFonts w:ascii="Arial" w:hAnsi="Arial" w:cs="Arial"/>
                <w:bCs/>
              </w:rPr>
            </w:pPr>
            <w:r w:rsidRPr="00F92DED">
              <w:rPr>
                <w:rFonts w:ascii="Arial" w:hAnsi="Arial" w:cs="Arial"/>
                <w:bCs/>
              </w:rPr>
              <w:t>Cameroon</w:t>
            </w:r>
          </w:p>
        </w:tc>
        <w:tc>
          <w:tcPr>
            <w:tcW w:w="1984" w:type="dxa"/>
          </w:tcPr>
          <w:p w14:paraId="6FB40CE6" w14:textId="5EF41247" w:rsidR="00B31CA8" w:rsidRPr="00A22E16" w:rsidRDefault="00B31CA8" w:rsidP="0066301C">
            <w:pPr>
              <w:jc w:val="center"/>
              <w:rPr>
                <w:rFonts w:ascii="Arial" w:hAnsi="Arial" w:cs="Arial"/>
              </w:rPr>
            </w:pPr>
            <w:r w:rsidRPr="00A22E16">
              <w:rPr>
                <w:rFonts w:ascii="Arial" w:hAnsi="Arial" w:cs="Arial"/>
                <w:color w:val="000000"/>
              </w:rPr>
              <w:t>-6.710466*</w:t>
            </w:r>
          </w:p>
        </w:tc>
        <w:tc>
          <w:tcPr>
            <w:tcW w:w="2410" w:type="dxa"/>
          </w:tcPr>
          <w:p w14:paraId="695FC2AC" w14:textId="13CADB2C" w:rsidR="00B31CA8" w:rsidRPr="00A22E16" w:rsidRDefault="00B31CA8" w:rsidP="0066301C">
            <w:pPr>
              <w:jc w:val="center"/>
              <w:rPr>
                <w:rFonts w:ascii="Arial" w:hAnsi="Arial" w:cs="Arial"/>
              </w:rPr>
            </w:pPr>
            <w:r w:rsidRPr="00A22E16">
              <w:rPr>
                <w:rFonts w:ascii="Arial" w:hAnsi="Arial" w:cs="Arial"/>
              </w:rPr>
              <w:t>2</w:t>
            </w:r>
          </w:p>
        </w:tc>
      </w:tr>
      <w:tr w:rsidR="00B31CA8" w:rsidRPr="00F679C0" w14:paraId="60AF97A5" w14:textId="77777777" w:rsidTr="00B31CA8">
        <w:tc>
          <w:tcPr>
            <w:tcW w:w="1980" w:type="dxa"/>
          </w:tcPr>
          <w:p w14:paraId="789420CC" w14:textId="07738F48" w:rsidR="00B31CA8" w:rsidRPr="00A22E16" w:rsidRDefault="00B31CA8" w:rsidP="0066301C">
            <w:pPr>
              <w:rPr>
                <w:rFonts w:ascii="Arial" w:hAnsi="Arial" w:cs="Arial"/>
              </w:rPr>
            </w:pPr>
            <w:r w:rsidRPr="00A22E16">
              <w:rPr>
                <w:rFonts w:ascii="Arial" w:hAnsi="Arial" w:cs="Arial"/>
              </w:rPr>
              <w:t>China</w:t>
            </w:r>
          </w:p>
        </w:tc>
        <w:tc>
          <w:tcPr>
            <w:tcW w:w="1984" w:type="dxa"/>
          </w:tcPr>
          <w:p w14:paraId="65BB257F" w14:textId="57FD5A69" w:rsidR="00B31CA8" w:rsidRPr="00A22E16" w:rsidRDefault="00604369" w:rsidP="0066301C">
            <w:pPr>
              <w:jc w:val="center"/>
              <w:rPr>
                <w:rFonts w:ascii="Arial" w:hAnsi="Arial" w:cs="Arial"/>
                <w:color w:val="000000"/>
              </w:rPr>
            </w:pPr>
            <w:r w:rsidRPr="00A22E16">
              <w:rPr>
                <w:rFonts w:ascii="Arial" w:hAnsi="Arial" w:cs="Arial"/>
                <w:color w:val="000000"/>
              </w:rPr>
              <w:t>-7.278557*</w:t>
            </w:r>
          </w:p>
        </w:tc>
        <w:tc>
          <w:tcPr>
            <w:tcW w:w="2410" w:type="dxa"/>
          </w:tcPr>
          <w:p w14:paraId="579A6ED9" w14:textId="50D0614A" w:rsidR="00B31CA8" w:rsidRPr="00A22E16" w:rsidRDefault="00604369" w:rsidP="0066301C">
            <w:pPr>
              <w:jc w:val="center"/>
              <w:rPr>
                <w:rFonts w:ascii="Arial" w:hAnsi="Arial" w:cs="Arial"/>
              </w:rPr>
            </w:pPr>
            <w:r w:rsidRPr="00A22E16">
              <w:rPr>
                <w:rFonts w:ascii="Arial" w:hAnsi="Arial" w:cs="Arial"/>
              </w:rPr>
              <w:t>2</w:t>
            </w:r>
          </w:p>
        </w:tc>
      </w:tr>
      <w:tr w:rsidR="00031F9E" w:rsidRPr="00F679C0" w14:paraId="2338D681" w14:textId="77777777" w:rsidTr="00B31CA8">
        <w:tc>
          <w:tcPr>
            <w:tcW w:w="1980" w:type="dxa"/>
          </w:tcPr>
          <w:p w14:paraId="28ED75F6" w14:textId="1A331BBC" w:rsidR="00031F9E" w:rsidRPr="00A22E16" w:rsidRDefault="00031F9E" w:rsidP="0066301C">
            <w:pPr>
              <w:rPr>
                <w:rFonts w:ascii="Arial" w:hAnsi="Arial" w:cs="Arial"/>
              </w:rPr>
            </w:pPr>
            <w:r w:rsidRPr="00A22E16">
              <w:rPr>
                <w:rFonts w:ascii="Arial" w:hAnsi="Arial" w:cs="Arial"/>
              </w:rPr>
              <w:t>France</w:t>
            </w:r>
          </w:p>
        </w:tc>
        <w:tc>
          <w:tcPr>
            <w:tcW w:w="1984" w:type="dxa"/>
          </w:tcPr>
          <w:p w14:paraId="38D338BB" w14:textId="22BC921D" w:rsidR="00031F9E" w:rsidRPr="00A22E16" w:rsidRDefault="00031F9E" w:rsidP="0066301C">
            <w:pPr>
              <w:jc w:val="center"/>
              <w:rPr>
                <w:rFonts w:ascii="Arial" w:hAnsi="Arial" w:cs="Arial"/>
                <w:color w:val="000000"/>
              </w:rPr>
            </w:pPr>
            <w:r w:rsidRPr="00A22E16">
              <w:rPr>
                <w:rFonts w:ascii="Arial" w:hAnsi="Arial" w:cs="Arial"/>
                <w:color w:val="000000"/>
              </w:rPr>
              <w:t>-8.215906*</w:t>
            </w:r>
          </w:p>
        </w:tc>
        <w:tc>
          <w:tcPr>
            <w:tcW w:w="2410" w:type="dxa"/>
          </w:tcPr>
          <w:p w14:paraId="1A343A06" w14:textId="373E358E" w:rsidR="00031F9E" w:rsidRPr="00A22E16" w:rsidRDefault="00031F9E" w:rsidP="0066301C">
            <w:pPr>
              <w:jc w:val="center"/>
              <w:rPr>
                <w:rFonts w:ascii="Arial" w:hAnsi="Arial" w:cs="Arial"/>
              </w:rPr>
            </w:pPr>
            <w:r w:rsidRPr="00A22E16">
              <w:rPr>
                <w:rFonts w:ascii="Arial" w:hAnsi="Arial" w:cs="Arial"/>
              </w:rPr>
              <w:t>1</w:t>
            </w:r>
          </w:p>
        </w:tc>
      </w:tr>
      <w:tr w:rsidR="00031F9E" w:rsidRPr="00F679C0" w14:paraId="1845B565" w14:textId="77777777" w:rsidTr="00B31CA8">
        <w:tc>
          <w:tcPr>
            <w:tcW w:w="1980" w:type="dxa"/>
          </w:tcPr>
          <w:p w14:paraId="2245C45D" w14:textId="518360C8" w:rsidR="00031F9E" w:rsidRPr="00A22E16" w:rsidRDefault="00031F9E" w:rsidP="0066301C">
            <w:pPr>
              <w:rPr>
                <w:rFonts w:ascii="Arial" w:hAnsi="Arial" w:cs="Arial"/>
              </w:rPr>
            </w:pPr>
            <w:r w:rsidRPr="00A22E16">
              <w:rPr>
                <w:rFonts w:ascii="Arial" w:hAnsi="Arial" w:cs="Arial"/>
              </w:rPr>
              <w:t>India</w:t>
            </w:r>
          </w:p>
        </w:tc>
        <w:tc>
          <w:tcPr>
            <w:tcW w:w="1984" w:type="dxa"/>
          </w:tcPr>
          <w:p w14:paraId="698AF23C" w14:textId="68996C50" w:rsidR="00031F9E" w:rsidRPr="00A22E16" w:rsidRDefault="00031F9E" w:rsidP="0066301C">
            <w:pPr>
              <w:jc w:val="center"/>
              <w:rPr>
                <w:rFonts w:ascii="Arial" w:hAnsi="Arial" w:cs="Arial"/>
                <w:color w:val="000000"/>
              </w:rPr>
            </w:pPr>
            <w:r w:rsidRPr="00A22E16">
              <w:rPr>
                <w:rFonts w:ascii="Arial" w:hAnsi="Arial" w:cs="Arial"/>
                <w:color w:val="000000"/>
              </w:rPr>
              <w:t>-8.511299*</w:t>
            </w:r>
          </w:p>
        </w:tc>
        <w:tc>
          <w:tcPr>
            <w:tcW w:w="2410" w:type="dxa"/>
          </w:tcPr>
          <w:p w14:paraId="127BC875" w14:textId="60DD3032" w:rsidR="00031F9E" w:rsidRPr="00A22E16" w:rsidRDefault="00031F9E" w:rsidP="0066301C">
            <w:pPr>
              <w:jc w:val="center"/>
              <w:rPr>
                <w:rFonts w:ascii="Arial" w:hAnsi="Arial" w:cs="Arial"/>
              </w:rPr>
            </w:pPr>
            <w:r w:rsidRPr="00A22E16">
              <w:rPr>
                <w:rFonts w:ascii="Arial" w:hAnsi="Arial" w:cs="Arial"/>
              </w:rPr>
              <w:t>1</w:t>
            </w:r>
          </w:p>
        </w:tc>
      </w:tr>
      <w:tr w:rsidR="00031F9E" w:rsidRPr="00F679C0" w14:paraId="2EC7598C" w14:textId="77777777" w:rsidTr="009F4B1D">
        <w:tc>
          <w:tcPr>
            <w:tcW w:w="1980" w:type="dxa"/>
          </w:tcPr>
          <w:p w14:paraId="2275B786" w14:textId="50466C94" w:rsidR="00031F9E" w:rsidRPr="00A22E16" w:rsidRDefault="00031F9E" w:rsidP="0066301C">
            <w:pPr>
              <w:rPr>
                <w:rFonts w:ascii="Arial" w:hAnsi="Arial" w:cs="Arial"/>
              </w:rPr>
            </w:pPr>
            <w:r w:rsidRPr="00A22E16">
              <w:rPr>
                <w:rFonts w:ascii="Arial" w:hAnsi="Arial" w:cs="Arial"/>
              </w:rPr>
              <w:t>N</w:t>
            </w:r>
            <w:r w:rsidR="00152831" w:rsidRPr="00A22E16">
              <w:rPr>
                <w:rFonts w:ascii="Arial" w:hAnsi="Arial" w:cs="Arial"/>
              </w:rPr>
              <w:t>e</w:t>
            </w:r>
            <w:r w:rsidRPr="00A22E16">
              <w:rPr>
                <w:rFonts w:ascii="Arial" w:hAnsi="Arial" w:cs="Arial"/>
              </w:rPr>
              <w:t>p</w:t>
            </w:r>
            <w:r w:rsidR="00152831" w:rsidRPr="00A22E16">
              <w:rPr>
                <w:rFonts w:ascii="Arial" w:hAnsi="Arial" w:cs="Arial"/>
              </w:rPr>
              <w:t>a</w:t>
            </w:r>
            <w:r w:rsidRPr="00A22E16">
              <w:rPr>
                <w:rFonts w:ascii="Arial" w:hAnsi="Arial" w:cs="Arial"/>
              </w:rPr>
              <w:t>l</w:t>
            </w:r>
          </w:p>
        </w:tc>
        <w:tc>
          <w:tcPr>
            <w:tcW w:w="1984" w:type="dxa"/>
            <w:shd w:val="clear" w:color="auto" w:fill="auto"/>
          </w:tcPr>
          <w:p w14:paraId="190E4448" w14:textId="43170A52" w:rsidR="00031F9E" w:rsidRPr="00A22E16" w:rsidRDefault="00031F9E" w:rsidP="0066301C">
            <w:pPr>
              <w:jc w:val="center"/>
              <w:rPr>
                <w:rFonts w:ascii="Arial" w:hAnsi="Arial" w:cs="Arial"/>
                <w:color w:val="000000"/>
                <w:highlight w:val="green"/>
              </w:rPr>
            </w:pPr>
            <w:r w:rsidRPr="00A22E16">
              <w:rPr>
                <w:rFonts w:ascii="Arial" w:hAnsi="Arial" w:cs="Arial"/>
                <w:color w:val="000000"/>
              </w:rPr>
              <w:t>-7.027192*</w:t>
            </w:r>
          </w:p>
        </w:tc>
        <w:tc>
          <w:tcPr>
            <w:tcW w:w="2410" w:type="dxa"/>
          </w:tcPr>
          <w:p w14:paraId="535E4543" w14:textId="6108D4FD" w:rsidR="00031F9E" w:rsidRPr="00A22E16" w:rsidRDefault="00031F9E" w:rsidP="0066301C">
            <w:pPr>
              <w:jc w:val="center"/>
              <w:rPr>
                <w:rFonts w:ascii="Arial" w:hAnsi="Arial" w:cs="Arial"/>
                <w:highlight w:val="green"/>
              </w:rPr>
            </w:pPr>
            <w:r w:rsidRPr="00A22E16">
              <w:rPr>
                <w:rFonts w:ascii="Arial" w:hAnsi="Arial" w:cs="Arial"/>
              </w:rPr>
              <w:t>3</w:t>
            </w:r>
          </w:p>
        </w:tc>
      </w:tr>
      <w:tr w:rsidR="00031F9E" w:rsidRPr="00F679C0" w14:paraId="7009AF40" w14:textId="77777777" w:rsidTr="00B31CA8">
        <w:tc>
          <w:tcPr>
            <w:tcW w:w="6374" w:type="dxa"/>
            <w:gridSpan w:val="3"/>
          </w:tcPr>
          <w:p w14:paraId="3EEFB2FF" w14:textId="046B8234" w:rsidR="00031F9E" w:rsidRPr="00A22E16" w:rsidRDefault="00031F9E" w:rsidP="0066301C">
            <w:pPr>
              <w:jc w:val="center"/>
              <w:rPr>
                <w:rFonts w:ascii="Arial" w:hAnsi="Arial" w:cs="Arial"/>
                <w:b/>
                <w:bCs/>
              </w:rPr>
            </w:pPr>
            <w:r w:rsidRPr="00A22E16">
              <w:rPr>
                <w:rFonts w:ascii="Arial" w:hAnsi="Arial" w:cs="Arial"/>
                <w:b/>
                <w:bCs/>
              </w:rPr>
              <w:t>Gabon</w:t>
            </w:r>
          </w:p>
        </w:tc>
      </w:tr>
      <w:tr w:rsidR="00031F9E" w:rsidRPr="00F679C0" w14:paraId="6CDCB2B5" w14:textId="77777777" w:rsidTr="00B31CA8">
        <w:tc>
          <w:tcPr>
            <w:tcW w:w="1980" w:type="dxa"/>
          </w:tcPr>
          <w:p w14:paraId="01123EBD" w14:textId="69C0AC5B" w:rsidR="00031F9E" w:rsidRPr="00A22E16" w:rsidRDefault="00031F9E" w:rsidP="0066301C">
            <w:pPr>
              <w:jc w:val="center"/>
              <w:rPr>
                <w:rFonts w:ascii="Arial" w:hAnsi="Arial" w:cs="Arial"/>
              </w:rPr>
            </w:pPr>
            <w:r w:rsidRPr="00A22E16">
              <w:rPr>
                <w:rFonts w:ascii="Arial" w:hAnsi="Arial" w:cs="Arial"/>
                <w:b/>
              </w:rPr>
              <w:t>Trade Partners</w:t>
            </w:r>
          </w:p>
        </w:tc>
        <w:tc>
          <w:tcPr>
            <w:tcW w:w="1984" w:type="dxa"/>
          </w:tcPr>
          <w:p w14:paraId="33FD883E" w14:textId="1FA120C3" w:rsidR="00031F9E" w:rsidRPr="00A22E16" w:rsidRDefault="00031F9E" w:rsidP="0066301C">
            <w:pPr>
              <w:jc w:val="center"/>
              <w:rPr>
                <w:rFonts w:ascii="Arial" w:hAnsi="Arial" w:cs="Arial"/>
                <w:b/>
              </w:rPr>
            </w:pPr>
            <w:r w:rsidRPr="00A22E16">
              <w:rPr>
                <w:rFonts w:ascii="Arial" w:hAnsi="Arial" w:cs="Arial"/>
                <w:b/>
              </w:rPr>
              <w:t>Optimal lag value</w:t>
            </w:r>
          </w:p>
        </w:tc>
        <w:tc>
          <w:tcPr>
            <w:tcW w:w="2410" w:type="dxa"/>
          </w:tcPr>
          <w:p w14:paraId="2060731D" w14:textId="25A705DD" w:rsidR="00031F9E" w:rsidRPr="00A22E16" w:rsidRDefault="00031F9E" w:rsidP="0066301C">
            <w:pPr>
              <w:jc w:val="center"/>
              <w:rPr>
                <w:rFonts w:ascii="Arial" w:hAnsi="Arial" w:cs="Arial"/>
              </w:rPr>
            </w:pPr>
            <w:r w:rsidRPr="00A22E16">
              <w:rPr>
                <w:rFonts w:ascii="Arial" w:hAnsi="Arial" w:cs="Arial"/>
                <w:b/>
              </w:rPr>
              <w:t>Optimal Lag length</w:t>
            </w:r>
          </w:p>
        </w:tc>
      </w:tr>
      <w:tr w:rsidR="00031F9E" w:rsidRPr="00F679C0" w14:paraId="47A3EFB4" w14:textId="77777777" w:rsidTr="00B31CA8">
        <w:tc>
          <w:tcPr>
            <w:tcW w:w="1980" w:type="dxa"/>
          </w:tcPr>
          <w:p w14:paraId="534B1123" w14:textId="772FB463" w:rsidR="00031F9E" w:rsidRPr="00A22E16" w:rsidRDefault="00031F9E" w:rsidP="0066301C">
            <w:pPr>
              <w:rPr>
                <w:rFonts w:ascii="Arial" w:hAnsi="Arial" w:cs="Arial"/>
                <w:b/>
              </w:rPr>
            </w:pPr>
            <w:r w:rsidRPr="00A22E16">
              <w:rPr>
                <w:rFonts w:ascii="Arial" w:hAnsi="Arial" w:cs="Arial"/>
              </w:rPr>
              <w:t>China</w:t>
            </w:r>
          </w:p>
        </w:tc>
        <w:tc>
          <w:tcPr>
            <w:tcW w:w="1984" w:type="dxa"/>
          </w:tcPr>
          <w:p w14:paraId="01DD573E" w14:textId="2667450E" w:rsidR="00031F9E" w:rsidRPr="00A22E16" w:rsidRDefault="00031F9E" w:rsidP="0066301C">
            <w:pPr>
              <w:jc w:val="center"/>
              <w:rPr>
                <w:rFonts w:ascii="Arial" w:hAnsi="Arial" w:cs="Arial"/>
                <w:b/>
              </w:rPr>
            </w:pPr>
            <w:r w:rsidRPr="00A22E16">
              <w:rPr>
                <w:rFonts w:ascii="Arial" w:hAnsi="Arial" w:cs="Arial"/>
                <w:color w:val="000000"/>
              </w:rPr>
              <w:t>-6.775574*</w:t>
            </w:r>
          </w:p>
        </w:tc>
        <w:tc>
          <w:tcPr>
            <w:tcW w:w="2410" w:type="dxa"/>
          </w:tcPr>
          <w:p w14:paraId="23688BBD" w14:textId="0862CDEC" w:rsidR="00031F9E" w:rsidRPr="00A22E16" w:rsidRDefault="00031F9E" w:rsidP="0066301C">
            <w:pPr>
              <w:jc w:val="center"/>
              <w:rPr>
                <w:rFonts w:ascii="Arial" w:hAnsi="Arial" w:cs="Arial"/>
                <w:bCs/>
              </w:rPr>
            </w:pPr>
            <w:r w:rsidRPr="00A22E16">
              <w:rPr>
                <w:rFonts w:ascii="Arial" w:hAnsi="Arial" w:cs="Arial"/>
                <w:bCs/>
              </w:rPr>
              <w:t>2</w:t>
            </w:r>
          </w:p>
        </w:tc>
      </w:tr>
      <w:tr w:rsidR="00031F9E" w:rsidRPr="00F679C0" w14:paraId="6CF2762A" w14:textId="77777777" w:rsidTr="00B31CA8">
        <w:tc>
          <w:tcPr>
            <w:tcW w:w="1980" w:type="dxa"/>
          </w:tcPr>
          <w:p w14:paraId="2E55C2EB" w14:textId="568B30EB" w:rsidR="00031F9E" w:rsidRPr="00A22E16" w:rsidRDefault="00031F9E" w:rsidP="0066301C">
            <w:pPr>
              <w:rPr>
                <w:rFonts w:ascii="Arial" w:hAnsi="Arial" w:cs="Arial"/>
              </w:rPr>
            </w:pPr>
            <w:r w:rsidRPr="00A22E16">
              <w:rPr>
                <w:rFonts w:ascii="Arial" w:hAnsi="Arial" w:cs="Arial"/>
              </w:rPr>
              <w:t>Ireland</w:t>
            </w:r>
          </w:p>
        </w:tc>
        <w:tc>
          <w:tcPr>
            <w:tcW w:w="1984" w:type="dxa"/>
          </w:tcPr>
          <w:p w14:paraId="2B23861E" w14:textId="06A2443F" w:rsidR="00031F9E" w:rsidRPr="00A22E16" w:rsidRDefault="00031F9E" w:rsidP="0066301C">
            <w:pPr>
              <w:jc w:val="center"/>
              <w:rPr>
                <w:rFonts w:ascii="Arial" w:hAnsi="Arial" w:cs="Arial"/>
                <w:color w:val="000000"/>
              </w:rPr>
            </w:pPr>
            <w:r w:rsidRPr="00A22E16">
              <w:rPr>
                <w:rFonts w:ascii="Arial" w:hAnsi="Arial" w:cs="Arial"/>
                <w:color w:val="000000"/>
              </w:rPr>
              <w:t> -5.936532*</w:t>
            </w:r>
          </w:p>
        </w:tc>
        <w:tc>
          <w:tcPr>
            <w:tcW w:w="2410" w:type="dxa"/>
          </w:tcPr>
          <w:p w14:paraId="0CDCF116" w14:textId="30A39499" w:rsidR="00031F9E" w:rsidRPr="00A22E16" w:rsidRDefault="00031F9E" w:rsidP="0066301C">
            <w:pPr>
              <w:jc w:val="center"/>
              <w:rPr>
                <w:rFonts w:ascii="Arial" w:hAnsi="Arial" w:cs="Arial"/>
              </w:rPr>
            </w:pPr>
            <w:r w:rsidRPr="00A22E16">
              <w:rPr>
                <w:rFonts w:ascii="Arial" w:hAnsi="Arial" w:cs="Arial"/>
              </w:rPr>
              <w:t>1</w:t>
            </w:r>
          </w:p>
        </w:tc>
      </w:tr>
      <w:tr w:rsidR="00031F9E" w:rsidRPr="00F679C0" w14:paraId="00421FD9" w14:textId="77777777" w:rsidTr="00B31CA8">
        <w:tc>
          <w:tcPr>
            <w:tcW w:w="1980" w:type="dxa"/>
          </w:tcPr>
          <w:p w14:paraId="63ECD4AC" w14:textId="0E427386" w:rsidR="00031F9E" w:rsidRPr="00A22E16" w:rsidRDefault="00031F9E" w:rsidP="0066301C">
            <w:pPr>
              <w:rPr>
                <w:rFonts w:ascii="Arial" w:hAnsi="Arial" w:cs="Arial"/>
              </w:rPr>
            </w:pPr>
            <w:r w:rsidRPr="00A22E16">
              <w:rPr>
                <w:rFonts w:ascii="Arial" w:hAnsi="Arial" w:cs="Arial"/>
              </w:rPr>
              <w:t>Korea</w:t>
            </w:r>
          </w:p>
        </w:tc>
        <w:tc>
          <w:tcPr>
            <w:tcW w:w="1984" w:type="dxa"/>
          </w:tcPr>
          <w:p w14:paraId="0FA7B1AA" w14:textId="0A445E90" w:rsidR="00031F9E" w:rsidRPr="00A22E16" w:rsidRDefault="00031F9E" w:rsidP="0066301C">
            <w:pPr>
              <w:jc w:val="center"/>
              <w:rPr>
                <w:rFonts w:ascii="Arial" w:hAnsi="Arial" w:cs="Arial"/>
                <w:color w:val="000000"/>
              </w:rPr>
            </w:pPr>
            <w:r w:rsidRPr="00A22E16">
              <w:rPr>
                <w:rFonts w:ascii="Arial" w:hAnsi="Arial" w:cs="Arial"/>
                <w:color w:val="000000"/>
              </w:rPr>
              <w:t>-5.571777*</w:t>
            </w:r>
          </w:p>
        </w:tc>
        <w:tc>
          <w:tcPr>
            <w:tcW w:w="2410" w:type="dxa"/>
          </w:tcPr>
          <w:p w14:paraId="2F577ECE" w14:textId="23F09890" w:rsidR="00031F9E" w:rsidRPr="00A22E16" w:rsidRDefault="00031F9E" w:rsidP="0066301C">
            <w:pPr>
              <w:jc w:val="center"/>
              <w:rPr>
                <w:rFonts w:ascii="Arial" w:hAnsi="Arial" w:cs="Arial"/>
              </w:rPr>
            </w:pPr>
            <w:r w:rsidRPr="00A22E16">
              <w:rPr>
                <w:rFonts w:ascii="Arial" w:hAnsi="Arial" w:cs="Arial"/>
              </w:rPr>
              <w:t>1</w:t>
            </w:r>
          </w:p>
        </w:tc>
      </w:tr>
      <w:tr w:rsidR="00031F9E" w:rsidRPr="00F679C0" w14:paraId="3134E18E" w14:textId="77777777" w:rsidTr="00B31CA8">
        <w:tc>
          <w:tcPr>
            <w:tcW w:w="1980" w:type="dxa"/>
          </w:tcPr>
          <w:p w14:paraId="640D807F" w14:textId="54BDD07D" w:rsidR="00031F9E" w:rsidRPr="00A22E16" w:rsidRDefault="00031F9E" w:rsidP="0066301C">
            <w:pPr>
              <w:rPr>
                <w:rFonts w:ascii="Arial" w:hAnsi="Arial" w:cs="Arial"/>
              </w:rPr>
            </w:pPr>
            <w:r w:rsidRPr="00A22E16">
              <w:rPr>
                <w:rFonts w:ascii="Arial" w:hAnsi="Arial" w:cs="Arial"/>
              </w:rPr>
              <w:t>Netherlands</w:t>
            </w:r>
          </w:p>
        </w:tc>
        <w:tc>
          <w:tcPr>
            <w:tcW w:w="1984" w:type="dxa"/>
          </w:tcPr>
          <w:p w14:paraId="75077993" w14:textId="6E2C055A" w:rsidR="00031F9E" w:rsidRPr="00A22E16" w:rsidRDefault="00031F9E" w:rsidP="0066301C">
            <w:pPr>
              <w:jc w:val="center"/>
              <w:rPr>
                <w:rFonts w:ascii="Arial" w:hAnsi="Arial" w:cs="Arial"/>
                <w:color w:val="000000"/>
              </w:rPr>
            </w:pPr>
            <w:r w:rsidRPr="00A22E16">
              <w:rPr>
                <w:rFonts w:ascii="Arial" w:hAnsi="Arial" w:cs="Arial"/>
                <w:color w:val="000000"/>
              </w:rPr>
              <w:t>-6.013452*</w:t>
            </w:r>
          </w:p>
        </w:tc>
        <w:tc>
          <w:tcPr>
            <w:tcW w:w="2410" w:type="dxa"/>
          </w:tcPr>
          <w:p w14:paraId="3ACFFCC1" w14:textId="29D641FC" w:rsidR="00031F9E" w:rsidRPr="00A22E16" w:rsidRDefault="00031F9E" w:rsidP="0066301C">
            <w:pPr>
              <w:jc w:val="center"/>
              <w:rPr>
                <w:rFonts w:ascii="Arial" w:hAnsi="Arial" w:cs="Arial"/>
              </w:rPr>
            </w:pPr>
            <w:r w:rsidRPr="00A22E16">
              <w:rPr>
                <w:rFonts w:ascii="Arial" w:hAnsi="Arial" w:cs="Arial"/>
              </w:rPr>
              <w:t>1</w:t>
            </w:r>
          </w:p>
        </w:tc>
      </w:tr>
      <w:tr w:rsidR="00031F9E" w:rsidRPr="00F679C0" w14:paraId="3AB058CB" w14:textId="77777777" w:rsidTr="00B31CA8">
        <w:tc>
          <w:tcPr>
            <w:tcW w:w="1980" w:type="dxa"/>
          </w:tcPr>
          <w:p w14:paraId="0644773C" w14:textId="7C48D792" w:rsidR="00031F9E" w:rsidRPr="00A22E16" w:rsidRDefault="00031F9E" w:rsidP="0066301C">
            <w:pPr>
              <w:rPr>
                <w:rFonts w:ascii="Arial" w:hAnsi="Arial" w:cs="Arial"/>
              </w:rPr>
            </w:pPr>
            <w:r w:rsidRPr="00A22E16">
              <w:rPr>
                <w:rFonts w:ascii="Arial" w:hAnsi="Arial" w:cs="Arial"/>
              </w:rPr>
              <w:t>USA</w:t>
            </w:r>
          </w:p>
        </w:tc>
        <w:tc>
          <w:tcPr>
            <w:tcW w:w="1984" w:type="dxa"/>
          </w:tcPr>
          <w:p w14:paraId="0B9EDBA4" w14:textId="2655087C" w:rsidR="00031F9E" w:rsidRPr="00A22E16" w:rsidRDefault="00031F9E" w:rsidP="0066301C">
            <w:pPr>
              <w:jc w:val="center"/>
              <w:rPr>
                <w:rFonts w:ascii="Arial" w:hAnsi="Arial" w:cs="Arial"/>
                <w:color w:val="000000"/>
              </w:rPr>
            </w:pPr>
            <w:r w:rsidRPr="00A22E16">
              <w:rPr>
                <w:rFonts w:ascii="Arial" w:hAnsi="Arial" w:cs="Arial"/>
                <w:color w:val="000000"/>
              </w:rPr>
              <w:t>-9.046906*</w:t>
            </w:r>
          </w:p>
        </w:tc>
        <w:tc>
          <w:tcPr>
            <w:tcW w:w="2410" w:type="dxa"/>
          </w:tcPr>
          <w:p w14:paraId="685CE7CF" w14:textId="09A3C88C" w:rsidR="00031F9E" w:rsidRPr="00A22E16" w:rsidRDefault="00031F9E" w:rsidP="0066301C">
            <w:pPr>
              <w:jc w:val="center"/>
              <w:rPr>
                <w:rFonts w:ascii="Arial" w:hAnsi="Arial" w:cs="Arial"/>
              </w:rPr>
            </w:pPr>
            <w:r w:rsidRPr="00A22E16">
              <w:rPr>
                <w:rFonts w:ascii="Arial" w:hAnsi="Arial" w:cs="Arial"/>
              </w:rPr>
              <w:t>1</w:t>
            </w:r>
          </w:p>
        </w:tc>
      </w:tr>
    </w:tbl>
    <w:p w14:paraId="1F1E73B5" w14:textId="3CC6ACBB" w:rsidR="00F864D5" w:rsidRPr="00013269" w:rsidRDefault="00F864D5" w:rsidP="0066301C">
      <w:pPr>
        <w:autoSpaceDE w:val="0"/>
        <w:autoSpaceDN w:val="0"/>
        <w:adjustRightInd w:val="0"/>
        <w:spacing w:after="0" w:line="360" w:lineRule="auto"/>
        <w:rPr>
          <w:rFonts w:ascii="Arial" w:hAnsi="Arial" w:cs="Arial"/>
          <w:sz w:val="20"/>
          <w:szCs w:val="20"/>
        </w:rPr>
      </w:pPr>
      <w:r w:rsidRPr="00EC16EC">
        <w:rPr>
          <w:rFonts w:ascii="Arial" w:hAnsi="Arial" w:cs="Arial"/>
          <w:i/>
          <w:sz w:val="20"/>
          <w:szCs w:val="20"/>
        </w:rPr>
        <w:t xml:space="preserve">Source: Computation from time-series data using EViews </w:t>
      </w:r>
      <w:r w:rsidRPr="00EC16EC">
        <w:rPr>
          <w:rFonts w:ascii="Arial" w:hAnsi="Arial" w:cs="Arial"/>
          <w:sz w:val="20"/>
          <w:szCs w:val="20"/>
        </w:rPr>
        <w:t>1</w:t>
      </w:r>
      <w:r>
        <w:rPr>
          <w:rFonts w:ascii="Arial" w:hAnsi="Arial" w:cs="Arial"/>
          <w:sz w:val="20"/>
          <w:szCs w:val="20"/>
        </w:rPr>
        <w:t>2</w:t>
      </w:r>
    </w:p>
    <w:p w14:paraId="41268EBA" w14:textId="33FC9EAD" w:rsidR="00F91DB7" w:rsidRPr="00A817E8" w:rsidRDefault="00F9719D" w:rsidP="0066301C">
      <w:pPr>
        <w:pStyle w:val="Heading3"/>
        <w:numPr>
          <w:ilvl w:val="0"/>
          <w:numId w:val="0"/>
        </w:numPr>
        <w:spacing w:before="0" w:beforeAutospacing="0"/>
        <w:rPr>
          <w:lang w:val="en-US" w:eastAsia="en-GB"/>
        </w:rPr>
      </w:pPr>
      <w:bookmarkStart w:id="456" w:name="_Toc171075414"/>
      <w:bookmarkStart w:id="457" w:name="_Hlk170839485"/>
      <w:r>
        <w:rPr>
          <w:lang w:val="en-US" w:eastAsia="en-GB"/>
        </w:rPr>
        <w:t>4</w:t>
      </w:r>
      <w:r w:rsidR="00F91DB7" w:rsidRPr="00A817E8">
        <w:rPr>
          <w:lang w:val="en-US" w:eastAsia="en-GB"/>
        </w:rPr>
        <w:t>.</w:t>
      </w:r>
      <w:r>
        <w:rPr>
          <w:lang w:val="en-US" w:eastAsia="en-GB"/>
        </w:rPr>
        <w:t>6</w:t>
      </w:r>
      <w:r w:rsidR="00F91DB7" w:rsidRPr="00A817E8">
        <w:rPr>
          <w:lang w:val="en-US" w:eastAsia="en-GB"/>
        </w:rPr>
        <w:t>.</w:t>
      </w:r>
      <w:r w:rsidR="008658DE">
        <w:rPr>
          <w:lang w:val="en-US" w:eastAsia="en-GB"/>
        </w:rPr>
        <w:t>4</w:t>
      </w:r>
      <w:r>
        <w:rPr>
          <w:lang w:val="en-US" w:eastAsia="en-GB"/>
        </w:rPr>
        <w:tab/>
      </w:r>
      <w:r w:rsidR="00F91DB7" w:rsidRPr="00A817E8">
        <w:rPr>
          <w:lang w:val="en-US" w:eastAsia="en-GB"/>
        </w:rPr>
        <w:t>COINTEGRATION TEST</w:t>
      </w:r>
      <w:bookmarkEnd w:id="456"/>
      <w:r w:rsidR="00F91DB7" w:rsidRPr="00A817E8">
        <w:rPr>
          <w:lang w:val="en-US" w:eastAsia="en-GB"/>
        </w:rPr>
        <w:t xml:space="preserve"> </w:t>
      </w:r>
    </w:p>
    <w:p w14:paraId="77BEDC66" w14:textId="781E19A0" w:rsidR="00C46A4A" w:rsidRDefault="00F91DB7" w:rsidP="0066301C">
      <w:pPr>
        <w:autoSpaceDE w:val="0"/>
        <w:autoSpaceDN w:val="0"/>
        <w:adjustRightInd w:val="0"/>
        <w:spacing w:after="0" w:line="360" w:lineRule="auto"/>
        <w:jc w:val="both"/>
        <w:rPr>
          <w:rFonts w:ascii="Arial" w:hAnsi="Arial" w:cs="Arial"/>
          <w:color w:val="000000"/>
        </w:rPr>
      </w:pPr>
      <w:r>
        <w:rPr>
          <w:rFonts w:ascii="Arial" w:hAnsi="Arial" w:cs="Arial"/>
        </w:rPr>
        <w:t xml:space="preserve">Cointegration test </w:t>
      </w:r>
      <w:r w:rsidRPr="001016F9">
        <w:rPr>
          <w:rFonts w:ascii="Arial" w:hAnsi="Arial" w:cs="Arial"/>
        </w:rPr>
        <w:t>is a test to verify that variables used in a model have a long-run and short-run relationship among themselves</w:t>
      </w:r>
      <w:r>
        <w:rPr>
          <w:rFonts w:ascii="Arial" w:hAnsi="Arial" w:cs="Arial"/>
          <w:color w:val="000000"/>
        </w:rPr>
        <w:t xml:space="preserve">. </w:t>
      </w:r>
      <w:r w:rsidR="00C46A4A" w:rsidRPr="00B26CA0">
        <w:rPr>
          <w:rFonts w:ascii="Arial" w:hAnsi="Arial" w:cs="Arial"/>
        </w:rPr>
        <w:t xml:space="preserve">The Pesaran </w:t>
      </w:r>
      <w:r w:rsidR="00C46A4A" w:rsidRPr="57585719">
        <w:rPr>
          <w:rFonts w:ascii="Arial" w:hAnsi="Arial" w:cs="Arial"/>
          <w:i/>
          <w:iCs/>
        </w:rPr>
        <w:t>et al.</w:t>
      </w:r>
      <w:r w:rsidR="00C46A4A" w:rsidRPr="00B26CA0">
        <w:rPr>
          <w:rFonts w:ascii="Arial" w:hAnsi="Arial" w:cs="Arial"/>
        </w:rPr>
        <w:t xml:space="preserve"> (2001)</w:t>
      </w:r>
      <w:r w:rsidR="00C46A4A" w:rsidRPr="57585719">
        <w:rPr>
          <w:rFonts w:ascii="Arial" w:hAnsi="Arial" w:cs="Arial"/>
          <w:i/>
          <w:iCs/>
        </w:rPr>
        <w:t xml:space="preserve"> </w:t>
      </w:r>
      <w:r w:rsidR="00C46A4A" w:rsidRPr="00B26CA0">
        <w:rPr>
          <w:rFonts w:ascii="Arial" w:hAnsi="Arial" w:cs="Arial"/>
        </w:rPr>
        <w:t xml:space="preserve">cointegration procedure </w:t>
      </w:r>
      <w:r w:rsidR="00C46A4A">
        <w:rPr>
          <w:rFonts w:ascii="Arial" w:hAnsi="Arial" w:cs="Arial"/>
        </w:rPr>
        <w:t>(</w:t>
      </w:r>
      <w:r w:rsidR="00C46A4A" w:rsidRPr="00B26CA0">
        <w:rPr>
          <w:rFonts w:ascii="Arial" w:hAnsi="Arial" w:cs="Arial"/>
        </w:rPr>
        <w:t>ARDL cointegration method</w:t>
      </w:r>
      <w:r w:rsidR="00C46A4A">
        <w:rPr>
          <w:rFonts w:ascii="Arial" w:hAnsi="Arial" w:cs="Arial"/>
        </w:rPr>
        <w:t xml:space="preserve">) </w:t>
      </w:r>
      <w:r w:rsidR="00C46A4A" w:rsidRPr="00B26CA0">
        <w:rPr>
          <w:rFonts w:ascii="Arial" w:hAnsi="Arial" w:cs="Arial"/>
        </w:rPr>
        <w:t xml:space="preserve">is </w:t>
      </w:r>
      <w:r w:rsidR="00C46A4A">
        <w:rPr>
          <w:rFonts w:ascii="Arial" w:hAnsi="Arial" w:cs="Arial"/>
        </w:rPr>
        <w:t xml:space="preserve">used to test for cointegration among the variables in the models. </w:t>
      </w:r>
      <w:r w:rsidR="00C46A4A" w:rsidRPr="00B26CA0">
        <w:rPr>
          <w:rFonts w:ascii="Arial" w:hAnsi="Arial" w:cs="Arial"/>
        </w:rPr>
        <w:t xml:space="preserve">The bounds testing procedure is based on the </w:t>
      </w:r>
      <w:r w:rsidR="00C46A4A" w:rsidRPr="57585719">
        <w:rPr>
          <w:rFonts w:ascii="Arial" w:hAnsi="Arial" w:cs="Arial"/>
          <w:i/>
          <w:iCs/>
        </w:rPr>
        <w:t>F</w:t>
      </w:r>
      <w:r w:rsidR="00C46A4A" w:rsidRPr="00B26CA0">
        <w:rPr>
          <w:rFonts w:ascii="Arial" w:hAnsi="Arial" w:cs="Arial"/>
        </w:rPr>
        <w:t>-statistics and is the first stage of the ARDL cointegration method. The long-term effect of real de</w:t>
      </w:r>
      <w:r w:rsidR="009F4B1D">
        <w:rPr>
          <w:rFonts w:ascii="Arial" w:hAnsi="Arial" w:cs="Arial"/>
        </w:rPr>
        <w:t>valuation</w:t>
      </w:r>
      <w:r w:rsidR="00C46A4A" w:rsidRPr="00B26CA0">
        <w:rPr>
          <w:rFonts w:ascii="Arial" w:hAnsi="Arial" w:cs="Arial"/>
        </w:rPr>
        <w:t xml:space="preserve"> is inferred by the size and significance of</w:t>
      </w:r>
      <w:r w:rsidR="00C46A4A">
        <w:rPr>
          <w:rFonts w:ascii="Arial" w:hAnsi="Arial" w:cs="Arial"/>
        </w:rPr>
        <w:t xml:space="preserve"> coefficient of LNREER</w:t>
      </w:r>
      <w:r w:rsidR="00272C7E">
        <w:rPr>
          <w:rFonts w:ascii="Arial" w:hAnsi="Arial" w:cs="Arial"/>
        </w:rPr>
        <w:t xml:space="preserve"> </w:t>
      </w:r>
      <w:r w:rsidR="00C46A4A" w:rsidRPr="00B26CA0">
        <w:rPr>
          <w:rFonts w:ascii="Arial" w:hAnsi="Arial" w:cs="Arial"/>
        </w:rPr>
        <w:t xml:space="preserve">that is normalized by </w:t>
      </w:r>
      <w:r w:rsidR="00272C7E" w:rsidRPr="57585719">
        <w:rPr>
          <w:rFonts w:ascii="Arial" w:eastAsiaTheme="minorEastAsia" w:hAnsi="Arial" w:cs="Arial"/>
        </w:rPr>
        <w:t>the coefficient of LNTB</w:t>
      </w:r>
      <w:r w:rsidR="00C46A4A" w:rsidRPr="00B26CA0">
        <w:rPr>
          <w:rFonts w:ascii="Arial" w:hAnsi="Arial" w:cs="Arial"/>
        </w:rPr>
        <w:t xml:space="preserve">. The null </w:t>
      </w:r>
      <w:r w:rsidR="00272C7E" w:rsidRPr="00B26CA0">
        <w:rPr>
          <w:rFonts w:ascii="Arial" w:hAnsi="Arial" w:cs="Arial"/>
        </w:rPr>
        <w:t xml:space="preserve">hypothesis </w:t>
      </w:r>
      <w:r w:rsidR="00C46A4A" w:rsidRPr="00B26CA0">
        <w:rPr>
          <w:rFonts w:ascii="Arial" w:hAnsi="Arial" w:cs="Arial"/>
        </w:rPr>
        <w:t>of no cointegration</w:t>
      </w:r>
      <w:r w:rsidR="00272C7E">
        <w:rPr>
          <w:rFonts w:ascii="Arial" w:hAnsi="Arial" w:cs="Arial"/>
        </w:rPr>
        <w:t xml:space="preserve"> </w:t>
      </w:r>
      <w:r w:rsidR="00C46A4A" w:rsidRPr="00B26CA0">
        <w:rPr>
          <w:rFonts w:ascii="Arial" w:hAnsi="Arial" w:cs="Arial"/>
        </w:rPr>
        <w:t xml:space="preserve">is tested against the alternative hypothesis </w:t>
      </w:r>
      <w:r w:rsidR="00272C7E">
        <w:rPr>
          <w:rFonts w:ascii="Arial" w:hAnsi="Arial" w:cs="Arial"/>
        </w:rPr>
        <w:t>of cointegration</w:t>
      </w:r>
      <w:r w:rsidR="00C46A4A" w:rsidRPr="00B26CA0">
        <w:rPr>
          <w:rFonts w:ascii="Arial" w:hAnsi="Arial" w:cs="Arial"/>
        </w:rPr>
        <w:t>.</w:t>
      </w:r>
      <w:r w:rsidR="00FD4898">
        <w:rPr>
          <w:rStyle w:val="FootnoteReference"/>
          <w:rFonts w:ascii="Arial" w:hAnsi="Arial" w:cs="Arial"/>
        </w:rPr>
        <w:footnoteReference w:id="114"/>
      </w:r>
      <w:r w:rsidR="004F2D76">
        <w:rPr>
          <w:rFonts w:ascii="Arial" w:hAnsi="Arial" w:cs="Arial"/>
        </w:rPr>
        <w:t xml:space="preserve"> </w:t>
      </w:r>
      <w:r w:rsidR="004F2D76">
        <w:rPr>
          <w:rFonts w:ascii="Arial" w:hAnsi="Arial" w:cs="Arial"/>
        </w:rPr>
        <w:lastRenderedPageBreak/>
        <w:t xml:space="preserve">The results of </w:t>
      </w:r>
      <w:r w:rsidR="004F2D76" w:rsidRPr="57585719">
        <w:rPr>
          <w:rFonts w:ascii="Arial" w:hAnsi="Arial" w:cs="Arial"/>
          <w:i/>
          <w:iCs/>
        </w:rPr>
        <w:t>F</w:t>
      </w:r>
      <w:r w:rsidR="004F2D76">
        <w:rPr>
          <w:rFonts w:ascii="Arial" w:hAnsi="Arial" w:cs="Arial"/>
        </w:rPr>
        <w:t xml:space="preserve">-statistic (bound test) among the variables for the various CEMAC nations and their individual trade partners </w:t>
      </w:r>
      <w:r w:rsidR="005C37BC">
        <w:rPr>
          <w:rFonts w:ascii="Arial" w:hAnsi="Arial" w:cs="Arial"/>
        </w:rPr>
        <w:t>are</w:t>
      </w:r>
      <w:r w:rsidR="004F2D76">
        <w:rPr>
          <w:rFonts w:ascii="Arial" w:hAnsi="Arial" w:cs="Arial"/>
        </w:rPr>
        <w:t xml:space="preserve"> display</w:t>
      </w:r>
      <w:r w:rsidR="005C37BC">
        <w:rPr>
          <w:rFonts w:ascii="Arial" w:hAnsi="Arial" w:cs="Arial"/>
        </w:rPr>
        <w:t>ed</w:t>
      </w:r>
      <w:r w:rsidR="004F2D76">
        <w:rPr>
          <w:rFonts w:ascii="Arial" w:hAnsi="Arial" w:cs="Arial"/>
        </w:rPr>
        <w:t xml:space="preserve"> </w:t>
      </w:r>
      <w:r w:rsidR="00D6424A">
        <w:rPr>
          <w:rFonts w:ascii="Arial" w:hAnsi="Arial" w:cs="Arial"/>
        </w:rPr>
        <w:t>i</w:t>
      </w:r>
      <w:r w:rsidR="004F2D76">
        <w:rPr>
          <w:rFonts w:ascii="Arial" w:hAnsi="Arial" w:cs="Arial"/>
        </w:rPr>
        <w:t>n the table below.</w:t>
      </w:r>
    </w:p>
    <w:p w14:paraId="1472ED7D" w14:textId="2CACFBDE" w:rsidR="00FD4898" w:rsidRPr="00B34014" w:rsidRDefault="00FD4898" w:rsidP="0066301C">
      <w:pPr>
        <w:spacing w:after="0"/>
        <w:rPr>
          <w:rFonts w:ascii="Arial" w:hAnsi="Arial" w:cs="Arial"/>
          <w:b/>
          <w:bCs/>
        </w:rPr>
      </w:pPr>
      <w:r w:rsidRPr="009C1B2B">
        <w:rPr>
          <w:rFonts w:ascii="Arial" w:hAnsi="Arial" w:cs="Arial"/>
          <w:b/>
          <w:bCs/>
        </w:rPr>
        <w:t xml:space="preserve">Table </w:t>
      </w:r>
      <w:r w:rsidR="00465BA7" w:rsidRPr="009C1B2B">
        <w:rPr>
          <w:rFonts w:ascii="Arial" w:hAnsi="Arial" w:cs="Arial"/>
          <w:b/>
          <w:bCs/>
        </w:rPr>
        <w:t>4</w:t>
      </w:r>
      <w:r w:rsidRPr="009C1B2B">
        <w:rPr>
          <w:rFonts w:ascii="Arial" w:hAnsi="Arial" w:cs="Arial"/>
          <w:b/>
          <w:bCs/>
        </w:rPr>
        <w:t>.</w:t>
      </w:r>
      <w:r w:rsidR="00B34014" w:rsidRPr="009C1B2B">
        <w:rPr>
          <w:rFonts w:ascii="Arial" w:hAnsi="Arial" w:cs="Arial"/>
          <w:b/>
          <w:bCs/>
        </w:rPr>
        <w:t>4</w:t>
      </w:r>
      <w:r w:rsidRPr="009C1B2B">
        <w:rPr>
          <w:rFonts w:ascii="Arial" w:hAnsi="Arial" w:cs="Arial"/>
          <w:b/>
          <w:bCs/>
        </w:rPr>
        <w:t>:</w:t>
      </w:r>
      <w:r w:rsidRPr="00B34014">
        <w:rPr>
          <w:rFonts w:ascii="Arial" w:hAnsi="Arial" w:cs="Arial"/>
          <w:b/>
          <w:bCs/>
        </w:rPr>
        <w:t xml:space="preserve"> The </w:t>
      </w:r>
      <w:r w:rsidR="00BB2DE4">
        <w:rPr>
          <w:rFonts w:ascii="Arial" w:hAnsi="Arial" w:cs="Arial"/>
          <w:b/>
          <w:bCs/>
        </w:rPr>
        <w:t xml:space="preserve">Bound </w:t>
      </w:r>
      <w:r w:rsidR="003C4A1A">
        <w:rPr>
          <w:rFonts w:ascii="Arial" w:hAnsi="Arial" w:cs="Arial"/>
          <w:b/>
          <w:bCs/>
        </w:rPr>
        <w:t>T</w:t>
      </w:r>
      <w:r w:rsidR="009263EC">
        <w:rPr>
          <w:rFonts w:ascii="Arial" w:hAnsi="Arial" w:cs="Arial"/>
          <w:b/>
          <w:bCs/>
        </w:rPr>
        <w:t xml:space="preserve">est </w:t>
      </w:r>
      <w:r w:rsidR="00E8130A">
        <w:rPr>
          <w:rFonts w:ascii="Arial" w:hAnsi="Arial" w:cs="Arial"/>
          <w:b/>
          <w:bCs/>
        </w:rPr>
        <w:t>R</w:t>
      </w:r>
      <w:r w:rsidRPr="00B34014">
        <w:rPr>
          <w:rFonts w:ascii="Arial" w:hAnsi="Arial" w:cs="Arial"/>
          <w:b/>
          <w:bCs/>
        </w:rPr>
        <w:t>esult</w:t>
      </w:r>
      <w:r w:rsidR="009263EC">
        <w:rPr>
          <w:rFonts w:ascii="Arial" w:hAnsi="Arial" w:cs="Arial"/>
          <w:b/>
          <w:bCs/>
        </w:rPr>
        <w:t>s</w:t>
      </w:r>
      <w:r w:rsidRPr="00B34014">
        <w:rPr>
          <w:rFonts w:ascii="Arial" w:hAnsi="Arial" w:cs="Arial"/>
          <w:b/>
          <w:bCs/>
        </w:rPr>
        <w:t xml:space="preserve"> </w:t>
      </w:r>
    </w:p>
    <w:tbl>
      <w:tblPr>
        <w:tblStyle w:val="TableGrid"/>
        <w:tblW w:w="9215" w:type="dxa"/>
        <w:tblInd w:w="-147" w:type="dxa"/>
        <w:tblLook w:val="04A0" w:firstRow="1" w:lastRow="0" w:firstColumn="1" w:lastColumn="0" w:noHBand="0" w:noVBand="1"/>
      </w:tblPr>
      <w:tblGrid>
        <w:gridCol w:w="2127"/>
        <w:gridCol w:w="1701"/>
        <w:gridCol w:w="1503"/>
        <w:gridCol w:w="1757"/>
        <w:gridCol w:w="2127"/>
      </w:tblGrid>
      <w:tr w:rsidR="00EB72CB" w:rsidRPr="00B34014" w14:paraId="1160BDFA" w14:textId="77777777" w:rsidTr="0C36F296">
        <w:tc>
          <w:tcPr>
            <w:tcW w:w="9215" w:type="dxa"/>
            <w:gridSpan w:val="5"/>
          </w:tcPr>
          <w:p w14:paraId="72A725C4" w14:textId="338BF79C" w:rsidR="00EB72CB" w:rsidRPr="00B34014" w:rsidRDefault="00EB72CB" w:rsidP="0066301C">
            <w:pPr>
              <w:jc w:val="center"/>
              <w:rPr>
                <w:rFonts w:ascii="Arial" w:hAnsi="Arial" w:cs="Arial"/>
                <w:b/>
                <w:bCs/>
              </w:rPr>
            </w:pPr>
            <w:r w:rsidRPr="00B34014">
              <w:rPr>
                <w:rFonts w:ascii="Arial" w:hAnsi="Arial" w:cs="Arial"/>
                <w:b/>
                <w:bCs/>
              </w:rPr>
              <w:t>Cameroon</w:t>
            </w:r>
          </w:p>
        </w:tc>
      </w:tr>
      <w:tr w:rsidR="00AA3555" w:rsidRPr="00B34014" w14:paraId="5B8ADA7C" w14:textId="77777777" w:rsidTr="0C36F296">
        <w:tc>
          <w:tcPr>
            <w:tcW w:w="2127" w:type="dxa"/>
            <w:vMerge w:val="restart"/>
          </w:tcPr>
          <w:p w14:paraId="3E75B5B6" w14:textId="77777777" w:rsidR="00FD4898" w:rsidRPr="00B34014" w:rsidRDefault="00FD4898" w:rsidP="0066301C">
            <w:pPr>
              <w:jc w:val="center"/>
              <w:rPr>
                <w:rFonts w:ascii="Arial" w:hAnsi="Arial" w:cs="Arial"/>
                <w:b/>
                <w:bCs/>
              </w:rPr>
            </w:pPr>
            <w:r w:rsidRPr="00B34014">
              <w:rPr>
                <w:rFonts w:ascii="Arial" w:hAnsi="Arial" w:cs="Arial"/>
                <w:b/>
                <w:bCs/>
              </w:rPr>
              <w:t>Trading Partner</w:t>
            </w:r>
          </w:p>
        </w:tc>
        <w:tc>
          <w:tcPr>
            <w:tcW w:w="1701" w:type="dxa"/>
            <w:vMerge w:val="restart"/>
          </w:tcPr>
          <w:p w14:paraId="219B7C3C" w14:textId="77777777" w:rsidR="00FD4898" w:rsidRPr="00B34014" w:rsidRDefault="00FD4898" w:rsidP="0066301C">
            <w:pPr>
              <w:jc w:val="center"/>
              <w:rPr>
                <w:rFonts w:ascii="Arial" w:hAnsi="Arial" w:cs="Arial"/>
                <w:b/>
                <w:bCs/>
              </w:rPr>
            </w:pPr>
            <w:r w:rsidRPr="00B34014">
              <w:rPr>
                <w:rFonts w:ascii="Arial" w:hAnsi="Arial" w:cs="Arial"/>
                <w:b/>
                <w:bCs/>
              </w:rPr>
              <w:t>F-statistics</w:t>
            </w:r>
          </w:p>
          <w:p w14:paraId="67FAF93A" w14:textId="18EA8C80" w:rsidR="00EB72CB" w:rsidRPr="00B34014" w:rsidRDefault="00EB72CB" w:rsidP="0066301C">
            <w:pPr>
              <w:jc w:val="center"/>
              <w:rPr>
                <w:rFonts w:ascii="Arial" w:hAnsi="Arial" w:cs="Arial"/>
                <w:b/>
                <w:bCs/>
              </w:rPr>
            </w:pPr>
          </w:p>
        </w:tc>
        <w:tc>
          <w:tcPr>
            <w:tcW w:w="3260" w:type="dxa"/>
            <w:gridSpan w:val="2"/>
          </w:tcPr>
          <w:p w14:paraId="22381C3C" w14:textId="77777777" w:rsidR="00FD4898" w:rsidRPr="00B34014" w:rsidRDefault="00FD4898" w:rsidP="0066301C">
            <w:pPr>
              <w:jc w:val="center"/>
              <w:rPr>
                <w:rFonts w:ascii="Arial" w:hAnsi="Arial" w:cs="Arial"/>
                <w:b/>
                <w:bCs/>
              </w:rPr>
            </w:pPr>
            <w:r w:rsidRPr="00B34014">
              <w:rPr>
                <w:rFonts w:ascii="Arial" w:hAnsi="Arial" w:cs="Arial"/>
                <w:b/>
                <w:bCs/>
              </w:rPr>
              <w:t>95%</w:t>
            </w:r>
          </w:p>
        </w:tc>
        <w:tc>
          <w:tcPr>
            <w:tcW w:w="2127" w:type="dxa"/>
            <w:vMerge w:val="restart"/>
          </w:tcPr>
          <w:p w14:paraId="5D9FEE6E" w14:textId="77777777" w:rsidR="00FD4898" w:rsidRPr="00B34014" w:rsidRDefault="00FD4898" w:rsidP="0066301C">
            <w:pPr>
              <w:jc w:val="center"/>
              <w:rPr>
                <w:rFonts w:ascii="Arial" w:hAnsi="Arial" w:cs="Arial"/>
                <w:b/>
                <w:bCs/>
              </w:rPr>
            </w:pPr>
            <w:r w:rsidRPr="00B34014">
              <w:rPr>
                <w:rFonts w:ascii="Arial" w:hAnsi="Arial" w:cs="Arial"/>
                <w:b/>
                <w:bCs/>
              </w:rPr>
              <w:t>Outcome</w:t>
            </w:r>
          </w:p>
        </w:tc>
      </w:tr>
      <w:tr w:rsidR="00AA3555" w:rsidRPr="00B34014" w14:paraId="6B5864AB" w14:textId="77777777" w:rsidTr="0C36F296">
        <w:tc>
          <w:tcPr>
            <w:tcW w:w="2127" w:type="dxa"/>
            <w:vMerge/>
          </w:tcPr>
          <w:p w14:paraId="78ECAFCB" w14:textId="77777777" w:rsidR="00FD4898" w:rsidRPr="00B34014" w:rsidRDefault="00FD4898" w:rsidP="0066301C">
            <w:pPr>
              <w:jc w:val="center"/>
              <w:rPr>
                <w:rFonts w:ascii="Arial" w:hAnsi="Arial" w:cs="Arial"/>
                <w:b/>
                <w:bCs/>
              </w:rPr>
            </w:pPr>
          </w:p>
        </w:tc>
        <w:tc>
          <w:tcPr>
            <w:tcW w:w="1701" w:type="dxa"/>
            <w:vMerge/>
          </w:tcPr>
          <w:p w14:paraId="2B7FC66C" w14:textId="77777777" w:rsidR="00FD4898" w:rsidRPr="00B34014" w:rsidRDefault="00FD4898" w:rsidP="0066301C">
            <w:pPr>
              <w:jc w:val="center"/>
              <w:rPr>
                <w:rFonts w:ascii="Arial" w:hAnsi="Arial" w:cs="Arial"/>
                <w:b/>
                <w:bCs/>
              </w:rPr>
            </w:pPr>
          </w:p>
        </w:tc>
        <w:tc>
          <w:tcPr>
            <w:tcW w:w="1503" w:type="dxa"/>
          </w:tcPr>
          <w:p w14:paraId="5FEBF041" w14:textId="77777777" w:rsidR="00FD4898" w:rsidRPr="00B34014" w:rsidRDefault="00FD4898" w:rsidP="0066301C">
            <w:pPr>
              <w:jc w:val="center"/>
              <w:rPr>
                <w:rFonts w:ascii="Arial" w:hAnsi="Arial" w:cs="Arial"/>
                <w:b/>
                <w:bCs/>
              </w:rPr>
            </w:pPr>
            <w:r w:rsidRPr="00B34014">
              <w:rPr>
                <w:rFonts w:ascii="Arial" w:hAnsi="Arial" w:cs="Arial"/>
                <w:b/>
                <w:bCs/>
                <w:i/>
                <w:iCs/>
              </w:rPr>
              <w:t>I</w:t>
            </w:r>
            <w:r w:rsidRPr="00B34014">
              <w:rPr>
                <w:rFonts w:ascii="Arial" w:hAnsi="Arial" w:cs="Arial"/>
                <w:b/>
                <w:bCs/>
              </w:rPr>
              <w:t>(0)</w:t>
            </w:r>
          </w:p>
        </w:tc>
        <w:tc>
          <w:tcPr>
            <w:tcW w:w="1757" w:type="dxa"/>
          </w:tcPr>
          <w:p w14:paraId="796CD157" w14:textId="77777777" w:rsidR="00FD4898" w:rsidRPr="00B34014" w:rsidRDefault="00FD4898" w:rsidP="0066301C">
            <w:pPr>
              <w:jc w:val="center"/>
              <w:rPr>
                <w:rFonts w:ascii="Arial" w:hAnsi="Arial" w:cs="Arial"/>
                <w:b/>
                <w:bCs/>
              </w:rPr>
            </w:pPr>
            <w:r w:rsidRPr="00B34014">
              <w:rPr>
                <w:rFonts w:ascii="Arial" w:hAnsi="Arial" w:cs="Arial"/>
                <w:b/>
                <w:bCs/>
                <w:i/>
                <w:iCs/>
              </w:rPr>
              <w:t>I</w:t>
            </w:r>
            <w:r w:rsidRPr="00B34014">
              <w:rPr>
                <w:rFonts w:ascii="Arial" w:hAnsi="Arial" w:cs="Arial"/>
                <w:b/>
                <w:bCs/>
              </w:rPr>
              <w:t>(1)</w:t>
            </w:r>
          </w:p>
        </w:tc>
        <w:tc>
          <w:tcPr>
            <w:tcW w:w="2127" w:type="dxa"/>
            <w:vMerge/>
          </w:tcPr>
          <w:p w14:paraId="5EA7EDBD" w14:textId="77777777" w:rsidR="00FD4898" w:rsidRPr="00B34014" w:rsidRDefault="00FD4898" w:rsidP="0066301C">
            <w:pPr>
              <w:rPr>
                <w:rFonts w:ascii="Arial" w:hAnsi="Arial" w:cs="Arial"/>
              </w:rPr>
            </w:pPr>
          </w:p>
        </w:tc>
      </w:tr>
      <w:tr w:rsidR="00FD4898" w:rsidRPr="00B34014" w14:paraId="2FE5E6CE" w14:textId="77777777" w:rsidTr="0C36F296">
        <w:tc>
          <w:tcPr>
            <w:tcW w:w="2127" w:type="dxa"/>
          </w:tcPr>
          <w:p w14:paraId="391ADB5F" w14:textId="77777777" w:rsidR="00FD4898" w:rsidRPr="00B34014" w:rsidRDefault="00FD4898" w:rsidP="0066301C">
            <w:pPr>
              <w:rPr>
                <w:rFonts w:ascii="Arial" w:hAnsi="Arial" w:cs="Arial"/>
              </w:rPr>
            </w:pPr>
            <w:r w:rsidRPr="00B34014">
              <w:rPr>
                <w:rFonts w:ascii="Arial" w:hAnsi="Arial" w:cs="Arial"/>
              </w:rPr>
              <w:t>China</w:t>
            </w:r>
          </w:p>
        </w:tc>
        <w:tc>
          <w:tcPr>
            <w:tcW w:w="1701" w:type="dxa"/>
          </w:tcPr>
          <w:p w14:paraId="09BAAB32" w14:textId="77777777" w:rsidR="00FD4898" w:rsidRPr="00B34014" w:rsidRDefault="00FD4898" w:rsidP="0066301C">
            <w:pPr>
              <w:jc w:val="center"/>
              <w:rPr>
                <w:rFonts w:ascii="Arial" w:hAnsi="Arial" w:cs="Arial"/>
              </w:rPr>
            </w:pPr>
            <w:r w:rsidRPr="00B34014">
              <w:rPr>
                <w:rFonts w:ascii="Arial" w:hAnsi="Arial" w:cs="Arial"/>
              </w:rPr>
              <w:t>6.166</w:t>
            </w:r>
          </w:p>
        </w:tc>
        <w:tc>
          <w:tcPr>
            <w:tcW w:w="1503" w:type="dxa"/>
          </w:tcPr>
          <w:p w14:paraId="5946597B" w14:textId="77777777" w:rsidR="00FD4898" w:rsidRPr="00B34014" w:rsidRDefault="00FD4898" w:rsidP="0066301C">
            <w:pPr>
              <w:jc w:val="center"/>
              <w:rPr>
                <w:rFonts w:ascii="Arial" w:hAnsi="Arial" w:cs="Arial"/>
              </w:rPr>
            </w:pPr>
            <w:r w:rsidRPr="00B34014">
              <w:rPr>
                <w:rFonts w:ascii="Arial" w:hAnsi="Arial" w:cs="Arial"/>
              </w:rPr>
              <w:t>2.79</w:t>
            </w:r>
          </w:p>
        </w:tc>
        <w:tc>
          <w:tcPr>
            <w:tcW w:w="1757" w:type="dxa"/>
          </w:tcPr>
          <w:p w14:paraId="7AE3A5FC" w14:textId="77777777" w:rsidR="00FD4898" w:rsidRPr="00B34014" w:rsidRDefault="00FD4898" w:rsidP="0066301C">
            <w:pPr>
              <w:jc w:val="center"/>
              <w:rPr>
                <w:rFonts w:ascii="Arial" w:hAnsi="Arial" w:cs="Arial"/>
              </w:rPr>
            </w:pPr>
            <w:r w:rsidRPr="00B34014">
              <w:rPr>
                <w:rFonts w:ascii="Arial" w:hAnsi="Arial" w:cs="Arial"/>
              </w:rPr>
              <w:t>3.67</w:t>
            </w:r>
          </w:p>
        </w:tc>
        <w:tc>
          <w:tcPr>
            <w:tcW w:w="2127" w:type="dxa"/>
          </w:tcPr>
          <w:p w14:paraId="0A63C0BE" w14:textId="77777777" w:rsidR="00FD4898" w:rsidRPr="00B34014" w:rsidRDefault="00FD4898" w:rsidP="0066301C">
            <w:pPr>
              <w:rPr>
                <w:rFonts w:ascii="Arial" w:hAnsi="Arial" w:cs="Arial"/>
              </w:rPr>
            </w:pPr>
            <w:r w:rsidRPr="00B34014">
              <w:rPr>
                <w:rFonts w:ascii="Arial" w:hAnsi="Arial" w:cs="Arial"/>
              </w:rPr>
              <w:t>Cointegration</w:t>
            </w:r>
          </w:p>
        </w:tc>
      </w:tr>
      <w:tr w:rsidR="00FD4898" w:rsidRPr="00B34014" w14:paraId="3320BDC0" w14:textId="77777777" w:rsidTr="0C36F296">
        <w:tc>
          <w:tcPr>
            <w:tcW w:w="2127" w:type="dxa"/>
          </w:tcPr>
          <w:p w14:paraId="21D44601" w14:textId="77777777" w:rsidR="00FD4898" w:rsidRPr="00B34014" w:rsidRDefault="00FD4898" w:rsidP="0066301C">
            <w:pPr>
              <w:rPr>
                <w:rFonts w:ascii="Arial" w:hAnsi="Arial" w:cs="Arial"/>
              </w:rPr>
            </w:pPr>
            <w:r w:rsidRPr="00B34014">
              <w:rPr>
                <w:rFonts w:ascii="Arial" w:hAnsi="Arial" w:cs="Arial"/>
              </w:rPr>
              <w:t>France</w:t>
            </w:r>
          </w:p>
        </w:tc>
        <w:tc>
          <w:tcPr>
            <w:tcW w:w="1701" w:type="dxa"/>
          </w:tcPr>
          <w:p w14:paraId="59470AB0" w14:textId="77777777" w:rsidR="00FD4898" w:rsidRPr="00B34014" w:rsidRDefault="00FD4898" w:rsidP="0066301C">
            <w:pPr>
              <w:jc w:val="center"/>
              <w:rPr>
                <w:rFonts w:ascii="Arial" w:hAnsi="Arial" w:cs="Arial"/>
              </w:rPr>
            </w:pPr>
            <w:r w:rsidRPr="00B34014">
              <w:rPr>
                <w:rFonts w:ascii="Arial" w:hAnsi="Arial" w:cs="Arial"/>
              </w:rPr>
              <w:t>14.398</w:t>
            </w:r>
          </w:p>
        </w:tc>
        <w:tc>
          <w:tcPr>
            <w:tcW w:w="1503" w:type="dxa"/>
          </w:tcPr>
          <w:p w14:paraId="1571F328" w14:textId="77777777" w:rsidR="00FD4898" w:rsidRPr="00B34014" w:rsidRDefault="00FD4898" w:rsidP="0066301C">
            <w:pPr>
              <w:jc w:val="center"/>
              <w:rPr>
                <w:rFonts w:ascii="Arial" w:hAnsi="Arial" w:cs="Arial"/>
              </w:rPr>
            </w:pPr>
            <w:r w:rsidRPr="00B34014">
              <w:rPr>
                <w:rFonts w:ascii="Arial" w:hAnsi="Arial" w:cs="Arial"/>
              </w:rPr>
              <w:t>3.23</w:t>
            </w:r>
          </w:p>
        </w:tc>
        <w:tc>
          <w:tcPr>
            <w:tcW w:w="1757" w:type="dxa"/>
          </w:tcPr>
          <w:p w14:paraId="4F8A0A9D" w14:textId="77777777" w:rsidR="00FD4898" w:rsidRPr="00B34014" w:rsidRDefault="00FD4898" w:rsidP="0066301C">
            <w:pPr>
              <w:jc w:val="center"/>
              <w:rPr>
                <w:rFonts w:ascii="Arial" w:hAnsi="Arial" w:cs="Arial"/>
              </w:rPr>
            </w:pPr>
            <w:r w:rsidRPr="00B34014">
              <w:rPr>
                <w:rFonts w:ascii="Arial" w:hAnsi="Arial" w:cs="Arial"/>
              </w:rPr>
              <w:t>4.35</w:t>
            </w:r>
          </w:p>
        </w:tc>
        <w:tc>
          <w:tcPr>
            <w:tcW w:w="2127" w:type="dxa"/>
          </w:tcPr>
          <w:p w14:paraId="7DC61501" w14:textId="77777777" w:rsidR="00FD4898" w:rsidRPr="00B34014" w:rsidRDefault="00FD4898" w:rsidP="0066301C">
            <w:pPr>
              <w:rPr>
                <w:rFonts w:ascii="Arial" w:hAnsi="Arial" w:cs="Arial"/>
              </w:rPr>
            </w:pPr>
            <w:r w:rsidRPr="00B34014">
              <w:rPr>
                <w:rFonts w:ascii="Arial" w:hAnsi="Arial" w:cs="Arial"/>
              </w:rPr>
              <w:t>Cointegration</w:t>
            </w:r>
          </w:p>
        </w:tc>
      </w:tr>
      <w:tr w:rsidR="00FD4898" w:rsidRPr="00B34014" w14:paraId="44FD1E94" w14:textId="77777777" w:rsidTr="0C36F296">
        <w:tc>
          <w:tcPr>
            <w:tcW w:w="2127" w:type="dxa"/>
          </w:tcPr>
          <w:p w14:paraId="0A1C484B" w14:textId="77777777" w:rsidR="00FD4898" w:rsidRPr="00B34014" w:rsidRDefault="00FD4898" w:rsidP="0066301C">
            <w:pPr>
              <w:rPr>
                <w:rFonts w:ascii="Arial" w:hAnsi="Arial" w:cs="Arial"/>
              </w:rPr>
            </w:pPr>
            <w:r w:rsidRPr="00B34014">
              <w:rPr>
                <w:rFonts w:ascii="Arial" w:hAnsi="Arial" w:cs="Arial"/>
              </w:rPr>
              <w:t>India</w:t>
            </w:r>
          </w:p>
        </w:tc>
        <w:tc>
          <w:tcPr>
            <w:tcW w:w="1701" w:type="dxa"/>
          </w:tcPr>
          <w:p w14:paraId="0A305EE0" w14:textId="77777777" w:rsidR="00FD4898" w:rsidRPr="00B34014" w:rsidRDefault="00FD4898" w:rsidP="0066301C">
            <w:pPr>
              <w:jc w:val="center"/>
              <w:rPr>
                <w:rFonts w:ascii="Arial" w:hAnsi="Arial" w:cs="Arial"/>
              </w:rPr>
            </w:pPr>
            <w:r w:rsidRPr="00B34014">
              <w:rPr>
                <w:rFonts w:ascii="Arial" w:hAnsi="Arial" w:cs="Arial"/>
              </w:rPr>
              <w:t>12.969</w:t>
            </w:r>
          </w:p>
        </w:tc>
        <w:tc>
          <w:tcPr>
            <w:tcW w:w="1503" w:type="dxa"/>
          </w:tcPr>
          <w:p w14:paraId="7CB45DCF" w14:textId="77777777" w:rsidR="00FD4898" w:rsidRPr="00B34014" w:rsidRDefault="00FD4898" w:rsidP="0066301C">
            <w:pPr>
              <w:jc w:val="center"/>
              <w:rPr>
                <w:rFonts w:ascii="Arial" w:hAnsi="Arial" w:cs="Arial"/>
              </w:rPr>
            </w:pPr>
            <w:r w:rsidRPr="00B34014">
              <w:rPr>
                <w:rFonts w:ascii="Arial" w:hAnsi="Arial" w:cs="Arial"/>
              </w:rPr>
              <w:t>3.23</w:t>
            </w:r>
          </w:p>
        </w:tc>
        <w:tc>
          <w:tcPr>
            <w:tcW w:w="1757" w:type="dxa"/>
          </w:tcPr>
          <w:p w14:paraId="2E7FD55F" w14:textId="77777777" w:rsidR="00FD4898" w:rsidRPr="00B34014" w:rsidRDefault="00FD4898" w:rsidP="0066301C">
            <w:pPr>
              <w:jc w:val="center"/>
              <w:rPr>
                <w:rFonts w:ascii="Arial" w:hAnsi="Arial" w:cs="Arial"/>
              </w:rPr>
            </w:pPr>
            <w:r w:rsidRPr="00B34014">
              <w:rPr>
                <w:rFonts w:ascii="Arial" w:hAnsi="Arial" w:cs="Arial"/>
              </w:rPr>
              <w:t>4.35</w:t>
            </w:r>
          </w:p>
        </w:tc>
        <w:tc>
          <w:tcPr>
            <w:tcW w:w="2127" w:type="dxa"/>
          </w:tcPr>
          <w:p w14:paraId="79296B0F" w14:textId="77777777" w:rsidR="00FD4898" w:rsidRPr="00B34014" w:rsidRDefault="00FD4898" w:rsidP="0066301C">
            <w:pPr>
              <w:rPr>
                <w:rFonts w:ascii="Arial" w:hAnsi="Arial" w:cs="Arial"/>
              </w:rPr>
            </w:pPr>
            <w:r w:rsidRPr="00B34014">
              <w:rPr>
                <w:rFonts w:ascii="Arial" w:hAnsi="Arial" w:cs="Arial"/>
              </w:rPr>
              <w:t>Cointegration</w:t>
            </w:r>
          </w:p>
        </w:tc>
      </w:tr>
      <w:tr w:rsidR="00FD4898" w:rsidRPr="00B34014" w14:paraId="5CC30D7D" w14:textId="77777777" w:rsidTr="0C36F296">
        <w:tc>
          <w:tcPr>
            <w:tcW w:w="2127" w:type="dxa"/>
          </w:tcPr>
          <w:p w14:paraId="3D8ADE9F" w14:textId="77777777" w:rsidR="00FD4898" w:rsidRPr="00B34014" w:rsidRDefault="00FD4898" w:rsidP="0066301C">
            <w:pPr>
              <w:rPr>
                <w:rFonts w:ascii="Arial" w:hAnsi="Arial" w:cs="Arial"/>
              </w:rPr>
            </w:pPr>
            <w:r w:rsidRPr="00B34014">
              <w:rPr>
                <w:rFonts w:ascii="Arial" w:hAnsi="Arial" w:cs="Arial"/>
              </w:rPr>
              <w:t>Netherland</w:t>
            </w:r>
          </w:p>
        </w:tc>
        <w:tc>
          <w:tcPr>
            <w:tcW w:w="1701" w:type="dxa"/>
          </w:tcPr>
          <w:p w14:paraId="5FF6D070" w14:textId="77777777" w:rsidR="00FD4898" w:rsidRPr="00B34014" w:rsidRDefault="00FD4898" w:rsidP="0066301C">
            <w:pPr>
              <w:jc w:val="center"/>
              <w:rPr>
                <w:rFonts w:ascii="Arial" w:hAnsi="Arial" w:cs="Arial"/>
              </w:rPr>
            </w:pPr>
            <w:r w:rsidRPr="00B34014">
              <w:rPr>
                <w:rFonts w:ascii="Arial" w:hAnsi="Arial" w:cs="Arial"/>
              </w:rPr>
              <w:t>7.532</w:t>
            </w:r>
          </w:p>
        </w:tc>
        <w:tc>
          <w:tcPr>
            <w:tcW w:w="1503" w:type="dxa"/>
          </w:tcPr>
          <w:p w14:paraId="1AA74F14" w14:textId="77777777" w:rsidR="00FD4898" w:rsidRPr="00B34014" w:rsidRDefault="00FD4898" w:rsidP="0066301C">
            <w:pPr>
              <w:jc w:val="center"/>
              <w:rPr>
                <w:rFonts w:ascii="Arial" w:hAnsi="Arial" w:cs="Arial"/>
              </w:rPr>
            </w:pPr>
            <w:r w:rsidRPr="00B34014">
              <w:rPr>
                <w:rFonts w:ascii="Arial" w:hAnsi="Arial" w:cs="Arial"/>
              </w:rPr>
              <w:t>3.23</w:t>
            </w:r>
          </w:p>
        </w:tc>
        <w:tc>
          <w:tcPr>
            <w:tcW w:w="1757" w:type="dxa"/>
          </w:tcPr>
          <w:p w14:paraId="1F916572" w14:textId="77777777" w:rsidR="00FD4898" w:rsidRPr="00B34014" w:rsidRDefault="00FD4898" w:rsidP="0066301C">
            <w:pPr>
              <w:jc w:val="center"/>
              <w:rPr>
                <w:rFonts w:ascii="Arial" w:hAnsi="Arial" w:cs="Arial"/>
              </w:rPr>
            </w:pPr>
            <w:r w:rsidRPr="00B34014">
              <w:rPr>
                <w:rFonts w:ascii="Arial" w:hAnsi="Arial" w:cs="Arial"/>
              </w:rPr>
              <w:t>4.35</w:t>
            </w:r>
          </w:p>
        </w:tc>
        <w:tc>
          <w:tcPr>
            <w:tcW w:w="2127" w:type="dxa"/>
          </w:tcPr>
          <w:p w14:paraId="27ED7C37" w14:textId="77777777" w:rsidR="00FD4898" w:rsidRPr="00B34014" w:rsidRDefault="00FD4898" w:rsidP="0066301C">
            <w:pPr>
              <w:rPr>
                <w:rFonts w:ascii="Arial" w:hAnsi="Arial" w:cs="Arial"/>
              </w:rPr>
            </w:pPr>
            <w:r w:rsidRPr="00B34014">
              <w:rPr>
                <w:rFonts w:ascii="Arial" w:hAnsi="Arial" w:cs="Arial"/>
              </w:rPr>
              <w:t>Cointegration</w:t>
            </w:r>
          </w:p>
        </w:tc>
      </w:tr>
      <w:tr w:rsidR="00FD4898" w:rsidRPr="00B34014" w14:paraId="58C0A09F" w14:textId="77777777" w:rsidTr="0C36F296">
        <w:tc>
          <w:tcPr>
            <w:tcW w:w="2127" w:type="dxa"/>
          </w:tcPr>
          <w:p w14:paraId="41E96780" w14:textId="77777777" w:rsidR="00FD4898" w:rsidRPr="00B34014" w:rsidRDefault="00FD4898" w:rsidP="0066301C">
            <w:pPr>
              <w:rPr>
                <w:rFonts w:ascii="Arial" w:hAnsi="Arial" w:cs="Arial"/>
              </w:rPr>
            </w:pPr>
            <w:r w:rsidRPr="00B34014">
              <w:rPr>
                <w:rFonts w:ascii="Arial" w:hAnsi="Arial" w:cs="Arial"/>
              </w:rPr>
              <w:t>Spain</w:t>
            </w:r>
          </w:p>
        </w:tc>
        <w:tc>
          <w:tcPr>
            <w:tcW w:w="1701" w:type="dxa"/>
          </w:tcPr>
          <w:p w14:paraId="2139A248" w14:textId="77777777" w:rsidR="00FD4898" w:rsidRPr="00B34014" w:rsidRDefault="00FD4898" w:rsidP="0066301C">
            <w:pPr>
              <w:jc w:val="center"/>
              <w:rPr>
                <w:rFonts w:ascii="Arial" w:hAnsi="Arial" w:cs="Arial"/>
              </w:rPr>
            </w:pPr>
            <w:r w:rsidRPr="00B34014">
              <w:rPr>
                <w:rFonts w:ascii="Arial" w:hAnsi="Arial" w:cs="Arial"/>
              </w:rPr>
              <w:t>8.000</w:t>
            </w:r>
          </w:p>
        </w:tc>
        <w:tc>
          <w:tcPr>
            <w:tcW w:w="1503" w:type="dxa"/>
          </w:tcPr>
          <w:p w14:paraId="3B13572F" w14:textId="77777777" w:rsidR="00FD4898" w:rsidRPr="00B34014" w:rsidRDefault="00FD4898" w:rsidP="0066301C">
            <w:pPr>
              <w:jc w:val="center"/>
              <w:rPr>
                <w:rFonts w:ascii="Arial" w:hAnsi="Arial" w:cs="Arial"/>
              </w:rPr>
            </w:pPr>
            <w:r w:rsidRPr="00B34014">
              <w:rPr>
                <w:rFonts w:ascii="Arial" w:hAnsi="Arial" w:cs="Arial"/>
              </w:rPr>
              <w:t>3.23</w:t>
            </w:r>
          </w:p>
        </w:tc>
        <w:tc>
          <w:tcPr>
            <w:tcW w:w="1757" w:type="dxa"/>
          </w:tcPr>
          <w:p w14:paraId="7004744C" w14:textId="77777777" w:rsidR="00FD4898" w:rsidRPr="00B34014" w:rsidRDefault="00FD4898" w:rsidP="0066301C">
            <w:pPr>
              <w:jc w:val="center"/>
              <w:rPr>
                <w:rFonts w:ascii="Arial" w:hAnsi="Arial" w:cs="Arial"/>
              </w:rPr>
            </w:pPr>
            <w:r w:rsidRPr="00B34014">
              <w:rPr>
                <w:rFonts w:ascii="Arial" w:hAnsi="Arial" w:cs="Arial"/>
              </w:rPr>
              <w:t>4.35</w:t>
            </w:r>
          </w:p>
        </w:tc>
        <w:tc>
          <w:tcPr>
            <w:tcW w:w="2127" w:type="dxa"/>
          </w:tcPr>
          <w:p w14:paraId="75EE79B9" w14:textId="77777777" w:rsidR="00FD4898" w:rsidRPr="00B34014" w:rsidRDefault="00FD4898" w:rsidP="0066301C">
            <w:pPr>
              <w:rPr>
                <w:rFonts w:ascii="Arial" w:hAnsi="Arial" w:cs="Arial"/>
              </w:rPr>
            </w:pPr>
            <w:r w:rsidRPr="00B34014">
              <w:rPr>
                <w:rFonts w:ascii="Arial" w:hAnsi="Arial" w:cs="Arial"/>
              </w:rPr>
              <w:t>Cointegration</w:t>
            </w:r>
          </w:p>
        </w:tc>
      </w:tr>
      <w:tr w:rsidR="00EB72CB" w:rsidRPr="00B34014" w14:paraId="488147FB" w14:textId="77777777" w:rsidTr="0C36F296">
        <w:tc>
          <w:tcPr>
            <w:tcW w:w="9215" w:type="dxa"/>
            <w:gridSpan w:val="5"/>
          </w:tcPr>
          <w:p w14:paraId="70214C84" w14:textId="72848D4A" w:rsidR="00EB72CB" w:rsidRPr="00B34014" w:rsidRDefault="00EB72CB" w:rsidP="0066301C">
            <w:pPr>
              <w:jc w:val="center"/>
              <w:rPr>
                <w:rFonts w:ascii="Arial" w:hAnsi="Arial" w:cs="Arial"/>
              </w:rPr>
            </w:pPr>
            <w:r w:rsidRPr="00B34014">
              <w:rPr>
                <w:rFonts w:ascii="Arial" w:hAnsi="Arial" w:cs="Arial"/>
                <w:b/>
                <w:bCs/>
              </w:rPr>
              <w:t>CAR</w:t>
            </w:r>
          </w:p>
        </w:tc>
      </w:tr>
      <w:tr w:rsidR="00AA3555" w:rsidRPr="00B34014" w14:paraId="62904493" w14:textId="77777777" w:rsidTr="0C36F296">
        <w:tc>
          <w:tcPr>
            <w:tcW w:w="2127" w:type="dxa"/>
            <w:vMerge w:val="restart"/>
          </w:tcPr>
          <w:p w14:paraId="562A7062" w14:textId="77777777" w:rsidR="00EB72CB" w:rsidRPr="00B34014" w:rsidRDefault="00EB72CB" w:rsidP="0066301C">
            <w:pPr>
              <w:rPr>
                <w:rFonts w:ascii="Arial" w:hAnsi="Arial" w:cs="Arial"/>
                <w:b/>
                <w:bCs/>
              </w:rPr>
            </w:pPr>
            <w:r w:rsidRPr="00B34014">
              <w:rPr>
                <w:rFonts w:ascii="Arial" w:hAnsi="Arial" w:cs="Arial"/>
                <w:b/>
                <w:bCs/>
              </w:rPr>
              <w:t>Trading Partner</w:t>
            </w:r>
          </w:p>
        </w:tc>
        <w:tc>
          <w:tcPr>
            <w:tcW w:w="1701" w:type="dxa"/>
            <w:vMerge w:val="restart"/>
          </w:tcPr>
          <w:p w14:paraId="15DE1C94" w14:textId="77777777" w:rsidR="00EB72CB" w:rsidRPr="00B34014" w:rsidRDefault="00EB72CB" w:rsidP="0066301C">
            <w:pPr>
              <w:jc w:val="center"/>
              <w:rPr>
                <w:rFonts w:ascii="Arial" w:hAnsi="Arial" w:cs="Arial"/>
              </w:rPr>
            </w:pPr>
            <w:r w:rsidRPr="00B34014">
              <w:rPr>
                <w:rFonts w:ascii="Arial" w:hAnsi="Arial" w:cs="Arial"/>
                <w:b/>
                <w:bCs/>
              </w:rPr>
              <w:t>F-statistics</w:t>
            </w:r>
          </w:p>
        </w:tc>
        <w:tc>
          <w:tcPr>
            <w:tcW w:w="1503" w:type="dxa"/>
          </w:tcPr>
          <w:p w14:paraId="04FB2765" w14:textId="77777777" w:rsidR="00EB72CB" w:rsidRPr="00B34014" w:rsidRDefault="00EB72CB" w:rsidP="0066301C">
            <w:pPr>
              <w:jc w:val="center"/>
              <w:rPr>
                <w:rFonts w:ascii="Arial" w:hAnsi="Arial" w:cs="Arial"/>
              </w:rPr>
            </w:pPr>
            <w:r w:rsidRPr="00B34014">
              <w:rPr>
                <w:rFonts w:ascii="Arial" w:hAnsi="Arial" w:cs="Arial"/>
                <w:b/>
                <w:bCs/>
              </w:rPr>
              <w:t>95%</w:t>
            </w:r>
          </w:p>
        </w:tc>
        <w:tc>
          <w:tcPr>
            <w:tcW w:w="1757" w:type="dxa"/>
          </w:tcPr>
          <w:p w14:paraId="32230810" w14:textId="77777777" w:rsidR="00EB72CB" w:rsidRPr="00B34014" w:rsidRDefault="00EB72CB" w:rsidP="0066301C">
            <w:pPr>
              <w:jc w:val="center"/>
              <w:rPr>
                <w:rFonts w:ascii="Arial" w:hAnsi="Arial" w:cs="Arial"/>
              </w:rPr>
            </w:pPr>
            <w:r w:rsidRPr="00B34014">
              <w:rPr>
                <w:rFonts w:ascii="Arial" w:hAnsi="Arial" w:cs="Arial"/>
                <w:b/>
                <w:bCs/>
              </w:rPr>
              <w:t>Outcome</w:t>
            </w:r>
          </w:p>
        </w:tc>
        <w:tc>
          <w:tcPr>
            <w:tcW w:w="2127" w:type="dxa"/>
          </w:tcPr>
          <w:p w14:paraId="04F91466" w14:textId="77777777" w:rsidR="00EB72CB" w:rsidRPr="00B34014" w:rsidRDefault="00EB72CB" w:rsidP="0066301C">
            <w:pPr>
              <w:rPr>
                <w:rFonts w:ascii="Arial" w:hAnsi="Arial" w:cs="Arial"/>
              </w:rPr>
            </w:pPr>
          </w:p>
        </w:tc>
      </w:tr>
      <w:tr w:rsidR="00AA3555" w:rsidRPr="00B34014" w14:paraId="54FDEA69" w14:textId="77777777" w:rsidTr="0C36F296">
        <w:tc>
          <w:tcPr>
            <w:tcW w:w="2127" w:type="dxa"/>
            <w:vMerge/>
          </w:tcPr>
          <w:p w14:paraId="53A3AC18" w14:textId="77777777" w:rsidR="00EB72CB" w:rsidRPr="00B34014" w:rsidRDefault="00EB72CB" w:rsidP="0066301C">
            <w:pPr>
              <w:rPr>
                <w:rFonts w:ascii="Arial" w:hAnsi="Arial" w:cs="Arial"/>
                <w:b/>
                <w:bCs/>
              </w:rPr>
            </w:pPr>
          </w:p>
        </w:tc>
        <w:tc>
          <w:tcPr>
            <w:tcW w:w="1701" w:type="dxa"/>
            <w:vMerge/>
          </w:tcPr>
          <w:p w14:paraId="3799A935" w14:textId="77777777" w:rsidR="00EB72CB" w:rsidRPr="00B34014" w:rsidRDefault="00EB72CB" w:rsidP="0066301C">
            <w:pPr>
              <w:jc w:val="center"/>
              <w:rPr>
                <w:rFonts w:ascii="Arial" w:hAnsi="Arial" w:cs="Arial"/>
                <w:b/>
                <w:bCs/>
              </w:rPr>
            </w:pPr>
          </w:p>
        </w:tc>
        <w:tc>
          <w:tcPr>
            <w:tcW w:w="1503" w:type="dxa"/>
          </w:tcPr>
          <w:p w14:paraId="1CFD23A8" w14:textId="77777777" w:rsidR="00EB72CB" w:rsidRPr="00B34014" w:rsidRDefault="00EB72CB" w:rsidP="0066301C">
            <w:pPr>
              <w:jc w:val="center"/>
              <w:rPr>
                <w:rFonts w:ascii="Arial" w:hAnsi="Arial" w:cs="Arial"/>
                <w:b/>
                <w:bCs/>
              </w:rPr>
            </w:pPr>
            <w:r w:rsidRPr="00B34014">
              <w:rPr>
                <w:rFonts w:ascii="Arial" w:hAnsi="Arial" w:cs="Arial"/>
                <w:b/>
                <w:bCs/>
                <w:i/>
                <w:iCs/>
              </w:rPr>
              <w:t>I</w:t>
            </w:r>
            <w:r w:rsidRPr="00B34014">
              <w:rPr>
                <w:rFonts w:ascii="Arial" w:hAnsi="Arial" w:cs="Arial"/>
                <w:b/>
                <w:bCs/>
              </w:rPr>
              <w:t>(0)</w:t>
            </w:r>
          </w:p>
        </w:tc>
        <w:tc>
          <w:tcPr>
            <w:tcW w:w="1757" w:type="dxa"/>
          </w:tcPr>
          <w:p w14:paraId="364DAFDC" w14:textId="77777777" w:rsidR="00EB72CB" w:rsidRPr="00B34014" w:rsidRDefault="00EB72CB" w:rsidP="0066301C">
            <w:pPr>
              <w:jc w:val="center"/>
              <w:rPr>
                <w:rFonts w:ascii="Arial" w:hAnsi="Arial" w:cs="Arial"/>
                <w:b/>
                <w:bCs/>
              </w:rPr>
            </w:pPr>
            <w:r w:rsidRPr="00B34014">
              <w:rPr>
                <w:rFonts w:ascii="Arial" w:hAnsi="Arial" w:cs="Arial"/>
                <w:b/>
                <w:bCs/>
                <w:i/>
                <w:iCs/>
              </w:rPr>
              <w:t>I</w:t>
            </w:r>
            <w:r w:rsidRPr="00B34014">
              <w:rPr>
                <w:rFonts w:ascii="Arial" w:hAnsi="Arial" w:cs="Arial"/>
                <w:b/>
                <w:bCs/>
              </w:rPr>
              <w:t>(1)</w:t>
            </w:r>
          </w:p>
        </w:tc>
        <w:tc>
          <w:tcPr>
            <w:tcW w:w="2127" w:type="dxa"/>
          </w:tcPr>
          <w:p w14:paraId="5D605DDE" w14:textId="77777777" w:rsidR="00EB72CB" w:rsidRPr="00B34014" w:rsidRDefault="00EB72CB" w:rsidP="0066301C">
            <w:pPr>
              <w:rPr>
                <w:rFonts w:ascii="Arial" w:hAnsi="Arial" w:cs="Arial"/>
              </w:rPr>
            </w:pPr>
          </w:p>
        </w:tc>
      </w:tr>
      <w:tr w:rsidR="00FD4898" w:rsidRPr="00B34014" w14:paraId="636365DD" w14:textId="77777777" w:rsidTr="0C36F296">
        <w:tc>
          <w:tcPr>
            <w:tcW w:w="2127" w:type="dxa"/>
          </w:tcPr>
          <w:p w14:paraId="2C16930A" w14:textId="77777777" w:rsidR="00FD4898" w:rsidRPr="00B34014" w:rsidRDefault="00FD4898" w:rsidP="0066301C">
            <w:pPr>
              <w:rPr>
                <w:rFonts w:ascii="Arial" w:hAnsi="Arial" w:cs="Arial"/>
              </w:rPr>
            </w:pPr>
            <w:r w:rsidRPr="00B34014">
              <w:rPr>
                <w:rFonts w:ascii="Arial" w:hAnsi="Arial" w:cs="Arial"/>
              </w:rPr>
              <w:t>Cameroon</w:t>
            </w:r>
          </w:p>
        </w:tc>
        <w:tc>
          <w:tcPr>
            <w:tcW w:w="1701" w:type="dxa"/>
          </w:tcPr>
          <w:p w14:paraId="04A3A0F4" w14:textId="77777777" w:rsidR="00FD4898" w:rsidRPr="00B34014" w:rsidRDefault="00FD4898" w:rsidP="0066301C">
            <w:pPr>
              <w:jc w:val="center"/>
              <w:rPr>
                <w:rFonts w:ascii="Arial" w:hAnsi="Arial" w:cs="Arial"/>
              </w:rPr>
            </w:pPr>
            <w:r w:rsidRPr="00B34014">
              <w:rPr>
                <w:rFonts w:ascii="Arial" w:hAnsi="Arial" w:cs="Arial"/>
              </w:rPr>
              <w:t>7.714</w:t>
            </w:r>
          </w:p>
        </w:tc>
        <w:tc>
          <w:tcPr>
            <w:tcW w:w="1503" w:type="dxa"/>
          </w:tcPr>
          <w:p w14:paraId="14626638" w14:textId="77777777" w:rsidR="00FD4898" w:rsidRPr="00B34014" w:rsidRDefault="00FD4898" w:rsidP="0066301C">
            <w:pPr>
              <w:jc w:val="center"/>
              <w:rPr>
                <w:rFonts w:ascii="Arial" w:hAnsi="Arial" w:cs="Arial"/>
              </w:rPr>
            </w:pPr>
            <w:r w:rsidRPr="00B34014">
              <w:rPr>
                <w:rFonts w:ascii="Arial" w:hAnsi="Arial" w:cs="Arial"/>
              </w:rPr>
              <w:t>3.23</w:t>
            </w:r>
          </w:p>
        </w:tc>
        <w:tc>
          <w:tcPr>
            <w:tcW w:w="1757" w:type="dxa"/>
          </w:tcPr>
          <w:p w14:paraId="1DF820F4" w14:textId="77777777" w:rsidR="00FD4898" w:rsidRPr="00B34014" w:rsidRDefault="00FD4898" w:rsidP="0066301C">
            <w:pPr>
              <w:jc w:val="center"/>
              <w:rPr>
                <w:rFonts w:ascii="Arial" w:hAnsi="Arial" w:cs="Arial"/>
              </w:rPr>
            </w:pPr>
            <w:r w:rsidRPr="00B34014">
              <w:rPr>
                <w:rFonts w:ascii="Arial" w:hAnsi="Arial" w:cs="Arial"/>
              </w:rPr>
              <w:t>4.35</w:t>
            </w:r>
          </w:p>
        </w:tc>
        <w:tc>
          <w:tcPr>
            <w:tcW w:w="2127" w:type="dxa"/>
          </w:tcPr>
          <w:p w14:paraId="5314E35E" w14:textId="77777777" w:rsidR="00FD4898" w:rsidRPr="00B34014" w:rsidRDefault="00FD4898" w:rsidP="0066301C">
            <w:pPr>
              <w:rPr>
                <w:rFonts w:ascii="Arial" w:hAnsi="Arial" w:cs="Arial"/>
              </w:rPr>
            </w:pPr>
            <w:r w:rsidRPr="00B34014">
              <w:rPr>
                <w:rFonts w:ascii="Arial" w:hAnsi="Arial" w:cs="Arial"/>
              </w:rPr>
              <w:t>Cointegration</w:t>
            </w:r>
          </w:p>
        </w:tc>
      </w:tr>
      <w:tr w:rsidR="00FD4898" w:rsidRPr="00B34014" w14:paraId="3545F3B4" w14:textId="77777777" w:rsidTr="0C36F296">
        <w:tc>
          <w:tcPr>
            <w:tcW w:w="2127" w:type="dxa"/>
          </w:tcPr>
          <w:p w14:paraId="7747AB85" w14:textId="77777777" w:rsidR="00FD4898" w:rsidRPr="00B34014" w:rsidRDefault="00FD4898" w:rsidP="0066301C">
            <w:pPr>
              <w:rPr>
                <w:rFonts w:ascii="Arial" w:hAnsi="Arial" w:cs="Arial"/>
              </w:rPr>
            </w:pPr>
            <w:r w:rsidRPr="00B34014">
              <w:rPr>
                <w:rFonts w:ascii="Arial" w:hAnsi="Arial" w:cs="Arial"/>
              </w:rPr>
              <w:t>China</w:t>
            </w:r>
          </w:p>
        </w:tc>
        <w:tc>
          <w:tcPr>
            <w:tcW w:w="1701" w:type="dxa"/>
          </w:tcPr>
          <w:p w14:paraId="7CA233A6" w14:textId="77777777" w:rsidR="00FD4898" w:rsidRPr="00B34014" w:rsidRDefault="00FD4898" w:rsidP="0066301C">
            <w:pPr>
              <w:jc w:val="center"/>
              <w:rPr>
                <w:rFonts w:ascii="Arial" w:hAnsi="Arial" w:cs="Arial"/>
              </w:rPr>
            </w:pPr>
            <w:r w:rsidRPr="00B34014">
              <w:rPr>
                <w:rFonts w:ascii="Arial" w:hAnsi="Arial" w:cs="Arial"/>
              </w:rPr>
              <w:t>10.248</w:t>
            </w:r>
          </w:p>
        </w:tc>
        <w:tc>
          <w:tcPr>
            <w:tcW w:w="1503" w:type="dxa"/>
          </w:tcPr>
          <w:p w14:paraId="75A44F74" w14:textId="77777777" w:rsidR="00FD4898" w:rsidRPr="00B34014" w:rsidRDefault="00FD4898" w:rsidP="0066301C">
            <w:pPr>
              <w:jc w:val="center"/>
              <w:rPr>
                <w:rFonts w:ascii="Arial" w:hAnsi="Arial" w:cs="Arial"/>
              </w:rPr>
            </w:pPr>
            <w:r w:rsidRPr="00B34014">
              <w:rPr>
                <w:rFonts w:ascii="Arial" w:hAnsi="Arial" w:cs="Arial"/>
              </w:rPr>
              <w:t>3.23</w:t>
            </w:r>
          </w:p>
        </w:tc>
        <w:tc>
          <w:tcPr>
            <w:tcW w:w="1757" w:type="dxa"/>
          </w:tcPr>
          <w:p w14:paraId="3B890190" w14:textId="77777777" w:rsidR="00FD4898" w:rsidRPr="00B34014" w:rsidRDefault="00FD4898" w:rsidP="0066301C">
            <w:pPr>
              <w:jc w:val="center"/>
              <w:rPr>
                <w:rFonts w:ascii="Arial" w:hAnsi="Arial" w:cs="Arial"/>
              </w:rPr>
            </w:pPr>
            <w:r w:rsidRPr="00B34014">
              <w:rPr>
                <w:rFonts w:ascii="Arial" w:hAnsi="Arial" w:cs="Arial"/>
              </w:rPr>
              <w:t>4.35</w:t>
            </w:r>
          </w:p>
        </w:tc>
        <w:tc>
          <w:tcPr>
            <w:tcW w:w="2127" w:type="dxa"/>
          </w:tcPr>
          <w:p w14:paraId="120DC4DC" w14:textId="77777777" w:rsidR="00FD4898" w:rsidRPr="00B34014" w:rsidRDefault="00FD4898" w:rsidP="0066301C">
            <w:pPr>
              <w:rPr>
                <w:rFonts w:ascii="Arial" w:hAnsi="Arial" w:cs="Arial"/>
              </w:rPr>
            </w:pPr>
            <w:r w:rsidRPr="00B34014">
              <w:rPr>
                <w:rFonts w:ascii="Arial" w:hAnsi="Arial" w:cs="Arial"/>
              </w:rPr>
              <w:t>Cointegration</w:t>
            </w:r>
          </w:p>
        </w:tc>
      </w:tr>
      <w:tr w:rsidR="00FD4898" w:rsidRPr="00B34014" w14:paraId="4736E8CE" w14:textId="77777777" w:rsidTr="0C36F296">
        <w:tc>
          <w:tcPr>
            <w:tcW w:w="2127" w:type="dxa"/>
          </w:tcPr>
          <w:p w14:paraId="57A31AAE" w14:textId="77777777" w:rsidR="00FD4898" w:rsidRPr="00B34014" w:rsidRDefault="00FD4898" w:rsidP="0066301C">
            <w:pPr>
              <w:rPr>
                <w:rFonts w:ascii="Arial" w:hAnsi="Arial" w:cs="Arial"/>
              </w:rPr>
            </w:pPr>
            <w:r w:rsidRPr="00B34014">
              <w:rPr>
                <w:rFonts w:ascii="Arial" w:hAnsi="Arial" w:cs="Arial"/>
              </w:rPr>
              <w:t>France</w:t>
            </w:r>
          </w:p>
        </w:tc>
        <w:tc>
          <w:tcPr>
            <w:tcW w:w="1701" w:type="dxa"/>
          </w:tcPr>
          <w:p w14:paraId="5DED2F8A" w14:textId="77777777" w:rsidR="00FD4898" w:rsidRPr="00B34014" w:rsidRDefault="00FD4898" w:rsidP="0066301C">
            <w:pPr>
              <w:jc w:val="center"/>
              <w:rPr>
                <w:rFonts w:ascii="Arial" w:hAnsi="Arial" w:cs="Arial"/>
              </w:rPr>
            </w:pPr>
            <w:r w:rsidRPr="00B34014">
              <w:rPr>
                <w:rFonts w:ascii="Arial" w:hAnsi="Arial" w:cs="Arial"/>
              </w:rPr>
              <w:t>6.194</w:t>
            </w:r>
          </w:p>
        </w:tc>
        <w:tc>
          <w:tcPr>
            <w:tcW w:w="1503" w:type="dxa"/>
          </w:tcPr>
          <w:p w14:paraId="6F45B7F7" w14:textId="77777777" w:rsidR="00FD4898" w:rsidRPr="00B34014" w:rsidRDefault="00FD4898" w:rsidP="0066301C">
            <w:pPr>
              <w:jc w:val="center"/>
              <w:rPr>
                <w:rFonts w:ascii="Arial" w:hAnsi="Arial" w:cs="Arial"/>
              </w:rPr>
            </w:pPr>
            <w:r w:rsidRPr="00B34014">
              <w:rPr>
                <w:rFonts w:ascii="Arial" w:hAnsi="Arial" w:cs="Arial"/>
              </w:rPr>
              <w:t>3.23</w:t>
            </w:r>
          </w:p>
        </w:tc>
        <w:tc>
          <w:tcPr>
            <w:tcW w:w="1757" w:type="dxa"/>
          </w:tcPr>
          <w:p w14:paraId="60AF8214" w14:textId="77777777" w:rsidR="00FD4898" w:rsidRPr="00B34014" w:rsidRDefault="00FD4898" w:rsidP="0066301C">
            <w:pPr>
              <w:jc w:val="center"/>
              <w:rPr>
                <w:rFonts w:ascii="Arial" w:hAnsi="Arial" w:cs="Arial"/>
              </w:rPr>
            </w:pPr>
            <w:r w:rsidRPr="00B34014">
              <w:rPr>
                <w:rFonts w:ascii="Arial" w:hAnsi="Arial" w:cs="Arial"/>
              </w:rPr>
              <w:t>4.25</w:t>
            </w:r>
          </w:p>
        </w:tc>
        <w:tc>
          <w:tcPr>
            <w:tcW w:w="2127" w:type="dxa"/>
          </w:tcPr>
          <w:p w14:paraId="481E2324" w14:textId="77777777" w:rsidR="00FD4898" w:rsidRPr="00B34014" w:rsidRDefault="00FD4898" w:rsidP="0066301C">
            <w:pPr>
              <w:rPr>
                <w:rFonts w:ascii="Arial" w:hAnsi="Arial" w:cs="Arial"/>
              </w:rPr>
            </w:pPr>
            <w:r w:rsidRPr="00B34014">
              <w:rPr>
                <w:rFonts w:ascii="Arial" w:hAnsi="Arial" w:cs="Arial"/>
              </w:rPr>
              <w:t>Cointegration</w:t>
            </w:r>
          </w:p>
        </w:tc>
      </w:tr>
      <w:tr w:rsidR="00FD4898" w:rsidRPr="00B34014" w14:paraId="2E8FA5A6" w14:textId="77777777" w:rsidTr="0C36F296">
        <w:tc>
          <w:tcPr>
            <w:tcW w:w="2127" w:type="dxa"/>
          </w:tcPr>
          <w:p w14:paraId="208E00AD" w14:textId="77777777" w:rsidR="00FD4898" w:rsidRPr="00B34014" w:rsidRDefault="00FD4898" w:rsidP="0066301C">
            <w:pPr>
              <w:rPr>
                <w:rFonts w:ascii="Arial" w:hAnsi="Arial" w:cs="Arial"/>
              </w:rPr>
            </w:pPr>
            <w:r w:rsidRPr="00B34014">
              <w:rPr>
                <w:rFonts w:ascii="Arial" w:hAnsi="Arial" w:cs="Arial"/>
              </w:rPr>
              <w:t>India</w:t>
            </w:r>
          </w:p>
        </w:tc>
        <w:tc>
          <w:tcPr>
            <w:tcW w:w="1701" w:type="dxa"/>
          </w:tcPr>
          <w:p w14:paraId="1DE5CDB5" w14:textId="77777777" w:rsidR="00FD4898" w:rsidRPr="00B34014" w:rsidRDefault="00FD4898" w:rsidP="0066301C">
            <w:pPr>
              <w:jc w:val="center"/>
              <w:rPr>
                <w:rFonts w:ascii="Arial" w:hAnsi="Arial" w:cs="Arial"/>
              </w:rPr>
            </w:pPr>
            <w:r w:rsidRPr="00B34014">
              <w:rPr>
                <w:rFonts w:ascii="Arial" w:hAnsi="Arial" w:cs="Arial"/>
              </w:rPr>
              <w:t>8.906</w:t>
            </w:r>
          </w:p>
        </w:tc>
        <w:tc>
          <w:tcPr>
            <w:tcW w:w="1503" w:type="dxa"/>
          </w:tcPr>
          <w:p w14:paraId="141166FC" w14:textId="77777777" w:rsidR="00FD4898" w:rsidRPr="00B34014" w:rsidRDefault="00FD4898" w:rsidP="0066301C">
            <w:pPr>
              <w:jc w:val="center"/>
              <w:rPr>
                <w:rFonts w:ascii="Arial" w:hAnsi="Arial" w:cs="Arial"/>
              </w:rPr>
            </w:pPr>
            <w:r w:rsidRPr="00B34014">
              <w:rPr>
                <w:rFonts w:ascii="Arial" w:hAnsi="Arial" w:cs="Arial"/>
              </w:rPr>
              <w:t>3.23</w:t>
            </w:r>
          </w:p>
        </w:tc>
        <w:tc>
          <w:tcPr>
            <w:tcW w:w="1757" w:type="dxa"/>
          </w:tcPr>
          <w:p w14:paraId="7AA88DF0" w14:textId="77777777" w:rsidR="00FD4898" w:rsidRPr="00B34014" w:rsidRDefault="00FD4898" w:rsidP="0066301C">
            <w:pPr>
              <w:jc w:val="center"/>
              <w:rPr>
                <w:rFonts w:ascii="Arial" w:hAnsi="Arial" w:cs="Arial"/>
              </w:rPr>
            </w:pPr>
            <w:r w:rsidRPr="00B34014">
              <w:rPr>
                <w:rFonts w:ascii="Arial" w:hAnsi="Arial" w:cs="Arial"/>
              </w:rPr>
              <w:t>4.35</w:t>
            </w:r>
          </w:p>
        </w:tc>
        <w:tc>
          <w:tcPr>
            <w:tcW w:w="2127" w:type="dxa"/>
          </w:tcPr>
          <w:p w14:paraId="2F5A1977" w14:textId="77777777" w:rsidR="00FD4898" w:rsidRPr="00B34014" w:rsidRDefault="00FD4898" w:rsidP="0066301C">
            <w:pPr>
              <w:rPr>
                <w:rFonts w:ascii="Arial" w:hAnsi="Arial" w:cs="Arial"/>
              </w:rPr>
            </w:pPr>
            <w:r w:rsidRPr="00B34014">
              <w:rPr>
                <w:rFonts w:ascii="Arial" w:hAnsi="Arial" w:cs="Arial"/>
              </w:rPr>
              <w:t>Cointegration</w:t>
            </w:r>
          </w:p>
        </w:tc>
      </w:tr>
      <w:tr w:rsidR="00FD4898" w:rsidRPr="00B34014" w14:paraId="6960921A" w14:textId="77777777" w:rsidTr="0C36F296">
        <w:tc>
          <w:tcPr>
            <w:tcW w:w="2127" w:type="dxa"/>
          </w:tcPr>
          <w:p w14:paraId="57D2ACB7" w14:textId="1858C3B6" w:rsidR="00FD4898" w:rsidRPr="00B34014" w:rsidRDefault="00FD4898" w:rsidP="0066301C">
            <w:pPr>
              <w:rPr>
                <w:rFonts w:ascii="Arial" w:hAnsi="Arial" w:cs="Arial"/>
              </w:rPr>
            </w:pPr>
            <w:r w:rsidRPr="00B34014">
              <w:rPr>
                <w:rFonts w:ascii="Arial" w:hAnsi="Arial" w:cs="Arial"/>
              </w:rPr>
              <w:t>N</w:t>
            </w:r>
            <w:r w:rsidR="00152831" w:rsidRPr="00B34014">
              <w:rPr>
                <w:rFonts w:ascii="Arial" w:hAnsi="Arial" w:cs="Arial"/>
              </w:rPr>
              <w:t>e</w:t>
            </w:r>
            <w:r w:rsidRPr="00B34014">
              <w:rPr>
                <w:rFonts w:ascii="Arial" w:hAnsi="Arial" w:cs="Arial"/>
              </w:rPr>
              <w:t>p</w:t>
            </w:r>
            <w:r w:rsidR="00152831" w:rsidRPr="00B34014">
              <w:rPr>
                <w:rFonts w:ascii="Arial" w:hAnsi="Arial" w:cs="Arial"/>
              </w:rPr>
              <w:t>a</w:t>
            </w:r>
            <w:r w:rsidRPr="00B34014">
              <w:rPr>
                <w:rFonts w:ascii="Arial" w:hAnsi="Arial" w:cs="Arial"/>
              </w:rPr>
              <w:t>l</w:t>
            </w:r>
          </w:p>
        </w:tc>
        <w:tc>
          <w:tcPr>
            <w:tcW w:w="1701" w:type="dxa"/>
          </w:tcPr>
          <w:p w14:paraId="47F8EDA1" w14:textId="77777777" w:rsidR="00FD4898" w:rsidRPr="00B34014" w:rsidRDefault="00FD4898" w:rsidP="0066301C">
            <w:pPr>
              <w:jc w:val="center"/>
              <w:rPr>
                <w:rFonts w:ascii="Arial" w:hAnsi="Arial" w:cs="Arial"/>
              </w:rPr>
            </w:pPr>
            <w:r w:rsidRPr="00B34014">
              <w:rPr>
                <w:rFonts w:ascii="Arial" w:hAnsi="Arial" w:cs="Arial"/>
              </w:rPr>
              <w:t>7.828</w:t>
            </w:r>
          </w:p>
        </w:tc>
        <w:tc>
          <w:tcPr>
            <w:tcW w:w="1503" w:type="dxa"/>
          </w:tcPr>
          <w:p w14:paraId="33C10F95" w14:textId="77777777" w:rsidR="00FD4898" w:rsidRPr="00B34014" w:rsidRDefault="00FD4898" w:rsidP="0066301C">
            <w:pPr>
              <w:jc w:val="center"/>
              <w:rPr>
                <w:rFonts w:ascii="Arial" w:hAnsi="Arial" w:cs="Arial"/>
              </w:rPr>
            </w:pPr>
            <w:r w:rsidRPr="00B34014">
              <w:rPr>
                <w:rFonts w:ascii="Arial" w:hAnsi="Arial" w:cs="Arial"/>
              </w:rPr>
              <w:t>3.23</w:t>
            </w:r>
          </w:p>
        </w:tc>
        <w:tc>
          <w:tcPr>
            <w:tcW w:w="1757" w:type="dxa"/>
          </w:tcPr>
          <w:p w14:paraId="107F95A8" w14:textId="77777777" w:rsidR="00FD4898" w:rsidRPr="00B34014" w:rsidRDefault="00FD4898" w:rsidP="0066301C">
            <w:pPr>
              <w:jc w:val="center"/>
              <w:rPr>
                <w:rFonts w:ascii="Arial" w:hAnsi="Arial" w:cs="Arial"/>
              </w:rPr>
            </w:pPr>
            <w:r w:rsidRPr="00B34014">
              <w:rPr>
                <w:rFonts w:ascii="Arial" w:hAnsi="Arial" w:cs="Arial"/>
              </w:rPr>
              <w:t>4.25</w:t>
            </w:r>
          </w:p>
        </w:tc>
        <w:tc>
          <w:tcPr>
            <w:tcW w:w="2127" w:type="dxa"/>
          </w:tcPr>
          <w:p w14:paraId="099D0F4C" w14:textId="77777777" w:rsidR="00FD4898" w:rsidRPr="00B34014" w:rsidRDefault="00FD4898" w:rsidP="0066301C">
            <w:pPr>
              <w:rPr>
                <w:rFonts w:ascii="Arial" w:hAnsi="Arial" w:cs="Arial"/>
              </w:rPr>
            </w:pPr>
            <w:r w:rsidRPr="00B34014">
              <w:rPr>
                <w:rFonts w:ascii="Arial" w:hAnsi="Arial" w:cs="Arial"/>
              </w:rPr>
              <w:t>Cointegration</w:t>
            </w:r>
          </w:p>
        </w:tc>
      </w:tr>
      <w:tr w:rsidR="00EB72CB" w:rsidRPr="00B34014" w14:paraId="3240C890" w14:textId="77777777" w:rsidTr="0C36F296">
        <w:tc>
          <w:tcPr>
            <w:tcW w:w="9215" w:type="dxa"/>
            <w:gridSpan w:val="5"/>
          </w:tcPr>
          <w:p w14:paraId="6EB1B384" w14:textId="30218159" w:rsidR="00EB72CB" w:rsidRPr="00B34014" w:rsidRDefault="00EB72CB" w:rsidP="0066301C">
            <w:pPr>
              <w:jc w:val="center"/>
              <w:rPr>
                <w:rFonts w:ascii="Arial" w:hAnsi="Arial" w:cs="Arial"/>
                <w:b/>
                <w:bCs/>
              </w:rPr>
            </w:pPr>
            <w:r w:rsidRPr="00B34014">
              <w:rPr>
                <w:rFonts w:ascii="Arial" w:hAnsi="Arial" w:cs="Arial"/>
                <w:b/>
                <w:bCs/>
              </w:rPr>
              <w:t>Gabon</w:t>
            </w:r>
          </w:p>
        </w:tc>
      </w:tr>
      <w:tr w:rsidR="00AA3555" w:rsidRPr="00B34014" w14:paraId="02BE38A2" w14:textId="77777777" w:rsidTr="0C36F296">
        <w:tc>
          <w:tcPr>
            <w:tcW w:w="2127" w:type="dxa"/>
            <w:vMerge w:val="restart"/>
          </w:tcPr>
          <w:p w14:paraId="09F8A3BB" w14:textId="77777777" w:rsidR="00FD4898" w:rsidRPr="00B34014" w:rsidRDefault="00FD4898" w:rsidP="0066301C">
            <w:pPr>
              <w:jc w:val="center"/>
              <w:rPr>
                <w:rFonts w:ascii="Arial" w:hAnsi="Arial" w:cs="Arial"/>
                <w:b/>
                <w:bCs/>
              </w:rPr>
            </w:pPr>
            <w:r w:rsidRPr="00B34014">
              <w:rPr>
                <w:rFonts w:ascii="Arial" w:hAnsi="Arial" w:cs="Arial"/>
                <w:b/>
                <w:bCs/>
              </w:rPr>
              <w:t>Trading Partner</w:t>
            </w:r>
          </w:p>
        </w:tc>
        <w:tc>
          <w:tcPr>
            <w:tcW w:w="1701" w:type="dxa"/>
            <w:vMerge w:val="restart"/>
          </w:tcPr>
          <w:p w14:paraId="04D5EA5D" w14:textId="77777777" w:rsidR="00FD4898" w:rsidRPr="00B34014" w:rsidRDefault="00FD4898" w:rsidP="0066301C">
            <w:pPr>
              <w:jc w:val="center"/>
              <w:rPr>
                <w:rFonts w:ascii="Arial" w:hAnsi="Arial" w:cs="Arial"/>
                <w:b/>
                <w:bCs/>
              </w:rPr>
            </w:pPr>
            <w:r w:rsidRPr="00B34014">
              <w:rPr>
                <w:rFonts w:ascii="Arial" w:hAnsi="Arial" w:cs="Arial"/>
                <w:b/>
                <w:bCs/>
              </w:rPr>
              <w:t>F-statistics</w:t>
            </w:r>
          </w:p>
        </w:tc>
        <w:tc>
          <w:tcPr>
            <w:tcW w:w="3260" w:type="dxa"/>
            <w:gridSpan w:val="2"/>
          </w:tcPr>
          <w:p w14:paraId="1D8CB4EC" w14:textId="77777777" w:rsidR="00FD4898" w:rsidRPr="00B34014" w:rsidRDefault="00FD4898" w:rsidP="0066301C">
            <w:pPr>
              <w:jc w:val="center"/>
              <w:rPr>
                <w:rFonts w:ascii="Arial" w:hAnsi="Arial" w:cs="Arial"/>
                <w:b/>
                <w:bCs/>
              </w:rPr>
            </w:pPr>
            <w:r w:rsidRPr="00B34014">
              <w:rPr>
                <w:rFonts w:ascii="Arial" w:hAnsi="Arial" w:cs="Arial"/>
                <w:b/>
                <w:bCs/>
              </w:rPr>
              <w:t>95%</w:t>
            </w:r>
          </w:p>
        </w:tc>
        <w:tc>
          <w:tcPr>
            <w:tcW w:w="2127" w:type="dxa"/>
            <w:vMerge w:val="restart"/>
          </w:tcPr>
          <w:p w14:paraId="3A0591FC" w14:textId="77777777" w:rsidR="00FD4898" w:rsidRPr="00B34014" w:rsidRDefault="00FD4898" w:rsidP="0066301C">
            <w:pPr>
              <w:jc w:val="center"/>
              <w:rPr>
                <w:rFonts w:ascii="Arial" w:hAnsi="Arial" w:cs="Arial"/>
                <w:b/>
                <w:bCs/>
              </w:rPr>
            </w:pPr>
            <w:r w:rsidRPr="00B34014">
              <w:rPr>
                <w:rFonts w:ascii="Arial" w:hAnsi="Arial" w:cs="Arial"/>
                <w:b/>
                <w:bCs/>
              </w:rPr>
              <w:t>Outcome</w:t>
            </w:r>
          </w:p>
        </w:tc>
      </w:tr>
      <w:tr w:rsidR="00AA3555" w:rsidRPr="00B34014" w14:paraId="3CA66DED" w14:textId="77777777" w:rsidTr="0C36F296">
        <w:tc>
          <w:tcPr>
            <w:tcW w:w="2127" w:type="dxa"/>
            <w:vMerge/>
          </w:tcPr>
          <w:p w14:paraId="568F4849" w14:textId="77777777" w:rsidR="00FD4898" w:rsidRPr="00B34014" w:rsidRDefault="00FD4898" w:rsidP="0066301C">
            <w:pPr>
              <w:jc w:val="center"/>
              <w:rPr>
                <w:rFonts w:ascii="Arial" w:hAnsi="Arial" w:cs="Arial"/>
                <w:b/>
                <w:bCs/>
              </w:rPr>
            </w:pPr>
          </w:p>
        </w:tc>
        <w:tc>
          <w:tcPr>
            <w:tcW w:w="1701" w:type="dxa"/>
            <w:vMerge/>
          </w:tcPr>
          <w:p w14:paraId="73F4DE7A" w14:textId="77777777" w:rsidR="00FD4898" w:rsidRPr="00B34014" w:rsidRDefault="00FD4898" w:rsidP="0066301C">
            <w:pPr>
              <w:jc w:val="center"/>
              <w:rPr>
                <w:rFonts w:ascii="Arial" w:hAnsi="Arial" w:cs="Arial"/>
                <w:b/>
                <w:bCs/>
              </w:rPr>
            </w:pPr>
          </w:p>
        </w:tc>
        <w:tc>
          <w:tcPr>
            <w:tcW w:w="1503" w:type="dxa"/>
          </w:tcPr>
          <w:p w14:paraId="1407F45F" w14:textId="77777777" w:rsidR="00FD4898" w:rsidRPr="00B34014" w:rsidRDefault="00FD4898" w:rsidP="0066301C">
            <w:pPr>
              <w:jc w:val="center"/>
              <w:rPr>
                <w:rFonts w:ascii="Arial" w:hAnsi="Arial" w:cs="Arial"/>
                <w:b/>
                <w:bCs/>
              </w:rPr>
            </w:pPr>
            <w:r w:rsidRPr="00B34014">
              <w:rPr>
                <w:rFonts w:ascii="Arial" w:hAnsi="Arial" w:cs="Arial"/>
                <w:b/>
                <w:bCs/>
                <w:i/>
                <w:iCs/>
              </w:rPr>
              <w:t>I</w:t>
            </w:r>
            <w:r w:rsidRPr="00B34014">
              <w:rPr>
                <w:rFonts w:ascii="Arial" w:hAnsi="Arial" w:cs="Arial"/>
                <w:b/>
                <w:bCs/>
              </w:rPr>
              <w:t>(0)</w:t>
            </w:r>
          </w:p>
        </w:tc>
        <w:tc>
          <w:tcPr>
            <w:tcW w:w="1757" w:type="dxa"/>
          </w:tcPr>
          <w:p w14:paraId="10369258" w14:textId="77777777" w:rsidR="00FD4898" w:rsidRPr="00B34014" w:rsidRDefault="00FD4898" w:rsidP="0066301C">
            <w:pPr>
              <w:jc w:val="center"/>
              <w:rPr>
                <w:rFonts w:ascii="Arial" w:hAnsi="Arial" w:cs="Arial"/>
                <w:b/>
                <w:bCs/>
              </w:rPr>
            </w:pPr>
            <w:r w:rsidRPr="00B34014">
              <w:rPr>
                <w:rFonts w:ascii="Arial" w:hAnsi="Arial" w:cs="Arial"/>
                <w:b/>
                <w:bCs/>
                <w:i/>
                <w:iCs/>
              </w:rPr>
              <w:t>I</w:t>
            </w:r>
            <w:r w:rsidRPr="00B34014">
              <w:rPr>
                <w:rFonts w:ascii="Arial" w:hAnsi="Arial" w:cs="Arial"/>
                <w:b/>
                <w:bCs/>
              </w:rPr>
              <w:t>(1)</w:t>
            </w:r>
          </w:p>
        </w:tc>
        <w:tc>
          <w:tcPr>
            <w:tcW w:w="2127" w:type="dxa"/>
            <w:vMerge/>
          </w:tcPr>
          <w:p w14:paraId="1898E56E" w14:textId="77777777" w:rsidR="00FD4898" w:rsidRPr="00B34014" w:rsidRDefault="00FD4898" w:rsidP="0066301C">
            <w:pPr>
              <w:rPr>
                <w:rFonts w:ascii="Arial" w:hAnsi="Arial" w:cs="Arial"/>
              </w:rPr>
            </w:pPr>
          </w:p>
        </w:tc>
      </w:tr>
      <w:tr w:rsidR="00FD4898" w:rsidRPr="00B34014" w14:paraId="1A5E3CC1" w14:textId="77777777" w:rsidTr="0C36F296">
        <w:tc>
          <w:tcPr>
            <w:tcW w:w="2127" w:type="dxa"/>
          </w:tcPr>
          <w:p w14:paraId="57D3E314" w14:textId="77777777" w:rsidR="00FD4898" w:rsidRPr="00B34014" w:rsidRDefault="00FD4898" w:rsidP="0066301C">
            <w:pPr>
              <w:rPr>
                <w:rFonts w:ascii="Arial" w:hAnsi="Arial" w:cs="Arial"/>
              </w:rPr>
            </w:pPr>
            <w:r w:rsidRPr="00B34014">
              <w:rPr>
                <w:rFonts w:ascii="Arial" w:hAnsi="Arial" w:cs="Arial"/>
              </w:rPr>
              <w:t>China</w:t>
            </w:r>
          </w:p>
        </w:tc>
        <w:tc>
          <w:tcPr>
            <w:tcW w:w="1701" w:type="dxa"/>
          </w:tcPr>
          <w:p w14:paraId="0EBD024A" w14:textId="77777777" w:rsidR="00FD4898" w:rsidRPr="00B34014" w:rsidRDefault="00FD4898" w:rsidP="0066301C">
            <w:pPr>
              <w:jc w:val="center"/>
              <w:rPr>
                <w:rFonts w:ascii="Arial" w:hAnsi="Arial" w:cs="Arial"/>
              </w:rPr>
            </w:pPr>
            <w:r w:rsidRPr="00B34014">
              <w:rPr>
                <w:rFonts w:ascii="Arial" w:hAnsi="Arial" w:cs="Arial"/>
              </w:rPr>
              <w:t>4.924</w:t>
            </w:r>
          </w:p>
        </w:tc>
        <w:tc>
          <w:tcPr>
            <w:tcW w:w="1503" w:type="dxa"/>
          </w:tcPr>
          <w:p w14:paraId="040D888F" w14:textId="77777777" w:rsidR="00FD4898" w:rsidRPr="00B34014" w:rsidRDefault="00FD4898" w:rsidP="0066301C">
            <w:pPr>
              <w:jc w:val="center"/>
              <w:rPr>
                <w:rFonts w:ascii="Arial" w:hAnsi="Arial" w:cs="Arial"/>
              </w:rPr>
            </w:pPr>
            <w:r w:rsidRPr="00B34014">
              <w:rPr>
                <w:rFonts w:ascii="Arial" w:hAnsi="Arial" w:cs="Arial"/>
              </w:rPr>
              <w:t>3.23</w:t>
            </w:r>
          </w:p>
        </w:tc>
        <w:tc>
          <w:tcPr>
            <w:tcW w:w="1757" w:type="dxa"/>
          </w:tcPr>
          <w:p w14:paraId="163C87DB" w14:textId="77777777" w:rsidR="00FD4898" w:rsidRPr="00B34014" w:rsidRDefault="00FD4898" w:rsidP="0066301C">
            <w:pPr>
              <w:jc w:val="center"/>
              <w:rPr>
                <w:rFonts w:ascii="Arial" w:hAnsi="Arial" w:cs="Arial"/>
              </w:rPr>
            </w:pPr>
            <w:r w:rsidRPr="00B34014">
              <w:rPr>
                <w:rFonts w:ascii="Arial" w:hAnsi="Arial" w:cs="Arial"/>
              </w:rPr>
              <w:t>4.35</w:t>
            </w:r>
          </w:p>
        </w:tc>
        <w:tc>
          <w:tcPr>
            <w:tcW w:w="2127" w:type="dxa"/>
          </w:tcPr>
          <w:p w14:paraId="2B348EFD" w14:textId="77777777" w:rsidR="00FD4898" w:rsidRPr="00B34014" w:rsidRDefault="00FD4898" w:rsidP="0066301C">
            <w:pPr>
              <w:rPr>
                <w:rFonts w:ascii="Arial" w:hAnsi="Arial" w:cs="Arial"/>
              </w:rPr>
            </w:pPr>
            <w:r w:rsidRPr="00B34014">
              <w:rPr>
                <w:rFonts w:ascii="Arial" w:hAnsi="Arial" w:cs="Arial"/>
              </w:rPr>
              <w:t>Cointegration</w:t>
            </w:r>
          </w:p>
        </w:tc>
      </w:tr>
      <w:tr w:rsidR="00FD4898" w:rsidRPr="00B34014" w14:paraId="48AD60EA" w14:textId="77777777" w:rsidTr="0C36F296">
        <w:tc>
          <w:tcPr>
            <w:tcW w:w="2127" w:type="dxa"/>
          </w:tcPr>
          <w:p w14:paraId="2C4D7E79" w14:textId="77777777" w:rsidR="00FD4898" w:rsidRPr="00B34014" w:rsidRDefault="00FD4898" w:rsidP="0066301C">
            <w:pPr>
              <w:rPr>
                <w:rFonts w:ascii="Arial" w:hAnsi="Arial" w:cs="Arial"/>
              </w:rPr>
            </w:pPr>
            <w:r w:rsidRPr="00B34014">
              <w:rPr>
                <w:rFonts w:ascii="Arial" w:hAnsi="Arial" w:cs="Arial"/>
              </w:rPr>
              <w:t>Ireland</w:t>
            </w:r>
          </w:p>
        </w:tc>
        <w:tc>
          <w:tcPr>
            <w:tcW w:w="1701" w:type="dxa"/>
          </w:tcPr>
          <w:p w14:paraId="0D05BDE2" w14:textId="77777777" w:rsidR="00FD4898" w:rsidRPr="00B34014" w:rsidRDefault="00FD4898" w:rsidP="0066301C">
            <w:pPr>
              <w:jc w:val="center"/>
              <w:rPr>
                <w:rFonts w:ascii="Arial" w:hAnsi="Arial" w:cs="Arial"/>
              </w:rPr>
            </w:pPr>
            <w:r w:rsidRPr="00B34014">
              <w:rPr>
                <w:rFonts w:ascii="Arial" w:hAnsi="Arial" w:cs="Arial"/>
              </w:rPr>
              <w:t>5.104</w:t>
            </w:r>
          </w:p>
        </w:tc>
        <w:tc>
          <w:tcPr>
            <w:tcW w:w="1503" w:type="dxa"/>
          </w:tcPr>
          <w:p w14:paraId="305240A6" w14:textId="77777777" w:rsidR="00FD4898" w:rsidRPr="00B34014" w:rsidRDefault="00FD4898" w:rsidP="0066301C">
            <w:pPr>
              <w:jc w:val="center"/>
              <w:rPr>
                <w:rFonts w:ascii="Arial" w:hAnsi="Arial" w:cs="Arial"/>
              </w:rPr>
            </w:pPr>
            <w:r w:rsidRPr="00B34014">
              <w:rPr>
                <w:rFonts w:ascii="Arial" w:hAnsi="Arial" w:cs="Arial"/>
              </w:rPr>
              <w:t>2.79</w:t>
            </w:r>
          </w:p>
        </w:tc>
        <w:tc>
          <w:tcPr>
            <w:tcW w:w="1757" w:type="dxa"/>
          </w:tcPr>
          <w:p w14:paraId="5E86E6F6" w14:textId="77777777" w:rsidR="00FD4898" w:rsidRPr="00B34014" w:rsidRDefault="00FD4898" w:rsidP="0066301C">
            <w:pPr>
              <w:jc w:val="center"/>
              <w:rPr>
                <w:rFonts w:ascii="Arial" w:hAnsi="Arial" w:cs="Arial"/>
              </w:rPr>
            </w:pPr>
            <w:r w:rsidRPr="00B34014">
              <w:rPr>
                <w:rFonts w:ascii="Arial" w:hAnsi="Arial" w:cs="Arial"/>
              </w:rPr>
              <w:t>3.67</w:t>
            </w:r>
          </w:p>
        </w:tc>
        <w:tc>
          <w:tcPr>
            <w:tcW w:w="2127" w:type="dxa"/>
          </w:tcPr>
          <w:p w14:paraId="78575038" w14:textId="77777777" w:rsidR="00FD4898" w:rsidRPr="00B34014" w:rsidRDefault="00FD4898" w:rsidP="0066301C">
            <w:pPr>
              <w:rPr>
                <w:rFonts w:ascii="Arial" w:hAnsi="Arial" w:cs="Arial"/>
              </w:rPr>
            </w:pPr>
            <w:r w:rsidRPr="00B34014">
              <w:rPr>
                <w:rFonts w:ascii="Arial" w:hAnsi="Arial" w:cs="Arial"/>
              </w:rPr>
              <w:t>Cointegration</w:t>
            </w:r>
          </w:p>
        </w:tc>
      </w:tr>
      <w:tr w:rsidR="00FD4898" w:rsidRPr="00B34014" w14:paraId="0EBB6AD9" w14:textId="77777777" w:rsidTr="0C36F296">
        <w:tc>
          <w:tcPr>
            <w:tcW w:w="2127" w:type="dxa"/>
          </w:tcPr>
          <w:p w14:paraId="3E6BD27D" w14:textId="77777777" w:rsidR="00FD4898" w:rsidRPr="00B34014" w:rsidRDefault="00FD4898" w:rsidP="0066301C">
            <w:pPr>
              <w:rPr>
                <w:rFonts w:ascii="Arial" w:hAnsi="Arial" w:cs="Arial"/>
              </w:rPr>
            </w:pPr>
            <w:r w:rsidRPr="00B34014">
              <w:rPr>
                <w:rFonts w:ascii="Arial" w:hAnsi="Arial" w:cs="Arial"/>
              </w:rPr>
              <w:t>Korea</w:t>
            </w:r>
          </w:p>
        </w:tc>
        <w:tc>
          <w:tcPr>
            <w:tcW w:w="1701" w:type="dxa"/>
          </w:tcPr>
          <w:p w14:paraId="722E3719" w14:textId="77777777" w:rsidR="00FD4898" w:rsidRPr="00B34014" w:rsidRDefault="00FD4898" w:rsidP="0066301C">
            <w:pPr>
              <w:jc w:val="center"/>
              <w:rPr>
                <w:rFonts w:ascii="Arial" w:hAnsi="Arial" w:cs="Arial"/>
              </w:rPr>
            </w:pPr>
            <w:r w:rsidRPr="00B34014">
              <w:rPr>
                <w:rFonts w:ascii="Arial" w:hAnsi="Arial" w:cs="Arial"/>
              </w:rPr>
              <w:t>3.118</w:t>
            </w:r>
          </w:p>
        </w:tc>
        <w:tc>
          <w:tcPr>
            <w:tcW w:w="1503" w:type="dxa"/>
          </w:tcPr>
          <w:p w14:paraId="7204AE85" w14:textId="77777777" w:rsidR="00FD4898" w:rsidRPr="00B34014" w:rsidRDefault="00FD4898" w:rsidP="0066301C">
            <w:pPr>
              <w:jc w:val="center"/>
              <w:rPr>
                <w:rFonts w:ascii="Arial" w:hAnsi="Arial" w:cs="Arial"/>
              </w:rPr>
            </w:pPr>
            <w:r w:rsidRPr="00B34014">
              <w:rPr>
                <w:rFonts w:ascii="Arial" w:hAnsi="Arial" w:cs="Arial"/>
              </w:rPr>
              <w:t>3.23</w:t>
            </w:r>
          </w:p>
        </w:tc>
        <w:tc>
          <w:tcPr>
            <w:tcW w:w="1757" w:type="dxa"/>
          </w:tcPr>
          <w:p w14:paraId="38A808A5" w14:textId="77777777" w:rsidR="00FD4898" w:rsidRPr="00B34014" w:rsidRDefault="00FD4898" w:rsidP="0066301C">
            <w:pPr>
              <w:jc w:val="center"/>
              <w:rPr>
                <w:rFonts w:ascii="Arial" w:hAnsi="Arial" w:cs="Arial"/>
              </w:rPr>
            </w:pPr>
            <w:r w:rsidRPr="00B34014">
              <w:rPr>
                <w:rFonts w:ascii="Arial" w:hAnsi="Arial" w:cs="Arial"/>
              </w:rPr>
              <w:t>4.35</w:t>
            </w:r>
          </w:p>
        </w:tc>
        <w:tc>
          <w:tcPr>
            <w:tcW w:w="2127" w:type="dxa"/>
          </w:tcPr>
          <w:p w14:paraId="2160842D" w14:textId="77777777" w:rsidR="00FD4898" w:rsidRPr="00B34014" w:rsidRDefault="00FD4898" w:rsidP="0066301C">
            <w:pPr>
              <w:rPr>
                <w:rFonts w:ascii="Arial" w:hAnsi="Arial" w:cs="Arial"/>
              </w:rPr>
            </w:pPr>
            <w:r w:rsidRPr="00B34014">
              <w:rPr>
                <w:rFonts w:ascii="Arial" w:hAnsi="Arial" w:cs="Arial"/>
              </w:rPr>
              <w:t>No-Cointegration</w:t>
            </w:r>
          </w:p>
        </w:tc>
      </w:tr>
      <w:tr w:rsidR="00FD4898" w:rsidRPr="00B34014" w14:paraId="3D55E690" w14:textId="77777777" w:rsidTr="0C36F296">
        <w:tc>
          <w:tcPr>
            <w:tcW w:w="2127" w:type="dxa"/>
          </w:tcPr>
          <w:p w14:paraId="46FEB8A9" w14:textId="77777777" w:rsidR="00FD4898" w:rsidRPr="00B34014" w:rsidRDefault="00FD4898" w:rsidP="0066301C">
            <w:pPr>
              <w:rPr>
                <w:rFonts w:ascii="Arial" w:hAnsi="Arial" w:cs="Arial"/>
              </w:rPr>
            </w:pPr>
            <w:r w:rsidRPr="00B34014">
              <w:rPr>
                <w:rFonts w:ascii="Arial" w:hAnsi="Arial" w:cs="Arial"/>
              </w:rPr>
              <w:t>Netherland</w:t>
            </w:r>
          </w:p>
        </w:tc>
        <w:tc>
          <w:tcPr>
            <w:tcW w:w="1701" w:type="dxa"/>
          </w:tcPr>
          <w:p w14:paraId="35450E4F" w14:textId="77777777" w:rsidR="00FD4898" w:rsidRPr="00B34014" w:rsidRDefault="00FD4898" w:rsidP="0066301C">
            <w:pPr>
              <w:jc w:val="center"/>
              <w:rPr>
                <w:rFonts w:ascii="Arial" w:hAnsi="Arial" w:cs="Arial"/>
              </w:rPr>
            </w:pPr>
            <w:r w:rsidRPr="00B34014">
              <w:rPr>
                <w:rFonts w:ascii="Arial" w:hAnsi="Arial" w:cs="Arial"/>
              </w:rPr>
              <w:t>7.310</w:t>
            </w:r>
          </w:p>
        </w:tc>
        <w:tc>
          <w:tcPr>
            <w:tcW w:w="1503" w:type="dxa"/>
          </w:tcPr>
          <w:p w14:paraId="3542B2AF" w14:textId="77777777" w:rsidR="00FD4898" w:rsidRPr="00B34014" w:rsidRDefault="00FD4898" w:rsidP="0066301C">
            <w:pPr>
              <w:jc w:val="center"/>
              <w:rPr>
                <w:rFonts w:ascii="Arial" w:hAnsi="Arial" w:cs="Arial"/>
              </w:rPr>
            </w:pPr>
            <w:r w:rsidRPr="00B34014">
              <w:rPr>
                <w:rFonts w:ascii="Arial" w:hAnsi="Arial" w:cs="Arial"/>
              </w:rPr>
              <w:t>3.23</w:t>
            </w:r>
          </w:p>
        </w:tc>
        <w:tc>
          <w:tcPr>
            <w:tcW w:w="1757" w:type="dxa"/>
          </w:tcPr>
          <w:p w14:paraId="5ACDB013" w14:textId="77777777" w:rsidR="00FD4898" w:rsidRPr="00B34014" w:rsidRDefault="00FD4898" w:rsidP="0066301C">
            <w:pPr>
              <w:jc w:val="center"/>
              <w:rPr>
                <w:rFonts w:ascii="Arial" w:hAnsi="Arial" w:cs="Arial"/>
              </w:rPr>
            </w:pPr>
            <w:r w:rsidRPr="00B34014">
              <w:rPr>
                <w:rFonts w:ascii="Arial" w:hAnsi="Arial" w:cs="Arial"/>
              </w:rPr>
              <w:t>4.35</w:t>
            </w:r>
          </w:p>
        </w:tc>
        <w:tc>
          <w:tcPr>
            <w:tcW w:w="2127" w:type="dxa"/>
          </w:tcPr>
          <w:p w14:paraId="1FE8B434" w14:textId="77777777" w:rsidR="00FD4898" w:rsidRPr="00B34014" w:rsidRDefault="00FD4898" w:rsidP="0066301C">
            <w:pPr>
              <w:rPr>
                <w:rFonts w:ascii="Arial" w:hAnsi="Arial" w:cs="Arial"/>
              </w:rPr>
            </w:pPr>
            <w:r w:rsidRPr="00B34014">
              <w:rPr>
                <w:rFonts w:ascii="Arial" w:hAnsi="Arial" w:cs="Arial"/>
              </w:rPr>
              <w:t>Cointegration</w:t>
            </w:r>
          </w:p>
        </w:tc>
      </w:tr>
      <w:tr w:rsidR="00FD4898" w:rsidRPr="00B34014" w14:paraId="0B4A548E" w14:textId="77777777" w:rsidTr="0C36F296">
        <w:tc>
          <w:tcPr>
            <w:tcW w:w="2127" w:type="dxa"/>
          </w:tcPr>
          <w:p w14:paraId="237AFA95" w14:textId="77777777" w:rsidR="00FD4898" w:rsidRPr="00B34014" w:rsidRDefault="00FD4898" w:rsidP="0066301C">
            <w:pPr>
              <w:rPr>
                <w:rFonts w:ascii="Arial" w:hAnsi="Arial" w:cs="Arial"/>
              </w:rPr>
            </w:pPr>
            <w:r w:rsidRPr="00B34014">
              <w:rPr>
                <w:rFonts w:ascii="Arial" w:hAnsi="Arial" w:cs="Arial"/>
              </w:rPr>
              <w:t>USA</w:t>
            </w:r>
          </w:p>
        </w:tc>
        <w:tc>
          <w:tcPr>
            <w:tcW w:w="1701" w:type="dxa"/>
          </w:tcPr>
          <w:p w14:paraId="55DFA2CA" w14:textId="77777777" w:rsidR="00FD4898" w:rsidRPr="00B34014" w:rsidRDefault="00FD4898" w:rsidP="0066301C">
            <w:pPr>
              <w:jc w:val="center"/>
              <w:rPr>
                <w:rFonts w:ascii="Arial" w:hAnsi="Arial" w:cs="Arial"/>
              </w:rPr>
            </w:pPr>
            <w:r w:rsidRPr="00B34014">
              <w:rPr>
                <w:rFonts w:ascii="Arial" w:hAnsi="Arial" w:cs="Arial"/>
              </w:rPr>
              <w:t>4.528</w:t>
            </w:r>
          </w:p>
        </w:tc>
        <w:tc>
          <w:tcPr>
            <w:tcW w:w="1503" w:type="dxa"/>
          </w:tcPr>
          <w:p w14:paraId="7F750C1A" w14:textId="77777777" w:rsidR="00FD4898" w:rsidRPr="00B34014" w:rsidRDefault="00FD4898" w:rsidP="0066301C">
            <w:pPr>
              <w:jc w:val="center"/>
              <w:rPr>
                <w:rFonts w:ascii="Arial" w:hAnsi="Arial" w:cs="Arial"/>
              </w:rPr>
            </w:pPr>
            <w:r w:rsidRPr="00B34014">
              <w:rPr>
                <w:rFonts w:ascii="Arial" w:hAnsi="Arial" w:cs="Arial"/>
              </w:rPr>
              <w:t>3.23</w:t>
            </w:r>
          </w:p>
        </w:tc>
        <w:tc>
          <w:tcPr>
            <w:tcW w:w="1757" w:type="dxa"/>
          </w:tcPr>
          <w:p w14:paraId="485E30CA" w14:textId="77777777" w:rsidR="00FD4898" w:rsidRPr="00B34014" w:rsidRDefault="00FD4898" w:rsidP="0066301C">
            <w:pPr>
              <w:jc w:val="center"/>
              <w:rPr>
                <w:rFonts w:ascii="Arial" w:hAnsi="Arial" w:cs="Arial"/>
              </w:rPr>
            </w:pPr>
            <w:r w:rsidRPr="00B34014">
              <w:rPr>
                <w:rFonts w:ascii="Arial" w:hAnsi="Arial" w:cs="Arial"/>
              </w:rPr>
              <w:t>4.35</w:t>
            </w:r>
          </w:p>
        </w:tc>
        <w:tc>
          <w:tcPr>
            <w:tcW w:w="2127" w:type="dxa"/>
          </w:tcPr>
          <w:p w14:paraId="60828C39" w14:textId="77777777" w:rsidR="00FD4898" w:rsidRPr="00B34014" w:rsidRDefault="00FD4898" w:rsidP="0066301C">
            <w:pPr>
              <w:rPr>
                <w:rFonts w:ascii="Arial" w:hAnsi="Arial" w:cs="Arial"/>
              </w:rPr>
            </w:pPr>
            <w:r w:rsidRPr="00B34014">
              <w:rPr>
                <w:rFonts w:ascii="Arial" w:hAnsi="Arial" w:cs="Arial"/>
              </w:rPr>
              <w:t>Cointegration</w:t>
            </w:r>
          </w:p>
        </w:tc>
      </w:tr>
    </w:tbl>
    <w:p w14:paraId="73591222" w14:textId="07BAB506" w:rsidR="00FD4898" w:rsidRPr="004F2D76" w:rsidRDefault="00FD4898" w:rsidP="0066301C">
      <w:pPr>
        <w:autoSpaceDE w:val="0"/>
        <w:autoSpaceDN w:val="0"/>
        <w:adjustRightInd w:val="0"/>
        <w:spacing w:after="0" w:line="240" w:lineRule="auto"/>
        <w:rPr>
          <w:rFonts w:ascii="Arial" w:hAnsi="Arial" w:cs="Arial"/>
          <w:iCs/>
          <w:sz w:val="20"/>
          <w:szCs w:val="20"/>
        </w:rPr>
      </w:pPr>
      <w:r w:rsidRPr="00EC16EC">
        <w:rPr>
          <w:rFonts w:ascii="Arial" w:hAnsi="Arial" w:cs="Arial"/>
          <w:i/>
          <w:sz w:val="20"/>
          <w:szCs w:val="20"/>
        </w:rPr>
        <w:t xml:space="preserve">Source: </w:t>
      </w:r>
      <w:r w:rsidRPr="004F2D76">
        <w:rPr>
          <w:rFonts w:ascii="Arial" w:hAnsi="Arial" w:cs="Arial"/>
          <w:iCs/>
          <w:sz w:val="20"/>
          <w:szCs w:val="20"/>
        </w:rPr>
        <w:t>Computation from time-series data using EViews 12</w:t>
      </w:r>
    </w:p>
    <w:p w14:paraId="20BF68D2" w14:textId="62464001" w:rsidR="00FD4898" w:rsidRDefault="00FD4898" w:rsidP="0066301C">
      <w:pPr>
        <w:autoSpaceDE w:val="0"/>
        <w:autoSpaceDN w:val="0"/>
        <w:adjustRightInd w:val="0"/>
        <w:spacing w:line="240" w:lineRule="auto"/>
        <w:rPr>
          <w:rFonts w:ascii="Arial" w:hAnsi="Arial" w:cs="Arial"/>
          <w:i/>
          <w:iCs/>
          <w:sz w:val="20"/>
          <w:szCs w:val="20"/>
        </w:rPr>
      </w:pPr>
      <w:r w:rsidRPr="004F2D76">
        <w:rPr>
          <w:rFonts w:ascii="Arial" w:hAnsi="Arial" w:cs="Arial"/>
          <w:i/>
          <w:iCs/>
          <w:sz w:val="20"/>
          <w:szCs w:val="20"/>
        </w:rPr>
        <w:t>Note</w:t>
      </w:r>
      <w:r w:rsidRPr="00FD4898">
        <w:rPr>
          <w:rFonts w:ascii="Arial" w:hAnsi="Arial" w:cs="Arial"/>
          <w:sz w:val="20"/>
          <w:szCs w:val="20"/>
        </w:rPr>
        <w:t xml:space="preserve">: </w:t>
      </w:r>
      <w:r w:rsidR="00EB72CB">
        <w:rPr>
          <w:rFonts w:ascii="Arial" w:hAnsi="Arial" w:cs="Arial"/>
          <w:sz w:val="20"/>
          <w:szCs w:val="20"/>
        </w:rPr>
        <w:t>with LNTB being the dependent variable, a</w:t>
      </w:r>
      <w:r w:rsidRPr="00FD4898">
        <w:rPr>
          <w:rFonts w:ascii="Arial" w:hAnsi="Arial" w:cs="Arial"/>
          <w:sz w:val="20"/>
          <w:szCs w:val="20"/>
        </w:rPr>
        <w:t xml:space="preserve"> model is cointegrated once the computed </w:t>
      </w:r>
      <w:r w:rsidRPr="00FD4898">
        <w:rPr>
          <w:rFonts w:ascii="Arial" w:hAnsi="Arial" w:cs="Arial"/>
          <w:i/>
          <w:iCs/>
          <w:sz w:val="20"/>
          <w:szCs w:val="20"/>
        </w:rPr>
        <w:t>F-</w:t>
      </w:r>
      <w:r w:rsidRPr="00FD4898">
        <w:rPr>
          <w:rFonts w:ascii="Arial" w:hAnsi="Arial" w:cs="Arial"/>
          <w:sz w:val="20"/>
          <w:szCs w:val="20"/>
        </w:rPr>
        <w:t xml:space="preserve">statistic </w:t>
      </w:r>
      <w:r w:rsidRPr="004F2D76">
        <w:rPr>
          <w:rFonts w:ascii="Arial" w:hAnsi="Arial" w:cs="Arial"/>
          <w:sz w:val="20"/>
          <w:szCs w:val="20"/>
        </w:rPr>
        <w:t>exceeds the upper critical bounds value</w:t>
      </w:r>
      <w:r>
        <w:rPr>
          <w:rFonts w:ascii="Arial" w:hAnsi="Arial" w:cs="Arial"/>
          <w:i/>
          <w:iCs/>
          <w:sz w:val="20"/>
          <w:szCs w:val="20"/>
        </w:rPr>
        <w:t>.</w:t>
      </w:r>
    </w:p>
    <w:bookmarkEnd w:id="457"/>
    <w:p w14:paraId="308F2679" w14:textId="71CB4C46" w:rsidR="004F2D76" w:rsidRPr="004724A7" w:rsidRDefault="008B56FF" w:rsidP="0066301C">
      <w:pPr>
        <w:autoSpaceDE w:val="0"/>
        <w:autoSpaceDN w:val="0"/>
        <w:adjustRightInd w:val="0"/>
        <w:spacing w:line="360" w:lineRule="auto"/>
        <w:jc w:val="both"/>
        <w:rPr>
          <w:rFonts w:ascii="Arial" w:hAnsi="Arial" w:cs="Arial"/>
        </w:rPr>
      </w:pPr>
      <w:r w:rsidRPr="004724A7">
        <w:rPr>
          <w:rFonts w:ascii="Arial" w:hAnsi="Arial" w:cs="Arial"/>
        </w:rPr>
        <w:t>The cointegration test results show that there exist</w:t>
      </w:r>
      <w:r w:rsidR="005265C0">
        <w:rPr>
          <w:rFonts w:ascii="Arial" w:hAnsi="Arial" w:cs="Arial"/>
        </w:rPr>
        <w:t>s</w:t>
      </w:r>
      <w:r w:rsidRPr="004724A7">
        <w:rPr>
          <w:rFonts w:ascii="Arial" w:hAnsi="Arial" w:cs="Arial"/>
        </w:rPr>
        <w:t xml:space="preserve"> cointegration among the variables in all the models but for Gabon-Korea model. </w:t>
      </w:r>
      <w:r w:rsidR="0046608F" w:rsidRPr="004724A7">
        <w:rPr>
          <w:rFonts w:ascii="Arial" w:hAnsi="Arial" w:cs="Arial"/>
        </w:rPr>
        <w:t>H</w:t>
      </w:r>
      <w:r w:rsidRPr="004724A7">
        <w:rPr>
          <w:rFonts w:ascii="Arial" w:hAnsi="Arial" w:cs="Arial"/>
        </w:rPr>
        <w:t>ow</w:t>
      </w:r>
      <w:r w:rsidR="0046608F" w:rsidRPr="004724A7">
        <w:rPr>
          <w:rFonts w:ascii="Arial" w:hAnsi="Arial" w:cs="Arial"/>
        </w:rPr>
        <w:t xml:space="preserve">ever, this does not imply that the cointegration is between LNTB and LNREER. (i.e., the cointegration could be among the other variables used in the model). </w:t>
      </w:r>
      <w:r w:rsidR="002421E4" w:rsidRPr="004724A7">
        <w:rPr>
          <w:rFonts w:ascii="Arial" w:hAnsi="Arial" w:cs="Arial"/>
        </w:rPr>
        <w:t>However</w:t>
      </w:r>
      <w:r w:rsidR="0046608F" w:rsidRPr="004724A7">
        <w:rPr>
          <w:rFonts w:ascii="Arial" w:hAnsi="Arial" w:cs="Arial"/>
        </w:rPr>
        <w:t xml:space="preserve">, our focus in this chapter is to look for the presence of the </w:t>
      </w:r>
      <w:r w:rsidR="0046608F" w:rsidRPr="004724A7">
        <w:rPr>
          <w:rFonts w:ascii="Arial" w:hAnsi="Arial" w:cs="Arial"/>
          <w:i/>
          <w:iCs/>
        </w:rPr>
        <w:t>J-</w:t>
      </w:r>
      <w:r w:rsidR="0046608F" w:rsidRPr="004724A7">
        <w:rPr>
          <w:rFonts w:ascii="Arial" w:hAnsi="Arial" w:cs="Arial"/>
        </w:rPr>
        <w:t>curve</w:t>
      </w:r>
      <w:r w:rsidR="00AF1317">
        <w:rPr>
          <w:rFonts w:ascii="Arial" w:hAnsi="Arial" w:cs="Arial"/>
        </w:rPr>
        <w:t>,</w:t>
      </w:r>
      <w:r w:rsidR="0046608F" w:rsidRPr="004724A7">
        <w:rPr>
          <w:rFonts w:ascii="Arial" w:hAnsi="Arial" w:cs="Arial"/>
        </w:rPr>
        <w:t xml:space="preserve"> which is a function of the relationship between L</w:t>
      </w:r>
      <w:r w:rsidR="002421E4" w:rsidRPr="004724A7">
        <w:rPr>
          <w:rFonts w:ascii="Arial" w:hAnsi="Arial" w:cs="Arial"/>
        </w:rPr>
        <w:t>NTB and LNREER</w:t>
      </w:r>
      <w:r w:rsidR="00AF1317">
        <w:rPr>
          <w:rFonts w:ascii="Arial" w:hAnsi="Arial" w:cs="Arial"/>
        </w:rPr>
        <w:t>.</w:t>
      </w:r>
    </w:p>
    <w:p w14:paraId="4C61D279" w14:textId="3D903DB9" w:rsidR="00A54267" w:rsidRPr="003F0A6D" w:rsidRDefault="00DC6B1F" w:rsidP="0066301C">
      <w:pPr>
        <w:autoSpaceDE w:val="0"/>
        <w:autoSpaceDN w:val="0"/>
        <w:adjustRightInd w:val="0"/>
        <w:spacing w:line="360" w:lineRule="auto"/>
        <w:jc w:val="both"/>
        <w:rPr>
          <w:rFonts w:ascii="Arial" w:hAnsi="Arial" w:cs="Arial"/>
          <w:color w:val="FF0000"/>
          <w:lang w:val="en-US"/>
        </w:rPr>
      </w:pPr>
      <w:r w:rsidRPr="004724A7">
        <w:rPr>
          <w:rFonts w:ascii="Arial" w:hAnsi="Arial" w:cs="Arial"/>
        </w:rPr>
        <w:t xml:space="preserve">The presence of the </w:t>
      </w:r>
      <w:r w:rsidRPr="004724A7">
        <w:rPr>
          <w:rFonts w:ascii="Arial" w:hAnsi="Arial" w:cs="Arial"/>
          <w:i/>
          <w:iCs/>
        </w:rPr>
        <w:t>J-</w:t>
      </w:r>
      <w:r w:rsidRPr="004724A7">
        <w:rPr>
          <w:rFonts w:ascii="Arial" w:hAnsi="Arial" w:cs="Arial"/>
        </w:rPr>
        <w:t xml:space="preserve">curve is justified when the coefficient of LNREER is positive and statistically significant in the long run, while the short run coefficient of LNREER is negative and statistically significant (i.e., the </w:t>
      </w:r>
      <w:r w:rsidRPr="004724A7">
        <w:rPr>
          <w:rFonts w:ascii="Arial" w:hAnsi="Arial" w:cs="Arial"/>
          <w:i/>
          <w:iCs/>
        </w:rPr>
        <w:t>t-</w:t>
      </w:r>
      <w:r w:rsidRPr="004724A7">
        <w:rPr>
          <w:rFonts w:ascii="Arial" w:hAnsi="Arial" w:cs="Arial"/>
        </w:rPr>
        <w:t>statistics</w:t>
      </w:r>
      <w:r w:rsidR="002421E4" w:rsidRPr="004724A7">
        <w:rPr>
          <w:rFonts w:ascii="Arial" w:hAnsi="Arial" w:cs="Arial"/>
        </w:rPr>
        <w:t xml:space="preserve"> </w:t>
      </w:r>
      <w:r w:rsidR="002421E4" w:rsidRPr="004724A7">
        <w:rPr>
          <w:rFonts w:ascii="Arial" w:hAnsi="Arial" w:cs="Arial"/>
          <w:lang w:val="en-US"/>
        </w:rPr>
        <w:t xml:space="preserve">≥ </w:t>
      </w:r>
      <w:r w:rsidR="006F6D01" w:rsidRPr="004724A7">
        <w:rPr>
          <w:rFonts w:ascii="Arial" w:hAnsi="Arial" w:cs="Arial"/>
          <w:lang w:val="en-US"/>
        </w:rPr>
        <w:t>|</w:t>
      </w:r>
      <w:r w:rsidR="002421E4" w:rsidRPr="004724A7">
        <w:rPr>
          <w:rFonts w:ascii="Arial" w:hAnsi="Arial" w:cs="Arial"/>
          <w:lang w:val="en-US"/>
        </w:rPr>
        <w:t>2</w:t>
      </w:r>
      <w:r w:rsidR="006F6D01" w:rsidRPr="004724A7">
        <w:rPr>
          <w:rFonts w:ascii="Arial" w:hAnsi="Arial" w:cs="Arial"/>
          <w:lang w:val="en-US"/>
        </w:rPr>
        <w:t>|</w:t>
      </w:r>
      <w:r w:rsidR="000C490E" w:rsidRPr="004724A7">
        <w:rPr>
          <w:rFonts w:ascii="Arial" w:hAnsi="Arial" w:cs="Arial"/>
        </w:rPr>
        <w:t>)</w:t>
      </w:r>
      <w:r w:rsidRPr="004724A7">
        <w:rPr>
          <w:rFonts w:ascii="Arial" w:hAnsi="Arial" w:cs="Arial"/>
        </w:rPr>
        <w:t xml:space="preserve">. </w:t>
      </w:r>
      <w:r w:rsidR="00482F81" w:rsidRPr="004724A7">
        <w:rPr>
          <w:rFonts w:ascii="Arial" w:hAnsi="Arial" w:cs="Arial"/>
          <w:lang w:val="en-US"/>
        </w:rPr>
        <w:t xml:space="preserve">This is achieved when the </w:t>
      </w:r>
      <w:r w:rsidR="000068EC" w:rsidRPr="004724A7">
        <w:rPr>
          <w:rFonts w:ascii="Arial" w:hAnsi="Arial" w:cs="Arial"/>
          <w:lang w:val="en-US"/>
        </w:rPr>
        <w:t xml:space="preserve">coefficient of the </w:t>
      </w:r>
      <w:r w:rsidR="00482F81" w:rsidRPr="004724A7">
        <w:rPr>
          <w:rFonts w:ascii="Arial" w:hAnsi="Arial" w:cs="Arial"/>
          <w:lang w:val="en-US"/>
        </w:rPr>
        <w:t xml:space="preserve">error correction term (ECT) of the model is negative (with LNTB being the target variable) and statistically significant (with the </w:t>
      </w:r>
      <w:r w:rsidR="00482F81" w:rsidRPr="004724A7">
        <w:rPr>
          <w:rFonts w:ascii="Arial" w:hAnsi="Arial" w:cs="Arial"/>
          <w:i/>
          <w:iCs/>
          <w:lang w:val="en-US"/>
        </w:rPr>
        <w:t>t-</w:t>
      </w:r>
      <w:r w:rsidR="00482F81" w:rsidRPr="004724A7">
        <w:rPr>
          <w:rFonts w:ascii="Arial" w:hAnsi="Arial" w:cs="Arial"/>
          <w:lang w:val="en-US"/>
        </w:rPr>
        <w:t xml:space="preserve">stat ≥ </w:t>
      </w:r>
      <w:r w:rsidR="006F6D01" w:rsidRPr="004724A7">
        <w:rPr>
          <w:rFonts w:ascii="Arial" w:hAnsi="Arial" w:cs="Arial"/>
          <w:lang w:val="en-US"/>
        </w:rPr>
        <w:t>|</w:t>
      </w:r>
      <w:r w:rsidR="00482F81" w:rsidRPr="004724A7">
        <w:rPr>
          <w:rFonts w:ascii="Arial" w:hAnsi="Arial" w:cs="Arial"/>
          <w:lang w:val="en-US"/>
        </w:rPr>
        <w:t>2</w:t>
      </w:r>
      <w:r w:rsidR="006F6D01" w:rsidRPr="004724A7">
        <w:rPr>
          <w:rFonts w:ascii="Arial" w:hAnsi="Arial" w:cs="Arial"/>
          <w:lang w:val="en-US"/>
        </w:rPr>
        <w:t>|</w:t>
      </w:r>
      <w:r w:rsidR="00482F81" w:rsidRPr="004724A7">
        <w:rPr>
          <w:rFonts w:ascii="Arial" w:hAnsi="Arial" w:cs="Arial"/>
          <w:lang w:val="en-US"/>
        </w:rPr>
        <w:t xml:space="preserve">, and the </w:t>
      </w:r>
      <w:r w:rsidR="00482F81" w:rsidRPr="004724A7">
        <w:rPr>
          <w:rFonts w:ascii="Arial" w:hAnsi="Arial" w:cs="Arial"/>
          <w:i/>
          <w:iCs/>
          <w:lang w:val="en-US"/>
        </w:rPr>
        <w:t>p-</w:t>
      </w:r>
      <w:r w:rsidR="00482F81" w:rsidRPr="004724A7">
        <w:rPr>
          <w:rFonts w:ascii="Arial" w:hAnsi="Arial" w:cs="Arial"/>
          <w:lang w:val="en-US"/>
        </w:rPr>
        <w:t>value &lt; 0.05).</w:t>
      </w:r>
      <w:r w:rsidR="00482F81" w:rsidRPr="004724A7">
        <w:rPr>
          <w:rStyle w:val="FootnoteReference"/>
          <w:rFonts w:ascii="Arial" w:hAnsi="Arial" w:cs="Arial"/>
          <w:lang w:val="en-US"/>
        </w:rPr>
        <w:footnoteReference w:id="115"/>
      </w:r>
      <w:r w:rsidR="00482F81" w:rsidRPr="004724A7">
        <w:rPr>
          <w:rFonts w:ascii="Arial" w:hAnsi="Arial" w:cs="Arial"/>
          <w:lang w:val="en-US"/>
        </w:rPr>
        <w:t xml:space="preserve"> This will mean that a shock in the LNREER will cause LNTB to deviate in the short-term before recovering and/or </w:t>
      </w:r>
      <w:r w:rsidR="00482F81" w:rsidRPr="004724A7">
        <w:rPr>
          <w:rFonts w:ascii="Arial" w:hAnsi="Arial" w:cs="Arial"/>
          <w:lang w:val="en-US"/>
        </w:rPr>
        <w:lastRenderedPageBreak/>
        <w:t>moving to the opposite direction in the long-term.</w:t>
      </w:r>
      <w:r w:rsidR="00145513" w:rsidRPr="004724A7">
        <w:rPr>
          <w:rFonts w:ascii="Arial" w:hAnsi="Arial" w:cs="Arial"/>
          <w:lang w:val="en-US"/>
        </w:rPr>
        <w:t xml:space="preserve"> Thus, necessitating a check of both the long</w:t>
      </w:r>
      <w:r w:rsidR="00707833">
        <w:rPr>
          <w:rFonts w:ascii="Arial" w:hAnsi="Arial" w:cs="Arial"/>
          <w:lang w:val="en-US"/>
        </w:rPr>
        <w:t>-</w:t>
      </w:r>
      <w:r w:rsidR="00145513" w:rsidRPr="004724A7">
        <w:rPr>
          <w:rFonts w:ascii="Arial" w:hAnsi="Arial" w:cs="Arial"/>
          <w:lang w:val="en-US"/>
        </w:rPr>
        <w:t>run and short</w:t>
      </w:r>
      <w:r w:rsidR="00707833">
        <w:rPr>
          <w:rFonts w:ascii="Arial" w:hAnsi="Arial" w:cs="Arial"/>
          <w:lang w:val="en-US"/>
        </w:rPr>
        <w:t>-</w:t>
      </w:r>
      <w:r w:rsidR="00145513" w:rsidRPr="004724A7">
        <w:rPr>
          <w:rFonts w:ascii="Arial" w:hAnsi="Arial" w:cs="Arial"/>
          <w:lang w:val="en-US"/>
        </w:rPr>
        <w:t>run relationship</w:t>
      </w:r>
      <w:r w:rsidR="00145513" w:rsidRPr="004724A7">
        <w:rPr>
          <w:rFonts w:ascii="Arial" w:hAnsi="Arial" w:cs="Arial"/>
          <w:color w:val="FF0000"/>
          <w:lang w:val="en-US"/>
        </w:rPr>
        <w:t>.</w:t>
      </w:r>
    </w:p>
    <w:p w14:paraId="6D331887" w14:textId="05F573CA" w:rsidR="00A54267" w:rsidRPr="00145513" w:rsidRDefault="003F1379" w:rsidP="0066301C">
      <w:pPr>
        <w:pStyle w:val="Heading3"/>
        <w:numPr>
          <w:ilvl w:val="0"/>
          <w:numId w:val="0"/>
        </w:numPr>
        <w:spacing w:before="0" w:beforeAutospacing="0"/>
        <w:rPr>
          <w:lang w:val="en-US"/>
        </w:rPr>
      </w:pPr>
      <w:bookmarkStart w:id="458" w:name="_Toc171075415"/>
      <w:r>
        <w:rPr>
          <w:lang w:val="en-US" w:eastAsia="en-GB"/>
        </w:rPr>
        <w:t>4</w:t>
      </w:r>
      <w:r w:rsidR="00FF5D93" w:rsidRPr="00A817E8">
        <w:rPr>
          <w:lang w:val="en-US" w:eastAsia="en-GB"/>
        </w:rPr>
        <w:t>.</w:t>
      </w:r>
      <w:r w:rsidR="00C41E76">
        <w:rPr>
          <w:lang w:val="en-US" w:eastAsia="en-GB"/>
        </w:rPr>
        <w:t>6</w:t>
      </w:r>
      <w:r w:rsidR="00FF5D93" w:rsidRPr="00A817E8">
        <w:rPr>
          <w:lang w:val="en-US" w:eastAsia="en-GB"/>
        </w:rPr>
        <w:t>.</w:t>
      </w:r>
      <w:r w:rsidR="008658DE">
        <w:rPr>
          <w:lang w:val="en-US" w:eastAsia="en-GB"/>
        </w:rPr>
        <w:t>5</w:t>
      </w:r>
      <w:r w:rsidR="00C41E76">
        <w:rPr>
          <w:lang w:val="en-US" w:eastAsia="en-GB"/>
        </w:rPr>
        <w:tab/>
      </w:r>
      <w:r w:rsidR="00FF5D93">
        <w:rPr>
          <w:lang w:val="en-US" w:eastAsia="en-GB"/>
        </w:rPr>
        <w:t>LONG-RUN AND SHORT-RUN RELATIONSHIP BETWEEN LNTB AND LNREER</w:t>
      </w:r>
      <w:bookmarkEnd w:id="458"/>
    </w:p>
    <w:p w14:paraId="746DD046" w14:textId="6D54A528" w:rsidR="00E27F8E" w:rsidRDefault="00E57402" w:rsidP="0066301C">
      <w:pPr>
        <w:spacing w:after="200" w:line="360" w:lineRule="auto"/>
        <w:jc w:val="both"/>
        <w:rPr>
          <w:rFonts w:ascii="Arial" w:hAnsi="Arial" w:cs="Arial"/>
          <w:color w:val="000000"/>
        </w:rPr>
      </w:pPr>
      <w:bookmarkStart w:id="459" w:name="_Hlk139933891"/>
      <w:r>
        <w:rPr>
          <w:rFonts w:ascii="Arial" w:hAnsi="Arial" w:cs="Arial"/>
        </w:rPr>
        <w:t>We use t</w:t>
      </w:r>
      <w:r w:rsidR="00501F62" w:rsidRPr="00515944">
        <w:rPr>
          <w:rFonts w:ascii="Arial" w:hAnsi="Arial" w:cs="Arial"/>
        </w:rPr>
        <w:t xml:space="preserve">he </w:t>
      </w:r>
      <w:r w:rsidR="00501F62">
        <w:rPr>
          <w:rFonts w:ascii="Arial" w:hAnsi="Arial" w:cs="Arial"/>
        </w:rPr>
        <w:t>ARDL</w:t>
      </w:r>
      <w:r w:rsidR="000A356A">
        <w:rPr>
          <w:rFonts w:ascii="Arial" w:hAnsi="Arial" w:cs="Arial"/>
        </w:rPr>
        <w:t xml:space="preserve"> model</w:t>
      </w:r>
      <w:r w:rsidR="00501F62" w:rsidRPr="00515944">
        <w:rPr>
          <w:rFonts w:ascii="Arial" w:hAnsi="Arial" w:cs="Arial"/>
        </w:rPr>
        <w:t xml:space="preserve"> results o</w:t>
      </w:r>
      <w:r w:rsidR="00C50F01">
        <w:rPr>
          <w:rFonts w:ascii="Arial" w:hAnsi="Arial" w:cs="Arial"/>
        </w:rPr>
        <w:t>f</w:t>
      </w:r>
      <w:r w:rsidR="00501F62" w:rsidRPr="00515944">
        <w:rPr>
          <w:rFonts w:ascii="Arial" w:hAnsi="Arial" w:cs="Arial"/>
        </w:rPr>
        <w:t xml:space="preserve"> the relationship between </w:t>
      </w:r>
      <w:r w:rsidR="00501F62">
        <w:rPr>
          <w:rFonts w:ascii="Arial" w:hAnsi="Arial" w:cs="Arial"/>
        </w:rPr>
        <w:t>CEMAC nations</w:t>
      </w:r>
      <w:r w:rsidR="00501F62" w:rsidRPr="00515944">
        <w:rPr>
          <w:rFonts w:ascii="Arial" w:hAnsi="Arial" w:cs="Arial"/>
        </w:rPr>
        <w:t xml:space="preserve"> with </w:t>
      </w:r>
      <w:r w:rsidR="00D42559">
        <w:rPr>
          <w:rFonts w:ascii="Arial" w:hAnsi="Arial" w:cs="Arial"/>
        </w:rPr>
        <w:t>their</w:t>
      </w:r>
      <w:r w:rsidR="00501F62" w:rsidRPr="00515944">
        <w:rPr>
          <w:rFonts w:ascii="Arial" w:hAnsi="Arial" w:cs="Arial"/>
        </w:rPr>
        <w:t xml:space="preserve"> trade partners</w:t>
      </w:r>
      <w:r w:rsidR="000A356A">
        <w:rPr>
          <w:rFonts w:ascii="Arial" w:hAnsi="Arial" w:cs="Arial"/>
        </w:rPr>
        <w:t xml:space="preserve"> </w:t>
      </w:r>
      <w:r>
        <w:rPr>
          <w:rFonts w:ascii="Arial" w:hAnsi="Arial" w:cs="Arial"/>
        </w:rPr>
        <w:t xml:space="preserve">to investigate the presence of the </w:t>
      </w:r>
      <w:r w:rsidRPr="57585719">
        <w:rPr>
          <w:rFonts w:ascii="Arial" w:hAnsi="Arial" w:cs="Arial"/>
          <w:i/>
          <w:iCs/>
        </w:rPr>
        <w:t>J-</w:t>
      </w:r>
      <w:r>
        <w:rPr>
          <w:rFonts w:ascii="Arial" w:hAnsi="Arial" w:cs="Arial"/>
        </w:rPr>
        <w:t xml:space="preserve">curve </w:t>
      </w:r>
      <w:r w:rsidRPr="00E27F8E">
        <w:rPr>
          <w:rFonts w:ascii="Arial" w:hAnsi="Arial" w:cs="Arial"/>
        </w:rPr>
        <w:t>as</w:t>
      </w:r>
      <w:r w:rsidR="000A356A" w:rsidRPr="00E27F8E">
        <w:rPr>
          <w:rFonts w:ascii="Arial" w:hAnsi="Arial" w:cs="Arial"/>
        </w:rPr>
        <w:t xml:space="preserve"> presented on table </w:t>
      </w:r>
      <w:r w:rsidR="00665510" w:rsidRPr="00E27F8E">
        <w:rPr>
          <w:rFonts w:ascii="Arial" w:hAnsi="Arial" w:cs="Arial"/>
        </w:rPr>
        <w:t>4</w:t>
      </w:r>
      <w:r w:rsidR="000A356A" w:rsidRPr="00E27F8E">
        <w:rPr>
          <w:rFonts w:ascii="Arial" w:hAnsi="Arial" w:cs="Arial"/>
        </w:rPr>
        <w:t>.</w:t>
      </w:r>
      <w:r w:rsidR="00B6495A" w:rsidRPr="00E27F8E">
        <w:rPr>
          <w:rFonts w:ascii="Arial" w:hAnsi="Arial" w:cs="Arial"/>
        </w:rPr>
        <w:t>5</w:t>
      </w:r>
      <w:r w:rsidR="000A356A" w:rsidRPr="00E27F8E">
        <w:rPr>
          <w:rFonts w:ascii="Arial" w:hAnsi="Arial" w:cs="Arial"/>
        </w:rPr>
        <w:t xml:space="preserve"> </w:t>
      </w:r>
      <w:r w:rsidR="00E27F8E" w:rsidRPr="00E27F8E">
        <w:rPr>
          <w:rFonts w:ascii="Arial" w:hAnsi="Arial" w:cs="Arial"/>
        </w:rPr>
        <w:t>below.</w:t>
      </w:r>
      <w:r w:rsidR="00FF5D93">
        <w:rPr>
          <w:rFonts w:ascii="Arial" w:hAnsi="Arial" w:cs="Arial"/>
        </w:rPr>
        <w:t xml:space="preserve"> The table is segmented into the three CEMAC nations</w:t>
      </w:r>
      <w:r w:rsidR="00985FB3">
        <w:rPr>
          <w:rFonts w:ascii="Arial" w:hAnsi="Arial" w:cs="Arial"/>
        </w:rPr>
        <w:t>, showing the relationship among the variable</w:t>
      </w:r>
      <w:r>
        <w:rPr>
          <w:rFonts w:ascii="Arial" w:hAnsi="Arial" w:cs="Arial"/>
        </w:rPr>
        <w:t>s</w:t>
      </w:r>
      <w:r w:rsidR="00985FB3">
        <w:rPr>
          <w:rFonts w:ascii="Arial" w:hAnsi="Arial" w:cs="Arial"/>
        </w:rPr>
        <w:t xml:space="preserve"> in each trade relationship (i.e., between each of the CEMAC nations and their individual trade partners). The individual models show both the long</w:t>
      </w:r>
      <w:r w:rsidR="00760D02">
        <w:rPr>
          <w:rFonts w:ascii="Arial" w:hAnsi="Arial" w:cs="Arial"/>
        </w:rPr>
        <w:t>-</w:t>
      </w:r>
      <w:r w:rsidR="00985FB3">
        <w:rPr>
          <w:rFonts w:ascii="Arial" w:hAnsi="Arial" w:cs="Arial"/>
        </w:rPr>
        <w:t>run and the short</w:t>
      </w:r>
      <w:r w:rsidR="00760D02">
        <w:rPr>
          <w:rFonts w:ascii="Arial" w:hAnsi="Arial" w:cs="Arial"/>
        </w:rPr>
        <w:t>-</w:t>
      </w:r>
      <w:r w:rsidR="00985FB3">
        <w:rPr>
          <w:rFonts w:ascii="Arial" w:hAnsi="Arial" w:cs="Arial"/>
        </w:rPr>
        <w:t>run relationship among the variables.</w:t>
      </w:r>
      <w:r w:rsidR="00290148">
        <w:rPr>
          <w:rFonts w:ascii="Arial" w:hAnsi="Arial" w:cs="Arial"/>
        </w:rPr>
        <w:t xml:space="preserve"> A panoramic</w:t>
      </w:r>
      <w:r w:rsidR="00985FB3">
        <w:rPr>
          <w:rFonts w:ascii="Arial" w:hAnsi="Arial" w:cs="Arial"/>
        </w:rPr>
        <w:t xml:space="preserve"> </w:t>
      </w:r>
      <w:r w:rsidR="00290148">
        <w:rPr>
          <w:rFonts w:ascii="Arial" w:hAnsi="Arial" w:cs="Arial"/>
        </w:rPr>
        <w:t xml:space="preserve">view of the results </w:t>
      </w:r>
      <w:r w:rsidR="00501F62" w:rsidRPr="00515944">
        <w:rPr>
          <w:rFonts w:ascii="Arial" w:hAnsi="Arial" w:cs="Arial"/>
        </w:rPr>
        <w:t>shows the presence of a long-term relationship between the dependent variable (LNTB) and the independent variable(s)</w:t>
      </w:r>
      <w:r w:rsidR="00290148">
        <w:rPr>
          <w:rFonts w:ascii="Arial" w:hAnsi="Arial" w:cs="Arial"/>
        </w:rPr>
        <w:t xml:space="preserve"> for </w:t>
      </w:r>
      <w:r w:rsidR="00403B94">
        <w:rPr>
          <w:rFonts w:ascii="Arial" w:hAnsi="Arial" w:cs="Arial"/>
        </w:rPr>
        <w:t xml:space="preserve">some of </w:t>
      </w:r>
      <w:r w:rsidR="00290148">
        <w:rPr>
          <w:rFonts w:ascii="Arial" w:hAnsi="Arial" w:cs="Arial"/>
        </w:rPr>
        <w:t>the models</w:t>
      </w:r>
      <w:r w:rsidR="00501F62" w:rsidRPr="00515944">
        <w:rPr>
          <w:rFonts w:ascii="Arial" w:hAnsi="Arial" w:cs="Arial"/>
        </w:rPr>
        <w:t>.</w:t>
      </w:r>
      <w:r w:rsidR="00E64912">
        <w:rPr>
          <w:rStyle w:val="FootnoteReference"/>
          <w:rFonts w:ascii="Arial" w:hAnsi="Arial" w:cs="Arial"/>
        </w:rPr>
        <w:footnoteReference w:id="116"/>
      </w:r>
      <w:r w:rsidR="00497957">
        <w:rPr>
          <w:rFonts w:ascii="Arial" w:hAnsi="Arial" w:cs="Arial"/>
        </w:rPr>
        <w:t xml:space="preserve"> </w:t>
      </w:r>
      <w:r w:rsidR="00501F62" w:rsidRPr="00515944">
        <w:rPr>
          <w:rFonts w:ascii="Arial" w:hAnsi="Arial" w:cs="Arial"/>
        </w:rPr>
        <w:t xml:space="preserve">Nevertheless, this does not necessarily imply that the long-term relationship is between LNTB and LNREER. The long-term relationship could as well be between LNTB and any of the other independent variables (LNDI, LNFI). The </w:t>
      </w:r>
      <w:r w:rsidR="00501F62" w:rsidRPr="57585719">
        <w:rPr>
          <w:rFonts w:ascii="Arial" w:hAnsi="Arial" w:cs="Arial"/>
          <w:i/>
          <w:iCs/>
        </w:rPr>
        <w:t>J</w:t>
      </w:r>
      <w:r w:rsidR="00501F62" w:rsidRPr="00515944">
        <w:rPr>
          <w:rFonts w:ascii="Arial" w:hAnsi="Arial" w:cs="Arial"/>
        </w:rPr>
        <w:t xml:space="preserve">-curve is attained only when </w:t>
      </w:r>
      <w:r w:rsidR="00C50F01">
        <w:rPr>
          <w:rFonts w:ascii="Arial" w:hAnsi="Arial" w:cs="Arial"/>
        </w:rPr>
        <w:t xml:space="preserve">the coefficient of </w:t>
      </w:r>
      <w:r w:rsidR="00501F62" w:rsidRPr="00515944">
        <w:rPr>
          <w:rFonts w:ascii="Arial" w:hAnsi="Arial" w:cs="Arial"/>
        </w:rPr>
        <w:t>LNREER is negative in the short-term and then positive in the long-term</w:t>
      </w:r>
      <w:r w:rsidR="00C50F01">
        <w:rPr>
          <w:rFonts w:ascii="Arial" w:hAnsi="Arial" w:cs="Arial"/>
        </w:rPr>
        <w:t xml:space="preserve">, and statistically significant </w:t>
      </w:r>
      <w:r w:rsidR="00C50F01" w:rsidRPr="00F679C0">
        <w:rPr>
          <w:rFonts w:ascii="Arial" w:hAnsi="Arial" w:cs="Arial"/>
          <w:lang w:val="en-US"/>
        </w:rPr>
        <w:t xml:space="preserve">(with the </w:t>
      </w:r>
      <w:r w:rsidR="00C50F01" w:rsidRPr="57585719">
        <w:rPr>
          <w:rFonts w:ascii="Arial" w:hAnsi="Arial" w:cs="Arial"/>
          <w:i/>
          <w:iCs/>
          <w:lang w:val="en-US"/>
        </w:rPr>
        <w:t>t-</w:t>
      </w:r>
      <w:r w:rsidR="00C50F01" w:rsidRPr="00F679C0">
        <w:rPr>
          <w:rFonts w:ascii="Arial" w:hAnsi="Arial" w:cs="Arial"/>
          <w:lang w:val="en-US"/>
        </w:rPr>
        <w:t xml:space="preserve">stat ≥ </w:t>
      </w:r>
      <w:r w:rsidR="003835BE" w:rsidRPr="003835BE">
        <w:rPr>
          <w:rFonts w:ascii="Arial" w:hAnsi="Arial" w:cs="Arial"/>
          <w:lang w:val="en-US"/>
        </w:rPr>
        <w:t>|2|</w:t>
      </w:r>
      <w:r w:rsidR="00C50F01" w:rsidRPr="003835BE">
        <w:rPr>
          <w:rFonts w:ascii="Arial" w:hAnsi="Arial" w:cs="Arial"/>
          <w:lang w:val="en-US"/>
        </w:rPr>
        <w:t>,</w:t>
      </w:r>
      <w:r w:rsidR="00C50F01" w:rsidRPr="00F679C0">
        <w:rPr>
          <w:rFonts w:ascii="Arial" w:hAnsi="Arial" w:cs="Arial"/>
          <w:lang w:val="en-US"/>
        </w:rPr>
        <w:t xml:space="preserve"> and the </w:t>
      </w:r>
      <w:r w:rsidR="00C50F01" w:rsidRPr="57585719">
        <w:rPr>
          <w:rFonts w:ascii="Arial" w:hAnsi="Arial" w:cs="Arial"/>
          <w:i/>
          <w:iCs/>
          <w:lang w:val="en-US"/>
        </w:rPr>
        <w:t>p-</w:t>
      </w:r>
      <w:r w:rsidR="00C50F01">
        <w:rPr>
          <w:rFonts w:ascii="Arial" w:hAnsi="Arial" w:cs="Arial"/>
          <w:lang w:val="en-US"/>
        </w:rPr>
        <w:t>value</w:t>
      </w:r>
      <w:r w:rsidR="00C50F01" w:rsidRPr="00F679C0">
        <w:rPr>
          <w:rFonts w:ascii="Arial" w:hAnsi="Arial" w:cs="Arial"/>
          <w:lang w:val="en-US"/>
        </w:rPr>
        <w:t xml:space="preserve"> &lt; 0.05).</w:t>
      </w:r>
      <w:r w:rsidR="00501F62" w:rsidRPr="00515944">
        <w:rPr>
          <w:rFonts w:ascii="Arial" w:hAnsi="Arial" w:cs="Arial"/>
        </w:rPr>
        <w:t xml:space="preserve"> </w:t>
      </w:r>
      <w:r>
        <w:rPr>
          <w:rFonts w:ascii="Arial" w:hAnsi="Arial" w:cs="Arial"/>
        </w:rPr>
        <w:t>This</w:t>
      </w:r>
      <w:r w:rsidR="00501F62" w:rsidRPr="00F679C0">
        <w:rPr>
          <w:rFonts w:ascii="Arial" w:hAnsi="Arial" w:cs="Arial"/>
        </w:rPr>
        <w:t xml:space="preserve"> means that after a shock in LNREER (devaluation), the value of the LNTB </w:t>
      </w:r>
      <w:r w:rsidR="00E64912">
        <w:rPr>
          <w:rFonts w:ascii="Arial" w:hAnsi="Arial" w:cs="Arial"/>
        </w:rPr>
        <w:t>is</w:t>
      </w:r>
      <w:r w:rsidR="00501F62" w:rsidRPr="00F679C0">
        <w:rPr>
          <w:rFonts w:ascii="Arial" w:hAnsi="Arial" w:cs="Arial"/>
        </w:rPr>
        <w:t xml:space="preserve"> negative </w:t>
      </w:r>
      <w:r w:rsidR="00501F62">
        <w:rPr>
          <w:rFonts w:ascii="Arial" w:hAnsi="Arial" w:cs="Arial"/>
        </w:rPr>
        <w:t xml:space="preserve">in the </w:t>
      </w:r>
      <w:r w:rsidR="00AC4556">
        <w:rPr>
          <w:rFonts w:ascii="Arial" w:hAnsi="Arial" w:cs="Arial"/>
        </w:rPr>
        <w:t>short run</w:t>
      </w:r>
      <w:r w:rsidR="00501F62" w:rsidRPr="00F679C0">
        <w:rPr>
          <w:rFonts w:ascii="Arial" w:hAnsi="Arial" w:cs="Arial"/>
        </w:rPr>
        <w:t xml:space="preserve">. However, it will recover or converge back to the equilibrium before getting positive </w:t>
      </w:r>
      <w:r w:rsidR="00501F62">
        <w:rPr>
          <w:rFonts w:ascii="Arial" w:hAnsi="Arial" w:cs="Arial"/>
        </w:rPr>
        <w:t xml:space="preserve">in the long-term </w:t>
      </w:r>
      <w:r w:rsidR="00501F62" w:rsidRPr="00F679C0">
        <w:rPr>
          <w:rFonts w:ascii="Arial" w:hAnsi="Arial" w:cs="Arial"/>
        </w:rPr>
        <w:t xml:space="preserve">to reflect the presence of a </w:t>
      </w:r>
      <w:r w:rsidR="00501F62" w:rsidRPr="57585719">
        <w:rPr>
          <w:rFonts w:ascii="Arial" w:hAnsi="Arial" w:cs="Arial"/>
          <w:i/>
          <w:iCs/>
        </w:rPr>
        <w:t>J-</w:t>
      </w:r>
      <w:r w:rsidR="00501F62" w:rsidRPr="00F679C0">
        <w:rPr>
          <w:rFonts w:ascii="Arial" w:hAnsi="Arial" w:cs="Arial"/>
        </w:rPr>
        <w:t>curve.</w:t>
      </w:r>
      <w:r w:rsidR="0073701C" w:rsidRPr="00F679C0">
        <w:rPr>
          <w:rStyle w:val="FootnoteReference"/>
          <w:rFonts w:ascii="Arial" w:hAnsi="Arial" w:cs="Arial"/>
        </w:rPr>
        <w:footnoteReference w:id="117"/>
      </w:r>
      <w:r w:rsidR="0024371D">
        <w:rPr>
          <w:rFonts w:ascii="Arial" w:hAnsi="Arial" w:cs="Arial"/>
        </w:rPr>
        <w:t xml:space="preserve"> </w:t>
      </w:r>
      <w:r w:rsidR="00DA33D5">
        <w:rPr>
          <w:rFonts w:ascii="Arial" w:hAnsi="Arial" w:cs="Arial"/>
          <w:color w:val="000000"/>
        </w:rPr>
        <w:t xml:space="preserve">The aim of this chapter is to investigate the presence of the </w:t>
      </w:r>
      <w:r w:rsidR="00DA33D5" w:rsidRPr="57585719">
        <w:rPr>
          <w:rFonts w:ascii="Arial" w:hAnsi="Arial" w:cs="Arial"/>
          <w:i/>
          <w:iCs/>
          <w:color w:val="000000"/>
        </w:rPr>
        <w:t>J-</w:t>
      </w:r>
      <w:r w:rsidR="00DA33D5">
        <w:rPr>
          <w:rFonts w:ascii="Arial" w:hAnsi="Arial" w:cs="Arial"/>
          <w:color w:val="000000"/>
        </w:rPr>
        <w:t>curve in the trade relationship between the CEMAC nations and their individual trade partners. As such, our focus will be on the relationship between LNTB and LNREER</w:t>
      </w:r>
      <w:r w:rsidR="00927237">
        <w:rPr>
          <w:rFonts w:ascii="Arial" w:hAnsi="Arial" w:cs="Arial"/>
          <w:color w:val="000000"/>
        </w:rPr>
        <w:t xml:space="preserve"> as </w:t>
      </w:r>
      <w:r w:rsidR="00E27F8E">
        <w:rPr>
          <w:rFonts w:ascii="Arial" w:hAnsi="Arial" w:cs="Arial"/>
          <w:color w:val="000000"/>
        </w:rPr>
        <w:t>shown below and analysed beginning with Cameroon:</w:t>
      </w:r>
    </w:p>
    <w:p w14:paraId="4BDF4588" w14:textId="77777777" w:rsidR="00E27F8E" w:rsidRPr="00BE590C" w:rsidRDefault="00E27F8E" w:rsidP="0066301C">
      <w:pPr>
        <w:spacing w:after="0"/>
        <w:rPr>
          <w:b/>
          <w:bCs/>
          <w:sz w:val="24"/>
          <w:szCs w:val="24"/>
        </w:rPr>
      </w:pPr>
      <w:bookmarkStart w:id="460" w:name="_Hlk170904428"/>
      <w:r w:rsidRPr="00F6209E">
        <w:rPr>
          <w:b/>
          <w:bCs/>
          <w:sz w:val="24"/>
          <w:szCs w:val="24"/>
        </w:rPr>
        <w:t>Table 4.5: ARDL Result (Long-Run and Short-Run Relationship)</w:t>
      </w:r>
    </w:p>
    <w:tbl>
      <w:tblPr>
        <w:tblStyle w:val="TableGrid"/>
        <w:tblW w:w="9493" w:type="dxa"/>
        <w:tblLayout w:type="fixed"/>
        <w:tblLook w:val="04A0" w:firstRow="1" w:lastRow="0" w:firstColumn="1" w:lastColumn="0" w:noHBand="0" w:noVBand="1"/>
      </w:tblPr>
      <w:tblGrid>
        <w:gridCol w:w="2969"/>
        <w:gridCol w:w="1420"/>
        <w:gridCol w:w="1629"/>
        <w:gridCol w:w="73"/>
        <w:gridCol w:w="1701"/>
        <w:gridCol w:w="41"/>
        <w:gridCol w:w="1660"/>
      </w:tblGrid>
      <w:tr w:rsidR="00E27F8E" w14:paraId="4A6204F4" w14:textId="77777777" w:rsidTr="004D74AB">
        <w:trPr>
          <w:trHeight w:val="288"/>
        </w:trPr>
        <w:tc>
          <w:tcPr>
            <w:tcW w:w="9493" w:type="dxa"/>
            <w:gridSpan w:val="7"/>
          </w:tcPr>
          <w:p w14:paraId="4F7B5B15" w14:textId="77777777" w:rsidR="00E27F8E" w:rsidRPr="004E66BE" w:rsidRDefault="00E27F8E" w:rsidP="0066301C">
            <w:pPr>
              <w:jc w:val="center"/>
              <w:rPr>
                <w:rFonts w:ascii="Arial" w:hAnsi="Arial" w:cs="Arial"/>
                <w:b/>
                <w:bCs/>
                <w:i/>
                <w:iCs/>
                <w:sz w:val="28"/>
                <w:szCs w:val="28"/>
                <w:u w:val="single"/>
              </w:rPr>
            </w:pPr>
            <w:bookmarkStart w:id="461" w:name="_Hlk132764843"/>
            <w:r w:rsidRPr="004E66BE">
              <w:rPr>
                <w:rFonts w:ascii="Arial" w:hAnsi="Arial" w:cs="Arial"/>
                <w:b/>
                <w:bCs/>
                <w:i/>
                <w:iCs/>
                <w:sz w:val="28"/>
                <w:szCs w:val="28"/>
                <w:u w:val="single"/>
              </w:rPr>
              <w:t>Cameroon</w:t>
            </w:r>
          </w:p>
        </w:tc>
      </w:tr>
      <w:tr w:rsidR="00E27F8E" w14:paraId="1019F8FB" w14:textId="77777777" w:rsidTr="004D74AB">
        <w:trPr>
          <w:trHeight w:val="288"/>
        </w:trPr>
        <w:tc>
          <w:tcPr>
            <w:tcW w:w="9493" w:type="dxa"/>
            <w:gridSpan w:val="7"/>
          </w:tcPr>
          <w:p w14:paraId="2D64D3B1" w14:textId="77777777" w:rsidR="00E27F8E" w:rsidRPr="00A67D5C" w:rsidRDefault="00E27F8E" w:rsidP="0066301C">
            <w:pPr>
              <w:jc w:val="center"/>
              <w:rPr>
                <w:rFonts w:ascii="Arial" w:hAnsi="Arial" w:cs="Arial"/>
                <w:b/>
                <w:bCs/>
              </w:rPr>
            </w:pPr>
            <w:r w:rsidRPr="00A67D5C">
              <w:rPr>
                <w:rFonts w:ascii="Arial" w:hAnsi="Arial" w:cs="Arial"/>
                <w:b/>
                <w:bCs/>
              </w:rPr>
              <w:t>Partner China</w:t>
            </w:r>
          </w:p>
        </w:tc>
      </w:tr>
      <w:tr w:rsidR="00E27F8E" w14:paraId="6B8D1D91" w14:textId="77777777" w:rsidTr="004D74AB">
        <w:trPr>
          <w:trHeight w:val="288"/>
        </w:trPr>
        <w:tc>
          <w:tcPr>
            <w:tcW w:w="2969" w:type="dxa"/>
          </w:tcPr>
          <w:p w14:paraId="4F717A31" w14:textId="77777777" w:rsidR="00E27F8E" w:rsidRPr="00A67D5C" w:rsidRDefault="00E27F8E" w:rsidP="0066301C">
            <w:pPr>
              <w:jc w:val="center"/>
              <w:rPr>
                <w:rFonts w:ascii="Arial" w:hAnsi="Arial" w:cs="Arial"/>
                <w:b/>
                <w:bCs/>
              </w:rPr>
            </w:pPr>
            <w:r w:rsidRPr="00A67D5C">
              <w:rPr>
                <w:rFonts w:ascii="Arial" w:hAnsi="Arial" w:cs="Arial"/>
                <w:b/>
                <w:bCs/>
              </w:rPr>
              <w:t>Variable</w:t>
            </w:r>
          </w:p>
        </w:tc>
        <w:tc>
          <w:tcPr>
            <w:tcW w:w="1420" w:type="dxa"/>
          </w:tcPr>
          <w:p w14:paraId="4F698ECE" w14:textId="77777777" w:rsidR="00E27F8E" w:rsidRPr="00A67D5C" w:rsidRDefault="00E27F8E" w:rsidP="0066301C">
            <w:pPr>
              <w:jc w:val="center"/>
              <w:rPr>
                <w:rFonts w:ascii="Arial" w:hAnsi="Arial" w:cs="Arial"/>
                <w:b/>
                <w:bCs/>
              </w:rPr>
            </w:pPr>
            <w:r w:rsidRPr="00A67D5C">
              <w:rPr>
                <w:rFonts w:ascii="Arial" w:hAnsi="Arial" w:cs="Arial"/>
                <w:b/>
                <w:bCs/>
              </w:rPr>
              <w:t>Coefficient</w:t>
            </w:r>
          </w:p>
        </w:tc>
        <w:tc>
          <w:tcPr>
            <w:tcW w:w="1629" w:type="dxa"/>
          </w:tcPr>
          <w:p w14:paraId="1F9848FC" w14:textId="77777777" w:rsidR="00E27F8E" w:rsidRPr="00A67D5C" w:rsidRDefault="00E27F8E" w:rsidP="0066301C">
            <w:pPr>
              <w:jc w:val="center"/>
              <w:rPr>
                <w:rFonts w:ascii="Arial" w:hAnsi="Arial" w:cs="Arial"/>
                <w:b/>
                <w:bCs/>
              </w:rPr>
            </w:pPr>
            <w:r w:rsidRPr="00A67D5C">
              <w:rPr>
                <w:rFonts w:ascii="Arial" w:hAnsi="Arial" w:cs="Arial"/>
                <w:b/>
                <w:bCs/>
              </w:rPr>
              <w:t>Std. Error</w:t>
            </w:r>
          </w:p>
        </w:tc>
        <w:tc>
          <w:tcPr>
            <w:tcW w:w="1815" w:type="dxa"/>
            <w:gridSpan w:val="3"/>
          </w:tcPr>
          <w:p w14:paraId="30349E59" w14:textId="77777777" w:rsidR="00E27F8E" w:rsidRPr="00A67D5C" w:rsidRDefault="00E27F8E" w:rsidP="0066301C">
            <w:pPr>
              <w:jc w:val="center"/>
              <w:rPr>
                <w:rFonts w:ascii="Arial" w:hAnsi="Arial" w:cs="Arial"/>
                <w:b/>
                <w:bCs/>
              </w:rPr>
            </w:pPr>
            <w:r w:rsidRPr="00A67D5C">
              <w:rPr>
                <w:rFonts w:ascii="Arial" w:hAnsi="Arial" w:cs="Arial"/>
                <w:b/>
                <w:bCs/>
              </w:rPr>
              <w:t>t-statistic</w:t>
            </w:r>
          </w:p>
        </w:tc>
        <w:tc>
          <w:tcPr>
            <w:tcW w:w="1660" w:type="dxa"/>
          </w:tcPr>
          <w:p w14:paraId="6DAB9C03" w14:textId="77777777" w:rsidR="00E27F8E" w:rsidRPr="00A67D5C" w:rsidRDefault="00E27F8E" w:rsidP="0066301C">
            <w:pPr>
              <w:jc w:val="center"/>
              <w:rPr>
                <w:rFonts w:ascii="Arial" w:hAnsi="Arial" w:cs="Arial"/>
                <w:b/>
                <w:bCs/>
              </w:rPr>
            </w:pPr>
            <w:r w:rsidRPr="00A67D5C">
              <w:rPr>
                <w:rFonts w:ascii="Arial" w:hAnsi="Arial" w:cs="Arial"/>
                <w:b/>
                <w:bCs/>
              </w:rPr>
              <w:t>Prob.</w:t>
            </w:r>
          </w:p>
        </w:tc>
      </w:tr>
      <w:tr w:rsidR="00E27F8E" w14:paraId="53C29A63" w14:textId="77777777" w:rsidTr="004D74AB">
        <w:trPr>
          <w:trHeight w:val="288"/>
        </w:trPr>
        <w:tc>
          <w:tcPr>
            <w:tcW w:w="2969" w:type="dxa"/>
          </w:tcPr>
          <w:p w14:paraId="1FB434E5" w14:textId="77777777" w:rsidR="00E27F8E" w:rsidRPr="00A67D5C" w:rsidRDefault="00E27F8E" w:rsidP="0066301C">
            <w:pPr>
              <w:rPr>
                <w:rFonts w:ascii="Arial" w:hAnsi="Arial" w:cs="Arial"/>
                <w:vertAlign w:val="subscript"/>
              </w:rPr>
            </w:pPr>
            <w:r w:rsidRPr="00A67D5C">
              <w:rPr>
                <w:rFonts w:ascii="Arial" w:hAnsi="Arial" w:cs="Arial"/>
              </w:rPr>
              <w:t>Dependent variable ∆LNTB</w:t>
            </w:r>
            <w:r w:rsidRPr="00A67D5C">
              <w:rPr>
                <w:rFonts w:ascii="Arial" w:hAnsi="Arial" w:cs="Arial"/>
                <w:vertAlign w:val="subscript"/>
              </w:rPr>
              <w:t>t</w:t>
            </w:r>
          </w:p>
        </w:tc>
        <w:tc>
          <w:tcPr>
            <w:tcW w:w="1420" w:type="dxa"/>
          </w:tcPr>
          <w:p w14:paraId="5F5DFA59" w14:textId="77777777" w:rsidR="00E27F8E" w:rsidRPr="00A67D5C" w:rsidRDefault="00E27F8E" w:rsidP="0066301C">
            <w:pPr>
              <w:rPr>
                <w:rFonts w:ascii="Arial" w:hAnsi="Arial" w:cs="Arial"/>
              </w:rPr>
            </w:pPr>
          </w:p>
        </w:tc>
        <w:tc>
          <w:tcPr>
            <w:tcW w:w="1629" w:type="dxa"/>
          </w:tcPr>
          <w:p w14:paraId="335A1B46" w14:textId="77777777" w:rsidR="00E27F8E" w:rsidRPr="00A67D5C" w:rsidRDefault="00E27F8E" w:rsidP="0066301C">
            <w:pPr>
              <w:rPr>
                <w:rFonts w:ascii="Arial" w:hAnsi="Arial" w:cs="Arial"/>
              </w:rPr>
            </w:pPr>
          </w:p>
        </w:tc>
        <w:tc>
          <w:tcPr>
            <w:tcW w:w="1815" w:type="dxa"/>
            <w:gridSpan w:val="3"/>
          </w:tcPr>
          <w:p w14:paraId="22D51856" w14:textId="77777777" w:rsidR="00E27F8E" w:rsidRPr="00A67D5C" w:rsidRDefault="00E27F8E" w:rsidP="0066301C">
            <w:pPr>
              <w:rPr>
                <w:rFonts w:ascii="Arial" w:hAnsi="Arial" w:cs="Arial"/>
              </w:rPr>
            </w:pPr>
          </w:p>
        </w:tc>
        <w:tc>
          <w:tcPr>
            <w:tcW w:w="1660" w:type="dxa"/>
          </w:tcPr>
          <w:p w14:paraId="64134ECA" w14:textId="77777777" w:rsidR="00E27F8E" w:rsidRPr="00A67D5C" w:rsidRDefault="00E27F8E" w:rsidP="0066301C">
            <w:pPr>
              <w:rPr>
                <w:rFonts w:ascii="Arial" w:hAnsi="Arial" w:cs="Arial"/>
              </w:rPr>
            </w:pPr>
          </w:p>
        </w:tc>
      </w:tr>
      <w:tr w:rsidR="00E27F8E" w14:paraId="272C67A1" w14:textId="77777777" w:rsidTr="004D74AB">
        <w:trPr>
          <w:trHeight w:val="301"/>
        </w:trPr>
        <w:tc>
          <w:tcPr>
            <w:tcW w:w="2969" w:type="dxa"/>
          </w:tcPr>
          <w:p w14:paraId="6BA99D3B" w14:textId="77777777" w:rsidR="00E27F8E" w:rsidRPr="00A67D5C" w:rsidRDefault="00E27F8E" w:rsidP="0066301C">
            <w:pPr>
              <w:rPr>
                <w:rFonts w:ascii="Arial" w:hAnsi="Arial" w:cs="Arial"/>
              </w:rPr>
            </w:pPr>
            <w:r w:rsidRPr="00A67D5C">
              <w:rPr>
                <w:rFonts w:ascii="Arial" w:hAnsi="Arial" w:cs="Arial"/>
              </w:rPr>
              <w:t>Long-run elasticities</w:t>
            </w:r>
          </w:p>
        </w:tc>
        <w:tc>
          <w:tcPr>
            <w:tcW w:w="1420" w:type="dxa"/>
          </w:tcPr>
          <w:p w14:paraId="6501D565" w14:textId="77777777" w:rsidR="00E27F8E" w:rsidRPr="00A67D5C" w:rsidRDefault="00E27F8E" w:rsidP="0066301C">
            <w:pPr>
              <w:rPr>
                <w:rFonts w:ascii="Arial" w:hAnsi="Arial" w:cs="Arial"/>
              </w:rPr>
            </w:pPr>
          </w:p>
        </w:tc>
        <w:tc>
          <w:tcPr>
            <w:tcW w:w="1629" w:type="dxa"/>
          </w:tcPr>
          <w:p w14:paraId="1264725D" w14:textId="77777777" w:rsidR="00E27F8E" w:rsidRPr="00A67D5C" w:rsidRDefault="00E27F8E" w:rsidP="0066301C">
            <w:pPr>
              <w:rPr>
                <w:rFonts w:ascii="Arial" w:hAnsi="Arial" w:cs="Arial"/>
              </w:rPr>
            </w:pPr>
          </w:p>
        </w:tc>
        <w:tc>
          <w:tcPr>
            <w:tcW w:w="1815" w:type="dxa"/>
            <w:gridSpan w:val="3"/>
          </w:tcPr>
          <w:p w14:paraId="32841820" w14:textId="77777777" w:rsidR="00E27F8E" w:rsidRPr="00A67D5C" w:rsidRDefault="00E27F8E" w:rsidP="0066301C">
            <w:pPr>
              <w:rPr>
                <w:rFonts w:ascii="Arial" w:hAnsi="Arial" w:cs="Arial"/>
              </w:rPr>
            </w:pPr>
          </w:p>
        </w:tc>
        <w:tc>
          <w:tcPr>
            <w:tcW w:w="1660" w:type="dxa"/>
          </w:tcPr>
          <w:p w14:paraId="109E6243" w14:textId="77777777" w:rsidR="00E27F8E" w:rsidRPr="00A67D5C" w:rsidRDefault="00E27F8E" w:rsidP="0066301C">
            <w:pPr>
              <w:rPr>
                <w:rFonts w:ascii="Arial" w:hAnsi="Arial" w:cs="Arial"/>
              </w:rPr>
            </w:pPr>
          </w:p>
        </w:tc>
      </w:tr>
      <w:tr w:rsidR="00E27F8E" w14:paraId="2430CC40" w14:textId="77777777" w:rsidTr="004D74AB">
        <w:trPr>
          <w:trHeight w:val="288"/>
        </w:trPr>
        <w:tc>
          <w:tcPr>
            <w:tcW w:w="2969" w:type="dxa"/>
          </w:tcPr>
          <w:p w14:paraId="6D90434F" w14:textId="77777777" w:rsidR="00E27F8E" w:rsidRPr="00A67D5C" w:rsidRDefault="00E27F8E" w:rsidP="0066301C">
            <w:pPr>
              <w:rPr>
                <w:rFonts w:ascii="Arial" w:hAnsi="Arial" w:cs="Arial"/>
              </w:rPr>
            </w:pPr>
            <w:r w:rsidRPr="00A67D5C">
              <w:rPr>
                <w:rFonts w:ascii="Arial" w:hAnsi="Arial" w:cs="Arial"/>
              </w:rPr>
              <w:t>C</w:t>
            </w:r>
          </w:p>
        </w:tc>
        <w:tc>
          <w:tcPr>
            <w:tcW w:w="1420" w:type="dxa"/>
          </w:tcPr>
          <w:p w14:paraId="527313E7" w14:textId="77777777" w:rsidR="00E27F8E" w:rsidRPr="00A67D5C" w:rsidRDefault="00E27F8E" w:rsidP="0066301C">
            <w:pPr>
              <w:rPr>
                <w:rFonts w:ascii="Arial" w:hAnsi="Arial" w:cs="Arial"/>
              </w:rPr>
            </w:pPr>
            <w:r w:rsidRPr="00A67D5C">
              <w:rPr>
                <w:rFonts w:ascii="Arial" w:hAnsi="Arial" w:cs="Arial"/>
              </w:rPr>
              <w:t>-1.246</w:t>
            </w:r>
          </w:p>
        </w:tc>
        <w:tc>
          <w:tcPr>
            <w:tcW w:w="1629" w:type="dxa"/>
          </w:tcPr>
          <w:p w14:paraId="23CF5578" w14:textId="77777777" w:rsidR="00E27F8E" w:rsidRPr="00A67D5C" w:rsidRDefault="00E27F8E" w:rsidP="0066301C">
            <w:pPr>
              <w:rPr>
                <w:rFonts w:ascii="Arial" w:hAnsi="Arial" w:cs="Arial"/>
              </w:rPr>
            </w:pPr>
            <w:r w:rsidRPr="00A67D5C">
              <w:rPr>
                <w:rFonts w:ascii="Arial" w:hAnsi="Arial" w:cs="Arial"/>
              </w:rPr>
              <w:t>6.622</w:t>
            </w:r>
          </w:p>
        </w:tc>
        <w:tc>
          <w:tcPr>
            <w:tcW w:w="1815" w:type="dxa"/>
            <w:gridSpan w:val="3"/>
          </w:tcPr>
          <w:p w14:paraId="640E9A2F" w14:textId="77777777" w:rsidR="00E27F8E" w:rsidRPr="00A67D5C" w:rsidRDefault="00E27F8E" w:rsidP="0066301C">
            <w:pPr>
              <w:rPr>
                <w:rFonts w:ascii="Arial" w:hAnsi="Arial" w:cs="Arial"/>
              </w:rPr>
            </w:pPr>
            <w:r w:rsidRPr="00A67D5C">
              <w:rPr>
                <w:rFonts w:ascii="Arial" w:hAnsi="Arial" w:cs="Arial"/>
              </w:rPr>
              <w:t>-0.188</w:t>
            </w:r>
          </w:p>
        </w:tc>
        <w:tc>
          <w:tcPr>
            <w:tcW w:w="1660" w:type="dxa"/>
          </w:tcPr>
          <w:p w14:paraId="1F3DE2C1" w14:textId="77777777" w:rsidR="00E27F8E" w:rsidRPr="00A67D5C" w:rsidRDefault="00E27F8E" w:rsidP="0066301C">
            <w:pPr>
              <w:rPr>
                <w:rFonts w:ascii="Arial" w:hAnsi="Arial" w:cs="Arial"/>
              </w:rPr>
            </w:pPr>
            <w:r w:rsidRPr="00A67D5C">
              <w:rPr>
                <w:rFonts w:ascii="Arial" w:hAnsi="Arial" w:cs="Arial"/>
              </w:rPr>
              <w:t>0.852</w:t>
            </w:r>
          </w:p>
        </w:tc>
      </w:tr>
      <w:tr w:rsidR="00E27F8E" w14:paraId="489A5EDB" w14:textId="77777777" w:rsidTr="004D74AB">
        <w:trPr>
          <w:trHeight w:val="288"/>
        </w:trPr>
        <w:tc>
          <w:tcPr>
            <w:tcW w:w="2969" w:type="dxa"/>
          </w:tcPr>
          <w:p w14:paraId="7F186752" w14:textId="77777777" w:rsidR="00E27F8E" w:rsidRPr="00A67D5C" w:rsidRDefault="00E27F8E" w:rsidP="0066301C">
            <w:pPr>
              <w:rPr>
                <w:rFonts w:ascii="Arial" w:hAnsi="Arial" w:cs="Arial"/>
              </w:rPr>
            </w:pPr>
            <w:r w:rsidRPr="00A67D5C">
              <w:rPr>
                <w:rFonts w:ascii="Arial" w:hAnsi="Arial" w:cs="Arial"/>
              </w:rPr>
              <w:t>LNREER</w:t>
            </w:r>
          </w:p>
        </w:tc>
        <w:tc>
          <w:tcPr>
            <w:tcW w:w="1420" w:type="dxa"/>
          </w:tcPr>
          <w:p w14:paraId="6640BE35" w14:textId="77777777" w:rsidR="00E27F8E" w:rsidRPr="00A67D5C" w:rsidRDefault="00E27F8E" w:rsidP="0066301C">
            <w:pPr>
              <w:rPr>
                <w:rFonts w:ascii="Arial" w:hAnsi="Arial" w:cs="Arial"/>
              </w:rPr>
            </w:pPr>
            <w:r w:rsidRPr="00A67D5C">
              <w:rPr>
                <w:rFonts w:ascii="Arial" w:hAnsi="Arial" w:cs="Arial"/>
              </w:rPr>
              <w:t>2.067</w:t>
            </w:r>
          </w:p>
        </w:tc>
        <w:tc>
          <w:tcPr>
            <w:tcW w:w="1629" w:type="dxa"/>
          </w:tcPr>
          <w:p w14:paraId="5CCDD630" w14:textId="77777777" w:rsidR="00E27F8E" w:rsidRPr="00A67D5C" w:rsidRDefault="00E27F8E" w:rsidP="0066301C">
            <w:pPr>
              <w:rPr>
                <w:rFonts w:ascii="Arial" w:hAnsi="Arial" w:cs="Arial"/>
              </w:rPr>
            </w:pPr>
            <w:r w:rsidRPr="00A67D5C">
              <w:rPr>
                <w:rFonts w:ascii="Arial" w:hAnsi="Arial" w:cs="Arial"/>
              </w:rPr>
              <w:t>0.258</w:t>
            </w:r>
          </w:p>
        </w:tc>
        <w:tc>
          <w:tcPr>
            <w:tcW w:w="1815" w:type="dxa"/>
            <w:gridSpan w:val="3"/>
          </w:tcPr>
          <w:p w14:paraId="5F9ECE98" w14:textId="77777777" w:rsidR="00E27F8E" w:rsidRPr="00A67D5C" w:rsidRDefault="00E27F8E" w:rsidP="0066301C">
            <w:pPr>
              <w:rPr>
                <w:rFonts w:ascii="Arial" w:hAnsi="Arial" w:cs="Arial"/>
              </w:rPr>
            </w:pPr>
            <w:r w:rsidRPr="00A67D5C">
              <w:rPr>
                <w:rFonts w:ascii="Arial" w:hAnsi="Arial" w:cs="Arial"/>
              </w:rPr>
              <w:t>7.995</w:t>
            </w:r>
          </w:p>
        </w:tc>
        <w:tc>
          <w:tcPr>
            <w:tcW w:w="1660" w:type="dxa"/>
          </w:tcPr>
          <w:p w14:paraId="6A689148" w14:textId="77777777" w:rsidR="00E27F8E" w:rsidRPr="00A67D5C" w:rsidRDefault="00E27F8E" w:rsidP="0066301C">
            <w:pPr>
              <w:rPr>
                <w:rFonts w:ascii="Arial" w:hAnsi="Arial" w:cs="Arial"/>
              </w:rPr>
            </w:pPr>
            <w:r w:rsidRPr="00A67D5C">
              <w:rPr>
                <w:rFonts w:ascii="Arial" w:hAnsi="Arial" w:cs="Arial"/>
              </w:rPr>
              <w:t>0.000</w:t>
            </w:r>
          </w:p>
        </w:tc>
      </w:tr>
      <w:tr w:rsidR="00E27F8E" w14:paraId="5F2DFDB9" w14:textId="77777777" w:rsidTr="004D74AB">
        <w:trPr>
          <w:trHeight w:val="288"/>
        </w:trPr>
        <w:tc>
          <w:tcPr>
            <w:tcW w:w="2969" w:type="dxa"/>
          </w:tcPr>
          <w:p w14:paraId="6535E062" w14:textId="77777777" w:rsidR="00E27F8E" w:rsidRPr="00A67D5C" w:rsidRDefault="00E27F8E" w:rsidP="0066301C">
            <w:pPr>
              <w:rPr>
                <w:rFonts w:ascii="Arial" w:hAnsi="Arial" w:cs="Arial"/>
              </w:rPr>
            </w:pPr>
            <w:r w:rsidRPr="00A67D5C">
              <w:rPr>
                <w:rFonts w:ascii="Arial" w:hAnsi="Arial" w:cs="Arial"/>
              </w:rPr>
              <w:t>LNDI</w:t>
            </w:r>
          </w:p>
        </w:tc>
        <w:tc>
          <w:tcPr>
            <w:tcW w:w="1420" w:type="dxa"/>
          </w:tcPr>
          <w:p w14:paraId="5EEDEDDC" w14:textId="77777777" w:rsidR="00E27F8E" w:rsidRPr="00A67D5C" w:rsidRDefault="00E27F8E" w:rsidP="0066301C">
            <w:pPr>
              <w:rPr>
                <w:rFonts w:ascii="Arial" w:hAnsi="Arial" w:cs="Arial"/>
              </w:rPr>
            </w:pPr>
            <w:r w:rsidRPr="00A67D5C">
              <w:rPr>
                <w:rFonts w:ascii="Arial" w:hAnsi="Arial" w:cs="Arial"/>
              </w:rPr>
              <w:t>-3.949</w:t>
            </w:r>
          </w:p>
        </w:tc>
        <w:tc>
          <w:tcPr>
            <w:tcW w:w="1629" w:type="dxa"/>
          </w:tcPr>
          <w:p w14:paraId="68CAFE17" w14:textId="77777777" w:rsidR="00E27F8E" w:rsidRPr="00A67D5C" w:rsidRDefault="00E27F8E" w:rsidP="0066301C">
            <w:pPr>
              <w:rPr>
                <w:rFonts w:ascii="Arial" w:hAnsi="Arial" w:cs="Arial"/>
              </w:rPr>
            </w:pPr>
            <w:r w:rsidRPr="00A67D5C">
              <w:rPr>
                <w:rFonts w:ascii="Arial" w:hAnsi="Arial" w:cs="Arial"/>
              </w:rPr>
              <w:t>0.848</w:t>
            </w:r>
          </w:p>
        </w:tc>
        <w:tc>
          <w:tcPr>
            <w:tcW w:w="1815" w:type="dxa"/>
            <w:gridSpan w:val="3"/>
          </w:tcPr>
          <w:p w14:paraId="4E82AB25" w14:textId="77777777" w:rsidR="00E27F8E" w:rsidRPr="00A67D5C" w:rsidRDefault="00E27F8E" w:rsidP="0066301C">
            <w:pPr>
              <w:rPr>
                <w:rFonts w:ascii="Arial" w:hAnsi="Arial" w:cs="Arial"/>
              </w:rPr>
            </w:pPr>
            <w:r w:rsidRPr="00A67D5C">
              <w:rPr>
                <w:rFonts w:ascii="Arial" w:hAnsi="Arial" w:cs="Arial"/>
              </w:rPr>
              <w:t>-4.656</w:t>
            </w:r>
          </w:p>
        </w:tc>
        <w:tc>
          <w:tcPr>
            <w:tcW w:w="1660" w:type="dxa"/>
          </w:tcPr>
          <w:p w14:paraId="05EC8EC6" w14:textId="77777777" w:rsidR="00E27F8E" w:rsidRPr="00A67D5C" w:rsidRDefault="00E27F8E" w:rsidP="0066301C">
            <w:pPr>
              <w:rPr>
                <w:rFonts w:ascii="Arial" w:hAnsi="Arial" w:cs="Arial"/>
              </w:rPr>
            </w:pPr>
            <w:r w:rsidRPr="00A67D5C">
              <w:rPr>
                <w:rFonts w:ascii="Arial" w:hAnsi="Arial" w:cs="Arial"/>
              </w:rPr>
              <w:t>0.000</w:t>
            </w:r>
          </w:p>
        </w:tc>
      </w:tr>
      <w:tr w:rsidR="00E27F8E" w14:paraId="4A2CCCFB" w14:textId="77777777" w:rsidTr="004D74AB">
        <w:trPr>
          <w:trHeight w:val="288"/>
        </w:trPr>
        <w:tc>
          <w:tcPr>
            <w:tcW w:w="2969" w:type="dxa"/>
          </w:tcPr>
          <w:p w14:paraId="026B7A1A" w14:textId="77777777" w:rsidR="00E27F8E" w:rsidRPr="00A67D5C" w:rsidRDefault="00E27F8E" w:rsidP="0066301C">
            <w:pPr>
              <w:rPr>
                <w:rFonts w:ascii="Arial" w:hAnsi="Arial" w:cs="Arial"/>
              </w:rPr>
            </w:pPr>
            <w:r w:rsidRPr="00A67D5C">
              <w:rPr>
                <w:rFonts w:ascii="Arial" w:hAnsi="Arial" w:cs="Arial"/>
              </w:rPr>
              <w:t>LNCHINAFI</w:t>
            </w:r>
          </w:p>
        </w:tc>
        <w:tc>
          <w:tcPr>
            <w:tcW w:w="1420" w:type="dxa"/>
          </w:tcPr>
          <w:p w14:paraId="7037ED64" w14:textId="77777777" w:rsidR="00E27F8E" w:rsidRPr="00A67D5C" w:rsidRDefault="00E27F8E" w:rsidP="0066301C">
            <w:pPr>
              <w:rPr>
                <w:rFonts w:ascii="Arial" w:hAnsi="Arial" w:cs="Arial"/>
              </w:rPr>
            </w:pPr>
            <w:r w:rsidRPr="00A67D5C">
              <w:rPr>
                <w:rFonts w:ascii="Arial" w:hAnsi="Arial" w:cs="Arial"/>
              </w:rPr>
              <w:t>0.925</w:t>
            </w:r>
          </w:p>
        </w:tc>
        <w:tc>
          <w:tcPr>
            <w:tcW w:w="1629" w:type="dxa"/>
          </w:tcPr>
          <w:p w14:paraId="2C9B0D24" w14:textId="77777777" w:rsidR="00E27F8E" w:rsidRPr="00A67D5C" w:rsidRDefault="00E27F8E" w:rsidP="0066301C">
            <w:pPr>
              <w:rPr>
                <w:rFonts w:ascii="Arial" w:hAnsi="Arial" w:cs="Arial"/>
              </w:rPr>
            </w:pPr>
            <w:r w:rsidRPr="00A67D5C">
              <w:rPr>
                <w:rFonts w:ascii="Arial" w:hAnsi="Arial" w:cs="Arial"/>
              </w:rPr>
              <w:t>1.257</w:t>
            </w:r>
          </w:p>
        </w:tc>
        <w:tc>
          <w:tcPr>
            <w:tcW w:w="1815" w:type="dxa"/>
            <w:gridSpan w:val="3"/>
          </w:tcPr>
          <w:p w14:paraId="5353F991" w14:textId="77777777" w:rsidR="00E27F8E" w:rsidRPr="00A67D5C" w:rsidRDefault="00E27F8E" w:rsidP="0066301C">
            <w:pPr>
              <w:rPr>
                <w:rFonts w:ascii="Arial" w:hAnsi="Arial" w:cs="Arial"/>
              </w:rPr>
            </w:pPr>
            <w:r w:rsidRPr="00A67D5C">
              <w:rPr>
                <w:rFonts w:ascii="Arial" w:hAnsi="Arial" w:cs="Arial"/>
              </w:rPr>
              <w:t>0.735</w:t>
            </w:r>
          </w:p>
        </w:tc>
        <w:tc>
          <w:tcPr>
            <w:tcW w:w="1660" w:type="dxa"/>
          </w:tcPr>
          <w:p w14:paraId="579A0132" w14:textId="77777777" w:rsidR="00E27F8E" w:rsidRPr="00A67D5C" w:rsidRDefault="00E27F8E" w:rsidP="0066301C">
            <w:pPr>
              <w:rPr>
                <w:rFonts w:ascii="Arial" w:hAnsi="Arial" w:cs="Arial"/>
              </w:rPr>
            </w:pPr>
            <w:r w:rsidRPr="00A67D5C">
              <w:rPr>
                <w:rFonts w:ascii="Arial" w:hAnsi="Arial" w:cs="Arial"/>
              </w:rPr>
              <w:t>0.467</w:t>
            </w:r>
          </w:p>
        </w:tc>
      </w:tr>
      <w:tr w:rsidR="00E27F8E" w14:paraId="6CB6B6C4" w14:textId="77777777" w:rsidTr="004D74AB">
        <w:trPr>
          <w:trHeight w:val="288"/>
        </w:trPr>
        <w:tc>
          <w:tcPr>
            <w:tcW w:w="2969" w:type="dxa"/>
          </w:tcPr>
          <w:p w14:paraId="33C08FA7" w14:textId="77777777" w:rsidR="00E27F8E" w:rsidRPr="00A67D5C" w:rsidRDefault="00E27F8E" w:rsidP="0066301C">
            <w:pPr>
              <w:rPr>
                <w:rFonts w:ascii="Arial" w:hAnsi="Arial" w:cs="Arial"/>
                <w:b/>
                <w:bCs/>
              </w:rPr>
            </w:pPr>
            <w:r w:rsidRPr="00A67D5C">
              <w:rPr>
                <w:rFonts w:ascii="Arial" w:hAnsi="Arial" w:cs="Arial"/>
                <w:b/>
                <w:bCs/>
              </w:rPr>
              <w:t>Short-run elasticities</w:t>
            </w:r>
          </w:p>
        </w:tc>
        <w:tc>
          <w:tcPr>
            <w:tcW w:w="1420" w:type="dxa"/>
          </w:tcPr>
          <w:p w14:paraId="7D53C4AB" w14:textId="77777777" w:rsidR="00E27F8E" w:rsidRPr="00A67D5C" w:rsidRDefault="00E27F8E" w:rsidP="0066301C">
            <w:pPr>
              <w:rPr>
                <w:rFonts w:ascii="Arial" w:hAnsi="Arial" w:cs="Arial"/>
              </w:rPr>
            </w:pPr>
          </w:p>
        </w:tc>
        <w:tc>
          <w:tcPr>
            <w:tcW w:w="1629" w:type="dxa"/>
          </w:tcPr>
          <w:p w14:paraId="11ACCD82" w14:textId="77777777" w:rsidR="00E27F8E" w:rsidRPr="00A67D5C" w:rsidRDefault="00E27F8E" w:rsidP="0066301C">
            <w:pPr>
              <w:rPr>
                <w:rFonts w:ascii="Arial" w:hAnsi="Arial" w:cs="Arial"/>
              </w:rPr>
            </w:pPr>
          </w:p>
        </w:tc>
        <w:tc>
          <w:tcPr>
            <w:tcW w:w="1815" w:type="dxa"/>
            <w:gridSpan w:val="3"/>
          </w:tcPr>
          <w:p w14:paraId="2D54B198" w14:textId="77777777" w:rsidR="00E27F8E" w:rsidRPr="00A67D5C" w:rsidRDefault="00E27F8E" w:rsidP="0066301C">
            <w:pPr>
              <w:rPr>
                <w:rFonts w:ascii="Arial" w:hAnsi="Arial" w:cs="Arial"/>
              </w:rPr>
            </w:pPr>
          </w:p>
        </w:tc>
        <w:tc>
          <w:tcPr>
            <w:tcW w:w="1660" w:type="dxa"/>
          </w:tcPr>
          <w:p w14:paraId="252DE4FE" w14:textId="77777777" w:rsidR="00E27F8E" w:rsidRPr="00A67D5C" w:rsidRDefault="00E27F8E" w:rsidP="0066301C">
            <w:pPr>
              <w:rPr>
                <w:rFonts w:ascii="Arial" w:hAnsi="Arial" w:cs="Arial"/>
              </w:rPr>
            </w:pPr>
          </w:p>
        </w:tc>
      </w:tr>
      <w:tr w:rsidR="00E27F8E" w14:paraId="074299F2" w14:textId="77777777" w:rsidTr="004D74AB">
        <w:trPr>
          <w:trHeight w:val="288"/>
        </w:trPr>
        <w:tc>
          <w:tcPr>
            <w:tcW w:w="2969" w:type="dxa"/>
          </w:tcPr>
          <w:p w14:paraId="388E7CE2" w14:textId="77777777" w:rsidR="00E27F8E" w:rsidRPr="00A67D5C" w:rsidRDefault="00E27F8E" w:rsidP="0066301C">
            <w:pPr>
              <w:rPr>
                <w:rFonts w:ascii="Arial" w:hAnsi="Arial" w:cs="Arial"/>
              </w:rPr>
            </w:pPr>
            <w:r w:rsidRPr="00A67D5C">
              <w:rPr>
                <w:rFonts w:ascii="Arial" w:hAnsi="Arial" w:cs="Arial"/>
              </w:rPr>
              <w:t>C</w:t>
            </w:r>
          </w:p>
        </w:tc>
        <w:tc>
          <w:tcPr>
            <w:tcW w:w="1420" w:type="dxa"/>
          </w:tcPr>
          <w:p w14:paraId="4D59B15C" w14:textId="77777777" w:rsidR="00E27F8E" w:rsidRPr="00A67D5C" w:rsidRDefault="00E27F8E" w:rsidP="0066301C">
            <w:pPr>
              <w:rPr>
                <w:rFonts w:ascii="Arial" w:hAnsi="Arial" w:cs="Arial"/>
              </w:rPr>
            </w:pPr>
            <w:r w:rsidRPr="00A67D5C">
              <w:rPr>
                <w:rFonts w:ascii="Arial" w:hAnsi="Arial" w:cs="Arial"/>
              </w:rPr>
              <w:t>0.729</w:t>
            </w:r>
          </w:p>
        </w:tc>
        <w:tc>
          <w:tcPr>
            <w:tcW w:w="1629" w:type="dxa"/>
          </w:tcPr>
          <w:p w14:paraId="04F5E64D" w14:textId="77777777" w:rsidR="00E27F8E" w:rsidRPr="00A67D5C" w:rsidRDefault="00E27F8E" w:rsidP="0066301C">
            <w:pPr>
              <w:rPr>
                <w:rFonts w:ascii="Arial" w:hAnsi="Arial" w:cs="Arial"/>
              </w:rPr>
            </w:pPr>
            <w:r w:rsidRPr="00A67D5C">
              <w:rPr>
                <w:rFonts w:ascii="Arial" w:hAnsi="Arial" w:cs="Arial"/>
              </w:rPr>
              <w:t>0.096</w:t>
            </w:r>
          </w:p>
        </w:tc>
        <w:tc>
          <w:tcPr>
            <w:tcW w:w="1815" w:type="dxa"/>
            <w:gridSpan w:val="3"/>
          </w:tcPr>
          <w:p w14:paraId="6890BD36" w14:textId="77777777" w:rsidR="00E27F8E" w:rsidRPr="00A67D5C" w:rsidRDefault="00E27F8E" w:rsidP="0066301C">
            <w:pPr>
              <w:rPr>
                <w:rFonts w:ascii="Arial" w:hAnsi="Arial" w:cs="Arial"/>
              </w:rPr>
            </w:pPr>
            <w:r w:rsidRPr="00A67D5C">
              <w:rPr>
                <w:rFonts w:ascii="Arial" w:hAnsi="Arial" w:cs="Arial"/>
              </w:rPr>
              <w:t>7.571</w:t>
            </w:r>
          </w:p>
        </w:tc>
        <w:tc>
          <w:tcPr>
            <w:tcW w:w="1660" w:type="dxa"/>
          </w:tcPr>
          <w:p w14:paraId="13B7A506" w14:textId="77777777" w:rsidR="00E27F8E" w:rsidRPr="00A67D5C" w:rsidRDefault="00E27F8E" w:rsidP="0066301C">
            <w:pPr>
              <w:rPr>
                <w:rFonts w:ascii="Arial" w:hAnsi="Arial" w:cs="Arial"/>
              </w:rPr>
            </w:pPr>
            <w:r w:rsidRPr="00A67D5C">
              <w:rPr>
                <w:rFonts w:ascii="Arial" w:hAnsi="Arial" w:cs="Arial"/>
              </w:rPr>
              <w:t>0.000</w:t>
            </w:r>
          </w:p>
        </w:tc>
      </w:tr>
      <w:tr w:rsidR="00E27F8E" w14:paraId="6FCC3229" w14:textId="77777777" w:rsidTr="004D74AB">
        <w:trPr>
          <w:trHeight w:val="288"/>
        </w:trPr>
        <w:tc>
          <w:tcPr>
            <w:tcW w:w="2969" w:type="dxa"/>
          </w:tcPr>
          <w:p w14:paraId="21188653" w14:textId="77777777" w:rsidR="00E27F8E" w:rsidRPr="00A67D5C" w:rsidRDefault="00E27F8E" w:rsidP="0066301C">
            <w:pPr>
              <w:rPr>
                <w:rFonts w:ascii="Arial" w:hAnsi="Arial" w:cs="Arial"/>
              </w:rPr>
            </w:pPr>
            <w:r w:rsidRPr="00A67D5C">
              <w:rPr>
                <w:rFonts w:ascii="Arial" w:hAnsi="Arial" w:cs="Arial"/>
              </w:rPr>
              <w:t>∆LNREER</w:t>
            </w:r>
          </w:p>
        </w:tc>
        <w:tc>
          <w:tcPr>
            <w:tcW w:w="1420" w:type="dxa"/>
          </w:tcPr>
          <w:p w14:paraId="44E5D47A" w14:textId="77777777" w:rsidR="00E27F8E" w:rsidRPr="00A67D5C" w:rsidRDefault="00E27F8E" w:rsidP="0066301C">
            <w:pPr>
              <w:rPr>
                <w:rFonts w:ascii="Arial" w:hAnsi="Arial" w:cs="Arial"/>
              </w:rPr>
            </w:pPr>
            <w:r w:rsidRPr="00A67D5C">
              <w:rPr>
                <w:rFonts w:ascii="Arial" w:hAnsi="Arial" w:cs="Arial"/>
              </w:rPr>
              <w:t>-0.379</w:t>
            </w:r>
          </w:p>
        </w:tc>
        <w:tc>
          <w:tcPr>
            <w:tcW w:w="1629" w:type="dxa"/>
          </w:tcPr>
          <w:p w14:paraId="40151A3F" w14:textId="77777777" w:rsidR="00E27F8E" w:rsidRPr="00A67D5C" w:rsidRDefault="00E27F8E" w:rsidP="0066301C">
            <w:pPr>
              <w:rPr>
                <w:rFonts w:ascii="Arial" w:hAnsi="Arial" w:cs="Arial"/>
              </w:rPr>
            </w:pPr>
            <w:r w:rsidRPr="00A67D5C">
              <w:rPr>
                <w:rFonts w:ascii="Arial" w:hAnsi="Arial" w:cs="Arial"/>
              </w:rPr>
              <w:t>0.194</w:t>
            </w:r>
          </w:p>
        </w:tc>
        <w:tc>
          <w:tcPr>
            <w:tcW w:w="1815" w:type="dxa"/>
            <w:gridSpan w:val="3"/>
          </w:tcPr>
          <w:p w14:paraId="049CB922" w14:textId="77777777" w:rsidR="00E27F8E" w:rsidRPr="00A67D5C" w:rsidRDefault="00E27F8E" w:rsidP="0066301C">
            <w:pPr>
              <w:rPr>
                <w:rFonts w:ascii="Arial" w:hAnsi="Arial" w:cs="Arial"/>
              </w:rPr>
            </w:pPr>
            <w:r w:rsidRPr="00A67D5C">
              <w:rPr>
                <w:rFonts w:ascii="Arial" w:hAnsi="Arial" w:cs="Arial"/>
              </w:rPr>
              <w:t>-</w:t>
            </w:r>
            <w:r>
              <w:rPr>
                <w:rFonts w:ascii="Arial" w:hAnsi="Arial" w:cs="Arial"/>
              </w:rPr>
              <w:t>2</w:t>
            </w:r>
            <w:r w:rsidRPr="00A67D5C">
              <w:rPr>
                <w:rFonts w:ascii="Arial" w:hAnsi="Arial" w:cs="Arial"/>
              </w:rPr>
              <w:t>.961</w:t>
            </w:r>
          </w:p>
        </w:tc>
        <w:tc>
          <w:tcPr>
            <w:tcW w:w="1660" w:type="dxa"/>
          </w:tcPr>
          <w:p w14:paraId="0B770374" w14:textId="77777777" w:rsidR="00E27F8E" w:rsidRPr="00A67D5C" w:rsidRDefault="00E27F8E" w:rsidP="0066301C">
            <w:pPr>
              <w:rPr>
                <w:rFonts w:ascii="Arial" w:hAnsi="Arial" w:cs="Arial"/>
              </w:rPr>
            </w:pPr>
            <w:r w:rsidRPr="00A67D5C">
              <w:rPr>
                <w:rFonts w:ascii="Arial" w:hAnsi="Arial" w:cs="Arial"/>
              </w:rPr>
              <w:t>0.0</w:t>
            </w:r>
            <w:r>
              <w:rPr>
                <w:rFonts w:ascii="Arial" w:hAnsi="Arial" w:cs="Arial"/>
              </w:rPr>
              <w:t>3</w:t>
            </w:r>
            <w:r w:rsidRPr="00A67D5C">
              <w:rPr>
                <w:rFonts w:ascii="Arial" w:hAnsi="Arial" w:cs="Arial"/>
              </w:rPr>
              <w:t>9</w:t>
            </w:r>
          </w:p>
        </w:tc>
      </w:tr>
      <w:tr w:rsidR="00E27F8E" w14:paraId="25194F1B" w14:textId="77777777" w:rsidTr="004D74AB">
        <w:trPr>
          <w:trHeight w:val="288"/>
        </w:trPr>
        <w:tc>
          <w:tcPr>
            <w:tcW w:w="2969" w:type="dxa"/>
          </w:tcPr>
          <w:p w14:paraId="07AD3181" w14:textId="77777777" w:rsidR="00E27F8E" w:rsidRPr="00A67D5C" w:rsidRDefault="00E27F8E" w:rsidP="0066301C">
            <w:pPr>
              <w:rPr>
                <w:rFonts w:ascii="Arial" w:hAnsi="Arial" w:cs="Arial"/>
              </w:rPr>
            </w:pPr>
            <w:r w:rsidRPr="00A67D5C">
              <w:rPr>
                <w:rFonts w:ascii="Arial" w:hAnsi="Arial" w:cs="Arial"/>
              </w:rPr>
              <w:lastRenderedPageBreak/>
              <w:t>∆LNDI</w:t>
            </w:r>
          </w:p>
        </w:tc>
        <w:tc>
          <w:tcPr>
            <w:tcW w:w="1420" w:type="dxa"/>
          </w:tcPr>
          <w:p w14:paraId="1A50D6D7" w14:textId="77777777" w:rsidR="00E27F8E" w:rsidRPr="00A67D5C" w:rsidRDefault="00E27F8E" w:rsidP="0066301C">
            <w:pPr>
              <w:rPr>
                <w:rFonts w:ascii="Arial" w:hAnsi="Arial" w:cs="Arial"/>
              </w:rPr>
            </w:pPr>
            <w:r w:rsidRPr="00A67D5C">
              <w:rPr>
                <w:rFonts w:ascii="Arial" w:hAnsi="Arial" w:cs="Arial"/>
              </w:rPr>
              <w:t>0.013</w:t>
            </w:r>
          </w:p>
        </w:tc>
        <w:tc>
          <w:tcPr>
            <w:tcW w:w="1629" w:type="dxa"/>
          </w:tcPr>
          <w:p w14:paraId="2A4EB9B1" w14:textId="77777777" w:rsidR="00E27F8E" w:rsidRPr="00A67D5C" w:rsidRDefault="00E27F8E" w:rsidP="0066301C">
            <w:pPr>
              <w:rPr>
                <w:rFonts w:ascii="Arial" w:hAnsi="Arial" w:cs="Arial"/>
              </w:rPr>
            </w:pPr>
            <w:r w:rsidRPr="00A67D5C">
              <w:rPr>
                <w:rFonts w:ascii="Arial" w:hAnsi="Arial" w:cs="Arial"/>
              </w:rPr>
              <w:t>0.121</w:t>
            </w:r>
          </w:p>
        </w:tc>
        <w:tc>
          <w:tcPr>
            <w:tcW w:w="1815" w:type="dxa"/>
            <w:gridSpan w:val="3"/>
          </w:tcPr>
          <w:p w14:paraId="29368EFF" w14:textId="77777777" w:rsidR="00E27F8E" w:rsidRPr="00A67D5C" w:rsidRDefault="00E27F8E" w:rsidP="0066301C">
            <w:pPr>
              <w:rPr>
                <w:rFonts w:ascii="Arial" w:hAnsi="Arial" w:cs="Arial"/>
              </w:rPr>
            </w:pPr>
            <w:r w:rsidRPr="00A67D5C">
              <w:rPr>
                <w:rFonts w:ascii="Arial" w:hAnsi="Arial" w:cs="Arial"/>
              </w:rPr>
              <w:t>0.104</w:t>
            </w:r>
          </w:p>
        </w:tc>
        <w:tc>
          <w:tcPr>
            <w:tcW w:w="1660" w:type="dxa"/>
          </w:tcPr>
          <w:p w14:paraId="2D18A25B" w14:textId="77777777" w:rsidR="00E27F8E" w:rsidRPr="00A67D5C" w:rsidRDefault="00E27F8E" w:rsidP="0066301C">
            <w:pPr>
              <w:rPr>
                <w:rFonts w:ascii="Arial" w:hAnsi="Arial" w:cs="Arial"/>
              </w:rPr>
            </w:pPr>
            <w:r w:rsidRPr="00A67D5C">
              <w:rPr>
                <w:rFonts w:ascii="Arial" w:hAnsi="Arial" w:cs="Arial"/>
              </w:rPr>
              <w:t>0.918</w:t>
            </w:r>
          </w:p>
        </w:tc>
      </w:tr>
      <w:tr w:rsidR="00E27F8E" w14:paraId="4EFA3483" w14:textId="77777777" w:rsidTr="004D74AB">
        <w:trPr>
          <w:trHeight w:val="288"/>
        </w:trPr>
        <w:tc>
          <w:tcPr>
            <w:tcW w:w="2969" w:type="dxa"/>
          </w:tcPr>
          <w:p w14:paraId="56FC94AD" w14:textId="77777777" w:rsidR="00E27F8E" w:rsidRPr="00A67D5C" w:rsidRDefault="00E27F8E" w:rsidP="0066301C">
            <w:pPr>
              <w:rPr>
                <w:rFonts w:ascii="Arial" w:hAnsi="Arial" w:cs="Arial"/>
              </w:rPr>
            </w:pPr>
            <w:r w:rsidRPr="00A67D5C">
              <w:rPr>
                <w:rFonts w:ascii="Arial" w:hAnsi="Arial" w:cs="Arial"/>
              </w:rPr>
              <w:t>∆LNDI</w:t>
            </w:r>
            <w:r w:rsidRPr="00A67D5C">
              <w:rPr>
                <w:rFonts w:ascii="Arial" w:hAnsi="Arial" w:cs="Arial"/>
                <w:vertAlign w:val="subscript"/>
              </w:rPr>
              <w:t>t-1</w:t>
            </w:r>
          </w:p>
        </w:tc>
        <w:tc>
          <w:tcPr>
            <w:tcW w:w="1420" w:type="dxa"/>
          </w:tcPr>
          <w:p w14:paraId="32E090D5" w14:textId="77777777" w:rsidR="00E27F8E" w:rsidRPr="00A67D5C" w:rsidRDefault="00E27F8E" w:rsidP="0066301C">
            <w:pPr>
              <w:rPr>
                <w:rFonts w:ascii="Arial" w:hAnsi="Arial" w:cs="Arial"/>
              </w:rPr>
            </w:pPr>
            <w:r w:rsidRPr="00A67D5C">
              <w:rPr>
                <w:rFonts w:ascii="Arial" w:hAnsi="Arial" w:cs="Arial"/>
              </w:rPr>
              <w:t>-0.341</w:t>
            </w:r>
          </w:p>
        </w:tc>
        <w:tc>
          <w:tcPr>
            <w:tcW w:w="1629" w:type="dxa"/>
          </w:tcPr>
          <w:p w14:paraId="6C210901" w14:textId="77777777" w:rsidR="00E27F8E" w:rsidRPr="00A67D5C" w:rsidRDefault="00E27F8E" w:rsidP="0066301C">
            <w:pPr>
              <w:rPr>
                <w:rFonts w:ascii="Arial" w:hAnsi="Arial" w:cs="Arial"/>
              </w:rPr>
            </w:pPr>
            <w:r w:rsidRPr="00A67D5C">
              <w:rPr>
                <w:rFonts w:ascii="Arial" w:hAnsi="Arial" w:cs="Arial"/>
              </w:rPr>
              <w:t>0.107</w:t>
            </w:r>
          </w:p>
        </w:tc>
        <w:tc>
          <w:tcPr>
            <w:tcW w:w="1815" w:type="dxa"/>
            <w:gridSpan w:val="3"/>
          </w:tcPr>
          <w:p w14:paraId="4A634C18" w14:textId="77777777" w:rsidR="00E27F8E" w:rsidRPr="00A67D5C" w:rsidRDefault="00E27F8E" w:rsidP="0066301C">
            <w:pPr>
              <w:rPr>
                <w:rFonts w:ascii="Arial" w:hAnsi="Arial" w:cs="Arial"/>
              </w:rPr>
            </w:pPr>
            <w:r w:rsidRPr="00A67D5C">
              <w:rPr>
                <w:rFonts w:ascii="Arial" w:hAnsi="Arial" w:cs="Arial"/>
              </w:rPr>
              <w:t>-3.178</w:t>
            </w:r>
          </w:p>
        </w:tc>
        <w:tc>
          <w:tcPr>
            <w:tcW w:w="1660" w:type="dxa"/>
          </w:tcPr>
          <w:p w14:paraId="5E6B21BD" w14:textId="77777777" w:rsidR="00E27F8E" w:rsidRPr="00A67D5C" w:rsidRDefault="00E27F8E" w:rsidP="0066301C">
            <w:pPr>
              <w:rPr>
                <w:rFonts w:ascii="Arial" w:hAnsi="Arial" w:cs="Arial"/>
              </w:rPr>
            </w:pPr>
            <w:r w:rsidRPr="00A67D5C">
              <w:rPr>
                <w:rFonts w:ascii="Arial" w:hAnsi="Arial" w:cs="Arial"/>
              </w:rPr>
              <w:t>0.004</w:t>
            </w:r>
          </w:p>
        </w:tc>
      </w:tr>
      <w:tr w:rsidR="00E27F8E" w14:paraId="60692C44" w14:textId="77777777" w:rsidTr="004D74AB">
        <w:trPr>
          <w:trHeight w:val="288"/>
        </w:trPr>
        <w:tc>
          <w:tcPr>
            <w:tcW w:w="2969" w:type="dxa"/>
          </w:tcPr>
          <w:p w14:paraId="6FBD7229" w14:textId="77777777" w:rsidR="00E27F8E" w:rsidRPr="00A67D5C" w:rsidRDefault="00E27F8E" w:rsidP="0066301C">
            <w:pPr>
              <w:rPr>
                <w:rFonts w:ascii="Arial" w:hAnsi="Arial" w:cs="Arial"/>
              </w:rPr>
            </w:pPr>
            <w:r w:rsidRPr="00A67D5C">
              <w:rPr>
                <w:rFonts w:ascii="Arial" w:hAnsi="Arial" w:cs="Arial"/>
              </w:rPr>
              <w:t>∆LNCHINAFI</w:t>
            </w:r>
          </w:p>
        </w:tc>
        <w:tc>
          <w:tcPr>
            <w:tcW w:w="1420" w:type="dxa"/>
          </w:tcPr>
          <w:p w14:paraId="51D1704D" w14:textId="77777777" w:rsidR="00E27F8E" w:rsidRPr="00A67D5C" w:rsidRDefault="00E27F8E" w:rsidP="0066301C">
            <w:pPr>
              <w:rPr>
                <w:rFonts w:ascii="Arial" w:hAnsi="Arial" w:cs="Arial"/>
              </w:rPr>
            </w:pPr>
            <w:r w:rsidRPr="00A67D5C">
              <w:rPr>
                <w:rFonts w:ascii="Arial" w:hAnsi="Arial" w:cs="Arial"/>
              </w:rPr>
              <w:t>0.192</w:t>
            </w:r>
          </w:p>
        </w:tc>
        <w:tc>
          <w:tcPr>
            <w:tcW w:w="1629" w:type="dxa"/>
          </w:tcPr>
          <w:p w14:paraId="6ACE18E8" w14:textId="77777777" w:rsidR="00E27F8E" w:rsidRPr="00A67D5C" w:rsidRDefault="00E27F8E" w:rsidP="0066301C">
            <w:pPr>
              <w:rPr>
                <w:rFonts w:ascii="Arial" w:hAnsi="Arial" w:cs="Arial"/>
              </w:rPr>
            </w:pPr>
            <w:r w:rsidRPr="00A67D5C">
              <w:rPr>
                <w:rFonts w:ascii="Arial" w:hAnsi="Arial" w:cs="Arial"/>
              </w:rPr>
              <w:t>0.160</w:t>
            </w:r>
          </w:p>
        </w:tc>
        <w:tc>
          <w:tcPr>
            <w:tcW w:w="1815" w:type="dxa"/>
            <w:gridSpan w:val="3"/>
          </w:tcPr>
          <w:p w14:paraId="7F9E5B70" w14:textId="77777777" w:rsidR="00E27F8E" w:rsidRPr="00A67D5C" w:rsidRDefault="00E27F8E" w:rsidP="0066301C">
            <w:pPr>
              <w:rPr>
                <w:rFonts w:ascii="Arial" w:hAnsi="Arial" w:cs="Arial"/>
              </w:rPr>
            </w:pPr>
            <w:r w:rsidRPr="00A67D5C">
              <w:rPr>
                <w:rFonts w:ascii="Arial" w:hAnsi="Arial" w:cs="Arial"/>
              </w:rPr>
              <w:t>1.198</w:t>
            </w:r>
          </w:p>
        </w:tc>
        <w:tc>
          <w:tcPr>
            <w:tcW w:w="1660" w:type="dxa"/>
          </w:tcPr>
          <w:p w14:paraId="7926CBE6" w14:textId="77777777" w:rsidR="00E27F8E" w:rsidRPr="00A67D5C" w:rsidRDefault="00E27F8E" w:rsidP="0066301C">
            <w:pPr>
              <w:rPr>
                <w:rFonts w:ascii="Arial" w:hAnsi="Arial" w:cs="Arial"/>
              </w:rPr>
            </w:pPr>
            <w:r w:rsidRPr="00A67D5C">
              <w:rPr>
                <w:rFonts w:ascii="Arial" w:hAnsi="Arial" w:cs="Arial"/>
              </w:rPr>
              <w:t>0.241</w:t>
            </w:r>
          </w:p>
        </w:tc>
      </w:tr>
      <w:tr w:rsidR="00E27F8E" w14:paraId="166E2E8D" w14:textId="77777777" w:rsidTr="004D74AB">
        <w:trPr>
          <w:trHeight w:val="288"/>
        </w:trPr>
        <w:tc>
          <w:tcPr>
            <w:tcW w:w="2969" w:type="dxa"/>
          </w:tcPr>
          <w:p w14:paraId="3DD41454" w14:textId="77777777" w:rsidR="00E27F8E" w:rsidRDefault="00E27F8E" w:rsidP="0066301C">
            <w:r>
              <w:rPr>
                <w:rFonts w:cstheme="minorHAnsi"/>
              </w:rPr>
              <w:t>ECM</w:t>
            </w:r>
            <w:r>
              <w:rPr>
                <w:rFonts w:cstheme="minorHAnsi"/>
                <w:vertAlign w:val="subscript"/>
              </w:rPr>
              <w:t>t-1</w:t>
            </w:r>
          </w:p>
        </w:tc>
        <w:tc>
          <w:tcPr>
            <w:tcW w:w="1420" w:type="dxa"/>
          </w:tcPr>
          <w:p w14:paraId="0C1CBC60" w14:textId="77777777" w:rsidR="00E27F8E" w:rsidRPr="00EA6341" w:rsidRDefault="00E27F8E" w:rsidP="0066301C">
            <w:pPr>
              <w:rPr>
                <w:rFonts w:ascii="Arial" w:hAnsi="Arial" w:cs="Arial"/>
              </w:rPr>
            </w:pPr>
            <w:r w:rsidRPr="00EA6341">
              <w:rPr>
                <w:rFonts w:ascii="Arial" w:hAnsi="Arial" w:cs="Arial"/>
              </w:rPr>
              <w:t>-0.868</w:t>
            </w:r>
          </w:p>
        </w:tc>
        <w:tc>
          <w:tcPr>
            <w:tcW w:w="1629" w:type="dxa"/>
          </w:tcPr>
          <w:p w14:paraId="45736AE4" w14:textId="77777777" w:rsidR="00E27F8E" w:rsidRPr="00EA6341" w:rsidRDefault="00E27F8E" w:rsidP="0066301C">
            <w:pPr>
              <w:rPr>
                <w:rFonts w:ascii="Arial" w:hAnsi="Arial" w:cs="Arial"/>
              </w:rPr>
            </w:pPr>
            <w:r w:rsidRPr="00EA6341">
              <w:rPr>
                <w:rFonts w:ascii="Arial" w:hAnsi="Arial" w:cs="Arial"/>
              </w:rPr>
              <w:t>0.112</w:t>
            </w:r>
          </w:p>
        </w:tc>
        <w:tc>
          <w:tcPr>
            <w:tcW w:w="1815" w:type="dxa"/>
            <w:gridSpan w:val="3"/>
          </w:tcPr>
          <w:p w14:paraId="77D8999F" w14:textId="77777777" w:rsidR="00E27F8E" w:rsidRPr="00EA6341" w:rsidRDefault="00E27F8E" w:rsidP="0066301C">
            <w:pPr>
              <w:rPr>
                <w:rFonts w:ascii="Arial" w:hAnsi="Arial" w:cs="Arial"/>
              </w:rPr>
            </w:pPr>
            <w:r w:rsidRPr="00EA6341">
              <w:rPr>
                <w:rFonts w:ascii="Arial" w:hAnsi="Arial" w:cs="Arial"/>
              </w:rPr>
              <w:t>-7.768</w:t>
            </w:r>
          </w:p>
        </w:tc>
        <w:tc>
          <w:tcPr>
            <w:tcW w:w="1660" w:type="dxa"/>
          </w:tcPr>
          <w:p w14:paraId="4B8A5F13" w14:textId="77777777" w:rsidR="00E27F8E" w:rsidRPr="00EA6341" w:rsidRDefault="00E27F8E" w:rsidP="0066301C">
            <w:pPr>
              <w:rPr>
                <w:rFonts w:ascii="Arial" w:hAnsi="Arial" w:cs="Arial"/>
              </w:rPr>
            </w:pPr>
            <w:r w:rsidRPr="00EA6341">
              <w:rPr>
                <w:rFonts w:ascii="Arial" w:hAnsi="Arial" w:cs="Arial"/>
              </w:rPr>
              <w:t>0.000</w:t>
            </w:r>
          </w:p>
        </w:tc>
      </w:tr>
      <w:tr w:rsidR="00E27F8E" w14:paraId="44644F8D" w14:textId="77777777" w:rsidTr="004D74AB">
        <w:trPr>
          <w:trHeight w:val="288"/>
        </w:trPr>
        <w:tc>
          <w:tcPr>
            <w:tcW w:w="9493" w:type="dxa"/>
            <w:gridSpan w:val="7"/>
          </w:tcPr>
          <w:p w14:paraId="1BFC981D" w14:textId="77777777" w:rsidR="00E27F8E" w:rsidRPr="00A67D5C" w:rsidRDefault="00E27F8E" w:rsidP="0066301C">
            <w:pPr>
              <w:jc w:val="center"/>
              <w:rPr>
                <w:rFonts w:ascii="Arial" w:hAnsi="Arial" w:cs="Arial"/>
                <w:b/>
                <w:bCs/>
              </w:rPr>
            </w:pPr>
            <w:r w:rsidRPr="00A67D5C">
              <w:rPr>
                <w:rFonts w:ascii="Arial" w:hAnsi="Arial" w:cs="Arial"/>
                <w:b/>
                <w:bCs/>
              </w:rPr>
              <w:t>Partner France</w:t>
            </w:r>
          </w:p>
        </w:tc>
      </w:tr>
      <w:tr w:rsidR="00E27F8E" w14:paraId="14EAB454" w14:textId="77777777" w:rsidTr="004D74AB">
        <w:trPr>
          <w:trHeight w:val="288"/>
        </w:trPr>
        <w:tc>
          <w:tcPr>
            <w:tcW w:w="2969" w:type="dxa"/>
          </w:tcPr>
          <w:p w14:paraId="574CA4D8" w14:textId="77777777" w:rsidR="00E27F8E" w:rsidRPr="00A67D5C" w:rsidRDefault="00E27F8E" w:rsidP="0066301C">
            <w:pPr>
              <w:jc w:val="center"/>
              <w:rPr>
                <w:rFonts w:ascii="Arial" w:hAnsi="Arial" w:cs="Arial"/>
                <w:b/>
                <w:bCs/>
              </w:rPr>
            </w:pPr>
            <w:r w:rsidRPr="00A67D5C">
              <w:rPr>
                <w:rFonts w:ascii="Arial" w:hAnsi="Arial" w:cs="Arial"/>
                <w:b/>
                <w:bCs/>
              </w:rPr>
              <w:t>Variable</w:t>
            </w:r>
          </w:p>
        </w:tc>
        <w:tc>
          <w:tcPr>
            <w:tcW w:w="1420" w:type="dxa"/>
          </w:tcPr>
          <w:p w14:paraId="325CDD65" w14:textId="77777777" w:rsidR="00E27F8E" w:rsidRPr="00A67D5C" w:rsidRDefault="00E27F8E" w:rsidP="0066301C">
            <w:pPr>
              <w:jc w:val="center"/>
              <w:rPr>
                <w:rFonts w:ascii="Arial" w:hAnsi="Arial" w:cs="Arial"/>
                <w:b/>
                <w:bCs/>
              </w:rPr>
            </w:pPr>
            <w:r w:rsidRPr="00A67D5C">
              <w:rPr>
                <w:rFonts w:ascii="Arial" w:hAnsi="Arial" w:cs="Arial"/>
                <w:b/>
                <w:bCs/>
              </w:rPr>
              <w:t>Coefficient</w:t>
            </w:r>
          </w:p>
        </w:tc>
        <w:tc>
          <w:tcPr>
            <w:tcW w:w="1702" w:type="dxa"/>
            <w:gridSpan w:val="2"/>
          </w:tcPr>
          <w:p w14:paraId="2FA626E3" w14:textId="77777777" w:rsidR="00E27F8E" w:rsidRPr="00A67D5C" w:rsidRDefault="00E27F8E" w:rsidP="0066301C">
            <w:pPr>
              <w:jc w:val="center"/>
              <w:rPr>
                <w:rFonts w:ascii="Arial" w:hAnsi="Arial" w:cs="Arial"/>
                <w:b/>
                <w:bCs/>
              </w:rPr>
            </w:pPr>
            <w:r w:rsidRPr="00A67D5C">
              <w:rPr>
                <w:rFonts w:ascii="Arial" w:hAnsi="Arial" w:cs="Arial"/>
                <w:b/>
                <w:bCs/>
              </w:rPr>
              <w:t>Std. Error</w:t>
            </w:r>
          </w:p>
        </w:tc>
        <w:tc>
          <w:tcPr>
            <w:tcW w:w="1701" w:type="dxa"/>
          </w:tcPr>
          <w:p w14:paraId="142E98FA" w14:textId="77777777" w:rsidR="00E27F8E" w:rsidRPr="00A67D5C" w:rsidRDefault="00E27F8E" w:rsidP="0066301C">
            <w:pPr>
              <w:jc w:val="center"/>
              <w:rPr>
                <w:rFonts w:ascii="Arial" w:hAnsi="Arial" w:cs="Arial"/>
                <w:b/>
                <w:bCs/>
              </w:rPr>
            </w:pPr>
            <w:r w:rsidRPr="00A67D5C">
              <w:rPr>
                <w:rFonts w:ascii="Arial" w:hAnsi="Arial" w:cs="Arial"/>
                <w:b/>
                <w:bCs/>
              </w:rPr>
              <w:t>t-statistic</w:t>
            </w:r>
          </w:p>
        </w:tc>
        <w:tc>
          <w:tcPr>
            <w:tcW w:w="1701" w:type="dxa"/>
            <w:gridSpan w:val="2"/>
          </w:tcPr>
          <w:p w14:paraId="5AAF5F5F" w14:textId="77777777" w:rsidR="00E27F8E" w:rsidRPr="00A67D5C" w:rsidRDefault="00E27F8E" w:rsidP="0066301C">
            <w:pPr>
              <w:jc w:val="center"/>
              <w:rPr>
                <w:rFonts w:ascii="Arial" w:hAnsi="Arial" w:cs="Arial"/>
                <w:b/>
                <w:bCs/>
              </w:rPr>
            </w:pPr>
            <w:r w:rsidRPr="00A67D5C">
              <w:rPr>
                <w:rFonts w:ascii="Arial" w:hAnsi="Arial" w:cs="Arial"/>
                <w:b/>
                <w:bCs/>
              </w:rPr>
              <w:t>Prob.</w:t>
            </w:r>
          </w:p>
        </w:tc>
      </w:tr>
      <w:tr w:rsidR="00E27F8E" w14:paraId="4C4559A4" w14:textId="77777777" w:rsidTr="004D74AB">
        <w:trPr>
          <w:trHeight w:val="288"/>
        </w:trPr>
        <w:tc>
          <w:tcPr>
            <w:tcW w:w="2969" w:type="dxa"/>
          </w:tcPr>
          <w:p w14:paraId="0B14B4D0" w14:textId="77777777" w:rsidR="00E27F8E" w:rsidRPr="00A67D5C" w:rsidRDefault="00E27F8E" w:rsidP="0066301C">
            <w:pPr>
              <w:rPr>
                <w:rFonts w:ascii="Arial" w:hAnsi="Arial" w:cs="Arial"/>
                <w:sz w:val="20"/>
                <w:szCs w:val="20"/>
                <w:vertAlign w:val="subscript"/>
              </w:rPr>
            </w:pPr>
            <w:r w:rsidRPr="00A67D5C">
              <w:rPr>
                <w:rFonts w:ascii="Arial" w:hAnsi="Arial" w:cs="Arial"/>
                <w:sz w:val="20"/>
                <w:szCs w:val="20"/>
              </w:rPr>
              <w:t xml:space="preserve">Dependent variable </w:t>
            </w:r>
            <w:r w:rsidRPr="00A67D5C">
              <w:rPr>
                <w:rFonts w:ascii="Arial" w:hAnsi="Arial" w:cs="Arial"/>
              </w:rPr>
              <w:t>∆LNTB</w:t>
            </w:r>
            <w:r w:rsidRPr="00A67D5C">
              <w:rPr>
                <w:rFonts w:ascii="Arial" w:hAnsi="Arial" w:cs="Arial"/>
                <w:vertAlign w:val="subscript"/>
              </w:rPr>
              <w:t>t</w:t>
            </w:r>
          </w:p>
        </w:tc>
        <w:tc>
          <w:tcPr>
            <w:tcW w:w="1420" w:type="dxa"/>
          </w:tcPr>
          <w:p w14:paraId="34694F2D" w14:textId="77777777" w:rsidR="00E27F8E" w:rsidRPr="00A67D5C" w:rsidRDefault="00E27F8E" w:rsidP="0066301C">
            <w:pPr>
              <w:rPr>
                <w:rFonts w:ascii="Arial" w:hAnsi="Arial" w:cs="Arial"/>
              </w:rPr>
            </w:pPr>
          </w:p>
        </w:tc>
        <w:tc>
          <w:tcPr>
            <w:tcW w:w="1702" w:type="dxa"/>
            <w:gridSpan w:val="2"/>
          </w:tcPr>
          <w:p w14:paraId="470F535B" w14:textId="77777777" w:rsidR="00E27F8E" w:rsidRPr="00A67D5C" w:rsidRDefault="00E27F8E" w:rsidP="0066301C">
            <w:pPr>
              <w:rPr>
                <w:rFonts w:ascii="Arial" w:hAnsi="Arial" w:cs="Arial"/>
              </w:rPr>
            </w:pPr>
          </w:p>
        </w:tc>
        <w:tc>
          <w:tcPr>
            <w:tcW w:w="1701" w:type="dxa"/>
          </w:tcPr>
          <w:p w14:paraId="31FD9404" w14:textId="77777777" w:rsidR="00E27F8E" w:rsidRPr="00A67D5C" w:rsidRDefault="00E27F8E" w:rsidP="0066301C">
            <w:pPr>
              <w:rPr>
                <w:rFonts w:ascii="Arial" w:hAnsi="Arial" w:cs="Arial"/>
              </w:rPr>
            </w:pPr>
          </w:p>
        </w:tc>
        <w:tc>
          <w:tcPr>
            <w:tcW w:w="1701" w:type="dxa"/>
            <w:gridSpan w:val="2"/>
          </w:tcPr>
          <w:p w14:paraId="68241BA4" w14:textId="77777777" w:rsidR="00E27F8E" w:rsidRPr="00A67D5C" w:rsidRDefault="00E27F8E" w:rsidP="0066301C">
            <w:pPr>
              <w:rPr>
                <w:rFonts w:ascii="Arial" w:hAnsi="Arial" w:cs="Arial"/>
              </w:rPr>
            </w:pPr>
          </w:p>
        </w:tc>
      </w:tr>
      <w:tr w:rsidR="00E27F8E" w14:paraId="656D6EB6" w14:textId="77777777" w:rsidTr="004D74AB">
        <w:trPr>
          <w:trHeight w:val="301"/>
        </w:trPr>
        <w:tc>
          <w:tcPr>
            <w:tcW w:w="2969" w:type="dxa"/>
          </w:tcPr>
          <w:p w14:paraId="1B8CB41C" w14:textId="77777777" w:rsidR="00E27F8E" w:rsidRPr="00A67D5C" w:rsidRDefault="00E27F8E" w:rsidP="0066301C">
            <w:pPr>
              <w:rPr>
                <w:rFonts w:ascii="Arial" w:hAnsi="Arial" w:cs="Arial"/>
                <w:b/>
                <w:bCs/>
              </w:rPr>
            </w:pPr>
            <w:r w:rsidRPr="00A67D5C">
              <w:rPr>
                <w:rFonts w:ascii="Arial" w:hAnsi="Arial" w:cs="Arial"/>
                <w:b/>
                <w:bCs/>
              </w:rPr>
              <w:t>Long-run elasticities</w:t>
            </w:r>
          </w:p>
        </w:tc>
        <w:tc>
          <w:tcPr>
            <w:tcW w:w="1420" w:type="dxa"/>
          </w:tcPr>
          <w:p w14:paraId="7FE64D3E" w14:textId="77777777" w:rsidR="00E27F8E" w:rsidRPr="00A67D5C" w:rsidRDefault="00E27F8E" w:rsidP="0066301C">
            <w:pPr>
              <w:rPr>
                <w:rFonts w:ascii="Arial" w:hAnsi="Arial" w:cs="Arial"/>
              </w:rPr>
            </w:pPr>
          </w:p>
        </w:tc>
        <w:tc>
          <w:tcPr>
            <w:tcW w:w="1702" w:type="dxa"/>
            <w:gridSpan w:val="2"/>
          </w:tcPr>
          <w:p w14:paraId="412E30C5" w14:textId="77777777" w:rsidR="00E27F8E" w:rsidRPr="00A67D5C" w:rsidRDefault="00E27F8E" w:rsidP="0066301C">
            <w:pPr>
              <w:rPr>
                <w:rFonts w:ascii="Arial" w:hAnsi="Arial" w:cs="Arial"/>
              </w:rPr>
            </w:pPr>
          </w:p>
        </w:tc>
        <w:tc>
          <w:tcPr>
            <w:tcW w:w="1701" w:type="dxa"/>
          </w:tcPr>
          <w:p w14:paraId="2411C91D" w14:textId="77777777" w:rsidR="00E27F8E" w:rsidRPr="00A67D5C" w:rsidRDefault="00E27F8E" w:rsidP="0066301C">
            <w:pPr>
              <w:rPr>
                <w:rFonts w:ascii="Arial" w:hAnsi="Arial" w:cs="Arial"/>
              </w:rPr>
            </w:pPr>
          </w:p>
        </w:tc>
        <w:tc>
          <w:tcPr>
            <w:tcW w:w="1701" w:type="dxa"/>
            <w:gridSpan w:val="2"/>
          </w:tcPr>
          <w:p w14:paraId="595D2551" w14:textId="77777777" w:rsidR="00E27F8E" w:rsidRPr="00A67D5C" w:rsidRDefault="00E27F8E" w:rsidP="0066301C">
            <w:pPr>
              <w:rPr>
                <w:rFonts w:ascii="Arial" w:hAnsi="Arial" w:cs="Arial"/>
              </w:rPr>
            </w:pPr>
          </w:p>
        </w:tc>
      </w:tr>
      <w:tr w:rsidR="00E27F8E" w14:paraId="357A4177" w14:textId="77777777" w:rsidTr="004D74AB">
        <w:trPr>
          <w:trHeight w:val="288"/>
        </w:trPr>
        <w:tc>
          <w:tcPr>
            <w:tcW w:w="2969" w:type="dxa"/>
          </w:tcPr>
          <w:p w14:paraId="323D379A" w14:textId="77777777" w:rsidR="00E27F8E" w:rsidRPr="00A67D5C" w:rsidRDefault="00E27F8E" w:rsidP="0066301C">
            <w:pPr>
              <w:rPr>
                <w:rFonts w:ascii="Arial" w:hAnsi="Arial" w:cs="Arial"/>
              </w:rPr>
            </w:pPr>
            <w:r w:rsidRPr="00A67D5C">
              <w:rPr>
                <w:rFonts w:ascii="Arial" w:hAnsi="Arial" w:cs="Arial"/>
              </w:rPr>
              <w:t>C</w:t>
            </w:r>
          </w:p>
        </w:tc>
        <w:tc>
          <w:tcPr>
            <w:tcW w:w="1420" w:type="dxa"/>
          </w:tcPr>
          <w:p w14:paraId="718ACF9B" w14:textId="77777777" w:rsidR="00E27F8E" w:rsidRPr="00A67D5C" w:rsidRDefault="00E27F8E" w:rsidP="0066301C">
            <w:pPr>
              <w:rPr>
                <w:rFonts w:ascii="Arial" w:hAnsi="Arial" w:cs="Arial"/>
              </w:rPr>
            </w:pPr>
            <w:r w:rsidRPr="00A67D5C">
              <w:rPr>
                <w:rFonts w:ascii="Arial" w:hAnsi="Arial" w:cs="Arial"/>
              </w:rPr>
              <w:t>0.203</w:t>
            </w:r>
          </w:p>
        </w:tc>
        <w:tc>
          <w:tcPr>
            <w:tcW w:w="1702" w:type="dxa"/>
            <w:gridSpan w:val="2"/>
          </w:tcPr>
          <w:p w14:paraId="754B6424" w14:textId="77777777" w:rsidR="00E27F8E" w:rsidRPr="00A67D5C" w:rsidRDefault="00E27F8E" w:rsidP="0066301C">
            <w:pPr>
              <w:rPr>
                <w:rFonts w:ascii="Arial" w:hAnsi="Arial" w:cs="Arial"/>
              </w:rPr>
            </w:pPr>
            <w:r w:rsidRPr="00A67D5C">
              <w:rPr>
                <w:rFonts w:ascii="Arial" w:hAnsi="Arial" w:cs="Arial"/>
              </w:rPr>
              <w:t>1.284</w:t>
            </w:r>
          </w:p>
        </w:tc>
        <w:tc>
          <w:tcPr>
            <w:tcW w:w="1701" w:type="dxa"/>
          </w:tcPr>
          <w:p w14:paraId="684DBC93" w14:textId="77777777" w:rsidR="00E27F8E" w:rsidRPr="00A67D5C" w:rsidRDefault="00E27F8E" w:rsidP="0066301C">
            <w:pPr>
              <w:rPr>
                <w:rFonts w:ascii="Arial" w:hAnsi="Arial" w:cs="Arial"/>
              </w:rPr>
            </w:pPr>
            <w:r w:rsidRPr="00A67D5C">
              <w:rPr>
                <w:rFonts w:ascii="Arial" w:hAnsi="Arial" w:cs="Arial"/>
              </w:rPr>
              <w:t>0.157</w:t>
            </w:r>
          </w:p>
        </w:tc>
        <w:tc>
          <w:tcPr>
            <w:tcW w:w="1701" w:type="dxa"/>
            <w:gridSpan w:val="2"/>
          </w:tcPr>
          <w:p w14:paraId="09484B37" w14:textId="77777777" w:rsidR="00E27F8E" w:rsidRPr="00A67D5C" w:rsidRDefault="00E27F8E" w:rsidP="0066301C">
            <w:pPr>
              <w:rPr>
                <w:rFonts w:ascii="Arial" w:hAnsi="Arial" w:cs="Arial"/>
              </w:rPr>
            </w:pPr>
            <w:r w:rsidRPr="00A67D5C">
              <w:rPr>
                <w:rFonts w:ascii="Arial" w:hAnsi="Arial" w:cs="Arial"/>
              </w:rPr>
              <w:t>0.876</w:t>
            </w:r>
          </w:p>
        </w:tc>
      </w:tr>
      <w:tr w:rsidR="00E27F8E" w14:paraId="385036BC" w14:textId="77777777" w:rsidTr="004D74AB">
        <w:trPr>
          <w:trHeight w:val="288"/>
        </w:trPr>
        <w:tc>
          <w:tcPr>
            <w:tcW w:w="2969" w:type="dxa"/>
          </w:tcPr>
          <w:p w14:paraId="2E2E4CD2" w14:textId="77777777" w:rsidR="00E27F8E" w:rsidRPr="00A67D5C" w:rsidRDefault="00E27F8E" w:rsidP="0066301C">
            <w:pPr>
              <w:rPr>
                <w:rFonts w:ascii="Arial" w:hAnsi="Arial" w:cs="Arial"/>
              </w:rPr>
            </w:pPr>
            <w:r w:rsidRPr="00A67D5C">
              <w:rPr>
                <w:rFonts w:ascii="Arial" w:hAnsi="Arial" w:cs="Arial"/>
              </w:rPr>
              <w:t>LNREER</w:t>
            </w:r>
          </w:p>
        </w:tc>
        <w:tc>
          <w:tcPr>
            <w:tcW w:w="1420" w:type="dxa"/>
          </w:tcPr>
          <w:p w14:paraId="4145DEEB" w14:textId="77777777" w:rsidR="00E27F8E" w:rsidRPr="00A67D5C" w:rsidRDefault="00E27F8E" w:rsidP="0066301C">
            <w:pPr>
              <w:rPr>
                <w:rFonts w:ascii="Arial" w:hAnsi="Arial" w:cs="Arial"/>
              </w:rPr>
            </w:pPr>
            <w:r w:rsidRPr="00A67D5C">
              <w:rPr>
                <w:rFonts w:ascii="Arial" w:hAnsi="Arial" w:cs="Arial"/>
              </w:rPr>
              <w:t>0.439</w:t>
            </w:r>
          </w:p>
        </w:tc>
        <w:tc>
          <w:tcPr>
            <w:tcW w:w="1702" w:type="dxa"/>
            <w:gridSpan w:val="2"/>
          </w:tcPr>
          <w:p w14:paraId="3085B3EA" w14:textId="77777777" w:rsidR="00E27F8E" w:rsidRPr="00A67D5C" w:rsidRDefault="00E27F8E" w:rsidP="0066301C">
            <w:pPr>
              <w:rPr>
                <w:rFonts w:ascii="Arial" w:hAnsi="Arial" w:cs="Arial"/>
              </w:rPr>
            </w:pPr>
            <w:r w:rsidRPr="00A67D5C">
              <w:rPr>
                <w:rFonts w:ascii="Arial" w:hAnsi="Arial" w:cs="Arial"/>
              </w:rPr>
              <w:t>0.114</w:t>
            </w:r>
          </w:p>
        </w:tc>
        <w:tc>
          <w:tcPr>
            <w:tcW w:w="1701" w:type="dxa"/>
          </w:tcPr>
          <w:p w14:paraId="1453E9FB" w14:textId="77777777" w:rsidR="00E27F8E" w:rsidRPr="00A67D5C" w:rsidRDefault="00E27F8E" w:rsidP="0066301C">
            <w:pPr>
              <w:rPr>
                <w:rFonts w:ascii="Arial" w:hAnsi="Arial" w:cs="Arial"/>
              </w:rPr>
            </w:pPr>
            <w:r w:rsidRPr="00A67D5C">
              <w:rPr>
                <w:rFonts w:ascii="Arial" w:hAnsi="Arial" w:cs="Arial"/>
              </w:rPr>
              <w:t>3.868</w:t>
            </w:r>
          </w:p>
        </w:tc>
        <w:tc>
          <w:tcPr>
            <w:tcW w:w="1701" w:type="dxa"/>
            <w:gridSpan w:val="2"/>
          </w:tcPr>
          <w:p w14:paraId="72441115" w14:textId="77777777" w:rsidR="00E27F8E" w:rsidRPr="00A67D5C" w:rsidRDefault="00E27F8E" w:rsidP="0066301C">
            <w:pPr>
              <w:rPr>
                <w:rFonts w:ascii="Arial" w:hAnsi="Arial" w:cs="Arial"/>
              </w:rPr>
            </w:pPr>
            <w:r w:rsidRPr="00A67D5C">
              <w:rPr>
                <w:rFonts w:ascii="Arial" w:hAnsi="Arial" w:cs="Arial"/>
              </w:rPr>
              <w:t>0.001</w:t>
            </w:r>
          </w:p>
        </w:tc>
      </w:tr>
      <w:tr w:rsidR="00E27F8E" w14:paraId="6ED4559A" w14:textId="77777777" w:rsidTr="004D74AB">
        <w:trPr>
          <w:trHeight w:val="288"/>
        </w:trPr>
        <w:tc>
          <w:tcPr>
            <w:tcW w:w="2969" w:type="dxa"/>
          </w:tcPr>
          <w:p w14:paraId="7850978B" w14:textId="77777777" w:rsidR="00E27F8E" w:rsidRPr="00A67D5C" w:rsidRDefault="00E27F8E" w:rsidP="0066301C">
            <w:pPr>
              <w:rPr>
                <w:rFonts w:ascii="Arial" w:hAnsi="Arial" w:cs="Arial"/>
              </w:rPr>
            </w:pPr>
            <w:r w:rsidRPr="00A67D5C">
              <w:rPr>
                <w:rFonts w:ascii="Arial" w:hAnsi="Arial" w:cs="Arial"/>
              </w:rPr>
              <w:t>LNDI</w:t>
            </w:r>
          </w:p>
        </w:tc>
        <w:tc>
          <w:tcPr>
            <w:tcW w:w="1420" w:type="dxa"/>
          </w:tcPr>
          <w:p w14:paraId="46D2BA1D" w14:textId="77777777" w:rsidR="00E27F8E" w:rsidRPr="00A67D5C" w:rsidRDefault="00E27F8E" w:rsidP="0066301C">
            <w:pPr>
              <w:rPr>
                <w:rFonts w:ascii="Arial" w:hAnsi="Arial" w:cs="Arial"/>
              </w:rPr>
            </w:pPr>
            <w:r w:rsidRPr="00A67D5C">
              <w:rPr>
                <w:rFonts w:ascii="Arial" w:hAnsi="Arial" w:cs="Arial"/>
              </w:rPr>
              <w:t>-0.219</w:t>
            </w:r>
          </w:p>
        </w:tc>
        <w:tc>
          <w:tcPr>
            <w:tcW w:w="1702" w:type="dxa"/>
            <w:gridSpan w:val="2"/>
          </w:tcPr>
          <w:p w14:paraId="1D3AC5E0" w14:textId="77777777" w:rsidR="00E27F8E" w:rsidRPr="00A67D5C" w:rsidRDefault="00E27F8E" w:rsidP="0066301C">
            <w:pPr>
              <w:rPr>
                <w:rFonts w:ascii="Arial" w:hAnsi="Arial" w:cs="Arial"/>
              </w:rPr>
            </w:pPr>
            <w:r w:rsidRPr="00A67D5C">
              <w:rPr>
                <w:rFonts w:ascii="Arial" w:hAnsi="Arial" w:cs="Arial"/>
              </w:rPr>
              <w:t>0.064</w:t>
            </w:r>
          </w:p>
        </w:tc>
        <w:tc>
          <w:tcPr>
            <w:tcW w:w="1701" w:type="dxa"/>
          </w:tcPr>
          <w:p w14:paraId="72C5E5F5" w14:textId="77777777" w:rsidR="00E27F8E" w:rsidRPr="00A67D5C" w:rsidRDefault="00E27F8E" w:rsidP="0066301C">
            <w:pPr>
              <w:rPr>
                <w:rFonts w:ascii="Arial" w:hAnsi="Arial" w:cs="Arial"/>
              </w:rPr>
            </w:pPr>
            <w:r w:rsidRPr="00A67D5C">
              <w:rPr>
                <w:rFonts w:ascii="Arial" w:hAnsi="Arial" w:cs="Arial"/>
              </w:rPr>
              <w:t>-3.423</w:t>
            </w:r>
          </w:p>
        </w:tc>
        <w:tc>
          <w:tcPr>
            <w:tcW w:w="1701" w:type="dxa"/>
            <w:gridSpan w:val="2"/>
          </w:tcPr>
          <w:p w14:paraId="2D13E210" w14:textId="77777777" w:rsidR="00E27F8E" w:rsidRPr="00A67D5C" w:rsidRDefault="00E27F8E" w:rsidP="0066301C">
            <w:pPr>
              <w:rPr>
                <w:rFonts w:ascii="Arial" w:hAnsi="Arial" w:cs="Arial"/>
              </w:rPr>
            </w:pPr>
            <w:r w:rsidRPr="00A67D5C">
              <w:rPr>
                <w:rFonts w:ascii="Arial" w:hAnsi="Arial" w:cs="Arial"/>
              </w:rPr>
              <w:t>0.002</w:t>
            </w:r>
          </w:p>
        </w:tc>
      </w:tr>
      <w:tr w:rsidR="00E27F8E" w14:paraId="38CCD116" w14:textId="77777777" w:rsidTr="004D74AB">
        <w:trPr>
          <w:trHeight w:val="288"/>
        </w:trPr>
        <w:tc>
          <w:tcPr>
            <w:tcW w:w="2969" w:type="dxa"/>
          </w:tcPr>
          <w:p w14:paraId="62E4F452" w14:textId="77777777" w:rsidR="00E27F8E" w:rsidRPr="00A67D5C" w:rsidRDefault="00E27F8E" w:rsidP="0066301C">
            <w:pPr>
              <w:rPr>
                <w:rFonts w:ascii="Arial" w:hAnsi="Arial" w:cs="Arial"/>
              </w:rPr>
            </w:pPr>
            <w:r w:rsidRPr="00A67D5C">
              <w:rPr>
                <w:rFonts w:ascii="Arial" w:hAnsi="Arial" w:cs="Arial"/>
              </w:rPr>
              <w:t>LNFRANCEFI</w:t>
            </w:r>
          </w:p>
        </w:tc>
        <w:tc>
          <w:tcPr>
            <w:tcW w:w="1420" w:type="dxa"/>
          </w:tcPr>
          <w:p w14:paraId="047DE5E7" w14:textId="77777777" w:rsidR="00E27F8E" w:rsidRPr="00A67D5C" w:rsidRDefault="00E27F8E" w:rsidP="0066301C">
            <w:pPr>
              <w:rPr>
                <w:rFonts w:ascii="Arial" w:hAnsi="Arial" w:cs="Arial"/>
              </w:rPr>
            </w:pPr>
            <w:r w:rsidRPr="00A67D5C">
              <w:rPr>
                <w:rFonts w:ascii="Arial" w:hAnsi="Arial" w:cs="Arial"/>
              </w:rPr>
              <w:t>0.099</w:t>
            </w:r>
          </w:p>
        </w:tc>
        <w:tc>
          <w:tcPr>
            <w:tcW w:w="1702" w:type="dxa"/>
            <w:gridSpan w:val="2"/>
          </w:tcPr>
          <w:p w14:paraId="6CE988E9" w14:textId="77777777" w:rsidR="00E27F8E" w:rsidRPr="00A67D5C" w:rsidRDefault="00E27F8E" w:rsidP="0066301C">
            <w:pPr>
              <w:rPr>
                <w:rFonts w:ascii="Arial" w:hAnsi="Arial" w:cs="Arial"/>
              </w:rPr>
            </w:pPr>
            <w:r w:rsidRPr="00A67D5C">
              <w:rPr>
                <w:rFonts w:ascii="Arial" w:hAnsi="Arial" w:cs="Arial"/>
              </w:rPr>
              <w:t>0.075</w:t>
            </w:r>
          </w:p>
        </w:tc>
        <w:tc>
          <w:tcPr>
            <w:tcW w:w="1701" w:type="dxa"/>
          </w:tcPr>
          <w:p w14:paraId="5636431C" w14:textId="77777777" w:rsidR="00E27F8E" w:rsidRPr="00A67D5C" w:rsidRDefault="00E27F8E" w:rsidP="0066301C">
            <w:pPr>
              <w:rPr>
                <w:rFonts w:ascii="Arial" w:hAnsi="Arial" w:cs="Arial"/>
              </w:rPr>
            </w:pPr>
            <w:r w:rsidRPr="00A67D5C">
              <w:rPr>
                <w:rFonts w:ascii="Arial" w:hAnsi="Arial" w:cs="Arial"/>
              </w:rPr>
              <w:t>1.316</w:t>
            </w:r>
          </w:p>
        </w:tc>
        <w:tc>
          <w:tcPr>
            <w:tcW w:w="1701" w:type="dxa"/>
            <w:gridSpan w:val="2"/>
          </w:tcPr>
          <w:p w14:paraId="7AB97BBC" w14:textId="77777777" w:rsidR="00E27F8E" w:rsidRPr="00A67D5C" w:rsidRDefault="00E27F8E" w:rsidP="0066301C">
            <w:pPr>
              <w:rPr>
                <w:rFonts w:ascii="Arial" w:hAnsi="Arial" w:cs="Arial"/>
              </w:rPr>
            </w:pPr>
            <w:r w:rsidRPr="00A67D5C">
              <w:rPr>
                <w:rFonts w:ascii="Arial" w:hAnsi="Arial" w:cs="Arial"/>
              </w:rPr>
              <w:t>0.199</w:t>
            </w:r>
          </w:p>
        </w:tc>
      </w:tr>
      <w:tr w:rsidR="00E27F8E" w14:paraId="5F682247" w14:textId="77777777" w:rsidTr="004D74AB">
        <w:trPr>
          <w:trHeight w:val="288"/>
        </w:trPr>
        <w:tc>
          <w:tcPr>
            <w:tcW w:w="2969" w:type="dxa"/>
          </w:tcPr>
          <w:p w14:paraId="247E0126" w14:textId="77777777" w:rsidR="00E27F8E" w:rsidRPr="00A67D5C" w:rsidRDefault="00E27F8E" w:rsidP="0066301C">
            <w:pPr>
              <w:rPr>
                <w:rFonts w:ascii="Arial" w:hAnsi="Arial" w:cs="Arial"/>
                <w:b/>
                <w:bCs/>
              </w:rPr>
            </w:pPr>
            <w:r w:rsidRPr="00A67D5C">
              <w:rPr>
                <w:rFonts w:ascii="Arial" w:hAnsi="Arial" w:cs="Arial"/>
                <w:b/>
                <w:bCs/>
              </w:rPr>
              <w:t>Short-run elasticities</w:t>
            </w:r>
          </w:p>
        </w:tc>
        <w:tc>
          <w:tcPr>
            <w:tcW w:w="1420" w:type="dxa"/>
          </w:tcPr>
          <w:p w14:paraId="10FEE593" w14:textId="77777777" w:rsidR="00E27F8E" w:rsidRPr="00A67D5C" w:rsidRDefault="00E27F8E" w:rsidP="0066301C">
            <w:pPr>
              <w:rPr>
                <w:rFonts w:ascii="Arial" w:hAnsi="Arial" w:cs="Arial"/>
              </w:rPr>
            </w:pPr>
          </w:p>
        </w:tc>
        <w:tc>
          <w:tcPr>
            <w:tcW w:w="1702" w:type="dxa"/>
            <w:gridSpan w:val="2"/>
          </w:tcPr>
          <w:p w14:paraId="1DB9F8EB" w14:textId="77777777" w:rsidR="00E27F8E" w:rsidRPr="00A67D5C" w:rsidRDefault="00E27F8E" w:rsidP="0066301C">
            <w:pPr>
              <w:rPr>
                <w:rFonts w:ascii="Arial" w:hAnsi="Arial" w:cs="Arial"/>
              </w:rPr>
            </w:pPr>
          </w:p>
        </w:tc>
        <w:tc>
          <w:tcPr>
            <w:tcW w:w="1701" w:type="dxa"/>
          </w:tcPr>
          <w:p w14:paraId="028F11E9" w14:textId="77777777" w:rsidR="00E27F8E" w:rsidRPr="00A67D5C" w:rsidRDefault="00E27F8E" w:rsidP="0066301C">
            <w:pPr>
              <w:rPr>
                <w:rFonts w:ascii="Arial" w:hAnsi="Arial" w:cs="Arial"/>
              </w:rPr>
            </w:pPr>
          </w:p>
        </w:tc>
        <w:tc>
          <w:tcPr>
            <w:tcW w:w="1701" w:type="dxa"/>
            <w:gridSpan w:val="2"/>
          </w:tcPr>
          <w:p w14:paraId="45AED682" w14:textId="77777777" w:rsidR="00E27F8E" w:rsidRPr="00A67D5C" w:rsidRDefault="00E27F8E" w:rsidP="0066301C">
            <w:pPr>
              <w:rPr>
                <w:rFonts w:ascii="Arial" w:hAnsi="Arial" w:cs="Arial"/>
              </w:rPr>
            </w:pPr>
          </w:p>
        </w:tc>
      </w:tr>
      <w:tr w:rsidR="00E27F8E" w14:paraId="6C665089" w14:textId="77777777" w:rsidTr="004D74AB">
        <w:trPr>
          <w:trHeight w:val="288"/>
        </w:trPr>
        <w:tc>
          <w:tcPr>
            <w:tcW w:w="2969" w:type="dxa"/>
          </w:tcPr>
          <w:p w14:paraId="38F7E199" w14:textId="77777777" w:rsidR="00E27F8E" w:rsidRPr="00A67D5C" w:rsidRDefault="00E27F8E" w:rsidP="0066301C">
            <w:pPr>
              <w:rPr>
                <w:rFonts w:ascii="Arial" w:hAnsi="Arial" w:cs="Arial"/>
              </w:rPr>
            </w:pPr>
            <w:r w:rsidRPr="00A67D5C">
              <w:rPr>
                <w:rFonts w:ascii="Arial" w:hAnsi="Arial" w:cs="Arial"/>
              </w:rPr>
              <w:t>C</w:t>
            </w:r>
          </w:p>
        </w:tc>
        <w:tc>
          <w:tcPr>
            <w:tcW w:w="1420" w:type="dxa"/>
          </w:tcPr>
          <w:p w14:paraId="18968253" w14:textId="77777777" w:rsidR="00E27F8E" w:rsidRPr="00A67D5C" w:rsidRDefault="00E27F8E" w:rsidP="0066301C">
            <w:pPr>
              <w:rPr>
                <w:rFonts w:ascii="Arial" w:hAnsi="Arial" w:cs="Arial"/>
              </w:rPr>
            </w:pPr>
            <w:r w:rsidRPr="00A67D5C">
              <w:rPr>
                <w:rFonts w:ascii="Arial" w:hAnsi="Arial" w:cs="Arial"/>
              </w:rPr>
              <w:t>0.203</w:t>
            </w:r>
          </w:p>
        </w:tc>
        <w:tc>
          <w:tcPr>
            <w:tcW w:w="1702" w:type="dxa"/>
            <w:gridSpan w:val="2"/>
          </w:tcPr>
          <w:p w14:paraId="61127887" w14:textId="77777777" w:rsidR="00E27F8E" w:rsidRPr="00A67D5C" w:rsidRDefault="00E27F8E" w:rsidP="0066301C">
            <w:pPr>
              <w:rPr>
                <w:rFonts w:ascii="Arial" w:hAnsi="Arial" w:cs="Arial"/>
              </w:rPr>
            </w:pPr>
            <w:r w:rsidRPr="00A67D5C">
              <w:rPr>
                <w:rFonts w:ascii="Arial" w:hAnsi="Arial" w:cs="Arial"/>
              </w:rPr>
              <w:t>0.029</w:t>
            </w:r>
          </w:p>
        </w:tc>
        <w:tc>
          <w:tcPr>
            <w:tcW w:w="1701" w:type="dxa"/>
          </w:tcPr>
          <w:p w14:paraId="1CA6ACBC" w14:textId="77777777" w:rsidR="00E27F8E" w:rsidRPr="00A67D5C" w:rsidRDefault="00E27F8E" w:rsidP="0066301C">
            <w:pPr>
              <w:rPr>
                <w:rFonts w:ascii="Arial" w:hAnsi="Arial" w:cs="Arial"/>
              </w:rPr>
            </w:pPr>
            <w:r w:rsidRPr="00A67D5C">
              <w:rPr>
                <w:rFonts w:ascii="Arial" w:hAnsi="Arial" w:cs="Arial"/>
              </w:rPr>
              <w:t>6.997</w:t>
            </w:r>
          </w:p>
        </w:tc>
        <w:tc>
          <w:tcPr>
            <w:tcW w:w="1701" w:type="dxa"/>
            <w:gridSpan w:val="2"/>
          </w:tcPr>
          <w:p w14:paraId="413D6C08" w14:textId="77777777" w:rsidR="00E27F8E" w:rsidRPr="00A67D5C" w:rsidRDefault="00E27F8E" w:rsidP="0066301C">
            <w:pPr>
              <w:rPr>
                <w:rFonts w:ascii="Arial" w:hAnsi="Arial" w:cs="Arial"/>
              </w:rPr>
            </w:pPr>
            <w:r w:rsidRPr="00A67D5C">
              <w:rPr>
                <w:rFonts w:ascii="Arial" w:hAnsi="Arial" w:cs="Arial"/>
              </w:rPr>
              <w:t>0.000</w:t>
            </w:r>
          </w:p>
        </w:tc>
      </w:tr>
      <w:tr w:rsidR="00E27F8E" w14:paraId="69D611B2" w14:textId="77777777" w:rsidTr="004D74AB">
        <w:trPr>
          <w:trHeight w:val="288"/>
        </w:trPr>
        <w:tc>
          <w:tcPr>
            <w:tcW w:w="2969" w:type="dxa"/>
          </w:tcPr>
          <w:p w14:paraId="2C2C8B9C" w14:textId="77777777" w:rsidR="00E27F8E" w:rsidRPr="00A67D5C" w:rsidRDefault="00E27F8E" w:rsidP="0066301C">
            <w:pPr>
              <w:rPr>
                <w:rFonts w:ascii="Arial" w:hAnsi="Arial" w:cs="Arial"/>
              </w:rPr>
            </w:pPr>
            <w:r w:rsidRPr="00A67D5C">
              <w:rPr>
                <w:rFonts w:ascii="Arial" w:hAnsi="Arial" w:cs="Arial"/>
              </w:rPr>
              <w:t>∆LNREER</w:t>
            </w:r>
          </w:p>
        </w:tc>
        <w:tc>
          <w:tcPr>
            <w:tcW w:w="1420" w:type="dxa"/>
          </w:tcPr>
          <w:p w14:paraId="43F4B29E" w14:textId="77777777" w:rsidR="00E27F8E" w:rsidRPr="00A67D5C" w:rsidRDefault="00E27F8E" w:rsidP="0066301C">
            <w:pPr>
              <w:rPr>
                <w:rFonts w:ascii="Arial" w:hAnsi="Arial" w:cs="Arial"/>
              </w:rPr>
            </w:pPr>
            <w:r w:rsidRPr="00A67D5C">
              <w:rPr>
                <w:rFonts w:ascii="Arial" w:hAnsi="Arial" w:cs="Arial"/>
              </w:rPr>
              <w:t>-0.266</w:t>
            </w:r>
          </w:p>
        </w:tc>
        <w:tc>
          <w:tcPr>
            <w:tcW w:w="1702" w:type="dxa"/>
            <w:gridSpan w:val="2"/>
          </w:tcPr>
          <w:p w14:paraId="1D753429" w14:textId="77777777" w:rsidR="00E27F8E" w:rsidRPr="00A67D5C" w:rsidRDefault="00E27F8E" w:rsidP="0066301C">
            <w:pPr>
              <w:rPr>
                <w:rFonts w:ascii="Arial" w:hAnsi="Arial" w:cs="Arial"/>
              </w:rPr>
            </w:pPr>
            <w:r w:rsidRPr="00A67D5C">
              <w:rPr>
                <w:rFonts w:ascii="Arial" w:hAnsi="Arial" w:cs="Arial"/>
              </w:rPr>
              <w:t>0.175</w:t>
            </w:r>
          </w:p>
        </w:tc>
        <w:tc>
          <w:tcPr>
            <w:tcW w:w="1701" w:type="dxa"/>
          </w:tcPr>
          <w:p w14:paraId="345EDDCA" w14:textId="77777777" w:rsidR="00E27F8E" w:rsidRPr="00A67D5C" w:rsidRDefault="00E27F8E" w:rsidP="0066301C">
            <w:pPr>
              <w:rPr>
                <w:rFonts w:ascii="Arial" w:hAnsi="Arial" w:cs="Arial"/>
              </w:rPr>
            </w:pPr>
            <w:r w:rsidRPr="00A67D5C">
              <w:rPr>
                <w:rFonts w:ascii="Arial" w:hAnsi="Arial" w:cs="Arial"/>
              </w:rPr>
              <w:t>-1.523</w:t>
            </w:r>
          </w:p>
        </w:tc>
        <w:tc>
          <w:tcPr>
            <w:tcW w:w="1701" w:type="dxa"/>
            <w:gridSpan w:val="2"/>
          </w:tcPr>
          <w:p w14:paraId="366F6081" w14:textId="77777777" w:rsidR="00E27F8E" w:rsidRPr="00A67D5C" w:rsidRDefault="00E27F8E" w:rsidP="0066301C">
            <w:pPr>
              <w:rPr>
                <w:rFonts w:ascii="Arial" w:hAnsi="Arial" w:cs="Arial"/>
              </w:rPr>
            </w:pPr>
            <w:r w:rsidRPr="00A67D5C">
              <w:rPr>
                <w:rFonts w:ascii="Arial" w:hAnsi="Arial" w:cs="Arial"/>
              </w:rPr>
              <w:t>0.139</w:t>
            </w:r>
          </w:p>
        </w:tc>
      </w:tr>
      <w:tr w:rsidR="00E27F8E" w14:paraId="3C6EBE01" w14:textId="77777777" w:rsidTr="004D74AB">
        <w:trPr>
          <w:trHeight w:val="288"/>
        </w:trPr>
        <w:tc>
          <w:tcPr>
            <w:tcW w:w="2969" w:type="dxa"/>
          </w:tcPr>
          <w:p w14:paraId="5471DBE3" w14:textId="77777777" w:rsidR="00E27F8E" w:rsidRPr="00A67D5C" w:rsidRDefault="00E27F8E" w:rsidP="0066301C">
            <w:pPr>
              <w:rPr>
                <w:rFonts w:ascii="Arial" w:hAnsi="Arial" w:cs="Arial"/>
              </w:rPr>
            </w:pPr>
            <w:r w:rsidRPr="00A67D5C">
              <w:rPr>
                <w:rFonts w:ascii="Arial" w:hAnsi="Arial" w:cs="Arial"/>
              </w:rPr>
              <w:t>∆LNREER</w:t>
            </w:r>
            <w:r w:rsidRPr="00A67D5C">
              <w:rPr>
                <w:rFonts w:ascii="Arial" w:hAnsi="Arial" w:cs="Arial"/>
                <w:vertAlign w:val="subscript"/>
              </w:rPr>
              <w:t>t-1</w:t>
            </w:r>
          </w:p>
        </w:tc>
        <w:tc>
          <w:tcPr>
            <w:tcW w:w="1420" w:type="dxa"/>
          </w:tcPr>
          <w:p w14:paraId="2F0D87D4" w14:textId="77777777" w:rsidR="00E27F8E" w:rsidRPr="00A67D5C" w:rsidRDefault="00E27F8E" w:rsidP="0066301C">
            <w:pPr>
              <w:rPr>
                <w:rFonts w:ascii="Arial" w:hAnsi="Arial" w:cs="Arial"/>
              </w:rPr>
            </w:pPr>
            <w:r w:rsidRPr="00A67D5C">
              <w:rPr>
                <w:rFonts w:ascii="Arial" w:hAnsi="Arial" w:cs="Arial"/>
              </w:rPr>
              <w:t>-0.638</w:t>
            </w:r>
          </w:p>
        </w:tc>
        <w:tc>
          <w:tcPr>
            <w:tcW w:w="1702" w:type="dxa"/>
            <w:gridSpan w:val="2"/>
          </w:tcPr>
          <w:p w14:paraId="3520AD3A" w14:textId="77777777" w:rsidR="00E27F8E" w:rsidRPr="00A67D5C" w:rsidRDefault="00E27F8E" w:rsidP="0066301C">
            <w:pPr>
              <w:rPr>
                <w:rFonts w:ascii="Arial" w:hAnsi="Arial" w:cs="Arial"/>
              </w:rPr>
            </w:pPr>
            <w:r w:rsidRPr="00A67D5C">
              <w:rPr>
                <w:rFonts w:ascii="Arial" w:hAnsi="Arial" w:cs="Arial"/>
              </w:rPr>
              <w:t>0.156</w:t>
            </w:r>
          </w:p>
        </w:tc>
        <w:tc>
          <w:tcPr>
            <w:tcW w:w="1701" w:type="dxa"/>
          </w:tcPr>
          <w:p w14:paraId="41A26269" w14:textId="77777777" w:rsidR="00E27F8E" w:rsidRPr="00A67D5C" w:rsidRDefault="00E27F8E" w:rsidP="0066301C">
            <w:pPr>
              <w:rPr>
                <w:rFonts w:ascii="Arial" w:hAnsi="Arial" w:cs="Arial"/>
              </w:rPr>
            </w:pPr>
            <w:r w:rsidRPr="00A67D5C">
              <w:rPr>
                <w:rFonts w:ascii="Arial" w:hAnsi="Arial" w:cs="Arial"/>
              </w:rPr>
              <w:t>-4.099</w:t>
            </w:r>
          </w:p>
        </w:tc>
        <w:tc>
          <w:tcPr>
            <w:tcW w:w="1701" w:type="dxa"/>
            <w:gridSpan w:val="2"/>
          </w:tcPr>
          <w:p w14:paraId="0DA635E8" w14:textId="77777777" w:rsidR="00E27F8E" w:rsidRPr="00A67D5C" w:rsidRDefault="00E27F8E" w:rsidP="0066301C">
            <w:pPr>
              <w:rPr>
                <w:rFonts w:ascii="Arial" w:hAnsi="Arial" w:cs="Arial"/>
              </w:rPr>
            </w:pPr>
            <w:r w:rsidRPr="00A67D5C">
              <w:rPr>
                <w:rFonts w:ascii="Arial" w:hAnsi="Arial" w:cs="Arial"/>
              </w:rPr>
              <w:t>0.000</w:t>
            </w:r>
          </w:p>
        </w:tc>
      </w:tr>
      <w:tr w:rsidR="00E27F8E" w14:paraId="48838E48" w14:textId="77777777" w:rsidTr="004D74AB">
        <w:trPr>
          <w:trHeight w:val="288"/>
        </w:trPr>
        <w:tc>
          <w:tcPr>
            <w:tcW w:w="2969" w:type="dxa"/>
          </w:tcPr>
          <w:p w14:paraId="7F7BF318" w14:textId="77777777" w:rsidR="00E27F8E" w:rsidRPr="00A67D5C" w:rsidRDefault="00E27F8E" w:rsidP="0066301C">
            <w:pPr>
              <w:rPr>
                <w:rFonts w:ascii="Arial" w:hAnsi="Arial" w:cs="Arial"/>
              </w:rPr>
            </w:pPr>
            <w:r w:rsidRPr="00A67D5C">
              <w:rPr>
                <w:rFonts w:ascii="Arial" w:hAnsi="Arial" w:cs="Arial"/>
              </w:rPr>
              <w:t>∆LNDI</w:t>
            </w:r>
          </w:p>
        </w:tc>
        <w:tc>
          <w:tcPr>
            <w:tcW w:w="1420" w:type="dxa"/>
          </w:tcPr>
          <w:p w14:paraId="5129CB8A" w14:textId="77777777" w:rsidR="00E27F8E" w:rsidRPr="00A67D5C" w:rsidRDefault="00E27F8E" w:rsidP="0066301C">
            <w:pPr>
              <w:rPr>
                <w:rFonts w:ascii="Arial" w:hAnsi="Arial" w:cs="Arial"/>
              </w:rPr>
            </w:pPr>
            <w:r w:rsidRPr="00A67D5C">
              <w:rPr>
                <w:rFonts w:ascii="Arial" w:hAnsi="Arial" w:cs="Arial"/>
              </w:rPr>
              <w:t>0.101</w:t>
            </w:r>
          </w:p>
        </w:tc>
        <w:tc>
          <w:tcPr>
            <w:tcW w:w="1702" w:type="dxa"/>
            <w:gridSpan w:val="2"/>
          </w:tcPr>
          <w:p w14:paraId="4B7255A8" w14:textId="77777777" w:rsidR="00E27F8E" w:rsidRPr="00A67D5C" w:rsidRDefault="00E27F8E" w:rsidP="0066301C">
            <w:pPr>
              <w:rPr>
                <w:rFonts w:ascii="Arial" w:hAnsi="Arial" w:cs="Arial"/>
              </w:rPr>
            </w:pPr>
            <w:r w:rsidRPr="00A67D5C">
              <w:rPr>
                <w:rFonts w:ascii="Arial" w:hAnsi="Arial" w:cs="Arial"/>
              </w:rPr>
              <w:t>0.136</w:t>
            </w:r>
          </w:p>
        </w:tc>
        <w:tc>
          <w:tcPr>
            <w:tcW w:w="1701" w:type="dxa"/>
          </w:tcPr>
          <w:p w14:paraId="7C4CF6C7" w14:textId="77777777" w:rsidR="00E27F8E" w:rsidRPr="00A67D5C" w:rsidRDefault="00E27F8E" w:rsidP="0066301C">
            <w:pPr>
              <w:rPr>
                <w:rFonts w:ascii="Arial" w:hAnsi="Arial" w:cs="Arial"/>
              </w:rPr>
            </w:pPr>
            <w:r w:rsidRPr="00A67D5C">
              <w:rPr>
                <w:rFonts w:ascii="Arial" w:hAnsi="Arial" w:cs="Arial"/>
              </w:rPr>
              <w:t>0.742</w:t>
            </w:r>
          </w:p>
        </w:tc>
        <w:tc>
          <w:tcPr>
            <w:tcW w:w="1701" w:type="dxa"/>
            <w:gridSpan w:val="2"/>
          </w:tcPr>
          <w:p w14:paraId="2FA42DF3" w14:textId="77777777" w:rsidR="00E27F8E" w:rsidRPr="00A67D5C" w:rsidRDefault="00E27F8E" w:rsidP="0066301C">
            <w:pPr>
              <w:rPr>
                <w:rFonts w:ascii="Arial" w:hAnsi="Arial" w:cs="Arial"/>
              </w:rPr>
            </w:pPr>
            <w:r w:rsidRPr="00A67D5C">
              <w:rPr>
                <w:rFonts w:ascii="Arial" w:hAnsi="Arial" w:cs="Arial"/>
              </w:rPr>
              <w:t>0.464</w:t>
            </w:r>
          </w:p>
        </w:tc>
      </w:tr>
      <w:tr w:rsidR="00E27F8E" w14:paraId="7874BB8E" w14:textId="77777777" w:rsidTr="004D74AB">
        <w:trPr>
          <w:trHeight w:val="288"/>
        </w:trPr>
        <w:tc>
          <w:tcPr>
            <w:tcW w:w="2969" w:type="dxa"/>
          </w:tcPr>
          <w:p w14:paraId="79F6332C" w14:textId="77777777" w:rsidR="00E27F8E" w:rsidRPr="00A67D5C" w:rsidRDefault="00E27F8E" w:rsidP="0066301C">
            <w:pPr>
              <w:rPr>
                <w:rFonts w:ascii="Arial" w:hAnsi="Arial" w:cs="Arial"/>
              </w:rPr>
            </w:pPr>
            <w:r w:rsidRPr="00A67D5C">
              <w:rPr>
                <w:rFonts w:ascii="Arial" w:hAnsi="Arial" w:cs="Arial"/>
              </w:rPr>
              <w:t>∆LNFRANCEFI</w:t>
            </w:r>
            <w:r w:rsidRPr="00A67D5C">
              <w:rPr>
                <w:rFonts w:ascii="Arial" w:hAnsi="Arial" w:cs="Arial"/>
                <w:vertAlign w:val="subscript"/>
              </w:rPr>
              <w:t>t-1</w:t>
            </w:r>
          </w:p>
        </w:tc>
        <w:tc>
          <w:tcPr>
            <w:tcW w:w="1420" w:type="dxa"/>
          </w:tcPr>
          <w:p w14:paraId="75162913" w14:textId="77777777" w:rsidR="00E27F8E" w:rsidRPr="00A67D5C" w:rsidRDefault="00E27F8E" w:rsidP="0066301C">
            <w:pPr>
              <w:rPr>
                <w:rFonts w:ascii="Arial" w:hAnsi="Arial" w:cs="Arial"/>
              </w:rPr>
            </w:pPr>
            <w:r w:rsidRPr="00A67D5C">
              <w:rPr>
                <w:rFonts w:ascii="Arial" w:hAnsi="Arial" w:cs="Arial"/>
              </w:rPr>
              <w:t>-0.216</w:t>
            </w:r>
          </w:p>
        </w:tc>
        <w:tc>
          <w:tcPr>
            <w:tcW w:w="1702" w:type="dxa"/>
            <w:gridSpan w:val="2"/>
          </w:tcPr>
          <w:p w14:paraId="6E32B51C" w14:textId="77777777" w:rsidR="00E27F8E" w:rsidRPr="00A67D5C" w:rsidRDefault="00E27F8E" w:rsidP="0066301C">
            <w:pPr>
              <w:rPr>
                <w:rFonts w:ascii="Arial" w:hAnsi="Arial" w:cs="Arial"/>
              </w:rPr>
            </w:pPr>
            <w:r w:rsidRPr="00A67D5C">
              <w:rPr>
                <w:rFonts w:ascii="Arial" w:hAnsi="Arial" w:cs="Arial"/>
              </w:rPr>
              <w:t>0.123</w:t>
            </w:r>
          </w:p>
        </w:tc>
        <w:tc>
          <w:tcPr>
            <w:tcW w:w="1701" w:type="dxa"/>
          </w:tcPr>
          <w:p w14:paraId="2A5AF313" w14:textId="77777777" w:rsidR="00E27F8E" w:rsidRPr="00A67D5C" w:rsidRDefault="00E27F8E" w:rsidP="0066301C">
            <w:pPr>
              <w:rPr>
                <w:rFonts w:ascii="Arial" w:hAnsi="Arial" w:cs="Arial"/>
              </w:rPr>
            </w:pPr>
            <w:r w:rsidRPr="00A67D5C">
              <w:rPr>
                <w:rFonts w:ascii="Arial" w:hAnsi="Arial" w:cs="Arial"/>
              </w:rPr>
              <w:t>-1.753</w:t>
            </w:r>
          </w:p>
        </w:tc>
        <w:tc>
          <w:tcPr>
            <w:tcW w:w="1701" w:type="dxa"/>
            <w:gridSpan w:val="2"/>
          </w:tcPr>
          <w:p w14:paraId="7E2BFC23" w14:textId="77777777" w:rsidR="00E27F8E" w:rsidRPr="00A67D5C" w:rsidRDefault="00E27F8E" w:rsidP="0066301C">
            <w:pPr>
              <w:rPr>
                <w:rFonts w:ascii="Arial" w:hAnsi="Arial" w:cs="Arial"/>
              </w:rPr>
            </w:pPr>
            <w:r w:rsidRPr="00A67D5C">
              <w:rPr>
                <w:rFonts w:ascii="Arial" w:hAnsi="Arial" w:cs="Arial"/>
              </w:rPr>
              <w:t>0.091</w:t>
            </w:r>
          </w:p>
        </w:tc>
      </w:tr>
      <w:tr w:rsidR="00E27F8E" w14:paraId="0C0326A9" w14:textId="77777777" w:rsidTr="004D74AB">
        <w:trPr>
          <w:trHeight w:val="288"/>
        </w:trPr>
        <w:tc>
          <w:tcPr>
            <w:tcW w:w="2969" w:type="dxa"/>
          </w:tcPr>
          <w:p w14:paraId="314C25B5" w14:textId="77777777" w:rsidR="00E27F8E" w:rsidRPr="00A67D5C" w:rsidRDefault="00E27F8E" w:rsidP="0066301C">
            <w:pPr>
              <w:rPr>
                <w:rFonts w:ascii="Arial" w:hAnsi="Arial" w:cs="Arial"/>
              </w:rPr>
            </w:pPr>
            <w:r w:rsidRPr="00A67D5C">
              <w:rPr>
                <w:rFonts w:ascii="Arial" w:hAnsi="Arial" w:cs="Arial"/>
              </w:rPr>
              <w:t>ECM</w:t>
            </w:r>
            <w:r w:rsidRPr="00A67D5C">
              <w:rPr>
                <w:rFonts w:ascii="Arial" w:hAnsi="Arial" w:cs="Arial"/>
                <w:vertAlign w:val="subscript"/>
              </w:rPr>
              <w:t>t-1</w:t>
            </w:r>
          </w:p>
        </w:tc>
        <w:tc>
          <w:tcPr>
            <w:tcW w:w="1420" w:type="dxa"/>
          </w:tcPr>
          <w:p w14:paraId="514F529D" w14:textId="77777777" w:rsidR="00E27F8E" w:rsidRPr="00A67D5C" w:rsidRDefault="00E27F8E" w:rsidP="0066301C">
            <w:pPr>
              <w:rPr>
                <w:rFonts w:ascii="Arial" w:hAnsi="Arial" w:cs="Arial"/>
              </w:rPr>
            </w:pPr>
            <w:r w:rsidRPr="00A67D5C">
              <w:rPr>
                <w:rFonts w:ascii="Arial" w:hAnsi="Arial" w:cs="Arial"/>
              </w:rPr>
              <w:t>-0.848</w:t>
            </w:r>
          </w:p>
        </w:tc>
        <w:tc>
          <w:tcPr>
            <w:tcW w:w="1702" w:type="dxa"/>
            <w:gridSpan w:val="2"/>
          </w:tcPr>
          <w:p w14:paraId="6B214446" w14:textId="77777777" w:rsidR="00E27F8E" w:rsidRPr="00A67D5C" w:rsidRDefault="00E27F8E" w:rsidP="0066301C">
            <w:pPr>
              <w:rPr>
                <w:rFonts w:ascii="Arial" w:hAnsi="Arial" w:cs="Arial"/>
              </w:rPr>
            </w:pPr>
            <w:r w:rsidRPr="00A67D5C">
              <w:rPr>
                <w:rFonts w:ascii="Arial" w:hAnsi="Arial" w:cs="Arial"/>
              </w:rPr>
              <w:t>0.106</w:t>
            </w:r>
          </w:p>
        </w:tc>
        <w:tc>
          <w:tcPr>
            <w:tcW w:w="1701" w:type="dxa"/>
          </w:tcPr>
          <w:p w14:paraId="76451934" w14:textId="77777777" w:rsidR="00E27F8E" w:rsidRPr="00A67D5C" w:rsidRDefault="00E27F8E" w:rsidP="0066301C">
            <w:pPr>
              <w:rPr>
                <w:rFonts w:ascii="Arial" w:hAnsi="Arial" w:cs="Arial"/>
              </w:rPr>
            </w:pPr>
            <w:r w:rsidRPr="00A67D5C">
              <w:rPr>
                <w:rFonts w:ascii="Arial" w:hAnsi="Arial" w:cs="Arial"/>
              </w:rPr>
              <w:t>-7.985</w:t>
            </w:r>
          </w:p>
        </w:tc>
        <w:tc>
          <w:tcPr>
            <w:tcW w:w="1701" w:type="dxa"/>
            <w:gridSpan w:val="2"/>
          </w:tcPr>
          <w:p w14:paraId="53E4CFC2" w14:textId="77777777" w:rsidR="00E27F8E" w:rsidRPr="00A67D5C" w:rsidRDefault="00E27F8E" w:rsidP="0066301C">
            <w:pPr>
              <w:rPr>
                <w:rFonts w:ascii="Arial" w:hAnsi="Arial" w:cs="Arial"/>
              </w:rPr>
            </w:pPr>
            <w:r w:rsidRPr="00A67D5C">
              <w:rPr>
                <w:rFonts w:ascii="Arial" w:hAnsi="Arial" w:cs="Arial"/>
              </w:rPr>
              <w:t>0.000</w:t>
            </w:r>
          </w:p>
        </w:tc>
      </w:tr>
      <w:tr w:rsidR="00E27F8E" w14:paraId="3BCA79C2" w14:textId="77777777" w:rsidTr="004D74AB">
        <w:trPr>
          <w:trHeight w:val="288"/>
        </w:trPr>
        <w:tc>
          <w:tcPr>
            <w:tcW w:w="9493" w:type="dxa"/>
            <w:gridSpan w:val="7"/>
          </w:tcPr>
          <w:p w14:paraId="6FEEEB6C" w14:textId="77777777" w:rsidR="00E27F8E" w:rsidRPr="00A67D5C" w:rsidRDefault="00E27F8E" w:rsidP="0066301C">
            <w:pPr>
              <w:jc w:val="center"/>
              <w:rPr>
                <w:rFonts w:ascii="Arial" w:hAnsi="Arial" w:cs="Arial"/>
                <w:b/>
                <w:bCs/>
              </w:rPr>
            </w:pPr>
            <w:r w:rsidRPr="00A67D5C">
              <w:rPr>
                <w:rFonts w:ascii="Arial" w:hAnsi="Arial" w:cs="Arial"/>
                <w:b/>
                <w:bCs/>
              </w:rPr>
              <w:t>Partner India</w:t>
            </w:r>
          </w:p>
        </w:tc>
      </w:tr>
      <w:tr w:rsidR="00E27F8E" w14:paraId="6C8D0975" w14:textId="77777777" w:rsidTr="004D74AB">
        <w:trPr>
          <w:trHeight w:val="288"/>
        </w:trPr>
        <w:tc>
          <w:tcPr>
            <w:tcW w:w="2969" w:type="dxa"/>
          </w:tcPr>
          <w:p w14:paraId="61ADD420" w14:textId="77777777" w:rsidR="00E27F8E" w:rsidRPr="00A67D5C" w:rsidRDefault="00E27F8E" w:rsidP="0066301C">
            <w:pPr>
              <w:jc w:val="center"/>
              <w:rPr>
                <w:rFonts w:ascii="Arial" w:hAnsi="Arial" w:cs="Arial"/>
                <w:b/>
                <w:bCs/>
              </w:rPr>
            </w:pPr>
            <w:r w:rsidRPr="00A67D5C">
              <w:rPr>
                <w:rFonts w:ascii="Arial" w:hAnsi="Arial" w:cs="Arial"/>
                <w:b/>
                <w:bCs/>
              </w:rPr>
              <w:t>Variable</w:t>
            </w:r>
          </w:p>
        </w:tc>
        <w:tc>
          <w:tcPr>
            <w:tcW w:w="1420" w:type="dxa"/>
          </w:tcPr>
          <w:p w14:paraId="64AFC8DB" w14:textId="77777777" w:rsidR="00E27F8E" w:rsidRPr="00A67D5C" w:rsidRDefault="00E27F8E" w:rsidP="0066301C">
            <w:pPr>
              <w:jc w:val="center"/>
              <w:rPr>
                <w:rFonts w:ascii="Arial" w:hAnsi="Arial" w:cs="Arial"/>
                <w:b/>
                <w:bCs/>
              </w:rPr>
            </w:pPr>
            <w:r w:rsidRPr="00A67D5C">
              <w:rPr>
                <w:rFonts w:ascii="Arial" w:hAnsi="Arial" w:cs="Arial"/>
                <w:b/>
                <w:bCs/>
              </w:rPr>
              <w:t>Coefficient</w:t>
            </w:r>
          </w:p>
        </w:tc>
        <w:tc>
          <w:tcPr>
            <w:tcW w:w="1702" w:type="dxa"/>
            <w:gridSpan w:val="2"/>
          </w:tcPr>
          <w:p w14:paraId="46B975B7" w14:textId="77777777" w:rsidR="00E27F8E" w:rsidRPr="00A67D5C" w:rsidRDefault="00E27F8E" w:rsidP="0066301C">
            <w:pPr>
              <w:jc w:val="center"/>
              <w:rPr>
                <w:rFonts w:ascii="Arial" w:hAnsi="Arial" w:cs="Arial"/>
                <w:b/>
                <w:bCs/>
              </w:rPr>
            </w:pPr>
            <w:r w:rsidRPr="00A67D5C">
              <w:rPr>
                <w:rFonts w:ascii="Arial" w:hAnsi="Arial" w:cs="Arial"/>
                <w:b/>
                <w:bCs/>
              </w:rPr>
              <w:t>Std. Error</w:t>
            </w:r>
          </w:p>
        </w:tc>
        <w:tc>
          <w:tcPr>
            <w:tcW w:w="1701" w:type="dxa"/>
          </w:tcPr>
          <w:p w14:paraId="53E5C67F" w14:textId="77777777" w:rsidR="00E27F8E" w:rsidRPr="00A67D5C" w:rsidRDefault="00E27F8E" w:rsidP="0066301C">
            <w:pPr>
              <w:jc w:val="center"/>
              <w:rPr>
                <w:rFonts w:ascii="Arial" w:hAnsi="Arial" w:cs="Arial"/>
                <w:b/>
                <w:bCs/>
              </w:rPr>
            </w:pPr>
            <w:r w:rsidRPr="00A67D5C">
              <w:rPr>
                <w:rFonts w:ascii="Arial" w:hAnsi="Arial" w:cs="Arial"/>
                <w:b/>
                <w:bCs/>
              </w:rPr>
              <w:t>t-statistic</w:t>
            </w:r>
          </w:p>
        </w:tc>
        <w:tc>
          <w:tcPr>
            <w:tcW w:w="1701" w:type="dxa"/>
            <w:gridSpan w:val="2"/>
          </w:tcPr>
          <w:p w14:paraId="30FCC7E2" w14:textId="77777777" w:rsidR="00E27F8E" w:rsidRPr="00A67D5C" w:rsidRDefault="00E27F8E" w:rsidP="0066301C">
            <w:pPr>
              <w:jc w:val="center"/>
              <w:rPr>
                <w:rFonts w:ascii="Arial" w:hAnsi="Arial" w:cs="Arial"/>
                <w:b/>
                <w:bCs/>
              </w:rPr>
            </w:pPr>
            <w:r w:rsidRPr="00A67D5C">
              <w:rPr>
                <w:rFonts w:ascii="Arial" w:hAnsi="Arial" w:cs="Arial"/>
                <w:b/>
                <w:bCs/>
              </w:rPr>
              <w:t>Prob.</w:t>
            </w:r>
          </w:p>
        </w:tc>
      </w:tr>
      <w:tr w:rsidR="00E27F8E" w14:paraId="492B96CA" w14:textId="77777777" w:rsidTr="004D74AB">
        <w:trPr>
          <w:trHeight w:val="288"/>
        </w:trPr>
        <w:tc>
          <w:tcPr>
            <w:tcW w:w="2969" w:type="dxa"/>
          </w:tcPr>
          <w:p w14:paraId="79B0BDF8" w14:textId="77777777" w:rsidR="00E27F8E" w:rsidRPr="00A67D5C" w:rsidRDefault="00E27F8E" w:rsidP="0066301C">
            <w:pPr>
              <w:rPr>
                <w:rFonts w:ascii="Arial" w:hAnsi="Arial" w:cs="Arial"/>
                <w:sz w:val="20"/>
                <w:szCs w:val="20"/>
                <w:vertAlign w:val="subscript"/>
              </w:rPr>
            </w:pPr>
            <w:r w:rsidRPr="00A67D5C">
              <w:rPr>
                <w:rFonts w:ascii="Arial" w:hAnsi="Arial" w:cs="Arial"/>
                <w:sz w:val="20"/>
                <w:szCs w:val="20"/>
              </w:rPr>
              <w:t xml:space="preserve">Dependent variable </w:t>
            </w:r>
            <w:r w:rsidRPr="00A67D5C">
              <w:rPr>
                <w:rFonts w:ascii="Arial" w:hAnsi="Arial" w:cs="Arial"/>
              </w:rPr>
              <w:t>∆LNTB</w:t>
            </w:r>
            <w:r w:rsidRPr="00A67D5C">
              <w:rPr>
                <w:rFonts w:ascii="Arial" w:hAnsi="Arial" w:cs="Arial"/>
                <w:vertAlign w:val="subscript"/>
              </w:rPr>
              <w:t>t</w:t>
            </w:r>
          </w:p>
        </w:tc>
        <w:tc>
          <w:tcPr>
            <w:tcW w:w="1420" w:type="dxa"/>
          </w:tcPr>
          <w:p w14:paraId="0C74C5AA" w14:textId="77777777" w:rsidR="00E27F8E" w:rsidRPr="00A67D5C" w:rsidRDefault="00E27F8E" w:rsidP="0066301C">
            <w:pPr>
              <w:rPr>
                <w:rFonts w:ascii="Arial" w:hAnsi="Arial" w:cs="Arial"/>
              </w:rPr>
            </w:pPr>
          </w:p>
        </w:tc>
        <w:tc>
          <w:tcPr>
            <w:tcW w:w="1702" w:type="dxa"/>
            <w:gridSpan w:val="2"/>
          </w:tcPr>
          <w:p w14:paraId="76CFB3E4" w14:textId="77777777" w:rsidR="00E27F8E" w:rsidRPr="00A67D5C" w:rsidRDefault="00E27F8E" w:rsidP="0066301C">
            <w:pPr>
              <w:rPr>
                <w:rFonts w:ascii="Arial" w:hAnsi="Arial" w:cs="Arial"/>
              </w:rPr>
            </w:pPr>
          </w:p>
        </w:tc>
        <w:tc>
          <w:tcPr>
            <w:tcW w:w="1701" w:type="dxa"/>
          </w:tcPr>
          <w:p w14:paraId="19352752" w14:textId="77777777" w:rsidR="00E27F8E" w:rsidRPr="00A67D5C" w:rsidRDefault="00E27F8E" w:rsidP="0066301C">
            <w:pPr>
              <w:rPr>
                <w:rFonts w:ascii="Arial" w:hAnsi="Arial" w:cs="Arial"/>
              </w:rPr>
            </w:pPr>
          </w:p>
        </w:tc>
        <w:tc>
          <w:tcPr>
            <w:tcW w:w="1701" w:type="dxa"/>
            <w:gridSpan w:val="2"/>
          </w:tcPr>
          <w:p w14:paraId="27322113" w14:textId="77777777" w:rsidR="00E27F8E" w:rsidRPr="00A67D5C" w:rsidRDefault="00E27F8E" w:rsidP="0066301C">
            <w:pPr>
              <w:rPr>
                <w:rFonts w:ascii="Arial" w:hAnsi="Arial" w:cs="Arial"/>
              </w:rPr>
            </w:pPr>
          </w:p>
        </w:tc>
      </w:tr>
      <w:tr w:rsidR="00E27F8E" w14:paraId="59E00868" w14:textId="77777777" w:rsidTr="004D74AB">
        <w:trPr>
          <w:trHeight w:val="301"/>
        </w:trPr>
        <w:tc>
          <w:tcPr>
            <w:tcW w:w="2969" w:type="dxa"/>
          </w:tcPr>
          <w:p w14:paraId="2844A8C3" w14:textId="77777777" w:rsidR="00E27F8E" w:rsidRPr="00A67D5C" w:rsidRDefault="00E27F8E" w:rsidP="0066301C">
            <w:pPr>
              <w:rPr>
                <w:rFonts w:ascii="Arial" w:hAnsi="Arial" w:cs="Arial"/>
                <w:b/>
                <w:bCs/>
              </w:rPr>
            </w:pPr>
            <w:r w:rsidRPr="00A67D5C">
              <w:rPr>
                <w:rFonts w:ascii="Arial" w:hAnsi="Arial" w:cs="Arial"/>
                <w:b/>
                <w:bCs/>
              </w:rPr>
              <w:t>Long-run elasticities</w:t>
            </w:r>
          </w:p>
        </w:tc>
        <w:tc>
          <w:tcPr>
            <w:tcW w:w="1420" w:type="dxa"/>
          </w:tcPr>
          <w:p w14:paraId="6D0B1176" w14:textId="77777777" w:rsidR="00E27F8E" w:rsidRPr="00A67D5C" w:rsidRDefault="00E27F8E" w:rsidP="0066301C">
            <w:pPr>
              <w:rPr>
                <w:rFonts w:ascii="Arial" w:hAnsi="Arial" w:cs="Arial"/>
              </w:rPr>
            </w:pPr>
          </w:p>
        </w:tc>
        <w:tc>
          <w:tcPr>
            <w:tcW w:w="1702" w:type="dxa"/>
            <w:gridSpan w:val="2"/>
          </w:tcPr>
          <w:p w14:paraId="5CA9C6CA" w14:textId="77777777" w:rsidR="00E27F8E" w:rsidRPr="00A67D5C" w:rsidRDefault="00E27F8E" w:rsidP="0066301C">
            <w:pPr>
              <w:rPr>
                <w:rFonts w:ascii="Arial" w:hAnsi="Arial" w:cs="Arial"/>
              </w:rPr>
            </w:pPr>
          </w:p>
        </w:tc>
        <w:tc>
          <w:tcPr>
            <w:tcW w:w="1701" w:type="dxa"/>
          </w:tcPr>
          <w:p w14:paraId="783C1503" w14:textId="77777777" w:rsidR="00E27F8E" w:rsidRPr="00A67D5C" w:rsidRDefault="00E27F8E" w:rsidP="0066301C">
            <w:pPr>
              <w:rPr>
                <w:rFonts w:ascii="Arial" w:hAnsi="Arial" w:cs="Arial"/>
              </w:rPr>
            </w:pPr>
          </w:p>
        </w:tc>
        <w:tc>
          <w:tcPr>
            <w:tcW w:w="1701" w:type="dxa"/>
            <w:gridSpan w:val="2"/>
          </w:tcPr>
          <w:p w14:paraId="33FF07EE" w14:textId="77777777" w:rsidR="00E27F8E" w:rsidRPr="00A67D5C" w:rsidRDefault="00E27F8E" w:rsidP="0066301C">
            <w:pPr>
              <w:rPr>
                <w:rFonts w:ascii="Arial" w:hAnsi="Arial" w:cs="Arial"/>
              </w:rPr>
            </w:pPr>
          </w:p>
        </w:tc>
      </w:tr>
      <w:tr w:rsidR="00E27F8E" w14:paraId="512004FD" w14:textId="77777777" w:rsidTr="004D74AB">
        <w:trPr>
          <w:trHeight w:val="288"/>
        </w:trPr>
        <w:tc>
          <w:tcPr>
            <w:tcW w:w="2969" w:type="dxa"/>
          </w:tcPr>
          <w:p w14:paraId="02AF5A8C" w14:textId="77777777" w:rsidR="00E27F8E" w:rsidRPr="00A67D5C" w:rsidRDefault="00E27F8E" w:rsidP="0066301C">
            <w:pPr>
              <w:rPr>
                <w:rFonts w:ascii="Arial" w:hAnsi="Arial" w:cs="Arial"/>
              </w:rPr>
            </w:pPr>
            <w:r w:rsidRPr="00A67D5C">
              <w:rPr>
                <w:rFonts w:ascii="Arial" w:hAnsi="Arial" w:cs="Arial"/>
              </w:rPr>
              <w:t>C</w:t>
            </w:r>
          </w:p>
        </w:tc>
        <w:tc>
          <w:tcPr>
            <w:tcW w:w="1420" w:type="dxa"/>
          </w:tcPr>
          <w:p w14:paraId="1C315B64" w14:textId="77777777" w:rsidR="00E27F8E" w:rsidRPr="00A67D5C" w:rsidRDefault="00E27F8E" w:rsidP="0066301C">
            <w:pPr>
              <w:rPr>
                <w:rFonts w:ascii="Arial" w:hAnsi="Arial" w:cs="Arial"/>
              </w:rPr>
            </w:pPr>
            <w:r w:rsidRPr="00A67D5C">
              <w:rPr>
                <w:rFonts w:ascii="Arial" w:hAnsi="Arial" w:cs="Arial"/>
              </w:rPr>
              <w:t>1.532</w:t>
            </w:r>
          </w:p>
        </w:tc>
        <w:tc>
          <w:tcPr>
            <w:tcW w:w="1702" w:type="dxa"/>
            <w:gridSpan w:val="2"/>
          </w:tcPr>
          <w:p w14:paraId="2C8BDD74" w14:textId="77777777" w:rsidR="00E27F8E" w:rsidRPr="00A67D5C" w:rsidRDefault="00E27F8E" w:rsidP="0066301C">
            <w:pPr>
              <w:rPr>
                <w:rFonts w:ascii="Arial" w:hAnsi="Arial" w:cs="Arial"/>
              </w:rPr>
            </w:pPr>
            <w:r w:rsidRPr="00A67D5C">
              <w:rPr>
                <w:rFonts w:ascii="Arial" w:hAnsi="Arial" w:cs="Arial"/>
              </w:rPr>
              <w:t>0.894</w:t>
            </w:r>
          </w:p>
        </w:tc>
        <w:tc>
          <w:tcPr>
            <w:tcW w:w="1701" w:type="dxa"/>
          </w:tcPr>
          <w:p w14:paraId="0CBB789F" w14:textId="77777777" w:rsidR="00E27F8E" w:rsidRPr="00A67D5C" w:rsidRDefault="00E27F8E" w:rsidP="0066301C">
            <w:pPr>
              <w:rPr>
                <w:rFonts w:ascii="Arial" w:hAnsi="Arial" w:cs="Arial"/>
              </w:rPr>
            </w:pPr>
            <w:r w:rsidRPr="00A67D5C">
              <w:rPr>
                <w:rFonts w:ascii="Arial" w:hAnsi="Arial" w:cs="Arial"/>
              </w:rPr>
              <w:t>1.715</w:t>
            </w:r>
          </w:p>
        </w:tc>
        <w:tc>
          <w:tcPr>
            <w:tcW w:w="1701" w:type="dxa"/>
            <w:gridSpan w:val="2"/>
          </w:tcPr>
          <w:p w14:paraId="0F0F1833" w14:textId="77777777" w:rsidR="00E27F8E" w:rsidRPr="00A67D5C" w:rsidRDefault="00E27F8E" w:rsidP="0066301C">
            <w:pPr>
              <w:rPr>
                <w:rFonts w:ascii="Arial" w:hAnsi="Arial" w:cs="Arial"/>
              </w:rPr>
            </w:pPr>
            <w:r w:rsidRPr="00A67D5C">
              <w:rPr>
                <w:rFonts w:ascii="Arial" w:hAnsi="Arial" w:cs="Arial"/>
              </w:rPr>
              <w:t>0.097</w:t>
            </w:r>
          </w:p>
        </w:tc>
      </w:tr>
      <w:tr w:rsidR="00E27F8E" w14:paraId="149011A4" w14:textId="77777777" w:rsidTr="004D74AB">
        <w:trPr>
          <w:trHeight w:val="288"/>
        </w:trPr>
        <w:tc>
          <w:tcPr>
            <w:tcW w:w="2969" w:type="dxa"/>
          </w:tcPr>
          <w:p w14:paraId="546C3B0C" w14:textId="77777777" w:rsidR="00E27F8E" w:rsidRPr="00A67D5C" w:rsidRDefault="00E27F8E" w:rsidP="0066301C">
            <w:pPr>
              <w:rPr>
                <w:rFonts w:ascii="Arial" w:hAnsi="Arial" w:cs="Arial"/>
              </w:rPr>
            </w:pPr>
            <w:r w:rsidRPr="00A67D5C">
              <w:rPr>
                <w:rFonts w:ascii="Arial" w:hAnsi="Arial" w:cs="Arial"/>
              </w:rPr>
              <w:t>LNREER</w:t>
            </w:r>
          </w:p>
        </w:tc>
        <w:tc>
          <w:tcPr>
            <w:tcW w:w="1420" w:type="dxa"/>
          </w:tcPr>
          <w:p w14:paraId="57220CBB" w14:textId="77777777" w:rsidR="00E27F8E" w:rsidRPr="00A67D5C" w:rsidRDefault="00E27F8E" w:rsidP="0066301C">
            <w:pPr>
              <w:rPr>
                <w:rFonts w:ascii="Arial" w:hAnsi="Arial" w:cs="Arial"/>
              </w:rPr>
            </w:pPr>
            <w:r w:rsidRPr="00A67D5C">
              <w:rPr>
                <w:rFonts w:ascii="Arial" w:hAnsi="Arial" w:cs="Arial"/>
              </w:rPr>
              <w:t>0.278</w:t>
            </w:r>
          </w:p>
        </w:tc>
        <w:tc>
          <w:tcPr>
            <w:tcW w:w="1702" w:type="dxa"/>
            <w:gridSpan w:val="2"/>
          </w:tcPr>
          <w:p w14:paraId="504F45D0" w14:textId="77777777" w:rsidR="00E27F8E" w:rsidRPr="00A67D5C" w:rsidRDefault="00E27F8E" w:rsidP="0066301C">
            <w:pPr>
              <w:rPr>
                <w:rFonts w:ascii="Arial" w:hAnsi="Arial" w:cs="Arial"/>
              </w:rPr>
            </w:pPr>
            <w:r w:rsidRPr="00A67D5C">
              <w:rPr>
                <w:rFonts w:ascii="Arial" w:hAnsi="Arial" w:cs="Arial"/>
              </w:rPr>
              <w:t>0.204</w:t>
            </w:r>
          </w:p>
        </w:tc>
        <w:tc>
          <w:tcPr>
            <w:tcW w:w="1701" w:type="dxa"/>
          </w:tcPr>
          <w:p w14:paraId="0C361B46" w14:textId="77777777" w:rsidR="00E27F8E" w:rsidRPr="00A67D5C" w:rsidRDefault="00E27F8E" w:rsidP="0066301C">
            <w:pPr>
              <w:rPr>
                <w:rFonts w:ascii="Arial" w:hAnsi="Arial" w:cs="Arial"/>
              </w:rPr>
            </w:pPr>
            <w:r>
              <w:rPr>
                <w:rFonts w:ascii="Arial" w:hAnsi="Arial" w:cs="Arial"/>
              </w:rPr>
              <w:t>2</w:t>
            </w:r>
            <w:r w:rsidRPr="00A67D5C">
              <w:rPr>
                <w:rFonts w:ascii="Arial" w:hAnsi="Arial" w:cs="Arial"/>
              </w:rPr>
              <w:t>.364</w:t>
            </w:r>
          </w:p>
        </w:tc>
        <w:tc>
          <w:tcPr>
            <w:tcW w:w="1701" w:type="dxa"/>
            <w:gridSpan w:val="2"/>
          </w:tcPr>
          <w:p w14:paraId="12C116B0" w14:textId="77777777" w:rsidR="00E27F8E" w:rsidRPr="00A67D5C" w:rsidRDefault="00E27F8E" w:rsidP="0066301C">
            <w:pPr>
              <w:rPr>
                <w:rFonts w:ascii="Arial" w:hAnsi="Arial" w:cs="Arial"/>
              </w:rPr>
            </w:pPr>
            <w:r w:rsidRPr="00A67D5C">
              <w:rPr>
                <w:rFonts w:ascii="Arial" w:hAnsi="Arial" w:cs="Arial"/>
              </w:rPr>
              <w:t>0.</w:t>
            </w:r>
            <w:r>
              <w:rPr>
                <w:rFonts w:ascii="Arial" w:hAnsi="Arial" w:cs="Arial"/>
              </w:rPr>
              <w:t>0</w:t>
            </w:r>
            <w:r w:rsidRPr="00A67D5C">
              <w:rPr>
                <w:rFonts w:ascii="Arial" w:hAnsi="Arial" w:cs="Arial"/>
              </w:rPr>
              <w:t>13</w:t>
            </w:r>
          </w:p>
        </w:tc>
      </w:tr>
      <w:tr w:rsidR="00E27F8E" w14:paraId="315B1C10" w14:textId="77777777" w:rsidTr="004D74AB">
        <w:trPr>
          <w:trHeight w:val="288"/>
        </w:trPr>
        <w:tc>
          <w:tcPr>
            <w:tcW w:w="2969" w:type="dxa"/>
          </w:tcPr>
          <w:p w14:paraId="760180CA" w14:textId="77777777" w:rsidR="00E27F8E" w:rsidRPr="00A67D5C" w:rsidRDefault="00E27F8E" w:rsidP="0066301C">
            <w:pPr>
              <w:rPr>
                <w:rFonts w:ascii="Arial" w:hAnsi="Arial" w:cs="Arial"/>
              </w:rPr>
            </w:pPr>
            <w:r w:rsidRPr="00A67D5C">
              <w:rPr>
                <w:rFonts w:ascii="Arial" w:hAnsi="Arial" w:cs="Arial"/>
              </w:rPr>
              <w:t>LNDI</w:t>
            </w:r>
          </w:p>
        </w:tc>
        <w:tc>
          <w:tcPr>
            <w:tcW w:w="1420" w:type="dxa"/>
          </w:tcPr>
          <w:p w14:paraId="32B6B8C6" w14:textId="77777777" w:rsidR="00E27F8E" w:rsidRPr="00A67D5C" w:rsidRDefault="00E27F8E" w:rsidP="0066301C">
            <w:pPr>
              <w:rPr>
                <w:rFonts w:ascii="Arial" w:hAnsi="Arial" w:cs="Arial"/>
              </w:rPr>
            </w:pPr>
            <w:r w:rsidRPr="00A67D5C">
              <w:rPr>
                <w:rFonts w:ascii="Arial" w:hAnsi="Arial" w:cs="Arial"/>
              </w:rPr>
              <w:t>-0.130</w:t>
            </w:r>
          </w:p>
        </w:tc>
        <w:tc>
          <w:tcPr>
            <w:tcW w:w="1702" w:type="dxa"/>
            <w:gridSpan w:val="2"/>
          </w:tcPr>
          <w:p w14:paraId="26DB5348" w14:textId="77777777" w:rsidR="00E27F8E" w:rsidRPr="00A67D5C" w:rsidRDefault="00E27F8E" w:rsidP="0066301C">
            <w:pPr>
              <w:rPr>
                <w:rFonts w:ascii="Arial" w:hAnsi="Arial" w:cs="Arial"/>
              </w:rPr>
            </w:pPr>
            <w:r w:rsidRPr="00A67D5C">
              <w:rPr>
                <w:rFonts w:ascii="Arial" w:hAnsi="Arial" w:cs="Arial"/>
              </w:rPr>
              <w:t>0.185</w:t>
            </w:r>
          </w:p>
        </w:tc>
        <w:tc>
          <w:tcPr>
            <w:tcW w:w="1701" w:type="dxa"/>
          </w:tcPr>
          <w:p w14:paraId="4716B258" w14:textId="77777777" w:rsidR="00E27F8E" w:rsidRPr="00A67D5C" w:rsidRDefault="00E27F8E" w:rsidP="0066301C">
            <w:pPr>
              <w:rPr>
                <w:rFonts w:ascii="Arial" w:hAnsi="Arial" w:cs="Arial"/>
              </w:rPr>
            </w:pPr>
            <w:r w:rsidRPr="00A67D5C">
              <w:rPr>
                <w:rFonts w:ascii="Arial" w:hAnsi="Arial" w:cs="Arial"/>
              </w:rPr>
              <w:t>-0.703</w:t>
            </w:r>
          </w:p>
        </w:tc>
        <w:tc>
          <w:tcPr>
            <w:tcW w:w="1701" w:type="dxa"/>
            <w:gridSpan w:val="2"/>
          </w:tcPr>
          <w:p w14:paraId="4CC4B4DB" w14:textId="77777777" w:rsidR="00E27F8E" w:rsidRPr="00A67D5C" w:rsidRDefault="00E27F8E" w:rsidP="0066301C">
            <w:pPr>
              <w:rPr>
                <w:rFonts w:ascii="Arial" w:hAnsi="Arial" w:cs="Arial"/>
              </w:rPr>
            </w:pPr>
            <w:r w:rsidRPr="00A67D5C">
              <w:rPr>
                <w:rFonts w:ascii="Arial" w:hAnsi="Arial" w:cs="Arial"/>
              </w:rPr>
              <w:t>0.487</w:t>
            </w:r>
          </w:p>
        </w:tc>
      </w:tr>
      <w:tr w:rsidR="00E27F8E" w14:paraId="02EB4350" w14:textId="77777777" w:rsidTr="004D74AB">
        <w:trPr>
          <w:trHeight w:val="288"/>
        </w:trPr>
        <w:tc>
          <w:tcPr>
            <w:tcW w:w="2969" w:type="dxa"/>
          </w:tcPr>
          <w:p w14:paraId="0F5057E0" w14:textId="77777777" w:rsidR="00E27F8E" w:rsidRPr="00A67D5C" w:rsidRDefault="00E27F8E" w:rsidP="0066301C">
            <w:pPr>
              <w:rPr>
                <w:rFonts w:ascii="Arial" w:hAnsi="Arial" w:cs="Arial"/>
              </w:rPr>
            </w:pPr>
            <w:r w:rsidRPr="00A67D5C">
              <w:rPr>
                <w:rFonts w:ascii="Arial" w:hAnsi="Arial" w:cs="Arial"/>
              </w:rPr>
              <w:t>LNINDIAFI</w:t>
            </w:r>
          </w:p>
        </w:tc>
        <w:tc>
          <w:tcPr>
            <w:tcW w:w="1420" w:type="dxa"/>
          </w:tcPr>
          <w:p w14:paraId="1847D97C" w14:textId="77777777" w:rsidR="00E27F8E" w:rsidRPr="00A67D5C" w:rsidRDefault="00E27F8E" w:rsidP="0066301C">
            <w:pPr>
              <w:rPr>
                <w:rFonts w:ascii="Arial" w:hAnsi="Arial" w:cs="Arial"/>
              </w:rPr>
            </w:pPr>
            <w:r w:rsidRPr="00A67D5C">
              <w:rPr>
                <w:rFonts w:ascii="Arial" w:hAnsi="Arial" w:cs="Arial"/>
              </w:rPr>
              <w:t>-0.01</w:t>
            </w:r>
          </w:p>
        </w:tc>
        <w:tc>
          <w:tcPr>
            <w:tcW w:w="1702" w:type="dxa"/>
            <w:gridSpan w:val="2"/>
          </w:tcPr>
          <w:p w14:paraId="176F2ADD" w14:textId="77777777" w:rsidR="00E27F8E" w:rsidRPr="00A67D5C" w:rsidRDefault="00E27F8E" w:rsidP="0066301C">
            <w:pPr>
              <w:rPr>
                <w:rFonts w:ascii="Arial" w:hAnsi="Arial" w:cs="Arial"/>
              </w:rPr>
            </w:pPr>
            <w:r w:rsidRPr="00A67D5C">
              <w:rPr>
                <w:rFonts w:ascii="Arial" w:hAnsi="Arial" w:cs="Arial"/>
              </w:rPr>
              <w:t>0.132</w:t>
            </w:r>
          </w:p>
        </w:tc>
        <w:tc>
          <w:tcPr>
            <w:tcW w:w="1701" w:type="dxa"/>
          </w:tcPr>
          <w:p w14:paraId="1ECC1855" w14:textId="77777777" w:rsidR="00E27F8E" w:rsidRPr="00A67D5C" w:rsidRDefault="00E27F8E" w:rsidP="0066301C">
            <w:pPr>
              <w:rPr>
                <w:rFonts w:ascii="Arial" w:hAnsi="Arial" w:cs="Arial"/>
              </w:rPr>
            </w:pPr>
            <w:r w:rsidRPr="00A67D5C">
              <w:rPr>
                <w:rFonts w:ascii="Arial" w:hAnsi="Arial" w:cs="Arial"/>
              </w:rPr>
              <w:t>-0.076</w:t>
            </w:r>
          </w:p>
        </w:tc>
        <w:tc>
          <w:tcPr>
            <w:tcW w:w="1701" w:type="dxa"/>
            <w:gridSpan w:val="2"/>
          </w:tcPr>
          <w:p w14:paraId="16CE49A0" w14:textId="77777777" w:rsidR="00E27F8E" w:rsidRPr="00A67D5C" w:rsidRDefault="00E27F8E" w:rsidP="0066301C">
            <w:pPr>
              <w:rPr>
                <w:rFonts w:ascii="Arial" w:hAnsi="Arial" w:cs="Arial"/>
              </w:rPr>
            </w:pPr>
            <w:r w:rsidRPr="00A67D5C">
              <w:rPr>
                <w:rFonts w:ascii="Arial" w:hAnsi="Arial" w:cs="Arial"/>
              </w:rPr>
              <w:t>0.940</w:t>
            </w:r>
          </w:p>
        </w:tc>
      </w:tr>
      <w:tr w:rsidR="00E27F8E" w14:paraId="3B8489ED" w14:textId="77777777" w:rsidTr="004D74AB">
        <w:trPr>
          <w:trHeight w:val="288"/>
        </w:trPr>
        <w:tc>
          <w:tcPr>
            <w:tcW w:w="2969" w:type="dxa"/>
          </w:tcPr>
          <w:p w14:paraId="168212C8" w14:textId="77777777" w:rsidR="00E27F8E" w:rsidRPr="00A67D5C" w:rsidRDefault="00E27F8E" w:rsidP="0066301C">
            <w:pPr>
              <w:rPr>
                <w:rFonts w:ascii="Arial" w:hAnsi="Arial" w:cs="Arial"/>
                <w:b/>
                <w:bCs/>
              </w:rPr>
            </w:pPr>
            <w:r w:rsidRPr="00A67D5C">
              <w:rPr>
                <w:rFonts w:ascii="Arial" w:hAnsi="Arial" w:cs="Arial"/>
                <w:b/>
                <w:bCs/>
              </w:rPr>
              <w:t>Short-run elasticities</w:t>
            </w:r>
          </w:p>
        </w:tc>
        <w:tc>
          <w:tcPr>
            <w:tcW w:w="1420" w:type="dxa"/>
          </w:tcPr>
          <w:p w14:paraId="17173769" w14:textId="77777777" w:rsidR="00E27F8E" w:rsidRPr="00A67D5C" w:rsidRDefault="00E27F8E" w:rsidP="0066301C">
            <w:pPr>
              <w:rPr>
                <w:rFonts w:ascii="Arial" w:hAnsi="Arial" w:cs="Arial"/>
              </w:rPr>
            </w:pPr>
          </w:p>
        </w:tc>
        <w:tc>
          <w:tcPr>
            <w:tcW w:w="1702" w:type="dxa"/>
            <w:gridSpan w:val="2"/>
          </w:tcPr>
          <w:p w14:paraId="70B57CD3" w14:textId="77777777" w:rsidR="00E27F8E" w:rsidRPr="00A67D5C" w:rsidRDefault="00E27F8E" w:rsidP="0066301C">
            <w:pPr>
              <w:rPr>
                <w:rFonts w:ascii="Arial" w:hAnsi="Arial" w:cs="Arial"/>
              </w:rPr>
            </w:pPr>
          </w:p>
        </w:tc>
        <w:tc>
          <w:tcPr>
            <w:tcW w:w="1701" w:type="dxa"/>
          </w:tcPr>
          <w:p w14:paraId="7D82A801" w14:textId="77777777" w:rsidR="00E27F8E" w:rsidRPr="00A67D5C" w:rsidRDefault="00E27F8E" w:rsidP="0066301C">
            <w:pPr>
              <w:rPr>
                <w:rFonts w:ascii="Arial" w:hAnsi="Arial" w:cs="Arial"/>
              </w:rPr>
            </w:pPr>
          </w:p>
        </w:tc>
        <w:tc>
          <w:tcPr>
            <w:tcW w:w="1701" w:type="dxa"/>
            <w:gridSpan w:val="2"/>
          </w:tcPr>
          <w:p w14:paraId="18742A39" w14:textId="77777777" w:rsidR="00E27F8E" w:rsidRPr="00A67D5C" w:rsidRDefault="00E27F8E" w:rsidP="0066301C">
            <w:pPr>
              <w:rPr>
                <w:rFonts w:ascii="Arial" w:hAnsi="Arial" w:cs="Arial"/>
              </w:rPr>
            </w:pPr>
          </w:p>
        </w:tc>
      </w:tr>
      <w:tr w:rsidR="00E27F8E" w14:paraId="0D6B24B3" w14:textId="77777777" w:rsidTr="004D74AB">
        <w:trPr>
          <w:trHeight w:val="288"/>
        </w:trPr>
        <w:tc>
          <w:tcPr>
            <w:tcW w:w="2969" w:type="dxa"/>
          </w:tcPr>
          <w:p w14:paraId="66AC0BEF" w14:textId="77777777" w:rsidR="00E27F8E" w:rsidRPr="00A67D5C" w:rsidRDefault="00E27F8E" w:rsidP="0066301C">
            <w:pPr>
              <w:rPr>
                <w:rFonts w:ascii="Arial" w:hAnsi="Arial" w:cs="Arial"/>
              </w:rPr>
            </w:pPr>
            <w:r w:rsidRPr="00A67D5C">
              <w:rPr>
                <w:rFonts w:ascii="Arial" w:hAnsi="Arial" w:cs="Arial"/>
              </w:rPr>
              <w:t>C</w:t>
            </w:r>
          </w:p>
        </w:tc>
        <w:tc>
          <w:tcPr>
            <w:tcW w:w="1420" w:type="dxa"/>
          </w:tcPr>
          <w:p w14:paraId="7152AA8F" w14:textId="77777777" w:rsidR="00E27F8E" w:rsidRPr="00A67D5C" w:rsidRDefault="00E27F8E" w:rsidP="0066301C">
            <w:pPr>
              <w:rPr>
                <w:rFonts w:ascii="Arial" w:hAnsi="Arial" w:cs="Arial"/>
              </w:rPr>
            </w:pPr>
            <w:r w:rsidRPr="00A67D5C">
              <w:rPr>
                <w:rFonts w:ascii="Arial" w:hAnsi="Arial" w:cs="Arial"/>
              </w:rPr>
              <w:t>1.746</w:t>
            </w:r>
          </w:p>
        </w:tc>
        <w:tc>
          <w:tcPr>
            <w:tcW w:w="1702" w:type="dxa"/>
            <w:gridSpan w:val="2"/>
          </w:tcPr>
          <w:p w14:paraId="0B662EE2" w14:textId="77777777" w:rsidR="00E27F8E" w:rsidRPr="00A67D5C" w:rsidRDefault="00E27F8E" w:rsidP="0066301C">
            <w:pPr>
              <w:rPr>
                <w:rFonts w:ascii="Arial" w:hAnsi="Arial" w:cs="Arial"/>
              </w:rPr>
            </w:pPr>
            <w:r w:rsidRPr="00A67D5C">
              <w:rPr>
                <w:rFonts w:ascii="Arial" w:hAnsi="Arial" w:cs="Arial"/>
              </w:rPr>
              <w:t>0.213</w:t>
            </w:r>
          </w:p>
        </w:tc>
        <w:tc>
          <w:tcPr>
            <w:tcW w:w="1701" w:type="dxa"/>
          </w:tcPr>
          <w:p w14:paraId="6A213C30" w14:textId="77777777" w:rsidR="00E27F8E" w:rsidRPr="00A67D5C" w:rsidRDefault="00E27F8E" w:rsidP="0066301C">
            <w:pPr>
              <w:rPr>
                <w:rFonts w:ascii="Arial" w:hAnsi="Arial" w:cs="Arial"/>
              </w:rPr>
            </w:pPr>
            <w:r w:rsidRPr="00A67D5C">
              <w:rPr>
                <w:rFonts w:ascii="Arial" w:hAnsi="Arial" w:cs="Arial"/>
              </w:rPr>
              <w:t>8.187</w:t>
            </w:r>
          </w:p>
        </w:tc>
        <w:tc>
          <w:tcPr>
            <w:tcW w:w="1701" w:type="dxa"/>
            <w:gridSpan w:val="2"/>
          </w:tcPr>
          <w:p w14:paraId="180EDE19" w14:textId="77777777" w:rsidR="00E27F8E" w:rsidRPr="00A67D5C" w:rsidRDefault="00E27F8E" w:rsidP="0066301C">
            <w:pPr>
              <w:rPr>
                <w:rFonts w:ascii="Arial" w:hAnsi="Arial" w:cs="Arial"/>
              </w:rPr>
            </w:pPr>
            <w:r w:rsidRPr="00A67D5C">
              <w:rPr>
                <w:rFonts w:ascii="Arial" w:hAnsi="Arial" w:cs="Arial"/>
              </w:rPr>
              <w:t>0.000</w:t>
            </w:r>
          </w:p>
        </w:tc>
      </w:tr>
      <w:tr w:rsidR="00E27F8E" w14:paraId="18A9373C" w14:textId="77777777" w:rsidTr="004D74AB">
        <w:trPr>
          <w:trHeight w:val="288"/>
        </w:trPr>
        <w:tc>
          <w:tcPr>
            <w:tcW w:w="2969" w:type="dxa"/>
          </w:tcPr>
          <w:p w14:paraId="626BA2AB" w14:textId="77777777" w:rsidR="00E27F8E" w:rsidRPr="00A67D5C" w:rsidRDefault="00E27F8E" w:rsidP="0066301C">
            <w:pPr>
              <w:rPr>
                <w:rFonts w:ascii="Arial" w:hAnsi="Arial" w:cs="Arial"/>
              </w:rPr>
            </w:pPr>
            <w:r w:rsidRPr="00A67D5C">
              <w:rPr>
                <w:rFonts w:ascii="Arial" w:hAnsi="Arial" w:cs="Arial"/>
              </w:rPr>
              <w:t>∆LNREER</w:t>
            </w:r>
          </w:p>
        </w:tc>
        <w:tc>
          <w:tcPr>
            <w:tcW w:w="1420" w:type="dxa"/>
          </w:tcPr>
          <w:p w14:paraId="564C6A70" w14:textId="77777777" w:rsidR="00E27F8E" w:rsidRPr="00A67D5C" w:rsidRDefault="00E27F8E" w:rsidP="0066301C">
            <w:pPr>
              <w:rPr>
                <w:rFonts w:ascii="Arial" w:hAnsi="Arial" w:cs="Arial"/>
              </w:rPr>
            </w:pPr>
            <w:r w:rsidRPr="00A67D5C">
              <w:rPr>
                <w:rFonts w:ascii="Arial" w:hAnsi="Arial" w:cs="Arial"/>
              </w:rPr>
              <w:t>-0.481</w:t>
            </w:r>
          </w:p>
        </w:tc>
        <w:tc>
          <w:tcPr>
            <w:tcW w:w="1702" w:type="dxa"/>
            <w:gridSpan w:val="2"/>
          </w:tcPr>
          <w:p w14:paraId="4C9C2F3E" w14:textId="77777777" w:rsidR="00E27F8E" w:rsidRPr="00A67D5C" w:rsidRDefault="00E27F8E" w:rsidP="0066301C">
            <w:pPr>
              <w:rPr>
                <w:rFonts w:ascii="Arial" w:hAnsi="Arial" w:cs="Arial"/>
              </w:rPr>
            </w:pPr>
            <w:r w:rsidRPr="00A67D5C">
              <w:rPr>
                <w:rFonts w:ascii="Arial" w:hAnsi="Arial" w:cs="Arial"/>
              </w:rPr>
              <w:t>0.169</w:t>
            </w:r>
          </w:p>
        </w:tc>
        <w:tc>
          <w:tcPr>
            <w:tcW w:w="1701" w:type="dxa"/>
          </w:tcPr>
          <w:p w14:paraId="1ECD2E39" w14:textId="77777777" w:rsidR="00E27F8E" w:rsidRPr="00A67D5C" w:rsidRDefault="00E27F8E" w:rsidP="0066301C">
            <w:pPr>
              <w:rPr>
                <w:rFonts w:ascii="Arial" w:hAnsi="Arial" w:cs="Arial"/>
              </w:rPr>
            </w:pPr>
            <w:r w:rsidRPr="00A67D5C">
              <w:rPr>
                <w:rFonts w:ascii="Arial" w:hAnsi="Arial" w:cs="Arial"/>
              </w:rPr>
              <w:t>-2.835</w:t>
            </w:r>
          </w:p>
        </w:tc>
        <w:tc>
          <w:tcPr>
            <w:tcW w:w="1701" w:type="dxa"/>
            <w:gridSpan w:val="2"/>
          </w:tcPr>
          <w:p w14:paraId="40730C3C" w14:textId="77777777" w:rsidR="00E27F8E" w:rsidRPr="00A67D5C" w:rsidRDefault="00E27F8E" w:rsidP="0066301C">
            <w:pPr>
              <w:rPr>
                <w:rFonts w:ascii="Arial" w:hAnsi="Arial" w:cs="Arial"/>
              </w:rPr>
            </w:pPr>
            <w:r w:rsidRPr="00A67D5C">
              <w:rPr>
                <w:rFonts w:ascii="Arial" w:hAnsi="Arial" w:cs="Arial"/>
              </w:rPr>
              <w:t>0.008</w:t>
            </w:r>
          </w:p>
        </w:tc>
      </w:tr>
      <w:tr w:rsidR="00E27F8E" w14:paraId="5B9856CA" w14:textId="77777777" w:rsidTr="004D74AB">
        <w:trPr>
          <w:trHeight w:val="288"/>
        </w:trPr>
        <w:tc>
          <w:tcPr>
            <w:tcW w:w="2969" w:type="dxa"/>
          </w:tcPr>
          <w:p w14:paraId="2EB8BFAE" w14:textId="77777777" w:rsidR="00E27F8E" w:rsidRPr="00A67D5C" w:rsidRDefault="00E27F8E" w:rsidP="0066301C">
            <w:pPr>
              <w:rPr>
                <w:rFonts w:ascii="Arial" w:hAnsi="Arial" w:cs="Arial"/>
              </w:rPr>
            </w:pPr>
            <w:r w:rsidRPr="00A67D5C">
              <w:rPr>
                <w:rFonts w:ascii="Arial" w:hAnsi="Arial" w:cs="Arial"/>
              </w:rPr>
              <w:t>∆LNREER</w:t>
            </w:r>
            <w:r w:rsidRPr="00A67D5C">
              <w:rPr>
                <w:rFonts w:ascii="Arial" w:hAnsi="Arial" w:cs="Arial"/>
                <w:vertAlign w:val="subscript"/>
              </w:rPr>
              <w:t>t-1</w:t>
            </w:r>
          </w:p>
        </w:tc>
        <w:tc>
          <w:tcPr>
            <w:tcW w:w="1420" w:type="dxa"/>
          </w:tcPr>
          <w:p w14:paraId="009E499C" w14:textId="77777777" w:rsidR="00E27F8E" w:rsidRPr="00A67D5C" w:rsidRDefault="00E27F8E" w:rsidP="0066301C">
            <w:pPr>
              <w:rPr>
                <w:rFonts w:ascii="Arial" w:hAnsi="Arial" w:cs="Arial"/>
              </w:rPr>
            </w:pPr>
            <w:r w:rsidRPr="00A67D5C">
              <w:rPr>
                <w:rFonts w:ascii="Arial" w:hAnsi="Arial" w:cs="Arial"/>
              </w:rPr>
              <w:t>-0.597</w:t>
            </w:r>
          </w:p>
        </w:tc>
        <w:tc>
          <w:tcPr>
            <w:tcW w:w="1702" w:type="dxa"/>
            <w:gridSpan w:val="2"/>
          </w:tcPr>
          <w:p w14:paraId="537A9F84" w14:textId="77777777" w:rsidR="00E27F8E" w:rsidRPr="00A67D5C" w:rsidRDefault="00E27F8E" w:rsidP="0066301C">
            <w:pPr>
              <w:rPr>
                <w:rFonts w:ascii="Arial" w:hAnsi="Arial" w:cs="Arial"/>
              </w:rPr>
            </w:pPr>
            <w:r w:rsidRPr="00A67D5C">
              <w:rPr>
                <w:rFonts w:ascii="Arial" w:hAnsi="Arial" w:cs="Arial"/>
              </w:rPr>
              <w:t>0.148</w:t>
            </w:r>
          </w:p>
        </w:tc>
        <w:tc>
          <w:tcPr>
            <w:tcW w:w="1701" w:type="dxa"/>
          </w:tcPr>
          <w:p w14:paraId="22466D7D" w14:textId="77777777" w:rsidR="00E27F8E" w:rsidRPr="00A67D5C" w:rsidRDefault="00E27F8E" w:rsidP="0066301C">
            <w:pPr>
              <w:rPr>
                <w:rFonts w:ascii="Arial" w:hAnsi="Arial" w:cs="Arial"/>
              </w:rPr>
            </w:pPr>
            <w:r w:rsidRPr="00A67D5C">
              <w:rPr>
                <w:rFonts w:ascii="Arial" w:hAnsi="Arial" w:cs="Arial"/>
              </w:rPr>
              <w:t>-4.027</w:t>
            </w:r>
          </w:p>
        </w:tc>
        <w:tc>
          <w:tcPr>
            <w:tcW w:w="1701" w:type="dxa"/>
            <w:gridSpan w:val="2"/>
          </w:tcPr>
          <w:p w14:paraId="02E30DE2" w14:textId="77777777" w:rsidR="00E27F8E" w:rsidRPr="00A67D5C" w:rsidRDefault="00E27F8E" w:rsidP="0066301C">
            <w:pPr>
              <w:rPr>
                <w:rFonts w:ascii="Arial" w:hAnsi="Arial" w:cs="Arial"/>
              </w:rPr>
            </w:pPr>
            <w:r w:rsidRPr="00A67D5C">
              <w:rPr>
                <w:rFonts w:ascii="Arial" w:hAnsi="Arial" w:cs="Arial"/>
              </w:rPr>
              <w:t>0.000</w:t>
            </w:r>
          </w:p>
        </w:tc>
      </w:tr>
      <w:tr w:rsidR="00E27F8E" w14:paraId="4BD9EA40" w14:textId="77777777" w:rsidTr="004D74AB">
        <w:trPr>
          <w:trHeight w:val="288"/>
        </w:trPr>
        <w:tc>
          <w:tcPr>
            <w:tcW w:w="2969" w:type="dxa"/>
          </w:tcPr>
          <w:p w14:paraId="7E466C5B" w14:textId="77777777" w:rsidR="00E27F8E" w:rsidRPr="00A67D5C" w:rsidRDefault="00E27F8E" w:rsidP="0066301C">
            <w:pPr>
              <w:rPr>
                <w:rFonts w:ascii="Arial" w:hAnsi="Arial" w:cs="Arial"/>
              </w:rPr>
            </w:pPr>
            <w:r w:rsidRPr="00A67D5C">
              <w:rPr>
                <w:rFonts w:ascii="Arial" w:hAnsi="Arial" w:cs="Arial"/>
              </w:rPr>
              <w:t>∆LNDI</w:t>
            </w:r>
          </w:p>
        </w:tc>
        <w:tc>
          <w:tcPr>
            <w:tcW w:w="1420" w:type="dxa"/>
          </w:tcPr>
          <w:p w14:paraId="6EB7E241" w14:textId="77777777" w:rsidR="00E27F8E" w:rsidRPr="00A67D5C" w:rsidRDefault="00E27F8E" w:rsidP="0066301C">
            <w:pPr>
              <w:rPr>
                <w:rFonts w:ascii="Arial" w:hAnsi="Arial" w:cs="Arial"/>
              </w:rPr>
            </w:pPr>
            <w:r w:rsidRPr="00A67D5C">
              <w:rPr>
                <w:rFonts w:ascii="Arial" w:hAnsi="Arial" w:cs="Arial"/>
              </w:rPr>
              <w:t>0.030</w:t>
            </w:r>
          </w:p>
        </w:tc>
        <w:tc>
          <w:tcPr>
            <w:tcW w:w="1702" w:type="dxa"/>
            <w:gridSpan w:val="2"/>
          </w:tcPr>
          <w:p w14:paraId="1F6FD9EA" w14:textId="77777777" w:rsidR="00E27F8E" w:rsidRPr="00A67D5C" w:rsidRDefault="00E27F8E" w:rsidP="0066301C">
            <w:pPr>
              <w:rPr>
                <w:rFonts w:ascii="Arial" w:hAnsi="Arial" w:cs="Arial"/>
              </w:rPr>
            </w:pPr>
            <w:r w:rsidRPr="00A67D5C">
              <w:rPr>
                <w:rFonts w:ascii="Arial" w:hAnsi="Arial" w:cs="Arial"/>
              </w:rPr>
              <w:t>0.126</w:t>
            </w:r>
          </w:p>
        </w:tc>
        <w:tc>
          <w:tcPr>
            <w:tcW w:w="1701" w:type="dxa"/>
          </w:tcPr>
          <w:p w14:paraId="2107BB0E" w14:textId="77777777" w:rsidR="00E27F8E" w:rsidRPr="00A67D5C" w:rsidRDefault="00E27F8E" w:rsidP="0066301C">
            <w:pPr>
              <w:rPr>
                <w:rFonts w:ascii="Arial" w:hAnsi="Arial" w:cs="Arial"/>
              </w:rPr>
            </w:pPr>
            <w:r w:rsidRPr="00A67D5C">
              <w:rPr>
                <w:rFonts w:ascii="Arial" w:hAnsi="Arial" w:cs="Arial"/>
              </w:rPr>
              <w:t>0.239</w:t>
            </w:r>
          </w:p>
        </w:tc>
        <w:tc>
          <w:tcPr>
            <w:tcW w:w="1701" w:type="dxa"/>
            <w:gridSpan w:val="2"/>
          </w:tcPr>
          <w:p w14:paraId="409FC1C8" w14:textId="77777777" w:rsidR="00E27F8E" w:rsidRPr="00A67D5C" w:rsidRDefault="00E27F8E" w:rsidP="0066301C">
            <w:pPr>
              <w:rPr>
                <w:rFonts w:ascii="Arial" w:hAnsi="Arial" w:cs="Arial"/>
              </w:rPr>
            </w:pPr>
            <w:r w:rsidRPr="00A67D5C">
              <w:rPr>
                <w:rFonts w:ascii="Arial" w:hAnsi="Arial" w:cs="Arial"/>
              </w:rPr>
              <w:t>0.813</w:t>
            </w:r>
          </w:p>
        </w:tc>
      </w:tr>
      <w:tr w:rsidR="00E27F8E" w14:paraId="5E720D45" w14:textId="77777777" w:rsidTr="004D74AB">
        <w:trPr>
          <w:trHeight w:val="288"/>
        </w:trPr>
        <w:tc>
          <w:tcPr>
            <w:tcW w:w="2969" w:type="dxa"/>
          </w:tcPr>
          <w:p w14:paraId="01FC75DE" w14:textId="77777777" w:rsidR="00E27F8E" w:rsidRPr="00A67D5C" w:rsidRDefault="00E27F8E" w:rsidP="0066301C">
            <w:pPr>
              <w:rPr>
                <w:rFonts w:ascii="Arial" w:hAnsi="Arial" w:cs="Arial"/>
              </w:rPr>
            </w:pPr>
            <w:r w:rsidRPr="00A67D5C">
              <w:rPr>
                <w:rFonts w:ascii="Arial" w:hAnsi="Arial" w:cs="Arial"/>
              </w:rPr>
              <w:t>∆LNINDIFI</w:t>
            </w:r>
            <w:r w:rsidRPr="00A67D5C">
              <w:rPr>
                <w:rFonts w:ascii="Arial" w:hAnsi="Arial" w:cs="Arial"/>
                <w:vertAlign w:val="subscript"/>
              </w:rPr>
              <w:t>t-1</w:t>
            </w:r>
          </w:p>
        </w:tc>
        <w:tc>
          <w:tcPr>
            <w:tcW w:w="1420" w:type="dxa"/>
          </w:tcPr>
          <w:p w14:paraId="4D42663E" w14:textId="77777777" w:rsidR="00E27F8E" w:rsidRPr="00A67D5C" w:rsidRDefault="00E27F8E" w:rsidP="0066301C">
            <w:pPr>
              <w:rPr>
                <w:rFonts w:ascii="Arial" w:hAnsi="Arial" w:cs="Arial"/>
              </w:rPr>
            </w:pPr>
            <w:r w:rsidRPr="00A67D5C">
              <w:rPr>
                <w:rFonts w:ascii="Arial" w:hAnsi="Arial" w:cs="Arial"/>
              </w:rPr>
              <w:t>-0.302</w:t>
            </w:r>
          </w:p>
        </w:tc>
        <w:tc>
          <w:tcPr>
            <w:tcW w:w="1702" w:type="dxa"/>
            <w:gridSpan w:val="2"/>
          </w:tcPr>
          <w:p w14:paraId="075932E5" w14:textId="77777777" w:rsidR="00E27F8E" w:rsidRPr="00A67D5C" w:rsidRDefault="00E27F8E" w:rsidP="0066301C">
            <w:pPr>
              <w:rPr>
                <w:rFonts w:ascii="Arial" w:hAnsi="Arial" w:cs="Arial"/>
              </w:rPr>
            </w:pPr>
            <w:r w:rsidRPr="00A67D5C">
              <w:rPr>
                <w:rFonts w:ascii="Arial" w:hAnsi="Arial" w:cs="Arial"/>
              </w:rPr>
              <w:t>0.138</w:t>
            </w:r>
          </w:p>
        </w:tc>
        <w:tc>
          <w:tcPr>
            <w:tcW w:w="1701" w:type="dxa"/>
          </w:tcPr>
          <w:p w14:paraId="0402218F" w14:textId="77777777" w:rsidR="00E27F8E" w:rsidRPr="00A67D5C" w:rsidRDefault="00E27F8E" w:rsidP="0066301C">
            <w:pPr>
              <w:rPr>
                <w:rFonts w:ascii="Arial" w:hAnsi="Arial" w:cs="Arial"/>
              </w:rPr>
            </w:pPr>
            <w:r w:rsidRPr="00A67D5C">
              <w:rPr>
                <w:rFonts w:ascii="Arial" w:hAnsi="Arial" w:cs="Arial"/>
              </w:rPr>
              <w:t>-2.180</w:t>
            </w:r>
          </w:p>
        </w:tc>
        <w:tc>
          <w:tcPr>
            <w:tcW w:w="1701" w:type="dxa"/>
            <w:gridSpan w:val="2"/>
          </w:tcPr>
          <w:p w14:paraId="60CE1E6C" w14:textId="77777777" w:rsidR="00E27F8E" w:rsidRPr="00A67D5C" w:rsidRDefault="00E27F8E" w:rsidP="0066301C">
            <w:pPr>
              <w:rPr>
                <w:rFonts w:ascii="Arial" w:hAnsi="Arial" w:cs="Arial"/>
              </w:rPr>
            </w:pPr>
            <w:r w:rsidRPr="00A67D5C">
              <w:rPr>
                <w:rFonts w:ascii="Arial" w:hAnsi="Arial" w:cs="Arial"/>
              </w:rPr>
              <w:t>0.038</w:t>
            </w:r>
          </w:p>
        </w:tc>
      </w:tr>
      <w:tr w:rsidR="00E27F8E" w14:paraId="0002B93E" w14:textId="77777777" w:rsidTr="004D74AB">
        <w:trPr>
          <w:trHeight w:val="288"/>
        </w:trPr>
        <w:tc>
          <w:tcPr>
            <w:tcW w:w="2969" w:type="dxa"/>
          </w:tcPr>
          <w:p w14:paraId="5873E974" w14:textId="77777777" w:rsidR="00E27F8E" w:rsidRPr="00A67D5C" w:rsidRDefault="00E27F8E" w:rsidP="0066301C">
            <w:pPr>
              <w:rPr>
                <w:rFonts w:ascii="Arial" w:hAnsi="Arial" w:cs="Arial"/>
              </w:rPr>
            </w:pPr>
            <w:r w:rsidRPr="00A67D5C">
              <w:rPr>
                <w:rFonts w:ascii="Arial" w:hAnsi="Arial" w:cs="Arial"/>
              </w:rPr>
              <w:t>ECM</w:t>
            </w:r>
            <w:r w:rsidRPr="00A67D5C">
              <w:rPr>
                <w:rFonts w:ascii="Arial" w:hAnsi="Arial" w:cs="Arial"/>
                <w:vertAlign w:val="subscript"/>
              </w:rPr>
              <w:t>t-1</w:t>
            </w:r>
          </w:p>
        </w:tc>
        <w:tc>
          <w:tcPr>
            <w:tcW w:w="1420" w:type="dxa"/>
          </w:tcPr>
          <w:p w14:paraId="71CFFBBA" w14:textId="77777777" w:rsidR="00E27F8E" w:rsidRPr="00A67D5C" w:rsidRDefault="00E27F8E" w:rsidP="0066301C">
            <w:pPr>
              <w:rPr>
                <w:rFonts w:ascii="Arial" w:hAnsi="Arial" w:cs="Arial"/>
              </w:rPr>
            </w:pPr>
            <w:r w:rsidRPr="00A67D5C">
              <w:rPr>
                <w:rFonts w:ascii="Arial" w:hAnsi="Arial" w:cs="Arial"/>
              </w:rPr>
              <w:t>-0.797</w:t>
            </w:r>
          </w:p>
        </w:tc>
        <w:tc>
          <w:tcPr>
            <w:tcW w:w="1702" w:type="dxa"/>
            <w:gridSpan w:val="2"/>
          </w:tcPr>
          <w:p w14:paraId="52F900AF" w14:textId="77777777" w:rsidR="00E27F8E" w:rsidRPr="00A67D5C" w:rsidRDefault="00E27F8E" w:rsidP="0066301C">
            <w:pPr>
              <w:rPr>
                <w:rFonts w:ascii="Arial" w:hAnsi="Arial" w:cs="Arial"/>
              </w:rPr>
            </w:pPr>
            <w:r w:rsidRPr="00A67D5C">
              <w:rPr>
                <w:rFonts w:ascii="Arial" w:hAnsi="Arial" w:cs="Arial"/>
              </w:rPr>
              <w:t>0.098</w:t>
            </w:r>
          </w:p>
        </w:tc>
        <w:tc>
          <w:tcPr>
            <w:tcW w:w="1701" w:type="dxa"/>
          </w:tcPr>
          <w:p w14:paraId="359C2BFE" w14:textId="77777777" w:rsidR="00E27F8E" w:rsidRPr="00A67D5C" w:rsidRDefault="00E27F8E" w:rsidP="0066301C">
            <w:pPr>
              <w:rPr>
                <w:rFonts w:ascii="Arial" w:hAnsi="Arial" w:cs="Arial"/>
              </w:rPr>
            </w:pPr>
            <w:r w:rsidRPr="00A67D5C">
              <w:rPr>
                <w:rFonts w:ascii="Arial" w:hAnsi="Arial" w:cs="Arial"/>
              </w:rPr>
              <w:t>-8.138</w:t>
            </w:r>
          </w:p>
        </w:tc>
        <w:tc>
          <w:tcPr>
            <w:tcW w:w="1701" w:type="dxa"/>
            <w:gridSpan w:val="2"/>
          </w:tcPr>
          <w:p w14:paraId="435070C3" w14:textId="77777777" w:rsidR="00E27F8E" w:rsidRPr="00A67D5C" w:rsidRDefault="00E27F8E" w:rsidP="0066301C">
            <w:pPr>
              <w:rPr>
                <w:rFonts w:ascii="Arial" w:hAnsi="Arial" w:cs="Arial"/>
              </w:rPr>
            </w:pPr>
            <w:r w:rsidRPr="00A67D5C">
              <w:rPr>
                <w:rFonts w:ascii="Arial" w:hAnsi="Arial" w:cs="Arial"/>
              </w:rPr>
              <w:t>0.000</w:t>
            </w:r>
          </w:p>
        </w:tc>
      </w:tr>
      <w:tr w:rsidR="00E27F8E" w14:paraId="40E3BF45" w14:textId="77777777" w:rsidTr="004D74AB">
        <w:trPr>
          <w:trHeight w:val="288"/>
        </w:trPr>
        <w:tc>
          <w:tcPr>
            <w:tcW w:w="9493" w:type="dxa"/>
            <w:gridSpan w:val="7"/>
          </w:tcPr>
          <w:p w14:paraId="03892F2F" w14:textId="77777777" w:rsidR="00E27F8E" w:rsidRPr="000268D6" w:rsidRDefault="00E27F8E" w:rsidP="0066301C">
            <w:pPr>
              <w:jc w:val="center"/>
              <w:rPr>
                <w:rFonts w:ascii="Arial" w:hAnsi="Arial" w:cs="Arial"/>
                <w:b/>
                <w:bCs/>
              </w:rPr>
            </w:pPr>
            <w:r w:rsidRPr="000268D6">
              <w:rPr>
                <w:rFonts w:ascii="Arial" w:hAnsi="Arial" w:cs="Arial"/>
                <w:b/>
                <w:bCs/>
              </w:rPr>
              <w:t>Partner Netherlands</w:t>
            </w:r>
          </w:p>
        </w:tc>
      </w:tr>
      <w:tr w:rsidR="00E27F8E" w14:paraId="6E4D8919" w14:textId="77777777" w:rsidTr="004D74AB">
        <w:trPr>
          <w:trHeight w:val="288"/>
        </w:trPr>
        <w:tc>
          <w:tcPr>
            <w:tcW w:w="2969" w:type="dxa"/>
          </w:tcPr>
          <w:p w14:paraId="7C2D8D48" w14:textId="77777777" w:rsidR="00E27F8E" w:rsidRPr="000268D6" w:rsidRDefault="00E27F8E" w:rsidP="0066301C">
            <w:pPr>
              <w:jc w:val="center"/>
              <w:rPr>
                <w:rFonts w:ascii="Arial" w:hAnsi="Arial" w:cs="Arial"/>
                <w:b/>
                <w:bCs/>
              </w:rPr>
            </w:pPr>
            <w:r w:rsidRPr="000268D6">
              <w:rPr>
                <w:rFonts w:ascii="Arial" w:hAnsi="Arial" w:cs="Arial"/>
                <w:b/>
                <w:bCs/>
              </w:rPr>
              <w:t>Variable</w:t>
            </w:r>
          </w:p>
        </w:tc>
        <w:tc>
          <w:tcPr>
            <w:tcW w:w="1420" w:type="dxa"/>
          </w:tcPr>
          <w:p w14:paraId="7A91F45F" w14:textId="77777777" w:rsidR="00E27F8E" w:rsidRPr="000268D6" w:rsidRDefault="00E27F8E" w:rsidP="0066301C">
            <w:pPr>
              <w:jc w:val="center"/>
              <w:rPr>
                <w:rFonts w:ascii="Arial" w:hAnsi="Arial" w:cs="Arial"/>
                <w:b/>
                <w:bCs/>
              </w:rPr>
            </w:pPr>
            <w:r w:rsidRPr="000268D6">
              <w:rPr>
                <w:rFonts w:ascii="Arial" w:hAnsi="Arial" w:cs="Arial"/>
                <w:b/>
                <w:bCs/>
              </w:rPr>
              <w:t>Coefficient</w:t>
            </w:r>
          </w:p>
        </w:tc>
        <w:tc>
          <w:tcPr>
            <w:tcW w:w="1702" w:type="dxa"/>
            <w:gridSpan w:val="2"/>
          </w:tcPr>
          <w:p w14:paraId="4C58CC09" w14:textId="77777777" w:rsidR="00E27F8E" w:rsidRPr="000268D6" w:rsidRDefault="00E27F8E" w:rsidP="0066301C">
            <w:pPr>
              <w:jc w:val="center"/>
              <w:rPr>
                <w:rFonts w:ascii="Arial" w:hAnsi="Arial" w:cs="Arial"/>
                <w:b/>
                <w:bCs/>
              </w:rPr>
            </w:pPr>
            <w:r w:rsidRPr="000268D6">
              <w:rPr>
                <w:rFonts w:ascii="Arial" w:hAnsi="Arial" w:cs="Arial"/>
                <w:b/>
                <w:bCs/>
              </w:rPr>
              <w:t>Std. Error</w:t>
            </w:r>
          </w:p>
        </w:tc>
        <w:tc>
          <w:tcPr>
            <w:tcW w:w="1701" w:type="dxa"/>
          </w:tcPr>
          <w:p w14:paraId="059841ED" w14:textId="77777777" w:rsidR="00E27F8E" w:rsidRPr="000268D6" w:rsidRDefault="00E27F8E" w:rsidP="0066301C">
            <w:pPr>
              <w:jc w:val="center"/>
              <w:rPr>
                <w:rFonts w:ascii="Arial" w:hAnsi="Arial" w:cs="Arial"/>
                <w:b/>
                <w:bCs/>
              </w:rPr>
            </w:pPr>
            <w:r w:rsidRPr="000268D6">
              <w:rPr>
                <w:rFonts w:ascii="Arial" w:hAnsi="Arial" w:cs="Arial"/>
                <w:b/>
                <w:bCs/>
              </w:rPr>
              <w:t>t-statistic</w:t>
            </w:r>
          </w:p>
        </w:tc>
        <w:tc>
          <w:tcPr>
            <w:tcW w:w="1701" w:type="dxa"/>
            <w:gridSpan w:val="2"/>
          </w:tcPr>
          <w:p w14:paraId="3D25CD9B" w14:textId="77777777" w:rsidR="00E27F8E" w:rsidRPr="000268D6" w:rsidRDefault="00E27F8E" w:rsidP="0066301C">
            <w:pPr>
              <w:jc w:val="center"/>
              <w:rPr>
                <w:rFonts w:ascii="Arial" w:hAnsi="Arial" w:cs="Arial"/>
                <w:b/>
                <w:bCs/>
              </w:rPr>
            </w:pPr>
            <w:r w:rsidRPr="000268D6">
              <w:rPr>
                <w:rFonts w:ascii="Arial" w:hAnsi="Arial" w:cs="Arial"/>
                <w:b/>
                <w:bCs/>
              </w:rPr>
              <w:t>Prob.</w:t>
            </w:r>
          </w:p>
        </w:tc>
      </w:tr>
      <w:tr w:rsidR="00E27F8E" w14:paraId="76FF0AC8" w14:textId="77777777" w:rsidTr="004D74AB">
        <w:trPr>
          <w:trHeight w:val="288"/>
        </w:trPr>
        <w:tc>
          <w:tcPr>
            <w:tcW w:w="2969" w:type="dxa"/>
          </w:tcPr>
          <w:p w14:paraId="2F918376" w14:textId="77777777" w:rsidR="00E27F8E" w:rsidRPr="000268D6" w:rsidRDefault="00E27F8E" w:rsidP="0066301C">
            <w:pPr>
              <w:rPr>
                <w:rFonts w:ascii="Arial" w:hAnsi="Arial" w:cs="Arial"/>
                <w:vertAlign w:val="subscript"/>
              </w:rPr>
            </w:pPr>
            <w:r w:rsidRPr="000268D6">
              <w:rPr>
                <w:rFonts w:ascii="Arial" w:hAnsi="Arial" w:cs="Arial"/>
              </w:rPr>
              <w:t>Dependent variable ∆LNTB</w:t>
            </w:r>
            <w:r w:rsidRPr="000268D6">
              <w:rPr>
                <w:rFonts w:ascii="Arial" w:hAnsi="Arial" w:cs="Arial"/>
                <w:vertAlign w:val="subscript"/>
              </w:rPr>
              <w:t>t</w:t>
            </w:r>
          </w:p>
        </w:tc>
        <w:tc>
          <w:tcPr>
            <w:tcW w:w="1420" w:type="dxa"/>
          </w:tcPr>
          <w:p w14:paraId="7C6D179C" w14:textId="77777777" w:rsidR="00E27F8E" w:rsidRPr="000268D6" w:rsidRDefault="00E27F8E" w:rsidP="0066301C">
            <w:pPr>
              <w:rPr>
                <w:rFonts w:ascii="Arial" w:hAnsi="Arial" w:cs="Arial"/>
              </w:rPr>
            </w:pPr>
          </w:p>
        </w:tc>
        <w:tc>
          <w:tcPr>
            <w:tcW w:w="1702" w:type="dxa"/>
            <w:gridSpan w:val="2"/>
          </w:tcPr>
          <w:p w14:paraId="002FC266" w14:textId="77777777" w:rsidR="00E27F8E" w:rsidRPr="000268D6" w:rsidRDefault="00E27F8E" w:rsidP="0066301C">
            <w:pPr>
              <w:rPr>
                <w:rFonts w:ascii="Arial" w:hAnsi="Arial" w:cs="Arial"/>
              </w:rPr>
            </w:pPr>
          </w:p>
        </w:tc>
        <w:tc>
          <w:tcPr>
            <w:tcW w:w="1701" w:type="dxa"/>
          </w:tcPr>
          <w:p w14:paraId="434166F2" w14:textId="77777777" w:rsidR="00E27F8E" w:rsidRPr="000268D6" w:rsidRDefault="00E27F8E" w:rsidP="0066301C">
            <w:pPr>
              <w:rPr>
                <w:rFonts w:ascii="Arial" w:hAnsi="Arial" w:cs="Arial"/>
              </w:rPr>
            </w:pPr>
          </w:p>
        </w:tc>
        <w:tc>
          <w:tcPr>
            <w:tcW w:w="1701" w:type="dxa"/>
            <w:gridSpan w:val="2"/>
          </w:tcPr>
          <w:p w14:paraId="3F172BFB" w14:textId="77777777" w:rsidR="00E27F8E" w:rsidRPr="000268D6" w:rsidRDefault="00E27F8E" w:rsidP="0066301C">
            <w:pPr>
              <w:rPr>
                <w:rFonts w:ascii="Arial" w:hAnsi="Arial" w:cs="Arial"/>
              </w:rPr>
            </w:pPr>
          </w:p>
        </w:tc>
      </w:tr>
      <w:tr w:rsidR="00E27F8E" w14:paraId="27995789" w14:textId="77777777" w:rsidTr="004D74AB">
        <w:trPr>
          <w:trHeight w:val="301"/>
        </w:trPr>
        <w:tc>
          <w:tcPr>
            <w:tcW w:w="2969" w:type="dxa"/>
          </w:tcPr>
          <w:p w14:paraId="314D8940" w14:textId="77777777" w:rsidR="00E27F8E" w:rsidRPr="000268D6" w:rsidRDefault="00E27F8E" w:rsidP="0066301C">
            <w:pPr>
              <w:rPr>
                <w:rFonts w:ascii="Arial" w:hAnsi="Arial" w:cs="Arial"/>
                <w:b/>
                <w:bCs/>
              </w:rPr>
            </w:pPr>
            <w:r w:rsidRPr="000268D6">
              <w:rPr>
                <w:rFonts w:ascii="Arial" w:hAnsi="Arial" w:cs="Arial"/>
                <w:b/>
                <w:bCs/>
              </w:rPr>
              <w:t>Long-run elasticities</w:t>
            </w:r>
          </w:p>
        </w:tc>
        <w:tc>
          <w:tcPr>
            <w:tcW w:w="1420" w:type="dxa"/>
          </w:tcPr>
          <w:p w14:paraId="069739FD" w14:textId="77777777" w:rsidR="00E27F8E" w:rsidRPr="000268D6" w:rsidRDefault="00E27F8E" w:rsidP="0066301C">
            <w:pPr>
              <w:rPr>
                <w:rFonts w:ascii="Arial" w:hAnsi="Arial" w:cs="Arial"/>
              </w:rPr>
            </w:pPr>
          </w:p>
        </w:tc>
        <w:tc>
          <w:tcPr>
            <w:tcW w:w="1702" w:type="dxa"/>
            <w:gridSpan w:val="2"/>
          </w:tcPr>
          <w:p w14:paraId="72985B4D" w14:textId="77777777" w:rsidR="00E27F8E" w:rsidRPr="000268D6" w:rsidRDefault="00E27F8E" w:rsidP="0066301C">
            <w:pPr>
              <w:rPr>
                <w:rFonts w:ascii="Arial" w:hAnsi="Arial" w:cs="Arial"/>
              </w:rPr>
            </w:pPr>
          </w:p>
        </w:tc>
        <w:tc>
          <w:tcPr>
            <w:tcW w:w="1701" w:type="dxa"/>
          </w:tcPr>
          <w:p w14:paraId="59F3823F" w14:textId="77777777" w:rsidR="00E27F8E" w:rsidRPr="000268D6" w:rsidRDefault="00E27F8E" w:rsidP="0066301C">
            <w:pPr>
              <w:rPr>
                <w:rFonts w:ascii="Arial" w:hAnsi="Arial" w:cs="Arial"/>
              </w:rPr>
            </w:pPr>
          </w:p>
        </w:tc>
        <w:tc>
          <w:tcPr>
            <w:tcW w:w="1701" w:type="dxa"/>
            <w:gridSpan w:val="2"/>
          </w:tcPr>
          <w:p w14:paraId="6DD88CAA" w14:textId="77777777" w:rsidR="00E27F8E" w:rsidRPr="000268D6" w:rsidRDefault="00E27F8E" w:rsidP="0066301C">
            <w:pPr>
              <w:rPr>
                <w:rFonts w:ascii="Arial" w:hAnsi="Arial" w:cs="Arial"/>
              </w:rPr>
            </w:pPr>
          </w:p>
        </w:tc>
      </w:tr>
      <w:tr w:rsidR="00E27F8E" w14:paraId="69261096" w14:textId="77777777" w:rsidTr="004D74AB">
        <w:trPr>
          <w:trHeight w:val="288"/>
        </w:trPr>
        <w:tc>
          <w:tcPr>
            <w:tcW w:w="2969" w:type="dxa"/>
          </w:tcPr>
          <w:p w14:paraId="40BFED53" w14:textId="77777777" w:rsidR="00E27F8E" w:rsidRPr="000268D6" w:rsidRDefault="00E27F8E" w:rsidP="0066301C">
            <w:pPr>
              <w:rPr>
                <w:rFonts w:ascii="Arial" w:hAnsi="Arial" w:cs="Arial"/>
              </w:rPr>
            </w:pPr>
            <w:r w:rsidRPr="000268D6">
              <w:rPr>
                <w:rFonts w:ascii="Arial" w:hAnsi="Arial" w:cs="Arial"/>
              </w:rPr>
              <w:t>C</w:t>
            </w:r>
          </w:p>
        </w:tc>
        <w:tc>
          <w:tcPr>
            <w:tcW w:w="1420" w:type="dxa"/>
          </w:tcPr>
          <w:p w14:paraId="1E0058BB" w14:textId="77777777" w:rsidR="00E27F8E" w:rsidRPr="000268D6" w:rsidRDefault="00E27F8E" w:rsidP="0066301C">
            <w:pPr>
              <w:rPr>
                <w:rFonts w:ascii="Arial" w:hAnsi="Arial" w:cs="Arial"/>
              </w:rPr>
            </w:pPr>
            <w:r w:rsidRPr="000268D6">
              <w:rPr>
                <w:rFonts w:ascii="Arial" w:hAnsi="Arial" w:cs="Arial"/>
              </w:rPr>
              <w:t>0.528</w:t>
            </w:r>
          </w:p>
        </w:tc>
        <w:tc>
          <w:tcPr>
            <w:tcW w:w="1702" w:type="dxa"/>
            <w:gridSpan w:val="2"/>
          </w:tcPr>
          <w:p w14:paraId="0E58ADAB" w14:textId="77777777" w:rsidR="00E27F8E" w:rsidRPr="000268D6" w:rsidRDefault="00E27F8E" w:rsidP="0066301C">
            <w:pPr>
              <w:rPr>
                <w:rFonts w:ascii="Arial" w:hAnsi="Arial" w:cs="Arial"/>
              </w:rPr>
            </w:pPr>
            <w:r w:rsidRPr="000268D6">
              <w:rPr>
                <w:rFonts w:ascii="Arial" w:hAnsi="Arial" w:cs="Arial"/>
              </w:rPr>
              <w:t>1.263</w:t>
            </w:r>
          </w:p>
        </w:tc>
        <w:tc>
          <w:tcPr>
            <w:tcW w:w="1701" w:type="dxa"/>
          </w:tcPr>
          <w:p w14:paraId="7B0B2148" w14:textId="77777777" w:rsidR="00E27F8E" w:rsidRPr="000268D6" w:rsidRDefault="00E27F8E" w:rsidP="0066301C">
            <w:pPr>
              <w:rPr>
                <w:rFonts w:ascii="Arial" w:hAnsi="Arial" w:cs="Arial"/>
              </w:rPr>
            </w:pPr>
            <w:r w:rsidRPr="000268D6">
              <w:rPr>
                <w:rFonts w:ascii="Arial" w:hAnsi="Arial" w:cs="Arial"/>
              </w:rPr>
              <w:t>0.417</w:t>
            </w:r>
          </w:p>
        </w:tc>
        <w:tc>
          <w:tcPr>
            <w:tcW w:w="1701" w:type="dxa"/>
            <w:gridSpan w:val="2"/>
          </w:tcPr>
          <w:p w14:paraId="7508AEC7" w14:textId="77777777" w:rsidR="00E27F8E" w:rsidRPr="000268D6" w:rsidRDefault="00E27F8E" w:rsidP="0066301C">
            <w:pPr>
              <w:rPr>
                <w:rFonts w:ascii="Arial" w:hAnsi="Arial" w:cs="Arial"/>
              </w:rPr>
            </w:pPr>
            <w:r w:rsidRPr="000268D6">
              <w:rPr>
                <w:rFonts w:ascii="Arial" w:hAnsi="Arial" w:cs="Arial"/>
              </w:rPr>
              <w:t>0.679</w:t>
            </w:r>
          </w:p>
        </w:tc>
      </w:tr>
      <w:tr w:rsidR="00E27F8E" w14:paraId="312C00A4" w14:textId="77777777" w:rsidTr="004D74AB">
        <w:trPr>
          <w:trHeight w:val="288"/>
        </w:trPr>
        <w:tc>
          <w:tcPr>
            <w:tcW w:w="2969" w:type="dxa"/>
          </w:tcPr>
          <w:p w14:paraId="745733EA" w14:textId="77777777" w:rsidR="00E27F8E" w:rsidRPr="000268D6" w:rsidRDefault="00E27F8E" w:rsidP="0066301C">
            <w:pPr>
              <w:rPr>
                <w:rFonts w:ascii="Arial" w:hAnsi="Arial" w:cs="Arial"/>
              </w:rPr>
            </w:pPr>
            <w:r w:rsidRPr="000268D6">
              <w:rPr>
                <w:rFonts w:ascii="Arial" w:hAnsi="Arial" w:cs="Arial"/>
              </w:rPr>
              <w:t>LNREER</w:t>
            </w:r>
          </w:p>
        </w:tc>
        <w:tc>
          <w:tcPr>
            <w:tcW w:w="1420" w:type="dxa"/>
          </w:tcPr>
          <w:p w14:paraId="506F87A6" w14:textId="77777777" w:rsidR="00E27F8E" w:rsidRPr="000268D6" w:rsidRDefault="00E27F8E" w:rsidP="0066301C">
            <w:pPr>
              <w:rPr>
                <w:rFonts w:ascii="Arial" w:hAnsi="Arial" w:cs="Arial"/>
              </w:rPr>
            </w:pPr>
            <w:r w:rsidRPr="000268D6">
              <w:rPr>
                <w:rFonts w:ascii="Arial" w:hAnsi="Arial" w:cs="Arial"/>
              </w:rPr>
              <w:t>0.362</w:t>
            </w:r>
          </w:p>
        </w:tc>
        <w:tc>
          <w:tcPr>
            <w:tcW w:w="1702" w:type="dxa"/>
            <w:gridSpan w:val="2"/>
          </w:tcPr>
          <w:p w14:paraId="61B3DE05" w14:textId="77777777" w:rsidR="00E27F8E" w:rsidRPr="000268D6" w:rsidRDefault="00E27F8E" w:rsidP="0066301C">
            <w:pPr>
              <w:rPr>
                <w:rFonts w:ascii="Arial" w:hAnsi="Arial" w:cs="Arial"/>
              </w:rPr>
            </w:pPr>
            <w:r w:rsidRPr="000268D6">
              <w:rPr>
                <w:rFonts w:ascii="Arial" w:hAnsi="Arial" w:cs="Arial"/>
              </w:rPr>
              <w:t>0.114</w:t>
            </w:r>
          </w:p>
        </w:tc>
        <w:tc>
          <w:tcPr>
            <w:tcW w:w="1701" w:type="dxa"/>
          </w:tcPr>
          <w:p w14:paraId="4C59432D" w14:textId="77777777" w:rsidR="00E27F8E" w:rsidRPr="000268D6" w:rsidRDefault="00E27F8E" w:rsidP="0066301C">
            <w:pPr>
              <w:rPr>
                <w:rFonts w:ascii="Arial" w:hAnsi="Arial" w:cs="Arial"/>
              </w:rPr>
            </w:pPr>
            <w:r w:rsidRPr="000268D6">
              <w:rPr>
                <w:rFonts w:ascii="Arial" w:hAnsi="Arial" w:cs="Arial"/>
              </w:rPr>
              <w:t>3.169</w:t>
            </w:r>
          </w:p>
        </w:tc>
        <w:tc>
          <w:tcPr>
            <w:tcW w:w="1701" w:type="dxa"/>
            <w:gridSpan w:val="2"/>
          </w:tcPr>
          <w:p w14:paraId="1772FBA1" w14:textId="77777777" w:rsidR="00E27F8E" w:rsidRPr="000268D6" w:rsidRDefault="00E27F8E" w:rsidP="0066301C">
            <w:pPr>
              <w:rPr>
                <w:rFonts w:ascii="Arial" w:hAnsi="Arial" w:cs="Arial"/>
              </w:rPr>
            </w:pPr>
            <w:r w:rsidRPr="000268D6">
              <w:rPr>
                <w:rFonts w:ascii="Arial" w:hAnsi="Arial" w:cs="Arial"/>
              </w:rPr>
              <w:t>0.004</w:t>
            </w:r>
          </w:p>
        </w:tc>
      </w:tr>
      <w:tr w:rsidR="00E27F8E" w14:paraId="67272895" w14:textId="77777777" w:rsidTr="004D74AB">
        <w:trPr>
          <w:trHeight w:val="288"/>
        </w:trPr>
        <w:tc>
          <w:tcPr>
            <w:tcW w:w="2969" w:type="dxa"/>
          </w:tcPr>
          <w:p w14:paraId="0021736A" w14:textId="77777777" w:rsidR="00E27F8E" w:rsidRPr="000268D6" w:rsidRDefault="00E27F8E" w:rsidP="0066301C">
            <w:pPr>
              <w:rPr>
                <w:rFonts w:ascii="Arial" w:hAnsi="Arial" w:cs="Arial"/>
              </w:rPr>
            </w:pPr>
            <w:r w:rsidRPr="000268D6">
              <w:rPr>
                <w:rFonts w:ascii="Arial" w:hAnsi="Arial" w:cs="Arial"/>
              </w:rPr>
              <w:t>LNDI</w:t>
            </w:r>
          </w:p>
        </w:tc>
        <w:tc>
          <w:tcPr>
            <w:tcW w:w="1420" w:type="dxa"/>
          </w:tcPr>
          <w:p w14:paraId="1E556933" w14:textId="77777777" w:rsidR="00E27F8E" w:rsidRPr="000268D6" w:rsidRDefault="00E27F8E" w:rsidP="0066301C">
            <w:pPr>
              <w:rPr>
                <w:rFonts w:ascii="Arial" w:hAnsi="Arial" w:cs="Arial"/>
              </w:rPr>
            </w:pPr>
            <w:r w:rsidRPr="000268D6">
              <w:rPr>
                <w:rFonts w:ascii="Arial" w:hAnsi="Arial" w:cs="Arial"/>
              </w:rPr>
              <w:t>-0.203</w:t>
            </w:r>
          </w:p>
        </w:tc>
        <w:tc>
          <w:tcPr>
            <w:tcW w:w="1702" w:type="dxa"/>
            <w:gridSpan w:val="2"/>
          </w:tcPr>
          <w:p w14:paraId="4DB18C24" w14:textId="77777777" w:rsidR="00E27F8E" w:rsidRPr="000268D6" w:rsidRDefault="00E27F8E" w:rsidP="0066301C">
            <w:pPr>
              <w:rPr>
                <w:rFonts w:ascii="Arial" w:hAnsi="Arial" w:cs="Arial"/>
              </w:rPr>
            </w:pPr>
            <w:r w:rsidRPr="000268D6">
              <w:rPr>
                <w:rFonts w:ascii="Arial" w:hAnsi="Arial" w:cs="Arial"/>
              </w:rPr>
              <w:t>0.059</w:t>
            </w:r>
          </w:p>
        </w:tc>
        <w:tc>
          <w:tcPr>
            <w:tcW w:w="1701" w:type="dxa"/>
          </w:tcPr>
          <w:p w14:paraId="2F5A154D" w14:textId="77777777" w:rsidR="00E27F8E" w:rsidRPr="000268D6" w:rsidRDefault="00E27F8E" w:rsidP="0066301C">
            <w:pPr>
              <w:rPr>
                <w:rFonts w:ascii="Arial" w:hAnsi="Arial" w:cs="Arial"/>
              </w:rPr>
            </w:pPr>
            <w:r w:rsidRPr="000268D6">
              <w:rPr>
                <w:rFonts w:ascii="Arial" w:hAnsi="Arial" w:cs="Arial"/>
              </w:rPr>
              <w:t>-3.444</w:t>
            </w:r>
          </w:p>
        </w:tc>
        <w:tc>
          <w:tcPr>
            <w:tcW w:w="1701" w:type="dxa"/>
            <w:gridSpan w:val="2"/>
          </w:tcPr>
          <w:p w14:paraId="2DEFE4BE" w14:textId="77777777" w:rsidR="00E27F8E" w:rsidRPr="000268D6" w:rsidRDefault="00E27F8E" w:rsidP="0066301C">
            <w:pPr>
              <w:rPr>
                <w:rFonts w:ascii="Arial" w:hAnsi="Arial" w:cs="Arial"/>
              </w:rPr>
            </w:pPr>
            <w:r w:rsidRPr="000268D6">
              <w:rPr>
                <w:rFonts w:ascii="Arial" w:hAnsi="Arial" w:cs="Arial"/>
              </w:rPr>
              <w:t>0.002</w:t>
            </w:r>
          </w:p>
        </w:tc>
      </w:tr>
      <w:tr w:rsidR="00E27F8E" w14:paraId="582E1145" w14:textId="77777777" w:rsidTr="004D74AB">
        <w:trPr>
          <w:trHeight w:val="288"/>
        </w:trPr>
        <w:tc>
          <w:tcPr>
            <w:tcW w:w="2969" w:type="dxa"/>
          </w:tcPr>
          <w:p w14:paraId="644CDAFB" w14:textId="77777777" w:rsidR="00E27F8E" w:rsidRPr="000268D6" w:rsidRDefault="00E27F8E" w:rsidP="0066301C">
            <w:pPr>
              <w:rPr>
                <w:rFonts w:ascii="Arial" w:hAnsi="Arial" w:cs="Arial"/>
              </w:rPr>
            </w:pPr>
            <w:r w:rsidRPr="000268D6">
              <w:rPr>
                <w:rFonts w:ascii="Arial" w:hAnsi="Arial" w:cs="Arial"/>
              </w:rPr>
              <w:t>LNNETHERLANDFI</w:t>
            </w:r>
          </w:p>
        </w:tc>
        <w:tc>
          <w:tcPr>
            <w:tcW w:w="1420" w:type="dxa"/>
          </w:tcPr>
          <w:p w14:paraId="7379BCE0" w14:textId="77777777" w:rsidR="00E27F8E" w:rsidRPr="000268D6" w:rsidRDefault="00E27F8E" w:rsidP="0066301C">
            <w:pPr>
              <w:rPr>
                <w:rFonts w:ascii="Arial" w:hAnsi="Arial" w:cs="Arial"/>
              </w:rPr>
            </w:pPr>
            <w:r w:rsidRPr="000268D6">
              <w:rPr>
                <w:rFonts w:ascii="Arial" w:hAnsi="Arial" w:cs="Arial"/>
              </w:rPr>
              <w:t>0.091</w:t>
            </w:r>
          </w:p>
        </w:tc>
        <w:tc>
          <w:tcPr>
            <w:tcW w:w="1702" w:type="dxa"/>
            <w:gridSpan w:val="2"/>
          </w:tcPr>
          <w:p w14:paraId="204FDA95" w14:textId="77777777" w:rsidR="00E27F8E" w:rsidRPr="000268D6" w:rsidRDefault="00E27F8E" w:rsidP="0066301C">
            <w:pPr>
              <w:rPr>
                <w:rFonts w:ascii="Arial" w:hAnsi="Arial" w:cs="Arial"/>
              </w:rPr>
            </w:pPr>
            <w:r w:rsidRPr="000268D6">
              <w:rPr>
                <w:rFonts w:ascii="Arial" w:hAnsi="Arial" w:cs="Arial"/>
              </w:rPr>
              <w:t>0.066</w:t>
            </w:r>
          </w:p>
        </w:tc>
        <w:tc>
          <w:tcPr>
            <w:tcW w:w="1701" w:type="dxa"/>
          </w:tcPr>
          <w:p w14:paraId="32814DB0" w14:textId="77777777" w:rsidR="00E27F8E" w:rsidRPr="000268D6" w:rsidRDefault="00E27F8E" w:rsidP="0066301C">
            <w:pPr>
              <w:rPr>
                <w:rFonts w:ascii="Arial" w:hAnsi="Arial" w:cs="Arial"/>
              </w:rPr>
            </w:pPr>
            <w:r w:rsidRPr="000268D6">
              <w:rPr>
                <w:rFonts w:ascii="Arial" w:hAnsi="Arial" w:cs="Arial"/>
              </w:rPr>
              <w:t>1.367</w:t>
            </w:r>
          </w:p>
        </w:tc>
        <w:tc>
          <w:tcPr>
            <w:tcW w:w="1701" w:type="dxa"/>
            <w:gridSpan w:val="2"/>
          </w:tcPr>
          <w:p w14:paraId="258E1E53" w14:textId="77777777" w:rsidR="00E27F8E" w:rsidRPr="000268D6" w:rsidRDefault="00E27F8E" w:rsidP="0066301C">
            <w:pPr>
              <w:rPr>
                <w:rFonts w:ascii="Arial" w:hAnsi="Arial" w:cs="Arial"/>
              </w:rPr>
            </w:pPr>
            <w:r w:rsidRPr="000268D6">
              <w:rPr>
                <w:rFonts w:ascii="Arial" w:hAnsi="Arial" w:cs="Arial"/>
              </w:rPr>
              <w:t>0.184</w:t>
            </w:r>
          </w:p>
        </w:tc>
      </w:tr>
      <w:tr w:rsidR="00E27F8E" w14:paraId="0A5AA8EE" w14:textId="77777777" w:rsidTr="004D74AB">
        <w:trPr>
          <w:trHeight w:val="288"/>
        </w:trPr>
        <w:tc>
          <w:tcPr>
            <w:tcW w:w="2969" w:type="dxa"/>
          </w:tcPr>
          <w:p w14:paraId="7A5969F7" w14:textId="77777777" w:rsidR="00E27F8E" w:rsidRPr="000268D6" w:rsidRDefault="00E27F8E" w:rsidP="0066301C">
            <w:pPr>
              <w:rPr>
                <w:rFonts w:ascii="Arial" w:hAnsi="Arial" w:cs="Arial"/>
              </w:rPr>
            </w:pPr>
            <w:r w:rsidRPr="000268D6">
              <w:rPr>
                <w:rFonts w:ascii="Arial" w:hAnsi="Arial" w:cs="Arial"/>
                <w:b/>
                <w:bCs/>
              </w:rPr>
              <w:t>Short-run elasticities</w:t>
            </w:r>
          </w:p>
        </w:tc>
        <w:tc>
          <w:tcPr>
            <w:tcW w:w="1420" w:type="dxa"/>
          </w:tcPr>
          <w:p w14:paraId="53432A21" w14:textId="77777777" w:rsidR="00E27F8E" w:rsidRPr="000268D6" w:rsidRDefault="00E27F8E" w:rsidP="0066301C">
            <w:pPr>
              <w:rPr>
                <w:rFonts w:ascii="Arial" w:hAnsi="Arial" w:cs="Arial"/>
              </w:rPr>
            </w:pPr>
          </w:p>
        </w:tc>
        <w:tc>
          <w:tcPr>
            <w:tcW w:w="1702" w:type="dxa"/>
            <w:gridSpan w:val="2"/>
          </w:tcPr>
          <w:p w14:paraId="52B42880" w14:textId="77777777" w:rsidR="00E27F8E" w:rsidRPr="000268D6" w:rsidRDefault="00E27F8E" w:rsidP="0066301C">
            <w:pPr>
              <w:rPr>
                <w:rFonts w:ascii="Arial" w:hAnsi="Arial" w:cs="Arial"/>
              </w:rPr>
            </w:pPr>
          </w:p>
        </w:tc>
        <w:tc>
          <w:tcPr>
            <w:tcW w:w="1701" w:type="dxa"/>
          </w:tcPr>
          <w:p w14:paraId="6482A1A5" w14:textId="77777777" w:rsidR="00E27F8E" w:rsidRPr="000268D6" w:rsidRDefault="00E27F8E" w:rsidP="0066301C">
            <w:pPr>
              <w:rPr>
                <w:rFonts w:ascii="Arial" w:hAnsi="Arial" w:cs="Arial"/>
              </w:rPr>
            </w:pPr>
          </w:p>
        </w:tc>
        <w:tc>
          <w:tcPr>
            <w:tcW w:w="1701" w:type="dxa"/>
            <w:gridSpan w:val="2"/>
          </w:tcPr>
          <w:p w14:paraId="02802D68" w14:textId="77777777" w:rsidR="00E27F8E" w:rsidRPr="000268D6" w:rsidRDefault="00E27F8E" w:rsidP="0066301C">
            <w:pPr>
              <w:rPr>
                <w:rFonts w:ascii="Arial" w:hAnsi="Arial" w:cs="Arial"/>
              </w:rPr>
            </w:pPr>
          </w:p>
        </w:tc>
      </w:tr>
      <w:tr w:rsidR="00E27F8E" w14:paraId="21D4DBB9" w14:textId="77777777" w:rsidTr="004D74AB">
        <w:trPr>
          <w:trHeight w:val="288"/>
        </w:trPr>
        <w:tc>
          <w:tcPr>
            <w:tcW w:w="2969" w:type="dxa"/>
          </w:tcPr>
          <w:p w14:paraId="530F6424" w14:textId="77777777" w:rsidR="00E27F8E" w:rsidRPr="000268D6" w:rsidRDefault="00E27F8E" w:rsidP="0066301C">
            <w:pPr>
              <w:rPr>
                <w:rFonts w:ascii="Arial" w:hAnsi="Arial" w:cs="Arial"/>
              </w:rPr>
            </w:pPr>
            <w:r w:rsidRPr="000268D6">
              <w:rPr>
                <w:rFonts w:ascii="Arial" w:hAnsi="Arial" w:cs="Arial"/>
              </w:rPr>
              <w:t>C</w:t>
            </w:r>
          </w:p>
        </w:tc>
        <w:tc>
          <w:tcPr>
            <w:tcW w:w="1420" w:type="dxa"/>
          </w:tcPr>
          <w:p w14:paraId="108193F6" w14:textId="77777777" w:rsidR="00E27F8E" w:rsidRPr="000268D6" w:rsidRDefault="00E27F8E" w:rsidP="0066301C">
            <w:pPr>
              <w:rPr>
                <w:rFonts w:ascii="Arial" w:hAnsi="Arial" w:cs="Arial"/>
              </w:rPr>
            </w:pPr>
            <w:r w:rsidRPr="000268D6">
              <w:rPr>
                <w:rFonts w:ascii="Arial" w:hAnsi="Arial" w:cs="Arial"/>
              </w:rPr>
              <w:t>0.527</w:t>
            </w:r>
          </w:p>
        </w:tc>
        <w:tc>
          <w:tcPr>
            <w:tcW w:w="1702" w:type="dxa"/>
            <w:gridSpan w:val="2"/>
          </w:tcPr>
          <w:p w14:paraId="5615F538" w14:textId="77777777" w:rsidR="00E27F8E" w:rsidRPr="000268D6" w:rsidRDefault="00E27F8E" w:rsidP="0066301C">
            <w:pPr>
              <w:rPr>
                <w:rFonts w:ascii="Arial" w:hAnsi="Arial" w:cs="Arial"/>
              </w:rPr>
            </w:pPr>
            <w:r w:rsidRPr="000268D6">
              <w:rPr>
                <w:rFonts w:ascii="Arial" w:hAnsi="Arial" w:cs="Arial"/>
              </w:rPr>
              <w:t>0.093</w:t>
            </w:r>
          </w:p>
        </w:tc>
        <w:tc>
          <w:tcPr>
            <w:tcW w:w="1701" w:type="dxa"/>
          </w:tcPr>
          <w:p w14:paraId="236D4FAB" w14:textId="77777777" w:rsidR="00E27F8E" w:rsidRPr="000268D6" w:rsidRDefault="00E27F8E" w:rsidP="0066301C">
            <w:pPr>
              <w:rPr>
                <w:rFonts w:ascii="Arial" w:hAnsi="Arial" w:cs="Arial"/>
              </w:rPr>
            </w:pPr>
            <w:r w:rsidRPr="000268D6">
              <w:rPr>
                <w:rFonts w:ascii="Arial" w:hAnsi="Arial" w:cs="Arial"/>
              </w:rPr>
              <w:t>5.681</w:t>
            </w:r>
          </w:p>
        </w:tc>
        <w:tc>
          <w:tcPr>
            <w:tcW w:w="1701" w:type="dxa"/>
            <w:gridSpan w:val="2"/>
          </w:tcPr>
          <w:p w14:paraId="3396234C" w14:textId="77777777" w:rsidR="00E27F8E" w:rsidRPr="000268D6" w:rsidRDefault="00E27F8E" w:rsidP="0066301C">
            <w:pPr>
              <w:rPr>
                <w:rFonts w:ascii="Arial" w:hAnsi="Arial" w:cs="Arial"/>
              </w:rPr>
            </w:pPr>
            <w:r w:rsidRPr="000268D6">
              <w:rPr>
                <w:rFonts w:ascii="Arial" w:hAnsi="Arial" w:cs="Arial"/>
              </w:rPr>
              <w:t>0.000</w:t>
            </w:r>
          </w:p>
        </w:tc>
      </w:tr>
      <w:tr w:rsidR="00E27F8E" w14:paraId="7E8DB485" w14:textId="77777777" w:rsidTr="004D74AB">
        <w:trPr>
          <w:trHeight w:val="288"/>
        </w:trPr>
        <w:tc>
          <w:tcPr>
            <w:tcW w:w="2969" w:type="dxa"/>
          </w:tcPr>
          <w:p w14:paraId="7DFE1C20" w14:textId="77777777" w:rsidR="00E27F8E" w:rsidRPr="000268D6" w:rsidRDefault="00E27F8E" w:rsidP="0066301C">
            <w:pPr>
              <w:rPr>
                <w:rFonts w:ascii="Arial" w:hAnsi="Arial" w:cs="Arial"/>
              </w:rPr>
            </w:pPr>
            <w:r w:rsidRPr="000268D6">
              <w:rPr>
                <w:rFonts w:ascii="Arial" w:hAnsi="Arial" w:cs="Arial"/>
              </w:rPr>
              <w:t>∆LNTB</w:t>
            </w:r>
          </w:p>
        </w:tc>
        <w:tc>
          <w:tcPr>
            <w:tcW w:w="1420" w:type="dxa"/>
          </w:tcPr>
          <w:p w14:paraId="1889E240" w14:textId="77777777" w:rsidR="00E27F8E" w:rsidRPr="000268D6" w:rsidRDefault="00E27F8E" w:rsidP="0066301C">
            <w:pPr>
              <w:rPr>
                <w:rFonts w:ascii="Arial" w:hAnsi="Arial" w:cs="Arial"/>
              </w:rPr>
            </w:pPr>
            <w:r w:rsidRPr="000268D6">
              <w:rPr>
                <w:rFonts w:ascii="Arial" w:hAnsi="Arial" w:cs="Arial"/>
              </w:rPr>
              <w:t>0.198</w:t>
            </w:r>
          </w:p>
        </w:tc>
        <w:tc>
          <w:tcPr>
            <w:tcW w:w="1702" w:type="dxa"/>
            <w:gridSpan w:val="2"/>
          </w:tcPr>
          <w:p w14:paraId="7CB97701" w14:textId="77777777" w:rsidR="00E27F8E" w:rsidRPr="000268D6" w:rsidRDefault="00E27F8E" w:rsidP="0066301C">
            <w:pPr>
              <w:rPr>
                <w:rFonts w:ascii="Arial" w:hAnsi="Arial" w:cs="Arial"/>
              </w:rPr>
            </w:pPr>
            <w:r w:rsidRPr="000268D6">
              <w:rPr>
                <w:rFonts w:ascii="Arial" w:hAnsi="Arial" w:cs="Arial"/>
              </w:rPr>
              <w:t>0.132</w:t>
            </w:r>
          </w:p>
        </w:tc>
        <w:tc>
          <w:tcPr>
            <w:tcW w:w="1701" w:type="dxa"/>
          </w:tcPr>
          <w:p w14:paraId="721765AF" w14:textId="77777777" w:rsidR="00E27F8E" w:rsidRPr="000268D6" w:rsidRDefault="00E27F8E" w:rsidP="0066301C">
            <w:pPr>
              <w:rPr>
                <w:rFonts w:ascii="Arial" w:hAnsi="Arial" w:cs="Arial"/>
              </w:rPr>
            </w:pPr>
            <w:r w:rsidRPr="000268D6">
              <w:rPr>
                <w:rFonts w:ascii="Arial" w:hAnsi="Arial" w:cs="Arial"/>
              </w:rPr>
              <w:t>1.504</w:t>
            </w:r>
          </w:p>
        </w:tc>
        <w:tc>
          <w:tcPr>
            <w:tcW w:w="1701" w:type="dxa"/>
            <w:gridSpan w:val="2"/>
          </w:tcPr>
          <w:p w14:paraId="06A4E263" w14:textId="77777777" w:rsidR="00E27F8E" w:rsidRPr="000268D6" w:rsidRDefault="00E27F8E" w:rsidP="0066301C">
            <w:pPr>
              <w:rPr>
                <w:rFonts w:ascii="Arial" w:hAnsi="Arial" w:cs="Arial"/>
              </w:rPr>
            </w:pPr>
            <w:r w:rsidRPr="000268D6">
              <w:rPr>
                <w:rFonts w:ascii="Arial" w:hAnsi="Arial" w:cs="Arial"/>
              </w:rPr>
              <w:t>0.145</w:t>
            </w:r>
          </w:p>
        </w:tc>
      </w:tr>
      <w:tr w:rsidR="00E27F8E" w14:paraId="3DE5A03C" w14:textId="77777777" w:rsidTr="004D74AB">
        <w:trPr>
          <w:trHeight w:val="288"/>
        </w:trPr>
        <w:tc>
          <w:tcPr>
            <w:tcW w:w="2969" w:type="dxa"/>
          </w:tcPr>
          <w:p w14:paraId="1D535A3D" w14:textId="77777777" w:rsidR="00E27F8E" w:rsidRPr="000268D6" w:rsidRDefault="00E27F8E" w:rsidP="0066301C">
            <w:pPr>
              <w:rPr>
                <w:rFonts w:ascii="Arial" w:hAnsi="Arial" w:cs="Arial"/>
              </w:rPr>
            </w:pPr>
            <w:r w:rsidRPr="000268D6">
              <w:rPr>
                <w:rFonts w:ascii="Arial" w:hAnsi="Arial" w:cs="Arial"/>
              </w:rPr>
              <w:t>∆LNTB</w:t>
            </w:r>
            <w:r w:rsidRPr="000268D6">
              <w:rPr>
                <w:rFonts w:ascii="Arial" w:hAnsi="Arial" w:cs="Arial"/>
                <w:vertAlign w:val="subscript"/>
              </w:rPr>
              <w:t>t-1</w:t>
            </w:r>
          </w:p>
        </w:tc>
        <w:tc>
          <w:tcPr>
            <w:tcW w:w="1420" w:type="dxa"/>
          </w:tcPr>
          <w:p w14:paraId="21B99CD2" w14:textId="77777777" w:rsidR="00E27F8E" w:rsidRPr="000268D6" w:rsidRDefault="00E27F8E" w:rsidP="0066301C">
            <w:pPr>
              <w:rPr>
                <w:rFonts w:ascii="Arial" w:hAnsi="Arial" w:cs="Arial"/>
              </w:rPr>
            </w:pPr>
            <w:r w:rsidRPr="000268D6">
              <w:rPr>
                <w:rFonts w:ascii="Arial" w:hAnsi="Arial" w:cs="Arial"/>
              </w:rPr>
              <w:t>0.253</w:t>
            </w:r>
          </w:p>
        </w:tc>
        <w:tc>
          <w:tcPr>
            <w:tcW w:w="1702" w:type="dxa"/>
            <w:gridSpan w:val="2"/>
          </w:tcPr>
          <w:p w14:paraId="68C1E2C7" w14:textId="77777777" w:rsidR="00E27F8E" w:rsidRPr="000268D6" w:rsidRDefault="00E27F8E" w:rsidP="0066301C">
            <w:pPr>
              <w:rPr>
                <w:rFonts w:ascii="Arial" w:hAnsi="Arial" w:cs="Arial"/>
              </w:rPr>
            </w:pPr>
            <w:r w:rsidRPr="000268D6">
              <w:rPr>
                <w:rFonts w:ascii="Arial" w:hAnsi="Arial" w:cs="Arial"/>
              </w:rPr>
              <w:t>0.111</w:t>
            </w:r>
          </w:p>
        </w:tc>
        <w:tc>
          <w:tcPr>
            <w:tcW w:w="1701" w:type="dxa"/>
          </w:tcPr>
          <w:p w14:paraId="7125D8DD" w14:textId="77777777" w:rsidR="00E27F8E" w:rsidRPr="000268D6" w:rsidRDefault="00E27F8E" w:rsidP="0066301C">
            <w:pPr>
              <w:rPr>
                <w:rFonts w:ascii="Arial" w:hAnsi="Arial" w:cs="Arial"/>
              </w:rPr>
            </w:pPr>
            <w:r w:rsidRPr="000268D6">
              <w:rPr>
                <w:rFonts w:ascii="Arial" w:hAnsi="Arial" w:cs="Arial"/>
              </w:rPr>
              <w:t>2.278</w:t>
            </w:r>
          </w:p>
        </w:tc>
        <w:tc>
          <w:tcPr>
            <w:tcW w:w="1701" w:type="dxa"/>
            <w:gridSpan w:val="2"/>
          </w:tcPr>
          <w:p w14:paraId="53FD77B1" w14:textId="77777777" w:rsidR="00E27F8E" w:rsidRPr="000268D6" w:rsidRDefault="00E27F8E" w:rsidP="0066301C">
            <w:pPr>
              <w:rPr>
                <w:rFonts w:ascii="Arial" w:hAnsi="Arial" w:cs="Arial"/>
              </w:rPr>
            </w:pPr>
            <w:r w:rsidRPr="000268D6">
              <w:rPr>
                <w:rFonts w:ascii="Arial" w:hAnsi="Arial" w:cs="Arial"/>
              </w:rPr>
              <w:t>0.032</w:t>
            </w:r>
          </w:p>
        </w:tc>
      </w:tr>
      <w:tr w:rsidR="00E27F8E" w14:paraId="40837944" w14:textId="77777777" w:rsidTr="004D74AB">
        <w:trPr>
          <w:trHeight w:val="288"/>
        </w:trPr>
        <w:tc>
          <w:tcPr>
            <w:tcW w:w="2969" w:type="dxa"/>
          </w:tcPr>
          <w:p w14:paraId="2D40FCF5" w14:textId="77777777" w:rsidR="00E27F8E" w:rsidRPr="000268D6" w:rsidRDefault="00E27F8E" w:rsidP="0066301C">
            <w:pPr>
              <w:rPr>
                <w:rFonts w:ascii="Arial" w:hAnsi="Arial" w:cs="Arial"/>
              </w:rPr>
            </w:pPr>
            <w:r w:rsidRPr="000268D6">
              <w:rPr>
                <w:rFonts w:ascii="Arial" w:hAnsi="Arial" w:cs="Arial"/>
              </w:rPr>
              <w:lastRenderedPageBreak/>
              <w:t>∆LNREER</w:t>
            </w:r>
          </w:p>
        </w:tc>
        <w:tc>
          <w:tcPr>
            <w:tcW w:w="1420" w:type="dxa"/>
          </w:tcPr>
          <w:p w14:paraId="313510B5" w14:textId="77777777" w:rsidR="00E27F8E" w:rsidRPr="000268D6" w:rsidRDefault="00E27F8E" w:rsidP="0066301C">
            <w:pPr>
              <w:rPr>
                <w:rFonts w:ascii="Arial" w:hAnsi="Arial" w:cs="Arial"/>
              </w:rPr>
            </w:pPr>
            <w:r w:rsidRPr="000268D6">
              <w:rPr>
                <w:rFonts w:ascii="Arial" w:hAnsi="Arial" w:cs="Arial"/>
              </w:rPr>
              <w:t>-0.491</w:t>
            </w:r>
          </w:p>
        </w:tc>
        <w:tc>
          <w:tcPr>
            <w:tcW w:w="1702" w:type="dxa"/>
            <w:gridSpan w:val="2"/>
          </w:tcPr>
          <w:p w14:paraId="5BCEB117" w14:textId="77777777" w:rsidR="00E27F8E" w:rsidRPr="000268D6" w:rsidRDefault="00E27F8E" w:rsidP="0066301C">
            <w:pPr>
              <w:rPr>
                <w:rFonts w:ascii="Arial" w:hAnsi="Arial" w:cs="Arial"/>
              </w:rPr>
            </w:pPr>
            <w:r w:rsidRPr="000268D6">
              <w:rPr>
                <w:rFonts w:ascii="Arial" w:hAnsi="Arial" w:cs="Arial"/>
              </w:rPr>
              <w:t>0.179</w:t>
            </w:r>
          </w:p>
        </w:tc>
        <w:tc>
          <w:tcPr>
            <w:tcW w:w="1701" w:type="dxa"/>
          </w:tcPr>
          <w:p w14:paraId="236CA82F" w14:textId="77777777" w:rsidR="00E27F8E" w:rsidRPr="000268D6" w:rsidRDefault="00E27F8E" w:rsidP="0066301C">
            <w:pPr>
              <w:rPr>
                <w:rFonts w:ascii="Arial" w:hAnsi="Arial" w:cs="Arial"/>
              </w:rPr>
            </w:pPr>
            <w:r w:rsidRPr="000268D6">
              <w:rPr>
                <w:rFonts w:ascii="Arial" w:hAnsi="Arial" w:cs="Arial"/>
              </w:rPr>
              <w:t>-2.727</w:t>
            </w:r>
          </w:p>
        </w:tc>
        <w:tc>
          <w:tcPr>
            <w:tcW w:w="1701" w:type="dxa"/>
            <w:gridSpan w:val="2"/>
          </w:tcPr>
          <w:p w14:paraId="1A7CCAF9" w14:textId="77777777" w:rsidR="00E27F8E" w:rsidRPr="000268D6" w:rsidRDefault="00E27F8E" w:rsidP="0066301C">
            <w:pPr>
              <w:rPr>
                <w:rFonts w:ascii="Arial" w:hAnsi="Arial" w:cs="Arial"/>
              </w:rPr>
            </w:pPr>
            <w:r w:rsidRPr="000268D6">
              <w:rPr>
                <w:rFonts w:ascii="Arial" w:hAnsi="Arial" w:cs="Arial"/>
              </w:rPr>
              <w:t>0.012</w:t>
            </w:r>
          </w:p>
        </w:tc>
      </w:tr>
      <w:tr w:rsidR="00E27F8E" w14:paraId="2F8ED470" w14:textId="77777777" w:rsidTr="004D74AB">
        <w:trPr>
          <w:trHeight w:val="288"/>
        </w:trPr>
        <w:tc>
          <w:tcPr>
            <w:tcW w:w="2969" w:type="dxa"/>
          </w:tcPr>
          <w:p w14:paraId="0ECFF222" w14:textId="77777777" w:rsidR="00E27F8E" w:rsidRPr="000268D6" w:rsidRDefault="00E27F8E" w:rsidP="0066301C">
            <w:pPr>
              <w:rPr>
                <w:rFonts w:ascii="Arial" w:hAnsi="Arial" w:cs="Arial"/>
              </w:rPr>
            </w:pPr>
            <w:r w:rsidRPr="000268D6">
              <w:rPr>
                <w:rFonts w:ascii="Arial" w:hAnsi="Arial" w:cs="Arial"/>
              </w:rPr>
              <w:t>∆LNREER</w:t>
            </w:r>
            <w:r w:rsidRPr="000268D6">
              <w:rPr>
                <w:rFonts w:ascii="Arial" w:hAnsi="Arial" w:cs="Arial"/>
                <w:vertAlign w:val="subscript"/>
              </w:rPr>
              <w:t>t-1</w:t>
            </w:r>
          </w:p>
        </w:tc>
        <w:tc>
          <w:tcPr>
            <w:tcW w:w="1420" w:type="dxa"/>
          </w:tcPr>
          <w:p w14:paraId="5A88C051" w14:textId="77777777" w:rsidR="00E27F8E" w:rsidRPr="000268D6" w:rsidRDefault="00E27F8E" w:rsidP="0066301C">
            <w:pPr>
              <w:rPr>
                <w:rFonts w:ascii="Arial" w:hAnsi="Arial" w:cs="Arial"/>
              </w:rPr>
            </w:pPr>
            <w:r w:rsidRPr="000268D6">
              <w:rPr>
                <w:rFonts w:ascii="Arial" w:hAnsi="Arial" w:cs="Arial"/>
              </w:rPr>
              <w:t>-0.259</w:t>
            </w:r>
          </w:p>
        </w:tc>
        <w:tc>
          <w:tcPr>
            <w:tcW w:w="1702" w:type="dxa"/>
            <w:gridSpan w:val="2"/>
          </w:tcPr>
          <w:p w14:paraId="4B46C595" w14:textId="77777777" w:rsidR="00E27F8E" w:rsidRPr="000268D6" w:rsidRDefault="00E27F8E" w:rsidP="0066301C">
            <w:pPr>
              <w:rPr>
                <w:rFonts w:ascii="Arial" w:hAnsi="Arial" w:cs="Arial"/>
              </w:rPr>
            </w:pPr>
            <w:r w:rsidRPr="000268D6">
              <w:rPr>
                <w:rFonts w:ascii="Arial" w:hAnsi="Arial" w:cs="Arial"/>
              </w:rPr>
              <w:t>0.194</w:t>
            </w:r>
          </w:p>
        </w:tc>
        <w:tc>
          <w:tcPr>
            <w:tcW w:w="1701" w:type="dxa"/>
          </w:tcPr>
          <w:p w14:paraId="7516BD04" w14:textId="77777777" w:rsidR="00E27F8E" w:rsidRPr="000268D6" w:rsidRDefault="00E27F8E" w:rsidP="0066301C">
            <w:pPr>
              <w:rPr>
                <w:rFonts w:ascii="Arial" w:hAnsi="Arial" w:cs="Arial"/>
              </w:rPr>
            </w:pPr>
            <w:r w:rsidRPr="000268D6">
              <w:rPr>
                <w:rFonts w:ascii="Arial" w:hAnsi="Arial" w:cs="Arial"/>
              </w:rPr>
              <w:t>-1.337</w:t>
            </w:r>
          </w:p>
        </w:tc>
        <w:tc>
          <w:tcPr>
            <w:tcW w:w="1701" w:type="dxa"/>
            <w:gridSpan w:val="2"/>
          </w:tcPr>
          <w:p w14:paraId="045E4522" w14:textId="77777777" w:rsidR="00E27F8E" w:rsidRPr="000268D6" w:rsidRDefault="00E27F8E" w:rsidP="0066301C">
            <w:pPr>
              <w:rPr>
                <w:rFonts w:ascii="Arial" w:hAnsi="Arial" w:cs="Arial"/>
              </w:rPr>
            </w:pPr>
            <w:r w:rsidRPr="000268D6">
              <w:rPr>
                <w:rFonts w:ascii="Arial" w:hAnsi="Arial" w:cs="Arial"/>
              </w:rPr>
              <w:t>0.193</w:t>
            </w:r>
          </w:p>
        </w:tc>
      </w:tr>
      <w:tr w:rsidR="00E27F8E" w14:paraId="3542C7CD" w14:textId="77777777" w:rsidTr="004D74AB">
        <w:trPr>
          <w:trHeight w:val="288"/>
        </w:trPr>
        <w:tc>
          <w:tcPr>
            <w:tcW w:w="2969" w:type="dxa"/>
          </w:tcPr>
          <w:p w14:paraId="1578912D" w14:textId="77777777" w:rsidR="00E27F8E" w:rsidRPr="000268D6" w:rsidRDefault="00E27F8E" w:rsidP="0066301C">
            <w:pPr>
              <w:rPr>
                <w:rFonts w:ascii="Arial" w:hAnsi="Arial" w:cs="Arial"/>
              </w:rPr>
            </w:pPr>
            <w:r w:rsidRPr="000268D6">
              <w:rPr>
                <w:rFonts w:ascii="Arial" w:hAnsi="Arial" w:cs="Arial"/>
              </w:rPr>
              <w:t>∆LNDI</w:t>
            </w:r>
          </w:p>
        </w:tc>
        <w:tc>
          <w:tcPr>
            <w:tcW w:w="1420" w:type="dxa"/>
          </w:tcPr>
          <w:p w14:paraId="4D661F92" w14:textId="77777777" w:rsidR="00E27F8E" w:rsidRPr="000268D6" w:rsidRDefault="00E27F8E" w:rsidP="0066301C">
            <w:pPr>
              <w:rPr>
                <w:rFonts w:ascii="Arial" w:hAnsi="Arial" w:cs="Arial"/>
              </w:rPr>
            </w:pPr>
            <w:r w:rsidRPr="000268D6">
              <w:rPr>
                <w:rFonts w:ascii="Arial" w:hAnsi="Arial" w:cs="Arial"/>
              </w:rPr>
              <w:t>-0.055</w:t>
            </w:r>
          </w:p>
        </w:tc>
        <w:tc>
          <w:tcPr>
            <w:tcW w:w="1702" w:type="dxa"/>
            <w:gridSpan w:val="2"/>
          </w:tcPr>
          <w:p w14:paraId="61D61507" w14:textId="77777777" w:rsidR="00E27F8E" w:rsidRPr="000268D6" w:rsidRDefault="00E27F8E" w:rsidP="0066301C">
            <w:pPr>
              <w:rPr>
                <w:rFonts w:ascii="Arial" w:hAnsi="Arial" w:cs="Arial"/>
              </w:rPr>
            </w:pPr>
            <w:r w:rsidRPr="000268D6">
              <w:rPr>
                <w:rFonts w:ascii="Arial" w:hAnsi="Arial" w:cs="Arial"/>
              </w:rPr>
              <w:t>0.133</w:t>
            </w:r>
          </w:p>
        </w:tc>
        <w:tc>
          <w:tcPr>
            <w:tcW w:w="1701" w:type="dxa"/>
          </w:tcPr>
          <w:p w14:paraId="6CF1AA72" w14:textId="77777777" w:rsidR="00E27F8E" w:rsidRPr="000268D6" w:rsidRDefault="00E27F8E" w:rsidP="0066301C">
            <w:pPr>
              <w:rPr>
                <w:rFonts w:ascii="Arial" w:hAnsi="Arial" w:cs="Arial"/>
              </w:rPr>
            </w:pPr>
            <w:r w:rsidRPr="000268D6">
              <w:rPr>
                <w:rFonts w:ascii="Arial" w:hAnsi="Arial" w:cs="Arial"/>
              </w:rPr>
              <w:t>-0.417</w:t>
            </w:r>
          </w:p>
        </w:tc>
        <w:tc>
          <w:tcPr>
            <w:tcW w:w="1701" w:type="dxa"/>
            <w:gridSpan w:val="2"/>
          </w:tcPr>
          <w:p w14:paraId="0E24CFC1" w14:textId="77777777" w:rsidR="00E27F8E" w:rsidRPr="000268D6" w:rsidRDefault="00E27F8E" w:rsidP="0066301C">
            <w:pPr>
              <w:rPr>
                <w:rFonts w:ascii="Arial" w:hAnsi="Arial" w:cs="Arial"/>
              </w:rPr>
            </w:pPr>
            <w:r w:rsidRPr="000268D6">
              <w:rPr>
                <w:rFonts w:ascii="Arial" w:hAnsi="Arial" w:cs="Arial"/>
              </w:rPr>
              <w:t>0.68</w:t>
            </w:r>
          </w:p>
        </w:tc>
      </w:tr>
      <w:tr w:rsidR="00E27F8E" w14:paraId="2B3B32C0" w14:textId="77777777" w:rsidTr="004D74AB">
        <w:trPr>
          <w:trHeight w:val="288"/>
        </w:trPr>
        <w:tc>
          <w:tcPr>
            <w:tcW w:w="2969" w:type="dxa"/>
          </w:tcPr>
          <w:p w14:paraId="5DF7CF26" w14:textId="77777777" w:rsidR="00E27F8E" w:rsidRPr="000268D6" w:rsidRDefault="00E27F8E" w:rsidP="0066301C">
            <w:pPr>
              <w:rPr>
                <w:rFonts w:ascii="Arial" w:hAnsi="Arial" w:cs="Arial"/>
              </w:rPr>
            </w:pPr>
            <w:r w:rsidRPr="000268D6">
              <w:rPr>
                <w:rFonts w:ascii="Arial" w:hAnsi="Arial" w:cs="Arial"/>
              </w:rPr>
              <w:t>∆LNDI</w:t>
            </w:r>
            <w:r w:rsidRPr="000268D6">
              <w:rPr>
                <w:rFonts w:ascii="Arial" w:hAnsi="Arial" w:cs="Arial"/>
                <w:vertAlign w:val="subscript"/>
              </w:rPr>
              <w:t>t-1</w:t>
            </w:r>
          </w:p>
        </w:tc>
        <w:tc>
          <w:tcPr>
            <w:tcW w:w="1420" w:type="dxa"/>
          </w:tcPr>
          <w:p w14:paraId="06D2D02E" w14:textId="77777777" w:rsidR="00E27F8E" w:rsidRPr="000268D6" w:rsidRDefault="00E27F8E" w:rsidP="0066301C">
            <w:pPr>
              <w:rPr>
                <w:rFonts w:ascii="Arial" w:hAnsi="Arial" w:cs="Arial"/>
              </w:rPr>
            </w:pPr>
            <w:r w:rsidRPr="000268D6">
              <w:rPr>
                <w:rFonts w:ascii="Arial" w:hAnsi="Arial" w:cs="Arial"/>
              </w:rPr>
              <w:t>-0.220</w:t>
            </w:r>
          </w:p>
        </w:tc>
        <w:tc>
          <w:tcPr>
            <w:tcW w:w="1702" w:type="dxa"/>
            <w:gridSpan w:val="2"/>
          </w:tcPr>
          <w:p w14:paraId="60893359" w14:textId="77777777" w:rsidR="00E27F8E" w:rsidRPr="000268D6" w:rsidRDefault="00E27F8E" w:rsidP="0066301C">
            <w:pPr>
              <w:rPr>
                <w:rFonts w:ascii="Arial" w:hAnsi="Arial" w:cs="Arial"/>
              </w:rPr>
            </w:pPr>
            <w:r w:rsidRPr="000268D6">
              <w:rPr>
                <w:rFonts w:ascii="Arial" w:hAnsi="Arial" w:cs="Arial"/>
              </w:rPr>
              <w:t>0.128</w:t>
            </w:r>
          </w:p>
        </w:tc>
        <w:tc>
          <w:tcPr>
            <w:tcW w:w="1701" w:type="dxa"/>
          </w:tcPr>
          <w:p w14:paraId="0A83D7D8" w14:textId="77777777" w:rsidR="00E27F8E" w:rsidRPr="000268D6" w:rsidRDefault="00E27F8E" w:rsidP="0066301C">
            <w:pPr>
              <w:rPr>
                <w:rFonts w:ascii="Arial" w:hAnsi="Arial" w:cs="Arial"/>
              </w:rPr>
            </w:pPr>
            <w:r w:rsidRPr="000268D6">
              <w:rPr>
                <w:rFonts w:ascii="Arial" w:hAnsi="Arial" w:cs="Arial"/>
              </w:rPr>
              <w:t>-1.711</w:t>
            </w:r>
          </w:p>
        </w:tc>
        <w:tc>
          <w:tcPr>
            <w:tcW w:w="1701" w:type="dxa"/>
            <w:gridSpan w:val="2"/>
          </w:tcPr>
          <w:p w14:paraId="7EFC2C44" w14:textId="77777777" w:rsidR="00E27F8E" w:rsidRPr="000268D6" w:rsidRDefault="00E27F8E" w:rsidP="0066301C">
            <w:pPr>
              <w:rPr>
                <w:rFonts w:ascii="Arial" w:hAnsi="Arial" w:cs="Arial"/>
              </w:rPr>
            </w:pPr>
            <w:r w:rsidRPr="000268D6">
              <w:rPr>
                <w:rFonts w:ascii="Arial" w:hAnsi="Arial" w:cs="Arial"/>
              </w:rPr>
              <w:t>0.099</w:t>
            </w:r>
          </w:p>
        </w:tc>
      </w:tr>
      <w:tr w:rsidR="00E27F8E" w14:paraId="7657B9DA" w14:textId="77777777" w:rsidTr="004D74AB">
        <w:trPr>
          <w:trHeight w:val="288"/>
        </w:trPr>
        <w:tc>
          <w:tcPr>
            <w:tcW w:w="2969" w:type="dxa"/>
          </w:tcPr>
          <w:p w14:paraId="1916C7F1" w14:textId="77777777" w:rsidR="00E27F8E" w:rsidRDefault="00E27F8E" w:rsidP="0066301C">
            <w:pPr>
              <w:rPr>
                <w:rFonts w:cstheme="minorHAnsi"/>
              </w:rPr>
            </w:pPr>
            <w:r>
              <w:rPr>
                <w:rFonts w:cstheme="minorHAnsi"/>
              </w:rPr>
              <w:t>ECM</w:t>
            </w:r>
            <w:r>
              <w:rPr>
                <w:rFonts w:cstheme="minorHAnsi"/>
                <w:vertAlign w:val="subscript"/>
              </w:rPr>
              <w:t>t-1</w:t>
            </w:r>
          </w:p>
        </w:tc>
        <w:tc>
          <w:tcPr>
            <w:tcW w:w="1420" w:type="dxa"/>
          </w:tcPr>
          <w:p w14:paraId="1A013A60" w14:textId="77777777" w:rsidR="00E27F8E" w:rsidRPr="00C07E0F" w:rsidRDefault="00E27F8E" w:rsidP="0066301C">
            <w:pPr>
              <w:rPr>
                <w:rFonts w:ascii="Arial" w:hAnsi="Arial" w:cs="Arial"/>
              </w:rPr>
            </w:pPr>
            <w:r w:rsidRPr="00C07E0F">
              <w:rPr>
                <w:rFonts w:ascii="Arial" w:hAnsi="Arial" w:cs="Arial"/>
              </w:rPr>
              <w:t>-0</w:t>
            </w:r>
            <w:r>
              <w:rPr>
                <w:rFonts w:ascii="Arial" w:hAnsi="Arial" w:cs="Arial"/>
              </w:rPr>
              <w:t>.</w:t>
            </w:r>
            <w:r w:rsidRPr="00C07E0F">
              <w:rPr>
                <w:rFonts w:ascii="Arial" w:hAnsi="Arial" w:cs="Arial"/>
              </w:rPr>
              <w:t>902</w:t>
            </w:r>
          </w:p>
        </w:tc>
        <w:tc>
          <w:tcPr>
            <w:tcW w:w="1702" w:type="dxa"/>
            <w:gridSpan w:val="2"/>
          </w:tcPr>
          <w:p w14:paraId="3C2935D7" w14:textId="77777777" w:rsidR="00E27F8E" w:rsidRPr="00C07E0F" w:rsidRDefault="00E27F8E" w:rsidP="0066301C">
            <w:pPr>
              <w:rPr>
                <w:rFonts w:ascii="Arial" w:hAnsi="Arial" w:cs="Arial"/>
              </w:rPr>
            </w:pPr>
            <w:r w:rsidRPr="00C07E0F">
              <w:rPr>
                <w:rFonts w:ascii="Arial" w:hAnsi="Arial" w:cs="Arial"/>
              </w:rPr>
              <w:t>0.1552</w:t>
            </w:r>
          </w:p>
        </w:tc>
        <w:tc>
          <w:tcPr>
            <w:tcW w:w="1701" w:type="dxa"/>
          </w:tcPr>
          <w:p w14:paraId="14033F17" w14:textId="77777777" w:rsidR="00E27F8E" w:rsidRPr="00C07E0F" w:rsidRDefault="00E27F8E" w:rsidP="0066301C">
            <w:pPr>
              <w:rPr>
                <w:rFonts w:ascii="Arial" w:hAnsi="Arial" w:cs="Arial"/>
              </w:rPr>
            </w:pPr>
            <w:r w:rsidRPr="00C07E0F">
              <w:rPr>
                <w:rFonts w:ascii="Arial" w:hAnsi="Arial" w:cs="Arial"/>
              </w:rPr>
              <w:t>-5.808</w:t>
            </w:r>
          </w:p>
        </w:tc>
        <w:tc>
          <w:tcPr>
            <w:tcW w:w="1701" w:type="dxa"/>
            <w:gridSpan w:val="2"/>
          </w:tcPr>
          <w:p w14:paraId="5B9821DB" w14:textId="77777777" w:rsidR="00E27F8E" w:rsidRPr="00C07E0F" w:rsidRDefault="00E27F8E" w:rsidP="0066301C">
            <w:pPr>
              <w:rPr>
                <w:rFonts w:ascii="Arial" w:hAnsi="Arial" w:cs="Arial"/>
              </w:rPr>
            </w:pPr>
            <w:r w:rsidRPr="00C07E0F">
              <w:rPr>
                <w:rFonts w:ascii="Arial" w:hAnsi="Arial" w:cs="Arial"/>
              </w:rPr>
              <w:t>0.000</w:t>
            </w:r>
          </w:p>
        </w:tc>
      </w:tr>
      <w:tr w:rsidR="00E27F8E" w14:paraId="782B738E" w14:textId="77777777" w:rsidTr="004D74AB">
        <w:trPr>
          <w:trHeight w:val="288"/>
        </w:trPr>
        <w:tc>
          <w:tcPr>
            <w:tcW w:w="9493" w:type="dxa"/>
            <w:gridSpan w:val="7"/>
          </w:tcPr>
          <w:p w14:paraId="1E81E499" w14:textId="77777777" w:rsidR="00E27F8E" w:rsidRPr="000268D6" w:rsidRDefault="00E27F8E" w:rsidP="0066301C">
            <w:pPr>
              <w:jc w:val="center"/>
              <w:rPr>
                <w:rFonts w:ascii="Arial" w:hAnsi="Arial" w:cs="Arial"/>
                <w:b/>
                <w:bCs/>
              </w:rPr>
            </w:pPr>
            <w:r w:rsidRPr="000268D6">
              <w:rPr>
                <w:rFonts w:ascii="Arial" w:hAnsi="Arial" w:cs="Arial"/>
                <w:b/>
                <w:bCs/>
              </w:rPr>
              <w:t>Partner Spain</w:t>
            </w:r>
          </w:p>
        </w:tc>
      </w:tr>
      <w:tr w:rsidR="00E27F8E" w14:paraId="6B9B525B" w14:textId="77777777" w:rsidTr="004D74AB">
        <w:trPr>
          <w:trHeight w:val="288"/>
        </w:trPr>
        <w:tc>
          <w:tcPr>
            <w:tcW w:w="2969" w:type="dxa"/>
          </w:tcPr>
          <w:p w14:paraId="35FD14B5" w14:textId="77777777" w:rsidR="00E27F8E" w:rsidRPr="000268D6" w:rsidRDefault="00E27F8E" w:rsidP="0066301C">
            <w:pPr>
              <w:jc w:val="center"/>
              <w:rPr>
                <w:rFonts w:ascii="Arial" w:hAnsi="Arial" w:cs="Arial"/>
                <w:b/>
                <w:bCs/>
              </w:rPr>
            </w:pPr>
            <w:r w:rsidRPr="000268D6">
              <w:rPr>
                <w:rFonts w:ascii="Arial" w:hAnsi="Arial" w:cs="Arial"/>
                <w:b/>
                <w:bCs/>
              </w:rPr>
              <w:t>Variable</w:t>
            </w:r>
          </w:p>
        </w:tc>
        <w:tc>
          <w:tcPr>
            <w:tcW w:w="1420" w:type="dxa"/>
          </w:tcPr>
          <w:p w14:paraId="491042FD" w14:textId="77777777" w:rsidR="00E27F8E" w:rsidRPr="000268D6" w:rsidRDefault="00E27F8E" w:rsidP="0066301C">
            <w:pPr>
              <w:jc w:val="center"/>
              <w:rPr>
                <w:rFonts w:ascii="Arial" w:hAnsi="Arial" w:cs="Arial"/>
                <w:b/>
                <w:bCs/>
              </w:rPr>
            </w:pPr>
            <w:r w:rsidRPr="000268D6">
              <w:rPr>
                <w:rFonts w:ascii="Arial" w:hAnsi="Arial" w:cs="Arial"/>
                <w:b/>
                <w:bCs/>
              </w:rPr>
              <w:t>Coefficient</w:t>
            </w:r>
          </w:p>
        </w:tc>
        <w:tc>
          <w:tcPr>
            <w:tcW w:w="1702" w:type="dxa"/>
            <w:gridSpan w:val="2"/>
          </w:tcPr>
          <w:p w14:paraId="0FE6B895" w14:textId="77777777" w:rsidR="00E27F8E" w:rsidRPr="000268D6" w:rsidRDefault="00E27F8E" w:rsidP="0066301C">
            <w:pPr>
              <w:jc w:val="center"/>
              <w:rPr>
                <w:rFonts w:ascii="Arial" w:hAnsi="Arial" w:cs="Arial"/>
                <w:b/>
                <w:bCs/>
              </w:rPr>
            </w:pPr>
            <w:r w:rsidRPr="000268D6">
              <w:rPr>
                <w:rFonts w:ascii="Arial" w:hAnsi="Arial" w:cs="Arial"/>
                <w:b/>
                <w:bCs/>
              </w:rPr>
              <w:t>Std. Error</w:t>
            </w:r>
          </w:p>
        </w:tc>
        <w:tc>
          <w:tcPr>
            <w:tcW w:w="1701" w:type="dxa"/>
          </w:tcPr>
          <w:p w14:paraId="2143E959" w14:textId="77777777" w:rsidR="00E27F8E" w:rsidRPr="000268D6" w:rsidRDefault="00E27F8E" w:rsidP="0066301C">
            <w:pPr>
              <w:jc w:val="center"/>
              <w:rPr>
                <w:rFonts w:ascii="Arial" w:hAnsi="Arial" w:cs="Arial"/>
                <w:b/>
                <w:bCs/>
              </w:rPr>
            </w:pPr>
            <w:r w:rsidRPr="000268D6">
              <w:rPr>
                <w:rFonts w:ascii="Arial" w:hAnsi="Arial" w:cs="Arial"/>
                <w:b/>
                <w:bCs/>
              </w:rPr>
              <w:t>t-statistic</w:t>
            </w:r>
          </w:p>
        </w:tc>
        <w:tc>
          <w:tcPr>
            <w:tcW w:w="1701" w:type="dxa"/>
            <w:gridSpan w:val="2"/>
          </w:tcPr>
          <w:p w14:paraId="455BBE2B" w14:textId="77777777" w:rsidR="00E27F8E" w:rsidRPr="000268D6" w:rsidRDefault="00E27F8E" w:rsidP="0066301C">
            <w:pPr>
              <w:jc w:val="center"/>
              <w:rPr>
                <w:rFonts w:ascii="Arial" w:hAnsi="Arial" w:cs="Arial"/>
                <w:b/>
                <w:bCs/>
              </w:rPr>
            </w:pPr>
            <w:r w:rsidRPr="000268D6">
              <w:rPr>
                <w:rFonts w:ascii="Arial" w:hAnsi="Arial" w:cs="Arial"/>
                <w:b/>
                <w:bCs/>
              </w:rPr>
              <w:t>Prob.</w:t>
            </w:r>
          </w:p>
        </w:tc>
      </w:tr>
      <w:tr w:rsidR="00E27F8E" w14:paraId="0CB68D5D" w14:textId="77777777" w:rsidTr="004D74AB">
        <w:trPr>
          <w:trHeight w:val="288"/>
        </w:trPr>
        <w:tc>
          <w:tcPr>
            <w:tcW w:w="2969" w:type="dxa"/>
          </w:tcPr>
          <w:p w14:paraId="40B36BFD" w14:textId="77777777" w:rsidR="00E27F8E" w:rsidRPr="000268D6" w:rsidRDefault="00E27F8E" w:rsidP="0066301C">
            <w:pPr>
              <w:rPr>
                <w:rFonts w:ascii="Arial" w:hAnsi="Arial" w:cs="Arial"/>
                <w:vertAlign w:val="subscript"/>
              </w:rPr>
            </w:pPr>
            <w:r w:rsidRPr="000268D6">
              <w:rPr>
                <w:rFonts w:ascii="Arial" w:hAnsi="Arial" w:cs="Arial"/>
              </w:rPr>
              <w:t>Dependent variable ∆LNTB</w:t>
            </w:r>
            <w:r w:rsidRPr="000268D6">
              <w:rPr>
                <w:rFonts w:ascii="Arial" w:hAnsi="Arial" w:cs="Arial"/>
                <w:vertAlign w:val="subscript"/>
              </w:rPr>
              <w:t>t</w:t>
            </w:r>
          </w:p>
        </w:tc>
        <w:tc>
          <w:tcPr>
            <w:tcW w:w="1420" w:type="dxa"/>
          </w:tcPr>
          <w:p w14:paraId="3E42975C" w14:textId="77777777" w:rsidR="00E27F8E" w:rsidRPr="000268D6" w:rsidRDefault="00E27F8E" w:rsidP="0066301C">
            <w:pPr>
              <w:rPr>
                <w:rFonts w:ascii="Arial" w:hAnsi="Arial" w:cs="Arial"/>
              </w:rPr>
            </w:pPr>
          </w:p>
        </w:tc>
        <w:tc>
          <w:tcPr>
            <w:tcW w:w="1702" w:type="dxa"/>
            <w:gridSpan w:val="2"/>
          </w:tcPr>
          <w:p w14:paraId="1BB58515" w14:textId="77777777" w:rsidR="00E27F8E" w:rsidRPr="000268D6" w:rsidRDefault="00E27F8E" w:rsidP="0066301C">
            <w:pPr>
              <w:rPr>
                <w:rFonts w:ascii="Arial" w:hAnsi="Arial" w:cs="Arial"/>
              </w:rPr>
            </w:pPr>
          </w:p>
        </w:tc>
        <w:tc>
          <w:tcPr>
            <w:tcW w:w="1701" w:type="dxa"/>
          </w:tcPr>
          <w:p w14:paraId="1DBF363F" w14:textId="77777777" w:rsidR="00E27F8E" w:rsidRPr="000268D6" w:rsidRDefault="00E27F8E" w:rsidP="0066301C">
            <w:pPr>
              <w:rPr>
                <w:rFonts w:ascii="Arial" w:hAnsi="Arial" w:cs="Arial"/>
              </w:rPr>
            </w:pPr>
          </w:p>
        </w:tc>
        <w:tc>
          <w:tcPr>
            <w:tcW w:w="1701" w:type="dxa"/>
            <w:gridSpan w:val="2"/>
          </w:tcPr>
          <w:p w14:paraId="4B90CA87" w14:textId="77777777" w:rsidR="00E27F8E" w:rsidRPr="000268D6" w:rsidRDefault="00E27F8E" w:rsidP="0066301C">
            <w:pPr>
              <w:rPr>
                <w:rFonts w:ascii="Arial" w:hAnsi="Arial" w:cs="Arial"/>
              </w:rPr>
            </w:pPr>
          </w:p>
        </w:tc>
      </w:tr>
      <w:tr w:rsidR="00E27F8E" w14:paraId="41F772A7" w14:textId="77777777" w:rsidTr="004D74AB">
        <w:trPr>
          <w:trHeight w:val="301"/>
        </w:trPr>
        <w:tc>
          <w:tcPr>
            <w:tcW w:w="2969" w:type="dxa"/>
          </w:tcPr>
          <w:p w14:paraId="5259E6FA" w14:textId="77777777" w:rsidR="00E27F8E" w:rsidRPr="000268D6" w:rsidRDefault="00E27F8E" w:rsidP="0066301C">
            <w:pPr>
              <w:rPr>
                <w:rFonts w:ascii="Arial" w:hAnsi="Arial" w:cs="Arial"/>
                <w:b/>
                <w:bCs/>
              </w:rPr>
            </w:pPr>
            <w:r w:rsidRPr="000268D6">
              <w:rPr>
                <w:rFonts w:ascii="Arial" w:hAnsi="Arial" w:cs="Arial"/>
                <w:b/>
                <w:bCs/>
              </w:rPr>
              <w:t>Long-run elasticities</w:t>
            </w:r>
          </w:p>
        </w:tc>
        <w:tc>
          <w:tcPr>
            <w:tcW w:w="1420" w:type="dxa"/>
          </w:tcPr>
          <w:p w14:paraId="5DFED584" w14:textId="77777777" w:rsidR="00E27F8E" w:rsidRPr="000268D6" w:rsidRDefault="00E27F8E" w:rsidP="0066301C">
            <w:pPr>
              <w:rPr>
                <w:rFonts w:ascii="Arial" w:hAnsi="Arial" w:cs="Arial"/>
              </w:rPr>
            </w:pPr>
          </w:p>
        </w:tc>
        <w:tc>
          <w:tcPr>
            <w:tcW w:w="1702" w:type="dxa"/>
            <w:gridSpan w:val="2"/>
          </w:tcPr>
          <w:p w14:paraId="14521AD9" w14:textId="77777777" w:rsidR="00E27F8E" w:rsidRPr="000268D6" w:rsidRDefault="00E27F8E" w:rsidP="0066301C">
            <w:pPr>
              <w:rPr>
                <w:rFonts w:ascii="Arial" w:hAnsi="Arial" w:cs="Arial"/>
              </w:rPr>
            </w:pPr>
          </w:p>
        </w:tc>
        <w:tc>
          <w:tcPr>
            <w:tcW w:w="1701" w:type="dxa"/>
          </w:tcPr>
          <w:p w14:paraId="2CDCADE8" w14:textId="77777777" w:rsidR="00E27F8E" w:rsidRPr="000268D6" w:rsidRDefault="00E27F8E" w:rsidP="0066301C">
            <w:pPr>
              <w:rPr>
                <w:rFonts w:ascii="Arial" w:hAnsi="Arial" w:cs="Arial"/>
              </w:rPr>
            </w:pPr>
          </w:p>
        </w:tc>
        <w:tc>
          <w:tcPr>
            <w:tcW w:w="1701" w:type="dxa"/>
            <w:gridSpan w:val="2"/>
          </w:tcPr>
          <w:p w14:paraId="2908642A" w14:textId="77777777" w:rsidR="00E27F8E" w:rsidRPr="000268D6" w:rsidRDefault="00E27F8E" w:rsidP="0066301C">
            <w:pPr>
              <w:rPr>
                <w:rFonts w:ascii="Arial" w:hAnsi="Arial" w:cs="Arial"/>
              </w:rPr>
            </w:pPr>
          </w:p>
        </w:tc>
      </w:tr>
      <w:tr w:rsidR="00E27F8E" w14:paraId="2C669E68" w14:textId="77777777" w:rsidTr="004D74AB">
        <w:trPr>
          <w:trHeight w:val="288"/>
        </w:trPr>
        <w:tc>
          <w:tcPr>
            <w:tcW w:w="2969" w:type="dxa"/>
          </w:tcPr>
          <w:p w14:paraId="4CF650E0" w14:textId="77777777" w:rsidR="00E27F8E" w:rsidRPr="000268D6" w:rsidRDefault="00E27F8E" w:rsidP="0066301C">
            <w:pPr>
              <w:rPr>
                <w:rFonts w:ascii="Arial" w:hAnsi="Arial" w:cs="Arial"/>
              </w:rPr>
            </w:pPr>
            <w:r w:rsidRPr="000268D6">
              <w:rPr>
                <w:rFonts w:ascii="Arial" w:hAnsi="Arial" w:cs="Arial"/>
              </w:rPr>
              <w:t>C</w:t>
            </w:r>
          </w:p>
        </w:tc>
        <w:tc>
          <w:tcPr>
            <w:tcW w:w="1420" w:type="dxa"/>
          </w:tcPr>
          <w:p w14:paraId="208983E8" w14:textId="77777777" w:rsidR="00E27F8E" w:rsidRPr="000268D6" w:rsidRDefault="00E27F8E" w:rsidP="0066301C">
            <w:pPr>
              <w:rPr>
                <w:rFonts w:ascii="Arial" w:hAnsi="Arial" w:cs="Arial"/>
              </w:rPr>
            </w:pPr>
            <w:r w:rsidRPr="000268D6">
              <w:rPr>
                <w:rFonts w:ascii="Arial" w:hAnsi="Arial" w:cs="Arial"/>
              </w:rPr>
              <w:t>0.962</w:t>
            </w:r>
          </w:p>
        </w:tc>
        <w:tc>
          <w:tcPr>
            <w:tcW w:w="1702" w:type="dxa"/>
            <w:gridSpan w:val="2"/>
          </w:tcPr>
          <w:p w14:paraId="56962FA6" w14:textId="77777777" w:rsidR="00E27F8E" w:rsidRPr="000268D6" w:rsidRDefault="00E27F8E" w:rsidP="0066301C">
            <w:pPr>
              <w:rPr>
                <w:rFonts w:ascii="Arial" w:hAnsi="Arial" w:cs="Arial"/>
              </w:rPr>
            </w:pPr>
            <w:r w:rsidRPr="000268D6">
              <w:rPr>
                <w:rFonts w:ascii="Arial" w:hAnsi="Arial" w:cs="Arial"/>
              </w:rPr>
              <w:t>1.062</w:t>
            </w:r>
          </w:p>
        </w:tc>
        <w:tc>
          <w:tcPr>
            <w:tcW w:w="1701" w:type="dxa"/>
          </w:tcPr>
          <w:p w14:paraId="5AAEE15F" w14:textId="77777777" w:rsidR="00E27F8E" w:rsidRPr="000268D6" w:rsidRDefault="00E27F8E" w:rsidP="0066301C">
            <w:pPr>
              <w:rPr>
                <w:rFonts w:ascii="Arial" w:hAnsi="Arial" w:cs="Arial"/>
              </w:rPr>
            </w:pPr>
            <w:r w:rsidRPr="000268D6">
              <w:rPr>
                <w:rFonts w:ascii="Arial" w:hAnsi="Arial" w:cs="Arial"/>
              </w:rPr>
              <w:t>0.907</w:t>
            </w:r>
          </w:p>
        </w:tc>
        <w:tc>
          <w:tcPr>
            <w:tcW w:w="1701" w:type="dxa"/>
            <w:gridSpan w:val="2"/>
          </w:tcPr>
          <w:p w14:paraId="0208F333" w14:textId="77777777" w:rsidR="00E27F8E" w:rsidRPr="000268D6" w:rsidRDefault="00E27F8E" w:rsidP="0066301C">
            <w:pPr>
              <w:rPr>
                <w:rFonts w:ascii="Arial" w:hAnsi="Arial" w:cs="Arial"/>
              </w:rPr>
            </w:pPr>
            <w:r w:rsidRPr="000268D6">
              <w:rPr>
                <w:rFonts w:ascii="Arial" w:hAnsi="Arial" w:cs="Arial"/>
              </w:rPr>
              <w:t>0.373</w:t>
            </w:r>
          </w:p>
        </w:tc>
      </w:tr>
      <w:tr w:rsidR="00E27F8E" w14:paraId="64CAA463" w14:textId="77777777" w:rsidTr="004D74AB">
        <w:trPr>
          <w:trHeight w:val="288"/>
        </w:trPr>
        <w:tc>
          <w:tcPr>
            <w:tcW w:w="2969" w:type="dxa"/>
          </w:tcPr>
          <w:p w14:paraId="77D7BC12" w14:textId="77777777" w:rsidR="00E27F8E" w:rsidRPr="000268D6" w:rsidRDefault="00E27F8E" w:rsidP="0066301C">
            <w:pPr>
              <w:rPr>
                <w:rFonts w:ascii="Arial" w:hAnsi="Arial" w:cs="Arial"/>
              </w:rPr>
            </w:pPr>
            <w:r w:rsidRPr="000268D6">
              <w:rPr>
                <w:rFonts w:ascii="Arial" w:hAnsi="Arial" w:cs="Arial"/>
              </w:rPr>
              <w:t>LNREER</w:t>
            </w:r>
          </w:p>
        </w:tc>
        <w:tc>
          <w:tcPr>
            <w:tcW w:w="1420" w:type="dxa"/>
          </w:tcPr>
          <w:p w14:paraId="2A56E98A" w14:textId="77777777" w:rsidR="00E27F8E" w:rsidRPr="000268D6" w:rsidRDefault="00E27F8E" w:rsidP="0066301C">
            <w:pPr>
              <w:rPr>
                <w:rFonts w:ascii="Arial" w:hAnsi="Arial" w:cs="Arial"/>
              </w:rPr>
            </w:pPr>
            <w:r w:rsidRPr="000268D6">
              <w:rPr>
                <w:rFonts w:ascii="Arial" w:hAnsi="Arial" w:cs="Arial"/>
              </w:rPr>
              <w:t>0.340</w:t>
            </w:r>
          </w:p>
        </w:tc>
        <w:tc>
          <w:tcPr>
            <w:tcW w:w="1702" w:type="dxa"/>
            <w:gridSpan w:val="2"/>
          </w:tcPr>
          <w:p w14:paraId="634A154B" w14:textId="77777777" w:rsidR="00E27F8E" w:rsidRPr="000268D6" w:rsidRDefault="00E27F8E" w:rsidP="0066301C">
            <w:pPr>
              <w:rPr>
                <w:rFonts w:ascii="Arial" w:hAnsi="Arial" w:cs="Arial"/>
              </w:rPr>
            </w:pPr>
            <w:r w:rsidRPr="000268D6">
              <w:rPr>
                <w:rFonts w:ascii="Arial" w:hAnsi="Arial" w:cs="Arial"/>
              </w:rPr>
              <w:t>0.098</w:t>
            </w:r>
          </w:p>
        </w:tc>
        <w:tc>
          <w:tcPr>
            <w:tcW w:w="1701" w:type="dxa"/>
          </w:tcPr>
          <w:p w14:paraId="2C1FC6FF" w14:textId="77777777" w:rsidR="00E27F8E" w:rsidRPr="000268D6" w:rsidRDefault="00E27F8E" w:rsidP="0066301C">
            <w:pPr>
              <w:rPr>
                <w:rFonts w:ascii="Arial" w:hAnsi="Arial" w:cs="Arial"/>
              </w:rPr>
            </w:pPr>
            <w:r w:rsidRPr="000268D6">
              <w:rPr>
                <w:rFonts w:ascii="Arial" w:hAnsi="Arial" w:cs="Arial"/>
              </w:rPr>
              <w:t>3.476</w:t>
            </w:r>
          </w:p>
        </w:tc>
        <w:tc>
          <w:tcPr>
            <w:tcW w:w="1701" w:type="dxa"/>
            <w:gridSpan w:val="2"/>
          </w:tcPr>
          <w:p w14:paraId="5A21FBED" w14:textId="77777777" w:rsidR="00E27F8E" w:rsidRPr="000268D6" w:rsidRDefault="00E27F8E" w:rsidP="0066301C">
            <w:pPr>
              <w:rPr>
                <w:rFonts w:ascii="Arial" w:hAnsi="Arial" w:cs="Arial"/>
              </w:rPr>
            </w:pPr>
            <w:r w:rsidRPr="000268D6">
              <w:rPr>
                <w:rFonts w:ascii="Arial" w:hAnsi="Arial" w:cs="Arial"/>
              </w:rPr>
              <w:t>0.002</w:t>
            </w:r>
          </w:p>
        </w:tc>
      </w:tr>
      <w:tr w:rsidR="00E27F8E" w14:paraId="0B2CBC08" w14:textId="77777777" w:rsidTr="004D74AB">
        <w:trPr>
          <w:trHeight w:val="288"/>
        </w:trPr>
        <w:tc>
          <w:tcPr>
            <w:tcW w:w="2969" w:type="dxa"/>
          </w:tcPr>
          <w:p w14:paraId="4D115C61" w14:textId="77777777" w:rsidR="00E27F8E" w:rsidRPr="000268D6" w:rsidRDefault="00E27F8E" w:rsidP="0066301C">
            <w:pPr>
              <w:rPr>
                <w:rFonts w:ascii="Arial" w:hAnsi="Arial" w:cs="Arial"/>
              </w:rPr>
            </w:pPr>
            <w:r w:rsidRPr="000268D6">
              <w:rPr>
                <w:rFonts w:ascii="Arial" w:hAnsi="Arial" w:cs="Arial"/>
              </w:rPr>
              <w:t>LNDI</w:t>
            </w:r>
          </w:p>
        </w:tc>
        <w:tc>
          <w:tcPr>
            <w:tcW w:w="1420" w:type="dxa"/>
          </w:tcPr>
          <w:p w14:paraId="2E11DD17" w14:textId="77777777" w:rsidR="00E27F8E" w:rsidRPr="000268D6" w:rsidRDefault="00E27F8E" w:rsidP="0066301C">
            <w:pPr>
              <w:rPr>
                <w:rFonts w:ascii="Arial" w:hAnsi="Arial" w:cs="Arial"/>
              </w:rPr>
            </w:pPr>
            <w:r w:rsidRPr="000268D6">
              <w:rPr>
                <w:rFonts w:ascii="Arial" w:hAnsi="Arial" w:cs="Arial"/>
              </w:rPr>
              <w:t>-0.204</w:t>
            </w:r>
          </w:p>
        </w:tc>
        <w:tc>
          <w:tcPr>
            <w:tcW w:w="1702" w:type="dxa"/>
            <w:gridSpan w:val="2"/>
          </w:tcPr>
          <w:p w14:paraId="7E5B8BC0" w14:textId="77777777" w:rsidR="00E27F8E" w:rsidRPr="000268D6" w:rsidRDefault="00E27F8E" w:rsidP="0066301C">
            <w:pPr>
              <w:rPr>
                <w:rFonts w:ascii="Arial" w:hAnsi="Arial" w:cs="Arial"/>
              </w:rPr>
            </w:pPr>
            <w:r w:rsidRPr="000268D6">
              <w:rPr>
                <w:rFonts w:ascii="Arial" w:hAnsi="Arial" w:cs="Arial"/>
              </w:rPr>
              <w:t>0.051</w:t>
            </w:r>
          </w:p>
        </w:tc>
        <w:tc>
          <w:tcPr>
            <w:tcW w:w="1701" w:type="dxa"/>
          </w:tcPr>
          <w:p w14:paraId="190D4122" w14:textId="77777777" w:rsidR="00E27F8E" w:rsidRPr="000268D6" w:rsidRDefault="00E27F8E" w:rsidP="0066301C">
            <w:pPr>
              <w:rPr>
                <w:rFonts w:ascii="Arial" w:hAnsi="Arial" w:cs="Arial"/>
              </w:rPr>
            </w:pPr>
            <w:r w:rsidRPr="000268D6">
              <w:rPr>
                <w:rFonts w:ascii="Arial" w:hAnsi="Arial" w:cs="Arial"/>
              </w:rPr>
              <w:t>-4.025</w:t>
            </w:r>
          </w:p>
        </w:tc>
        <w:tc>
          <w:tcPr>
            <w:tcW w:w="1701" w:type="dxa"/>
            <w:gridSpan w:val="2"/>
          </w:tcPr>
          <w:p w14:paraId="2C887CE9" w14:textId="77777777" w:rsidR="00E27F8E" w:rsidRPr="000268D6" w:rsidRDefault="00E27F8E" w:rsidP="0066301C">
            <w:pPr>
              <w:rPr>
                <w:rFonts w:ascii="Arial" w:hAnsi="Arial" w:cs="Arial"/>
              </w:rPr>
            </w:pPr>
            <w:r w:rsidRPr="000268D6">
              <w:rPr>
                <w:rFonts w:ascii="Arial" w:hAnsi="Arial" w:cs="Arial"/>
              </w:rPr>
              <w:t>0.001</w:t>
            </w:r>
          </w:p>
        </w:tc>
      </w:tr>
      <w:tr w:rsidR="00E27F8E" w14:paraId="0BE33A31" w14:textId="77777777" w:rsidTr="004D74AB">
        <w:trPr>
          <w:trHeight w:val="288"/>
        </w:trPr>
        <w:tc>
          <w:tcPr>
            <w:tcW w:w="2969" w:type="dxa"/>
          </w:tcPr>
          <w:p w14:paraId="4E363A06" w14:textId="77777777" w:rsidR="00E27F8E" w:rsidRPr="000268D6" w:rsidRDefault="00E27F8E" w:rsidP="0066301C">
            <w:pPr>
              <w:rPr>
                <w:rFonts w:ascii="Arial" w:hAnsi="Arial" w:cs="Arial"/>
              </w:rPr>
            </w:pPr>
            <w:r w:rsidRPr="000268D6">
              <w:rPr>
                <w:rFonts w:ascii="Arial" w:hAnsi="Arial" w:cs="Arial"/>
              </w:rPr>
              <w:t>LNSPAINFI</w:t>
            </w:r>
          </w:p>
        </w:tc>
        <w:tc>
          <w:tcPr>
            <w:tcW w:w="1420" w:type="dxa"/>
          </w:tcPr>
          <w:p w14:paraId="115CDE16" w14:textId="77777777" w:rsidR="00E27F8E" w:rsidRPr="000268D6" w:rsidRDefault="00E27F8E" w:rsidP="0066301C">
            <w:pPr>
              <w:rPr>
                <w:rFonts w:ascii="Arial" w:hAnsi="Arial" w:cs="Arial"/>
              </w:rPr>
            </w:pPr>
            <w:r w:rsidRPr="000268D6">
              <w:rPr>
                <w:rFonts w:ascii="Arial" w:hAnsi="Arial" w:cs="Arial"/>
              </w:rPr>
              <w:t>0.0766</w:t>
            </w:r>
          </w:p>
        </w:tc>
        <w:tc>
          <w:tcPr>
            <w:tcW w:w="1702" w:type="dxa"/>
            <w:gridSpan w:val="2"/>
          </w:tcPr>
          <w:p w14:paraId="32C0A6AB" w14:textId="77777777" w:rsidR="00E27F8E" w:rsidRPr="000268D6" w:rsidRDefault="00E27F8E" w:rsidP="0066301C">
            <w:pPr>
              <w:rPr>
                <w:rFonts w:ascii="Arial" w:hAnsi="Arial" w:cs="Arial"/>
              </w:rPr>
            </w:pPr>
            <w:r w:rsidRPr="000268D6">
              <w:rPr>
                <w:rFonts w:ascii="Arial" w:hAnsi="Arial" w:cs="Arial"/>
              </w:rPr>
              <w:t>0.046</w:t>
            </w:r>
          </w:p>
        </w:tc>
        <w:tc>
          <w:tcPr>
            <w:tcW w:w="1701" w:type="dxa"/>
          </w:tcPr>
          <w:p w14:paraId="23C6BC33" w14:textId="77777777" w:rsidR="00E27F8E" w:rsidRPr="000268D6" w:rsidRDefault="00E27F8E" w:rsidP="0066301C">
            <w:pPr>
              <w:rPr>
                <w:rFonts w:ascii="Arial" w:hAnsi="Arial" w:cs="Arial"/>
              </w:rPr>
            </w:pPr>
            <w:r w:rsidRPr="000268D6">
              <w:rPr>
                <w:rFonts w:ascii="Arial" w:hAnsi="Arial" w:cs="Arial"/>
              </w:rPr>
              <w:t>1.680</w:t>
            </w:r>
          </w:p>
        </w:tc>
        <w:tc>
          <w:tcPr>
            <w:tcW w:w="1701" w:type="dxa"/>
            <w:gridSpan w:val="2"/>
          </w:tcPr>
          <w:p w14:paraId="1A2EAE59" w14:textId="77777777" w:rsidR="00E27F8E" w:rsidRPr="000268D6" w:rsidRDefault="00E27F8E" w:rsidP="0066301C">
            <w:pPr>
              <w:rPr>
                <w:rFonts w:ascii="Arial" w:hAnsi="Arial" w:cs="Arial"/>
              </w:rPr>
            </w:pPr>
            <w:r w:rsidRPr="000268D6">
              <w:rPr>
                <w:rFonts w:ascii="Arial" w:hAnsi="Arial" w:cs="Arial"/>
              </w:rPr>
              <w:t>0.105</w:t>
            </w:r>
          </w:p>
        </w:tc>
      </w:tr>
      <w:tr w:rsidR="00E27F8E" w14:paraId="045327E1" w14:textId="77777777" w:rsidTr="004D74AB">
        <w:trPr>
          <w:trHeight w:val="288"/>
        </w:trPr>
        <w:tc>
          <w:tcPr>
            <w:tcW w:w="2969" w:type="dxa"/>
          </w:tcPr>
          <w:p w14:paraId="273C2393" w14:textId="77777777" w:rsidR="00E27F8E" w:rsidRPr="000268D6" w:rsidRDefault="00E27F8E" w:rsidP="0066301C">
            <w:pPr>
              <w:rPr>
                <w:rFonts w:ascii="Arial" w:hAnsi="Arial" w:cs="Arial"/>
                <w:b/>
                <w:bCs/>
              </w:rPr>
            </w:pPr>
            <w:r w:rsidRPr="000268D6">
              <w:rPr>
                <w:rFonts w:ascii="Arial" w:hAnsi="Arial" w:cs="Arial"/>
                <w:b/>
                <w:bCs/>
              </w:rPr>
              <w:t>Short-run elasticities</w:t>
            </w:r>
          </w:p>
        </w:tc>
        <w:tc>
          <w:tcPr>
            <w:tcW w:w="1420" w:type="dxa"/>
          </w:tcPr>
          <w:p w14:paraId="492D739A" w14:textId="77777777" w:rsidR="00E27F8E" w:rsidRPr="000268D6" w:rsidRDefault="00E27F8E" w:rsidP="0066301C">
            <w:pPr>
              <w:rPr>
                <w:rFonts w:ascii="Arial" w:hAnsi="Arial" w:cs="Arial"/>
              </w:rPr>
            </w:pPr>
          </w:p>
        </w:tc>
        <w:tc>
          <w:tcPr>
            <w:tcW w:w="1702" w:type="dxa"/>
            <w:gridSpan w:val="2"/>
          </w:tcPr>
          <w:p w14:paraId="6FB8B36F" w14:textId="77777777" w:rsidR="00E27F8E" w:rsidRPr="000268D6" w:rsidRDefault="00E27F8E" w:rsidP="0066301C">
            <w:pPr>
              <w:rPr>
                <w:rFonts w:ascii="Arial" w:hAnsi="Arial" w:cs="Arial"/>
              </w:rPr>
            </w:pPr>
          </w:p>
        </w:tc>
        <w:tc>
          <w:tcPr>
            <w:tcW w:w="1701" w:type="dxa"/>
          </w:tcPr>
          <w:p w14:paraId="1BC89706" w14:textId="77777777" w:rsidR="00E27F8E" w:rsidRPr="000268D6" w:rsidRDefault="00E27F8E" w:rsidP="0066301C">
            <w:pPr>
              <w:rPr>
                <w:rFonts w:ascii="Arial" w:hAnsi="Arial" w:cs="Arial"/>
              </w:rPr>
            </w:pPr>
          </w:p>
        </w:tc>
        <w:tc>
          <w:tcPr>
            <w:tcW w:w="1701" w:type="dxa"/>
            <w:gridSpan w:val="2"/>
          </w:tcPr>
          <w:p w14:paraId="795671A8" w14:textId="77777777" w:rsidR="00E27F8E" w:rsidRPr="000268D6" w:rsidRDefault="00E27F8E" w:rsidP="0066301C">
            <w:pPr>
              <w:rPr>
                <w:rFonts w:ascii="Arial" w:hAnsi="Arial" w:cs="Arial"/>
              </w:rPr>
            </w:pPr>
          </w:p>
        </w:tc>
      </w:tr>
      <w:tr w:rsidR="00E27F8E" w14:paraId="0E611814" w14:textId="77777777" w:rsidTr="004D74AB">
        <w:trPr>
          <w:trHeight w:val="288"/>
        </w:trPr>
        <w:tc>
          <w:tcPr>
            <w:tcW w:w="2969" w:type="dxa"/>
          </w:tcPr>
          <w:p w14:paraId="052DA14F" w14:textId="77777777" w:rsidR="00E27F8E" w:rsidRPr="000268D6" w:rsidRDefault="00E27F8E" w:rsidP="0066301C">
            <w:pPr>
              <w:rPr>
                <w:rFonts w:ascii="Arial" w:hAnsi="Arial" w:cs="Arial"/>
              </w:rPr>
            </w:pPr>
            <w:r w:rsidRPr="000268D6">
              <w:rPr>
                <w:rFonts w:ascii="Arial" w:hAnsi="Arial" w:cs="Arial"/>
              </w:rPr>
              <w:t>C</w:t>
            </w:r>
          </w:p>
        </w:tc>
        <w:tc>
          <w:tcPr>
            <w:tcW w:w="1420" w:type="dxa"/>
          </w:tcPr>
          <w:p w14:paraId="4291FA83" w14:textId="77777777" w:rsidR="00E27F8E" w:rsidRPr="000268D6" w:rsidRDefault="00E27F8E" w:rsidP="0066301C">
            <w:pPr>
              <w:rPr>
                <w:rFonts w:ascii="Arial" w:hAnsi="Arial" w:cs="Arial"/>
              </w:rPr>
            </w:pPr>
            <w:r w:rsidRPr="000268D6">
              <w:rPr>
                <w:rFonts w:ascii="Arial" w:hAnsi="Arial" w:cs="Arial"/>
              </w:rPr>
              <w:t>0.962</w:t>
            </w:r>
          </w:p>
        </w:tc>
        <w:tc>
          <w:tcPr>
            <w:tcW w:w="1702" w:type="dxa"/>
            <w:gridSpan w:val="2"/>
          </w:tcPr>
          <w:p w14:paraId="754450DF" w14:textId="77777777" w:rsidR="00E27F8E" w:rsidRPr="000268D6" w:rsidRDefault="00E27F8E" w:rsidP="0066301C">
            <w:pPr>
              <w:rPr>
                <w:rFonts w:ascii="Arial" w:hAnsi="Arial" w:cs="Arial"/>
              </w:rPr>
            </w:pPr>
            <w:r w:rsidRPr="000268D6">
              <w:rPr>
                <w:rFonts w:ascii="Arial" w:hAnsi="Arial" w:cs="Arial"/>
              </w:rPr>
              <w:t>0.162</w:t>
            </w:r>
          </w:p>
        </w:tc>
        <w:tc>
          <w:tcPr>
            <w:tcW w:w="1701" w:type="dxa"/>
          </w:tcPr>
          <w:p w14:paraId="58DF80AF" w14:textId="77777777" w:rsidR="00E27F8E" w:rsidRPr="000268D6" w:rsidRDefault="00E27F8E" w:rsidP="0066301C">
            <w:pPr>
              <w:rPr>
                <w:rFonts w:ascii="Arial" w:hAnsi="Arial" w:cs="Arial"/>
              </w:rPr>
            </w:pPr>
            <w:r w:rsidRPr="000268D6">
              <w:rPr>
                <w:rFonts w:ascii="Arial" w:hAnsi="Arial" w:cs="Arial"/>
              </w:rPr>
              <w:t>5.931</w:t>
            </w:r>
          </w:p>
        </w:tc>
        <w:tc>
          <w:tcPr>
            <w:tcW w:w="1701" w:type="dxa"/>
            <w:gridSpan w:val="2"/>
          </w:tcPr>
          <w:p w14:paraId="11589537" w14:textId="77777777" w:rsidR="00E27F8E" w:rsidRPr="000268D6" w:rsidRDefault="00E27F8E" w:rsidP="0066301C">
            <w:pPr>
              <w:rPr>
                <w:rFonts w:ascii="Arial" w:hAnsi="Arial" w:cs="Arial"/>
              </w:rPr>
            </w:pPr>
            <w:r w:rsidRPr="000268D6">
              <w:rPr>
                <w:rFonts w:ascii="Arial" w:hAnsi="Arial" w:cs="Arial"/>
              </w:rPr>
              <w:t>0.000</w:t>
            </w:r>
          </w:p>
        </w:tc>
      </w:tr>
      <w:tr w:rsidR="00E27F8E" w14:paraId="542A3141" w14:textId="77777777" w:rsidTr="004D74AB">
        <w:trPr>
          <w:trHeight w:val="288"/>
        </w:trPr>
        <w:tc>
          <w:tcPr>
            <w:tcW w:w="2969" w:type="dxa"/>
          </w:tcPr>
          <w:p w14:paraId="3DE57A7A" w14:textId="77777777" w:rsidR="00E27F8E" w:rsidRPr="000268D6" w:rsidRDefault="00E27F8E" w:rsidP="0066301C">
            <w:pPr>
              <w:rPr>
                <w:rFonts w:ascii="Arial" w:hAnsi="Arial" w:cs="Arial"/>
              </w:rPr>
            </w:pPr>
            <w:r w:rsidRPr="000268D6">
              <w:rPr>
                <w:rFonts w:ascii="Arial" w:hAnsi="Arial" w:cs="Arial"/>
              </w:rPr>
              <w:t>∆LNTB</w:t>
            </w:r>
          </w:p>
        </w:tc>
        <w:tc>
          <w:tcPr>
            <w:tcW w:w="1420" w:type="dxa"/>
          </w:tcPr>
          <w:p w14:paraId="2798718A" w14:textId="77777777" w:rsidR="00E27F8E" w:rsidRPr="000268D6" w:rsidRDefault="00E27F8E" w:rsidP="0066301C">
            <w:pPr>
              <w:rPr>
                <w:rFonts w:ascii="Arial" w:hAnsi="Arial" w:cs="Arial"/>
              </w:rPr>
            </w:pPr>
            <w:r w:rsidRPr="000268D6">
              <w:rPr>
                <w:rFonts w:ascii="Arial" w:hAnsi="Arial" w:cs="Arial"/>
              </w:rPr>
              <w:t>0.192</w:t>
            </w:r>
          </w:p>
        </w:tc>
        <w:tc>
          <w:tcPr>
            <w:tcW w:w="1702" w:type="dxa"/>
            <w:gridSpan w:val="2"/>
          </w:tcPr>
          <w:p w14:paraId="1E487F18" w14:textId="77777777" w:rsidR="00E27F8E" w:rsidRPr="000268D6" w:rsidRDefault="00E27F8E" w:rsidP="0066301C">
            <w:pPr>
              <w:rPr>
                <w:rFonts w:ascii="Arial" w:hAnsi="Arial" w:cs="Arial"/>
              </w:rPr>
            </w:pPr>
            <w:r w:rsidRPr="000268D6">
              <w:rPr>
                <w:rFonts w:ascii="Arial" w:hAnsi="Arial" w:cs="Arial"/>
              </w:rPr>
              <w:t>0.129</w:t>
            </w:r>
          </w:p>
        </w:tc>
        <w:tc>
          <w:tcPr>
            <w:tcW w:w="1701" w:type="dxa"/>
          </w:tcPr>
          <w:p w14:paraId="5E408BE4" w14:textId="77777777" w:rsidR="00E27F8E" w:rsidRPr="000268D6" w:rsidRDefault="00E27F8E" w:rsidP="0066301C">
            <w:pPr>
              <w:rPr>
                <w:rFonts w:ascii="Arial" w:hAnsi="Arial" w:cs="Arial"/>
              </w:rPr>
            </w:pPr>
            <w:r w:rsidRPr="000268D6">
              <w:rPr>
                <w:rFonts w:ascii="Arial" w:hAnsi="Arial" w:cs="Arial"/>
              </w:rPr>
              <w:t>1.49</w:t>
            </w:r>
          </w:p>
        </w:tc>
        <w:tc>
          <w:tcPr>
            <w:tcW w:w="1701" w:type="dxa"/>
            <w:gridSpan w:val="2"/>
          </w:tcPr>
          <w:p w14:paraId="6D43914D" w14:textId="77777777" w:rsidR="00E27F8E" w:rsidRPr="000268D6" w:rsidRDefault="00E27F8E" w:rsidP="0066301C">
            <w:pPr>
              <w:rPr>
                <w:rFonts w:ascii="Arial" w:hAnsi="Arial" w:cs="Arial"/>
              </w:rPr>
            </w:pPr>
            <w:r w:rsidRPr="000268D6">
              <w:rPr>
                <w:rFonts w:ascii="Arial" w:hAnsi="Arial" w:cs="Arial"/>
              </w:rPr>
              <w:t>0.149</w:t>
            </w:r>
          </w:p>
        </w:tc>
      </w:tr>
      <w:tr w:rsidR="00E27F8E" w14:paraId="42594FEB" w14:textId="77777777" w:rsidTr="004D74AB">
        <w:trPr>
          <w:trHeight w:val="288"/>
        </w:trPr>
        <w:tc>
          <w:tcPr>
            <w:tcW w:w="2969" w:type="dxa"/>
          </w:tcPr>
          <w:p w14:paraId="71B0753C" w14:textId="77777777" w:rsidR="00E27F8E" w:rsidRPr="000268D6" w:rsidRDefault="00E27F8E" w:rsidP="0066301C">
            <w:pPr>
              <w:rPr>
                <w:rFonts w:ascii="Arial" w:hAnsi="Arial" w:cs="Arial"/>
                <w:vertAlign w:val="subscript"/>
              </w:rPr>
            </w:pPr>
            <w:r w:rsidRPr="000268D6">
              <w:rPr>
                <w:rFonts w:ascii="Arial" w:hAnsi="Arial" w:cs="Arial"/>
              </w:rPr>
              <w:t>∆LNTB</w:t>
            </w:r>
            <w:r w:rsidRPr="000268D6">
              <w:rPr>
                <w:rFonts w:ascii="Arial" w:hAnsi="Arial" w:cs="Arial"/>
                <w:vertAlign w:val="subscript"/>
              </w:rPr>
              <w:t>t-1</w:t>
            </w:r>
          </w:p>
        </w:tc>
        <w:tc>
          <w:tcPr>
            <w:tcW w:w="1420" w:type="dxa"/>
          </w:tcPr>
          <w:p w14:paraId="198E6AD9" w14:textId="77777777" w:rsidR="00E27F8E" w:rsidRPr="000268D6" w:rsidRDefault="00E27F8E" w:rsidP="0066301C">
            <w:pPr>
              <w:rPr>
                <w:rFonts w:ascii="Arial" w:hAnsi="Arial" w:cs="Arial"/>
              </w:rPr>
            </w:pPr>
            <w:r w:rsidRPr="000268D6">
              <w:rPr>
                <w:rFonts w:ascii="Arial" w:hAnsi="Arial" w:cs="Arial"/>
              </w:rPr>
              <w:t>0.244</w:t>
            </w:r>
          </w:p>
        </w:tc>
        <w:tc>
          <w:tcPr>
            <w:tcW w:w="1702" w:type="dxa"/>
            <w:gridSpan w:val="2"/>
          </w:tcPr>
          <w:p w14:paraId="07A5B79D" w14:textId="77777777" w:rsidR="00E27F8E" w:rsidRPr="000268D6" w:rsidRDefault="00E27F8E" w:rsidP="0066301C">
            <w:pPr>
              <w:rPr>
                <w:rFonts w:ascii="Arial" w:hAnsi="Arial" w:cs="Arial"/>
              </w:rPr>
            </w:pPr>
            <w:r w:rsidRPr="000268D6">
              <w:rPr>
                <w:rFonts w:ascii="Arial" w:hAnsi="Arial" w:cs="Arial"/>
              </w:rPr>
              <w:t>0.108</w:t>
            </w:r>
          </w:p>
        </w:tc>
        <w:tc>
          <w:tcPr>
            <w:tcW w:w="1701" w:type="dxa"/>
          </w:tcPr>
          <w:p w14:paraId="7B81BF06" w14:textId="77777777" w:rsidR="00E27F8E" w:rsidRPr="000268D6" w:rsidRDefault="00E27F8E" w:rsidP="0066301C">
            <w:pPr>
              <w:rPr>
                <w:rFonts w:ascii="Arial" w:hAnsi="Arial" w:cs="Arial"/>
              </w:rPr>
            </w:pPr>
            <w:r w:rsidRPr="000268D6">
              <w:rPr>
                <w:rFonts w:ascii="Arial" w:hAnsi="Arial" w:cs="Arial"/>
              </w:rPr>
              <w:t>2.248</w:t>
            </w:r>
          </w:p>
        </w:tc>
        <w:tc>
          <w:tcPr>
            <w:tcW w:w="1701" w:type="dxa"/>
            <w:gridSpan w:val="2"/>
          </w:tcPr>
          <w:p w14:paraId="3B8A43D7" w14:textId="77777777" w:rsidR="00E27F8E" w:rsidRPr="000268D6" w:rsidRDefault="00E27F8E" w:rsidP="0066301C">
            <w:pPr>
              <w:rPr>
                <w:rFonts w:ascii="Arial" w:hAnsi="Arial" w:cs="Arial"/>
              </w:rPr>
            </w:pPr>
            <w:r w:rsidRPr="000268D6">
              <w:rPr>
                <w:rFonts w:ascii="Arial" w:hAnsi="Arial" w:cs="Arial"/>
              </w:rPr>
              <w:t>0.034</w:t>
            </w:r>
          </w:p>
        </w:tc>
      </w:tr>
      <w:tr w:rsidR="00E27F8E" w14:paraId="17C6847F" w14:textId="77777777" w:rsidTr="004D74AB">
        <w:trPr>
          <w:trHeight w:val="288"/>
        </w:trPr>
        <w:tc>
          <w:tcPr>
            <w:tcW w:w="2969" w:type="dxa"/>
          </w:tcPr>
          <w:p w14:paraId="775BC8C7" w14:textId="77777777" w:rsidR="00E27F8E" w:rsidRPr="000268D6" w:rsidRDefault="00E27F8E" w:rsidP="0066301C">
            <w:pPr>
              <w:rPr>
                <w:rFonts w:ascii="Arial" w:hAnsi="Arial" w:cs="Arial"/>
              </w:rPr>
            </w:pPr>
            <w:r w:rsidRPr="000268D6">
              <w:rPr>
                <w:rFonts w:ascii="Arial" w:hAnsi="Arial" w:cs="Arial"/>
              </w:rPr>
              <w:t>∆LNREER</w:t>
            </w:r>
          </w:p>
        </w:tc>
        <w:tc>
          <w:tcPr>
            <w:tcW w:w="1420" w:type="dxa"/>
          </w:tcPr>
          <w:p w14:paraId="17327567" w14:textId="77777777" w:rsidR="00E27F8E" w:rsidRPr="000268D6" w:rsidRDefault="00E27F8E" w:rsidP="0066301C">
            <w:pPr>
              <w:rPr>
                <w:rFonts w:ascii="Arial" w:hAnsi="Arial" w:cs="Arial"/>
              </w:rPr>
            </w:pPr>
            <w:r w:rsidRPr="000268D6">
              <w:rPr>
                <w:rFonts w:ascii="Arial" w:hAnsi="Arial" w:cs="Arial"/>
              </w:rPr>
              <w:t>-0.491</w:t>
            </w:r>
          </w:p>
        </w:tc>
        <w:tc>
          <w:tcPr>
            <w:tcW w:w="1702" w:type="dxa"/>
            <w:gridSpan w:val="2"/>
          </w:tcPr>
          <w:p w14:paraId="05CEB4AE" w14:textId="77777777" w:rsidR="00E27F8E" w:rsidRPr="000268D6" w:rsidRDefault="00E27F8E" w:rsidP="0066301C">
            <w:pPr>
              <w:rPr>
                <w:rFonts w:ascii="Arial" w:hAnsi="Arial" w:cs="Arial"/>
              </w:rPr>
            </w:pPr>
            <w:r w:rsidRPr="000268D6">
              <w:rPr>
                <w:rFonts w:ascii="Arial" w:hAnsi="Arial" w:cs="Arial"/>
              </w:rPr>
              <w:t>0.177</w:t>
            </w:r>
          </w:p>
        </w:tc>
        <w:tc>
          <w:tcPr>
            <w:tcW w:w="1701" w:type="dxa"/>
          </w:tcPr>
          <w:p w14:paraId="65F63CE4" w14:textId="77777777" w:rsidR="00E27F8E" w:rsidRPr="000268D6" w:rsidRDefault="00E27F8E" w:rsidP="0066301C">
            <w:pPr>
              <w:rPr>
                <w:rFonts w:ascii="Arial" w:hAnsi="Arial" w:cs="Arial"/>
              </w:rPr>
            </w:pPr>
            <w:r w:rsidRPr="000268D6">
              <w:rPr>
                <w:rFonts w:ascii="Arial" w:hAnsi="Arial" w:cs="Arial"/>
              </w:rPr>
              <w:t>-2.775</w:t>
            </w:r>
          </w:p>
        </w:tc>
        <w:tc>
          <w:tcPr>
            <w:tcW w:w="1701" w:type="dxa"/>
            <w:gridSpan w:val="2"/>
          </w:tcPr>
          <w:p w14:paraId="328AF42F" w14:textId="77777777" w:rsidR="00E27F8E" w:rsidRPr="000268D6" w:rsidRDefault="00E27F8E" w:rsidP="0066301C">
            <w:pPr>
              <w:rPr>
                <w:rFonts w:ascii="Arial" w:hAnsi="Arial" w:cs="Arial"/>
              </w:rPr>
            </w:pPr>
            <w:r w:rsidRPr="000268D6">
              <w:rPr>
                <w:rFonts w:ascii="Arial" w:hAnsi="Arial" w:cs="Arial"/>
              </w:rPr>
              <w:t>0.010</w:t>
            </w:r>
          </w:p>
        </w:tc>
      </w:tr>
      <w:tr w:rsidR="00E27F8E" w14:paraId="093E3DFD" w14:textId="77777777" w:rsidTr="004D74AB">
        <w:trPr>
          <w:trHeight w:val="288"/>
        </w:trPr>
        <w:tc>
          <w:tcPr>
            <w:tcW w:w="2969" w:type="dxa"/>
          </w:tcPr>
          <w:p w14:paraId="35D5B250" w14:textId="77777777" w:rsidR="00E27F8E" w:rsidRPr="000268D6" w:rsidRDefault="00E27F8E" w:rsidP="0066301C">
            <w:pPr>
              <w:rPr>
                <w:rFonts w:ascii="Arial" w:hAnsi="Arial" w:cs="Arial"/>
              </w:rPr>
            </w:pPr>
            <w:r w:rsidRPr="000268D6">
              <w:rPr>
                <w:rFonts w:ascii="Arial" w:hAnsi="Arial" w:cs="Arial"/>
              </w:rPr>
              <w:t>∆LNREER</w:t>
            </w:r>
            <w:r w:rsidRPr="000268D6">
              <w:rPr>
                <w:rFonts w:ascii="Arial" w:hAnsi="Arial" w:cs="Arial"/>
                <w:vertAlign w:val="subscript"/>
              </w:rPr>
              <w:t>t-1</w:t>
            </w:r>
          </w:p>
        </w:tc>
        <w:tc>
          <w:tcPr>
            <w:tcW w:w="1420" w:type="dxa"/>
          </w:tcPr>
          <w:p w14:paraId="6226670D" w14:textId="77777777" w:rsidR="00E27F8E" w:rsidRPr="000268D6" w:rsidRDefault="00E27F8E" w:rsidP="0066301C">
            <w:pPr>
              <w:rPr>
                <w:rFonts w:ascii="Arial" w:hAnsi="Arial" w:cs="Arial"/>
              </w:rPr>
            </w:pPr>
            <w:r w:rsidRPr="000268D6">
              <w:rPr>
                <w:rFonts w:ascii="Arial" w:hAnsi="Arial" w:cs="Arial"/>
              </w:rPr>
              <w:t>-0.259</w:t>
            </w:r>
          </w:p>
        </w:tc>
        <w:tc>
          <w:tcPr>
            <w:tcW w:w="1702" w:type="dxa"/>
            <w:gridSpan w:val="2"/>
          </w:tcPr>
          <w:p w14:paraId="764C3C34" w14:textId="77777777" w:rsidR="00E27F8E" w:rsidRPr="000268D6" w:rsidRDefault="00E27F8E" w:rsidP="0066301C">
            <w:pPr>
              <w:rPr>
                <w:rFonts w:ascii="Arial" w:hAnsi="Arial" w:cs="Arial"/>
              </w:rPr>
            </w:pPr>
            <w:r w:rsidRPr="000268D6">
              <w:rPr>
                <w:rFonts w:ascii="Arial" w:hAnsi="Arial" w:cs="Arial"/>
              </w:rPr>
              <w:t>0.191</w:t>
            </w:r>
          </w:p>
        </w:tc>
        <w:tc>
          <w:tcPr>
            <w:tcW w:w="1701" w:type="dxa"/>
          </w:tcPr>
          <w:p w14:paraId="65AE98F7" w14:textId="77777777" w:rsidR="00E27F8E" w:rsidRPr="000268D6" w:rsidRDefault="00E27F8E" w:rsidP="0066301C">
            <w:pPr>
              <w:rPr>
                <w:rFonts w:ascii="Arial" w:hAnsi="Arial" w:cs="Arial"/>
              </w:rPr>
            </w:pPr>
            <w:r w:rsidRPr="000268D6">
              <w:rPr>
                <w:rFonts w:ascii="Arial" w:hAnsi="Arial" w:cs="Arial"/>
              </w:rPr>
              <w:t>-1.34</w:t>
            </w:r>
          </w:p>
        </w:tc>
        <w:tc>
          <w:tcPr>
            <w:tcW w:w="1701" w:type="dxa"/>
            <w:gridSpan w:val="2"/>
          </w:tcPr>
          <w:p w14:paraId="762F2228" w14:textId="77777777" w:rsidR="00E27F8E" w:rsidRPr="000268D6" w:rsidRDefault="00E27F8E" w:rsidP="0066301C">
            <w:pPr>
              <w:rPr>
                <w:rFonts w:ascii="Arial" w:hAnsi="Arial" w:cs="Arial"/>
              </w:rPr>
            </w:pPr>
            <w:r w:rsidRPr="000268D6">
              <w:rPr>
                <w:rFonts w:ascii="Arial" w:hAnsi="Arial" w:cs="Arial"/>
              </w:rPr>
              <w:t>0.186</w:t>
            </w:r>
          </w:p>
        </w:tc>
      </w:tr>
      <w:tr w:rsidR="00E27F8E" w14:paraId="118B0148" w14:textId="77777777" w:rsidTr="004D74AB">
        <w:trPr>
          <w:trHeight w:val="288"/>
        </w:trPr>
        <w:tc>
          <w:tcPr>
            <w:tcW w:w="2969" w:type="dxa"/>
          </w:tcPr>
          <w:p w14:paraId="33DCC44A" w14:textId="77777777" w:rsidR="00E27F8E" w:rsidRPr="000268D6" w:rsidRDefault="00E27F8E" w:rsidP="0066301C">
            <w:pPr>
              <w:rPr>
                <w:rFonts w:ascii="Arial" w:hAnsi="Arial" w:cs="Arial"/>
              </w:rPr>
            </w:pPr>
            <w:r w:rsidRPr="000268D6">
              <w:rPr>
                <w:rFonts w:ascii="Arial" w:hAnsi="Arial" w:cs="Arial"/>
              </w:rPr>
              <w:t>∆LNDI</w:t>
            </w:r>
          </w:p>
        </w:tc>
        <w:tc>
          <w:tcPr>
            <w:tcW w:w="1420" w:type="dxa"/>
          </w:tcPr>
          <w:p w14:paraId="37631942" w14:textId="77777777" w:rsidR="00E27F8E" w:rsidRPr="000268D6" w:rsidRDefault="00E27F8E" w:rsidP="0066301C">
            <w:pPr>
              <w:rPr>
                <w:rFonts w:ascii="Arial" w:hAnsi="Arial" w:cs="Arial"/>
              </w:rPr>
            </w:pPr>
            <w:r w:rsidRPr="000268D6">
              <w:rPr>
                <w:rFonts w:ascii="Arial" w:hAnsi="Arial" w:cs="Arial"/>
              </w:rPr>
              <w:t>-0.056</w:t>
            </w:r>
          </w:p>
        </w:tc>
        <w:tc>
          <w:tcPr>
            <w:tcW w:w="1702" w:type="dxa"/>
            <w:gridSpan w:val="2"/>
          </w:tcPr>
          <w:p w14:paraId="6FCCD2AA" w14:textId="77777777" w:rsidR="00E27F8E" w:rsidRPr="000268D6" w:rsidRDefault="00E27F8E" w:rsidP="0066301C">
            <w:pPr>
              <w:rPr>
                <w:rFonts w:ascii="Arial" w:hAnsi="Arial" w:cs="Arial"/>
              </w:rPr>
            </w:pPr>
            <w:r w:rsidRPr="000268D6">
              <w:rPr>
                <w:rFonts w:ascii="Arial" w:hAnsi="Arial" w:cs="Arial"/>
              </w:rPr>
              <w:t>0.131</w:t>
            </w:r>
          </w:p>
        </w:tc>
        <w:tc>
          <w:tcPr>
            <w:tcW w:w="1701" w:type="dxa"/>
          </w:tcPr>
          <w:p w14:paraId="1FBAADDC" w14:textId="77777777" w:rsidR="00E27F8E" w:rsidRPr="000268D6" w:rsidRDefault="00E27F8E" w:rsidP="0066301C">
            <w:pPr>
              <w:rPr>
                <w:rFonts w:ascii="Arial" w:hAnsi="Arial" w:cs="Arial"/>
              </w:rPr>
            </w:pPr>
            <w:r w:rsidRPr="000268D6">
              <w:rPr>
                <w:rFonts w:ascii="Arial" w:hAnsi="Arial" w:cs="Arial"/>
              </w:rPr>
              <w:t>-0.430</w:t>
            </w:r>
          </w:p>
        </w:tc>
        <w:tc>
          <w:tcPr>
            <w:tcW w:w="1701" w:type="dxa"/>
            <w:gridSpan w:val="2"/>
          </w:tcPr>
          <w:p w14:paraId="57AC8C30" w14:textId="77777777" w:rsidR="00E27F8E" w:rsidRPr="000268D6" w:rsidRDefault="00E27F8E" w:rsidP="0066301C">
            <w:pPr>
              <w:rPr>
                <w:rFonts w:ascii="Arial" w:hAnsi="Arial" w:cs="Arial"/>
              </w:rPr>
            </w:pPr>
            <w:r w:rsidRPr="000268D6">
              <w:rPr>
                <w:rFonts w:ascii="Arial" w:hAnsi="Arial" w:cs="Arial"/>
              </w:rPr>
              <w:t>0.671</w:t>
            </w:r>
          </w:p>
        </w:tc>
      </w:tr>
      <w:tr w:rsidR="00E27F8E" w14:paraId="4F50C3C6" w14:textId="77777777" w:rsidTr="004D74AB">
        <w:trPr>
          <w:trHeight w:val="288"/>
        </w:trPr>
        <w:tc>
          <w:tcPr>
            <w:tcW w:w="2969" w:type="dxa"/>
          </w:tcPr>
          <w:p w14:paraId="1CBCD397" w14:textId="77777777" w:rsidR="00E27F8E" w:rsidRPr="000268D6" w:rsidRDefault="00E27F8E" w:rsidP="0066301C">
            <w:pPr>
              <w:rPr>
                <w:rFonts w:ascii="Arial" w:hAnsi="Arial" w:cs="Arial"/>
              </w:rPr>
            </w:pPr>
            <w:r w:rsidRPr="000268D6">
              <w:rPr>
                <w:rFonts w:ascii="Arial" w:hAnsi="Arial" w:cs="Arial"/>
              </w:rPr>
              <w:t>∆LNDI</w:t>
            </w:r>
            <w:r w:rsidRPr="000268D6">
              <w:rPr>
                <w:rFonts w:ascii="Arial" w:hAnsi="Arial" w:cs="Arial"/>
                <w:vertAlign w:val="subscript"/>
              </w:rPr>
              <w:t>t-1</w:t>
            </w:r>
          </w:p>
        </w:tc>
        <w:tc>
          <w:tcPr>
            <w:tcW w:w="1420" w:type="dxa"/>
          </w:tcPr>
          <w:p w14:paraId="130E16AF" w14:textId="77777777" w:rsidR="00E27F8E" w:rsidRPr="000268D6" w:rsidRDefault="00E27F8E" w:rsidP="0066301C">
            <w:pPr>
              <w:rPr>
                <w:rFonts w:ascii="Arial" w:hAnsi="Arial" w:cs="Arial"/>
              </w:rPr>
            </w:pPr>
            <w:r w:rsidRPr="000268D6">
              <w:rPr>
                <w:rFonts w:ascii="Arial" w:hAnsi="Arial" w:cs="Arial"/>
              </w:rPr>
              <w:t>-0.221</w:t>
            </w:r>
          </w:p>
        </w:tc>
        <w:tc>
          <w:tcPr>
            <w:tcW w:w="1702" w:type="dxa"/>
            <w:gridSpan w:val="2"/>
          </w:tcPr>
          <w:p w14:paraId="1E88EE59" w14:textId="77777777" w:rsidR="00E27F8E" w:rsidRPr="000268D6" w:rsidRDefault="00E27F8E" w:rsidP="0066301C">
            <w:pPr>
              <w:rPr>
                <w:rFonts w:ascii="Arial" w:hAnsi="Arial" w:cs="Arial"/>
              </w:rPr>
            </w:pPr>
            <w:r w:rsidRPr="000268D6">
              <w:rPr>
                <w:rFonts w:ascii="Arial" w:hAnsi="Arial" w:cs="Arial"/>
              </w:rPr>
              <w:t>0.126</w:t>
            </w:r>
          </w:p>
        </w:tc>
        <w:tc>
          <w:tcPr>
            <w:tcW w:w="1701" w:type="dxa"/>
          </w:tcPr>
          <w:p w14:paraId="062C9DB5" w14:textId="77777777" w:rsidR="00E27F8E" w:rsidRPr="000268D6" w:rsidRDefault="00E27F8E" w:rsidP="0066301C">
            <w:pPr>
              <w:rPr>
                <w:rFonts w:ascii="Arial" w:hAnsi="Arial" w:cs="Arial"/>
              </w:rPr>
            </w:pPr>
            <w:r w:rsidRPr="000268D6">
              <w:rPr>
                <w:rFonts w:ascii="Arial" w:hAnsi="Arial" w:cs="Arial"/>
              </w:rPr>
              <w:t>-1.747</w:t>
            </w:r>
          </w:p>
        </w:tc>
        <w:tc>
          <w:tcPr>
            <w:tcW w:w="1701" w:type="dxa"/>
            <w:gridSpan w:val="2"/>
          </w:tcPr>
          <w:p w14:paraId="78AAE644" w14:textId="77777777" w:rsidR="00E27F8E" w:rsidRPr="000268D6" w:rsidRDefault="00E27F8E" w:rsidP="0066301C">
            <w:pPr>
              <w:rPr>
                <w:rFonts w:ascii="Arial" w:hAnsi="Arial" w:cs="Arial"/>
              </w:rPr>
            </w:pPr>
            <w:r w:rsidRPr="000268D6">
              <w:rPr>
                <w:rFonts w:ascii="Arial" w:hAnsi="Arial" w:cs="Arial"/>
              </w:rPr>
              <w:t>0.093</w:t>
            </w:r>
          </w:p>
        </w:tc>
      </w:tr>
      <w:tr w:rsidR="00E27F8E" w14:paraId="549EF6F1" w14:textId="77777777" w:rsidTr="004D74AB">
        <w:trPr>
          <w:trHeight w:val="288"/>
        </w:trPr>
        <w:tc>
          <w:tcPr>
            <w:tcW w:w="2969" w:type="dxa"/>
          </w:tcPr>
          <w:p w14:paraId="6873738B" w14:textId="77777777" w:rsidR="00E27F8E" w:rsidRPr="000268D6" w:rsidRDefault="00E27F8E" w:rsidP="0066301C">
            <w:pPr>
              <w:rPr>
                <w:rFonts w:ascii="Arial" w:hAnsi="Arial" w:cs="Arial"/>
                <w:vertAlign w:val="subscript"/>
              </w:rPr>
            </w:pPr>
            <w:r w:rsidRPr="000268D6">
              <w:rPr>
                <w:rFonts w:ascii="Arial" w:hAnsi="Arial" w:cs="Arial"/>
              </w:rPr>
              <w:t>ECM</w:t>
            </w:r>
            <w:r w:rsidRPr="000268D6">
              <w:rPr>
                <w:rFonts w:ascii="Arial" w:hAnsi="Arial" w:cs="Arial"/>
                <w:vertAlign w:val="subscript"/>
              </w:rPr>
              <w:t>t-1</w:t>
            </w:r>
          </w:p>
        </w:tc>
        <w:tc>
          <w:tcPr>
            <w:tcW w:w="1420" w:type="dxa"/>
          </w:tcPr>
          <w:p w14:paraId="30249BED" w14:textId="77777777" w:rsidR="00E27F8E" w:rsidRPr="000268D6" w:rsidRDefault="00E27F8E" w:rsidP="0066301C">
            <w:pPr>
              <w:rPr>
                <w:rFonts w:ascii="Arial" w:hAnsi="Arial" w:cs="Arial"/>
              </w:rPr>
            </w:pPr>
            <w:r w:rsidRPr="000268D6">
              <w:rPr>
                <w:rFonts w:ascii="Arial" w:hAnsi="Arial" w:cs="Arial"/>
              </w:rPr>
              <w:t>-0.908</w:t>
            </w:r>
          </w:p>
        </w:tc>
        <w:tc>
          <w:tcPr>
            <w:tcW w:w="1702" w:type="dxa"/>
            <w:gridSpan w:val="2"/>
          </w:tcPr>
          <w:p w14:paraId="077E9351" w14:textId="77777777" w:rsidR="00E27F8E" w:rsidRPr="000268D6" w:rsidRDefault="00E27F8E" w:rsidP="0066301C">
            <w:pPr>
              <w:rPr>
                <w:rFonts w:ascii="Arial" w:hAnsi="Arial" w:cs="Arial"/>
              </w:rPr>
            </w:pPr>
            <w:r w:rsidRPr="000268D6">
              <w:rPr>
                <w:rFonts w:ascii="Arial" w:hAnsi="Arial" w:cs="Arial"/>
              </w:rPr>
              <w:t>0.152</w:t>
            </w:r>
          </w:p>
        </w:tc>
        <w:tc>
          <w:tcPr>
            <w:tcW w:w="1701" w:type="dxa"/>
          </w:tcPr>
          <w:p w14:paraId="1DE63117" w14:textId="77777777" w:rsidR="00E27F8E" w:rsidRPr="000268D6" w:rsidRDefault="00E27F8E" w:rsidP="0066301C">
            <w:pPr>
              <w:rPr>
                <w:rFonts w:ascii="Arial" w:hAnsi="Arial" w:cs="Arial"/>
              </w:rPr>
            </w:pPr>
            <w:r w:rsidRPr="000268D6">
              <w:rPr>
                <w:rFonts w:ascii="Arial" w:hAnsi="Arial" w:cs="Arial"/>
              </w:rPr>
              <w:t>-5.987</w:t>
            </w:r>
          </w:p>
        </w:tc>
        <w:tc>
          <w:tcPr>
            <w:tcW w:w="1701" w:type="dxa"/>
            <w:gridSpan w:val="2"/>
          </w:tcPr>
          <w:p w14:paraId="22F60EB5" w14:textId="77777777" w:rsidR="00E27F8E" w:rsidRPr="000268D6" w:rsidRDefault="00E27F8E" w:rsidP="0066301C">
            <w:pPr>
              <w:rPr>
                <w:rFonts w:ascii="Arial" w:hAnsi="Arial" w:cs="Arial"/>
              </w:rPr>
            </w:pPr>
            <w:r w:rsidRPr="000268D6">
              <w:rPr>
                <w:rFonts w:ascii="Arial" w:hAnsi="Arial" w:cs="Arial"/>
              </w:rPr>
              <w:t>0.000</w:t>
            </w:r>
          </w:p>
        </w:tc>
      </w:tr>
      <w:tr w:rsidR="00E27F8E" w14:paraId="1724ED31" w14:textId="77777777" w:rsidTr="004D74AB">
        <w:trPr>
          <w:trHeight w:val="288"/>
        </w:trPr>
        <w:tc>
          <w:tcPr>
            <w:tcW w:w="9493" w:type="dxa"/>
            <w:gridSpan w:val="7"/>
          </w:tcPr>
          <w:p w14:paraId="71745670" w14:textId="77777777" w:rsidR="00E27F8E" w:rsidRPr="000268D6" w:rsidRDefault="00E27F8E" w:rsidP="0066301C">
            <w:pPr>
              <w:rPr>
                <w:rFonts w:ascii="Arial" w:hAnsi="Arial" w:cs="Arial"/>
              </w:rPr>
            </w:pPr>
          </w:p>
        </w:tc>
      </w:tr>
      <w:tr w:rsidR="00E27F8E" w14:paraId="2FC16965" w14:textId="77777777" w:rsidTr="004D74AB">
        <w:trPr>
          <w:trHeight w:val="288"/>
        </w:trPr>
        <w:tc>
          <w:tcPr>
            <w:tcW w:w="9493" w:type="dxa"/>
            <w:gridSpan w:val="7"/>
          </w:tcPr>
          <w:p w14:paraId="7EAC36DB" w14:textId="77777777" w:rsidR="00E27F8E" w:rsidRPr="004E66BE" w:rsidRDefault="00E27F8E" w:rsidP="0066301C">
            <w:pPr>
              <w:jc w:val="center"/>
              <w:rPr>
                <w:rFonts w:ascii="Arial" w:hAnsi="Arial" w:cs="Arial"/>
                <w:b/>
                <w:bCs/>
                <w:i/>
                <w:iCs/>
                <w:sz w:val="28"/>
                <w:szCs w:val="28"/>
                <w:u w:val="single"/>
              </w:rPr>
            </w:pPr>
            <w:bookmarkStart w:id="462" w:name="_Hlk132765782"/>
            <w:bookmarkEnd w:id="461"/>
            <w:r w:rsidRPr="004E66BE">
              <w:rPr>
                <w:rFonts w:ascii="Arial" w:hAnsi="Arial" w:cs="Arial"/>
                <w:b/>
                <w:bCs/>
                <w:i/>
                <w:iCs/>
                <w:sz w:val="28"/>
                <w:szCs w:val="28"/>
                <w:u w:val="single"/>
              </w:rPr>
              <w:t>CAR</w:t>
            </w:r>
          </w:p>
        </w:tc>
      </w:tr>
      <w:tr w:rsidR="00E27F8E" w14:paraId="3859DB04" w14:textId="77777777" w:rsidTr="004D74AB">
        <w:trPr>
          <w:trHeight w:val="288"/>
        </w:trPr>
        <w:tc>
          <w:tcPr>
            <w:tcW w:w="9493" w:type="dxa"/>
            <w:gridSpan w:val="7"/>
          </w:tcPr>
          <w:p w14:paraId="29F508A8" w14:textId="77777777" w:rsidR="00E27F8E" w:rsidRPr="00A67D5C" w:rsidRDefault="00E27F8E" w:rsidP="0066301C">
            <w:pPr>
              <w:jc w:val="center"/>
              <w:rPr>
                <w:rFonts w:ascii="Arial" w:hAnsi="Arial" w:cs="Arial"/>
                <w:b/>
                <w:bCs/>
              </w:rPr>
            </w:pPr>
            <w:r w:rsidRPr="00A67D5C">
              <w:rPr>
                <w:rFonts w:ascii="Arial" w:hAnsi="Arial" w:cs="Arial"/>
                <w:b/>
                <w:bCs/>
              </w:rPr>
              <w:t xml:space="preserve">Partner </w:t>
            </w:r>
            <w:r>
              <w:rPr>
                <w:rFonts w:ascii="Arial" w:hAnsi="Arial" w:cs="Arial"/>
                <w:b/>
                <w:bCs/>
              </w:rPr>
              <w:t>Cameroon</w:t>
            </w:r>
          </w:p>
        </w:tc>
      </w:tr>
      <w:tr w:rsidR="00E27F8E" w14:paraId="2410A318" w14:textId="77777777" w:rsidTr="004D74AB">
        <w:trPr>
          <w:trHeight w:val="288"/>
        </w:trPr>
        <w:tc>
          <w:tcPr>
            <w:tcW w:w="2969" w:type="dxa"/>
          </w:tcPr>
          <w:p w14:paraId="6A33F4F4" w14:textId="77777777" w:rsidR="00E27F8E" w:rsidRPr="00A67D5C" w:rsidRDefault="00E27F8E" w:rsidP="0066301C">
            <w:pPr>
              <w:jc w:val="center"/>
              <w:rPr>
                <w:rFonts w:ascii="Arial" w:hAnsi="Arial" w:cs="Arial"/>
                <w:b/>
                <w:bCs/>
              </w:rPr>
            </w:pPr>
            <w:r w:rsidRPr="00A67D5C">
              <w:rPr>
                <w:rFonts w:ascii="Arial" w:hAnsi="Arial" w:cs="Arial"/>
                <w:b/>
                <w:bCs/>
              </w:rPr>
              <w:t>Variable</w:t>
            </w:r>
          </w:p>
        </w:tc>
        <w:tc>
          <w:tcPr>
            <w:tcW w:w="1420" w:type="dxa"/>
          </w:tcPr>
          <w:p w14:paraId="66491FF0" w14:textId="77777777" w:rsidR="00E27F8E" w:rsidRPr="00A67D5C" w:rsidRDefault="00E27F8E" w:rsidP="0066301C">
            <w:pPr>
              <w:jc w:val="center"/>
              <w:rPr>
                <w:rFonts w:ascii="Arial" w:hAnsi="Arial" w:cs="Arial"/>
                <w:b/>
                <w:bCs/>
              </w:rPr>
            </w:pPr>
            <w:r w:rsidRPr="00A67D5C">
              <w:rPr>
                <w:rFonts w:ascii="Arial" w:hAnsi="Arial" w:cs="Arial"/>
                <w:b/>
                <w:bCs/>
              </w:rPr>
              <w:t>Coefficient</w:t>
            </w:r>
          </w:p>
        </w:tc>
        <w:tc>
          <w:tcPr>
            <w:tcW w:w="1629" w:type="dxa"/>
          </w:tcPr>
          <w:p w14:paraId="1E5B183A" w14:textId="77777777" w:rsidR="00E27F8E" w:rsidRPr="00A67D5C" w:rsidRDefault="00E27F8E" w:rsidP="0066301C">
            <w:pPr>
              <w:jc w:val="center"/>
              <w:rPr>
                <w:rFonts w:ascii="Arial" w:hAnsi="Arial" w:cs="Arial"/>
                <w:b/>
                <w:bCs/>
              </w:rPr>
            </w:pPr>
            <w:r w:rsidRPr="00A67D5C">
              <w:rPr>
                <w:rFonts w:ascii="Arial" w:hAnsi="Arial" w:cs="Arial"/>
                <w:b/>
                <w:bCs/>
              </w:rPr>
              <w:t>Std. Error</w:t>
            </w:r>
          </w:p>
        </w:tc>
        <w:tc>
          <w:tcPr>
            <w:tcW w:w="1815" w:type="dxa"/>
            <w:gridSpan w:val="3"/>
          </w:tcPr>
          <w:p w14:paraId="27BD1AF9" w14:textId="77777777" w:rsidR="00E27F8E" w:rsidRPr="00A67D5C" w:rsidRDefault="00E27F8E" w:rsidP="0066301C">
            <w:pPr>
              <w:jc w:val="center"/>
              <w:rPr>
                <w:rFonts w:ascii="Arial" w:hAnsi="Arial" w:cs="Arial"/>
                <w:b/>
                <w:bCs/>
              </w:rPr>
            </w:pPr>
            <w:r w:rsidRPr="00A67D5C">
              <w:rPr>
                <w:rFonts w:ascii="Arial" w:hAnsi="Arial" w:cs="Arial"/>
                <w:b/>
                <w:bCs/>
              </w:rPr>
              <w:t>t-statistic</w:t>
            </w:r>
          </w:p>
        </w:tc>
        <w:tc>
          <w:tcPr>
            <w:tcW w:w="1660" w:type="dxa"/>
          </w:tcPr>
          <w:p w14:paraId="1CC09B40" w14:textId="77777777" w:rsidR="00E27F8E" w:rsidRPr="00A67D5C" w:rsidRDefault="00E27F8E" w:rsidP="0066301C">
            <w:pPr>
              <w:jc w:val="center"/>
              <w:rPr>
                <w:rFonts w:ascii="Arial" w:hAnsi="Arial" w:cs="Arial"/>
                <w:b/>
                <w:bCs/>
              </w:rPr>
            </w:pPr>
            <w:r w:rsidRPr="00A67D5C">
              <w:rPr>
                <w:rFonts w:ascii="Arial" w:hAnsi="Arial" w:cs="Arial"/>
                <w:b/>
                <w:bCs/>
              </w:rPr>
              <w:t>Prob.</w:t>
            </w:r>
          </w:p>
        </w:tc>
      </w:tr>
      <w:tr w:rsidR="00E27F8E" w14:paraId="5D1CFEB7" w14:textId="77777777" w:rsidTr="004D74AB">
        <w:trPr>
          <w:trHeight w:val="288"/>
        </w:trPr>
        <w:tc>
          <w:tcPr>
            <w:tcW w:w="2969" w:type="dxa"/>
          </w:tcPr>
          <w:p w14:paraId="2D4D9614" w14:textId="77777777" w:rsidR="00E27F8E" w:rsidRPr="00A67D5C" w:rsidRDefault="00E27F8E" w:rsidP="0066301C">
            <w:pPr>
              <w:rPr>
                <w:rFonts w:ascii="Arial" w:hAnsi="Arial" w:cs="Arial"/>
                <w:vertAlign w:val="subscript"/>
              </w:rPr>
            </w:pPr>
            <w:r w:rsidRPr="00A67D5C">
              <w:rPr>
                <w:rFonts w:ascii="Arial" w:hAnsi="Arial" w:cs="Arial"/>
              </w:rPr>
              <w:t>Dependent variable ∆LNTB</w:t>
            </w:r>
            <w:r w:rsidRPr="00A67D5C">
              <w:rPr>
                <w:rFonts w:ascii="Arial" w:hAnsi="Arial" w:cs="Arial"/>
                <w:vertAlign w:val="subscript"/>
              </w:rPr>
              <w:t>t</w:t>
            </w:r>
          </w:p>
        </w:tc>
        <w:tc>
          <w:tcPr>
            <w:tcW w:w="1420" w:type="dxa"/>
          </w:tcPr>
          <w:p w14:paraId="14834640" w14:textId="77777777" w:rsidR="00E27F8E" w:rsidRPr="00A67D5C" w:rsidRDefault="00E27F8E" w:rsidP="0066301C">
            <w:pPr>
              <w:rPr>
                <w:rFonts w:ascii="Arial" w:hAnsi="Arial" w:cs="Arial"/>
              </w:rPr>
            </w:pPr>
          </w:p>
        </w:tc>
        <w:tc>
          <w:tcPr>
            <w:tcW w:w="1629" w:type="dxa"/>
          </w:tcPr>
          <w:p w14:paraId="0B2AB595" w14:textId="77777777" w:rsidR="00E27F8E" w:rsidRPr="00A67D5C" w:rsidRDefault="00E27F8E" w:rsidP="0066301C">
            <w:pPr>
              <w:rPr>
                <w:rFonts w:ascii="Arial" w:hAnsi="Arial" w:cs="Arial"/>
              </w:rPr>
            </w:pPr>
          </w:p>
        </w:tc>
        <w:tc>
          <w:tcPr>
            <w:tcW w:w="1815" w:type="dxa"/>
            <w:gridSpan w:val="3"/>
          </w:tcPr>
          <w:p w14:paraId="0084CEAE" w14:textId="77777777" w:rsidR="00E27F8E" w:rsidRPr="00A67D5C" w:rsidRDefault="00E27F8E" w:rsidP="0066301C">
            <w:pPr>
              <w:rPr>
                <w:rFonts w:ascii="Arial" w:hAnsi="Arial" w:cs="Arial"/>
              </w:rPr>
            </w:pPr>
          </w:p>
        </w:tc>
        <w:tc>
          <w:tcPr>
            <w:tcW w:w="1660" w:type="dxa"/>
          </w:tcPr>
          <w:p w14:paraId="01F98982" w14:textId="77777777" w:rsidR="00E27F8E" w:rsidRPr="00A67D5C" w:rsidRDefault="00E27F8E" w:rsidP="0066301C">
            <w:pPr>
              <w:rPr>
                <w:rFonts w:ascii="Arial" w:hAnsi="Arial" w:cs="Arial"/>
              </w:rPr>
            </w:pPr>
          </w:p>
        </w:tc>
      </w:tr>
      <w:tr w:rsidR="00E27F8E" w14:paraId="7CD6AF38" w14:textId="77777777" w:rsidTr="004D74AB">
        <w:trPr>
          <w:trHeight w:val="301"/>
        </w:trPr>
        <w:tc>
          <w:tcPr>
            <w:tcW w:w="2969" w:type="dxa"/>
          </w:tcPr>
          <w:p w14:paraId="3C64AA8D" w14:textId="77777777" w:rsidR="00E27F8E" w:rsidRPr="00A67D5C" w:rsidRDefault="00E27F8E" w:rsidP="0066301C">
            <w:pPr>
              <w:rPr>
                <w:rFonts w:ascii="Arial" w:hAnsi="Arial" w:cs="Arial"/>
              </w:rPr>
            </w:pPr>
            <w:r w:rsidRPr="00A67D5C">
              <w:rPr>
                <w:rFonts w:ascii="Arial" w:hAnsi="Arial" w:cs="Arial"/>
              </w:rPr>
              <w:t>Long-run elasticities</w:t>
            </w:r>
          </w:p>
        </w:tc>
        <w:tc>
          <w:tcPr>
            <w:tcW w:w="1420" w:type="dxa"/>
          </w:tcPr>
          <w:p w14:paraId="7CEFBC4F" w14:textId="77777777" w:rsidR="00E27F8E" w:rsidRPr="00A67D5C" w:rsidRDefault="00E27F8E" w:rsidP="0066301C">
            <w:pPr>
              <w:rPr>
                <w:rFonts w:ascii="Arial" w:hAnsi="Arial" w:cs="Arial"/>
              </w:rPr>
            </w:pPr>
          </w:p>
        </w:tc>
        <w:tc>
          <w:tcPr>
            <w:tcW w:w="1629" w:type="dxa"/>
          </w:tcPr>
          <w:p w14:paraId="141821C8" w14:textId="77777777" w:rsidR="00E27F8E" w:rsidRPr="00A67D5C" w:rsidRDefault="00E27F8E" w:rsidP="0066301C">
            <w:pPr>
              <w:rPr>
                <w:rFonts w:ascii="Arial" w:hAnsi="Arial" w:cs="Arial"/>
              </w:rPr>
            </w:pPr>
          </w:p>
        </w:tc>
        <w:tc>
          <w:tcPr>
            <w:tcW w:w="1815" w:type="dxa"/>
            <w:gridSpan w:val="3"/>
          </w:tcPr>
          <w:p w14:paraId="7CD4AB87" w14:textId="77777777" w:rsidR="00E27F8E" w:rsidRPr="00A67D5C" w:rsidRDefault="00E27F8E" w:rsidP="0066301C">
            <w:pPr>
              <w:rPr>
                <w:rFonts w:ascii="Arial" w:hAnsi="Arial" w:cs="Arial"/>
              </w:rPr>
            </w:pPr>
          </w:p>
        </w:tc>
        <w:tc>
          <w:tcPr>
            <w:tcW w:w="1660" w:type="dxa"/>
          </w:tcPr>
          <w:p w14:paraId="05C54AE4" w14:textId="77777777" w:rsidR="00E27F8E" w:rsidRPr="00A67D5C" w:rsidRDefault="00E27F8E" w:rsidP="0066301C">
            <w:pPr>
              <w:rPr>
                <w:rFonts w:ascii="Arial" w:hAnsi="Arial" w:cs="Arial"/>
              </w:rPr>
            </w:pPr>
          </w:p>
        </w:tc>
      </w:tr>
      <w:tr w:rsidR="00E27F8E" w14:paraId="5857BB62" w14:textId="77777777" w:rsidTr="004D74AB">
        <w:trPr>
          <w:trHeight w:val="288"/>
        </w:trPr>
        <w:tc>
          <w:tcPr>
            <w:tcW w:w="2969" w:type="dxa"/>
          </w:tcPr>
          <w:p w14:paraId="530CDF7E" w14:textId="77777777" w:rsidR="00E27F8E" w:rsidRPr="00A67D5C" w:rsidRDefault="00E27F8E" w:rsidP="0066301C">
            <w:pPr>
              <w:rPr>
                <w:rFonts w:ascii="Arial" w:hAnsi="Arial" w:cs="Arial"/>
              </w:rPr>
            </w:pPr>
            <w:r w:rsidRPr="00A67D5C">
              <w:rPr>
                <w:rFonts w:ascii="Arial" w:hAnsi="Arial" w:cs="Arial"/>
              </w:rPr>
              <w:t>C</w:t>
            </w:r>
          </w:p>
        </w:tc>
        <w:tc>
          <w:tcPr>
            <w:tcW w:w="1420" w:type="dxa"/>
          </w:tcPr>
          <w:p w14:paraId="2FE6D132" w14:textId="77777777" w:rsidR="00E27F8E" w:rsidRPr="00A67D5C" w:rsidRDefault="00E27F8E" w:rsidP="0066301C">
            <w:pPr>
              <w:rPr>
                <w:rFonts w:ascii="Arial" w:hAnsi="Arial" w:cs="Arial"/>
              </w:rPr>
            </w:pPr>
            <w:r>
              <w:rPr>
                <w:rFonts w:ascii="Arial" w:hAnsi="Arial" w:cs="Arial"/>
              </w:rPr>
              <w:t>10.906</w:t>
            </w:r>
          </w:p>
        </w:tc>
        <w:tc>
          <w:tcPr>
            <w:tcW w:w="1629" w:type="dxa"/>
          </w:tcPr>
          <w:p w14:paraId="44F43EA2" w14:textId="77777777" w:rsidR="00E27F8E" w:rsidRPr="00A67D5C" w:rsidRDefault="00E27F8E" w:rsidP="0066301C">
            <w:pPr>
              <w:rPr>
                <w:rFonts w:ascii="Arial" w:hAnsi="Arial" w:cs="Arial"/>
              </w:rPr>
            </w:pPr>
            <w:r>
              <w:rPr>
                <w:rFonts w:ascii="Arial" w:hAnsi="Arial" w:cs="Arial"/>
              </w:rPr>
              <w:t>2.294</w:t>
            </w:r>
          </w:p>
        </w:tc>
        <w:tc>
          <w:tcPr>
            <w:tcW w:w="1815" w:type="dxa"/>
            <w:gridSpan w:val="3"/>
          </w:tcPr>
          <w:p w14:paraId="6913B407" w14:textId="77777777" w:rsidR="00E27F8E" w:rsidRPr="00A67D5C" w:rsidRDefault="00E27F8E" w:rsidP="0066301C">
            <w:pPr>
              <w:rPr>
                <w:rFonts w:ascii="Arial" w:hAnsi="Arial" w:cs="Arial"/>
              </w:rPr>
            </w:pPr>
            <w:r>
              <w:rPr>
                <w:rFonts w:ascii="Arial" w:hAnsi="Arial" w:cs="Arial"/>
              </w:rPr>
              <w:t>4.755</w:t>
            </w:r>
          </w:p>
        </w:tc>
        <w:tc>
          <w:tcPr>
            <w:tcW w:w="1660" w:type="dxa"/>
          </w:tcPr>
          <w:p w14:paraId="33EE4EF4" w14:textId="77777777" w:rsidR="00E27F8E" w:rsidRPr="00A67D5C" w:rsidRDefault="00E27F8E" w:rsidP="0066301C">
            <w:pPr>
              <w:rPr>
                <w:rFonts w:ascii="Arial" w:hAnsi="Arial" w:cs="Arial"/>
              </w:rPr>
            </w:pPr>
            <w:r>
              <w:rPr>
                <w:rFonts w:ascii="Arial" w:hAnsi="Arial" w:cs="Arial"/>
              </w:rPr>
              <w:t>0.000</w:t>
            </w:r>
          </w:p>
        </w:tc>
      </w:tr>
      <w:tr w:rsidR="00E27F8E" w14:paraId="6B2CB9C0" w14:textId="77777777" w:rsidTr="004D74AB">
        <w:trPr>
          <w:trHeight w:val="288"/>
        </w:trPr>
        <w:tc>
          <w:tcPr>
            <w:tcW w:w="2969" w:type="dxa"/>
          </w:tcPr>
          <w:p w14:paraId="38BC8926" w14:textId="77777777" w:rsidR="00E27F8E" w:rsidRPr="00A67D5C" w:rsidRDefault="00E27F8E" w:rsidP="0066301C">
            <w:pPr>
              <w:rPr>
                <w:rFonts w:ascii="Arial" w:hAnsi="Arial" w:cs="Arial"/>
              </w:rPr>
            </w:pPr>
            <w:r w:rsidRPr="00A67D5C">
              <w:rPr>
                <w:rFonts w:ascii="Arial" w:hAnsi="Arial" w:cs="Arial"/>
              </w:rPr>
              <w:t>LNREER</w:t>
            </w:r>
          </w:p>
        </w:tc>
        <w:tc>
          <w:tcPr>
            <w:tcW w:w="1420" w:type="dxa"/>
          </w:tcPr>
          <w:p w14:paraId="33E65BE2" w14:textId="77777777" w:rsidR="00E27F8E" w:rsidRPr="00A67D5C" w:rsidRDefault="00E27F8E" w:rsidP="0066301C">
            <w:pPr>
              <w:rPr>
                <w:rFonts w:ascii="Arial" w:hAnsi="Arial" w:cs="Arial"/>
              </w:rPr>
            </w:pPr>
            <w:r>
              <w:rPr>
                <w:rFonts w:ascii="Arial" w:hAnsi="Arial" w:cs="Arial"/>
              </w:rPr>
              <w:t>-0.480</w:t>
            </w:r>
          </w:p>
        </w:tc>
        <w:tc>
          <w:tcPr>
            <w:tcW w:w="1629" w:type="dxa"/>
          </w:tcPr>
          <w:p w14:paraId="275FC837" w14:textId="77777777" w:rsidR="00E27F8E" w:rsidRPr="00A67D5C" w:rsidRDefault="00E27F8E" w:rsidP="0066301C">
            <w:pPr>
              <w:rPr>
                <w:rFonts w:ascii="Arial" w:hAnsi="Arial" w:cs="Arial"/>
              </w:rPr>
            </w:pPr>
            <w:r>
              <w:rPr>
                <w:rFonts w:ascii="Arial" w:hAnsi="Arial" w:cs="Arial"/>
              </w:rPr>
              <w:t>0.079</w:t>
            </w:r>
          </w:p>
        </w:tc>
        <w:tc>
          <w:tcPr>
            <w:tcW w:w="1815" w:type="dxa"/>
            <w:gridSpan w:val="3"/>
          </w:tcPr>
          <w:p w14:paraId="2090BB07" w14:textId="77777777" w:rsidR="00E27F8E" w:rsidRPr="00A67D5C" w:rsidRDefault="00E27F8E" w:rsidP="0066301C">
            <w:pPr>
              <w:rPr>
                <w:rFonts w:ascii="Arial" w:hAnsi="Arial" w:cs="Arial"/>
              </w:rPr>
            </w:pPr>
            <w:r>
              <w:rPr>
                <w:rFonts w:ascii="Arial" w:hAnsi="Arial" w:cs="Arial"/>
              </w:rPr>
              <w:t>-6.102</w:t>
            </w:r>
          </w:p>
        </w:tc>
        <w:tc>
          <w:tcPr>
            <w:tcW w:w="1660" w:type="dxa"/>
          </w:tcPr>
          <w:p w14:paraId="6B63B53C" w14:textId="77777777" w:rsidR="00E27F8E" w:rsidRPr="00A67D5C" w:rsidRDefault="00E27F8E" w:rsidP="0066301C">
            <w:pPr>
              <w:rPr>
                <w:rFonts w:ascii="Arial" w:hAnsi="Arial" w:cs="Arial"/>
              </w:rPr>
            </w:pPr>
            <w:r>
              <w:rPr>
                <w:rFonts w:ascii="Arial" w:hAnsi="Arial" w:cs="Arial"/>
              </w:rPr>
              <w:t>0.000</w:t>
            </w:r>
          </w:p>
        </w:tc>
      </w:tr>
      <w:tr w:rsidR="00E27F8E" w14:paraId="60BC3EB5" w14:textId="77777777" w:rsidTr="004D74AB">
        <w:trPr>
          <w:trHeight w:val="288"/>
        </w:trPr>
        <w:tc>
          <w:tcPr>
            <w:tcW w:w="2969" w:type="dxa"/>
          </w:tcPr>
          <w:p w14:paraId="2DDEFDCD" w14:textId="77777777" w:rsidR="00E27F8E" w:rsidRPr="00A67D5C" w:rsidRDefault="00E27F8E" w:rsidP="0066301C">
            <w:pPr>
              <w:rPr>
                <w:rFonts w:ascii="Arial" w:hAnsi="Arial" w:cs="Arial"/>
              </w:rPr>
            </w:pPr>
            <w:r w:rsidRPr="00A67D5C">
              <w:rPr>
                <w:rFonts w:ascii="Arial" w:hAnsi="Arial" w:cs="Arial"/>
              </w:rPr>
              <w:t>LNDI</w:t>
            </w:r>
          </w:p>
        </w:tc>
        <w:tc>
          <w:tcPr>
            <w:tcW w:w="1420" w:type="dxa"/>
          </w:tcPr>
          <w:p w14:paraId="5EBB6F79" w14:textId="77777777" w:rsidR="00E27F8E" w:rsidRPr="00A67D5C" w:rsidRDefault="00E27F8E" w:rsidP="0066301C">
            <w:pPr>
              <w:rPr>
                <w:rFonts w:ascii="Arial" w:hAnsi="Arial" w:cs="Arial"/>
              </w:rPr>
            </w:pPr>
            <w:r>
              <w:rPr>
                <w:rFonts w:ascii="Arial" w:hAnsi="Arial" w:cs="Arial"/>
              </w:rPr>
              <w:t>0.070</w:t>
            </w:r>
          </w:p>
        </w:tc>
        <w:tc>
          <w:tcPr>
            <w:tcW w:w="1629" w:type="dxa"/>
          </w:tcPr>
          <w:p w14:paraId="57B0522B" w14:textId="77777777" w:rsidR="00E27F8E" w:rsidRPr="00A67D5C" w:rsidRDefault="00E27F8E" w:rsidP="0066301C">
            <w:pPr>
              <w:rPr>
                <w:rFonts w:ascii="Arial" w:hAnsi="Arial" w:cs="Arial"/>
              </w:rPr>
            </w:pPr>
            <w:r>
              <w:rPr>
                <w:rFonts w:ascii="Arial" w:hAnsi="Arial" w:cs="Arial"/>
              </w:rPr>
              <w:t>0.165</w:t>
            </w:r>
          </w:p>
        </w:tc>
        <w:tc>
          <w:tcPr>
            <w:tcW w:w="1815" w:type="dxa"/>
            <w:gridSpan w:val="3"/>
          </w:tcPr>
          <w:p w14:paraId="224D13F7" w14:textId="77777777" w:rsidR="00E27F8E" w:rsidRPr="00A67D5C" w:rsidRDefault="00E27F8E" w:rsidP="0066301C">
            <w:pPr>
              <w:rPr>
                <w:rFonts w:ascii="Arial" w:hAnsi="Arial" w:cs="Arial"/>
              </w:rPr>
            </w:pPr>
            <w:r>
              <w:rPr>
                <w:rFonts w:ascii="Arial" w:hAnsi="Arial" w:cs="Arial"/>
              </w:rPr>
              <w:t>0.425</w:t>
            </w:r>
          </w:p>
        </w:tc>
        <w:tc>
          <w:tcPr>
            <w:tcW w:w="1660" w:type="dxa"/>
          </w:tcPr>
          <w:p w14:paraId="0203A421" w14:textId="77777777" w:rsidR="00E27F8E" w:rsidRPr="00A67D5C" w:rsidRDefault="00E27F8E" w:rsidP="0066301C">
            <w:pPr>
              <w:rPr>
                <w:rFonts w:ascii="Arial" w:hAnsi="Arial" w:cs="Arial"/>
              </w:rPr>
            </w:pPr>
            <w:r>
              <w:rPr>
                <w:rFonts w:ascii="Arial" w:hAnsi="Arial" w:cs="Arial"/>
              </w:rPr>
              <w:t>0.67</w:t>
            </w:r>
          </w:p>
        </w:tc>
      </w:tr>
      <w:tr w:rsidR="00E27F8E" w14:paraId="56472609" w14:textId="77777777" w:rsidTr="004D74AB">
        <w:trPr>
          <w:trHeight w:val="288"/>
        </w:trPr>
        <w:tc>
          <w:tcPr>
            <w:tcW w:w="2969" w:type="dxa"/>
          </w:tcPr>
          <w:p w14:paraId="30BE92DA" w14:textId="77777777" w:rsidR="00E27F8E" w:rsidRPr="00A67D5C" w:rsidRDefault="00E27F8E" w:rsidP="0066301C">
            <w:pPr>
              <w:rPr>
                <w:rFonts w:ascii="Arial" w:hAnsi="Arial" w:cs="Arial"/>
              </w:rPr>
            </w:pPr>
            <w:r w:rsidRPr="00A67D5C">
              <w:rPr>
                <w:rFonts w:ascii="Arial" w:hAnsi="Arial" w:cs="Arial"/>
              </w:rPr>
              <w:t>LNC</w:t>
            </w:r>
            <w:r>
              <w:rPr>
                <w:rFonts w:ascii="Arial" w:hAnsi="Arial" w:cs="Arial"/>
              </w:rPr>
              <w:t>AMEROON</w:t>
            </w:r>
            <w:r w:rsidRPr="00A67D5C">
              <w:rPr>
                <w:rFonts w:ascii="Arial" w:hAnsi="Arial" w:cs="Arial"/>
              </w:rPr>
              <w:t>FI</w:t>
            </w:r>
          </w:p>
        </w:tc>
        <w:tc>
          <w:tcPr>
            <w:tcW w:w="1420" w:type="dxa"/>
          </w:tcPr>
          <w:p w14:paraId="1A1491A9" w14:textId="77777777" w:rsidR="00E27F8E" w:rsidRPr="00A67D5C" w:rsidRDefault="00E27F8E" w:rsidP="0066301C">
            <w:pPr>
              <w:rPr>
                <w:rFonts w:ascii="Arial" w:hAnsi="Arial" w:cs="Arial"/>
              </w:rPr>
            </w:pPr>
            <w:r>
              <w:rPr>
                <w:rFonts w:ascii="Arial" w:hAnsi="Arial" w:cs="Arial"/>
              </w:rPr>
              <w:t>-0.503</w:t>
            </w:r>
          </w:p>
        </w:tc>
        <w:tc>
          <w:tcPr>
            <w:tcW w:w="1629" w:type="dxa"/>
          </w:tcPr>
          <w:p w14:paraId="2224B96B" w14:textId="77777777" w:rsidR="00E27F8E" w:rsidRPr="00A67D5C" w:rsidRDefault="00E27F8E" w:rsidP="0066301C">
            <w:pPr>
              <w:rPr>
                <w:rFonts w:ascii="Arial" w:hAnsi="Arial" w:cs="Arial"/>
              </w:rPr>
            </w:pPr>
            <w:r>
              <w:rPr>
                <w:rFonts w:ascii="Arial" w:hAnsi="Arial" w:cs="Arial"/>
              </w:rPr>
              <w:t>0.123</w:t>
            </w:r>
          </w:p>
        </w:tc>
        <w:tc>
          <w:tcPr>
            <w:tcW w:w="1815" w:type="dxa"/>
            <w:gridSpan w:val="3"/>
          </w:tcPr>
          <w:p w14:paraId="75E9FA1C" w14:textId="77777777" w:rsidR="00E27F8E" w:rsidRPr="00A67D5C" w:rsidRDefault="00E27F8E" w:rsidP="0066301C">
            <w:pPr>
              <w:rPr>
                <w:rFonts w:ascii="Arial" w:hAnsi="Arial" w:cs="Arial"/>
              </w:rPr>
            </w:pPr>
            <w:r>
              <w:rPr>
                <w:rFonts w:ascii="Arial" w:hAnsi="Arial" w:cs="Arial"/>
              </w:rPr>
              <w:t>-4.091</w:t>
            </w:r>
          </w:p>
        </w:tc>
        <w:tc>
          <w:tcPr>
            <w:tcW w:w="1660" w:type="dxa"/>
          </w:tcPr>
          <w:p w14:paraId="2C2D05E0" w14:textId="77777777" w:rsidR="00E27F8E" w:rsidRPr="00A67D5C" w:rsidRDefault="00E27F8E" w:rsidP="0066301C">
            <w:pPr>
              <w:rPr>
                <w:rFonts w:ascii="Arial" w:hAnsi="Arial" w:cs="Arial"/>
              </w:rPr>
            </w:pPr>
            <w:r>
              <w:rPr>
                <w:rFonts w:ascii="Arial" w:hAnsi="Arial" w:cs="Arial"/>
              </w:rPr>
              <w:t>0.000</w:t>
            </w:r>
          </w:p>
        </w:tc>
      </w:tr>
      <w:tr w:rsidR="00E27F8E" w14:paraId="04BA6856" w14:textId="77777777" w:rsidTr="004D74AB">
        <w:trPr>
          <w:trHeight w:val="288"/>
        </w:trPr>
        <w:tc>
          <w:tcPr>
            <w:tcW w:w="2969" w:type="dxa"/>
          </w:tcPr>
          <w:p w14:paraId="028B01F0" w14:textId="77777777" w:rsidR="00E27F8E" w:rsidRPr="00A67D5C" w:rsidRDefault="00E27F8E" w:rsidP="0066301C">
            <w:pPr>
              <w:rPr>
                <w:rFonts w:ascii="Arial" w:hAnsi="Arial" w:cs="Arial"/>
                <w:b/>
                <w:bCs/>
              </w:rPr>
            </w:pPr>
            <w:r w:rsidRPr="00A67D5C">
              <w:rPr>
                <w:rFonts w:ascii="Arial" w:hAnsi="Arial" w:cs="Arial"/>
                <w:b/>
                <w:bCs/>
              </w:rPr>
              <w:t>Short-run elasticities</w:t>
            </w:r>
          </w:p>
        </w:tc>
        <w:tc>
          <w:tcPr>
            <w:tcW w:w="1420" w:type="dxa"/>
          </w:tcPr>
          <w:p w14:paraId="29D5FF6C" w14:textId="77777777" w:rsidR="00E27F8E" w:rsidRPr="00A67D5C" w:rsidRDefault="00E27F8E" w:rsidP="0066301C">
            <w:pPr>
              <w:rPr>
                <w:rFonts w:ascii="Arial" w:hAnsi="Arial" w:cs="Arial"/>
              </w:rPr>
            </w:pPr>
          </w:p>
        </w:tc>
        <w:tc>
          <w:tcPr>
            <w:tcW w:w="1629" w:type="dxa"/>
          </w:tcPr>
          <w:p w14:paraId="11B4A4A9" w14:textId="77777777" w:rsidR="00E27F8E" w:rsidRPr="00A67D5C" w:rsidRDefault="00E27F8E" w:rsidP="0066301C">
            <w:pPr>
              <w:rPr>
                <w:rFonts w:ascii="Arial" w:hAnsi="Arial" w:cs="Arial"/>
              </w:rPr>
            </w:pPr>
          </w:p>
        </w:tc>
        <w:tc>
          <w:tcPr>
            <w:tcW w:w="1815" w:type="dxa"/>
            <w:gridSpan w:val="3"/>
          </w:tcPr>
          <w:p w14:paraId="5A1DAA61" w14:textId="77777777" w:rsidR="00E27F8E" w:rsidRPr="00A67D5C" w:rsidRDefault="00E27F8E" w:rsidP="0066301C">
            <w:pPr>
              <w:rPr>
                <w:rFonts w:ascii="Arial" w:hAnsi="Arial" w:cs="Arial"/>
              </w:rPr>
            </w:pPr>
          </w:p>
        </w:tc>
        <w:tc>
          <w:tcPr>
            <w:tcW w:w="1660" w:type="dxa"/>
          </w:tcPr>
          <w:p w14:paraId="3F1E33EA" w14:textId="77777777" w:rsidR="00E27F8E" w:rsidRPr="00A67D5C" w:rsidRDefault="00E27F8E" w:rsidP="0066301C">
            <w:pPr>
              <w:rPr>
                <w:rFonts w:ascii="Arial" w:hAnsi="Arial" w:cs="Arial"/>
              </w:rPr>
            </w:pPr>
          </w:p>
        </w:tc>
      </w:tr>
      <w:tr w:rsidR="00E27F8E" w14:paraId="279882F8" w14:textId="77777777" w:rsidTr="004D74AB">
        <w:trPr>
          <w:trHeight w:val="288"/>
        </w:trPr>
        <w:tc>
          <w:tcPr>
            <w:tcW w:w="2969" w:type="dxa"/>
          </w:tcPr>
          <w:p w14:paraId="7E4153ED" w14:textId="77777777" w:rsidR="00E27F8E" w:rsidRPr="00A67D5C" w:rsidRDefault="00E27F8E" w:rsidP="0066301C">
            <w:pPr>
              <w:rPr>
                <w:rFonts w:ascii="Arial" w:hAnsi="Arial" w:cs="Arial"/>
              </w:rPr>
            </w:pPr>
            <w:r w:rsidRPr="00A67D5C">
              <w:rPr>
                <w:rFonts w:ascii="Arial" w:hAnsi="Arial" w:cs="Arial"/>
              </w:rPr>
              <w:t>C</w:t>
            </w:r>
          </w:p>
        </w:tc>
        <w:tc>
          <w:tcPr>
            <w:tcW w:w="1420" w:type="dxa"/>
          </w:tcPr>
          <w:p w14:paraId="2B3D9D24" w14:textId="77777777" w:rsidR="00E27F8E" w:rsidRPr="00A67D5C" w:rsidRDefault="00E27F8E" w:rsidP="0066301C">
            <w:pPr>
              <w:rPr>
                <w:rFonts w:ascii="Arial" w:hAnsi="Arial" w:cs="Arial"/>
              </w:rPr>
            </w:pPr>
            <w:r>
              <w:rPr>
                <w:rFonts w:ascii="Arial" w:hAnsi="Arial" w:cs="Arial"/>
              </w:rPr>
              <w:t>10.906</w:t>
            </w:r>
          </w:p>
        </w:tc>
        <w:tc>
          <w:tcPr>
            <w:tcW w:w="1629" w:type="dxa"/>
          </w:tcPr>
          <w:p w14:paraId="75C2333C" w14:textId="77777777" w:rsidR="00E27F8E" w:rsidRPr="00A67D5C" w:rsidRDefault="00E27F8E" w:rsidP="0066301C">
            <w:pPr>
              <w:rPr>
                <w:rFonts w:ascii="Arial" w:hAnsi="Arial" w:cs="Arial"/>
              </w:rPr>
            </w:pPr>
            <w:r>
              <w:rPr>
                <w:rFonts w:ascii="Arial" w:hAnsi="Arial" w:cs="Arial"/>
              </w:rPr>
              <w:t>1.865</w:t>
            </w:r>
          </w:p>
        </w:tc>
        <w:tc>
          <w:tcPr>
            <w:tcW w:w="1815" w:type="dxa"/>
            <w:gridSpan w:val="3"/>
          </w:tcPr>
          <w:p w14:paraId="363477BD" w14:textId="77777777" w:rsidR="00E27F8E" w:rsidRPr="00A67D5C" w:rsidRDefault="00E27F8E" w:rsidP="0066301C">
            <w:pPr>
              <w:rPr>
                <w:rFonts w:ascii="Arial" w:hAnsi="Arial" w:cs="Arial"/>
              </w:rPr>
            </w:pPr>
            <w:r>
              <w:rPr>
                <w:rFonts w:ascii="Arial" w:hAnsi="Arial" w:cs="Arial"/>
              </w:rPr>
              <w:t>5.847</w:t>
            </w:r>
          </w:p>
        </w:tc>
        <w:tc>
          <w:tcPr>
            <w:tcW w:w="1660" w:type="dxa"/>
          </w:tcPr>
          <w:p w14:paraId="15E259B7" w14:textId="77777777" w:rsidR="00E27F8E" w:rsidRPr="00A67D5C" w:rsidRDefault="00E27F8E" w:rsidP="0066301C">
            <w:pPr>
              <w:rPr>
                <w:rFonts w:ascii="Arial" w:hAnsi="Arial" w:cs="Arial"/>
              </w:rPr>
            </w:pPr>
            <w:r>
              <w:rPr>
                <w:rFonts w:ascii="Arial" w:hAnsi="Arial" w:cs="Arial"/>
              </w:rPr>
              <w:t>0.000</w:t>
            </w:r>
          </w:p>
        </w:tc>
      </w:tr>
      <w:tr w:rsidR="00E27F8E" w14:paraId="502EF80F" w14:textId="77777777" w:rsidTr="004D74AB">
        <w:trPr>
          <w:trHeight w:val="288"/>
        </w:trPr>
        <w:tc>
          <w:tcPr>
            <w:tcW w:w="2969" w:type="dxa"/>
          </w:tcPr>
          <w:p w14:paraId="20E5347E" w14:textId="77777777" w:rsidR="00E27F8E" w:rsidRPr="00A67D5C" w:rsidRDefault="00E27F8E" w:rsidP="0066301C">
            <w:pPr>
              <w:rPr>
                <w:rFonts w:ascii="Arial" w:hAnsi="Arial" w:cs="Arial"/>
              </w:rPr>
            </w:pPr>
            <w:r w:rsidRPr="000268D6">
              <w:rPr>
                <w:rFonts w:ascii="Arial" w:hAnsi="Arial" w:cs="Arial"/>
              </w:rPr>
              <w:t>∆LNTB</w:t>
            </w:r>
          </w:p>
        </w:tc>
        <w:tc>
          <w:tcPr>
            <w:tcW w:w="1420" w:type="dxa"/>
          </w:tcPr>
          <w:p w14:paraId="141B9BCB" w14:textId="77777777" w:rsidR="00E27F8E" w:rsidRPr="00A67D5C" w:rsidRDefault="00E27F8E" w:rsidP="0066301C">
            <w:pPr>
              <w:rPr>
                <w:rFonts w:ascii="Arial" w:hAnsi="Arial" w:cs="Arial"/>
              </w:rPr>
            </w:pPr>
            <w:r>
              <w:rPr>
                <w:rFonts w:ascii="Arial" w:hAnsi="Arial" w:cs="Arial"/>
              </w:rPr>
              <w:t>0.256</w:t>
            </w:r>
          </w:p>
        </w:tc>
        <w:tc>
          <w:tcPr>
            <w:tcW w:w="1629" w:type="dxa"/>
          </w:tcPr>
          <w:p w14:paraId="0234824F" w14:textId="77777777" w:rsidR="00E27F8E" w:rsidRPr="00A67D5C" w:rsidRDefault="00E27F8E" w:rsidP="0066301C">
            <w:pPr>
              <w:rPr>
                <w:rFonts w:ascii="Arial" w:hAnsi="Arial" w:cs="Arial"/>
              </w:rPr>
            </w:pPr>
            <w:r>
              <w:rPr>
                <w:rFonts w:ascii="Arial" w:hAnsi="Arial" w:cs="Arial"/>
              </w:rPr>
              <w:t>0.141</w:t>
            </w:r>
          </w:p>
        </w:tc>
        <w:tc>
          <w:tcPr>
            <w:tcW w:w="1815" w:type="dxa"/>
            <w:gridSpan w:val="3"/>
          </w:tcPr>
          <w:p w14:paraId="3377AFB8" w14:textId="77777777" w:rsidR="00E27F8E" w:rsidRPr="00A67D5C" w:rsidRDefault="00E27F8E" w:rsidP="0066301C">
            <w:pPr>
              <w:rPr>
                <w:rFonts w:ascii="Arial" w:hAnsi="Arial" w:cs="Arial"/>
              </w:rPr>
            </w:pPr>
            <w:r>
              <w:rPr>
                <w:rFonts w:ascii="Arial" w:hAnsi="Arial" w:cs="Arial"/>
              </w:rPr>
              <w:t>1.821</w:t>
            </w:r>
          </w:p>
        </w:tc>
        <w:tc>
          <w:tcPr>
            <w:tcW w:w="1660" w:type="dxa"/>
          </w:tcPr>
          <w:p w14:paraId="119D0755" w14:textId="77777777" w:rsidR="00E27F8E" w:rsidRPr="00A67D5C" w:rsidRDefault="00E27F8E" w:rsidP="0066301C">
            <w:pPr>
              <w:rPr>
                <w:rFonts w:ascii="Arial" w:hAnsi="Arial" w:cs="Arial"/>
              </w:rPr>
            </w:pPr>
            <w:r>
              <w:rPr>
                <w:rFonts w:ascii="Arial" w:hAnsi="Arial" w:cs="Arial"/>
              </w:rPr>
              <w:t>0.080</w:t>
            </w:r>
          </w:p>
        </w:tc>
      </w:tr>
      <w:tr w:rsidR="00E27F8E" w14:paraId="1F5C5D49" w14:textId="77777777" w:rsidTr="004D74AB">
        <w:trPr>
          <w:trHeight w:val="288"/>
        </w:trPr>
        <w:tc>
          <w:tcPr>
            <w:tcW w:w="2969" w:type="dxa"/>
          </w:tcPr>
          <w:p w14:paraId="34EF296C" w14:textId="77777777" w:rsidR="00E27F8E" w:rsidRPr="00A67D5C" w:rsidRDefault="00E27F8E" w:rsidP="0066301C">
            <w:pPr>
              <w:rPr>
                <w:rFonts w:ascii="Arial" w:hAnsi="Arial" w:cs="Arial"/>
              </w:rPr>
            </w:pPr>
            <w:r w:rsidRPr="00A67D5C">
              <w:rPr>
                <w:rFonts w:ascii="Arial" w:hAnsi="Arial" w:cs="Arial"/>
              </w:rPr>
              <w:t>∆LNREER</w:t>
            </w:r>
          </w:p>
        </w:tc>
        <w:tc>
          <w:tcPr>
            <w:tcW w:w="1420" w:type="dxa"/>
          </w:tcPr>
          <w:p w14:paraId="5614E322" w14:textId="77777777" w:rsidR="00E27F8E" w:rsidRPr="00A67D5C" w:rsidRDefault="00E27F8E" w:rsidP="0066301C">
            <w:pPr>
              <w:rPr>
                <w:rFonts w:ascii="Arial" w:hAnsi="Arial" w:cs="Arial"/>
              </w:rPr>
            </w:pPr>
            <w:r>
              <w:rPr>
                <w:rFonts w:ascii="Arial" w:hAnsi="Arial" w:cs="Arial"/>
              </w:rPr>
              <w:t>-0.718</w:t>
            </w:r>
          </w:p>
        </w:tc>
        <w:tc>
          <w:tcPr>
            <w:tcW w:w="1629" w:type="dxa"/>
          </w:tcPr>
          <w:p w14:paraId="7A5A7374" w14:textId="77777777" w:rsidR="00E27F8E" w:rsidRPr="00A67D5C" w:rsidRDefault="00E27F8E" w:rsidP="0066301C">
            <w:pPr>
              <w:rPr>
                <w:rFonts w:ascii="Arial" w:hAnsi="Arial" w:cs="Arial"/>
              </w:rPr>
            </w:pPr>
            <w:r>
              <w:rPr>
                <w:rFonts w:ascii="Arial" w:hAnsi="Arial" w:cs="Arial"/>
              </w:rPr>
              <w:t>0.238</w:t>
            </w:r>
          </w:p>
        </w:tc>
        <w:tc>
          <w:tcPr>
            <w:tcW w:w="1815" w:type="dxa"/>
            <w:gridSpan w:val="3"/>
          </w:tcPr>
          <w:p w14:paraId="7B0C1CC0" w14:textId="77777777" w:rsidR="00E27F8E" w:rsidRPr="00A67D5C" w:rsidRDefault="00E27F8E" w:rsidP="0066301C">
            <w:pPr>
              <w:rPr>
                <w:rFonts w:ascii="Arial" w:hAnsi="Arial" w:cs="Arial"/>
              </w:rPr>
            </w:pPr>
            <w:r>
              <w:rPr>
                <w:rFonts w:ascii="Arial" w:hAnsi="Arial" w:cs="Arial"/>
              </w:rPr>
              <w:t>-3.007</w:t>
            </w:r>
          </w:p>
        </w:tc>
        <w:tc>
          <w:tcPr>
            <w:tcW w:w="1660" w:type="dxa"/>
          </w:tcPr>
          <w:p w14:paraId="1AB7FC72" w14:textId="77777777" w:rsidR="00E27F8E" w:rsidRPr="00A67D5C" w:rsidRDefault="00E27F8E" w:rsidP="0066301C">
            <w:pPr>
              <w:rPr>
                <w:rFonts w:ascii="Arial" w:hAnsi="Arial" w:cs="Arial"/>
              </w:rPr>
            </w:pPr>
            <w:r>
              <w:rPr>
                <w:rFonts w:ascii="Arial" w:hAnsi="Arial" w:cs="Arial"/>
              </w:rPr>
              <w:t>0.006</w:t>
            </w:r>
          </w:p>
        </w:tc>
      </w:tr>
      <w:tr w:rsidR="00E27F8E" w14:paraId="6458A3CF" w14:textId="77777777" w:rsidTr="004D74AB">
        <w:trPr>
          <w:trHeight w:val="288"/>
        </w:trPr>
        <w:tc>
          <w:tcPr>
            <w:tcW w:w="2969" w:type="dxa"/>
          </w:tcPr>
          <w:p w14:paraId="35737204" w14:textId="77777777" w:rsidR="00E27F8E" w:rsidRPr="00A67D5C" w:rsidRDefault="00E27F8E" w:rsidP="0066301C">
            <w:pPr>
              <w:rPr>
                <w:rFonts w:ascii="Arial" w:hAnsi="Arial" w:cs="Arial"/>
              </w:rPr>
            </w:pPr>
            <w:r w:rsidRPr="00A67D5C">
              <w:rPr>
                <w:rFonts w:ascii="Arial" w:hAnsi="Arial" w:cs="Arial"/>
              </w:rPr>
              <w:t>∆L</w:t>
            </w:r>
            <w:r>
              <w:rPr>
                <w:rFonts w:ascii="Arial" w:hAnsi="Arial" w:cs="Arial"/>
              </w:rPr>
              <w:t>NREER</w:t>
            </w:r>
            <w:r w:rsidRPr="00A67D5C">
              <w:rPr>
                <w:rFonts w:ascii="Arial" w:hAnsi="Arial" w:cs="Arial"/>
                <w:vertAlign w:val="subscript"/>
              </w:rPr>
              <w:t xml:space="preserve"> t-1</w:t>
            </w:r>
          </w:p>
        </w:tc>
        <w:tc>
          <w:tcPr>
            <w:tcW w:w="1420" w:type="dxa"/>
          </w:tcPr>
          <w:p w14:paraId="28E9DBA5" w14:textId="77777777" w:rsidR="00E27F8E" w:rsidRPr="00A67D5C" w:rsidRDefault="00E27F8E" w:rsidP="0066301C">
            <w:pPr>
              <w:rPr>
                <w:rFonts w:ascii="Arial" w:hAnsi="Arial" w:cs="Arial"/>
              </w:rPr>
            </w:pPr>
            <w:r>
              <w:rPr>
                <w:rFonts w:ascii="Arial" w:hAnsi="Arial" w:cs="Arial"/>
              </w:rPr>
              <w:t>-0.476</w:t>
            </w:r>
          </w:p>
        </w:tc>
        <w:tc>
          <w:tcPr>
            <w:tcW w:w="1629" w:type="dxa"/>
          </w:tcPr>
          <w:p w14:paraId="2E9C1AC4" w14:textId="77777777" w:rsidR="00E27F8E" w:rsidRPr="00A67D5C" w:rsidRDefault="00E27F8E" w:rsidP="0066301C">
            <w:pPr>
              <w:rPr>
                <w:rFonts w:ascii="Arial" w:hAnsi="Arial" w:cs="Arial"/>
              </w:rPr>
            </w:pPr>
            <w:r>
              <w:rPr>
                <w:rFonts w:ascii="Arial" w:hAnsi="Arial" w:cs="Arial"/>
              </w:rPr>
              <w:t>0.225</w:t>
            </w:r>
          </w:p>
        </w:tc>
        <w:tc>
          <w:tcPr>
            <w:tcW w:w="1815" w:type="dxa"/>
            <w:gridSpan w:val="3"/>
          </w:tcPr>
          <w:p w14:paraId="35BB922B" w14:textId="77777777" w:rsidR="00E27F8E" w:rsidRPr="00A67D5C" w:rsidRDefault="00E27F8E" w:rsidP="0066301C">
            <w:pPr>
              <w:rPr>
                <w:rFonts w:ascii="Arial" w:hAnsi="Arial" w:cs="Arial"/>
              </w:rPr>
            </w:pPr>
            <w:r>
              <w:rPr>
                <w:rFonts w:ascii="Arial" w:hAnsi="Arial" w:cs="Arial"/>
              </w:rPr>
              <w:t>-2.111</w:t>
            </w:r>
          </w:p>
        </w:tc>
        <w:tc>
          <w:tcPr>
            <w:tcW w:w="1660" w:type="dxa"/>
          </w:tcPr>
          <w:p w14:paraId="77E3419A" w14:textId="77777777" w:rsidR="00E27F8E" w:rsidRPr="00A67D5C" w:rsidRDefault="00E27F8E" w:rsidP="0066301C">
            <w:pPr>
              <w:rPr>
                <w:rFonts w:ascii="Arial" w:hAnsi="Arial" w:cs="Arial"/>
              </w:rPr>
            </w:pPr>
            <w:r>
              <w:rPr>
                <w:rFonts w:ascii="Arial" w:hAnsi="Arial" w:cs="Arial"/>
              </w:rPr>
              <w:t>0.044</w:t>
            </w:r>
          </w:p>
        </w:tc>
      </w:tr>
      <w:tr w:rsidR="00E27F8E" w14:paraId="0D21DC73" w14:textId="77777777" w:rsidTr="004D74AB">
        <w:trPr>
          <w:trHeight w:val="288"/>
        </w:trPr>
        <w:tc>
          <w:tcPr>
            <w:tcW w:w="2969" w:type="dxa"/>
          </w:tcPr>
          <w:p w14:paraId="37912793" w14:textId="77777777" w:rsidR="00E27F8E" w:rsidRPr="00A67D5C" w:rsidRDefault="00E27F8E" w:rsidP="0066301C">
            <w:pPr>
              <w:rPr>
                <w:rFonts w:ascii="Arial" w:hAnsi="Arial" w:cs="Arial"/>
              </w:rPr>
            </w:pPr>
            <w:r w:rsidRPr="00A67D5C">
              <w:rPr>
                <w:rFonts w:ascii="Arial" w:hAnsi="Arial" w:cs="Arial"/>
              </w:rPr>
              <w:t>∆LNDI</w:t>
            </w:r>
            <w:r w:rsidRPr="00A67D5C">
              <w:rPr>
                <w:rFonts w:ascii="Arial" w:hAnsi="Arial" w:cs="Arial"/>
                <w:vertAlign w:val="subscript"/>
              </w:rPr>
              <w:t>t-1</w:t>
            </w:r>
          </w:p>
        </w:tc>
        <w:tc>
          <w:tcPr>
            <w:tcW w:w="1420" w:type="dxa"/>
          </w:tcPr>
          <w:p w14:paraId="56A7F10B" w14:textId="77777777" w:rsidR="00E27F8E" w:rsidRPr="00A67D5C" w:rsidRDefault="00E27F8E" w:rsidP="0066301C">
            <w:pPr>
              <w:rPr>
                <w:rFonts w:ascii="Arial" w:hAnsi="Arial" w:cs="Arial"/>
              </w:rPr>
            </w:pPr>
            <w:r>
              <w:rPr>
                <w:rFonts w:ascii="Arial" w:hAnsi="Arial" w:cs="Arial"/>
              </w:rPr>
              <w:t>-0.306</w:t>
            </w:r>
          </w:p>
        </w:tc>
        <w:tc>
          <w:tcPr>
            <w:tcW w:w="1629" w:type="dxa"/>
          </w:tcPr>
          <w:p w14:paraId="03D70725" w14:textId="77777777" w:rsidR="00E27F8E" w:rsidRPr="00A67D5C" w:rsidRDefault="00E27F8E" w:rsidP="0066301C">
            <w:pPr>
              <w:rPr>
                <w:rFonts w:ascii="Arial" w:hAnsi="Arial" w:cs="Arial"/>
              </w:rPr>
            </w:pPr>
            <w:r>
              <w:rPr>
                <w:rFonts w:ascii="Arial" w:hAnsi="Arial" w:cs="Arial"/>
              </w:rPr>
              <w:t>0.141</w:t>
            </w:r>
          </w:p>
        </w:tc>
        <w:tc>
          <w:tcPr>
            <w:tcW w:w="1815" w:type="dxa"/>
            <w:gridSpan w:val="3"/>
          </w:tcPr>
          <w:p w14:paraId="6B39C93E" w14:textId="77777777" w:rsidR="00E27F8E" w:rsidRPr="00A67D5C" w:rsidRDefault="00E27F8E" w:rsidP="0066301C">
            <w:pPr>
              <w:rPr>
                <w:rFonts w:ascii="Arial" w:hAnsi="Arial" w:cs="Arial"/>
              </w:rPr>
            </w:pPr>
            <w:r>
              <w:rPr>
                <w:rFonts w:ascii="Arial" w:hAnsi="Arial" w:cs="Arial"/>
              </w:rPr>
              <w:t>-2.175</w:t>
            </w:r>
          </w:p>
        </w:tc>
        <w:tc>
          <w:tcPr>
            <w:tcW w:w="1660" w:type="dxa"/>
          </w:tcPr>
          <w:p w14:paraId="22EA2F35" w14:textId="77777777" w:rsidR="00E27F8E" w:rsidRPr="00A67D5C" w:rsidRDefault="00E27F8E" w:rsidP="0066301C">
            <w:pPr>
              <w:rPr>
                <w:rFonts w:ascii="Arial" w:hAnsi="Arial" w:cs="Arial"/>
              </w:rPr>
            </w:pPr>
            <w:r>
              <w:rPr>
                <w:rFonts w:ascii="Arial" w:hAnsi="Arial" w:cs="Arial"/>
              </w:rPr>
              <w:t>0.039</w:t>
            </w:r>
          </w:p>
        </w:tc>
      </w:tr>
      <w:tr w:rsidR="00E27F8E" w14:paraId="67479523" w14:textId="77777777" w:rsidTr="004D74AB">
        <w:trPr>
          <w:trHeight w:val="288"/>
        </w:trPr>
        <w:tc>
          <w:tcPr>
            <w:tcW w:w="2969" w:type="dxa"/>
          </w:tcPr>
          <w:p w14:paraId="6712D33C" w14:textId="77777777" w:rsidR="00E27F8E" w:rsidRPr="00A67D5C" w:rsidRDefault="00E27F8E" w:rsidP="0066301C">
            <w:pPr>
              <w:rPr>
                <w:rFonts w:ascii="Arial" w:hAnsi="Arial" w:cs="Arial"/>
              </w:rPr>
            </w:pPr>
            <w:r w:rsidRPr="00A67D5C">
              <w:rPr>
                <w:rFonts w:ascii="Arial" w:hAnsi="Arial" w:cs="Arial"/>
              </w:rPr>
              <w:t>∆LNC</w:t>
            </w:r>
            <w:r>
              <w:rPr>
                <w:rFonts w:ascii="Arial" w:hAnsi="Arial" w:cs="Arial"/>
              </w:rPr>
              <w:t>AMEROON</w:t>
            </w:r>
            <w:r w:rsidRPr="00A67D5C">
              <w:rPr>
                <w:rFonts w:ascii="Arial" w:hAnsi="Arial" w:cs="Arial"/>
              </w:rPr>
              <w:t>FI</w:t>
            </w:r>
          </w:p>
        </w:tc>
        <w:tc>
          <w:tcPr>
            <w:tcW w:w="1420" w:type="dxa"/>
          </w:tcPr>
          <w:p w14:paraId="583E8C1F" w14:textId="77777777" w:rsidR="00E27F8E" w:rsidRPr="00A67D5C" w:rsidRDefault="00E27F8E" w:rsidP="0066301C">
            <w:pPr>
              <w:rPr>
                <w:rFonts w:ascii="Arial" w:hAnsi="Arial" w:cs="Arial"/>
              </w:rPr>
            </w:pPr>
            <w:r>
              <w:rPr>
                <w:rFonts w:ascii="Arial" w:hAnsi="Arial" w:cs="Arial"/>
              </w:rPr>
              <w:t>0.173</w:t>
            </w:r>
          </w:p>
        </w:tc>
        <w:tc>
          <w:tcPr>
            <w:tcW w:w="1629" w:type="dxa"/>
          </w:tcPr>
          <w:p w14:paraId="72926D9B" w14:textId="77777777" w:rsidR="00E27F8E" w:rsidRPr="00A67D5C" w:rsidRDefault="00E27F8E" w:rsidP="0066301C">
            <w:pPr>
              <w:rPr>
                <w:rFonts w:ascii="Arial" w:hAnsi="Arial" w:cs="Arial"/>
              </w:rPr>
            </w:pPr>
            <w:r>
              <w:rPr>
                <w:rFonts w:ascii="Arial" w:hAnsi="Arial" w:cs="Arial"/>
              </w:rPr>
              <w:t>0.186</w:t>
            </w:r>
          </w:p>
        </w:tc>
        <w:tc>
          <w:tcPr>
            <w:tcW w:w="1815" w:type="dxa"/>
            <w:gridSpan w:val="3"/>
          </w:tcPr>
          <w:p w14:paraId="7683C62C" w14:textId="77777777" w:rsidR="00E27F8E" w:rsidRPr="00A67D5C" w:rsidRDefault="00E27F8E" w:rsidP="0066301C">
            <w:pPr>
              <w:rPr>
                <w:rFonts w:ascii="Arial" w:hAnsi="Arial" w:cs="Arial"/>
              </w:rPr>
            </w:pPr>
            <w:r>
              <w:rPr>
                <w:rFonts w:ascii="Arial" w:hAnsi="Arial" w:cs="Arial"/>
              </w:rPr>
              <w:t>0.933</w:t>
            </w:r>
          </w:p>
        </w:tc>
        <w:tc>
          <w:tcPr>
            <w:tcW w:w="1660" w:type="dxa"/>
          </w:tcPr>
          <w:p w14:paraId="3856715B" w14:textId="77777777" w:rsidR="00E27F8E" w:rsidRPr="00A67D5C" w:rsidRDefault="00E27F8E" w:rsidP="0066301C">
            <w:pPr>
              <w:rPr>
                <w:rFonts w:ascii="Arial" w:hAnsi="Arial" w:cs="Arial"/>
              </w:rPr>
            </w:pPr>
            <w:r>
              <w:rPr>
                <w:rFonts w:ascii="Arial" w:hAnsi="Arial" w:cs="Arial"/>
              </w:rPr>
              <w:t>0.359</w:t>
            </w:r>
          </w:p>
        </w:tc>
      </w:tr>
      <w:tr w:rsidR="00E27F8E" w14:paraId="6C80F6DF" w14:textId="77777777" w:rsidTr="004D74AB">
        <w:trPr>
          <w:trHeight w:val="288"/>
        </w:trPr>
        <w:tc>
          <w:tcPr>
            <w:tcW w:w="2969" w:type="dxa"/>
          </w:tcPr>
          <w:p w14:paraId="40313AD4" w14:textId="77777777" w:rsidR="00E27F8E" w:rsidRPr="008B3075" w:rsidRDefault="00E27F8E" w:rsidP="0066301C">
            <w:pPr>
              <w:rPr>
                <w:rFonts w:ascii="Arial" w:hAnsi="Arial" w:cs="Arial"/>
              </w:rPr>
            </w:pPr>
            <w:r w:rsidRPr="008B3075">
              <w:rPr>
                <w:rFonts w:ascii="Arial" w:hAnsi="Arial" w:cs="Arial"/>
              </w:rPr>
              <w:t>ECM</w:t>
            </w:r>
            <w:r w:rsidRPr="008B3075">
              <w:rPr>
                <w:rFonts w:ascii="Arial" w:hAnsi="Arial" w:cs="Arial"/>
                <w:vertAlign w:val="subscript"/>
              </w:rPr>
              <w:t>t-1</w:t>
            </w:r>
          </w:p>
        </w:tc>
        <w:tc>
          <w:tcPr>
            <w:tcW w:w="1420" w:type="dxa"/>
          </w:tcPr>
          <w:p w14:paraId="3BAAAC0F" w14:textId="77777777" w:rsidR="00E27F8E" w:rsidRPr="008B3075" w:rsidRDefault="00E27F8E" w:rsidP="0066301C">
            <w:pPr>
              <w:rPr>
                <w:rFonts w:ascii="Arial" w:hAnsi="Arial" w:cs="Arial"/>
              </w:rPr>
            </w:pPr>
            <w:r w:rsidRPr="008B3075">
              <w:rPr>
                <w:rFonts w:ascii="Arial" w:hAnsi="Arial" w:cs="Arial"/>
              </w:rPr>
              <w:t>-0.901</w:t>
            </w:r>
          </w:p>
        </w:tc>
        <w:tc>
          <w:tcPr>
            <w:tcW w:w="1629" w:type="dxa"/>
          </w:tcPr>
          <w:p w14:paraId="1D979B82" w14:textId="77777777" w:rsidR="00E27F8E" w:rsidRPr="008B3075" w:rsidRDefault="00E27F8E" w:rsidP="0066301C">
            <w:pPr>
              <w:rPr>
                <w:rFonts w:ascii="Arial" w:hAnsi="Arial" w:cs="Arial"/>
              </w:rPr>
            </w:pPr>
            <w:r w:rsidRPr="008B3075">
              <w:rPr>
                <w:rFonts w:ascii="Arial" w:hAnsi="Arial" w:cs="Arial"/>
              </w:rPr>
              <w:t>0.154</w:t>
            </w:r>
          </w:p>
        </w:tc>
        <w:tc>
          <w:tcPr>
            <w:tcW w:w="1815" w:type="dxa"/>
            <w:gridSpan w:val="3"/>
          </w:tcPr>
          <w:p w14:paraId="5C359ED2" w14:textId="77777777" w:rsidR="00E27F8E" w:rsidRPr="008B3075" w:rsidRDefault="00E27F8E" w:rsidP="0066301C">
            <w:pPr>
              <w:rPr>
                <w:rFonts w:ascii="Arial" w:hAnsi="Arial" w:cs="Arial"/>
              </w:rPr>
            </w:pPr>
            <w:r w:rsidRPr="008B3075">
              <w:rPr>
                <w:rFonts w:ascii="Arial" w:hAnsi="Arial" w:cs="Arial"/>
              </w:rPr>
              <w:t>-5.866</w:t>
            </w:r>
          </w:p>
        </w:tc>
        <w:tc>
          <w:tcPr>
            <w:tcW w:w="1660" w:type="dxa"/>
          </w:tcPr>
          <w:p w14:paraId="101ABAE7" w14:textId="77777777" w:rsidR="00E27F8E" w:rsidRPr="008B3075" w:rsidRDefault="00E27F8E" w:rsidP="0066301C">
            <w:pPr>
              <w:rPr>
                <w:rFonts w:ascii="Arial" w:hAnsi="Arial" w:cs="Arial"/>
              </w:rPr>
            </w:pPr>
            <w:r w:rsidRPr="008B3075">
              <w:rPr>
                <w:rFonts w:ascii="Arial" w:hAnsi="Arial" w:cs="Arial"/>
              </w:rPr>
              <w:t>0.000</w:t>
            </w:r>
          </w:p>
        </w:tc>
      </w:tr>
      <w:tr w:rsidR="00E27F8E" w14:paraId="4FC733E5" w14:textId="77777777" w:rsidTr="004D74AB">
        <w:trPr>
          <w:trHeight w:val="288"/>
        </w:trPr>
        <w:tc>
          <w:tcPr>
            <w:tcW w:w="9493" w:type="dxa"/>
            <w:gridSpan w:val="7"/>
          </w:tcPr>
          <w:p w14:paraId="2A8BC9BD" w14:textId="77777777" w:rsidR="00E27F8E" w:rsidRPr="00A67D5C" w:rsidRDefault="00E27F8E" w:rsidP="0066301C">
            <w:pPr>
              <w:jc w:val="center"/>
              <w:rPr>
                <w:rFonts w:ascii="Arial" w:hAnsi="Arial" w:cs="Arial"/>
                <w:b/>
                <w:bCs/>
              </w:rPr>
            </w:pPr>
            <w:r w:rsidRPr="00A67D5C">
              <w:rPr>
                <w:rFonts w:ascii="Arial" w:hAnsi="Arial" w:cs="Arial"/>
                <w:b/>
                <w:bCs/>
              </w:rPr>
              <w:t>Partner</w:t>
            </w:r>
            <w:r>
              <w:rPr>
                <w:rFonts w:ascii="Arial" w:hAnsi="Arial" w:cs="Arial"/>
                <w:b/>
                <w:bCs/>
              </w:rPr>
              <w:t xml:space="preserve"> China</w:t>
            </w:r>
          </w:p>
        </w:tc>
      </w:tr>
      <w:tr w:rsidR="00E27F8E" w14:paraId="6896E2B0" w14:textId="77777777" w:rsidTr="004D74AB">
        <w:trPr>
          <w:trHeight w:val="288"/>
        </w:trPr>
        <w:tc>
          <w:tcPr>
            <w:tcW w:w="2969" w:type="dxa"/>
          </w:tcPr>
          <w:p w14:paraId="281EC909" w14:textId="77777777" w:rsidR="00E27F8E" w:rsidRPr="00A67D5C" w:rsidRDefault="00E27F8E" w:rsidP="0066301C">
            <w:pPr>
              <w:jc w:val="center"/>
              <w:rPr>
                <w:rFonts w:ascii="Arial" w:hAnsi="Arial" w:cs="Arial"/>
                <w:b/>
                <w:bCs/>
              </w:rPr>
            </w:pPr>
            <w:r w:rsidRPr="00A67D5C">
              <w:rPr>
                <w:rFonts w:ascii="Arial" w:hAnsi="Arial" w:cs="Arial"/>
                <w:b/>
                <w:bCs/>
              </w:rPr>
              <w:t>Variable</w:t>
            </w:r>
          </w:p>
        </w:tc>
        <w:tc>
          <w:tcPr>
            <w:tcW w:w="1420" w:type="dxa"/>
          </w:tcPr>
          <w:p w14:paraId="401326E0" w14:textId="77777777" w:rsidR="00E27F8E" w:rsidRPr="00A67D5C" w:rsidRDefault="00E27F8E" w:rsidP="0066301C">
            <w:pPr>
              <w:jc w:val="center"/>
              <w:rPr>
                <w:rFonts w:ascii="Arial" w:hAnsi="Arial" w:cs="Arial"/>
                <w:b/>
                <w:bCs/>
              </w:rPr>
            </w:pPr>
            <w:r w:rsidRPr="00A67D5C">
              <w:rPr>
                <w:rFonts w:ascii="Arial" w:hAnsi="Arial" w:cs="Arial"/>
                <w:b/>
                <w:bCs/>
              </w:rPr>
              <w:t>Coefficient</w:t>
            </w:r>
          </w:p>
        </w:tc>
        <w:tc>
          <w:tcPr>
            <w:tcW w:w="1702" w:type="dxa"/>
            <w:gridSpan w:val="2"/>
          </w:tcPr>
          <w:p w14:paraId="39C73997" w14:textId="77777777" w:rsidR="00E27F8E" w:rsidRPr="00A67D5C" w:rsidRDefault="00E27F8E" w:rsidP="0066301C">
            <w:pPr>
              <w:jc w:val="center"/>
              <w:rPr>
                <w:rFonts w:ascii="Arial" w:hAnsi="Arial" w:cs="Arial"/>
                <w:b/>
                <w:bCs/>
              </w:rPr>
            </w:pPr>
            <w:r w:rsidRPr="00A67D5C">
              <w:rPr>
                <w:rFonts w:ascii="Arial" w:hAnsi="Arial" w:cs="Arial"/>
                <w:b/>
                <w:bCs/>
              </w:rPr>
              <w:t>Std. Error</w:t>
            </w:r>
          </w:p>
        </w:tc>
        <w:tc>
          <w:tcPr>
            <w:tcW w:w="1701" w:type="dxa"/>
          </w:tcPr>
          <w:p w14:paraId="2AF92402" w14:textId="77777777" w:rsidR="00E27F8E" w:rsidRPr="00A67D5C" w:rsidRDefault="00E27F8E" w:rsidP="0066301C">
            <w:pPr>
              <w:jc w:val="center"/>
              <w:rPr>
                <w:rFonts w:ascii="Arial" w:hAnsi="Arial" w:cs="Arial"/>
                <w:b/>
                <w:bCs/>
              </w:rPr>
            </w:pPr>
            <w:r w:rsidRPr="00A67D5C">
              <w:rPr>
                <w:rFonts w:ascii="Arial" w:hAnsi="Arial" w:cs="Arial"/>
                <w:b/>
                <w:bCs/>
              </w:rPr>
              <w:t>t-statistic</w:t>
            </w:r>
          </w:p>
        </w:tc>
        <w:tc>
          <w:tcPr>
            <w:tcW w:w="1701" w:type="dxa"/>
            <w:gridSpan w:val="2"/>
          </w:tcPr>
          <w:p w14:paraId="32E72583" w14:textId="77777777" w:rsidR="00E27F8E" w:rsidRPr="00A67D5C" w:rsidRDefault="00E27F8E" w:rsidP="0066301C">
            <w:pPr>
              <w:jc w:val="center"/>
              <w:rPr>
                <w:rFonts w:ascii="Arial" w:hAnsi="Arial" w:cs="Arial"/>
                <w:b/>
                <w:bCs/>
              </w:rPr>
            </w:pPr>
            <w:r w:rsidRPr="00A67D5C">
              <w:rPr>
                <w:rFonts w:ascii="Arial" w:hAnsi="Arial" w:cs="Arial"/>
                <w:b/>
                <w:bCs/>
              </w:rPr>
              <w:t>Prob.</w:t>
            </w:r>
          </w:p>
        </w:tc>
      </w:tr>
      <w:tr w:rsidR="00E27F8E" w14:paraId="70D8A526" w14:textId="77777777" w:rsidTr="004D74AB">
        <w:trPr>
          <w:trHeight w:val="288"/>
        </w:trPr>
        <w:tc>
          <w:tcPr>
            <w:tcW w:w="2969" w:type="dxa"/>
          </w:tcPr>
          <w:p w14:paraId="7F835A71" w14:textId="77777777" w:rsidR="00E27F8E" w:rsidRPr="00A67D5C" w:rsidRDefault="00E27F8E" w:rsidP="0066301C">
            <w:pPr>
              <w:rPr>
                <w:rFonts w:ascii="Arial" w:hAnsi="Arial" w:cs="Arial"/>
                <w:sz w:val="20"/>
                <w:szCs w:val="20"/>
                <w:vertAlign w:val="subscript"/>
              </w:rPr>
            </w:pPr>
            <w:r w:rsidRPr="00A67D5C">
              <w:rPr>
                <w:rFonts w:ascii="Arial" w:hAnsi="Arial" w:cs="Arial"/>
                <w:sz w:val="20"/>
                <w:szCs w:val="20"/>
              </w:rPr>
              <w:t xml:space="preserve">Dependent variable </w:t>
            </w:r>
            <w:r w:rsidRPr="00A67D5C">
              <w:rPr>
                <w:rFonts w:ascii="Arial" w:hAnsi="Arial" w:cs="Arial"/>
              </w:rPr>
              <w:t>∆LNTB</w:t>
            </w:r>
            <w:r w:rsidRPr="00A67D5C">
              <w:rPr>
                <w:rFonts w:ascii="Arial" w:hAnsi="Arial" w:cs="Arial"/>
                <w:vertAlign w:val="subscript"/>
              </w:rPr>
              <w:t>t</w:t>
            </w:r>
          </w:p>
        </w:tc>
        <w:tc>
          <w:tcPr>
            <w:tcW w:w="1420" w:type="dxa"/>
          </w:tcPr>
          <w:p w14:paraId="6D319F74" w14:textId="77777777" w:rsidR="00E27F8E" w:rsidRPr="00A67D5C" w:rsidRDefault="00E27F8E" w:rsidP="0066301C">
            <w:pPr>
              <w:rPr>
                <w:rFonts w:ascii="Arial" w:hAnsi="Arial" w:cs="Arial"/>
              </w:rPr>
            </w:pPr>
          </w:p>
        </w:tc>
        <w:tc>
          <w:tcPr>
            <w:tcW w:w="1702" w:type="dxa"/>
            <w:gridSpan w:val="2"/>
          </w:tcPr>
          <w:p w14:paraId="23BF0F77" w14:textId="77777777" w:rsidR="00E27F8E" w:rsidRPr="00A67D5C" w:rsidRDefault="00E27F8E" w:rsidP="0066301C">
            <w:pPr>
              <w:rPr>
                <w:rFonts w:ascii="Arial" w:hAnsi="Arial" w:cs="Arial"/>
              </w:rPr>
            </w:pPr>
          </w:p>
        </w:tc>
        <w:tc>
          <w:tcPr>
            <w:tcW w:w="1701" w:type="dxa"/>
          </w:tcPr>
          <w:p w14:paraId="73C1187A" w14:textId="77777777" w:rsidR="00E27F8E" w:rsidRPr="00A67D5C" w:rsidRDefault="00E27F8E" w:rsidP="0066301C">
            <w:pPr>
              <w:rPr>
                <w:rFonts w:ascii="Arial" w:hAnsi="Arial" w:cs="Arial"/>
              </w:rPr>
            </w:pPr>
          </w:p>
        </w:tc>
        <w:tc>
          <w:tcPr>
            <w:tcW w:w="1701" w:type="dxa"/>
            <w:gridSpan w:val="2"/>
          </w:tcPr>
          <w:p w14:paraId="51D4EEC4" w14:textId="77777777" w:rsidR="00E27F8E" w:rsidRPr="00A67D5C" w:rsidRDefault="00E27F8E" w:rsidP="0066301C">
            <w:pPr>
              <w:rPr>
                <w:rFonts w:ascii="Arial" w:hAnsi="Arial" w:cs="Arial"/>
              </w:rPr>
            </w:pPr>
          </w:p>
        </w:tc>
      </w:tr>
      <w:tr w:rsidR="00E27F8E" w14:paraId="0A7AAAAC" w14:textId="77777777" w:rsidTr="004D74AB">
        <w:trPr>
          <w:trHeight w:val="301"/>
        </w:trPr>
        <w:tc>
          <w:tcPr>
            <w:tcW w:w="2969" w:type="dxa"/>
          </w:tcPr>
          <w:p w14:paraId="42449BBD" w14:textId="77777777" w:rsidR="00E27F8E" w:rsidRPr="00A67D5C" w:rsidRDefault="00E27F8E" w:rsidP="0066301C">
            <w:pPr>
              <w:rPr>
                <w:rFonts w:ascii="Arial" w:hAnsi="Arial" w:cs="Arial"/>
                <w:b/>
                <w:bCs/>
              </w:rPr>
            </w:pPr>
            <w:r w:rsidRPr="00A67D5C">
              <w:rPr>
                <w:rFonts w:ascii="Arial" w:hAnsi="Arial" w:cs="Arial"/>
                <w:b/>
                <w:bCs/>
              </w:rPr>
              <w:t>Long-run elasticities</w:t>
            </w:r>
          </w:p>
        </w:tc>
        <w:tc>
          <w:tcPr>
            <w:tcW w:w="1420" w:type="dxa"/>
          </w:tcPr>
          <w:p w14:paraId="5D178217" w14:textId="77777777" w:rsidR="00E27F8E" w:rsidRPr="00A67D5C" w:rsidRDefault="00E27F8E" w:rsidP="0066301C">
            <w:pPr>
              <w:rPr>
                <w:rFonts w:ascii="Arial" w:hAnsi="Arial" w:cs="Arial"/>
              </w:rPr>
            </w:pPr>
          </w:p>
        </w:tc>
        <w:tc>
          <w:tcPr>
            <w:tcW w:w="1702" w:type="dxa"/>
            <w:gridSpan w:val="2"/>
          </w:tcPr>
          <w:p w14:paraId="69E6A3CA" w14:textId="77777777" w:rsidR="00E27F8E" w:rsidRPr="00A67D5C" w:rsidRDefault="00E27F8E" w:rsidP="0066301C">
            <w:pPr>
              <w:rPr>
                <w:rFonts w:ascii="Arial" w:hAnsi="Arial" w:cs="Arial"/>
              </w:rPr>
            </w:pPr>
          </w:p>
        </w:tc>
        <w:tc>
          <w:tcPr>
            <w:tcW w:w="1701" w:type="dxa"/>
          </w:tcPr>
          <w:p w14:paraId="50266AC0" w14:textId="77777777" w:rsidR="00E27F8E" w:rsidRPr="00A67D5C" w:rsidRDefault="00E27F8E" w:rsidP="0066301C">
            <w:pPr>
              <w:rPr>
                <w:rFonts w:ascii="Arial" w:hAnsi="Arial" w:cs="Arial"/>
              </w:rPr>
            </w:pPr>
          </w:p>
        </w:tc>
        <w:tc>
          <w:tcPr>
            <w:tcW w:w="1701" w:type="dxa"/>
            <w:gridSpan w:val="2"/>
          </w:tcPr>
          <w:p w14:paraId="6CDA36F1" w14:textId="77777777" w:rsidR="00E27F8E" w:rsidRPr="00A67D5C" w:rsidRDefault="00E27F8E" w:rsidP="0066301C">
            <w:pPr>
              <w:rPr>
                <w:rFonts w:ascii="Arial" w:hAnsi="Arial" w:cs="Arial"/>
              </w:rPr>
            </w:pPr>
          </w:p>
        </w:tc>
      </w:tr>
      <w:tr w:rsidR="00E27F8E" w14:paraId="6B8C4DC8" w14:textId="77777777" w:rsidTr="004D74AB">
        <w:trPr>
          <w:trHeight w:val="288"/>
        </w:trPr>
        <w:tc>
          <w:tcPr>
            <w:tcW w:w="2969" w:type="dxa"/>
          </w:tcPr>
          <w:p w14:paraId="1EF24A59" w14:textId="77777777" w:rsidR="00E27F8E" w:rsidRPr="00A67D5C" w:rsidRDefault="00E27F8E" w:rsidP="0066301C">
            <w:pPr>
              <w:rPr>
                <w:rFonts w:ascii="Arial" w:hAnsi="Arial" w:cs="Arial"/>
              </w:rPr>
            </w:pPr>
            <w:r w:rsidRPr="00A67D5C">
              <w:rPr>
                <w:rFonts w:ascii="Arial" w:hAnsi="Arial" w:cs="Arial"/>
              </w:rPr>
              <w:t>C</w:t>
            </w:r>
          </w:p>
        </w:tc>
        <w:tc>
          <w:tcPr>
            <w:tcW w:w="1420" w:type="dxa"/>
          </w:tcPr>
          <w:p w14:paraId="501B0535" w14:textId="77777777" w:rsidR="00E27F8E" w:rsidRPr="00A67D5C" w:rsidRDefault="00E27F8E" w:rsidP="0066301C">
            <w:pPr>
              <w:rPr>
                <w:rFonts w:ascii="Arial" w:hAnsi="Arial" w:cs="Arial"/>
              </w:rPr>
            </w:pPr>
          </w:p>
        </w:tc>
        <w:tc>
          <w:tcPr>
            <w:tcW w:w="1702" w:type="dxa"/>
            <w:gridSpan w:val="2"/>
          </w:tcPr>
          <w:p w14:paraId="37A3AA08" w14:textId="77777777" w:rsidR="00E27F8E" w:rsidRPr="00A67D5C" w:rsidRDefault="00E27F8E" w:rsidP="0066301C">
            <w:pPr>
              <w:rPr>
                <w:rFonts w:ascii="Arial" w:hAnsi="Arial" w:cs="Arial"/>
              </w:rPr>
            </w:pPr>
          </w:p>
        </w:tc>
        <w:tc>
          <w:tcPr>
            <w:tcW w:w="1701" w:type="dxa"/>
          </w:tcPr>
          <w:p w14:paraId="1CBEBE57" w14:textId="77777777" w:rsidR="00E27F8E" w:rsidRPr="00A67D5C" w:rsidRDefault="00E27F8E" w:rsidP="0066301C">
            <w:pPr>
              <w:rPr>
                <w:rFonts w:ascii="Arial" w:hAnsi="Arial" w:cs="Arial"/>
              </w:rPr>
            </w:pPr>
          </w:p>
        </w:tc>
        <w:tc>
          <w:tcPr>
            <w:tcW w:w="1701" w:type="dxa"/>
            <w:gridSpan w:val="2"/>
          </w:tcPr>
          <w:p w14:paraId="5C98C361" w14:textId="77777777" w:rsidR="00E27F8E" w:rsidRPr="00A67D5C" w:rsidRDefault="00E27F8E" w:rsidP="0066301C">
            <w:pPr>
              <w:rPr>
                <w:rFonts w:ascii="Arial" w:hAnsi="Arial" w:cs="Arial"/>
              </w:rPr>
            </w:pPr>
          </w:p>
        </w:tc>
      </w:tr>
      <w:tr w:rsidR="00E27F8E" w14:paraId="19207D77" w14:textId="77777777" w:rsidTr="004D74AB">
        <w:trPr>
          <w:trHeight w:val="288"/>
        </w:trPr>
        <w:tc>
          <w:tcPr>
            <w:tcW w:w="2969" w:type="dxa"/>
          </w:tcPr>
          <w:p w14:paraId="0090E0EE" w14:textId="77777777" w:rsidR="00E27F8E" w:rsidRPr="00A67D5C" w:rsidRDefault="00E27F8E" w:rsidP="0066301C">
            <w:pPr>
              <w:rPr>
                <w:rFonts w:ascii="Arial" w:hAnsi="Arial" w:cs="Arial"/>
              </w:rPr>
            </w:pPr>
            <w:r w:rsidRPr="00A67D5C">
              <w:rPr>
                <w:rFonts w:ascii="Arial" w:hAnsi="Arial" w:cs="Arial"/>
              </w:rPr>
              <w:t>LNREER</w:t>
            </w:r>
          </w:p>
        </w:tc>
        <w:tc>
          <w:tcPr>
            <w:tcW w:w="1420" w:type="dxa"/>
          </w:tcPr>
          <w:p w14:paraId="5111B3E5" w14:textId="77777777" w:rsidR="00E27F8E" w:rsidRPr="00A67D5C" w:rsidRDefault="00E27F8E" w:rsidP="0066301C">
            <w:pPr>
              <w:rPr>
                <w:rFonts w:ascii="Arial" w:hAnsi="Arial" w:cs="Arial"/>
              </w:rPr>
            </w:pPr>
            <w:r>
              <w:rPr>
                <w:rFonts w:ascii="Arial" w:hAnsi="Arial" w:cs="Arial"/>
              </w:rPr>
              <w:t>-0.739</w:t>
            </w:r>
          </w:p>
        </w:tc>
        <w:tc>
          <w:tcPr>
            <w:tcW w:w="1702" w:type="dxa"/>
            <w:gridSpan w:val="2"/>
          </w:tcPr>
          <w:p w14:paraId="2F2F4331" w14:textId="77777777" w:rsidR="00E27F8E" w:rsidRPr="00A67D5C" w:rsidRDefault="00E27F8E" w:rsidP="0066301C">
            <w:pPr>
              <w:rPr>
                <w:rFonts w:ascii="Arial" w:hAnsi="Arial" w:cs="Arial"/>
              </w:rPr>
            </w:pPr>
            <w:r>
              <w:rPr>
                <w:rFonts w:ascii="Arial" w:hAnsi="Arial" w:cs="Arial"/>
              </w:rPr>
              <w:t>0.068</w:t>
            </w:r>
          </w:p>
        </w:tc>
        <w:tc>
          <w:tcPr>
            <w:tcW w:w="1701" w:type="dxa"/>
          </w:tcPr>
          <w:p w14:paraId="43317C6D" w14:textId="77777777" w:rsidR="00E27F8E" w:rsidRPr="00A67D5C" w:rsidRDefault="00E27F8E" w:rsidP="0066301C">
            <w:pPr>
              <w:rPr>
                <w:rFonts w:ascii="Arial" w:hAnsi="Arial" w:cs="Arial"/>
              </w:rPr>
            </w:pPr>
            <w:r>
              <w:rPr>
                <w:rFonts w:ascii="Arial" w:hAnsi="Arial" w:cs="Arial"/>
              </w:rPr>
              <w:t>-10.915</w:t>
            </w:r>
          </w:p>
        </w:tc>
        <w:tc>
          <w:tcPr>
            <w:tcW w:w="1701" w:type="dxa"/>
            <w:gridSpan w:val="2"/>
          </w:tcPr>
          <w:p w14:paraId="5C7F4254" w14:textId="77777777" w:rsidR="00E27F8E" w:rsidRPr="00A67D5C" w:rsidRDefault="00E27F8E" w:rsidP="0066301C">
            <w:pPr>
              <w:rPr>
                <w:rFonts w:ascii="Arial" w:hAnsi="Arial" w:cs="Arial"/>
              </w:rPr>
            </w:pPr>
            <w:r>
              <w:rPr>
                <w:rFonts w:ascii="Arial" w:hAnsi="Arial" w:cs="Arial"/>
              </w:rPr>
              <w:t>0.000</w:t>
            </w:r>
          </w:p>
        </w:tc>
      </w:tr>
      <w:tr w:rsidR="00E27F8E" w14:paraId="43A02C69" w14:textId="77777777" w:rsidTr="004D74AB">
        <w:trPr>
          <w:trHeight w:val="288"/>
        </w:trPr>
        <w:tc>
          <w:tcPr>
            <w:tcW w:w="2969" w:type="dxa"/>
          </w:tcPr>
          <w:p w14:paraId="0E79F5C1" w14:textId="77777777" w:rsidR="00E27F8E" w:rsidRPr="00A67D5C" w:rsidRDefault="00E27F8E" w:rsidP="0066301C">
            <w:pPr>
              <w:rPr>
                <w:rFonts w:ascii="Arial" w:hAnsi="Arial" w:cs="Arial"/>
              </w:rPr>
            </w:pPr>
            <w:r w:rsidRPr="00A67D5C">
              <w:rPr>
                <w:rFonts w:ascii="Arial" w:hAnsi="Arial" w:cs="Arial"/>
              </w:rPr>
              <w:lastRenderedPageBreak/>
              <w:t>LNDI</w:t>
            </w:r>
          </w:p>
        </w:tc>
        <w:tc>
          <w:tcPr>
            <w:tcW w:w="1420" w:type="dxa"/>
          </w:tcPr>
          <w:p w14:paraId="77D5B770" w14:textId="77777777" w:rsidR="00E27F8E" w:rsidRPr="00A67D5C" w:rsidRDefault="00E27F8E" w:rsidP="0066301C">
            <w:pPr>
              <w:rPr>
                <w:rFonts w:ascii="Arial" w:hAnsi="Arial" w:cs="Arial"/>
              </w:rPr>
            </w:pPr>
            <w:r>
              <w:rPr>
                <w:rFonts w:ascii="Arial" w:hAnsi="Arial" w:cs="Arial"/>
              </w:rPr>
              <w:t>-0.120</w:t>
            </w:r>
          </w:p>
        </w:tc>
        <w:tc>
          <w:tcPr>
            <w:tcW w:w="1702" w:type="dxa"/>
            <w:gridSpan w:val="2"/>
          </w:tcPr>
          <w:p w14:paraId="5CEB4B15" w14:textId="77777777" w:rsidR="00E27F8E" w:rsidRPr="00A67D5C" w:rsidRDefault="00E27F8E" w:rsidP="0066301C">
            <w:pPr>
              <w:rPr>
                <w:rFonts w:ascii="Arial" w:hAnsi="Arial" w:cs="Arial"/>
              </w:rPr>
            </w:pPr>
            <w:r>
              <w:rPr>
                <w:rFonts w:ascii="Arial" w:hAnsi="Arial" w:cs="Arial"/>
              </w:rPr>
              <w:t>0.071</w:t>
            </w:r>
          </w:p>
        </w:tc>
        <w:tc>
          <w:tcPr>
            <w:tcW w:w="1701" w:type="dxa"/>
          </w:tcPr>
          <w:p w14:paraId="49AC4729" w14:textId="77777777" w:rsidR="00E27F8E" w:rsidRPr="00A67D5C" w:rsidRDefault="00E27F8E" w:rsidP="0066301C">
            <w:pPr>
              <w:rPr>
                <w:rFonts w:ascii="Arial" w:hAnsi="Arial" w:cs="Arial"/>
              </w:rPr>
            </w:pPr>
            <w:r>
              <w:rPr>
                <w:rFonts w:ascii="Arial" w:hAnsi="Arial" w:cs="Arial"/>
              </w:rPr>
              <w:t>-1.682</w:t>
            </w:r>
          </w:p>
        </w:tc>
        <w:tc>
          <w:tcPr>
            <w:tcW w:w="1701" w:type="dxa"/>
            <w:gridSpan w:val="2"/>
          </w:tcPr>
          <w:p w14:paraId="7132C443" w14:textId="77777777" w:rsidR="00E27F8E" w:rsidRPr="00A67D5C" w:rsidRDefault="00E27F8E" w:rsidP="0066301C">
            <w:pPr>
              <w:rPr>
                <w:rFonts w:ascii="Arial" w:hAnsi="Arial" w:cs="Arial"/>
              </w:rPr>
            </w:pPr>
            <w:r>
              <w:rPr>
                <w:rFonts w:ascii="Arial" w:hAnsi="Arial" w:cs="Arial"/>
              </w:rPr>
              <w:t>0.104</w:t>
            </w:r>
          </w:p>
        </w:tc>
      </w:tr>
      <w:tr w:rsidR="00E27F8E" w14:paraId="2A49B159" w14:textId="77777777" w:rsidTr="004D74AB">
        <w:trPr>
          <w:trHeight w:val="288"/>
        </w:trPr>
        <w:tc>
          <w:tcPr>
            <w:tcW w:w="2969" w:type="dxa"/>
          </w:tcPr>
          <w:p w14:paraId="72D48B89" w14:textId="77777777" w:rsidR="00E27F8E" w:rsidRPr="00A67D5C" w:rsidRDefault="00E27F8E" w:rsidP="0066301C">
            <w:pPr>
              <w:rPr>
                <w:rFonts w:ascii="Arial" w:hAnsi="Arial" w:cs="Arial"/>
              </w:rPr>
            </w:pPr>
            <w:r w:rsidRPr="00A67D5C">
              <w:rPr>
                <w:rFonts w:ascii="Arial" w:hAnsi="Arial" w:cs="Arial"/>
              </w:rPr>
              <w:t>LN</w:t>
            </w:r>
            <w:r>
              <w:rPr>
                <w:rFonts w:ascii="Arial" w:hAnsi="Arial" w:cs="Arial"/>
              </w:rPr>
              <w:t>CHINA</w:t>
            </w:r>
            <w:r w:rsidRPr="00A67D5C">
              <w:rPr>
                <w:rFonts w:ascii="Arial" w:hAnsi="Arial" w:cs="Arial"/>
              </w:rPr>
              <w:t>FI</w:t>
            </w:r>
          </w:p>
        </w:tc>
        <w:tc>
          <w:tcPr>
            <w:tcW w:w="1420" w:type="dxa"/>
          </w:tcPr>
          <w:p w14:paraId="5EFA0D57" w14:textId="77777777" w:rsidR="00E27F8E" w:rsidRPr="00A67D5C" w:rsidRDefault="00E27F8E" w:rsidP="0066301C">
            <w:pPr>
              <w:rPr>
                <w:rFonts w:ascii="Arial" w:hAnsi="Arial" w:cs="Arial"/>
              </w:rPr>
            </w:pPr>
            <w:r>
              <w:rPr>
                <w:rFonts w:ascii="Arial" w:hAnsi="Arial" w:cs="Arial"/>
              </w:rPr>
              <w:t>-0.175</w:t>
            </w:r>
          </w:p>
        </w:tc>
        <w:tc>
          <w:tcPr>
            <w:tcW w:w="1702" w:type="dxa"/>
            <w:gridSpan w:val="2"/>
          </w:tcPr>
          <w:p w14:paraId="39DEA523" w14:textId="77777777" w:rsidR="00E27F8E" w:rsidRPr="00A67D5C" w:rsidRDefault="00E27F8E" w:rsidP="0066301C">
            <w:pPr>
              <w:rPr>
                <w:rFonts w:ascii="Arial" w:hAnsi="Arial" w:cs="Arial"/>
              </w:rPr>
            </w:pPr>
            <w:r>
              <w:rPr>
                <w:rFonts w:ascii="Arial" w:hAnsi="Arial" w:cs="Arial"/>
              </w:rPr>
              <w:t>0.022</w:t>
            </w:r>
          </w:p>
        </w:tc>
        <w:tc>
          <w:tcPr>
            <w:tcW w:w="1701" w:type="dxa"/>
          </w:tcPr>
          <w:p w14:paraId="2D720416" w14:textId="77777777" w:rsidR="00E27F8E" w:rsidRPr="00A67D5C" w:rsidRDefault="00E27F8E" w:rsidP="0066301C">
            <w:pPr>
              <w:rPr>
                <w:rFonts w:ascii="Arial" w:hAnsi="Arial" w:cs="Arial"/>
              </w:rPr>
            </w:pPr>
            <w:r>
              <w:rPr>
                <w:rFonts w:ascii="Arial" w:hAnsi="Arial" w:cs="Arial"/>
              </w:rPr>
              <w:t>-7.996</w:t>
            </w:r>
          </w:p>
        </w:tc>
        <w:tc>
          <w:tcPr>
            <w:tcW w:w="1701" w:type="dxa"/>
            <w:gridSpan w:val="2"/>
          </w:tcPr>
          <w:p w14:paraId="0A1387B4" w14:textId="77777777" w:rsidR="00E27F8E" w:rsidRPr="00A67D5C" w:rsidRDefault="00E27F8E" w:rsidP="0066301C">
            <w:pPr>
              <w:rPr>
                <w:rFonts w:ascii="Arial" w:hAnsi="Arial" w:cs="Arial"/>
              </w:rPr>
            </w:pPr>
            <w:r>
              <w:rPr>
                <w:rFonts w:ascii="Arial" w:hAnsi="Arial" w:cs="Arial"/>
              </w:rPr>
              <w:t>0.000</w:t>
            </w:r>
          </w:p>
        </w:tc>
      </w:tr>
      <w:tr w:rsidR="00E27F8E" w14:paraId="4E6C4BAC" w14:textId="77777777" w:rsidTr="004D74AB">
        <w:trPr>
          <w:trHeight w:val="288"/>
        </w:trPr>
        <w:tc>
          <w:tcPr>
            <w:tcW w:w="2969" w:type="dxa"/>
          </w:tcPr>
          <w:p w14:paraId="68257C92" w14:textId="77777777" w:rsidR="00E27F8E" w:rsidRPr="00A67D5C" w:rsidRDefault="00E27F8E" w:rsidP="0066301C">
            <w:pPr>
              <w:rPr>
                <w:rFonts w:ascii="Arial" w:hAnsi="Arial" w:cs="Arial"/>
                <w:b/>
                <w:bCs/>
              </w:rPr>
            </w:pPr>
            <w:r w:rsidRPr="00A67D5C">
              <w:rPr>
                <w:rFonts w:ascii="Arial" w:hAnsi="Arial" w:cs="Arial"/>
                <w:b/>
                <w:bCs/>
              </w:rPr>
              <w:t>Short-run elasticities</w:t>
            </w:r>
          </w:p>
        </w:tc>
        <w:tc>
          <w:tcPr>
            <w:tcW w:w="1420" w:type="dxa"/>
          </w:tcPr>
          <w:p w14:paraId="0128D3B2" w14:textId="77777777" w:rsidR="00E27F8E" w:rsidRPr="00A67D5C" w:rsidRDefault="00E27F8E" w:rsidP="0066301C">
            <w:pPr>
              <w:rPr>
                <w:rFonts w:ascii="Arial" w:hAnsi="Arial" w:cs="Arial"/>
              </w:rPr>
            </w:pPr>
          </w:p>
        </w:tc>
        <w:tc>
          <w:tcPr>
            <w:tcW w:w="1702" w:type="dxa"/>
            <w:gridSpan w:val="2"/>
          </w:tcPr>
          <w:p w14:paraId="164E014C" w14:textId="77777777" w:rsidR="00E27F8E" w:rsidRPr="00A67D5C" w:rsidRDefault="00E27F8E" w:rsidP="0066301C">
            <w:pPr>
              <w:rPr>
                <w:rFonts w:ascii="Arial" w:hAnsi="Arial" w:cs="Arial"/>
              </w:rPr>
            </w:pPr>
          </w:p>
        </w:tc>
        <w:tc>
          <w:tcPr>
            <w:tcW w:w="1701" w:type="dxa"/>
          </w:tcPr>
          <w:p w14:paraId="49948BD7" w14:textId="77777777" w:rsidR="00E27F8E" w:rsidRPr="00A67D5C" w:rsidRDefault="00E27F8E" w:rsidP="0066301C">
            <w:pPr>
              <w:rPr>
                <w:rFonts w:ascii="Arial" w:hAnsi="Arial" w:cs="Arial"/>
              </w:rPr>
            </w:pPr>
          </w:p>
        </w:tc>
        <w:tc>
          <w:tcPr>
            <w:tcW w:w="1701" w:type="dxa"/>
            <w:gridSpan w:val="2"/>
          </w:tcPr>
          <w:p w14:paraId="62C5842B" w14:textId="77777777" w:rsidR="00E27F8E" w:rsidRPr="00A67D5C" w:rsidRDefault="00E27F8E" w:rsidP="0066301C">
            <w:pPr>
              <w:rPr>
                <w:rFonts w:ascii="Arial" w:hAnsi="Arial" w:cs="Arial"/>
              </w:rPr>
            </w:pPr>
          </w:p>
        </w:tc>
      </w:tr>
      <w:tr w:rsidR="00E27F8E" w14:paraId="267973F3" w14:textId="77777777" w:rsidTr="004D74AB">
        <w:trPr>
          <w:trHeight w:val="288"/>
        </w:trPr>
        <w:tc>
          <w:tcPr>
            <w:tcW w:w="2969" w:type="dxa"/>
          </w:tcPr>
          <w:p w14:paraId="2B9FEE76" w14:textId="77777777" w:rsidR="00E27F8E" w:rsidRPr="00A67D5C" w:rsidRDefault="00E27F8E" w:rsidP="0066301C">
            <w:pPr>
              <w:rPr>
                <w:rFonts w:ascii="Arial" w:hAnsi="Arial" w:cs="Arial"/>
              </w:rPr>
            </w:pPr>
            <w:r w:rsidRPr="00A67D5C">
              <w:rPr>
                <w:rFonts w:ascii="Arial" w:hAnsi="Arial" w:cs="Arial"/>
              </w:rPr>
              <w:t>C</w:t>
            </w:r>
          </w:p>
        </w:tc>
        <w:tc>
          <w:tcPr>
            <w:tcW w:w="1420" w:type="dxa"/>
          </w:tcPr>
          <w:p w14:paraId="318BEAB4" w14:textId="77777777" w:rsidR="00E27F8E" w:rsidRPr="00A67D5C" w:rsidRDefault="00E27F8E" w:rsidP="0066301C">
            <w:pPr>
              <w:rPr>
                <w:rFonts w:ascii="Arial" w:hAnsi="Arial" w:cs="Arial"/>
              </w:rPr>
            </w:pPr>
            <w:r>
              <w:rPr>
                <w:rFonts w:ascii="Arial" w:hAnsi="Arial" w:cs="Arial"/>
              </w:rPr>
              <w:t>12.615</w:t>
            </w:r>
          </w:p>
        </w:tc>
        <w:tc>
          <w:tcPr>
            <w:tcW w:w="1702" w:type="dxa"/>
            <w:gridSpan w:val="2"/>
          </w:tcPr>
          <w:p w14:paraId="5FB7B9F4" w14:textId="77777777" w:rsidR="00E27F8E" w:rsidRPr="00A67D5C" w:rsidRDefault="00E27F8E" w:rsidP="0066301C">
            <w:pPr>
              <w:rPr>
                <w:rFonts w:ascii="Arial" w:hAnsi="Arial" w:cs="Arial"/>
              </w:rPr>
            </w:pPr>
            <w:r>
              <w:rPr>
                <w:rFonts w:ascii="Arial" w:hAnsi="Arial" w:cs="Arial"/>
              </w:rPr>
              <w:t>1.875</w:t>
            </w:r>
          </w:p>
        </w:tc>
        <w:tc>
          <w:tcPr>
            <w:tcW w:w="1701" w:type="dxa"/>
          </w:tcPr>
          <w:p w14:paraId="2665B92F" w14:textId="77777777" w:rsidR="00E27F8E" w:rsidRPr="00A67D5C" w:rsidRDefault="00E27F8E" w:rsidP="0066301C">
            <w:pPr>
              <w:rPr>
                <w:rFonts w:ascii="Arial" w:hAnsi="Arial" w:cs="Arial"/>
              </w:rPr>
            </w:pPr>
            <w:r>
              <w:rPr>
                <w:rFonts w:ascii="Arial" w:hAnsi="Arial" w:cs="Arial"/>
              </w:rPr>
              <w:t>6.728</w:t>
            </w:r>
          </w:p>
        </w:tc>
        <w:tc>
          <w:tcPr>
            <w:tcW w:w="1701" w:type="dxa"/>
            <w:gridSpan w:val="2"/>
          </w:tcPr>
          <w:p w14:paraId="277DF700" w14:textId="77777777" w:rsidR="00E27F8E" w:rsidRPr="00A67D5C" w:rsidRDefault="00E27F8E" w:rsidP="0066301C">
            <w:pPr>
              <w:rPr>
                <w:rFonts w:ascii="Arial" w:hAnsi="Arial" w:cs="Arial"/>
              </w:rPr>
            </w:pPr>
            <w:r>
              <w:rPr>
                <w:rFonts w:ascii="Arial" w:hAnsi="Arial" w:cs="Arial"/>
              </w:rPr>
              <w:t>0.000</w:t>
            </w:r>
          </w:p>
        </w:tc>
      </w:tr>
      <w:tr w:rsidR="00E27F8E" w14:paraId="3C052754" w14:textId="77777777" w:rsidTr="004D74AB">
        <w:trPr>
          <w:trHeight w:val="288"/>
        </w:trPr>
        <w:tc>
          <w:tcPr>
            <w:tcW w:w="2969" w:type="dxa"/>
          </w:tcPr>
          <w:p w14:paraId="1C61E68E" w14:textId="77777777" w:rsidR="00E27F8E" w:rsidRPr="00A67D5C" w:rsidRDefault="00E27F8E" w:rsidP="0066301C">
            <w:pPr>
              <w:rPr>
                <w:rFonts w:ascii="Arial" w:hAnsi="Arial" w:cs="Arial"/>
              </w:rPr>
            </w:pPr>
            <w:r w:rsidRPr="00A67D5C">
              <w:rPr>
                <w:rFonts w:ascii="Arial" w:hAnsi="Arial" w:cs="Arial"/>
              </w:rPr>
              <w:t>∆LN</w:t>
            </w:r>
            <w:r>
              <w:rPr>
                <w:rFonts w:ascii="Arial" w:hAnsi="Arial" w:cs="Arial"/>
              </w:rPr>
              <w:t>TB</w:t>
            </w:r>
          </w:p>
        </w:tc>
        <w:tc>
          <w:tcPr>
            <w:tcW w:w="1420" w:type="dxa"/>
          </w:tcPr>
          <w:p w14:paraId="72D68EAE" w14:textId="77777777" w:rsidR="00E27F8E" w:rsidRPr="00A67D5C" w:rsidRDefault="00E27F8E" w:rsidP="0066301C">
            <w:pPr>
              <w:rPr>
                <w:rFonts w:ascii="Arial" w:hAnsi="Arial" w:cs="Arial"/>
              </w:rPr>
            </w:pPr>
            <w:r>
              <w:rPr>
                <w:rFonts w:ascii="Arial" w:hAnsi="Arial" w:cs="Arial"/>
              </w:rPr>
              <w:t>0.523</w:t>
            </w:r>
          </w:p>
        </w:tc>
        <w:tc>
          <w:tcPr>
            <w:tcW w:w="1702" w:type="dxa"/>
            <w:gridSpan w:val="2"/>
          </w:tcPr>
          <w:p w14:paraId="2C2C92C9" w14:textId="77777777" w:rsidR="00E27F8E" w:rsidRPr="00A67D5C" w:rsidRDefault="00E27F8E" w:rsidP="0066301C">
            <w:pPr>
              <w:rPr>
                <w:rFonts w:ascii="Arial" w:hAnsi="Arial" w:cs="Arial"/>
              </w:rPr>
            </w:pPr>
            <w:r>
              <w:rPr>
                <w:rFonts w:ascii="Arial" w:hAnsi="Arial" w:cs="Arial"/>
              </w:rPr>
              <w:t>0.141</w:t>
            </w:r>
          </w:p>
        </w:tc>
        <w:tc>
          <w:tcPr>
            <w:tcW w:w="1701" w:type="dxa"/>
          </w:tcPr>
          <w:p w14:paraId="45080050" w14:textId="77777777" w:rsidR="00E27F8E" w:rsidRPr="00A67D5C" w:rsidRDefault="00E27F8E" w:rsidP="0066301C">
            <w:pPr>
              <w:rPr>
                <w:rFonts w:ascii="Arial" w:hAnsi="Arial" w:cs="Arial"/>
              </w:rPr>
            </w:pPr>
            <w:r>
              <w:rPr>
                <w:rFonts w:ascii="Arial" w:hAnsi="Arial" w:cs="Arial"/>
              </w:rPr>
              <w:t>3.699</w:t>
            </w:r>
          </w:p>
        </w:tc>
        <w:tc>
          <w:tcPr>
            <w:tcW w:w="1701" w:type="dxa"/>
            <w:gridSpan w:val="2"/>
          </w:tcPr>
          <w:p w14:paraId="5F00C7FD" w14:textId="77777777" w:rsidR="00E27F8E" w:rsidRPr="00A67D5C" w:rsidRDefault="00E27F8E" w:rsidP="0066301C">
            <w:pPr>
              <w:rPr>
                <w:rFonts w:ascii="Arial" w:hAnsi="Arial" w:cs="Arial"/>
              </w:rPr>
            </w:pPr>
            <w:r>
              <w:rPr>
                <w:rFonts w:ascii="Arial" w:hAnsi="Arial" w:cs="Arial"/>
              </w:rPr>
              <w:t>0.000</w:t>
            </w:r>
          </w:p>
        </w:tc>
      </w:tr>
      <w:tr w:rsidR="00E27F8E" w14:paraId="00A3ABA9" w14:textId="77777777" w:rsidTr="004D74AB">
        <w:trPr>
          <w:trHeight w:val="288"/>
        </w:trPr>
        <w:tc>
          <w:tcPr>
            <w:tcW w:w="2969" w:type="dxa"/>
          </w:tcPr>
          <w:p w14:paraId="2CC28301" w14:textId="77777777" w:rsidR="00E27F8E" w:rsidRPr="00A67D5C" w:rsidRDefault="00E27F8E" w:rsidP="0066301C">
            <w:pPr>
              <w:rPr>
                <w:rFonts w:ascii="Arial" w:hAnsi="Arial" w:cs="Arial"/>
              </w:rPr>
            </w:pPr>
            <w:r w:rsidRPr="00A67D5C">
              <w:rPr>
                <w:rFonts w:ascii="Arial" w:hAnsi="Arial" w:cs="Arial"/>
              </w:rPr>
              <w:t>∆LNREER</w:t>
            </w:r>
          </w:p>
        </w:tc>
        <w:tc>
          <w:tcPr>
            <w:tcW w:w="1420" w:type="dxa"/>
          </w:tcPr>
          <w:p w14:paraId="3D288DC3" w14:textId="77777777" w:rsidR="00E27F8E" w:rsidRPr="00A67D5C" w:rsidRDefault="00E27F8E" w:rsidP="0066301C">
            <w:pPr>
              <w:rPr>
                <w:rFonts w:ascii="Arial" w:hAnsi="Arial" w:cs="Arial"/>
              </w:rPr>
            </w:pPr>
            <w:r>
              <w:rPr>
                <w:rFonts w:ascii="Arial" w:hAnsi="Arial" w:cs="Arial"/>
              </w:rPr>
              <w:t>-0.262</w:t>
            </w:r>
          </w:p>
        </w:tc>
        <w:tc>
          <w:tcPr>
            <w:tcW w:w="1702" w:type="dxa"/>
            <w:gridSpan w:val="2"/>
          </w:tcPr>
          <w:p w14:paraId="57D347DB" w14:textId="77777777" w:rsidR="00E27F8E" w:rsidRPr="00A67D5C" w:rsidRDefault="00E27F8E" w:rsidP="0066301C">
            <w:pPr>
              <w:rPr>
                <w:rFonts w:ascii="Arial" w:hAnsi="Arial" w:cs="Arial"/>
              </w:rPr>
            </w:pPr>
            <w:r>
              <w:rPr>
                <w:rFonts w:ascii="Arial" w:hAnsi="Arial" w:cs="Arial"/>
              </w:rPr>
              <w:t>0.198</w:t>
            </w:r>
          </w:p>
        </w:tc>
        <w:tc>
          <w:tcPr>
            <w:tcW w:w="1701" w:type="dxa"/>
          </w:tcPr>
          <w:p w14:paraId="5F788A7A" w14:textId="77777777" w:rsidR="00E27F8E" w:rsidRPr="00A67D5C" w:rsidRDefault="00E27F8E" w:rsidP="0066301C">
            <w:pPr>
              <w:rPr>
                <w:rFonts w:ascii="Arial" w:hAnsi="Arial" w:cs="Arial"/>
              </w:rPr>
            </w:pPr>
            <w:r>
              <w:rPr>
                <w:rFonts w:ascii="Arial" w:hAnsi="Arial" w:cs="Arial"/>
              </w:rPr>
              <w:t>-1.317</w:t>
            </w:r>
          </w:p>
        </w:tc>
        <w:tc>
          <w:tcPr>
            <w:tcW w:w="1701" w:type="dxa"/>
            <w:gridSpan w:val="2"/>
          </w:tcPr>
          <w:p w14:paraId="2E655612" w14:textId="77777777" w:rsidR="00E27F8E" w:rsidRPr="00A67D5C" w:rsidRDefault="00E27F8E" w:rsidP="0066301C">
            <w:pPr>
              <w:rPr>
                <w:rFonts w:ascii="Arial" w:hAnsi="Arial" w:cs="Arial"/>
              </w:rPr>
            </w:pPr>
            <w:r>
              <w:rPr>
                <w:rFonts w:ascii="Arial" w:hAnsi="Arial" w:cs="Arial"/>
              </w:rPr>
              <w:t>0.198</w:t>
            </w:r>
          </w:p>
        </w:tc>
      </w:tr>
      <w:tr w:rsidR="00E27F8E" w14:paraId="5BAD6373" w14:textId="77777777" w:rsidTr="004D74AB">
        <w:trPr>
          <w:trHeight w:val="288"/>
        </w:trPr>
        <w:tc>
          <w:tcPr>
            <w:tcW w:w="2969" w:type="dxa"/>
          </w:tcPr>
          <w:p w14:paraId="21FD31F0" w14:textId="77777777" w:rsidR="00E27F8E" w:rsidRPr="00A67D5C" w:rsidRDefault="00E27F8E" w:rsidP="0066301C">
            <w:pPr>
              <w:rPr>
                <w:rFonts w:ascii="Arial" w:hAnsi="Arial" w:cs="Arial"/>
              </w:rPr>
            </w:pPr>
            <w:r w:rsidRPr="00A67D5C">
              <w:rPr>
                <w:rFonts w:ascii="Arial" w:hAnsi="Arial" w:cs="Arial"/>
              </w:rPr>
              <w:t>∆LNDI</w:t>
            </w:r>
          </w:p>
        </w:tc>
        <w:tc>
          <w:tcPr>
            <w:tcW w:w="1420" w:type="dxa"/>
          </w:tcPr>
          <w:p w14:paraId="097178DE" w14:textId="77777777" w:rsidR="00E27F8E" w:rsidRPr="00A67D5C" w:rsidRDefault="00E27F8E" w:rsidP="0066301C">
            <w:pPr>
              <w:rPr>
                <w:rFonts w:ascii="Arial" w:hAnsi="Arial" w:cs="Arial"/>
              </w:rPr>
            </w:pPr>
            <w:r>
              <w:rPr>
                <w:rFonts w:ascii="Arial" w:hAnsi="Arial" w:cs="Arial"/>
              </w:rPr>
              <w:t>-0.364</w:t>
            </w:r>
          </w:p>
        </w:tc>
        <w:tc>
          <w:tcPr>
            <w:tcW w:w="1702" w:type="dxa"/>
            <w:gridSpan w:val="2"/>
          </w:tcPr>
          <w:p w14:paraId="61368FDC" w14:textId="77777777" w:rsidR="00E27F8E" w:rsidRPr="00A67D5C" w:rsidRDefault="00E27F8E" w:rsidP="0066301C">
            <w:pPr>
              <w:rPr>
                <w:rFonts w:ascii="Arial" w:hAnsi="Arial" w:cs="Arial"/>
              </w:rPr>
            </w:pPr>
            <w:r>
              <w:rPr>
                <w:rFonts w:ascii="Arial" w:hAnsi="Arial" w:cs="Arial"/>
              </w:rPr>
              <w:t>0.130</w:t>
            </w:r>
          </w:p>
        </w:tc>
        <w:tc>
          <w:tcPr>
            <w:tcW w:w="1701" w:type="dxa"/>
          </w:tcPr>
          <w:p w14:paraId="0539DDC1" w14:textId="77777777" w:rsidR="00E27F8E" w:rsidRPr="00A67D5C" w:rsidRDefault="00E27F8E" w:rsidP="0066301C">
            <w:pPr>
              <w:rPr>
                <w:rFonts w:ascii="Arial" w:hAnsi="Arial" w:cs="Arial"/>
              </w:rPr>
            </w:pPr>
            <w:r>
              <w:rPr>
                <w:rFonts w:ascii="Arial" w:hAnsi="Arial" w:cs="Arial"/>
              </w:rPr>
              <w:t>-2.792</w:t>
            </w:r>
          </w:p>
        </w:tc>
        <w:tc>
          <w:tcPr>
            <w:tcW w:w="1701" w:type="dxa"/>
            <w:gridSpan w:val="2"/>
          </w:tcPr>
          <w:p w14:paraId="17FCE36C" w14:textId="77777777" w:rsidR="00E27F8E" w:rsidRPr="00A67D5C" w:rsidRDefault="00E27F8E" w:rsidP="0066301C">
            <w:pPr>
              <w:rPr>
                <w:rFonts w:ascii="Arial" w:hAnsi="Arial" w:cs="Arial"/>
              </w:rPr>
            </w:pPr>
            <w:r>
              <w:rPr>
                <w:rFonts w:ascii="Arial" w:hAnsi="Arial" w:cs="Arial"/>
              </w:rPr>
              <w:t>0.001</w:t>
            </w:r>
          </w:p>
        </w:tc>
      </w:tr>
      <w:tr w:rsidR="00E27F8E" w14:paraId="1CBC3F1A" w14:textId="77777777" w:rsidTr="004D74AB">
        <w:trPr>
          <w:trHeight w:val="288"/>
        </w:trPr>
        <w:tc>
          <w:tcPr>
            <w:tcW w:w="2969" w:type="dxa"/>
          </w:tcPr>
          <w:p w14:paraId="25CD1BFB" w14:textId="77777777" w:rsidR="00E27F8E" w:rsidRPr="00A67D5C" w:rsidRDefault="00E27F8E" w:rsidP="0066301C">
            <w:pPr>
              <w:rPr>
                <w:rFonts w:ascii="Arial" w:hAnsi="Arial" w:cs="Arial"/>
              </w:rPr>
            </w:pPr>
            <w:r w:rsidRPr="00A67D5C">
              <w:rPr>
                <w:rFonts w:ascii="Arial" w:hAnsi="Arial" w:cs="Arial"/>
              </w:rPr>
              <w:t>∆LN</w:t>
            </w:r>
            <w:r>
              <w:rPr>
                <w:rFonts w:ascii="Arial" w:hAnsi="Arial" w:cs="Arial"/>
              </w:rPr>
              <w:t>D</w:t>
            </w:r>
            <w:r w:rsidRPr="00A67D5C">
              <w:rPr>
                <w:rFonts w:ascii="Arial" w:hAnsi="Arial" w:cs="Arial"/>
              </w:rPr>
              <w:t>I</w:t>
            </w:r>
            <w:r w:rsidRPr="00A67D5C">
              <w:rPr>
                <w:rFonts w:ascii="Arial" w:hAnsi="Arial" w:cs="Arial"/>
                <w:vertAlign w:val="subscript"/>
              </w:rPr>
              <w:t>t-1</w:t>
            </w:r>
          </w:p>
        </w:tc>
        <w:tc>
          <w:tcPr>
            <w:tcW w:w="1420" w:type="dxa"/>
          </w:tcPr>
          <w:p w14:paraId="48B7208F" w14:textId="77777777" w:rsidR="00E27F8E" w:rsidRPr="00A67D5C" w:rsidRDefault="00E27F8E" w:rsidP="0066301C">
            <w:pPr>
              <w:rPr>
                <w:rFonts w:ascii="Arial" w:hAnsi="Arial" w:cs="Arial"/>
              </w:rPr>
            </w:pPr>
            <w:r>
              <w:rPr>
                <w:rFonts w:ascii="Arial" w:hAnsi="Arial" w:cs="Arial"/>
              </w:rPr>
              <w:t>0.405</w:t>
            </w:r>
          </w:p>
        </w:tc>
        <w:tc>
          <w:tcPr>
            <w:tcW w:w="1702" w:type="dxa"/>
            <w:gridSpan w:val="2"/>
          </w:tcPr>
          <w:p w14:paraId="3468E684" w14:textId="77777777" w:rsidR="00E27F8E" w:rsidRPr="00A67D5C" w:rsidRDefault="00E27F8E" w:rsidP="0066301C">
            <w:pPr>
              <w:rPr>
                <w:rFonts w:ascii="Arial" w:hAnsi="Arial" w:cs="Arial"/>
              </w:rPr>
            </w:pPr>
            <w:r>
              <w:rPr>
                <w:rFonts w:ascii="Arial" w:hAnsi="Arial" w:cs="Arial"/>
              </w:rPr>
              <w:t>0.117</w:t>
            </w:r>
          </w:p>
        </w:tc>
        <w:tc>
          <w:tcPr>
            <w:tcW w:w="1701" w:type="dxa"/>
          </w:tcPr>
          <w:p w14:paraId="37602441" w14:textId="77777777" w:rsidR="00E27F8E" w:rsidRPr="00A67D5C" w:rsidRDefault="00E27F8E" w:rsidP="0066301C">
            <w:pPr>
              <w:rPr>
                <w:rFonts w:ascii="Arial" w:hAnsi="Arial" w:cs="Arial"/>
              </w:rPr>
            </w:pPr>
            <w:r>
              <w:rPr>
                <w:rFonts w:ascii="Arial" w:hAnsi="Arial" w:cs="Arial"/>
              </w:rPr>
              <w:t>3.474</w:t>
            </w:r>
          </w:p>
        </w:tc>
        <w:tc>
          <w:tcPr>
            <w:tcW w:w="1701" w:type="dxa"/>
            <w:gridSpan w:val="2"/>
          </w:tcPr>
          <w:p w14:paraId="7E5BA455" w14:textId="77777777" w:rsidR="00E27F8E" w:rsidRPr="00A67D5C" w:rsidRDefault="00E27F8E" w:rsidP="0066301C">
            <w:pPr>
              <w:rPr>
                <w:rFonts w:ascii="Arial" w:hAnsi="Arial" w:cs="Arial"/>
              </w:rPr>
            </w:pPr>
            <w:r>
              <w:rPr>
                <w:rFonts w:ascii="Arial" w:hAnsi="Arial" w:cs="Arial"/>
              </w:rPr>
              <w:t>0.002</w:t>
            </w:r>
          </w:p>
        </w:tc>
      </w:tr>
      <w:tr w:rsidR="00E27F8E" w14:paraId="31D22B6E" w14:textId="77777777" w:rsidTr="004D74AB">
        <w:trPr>
          <w:trHeight w:val="288"/>
        </w:trPr>
        <w:tc>
          <w:tcPr>
            <w:tcW w:w="2969" w:type="dxa"/>
          </w:tcPr>
          <w:p w14:paraId="7CCD8369" w14:textId="77777777" w:rsidR="00E27F8E" w:rsidRPr="00A67D5C" w:rsidRDefault="00E27F8E" w:rsidP="0066301C">
            <w:pPr>
              <w:rPr>
                <w:rFonts w:ascii="Arial" w:hAnsi="Arial" w:cs="Arial"/>
              </w:rPr>
            </w:pPr>
            <w:r w:rsidRPr="00A67D5C">
              <w:rPr>
                <w:rFonts w:ascii="Arial" w:hAnsi="Arial" w:cs="Arial"/>
              </w:rPr>
              <w:t>ECM</w:t>
            </w:r>
            <w:r w:rsidRPr="00A67D5C">
              <w:rPr>
                <w:rFonts w:ascii="Arial" w:hAnsi="Arial" w:cs="Arial"/>
                <w:vertAlign w:val="subscript"/>
              </w:rPr>
              <w:t>t-1</w:t>
            </w:r>
          </w:p>
        </w:tc>
        <w:tc>
          <w:tcPr>
            <w:tcW w:w="1420" w:type="dxa"/>
          </w:tcPr>
          <w:p w14:paraId="73375179" w14:textId="77777777" w:rsidR="00E27F8E" w:rsidRPr="00A67D5C" w:rsidRDefault="00E27F8E" w:rsidP="0066301C">
            <w:pPr>
              <w:rPr>
                <w:rFonts w:ascii="Arial" w:hAnsi="Arial" w:cs="Arial"/>
              </w:rPr>
            </w:pPr>
            <w:r>
              <w:rPr>
                <w:rFonts w:ascii="Arial" w:hAnsi="Arial" w:cs="Arial"/>
              </w:rPr>
              <w:t>-1.205</w:t>
            </w:r>
          </w:p>
        </w:tc>
        <w:tc>
          <w:tcPr>
            <w:tcW w:w="1702" w:type="dxa"/>
            <w:gridSpan w:val="2"/>
          </w:tcPr>
          <w:p w14:paraId="2C3D7263" w14:textId="77777777" w:rsidR="00E27F8E" w:rsidRPr="00A67D5C" w:rsidRDefault="00E27F8E" w:rsidP="0066301C">
            <w:pPr>
              <w:rPr>
                <w:rFonts w:ascii="Arial" w:hAnsi="Arial" w:cs="Arial"/>
              </w:rPr>
            </w:pPr>
            <w:r>
              <w:rPr>
                <w:rFonts w:ascii="Arial" w:hAnsi="Arial" w:cs="Arial"/>
              </w:rPr>
              <w:t>0.179</w:t>
            </w:r>
          </w:p>
        </w:tc>
        <w:tc>
          <w:tcPr>
            <w:tcW w:w="1701" w:type="dxa"/>
          </w:tcPr>
          <w:p w14:paraId="4C5A1B4D" w14:textId="77777777" w:rsidR="00E27F8E" w:rsidRPr="00A67D5C" w:rsidRDefault="00E27F8E" w:rsidP="0066301C">
            <w:pPr>
              <w:rPr>
                <w:rFonts w:ascii="Arial" w:hAnsi="Arial" w:cs="Arial"/>
              </w:rPr>
            </w:pPr>
            <w:r>
              <w:rPr>
                <w:rFonts w:ascii="Arial" w:hAnsi="Arial" w:cs="Arial"/>
              </w:rPr>
              <w:t>-6.737</w:t>
            </w:r>
          </w:p>
        </w:tc>
        <w:tc>
          <w:tcPr>
            <w:tcW w:w="1701" w:type="dxa"/>
            <w:gridSpan w:val="2"/>
          </w:tcPr>
          <w:p w14:paraId="37D642EC" w14:textId="77777777" w:rsidR="00E27F8E" w:rsidRPr="00A67D5C" w:rsidRDefault="00E27F8E" w:rsidP="0066301C">
            <w:pPr>
              <w:rPr>
                <w:rFonts w:ascii="Arial" w:hAnsi="Arial" w:cs="Arial"/>
              </w:rPr>
            </w:pPr>
            <w:r>
              <w:rPr>
                <w:rFonts w:ascii="Arial" w:hAnsi="Arial" w:cs="Arial"/>
              </w:rPr>
              <w:t>0.000</w:t>
            </w:r>
          </w:p>
        </w:tc>
      </w:tr>
      <w:tr w:rsidR="00E27F8E" w14:paraId="2B961542" w14:textId="77777777" w:rsidTr="004D74AB">
        <w:trPr>
          <w:trHeight w:val="288"/>
        </w:trPr>
        <w:tc>
          <w:tcPr>
            <w:tcW w:w="9493" w:type="dxa"/>
            <w:gridSpan w:val="7"/>
          </w:tcPr>
          <w:p w14:paraId="66D8F0AD" w14:textId="77777777" w:rsidR="00E27F8E" w:rsidRPr="00A67D5C" w:rsidRDefault="00E27F8E" w:rsidP="0066301C">
            <w:pPr>
              <w:jc w:val="center"/>
              <w:rPr>
                <w:rFonts w:ascii="Arial" w:hAnsi="Arial" w:cs="Arial"/>
                <w:b/>
                <w:bCs/>
              </w:rPr>
            </w:pPr>
            <w:r w:rsidRPr="00A67D5C">
              <w:rPr>
                <w:rFonts w:ascii="Arial" w:hAnsi="Arial" w:cs="Arial"/>
                <w:b/>
                <w:bCs/>
              </w:rPr>
              <w:t xml:space="preserve">Partner </w:t>
            </w:r>
            <w:r>
              <w:rPr>
                <w:rFonts w:ascii="Arial" w:hAnsi="Arial" w:cs="Arial"/>
                <w:b/>
                <w:bCs/>
              </w:rPr>
              <w:t>France</w:t>
            </w:r>
          </w:p>
        </w:tc>
      </w:tr>
      <w:tr w:rsidR="00E27F8E" w14:paraId="5BDBD6BF" w14:textId="77777777" w:rsidTr="004D74AB">
        <w:trPr>
          <w:trHeight w:val="288"/>
        </w:trPr>
        <w:tc>
          <w:tcPr>
            <w:tcW w:w="2969" w:type="dxa"/>
          </w:tcPr>
          <w:p w14:paraId="37BA5AD8" w14:textId="77777777" w:rsidR="00E27F8E" w:rsidRPr="00A67D5C" w:rsidRDefault="00E27F8E" w:rsidP="0066301C">
            <w:pPr>
              <w:jc w:val="center"/>
              <w:rPr>
                <w:rFonts w:ascii="Arial" w:hAnsi="Arial" w:cs="Arial"/>
                <w:b/>
                <w:bCs/>
              </w:rPr>
            </w:pPr>
            <w:r w:rsidRPr="00A67D5C">
              <w:rPr>
                <w:rFonts w:ascii="Arial" w:hAnsi="Arial" w:cs="Arial"/>
                <w:b/>
                <w:bCs/>
              </w:rPr>
              <w:t>Variable</w:t>
            </w:r>
          </w:p>
        </w:tc>
        <w:tc>
          <w:tcPr>
            <w:tcW w:w="1420" w:type="dxa"/>
          </w:tcPr>
          <w:p w14:paraId="033BF075" w14:textId="77777777" w:rsidR="00E27F8E" w:rsidRPr="00A67D5C" w:rsidRDefault="00E27F8E" w:rsidP="0066301C">
            <w:pPr>
              <w:jc w:val="center"/>
              <w:rPr>
                <w:rFonts w:ascii="Arial" w:hAnsi="Arial" w:cs="Arial"/>
                <w:b/>
                <w:bCs/>
              </w:rPr>
            </w:pPr>
            <w:r w:rsidRPr="00A67D5C">
              <w:rPr>
                <w:rFonts w:ascii="Arial" w:hAnsi="Arial" w:cs="Arial"/>
                <w:b/>
                <w:bCs/>
              </w:rPr>
              <w:t>Coefficient</w:t>
            </w:r>
          </w:p>
        </w:tc>
        <w:tc>
          <w:tcPr>
            <w:tcW w:w="1702" w:type="dxa"/>
            <w:gridSpan w:val="2"/>
          </w:tcPr>
          <w:p w14:paraId="2D845FC5" w14:textId="77777777" w:rsidR="00E27F8E" w:rsidRPr="00A67D5C" w:rsidRDefault="00E27F8E" w:rsidP="0066301C">
            <w:pPr>
              <w:jc w:val="center"/>
              <w:rPr>
                <w:rFonts w:ascii="Arial" w:hAnsi="Arial" w:cs="Arial"/>
                <w:b/>
                <w:bCs/>
              </w:rPr>
            </w:pPr>
            <w:r w:rsidRPr="00A67D5C">
              <w:rPr>
                <w:rFonts w:ascii="Arial" w:hAnsi="Arial" w:cs="Arial"/>
                <w:b/>
                <w:bCs/>
              </w:rPr>
              <w:t>Std. Error</w:t>
            </w:r>
          </w:p>
        </w:tc>
        <w:tc>
          <w:tcPr>
            <w:tcW w:w="1701" w:type="dxa"/>
          </w:tcPr>
          <w:p w14:paraId="4A5AC2F0" w14:textId="77777777" w:rsidR="00E27F8E" w:rsidRPr="00A67D5C" w:rsidRDefault="00E27F8E" w:rsidP="0066301C">
            <w:pPr>
              <w:jc w:val="center"/>
              <w:rPr>
                <w:rFonts w:ascii="Arial" w:hAnsi="Arial" w:cs="Arial"/>
                <w:b/>
                <w:bCs/>
              </w:rPr>
            </w:pPr>
            <w:r w:rsidRPr="00A67D5C">
              <w:rPr>
                <w:rFonts w:ascii="Arial" w:hAnsi="Arial" w:cs="Arial"/>
                <w:b/>
                <w:bCs/>
              </w:rPr>
              <w:t>t-statistic</w:t>
            </w:r>
          </w:p>
        </w:tc>
        <w:tc>
          <w:tcPr>
            <w:tcW w:w="1701" w:type="dxa"/>
            <w:gridSpan w:val="2"/>
          </w:tcPr>
          <w:p w14:paraId="16F54EC7" w14:textId="77777777" w:rsidR="00E27F8E" w:rsidRPr="00A67D5C" w:rsidRDefault="00E27F8E" w:rsidP="0066301C">
            <w:pPr>
              <w:jc w:val="center"/>
              <w:rPr>
                <w:rFonts w:ascii="Arial" w:hAnsi="Arial" w:cs="Arial"/>
                <w:b/>
                <w:bCs/>
              </w:rPr>
            </w:pPr>
            <w:r w:rsidRPr="00A67D5C">
              <w:rPr>
                <w:rFonts w:ascii="Arial" w:hAnsi="Arial" w:cs="Arial"/>
                <w:b/>
                <w:bCs/>
              </w:rPr>
              <w:t>Prob.</w:t>
            </w:r>
          </w:p>
        </w:tc>
      </w:tr>
      <w:tr w:rsidR="00E27F8E" w14:paraId="39C64423" w14:textId="77777777" w:rsidTr="004D74AB">
        <w:trPr>
          <w:trHeight w:val="288"/>
        </w:trPr>
        <w:tc>
          <w:tcPr>
            <w:tcW w:w="2969" w:type="dxa"/>
          </w:tcPr>
          <w:p w14:paraId="1BCA4EE8" w14:textId="77777777" w:rsidR="00E27F8E" w:rsidRPr="00A67D5C" w:rsidRDefault="00E27F8E" w:rsidP="0066301C">
            <w:pPr>
              <w:rPr>
                <w:rFonts w:ascii="Arial" w:hAnsi="Arial" w:cs="Arial"/>
                <w:sz w:val="20"/>
                <w:szCs w:val="20"/>
                <w:vertAlign w:val="subscript"/>
              </w:rPr>
            </w:pPr>
            <w:r w:rsidRPr="00A67D5C">
              <w:rPr>
                <w:rFonts w:ascii="Arial" w:hAnsi="Arial" w:cs="Arial"/>
                <w:sz w:val="20"/>
                <w:szCs w:val="20"/>
              </w:rPr>
              <w:t xml:space="preserve">Dependent variable </w:t>
            </w:r>
            <w:r w:rsidRPr="00A67D5C">
              <w:rPr>
                <w:rFonts w:ascii="Arial" w:hAnsi="Arial" w:cs="Arial"/>
              </w:rPr>
              <w:t>∆LNTB</w:t>
            </w:r>
            <w:r w:rsidRPr="00A67D5C">
              <w:rPr>
                <w:rFonts w:ascii="Arial" w:hAnsi="Arial" w:cs="Arial"/>
                <w:vertAlign w:val="subscript"/>
              </w:rPr>
              <w:t>t</w:t>
            </w:r>
          </w:p>
        </w:tc>
        <w:tc>
          <w:tcPr>
            <w:tcW w:w="1420" w:type="dxa"/>
          </w:tcPr>
          <w:p w14:paraId="3B41D4E0" w14:textId="77777777" w:rsidR="00E27F8E" w:rsidRPr="00A67D5C" w:rsidRDefault="00E27F8E" w:rsidP="0066301C">
            <w:pPr>
              <w:rPr>
                <w:rFonts w:ascii="Arial" w:hAnsi="Arial" w:cs="Arial"/>
              </w:rPr>
            </w:pPr>
          </w:p>
        </w:tc>
        <w:tc>
          <w:tcPr>
            <w:tcW w:w="1702" w:type="dxa"/>
            <w:gridSpan w:val="2"/>
          </w:tcPr>
          <w:p w14:paraId="679070DC" w14:textId="77777777" w:rsidR="00E27F8E" w:rsidRPr="00A67D5C" w:rsidRDefault="00E27F8E" w:rsidP="0066301C">
            <w:pPr>
              <w:rPr>
                <w:rFonts w:ascii="Arial" w:hAnsi="Arial" w:cs="Arial"/>
              </w:rPr>
            </w:pPr>
          </w:p>
        </w:tc>
        <w:tc>
          <w:tcPr>
            <w:tcW w:w="1701" w:type="dxa"/>
          </w:tcPr>
          <w:p w14:paraId="2B469FCF" w14:textId="77777777" w:rsidR="00E27F8E" w:rsidRPr="00A67D5C" w:rsidRDefault="00E27F8E" w:rsidP="0066301C">
            <w:pPr>
              <w:rPr>
                <w:rFonts w:ascii="Arial" w:hAnsi="Arial" w:cs="Arial"/>
              </w:rPr>
            </w:pPr>
          </w:p>
        </w:tc>
        <w:tc>
          <w:tcPr>
            <w:tcW w:w="1701" w:type="dxa"/>
            <w:gridSpan w:val="2"/>
          </w:tcPr>
          <w:p w14:paraId="4F6D93A7" w14:textId="77777777" w:rsidR="00E27F8E" w:rsidRPr="00A67D5C" w:rsidRDefault="00E27F8E" w:rsidP="0066301C">
            <w:pPr>
              <w:rPr>
                <w:rFonts w:ascii="Arial" w:hAnsi="Arial" w:cs="Arial"/>
              </w:rPr>
            </w:pPr>
          </w:p>
        </w:tc>
      </w:tr>
      <w:tr w:rsidR="00E27F8E" w14:paraId="062DDCFF" w14:textId="77777777" w:rsidTr="004D74AB">
        <w:trPr>
          <w:trHeight w:val="301"/>
        </w:trPr>
        <w:tc>
          <w:tcPr>
            <w:tcW w:w="2969" w:type="dxa"/>
          </w:tcPr>
          <w:p w14:paraId="0630BDB9" w14:textId="77777777" w:rsidR="00E27F8E" w:rsidRPr="00A67D5C" w:rsidRDefault="00E27F8E" w:rsidP="0066301C">
            <w:pPr>
              <w:rPr>
                <w:rFonts w:ascii="Arial" w:hAnsi="Arial" w:cs="Arial"/>
                <w:b/>
                <w:bCs/>
              </w:rPr>
            </w:pPr>
            <w:r w:rsidRPr="00A67D5C">
              <w:rPr>
                <w:rFonts w:ascii="Arial" w:hAnsi="Arial" w:cs="Arial"/>
                <w:b/>
                <w:bCs/>
              </w:rPr>
              <w:t>Long-run elasticities</w:t>
            </w:r>
          </w:p>
        </w:tc>
        <w:tc>
          <w:tcPr>
            <w:tcW w:w="1420" w:type="dxa"/>
          </w:tcPr>
          <w:p w14:paraId="16EB0EDE" w14:textId="77777777" w:rsidR="00E27F8E" w:rsidRPr="00A67D5C" w:rsidRDefault="00E27F8E" w:rsidP="0066301C">
            <w:pPr>
              <w:rPr>
                <w:rFonts w:ascii="Arial" w:hAnsi="Arial" w:cs="Arial"/>
              </w:rPr>
            </w:pPr>
          </w:p>
        </w:tc>
        <w:tc>
          <w:tcPr>
            <w:tcW w:w="1702" w:type="dxa"/>
            <w:gridSpan w:val="2"/>
          </w:tcPr>
          <w:p w14:paraId="52A61804" w14:textId="77777777" w:rsidR="00E27F8E" w:rsidRPr="00A67D5C" w:rsidRDefault="00E27F8E" w:rsidP="0066301C">
            <w:pPr>
              <w:rPr>
                <w:rFonts w:ascii="Arial" w:hAnsi="Arial" w:cs="Arial"/>
              </w:rPr>
            </w:pPr>
          </w:p>
        </w:tc>
        <w:tc>
          <w:tcPr>
            <w:tcW w:w="1701" w:type="dxa"/>
          </w:tcPr>
          <w:p w14:paraId="48F4223A" w14:textId="77777777" w:rsidR="00E27F8E" w:rsidRPr="00A67D5C" w:rsidRDefault="00E27F8E" w:rsidP="0066301C">
            <w:pPr>
              <w:rPr>
                <w:rFonts w:ascii="Arial" w:hAnsi="Arial" w:cs="Arial"/>
              </w:rPr>
            </w:pPr>
          </w:p>
        </w:tc>
        <w:tc>
          <w:tcPr>
            <w:tcW w:w="1701" w:type="dxa"/>
            <w:gridSpan w:val="2"/>
          </w:tcPr>
          <w:p w14:paraId="58D1DD91" w14:textId="77777777" w:rsidR="00E27F8E" w:rsidRPr="00A67D5C" w:rsidRDefault="00E27F8E" w:rsidP="0066301C">
            <w:pPr>
              <w:rPr>
                <w:rFonts w:ascii="Arial" w:hAnsi="Arial" w:cs="Arial"/>
              </w:rPr>
            </w:pPr>
          </w:p>
        </w:tc>
      </w:tr>
      <w:tr w:rsidR="00E27F8E" w14:paraId="724BA90D" w14:textId="77777777" w:rsidTr="004D74AB">
        <w:trPr>
          <w:trHeight w:val="288"/>
        </w:trPr>
        <w:tc>
          <w:tcPr>
            <w:tcW w:w="2969" w:type="dxa"/>
          </w:tcPr>
          <w:p w14:paraId="2883C388" w14:textId="77777777" w:rsidR="00E27F8E" w:rsidRPr="00A67D5C" w:rsidRDefault="00E27F8E" w:rsidP="0066301C">
            <w:pPr>
              <w:rPr>
                <w:rFonts w:ascii="Arial" w:hAnsi="Arial" w:cs="Arial"/>
              </w:rPr>
            </w:pPr>
            <w:r w:rsidRPr="00A67D5C">
              <w:rPr>
                <w:rFonts w:ascii="Arial" w:hAnsi="Arial" w:cs="Arial"/>
              </w:rPr>
              <w:t>C</w:t>
            </w:r>
          </w:p>
        </w:tc>
        <w:tc>
          <w:tcPr>
            <w:tcW w:w="1420" w:type="dxa"/>
          </w:tcPr>
          <w:p w14:paraId="61F10847" w14:textId="77777777" w:rsidR="00E27F8E" w:rsidRPr="00A67D5C" w:rsidRDefault="00E27F8E" w:rsidP="0066301C">
            <w:pPr>
              <w:rPr>
                <w:rFonts w:ascii="Arial" w:hAnsi="Arial" w:cs="Arial"/>
              </w:rPr>
            </w:pPr>
            <w:r>
              <w:rPr>
                <w:rFonts w:ascii="Arial" w:hAnsi="Arial" w:cs="Arial"/>
              </w:rPr>
              <w:t>13.968</w:t>
            </w:r>
          </w:p>
        </w:tc>
        <w:tc>
          <w:tcPr>
            <w:tcW w:w="1702" w:type="dxa"/>
            <w:gridSpan w:val="2"/>
          </w:tcPr>
          <w:p w14:paraId="76D77DC2" w14:textId="77777777" w:rsidR="00E27F8E" w:rsidRPr="00A67D5C" w:rsidRDefault="00E27F8E" w:rsidP="0066301C">
            <w:pPr>
              <w:rPr>
                <w:rFonts w:ascii="Arial" w:hAnsi="Arial" w:cs="Arial"/>
              </w:rPr>
            </w:pPr>
            <w:r>
              <w:rPr>
                <w:rFonts w:ascii="Arial" w:hAnsi="Arial" w:cs="Arial"/>
              </w:rPr>
              <w:t>3.070</w:t>
            </w:r>
          </w:p>
        </w:tc>
        <w:tc>
          <w:tcPr>
            <w:tcW w:w="1701" w:type="dxa"/>
          </w:tcPr>
          <w:p w14:paraId="44005FE1" w14:textId="77777777" w:rsidR="00E27F8E" w:rsidRPr="00A67D5C" w:rsidRDefault="00E27F8E" w:rsidP="0066301C">
            <w:pPr>
              <w:rPr>
                <w:rFonts w:ascii="Arial" w:hAnsi="Arial" w:cs="Arial"/>
              </w:rPr>
            </w:pPr>
            <w:r>
              <w:rPr>
                <w:rFonts w:ascii="Arial" w:hAnsi="Arial" w:cs="Arial"/>
              </w:rPr>
              <w:t>4.549</w:t>
            </w:r>
          </w:p>
        </w:tc>
        <w:tc>
          <w:tcPr>
            <w:tcW w:w="1701" w:type="dxa"/>
            <w:gridSpan w:val="2"/>
          </w:tcPr>
          <w:p w14:paraId="5D6B23DC" w14:textId="77777777" w:rsidR="00E27F8E" w:rsidRPr="00A67D5C" w:rsidRDefault="00E27F8E" w:rsidP="0066301C">
            <w:pPr>
              <w:rPr>
                <w:rFonts w:ascii="Arial" w:hAnsi="Arial" w:cs="Arial"/>
              </w:rPr>
            </w:pPr>
            <w:r>
              <w:rPr>
                <w:rFonts w:ascii="Arial" w:hAnsi="Arial" w:cs="Arial"/>
              </w:rPr>
              <w:t>0.000</w:t>
            </w:r>
          </w:p>
        </w:tc>
      </w:tr>
      <w:tr w:rsidR="00E27F8E" w14:paraId="64340D19" w14:textId="77777777" w:rsidTr="004D74AB">
        <w:trPr>
          <w:trHeight w:val="288"/>
        </w:trPr>
        <w:tc>
          <w:tcPr>
            <w:tcW w:w="2969" w:type="dxa"/>
          </w:tcPr>
          <w:p w14:paraId="5BA15AC5" w14:textId="77777777" w:rsidR="00E27F8E" w:rsidRPr="00A67D5C" w:rsidRDefault="00E27F8E" w:rsidP="0066301C">
            <w:pPr>
              <w:rPr>
                <w:rFonts w:ascii="Arial" w:hAnsi="Arial" w:cs="Arial"/>
              </w:rPr>
            </w:pPr>
            <w:r w:rsidRPr="00A67D5C">
              <w:rPr>
                <w:rFonts w:ascii="Arial" w:hAnsi="Arial" w:cs="Arial"/>
              </w:rPr>
              <w:t>LNREER</w:t>
            </w:r>
          </w:p>
        </w:tc>
        <w:tc>
          <w:tcPr>
            <w:tcW w:w="1420" w:type="dxa"/>
          </w:tcPr>
          <w:p w14:paraId="58242BEE" w14:textId="77777777" w:rsidR="00E27F8E" w:rsidRPr="00A67D5C" w:rsidRDefault="00E27F8E" w:rsidP="0066301C">
            <w:pPr>
              <w:rPr>
                <w:rFonts w:ascii="Arial" w:hAnsi="Arial" w:cs="Arial"/>
              </w:rPr>
            </w:pPr>
            <w:r>
              <w:rPr>
                <w:rFonts w:ascii="Arial" w:hAnsi="Arial" w:cs="Arial"/>
              </w:rPr>
              <w:t>-1.359</w:t>
            </w:r>
          </w:p>
        </w:tc>
        <w:tc>
          <w:tcPr>
            <w:tcW w:w="1702" w:type="dxa"/>
            <w:gridSpan w:val="2"/>
          </w:tcPr>
          <w:p w14:paraId="7EB626AB" w14:textId="77777777" w:rsidR="00E27F8E" w:rsidRPr="00A67D5C" w:rsidRDefault="00E27F8E" w:rsidP="0066301C">
            <w:pPr>
              <w:rPr>
                <w:rFonts w:ascii="Arial" w:hAnsi="Arial" w:cs="Arial"/>
              </w:rPr>
            </w:pPr>
            <w:r>
              <w:rPr>
                <w:rFonts w:ascii="Arial" w:hAnsi="Arial" w:cs="Arial"/>
              </w:rPr>
              <w:t>0.352</w:t>
            </w:r>
          </w:p>
        </w:tc>
        <w:tc>
          <w:tcPr>
            <w:tcW w:w="1701" w:type="dxa"/>
          </w:tcPr>
          <w:p w14:paraId="2CF66CD4" w14:textId="77777777" w:rsidR="00E27F8E" w:rsidRPr="00A67D5C" w:rsidRDefault="00E27F8E" w:rsidP="0066301C">
            <w:pPr>
              <w:rPr>
                <w:rFonts w:ascii="Arial" w:hAnsi="Arial" w:cs="Arial"/>
              </w:rPr>
            </w:pPr>
            <w:r>
              <w:rPr>
                <w:rFonts w:ascii="Arial" w:hAnsi="Arial" w:cs="Arial"/>
              </w:rPr>
              <w:t>-3.865</w:t>
            </w:r>
          </w:p>
        </w:tc>
        <w:tc>
          <w:tcPr>
            <w:tcW w:w="1701" w:type="dxa"/>
            <w:gridSpan w:val="2"/>
          </w:tcPr>
          <w:p w14:paraId="04B9BA7D" w14:textId="77777777" w:rsidR="00E27F8E" w:rsidRPr="00A67D5C" w:rsidRDefault="00E27F8E" w:rsidP="0066301C">
            <w:pPr>
              <w:rPr>
                <w:rFonts w:ascii="Arial" w:hAnsi="Arial" w:cs="Arial"/>
              </w:rPr>
            </w:pPr>
            <w:r>
              <w:rPr>
                <w:rFonts w:ascii="Arial" w:hAnsi="Arial" w:cs="Arial"/>
              </w:rPr>
              <w:t>0.000</w:t>
            </w:r>
          </w:p>
        </w:tc>
      </w:tr>
      <w:tr w:rsidR="00E27F8E" w14:paraId="6DC4E796" w14:textId="77777777" w:rsidTr="004D74AB">
        <w:trPr>
          <w:trHeight w:val="288"/>
        </w:trPr>
        <w:tc>
          <w:tcPr>
            <w:tcW w:w="2969" w:type="dxa"/>
          </w:tcPr>
          <w:p w14:paraId="3BE7610F" w14:textId="77777777" w:rsidR="00E27F8E" w:rsidRPr="00A67D5C" w:rsidRDefault="00E27F8E" w:rsidP="0066301C">
            <w:pPr>
              <w:rPr>
                <w:rFonts w:ascii="Arial" w:hAnsi="Arial" w:cs="Arial"/>
              </w:rPr>
            </w:pPr>
            <w:r w:rsidRPr="00A67D5C">
              <w:rPr>
                <w:rFonts w:ascii="Arial" w:hAnsi="Arial" w:cs="Arial"/>
              </w:rPr>
              <w:t>LNDI</w:t>
            </w:r>
          </w:p>
        </w:tc>
        <w:tc>
          <w:tcPr>
            <w:tcW w:w="1420" w:type="dxa"/>
          </w:tcPr>
          <w:p w14:paraId="36834249" w14:textId="77777777" w:rsidR="00E27F8E" w:rsidRPr="00A67D5C" w:rsidRDefault="00E27F8E" w:rsidP="0066301C">
            <w:pPr>
              <w:rPr>
                <w:rFonts w:ascii="Arial" w:hAnsi="Arial" w:cs="Arial"/>
              </w:rPr>
            </w:pPr>
            <w:r>
              <w:rPr>
                <w:rFonts w:ascii="Arial" w:hAnsi="Arial" w:cs="Arial"/>
              </w:rPr>
              <w:t>0.465</w:t>
            </w:r>
          </w:p>
        </w:tc>
        <w:tc>
          <w:tcPr>
            <w:tcW w:w="1702" w:type="dxa"/>
            <w:gridSpan w:val="2"/>
          </w:tcPr>
          <w:p w14:paraId="6492A915" w14:textId="77777777" w:rsidR="00E27F8E" w:rsidRPr="00A67D5C" w:rsidRDefault="00E27F8E" w:rsidP="0066301C">
            <w:pPr>
              <w:rPr>
                <w:rFonts w:ascii="Arial" w:hAnsi="Arial" w:cs="Arial"/>
              </w:rPr>
            </w:pPr>
            <w:r>
              <w:rPr>
                <w:rFonts w:ascii="Arial" w:hAnsi="Arial" w:cs="Arial"/>
              </w:rPr>
              <w:t>0.363</w:t>
            </w:r>
          </w:p>
        </w:tc>
        <w:tc>
          <w:tcPr>
            <w:tcW w:w="1701" w:type="dxa"/>
          </w:tcPr>
          <w:p w14:paraId="696D7E2B" w14:textId="77777777" w:rsidR="00E27F8E" w:rsidRPr="00A67D5C" w:rsidRDefault="00E27F8E" w:rsidP="0066301C">
            <w:pPr>
              <w:rPr>
                <w:rFonts w:ascii="Arial" w:hAnsi="Arial" w:cs="Arial"/>
              </w:rPr>
            </w:pPr>
            <w:r>
              <w:rPr>
                <w:rFonts w:ascii="Arial" w:hAnsi="Arial" w:cs="Arial"/>
              </w:rPr>
              <w:t>1.282</w:t>
            </w:r>
          </w:p>
        </w:tc>
        <w:tc>
          <w:tcPr>
            <w:tcW w:w="1701" w:type="dxa"/>
            <w:gridSpan w:val="2"/>
          </w:tcPr>
          <w:p w14:paraId="288E14E9" w14:textId="77777777" w:rsidR="00E27F8E" w:rsidRPr="00A67D5C" w:rsidRDefault="00E27F8E" w:rsidP="0066301C">
            <w:pPr>
              <w:rPr>
                <w:rFonts w:ascii="Arial" w:hAnsi="Arial" w:cs="Arial"/>
              </w:rPr>
            </w:pPr>
            <w:r>
              <w:rPr>
                <w:rFonts w:ascii="Arial" w:hAnsi="Arial" w:cs="Arial"/>
              </w:rPr>
              <w:t>0.209</w:t>
            </w:r>
          </w:p>
        </w:tc>
      </w:tr>
      <w:tr w:rsidR="00E27F8E" w14:paraId="296CEFEC" w14:textId="77777777" w:rsidTr="004D74AB">
        <w:trPr>
          <w:trHeight w:val="288"/>
        </w:trPr>
        <w:tc>
          <w:tcPr>
            <w:tcW w:w="2969" w:type="dxa"/>
          </w:tcPr>
          <w:p w14:paraId="35F5677E" w14:textId="77777777" w:rsidR="00E27F8E" w:rsidRPr="00A67D5C" w:rsidRDefault="00E27F8E" w:rsidP="0066301C">
            <w:pPr>
              <w:rPr>
                <w:rFonts w:ascii="Arial" w:hAnsi="Arial" w:cs="Arial"/>
              </w:rPr>
            </w:pPr>
            <w:r w:rsidRPr="00A67D5C">
              <w:rPr>
                <w:rFonts w:ascii="Arial" w:hAnsi="Arial" w:cs="Arial"/>
              </w:rPr>
              <w:t>LN</w:t>
            </w:r>
            <w:r>
              <w:rPr>
                <w:rFonts w:ascii="Arial" w:hAnsi="Arial" w:cs="Arial"/>
              </w:rPr>
              <w:t>FRANCE</w:t>
            </w:r>
            <w:r w:rsidRPr="00A67D5C">
              <w:rPr>
                <w:rFonts w:ascii="Arial" w:hAnsi="Arial" w:cs="Arial"/>
              </w:rPr>
              <w:t>FI</w:t>
            </w:r>
          </w:p>
        </w:tc>
        <w:tc>
          <w:tcPr>
            <w:tcW w:w="1420" w:type="dxa"/>
          </w:tcPr>
          <w:p w14:paraId="22902C4F" w14:textId="77777777" w:rsidR="00E27F8E" w:rsidRPr="00A67D5C" w:rsidRDefault="00E27F8E" w:rsidP="0066301C">
            <w:pPr>
              <w:rPr>
                <w:rFonts w:ascii="Arial" w:hAnsi="Arial" w:cs="Arial"/>
              </w:rPr>
            </w:pPr>
            <w:r>
              <w:rPr>
                <w:rFonts w:ascii="Arial" w:hAnsi="Arial" w:cs="Arial"/>
              </w:rPr>
              <w:t>-1.006</w:t>
            </w:r>
          </w:p>
        </w:tc>
        <w:tc>
          <w:tcPr>
            <w:tcW w:w="1702" w:type="dxa"/>
            <w:gridSpan w:val="2"/>
          </w:tcPr>
          <w:p w14:paraId="10009CE2" w14:textId="77777777" w:rsidR="00E27F8E" w:rsidRPr="00A67D5C" w:rsidRDefault="00E27F8E" w:rsidP="0066301C">
            <w:pPr>
              <w:rPr>
                <w:rFonts w:ascii="Arial" w:hAnsi="Arial" w:cs="Arial"/>
              </w:rPr>
            </w:pPr>
            <w:r>
              <w:rPr>
                <w:rFonts w:ascii="Arial" w:hAnsi="Arial" w:cs="Arial"/>
              </w:rPr>
              <w:t>0.337</w:t>
            </w:r>
          </w:p>
        </w:tc>
        <w:tc>
          <w:tcPr>
            <w:tcW w:w="1701" w:type="dxa"/>
          </w:tcPr>
          <w:p w14:paraId="028F36D6" w14:textId="77777777" w:rsidR="00E27F8E" w:rsidRPr="00A67D5C" w:rsidRDefault="00E27F8E" w:rsidP="0066301C">
            <w:pPr>
              <w:rPr>
                <w:rFonts w:ascii="Arial" w:hAnsi="Arial" w:cs="Arial"/>
              </w:rPr>
            </w:pPr>
            <w:r>
              <w:rPr>
                <w:rFonts w:ascii="Arial" w:hAnsi="Arial" w:cs="Arial"/>
              </w:rPr>
              <w:t>-2.984</w:t>
            </w:r>
          </w:p>
        </w:tc>
        <w:tc>
          <w:tcPr>
            <w:tcW w:w="1701" w:type="dxa"/>
            <w:gridSpan w:val="2"/>
          </w:tcPr>
          <w:p w14:paraId="4B377414" w14:textId="77777777" w:rsidR="00E27F8E" w:rsidRPr="00A67D5C" w:rsidRDefault="00E27F8E" w:rsidP="0066301C">
            <w:pPr>
              <w:rPr>
                <w:rFonts w:ascii="Arial" w:hAnsi="Arial" w:cs="Arial"/>
              </w:rPr>
            </w:pPr>
            <w:r>
              <w:rPr>
                <w:rFonts w:ascii="Arial" w:hAnsi="Arial" w:cs="Arial"/>
              </w:rPr>
              <w:t>0.006</w:t>
            </w:r>
          </w:p>
        </w:tc>
      </w:tr>
      <w:tr w:rsidR="00E27F8E" w14:paraId="7C82D10C" w14:textId="77777777" w:rsidTr="004D74AB">
        <w:trPr>
          <w:trHeight w:val="288"/>
        </w:trPr>
        <w:tc>
          <w:tcPr>
            <w:tcW w:w="2969" w:type="dxa"/>
          </w:tcPr>
          <w:p w14:paraId="533CF43E" w14:textId="77777777" w:rsidR="00E27F8E" w:rsidRPr="00A67D5C" w:rsidRDefault="00E27F8E" w:rsidP="0066301C">
            <w:pPr>
              <w:rPr>
                <w:rFonts w:ascii="Arial" w:hAnsi="Arial" w:cs="Arial"/>
                <w:b/>
                <w:bCs/>
              </w:rPr>
            </w:pPr>
            <w:r w:rsidRPr="00A67D5C">
              <w:rPr>
                <w:rFonts w:ascii="Arial" w:hAnsi="Arial" w:cs="Arial"/>
                <w:b/>
                <w:bCs/>
              </w:rPr>
              <w:t>Short-run elasticities</w:t>
            </w:r>
          </w:p>
        </w:tc>
        <w:tc>
          <w:tcPr>
            <w:tcW w:w="1420" w:type="dxa"/>
          </w:tcPr>
          <w:p w14:paraId="6472E19D" w14:textId="77777777" w:rsidR="00E27F8E" w:rsidRPr="00A67D5C" w:rsidRDefault="00E27F8E" w:rsidP="0066301C">
            <w:pPr>
              <w:rPr>
                <w:rFonts w:ascii="Arial" w:hAnsi="Arial" w:cs="Arial"/>
              </w:rPr>
            </w:pPr>
          </w:p>
        </w:tc>
        <w:tc>
          <w:tcPr>
            <w:tcW w:w="1702" w:type="dxa"/>
            <w:gridSpan w:val="2"/>
          </w:tcPr>
          <w:p w14:paraId="26461DE0" w14:textId="77777777" w:rsidR="00E27F8E" w:rsidRPr="00A67D5C" w:rsidRDefault="00E27F8E" w:rsidP="0066301C">
            <w:pPr>
              <w:rPr>
                <w:rFonts w:ascii="Arial" w:hAnsi="Arial" w:cs="Arial"/>
              </w:rPr>
            </w:pPr>
          </w:p>
        </w:tc>
        <w:tc>
          <w:tcPr>
            <w:tcW w:w="1701" w:type="dxa"/>
          </w:tcPr>
          <w:p w14:paraId="6AF4EC0B" w14:textId="77777777" w:rsidR="00E27F8E" w:rsidRPr="00A67D5C" w:rsidRDefault="00E27F8E" w:rsidP="0066301C">
            <w:pPr>
              <w:rPr>
                <w:rFonts w:ascii="Arial" w:hAnsi="Arial" w:cs="Arial"/>
              </w:rPr>
            </w:pPr>
          </w:p>
        </w:tc>
        <w:tc>
          <w:tcPr>
            <w:tcW w:w="1701" w:type="dxa"/>
            <w:gridSpan w:val="2"/>
          </w:tcPr>
          <w:p w14:paraId="511061C0" w14:textId="77777777" w:rsidR="00E27F8E" w:rsidRPr="00A67D5C" w:rsidRDefault="00E27F8E" w:rsidP="0066301C">
            <w:pPr>
              <w:rPr>
                <w:rFonts w:ascii="Arial" w:hAnsi="Arial" w:cs="Arial"/>
              </w:rPr>
            </w:pPr>
          </w:p>
        </w:tc>
      </w:tr>
      <w:tr w:rsidR="00E27F8E" w14:paraId="0BCCAB35" w14:textId="77777777" w:rsidTr="004D74AB">
        <w:trPr>
          <w:trHeight w:val="288"/>
        </w:trPr>
        <w:tc>
          <w:tcPr>
            <w:tcW w:w="2969" w:type="dxa"/>
          </w:tcPr>
          <w:p w14:paraId="419AB272" w14:textId="77777777" w:rsidR="00E27F8E" w:rsidRPr="00A67D5C" w:rsidRDefault="00E27F8E" w:rsidP="0066301C">
            <w:pPr>
              <w:rPr>
                <w:rFonts w:ascii="Arial" w:hAnsi="Arial" w:cs="Arial"/>
              </w:rPr>
            </w:pPr>
            <w:r w:rsidRPr="00A67D5C">
              <w:rPr>
                <w:rFonts w:ascii="Arial" w:hAnsi="Arial" w:cs="Arial"/>
              </w:rPr>
              <w:t>C</w:t>
            </w:r>
          </w:p>
        </w:tc>
        <w:tc>
          <w:tcPr>
            <w:tcW w:w="1420" w:type="dxa"/>
          </w:tcPr>
          <w:p w14:paraId="66BC8745" w14:textId="77777777" w:rsidR="00E27F8E" w:rsidRPr="00A67D5C" w:rsidRDefault="00E27F8E" w:rsidP="0066301C">
            <w:pPr>
              <w:rPr>
                <w:rFonts w:ascii="Arial" w:hAnsi="Arial" w:cs="Arial"/>
              </w:rPr>
            </w:pPr>
            <w:r>
              <w:rPr>
                <w:rFonts w:ascii="Arial" w:hAnsi="Arial" w:cs="Arial"/>
              </w:rPr>
              <w:t>13.967</w:t>
            </w:r>
          </w:p>
        </w:tc>
        <w:tc>
          <w:tcPr>
            <w:tcW w:w="1702" w:type="dxa"/>
            <w:gridSpan w:val="2"/>
          </w:tcPr>
          <w:p w14:paraId="699E4352" w14:textId="77777777" w:rsidR="00E27F8E" w:rsidRPr="00A67D5C" w:rsidRDefault="00E27F8E" w:rsidP="0066301C">
            <w:pPr>
              <w:rPr>
                <w:rFonts w:ascii="Arial" w:hAnsi="Arial" w:cs="Arial"/>
              </w:rPr>
            </w:pPr>
            <w:r>
              <w:rPr>
                <w:rFonts w:ascii="Arial" w:hAnsi="Arial" w:cs="Arial"/>
              </w:rPr>
              <w:t>2.679</w:t>
            </w:r>
          </w:p>
        </w:tc>
        <w:tc>
          <w:tcPr>
            <w:tcW w:w="1701" w:type="dxa"/>
          </w:tcPr>
          <w:p w14:paraId="77899826" w14:textId="77777777" w:rsidR="00E27F8E" w:rsidRPr="00A67D5C" w:rsidRDefault="00E27F8E" w:rsidP="0066301C">
            <w:pPr>
              <w:rPr>
                <w:rFonts w:ascii="Arial" w:hAnsi="Arial" w:cs="Arial"/>
              </w:rPr>
            </w:pPr>
            <w:r>
              <w:rPr>
                <w:rFonts w:ascii="Arial" w:hAnsi="Arial" w:cs="Arial"/>
              </w:rPr>
              <w:t>5.213</w:t>
            </w:r>
          </w:p>
        </w:tc>
        <w:tc>
          <w:tcPr>
            <w:tcW w:w="1701" w:type="dxa"/>
            <w:gridSpan w:val="2"/>
          </w:tcPr>
          <w:p w14:paraId="749ED134" w14:textId="77777777" w:rsidR="00E27F8E" w:rsidRPr="00A67D5C" w:rsidRDefault="00E27F8E" w:rsidP="0066301C">
            <w:pPr>
              <w:rPr>
                <w:rFonts w:ascii="Arial" w:hAnsi="Arial" w:cs="Arial"/>
              </w:rPr>
            </w:pPr>
            <w:r>
              <w:rPr>
                <w:rFonts w:ascii="Arial" w:hAnsi="Arial" w:cs="Arial"/>
              </w:rPr>
              <w:t>0.000</w:t>
            </w:r>
          </w:p>
        </w:tc>
      </w:tr>
      <w:tr w:rsidR="00E27F8E" w14:paraId="719814D1" w14:textId="77777777" w:rsidTr="004D74AB">
        <w:trPr>
          <w:trHeight w:val="288"/>
        </w:trPr>
        <w:tc>
          <w:tcPr>
            <w:tcW w:w="2969" w:type="dxa"/>
          </w:tcPr>
          <w:p w14:paraId="45D0D8B6" w14:textId="77777777" w:rsidR="00E27F8E" w:rsidRPr="00A67D5C" w:rsidRDefault="00E27F8E" w:rsidP="0066301C">
            <w:pPr>
              <w:rPr>
                <w:rFonts w:ascii="Arial" w:hAnsi="Arial" w:cs="Arial"/>
              </w:rPr>
            </w:pPr>
            <w:r w:rsidRPr="00A67D5C">
              <w:rPr>
                <w:rFonts w:ascii="Arial" w:hAnsi="Arial" w:cs="Arial"/>
              </w:rPr>
              <w:t>∆LNDI</w:t>
            </w:r>
          </w:p>
        </w:tc>
        <w:tc>
          <w:tcPr>
            <w:tcW w:w="1420" w:type="dxa"/>
          </w:tcPr>
          <w:p w14:paraId="78168A64" w14:textId="77777777" w:rsidR="00E27F8E" w:rsidRPr="00A67D5C" w:rsidRDefault="00E27F8E" w:rsidP="0066301C">
            <w:pPr>
              <w:rPr>
                <w:rFonts w:ascii="Arial" w:hAnsi="Arial" w:cs="Arial"/>
              </w:rPr>
            </w:pPr>
            <w:r>
              <w:rPr>
                <w:rFonts w:ascii="Arial" w:hAnsi="Arial" w:cs="Arial"/>
              </w:rPr>
              <w:t>-0.173</w:t>
            </w:r>
          </w:p>
        </w:tc>
        <w:tc>
          <w:tcPr>
            <w:tcW w:w="1702" w:type="dxa"/>
            <w:gridSpan w:val="2"/>
          </w:tcPr>
          <w:p w14:paraId="13C81B16" w14:textId="77777777" w:rsidR="00E27F8E" w:rsidRPr="00A67D5C" w:rsidRDefault="00E27F8E" w:rsidP="0066301C">
            <w:pPr>
              <w:rPr>
                <w:rFonts w:ascii="Arial" w:hAnsi="Arial" w:cs="Arial"/>
              </w:rPr>
            </w:pPr>
            <w:r>
              <w:rPr>
                <w:rFonts w:ascii="Arial" w:hAnsi="Arial" w:cs="Arial"/>
              </w:rPr>
              <w:t>0.145</w:t>
            </w:r>
          </w:p>
        </w:tc>
        <w:tc>
          <w:tcPr>
            <w:tcW w:w="1701" w:type="dxa"/>
          </w:tcPr>
          <w:p w14:paraId="7EC3DF19" w14:textId="77777777" w:rsidR="00E27F8E" w:rsidRPr="00A67D5C" w:rsidRDefault="00E27F8E" w:rsidP="0066301C">
            <w:pPr>
              <w:rPr>
                <w:rFonts w:ascii="Arial" w:hAnsi="Arial" w:cs="Arial"/>
              </w:rPr>
            </w:pPr>
            <w:r>
              <w:rPr>
                <w:rFonts w:ascii="Arial" w:hAnsi="Arial" w:cs="Arial"/>
              </w:rPr>
              <w:t>-1.189</w:t>
            </w:r>
          </w:p>
        </w:tc>
        <w:tc>
          <w:tcPr>
            <w:tcW w:w="1701" w:type="dxa"/>
            <w:gridSpan w:val="2"/>
          </w:tcPr>
          <w:p w14:paraId="3B52C68E" w14:textId="77777777" w:rsidR="00E27F8E" w:rsidRPr="00A67D5C" w:rsidRDefault="00E27F8E" w:rsidP="0066301C">
            <w:pPr>
              <w:rPr>
                <w:rFonts w:ascii="Arial" w:hAnsi="Arial" w:cs="Arial"/>
              </w:rPr>
            </w:pPr>
            <w:r>
              <w:rPr>
                <w:rFonts w:ascii="Arial" w:hAnsi="Arial" w:cs="Arial"/>
              </w:rPr>
              <w:t>0.243</w:t>
            </w:r>
          </w:p>
        </w:tc>
      </w:tr>
      <w:tr w:rsidR="00E27F8E" w14:paraId="4C808DD8" w14:textId="77777777" w:rsidTr="004D74AB">
        <w:trPr>
          <w:trHeight w:val="288"/>
        </w:trPr>
        <w:tc>
          <w:tcPr>
            <w:tcW w:w="2969" w:type="dxa"/>
          </w:tcPr>
          <w:p w14:paraId="726390F5" w14:textId="77777777" w:rsidR="00E27F8E" w:rsidRPr="00A67D5C" w:rsidRDefault="00E27F8E" w:rsidP="0066301C">
            <w:pPr>
              <w:rPr>
                <w:rFonts w:ascii="Arial" w:hAnsi="Arial" w:cs="Arial"/>
              </w:rPr>
            </w:pPr>
            <w:r w:rsidRPr="00A67D5C">
              <w:rPr>
                <w:rFonts w:ascii="Arial" w:hAnsi="Arial" w:cs="Arial"/>
              </w:rPr>
              <w:t>∆LNINDIFI</w:t>
            </w:r>
            <w:r w:rsidRPr="00A67D5C">
              <w:rPr>
                <w:rFonts w:ascii="Arial" w:hAnsi="Arial" w:cs="Arial"/>
                <w:vertAlign w:val="subscript"/>
              </w:rPr>
              <w:t>t-1</w:t>
            </w:r>
          </w:p>
        </w:tc>
        <w:tc>
          <w:tcPr>
            <w:tcW w:w="1420" w:type="dxa"/>
          </w:tcPr>
          <w:p w14:paraId="70BCEABB" w14:textId="77777777" w:rsidR="00E27F8E" w:rsidRPr="00A67D5C" w:rsidRDefault="00E27F8E" w:rsidP="0066301C">
            <w:pPr>
              <w:rPr>
                <w:rFonts w:ascii="Arial" w:hAnsi="Arial" w:cs="Arial"/>
              </w:rPr>
            </w:pPr>
            <w:r>
              <w:rPr>
                <w:rFonts w:ascii="Arial" w:hAnsi="Arial" w:cs="Arial"/>
              </w:rPr>
              <w:t>-0.0386</w:t>
            </w:r>
          </w:p>
        </w:tc>
        <w:tc>
          <w:tcPr>
            <w:tcW w:w="1702" w:type="dxa"/>
            <w:gridSpan w:val="2"/>
          </w:tcPr>
          <w:p w14:paraId="1A85FF26" w14:textId="77777777" w:rsidR="00E27F8E" w:rsidRPr="00A67D5C" w:rsidRDefault="00E27F8E" w:rsidP="0066301C">
            <w:pPr>
              <w:rPr>
                <w:rFonts w:ascii="Arial" w:hAnsi="Arial" w:cs="Arial"/>
              </w:rPr>
            </w:pPr>
            <w:r>
              <w:rPr>
                <w:rFonts w:ascii="Arial" w:hAnsi="Arial" w:cs="Arial"/>
              </w:rPr>
              <w:t>0.198</w:t>
            </w:r>
          </w:p>
        </w:tc>
        <w:tc>
          <w:tcPr>
            <w:tcW w:w="1701" w:type="dxa"/>
          </w:tcPr>
          <w:p w14:paraId="219A07FC" w14:textId="77777777" w:rsidR="00E27F8E" w:rsidRPr="00A67D5C" w:rsidRDefault="00E27F8E" w:rsidP="0066301C">
            <w:pPr>
              <w:rPr>
                <w:rFonts w:ascii="Arial" w:hAnsi="Arial" w:cs="Arial"/>
              </w:rPr>
            </w:pPr>
            <w:r>
              <w:rPr>
                <w:rFonts w:ascii="Arial" w:hAnsi="Arial" w:cs="Arial"/>
              </w:rPr>
              <w:t>-0.195</w:t>
            </w:r>
          </w:p>
        </w:tc>
        <w:tc>
          <w:tcPr>
            <w:tcW w:w="1701" w:type="dxa"/>
            <w:gridSpan w:val="2"/>
          </w:tcPr>
          <w:p w14:paraId="2D310459" w14:textId="77777777" w:rsidR="00E27F8E" w:rsidRPr="00A67D5C" w:rsidRDefault="00E27F8E" w:rsidP="0066301C">
            <w:pPr>
              <w:rPr>
                <w:rFonts w:ascii="Arial" w:hAnsi="Arial" w:cs="Arial"/>
              </w:rPr>
            </w:pPr>
            <w:r>
              <w:rPr>
                <w:rFonts w:ascii="Arial" w:hAnsi="Arial" w:cs="Arial"/>
              </w:rPr>
              <w:t>0.847</w:t>
            </w:r>
          </w:p>
        </w:tc>
      </w:tr>
      <w:tr w:rsidR="00E27F8E" w14:paraId="41C772B8" w14:textId="77777777" w:rsidTr="004D74AB">
        <w:trPr>
          <w:trHeight w:val="288"/>
        </w:trPr>
        <w:tc>
          <w:tcPr>
            <w:tcW w:w="2969" w:type="dxa"/>
          </w:tcPr>
          <w:p w14:paraId="7ACE6431" w14:textId="77777777" w:rsidR="00E27F8E" w:rsidRPr="00A67D5C" w:rsidRDefault="00E27F8E" w:rsidP="0066301C">
            <w:pPr>
              <w:rPr>
                <w:rFonts w:ascii="Arial" w:hAnsi="Arial" w:cs="Arial"/>
              </w:rPr>
            </w:pPr>
            <w:r w:rsidRPr="00A67D5C">
              <w:rPr>
                <w:rFonts w:ascii="Arial" w:hAnsi="Arial" w:cs="Arial"/>
              </w:rPr>
              <w:t>ECM</w:t>
            </w:r>
            <w:r w:rsidRPr="00A67D5C">
              <w:rPr>
                <w:rFonts w:ascii="Arial" w:hAnsi="Arial" w:cs="Arial"/>
                <w:vertAlign w:val="subscript"/>
              </w:rPr>
              <w:t>t-1</w:t>
            </w:r>
          </w:p>
        </w:tc>
        <w:tc>
          <w:tcPr>
            <w:tcW w:w="1420" w:type="dxa"/>
          </w:tcPr>
          <w:p w14:paraId="5AE6AC00" w14:textId="77777777" w:rsidR="00E27F8E" w:rsidRPr="00A67D5C" w:rsidRDefault="00E27F8E" w:rsidP="0066301C">
            <w:pPr>
              <w:rPr>
                <w:rFonts w:ascii="Arial" w:hAnsi="Arial" w:cs="Arial"/>
              </w:rPr>
            </w:pPr>
            <w:r>
              <w:rPr>
                <w:rFonts w:ascii="Arial" w:hAnsi="Arial" w:cs="Arial"/>
              </w:rPr>
              <w:t>-0.571</w:t>
            </w:r>
          </w:p>
        </w:tc>
        <w:tc>
          <w:tcPr>
            <w:tcW w:w="1702" w:type="dxa"/>
            <w:gridSpan w:val="2"/>
          </w:tcPr>
          <w:p w14:paraId="5E61741C" w14:textId="77777777" w:rsidR="00E27F8E" w:rsidRPr="00A67D5C" w:rsidRDefault="00E27F8E" w:rsidP="0066301C">
            <w:pPr>
              <w:rPr>
                <w:rFonts w:ascii="Arial" w:hAnsi="Arial" w:cs="Arial"/>
              </w:rPr>
            </w:pPr>
            <w:r>
              <w:rPr>
                <w:rFonts w:ascii="Arial" w:hAnsi="Arial" w:cs="Arial"/>
              </w:rPr>
              <w:t>0.109</w:t>
            </w:r>
          </w:p>
        </w:tc>
        <w:tc>
          <w:tcPr>
            <w:tcW w:w="1701" w:type="dxa"/>
          </w:tcPr>
          <w:p w14:paraId="5BB03687" w14:textId="77777777" w:rsidR="00E27F8E" w:rsidRPr="00A67D5C" w:rsidRDefault="00E27F8E" w:rsidP="0066301C">
            <w:pPr>
              <w:rPr>
                <w:rFonts w:ascii="Arial" w:hAnsi="Arial" w:cs="Arial"/>
              </w:rPr>
            </w:pPr>
            <w:r>
              <w:rPr>
                <w:rFonts w:ascii="Arial" w:hAnsi="Arial" w:cs="Arial"/>
              </w:rPr>
              <w:t>-5.213</w:t>
            </w:r>
          </w:p>
        </w:tc>
        <w:tc>
          <w:tcPr>
            <w:tcW w:w="1701" w:type="dxa"/>
            <w:gridSpan w:val="2"/>
          </w:tcPr>
          <w:p w14:paraId="1228C983" w14:textId="77777777" w:rsidR="00E27F8E" w:rsidRPr="00A67D5C" w:rsidRDefault="00E27F8E" w:rsidP="0066301C">
            <w:pPr>
              <w:rPr>
                <w:rFonts w:ascii="Arial" w:hAnsi="Arial" w:cs="Arial"/>
              </w:rPr>
            </w:pPr>
            <w:r>
              <w:rPr>
                <w:rFonts w:ascii="Arial" w:hAnsi="Arial" w:cs="Arial"/>
              </w:rPr>
              <w:t>0.000</w:t>
            </w:r>
          </w:p>
        </w:tc>
      </w:tr>
      <w:tr w:rsidR="00E27F8E" w14:paraId="6905E73F" w14:textId="77777777" w:rsidTr="004D74AB">
        <w:trPr>
          <w:trHeight w:val="288"/>
        </w:trPr>
        <w:tc>
          <w:tcPr>
            <w:tcW w:w="9493" w:type="dxa"/>
            <w:gridSpan w:val="7"/>
          </w:tcPr>
          <w:p w14:paraId="1B88C54D" w14:textId="77777777" w:rsidR="00E27F8E" w:rsidRPr="000268D6" w:rsidRDefault="00E27F8E" w:rsidP="0066301C">
            <w:pPr>
              <w:jc w:val="center"/>
              <w:rPr>
                <w:rFonts w:ascii="Arial" w:hAnsi="Arial" w:cs="Arial"/>
                <w:b/>
                <w:bCs/>
              </w:rPr>
            </w:pPr>
            <w:r w:rsidRPr="000268D6">
              <w:rPr>
                <w:rFonts w:ascii="Arial" w:hAnsi="Arial" w:cs="Arial"/>
                <w:b/>
                <w:bCs/>
              </w:rPr>
              <w:t xml:space="preserve">Partner </w:t>
            </w:r>
            <w:r>
              <w:rPr>
                <w:rFonts w:ascii="Arial" w:hAnsi="Arial" w:cs="Arial"/>
                <w:b/>
                <w:bCs/>
              </w:rPr>
              <w:t>India</w:t>
            </w:r>
          </w:p>
        </w:tc>
      </w:tr>
      <w:tr w:rsidR="00E27F8E" w14:paraId="1CFB7E7F" w14:textId="77777777" w:rsidTr="004D74AB">
        <w:trPr>
          <w:trHeight w:val="288"/>
        </w:trPr>
        <w:tc>
          <w:tcPr>
            <w:tcW w:w="2969" w:type="dxa"/>
          </w:tcPr>
          <w:p w14:paraId="228558A5" w14:textId="77777777" w:rsidR="00E27F8E" w:rsidRPr="000268D6" w:rsidRDefault="00E27F8E" w:rsidP="0066301C">
            <w:pPr>
              <w:jc w:val="center"/>
              <w:rPr>
                <w:rFonts w:ascii="Arial" w:hAnsi="Arial" w:cs="Arial"/>
                <w:b/>
                <w:bCs/>
              </w:rPr>
            </w:pPr>
            <w:r w:rsidRPr="000268D6">
              <w:rPr>
                <w:rFonts w:ascii="Arial" w:hAnsi="Arial" w:cs="Arial"/>
                <w:b/>
                <w:bCs/>
              </w:rPr>
              <w:t>Variable</w:t>
            </w:r>
          </w:p>
        </w:tc>
        <w:tc>
          <w:tcPr>
            <w:tcW w:w="1420" w:type="dxa"/>
          </w:tcPr>
          <w:p w14:paraId="70A675F9" w14:textId="77777777" w:rsidR="00E27F8E" w:rsidRPr="000268D6" w:rsidRDefault="00E27F8E" w:rsidP="0066301C">
            <w:pPr>
              <w:jc w:val="center"/>
              <w:rPr>
                <w:rFonts w:ascii="Arial" w:hAnsi="Arial" w:cs="Arial"/>
                <w:b/>
                <w:bCs/>
              </w:rPr>
            </w:pPr>
            <w:r w:rsidRPr="000268D6">
              <w:rPr>
                <w:rFonts w:ascii="Arial" w:hAnsi="Arial" w:cs="Arial"/>
                <w:b/>
                <w:bCs/>
              </w:rPr>
              <w:t>Coefficient</w:t>
            </w:r>
          </w:p>
        </w:tc>
        <w:tc>
          <w:tcPr>
            <w:tcW w:w="1702" w:type="dxa"/>
            <w:gridSpan w:val="2"/>
          </w:tcPr>
          <w:p w14:paraId="3D08CEF6" w14:textId="77777777" w:rsidR="00E27F8E" w:rsidRPr="000268D6" w:rsidRDefault="00E27F8E" w:rsidP="0066301C">
            <w:pPr>
              <w:jc w:val="center"/>
              <w:rPr>
                <w:rFonts w:ascii="Arial" w:hAnsi="Arial" w:cs="Arial"/>
                <w:b/>
                <w:bCs/>
              </w:rPr>
            </w:pPr>
            <w:r w:rsidRPr="000268D6">
              <w:rPr>
                <w:rFonts w:ascii="Arial" w:hAnsi="Arial" w:cs="Arial"/>
                <w:b/>
                <w:bCs/>
              </w:rPr>
              <w:t>Std. Error</w:t>
            </w:r>
          </w:p>
        </w:tc>
        <w:tc>
          <w:tcPr>
            <w:tcW w:w="1701" w:type="dxa"/>
          </w:tcPr>
          <w:p w14:paraId="15F896CD" w14:textId="77777777" w:rsidR="00E27F8E" w:rsidRPr="000268D6" w:rsidRDefault="00E27F8E" w:rsidP="0066301C">
            <w:pPr>
              <w:jc w:val="center"/>
              <w:rPr>
                <w:rFonts w:ascii="Arial" w:hAnsi="Arial" w:cs="Arial"/>
                <w:b/>
                <w:bCs/>
              </w:rPr>
            </w:pPr>
            <w:r w:rsidRPr="000268D6">
              <w:rPr>
                <w:rFonts w:ascii="Arial" w:hAnsi="Arial" w:cs="Arial"/>
                <w:b/>
                <w:bCs/>
              </w:rPr>
              <w:t>t-statistic</w:t>
            </w:r>
          </w:p>
        </w:tc>
        <w:tc>
          <w:tcPr>
            <w:tcW w:w="1701" w:type="dxa"/>
            <w:gridSpan w:val="2"/>
          </w:tcPr>
          <w:p w14:paraId="7CBDEB5E" w14:textId="77777777" w:rsidR="00E27F8E" w:rsidRPr="000268D6" w:rsidRDefault="00E27F8E" w:rsidP="0066301C">
            <w:pPr>
              <w:jc w:val="center"/>
              <w:rPr>
                <w:rFonts w:ascii="Arial" w:hAnsi="Arial" w:cs="Arial"/>
                <w:b/>
                <w:bCs/>
              </w:rPr>
            </w:pPr>
            <w:r w:rsidRPr="000268D6">
              <w:rPr>
                <w:rFonts w:ascii="Arial" w:hAnsi="Arial" w:cs="Arial"/>
                <w:b/>
                <w:bCs/>
              </w:rPr>
              <w:t>Prob.</w:t>
            </w:r>
          </w:p>
        </w:tc>
      </w:tr>
      <w:tr w:rsidR="00E27F8E" w14:paraId="6FC673C8" w14:textId="77777777" w:rsidTr="004D74AB">
        <w:trPr>
          <w:trHeight w:val="288"/>
        </w:trPr>
        <w:tc>
          <w:tcPr>
            <w:tcW w:w="2969" w:type="dxa"/>
          </w:tcPr>
          <w:p w14:paraId="77307FA9" w14:textId="77777777" w:rsidR="00E27F8E" w:rsidRPr="000268D6" w:rsidRDefault="00E27F8E" w:rsidP="0066301C">
            <w:pPr>
              <w:rPr>
                <w:rFonts w:ascii="Arial" w:hAnsi="Arial" w:cs="Arial"/>
                <w:vertAlign w:val="subscript"/>
              </w:rPr>
            </w:pPr>
            <w:r w:rsidRPr="000268D6">
              <w:rPr>
                <w:rFonts w:ascii="Arial" w:hAnsi="Arial" w:cs="Arial"/>
              </w:rPr>
              <w:t>Dependent variable ∆LNTB</w:t>
            </w:r>
            <w:r w:rsidRPr="000268D6">
              <w:rPr>
                <w:rFonts w:ascii="Arial" w:hAnsi="Arial" w:cs="Arial"/>
                <w:vertAlign w:val="subscript"/>
              </w:rPr>
              <w:t>t</w:t>
            </w:r>
          </w:p>
        </w:tc>
        <w:tc>
          <w:tcPr>
            <w:tcW w:w="1420" w:type="dxa"/>
          </w:tcPr>
          <w:p w14:paraId="1A9E7912" w14:textId="77777777" w:rsidR="00E27F8E" w:rsidRPr="000268D6" w:rsidRDefault="00E27F8E" w:rsidP="0066301C">
            <w:pPr>
              <w:rPr>
                <w:rFonts w:ascii="Arial" w:hAnsi="Arial" w:cs="Arial"/>
              </w:rPr>
            </w:pPr>
          </w:p>
        </w:tc>
        <w:tc>
          <w:tcPr>
            <w:tcW w:w="1702" w:type="dxa"/>
            <w:gridSpan w:val="2"/>
          </w:tcPr>
          <w:p w14:paraId="4C9778FC" w14:textId="77777777" w:rsidR="00E27F8E" w:rsidRPr="000268D6" w:rsidRDefault="00E27F8E" w:rsidP="0066301C">
            <w:pPr>
              <w:rPr>
                <w:rFonts w:ascii="Arial" w:hAnsi="Arial" w:cs="Arial"/>
              </w:rPr>
            </w:pPr>
          </w:p>
        </w:tc>
        <w:tc>
          <w:tcPr>
            <w:tcW w:w="1701" w:type="dxa"/>
          </w:tcPr>
          <w:p w14:paraId="6A094664" w14:textId="77777777" w:rsidR="00E27F8E" w:rsidRPr="000268D6" w:rsidRDefault="00E27F8E" w:rsidP="0066301C">
            <w:pPr>
              <w:rPr>
                <w:rFonts w:ascii="Arial" w:hAnsi="Arial" w:cs="Arial"/>
              </w:rPr>
            </w:pPr>
          </w:p>
        </w:tc>
        <w:tc>
          <w:tcPr>
            <w:tcW w:w="1701" w:type="dxa"/>
            <w:gridSpan w:val="2"/>
          </w:tcPr>
          <w:p w14:paraId="00DE6B49" w14:textId="77777777" w:rsidR="00E27F8E" w:rsidRPr="000268D6" w:rsidRDefault="00E27F8E" w:rsidP="0066301C">
            <w:pPr>
              <w:rPr>
                <w:rFonts w:ascii="Arial" w:hAnsi="Arial" w:cs="Arial"/>
              </w:rPr>
            </w:pPr>
          </w:p>
        </w:tc>
      </w:tr>
      <w:tr w:rsidR="00E27F8E" w14:paraId="0D10E9DD" w14:textId="77777777" w:rsidTr="004D74AB">
        <w:trPr>
          <w:trHeight w:val="301"/>
        </w:trPr>
        <w:tc>
          <w:tcPr>
            <w:tcW w:w="2969" w:type="dxa"/>
          </w:tcPr>
          <w:p w14:paraId="2B54BC91" w14:textId="77777777" w:rsidR="00E27F8E" w:rsidRPr="000268D6" w:rsidRDefault="00E27F8E" w:rsidP="0066301C">
            <w:pPr>
              <w:rPr>
                <w:rFonts w:ascii="Arial" w:hAnsi="Arial" w:cs="Arial"/>
                <w:b/>
                <w:bCs/>
              </w:rPr>
            </w:pPr>
            <w:r w:rsidRPr="000268D6">
              <w:rPr>
                <w:rFonts w:ascii="Arial" w:hAnsi="Arial" w:cs="Arial"/>
                <w:b/>
                <w:bCs/>
              </w:rPr>
              <w:t>Long-run elasticities</w:t>
            </w:r>
          </w:p>
        </w:tc>
        <w:tc>
          <w:tcPr>
            <w:tcW w:w="1420" w:type="dxa"/>
          </w:tcPr>
          <w:p w14:paraId="6CD2BDE5" w14:textId="77777777" w:rsidR="00E27F8E" w:rsidRPr="000268D6" w:rsidRDefault="00E27F8E" w:rsidP="0066301C">
            <w:pPr>
              <w:rPr>
                <w:rFonts w:ascii="Arial" w:hAnsi="Arial" w:cs="Arial"/>
              </w:rPr>
            </w:pPr>
          </w:p>
        </w:tc>
        <w:tc>
          <w:tcPr>
            <w:tcW w:w="1702" w:type="dxa"/>
            <w:gridSpan w:val="2"/>
          </w:tcPr>
          <w:p w14:paraId="6BCBF55F" w14:textId="77777777" w:rsidR="00E27F8E" w:rsidRPr="000268D6" w:rsidRDefault="00E27F8E" w:rsidP="0066301C">
            <w:pPr>
              <w:rPr>
                <w:rFonts w:ascii="Arial" w:hAnsi="Arial" w:cs="Arial"/>
              </w:rPr>
            </w:pPr>
          </w:p>
        </w:tc>
        <w:tc>
          <w:tcPr>
            <w:tcW w:w="1701" w:type="dxa"/>
          </w:tcPr>
          <w:p w14:paraId="0A912F08" w14:textId="77777777" w:rsidR="00E27F8E" w:rsidRPr="000268D6" w:rsidRDefault="00E27F8E" w:rsidP="0066301C">
            <w:pPr>
              <w:rPr>
                <w:rFonts w:ascii="Arial" w:hAnsi="Arial" w:cs="Arial"/>
              </w:rPr>
            </w:pPr>
          </w:p>
        </w:tc>
        <w:tc>
          <w:tcPr>
            <w:tcW w:w="1701" w:type="dxa"/>
            <w:gridSpan w:val="2"/>
          </w:tcPr>
          <w:p w14:paraId="7EC60092" w14:textId="77777777" w:rsidR="00E27F8E" w:rsidRPr="000268D6" w:rsidRDefault="00E27F8E" w:rsidP="0066301C">
            <w:pPr>
              <w:rPr>
                <w:rFonts w:ascii="Arial" w:hAnsi="Arial" w:cs="Arial"/>
              </w:rPr>
            </w:pPr>
          </w:p>
        </w:tc>
      </w:tr>
      <w:tr w:rsidR="00E27F8E" w14:paraId="71D03EDF" w14:textId="77777777" w:rsidTr="004D74AB">
        <w:trPr>
          <w:trHeight w:val="288"/>
        </w:trPr>
        <w:tc>
          <w:tcPr>
            <w:tcW w:w="2969" w:type="dxa"/>
          </w:tcPr>
          <w:p w14:paraId="5CE86A79" w14:textId="77777777" w:rsidR="00E27F8E" w:rsidRPr="000268D6" w:rsidRDefault="00E27F8E" w:rsidP="0066301C">
            <w:pPr>
              <w:rPr>
                <w:rFonts w:ascii="Arial" w:hAnsi="Arial" w:cs="Arial"/>
              </w:rPr>
            </w:pPr>
            <w:r w:rsidRPr="000268D6">
              <w:rPr>
                <w:rFonts w:ascii="Arial" w:hAnsi="Arial" w:cs="Arial"/>
              </w:rPr>
              <w:t>C</w:t>
            </w:r>
          </w:p>
        </w:tc>
        <w:tc>
          <w:tcPr>
            <w:tcW w:w="1420" w:type="dxa"/>
          </w:tcPr>
          <w:p w14:paraId="5B497DB8" w14:textId="77777777" w:rsidR="00E27F8E" w:rsidRPr="000268D6" w:rsidRDefault="00E27F8E" w:rsidP="0066301C">
            <w:pPr>
              <w:rPr>
                <w:rFonts w:ascii="Arial" w:hAnsi="Arial" w:cs="Arial"/>
              </w:rPr>
            </w:pPr>
            <w:r>
              <w:rPr>
                <w:rFonts w:ascii="Arial" w:hAnsi="Arial" w:cs="Arial"/>
              </w:rPr>
              <w:t>9.675</w:t>
            </w:r>
          </w:p>
        </w:tc>
        <w:tc>
          <w:tcPr>
            <w:tcW w:w="1702" w:type="dxa"/>
            <w:gridSpan w:val="2"/>
          </w:tcPr>
          <w:p w14:paraId="2D68ECE9" w14:textId="77777777" w:rsidR="00E27F8E" w:rsidRPr="000268D6" w:rsidRDefault="00E27F8E" w:rsidP="0066301C">
            <w:pPr>
              <w:rPr>
                <w:rFonts w:ascii="Arial" w:hAnsi="Arial" w:cs="Arial"/>
              </w:rPr>
            </w:pPr>
            <w:r>
              <w:rPr>
                <w:rFonts w:ascii="Arial" w:hAnsi="Arial" w:cs="Arial"/>
              </w:rPr>
              <w:t>1.871</w:t>
            </w:r>
          </w:p>
        </w:tc>
        <w:tc>
          <w:tcPr>
            <w:tcW w:w="1701" w:type="dxa"/>
          </w:tcPr>
          <w:p w14:paraId="2D558428" w14:textId="77777777" w:rsidR="00E27F8E" w:rsidRPr="000268D6" w:rsidRDefault="00E27F8E" w:rsidP="0066301C">
            <w:pPr>
              <w:rPr>
                <w:rFonts w:ascii="Arial" w:hAnsi="Arial" w:cs="Arial"/>
              </w:rPr>
            </w:pPr>
            <w:r>
              <w:rPr>
                <w:rFonts w:ascii="Arial" w:hAnsi="Arial" w:cs="Arial"/>
              </w:rPr>
              <w:t>5.172</w:t>
            </w:r>
          </w:p>
        </w:tc>
        <w:tc>
          <w:tcPr>
            <w:tcW w:w="1701" w:type="dxa"/>
            <w:gridSpan w:val="2"/>
          </w:tcPr>
          <w:p w14:paraId="44BBC062" w14:textId="77777777" w:rsidR="00E27F8E" w:rsidRPr="000268D6" w:rsidRDefault="00E27F8E" w:rsidP="0066301C">
            <w:pPr>
              <w:rPr>
                <w:rFonts w:ascii="Arial" w:hAnsi="Arial" w:cs="Arial"/>
              </w:rPr>
            </w:pPr>
            <w:r>
              <w:rPr>
                <w:rFonts w:ascii="Arial" w:hAnsi="Arial" w:cs="Arial"/>
              </w:rPr>
              <w:t>0.000</w:t>
            </w:r>
          </w:p>
        </w:tc>
      </w:tr>
      <w:tr w:rsidR="00E27F8E" w14:paraId="74BE05DE" w14:textId="77777777" w:rsidTr="004D74AB">
        <w:trPr>
          <w:trHeight w:val="288"/>
        </w:trPr>
        <w:tc>
          <w:tcPr>
            <w:tcW w:w="2969" w:type="dxa"/>
          </w:tcPr>
          <w:p w14:paraId="5D08F7F5" w14:textId="77777777" w:rsidR="00E27F8E" w:rsidRPr="000268D6" w:rsidRDefault="00E27F8E" w:rsidP="0066301C">
            <w:pPr>
              <w:rPr>
                <w:rFonts w:ascii="Arial" w:hAnsi="Arial" w:cs="Arial"/>
              </w:rPr>
            </w:pPr>
            <w:r w:rsidRPr="000268D6">
              <w:rPr>
                <w:rFonts w:ascii="Arial" w:hAnsi="Arial" w:cs="Arial"/>
              </w:rPr>
              <w:t>LNREER</w:t>
            </w:r>
          </w:p>
        </w:tc>
        <w:tc>
          <w:tcPr>
            <w:tcW w:w="1420" w:type="dxa"/>
          </w:tcPr>
          <w:p w14:paraId="3C1D5117" w14:textId="77777777" w:rsidR="00E27F8E" w:rsidRPr="000268D6" w:rsidRDefault="00E27F8E" w:rsidP="0066301C">
            <w:pPr>
              <w:rPr>
                <w:rFonts w:ascii="Arial" w:hAnsi="Arial" w:cs="Arial"/>
              </w:rPr>
            </w:pPr>
            <w:r>
              <w:rPr>
                <w:rFonts w:ascii="Arial" w:hAnsi="Arial" w:cs="Arial"/>
              </w:rPr>
              <w:t>-0.619</w:t>
            </w:r>
          </w:p>
        </w:tc>
        <w:tc>
          <w:tcPr>
            <w:tcW w:w="1702" w:type="dxa"/>
            <w:gridSpan w:val="2"/>
          </w:tcPr>
          <w:p w14:paraId="4BBCA616" w14:textId="77777777" w:rsidR="00E27F8E" w:rsidRPr="000268D6" w:rsidRDefault="00E27F8E" w:rsidP="0066301C">
            <w:pPr>
              <w:rPr>
                <w:rFonts w:ascii="Arial" w:hAnsi="Arial" w:cs="Arial"/>
              </w:rPr>
            </w:pPr>
            <w:r>
              <w:rPr>
                <w:rFonts w:ascii="Arial" w:hAnsi="Arial" w:cs="Arial"/>
              </w:rPr>
              <w:t>0.096</w:t>
            </w:r>
          </w:p>
        </w:tc>
        <w:tc>
          <w:tcPr>
            <w:tcW w:w="1701" w:type="dxa"/>
          </w:tcPr>
          <w:p w14:paraId="1F3C85D1" w14:textId="77777777" w:rsidR="00E27F8E" w:rsidRPr="000268D6" w:rsidRDefault="00E27F8E" w:rsidP="0066301C">
            <w:pPr>
              <w:rPr>
                <w:rFonts w:ascii="Arial" w:hAnsi="Arial" w:cs="Arial"/>
              </w:rPr>
            </w:pPr>
            <w:r>
              <w:rPr>
                <w:rFonts w:ascii="Arial" w:hAnsi="Arial" w:cs="Arial"/>
              </w:rPr>
              <w:t>-6.388</w:t>
            </w:r>
          </w:p>
        </w:tc>
        <w:tc>
          <w:tcPr>
            <w:tcW w:w="1701" w:type="dxa"/>
            <w:gridSpan w:val="2"/>
          </w:tcPr>
          <w:p w14:paraId="6FE66503" w14:textId="77777777" w:rsidR="00E27F8E" w:rsidRPr="000268D6" w:rsidRDefault="00E27F8E" w:rsidP="0066301C">
            <w:pPr>
              <w:rPr>
                <w:rFonts w:ascii="Arial" w:hAnsi="Arial" w:cs="Arial"/>
              </w:rPr>
            </w:pPr>
            <w:r>
              <w:rPr>
                <w:rFonts w:ascii="Arial" w:hAnsi="Arial" w:cs="Arial"/>
              </w:rPr>
              <w:t>0.000</w:t>
            </w:r>
          </w:p>
        </w:tc>
      </w:tr>
      <w:tr w:rsidR="00E27F8E" w14:paraId="4AF6DF23" w14:textId="77777777" w:rsidTr="004D74AB">
        <w:trPr>
          <w:trHeight w:val="288"/>
        </w:trPr>
        <w:tc>
          <w:tcPr>
            <w:tcW w:w="2969" w:type="dxa"/>
          </w:tcPr>
          <w:p w14:paraId="38F41780" w14:textId="77777777" w:rsidR="00E27F8E" w:rsidRPr="000268D6" w:rsidRDefault="00E27F8E" w:rsidP="0066301C">
            <w:pPr>
              <w:rPr>
                <w:rFonts w:ascii="Arial" w:hAnsi="Arial" w:cs="Arial"/>
              </w:rPr>
            </w:pPr>
            <w:r w:rsidRPr="000268D6">
              <w:rPr>
                <w:rFonts w:ascii="Arial" w:hAnsi="Arial" w:cs="Arial"/>
              </w:rPr>
              <w:t>LNDI</w:t>
            </w:r>
          </w:p>
        </w:tc>
        <w:tc>
          <w:tcPr>
            <w:tcW w:w="1420" w:type="dxa"/>
          </w:tcPr>
          <w:p w14:paraId="07365B1A" w14:textId="77777777" w:rsidR="00E27F8E" w:rsidRPr="000268D6" w:rsidRDefault="00E27F8E" w:rsidP="0066301C">
            <w:pPr>
              <w:rPr>
                <w:rFonts w:ascii="Arial" w:hAnsi="Arial" w:cs="Arial"/>
              </w:rPr>
            </w:pPr>
            <w:r>
              <w:rPr>
                <w:rFonts w:ascii="Arial" w:hAnsi="Arial" w:cs="Arial"/>
              </w:rPr>
              <w:t>-0.054</w:t>
            </w:r>
          </w:p>
        </w:tc>
        <w:tc>
          <w:tcPr>
            <w:tcW w:w="1702" w:type="dxa"/>
            <w:gridSpan w:val="2"/>
          </w:tcPr>
          <w:p w14:paraId="4B51A081" w14:textId="77777777" w:rsidR="00E27F8E" w:rsidRPr="000268D6" w:rsidRDefault="00E27F8E" w:rsidP="0066301C">
            <w:pPr>
              <w:rPr>
                <w:rFonts w:ascii="Arial" w:hAnsi="Arial" w:cs="Arial"/>
              </w:rPr>
            </w:pPr>
            <w:r>
              <w:rPr>
                <w:rFonts w:ascii="Arial" w:hAnsi="Arial" w:cs="Arial"/>
              </w:rPr>
              <w:t>0.112</w:t>
            </w:r>
          </w:p>
        </w:tc>
        <w:tc>
          <w:tcPr>
            <w:tcW w:w="1701" w:type="dxa"/>
          </w:tcPr>
          <w:p w14:paraId="15874736" w14:textId="77777777" w:rsidR="00E27F8E" w:rsidRPr="000268D6" w:rsidRDefault="00E27F8E" w:rsidP="0066301C">
            <w:pPr>
              <w:rPr>
                <w:rFonts w:ascii="Arial" w:hAnsi="Arial" w:cs="Arial"/>
              </w:rPr>
            </w:pPr>
            <w:r>
              <w:rPr>
                <w:rFonts w:ascii="Arial" w:hAnsi="Arial" w:cs="Arial"/>
              </w:rPr>
              <w:t>-0.484</w:t>
            </w:r>
          </w:p>
        </w:tc>
        <w:tc>
          <w:tcPr>
            <w:tcW w:w="1701" w:type="dxa"/>
            <w:gridSpan w:val="2"/>
          </w:tcPr>
          <w:p w14:paraId="01C3AE00" w14:textId="77777777" w:rsidR="00E27F8E" w:rsidRPr="000268D6" w:rsidRDefault="00E27F8E" w:rsidP="0066301C">
            <w:pPr>
              <w:rPr>
                <w:rFonts w:ascii="Arial" w:hAnsi="Arial" w:cs="Arial"/>
              </w:rPr>
            </w:pPr>
            <w:r>
              <w:rPr>
                <w:rFonts w:ascii="Arial" w:hAnsi="Arial" w:cs="Arial"/>
              </w:rPr>
              <w:t>0.631</w:t>
            </w:r>
          </w:p>
        </w:tc>
      </w:tr>
      <w:tr w:rsidR="00E27F8E" w14:paraId="40504688" w14:textId="77777777" w:rsidTr="004D74AB">
        <w:trPr>
          <w:trHeight w:val="288"/>
        </w:trPr>
        <w:tc>
          <w:tcPr>
            <w:tcW w:w="2969" w:type="dxa"/>
          </w:tcPr>
          <w:p w14:paraId="7BDB10D7" w14:textId="77777777" w:rsidR="00E27F8E" w:rsidRPr="000268D6" w:rsidRDefault="00E27F8E" w:rsidP="0066301C">
            <w:pPr>
              <w:rPr>
                <w:rFonts w:ascii="Arial" w:hAnsi="Arial" w:cs="Arial"/>
              </w:rPr>
            </w:pPr>
            <w:r w:rsidRPr="000268D6">
              <w:rPr>
                <w:rFonts w:ascii="Arial" w:hAnsi="Arial" w:cs="Arial"/>
              </w:rPr>
              <w:t>LN</w:t>
            </w:r>
            <w:r>
              <w:rPr>
                <w:rFonts w:ascii="Arial" w:hAnsi="Arial" w:cs="Arial"/>
              </w:rPr>
              <w:t>INDIA</w:t>
            </w:r>
            <w:r w:rsidRPr="000268D6">
              <w:rPr>
                <w:rFonts w:ascii="Arial" w:hAnsi="Arial" w:cs="Arial"/>
              </w:rPr>
              <w:t>FI</w:t>
            </w:r>
          </w:p>
        </w:tc>
        <w:tc>
          <w:tcPr>
            <w:tcW w:w="1420" w:type="dxa"/>
          </w:tcPr>
          <w:p w14:paraId="1E21F1C2" w14:textId="77777777" w:rsidR="00E27F8E" w:rsidRPr="000268D6" w:rsidRDefault="00E27F8E" w:rsidP="0066301C">
            <w:pPr>
              <w:rPr>
                <w:rFonts w:ascii="Arial" w:hAnsi="Arial" w:cs="Arial"/>
              </w:rPr>
            </w:pPr>
            <w:r>
              <w:rPr>
                <w:rFonts w:ascii="Arial" w:hAnsi="Arial" w:cs="Arial"/>
              </w:rPr>
              <w:t>-0.291</w:t>
            </w:r>
          </w:p>
        </w:tc>
        <w:tc>
          <w:tcPr>
            <w:tcW w:w="1702" w:type="dxa"/>
            <w:gridSpan w:val="2"/>
          </w:tcPr>
          <w:p w14:paraId="17445773" w14:textId="77777777" w:rsidR="00E27F8E" w:rsidRPr="000268D6" w:rsidRDefault="00E27F8E" w:rsidP="0066301C">
            <w:pPr>
              <w:rPr>
                <w:rFonts w:ascii="Arial" w:hAnsi="Arial" w:cs="Arial"/>
              </w:rPr>
            </w:pPr>
            <w:r>
              <w:rPr>
                <w:rFonts w:ascii="Arial" w:hAnsi="Arial" w:cs="Arial"/>
              </w:rPr>
              <w:t>0.053</w:t>
            </w:r>
          </w:p>
        </w:tc>
        <w:tc>
          <w:tcPr>
            <w:tcW w:w="1701" w:type="dxa"/>
          </w:tcPr>
          <w:p w14:paraId="33DBA48E" w14:textId="77777777" w:rsidR="00E27F8E" w:rsidRPr="000268D6" w:rsidRDefault="00E27F8E" w:rsidP="0066301C">
            <w:pPr>
              <w:rPr>
                <w:rFonts w:ascii="Arial" w:hAnsi="Arial" w:cs="Arial"/>
              </w:rPr>
            </w:pPr>
            <w:r>
              <w:rPr>
                <w:rFonts w:ascii="Arial" w:hAnsi="Arial" w:cs="Arial"/>
              </w:rPr>
              <w:t>-5.529</w:t>
            </w:r>
          </w:p>
        </w:tc>
        <w:tc>
          <w:tcPr>
            <w:tcW w:w="1701" w:type="dxa"/>
            <w:gridSpan w:val="2"/>
          </w:tcPr>
          <w:p w14:paraId="0C44A3E5" w14:textId="77777777" w:rsidR="00E27F8E" w:rsidRPr="000268D6" w:rsidRDefault="00E27F8E" w:rsidP="0066301C">
            <w:pPr>
              <w:rPr>
                <w:rFonts w:ascii="Arial" w:hAnsi="Arial" w:cs="Arial"/>
              </w:rPr>
            </w:pPr>
            <w:r>
              <w:rPr>
                <w:rFonts w:ascii="Arial" w:hAnsi="Arial" w:cs="Arial"/>
              </w:rPr>
              <w:t>0.000</w:t>
            </w:r>
          </w:p>
        </w:tc>
      </w:tr>
      <w:tr w:rsidR="00E27F8E" w14:paraId="1EBBA26B" w14:textId="77777777" w:rsidTr="004D74AB">
        <w:trPr>
          <w:trHeight w:val="288"/>
        </w:trPr>
        <w:tc>
          <w:tcPr>
            <w:tcW w:w="2969" w:type="dxa"/>
          </w:tcPr>
          <w:p w14:paraId="62AEAE0A" w14:textId="77777777" w:rsidR="00E27F8E" w:rsidRPr="000268D6" w:rsidRDefault="00E27F8E" w:rsidP="0066301C">
            <w:pPr>
              <w:rPr>
                <w:rFonts w:ascii="Arial" w:hAnsi="Arial" w:cs="Arial"/>
              </w:rPr>
            </w:pPr>
            <w:r w:rsidRPr="000268D6">
              <w:rPr>
                <w:rFonts w:ascii="Arial" w:hAnsi="Arial" w:cs="Arial"/>
                <w:b/>
                <w:bCs/>
              </w:rPr>
              <w:t>Short-run elasticities</w:t>
            </w:r>
          </w:p>
        </w:tc>
        <w:tc>
          <w:tcPr>
            <w:tcW w:w="1420" w:type="dxa"/>
          </w:tcPr>
          <w:p w14:paraId="62579F48" w14:textId="77777777" w:rsidR="00E27F8E" w:rsidRPr="000268D6" w:rsidRDefault="00E27F8E" w:rsidP="0066301C">
            <w:pPr>
              <w:rPr>
                <w:rFonts w:ascii="Arial" w:hAnsi="Arial" w:cs="Arial"/>
              </w:rPr>
            </w:pPr>
          </w:p>
        </w:tc>
        <w:tc>
          <w:tcPr>
            <w:tcW w:w="1702" w:type="dxa"/>
            <w:gridSpan w:val="2"/>
          </w:tcPr>
          <w:p w14:paraId="56866B57" w14:textId="77777777" w:rsidR="00E27F8E" w:rsidRPr="000268D6" w:rsidRDefault="00E27F8E" w:rsidP="0066301C">
            <w:pPr>
              <w:rPr>
                <w:rFonts w:ascii="Arial" w:hAnsi="Arial" w:cs="Arial"/>
              </w:rPr>
            </w:pPr>
          </w:p>
        </w:tc>
        <w:tc>
          <w:tcPr>
            <w:tcW w:w="1701" w:type="dxa"/>
          </w:tcPr>
          <w:p w14:paraId="7DD0CECE" w14:textId="77777777" w:rsidR="00E27F8E" w:rsidRPr="000268D6" w:rsidRDefault="00E27F8E" w:rsidP="0066301C">
            <w:pPr>
              <w:rPr>
                <w:rFonts w:ascii="Arial" w:hAnsi="Arial" w:cs="Arial"/>
              </w:rPr>
            </w:pPr>
          </w:p>
        </w:tc>
        <w:tc>
          <w:tcPr>
            <w:tcW w:w="1701" w:type="dxa"/>
            <w:gridSpan w:val="2"/>
          </w:tcPr>
          <w:p w14:paraId="4E9AABBF" w14:textId="77777777" w:rsidR="00E27F8E" w:rsidRPr="000268D6" w:rsidRDefault="00E27F8E" w:rsidP="0066301C">
            <w:pPr>
              <w:rPr>
                <w:rFonts w:ascii="Arial" w:hAnsi="Arial" w:cs="Arial"/>
              </w:rPr>
            </w:pPr>
          </w:p>
        </w:tc>
      </w:tr>
      <w:tr w:rsidR="00E27F8E" w14:paraId="48FEFAC9" w14:textId="77777777" w:rsidTr="004D74AB">
        <w:trPr>
          <w:trHeight w:val="288"/>
        </w:trPr>
        <w:tc>
          <w:tcPr>
            <w:tcW w:w="2969" w:type="dxa"/>
          </w:tcPr>
          <w:p w14:paraId="1F52A928" w14:textId="77777777" w:rsidR="00E27F8E" w:rsidRPr="000268D6" w:rsidRDefault="00E27F8E" w:rsidP="0066301C">
            <w:pPr>
              <w:rPr>
                <w:rFonts w:ascii="Arial" w:hAnsi="Arial" w:cs="Arial"/>
              </w:rPr>
            </w:pPr>
            <w:r w:rsidRPr="000268D6">
              <w:rPr>
                <w:rFonts w:ascii="Arial" w:hAnsi="Arial" w:cs="Arial"/>
              </w:rPr>
              <w:t>C</w:t>
            </w:r>
          </w:p>
        </w:tc>
        <w:tc>
          <w:tcPr>
            <w:tcW w:w="1420" w:type="dxa"/>
          </w:tcPr>
          <w:p w14:paraId="4130258B" w14:textId="77777777" w:rsidR="00E27F8E" w:rsidRPr="000268D6" w:rsidRDefault="00E27F8E" w:rsidP="0066301C">
            <w:pPr>
              <w:rPr>
                <w:rFonts w:ascii="Arial" w:hAnsi="Arial" w:cs="Arial"/>
              </w:rPr>
            </w:pPr>
            <w:r>
              <w:rPr>
                <w:rFonts w:ascii="Arial" w:hAnsi="Arial" w:cs="Arial"/>
              </w:rPr>
              <w:t>9.675</w:t>
            </w:r>
          </w:p>
        </w:tc>
        <w:tc>
          <w:tcPr>
            <w:tcW w:w="1702" w:type="dxa"/>
            <w:gridSpan w:val="2"/>
          </w:tcPr>
          <w:p w14:paraId="6F1D204E" w14:textId="77777777" w:rsidR="00E27F8E" w:rsidRPr="000268D6" w:rsidRDefault="00E27F8E" w:rsidP="0066301C">
            <w:pPr>
              <w:rPr>
                <w:rFonts w:ascii="Arial" w:hAnsi="Arial" w:cs="Arial"/>
              </w:rPr>
            </w:pPr>
            <w:r>
              <w:rPr>
                <w:rFonts w:ascii="Arial" w:hAnsi="Arial" w:cs="Arial"/>
              </w:rPr>
              <w:t>1.554</w:t>
            </w:r>
          </w:p>
        </w:tc>
        <w:tc>
          <w:tcPr>
            <w:tcW w:w="1701" w:type="dxa"/>
          </w:tcPr>
          <w:p w14:paraId="4B6D563C" w14:textId="77777777" w:rsidR="00E27F8E" w:rsidRPr="000268D6" w:rsidRDefault="00E27F8E" w:rsidP="0066301C">
            <w:pPr>
              <w:rPr>
                <w:rFonts w:ascii="Arial" w:hAnsi="Arial" w:cs="Arial"/>
              </w:rPr>
            </w:pPr>
            <w:r>
              <w:rPr>
                <w:rFonts w:ascii="Arial" w:hAnsi="Arial" w:cs="Arial"/>
              </w:rPr>
              <w:t>6.227</w:t>
            </w:r>
          </w:p>
        </w:tc>
        <w:tc>
          <w:tcPr>
            <w:tcW w:w="1701" w:type="dxa"/>
            <w:gridSpan w:val="2"/>
          </w:tcPr>
          <w:p w14:paraId="3C92060D" w14:textId="77777777" w:rsidR="00E27F8E" w:rsidRPr="000268D6" w:rsidRDefault="00E27F8E" w:rsidP="0066301C">
            <w:pPr>
              <w:rPr>
                <w:rFonts w:ascii="Arial" w:hAnsi="Arial" w:cs="Arial"/>
              </w:rPr>
            </w:pPr>
            <w:r>
              <w:rPr>
                <w:rFonts w:ascii="Arial" w:hAnsi="Arial" w:cs="Arial"/>
              </w:rPr>
              <w:t>0.000</w:t>
            </w:r>
          </w:p>
        </w:tc>
      </w:tr>
      <w:tr w:rsidR="00E27F8E" w14:paraId="44A32AD0" w14:textId="77777777" w:rsidTr="004D74AB">
        <w:trPr>
          <w:trHeight w:val="288"/>
        </w:trPr>
        <w:tc>
          <w:tcPr>
            <w:tcW w:w="2969" w:type="dxa"/>
          </w:tcPr>
          <w:p w14:paraId="78E7D798" w14:textId="77777777" w:rsidR="00E27F8E" w:rsidRPr="00B71381" w:rsidRDefault="00E27F8E" w:rsidP="0066301C">
            <w:pPr>
              <w:rPr>
                <w:rFonts w:ascii="Arial" w:hAnsi="Arial" w:cs="Arial"/>
              </w:rPr>
            </w:pPr>
            <w:r w:rsidRPr="00B71381">
              <w:rPr>
                <w:rFonts w:ascii="Arial" w:hAnsi="Arial" w:cs="Arial"/>
              </w:rPr>
              <w:t>ECM</w:t>
            </w:r>
            <w:r w:rsidRPr="00B71381">
              <w:rPr>
                <w:rFonts w:ascii="Arial" w:hAnsi="Arial" w:cs="Arial"/>
                <w:vertAlign w:val="subscript"/>
              </w:rPr>
              <w:t>t-1</w:t>
            </w:r>
          </w:p>
        </w:tc>
        <w:tc>
          <w:tcPr>
            <w:tcW w:w="1420" w:type="dxa"/>
          </w:tcPr>
          <w:p w14:paraId="7146D59B" w14:textId="77777777" w:rsidR="00E27F8E" w:rsidRPr="00B71381" w:rsidRDefault="00E27F8E" w:rsidP="0066301C">
            <w:pPr>
              <w:rPr>
                <w:rFonts w:ascii="Arial" w:hAnsi="Arial" w:cs="Arial"/>
              </w:rPr>
            </w:pPr>
            <w:r w:rsidRPr="00B71381">
              <w:rPr>
                <w:rFonts w:ascii="Arial" w:hAnsi="Arial" w:cs="Arial"/>
              </w:rPr>
              <w:t>-0.840</w:t>
            </w:r>
          </w:p>
        </w:tc>
        <w:tc>
          <w:tcPr>
            <w:tcW w:w="1702" w:type="dxa"/>
            <w:gridSpan w:val="2"/>
          </w:tcPr>
          <w:p w14:paraId="457D9105" w14:textId="77777777" w:rsidR="00E27F8E" w:rsidRPr="00B71381" w:rsidRDefault="00E27F8E" w:rsidP="0066301C">
            <w:pPr>
              <w:rPr>
                <w:rFonts w:ascii="Arial" w:hAnsi="Arial" w:cs="Arial"/>
              </w:rPr>
            </w:pPr>
            <w:r w:rsidRPr="00B71381">
              <w:rPr>
                <w:rFonts w:ascii="Arial" w:hAnsi="Arial" w:cs="Arial"/>
              </w:rPr>
              <w:t>0.135</w:t>
            </w:r>
          </w:p>
        </w:tc>
        <w:tc>
          <w:tcPr>
            <w:tcW w:w="1701" w:type="dxa"/>
          </w:tcPr>
          <w:p w14:paraId="7D315470" w14:textId="77777777" w:rsidR="00E27F8E" w:rsidRPr="00B71381" w:rsidRDefault="00E27F8E" w:rsidP="0066301C">
            <w:pPr>
              <w:rPr>
                <w:rFonts w:ascii="Arial" w:hAnsi="Arial" w:cs="Arial"/>
              </w:rPr>
            </w:pPr>
            <w:r w:rsidRPr="00B71381">
              <w:rPr>
                <w:rFonts w:ascii="Arial" w:hAnsi="Arial" w:cs="Arial"/>
              </w:rPr>
              <w:t>-6.234</w:t>
            </w:r>
          </w:p>
        </w:tc>
        <w:tc>
          <w:tcPr>
            <w:tcW w:w="1701" w:type="dxa"/>
            <w:gridSpan w:val="2"/>
          </w:tcPr>
          <w:p w14:paraId="688154E8" w14:textId="77777777" w:rsidR="00E27F8E" w:rsidRPr="00B71381" w:rsidRDefault="00E27F8E" w:rsidP="0066301C">
            <w:pPr>
              <w:rPr>
                <w:rFonts w:ascii="Arial" w:hAnsi="Arial" w:cs="Arial"/>
              </w:rPr>
            </w:pPr>
            <w:r w:rsidRPr="00B71381">
              <w:rPr>
                <w:rFonts w:ascii="Arial" w:hAnsi="Arial" w:cs="Arial"/>
              </w:rPr>
              <w:t>0.000</w:t>
            </w:r>
          </w:p>
        </w:tc>
      </w:tr>
      <w:tr w:rsidR="00E27F8E" w14:paraId="32243588" w14:textId="77777777" w:rsidTr="004D74AB">
        <w:trPr>
          <w:trHeight w:val="288"/>
        </w:trPr>
        <w:tc>
          <w:tcPr>
            <w:tcW w:w="9493" w:type="dxa"/>
            <w:gridSpan w:val="7"/>
          </w:tcPr>
          <w:p w14:paraId="42AE41EF" w14:textId="77777777" w:rsidR="00E27F8E" w:rsidRPr="000268D6" w:rsidRDefault="00E27F8E" w:rsidP="0066301C">
            <w:pPr>
              <w:jc w:val="center"/>
              <w:rPr>
                <w:rFonts w:ascii="Arial" w:hAnsi="Arial" w:cs="Arial"/>
                <w:b/>
                <w:bCs/>
              </w:rPr>
            </w:pPr>
            <w:r w:rsidRPr="000268D6">
              <w:rPr>
                <w:rFonts w:ascii="Arial" w:hAnsi="Arial" w:cs="Arial"/>
                <w:b/>
                <w:bCs/>
              </w:rPr>
              <w:t xml:space="preserve">Partner </w:t>
            </w:r>
            <w:r>
              <w:rPr>
                <w:rFonts w:ascii="Arial" w:hAnsi="Arial" w:cs="Arial"/>
                <w:b/>
                <w:bCs/>
              </w:rPr>
              <w:t>Nepal</w:t>
            </w:r>
          </w:p>
        </w:tc>
      </w:tr>
      <w:tr w:rsidR="00E27F8E" w14:paraId="654C8277" w14:textId="77777777" w:rsidTr="004D74AB">
        <w:trPr>
          <w:trHeight w:val="288"/>
        </w:trPr>
        <w:tc>
          <w:tcPr>
            <w:tcW w:w="2969" w:type="dxa"/>
          </w:tcPr>
          <w:p w14:paraId="322675BA" w14:textId="77777777" w:rsidR="00E27F8E" w:rsidRPr="000268D6" w:rsidRDefault="00E27F8E" w:rsidP="0066301C">
            <w:pPr>
              <w:jc w:val="center"/>
              <w:rPr>
                <w:rFonts w:ascii="Arial" w:hAnsi="Arial" w:cs="Arial"/>
                <w:b/>
                <w:bCs/>
              </w:rPr>
            </w:pPr>
            <w:r w:rsidRPr="000268D6">
              <w:rPr>
                <w:rFonts w:ascii="Arial" w:hAnsi="Arial" w:cs="Arial"/>
                <w:b/>
                <w:bCs/>
              </w:rPr>
              <w:t>Variable</w:t>
            </w:r>
          </w:p>
        </w:tc>
        <w:tc>
          <w:tcPr>
            <w:tcW w:w="1420" w:type="dxa"/>
          </w:tcPr>
          <w:p w14:paraId="087F39D0" w14:textId="77777777" w:rsidR="00E27F8E" w:rsidRPr="000268D6" w:rsidRDefault="00E27F8E" w:rsidP="0066301C">
            <w:pPr>
              <w:jc w:val="center"/>
              <w:rPr>
                <w:rFonts w:ascii="Arial" w:hAnsi="Arial" w:cs="Arial"/>
                <w:b/>
                <w:bCs/>
              </w:rPr>
            </w:pPr>
            <w:r w:rsidRPr="000268D6">
              <w:rPr>
                <w:rFonts w:ascii="Arial" w:hAnsi="Arial" w:cs="Arial"/>
                <w:b/>
                <w:bCs/>
              </w:rPr>
              <w:t>Coefficient</w:t>
            </w:r>
          </w:p>
        </w:tc>
        <w:tc>
          <w:tcPr>
            <w:tcW w:w="1702" w:type="dxa"/>
            <w:gridSpan w:val="2"/>
          </w:tcPr>
          <w:p w14:paraId="13D9A0DB" w14:textId="77777777" w:rsidR="00E27F8E" w:rsidRPr="000268D6" w:rsidRDefault="00E27F8E" w:rsidP="0066301C">
            <w:pPr>
              <w:jc w:val="center"/>
              <w:rPr>
                <w:rFonts w:ascii="Arial" w:hAnsi="Arial" w:cs="Arial"/>
                <w:b/>
                <w:bCs/>
              </w:rPr>
            </w:pPr>
            <w:r w:rsidRPr="000268D6">
              <w:rPr>
                <w:rFonts w:ascii="Arial" w:hAnsi="Arial" w:cs="Arial"/>
                <w:b/>
                <w:bCs/>
              </w:rPr>
              <w:t>Std. Error</w:t>
            </w:r>
          </w:p>
        </w:tc>
        <w:tc>
          <w:tcPr>
            <w:tcW w:w="1701" w:type="dxa"/>
          </w:tcPr>
          <w:p w14:paraId="1EFC9F31" w14:textId="77777777" w:rsidR="00E27F8E" w:rsidRPr="000268D6" w:rsidRDefault="00E27F8E" w:rsidP="0066301C">
            <w:pPr>
              <w:jc w:val="center"/>
              <w:rPr>
                <w:rFonts w:ascii="Arial" w:hAnsi="Arial" w:cs="Arial"/>
                <w:b/>
                <w:bCs/>
              </w:rPr>
            </w:pPr>
            <w:r w:rsidRPr="000268D6">
              <w:rPr>
                <w:rFonts w:ascii="Arial" w:hAnsi="Arial" w:cs="Arial"/>
                <w:b/>
                <w:bCs/>
              </w:rPr>
              <w:t>t-statistic</w:t>
            </w:r>
          </w:p>
        </w:tc>
        <w:tc>
          <w:tcPr>
            <w:tcW w:w="1701" w:type="dxa"/>
            <w:gridSpan w:val="2"/>
          </w:tcPr>
          <w:p w14:paraId="5C73E607" w14:textId="77777777" w:rsidR="00E27F8E" w:rsidRPr="000268D6" w:rsidRDefault="00E27F8E" w:rsidP="0066301C">
            <w:pPr>
              <w:jc w:val="center"/>
              <w:rPr>
                <w:rFonts w:ascii="Arial" w:hAnsi="Arial" w:cs="Arial"/>
                <w:b/>
                <w:bCs/>
              </w:rPr>
            </w:pPr>
            <w:r w:rsidRPr="000268D6">
              <w:rPr>
                <w:rFonts w:ascii="Arial" w:hAnsi="Arial" w:cs="Arial"/>
                <w:b/>
                <w:bCs/>
              </w:rPr>
              <w:t>Prob.</w:t>
            </w:r>
          </w:p>
        </w:tc>
      </w:tr>
      <w:tr w:rsidR="00E27F8E" w14:paraId="210402BA" w14:textId="77777777" w:rsidTr="004D74AB">
        <w:trPr>
          <w:trHeight w:val="288"/>
        </w:trPr>
        <w:tc>
          <w:tcPr>
            <w:tcW w:w="2969" w:type="dxa"/>
          </w:tcPr>
          <w:p w14:paraId="43360CF6" w14:textId="77777777" w:rsidR="00E27F8E" w:rsidRPr="000268D6" w:rsidRDefault="00E27F8E" w:rsidP="0066301C">
            <w:pPr>
              <w:rPr>
                <w:rFonts w:ascii="Arial" w:hAnsi="Arial" w:cs="Arial"/>
                <w:vertAlign w:val="subscript"/>
              </w:rPr>
            </w:pPr>
            <w:r w:rsidRPr="000268D6">
              <w:rPr>
                <w:rFonts w:ascii="Arial" w:hAnsi="Arial" w:cs="Arial"/>
              </w:rPr>
              <w:t>Dependent variable ∆LNTB</w:t>
            </w:r>
            <w:r w:rsidRPr="000268D6">
              <w:rPr>
                <w:rFonts w:ascii="Arial" w:hAnsi="Arial" w:cs="Arial"/>
                <w:vertAlign w:val="subscript"/>
              </w:rPr>
              <w:t>t</w:t>
            </w:r>
          </w:p>
        </w:tc>
        <w:tc>
          <w:tcPr>
            <w:tcW w:w="1420" w:type="dxa"/>
          </w:tcPr>
          <w:p w14:paraId="0B9C0B44" w14:textId="77777777" w:rsidR="00E27F8E" w:rsidRPr="000268D6" w:rsidRDefault="00E27F8E" w:rsidP="0066301C">
            <w:pPr>
              <w:rPr>
                <w:rFonts w:ascii="Arial" w:hAnsi="Arial" w:cs="Arial"/>
              </w:rPr>
            </w:pPr>
          </w:p>
        </w:tc>
        <w:tc>
          <w:tcPr>
            <w:tcW w:w="1702" w:type="dxa"/>
            <w:gridSpan w:val="2"/>
          </w:tcPr>
          <w:p w14:paraId="7C68F7A2" w14:textId="77777777" w:rsidR="00E27F8E" w:rsidRPr="000268D6" w:rsidRDefault="00E27F8E" w:rsidP="0066301C">
            <w:pPr>
              <w:rPr>
                <w:rFonts w:ascii="Arial" w:hAnsi="Arial" w:cs="Arial"/>
              </w:rPr>
            </w:pPr>
          </w:p>
        </w:tc>
        <w:tc>
          <w:tcPr>
            <w:tcW w:w="1701" w:type="dxa"/>
          </w:tcPr>
          <w:p w14:paraId="61F0EA13" w14:textId="77777777" w:rsidR="00E27F8E" w:rsidRPr="000268D6" w:rsidRDefault="00E27F8E" w:rsidP="0066301C">
            <w:pPr>
              <w:rPr>
                <w:rFonts w:ascii="Arial" w:hAnsi="Arial" w:cs="Arial"/>
              </w:rPr>
            </w:pPr>
          </w:p>
        </w:tc>
        <w:tc>
          <w:tcPr>
            <w:tcW w:w="1701" w:type="dxa"/>
            <w:gridSpan w:val="2"/>
          </w:tcPr>
          <w:p w14:paraId="7250CE37" w14:textId="77777777" w:rsidR="00E27F8E" w:rsidRPr="000268D6" w:rsidRDefault="00E27F8E" w:rsidP="0066301C">
            <w:pPr>
              <w:rPr>
                <w:rFonts w:ascii="Arial" w:hAnsi="Arial" w:cs="Arial"/>
              </w:rPr>
            </w:pPr>
          </w:p>
        </w:tc>
      </w:tr>
      <w:tr w:rsidR="00E27F8E" w14:paraId="30F3D2A9" w14:textId="77777777" w:rsidTr="004D74AB">
        <w:trPr>
          <w:trHeight w:val="301"/>
        </w:trPr>
        <w:tc>
          <w:tcPr>
            <w:tcW w:w="2969" w:type="dxa"/>
          </w:tcPr>
          <w:p w14:paraId="31E95F08" w14:textId="77777777" w:rsidR="00E27F8E" w:rsidRPr="000268D6" w:rsidRDefault="00E27F8E" w:rsidP="0066301C">
            <w:pPr>
              <w:rPr>
                <w:rFonts w:ascii="Arial" w:hAnsi="Arial" w:cs="Arial"/>
                <w:b/>
                <w:bCs/>
              </w:rPr>
            </w:pPr>
            <w:r w:rsidRPr="000268D6">
              <w:rPr>
                <w:rFonts w:ascii="Arial" w:hAnsi="Arial" w:cs="Arial"/>
                <w:b/>
                <w:bCs/>
              </w:rPr>
              <w:t>Long-run elasticities</w:t>
            </w:r>
          </w:p>
        </w:tc>
        <w:tc>
          <w:tcPr>
            <w:tcW w:w="1420" w:type="dxa"/>
          </w:tcPr>
          <w:p w14:paraId="60EF77FE" w14:textId="77777777" w:rsidR="00E27F8E" w:rsidRPr="000268D6" w:rsidRDefault="00E27F8E" w:rsidP="0066301C">
            <w:pPr>
              <w:rPr>
                <w:rFonts w:ascii="Arial" w:hAnsi="Arial" w:cs="Arial"/>
              </w:rPr>
            </w:pPr>
          </w:p>
        </w:tc>
        <w:tc>
          <w:tcPr>
            <w:tcW w:w="1702" w:type="dxa"/>
            <w:gridSpan w:val="2"/>
          </w:tcPr>
          <w:p w14:paraId="5DDB2D0E" w14:textId="77777777" w:rsidR="00E27F8E" w:rsidRPr="000268D6" w:rsidRDefault="00E27F8E" w:rsidP="0066301C">
            <w:pPr>
              <w:rPr>
                <w:rFonts w:ascii="Arial" w:hAnsi="Arial" w:cs="Arial"/>
              </w:rPr>
            </w:pPr>
          </w:p>
        </w:tc>
        <w:tc>
          <w:tcPr>
            <w:tcW w:w="1701" w:type="dxa"/>
          </w:tcPr>
          <w:p w14:paraId="3C5C4D80" w14:textId="77777777" w:rsidR="00E27F8E" w:rsidRPr="000268D6" w:rsidRDefault="00E27F8E" w:rsidP="0066301C">
            <w:pPr>
              <w:rPr>
                <w:rFonts w:ascii="Arial" w:hAnsi="Arial" w:cs="Arial"/>
              </w:rPr>
            </w:pPr>
          </w:p>
        </w:tc>
        <w:tc>
          <w:tcPr>
            <w:tcW w:w="1701" w:type="dxa"/>
            <w:gridSpan w:val="2"/>
          </w:tcPr>
          <w:p w14:paraId="3C15F20E" w14:textId="77777777" w:rsidR="00E27F8E" w:rsidRPr="000268D6" w:rsidRDefault="00E27F8E" w:rsidP="0066301C">
            <w:pPr>
              <w:rPr>
                <w:rFonts w:ascii="Arial" w:hAnsi="Arial" w:cs="Arial"/>
              </w:rPr>
            </w:pPr>
          </w:p>
        </w:tc>
      </w:tr>
      <w:tr w:rsidR="00E27F8E" w14:paraId="5C2A564E" w14:textId="77777777" w:rsidTr="004D74AB">
        <w:trPr>
          <w:trHeight w:val="288"/>
        </w:trPr>
        <w:tc>
          <w:tcPr>
            <w:tcW w:w="2969" w:type="dxa"/>
          </w:tcPr>
          <w:p w14:paraId="14E5737D" w14:textId="77777777" w:rsidR="00E27F8E" w:rsidRPr="000268D6" w:rsidRDefault="00E27F8E" w:rsidP="0066301C">
            <w:pPr>
              <w:rPr>
                <w:rFonts w:ascii="Arial" w:hAnsi="Arial" w:cs="Arial"/>
              </w:rPr>
            </w:pPr>
            <w:r w:rsidRPr="000268D6">
              <w:rPr>
                <w:rFonts w:ascii="Arial" w:hAnsi="Arial" w:cs="Arial"/>
              </w:rPr>
              <w:t>C</w:t>
            </w:r>
          </w:p>
        </w:tc>
        <w:tc>
          <w:tcPr>
            <w:tcW w:w="1420" w:type="dxa"/>
          </w:tcPr>
          <w:p w14:paraId="418C50EF" w14:textId="77777777" w:rsidR="00E27F8E" w:rsidRPr="000268D6" w:rsidRDefault="00E27F8E" w:rsidP="0066301C">
            <w:pPr>
              <w:rPr>
                <w:rFonts w:ascii="Arial" w:hAnsi="Arial" w:cs="Arial"/>
              </w:rPr>
            </w:pPr>
            <w:r>
              <w:rPr>
                <w:rFonts w:ascii="Arial" w:hAnsi="Arial" w:cs="Arial"/>
              </w:rPr>
              <w:t>12.014</w:t>
            </w:r>
          </w:p>
        </w:tc>
        <w:tc>
          <w:tcPr>
            <w:tcW w:w="1702" w:type="dxa"/>
            <w:gridSpan w:val="2"/>
          </w:tcPr>
          <w:p w14:paraId="3F09C873" w14:textId="77777777" w:rsidR="00E27F8E" w:rsidRPr="000268D6" w:rsidRDefault="00E27F8E" w:rsidP="0066301C">
            <w:pPr>
              <w:rPr>
                <w:rFonts w:ascii="Arial" w:hAnsi="Arial" w:cs="Arial"/>
              </w:rPr>
            </w:pPr>
            <w:r>
              <w:rPr>
                <w:rFonts w:ascii="Arial" w:hAnsi="Arial" w:cs="Arial"/>
              </w:rPr>
              <w:t>2.449</w:t>
            </w:r>
          </w:p>
        </w:tc>
        <w:tc>
          <w:tcPr>
            <w:tcW w:w="1701" w:type="dxa"/>
          </w:tcPr>
          <w:p w14:paraId="755BC5A1" w14:textId="77777777" w:rsidR="00E27F8E" w:rsidRPr="000268D6" w:rsidRDefault="00E27F8E" w:rsidP="0066301C">
            <w:pPr>
              <w:rPr>
                <w:rFonts w:ascii="Arial" w:hAnsi="Arial" w:cs="Arial"/>
              </w:rPr>
            </w:pPr>
            <w:r>
              <w:rPr>
                <w:rFonts w:ascii="Arial" w:hAnsi="Arial" w:cs="Arial"/>
              </w:rPr>
              <w:t>4.905</w:t>
            </w:r>
          </w:p>
        </w:tc>
        <w:tc>
          <w:tcPr>
            <w:tcW w:w="1701" w:type="dxa"/>
            <w:gridSpan w:val="2"/>
          </w:tcPr>
          <w:p w14:paraId="5CB9BA3B" w14:textId="77777777" w:rsidR="00E27F8E" w:rsidRPr="000268D6" w:rsidRDefault="00E27F8E" w:rsidP="0066301C">
            <w:pPr>
              <w:rPr>
                <w:rFonts w:ascii="Arial" w:hAnsi="Arial" w:cs="Arial"/>
              </w:rPr>
            </w:pPr>
            <w:r>
              <w:rPr>
                <w:rFonts w:ascii="Arial" w:hAnsi="Arial" w:cs="Arial"/>
              </w:rPr>
              <w:t>0.000</w:t>
            </w:r>
          </w:p>
        </w:tc>
      </w:tr>
      <w:tr w:rsidR="00E27F8E" w14:paraId="5C912150" w14:textId="77777777" w:rsidTr="004D74AB">
        <w:trPr>
          <w:trHeight w:val="288"/>
        </w:trPr>
        <w:tc>
          <w:tcPr>
            <w:tcW w:w="2969" w:type="dxa"/>
          </w:tcPr>
          <w:p w14:paraId="5F3DC540" w14:textId="77777777" w:rsidR="00E27F8E" w:rsidRPr="000268D6" w:rsidRDefault="00E27F8E" w:rsidP="0066301C">
            <w:pPr>
              <w:rPr>
                <w:rFonts w:ascii="Arial" w:hAnsi="Arial" w:cs="Arial"/>
              </w:rPr>
            </w:pPr>
            <w:r w:rsidRPr="000268D6">
              <w:rPr>
                <w:rFonts w:ascii="Arial" w:hAnsi="Arial" w:cs="Arial"/>
              </w:rPr>
              <w:t>LNREER</w:t>
            </w:r>
          </w:p>
        </w:tc>
        <w:tc>
          <w:tcPr>
            <w:tcW w:w="1420" w:type="dxa"/>
          </w:tcPr>
          <w:p w14:paraId="5FC51D10" w14:textId="77777777" w:rsidR="00E27F8E" w:rsidRPr="000268D6" w:rsidRDefault="00E27F8E" w:rsidP="0066301C">
            <w:pPr>
              <w:rPr>
                <w:rFonts w:ascii="Arial" w:hAnsi="Arial" w:cs="Arial"/>
              </w:rPr>
            </w:pPr>
            <w:r>
              <w:rPr>
                <w:rFonts w:ascii="Arial" w:hAnsi="Arial" w:cs="Arial"/>
              </w:rPr>
              <w:t>-0.612</w:t>
            </w:r>
          </w:p>
        </w:tc>
        <w:tc>
          <w:tcPr>
            <w:tcW w:w="1702" w:type="dxa"/>
            <w:gridSpan w:val="2"/>
          </w:tcPr>
          <w:p w14:paraId="27F8CF79" w14:textId="77777777" w:rsidR="00E27F8E" w:rsidRPr="000268D6" w:rsidRDefault="00E27F8E" w:rsidP="0066301C">
            <w:pPr>
              <w:rPr>
                <w:rFonts w:ascii="Arial" w:hAnsi="Arial" w:cs="Arial"/>
              </w:rPr>
            </w:pPr>
            <w:r>
              <w:rPr>
                <w:rFonts w:ascii="Arial" w:hAnsi="Arial" w:cs="Arial"/>
              </w:rPr>
              <w:t>0.069</w:t>
            </w:r>
          </w:p>
        </w:tc>
        <w:tc>
          <w:tcPr>
            <w:tcW w:w="1701" w:type="dxa"/>
          </w:tcPr>
          <w:p w14:paraId="0F3C1493" w14:textId="77777777" w:rsidR="00E27F8E" w:rsidRPr="000268D6" w:rsidRDefault="00E27F8E" w:rsidP="0066301C">
            <w:pPr>
              <w:rPr>
                <w:rFonts w:ascii="Arial" w:hAnsi="Arial" w:cs="Arial"/>
              </w:rPr>
            </w:pPr>
            <w:r>
              <w:rPr>
                <w:rFonts w:ascii="Arial" w:hAnsi="Arial" w:cs="Arial"/>
              </w:rPr>
              <w:t>-8.78</w:t>
            </w:r>
          </w:p>
        </w:tc>
        <w:tc>
          <w:tcPr>
            <w:tcW w:w="1701" w:type="dxa"/>
            <w:gridSpan w:val="2"/>
          </w:tcPr>
          <w:p w14:paraId="0EEE070C" w14:textId="77777777" w:rsidR="00E27F8E" w:rsidRPr="000268D6" w:rsidRDefault="00E27F8E" w:rsidP="0066301C">
            <w:pPr>
              <w:rPr>
                <w:rFonts w:ascii="Arial" w:hAnsi="Arial" w:cs="Arial"/>
              </w:rPr>
            </w:pPr>
            <w:r>
              <w:rPr>
                <w:rFonts w:ascii="Arial" w:hAnsi="Arial" w:cs="Arial"/>
              </w:rPr>
              <w:t>0.000</w:t>
            </w:r>
          </w:p>
        </w:tc>
      </w:tr>
      <w:tr w:rsidR="00E27F8E" w14:paraId="744A257A" w14:textId="77777777" w:rsidTr="004D74AB">
        <w:trPr>
          <w:trHeight w:val="288"/>
        </w:trPr>
        <w:tc>
          <w:tcPr>
            <w:tcW w:w="2969" w:type="dxa"/>
          </w:tcPr>
          <w:p w14:paraId="46B7DE9E" w14:textId="77777777" w:rsidR="00E27F8E" w:rsidRPr="000268D6" w:rsidRDefault="00E27F8E" w:rsidP="0066301C">
            <w:pPr>
              <w:rPr>
                <w:rFonts w:ascii="Arial" w:hAnsi="Arial" w:cs="Arial"/>
              </w:rPr>
            </w:pPr>
            <w:r w:rsidRPr="000268D6">
              <w:rPr>
                <w:rFonts w:ascii="Arial" w:hAnsi="Arial" w:cs="Arial"/>
              </w:rPr>
              <w:t>LNDI</w:t>
            </w:r>
          </w:p>
        </w:tc>
        <w:tc>
          <w:tcPr>
            <w:tcW w:w="1420" w:type="dxa"/>
          </w:tcPr>
          <w:p w14:paraId="16E42419" w14:textId="77777777" w:rsidR="00E27F8E" w:rsidRPr="000268D6" w:rsidRDefault="00E27F8E" w:rsidP="0066301C">
            <w:pPr>
              <w:rPr>
                <w:rFonts w:ascii="Arial" w:hAnsi="Arial" w:cs="Arial"/>
              </w:rPr>
            </w:pPr>
            <w:r>
              <w:rPr>
                <w:rFonts w:ascii="Arial" w:hAnsi="Arial" w:cs="Arial"/>
              </w:rPr>
              <w:t>*0.084</w:t>
            </w:r>
          </w:p>
        </w:tc>
        <w:tc>
          <w:tcPr>
            <w:tcW w:w="1702" w:type="dxa"/>
            <w:gridSpan w:val="2"/>
          </w:tcPr>
          <w:p w14:paraId="49499E9C" w14:textId="77777777" w:rsidR="00E27F8E" w:rsidRPr="000268D6" w:rsidRDefault="00E27F8E" w:rsidP="0066301C">
            <w:pPr>
              <w:rPr>
                <w:rFonts w:ascii="Arial" w:hAnsi="Arial" w:cs="Arial"/>
              </w:rPr>
            </w:pPr>
            <w:r>
              <w:rPr>
                <w:rFonts w:ascii="Arial" w:hAnsi="Arial" w:cs="Arial"/>
              </w:rPr>
              <w:t>0.089</w:t>
            </w:r>
          </w:p>
        </w:tc>
        <w:tc>
          <w:tcPr>
            <w:tcW w:w="1701" w:type="dxa"/>
          </w:tcPr>
          <w:p w14:paraId="2856A41C" w14:textId="77777777" w:rsidR="00E27F8E" w:rsidRPr="000268D6" w:rsidRDefault="00E27F8E" w:rsidP="0066301C">
            <w:pPr>
              <w:rPr>
                <w:rFonts w:ascii="Arial" w:hAnsi="Arial" w:cs="Arial"/>
              </w:rPr>
            </w:pPr>
            <w:r>
              <w:rPr>
                <w:rFonts w:ascii="Arial" w:hAnsi="Arial" w:cs="Arial"/>
              </w:rPr>
              <w:t>-0.937</w:t>
            </w:r>
          </w:p>
        </w:tc>
        <w:tc>
          <w:tcPr>
            <w:tcW w:w="1701" w:type="dxa"/>
            <w:gridSpan w:val="2"/>
          </w:tcPr>
          <w:p w14:paraId="1EE28D0E" w14:textId="77777777" w:rsidR="00E27F8E" w:rsidRPr="000268D6" w:rsidRDefault="00E27F8E" w:rsidP="0066301C">
            <w:pPr>
              <w:rPr>
                <w:rFonts w:ascii="Arial" w:hAnsi="Arial" w:cs="Arial"/>
              </w:rPr>
            </w:pPr>
            <w:r>
              <w:rPr>
                <w:rFonts w:ascii="Arial" w:hAnsi="Arial" w:cs="Arial"/>
              </w:rPr>
              <w:t>0.356</w:t>
            </w:r>
          </w:p>
        </w:tc>
      </w:tr>
      <w:tr w:rsidR="00E27F8E" w14:paraId="1FEA551C" w14:textId="77777777" w:rsidTr="004D74AB">
        <w:trPr>
          <w:trHeight w:val="288"/>
        </w:trPr>
        <w:tc>
          <w:tcPr>
            <w:tcW w:w="2969" w:type="dxa"/>
          </w:tcPr>
          <w:p w14:paraId="5B8CBFE4" w14:textId="77777777" w:rsidR="00E27F8E" w:rsidRPr="000268D6" w:rsidRDefault="00E27F8E" w:rsidP="0066301C">
            <w:pPr>
              <w:rPr>
                <w:rFonts w:ascii="Arial" w:hAnsi="Arial" w:cs="Arial"/>
              </w:rPr>
            </w:pPr>
            <w:r w:rsidRPr="000268D6">
              <w:rPr>
                <w:rFonts w:ascii="Arial" w:hAnsi="Arial" w:cs="Arial"/>
              </w:rPr>
              <w:t>LN</w:t>
            </w:r>
            <w:r>
              <w:rPr>
                <w:rFonts w:ascii="Arial" w:hAnsi="Arial" w:cs="Arial"/>
              </w:rPr>
              <w:t>NEPAL</w:t>
            </w:r>
            <w:r w:rsidRPr="000268D6">
              <w:rPr>
                <w:rFonts w:ascii="Arial" w:hAnsi="Arial" w:cs="Arial"/>
              </w:rPr>
              <w:t>FI</w:t>
            </w:r>
          </w:p>
        </w:tc>
        <w:tc>
          <w:tcPr>
            <w:tcW w:w="1420" w:type="dxa"/>
          </w:tcPr>
          <w:p w14:paraId="41AA705C" w14:textId="77777777" w:rsidR="00E27F8E" w:rsidRPr="000268D6" w:rsidRDefault="00E27F8E" w:rsidP="0066301C">
            <w:pPr>
              <w:rPr>
                <w:rFonts w:ascii="Arial" w:hAnsi="Arial" w:cs="Arial"/>
              </w:rPr>
            </w:pPr>
            <w:r>
              <w:rPr>
                <w:rFonts w:ascii="Arial" w:hAnsi="Arial" w:cs="Arial"/>
              </w:rPr>
              <w:t>-0.289</w:t>
            </w:r>
          </w:p>
        </w:tc>
        <w:tc>
          <w:tcPr>
            <w:tcW w:w="1702" w:type="dxa"/>
            <w:gridSpan w:val="2"/>
          </w:tcPr>
          <w:p w14:paraId="42A54DCB" w14:textId="77777777" w:rsidR="00E27F8E" w:rsidRPr="000268D6" w:rsidRDefault="00E27F8E" w:rsidP="0066301C">
            <w:pPr>
              <w:rPr>
                <w:rFonts w:ascii="Arial" w:hAnsi="Arial" w:cs="Arial"/>
              </w:rPr>
            </w:pPr>
            <w:r>
              <w:rPr>
                <w:rFonts w:ascii="Arial" w:hAnsi="Arial" w:cs="Arial"/>
              </w:rPr>
              <w:t>0.043</w:t>
            </w:r>
          </w:p>
        </w:tc>
        <w:tc>
          <w:tcPr>
            <w:tcW w:w="1701" w:type="dxa"/>
          </w:tcPr>
          <w:p w14:paraId="5AA62C73" w14:textId="77777777" w:rsidR="00E27F8E" w:rsidRPr="000268D6" w:rsidRDefault="00E27F8E" w:rsidP="0066301C">
            <w:pPr>
              <w:rPr>
                <w:rFonts w:ascii="Arial" w:hAnsi="Arial" w:cs="Arial"/>
              </w:rPr>
            </w:pPr>
            <w:r>
              <w:rPr>
                <w:rFonts w:ascii="Arial" w:hAnsi="Arial" w:cs="Arial"/>
              </w:rPr>
              <w:t>-6.652</w:t>
            </w:r>
          </w:p>
        </w:tc>
        <w:tc>
          <w:tcPr>
            <w:tcW w:w="1701" w:type="dxa"/>
            <w:gridSpan w:val="2"/>
          </w:tcPr>
          <w:p w14:paraId="34043176" w14:textId="77777777" w:rsidR="00E27F8E" w:rsidRPr="000268D6" w:rsidRDefault="00E27F8E" w:rsidP="0066301C">
            <w:pPr>
              <w:rPr>
                <w:rFonts w:ascii="Arial" w:hAnsi="Arial" w:cs="Arial"/>
              </w:rPr>
            </w:pPr>
            <w:r>
              <w:rPr>
                <w:rFonts w:ascii="Arial" w:hAnsi="Arial" w:cs="Arial"/>
              </w:rPr>
              <w:t>0.000</w:t>
            </w:r>
          </w:p>
        </w:tc>
      </w:tr>
      <w:tr w:rsidR="00E27F8E" w14:paraId="0B4E2FC8" w14:textId="77777777" w:rsidTr="004D74AB">
        <w:trPr>
          <w:trHeight w:val="288"/>
        </w:trPr>
        <w:tc>
          <w:tcPr>
            <w:tcW w:w="2969" w:type="dxa"/>
          </w:tcPr>
          <w:p w14:paraId="7BCFD375" w14:textId="77777777" w:rsidR="00E27F8E" w:rsidRPr="000268D6" w:rsidRDefault="00E27F8E" w:rsidP="0066301C">
            <w:pPr>
              <w:rPr>
                <w:rFonts w:ascii="Arial" w:hAnsi="Arial" w:cs="Arial"/>
                <w:b/>
                <w:bCs/>
              </w:rPr>
            </w:pPr>
            <w:r w:rsidRPr="000268D6">
              <w:rPr>
                <w:rFonts w:ascii="Arial" w:hAnsi="Arial" w:cs="Arial"/>
                <w:b/>
                <w:bCs/>
              </w:rPr>
              <w:t>Short-run elasticities</w:t>
            </w:r>
          </w:p>
        </w:tc>
        <w:tc>
          <w:tcPr>
            <w:tcW w:w="1420" w:type="dxa"/>
          </w:tcPr>
          <w:p w14:paraId="6EF029DC" w14:textId="77777777" w:rsidR="00E27F8E" w:rsidRPr="000268D6" w:rsidRDefault="00E27F8E" w:rsidP="0066301C">
            <w:pPr>
              <w:rPr>
                <w:rFonts w:ascii="Arial" w:hAnsi="Arial" w:cs="Arial"/>
              </w:rPr>
            </w:pPr>
          </w:p>
        </w:tc>
        <w:tc>
          <w:tcPr>
            <w:tcW w:w="1702" w:type="dxa"/>
            <w:gridSpan w:val="2"/>
          </w:tcPr>
          <w:p w14:paraId="0E82CE97" w14:textId="77777777" w:rsidR="00E27F8E" w:rsidRPr="000268D6" w:rsidRDefault="00E27F8E" w:rsidP="0066301C">
            <w:pPr>
              <w:rPr>
                <w:rFonts w:ascii="Arial" w:hAnsi="Arial" w:cs="Arial"/>
              </w:rPr>
            </w:pPr>
          </w:p>
        </w:tc>
        <w:tc>
          <w:tcPr>
            <w:tcW w:w="1701" w:type="dxa"/>
          </w:tcPr>
          <w:p w14:paraId="4B3C3F76" w14:textId="77777777" w:rsidR="00E27F8E" w:rsidRPr="000268D6" w:rsidRDefault="00E27F8E" w:rsidP="0066301C">
            <w:pPr>
              <w:rPr>
                <w:rFonts w:ascii="Arial" w:hAnsi="Arial" w:cs="Arial"/>
              </w:rPr>
            </w:pPr>
          </w:p>
        </w:tc>
        <w:tc>
          <w:tcPr>
            <w:tcW w:w="1701" w:type="dxa"/>
            <w:gridSpan w:val="2"/>
          </w:tcPr>
          <w:p w14:paraId="615B6C14" w14:textId="77777777" w:rsidR="00E27F8E" w:rsidRPr="000268D6" w:rsidRDefault="00E27F8E" w:rsidP="0066301C">
            <w:pPr>
              <w:rPr>
                <w:rFonts w:ascii="Arial" w:hAnsi="Arial" w:cs="Arial"/>
              </w:rPr>
            </w:pPr>
          </w:p>
        </w:tc>
      </w:tr>
      <w:tr w:rsidR="00E27F8E" w14:paraId="5B7B3EDE" w14:textId="77777777" w:rsidTr="004D74AB">
        <w:trPr>
          <w:trHeight w:val="288"/>
        </w:trPr>
        <w:tc>
          <w:tcPr>
            <w:tcW w:w="2969" w:type="dxa"/>
          </w:tcPr>
          <w:p w14:paraId="518BD071" w14:textId="77777777" w:rsidR="00E27F8E" w:rsidRPr="000268D6" w:rsidRDefault="00E27F8E" w:rsidP="0066301C">
            <w:pPr>
              <w:rPr>
                <w:rFonts w:ascii="Arial" w:hAnsi="Arial" w:cs="Arial"/>
              </w:rPr>
            </w:pPr>
            <w:r w:rsidRPr="000268D6">
              <w:rPr>
                <w:rFonts w:ascii="Arial" w:hAnsi="Arial" w:cs="Arial"/>
              </w:rPr>
              <w:t>C</w:t>
            </w:r>
          </w:p>
        </w:tc>
        <w:tc>
          <w:tcPr>
            <w:tcW w:w="1420" w:type="dxa"/>
          </w:tcPr>
          <w:p w14:paraId="7BC84F25" w14:textId="77777777" w:rsidR="00E27F8E" w:rsidRPr="000268D6" w:rsidRDefault="00E27F8E" w:rsidP="0066301C">
            <w:pPr>
              <w:rPr>
                <w:rFonts w:ascii="Arial" w:hAnsi="Arial" w:cs="Arial"/>
              </w:rPr>
            </w:pPr>
            <w:r>
              <w:rPr>
                <w:rFonts w:ascii="Arial" w:hAnsi="Arial" w:cs="Arial"/>
              </w:rPr>
              <w:t>12.014</w:t>
            </w:r>
          </w:p>
        </w:tc>
        <w:tc>
          <w:tcPr>
            <w:tcW w:w="1702" w:type="dxa"/>
            <w:gridSpan w:val="2"/>
          </w:tcPr>
          <w:p w14:paraId="4E914550" w14:textId="77777777" w:rsidR="00E27F8E" w:rsidRPr="000268D6" w:rsidRDefault="00E27F8E" w:rsidP="0066301C">
            <w:pPr>
              <w:rPr>
                <w:rFonts w:ascii="Arial" w:hAnsi="Arial" w:cs="Arial"/>
              </w:rPr>
            </w:pPr>
            <w:r>
              <w:rPr>
                <w:rFonts w:ascii="Arial" w:hAnsi="Arial" w:cs="Arial"/>
              </w:rPr>
              <w:t>2.043</w:t>
            </w:r>
          </w:p>
        </w:tc>
        <w:tc>
          <w:tcPr>
            <w:tcW w:w="1701" w:type="dxa"/>
          </w:tcPr>
          <w:p w14:paraId="361CE61B" w14:textId="77777777" w:rsidR="00E27F8E" w:rsidRPr="000268D6" w:rsidRDefault="00E27F8E" w:rsidP="0066301C">
            <w:pPr>
              <w:rPr>
                <w:rFonts w:ascii="Arial" w:hAnsi="Arial" w:cs="Arial"/>
              </w:rPr>
            </w:pPr>
            <w:r>
              <w:rPr>
                <w:rFonts w:ascii="Arial" w:hAnsi="Arial" w:cs="Arial"/>
              </w:rPr>
              <w:t>5.879</w:t>
            </w:r>
          </w:p>
        </w:tc>
        <w:tc>
          <w:tcPr>
            <w:tcW w:w="1701" w:type="dxa"/>
            <w:gridSpan w:val="2"/>
          </w:tcPr>
          <w:p w14:paraId="0DB45DB2" w14:textId="77777777" w:rsidR="00E27F8E" w:rsidRPr="000268D6" w:rsidRDefault="00E27F8E" w:rsidP="0066301C">
            <w:pPr>
              <w:rPr>
                <w:rFonts w:ascii="Arial" w:hAnsi="Arial" w:cs="Arial"/>
              </w:rPr>
            </w:pPr>
            <w:r>
              <w:rPr>
                <w:rFonts w:ascii="Arial" w:hAnsi="Arial" w:cs="Arial"/>
              </w:rPr>
              <w:t>0.000</w:t>
            </w:r>
          </w:p>
        </w:tc>
      </w:tr>
      <w:tr w:rsidR="00E27F8E" w14:paraId="297CF98E" w14:textId="77777777" w:rsidTr="004D74AB">
        <w:trPr>
          <w:trHeight w:val="288"/>
        </w:trPr>
        <w:tc>
          <w:tcPr>
            <w:tcW w:w="2969" w:type="dxa"/>
          </w:tcPr>
          <w:p w14:paraId="2227B63F" w14:textId="77777777" w:rsidR="00E27F8E" w:rsidRPr="000268D6" w:rsidRDefault="00E27F8E" w:rsidP="0066301C">
            <w:pPr>
              <w:rPr>
                <w:rFonts w:ascii="Arial" w:hAnsi="Arial" w:cs="Arial"/>
                <w:vertAlign w:val="subscript"/>
              </w:rPr>
            </w:pPr>
            <w:r w:rsidRPr="000268D6">
              <w:rPr>
                <w:rFonts w:ascii="Arial" w:hAnsi="Arial" w:cs="Arial"/>
              </w:rPr>
              <w:t>∆LNTB</w:t>
            </w:r>
            <w:r w:rsidRPr="000268D6">
              <w:rPr>
                <w:rFonts w:ascii="Arial" w:hAnsi="Arial" w:cs="Arial"/>
                <w:vertAlign w:val="subscript"/>
              </w:rPr>
              <w:t>t-1</w:t>
            </w:r>
          </w:p>
        </w:tc>
        <w:tc>
          <w:tcPr>
            <w:tcW w:w="1420" w:type="dxa"/>
          </w:tcPr>
          <w:p w14:paraId="6887626E" w14:textId="77777777" w:rsidR="00E27F8E" w:rsidRPr="000268D6" w:rsidRDefault="00E27F8E" w:rsidP="0066301C">
            <w:pPr>
              <w:rPr>
                <w:rFonts w:ascii="Arial" w:hAnsi="Arial" w:cs="Arial"/>
              </w:rPr>
            </w:pPr>
            <w:r>
              <w:rPr>
                <w:rFonts w:ascii="Arial" w:hAnsi="Arial" w:cs="Arial"/>
              </w:rPr>
              <w:t>0.524</w:t>
            </w:r>
          </w:p>
        </w:tc>
        <w:tc>
          <w:tcPr>
            <w:tcW w:w="1702" w:type="dxa"/>
            <w:gridSpan w:val="2"/>
          </w:tcPr>
          <w:p w14:paraId="2CD8041B" w14:textId="77777777" w:rsidR="00E27F8E" w:rsidRPr="000268D6" w:rsidRDefault="00E27F8E" w:rsidP="0066301C">
            <w:pPr>
              <w:rPr>
                <w:rFonts w:ascii="Arial" w:hAnsi="Arial" w:cs="Arial"/>
              </w:rPr>
            </w:pPr>
            <w:r>
              <w:rPr>
                <w:rFonts w:ascii="Arial" w:hAnsi="Arial" w:cs="Arial"/>
              </w:rPr>
              <w:t>0.156</w:t>
            </w:r>
          </w:p>
        </w:tc>
        <w:tc>
          <w:tcPr>
            <w:tcW w:w="1701" w:type="dxa"/>
          </w:tcPr>
          <w:p w14:paraId="76225A18" w14:textId="77777777" w:rsidR="00E27F8E" w:rsidRPr="000268D6" w:rsidRDefault="00E27F8E" w:rsidP="0066301C">
            <w:pPr>
              <w:rPr>
                <w:rFonts w:ascii="Arial" w:hAnsi="Arial" w:cs="Arial"/>
              </w:rPr>
            </w:pPr>
            <w:r>
              <w:rPr>
                <w:rFonts w:ascii="Arial" w:hAnsi="Arial" w:cs="Arial"/>
              </w:rPr>
              <w:t>3.360</w:t>
            </w:r>
          </w:p>
        </w:tc>
        <w:tc>
          <w:tcPr>
            <w:tcW w:w="1701" w:type="dxa"/>
            <w:gridSpan w:val="2"/>
          </w:tcPr>
          <w:p w14:paraId="1EE74634" w14:textId="77777777" w:rsidR="00E27F8E" w:rsidRPr="000268D6" w:rsidRDefault="00E27F8E" w:rsidP="0066301C">
            <w:pPr>
              <w:rPr>
                <w:rFonts w:ascii="Arial" w:hAnsi="Arial" w:cs="Arial"/>
              </w:rPr>
            </w:pPr>
            <w:r>
              <w:rPr>
                <w:rFonts w:ascii="Arial" w:hAnsi="Arial" w:cs="Arial"/>
              </w:rPr>
              <w:t>0.002</w:t>
            </w:r>
          </w:p>
        </w:tc>
      </w:tr>
      <w:tr w:rsidR="00E27F8E" w14:paraId="0C2C989D" w14:textId="77777777" w:rsidTr="004D74AB">
        <w:trPr>
          <w:trHeight w:val="288"/>
        </w:trPr>
        <w:tc>
          <w:tcPr>
            <w:tcW w:w="2969" w:type="dxa"/>
          </w:tcPr>
          <w:p w14:paraId="3A7E8D0F" w14:textId="77777777" w:rsidR="00E27F8E" w:rsidRPr="000268D6" w:rsidRDefault="00E27F8E" w:rsidP="0066301C">
            <w:pPr>
              <w:rPr>
                <w:rFonts w:ascii="Arial" w:hAnsi="Arial" w:cs="Arial"/>
              </w:rPr>
            </w:pPr>
            <w:r w:rsidRPr="000268D6">
              <w:rPr>
                <w:rFonts w:ascii="Arial" w:hAnsi="Arial" w:cs="Arial"/>
              </w:rPr>
              <w:t>∆LNREER</w:t>
            </w:r>
          </w:p>
        </w:tc>
        <w:tc>
          <w:tcPr>
            <w:tcW w:w="1420" w:type="dxa"/>
          </w:tcPr>
          <w:p w14:paraId="23F65570" w14:textId="77777777" w:rsidR="00E27F8E" w:rsidRPr="000268D6" w:rsidRDefault="00E27F8E" w:rsidP="0066301C">
            <w:pPr>
              <w:rPr>
                <w:rFonts w:ascii="Arial" w:hAnsi="Arial" w:cs="Arial"/>
              </w:rPr>
            </w:pPr>
            <w:r>
              <w:rPr>
                <w:rFonts w:ascii="Arial" w:hAnsi="Arial" w:cs="Arial"/>
              </w:rPr>
              <w:t>-0.266</w:t>
            </w:r>
          </w:p>
        </w:tc>
        <w:tc>
          <w:tcPr>
            <w:tcW w:w="1702" w:type="dxa"/>
            <w:gridSpan w:val="2"/>
          </w:tcPr>
          <w:p w14:paraId="3C386D20" w14:textId="77777777" w:rsidR="00E27F8E" w:rsidRPr="000268D6" w:rsidRDefault="00E27F8E" w:rsidP="0066301C">
            <w:pPr>
              <w:rPr>
                <w:rFonts w:ascii="Arial" w:hAnsi="Arial" w:cs="Arial"/>
              </w:rPr>
            </w:pPr>
            <w:r>
              <w:rPr>
                <w:rFonts w:ascii="Arial" w:hAnsi="Arial" w:cs="Arial"/>
              </w:rPr>
              <w:t>0.214</w:t>
            </w:r>
          </w:p>
        </w:tc>
        <w:tc>
          <w:tcPr>
            <w:tcW w:w="1701" w:type="dxa"/>
          </w:tcPr>
          <w:p w14:paraId="5BBF2A62" w14:textId="77777777" w:rsidR="00E27F8E" w:rsidRPr="000268D6" w:rsidRDefault="00E27F8E" w:rsidP="0066301C">
            <w:pPr>
              <w:rPr>
                <w:rFonts w:ascii="Arial" w:hAnsi="Arial" w:cs="Arial"/>
              </w:rPr>
            </w:pPr>
            <w:r>
              <w:rPr>
                <w:rFonts w:ascii="Arial" w:hAnsi="Arial" w:cs="Arial"/>
              </w:rPr>
              <w:t>-1.242</w:t>
            </w:r>
          </w:p>
        </w:tc>
        <w:tc>
          <w:tcPr>
            <w:tcW w:w="1701" w:type="dxa"/>
            <w:gridSpan w:val="2"/>
          </w:tcPr>
          <w:p w14:paraId="4FC9CF90" w14:textId="77777777" w:rsidR="00E27F8E" w:rsidRPr="000268D6" w:rsidRDefault="00E27F8E" w:rsidP="0066301C">
            <w:pPr>
              <w:rPr>
                <w:rFonts w:ascii="Arial" w:hAnsi="Arial" w:cs="Arial"/>
              </w:rPr>
            </w:pPr>
            <w:r>
              <w:rPr>
                <w:rFonts w:ascii="Arial" w:hAnsi="Arial" w:cs="Arial"/>
              </w:rPr>
              <w:t>0.224</w:t>
            </w:r>
          </w:p>
        </w:tc>
      </w:tr>
      <w:tr w:rsidR="00E27F8E" w14:paraId="1D23E373" w14:textId="77777777" w:rsidTr="004D74AB">
        <w:trPr>
          <w:trHeight w:val="288"/>
        </w:trPr>
        <w:tc>
          <w:tcPr>
            <w:tcW w:w="2969" w:type="dxa"/>
          </w:tcPr>
          <w:p w14:paraId="25E77596" w14:textId="77777777" w:rsidR="00E27F8E" w:rsidRPr="000268D6" w:rsidRDefault="00E27F8E" w:rsidP="0066301C">
            <w:pPr>
              <w:rPr>
                <w:rFonts w:ascii="Arial" w:hAnsi="Arial" w:cs="Arial"/>
              </w:rPr>
            </w:pPr>
            <w:r w:rsidRPr="000268D6">
              <w:rPr>
                <w:rFonts w:ascii="Arial" w:hAnsi="Arial" w:cs="Arial"/>
              </w:rPr>
              <w:t>∆LNDI</w:t>
            </w:r>
          </w:p>
        </w:tc>
        <w:tc>
          <w:tcPr>
            <w:tcW w:w="1420" w:type="dxa"/>
          </w:tcPr>
          <w:p w14:paraId="3B96B7F6" w14:textId="77777777" w:rsidR="00E27F8E" w:rsidRPr="000268D6" w:rsidRDefault="00E27F8E" w:rsidP="0066301C">
            <w:pPr>
              <w:rPr>
                <w:rFonts w:ascii="Arial" w:hAnsi="Arial" w:cs="Arial"/>
              </w:rPr>
            </w:pPr>
            <w:r>
              <w:rPr>
                <w:rFonts w:ascii="Arial" w:hAnsi="Arial" w:cs="Arial"/>
              </w:rPr>
              <w:t>-0.361</w:t>
            </w:r>
          </w:p>
        </w:tc>
        <w:tc>
          <w:tcPr>
            <w:tcW w:w="1702" w:type="dxa"/>
            <w:gridSpan w:val="2"/>
          </w:tcPr>
          <w:p w14:paraId="201C2240" w14:textId="77777777" w:rsidR="00E27F8E" w:rsidRPr="000268D6" w:rsidRDefault="00E27F8E" w:rsidP="0066301C">
            <w:pPr>
              <w:rPr>
                <w:rFonts w:ascii="Arial" w:hAnsi="Arial" w:cs="Arial"/>
              </w:rPr>
            </w:pPr>
            <w:r>
              <w:rPr>
                <w:rFonts w:ascii="Arial" w:hAnsi="Arial" w:cs="Arial"/>
              </w:rPr>
              <w:t>0.141</w:t>
            </w:r>
          </w:p>
        </w:tc>
        <w:tc>
          <w:tcPr>
            <w:tcW w:w="1701" w:type="dxa"/>
          </w:tcPr>
          <w:p w14:paraId="725AA878" w14:textId="77777777" w:rsidR="00E27F8E" w:rsidRPr="000268D6" w:rsidRDefault="00E27F8E" w:rsidP="0066301C">
            <w:pPr>
              <w:rPr>
                <w:rFonts w:ascii="Arial" w:hAnsi="Arial" w:cs="Arial"/>
              </w:rPr>
            </w:pPr>
            <w:r>
              <w:rPr>
                <w:rFonts w:ascii="Arial" w:hAnsi="Arial" w:cs="Arial"/>
              </w:rPr>
              <w:t>-2.567</w:t>
            </w:r>
          </w:p>
        </w:tc>
        <w:tc>
          <w:tcPr>
            <w:tcW w:w="1701" w:type="dxa"/>
            <w:gridSpan w:val="2"/>
          </w:tcPr>
          <w:p w14:paraId="1AFDFEC7" w14:textId="77777777" w:rsidR="00E27F8E" w:rsidRPr="000268D6" w:rsidRDefault="00E27F8E" w:rsidP="0066301C">
            <w:pPr>
              <w:rPr>
                <w:rFonts w:ascii="Arial" w:hAnsi="Arial" w:cs="Arial"/>
              </w:rPr>
            </w:pPr>
            <w:r>
              <w:rPr>
                <w:rFonts w:ascii="Arial" w:hAnsi="Arial" w:cs="Arial"/>
              </w:rPr>
              <w:t>0.016</w:t>
            </w:r>
          </w:p>
        </w:tc>
      </w:tr>
      <w:tr w:rsidR="00E27F8E" w14:paraId="60D82F4A" w14:textId="77777777" w:rsidTr="004D74AB">
        <w:trPr>
          <w:trHeight w:val="288"/>
        </w:trPr>
        <w:tc>
          <w:tcPr>
            <w:tcW w:w="2969" w:type="dxa"/>
          </w:tcPr>
          <w:p w14:paraId="04D96D60" w14:textId="77777777" w:rsidR="00E27F8E" w:rsidRPr="000268D6" w:rsidRDefault="00E27F8E" w:rsidP="0066301C">
            <w:pPr>
              <w:rPr>
                <w:rFonts w:ascii="Arial" w:hAnsi="Arial" w:cs="Arial"/>
              </w:rPr>
            </w:pPr>
            <w:r w:rsidRPr="000268D6">
              <w:rPr>
                <w:rFonts w:ascii="Arial" w:hAnsi="Arial" w:cs="Arial"/>
              </w:rPr>
              <w:lastRenderedPageBreak/>
              <w:t>∆LNDI</w:t>
            </w:r>
            <w:r w:rsidRPr="000268D6">
              <w:rPr>
                <w:rFonts w:ascii="Arial" w:hAnsi="Arial" w:cs="Arial"/>
                <w:vertAlign w:val="subscript"/>
              </w:rPr>
              <w:t>t-1</w:t>
            </w:r>
          </w:p>
        </w:tc>
        <w:tc>
          <w:tcPr>
            <w:tcW w:w="1420" w:type="dxa"/>
          </w:tcPr>
          <w:p w14:paraId="2445B100" w14:textId="77777777" w:rsidR="00E27F8E" w:rsidRPr="000268D6" w:rsidRDefault="00E27F8E" w:rsidP="0066301C">
            <w:pPr>
              <w:rPr>
                <w:rFonts w:ascii="Arial" w:hAnsi="Arial" w:cs="Arial"/>
              </w:rPr>
            </w:pPr>
            <w:r>
              <w:rPr>
                <w:rFonts w:ascii="Arial" w:hAnsi="Arial" w:cs="Arial"/>
              </w:rPr>
              <w:t>0.367</w:t>
            </w:r>
          </w:p>
        </w:tc>
        <w:tc>
          <w:tcPr>
            <w:tcW w:w="1702" w:type="dxa"/>
            <w:gridSpan w:val="2"/>
          </w:tcPr>
          <w:p w14:paraId="20A41E86" w14:textId="77777777" w:rsidR="00E27F8E" w:rsidRPr="000268D6" w:rsidRDefault="00E27F8E" w:rsidP="0066301C">
            <w:pPr>
              <w:rPr>
                <w:rFonts w:ascii="Arial" w:hAnsi="Arial" w:cs="Arial"/>
              </w:rPr>
            </w:pPr>
            <w:r>
              <w:rPr>
                <w:rFonts w:ascii="Arial" w:hAnsi="Arial" w:cs="Arial"/>
              </w:rPr>
              <w:t>0.125</w:t>
            </w:r>
          </w:p>
        </w:tc>
        <w:tc>
          <w:tcPr>
            <w:tcW w:w="1701" w:type="dxa"/>
          </w:tcPr>
          <w:p w14:paraId="5333C622" w14:textId="77777777" w:rsidR="00E27F8E" w:rsidRPr="000268D6" w:rsidRDefault="00E27F8E" w:rsidP="0066301C">
            <w:pPr>
              <w:rPr>
                <w:rFonts w:ascii="Arial" w:hAnsi="Arial" w:cs="Arial"/>
              </w:rPr>
            </w:pPr>
            <w:r>
              <w:rPr>
                <w:rFonts w:ascii="Arial" w:hAnsi="Arial" w:cs="Arial"/>
              </w:rPr>
              <w:t>2.949</w:t>
            </w:r>
          </w:p>
        </w:tc>
        <w:tc>
          <w:tcPr>
            <w:tcW w:w="1701" w:type="dxa"/>
            <w:gridSpan w:val="2"/>
          </w:tcPr>
          <w:p w14:paraId="0444DCD3" w14:textId="77777777" w:rsidR="00E27F8E" w:rsidRPr="000268D6" w:rsidRDefault="00E27F8E" w:rsidP="0066301C">
            <w:pPr>
              <w:rPr>
                <w:rFonts w:ascii="Arial" w:hAnsi="Arial" w:cs="Arial"/>
              </w:rPr>
            </w:pPr>
            <w:r>
              <w:rPr>
                <w:rFonts w:ascii="Arial" w:hAnsi="Arial" w:cs="Arial"/>
              </w:rPr>
              <w:t>0.001</w:t>
            </w:r>
          </w:p>
        </w:tc>
      </w:tr>
      <w:tr w:rsidR="00E27F8E" w14:paraId="34844AE3" w14:textId="77777777" w:rsidTr="004D74AB">
        <w:trPr>
          <w:trHeight w:val="288"/>
        </w:trPr>
        <w:tc>
          <w:tcPr>
            <w:tcW w:w="2969" w:type="dxa"/>
          </w:tcPr>
          <w:p w14:paraId="609B2344" w14:textId="77777777" w:rsidR="00E27F8E" w:rsidRPr="000268D6" w:rsidRDefault="00E27F8E" w:rsidP="0066301C">
            <w:pPr>
              <w:rPr>
                <w:rFonts w:ascii="Arial" w:hAnsi="Arial" w:cs="Arial"/>
                <w:vertAlign w:val="subscript"/>
              </w:rPr>
            </w:pPr>
            <w:r w:rsidRPr="000268D6">
              <w:rPr>
                <w:rFonts w:ascii="Arial" w:hAnsi="Arial" w:cs="Arial"/>
              </w:rPr>
              <w:t>ECM</w:t>
            </w:r>
            <w:r w:rsidRPr="000268D6">
              <w:rPr>
                <w:rFonts w:ascii="Arial" w:hAnsi="Arial" w:cs="Arial"/>
                <w:vertAlign w:val="subscript"/>
              </w:rPr>
              <w:t>t-1</w:t>
            </w:r>
          </w:p>
        </w:tc>
        <w:tc>
          <w:tcPr>
            <w:tcW w:w="1420" w:type="dxa"/>
          </w:tcPr>
          <w:p w14:paraId="3AA4CB6F" w14:textId="77777777" w:rsidR="00E27F8E" w:rsidRPr="000268D6" w:rsidRDefault="00E27F8E" w:rsidP="0066301C">
            <w:pPr>
              <w:rPr>
                <w:rFonts w:ascii="Arial" w:hAnsi="Arial" w:cs="Arial"/>
              </w:rPr>
            </w:pPr>
            <w:r>
              <w:rPr>
                <w:rFonts w:ascii="Arial" w:hAnsi="Arial" w:cs="Arial"/>
              </w:rPr>
              <w:t>-1.128</w:t>
            </w:r>
          </w:p>
        </w:tc>
        <w:tc>
          <w:tcPr>
            <w:tcW w:w="1702" w:type="dxa"/>
            <w:gridSpan w:val="2"/>
          </w:tcPr>
          <w:p w14:paraId="5F1D3218" w14:textId="77777777" w:rsidR="00E27F8E" w:rsidRPr="000268D6" w:rsidRDefault="00E27F8E" w:rsidP="0066301C">
            <w:pPr>
              <w:rPr>
                <w:rFonts w:ascii="Arial" w:hAnsi="Arial" w:cs="Arial"/>
              </w:rPr>
            </w:pPr>
            <w:r>
              <w:rPr>
                <w:rFonts w:ascii="Arial" w:hAnsi="Arial" w:cs="Arial"/>
              </w:rPr>
              <w:t>0.192</w:t>
            </w:r>
          </w:p>
        </w:tc>
        <w:tc>
          <w:tcPr>
            <w:tcW w:w="1701" w:type="dxa"/>
          </w:tcPr>
          <w:p w14:paraId="7E17BB93" w14:textId="77777777" w:rsidR="00E27F8E" w:rsidRPr="000268D6" w:rsidRDefault="00E27F8E" w:rsidP="0066301C">
            <w:pPr>
              <w:rPr>
                <w:rFonts w:ascii="Arial" w:hAnsi="Arial" w:cs="Arial"/>
              </w:rPr>
            </w:pPr>
            <w:r>
              <w:rPr>
                <w:rFonts w:ascii="Arial" w:hAnsi="Arial" w:cs="Arial"/>
              </w:rPr>
              <w:t>-5.887</w:t>
            </w:r>
          </w:p>
        </w:tc>
        <w:tc>
          <w:tcPr>
            <w:tcW w:w="1701" w:type="dxa"/>
            <w:gridSpan w:val="2"/>
          </w:tcPr>
          <w:p w14:paraId="6F83F614" w14:textId="77777777" w:rsidR="00E27F8E" w:rsidRPr="000268D6" w:rsidRDefault="00E27F8E" w:rsidP="0066301C">
            <w:pPr>
              <w:rPr>
                <w:rFonts w:ascii="Arial" w:hAnsi="Arial" w:cs="Arial"/>
              </w:rPr>
            </w:pPr>
            <w:r>
              <w:rPr>
                <w:rFonts w:ascii="Arial" w:hAnsi="Arial" w:cs="Arial"/>
              </w:rPr>
              <w:t>0.000</w:t>
            </w:r>
          </w:p>
        </w:tc>
      </w:tr>
      <w:tr w:rsidR="00E27F8E" w14:paraId="0B17D315" w14:textId="77777777" w:rsidTr="004D74AB">
        <w:trPr>
          <w:trHeight w:val="288"/>
        </w:trPr>
        <w:tc>
          <w:tcPr>
            <w:tcW w:w="9493" w:type="dxa"/>
            <w:gridSpan w:val="7"/>
          </w:tcPr>
          <w:p w14:paraId="5239B66A" w14:textId="77777777" w:rsidR="00E27F8E" w:rsidRDefault="00E27F8E" w:rsidP="0066301C">
            <w:pPr>
              <w:rPr>
                <w:rFonts w:ascii="Arial" w:hAnsi="Arial" w:cs="Arial"/>
              </w:rPr>
            </w:pPr>
          </w:p>
        </w:tc>
      </w:tr>
      <w:tr w:rsidR="00E27F8E" w14:paraId="047B925D" w14:textId="77777777" w:rsidTr="004D74AB">
        <w:trPr>
          <w:trHeight w:val="288"/>
        </w:trPr>
        <w:tc>
          <w:tcPr>
            <w:tcW w:w="9493" w:type="dxa"/>
            <w:gridSpan w:val="7"/>
          </w:tcPr>
          <w:p w14:paraId="2C09868D" w14:textId="77777777" w:rsidR="00E27F8E" w:rsidRPr="004E66BE" w:rsidRDefault="00E27F8E" w:rsidP="0066301C">
            <w:pPr>
              <w:jc w:val="center"/>
              <w:rPr>
                <w:rFonts w:ascii="Arial" w:hAnsi="Arial" w:cs="Arial"/>
                <w:b/>
                <w:bCs/>
                <w:i/>
                <w:iCs/>
                <w:sz w:val="28"/>
                <w:szCs w:val="28"/>
                <w:u w:val="single"/>
              </w:rPr>
            </w:pPr>
            <w:bookmarkStart w:id="463" w:name="_Hlk132769778"/>
            <w:bookmarkEnd w:id="462"/>
            <w:r w:rsidRPr="004E66BE">
              <w:rPr>
                <w:rFonts w:ascii="Arial" w:hAnsi="Arial" w:cs="Arial"/>
                <w:b/>
                <w:bCs/>
                <w:i/>
                <w:iCs/>
                <w:sz w:val="28"/>
                <w:szCs w:val="28"/>
                <w:u w:val="single"/>
              </w:rPr>
              <w:t>Gabon</w:t>
            </w:r>
          </w:p>
        </w:tc>
      </w:tr>
      <w:tr w:rsidR="00E27F8E" w14:paraId="1455C592" w14:textId="77777777" w:rsidTr="004D74AB">
        <w:trPr>
          <w:trHeight w:val="288"/>
        </w:trPr>
        <w:tc>
          <w:tcPr>
            <w:tcW w:w="9493" w:type="dxa"/>
            <w:gridSpan w:val="7"/>
          </w:tcPr>
          <w:p w14:paraId="13AAA3AC" w14:textId="77777777" w:rsidR="00E27F8E" w:rsidRPr="00A67D5C" w:rsidRDefault="00E27F8E" w:rsidP="0066301C">
            <w:pPr>
              <w:jc w:val="center"/>
              <w:rPr>
                <w:rFonts w:ascii="Arial" w:hAnsi="Arial" w:cs="Arial"/>
                <w:b/>
                <w:bCs/>
              </w:rPr>
            </w:pPr>
            <w:r w:rsidRPr="00A67D5C">
              <w:rPr>
                <w:rFonts w:ascii="Arial" w:hAnsi="Arial" w:cs="Arial"/>
                <w:b/>
                <w:bCs/>
              </w:rPr>
              <w:t>Partner China</w:t>
            </w:r>
          </w:p>
        </w:tc>
      </w:tr>
      <w:tr w:rsidR="00E27F8E" w14:paraId="77119AD1" w14:textId="77777777" w:rsidTr="004D74AB">
        <w:trPr>
          <w:trHeight w:val="288"/>
        </w:trPr>
        <w:tc>
          <w:tcPr>
            <w:tcW w:w="2969" w:type="dxa"/>
          </w:tcPr>
          <w:p w14:paraId="39891B7A" w14:textId="77777777" w:rsidR="00E27F8E" w:rsidRPr="00A67D5C" w:rsidRDefault="00E27F8E" w:rsidP="0066301C">
            <w:pPr>
              <w:jc w:val="center"/>
              <w:rPr>
                <w:rFonts w:ascii="Arial" w:hAnsi="Arial" w:cs="Arial"/>
                <w:b/>
                <w:bCs/>
              </w:rPr>
            </w:pPr>
            <w:r w:rsidRPr="00A67D5C">
              <w:rPr>
                <w:rFonts w:ascii="Arial" w:hAnsi="Arial" w:cs="Arial"/>
                <w:b/>
                <w:bCs/>
              </w:rPr>
              <w:t>Variable</w:t>
            </w:r>
          </w:p>
        </w:tc>
        <w:tc>
          <w:tcPr>
            <w:tcW w:w="1420" w:type="dxa"/>
          </w:tcPr>
          <w:p w14:paraId="5BEFDBF4" w14:textId="77777777" w:rsidR="00E27F8E" w:rsidRPr="00A67D5C" w:rsidRDefault="00E27F8E" w:rsidP="0066301C">
            <w:pPr>
              <w:jc w:val="center"/>
              <w:rPr>
                <w:rFonts w:ascii="Arial" w:hAnsi="Arial" w:cs="Arial"/>
                <w:b/>
                <w:bCs/>
              </w:rPr>
            </w:pPr>
            <w:r w:rsidRPr="00A67D5C">
              <w:rPr>
                <w:rFonts w:ascii="Arial" w:hAnsi="Arial" w:cs="Arial"/>
                <w:b/>
                <w:bCs/>
              </w:rPr>
              <w:t>Coefficient</w:t>
            </w:r>
          </w:p>
        </w:tc>
        <w:tc>
          <w:tcPr>
            <w:tcW w:w="1629" w:type="dxa"/>
          </w:tcPr>
          <w:p w14:paraId="1BD6082B" w14:textId="77777777" w:rsidR="00E27F8E" w:rsidRPr="00A67D5C" w:rsidRDefault="00E27F8E" w:rsidP="0066301C">
            <w:pPr>
              <w:jc w:val="center"/>
              <w:rPr>
                <w:rFonts w:ascii="Arial" w:hAnsi="Arial" w:cs="Arial"/>
                <w:b/>
                <w:bCs/>
              </w:rPr>
            </w:pPr>
            <w:r w:rsidRPr="00A67D5C">
              <w:rPr>
                <w:rFonts w:ascii="Arial" w:hAnsi="Arial" w:cs="Arial"/>
                <w:b/>
                <w:bCs/>
              </w:rPr>
              <w:t>Std. Error</w:t>
            </w:r>
          </w:p>
        </w:tc>
        <w:tc>
          <w:tcPr>
            <w:tcW w:w="1815" w:type="dxa"/>
            <w:gridSpan w:val="3"/>
          </w:tcPr>
          <w:p w14:paraId="7D041C01" w14:textId="77777777" w:rsidR="00E27F8E" w:rsidRPr="00A67D5C" w:rsidRDefault="00E27F8E" w:rsidP="0066301C">
            <w:pPr>
              <w:jc w:val="center"/>
              <w:rPr>
                <w:rFonts w:ascii="Arial" w:hAnsi="Arial" w:cs="Arial"/>
                <w:b/>
                <w:bCs/>
              </w:rPr>
            </w:pPr>
            <w:r w:rsidRPr="00A67D5C">
              <w:rPr>
                <w:rFonts w:ascii="Arial" w:hAnsi="Arial" w:cs="Arial"/>
                <w:b/>
                <w:bCs/>
              </w:rPr>
              <w:t>t-statistic</w:t>
            </w:r>
          </w:p>
        </w:tc>
        <w:tc>
          <w:tcPr>
            <w:tcW w:w="1660" w:type="dxa"/>
          </w:tcPr>
          <w:p w14:paraId="21B35005" w14:textId="77777777" w:rsidR="00E27F8E" w:rsidRPr="00A67D5C" w:rsidRDefault="00E27F8E" w:rsidP="0066301C">
            <w:pPr>
              <w:jc w:val="center"/>
              <w:rPr>
                <w:rFonts w:ascii="Arial" w:hAnsi="Arial" w:cs="Arial"/>
                <w:b/>
                <w:bCs/>
              </w:rPr>
            </w:pPr>
            <w:r w:rsidRPr="00A67D5C">
              <w:rPr>
                <w:rFonts w:ascii="Arial" w:hAnsi="Arial" w:cs="Arial"/>
                <w:b/>
                <w:bCs/>
              </w:rPr>
              <w:t>Prob.</w:t>
            </w:r>
          </w:p>
        </w:tc>
      </w:tr>
      <w:tr w:rsidR="00E27F8E" w14:paraId="6A333529" w14:textId="77777777" w:rsidTr="004D74AB">
        <w:trPr>
          <w:trHeight w:val="288"/>
        </w:trPr>
        <w:tc>
          <w:tcPr>
            <w:tcW w:w="2969" w:type="dxa"/>
          </w:tcPr>
          <w:p w14:paraId="796D3D4E" w14:textId="77777777" w:rsidR="00E27F8E" w:rsidRPr="00A67D5C" w:rsidRDefault="00E27F8E" w:rsidP="0066301C">
            <w:pPr>
              <w:rPr>
                <w:rFonts w:ascii="Arial" w:hAnsi="Arial" w:cs="Arial"/>
                <w:vertAlign w:val="subscript"/>
              </w:rPr>
            </w:pPr>
            <w:r w:rsidRPr="00A67D5C">
              <w:rPr>
                <w:rFonts w:ascii="Arial" w:hAnsi="Arial" w:cs="Arial"/>
              </w:rPr>
              <w:t>Dependent variable ∆LNTB</w:t>
            </w:r>
            <w:r w:rsidRPr="00A67D5C">
              <w:rPr>
                <w:rFonts w:ascii="Arial" w:hAnsi="Arial" w:cs="Arial"/>
                <w:vertAlign w:val="subscript"/>
              </w:rPr>
              <w:t>t</w:t>
            </w:r>
          </w:p>
        </w:tc>
        <w:tc>
          <w:tcPr>
            <w:tcW w:w="1420" w:type="dxa"/>
          </w:tcPr>
          <w:p w14:paraId="6ED5E36D" w14:textId="77777777" w:rsidR="00E27F8E" w:rsidRPr="00A67D5C" w:rsidRDefault="00E27F8E" w:rsidP="0066301C">
            <w:pPr>
              <w:rPr>
                <w:rFonts w:ascii="Arial" w:hAnsi="Arial" w:cs="Arial"/>
              </w:rPr>
            </w:pPr>
          </w:p>
        </w:tc>
        <w:tc>
          <w:tcPr>
            <w:tcW w:w="1629" w:type="dxa"/>
          </w:tcPr>
          <w:p w14:paraId="1E82C3D0" w14:textId="77777777" w:rsidR="00E27F8E" w:rsidRPr="00A67D5C" w:rsidRDefault="00E27F8E" w:rsidP="0066301C">
            <w:pPr>
              <w:rPr>
                <w:rFonts w:ascii="Arial" w:hAnsi="Arial" w:cs="Arial"/>
              </w:rPr>
            </w:pPr>
          </w:p>
        </w:tc>
        <w:tc>
          <w:tcPr>
            <w:tcW w:w="1815" w:type="dxa"/>
            <w:gridSpan w:val="3"/>
          </w:tcPr>
          <w:p w14:paraId="199EB5BE" w14:textId="77777777" w:rsidR="00E27F8E" w:rsidRPr="00A67D5C" w:rsidRDefault="00E27F8E" w:rsidP="0066301C">
            <w:pPr>
              <w:rPr>
                <w:rFonts w:ascii="Arial" w:hAnsi="Arial" w:cs="Arial"/>
              </w:rPr>
            </w:pPr>
          </w:p>
        </w:tc>
        <w:tc>
          <w:tcPr>
            <w:tcW w:w="1660" w:type="dxa"/>
          </w:tcPr>
          <w:p w14:paraId="78AEEFD2" w14:textId="77777777" w:rsidR="00E27F8E" w:rsidRPr="00A67D5C" w:rsidRDefault="00E27F8E" w:rsidP="0066301C">
            <w:pPr>
              <w:rPr>
                <w:rFonts w:ascii="Arial" w:hAnsi="Arial" w:cs="Arial"/>
              </w:rPr>
            </w:pPr>
          </w:p>
        </w:tc>
      </w:tr>
      <w:tr w:rsidR="00E27F8E" w14:paraId="5E52D4B9" w14:textId="77777777" w:rsidTr="004D74AB">
        <w:trPr>
          <w:trHeight w:val="301"/>
        </w:trPr>
        <w:tc>
          <w:tcPr>
            <w:tcW w:w="2969" w:type="dxa"/>
          </w:tcPr>
          <w:p w14:paraId="498B590F" w14:textId="77777777" w:rsidR="00E27F8E" w:rsidRPr="00E85FF9" w:rsidRDefault="00E27F8E" w:rsidP="0066301C">
            <w:pPr>
              <w:rPr>
                <w:rFonts w:ascii="Arial" w:hAnsi="Arial" w:cs="Arial"/>
                <w:b/>
                <w:bCs/>
              </w:rPr>
            </w:pPr>
            <w:r w:rsidRPr="00E85FF9">
              <w:rPr>
                <w:rFonts w:ascii="Arial" w:hAnsi="Arial" w:cs="Arial"/>
                <w:b/>
                <w:bCs/>
              </w:rPr>
              <w:t>Long-run elasticities</w:t>
            </w:r>
          </w:p>
        </w:tc>
        <w:tc>
          <w:tcPr>
            <w:tcW w:w="1420" w:type="dxa"/>
          </w:tcPr>
          <w:p w14:paraId="01E47543" w14:textId="77777777" w:rsidR="00E27F8E" w:rsidRPr="00A67D5C" w:rsidRDefault="00E27F8E" w:rsidP="0066301C">
            <w:pPr>
              <w:rPr>
                <w:rFonts w:ascii="Arial" w:hAnsi="Arial" w:cs="Arial"/>
              </w:rPr>
            </w:pPr>
          </w:p>
        </w:tc>
        <w:tc>
          <w:tcPr>
            <w:tcW w:w="1629" w:type="dxa"/>
          </w:tcPr>
          <w:p w14:paraId="34733287" w14:textId="77777777" w:rsidR="00E27F8E" w:rsidRPr="00A67D5C" w:rsidRDefault="00E27F8E" w:rsidP="0066301C">
            <w:pPr>
              <w:rPr>
                <w:rFonts w:ascii="Arial" w:hAnsi="Arial" w:cs="Arial"/>
              </w:rPr>
            </w:pPr>
          </w:p>
        </w:tc>
        <w:tc>
          <w:tcPr>
            <w:tcW w:w="1815" w:type="dxa"/>
            <w:gridSpan w:val="3"/>
          </w:tcPr>
          <w:p w14:paraId="42663ECF" w14:textId="77777777" w:rsidR="00E27F8E" w:rsidRPr="00A67D5C" w:rsidRDefault="00E27F8E" w:rsidP="0066301C">
            <w:pPr>
              <w:rPr>
                <w:rFonts w:ascii="Arial" w:hAnsi="Arial" w:cs="Arial"/>
              </w:rPr>
            </w:pPr>
          </w:p>
        </w:tc>
        <w:tc>
          <w:tcPr>
            <w:tcW w:w="1660" w:type="dxa"/>
          </w:tcPr>
          <w:p w14:paraId="67846CE7" w14:textId="77777777" w:rsidR="00E27F8E" w:rsidRPr="00A67D5C" w:rsidRDefault="00E27F8E" w:rsidP="0066301C">
            <w:pPr>
              <w:rPr>
                <w:rFonts w:ascii="Arial" w:hAnsi="Arial" w:cs="Arial"/>
              </w:rPr>
            </w:pPr>
          </w:p>
        </w:tc>
      </w:tr>
      <w:tr w:rsidR="00E27F8E" w14:paraId="1B687A28" w14:textId="77777777" w:rsidTr="004D74AB">
        <w:trPr>
          <w:trHeight w:val="288"/>
        </w:trPr>
        <w:tc>
          <w:tcPr>
            <w:tcW w:w="2969" w:type="dxa"/>
          </w:tcPr>
          <w:p w14:paraId="2AB7B23F" w14:textId="77777777" w:rsidR="00E27F8E" w:rsidRPr="00A67D5C" w:rsidRDefault="00E27F8E" w:rsidP="0066301C">
            <w:pPr>
              <w:rPr>
                <w:rFonts w:ascii="Arial" w:hAnsi="Arial" w:cs="Arial"/>
              </w:rPr>
            </w:pPr>
            <w:r w:rsidRPr="00A67D5C">
              <w:rPr>
                <w:rFonts w:ascii="Arial" w:hAnsi="Arial" w:cs="Arial"/>
              </w:rPr>
              <w:t>C</w:t>
            </w:r>
          </w:p>
        </w:tc>
        <w:tc>
          <w:tcPr>
            <w:tcW w:w="1420" w:type="dxa"/>
          </w:tcPr>
          <w:p w14:paraId="643DEA16" w14:textId="77777777" w:rsidR="00E27F8E" w:rsidRPr="00A67D5C" w:rsidRDefault="00E27F8E" w:rsidP="0066301C">
            <w:pPr>
              <w:rPr>
                <w:rFonts w:ascii="Arial" w:hAnsi="Arial" w:cs="Arial"/>
              </w:rPr>
            </w:pPr>
            <w:r>
              <w:rPr>
                <w:rFonts w:ascii="Arial" w:hAnsi="Arial" w:cs="Arial"/>
              </w:rPr>
              <w:t>-0.492</w:t>
            </w:r>
          </w:p>
        </w:tc>
        <w:tc>
          <w:tcPr>
            <w:tcW w:w="1629" w:type="dxa"/>
          </w:tcPr>
          <w:p w14:paraId="364A279B" w14:textId="77777777" w:rsidR="00E27F8E" w:rsidRPr="00A67D5C" w:rsidRDefault="00E27F8E" w:rsidP="0066301C">
            <w:pPr>
              <w:rPr>
                <w:rFonts w:ascii="Arial" w:hAnsi="Arial" w:cs="Arial"/>
              </w:rPr>
            </w:pPr>
            <w:r>
              <w:rPr>
                <w:rFonts w:ascii="Arial" w:hAnsi="Arial" w:cs="Arial"/>
              </w:rPr>
              <w:t>1.975</w:t>
            </w:r>
          </w:p>
        </w:tc>
        <w:tc>
          <w:tcPr>
            <w:tcW w:w="1815" w:type="dxa"/>
            <w:gridSpan w:val="3"/>
          </w:tcPr>
          <w:p w14:paraId="55DE4870" w14:textId="77777777" w:rsidR="00E27F8E" w:rsidRPr="00A67D5C" w:rsidRDefault="00E27F8E" w:rsidP="0066301C">
            <w:pPr>
              <w:rPr>
                <w:rFonts w:ascii="Arial" w:hAnsi="Arial" w:cs="Arial"/>
              </w:rPr>
            </w:pPr>
            <w:r>
              <w:rPr>
                <w:rFonts w:ascii="Arial" w:hAnsi="Arial" w:cs="Arial"/>
              </w:rPr>
              <w:t>-0.249</w:t>
            </w:r>
          </w:p>
        </w:tc>
        <w:tc>
          <w:tcPr>
            <w:tcW w:w="1660" w:type="dxa"/>
          </w:tcPr>
          <w:p w14:paraId="4B8DD671" w14:textId="77777777" w:rsidR="00E27F8E" w:rsidRPr="00A67D5C" w:rsidRDefault="00E27F8E" w:rsidP="0066301C">
            <w:pPr>
              <w:rPr>
                <w:rFonts w:ascii="Arial" w:hAnsi="Arial" w:cs="Arial"/>
              </w:rPr>
            </w:pPr>
            <w:r>
              <w:rPr>
                <w:rFonts w:ascii="Arial" w:hAnsi="Arial" w:cs="Arial"/>
              </w:rPr>
              <w:t>0.805</w:t>
            </w:r>
          </w:p>
        </w:tc>
      </w:tr>
      <w:tr w:rsidR="00E27F8E" w14:paraId="4F4DDA41" w14:textId="77777777" w:rsidTr="004D74AB">
        <w:trPr>
          <w:trHeight w:val="288"/>
        </w:trPr>
        <w:tc>
          <w:tcPr>
            <w:tcW w:w="2969" w:type="dxa"/>
          </w:tcPr>
          <w:p w14:paraId="1223007D" w14:textId="77777777" w:rsidR="00E27F8E" w:rsidRPr="00A67D5C" w:rsidRDefault="00E27F8E" w:rsidP="0066301C">
            <w:pPr>
              <w:rPr>
                <w:rFonts w:ascii="Arial" w:hAnsi="Arial" w:cs="Arial"/>
              </w:rPr>
            </w:pPr>
            <w:r w:rsidRPr="00A67D5C">
              <w:rPr>
                <w:rFonts w:ascii="Arial" w:hAnsi="Arial" w:cs="Arial"/>
              </w:rPr>
              <w:t>LNREER</w:t>
            </w:r>
          </w:p>
        </w:tc>
        <w:tc>
          <w:tcPr>
            <w:tcW w:w="1420" w:type="dxa"/>
          </w:tcPr>
          <w:p w14:paraId="63D6787A" w14:textId="77777777" w:rsidR="00E27F8E" w:rsidRPr="00A67D5C" w:rsidRDefault="00E27F8E" w:rsidP="0066301C">
            <w:pPr>
              <w:rPr>
                <w:rFonts w:ascii="Arial" w:hAnsi="Arial" w:cs="Arial"/>
              </w:rPr>
            </w:pPr>
            <w:r>
              <w:rPr>
                <w:rFonts w:ascii="Arial" w:hAnsi="Arial" w:cs="Arial"/>
              </w:rPr>
              <w:t>-0.852</w:t>
            </w:r>
          </w:p>
        </w:tc>
        <w:tc>
          <w:tcPr>
            <w:tcW w:w="1629" w:type="dxa"/>
          </w:tcPr>
          <w:p w14:paraId="35D8BB95" w14:textId="77777777" w:rsidR="00E27F8E" w:rsidRPr="00A67D5C" w:rsidRDefault="00E27F8E" w:rsidP="0066301C">
            <w:pPr>
              <w:rPr>
                <w:rFonts w:ascii="Arial" w:hAnsi="Arial" w:cs="Arial"/>
              </w:rPr>
            </w:pPr>
            <w:r>
              <w:rPr>
                <w:rFonts w:ascii="Arial" w:hAnsi="Arial" w:cs="Arial"/>
              </w:rPr>
              <w:t>0.285</w:t>
            </w:r>
          </w:p>
        </w:tc>
        <w:tc>
          <w:tcPr>
            <w:tcW w:w="1815" w:type="dxa"/>
            <w:gridSpan w:val="3"/>
          </w:tcPr>
          <w:p w14:paraId="56A1261C" w14:textId="77777777" w:rsidR="00E27F8E" w:rsidRPr="00A67D5C" w:rsidRDefault="00E27F8E" w:rsidP="0066301C">
            <w:pPr>
              <w:rPr>
                <w:rFonts w:ascii="Arial" w:hAnsi="Arial" w:cs="Arial"/>
              </w:rPr>
            </w:pPr>
            <w:r>
              <w:rPr>
                <w:rFonts w:ascii="Arial" w:hAnsi="Arial" w:cs="Arial"/>
              </w:rPr>
              <w:t>-2.994</w:t>
            </w:r>
          </w:p>
        </w:tc>
        <w:tc>
          <w:tcPr>
            <w:tcW w:w="1660" w:type="dxa"/>
          </w:tcPr>
          <w:p w14:paraId="7F3FD7FC" w14:textId="77777777" w:rsidR="00E27F8E" w:rsidRPr="00A67D5C" w:rsidRDefault="00E27F8E" w:rsidP="0066301C">
            <w:pPr>
              <w:rPr>
                <w:rFonts w:ascii="Arial" w:hAnsi="Arial" w:cs="Arial"/>
              </w:rPr>
            </w:pPr>
            <w:r>
              <w:rPr>
                <w:rFonts w:ascii="Arial" w:hAnsi="Arial" w:cs="Arial"/>
              </w:rPr>
              <w:t>0.005</w:t>
            </w:r>
          </w:p>
        </w:tc>
      </w:tr>
      <w:tr w:rsidR="00E27F8E" w14:paraId="5F5162C8" w14:textId="77777777" w:rsidTr="004D74AB">
        <w:trPr>
          <w:trHeight w:val="288"/>
        </w:trPr>
        <w:tc>
          <w:tcPr>
            <w:tcW w:w="2969" w:type="dxa"/>
          </w:tcPr>
          <w:p w14:paraId="78BAC541" w14:textId="77777777" w:rsidR="00E27F8E" w:rsidRPr="00A67D5C" w:rsidRDefault="00E27F8E" w:rsidP="0066301C">
            <w:pPr>
              <w:rPr>
                <w:rFonts w:ascii="Arial" w:hAnsi="Arial" w:cs="Arial"/>
              </w:rPr>
            </w:pPr>
            <w:r w:rsidRPr="00A67D5C">
              <w:rPr>
                <w:rFonts w:ascii="Arial" w:hAnsi="Arial" w:cs="Arial"/>
              </w:rPr>
              <w:t>LNDI</w:t>
            </w:r>
          </w:p>
        </w:tc>
        <w:tc>
          <w:tcPr>
            <w:tcW w:w="1420" w:type="dxa"/>
          </w:tcPr>
          <w:p w14:paraId="302E400E" w14:textId="77777777" w:rsidR="00E27F8E" w:rsidRPr="00A67D5C" w:rsidRDefault="00E27F8E" w:rsidP="0066301C">
            <w:pPr>
              <w:rPr>
                <w:rFonts w:ascii="Arial" w:hAnsi="Arial" w:cs="Arial"/>
              </w:rPr>
            </w:pPr>
            <w:r>
              <w:rPr>
                <w:rFonts w:ascii="Arial" w:hAnsi="Arial" w:cs="Arial"/>
              </w:rPr>
              <w:t>0.549</w:t>
            </w:r>
          </w:p>
        </w:tc>
        <w:tc>
          <w:tcPr>
            <w:tcW w:w="1629" w:type="dxa"/>
          </w:tcPr>
          <w:p w14:paraId="795C3339" w14:textId="77777777" w:rsidR="00E27F8E" w:rsidRPr="00A67D5C" w:rsidRDefault="00E27F8E" w:rsidP="0066301C">
            <w:pPr>
              <w:rPr>
                <w:rFonts w:ascii="Arial" w:hAnsi="Arial" w:cs="Arial"/>
              </w:rPr>
            </w:pPr>
            <w:r>
              <w:rPr>
                <w:rFonts w:ascii="Arial" w:hAnsi="Arial" w:cs="Arial"/>
              </w:rPr>
              <w:t>0.303</w:t>
            </w:r>
          </w:p>
        </w:tc>
        <w:tc>
          <w:tcPr>
            <w:tcW w:w="1815" w:type="dxa"/>
            <w:gridSpan w:val="3"/>
          </w:tcPr>
          <w:p w14:paraId="6125FF40" w14:textId="77777777" w:rsidR="00E27F8E" w:rsidRPr="00A67D5C" w:rsidRDefault="00E27F8E" w:rsidP="0066301C">
            <w:pPr>
              <w:rPr>
                <w:rFonts w:ascii="Arial" w:hAnsi="Arial" w:cs="Arial"/>
              </w:rPr>
            </w:pPr>
            <w:r>
              <w:rPr>
                <w:rFonts w:ascii="Arial" w:hAnsi="Arial" w:cs="Arial"/>
              </w:rPr>
              <w:t>1.817</w:t>
            </w:r>
          </w:p>
        </w:tc>
        <w:tc>
          <w:tcPr>
            <w:tcW w:w="1660" w:type="dxa"/>
          </w:tcPr>
          <w:p w14:paraId="09BE29AC" w14:textId="77777777" w:rsidR="00E27F8E" w:rsidRPr="00A67D5C" w:rsidRDefault="00E27F8E" w:rsidP="0066301C">
            <w:pPr>
              <w:rPr>
                <w:rFonts w:ascii="Arial" w:hAnsi="Arial" w:cs="Arial"/>
              </w:rPr>
            </w:pPr>
            <w:r>
              <w:rPr>
                <w:rFonts w:ascii="Arial" w:hAnsi="Arial" w:cs="Arial"/>
              </w:rPr>
              <w:t>0.078</w:t>
            </w:r>
          </w:p>
        </w:tc>
      </w:tr>
      <w:tr w:rsidR="00E27F8E" w14:paraId="7ADD7625" w14:textId="77777777" w:rsidTr="004D74AB">
        <w:trPr>
          <w:trHeight w:val="288"/>
        </w:trPr>
        <w:tc>
          <w:tcPr>
            <w:tcW w:w="2969" w:type="dxa"/>
          </w:tcPr>
          <w:p w14:paraId="50476E71" w14:textId="77777777" w:rsidR="00E27F8E" w:rsidRPr="00A67D5C" w:rsidRDefault="00E27F8E" w:rsidP="0066301C">
            <w:pPr>
              <w:rPr>
                <w:rFonts w:ascii="Arial" w:hAnsi="Arial" w:cs="Arial"/>
              </w:rPr>
            </w:pPr>
            <w:r w:rsidRPr="00A67D5C">
              <w:rPr>
                <w:rFonts w:ascii="Arial" w:hAnsi="Arial" w:cs="Arial"/>
              </w:rPr>
              <w:t>LNCHINAFI</w:t>
            </w:r>
          </w:p>
        </w:tc>
        <w:tc>
          <w:tcPr>
            <w:tcW w:w="1420" w:type="dxa"/>
          </w:tcPr>
          <w:p w14:paraId="5F64D272" w14:textId="77777777" w:rsidR="00E27F8E" w:rsidRPr="00A67D5C" w:rsidRDefault="00E27F8E" w:rsidP="0066301C">
            <w:pPr>
              <w:rPr>
                <w:rFonts w:ascii="Arial" w:hAnsi="Arial" w:cs="Arial"/>
              </w:rPr>
            </w:pPr>
            <w:r>
              <w:rPr>
                <w:rFonts w:ascii="Arial" w:hAnsi="Arial" w:cs="Arial"/>
              </w:rPr>
              <w:t>-0.254</w:t>
            </w:r>
          </w:p>
        </w:tc>
        <w:tc>
          <w:tcPr>
            <w:tcW w:w="1629" w:type="dxa"/>
          </w:tcPr>
          <w:p w14:paraId="39EA40BF" w14:textId="77777777" w:rsidR="00E27F8E" w:rsidRPr="00A67D5C" w:rsidRDefault="00E27F8E" w:rsidP="0066301C">
            <w:pPr>
              <w:rPr>
                <w:rFonts w:ascii="Arial" w:hAnsi="Arial" w:cs="Arial"/>
              </w:rPr>
            </w:pPr>
            <w:r>
              <w:rPr>
                <w:rFonts w:ascii="Arial" w:hAnsi="Arial" w:cs="Arial"/>
              </w:rPr>
              <w:t>0.159</w:t>
            </w:r>
          </w:p>
        </w:tc>
        <w:tc>
          <w:tcPr>
            <w:tcW w:w="1815" w:type="dxa"/>
            <w:gridSpan w:val="3"/>
          </w:tcPr>
          <w:p w14:paraId="6AC2B75A" w14:textId="77777777" w:rsidR="00E27F8E" w:rsidRPr="00A67D5C" w:rsidRDefault="00E27F8E" w:rsidP="0066301C">
            <w:pPr>
              <w:rPr>
                <w:rFonts w:ascii="Arial" w:hAnsi="Arial" w:cs="Arial"/>
              </w:rPr>
            </w:pPr>
            <w:r>
              <w:rPr>
                <w:rFonts w:ascii="Arial" w:hAnsi="Arial" w:cs="Arial"/>
              </w:rPr>
              <w:t>-1.593</w:t>
            </w:r>
          </w:p>
        </w:tc>
        <w:tc>
          <w:tcPr>
            <w:tcW w:w="1660" w:type="dxa"/>
          </w:tcPr>
          <w:p w14:paraId="4B00DAFA" w14:textId="77777777" w:rsidR="00E27F8E" w:rsidRPr="00A67D5C" w:rsidRDefault="00E27F8E" w:rsidP="0066301C">
            <w:pPr>
              <w:rPr>
                <w:rFonts w:ascii="Arial" w:hAnsi="Arial" w:cs="Arial"/>
              </w:rPr>
            </w:pPr>
            <w:r>
              <w:rPr>
                <w:rFonts w:ascii="Arial" w:hAnsi="Arial" w:cs="Arial"/>
              </w:rPr>
              <w:t>0.121</w:t>
            </w:r>
          </w:p>
        </w:tc>
      </w:tr>
      <w:tr w:rsidR="00E27F8E" w14:paraId="6F829852" w14:textId="77777777" w:rsidTr="004D74AB">
        <w:trPr>
          <w:trHeight w:val="288"/>
        </w:trPr>
        <w:tc>
          <w:tcPr>
            <w:tcW w:w="2969" w:type="dxa"/>
          </w:tcPr>
          <w:p w14:paraId="1D0A54AB" w14:textId="77777777" w:rsidR="00E27F8E" w:rsidRPr="00A67D5C" w:rsidRDefault="00E27F8E" w:rsidP="0066301C">
            <w:pPr>
              <w:rPr>
                <w:rFonts w:ascii="Arial" w:hAnsi="Arial" w:cs="Arial"/>
                <w:b/>
                <w:bCs/>
              </w:rPr>
            </w:pPr>
            <w:r w:rsidRPr="00A67D5C">
              <w:rPr>
                <w:rFonts w:ascii="Arial" w:hAnsi="Arial" w:cs="Arial"/>
                <w:b/>
                <w:bCs/>
              </w:rPr>
              <w:t>Short-run elasticities</w:t>
            </w:r>
          </w:p>
        </w:tc>
        <w:tc>
          <w:tcPr>
            <w:tcW w:w="1420" w:type="dxa"/>
          </w:tcPr>
          <w:p w14:paraId="305ED4E7" w14:textId="77777777" w:rsidR="00E27F8E" w:rsidRPr="00A67D5C" w:rsidRDefault="00E27F8E" w:rsidP="0066301C">
            <w:pPr>
              <w:rPr>
                <w:rFonts w:ascii="Arial" w:hAnsi="Arial" w:cs="Arial"/>
              </w:rPr>
            </w:pPr>
          </w:p>
        </w:tc>
        <w:tc>
          <w:tcPr>
            <w:tcW w:w="1629" w:type="dxa"/>
          </w:tcPr>
          <w:p w14:paraId="411A5EE9" w14:textId="77777777" w:rsidR="00E27F8E" w:rsidRPr="00A67D5C" w:rsidRDefault="00E27F8E" w:rsidP="0066301C">
            <w:pPr>
              <w:rPr>
                <w:rFonts w:ascii="Arial" w:hAnsi="Arial" w:cs="Arial"/>
              </w:rPr>
            </w:pPr>
          </w:p>
        </w:tc>
        <w:tc>
          <w:tcPr>
            <w:tcW w:w="1815" w:type="dxa"/>
            <w:gridSpan w:val="3"/>
          </w:tcPr>
          <w:p w14:paraId="2BB7E4F1" w14:textId="77777777" w:rsidR="00E27F8E" w:rsidRPr="00A67D5C" w:rsidRDefault="00E27F8E" w:rsidP="0066301C">
            <w:pPr>
              <w:rPr>
                <w:rFonts w:ascii="Arial" w:hAnsi="Arial" w:cs="Arial"/>
              </w:rPr>
            </w:pPr>
          </w:p>
        </w:tc>
        <w:tc>
          <w:tcPr>
            <w:tcW w:w="1660" w:type="dxa"/>
          </w:tcPr>
          <w:p w14:paraId="48D6B24A" w14:textId="77777777" w:rsidR="00E27F8E" w:rsidRPr="00A67D5C" w:rsidRDefault="00E27F8E" w:rsidP="0066301C">
            <w:pPr>
              <w:rPr>
                <w:rFonts w:ascii="Arial" w:hAnsi="Arial" w:cs="Arial"/>
              </w:rPr>
            </w:pPr>
          </w:p>
        </w:tc>
      </w:tr>
      <w:tr w:rsidR="00E27F8E" w14:paraId="3F4FA69C" w14:textId="77777777" w:rsidTr="004D74AB">
        <w:trPr>
          <w:trHeight w:val="288"/>
        </w:trPr>
        <w:tc>
          <w:tcPr>
            <w:tcW w:w="2969" w:type="dxa"/>
          </w:tcPr>
          <w:p w14:paraId="001A8106" w14:textId="77777777" w:rsidR="00E27F8E" w:rsidRPr="00A67D5C" w:rsidRDefault="00E27F8E" w:rsidP="0066301C">
            <w:pPr>
              <w:rPr>
                <w:rFonts w:ascii="Arial" w:hAnsi="Arial" w:cs="Arial"/>
              </w:rPr>
            </w:pPr>
            <w:r w:rsidRPr="00A67D5C">
              <w:rPr>
                <w:rFonts w:ascii="Arial" w:hAnsi="Arial" w:cs="Arial"/>
              </w:rPr>
              <w:t>C</w:t>
            </w:r>
          </w:p>
        </w:tc>
        <w:tc>
          <w:tcPr>
            <w:tcW w:w="1420" w:type="dxa"/>
          </w:tcPr>
          <w:p w14:paraId="13D460C8" w14:textId="77777777" w:rsidR="00E27F8E" w:rsidRPr="00A67D5C" w:rsidRDefault="00E27F8E" w:rsidP="0066301C">
            <w:pPr>
              <w:rPr>
                <w:rFonts w:ascii="Arial" w:hAnsi="Arial" w:cs="Arial"/>
              </w:rPr>
            </w:pPr>
            <w:r>
              <w:rPr>
                <w:rFonts w:ascii="Arial" w:hAnsi="Arial" w:cs="Arial"/>
              </w:rPr>
              <w:t>-0.492</w:t>
            </w:r>
          </w:p>
        </w:tc>
        <w:tc>
          <w:tcPr>
            <w:tcW w:w="1629" w:type="dxa"/>
          </w:tcPr>
          <w:p w14:paraId="55918277" w14:textId="77777777" w:rsidR="00E27F8E" w:rsidRPr="00A67D5C" w:rsidRDefault="00E27F8E" w:rsidP="0066301C">
            <w:pPr>
              <w:rPr>
                <w:rFonts w:ascii="Arial" w:hAnsi="Arial" w:cs="Arial"/>
              </w:rPr>
            </w:pPr>
            <w:r>
              <w:rPr>
                <w:rFonts w:ascii="Arial" w:hAnsi="Arial" w:cs="Arial"/>
              </w:rPr>
              <w:t>0.105</w:t>
            </w:r>
          </w:p>
        </w:tc>
        <w:tc>
          <w:tcPr>
            <w:tcW w:w="1815" w:type="dxa"/>
            <w:gridSpan w:val="3"/>
          </w:tcPr>
          <w:p w14:paraId="4A470513" w14:textId="77777777" w:rsidR="00E27F8E" w:rsidRPr="00A67D5C" w:rsidRDefault="00E27F8E" w:rsidP="0066301C">
            <w:pPr>
              <w:rPr>
                <w:rFonts w:ascii="Arial" w:hAnsi="Arial" w:cs="Arial"/>
              </w:rPr>
            </w:pPr>
            <w:r>
              <w:rPr>
                <w:rFonts w:ascii="Arial" w:hAnsi="Arial" w:cs="Arial"/>
              </w:rPr>
              <w:t>-4.706</w:t>
            </w:r>
          </w:p>
        </w:tc>
        <w:tc>
          <w:tcPr>
            <w:tcW w:w="1660" w:type="dxa"/>
          </w:tcPr>
          <w:p w14:paraId="219A80E5" w14:textId="77777777" w:rsidR="00E27F8E" w:rsidRPr="00A67D5C" w:rsidRDefault="00E27F8E" w:rsidP="0066301C">
            <w:pPr>
              <w:rPr>
                <w:rFonts w:ascii="Arial" w:hAnsi="Arial" w:cs="Arial"/>
              </w:rPr>
            </w:pPr>
            <w:r>
              <w:rPr>
                <w:rFonts w:ascii="Arial" w:hAnsi="Arial" w:cs="Arial"/>
              </w:rPr>
              <w:t>0.000</w:t>
            </w:r>
          </w:p>
        </w:tc>
      </w:tr>
      <w:tr w:rsidR="00E27F8E" w14:paraId="79899364" w14:textId="77777777" w:rsidTr="004D74AB">
        <w:trPr>
          <w:trHeight w:val="288"/>
        </w:trPr>
        <w:tc>
          <w:tcPr>
            <w:tcW w:w="2969" w:type="dxa"/>
          </w:tcPr>
          <w:p w14:paraId="6DB78B35" w14:textId="77777777" w:rsidR="00E27F8E" w:rsidRPr="00A67D5C" w:rsidRDefault="00E27F8E" w:rsidP="0066301C">
            <w:pPr>
              <w:rPr>
                <w:rFonts w:ascii="Arial" w:hAnsi="Arial" w:cs="Arial"/>
              </w:rPr>
            </w:pPr>
            <w:r w:rsidRPr="00A67D5C">
              <w:rPr>
                <w:rFonts w:ascii="Arial" w:hAnsi="Arial" w:cs="Arial"/>
              </w:rPr>
              <w:t>∆LNDI</w:t>
            </w:r>
          </w:p>
        </w:tc>
        <w:tc>
          <w:tcPr>
            <w:tcW w:w="1420" w:type="dxa"/>
          </w:tcPr>
          <w:p w14:paraId="3564569B" w14:textId="77777777" w:rsidR="00E27F8E" w:rsidRPr="00A67D5C" w:rsidRDefault="00E27F8E" w:rsidP="0066301C">
            <w:pPr>
              <w:rPr>
                <w:rFonts w:ascii="Arial" w:hAnsi="Arial" w:cs="Arial"/>
              </w:rPr>
            </w:pPr>
            <w:r>
              <w:rPr>
                <w:rFonts w:ascii="Arial" w:hAnsi="Arial" w:cs="Arial"/>
              </w:rPr>
              <w:t>0.811</w:t>
            </w:r>
          </w:p>
        </w:tc>
        <w:tc>
          <w:tcPr>
            <w:tcW w:w="1629" w:type="dxa"/>
          </w:tcPr>
          <w:p w14:paraId="655B56F1" w14:textId="77777777" w:rsidR="00E27F8E" w:rsidRPr="00A67D5C" w:rsidRDefault="00E27F8E" w:rsidP="0066301C">
            <w:pPr>
              <w:rPr>
                <w:rFonts w:ascii="Arial" w:hAnsi="Arial" w:cs="Arial"/>
              </w:rPr>
            </w:pPr>
            <w:r>
              <w:rPr>
                <w:rFonts w:ascii="Arial" w:hAnsi="Arial" w:cs="Arial"/>
              </w:rPr>
              <w:t>0.184</w:t>
            </w:r>
          </w:p>
        </w:tc>
        <w:tc>
          <w:tcPr>
            <w:tcW w:w="1815" w:type="dxa"/>
            <w:gridSpan w:val="3"/>
          </w:tcPr>
          <w:p w14:paraId="7C234532" w14:textId="77777777" w:rsidR="00E27F8E" w:rsidRPr="00A67D5C" w:rsidRDefault="00E27F8E" w:rsidP="0066301C">
            <w:pPr>
              <w:rPr>
                <w:rFonts w:ascii="Arial" w:hAnsi="Arial" w:cs="Arial"/>
              </w:rPr>
            </w:pPr>
            <w:r>
              <w:rPr>
                <w:rFonts w:ascii="Arial" w:hAnsi="Arial" w:cs="Arial"/>
              </w:rPr>
              <w:t>4.417</w:t>
            </w:r>
          </w:p>
        </w:tc>
        <w:tc>
          <w:tcPr>
            <w:tcW w:w="1660" w:type="dxa"/>
          </w:tcPr>
          <w:p w14:paraId="702293B6" w14:textId="77777777" w:rsidR="00E27F8E" w:rsidRPr="00A67D5C" w:rsidRDefault="00E27F8E" w:rsidP="0066301C">
            <w:pPr>
              <w:rPr>
                <w:rFonts w:ascii="Arial" w:hAnsi="Arial" w:cs="Arial"/>
              </w:rPr>
            </w:pPr>
            <w:r>
              <w:rPr>
                <w:rFonts w:ascii="Arial" w:hAnsi="Arial" w:cs="Arial"/>
              </w:rPr>
              <w:t>0.000</w:t>
            </w:r>
          </w:p>
        </w:tc>
      </w:tr>
      <w:tr w:rsidR="00E27F8E" w14:paraId="3FAFD9F5" w14:textId="77777777" w:rsidTr="004D74AB">
        <w:trPr>
          <w:trHeight w:val="288"/>
        </w:trPr>
        <w:tc>
          <w:tcPr>
            <w:tcW w:w="2969" w:type="dxa"/>
          </w:tcPr>
          <w:p w14:paraId="2DE86149" w14:textId="77777777" w:rsidR="00E27F8E" w:rsidRDefault="00E27F8E" w:rsidP="0066301C">
            <w:r>
              <w:rPr>
                <w:rFonts w:cstheme="minorHAnsi"/>
              </w:rPr>
              <w:t>ECM</w:t>
            </w:r>
            <w:r>
              <w:rPr>
                <w:rFonts w:cstheme="minorHAnsi"/>
                <w:vertAlign w:val="subscript"/>
              </w:rPr>
              <w:t>t-1</w:t>
            </w:r>
          </w:p>
        </w:tc>
        <w:tc>
          <w:tcPr>
            <w:tcW w:w="1420" w:type="dxa"/>
          </w:tcPr>
          <w:p w14:paraId="46E8EE08" w14:textId="77777777" w:rsidR="00E27F8E" w:rsidRDefault="00E27F8E" w:rsidP="0066301C">
            <w:r>
              <w:t>-0.601</w:t>
            </w:r>
          </w:p>
        </w:tc>
        <w:tc>
          <w:tcPr>
            <w:tcW w:w="1629" w:type="dxa"/>
          </w:tcPr>
          <w:p w14:paraId="710091CE" w14:textId="77777777" w:rsidR="00E27F8E" w:rsidRDefault="00E27F8E" w:rsidP="0066301C">
            <w:r>
              <w:t>0.129</w:t>
            </w:r>
          </w:p>
        </w:tc>
        <w:tc>
          <w:tcPr>
            <w:tcW w:w="1815" w:type="dxa"/>
            <w:gridSpan w:val="3"/>
          </w:tcPr>
          <w:p w14:paraId="3DE67111" w14:textId="77777777" w:rsidR="00E27F8E" w:rsidRDefault="00E27F8E" w:rsidP="0066301C">
            <w:r>
              <w:t>-4.641</w:t>
            </w:r>
          </w:p>
        </w:tc>
        <w:tc>
          <w:tcPr>
            <w:tcW w:w="1660" w:type="dxa"/>
          </w:tcPr>
          <w:p w14:paraId="4C8C5BF0" w14:textId="77777777" w:rsidR="00E27F8E" w:rsidRDefault="00E27F8E" w:rsidP="0066301C">
            <w:r>
              <w:t>0.000</w:t>
            </w:r>
          </w:p>
        </w:tc>
      </w:tr>
      <w:tr w:rsidR="00E27F8E" w14:paraId="13421C3B" w14:textId="77777777" w:rsidTr="004D74AB">
        <w:trPr>
          <w:trHeight w:val="288"/>
        </w:trPr>
        <w:tc>
          <w:tcPr>
            <w:tcW w:w="9493" w:type="dxa"/>
            <w:gridSpan w:val="7"/>
          </w:tcPr>
          <w:p w14:paraId="584968B0" w14:textId="77777777" w:rsidR="00E27F8E" w:rsidRPr="00A67D5C" w:rsidRDefault="00E27F8E" w:rsidP="0066301C">
            <w:pPr>
              <w:jc w:val="center"/>
              <w:rPr>
                <w:rFonts w:ascii="Arial" w:hAnsi="Arial" w:cs="Arial"/>
                <w:b/>
                <w:bCs/>
              </w:rPr>
            </w:pPr>
            <w:r w:rsidRPr="00A67D5C">
              <w:rPr>
                <w:rFonts w:ascii="Arial" w:hAnsi="Arial" w:cs="Arial"/>
                <w:b/>
                <w:bCs/>
              </w:rPr>
              <w:t>Partner</w:t>
            </w:r>
            <w:r>
              <w:rPr>
                <w:rFonts w:ascii="Arial" w:hAnsi="Arial" w:cs="Arial"/>
                <w:b/>
                <w:bCs/>
              </w:rPr>
              <w:t xml:space="preserve"> Ireland</w:t>
            </w:r>
          </w:p>
        </w:tc>
      </w:tr>
      <w:tr w:rsidR="00E27F8E" w14:paraId="54FD4518" w14:textId="77777777" w:rsidTr="004D74AB">
        <w:trPr>
          <w:trHeight w:val="288"/>
        </w:trPr>
        <w:tc>
          <w:tcPr>
            <w:tcW w:w="2969" w:type="dxa"/>
          </w:tcPr>
          <w:p w14:paraId="6A41B34F" w14:textId="77777777" w:rsidR="00E27F8E" w:rsidRPr="00A67D5C" w:rsidRDefault="00E27F8E" w:rsidP="0066301C">
            <w:pPr>
              <w:jc w:val="center"/>
              <w:rPr>
                <w:rFonts w:ascii="Arial" w:hAnsi="Arial" w:cs="Arial"/>
                <w:b/>
                <w:bCs/>
              </w:rPr>
            </w:pPr>
            <w:r w:rsidRPr="00A67D5C">
              <w:rPr>
                <w:rFonts w:ascii="Arial" w:hAnsi="Arial" w:cs="Arial"/>
                <w:b/>
                <w:bCs/>
              </w:rPr>
              <w:t>Variable</w:t>
            </w:r>
          </w:p>
        </w:tc>
        <w:tc>
          <w:tcPr>
            <w:tcW w:w="1420" w:type="dxa"/>
          </w:tcPr>
          <w:p w14:paraId="7588E085" w14:textId="77777777" w:rsidR="00E27F8E" w:rsidRPr="00A67D5C" w:rsidRDefault="00E27F8E" w:rsidP="0066301C">
            <w:pPr>
              <w:jc w:val="center"/>
              <w:rPr>
                <w:rFonts w:ascii="Arial" w:hAnsi="Arial" w:cs="Arial"/>
                <w:b/>
                <w:bCs/>
              </w:rPr>
            </w:pPr>
            <w:r w:rsidRPr="00A67D5C">
              <w:rPr>
                <w:rFonts w:ascii="Arial" w:hAnsi="Arial" w:cs="Arial"/>
                <w:b/>
                <w:bCs/>
              </w:rPr>
              <w:t>Coefficient</w:t>
            </w:r>
          </w:p>
        </w:tc>
        <w:tc>
          <w:tcPr>
            <w:tcW w:w="1702" w:type="dxa"/>
            <w:gridSpan w:val="2"/>
          </w:tcPr>
          <w:p w14:paraId="1F1A5411" w14:textId="77777777" w:rsidR="00E27F8E" w:rsidRPr="00A67D5C" w:rsidRDefault="00E27F8E" w:rsidP="0066301C">
            <w:pPr>
              <w:jc w:val="center"/>
              <w:rPr>
                <w:rFonts w:ascii="Arial" w:hAnsi="Arial" w:cs="Arial"/>
                <w:b/>
                <w:bCs/>
              </w:rPr>
            </w:pPr>
            <w:r w:rsidRPr="00A67D5C">
              <w:rPr>
                <w:rFonts w:ascii="Arial" w:hAnsi="Arial" w:cs="Arial"/>
                <w:b/>
                <w:bCs/>
              </w:rPr>
              <w:t>Std. Error</w:t>
            </w:r>
          </w:p>
        </w:tc>
        <w:tc>
          <w:tcPr>
            <w:tcW w:w="1701" w:type="dxa"/>
          </w:tcPr>
          <w:p w14:paraId="5017CC7E" w14:textId="77777777" w:rsidR="00E27F8E" w:rsidRPr="00A67D5C" w:rsidRDefault="00E27F8E" w:rsidP="0066301C">
            <w:pPr>
              <w:jc w:val="center"/>
              <w:rPr>
                <w:rFonts w:ascii="Arial" w:hAnsi="Arial" w:cs="Arial"/>
                <w:b/>
                <w:bCs/>
              </w:rPr>
            </w:pPr>
            <w:r w:rsidRPr="00A67D5C">
              <w:rPr>
                <w:rFonts w:ascii="Arial" w:hAnsi="Arial" w:cs="Arial"/>
                <w:b/>
                <w:bCs/>
              </w:rPr>
              <w:t>t-statistic</w:t>
            </w:r>
          </w:p>
        </w:tc>
        <w:tc>
          <w:tcPr>
            <w:tcW w:w="1701" w:type="dxa"/>
            <w:gridSpan w:val="2"/>
          </w:tcPr>
          <w:p w14:paraId="3C0CE014" w14:textId="77777777" w:rsidR="00E27F8E" w:rsidRPr="00A67D5C" w:rsidRDefault="00E27F8E" w:rsidP="0066301C">
            <w:pPr>
              <w:jc w:val="center"/>
              <w:rPr>
                <w:rFonts w:ascii="Arial" w:hAnsi="Arial" w:cs="Arial"/>
                <w:b/>
                <w:bCs/>
              </w:rPr>
            </w:pPr>
            <w:r w:rsidRPr="00A67D5C">
              <w:rPr>
                <w:rFonts w:ascii="Arial" w:hAnsi="Arial" w:cs="Arial"/>
                <w:b/>
                <w:bCs/>
              </w:rPr>
              <w:t>Prob.</w:t>
            </w:r>
          </w:p>
        </w:tc>
      </w:tr>
      <w:tr w:rsidR="00E27F8E" w14:paraId="52F2A498" w14:textId="77777777" w:rsidTr="004D74AB">
        <w:trPr>
          <w:trHeight w:val="288"/>
        </w:trPr>
        <w:tc>
          <w:tcPr>
            <w:tcW w:w="2969" w:type="dxa"/>
          </w:tcPr>
          <w:p w14:paraId="13507DCB" w14:textId="77777777" w:rsidR="00E27F8E" w:rsidRPr="00A67D5C" w:rsidRDefault="00E27F8E" w:rsidP="0066301C">
            <w:pPr>
              <w:rPr>
                <w:rFonts w:ascii="Arial" w:hAnsi="Arial" w:cs="Arial"/>
                <w:sz w:val="20"/>
                <w:szCs w:val="20"/>
                <w:vertAlign w:val="subscript"/>
              </w:rPr>
            </w:pPr>
            <w:r w:rsidRPr="00A67D5C">
              <w:rPr>
                <w:rFonts w:ascii="Arial" w:hAnsi="Arial" w:cs="Arial"/>
                <w:sz w:val="20"/>
                <w:szCs w:val="20"/>
              </w:rPr>
              <w:t xml:space="preserve">Dependent variable </w:t>
            </w:r>
            <w:r w:rsidRPr="00A67D5C">
              <w:rPr>
                <w:rFonts w:ascii="Arial" w:hAnsi="Arial" w:cs="Arial"/>
              </w:rPr>
              <w:t>∆LNTB</w:t>
            </w:r>
            <w:r w:rsidRPr="00A67D5C">
              <w:rPr>
                <w:rFonts w:ascii="Arial" w:hAnsi="Arial" w:cs="Arial"/>
                <w:vertAlign w:val="subscript"/>
              </w:rPr>
              <w:t>t</w:t>
            </w:r>
          </w:p>
        </w:tc>
        <w:tc>
          <w:tcPr>
            <w:tcW w:w="1420" w:type="dxa"/>
          </w:tcPr>
          <w:p w14:paraId="11F68095" w14:textId="77777777" w:rsidR="00E27F8E" w:rsidRPr="00A67D5C" w:rsidRDefault="00E27F8E" w:rsidP="0066301C">
            <w:pPr>
              <w:rPr>
                <w:rFonts w:ascii="Arial" w:hAnsi="Arial" w:cs="Arial"/>
              </w:rPr>
            </w:pPr>
          </w:p>
        </w:tc>
        <w:tc>
          <w:tcPr>
            <w:tcW w:w="1702" w:type="dxa"/>
            <w:gridSpan w:val="2"/>
          </w:tcPr>
          <w:p w14:paraId="38AF9192" w14:textId="77777777" w:rsidR="00E27F8E" w:rsidRPr="00A67D5C" w:rsidRDefault="00E27F8E" w:rsidP="0066301C">
            <w:pPr>
              <w:rPr>
                <w:rFonts w:ascii="Arial" w:hAnsi="Arial" w:cs="Arial"/>
              </w:rPr>
            </w:pPr>
          </w:p>
        </w:tc>
        <w:tc>
          <w:tcPr>
            <w:tcW w:w="1701" w:type="dxa"/>
          </w:tcPr>
          <w:p w14:paraId="427065C8" w14:textId="77777777" w:rsidR="00E27F8E" w:rsidRPr="00A67D5C" w:rsidRDefault="00E27F8E" w:rsidP="0066301C">
            <w:pPr>
              <w:rPr>
                <w:rFonts w:ascii="Arial" w:hAnsi="Arial" w:cs="Arial"/>
              </w:rPr>
            </w:pPr>
          </w:p>
        </w:tc>
        <w:tc>
          <w:tcPr>
            <w:tcW w:w="1701" w:type="dxa"/>
            <w:gridSpan w:val="2"/>
          </w:tcPr>
          <w:p w14:paraId="6CFD7807" w14:textId="77777777" w:rsidR="00E27F8E" w:rsidRPr="00A67D5C" w:rsidRDefault="00E27F8E" w:rsidP="0066301C">
            <w:pPr>
              <w:rPr>
                <w:rFonts w:ascii="Arial" w:hAnsi="Arial" w:cs="Arial"/>
              </w:rPr>
            </w:pPr>
          </w:p>
        </w:tc>
      </w:tr>
      <w:tr w:rsidR="00E27F8E" w14:paraId="08D81180" w14:textId="77777777" w:rsidTr="004D74AB">
        <w:trPr>
          <w:trHeight w:val="301"/>
        </w:trPr>
        <w:tc>
          <w:tcPr>
            <w:tcW w:w="2969" w:type="dxa"/>
          </w:tcPr>
          <w:p w14:paraId="41A14564" w14:textId="77777777" w:rsidR="00E27F8E" w:rsidRPr="00A67D5C" w:rsidRDefault="00E27F8E" w:rsidP="0066301C">
            <w:pPr>
              <w:rPr>
                <w:rFonts w:ascii="Arial" w:hAnsi="Arial" w:cs="Arial"/>
                <w:b/>
                <w:bCs/>
              </w:rPr>
            </w:pPr>
            <w:r w:rsidRPr="00A67D5C">
              <w:rPr>
                <w:rFonts w:ascii="Arial" w:hAnsi="Arial" w:cs="Arial"/>
                <w:b/>
                <w:bCs/>
              </w:rPr>
              <w:t>Long-run elasticities</w:t>
            </w:r>
          </w:p>
        </w:tc>
        <w:tc>
          <w:tcPr>
            <w:tcW w:w="1420" w:type="dxa"/>
          </w:tcPr>
          <w:p w14:paraId="62EFF5ED" w14:textId="77777777" w:rsidR="00E27F8E" w:rsidRPr="00A67D5C" w:rsidRDefault="00E27F8E" w:rsidP="0066301C">
            <w:pPr>
              <w:rPr>
                <w:rFonts w:ascii="Arial" w:hAnsi="Arial" w:cs="Arial"/>
              </w:rPr>
            </w:pPr>
          </w:p>
        </w:tc>
        <w:tc>
          <w:tcPr>
            <w:tcW w:w="1702" w:type="dxa"/>
            <w:gridSpan w:val="2"/>
          </w:tcPr>
          <w:p w14:paraId="2ABA74D1" w14:textId="77777777" w:rsidR="00E27F8E" w:rsidRPr="00A67D5C" w:rsidRDefault="00E27F8E" w:rsidP="0066301C">
            <w:pPr>
              <w:rPr>
                <w:rFonts w:ascii="Arial" w:hAnsi="Arial" w:cs="Arial"/>
              </w:rPr>
            </w:pPr>
          </w:p>
        </w:tc>
        <w:tc>
          <w:tcPr>
            <w:tcW w:w="1701" w:type="dxa"/>
          </w:tcPr>
          <w:p w14:paraId="4E204918" w14:textId="77777777" w:rsidR="00E27F8E" w:rsidRPr="00A67D5C" w:rsidRDefault="00E27F8E" w:rsidP="0066301C">
            <w:pPr>
              <w:rPr>
                <w:rFonts w:ascii="Arial" w:hAnsi="Arial" w:cs="Arial"/>
              </w:rPr>
            </w:pPr>
          </w:p>
        </w:tc>
        <w:tc>
          <w:tcPr>
            <w:tcW w:w="1701" w:type="dxa"/>
            <w:gridSpan w:val="2"/>
          </w:tcPr>
          <w:p w14:paraId="47A10F63" w14:textId="77777777" w:rsidR="00E27F8E" w:rsidRPr="00A67D5C" w:rsidRDefault="00E27F8E" w:rsidP="0066301C">
            <w:pPr>
              <w:rPr>
                <w:rFonts w:ascii="Arial" w:hAnsi="Arial" w:cs="Arial"/>
              </w:rPr>
            </w:pPr>
          </w:p>
        </w:tc>
      </w:tr>
      <w:tr w:rsidR="00E27F8E" w14:paraId="52826AAF" w14:textId="77777777" w:rsidTr="004D74AB">
        <w:trPr>
          <w:trHeight w:val="288"/>
        </w:trPr>
        <w:tc>
          <w:tcPr>
            <w:tcW w:w="2969" w:type="dxa"/>
          </w:tcPr>
          <w:p w14:paraId="64240861" w14:textId="77777777" w:rsidR="00E27F8E" w:rsidRPr="00A67D5C" w:rsidRDefault="00E27F8E" w:rsidP="0066301C">
            <w:pPr>
              <w:rPr>
                <w:rFonts w:ascii="Arial" w:hAnsi="Arial" w:cs="Arial"/>
              </w:rPr>
            </w:pPr>
            <w:r w:rsidRPr="00A67D5C">
              <w:rPr>
                <w:rFonts w:ascii="Arial" w:hAnsi="Arial" w:cs="Arial"/>
              </w:rPr>
              <w:t>C</w:t>
            </w:r>
          </w:p>
        </w:tc>
        <w:tc>
          <w:tcPr>
            <w:tcW w:w="1420" w:type="dxa"/>
          </w:tcPr>
          <w:p w14:paraId="556269DF" w14:textId="77777777" w:rsidR="00E27F8E" w:rsidRPr="00A67D5C" w:rsidRDefault="00E27F8E" w:rsidP="0066301C">
            <w:pPr>
              <w:rPr>
                <w:rFonts w:ascii="Arial" w:hAnsi="Arial" w:cs="Arial"/>
              </w:rPr>
            </w:pPr>
            <w:r>
              <w:rPr>
                <w:rFonts w:ascii="Arial" w:hAnsi="Arial" w:cs="Arial"/>
              </w:rPr>
              <w:t>1.885</w:t>
            </w:r>
          </w:p>
        </w:tc>
        <w:tc>
          <w:tcPr>
            <w:tcW w:w="1702" w:type="dxa"/>
            <w:gridSpan w:val="2"/>
          </w:tcPr>
          <w:p w14:paraId="3B847AC9" w14:textId="77777777" w:rsidR="00E27F8E" w:rsidRPr="00A67D5C" w:rsidRDefault="00E27F8E" w:rsidP="0066301C">
            <w:pPr>
              <w:rPr>
                <w:rFonts w:ascii="Arial" w:hAnsi="Arial" w:cs="Arial"/>
              </w:rPr>
            </w:pPr>
            <w:r>
              <w:rPr>
                <w:rFonts w:ascii="Arial" w:hAnsi="Arial" w:cs="Arial"/>
              </w:rPr>
              <w:t>3.639</w:t>
            </w:r>
          </w:p>
        </w:tc>
        <w:tc>
          <w:tcPr>
            <w:tcW w:w="1701" w:type="dxa"/>
          </w:tcPr>
          <w:p w14:paraId="646744A3" w14:textId="77777777" w:rsidR="00E27F8E" w:rsidRPr="00A67D5C" w:rsidRDefault="00E27F8E" w:rsidP="0066301C">
            <w:pPr>
              <w:rPr>
                <w:rFonts w:ascii="Arial" w:hAnsi="Arial" w:cs="Arial"/>
              </w:rPr>
            </w:pPr>
            <w:r>
              <w:rPr>
                <w:rFonts w:ascii="Arial" w:hAnsi="Arial" w:cs="Arial"/>
              </w:rPr>
              <w:t>0.517</w:t>
            </w:r>
          </w:p>
        </w:tc>
        <w:tc>
          <w:tcPr>
            <w:tcW w:w="1701" w:type="dxa"/>
            <w:gridSpan w:val="2"/>
          </w:tcPr>
          <w:p w14:paraId="68C11653" w14:textId="77777777" w:rsidR="00E27F8E" w:rsidRPr="00A67D5C" w:rsidRDefault="00E27F8E" w:rsidP="0066301C">
            <w:pPr>
              <w:rPr>
                <w:rFonts w:ascii="Arial" w:hAnsi="Arial" w:cs="Arial"/>
              </w:rPr>
            </w:pPr>
            <w:r>
              <w:rPr>
                <w:rFonts w:ascii="Arial" w:hAnsi="Arial" w:cs="Arial"/>
              </w:rPr>
              <w:t>0.608</w:t>
            </w:r>
          </w:p>
        </w:tc>
      </w:tr>
      <w:tr w:rsidR="00E27F8E" w14:paraId="6CD14153" w14:textId="77777777" w:rsidTr="004D74AB">
        <w:trPr>
          <w:trHeight w:val="288"/>
        </w:trPr>
        <w:tc>
          <w:tcPr>
            <w:tcW w:w="2969" w:type="dxa"/>
          </w:tcPr>
          <w:p w14:paraId="70439111" w14:textId="77777777" w:rsidR="00E27F8E" w:rsidRPr="00A67D5C" w:rsidRDefault="00E27F8E" w:rsidP="0066301C">
            <w:pPr>
              <w:rPr>
                <w:rFonts w:ascii="Arial" w:hAnsi="Arial" w:cs="Arial"/>
              </w:rPr>
            </w:pPr>
            <w:r w:rsidRPr="00A67D5C">
              <w:rPr>
                <w:rFonts w:ascii="Arial" w:hAnsi="Arial" w:cs="Arial"/>
              </w:rPr>
              <w:t>LNREER</w:t>
            </w:r>
          </w:p>
        </w:tc>
        <w:tc>
          <w:tcPr>
            <w:tcW w:w="1420" w:type="dxa"/>
          </w:tcPr>
          <w:p w14:paraId="6B211CAE" w14:textId="77777777" w:rsidR="00E27F8E" w:rsidRPr="00A67D5C" w:rsidRDefault="00E27F8E" w:rsidP="0066301C">
            <w:pPr>
              <w:rPr>
                <w:rFonts w:ascii="Arial" w:hAnsi="Arial" w:cs="Arial"/>
              </w:rPr>
            </w:pPr>
            <w:r>
              <w:rPr>
                <w:rFonts w:ascii="Arial" w:hAnsi="Arial" w:cs="Arial"/>
              </w:rPr>
              <w:t>-0437</w:t>
            </w:r>
          </w:p>
        </w:tc>
        <w:tc>
          <w:tcPr>
            <w:tcW w:w="1702" w:type="dxa"/>
            <w:gridSpan w:val="2"/>
          </w:tcPr>
          <w:p w14:paraId="70562170" w14:textId="77777777" w:rsidR="00E27F8E" w:rsidRPr="00A67D5C" w:rsidRDefault="00E27F8E" w:rsidP="0066301C">
            <w:pPr>
              <w:rPr>
                <w:rFonts w:ascii="Arial" w:hAnsi="Arial" w:cs="Arial"/>
              </w:rPr>
            </w:pPr>
            <w:r>
              <w:rPr>
                <w:rFonts w:ascii="Arial" w:hAnsi="Arial" w:cs="Arial"/>
              </w:rPr>
              <w:t>0.341</w:t>
            </w:r>
          </w:p>
        </w:tc>
        <w:tc>
          <w:tcPr>
            <w:tcW w:w="1701" w:type="dxa"/>
          </w:tcPr>
          <w:p w14:paraId="334DCAFC" w14:textId="77777777" w:rsidR="00E27F8E" w:rsidRPr="00A67D5C" w:rsidRDefault="00E27F8E" w:rsidP="0066301C">
            <w:pPr>
              <w:rPr>
                <w:rFonts w:ascii="Arial" w:hAnsi="Arial" w:cs="Arial"/>
              </w:rPr>
            </w:pPr>
            <w:r>
              <w:rPr>
                <w:rFonts w:ascii="Arial" w:hAnsi="Arial" w:cs="Arial"/>
              </w:rPr>
              <w:t>-1.279</w:t>
            </w:r>
          </w:p>
        </w:tc>
        <w:tc>
          <w:tcPr>
            <w:tcW w:w="1701" w:type="dxa"/>
            <w:gridSpan w:val="2"/>
          </w:tcPr>
          <w:p w14:paraId="4A7104C8" w14:textId="77777777" w:rsidR="00E27F8E" w:rsidRPr="00A67D5C" w:rsidRDefault="00E27F8E" w:rsidP="0066301C">
            <w:pPr>
              <w:rPr>
                <w:rFonts w:ascii="Arial" w:hAnsi="Arial" w:cs="Arial"/>
              </w:rPr>
            </w:pPr>
            <w:r>
              <w:rPr>
                <w:rFonts w:ascii="Arial" w:hAnsi="Arial" w:cs="Arial"/>
              </w:rPr>
              <w:t>0.210</w:t>
            </w:r>
          </w:p>
        </w:tc>
      </w:tr>
      <w:tr w:rsidR="00E27F8E" w14:paraId="038E275D" w14:textId="77777777" w:rsidTr="004D74AB">
        <w:trPr>
          <w:trHeight w:val="288"/>
        </w:trPr>
        <w:tc>
          <w:tcPr>
            <w:tcW w:w="2969" w:type="dxa"/>
          </w:tcPr>
          <w:p w14:paraId="32C3F0BC" w14:textId="77777777" w:rsidR="00E27F8E" w:rsidRPr="00A67D5C" w:rsidRDefault="00E27F8E" w:rsidP="0066301C">
            <w:pPr>
              <w:rPr>
                <w:rFonts w:ascii="Arial" w:hAnsi="Arial" w:cs="Arial"/>
              </w:rPr>
            </w:pPr>
            <w:r w:rsidRPr="00A67D5C">
              <w:rPr>
                <w:rFonts w:ascii="Arial" w:hAnsi="Arial" w:cs="Arial"/>
              </w:rPr>
              <w:t>LNDI</w:t>
            </w:r>
          </w:p>
        </w:tc>
        <w:tc>
          <w:tcPr>
            <w:tcW w:w="1420" w:type="dxa"/>
          </w:tcPr>
          <w:p w14:paraId="21F71F36" w14:textId="77777777" w:rsidR="00E27F8E" w:rsidRPr="00A67D5C" w:rsidRDefault="00E27F8E" w:rsidP="0066301C">
            <w:pPr>
              <w:rPr>
                <w:rFonts w:ascii="Arial" w:hAnsi="Arial" w:cs="Arial"/>
              </w:rPr>
            </w:pPr>
            <w:r>
              <w:rPr>
                <w:rFonts w:ascii="Arial" w:hAnsi="Arial" w:cs="Arial"/>
              </w:rPr>
              <w:t>-0.105</w:t>
            </w:r>
          </w:p>
        </w:tc>
        <w:tc>
          <w:tcPr>
            <w:tcW w:w="1702" w:type="dxa"/>
            <w:gridSpan w:val="2"/>
          </w:tcPr>
          <w:p w14:paraId="207515F6" w14:textId="77777777" w:rsidR="00E27F8E" w:rsidRPr="00A67D5C" w:rsidRDefault="00E27F8E" w:rsidP="0066301C">
            <w:pPr>
              <w:rPr>
                <w:rFonts w:ascii="Arial" w:hAnsi="Arial" w:cs="Arial"/>
              </w:rPr>
            </w:pPr>
            <w:r>
              <w:rPr>
                <w:rFonts w:ascii="Arial" w:hAnsi="Arial" w:cs="Arial"/>
              </w:rPr>
              <w:t>0.247</w:t>
            </w:r>
          </w:p>
        </w:tc>
        <w:tc>
          <w:tcPr>
            <w:tcW w:w="1701" w:type="dxa"/>
          </w:tcPr>
          <w:p w14:paraId="46D852D0" w14:textId="77777777" w:rsidR="00E27F8E" w:rsidRPr="00A67D5C" w:rsidRDefault="00E27F8E" w:rsidP="0066301C">
            <w:pPr>
              <w:rPr>
                <w:rFonts w:ascii="Arial" w:hAnsi="Arial" w:cs="Arial"/>
              </w:rPr>
            </w:pPr>
            <w:r>
              <w:rPr>
                <w:rFonts w:ascii="Arial" w:hAnsi="Arial" w:cs="Arial"/>
              </w:rPr>
              <w:t>-0.424</w:t>
            </w:r>
          </w:p>
        </w:tc>
        <w:tc>
          <w:tcPr>
            <w:tcW w:w="1701" w:type="dxa"/>
            <w:gridSpan w:val="2"/>
          </w:tcPr>
          <w:p w14:paraId="73EDC43C" w14:textId="77777777" w:rsidR="00E27F8E" w:rsidRPr="00A67D5C" w:rsidRDefault="00E27F8E" w:rsidP="0066301C">
            <w:pPr>
              <w:rPr>
                <w:rFonts w:ascii="Arial" w:hAnsi="Arial" w:cs="Arial"/>
              </w:rPr>
            </w:pPr>
            <w:r>
              <w:rPr>
                <w:rFonts w:ascii="Arial" w:hAnsi="Arial" w:cs="Arial"/>
              </w:rPr>
              <w:t>0.674</w:t>
            </w:r>
          </w:p>
        </w:tc>
      </w:tr>
      <w:tr w:rsidR="00E27F8E" w14:paraId="0A399739" w14:textId="77777777" w:rsidTr="004D74AB">
        <w:trPr>
          <w:trHeight w:val="288"/>
        </w:trPr>
        <w:tc>
          <w:tcPr>
            <w:tcW w:w="2969" w:type="dxa"/>
          </w:tcPr>
          <w:p w14:paraId="7F88CE1C" w14:textId="77777777" w:rsidR="00E27F8E" w:rsidRPr="00A67D5C" w:rsidRDefault="00E27F8E" w:rsidP="0066301C">
            <w:pPr>
              <w:rPr>
                <w:rFonts w:ascii="Arial" w:hAnsi="Arial" w:cs="Arial"/>
              </w:rPr>
            </w:pPr>
            <w:r w:rsidRPr="00A67D5C">
              <w:rPr>
                <w:rFonts w:ascii="Arial" w:hAnsi="Arial" w:cs="Arial"/>
              </w:rPr>
              <w:t>LN</w:t>
            </w:r>
            <w:r>
              <w:rPr>
                <w:rFonts w:ascii="Arial" w:hAnsi="Arial" w:cs="Arial"/>
              </w:rPr>
              <w:t>IRELAND</w:t>
            </w:r>
            <w:r w:rsidRPr="00A67D5C">
              <w:rPr>
                <w:rFonts w:ascii="Arial" w:hAnsi="Arial" w:cs="Arial"/>
              </w:rPr>
              <w:t>FI</w:t>
            </w:r>
          </w:p>
        </w:tc>
        <w:tc>
          <w:tcPr>
            <w:tcW w:w="1420" w:type="dxa"/>
          </w:tcPr>
          <w:p w14:paraId="3E57F245" w14:textId="77777777" w:rsidR="00E27F8E" w:rsidRPr="00A67D5C" w:rsidRDefault="00E27F8E" w:rsidP="0066301C">
            <w:pPr>
              <w:rPr>
                <w:rFonts w:ascii="Arial" w:hAnsi="Arial" w:cs="Arial"/>
              </w:rPr>
            </w:pPr>
            <w:r>
              <w:rPr>
                <w:rFonts w:ascii="Arial" w:hAnsi="Arial" w:cs="Arial"/>
              </w:rPr>
              <w:t>0.124</w:t>
            </w:r>
          </w:p>
        </w:tc>
        <w:tc>
          <w:tcPr>
            <w:tcW w:w="1702" w:type="dxa"/>
            <w:gridSpan w:val="2"/>
          </w:tcPr>
          <w:p w14:paraId="4EF622B3" w14:textId="77777777" w:rsidR="00E27F8E" w:rsidRPr="00A67D5C" w:rsidRDefault="00E27F8E" w:rsidP="0066301C">
            <w:pPr>
              <w:rPr>
                <w:rFonts w:ascii="Arial" w:hAnsi="Arial" w:cs="Arial"/>
              </w:rPr>
            </w:pPr>
            <w:r>
              <w:rPr>
                <w:rFonts w:ascii="Arial" w:hAnsi="Arial" w:cs="Arial"/>
              </w:rPr>
              <w:t>0.221</w:t>
            </w:r>
          </w:p>
        </w:tc>
        <w:tc>
          <w:tcPr>
            <w:tcW w:w="1701" w:type="dxa"/>
          </w:tcPr>
          <w:p w14:paraId="539DFA81" w14:textId="77777777" w:rsidR="00E27F8E" w:rsidRPr="00A67D5C" w:rsidRDefault="00E27F8E" w:rsidP="0066301C">
            <w:pPr>
              <w:rPr>
                <w:rFonts w:ascii="Arial" w:hAnsi="Arial" w:cs="Arial"/>
              </w:rPr>
            </w:pPr>
            <w:r>
              <w:rPr>
                <w:rFonts w:ascii="Arial" w:hAnsi="Arial" w:cs="Arial"/>
              </w:rPr>
              <w:t>0.561</w:t>
            </w:r>
          </w:p>
        </w:tc>
        <w:tc>
          <w:tcPr>
            <w:tcW w:w="1701" w:type="dxa"/>
            <w:gridSpan w:val="2"/>
          </w:tcPr>
          <w:p w14:paraId="6E9FF9A8" w14:textId="77777777" w:rsidR="00E27F8E" w:rsidRPr="00A67D5C" w:rsidRDefault="00E27F8E" w:rsidP="0066301C">
            <w:pPr>
              <w:rPr>
                <w:rFonts w:ascii="Arial" w:hAnsi="Arial" w:cs="Arial"/>
              </w:rPr>
            </w:pPr>
            <w:r>
              <w:rPr>
                <w:rFonts w:ascii="Arial" w:hAnsi="Arial" w:cs="Arial"/>
              </w:rPr>
              <w:t>0.579</w:t>
            </w:r>
          </w:p>
        </w:tc>
      </w:tr>
      <w:tr w:rsidR="00E27F8E" w14:paraId="6B864966" w14:textId="77777777" w:rsidTr="004D74AB">
        <w:trPr>
          <w:trHeight w:val="288"/>
        </w:trPr>
        <w:tc>
          <w:tcPr>
            <w:tcW w:w="2969" w:type="dxa"/>
          </w:tcPr>
          <w:p w14:paraId="5E6B1C7A" w14:textId="77777777" w:rsidR="00E27F8E" w:rsidRPr="00A67D5C" w:rsidRDefault="00E27F8E" w:rsidP="0066301C">
            <w:pPr>
              <w:rPr>
                <w:rFonts w:ascii="Arial" w:hAnsi="Arial" w:cs="Arial"/>
                <w:b/>
                <w:bCs/>
              </w:rPr>
            </w:pPr>
            <w:r w:rsidRPr="00A67D5C">
              <w:rPr>
                <w:rFonts w:ascii="Arial" w:hAnsi="Arial" w:cs="Arial"/>
                <w:b/>
                <w:bCs/>
              </w:rPr>
              <w:t>Short-run elasticities</w:t>
            </w:r>
          </w:p>
        </w:tc>
        <w:tc>
          <w:tcPr>
            <w:tcW w:w="1420" w:type="dxa"/>
          </w:tcPr>
          <w:p w14:paraId="4E306C0E" w14:textId="77777777" w:rsidR="00E27F8E" w:rsidRPr="00A67D5C" w:rsidRDefault="00E27F8E" w:rsidP="0066301C">
            <w:pPr>
              <w:rPr>
                <w:rFonts w:ascii="Arial" w:hAnsi="Arial" w:cs="Arial"/>
              </w:rPr>
            </w:pPr>
          </w:p>
        </w:tc>
        <w:tc>
          <w:tcPr>
            <w:tcW w:w="1702" w:type="dxa"/>
            <w:gridSpan w:val="2"/>
          </w:tcPr>
          <w:p w14:paraId="32AE38F7" w14:textId="77777777" w:rsidR="00E27F8E" w:rsidRPr="00A67D5C" w:rsidRDefault="00E27F8E" w:rsidP="0066301C">
            <w:pPr>
              <w:rPr>
                <w:rFonts w:ascii="Arial" w:hAnsi="Arial" w:cs="Arial"/>
              </w:rPr>
            </w:pPr>
          </w:p>
        </w:tc>
        <w:tc>
          <w:tcPr>
            <w:tcW w:w="1701" w:type="dxa"/>
          </w:tcPr>
          <w:p w14:paraId="60CC3A70" w14:textId="77777777" w:rsidR="00E27F8E" w:rsidRPr="00A67D5C" w:rsidRDefault="00E27F8E" w:rsidP="0066301C">
            <w:pPr>
              <w:rPr>
                <w:rFonts w:ascii="Arial" w:hAnsi="Arial" w:cs="Arial"/>
              </w:rPr>
            </w:pPr>
          </w:p>
        </w:tc>
        <w:tc>
          <w:tcPr>
            <w:tcW w:w="1701" w:type="dxa"/>
            <w:gridSpan w:val="2"/>
          </w:tcPr>
          <w:p w14:paraId="15EACB4F" w14:textId="77777777" w:rsidR="00E27F8E" w:rsidRPr="00A67D5C" w:rsidRDefault="00E27F8E" w:rsidP="0066301C">
            <w:pPr>
              <w:rPr>
                <w:rFonts w:ascii="Arial" w:hAnsi="Arial" w:cs="Arial"/>
              </w:rPr>
            </w:pPr>
          </w:p>
        </w:tc>
      </w:tr>
      <w:tr w:rsidR="00E27F8E" w14:paraId="1FA4D57A" w14:textId="77777777" w:rsidTr="004D74AB">
        <w:trPr>
          <w:trHeight w:val="288"/>
        </w:trPr>
        <w:tc>
          <w:tcPr>
            <w:tcW w:w="2969" w:type="dxa"/>
          </w:tcPr>
          <w:p w14:paraId="19BAB4A2" w14:textId="77777777" w:rsidR="00E27F8E" w:rsidRPr="00A67D5C" w:rsidRDefault="00E27F8E" w:rsidP="0066301C">
            <w:pPr>
              <w:rPr>
                <w:rFonts w:ascii="Arial" w:hAnsi="Arial" w:cs="Arial"/>
              </w:rPr>
            </w:pPr>
            <w:r w:rsidRPr="00A67D5C">
              <w:rPr>
                <w:rFonts w:ascii="Arial" w:hAnsi="Arial" w:cs="Arial"/>
              </w:rPr>
              <w:t>C</w:t>
            </w:r>
          </w:p>
        </w:tc>
        <w:tc>
          <w:tcPr>
            <w:tcW w:w="1420" w:type="dxa"/>
          </w:tcPr>
          <w:p w14:paraId="2AB077F4" w14:textId="77777777" w:rsidR="00E27F8E" w:rsidRPr="00A67D5C" w:rsidRDefault="00E27F8E" w:rsidP="0066301C">
            <w:pPr>
              <w:rPr>
                <w:rFonts w:ascii="Arial" w:hAnsi="Arial" w:cs="Arial"/>
              </w:rPr>
            </w:pPr>
          </w:p>
        </w:tc>
        <w:tc>
          <w:tcPr>
            <w:tcW w:w="1702" w:type="dxa"/>
            <w:gridSpan w:val="2"/>
          </w:tcPr>
          <w:p w14:paraId="4EF6A1F5" w14:textId="77777777" w:rsidR="00E27F8E" w:rsidRPr="00A67D5C" w:rsidRDefault="00E27F8E" w:rsidP="0066301C">
            <w:pPr>
              <w:rPr>
                <w:rFonts w:ascii="Arial" w:hAnsi="Arial" w:cs="Arial"/>
              </w:rPr>
            </w:pPr>
          </w:p>
        </w:tc>
        <w:tc>
          <w:tcPr>
            <w:tcW w:w="1701" w:type="dxa"/>
          </w:tcPr>
          <w:p w14:paraId="66B0176F" w14:textId="77777777" w:rsidR="00E27F8E" w:rsidRPr="00A67D5C" w:rsidRDefault="00E27F8E" w:rsidP="0066301C">
            <w:pPr>
              <w:rPr>
                <w:rFonts w:ascii="Arial" w:hAnsi="Arial" w:cs="Arial"/>
              </w:rPr>
            </w:pPr>
          </w:p>
        </w:tc>
        <w:tc>
          <w:tcPr>
            <w:tcW w:w="1701" w:type="dxa"/>
            <w:gridSpan w:val="2"/>
          </w:tcPr>
          <w:p w14:paraId="0C7FD897" w14:textId="77777777" w:rsidR="00E27F8E" w:rsidRPr="00A67D5C" w:rsidRDefault="00E27F8E" w:rsidP="0066301C">
            <w:pPr>
              <w:rPr>
                <w:rFonts w:ascii="Arial" w:hAnsi="Arial" w:cs="Arial"/>
              </w:rPr>
            </w:pPr>
          </w:p>
        </w:tc>
      </w:tr>
      <w:tr w:rsidR="00E27F8E" w14:paraId="386F17B0" w14:textId="77777777" w:rsidTr="004D74AB">
        <w:trPr>
          <w:trHeight w:val="288"/>
        </w:trPr>
        <w:tc>
          <w:tcPr>
            <w:tcW w:w="2969" w:type="dxa"/>
          </w:tcPr>
          <w:p w14:paraId="119E5AC7" w14:textId="77777777" w:rsidR="00E27F8E" w:rsidRPr="00A67D5C" w:rsidRDefault="00E27F8E" w:rsidP="0066301C">
            <w:pPr>
              <w:rPr>
                <w:rFonts w:ascii="Arial" w:hAnsi="Arial" w:cs="Arial"/>
              </w:rPr>
            </w:pPr>
            <w:r w:rsidRPr="00A67D5C">
              <w:rPr>
                <w:rFonts w:ascii="Arial" w:hAnsi="Arial" w:cs="Arial"/>
              </w:rPr>
              <w:t>∆LNDI</w:t>
            </w:r>
          </w:p>
        </w:tc>
        <w:tc>
          <w:tcPr>
            <w:tcW w:w="1420" w:type="dxa"/>
          </w:tcPr>
          <w:p w14:paraId="030D3347" w14:textId="77777777" w:rsidR="00E27F8E" w:rsidRPr="00A67D5C" w:rsidRDefault="00E27F8E" w:rsidP="0066301C">
            <w:pPr>
              <w:rPr>
                <w:rFonts w:ascii="Arial" w:hAnsi="Arial" w:cs="Arial"/>
              </w:rPr>
            </w:pPr>
            <w:r>
              <w:rPr>
                <w:rFonts w:ascii="Arial" w:hAnsi="Arial" w:cs="Arial"/>
              </w:rPr>
              <w:t>0.842</w:t>
            </w:r>
          </w:p>
        </w:tc>
        <w:tc>
          <w:tcPr>
            <w:tcW w:w="1702" w:type="dxa"/>
            <w:gridSpan w:val="2"/>
          </w:tcPr>
          <w:p w14:paraId="2C74DA00" w14:textId="77777777" w:rsidR="00E27F8E" w:rsidRPr="00A67D5C" w:rsidRDefault="00E27F8E" w:rsidP="0066301C">
            <w:pPr>
              <w:rPr>
                <w:rFonts w:ascii="Arial" w:hAnsi="Arial" w:cs="Arial"/>
              </w:rPr>
            </w:pPr>
            <w:r>
              <w:rPr>
                <w:rFonts w:ascii="Arial" w:hAnsi="Arial" w:cs="Arial"/>
              </w:rPr>
              <w:t>0.193</w:t>
            </w:r>
          </w:p>
        </w:tc>
        <w:tc>
          <w:tcPr>
            <w:tcW w:w="1701" w:type="dxa"/>
          </w:tcPr>
          <w:p w14:paraId="19DBF61D" w14:textId="77777777" w:rsidR="00E27F8E" w:rsidRPr="00A67D5C" w:rsidRDefault="00E27F8E" w:rsidP="0066301C">
            <w:pPr>
              <w:rPr>
                <w:rFonts w:ascii="Arial" w:hAnsi="Arial" w:cs="Arial"/>
              </w:rPr>
            </w:pPr>
            <w:r>
              <w:rPr>
                <w:rFonts w:ascii="Arial" w:hAnsi="Arial" w:cs="Arial"/>
              </w:rPr>
              <w:t>4.365</w:t>
            </w:r>
          </w:p>
        </w:tc>
        <w:tc>
          <w:tcPr>
            <w:tcW w:w="1701" w:type="dxa"/>
            <w:gridSpan w:val="2"/>
          </w:tcPr>
          <w:p w14:paraId="267D8549" w14:textId="77777777" w:rsidR="00E27F8E" w:rsidRPr="00A67D5C" w:rsidRDefault="00E27F8E" w:rsidP="0066301C">
            <w:pPr>
              <w:rPr>
                <w:rFonts w:ascii="Arial" w:hAnsi="Arial" w:cs="Arial"/>
              </w:rPr>
            </w:pPr>
            <w:r>
              <w:rPr>
                <w:rFonts w:ascii="Arial" w:hAnsi="Arial" w:cs="Arial"/>
              </w:rPr>
              <w:t>0.000</w:t>
            </w:r>
          </w:p>
        </w:tc>
      </w:tr>
      <w:tr w:rsidR="00E27F8E" w14:paraId="6CC06C67" w14:textId="77777777" w:rsidTr="004D74AB">
        <w:trPr>
          <w:trHeight w:val="288"/>
        </w:trPr>
        <w:tc>
          <w:tcPr>
            <w:tcW w:w="2969" w:type="dxa"/>
          </w:tcPr>
          <w:p w14:paraId="18EC906F" w14:textId="77777777" w:rsidR="00E27F8E" w:rsidRPr="00A67D5C" w:rsidRDefault="00E27F8E" w:rsidP="0066301C">
            <w:pPr>
              <w:rPr>
                <w:rFonts w:ascii="Arial" w:hAnsi="Arial" w:cs="Arial"/>
              </w:rPr>
            </w:pPr>
            <w:r w:rsidRPr="00A67D5C">
              <w:rPr>
                <w:rFonts w:ascii="Arial" w:hAnsi="Arial" w:cs="Arial"/>
              </w:rPr>
              <w:t>∆LNFRANCEFI</w:t>
            </w:r>
            <w:r w:rsidRPr="00A67D5C">
              <w:rPr>
                <w:rFonts w:ascii="Arial" w:hAnsi="Arial" w:cs="Arial"/>
                <w:vertAlign w:val="subscript"/>
              </w:rPr>
              <w:t>t-1</w:t>
            </w:r>
          </w:p>
        </w:tc>
        <w:tc>
          <w:tcPr>
            <w:tcW w:w="1420" w:type="dxa"/>
          </w:tcPr>
          <w:p w14:paraId="466DAF77" w14:textId="77777777" w:rsidR="00E27F8E" w:rsidRPr="00A67D5C" w:rsidRDefault="00E27F8E" w:rsidP="0066301C">
            <w:pPr>
              <w:rPr>
                <w:rFonts w:ascii="Arial" w:hAnsi="Arial" w:cs="Arial"/>
              </w:rPr>
            </w:pPr>
            <w:r>
              <w:rPr>
                <w:rFonts w:ascii="Arial" w:hAnsi="Arial" w:cs="Arial"/>
              </w:rPr>
              <w:t>-0.878</w:t>
            </w:r>
          </w:p>
        </w:tc>
        <w:tc>
          <w:tcPr>
            <w:tcW w:w="1702" w:type="dxa"/>
            <w:gridSpan w:val="2"/>
          </w:tcPr>
          <w:p w14:paraId="78F14A75" w14:textId="77777777" w:rsidR="00E27F8E" w:rsidRPr="00A67D5C" w:rsidRDefault="00E27F8E" w:rsidP="0066301C">
            <w:pPr>
              <w:rPr>
                <w:rFonts w:ascii="Arial" w:hAnsi="Arial" w:cs="Arial"/>
              </w:rPr>
            </w:pPr>
            <w:r>
              <w:rPr>
                <w:rFonts w:ascii="Arial" w:hAnsi="Arial" w:cs="Arial"/>
              </w:rPr>
              <w:t>0.255</w:t>
            </w:r>
          </w:p>
        </w:tc>
        <w:tc>
          <w:tcPr>
            <w:tcW w:w="1701" w:type="dxa"/>
          </w:tcPr>
          <w:p w14:paraId="5BC26FBA" w14:textId="77777777" w:rsidR="00E27F8E" w:rsidRPr="00A67D5C" w:rsidRDefault="00E27F8E" w:rsidP="0066301C">
            <w:pPr>
              <w:rPr>
                <w:rFonts w:ascii="Arial" w:hAnsi="Arial" w:cs="Arial"/>
              </w:rPr>
            </w:pPr>
            <w:r>
              <w:rPr>
                <w:rFonts w:ascii="Arial" w:hAnsi="Arial" w:cs="Arial"/>
              </w:rPr>
              <w:t>-3.447</w:t>
            </w:r>
          </w:p>
        </w:tc>
        <w:tc>
          <w:tcPr>
            <w:tcW w:w="1701" w:type="dxa"/>
            <w:gridSpan w:val="2"/>
          </w:tcPr>
          <w:p w14:paraId="4D450AE9" w14:textId="77777777" w:rsidR="00E27F8E" w:rsidRPr="00A67D5C" w:rsidRDefault="00E27F8E" w:rsidP="0066301C">
            <w:pPr>
              <w:rPr>
                <w:rFonts w:ascii="Arial" w:hAnsi="Arial" w:cs="Arial"/>
              </w:rPr>
            </w:pPr>
            <w:r>
              <w:rPr>
                <w:rFonts w:ascii="Arial" w:hAnsi="Arial" w:cs="Arial"/>
              </w:rPr>
              <w:t>0.001</w:t>
            </w:r>
          </w:p>
        </w:tc>
      </w:tr>
      <w:tr w:rsidR="00E27F8E" w14:paraId="2E55EE14" w14:textId="77777777" w:rsidTr="004D74AB">
        <w:trPr>
          <w:trHeight w:val="288"/>
        </w:trPr>
        <w:tc>
          <w:tcPr>
            <w:tcW w:w="2969" w:type="dxa"/>
          </w:tcPr>
          <w:p w14:paraId="2D0B8A81" w14:textId="77777777" w:rsidR="00E27F8E" w:rsidRPr="00A67D5C" w:rsidRDefault="00E27F8E" w:rsidP="0066301C">
            <w:pPr>
              <w:rPr>
                <w:rFonts w:ascii="Arial" w:hAnsi="Arial" w:cs="Arial"/>
              </w:rPr>
            </w:pPr>
            <w:r w:rsidRPr="00A67D5C">
              <w:rPr>
                <w:rFonts w:ascii="Arial" w:hAnsi="Arial" w:cs="Arial"/>
              </w:rPr>
              <w:t>ECM</w:t>
            </w:r>
            <w:r w:rsidRPr="00A67D5C">
              <w:rPr>
                <w:rFonts w:ascii="Arial" w:hAnsi="Arial" w:cs="Arial"/>
                <w:vertAlign w:val="subscript"/>
              </w:rPr>
              <w:t>t-1</w:t>
            </w:r>
          </w:p>
        </w:tc>
        <w:tc>
          <w:tcPr>
            <w:tcW w:w="1420" w:type="dxa"/>
          </w:tcPr>
          <w:p w14:paraId="2ECD3DAC" w14:textId="77777777" w:rsidR="00E27F8E" w:rsidRPr="00A67D5C" w:rsidRDefault="00E27F8E" w:rsidP="0066301C">
            <w:pPr>
              <w:rPr>
                <w:rFonts w:ascii="Arial" w:hAnsi="Arial" w:cs="Arial"/>
              </w:rPr>
            </w:pPr>
            <w:r>
              <w:rPr>
                <w:rFonts w:ascii="Arial" w:hAnsi="Arial" w:cs="Arial"/>
              </w:rPr>
              <w:t>-0.594</w:t>
            </w:r>
          </w:p>
        </w:tc>
        <w:tc>
          <w:tcPr>
            <w:tcW w:w="1702" w:type="dxa"/>
            <w:gridSpan w:val="2"/>
          </w:tcPr>
          <w:p w14:paraId="12C3BBEA" w14:textId="77777777" w:rsidR="00E27F8E" w:rsidRPr="00A67D5C" w:rsidRDefault="00E27F8E" w:rsidP="0066301C">
            <w:pPr>
              <w:rPr>
                <w:rFonts w:ascii="Arial" w:hAnsi="Arial" w:cs="Arial"/>
              </w:rPr>
            </w:pPr>
            <w:r>
              <w:rPr>
                <w:rFonts w:ascii="Arial" w:hAnsi="Arial" w:cs="Arial"/>
              </w:rPr>
              <w:t>0.111</w:t>
            </w:r>
          </w:p>
        </w:tc>
        <w:tc>
          <w:tcPr>
            <w:tcW w:w="1701" w:type="dxa"/>
          </w:tcPr>
          <w:p w14:paraId="7A0CBDF8" w14:textId="77777777" w:rsidR="00E27F8E" w:rsidRPr="00A67D5C" w:rsidRDefault="00E27F8E" w:rsidP="0066301C">
            <w:pPr>
              <w:rPr>
                <w:rFonts w:ascii="Arial" w:hAnsi="Arial" w:cs="Arial"/>
              </w:rPr>
            </w:pPr>
            <w:r>
              <w:rPr>
                <w:rFonts w:ascii="Arial" w:hAnsi="Arial" w:cs="Arial"/>
              </w:rPr>
              <w:t>-5.368</w:t>
            </w:r>
          </w:p>
        </w:tc>
        <w:tc>
          <w:tcPr>
            <w:tcW w:w="1701" w:type="dxa"/>
            <w:gridSpan w:val="2"/>
          </w:tcPr>
          <w:p w14:paraId="55E0DB9D" w14:textId="77777777" w:rsidR="00E27F8E" w:rsidRPr="00A67D5C" w:rsidRDefault="00E27F8E" w:rsidP="0066301C">
            <w:pPr>
              <w:rPr>
                <w:rFonts w:ascii="Arial" w:hAnsi="Arial" w:cs="Arial"/>
              </w:rPr>
            </w:pPr>
            <w:r>
              <w:rPr>
                <w:rFonts w:ascii="Arial" w:hAnsi="Arial" w:cs="Arial"/>
              </w:rPr>
              <w:t>0.000</w:t>
            </w:r>
          </w:p>
        </w:tc>
      </w:tr>
      <w:tr w:rsidR="00E27F8E" w14:paraId="2AEC5660" w14:textId="77777777" w:rsidTr="004D74AB">
        <w:trPr>
          <w:trHeight w:val="288"/>
        </w:trPr>
        <w:tc>
          <w:tcPr>
            <w:tcW w:w="9493" w:type="dxa"/>
            <w:gridSpan w:val="7"/>
          </w:tcPr>
          <w:p w14:paraId="319B3927" w14:textId="77777777" w:rsidR="00E27F8E" w:rsidRPr="00A67D5C" w:rsidRDefault="00E27F8E" w:rsidP="0066301C">
            <w:pPr>
              <w:jc w:val="center"/>
              <w:rPr>
                <w:rFonts w:ascii="Arial" w:hAnsi="Arial" w:cs="Arial"/>
                <w:b/>
                <w:bCs/>
              </w:rPr>
            </w:pPr>
            <w:r w:rsidRPr="00A67D5C">
              <w:rPr>
                <w:rFonts w:ascii="Arial" w:hAnsi="Arial" w:cs="Arial"/>
                <w:b/>
                <w:bCs/>
              </w:rPr>
              <w:t xml:space="preserve">Partner </w:t>
            </w:r>
            <w:r>
              <w:rPr>
                <w:rFonts w:ascii="Arial" w:hAnsi="Arial" w:cs="Arial"/>
                <w:b/>
                <w:bCs/>
              </w:rPr>
              <w:t>Korea</w:t>
            </w:r>
          </w:p>
        </w:tc>
      </w:tr>
      <w:tr w:rsidR="00E27F8E" w14:paraId="50A8F505" w14:textId="77777777" w:rsidTr="004D74AB">
        <w:trPr>
          <w:trHeight w:val="288"/>
        </w:trPr>
        <w:tc>
          <w:tcPr>
            <w:tcW w:w="2969" w:type="dxa"/>
          </w:tcPr>
          <w:p w14:paraId="47BA661C" w14:textId="77777777" w:rsidR="00E27F8E" w:rsidRPr="00A67D5C" w:rsidRDefault="00E27F8E" w:rsidP="0066301C">
            <w:pPr>
              <w:jc w:val="center"/>
              <w:rPr>
                <w:rFonts w:ascii="Arial" w:hAnsi="Arial" w:cs="Arial"/>
                <w:b/>
                <w:bCs/>
              </w:rPr>
            </w:pPr>
            <w:r w:rsidRPr="00A67D5C">
              <w:rPr>
                <w:rFonts w:ascii="Arial" w:hAnsi="Arial" w:cs="Arial"/>
                <w:b/>
                <w:bCs/>
              </w:rPr>
              <w:t>Variable</w:t>
            </w:r>
          </w:p>
        </w:tc>
        <w:tc>
          <w:tcPr>
            <w:tcW w:w="1420" w:type="dxa"/>
          </w:tcPr>
          <w:p w14:paraId="54EC13B7" w14:textId="77777777" w:rsidR="00E27F8E" w:rsidRPr="00A67D5C" w:rsidRDefault="00E27F8E" w:rsidP="0066301C">
            <w:pPr>
              <w:jc w:val="center"/>
              <w:rPr>
                <w:rFonts w:ascii="Arial" w:hAnsi="Arial" w:cs="Arial"/>
                <w:b/>
                <w:bCs/>
              </w:rPr>
            </w:pPr>
            <w:r w:rsidRPr="00A67D5C">
              <w:rPr>
                <w:rFonts w:ascii="Arial" w:hAnsi="Arial" w:cs="Arial"/>
                <w:b/>
                <w:bCs/>
              </w:rPr>
              <w:t>Coefficient</w:t>
            </w:r>
          </w:p>
        </w:tc>
        <w:tc>
          <w:tcPr>
            <w:tcW w:w="1702" w:type="dxa"/>
            <w:gridSpan w:val="2"/>
          </w:tcPr>
          <w:p w14:paraId="7FBD419F" w14:textId="77777777" w:rsidR="00E27F8E" w:rsidRPr="00A67D5C" w:rsidRDefault="00E27F8E" w:rsidP="0066301C">
            <w:pPr>
              <w:jc w:val="center"/>
              <w:rPr>
                <w:rFonts w:ascii="Arial" w:hAnsi="Arial" w:cs="Arial"/>
                <w:b/>
                <w:bCs/>
              </w:rPr>
            </w:pPr>
            <w:r w:rsidRPr="00A67D5C">
              <w:rPr>
                <w:rFonts w:ascii="Arial" w:hAnsi="Arial" w:cs="Arial"/>
                <w:b/>
                <w:bCs/>
              </w:rPr>
              <w:t>Std. Error</w:t>
            </w:r>
          </w:p>
        </w:tc>
        <w:tc>
          <w:tcPr>
            <w:tcW w:w="1701" w:type="dxa"/>
          </w:tcPr>
          <w:p w14:paraId="1A8B716B" w14:textId="77777777" w:rsidR="00E27F8E" w:rsidRPr="00A67D5C" w:rsidRDefault="00E27F8E" w:rsidP="0066301C">
            <w:pPr>
              <w:jc w:val="center"/>
              <w:rPr>
                <w:rFonts w:ascii="Arial" w:hAnsi="Arial" w:cs="Arial"/>
                <w:b/>
                <w:bCs/>
              </w:rPr>
            </w:pPr>
            <w:r w:rsidRPr="00A67D5C">
              <w:rPr>
                <w:rFonts w:ascii="Arial" w:hAnsi="Arial" w:cs="Arial"/>
                <w:b/>
                <w:bCs/>
              </w:rPr>
              <w:t>t-statistic</w:t>
            </w:r>
          </w:p>
        </w:tc>
        <w:tc>
          <w:tcPr>
            <w:tcW w:w="1701" w:type="dxa"/>
            <w:gridSpan w:val="2"/>
          </w:tcPr>
          <w:p w14:paraId="728AC4B3" w14:textId="77777777" w:rsidR="00E27F8E" w:rsidRPr="00A67D5C" w:rsidRDefault="00E27F8E" w:rsidP="0066301C">
            <w:pPr>
              <w:jc w:val="center"/>
              <w:rPr>
                <w:rFonts w:ascii="Arial" w:hAnsi="Arial" w:cs="Arial"/>
                <w:b/>
                <w:bCs/>
              </w:rPr>
            </w:pPr>
            <w:r w:rsidRPr="00A67D5C">
              <w:rPr>
                <w:rFonts w:ascii="Arial" w:hAnsi="Arial" w:cs="Arial"/>
                <w:b/>
                <w:bCs/>
              </w:rPr>
              <w:t>Prob.</w:t>
            </w:r>
          </w:p>
        </w:tc>
      </w:tr>
      <w:tr w:rsidR="00E27F8E" w14:paraId="59C1E7E1" w14:textId="77777777" w:rsidTr="004D74AB">
        <w:trPr>
          <w:trHeight w:val="288"/>
        </w:trPr>
        <w:tc>
          <w:tcPr>
            <w:tcW w:w="2969" w:type="dxa"/>
          </w:tcPr>
          <w:p w14:paraId="7CCCB387" w14:textId="77777777" w:rsidR="00E27F8E" w:rsidRPr="00A67D5C" w:rsidRDefault="00E27F8E" w:rsidP="0066301C">
            <w:pPr>
              <w:rPr>
                <w:rFonts w:ascii="Arial" w:hAnsi="Arial" w:cs="Arial"/>
                <w:sz w:val="20"/>
                <w:szCs w:val="20"/>
                <w:vertAlign w:val="subscript"/>
              </w:rPr>
            </w:pPr>
            <w:r w:rsidRPr="00A67D5C">
              <w:rPr>
                <w:rFonts w:ascii="Arial" w:hAnsi="Arial" w:cs="Arial"/>
                <w:sz w:val="20"/>
                <w:szCs w:val="20"/>
              </w:rPr>
              <w:t xml:space="preserve">Dependent variable </w:t>
            </w:r>
            <w:r w:rsidRPr="00A67D5C">
              <w:rPr>
                <w:rFonts w:ascii="Arial" w:hAnsi="Arial" w:cs="Arial"/>
              </w:rPr>
              <w:t>∆LNTB</w:t>
            </w:r>
            <w:r w:rsidRPr="00A67D5C">
              <w:rPr>
                <w:rFonts w:ascii="Arial" w:hAnsi="Arial" w:cs="Arial"/>
                <w:vertAlign w:val="subscript"/>
              </w:rPr>
              <w:t>t</w:t>
            </w:r>
          </w:p>
        </w:tc>
        <w:tc>
          <w:tcPr>
            <w:tcW w:w="1420" w:type="dxa"/>
          </w:tcPr>
          <w:p w14:paraId="541045C4" w14:textId="77777777" w:rsidR="00E27F8E" w:rsidRPr="00A67D5C" w:rsidRDefault="00E27F8E" w:rsidP="0066301C">
            <w:pPr>
              <w:rPr>
                <w:rFonts w:ascii="Arial" w:hAnsi="Arial" w:cs="Arial"/>
              </w:rPr>
            </w:pPr>
          </w:p>
        </w:tc>
        <w:tc>
          <w:tcPr>
            <w:tcW w:w="1702" w:type="dxa"/>
            <w:gridSpan w:val="2"/>
          </w:tcPr>
          <w:p w14:paraId="0F5156A2" w14:textId="77777777" w:rsidR="00E27F8E" w:rsidRPr="00A67D5C" w:rsidRDefault="00E27F8E" w:rsidP="0066301C">
            <w:pPr>
              <w:rPr>
                <w:rFonts w:ascii="Arial" w:hAnsi="Arial" w:cs="Arial"/>
              </w:rPr>
            </w:pPr>
          </w:p>
        </w:tc>
        <w:tc>
          <w:tcPr>
            <w:tcW w:w="1701" w:type="dxa"/>
          </w:tcPr>
          <w:p w14:paraId="3E7543F1" w14:textId="77777777" w:rsidR="00E27F8E" w:rsidRPr="00A67D5C" w:rsidRDefault="00E27F8E" w:rsidP="0066301C">
            <w:pPr>
              <w:rPr>
                <w:rFonts w:ascii="Arial" w:hAnsi="Arial" w:cs="Arial"/>
              </w:rPr>
            </w:pPr>
          </w:p>
        </w:tc>
        <w:tc>
          <w:tcPr>
            <w:tcW w:w="1701" w:type="dxa"/>
            <w:gridSpan w:val="2"/>
          </w:tcPr>
          <w:p w14:paraId="33BC4C25" w14:textId="77777777" w:rsidR="00E27F8E" w:rsidRPr="00A67D5C" w:rsidRDefault="00E27F8E" w:rsidP="0066301C">
            <w:pPr>
              <w:rPr>
                <w:rFonts w:ascii="Arial" w:hAnsi="Arial" w:cs="Arial"/>
              </w:rPr>
            </w:pPr>
          </w:p>
        </w:tc>
      </w:tr>
      <w:tr w:rsidR="00E27F8E" w14:paraId="2555D453" w14:textId="77777777" w:rsidTr="004D74AB">
        <w:trPr>
          <w:trHeight w:val="301"/>
        </w:trPr>
        <w:tc>
          <w:tcPr>
            <w:tcW w:w="2969" w:type="dxa"/>
          </w:tcPr>
          <w:p w14:paraId="7EE984AB" w14:textId="77777777" w:rsidR="00E27F8E" w:rsidRPr="00A67D5C" w:rsidRDefault="00E27F8E" w:rsidP="0066301C">
            <w:pPr>
              <w:rPr>
                <w:rFonts w:ascii="Arial" w:hAnsi="Arial" w:cs="Arial"/>
                <w:b/>
                <w:bCs/>
              </w:rPr>
            </w:pPr>
            <w:r w:rsidRPr="00A67D5C">
              <w:rPr>
                <w:rFonts w:ascii="Arial" w:hAnsi="Arial" w:cs="Arial"/>
                <w:b/>
                <w:bCs/>
              </w:rPr>
              <w:t>Long-run elasticities</w:t>
            </w:r>
          </w:p>
        </w:tc>
        <w:tc>
          <w:tcPr>
            <w:tcW w:w="1420" w:type="dxa"/>
          </w:tcPr>
          <w:p w14:paraId="5F937D78" w14:textId="77777777" w:rsidR="00E27F8E" w:rsidRPr="00A67D5C" w:rsidRDefault="00E27F8E" w:rsidP="0066301C">
            <w:pPr>
              <w:rPr>
                <w:rFonts w:ascii="Arial" w:hAnsi="Arial" w:cs="Arial"/>
              </w:rPr>
            </w:pPr>
          </w:p>
        </w:tc>
        <w:tc>
          <w:tcPr>
            <w:tcW w:w="1702" w:type="dxa"/>
            <w:gridSpan w:val="2"/>
          </w:tcPr>
          <w:p w14:paraId="38414D6B" w14:textId="77777777" w:rsidR="00E27F8E" w:rsidRPr="00A67D5C" w:rsidRDefault="00E27F8E" w:rsidP="0066301C">
            <w:pPr>
              <w:rPr>
                <w:rFonts w:ascii="Arial" w:hAnsi="Arial" w:cs="Arial"/>
              </w:rPr>
            </w:pPr>
          </w:p>
        </w:tc>
        <w:tc>
          <w:tcPr>
            <w:tcW w:w="1701" w:type="dxa"/>
          </w:tcPr>
          <w:p w14:paraId="3C43E022" w14:textId="77777777" w:rsidR="00E27F8E" w:rsidRPr="00A67D5C" w:rsidRDefault="00E27F8E" w:rsidP="0066301C">
            <w:pPr>
              <w:rPr>
                <w:rFonts w:ascii="Arial" w:hAnsi="Arial" w:cs="Arial"/>
              </w:rPr>
            </w:pPr>
          </w:p>
        </w:tc>
        <w:tc>
          <w:tcPr>
            <w:tcW w:w="1701" w:type="dxa"/>
            <w:gridSpan w:val="2"/>
          </w:tcPr>
          <w:p w14:paraId="12FA3F29" w14:textId="77777777" w:rsidR="00E27F8E" w:rsidRPr="00A67D5C" w:rsidRDefault="00E27F8E" w:rsidP="0066301C">
            <w:pPr>
              <w:rPr>
                <w:rFonts w:ascii="Arial" w:hAnsi="Arial" w:cs="Arial"/>
              </w:rPr>
            </w:pPr>
          </w:p>
        </w:tc>
      </w:tr>
      <w:tr w:rsidR="00E27F8E" w14:paraId="1FC877F6" w14:textId="77777777" w:rsidTr="004D74AB">
        <w:trPr>
          <w:trHeight w:val="288"/>
        </w:trPr>
        <w:tc>
          <w:tcPr>
            <w:tcW w:w="2969" w:type="dxa"/>
          </w:tcPr>
          <w:p w14:paraId="68BF321E" w14:textId="77777777" w:rsidR="00E27F8E" w:rsidRPr="00A67D5C" w:rsidRDefault="00E27F8E" w:rsidP="0066301C">
            <w:pPr>
              <w:rPr>
                <w:rFonts w:ascii="Arial" w:hAnsi="Arial" w:cs="Arial"/>
              </w:rPr>
            </w:pPr>
            <w:r w:rsidRPr="00A67D5C">
              <w:rPr>
                <w:rFonts w:ascii="Arial" w:hAnsi="Arial" w:cs="Arial"/>
              </w:rPr>
              <w:t>C</w:t>
            </w:r>
          </w:p>
        </w:tc>
        <w:tc>
          <w:tcPr>
            <w:tcW w:w="1420" w:type="dxa"/>
          </w:tcPr>
          <w:p w14:paraId="09F28B0F" w14:textId="77777777" w:rsidR="00E27F8E" w:rsidRPr="00A67D5C" w:rsidRDefault="00E27F8E" w:rsidP="0066301C">
            <w:pPr>
              <w:rPr>
                <w:rFonts w:ascii="Arial" w:hAnsi="Arial" w:cs="Arial"/>
              </w:rPr>
            </w:pPr>
            <w:r>
              <w:rPr>
                <w:rFonts w:ascii="Arial" w:hAnsi="Arial" w:cs="Arial"/>
              </w:rPr>
              <w:t>-0.064</w:t>
            </w:r>
          </w:p>
        </w:tc>
        <w:tc>
          <w:tcPr>
            <w:tcW w:w="1702" w:type="dxa"/>
            <w:gridSpan w:val="2"/>
          </w:tcPr>
          <w:p w14:paraId="38CD6FFA" w14:textId="77777777" w:rsidR="00E27F8E" w:rsidRPr="00A67D5C" w:rsidRDefault="00E27F8E" w:rsidP="0066301C">
            <w:pPr>
              <w:rPr>
                <w:rFonts w:ascii="Arial" w:hAnsi="Arial" w:cs="Arial"/>
              </w:rPr>
            </w:pPr>
            <w:r>
              <w:rPr>
                <w:rFonts w:ascii="Arial" w:hAnsi="Arial" w:cs="Arial"/>
              </w:rPr>
              <w:t>2.713</w:t>
            </w:r>
          </w:p>
        </w:tc>
        <w:tc>
          <w:tcPr>
            <w:tcW w:w="1701" w:type="dxa"/>
          </w:tcPr>
          <w:p w14:paraId="3C4DA622" w14:textId="77777777" w:rsidR="00E27F8E" w:rsidRPr="00A67D5C" w:rsidRDefault="00E27F8E" w:rsidP="0066301C">
            <w:pPr>
              <w:rPr>
                <w:rFonts w:ascii="Arial" w:hAnsi="Arial" w:cs="Arial"/>
              </w:rPr>
            </w:pPr>
            <w:r>
              <w:rPr>
                <w:rFonts w:ascii="Arial" w:hAnsi="Arial" w:cs="Arial"/>
              </w:rPr>
              <w:t>-0.0236</w:t>
            </w:r>
          </w:p>
        </w:tc>
        <w:tc>
          <w:tcPr>
            <w:tcW w:w="1701" w:type="dxa"/>
            <w:gridSpan w:val="2"/>
          </w:tcPr>
          <w:p w14:paraId="09EB37CD" w14:textId="77777777" w:rsidR="00E27F8E" w:rsidRPr="00A67D5C" w:rsidRDefault="00E27F8E" w:rsidP="0066301C">
            <w:pPr>
              <w:rPr>
                <w:rFonts w:ascii="Arial" w:hAnsi="Arial" w:cs="Arial"/>
              </w:rPr>
            </w:pPr>
            <w:r>
              <w:rPr>
                <w:rFonts w:ascii="Arial" w:hAnsi="Arial" w:cs="Arial"/>
              </w:rPr>
              <w:t>0.981</w:t>
            </w:r>
          </w:p>
        </w:tc>
      </w:tr>
      <w:tr w:rsidR="00E27F8E" w14:paraId="5DAFE909" w14:textId="77777777" w:rsidTr="004D74AB">
        <w:trPr>
          <w:trHeight w:val="288"/>
        </w:trPr>
        <w:tc>
          <w:tcPr>
            <w:tcW w:w="2969" w:type="dxa"/>
          </w:tcPr>
          <w:p w14:paraId="68AECC97" w14:textId="77777777" w:rsidR="00E27F8E" w:rsidRPr="00A67D5C" w:rsidRDefault="00E27F8E" w:rsidP="0066301C">
            <w:pPr>
              <w:rPr>
                <w:rFonts w:ascii="Arial" w:hAnsi="Arial" w:cs="Arial"/>
              </w:rPr>
            </w:pPr>
            <w:r w:rsidRPr="00A67D5C">
              <w:rPr>
                <w:rFonts w:ascii="Arial" w:hAnsi="Arial" w:cs="Arial"/>
              </w:rPr>
              <w:t>LNREER</w:t>
            </w:r>
          </w:p>
        </w:tc>
        <w:tc>
          <w:tcPr>
            <w:tcW w:w="1420" w:type="dxa"/>
          </w:tcPr>
          <w:p w14:paraId="14EBADDA" w14:textId="77777777" w:rsidR="00E27F8E" w:rsidRPr="00A67D5C" w:rsidRDefault="00E27F8E" w:rsidP="0066301C">
            <w:pPr>
              <w:rPr>
                <w:rFonts w:ascii="Arial" w:hAnsi="Arial" w:cs="Arial"/>
              </w:rPr>
            </w:pPr>
            <w:r>
              <w:rPr>
                <w:rFonts w:ascii="Arial" w:hAnsi="Arial" w:cs="Arial"/>
              </w:rPr>
              <w:t>-0.622</w:t>
            </w:r>
          </w:p>
        </w:tc>
        <w:tc>
          <w:tcPr>
            <w:tcW w:w="1702" w:type="dxa"/>
            <w:gridSpan w:val="2"/>
          </w:tcPr>
          <w:p w14:paraId="30793460" w14:textId="77777777" w:rsidR="00E27F8E" w:rsidRPr="00A67D5C" w:rsidRDefault="00E27F8E" w:rsidP="0066301C">
            <w:pPr>
              <w:rPr>
                <w:rFonts w:ascii="Arial" w:hAnsi="Arial" w:cs="Arial"/>
              </w:rPr>
            </w:pPr>
            <w:r>
              <w:rPr>
                <w:rFonts w:ascii="Arial" w:hAnsi="Arial" w:cs="Arial"/>
              </w:rPr>
              <w:t>0.586</w:t>
            </w:r>
          </w:p>
        </w:tc>
        <w:tc>
          <w:tcPr>
            <w:tcW w:w="1701" w:type="dxa"/>
          </w:tcPr>
          <w:p w14:paraId="34DB18D9" w14:textId="77777777" w:rsidR="00E27F8E" w:rsidRPr="00A67D5C" w:rsidRDefault="00E27F8E" w:rsidP="0066301C">
            <w:pPr>
              <w:rPr>
                <w:rFonts w:ascii="Arial" w:hAnsi="Arial" w:cs="Arial"/>
              </w:rPr>
            </w:pPr>
            <w:r>
              <w:rPr>
                <w:rFonts w:ascii="Arial" w:hAnsi="Arial" w:cs="Arial"/>
              </w:rPr>
              <w:t>-1.061</w:t>
            </w:r>
          </w:p>
        </w:tc>
        <w:tc>
          <w:tcPr>
            <w:tcW w:w="1701" w:type="dxa"/>
            <w:gridSpan w:val="2"/>
          </w:tcPr>
          <w:p w14:paraId="54550BBB" w14:textId="77777777" w:rsidR="00E27F8E" w:rsidRPr="00A67D5C" w:rsidRDefault="00E27F8E" w:rsidP="0066301C">
            <w:pPr>
              <w:rPr>
                <w:rFonts w:ascii="Arial" w:hAnsi="Arial" w:cs="Arial"/>
              </w:rPr>
            </w:pPr>
            <w:r>
              <w:rPr>
                <w:rFonts w:ascii="Arial" w:hAnsi="Arial" w:cs="Arial"/>
              </w:rPr>
              <w:t>0.297</w:t>
            </w:r>
          </w:p>
        </w:tc>
      </w:tr>
      <w:tr w:rsidR="00E27F8E" w14:paraId="19F97EBF" w14:textId="77777777" w:rsidTr="004D74AB">
        <w:trPr>
          <w:trHeight w:val="288"/>
        </w:trPr>
        <w:tc>
          <w:tcPr>
            <w:tcW w:w="2969" w:type="dxa"/>
          </w:tcPr>
          <w:p w14:paraId="408BF1E2" w14:textId="77777777" w:rsidR="00E27F8E" w:rsidRPr="00A67D5C" w:rsidRDefault="00E27F8E" w:rsidP="0066301C">
            <w:pPr>
              <w:rPr>
                <w:rFonts w:ascii="Arial" w:hAnsi="Arial" w:cs="Arial"/>
              </w:rPr>
            </w:pPr>
            <w:r w:rsidRPr="00A67D5C">
              <w:rPr>
                <w:rFonts w:ascii="Arial" w:hAnsi="Arial" w:cs="Arial"/>
              </w:rPr>
              <w:t>LNDI</w:t>
            </w:r>
          </w:p>
        </w:tc>
        <w:tc>
          <w:tcPr>
            <w:tcW w:w="1420" w:type="dxa"/>
          </w:tcPr>
          <w:p w14:paraId="53CB4F5B" w14:textId="77777777" w:rsidR="00E27F8E" w:rsidRPr="00A67D5C" w:rsidRDefault="00E27F8E" w:rsidP="0066301C">
            <w:pPr>
              <w:rPr>
                <w:rFonts w:ascii="Arial" w:hAnsi="Arial" w:cs="Arial"/>
              </w:rPr>
            </w:pPr>
            <w:r>
              <w:rPr>
                <w:rFonts w:ascii="Arial" w:hAnsi="Arial" w:cs="Arial"/>
              </w:rPr>
              <w:t>0.072</w:t>
            </w:r>
          </w:p>
        </w:tc>
        <w:tc>
          <w:tcPr>
            <w:tcW w:w="1702" w:type="dxa"/>
            <w:gridSpan w:val="2"/>
          </w:tcPr>
          <w:p w14:paraId="39B0313F" w14:textId="77777777" w:rsidR="00E27F8E" w:rsidRPr="00A67D5C" w:rsidRDefault="00E27F8E" w:rsidP="0066301C">
            <w:pPr>
              <w:rPr>
                <w:rFonts w:ascii="Arial" w:hAnsi="Arial" w:cs="Arial"/>
              </w:rPr>
            </w:pPr>
            <w:r>
              <w:rPr>
                <w:rFonts w:ascii="Arial" w:hAnsi="Arial" w:cs="Arial"/>
              </w:rPr>
              <w:t>0.317</w:t>
            </w:r>
          </w:p>
        </w:tc>
        <w:tc>
          <w:tcPr>
            <w:tcW w:w="1701" w:type="dxa"/>
          </w:tcPr>
          <w:p w14:paraId="375E19E6" w14:textId="77777777" w:rsidR="00E27F8E" w:rsidRPr="00A67D5C" w:rsidRDefault="00E27F8E" w:rsidP="0066301C">
            <w:pPr>
              <w:rPr>
                <w:rFonts w:ascii="Arial" w:hAnsi="Arial" w:cs="Arial"/>
              </w:rPr>
            </w:pPr>
            <w:r>
              <w:rPr>
                <w:rFonts w:ascii="Arial" w:hAnsi="Arial" w:cs="Arial"/>
              </w:rPr>
              <w:t>0.228</w:t>
            </w:r>
          </w:p>
        </w:tc>
        <w:tc>
          <w:tcPr>
            <w:tcW w:w="1701" w:type="dxa"/>
            <w:gridSpan w:val="2"/>
          </w:tcPr>
          <w:p w14:paraId="3014687E" w14:textId="77777777" w:rsidR="00E27F8E" w:rsidRPr="00A67D5C" w:rsidRDefault="00E27F8E" w:rsidP="0066301C">
            <w:pPr>
              <w:rPr>
                <w:rFonts w:ascii="Arial" w:hAnsi="Arial" w:cs="Arial"/>
              </w:rPr>
            </w:pPr>
            <w:r>
              <w:rPr>
                <w:rFonts w:ascii="Arial" w:hAnsi="Arial" w:cs="Arial"/>
              </w:rPr>
              <w:t>0.821</w:t>
            </w:r>
          </w:p>
        </w:tc>
      </w:tr>
      <w:tr w:rsidR="00E27F8E" w14:paraId="2C6CA88A" w14:textId="77777777" w:rsidTr="004D74AB">
        <w:trPr>
          <w:trHeight w:val="288"/>
        </w:trPr>
        <w:tc>
          <w:tcPr>
            <w:tcW w:w="2969" w:type="dxa"/>
          </w:tcPr>
          <w:p w14:paraId="1380181E" w14:textId="77777777" w:rsidR="00E27F8E" w:rsidRPr="00A67D5C" w:rsidRDefault="00E27F8E" w:rsidP="0066301C">
            <w:pPr>
              <w:rPr>
                <w:rFonts w:ascii="Arial" w:hAnsi="Arial" w:cs="Arial"/>
              </w:rPr>
            </w:pPr>
            <w:r w:rsidRPr="00A67D5C">
              <w:rPr>
                <w:rFonts w:ascii="Arial" w:hAnsi="Arial" w:cs="Arial"/>
              </w:rPr>
              <w:t>LN</w:t>
            </w:r>
            <w:r>
              <w:rPr>
                <w:rFonts w:ascii="Arial" w:hAnsi="Arial" w:cs="Arial"/>
              </w:rPr>
              <w:t>KOREA</w:t>
            </w:r>
            <w:r w:rsidRPr="00A67D5C">
              <w:rPr>
                <w:rFonts w:ascii="Arial" w:hAnsi="Arial" w:cs="Arial"/>
              </w:rPr>
              <w:t>FI</w:t>
            </w:r>
          </w:p>
        </w:tc>
        <w:tc>
          <w:tcPr>
            <w:tcW w:w="1420" w:type="dxa"/>
          </w:tcPr>
          <w:p w14:paraId="3429E940" w14:textId="77777777" w:rsidR="00E27F8E" w:rsidRPr="00A67D5C" w:rsidRDefault="00E27F8E" w:rsidP="0066301C">
            <w:pPr>
              <w:rPr>
                <w:rFonts w:ascii="Arial" w:hAnsi="Arial" w:cs="Arial"/>
              </w:rPr>
            </w:pPr>
            <w:r>
              <w:rPr>
                <w:rFonts w:ascii="Arial" w:hAnsi="Arial" w:cs="Arial"/>
              </w:rPr>
              <w:t>0.067</w:t>
            </w:r>
          </w:p>
        </w:tc>
        <w:tc>
          <w:tcPr>
            <w:tcW w:w="1702" w:type="dxa"/>
            <w:gridSpan w:val="2"/>
          </w:tcPr>
          <w:p w14:paraId="46E6187D" w14:textId="77777777" w:rsidR="00E27F8E" w:rsidRPr="00A67D5C" w:rsidRDefault="00E27F8E" w:rsidP="0066301C">
            <w:pPr>
              <w:rPr>
                <w:rFonts w:ascii="Arial" w:hAnsi="Arial" w:cs="Arial"/>
              </w:rPr>
            </w:pPr>
            <w:r>
              <w:rPr>
                <w:rFonts w:ascii="Arial" w:hAnsi="Arial" w:cs="Arial"/>
              </w:rPr>
              <w:t>0.339</w:t>
            </w:r>
          </w:p>
        </w:tc>
        <w:tc>
          <w:tcPr>
            <w:tcW w:w="1701" w:type="dxa"/>
          </w:tcPr>
          <w:p w14:paraId="04463DE5" w14:textId="77777777" w:rsidR="00E27F8E" w:rsidRPr="00A67D5C" w:rsidRDefault="00E27F8E" w:rsidP="0066301C">
            <w:pPr>
              <w:rPr>
                <w:rFonts w:ascii="Arial" w:hAnsi="Arial" w:cs="Arial"/>
              </w:rPr>
            </w:pPr>
            <w:r>
              <w:rPr>
                <w:rFonts w:ascii="Arial" w:hAnsi="Arial" w:cs="Arial"/>
              </w:rPr>
              <w:t>0.200</w:t>
            </w:r>
          </w:p>
        </w:tc>
        <w:tc>
          <w:tcPr>
            <w:tcW w:w="1701" w:type="dxa"/>
            <w:gridSpan w:val="2"/>
          </w:tcPr>
          <w:p w14:paraId="15C11C70" w14:textId="77777777" w:rsidR="00E27F8E" w:rsidRPr="00A67D5C" w:rsidRDefault="00E27F8E" w:rsidP="0066301C">
            <w:pPr>
              <w:rPr>
                <w:rFonts w:ascii="Arial" w:hAnsi="Arial" w:cs="Arial"/>
              </w:rPr>
            </w:pPr>
            <w:r>
              <w:rPr>
                <w:rFonts w:ascii="Arial" w:hAnsi="Arial" w:cs="Arial"/>
              </w:rPr>
              <w:t>0.843</w:t>
            </w:r>
          </w:p>
        </w:tc>
      </w:tr>
      <w:tr w:rsidR="00E27F8E" w14:paraId="084B5520" w14:textId="77777777" w:rsidTr="004D74AB">
        <w:trPr>
          <w:trHeight w:val="288"/>
        </w:trPr>
        <w:tc>
          <w:tcPr>
            <w:tcW w:w="2969" w:type="dxa"/>
          </w:tcPr>
          <w:p w14:paraId="5F8A8448" w14:textId="77777777" w:rsidR="00E27F8E" w:rsidRPr="00A67D5C" w:rsidRDefault="00E27F8E" w:rsidP="0066301C">
            <w:pPr>
              <w:rPr>
                <w:rFonts w:ascii="Arial" w:hAnsi="Arial" w:cs="Arial"/>
                <w:b/>
                <w:bCs/>
              </w:rPr>
            </w:pPr>
            <w:r w:rsidRPr="00A67D5C">
              <w:rPr>
                <w:rFonts w:ascii="Arial" w:hAnsi="Arial" w:cs="Arial"/>
                <w:b/>
                <w:bCs/>
              </w:rPr>
              <w:t>Short-run elasticities</w:t>
            </w:r>
          </w:p>
        </w:tc>
        <w:tc>
          <w:tcPr>
            <w:tcW w:w="1420" w:type="dxa"/>
          </w:tcPr>
          <w:p w14:paraId="6001A94D" w14:textId="77777777" w:rsidR="00E27F8E" w:rsidRPr="00A67D5C" w:rsidRDefault="00E27F8E" w:rsidP="0066301C">
            <w:pPr>
              <w:rPr>
                <w:rFonts w:ascii="Arial" w:hAnsi="Arial" w:cs="Arial"/>
              </w:rPr>
            </w:pPr>
          </w:p>
        </w:tc>
        <w:tc>
          <w:tcPr>
            <w:tcW w:w="1702" w:type="dxa"/>
            <w:gridSpan w:val="2"/>
          </w:tcPr>
          <w:p w14:paraId="3AC8E56F" w14:textId="77777777" w:rsidR="00E27F8E" w:rsidRPr="00A67D5C" w:rsidRDefault="00E27F8E" w:rsidP="0066301C">
            <w:pPr>
              <w:rPr>
                <w:rFonts w:ascii="Arial" w:hAnsi="Arial" w:cs="Arial"/>
              </w:rPr>
            </w:pPr>
          </w:p>
        </w:tc>
        <w:tc>
          <w:tcPr>
            <w:tcW w:w="1701" w:type="dxa"/>
          </w:tcPr>
          <w:p w14:paraId="4816B3D5" w14:textId="77777777" w:rsidR="00E27F8E" w:rsidRPr="00A67D5C" w:rsidRDefault="00E27F8E" w:rsidP="0066301C">
            <w:pPr>
              <w:rPr>
                <w:rFonts w:ascii="Arial" w:hAnsi="Arial" w:cs="Arial"/>
              </w:rPr>
            </w:pPr>
          </w:p>
        </w:tc>
        <w:tc>
          <w:tcPr>
            <w:tcW w:w="1701" w:type="dxa"/>
            <w:gridSpan w:val="2"/>
          </w:tcPr>
          <w:p w14:paraId="29FDCA6C" w14:textId="77777777" w:rsidR="00E27F8E" w:rsidRPr="00A67D5C" w:rsidRDefault="00E27F8E" w:rsidP="0066301C">
            <w:pPr>
              <w:rPr>
                <w:rFonts w:ascii="Arial" w:hAnsi="Arial" w:cs="Arial"/>
              </w:rPr>
            </w:pPr>
          </w:p>
        </w:tc>
      </w:tr>
      <w:tr w:rsidR="00E27F8E" w14:paraId="284EFFD9" w14:textId="77777777" w:rsidTr="004D74AB">
        <w:trPr>
          <w:trHeight w:val="288"/>
        </w:trPr>
        <w:tc>
          <w:tcPr>
            <w:tcW w:w="2969" w:type="dxa"/>
          </w:tcPr>
          <w:p w14:paraId="4D0D4F77" w14:textId="77777777" w:rsidR="00E27F8E" w:rsidRPr="00A67D5C" w:rsidRDefault="00E27F8E" w:rsidP="0066301C">
            <w:pPr>
              <w:rPr>
                <w:rFonts w:ascii="Arial" w:hAnsi="Arial" w:cs="Arial"/>
              </w:rPr>
            </w:pPr>
            <w:r w:rsidRPr="00A67D5C">
              <w:rPr>
                <w:rFonts w:ascii="Arial" w:hAnsi="Arial" w:cs="Arial"/>
              </w:rPr>
              <w:t>C</w:t>
            </w:r>
          </w:p>
        </w:tc>
        <w:tc>
          <w:tcPr>
            <w:tcW w:w="1420" w:type="dxa"/>
          </w:tcPr>
          <w:p w14:paraId="12AE73D5" w14:textId="77777777" w:rsidR="00E27F8E" w:rsidRPr="00A67D5C" w:rsidRDefault="00E27F8E" w:rsidP="0066301C">
            <w:pPr>
              <w:rPr>
                <w:rFonts w:ascii="Arial" w:hAnsi="Arial" w:cs="Arial"/>
              </w:rPr>
            </w:pPr>
            <w:r>
              <w:rPr>
                <w:rFonts w:ascii="Arial" w:hAnsi="Arial" w:cs="Arial"/>
              </w:rPr>
              <w:t>-0.064</w:t>
            </w:r>
          </w:p>
        </w:tc>
        <w:tc>
          <w:tcPr>
            <w:tcW w:w="1702" w:type="dxa"/>
            <w:gridSpan w:val="2"/>
          </w:tcPr>
          <w:p w14:paraId="499E5F8F" w14:textId="77777777" w:rsidR="00E27F8E" w:rsidRPr="00A67D5C" w:rsidRDefault="00E27F8E" w:rsidP="0066301C">
            <w:pPr>
              <w:rPr>
                <w:rFonts w:ascii="Arial" w:hAnsi="Arial" w:cs="Arial"/>
              </w:rPr>
            </w:pPr>
            <w:r>
              <w:rPr>
                <w:rFonts w:ascii="Arial" w:hAnsi="Arial" w:cs="Arial"/>
              </w:rPr>
              <w:t>0.031</w:t>
            </w:r>
          </w:p>
        </w:tc>
        <w:tc>
          <w:tcPr>
            <w:tcW w:w="1701" w:type="dxa"/>
          </w:tcPr>
          <w:p w14:paraId="5BC4DF18" w14:textId="77777777" w:rsidR="00E27F8E" w:rsidRPr="00A67D5C" w:rsidRDefault="00E27F8E" w:rsidP="0066301C">
            <w:pPr>
              <w:rPr>
                <w:rFonts w:ascii="Arial" w:hAnsi="Arial" w:cs="Arial"/>
              </w:rPr>
            </w:pPr>
            <w:r>
              <w:rPr>
                <w:rFonts w:ascii="Arial" w:hAnsi="Arial" w:cs="Arial"/>
              </w:rPr>
              <w:t>-2.084</w:t>
            </w:r>
          </w:p>
        </w:tc>
        <w:tc>
          <w:tcPr>
            <w:tcW w:w="1701" w:type="dxa"/>
            <w:gridSpan w:val="2"/>
          </w:tcPr>
          <w:p w14:paraId="2AAF7602" w14:textId="77777777" w:rsidR="00E27F8E" w:rsidRPr="00A67D5C" w:rsidRDefault="00E27F8E" w:rsidP="0066301C">
            <w:pPr>
              <w:rPr>
                <w:rFonts w:ascii="Arial" w:hAnsi="Arial" w:cs="Arial"/>
              </w:rPr>
            </w:pPr>
            <w:r>
              <w:rPr>
                <w:rFonts w:ascii="Arial" w:hAnsi="Arial" w:cs="Arial"/>
              </w:rPr>
              <w:t>0.045</w:t>
            </w:r>
          </w:p>
        </w:tc>
      </w:tr>
      <w:tr w:rsidR="00E27F8E" w14:paraId="65590AF8" w14:textId="77777777" w:rsidTr="004D74AB">
        <w:trPr>
          <w:trHeight w:val="288"/>
        </w:trPr>
        <w:tc>
          <w:tcPr>
            <w:tcW w:w="2969" w:type="dxa"/>
          </w:tcPr>
          <w:p w14:paraId="79B9E87E" w14:textId="77777777" w:rsidR="00E27F8E" w:rsidRPr="00A67D5C" w:rsidRDefault="00E27F8E" w:rsidP="0066301C">
            <w:pPr>
              <w:rPr>
                <w:rFonts w:ascii="Arial" w:hAnsi="Arial" w:cs="Arial"/>
              </w:rPr>
            </w:pPr>
            <w:r w:rsidRPr="00A67D5C">
              <w:rPr>
                <w:rFonts w:ascii="Arial" w:hAnsi="Arial" w:cs="Arial"/>
              </w:rPr>
              <w:t>∆LNDI</w:t>
            </w:r>
          </w:p>
        </w:tc>
        <w:tc>
          <w:tcPr>
            <w:tcW w:w="1420" w:type="dxa"/>
          </w:tcPr>
          <w:p w14:paraId="6C19209B" w14:textId="77777777" w:rsidR="00E27F8E" w:rsidRPr="00A67D5C" w:rsidRDefault="00E27F8E" w:rsidP="0066301C">
            <w:pPr>
              <w:rPr>
                <w:rFonts w:ascii="Arial" w:hAnsi="Arial" w:cs="Arial"/>
              </w:rPr>
            </w:pPr>
            <w:r>
              <w:rPr>
                <w:rFonts w:ascii="Arial" w:hAnsi="Arial" w:cs="Arial"/>
              </w:rPr>
              <w:t>0.416</w:t>
            </w:r>
          </w:p>
        </w:tc>
        <w:tc>
          <w:tcPr>
            <w:tcW w:w="1702" w:type="dxa"/>
            <w:gridSpan w:val="2"/>
          </w:tcPr>
          <w:p w14:paraId="1B04DDCF" w14:textId="77777777" w:rsidR="00E27F8E" w:rsidRPr="00A67D5C" w:rsidRDefault="00E27F8E" w:rsidP="0066301C">
            <w:pPr>
              <w:rPr>
                <w:rFonts w:ascii="Arial" w:hAnsi="Arial" w:cs="Arial"/>
              </w:rPr>
            </w:pPr>
            <w:r>
              <w:rPr>
                <w:rFonts w:ascii="Arial" w:hAnsi="Arial" w:cs="Arial"/>
              </w:rPr>
              <w:t>0.195</w:t>
            </w:r>
          </w:p>
        </w:tc>
        <w:tc>
          <w:tcPr>
            <w:tcW w:w="1701" w:type="dxa"/>
          </w:tcPr>
          <w:p w14:paraId="24BE1FA6" w14:textId="77777777" w:rsidR="00E27F8E" w:rsidRPr="00A67D5C" w:rsidRDefault="00E27F8E" w:rsidP="0066301C">
            <w:pPr>
              <w:rPr>
                <w:rFonts w:ascii="Arial" w:hAnsi="Arial" w:cs="Arial"/>
              </w:rPr>
            </w:pPr>
            <w:r>
              <w:rPr>
                <w:rFonts w:ascii="Arial" w:hAnsi="Arial" w:cs="Arial"/>
              </w:rPr>
              <w:t>2.1135</w:t>
            </w:r>
          </w:p>
        </w:tc>
        <w:tc>
          <w:tcPr>
            <w:tcW w:w="1701" w:type="dxa"/>
            <w:gridSpan w:val="2"/>
          </w:tcPr>
          <w:p w14:paraId="2CD0E7CA" w14:textId="77777777" w:rsidR="00E27F8E" w:rsidRPr="00A67D5C" w:rsidRDefault="00E27F8E" w:rsidP="0066301C">
            <w:pPr>
              <w:rPr>
                <w:rFonts w:ascii="Arial" w:hAnsi="Arial" w:cs="Arial"/>
              </w:rPr>
            </w:pPr>
            <w:r>
              <w:rPr>
                <w:rFonts w:ascii="Arial" w:hAnsi="Arial" w:cs="Arial"/>
              </w:rPr>
              <w:t>0.041</w:t>
            </w:r>
          </w:p>
        </w:tc>
      </w:tr>
      <w:tr w:rsidR="00E27F8E" w14:paraId="743FD95B" w14:textId="77777777" w:rsidTr="004D74AB">
        <w:trPr>
          <w:trHeight w:val="288"/>
        </w:trPr>
        <w:tc>
          <w:tcPr>
            <w:tcW w:w="2969" w:type="dxa"/>
          </w:tcPr>
          <w:p w14:paraId="2406BD16" w14:textId="77777777" w:rsidR="00E27F8E" w:rsidRPr="00A67D5C" w:rsidRDefault="00E27F8E" w:rsidP="0066301C">
            <w:pPr>
              <w:rPr>
                <w:rFonts w:ascii="Arial" w:hAnsi="Arial" w:cs="Arial"/>
              </w:rPr>
            </w:pPr>
            <w:r w:rsidRPr="00A67D5C">
              <w:rPr>
                <w:rFonts w:ascii="Arial" w:hAnsi="Arial" w:cs="Arial"/>
              </w:rPr>
              <w:t>∆LNINDIFI</w:t>
            </w:r>
            <w:r w:rsidRPr="00A67D5C">
              <w:rPr>
                <w:rFonts w:ascii="Arial" w:hAnsi="Arial" w:cs="Arial"/>
                <w:vertAlign w:val="subscript"/>
              </w:rPr>
              <w:t>t-1</w:t>
            </w:r>
          </w:p>
        </w:tc>
        <w:tc>
          <w:tcPr>
            <w:tcW w:w="1420" w:type="dxa"/>
          </w:tcPr>
          <w:p w14:paraId="3190CB89" w14:textId="77777777" w:rsidR="00E27F8E" w:rsidRPr="00A67D5C" w:rsidRDefault="00E27F8E" w:rsidP="0066301C">
            <w:pPr>
              <w:rPr>
                <w:rFonts w:ascii="Arial" w:hAnsi="Arial" w:cs="Arial"/>
              </w:rPr>
            </w:pPr>
            <w:r>
              <w:rPr>
                <w:rFonts w:ascii="Arial" w:hAnsi="Arial" w:cs="Arial"/>
              </w:rPr>
              <w:t>0.634</w:t>
            </w:r>
          </w:p>
        </w:tc>
        <w:tc>
          <w:tcPr>
            <w:tcW w:w="1702" w:type="dxa"/>
            <w:gridSpan w:val="2"/>
          </w:tcPr>
          <w:p w14:paraId="1ADD18BE" w14:textId="77777777" w:rsidR="00E27F8E" w:rsidRPr="00A67D5C" w:rsidRDefault="00E27F8E" w:rsidP="0066301C">
            <w:pPr>
              <w:rPr>
                <w:rFonts w:ascii="Arial" w:hAnsi="Arial" w:cs="Arial"/>
              </w:rPr>
            </w:pPr>
            <w:r>
              <w:rPr>
                <w:rFonts w:ascii="Arial" w:hAnsi="Arial" w:cs="Arial"/>
              </w:rPr>
              <w:t>0.228</w:t>
            </w:r>
          </w:p>
        </w:tc>
        <w:tc>
          <w:tcPr>
            <w:tcW w:w="1701" w:type="dxa"/>
          </w:tcPr>
          <w:p w14:paraId="2F0AFFED" w14:textId="77777777" w:rsidR="00E27F8E" w:rsidRPr="00A67D5C" w:rsidRDefault="00E27F8E" w:rsidP="0066301C">
            <w:pPr>
              <w:rPr>
                <w:rFonts w:ascii="Arial" w:hAnsi="Arial" w:cs="Arial"/>
              </w:rPr>
            </w:pPr>
            <w:r>
              <w:rPr>
                <w:rFonts w:ascii="Arial" w:hAnsi="Arial" w:cs="Arial"/>
              </w:rPr>
              <w:t>2.774</w:t>
            </w:r>
          </w:p>
        </w:tc>
        <w:tc>
          <w:tcPr>
            <w:tcW w:w="1701" w:type="dxa"/>
            <w:gridSpan w:val="2"/>
          </w:tcPr>
          <w:p w14:paraId="5408E4D6" w14:textId="77777777" w:rsidR="00E27F8E" w:rsidRPr="00A67D5C" w:rsidRDefault="00E27F8E" w:rsidP="0066301C">
            <w:pPr>
              <w:rPr>
                <w:rFonts w:ascii="Arial" w:hAnsi="Arial" w:cs="Arial"/>
              </w:rPr>
            </w:pPr>
            <w:r>
              <w:rPr>
                <w:rFonts w:ascii="Arial" w:hAnsi="Arial" w:cs="Arial"/>
              </w:rPr>
              <w:t>0.009</w:t>
            </w:r>
          </w:p>
        </w:tc>
      </w:tr>
      <w:tr w:rsidR="00E27F8E" w14:paraId="0742B1AC" w14:textId="77777777" w:rsidTr="004D74AB">
        <w:trPr>
          <w:trHeight w:val="288"/>
        </w:trPr>
        <w:tc>
          <w:tcPr>
            <w:tcW w:w="2969" w:type="dxa"/>
          </w:tcPr>
          <w:p w14:paraId="50825C50" w14:textId="77777777" w:rsidR="00E27F8E" w:rsidRPr="00A67D5C" w:rsidRDefault="00E27F8E" w:rsidP="0066301C">
            <w:pPr>
              <w:rPr>
                <w:rFonts w:ascii="Arial" w:hAnsi="Arial" w:cs="Arial"/>
              </w:rPr>
            </w:pPr>
            <w:r w:rsidRPr="00A67D5C">
              <w:rPr>
                <w:rFonts w:ascii="Arial" w:hAnsi="Arial" w:cs="Arial"/>
              </w:rPr>
              <w:t>ECM</w:t>
            </w:r>
            <w:r w:rsidRPr="00A67D5C">
              <w:rPr>
                <w:rFonts w:ascii="Arial" w:hAnsi="Arial" w:cs="Arial"/>
                <w:vertAlign w:val="subscript"/>
              </w:rPr>
              <w:t>t-1</w:t>
            </w:r>
          </w:p>
        </w:tc>
        <w:tc>
          <w:tcPr>
            <w:tcW w:w="1420" w:type="dxa"/>
          </w:tcPr>
          <w:p w14:paraId="341C4467" w14:textId="77777777" w:rsidR="00E27F8E" w:rsidRPr="00A67D5C" w:rsidRDefault="00E27F8E" w:rsidP="0066301C">
            <w:pPr>
              <w:rPr>
                <w:rFonts w:ascii="Arial" w:hAnsi="Arial" w:cs="Arial"/>
              </w:rPr>
            </w:pPr>
            <w:r>
              <w:rPr>
                <w:rFonts w:ascii="Arial" w:hAnsi="Arial" w:cs="Arial"/>
              </w:rPr>
              <w:t>-0.381</w:t>
            </w:r>
          </w:p>
        </w:tc>
        <w:tc>
          <w:tcPr>
            <w:tcW w:w="1702" w:type="dxa"/>
            <w:gridSpan w:val="2"/>
          </w:tcPr>
          <w:p w14:paraId="3B78E701" w14:textId="77777777" w:rsidR="00E27F8E" w:rsidRPr="00A67D5C" w:rsidRDefault="00E27F8E" w:rsidP="0066301C">
            <w:pPr>
              <w:rPr>
                <w:rFonts w:ascii="Arial" w:hAnsi="Arial" w:cs="Arial"/>
              </w:rPr>
            </w:pPr>
            <w:r>
              <w:rPr>
                <w:rFonts w:ascii="Arial" w:hAnsi="Arial" w:cs="Arial"/>
              </w:rPr>
              <w:t>0.1031</w:t>
            </w:r>
          </w:p>
        </w:tc>
        <w:tc>
          <w:tcPr>
            <w:tcW w:w="1701" w:type="dxa"/>
          </w:tcPr>
          <w:p w14:paraId="2842E50F" w14:textId="77777777" w:rsidR="00E27F8E" w:rsidRPr="00A67D5C" w:rsidRDefault="00E27F8E" w:rsidP="0066301C">
            <w:pPr>
              <w:rPr>
                <w:rFonts w:ascii="Arial" w:hAnsi="Arial" w:cs="Arial"/>
              </w:rPr>
            </w:pPr>
            <w:r>
              <w:rPr>
                <w:rFonts w:ascii="Arial" w:hAnsi="Arial" w:cs="Arial"/>
              </w:rPr>
              <w:t>-3.698</w:t>
            </w:r>
          </w:p>
        </w:tc>
        <w:tc>
          <w:tcPr>
            <w:tcW w:w="1701" w:type="dxa"/>
            <w:gridSpan w:val="2"/>
          </w:tcPr>
          <w:p w14:paraId="295A462B" w14:textId="77777777" w:rsidR="00E27F8E" w:rsidRPr="00A67D5C" w:rsidRDefault="00E27F8E" w:rsidP="0066301C">
            <w:pPr>
              <w:rPr>
                <w:rFonts w:ascii="Arial" w:hAnsi="Arial" w:cs="Arial"/>
              </w:rPr>
            </w:pPr>
            <w:r>
              <w:rPr>
                <w:rFonts w:ascii="Arial" w:hAnsi="Arial" w:cs="Arial"/>
              </w:rPr>
              <w:t>0.001</w:t>
            </w:r>
          </w:p>
        </w:tc>
      </w:tr>
      <w:tr w:rsidR="00E27F8E" w14:paraId="2C9343E5" w14:textId="77777777" w:rsidTr="004D74AB">
        <w:trPr>
          <w:trHeight w:val="288"/>
        </w:trPr>
        <w:tc>
          <w:tcPr>
            <w:tcW w:w="9493" w:type="dxa"/>
            <w:gridSpan w:val="7"/>
          </w:tcPr>
          <w:p w14:paraId="24A6C2FE" w14:textId="77777777" w:rsidR="00E27F8E" w:rsidRPr="000268D6" w:rsidRDefault="00E27F8E" w:rsidP="0066301C">
            <w:pPr>
              <w:jc w:val="center"/>
              <w:rPr>
                <w:rFonts w:ascii="Arial" w:hAnsi="Arial" w:cs="Arial"/>
                <w:b/>
                <w:bCs/>
              </w:rPr>
            </w:pPr>
            <w:r w:rsidRPr="000268D6">
              <w:rPr>
                <w:rFonts w:ascii="Arial" w:hAnsi="Arial" w:cs="Arial"/>
                <w:b/>
                <w:bCs/>
              </w:rPr>
              <w:t>Partner Netherlands</w:t>
            </w:r>
          </w:p>
        </w:tc>
      </w:tr>
      <w:tr w:rsidR="00E27F8E" w14:paraId="29C59CAA" w14:textId="77777777" w:rsidTr="004D74AB">
        <w:trPr>
          <w:trHeight w:val="288"/>
        </w:trPr>
        <w:tc>
          <w:tcPr>
            <w:tcW w:w="2969" w:type="dxa"/>
          </w:tcPr>
          <w:p w14:paraId="28A075D2" w14:textId="77777777" w:rsidR="00E27F8E" w:rsidRPr="000268D6" w:rsidRDefault="00E27F8E" w:rsidP="0066301C">
            <w:pPr>
              <w:jc w:val="center"/>
              <w:rPr>
                <w:rFonts w:ascii="Arial" w:hAnsi="Arial" w:cs="Arial"/>
                <w:b/>
                <w:bCs/>
              </w:rPr>
            </w:pPr>
            <w:r w:rsidRPr="000268D6">
              <w:rPr>
                <w:rFonts w:ascii="Arial" w:hAnsi="Arial" w:cs="Arial"/>
                <w:b/>
                <w:bCs/>
              </w:rPr>
              <w:t>Variable</w:t>
            </w:r>
          </w:p>
        </w:tc>
        <w:tc>
          <w:tcPr>
            <w:tcW w:w="1420" w:type="dxa"/>
          </w:tcPr>
          <w:p w14:paraId="2ED4B3A9" w14:textId="77777777" w:rsidR="00E27F8E" w:rsidRPr="000268D6" w:rsidRDefault="00E27F8E" w:rsidP="0066301C">
            <w:pPr>
              <w:jc w:val="center"/>
              <w:rPr>
                <w:rFonts w:ascii="Arial" w:hAnsi="Arial" w:cs="Arial"/>
                <w:b/>
                <w:bCs/>
              </w:rPr>
            </w:pPr>
            <w:r w:rsidRPr="000268D6">
              <w:rPr>
                <w:rFonts w:ascii="Arial" w:hAnsi="Arial" w:cs="Arial"/>
                <w:b/>
                <w:bCs/>
              </w:rPr>
              <w:t>Coefficient</w:t>
            </w:r>
          </w:p>
        </w:tc>
        <w:tc>
          <w:tcPr>
            <w:tcW w:w="1702" w:type="dxa"/>
            <w:gridSpan w:val="2"/>
          </w:tcPr>
          <w:p w14:paraId="30FD20FA" w14:textId="77777777" w:rsidR="00E27F8E" w:rsidRPr="000268D6" w:rsidRDefault="00E27F8E" w:rsidP="0066301C">
            <w:pPr>
              <w:jc w:val="center"/>
              <w:rPr>
                <w:rFonts w:ascii="Arial" w:hAnsi="Arial" w:cs="Arial"/>
                <w:b/>
                <w:bCs/>
              </w:rPr>
            </w:pPr>
            <w:r w:rsidRPr="000268D6">
              <w:rPr>
                <w:rFonts w:ascii="Arial" w:hAnsi="Arial" w:cs="Arial"/>
                <w:b/>
                <w:bCs/>
              </w:rPr>
              <w:t>Std. Error</w:t>
            </w:r>
          </w:p>
        </w:tc>
        <w:tc>
          <w:tcPr>
            <w:tcW w:w="1701" w:type="dxa"/>
          </w:tcPr>
          <w:p w14:paraId="79E6F4B4" w14:textId="77777777" w:rsidR="00E27F8E" w:rsidRPr="000268D6" w:rsidRDefault="00E27F8E" w:rsidP="0066301C">
            <w:pPr>
              <w:jc w:val="center"/>
              <w:rPr>
                <w:rFonts w:ascii="Arial" w:hAnsi="Arial" w:cs="Arial"/>
                <w:b/>
                <w:bCs/>
              </w:rPr>
            </w:pPr>
            <w:r w:rsidRPr="000268D6">
              <w:rPr>
                <w:rFonts w:ascii="Arial" w:hAnsi="Arial" w:cs="Arial"/>
                <w:b/>
                <w:bCs/>
              </w:rPr>
              <w:t>t-statistic</w:t>
            </w:r>
          </w:p>
        </w:tc>
        <w:tc>
          <w:tcPr>
            <w:tcW w:w="1701" w:type="dxa"/>
            <w:gridSpan w:val="2"/>
          </w:tcPr>
          <w:p w14:paraId="2C468E16" w14:textId="77777777" w:rsidR="00E27F8E" w:rsidRPr="000268D6" w:rsidRDefault="00E27F8E" w:rsidP="0066301C">
            <w:pPr>
              <w:jc w:val="center"/>
              <w:rPr>
                <w:rFonts w:ascii="Arial" w:hAnsi="Arial" w:cs="Arial"/>
                <w:b/>
                <w:bCs/>
              </w:rPr>
            </w:pPr>
            <w:r w:rsidRPr="000268D6">
              <w:rPr>
                <w:rFonts w:ascii="Arial" w:hAnsi="Arial" w:cs="Arial"/>
                <w:b/>
                <w:bCs/>
              </w:rPr>
              <w:t>Prob.</w:t>
            </w:r>
          </w:p>
        </w:tc>
      </w:tr>
      <w:tr w:rsidR="00E27F8E" w14:paraId="38B02FCB" w14:textId="77777777" w:rsidTr="004D74AB">
        <w:trPr>
          <w:trHeight w:val="288"/>
        </w:trPr>
        <w:tc>
          <w:tcPr>
            <w:tcW w:w="2969" w:type="dxa"/>
          </w:tcPr>
          <w:p w14:paraId="1D17E1DA" w14:textId="77777777" w:rsidR="00E27F8E" w:rsidRPr="000268D6" w:rsidRDefault="00E27F8E" w:rsidP="0066301C">
            <w:pPr>
              <w:rPr>
                <w:rFonts w:ascii="Arial" w:hAnsi="Arial" w:cs="Arial"/>
                <w:vertAlign w:val="subscript"/>
              </w:rPr>
            </w:pPr>
            <w:r w:rsidRPr="000268D6">
              <w:rPr>
                <w:rFonts w:ascii="Arial" w:hAnsi="Arial" w:cs="Arial"/>
              </w:rPr>
              <w:t>Dependent variable ∆LNTB</w:t>
            </w:r>
            <w:r w:rsidRPr="000268D6">
              <w:rPr>
                <w:rFonts w:ascii="Arial" w:hAnsi="Arial" w:cs="Arial"/>
                <w:vertAlign w:val="subscript"/>
              </w:rPr>
              <w:t>t</w:t>
            </w:r>
          </w:p>
        </w:tc>
        <w:tc>
          <w:tcPr>
            <w:tcW w:w="1420" w:type="dxa"/>
          </w:tcPr>
          <w:p w14:paraId="38403599" w14:textId="77777777" w:rsidR="00E27F8E" w:rsidRPr="000268D6" w:rsidRDefault="00E27F8E" w:rsidP="0066301C">
            <w:pPr>
              <w:rPr>
                <w:rFonts w:ascii="Arial" w:hAnsi="Arial" w:cs="Arial"/>
              </w:rPr>
            </w:pPr>
          </w:p>
        </w:tc>
        <w:tc>
          <w:tcPr>
            <w:tcW w:w="1702" w:type="dxa"/>
            <w:gridSpan w:val="2"/>
          </w:tcPr>
          <w:p w14:paraId="1254FA6A" w14:textId="77777777" w:rsidR="00E27F8E" w:rsidRPr="000268D6" w:rsidRDefault="00E27F8E" w:rsidP="0066301C">
            <w:pPr>
              <w:rPr>
                <w:rFonts w:ascii="Arial" w:hAnsi="Arial" w:cs="Arial"/>
              </w:rPr>
            </w:pPr>
          </w:p>
        </w:tc>
        <w:tc>
          <w:tcPr>
            <w:tcW w:w="1701" w:type="dxa"/>
          </w:tcPr>
          <w:p w14:paraId="61176117" w14:textId="77777777" w:rsidR="00E27F8E" w:rsidRPr="000268D6" w:rsidRDefault="00E27F8E" w:rsidP="0066301C">
            <w:pPr>
              <w:rPr>
                <w:rFonts w:ascii="Arial" w:hAnsi="Arial" w:cs="Arial"/>
              </w:rPr>
            </w:pPr>
          </w:p>
        </w:tc>
        <w:tc>
          <w:tcPr>
            <w:tcW w:w="1701" w:type="dxa"/>
            <w:gridSpan w:val="2"/>
          </w:tcPr>
          <w:p w14:paraId="58F48C1E" w14:textId="77777777" w:rsidR="00E27F8E" w:rsidRPr="000268D6" w:rsidRDefault="00E27F8E" w:rsidP="0066301C">
            <w:pPr>
              <w:rPr>
                <w:rFonts w:ascii="Arial" w:hAnsi="Arial" w:cs="Arial"/>
              </w:rPr>
            </w:pPr>
          </w:p>
        </w:tc>
      </w:tr>
      <w:tr w:rsidR="00E27F8E" w14:paraId="26B93483" w14:textId="77777777" w:rsidTr="004D74AB">
        <w:trPr>
          <w:trHeight w:val="301"/>
        </w:trPr>
        <w:tc>
          <w:tcPr>
            <w:tcW w:w="2969" w:type="dxa"/>
          </w:tcPr>
          <w:p w14:paraId="5A2650DE" w14:textId="77777777" w:rsidR="00E27F8E" w:rsidRPr="000268D6" w:rsidRDefault="00E27F8E" w:rsidP="0066301C">
            <w:pPr>
              <w:rPr>
                <w:rFonts w:ascii="Arial" w:hAnsi="Arial" w:cs="Arial"/>
                <w:b/>
                <w:bCs/>
              </w:rPr>
            </w:pPr>
            <w:r w:rsidRPr="000268D6">
              <w:rPr>
                <w:rFonts w:ascii="Arial" w:hAnsi="Arial" w:cs="Arial"/>
                <w:b/>
                <w:bCs/>
              </w:rPr>
              <w:t>Long-run elasticities</w:t>
            </w:r>
          </w:p>
        </w:tc>
        <w:tc>
          <w:tcPr>
            <w:tcW w:w="1420" w:type="dxa"/>
          </w:tcPr>
          <w:p w14:paraId="0AF9317D" w14:textId="77777777" w:rsidR="00E27F8E" w:rsidRPr="000268D6" w:rsidRDefault="00E27F8E" w:rsidP="0066301C">
            <w:pPr>
              <w:rPr>
                <w:rFonts w:ascii="Arial" w:hAnsi="Arial" w:cs="Arial"/>
              </w:rPr>
            </w:pPr>
          </w:p>
        </w:tc>
        <w:tc>
          <w:tcPr>
            <w:tcW w:w="1702" w:type="dxa"/>
            <w:gridSpan w:val="2"/>
          </w:tcPr>
          <w:p w14:paraId="14EC3DE9" w14:textId="77777777" w:rsidR="00E27F8E" w:rsidRPr="000268D6" w:rsidRDefault="00E27F8E" w:rsidP="0066301C">
            <w:pPr>
              <w:rPr>
                <w:rFonts w:ascii="Arial" w:hAnsi="Arial" w:cs="Arial"/>
              </w:rPr>
            </w:pPr>
          </w:p>
        </w:tc>
        <w:tc>
          <w:tcPr>
            <w:tcW w:w="1701" w:type="dxa"/>
          </w:tcPr>
          <w:p w14:paraId="460FE1A5" w14:textId="77777777" w:rsidR="00E27F8E" w:rsidRPr="000268D6" w:rsidRDefault="00E27F8E" w:rsidP="0066301C">
            <w:pPr>
              <w:rPr>
                <w:rFonts w:ascii="Arial" w:hAnsi="Arial" w:cs="Arial"/>
              </w:rPr>
            </w:pPr>
          </w:p>
        </w:tc>
        <w:tc>
          <w:tcPr>
            <w:tcW w:w="1701" w:type="dxa"/>
            <w:gridSpan w:val="2"/>
          </w:tcPr>
          <w:p w14:paraId="6A505426" w14:textId="77777777" w:rsidR="00E27F8E" w:rsidRPr="000268D6" w:rsidRDefault="00E27F8E" w:rsidP="0066301C">
            <w:pPr>
              <w:rPr>
                <w:rFonts w:ascii="Arial" w:hAnsi="Arial" w:cs="Arial"/>
              </w:rPr>
            </w:pPr>
          </w:p>
        </w:tc>
      </w:tr>
      <w:tr w:rsidR="00E27F8E" w14:paraId="7935EB59" w14:textId="77777777" w:rsidTr="004D74AB">
        <w:trPr>
          <w:trHeight w:val="288"/>
        </w:trPr>
        <w:tc>
          <w:tcPr>
            <w:tcW w:w="2969" w:type="dxa"/>
          </w:tcPr>
          <w:p w14:paraId="2A203EFD" w14:textId="77777777" w:rsidR="00E27F8E" w:rsidRPr="000268D6" w:rsidRDefault="00E27F8E" w:rsidP="0066301C">
            <w:pPr>
              <w:rPr>
                <w:rFonts w:ascii="Arial" w:hAnsi="Arial" w:cs="Arial"/>
              </w:rPr>
            </w:pPr>
            <w:r w:rsidRPr="000268D6">
              <w:rPr>
                <w:rFonts w:ascii="Arial" w:hAnsi="Arial" w:cs="Arial"/>
              </w:rPr>
              <w:lastRenderedPageBreak/>
              <w:t>C</w:t>
            </w:r>
          </w:p>
        </w:tc>
        <w:tc>
          <w:tcPr>
            <w:tcW w:w="1420" w:type="dxa"/>
          </w:tcPr>
          <w:p w14:paraId="321D28A2" w14:textId="77777777" w:rsidR="00E27F8E" w:rsidRPr="000268D6" w:rsidRDefault="00E27F8E" w:rsidP="0066301C">
            <w:pPr>
              <w:rPr>
                <w:rFonts w:ascii="Arial" w:hAnsi="Arial" w:cs="Arial"/>
              </w:rPr>
            </w:pPr>
            <w:r>
              <w:rPr>
                <w:rFonts w:ascii="Arial" w:hAnsi="Arial" w:cs="Arial"/>
              </w:rPr>
              <w:t>-1.223</w:t>
            </w:r>
          </w:p>
        </w:tc>
        <w:tc>
          <w:tcPr>
            <w:tcW w:w="1702" w:type="dxa"/>
            <w:gridSpan w:val="2"/>
          </w:tcPr>
          <w:p w14:paraId="23AC9596" w14:textId="77777777" w:rsidR="00E27F8E" w:rsidRPr="000268D6" w:rsidRDefault="00E27F8E" w:rsidP="0066301C">
            <w:pPr>
              <w:rPr>
                <w:rFonts w:ascii="Arial" w:hAnsi="Arial" w:cs="Arial"/>
              </w:rPr>
            </w:pPr>
            <w:r>
              <w:rPr>
                <w:rFonts w:ascii="Arial" w:hAnsi="Arial" w:cs="Arial"/>
              </w:rPr>
              <w:t>3.784</w:t>
            </w:r>
          </w:p>
        </w:tc>
        <w:tc>
          <w:tcPr>
            <w:tcW w:w="1701" w:type="dxa"/>
          </w:tcPr>
          <w:p w14:paraId="2EF360F4" w14:textId="77777777" w:rsidR="00E27F8E" w:rsidRPr="000268D6" w:rsidRDefault="00E27F8E" w:rsidP="0066301C">
            <w:pPr>
              <w:rPr>
                <w:rFonts w:ascii="Arial" w:hAnsi="Arial" w:cs="Arial"/>
              </w:rPr>
            </w:pPr>
            <w:r>
              <w:rPr>
                <w:rFonts w:ascii="Arial" w:hAnsi="Arial" w:cs="Arial"/>
              </w:rPr>
              <w:t>-0.323</w:t>
            </w:r>
          </w:p>
        </w:tc>
        <w:tc>
          <w:tcPr>
            <w:tcW w:w="1701" w:type="dxa"/>
            <w:gridSpan w:val="2"/>
          </w:tcPr>
          <w:p w14:paraId="49DB32BA" w14:textId="77777777" w:rsidR="00E27F8E" w:rsidRPr="000268D6" w:rsidRDefault="00E27F8E" w:rsidP="0066301C">
            <w:pPr>
              <w:rPr>
                <w:rFonts w:ascii="Arial" w:hAnsi="Arial" w:cs="Arial"/>
              </w:rPr>
            </w:pPr>
            <w:r>
              <w:rPr>
                <w:rFonts w:ascii="Arial" w:hAnsi="Arial" w:cs="Arial"/>
              </w:rPr>
              <w:t>0.749</w:t>
            </w:r>
          </w:p>
        </w:tc>
      </w:tr>
      <w:tr w:rsidR="00E27F8E" w14:paraId="13001DE0" w14:textId="77777777" w:rsidTr="004D74AB">
        <w:trPr>
          <w:trHeight w:val="288"/>
        </w:trPr>
        <w:tc>
          <w:tcPr>
            <w:tcW w:w="2969" w:type="dxa"/>
          </w:tcPr>
          <w:p w14:paraId="2492B71C" w14:textId="77777777" w:rsidR="00E27F8E" w:rsidRPr="000268D6" w:rsidRDefault="00E27F8E" w:rsidP="0066301C">
            <w:pPr>
              <w:rPr>
                <w:rFonts w:ascii="Arial" w:hAnsi="Arial" w:cs="Arial"/>
              </w:rPr>
            </w:pPr>
            <w:r w:rsidRPr="000268D6">
              <w:rPr>
                <w:rFonts w:ascii="Arial" w:hAnsi="Arial" w:cs="Arial"/>
              </w:rPr>
              <w:t>LNREER</w:t>
            </w:r>
          </w:p>
        </w:tc>
        <w:tc>
          <w:tcPr>
            <w:tcW w:w="1420" w:type="dxa"/>
          </w:tcPr>
          <w:p w14:paraId="2B8777BA" w14:textId="77777777" w:rsidR="00E27F8E" w:rsidRPr="000268D6" w:rsidRDefault="00E27F8E" w:rsidP="0066301C">
            <w:pPr>
              <w:rPr>
                <w:rFonts w:ascii="Arial" w:hAnsi="Arial" w:cs="Arial"/>
              </w:rPr>
            </w:pPr>
            <w:r>
              <w:rPr>
                <w:rFonts w:ascii="Arial" w:hAnsi="Arial" w:cs="Arial"/>
              </w:rPr>
              <w:t>-0.305</w:t>
            </w:r>
          </w:p>
        </w:tc>
        <w:tc>
          <w:tcPr>
            <w:tcW w:w="1702" w:type="dxa"/>
            <w:gridSpan w:val="2"/>
          </w:tcPr>
          <w:p w14:paraId="0708EA26" w14:textId="77777777" w:rsidR="00E27F8E" w:rsidRPr="000268D6" w:rsidRDefault="00E27F8E" w:rsidP="0066301C">
            <w:pPr>
              <w:rPr>
                <w:rFonts w:ascii="Arial" w:hAnsi="Arial" w:cs="Arial"/>
              </w:rPr>
            </w:pPr>
            <w:r>
              <w:rPr>
                <w:rFonts w:ascii="Arial" w:hAnsi="Arial" w:cs="Arial"/>
              </w:rPr>
              <w:t>0.356</w:t>
            </w:r>
          </w:p>
        </w:tc>
        <w:tc>
          <w:tcPr>
            <w:tcW w:w="1701" w:type="dxa"/>
          </w:tcPr>
          <w:p w14:paraId="7C0B6388" w14:textId="77777777" w:rsidR="00E27F8E" w:rsidRPr="000268D6" w:rsidRDefault="00E27F8E" w:rsidP="0066301C">
            <w:pPr>
              <w:rPr>
                <w:rFonts w:ascii="Arial" w:hAnsi="Arial" w:cs="Arial"/>
              </w:rPr>
            </w:pPr>
            <w:r>
              <w:rPr>
                <w:rFonts w:ascii="Arial" w:hAnsi="Arial" w:cs="Arial"/>
              </w:rPr>
              <w:t>-0.859</w:t>
            </w:r>
          </w:p>
        </w:tc>
        <w:tc>
          <w:tcPr>
            <w:tcW w:w="1701" w:type="dxa"/>
            <w:gridSpan w:val="2"/>
          </w:tcPr>
          <w:p w14:paraId="5BF64D4B" w14:textId="77777777" w:rsidR="00E27F8E" w:rsidRPr="000268D6" w:rsidRDefault="00E27F8E" w:rsidP="0066301C">
            <w:pPr>
              <w:rPr>
                <w:rFonts w:ascii="Arial" w:hAnsi="Arial" w:cs="Arial"/>
              </w:rPr>
            </w:pPr>
            <w:r>
              <w:rPr>
                <w:rFonts w:ascii="Arial" w:hAnsi="Arial" w:cs="Arial"/>
              </w:rPr>
              <w:t>0.397</w:t>
            </w:r>
          </w:p>
        </w:tc>
      </w:tr>
      <w:tr w:rsidR="00E27F8E" w14:paraId="6E3E96D0" w14:textId="77777777" w:rsidTr="004D74AB">
        <w:trPr>
          <w:trHeight w:val="288"/>
        </w:trPr>
        <w:tc>
          <w:tcPr>
            <w:tcW w:w="2969" w:type="dxa"/>
          </w:tcPr>
          <w:p w14:paraId="0686D5DF" w14:textId="77777777" w:rsidR="00E27F8E" w:rsidRPr="000268D6" w:rsidRDefault="00E27F8E" w:rsidP="0066301C">
            <w:pPr>
              <w:rPr>
                <w:rFonts w:ascii="Arial" w:hAnsi="Arial" w:cs="Arial"/>
              </w:rPr>
            </w:pPr>
            <w:r w:rsidRPr="000268D6">
              <w:rPr>
                <w:rFonts w:ascii="Arial" w:hAnsi="Arial" w:cs="Arial"/>
              </w:rPr>
              <w:t>LNDI</w:t>
            </w:r>
          </w:p>
        </w:tc>
        <w:tc>
          <w:tcPr>
            <w:tcW w:w="1420" w:type="dxa"/>
          </w:tcPr>
          <w:p w14:paraId="7DC78807" w14:textId="77777777" w:rsidR="00E27F8E" w:rsidRPr="000268D6" w:rsidRDefault="00E27F8E" w:rsidP="0066301C">
            <w:pPr>
              <w:rPr>
                <w:rFonts w:ascii="Arial" w:hAnsi="Arial" w:cs="Arial"/>
              </w:rPr>
            </w:pPr>
            <w:r>
              <w:rPr>
                <w:rFonts w:ascii="Arial" w:hAnsi="Arial" w:cs="Arial"/>
              </w:rPr>
              <w:t>-0.088</w:t>
            </w:r>
          </w:p>
        </w:tc>
        <w:tc>
          <w:tcPr>
            <w:tcW w:w="1702" w:type="dxa"/>
            <w:gridSpan w:val="2"/>
          </w:tcPr>
          <w:p w14:paraId="6ABA6156" w14:textId="77777777" w:rsidR="00E27F8E" w:rsidRPr="000268D6" w:rsidRDefault="00E27F8E" w:rsidP="0066301C">
            <w:pPr>
              <w:rPr>
                <w:rFonts w:ascii="Arial" w:hAnsi="Arial" w:cs="Arial"/>
              </w:rPr>
            </w:pPr>
            <w:r>
              <w:rPr>
                <w:rFonts w:ascii="Arial" w:hAnsi="Arial" w:cs="Arial"/>
              </w:rPr>
              <w:t>0.248</w:t>
            </w:r>
          </w:p>
        </w:tc>
        <w:tc>
          <w:tcPr>
            <w:tcW w:w="1701" w:type="dxa"/>
          </w:tcPr>
          <w:p w14:paraId="0B35168F" w14:textId="77777777" w:rsidR="00E27F8E" w:rsidRPr="000268D6" w:rsidRDefault="00E27F8E" w:rsidP="0066301C">
            <w:pPr>
              <w:rPr>
                <w:rFonts w:ascii="Arial" w:hAnsi="Arial" w:cs="Arial"/>
              </w:rPr>
            </w:pPr>
            <w:r>
              <w:rPr>
                <w:rFonts w:ascii="Arial" w:hAnsi="Arial" w:cs="Arial"/>
              </w:rPr>
              <w:t>-0.354</w:t>
            </w:r>
          </w:p>
        </w:tc>
        <w:tc>
          <w:tcPr>
            <w:tcW w:w="1701" w:type="dxa"/>
            <w:gridSpan w:val="2"/>
          </w:tcPr>
          <w:p w14:paraId="0EAF1829" w14:textId="77777777" w:rsidR="00E27F8E" w:rsidRPr="000268D6" w:rsidRDefault="00E27F8E" w:rsidP="0066301C">
            <w:pPr>
              <w:rPr>
                <w:rFonts w:ascii="Arial" w:hAnsi="Arial" w:cs="Arial"/>
              </w:rPr>
            </w:pPr>
            <w:r>
              <w:rPr>
                <w:rFonts w:ascii="Arial" w:hAnsi="Arial" w:cs="Arial"/>
              </w:rPr>
              <w:t>0.725</w:t>
            </w:r>
          </w:p>
        </w:tc>
      </w:tr>
      <w:tr w:rsidR="00E27F8E" w14:paraId="56E1EEC0" w14:textId="77777777" w:rsidTr="004D74AB">
        <w:trPr>
          <w:trHeight w:val="288"/>
        </w:trPr>
        <w:tc>
          <w:tcPr>
            <w:tcW w:w="2969" w:type="dxa"/>
          </w:tcPr>
          <w:p w14:paraId="722C930F" w14:textId="77777777" w:rsidR="00E27F8E" w:rsidRPr="000268D6" w:rsidRDefault="00E27F8E" w:rsidP="0066301C">
            <w:pPr>
              <w:rPr>
                <w:rFonts w:ascii="Arial" w:hAnsi="Arial" w:cs="Arial"/>
              </w:rPr>
            </w:pPr>
            <w:r w:rsidRPr="000268D6">
              <w:rPr>
                <w:rFonts w:ascii="Arial" w:hAnsi="Arial" w:cs="Arial"/>
              </w:rPr>
              <w:t>LNNETHERLANDFI</w:t>
            </w:r>
          </w:p>
        </w:tc>
        <w:tc>
          <w:tcPr>
            <w:tcW w:w="1420" w:type="dxa"/>
          </w:tcPr>
          <w:p w14:paraId="33129D10" w14:textId="77777777" w:rsidR="00E27F8E" w:rsidRPr="000268D6" w:rsidRDefault="00E27F8E" w:rsidP="0066301C">
            <w:pPr>
              <w:rPr>
                <w:rFonts w:ascii="Arial" w:hAnsi="Arial" w:cs="Arial"/>
              </w:rPr>
            </w:pPr>
            <w:r>
              <w:rPr>
                <w:rFonts w:ascii="Arial" w:hAnsi="Arial" w:cs="Arial"/>
              </w:rPr>
              <w:t>0.225</w:t>
            </w:r>
          </w:p>
        </w:tc>
        <w:tc>
          <w:tcPr>
            <w:tcW w:w="1702" w:type="dxa"/>
            <w:gridSpan w:val="2"/>
          </w:tcPr>
          <w:p w14:paraId="6C2036F7" w14:textId="77777777" w:rsidR="00E27F8E" w:rsidRPr="000268D6" w:rsidRDefault="00E27F8E" w:rsidP="0066301C">
            <w:pPr>
              <w:rPr>
                <w:rFonts w:ascii="Arial" w:hAnsi="Arial" w:cs="Arial"/>
              </w:rPr>
            </w:pPr>
            <w:r>
              <w:rPr>
                <w:rFonts w:ascii="Arial" w:hAnsi="Arial" w:cs="Arial"/>
              </w:rPr>
              <w:t>0.359</w:t>
            </w:r>
          </w:p>
        </w:tc>
        <w:tc>
          <w:tcPr>
            <w:tcW w:w="1701" w:type="dxa"/>
          </w:tcPr>
          <w:p w14:paraId="2AE99EDD" w14:textId="77777777" w:rsidR="00E27F8E" w:rsidRPr="000268D6" w:rsidRDefault="00E27F8E" w:rsidP="0066301C">
            <w:pPr>
              <w:rPr>
                <w:rFonts w:ascii="Arial" w:hAnsi="Arial" w:cs="Arial"/>
              </w:rPr>
            </w:pPr>
            <w:r>
              <w:rPr>
                <w:rFonts w:ascii="Arial" w:hAnsi="Arial" w:cs="Arial"/>
              </w:rPr>
              <w:t>0.636</w:t>
            </w:r>
          </w:p>
        </w:tc>
        <w:tc>
          <w:tcPr>
            <w:tcW w:w="1701" w:type="dxa"/>
            <w:gridSpan w:val="2"/>
          </w:tcPr>
          <w:p w14:paraId="5F8044F2" w14:textId="77777777" w:rsidR="00E27F8E" w:rsidRPr="000268D6" w:rsidRDefault="00E27F8E" w:rsidP="0066301C">
            <w:pPr>
              <w:rPr>
                <w:rFonts w:ascii="Arial" w:hAnsi="Arial" w:cs="Arial"/>
              </w:rPr>
            </w:pPr>
            <w:r>
              <w:rPr>
                <w:rFonts w:ascii="Arial" w:hAnsi="Arial" w:cs="Arial"/>
              </w:rPr>
              <w:t>0.536</w:t>
            </w:r>
          </w:p>
        </w:tc>
      </w:tr>
      <w:tr w:rsidR="00E27F8E" w14:paraId="77F0CFDD" w14:textId="77777777" w:rsidTr="004D74AB">
        <w:trPr>
          <w:trHeight w:val="288"/>
        </w:trPr>
        <w:tc>
          <w:tcPr>
            <w:tcW w:w="2969" w:type="dxa"/>
          </w:tcPr>
          <w:p w14:paraId="349118BD" w14:textId="77777777" w:rsidR="00E27F8E" w:rsidRPr="000268D6" w:rsidRDefault="00E27F8E" w:rsidP="0066301C">
            <w:pPr>
              <w:rPr>
                <w:rFonts w:ascii="Arial" w:hAnsi="Arial" w:cs="Arial"/>
              </w:rPr>
            </w:pPr>
            <w:r w:rsidRPr="000268D6">
              <w:rPr>
                <w:rFonts w:ascii="Arial" w:hAnsi="Arial" w:cs="Arial"/>
                <w:b/>
                <w:bCs/>
              </w:rPr>
              <w:t>Short-run elasticities</w:t>
            </w:r>
          </w:p>
        </w:tc>
        <w:tc>
          <w:tcPr>
            <w:tcW w:w="1420" w:type="dxa"/>
          </w:tcPr>
          <w:p w14:paraId="3D6ECE19" w14:textId="77777777" w:rsidR="00E27F8E" w:rsidRPr="000268D6" w:rsidRDefault="00E27F8E" w:rsidP="0066301C">
            <w:pPr>
              <w:rPr>
                <w:rFonts w:ascii="Arial" w:hAnsi="Arial" w:cs="Arial"/>
              </w:rPr>
            </w:pPr>
          </w:p>
        </w:tc>
        <w:tc>
          <w:tcPr>
            <w:tcW w:w="1702" w:type="dxa"/>
            <w:gridSpan w:val="2"/>
          </w:tcPr>
          <w:p w14:paraId="5EE55AD7" w14:textId="77777777" w:rsidR="00E27F8E" w:rsidRPr="000268D6" w:rsidRDefault="00E27F8E" w:rsidP="0066301C">
            <w:pPr>
              <w:rPr>
                <w:rFonts w:ascii="Arial" w:hAnsi="Arial" w:cs="Arial"/>
              </w:rPr>
            </w:pPr>
          </w:p>
        </w:tc>
        <w:tc>
          <w:tcPr>
            <w:tcW w:w="1701" w:type="dxa"/>
          </w:tcPr>
          <w:p w14:paraId="1FDAC811" w14:textId="77777777" w:rsidR="00E27F8E" w:rsidRPr="000268D6" w:rsidRDefault="00E27F8E" w:rsidP="0066301C">
            <w:pPr>
              <w:rPr>
                <w:rFonts w:ascii="Arial" w:hAnsi="Arial" w:cs="Arial"/>
              </w:rPr>
            </w:pPr>
          </w:p>
        </w:tc>
        <w:tc>
          <w:tcPr>
            <w:tcW w:w="1701" w:type="dxa"/>
            <w:gridSpan w:val="2"/>
          </w:tcPr>
          <w:p w14:paraId="273A057A" w14:textId="77777777" w:rsidR="00E27F8E" w:rsidRPr="000268D6" w:rsidRDefault="00E27F8E" w:rsidP="0066301C">
            <w:pPr>
              <w:rPr>
                <w:rFonts w:ascii="Arial" w:hAnsi="Arial" w:cs="Arial"/>
              </w:rPr>
            </w:pPr>
          </w:p>
        </w:tc>
      </w:tr>
      <w:tr w:rsidR="00E27F8E" w14:paraId="3EF8B613" w14:textId="77777777" w:rsidTr="004D74AB">
        <w:trPr>
          <w:trHeight w:val="288"/>
        </w:trPr>
        <w:tc>
          <w:tcPr>
            <w:tcW w:w="2969" w:type="dxa"/>
          </w:tcPr>
          <w:p w14:paraId="6C635A7A" w14:textId="77777777" w:rsidR="00E27F8E" w:rsidRPr="000268D6" w:rsidRDefault="00E27F8E" w:rsidP="0066301C">
            <w:pPr>
              <w:rPr>
                <w:rFonts w:ascii="Arial" w:hAnsi="Arial" w:cs="Arial"/>
              </w:rPr>
            </w:pPr>
            <w:r w:rsidRPr="000268D6">
              <w:rPr>
                <w:rFonts w:ascii="Arial" w:hAnsi="Arial" w:cs="Arial"/>
              </w:rPr>
              <w:t>C</w:t>
            </w:r>
          </w:p>
        </w:tc>
        <w:tc>
          <w:tcPr>
            <w:tcW w:w="1420" w:type="dxa"/>
          </w:tcPr>
          <w:p w14:paraId="3A92EAA3" w14:textId="77777777" w:rsidR="00E27F8E" w:rsidRPr="000268D6" w:rsidRDefault="00E27F8E" w:rsidP="0066301C">
            <w:pPr>
              <w:rPr>
                <w:rFonts w:ascii="Arial" w:hAnsi="Arial" w:cs="Arial"/>
              </w:rPr>
            </w:pPr>
            <w:r>
              <w:rPr>
                <w:rFonts w:ascii="Arial" w:hAnsi="Arial" w:cs="Arial"/>
              </w:rPr>
              <w:t>-1.222</w:t>
            </w:r>
          </w:p>
        </w:tc>
        <w:tc>
          <w:tcPr>
            <w:tcW w:w="1702" w:type="dxa"/>
            <w:gridSpan w:val="2"/>
          </w:tcPr>
          <w:p w14:paraId="314053D8" w14:textId="77777777" w:rsidR="00E27F8E" w:rsidRPr="000268D6" w:rsidRDefault="00E27F8E" w:rsidP="0066301C">
            <w:pPr>
              <w:rPr>
                <w:rFonts w:ascii="Arial" w:hAnsi="Arial" w:cs="Arial"/>
              </w:rPr>
            </w:pPr>
            <w:r>
              <w:rPr>
                <w:rFonts w:ascii="Arial" w:hAnsi="Arial" w:cs="Arial"/>
              </w:rPr>
              <w:t>0.216</w:t>
            </w:r>
          </w:p>
        </w:tc>
        <w:tc>
          <w:tcPr>
            <w:tcW w:w="1701" w:type="dxa"/>
          </w:tcPr>
          <w:p w14:paraId="0BDD5D23" w14:textId="77777777" w:rsidR="00E27F8E" w:rsidRPr="000268D6" w:rsidRDefault="00E27F8E" w:rsidP="0066301C">
            <w:pPr>
              <w:rPr>
                <w:rFonts w:ascii="Arial" w:hAnsi="Arial" w:cs="Arial"/>
              </w:rPr>
            </w:pPr>
            <w:r>
              <w:rPr>
                <w:rFonts w:ascii="Arial" w:hAnsi="Arial" w:cs="Arial"/>
              </w:rPr>
              <w:t>-5.664</w:t>
            </w:r>
          </w:p>
        </w:tc>
        <w:tc>
          <w:tcPr>
            <w:tcW w:w="1701" w:type="dxa"/>
            <w:gridSpan w:val="2"/>
          </w:tcPr>
          <w:p w14:paraId="464ACF1F" w14:textId="77777777" w:rsidR="00E27F8E" w:rsidRPr="000268D6" w:rsidRDefault="00E27F8E" w:rsidP="0066301C">
            <w:pPr>
              <w:rPr>
                <w:rFonts w:ascii="Arial" w:hAnsi="Arial" w:cs="Arial"/>
              </w:rPr>
            </w:pPr>
            <w:r>
              <w:rPr>
                <w:rFonts w:ascii="Arial" w:hAnsi="Arial" w:cs="Arial"/>
              </w:rPr>
              <w:t>0.000</w:t>
            </w:r>
          </w:p>
        </w:tc>
      </w:tr>
      <w:tr w:rsidR="00E27F8E" w14:paraId="1D9F54F9" w14:textId="77777777" w:rsidTr="004D74AB">
        <w:trPr>
          <w:trHeight w:val="288"/>
        </w:trPr>
        <w:tc>
          <w:tcPr>
            <w:tcW w:w="2969" w:type="dxa"/>
          </w:tcPr>
          <w:p w14:paraId="666DBA43" w14:textId="77777777" w:rsidR="00E27F8E" w:rsidRPr="000268D6" w:rsidRDefault="00E27F8E" w:rsidP="0066301C">
            <w:pPr>
              <w:rPr>
                <w:rFonts w:ascii="Arial" w:hAnsi="Arial" w:cs="Arial"/>
              </w:rPr>
            </w:pPr>
            <w:r w:rsidRPr="000268D6">
              <w:rPr>
                <w:rFonts w:ascii="Arial" w:hAnsi="Arial" w:cs="Arial"/>
              </w:rPr>
              <w:t>∆LNDI</w:t>
            </w:r>
          </w:p>
        </w:tc>
        <w:tc>
          <w:tcPr>
            <w:tcW w:w="1420" w:type="dxa"/>
          </w:tcPr>
          <w:p w14:paraId="1A8F817F" w14:textId="77777777" w:rsidR="00E27F8E" w:rsidRPr="000268D6" w:rsidRDefault="00E27F8E" w:rsidP="0066301C">
            <w:pPr>
              <w:rPr>
                <w:rFonts w:ascii="Arial" w:hAnsi="Arial" w:cs="Arial"/>
              </w:rPr>
            </w:pPr>
            <w:r>
              <w:rPr>
                <w:rFonts w:ascii="Arial" w:hAnsi="Arial" w:cs="Arial"/>
              </w:rPr>
              <w:t>0.966</w:t>
            </w:r>
          </w:p>
        </w:tc>
        <w:tc>
          <w:tcPr>
            <w:tcW w:w="1702" w:type="dxa"/>
            <w:gridSpan w:val="2"/>
          </w:tcPr>
          <w:p w14:paraId="0E67A0DC" w14:textId="77777777" w:rsidR="00E27F8E" w:rsidRPr="000268D6" w:rsidRDefault="00E27F8E" w:rsidP="0066301C">
            <w:pPr>
              <w:rPr>
                <w:rFonts w:ascii="Arial" w:hAnsi="Arial" w:cs="Arial"/>
              </w:rPr>
            </w:pPr>
            <w:r>
              <w:rPr>
                <w:rFonts w:ascii="Arial" w:hAnsi="Arial" w:cs="Arial"/>
              </w:rPr>
              <w:t>0.195</w:t>
            </w:r>
          </w:p>
        </w:tc>
        <w:tc>
          <w:tcPr>
            <w:tcW w:w="1701" w:type="dxa"/>
          </w:tcPr>
          <w:p w14:paraId="3892C27B" w14:textId="77777777" w:rsidR="00E27F8E" w:rsidRPr="000268D6" w:rsidRDefault="00E27F8E" w:rsidP="0066301C">
            <w:pPr>
              <w:rPr>
                <w:rFonts w:ascii="Arial" w:hAnsi="Arial" w:cs="Arial"/>
              </w:rPr>
            </w:pPr>
            <w:r>
              <w:rPr>
                <w:rFonts w:ascii="Arial" w:hAnsi="Arial" w:cs="Arial"/>
              </w:rPr>
              <w:t>4.953</w:t>
            </w:r>
          </w:p>
        </w:tc>
        <w:tc>
          <w:tcPr>
            <w:tcW w:w="1701" w:type="dxa"/>
            <w:gridSpan w:val="2"/>
          </w:tcPr>
          <w:p w14:paraId="713BC91D" w14:textId="77777777" w:rsidR="00E27F8E" w:rsidRPr="000268D6" w:rsidRDefault="00E27F8E" w:rsidP="0066301C">
            <w:pPr>
              <w:rPr>
                <w:rFonts w:ascii="Arial" w:hAnsi="Arial" w:cs="Arial"/>
              </w:rPr>
            </w:pPr>
            <w:r>
              <w:rPr>
                <w:rFonts w:ascii="Arial" w:hAnsi="Arial" w:cs="Arial"/>
              </w:rPr>
              <w:t>0.000</w:t>
            </w:r>
          </w:p>
        </w:tc>
      </w:tr>
      <w:tr w:rsidR="00E27F8E" w14:paraId="1A54DD56" w14:textId="77777777" w:rsidTr="004D74AB">
        <w:trPr>
          <w:trHeight w:val="288"/>
        </w:trPr>
        <w:tc>
          <w:tcPr>
            <w:tcW w:w="2969" w:type="dxa"/>
          </w:tcPr>
          <w:p w14:paraId="048B9C9E" w14:textId="77777777" w:rsidR="00E27F8E" w:rsidRPr="000268D6" w:rsidRDefault="00E27F8E" w:rsidP="0066301C">
            <w:pPr>
              <w:rPr>
                <w:rFonts w:ascii="Arial" w:hAnsi="Arial" w:cs="Arial"/>
              </w:rPr>
            </w:pPr>
            <w:r w:rsidRPr="000268D6">
              <w:rPr>
                <w:rFonts w:ascii="Arial" w:hAnsi="Arial" w:cs="Arial"/>
              </w:rPr>
              <w:t>∆LNNETHERLANDFI</w:t>
            </w:r>
          </w:p>
        </w:tc>
        <w:tc>
          <w:tcPr>
            <w:tcW w:w="1420" w:type="dxa"/>
          </w:tcPr>
          <w:p w14:paraId="7B0409CD" w14:textId="77777777" w:rsidR="00E27F8E" w:rsidRPr="000268D6" w:rsidRDefault="00E27F8E" w:rsidP="0066301C">
            <w:pPr>
              <w:rPr>
                <w:rFonts w:ascii="Arial" w:hAnsi="Arial" w:cs="Arial"/>
              </w:rPr>
            </w:pPr>
            <w:r>
              <w:rPr>
                <w:rFonts w:ascii="Arial" w:hAnsi="Arial" w:cs="Arial"/>
              </w:rPr>
              <w:t>-0.945</w:t>
            </w:r>
          </w:p>
        </w:tc>
        <w:tc>
          <w:tcPr>
            <w:tcW w:w="1702" w:type="dxa"/>
            <w:gridSpan w:val="2"/>
          </w:tcPr>
          <w:p w14:paraId="64F8E459" w14:textId="77777777" w:rsidR="00E27F8E" w:rsidRPr="000268D6" w:rsidRDefault="00E27F8E" w:rsidP="0066301C">
            <w:pPr>
              <w:rPr>
                <w:rFonts w:ascii="Arial" w:hAnsi="Arial" w:cs="Arial"/>
              </w:rPr>
            </w:pPr>
            <w:r>
              <w:rPr>
                <w:rFonts w:ascii="Arial" w:hAnsi="Arial" w:cs="Arial"/>
              </w:rPr>
              <w:t>0.274</w:t>
            </w:r>
          </w:p>
        </w:tc>
        <w:tc>
          <w:tcPr>
            <w:tcW w:w="1701" w:type="dxa"/>
          </w:tcPr>
          <w:p w14:paraId="3B5D134F" w14:textId="77777777" w:rsidR="00E27F8E" w:rsidRPr="000268D6" w:rsidRDefault="00E27F8E" w:rsidP="0066301C">
            <w:pPr>
              <w:rPr>
                <w:rFonts w:ascii="Arial" w:hAnsi="Arial" w:cs="Arial"/>
              </w:rPr>
            </w:pPr>
            <w:r>
              <w:rPr>
                <w:rFonts w:ascii="Arial" w:hAnsi="Arial" w:cs="Arial"/>
              </w:rPr>
              <w:t>-3.452</w:t>
            </w:r>
          </w:p>
        </w:tc>
        <w:tc>
          <w:tcPr>
            <w:tcW w:w="1701" w:type="dxa"/>
            <w:gridSpan w:val="2"/>
          </w:tcPr>
          <w:p w14:paraId="7CBA8387" w14:textId="77777777" w:rsidR="00E27F8E" w:rsidRPr="000268D6" w:rsidRDefault="00E27F8E" w:rsidP="0066301C">
            <w:pPr>
              <w:rPr>
                <w:rFonts w:ascii="Arial" w:hAnsi="Arial" w:cs="Arial"/>
              </w:rPr>
            </w:pPr>
            <w:r>
              <w:rPr>
                <w:rFonts w:ascii="Arial" w:hAnsi="Arial" w:cs="Arial"/>
              </w:rPr>
              <w:t>0.002</w:t>
            </w:r>
          </w:p>
        </w:tc>
      </w:tr>
      <w:tr w:rsidR="00E27F8E" w14:paraId="7655840D" w14:textId="77777777" w:rsidTr="004D74AB">
        <w:trPr>
          <w:trHeight w:val="288"/>
        </w:trPr>
        <w:tc>
          <w:tcPr>
            <w:tcW w:w="2969" w:type="dxa"/>
          </w:tcPr>
          <w:p w14:paraId="44BBF97E" w14:textId="77777777" w:rsidR="00E27F8E" w:rsidRDefault="00E27F8E" w:rsidP="0066301C">
            <w:pPr>
              <w:rPr>
                <w:rFonts w:cstheme="minorHAnsi"/>
              </w:rPr>
            </w:pPr>
            <w:r>
              <w:rPr>
                <w:rFonts w:cstheme="minorHAnsi"/>
              </w:rPr>
              <w:t>ECM</w:t>
            </w:r>
            <w:r>
              <w:rPr>
                <w:rFonts w:cstheme="minorHAnsi"/>
                <w:vertAlign w:val="subscript"/>
              </w:rPr>
              <w:t>t-1</w:t>
            </w:r>
          </w:p>
        </w:tc>
        <w:tc>
          <w:tcPr>
            <w:tcW w:w="1420" w:type="dxa"/>
          </w:tcPr>
          <w:p w14:paraId="7A5F3B06" w14:textId="77777777" w:rsidR="00E27F8E" w:rsidRDefault="00E27F8E" w:rsidP="0066301C">
            <w:r>
              <w:t>-0.584</w:t>
            </w:r>
          </w:p>
        </w:tc>
        <w:tc>
          <w:tcPr>
            <w:tcW w:w="1702" w:type="dxa"/>
            <w:gridSpan w:val="2"/>
          </w:tcPr>
          <w:p w14:paraId="326856BB" w14:textId="77777777" w:rsidR="00E27F8E" w:rsidRDefault="00E27F8E" w:rsidP="0066301C">
            <w:r>
              <w:t>0.103</w:t>
            </w:r>
          </w:p>
        </w:tc>
        <w:tc>
          <w:tcPr>
            <w:tcW w:w="1701" w:type="dxa"/>
          </w:tcPr>
          <w:p w14:paraId="67D42005" w14:textId="77777777" w:rsidR="00E27F8E" w:rsidRDefault="00E27F8E" w:rsidP="0066301C">
            <w:r>
              <w:t>-5.663</w:t>
            </w:r>
          </w:p>
        </w:tc>
        <w:tc>
          <w:tcPr>
            <w:tcW w:w="1701" w:type="dxa"/>
            <w:gridSpan w:val="2"/>
          </w:tcPr>
          <w:p w14:paraId="4FDD42B9" w14:textId="77777777" w:rsidR="00E27F8E" w:rsidRDefault="00E27F8E" w:rsidP="0066301C">
            <w:r>
              <w:t>0.000</w:t>
            </w:r>
          </w:p>
        </w:tc>
      </w:tr>
      <w:tr w:rsidR="00E27F8E" w14:paraId="2F148491" w14:textId="77777777" w:rsidTr="004D74AB">
        <w:trPr>
          <w:trHeight w:val="288"/>
        </w:trPr>
        <w:tc>
          <w:tcPr>
            <w:tcW w:w="9493" w:type="dxa"/>
            <w:gridSpan w:val="7"/>
          </w:tcPr>
          <w:p w14:paraId="49B7E68D" w14:textId="77777777" w:rsidR="00E27F8E" w:rsidRPr="000268D6" w:rsidRDefault="00E27F8E" w:rsidP="0066301C">
            <w:pPr>
              <w:jc w:val="center"/>
              <w:rPr>
                <w:rFonts w:ascii="Arial" w:hAnsi="Arial" w:cs="Arial"/>
                <w:b/>
                <w:bCs/>
              </w:rPr>
            </w:pPr>
            <w:r w:rsidRPr="000268D6">
              <w:rPr>
                <w:rFonts w:ascii="Arial" w:hAnsi="Arial" w:cs="Arial"/>
                <w:b/>
                <w:bCs/>
              </w:rPr>
              <w:t xml:space="preserve">Partner </w:t>
            </w:r>
            <w:r>
              <w:rPr>
                <w:rFonts w:ascii="Arial" w:hAnsi="Arial" w:cs="Arial"/>
                <w:b/>
                <w:bCs/>
              </w:rPr>
              <w:t>USA</w:t>
            </w:r>
          </w:p>
        </w:tc>
      </w:tr>
      <w:tr w:rsidR="00E27F8E" w14:paraId="10A461B2" w14:textId="77777777" w:rsidTr="004D74AB">
        <w:trPr>
          <w:trHeight w:val="288"/>
        </w:trPr>
        <w:tc>
          <w:tcPr>
            <w:tcW w:w="2969" w:type="dxa"/>
          </w:tcPr>
          <w:p w14:paraId="412E843F" w14:textId="77777777" w:rsidR="00E27F8E" w:rsidRPr="000268D6" w:rsidRDefault="00E27F8E" w:rsidP="0066301C">
            <w:pPr>
              <w:jc w:val="center"/>
              <w:rPr>
                <w:rFonts w:ascii="Arial" w:hAnsi="Arial" w:cs="Arial"/>
                <w:b/>
                <w:bCs/>
              </w:rPr>
            </w:pPr>
            <w:r w:rsidRPr="000268D6">
              <w:rPr>
                <w:rFonts w:ascii="Arial" w:hAnsi="Arial" w:cs="Arial"/>
                <w:b/>
                <w:bCs/>
              </w:rPr>
              <w:t>Variable</w:t>
            </w:r>
          </w:p>
        </w:tc>
        <w:tc>
          <w:tcPr>
            <w:tcW w:w="1420" w:type="dxa"/>
          </w:tcPr>
          <w:p w14:paraId="309428FF" w14:textId="77777777" w:rsidR="00E27F8E" w:rsidRPr="000268D6" w:rsidRDefault="00E27F8E" w:rsidP="0066301C">
            <w:pPr>
              <w:jc w:val="center"/>
              <w:rPr>
                <w:rFonts w:ascii="Arial" w:hAnsi="Arial" w:cs="Arial"/>
                <w:b/>
                <w:bCs/>
              </w:rPr>
            </w:pPr>
            <w:r w:rsidRPr="000268D6">
              <w:rPr>
                <w:rFonts w:ascii="Arial" w:hAnsi="Arial" w:cs="Arial"/>
                <w:b/>
                <w:bCs/>
              </w:rPr>
              <w:t>Coefficient</w:t>
            </w:r>
          </w:p>
        </w:tc>
        <w:tc>
          <w:tcPr>
            <w:tcW w:w="1702" w:type="dxa"/>
            <w:gridSpan w:val="2"/>
          </w:tcPr>
          <w:p w14:paraId="3EF59CBF" w14:textId="77777777" w:rsidR="00E27F8E" w:rsidRPr="000268D6" w:rsidRDefault="00E27F8E" w:rsidP="0066301C">
            <w:pPr>
              <w:jc w:val="center"/>
              <w:rPr>
                <w:rFonts w:ascii="Arial" w:hAnsi="Arial" w:cs="Arial"/>
                <w:b/>
                <w:bCs/>
              </w:rPr>
            </w:pPr>
            <w:r w:rsidRPr="000268D6">
              <w:rPr>
                <w:rFonts w:ascii="Arial" w:hAnsi="Arial" w:cs="Arial"/>
                <w:b/>
                <w:bCs/>
              </w:rPr>
              <w:t>Std. Error</w:t>
            </w:r>
          </w:p>
        </w:tc>
        <w:tc>
          <w:tcPr>
            <w:tcW w:w="1701" w:type="dxa"/>
          </w:tcPr>
          <w:p w14:paraId="6F8B2A9E" w14:textId="77777777" w:rsidR="00E27F8E" w:rsidRPr="000268D6" w:rsidRDefault="00E27F8E" w:rsidP="0066301C">
            <w:pPr>
              <w:jc w:val="center"/>
              <w:rPr>
                <w:rFonts w:ascii="Arial" w:hAnsi="Arial" w:cs="Arial"/>
                <w:b/>
                <w:bCs/>
              </w:rPr>
            </w:pPr>
            <w:r w:rsidRPr="000268D6">
              <w:rPr>
                <w:rFonts w:ascii="Arial" w:hAnsi="Arial" w:cs="Arial"/>
                <w:b/>
                <w:bCs/>
              </w:rPr>
              <w:t>t-statistic</w:t>
            </w:r>
          </w:p>
        </w:tc>
        <w:tc>
          <w:tcPr>
            <w:tcW w:w="1701" w:type="dxa"/>
            <w:gridSpan w:val="2"/>
          </w:tcPr>
          <w:p w14:paraId="48EEEA6E" w14:textId="77777777" w:rsidR="00E27F8E" w:rsidRPr="000268D6" w:rsidRDefault="00E27F8E" w:rsidP="0066301C">
            <w:pPr>
              <w:jc w:val="center"/>
              <w:rPr>
                <w:rFonts w:ascii="Arial" w:hAnsi="Arial" w:cs="Arial"/>
                <w:b/>
                <w:bCs/>
              </w:rPr>
            </w:pPr>
            <w:r w:rsidRPr="000268D6">
              <w:rPr>
                <w:rFonts w:ascii="Arial" w:hAnsi="Arial" w:cs="Arial"/>
                <w:b/>
                <w:bCs/>
              </w:rPr>
              <w:t>Prob.</w:t>
            </w:r>
          </w:p>
        </w:tc>
      </w:tr>
      <w:tr w:rsidR="00E27F8E" w14:paraId="436A3FA7" w14:textId="77777777" w:rsidTr="004D74AB">
        <w:trPr>
          <w:trHeight w:val="288"/>
        </w:trPr>
        <w:tc>
          <w:tcPr>
            <w:tcW w:w="2969" w:type="dxa"/>
          </w:tcPr>
          <w:p w14:paraId="0D449414" w14:textId="77777777" w:rsidR="00E27F8E" w:rsidRPr="000268D6" w:rsidRDefault="00E27F8E" w:rsidP="0066301C">
            <w:pPr>
              <w:rPr>
                <w:rFonts w:ascii="Arial" w:hAnsi="Arial" w:cs="Arial"/>
                <w:vertAlign w:val="subscript"/>
              </w:rPr>
            </w:pPr>
            <w:r w:rsidRPr="000268D6">
              <w:rPr>
                <w:rFonts w:ascii="Arial" w:hAnsi="Arial" w:cs="Arial"/>
              </w:rPr>
              <w:t>Dependent variable ∆LNTB</w:t>
            </w:r>
            <w:r w:rsidRPr="000268D6">
              <w:rPr>
                <w:rFonts w:ascii="Arial" w:hAnsi="Arial" w:cs="Arial"/>
                <w:vertAlign w:val="subscript"/>
              </w:rPr>
              <w:t>t</w:t>
            </w:r>
          </w:p>
        </w:tc>
        <w:tc>
          <w:tcPr>
            <w:tcW w:w="1420" w:type="dxa"/>
          </w:tcPr>
          <w:p w14:paraId="1AF16F67" w14:textId="77777777" w:rsidR="00E27F8E" w:rsidRPr="000268D6" w:rsidRDefault="00E27F8E" w:rsidP="0066301C">
            <w:pPr>
              <w:rPr>
                <w:rFonts w:ascii="Arial" w:hAnsi="Arial" w:cs="Arial"/>
              </w:rPr>
            </w:pPr>
          </w:p>
        </w:tc>
        <w:tc>
          <w:tcPr>
            <w:tcW w:w="1702" w:type="dxa"/>
            <w:gridSpan w:val="2"/>
          </w:tcPr>
          <w:p w14:paraId="3B4B755F" w14:textId="77777777" w:rsidR="00E27F8E" w:rsidRPr="000268D6" w:rsidRDefault="00E27F8E" w:rsidP="0066301C">
            <w:pPr>
              <w:rPr>
                <w:rFonts w:ascii="Arial" w:hAnsi="Arial" w:cs="Arial"/>
              </w:rPr>
            </w:pPr>
          </w:p>
        </w:tc>
        <w:tc>
          <w:tcPr>
            <w:tcW w:w="1701" w:type="dxa"/>
          </w:tcPr>
          <w:p w14:paraId="58E284C4" w14:textId="77777777" w:rsidR="00E27F8E" w:rsidRPr="000268D6" w:rsidRDefault="00E27F8E" w:rsidP="0066301C">
            <w:pPr>
              <w:rPr>
                <w:rFonts w:ascii="Arial" w:hAnsi="Arial" w:cs="Arial"/>
              </w:rPr>
            </w:pPr>
          </w:p>
        </w:tc>
        <w:tc>
          <w:tcPr>
            <w:tcW w:w="1701" w:type="dxa"/>
            <w:gridSpan w:val="2"/>
          </w:tcPr>
          <w:p w14:paraId="050C4972" w14:textId="77777777" w:rsidR="00E27F8E" w:rsidRPr="000268D6" w:rsidRDefault="00E27F8E" w:rsidP="0066301C">
            <w:pPr>
              <w:rPr>
                <w:rFonts w:ascii="Arial" w:hAnsi="Arial" w:cs="Arial"/>
              </w:rPr>
            </w:pPr>
          </w:p>
        </w:tc>
      </w:tr>
      <w:tr w:rsidR="00E27F8E" w14:paraId="4B1819F2" w14:textId="77777777" w:rsidTr="004D74AB">
        <w:trPr>
          <w:trHeight w:val="301"/>
        </w:trPr>
        <w:tc>
          <w:tcPr>
            <w:tcW w:w="2969" w:type="dxa"/>
          </w:tcPr>
          <w:p w14:paraId="5E18CE12" w14:textId="77777777" w:rsidR="00E27F8E" w:rsidRPr="000268D6" w:rsidRDefault="00E27F8E" w:rsidP="0066301C">
            <w:pPr>
              <w:rPr>
                <w:rFonts w:ascii="Arial" w:hAnsi="Arial" w:cs="Arial"/>
                <w:b/>
                <w:bCs/>
              </w:rPr>
            </w:pPr>
            <w:r w:rsidRPr="000268D6">
              <w:rPr>
                <w:rFonts w:ascii="Arial" w:hAnsi="Arial" w:cs="Arial"/>
                <w:b/>
                <w:bCs/>
              </w:rPr>
              <w:t>Long-run elasticities</w:t>
            </w:r>
          </w:p>
        </w:tc>
        <w:tc>
          <w:tcPr>
            <w:tcW w:w="1420" w:type="dxa"/>
          </w:tcPr>
          <w:p w14:paraId="78A671A9" w14:textId="77777777" w:rsidR="00E27F8E" w:rsidRPr="000268D6" w:rsidRDefault="00E27F8E" w:rsidP="0066301C">
            <w:pPr>
              <w:rPr>
                <w:rFonts w:ascii="Arial" w:hAnsi="Arial" w:cs="Arial"/>
              </w:rPr>
            </w:pPr>
          </w:p>
        </w:tc>
        <w:tc>
          <w:tcPr>
            <w:tcW w:w="1702" w:type="dxa"/>
            <w:gridSpan w:val="2"/>
          </w:tcPr>
          <w:p w14:paraId="24635A88" w14:textId="77777777" w:rsidR="00E27F8E" w:rsidRPr="000268D6" w:rsidRDefault="00E27F8E" w:rsidP="0066301C">
            <w:pPr>
              <w:rPr>
                <w:rFonts w:ascii="Arial" w:hAnsi="Arial" w:cs="Arial"/>
              </w:rPr>
            </w:pPr>
          </w:p>
        </w:tc>
        <w:tc>
          <w:tcPr>
            <w:tcW w:w="1701" w:type="dxa"/>
          </w:tcPr>
          <w:p w14:paraId="1294C9E2" w14:textId="77777777" w:rsidR="00E27F8E" w:rsidRPr="000268D6" w:rsidRDefault="00E27F8E" w:rsidP="0066301C">
            <w:pPr>
              <w:rPr>
                <w:rFonts w:ascii="Arial" w:hAnsi="Arial" w:cs="Arial"/>
              </w:rPr>
            </w:pPr>
          </w:p>
        </w:tc>
        <w:tc>
          <w:tcPr>
            <w:tcW w:w="1701" w:type="dxa"/>
            <w:gridSpan w:val="2"/>
          </w:tcPr>
          <w:p w14:paraId="71119899" w14:textId="77777777" w:rsidR="00E27F8E" w:rsidRPr="000268D6" w:rsidRDefault="00E27F8E" w:rsidP="0066301C">
            <w:pPr>
              <w:rPr>
                <w:rFonts w:ascii="Arial" w:hAnsi="Arial" w:cs="Arial"/>
              </w:rPr>
            </w:pPr>
          </w:p>
        </w:tc>
      </w:tr>
      <w:tr w:rsidR="00E27F8E" w14:paraId="3EE6B361" w14:textId="77777777" w:rsidTr="004D74AB">
        <w:trPr>
          <w:trHeight w:val="288"/>
        </w:trPr>
        <w:tc>
          <w:tcPr>
            <w:tcW w:w="2969" w:type="dxa"/>
          </w:tcPr>
          <w:p w14:paraId="76A83632" w14:textId="77777777" w:rsidR="00E27F8E" w:rsidRPr="000268D6" w:rsidRDefault="00E27F8E" w:rsidP="0066301C">
            <w:pPr>
              <w:rPr>
                <w:rFonts w:ascii="Arial" w:hAnsi="Arial" w:cs="Arial"/>
              </w:rPr>
            </w:pPr>
            <w:r w:rsidRPr="000268D6">
              <w:rPr>
                <w:rFonts w:ascii="Arial" w:hAnsi="Arial" w:cs="Arial"/>
              </w:rPr>
              <w:t>C</w:t>
            </w:r>
          </w:p>
        </w:tc>
        <w:tc>
          <w:tcPr>
            <w:tcW w:w="1420" w:type="dxa"/>
          </w:tcPr>
          <w:p w14:paraId="2E3421D6" w14:textId="77777777" w:rsidR="00E27F8E" w:rsidRPr="000268D6" w:rsidRDefault="00E27F8E" w:rsidP="0066301C">
            <w:pPr>
              <w:rPr>
                <w:rFonts w:ascii="Arial" w:hAnsi="Arial" w:cs="Arial"/>
              </w:rPr>
            </w:pPr>
            <w:r>
              <w:rPr>
                <w:rFonts w:ascii="Arial" w:hAnsi="Arial" w:cs="Arial"/>
              </w:rPr>
              <w:t>6.110</w:t>
            </w:r>
          </w:p>
        </w:tc>
        <w:tc>
          <w:tcPr>
            <w:tcW w:w="1702" w:type="dxa"/>
            <w:gridSpan w:val="2"/>
          </w:tcPr>
          <w:p w14:paraId="2102EA62" w14:textId="77777777" w:rsidR="00E27F8E" w:rsidRPr="000268D6" w:rsidRDefault="00E27F8E" w:rsidP="0066301C">
            <w:pPr>
              <w:rPr>
                <w:rFonts w:ascii="Arial" w:hAnsi="Arial" w:cs="Arial"/>
              </w:rPr>
            </w:pPr>
            <w:r>
              <w:rPr>
                <w:rFonts w:ascii="Arial" w:hAnsi="Arial" w:cs="Arial"/>
              </w:rPr>
              <w:t>5.832</w:t>
            </w:r>
          </w:p>
        </w:tc>
        <w:tc>
          <w:tcPr>
            <w:tcW w:w="1701" w:type="dxa"/>
          </w:tcPr>
          <w:p w14:paraId="07E66AB3" w14:textId="77777777" w:rsidR="00E27F8E" w:rsidRPr="000268D6" w:rsidRDefault="00E27F8E" w:rsidP="0066301C">
            <w:pPr>
              <w:rPr>
                <w:rFonts w:ascii="Arial" w:hAnsi="Arial" w:cs="Arial"/>
              </w:rPr>
            </w:pPr>
            <w:r>
              <w:rPr>
                <w:rFonts w:ascii="Arial" w:hAnsi="Arial" w:cs="Arial"/>
              </w:rPr>
              <w:t>1.047</w:t>
            </w:r>
          </w:p>
        </w:tc>
        <w:tc>
          <w:tcPr>
            <w:tcW w:w="1701" w:type="dxa"/>
            <w:gridSpan w:val="2"/>
          </w:tcPr>
          <w:p w14:paraId="2D98183D" w14:textId="77777777" w:rsidR="00E27F8E" w:rsidRPr="000268D6" w:rsidRDefault="00E27F8E" w:rsidP="0066301C">
            <w:pPr>
              <w:rPr>
                <w:rFonts w:ascii="Arial" w:hAnsi="Arial" w:cs="Arial"/>
              </w:rPr>
            </w:pPr>
            <w:r>
              <w:rPr>
                <w:rFonts w:ascii="Arial" w:hAnsi="Arial" w:cs="Arial"/>
              </w:rPr>
              <w:t>0.303</w:t>
            </w:r>
          </w:p>
        </w:tc>
      </w:tr>
      <w:tr w:rsidR="00E27F8E" w14:paraId="7E6488D6" w14:textId="77777777" w:rsidTr="004D74AB">
        <w:trPr>
          <w:trHeight w:val="288"/>
        </w:trPr>
        <w:tc>
          <w:tcPr>
            <w:tcW w:w="2969" w:type="dxa"/>
          </w:tcPr>
          <w:p w14:paraId="337C5433" w14:textId="77777777" w:rsidR="00E27F8E" w:rsidRPr="000268D6" w:rsidRDefault="00E27F8E" w:rsidP="0066301C">
            <w:pPr>
              <w:rPr>
                <w:rFonts w:ascii="Arial" w:hAnsi="Arial" w:cs="Arial"/>
              </w:rPr>
            </w:pPr>
            <w:r w:rsidRPr="000268D6">
              <w:rPr>
                <w:rFonts w:ascii="Arial" w:hAnsi="Arial" w:cs="Arial"/>
              </w:rPr>
              <w:t>LNREER</w:t>
            </w:r>
          </w:p>
        </w:tc>
        <w:tc>
          <w:tcPr>
            <w:tcW w:w="1420" w:type="dxa"/>
          </w:tcPr>
          <w:p w14:paraId="43B6F8B3" w14:textId="77777777" w:rsidR="00E27F8E" w:rsidRPr="000268D6" w:rsidRDefault="00E27F8E" w:rsidP="0066301C">
            <w:pPr>
              <w:rPr>
                <w:rFonts w:ascii="Arial" w:hAnsi="Arial" w:cs="Arial"/>
              </w:rPr>
            </w:pPr>
            <w:r>
              <w:rPr>
                <w:rFonts w:ascii="Arial" w:hAnsi="Arial" w:cs="Arial"/>
              </w:rPr>
              <w:t>-0.890</w:t>
            </w:r>
          </w:p>
        </w:tc>
        <w:tc>
          <w:tcPr>
            <w:tcW w:w="1702" w:type="dxa"/>
            <w:gridSpan w:val="2"/>
          </w:tcPr>
          <w:p w14:paraId="5D6FD280" w14:textId="77777777" w:rsidR="00E27F8E" w:rsidRPr="000268D6" w:rsidRDefault="00E27F8E" w:rsidP="0066301C">
            <w:pPr>
              <w:rPr>
                <w:rFonts w:ascii="Arial" w:hAnsi="Arial" w:cs="Arial"/>
              </w:rPr>
            </w:pPr>
            <w:r>
              <w:rPr>
                <w:rFonts w:ascii="Arial" w:hAnsi="Arial" w:cs="Arial"/>
              </w:rPr>
              <w:t>0.372</w:t>
            </w:r>
          </w:p>
        </w:tc>
        <w:tc>
          <w:tcPr>
            <w:tcW w:w="1701" w:type="dxa"/>
          </w:tcPr>
          <w:p w14:paraId="25EB72C9" w14:textId="77777777" w:rsidR="00E27F8E" w:rsidRPr="000268D6" w:rsidRDefault="00E27F8E" w:rsidP="0066301C">
            <w:pPr>
              <w:rPr>
                <w:rFonts w:ascii="Arial" w:hAnsi="Arial" w:cs="Arial"/>
              </w:rPr>
            </w:pPr>
            <w:r>
              <w:rPr>
                <w:rFonts w:ascii="Arial" w:hAnsi="Arial" w:cs="Arial"/>
              </w:rPr>
              <w:t>-2.395</w:t>
            </w:r>
          </w:p>
        </w:tc>
        <w:tc>
          <w:tcPr>
            <w:tcW w:w="1701" w:type="dxa"/>
            <w:gridSpan w:val="2"/>
          </w:tcPr>
          <w:p w14:paraId="549F4D47" w14:textId="77777777" w:rsidR="00E27F8E" w:rsidRPr="000268D6" w:rsidRDefault="00E27F8E" w:rsidP="0066301C">
            <w:pPr>
              <w:rPr>
                <w:rFonts w:ascii="Arial" w:hAnsi="Arial" w:cs="Arial"/>
              </w:rPr>
            </w:pPr>
            <w:r>
              <w:rPr>
                <w:rFonts w:ascii="Arial" w:hAnsi="Arial" w:cs="Arial"/>
              </w:rPr>
              <w:t>0.023</w:t>
            </w:r>
          </w:p>
        </w:tc>
      </w:tr>
      <w:tr w:rsidR="00E27F8E" w14:paraId="3CCFCB2C" w14:textId="77777777" w:rsidTr="004D74AB">
        <w:trPr>
          <w:trHeight w:val="288"/>
        </w:trPr>
        <w:tc>
          <w:tcPr>
            <w:tcW w:w="2969" w:type="dxa"/>
          </w:tcPr>
          <w:p w14:paraId="71E27718" w14:textId="77777777" w:rsidR="00E27F8E" w:rsidRPr="000268D6" w:rsidRDefault="00E27F8E" w:rsidP="0066301C">
            <w:pPr>
              <w:rPr>
                <w:rFonts w:ascii="Arial" w:hAnsi="Arial" w:cs="Arial"/>
              </w:rPr>
            </w:pPr>
            <w:r w:rsidRPr="000268D6">
              <w:rPr>
                <w:rFonts w:ascii="Arial" w:hAnsi="Arial" w:cs="Arial"/>
              </w:rPr>
              <w:t>LNDI</w:t>
            </w:r>
          </w:p>
        </w:tc>
        <w:tc>
          <w:tcPr>
            <w:tcW w:w="1420" w:type="dxa"/>
          </w:tcPr>
          <w:p w14:paraId="17FFCF94" w14:textId="77777777" w:rsidR="00E27F8E" w:rsidRPr="000268D6" w:rsidRDefault="00E27F8E" w:rsidP="0066301C">
            <w:pPr>
              <w:rPr>
                <w:rFonts w:ascii="Arial" w:hAnsi="Arial" w:cs="Arial"/>
              </w:rPr>
            </w:pPr>
            <w:r>
              <w:rPr>
                <w:rFonts w:ascii="Arial" w:hAnsi="Arial" w:cs="Arial"/>
              </w:rPr>
              <w:t>0.317</w:t>
            </w:r>
          </w:p>
        </w:tc>
        <w:tc>
          <w:tcPr>
            <w:tcW w:w="1702" w:type="dxa"/>
            <w:gridSpan w:val="2"/>
          </w:tcPr>
          <w:p w14:paraId="4BCB1DFB" w14:textId="77777777" w:rsidR="00E27F8E" w:rsidRPr="000268D6" w:rsidRDefault="00E27F8E" w:rsidP="0066301C">
            <w:pPr>
              <w:rPr>
                <w:rFonts w:ascii="Arial" w:hAnsi="Arial" w:cs="Arial"/>
              </w:rPr>
            </w:pPr>
            <w:r>
              <w:rPr>
                <w:rFonts w:ascii="Arial" w:hAnsi="Arial" w:cs="Arial"/>
              </w:rPr>
              <w:t>0.223</w:t>
            </w:r>
          </w:p>
        </w:tc>
        <w:tc>
          <w:tcPr>
            <w:tcW w:w="1701" w:type="dxa"/>
          </w:tcPr>
          <w:p w14:paraId="4A4A0F62" w14:textId="77777777" w:rsidR="00E27F8E" w:rsidRPr="000268D6" w:rsidRDefault="00E27F8E" w:rsidP="0066301C">
            <w:pPr>
              <w:rPr>
                <w:rFonts w:ascii="Arial" w:hAnsi="Arial" w:cs="Arial"/>
              </w:rPr>
            </w:pPr>
            <w:r>
              <w:rPr>
                <w:rFonts w:ascii="Arial" w:hAnsi="Arial" w:cs="Arial"/>
              </w:rPr>
              <w:t>1.429</w:t>
            </w:r>
          </w:p>
        </w:tc>
        <w:tc>
          <w:tcPr>
            <w:tcW w:w="1701" w:type="dxa"/>
            <w:gridSpan w:val="2"/>
          </w:tcPr>
          <w:p w14:paraId="163CFD58" w14:textId="77777777" w:rsidR="00E27F8E" w:rsidRPr="000268D6" w:rsidRDefault="00E27F8E" w:rsidP="0066301C">
            <w:pPr>
              <w:rPr>
                <w:rFonts w:ascii="Arial" w:hAnsi="Arial" w:cs="Arial"/>
              </w:rPr>
            </w:pPr>
            <w:r>
              <w:rPr>
                <w:rFonts w:ascii="Arial" w:hAnsi="Arial" w:cs="Arial"/>
              </w:rPr>
              <w:t>0.163</w:t>
            </w:r>
          </w:p>
        </w:tc>
      </w:tr>
      <w:tr w:rsidR="00E27F8E" w14:paraId="435D2684" w14:textId="77777777" w:rsidTr="004D74AB">
        <w:trPr>
          <w:trHeight w:val="288"/>
        </w:trPr>
        <w:tc>
          <w:tcPr>
            <w:tcW w:w="2969" w:type="dxa"/>
          </w:tcPr>
          <w:p w14:paraId="0AB2254A" w14:textId="77777777" w:rsidR="00E27F8E" w:rsidRPr="000268D6" w:rsidRDefault="00E27F8E" w:rsidP="0066301C">
            <w:pPr>
              <w:rPr>
                <w:rFonts w:ascii="Arial" w:hAnsi="Arial" w:cs="Arial"/>
              </w:rPr>
            </w:pPr>
            <w:r w:rsidRPr="000268D6">
              <w:rPr>
                <w:rFonts w:ascii="Arial" w:hAnsi="Arial" w:cs="Arial"/>
              </w:rPr>
              <w:t>LN</w:t>
            </w:r>
            <w:r>
              <w:rPr>
                <w:rFonts w:ascii="Arial" w:hAnsi="Arial" w:cs="Arial"/>
              </w:rPr>
              <w:t>USA</w:t>
            </w:r>
            <w:r w:rsidRPr="000268D6">
              <w:rPr>
                <w:rFonts w:ascii="Arial" w:hAnsi="Arial" w:cs="Arial"/>
              </w:rPr>
              <w:t>FI</w:t>
            </w:r>
          </w:p>
        </w:tc>
        <w:tc>
          <w:tcPr>
            <w:tcW w:w="1420" w:type="dxa"/>
          </w:tcPr>
          <w:p w14:paraId="6F4D343D" w14:textId="77777777" w:rsidR="00E27F8E" w:rsidRPr="000268D6" w:rsidRDefault="00E27F8E" w:rsidP="0066301C">
            <w:pPr>
              <w:rPr>
                <w:rFonts w:ascii="Arial" w:hAnsi="Arial" w:cs="Arial"/>
              </w:rPr>
            </w:pPr>
            <w:r>
              <w:rPr>
                <w:rFonts w:ascii="Arial" w:hAnsi="Arial" w:cs="Arial"/>
              </w:rPr>
              <w:t>-0.426</w:t>
            </w:r>
          </w:p>
        </w:tc>
        <w:tc>
          <w:tcPr>
            <w:tcW w:w="1702" w:type="dxa"/>
            <w:gridSpan w:val="2"/>
          </w:tcPr>
          <w:p w14:paraId="7FD9F660" w14:textId="77777777" w:rsidR="00E27F8E" w:rsidRPr="000268D6" w:rsidRDefault="00E27F8E" w:rsidP="0066301C">
            <w:pPr>
              <w:rPr>
                <w:rFonts w:ascii="Arial" w:hAnsi="Arial" w:cs="Arial"/>
              </w:rPr>
            </w:pPr>
            <w:r>
              <w:rPr>
                <w:rFonts w:ascii="Arial" w:hAnsi="Arial" w:cs="Arial"/>
              </w:rPr>
              <w:t>0.373</w:t>
            </w:r>
          </w:p>
        </w:tc>
        <w:tc>
          <w:tcPr>
            <w:tcW w:w="1701" w:type="dxa"/>
          </w:tcPr>
          <w:p w14:paraId="67CDC891" w14:textId="77777777" w:rsidR="00E27F8E" w:rsidRPr="000268D6" w:rsidRDefault="00E27F8E" w:rsidP="0066301C">
            <w:pPr>
              <w:rPr>
                <w:rFonts w:ascii="Arial" w:hAnsi="Arial" w:cs="Arial"/>
              </w:rPr>
            </w:pPr>
            <w:r>
              <w:rPr>
                <w:rFonts w:ascii="Arial" w:hAnsi="Arial" w:cs="Arial"/>
              </w:rPr>
              <w:t>-1.145</w:t>
            </w:r>
          </w:p>
        </w:tc>
        <w:tc>
          <w:tcPr>
            <w:tcW w:w="1701" w:type="dxa"/>
            <w:gridSpan w:val="2"/>
          </w:tcPr>
          <w:p w14:paraId="5C946114" w14:textId="77777777" w:rsidR="00E27F8E" w:rsidRPr="000268D6" w:rsidRDefault="00E27F8E" w:rsidP="0066301C">
            <w:pPr>
              <w:rPr>
                <w:rFonts w:ascii="Arial" w:hAnsi="Arial" w:cs="Arial"/>
              </w:rPr>
            </w:pPr>
            <w:r>
              <w:rPr>
                <w:rFonts w:ascii="Arial" w:hAnsi="Arial" w:cs="Arial"/>
              </w:rPr>
              <w:t>0.261</w:t>
            </w:r>
          </w:p>
        </w:tc>
      </w:tr>
      <w:tr w:rsidR="00E27F8E" w14:paraId="2CA782B6" w14:textId="77777777" w:rsidTr="004D74AB">
        <w:trPr>
          <w:trHeight w:val="288"/>
        </w:trPr>
        <w:tc>
          <w:tcPr>
            <w:tcW w:w="2969" w:type="dxa"/>
          </w:tcPr>
          <w:p w14:paraId="679B5F28" w14:textId="77777777" w:rsidR="00E27F8E" w:rsidRPr="000268D6" w:rsidRDefault="00E27F8E" w:rsidP="0066301C">
            <w:pPr>
              <w:rPr>
                <w:rFonts w:ascii="Arial" w:hAnsi="Arial" w:cs="Arial"/>
                <w:b/>
                <w:bCs/>
              </w:rPr>
            </w:pPr>
            <w:r w:rsidRPr="000268D6">
              <w:rPr>
                <w:rFonts w:ascii="Arial" w:hAnsi="Arial" w:cs="Arial"/>
                <w:b/>
                <w:bCs/>
              </w:rPr>
              <w:t>Short-run elasticities</w:t>
            </w:r>
          </w:p>
        </w:tc>
        <w:tc>
          <w:tcPr>
            <w:tcW w:w="1420" w:type="dxa"/>
          </w:tcPr>
          <w:p w14:paraId="4E9E6D21" w14:textId="77777777" w:rsidR="00E27F8E" w:rsidRPr="000268D6" w:rsidRDefault="00E27F8E" w:rsidP="0066301C">
            <w:pPr>
              <w:rPr>
                <w:rFonts w:ascii="Arial" w:hAnsi="Arial" w:cs="Arial"/>
              </w:rPr>
            </w:pPr>
          </w:p>
        </w:tc>
        <w:tc>
          <w:tcPr>
            <w:tcW w:w="1702" w:type="dxa"/>
            <w:gridSpan w:val="2"/>
          </w:tcPr>
          <w:p w14:paraId="2ECD5E89" w14:textId="77777777" w:rsidR="00E27F8E" w:rsidRPr="000268D6" w:rsidRDefault="00E27F8E" w:rsidP="0066301C">
            <w:pPr>
              <w:rPr>
                <w:rFonts w:ascii="Arial" w:hAnsi="Arial" w:cs="Arial"/>
              </w:rPr>
            </w:pPr>
          </w:p>
        </w:tc>
        <w:tc>
          <w:tcPr>
            <w:tcW w:w="1701" w:type="dxa"/>
          </w:tcPr>
          <w:p w14:paraId="17B0758E" w14:textId="77777777" w:rsidR="00E27F8E" w:rsidRPr="000268D6" w:rsidRDefault="00E27F8E" w:rsidP="0066301C">
            <w:pPr>
              <w:rPr>
                <w:rFonts w:ascii="Arial" w:hAnsi="Arial" w:cs="Arial"/>
              </w:rPr>
            </w:pPr>
          </w:p>
        </w:tc>
        <w:tc>
          <w:tcPr>
            <w:tcW w:w="1701" w:type="dxa"/>
            <w:gridSpan w:val="2"/>
          </w:tcPr>
          <w:p w14:paraId="679A7C82" w14:textId="77777777" w:rsidR="00E27F8E" w:rsidRPr="000268D6" w:rsidRDefault="00E27F8E" w:rsidP="0066301C">
            <w:pPr>
              <w:rPr>
                <w:rFonts w:ascii="Arial" w:hAnsi="Arial" w:cs="Arial"/>
              </w:rPr>
            </w:pPr>
          </w:p>
        </w:tc>
      </w:tr>
      <w:tr w:rsidR="00E27F8E" w14:paraId="60435841" w14:textId="77777777" w:rsidTr="004D74AB">
        <w:trPr>
          <w:trHeight w:val="288"/>
        </w:trPr>
        <w:tc>
          <w:tcPr>
            <w:tcW w:w="2969" w:type="dxa"/>
          </w:tcPr>
          <w:p w14:paraId="314E40C8" w14:textId="77777777" w:rsidR="00E27F8E" w:rsidRPr="000268D6" w:rsidRDefault="00E27F8E" w:rsidP="0066301C">
            <w:pPr>
              <w:rPr>
                <w:rFonts w:ascii="Arial" w:hAnsi="Arial" w:cs="Arial"/>
              </w:rPr>
            </w:pPr>
            <w:r w:rsidRPr="000268D6">
              <w:rPr>
                <w:rFonts w:ascii="Arial" w:hAnsi="Arial" w:cs="Arial"/>
              </w:rPr>
              <w:t>C</w:t>
            </w:r>
          </w:p>
        </w:tc>
        <w:tc>
          <w:tcPr>
            <w:tcW w:w="1420" w:type="dxa"/>
          </w:tcPr>
          <w:p w14:paraId="22180922" w14:textId="77777777" w:rsidR="00E27F8E" w:rsidRPr="000268D6" w:rsidRDefault="00E27F8E" w:rsidP="0066301C">
            <w:pPr>
              <w:rPr>
                <w:rFonts w:ascii="Arial" w:hAnsi="Arial" w:cs="Arial"/>
              </w:rPr>
            </w:pPr>
            <w:r>
              <w:rPr>
                <w:rFonts w:ascii="Arial" w:hAnsi="Arial" w:cs="Arial"/>
              </w:rPr>
              <w:t>6.110</w:t>
            </w:r>
          </w:p>
        </w:tc>
        <w:tc>
          <w:tcPr>
            <w:tcW w:w="1702" w:type="dxa"/>
            <w:gridSpan w:val="2"/>
          </w:tcPr>
          <w:p w14:paraId="0F2313FA" w14:textId="77777777" w:rsidR="00E27F8E" w:rsidRPr="000268D6" w:rsidRDefault="00E27F8E" w:rsidP="0066301C">
            <w:pPr>
              <w:rPr>
                <w:rFonts w:ascii="Arial" w:hAnsi="Arial" w:cs="Arial"/>
              </w:rPr>
            </w:pPr>
            <w:r>
              <w:rPr>
                <w:rFonts w:ascii="Arial" w:hAnsi="Arial" w:cs="Arial"/>
              </w:rPr>
              <w:t>1.378</w:t>
            </w:r>
          </w:p>
        </w:tc>
        <w:tc>
          <w:tcPr>
            <w:tcW w:w="1701" w:type="dxa"/>
          </w:tcPr>
          <w:p w14:paraId="4FC22141" w14:textId="77777777" w:rsidR="00E27F8E" w:rsidRPr="000268D6" w:rsidRDefault="00E27F8E" w:rsidP="0066301C">
            <w:pPr>
              <w:rPr>
                <w:rFonts w:ascii="Arial" w:hAnsi="Arial" w:cs="Arial"/>
              </w:rPr>
            </w:pPr>
            <w:r>
              <w:rPr>
                <w:rFonts w:ascii="Arial" w:hAnsi="Arial" w:cs="Arial"/>
              </w:rPr>
              <w:t>4.434</w:t>
            </w:r>
          </w:p>
        </w:tc>
        <w:tc>
          <w:tcPr>
            <w:tcW w:w="1701" w:type="dxa"/>
            <w:gridSpan w:val="2"/>
          </w:tcPr>
          <w:p w14:paraId="6582A6BC" w14:textId="77777777" w:rsidR="00E27F8E" w:rsidRPr="000268D6" w:rsidRDefault="00E27F8E" w:rsidP="0066301C">
            <w:pPr>
              <w:rPr>
                <w:rFonts w:ascii="Arial" w:hAnsi="Arial" w:cs="Arial"/>
              </w:rPr>
            </w:pPr>
            <w:r>
              <w:rPr>
                <w:rFonts w:ascii="Arial" w:hAnsi="Arial" w:cs="Arial"/>
              </w:rPr>
              <w:t>0.000</w:t>
            </w:r>
          </w:p>
        </w:tc>
      </w:tr>
      <w:tr w:rsidR="00E27F8E" w14:paraId="5266F828" w14:textId="77777777" w:rsidTr="004D74AB">
        <w:trPr>
          <w:trHeight w:val="288"/>
        </w:trPr>
        <w:tc>
          <w:tcPr>
            <w:tcW w:w="2969" w:type="dxa"/>
          </w:tcPr>
          <w:p w14:paraId="129DAD47" w14:textId="77777777" w:rsidR="00E27F8E" w:rsidRPr="000268D6" w:rsidRDefault="00E27F8E" w:rsidP="0066301C">
            <w:pPr>
              <w:rPr>
                <w:rFonts w:ascii="Arial" w:hAnsi="Arial" w:cs="Arial"/>
              </w:rPr>
            </w:pPr>
            <w:r w:rsidRPr="000268D6">
              <w:rPr>
                <w:rFonts w:ascii="Arial" w:hAnsi="Arial" w:cs="Arial"/>
              </w:rPr>
              <w:t>∆LNDI</w:t>
            </w:r>
          </w:p>
        </w:tc>
        <w:tc>
          <w:tcPr>
            <w:tcW w:w="1420" w:type="dxa"/>
          </w:tcPr>
          <w:p w14:paraId="460D3357" w14:textId="77777777" w:rsidR="00E27F8E" w:rsidRPr="000268D6" w:rsidRDefault="00E27F8E" w:rsidP="0066301C">
            <w:pPr>
              <w:rPr>
                <w:rFonts w:ascii="Arial" w:hAnsi="Arial" w:cs="Arial"/>
              </w:rPr>
            </w:pPr>
            <w:r>
              <w:rPr>
                <w:rFonts w:ascii="Arial" w:hAnsi="Arial" w:cs="Arial"/>
              </w:rPr>
              <w:t>0.793</w:t>
            </w:r>
          </w:p>
        </w:tc>
        <w:tc>
          <w:tcPr>
            <w:tcW w:w="1702" w:type="dxa"/>
            <w:gridSpan w:val="2"/>
          </w:tcPr>
          <w:p w14:paraId="03777371" w14:textId="77777777" w:rsidR="00E27F8E" w:rsidRPr="000268D6" w:rsidRDefault="00E27F8E" w:rsidP="0066301C">
            <w:pPr>
              <w:rPr>
                <w:rFonts w:ascii="Arial" w:hAnsi="Arial" w:cs="Arial"/>
              </w:rPr>
            </w:pPr>
            <w:r>
              <w:rPr>
                <w:rFonts w:ascii="Arial" w:hAnsi="Arial" w:cs="Arial"/>
              </w:rPr>
              <w:t>0.186</w:t>
            </w:r>
          </w:p>
        </w:tc>
        <w:tc>
          <w:tcPr>
            <w:tcW w:w="1701" w:type="dxa"/>
          </w:tcPr>
          <w:p w14:paraId="18945992" w14:textId="77777777" w:rsidR="00E27F8E" w:rsidRPr="000268D6" w:rsidRDefault="00E27F8E" w:rsidP="0066301C">
            <w:pPr>
              <w:rPr>
                <w:rFonts w:ascii="Arial" w:hAnsi="Arial" w:cs="Arial"/>
              </w:rPr>
            </w:pPr>
            <w:r>
              <w:rPr>
                <w:rFonts w:ascii="Arial" w:hAnsi="Arial" w:cs="Arial"/>
              </w:rPr>
              <w:t>4.259</w:t>
            </w:r>
          </w:p>
        </w:tc>
        <w:tc>
          <w:tcPr>
            <w:tcW w:w="1701" w:type="dxa"/>
            <w:gridSpan w:val="2"/>
          </w:tcPr>
          <w:p w14:paraId="0E3CED44" w14:textId="77777777" w:rsidR="00E27F8E" w:rsidRPr="000268D6" w:rsidRDefault="00E27F8E" w:rsidP="0066301C">
            <w:pPr>
              <w:rPr>
                <w:rFonts w:ascii="Arial" w:hAnsi="Arial" w:cs="Arial"/>
              </w:rPr>
            </w:pPr>
            <w:r>
              <w:rPr>
                <w:rFonts w:ascii="Arial" w:hAnsi="Arial" w:cs="Arial"/>
              </w:rPr>
              <w:t>0.000</w:t>
            </w:r>
          </w:p>
        </w:tc>
      </w:tr>
      <w:tr w:rsidR="00E27F8E" w14:paraId="61C6A39A" w14:textId="77777777" w:rsidTr="004D74AB">
        <w:trPr>
          <w:trHeight w:val="288"/>
        </w:trPr>
        <w:tc>
          <w:tcPr>
            <w:tcW w:w="2969" w:type="dxa"/>
          </w:tcPr>
          <w:p w14:paraId="534B080C" w14:textId="77777777" w:rsidR="00E27F8E" w:rsidRPr="000268D6" w:rsidRDefault="00E27F8E" w:rsidP="0066301C">
            <w:pPr>
              <w:rPr>
                <w:rFonts w:ascii="Arial" w:hAnsi="Arial" w:cs="Arial"/>
                <w:vertAlign w:val="subscript"/>
              </w:rPr>
            </w:pPr>
            <w:r w:rsidRPr="000268D6">
              <w:rPr>
                <w:rFonts w:ascii="Arial" w:hAnsi="Arial" w:cs="Arial"/>
              </w:rPr>
              <w:t>ECM</w:t>
            </w:r>
            <w:r w:rsidRPr="000268D6">
              <w:rPr>
                <w:rFonts w:ascii="Arial" w:hAnsi="Arial" w:cs="Arial"/>
                <w:vertAlign w:val="subscript"/>
              </w:rPr>
              <w:t>t-1</w:t>
            </w:r>
          </w:p>
        </w:tc>
        <w:tc>
          <w:tcPr>
            <w:tcW w:w="1420" w:type="dxa"/>
          </w:tcPr>
          <w:p w14:paraId="00809552" w14:textId="77777777" w:rsidR="00E27F8E" w:rsidRPr="000268D6" w:rsidRDefault="00E27F8E" w:rsidP="0066301C">
            <w:pPr>
              <w:rPr>
                <w:rFonts w:ascii="Arial" w:hAnsi="Arial" w:cs="Arial"/>
              </w:rPr>
            </w:pPr>
            <w:r>
              <w:rPr>
                <w:rFonts w:ascii="Arial" w:hAnsi="Arial" w:cs="Arial"/>
              </w:rPr>
              <w:t>-0.597</w:t>
            </w:r>
          </w:p>
        </w:tc>
        <w:tc>
          <w:tcPr>
            <w:tcW w:w="1702" w:type="dxa"/>
            <w:gridSpan w:val="2"/>
          </w:tcPr>
          <w:p w14:paraId="5FED1FE9" w14:textId="77777777" w:rsidR="00E27F8E" w:rsidRPr="000268D6" w:rsidRDefault="00E27F8E" w:rsidP="0066301C">
            <w:pPr>
              <w:rPr>
                <w:rFonts w:ascii="Arial" w:hAnsi="Arial" w:cs="Arial"/>
              </w:rPr>
            </w:pPr>
            <w:r>
              <w:rPr>
                <w:rFonts w:ascii="Arial" w:hAnsi="Arial" w:cs="Arial"/>
              </w:rPr>
              <w:t>0.134</w:t>
            </w:r>
          </w:p>
        </w:tc>
        <w:tc>
          <w:tcPr>
            <w:tcW w:w="1701" w:type="dxa"/>
          </w:tcPr>
          <w:p w14:paraId="26EE2588" w14:textId="77777777" w:rsidR="00E27F8E" w:rsidRPr="000268D6" w:rsidRDefault="00E27F8E" w:rsidP="0066301C">
            <w:pPr>
              <w:rPr>
                <w:rFonts w:ascii="Arial" w:hAnsi="Arial" w:cs="Arial"/>
              </w:rPr>
            </w:pPr>
            <w:r>
              <w:rPr>
                <w:rFonts w:ascii="Arial" w:hAnsi="Arial" w:cs="Arial"/>
              </w:rPr>
              <w:t>-4.451</w:t>
            </w:r>
          </w:p>
        </w:tc>
        <w:tc>
          <w:tcPr>
            <w:tcW w:w="1701" w:type="dxa"/>
            <w:gridSpan w:val="2"/>
          </w:tcPr>
          <w:p w14:paraId="1922A953" w14:textId="77777777" w:rsidR="00E27F8E" w:rsidRPr="000268D6" w:rsidRDefault="00E27F8E" w:rsidP="0066301C">
            <w:pPr>
              <w:rPr>
                <w:rFonts w:ascii="Arial" w:hAnsi="Arial" w:cs="Arial"/>
              </w:rPr>
            </w:pPr>
            <w:r>
              <w:rPr>
                <w:rFonts w:ascii="Arial" w:hAnsi="Arial" w:cs="Arial"/>
              </w:rPr>
              <w:t>0.000</w:t>
            </w:r>
          </w:p>
        </w:tc>
      </w:tr>
    </w:tbl>
    <w:bookmarkEnd w:id="463"/>
    <w:p w14:paraId="1C7F2B9B" w14:textId="77777777" w:rsidR="00E27F8E" w:rsidRDefault="00E27F8E" w:rsidP="0066301C">
      <w:pPr>
        <w:autoSpaceDE w:val="0"/>
        <w:autoSpaceDN w:val="0"/>
        <w:adjustRightInd w:val="0"/>
        <w:spacing w:after="0" w:line="240" w:lineRule="auto"/>
        <w:rPr>
          <w:rFonts w:ascii="Arial" w:hAnsi="Arial" w:cs="Arial"/>
          <w:i/>
          <w:sz w:val="20"/>
          <w:szCs w:val="20"/>
          <w:lang w:val="en-US"/>
        </w:rPr>
      </w:pPr>
      <w:r w:rsidRPr="00EC16EC">
        <w:rPr>
          <w:rFonts w:ascii="Arial" w:hAnsi="Arial" w:cs="Arial"/>
          <w:i/>
          <w:sz w:val="20"/>
          <w:szCs w:val="20"/>
          <w:lang w:val="en-US"/>
        </w:rPr>
        <w:t xml:space="preserve">Source: </w:t>
      </w:r>
      <w:r w:rsidRPr="00713BA4">
        <w:rPr>
          <w:rFonts w:ascii="Arial" w:hAnsi="Arial" w:cs="Arial"/>
          <w:iCs/>
          <w:sz w:val="20"/>
          <w:szCs w:val="20"/>
          <w:lang w:val="en-US"/>
        </w:rPr>
        <w:t>Computing from time-series data using EViews 1</w:t>
      </w:r>
      <w:r>
        <w:rPr>
          <w:rFonts w:ascii="Arial" w:hAnsi="Arial" w:cs="Arial"/>
          <w:iCs/>
          <w:sz w:val="20"/>
          <w:szCs w:val="20"/>
          <w:lang w:val="en-US"/>
        </w:rPr>
        <w:t>2</w:t>
      </w:r>
      <w:r w:rsidRPr="00EC16EC">
        <w:rPr>
          <w:rFonts w:ascii="Arial" w:hAnsi="Arial" w:cs="Arial"/>
          <w:i/>
          <w:sz w:val="20"/>
          <w:szCs w:val="20"/>
          <w:lang w:val="en-US"/>
        </w:rPr>
        <w:t>.</w:t>
      </w:r>
    </w:p>
    <w:bookmarkEnd w:id="459"/>
    <w:bookmarkEnd w:id="460"/>
    <w:p w14:paraId="3B0961F6" w14:textId="77777777" w:rsidR="007B5321" w:rsidRDefault="007B5321" w:rsidP="0066301C">
      <w:pPr>
        <w:spacing w:after="200" w:line="360" w:lineRule="auto"/>
        <w:jc w:val="both"/>
        <w:rPr>
          <w:rFonts w:ascii="Arial" w:hAnsi="Arial" w:cs="Arial"/>
          <w:b/>
          <w:bCs/>
          <w:color w:val="000000"/>
          <w:sz w:val="24"/>
          <w:szCs w:val="24"/>
          <w:u w:val="single"/>
        </w:rPr>
      </w:pPr>
    </w:p>
    <w:p w14:paraId="5F112755" w14:textId="61F6257F" w:rsidR="00FF5D93" w:rsidRPr="001F1634" w:rsidRDefault="004675FC" w:rsidP="0066301C">
      <w:pPr>
        <w:spacing w:after="200" w:line="360" w:lineRule="auto"/>
        <w:jc w:val="both"/>
        <w:rPr>
          <w:rFonts w:ascii="Arial" w:hAnsi="Arial" w:cs="Arial"/>
          <w:b/>
          <w:bCs/>
          <w:sz w:val="24"/>
          <w:szCs w:val="24"/>
          <w:u w:val="single"/>
        </w:rPr>
      </w:pPr>
      <w:r w:rsidRPr="004675FC">
        <w:rPr>
          <w:rFonts w:ascii="Arial" w:hAnsi="Arial" w:cs="Arial"/>
          <w:b/>
          <w:bCs/>
          <w:color w:val="000000"/>
          <w:sz w:val="24"/>
          <w:szCs w:val="24"/>
          <w:u w:val="single"/>
        </w:rPr>
        <w:t>Cameroon</w:t>
      </w:r>
    </w:p>
    <w:p w14:paraId="5A50FE39" w14:textId="199E6446" w:rsidR="003B74F4" w:rsidRPr="00F0052F" w:rsidRDefault="003835BE" w:rsidP="0066301C">
      <w:pPr>
        <w:spacing w:line="360" w:lineRule="auto"/>
        <w:jc w:val="both"/>
        <w:rPr>
          <w:rFonts w:ascii="Arial" w:hAnsi="Arial" w:cs="Arial"/>
          <w:color w:val="000000"/>
        </w:rPr>
      </w:pPr>
      <w:r w:rsidRPr="3823ABBA">
        <w:rPr>
          <w:rFonts w:ascii="Arial" w:hAnsi="Arial" w:cs="Arial"/>
          <w:lang w:val="en-US"/>
        </w:rPr>
        <w:t>T</w:t>
      </w:r>
      <w:r w:rsidR="00B1558D" w:rsidRPr="3823ABBA">
        <w:rPr>
          <w:rFonts w:ascii="Arial" w:hAnsi="Arial" w:cs="Arial"/>
          <w:lang w:val="en-US"/>
        </w:rPr>
        <w:t xml:space="preserve">he </w:t>
      </w:r>
      <w:r w:rsidR="14A3A9AF" w:rsidRPr="3823ABBA">
        <w:rPr>
          <w:rFonts w:ascii="Arial" w:hAnsi="Arial" w:cs="Arial"/>
          <w:lang w:val="en-US"/>
        </w:rPr>
        <w:t>result</w:t>
      </w:r>
      <w:r w:rsidR="00B1558D" w:rsidRPr="3823ABBA">
        <w:rPr>
          <w:rFonts w:ascii="Arial" w:hAnsi="Arial" w:cs="Arial"/>
          <w:lang w:val="en-US"/>
        </w:rPr>
        <w:t xml:space="preserve"> of Cameroon shows that the coefficient of ECT for all the trade partners are negative and statistically significant (with their ECT coefficient being </w:t>
      </w:r>
      <w:r w:rsidR="00B1558D" w:rsidRPr="3823ABBA">
        <w:rPr>
          <w:rFonts w:ascii="Arial" w:hAnsi="Arial" w:cs="Arial"/>
        </w:rPr>
        <w:t>-0.868</w:t>
      </w:r>
      <w:r w:rsidR="00B1558D" w:rsidRPr="3823ABBA">
        <w:rPr>
          <w:rFonts w:ascii="Arial" w:hAnsi="Arial" w:cs="Arial"/>
          <w:lang w:val="en-US"/>
        </w:rPr>
        <w:t xml:space="preserve">, </w:t>
      </w:r>
      <w:r w:rsidR="00B1558D" w:rsidRPr="3823ABBA">
        <w:rPr>
          <w:rFonts w:ascii="Arial" w:hAnsi="Arial" w:cs="Arial"/>
        </w:rPr>
        <w:t>-0.848</w:t>
      </w:r>
      <w:r w:rsidR="00B1558D" w:rsidRPr="3823ABBA">
        <w:rPr>
          <w:rFonts w:ascii="Arial" w:hAnsi="Arial" w:cs="Arial"/>
          <w:lang w:val="en-US"/>
        </w:rPr>
        <w:t xml:space="preserve">, </w:t>
      </w:r>
      <w:r w:rsidR="00B1558D" w:rsidRPr="3823ABBA">
        <w:rPr>
          <w:rFonts w:ascii="Arial" w:hAnsi="Arial" w:cs="Arial"/>
        </w:rPr>
        <w:t>-0.7</w:t>
      </w:r>
      <w:r w:rsidRPr="3823ABBA">
        <w:rPr>
          <w:rFonts w:ascii="Arial" w:hAnsi="Arial" w:cs="Arial"/>
        </w:rPr>
        <w:t>97</w:t>
      </w:r>
      <w:r w:rsidR="00B1558D" w:rsidRPr="3823ABBA">
        <w:rPr>
          <w:rFonts w:ascii="Arial" w:hAnsi="Arial" w:cs="Arial"/>
          <w:lang w:val="en-US"/>
        </w:rPr>
        <w:t xml:space="preserve">, </w:t>
      </w:r>
      <w:r w:rsidR="00B1558D" w:rsidRPr="3823ABBA">
        <w:rPr>
          <w:rFonts w:ascii="Arial" w:hAnsi="Arial" w:cs="Arial"/>
        </w:rPr>
        <w:t>-0.902</w:t>
      </w:r>
      <w:r w:rsidR="00B1558D" w:rsidRPr="3823ABBA">
        <w:rPr>
          <w:rFonts w:ascii="Arial" w:hAnsi="Arial" w:cs="Arial"/>
          <w:lang w:val="en-US"/>
        </w:rPr>
        <w:t xml:space="preserve"> and </w:t>
      </w:r>
      <w:r w:rsidR="00B1558D" w:rsidRPr="3823ABBA">
        <w:rPr>
          <w:rFonts w:ascii="Arial" w:hAnsi="Arial" w:cs="Arial"/>
        </w:rPr>
        <w:t>-0.908</w:t>
      </w:r>
      <w:r w:rsidR="00B1558D" w:rsidRPr="3823ABBA">
        <w:rPr>
          <w:rFonts w:ascii="Arial" w:hAnsi="Arial" w:cs="Arial"/>
          <w:lang w:val="en-US"/>
        </w:rPr>
        <w:t>, with statistical significance of |</w:t>
      </w:r>
      <w:r w:rsidR="00B1558D" w:rsidRPr="3823ABBA">
        <w:rPr>
          <w:rFonts w:ascii="Arial" w:hAnsi="Arial" w:cs="Arial"/>
        </w:rPr>
        <w:t>7.768</w:t>
      </w:r>
      <w:r w:rsidR="00B1558D" w:rsidRPr="3823ABBA">
        <w:rPr>
          <w:rFonts w:ascii="Arial" w:hAnsi="Arial" w:cs="Arial"/>
          <w:lang w:val="en-US"/>
        </w:rPr>
        <w:t>|, |</w:t>
      </w:r>
      <w:r w:rsidR="00B1558D" w:rsidRPr="3823ABBA">
        <w:rPr>
          <w:rFonts w:ascii="Arial" w:hAnsi="Arial" w:cs="Arial"/>
        </w:rPr>
        <w:t>7.985</w:t>
      </w:r>
      <w:r w:rsidR="00B1558D" w:rsidRPr="3823ABBA">
        <w:rPr>
          <w:rFonts w:ascii="Arial" w:hAnsi="Arial" w:cs="Arial"/>
          <w:lang w:val="en-US"/>
        </w:rPr>
        <w:t>|, |</w:t>
      </w:r>
      <w:r w:rsidR="00B1558D" w:rsidRPr="3823ABBA">
        <w:rPr>
          <w:rFonts w:ascii="Arial" w:hAnsi="Arial" w:cs="Arial"/>
        </w:rPr>
        <w:t>8.138</w:t>
      </w:r>
      <w:r w:rsidR="00B1558D" w:rsidRPr="3823ABBA">
        <w:rPr>
          <w:rFonts w:ascii="Arial" w:hAnsi="Arial" w:cs="Arial"/>
          <w:lang w:val="en-US"/>
        </w:rPr>
        <w:t>|, |</w:t>
      </w:r>
      <w:r w:rsidR="00B1558D" w:rsidRPr="3823ABBA">
        <w:rPr>
          <w:rFonts w:ascii="Arial" w:hAnsi="Arial" w:cs="Arial"/>
        </w:rPr>
        <w:t>5.808</w:t>
      </w:r>
      <w:r w:rsidR="00B1558D" w:rsidRPr="3823ABBA">
        <w:rPr>
          <w:rFonts w:ascii="Arial" w:hAnsi="Arial" w:cs="Arial"/>
          <w:lang w:val="en-US"/>
        </w:rPr>
        <w:t>| and |</w:t>
      </w:r>
      <w:r w:rsidR="00B1558D" w:rsidRPr="3823ABBA">
        <w:rPr>
          <w:rFonts w:ascii="Arial" w:hAnsi="Arial" w:cs="Arial"/>
        </w:rPr>
        <w:t>5.987</w:t>
      </w:r>
      <w:r w:rsidR="00B1558D" w:rsidRPr="3823ABBA">
        <w:rPr>
          <w:rFonts w:ascii="Arial" w:hAnsi="Arial" w:cs="Arial"/>
          <w:lang w:val="en-US"/>
        </w:rPr>
        <w:t>| respectively for China, France, India, Netherland, and Spain). This means there is a long-run relationship between the target variable (LNTB) and the independent variables</w:t>
      </w:r>
      <w:r w:rsidR="006B6F5D" w:rsidRPr="3823ABBA">
        <w:rPr>
          <w:rFonts w:ascii="Arial" w:hAnsi="Arial" w:cs="Arial"/>
          <w:lang w:val="en-US"/>
        </w:rPr>
        <w:t>.</w:t>
      </w:r>
      <w:r w:rsidR="00F0052F" w:rsidRPr="3823ABBA">
        <w:rPr>
          <w:rFonts w:ascii="Arial" w:hAnsi="Arial" w:cs="Arial"/>
          <w:lang w:val="en-US"/>
        </w:rPr>
        <w:t xml:space="preserve"> From a holistic perspective, the result shows the presence of the </w:t>
      </w:r>
      <w:r w:rsidR="00F0052F" w:rsidRPr="3823ABBA">
        <w:rPr>
          <w:rFonts w:ascii="Arial" w:hAnsi="Arial" w:cs="Arial"/>
          <w:i/>
          <w:iCs/>
          <w:lang w:val="en-US"/>
        </w:rPr>
        <w:t>J-</w:t>
      </w:r>
      <w:r w:rsidR="00F0052F" w:rsidRPr="3823ABBA">
        <w:rPr>
          <w:rFonts w:ascii="Arial" w:hAnsi="Arial" w:cs="Arial"/>
          <w:lang w:val="en-US"/>
        </w:rPr>
        <w:t xml:space="preserve">curve in all the models as the LNREER is </w:t>
      </w:r>
      <w:r w:rsidR="0018324E" w:rsidRPr="3823ABBA">
        <w:rPr>
          <w:rFonts w:ascii="Arial" w:hAnsi="Arial" w:cs="Arial"/>
          <w:lang w:val="en-US"/>
        </w:rPr>
        <w:t>negative and statistically significant in the short-run (-0.379, of |</w:t>
      </w:r>
      <w:r w:rsidR="00974A7A" w:rsidRPr="3823ABBA">
        <w:rPr>
          <w:rFonts w:ascii="Arial" w:hAnsi="Arial" w:cs="Arial"/>
        </w:rPr>
        <w:t>2.961</w:t>
      </w:r>
      <w:r w:rsidR="0018324E" w:rsidRPr="3823ABBA">
        <w:rPr>
          <w:rFonts w:ascii="Arial" w:hAnsi="Arial" w:cs="Arial"/>
          <w:lang w:val="en-US"/>
        </w:rPr>
        <w:t>|; -0.638, of |</w:t>
      </w:r>
      <w:r w:rsidR="0018324E" w:rsidRPr="3823ABBA">
        <w:rPr>
          <w:rFonts w:ascii="Arial" w:hAnsi="Arial" w:cs="Arial"/>
        </w:rPr>
        <w:t>4.099</w:t>
      </w:r>
      <w:r w:rsidR="0018324E" w:rsidRPr="3823ABBA">
        <w:rPr>
          <w:rFonts w:ascii="Arial" w:hAnsi="Arial" w:cs="Arial"/>
          <w:lang w:val="en-US"/>
        </w:rPr>
        <w:t>|; -0.597, of |</w:t>
      </w:r>
      <w:r w:rsidR="0018324E" w:rsidRPr="3823ABBA">
        <w:rPr>
          <w:rFonts w:ascii="Arial" w:hAnsi="Arial" w:cs="Arial"/>
        </w:rPr>
        <w:t>4.027</w:t>
      </w:r>
      <w:r w:rsidR="0018324E" w:rsidRPr="3823ABBA">
        <w:rPr>
          <w:rFonts w:ascii="Arial" w:hAnsi="Arial" w:cs="Arial"/>
          <w:lang w:val="en-US"/>
        </w:rPr>
        <w:t>|; -0.491, of |2</w:t>
      </w:r>
      <w:r w:rsidR="0018324E" w:rsidRPr="3823ABBA">
        <w:rPr>
          <w:rFonts w:ascii="Arial" w:hAnsi="Arial" w:cs="Arial"/>
        </w:rPr>
        <w:t>.727</w:t>
      </w:r>
      <w:r w:rsidR="0018324E" w:rsidRPr="3823ABBA">
        <w:rPr>
          <w:rFonts w:ascii="Arial" w:hAnsi="Arial" w:cs="Arial"/>
          <w:lang w:val="en-US"/>
        </w:rPr>
        <w:t>|; -0.49</w:t>
      </w:r>
      <w:r w:rsidR="00617469" w:rsidRPr="3823ABBA">
        <w:rPr>
          <w:rFonts w:ascii="Arial" w:hAnsi="Arial" w:cs="Arial"/>
          <w:lang w:val="en-US"/>
        </w:rPr>
        <w:t>1</w:t>
      </w:r>
      <w:r w:rsidR="0018324E" w:rsidRPr="3823ABBA">
        <w:rPr>
          <w:rFonts w:ascii="Arial" w:hAnsi="Arial" w:cs="Arial"/>
          <w:lang w:val="en-US"/>
        </w:rPr>
        <w:t>, of |</w:t>
      </w:r>
      <w:r w:rsidR="0018324E" w:rsidRPr="3823ABBA">
        <w:rPr>
          <w:rFonts w:ascii="Arial" w:hAnsi="Arial" w:cs="Arial"/>
        </w:rPr>
        <w:t>2.775</w:t>
      </w:r>
      <w:r w:rsidR="0018324E" w:rsidRPr="3823ABBA">
        <w:rPr>
          <w:rFonts w:ascii="Arial" w:hAnsi="Arial" w:cs="Arial"/>
          <w:lang w:val="en-US"/>
        </w:rPr>
        <w:t>|, respectively for China, France, India, Netherland, and Spain).</w:t>
      </w:r>
      <w:r w:rsidR="00617469" w:rsidRPr="3823ABBA">
        <w:rPr>
          <w:rFonts w:ascii="Arial" w:hAnsi="Arial" w:cs="Arial"/>
          <w:lang w:val="en-US"/>
        </w:rPr>
        <w:t xml:space="preserve"> While the long-run, </w:t>
      </w:r>
      <w:r w:rsidR="005C6AC0" w:rsidRPr="3823ABBA">
        <w:rPr>
          <w:rFonts w:ascii="Arial" w:hAnsi="Arial" w:cs="Arial"/>
          <w:lang w:val="en-US"/>
        </w:rPr>
        <w:t>LNREER is positive and statistically significant (</w:t>
      </w:r>
      <w:r w:rsidR="005C6AC0" w:rsidRPr="3823ABBA">
        <w:rPr>
          <w:rFonts w:ascii="Arial" w:hAnsi="Arial" w:cs="Arial"/>
        </w:rPr>
        <w:t xml:space="preserve">2.067, </w:t>
      </w:r>
      <w:r w:rsidR="005C6AC0" w:rsidRPr="3823ABBA">
        <w:rPr>
          <w:rFonts w:ascii="Arial" w:hAnsi="Arial" w:cs="Arial"/>
          <w:lang w:val="en-US"/>
        </w:rPr>
        <w:t>of |</w:t>
      </w:r>
      <w:r w:rsidR="005C6AC0" w:rsidRPr="3823ABBA">
        <w:rPr>
          <w:rFonts w:ascii="Arial" w:hAnsi="Arial" w:cs="Arial"/>
        </w:rPr>
        <w:t>7.995</w:t>
      </w:r>
      <w:r w:rsidR="005C6AC0" w:rsidRPr="3823ABBA">
        <w:rPr>
          <w:rFonts w:ascii="Arial" w:hAnsi="Arial" w:cs="Arial"/>
          <w:lang w:val="en-US"/>
        </w:rPr>
        <w:t xml:space="preserve">|; </w:t>
      </w:r>
      <w:r w:rsidR="631EC3DE" w:rsidRPr="3823ABBA">
        <w:rPr>
          <w:rFonts w:ascii="Arial" w:hAnsi="Arial" w:cs="Arial"/>
          <w:lang w:val="en-US"/>
        </w:rPr>
        <w:t>0.439</w:t>
      </w:r>
      <w:r w:rsidR="005C6AC0" w:rsidRPr="3823ABBA">
        <w:rPr>
          <w:rFonts w:ascii="Arial" w:hAnsi="Arial" w:cs="Arial"/>
          <w:lang w:val="en-US"/>
        </w:rPr>
        <w:t xml:space="preserve"> of |</w:t>
      </w:r>
      <w:r w:rsidR="005C6AC0" w:rsidRPr="3823ABBA">
        <w:rPr>
          <w:rFonts w:ascii="Arial" w:hAnsi="Arial" w:cs="Arial"/>
        </w:rPr>
        <w:t>3.868</w:t>
      </w:r>
      <w:r w:rsidR="005C6AC0" w:rsidRPr="3823ABBA">
        <w:rPr>
          <w:rFonts w:ascii="Arial" w:hAnsi="Arial" w:cs="Arial"/>
          <w:lang w:val="en-US"/>
        </w:rPr>
        <w:t xml:space="preserve">|; </w:t>
      </w:r>
      <w:r w:rsidR="03AD38AD" w:rsidRPr="3823ABBA">
        <w:rPr>
          <w:rFonts w:ascii="Arial" w:hAnsi="Arial" w:cs="Arial"/>
          <w:lang w:val="en-US"/>
        </w:rPr>
        <w:t>0.278</w:t>
      </w:r>
      <w:r w:rsidR="005C6AC0" w:rsidRPr="3823ABBA">
        <w:rPr>
          <w:rFonts w:ascii="Arial" w:hAnsi="Arial" w:cs="Arial"/>
          <w:lang w:val="en-US"/>
        </w:rPr>
        <w:t xml:space="preserve"> of |</w:t>
      </w:r>
      <w:r w:rsidR="005C6AC0" w:rsidRPr="3823ABBA">
        <w:rPr>
          <w:rFonts w:ascii="Arial" w:hAnsi="Arial" w:cs="Arial"/>
        </w:rPr>
        <w:t>2.364</w:t>
      </w:r>
      <w:r w:rsidR="005C6AC0" w:rsidRPr="3823ABBA">
        <w:rPr>
          <w:rFonts w:ascii="Arial" w:hAnsi="Arial" w:cs="Arial"/>
          <w:lang w:val="en-US"/>
        </w:rPr>
        <w:t xml:space="preserve">|; </w:t>
      </w:r>
      <w:r w:rsidR="0E4327B5" w:rsidRPr="3823ABBA">
        <w:rPr>
          <w:rFonts w:ascii="Arial" w:hAnsi="Arial" w:cs="Arial"/>
          <w:lang w:val="en-US"/>
        </w:rPr>
        <w:t>0.362</w:t>
      </w:r>
      <w:r w:rsidR="005C6AC0" w:rsidRPr="3823ABBA">
        <w:rPr>
          <w:rFonts w:ascii="Arial" w:hAnsi="Arial" w:cs="Arial"/>
          <w:lang w:val="en-US"/>
        </w:rPr>
        <w:t xml:space="preserve"> of |3.169|; </w:t>
      </w:r>
      <w:r w:rsidR="057A4A0C" w:rsidRPr="3823ABBA">
        <w:rPr>
          <w:rFonts w:ascii="Arial" w:hAnsi="Arial" w:cs="Arial"/>
          <w:lang w:val="en-US"/>
        </w:rPr>
        <w:t>0.340</w:t>
      </w:r>
      <w:r w:rsidR="005C6AC0" w:rsidRPr="3823ABBA">
        <w:rPr>
          <w:rFonts w:ascii="Arial" w:hAnsi="Arial" w:cs="Arial"/>
          <w:lang w:val="en-US"/>
        </w:rPr>
        <w:t xml:space="preserve"> of |3.476|, respectively for China, France, India, Netherland, and Spain). The negative short-term and positive long-term of LNREER shows the presence of the </w:t>
      </w:r>
      <w:r w:rsidR="005C6AC0" w:rsidRPr="3823ABBA">
        <w:rPr>
          <w:rFonts w:ascii="Arial" w:hAnsi="Arial" w:cs="Arial"/>
          <w:i/>
          <w:iCs/>
          <w:lang w:val="en-US"/>
        </w:rPr>
        <w:t>J-</w:t>
      </w:r>
      <w:r w:rsidR="005C6AC0" w:rsidRPr="3823ABBA">
        <w:rPr>
          <w:rFonts w:ascii="Arial" w:hAnsi="Arial" w:cs="Arial"/>
          <w:lang w:val="en-US"/>
        </w:rPr>
        <w:t xml:space="preserve">curve in all the models. </w:t>
      </w:r>
    </w:p>
    <w:p w14:paraId="22E56975" w14:textId="243D264F" w:rsidR="00486C63" w:rsidRPr="0092436B" w:rsidRDefault="00E95C0B" w:rsidP="0066301C">
      <w:pPr>
        <w:spacing w:line="360" w:lineRule="auto"/>
        <w:jc w:val="both"/>
        <w:rPr>
          <w:rFonts w:ascii="Arial" w:hAnsi="Arial" w:cs="Arial"/>
          <w:color w:val="000000" w:themeColor="text1"/>
        </w:rPr>
      </w:pPr>
      <w:r w:rsidRPr="3823ABBA">
        <w:rPr>
          <w:rFonts w:ascii="Arial" w:hAnsi="Arial" w:cs="Arial"/>
          <w:color w:val="000000" w:themeColor="text1"/>
        </w:rPr>
        <w:t xml:space="preserve">Beginning with the results of </w:t>
      </w:r>
      <w:r w:rsidR="004675FC" w:rsidRPr="3823ABBA">
        <w:rPr>
          <w:rFonts w:ascii="Arial" w:hAnsi="Arial" w:cs="Arial"/>
          <w:color w:val="000000" w:themeColor="text1"/>
        </w:rPr>
        <w:t xml:space="preserve">the </w:t>
      </w:r>
      <w:r w:rsidR="005D0EF9" w:rsidRPr="3823ABBA">
        <w:rPr>
          <w:rFonts w:ascii="Arial" w:hAnsi="Arial" w:cs="Arial"/>
          <w:color w:val="000000" w:themeColor="text1"/>
        </w:rPr>
        <w:t xml:space="preserve">trade </w:t>
      </w:r>
      <w:r w:rsidR="004675FC" w:rsidRPr="3823ABBA">
        <w:rPr>
          <w:rFonts w:ascii="Arial" w:hAnsi="Arial" w:cs="Arial"/>
          <w:color w:val="000000" w:themeColor="text1"/>
        </w:rPr>
        <w:t xml:space="preserve">relationship between </w:t>
      </w:r>
      <w:r w:rsidRPr="3823ABBA">
        <w:rPr>
          <w:rFonts w:ascii="Arial" w:hAnsi="Arial" w:cs="Arial"/>
          <w:color w:val="000000" w:themeColor="text1"/>
        </w:rPr>
        <w:t>Cameroon</w:t>
      </w:r>
      <w:r w:rsidR="004675FC" w:rsidRPr="3823ABBA">
        <w:rPr>
          <w:rFonts w:ascii="Arial" w:hAnsi="Arial" w:cs="Arial"/>
          <w:color w:val="000000" w:themeColor="text1"/>
        </w:rPr>
        <w:t xml:space="preserve"> and China</w:t>
      </w:r>
      <w:r w:rsidR="005D0EF9" w:rsidRPr="3823ABBA">
        <w:rPr>
          <w:rFonts w:ascii="Arial" w:hAnsi="Arial" w:cs="Arial"/>
          <w:color w:val="000000" w:themeColor="text1"/>
        </w:rPr>
        <w:t>;</w:t>
      </w:r>
      <w:r w:rsidR="004675FC" w:rsidRPr="3823ABBA">
        <w:rPr>
          <w:rFonts w:ascii="Arial" w:hAnsi="Arial" w:cs="Arial"/>
          <w:color w:val="000000" w:themeColor="text1"/>
        </w:rPr>
        <w:t xml:space="preserve"> </w:t>
      </w:r>
      <w:r w:rsidR="005D0EF9" w:rsidRPr="3823ABBA">
        <w:rPr>
          <w:rFonts w:ascii="Arial" w:hAnsi="Arial" w:cs="Arial"/>
          <w:color w:val="000000" w:themeColor="text1"/>
        </w:rPr>
        <w:t xml:space="preserve">it shows that in </w:t>
      </w:r>
      <w:r w:rsidR="004675FC" w:rsidRPr="3823ABBA">
        <w:rPr>
          <w:rFonts w:ascii="Arial" w:hAnsi="Arial" w:cs="Arial"/>
          <w:color w:val="000000" w:themeColor="text1"/>
        </w:rPr>
        <w:t>the long</w:t>
      </w:r>
      <w:r w:rsidR="00882817" w:rsidRPr="3823ABBA">
        <w:rPr>
          <w:rFonts w:ascii="Arial" w:hAnsi="Arial" w:cs="Arial"/>
          <w:color w:val="000000" w:themeColor="text1"/>
        </w:rPr>
        <w:t>-</w:t>
      </w:r>
      <w:r w:rsidR="004675FC" w:rsidRPr="3823ABBA">
        <w:rPr>
          <w:rFonts w:ascii="Arial" w:hAnsi="Arial" w:cs="Arial"/>
          <w:color w:val="000000" w:themeColor="text1"/>
        </w:rPr>
        <w:t xml:space="preserve">run a </w:t>
      </w:r>
      <w:r w:rsidR="00E329B6" w:rsidRPr="3823ABBA">
        <w:rPr>
          <w:rFonts w:ascii="Arial" w:hAnsi="Arial" w:cs="Arial"/>
          <w:color w:val="000000" w:themeColor="text1"/>
        </w:rPr>
        <w:t>1%</w:t>
      </w:r>
      <w:r w:rsidR="004675FC" w:rsidRPr="3823ABBA">
        <w:rPr>
          <w:rFonts w:ascii="Arial" w:hAnsi="Arial" w:cs="Arial"/>
          <w:color w:val="000000" w:themeColor="text1"/>
        </w:rPr>
        <w:t xml:space="preserve"> devaluation of the CFA franc leads to a 2.067% improvement in the trade balance</w:t>
      </w:r>
      <w:r w:rsidR="00E329B6" w:rsidRPr="3823ABBA">
        <w:rPr>
          <w:rFonts w:ascii="Arial" w:hAnsi="Arial" w:cs="Arial"/>
          <w:color w:val="000000" w:themeColor="text1"/>
        </w:rPr>
        <w:t>.</w:t>
      </w:r>
      <w:r w:rsidR="00FC44A6" w:rsidRPr="3823ABBA">
        <w:rPr>
          <w:rFonts w:ascii="Arial" w:hAnsi="Arial" w:cs="Arial"/>
          <w:color w:val="000000" w:themeColor="text1"/>
        </w:rPr>
        <w:t xml:space="preserve"> While in the short-run, </w:t>
      </w:r>
      <w:r w:rsidR="002332AC" w:rsidRPr="3823ABBA">
        <w:rPr>
          <w:rFonts w:ascii="Arial" w:hAnsi="Arial" w:cs="Arial"/>
          <w:color w:val="000000" w:themeColor="text1"/>
        </w:rPr>
        <w:t xml:space="preserve">it results </w:t>
      </w:r>
      <w:r w:rsidR="001C1248">
        <w:rPr>
          <w:rFonts w:ascii="Arial" w:hAnsi="Arial" w:cs="Arial"/>
          <w:color w:val="000000" w:themeColor="text1"/>
        </w:rPr>
        <w:t>in</w:t>
      </w:r>
      <w:r w:rsidR="002332AC" w:rsidRPr="3823ABBA">
        <w:rPr>
          <w:rFonts w:ascii="Arial" w:hAnsi="Arial" w:cs="Arial"/>
          <w:color w:val="000000" w:themeColor="text1"/>
        </w:rPr>
        <w:t xml:space="preserve"> a </w:t>
      </w:r>
      <w:r w:rsidR="00776317" w:rsidRPr="3823ABBA">
        <w:rPr>
          <w:rFonts w:ascii="Arial" w:hAnsi="Arial" w:cs="Arial"/>
          <w:color w:val="000000" w:themeColor="text1"/>
        </w:rPr>
        <w:t>(</w:t>
      </w:r>
      <w:r w:rsidR="00786A7F" w:rsidRPr="3823ABBA">
        <w:rPr>
          <w:rFonts w:ascii="Arial" w:hAnsi="Arial" w:cs="Arial"/>
          <w:color w:val="000000" w:themeColor="text1"/>
        </w:rPr>
        <w:t xml:space="preserve">-0.379%) </w:t>
      </w:r>
      <w:r w:rsidR="002332AC" w:rsidRPr="3823ABBA">
        <w:rPr>
          <w:rFonts w:ascii="Arial" w:hAnsi="Arial" w:cs="Arial"/>
          <w:color w:val="000000" w:themeColor="text1"/>
        </w:rPr>
        <w:t xml:space="preserve">deterioration of the </w:t>
      </w:r>
      <w:r w:rsidR="6369FB07" w:rsidRPr="3823ABBA">
        <w:rPr>
          <w:rFonts w:ascii="Arial" w:hAnsi="Arial" w:cs="Arial"/>
          <w:color w:val="000000" w:themeColor="text1"/>
        </w:rPr>
        <w:t>trade</w:t>
      </w:r>
      <w:r w:rsidR="002332AC" w:rsidRPr="3823ABBA">
        <w:rPr>
          <w:rFonts w:ascii="Arial" w:hAnsi="Arial" w:cs="Arial"/>
          <w:color w:val="000000" w:themeColor="text1"/>
        </w:rPr>
        <w:t xml:space="preserve"> balance</w:t>
      </w:r>
      <w:r w:rsidR="00020F64" w:rsidRPr="3823ABBA">
        <w:rPr>
          <w:rFonts w:ascii="Arial" w:hAnsi="Arial" w:cs="Arial"/>
          <w:color w:val="000000" w:themeColor="text1"/>
        </w:rPr>
        <w:t xml:space="preserve">, thereby representing a </w:t>
      </w:r>
      <w:r w:rsidR="007229E9" w:rsidRPr="3823ABBA">
        <w:rPr>
          <w:rFonts w:ascii="Arial" w:hAnsi="Arial" w:cs="Arial"/>
          <w:i/>
          <w:iCs/>
          <w:color w:val="000000" w:themeColor="text1"/>
        </w:rPr>
        <w:t>J-</w:t>
      </w:r>
      <w:r w:rsidR="007229E9" w:rsidRPr="3823ABBA">
        <w:rPr>
          <w:rFonts w:ascii="Arial" w:hAnsi="Arial" w:cs="Arial"/>
          <w:color w:val="000000" w:themeColor="text1"/>
        </w:rPr>
        <w:t>like shape.</w:t>
      </w:r>
      <w:r w:rsidR="00734EF6" w:rsidRPr="3823ABBA">
        <w:rPr>
          <w:rFonts w:ascii="Arial" w:hAnsi="Arial" w:cs="Arial"/>
          <w:color w:val="000000" w:themeColor="text1"/>
        </w:rPr>
        <w:t xml:space="preserve"> </w:t>
      </w:r>
      <w:r w:rsidR="00E329B6" w:rsidRPr="3823ABBA">
        <w:rPr>
          <w:rFonts w:ascii="Arial" w:hAnsi="Arial" w:cs="Arial"/>
          <w:color w:val="000000" w:themeColor="text1"/>
        </w:rPr>
        <w:t xml:space="preserve">This </w:t>
      </w:r>
      <w:r w:rsidR="003043EB" w:rsidRPr="3823ABBA">
        <w:rPr>
          <w:rFonts w:ascii="Arial" w:hAnsi="Arial" w:cs="Arial"/>
          <w:color w:val="000000" w:themeColor="text1"/>
        </w:rPr>
        <w:t xml:space="preserve">means that currency devaluation results </w:t>
      </w:r>
      <w:r w:rsidR="00B46FA5">
        <w:rPr>
          <w:rFonts w:ascii="Arial" w:hAnsi="Arial" w:cs="Arial"/>
          <w:color w:val="000000" w:themeColor="text1"/>
        </w:rPr>
        <w:t>in</w:t>
      </w:r>
      <w:r w:rsidR="003043EB" w:rsidRPr="3823ABBA">
        <w:rPr>
          <w:rFonts w:ascii="Arial" w:hAnsi="Arial" w:cs="Arial"/>
          <w:color w:val="000000" w:themeColor="text1"/>
        </w:rPr>
        <w:t xml:space="preserve"> </w:t>
      </w:r>
      <w:r w:rsidR="003043EB" w:rsidRPr="3823ABBA">
        <w:rPr>
          <w:rFonts w:ascii="Arial" w:hAnsi="Arial" w:cs="Arial"/>
          <w:color w:val="000000" w:themeColor="text1"/>
        </w:rPr>
        <w:lastRenderedPageBreak/>
        <w:t>trade improvement in the long</w:t>
      </w:r>
      <w:r w:rsidR="6FF7E4DA" w:rsidRPr="3823ABBA">
        <w:rPr>
          <w:rFonts w:ascii="Arial" w:hAnsi="Arial" w:cs="Arial"/>
          <w:color w:val="000000" w:themeColor="text1"/>
        </w:rPr>
        <w:t>-</w:t>
      </w:r>
      <w:r w:rsidR="003043EB" w:rsidRPr="3823ABBA">
        <w:rPr>
          <w:rFonts w:ascii="Arial" w:hAnsi="Arial" w:cs="Arial"/>
          <w:color w:val="000000" w:themeColor="text1"/>
        </w:rPr>
        <w:t xml:space="preserve">run. A 1% increase in domestic income leads to </w:t>
      </w:r>
      <w:r w:rsidR="008C44F8" w:rsidRPr="3823ABBA">
        <w:rPr>
          <w:rFonts w:ascii="Arial" w:hAnsi="Arial" w:cs="Arial"/>
          <w:color w:val="000000" w:themeColor="text1"/>
        </w:rPr>
        <w:t>(-</w:t>
      </w:r>
      <w:r w:rsidR="003043EB" w:rsidRPr="3823ABBA">
        <w:rPr>
          <w:rFonts w:ascii="Arial" w:hAnsi="Arial" w:cs="Arial"/>
          <w:color w:val="000000" w:themeColor="text1"/>
        </w:rPr>
        <w:t>3.949%</w:t>
      </w:r>
      <w:r w:rsidR="008C44F8" w:rsidRPr="3823ABBA">
        <w:rPr>
          <w:rFonts w:ascii="Arial" w:hAnsi="Arial" w:cs="Arial"/>
          <w:color w:val="000000" w:themeColor="text1"/>
        </w:rPr>
        <w:t>)</w:t>
      </w:r>
      <w:r w:rsidR="003043EB" w:rsidRPr="3823ABBA">
        <w:rPr>
          <w:rFonts w:ascii="Arial" w:hAnsi="Arial" w:cs="Arial"/>
          <w:color w:val="000000" w:themeColor="text1"/>
        </w:rPr>
        <w:t xml:space="preserve"> worsening in the trade balance</w:t>
      </w:r>
      <w:r w:rsidR="00601A33" w:rsidRPr="3823ABBA">
        <w:rPr>
          <w:rFonts w:ascii="Arial" w:hAnsi="Arial" w:cs="Arial"/>
          <w:color w:val="000000" w:themeColor="text1"/>
        </w:rPr>
        <w:t xml:space="preserve"> in the long-run</w:t>
      </w:r>
      <w:r w:rsidR="003043EB" w:rsidRPr="3823ABBA">
        <w:rPr>
          <w:rFonts w:ascii="Arial" w:hAnsi="Arial" w:cs="Arial"/>
          <w:color w:val="000000" w:themeColor="text1"/>
        </w:rPr>
        <w:t>.</w:t>
      </w:r>
      <w:r w:rsidR="00DB5A4F" w:rsidRPr="3823ABBA">
        <w:rPr>
          <w:rFonts w:ascii="Arial" w:hAnsi="Arial" w:cs="Arial"/>
          <w:color w:val="000000" w:themeColor="text1"/>
        </w:rPr>
        <w:t xml:space="preserve"> </w:t>
      </w:r>
      <w:r w:rsidR="00EC0384" w:rsidRPr="3823ABBA">
        <w:rPr>
          <w:rFonts w:ascii="Arial" w:hAnsi="Arial" w:cs="Arial"/>
          <w:color w:val="000000" w:themeColor="text1"/>
        </w:rPr>
        <w:t xml:space="preserve">In the short run, a 1% increase in domestic income leads to a </w:t>
      </w:r>
      <w:r w:rsidR="000841DF" w:rsidRPr="3823ABBA">
        <w:rPr>
          <w:rFonts w:ascii="Arial" w:hAnsi="Arial" w:cs="Arial"/>
          <w:color w:val="000000" w:themeColor="text1"/>
        </w:rPr>
        <w:t>(-</w:t>
      </w:r>
      <w:r w:rsidR="00EC0384" w:rsidRPr="3823ABBA">
        <w:rPr>
          <w:rFonts w:ascii="Arial" w:hAnsi="Arial" w:cs="Arial"/>
          <w:color w:val="000000" w:themeColor="text1"/>
        </w:rPr>
        <w:t>0.341%</w:t>
      </w:r>
      <w:r w:rsidR="000841DF" w:rsidRPr="3823ABBA">
        <w:rPr>
          <w:rFonts w:ascii="Arial" w:hAnsi="Arial" w:cs="Arial"/>
          <w:color w:val="000000" w:themeColor="text1"/>
        </w:rPr>
        <w:t>)</w:t>
      </w:r>
      <w:r w:rsidR="00EC0384" w:rsidRPr="3823ABBA">
        <w:rPr>
          <w:rFonts w:ascii="Arial" w:hAnsi="Arial" w:cs="Arial"/>
          <w:color w:val="000000" w:themeColor="text1"/>
        </w:rPr>
        <w:t xml:space="preserve"> worsening of the trade balance. This means that an increase in domestic income worsens the trade balance in both the short run and the long run. </w:t>
      </w:r>
      <w:r w:rsidR="00990E08" w:rsidRPr="3823ABBA">
        <w:rPr>
          <w:rFonts w:ascii="Arial" w:hAnsi="Arial" w:cs="Arial"/>
          <w:color w:val="000000" w:themeColor="text1"/>
        </w:rPr>
        <w:t>This is obviously because an increase in domestic income will incentivise domestic consumers to import foreign finish</w:t>
      </w:r>
      <w:r w:rsidR="00E03B06">
        <w:rPr>
          <w:rFonts w:ascii="Arial" w:hAnsi="Arial" w:cs="Arial"/>
          <w:color w:val="000000" w:themeColor="text1"/>
        </w:rPr>
        <w:t>ed</w:t>
      </w:r>
      <w:r w:rsidR="00990E08" w:rsidRPr="3823ABBA">
        <w:rPr>
          <w:rFonts w:ascii="Arial" w:hAnsi="Arial" w:cs="Arial"/>
          <w:color w:val="000000" w:themeColor="text1"/>
        </w:rPr>
        <w:t>/ manufactured products</w:t>
      </w:r>
      <w:r w:rsidR="003B057C">
        <w:rPr>
          <w:rFonts w:ascii="Arial" w:hAnsi="Arial" w:cs="Arial"/>
          <w:color w:val="000000" w:themeColor="text1"/>
        </w:rPr>
        <w:t>,</w:t>
      </w:r>
      <w:r w:rsidR="00990E08" w:rsidRPr="3823ABBA">
        <w:rPr>
          <w:rFonts w:ascii="Arial" w:hAnsi="Arial" w:cs="Arial"/>
          <w:color w:val="000000" w:themeColor="text1"/>
        </w:rPr>
        <w:t xml:space="preserve"> which are mostly not produced in Cameroon, and by so doing</w:t>
      </w:r>
      <w:r w:rsidR="00E03B06">
        <w:rPr>
          <w:rFonts w:ascii="Arial" w:hAnsi="Arial" w:cs="Arial"/>
          <w:color w:val="000000" w:themeColor="text1"/>
        </w:rPr>
        <w:t>,</w:t>
      </w:r>
      <w:r w:rsidR="00990E08" w:rsidRPr="3823ABBA">
        <w:rPr>
          <w:rFonts w:ascii="Arial" w:hAnsi="Arial" w:cs="Arial"/>
          <w:color w:val="000000" w:themeColor="text1"/>
        </w:rPr>
        <w:t xml:space="preserve"> worsen the trade balance</w:t>
      </w:r>
      <w:r w:rsidR="002141B0" w:rsidRPr="3823ABBA">
        <w:rPr>
          <w:rFonts w:ascii="Arial" w:hAnsi="Arial" w:cs="Arial"/>
          <w:color w:val="000000" w:themeColor="text1"/>
        </w:rPr>
        <w:t>.</w:t>
      </w:r>
      <w:r w:rsidR="005B7553" w:rsidRPr="3823ABBA">
        <w:rPr>
          <w:rFonts w:ascii="Arial" w:hAnsi="Arial" w:cs="Arial"/>
          <w:color w:val="000000" w:themeColor="text1"/>
        </w:rPr>
        <w:t xml:space="preserve"> </w:t>
      </w:r>
      <w:r w:rsidR="00EC0384" w:rsidRPr="3823ABBA">
        <w:rPr>
          <w:rFonts w:ascii="Arial" w:hAnsi="Arial" w:cs="Arial"/>
          <w:color w:val="000000" w:themeColor="text1"/>
        </w:rPr>
        <w:t>Thus, policymakers should encourage the consumption of domestically produce</w:t>
      </w:r>
      <w:r w:rsidR="0028742A">
        <w:rPr>
          <w:rFonts w:ascii="Arial" w:hAnsi="Arial" w:cs="Arial"/>
          <w:color w:val="000000" w:themeColor="text1"/>
        </w:rPr>
        <w:t>d</w:t>
      </w:r>
      <w:r w:rsidR="00EC0384" w:rsidRPr="3823ABBA">
        <w:rPr>
          <w:rFonts w:ascii="Arial" w:hAnsi="Arial" w:cs="Arial"/>
          <w:color w:val="000000" w:themeColor="text1"/>
        </w:rPr>
        <w:t xml:space="preserve"> goods and services by creating/ improving </w:t>
      </w:r>
      <w:r w:rsidR="00287F0F">
        <w:rPr>
          <w:rFonts w:ascii="Arial" w:hAnsi="Arial" w:cs="Arial"/>
          <w:color w:val="000000" w:themeColor="text1"/>
        </w:rPr>
        <w:t xml:space="preserve">an </w:t>
      </w:r>
      <w:r w:rsidR="00EC0384" w:rsidRPr="3823ABBA">
        <w:rPr>
          <w:rFonts w:ascii="Arial" w:hAnsi="Arial" w:cs="Arial"/>
          <w:color w:val="000000" w:themeColor="text1"/>
        </w:rPr>
        <w:t xml:space="preserve">enabling environment for </w:t>
      </w:r>
      <w:r w:rsidR="0028742A">
        <w:rPr>
          <w:rFonts w:ascii="Arial" w:hAnsi="Arial" w:cs="Arial"/>
          <w:color w:val="000000" w:themeColor="text1"/>
        </w:rPr>
        <w:t xml:space="preserve">the </w:t>
      </w:r>
      <w:r w:rsidR="00EC0384" w:rsidRPr="3823ABBA">
        <w:rPr>
          <w:rFonts w:ascii="Arial" w:hAnsi="Arial" w:cs="Arial"/>
          <w:color w:val="000000" w:themeColor="text1"/>
        </w:rPr>
        <w:t xml:space="preserve">production of domestic products and services. </w:t>
      </w:r>
      <w:r w:rsidR="00046C07" w:rsidRPr="3823ABBA">
        <w:rPr>
          <w:rFonts w:ascii="Arial" w:hAnsi="Arial" w:cs="Arial"/>
          <w:color w:val="000000" w:themeColor="text1"/>
        </w:rPr>
        <w:t xml:space="preserve">Cameroon needs to improve its manufacturing sector to reduce the purchase of finished foreign products (like cars, electronic gadgets, etc). </w:t>
      </w:r>
      <w:r w:rsidR="00EC0384" w:rsidRPr="3823ABBA">
        <w:rPr>
          <w:rFonts w:ascii="Arial" w:hAnsi="Arial" w:cs="Arial"/>
          <w:color w:val="000000" w:themeColor="text1"/>
        </w:rPr>
        <w:t xml:space="preserve">There should </w:t>
      </w:r>
      <w:r w:rsidR="005B7553" w:rsidRPr="3823ABBA">
        <w:rPr>
          <w:rFonts w:ascii="Arial" w:hAnsi="Arial" w:cs="Arial"/>
          <w:color w:val="000000" w:themeColor="text1"/>
        </w:rPr>
        <w:t xml:space="preserve">also </w:t>
      </w:r>
      <w:r w:rsidR="00EC0384" w:rsidRPr="3823ABBA">
        <w:rPr>
          <w:rFonts w:ascii="Arial" w:hAnsi="Arial" w:cs="Arial"/>
          <w:color w:val="000000" w:themeColor="text1"/>
        </w:rPr>
        <w:t>be a diversification in the production of semi-finished and finished products.</w:t>
      </w:r>
      <w:r w:rsidR="002D06E3" w:rsidRPr="3823ABBA">
        <w:rPr>
          <w:rFonts w:ascii="Arial" w:hAnsi="Arial" w:cs="Arial"/>
          <w:color w:val="000000" w:themeColor="text1"/>
        </w:rPr>
        <w:t xml:space="preserve"> </w:t>
      </w:r>
      <w:r w:rsidR="00C176D2" w:rsidRPr="3823ABBA">
        <w:rPr>
          <w:rFonts w:ascii="Arial" w:hAnsi="Arial" w:cs="Arial"/>
          <w:color w:val="000000" w:themeColor="text1"/>
        </w:rPr>
        <w:t xml:space="preserve">The result further shows that </w:t>
      </w:r>
      <w:r w:rsidR="00780B4F" w:rsidRPr="3823ABBA">
        <w:rPr>
          <w:rFonts w:ascii="Arial" w:hAnsi="Arial" w:cs="Arial"/>
          <w:color w:val="000000" w:themeColor="text1"/>
        </w:rPr>
        <w:t>there is n</w:t>
      </w:r>
      <w:r w:rsidR="002D06E3" w:rsidRPr="3823ABBA">
        <w:rPr>
          <w:rFonts w:ascii="Arial" w:hAnsi="Arial" w:cs="Arial"/>
          <w:color w:val="000000" w:themeColor="text1"/>
        </w:rPr>
        <w:t>either</w:t>
      </w:r>
      <w:r w:rsidR="00780B4F" w:rsidRPr="3823ABBA">
        <w:rPr>
          <w:rFonts w:ascii="Arial" w:hAnsi="Arial" w:cs="Arial"/>
          <w:color w:val="000000" w:themeColor="text1"/>
        </w:rPr>
        <w:t xml:space="preserve"> long</w:t>
      </w:r>
      <w:r w:rsidR="00882817" w:rsidRPr="3823ABBA">
        <w:rPr>
          <w:rFonts w:ascii="Arial" w:hAnsi="Arial" w:cs="Arial"/>
          <w:color w:val="000000" w:themeColor="text1"/>
        </w:rPr>
        <w:t>-</w:t>
      </w:r>
      <w:r w:rsidR="00780B4F" w:rsidRPr="3823ABBA">
        <w:rPr>
          <w:rFonts w:ascii="Arial" w:hAnsi="Arial" w:cs="Arial"/>
          <w:color w:val="000000" w:themeColor="text1"/>
        </w:rPr>
        <w:t xml:space="preserve">run </w:t>
      </w:r>
      <w:r w:rsidR="002D06E3" w:rsidRPr="3823ABBA">
        <w:rPr>
          <w:rFonts w:ascii="Arial" w:hAnsi="Arial" w:cs="Arial"/>
          <w:color w:val="000000" w:themeColor="text1"/>
        </w:rPr>
        <w:t xml:space="preserve">nor </w:t>
      </w:r>
      <w:r w:rsidR="00322D40" w:rsidRPr="3823ABBA">
        <w:rPr>
          <w:rFonts w:ascii="Arial" w:hAnsi="Arial" w:cs="Arial"/>
          <w:color w:val="000000" w:themeColor="text1"/>
        </w:rPr>
        <w:t xml:space="preserve">short-run </w:t>
      </w:r>
      <w:r w:rsidR="00780B4F" w:rsidRPr="3823ABBA">
        <w:rPr>
          <w:rFonts w:ascii="Arial" w:hAnsi="Arial" w:cs="Arial"/>
          <w:color w:val="000000" w:themeColor="text1"/>
        </w:rPr>
        <w:t>relationship between f</w:t>
      </w:r>
      <w:r w:rsidR="00D52419" w:rsidRPr="3823ABBA">
        <w:rPr>
          <w:rFonts w:ascii="Arial" w:hAnsi="Arial" w:cs="Arial"/>
          <w:color w:val="000000" w:themeColor="text1"/>
        </w:rPr>
        <w:t xml:space="preserve">oreign income </w:t>
      </w:r>
      <w:r w:rsidR="00780B4F" w:rsidRPr="3823ABBA">
        <w:rPr>
          <w:rFonts w:ascii="Arial" w:hAnsi="Arial" w:cs="Arial"/>
          <w:color w:val="000000" w:themeColor="text1"/>
        </w:rPr>
        <w:t>(LNCHINAFI) and</w:t>
      </w:r>
      <w:r w:rsidR="00D52419" w:rsidRPr="3823ABBA">
        <w:rPr>
          <w:rFonts w:ascii="Arial" w:hAnsi="Arial" w:cs="Arial"/>
          <w:color w:val="000000" w:themeColor="text1"/>
        </w:rPr>
        <w:t xml:space="preserve"> trade balance</w:t>
      </w:r>
      <w:r w:rsidR="00780B4F" w:rsidRPr="3823ABBA">
        <w:rPr>
          <w:rFonts w:ascii="Arial" w:hAnsi="Arial" w:cs="Arial"/>
          <w:color w:val="000000" w:themeColor="text1"/>
        </w:rPr>
        <w:t xml:space="preserve"> because the coefficient of the </w:t>
      </w:r>
      <w:r w:rsidR="00780B4F" w:rsidRPr="3823ABBA">
        <w:rPr>
          <w:rFonts w:ascii="Arial" w:hAnsi="Arial" w:cs="Arial"/>
          <w:i/>
          <w:iCs/>
          <w:color w:val="000000" w:themeColor="text1"/>
        </w:rPr>
        <w:t>t-</w:t>
      </w:r>
      <w:r w:rsidR="00780B4F" w:rsidRPr="3823ABBA">
        <w:rPr>
          <w:rFonts w:ascii="Arial" w:hAnsi="Arial" w:cs="Arial"/>
          <w:color w:val="000000" w:themeColor="text1"/>
        </w:rPr>
        <w:t xml:space="preserve">statistic is insignificant (i.e., 0.735 </w:t>
      </w:r>
      <w:r w:rsidR="00322D40" w:rsidRPr="3823ABBA">
        <w:rPr>
          <w:rFonts w:ascii="Arial" w:hAnsi="Arial" w:cs="Arial"/>
          <w:color w:val="000000" w:themeColor="text1"/>
        </w:rPr>
        <w:t xml:space="preserve">for long-run and </w:t>
      </w:r>
      <w:r w:rsidR="008A46E1" w:rsidRPr="3823ABBA">
        <w:rPr>
          <w:rFonts w:ascii="Arial" w:hAnsi="Arial" w:cs="Arial"/>
          <w:color w:val="000000" w:themeColor="text1"/>
        </w:rPr>
        <w:t xml:space="preserve">1.198 for short-run </w:t>
      </w:r>
      <w:r w:rsidR="00780B4F" w:rsidRPr="3823ABBA">
        <w:rPr>
          <w:rFonts w:ascii="Arial" w:hAnsi="Arial" w:cs="Arial"/>
          <w:color w:val="000000" w:themeColor="text1"/>
        </w:rPr>
        <w:t xml:space="preserve">which </w:t>
      </w:r>
      <w:r w:rsidR="008A46E1" w:rsidRPr="3823ABBA">
        <w:rPr>
          <w:rFonts w:ascii="Arial" w:hAnsi="Arial" w:cs="Arial"/>
          <w:color w:val="000000" w:themeColor="text1"/>
        </w:rPr>
        <w:t>are</w:t>
      </w:r>
      <w:r w:rsidR="00780B4F" w:rsidRPr="3823ABBA">
        <w:rPr>
          <w:rFonts w:ascii="Arial" w:hAnsi="Arial" w:cs="Arial"/>
          <w:color w:val="000000" w:themeColor="text1"/>
        </w:rPr>
        <w:t xml:space="preserve"> less than |2|). </w:t>
      </w:r>
      <w:r w:rsidR="00C176D2" w:rsidRPr="3823ABBA">
        <w:rPr>
          <w:rFonts w:ascii="Arial" w:hAnsi="Arial" w:cs="Arial"/>
          <w:color w:val="000000" w:themeColor="text1"/>
        </w:rPr>
        <w:t xml:space="preserve">Thus, an increase in </w:t>
      </w:r>
      <w:r w:rsidR="009B3888" w:rsidRPr="3823ABBA">
        <w:rPr>
          <w:rFonts w:ascii="Arial" w:hAnsi="Arial" w:cs="Arial"/>
          <w:color w:val="000000" w:themeColor="text1"/>
        </w:rPr>
        <w:t>Chinese</w:t>
      </w:r>
      <w:r w:rsidR="00C176D2" w:rsidRPr="3823ABBA">
        <w:rPr>
          <w:rFonts w:ascii="Arial" w:hAnsi="Arial" w:cs="Arial"/>
          <w:color w:val="000000" w:themeColor="text1"/>
        </w:rPr>
        <w:t xml:space="preserve"> income </w:t>
      </w:r>
      <w:r w:rsidR="009B3888" w:rsidRPr="3823ABBA">
        <w:rPr>
          <w:rFonts w:ascii="Arial" w:hAnsi="Arial" w:cs="Arial"/>
          <w:color w:val="000000" w:themeColor="text1"/>
        </w:rPr>
        <w:t xml:space="preserve">(foreign income) </w:t>
      </w:r>
      <w:r w:rsidR="00C176D2" w:rsidRPr="3823ABBA">
        <w:rPr>
          <w:rFonts w:ascii="Arial" w:hAnsi="Arial" w:cs="Arial"/>
          <w:color w:val="000000" w:themeColor="text1"/>
        </w:rPr>
        <w:t xml:space="preserve">does not impact trade balance. </w:t>
      </w:r>
      <w:r w:rsidR="000B5864" w:rsidRPr="3823ABBA">
        <w:rPr>
          <w:rFonts w:ascii="Arial" w:hAnsi="Arial" w:cs="Arial"/>
          <w:color w:val="000000" w:themeColor="text1"/>
        </w:rPr>
        <w:t xml:space="preserve">This implies that </w:t>
      </w:r>
      <w:r w:rsidR="00691ADC" w:rsidRPr="3823ABBA">
        <w:rPr>
          <w:rFonts w:ascii="Arial" w:hAnsi="Arial" w:cs="Arial"/>
          <w:color w:val="000000" w:themeColor="text1"/>
        </w:rPr>
        <w:t xml:space="preserve">Chinese might not be </w:t>
      </w:r>
      <w:r w:rsidR="009F67F4" w:rsidRPr="3823ABBA">
        <w:rPr>
          <w:rFonts w:ascii="Arial" w:hAnsi="Arial" w:cs="Arial"/>
          <w:color w:val="000000" w:themeColor="text1"/>
        </w:rPr>
        <w:t>incentivised</w:t>
      </w:r>
      <w:r w:rsidR="00691ADC" w:rsidRPr="3823ABBA">
        <w:rPr>
          <w:rFonts w:ascii="Arial" w:hAnsi="Arial" w:cs="Arial"/>
          <w:color w:val="000000" w:themeColor="text1"/>
        </w:rPr>
        <w:t xml:space="preserve"> to </w:t>
      </w:r>
      <w:r w:rsidR="00B647D3" w:rsidRPr="3823ABBA">
        <w:rPr>
          <w:rFonts w:ascii="Arial" w:hAnsi="Arial" w:cs="Arial"/>
          <w:color w:val="000000" w:themeColor="text1"/>
        </w:rPr>
        <w:t xml:space="preserve">buy </w:t>
      </w:r>
      <w:r w:rsidR="0070723D" w:rsidRPr="3823ABBA">
        <w:rPr>
          <w:rFonts w:ascii="Arial" w:hAnsi="Arial" w:cs="Arial"/>
          <w:color w:val="000000" w:themeColor="text1"/>
        </w:rPr>
        <w:t xml:space="preserve">more </w:t>
      </w:r>
      <w:r w:rsidR="00B647D3" w:rsidRPr="3823ABBA">
        <w:rPr>
          <w:rFonts w:ascii="Arial" w:hAnsi="Arial" w:cs="Arial"/>
          <w:color w:val="000000" w:themeColor="text1"/>
        </w:rPr>
        <w:t>Cameroon products in spite an increase in their income level.</w:t>
      </w:r>
      <w:r w:rsidR="00565CD5" w:rsidRPr="3823ABBA">
        <w:rPr>
          <w:rFonts w:ascii="Arial" w:hAnsi="Arial" w:cs="Arial"/>
          <w:color w:val="000000" w:themeColor="text1"/>
        </w:rPr>
        <w:t xml:space="preserve"> Could this be due to the type</w:t>
      </w:r>
      <w:r w:rsidR="0026003A" w:rsidRPr="3823ABBA">
        <w:rPr>
          <w:rFonts w:ascii="Arial" w:hAnsi="Arial" w:cs="Arial"/>
          <w:color w:val="000000" w:themeColor="text1"/>
        </w:rPr>
        <w:t>,</w:t>
      </w:r>
      <w:r w:rsidR="00565CD5" w:rsidRPr="3823ABBA">
        <w:rPr>
          <w:rFonts w:ascii="Arial" w:hAnsi="Arial" w:cs="Arial"/>
          <w:color w:val="000000" w:themeColor="text1"/>
        </w:rPr>
        <w:t xml:space="preserve"> quality </w:t>
      </w:r>
      <w:r w:rsidR="0026003A" w:rsidRPr="3823ABBA">
        <w:rPr>
          <w:rFonts w:ascii="Arial" w:hAnsi="Arial" w:cs="Arial"/>
          <w:color w:val="000000" w:themeColor="text1"/>
        </w:rPr>
        <w:t xml:space="preserve">or price </w:t>
      </w:r>
      <w:r w:rsidR="00565CD5" w:rsidRPr="3823ABBA">
        <w:rPr>
          <w:rFonts w:ascii="Arial" w:hAnsi="Arial" w:cs="Arial"/>
          <w:color w:val="000000" w:themeColor="text1"/>
        </w:rPr>
        <w:t xml:space="preserve">of </w:t>
      </w:r>
      <w:r w:rsidR="00AC11A1" w:rsidRPr="3823ABBA">
        <w:rPr>
          <w:rFonts w:ascii="Arial" w:hAnsi="Arial" w:cs="Arial"/>
          <w:color w:val="000000" w:themeColor="text1"/>
        </w:rPr>
        <w:t>products imported from Cameroon</w:t>
      </w:r>
      <w:r w:rsidR="00B34883" w:rsidRPr="3823ABBA">
        <w:rPr>
          <w:rFonts w:ascii="Arial" w:hAnsi="Arial" w:cs="Arial"/>
          <w:color w:val="000000" w:themeColor="text1"/>
        </w:rPr>
        <w:t>?</w:t>
      </w:r>
      <w:r w:rsidR="006553EF" w:rsidRPr="3823ABBA">
        <w:rPr>
          <w:rFonts w:ascii="Arial" w:hAnsi="Arial" w:cs="Arial"/>
          <w:color w:val="000000" w:themeColor="text1"/>
        </w:rPr>
        <w:t xml:space="preserve"> </w:t>
      </w:r>
    </w:p>
    <w:p w14:paraId="6CADDA6D" w14:textId="4D4062EA" w:rsidR="008C44F8" w:rsidRDefault="000B2EB5" w:rsidP="0066301C">
      <w:pPr>
        <w:autoSpaceDE w:val="0"/>
        <w:autoSpaceDN w:val="0"/>
        <w:adjustRightInd w:val="0"/>
        <w:spacing w:line="360" w:lineRule="auto"/>
        <w:ind w:hanging="11"/>
        <w:jc w:val="both"/>
        <w:rPr>
          <w:rFonts w:ascii="Arial" w:hAnsi="Arial" w:cs="Arial"/>
          <w:color w:val="000000"/>
        </w:rPr>
      </w:pPr>
      <w:r w:rsidRPr="77123668">
        <w:rPr>
          <w:rFonts w:ascii="Arial" w:hAnsi="Arial" w:cs="Arial"/>
          <w:color w:val="000000" w:themeColor="text1"/>
        </w:rPr>
        <w:t xml:space="preserve">The results </w:t>
      </w:r>
      <w:r w:rsidR="00462D8F" w:rsidRPr="77123668">
        <w:rPr>
          <w:rFonts w:ascii="Arial" w:hAnsi="Arial" w:cs="Arial"/>
          <w:color w:val="000000" w:themeColor="text1"/>
        </w:rPr>
        <w:t xml:space="preserve">of Cameroon and the other four trading partners are </w:t>
      </w:r>
      <w:r w:rsidR="03C7D30C" w:rsidRPr="77123668">
        <w:rPr>
          <w:rFonts w:ascii="Arial" w:hAnsi="Arial" w:cs="Arial"/>
          <w:color w:val="000000" w:themeColor="text1"/>
        </w:rPr>
        <w:t>like</w:t>
      </w:r>
      <w:r w:rsidR="00462D8F" w:rsidRPr="77123668">
        <w:rPr>
          <w:rFonts w:ascii="Arial" w:hAnsi="Arial" w:cs="Arial"/>
          <w:color w:val="000000" w:themeColor="text1"/>
        </w:rPr>
        <w:t xml:space="preserve"> that between Cameroon and China. </w:t>
      </w:r>
      <w:r w:rsidRPr="77123668">
        <w:rPr>
          <w:rFonts w:ascii="Arial" w:hAnsi="Arial" w:cs="Arial"/>
          <w:color w:val="000000" w:themeColor="text1"/>
        </w:rPr>
        <w:t xml:space="preserve">The trade relationship between Cameroon with France, India, Netherlands, and Spain shows the presence of the </w:t>
      </w:r>
      <w:r w:rsidRPr="77123668">
        <w:rPr>
          <w:rFonts w:ascii="Arial" w:hAnsi="Arial" w:cs="Arial"/>
          <w:i/>
          <w:color w:val="000000" w:themeColor="text1"/>
        </w:rPr>
        <w:t>J-</w:t>
      </w:r>
      <w:r w:rsidRPr="77123668">
        <w:rPr>
          <w:rFonts w:ascii="Arial" w:hAnsi="Arial" w:cs="Arial"/>
          <w:color w:val="000000" w:themeColor="text1"/>
        </w:rPr>
        <w:t>curve. In the long</w:t>
      </w:r>
      <w:r w:rsidR="07249253" w:rsidRPr="77123668">
        <w:rPr>
          <w:rFonts w:ascii="Arial" w:hAnsi="Arial" w:cs="Arial"/>
          <w:color w:val="000000" w:themeColor="text1"/>
        </w:rPr>
        <w:t>-</w:t>
      </w:r>
      <w:r w:rsidRPr="77123668">
        <w:rPr>
          <w:rFonts w:ascii="Arial" w:hAnsi="Arial" w:cs="Arial"/>
          <w:color w:val="000000" w:themeColor="text1"/>
        </w:rPr>
        <w:t xml:space="preserve">run, </w:t>
      </w:r>
      <w:r w:rsidR="007512F5" w:rsidRPr="77123668">
        <w:rPr>
          <w:rFonts w:ascii="Arial" w:hAnsi="Arial" w:cs="Arial"/>
          <w:color w:val="000000" w:themeColor="text1"/>
        </w:rPr>
        <w:t xml:space="preserve">a 1% devaluation will cause improvements in the trade balance (i.e., 0.439%, 0.278%, 0.362%, </w:t>
      </w:r>
      <w:r w:rsidR="00827101">
        <w:rPr>
          <w:rFonts w:ascii="Arial" w:hAnsi="Arial" w:cs="Arial"/>
          <w:color w:val="000000" w:themeColor="text1"/>
        </w:rPr>
        <w:t xml:space="preserve">and </w:t>
      </w:r>
      <w:r w:rsidR="007512F5" w:rsidRPr="77123668">
        <w:rPr>
          <w:rFonts w:ascii="Arial" w:hAnsi="Arial" w:cs="Arial"/>
          <w:color w:val="000000" w:themeColor="text1"/>
        </w:rPr>
        <w:t xml:space="preserve">0.340% </w:t>
      </w:r>
      <w:r w:rsidR="0088016C" w:rsidRPr="77123668">
        <w:rPr>
          <w:rFonts w:ascii="Arial" w:hAnsi="Arial" w:cs="Arial"/>
          <w:color w:val="000000" w:themeColor="text1"/>
        </w:rPr>
        <w:t>for France, India, Netherlands, and Spain</w:t>
      </w:r>
      <w:r w:rsidR="00D55BFD">
        <w:rPr>
          <w:rFonts w:ascii="Arial" w:hAnsi="Arial" w:cs="Arial"/>
          <w:color w:val="000000" w:themeColor="text1"/>
        </w:rPr>
        <w:t>,</w:t>
      </w:r>
      <w:r w:rsidR="0088016C" w:rsidRPr="77123668">
        <w:rPr>
          <w:rFonts w:ascii="Arial" w:hAnsi="Arial" w:cs="Arial"/>
          <w:color w:val="000000" w:themeColor="text1"/>
        </w:rPr>
        <w:t xml:space="preserve"> </w:t>
      </w:r>
      <w:r w:rsidR="007512F5" w:rsidRPr="77123668">
        <w:rPr>
          <w:rFonts w:ascii="Arial" w:hAnsi="Arial" w:cs="Arial"/>
          <w:color w:val="000000" w:themeColor="text1"/>
        </w:rPr>
        <w:t xml:space="preserve">respectively) and </w:t>
      </w:r>
      <w:r w:rsidR="00DE4833" w:rsidRPr="77123668">
        <w:rPr>
          <w:rFonts w:ascii="Arial" w:hAnsi="Arial" w:cs="Arial"/>
          <w:color w:val="000000" w:themeColor="text1"/>
        </w:rPr>
        <w:t>statistically significant</w:t>
      </w:r>
      <w:r w:rsidR="008B3075" w:rsidRPr="77123668">
        <w:rPr>
          <w:rFonts w:ascii="Arial" w:hAnsi="Arial" w:cs="Arial"/>
          <w:color w:val="000000" w:themeColor="text1"/>
        </w:rPr>
        <w:t xml:space="preserve"> (i.e., </w:t>
      </w:r>
      <w:r w:rsidR="008B3075" w:rsidRPr="77123668">
        <w:rPr>
          <w:rFonts w:ascii="Arial" w:hAnsi="Arial" w:cs="Arial"/>
          <w:i/>
          <w:color w:val="000000" w:themeColor="text1"/>
        </w:rPr>
        <w:t>t-</w:t>
      </w:r>
      <w:r w:rsidR="008B3075" w:rsidRPr="77123668">
        <w:rPr>
          <w:rFonts w:ascii="Arial" w:hAnsi="Arial" w:cs="Arial"/>
          <w:color w:val="000000" w:themeColor="text1"/>
        </w:rPr>
        <w:t xml:space="preserve">statistic of 3.868, 2.364, 3.169, </w:t>
      </w:r>
      <w:r w:rsidR="0087267D">
        <w:rPr>
          <w:rFonts w:ascii="Arial" w:hAnsi="Arial" w:cs="Arial"/>
          <w:color w:val="000000" w:themeColor="text1"/>
        </w:rPr>
        <w:t xml:space="preserve">and </w:t>
      </w:r>
      <w:r w:rsidR="008B3075" w:rsidRPr="77123668">
        <w:rPr>
          <w:rFonts w:ascii="Arial" w:hAnsi="Arial" w:cs="Arial"/>
          <w:color w:val="000000" w:themeColor="text1"/>
        </w:rPr>
        <w:t xml:space="preserve">3.476 respectively, which are greater than |2|). The ECTs are negative (i.e., -0.848, -0.797, -0.902, </w:t>
      </w:r>
      <w:r w:rsidR="007A435D">
        <w:rPr>
          <w:rFonts w:ascii="Arial" w:hAnsi="Arial" w:cs="Arial"/>
          <w:color w:val="000000" w:themeColor="text1"/>
        </w:rPr>
        <w:t xml:space="preserve">and </w:t>
      </w:r>
      <w:r w:rsidR="00B71381" w:rsidRPr="77123668">
        <w:rPr>
          <w:rFonts w:ascii="Arial" w:hAnsi="Arial" w:cs="Arial"/>
          <w:color w:val="000000" w:themeColor="text1"/>
        </w:rPr>
        <w:t>-0.908 respectively</w:t>
      </w:r>
      <w:r w:rsidR="008B3075" w:rsidRPr="77123668">
        <w:rPr>
          <w:rFonts w:ascii="Arial" w:hAnsi="Arial" w:cs="Arial"/>
          <w:color w:val="000000" w:themeColor="text1"/>
        </w:rPr>
        <w:t xml:space="preserve">), and statistically significant (i.e., </w:t>
      </w:r>
      <w:r w:rsidR="008B3075" w:rsidRPr="77123668">
        <w:rPr>
          <w:rFonts w:ascii="Arial" w:hAnsi="Arial" w:cs="Arial"/>
          <w:i/>
          <w:color w:val="000000" w:themeColor="text1"/>
        </w:rPr>
        <w:t>t-</w:t>
      </w:r>
      <w:r w:rsidR="008B3075" w:rsidRPr="77123668">
        <w:rPr>
          <w:rFonts w:ascii="Arial" w:hAnsi="Arial" w:cs="Arial"/>
          <w:color w:val="000000" w:themeColor="text1"/>
        </w:rPr>
        <w:t>statistic of |7.985|, |8.138|</w:t>
      </w:r>
      <w:r w:rsidR="00B71381" w:rsidRPr="77123668">
        <w:rPr>
          <w:rFonts w:ascii="Arial" w:hAnsi="Arial" w:cs="Arial"/>
          <w:color w:val="000000" w:themeColor="text1"/>
        </w:rPr>
        <w:t xml:space="preserve">, |5.808|, </w:t>
      </w:r>
      <w:r w:rsidR="007A435D">
        <w:rPr>
          <w:rFonts w:ascii="Arial" w:hAnsi="Arial" w:cs="Arial"/>
          <w:color w:val="000000" w:themeColor="text1"/>
        </w:rPr>
        <w:t xml:space="preserve">and </w:t>
      </w:r>
      <w:r w:rsidR="00B71381" w:rsidRPr="77123668">
        <w:rPr>
          <w:rFonts w:ascii="Arial" w:hAnsi="Arial" w:cs="Arial"/>
          <w:color w:val="000000" w:themeColor="text1"/>
        </w:rPr>
        <w:t>|5.987| respectively, which is greater than |2|</w:t>
      </w:r>
      <w:r w:rsidR="008B3075" w:rsidRPr="77123668">
        <w:rPr>
          <w:rFonts w:ascii="Arial" w:hAnsi="Arial" w:cs="Arial"/>
          <w:color w:val="000000" w:themeColor="text1"/>
        </w:rPr>
        <w:t xml:space="preserve">). </w:t>
      </w:r>
      <w:r w:rsidR="0088016C" w:rsidRPr="77123668">
        <w:rPr>
          <w:rFonts w:ascii="Arial" w:hAnsi="Arial" w:cs="Arial"/>
          <w:color w:val="000000" w:themeColor="text1"/>
        </w:rPr>
        <w:t>In the short run, on average, a 1% devaluation of the CFA franc leads to a (</w:t>
      </w:r>
      <w:r w:rsidR="00785402">
        <w:rPr>
          <w:rFonts w:ascii="Arial" w:hAnsi="Arial" w:cs="Arial"/>
          <w:color w:val="000000" w:themeColor="text1"/>
        </w:rPr>
        <w:t>-</w:t>
      </w:r>
      <w:r w:rsidR="0088016C" w:rsidRPr="77123668">
        <w:rPr>
          <w:rFonts w:ascii="Arial" w:hAnsi="Arial" w:cs="Arial"/>
          <w:color w:val="000000" w:themeColor="text1"/>
        </w:rPr>
        <w:t xml:space="preserve">0.638%, </w:t>
      </w:r>
      <w:r w:rsidR="00785402">
        <w:rPr>
          <w:rFonts w:ascii="Arial" w:hAnsi="Arial" w:cs="Arial"/>
          <w:color w:val="000000" w:themeColor="text1"/>
        </w:rPr>
        <w:t>-</w:t>
      </w:r>
      <w:r w:rsidR="0088016C" w:rsidRPr="77123668">
        <w:rPr>
          <w:rFonts w:ascii="Arial" w:hAnsi="Arial" w:cs="Arial"/>
          <w:color w:val="000000" w:themeColor="text1"/>
        </w:rPr>
        <w:t xml:space="preserve">0.481%, </w:t>
      </w:r>
      <w:r w:rsidR="00785402">
        <w:rPr>
          <w:rFonts w:ascii="Arial" w:hAnsi="Arial" w:cs="Arial"/>
          <w:color w:val="000000" w:themeColor="text1"/>
        </w:rPr>
        <w:t>-</w:t>
      </w:r>
      <w:r w:rsidR="0088016C" w:rsidRPr="77123668">
        <w:rPr>
          <w:rFonts w:ascii="Arial" w:hAnsi="Arial" w:cs="Arial"/>
          <w:color w:val="000000" w:themeColor="text1"/>
        </w:rPr>
        <w:t xml:space="preserve">0.491%, </w:t>
      </w:r>
      <w:r w:rsidR="00785402">
        <w:rPr>
          <w:rFonts w:ascii="Arial" w:hAnsi="Arial" w:cs="Arial"/>
          <w:color w:val="000000" w:themeColor="text1"/>
        </w:rPr>
        <w:t xml:space="preserve">and </w:t>
      </w:r>
      <w:r w:rsidR="001C56BA">
        <w:rPr>
          <w:rFonts w:ascii="Arial" w:hAnsi="Arial" w:cs="Arial"/>
          <w:color w:val="000000" w:themeColor="text1"/>
        </w:rPr>
        <w:t>-</w:t>
      </w:r>
      <w:r w:rsidR="0088016C" w:rsidRPr="77123668">
        <w:rPr>
          <w:rFonts w:ascii="Arial" w:hAnsi="Arial" w:cs="Arial"/>
          <w:color w:val="000000" w:themeColor="text1"/>
        </w:rPr>
        <w:t>0.491% for France, India, Netherlands, and Spain</w:t>
      </w:r>
      <w:r w:rsidR="00466004">
        <w:rPr>
          <w:rFonts w:ascii="Arial" w:hAnsi="Arial" w:cs="Arial"/>
          <w:color w:val="000000" w:themeColor="text1"/>
        </w:rPr>
        <w:t>,</w:t>
      </w:r>
      <w:r w:rsidR="0088016C" w:rsidRPr="77123668">
        <w:rPr>
          <w:rFonts w:ascii="Arial" w:hAnsi="Arial" w:cs="Arial"/>
          <w:color w:val="000000" w:themeColor="text1"/>
        </w:rPr>
        <w:t xml:space="preserve"> respectively) worsening of the trade balance. The </w:t>
      </w:r>
      <w:r w:rsidR="0088016C" w:rsidRPr="77123668">
        <w:rPr>
          <w:rFonts w:ascii="Arial" w:hAnsi="Arial" w:cs="Arial"/>
          <w:i/>
          <w:color w:val="000000" w:themeColor="text1"/>
        </w:rPr>
        <w:t>J</w:t>
      </w:r>
      <w:r w:rsidR="0088016C" w:rsidRPr="77123668">
        <w:rPr>
          <w:rFonts w:ascii="Arial" w:hAnsi="Arial" w:cs="Arial"/>
          <w:color w:val="000000" w:themeColor="text1"/>
        </w:rPr>
        <w:t>-curve</w:t>
      </w:r>
      <w:r w:rsidR="00527C92">
        <w:rPr>
          <w:rFonts w:ascii="Arial" w:hAnsi="Arial" w:cs="Arial"/>
          <w:color w:val="000000" w:themeColor="text1"/>
        </w:rPr>
        <w:t>,</w:t>
      </w:r>
      <w:r w:rsidR="0088016C" w:rsidRPr="77123668">
        <w:rPr>
          <w:rFonts w:ascii="Arial" w:hAnsi="Arial" w:cs="Arial"/>
          <w:color w:val="000000" w:themeColor="text1"/>
        </w:rPr>
        <w:t xml:space="preserve"> therefore</w:t>
      </w:r>
      <w:r w:rsidR="00527C92">
        <w:rPr>
          <w:rFonts w:ascii="Arial" w:hAnsi="Arial" w:cs="Arial"/>
          <w:color w:val="000000" w:themeColor="text1"/>
        </w:rPr>
        <w:t>,</w:t>
      </w:r>
      <w:r w:rsidR="0088016C" w:rsidRPr="77123668">
        <w:rPr>
          <w:rFonts w:ascii="Arial" w:hAnsi="Arial" w:cs="Arial"/>
          <w:color w:val="000000" w:themeColor="text1"/>
        </w:rPr>
        <w:t xml:space="preserve"> holds in th</w:t>
      </w:r>
      <w:r w:rsidR="00462D8F" w:rsidRPr="77123668">
        <w:rPr>
          <w:rFonts w:ascii="Arial" w:hAnsi="Arial" w:cs="Arial"/>
          <w:color w:val="000000" w:themeColor="text1"/>
        </w:rPr>
        <w:t>e</w:t>
      </w:r>
      <w:r w:rsidR="0088016C" w:rsidRPr="77123668">
        <w:rPr>
          <w:rFonts w:ascii="Arial" w:hAnsi="Arial" w:cs="Arial"/>
          <w:color w:val="000000" w:themeColor="text1"/>
        </w:rPr>
        <w:t>s</w:t>
      </w:r>
      <w:r w:rsidR="00462D8F" w:rsidRPr="77123668">
        <w:rPr>
          <w:rFonts w:ascii="Arial" w:hAnsi="Arial" w:cs="Arial"/>
          <w:color w:val="000000" w:themeColor="text1"/>
        </w:rPr>
        <w:t>e</w:t>
      </w:r>
      <w:r w:rsidR="0088016C" w:rsidRPr="77123668">
        <w:rPr>
          <w:rFonts w:ascii="Arial" w:hAnsi="Arial" w:cs="Arial"/>
          <w:color w:val="000000" w:themeColor="text1"/>
        </w:rPr>
        <w:t xml:space="preserve"> model</w:t>
      </w:r>
      <w:r w:rsidR="00462D8F" w:rsidRPr="77123668">
        <w:rPr>
          <w:rFonts w:ascii="Arial" w:hAnsi="Arial" w:cs="Arial"/>
          <w:color w:val="000000" w:themeColor="text1"/>
        </w:rPr>
        <w:t>s</w:t>
      </w:r>
      <w:r w:rsidR="0088016C" w:rsidRPr="77123668">
        <w:rPr>
          <w:rFonts w:ascii="Arial" w:hAnsi="Arial" w:cs="Arial"/>
          <w:color w:val="000000" w:themeColor="text1"/>
        </w:rPr>
        <w:t xml:space="preserve"> because in the short run, the trade balance is worsening or negative (i.e., LNREER is negative and statistically significant with </w:t>
      </w:r>
      <w:r w:rsidR="0088016C" w:rsidRPr="77123668">
        <w:rPr>
          <w:rFonts w:ascii="Arial" w:hAnsi="Arial" w:cs="Arial"/>
          <w:i/>
          <w:color w:val="000000" w:themeColor="text1"/>
        </w:rPr>
        <w:t>t-</w:t>
      </w:r>
      <w:r w:rsidR="0088016C" w:rsidRPr="77123668">
        <w:rPr>
          <w:rFonts w:ascii="Arial" w:hAnsi="Arial" w:cs="Arial"/>
          <w:color w:val="000000" w:themeColor="text1"/>
        </w:rPr>
        <w:t xml:space="preserve">statistic greater than |2|). </w:t>
      </w:r>
      <w:r w:rsidR="00100BFB">
        <w:rPr>
          <w:rFonts w:ascii="Arial" w:hAnsi="Arial" w:cs="Arial"/>
          <w:color w:val="000000" w:themeColor="text1"/>
        </w:rPr>
        <w:t>I</w:t>
      </w:r>
      <w:r w:rsidR="0088016C" w:rsidRPr="77123668">
        <w:rPr>
          <w:rFonts w:ascii="Arial" w:hAnsi="Arial" w:cs="Arial"/>
          <w:color w:val="000000" w:themeColor="text1"/>
        </w:rPr>
        <w:t xml:space="preserve">n the </w:t>
      </w:r>
      <w:r w:rsidR="0088016C" w:rsidRPr="5317AD51">
        <w:rPr>
          <w:rFonts w:ascii="Arial" w:hAnsi="Arial" w:cs="Arial"/>
          <w:color w:val="000000" w:themeColor="text1"/>
        </w:rPr>
        <w:t>long</w:t>
      </w:r>
      <w:r w:rsidR="1CF48DD9" w:rsidRPr="5317AD51">
        <w:rPr>
          <w:rFonts w:ascii="Arial" w:hAnsi="Arial" w:cs="Arial"/>
          <w:color w:val="000000" w:themeColor="text1"/>
        </w:rPr>
        <w:t>-</w:t>
      </w:r>
      <w:r w:rsidR="0088016C" w:rsidRPr="5317AD51">
        <w:rPr>
          <w:rFonts w:ascii="Arial" w:hAnsi="Arial" w:cs="Arial"/>
          <w:color w:val="000000" w:themeColor="text1"/>
        </w:rPr>
        <w:t>run</w:t>
      </w:r>
      <w:r w:rsidR="0088016C" w:rsidRPr="77123668">
        <w:rPr>
          <w:rFonts w:ascii="Arial" w:hAnsi="Arial" w:cs="Arial"/>
          <w:color w:val="000000" w:themeColor="text1"/>
        </w:rPr>
        <w:t xml:space="preserve">, the trade balance improves or </w:t>
      </w:r>
      <w:r w:rsidR="00100BFB">
        <w:rPr>
          <w:rFonts w:ascii="Arial" w:hAnsi="Arial" w:cs="Arial"/>
          <w:color w:val="000000" w:themeColor="text1"/>
        </w:rPr>
        <w:t xml:space="preserve">is </w:t>
      </w:r>
      <w:r w:rsidR="0088016C" w:rsidRPr="77123668">
        <w:rPr>
          <w:rFonts w:ascii="Arial" w:hAnsi="Arial" w:cs="Arial"/>
          <w:color w:val="000000" w:themeColor="text1"/>
        </w:rPr>
        <w:t xml:space="preserve">positive (with LNREER being positive and statistically significant). </w:t>
      </w:r>
      <w:r w:rsidR="0024371D" w:rsidRPr="77123668">
        <w:rPr>
          <w:rFonts w:ascii="Arial" w:hAnsi="Arial" w:cs="Arial"/>
          <w:color w:val="000000" w:themeColor="text1"/>
        </w:rPr>
        <w:t xml:space="preserve">Thus, there is the presence of the </w:t>
      </w:r>
      <w:r w:rsidR="0024371D" w:rsidRPr="77123668">
        <w:rPr>
          <w:rFonts w:ascii="Arial" w:hAnsi="Arial" w:cs="Arial"/>
          <w:i/>
          <w:color w:val="000000" w:themeColor="text1"/>
        </w:rPr>
        <w:t>J-</w:t>
      </w:r>
      <w:r w:rsidR="0024371D" w:rsidRPr="77123668">
        <w:rPr>
          <w:rFonts w:ascii="Arial" w:hAnsi="Arial" w:cs="Arial"/>
          <w:color w:val="000000" w:themeColor="text1"/>
        </w:rPr>
        <w:t xml:space="preserve">curve in the trade balance between Cameroon and all </w:t>
      </w:r>
      <w:r w:rsidR="009040F3">
        <w:rPr>
          <w:rFonts w:ascii="Arial" w:hAnsi="Arial" w:cs="Arial"/>
          <w:color w:val="000000" w:themeColor="text1"/>
        </w:rPr>
        <w:t>her</w:t>
      </w:r>
      <w:r w:rsidR="00C73849">
        <w:rPr>
          <w:rFonts w:ascii="Arial" w:hAnsi="Arial" w:cs="Arial"/>
          <w:color w:val="000000" w:themeColor="text1"/>
        </w:rPr>
        <w:t xml:space="preserve"> 5</w:t>
      </w:r>
      <w:r w:rsidR="0024371D" w:rsidRPr="77123668">
        <w:rPr>
          <w:rFonts w:ascii="Arial" w:hAnsi="Arial" w:cs="Arial"/>
          <w:color w:val="000000" w:themeColor="text1"/>
        </w:rPr>
        <w:t xml:space="preserve"> main trade partners.</w:t>
      </w:r>
    </w:p>
    <w:p w14:paraId="22E0E0DC" w14:textId="7F8042D7" w:rsidR="008C44F8" w:rsidRPr="0024371D" w:rsidRDefault="008C44F8" w:rsidP="0066301C">
      <w:pPr>
        <w:autoSpaceDE w:val="0"/>
        <w:autoSpaceDN w:val="0"/>
        <w:adjustRightInd w:val="0"/>
        <w:spacing w:line="360" w:lineRule="auto"/>
        <w:ind w:hanging="11"/>
        <w:jc w:val="both"/>
        <w:rPr>
          <w:rFonts w:ascii="Arial" w:hAnsi="Arial" w:cs="Arial"/>
          <w:color w:val="000000"/>
        </w:rPr>
      </w:pPr>
      <w:r w:rsidRPr="5317AD51">
        <w:rPr>
          <w:rFonts w:ascii="Arial" w:hAnsi="Arial" w:cs="Arial"/>
          <w:color w:val="000000" w:themeColor="text1"/>
        </w:rPr>
        <w:t xml:space="preserve">Cameroon’s exports are dominated by oil export, which accounts for about 60% of the exports. A devaluation shock </w:t>
      </w:r>
      <w:r w:rsidR="00462D8F" w:rsidRPr="5317AD51">
        <w:rPr>
          <w:rFonts w:ascii="Arial" w:hAnsi="Arial" w:cs="Arial"/>
          <w:color w:val="000000" w:themeColor="text1"/>
        </w:rPr>
        <w:t xml:space="preserve">will </w:t>
      </w:r>
      <w:r w:rsidRPr="5317AD51">
        <w:rPr>
          <w:rFonts w:ascii="Arial" w:hAnsi="Arial" w:cs="Arial"/>
          <w:color w:val="000000" w:themeColor="text1"/>
        </w:rPr>
        <w:t xml:space="preserve">lead to an increase in demand for oil, </w:t>
      </w:r>
      <w:r w:rsidR="00462D8F" w:rsidRPr="5317AD51">
        <w:rPr>
          <w:rFonts w:ascii="Arial" w:hAnsi="Arial" w:cs="Arial"/>
          <w:color w:val="000000" w:themeColor="text1"/>
        </w:rPr>
        <w:t xml:space="preserve">and </w:t>
      </w:r>
      <w:r w:rsidRPr="5317AD51">
        <w:rPr>
          <w:rFonts w:ascii="Arial" w:hAnsi="Arial" w:cs="Arial"/>
          <w:color w:val="000000" w:themeColor="text1"/>
        </w:rPr>
        <w:t xml:space="preserve">producers adjust by increasing production. Eventually, there is </w:t>
      </w:r>
      <w:r w:rsidR="00AE67AD">
        <w:rPr>
          <w:rFonts w:ascii="Arial" w:hAnsi="Arial" w:cs="Arial"/>
          <w:color w:val="000000" w:themeColor="text1"/>
        </w:rPr>
        <w:t xml:space="preserve">an </w:t>
      </w:r>
      <w:r w:rsidRPr="5317AD51">
        <w:rPr>
          <w:rFonts w:ascii="Arial" w:hAnsi="Arial" w:cs="Arial"/>
          <w:color w:val="000000" w:themeColor="text1"/>
        </w:rPr>
        <w:t xml:space="preserve">improvement in the trade balance. </w:t>
      </w:r>
      <w:r w:rsidRPr="00D25205">
        <w:rPr>
          <w:rFonts w:ascii="Arial" w:hAnsi="Arial" w:cs="Arial"/>
          <w:lang w:val="en-US"/>
        </w:rPr>
        <w:t xml:space="preserve">These results </w:t>
      </w:r>
      <w:r w:rsidRPr="00D25205">
        <w:rPr>
          <w:rFonts w:ascii="Arial" w:hAnsi="Arial" w:cs="Arial"/>
          <w:lang w:val="en-US"/>
        </w:rPr>
        <w:lastRenderedPageBreak/>
        <w:t xml:space="preserve">are in line with the results obtained by Rose and Yellen (1989), Marwah and Klein (1996), </w:t>
      </w:r>
      <w:r w:rsidRPr="00D25205">
        <w:rPr>
          <w:rFonts w:ascii="Arial" w:hAnsi="Arial" w:cs="Arial"/>
        </w:rPr>
        <w:t>Bahmani-Oskooee and Brooks (1999), Dhasmana (2012)</w:t>
      </w:r>
      <w:r w:rsidR="00C17125">
        <w:rPr>
          <w:rFonts w:ascii="Arial" w:hAnsi="Arial" w:cs="Arial"/>
        </w:rPr>
        <w:t xml:space="preserve">, </w:t>
      </w:r>
      <w:r w:rsidR="00C17125" w:rsidRPr="003709E7">
        <w:rPr>
          <w:rFonts w:ascii="Arial" w:hAnsi="Arial" w:cs="Arial"/>
        </w:rPr>
        <w:t>Laetitia and Hongbing (2019),</w:t>
      </w:r>
      <w:r w:rsidRPr="00D25205">
        <w:rPr>
          <w:rFonts w:ascii="Arial" w:hAnsi="Arial" w:cs="Arial"/>
        </w:rPr>
        <w:t xml:space="preserve"> </w:t>
      </w:r>
      <w:r w:rsidRPr="00D25205">
        <w:rPr>
          <w:rFonts w:ascii="Arial" w:hAnsi="Arial" w:cs="Arial"/>
          <w:lang w:val="en-US"/>
        </w:rPr>
        <w:t>stating that currency devaluation improves a nation’s trade balance in the long-term though there will be a short-term deterioration of the trade balance.</w:t>
      </w:r>
      <w:r w:rsidR="00181A6B">
        <w:rPr>
          <w:rFonts w:ascii="Arial" w:hAnsi="Arial" w:cs="Arial"/>
          <w:lang w:val="en-US"/>
        </w:rPr>
        <w:t xml:space="preserve"> </w:t>
      </w:r>
      <w:r w:rsidR="00C73849">
        <w:rPr>
          <w:rFonts w:ascii="Arial" w:hAnsi="Arial" w:cs="Arial"/>
          <w:lang w:val="en-US"/>
        </w:rPr>
        <w:t xml:space="preserve">Hence, </w:t>
      </w:r>
      <w:r w:rsidR="00C54BFE">
        <w:rPr>
          <w:rFonts w:ascii="Arial" w:hAnsi="Arial" w:cs="Arial"/>
          <w:lang w:val="en-US"/>
        </w:rPr>
        <w:t>c</w:t>
      </w:r>
      <w:r w:rsidR="00B97104">
        <w:rPr>
          <w:rFonts w:ascii="Arial" w:hAnsi="Arial" w:cs="Arial"/>
          <w:lang w:val="en-US"/>
        </w:rPr>
        <w:t>urrenc</w:t>
      </w:r>
      <w:r w:rsidR="00181A6B">
        <w:rPr>
          <w:rFonts w:ascii="Arial" w:hAnsi="Arial" w:cs="Arial"/>
          <w:lang w:val="en-US"/>
        </w:rPr>
        <w:t>y</w:t>
      </w:r>
      <w:r w:rsidR="00B97104">
        <w:rPr>
          <w:rFonts w:ascii="Arial" w:hAnsi="Arial" w:cs="Arial"/>
          <w:lang w:val="en-US"/>
        </w:rPr>
        <w:t xml:space="preserve"> devaluation is a </w:t>
      </w:r>
      <w:r w:rsidR="5E2136DF" w:rsidRPr="5317AD51">
        <w:rPr>
          <w:rFonts w:ascii="Arial" w:hAnsi="Arial" w:cs="Arial"/>
          <w:lang w:val="en-US"/>
        </w:rPr>
        <w:t>valuable</w:t>
      </w:r>
      <w:r w:rsidR="00B97104">
        <w:rPr>
          <w:rFonts w:ascii="Arial" w:hAnsi="Arial" w:cs="Arial"/>
          <w:lang w:val="en-US"/>
        </w:rPr>
        <w:t xml:space="preserve"> </w:t>
      </w:r>
      <w:r w:rsidR="00181A6B">
        <w:rPr>
          <w:rFonts w:ascii="Arial" w:hAnsi="Arial" w:cs="Arial"/>
          <w:lang w:val="en-US"/>
        </w:rPr>
        <w:t>t</w:t>
      </w:r>
      <w:r w:rsidR="00B97104">
        <w:rPr>
          <w:rFonts w:ascii="Arial" w:hAnsi="Arial" w:cs="Arial"/>
          <w:lang w:val="en-US"/>
        </w:rPr>
        <w:t xml:space="preserve">ool </w:t>
      </w:r>
      <w:r w:rsidR="00181A6B">
        <w:rPr>
          <w:rFonts w:ascii="Arial" w:hAnsi="Arial" w:cs="Arial"/>
          <w:lang w:val="en-US"/>
        </w:rPr>
        <w:t>t</w:t>
      </w:r>
      <w:r w:rsidR="00B97104">
        <w:rPr>
          <w:rFonts w:ascii="Arial" w:hAnsi="Arial" w:cs="Arial"/>
          <w:lang w:val="en-US"/>
        </w:rPr>
        <w:t>o be used b</w:t>
      </w:r>
      <w:r w:rsidR="00181A6B">
        <w:rPr>
          <w:rFonts w:ascii="Arial" w:hAnsi="Arial" w:cs="Arial"/>
          <w:lang w:val="en-US"/>
        </w:rPr>
        <w:t>y</w:t>
      </w:r>
      <w:r w:rsidR="00B97104">
        <w:rPr>
          <w:rFonts w:ascii="Arial" w:hAnsi="Arial" w:cs="Arial"/>
          <w:lang w:val="en-US"/>
        </w:rPr>
        <w:t xml:space="preserve"> Cameroon polic</w:t>
      </w:r>
      <w:r w:rsidR="00181A6B">
        <w:rPr>
          <w:rFonts w:ascii="Arial" w:hAnsi="Arial" w:cs="Arial"/>
          <w:lang w:val="en-US"/>
        </w:rPr>
        <w:t>y</w:t>
      </w:r>
      <w:r w:rsidR="00B97104">
        <w:rPr>
          <w:rFonts w:ascii="Arial" w:hAnsi="Arial" w:cs="Arial"/>
          <w:lang w:val="en-US"/>
        </w:rPr>
        <w:t xml:space="preserve">makers </w:t>
      </w:r>
      <w:r w:rsidR="00181A6B">
        <w:rPr>
          <w:rFonts w:ascii="Arial" w:hAnsi="Arial" w:cs="Arial"/>
          <w:lang w:val="en-US"/>
        </w:rPr>
        <w:t>t</w:t>
      </w:r>
      <w:r w:rsidR="00B97104">
        <w:rPr>
          <w:rFonts w:ascii="Arial" w:hAnsi="Arial" w:cs="Arial"/>
          <w:lang w:val="en-US"/>
        </w:rPr>
        <w:t xml:space="preserve">o improve </w:t>
      </w:r>
      <w:r w:rsidR="00181A6B">
        <w:rPr>
          <w:rFonts w:ascii="Arial" w:hAnsi="Arial" w:cs="Arial"/>
          <w:lang w:val="en-US"/>
        </w:rPr>
        <w:t>t</w:t>
      </w:r>
      <w:r w:rsidR="00B97104">
        <w:rPr>
          <w:rFonts w:ascii="Arial" w:hAnsi="Arial" w:cs="Arial"/>
          <w:lang w:val="en-US"/>
        </w:rPr>
        <w:t xml:space="preserve">heir </w:t>
      </w:r>
      <w:r w:rsidR="00181A6B">
        <w:rPr>
          <w:rFonts w:ascii="Arial" w:hAnsi="Arial" w:cs="Arial"/>
          <w:lang w:val="en-US"/>
        </w:rPr>
        <w:t>trade balance</w:t>
      </w:r>
      <w:r w:rsidR="00B97104">
        <w:rPr>
          <w:rFonts w:ascii="Arial" w:hAnsi="Arial" w:cs="Arial"/>
          <w:lang w:val="en-US"/>
        </w:rPr>
        <w:t xml:space="preserve">, which could </w:t>
      </w:r>
      <w:r w:rsidR="00181A6B">
        <w:rPr>
          <w:rFonts w:ascii="Arial" w:hAnsi="Arial" w:cs="Arial"/>
          <w:lang w:val="en-US"/>
        </w:rPr>
        <w:t>eventually</w:t>
      </w:r>
      <w:r w:rsidR="00B97104">
        <w:rPr>
          <w:rFonts w:ascii="Arial" w:hAnsi="Arial" w:cs="Arial"/>
          <w:lang w:val="en-US"/>
        </w:rPr>
        <w:t xml:space="preserve"> lead </w:t>
      </w:r>
      <w:r w:rsidR="00181A6B">
        <w:rPr>
          <w:rFonts w:ascii="Arial" w:hAnsi="Arial" w:cs="Arial"/>
          <w:lang w:val="en-US"/>
        </w:rPr>
        <w:t>t</w:t>
      </w:r>
      <w:r w:rsidR="00B97104">
        <w:rPr>
          <w:rFonts w:ascii="Arial" w:hAnsi="Arial" w:cs="Arial"/>
          <w:lang w:val="en-US"/>
        </w:rPr>
        <w:t xml:space="preserve">o </w:t>
      </w:r>
      <w:r w:rsidR="00181A6B">
        <w:rPr>
          <w:rFonts w:ascii="Arial" w:hAnsi="Arial" w:cs="Arial"/>
          <w:lang w:val="en-US"/>
        </w:rPr>
        <w:t>t</w:t>
      </w:r>
      <w:r w:rsidR="00B97104">
        <w:rPr>
          <w:rFonts w:ascii="Arial" w:hAnsi="Arial" w:cs="Arial"/>
          <w:lang w:val="en-US"/>
        </w:rPr>
        <w:t>he improvemen</w:t>
      </w:r>
      <w:r w:rsidR="00181A6B">
        <w:rPr>
          <w:rFonts w:ascii="Arial" w:hAnsi="Arial" w:cs="Arial"/>
          <w:lang w:val="en-US"/>
        </w:rPr>
        <w:t>t</w:t>
      </w:r>
      <w:r w:rsidR="00B97104">
        <w:rPr>
          <w:rFonts w:ascii="Arial" w:hAnsi="Arial" w:cs="Arial"/>
          <w:lang w:val="en-US"/>
        </w:rPr>
        <w:t xml:space="preserve"> of Cameroon</w:t>
      </w:r>
      <w:r w:rsidR="00AE67AD">
        <w:rPr>
          <w:rFonts w:ascii="Arial" w:hAnsi="Arial" w:cs="Arial"/>
          <w:lang w:val="en-US"/>
        </w:rPr>
        <w:t>’s</w:t>
      </w:r>
      <w:r w:rsidR="00B97104">
        <w:rPr>
          <w:rFonts w:ascii="Arial" w:hAnsi="Arial" w:cs="Arial"/>
          <w:lang w:val="en-US"/>
        </w:rPr>
        <w:t xml:space="preserve"> economic grow</w:t>
      </w:r>
      <w:r w:rsidR="00181A6B">
        <w:rPr>
          <w:rFonts w:ascii="Arial" w:hAnsi="Arial" w:cs="Arial"/>
          <w:lang w:val="en-US"/>
        </w:rPr>
        <w:t>t</w:t>
      </w:r>
      <w:r w:rsidR="00B97104">
        <w:rPr>
          <w:rFonts w:ascii="Arial" w:hAnsi="Arial" w:cs="Arial"/>
          <w:lang w:val="en-US"/>
        </w:rPr>
        <w:t xml:space="preserve">h. </w:t>
      </w:r>
    </w:p>
    <w:p w14:paraId="5E4AD85E" w14:textId="77777777" w:rsidR="00F91DB7" w:rsidRPr="00C84B3C" w:rsidRDefault="00F91DB7" w:rsidP="0066301C">
      <w:pPr>
        <w:tabs>
          <w:tab w:val="left" w:pos="2640"/>
        </w:tabs>
        <w:spacing w:line="360" w:lineRule="auto"/>
        <w:jc w:val="both"/>
        <w:rPr>
          <w:rFonts w:ascii="Arial" w:hAnsi="Arial" w:cs="Arial"/>
          <w:b/>
          <w:u w:val="single"/>
          <w:lang w:eastAsia="en-GB"/>
        </w:rPr>
      </w:pPr>
      <w:r>
        <w:rPr>
          <w:rFonts w:ascii="Arial" w:hAnsi="Arial" w:cs="Arial"/>
          <w:b/>
          <w:u w:val="single"/>
          <w:lang w:eastAsia="en-GB"/>
        </w:rPr>
        <w:t>CAR</w:t>
      </w:r>
    </w:p>
    <w:p w14:paraId="7C16C352" w14:textId="259EFCC1" w:rsidR="00A67149" w:rsidRDefault="00836939" w:rsidP="0066301C">
      <w:pPr>
        <w:spacing w:line="360" w:lineRule="auto"/>
        <w:jc w:val="both"/>
        <w:rPr>
          <w:rFonts w:ascii="Arial" w:hAnsi="Arial" w:cs="Arial"/>
          <w:lang w:val="en-US"/>
        </w:rPr>
      </w:pPr>
      <w:bookmarkStart w:id="464" w:name="_Hlk133001476"/>
      <w:r>
        <w:rPr>
          <w:rFonts w:ascii="Arial" w:hAnsi="Arial" w:cs="Arial"/>
          <w:lang w:val="en-US"/>
        </w:rPr>
        <w:t>T</w:t>
      </w:r>
      <w:r w:rsidR="00F91DB7" w:rsidRPr="00C84B3C">
        <w:rPr>
          <w:rFonts w:ascii="Arial" w:hAnsi="Arial" w:cs="Arial"/>
          <w:lang w:val="en-US"/>
        </w:rPr>
        <w:t xml:space="preserve">he </w:t>
      </w:r>
      <w:r w:rsidR="48EC00DA" w:rsidRPr="5317AD51">
        <w:rPr>
          <w:rFonts w:ascii="Arial" w:hAnsi="Arial" w:cs="Arial"/>
          <w:lang w:val="en-US"/>
        </w:rPr>
        <w:t>result</w:t>
      </w:r>
      <w:r w:rsidR="00F91DB7" w:rsidRPr="00C84B3C">
        <w:rPr>
          <w:rFonts w:ascii="Arial" w:hAnsi="Arial" w:cs="Arial"/>
          <w:lang w:val="en-US"/>
        </w:rPr>
        <w:t xml:space="preserve"> of CAR shows that the coefficient of ECT </w:t>
      </w:r>
      <w:r w:rsidR="001F1634">
        <w:rPr>
          <w:rFonts w:ascii="Arial" w:hAnsi="Arial" w:cs="Arial"/>
          <w:lang w:val="en-US"/>
        </w:rPr>
        <w:t xml:space="preserve">for all the trade partners are negative and statistically significant </w:t>
      </w:r>
      <w:r w:rsidR="00F91DB7" w:rsidRPr="00C84B3C">
        <w:rPr>
          <w:rFonts w:ascii="Arial" w:hAnsi="Arial" w:cs="Arial"/>
          <w:lang w:val="en-US"/>
        </w:rPr>
        <w:t>(with the</w:t>
      </w:r>
      <w:r w:rsidR="00F91DB7">
        <w:rPr>
          <w:rFonts w:ascii="Arial" w:hAnsi="Arial" w:cs="Arial"/>
          <w:lang w:val="en-US"/>
        </w:rPr>
        <w:t>ir</w:t>
      </w:r>
      <w:r w:rsidR="00F91DB7" w:rsidRPr="00C84B3C">
        <w:rPr>
          <w:rFonts w:ascii="Arial" w:hAnsi="Arial" w:cs="Arial"/>
          <w:lang w:val="en-US"/>
        </w:rPr>
        <w:t xml:space="preserve"> ECT coefficient being </w:t>
      </w:r>
      <w:r w:rsidR="006E6B14" w:rsidRPr="006E6B14">
        <w:rPr>
          <w:rFonts w:ascii="Arial" w:hAnsi="Arial" w:cs="Arial"/>
        </w:rPr>
        <w:t>-0.901</w:t>
      </w:r>
      <w:r w:rsidR="00F91DB7" w:rsidRPr="006E6B14">
        <w:rPr>
          <w:rFonts w:ascii="Arial" w:hAnsi="Arial" w:cs="Arial"/>
          <w:lang w:val="en-US"/>
        </w:rPr>
        <w:t xml:space="preserve">, </w:t>
      </w:r>
      <w:r w:rsidR="006E6B14" w:rsidRPr="006E6B14">
        <w:rPr>
          <w:rFonts w:ascii="Arial" w:hAnsi="Arial" w:cs="Arial"/>
        </w:rPr>
        <w:t>-1.205</w:t>
      </w:r>
      <w:r w:rsidR="00F91DB7" w:rsidRPr="006E6B14">
        <w:rPr>
          <w:rFonts w:ascii="Arial" w:hAnsi="Arial" w:cs="Arial"/>
          <w:lang w:val="en-US"/>
        </w:rPr>
        <w:t xml:space="preserve">, </w:t>
      </w:r>
      <w:r w:rsidR="006E6B14" w:rsidRPr="006E6B14">
        <w:rPr>
          <w:rFonts w:ascii="Arial" w:hAnsi="Arial" w:cs="Arial"/>
        </w:rPr>
        <w:t>-0.571</w:t>
      </w:r>
      <w:r w:rsidR="006E6B14" w:rsidRPr="006E6B14">
        <w:rPr>
          <w:rFonts w:ascii="Arial" w:hAnsi="Arial" w:cs="Arial"/>
          <w:lang w:val="en-US"/>
        </w:rPr>
        <w:t xml:space="preserve">, </w:t>
      </w:r>
      <w:r w:rsidR="006E6B14" w:rsidRPr="006E6B14">
        <w:rPr>
          <w:rFonts w:ascii="Arial" w:hAnsi="Arial" w:cs="Arial"/>
        </w:rPr>
        <w:t>-0.840</w:t>
      </w:r>
      <w:r w:rsidR="006E6B14" w:rsidRPr="006E6B14">
        <w:rPr>
          <w:rFonts w:ascii="Arial" w:hAnsi="Arial" w:cs="Arial"/>
          <w:lang w:val="en-US"/>
        </w:rPr>
        <w:t xml:space="preserve"> </w:t>
      </w:r>
      <w:r w:rsidR="00F91DB7" w:rsidRPr="006E6B14">
        <w:rPr>
          <w:rFonts w:ascii="Arial" w:hAnsi="Arial" w:cs="Arial"/>
          <w:lang w:val="en-US"/>
        </w:rPr>
        <w:t xml:space="preserve">and </w:t>
      </w:r>
      <w:r w:rsidR="006E6B14" w:rsidRPr="006E6B14">
        <w:rPr>
          <w:rFonts w:ascii="Arial" w:hAnsi="Arial" w:cs="Arial"/>
        </w:rPr>
        <w:t>-1.128</w:t>
      </w:r>
      <w:r w:rsidR="00F91DB7" w:rsidRPr="006E6B14">
        <w:rPr>
          <w:rFonts w:ascii="Arial" w:hAnsi="Arial" w:cs="Arial"/>
          <w:lang w:val="en-US"/>
        </w:rPr>
        <w:t>, with statistical significance of |</w:t>
      </w:r>
      <w:r w:rsidR="006E6B14" w:rsidRPr="006E6B14">
        <w:rPr>
          <w:rFonts w:ascii="Arial" w:hAnsi="Arial" w:cs="Arial"/>
        </w:rPr>
        <w:t>5.866</w:t>
      </w:r>
      <w:r w:rsidR="00F91DB7" w:rsidRPr="006E6B14">
        <w:rPr>
          <w:rFonts w:ascii="Arial" w:hAnsi="Arial" w:cs="Arial"/>
          <w:lang w:val="en-US"/>
        </w:rPr>
        <w:t>|, |</w:t>
      </w:r>
      <w:r w:rsidR="006E6B14" w:rsidRPr="006E6B14">
        <w:rPr>
          <w:rFonts w:ascii="Arial" w:hAnsi="Arial" w:cs="Arial"/>
        </w:rPr>
        <w:t>6.737</w:t>
      </w:r>
      <w:r w:rsidR="00F91DB7" w:rsidRPr="006E6B14">
        <w:rPr>
          <w:rFonts w:ascii="Arial" w:hAnsi="Arial" w:cs="Arial"/>
          <w:lang w:val="en-US"/>
        </w:rPr>
        <w:t xml:space="preserve">|, </w:t>
      </w:r>
      <w:r w:rsidR="006E6B14" w:rsidRPr="006E6B14">
        <w:rPr>
          <w:rFonts w:ascii="Arial" w:hAnsi="Arial" w:cs="Arial"/>
          <w:lang w:val="en-US"/>
        </w:rPr>
        <w:t>|</w:t>
      </w:r>
      <w:r w:rsidR="006E6B14" w:rsidRPr="006E6B14">
        <w:rPr>
          <w:rFonts w:ascii="Arial" w:hAnsi="Arial" w:cs="Arial"/>
        </w:rPr>
        <w:t>5.213</w:t>
      </w:r>
      <w:r w:rsidR="006E6B14" w:rsidRPr="006E6B14">
        <w:rPr>
          <w:rFonts w:ascii="Arial" w:hAnsi="Arial" w:cs="Arial"/>
          <w:lang w:val="en-US"/>
        </w:rPr>
        <w:t>|, |</w:t>
      </w:r>
      <w:r w:rsidR="006E6B14" w:rsidRPr="006E6B14">
        <w:rPr>
          <w:rFonts w:ascii="Arial" w:hAnsi="Arial" w:cs="Arial"/>
        </w:rPr>
        <w:t>6.234</w:t>
      </w:r>
      <w:r w:rsidR="006E6B14" w:rsidRPr="006E6B14">
        <w:rPr>
          <w:rFonts w:ascii="Arial" w:hAnsi="Arial" w:cs="Arial"/>
          <w:lang w:val="en-US"/>
        </w:rPr>
        <w:t xml:space="preserve">| </w:t>
      </w:r>
      <w:r w:rsidR="00F91DB7" w:rsidRPr="006E6B14">
        <w:rPr>
          <w:rFonts w:ascii="Arial" w:hAnsi="Arial" w:cs="Arial"/>
          <w:lang w:val="en-US"/>
        </w:rPr>
        <w:t>and |</w:t>
      </w:r>
      <w:r w:rsidR="006E6B14" w:rsidRPr="006E6B14">
        <w:rPr>
          <w:rFonts w:ascii="Arial" w:hAnsi="Arial" w:cs="Arial"/>
        </w:rPr>
        <w:t>5.887</w:t>
      </w:r>
      <w:r w:rsidR="00F91DB7" w:rsidRPr="006E6B14">
        <w:rPr>
          <w:rFonts w:ascii="Arial" w:hAnsi="Arial" w:cs="Arial"/>
          <w:lang w:val="en-US"/>
        </w:rPr>
        <w:t>|</w:t>
      </w:r>
      <w:r w:rsidR="00F91DB7" w:rsidRPr="00C84B3C">
        <w:rPr>
          <w:rFonts w:ascii="Arial" w:hAnsi="Arial" w:cs="Arial"/>
          <w:lang w:val="en-US"/>
        </w:rPr>
        <w:t xml:space="preserve"> respectively</w:t>
      </w:r>
      <w:r w:rsidR="006E6B14">
        <w:rPr>
          <w:rFonts w:ascii="Arial" w:hAnsi="Arial" w:cs="Arial"/>
          <w:lang w:val="en-US"/>
        </w:rPr>
        <w:t xml:space="preserve"> for Cameroon, China, France, India, and Nepal</w:t>
      </w:r>
      <w:r w:rsidR="00F91DB7" w:rsidRPr="00C84B3C">
        <w:rPr>
          <w:rFonts w:ascii="Arial" w:hAnsi="Arial" w:cs="Arial"/>
          <w:lang w:val="en-US"/>
        </w:rPr>
        <w:t xml:space="preserve">). </w:t>
      </w:r>
      <w:r>
        <w:rPr>
          <w:rFonts w:ascii="Arial" w:hAnsi="Arial" w:cs="Arial"/>
          <w:lang w:val="en-US"/>
        </w:rPr>
        <w:t xml:space="preserve">This means that there exist long-run relationships in the models. The presence of the </w:t>
      </w:r>
      <w:r>
        <w:rPr>
          <w:rFonts w:ascii="Arial" w:hAnsi="Arial" w:cs="Arial"/>
          <w:i/>
          <w:iCs/>
          <w:lang w:val="en-US"/>
        </w:rPr>
        <w:t>J-</w:t>
      </w:r>
      <w:r>
        <w:rPr>
          <w:rFonts w:ascii="Arial" w:hAnsi="Arial" w:cs="Arial"/>
          <w:lang w:val="en-US"/>
        </w:rPr>
        <w:t xml:space="preserve">curve is justified when the relationship is with LNREER. </w:t>
      </w:r>
      <w:r w:rsidR="0014475D">
        <w:rPr>
          <w:rFonts w:ascii="Arial" w:hAnsi="Arial" w:cs="Arial"/>
          <w:lang w:val="en-US"/>
        </w:rPr>
        <w:t>In the long</w:t>
      </w:r>
      <w:r w:rsidR="0400B7B0" w:rsidRPr="5317AD51">
        <w:rPr>
          <w:rFonts w:ascii="Arial" w:hAnsi="Arial" w:cs="Arial"/>
          <w:lang w:val="en-US"/>
        </w:rPr>
        <w:t>-</w:t>
      </w:r>
      <w:r w:rsidR="0014475D">
        <w:rPr>
          <w:rFonts w:ascii="Arial" w:hAnsi="Arial" w:cs="Arial"/>
          <w:lang w:val="en-US"/>
        </w:rPr>
        <w:t>run</w:t>
      </w:r>
      <w:r w:rsidR="00AB44AD">
        <w:rPr>
          <w:rFonts w:ascii="Arial" w:hAnsi="Arial" w:cs="Arial"/>
          <w:lang w:val="en-US"/>
        </w:rPr>
        <w:t>,</w:t>
      </w:r>
      <w:r w:rsidR="0014475D">
        <w:rPr>
          <w:rFonts w:ascii="Arial" w:hAnsi="Arial" w:cs="Arial"/>
          <w:lang w:val="en-US"/>
        </w:rPr>
        <w:t xml:space="preserve"> </w:t>
      </w:r>
      <w:r w:rsidR="00F91DB7" w:rsidRPr="00C84B3C">
        <w:rPr>
          <w:rFonts w:ascii="Arial" w:hAnsi="Arial" w:cs="Arial"/>
          <w:lang w:val="en-US"/>
        </w:rPr>
        <w:t>their L</w:t>
      </w:r>
      <w:r w:rsidR="00856855">
        <w:rPr>
          <w:rFonts w:ascii="Arial" w:hAnsi="Arial" w:cs="Arial"/>
          <w:lang w:val="en-US"/>
        </w:rPr>
        <w:t>N</w:t>
      </w:r>
      <w:r w:rsidR="00F91DB7" w:rsidRPr="00C84B3C">
        <w:rPr>
          <w:rFonts w:ascii="Arial" w:hAnsi="Arial" w:cs="Arial"/>
          <w:lang w:val="en-US"/>
        </w:rPr>
        <w:t>REER</w:t>
      </w:r>
      <w:r w:rsidR="00F91DB7" w:rsidRPr="00C84B3C">
        <w:rPr>
          <w:rFonts w:ascii="Arial" w:hAnsi="Arial" w:cs="Arial"/>
          <w:vertAlign w:val="subscript"/>
          <w:lang w:val="en-US"/>
        </w:rPr>
        <w:t xml:space="preserve"> </w:t>
      </w:r>
      <w:r w:rsidR="00F91DB7" w:rsidRPr="00C84B3C">
        <w:rPr>
          <w:rFonts w:ascii="Arial" w:hAnsi="Arial" w:cs="Arial"/>
          <w:lang w:val="en-US"/>
        </w:rPr>
        <w:t xml:space="preserve">are </w:t>
      </w:r>
      <w:r w:rsidR="008521AB">
        <w:rPr>
          <w:rFonts w:ascii="Arial" w:hAnsi="Arial" w:cs="Arial"/>
          <w:lang w:val="en-US"/>
        </w:rPr>
        <w:t>negative</w:t>
      </w:r>
      <w:r w:rsidR="00F91DB7" w:rsidRPr="00C84B3C">
        <w:rPr>
          <w:rFonts w:ascii="Arial" w:hAnsi="Arial" w:cs="Arial"/>
          <w:lang w:val="en-US"/>
        </w:rPr>
        <w:t xml:space="preserve"> (</w:t>
      </w:r>
      <w:r w:rsidR="0014475D">
        <w:rPr>
          <w:rFonts w:ascii="Arial" w:hAnsi="Arial" w:cs="Arial"/>
        </w:rPr>
        <w:t>-0.480</w:t>
      </w:r>
      <w:r w:rsidR="00F91DB7" w:rsidRPr="00C84B3C">
        <w:rPr>
          <w:rFonts w:ascii="Arial" w:hAnsi="Arial" w:cs="Arial"/>
          <w:lang w:val="en-US"/>
        </w:rPr>
        <w:t xml:space="preserve">, </w:t>
      </w:r>
      <w:r w:rsidR="0014475D">
        <w:rPr>
          <w:rFonts w:ascii="Arial" w:hAnsi="Arial" w:cs="Arial"/>
        </w:rPr>
        <w:t>-0.739</w:t>
      </w:r>
      <w:r w:rsidR="00F91DB7" w:rsidRPr="00C84B3C">
        <w:rPr>
          <w:rFonts w:ascii="Arial" w:hAnsi="Arial" w:cs="Arial"/>
          <w:lang w:val="en-US"/>
        </w:rPr>
        <w:t>,</w:t>
      </w:r>
      <w:r w:rsidR="0014475D">
        <w:rPr>
          <w:rFonts w:ascii="Arial" w:hAnsi="Arial" w:cs="Arial"/>
          <w:lang w:val="en-US"/>
        </w:rPr>
        <w:t xml:space="preserve"> </w:t>
      </w:r>
      <w:r w:rsidR="0014475D">
        <w:rPr>
          <w:rFonts w:ascii="Arial" w:hAnsi="Arial" w:cs="Arial"/>
        </w:rPr>
        <w:t>-1.359, -0.619</w:t>
      </w:r>
      <w:r w:rsidR="00F91DB7" w:rsidRPr="00C84B3C">
        <w:rPr>
          <w:rFonts w:ascii="Arial" w:hAnsi="Arial" w:cs="Arial"/>
          <w:lang w:val="en-US"/>
        </w:rPr>
        <w:t xml:space="preserve"> and </w:t>
      </w:r>
      <w:r w:rsidR="0014475D">
        <w:rPr>
          <w:rFonts w:ascii="Arial" w:hAnsi="Arial" w:cs="Arial"/>
        </w:rPr>
        <w:t>-0.612</w:t>
      </w:r>
      <w:r w:rsidR="001937BA">
        <w:rPr>
          <w:rFonts w:ascii="Arial" w:hAnsi="Arial" w:cs="Arial"/>
        </w:rPr>
        <w:t>,</w:t>
      </w:r>
      <w:r w:rsidR="00F91DB7" w:rsidRPr="00C84B3C">
        <w:rPr>
          <w:rFonts w:ascii="Arial" w:hAnsi="Arial" w:cs="Arial"/>
          <w:lang w:val="en-US"/>
        </w:rPr>
        <w:t xml:space="preserve"> respectively), instead of being </w:t>
      </w:r>
      <w:r w:rsidR="008521AB">
        <w:rPr>
          <w:rFonts w:ascii="Arial" w:hAnsi="Arial" w:cs="Arial"/>
          <w:lang w:val="en-US"/>
        </w:rPr>
        <w:t>posi</w:t>
      </w:r>
      <w:r w:rsidR="00F91DB7" w:rsidRPr="00C84B3C">
        <w:rPr>
          <w:rFonts w:ascii="Arial" w:hAnsi="Arial" w:cs="Arial"/>
          <w:lang w:val="en-US"/>
        </w:rPr>
        <w:t>tive, and are statistically significant</w:t>
      </w:r>
      <w:r w:rsidR="00F91DB7">
        <w:rPr>
          <w:rFonts w:ascii="Arial" w:hAnsi="Arial" w:cs="Arial"/>
          <w:lang w:val="en-US"/>
        </w:rPr>
        <w:t xml:space="preserve"> </w:t>
      </w:r>
      <w:r w:rsidR="0014475D">
        <w:rPr>
          <w:rFonts w:ascii="Arial" w:hAnsi="Arial" w:cs="Arial"/>
          <w:lang w:val="en-US"/>
        </w:rPr>
        <w:t>(</w:t>
      </w:r>
      <w:r w:rsidR="00F91DB7">
        <w:rPr>
          <w:rFonts w:ascii="Arial" w:hAnsi="Arial" w:cs="Arial"/>
          <w:lang w:val="en-US"/>
        </w:rPr>
        <w:t xml:space="preserve">with </w:t>
      </w:r>
      <w:r w:rsidR="00F91DB7">
        <w:rPr>
          <w:rFonts w:ascii="Arial" w:hAnsi="Arial" w:cs="Arial"/>
          <w:i/>
          <w:lang w:val="en-US"/>
        </w:rPr>
        <w:t>t-</w:t>
      </w:r>
      <w:r w:rsidR="00F91DB7">
        <w:rPr>
          <w:rFonts w:ascii="Arial" w:hAnsi="Arial" w:cs="Arial"/>
          <w:lang w:val="en-US"/>
        </w:rPr>
        <w:t>statistics</w:t>
      </w:r>
      <w:r w:rsidR="00D32002">
        <w:rPr>
          <w:rFonts w:ascii="Arial" w:hAnsi="Arial" w:cs="Arial"/>
          <w:lang w:val="en-US"/>
        </w:rPr>
        <w:t xml:space="preserve"> </w:t>
      </w:r>
      <w:r w:rsidR="00D32002" w:rsidRPr="006E6B14">
        <w:rPr>
          <w:rFonts w:ascii="Arial" w:hAnsi="Arial" w:cs="Arial"/>
          <w:lang w:val="en-US"/>
        </w:rPr>
        <w:t>of |</w:t>
      </w:r>
      <w:r w:rsidR="00D32002">
        <w:rPr>
          <w:rFonts w:ascii="Arial" w:hAnsi="Arial" w:cs="Arial"/>
        </w:rPr>
        <w:t>6</w:t>
      </w:r>
      <w:r w:rsidR="00D32002" w:rsidRPr="006E6B14">
        <w:rPr>
          <w:rFonts w:ascii="Arial" w:hAnsi="Arial" w:cs="Arial"/>
        </w:rPr>
        <w:t>.</w:t>
      </w:r>
      <w:r w:rsidR="00D32002">
        <w:rPr>
          <w:rFonts w:ascii="Arial" w:hAnsi="Arial" w:cs="Arial"/>
        </w:rPr>
        <w:t>102</w:t>
      </w:r>
      <w:r w:rsidR="00D32002" w:rsidRPr="006E6B14">
        <w:rPr>
          <w:rFonts w:ascii="Arial" w:hAnsi="Arial" w:cs="Arial"/>
          <w:lang w:val="en-US"/>
        </w:rPr>
        <w:t>|</w:t>
      </w:r>
      <w:r w:rsidR="00D32002">
        <w:rPr>
          <w:rFonts w:ascii="Arial" w:hAnsi="Arial" w:cs="Arial"/>
          <w:lang w:val="en-US"/>
        </w:rPr>
        <w:t>,</w:t>
      </w:r>
      <w:r w:rsidR="00A67149">
        <w:rPr>
          <w:rFonts w:ascii="Arial" w:hAnsi="Arial" w:cs="Arial"/>
          <w:lang w:val="en-US"/>
        </w:rPr>
        <w:t xml:space="preserve"> </w:t>
      </w:r>
      <w:r w:rsidR="00A67149" w:rsidRPr="006E6B14">
        <w:rPr>
          <w:rFonts w:ascii="Arial" w:hAnsi="Arial" w:cs="Arial"/>
          <w:lang w:val="en-US"/>
        </w:rPr>
        <w:t>|</w:t>
      </w:r>
      <w:r w:rsidR="00A67149">
        <w:rPr>
          <w:rFonts w:ascii="Arial" w:hAnsi="Arial" w:cs="Arial"/>
          <w:lang w:val="en-US"/>
        </w:rPr>
        <w:t>10.915</w:t>
      </w:r>
      <w:r w:rsidR="00A67149" w:rsidRPr="006E6B14">
        <w:rPr>
          <w:rFonts w:ascii="Arial" w:hAnsi="Arial" w:cs="Arial"/>
          <w:lang w:val="en-US"/>
        </w:rPr>
        <w:t>|, |</w:t>
      </w:r>
      <w:r w:rsidR="00A67149">
        <w:rPr>
          <w:rFonts w:ascii="Arial" w:hAnsi="Arial" w:cs="Arial"/>
          <w:lang w:val="en-US"/>
        </w:rPr>
        <w:t>3.865</w:t>
      </w:r>
      <w:r w:rsidR="00A67149" w:rsidRPr="006E6B14">
        <w:rPr>
          <w:rFonts w:ascii="Arial" w:hAnsi="Arial" w:cs="Arial"/>
          <w:lang w:val="en-US"/>
        </w:rPr>
        <w:t>|</w:t>
      </w:r>
      <w:r w:rsidR="00A67149">
        <w:rPr>
          <w:rFonts w:ascii="Arial" w:hAnsi="Arial" w:cs="Arial"/>
          <w:lang w:val="en-US"/>
        </w:rPr>
        <w:t xml:space="preserve">, </w:t>
      </w:r>
      <w:r w:rsidR="00A67149" w:rsidRPr="006E6B14">
        <w:rPr>
          <w:rFonts w:ascii="Arial" w:hAnsi="Arial" w:cs="Arial"/>
          <w:lang w:val="en-US"/>
        </w:rPr>
        <w:t>|</w:t>
      </w:r>
      <w:r w:rsidR="00A67149">
        <w:rPr>
          <w:rFonts w:ascii="Arial" w:hAnsi="Arial" w:cs="Arial"/>
          <w:lang w:val="en-US"/>
        </w:rPr>
        <w:t>6.388</w:t>
      </w:r>
      <w:r w:rsidR="00A67149" w:rsidRPr="006E6B14">
        <w:rPr>
          <w:rFonts w:ascii="Arial" w:hAnsi="Arial" w:cs="Arial"/>
          <w:lang w:val="en-US"/>
        </w:rPr>
        <w:t>|</w:t>
      </w:r>
      <w:r w:rsidR="00A67149">
        <w:rPr>
          <w:rFonts w:ascii="Arial" w:hAnsi="Arial" w:cs="Arial"/>
          <w:lang w:val="en-US"/>
        </w:rPr>
        <w:t xml:space="preserve">, and </w:t>
      </w:r>
      <w:r w:rsidR="00A67149" w:rsidRPr="006E6B14">
        <w:rPr>
          <w:rFonts w:ascii="Arial" w:hAnsi="Arial" w:cs="Arial"/>
          <w:lang w:val="en-US"/>
        </w:rPr>
        <w:t>|</w:t>
      </w:r>
      <w:r w:rsidR="00A67149">
        <w:rPr>
          <w:rFonts w:ascii="Arial" w:hAnsi="Arial" w:cs="Arial"/>
          <w:lang w:val="en-US"/>
        </w:rPr>
        <w:t>8.78</w:t>
      </w:r>
      <w:r w:rsidR="00A67149" w:rsidRPr="006E6B14">
        <w:rPr>
          <w:rFonts w:ascii="Arial" w:hAnsi="Arial" w:cs="Arial"/>
          <w:lang w:val="en-US"/>
        </w:rPr>
        <w:t>|</w:t>
      </w:r>
      <w:r w:rsidR="00D32002">
        <w:rPr>
          <w:rFonts w:ascii="Arial" w:hAnsi="Arial" w:cs="Arial"/>
          <w:lang w:val="en-US"/>
        </w:rPr>
        <w:t xml:space="preserve"> </w:t>
      </w:r>
      <w:r w:rsidR="00A67149">
        <w:rPr>
          <w:rFonts w:ascii="Arial" w:hAnsi="Arial" w:cs="Arial"/>
          <w:lang w:val="en-US"/>
        </w:rPr>
        <w:t xml:space="preserve">which is </w:t>
      </w:r>
      <w:r w:rsidR="00F91DB7">
        <w:rPr>
          <w:rFonts w:ascii="Arial" w:hAnsi="Arial" w:cs="Arial"/>
          <w:lang w:val="en-US"/>
        </w:rPr>
        <w:t xml:space="preserve">&gt; </w:t>
      </w:r>
      <w:r w:rsidR="00F91DB7" w:rsidRPr="00C84B3C">
        <w:rPr>
          <w:rFonts w:ascii="Arial" w:hAnsi="Arial" w:cs="Arial"/>
          <w:lang w:val="en-US"/>
        </w:rPr>
        <w:t>|2</w:t>
      </w:r>
      <w:r w:rsidR="00F91DB7">
        <w:rPr>
          <w:rFonts w:ascii="Arial" w:hAnsi="Arial" w:cs="Arial"/>
          <w:lang w:val="en-US"/>
        </w:rPr>
        <w:t>|</w:t>
      </w:r>
      <w:r w:rsidR="00F91DB7" w:rsidRPr="00C84B3C">
        <w:rPr>
          <w:rFonts w:ascii="Arial" w:hAnsi="Arial" w:cs="Arial"/>
          <w:lang w:val="en-US"/>
        </w:rPr>
        <w:t xml:space="preserve">). </w:t>
      </w:r>
    </w:p>
    <w:p w14:paraId="677BA1FD" w14:textId="63F21DB9" w:rsidR="00F91DB7" w:rsidRPr="00EF6769" w:rsidRDefault="0014475D" w:rsidP="0066301C">
      <w:pPr>
        <w:spacing w:line="360" w:lineRule="auto"/>
        <w:jc w:val="both"/>
        <w:rPr>
          <w:rFonts w:ascii="Arial" w:hAnsi="Arial" w:cs="Arial"/>
          <w:color w:val="FF0000"/>
          <w:lang w:val="en-US"/>
        </w:rPr>
      </w:pPr>
      <w:r>
        <w:rPr>
          <w:rFonts w:ascii="Arial" w:hAnsi="Arial" w:cs="Arial"/>
          <w:lang w:val="en-US"/>
        </w:rPr>
        <w:t xml:space="preserve">However, </w:t>
      </w:r>
      <w:r w:rsidR="0029472D">
        <w:rPr>
          <w:rFonts w:ascii="Arial" w:hAnsi="Arial" w:cs="Arial"/>
          <w:lang w:val="en-US"/>
        </w:rPr>
        <w:t xml:space="preserve">in </w:t>
      </w:r>
      <w:r>
        <w:rPr>
          <w:rFonts w:ascii="Arial" w:hAnsi="Arial" w:cs="Arial"/>
          <w:lang w:val="en-US"/>
        </w:rPr>
        <w:t>the short run</w:t>
      </w:r>
      <w:r w:rsidR="0029472D">
        <w:rPr>
          <w:rFonts w:ascii="Arial" w:hAnsi="Arial" w:cs="Arial"/>
          <w:lang w:val="en-US"/>
        </w:rPr>
        <w:t>, the</w:t>
      </w:r>
      <w:r>
        <w:rPr>
          <w:rFonts w:ascii="Arial" w:hAnsi="Arial" w:cs="Arial"/>
          <w:lang w:val="en-US"/>
        </w:rPr>
        <w:t xml:space="preserve"> results show that LNREER does not </w:t>
      </w:r>
      <w:r w:rsidR="0029472D">
        <w:rPr>
          <w:rFonts w:ascii="Arial" w:hAnsi="Arial" w:cs="Arial"/>
          <w:lang w:val="en-US"/>
        </w:rPr>
        <w:t>have an impact on trade balance as LNREER are statistically in</w:t>
      </w:r>
      <w:r w:rsidR="008B5FDE">
        <w:rPr>
          <w:rFonts w:ascii="Arial" w:hAnsi="Arial" w:cs="Arial"/>
          <w:lang w:val="en-US"/>
        </w:rPr>
        <w:t>significant</w:t>
      </w:r>
      <w:r w:rsidR="00A67149">
        <w:rPr>
          <w:rFonts w:ascii="Arial" w:hAnsi="Arial" w:cs="Arial"/>
          <w:lang w:val="en-US"/>
        </w:rPr>
        <w:t xml:space="preserve"> </w:t>
      </w:r>
      <w:r w:rsidR="00A36B0B">
        <w:rPr>
          <w:rFonts w:ascii="Arial" w:hAnsi="Arial" w:cs="Arial"/>
          <w:lang w:val="en-US"/>
        </w:rPr>
        <w:t>(</w:t>
      </w:r>
      <w:r w:rsidR="004712DE">
        <w:rPr>
          <w:rFonts w:ascii="Arial" w:hAnsi="Arial" w:cs="Arial"/>
          <w:lang w:val="en-US"/>
        </w:rPr>
        <w:t xml:space="preserve">with </w:t>
      </w:r>
      <w:r w:rsidR="00323D39">
        <w:rPr>
          <w:rFonts w:ascii="Arial" w:hAnsi="Arial" w:cs="Arial"/>
          <w:i/>
          <w:iCs/>
          <w:lang w:val="en-US"/>
        </w:rPr>
        <w:t>t-</w:t>
      </w:r>
      <w:r w:rsidR="00323D39">
        <w:rPr>
          <w:rFonts w:ascii="Arial" w:hAnsi="Arial" w:cs="Arial"/>
          <w:lang w:val="en-US"/>
        </w:rPr>
        <w:t xml:space="preserve">statistics of </w:t>
      </w:r>
      <w:r w:rsidR="00A36B0B" w:rsidRPr="00C84B3C">
        <w:rPr>
          <w:rFonts w:ascii="Arial" w:hAnsi="Arial" w:cs="Arial"/>
          <w:lang w:val="en-US"/>
        </w:rPr>
        <w:t>|</w:t>
      </w:r>
      <w:r w:rsidR="00F30830">
        <w:rPr>
          <w:rFonts w:ascii="Arial" w:hAnsi="Arial" w:cs="Arial"/>
          <w:lang w:val="en-US"/>
        </w:rPr>
        <w:t>1.317</w:t>
      </w:r>
      <w:r w:rsidR="00A36B0B">
        <w:rPr>
          <w:rFonts w:ascii="Arial" w:hAnsi="Arial" w:cs="Arial"/>
          <w:lang w:val="en-US"/>
        </w:rPr>
        <w:t>|</w:t>
      </w:r>
      <w:r w:rsidR="00F30830">
        <w:rPr>
          <w:rFonts w:ascii="Arial" w:hAnsi="Arial" w:cs="Arial"/>
          <w:lang w:val="en-US"/>
        </w:rPr>
        <w:t xml:space="preserve">, and </w:t>
      </w:r>
      <w:r w:rsidR="00F30830" w:rsidRPr="00C84B3C">
        <w:rPr>
          <w:rFonts w:ascii="Arial" w:hAnsi="Arial" w:cs="Arial"/>
          <w:lang w:val="en-US"/>
        </w:rPr>
        <w:t>|</w:t>
      </w:r>
      <w:r w:rsidR="00F30830">
        <w:rPr>
          <w:rFonts w:ascii="Arial" w:hAnsi="Arial" w:cs="Arial"/>
          <w:lang w:val="en-US"/>
        </w:rPr>
        <w:t>1.242|</w:t>
      </w:r>
      <w:r w:rsidR="00153440">
        <w:rPr>
          <w:rFonts w:ascii="Arial" w:hAnsi="Arial" w:cs="Arial"/>
          <w:lang w:val="en-US"/>
        </w:rPr>
        <w:t>,</w:t>
      </w:r>
      <w:r w:rsidR="00323D39">
        <w:rPr>
          <w:rFonts w:ascii="Arial" w:hAnsi="Arial" w:cs="Arial"/>
          <w:lang w:val="en-US"/>
        </w:rPr>
        <w:t xml:space="preserve"> which is less than |2|</w:t>
      </w:r>
      <w:r w:rsidR="00A36B0B">
        <w:rPr>
          <w:rFonts w:ascii="Arial" w:hAnsi="Arial" w:cs="Arial"/>
          <w:lang w:val="en-US"/>
        </w:rPr>
        <w:t>)</w:t>
      </w:r>
      <w:r w:rsidR="00F30830">
        <w:rPr>
          <w:rFonts w:ascii="Arial" w:hAnsi="Arial" w:cs="Arial"/>
          <w:lang w:val="en-US"/>
        </w:rPr>
        <w:t xml:space="preserve"> </w:t>
      </w:r>
      <w:r w:rsidR="00A67149">
        <w:rPr>
          <w:rFonts w:ascii="Arial" w:hAnsi="Arial" w:cs="Arial"/>
          <w:lang w:val="en-US"/>
        </w:rPr>
        <w:t>for China and Nepal</w:t>
      </w:r>
      <w:r w:rsidR="0029472D">
        <w:rPr>
          <w:rFonts w:ascii="Arial" w:hAnsi="Arial" w:cs="Arial"/>
          <w:lang w:val="en-US"/>
        </w:rPr>
        <w:t>.</w:t>
      </w:r>
      <w:r w:rsidR="00A67149">
        <w:rPr>
          <w:rFonts w:ascii="Arial" w:hAnsi="Arial" w:cs="Arial"/>
          <w:lang w:val="en-US"/>
        </w:rPr>
        <w:t xml:space="preserve"> The</w:t>
      </w:r>
      <w:r w:rsidR="00F30830">
        <w:rPr>
          <w:rFonts w:ascii="Arial" w:hAnsi="Arial" w:cs="Arial"/>
          <w:lang w:val="en-US"/>
        </w:rPr>
        <w:t xml:space="preserve"> result also shows that the</w:t>
      </w:r>
      <w:r w:rsidR="00A67149">
        <w:rPr>
          <w:rFonts w:ascii="Arial" w:hAnsi="Arial" w:cs="Arial"/>
          <w:lang w:val="en-US"/>
        </w:rPr>
        <w:t xml:space="preserve">re is no short-run relationship between LNTB and LNREER in CAR trade relationship with both France and India. While there is a negative short-run relationship between LNTB and LNREER in </w:t>
      </w:r>
      <w:r w:rsidR="00A36B0B">
        <w:rPr>
          <w:rFonts w:ascii="Arial" w:hAnsi="Arial" w:cs="Arial"/>
          <w:lang w:val="en-US"/>
        </w:rPr>
        <w:t xml:space="preserve">CAR trade relationship with </w:t>
      </w:r>
      <w:r w:rsidR="00A67149">
        <w:rPr>
          <w:rFonts w:ascii="Arial" w:hAnsi="Arial" w:cs="Arial"/>
          <w:lang w:val="en-US"/>
        </w:rPr>
        <w:t>Cameroon</w:t>
      </w:r>
      <w:r w:rsidR="00242E10">
        <w:rPr>
          <w:rFonts w:ascii="Arial" w:hAnsi="Arial" w:cs="Arial"/>
          <w:lang w:val="en-US"/>
        </w:rPr>
        <w:t>,</w:t>
      </w:r>
      <w:r w:rsidR="00F30830">
        <w:rPr>
          <w:rFonts w:ascii="Arial" w:hAnsi="Arial" w:cs="Arial"/>
          <w:lang w:val="en-US"/>
        </w:rPr>
        <w:t xml:space="preserve"> which is statistically significant (with value of -0.718 and </w:t>
      </w:r>
      <w:r w:rsidR="00F30830">
        <w:rPr>
          <w:rFonts w:ascii="Arial" w:hAnsi="Arial" w:cs="Arial"/>
          <w:i/>
          <w:iCs/>
          <w:lang w:val="en-US"/>
        </w:rPr>
        <w:t xml:space="preserve">t-stat </w:t>
      </w:r>
      <w:r w:rsidR="00F30830">
        <w:rPr>
          <w:rFonts w:ascii="Arial" w:hAnsi="Arial" w:cs="Arial"/>
          <w:lang w:val="en-US"/>
        </w:rPr>
        <w:t xml:space="preserve">of </w:t>
      </w:r>
      <w:r w:rsidR="00F30830" w:rsidRPr="00C84B3C">
        <w:rPr>
          <w:rFonts w:ascii="Arial" w:hAnsi="Arial" w:cs="Arial"/>
          <w:lang w:val="en-US"/>
        </w:rPr>
        <w:t>|</w:t>
      </w:r>
      <w:r w:rsidR="00F30830">
        <w:rPr>
          <w:rFonts w:ascii="Arial" w:hAnsi="Arial" w:cs="Arial"/>
          <w:lang w:val="en-US"/>
        </w:rPr>
        <w:t>3.007|)</w:t>
      </w:r>
      <w:r w:rsidR="00A36B0B">
        <w:rPr>
          <w:rFonts w:ascii="Arial" w:hAnsi="Arial" w:cs="Arial"/>
          <w:lang w:val="en-US"/>
        </w:rPr>
        <w:t>.</w:t>
      </w:r>
      <w:r w:rsidR="00A67149">
        <w:rPr>
          <w:rFonts w:ascii="Arial" w:hAnsi="Arial" w:cs="Arial"/>
          <w:lang w:val="en-US"/>
        </w:rPr>
        <w:t xml:space="preserve"> </w:t>
      </w:r>
      <w:r w:rsidR="00F30830">
        <w:rPr>
          <w:rFonts w:ascii="Arial" w:hAnsi="Arial" w:cs="Arial"/>
          <w:lang w:val="en-US"/>
        </w:rPr>
        <w:t xml:space="preserve">The </w:t>
      </w:r>
      <w:r w:rsidR="43C4D664" w:rsidRPr="5317AD51">
        <w:rPr>
          <w:rFonts w:ascii="Arial" w:hAnsi="Arial" w:cs="Arial"/>
          <w:lang w:val="en-US"/>
        </w:rPr>
        <w:t>result</w:t>
      </w:r>
      <w:r w:rsidR="00F30830">
        <w:rPr>
          <w:rFonts w:ascii="Arial" w:hAnsi="Arial" w:cs="Arial"/>
          <w:lang w:val="en-US"/>
        </w:rPr>
        <w:t xml:space="preserve"> of CAR shows that there is </w:t>
      </w:r>
      <w:r w:rsidR="001641B5">
        <w:rPr>
          <w:rFonts w:ascii="Arial" w:hAnsi="Arial" w:cs="Arial"/>
          <w:lang w:val="en-US"/>
        </w:rPr>
        <w:t xml:space="preserve">a </w:t>
      </w:r>
      <w:r w:rsidR="00AB6C07">
        <w:rPr>
          <w:rFonts w:ascii="Arial" w:hAnsi="Arial" w:cs="Arial"/>
          <w:lang w:val="en-US"/>
        </w:rPr>
        <w:t>negative</w:t>
      </w:r>
      <w:r w:rsidR="00F30830">
        <w:rPr>
          <w:rFonts w:ascii="Arial" w:hAnsi="Arial" w:cs="Arial"/>
          <w:lang w:val="en-US"/>
        </w:rPr>
        <w:t xml:space="preserve"> long-term relationship between LNTB and LNREER</w:t>
      </w:r>
      <w:r w:rsidR="00F91DB7" w:rsidRPr="00C84B3C">
        <w:rPr>
          <w:rFonts w:ascii="Arial" w:hAnsi="Arial" w:cs="Arial"/>
          <w:lang w:val="en-US"/>
        </w:rPr>
        <w:t xml:space="preserve"> in the trading relationship between CAR and </w:t>
      </w:r>
      <w:r w:rsidR="0029472D">
        <w:rPr>
          <w:rFonts w:ascii="Arial" w:hAnsi="Arial" w:cs="Arial"/>
          <w:lang w:val="en-US"/>
        </w:rPr>
        <w:t>its</w:t>
      </w:r>
      <w:r w:rsidR="00F91DB7" w:rsidRPr="00C84B3C">
        <w:rPr>
          <w:rFonts w:ascii="Arial" w:hAnsi="Arial" w:cs="Arial"/>
          <w:lang w:val="en-US"/>
        </w:rPr>
        <w:t xml:space="preserve"> trading nations, and as such</w:t>
      </w:r>
      <w:r w:rsidR="001641B5">
        <w:rPr>
          <w:rFonts w:ascii="Arial" w:hAnsi="Arial" w:cs="Arial"/>
          <w:lang w:val="en-US"/>
        </w:rPr>
        <w:t>,</w:t>
      </w:r>
      <w:r w:rsidR="00F91DB7" w:rsidRPr="00C84B3C">
        <w:rPr>
          <w:rFonts w:ascii="Arial" w:hAnsi="Arial" w:cs="Arial"/>
          <w:lang w:val="en-US"/>
        </w:rPr>
        <w:t xml:space="preserve"> there is no </w:t>
      </w:r>
      <w:r w:rsidR="00F91DB7" w:rsidRPr="00C84B3C">
        <w:rPr>
          <w:rFonts w:ascii="Arial" w:hAnsi="Arial" w:cs="Arial"/>
          <w:i/>
          <w:lang w:val="en-US"/>
        </w:rPr>
        <w:t>J-</w:t>
      </w:r>
      <w:r w:rsidR="00F91DB7" w:rsidRPr="00C84B3C">
        <w:rPr>
          <w:rFonts w:ascii="Arial" w:hAnsi="Arial" w:cs="Arial"/>
          <w:lang w:val="en-US"/>
        </w:rPr>
        <w:t xml:space="preserve">curve phenomenon. </w:t>
      </w:r>
      <w:r w:rsidR="00F91DB7">
        <w:rPr>
          <w:rFonts w:ascii="Arial" w:hAnsi="Arial" w:cs="Arial"/>
          <w:lang w:val="en-US"/>
        </w:rPr>
        <w:t>These results are in line with the result</w:t>
      </w:r>
      <w:r w:rsidR="0082754D">
        <w:rPr>
          <w:rFonts w:ascii="Arial" w:hAnsi="Arial" w:cs="Arial"/>
          <w:lang w:val="en-US"/>
        </w:rPr>
        <w:t>s</w:t>
      </w:r>
      <w:r w:rsidR="00F91DB7">
        <w:rPr>
          <w:rFonts w:ascii="Arial" w:hAnsi="Arial" w:cs="Arial"/>
          <w:lang w:val="en-US"/>
        </w:rPr>
        <w:t xml:space="preserve"> obtained by Miles (1979), Bahmani-Oskooee (1994)</w:t>
      </w:r>
      <w:r w:rsidR="007C0E52">
        <w:rPr>
          <w:rFonts w:ascii="Arial" w:hAnsi="Arial" w:cs="Arial"/>
          <w:lang w:val="en-US"/>
        </w:rPr>
        <w:t xml:space="preserve">, </w:t>
      </w:r>
      <w:r w:rsidR="00F91DB7">
        <w:rPr>
          <w:rFonts w:ascii="Arial" w:hAnsi="Arial" w:cs="Arial"/>
          <w:lang w:val="en-US"/>
        </w:rPr>
        <w:t>Rose (1990)</w:t>
      </w:r>
      <w:r w:rsidR="00747FF4">
        <w:rPr>
          <w:rFonts w:ascii="Arial" w:hAnsi="Arial" w:cs="Arial"/>
          <w:lang w:val="en-US"/>
        </w:rPr>
        <w:t xml:space="preserve">, </w:t>
      </w:r>
      <w:r w:rsidR="007C0E52">
        <w:rPr>
          <w:rFonts w:ascii="Arial" w:hAnsi="Arial" w:cs="Arial"/>
          <w:lang w:val="en-US"/>
        </w:rPr>
        <w:t xml:space="preserve">and </w:t>
      </w:r>
      <w:r w:rsidR="007C0E52" w:rsidRPr="008204CC">
        <w:rPr>
          <w:rFonts w:ascii="Arial" w:hAnsi="Arial" w:cs="Arial"/>
        </w:rPr>
        <w:t>Bahmani-Oskooee and Brooks (1999</w:t>
      </w:r>
      <w:r w:rsidR="000F5F82" w:rsidRPr="008204CC">
        <w:rPr>
          <w:rFonts w:ascii="Arial" w:hAnsi="Arial" w:cs="Arial"/>
        </w:rPr>
        <w:t xml:space="preserve">) </w:t>
      </w:r>
      <w:r w:rsidR="000F5F82">
        <w:rPr>
          <w:rFonts w:ascii="Arial" w:hAnsi="Arial" w:cs="Arial"/>
          <w:lang w:val="en-US"/>
        </w:rPr>
        <w:t>that</w:t>
      </w:r>
      <w:r w:rsidR="00F91DB7" w:rsidRPr="00EF6769">
        <w:rPr>
          <w:rFonts w:ascii="Arial" w:hAnsi="Arial" w:cs="Arial"/>
          <w:color w:val="FF0000"/>
          <w:lang w:val="en-US"/>
        </w:rPr>
        <w:t xml:space="preserve"> </w:t>
      </w:r>
      <w:r w:rsidR="00F91DB7" w:rsidRPr="001937BA">
        <w:rPr>
          <w:rFonts w:ascii="Arial" w:hAnsi="Arial" w:cs="Arial"/>
          <w:lang w:val="en-US"/>
        </w:rPr>
        <w:t xml:space="preserve">there was no evidence that currency devaluation had an impact on a nation’s trade balance in the long-term. As such, a currency devaluation will not help </w:t>
      </w:r>
      <w:r w:rsidR="00FB78A4" w:rsidRPr="001937BA">
        <w:rPr>
          <w:rFonts w:ascii="Arial" w:hAnsi="Arial" w:cs="Arial"/>
          <w:lang w:val="en-US"/>
        </w:rPr>
        <w:t xml:space="preserve">to </w:t>
      </w:r>
      <w:r w:rsidR="00F91DB7" w:rsidRPr="001937BA">
        <w:rPr>
          <w:rFonts w:ascii="Arial" w:hAnsi="Arial" w:cs="Arial"/>
          <w:lang w:val="en-US"/>
        </w:rPr>
        <w:t>improv</w:t>
      </w:r>
      <w:r w:rsidR="00EA2EE5">
        <w:rPr>
          <w:rFonts w:ascii="Arial" w:hAnsi="Arial" w:cs="Arial"/>
          <w:lang w:val="en-US"/>
        </w:rPr>
        <w:t>e</w:t>
      </w:r>
      <w:r w:rsidR="00F91DB7" w:rsidRPr="001937BA">
        <w:rPr>
          <w:rFonts w:ascii="Arial" w:hAnsi="Arial" w:cs="Arial"/>
          <w:lang w:val="en-US"/>
        </w:rPr>
        <w:t xml:space="preserve"> the nation’s economic growth via the TB channel. Thus, it </w:t>
      </w:r>
      <w:r w:rsidR="00001188" w:rsidRPr="001937BA">
        <w:rPr>
          <w:rFonts w:ascii="Arial" w:hAnsi="Arial" w:cs="Arial"/>
          <w:lang w:val="en-US"/>
        </w:rPr>
        <w:t>would be</w:t>
      </w:r>
      <w:r w:rsidR="00F91DB7" w:rsidRPr="001937BA">
        <w:rPr>
          <w:rFonts w:ascii="Arial" w:hAnsi="Arial" w:cs="Arial"/>
          <w:lang w:val="en-US"/>
        </w:rPr>
        <w:t xml:space="preserve"> better if </w:t>
      </w:r>
      <w:r w:rsidR="00F30830" w:rsidRPr="001937BA">
        <w:rPr>
          <w:rFonts w:ascii="Arial" w:hAnsi="Arial" w:cs="Arial"/>
          <w:lang w:val="en-US"/>
        </w:rPr>
        <w:t>CAR</w:t>
      </w:r>
      <w:r w:rsidR="00F91DB7" w:rsidRPr="001937BA">
        <w:rPr>
          <w:rFonts w:ascii="Arial" w:hAnsi="Arial" w:cs="Arial"/>
          <w:lang w:val="en-US"/>
        </w:rPr>
        <w:t xml:space="preserve"> government could use other policies to improve the nation’s TB and economic growth instead of using currency devaluation.</w:t>
      </w:r>
    </w:p>
    <w:p w14:paraId="0D026505" w14:textId="77777777" w:rsidR="00F91DB7" w:rsidRDefault="00F91DB7" w:rsidP="0066301C">
      <w:pPr>
        <w:tabs>
          <w:tab w:val="left" w:pos="2640"/>
        </w:tabs>
        <w:spacing w:line="360" w:lineRule="auto"/>
        <w:jc w:val="both"/>
        <w:rPr>
          <w:rFonts w:ascii="Arial" w:hAnsi="Arial" w:cs="Arial"/>
          <w:b/>
          <w:u w:val="single"/>
          <w:lang w:eastAsia="en-GB"/>
        </w:rPr>
      </w:pPr>
      <w:r>
        <w:rPr>
          <w:rFonts w:ascii="Arial" w:hAnsi="Arial" w:cs="Arial"/>
          <w:b/>
          <w:u w:val="single"/>
          <w:lang w:eastAsia="en-GB"/>
        </w:rPr>
        <w:t>Gabon</w:t>
      </w:r>
    </w:p>
    <w:p w14:paraId="2AB11B91" w14:textId="2588CEDF" w:rsidR="00550041" w:rsidRDefault="009670C1" w:rsidP="0066301C">
      <w:pPr>
        <w:tabs>
          <w:tab w:val="left" w:pos="2640"/>
        </w:tabs>
        <w:spacing w:line="360" w:lineRule="auto"/>
        <w:jc w:val="both"/>
        <w:rPr>
          <w:rFonts w:ascii="Arial" w:hAnsi="Arial" w:cs="Arial"/>
          <w:lang w:val="en-US"/>
        </w:rPr>
      </w:pPr>
      <w:r>
        <w:rPr>
          <w:rFonts w:ascii="Arial" w:hAnsi="Arial" w:cs="Arial"/>
          <w:lang w:val="en-US"/>
        </w:rPr>
        <w:t>T</w:t>
      </w:r>
      <w:r w:rsidR="00F91DB7" w:rsidRPr="00C84B3C">
        <w:rPr>
          <w:rFonts w:ascii="Arial" w:hAnsi="Arial" w:cs="Arial"/>
          <w:lang w:val="en-US"/>
        </w:rPr>
        <w:t xml:space="preserve">he results of Gabon, </w:t>
      </w:r>
      <w:r w:rsidR="008B5FDE">
        <w:rPr>
          <w:rFonts w:ascii="Arial" w:hAnsi="Arial" w:cs="Arial"/>
          <w:lang w:val="en-US"/>
        </w:rPr>
        <w:t>j</w:t>
      </w:r>
      <w:r w:rsidR="00F91DB7" w:rsidRPr="00C84B3C">
        <w:rPr>
          <w:rFonts w:ascii="Arial" w:hAnsi="Arial" w:cs="Arial"/>
          <w:lang w:val="en-US"/>
        </w:rPr>
        <w:t xml:space="preserve">ust as </w:t>
      </w:r>
      <w:r w:rsidR="002D67DC">
        <w:rPr>
          <w:rFonts w:ascii="Arial" w:hAnsi="Arial" w:cs="Arial"/>
          <w:lang w:val="en-US"/>
        </w:rPr>
        <w:t>those of Cameroon and CAR</w:t>
      </w:r>
      <w:r w:rsidR="00965819">
        <w:rPr>
          <w:rFonts w:ascii="Arial" w:hAnsi="Arial" w:cs="Arial"/>
          <w:lang w:val="en-US"/>
        </w:rPr>
        <w:t>,</w:t>
      </w:r>
      <w:r w:rsidR="002D67DC">
        <w:rPr>
          <w:rFonts w:ascii="Arial" w:hAnsi="Arial" w:cs="Arial"/>
          <w:lang w:val="en-US"/>
        </w:rPr>
        <w:t xml:space="preserve"> shows the presence of long-term relationship </w:t>
      </w:r>
      <w:r w:rsidR="00F91DB7" w:rsidRPr="00C84B3C">
        <w:rPr>
          <w:rFonts w:ascii="Arial" w:hAnsi="Arial" w:cs="Arial"/>
          <w:lang w:val="en-US"/>
        </w:rPr>
        <w:t xml:space="preserve">in the TB </w:t>
      </w:r>
      <w:r w:rsidR="001B0CC5">
        <w:rPr>
          <w:rFonts w:ascii="Arial" w:hAnsi="Arial" w:cs="Arial"/>
          <w:lang w:val="en-US"/>
        </w:rPr>
        <w:t>models of Gabon. This is justif</w:t>
      </w:r>
      <w:r w:rsidR="00003A2E">
        <w:rPr>
          <w:rFonts w:ascii="Arial" w:hAnsi="Arial" w:cs="Arial"/>
          <w:lang w:val="en-US"/>
        </w:rPr>
        <w:t>ied</w:t>
      </w:r>
      <w:r w:rsidR="001B0CC5">
        <w:rPr>
          <w:rFonts w:ascii="Arial" w:hAnsi="Arial" w:cs="Arial"/>
          <w:lang w:val="en-US"/>
        </w:rPr>
        <w:t xml:space="preserve"> </w:t>
      </w:r>
      <w:r w:rsidR="00965819">
        <w:rPr>
          <w:rFonts w:ascii="Arial" w:hAnsi="Arial" w:cs="Arial"/>
          <w:lang w:val="en-US"/>
        </w:rPr>
        <w:t>by</w:t>
      </w:r>
      <w:r w:rsidR="001B0CC5">
        <w:rPr>
          <w:rFonts w:ascii="Arial" w:hAnsi="Arial" w:cs="Arial"/>
          <w:lang w:val="en-US"/>
        </w:rPr>
        <w:t xml:space="preserve"> the ECTs being negative and statistically significant (</w:t>
      </w:r>
      <w:r w:rsidR="00003A2E">
        <w:rPr>
          <w:rFonts w:ascii="Arial" w:hAnsi="Arial" w:cs="Arial"/>
          <w:lang w:val="en-US"/>
        </w:rPr>
        <w:t xml:space="preserve">-0.601, -0594, -0.381, -0.584, and -0.597 with </w:t>
      </w:r>
      <w:r w:rsidR="00003A2E" w:rsidRPr="57585719">
        <w:rPr>
          <w:rFonts w:ascii="Arial" w:hAnsi="Arial" w:cs="Arial"/>
          <w:i/>
          <w:iCs/>
          <w:lang w:val="en-US"/>
        </w:rPr>
        <w:t>t-</w:t>
      </w:r>
      <w:r w:rsidR="00003A2E">
        <w:rPr>
          <w:rFonts w:ascii="Arial" w:hAnsi="Arial" w:cs="Arial"/>
          <w:lang w:val="en-US"/>
        </w:rPr>
        <w:t>stat</w:t>
      </w:r>
      <w:r w:rsidR="00003A2E" w:rsidRPr="57585719">
        <w:rPr>
          <w:rFonts w:ascii="Arial" w:hAnsi="Arial" w:cs="Arial"/>
          <w:i/>
          <w:iCs/>
          <w:lang w:val="en-US"/>
        </w:rPr>
        <w:t xml:space="preserve"> </w:t>
      </w:r>
      <w:r w:rsidR="00003A2E">
        <w:rPr>
          <w:rFonts w:ascii="Arial" w:hAnsi="Arial" w:cs="Arial"/>
          <w:lang w:val="en-US"/>
        </w:rPr>
        <w:t xml:space="preserve">of </w:t>
      </w:r>
      <w:r w:rsidR="00003A2E" w:rsidRPr="006E6B14">
        <w:rPr>
          <w:rFonts w:ascii="Arial" w:hAnsi="Arial" w:cs="Arial"/>
          <w:lang w:val="en-US"/>
        </w:rPr>
        <w:t>|</w:t>
      </w:r>
      <w:r w:rsidR="00003A2E">
        <w:rPr>
          <w:rFonts w:ascii="Arial" w:hAnsi="Arial" w:cs="Arial"/>
          <w:lang w:val="en-US"/>
        </w:rPr>
        <w:t>2.994</w:t>
      </w:r>
      <w:r w:rsidR="00003A2E" w:rsidRPr="006E6B14">
        <w:rPr>
          <w:rFonts w:ascii="Arial" w:hAnsi="Arial" w:cs="Arial"/>
          <w:lang w:val="en-US"/>
        </w:rPr>
        <w:t>|</w:t>
      </w:r>
      <w:r w:rsidR="00003A2E">
        <w:rPr>
          <w:rFonts w:ascii="Arial" w:hAnsi="Arial" w:cs="Arial"/>
          <w:lang w:val="en-US"/>
        </w:rPr>
        <w:t xml:space="preserve">, </w:t>
      </w:r>
      <w:r w:rsidR="00003A2E" w:rsidRPr="006E6B14">
        <w:rPr>
          <w:rFonts w:ascii="Arial" w:hAnsi="Arial" w:cs="Arial"/>
          <w:lang w:val="en-US"/>
        </w:rPr>
        <w:t>|</w:t>
      </w:r>
      <w:r w:rsidR="00003A2E">
        <w:rPr>
          <w:rFonts w:ascii="Arial" w:hAnsi="Arial" w:cs="Arial"/>
          <w:lang w:val="en-US"/>
        </w:rPr>
        <w:t>5.368</w:t>
      </w:r>
      <w:r w:rsidR="00003A2E" w:rsidRPr="006E6B14">
        <w:rPr>
          <w:rFonts w:ascii="Arial" w:hAnsi="Arial" w:cs="Arial"/>
          <w:lang w:val="en-US"/>
        </w:rPr>
        <w:t>|</w:t>
      </w:r>
      <w:r w:rsidR="00003A2E">
        <w:rPr>
          <w:rFonts w:ascii="Arial" w:hAnsi="Arial" w:cs="Arial"/>
          <w:lang w:val="en-US"/>
        </w:rPr>
        <w:t>,</w:t>
      </w:r>
      <w:r w:rsidR="00003A2E" w:rsidRPr="006E6B14">
        <w:rPr>
          <w:rFonts w:ascii="Arial" w:hAnsi="Arial" w:cs="Arial"/>
          <w:lang w:val="en-US"/>
        </w:rPr>
        <w:t xml:space="preserve"> |</w:t>
      </w:r>
      <w:r w:rsidR="00003A2E">
        <w:rPr>
          <w:rFonts w:ascii="Arial" w:hAnsi="Arial" w:cs="Arial"/>
        </w:rPr>
        <w:t>3.698</w:t>
      </w:r>
      <w:r w:rsidR="00003A2E" w:rsidRPr="006E6B14">
        <w:rPr>
          <w:rFonts w:ascii="Arial" w:hAnsi="Arial" w:cs="Arial"/>
          <w:lang w:val="en-US"/>
        </w:rPr>
        <w:t>|</w:t>
      </w:r>
      <w:r w:rsidR="00003A2E">
        <w:rPr>
          <w:rFonts w:ascii="Arial" w:hAnsi="Arial" w:cs="Arial"/>
          <w:lang w:val="en-US"/>
        </w:rPr>
        <w:t xml:space="preserve">, </w:t>
      </w:r>
      <w:r w:rsidR="00003A2E" w:rsidRPr="006E6B14">
        <w:rPr>
          <w:rFonts w:ascii="Arial" w:hAnsi="Arial" w:cs="Arial"/>
          <w:lang w:val="en-US"/>
        </w:rPr>
        <w:t>|</w:t>
      </w:r>
      <w:r w:rsidR="00003A2E">
        <w:rPr>
          <w:rFonts w:ascii="Arial" w:hAnsi="Arial" w:cs="Arial"/>
          <w:lang w:val="en-US"/>
        </w:rPr>
        <w:t>5.663</w:t>
      </w:r>
      <w:r w:rsidR="00003A2E" w:rsidRPr="006E6B14">
        <w:rPr>
          <w:rFonts w:ascii="Arial" w:hAnsi="Arial" w:cs="Arial"/>
          <w:lang w:val="en-US"/>
        </w:rPr>
        <w:t>|</w:t>
      </w:r>
      <w:r w:rsidR="00003A2E">
        <w:rPr>
          <w:rFonts w:ascii="Arial" w:hAnsi="Arial" w:cs="Arial"/>
          <w:lang w:val="en-US"/>
        </w:rPr>
        <w:t xml:space="preserve">, and </w:t>
      </w:r>
      <w:r w:rsidR="00003A2E" w:rsidRPr="006E6B14">
        <w:rPr>
          <w:rFonts w:ascii="Arial" w:hAnsi="Arial" w:cs="Arial"/>
          <w:lang w:val="en-US"/>
        </w:rPr>
        <w:t>|</w:t>
      </w:r>
      <w:r w:rsidR="00003A2E">
        <w:rPr>
          <w:rFonts w:ascii="Arial" w:hAnsi="Arial" w:cs="Arial"/>
        </w:rPr>
        <w:t>4.451</w:t>
      </w:r>
      <w:r w:rsidR="00003A2E" w:rsidRPr="006E6B14">
        <w:rPr>
          <w:rFonts w:ascii="Arial" w:hAnsi="Arial" w:cs="Arial"/>
          <w:lang w:val="en-US"/>
        </w:rPr>
        <w:t>|</w:t>
      </w:r>
      <w:r w:rsidR="00003A2E">
        <w:rPr>
          <w:rFonts w:ascii="Arial" w:hAnsi="Arial" w:cs="Arial"/>
          <w:lang w:val="en-US"/>
        </w:rPr>
        <w:t xml:space="preserve"> respectively for China, Ireland, Korea, Netherlands, and USA).</w:t>
      </w:r>
      <w:r w:rsidR="0045312E">
        <w:rPr>
          <w:rFonts w:ascii="Arial" w:hAnsi="Arial" w:cs="Arial"/>
          <w:lang w:val="en-US"/>
        </w:rPr>
        <w:t xml:space="preserve"> </w:t>
      </w:r>
      <w:r w:rsidR="002169CA">
        <w:rPr>
          <w:rFonts w:ascii="Arial" w:hAnsi="Arial" w:cs="Arial"/>
          <w:lang w:val="en-US"/>
        </w:rPr>
        <w:lastRenderedPageBreak/>
        <w:t>However, the</w:t>
      </w:r>
      <w:r w:rsidR="0045312E">
        <w:rPr>
          <w:rFonts w:ascii="Arial" w:hAnsi="Arial" w:cs="Arial"/>
          <w:lang w:val="en-US"/>
        </w:rPr>
        <w:t xml:space="preserve"> long-term relationship between LNTB and LNREER is </w:t>
      </w:r>
      <w:r w:rsidR="002169CA">
        <w:rPr>
          <w:rFonts w:ascii="Arial" w:hAnsi="Arial" w:cs="Arial"/>
          <w:lang w:val="en-US"/>
        </w:rPr>
        <w:t xml:space="preserve">only in China </w:t>
      </w:r>
      <w:r w:rsidR="0045312E">
        <w:rPr>
          <w:rFonts w:ascii="Arial" w:hAnsi="Arial" w:cs="Arial"/>
          <w:lang w:val="en-US"/>
        </w:rPr>
        <w:t>and</w:t>
      </w:r>
      <w:r w:rsidR="002169CA">
        <w:rPr>
          <w:rFonts w:ascii="Arial" w:hAnsi="Arial" w:cs="Arial"/>
          <w:lang w:val="en-US"/>
        </w:rPr>
        <w:t xml:space="preserve"> USA models. The result shows the presence of a negative relationship between LNTN and LNREER instead of a positive relationship (i.e., the coefficient of LNREER -</w:t>
      </w:r>
      <w:r w:rsidR="00A43E01">
        <w:rPr>
          <w:rFonts w:ascii="Arial" w:hAnsi="Arial" w:cs="Arial"/>
          <w:lang w:val="en-US"/>
        </w:rPr>
        <w:t>0</w:t>
      </w:r>
      <w:r w:rsidR="002169CA">
        <w:rPr>
          <w:rFonts w:ascii="Arial" w:hAnsi="Arial" w:cs="Arial"/>
          <w:lang w:val="en-US"/>
        </w:rPr>
        <w:t>.</w:t>
      </w:r>
      <w:r w:rsidR="00A43E01">
        <w:rPr>
          <w:rFonts w:ascii="Arial" w:hAnsi="Arial" w:cs="Arial"/>
          <w:lang w:val="en-US"/>
        </w:rPr>
        <w:t>852</w:t>
      </w:r>
      <w:r w:rsidR="002169CA">
        <w:rPr>
          <w:rFonts w:ascii="Arial" w:hAnsi="Arial" w:cs="Arial"/>
          <w:lang w:val="en-US"/>
        </w:rPr>
        <w:t xml:space="preserve"> and </w:t>
      </w:r>
      <w:r w:rsidR="00A43E01">
        <w:rPr>
          <w:rFonts w:ascii="Arial" w:hAnsi="Arial" w:cs="Arial"/>
          <w:lang w:val="en-US"/>
        </w:rPr>
        <w:t xml:space="preserve">-0.89 and statistically significant with </w:t>
      </w:r>
      <w:r w:rsidR="00A43E01" w:rsidRPr="57585719">
        <w:rPr>
          <w:rFonts w:ascii="Arial" w:hAnsi="Arial" w:cs="Arial"/>
          <w:i/>
          <w:iCs/>
          <w:lang w:val="en-US"/>
        </w:rPr>
        <w:t>t-</w:t>
      </w:r>
      <w:r w:rsidR="00A43E01">
        <w:rPr>
          <w:rFonts w:ascii="Arial" w:hAnsi="Arial" w:cs="Arial"/>
          <w:lang w:val="en-US"/>
        </w:rPr>
        <w:t xml:space="preserve">stat of </w:t>
      </w:r>
      <w:r w:rsidR="00A43E01" w:rsidRPr="006E6B14">
        <w:rPr>
          <w:rFonts w:ascii="Arial" w:hAnsi="Arial" w:cs="Arial"/>
          <w:lang w:val="en-US"/>
        </w:rPr>
        <w:t>|</w:t>
      </w:r>
      <w:r w:rsidR="00A43E01">
        <w:rPr>
          <w:rFonts w:ascii="Arial" w:hAnsi="Arial" w:cs="Arial"/>
        </w:rPr>
        <w:t>2.994</w:t>
      </w:r>
      <w:r w:rsidR="00A43E01" w:rsidRPr="006E6B14">
        <w:rPr>
          <w:rFonts w:ascii="Arial" w:hAnsi="Arial" w:cs="Arial"/>
          <w:lang w:val="en-US"/>
        </w:rPr>
        <w:t>|</w:t>
      </w:r>
      <w:r w:rsidR="00A43E01">
        <w:rPr>
          <w:rFonts w:ascii="Arial" w:hAnsi="Arial" w:cs="Arial"/>
          <w:lang w:val="en-US"/>
        </w:rPr>
        <w:t xml:space="preserve"> and </w:t>
      </w:r>
      <w:r w:rsidR="00A43E01" w:rsidRPr="006E6B14">
        <w:rPr>
          <w:rFonts w:ascii="Arial" w:hAnsi="Arial" w:cs="Arial"/>
          <w:lang w:val="en-US"/>
        </w:rPr>
        <w:t>|</w:t>
      </w:r>
      <w:r w:rsidR="00A43E01">
        <w:rPr>
          <w:rFonts w:ascii="Arial" w:hAnsi="Arial" w:cs="Arial"/>
          <w:lang w:val="en-US"/>
        </w:rPr>
        <w:t>2.395</w:t>
      </w:r>
      <w:r w:rsidR="00A43E01" w:rsidRPr="006E6B14">
        <w:rPr>
          <w:rFonts w:ascii="Arial" w:hAnsi="Arial" w:cs="Arial"/>
          <w:lang w:val="en-US"/>
        </w:rPr>
        <w:t>|</w:t>
      </w:r>
      <w:r w:rsidR="00A43E01">
        <w:rPr>
          <w:rFonts w:ascii="Arial" w:hAnsi="Arial" w:cs="Arial"/>
          <w:lang w:val="en-US"/>
        </w:rPr>
        <w:t xml:space="preserve"> &gt;</w:t>
      </w:r>
      <w:r w:rsidR="00A43E01" w:rsidRPr="006E6B14">
        <w:rPr>
          <w:rFonts w:ascii="Arial" w:hAnsi="Arial" w:cs="Arial"/>
          <w:lang w:val="en-US"/>
        </w:rPr>
        <w:t xml:space="preserve"> |</w:t>
      </w:r>
      <w:r w:rsidR="00A43E01">
        <w:rPr>
          <w:rFonts w:ascii="Arial" w:hAnsi="Arial" w:cs="Arial"/>
        </w:rPr>
        <w:t>2</w:t>
      </w:r>
      <w:r w:rsidR="00A43E01" w:rsidRPr="006E6B14">
        <w:rPr>
          <w:rFonts w:ascii="Arial" w:hAnsi="Arial" w:cs="Arial"/>
          <w:lang w:val="en-US"/>
        </w:rPr>
        <w:t>|</w:t>
      </w:r>
      <w:r w:rsidR="00A43E01">
        <w:rPr>
          <w:rFonts w:ascii="Arial" w:hAnsi="Arial" w:cs="Arial"/>
          <w:lang w:val="en-US"/>
        </w:rPr>
        <w:t xml:space="preserve">). This means that currency devaluation </w:t>
      </w:r>
      <w:r w:rsidR="00550041">
        <w:rPr>
          <w:rFonts w:ascii="Arial" w:hAnsi="Arial" w:cs="Arial"/>
          <w:lang w:val="en-US"/>
        </w:rPr>
        <w:t>worsens the trade relationship with these nations</w:t>
      </w:r>
      <w:r w:rsidR="000B7D46">
        <w:rPr>
          <w:rFonts w:ascii="Arial" w:hAnsi="Arial" w:cs="Arial"/>
          <w:lang w:val="en-US"/>
        </w:rPr>
        <w:t>,</w:t>
      </w:r>
      <w:r w:rsidR="00550041">
        <w:rPr>
          <w:rFonts w:ascii="Arial" w:hAnsi="Arial" w:cs="Arial"/>
          <w:lang w:val="en-US"/>
        </w:rPr>
        <w:t xml:space="preserve"> and there is no </w:t>
      </w:r>
      <w:r w:rsidR="00550041" w:rsidRPr="57585719">
        <w:rPr>
          <w:rFonts w:ascii="Arial" w:hAnsi="Arial" w:cs="Arial"/>
          <w:i/>
          <w:iCs/>
          <w:lang w:val="en-US"/>
        </w:rPr>
        <w:t>J-</w:t>
      </w:r>
      <w:r w:rsidR="00550041">
        <w:rPr>
          <w:rFonts w:ascii="Arial" w:hAnsi="Arial" w:cs="Arial"/>
          <w:lang w:val="en-US"/>
        </w:rPr>
        <w:t xml:space="preserve">curve in these models. Because there is no short-term relationship in these models, the results do not </w:t>
      </w:r>
      <w:r w:rsidR="00550041" w:rsidRPr="00703B07">
        <w:rPr>
          <w:rFonts w:ascii="Arial" w:hAnsi="Arial" w:cs="Arial"/>
          <w:lang w:val="en-US"/>
        </w:rPr>
        <w:t xml:space="preserve">exhibit </w:t>
      </w:r>
      <w:r w:rsidR="00550041">
        <w:rPr>
          <w:rFonts w:ascii="Arial" w:hAnsi="Arial" w:cs="Arial"/>
          <w:lang w:val="en-US"/>
        </w:rPr>
        <w:t xml:space="preserve">the presence of </w:t>
      </w:r>
      <w:r w:rsidR="00550041" w:rsidRPr="00703B07">
        <w:rPr>
          <w:rFonts w:ascii="Arial" w:hAnsi="Arial" w:cs="Arial"/>
          <w:lang w:val="en-US"/>
        </w:rPr>
        <w:t>an “</w:t>
      </w:r>
      <w:r w:rsidR="00550041" w:rsidRPr="57585719">
        <w:rPr>
          <w:rFonts w:ascii="Arial" w:hAnsi="Arial" w:cs="Arial"/>
          <w:i/>
          <w:iCs/>
          <w:lang w:val="en-US"/>
        </w:rPr>
        <w:t>S-curve</w:t>
      </w:r>
      <w:r w:rsidR="00550041" w:rsidRPr="00703B07">
        <w:rPr>
          <w:rFonts w:ascii="Arial" w:hAnsi="Arial" w:cs="Arial"/>
          <w:lang w:val="en-US"/>
        </w:rPr>
        <w:t>”.</w:t>
      </w:r>
      <w:r w:rsidR="00550041">
        <w:rPr>
          <w:rStyle w:val="FootnoteReference"/>
          <w:rFonts w:ascii="Arial" w:hAnsi="Arial" w:cs="Arial"/>
          <w:lang w:val="en-US"/>
        </w:rPr>
        <w:footnoteReference w:id="118"/>
      </w:r>
    </w:p>
    <w:p w14:paraId="42C756B4" w14:textId="354A9B21" w:rsidR="00F91DB7" w:rsidRPr="00C84B3C" w:rsidRDefault="000E6663" w:rsidP="0066301C">
      <w:pPr>
        <w:tabs>
          <w:tab w:val="left" w:pos="2640"/>
        </w:tabs>
        <w:spacing w:line="360" w:lineRule="auto"/>
        <w:jc w:val="both"/>
        <w:rPr>
          <w:rFonts w:ascii="Arial" w:hAnsi="Arial" w:cs="Arial"/>
          <w:lang w:val="en-US"/>
        </w:rPr>
      </w:pPr>
      <w:r>
        <w:rPr>
          <w:rFonts w:ascii="Arial" w:hAnsi="Arial" w:cs="Arial"/>
          <w:lang w:val="en-US"/>
        </w:rPr>
        <w:t xml:space="preserve">The results further show that </w:t>
      </w:r>
      <w:r w:rsidR="00763C60">
        <w:rPr>
          <w:rFonts w:ascii="Arial" w:hAnsi="Arial" w:cs="Arial"/>
          <w:lang w:val="en-US"/>
        </w:rPr>
        <w:t>the long-term relationship between LNTN and LNREER is negative and statistically insignificant in the Ireland, Korea, and Netherlands model</w:t>
      </w:r>
      <w:r w:rsidR="005A612F">
        <w:rPr>
          <w:rFonts w:ascii="Arial" w:hAnsi="Arial" w:cs="Arial"/>
          <w:lang w:val="en-US"/>
        </w:rPr>
        <w:t>s</w:t>
      </w:r>
      <w:r w:rsidR="00763C60">
        <w:rPr>
          <w:rFonts w:ascii="Arial" w:hAnsi="Arial" w:cs="Arial"/>
          <w:lang w:val="en-US"/>
        </w:rPr>
        <w:t xml:space="preserve">. While there is no short-term relationship in the models. </w:t>
      </w:r>
      <w:r w:rsidR="00F91DB7" w:rsidRPr="00C84B3C">
        <w:rPr>
          <w:rFonts w:ascii="Arial" w:hAnsi="Arial" w:cs="Arial"/>
          <w:lang w:val="en-US"/>
        </w:rPr>
        <w:t xml:space="preserve">This means that there is no </w:t>
      </w:r>
      <w:r w:rsidR="00F91DB7" w:rsidRPr="00C84B3C">
        <w:rPr>
          <w:rFonts w:ascii="Arial" w:hAnsi="Arial" w:cs="Arial"/>
          <w:i/>
          <w:lang w:val="en-US"/>
        </w:rPr>
        <w:t>J-</w:t>
      </w:r>
      <w:r w:rsidR="00F91DB7" w:rsidRPr="00C84B3C">
        <w:rPr>
          <w:rFonts w:ascii="Arial" w:hAnsi="Arial" w:cs="Arial"/>
          <w:lang w:val="en-US"/>
        </w:rPr>
        <w:t>curve in the TB relationship between Gabon and it</w:t>
      </w:r>
      <w:r w:rsidR="00F91DB7">
        <w:rPr>
          <w:rFonts w:ascii="Arial" w:hAnsi="Arial" w:cs="Arial"/>
          <w:lang w:val="en-US"/>
        </w:rPr>
        <w:t>s</w:t>
      </w:r>
      <w:r w:rsidR="00F91DB7" w:rsidRPr="00C84B3C">
        <w:rPr>
          <w:rFonts w:ascii="Arial" w:hAnsi="Arial" w:cs="Arial"/>
          <w:lang w:val="en-US"/>
        </w:rPr>
        <w:t xml:space="preserve"> trading partners. As such, a currency devaluation will not help </w:t>
      </w:r>
      <w:r w:rsidR="005A612F">
        <w:rPr>
          <w:rFonts w:ascii="Arial" w:hAnsi="Arial" w:cs="Arial"/>
          <w:lang w:val="en-US"/>
        </w:rPr>
        <w:t>to</w:t>
      </w:r>
      <w:r w:rsidR="00F91DB7" w:rsidRPr="00C84B3C">
        <w:rPr>
          <w:rFonts w:ascii="Arial" w:hAnsi="Arial" w:cs="Arial"/>
          <w:lang w:val="en-US"/>
        </w:rPr>
        <w:t xml:space="preserve"> improv</w:t>
      </w:r>
      <w:r w:rsidR="005A612F">
        <w:rPr>
          <w:rFonts w:ascii="Arial" w:hAnsi="Arial" w:cs="Arial"/>
          <w:lang w:val="en-US"/>
        </w:rPr>
        <w:t>e</w:t>
      </w:r>
      <w:r w:rsidR="00F91DB7" w:rsidRPr="00C84B3C">
        <w:rPr>
          <w:rFonts w:ascii="Arial" w:hAnsi="Arial" w:cs="Arial"/>
          <w:lang w:val="en-US"/>
        </w:rPr>
        <w:t xml:space="preserve"> the nation’s economic growth via the TB channel. </w:t>
      </w:r>
      <w:r w:rsidR="00F91DB7">
        <w:rPr>
          <w:rFonts w:ascii="Arial" w:hAnsi="Arial" w:cs="Arial"/>
          <w:lang w:val="en-US"/>
        </w:rPr>
        <w:t xml:space="preserve">It could worsen the nation’s economic growth because every effective currency devaluation is </w:t>
      </w:r>
      <w:r w:rsidR="7379D3D9" w:rsidRPr="5317AD51">
        <w:rPr>
          <w:rFonts w:ascii="Arial" w:hAnsi="Arial" w:cs="Arial"/>
          <w:lang w:val="en-US"/>
        </w:rPr>
        <w:t>backed</w:t>
      </w:r>
      <w:r w:rsidR="00F91DB7">
        <w:rPr>
          <w:rFonts w:ascii="Arial" w:hAnsi="Arial" w:cs="Arial"/>
          <w:lang w:val="en-US"/>
        </w:rPr>
        <w:t xml:space="preserve"> by an increase in the foreign reserve that yields a low interest rate. This reserve is money that could be invested to receive higher returns – opportunity cost. </w:t>
      </w:r>
      <w:r w:rsidR="00F91DB7" w:rsidRPr="00C84B3C">
        <w:rPr>
          <w:rFonts w:ascii="Arial" w:hAnsi="Arial" w:cs="Arial"/>
          <w:lang w:val="en-US"/>
        </w:rPr>
        <w:t>Thus, the government could use other policies to improve the nation</w:t>
      </w:r>
      <w:r w:rsidR="00F91DB7">
        <w:rPr>
          <w:rFonts w:ascii="Arial" w:hAnsi="Arial" w:cs="Arial"/>
          <w:lang w:val="en-US"/>
        </w:rPr>
        <w:t>’</w:t>
      </w:r>
      <w:r w:rsidR="00F91DB7" w:rsidRPr="00C84B3C">
        <w:rPr>
          <w:rFonts w:ascii="Arial" w:hAnsi="Arial" w:cs="Arial"/>
          <w:lang w:val="en-US"/>
        </w:rPr>
        <w:t xml:space="preserve">s TB and economic growth. </w:t>
      </w:r>
      <w:r w:rsidR="00F91DB7">
        <w:rPr>
          <w:rFonts w:ascii="Arial" w:hAnsi="Arial" w:cs="Arial"/>
          <w:lang w:val="en-US"/>
        </w:rPr>
        <w:t>W</w:t>
      </w:r>
      <w:r w:rsidR="00F91DB7" w:rsidRPr="00C84B3C">
        <w:rPr>
          <w:rFonts w:ascii="Arial" w:hAnsi="Arial" w:cs="Arial"/>
          <w:lang w:val="en-US"/>
        </w:rPr>
        <w:t xml:space="preserve">e shall proceed with the </w:t>
      </w:r>
      <w:r w:rsidR="00F91DB7">
        <w:rPr>
          <w:rFonts w:ascii="Arial" w:hAnsi="Arial" w:cs="Arial"/>
          <w:lang w:val="en-US"/>
        </w:rPr>
        <w:t>impulse response function (</w:t>
      </w:r>
      <w:r w:rsidR="00F91DB7" w:rsidRPr="00C84B3C">
        <w:rPr>
          <w:rFonts w:ascii="Arial" w:hAnsi="Arial" w:cs="Arial"/>
          <w:lang w:val="en-US"/>
        </w:rPr>
        <w:t>IRF</w:t>
      </w:r>
      <w:r w:rsidR="00F91DB7">
        <w:rPr>
          <w:rFonts w:ascii="Arial" w:hAnsi="Arial" w:cs="Arial"/>
          <w:lang w:val="en-US"/>
        </w:rPr>
        <w:t>)</w:t>
      </w:r>
      <w:r w:rsidR="00F91DB7" w:rsidRPr="00C84B3C">
        <w:rPr>
          <w:rFonts w:ascii="Arial" w:hAnsi="Arial" w:cs="Arial"/>
          <w:lang w:val="en-US"/>
        </w:rPr>
        <w:t xml:space="preserve"> to see how LNTB respon</w:t>
      </w:r>
      <w:r w:rsidR="00353151">
        <w:rPr>
          <w:rFonts w:ascii="Arial" w:hAnsi="Arial" w:cs="Arial"/>
          <w:lang w:val="en-US"/>
        </w:rPr>
        <w:t>d</w:t>
      </w:r>
      <w:r w:rsidR="00F91DB7" w:rsidRPr="00C84B3C">
        <w:rPr>
          <w:rFonts w:ascii="Arial" w:hAnsi="Arial" w:cs="Arial"/>
          <w:lang w:val="en-US"/>
        </w:rPr>
        <w:t>s to shock in LNREER</w:t>
      </w:r>
      <w:r w:rsidR="00FC7CAF">
        <w:rPr>
          <w:rFonts w:ascii="Arial" w:hAnsi="Arial" w:cs="Arial"/>
          <w:lang w:val="en-US"/>
        </w:rPr>
        <w:t xml:space="preserve"> for </w:t>
      </w:r>
      <w:bookmarkStart w:id="465" w:name="_Hlk170906124"/>
      <w:r w:rsidR="00FC7CAF">
        <w:rPr>
          <w:rFonts w:ascii="Arial" w:hAnsi="Arial" w:cs="Arial"/>
          <w:lang w:val="en-US"/>
        </w:rPr>
        <w:t>Cameroon</w:t>
      </w:r>
      <w:r w:rsidR="00F91DB7" w:rsidRPr="00C84B3C">
        <w:rPr>
          <w:rFonts w:ascii="Arial" w:hAnsi="Arial" w:cs="Arial"/>
          <w:lang w:val="en-US"/>
        </w:rPr>
        <w:t xml:space="preserve">. </w:t>
      </w:r>
    </w:p>
    <w:p w14:paraId="7456217C" w14:textId="389E955C" w:rsidR="00F91DB7" w:rsidRPr="00A817E8" w:rsidRDefault="00665510" w:rsidP="0066301C">
      <w:pPr>
        <w:pStyle w:val="Heading3"/>
        <w:numPr>
          <w:ilvl w:val="0"/>
          <w:numId w:val="0"/>
        </w:numPr>
        <w:spacing w:before="0" w:beforeAutospacing="0"/>
        <w:rPr>
          <w:lang w:val="en-US" w:eastAsia="en-GB"/>
        </w:rPr>
      </w:pPr>
      <w:bookmarkStart w:id="466" w:name="_Toc171075416"/>
      <w:bookmarkEnd w:id="464"/>
      <w:r>
        <w:rPr>
          <w:lang w:val="en-US" w:eastAsia="en-GB"/>
        </w:rPr>
        <w:t>4</w:t>
      </w:r>
      <w:r w:rsidR="00F91DB7" w:rsidRPr="00A817E8">
        <w:rPr>
          <w:lang w:val="en-US" w:eastAsia="en-GB"/>
        </w:rPr>
        <w:t>.</w:t>
      </w:r>
      <w:r w:rsidR="00A10860">
        <w:rPr>
          <w:lang w:val="en-US" w:eastAsia="en-GB"/>
        </w:rPr>
        <w:t>6</w:t>
      </w:r>
      <w:r w:rsidR="00F91DB7">
        <w:rPr>
          <w:lang w:val="en-US" w:eastAsia="en-GB"/>
        </w:rPr>
        <w:t>.</w:t>
      </w:r>
      <w:r w:rsidR="008658DE">
        <w:rPr>
          <w:lang w:val="en-US" w:eastAsia="en-GB"/>
        </w:rPr>
        <w:t>6</w:t>
      </w:r>
      <w:r w:rsidR="00817D6E">
        <w:rPr>
          <w:lang w:val="en-US" w:eastAsia="en-GB"/>
        </w:rPr>
        <w:tab/>
      </w:r>
      <w:r w:rsidR="00F91DB7" w:rsidRPr="00A817E8">
        <w:rPr>
          <w:lang w:val="en-US" w:eastAsia="en-GB"/>
        </w:rPr>
        <w:t>IMPULSE RESPONSE FUNCTION (IRF)</w:t>
      </w:r>
      <w:bookmarkEnd w:id="466"/>
    </w:p>
    <w:p w14:paraId="38055CD9" w14:textId="58C80076" w:rsidR="00E66DB0" w:rsidRDefault="00785037" w:rsidP="0066301C">
      <w:pPr>
        <w:autoSpaceDE w:val="0"/>
        <w:autoSpaceDN w:val="0"/>
        <w:adjustRightInd w:val="0"/>
        <w:spacing w:after="0" w:line="360" w:lineRule="auto"/>
        <w:jc w:val="both"/>
        <w:rPr>
          <w:rFonts w:ascii="Arial" w:hAnsi="Arial" w:cs="Arial"/>
        </w:rPr>
      </w:pPr>
      <w:r w:rsidRPr="00A42171">
        <w:rPr>
          <w:rFonts w:ascii="Arial" w:hAnsi="Arial" w:cs="Arial"/>
          <w:lang w:val="en-US"/>
        </w:rPr>
        <w:t>To</w:t>
      </w:r>
      <w:r w:rsidR="00F91DB7" w:rsidRPr="00A42171">
        <w:rPr>
          <w:rFonts w:ascii="Arial" w:hAnsi="Arial" w:cs="Arial"/>
          <w:lang w:val="en-US"/>
        </w:rPr>
        <w:t xml:space="preserve"> quantify the trade balance response to an unexpected shock on the real </w:t>
      </w:r>
      <w:r w:rsidR="00FC3E49">
        <w:rPr>
          <w:rFonts w:ascii="Arial" w:hAnsi="Arial" w:cs="Arial"/>
          <w:lang w:val="en-US"/>
        </w:rPr>
        <w:t xml:space="preserve">effective </w:t>
      </w:r>
      <w:r w:rsidR="00F91DB7" w:rsidRPr="00A42171">
        <w:rPr>
          <w:rFonts w:ascii="Arial" w:hAnsi="Arial" w:cs="Arial"/>
          <w:lang w:val="en-US"/>
        </w:rPr>
        <w:t xml:space="preserve">exchange rate several periods later, residuals were </w:t>
      </w:r>
      <w:r w:rsidR="00ED49CD" w:rsidRPr="00A42171">
        <w:rPr>
          <w:rFonts w:ascii="Arial" w:hAnsi="Arial" w:cs="Arial"/>
          <w:lang w:val="en-US"/>
        </w:rPr>
        <w:t>analy</w:t>
      </w:r>
      <w:r w:rsidR="00ED49CD">
        <w:rPr>
          <w:rFonts w:ascii="Arial" w:hAnsi="Arial" w:cs="Arial"/>
          <w:lang w:val="en-US"/>
        </w:rPr>
        <w:t>s</w:t>
      </w:r>
      <w:r w:rsidR="00ED49CD" w:rsidRPr="00A42171">
        <w:rPr>
          <w:rFonts w:ascii="Arial" w:hAnsi="Arial" w:cs="Arial"/>
          <w:lang w:val="en-US"/>
        </w:rPr>
        <w:t>es</w:t>
      </w:r>
      <w:r w:rsidR="00B9015E" w:rsidRPr="00A42171">
        <w:rPr>
          <w:rFonts w:ascii="Arial" w:hAnsi="Arial" w:cs="Arial"/>
          <w:lang w:val="en-US"/>
        </w:rPr>
        <w:t>,</w:t>
      </w:r>
      <w:r w:rsidR="00F91DB7" w:rsidRPr="00A42171">
        <w:rPr>
          <w:rFonts w:ascii="Arial" w:hAnsi="Arial" w:cs="Arial"/>
          <w:lang w:val="en-US"/>
        </w:rPr>
        <w:t xml:space="preserve"> and the results illustrated by the impulse response function (IRF).</w:t>
      </w:r>
      <w:r w:rsidR="00F91DB7" w:rsidRPr="00A42171">
        <w:rPr>
          <w:rStyle w:val="FootnoteReference"/>
          <w:rFonts w:ascii="Arial" w:hAnsi="Arial" w:cs="Arial"/>
          <w:lang w:val="en-US"/>
        </w:rPr>
        <w:footnoteReference w:id="119"/>
      </w:r>
      <w:r w:rsidR="00AE0D27">
        <w:rPr>
          <w:rFonts w:ascii="Arial" w:hAnsi="Arial" w:cs="Arial"/>
          <w:lang w:val="en-US"/>
        </w:rPr>
        <w:t xml:space="preserve"> B</w:t>
      </w:r>
      <w:r w:rsidR="00D63942">
        <w:rPr>
          <w:rFonts w:ascii="Arial" w:hAnsi="Arial" w:cs="Arial"/>
          <w:lang w:val="en-US"/>
        </w:rPr>
        <w:t>ecause t</w:t>
      </w:r>
      <w:r w:rsidR="00F91DB7" w:rsidRPr="00DB52DF">
        <w:rPr>
          <w:rFonts w:ascii="Arial" w:hAnsi="Arial" w:cs="Arial"/>
        </w:rPr>
        <w:t xml:space="preserve">he objective of this chapter is to investigate the presence of </w:t>
      </w:r>
      <w:r w:rsidR="00F91DB7" w:rsidRPr="57585719">
        <w:rPr>
          <w:rFonts w:ascii="Arial" w:hAnsi="Arial" w:cs="Arial"/>
          <w:i/>
          <w:iCs/>
        </w:rPr>
        <w:t>J-</w:t>
      </w:r>
      <w:r w:rsidR="00F91DB7" w:rsidRPr="00DB52DF">
        <w:rPr>
          <w:rFonts w:ascii="Arial" w:hAnsi="Arial" w:cs="Arial"/>
        </w:rPr>
        <w:t>curve</w:t>
      </w:r>
      <w:r w:rsidR="00D63942">
        <w:rPr>
          <w:rFonts w:ascii="Arial" w:hAnsi="Arial" w:cs="Arial"/>
        </w:rPr>
        <w:t>, w</w:t>
      </w:r>
      <w:r w:rsidR="00F91DB7" w:rsidRPr="00DB52DF">
        <w:rPr>
          <w:rFonts w:ascii="Arial" w:hAnsi="Arial" w:cs="Arial"/>
        </w:rPr>
        <w:t xml:space="preserve">e focus on the response of LNTB to a one standard </w:t>
      </w:r>
      <w:r w:rsidR="00F91DB7" w:rsidRPr="00DB52DF">
        <w:rPr>
          <w:rFonts w:ascii="Arial" w:hAnsi="Arial" w:cs="Arial"/>
          <w:lang w:val="en-US"/>
        </w:rPr>
        <w:t>deviation shock to LNREER</w:t>
      </w:r>
      <w:r w:rsidR="00F91DB7" w:rsidRPr="57585719">
        <w:rPr>
          <w:rFonts w:ascii="Arial" w:hAnsi="Arial" w:cs="Arial"/>
          <w:i/>
          <w:iCs/>
          <w:color w:val="FF0000"/>
          <w:lang w:val="en-US"/>
        </w:rPr>
        <w:t>.</w:t>
      </w:r>
      <w:r w:rsidR="00F91DB7" w:rsidRPr="004905C8">
        <w:rPr>
          <w:rFonts w:ascii="Arial" w:hAnsi="Arial" w:cs="Arial"/>
          <w:color w:val="FF0000"/>
          <w:lang w:val="en-US"/>
        </w:rPr>
        <w:t xml:space="preserve"> </w:t>
      </w:r>
      <w:r w:rsidR="005673C2">
        <w:rPr>
          <w:rFonts w:ascii="Arial" w:hAnsi="Arial" w:cs="Arial"/>
          <w:lang w:val="en-US"/>
        </w:rPr>
        <w:t>We look at all of</w:t>
      </w:r>
      <w:r w:rsidR="005673C2" w:rsidRPr="00C2248E">
        <w:rPr>
          <w:rFonts w:ascii="Arial" w:hAnsi="Arial" w:cs="Arial"/>
          <w:lang w:val="en-US"/>
        </w:rPr>
        <w:t xml:space="preserve"> Cameroon</w:t>
      </w:r>
      <w:r w:rsidR="005673C2">
        <w:rPr>
          <w:rFonts w:ascii="Arial" w:hAnsi="Arial" w:cs="Arial"/>
          <w:lang w:val="en-US"/>
        </w:rPr>
        <w:t xml:space="preserve"> results</w:t>
      </w:r>
      <w:r w:rsidR="0041021D">
        <w:rPr>
          <w:rFonts w:ascii="Arial" w:hAnsi="Arial" w:cs="Arial"/>
          <w:lang w:val="en-US"/>
        </w:rPr>
        <w:t xml:space="preserve"> as seen on </w:t>
      </w:r>
      <w:r w:rsidR="0041021D" w:rsidRPr="00E66DB0">
        <w:rPr>
          <w:rFonts w:ascii="Arial" w:hAnsi="Arial" w:cs="Arial"/>
          <w:lang w:val="en-US"/>
        </w:rPr>
        <w:t xml:space="preserve">figure </w:t>
      </w:r>
      <w:r w:rsidR="00786450" w:rsidRPr="00E66DB0">
        <w:rPr>
          <w:rFonts w:ascii="Arial" w:hAnsi="Arial" w:cs="Arial"/>
          <w:lang w:val="en-US"/>
        </w:rPr>
        <w:t>4</w:t>
      </w:r>
      <w:r w:rsidR="0041021D" w:rsidRPr="00E66DB0">
        <w:rPr>
          <w:rFonts w:ascii="Arial" w:hAnsi="Arial" w:cs="Arial"/>
          <w:lang w:val="en-US"/>
        </w:rPr>
        <w:t>.</w:t>
      </w:r>
      <w:r w:rsidR="00786450" w:rsidRPr="00E66DB0">
        <w:rPr>
          <w:rFonts w:ascii="Arial" w:hAnsi="Arial" w:cs="Arial"/>
          <w:lang w:val="en-US"/>
        </w:rPr>
        <w:t>2</w:t>
      </w:r>
      <w:r w:rsidR="0041021D" w:rsidRPr="00E66DB0">
        <w:rPr>
          <w:rFonts w:ascii="Arial" w:hAnsi="Arial" w:cs="Arial"/>
          <w:lang w:val="en-US"/>
        </w:rPr>
        <w:t xml:space="preserve"> </w:t>
      </w:r>
      <w:r w:rsidR="00E66DB0" w:rsidRPr="00E66DB0">
        <w:rPr>
          <w:rFonts w:ascii="Arial" w:hAnsi="Arial" w:cs="Arial"/>
          <w:lang w:val="en-US"/>
        </w:rPr>
        <w:t>below</w:t>
      </w:r>
      <w:r w:rsidR="005673C2" w:rsidRPr="00E66DB0">
        <w:rPr>
          <w:rFonts w:ascii="Arial" w:hAnsi="Arial" w:cs="Arial"/>
          <w:lang w:val="en-US"/>
        </w:rPr>
        <w:t>.</w:t>
      </w:r>
      <w:r w:rsidR="005673C2">
        <w:rPr>
          <w:rFonts w:ascii="Arial" w:hAnsi="Arial" w:cs="Arial"/>
          <w:lang w:val="en-US"/>
        </w:rPr>
        <w:t xml:space="preserve"> </w:t>
      </w:r>
      <w:r w:rsidR="00F91DB7" w:rsidRPr="00C2248E">
        <w:rPr>
          <w:rFonts w:ascii="Arial" w:hAnsi="Arial" w:cs="Arial"/>
          <w:lang w:val="en-US"/>
        </w:rPr>
        <w:t xml:space="preserve">Because the </w:t>
      </w:r>
      <w:r w:rsidR="006968E5">
        <w:rPr>
          <w:rFonts w:ascii="Arial" w:hAnsi="Arial" w:cs="Arial"/>
          <w:lang w:val="en-US"/>
        </w:rPr>
        <w:t>above results</w:t>
      </w:r>
      <w:r w:rsidR="00F91DB7" w:rsidRPr="00C2248E">
        <w:rPr>
          <w:rFonts w:ascii="Arial" w:hAnsi="Arial" w:cs="Arial"/>
          <w:lang w:val="en-US"/>
        </w:rPr>
        <w:t xml:space="preserve"> showed that there </w:t>
      </w:r>
      <w:r w:rsidR="00B9015E" w:rsidRPr="00C2248E">
        <w:rPr>
          <w:rFonts w:ascii="Arial" w:hAnsi="Arial" w:cs="Arial"/>
          <w:lang w:val="en-US"/>
        </w:rPr>
        <w:t>w</w:t>
      </w:r>
      <w:r w:rsidR="00B9015E">
        <w:rPr>
          <w:rFonts w:ascii="Arial" w:hAnsi="Arial" w:cs="Arial"/>
          <w:lang w:val="en-US"/>
        </w:rPr>
        <w:t>as</w:t>
      </w:r>
      <w:r w:rsidR="00F91DB7" w:rsidRPr="00C2248E">
        <w:rPr>
          <w:rFonts w:ascii="Arial" w:hAnsi="Arial" w:cs="Arial"/>
          <w:lang w:val="en-US"/>
        </w:rPr>
        <w:t xml:space="preserve"> </w:t>
      </w:r>
      <w:r w:rsidR="00430DAF">
        <w:rPr>
          <w:rFonts w:ascii="Arial" w:hAnsi="Arial" w:cs="Arial"/>
          <w:lang w:val="en-US"/>
        </w:rPr>
        <w:t>negative</w:t>
      </w:r>
      <w:r w:rsidR="00F91DB7" w:rsidRPr="00C2248E">
        <w:rPr>
          <w:rFonts w:ascii="Arial" w:hAnsi="Arial" w:cs="Arial"/>
          <w:lang w:val="en-US"/>
        </w:rPr>
        <w:t xml:space="preserve"> long-term relationship between </w:t>
      </w:r>
      <w:r w:rsidR="00AE0D27">
        <w:rPr>
          <w:rFonts w:ascii="Arial" w:hAnsi="Arial" w:cs="Arial"/>
          <w:lang w:val="en-US"/>
        </w:rPr>
        <w:t xml:space="preserve">LNTB and </w:t>
      </w:r>
      <w:r w:rsidR="00F91DB7" w:rsidRPr="00C2248E">
        <w:rPr>
          <w:rFonts w:ascii="Arial" w:hAnsi="Arial" w:cs="Arial"/>
          <w:lang w:val="en-US"/>
        </w:rPr>
        <w:t>LNREER for CAR</w:t>
      </w:r>
      <w:r w:rsidR="000072C0">
        <w:rPr>
          <w:rFonts w:ascii="Arial" w:hAnsi="Arial" w:cs="Arial"/>
          <w:lang w:val="en-US"/>
        </w:rPr>
        <w:t xml:space="preserve"> and Gabon</w:t>
      </w:r>
      <w:r w:rsidR="00F91DB7" w:rsidRPr="00C2248E">
        <w:rPr>
          <w:rFonts w:ascii="Arial" w:hAnsi="Arial" w:cs="Arial"/>
          <w:lang w:val="en-US"/>
        </w:rPr>
        <w:t xml:space="preserve"> </w:t>
      </w:r>
      <w:r w:rsidR="00AE0D27">
        <w:rPr>
          <w:rFonts w:ascii="Arial" w:hAnsi="Arial" w:cs="Arial"/>
          <w:lang w:val="en-US"/>
        </w:rPr>
        <w:t>models</w:t>
      </w:r>
      <w:r w:rsidR="0041021D">
        <w:rPr>
          <w:rFonts w:ascii="Arial" w:hAnsi="Arial" w:cs="Arial"/>
          <w:lang w:val="en-US"/>
        </w:rPr>
        <w:t>,</w:t>
      </w:r>
      <w:r w:rsidR="00430DAF">
        <w:rPr>
          <w:rFonts w:ascii="Arial" w:hAnsi="Arial" w:cs="Arial"/>
          <w:lang w:val="en-US"/>
        </w:rPr>
        <w:t xml:space="preserve"> we will look at them</w:t>
      </w:r>
      <w:r w:rsidR="0041021D">
        <w:rPr>
          <w:rFonts w:ascii="Arial" w:hAnsi="Arial" w:cs="Arial"/>
          <w:lang w:val="en-US"/>
        </w:rPr>
        <w:t xml:space="preserve"> as seen </w:t>
      </w:r>
      <w:r w:rsidR="00E128A8">
        <w:rPr>
          <w:rFonts w:ascii="Arial" w:hAnsi="Arial" w:cs="Arial"/>
          <w:lang w:val="en-US"/>
        </w:rPr>
        <w:t>i</w:t>
      </w:r>
      <w:r w:rsidR="0041021D">
        <w:rPr>
          <w:rFonts w:ascii="Arial" w:hAnsi="Arial" w:cs="Arial"/>
          <w:lang w:val="en-US"/>
        </w:rPr>
        <w:t xml:space="preserve">n </w:t>
      </w:r>
      <w:r w:rsidR="0041021D" w:rsidRPr="00FC0B8A">
        <w:rPr>
          <w:rFonts w:ascii="Arial" w:hAnsi="Arial" w:cs="Arial"/>
          <w:lang w:val="en-US"/>
        </w:rPr>
        <w:t xml:space="preserve">figure </w:t>
      </w:r>
      <w:r w:rsidR="00786450" w:rsidRPr="00FC0B8A">
        <w:rPr>
          <w:rFonts w:ascii="Arial" w:hAnsi="Arial" w:cs="Arial"/>
          <w:lang w:val="en-US"/>
        </w:rPr>
        <w:t>4</w:t>
      </w:r>
      <w:r w:rsidR="0041021D" w:rsidRPr="00FC0B8A">
        <w:rPr>
          <w:rFonts w:ascii="Arial" w:hAnsi="Arial" w:cs="Arial"/>
          <w:lang w:val="en-US"/>
        </w:rPr>
        <w:t>.</w:t>
      </w:r>
      <w:r w:rsidR="00786450" w:rsidRPr="00FC0B8A">
        <w:rPr>
          <w:rFonts w:ascii="Arial" w:hAnsi="Arial" w:cs="Arial"/>
          <w:lang w:val="en-US"/>
        </w:rPr>
        <w:t>3</w:t>
      </w:r>
      <w:r w:rsidR="0041021D" w:rsidRPr="00FC0B8A">
        <w:rPr>
          <w:rFonts w:ascii="Arial" w:hAnsi="Arial" w:cs="Arial"/>
          <w:lang w:val="en-US"/>
        </w:rPr>
        <w:t xml:space="preserve"> </w:t>
      </w:r>
      <w:r w:rsidR="000072C0" w:rsidRPr="00FC0B8A">
        <w:rPr>
          <w:rFonts w:ascii="Arial" w:hAnsi="Arial" w:cs="Arial"/>
          <w:lang w:val="en-US"/>
        </w:rPr>
        <w:t xml:space="preserve">and figure </w:t>
      </w:r>
      <w:r w:rsidR="00786450" w:rsidRPr="00E66DB0">
        <w:rPr>
          <w:rFonts w:ascii="Arial" w:hAnsi="Arial" w:cs="Arial"/>
          <w:lang w:val="en-US"/>
        </w:rPr>
        <w:t>4</w:t>
      </w:r>
      <w:r w:rsidR="000072C0" w:rsidRPr="00E66DB0">
        <w:rPr>
          <w:rFonts w:ascii="Arial" w:hAnsi="Arial" w:cs="Arial"/>
          <w:lang w:val="en-US"/>
        </w:rPr>
        <w:t>.</w:t>
      </w:r>
      <w:r w:rsidR="00786450" w:rsidRPr="00E66DB0">
        <w:rPr>
          <w:rFonts w:ascii="Arial" w:hAnsi="Arial" w:cs="Arial"/>
          <w:lang w:val="en-US"/>
        </w:rPr>
        <w:t>4</w:t>
      </w:r>
      <w:r w:rsidR="000072C0" w:rsidRPr="00E66DB0">
        <w:rPr>
          <w:rFonts w:ascii="Arial" w:hAnsi="Arial" w:cs="Arial"/>
          <w:lang w:val="en-US"/>
        </w:rPr>
        <w:t xml:space="preserve"> </w:t>
      </w:r>
      <w:r w:rsidR="00E66DB0" w:rsidRPr="00E66DB0">
        <w:rPr>
          <w:rFonts w:ascii="Arial" w:hAnsi="Arial" w:cs="Arial"/>
          <w:lang w:val="en-US"/>
        </w:rPr>
        <w:t>below</w:t>
      </w:r>
      <w:r w:rsidR="00430DAF" w:rsidRPr="00FC0B8A">
        <w:rPr>
          <w:rFonts w:ascii="Arial" w:hAnsi="Arial" w:cs="Arial"/>
          <w:lang w:val="en-US"/>
        </w:rPr>
        <w:t>.</w:t>
      </w:r>
      <w:r w:rsidR="000072C0" w:rsidRPr="00FC0B8A">
        <w:rPr>
          <w:rStyle w:val="FootnoteReference"/>
          <w:rFonts w:ascii="Arial" w:hAnsi="Arial" w:cs="Arial"/>
          <w:lang w:val="en-US"/>
        </w:rPr>
        <w:footnoteReference w:id="120"/>
      </w:r>
      <w:r w:rsidR="005673C2">
        <w:rPr>
          <w:rFonts w:ascii="Arial" w:hAnsi="Arial" w:cs="Arial"/>
          <w:lang w:val="en-US"/>
        </w:rPr>
        <w:t xml:space="preserve"> </w:t>
      </w:r>
      <w:r w:rsidR="00AE0D27">
        <w:rPr>
          <w:rFonts w:ascii="Arial" w:hAnsi="Arial" w:cs="Arial"/>
          <w:lang w:val="en-US"/>
        </w:rPr>
        <w:t>Th</w:t>
      </w:r>
      <w:r w:rsidR="00B9015E">
        <w:rPr>
          <w:rFonts w:ascii="Arial" w:hAnsi="Arial" w:cs="Arial"/>
          <w:lang w:val="en-US"/>
        </w:rPr>
        <w:t>e IRF</w:t>
      </w:r>
      <w:r w:rsidR="00AE0D27">
        <w:rPr>
          <w:rFonts w:ascii="Arial" w:hAnsi="Arial" w:cs="Arial"/>
          <w:lang w:val="en-US"/>
        </w:rPr>
        <w:t xml:space="preserve"> further justify the above results</w:t>
      </w:r>
      <w:r w:rsidR="009D06FF">
        <w:rPr>
          <w:rFonts w:ascii="Arial" w:hAnsi="Arial" w:cs="Arial"/>
          <w:lang w:val="en-US"/>
        </w:rPr>
        <w:t xml:space="preserve"> that there is a </w:t>
      </w:r>
      <w:r w:rsidR="009D06FF" w:rsidRPr="57585719">
        <w:rPr>
          <w:rFonts w:ascii="Arial" w:hAnsi="Arial" w:cs="Arial"/>
          <w:i/>
          <w:iCs/>
          <w:lang w:val="en-US"/>
        </w:rPr>
        <w:t>J-</w:t>
      </w:r>
      <w:r w:rsidR="009D06FF">
        <w:rPr>
          <w:rFonts w:ascii="Arial" w:hAnsi="Arial" w:cs="Arial"/>
          <w:lang w:val="en-US"/>
        </w:rPr>
        <w:t xml:space="preserve"> curve only in Cameroon models</w:t>
      </w:r>
      <w:r w:rsidR="00E66DB0">
        <w:rPr>
          <w:rFonts w:ascii="Arial" w:hAnsi="Arial" w:cs="Arial"/>
          <w:lang w:val="en-US"/>
        </w:rPr>
        <w:t xml:space="preserve"> as seen below</w:t>
      </w:r>
      <w:r w:rsidR="00AE0D27">
        <w:rPr>
          <w:rFonts w:ascii="Arial" w:hAnsi="Arial" w:cs="Arial"/>
          <w:lang w:val="en-US"/>
        </w:rPr>
        <w:t>.</w:t>
      </w:r>
      <w:r w:rsidR="00AE0D27" w:rsidRPr="004905C8">
        <w:rPr>
          <w:rFonts w:ascii="Arial" w:hAnsi="Arial" w:cs="Arial"/>
        </w:rPr>
        <w:t xml:space="preserve"> </w:t>
      </w:r>
    </w:p>
    <w:p w14:paraId="2230F3AA" w14:textId="77777777" w:rsidR="00E66DB0" w:rsidRDefault="00E66DB0" w:rsidP="0066301C">
      <w:pPr>
        <w:autoSpaceDE w:val="0"/>
        <w:autoSpaceDN w:val="0"/>
        <w:adjustRightInd w:val="0"/>
        <w:spacing w:after="0"/>
        <w:ind w:right="237"/>
        <w:rPr>
          <w:rFonts w:ascii="Arial" w:hAnsi="Arial" w:cs="Arial"/>
          <w:b/>
          <w:color w:val="000000"/>
        </w:rPr>
      </w:pPr>
      <w:r w:rsidRPr="00DD2588">
        <w:rPr>
          <w:rFonts w:ascii="Arial" w:hAnsi="Arial" w:cs="Arial"/>
          <w:b/>
          <w:color w:val="000000"/>
        </w:rPr>
        <w:lastRenderedPageBreak/>
        <w:t>Figures 4.2: Cameroon and</w:t>
      </w:r>
      <w:r w:rsidRPr="00111AE6">
        <w:rPr>
          <w:rFonts w:ascii="Arial" w:hAnsi="Arial" w:cs="Arial"/>
          <w:b/>
          <w:color w:val="000000"/>
        </w:rPr>
        <w:t xml:space="preserve"> Trade Partners </w:t>
      </w:r>
      <w:r>
        <w:rPr>
          <w:rFonts w:ascii="Arial" w:hAnsi="Arial" w:cs="Arial"/>
          <w:b/>
          <w:color w:val="000000"/>
        </w:rPr>
        <w:t>IRF</w:t>
      </w:r>
    </w:p>
    <w:p w14:paraId="453FD69C" w14:textId="77777777" w:rsidR="001B21D5" w:rsidRDefault="001B21D5" w:rsidP="0066301C">
      <w:pPr>
        <w:pStyle w:val="NoSpacing"/>
        <w:rPr>
          <w:rFonts w:ascii="Arial" w:hAnsi="Arial" w:cs="Arial"/>
          <w:b/>
          <w:sz w:val="20"/>
          <w:szCs w:val="20"/>
        </w:rPr>
      </w:pPr>
    </w:p>
    <w:bookmarkEnd w:id="465"/>
    <w:p w14:paraId="6B4FB547" w14:textId="2309AD08" w:rsidR="00E66DB0" w:rsidRPr="00EE2EF5" w:rsidRDefault="00E66DB0" w:rsidP="0066301C">
      <w:pPr>
        <w:pStyle w:val="NoSpacing"/>
        <w:rPr>
          <w:rFonts w:ascii="Arial" w:hAnsi="Arial" w:cs="Arial"/>
          <w:b/>
          <w:sz w:val="20"/>
          <w:szCs w:val="20"/>
        </w:rPr>
      </w:pPr>
      <w:r w:rsidRPr="00DD2588">
        <w:rPr>
          <w:rFonts w:ascii="Arial" w:hAnsi="Arial" w:cs="Arial"/>
          <w:b/>
          <w:sz w:val="20"/>
          <w:szCs w:val="20"/>
        </w:rPr>
        <w:t>Figure 4.</w:t>
      </w:r>
      <w:r>
        <w:rPr>
          <w:rFonts w:ascii="Arial" w:hAnsi="Arial" w:cs="Arial"/>
          <w:b/>
          <w:sz w:val="20"/>
          <w:szCs w:val="20"/>
        </w:rPr>
        <w:t>2</w:t>
      </w:r>
      <w:r w:rsidRPr="00DD2588">
        <w:rPr>
          <w:rFonts w:ascii="Arial" w:hAnsi="Arial" w:cs="Arial"/>
          <w:b/>
          <w:sz w:val="20"/>
          <w:szCs w:val="20"/>
        </w:rPr>
        <w:t>a: Impulse</w:t>
      </w:r>
      <w:r w:rsidRPr="00EE2EF5">
        <w:rPr>
          <w:rFonts w:ascii="Arial" w:hAnsi="Arial" w:cs="Arial"/>
          <w:b/>
          <w:sz w:val="20"/>
          <w:szCs w:val="20"/>
        </w:rPr>
        <w:t xml:space="preserve"> Response Function and Table (Cameroon - China)</w:t>
      </w:r>
    </w:p>
    <w:p w14:paraId="6BEA5183" w14:textId="77777777" w:rsidR="00E66DB0" w:rsidRDefault="00E66DB0" w:rsidP="0066301C">
      <w:pPr>
        <w:pBdr>
          <w:top w:val="single" w:sz="4" w:space="1" w:color="auto"/>
          <w:left w:val="single" w:sz="4" w:space="4" w:color="auto"/>
          <w:bottom w:val="single" w:sz="4" w:space="0" w:color="auto"/>
          <w:right w:val="single" w:sz="4" w:space="4" w:color="auto"/>
        </w:pBdr>
        <w:autoSpaceDE w:val="0"/>
        <w:autoSpaceDN w:val="0"/>
        <w:adjustRightInd w:val="0"/>
        <w:spacing w:after="0"/>
        <w:ind w:right="521"/>
        <w:rPr>
          <w:rFonts w:cs="Times New Roman"/>
        </w:rPr>
      </w:pPr>
      <w:r w:rsidRPr="00ED7FBE">
        <w:rPr>
          <w:noProof/>
          <w:color w:val="FF0000"/>
          <w:lang w:val="en-US"/>
        </w:rPr>
        <w:drawing>
          <wp:inline distT="0" distB="0" distL="0" distR="0" wp14:anchorId="32F1FDDC" wp14:editId="08A4A81C">
            <wp:extent cx="3486150" cy="2383155"/>
            <wp:effectExtent l="0" t="0" r="0" b="0"/>
            <wp:docPr id="3" name="Picture 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2"/>
                    <pic:cNvPicPr>
                      <a:picLocks noChangeAspect="1" noChangeArrowheads="1"/>
                    </pic:cNvPicPr>
                  </pic:nvPicPr>
                  <pic:blipFill>
                    <a:blip r:embed="rId42">
                      <a:extLst>
                        <a:ext uri="{28A0092B-C50C-407E-A947-70E740481C1C}">
                          <a14:useLocalDpi xmlns:a14="http://schemas.microsoft.com/office/drawing/2010/main" val="0"/>
                        </a:ext>
                      </a:extLst>
                    </a:blip>
                    <a:srcRect/>
                    <a:stretch>
                      <a:fillRect/>
                    </a:stretch>
                  </pic:blipFill>
                  <pic:spPr bwMode="auto">
                    <a:xfrm>
                      <a:off x="0" y="0"/>
                      <a:ext cx="3503493" cy="2395011"/>
                    </a:xfrm>
                    <a:prstGeom prst="rect">
                      <a:avLst/>
                    </a:prstGeom>
                    <a:noFill/>
                    <a:ln>
                      <a:noFill/>
                    </a:ln>
                  </pic:spPr>
                </pic:pic>
              </a:graphicData>
            </a:graphic>
          </wp:inline>
        </w:drawing>
      </w:r>
      <w:r>
        <w:rPr>
          <w:noProof/>
          <w:color w:val="FF0000"/>
        </w:rPr>
        <w:t xml:space="preserve">        </w:t>
      </w:r>
      <w:r w:rsidRPr="00ED7FBE">
        <w:rPr>
          <w:noProof/>
          <w:color w:val="FF0000"/>
          <w:lang w:val="en-US"/>
        </w:rPr>
        <w:drawing>
          <wp:inline distT="0" distB="0" distL="0" distR="0" wp14:anchorId="2FD1DCB7" wp14:editId="210D2835">
            <wp:extent cx="1579587" cy="2351405"/>
            <wp:effectExtent l="0" t="0" r="1905" b="0"/>
            <wp:docPr id="64" name="Picture 6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3"/>
                    <pic:cNvPicPr>
                      <a:picLocks noChangeAspect="1" noChangeArrowheads="1"/>
                    </pic:cNvPicPr>
                  </pic:nvPicPr>
                  <pic:blipFill>
                    <a:blip r:embed="rId43">
                      <a:extLst>
                        <a:ext uri="{28A0092B-C50C-407E-A947-70E740481C1C}">
                          <a14:useLocalDpi xmlns:a14="http://schemas.microsoft.com/office/drawing/2010/main" val="0"/>
                        </a:ext>
                      </a:extLst>
                    </a:blip>
                    <a:srcRect/>
                    <a:stretch>
                      <a:fillRect/>
                    </a:stretch>
                  </pic:blipFill>
                  <pic:spPr bwMode="auto">
                    <a:xfrm>
                      <a:off x="0" y="0"/>
                      <a:ext cx="1586797" cy="2362137"/>
                    </a:xfrm>
                    <a:prstGeom prst="rect">
                      <a:avLst/>
                    </a:prstGeom>
                    <a:noFill/>
                    <a:ln>
                      <a:noFill/>
                    </a:ln>
                  </pic:spPr>
                </pic:pic>
              </a:graphicData>
            </a:graphic>
          </wp:inline>
        </w:drawing>
      </w:r>
    </w:p>
    <w:p w14:paraId="282FACF8" w14:textId="7464E30C" w:rsidR="001B21D5" w:rsidRPr="0019196C" w:rsidRDefault="00E66DB0" w:rsidP="0019196C">
      <w:pPr>
        <w:pStyle w:val="ListParagraph"/>
        <w:autoSpaceDE w:val="0"/>
        <w:autoSpaceDN w:val="0"/>
        <w:adjustRightInd w:val="0"/>
        <w:spacing w:after="0" w:line="240" w:lineRule="auto"/>
        <w:ind w:left="0"/>
        <w:rPr>
          <w:rFonts w:ascii="Arial" w:hAnsi="Arial" w:cs="Arial"/>
          <w:b/>
          <w:sz w:val="20"/>
          <w:szCs w:val="20"/>
        </w:rPr>
      </w:pPr>
      <w:r>
        <w:rPr>
          <w:b/>
          <w:sz w:val="20"/>
          <w:szCs w:val="20"/>
        </w:rPr>
        <w:t xml:space="preserve"> </w:t>
      </w:r>
      <w:r w:rsidR="0019196C" w:rsidRPr="005D14CA">
        <w:rPr>
          <w:rFonts w:ascii="Arial" w:hAnsi="Arial" w:cs="Arial"/>
          <w:i/>
          <w:sz w:val="20"/>
          <w:szCs w:val="20"/>
        </w:rPr>
        <w:t>Source</w:t>
      </w:r>
      <w:r w:rsidR="0019196C" w:rsidRPr="005D14CA">
        <w:rPr>
          <w:rFonts w:ascii="Arial" w:hAnsi="Arial" w:cs="Arial"/>
          <w:sz w:val="20"/>
          <w:szCs w:val="20"/>
        </w:rPr>
        <w:t>: Computation from time-series data using EViews 12</w:t>
      </w:r>
    </w:p>
    <w:p w14:paraId="732E7076" w14:textId="1B08A0FE" w:rsidR="00E66DB0" w:rsidRDefault="00E66DB0" w:rsidP="0066301C">
      <w:pPr>
        <w:autoSpaceDE w:val="0"/>
        <w:autoSpaceDN w:val="0"/>
        <w:adjustRightInd w:val="0"/>
        <w:spacing w:after="0"/>
        <w:rPr>
          <w:rFonts w:cs="Times New Roman"/>
          <w:b/>
          <w:sz w:val="20"/>
          <w:szCs w:val="20"/>
        </w:rPr>
      </w:pPr>
      <w:r>
        <w:rPr>
          <w:rFonts w:cs="Times New Roman"/>
          <w:b/>
          <w:sz w:val="20"/>
          <w:szCs w:val="20"/>
        </w:rPr>
        <w:tab/>
      </w:r>
      <w:r>
        <w:rPr>
          <w:rFonts w:cs="Times New Roman"/>
          <w:b/>
          <w:sz w:val="20"/>
          <w:szCs w:val="20"/>
        </w:rPr>
        <w:tab/>
      </w:r>
      <w:r>
        <w:rPr>
          <w:rFonts w:cs="Times New Roman"/>
          <w:b/>
          <w:sz w:val="20"/>
          <w:szCs w:val="20"/>
        </w:rPr>
        <w:tab/>
      </w:r>
      <w:r>
        <w:rPr>
          <w:rFonts w:cs="Times New Roman"/>
          <w:b/>
          <w:sz w:val="20"/>
          <w:szCs w:val="20"/>
        </w:rPr>
        <w:tab/>
      </w:r>
      <w:r>
        <w:rPr>
          <w:rFonts w:cs="Times New Roman"/>
          <w:b/>
          <w:sz w:val="20"/>
          <w:szCs w:val="20"/>
        </w:rPr>
        <w:tab/>
      </w:r>
      <w:r>
        <w:rPr>
          <w:rFonts w:cs="Times New Roman"/>
          <w:b/>
          <w:sz w:val="20"/>
          <w:szCs w:val="20"/>
        </w:rPr>
        <w:tab/>
      </w:r>
    </w:p>
    <w:p w14:paraId="579D419F" w14:textId="77777777" w:rsidR="00E66DB0" w:rsidRDefault="00E66DB0" w:rsidP="0066301C">
      <w:pPr>
        <w:autoSpaceDE w:val="0"/>
        <w:autoSpaceDN w:val="0"/>
        <w:adjustRightInd w:val="0"/>
        <w:spacing w:after="0"/>
        <w:jc w:val="both"/>
      </w:pPr>
      <w:r w:rsidRPr="00224A02">
        <w:rPr>
          <w:rFonts w:ascii="Arial" w:hAnsi="Arial" w:cs="Arial"/>
          <w:b/>
          <w:sz w:val="20"/>
          <w:szCs w:val="20"/>
        </w:rPr>
        <w:t>Figure 4.2b: Impulse</w:t>
      </w:r>
      <w:r w:rsidRPr="00EE2EF5">
        <w:rPr>
          <w:rFonts w:ascii="Arial" w:hAnsi="Arial" w:cs="Arial"/>
          <w:b/>
          <w:sz w:val="20"/>
          <w:szCs w:val="20"/>
        </w:rPr>
        <w:t xml:space="preserve"> Response Function and Table (Cameroon - France)</w:t>
      </w:r>
      <w:r w:rsidRPr="009D5D66">
        <w:t xml:space="preserve"> </w:t>
      </w:r>
    </w:p>
    <w:p w14:paraId="46EB5A30" w14:textId="77777777" w:rsidR="00E66DB0" w:rsidRDefault="00E66DB0" w:rsidP="00A77B93">
      <w:pPr>
        <w:pBdr>
          <w:top w:val="single" w:sz="4" w:space="1" w:color="auto"/>
          <w:left w:val="single" w:sz="4" w:space="4" w:color="auto"/>
          <w:bottom w:val="single" w:sz="4" w:space="1" w:color="auto"/>
          <w:right w:val="single" w:sz="4" w:space="4" w:color="auto"/>
        </w:pBdr>
        <w:spacing w:after="0"/>
      </w:pPr>
      <w:r w:rsidRPr="008D705F">
        <w:rPr>
          <w:noProof/>
        </w:rPr>
        <w:drawing>
          <wp:inline distT="0" distB="0" distL="0" distR="0" wp14:anchorId="10CC36EC" wp14:editId="0563C205">
            <wp:extent cx="4015740" cy="3158490"/>
            <wp:effectExtent l="0" t="0" r="3810" b="3810"/>
            <wp:docPr id="987861223" name="Picture 98786122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7"/>
                    <pic:cNvPicPr>
                      <a:picLocks noChangeAspect="1" noChangeArrowheads="1"/>
                    </pic:cNvPicPr>
                  </pic:nvPicPr>
                  <pic:blipFill>
                    <a:blip r:embed="rId44">
                      <a:extLst>
                        <a:ext uri="{28A0092B-C50C-407E-A947-70E740481C1C}">
                          <a14:useLocalDpi xmlns:a14="http://schemas.microsoft.com/office/drawing/2010/main" val="0"/>
                        </a:ext>
                      </a:extLst>
                    </a:blip>
                    <a:srcRect/>
                    <a:stretch>
                      <a:fillRect/>
                    </a:stretch>
                  </pic:blipFill>
                  <pic:spPr bwMode="auto">
                    <a:xfrm>
                      <a:off x="0" y="0"/>
                      <a:ext cx="4050338" cy="3185702"/>
                    </a:xfrm>
                    <a:prstGeom prst="rect">
                      <a:avLst/>
                    </a:prstGeom>
                    <a:noFill/>
                    <a:ln>
                      <a:noFill/>
                    </a:ln>
                  </pic:spPr>
                </pic:pic>
              </a:graphicData>
            </a:graphic>
          </wp:inline>
        </w:drawing>
      </w:r>
      <w:r>
        <w:t xml:space="preserve">         </w:t>
      </w:r>
      <w:r w:rsidRPr="008D705F">
        <w:rPr>
          <w:noProof/>
        </w:rPr>
        <w:drawing>
          <wp:inline distT="0" distB="0" distL="0" distR="0" wp14:anchorId="5F16FBD4" wp14:editId="0FC7CED5">
            <wp:extent cx="1402080" cy="2994660"/>
            <wp:effectExtent l="0" t="0" r="7620" b="0"/>
            <wp:docPr id="1775777995" name="Picture 177577799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8"/>
                    <pic:cNvPicPr>
                      <a:picLocks noChangeAspect="1" noChangeArrowheads="1"/>
                    </pic:cNvPicPr>
                  </pic:nvPicPr>
                  <pic:blipFill>
                    <a:blip r:embed="rId45">
                      <a:extLst>
                        <a:ext uri="{28A0092B-C50C-407E-A947-70E740481C1C}">
                          <a14:useLocalDpi xmlns:a14="http://schemas.microsoft.com/office/drawing/2010/main" val="0"/>
                        </a:ext>
                      </a:extLst>
                    </a:blip>
                    <a:srcRect/>
                    <a:stretch>
                      <a:fillRect/>
                    </a:stretch>
                  </pic:blipFill>
                  <pic:spPr bwMode="auto">
                    <a:xfrm>
                      <a:off x="0" y="0"/>
                      <a:ext cx="1402080" cy="2994660"/>
                    </a:xfrm>
                    <a:prstGeom prst="rect">
                      <a:avLst/>
                    </a:prstGeom>
                    <a:noFill/>
                    <a:ln>
                      <a:noFill/>
                    </a:ln>
                  </pic:spPr>
                </pic:pic>
              </a:graphicData>
            </a:graphic>
          </wp:inline>
        </w:drawing>
      </w:r>
    </w:p>
    <w:p w14:paraId="5ADA48BC" w14:textId="77777777" w:rsidR="00A77B93" w:rsidRPr="005D14CA" w:rsidRDefault="00A77B93" w:rsidP="00A77B93">
      <w:pPr>
        <w:pStyle w:val="ListParagraph"/>
        <w:autoSpaceDE w:val="0"/>
        <w:autoSpaceDN w:val="0"/>
        <w:adjustRightInd w:val="0"/>
        <w:spacing w:after="0" w:line="240" w:lineRule="auto"/>
        <w:ind w:left="0"/>
        <w:rPr>
          <w:rFonts w:ascii="Arial" w:hAnsi="Arial" w:cs="Arial"/>
          <w:b/>
          <w:sz w:val="20"/>
          <w:szCs w:val="20"/>
        </w:rPr>
      </w:pPr>
      <w:r w:rsidRPr="005D14CA">
        <w:rPr>
          <w:rFonts w:ascii="Arial" w:hAnsi="Arial" w:cs="Arial"/>
          <w:i/>
          <w:sz w:val="20"/>
          <w:szCs w:val="20"/>
        </w:rPr>
        <w:t>Source</w:t>
      </w:r>
      <w:r w:rsidRPr="005D14CA">
        <w:rPr>
          <w:rFonts w:ascii="Arial" w:hAnsi="Arial" w:cs="Arial"/>
          <w:sz w:val="20"/>
          <w:szCs w:val="20"/>
        </w:rPr>
        <w:t>: Computation from time-series data using EViews 12</w:t>
      </w:r>
    </w:p>
    <w:p w14:paraId="4DEFACB8" w14:textId="77777777" w:rsidR="00E66DB0" w:rsidRDefault="00E66DB0" w:rsidP="0066301C">
      <w:pPr>
        <w:autoSpaceDE w:val="0"/>
        <w:autoSpaceDN w:val="0"/>
        <w:adjustRightInd w:val="0"/>
        <w:spacing w:after="0"/>
        <w:rPr>
          <w:rFonts w:ascii="Arial" w:hAnsi="Arial" w:cs="Arial"/>
          <w:b/>
          <w:sz w:val="20"/>
          <w:szCs w:val="20"/>
        </w:rPr>
      </w:pPr>
    </w:p>
    <w:p w14:paraId="7EC1DB0B" w14:textId="03C53358" w:rsidR="00E66DB0" w:rsidRPr="00EE2EF5" w:rsidRDefault="00E66DB0" w:rsidP="0066301C">
      <w:pPr>
        <w:autoSpaceDE w:val="0"/>
        <w:autoSpaceDN w:val="0"/>
        <w:adjustRightInd w:val="0"/>
        <w:spacing w:after="0"/>
        <w:rPr>
          <w:rFonts w:ascii="Arial" w:hAnsi="Arial" w:cs="Arial"/>
        </w:rPr>
      </w:pPr>
      <w:r w:rsidRPr="00D93118">
        <w:rPr>
          <w:rFonts w:ascii="Arial" w:hAnsi="Arial" w:cs="Arial"/>
          <w:b/>
          <w:sz w:val="20"/>
          <w:szCs w:val="20"/>
        </w:rPr>
        <w:t>Figure 4.2c: Impulse</w:t>
      </w:r>
      <w:r w:rsidRPr="00EE2EF5">
        <w:rPr>
          <w:rFonts w:ascii="Arial" w:hAnsi="Arial" w:cs="Arial"/>
          <w:b/>
          <w:sz w:val="20"/>
          <w:szCs w:val="20"/>
        </w:rPr>
        <w:t xml:space="preserve"> Response Function and Table (Cameroon - India)</w:t>
      </w:r>
      <w:bookmarkStart w:id="467" w:name="_Hlk141372181"/>
      <w:bookmarkEnd w:id="467"/>
    </w:p>
    <w:p w14:paraId="6DFD2AC8" w14:textId="77777777" w:rsidR="00E66DB0" w:rsidRDefault="00E66DB0" w:rsidP="00A77B93">
      <w:pPr>
        <w:pBdr>
          <w:top w:val="single" w:sz="4" w:space="1" w:color="auto"/>
          <w:left w:val="single" w:sz="4" w:space="4" w:color="auto"/>
          <w:bottom w:val="single" w:sz="4" w:space="1" w:color="auto"/>
          <w:right w:val="single" w:sz="4" w:space="4" w:color="auto"/>
        </w:pBdr>
        <w:spacing w:after="0"/>
      </w:pPr>
      <w:r w:rsidRPr="007D754E">
        <w:rPr>
          <w:noProof/>
        </w:rPr>
        <w:lastRenderedPageBreak/>
        <w:drawing>
          <wp:inline distT="0" distB="0" distL="0" distR="0" wp14:anchorId="7F567A8C" wp14:editId="33A83D67">
            <wp:extent cx="3943350" cy="2916834"/>
            <wp:effectExtent l="0" t="0" r="0" b="0"/>
            <wp:docPr id="1101696966" name="Picture 110169696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a:blip r:embed="rId46">
                      <a:extLst>
                        <a:ext uri="{28A0092B-C50C-407E-A947-70E740481C1C}">
                          <a14:useLocalDpi xmlns:a14="http://schemas.microsoft.com/office/drawing/2010/main" val="0"/>
                        </a:ext>
                      </a:extLst>
                    </a:blip>
                    <a:srcRect/>
                    <a:stretch>
                      <a:fillRect/>
                    </a:stretch>
                  </pic:blipFill>
                  <pic:spPr bwMode="auto">
                    <a:xfrm>
                      <a:off x="0" y="0"/>
                      <a:ext cx="3981005" cy="2944687"/>
                    </a:xfrm>
                    <a:prstGeom prst="rect">
                      <a:avLst/>
                    </a:prstGeom>
                    <a:noFill/>
                    <a:ln>
                      <a:noFill/>
                    </a:ln>
                  </pic:spPr>
                </pic:pic>
              </a:graphicData>
            </a:graphic>
          </wp:inline>
        </w:drawing>
      </w:r>
      <w:r>
        <w:t xml:space="preserve">        </w:t>
      </w:r>
      <w:r w:rsidRPr="007D754E">
        <w:rPr>
          <w:noProof/>
        </w:rPr>
        <w:drawing>
          <wp:inline distT="0" distB="0" distL="0" distR="0" wp14:anchorId="58486BAA" wp14:editId="6D572B07">
            <wp:extent cx="1417320" cy="2883535"/>
            <wp:effectExtent l="0" t="0" r="0" b="0"/>
            <wp:docPr id="639948516" name="Picture 63994851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pic:cNvPicPr>
                      <a:picLocks noChangeAspect="1" noChangeArrowheads="1"/>
                    </pic:cNvPicPr>
                  </pic:nvPicPr>
                  <pic:blipFill>
                    <a:blip r:embed="rId47">
                      <a:extLst>
                        <a:ext uri="{28A0092B-C50C-407E-A947-70E740481C1C}">
                          <a14:useLocalDpi xmlns:a14="http://schemas.microsoft.com/office/drawing/2010/main" val="0"/>
                        </a:ext>
                      </a:extLst>
                    </a:blip>
                    <a:srcRect/>
                    <a:stretch>
                      <a:fillRect/>
                    </a:stretch>
                  </pic:blipFill>
                  <pic:spPr bwMode="auto">
                    <a:xfrm>
                      <a:off x="0" y="0"/>
                      <a:ext cx="1430591" cy="2910535"/>
                    </a:xfrm>
                    <a:prstGeom prst="rect">
                      <a:avLst/>
                    </a:prstGeom>
                    <a:noFill/>
                    <a:ln>
                      <a:noFill/>
                    </a:ln>
                  </pic:spPr>
                </pic:pic>
              </a:graphicData>
            </a:graphic>
          </wp:inline>
        </w:drawing>
      </w:r>
    </w:p>
    <w:p w14:paraId="7600BD04" w14:textId="77777777" w:rsidR="00A77B93" w:rsidRPr="005D14CA" w:rsidRDefault="00A77B93" w:rsidP="00A77B93">
      <w:pPr>
        <w:pStyle w:val="ListParagraph"/>
        <w:autoSpaceDE w:val="0"/>
        <w:autoSpaceDN w:val="0"/>
        <w:adjustRightInd w:val="0"/>
        <w:spacing w:after="0" w:line="240" w:lineRule="auto"/>
        <w:ind w:left="0"/>
        <w:rPr>
          <w:rFonts w:ascii="Arial" w:hAnsi="Arial" w:cs="Arial"/>
          <w:b/>
          <w:sz w:val="20"/>
          <w:szCs w:val="20"/>
        </w:rPr>
      </w:pPr>
      <w:r w:rsidRPr="005D14CA">
        <w:rPr>
          <w:rFonts w:ascii="Arial" w:hAnsi="Arial" w:cs="Arial"/>
          <w:i/>
          <w:sz w:val="20"/>
          <w:szCs w:val="20"/>
        </w:rPr>
        <w:t>Source</w:t>
      </w:r>
      <w:r w:rsidRPr="005D14CA">
        <w:rPr>
          <w:rFonts w:ascii="Arial" w:hAnsi="Arial" w:cs="Arial"/>
          <w:sz w:val="20"/>
          <w:szCs w:val="20"/>
        </w:rPr>
        <w:t>: Computation from time-series data using EViews 12</w:t>
      </w:r>
    </w:p>
    <w:p w14:paraId="058820CF" w14:textId="77777777" w:rsidR="00972B17" w:rsidRDefault="00972B17" w:rsidP="0066301C">
      <w:pPr>
        <w:autoSpaceDE w:val="0"/>
        <w:autoSpaceDN w:val="0"/>
        <w:adjustRightInd w:val="0"/>
        <w:spacing w:after="0"/>
        <w:rPr>
          <w:rFonts w:cs="Times New Roman"/>
          <w:b/>
          <w:sz w:val="20"/>
          <w:szCs w:val="20"/>
        </w:rPr>
      </w:pPr>
    </w:p>
    <w:p w14:paraId="03F1FF4D" w14:textId="77777777" w:rsidR="007B5321" w:rsidRDefault="007B5321" w:rsidP="0066301C">
      <w:pPr>
        <w:autoSpaceDE w:val="0"/>
        <w:autoSpaceDN w:val="0"/>
        <w:adjustRightInd w:val="0"/>
        <w:spacing w:after="0"/>
        <w:rPr>
          <w:rFonts w:ascii="Arial" w:hAnsi="Arial" w:cs="Arial"/>
          <w:b/>
          <w:sz w:val="20"/>
          <w:szCs w:val="20"/>
        </w:rPr>
      </w:pPr>
    </w:p>
    <w:p w14:paraId="0D3EC479" w14:textId="77777777" w:rsidR="007B5321" w:rsidRDefault="007B5321" w:rsidP="0066301C">
      <w:pPr>
        <w:autoSpaceDE w:val="0"/>
        <w:autoSpaceDN w:val="0"/>
        <w:adjustRightInd w:val="0"/>
        <w:spacing w:after="0"/>
        <w:rPr>
          <w:rFonts w:ascii="Arial" w:hAnsi="Arial" w:cs="Arial"/>
          <w:b/>
          <w:sz w:val="20"/>
          <w:szCs w:val="20"/>
        </w:rPr>
      </w:pPr>
    </w:p>
    <w:p w14:paraId="028BB1C2" w14:textId="77777777" w:rsidR="007B5321" w:rsidRDefault="007B5321" w:rsidP="0066301C">
      <w:pPr>
        <w:autoSpaceDE w:val="0"/>
        <w:autoSpaceDN w:val="0"/>
        <w:adjustRightInd w:val="0"/>
        <w:spacing w:after="0"/>
        <w:rPr>
          <w:rFonts w:ascii="Arial" w:hAnsi="Arial" w:cs="Arial"/>
          <w:b/>
          <w:sz w:val="20"/>
          <w:szCs w:val="20"/>
        </w:rPr>
      </w:pPr>
    </w:p>
    <w:p w14:paraId="5CCEAE20" w14:textId="77777777" w:rsidR="007B5321" w:rsidRDefault="007B5321" w:rsidP="0066301C">
      <w:pPr>
        <w:autoSpaceDE w:val="0"/>
        <w:autoSpaceDN w:val="0"/>
        <w:adjustRightInd w:val="0"/>
        <w:spacing w:after="0"/>
        <w:rPr>
          <w:rFonts w:ascii="Arial" w:hAnsi="Arial" w:cs="Arial"/>
          <w:b/>
          <w:sz w:val="20"/>
          <w:szCs w:val="20"/>
        </w:rPr>
      </w:pPr>
    </w:p>
    <w:p w14:paraId="56494FD3" w14:textId="77777777" w:rsidR="007B5321" w:rsidRDefault="007B5321" w:rsidP="0066301C">
      <w:pPr>
        <w:autoSpaceDE w:val="0"/>
        <w:autoSpaceDN w:val="0"/>
        <w:adjustRightInd w:val="0"/>
        <w:spacing w:after="0"/>
        <w:rPr>
          <w:rFonts w:ascii="Arial" w:hAnsi="Arial" w:cs="Arial"/>
          <w:b/>
          <w:sz w:val="20"/>
          <w:szCs w:val="20"/>
        </w:rPr>
      </w:pPr>
    </w:p>
    <w:p w14:paraId="63A31653" w14:textId="77777777" w:rsidR="007B5321" w:rsidRDefault="007B5321" w:rsidP="0066301C">
      <w:pPr>
        <w:autoSpaceDE w:val="0"/>
        <w:autoSpaceDN w:val="0"/>
        <w:adjustRightInd w:val="0"/>
        <w:spacing w:after="0"/>
        <w:rPr>
          <w:rFonts w:ascii="Arial" w:hAnsi="Arial" w:cs="Arial"/>
          <w:b/>
          <w:sz w:val="20"/>
          <w:szCs w:val="20"/>
        </w:rPr>
      </w:pPr>
    </w:p>
    <w:p w14:paraId="41B91EFA" w14:textId="77777777" w:rsidR="007B5321" w:rsidRDefault="007B5321" w:rsidP="0066301C">
      <w:pPr>
        <w:autoSpaceDE w:val="0"/>
        <w:autoSpaceDN w:val="0"/>
        <w:adjustRightInd w:val="0"/>
        <w:spacing w:after="0"/>
        <w:rPr>
          <w:rFonts w:ascii="Arial" w:hAnsi="Arial" w:cs="Arial"/>
          <w:b/>
          <w:sz w:val="20"/>
          <w:szCs w:val="20"/>
        </w:rPr>
      </w:pPr>
    </w:p>
    <w:p w14:paraId="7D86815E" w14:textId="77777777" w:rsidR="00A77B93" w:rsidRDefault="00A77B93" w:rsidP="0066301C">
      <w:pPr>
        <w:autoSpaceDE w:val="0"/>
        <w:autoSpaceDN w:val="0"/>
        <w:adjustRightInd w:val="0"/>
        <w:spacing w:after="0"/>
        <w:rPr>
          <w:rFonts w:ascii="Arial" w:hAnsi="Arial" w:cs="Arial"/>
          <w:b/>
          <w:sz w:val="20"/>
          <w:szCs w:val="20"/>
        </w:rPr>
      </w:pPr>
    </w:p>
    <w:p w14:paraId="1E050077" w14:textId="77777777" w:rsidR="007B5321" w:rsidRDefault="007B5321" w:rsidP="0066301C">
      <w:pPr>
        <w:autoSpaceDE w:val="0"/>
        <w:autoSpaceDN w:val="0"/>
        <w:adjustRightInd w:val="0"/>
        <w:spacing w:after="0"/>
        <w:rPr>
          <w:rFonts w:ascii="Arial" w:hAnsi="Arial" w:cs="Arial"/>
          <w:b/>
          <w:sz w:val="20"/>
          <w:szCs w:val="20"/>
        </w:rPr>
      </w:pPr>
    </w:p>
    <w:p w14:paraId="4325395A" w14:textId="77777777" w:rsidR="007B5321" w:rsidRDefault="007B5321" w:rsidP="0066301C">
      <w:pPr>
        <w:autoSpaceDE w:val="0"/>
        <w:autoSpaceDN w:val="0"/>
        <w:adjustRightInd w:val="0"/>
        <w:spacing w:after="0"/>
        <w:rPr>
          <w:rFonts w:ascii="Arial" w:hAnsi="Arial" w:cs="Arial"/>
          <w:b/>
          <w:sz w:val="20"/>
          <w:szCs w:val="20"/>
        </w:rPr>
      </w:pPr>
    </w:p>
    <w:p w14:paraId="71BB7A30" w14:textId="40EF9B4A" w:rsidR="00E66DB0" w:rsidRDefault="00E66DB0" w:rsidP="0066301C">
      <w:pPr>
        <w:autoSpaceDE w:val="0"/>
        <w:autoSpaceDN w:val="0"/>
        <w:adjustRightInd w:val="0"/>
        <w:spacing w:after="0"/>
        <w:rPr>
          <w:rFonts w:ascii="Arial" w:hAnsi="Arial" w:cs="Arial"/>
          <w:b/>
          <w:sz w:val="20"/>
          <w:szCs w:val="20"/>
        </w:rPr>
      </w:pPr>
      <w:r w:rsidRPr="00BD1428">
        <w:rPr>
          <w:rFonts w:ascii="Arial" w:hAnsi="Arial" w:cs="Arial"/>
          <w:b/>
          <w:sz w:val="20"/>
          <w:szCs w:val="20"/>
        </w:rPr>
        <w:t>Figure 4.2d: Impulse</w:t>
      </w:r>
      <w:r w:rsidRPr="00EE2EF5">
        <w:rPr>
          <w:rFonts w:ascii="Arial" w:hAnsi="Arial" w:cs="Arial"/>
          <w:b/>
          <w:sz w:val="20"/>
          <w:szCs w:val="20"/>
        </w:rPr>
        <w:t xml:space="preserve"> Response Function and Table (Cameroon - Netherlands)</w:t>
      </w:r>
    </w:p>
    <w:p w14:paraId="3576E91D" w14:textId="6E790C73" w:rsidR="000D074A" w:rsidRPr="00972B17" w:rsidRDefault="00E66DB0" w:rsidP="00A77B93">
      <w:pPr>
        <w:pBdr>
          <w:top w:val="single" w:sz="4" w:space="1" w:color="auto"/>
          <w:left w:val="single" w:sz="4" w:space="4" w:color="auto"/>
          <w:bottom w:val="single" w:sz="4" w:space="1" w:color="auto"/>
          <w:right w:val="single" w:sz="4" w:space="1" w:color="auto"/>
        </w:pBdr>
        <w:spacing w:after="0"/>
      </w:pPr>
      <w:r w:rsidRPr="0088198E">
        <w:rPr>
          <w:noProof/>
        </w:rPr>
        <w:drawing>
          <wp:inline distT="0" distB="0" distL="0" distR="0" wp14:anchorId="441A9651" wp14:editId="4B05751F">
            <wp:extent cx="4291176" cy="2972351"/>
            <wp:effectExtent l="0" t="0" r="0" b="0"/>
            <wp:docPr id="1775917159" name="Picture 177591715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
                    <pic:cNvPicPr>
                      <a:picLocks noChangeAspect="1" noChangeArrowheads="1"/>
                    </pic:cNvPicPr>
                  </pic:nvPicPr>
                  <pic:blipFill>
                    <a:blip r:embed="rId48">
                      <a:extLst>
                        <a:ext uri="{28A0092B-C50C-407E-A947-70E740481C1C}">
                          <a14:useLocalDpi xmlns:a14="http://schemas.microsoft.com/office/drawing/2010/main" val="0"/>
                        </a:ext>
                      </a:extLst>
                    </a:blip>
                    <a:srcRect/>
                    <a:stretch>
                      <a:fillRect/>
                    </a:stretch>
                  </pic:blipFill>
                  <pic:spPr bwMode="auto">
                    <a:xfrm>
                      <a:off x="0" y="0"/>
                      <a:ext cx="4323818" cy="2994961"/>
                    </a:xfrm>
                    <a:prstGeom prst="rect">
                      <a:avLst/>
                    </a:prstGeom>
                    <a:noFill/>
                    <a:ln>
                      <a:noFill/>
                    </a:ln>
                  </pic:spPr>
                </pic:pic>
              </a:graphicData>
            </a:graphic>
          </wp:inline>
        </w:drawing>
      </w:r>
      <w:r>
        <w:t xml:space="preserve">     </w:t>
      </w:r>
      <w:r w:rsidRPr="0088198E">
        <w:rPr>
          <w:noProof/>
        </w:rPr>
        <w:drawing>
          <wp:inline distT="0" distB="0" distL="0" distR="0" wp14:anchorId="2B6AFBFB" wp14:editId="42519E3B">
            <wp:extent cx="1181100" cy="2962275"/>
            <wp:effectExtent l="0" t="0" r="0" b="0"/>
            <wp:docPr id="1247506377" name="Picture 124750637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
                    <pic:cNvPicPr>
                      <a:picLocks noChangeAspect="1" noChangeArrowheads="1"/>
                    </pic:cNvPicPr>
                  </pic:nvPicPr>
                  <pic:blipFill>
                    <a:blip r:embed="rId49">
                      <a:extLst>
                        <a:ext uri="{28A0092B-C50C-407E-A947-70E740481C1C}">
                          <a14:useLocalDpi xmlns:a14="http://schemas.microsoft.com/office/drawing/2010/main" val="0"/>
                        </a:ext>
                      </a:extLst>
                    </a:blip>
                    <a:srcRect/>
                    <a:stretch>
                      <a:fillRect/>
                    </a:stretch>
                  </pic:blipFill>
                  <pic:spPr bwMode="auto">
                    <a:xfrm>
                      <a:off x="0" y="0"/>
                      <a:ext cx="1181200" cy="2962525"/>
                    </a:xfrm>
                    <a:prstGeom prst="rect">
                      <a:avLst/>
                    </a:prstGeom>
                    <a:noFill/>
                    <a:ln>
                      <a:noFill/>
                    </a:ln>
                  </pic:spPr>
                </pic:pic>
              </a:graphicData>
            </a:graphic>
          </wp:inline>
        </w:drawing>
      </w:r>
    </w:p>
    <w:p w14:paraId="2C1DDEE6" w14:textId="77777777" w:rsidR="00A77B93" w:rsidRPr="005D14CA" w:rsidRDefault="00A77B93" w:rsidP="00A77B93">
      <w:pPr>
        <w:pStyle w:val="ListParagraph"/>
        <w:autoSpaceDE w:val="0"/>
        <w:autoSpaceDN w:val="0"/>
        <w:adjustRightInd w:val="0"/>
        <w:spacing w:after="0" w:line="240" w:lineRule="auto"/>
        <w:ind w:left="0"/>
        <w:rPr>
          <w:rFonts w:ascii="Arial" w:hAnsi="Arial" w:cs="Arial"/>
          <w:b/>
          <w:sz w:val="20"/>
          <w:szCs w:val="20"/>
        </w:rPr>
      </w:pPr>
      <w:r w:rsidRPr="005D14CA">
        <w:rPr>
          <w:rFonts w:ascii="Arial" w:hAnsi="Arial" w:cs="Arial"/>
          <w:i/>
          <w:sz w:val="20"/>
          <w:szCs w:val="20"/>
        </w:rPr>
        <w:t>Source</w:t>
      </w:r>
      <w:r w:rsidRPr="005D14CA">
        <w:rPr>
          <w:rFonts w:ascii="Arial" w:hAnsi="Arial" w:cs="Arial"/>
          <w:sz w:val="20"/>
          <w:szCs w:val="20"/>
        </w:rPr>
        <w:t>: Computation from time-series data using EViews 12</w:t>
      </w:r>
    </w:p>
    <w:p w14:paraId="16BB6B7C" w14:textId="77777777" w:rsidR="000D074A" w:rsidRDefault="000D074A" w:rsidP="0066301C">
      <w:pPr>
        <w:autoSpaceDE w:val="0"/>
        <w:autoSpaceDN w:val="0"/>
        <w:adjustRightInd w:val="0"/>
        <w:spacing w:after="0"/>
        <w:rPr>
          <w:rFonts w:ascii="Arial" w:hAnsi="Arial" w:cs="Arial"/>
          <w:b/>
          <w:sz w:val="20"/>
          <w:szCs w:val="20"/>
        </w:rPr>
      </w:pPr>
    </w:p>
    <w:p w14:paraId="4AFCF55A" w14:textId="77777777" w:rsidR="001B21D5" w:rsidRDefault="001B21D5" w:rsidP="0066301C">
      <w:pPr>
        <w:autoSpaceDE w:val="0"/>
        <w:autoSpaceDN w:val="0"/>
        <w:adjustRightInd w:val="0"/>
        <w:spacing w:after="0"/>
        <w:rPr>
          <w:rFonts w:ascii="Arial" w:hAnsi="Arial" w:cs="Arial"/>
          <w:b/>
          <w:sz w:val="20"/>
          <w:szCs w:val="20"/>
        </w:rPr>
      </w:pPr>
    </w:p>
    <w:p w14:paraId="7B2EFFE7" w14:textId="03A779EC" w:rsidR="00E66DB0" w:rsidRDefault="00E66DB0" w:rsidP="0066301C">
      <w:pPr>
        <w:autoSpaceDE w:val="0"/>
        <w:autoSpaceDN w:val="0"/>
        <w:adjustRightInd w:val="0"/>
        <w:spacing w:after="0"/>
        <w:rPr>
          <w:rFonts w:ascii="Arial" w:hAnsi="Arial" w:cs="Arial"/>
          <w:b/>
          <w:sz w:val="20"/>
          <w:szCs w:val="20"/>
        </w:rPr>
      </w:pPr>
      <w:r w:rsidRPr="006B4531">
        <w:rPr>
          <w:rFonts w:ascii="Arial" w:hAnsi="Arial" w:cs="Arial"/>
          <w:b/>
          <w:sz w:val="20"/>
          <w:szCs w:val="20"/>
        </w:rPr>
        <w:t>Figure 4.2e: Impulse</w:t>
      </w:r>
      <w:r w:rsidRPr="00EE2EF5">
        <w:rPr>
          <w:rFonts w:ascii="Arial" w:hAnsi="Arial" w:cs="Arial"/>
          <w:b/>
          <w:sz w:val="20"/>
          <w:szCs w:val="20"/>
        </w:rPr>
        <w:t xml:space="preserve"> Response Function and Table (Cameroon - Spain)</w:t>
      </w:r>
    </w:p>
    <w:p w14:paraId="551C46AA" w14:textId="77777777" w:rsidR="00E66DB0" w:rsidRDefault="00E66DB0" w:rsidP="00A77B93">
      <w:pPr>
        <w:pBdr>
          <w:top w:val="single" w:sz="4" w:space="1" w:color="auto"/>
          <w:left w:val="single" w:sz="4" w:space="4" w:color="auto"/>
          <w:bottom w:val="single" w:sz="4" w:space="1" w:color="auto"/>
          <w:right w:val="single" w:sz="4" w:space="0" w:color="auto"/>
        </w:pBdr>
        <w:spacing w:after="0"/>
        <w:ind w:right="237"/>
        <w:rPr>
          <w:rFonts w:cs="Times New Roman"/>
          <w:b/>
          <w:sz w:val="20"/>
          <w:szCs w:val="20"/>
        </w:rPr>
      </w:pPr>
      <w:r w:rsidRPr="00FB3699">
        <w:rPr>
          <w:noProof/>
        </w:rPr>
        <w:lastRenderedPageBreak/>
        <w:drawing>
          <wp:inline distT="0" distB="0" distL="0" distR="0" wp14:anchorId="5030134D" wp14:editId="5F6150F4">
            <wp:extent cx="3771900" cy="2861310"/>
            <wp:effectExtent l="0" t="0" r="0" b="0"/>
            <wp:docPr id="1911988825" name="Picture 191198882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
                    <pic:cNvPicPr>
                      <a:picLocks noChangeAspect="1" noChangeArrowheads="1"/>
                    </pic:cNvPicPr>
                  </pic:nvPicPr>
                  <pic:blipFill>
                    <a:blip r:embed="rId50">
                      <a:extLst>
                        <a:ext uri="{28A0092B-C50C-407E-A947-70E740481C1C}">
                          <a14:useLocalDpi xmlns:a14="http://schemas.microsoft.com/office/drawing/2010/main" val="0"/>
                        </a:ext>
                      </a:extLst>
                    </a:blip>
                    <a:srcRect/>
                    <a:stretch>
                      <a:fillRect/>
                    </a:stretch>
                  </pic:blipFill>
                  <pic:spPr bwMode="auto">
                    <a:xfrm>
                      <a:off x="0" y="0"/>
                      <a:ext cx="3790172" cy="2875171"/>
                    </a:xfrm>
                    <a:prstGeom prst="rect">
                      <a:avLst/>
                    </a:prstGeom>
                    <a:noFill/>
                    <a:ln>
                      <a:noFill/>
                    </a:ln>
                  </pic:spPr>
                </pic:pic>
              </a:graphicData>
            </a:graphic>
          </wp:inline>
        </w:drawing>
      </w:r>
      <w:r>
        <w:t xml:space="preserve">          </w:t>
      </w:r>
      <w:r w:rsidRPr="00FB3699">
        <w:rPr>
          <w:noProof/>
        </w:rPr>
        <w:drawing>
          <wp:inline distT="0" distB="0" distL="0" distR="0" wp14:anchorId="336B94A1" wp14:editId="4131C539">
            <wp:extent cx="1402080" cy="2849880"/>
            <wp:effectExtent l="0" t="0" r="7620" b="7620"/>
            <wp:docPr id="172138389" name="Picture 17213838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6"/>
                    <pic:cNvPicPr>
                      <a:picLocks noChangeAspect="1" noChangeArrowheads="1"/>
                    </pic:cNvPicPr>
                  </pic:nvPicPr>
                  <pic:blipFill>
                    <a:blip r:embed="rId51">
                      <a:extLst>
                        <a:ext uri="{28A0092B-C50C-407E-A947-70E740481C1C}">
                          <a14:useLocalDpi xmlns:a14="http://schemas.microsoft.com/office/drawing/2010/main" val="0"/>
                        </a:ext>
                      </a:extLst>
                    </a:blip>
                    <a:srcRect/>
                    <a:stretch>
                      <a:fillRect/>
                    </a:stretch>
                  </pic:blipFill>
                  <pic:spPr bwMode="auto">
                    <a:xfrm>
                      <a:off x="0" y="0"/>
                      <a:ext cx="1402080" cy="2849880"/>
                    </a:xfrm>
                    <a:prstGeom prst="rect">
                      <a:avLst/>
                    </a:prstGeom>
                    <a:noFill/>
                    <a:ln>
                      <a:noFill/>
                    </a:ln>
                  </pic:spPr>
                </pic:pic>
              </a:graphicData>
            </a:graphic>
          </wp:inline>
        </w:drawing>
      </w:r>
    </w:p>
    <w:p w14:paraId="1AD6A2C2" w14:textId="77777777" w:rsidR="00A77B93" w:rsidRPr="005D14CA" w:rsidRDefault="00A77B93" w:rsidP="00A77B93">
      <w:pPr>
        <w:pStyle w:val="ListParagraph"/>
        <w:autoSpaceDE w:val="0"/>
        <w:autoSpaceDN w:val="0"/>
        <w:adjustRightInd w:val="0"/>
        <w:spacing w:after="0" w:line="240" w:lineRule="auto"/>
        <w:ind w:left="0"/>
        <w:rPr>
          <w:rFonts w:ascii="Arial" w:hAnsi="Arial" w:cs="Arial"/>
          <w:b/>
          <w:sz w:val="20"/>
          <w:szCs w:val="20"/>
        </w:rPr>
      </w:pPr>
      <w:r w:rsidRPr="005D14CA">
        <w:rPr>
          <w:rFonts w:ascii="Arial" w:hAnsi="Arial" w:cs="Arial"/>
          <w:i/>
          <w:sz w:val="20"/>
          <w:szCs w:val="20"/>
        </w:rPr>
        <w:t>Source</w:t>
      </w:r>
      <w:r w:rsidRPr="005D14CA">
        <w:rPr>
          <w:rFonts w:ascii="Arial" w:hAnsi="Arial" w:cs="Arial"/>
          <w:sz w:val="20"/>
          <w:szCs w:val="20"/>
        </w:rPr>
        <w:t>: Computation from time-series data using EViews 12</w:t>
      </w:r>
    </w:p>
    <w:p w14:paraId="534A69C9" w14:textId="77777777" w:rsidR="00972B17" w:rsidRDefault="00972B17" w:rsidP="0066301C">
      <w:pPr>
        <w:autoSpaceDE w:val="0"/>
        <w:autoSpaceDN w:val="0"/>
        <w:adjustRightInd w:val="0"/>
        <w:spacing w:after="0"/>
        <w:ind w:right="237"/>
        <w:rPr>
          <w:rFonts w:ascii="Arial" w:hAnsi="Arial" w:cs="Arial"/>
          <w:b/>
          <w:color w:val="000000"/>
        </w:rPr>
      </w:pPr>
    </w:p>
    <w:p w14:paraId="05D35AE0" w14:textId="77777777" w:rsidR="00972B17" w:rsidRDefault="00972B17" w:rsidP="0066301C">
      <w:pPr>
        <w:autoSpaceDE w:val="0"/>
        <w:autoSpaceDN w:val="0"/>
        <w:adjustRightInd w:val="0"/>
        <w:spacing w:after="0"/>
        <w:ind w:right="237"/>
        <w:rPr>
          <w:rFonts w:ascii="Arial" w:hAnsi="Arial" w:cs="Arial"/>
          <w:b/>
          <w:color w:val="000000"/>
        </w:rPr>
      </w:pPr>
    </w:p>
    <w:p w14:paraId="18C5016D" w14:textId="77777777" w:rsidR="007B5321" w:rsidRDefault="007B5321" w:rsidP="0066301C">
      <w:pPr>
        <w:autoSpaceDE w:val="0"/>
        <w:autoSpaceDN w:val="0"/>
        <w:adjustRightInd w:val="0"/>
        <w:spacing w:after="0"/>
        <w:ind w:right="237"/>
        <w:rPr>
          <w:rFonts w:ascii="Arial" w:hAnsi="Arial" w:cs="Arial"/>
          <w:b/>
          <w:color w:val="000000"/>
        </w:rPr>
      </w:pPr>
    </w:p>
    <w:p w14:paraId="6699415E" w14:textId="77777777" w:rsidR="007B5321" w:rsidRDefault="007B5321" w:rsidP="0066301C">
      <w:pPr>
        <w:autoSpaceDE w:val="0"/>
        <w:autoSpaceDN w:val="0"/>
        <w:adjustRightInd w:val="0"/>
        <w:spacing w:after="0"/>
        <w:ind w:right="237"/>
        <w:rPr>
          <w:rFonts w:ascii="Arial" w:hAnsi="Arial" w:cs="Arial"/>
          <w:b/>
          <w:color w:val="000000"/>
        </w:rPr>
      </w:pPr>
    </w:p>
    <w:p w14:paraId="2775C42F" w14:textId="77777777" w:rsidR="007B5321" w:rsidRDefault="007B5321" w:rsidP="0066301C">
      <w:pPr>
        <w:autoSpaceDE w:val="0"/>
        <w:autoSpaceDN w:val="0"/>
        <w:adjustRightInd w:val="0"/>
        <w:spacing w:after="0"/>
        <w:ind w:right="237"/>
        <w:rPr>
          <w:rFonts w:ascii="Arial" w:hAnsi="Arial" w:cs="Arial"/>
          <w:b/>
          <w:color w:val="000000"/>
        </w:rPr>
      </w:pPr>
    </w:p>
    <w:p w14:paraId="0DB4A2F6" w14:textId="77777777" w:rsidR="007B5321" w:rsidRDefault="007B5321" w:rsidP="0066301C">
      <w:pPr>
        <w:autoSpaceDE w:val="0"/>
        <w:autoSpaceDN w:val="0"/>
        <w:adjustRightInd w:val="0"/>
        <w:spacing w:after="0"/>
        <w:ind w:right="237"/>
        <w:rPr>
          <w:rFonts w:ascii="Arial" w:hAnsi="Arial" w:cs="Arial"/>
          <w:b/>
          <w:color w:val="000000"/>
        </w:rPr>
      </w:pPr>
    </w:p>
    <w:p w14:paraId="53383AEF" w14:textId="77777777" w:rsidR="007B5321" w:rsidRDefault="007B5321" w:rsidP="0066301C">
      <w:pPr>
        <w:autoSpaceDE w:val="0"/>
        <w:autoSpaceDN w:val="0"/>
        <w:adjustRightInd w:val="0"/>
        <w:spacing w:after="0"/>
        <w:ind w:right="237"/>
        <w:rPr>
          <w:rFonts w:ascii="Arial" w:hAnsi="Arial" w:cs="Arial"/>
          <w:b/>
          <w:color w:val="000000"/>
        </w:rPr>
      </w:pPr>
    </w:p>
    <w:p w14:paraId="56B6C408" w14:textId="77777777" w:rsidR="007B5321" w:rsidRDefault="007B5321" w:rsidP="0066301C">
      <w:pPr>
        <w:autoSpaceDE w:val="0"/>
        <w:autoSpaceDN w:val="0"/>
        <w:adjustRightInd w:val="0"/>
        <w:spacing w:after="0"/>
        <w:ind w:right="237"/>
        <w:rPr>
          <w:rFonts w:ascii="Arial" w:hAnsi="Arial" w:cs="Arial"/>
          <w:b/>
          <w:color w:val="000000"/>
        </w:rPr>
      </w:pPr>
    </w:p>
    <w:p w14:paraId="0A66C527" w14:textId="77777777" w:rsidR="005E7D18" w:rsidRDefault="005E7D18" w:rsidP="0066301C">
      <w:pPr>
        <w:autoSpaceDE w:val="0"/>
        <w:autoSpaceDN w:val="0"/>
        <w:adjustRightInd w:val="0"/>
        <w:spacing w:after="0"/>
        <w:ind w:right="237"/>
        <w:rPr>
          <w:rFonts w:ascii="Arial" w:hAnsi="Arial" w:cs="Arial"/>
          <w:b/>
          <w:color w:val="000000"/>
        </w:rPr>
      </w:pPr>
    </w:p>
    <w:p w14:paraId="4487B956" w14:textId="77777777" w:rsidR="007B5321" w:rsidRDefault="007B5321" w:rsidP="0066301C">
      <w:pPr>
        <w:autoSpaceDE w:val="0"/>
        <w:autoSpaceDN w:val="0"/>
        <w:adjustRightInd w:val="0"/>
        <w:spacing w:after="0"/>
        <w:ind w:right="237"/>
        <w:rPr>
          <w:rFonts w:ascii="Arial" w:hAnsi="Arial" w:cs="Arial"/>
          <w:b/>
          <w:color w:val="000000"/>
        </w:rPr>
      </w:pPr>
    </w:p>
    <w:p w14:paraId="4DD3AA5A" w14:textId="77777777" w:rsidR="007B5321" w:rsidRDefault="007B5321" w:rsidP="0066301C">
      <w:pPr>
        <w:autoSpaceDE w:val="0"/>
        <w:autoSpaceDN w:val="0"/>
        <w:adjustRightInd w:val="0"/>
        <w:spacing w:after="0"/>
        <w:ind w:right="237"/>
        <w:rPr>
          <w:rFonts w:ascii="Arial" w:hAnsi="Arial" w:cs="Arial"/>
          <w:b/>
          <w:color w:val="000000"/>
        </w:rPr>
      </w:pPr>
    </w:p>
    <w:p w14:paraId="15146FD2" w14:textId="77777777" w:rsidR="007B5321" w:rsidRDefault="007B5321" w:rsidP="0066301C">
      <w:pPr>
        <w:autoSpaceDE w:val="0"/>
        <w:autoSpaceDN w:val="0"/>
        <w:adjustRightInd w:val="0"/>
        <w:spacing w:after="0"/>
        <w:ind w:right="237"/>
        <w:rPr>
          <w:rFonts w:ascii="Arial" w:hAnsi="Arial" w:cs="Arial"/>
          <w:b/>
          <w:color w:val="000000"/>
        </w:rPr>
      </w:pPr>
    </w:p>
    <w:p w14:paraId="16960CFF" w14:textId="4C3B2C04" w:rsidR="00E66DB0" w:rsidRDefault="00E66DB0" w:rsidP="0066301C">
      <w:pPr>
        <w:autoSpaceDE w:val="0"/>
        <w:autoSpaceDN w:val="0"/>
        <w:adjustRightInd w:val="0"/>
        <w:spacing w:after="0"/>
        <w:ind w:right="237"/>
        <w:rPr>
          <w:rFonts w:ascii="Arial" w:hAnsi="Arial" w:cs="Arial"/>
          <w:b/>
          <w:color w:val="000000"/>
        </w:rPr>
      </w:pPr>
      <w:r w:rsidRPr="00791783">
        <w:rPr>
          <w:rFonts w:ascii="Arial" w:hAnsi="Arial" w:cs="Arial"/>
          <w:b/>
          <w:color w:val="000000"/>
        </w:rPr>
        <w:t>Figures 4.3: CAR and</w:t>
      </w:r>
      <w:r w:rsidRPr="00111AE6">
        <w:rPr>
          <w:rFonts w:ascii="Arial" w:hAnsi="Arial" w:cs="Arial"/>
          <w:b/>
          <w:color w:val="000000"/>
        </w:rPr>
        <w:t xml:space="preserve"> Trade Partners </w:t>
      </w:r>
      <w:r>
        <w:rPr>
          <w:rFonts w:ascii="Arial" w:hAnsi="Arial" w:cs="Arial"/>
          <w:b/>
          <w:color w:val="000000"/>
        </w:rPr>
        <w:t>IRF</w:t>
      </w:r>
    </w:p>
    <w:p w14:paraId="157D521B" w14:textId="77777777" w:rsidR="00E66DB0" w:rsidRPr="00402561" w:rsidRDefault="00E66DB0" w:rsidP="0066301C">
      <w:pPr>
        <w:autoSpaceDE w:val="0"/>
        <w:autoSpaceDN w:val="0"/>
        <w:adjustRightInd w:val="0"/>
        <w:spacing w:after="0"/>
        <w:ind w:right="237"/>
        <w:rPr>
          <w:rFonts w:ascii="Arial" w:hAnsi="Arial" w:cs="Arial"/>
          <w:lang w:val="en-US"/>
        </w:rPr>
      </w:pPr>
    </w:p>
    <w:p w14:paraId="03C38385" w14:textId="77777777" w:rsidR="00E66DB0" w:rsidRPr="00EE2EF5" w:rsidRDefault="00E66DB0" w:rsidP="0066301C">
      <w:pPr>
        <w:pStyle w:val="NoSpacing"/>
        <w:rPr>
          <w:rFonts w:ascii="Arial" w:hAnsi="Arial" w:cs="Arial"/>
          <w:b/>
          <w:sz w:val="20"/>
          <w:szCs w:val="20"/>
        </w:rPr>
      </w:pPr>
      <w:r w:rsidRPr="006C2676">
        <w:rPr>
          <w:rFonts w:ascii="Arial" w:hAnsi="Arial" w:cs="Arial"/>
          <w:b/>
          <w:sz w:val="20"/>
          <w:szCs w:val="20"/>
        </w:rPr>
        <w:t>Figure 4.3a: Impulse</w:t>
      </w:r>
      <w:r w:rsidRPr="00EE2EF5">
        <w:rPr>
          <w:rFonts w:ascii="Arial" w:hAnsi="Arial" w:cs="Arial"/>
          <w:b/>
          <w:sz w:val="20"/>
          <w:szCs w:val="20"/>
        </w:rPr>
        <w:t xml:space="preserve"> Response Function and Table (C</w:t>
      </w:r>
      <w:r>
        <w:rPr>
          <w:rFonts w:ascii="Arial" w:hAnsi="Arial" w:cs="Arial"/>
          <w:b/>
          <w:sz w:val="20"/>
          <w:szCs w:val="20"/>
        </w:rPr>
        <w:t>AR</w:t>
      </w:r>
      <w:r w:rsidRPr="00EE2EF5">
        <w:rPr>
          <w:rFonts w:ascii="Arial" w:hAnsi="Arial" w:cs="Arial"/>
          <w:b/>
          <w:sz w:val="20"/>
          <w:szCs w:val="20"/>
        </w:rPr>
        <w:t xml:space="preserve"> - C</w:t>
      </w:r>
      <w:r>
        <w:rPr>
          <w:rFonts w:ascii="Arial" w:hAnsi="Arial" w:cs="Arial"/>
          <w:b/>
          <w:sz w:val="20"/>
          <w:szCs w:val="20"/>
        </w:rPr>
        <w:t>ameroon</w:t>
      </w:r>
      <w:r w:rsidRPr="00EE2EF5">
        <w:rPr>
          <w:rFonts w:ascii="Arial" w:hAnsi="Arial" w:cs="Arial"/>
          <w:b/>
          <w:sz w:val="20"/>
          <w:szCs w:val="20"/>
        </w:rPr>
        <w:t>)</w:t>
      </w:r>
    </w:p>
    <w:p w14:paraId="7E993125" w14:textId="77777777" w:rsidR="00E66DB0" w:rsidRDefault="00E66DB0" w:rsidP="00A77B93">
      <w:pPr>
        <w:pBdr>
          <w:top w:val="single" w:sz="4" w:space="1" w:color="auto"/>
          <w:left w:val="single" w:sz="4" w:space="4" w:color="auto"/>
          <w:bottom w:val="single" w:sz="4" w:space="1" w:color="auto"/>
          <w:right w:val="single" w:sz="4" w:space="4" w:color="auto"/>
        </w:pBdr>
        <w:spacing w:after="0"/>
      </w:pPr>
      <w:r>
        <w:rPr>
          <w:noProof/>
        </w:rPr>
        <w:drawing>
          <wp:inline distT="0" distB="0" distL="0" distR="0" wp14:anchorId="2D67E24A" wp14:editId="05610EC6">
            <wp:extent cx="3619500" cy="2362200"/>
            <wp:effectExtent l="0" t="0" r="0" b="0"/>
            <wp:docPr id="1247506376" name="Picture 124750637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
                    <pic:cNvPicPr>
                      <a:picLocks noChangeAspect="1" noChangeArrowheads="1"/>
                    </pic:cNvPicPr>
                  </pic:nvPicPr>
                  <pic:blipFill>
                    <a:blip r:embed="rId52">
                      <a:extLst>
                        <a:ext uri="{28A0092B-C50C-407E-A947-70E740481C1C}">
                          <a14:useLocalDpi xmlns:a14="http://schemas.microsoft.com/office/drawing/2010/main" val="0"/>
                        </a:ext>
                      </a:extLst>
                    </a:blip>
                    <a:srcRect/>
                    <a:stretch>
                      <a:fillRect/>
                    </a:stretch>
                  </pic:blipFill>
                  <pic:spPr bwMode="auto">
                    <a:xfrm>
                      <a:off x="0" y="0"/>
                      <a:ext cx="3619500" cy="2362200"/>
                    </a:xfrm>
                    <a:prstGeom prst="rect">
                      <a:avLst/>
                    </a:prstGeom>
                    <a:noFill/>
                    <a:ln>
                      <a:noFill/>
                    </a:ln>
                  </pic:spPr>
                </pic:pic>
              </a:graphicData>
            </a:graphic>
          </wp:inline>
        </w:drawing>
      </w:r>
      <w:r>
        <w:t xml:space="preserve">                   </w:t>
      </w:r>
      <w:r>
        <w:rPr>
          <w:noProof/>
        </w:rPr>
        <w:drawing>
          <wp:inline distT="0" distB="0" distL="0" distR="0" wp14:anchorId="778065E4" wp14:editId="13D1E33A">
            <wp:extent cx="1200150" cy="2438400"/>
            <wp:effectExtent l="0" t="0" r="0" b="0"/>
            <wp:docPr id="1247506375" name="Picture 124750637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
                    <pic:cNvPicPr>
                      <a:picLocks noChangeAspect="1" noChangeArrowheads="1"/>
                    </pic:cNvPicPr>
                  </pic:nvPicPr>
                  <pic:blipFill>
                    <a:blip r:embed="rId53">
                      <a:extLst>
                        <a:ext uri="{28A0092B-C50C-407E-A947-70E740481C1C}">
                          <a14:useLocalDpi xmlns:a14="http://schemas.microsoft.com/office/drawing/2010/main" val="0"/>
                        </a:ext>
                      </a:extLst>
                    </a:blip>
                    <a:srcRect/>
                    <a:stretch>
                      <a:fillRect/>
                    </a:stretch>
                  </pic:blipFill>
                  <pic:spPr bwMode="auto">
                    <a:xfrm>
                      <a:off x="0" y="0"/>
                      <a:ext cx="1200150" cy="2438400"/>
                    </a:xfrm>
                    <a:prstGeom prst="rect">
                      <a:avLst/>
                    </a:prstGeom>
                    <a:noFill/>
                    <a:ln>
                      <a:noFill/>
                    </a:ln>
                  </pic:spPr>
                </pic:pic>
              </a:graphicData>
            </a:graphic>
          </wp:inline>
        </w:drawing>
      </w:r>
    </w:p>
    <w:p w14:paraId="5CB285D7" w14:textId="77777777" w:rsidR="00A77B93" w:rsidRPr="005D14CA" w:rsidRDefault="00A77B93" w:rsidP="00A77B93">
      <w:pPr>
        <w:pStyle w:val="ListParagraph"/>
        <w:autoSpaceDE w:val="0"/>
        <w:autoSpaceDN w:val="0"/>
        <w:adjustRightInd w:val="0"/>
        <w:spacing w:after="0" w:line="240" w:lineRule="auto"/>
        <w:ind w:left="0"/>
        <w:rPr>
          <w:rFonts w:ascii="Arial" w:hAnsi="Arial" w:cs="Arial"/>
          <w:b/>
          <w:sz w:val="20"/>
          <w:szCs w:val="20"/>
        </w:rPr>
      </w:pPr>
      <w:r w:rsidRPr="005D14CA">
        <w:rPr>
          <w:rFonts w:ascii="Arial" w:hAnsi="Arial" w:cs="Arial"/>
          <w:i/>
          <w:sz w:val="20"/>
          <w:szCs w:val="20"/>
        </w:rPr>
        <w:t>Source</w:t>
      </w:r>
      <w:r w:rsidRPr="005D14CA">
        <w:rPr>
          <w:rFonts w:ascii="Arial" w:hAnsi="Arial" w:cs="Arial"/>
          <w:sz w:val="20"/>
          <w:szCs w:val="20"/>
        </w:rPr>
        <w:t>: Computation from time-series data using EViews 12</w:t>
      </w:r>
    </w:p>
    <w:p w14:paraId="31944DEC" w14:textId="77777777" w:rsidR="000D074A" w:rsidRDefault="000D074A" w:rsidP="0066301C">
      <w:pPr>
        <w:pStyle w:val="NoSpacing"/>
        <w:rPr>
          <w:rFonts w:ascii="Arial" w:hAnsi="Arial" w:cs="Arial"/>
          <w:b/>
          <w:sz w:val="20"/>
          <w:szCs w:val="20"/>
        </w:rPr>
      </w:pPr>
    </w:p>
    <w:p w14:paraId="0E021570" w14:textId="77777777" w:rsidR="001B21D5" w:rsidRDefault="001B21D5" w:rsidP="0066301C">
      <w:pPr>
        <w:pStyle w:val="NoSpacing"/>
        <w:rPr>
          <w:rFonts w:ascii="Arial" w:hAnsi="Arial" w:cs="Arial"/>
          <w:b/>
          <w:sz w:val="20"/>
          <w:szCs w:val="20"/>
        </w:rPr>
      </w:pPr>
    </w:p>
    <w:p w14:paraId="4176D26A" w14:textId="3743B392" w:rsidR="00E66DB0" w:rsidRPr="00EE2EF5" w:rsidRDefault="00E66DB0" w:rsidP="0066301C">
      <w:pPr>
        <w:pStyle w:val="NoSpacing"/>
        <w:rPr>
          <w:rFonts w:ascii="Arial" w:hAnsi="Arial" w:cs="Arial"/>
          <w:b/>
          <w:sz w:val="20"/>
          <w:szCs w:val="20"/>
        </w:rPr>
      </w:pPr>
      <w:r w:rsidRPr="00791783">
        <w:rPr>
          <w:rFonts w:ascii="Arial" w:hAnsi="Arial" w:cs="Arial"/>
          <w:b/>
          <w:sz w:val="20"/>
          <w:szCs w:val="20"/>
        </w:rPr>
        <w:t>Figure 4.3b: Impulse</w:t>
      </w:r>
      <w:r w:rsidRPr="00EE2EF5">
        <w:rPr>
          <w:rFonts w:ascii="Arial" w:hAnsi="Arial" w:cs="Arial"/>
          <w:b/>
          <w:sz w:val="20"/>
          <w:szCs w:val="20"/>
        </w:rPr>
        <w:t xml:space="preserve"> Response Function and Table (C</w:t>
      </w:r>
      <w:r>
        <w:rPr>
          <w:rFonts w:ascii="Arial" w:hAnsi="Arial" w:cs="Arial"/>
          <w:b/>
          <w:sz w:val="20"/>
          <w:szCs w:val="20"/>
        </w:rPr>
        <w:t>AR</w:t>
      </w:r>
      <w:r w:rsidRPr="00EE2EF5">
        <w:rPr>
          <w:rFonts w:ascii="Arial" w:hAnsi="Arial" w:cs="Arial"/>
          <w:b/>
          <w:sz w:val="20"/>
          <w:szCs w:val="20"/>
        </w:rPr>
        <w:t xml:space="preserve"> - C</w:t>
      </w:r>
      <w:r>
        <w:rPr>
          <w:rFonts w:ascii="Arial" w:hAnsi="Arial" w:cs="Arial"/>
          <w:b/>
          <w:sz w:val="20"/>
          <w:szCs w:val="20"/>
        </w:rPr>
        <w:t>hina</w:t>
      </w:r>
      <w:r w:rsidRPr="00EE2EF5">
        <w:rPr>
          <w:rFonts w:ascii="Arial" w:hAnsi="Arial" w:cs="Arial"/>
          <w:b/>
          <w:sz w:val="20"/>
          <w:szCs w:val="20"/>
        </w:rPr>
        <w:t>)</w:t>
      </w:r>
    </w:p>
    <w:p w14:paraId="0672FAE3" w14:textId="77777777" w:rsidR="00E66DB0" w:rsidRDefault="00E66DB0" w:rsidP="00A77B93">
      <w:pPr>
        <w:pBdr>
          <w:top w:val="single" w:sz="4" w:space="1" w:color="auto"/>
          <w:left w:val="single" w:sz="4" w:space="4" w:color="auto"/>
          <w:bottom w:val="single" w:sz="4" w:space="1" w:color="auto"/>
          <w:right w:val="single" w:sz="4" w:space="4" w:color="auto"/>
        </w:pBdr>
        <w:spacing w:after="0"/>
        <w:rPr>
          <w:noProof/>
        </w:rPr>
      </w:pPr>
      <w:r>
        <w:rPr>
          <w:noProof/>
        </w:rPr>
        <w:lastRenderedPageBreak/>
        <w:drawing>
          <wp:inline distT="0" distB="0" distL="0" distR="0" wp14:anchorId="7606E43C" wp14:editId="016ECC89">
            <wp:extent cx="3867150" cy="2524125"/>
            <wp:effectExtent l="0" t="0" r="0" b="9525"/>
            <wp:docPr id="1247506374" name="Picture 124750637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7"/>
                    <pic:cNvPicPr>
                      <a:picLocks noChangeAspect="1" noChangeArrowheads="1"/>
                    </pic:cNvPicPr>
                  </pic:nvPicPr>
                  <pic:blipFill>
                    <a:blip r:embed="rId54">
                      <a:extLst>
                        <a:ext uri="{28A0092B-C50C-407E-A947-70E740481C1C}">
                          <a14:useLocalDpi xmlns:a14="http://schemas.microsoft.com/office/drawing/2010/main" val="0"/>
                        </a:ext>
                      </a:extLst>
                    </a:blip>
                    <a:srcRect/>
                    <a:stretch>
                      <a:fillRect/>
                    </a:stretch>
                  </pic:blipFill>
                  <pic:spPr bwMode="auto">
                    <a:xfrm>
                      <a:off x="0" y="0"/>
                      <a:ext cx="3867150" cy="2524125"/>
                    </a:xfrm>
                    <a:prstGeom prst="rect">
                      <a:avLst/>
                    </a:prstGeom>
                    <a:noFill/>
                    <a:ln>
                      <a:noFill/>
                    </a:ln>
                  </pic:spPr>
                </pic:pic>
              </a:graphicData>
            </a:graphic>
          </wp:inline>
        </w:drawing>
      </w:r>
      <w:r>
        <w:rPr>
          <w:noProof/>
        </w:rPr>
        <w:t xml:space="preserve">      </w:t>
      </w:r>
      <w:r>
        <w:rPr>
          <w:noProof/>
        </w:rPr>
        <w:drawing>
          <wp:inline distT="0" distB="0" distL="0" distR="0" wp14:anchorId="12A94544" wp14:editId="02D2FC9A">
            <wp:extent cx="1295400" cy="2562225"/>
            <wp:effectExtent l="0" t="0" r="0" b="9525"/>
            <wp:docPr id="1247506373" name="Picture 124750637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8"/>
                    <pic:cNvPicPr>
                      <a:picLocks noChangeAspect="1" noChangeArrowheads="1"/>
                    </pic:cNvPicPr>
                  </pic:nvPicPr>
                  <pic:blipFill>
                    <a:blip r:embed="rId55">
                      <a:extLst>
                        <a:ext uri="{28A0092B-C50C-407E-A947-70E740481C1C}">
                          <a14:useLocalDpi xmlns:a14="http://schemas.microsoft.com/office/drawing/2010/main" val="0"/>
                        </a:ext>
                      </a:extLst>
                    </a:blip>
                    <a:srcRect/>
                    <a:stretch>
                      <a:fillRect/>
                    </a:stretch>
                  </pic:blipFill>
                  <pic:spPr bwMode="auto">
                    <a:xfrm>
                      <a:off x="0" y="0"/>
                      <a:ext cx="1295400" cy="2562225"/>
                    </a:xfrm>
                    <a:prstGeom prst="rect">
                      <a:avLst/>
                    </a:prstGeom>
                    <a:noFill/>
                    <a:ln>
                      <a:noFill/>
                    </a:ln>
                  </pic:spPr>
                </pic:pic>
              </a:graphicData>
            </a:graphic>
          </wp:inline>
        </w:drawing>
      </w:r>
    </w:p>
    <w:p w14:paraId="17D51364" w14:textId="77777777" w:rsidR="00A77B93" w:rsidRPr="005D14CA" w:rsidRDefault="00A77B93" w:rsidP="00A77B93">
      <w:pPr>
        <w:pStyle w:val="ListParagraph"/>
        <w:autoSpaceDE w:val="0"/>
        <w:autoSpaceDN w:val="0"/>
        <w:adjustRightInd w:val="0"/>
        <w:spacing w:after="0" w:line="240" w:lineRule="auto"/>
        <w:ind w:left="0"/>
        <w:rPr>
          <w:rFonts w:ascii="Arial" w:hAnsi="Arial" w:cs="Arial"/>
          <w:b/>
          <w:sz w:val="20"/>
          <w:szCs w:val="20"/>
        </w:rPr>
      </w:pPr>
      <w:r w:rsidRPr="005D14CA">
        <w:rPr>
          <w:rFonts w:ascii="Arial" w:hAnsi="Arial" w:cs="Arial"/>
          <w:i/>
          <w:sz w:val="20"/>
          <w:szCs w:val="20"/>
        </w:rPr>
        <w:t>Source</w:t>
      </w:r>
      <w:r w:rsidRPr="005D14CA">
        <w:rPr>
          <w:rFonts w:ascii="Arial" w:hAnsi="Arial" w:cs="Arial"/>
          <w:sz w:val="20"/>
          <w:szCs w:val="20"/>
        </w:rPr>
        <w:t>: Computation from time-series data using EViews 12</w:t>
      </w:r>
    </w:p>
    <w:p w14:paraId="040F89CB" w14:textId="77777777" w:rsidR="00E66DB0" w:rsidRDefault="00E66DB0" w:rsidP="0066301C">
      <w:pPr>
        <w:pStyle w:val="NoSpacing"/>
        <w:rPr>
          <w:rFonts w:ascii="Arial" w:hAnsi="Arial" w:cs="Arial"/>
          <w:b/>
          <w:sz w:val="20"/>
          <w:szCs w:val="20"/>
          <w:highlight w:val="yellow"/>
        </w:rPr>
      </w:pPr>
    </w:p>
    <w:p w14:paraId="54103B96" w14:textId="77777777" w:rsidR="007B5321" w:rsidRDefault="007B5321" w:rsidP="0066301C">
      <w:pPr>
        <w:pStyle w:val="NoSpacing"/>
        <w:rPr>
          <w:rFonts w:ascii="Arial" w:hAnsi="Arial" w:cs="Arial"/>
          <w:b/>
          <w:sz w:val="20"/>
          <w:szCs w:val="20"/>
        </w:rPr>
      </w:pPr>
    </w:p>
    <w:p w14:paraId="370D818B" w14:textId="77777777" w:rsidR="007B5321" w:rsidRDefault="007B5321" w:rsidP="0066301C">
      <w:pPr>
        <w:pStyle w:val="NoSpacing"/>
        <w:rPr>
          <w:rFonts w:ascii="Arial" w:hAnsi="Arial" w:cs="Arial"/>
          <w:b/>
          <w:sz w:val="20"/>
          <w:szCs w:val="20"/>
        </w:rPr>
      </w:pPr>
    </w:p>
    <w:p w14:paraId="650A2A8B" w14:textId="77777777" w:rsidR="007B5321" w:rsidRDefault="007B5321" w:rsidP="0066301C">
      <w:pPr>
        <w:pStyle w:val="NoSpacing"/>
        <w:rPr>
          <w:rFonts w:ascii="Arial" w:hAnsi="Arial" w:cs="Arial"/>
          <w:b/>
          <w:sz w:val="20"/>
          <w:szCs w:val="20"/>
        </w:rPr>
      </w:pPr>
    </w:p>
    <w:p w14:paraId="26AD50CC" w14:textId="77777777" w:rsidR="007B5321" w:rsidRDefault="007B5321" w:rsidP="0066301C">
      <w:pPr>
        <w:pStyle w:val="NoSpacing"/>
        <w:rPr>
          <w:rFonts w:ascii="Arial" w:hAnsi="Arial" w:cs="Arial"/>
          <w:b/>
          <w:sz w:val="20"/>
          <w:szCs w:val="20"/>
        </w:rPr>
      </w:pPr>
    </w:p>
    <w:p w14:paraId="6C3F5EFE" w14:textId="77777777" w:rsidR="007B5321" w:rsidRDefault="007B5321" w:rsidP="0066301C">
      <w:pPr>
        <w:pStyle w:val="NoSpacing"/>
        <w:rPr>
          <w:rFonts w:ascii="Arial" w:hAnsi="Arial" w:cs="Arial"/>
          <w:b/>
          <w:sz w:val="20"/>
          <w:szCs w:val="20"/>
        </w:rPr>
      </w:pPr>
    </w:p>
    <w:p w14:paraId="771EF010" w14:textId="77777777" w:rsidR="007B5321" w:rsidRDefault="007B5321" w:rsidP="0066301C">
      <w:pPr>
        <w:pStyle w:val="NoSpacing"/>
        <w:rPr>
          <w:rFonts w:ascii="Arial" w:hAnsi="Arial" w:cs="Arial"/>
          <w:b/>
          <w:sz w:val="20"/>
          <w:szCs w:val="20"/>
        </w:rPr>
      </w:pPr>
    </w:p>
    <w:p w14:paraId="288E7A67" w14:textId="77777777" w:rsidR="007B5321" w:rsidRDefault="007B5321" w:rsidP="0066301C">
      <w:pPr>
        <w:pStyle w:val="NoSpacing"/>
        <w:rPr>
          <w:rFonts w:ascii="Arial" w:hAnsi="Arial" w:cs="Arial"/>
          <w:b/>
          <w:sz w:val="20"/>
          <w:szCs w:val="20"/>
        </w:rPr>
      </w:pPr>
    </w:p>
    <w:p w14:paraId="352304A6" w14:textId="77777777" w:rsidR="007B5321" w:rsidRDefault="007B5321" w:rsidP="0066301C">
      <w:pPr>
        <w:pStyle w:val="NoSpacing"/>
        <w:rPr>
          <w:rFonts w:ascii="Arial" w:hAnsi="Arial" w:cs="Arial"/>
          <w:b/>
          <w:sz w:val="20"/>
          <w:szCs w:val="20"/>
        </w:rPr>
      </w:pPr>
    </w:p>
    <w:p w14:paraId="1FC993A2" w14:textId="77777777" w:rsidR="007B5321" w:rsidRDefault="007B5321" w:rsidP="0066301C">
      <w:pPr>
        <w:pStyle w:val="NoSpacing"/>
        <w:rPr>
          <w:rFonts w:ascii="Arial" w:hAnsi="Arial" w:cs="Arial"/>
          <w:b/>
          <w:sz w:val="20"/>
          <w:szCs w:val="20"/>
        </w:rPr>
      </w:pPr>
    </w:p>
    <w:p w14:paraId="6AD6C982" w14:textId="77777777" w:rsidR="007B5321" w:rsidRDefault="007B5321" w:rsidP="0066301C">
      <w:pPr>
        <w:pStyle w:val="NoSpacing"/>
        <w:rPr>
          <w:rFonts w:ascii="Arial" w:hAnsi="Arial" w:cs="Arial"/>
          <w:b/>
          <w:sz w:val="20"/>
          <w:szCs w:val="20"/>
        </w:rPr>
      </w:pPr>
    </w:p>
    <w:p w14:paraId="3434CDB5" w14:textId="77777777" w:rsidR="007B5321" w:rsidRDefault="007B5321" w:rsidP="0066301C">
      <w:pPr>
        <w:pStyle w:val="NoSpacing"/>
        <w:rPr>
          <w:rFonts w:ascii="Arial" w:hAnsi="Arial" w:cs="Arial"/>
          <w:b/>
          <w:sz w:val="20"/>
          <w:szCs w:val="20"/>
        </w:rPr>
      </w:pPr>
    </w:p>
    <w:p w14:paraId="546717A3" w14:textId="77777777" w:rsidR="007B5321" w:rsidRDefault="007B5321" w:rsidP="0066301C">
      <w:pPr>
        <w:pStyle w:val="NoSpacing"/>
        <w:rPr>
          <w:rFonts w:ascii="Arial" w:hAnsi="Arial" w:cs="Arial"/>
          <w:b/>
          <w:sz w:val="20"/>
          <w:szCs w:val="20"/>
        </w:rPr>
      </w:pPr>
    </w:p>
    <w:p w14:paraId="0DC17A37" w14:textId="77777777" w:rsidR="007B5321" w:rsidRDefault="007B5321" w:rsidP="0066301C">
      <w:pPr>
        <w:pStyle w:val="NoSpacing"/>
        <w:rPr>
          <w:rFonts w:ascii="Arial" w:hAnsi="Arial" w:cs="Arial"/>
          <w:b/>
          <w:sz w:val="20"/>
          <w:szCs w:val="20"/>
        </w:rPr>
      </w:pPr>
    </w:p>
    <w:p w14:paraId="35726896" w14:textId="77777777" w:rsidR="007B5321" w:rsidRDefault="007B5321" w:rsidP="0066301C">
      <w:pPr>
        <w:pStyle w:val="NoSpacing"/>
        <w:rPr>
          <w:rFonts w:ascii="Arial" w:hAnsi="Arial" w:cs="Arial"/>
          <w:b/>
          <w:sz w:val="20"/>
          <w:szCs w:val="20"/>
        </w:rPr>
      </w:pPr>
    </w:p>
    <w:p w14:paraId="48CDDFA8" w14:textId="77777777" w:rsidR="004E09EF" w:rsidRDefault="004E09EF" w:rsidP="0066301C">
      <w:pPr>
        <w:pStyle w:val="NoSpacing"/>
        <w:rPr>
          <w:rFonts w:ascii="Arial" w:hAnsi="Arial" w:cs="Arial"/>
          <w:b/>
          <w:sz w:val="20"/>
          <w:szCs w:val="20"/>
        </w:rPr>
      </w:pPr>
    </w:p>
    <w:p w14:paraId="37BE402F" w14:textId="77777777" w:rsidR="007B5321" w:rsidRDefault="007B5321" w:rsidP="0066301C">
      <w:pPr>
        <w:pStyle w:val="NoSpacing"/>
        <w:rPr>
          <w:rFonts w:ascii="Arial" w:hAnsi="Arial" w:cs="Arial"/>
          <w:b/>
          <w:sz w:val="20"/>
          <w:szCs w:val="20"/>
        </w:rPr>
      </w:pPr>
    </w:p>
    <w:p w14:paraId="6325F47B" w14:textId="01230688" w:rsidR="00E66DB0" w:rsidRPr="00EE2EF5" w:rsidRDefault="00E66DB0" w:rsidP="0066301C">
      <w:pPr>
        <w:pStyle w:val="NoSpacing"/>
        <w:rPr>
          <w:rFonts w:ascii="Arial" w:hAnsi="Arial" w:cs="Arial"/>
          <w:b/>
          <w:sz w:val="20"/>
          <w:szCs w:val="20"/>
        </w:rPr>
      </w:pPr>
      <w:r w:rsidRPr="00732292">
        <w:rPr>
          <w:rFonts w:ascii="Arial" w:hAnsi="Arial" w:cs="Arial"/>
          <w:b/>
          <w:sz w:val="20"/>
          <w:szCs w:val="20"/>
        </w:rPr>
        <w:t>Figure 4.3c: Impulse</w:t>
      </w:r>
      <w:r w:rsidRPr="00EE2EF5">
        <w:rPr>
          <w:rFonts w:ascii="Arial" w:hAnsi="Arial" w:cs="Arial"/>
          <w:b/>
          <w:sz w:val="20"/>
          <w:szCs w:val="20"/>
        </w:rPr>
        <w:t xml:space="preserve"> Response Function and Table (C</w:t>
      </w:r>
      <w:r>
        <w:rPr>
          <w:rFonts w:ascii="Arial" w:hAnsi="Arial" w:cs="Arial"/>
          <w:b/>
          <w:sz w:val="20"/>
          <w:szCs w:val="20"/>
        </w:rPr>
        <w:t>AR</w:t>
      </w:r>
      <w:r w:rsidRPr="00EE2EF5">
        <w:rPr>
          <w:rFonts w:ascii="Arial" w:hAnsi="Arial" w:cs="Arial"/>
          <w:b/>
          <w:sz w:val="20"/>
          <w:szCs w:val="20"/>
        </w:rPr>
        <w:t xml:space="preserve"> - </w:t>
      </w:r>
      <w:r>
        <w:rPr>
          <w:rFonts w:ascii="Arial" w:hAnsi="Arial" w:cs="Arial"/>
          <w:b/>
          <w:sz w:val="20"/>
          <w:szCs w:val="20"/>
        </w:rPr>
        <w:t>France</w:t>
      </w:r>
      <w:r w:rsidRPr="00EE2EF5">
        <w:rPr>
          <w:rFonts w:ascii="Arial" w:hAnsi="Arial" w:cs="Arial"/>
          <w:b/>
          <w:sz w:val="20"/>
          <w:szCs w:val="20"/>
        </w:rPr>
        <w:t>)</w:t>
      </w:r>
    </w:p>
    <w:p w14:paraId="4220F451" w14:textId="77777777" w:rsidR="00E66DB0" w:rsidRDefault="00E66DB0" w:rsidP="00A77B93">
      <w:pPr>
        <w:pBdr>
          <w:top w:val="single" w:sz="4" w:space="1" w:color="auto"/>
          <w:left w:val="single" w:sz="4" w:space="4" w:color="auto"/>
          <w:bottom w:val="single" w:sz="4" w:space="1" w:color="auto"/>
          <w:right w:val="single" w:sz="4" w:space="4" w:color="auto"/>
        </w:pBdr>
        <w:spacing w:after="0"/>
        <w:rPr>
          <w:noProof/>
        </w:rPr>
      </w:pPr>
      <w:r>
        <w:rPr>
          <w:noProof/>
        </w:rPr>
        <w:drawing>
          <wp:inline distT="0" distB="0" distL="0" distR="0" wp14:anchorId="73315614" wp14:editId="46C03351">
            <wp:extent cx="3933825" cy="2514600"/>
            <wp:effectExtent l="0" t="0" r="0" b="0"/>
            <wp:docPr id="1247506372" name="Picture 124750637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9"/>
                    <pic:cNvPicPr>
                      <a:picLocks noChangeAspect="1" noChangeArrowheads="1"/>
                    </pic:cNvPicPr>
                  </pic:nvPicPr>
                  <pic:blipFill>
                    <a:blip r:embed="rId56">
                      <a:extLst>
                        <a:ext uri="{28A0092B-C50C-407E-A947-70E740481C1C}">
                          <a14:useLocalDpi xmlns:a14="http://schemas.microsoft.com/office/drawing/2010/main" val="0"/>
                        </a:ext>
                      </a:extLst>
                    </a:blip>
                    <a:srcRect/>
                    <a:stretch>
                      <a:fillRect/>
                    </a:stretch>
                  </pic:blipFill>
                  <pic:spPr bwMode="auto">
                    <a:xfrm>
                      <a:off x="0" y="0"/>
                      <a:ext cx="3933825" cy="2514600"/>
                    </a:xfrm>
                    <a:prstGeom prst="rect">
                      <a:avLst/>
                    </a:prstGeom>
                    <a:noFill/>
                    <a:ln>
                      <a:noFill/>
                    </a:ln>
                  </pic:spPr>
                </pic:pic>
              </a:graphicData>
            </a:graphic>
          </wp:inline>
        </w:drawing>
      </w:r>
      <w:r>
        <w:rPr>
          <w:noProof/>
        </w:rPr>
        <w:t xml:space="preserve">  </w:t>
      </w:r>
      <w:r>
        <w:rPr>
          <w:noProof/>
        </w:rPr>
        <w:drawing>
          <wp:inline distT="0" distB="0" distL="0" distR="0" wp14:anchorId="567D8EE7" wp14:editId="29E02403">
            <wp:extent cx="1247775" cy="2505075"/>
            <wp:effectExtent l="0" t="0" r="9525" b="9525"/>
            <wp:docPr id="1247506371" name="Picture 124750637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0"/>
                    <pic:cNvPicPr>
                      <a:picLocks noChangeAspect="1" noChangeArrowheads="1"/>
                    </pic:cNvPicPr>
                  </pic:nvPicPr>
                  <pic:blipFill>
                    <a:blip r:embed="rId57">
                      <a:extLst>
                        <a:ext uri="{28A0092B-C50C-407E-A947-70E740481C1C}">
                          <a14:useLocalDpi xmlns:a14="http://schemas.microsoft.com/office/drawing/2010/main" val="0"/>
                        </a:ext>
                      </a:extLst>
                    </a:blip>
                    <a:srcRect/>
                    <a:stretch>
                      <a:fillRect/>
                    </a:stretch>
                  </pic:blipFill>
                  <pic:spPr bwMode="auto">
                    <a:xfrm>
                      <a:off x="0" y="0"/>
                      <a:ext cx="1247775" cy="2505075"/>
                    </a:xfrm>
                    <a:prstGeom prst="rect">
                      <a:avLst/>
                    </a:prstGeom>
                    <a:noFill/>
                    <a:ln>
                      <a:noFill/>
                    </a:ln>
                  </pic:spPr>
                </pic:pic>
              </a:graphicData>
            </a:graphic>
          </wp:inline>
        </w:drawing>
      </w:r>
    </w:p>
    <w:p w14:paraId="79B7F967" w14:textId="77777777" w:rsidR="00A77B93" w:rsidRPr="005D14CA" w:rsidRDefault="00A77B93" w:rsidP="00A77B93">
      <w:pPr>
        <w:pStyle w:val="ListParagraph"/>
        <w:autoSpaceDE w:val="0"/>
        <w:autoSpaceDN w:val="0"/>
        <w:adjustRightInd w:val="0"/>
        <w:spacing w:after="0" w:line="240" w:lineRule="auto"/>
        <w:ind w:left="0"/>
        <w:rPr>
          <w:rFonts w:ascii="Arial" w:hAnsi="Arial" w:cs="Arial"/>
          <w:b/>
          <w:sz w:val="20"/>
          <w:szCs w:val="20"/>
        </w:rPr>
      </w:pPr>
      <w:r w:rsidRPr="005D14CA">
        <w:rPr>
          <w:rFonts w:ascii="Arial" w:hAnsi="Arial" w:cs="Arial"/>
          <w:i/>
          <w:sz w:val="20"/>
          <w:szCs w:val="20"/>
        </w:rPr>
        <w:t>Source</w:t>
      </w:r>
      <w:r w:rsidRPr="005D14CA">
        <w:rPr>
          <w:rFonts w:ascii="Arial" w:hAnsi="Arial" w:cs="Arial"/>
          <w:sz w:val="20"/>
          <w:szCs w:val="20"/>
        </w:rPr>
        <w:t>: Computation from time-series data using EViews 12</w:t>
      </w:r>
    </w:p>
    <w:p w14:paraId="2D75033E" w14:textId="77777777" w:rsidR="001B21D5" w:rsidRDefault="001B21D5" w:rsidP="0066301C">
      <w:pPr>
        <w:pStyle w:val="NoSpacing"/>
        <w:rPr>
          <w:rFonts w:ascii="Arial" w:hAnsi="Arial" w:cs="Arial"/>
          <w:b/>
          <w:sz w:val="20"/>
          <w:szCs w:val="20"/>
        </w:rPr>
      </w:pPr>
    </w:p>
    <w:p w14:paraId="2C9EFC14" w14:textId="77777777" w:rsidR="000D074A" w:rsidRDefault="000D074A" w:rsidP="0066301C">
      <w:pPr>
        <w:pStyle w:val="NoSpacing"/>
        <w:rPr>
          <w:rFonts w:ascii="Arial" w:hAnsi="Arial" w:cs="Arial"/>
          <w:b/>
          <w:sz w:val="20"/>
          <w:szCs w:val="20"/>
        </w:rPr>
      </w:pPr>
    </w:p>
    <w:p w14:paraId="6B0D1F4D" w14:textId="17D6F5C3" w:rsidR="00E66DB0" w:rsidRDefault="00E66DB0" w:rsidP="0066301C">
      <w:pPr>
        <w:pStyle w:val="NoSpacing"/>
        <w:rPr>
          <w:rFonts w:ascii="Arial" w:hAnsi="Arial" w:cs="Arial"/>
          <w:b/>
          <w:sz w:val="20"/>
          <w:szCs w:val="20"/>
        </w:rPr>
      </w:pPr>
      <w:r w:rsidRPr="00732292">
        <w:rPr>
          <w:rFonts w:ascii="Arial" w:hAnsi="Arial" w:cs="Arial"/>
          <w:b/>
          <w:sz w:val="20"/>
          <w:szCs w:val="20"/>
        </w:rPr>
        <w:t>Figure 4.3d: Impulse</w:t>
      </w:r>
      <w:r w:rsidRPr="00EE2EF5">
        <w:rPr>
          <w:rFonts w:ascii="Arial" w:hAnsi="Arial" w:cs="Arial"/>
          <w:b/>
          <w:sz w:val="20"/>
          <w:szCs w:val="20"/>
        </w:rPr>
        <w:t xml:space="preserve"> Response Function and Table (C</w:t>
      </w:r>
      <w:r>
        <w:rPr>
          <w:rFonts w:ascii="Arial" w:hAnsi="Arial" w:cs="Arial"/>
          <w:b/>
          <w:sz w:val="20"/>
          <w:szCs w:val="20"/>
        </w:rPr>
        <w:t>AR</w:t>
      </w:r>
      <w:r w:rsidRPr="00EE2EF5">
        <w:rPr>
          <w:rFonts w:ascii="Arial" w:hAnsi="Arial" w:cs="Arial"/>
          <w:b/>
          <w:sz w:val="20"/>
          <w:szCs w:val="20"/>
        </w:rPr>
        <w:t xml:space="preserve"> - </w:t>
      </w:r>
      <w:r>
        <w:rPr>
          <w:rFonts w:ascii="Arial" w:hAnsi="Arial" w:cs="Arial"/>
          <w:b/>
          <w:sz w:val="20"/>
          <w:szCs w:val="20"/>
        </w:rPr>
        <w:t>India</w:t>
      </w:r>
      <w:r w:rsidRPr="00EE2EF5">
        <w:rPr>
          <w:rFonts w:ascii="Arial" w:hAnsi="Arial" w:cs="Arial"/>
          <w:b/>
          <w:sz w:val="20"/>
          <w:szCs w:val="20"/>
        </w:rPr>
        <w:t>)</w:t>
      </w:r>
    </w:p>
    <w:p w14:paraId="7176D078" w14:textId="77777777" w:rsidR="00E66DB0" w:rsidRDefault="00E66DB0" w:rsidP="00A77B93">
      <w:pPr>
        <w:pBdr>
          <w:top w:val="single" w:sz="4" w:space="1" w:color="auto"/>
          <w:left w:val="single" w:sz="4" w:space="4" w:color="auto"/>
          <w:bottom w:val="single" w:sz="4" w:space="1" w:color="auto"/>
          <w:right w:val="single" w:sz="4" w:space="4" w:color="auto"/>
        </w:pBdr>
        <w:tabs>
          <w:tab w:val="left" w:pos="5160"/>
        </w:tabs>
        <w:spacing w:after="0"/>
      </w:pPr>
      <w:r>
        <w:rPr>
          <w:noProof/>
        </w:rPr>
        <w:lastRenderedPageBreak/>
        <w:drawing>
          <wp:inline distT="0" distB="0" distL="0" distR="0" wp14:anchorId="16D256BE" wp14:editId="1E566DB9">
            <wp:extent cx="3829050" cy="2524125"/>
            <wp:effectExtent l="0" t="0" r="0" b="9525"/>
            <wp:docPr id="1247506370" name="Picture 124750637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1"/>
                    <pic:cNvPicPr>
                      <a:picLocks noChangeAspect="1" noChangeArrowheads="1"/>
                    </pic:cNvPicPr>
                  </pic:nvPicPr>
                  <pic:blipFill>
                    <a:blip r:embed="rId58">
                      <a:extLst>
                        <a:ext uri="{28A0092B-C50C-407E-A947-70E740481C1C}">
                          <a14:useLocalDpi xmlns:a14="http://schemas.microsoft.com/office/drawing/2010/main" val="0"/>
                        </a:ext>
                      </a:extLst>
                    </a:blip>
                    <a:srcRect/>
                    <a:stretch>
                      <a:fillRect/>
                    </a:stretch>
                  </pic:blipFill>
                  <pic:spPr bwMode="auto">
                    <a:xfrm>
                      <a:off x="0" y="0"/>
                      <a:ext cx="3829050" cy="2524125"/>
                    </a:xfrm>
                    <a:prstGeom prst="rect">
                      <a:avLst/>
                    </a:prstGeom>
                    <a:noFill/>
                    <a:ln>
                      <a:noFill/>
                    </a:ln>
                  </pic:spPr>
                </pic:pic>
              </a:graphicData>
            </a:graphic>
          </wp:inline>
        </w:drawing>
      </w:r>
      <w:r>
        <w:t xml:space="preserve">   </w:t>
      </w:r>
      <w:r>
        <w:rPr>
          <w:noProof/>
        </w:rPr>
        <w:drawing>
          <wp:inline distT="0" distB="0" distL="0" distR="0" wp14:anchorId="74BC1C9C" wp14:editId="6FA274AB">
            <wp:extent cx="1285875" cy="2571750"/>
            <wp:effectExtent l="0" t="0" r="9525" b="0"/>
            <wp:docPr id="1247506369" name="Picture 124750636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2"/>
                    <pic:cNvPicPr>
                      <a:picLocks noChangeAspect="1" noChangeArrowheads="1"/>
                    </pic:cNvPicPr>
                  </pic:nvPicPr>
                  <pic:blipFill>
                    <a:blip r:embed="rId59">
                      <a:extLst>
                        <a:ext uri="{28A0092B-C50C-407E-A947-70E740481C1C}">
                          <a14:useLocalDpi xmlns:a14="http://schemas.microsoft.com/office/drawing/2010/main" val="0"/>
                        </a:ext>
                      </a:extLst>
                    </a:blip>
                    <a:srcRect/>
                    <a:stretch>
                      <a:fillRect/>
                    </a:stretch>
                  </pic:blipFill>
                  <pic:spPr bwMode="auto">
                    <a:xfrm>
                      <a:off x="0" y="0"/>
                      <a:ext cx="1285875" cy="2571750"/>
                    </a:xfrm>
                    <a:prstGeom prst="rect">
                      <a:avLst/>
                    </a:prstGeom>
                    <a:noFill/>
                    <a:ln>
                      <a:noFill/>
                    </a:ln>
                  </pic:spPr>
                </pic:pic>
              </a:graphicData>
            </a:graphic>
          </wp:inline>
        </w:drawing>
      </w:r>
      <w:r>
        <w:tab/>
      </w:r>
    </w:p>
    <w:p w14:paraId="31FB80D7" w14:textId="77777777" w:rsidR="00A77B93" w:rsidRPr="005D14CA" w:rsidRDefault="00A77B93" w:rsidP="00A77B93">
      <w:pPr>
        <w:pStyle w:val="ListParagraph"/>
        <w:autoSpaceDE w:val="0"/>
        <w:autoSpaceDN w:val="0"/>
        <w:adjustRightInd w:val="0"/>
        <w:spacing w:after="0" w:line="240" w:lineRule="auto"/>
        <w:ind w:left="0"/>
        <w:rPr>
          <w:rFonts w:ascii="Arial" w:hAnsi="Arial" w:cs="Arial"/>
          <w:b/>
          <w:sz w:val="20"/>
          <w:szCs w:val="20"/>
        </w:rPr>
      </w:pPr>
      <w:r w:rsidRPr="005D14CA">
        <w:rPr>
          <w:rFonts w:ascii="Arial" w:hAnsi="Arial" w:cs="Arial"/>
          <w:i/>
          <w:sz w:val="20"/>
          <w:szCs w:val="20"/>
        </w:rPr>
        <w:t>Source</w:t>
      </w:r>
      <w:r w:rsidRPr="005D14CA">
        <w:rPr>
          <w:rFonts w:ascii="Arial" w:hAnsi="Arial" w:cs="Arial"/>
          <w:sz w:val="20"/>
          <w:szCs w:val="20"/>
        </w:rPr>
        <w:t>: Computation from time-series data using EViews 12</w:t>
      </w:r>
    </w:p>
    <w:p w14:paraId="29909B25" w14:textId="77777777" w:rsidR="000D074A" w:rsidRDefault="000D074A" w:rsidP="0066301C">
      <w:pPr>
        <w:pStyle w:val="NoSpacing"/>
        <w:rPr>
          <w:rFonts w:ascii="Arial" w:hAnsi="Arial" w:cs="Arial"/>
          <w:b/>
          <w:sz w:val="20"/>
          <w:szCs w:val="20"/>
        </w:rPr>
      </w:pPr>
    </w:p>
    <w:p w14:paraId="099792DC" w14:textId="77777777" w:rsidR="001B21D5" w:rsidRDefault="001B21D5" w:rsidP="0066301C">
      <w:pPr>
        <w:pStyle w:val="NoSpacing"/>
        <w:rPr>
          <w:rFonts w:ascii="Arial" w:hAnsi="Arial" w:cs="Arial"/>
          <w:b/>
          <w:sz w:val="20"/>
          <w:szCs w:val="20"/>
        </w:rPr>
      </w:pPr>
    </w:p>
    <w:p w14:paraId="221CB67C" w14:textId="77777777" w:rsidR="001B21D5" w:rsidRDefault="001B21D5" w:rsidP="0066301C">
      <w:pPr>
        <w:pStyle w:val="NoSpacing"/>
        <w:rPr>
          <w:rFonts w:ascii="Arial" w:hAnsi="Arial" w:cs="Arial"/>
          <w:b/>
          <w:sz w:val="20"/>
          <w:szCs w:val="20"/>
        </w:rPr>
      </w:pPr>
    </w:p>
    <w:p w14:paraId="351BE955" w14:textId="77777777" w:rsidR="005E7D18" w:rsidRDefault="005E7D18" w:rsidP="0066301C">
      <w:pPr>
        <w:pStyle w:val="NoSpacing"/>
        <w:rPr>
          <w:rFonts w:ascii="Arial" w:hAnsi="Arial" w:cs="Arial"/>
          <w:b/>
          <w:sz w:val="20"/>
          <w:szCs w:val="20"/>
        </w:rPr>
      </w:pPr>
    </w:p>
    <w:p w14:paraId="62F4C70B" w14:textId="77777777" w:rsidR="005E7D18" w:rsidRDefault="005E7D18" w:rsidP="0066301C">
      <w:pPr>
        <w:pStyle w:val="NoSpacing"/>
        <w:rPr>
          <w:rFonts w:ascii="Arial" w:hAnsi="Arial" w:cs="Arial"/>
          <w:b/>
          <w:sz w:val="20"/>
          <w:szCs w:val="20"/>
        </w:rPr>
      </w:pPr>
    </w:p>
    <w:p w14:paraId="7999D793" w14:textId="77777777" w:rsidR="005E7D18" w:rsidRDefault="005E7D18" w:rsidP="0066301C">
      <w:pPr>
        <w:pStyle w:val="NoSpacing"/>
        <w:rPr>
          <w:rFonts w:ascii="Arial" w:hAnsi="Arial" w:cs="Arial"/>
          <w:b/>
          <w:sz w:val="20"/>
          <w:szCs w:val="20"/>
        </w:rPr>
      </w:pPr>
    </w:p>
    <w:p w14:paraId="1D83E77A" w14:textId="77777777" w:rsidR="005E7D18" w:rsidRDefault="005E7D18" w:rsidP="0066301C">
      <w:pPr>
        <w:pStyle w:val="NoSpacing"/>
        <w:rPr>
          <w:rFonts w:ascii="Arial" w:hAnsi="Arial" w:cs="Arial"/>
          <w:b/>
          <w:sz w:val="20"/>
          <w:szCs w:val="20"/>
        </w:rPr>
      </w:pPr>
    </w:p>
    <w:p w14:paraId="7A72DC1C" w14:textId="77777777" w:rsidR="005E7D18" w:rsidRDefault="005E7D18" w:rsidP="0066301C">
      <w:pPr>
        <w:pStyle w:val="NoSpacing"/>
        <w:rPr>
          <w:rFonts w:ascii="Arial" w:hAnsi="Arial" w:cs="Arial"/>
          <w:b/>
          <w:sz w:val="20"/>
          <w:szCs w:val="20"/>
        </w:rPr>
      </w:pPr>
    </w:p>
    <w:p w14:paraId="0EFA21BC" w14:textId="77777777" w:rsidR="005E7D18" w:rsidRDefault="005E7D18" w:rsidP="0066301C">
      <w:pPr>
        <w:pStyle w:val="NoSpacing"/>
        <w:rPr>
          <w:rFonts w:ascii="Arial" w:hAnsi="Arial" w:cs="Arial"/>
          <w:b/>
          <w:sz w:val="20"/>
          <w:szCs w:val="20"/>
        </w:rPr>
      </w:pPr>
    </w:p>
    <w:p w14:paraId="18F4E60A" w14:textId="77777777" w:rsidR="005E7D18" w:rsidRDefault="005E7D18" w:rsidP="0066301C">
      <w:pPr>
        <w:pStyle w:val="NoSpacing"/>
        <w:rPr>
          <w:rFonts w:ascii="Arial" w:hAnsi="Arial" w:cs="Arial"/>
          <w:b/>
          <w:sz w:val="20"/>
          <w:szCs w:val="20"/>
        </w:rPr>
      </w:pPr>
    </w:p>
    <w:p w14:paraId="0D74633B" w14:textId="77777777" w:rsidR="005E7D18" w:rsidRDefault="005E7D18" w:rsidP="0066301C">
      <w:pPr>
        <w:pStyle w:val="NoSpacing"/>
        <w:rPr>
          <w:rFonts w:ascii="Arial" w:hAnsi="Arial" w:cs="Arial"/>
          <w:b/>
          <w:sz w:val="20"/>
          <w:szCs w:val="20"/>
        </w:rPr>
      </w:pPr>
    </w:p>
    <w:p w14:paraId="01339F96" w14:textId="77777777" w:rsidR="005E7D18" w:rsidRDefault="005E7D18" w:rsidP="0066301C">
      <w:pPr>
        <w:pStyle w:val="NoSpacing"/>
        <w:rPr>
          <w:rFonts w:ascii="Arial" w:hAnsi="Arial" w:cs="Arial"/>
          <w:b/>
          <w:sz w:val="20"/>
          <w:szCs w:val="20"/>
        </w:rPr>
      </w:pPr>
    </w:p>
    <w:p w14:paraId="5C562580" w14:textId="77777777" w:rsidR="005E7D18" w:rsidRDefault="005E7D18" w:rsidP="0066301C">
      <w:pPr>
        <w:pStyle w:val="NoSpacing"/>
        <w:rPr>
          <w:rFonts w:ascii="Arial" w:hAnsi="Arial" w:cs="Arial"/>
          <w:b/>
          <w:sz w:val="20"/>
          <w:szCs w:val="20"/>
        </w:rPr>
      </w:pPr>
    </w:p>
    <w:p w14:paraId="6EB39434" w14:textId="77777777" w:rsidR="005E7D18" w:rsidRDefault="005E7D18" w:rsidP="0066301C">
      <w:pPr>
        <w:pStyle w:val="NoSpacing"/>
        <w:rPr>
          <w:rFonts w:ascii="Arial" w:hAnsi="Arial" w:cs="Arial"/>
          <w:b/>
          <w:sz w:val="20"/>
          <w:szCs w:val="20"/>
        </w:rPr>
      </w:pPr>
    </w:p>
    <w:p w14:paraId="6F1B0A78" w14:textId="77777777" w:rsidR="005E7D18" w:rsidRDefault="005E7D18" w:rsidP="0066301C">
      <w:pPr>
        <w:pStyle w:val="NoSpacing"/>
        <w:rPr>
          <w:rFonts w:ascii="Arial" w:hAnsi="Arial" w:cs="Arial"/>
          <w:b/>
          <w:sz w:val="20"/>
          <w:szCs w:val="20"/>
        </w:rPr>
      </w:pPr>
    </w:p>
    <w:p w14:paraId="34BC0A58" w14:textId="77777777" w:rsidR="005E7D18" w:rsidRDefault="005E7D18" w:rsidP="0066301C">
      <w:pPr>
        <w:pStyle w:val="NoSpacing"/>
        <w:rPr>
          <w:rFonts w:ascii="Arial" w:hAnsi="Arial" w:cs="Arial"/>
          <w:b/>
          <w:sz w:val="20"/>
          <w:szCs w:val="20"/>
        </w:rPr>
      </w:pPr>
    </w:p>
    <w:p w14:paraId="000E8C1F" w14:textId="77777777" w:rsidR="005E7D18" w:rsidRDefault="005E7D18" w:rsidP="0066301C">
      <w:pPr>
        <w:pStyle w:val="NoSpacing"/>
        <w:rPr>
          <w:rFonts w:ascii="Arial" w:hAnsi="Arial" w:cs="Arial"/>
          <w:b/>
          <w:sz w:val="20"/>
          <w:szCs w:val="20"/>
        </w:rPr>
      </w:pPr>
    </w:p>
    <w:p w14:paraId="3D3A6BC5" w14:textId="77777777" w:rsidR="005E7D18" w:rsidRDefault="005E7D18" w:rsidP="0066301C">
      <w:pPr>
        <w:pStyle w:val="NoSpacing"/>
        <w:rPr>
          <w:rFonts w:ascii="Arial" w:hAnsi="Arial" w:cs="Arial"/>
          <w:b/>
          <w:sz w:val="20"/>
          <w:szCs w:val="20"/>
        </w:rPr>
      </w:pPr>
    </w:p>
    <w:p w14:paraId="4B303C32" w14:textId="77777777" w:rsidR="005E7D18" w:rsidRDefault="005E7D18" w:rsidP="0066301C">
      <w:pPr>
        <w:pStyle w:val="NoSpacing"/>
        <w:rPr>
          <w:rFonts w:ascii="Arial" w:hAnsi="Arial" w:cs="Arial"/>
          <w:b/>
          <w:sz w:val="20"/>
          <w:szCs w:val="20"/>
        </w:rPr>
      </w:pPr>
    </w:p>
    <w:p w14:paraId="76288367" w14:textId="697ADD81" w:rsidR="00E66DB0" w:rsidRPr="00A74136" w:rsidRDefault="00E66DB0" w:rsidP="0066301C">
      <w:pPr>
        <w:pStyle w:val="NoSpacing"/>
        <w:rPr>
          <w:rFonts w:ascii="Arial" w:hAnsi="Arial" w:cs="Arial"/>
          <w:b/>
          <w:sz w:val="20"/>
          <w:szCs w:val="20"/>
        </w:rPr>
      </w:pPr>
      <w:r w:rsidRPr="008659AF">
        <w:rPr>
          <w:rFonts w:ascii="Arial" w:hAnsi="Arial" w:cs="Arial"/>
          <w:b/>
          <w:sz w:val="20"/>
          <w:szCs w:val="20"/>
        </w:rPr>
        <w:t>Figure 4.3e: Impulse</w:t>
      </w:r>
      <w:r w:rsidRPr="00EE2EF5">
        <w:rPr>
          <w:rFonts w:ascii="Arial" w:hAnsi="Arial" w:cs="Arial"/>
          <w:b/>
          <w:sz w:val="20"/>
          <w:szCs w:val="20"/>
        </w:rPr>
        <w:t xml:space="preserve"> Response Function and Table (C</w:t>
      </w:r>
      <w:r>
        <w:rPr>
          <w:rFonts w:ascii="Arial" w:hAnsi="Arial" w:cs="Arial"/>
          <w:b/>
          <w:sz w:val="20"/>
          <w:szCs w:val="20"/>
        </w:rPr>
        <w:t>AR</w:t>
      </w:r>
      <w:r w:rsidRPr="00EE2EF5">
        <w:rPr>
          <w:rFonts w:ascii="Arial" w:hAnsi="Arial" w:cs="Arial"/>
          <w:b/>
          <w:sz w:val="20"/>
          <w:szCs w:val="20"/>
        </w:rPr>
        <w:t xml:space="preserve"> - </w:t>
      </w:r>
      <w:r>
        <w:rPr>
          <w:rFonts w:ascii="Arial" w:hAnsi="Arial" w:cs="Arial"/>
          <w:b/>
          <w:sz w:val="20"/>
          <w:szCs w:val="20"/>
        </w:rPr>
        <w:t>Nepal</w:t>
      </w:r>
      <w:r w:rsidRPr="00EE2EF5">
        <w:rPr>
          <w:rFonts w:ascii="Arial" w:hAnsi="Arial" w:cs="Arial"/>
          <w:b/>
          <w:sz w:val="20"/>
          <w:szCs w:val="20"/>
        </w:rPr>
        <w:t>)</w:t>
      </w:r>
    </w:p>
    <w:p w14:paraId="0B45F158" w14:textId="77777777" w:rsidR="00E66DB0" w:rsidRDefault="00E66DB0" w:rsidP="00A77B93">
      <w:pPr>
        <w:pBdr>
          <w:top w:val="single" w:sz="4" w:space="1" w:color="auto"/>
          <w:left w:val="single" w:sz="4" w:space="4" w:color="auto"/>
          <w:bottom w:val="single" w:sz="4" w:space="1" w:color="auto"/>
          <w:right w:val="single" w:sz="4" w:space="0" w:color="auto"/>
        </w:pBdr>
        <w:spacing w:after="0"/>
        <w:rPr>
          <w:noProof/>
        </w:rPr>
      </w:pPr>
      <w:r>
        <w:rPr>
          <w:noProof/>
        </w:rPr>
        <w:drawing>
          <wp:inline distT="0" distB="0" distL="0" distR="0" wp14:anchorId="4662C8D2" wp14:editId="56BEEE23">
            <wp:extent cx="3409950" cy="2686050"/>
            <wp:effectExtent l="0" t="0" r="0" b="0"/>
            <wp:docPr id="1247506368" name="Picture 124750636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a:blip r:embed="rId60">
                      <a:extLst>
                        <a:ext uri="{28A0092B-C50C-407E-A947-70E740481C1C}">
                          <a14:useLocalDpi xmlns:a14="http://schemas.microsoft.com/office/drawing/2010/main" val="0"/>
                        </a:ext>
                      </a:extLst>
                    </a:blip>
                    <a:srcRect/>
                    <a:stretch>
                      <a:fillRect/>
                    </a:stretch>
                  </pic:blipFill>
                  <pic:spPr bwMode="auto">
                    <a:xfrm>
                      <a:off x="0" y="0"/>
                      <a:ext cx="3409950" cy="2686050"/>
                    </a:xfrm>
                    <a:prstGeom prst="rect">
                      <a:avLst/>
                    </a:prstGeom>
                    <a:noFill/>
                    <a:ln>
                      <a:noFill/>
                    </a:ln>
                  </pic:spPr>
                </pic:pic>
              </a:graphicData>
            </a:graphic>
          </wp:inline>
        </w:drawing>
      </w:r>
      <w:r>
        <w:t xml:space="preserve">              </w:t>
      </w:r>
      <w:r>
        <w:rPr>
          <w:noProof/>
        </w:rPr>
        <w:drawing>
          <wp:inline distT="0" distB="0" distL="0" distR="0" wp14:anchorId="75C2AA59" wp14:editId="480E1F47">
            <wp:extent cx="1371600" cy="2714625"/>
            <wp:effectExtent l="0" t="0" r="0" b="9525"/>
            <wp:docPr id="26" name="Picture 2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pic:cNvPicPr>
                      <a:picLocks noChangeAspect="1" noChangeArrowheads="1"/>
                    </pic:cNvPicPr>
                  </pic:nvPicPr>
                  <pic:blipFill>
                    <a:blip r:embed="rId61">
                      <a:extLst>
                        <a:ext uri="{28A0092B-C50C-407E-A947-70E740481C1C}">
                          <a14:useLocalDpi xmlns:a14="http://schemas.microsoft.com/office/drawing/2010/main" val="0"/>
                        </a:ext>
                      </a:extLst>
                    </a:blip>
                    <a:srcRect/>
                    <a:stretch>
                      <a:fillRect/>
                    </a:stretch>
                  </pic:blipFill>
                  <pic:spPr bwMode="auto">
                    <a:xfrm>
                      <a:off x="0" y="0"/>
                      <a:ext cx="1371600" cy="2714625"/>
                    </a:xfrm>
                    <a:prstGeom prst="rect">
                      <a:avLst/>
                    </a:prstGeom>
                    <a:noFill/>
                    <a:ln>
                      <a:noFill/>
                    </a:ln>
                  </pic:spPr>
                </pic:pic>
              </a:graphicData>
            </a:graphic>
          </wp:inline>
        </w:drawing>
      </w:r>
    </w:p>
    <w:p w14:paraId="015E8BDE" w14:textId="77777777" w:rsidR="00A77B93" w:rsidRPr="005D14CA" w:rsidRDefault="00A77B93" w:rsidP="00A77B93">
      <w:pPr>
        <w:pStyle w:val="ListParagraph"/>
        <w:autoSpaceDE w:val="0"/>
        <w:autoSpaceDN w:val="0"/>
        <w:adjustRightInd w:val="0"/>
        <w:spacing w:after="0" w:line="240" w:lineRule="auto"/>
        <w:ind w:left="0"/>
        <w:rPr>
          <w:rFonts w:ascii="Arial" w:hAnsi="Arial" w:cs="Arial"/>
          <w:b/>
          <w:sz w:val="20"/>
          <w:szCs w:val="20"/>
        </w:rPr>
      </w:pPr>
      <w:r w:rsidRPr="005D14CA">
        <w:rPr>
          <w:rFonts w:ascii="Arial" w:hAnsi="Arial" w:cs="Arial"/>
          <w:i/>
          <w:sz w:val="20"/>
          <w:szCs w:val="20"/>
        </w:rPr>
        <w:t>Source</w:t>
      </w:r>
      <w:r w:rsidRPr="005D14CA">
        <w:rPr>
          <w:rFonts w:ascii="Arial" w:hAnsi="Arial" w:cs="Arial"/>
          <w:sz w:val="20"/>
          <w:szCs w:val="20"/>
        </w:rPr>
        <w:t>: Computation from time-series data using EViews 12</w:t>
      </w:r>
    </w:p>
    <w:p w14:paraId="1548783D" w14:textId="77777777" w:rsidR="00E66DB0" w:rsidRDefault="00E66DB0" w:rsidP="0066301C">
      <w:pPr>
        <w:autoSpaceDE w:val="0"/>
        <w:autoSpaceDN w:val="0"/>
        <w:adjustRightInd w:val="0"/>
        <w:spacing w:after="0"/>
        <w:ind w:right="237"/>
        <w:rPr>
          <w:rFonts w:ascii="Arial" w:hAnsi="Arial" w:cs="Arial"/>
          <w:b/>
          <w:color w:val="000000"/>
        </w:rPr>
      </w:pPr>
    </w:p>
    <w:p w14:paraId="33A7D1E7" w14:textId="77777777" w:rsidR="001B21D5" w:rsidRDefault="001B21D5" w:rsidP="0066301C">
      <w:pPr>
        <w:autoSpaceDE w:val="0"/>
        <w:autoSpaceDN w:val="0"/>
        <w:adjustRightInd w:val="0"/>
        <w:spacing w:after="0"/>
        <w:ind w:right="237"/>
        <w:rPr>
          <w:rFonts w:ascii="Arial" w:hAnsi="Arial" w:cs="Arial"/>
          <w:b/>
          <w:color w:val="000000"/>
        </w:rPr>
      </w:pPr>
    </w:p>
    <w:p w14:paraId="72620502" w14:textId="47818E25" w:rsidR="00E66DB0" w:rsidRDefault="00E66DB0" w:rsidP="0066301C">
      <w:pPr>
        <w:autoSpaceDE w:val="0"/>
        <w:autoSpaceDN w:val="0"/>
        <w:adjustRightInd w:val="0"/>
        <w:spacing w:after="0"/>
        <w:ind w:right="237"/>
        <w:rPr>
          <w:rFonts w:ascii="Arial" w:hAnsi="Arial" w:cs="Arial"/>
          <w:b/>
          <w:color w:val="000000"/>
        </w:rPr>
      </w:pPr>
      <w:r w:rsidRPr="00584267">
        <w:rPr>
          <w:rFonts w:ascii="Arial" w:hAnsi="Arial" w:cs="Arial"/>
          <w:b/>
          <w:color w:val="000000"/>
        </w:rPr>
        <w:t>Figures 4.4: Gabon and</w:t>
      </w:r>
      <w:r w:rsidRPr="00111AE6">
        <w:rPr>
          <w:rFonts w:ascii="Arial" w:hAnsi="Arial" w:cs="Arial"/>
          <w:b/>
          <w:color w:val="000000"/>
        </w:rPr>
        <w:t xml:space="preserve"> Trade Partners </w:t>
      </w:r>
      <w:r>
        <w:rPr>
          <w:rFonts w:ascii="Arial" w:hAnsi="Arial" w:cs="Arial"/>
          <w:b/>
          <w:color w:val="000000"/>
        </w:rPr>
        <w:t>IRF</w:t>
      </w:r>
    </w:p>
    <w:p w14:paraId="1BA8C5F5" w14:textId="77777777" w:rsidR="006460D7" w:rsidRDefault="006460D7" w:rsidP="0066301C">
      <w:pPr>
        <w:pStyle w:val="NoSpacing"/>
        <w:rPr>
          <w:rFonts w:ascii="Arial" w:hAnsi="Arial" w:cs="Arial"/>
          <w:b/>
          <w:sz w:val="20"/>
          <w:szCs w:val="20"/>
        </w:rPr>
      </w:pPr>
    </w:p>
    <w:p w14:paraId="4E4D7825" w14:textId="6B2F9660" w:rsidR="00E66DB0" w:rsidRPr="00EE2EF5" w:rsidRDefault="00E66DB0" w:rsidP="0066301C">
      <w:pPr>
        <w:pStyle w:val="NoSpacing"/>
        <w:rPr>
          <w:rFonts w:ascii="Arial" w:hAnsi="Arial" w:cs="Arial"/>
          <w:b/>
          <w:sz w:val="20"/>
          <w:szCs w:val="20"/>
        </w:rPr>
      </w:pPr>
      <w:r w:rsidRPr="000B5F46">
        <w:rPr>
          <w:rFonts w:ascii="Arial" w:hAnsi="Arial" w:cs="Arial"/>
          <w:b/>
          <w:sz w:val="20"/>
          <w:szCs w:val="20"/>
        </w:rPr>
        <w:t>Figure 4.4a: Impulse</w:t>
      </w:r>
      <w:r w:rsidRPr="00EE2EF5">
        <w:rPr>
          <w:rFonts w:ascii="Arial" w:hAnsi="Arial" w:cs="Arial"/>
          <w:b/>
          <w:sz w:val="20"/>
          <w:szCs w:val="20"/>
        </w:rPr>
        <w:t xml:space="preserve"> Response Function and Table (</w:t>
      </w:r>
      <w:r>
        <w:rPr>
          <w:rFonts w:ascii="Arial" w:hAnsi="Arial" w:cs="Arial"/>
          <w:b/>
          <w:sz w:val="20"/>
          <w:szCs w:val="20"/>
        </w:rPr>
        <w:t>Gabon</w:t>
      </w:r>
      <w:r w:rsidRPr="00EE2EF5">
        <w:rPr>
          <w:rFonts w:ascii="Arial" w:hAnsi="Arial" w:cs="Arial"/>
          <w:b/>
          <w:sz w:val="20"/>
          <w:szCs w:val="20"/>
        </w:rPr>
        <w:t xml:space="preserve"> - C</w:t>
      </w:r>
      <w:r>
        <w:rPr>
          <w:rFonts w:ascii="Arial" w:hAnsi="Arial" w:cs="Arial"/>
          <w:b/>
          <w:sz w:val="20"/>
          <w:szCs w:val="20"/>
        </w:rPr>
        <w:t>hina</w:t>
      </w:r>
      <w:r w:rsidRPr="00EE2EF5">
        <w:rPr>
          <w:rFonts w:ascii="Arial" w:hAnsi="Arial" w:cs="Arial"/>
          <w:b/>
          <w:sz w:val="20"/>
          <w:szCs w:val="20"/>
        </w:rPr>
        <w:t>)</w:t>
      </w:r>
    </w:p>
    <w:p w14:paraId="0D06F4D1" w14:textId="77777777" w:rsidR="00E66DB0" w:rsidRPr="0063382D" w:rsidRDefault="00E66DB0" w:rsidP="00A77B93">
      <w:pPr>
        <w:pBdr>
          <w:top w:val="single" w:sz="4" w:space="1" w:color="auto"/>
          <w:left w:val="single" w:sz="4" w:space="4" w:color="auto"/>
          <w:bottom w:val="single" w:sz="4" w:space="1" w:color="auto"/>
          <w:right w:val="single" w:sz="4" w:space="4" w:color="auto"/>
        </w:pBdr>
        <w:spacing w:after="0"/>
      </w:pPr>
      <w:r>
        <w:rPr>
          <w:noProof/>
        </w:rPr>
        <w:drawing>
          <wp:inline distT="0" distB="0" distL="0" distR="0" wp14:anchorId="60D2C5E0" wp14:editId="10FE0F79">
            <wp:extent cx="3924300" cy="2543175"/>
            <wp:effectExtent l="0" t="0" r="0" b="0"/>
            <wp:docPr id="1247506381" name="Picture 124750638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
                    <pic:cNvPicPr>
                      <a:picLocks noChangeAspect="1" noChangeArrowheads="1"/>
                    </pic:cNvPicPr>
                  </pic:nvPicPr>
                  <pic:blipFill>
                    <a:blip r:embed="rId62">
                      <a:extLst>
                        <a:ext uri="{28A0092B-C50C-407E-A947-70E740481C1C}">
                          <a14:useLocalDpi xmlns:a14="http://schemas.microsoft.com/office/drawing/2010/main" val="0"/>
                        </a:ext>
                      </a:extLst>
                    </a:blip>
                    <a:srcRect/>
                    <a:stretch>
                      <a:fillRect/>
                    </a:stretch>
                  </pic:blipFill>
                  <pic:spPr bwMode="auto">
                    <a:xfrm>
                      <a:off x="0" y="0"/>
                      <a:ext cx="3924300" cy="2543175"/>
                    </a:xfrm>
                    <a:prstGeom prst="rect">
                      <a:avLst/>
                    </a:prstGeom>
                    <a:noFill/>
                    <a:ln>
                      <a:noFill/>
                    </a:ln>
                  </pic:spPr>
                </pic:pic>
              </a:graphicData>
            </a:graphic>
          </wp:inline>
        </w:drawing>
      </w:r>
      <w:r>
        <w:t xml:space="preserve">   </w:t>
      </w:r>
      <w:r>
        <w:rPr>
          <w:noProof/>
        </w:rPr>
        <w:drawing>
          <wp:inline distT="0" distB="0" distL="0" distR="0" wp14:anchorId="7DA45A6A" wp14:editId="252D7CF6">
            <wp:extent cx="1409700" cy="2619375"/>
            <wp:effectExtent l="0" t="0" r="0" b="9525"/>
            <wp:docPr id="1247506380" name="Picture 124750638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
                    <pic:cNvPicPr>
                      <a:picLocks noChangeAspect="1" noChangeArrowheads="1"/>
                    </pic:cNvPicPr>
                  </pic:nvPicPr>
                  <pic:blipFill>
                    <a:blip r:embed="rId63">
                      <a:extLst>
                        <a:ext uri="{28A0092B-C50C-407E-A947-70E740481C1C}">
                          <a14:useLocalDpi xmlns:a14="http://schemas.microsoft.com/office/drawing/2010/main" val="0"/>
                        </a:ext>
                      </a:extLst>
                    </a:blip>
                    <a:srcRect/>
                    <a:stretch>
                      <a:fillRect/>
                    </a:stretch>
                  </pic:blipFill>
                  <pic:spPr bwMode="auto">
                    <a:xfrm>
                      <a:off x="0" y="0"/>
                      <a:ext cx="1409700" cy="2619375"/>
                    </a:xfrm>
                    <a:prstGeom prst="rect">
                      <a:avLst/>
                    </a:prstGeom>
                    <a:noFill/>
                    <a:ln>
                      <a:noFill/>
                    </a:ln>
                  </pic:spPr>
                </pic:pic>
              </a:graphicData>
            </a:graphic>
          </wp:inline>
        </w:drawing>
      </w:r>
    </w:p>
    <w:p w14:paraId="0A5B5AF5" w14:textId="77777777" w:rsidR="00A77B93" w:rsidRPr="005D14CA" w:rsidRDefault="00A77B93" w:rsidP="00A77B93">
      <w:pPr>
        <w:pStyle w:val="ListParagraph"/>
        <w:autoSpaceDE w:val="0"/>
        <w:autoSpaceDN w:val="0"/>
        <w:adjustRightInd w:val="0"/>
        <w:spacing w:after="0" w:line="240" w:lineRule="auto"/>
        <w:ind w:left="0"/>
        <w:rPr>
          <w:rFonts w:ascii="Arial" w:hAnsi="Arial" w:cs="Arial"/>
          <w:b/>
          <w:sz w:val="20"/>
          <w:szCs w:val="20"/>
        </w:rPr>
      </w:pPr>
      <w:r w:rsidRPr="005D14CA">
        <w:rPr>
          <w:rFonts w:ascii="Arial" w:hAnsi="Arial" w:cs="Arial"/>
          <w:i/>
          <w:sz w:val="20"/>
          <w:szCs w:val="20"/>
        </w:rPr>
        <w:t>Source</w:t>
      </w:r>
      <w:r w:rsidRPr="005D14CA">
        <w:rPr>
          <w:rFonts w:ascii="Arial" w:hAnsi="Arial" w:cs="Arial"/>
          <w:sz w:val="20"/>
          <w:szCs w:val="20"/>
        </w:rPr>
        <w:t>: Computation from time-series data using EViews 12</w:t>
      </w:r>
    </w:p>
    <w:p w14:paraId="3408137D" w14:textId="77777777" w:rsidR="000D074A" w:rsidRDefault="000D074A" w:rsidP="0066301C">
      <w:pPr>
        <w:pStyle w:val="NoSpacing"/>
        <w:rPr>
          <w:rFonts w:ascii="Arial" w:hAnsi="Arial" w:cs="Arial"/>
          <w:b/>
          <w:sz w:val="20"/>
          <w:szCs w:val="20"/>
        </w:rPr>
      </w:pPr>
    </w:p>
    <w:p w14:paraId="6A479677" w14:textId="77777777" w:rsidR="001B21D5" w:rsidRDefault="001B21D5" w:rsidP="0066301C">
      <w:pPr>
        <w:pStyle w:val="NoSpacing"/>
        <w:rPr>
          <w:rFonts w:ascii="Arial" w:hAnsi="Arial" w:cs="Arial"/>
          <w:b/>
          <w:sz w:val="20"/>
          <w:szCs w:val="20"/>
        </w:rPr>
      </w:pPr>
    </w:p>
    <w:p w14:paraId="6104FC84" w14:textId="77777777" w:rsidR="005E7D18" w:rsidRDefault="005E7D18" w:rsidP="0066301C">
      <w:pPr>
        <w:pStyle w:val="NoSpacing"/>
        <w:rPr>
          <w:rFonts w:ascii="Arial" w:hAnsi="Arial" w:cs="Arial"/>
          <w:b/>
          <w:sz w:val="20"/>
          <w:szCs w:val="20"/>
        </w:rPr>
      </w:pPr>
    </w:p>
    <w:p w14:paraId="2D714FF4" w14:textId="77777777" w:rsidR="005E7D18" w:rsidRDefault="005E7D18" w:rsidP="0066301C">
      <w:pPr>
        <w:pStyle w:val="NoSpacing"/>
        <w:rPr>
          <w:rFonts w:ascii="Arial" w:hAnsi="Arial" w:cs="Arial"/>
          <w:b/>
          <w:sz w:val="20"/>
          <w:szCs w:val="20"/>
        </w:rPr>
      </w:pPr>
    </w:p>
    <w:p w14:paraId="15E562B5" w14:textId="77777777" w:rsidR="005E7D18" w:rsidRDefault="005E7D18" w:rsidP="0066301C">
      <w:pPr>
        <w:pStyle w:val="NoSpacing"/>
        <w:rPr>
          <w:rFonts w:ascii="Arial" w:hAnsi="Arial" w:cs="Arial"/>
          <w:b/>
          <w:sz w:val="20"/>
          <w:szCs w:val="20"/>
        </w:rPr>
      </w:pPr>
    </w:p>
    <w:p w14:paraId="0A983F01" w14:textId="77777777" w:rsidR="005E7D18" w:rsidRDefault="005E7D18" w:rsidP="0066301C">
      <w:pPr>
        <w:pStyle w:val="NoSpacing"/>
        <w:rPr>
          <w:rFonts w:ascii="Arial" w:hAnsi="Arial" w:cs="Arial"/>
          <w:b/>
          <w:sz w:val="20"/>
          <w:szCs w:val="20"/>
        </w:rPr>
      </w:pPr>
    </w:p>
    <w:p w14:paraId="1275FA9F" w14:textId="77777777" w:rsidR="005E7D18" w:rsidRDefault="005E7D18" w:rsidP="0066301C">
      <w:pPr>
        <w:pStyle w:val="NoSpacing"/>
        <w:rPr>
          <w:rFonts w:ascii="Arial" w:hAnsi="Arial" w:cs="Arial"/>
          <w:b/>
          <w:sz w:val="20"/>
          <w:szCs w:val="20"/>
        </w:rPr>
      </w:pPr>
    </w:p>
    <w:p w14:paraId="0410AE62" w14:textId="77777777" w:rsidR="005E7D18" w:rsidRDefault="005E7D18" w:rsidP="0066301C">
      <w:pPr>
        <w:pStyle w:val="NoSpacing"/>
        <w:rPr>
          <w:rFonts w:ascii="Arial" w:hAnsi="Arial" w:cs="Arial"/>
          <w:b/>
          <w:sz w:val="20"/>
          <w:szCs w:val="20"/>
        </w:rPr>
      </w:pPr>
    </w:p>
    <w:p w14:paraId="5A4E8E66" w14:textId="77777777" w:rsidR="005E7D18" w:rsidRDefault="005E7D18" w:rsidP="0066301C">
      <w:pPr>
        <w:pStyle w:val="NoSpacing"/>
        <w:rPr>
          <w:rFonts w:ascii="Arial" w:hAnsi="Arial" w:cs="Arial"/>
          <w:b/>
          <w:sz w:val="20"/>
          <w:szCs w:val="20"/>
        </w:rPr>
      </w:pPr>
    </w:p>
    <w:p w14:paraId="7C7ADDE4" w14:textId="77777777" w:rsidR="005E7D18" w:rsidRDefault="005E7D18" w:rsidP="0066301C">
      <w:pPr>
        <w:pStyle w:val="NoSpacing"/>
        <w:rPr>
          <w:rFonts w:ascii="Arial" w:hAnsi="Arial" w:cs="Arial"/>
          <w:b/>
          <w:sz w:val="20"/>
          <w:szCs w:val="20"/>
        </w:rPr>
      </w:pPr>
    </w:p>
    <w:p w14:paraId="4FC5ED91" w14:textId="77777777" w:rsidR="005E7D18" w:rsidRDefault="005E7D18" w:rsidP="0066301C">
      <w:pPr>
        <w:pStyle w:val="NoSpacing"/>
        <w:rPr>
          <w:rFonts w:ascii="Arial" w:hAnsi="Arial" w:cs="Arial"/>
          <w:b/>
          <w:sz w:val="20"/>
          <w:szCs w:val="20"/>
        </w:rPr>
      </w:pPr>
    </w:p>
    <w:p w14:paraId="11E08F58" w14:textId="77777777" w:rsidR="005E7D18" w:rsidRDefault="005E7D18" w:rsidP="0066301C">
      <w:pPr>
        <w:pStyle w:val="NoSpacing"/>
        <w:rPr>
          <w:rFonts w:ascii="Arial" w:hAnsi="Arial" w:cs="Arial"/>
          <w:b/>
          <w:sz w:val="20"/>
          <w:szCs w:val="20"/>
        </w:rPr>
      </w:pPr>
    </w:p>
    <w:p w14:paraId="51598B38" w14:textId="77777777" w:rsidR="005E7D18" w:rsidRDefault="005E7D18" w:rsidP="0066301C">
      <w:pPr>
        <w:pStyle w:val="NoSpacing"/>
        <w:rPr>
          <w:rFonts w:ascii="Arial" w:hAnsi="Arial" w:cs="Arial"/>
          <w:b/>
          <w:sz w:val="20"/>
          <w:szCs w:val="20"/>
        </w:rPr>
      </w:pPr>
    </w:p>
    <w:p w14:paraId="5EEAB371" w14:textId="6EE7E56D" w:rsidR="00E66DB0" w:rsidRPr="00EE2EF5" w:rsidRDefault="00E66DB0" w:rsidP="0066301C">
      <w:pPr>
        <w:pStyle w:val="NoSpacing"/>
        <w:rPr>
          <w:rFonts w:ascii="Arial" w:hAnsi="Arial" w:cs="Arial"/>
          <w:b/>
          <w:sz w:val="20"/>
          <w:szCs w:val="20"/>
        </w:rPr>
      </w:pPr>
      <w:r w:rsidRPr="00F1386A">
        <w:rPr>
          <w:rFonts w:ascii="Arial" w:hAnsi="Arial" w:cs="Arial"/>
          <w:b/>
          <w:sz w:val="20"/>
          <w:szCs w:val="20"/>
        </w:rPr>
        <w:t>Figure 4.4b: Impulse</w:t>
      </w:r>
      <w:r w:rsidRPr="00EE2EF5">
        <w:rPr>
          <w:rFonts w:ascii="Arial" w:hAnsi="Arial" w:cs="Arial"/>
          <w:b/>
          <w:sz w:val="20"/>
          <w:szCs w:val="20"/>
        </w:rPr>
        <w:t xml:space="preserve"> Response Function and Table (</w:t>
      </w:r>
      <w:r>
        <w:rPr>
          <w:rFonts w:ascii="Arial" w:hAnsi="Arial" w:cs="Arial"/>
          <w:b/>
          <w:sz w:val="20"/>
          <w:szCs w:val="20"/>
        </w:rPr>
        <w:t>Gabon</w:t>
      </w:r>
      <w:r w:rsidRPr="00EE2EF5">
        <w:rPr>
          <w:rFonts w:ascii="Arial" w:hAnsi="Arial" w:cs="Arial"/>
          <w:b/>
          <w:sz w:val="20"/>
          <w:szCs w:val="20"/>
        </w:rPr>
        <w:t xml:space="preserve"> - </w:t>
      </w:r>
      <w:r>
        <w:rPr>
          <w:rFonts w:ascii="Arial" w:hAnsi="Arial" w:cs="Arial"/>
          <w:b/>
          <w:sz w:val="20"/>
          <w:szCs w:val="20"/>
        </w:rPr>
        <w:t>USA</w:t>
      </w:r>
      <w:r w:rsidRPr="00EE2EF5">
        <w:rPr>
          <w:rFonts w:ascii="Arial" w:hAnsi="Arial" w:cs="Arial"/>
          <w:b/>
          <w:sz w:val="20"/>
          <w:szCs w:val="20"/>
        </w:rPr>
        <w:t>)</w:t>
      </w:r>
    </w:p>
    <w:p w14:paraId="6CF2D4C2" w14:textId="77777777" w:rsidR="00E66DB0" w:rsidRDefault="00E66DB0" w:rsidP="00A77B93">
      <w:pPr>
        <w:pBdr>
          <w:top w:val="single" w:sz="4" w:space="1" w:color="auto"/>
          <w:left w:val="single" w:sz="4" w:space="4" w:color="auto"/>
          <w:bottom w:val="single" w:sz="4" w:space="1" w:color="auto"/>
          <w:right w:val="single" w:sz="4" w:space="4" w:color="auto"/>
        </w:pBdr>
        <w:spacing w:after="0"/>
        <w:rPr>
          <w:noProof/>
        </w:rPr>
      </w:pPr>
      <w:r>
        <w:rPr>
          <w:noProof/>
        </w:rPr>
        <w:drawing>
          <wp:inline distT="0" distB="0" distL="0" distR="0" wp14:anchorId="5D1FA4EF" wp14:editId="22074E2D">
            <wp:extent cx="3952875" cy="2457450"/>
            <wp:effectExtent l="0" t="0" r="0" b="0"/>
            <wp:docPr id="1247506379" name="Picture 124750637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
                    <pic:cNvPicPr>
                      <a:picLocks noChangeAspect="1" noChangeArrowheads="1"/>
                    </pic:cNvPicPr>
                  </pic:nvPicPr>
                  <pic:blipFill>
                    <a:blip r:embed="rId64">
                      <a:extLst>
                        <a:ext uri="{28A0092B-C50C-407E-A947-70E740481C1C}">
                          <a14:useLocalDpi xmlns:a14="http://schemas.microsoft.com/office/drawing/2010/main" val="0"/>
                        </a:ext>
                      </a:extLst>
                    </a:blip>
                    <a:srcRect/>
                    <a:stretch>
                      <a:fillRect/>
                    </a:stretch>
                  </pic:blipFill>
                  <pic:spPr bwMode="auto">
                    <a:xfrm>
                      <a:off x="0" y="0"/>
                      <a:ext cx="3952875" cy="2457450"/>
                    </a:xfrm>
                    <a:prstGeom prst="rect">
                      <a:avLst/>
                    </a:prstGeom>
                    <a:noFill/>
                    <a:ln>
                      <a:noFill/>
                    </a:ln>
                  </pic:spPr>
                </pic:pic>
              </a:graphicData>
            </a:graphic>
          </wp:inline>
        </w:drawing>
      </w:r>
      <w:r>
        <w:t xml:space="preserve">     </w:t>
      </w:r>
      <w:r>
        <w:rPr>
          <w:noProof/>
        </w:rPr>
        <w:drawing>
          <wp:inline distT="0" distB="0" distL="0" distR="0" wp14:anchorId="0D4ED6AA" wp14:editId="248DE1B8">
            <wp:extent cx="1219200" cy="2505075"/>
            <wp:effectExtent l="0" t="0" r="0" b="9525"/>
            <wp:docPr id="1247506378" name="Picture 124750637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6"/>
                    <pic:cNvPicPr>
                      <a:picLocks noChangeAspect="1" noChangeArrowheads="1"/>
                    </pic:cNvPicPr>
                  </pic:nvPicPr>
                  <pic:blipFill>
                    <a:blip r:embed="rId65">
                      <a:extLst>
                        <a:ext uri="{28A0092B-C50C-407E-A947-70E740481C1C}">
                          <a14:useLocalDpi xmlns:a14="http://schemas.microsoft.com/office/drawing/2010/main" val="0"/>
                        </a:ext>
                      </a:extLst>
                    </a:blip>
                    <a:srcRect/>
                    <a:stretch>
                      <a:fillRect/>
                    </a:stretch>
                  </pic:blipFill>
                  <pic:spPr bwMode="auto">
                    <a:xfrm>
                      <a:off x="0" y="0"/>
                      <a:ext cx="1219200" cy="2505075"/>
                    </a:xfrm>
                    <a:prstGeom prst="rect">
                      <a:avLst/>
                    </a:prstGeom>
                    <a:noFill/>
                    <a:ln>
                      <a:noFill/>
                    </a:ln>
                  </pic:spPr>
                </pic:pic>
              </a:graphicData>
            </a:graphic>
          </wp:inline>
        </w:drawing>
      </w:r>
    </w:p>
    <w:bookmarkEnd w:id="451"/>
    <w:p w14:paraId="6833356B" w14:textId="77777777" w:rsidR="00A77B93" w:rsidRPr="005D14CA" w:rsidRDefault="00A77B93" w:rsidP="00A77B93">
      <w:pPr>
        <w:pStyle w:val="ListParagraph"/>
        <w:autoSpaceDE w:val="0"/>
        <w:autoSpaceDN w:val="0"/>
        <w:adjustRightInd w:val="0"/>
        <w:spacing w:after="0" w:line="240" w:lineRule="auto"/>
        <w:ind w:left="0"/>
        <w:rPr>
          <w:rFonts w:ascii="Arial" w:hAnsi="Arial" w:cs="Arial"/>
          <w:b/>
          <w:sz w:val="20"/>
          <w:szCs w:val="20"/>
        </w:rPr>
      </w:pPr>
      <w:r w:rsidRPr="005D14CA">
        <w:rPr>
          <w:rFonts w:ascii="Arial" w:hAnsi="Arial" w:cs="Arial"/>
          <w:i/>
          <w:sz w:val="20"/>
          <w:szCs w:val="20"/>
        </w:rPr>
        <w:t>Source</w:t>
      </w:r>
      <w:r w:rsidRPr="005D14CA">
        <w:rPr>
          <w:rFonts w:ascii="Arial" w:hAnsi="Arial" w:cs="Arial"/>
          <w:sz w:val="20"/>
          <w:szCs w:val="20"/>
        </w:rPr>
        <w:t>: Computation from time-series data using EViews 12</w:t>
      </w:r>
    </w:p>
    <w:p w14:paraId="5A62335E" w14:textId="04598E85" w:rsidR="008A12C0" w:rsidRDefault="008A12C0" w:rsidP="0066301C">
      <w:pPr>
        <w:autoSpaceDE w:val="0"/>
        <w:autoSpaceDN w:val="0"/>
        <w:adjustRightInd w:val="0"/>
        <w:spacing w:after="0"/>
        <w:rPr>
          <w:rFonts w:cs="Times New Roman"/>
          <w:b/>
          <w:sz w:val="20"/>
          <w:szCs w:val="20"/>
        </w:rPr>
      </w:pPr>
    </w:p>
    <w:p w14:paraId="47848EBB" w14:textId="4AC13E80" w:rsidR="001839CB" w:rsidRPr="00137111" w:rsidRDefault="00F91DB7" w:rsidP="0066301C">
      <w:pPr>
        <w:spacing w:line="360" w:lineRule="auto"/>
        <w:jc w:val="both"/>
        <w:rPr>
          <w:rFonts w:ascii="Arial" w:hAnsi="Arial" w:cs="Arial"/>
          <w:lang w:val="en-US"/>
        </w:rPr>
      </w:pPr>
      <w:r w:rsidRPr="00137111">
        <w:rPr>
          <w:rFonts w:ascii="Arial" w:hAnsi="Arial" w:cs="Arial"/>
          <w:lang w:val="en-US"/>
        </w:rPr>
        <w:t xml:space="preserve">The IRF results also show that there is the presence of the </w:t>
      </w:r>
      <w:r w:rsidRPr="00137111">
        <w:rPr>
          <w:rFonts w:ascii="Arial" w:hAnsi="Arial" w:cs="Arial"/>
          <w:i/>
          <w:lang w:val="en-US"/>
        </w:rPr>
        <w:t>J-</w:t>
      </w:r>
      <w:r w:rsidRPr="00137111">
        <w:rPr>
          <w:rFonts w:ascii="Arial" w:hAnsi="Arial" w:cs="Arial"/>
          <w:lang w:val="en-US"/>
        </w:rPr>
        <w:t xml:space="preserve">curve in the TB relationship between Cameroon </w:t>
      </w:r>
      <w:r w:rsidR="00EC084A" w:rsidRPr="00137111">
        <w:rPr>
          <w:rFonts w:ascii="Arial" w:hAnsi="Arial" w:cs="Arial"/>
          <w:lang w:val="en-US"/>
        </w:rPr>
        <w:t>and</w:t>
      </w:r>
      <w:r w:rsidRPr="00137111">
        <w:rPr>
          <w:rFonts w:ascii="Arial" w:hAnsi="Arial" w:cs="Arial"/>
          <w:lang w:val="en-US"/>
        </w:rPr>
        <w:t xml:space="preserve"> </w:t>
      </w:r>
      <w:r w:rsidR="00A10E8D" w:rsidRPr="00137111">
        <w:rPr>
          <w:rFonts w:ascii="Arial" w:hAnsi="Arial" w:cs="Arial"/>
          <w:lang w:val="en-US"/>
        </w:rPr>
        <w:t>all its five main trade partners</w:t>
      </w:r>
      <w:r w:rsidRPr="00137111">
        <w:rPr>
          <w:rFonts w:ascii="Arial" w:hAnsi="Arial" w:cs="Arial"/>
          <w:lang w:val="en-US"/>
        </w:rPr>
        <w:t xml:space="preserve"> (i.e., LNREER got negative before </w:t>
      </w:r>
      <w:r w:rsidRPr="00137111">
        <w:rPr>
          <w:rFonts w:ascii="Arial" w:hAnsi="Arial" w:cs="Arial"/>
          <w:lang w:val="en-US"/>
        </w:rPr>
        <w:lastRenderedPageBreak/>
        <w:t>getting positive). The curve moves from value (0) in period 1 to negative value (-</w:t>
      </w:r>
      <w:r w:rsidR="00B9015E" w:rsidRPr="00137111">
        <w:rPr>
          <w:rFonts w:ascii="Arial" w:hAnsi="Arial" w:cs="Arial"/>
          <w:lang w:val="en-US"/>
        </w:rPr>
        <w:t>0</w:t>
      </w:r>
      <w:r w:rsidRPr="00137111">
        <w:rPr>
          <w:rFonts w:ascii="Arial" w:hAnsi="Arial" w:cs="Arial"/>
          <w:lang w:val="en-US"/>
        </w:rPr>
        <w:t>.</w:t>
      </w:r>
      <w:r w:rsidR="00B9015E" w:rsidRPr="00137111">
        <w:rPr>
          <w:rFonts w:ascii="Arial" w:hAnsi="Arial" w:cs="Arial"/>
          <w:lang w:val="en-US"/>
        </w:rPr>
        <w:t>01</w:t>
      </w:r>
      <w:r w:rsidR="001839CB" w:rsidRPr="00137111">
        <w:rPr>
          <w:rFonts w:ascii="Arial" w:hAnsi="Arial" w:cs="Arial"/>
          <w:lang w:val="en-US"/>
        </w:rPr>
        <w:t>8</w:t>
      </w:r>
      <w:r w:rsidR="00B9015E" w:rsidRPr="00137111">
        <w:rPr>
          <w:rFonts w:ascii="Arial" w:hAnsi="Arial" w:cs="Arial"/>
          <w:lang w:val="en-US"/>
        </w:rPr>
        <w:t>),</w:t>
      </w:r>
      <w:r w:rsidRPr="00137111">
        <w:rPr>
          <w:rFonts w:ascii="Arial" w:hAnsi="Arial" w:cs="Arial"/>
          <w:lang w:val="en-US"/>
        </w:rPr>
        <w:t xml:space="preserve"> (-0.</w:t>
      </w:r>
      <w:r w:rsidR="00B9015E" w:rsidRPr="00137111">
        <w:rPr>
          <w:rFonts w:ascii="Arial" w:hAnsi="Arial" w:cs="Arial"/>
          <w:lang w:val="en-US"/>
        </w:rPr>
        <w:t>015</w:t>
      </w:r>
      <w:r w:rsidRPr="00137111">
        <w:rPr>
          <w:rFonts w:ascii="Arial" w:hAnsi="Arial" w:cs="Arial"/>
          <w:lang w:val="en-US"/>
        </w:rPr>
        <w:t xml:space="preserve">), </w:t>
      </w:r>
      <w:r w:rsidR="00B9015E" w:rsidRPr="00137111">
        <w:rPr>
          <w:rFonts w:ascii="Arial" w:hAnsi="Arial" w:cs="Arial"/>
          <w:lang w:val="en-US"/>
        </w:rPr>
        <w:t xml:space="preserve">(-0.017), (-0.017), </w:t>
      </w:r>
      <w:r w:rsidRPr="00137111">
        <w:rPr>
          <w:rFonts w:ascii="Arial" w:hAnsi="Arial" w:cs="Arial"/>
          <w:lang w:val="en-US"/>
        </w:rPr>
        <w:t>and (-0.</w:t>
      </w:r>
      <w:r w:rsidR="00B9015E" w:rsidRPr="00137111">
        <w:rPr>
          <w:rFonts w:ascii="Arial" w:hAnsi="Arial" w:cs="Arial"/>
          <w:lang w:val="en-US"/>
        </w:rPr>
        <w:t>016</w:t>
      </w:r>
      <w:r w:rsidRPr="00137111">
        <w:rPr>
          <w:rFonts w:ascii="Arial" w:hAnsi="Arial" w:cs="Arial"/>
          <w:lang w:val="en-US"/>
        </w:rPr>
        <w:t xml:space="preserve">) for China, France, </w:t>
      </w:r>
      <w:r w:rsidR="00B9015E" w:rsidRPr="00137111">
        <w:rPr>
          <w:rFonts w:ascii="Arial" w:hAnsi="Arial" w:cs="Arial"/>
          <w:lang w:val="en-US"/>
        </w:rPr>
        <w:t>India, Netherlands, and Spain</w:t>
      </w:r>
      <w:r w:rsidRPr="00137111">
        <w:rPr>
          <w:rFonts w:ascii="Arial" w:hAnsi="Arial" w:cs="Arial"/>
          <w:lang w:val="en-US"/>
        </w:rPr>
        <w:t xml:space="preserve"> respectively.  This means that after the devaluation, the TB with France was least affected, second by </w:t>
      </w:r>
      <w:r w:rsidR="001839CB" w:rsidRPr="00137111">
        <w:rPr>
          <w:rFonts w:ascii="Arial" w:hAnsi="Arial" w:cs="Arial"/>
          <w:lang w:val="en-US"/>
        </w:rPr>
        <w:t xml:space="preserve">Spain, third by India and </w:t>
      </w:r>
      <w:r w:rsidRPr="00137111">
        <w:rPr>
          <w:rFonts w:ascii="Arial" w:hAnsi="Arial" w:cs="Arial"/>
          <w:lang w:val="en-US"/>
        </w:rPr>
        <w:t>Netherlands, and last by China, as seen by the values representing the extent of the drop in the TB one period after the devaluation. After the negative TB effect at period 2, the TB gets positive</w:t>
      </w:r>
      <w:r w:rsidR="00F10037" w:rsidRPr="00137111">
        <w:rPr>
          <w:rFonts w:ascii="Arial" w:hAnsi="Arial" w:cs="Arial"/>
          <w:lang w:val="en-US"/>
        </w:rPr>
        <w:t>,</w:t>
      </w:r>
      <w:r w:rsidRPr="00137111">
        <w:rPr>
          <w:rFonts w:ascii="Arial" w:hAnsi="Arial" w:cs="Arial"/>
          <w:lang w:val="en-US"/>
        </w:rPr>
        <w:t xml:space="preserve"> confirming the presence of the </w:t>
      </w:r>
      <w:r w:rsidRPr="00137111">
        <w:rPr>
          <w:rFonts w:ascii="Arial" w:hAnsi="Arial" w:cs="Arial"/>
          <w:i/>
          <w:lang w:val="en-US"/>
        </w:rPr>
        <w:t>J-</w:t>
      </w:r>
      <w:r w:rsidRPr="00137111">
        <w:rPr>
          <w:rFonts w:ascii="Arial" w:hAnsi="Arial" w:cs="Arial"/>
          <w:lang w:val="en-US"/>
        </w:rPr>
        <w:t xml:space="preserve">curve. The IRF graph and table show that the TB of </w:t>
      </w:r>
      <w:r w:rsidR="004658F4" w:rsidRPr="00137111">
        <w:rPr>
          <w:rFonts w:ascii="Arial" w:hAnsi="Arial" w:cs="Arial"/>
          <w:lang w:val="en-US"/>
        </w:rPr>
        <w:t xml:space="preserve">France and </w:t>
      </w:r>
      <w:r w:rsidRPr="00137111">
        <w:rPr>
          <w:rFonts w:ascii="Arial" w:hAnsi="Arial" w:cs="Arial"/>
          <w:lang w:val="en-US"/>
        </w:rPr>
        <w:t>Netherlands recovered the fastest by (</w:t>
      </w:r>
      <w:r w:rsidR="004658F4" w:rsidRPr="00137111">
        <w:rPr>
          <w:rFonts w:ascii="Arial" w:hAnsi="Arial" w:cs="Arial"/>
          <w:lang w:val="en-US"/>
        </w:rPr>
        <w:t>0.0</w:t>
      </w:r>
      <w:r w:rsidRPr="00137111">
        <w:rPr>
          <w:rFonts w:ascii="Arial" w:hAnsi="Arial" w:cs="Arial"/>
          <w:lang w:val="en-US"/>
        </w:rPr>
        <w:t>16</w:t>
      </w:r>
      <w:r w:rsidR="004658F4" w:rsidRPr="00137111">
        <w:rPr>
          <w:rFonts w:ascii="Arial" w:hAnsi="Arial" w:cs="Arial"/>
          <w:lang w:val="en-US"/>
        </w:rPr>
        <w:t>)</w:t>
      </w:r>
      <w:r w:rsidRPr="00137111">
        <w:rPr>
          <w:rFonts w:ascii="Arial" w:hAnsi="Arial" w:cs="Arial"/>
          <w:lang w:val="en-US"/>
        </w:rPr>
        <w:t xml:space="preserve">, followed by </w:t>
      </w:r>
      <w:r w:rsidR="004658F4" w:rsidRPr="00137111">
        <w:rPr>
          <w:rFonts w:ascii="Arial" w:hAnsi="Arial" w:cs="Arial"/>
          <w:lang w:val="en-US"/>
        </w:rPr>
        <w:t>Spain</w:t>
      </w:r>
      <w:r w:rsidRPr="00137111">
        <w:rPr>
          <w:rFonts w:ascii="Arial" w:hAnsi="Arial" w:cs="Arial"/>
          <w:lang w:val="en-US"/>
        </w:rPr>
        <w:t xml:space="preserve"> with (</w:t>
      </w:r>
      <w:r w:rsidR="004658F4" w:rsidRPr="00137111">
        <w:rPr>
          <w:rFonts w:ascii="Arial" w:hAnsi="Arial" w:cs="Arial"/>
          <w:lang w:val="en-US"/>
        </w:rPr>
        <w:t>0.012</w:t>
      </w:r>
      <w:r w:rsidRPr="00137111">
        <w:rPr>
          <w:rFonts w:ascii="Arial" w:hAnsi="Arial" w:cs="Arial"/>
          <w:lang w:val="en-US"/>
        </w:rPr>
        <w:t>%)</w:t>
      </w:r>
      <w:r w:rsidR="004658F4" w:rsidRPr="00137111">
        <w:rPr>
          <w:rFonts w:ascii="Arial" w:hAnsi="Arial" w:cs="Arial"/>
          <w:lang w:val="en-US"/>
        </w:rPr>
        <w:t xml:space="preserve">, India with (0.011), </w:t>
      </w:r>
      <w:r w:rsidRPr="00137111">
        <w:rPr>
          <w:rFonts w:ascii="Arial" w:hAnsi="Arial" w:cs="Arial"/>
          <w:lang w:val="en-US"/>
        </w:rPr>
        <w:t>and finally by China with (0.0</w:t>
      </w:r>
      <w:r w:rsidR="004658F4" w:rsidRPr="00137111">
        <w:rPr>
          <w:rFonts w:ascii="Arial" w:hAnsi="Arial" w:cs="Arial"/>
          <w:lang w:val="en-US"/>
        </w:rPr>
        <w:t xml:space="preserve"> 09</w:t>
      </w:r>
      <w:r w:rsidRPr="00137111">
        <w:rPr>
          <w:rFonts w:ascii="Arial" w:hAnsi="Arial" w:cs="Arial"/>
          <w:lang w:val="en-US"/>
        </w:rPr>
        <w:t>). In the long-term, the devaluation causes TB to improve</w:t>
      </w:r>
      <w:r w:rsidR="007D1947" w:rsidRPr="00137111">
        <w:rPr>
          <w:rFonts w:ascii="Arial" w:hAnsi="Arial" w:cs="Arial"/>
          <w:lang w:val="en-US"/>
        </w:rPr>
        <w:t xml:space="preserve">, showing the presence of </w:t>
      </w:r>
      <w:r w:rsidR="007D1947" w:rsidRPr="00137111">
        <w:rPr>
          <w:rFonts w:ascii="Arial" w:hAnsi="Arial" w:cs="Arial"/>
          <w:i/>
          <w:iCs/>
          <w:lang w:val="en-US"/>
        </w:rPr>
        <w:t>J-</w:t>
      </w:r>
      <w:r w:rsidR="007D1947" w:rsidRPr="00137111">
        <w:rPr>
          <w:rFonts w:ascii="Arial" w:hAnsi="Arial" w:cs="Arial"/>
          <w:lang w:val="en-US"/>
        </w:rPr>
        <w:t xml:space="preserve">curve with all the trade partners. </w:t>
      </w:r>
      <w:r w:rsidRPr="00137111">
        <w:rPr>
          <w:rFonts w:ascii="Arial" w:hAnsi="Arial" w:cs="Arial"/>
          <w:lang w:val="en-US"/>
        </w:rPr>
        <w:t>These results are in line with that of Dhasmana (2012)</w:t>
      </w:r>
      <w:r w:rsidR="00C740E2" w:rsidRPr="00137111">
        <w:rPr>
          <w:rFonts w:ascii="Arial" w:hAnsi="Arial" w:cs="Arial"/>
          <w:lang w:val="en-US"/>
        </w:rPr>
        <w:t>,</w:t>
      </w:r>
      <w:r w:rsidRPr="00137111">
        <w:rPr>
          <w:rFonts w:ascii="Arial" w:hAnsi="Arial" w:cs="Arial"/>
          <w:lang w:val="en-US"/>
        </w:rPr>
        <w:t xml:space="preserve"> who analy</w:t>
      </w:r>
      <w:r w:rsidR="00C740E2" w:rsidRPr="00137111">
        <w:rPr>
          <w:rFonts w:ascii="Arial" w:hAnsi="Arial" w:cs="Arial"/>
          <w:lang w:val="en-US"/>
        </w:rPr>
        <w:t>s</w:t>
      </w:r>
      <w:r w:rsidRPr="00137111">
        <w:rPr>
          <w:rFonts w:ascii="Arial" w:hAnsi="Arial" w:cs="Arial"/>
          <w:lang w:val="en-US"/>
        </w:rPr>
        <w:t xml:space="preserve">ed the bilateral trade of India with its </w:t>
      </w:r>
      <w:r w:rsidR="00C740E2" w:rsidRPr="00137111">
        <w:rPr>
          <w:rFonts w:ascii="Arial" w:hAnsi="Arial" w:cs="Arial"/>
          <w:lang w:val="en-US"/>
        </w:rPr>
        <w:t>15 major trade</w:t>
      </w:r>
      <w:r w:rsidRPr="00137111">
        <w:rPr>
          <w:rFonts w:ascii="Arial" w:hAnsi="Arial" w:cs="Arial"/>
          <w:lang w:val="en-US"/>
        </w:rPr>
        <w:t xml:space="preserve"> partners. He concluded that though the direction of the relationship between </w:t>
      </w:r>
      <w:r w:rsidR="15DBD82D" w:rsidRPr="00137111">
        <w:rPr>
          <w:rFonts w:ascii="Arial" w:hAnsi="Arial" w:cs="Arial"/>
          <w:lang w:val="en-US"/>
        </w:rPr>
        <w:t>the</w:t>
      </w:r>
      <w:r w:rsidRPr="00137111">
        <w:rPr>
          <w:rFonts w:ascii="Arial" w:hAnsi="Arial" w:cs="Arial"/>
          <w:lang w:val="en-US"/>
        </w:rPr>
        <w:t xml:space="preserve"> real exchange rate and trade balance might differ in the short-term, in the long-term</w:t>
      </w:r>
      <w:r w:rsidR="00DE1A80" w:rsidRPr="00137111">
        <w:rPr>
          <w:rFonts w:ascii="Arial" w:hAnsi="Arial" w:cs="Arial"/>
          <w:lang w:val="en-US"/>
        </w:rPr>
        <w:t>,</w:t>
      </w:r>
      <w:r w:rsidRPr="00137111">
        <w:rPr>
          <w:rFonts w:ascii="Arial" w:hAnsi="Arial" w:cs="Arial"/>
          <w:lang w:val="en-US"/>
        </w:rPr>
        <w:t xml:space="preserve"> devaluation </w:t>
      </w:r>
      <w:r w:rsidR="404CBB3F" w:rsidRPr="00137111">
        <w:rPr>
          <w:rFonts w:ascii="Arial" w:hAnsi="Arial" w:cs="Arial"/>
          <w:lang w:val="en-US"/>
        </w:rPr>
        <w:t>improves</w:t>
      </w:r>
      <w:r w:rsidRPr="00137111">
        <w:rPr>
          <w:rFonts w:ascii="Arial" w:hAnsi="Arial" w:cs="Arial"/>
          <w:lang w:val="en-US"/>
        </w:rPr>
        <w:t xml:space="preserve"> the trade balance. </w:t>
      </w:r>
      <w:r w:rsidRPr="00137111">
        <w:rPr>
          <w:rFonts w:ascii="Arial" w:hAnsi="Arial" w:cs="Arial"/>
        </w:rPr>
        <w:t xml:space="preserve">Šimakova (2013) investigated the impact of depreciation on the Hungary TB with its major trading partners. He applied the Johansen cointegration test, using quarterly data between the period 1997 to 2012. The outcome of the research showed the presence of the </w:t>
      </w:r>
      <w:r w:rsidRPr="00137111">
        <w:rPr>
          <w:rFonts w:ascii="Arial" w:hAnsi="Arial" w:cs="Arial"/>
          <w:i/>
        </w:rPr>
        <w:t>J-</w:t>
      </w:r>
      <w:r w:rsidRPr="00137111">
        <w:rPr>
          <w:rFonts w:ascii="Arial" w:hAnsi="Arial" w:cs="Arial"/>
        </w:rPr>
        <w:t xml:space="preserve">curve in the bilateral trade with </w:t>
      </w:r>
    </w:p>
    <w:p w14:paraId="4856FE76" w14:textId="4638622C" w:rsidR="00F91DB7" w:rsidRPr="00137111" w:rsidRDefault="00F91DB7" w:rsidP="0066301C">
      <w:pPr>
        <w:spacing w:line="360" w:lineRule="auto"/>
        <w:jc w:val="both"/>
        <w:rPr>
          <w:rFonts w:ascii="Arial" w:hAnsi="Arial" w:cs="Arial"/>
        </w:rPr>
      </w:pPr>
      <w:r w:rsidRPr="00137111">
        <w:rPr>
          <w:rFonts w:ascii="Arial" w:hAnsi="Arial" w:cs="Arial"/>
        </w:rPr>
        <w:t xml:space="preserve">The response of the TB over time looks like a tilted </w:t>
      </w:r>
      <w:r w:rsidRPr="00137111">
        <w:rPr>
          <w:rFonts w:ascii="Arial" w:hAnsi="Arial" w:cs="Arial"/>
          <w:i/>
        </w:rPr>
        <w:t>J</w:t>
      </w:r>
      <w:r w:rsidRPr="00137111">
        <w:rPr>
          <w:rFonts w:ascii="Arial" w:hAnsi="Arial" w:cs="Arial"/>
        </w:rPr>
        <w:t xml:space="preserve"> shape (</w:t>
      </w:r>
      <w:r w:rsidRPr="00137111">
        <w:rPr>
          <w:rFonts w:ascii="Arial" w:hAnsi="Arial" w:cs="Arial"/>
          <w:i/>
        </w:rPr>
        <w:t>J-</w:t>
      </w:r>
      <w:r w:rsidRPr="00137111">
        <w:rPr>
          <w:rFonts w:ascii="Arial" w:hAnsi="Arial" w:cs="Arial"/>
        </w:rPr>
        <w:t>curve effect) attributed to the lagged adjustment of quantities to changes in the relative prices (Magee, 1973; Junz and Rhomberg, 1973). The CFA franc devaluation causes an increase in the domestic price competitiveness</w:t>
      </w:r>
      <w:r w:rsidR="004A315E" w:rsidRPr="00137111">
        <w:rPr>
          <w:rFonts w:ascii="Arial" w:hAnsi="Arial" w:cs="Arial"/>
        </w:rPr>
        <w:t>,</w:t>
      </w:r>
      <w:r w:rsidRPr="00137111">
        <w:rPr>
          <w:rFonts w:ascii="Arial" w:hAnsi="Arial" w:cs="Arial"/>
        </w:rPr>
        <w:t xml:space="preserve"> result</w:t>
      </w:r>
      <w:r w:rsidR="004A315E" w:rsidRPr="00137111">
        <w:rPr>
          <w:rFonts w:ascii="Arial" w:hAnsi="Arial" w:cs="Arial"/>
        </w:rPr>
        <w:t>ing in</w:t>
      </w:r>
      <w:r w:rsidRPr="00137111">
        <w:rPr>
          <w:rFonts w:ascii="Arial" w:hAnsi="Arial" w:cs="Arial"/>
        </w:rPr>
        <w:t xml:space="preserve"> the exportation of more and the importation of less. By so doing, </w:t>
      </w:r>
      <w:r w:rsidR="006F762B" w:rsidRPr="00137111">
        <w:rPr>
          <w:rFonts w:ascii="Arial" w:hAnsi="Arial" w:cs="Arial"/>
        </w:rPr>
        <w:t xml:space="preserve">it </w:t>
      </w:r>
      <w:r w:rsidRPr="00137111">
        <w:rPr>
          <w:rFonts w:ascii="Arial" w:hAnsi="Arial" w:cs="Arial"/>
        </w:rPr>
        <w:t xml:space="preserve">improves TB, known as the volume effect. At the same time, the devaluation increases the import unit value, resulting in the deterioration of the TB, known as the price (value) effect. The price effect dominates in the short-term, while the volume effect prevails in the long-term, thereby causing the time path of the TB depicted by the </w:t>
      </w:r>
      <w:r w:rsidRPr="00137111">
        <w:rPr>
          <w:rFonts w:ascii="Arial" w:hAnsi="Arial" w:cs="Arial"/>
          <w:i/>
        </w:rPr>
        <w:t>J-</w:t>
      </w:r>
      <w:r w:rsidRPr="00137111">
        <w:rPr>
          <w:rFonts w:ascii="Arial" w:hAnsi="Arial" w:cs="Arial"/>
        </w:rPr>
        <w:t xml:space="preserve">curve (Ziramba and Chifamba, 2014; Abd-El-Kader, 2013;).  </w:t>
      </w:r>
    </w:p>
    <w:p w14:paraId="20ACB4FB" w14:textId="3515BE6D" w:rsidR="0015421F" w:rsidRPr="00C74DD1" w:rsidRDefault="00F91DB7" w:rsidP="0066301C">
      <w:pPr>
        <w:spacing w:line="360" w:lineRule="auto"/>
        <w:jc w:val="both"/>
        <w:rPr>
          <w:rFonts w:ascii="Arial" w:hAnsi="Arial" w:cs="Arial"/>
        </w:rPr>
      </w:pPr>
      <w:r w:rsidRPr="00137111">
        <w:rPr>
          <w:rFonts w:ascii="Arial" w:hAnsi="Arial" w:cs="Arial"/>
        </w:rPr>
        <w:t xml:space="preserve">From the above IRF results of Cameroon, it is seen that the </w:t>
      </w:r>
      <w:r w:rsidRPr="00137111">
        <w:rPr>
          <w:rFonts w:ascii="Arial" w:hAnsi="Arial" w:cs="Arial"/>
          <w:i/>
          <w:iCs/>
        </w:rPr>
        <w:t>J</w:t>
      </w:r>
      <w:r w:rsidRPr="00137111">
        <w:rPr>
          <w:rFonts w:ascii="Arial" w:hAnsi="Arial" w:cs="Arial"/>
        </w:rPr>
        <w:t>-curve is present in the relationship between Cameroon</w:t>
      </w:r>
      <w:r w:rsidR="00130000" w:rsidRPr="00137111">
        <w:rPr>
          <w:rFonts w:ascii="Arial" w:hAnsi="Arial" w:cs="Arial"/>
        </w:rPr>
        <w:t xml:space="preserve"> and </w:t>
      </w:r>
      <w:r w:rsidR="0015421F" w:rsidRPr="00137111">
        <w:rPr>
          <w:rFonts w:ascii="Arial" w:hAnsi="Arial" w:cs="Arial"/>
        </w:rPr>
        <w:t>its five main trade partners</w:t>
      </w:r>
      <w:r w:rsidRPr="00137111">
        <w:rPr>
          <w:rFonts w:ascii="Arial" w:hAnsi="Arial" w:cs="Arial"/>
        </w:rPr>
        <w:t>. This means that the 12</w:t>
      </w:r>
      <w:r w:rsidRPr="00137111">
        <w:rPr>
          <w:rFonts w:ascii="Arial" w:hAnsi="Arial" w:cs="Arial"/>
          <w:vertAlign w:val="superscript"/>
        </w:rPr>
        <w:t>th</w:t>
      </w:r>
      <w:r w:rsidRPr="00137111">
        <w:rPr>
          <w:rFonts w:ascii="Arial" w:hAnsi="Arial" w:cs="Arial"/>
        </w:rPr>
        <w:t xml:space="preserve"> January 1994 devaluation will improve the TB between Cameroon and the trade partners. </w:t>
      </w:r>
      <w:r w:rsidR="0015421F" w:rsidRPr="00137111">
        <w:rPr>
          <w:rFonts w:ascii="Arial" w:hAnsi="Arial" w:cs="Arial"/>
          <w:lang w:val="en-US"/>
        </w:rPr>
        <w:t>Hence, it will be recommend</w:t>
      </w:r>
      <w:r w:rsidR="00786ECA" w:rsidRPr="00137111">
        <w:rPr>
          <w:rFonts w:ascii="Arial" w:hAnsi="Arial" w:cs="Arial"/>
          <w:lang w:val="en-US"/>
        </w:rPr>
        <w:t>ed</w:t>
      </w:r>
      <w:r w:rsidR="0015421F" w:rsidRPr="00137111">
        <w:rPr>
          <w:rFonts w:ascii="Arial" w:hAnsi="Arial" w:cs="Arial"/>
          <w:lang w:val="en-US"/>
        </w:rPr>
        <w:t xml:space="preserve"> for policymakers to continue to maintain </w:t>
      </w:r>
      <w:r w:rsidR="3A042435" w:rsidRPr="00137111">
        <w:rPr>
          <w:rFonts w:ascii="Arial" w:hAnsi="Arial" w:cs="Arial"/>
          <w:lang w:val="en-US"/>
        </w:rPr>
        <w:t>their</w:t>
      </w:r>
      <w:r w:rsidR="0015421F" w:rsidRPr="00137111">
        <w:rPr>
          <w:rFonts w:ascii="Arial" w:hAnsi="Arial" w:cs="Arial"/>
          <w:lang w:val="en-US"/>
        </w:rPr>
        <w:t xml:space="preserve"> trade and trade policies that will improve </w:t>
      </w:r>
      <w:r w:rsidR="5E7D398D" w:rsidRPr="00137111">
        <w:rPr>
          <w:rFonts w:ascii="Arial" w:hAnsi="Arial" w:cs="Arial"/>
          <w:lang w:val="en-US"/>
        </w:rPr>
        <w:t>their</w:t>
      </w:r>
      <w:r w:rsidR="0015421F" w:rsidRPr="00137111">
        <w:rPr>
          <w:rFonts w:ascii="Arial" w:hAnsi="Arial" w:cs="Arial"/>
          <w:lang w:val="en-US"/>
        </w:rPr>
        <w:t xml:space="preserve"> trading relationship with the partners. Thus, the bilateral aggregate </w:t>
      </w:r>
      <w:r w:rsidR="0015421F" w:rsidRPr="00137111">
        <w:rPr>
          <w:rFonts w:ascii="Arial" w:hAnsi="Arial" w:cs="Arial"/>
        </w:rPr>
        <w:t>trade data approach by Rose and Yellen (1989) has help</w:t>
      </w:r>
      <w:r w:rsidR="00786ECA" w:rsidRPr="00137111">
        <w:rPr>
          <w:rFonts w:ascii="Arial" w:hAnsi="Arial" w:cs="Arial"/>
        </w:rPr>
        <w:t>ed</w:t>
      </w:r>
      <w:r w:rsidR="0015421F" w:rsidRPr="00137111">
        <w:rPr>
          <w:rFonts w:ascii="Arial" w:hAnsi="Arial" w:cs="Arial"/>
        </w:rPr>
        <w:t xml:space="preserve"> to investigate the presence of the </w:t>
      </w:r>
      <w:r w:rsidR="0015421F" w:rsidRPr="00137111">
        <w:rPr>
          <w:rFonts w:ascii="Arial" w:hAnsi="Arial" w:cs="Arial"/>
        </w:rPr>
        <w:softHyphen/>
      </w:r>
      <w:r w:rsidR="0015421F" w:rsidRPr="00137111">
        <w:rPr>
          <w:rFonts w:ascii="Arial" w:hAnsi="Arial" w:cs="Arial"/>
          <w:i/>
        </w:rPr>
        <w:t>J-</w:t>
      </w:r>
      <w:r w:rsidR="0015421F" w:rsidRPr="00137111">
        <w:rPr>
          <w:rFonts w:ascii="Arial" w:hAnsi="Arial" w:cs="Arial"/>
        </w:rPr>
        <w:t xml:space="preserve">curve in the trading relationship between Cameroon and each of its five main trading partners. The presence of the </w:t>
      </w:r>
      <w:r w:rsidR="0015421F" w:rsidRPr="00137111">
        <w:rPr>
          <w:rFonts w:ascii="Arial" w:hAnsi="Arial" w:cs="Arial"/>
          <w:i/>
        </w:rPr>
        <w:t>J-</w:t>
      </w:r>
      <w:r w:rsidR="0015421F" w:rsidRPr="00137111">
        <w:rPr>
          <w:rFonts w:ascii="Arial" w:hAnsi="Arial" w:cs="Arial"/>
        </w:rPr>
        <w:t>curve implies that a currency devaluation will help improve the nation’s TB in the long-term, though in the short-term there will be a negative impact.</w:t>
      </w:r>
      <w:r w:rsidR="0015421F" w:rsidRPr="00C74DD1">
        <w:rPr>
          <w:rFonts w:ascii="Arial" w:hAnsi="Arial" w:cs="Arial"/>
        </w:rPr>
        <w:t xml:space="preserve"> However, the results of both CAR and Gabon show that there is no </w:t>
      </w:r>
      <w:r w:rsidR="0015421F" w:rsidRPr="00C74DD1">
        <w:rPr>
          <w:rFonts w:ascii="Arial" w:hAnsi="Arial" w:cs="Arial"/>
          <w:i/>
          <w:iCs/>
        </w:rPr>
        <w:t>J-</w:t>
      </w:r>
      <w:r w:rsidR="0015421F" w:rsidRPr="00C74DD1">
        <w:rPr>
          <w:rFonts w:ascii="Arial" w:hAnsi="Arial" w:cs="Arial"/>
        </w:rPr>
        <w:t xml:space="preserve">curve in </w:t>
      </w:r>
      <w:r w:rsidR="00EC2F5A" w:rsidRPr="00C74DD1">
        <w:rPr>
          <w:rFonts w:ascii="Arial" w:hAnsi="Arial" w:cs="Arial"/>
        </w:rPr>
        <w:t>their trade balance relationship with the</w:t>
      </w:r>
      <w:r w:rsidR="00F570DA">
        <w:rPr>
          <w:rFonts w:ascii="Arial" w:hAnsi="Arial" w:cs="Arial"/>
        </w:rPr>
        <w:t>ir</w:t>
      </w:r>
      <w:r w:rsidR="00EC2F5A" w:rsidRPr="00C74DD1">
        <w:rPr>
          <w:rFonts w:ascii="Arial" w:hAnsi="Arial" w:cs="Arial"/>
        </w:rPr>
        <w:t xml:space="preserve"> main five trade partners. </w:t>
      </w:r>
      <w:r w:rsidR="614D6584" w:rsidRPr="00C74DD1">
        <w:rPr>
          <w:rFonts w:ascii="Arial" w:hAnsi="Arial" w:cs="Arial"/>
        </w:rPr>
        <w:t>It</w:t>
      </w:r>
      <w:r w:rsidR="00EC2F5A" w:rsidRPr="00C74DD1">
        <w:rPr>
          <w:rFonts w:ascii="Arial" w:hAnsi="Arial" w:cs="Arial"/>
        </w:rPr>
        <w:t xml:space="preserve"> is therefore recommended that </w:t>
      </w:r>
      <w:r w:rsidR="00EC2F5A" w:rsidRPr="00C74DD1">
        <w:rPr>
          <w:rFonts w:ascii="Arial" w:hAnsi="Arial" w:cs="Arial"/>
        </w:rPr>
        <w:lastRenderedPageBreak/>
        <w:t xml:space="preserve">their governments use different policies to improve their trade </w:t>
      </w:r>
      <w:r w:rsidR="00F570DA">
        <w:rPr>
          <w:rFonts w:ascii="Arial" w:hAnsi="Arial" w:cs="Arial"/>
        </w:rPr>
        <w:t>balance because</w:t>
      </w:r>
      <w:r w:rsidR="00EC2F5A" w:rsidRPr="00C74DD1">
        <w:rPr>
          <w:rFonts w:ascii="Arial" w:hAnsi="Arial" w:cs="Arial"/>
        </w:rPr>
        <w:t xml:space="preserve"> the CFA franc devaluation does not improve their trade balance</w:t>
      </w:r>
      <w:r w:rsidR="008812C0">
        <w:rPr>
          <w:rFonts w:ascii="Arial" w:hAnsi="Arial" w:cs="Arial"/>
        </w:rPr>
        <w:t xml:space="preserve">, </w:t>
      </w:r>
      <w:r w:rsidR="00F570DA">
        <w:rPr>
          <w:rFonts w:ascii="Arial" w:hAnsi="Arial" w:cs="Arial"/>
        </w:rPr>
        <w:t xml:space="preserve">because all the CEMAC nations have their unique characteristics. Currency devaluation will help improve Cameroon’s trade balance but will not improve that of CAR and Gabon. </w:t>
      </w:r>
    </w:p>
    <w:p w14:paraId="67BDACE1" w14:textId="5C2BB719" w:rsidR="00EB1D79" w:rsidRPr="003960FE" w:rsidRDefault="005A49D8" w:rsidP="0066301C">
      <w:pPr>
        <w:pStyle w:val="Heading3"/>
        <w:numPr>
          <w:ilvl w:val="0"/>
          <w:numId w:val="0"/>
        </w:numPr>
        <w:spacing w:before="0" w:beforeAutospacing="0"/>
      </w:pPr>
      <w:bookmarkStart w:id="468" w:name="_Toc171075417"/>
      <w:bookmarkStart w:id="469" w:name="_Hlk170839751"/>
      <w:r w:rsidRPr="003960FE">
        <w:t>4</w:t>
      </w:r>
      <w:r w:rsidR="00C66596" w:rsidRPr="003960FE">
        <w:t>.</w:t>
      </w:r>
      <w:r w:rsidRPr="003960FE">
        <w:t>6</w:t>
      </w:r>
      <w:r w:rsidR="00C66596" w:rsidRPr="003960FE">
        <w:t>.7</w:t>
      </w:r>
      <w:r w:rsidRPr="003960FE">
        <w:tab/>
      </w:r>
      <w:r w:rsidR="003C4FE7" w:rsidRPr="003960FE">
        <w:t>STABILITY TEST</w:t>
      </w:r>
      <w:bookmarkEnd w:id="468"/>
      <w:r w:rsidR="003C4FE7" w:rsidRPr="003960FE">
        <w:t xml:space="preserve">      </w:t>
      </w:r>
    </w:p>
    <w:p w14:paraId="7397FA09" w14:textId="09BF7D00" w:rsidR="008A681D" w:rsidRPr="000D074A" w:rsidRDefault="00EB1D79" w:rsidP="0066301C">
      <w:pPr>
        <w:spacing w:line="360" w:lineRule="auto"/>
        <w:jc w:val="both"/>
        <w:rPr>
          <w:rFonts w:ascii="Arial" w:eastAsiaTheme="minorEastAsia" w:hAnsi="Arial" w:cs="Arial"/>
          <w:iCs/>
        </w:rPr>
      </w:pPr>
      <w:r w:rsidRPr="00481B82">
        <w:rPr>
          <w:rFonts w:ascii="Arial" w:hAnsi="Arial" w:cs="Arial"/>
          <w:sz w:val="20"/>
          <w:szCs w:val="20"/>
        </w:rPr>
        <w:t xml:space="preserve">We check if the estimated regression equations are stable throughout the sample period of the study. Parameter stability tests play a vital role in ensuring </w:t>
      </w:r>
      <w:r w:rsidR="00FD56DB">
        <w:rPr>
          <w:rFonts w:ascii="Arial" w:hAnsi="Arial" w:cs="Arial"/>
          <w:sz w:val="20"/>
          <w:szCs w:val="20"/>
        </w:rPr>
        <w:t xml:space="preserve">the </w:t>
      </w:r>
      <w:r w:rsidRPr="00481B82">
        <w:rPr>
          <w:rFonts w:ascii="Arial" w:hAnsi="Arial" w:cs="Arial"/>
          <w:sz w:val="20"/>
          <w:szCs w:val="20"/>
        </w:rPr>
        <w:t>reliability of policy simulation based on the model</w:t>
      </w:r>
      <w:r w:rsidRPr="00481B82">
        <w:rPr>
          <w:rFonts w:ascii="Arial" w:eastAsiaTheme="minorEastAsia" w:hAnsi="Arial" w:cs="Arial"/>
          <w:iCs/>
        </w:rPr>
        <w:t xml:space="preserve">. To test for stability following Bahmani-Oskooee and Goswami (2003), we apply the cumulative sum (CUSUM) and cumulative sum square (CUSUMSQ) tests of Brown </w:t>
      </w:r>
      <w:r w:rsidRPr="00481B82">
        <w:rPr>
          <w:rFonts w:ascii="Arial" w:eastAsiaTheme="minorEastAsia" w:hAnsi="Arial" w:cs="Arial"/>
          <w:i/>
        </w:rPr>
        <w:t xml:space="preserve">et al. </w:t>
      </w:r>
      <w:r w:rsidRPr="00481B82">
        <w:rPr>
          <w:rFonts w:ascii="Arial" w:eastAsiaTheme="minorEastAsia" w:hAnsi="Arial" w:cs="Arial"/>
          <w:iCs/>
        </w:rPr>
        <w:t xml:space="preserve">(1975) to the residuals of the models. </w:t>
      </w:r>
      <w:bookmarkEnd w:id="469"/>
      <w:r w:rsidRPr="00481B82">
        <w:rPr>
          <w:rFonts w:ascii="Arial" w:eastAsiaTheme="minorEastAsia" w:hAnsi="Arial" w:cs="Arial"/>
          <w:iCs/>
        </w:rPr>
        <w:t>The advantage of this approach is that it selects the break points recursively rather than arbitrarily. According to the CUSUM test</w:t>
      </w:r>
      <w:r w:rsidR="00092379">
        <w:rPr>
          <w:rFonts w:ascii="Arial" w:eastAsiaTheme="minorEastAsia" w:hAnsi="Arial" w:cs="Arial"/>
          <w:iCs/>
        </w:rPr>
        <w:t>,</w:t>
      </w:r>
      <w:r w:rsidRPr="00481B82">
        <w:rPr>
          <w:rFonts w:ascii="Arial" w:eastAsiaTheme="minorEastAsia" w:hAnsi="Arial" w:cs="Arial"/>
          <w:iCs/>
        </w:rPr>
        <w:t xml:space="preserve"> the recursive residuals are plotted against the break points while the CUSUMSQ plots the squared recursive residuals against the break points. As a graphical illustration, these two statistics are then plotted with two straight lines</w:t>
      </w:r>
      <w:r w:rsidR="00F30F28">
        <w:rPr>
          <w:rFonts w:ascii="Arial" w:eastAsiaTheme="minorEastAsia" w:hAnsi="Arial" w:cs="Arial"/>
          <w:iCs/>
        </w:rPr>
        <w:t>,</w:t>
      </w:r>
      <w:r w:rsidRPr="00481B82">
        <w:rPr>
          <w:rFonts w:ascii="Arial" w:eastAsiaTheme="minorEastAsia" w:hAnsi="Arial" w:cs="Arial"/>
          <w:iCs/>
        </w:rPr>
        <w:t xml:space="preserve"> which are bounded by 5% significance level. If any point l</w:t>
      </w:r>
      <w:r w:rsidR="00F30F28">
        <w:rPr>
          <w:rFonts w:ascii="Arial" w:eastAsiaTheme="minorEastAsia" w:hAnsi="Arial" w:cs="Arial"/>
          <w:iCs/>
        </w:rPr>
        <w:t>ies</w:t>
      </w:r>
      <w:r w:rsidRPr="00481B82">
        <w:rPr>
          <w:rFonts w:ascii="Arial" w:eastAsiaTheme="minorEastAsia" w:hAnsi="Arial" w:cs="Arial"/>
          <w:iCs/>
        </w:rPr>
        <w:t xml:space="preserve"> beyond the 5% significance level, the null hypothesis of stable parameters is rejected. The</w:t>
      </w:r>
      <w:r>
        <w:rPr>
          <w:rFonts w:ascii="Arial" w:eastAsiaTheme="minorEastAsia" w:hAnsi="Arial" w:cs="Arial"/>
          <w:iCs/>
        </w:rPr>
        <w:t xml:space="preserve"> stability test result</w:t>
      </w:r>
      <w:r w:rsidR="009E0E5E">
        <w:rPr>
          <w:rFonts w:ascii="Arial" w:eastAsiaTheme="minorEastAsia" w:hAnsi="Arial" w:cs="Arial"/>
          <w:iCs/>
        </w:rPr>
        <w:t>s</w:t>
      </w:r>
      <w:r>
        <w:rPr>
          <w:rFonts w:ascii="Arial" w:eastAsiaTheme="minorEastAsia" w:hAnsi="Arial" w:cs="Arial"/>
          <w:iCs/>
        </w:rPr>
        <w:t xml:space="preserve"> of the </w:t>
      </w:r>
      <w:r w:rsidR="0071785B">
        <w:rPr>
          <w:rFonts w:ascii="Arial" w:eastAsiaTheme="minorEastAsia" w:hAnsi="Arial" w:cs="Arial"/>
          <w:iCs/>
        </w:rPr>
        <w:t>three</w:t>
      </w:r>
      <w:r>
        <w:rPr>
          <w:rFonts w:ascii="Arial" w:eastAsiaTheme="minorEastAsia" w:hAnsi="Arial" w:cs="Arial"/>
          <w:iCs/>
        </w:rPr>
        <w:t xml:space="preserve"> CEMAC nations are </w:t>
      </w:r>
      <w:r w:rsidR="0071785B">
        <w:rPr>
          <w:rFonts w:ascii="Arial" w:eastAsiaTheme="minorEastAsia" w:hAnsi="Arial" w:cs="Arial"/>
          <w:iCs/>
        </w:rPr>
        <w:t xml:space="preserve">graphically presented in </w:t>
      </w:r>
      <w:r w:rsidR="0071785B" w:rsidRPr="00177EB2">
        <w:rPr>
          <w:rFonts w:ascii="Arial" w:eastAsiaTheme="minorEastAsia" w:hAnsi="Arial" w:cs="Arial"/>
          <w:iCs/>
        </w:rPr>
        <w:t xml:space="preserve">figures </w:t>
      </w:r>
      <w:r w:rsidR="0071785B">
        <w:rPr>
          <w:rFonts w:ascii="Arial" w:eastAsiaTheme="minorEastAsia" w:hAnsi="Arial" w:cs="Arial"/>
          <w:iCs/>
        </w:rPr>
        <w:t>4.5 below.</w:t>
      </w:r>
    </w:p>
    <w:p w14:paraId="0CC9AEC6" w14:textId="77777777" w:rsidR="008A681D" w:rsidRDefault="008A681D" w:rsidP="0066301C">
      <w:pPr>
        <w:autoSpaceDE w:val="0"/>
        <w:autoSpaceDN w:val="0"/>
        <w:adjustRightInd w:val="0"/>
        <w:spacing w:after="0"/>
        <w:ind w:right="237"/>
        <w:rPr>
          <w:rFonts w:ascii="Arial" w:hAnsi="Arial" w:cs="Arial"/>
          <w:b/>
          <w:color w:val="000000"/>
        </w:rPr>
      </w:pPr>
    </w:p>
    <w:p w14:paraId="4BD7E41F" w14:textId="77777777" w:rsidR="005E7D18" w:rsidRDefault="005E7D18" w:rsidP="0066301C">
      <w:pPr>
        <w:autoSpaceDE w:val="0"/>
        <w:autoSpaceDN w:val="0"/>
        <w:adjustRightInd w:val="0"/>
        <w:spacing w:after="0"/>
        <w:ind w:right="237"/>
        <w:rPr>
          <w:rFonts w:ascii="Arial" w:hAnsi="Arial" w:cs="Arial"/>
          <w:b/>
          <w:color w:val="000000"/>
        </w:rPr>
      </w:pPr>
    </w:p>
    <w:p w14:paraId="1577D9FB" w14:textId="77777777" w:rsidR="005E7D18" w:rsidRDefault="005E7D18" w:rsidP="0066301C">
      <w:pPr>
        <w:autoSpaceDE w:val="0"/>
        <w:autoSpaceDN w:val="0"/>
        <w:adjustRightInd w:val="0"/>
        <w:spacing w:after="0"/>
        <w:ind w:right="237"/>
        <w:rPr>
          <w:rFonts w:ascii="Arial" w:hAnsi="Arial" w:cs="Arial"/>
          <w:b/>
          <w:color w:val="000000"/>
        </w:rPr>
      </w:pPr>
    </w:p>
    <w:p w14:paraId="34C63199" w14:textId="77777777" w:rsidR="005E7D18" w:rsidRDefault="005E7D18" w:rsidP="0066301C">
      <w:pPr>
        <w:autoSpaceDE w:val="0"/>
        <w:autoSpaceDN w:val="0"/>
        <w:adjustRightInd w:val="0"/>
        <w:spacing w:after="0"/>
        <w:ind w:right="237"/>
        <w:rPr>
          <w:rFonts w:ascii="Arial" w:hAnsi="Arial" w:cs="Arial"/>
          <w:b/>
          <w:color w:val="000000"/>
        </w:rPr>
      </w:pPr>
    </w:p>
    <w:p w14:paraId="15AF5915" w14:textId="77777777" w:rsidR="005E7D18" w:rsidRDefault="005E7D18" w:rsidP="0066301C">
      <w:pPr>
        <w:autoSpaceDE w:val="0"/>
        <w:autoSpaceDN w:val="0"/>
        <w:adjustRightInd w:val="0"/>
        <w:spacing w:after="0"/>
        <w:ind w:right="237"/>
        <w:rPr>
          <w:rFonts w:ascii="Arial" w:hAnsi="Arial" w:cs="Arial"/>
          <w:b/>
          <w:color w:val="000000"/>
        </w:rPr>
      </w:pPr>
    </w:p>
    <w:p w14:paraId="6F3CD1CF" w14:textId="28602DCC" w:rsidR="00E34EA1" w:rsidRDefault="00E34EA1" w:rsidP="0066301C">
      <w:pPr>
        <w:autoSpaceDE w:val="0"/>
        <w:autoSpaceDN w:val="0"/>
        <w:adjustRightInd w:val="0"/>
        <w:spacing w:after="0"/>
        <w:ind w:right="237"/>
        <w:rPr>
          <w:rFonts w:ascii="Arial" w:hAnsi="Arial" w:cs="Arial"/>
          <w:b/>
          <w:color w:val="000000"/>
        </w:rPr>
      </w:pPr>
      <w:r w:rsidRPr="00A90EBB">
        <w:rPr>
          <w:rFonts w:ascii="Arial" w:hAnsi="Arial" w:cs="Arial"/>
          <w:b/>
          <w:color w:val="000000"/>
        </w:rPr>
        <w:t xml:space="preserve">Figures 4.5: </w:t>
      </w:r>
      <w:r w:rsidRPr="0063382D">
        <w:rPr>
          <w:rFonts w:ascii="Arial" w:hAnsi="Arial" w:cs="Arial"/>
          <w:b/>
          <w:bCs/>
        </w:rPr>
        <w:t>CUSUM and CUSUMSQ</w:t>
      </w:r>
    </w:p>
    <w:p w14:paraId="0B49F434" w14:textId="77777777" w:rsidR="00E34EA1" w:rsidRDefault="00E34EA1" w:rsidP="0066301C">
      <w:pPr>
        <w:autoSpaceDE w:val="0"/>
        <w:autoSpaceDN w:val="0"/>
        <w:adjustRightInd w:val="0"/>
        <w:spacing w:after="0"/>
        <w:jc w:val="both"/>
        <w:rPr>
          <w:rFonts w:ascii="Arial" w:hAnsi="Arial" w:cs="Arial"/>
          <w:sz w:val="20"/>
          <w:szCs w:val="20"/>
        </w:rPr>
      </w:pPr>
    </w:p>
    <w:p w14:paraId="2F2A2810" w14:textId="77777777" w:rsidR="00E34EA1" w:rsidRPr="0063382D" w:rsidRDefault="00E34EA1" w:rsidP="0066301C">
      <w:pPr>
        <w:spacing w:after="0"/>
        <w:rPr>
          <w:rFonts w:ascii="Arial" w:hAnsi="Arial" w:cs="Arial"/>
          <w:b/>
          <w:bCs/>
        </w:rPr>
      </w:pPr>
      <w:r w:rsidRPr="0063382D">
        <w:rPr>
          <w:rFonts w:ascii="Arial" w:hAnsi="Arial" w:cs="Arial"/>
        </w:rPr>
        <w:t xml:space="preserve">   </w:t>
      </w:r>
      <w:r w:rsidRPr="00A90EBB">
        <w:rPr>
          <w:rFonts w:ascii="Arial" w:hAnsi="Arial" w:cs="Arial"/>
          <w:b/>
          <w:bCs/>
        </w:rPr>
        <w:t xml:space="preserve">Figure </w:t>
      </w:r>
      <w:r>
        <w:rPr>
          <w:rFonts w:ascii="Arial" w:hAnsi="Arial" w:cs="Arial"/>
          <w:b/>
          <w:bCs/>
        </w:rPr>
        <w:t>4</w:t>
      </w:r>
      <w:r w:rsidRPr="00A90EBB">
        <w:rPr>
          <w:rFonts w:ascii="Arial" w:hAnsi="Arial" w:cs="Arial"/>
          <w:b/>
          <w:bCs/>
        </w:rPr>
        <w:t>.5a:</w:t>
      </w:r>
      <w:r w:rsidRPr="0063382D">
        <w:rPr>
          <w:rFonts w:ascii="Arial" w:hAnsi="Arial" w:cs="Arial"/>
          <w:b/>
          <w:bCs/>
        </w:rPr>
        <w:t xml:space="preserve"> CUSUM and CUSUMSQ </w:t>
      </w:r>
      <w:r>
        <w:rPr>
          <w:rFonts w:ascii="Arial" w:hAnsi="Arial" w:cs="Arial"/>
          <w:b/>
          <w:bCs/>
        </w:rPr>
        <w:t>(</w:t>
      </w:r>
      <w:r w:rsidRPr="0063382D">
        <w:rPr>
          <w:rFonts w:ascii="Arial" w:hAnsi="Arial" w:cs="Arial"/>
          <w:b/>
          <w:bCs/>
        </w:rPr>
        <w:t>Cameroon</w:t>
      </w:r>
      <w:r>
        <w:rPr>
          <w:rFonts w:ascii="Arial" w:hAnsi="Arial" w:cs="Arial"/>
          <w:b/>
          <w:bCs/>
        </w:rPr>
        <w:t>)</w:t>
      </w:r>
      <w:r w:rsidRPr="0063382D">
        <w:rPr>
          <w:rFonts w:ascii="Arial" w:hAnsi="Arial" w:cs="Arial"/>
          <w:b/>
          <w:bCs/>
        </w:rPr>
        <w:t xml:space="preserve"> </w:t>
      </w:r>
    </w:p>
    <w:p w14:paraId="7F4FB7FD" w14:textId="77777777" w:rsidR="00E34EA1" w:rsidRDefault="00E34EA1" w:rsidP="00A77B93">
      <w:pPr>
        <w:pBdr>
          <w:top w:val="single" w:sz="4" w:space="1" w:color="auto"/>
          <w:left w:val="single" w:sz="4" w:space="4" w:color="auto"/>
          <w:bottom w:val="single" w:sz="4" w:space="1" w:color="auto"/>
          <w:right w:val="single" w:sz="4" w:space="4" w:color="auto"/>
        </w:pBdr>
        <w:spacing w:after="0"/>
      </w:pPr>
      <w:r w:rsidRPr="0055284E">
        <w:rPr>
          <w:noProof/>
          <w:color w:val="FF0000"/>
        </w:rPr>
        <w:drawing>
          <wp:inline distT="0" distB="0" distL="0" distR="0" wp14:anchorId="510B91FD" wp14:editId="12D0F210">
            <wp:extent cx="2819400" cy="1685925"/>
            <wp:effectExtent l="0" t="0" r="0" b="0"/>
            <wp:docPr id="1135663132" name="Picture 113566313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9"/>
                    <pic:cNvPicPr>
                      <a:picLocks noChangeAspect="1" noChangeArrowheads="1"/>
                    </pic:cNvPicPr>
                  </pic:nvPicPr>
                  <pic:blipFill>
                    <a:blip r:embed="rId66" cstate="print">
                      <a:extLst>
                        <a:ext uri="{28A0092B-C50C-407E-A947-70E740481C1C}">
                          <a14:useLocalDpi xmlns:a14="http://schemas.microsoft.com/office/drawing/2010/main" val="0"/>
                        </a:ext>
                      </a:extLst>
                    </a:blip>
                    <a:srcRect/>
                    <a:stretch>
                      <a:fillRect/>
                    </a:stretch>
                  </pic:blipFill>
                  <pic:spPr bwMode="auto">
                    <a:xfrm>
                      <a:off x="0" y="0"/>
                      <a:ext cx="2882060" cy="1723394"/>
                    </a:xfrm>
                    <a:prstGeom prst="rect">
                      <a:avLst/>
                    </a:prstGeom>
                    <a:noFill/>
                    <a:ln>
                      <a:noFill/>
                    </a:ln>
                  </pic:spPr>
                </pic:pic>
              </a:graphicData>
            </a:graphic>
          </wp:inline>
        </w:drawing>
      </w:r>
      <w:r>
        <w:t xml:space="preserve">    </w:t>
      </w:r>
      <w:r w:rsidRPr="0055284E">
        <w:rPr>
          <w:noProof/>
          <w:color w:val="FF0000"/>
        </w:rPr>
        <w:drawing>
          <wp:inline distT="0" distB="0" distL="0" distR="0" wp14:anchorId="5FF64FB2" wp14:editId="5822AF9C">
            <wp:extent cx="2766060" cy="1816100"/>
            <wp:effectExtent l="0" t="0" r="0" b="0"/>
            <wp:docPr id="953832424" name="Picture 95383242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0"/>
                    <pic:cNvPicPr>
                      <a:picLocks noChangeAspect="1" noChangeArrowheads="1"/>
                    </pic:cNvPicPr>
                  </pic:nvPicPr>
                  <pic:blipFill>
                    <a:blip r:embed="rId67" cstate="print">
                      <a:extLst>
                        <a:ext uri="{28A0092B-C50C-407E-A947-70E740481C1C}">
                          <a14:useLocalDpi xmlns:a14="http://schemas.microsoft.com/office/drawing/2010/main" val="0"/>
                        </a:ext>
                      </a:extLst>
                    </a:blip>
                    <a:srcRect/>
                    <a:stretch>
                      <a:fillRect/>
                    </a:stretch>
                  </pic:blipFill>
                  <pic:spPr bwMode="auto">
                    <a:xfrm>
                      <a:off x="0" y="0"/>
                      <a:ext cx="2776913" cy="1823226"/>
                    </a:xfrm>
                    <a:prstGeom prst="rect">
                      <a:avLst/>
                    </a:prstGeom>
                    <a:noFill/>
                    <a:ln>
                      <a:noFill/>
                    </a:ln>
                  </pic:spPr>
                </pic:pic>
              </a:graphicData>
            </a:graphic>
          </wp:inline>
        </w:drawing>
      </w:r>
    </w:p>
    <w:p w14:paraId="4197DDC9" w14:textId="77777777" w:rsidR="00A77B93" w:rsidRPr="005D14CA" w:rsidRDefault="00A77B93" w:rsidP="00A77B93">
      <w:pPr>
        <w:pStyle w:val="ListParagraph"/>
        <w:autoSpaceDE w:val="0"/>
        <w:autoSpaceDN w:val="0"/>
        <w:adjustRightInd w:val="0"/>
        <w:spacing w:after="0" w:line="240" w:lineRule="auto"/>
        <w:ind w:left="0"/>
        <w:rPr>
          <w:rFonts w:ascii="Arial" w:hAnsi="Arial" w:cs="Arial"/>
          <w:b/>
          <w:sz w:val="20"/>
          <w:szCs w:val="20"/>
        </w:rPr>
      </w:pPr>
      <w:r w:rsidRPr="005D14CA">
        <w:rPr>
          <w:rFonts w:ascii="Arial" w:hAnsi="Arial" w:cs="Arial"/>
          <w:i/>
          <w:sz w:val="20"/>
          <w:szCs w:val="20"/>
        </w:rPr>
        <w:t>Source</w:t>
      </w:r>
      <w:r w:rsidRPr="005D14CA">
        <w:rPr>
          <w:rFonts w:ascii="Arial" w:hAnsi="Arial" w:cs="Arial"/>
          <w:sz w:val="20"/>
          <w:szCs w:val="20"/>
        </w:rPr>
        <w:t>: Computation from time-series data using EViews 12</w:t>
      </w:r>
    </w:p>
    <w:p w14:paraId="30525E5F" w14:textId="77777777" w:rsidR="00E34EA1" w:rsidRDefault="00E34EA1" w:rsidP="0066301C"/>
    <w:p w14:paraId="62FB26EB" w14:textId="77777777" w:rsidR="00E34EA1" w:rsidRDefault="00E34EA1" w:rsidP="00A77B93">
      <w:pPr>
        <w:pBdr>
          <w:top w:val="single" w:sz="4" w:space="1" w:color="auto"/>
          <w:left w:val="single" w:sz="4" w:space="4" w:color="auto"/>
          <w:bottom w:val="single" w:sz="4" w:space="1" w:color="auto"/>
          <w:right w:val="single" w:sz="4" w:space="4" w:color="auto"/>
        </w:pBdr>
        <w:spacing w:after="0"/>
      </w:pPr>
      <w:r w:rsidRPr="00D9638A">
        <w:rPr>
          <w:noProof/>
        </w:rPr>
        <w:lastRenderedPageBreak/>
        <w:drawing>
          <wp:inline distT="0" distB="0" distL="0" distR="0" wp14:anchorId="7D0D625F" wp14:editId="50B39D19">
            <wp:extent cx="2773680" cy="1724660"/>
            <wp:effectExtent l="0" t="0" r="0" b="0"/>
            <wp:docPr id="355393783" name="Picture 35539378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1"/>
                    <pic:cNvPicPr>
                      <a:picLocks noChangeAspect="1" noChangeArrowheads="1"/>
                    </pic:cNvPicPr>
                  </pic:nvPicPr>
                  <pic:blipFill>
                    <a:blip r:embed="rId68" cstate="print">
                      <a:extLst>
                        <a:ext uri="{28A0092B-C50C-407E-A947-70E740481C1C}">
                          <a14:useLocalDpi xmlns:a14="http://schemas.microsoft.com/office/drawing/2010/main" val="0"/>
                        </a:ext>
                      </a:extLst>
                    </a:blip>
                    <a:srcRect/>
                    <a:stretch>
                      <a:fillRect/>
                    </a:stretch>
                  </pic:blipFill>
                  <pic:spPr bwMode="auto">
                    <a:xfrm>
                      <a:off x="0" y="0"/>
                      <a:ext cx="2784048" cy="1731107"/>
                    </a:xfrm>
                    <a:prstGeom prst="rect">
                      <a:avLst/>
                    </a:prstGeom>
                    <a:noFill/>
                    <a:ln>
                      <a:noFill/>
                    </a:ln>
                  </pic:spPr>
                </pic:pic>
              </a:graphicData>
            </a:graphic>
          </wp:inline>
        </w:drawing>
      </w:r>
      <w:r>
        <w:t xml:space="preserve">    </w:t>
      </w:r>
      <w:r w:rsidRPr="00C72852">
        <w:rPr>
          <w:noProof/>
        </w:rPr>
        <w:drawing>
          <wp:inline distT="0" distB="0" distL="0" distR="0" wp14:anchorId="2AFC9CD2" wp14:editId="3818E0FB">
            <wp:extent cx="2757055" cy="1792896"/>
            <wp:effectExtent l="0" t="0" r="5715" b="0"/>
            <wp:docPr id="1618148424" name="Picture 161814842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2"/>
                    <pic:cNvPicPr>
                      <a:picLocks noChangeAspect="1" noChangeArrowheads="1"/>
                    </pic:cNvPicPr>
                  </pic:nvPicPr>
                  <pic:blipFill>
                    <a:blip r:embed="rId69" cstate="print">
                      <a:extLst>
                        <a:ext uri="{28A0092B-C50C-407E-A947-70E740481C1C}">
                          <a14:useLocalDpi xmlns:a14="http://schemas.microsoft.com/office/drawing/2010/main" val="0"/>
                        </a:ext>
                      </a:extLst>
                    </a:blip>
                    <a:srcRect/>
                    <a:stretch>
                      <a:fillRect/>
                    </a:stretch>
                  </pic:blipFill>
                  <pic:spPr bwMode="auto">
                    <a:xfrm>
                      <a:off x="0" y="0"/>
                      <a:ext cx="2767306" cy="1799562"/>
                    </a:xfrm>
                    <a:prstGeom prst="rect">
                      <a:avLst/>
                    </a:prstGeom>
                    <a:noFill/>
                    <a:ln>
                      <a:noFill/>
                    </a:ln>
                  </pic:spPr>
                </pic:pic>
              </a:graphicData>
            </a:graphic>
          </wp:inline>
        </w:drawing>
      </w:r>
    </w:p>
    <w:p w14:paraId="3EF3A68F" w14:textId="77777777" w:rsidR="00A77B93" w:rsidRPr="005D14CA" w:rsidRDefault="00A77B93" w:rsidP="00A77B93">
      <w:pPr>
        <w:pStyle w:val="ListParagraph"/>
        <w:autoSpaceDE w:val="0"/>
        <w:autoSpaceDN w:val="0"/>
        <w:adjustRightInd w:val="0"/>
        <w:spacing w:after="0" w:line="240" w:lineRule="auto"/>
        <w:ind w:left="0"/>
        <w:rPr>
          <w:rFonts w:ascii="Arial" w:hAnsi="Arial" w:cs="Arial"/>
          <w:b/>
          <w:sz w:val="20"/>
          <w:szCs w:val="20"/>
        </w:rPr>
      </w:pPr>
      <w:r w:rsidRPr="005D14CA">
        <w:rPr>
          <w:rFonts w:ascii="Arial" w:hAnsi="Arial" w:cs="Arial"/>
          <w:i/>
          <w:sz w:val="20"/>
          <w:szCs w:val="20"/>
        </w:rPr>
        <w:t>Source</w:t>
      </w:r>
      <w:r w:rsidRPr="005D14CA">
        <w:rPr>
          <w:rFonts w:ascii="Arial" w:hAnsi="Arial" w:cs="Arial"/>
          <w:sz w:val="20"/>
          <w:szCs w:val="20"/>
        </w:rPr>
        <w:t>: Computation from time-series data using EViews 12</w:t>
      </w:r>
    </w:p>
    <w:p w14:paraId="5810FF5A" w14:textId="77777777" w:rsidR="00E34EA1" w:rsidRDefault="00E34EA1" w:rsidP="0066301C"/>
    <w:p w14:paraId="1F2114D0" w14:textId="1B3142D0" w:rsidR="00E34EA1" w:rsidRDefault="00C97D2A" w:rsidP="00A77B93">
      <w:pPr>
        <w:pBdr>
          <w:top w:val="single" w:sz="4" w:space="1" w:color="auto"/>
          <w:left w:val="single" w:sz="4" w:space="4" w:color="auto"/>
          <w:bottom w:val="single" w:sz="4" w:space="1" w:color="auto"/>
          <w:right w:val="single" w:sz="4" w:space="4" w:color="auto"/>
        </w:pBdr>
        <w:spacing w:after="0"/>
      </w:pPr>
      <w:r>
        <w:object w:dxaOrig="8641" w:dyaOrig="5895" w14:anchorId="28FCA14E">
          <v:shape id="_x0000_i1025" type="#_x0000_t75" style="width:225.35pt;height:2in" o:ole="">
            <v:imagedata r:id="rId70" o:title=""/>
          </v:shape>
          <o:OLEObject Type="Embed" ProgID="EViews.Workfile.2" ShapeID="_x0000_i1025" DrawAspect="Content" ObjectID="_1789390256" r:id="rId71"/>
        </w:object>
      </w:r>
      <w:r w:rsidR="00E34EA1">
        <w:t xml:space="preserve">    </w:t>
      </w:r>
      <w:r>
        <w:object w:dxaOrig="8715" w:dyaOrig="5596" w14:anchorId="7EC5042D">
          <v:shape id="_x0000_i1026" type="#_x0000_t75" style="width:208.5pt;height:2in" o:ole="">
            <v:imagedata r:id="rId72" o:title=""/>
          </v:shape>
          <o:OLEObject Type="Embed" ProgID="EViews.Workfile.2" ShapeID="_x0000_i1026" DrawAspect="Content" ObjectID="_1789390257" r:id="rId73"/>
        </w:object>
      </w:r>
    </w:p>
    <w:p w14:paraId="1C7EB36C" w14:textId="77777777" w:rsidR="00A77B93" w:rsidRPr="005D14CA" w:rsidRDefault="00A77B93" w:rsidP="00A77B93">
      <w:pPr>
        <w:pStyle w:val="ListParagraph"/>
        <w:autoSpaceDE w:val="0"/>
        <w:autoSpaceDN w:val="0"/>
        <w:adjustRightInd w:val="0"/>
        <w:spacing w:after="0" w:line="240" w:lineRule="auto"/>
        <w:ind w:left="0"/>
        <w:rPr>
          <w:rFonts w:ascii="Arial" w:hAnsi="Arial" w:cs="Arial"/>
          <w:b/>
          <w:sz w:val="20"/>
          <w:szCs w:val="20"/>
        </w:rPr>
      </w:pPr>
      <w:r w:rsidRPr="005D14CA">
        <w:rPr>
          <w:rFonts w:ascii="Arial" w:hAnsi="Arial" w:cs="Arial"/>
          <w:i/>
          <w:sz w:val="20"/>
          <w:szCs w:val="20"/>
        </w:rPr>
        <w:t>Source</w:t>
      </w:r>
      <w:r w:rsidRPr="005D14CA">
        <w:rPr>
          <w:rFonts w:ascii="Arial" w:hAnsi="Arial" w:cs="Arial"/>
          <w:sz w:val="20"/>
          <w:szCs w:val="20"/>
        </w:rPr>
        <w:t>: Computation from time-series data using EViews 12</w:t>
      </w:r>
    </w:p>
    <w:p w14:paraId="53281F5E" w14:textId="77777777" w:rsidR="00E34EA1" w:rsidRDefault="00E34EA1" w:rsidP="0066301C"/>
    <w:p w14:paraId="45482EA4" w14:textId="6895B079" w:rsidR="00E34EA1" w:rsidRDefault="00C97D2A" w:rsidP="00A77B93">
      <w:pPr>
        <w:pBdr>
          <w:top w:val="single" w:sz="4" w:space="1" w:color="auto"/>
          <w:left w:val="single" w:sz="4" w:space="4" w:color="auto"/>
          <w:bottom w:val="single" w:sz="4" w:space="1" w:color="auto"/>
          <w:right w:val="single" w:sz="4" w:space="4" w:color="auto"/>
        </w:pBdr>
        <w:spacing w:after="0"/>
      </w:pPr>
      <w:r>
        <w:object w:dxaOrig="8626" w:dyaOrig="5551" w14:anchorId="673E2031">
          <v:shape id="_x0000_i1027" type="#_x0000_t75" style="width:211.3pt;height:137.45pt" o:ole="">
            <v:imagedata r:id="rId74" o:title=""/>
          </v:shape>
          <o:OLEObject Type="Embed" ProgID="EViews.Workfile.2" ShapeID="_x0000_i1027" DrawAspect="Content" ObjectID="_1789390258" r:id="rId75"/>
        </w:object>
      </w:r>
      <w:r w:rsidR="00E34EA1">
        <w:t xml:space="preserve">      </w:t>
      </w:r>
      <w:r>
        <w:object w:dxaOrig="8685" w:dyaOrig="5566" w14:anchorId="5565DCBA">
          <v:shape id="_x0000_i1028" type="#_x0000_t75" style="width:216.95pt;height:2in" o:ole="">
            <v:imagedata r:id="rId76" o:title=""/>
          </v:shape>
          <o:OLEObject Type="Embed" ProgID="EViews.Workfile.2" ShapeID="_x0000_i1028" DrawAspect="Content" ObjectID="_1789390259" r:id="rId77"/>
        </w:object>
      </w:r>
    </w:p>
    <w:p w14:paraId="45A3529D" w14:textId="77777777" w:rsidR="00A77B93" w:rsidRPr="005D14CA" w:rsidRDefault="00A77B93" w:rsidP="00A77B93">
      <w:pPr>
        <w:pStyle w:val="ListParagraph"/>
        <w:autoSpaceDE w:val="0"/>
        <w:autoSpaceDN w:val="0"/>
        <w:adjustRightInd w:val="0"/>
        <w:spacing w:after="0" w:line="240" w:lineRule="auto"/>
        <w:ind w:left="0"/>
        <w:rPr>
          <w:rFonts w:ascii="Arial" w:hAnsi="Arial" w:cs="Arial"/>
          <w:b/>
          <w:sz w:val="20"/>
          <w:szCs w:val="20"/>
        </w:rPr>
      </w:pPr>
      <w:r w:rsidRPr="005D14CA">
        <w:rPr>
          <w:rFonts w:ascii="Arial" w:hAnsi="Arial" w:cs="Arial"/>
          <w:i/>
          <w:sz w:val="20"/>
          <w:szCs w:val="20"/>
        </w:rPr>
        <w:t>Source</w:t>
      </w:r>
      <w:r w:rsidRPr="005D14CA">
        <w:rPr>
          <w:rFonts w:ascii="Arial" w:hAnsi="Arial" w:cs="Arial"/>
          <w:sz w:val="20"/>
          <w:szCs w:val="20"/>
        </w:rPr>
        <w:t>: Computation from time-series data using EViews 12</w:t>
      </w:r>
    </w:p>
    <w:p w14:paraId="08F860DD" w14:textId="39B97C55" w:rsidR="00E34EA1" w:rsidRDefault="00C97D2A" w:rsidP="00A77B93">
      <w:pPr>
        <w:pBdr>
          <w:top w:val="single" w:sz="4" w:space="1" w:color="auto"/>
          <w:left w:val="single" w:sz="4" w:space="4" w:color="auto"/>
          <w:bottom w:val="single" w:sz="4" w:space="1" w:color="auto"/>
          <w:right w:val="single" w:sz="4" w:space="4" w:color="auto"/>
        </w:pBdr>
        <w:tabs>
          <w:tab w:val="left" w:pos="1170"/>
        </w:tabs>
        <w:spacing w:after="0"/>
      </w:pPr>
      <w:r>
        <w:object w:dxaOrig="8641" w:dyaOrig="5700" w14:anchorId="3FD1BF1C">
          <v:shape id="_x0000_i1029" type="#_x0000_t75" style="width:223.5pt;height:2in" o:ole="">
            <v:imagedata r:id="rId78" o:title=""/>
          </v:shape>
          <o:OLEObject Type="Embed" ProgID="EViews.Workfile.2" ShapeID="_x0000_i1029" DrawAspect="Content" ObjectID="_1789390260" r:id="rId79"/>
        </w:object>
      </w:r>
      <w:r w:rsidR="00E34EA1">
        <w:t xml:space="preserve">   </w:t>
      </w:r>
      <w:r>
        <w:object w:dxaOrig="8715" w:dyaOrig="5895" w14:anchorId="6C9D7275">
          <v:shape id="_x0000_i1030" type="#_x0000_t75" style="width:211.3pt;height:136.5pt" o:ole="">
            <v:imagedata r:id="rId80" o:title=""/>
          </v:shape>
          <o:OLEObject Type="Embed" ProgID="EViews.Workfile.2" ShapeID="_x0000_i1030" DrawAspect="Content" ObjectID="_1789390261" r:id="rId81"/>
        </w:object>
      </w:r>
    </w:p>
    <w:p w14:paraId="04E8EA5F" w14:textId="77777777" w:rsidR="00A77B93" w:rsidRPr="005D14CA" w:rsidRDefault="00A77B93" w:rsidP="00A77B93">
      <w:pPr>
        <w:pStyle w:val="ListParagraph"/>
        <w:autoSpaceDE w:val="0"/>
        <w:autoSpaceDN w:val="0"/>
        <w:adjustRightInd w:val="0"/>
        <w:spacing w:after="0" w:line="240" w:lineRule="auto"/>
        <w:ind w:left="0"/>
        <w:rPr>
          <w:rFonts w:ascii="Arial" w:hAnsi="Arial" w:cs="Arial"/>
          <w:b/>
          <w:sz w:val="20"/>
          <w:szCs w:val="20"/>
        </w:rPr>
      </w:pPr>
      <w:r w:rsidRPr="005D14CA">
        <w:rPr>
          <w:rFonts w:ascii="Arial" w:hAnsi="Arial" w:cs="Arial"/>
          <w:i/>
          <w:sz w:val="20"/>
          <w:szCs w:val="20"/>
        </w:rPr>
        <w:t>Source</w:t>
      </w:r>
      <w:r w:rsidRPr="005D14CA">
        <w:rPr>
          <w:rFonts w:ascii="Arial" w:hAnsi="Arial" w:cs="Arial"/>
          <w:sz w:val="20"/>
          <w:szCs w:val="20"/>
        </w:rPr>
        <w:t>: Computation from time-series data using EViews 12</w:t>
      </w:r>
    </w:p>
    <w:p w14:paraId="4CC5D0DD" w14:textId="77777777" w:rsidR="005E7D18" w:rsidRDefault="005E7D18" w:rsidP="0066301C">
      <w:pPr>
        <w:spacing w:after="0"/>
        <w:rPr>
          <w:rFonts w:ascii="Arial" w:hAnsi="Arial" w:cs="Arial"/>
          <w:b/>
          <w:bCs/>
        </w:rPr>
      </w:pPr>
    </w:p>
    <w:p w14:paraId="527BCEB7" w14:textId="43707859" w:rsidR="00E34EA1" w:rsidRPr="0063382D" w:rsidRDefault="00E34EA1" w:rsidP="0066301C">
      <w:pPr>
        <w:spacing w:after="0"/>
        <w:rPr>
          <w:b/>
          <w:bCs/>
          <w:noProof/>
        </w:rPr>
      </w:pPr>
      <w:r w:rsidRPr="00B956F0">
        <w:rPr>
          <w:rFonts w:ascii="Arial" w:hAnsi="Arial" w:cs="Arial"/>
          <w:b/>
          <w:bCs/>
        </w:rPr>
        <w:lastRenderedPageBreak/>
        <w:t>Figure 4.5b:</w:t>
      </w:r>
      <w:r w:rsidRPr="0063382D">
        <w:rPr>
          <w:rFonts w:ascii="Arial" w:hAnsi="Arial" w:cs="Arial"/>
          <w:b/>
          <w:bCs/>
        </w:rPr>
        <w:t xml:space="preserve"> CUSUM and CUSUMSQ </w:t>
      </w:r>
      <w:r>
        <w:rPr>
          <w:rFonts w:ascii="Arial" w:hAnsi="Arial" w:cs="Arial"/>
          <w:b/>
          <w:bCs/>
        </w:rPr>
        <w:t>(</w:t>
      </w:r>
      <w:r w:rsidRPr="0063382D">
        <w:rPr>
          <w:rFonts w:ascii="Arial" w:hAnsi="Arial" w:cs="Arial"/>
          <w:b/>
          <w:bCs/>
        </w:rPr>
        <w:t>CAR</w:t>
      </w:r>
      <w:r>
        <w:rPr>
          <w:rFonts w:ascii="Arial" w:hAnsi="Arial" w:cs="Arial"/>
          <w:b/>
          <w:bCs/>
        </w:rPr>
        <w:t>)</w:t>
      </w:r>
    </w:p>
    <w:p w14:paraId="72B6368B" w14:textId="77777777" w:rsidR="00E34EA1" w:rsidRDefault="00E34EA1" w:rsidP="00A77B93">
      <w:pPr>
        <w:pBdr>
          <w:top w:val="single" w:sz="4" w:space="1" w:color="auto"/>
          <w:left w:val="single" w:sz="4" w:space="4" w:color="auto"/>
          <w:bottom w:val="single" w:sz="4" w:space="1" w:color="auto"/>
          <w:right w:val="single" w:sz="4" w:space="0" w:color="auto"/>
        </w:pBdr>
        <w:spacing w:after="0"/>
        <w:rPr>
          <w:noProof/>
        </w:rPr>
      </w:pPr>
      <w:r>
        <w:rPr>
          <w:noProof/>
        </w:rPr>
        <w:drawing>
          <wp:inline distT="0" distB="0" distL="0" distR="0" wp14:anchorId="2D7BDBF8" wp14:editId="73A807A8">
            <wp:extent cx="2880360" cy="1704975"/>
            <wp:effectExtent l="0" t="0" r="0" b="0"/>
            <wp:docPr id="223319691" name="Picture 22331969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
                    <pic:cNvPicPr>
                      <a:picLocks noChangeAspect="1" noChangeArrowheads="1"/>
                    </pic:cNvPicPr>
                  </pic:nvPicPr>
                  <pic:blipFill>
                    <a:blip r:embed="rId82" cstate="print">
                      <a:extLst>
                        <a:ext uri="{28A0092B-C50C-407E-A947-70E740481C1C}">
                          <a14:useLocalDpi xmlns:a14="http://schemas.microsoft.com/office/drawing/2010/main" val="0"/>
                        </a:ext>
                      </a:extLst>
                    </a:blip>
                    <a:srcRect/>
                    <a:stretch>
                      <a:fillRect/>
                    </a:stretch>
                  </pic:blipFill>
                  <pic:spPr bwMode="auto">
                    <a:xfrm>
                      <a:off x="0" y="0"/>
                      <a:ext cx="2880360" cy="1704975"/>
                    </a:xfrm>
                    <a:prstGeom prst="rect">
                      <a:avLst/>
                    </a:prstGeom>
                    <a:noFill/>
                    <a:ln>
                      <a:noFill/>
                    </a:ln>
                  </pic:spPr>
                </pic:pic>
              </a:graphicData>
            </a:graphic>
          </wp:inline>
        </w:drawing>
      </w:r>
      <w:r>
        <w:rPr>
          <w:noProof/>
        </w:rPr>
        <w:t xml:space="preserve">     </w:t>
      </w:r>
      <w:r>
        <w:rPr>
          <w:noProof/>
        </w:rPr>
        <w:drawing>
          <wp:inline distT="0" distB="0" distL="0" distR="0" wp14:anchorId="73711B5E" wp14:editId="5533CC19">
            <wp:extent cx="2659380" cy="1657350"/>
            <wp:effectExtent l="0" t="0" r="0" b="0"/>
            <wp:docPr id="1716653880" name="Picture 171665388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
                    <pic:cNvPicPr>
                      <a:picLocks noChangeAspect="1" noChangeArrowheads="1"/>
                    </pic:cNvPicPr>
                  </pic:nvPicPr>
                  <pic:blipFill>
                    <a:blip r:embed="rId83" cstate="print">
                      <a:extLst>
                        <a:ext uri="{28A0092B-C50C-407E-A947-70E740481C1C}">
                          <a14:useLocalDpi xmlns:a14="http://schemas.microsoft.com/office/drawing/2010/main" val="0"/>
                        </a:ext>
                      </a:extLst>
                    </a:blip>
                    <a:srcRect/>
                    <a:stretch>
                      <a:fillRect/>
                    </a:stretch>
                  </pic:blipFill>
                  <pic:spPr bwMode="auto">
                    <a:xfrm>
                      <a:off x="0" y="0"/>
                      <a:ext cx="2659380" cy="1657350"/>
                    </a:xfrm>
                    <a:prstGeom prst="rect">
                      <a:avLst/>
                    </a:prstGeom>
                    <a:noFill/>
                    <a:ln>
                      <a:noFill/>
                    </a:ln>
                  </pic:spPr>
                </pic:pic>
              </a:graphicData>
            </a:graphic>
          </wp:inline>
        </w:drawing>
      </w:r>
    </w:p>
    <w:p w14:paraId="44AC2EAA" w14:textId="77777777" w:rsidR="00A77B93" w:rsidRDefault="00A77B93" w:rsidP="00A77B93">
      <w:pPr>
        <w:pStyle w:val="ListParagraph"/>
        <w:autoSpaceDE w:val="0"/>
        <w:autoSpaceDN w:val="0"/>
        <w:adjustRightInd w:val="0"/>
        <w:spacing w:after="0" w:line="240" w:lineRule="auto"/>
        <w:ind w:left="0"/>
        <w:rPr>
          <w:rFonts w:ascii="Arial" w:hAnsi="Arial" w:cs="Arial"/>
          <w:sz w:val="20"/>
          <w:szCs w:val="20"/>
        </w:rPr>
      </w:pPr>
      <w:r w:rsidRPr="005D14CA">
        <w:rPr>
          <w:rFonts w:ascii="Arial" w:hAnsi="Arial" w:cs="Arial"/>
          <w:i/>
          <w:sz w:val="20"/>
          <w:szCs w:val="20"/>
        </w:rPr>
        <w:t>Source</w:t>
      </w:r>
      <w:r w:rsidRPr="005D14CA">
        <w:rPr>
          <w:rFonts w:ascii="Arial" w:hAnsi="Arial" w:cs="Arial"/>
          <w:sz w:val="20"/>
          <w:szCs w:val="20"/>
        </w:rPr>
        <w:t>: Computation from time-series data using EViews 12</w:t>
      </w:r>
    </w:p>
    <w:p w14:paraId="1D9CFE78" w14:textId="77777777" w:rsidR="00A77B93" w:rsidRPr="005D14CA" w:rsidRDefault="00A77B93" w:rsidP="00A77B93">
      <w:pPr>
        <w:pStyle w:val="ListParagraph"/>
        <w:autoSpaceDE w:val="0"/>
        <w:autoSpaceDN w:val="0"/>
        <w:adjustRightInd w:val="0"/>
        <w:spacing w:after="0" w:line="240" w:lineRule="auto"/>
        <w:ind w:left="0"/>
        <w:rPr>
          <w:rFonts w:ascii="Arial" w:hAnsi="Arial" w:cs="Arial"/>
          <w:b/>
          <w:sz w:val="20"/>
          <w:szCs w:val="20"/>
        </w:rPr>
      </w:pPr>
    </w:p>
    <w:p w14:paraId="1A2E2D29" w14:textId="77777777" w:rsidR="00A77B93" w:rsidRDefault="00A77B93" w:rsidP="0066301C">
      <w:pPr>
        <w:pBdr>
          <w:top w:val="single" w:sz="4" w:space="1" w:color="auto"/>
          <w:left w:val="single" w:sz="4" w:space="4" w:color="auto"/>
          <w:bottom w:val="single" w:sz="4" w:space="1" w:color="auto"/>
          <w:right w:val="single" w:sz="4" w:space="4" w:color="auto"/>
        </w:pBdr>
        <w:rPr>
          <w:noProof/>
        </w:rPr>
      </w:pPr>
    </w:p>
    <w:p w14:paraId="592C18FD" w14:textId="4D8C4B36" w:rsidR="00E34EA1" w:rsidRDefault="00E34EA1" w:rsidP="00A77B93">
      <w:pPr>
        <w:pBdr>
          <w:top w:val="single" w:sz="4" w:space="1" w:color="auto"/>
          <w:left w:val="single" w:sz="4" w:space="4" w:color="auto"/>
          <w:bottom w:val="single" w:sz="4" w:space="1" w:color="auto"/>
          <w:right w:val="single" w:sz="4" w:space="4" w:color="auto"/>
        </w:pBdr>
        <w:spacing w:after="0"/>
        <w:rPr>
          <w:noProof/>
        </w:rPr>
      </w:pPr>
      <w:r>
        <w:rPr>
          <w:noProof/>
        </w:rPr>
        <w:drawing>
          <wp:inline distT="0" distB="0" distL="0" distR="0" wp14:anchorId="3F29CB1A" wp14:editId="5C89C531">
            <wp:extent cx="2971800" cy="1828800"/>
            <wp:effectExtent l="0" t="0" r="0" b="0"/>
            <wp:docPr id="429642914" name="Picture 42964291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73"/>
                    <pic:cNvPicPr>
                      <a:picLocks noChangeAspect="1" noChangeArrowheads="1"/>
                    </pic:cNvPicPr>
                  </pic:nvPicPr>
                  <pic:blipFill>
                    <a:blip r:embed="rId84" cstate="print">
                      <a:extLst>
                        <a:ext uri="{28A0092B-C50C-407E-A947-70E740481C1C}">
                          <a14:useLocalDpi xmlns:a14="http://schemas.microsoft.com/office/drawing/2010/main" val="0"/>
                        </a:ext>
                      </a:extLst>
                    </a:blip>
                    <a:srcRect/>
                    <a:stretch>
                      <a:fillRect/>
                    </a:stretch>
                  </pic:blipFill>
                  <pic:spPr bwMode="auto">
                    <a:xfrm>
                      <a:off x="0" y="0"/>
                      <a:ext cx="2971800" cy="1828800"/>
                    </a:xfrm>
                    <a:prstGeom prst="rect">
                      <a:avLst/>
                    </a:prstGeom>
                    <a:noFill/>
                    <a:ln>
                      <a:noFill/>
                    </a:ln>
                  </pic:spPr>
                </pic:pic>
              </a:graphicData>
            </a:graphic>
          </wp:inline>
        </w:drawing>
      </w:r>
      <w:r>
        <w:rPr>
          <w:noProof/>
        </w:rPr>
        <w:t xml:space="preserve">   </w:t>
      </w:r>
      <w:r>
        <w:rPr>
          <w:noProof/>
        </w:rPr>
        <w:drawing>
          <wp:inline distT="0" distB="0" distL="0" distR="0" wp14:anchorId="51A445CE" wp14:editId="0271E373">
            <wp:extent cx="2651760" cy="1876425"/>
            <wp:effectExtent l="0" t="0" r="0" b="0"/>
            <wp:docPr id="1459850511" name="Picture 145985051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6"/>
                    <pic:cNvPicPr>
                      <a:picLocks noChangeAspect="1" noChangeArrowheads="1"/>
                    </pic:cNvPicPr>
                  </pic:nvPicPr>
                  <pic:blipFill>
                    <a:blip r:embed="rId85" cstate="print">
                      <a:extLst>
                        <a:ext uri="{28A0092B-C50C-407E-A947-70E740481C1C}">
                          <a14:useLocalDpi xmlns:a14="http://schemas.microsoft.com/office/drawing/2010/main" val="0"/>
                        </a:ext>
                      </a:extLst>
                    </a:blip>
                    <a:srcRect/>
                    <a:stretch>
                      <a:fillRect/>
                    </a:stretch>
                  </pic:blipFill>
                  <pic:spPr bwMode="auto">
                    <a:xfrm>
                      <a:off x="0" y="0"/>
                      <a:ext cx="2651760" cy="1876425"/>
                    </a:xfrm>
                    <a:prstGeom prst="rect">
                      <a:avLst/>
                    </a:prstGeom>
                    <a:noFill/>
                    <a:ln>
                      <a:noFill/>
                    </a:ln>
                  </pic:spPr>
                </pic:pic>
              </a:graphicData>
            </a:graphic>
          </wp:inline>
        </w:drawing>
      </w:r>
    </w:p>
    <w:p w14:paraId="0BC7802C" w14:textId="1A740DD7" w:rsidR="00E34EA1" w:rsidRPr="00A77B93" w:rsidRDefault="00A77B93" w:rsidP="00A77B93">
      <w:pPr>
        <w:pStyle w:val="ListParagraph"/>
        <w:autoSpaceDE w:val="0"/>
        <w:autoSpaceDN w:val="0"/>
        <w:adjustRightInd w:val="0"/>
        <w:spacing w:after="0" w:line="240" w:lineRule="auto"/>
        <w:ind w:left="0"/>
        <w:rPr>
          <w:rFonts w:ascii="Arial" w:hAnsi="Arial" w:cs="Arial"/>
          <w:b/>
          <w:sz w:val="20"/>
          <w:szCs w:val="20"/>
        </w:rPr>
      </w:pPr>
      <w:r w:rsidRPr="005D14CA">
        <w:rPr>
          <w:rFonts w:ascii="Arial" w:hAnsi="Arial" w:cs="Arial"/>
          <w:i/>
          <w:sz w:val="20"/>
          <w:szCs w:val="20"/>
        </w:rPr>
        <w:t>Source</w:t>
      </w:r>
      <w:r w:rsidRPr="005D14CA">
        <w:rPr>
          <w:rFonts w:ascii="Arial" w:hAnsi="Arial" w:cs="Arial"/>
          <w:sz w:val="20"/>
          <w:szCs w:val="20"/>
        </w:rPr>
        <w:t>: Computation from time-series data using EViews 12</w:t>
      </w:r>
    </w:p>
    <w:p w14:paraId="7F8CDECA" w14:textId="77777777" w:rsidR="00E34EA1" w:rsidRDefault="00E34EA1" w:rsidP="00A77B93">
      <w:pPr>
        <w:pBdr>
          <w:top w:val="single" w:sz="4" w:space="1" w:color="auto"/>
          <w:left w:val="single" w:sz="4" w:space="4" w:color="auto"/>
          <w:bottom w:val="single" w:sz="4" w:space="1" w:color="auto"/>
          <w:right w:val="single" w:sz="4" w:space="4" w:color="auto"/>
        </w:pBdr>
        <w:spacing w:after="0"/>
      </w:pPr>
      <w:r>
        <w:rPr>
          <w:noProof/>
        </w:rPr>
        <w:drawing>
          <wp:inline distT="0" distB="0" distL="0" distR="0" wp14:anchorId="56A4FC97" wp14:editId="300F64F8">
            <wp:extent cx="2727960" cy="1857375"/>
            <wp:effectExtent l="0" t="0" r="0" b="0"/>
            <wp:docPr id="1292256396" name="Picture 129225639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
                    <pic:cNvPicPr>
                      <a:picLocks noChangeAspect="1" noChangeArrowheads="1"/>
                    </pic:cNvPicPr>
                  </pic:nvPicPr>
                  <pic:blipFill>
                    <a:blip r:embed="rId86" cstate="print">
                      <a:extLst>
                        <a:ext uri="{28A0092B-C50C-407E-A947-70E740481C1C}">
                          <a14:useLocalDpi xmlns:a14="http://schemas.microsoft.com/office/drawing/2010/main" val="0"/>
                        </a:ext>
                      </a:extLst>
                    </a:blip>
                    <a:srcRect/>
                    <a:stretch>
                      <a:fillRect/>
                    </a:stretch>
                  </pic:blipFill>
                  <pic:spPr bwMode="auto">
                    <a:xfrm>
                      <a:off x="0" y="0"/>
                      <a:ext cx="2727960" cy="1857375"/>
                    </a:xfrm>
                    <a:prstGeom prst="rect">
                      <a:avLst/>
                    </a:prstGeom>
                    <a:noFill/>
                    <a:ln>
                      <a:noFill/>
                    </a:ln>
                  </pic:spPr>
                </pic:pic>
              </a:graphicData>
            </a:graphic>
          </wp:inline>
        </w:drawing>
      </w:r>
      <w:r>
        <w:t xml:space="preserve">     </w:t>
      </w:r>
      <w:r>
        <w:rPr>
          <w:noProof/>
        </w:rPr>
        <w:drawing>
          <wp:inline distT="0" distB="0" distL="0" distR="0" wp14:anchorId="187FA104" wp14:editId="542E9C70">
            <wp:extent cx="2788920" cy="1781175"/>
            <wp:effectExtent l="0" t="0" r="0" b="0"/>
            <wp:docPr id="52044177" name="Picture 5204417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7"/>
                    <pic:cNvPicPr>
                      <a:picLocks noChangeAspect="1" noChangeArrowheads="1"/>
                    </pic:cNvPicPr>
                  </pic:nvPicPr>
                  <pic:blipFill>
                    <a:blip r:embed="rId87" cstate="print">
                      <a:extLst>
                        <a:ext uri="{28A0092B-C50C-407E-A947-70E740481C1C}">
                          <a14:useLocalDpi xmlns:a14="http://schemas.microsoft.com/office/drawing/2010/main" val="0"/>
                        </a:ext>
                      </a:extLst>
                    </a:blip>
                    <a:srcRect/>
                    <a:stretch>
                      <a:fillRect/>
                    </a:stretch>
                  </pic:blipFill>
                  <pic:spPr bwMode="auto">
                    <a:xfrm>
                      <a:off x="0" y="0"/>
                      <a:ext cx="2788920" cy="1781175"/>
                    </a:xfrm>
                    <a:prstGeom prst="rect">
                      <a:avLst/>
                    </a:prstGeom>
                    <a:noFill/>
                    <a:ln>
                      <a:noFill/>
                    </a:ln>
                  </pic:spPr>
                </pic:pic>
              </a:graphicData>
            </a:graphic>
          </wp:inline>
        </w:drawing>
      </w:r>
    </w:p>
    <w:p w14:paraId="7143A195" w14:textId="77777777" w:rsidR="00A77B93" w:rsidRPr="005D14CA" w:rsidRDefault="00A77B93" w:rsidP="00A77B93">
      <w:pPr>
        <w:pStyle w:val="ListParagraph"/>
        <w:autoSpaceDE w:val="0"/>
        <w:autoSpaceDN w:val="0"/>
        <w:adjustRightInd w:val="0"/>
        <w:spacing w:after="0" w:line="240" w:lineRule="auto"/>
        <w:ind w:left="0"/>
        <w:rPr>
          <w:rFonts w:ascii="Arial" w:hAnsi="Arial" w:cs="Arial"/>
          <w:b/>
          <w:sz w:val="20"/>
          <w:szCs w:val="20"/>
        </w:rPr>
      </w:pPr>
      <w:r w:rsidRPr="005D14CA">
        <w:rPr>
          <w:rFonts w:ascii="Arial" w:hAnsi="Arial" w:cs="Arial"/>
          <w:i/>
          <w:sz w:val="20"/>
          <w:szCs w:val="20"/>
        </w:rPr>
        <w:t>Source</w:t>
      </w:r>
      <w:r w:rsidRPr="005D14CA">
        <w:rPr>
          <w:rFonts w:ascii="Arial" w:hAnsi="Arial" w:cs="Arial"/>
          <w:sz w:val="20"/>
          <w:szCs w:val="20"/>
        </w:rPr>
        <w:t>: Computation from time-series data using EViews 12</w:t>
      </w:r>
    </w:p>
    <w:p w14:paraId="5A4BDE2C" w14:textId="77777777" w:rsidR="00E34EA1" w:rsidRDefault="00E34EA1" w:rsidP="0066301C">
      <w:pPr>
        <w:rPr>
          <w:noProof/>
        </w:rPr>
      </w:pPr>
    </w:p>
    <w:p w14:paraId="2B972251" w14:textId="77777777" w:rsidR="00E34EA1" w:rsidRDefault="00E34EA1" w:rsidP="00A77B93">
      <w:pPr>
        <w:pBdr>
          <w:top w:val="single" w:sz="4" w:space="1" w:color="auto"/>
          <w:left w:val="single" w:sz="4" w:space="4" w:color="auto"/>
          <w:bottom w:val="single" w:sz="4" w:space="1" w:color="auto"/>
          <w:right w:val="single" w:sz="4" w:space="4" w:color="auto"/>
        </w:pBdr>
        <w:spacing w:after="0"/>
        <w:rPr>
          <w:noProof/>
        </w:rPr>
      </w:pPr>
      <w:r>
        <w:rPr>
          <w:noProof/>
        </w:rPr>
        <w:drawing>
          <wp:inline distT="0" distB="0" distL="0" distR="0" wp14:anchorId="7D626100" wp14:editId="77E4BA7E">
            <wp:extent cx="2766060" cy="1733550"/>
            <wp:effectExtent l="0" t="0" r="0" b="0"/>
            <wp:docPr id="1257739846" name="Picture 125773984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8"/>
                    <pic:cNvPicPr>
                      <a:picLocks noChangeAspect="1" noChangeArrowheads="1"/>
                    </pic:cNvPicPr>
                  </pic:nvPicPr>
                  <pic:blipFill>
                    <a:blip r:embed="rId88" cstate="print">
                      <a:extLst>
                        <a:ext uri="{28A0092B-C50C-407E-A947-70E740481C1C}">
                          <a14:useLocalDpi xmlns:a14="http://schemas.microsoft.com/office/drawing/2010/main" val="0"/>
                        </a:ext>
                      </a:extLst>
                    </a:blip>
                    <a:srcRect/>
                    <a:stretch>
                      <a:fillRect/>
                    </a:stretch>
                  </pic:blipFill>
                  <pic:spPr bwMode="auto">
                    <a:xfrm>
                      <a:off x="0" y="0"/>
                      <a:ext cx="2766060" cy="1733550"/>
                    </a:xfrm>
                    <a:prstGeom prst="rect">
                      <a:avLst/>
                    </a:prstGeom>
                    <a:noFill/>
                    <a:ln>
                      <a:noFill/>
                    </a:ln>
                  </pic:spPr>
                </pic:pic>
              </a:graphicData>
            </a:graphic>
          </wp:inline>
        </w:drawing>
      </w:r>
      <w:r>
        <w:rPr>
          <w:noProof/>
        </w:rPr>
        <w:t xml:space="preserve">     </w:t>
      </w:r>
      <w:r>
        <w:rPr>
          <w:noProof/>
        </w:rPr>
        <w:drawing>
          <wp:inline distT="0" distB="0" distL="0" distR="0" wp14:anchorId="4EFC4D65" wp14:editId="0F9511B2">
            <wp:extent cx="2758440" cy="1733550"/>
            <wp:effectExtent l="0" t="0" r="0" b="0"/>
            <wp:docPr id="358017698" name="Picture 35801769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9"/>
                    <pic:cNvPicPr>
                      <a:picLocks noChangeAspect="1" noChangeArrowheads="1"/>
                    </pic:cNvPicPr>
                  </pic:nvPicPr>
                  <pic:blipFill>
                    <a:blip r:embed="rId89" cstate="print">
                      <a:extLst>
                        <a:ext uri="{28A0092B-C50C-407E-A947-70E740481C1C}">
                          <a14:useLocalDpi xmlns:a14="http://schemas.microsoft.com/office/drawing/2010/main" val="0"/>
                        </a:ext>
                      </a:extLst>
                    </a:blip>
                    <a:srcRect/>
                    <a:stretch>
                      <a:fillRect/>
                    </a:stretch>
                  </pic:blipFill>
                  <pic:spPr bwMode="auto">
                    <a:xfrm>
                      <a:off x="0" y="0"/>
                      <a:ext cx="2758440" cy="1733550"/>
                    </a:xfrm>
                    <a:prstGeom prst="rect">
                      <a:avLst/>
                    </a:prstGeom>
                    <a:noFill/>
                    <a:ln>
                      <a:noFill/>
                    </a:ln>
                  </pic:spPr>
                </pic:pic>
              </a:graphicData>
            </a:graphic>
          </wp:inline>
        </w:drawing>
      </w:r>
    </w:p>
    <w:p w14:paraId="5460DADA" w14:textId="77777777" w:rsidR="00A77B93" w:rsidRDefault="00A77B93" w:rsidP="00A77B93">
      <w:pPr>
        <w:pStyle w:val="ListParagraph"/>
        <w:autoSpaceDE w:val="0"/>
        <w:autoSpaceDN w:val="0"/>
        <w:adjustRightInd w:val="0"/>
        <w:spacing w:after="0" w:line="240" w:lineRule="auto"/>
        <w:ind w:left="0"/>
        <w:rPr>
          <w:rFonts w:ascii="Arial" w:hAnsi="Arial" w:cs="Arial"/>
          <w:sz w:val="20"/>
          <w:szCs w:val="20"/>
        </w:rPr>
      </w:pPr>
      <w:r w:rsidRPr="005D14CA">
        <w:rPr>
          <w:rFonts w:ascii="Arial" w:hAnsi="Arial" w:cs="Arial"/>
          <w:i/>
          <w:sz w:val="20"/>
          <w:szCs w:val="20"/>
        </w:rPr>
        <w:t>Source</w:t>
      </w:r>
      <w:r w:rsidRPr="005D14CA">
        <w:rPr>
          <w:rFonts w:ascii="Arial" w:hAnsi="Arial" w:cs="Arial"/>
          <w:sz w:val="20"/>
          <w:szCs w:val="20"/>
        </w:rPr>
        <w:t>: Computation from time-series data using EViews 12</w:t>
      </w:r>
    </w:p>
    <w:p w14:paraId="07226B45" w14:textId="77777777" w:rsidR="00A77B93" w:rsidRPr="005D14CA" w:rsidRDefault="00A77B93" w:rsidP="00A77B93">
      <w:pPr>
        <w:pStyle w:val="ListParagraph"/>
        <w:autoSpaceDE w:val="0"/>
        <w:autoSpaceDN w:val="0"/>
        <w:adjustRightInd w:val="0"/>
        <w:spacing w:after="0" w:line="240" w:lineRule="auto"/>
        <w:ind w:left="0"/>
        <w:rPr>
          <w:rFonts w:ascii="Arial" w:hAnsi="Arial" w:cs="Arial"/>
          <w:b/>
          <w:sz w:val="20"/>
          <w:szCs w:val="20"/>
        </w:rPr>
      </w:pPr>
    </w:p>
    <w:p w14:paraId="4FFBF13C" w14:textId="77777777" w:rsidR="00E34EA1" w:rsidRDefault="00E34EA1" w:rsidP="00A77B93">
      <w:pPr>
        <w:pBdr>
          <w:top w:val="single" w:sz="4" w:space="1" w:color="auto"/>
          <w:left w:val="single" w:sz="4" w:space="4" w:color="auto"/>
          <w:bottom w:val="single" w:sz="4" w:space="1" w:color="auto"/>
          <w:right w:val="single" w:sz="4" w:space="0" w:color="auto"/>
        </w:pBdr>
        <w:spacing w:after="0"/>
      </w:pPr>
      <w:r>
        <w:rPr>
          <w:noProof/>
        </w:rPr>
        <w:drawing>
          <wp:inline distT="0" distB="0" distL="0" distR="0" wp14:anchorId="5B2EAB57" wp14:editId="38982EF1">
            <wp:extent cx="2781300" cy="1685925"/>
            <wp:effectExtent l="0" t="0" r="0" b="0"/>
            <wp:docPr id="920339981" name="Picture 92033998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896956989"/>
                    <pic:cNvPicPr>
                      <a:picLocks noChangeAspect="1" noChangeArrowheads="1"/>
                    </pic:cNvPicPr>
                  </pic:nvPicPr>
                  <pic:blipFill>
                    <a:blip r:embed="rId90" cstate="print">
                      <a:extLst>
                        <a:ext uri="{28A0092B-C50C-407E-A947-70E740481C1C}">
                          <a14:useLocalDpi xmlns:a14="http://schemas.microsoft.com/office/drawing/2010/main" val="0"/>
                        </a:ext>
                      </a:extLst>
                    </a:blip>
                    <a:srcRect/>
                    <a:stretch>
                      <a:fillRect/>
                    </a:stretch>
                  </pic:blipFill>
                  <pic:spPr bwMode="auto">
                    <a:xfrm>
                      <a:off x="0" y="0"/>
                      <a:ext cx="2781300" cy="1685925"/>
                    </a:xfrm>
                    <a:prstGeom prst="rect">
                      <a:avLst/>
                    </a:prstGeom>
                    <a:noFill/>
                    <a:ln>
                      <a:noFill/>
                    </a:ln>
                  </pic:spPr>
                </pic:pic>
              </a:graphicData>
            </a:graphic>
          </wp:inline>
        </w:drawing>
      </w:r>
      <w:r>
        <w:t xml:space="preserve">   </w:t>
      </w:r>
      <w:r>
        <w:rPr>
          <w:noProof/>
        </w:rPr>
        <w:drawing>
          <wp:inline distT="0" distB="0" distL="0" distR="0" wp14:anchorId="6CF7F720" wp14:editId="1F0B71A1">
            <wp:extent cx="2827020" cy="1733550"/>
            <wp:effectExtent l="0" t="0" r="0" b="0"/>
            <wp:docPr id="681851826" name="Picture 68185182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992824999"/>
                    <pic:cNvPicPr>
                      <a:picLocks noChangeAspect="1" noChangeArrowheads="1"/>
                    </pic:cNvPicPr>
                  </pic:nvPicPr>
                  <pic:blipFill>
                    <a:blip r:embed="rId91" cstate="print">
                      <a:extLst>
                        <a:ext uri="{28A0092B-C50C-407E-A947-70E740481C1C}">
                          <a14:useLocalDpi xmlns:a14="http://schemas.microsoft.com/office/drawing/2010/main" val="0"/>
                        </a:ext>
                      </a:extLst>
                    </a:blip>
                    <a:srcRect/>
                    <a:stretch>
                      <a:fillRect/>
                    </a:stretch>
                  </pic:blipFill>
                  <pic:spPr bwMode="auto">
                    <a:xfrm>
                      <a:off x="0" y="0"/>
                      <a:ext cx="2827020" cy="1733550"/>
                    </a:xfrm>
                    <a:prstGeom prst="rect">
                      <a:avLst/>
                    </a:prstGeom>
                    <a:noFill/>
                    <a:ln>
                      <a:noFill/>
                    </a:ln>
                  </pic:spPr>
                </pic:pic>
              </a:graphicData>
            </a:graphic>
          </wp:inline>
        </w:drawing>
      </w:r>
    </w:p>
    <w:p w14:paraId="4752AB5E" w14:textId="77777777" w:rsidR="00A77B93" w:rsidRPr="005D14CA" w:rsidRDefault="00A77B93" w:rsidP="00A77B93">
      <w:pPr>
        <w:pStyle w:val="ListParagraph"/>
        <w:autoSpaceDE w:val="0"/>
        <w:autoSpaceDN w:val="0"/>
        <w:adjustRightInd w:val="0"/>
        <w:spacing w:after="0" w:line="240" w:lineRule="auto"/>
        <w:ind w:left="0"/>
        <w:rPr>
          <w:rFonts w:ascii="Arial" w:hAnsi="Arial" w:cs="Arial"/>
          <w:b/>
          <w:sz w:val="20"/>
          <w:szCs w:val="20"/>
        </w:rPr>
      </w:pPr>
      <w:r w:rsidRPr="005D14CA">
        <w:rPr>
          <w:rFonts w:ascii="Arial" w:hAnsi="Arial" w:cs="Arial"/>
          <w:i/>
          <w:sz w:val="20"/>
          <w:szCs w:val="20"/>
        </w:rPr>
        <w:t>Source</w:t>
      </w:r>
      <w:r w:rsidRPr="005D14CA">
        <w:rPr>
          <w:rFonts w:ascii="Arial" w:hAnsi="Arial" w:cs="Arial"/>
          <w:sz w:val="20"/>
          <w:szCs w:val="20"/>
        </w:rPr>
        <w:t>: Computation from time-series data using EViews 12</w:t>
      </w:r>
    </w:p>
    <w:p w14:paraId="0F62671D" w14:textId="77777777" w:rsidR="00E34EA1" w:rsidRDefault="00E34EA1" w:rsidP="0066301C">
      <w:pPr>
        <w:spacing w:after="0"/>
        <w:rPr>
          <w:rFonts w:ascii="Arial" w:hAnsi="Arial" w:cs="Arial"/>
          <w:b/>
          <w:bCs/>
          <w:highlight w:val="yellow"/>
        </w:rPr>
      </w:pPr>
    </w:p>
    <w:p w14:paraId="4D1A6E9E" w14:textId="77777777" w:rsidR="00E34EA1" w:rsidRPr="003D6AB7" w:rsidRDefault="00E34EA1" w:rsidP="0066301C">
      <w:pPr>
        <w:spacing w:after="0"/>
        <w:rPr>
          <w:b/>
          <w:bCs/>
        </w:rPr>
      </w:pPr>
      <w:r w:rsidRPr="00FD2256">
        <w:rPr>
          <w:rFonts w:ascii="Arial" w:hAnsi="Arial" w:cs="Arial"/>
          <w:b/>
          <w:bCs/>
        </w:rPr>
        <w:t>Figure 4.5c:</w:t>
      </w:r>
      <w:r w:rsidRPr="003D6AB7">
        <w:rPr>
          <w:rFonts w:ascii="Arial" w:hAnsi="Arial" w:cs="Arial"/>
          <w:b/>
          <w:bCs/>
        </w:rPr>
        <w:t xml:space="preserve"> CUSUM and CUSUMSQ for Gabon</w:t>
      </w:r>
    </w:p>
    <w:p w14:paraId="0A128E40" w14:textId="77777777" w:rsidR="00E34EA1" w:rsidRDefault="00E34EA1" w:rsidP="00A77B93">
      <w:pPr>
        <w:pBdr>
          <w:top w:val="single" w:sz="4" w:space="1" w:color="auto"/>
          <w:left w:val="single" w:sz="4" w:space="4" w:color="auto"/>
          <w:bottom w:val="single" w:sz="4" w:space="1" w:color="auto"/>
          <w:right w:val="single" w:sz="4" w:space="4" w:color="auto"/>
        </w:pBdr>
        <w:spacing w:after="0"/>
      </w:pPr>
      <w:r>
        <w:rPr>
          <w:noProof/>
        </w:rPr>
        <w:drawing>
          <wp:inline distT="0" distB="0" distL="0" distR="0" wp14:anchorId="7C307796" wp14:editId="1E987BE4">
            <wp:extent cx="2849880" cy="1800225"/>
            <wp:effectExtent l="0" t="0" r="0" b="0"/>
            <wp:docPr id="248534494" name="Picture 24853449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2"/>
                    <pic:cNvPicPr>
                      <a:picLocks noChangeAspect="1" noChangeArrowheads="1"/>
                    </pic:cNvPicPr>
                  </pic:nvPicPr>
                  <pic:blipFill>
                    <a:blip r:embed="rId92" cstate="print">
                      <a:extLst>
                        <a:ext uri="{28A0092B-C50C-407E-A947-70E740481C1C}">
                          <a14:useLocalDpi xmlns:a14="http://schemas.microsoft.com/office/drawing/2010/main" val="0"/>
                        </a:ext>
                      </a:extLst>
                    </a:blip>
                    <a:srcRect/>
                    <a:stretch>
                      <a:fillRect/>
                    </a:stretch>
                  </pic:blipFill>
                  <pic:spPr bwMode="auto">
                    <a:xfrm>
                      <a:off x="0" y="0"/>
                      <a:ext cx="2849880" cy="1800225"/>
                    </a:xfrm>
                    <a:prstGeom prst="rect">
                      <a:avLst/>
                    </a:prstGeom>
                    <a:noFill/>
                    <a:ln>
                      <a:noFill/>
                    </a:ln>
                  </pic:spPr>
                </pic:pic>
              </a:graphicData>
            </a:graphic>
          </wp:inline>
        </w:drawing>
      </w:r>
      <w:r>
        <w:t xml:space="preserve">   </w:t>
      </w:r>
      <w:r>
        <w:rPr>
          <w:noProof/>
        </w:rPr>
        <w:drawing>
          <wp:inline distT="0" distB="0" distL="0" distR="0" wp14:anchorId="4DA7C411" wp14:editId="4A6C54D8">
            <wp:extent cx="2743200" cy="1657350"/>
            <wp:effectExtent l="0" t="0" r="0" b="0"/>
            <wp:docPr id="703679472" name="Picture 70367947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3"/>
                    <pic:cNvPicPr>
                      <a:picLocks noChangeAspect="1" noChangeArrowheads="1"/>
                    </pic:cNvPicPr>
                  </pic:nvPicPr>
                  <pic:blipFill>
                    <a:blip r:embed="rId93" cstate="print">
                      <a:extLst>
                        <a:ext uri="{28A0092B-C50C-407E-A947-70E740481C1C}">
                          <a14:useLocalDpi xmlns:a14="http://schemas.microsoft.com/office/drawing/2010/main" val="0"/>
                        </a:ext>
                      </a:extLst>
                    </a:blip>
                    <a:srcRect/>
                    <a:stretch>
                      <a:fillRect/>
                    </a:stretch>
                  </pic:blipFill>
                  <pic:spPr bwMode="auto">
                    <a:xfrm>
                      <a:off x="0" y="0"/>
                      <a:ext cx="2743200" cy="1657350"/>
                    </a:xfrm>
                    <a:prstGeom prst="rect">
                      <a:avLst/>
                    </a:prstGeom>
                    <a:noFill/>
                    <a:ln>
                      <a:noFill/>
                    </a:ln>
                  </pic:spPr>
                </pic:pic>
              </a:graphicData>
            </a:graphic>
          </wp:inline>
        </w:drawing>
      </w:r>
    </w:p>
    <w:p w14:paraId="04E7E17B" w14:textId="4E79F1EF" w:rsidR="00E34EA1" w:rsidRPr="00A77B93" w:rsidRDefault="00A77B93" w:rsidP="00A77B93">
      <w:pPr>
        <w:pStyle w:val="ListParagraph"/>
        <w:autoSpaceDE w:val="0"/>
        <w:autoSpaceDN w:val="0"/>
        <w:adjustRightInd w:val="0"/>
        <w:spacing w:after="0" w:line="240" w:lineRule="auto"/>
        <w:ind w:left="0"/>
        <w:rPr>
          <w:rFonts w:ascii="Arial" w:hAnsi="Arial" w:cs="Arial"/>
          <w:b/>
          <w:sz w:val="20"/>
          <w:szCs w:val="20"/>
        </w:rPr>
      </w:pPr>
      <w:r w:rsidRPr="005D14CA">
        <w:rPr>
          <w:rFonts w:ascii="Arial" w:hAnsi="Arial" w:cs="Arial"/>
          <w:i/>
          <w:sz w:val="20"/>
          <w:szCs w:val="20"/>
        </w:rPr>
        <w:t>Source</w:t>
      </w:r>
      <w:r w:rsidRPr="005D14CA">
        <w:rPr>
          <w:rFonts w:ascii="Arial" w:hAnsi="Arial" w:cs="Arial"/>
          <w:sz w:val="20"/>
          <w:szCs w:val="20"/>
        </w:rPr>
        <w:t>: Computation from time-series data using EViews 12</w:t>
      </w:r>
    </w:p>
    <w:p w14:paraId="4EC1CFF3" w14:textId="77777777" w:rsidR="00E34EA1" w:rsidRDefault="00E34EA1" w:rsidP="00A77B93">
      <w:pPr>
        <w:pBdr>
          <w:top w:val="single" w:sz="4" w:space="1" w:color="auto"/>
          <w:left w:val="single" w:sz="4" w:space="4" w:color="auto"/>
          <w:bottom w:val="single" w:sz="4" w:space="1" w:color="auto"/>
          <w:right w:val="single" w:sz="4" w:space="4" w:color="auto"/>
        </w:pBdr>
        <w:spacing w:after="0"/>
        <w:rPr>
          <w:noProof/>
        </w:rPr>
      </w:pPr>
      <w:r>
        <w:rPr>
          <w:noProof/>
        </w:rPr>
        <w:drawing>
          <wp:inline distT="0" distB="0" distL="0" distR="0" wp14:anchorId="496CFAAB" wp14:editId="08B8CE2A">
            <wp:extent cx="2827020" cy="1581150"/>
            <wp:effectExtent l="0" t="0" r="0" b="0"/>
            <wp:docPr id="633297447" name="Picture 63329744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4"/>
                    <pic:cNvPicPr>
                      <a:picLocks noChangeAspect="1" noChangeArrowheads="1"/>
                    </pic:cNvPicPr>
                  </pic:nvPicPr>
                  <pic:blipFill>
                    <a:blip r:embed="rId94" cstate="print">
                      <a:extLst>
                        <a:ext uri="{28A0092B-C50C-407E-A947-70E740481C1C}">
                          <a14:useLocalDpi xmlns:a14="http://schemas.microsoft.com/office/drawing/2010/main" val="0"/>
                        </a:ext>
                      </a:extLst>
                    </a:blip>
                    <a:srcRect/>
                    <a:stretch>
                      <a:fillRect/>
                    </a:stretch>
                  </pic:blipFill>
                  <pic:spPr bwMode="auto">
                    <a:xfrm>
                      <a:off x="0" y="0"/>
                      <a:ext cx="2827020" cy="1581150"/>
                    </a:xfrm>
                    <a:prstGeom prst="rect">
                      <a:avLst/>
                    </a:prstGeom>
                    <a:noFill/>
                    <a:ln>
                      <a:noFill/>
                    </a:ln>
                  </pic:spPr>
                </pic:pic>
              </a:graphicData>
            </a:graphic>
          </wp:inline>
        </w:drawing>
      </w:r>
      <w:r>
        <w:t xml:space="preserve">     </w:t>
      </w:r>
      <w:r>
        <w:rPr>
          <w:noProof/>
        </w:rPr>
        <w:drawing>
          <wp:inline distT="0" distB="0" distL="0" distR="0" wp14:anchorId="4EF65188" wp14:editId="5AA2A40C">
            <wp:extent cx="2724150" cy="1724025"/>
            <wp:effectExtent l="0" t="0" r="0" b="9525"/>
            <wp:docPr id="1203851577" name="Picture 120385157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5"/>
                    <pic:cNvPicPr>
                      <a:picLocks noChangeAspect="1" noChangeArrowheads="1"/>
                    </pic:cNvPicPr>
                  </pic:nvPicPr>
                  <pic:blipFill>
                    <a:blip r:embed="rId95" cstate="print">
                      <a:extLst>
                        <a:ext uri="{28A0092B-C50C-407E-A947-70E740481C1C}">
                          <a14:useLocalDpi xmlns:a14="http://schemas.microsoft.com/office/drawing/2010/main" val="0"/>
                        </a:ext>
                      </a:extLst>
                    </a:blip>
                    <a:srcRect/>
                    <a:stretch>
                      <a:fillRect/>
                    </a:stretch>
                  </pic:blipFill>
                  <pic:spPr bwMode="auto">
                    <a:xfrm>
                      <a:off x="0" y="0"/>
                      <a:ext cx="2724150" cy="1724025"/>
                    </a:xfrm>
                    <a:prstGeom prst="rect">
                      <a:avLst/>
                    </a:prstGeom>
                    <a:noFill/>
                    <a:ln>
                      <a:noFill/>
                    </a:ln>
                  </pic:spPr>
                </pic:pic>
              </a:graphicData>
            </a:graphic>
          </wp:inline>
        </w:drawing>
      </w:r>
    </w:p>
    <w:p w14:paraId="37433CAF" w14:textId="77777777" w:rsidR="00A77B93" w:rsidRDefault="00A77B93" w:rsidP="00A77B93">
      <w:pPr>
        <w:pStyle w:val="ListParagraph"/>
        <w:autoSpaceDE w:val="0"/>
        <w:autoSpaceDN w:val="0"/>
        <w:adjustRightInd w:val="0"/>
        <w:spacing w:after="0" w:line="240" w:lineRule="auto"/>
        <w:ind w:left="0"/>
        <w:rPr>
          <w:rFonts w:ascii="Arial" w:hAnsi="Arial" w:cs="Arial"/>
          <w:sz w:val="20"/>
          <w:szCs w:val="20"/>
        </w:rPr>
      </w:pPr>
      <w:r w:rsidRPr="005D14CA">
        <w:rPr>
          <w:rFonts w:ascii="Arial" w:hAnsi="Arial" w:cs="Arial"/>
          <w:i/>
          <w:sz w:val="20"/>
          <w:szCs w:val="20"/>
        </w:rPr>
        <w:t>Source</w:t>
      </w:r>
      <w:r w:rsidRPr="005D14CA">
        <w:rPr>
          <w:rFonts w:ascii="Arial" w:hAnsi="Arial" w:cs="Arial"/>
          <w:sz w:val="20"/>
          <w:szCs w:val="20"/>
        </w:rPr>
        <w:t>: Computation from time-series data using EViews 12</w:t>
      </w:r>
    </w:p>
    <w:p w14:paraId="780E9D78" w14:textId="77777777" w:rsidR="00A77B93" w:rsidRPr="005D14CA" w:rsidRDefault="00A77B93" w:rsidP="00A77B93">
      <w:pPr>
        <w:pStyle w:val="ListParagraph"/>
        <w:autoSpaceDE w:val="0"/>
        <w:autoSpaceDN w:val="0"/>
        <w:adjustRightInd w:val="0"/>
        <w:spacing w:after="0" w:line="240" w:lineRule="auto"/>
        <w:ind w:left="0"/>
        <w:rPr>
          <w:rFonts w:ascii="Arial" w:hAnsi="Arial" w:cs="Arial"/>
          <w:b/>
          <w:sz w:val="20"/>
          <w:szCs w:val="20"/>
        </w:rPr>
      </w:pPr>
    </w:p>
    <w:p w14:paraId="288F1143" w14:textId="77777777" w:rsidR="00E34EA1" w:rsidRDefault="00E34EA1" w:rsidP="00A77B93">
      <w:pPr>
        <w:pBdr>
          <w:top w:val="single" w:sz="4" w:space="1" w:color="auto"/>
          <w:left w:val="single" w:sz="4" w:space="4" w:color="auto"/>
          <w:bottom w:val="single" w:sz="4" w:space="1" w:color="auto"/>
          <w:right w:val="single" w:sz="4" w:space="4" w:color="auto"/>
        </w:pBdr>
        <w:spacing w:after="0"/>
      </w:pPr>
      <w:r>
        <w:rPr>
          <w:noProof/>
        </w:rPr>
        <w:drawing>
          <wp:inline distT="0" distB="0" distL="0" distR="0" wp14:anchorId="2C7C51CD" wp14:editId="02D8D3FA">
            <wp:extent cx="2887980" cy="1704975"/>
            <wp:effectExtent l="0" t="0" r="0" b="0"/>
            <wp:docPr id="1620323878" name="Picture 162032387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8"/>
                    <pic:cNvPicPr>
                      <a:picLocks noChangeAspect="1" noChangeArrowheads="1"/>
                    </pic:cNvPicPr>
                  </pic:nvPicPr>
                  <pic:blipFill>
                    <a:blip r:embed="rId96" cstate="print">
                      <a:extLst>
                        <a:ext uri="{28A0092B-C50C-407E-A947-70E740481C1C}">
                          <a14:useLocalDpi xmlns:a14="http://schemas.microsoft.com/office/drawing/2010/main" val="0"/>
                        </a:ext>
                      </a:extLst>
                    </a:blip>
                    <a:srcRect/>
                    <a:stretch>
                      <a:fillRect/>
                    </a:stretch>
                  </pic:blipFill>
                  <pic:spPr bwMode="auto">
                    <a:xfrm>
                      <a:off x="0" y="0"/>
                      <a:ext cx="2887980" cy="1704975"/>
                    </a:xfrm>
                    <a:prstGeom prst="rect">
                      <a:avLst/>
                    </a:prstGeom>
                    <a:noFill/>
                    <a:ln>
                      <a:noFill/>
                    </a:ln>
                  </pic:spPr>
                </pic:pic>
              </a:graphicData>
            </a:graphic>
          </wp:inline>
        </w:drawing>
      </w:r>
      <w:r>
        <w:t xml:space="preserve">      </w:t>
      </w:r>
      <w:r>
        <w:rPr>
          <w:noProof/>
        </w:rPr>
        <w:drawing>
          <wp:inline distT="0" distB="0" distL="0" distR="0" wp14:anchorId="1607317B" wp14:editId="2D01E678">
            <wp:extent cx="2514600" cy="1724025"/>
            <wp:effectExtent l="0" t="0" r="0" b="9525"/>
            <wp:docPr id="285264459" name="Picture 28526445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9"/>
                    <pic:cNvPicPr>
                      <a:picLocks noChangeAspect="1" noChangeArrowheads="1"/>
                    </pic:cNvPicPr>
                  </pic:nvPicPr>
                  <pic:blipFill>
                    <a:blip r:embed="rId97" cstate="print">
                      <a:extLst>
                        <a:ext uri="{28A0092B-C50C-407E-A947-70E740481C1C}">
                          <a14:useLocalDpi xmlns:a14="http://schemas.microsoft.com/office/drawing/2010/main" val="0"/>
                        </a:ext>
                      </a:extLst>
                    </a:blip>
                    <a:srcRect/>
                    <a:stretch>
                      <a:fillRect/>
                    </a:stretch>
                  </pic:blipFill>
                  <pic:spPr bwMode="auto">
                    <a:xfrm>
                      <a:off x="0" y="0"/>
                      <a:ext cx="2514600" cy="1724025"/>
                    </a:xfrm>
                    <a:prstGeom prst="rect">
                      <a:avLst/>
                    </a:prstGeom>
                    <a:noFill/>
                    <a:ln>
                      <a:noFill/>
                    </a:ln>
                  </pic:spPr>
                </pic:pic>
              </a:graphicData>
            </a:graphic>
          </wp:inline>
        </w:drawing>
      </w:r>
    </w:p>
    <w:p w14:paraId="39E29DF4" w14:textId="77777777" w:rsidR="00A77B93" w:rsidRPr="005D14CA" w:rsidRDefault="00A77B93" w:rsidP="00A77B93">
      <w:pPr>
        <w:pStyle w:val="ListParagraph"/>
        <w:autoSpaceDE w:val="0"/>
        <w:autoSpaceDN w:val="0"/>
        <w:adjustRightInd w:val="0"/>
        <w:spacing w:after="0" w:line="240" w:lineRule="auto"/>
        <w:ind w:left="0"/>
        <w:rPr>
          <w:rFonts w:ascii="Arial" w:hAnsi="Arial" w:cs="Arial"/>
          <w:b/>
          <w:sz w:val="20"/>
          <w:szCs w:val="20"/>
        </w:rPr>
      </w:pPr>
      <w:r w:rsidRPr="005D14CA">
        <w:rPr>
          <w:rFonts w:ascii="Arial" w:hAnsi="Arial" w:cs="Arial"/>
          <w:i/>
          <w:sz w:val="20"/>
          <w:szCs w:val="20"/>
        </w:rPr>
        <w:t>Source</w:t>
      </w:r>
      <w:r w:rsidRPr="005D14CA">
        <w:rPr>
          <w:rFonts w:ascii="Arial" w:hAnsi="Arial" w:cs="Arial"/>
          <w:sz w:val="20"/>
          <w:szCs w:val="20"/>
        </w:rPr>
        <w:t>: Computation from time-series data using EViews 12</w:t>
      </w:r>
    </w:p>
    <w:p w14:paraId="13960664" w14:textId="77777777" w:rsidR="00E34EA1" w:rsidRDefault="00E34EA1" w:rsidP="0066301C"/>
    <w:p w14:paraId="310D6FBD" w14:textId="576443C6" w:rsidR="00E34EA1" w:rsidRDefault="00E34EA1" w:rsidP="00A77B93">
      <w:pPr>
        <w:spacing w:after="0"/>
        <w:rPr>
          <w:bdr w:val="single" w:sz="4" w:space="0" w:color="auto" w:frame="1"/>
        </w:rPr>
      </w:pPr>
      <w:r>
        <w:rPr>
          <w:noProof/>
          <w:bdr w:val="single" w:sz="4" w:space="0" w:color="auto" w:frame="1"/>
        </w:rPr>
        <w:lastRenderedPageBreak/>
        <w:drawing>
          <wp:inline distT="0" distB="0" distL="0" distR="0" wp14:anchorId="3CF35892" wp14:editId="17AC14DE">
            <wp:extent cx="2811780" cy="1781175"/>
            <wp:effectExtent l="0" t="0" r="0" b="0"/>
            <wp:docPr id="1469837635" name="Picture 146983763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0"/>
                    <pic:cNvPicPr>
                      <a:picLocks noChangeAspect="1" noChangeArrowheads="1"/>
                    </pic:cNvPicPr>
                  </pic:nvPicPr>
                  <pic:blipFill>
                    <a:blip r:embed="rId98" cstate="print">
                      <a:extLst>
                        <a:ext uri="{28A0092B-C50C-407E-A947-70E740481C1C}">
                          <a14:useLocalDpi xmlns:a14="http://schemas.microsoft.com/office/drawing/2010/main" val="0"/>
                        </a:ext>
                      </a:extLst>
                    </a:blip>
                    <a:srcRect/>
                    <a:stretch>
                      <a:fillRect/>
                    </a:stretch>
                  </pic:blipFill>
                  <pic:spPr bwMode="auto">
                    <a:xfrm>
                      <a:off x="0" y="0"/>
                      <a:ext cx="2811780" cy="1781175"/>
                    </a:xfrm>
                    <a:prstGeom prst="rect">
                      <a:avLst/>
                    </a:prstGeom>
                    <a:noFill/>
                    <a:ln>
                      <a:noFill/>
                    </a:ln>
                  </pic:spPr>
                </pic:pic>
              </a:graphicData>
            </a:graphic>
          </wp:inline>
        </w:drawing>
      </w:r>
      <w:r>
        <w:rPr>
          <w:bdr w:val="single" w:sz="4" w:space="0" w:color="auto" w:frame="1"/>
        </w:rPr>
        <w:t xml:space="preserve">          </w:t>
      </w:r>
      <w:r>
        <w:rPr>
          <w:noProof/>
          <w:bdr w:val="single" w:sz="4" w:space="0" w:color="auto" w:frame="1"/>
        </w:rPr>
        <w:drawing>
          <wp:inline distT="0" distB="0" distL="0" distR="0" wp14:anchorId="464597E1" wp14:editId="7A184281">
            <wp:extent cx="2552700" cy="1733550"/>
            <wp:effectExtent l="0" t="0" r="0" b="0"/>
            <wp:docPr id="2030711126" name="Picture 203071112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1"/>
                    <pic:cNvPicPr>
                      <a:picLocks noChangeAspect="1" noChangeArrowheads="1"/>
                    </pic:cNvPicPr>
                  </pic:nvPicPr>
                  <pic:blipFill>
                    <a:blip r:embed="rId99" cstate="print">
                      <a:extLst>
                        <a:ext uri="{28A0092B-C50C-407E-A947-70E740481C1C}">
                          <a14:useLocalDpi xmlns:a14="http://schemas.microsoft.com/office/drawing/2010/main" val="0"/>
                        </a:ext>
                      </a:extLst>
                    </a:blip>
                    <a:srcRect/>
                    <a:stretch>
                      <a:fillRect/>
                    </a:stretch>
                  </pic:blipFill>
                  <pic:spPr bwMode="auto">
                    <a:xfrm>
                      <a:off x="0" y="0"/>
                      <a:ext cx="2552700" cy="1733550"/>
                    </a:xfrm>
                    <a:prstGeom prst="rect">
                      <a:avLst/>
                    </a:prstGeom>
                    <a:noFill/>
                    <a:ln>
                      <a:noFill/>
                    </a:ln>
                  </pic:spPr>
                </pic:pic>
              </a:graphicData>
            </a:graphic>
          </wp:inline>
        </w:drawing>
      </w:r>
    </w:p>
    <w:p w14:paraId="3338B0E2" w14:textId="77777777" w:rsidR="00A77B93" w:rsidRDefault="00A77B93" w:rsidP="00A77B93">
      <w:pPr>
        <w:pStyle w:val="ListParagraph"/>
        <w:autoSpaceDE w:val="0"/>
        <w:autoSpaceDN w:val="0"/>
        <w:adjustRightInd w:val="0"/>
        <w:spacing w:after="0" w:line="240" w:lineRule="auto"/>
        <w:ind w:left="0"/>
        <w:rPr>
          <w:rFonts w:ascii="Arial" w:hAnsi="Arial" w:cs="Arial"/>
          <w:sz w:val="20"/>
          <w:szCs w:val="20"/>
        </w:rPr>
      </w:pPr>
      <w:r w:rsidRPr="005D14CA">
        <w:rPr>
          <w:rFonts w:ascii="Arial" w:hAnsi="Arial" w:cs="Arial"/>
          <w:i/>
          <w:sz w:val="20"/>
          <w:szCs w:val="20"/>
        </w:rPr>
        <w:t>Source</w:t>
      </w:r>
      <w:r w:rsidRPr="005D14CA">
        <w:rPr>
          <w:rFonts w:ascii="Arial" w:hAnsi="Arial" w:cs="Arial"/>
          <w:sz w:val="20"/>
          <w:szCs w:val="20"/>
        </w:rPr>
        <w:t>: Computation from time-series data using EViews 12</w:t>
      </w:r>
    </w:p>
    <w:p w14:paraId="73E5C9DF" w14:textId="77777777" w:rsidR="00A77B93" w:rsidRPr="005D14CA" w:rsidRDefault="00A77B93" w:rsidP="00A77B93">
      <w:pPr>
        <w:pStyle w:val="ListParagraph"/>
        <w:autoSpaceDE w:val="0"/>
        <w:autoSpaceDN w:val="0"/>
        <w:adjustRightInd w:val="0"/>
        <w:spacing w:after="0" w:line="240" w:lineRule="auto"/>
        <w:ind w:left="0"/>
        <w:rPr>
          <w:rFonts w:ascii="Arial" w:hAnsi="Arial" w:cs="Arial"/>
          <w:b/>
          <w:sz w:val="20"/>
          <w:szCs w:val="20"/>
        </w:rPr>
      </w:pPr>
    </w:p>
    <w:p w14:paraId="1E7BA073" w14:textId="74E2FA25" w:rsidR="0071785B" w:rsidRPr="00C97D2A" w:rsidRDefault="00E34EA1" w:rsidP="00A77B93">
      <w:pPr>
        <w:pBdr>
          <w:top w:val="single" w:sz="4" w:space="1" w:color="auto"/>
          <w:left w:val="single" w:sz="4" w:space="4" w:color="auto"/>
          <w:bottom w:val="single" w:sz="4" w:space="1" w:color="auto"/>
          <w:right w:val="single" w:sz="4" w:space="4" w:color="auto"/>
        </w:pBdr>
        <w:spacing w:after="0"/>
      </w:pPr>
      <w:r>
        <w:rPr>
          <w:noProof/>
        </w:rPr>
        <w:drawing>
          <wp:inline distT="0" distB="0" distL="0" distR="0" wp14:anchorId="1C5028D1" wp14:editId="13F5DDC0">
            <wp:extent cx="2910840" cy="1781175"/>
            <wp:effectExtent l="0" t="0" r="0" b="0"/>
            <wp:docPr id="1681362544" name="Picture 168136254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6"/>
                    <pic:cNvPicPr>
                      <a:picLocks noChangeAspect="1" noChangeArrowheads="1"/>
                    </pic:cNvPicPr>
                  </pic:nvPicPr>
                  <pic:blipFill>
                    <a:blip r:embed="rId100" cstate="print">
                      <a:extLst>
                        <a:ext uri="{28A0092B-C50C-407E-A947-70E740481C1C}">
                          <a14:useLocalDpi xmlns:a14="http://schemas.microsoft.com/office/drawing/2010/main" val="0"/>
                        </a:ext>
                      </a:extLst>
                    </a:blip>
                    <a:srcRect/>
                    <a:stretch>
                      <a:fillRect/>
                    </a:stretch>
                  </pic:blipFill>
                  <pic:spPr bwMode="auto">
                    <a:xfrm>
                      <a:off x="0" y="0"/>
                      <a:ext cx="2910840" cy="1781175"/>
                    </a:xfrm>
                    <a:prstGeom prst="rect">
                      <a:avLst/>
                    </a:prstGeom>
                    <a:noFill/>
                    <a:ln>
                      <a:noFill/>
                    </a:ln>
                  </pic:spPr>
                </pic:pic>
              </a:graphicData>
            </a:graphic>
          </wp:inline>
        </w:drawing>
      </w:r>
      <w:r>
        <w:t xml:space="preserve">  </w:t>
      </w:r>
      <w:r>
        <w:rPr>
          <w:noProof/>
        </w:rPr>
        <w:drawing>
          <wp:inline distT="0" distB="0" distL="0" distR="0" wp14:anchorId="4651D76E" wp14:editId="49C7FDD7">
            <wp:extent cx="2667000" cy="1714500"/>
            <wp:effectExtent l="0" t="0" r="0" b="0"/>
            <wp:docPr id="636417814" name="Picture 63641781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7"/>
                    <pic:cNvPicPr>
                      <a:picLocks noChangeAspect="1" noChangeArrowheads="1"/>
                    </pic:cNvPicPr>
                  </pic:nvPicPr>
                  <pic:blipFill>
                    <a:blip r:embed="rId101" cstate="print">
                      <a:extLst>
                        <a:ext uri="{28A0092B-C50C-407E-A947-70E740481C1C}">
                          <a14:useLocalDpi xmlns:a14="http://schemas.microsoft.com/office/drawing/2010/main" val="0"/>
                        </a:ext>
                      </a:extLst>
                    </a:blip>
                    <a:srcRect/>
                    <a:stretch>
                      <a:fillRect/>
                    </a:stretch>
                  </pic:blipFill>
                  <pic:spPr bwMode="auto">
                    <a:xfrm>
                      <a:off x="0" y="0"/>
                      <a:ext cx="2667000" cy="1714500"/>
                    </a:xfrm>
                    <a:prstGeom prst="rect">
                      <a:avLst/>
                    </a:prstGeom>
                    <a:noFill/>
                    <a:ln>
                      <a:noFill/>
                    </a:ln>
                  </pic:spPr>
                </pic:pic>
              </a:graphicData>
            </a:graphic>
          </wp:inline>
        </w:drawing>
      </w:r>
    </w:p>
    <w:p w14:paraId="27F784E3" w14:textId="77777777" w:rsidR="00A77B93" w:rsidRPr="005D14CA" w:rsidRDefault="00A77B93" w:rsidP="00A77B93">
      <w:pPr>
        <w:pStyle w:val="ListParagraph"/>
        <w:autoSpaceDE w:val="0"/>
        <w:autoSpaceDN w:val="0"/>
        <w:adjustRightInd w:val="0"/>
        <w:spacing w:after="0" w:line="240" w:lineRule="auto"/>
        <w:ind w:left="0"/>
        <w:rPr>
          <w:rFonts w:ascii="Arial" w:hAnsi="Arial" w:cs="Arial"/>
          <w:b/>
          <w:sz w:val="20"/>
          <w:szCs w:val="20"/>
        </w:rPr>
      </w:pPr>
      <w:r w:rsidRPr="005D14CA">
        <w:rPr>
          <w:rFonts w:ascii="Arial" w:hAnsi="Arial" w:cs="Arial"/>
          <w:i/>
          <w:sz w:val="20"/>
          <w:szCs w:val="20"/>
        </w:rPr>
        <w:t>Source</w:t>
      </w:r>
      <w:r w:rsidRPr="005D14CA">
        <w:rPr>
          <w:rFonts w:ascii="Arial" w:hAnsi="Arial" w:cs="Arial"/>
          <w:sz w:val="20"/>
          <w:szCs w:val="20"/>
        </w:rPr>
        <w:t>: Computation from time-series data using EViews 12</w:t>
      </w:r>
    </w:p>
    <w:p w14:paraId="0714EC16" w14:textId="77777777" w:rsidR="00A77B93" w:rsidRDefault="00A77B93" w:rsidP="0066301C">
      <w:pPr>
        <w:spacing w:line="360" w:lineRule="auto"/>
        <w:jc w:val="both"/>
        <w:rPr>
          <w:rFonts w:ascii="Arial" w:hAnsi="Arial" w:cs="Arial"/>
          <w:lang w:eastAsia="en-GB"/>
        </w:rPr>
      </w:pPr>
    </w:p>
    <w:p w14:paraId="5C7A2C0D" w14:textId="5DB1BFB8" w:rsidR="0071785B" w:rsidRDefault="0071785B" w:rsidP="0066301C">
      <w:pPr>
        <w:spacing w:line="360" w:lineRule="auto"/>
        <w:jc w:val="both"/>
        <w:rPr>
          <w:rFonts w:ascii="Arial" w:eastAsiaTheme="minorEastAsia" w:hAnsi="Arial" w:cs="Arial"/>
          <w:iCs/>
        </w:rPr>
      </w:pPr>
      <w:r>
        <w:rPr>
          <w:rFonts w:ascii="Arial" w:hAnsi="Arial" w:cs="Arial"/>
          <w:lang w:eastAsia="en-GB"/>
        </w:rPr>
        <w:t>The stability test results of the three CEMAC nations with their trade partners are good, as the plots of both CUSUM and CUSUMSQ statistics fall within the 5% critical values. The stability test result is summarised below.</w:t>
      </w:r>
    </w:p>
    <w:p w14:paraId="553EE422" w14:textId="45AE85AA" w:rsidR="0098504A" w:rsidRPr="00C428D5" w:rsidRDefault="0098504A" w:rsidP="0066301C">
      <w:pPr>
        <w:spacing w:after="0" w:line="360" w:lineRule="auto"/>
        <w:jc w:val="both"/>
        <w:rPr>
          <w:rFonts w:ascii="Arial" w:eastAsiaTheme="minorEastAsia" w:hAnsi="Arial" w:cs="Arial"/>
          <w:b/>
          <w:bCs/>
          <w:iCs/>
        </w:rPr>
      </w:pPr>
      <w:bookmarkStart w:id="470" w:name="_Hlk170839803"/>
      <w:r w:rsidRPr="00C428D5">
        <w:rPr>
          <w:rFonts w:ascii="Arial" w:eastAsiaTheme="minorEastAsia" w:hAnsi="Arial" w:cs="Arial"/>
          <w:b/>
          <w:bCs/>
          <w:iCs/>
        </w:rPr>
        <w:t xml:space="preserve">Table </w:t>
      </w:r>
      <w:r w:rsidR="00C428D5" w:rsidRPr="00C428D5">
        <w:rPr>
          <w:rFonts w:ascii="Arial" w:eastAsiaTheme="minorEastAsia" w:hAnsi="Arial" w:cs="Arial"/>
          <w:b/>
          <w:bCs/>
          <w:iCs/>
        </w:rPr>
        <w:t>4</w:t>
      </w:r>
      <w:r w:rsidRPr="00C428D5">
        <w:rPr>
          <w:rFonts w:ascii="Arial" w:eastAsiaTheme="minorEastAsia" w:hAnsi="Arial" w:cs="Arial"/>
          <w:b/>
          <w:bCs/>
          <w:iCs/>
        </w:rPr>
        <w:t>.6: Stability Test Results Based on CUSUM and CUSUMSQ Test</w:t>
      </w:r>
    </w:p>
    <w:tbl>
      <w:tblPr>
        <w:tblStyle w:val="TableGrid"/>
        <w:tblW w:w="9709" w:type="dxa"/>
        <w:tblLook w:val="04A0" w:firstRow="1" w:lastRow="0" w:firstColumn="1" w:lastColumn="0" w:noHBand="0" w:noVBand="1"/>
      </w:tblPr>
      <w:tblGrid>
        <w:gridCol w:w="1195"/>
        <w:gridCol w:w="876"/>
        <w:gridCol w:w="1137"/>
        <w:gridCol w:w="1150"/>
        <w:gridCol w:w="1006"/>
        <w:gridCol w:w="1137"/>
        <w:gridCol w:w="1195"/>
        <w:gridCol w:w="876"/>
        <w:gridCol w:w="1137"/>
      </w:tblGrid>
      <w:tr w:rsidR="00513371" w14:paraId="4BE3D5B5" w14:textId="7F21900E" w:rsidTr="006C0EF0">
        <w:tc>
          <w:tcPr>
            <w:tcW w:w="3208" w:type="dxa"/>
            <w:gridSpan w:val="3"/>
          </w:tcPr>
          <w:p w14:paraId="3E42C4CF" w14:textId="06E4CD31" w:rsidR="00513371" w:rsidRPr="00513371" w:rsidRDefault="00513371" w:rsidP="0066301C">
            <w:pPr>
              <w:spacing w:line="360" w:lineRule="auto"/>
              <w:jc w:val="center"/>
              <w:rPr>
                <w:rFonts w:ascii="Arial" w:hAnsi="Arial" w:cs="Arial"/>
                <w:b/>
                <w:bCs/>
                <w:sz w:val="20"/>
                <w:szCs w:val="20"/>
                <w:lang w:eastAsia="en-GB"/>
              </w:rPr>
            </w:pPr>
            <w:r w:rsidRPr="00513371">
              <w:rPr>
                <w:rFonts w:ascii="Arial" w:hAnsi="Arial" w:cs="Arial"/>
                <w:b/>
                <w:bCs/>
                <w:sz w:val="20"/>
                <w:szCs w:val="20"/>
                <w:lang w:eastAsia="en-GB"/>
              </w:rPr>
              <w:t>Cameroon</w:t>
            </w:r>
          </w:p>
        </w:tc>
        <w:tc>
          <w:tcPr>
            <w:tcW w:w="3293" w:type="dxa"/>
            <w:gridSpan w:val="3"/>
          </w:tcPr>
          <w:p w14:paraId="4939DD19" w14:textId="0FD4B03C" w:rsidR="00513371" w:rsidRPr="00513371" w:rsidRDefault="00513371" w:rsidP="0066301C">
            <w:pPr>
              <w:spacing w:line="360" w:lineRule="auto"/>
              <w:jc w:val="center"/>
              <w:rPr>
                <w:rFonts w:ascii="Arial" w:hAnsi="Arial" w:cs="Arial"/>
                <w:b/>
                <w:bCs/>
                <w:sz w:val="20"/>
                <w:szCs w:val="20"/>
                <w:lang w:eastAsia="en-GB"/>
              </w:rPr>
            </w:pPr>
            <w:r w:rsidRPr="00513371">
              <w:rPr>
                <w:rFonts w:ascii="Arial" w:hAnsi="Arial" w:cs="Arial"/>
                <w:b/>
                <w:bCs/>
                <w:sz w:val="20"/>
                <w:szCs w:val="20"/>
                <w:lang w:eastAsia="en-GB"/>
              </w:rPr>
              <w:t>CAR</w:t>
            </w:r>
          </w:p>
        </w:tc>
        <w:tc>
          <w:tcPr>
            <w:tcW w:w="3208" w:type="dxa"/>
            <w:gridSpan w:val="3"/>
          </w:tcPr>
          <w:p w14:paraId="45A06ED5" w14:textId="504E7EE5" w:rsidR="00513371" w:rsidRPr="00513371" w:rsidRDefault="00513371" w:rsidP="0066301C">
            <w:pPr>
              <w:spacing w:line="360" w:lineRule="auto"/>
              <w:jc w:val="center"/>
              <w:rPr>
                <w:rFonts w:ascii="Arial" w:hAnsi="Arial" w:cs="Arial"/>
                <w:b/>
                <w:bCs/>
                <w:sz w:val="20"/>
                <w:szCs w:val="20"/>
                <w:lang w:eastAsia="en-GB"/>
              </w:rPr>
            </w:pPr>
            <w:r w:rsidRPr="00513371">
              <w:rPr>
                <w:rFonts w:ascii="Arial" w:hAnsi="Arial" w:cs="Arial"/>
                <w:b/>
                <w:bCs/>
                <w:sz w:val="20"/>
                <w:szCs w:val="20"/>
                <w:lang w:eastAsia="en-GB"/>
              </w:rPr>
              <w:t>Gabon</w:t>
            </w:r>
          </w:p>
        </w:tc>
      </w:tr>
      <w:tr w:rsidR="00F277D9" w14:paraId="6AA01E09" w14:textId="36C8C40F" w:rsidTr="00300869">
        <w:tc>
          <w:tcPr>
            <w:tcW w:w="1271" w:type="dxa"/>
          </w:tcPr>
          <w:p w14:paraId="7E8A617C" w14:textId="425B8C1C" w:rsidR="00513371" w:rsidRPr="00513371" w:rsidRDefault="00513371" w:rsidP="0066301C">
            <w:pPr>
              <w:rPr>
                <w:rFonts w:ascii="Arial" w:hAnsi="Arial" w:cs="Arial"/>
                <w:sz w:val="20"/>
                <w:szCs w:val="20"/>
                <w:lang w:eastAsia="en-GB"/>
              </w:rPr>
            </w:pPr>
            <w:r w:rsidRPr="00513371">
              <w:rPr>
                <w:rFonts w:ascii="Arial" w:hAnsi="Arial" w:cs="Arial"/>
                <w:sz w:val="20"/>
                <w:szCs w:val="20"/>
                <w:lang w:eastAsia="en-GB"/>
              </w:rPr>
              <w:t>Partner</w:t>
            </w:r>
          </w:p>
        </w:tc>
        <w:tc>
          <w:tcPr>
            <w:tcW w:w="800" w:type="dxa"/>
          </w:tcPr>
          <w:p w14:paraId="1DCABEFF" w14:textId="140932D9" w:rsidR="00513371" w:rsidRPr="00513371" w:rsidRDefault="00513371" w:rsidP="0066301C">
            <w:pPr>
              <w:spacing w:line="360" w:lineRule="auto"/>
              <w:jc w:val="both"/>
              <w:rPr>
                <w:rFonts w:ascii="Arial" w:hAnsi="Arial" w:cs="Arial"/>
                <w:sz w:val="18"/>
                <w:szCs w:val="18"/>
                <w:lang w:eastAsia="en-GB"/>
              </w:rPr>
            </w:pPr>
            <w:r w:rsidRPr="00513371">
              <w:rPr>
                <w:rFonts w:ascii="Arial" w:hAnsi="Arial" w:cs="Arial"/>
                <w:sz w:val="18"/>
                <w:szCs w:val="18"/>
              </w:rPr>
              <w:t>CUSUM</w:t>
            </w:r>
          </w:p>
        </w:tc>
        <w:tc>
          <w:tcPr>
            <w:tcW w:w="1137" w:type="dxa"/>
          </w:tcPr>
          <w:p w14:paraId="060DF450" w14:textId="3FF06DFF" w:rsidR="00513371" w:rsidRPr="00513371" w:rsidRDefault="00513371" w:rsidP="0066301C">
            <w:pPr>
              <w:spacing w:line="360" w:lineRule="auto"/>
              <w:jc w:val="both"/>
              <w:rPr>
                <w:rFonts w:ascii="Arial" w:hAnsi="Arial" w:cs="Arial"/>
                <w:sz w:val="18"/>
                <w:szCs w:val="18"/>
                <w:lang w:eastAsia="en-GB"/>
              </w:rPr>
            </w:pPr>
            <w:r w:rsidRPr="00513371">
              <w:rPr>
                <w:rFonts w:ascii="Arial" w:hAnsi="Arial" w:cs="Arial"/>
                <w:sz w:val="18"/>
                <w:szCs w:val="18"/>
              </w:rPr>
              <w:t>CUSUMSQ</w:t>
            </w:r>
          </w:p>
        </w:tc>
        <w:tc>
          <w:tcPr>
            <w:tcW w:w="1150" w:type="dxa"/>
          </w:tcPr>
          <w:p w14:paraId="606252F7" w14:textId="4D1AE889" w:rsidR="00513371" w:rsidRPr="00513371" w:rsidRDefault="00513371" w:rsidP="0066301C">
            <w:pPr>
              <w:spacing w:line="360" w:lineRule="auto"/>
              <w:jc w:val="both"/>
              <w:rPr>
                <w:rFonts w:ascii="Arial" w:hAnsi="Arial" w:cs="Arial"/>
                <w:sz w:val="20"/>
                <w:szCs w:val="20"/>
                <w:lang w:eastAsia="en-GB"/>
              </w:rPr>
            </w:pPr>
            <w:r w:rsidRPr="00513371">
              <w:rPr>
                <w:rFonts w:ascii="Arial" w:hAnsi="Arial" w:cs="Arial"/>
                <w:sz w:val="20"/>
                <w:szCs w:val="20"/>
                <w:lang w:eastAsia="en-GB"/>
              </w:rPr>
              <w:t>Partner</w:t>
            </w:r>
          </w:p>
        </w:tc>
        <w:tc>
          <w:tcPr>
            <w:tcW w:w="1006" w:type="dxa"/>
          </w:tcPr>
          <w:p w14:paraId="3715A685" w14:textId="6D2477C3" w:rsidR="00513371" w:rsidRPr="00513371" w:rsidRDefault="00513371" w:rsidP="0066301C">
            <w:pPr>
              <w:spacing w:line="360" w:lineRule="auto"/>
              <w:jc w:val="both"/>
              <w:rPr>
                <w:rFonts w:ascii="Arial" w:hAnsi="Arial" w:cs="Arial"/>
                <w:sz w:val="18"/>
                <w:szCs w:val="18"/>
                <w:lang w:eastAsia="en-GB"/>
              </w:rPr>
            </w:pPr>
            <w:r w:rsidRPr="00513371">
              <w:rPr>
                <w:rFonts w:ascii="Arial" w:hAnsi="Arial" w:cs="Arial"/>
                <w:sz w:val="18"/>
                <w:szCs w:val="18"/>
              </w:rPr>
              <w:t>CUSUM</w:t>
            </w:r>
          </w:p>
        </w:tc>
        <w:tc>
          <w:tcPr>
            <w:tcW w:w="1137" w:type="dxa"/>
          </w:tcPr>
          <w:p w14:paraId="54A21F85" w14:textId="2B135CE4" w:rsidR="00513371" w:rsidRPr="00513371" w:rsidRDefault="00513371" w:rsidP="0066301C">
            <w:pPr>
              <w:spacing w:line="360" w:lineRule="auto"/>
              <w:jc w:val="both"/>
              <w:rPr>
                <w:rFonts w:ascii="Arial" w:hAnsi="Arial" w:cs="Arial"/>
                <w:sz w:val="18"/>
                <w:szCs w:val="18"/>
                <w:lang w:eastAsia="en-GB"/>
              </w:rPr>
            </w:pPr>
            <w:r w:rsidRPr="00513371">
              <w:rPr>
                <w:rFonts w:ascii="Arial" w:hAnsi="Arial" w:cs="Arial"/>
                <w:sz w:val="18"/>
                <w:szCs w:val="18"/>
              </w:rPr>
              <w:t>CUSUMSQ</w:t>
            </w:r>
          </w:p>
        </w:tc>
        <w:tc>
          <w:tcPr>
            <w:tcW w:w="1195" w:type="dxa"/>
          </w:tcPr>
          <w:p w14:paraId="3EBC831B" w14:textId="779DEB0A" w:rsidR="00513371" w:rsidRPr="00513371" w:rsidRDefault="00513371" w:rsidP="0066301C">
            <w:pPr>
              <w:spacing w:line="360" w:lineRule="auto"/>
              <w:jc w:val="both"/>
              <w:rPr>
                <w:rFonts w:ascii="Arial" w:hAnsi="Arial" w:cs="Arial"/>
                <w:sz w:val="20"/>
                <w:szCs w:val="20"/>
                <w:lang w:eastAsia="en-GB"/>
              </w:rPr>
            </w:pPr>
            <w:r w:rsidRPr="00513371">
              <w:rPr>
                <w:rFonts w:ascii="Arial" w:hAnsi="Arial" w:cs="Arial"/>
                <w:sz w:val="20"/>
                <w:szCs w:val="20"/>
                <w:lang w:eastAsia="en-GB"/>
              </w:rPr>
              <w:t>Partner</w:t>
            </w:r>
          </w:p>
        </w:tc>
        <w:tc>
          <w:tcPr>
            <w:tcW w:w="876" w:type="dxa"/>
          </w:tcPr>
          <w:p w14:paraId="15ACBDCC" w14:textId="004ED4F3" w:rsidR="00513371" w:rsidRPr="00513371" w:rsidRDefault="00513371" w:rsidP="0066301C">
            <w:pPr>
              <w:spacing w:line="360" w:lineRule="auto"/>
              <w:jc w:val="both"/>
              <w:rPr>
                <w:rFonts w:ascii="Arial" w:hAnsi="Arial" w:cs="Arial"/>
                <w:sz w:val="18"/>
                <w:szCs w:val="18"/>
                <w:lang w:eastAsia="en-GB"/>
              </w:rPr>
            </w:pPr>
            <w:r w:rsidRPr="00513371">
              <w:rPr>
                <w:rFonts w:ascii="Arial" w:hAnsi="Arial" w:cs="Arial"/>
                <w:sz w:val="18"/>
                <w:szCs w:val="18"/>
              </w:rPr>
              <w:t>CUSUM</w:t>
            </w:r>
          </w:p>
        </w:tc>
        <w:tc>
          <w:tcPr>
            <w:tcW w:w="1137" w:type="dxa"/>
          </w:tcPr>
          <w:p w14:paraId="4F1655C1" w14:textId="6B4C1A8F" w:rsidR="00513371" w:rsidRPr="00513371" w:rsidRDefault="00513371" w:rsidP="0066301C">
            <w:pPr>
              <w:spacing w:line="360" w:lineRule="auto"/>
              <w:jc w:val="both"/>
              <w:rPr>
                <w:rFonts w:ascii="Arial" w:hAnsi="Arial" w:cs="Arial"/>
                <w:sz w:val="18"/>
                <w:szCs w:val="18"/>
                <w:lang w:eastAsia="en-GB"/>
              </w:rPr>
            </w:pPr>
            <w:r w:rsidRPr="00513371">
              <w:rPr>
                <w:rFonts w:ascii="Arial" w:hAnsi="Arial" w:cs="Arial"/>
                <w:sz w:val="18"/>
                <w:szCs w:val="18"/>
              </w:rPr>
              <w:t>CUSUMSQ</w:t>
            </w:r>
          </w:p>
        </w:tc>
      </w:tr>
      <w:tr w:rsidR="00F277D9" w14:paraId="5BF0A84F" w14:textId="26E4B2F1" w:rsidTr="00300869">
        <w:tc>
          <w:tcPr>
            <w:tcW w:w="1271" w:type="dxa"/>
          </w:tcPr>
          <w:p w14:paraId="1BAD2E9E" w14:textId="4C4A92A8" w:rsidR="00513371" w:rsidRPr="00513371" w:rsidRDefault="00513371" w:rsidP="0066301C">
            <w:pPr>
              <w:spacing w:line="360" w:lineRule="auto"/>
              <w:jc w:val="both"/>
              <w:rPr>
                <w:rFonts w:ascii="Arial" w:hAnsi="Arial" w:cs="Arial"/>
                <w:sz w:val="20"/>
                <w:szCs w:val="20"/>
                <w:lang w:eastAsia="en-GB"/>
              </w:rPr>
            </w:pPr>
            <w:r>
              <w:rPr>
                <w:rFonts w:ascii="Arial" w:hAnsi="Arial" w:cs="Arial"/>
                <w:sz w:val="20"/>
                <w:szCs w:val="20"/>
                <w:lang w:eastAsia="en-GB"/>
              </w:rPr>
              <w:t>China</w:t>
            </w:r>
          </w:p>
        </w:tc>
        <w:tc>
          <w:tcPr>
            <w:tcW w:w="800" w:type="dxa"/>
          </w:tcPr>
          <w:p w14:paraId="5DE213BA" w14:textId="00657A5B" w:rsidR="00513371" w:rsidRPr="00513371" w:rsidRDefault="00F277D9" w:rsidP="0066301C">
            <w:pPr>
              <w:spacing w:line="360" w:lineRule="auto"/>
              <w:jc w:val="both"/>
              <w:rPr>
                <w:rFonts w:ascii="Arial" w:hAnsi="Arial" w:cs="Arial"/>
                <w:sz w:val="20"/>
                <w:szCs w:val="20"/>
                <w:lang w:eastAsia="en-GB"/>
              </w:rPr>
            </w:pPr>
            <w:r>
              <w:rPr>
                <w:rFonts w:ascii="Arial" w:hAnsi="Arial" w:cs="Arial"/>
                <w:sz w:val="20"/>
                <w:szCs w:val="20"/>
                <w:lang w:eastAsia="en-GB"/>
              </w:rPr>
              <w:t>Stable</w:t>
            </w:r>
          </w:p>
        </w:tc>
        <w:tc>
          <w:tcPr>
            <w:tcW w:w="1137" w:type="dxa"/>
          </w:tcPr>
          <w:p w14:paraId="451BA67B" w14:textId="4E027F7C" w:rsidR="00513371" w:rsidRPr="00513371" w:rsidRDefault="00F277D9" w:rsidP="0066301C">
            <w:pPr>
              <w:spacing w:line="360" w:lineRule="auto"/>
              <w:jc w:val="both"/>
              <w:rPr>
                <w:rFonts w:ascii="Arial" w:hAnsi="Arial" w:cs="Arial"/>
                <w:sz w:val="20"/>
                <w:szCs w:val="20"/>
                <w:lang w:eastAsia="en-GB"/>
              </w:rPr>
            </w:pPr>
            <w:r>
              <w:rPr>
                <w:rFonts w:ascii="Arial" w:hAnsi="Arial" w:cs="Arial"/>
                <w:sz w:val="20"/>
                <w:szCs w:val="20"/>
                <w:lang w:eastAsia="en-GB"/>
              </w:rPr>
              <w:t>Stable</w:t>
            </w:r>
          </w:p>
        </w:tc>
        <w:tc>
          <w:tcPr>
            <w:tcW w:w="1150" w:type="dxa"/>
          </w:tcPr>
          <w:p w14:paraId="50CE8357" w14:textId="163563F4" w:rsidR="00513371" w:rsidRPr="00513371" w:rsidRDefault="00F277D9" w:rsidP="0066301C">
            <w:pPr>
              <w:spacing w:line="360" w:lineRule="auto"/>
              <w:jc w:val="both"/>
              <w:rPr>
                <w:rFonts w:ascii="Arial" w:hAnsi="Arial" w:cs="Arial"/>
                <w:sz w:val="20"/>
                <w:szCs w:val="20"/>
                <w:lang w:eastAsia="en-GB"/>
              </w:rPr>
            </w:pPr>
            <w:r>
              <w:rPr>
                <w:rFonts w:ascii="Arial" w:hAnsi="Arial" w:cs="Arial"/>
                <w:sz w:val="20"/>
                <w:szCs w:val="20"/>
                <w:lang w:eastAsia="en-GB"/>
              </w:rPr>
              <w:t>Cameroon</w:t>
            </w:r>
          </w:p>
        </w:tc>
        <w:tc>
          <w:tcPr>
            <w:tcW w:w="1006" w:type="dxa"/>
          </w:tcPr>
          <w:p w14:paraId="1D918576" w14:textId="74A85D62" w:rsidR="00513371" w:rsidRPr="00513371" w:rsidRDefault="00F277D9" w:rsidP="0066301C">
            <w:pPr>
              <w:spacing w:line="360" w:lineRule="auto"/>
              <w:jc w:val="both"/>
              <w:rPr>
                <w:rFonts w:ascii="Arial" w:hAnsi="Arial" w:cs="Arial"/>
                <w:sz w:val="20"/>
                <w:szCs w:val="20"/>
                <w:lang w:eastAsia="en-GB"/>
              </w:rPr>
            </w:pPr>
            <w:r>
              <w:rPr>
                <w:rFonts w:ascii="Arial" w:hAnsi="Arial" w:cs="Arial"/>
                <w:sz w:val="20"/>
                <w:szCs w:val="20"/>
                <w:lang w:eastAsia="en-GB"/>
              </w:rPr>
              <w:t>Unstable</w:t>
            </w:r>
          </w:p>
        </w:tc>
        <w:tc>
          <w:tcPr>
            <w:tcW w:w="1137" w:type="dxa"/>
          </w:tcPr>
          <w:p w14:paraId="72B9C612" w14:textId="7056730D" w:rsidR="00513371" w:rsidRPr="00513371" w:rsidRDefault="00F277D9" w:rsidP="0066301C">
            <w:pPr>
              <w:spacing w:line="360" w:lineRule="auto"/>
              <w:jc w:val="both"/>
              <w:rPr>
                <w:rFonts w:ascii="Arial" w:hAnsi="Arial" w:cs="Arial"/>
                <w:sz w:val="20"/>
                <w:szCs w:val="20"/>
                <w:lang w:eastAsia="en-GB"/>
              </w:rPr>
            </w:pPr>
            <w:r>
              <w:rPr>
                <w:rFonts w:ascii="Arial" w:hAnsi="Arial" w:cs="Arial"/>
                <w:sz w:val="20"/>
                <w:szCs w:val="20"/>
                <w:lang w:eastAsia="en-GB"/>
              </w:rPr>
              <w:t>stable</w:t>
            </w:r>
          </w:p>
        </w:tc>
        <w:tc>
          <w:tcPr>
            <w:tcW w:w="1195" w:type="dxa"/>
          </w:tcPr>
          <w:p w14:paraId="1D5CE55A" w14:textId="79F96BB9" w:rsidR="00513371" w:rsidRPr="00513371" w:rsidRDefault="00F277D9" w:rsidP="0066301C">
            <w:pPr>
              <w:spacing w:line="360" w:lineRule="auto"/>
              <w:jc w:val="both"/>
              <w:rPr>
                <w:rFonts w:ascii="Arial" w:hAnsi="Arial" w:cs="Arial"/>
                <w:sz w:val="20"/>
                <w:szCs w:val="20"/>
                <w:lang w:eastAsia="en-GB"/>
              </w:rPr>
            </w:pPr>
            <w:r>
              <w:rPr>
                <w:rFonts w:ascii="Arial" w:hAnsi="Arial" w:cs="Arial"/>
                <w:sz w:val="20"/>
                <w:szCs w:val="20"/>
                <w:lang w:eastAsia="en-GB"/>
              </w:rPr>
              <w:t>China</w:t>
            </w:r>
          </w:p>
        </w:tc>
        <w:tc>
          <w:tcPr>
            <w:tcW w:w="876" w:type="dxa"/>
          </w:tcPr>
          <w:p w14:paraId="774B0AC1" w14:textId="1FAD28D9" w:rsidR="00513371" w:rsidRPr="00513371" w:rsidRDefault="00F277D9" w:rsidP="0066301C">
            <w:pPr>
              <w:spacing w:line="360" w:lineRule="auto"/>
              <w:jc w:val="both"/>
              <w:rPr>
                <w:rFonts w:ascii="Arial" w:hAnsi="Arial" w:cs="Arial"/>
                <w:sz w:val="20"/>
                <w:szCs w:val="20"/>
                <w:lang w:eastAsia="en-GB"/>
              </w:rPr>
            </w:pPr>
            <w:r>
              <w:rPr>
                <w:rFonts w:ascii="Arial" w:hAnsi="Arial" w:cs="Arial"/>
                <w:sz w:val="20"/>
                <w:szCs w:val="20"/>
                <w:lang w:eastAsia="en-GB"/>
              </w:rPr>
              <w:t>Stable</w:t>
            </w:r>
          </w:p>
        </w:tc>
        <w:tc>
          <w:tcPr>
            <w:tcW w:w="1137" w:type="dxa"/>
          </w:tcPr>
          <w:p w14:paraId="2EB19B9F" w14:textId="078A626E" w:rsidR="00513371" w:rsidRPr="00513371" w:rsidRDefault="00F277D9" w:rsidP="0066301C">
            <w:pPr>
              <w:spacing w:line="360" w:lineRule="auto"/>
              <w:jc w:val="both"/>
              <w:rPr>
                <w:rFonts w:ascii="Arial" w:hAnsi="Arial" w:cs="Arial"/>
                <w:sz w:val="20"/>
                <w:szCs w:val="20"/>
                <w:lang w:eastAsia="en-GB"/>
              </w:rPr>
            </w:pPr>
            <w:r>
              <w:rPr>
                <w:rFonts w:ascii="Arial" w:hAnsi="Arial" w:cs="Arial"/>
                <w:sz w:val="20"/>
                <w:szCs w:val="20"/>
                <w:lang w:eastAsia="en-GB"/>
              </w:rPr>
              <w:t>unstable</w:t>
            </w:r>
          </w:p>
        </w:tc>
      </w:tr>
      <w:tr w:rsidR="00F277D9" w14:paraId="1077383A" w14:textId="6EABF4F5" w:rsidTr="00300869">
        <w:tc>
          <w:tcPr>
            <w:tcW w:w="1271" w:type="dxa"/>
          </w:tcPr>
          <w:p w14:paraId="3A75BDA2" w14:textId="56F72FE8" w:rsidR="00513371" w:rsidRPr="00513371" w:rsidRDefault="00513371" w:rsidP="0066301C">
            <w:pPr>
              <w:spacing w:line="360" w:lineRule="auto"/>
              <w:jc w:val="both"/>
              <w:rPr>
                <w:rFonts w:ascii="Arial" w:hAnsi="Arial" w:cs="Arial"/>
                <w:sz w:val="20"/>
                <w:szCs w:val="20"/>
                <w:lang w:eastAsia="en-GB"/>
              </w:rPr>
            </w:pPr>
            <w:r>
              <w:rPr>
                <w:rFonts w:ascii="Arial" w:hAnsi="Arial" w:cs="Arial"/>
                <w:sz w:val="20"/>
                <w:szCs w:val="20"/>
                <w:lang w:eastAsia="en-GB"/>
              </w:rPr>
              <w:t>France</w:t>
            </w:r>
          </w:p>
        </w:tc>
        <w:tc>
          <w:tcPr>
            <w:tcW w:w="800" w:type="dxa"/>
          </w:tcPr>
          <w:p w14:paraId="51F8CF02" w14:textId="05955A97" w:rsidR="00513371" w:rsidRPr="00513371" w:rsidRDefault="00F277D9" w:rsidP="0066301C">
            <w:pPr>
              <w:spacing w:line="360" w:lineRule="auto"/>
              <w:jc w:val="both"/>
              <w:rPr>
                <w:rFonts w:ascii="Arial" w:hAnsi="Arial" w:cs="Arial"/>
                <w:sz w:val="20"/>
                <w:szCs w:val="20"/>
                <w:lang w:eastAsia="en-GB"/>
              </w:rPr>
            </w:pPr>
            <w:r>
              <w:rPr>
                <w:rFonts w:ascii="Arial" w:hAnsi="Arial" w:cs="Arial"/>
                <w:sz w:val="20"/>
                <w:szCs w:val="20"/>
                <w:lang w:eastAsia="en-GB"/>
              </w:rPr>
              <w:t>Stable</w:t>
            </w:r>
          </w:p>
        </w:tc>
        <w:tc>
          <w:tcPr>
            <w:tcW w:w="1137" w:type="dxa"/>
          </w:tcPr>
          <w:p w14:paraId="512A73CA" w14:textId="450BB2AE" w:rsidR="00513371" w:rsidRPr="00513371" w:rsidRDefault="00F277D9" w:rsidP="0066301C">
            <w:pPr>
              <w:spacing w:line="360" w:lineRule="auto"/>
              <w:jc w:val="both"/>
              <w:rPr>
                <w:rFonts w:ascii="Arial" w:hAnsi="Arial" w:cs="Arial"/>
                <w:sz w:val="20"/>
                <w:szCs w:val="20"/>
                <w:lang w:eastAsia="en-GB"/>
              </w:rPr>
            </w:pPr>
            <w:r>
              <w:rPr>
                <w:rFonts w:ascii="Arial" w:hAnsi="Arial" w:cs="Arial"/>
                <w:sz w:val="20"/>
                <w:szCs w:val="20"/>
                <w:lang w:eastAsia="en-GB"/>
              </w:rPr>
              <w:t>Stable</w:t>
            </w:r>
          </w:p>
        </w:tc>
        <w:tc>
          <w:tcPr>
            <w:tcW w:w="1150" w:type="dxa"/>
          </w:tcPr>
          <w:p w14:paraId="64A8F415" w14:textId="07D6D0FC" w:rsidR="00513371" w:rsidRPr="00513371" w:rsidRDefault="00F277D9" w:rsidP="0066301C">
            <w:pPr>
              <w:spacing w:line="360" w:lineRule="auto"/>
              <w:jc w:val="both"/>
              <w:rPr>
                <w:rFonts w:ascii="Arial" w:hAnsi="Arial" w:cs="Arial"/>
                <w:sz w:val="20"/>
                <w:szCs w:val="20"/>
                <w:lang w:eastAsia="en-GB"/>
              </w:rPr>
            </w:pPr>
            <w:r>
              <w:rPr>
                <w:rFonts w:ascii="Arial" w:hAnsi="Arial" w:cs="Arial"/>
                <w:sz w:val="20"/>
                <w:szCs w:val="20"/>
                <w:lang w:eastAsia="en-GB"/>
              </w:rPr>
              <w:t>China</w:t>
            </w:r>
          </w:p>
        </w:tc>
        <w:tc>
          <w:tcPr>
            <w:tcW w:w="1006" w:type="dxa"/>
          </w:tcPr>
          <w:p w14:paraId="40A8B274" w14:textId="5F66E4BB" w:rsidR="00513371" w:rsidRPr="00513371" w:rsidRDefault="00F277D9" w:rsidP="0066301C">
            <w:pPr>
              <w:spacing w:line="360" w:lineRule="auto"/>
              <w:jc w:val="both"/>
              <w:rPr>
                <w:rFonts w:ascii="Arial" w:hAnsi="Arial" w:cs="Arial"/>
                <w:sz w:val="20"/>
                <w:szCs w:val="20"/>
                <w:lang w:eastAsia="en-GB"/>
              </w:rPr>
            </w:pPr>
            <w:r>
              <w:rPr>
                <w:rFonts w:ascii="Arial" w:hAnsi="Arial" w:cs="Arial"/>
                <w:sz w:val="20"/>
                <w:szCs w:val="20"/>
                <w:lang w:eastAsia="en-GB"/>
              </w:rPr>
              <w:t>Stable</w:t>
            </w:r>
          </w:p>
        </w:tc>
        <w:tc>
          <w:tcPr>
            <w:tcW w:w="1137" w:type="dxa"/>
          </w:tcPr>
          <w:p w14:paraId="22D2EA67" w14:textId="20D9E4C6" w:rsidR="00513371" w:rsidRPr="00513371" w:rsidRDefault="00F277D9" w:rsidP="0066301C">
            <w:pPr>
              <w:spacing w:line="360" w:lineRule="auto"/>
              <w:jc w:val="both"/>
              <w:rPr>
                <w:rFonts w:ascii="Arial" w:hAnsi="Arial" w:cs="Arial"/>
                <w:sz w:val="20"/>
                <w:szCs w:val="20"/>
                <w:lang w:eastAsia="en-GB"/>
              </w:rPr>
            </w:pPr>
            <w:r>
              <w:rPr>
                <w:rFonts w:ascii="Arial" w:hAnsi="Arial" w:cs="Arial"/>
                <w:sz w:val="20"/>
                <w:szCs w:val="20"/>
                <w:lang w:eastAsia="en-GB"/>
              </w:rPr>
              <w:t>stable</w:t>
            </w:r>
          </w:p>
        </w:tc>
        <w:tc>
          <w:tcPr>
            <w:tcW w:w="1195" w:type="dxa"/>
          </w:tcPr>
          <w:p w14:paraId="555B7F49" w14:textId="740E72C6" w:rsidR="00513371" w:rsidRPr="00513371" w:rsidRDefault="00F277D9" w:rsidP="0066301C">
            <w:pPr>
              <w:spacing w:line="360" w:lineRule="auto"/>
              <w:jc w:val="both"/>
              <w:rPr>
                <w:rFonts w:ascii="Arial" w:hAnsi="Arial" w:cs="Arial"/>
                <w:sz w:val="20"/>
                <w:szCs w:val="20"/>
                <w:lang w:eastAsia="en-GB"/>
              </w:rPr>
            </w:pPr>
            <w:r>
              <w:rPr>
                <w:rFonts w:ascii="Arial" w:hAnsi="Arial" w:cs="Arial"/>
                <w:sz w:val="20"/>
                <w:szCs w:val="20"/>
                <w:lang w:eastAsia="en-GB"/>
              </w:rPr>
              <w:t>Ireland</w:t>
            </w:r>
          </w:p>
        </w:tc>
        <w:tc>
          <w:tcPr>
            <w:tcW w:w="876" w:type="dxa"/>
          </w:tcPr>
          <w:p w14:paraId="360AC962" w14:textId="2325F8DD" w:rsidR="00513371" w:rsidRPr="00513371" w:rsidRDefault="00F277D9" w:rsidP="0066301C">
            <w:pPr>
              <w:spacing w:line="360" w:lineRule="auto"/>
              <w:jc w:val="both"/>
              <w:rPr>
                <w:rFonts w:ascii="Arial" w:hAnsi="Arial" w:cs="Arial"/>
                <w:sz w:val="20"/>
                <w:szCs w:val="20"/>
                <w:lang w:eastAsia="en-GB"/>
              </w:rPr>
            </w:pPr>
            <w:r>
              <w:rPr>
                <w:rFonts w:ascii="Arial" w:hAnsi="Arial" w:cs="Arial"/>
                <w:sz w:val="20"/>
                <w:szCs w:val="20"/>
                <w:lang w:eastAsia="en-GB"/>
              </w:rPr>
              <w:t>Stable</w:t>
            </w:r>
          </w:p>
        </w:tc>
        <w:tc>
          <w:tcPr>
            <w:tcW w:w="1137" w:type="dxa"/>
          </w:tcPr>
          <w:p w14:paraId="55E13ECF" w14:textId="69B09431" w:rsidR="00513371" w:rsidRPr="00513371" w:rsidRDefault="00F277D9" w:rsidP="0066301C">
            <w:pPr>
              <w:spacing w:line="360" w:lineRule="auto"/>
              <w:jc w:val="both"/>
              <w:rPr>
                <w:rFonts w:ascii="Arial" w:hAnsi="Arial" w:cs="Arial"/>
                <w:sz w:val="20"/>
                <w:szCs w:val="20"/>
                <w:lang w:eastAsia="en-GB"/>
              </w:rPr>
            </w:pPr>
            <w:r>
              <w:rPr>
                <w:rFonts w:ascii="Arial" w:hAnsi="Arial" w:cs="Arial"/>
                <w:sz w:val="20"/>
                <w:szCs w:val="20"/>
                <w:lang w:eastAsia="en-GB"/>
              </w:rPr>
              <w:t>stable</w:t>
            </w:r>
          </w:p>
        </w:tc>
      </w:tr>
      <w:tr w:rsidR="00F277D9" w14:paraId="3D65255A" w14:textId="3D3362F1" w:rsidTr="00300869">
        <w:tc>
          <w:tcPr>
            <w:tcW w:w="1271" w:type="dxa"/>
          </w:tcPr>
          <w:p w14:paraId="48B4D57F" w14:textId="356B3C72" w:rsidR="00513371" w:rsidRPr="00513371" w:rsidRDefault="00F277D9" w:rsidP="0066301C">
            <w:pPr>
              <w:spacing w:line="360" w:lineRule="auto"/>
              <w:jc w:val="both"/>
              <w:rPr>
                <w:rFonts w:ascii="Arial" w:hAnsi="Arial" w:cs="Arial"/>
                <w:sz w:val="20"/>
                <w:szCs w:val="20"/>
                <w:lang w:eastAsia="en-GB"/>
              </w:rPr>
            </w:pPr>
            <w:r>
              <w:rPr>
                <w:rFonts w:ascii="Arial" w:hAnsi="Arial" w:cs="Arial"/>
                <w:sz w:val="20"/>
                <w:szCs w:val="20"/>
                <w:lang w:eastAsia="en-GB"/>
              </w:rPr>
              <w:t>India</w:t>
            </w:r>
          </w:p>
        </w:tc>
        <w:tc>
          <w:tcPr>
            <w:tcW w:w="800" w:type="dxa"/>
          </w:tcPr>
          <w:p w14:paraId="5C6F4D77" w14:textId="62DEC0F5" w:rsidR="00513371" w:rsidRPr="00513371" w:rsidRDefault="00F277D9" w:rsidP="0066301C">
            <w:pPr>
              <w:spacing w:line="360" w:lineRule="auto"/>
              <w:jc w:val="both"/>
              <w:rPr>
                <w:rFonts w:ascii="Arial" w:hAnsi="Arial" w:cs="Arial"/>
                <w:sz w:val="20"/>
                <w:szCs w:val="20"/>
                <w:lang w:eastAsia="en-GB"/>
              </w:rPr>
            </w:pPr>
            <w:r>
              <w:rPr>
                <w:rFonts w:ascii="Arial" w:hAnsi="Arial" w:cs="Arial"/>
                <w:sz w:val="20"/>
                <w:szCs w:val="20"/>
                <w:lang w:eastAsia="en-GB"/>
              </w:rPr>
              <w:t>Stable</w:t>
            </w:r>
          </w:p>
        </w:tc>
        <w:tc>
          <w:tcPr>
            <w:tcW w:w="1137" w:type="dxa"/>
          </w:tcPr>
          <w:p w14:paraId="34FBB063" w14:textId="35EB0107" w:rsidR="00513371" w:rsidRPr="00513371" w:rsidRDefault="00F277D9" w:rsidP="0066301C">
            <w:pPr>
              <w:spacing w:line="360" w:lineRule="auto"/>
              <w:jc w:val="both"/>
              <w:rPr>
                <w:rFonts w:ascii="Arial" w:hAnsi="Arial" w:cs="Arial"/>
                <w:sz w:val="20"/>
                <w:szCs w:val="20"/>
                <w:lang w:eastAsia="en-GB"/>
              </w:rPr>
            </w:pPr>
            <w:r>
              <w:rPr>
                <w:rFonts w:ascii="Arial" w:hAnsi="Arial" w:cs="Arial"/>
                <w:sz w:val="20"/>
                <w:szCs w:val="20"/>
                <w:lang w:eastAsia="en-GB"/>
              </w:rPr>
              <w:t>Stable</w:t>
            </w:r>
          </w:p>
        </w:tc>
        <w:tc>
          <w:tcPr>
            <w:tcW w:w="1150" w:type="dxa"/>
          </w:tcPr>
          <w:p w14:paraId="36AA9DDB" w14:textId="60F00452" w:rsidR="00513371" w:rsidRPr="00513371" w:rsidRDefault="00F277D9" w:rsidP="0066301C">
            <w:pPr>
              <w:spacing w:line="360" w:lineRule="auto"/>
              <w:jc w:val="both"/>
              <w:rPr>
                <w:rFonts w:ascii="Arial" w:hAnsi="Arial" w:cs="Arial"/>
                <w:sz w:val="20"/>
                <w:szCs w:val="20"/>
                <w:lang w:eastAsia="en-GB"/>
              </w:rPr>
            </w:pPr>
            <w:r>
              <w:rPr>
                <w:rFonts w:ascii="Arial" w:hAnsi="Arial" w:cs="Arial"/>
                <w:sz w:val="20"/>
                <w:szCs w:val="20"/>
                <w:lang w:eastAsia="en-GB"/>
              </w:rPr>
              <w:t>France</w:t>
            </w:r>
          </w:p>
        </w:tc>
        <w:tc>
          <w:tcPr>
            <w:tcW w:w="1006" w:type="dxa"/>
          </w:tcPr>
          <w:p w14:paraId="4A76B6DF" w14:textId="2800BFF6" w:rsidR="00513371" w:rsidRPr="00513371" w:rsidRDefault="00F277D9" w:rsidP="0066301C">
            <w:pPr>
              <w:spacing w:line="360" w:lineRule="auto"/>
              <w:jc w:val="both"/>
              <w:rPr>
                <w:rFonts w:ascii="Arial" w:hAnsi="Arial" w:cs="Arial"/>
                <w:sz w:val="20"/>
                <w:szCs w:val="20"/>
                <w:lang w:eastAsia="en-GB"/>
              </w:rPr>
            </w:pPr>
            <w:r>
              <w:rPr>
                <w:rFonts w:ascii="Arial" w:hAnsi="Arial" w:cs="Arial"/>
                <w:sz w:val="20"/>
                <w:szCs w:val="20"/>
                <w:lang w:eastAsia="en-GB"/>
              </w:rPr>
              <w:t>Stable</w:t>
            </w:r>
          </w:p>
        </w:tc>
        <w:tc>
          <w:tcPr>
            <w:tcW w:w="1137" w:type="dxa"/>
          </w:tcPr>
          <w:p w14:paraId="47525A75" w14:textId="12DB9AFC" w:rsidR="00513371" w:rsidRPr="00513371" w:rsidRDefault="00F277D9" w:rsidP="0066301C">
            <w:pPr>
              <w:spacing w:line="360" w:lineRule="auto"/>
              <w:jc w:val="both"/>
              <w:rPr>
                <w:rFonts w:ascii="Arial" w:hAnsi="Arial" w:cs="Arial"/>
                <w:sz w:val="20"/>
                <w:szCs w:val="20"/>
                <w:lang w:eastAsia="en-GB"/>
              </w:rPr>
            </w:pPr>
            <w:r>
              <w:rPr>
                <w:rFonts w:ascii="Arial" w:hAnsi="Arial" w:cs="Arial"/>
                <w:sz w:val="20"/>
                <w:szCs w:val="20"/>
                <w:lang w:eastAsia="en-GB"/>
              </w:rPr>
              <w:t xml:space="preserve">Unstable </w:t>
            </w:r>
          </w:p>
        </w:tc>
        <w:tc>
          <w:tcPr>
            <w:tcW w:w="1195" w:type="dxa"/>
          </w:tcPr>
          <w:p w14:paraId="4C8E5D04" w14:textId="4FE1D60B" w:rsidR="00513371" w:rsidRPr="00513371" w:rsidRDefault="00F277D9" w:rsidP="0066301C">
            <w:pPr>
              <w:spacing w:line="360" w:lineRule="auto"/>
              <w:jc w:val="both"/>
              <w:rPr>
                <w:rFonts w:ascii="Arial" w:hAnsi="Arial" w:cs="Arial"/>
                <w:sz w:val="20"/>
                <w:szCs w:val="20"/>
                <w:lang w:eastAsia="en-GB"/>
              </w:rPr>
            </w:pPr>
            <w:r>
              <w:rPr>
                <w:rFonts w:ascii="Arial" w:hAnsi="Arial" w:cs="Arial"/>
                <w:sz w:val="20"/>
                <w:szCs w:val="20"/>
                <w:lang w:eastAsia="en-GB"/>
              </w:rPr>
              <w:t>Korea</w:t>
            </w:r>
          </w:p>
        </w:tc>
        <w:tc>
          <w:tcPr>
            <w:tcW w:w="876" w:type="dxa"/>
          </w:tcPr>
          <w:p w14:paraId="62C21FB8" w14:textId="464A7158" w:rsidR="00513371" w:rsidRPr="00513371" w:rsidRDefault="00F277D9" w:rsidP="0066301C">
            <w:pPr>
              <w:spacing w:line="360" w:lineRule="auto"/>
              <w:jc w:val="both"/>
              <w:rPr>
                <w:rFonts w:ascii="Arial" w:hAnsi="Arial" w:cs="Arial"/>
                <w:sz w:val="20"/>
                <w:szCs w:val="20"/>
                <w:lang w:eastAsia="en-GB"/>
              </w:rPr>
            </w:pPr>
            <w:r>
              <w:rPr>
                <w:rFonts w:ascii="Arial" w:hAnsi="Arial" w:cs="Arial"/>
                <w:sz w:val="20"/>
                <w:szCs w:val="20"/>
                <w:lang w:eastAsia="en-GB"/>
              </w:rPr>
              <w:t>Stable</w:t>
            </w:r>
          </w:p>
        </w:tc>
        <w:tc>
          <w:tcPr>
            <w:tcW w:w="1137" w:type="dxa"/>
          </w:tcPr>
          <w:p w14:paraId="776785EC" w14:textId="5EBA5CF0" w:rsidR="00513371" w:rsidRPr="00513371" w:rsidRDefault="00F277D9" w:rsidP="0066301C">
            <w:pPr>
              <w:spacing w:line="360" w:lineRule="auto"/>
              <w:jc w:val="both"/>
              <w:rPr>
                <w:rFonts w:ascii="Arial" w:hAnsi="Arial" w:cs="Arial"/>
                <w:sz w:val="20"/>
                <w:szCs w:val="20"/>
                <w:lang w:eastAsia="en-GB"/>
              </w:rPr>
            </w:pPr>
            <w:r>
              <w:rPr>
                <w:rFonts w:ascii="Arial" w:hAnsi="Arial" w:cs="Arial"/>
                <w:sz w:val="20"/>
                <w:szCs w:val="20"/>
                <w:lang w:eastAsia="en-GB"/>
              </w:rPr>
              <w:t>stable</w:t>
            </w:r>
          </w:p>
        </w:tc>
      </w:tr>
      <w:tr w:rsidR="00F277D9" w14:paraId="758F38DA" w14:textId="77777777" w:rsidTr="00300869">
        <w:tc>
          <w:tcPr>
            <w:tcW w:w="1271" w:type="dxa"/>
          </w:tcPr>
          <w:p w14:paraId="4D0DEE58" w14:textId="24C88964" w:rsidR="00F277D9" w:rsidRPr="00513371" w:rsidRDefault="00F277D9" w:rsidP="0066301C">
            <w:pPr>
              <w:spacing w:line="360" w:lineRule="auto"/>
              <w:jc w:val="both"/>
              <w:rPr>
                <w:rFonts w:ascii="Arial" w:hAnsi="Arial" w:cs="Arial"/>
                <w:sz w:val="20"/>
                <w:szCs w:val="20"/>
                <w:lang w:eastAsia="en-GB"/>
              </w:rPr>
            </w:pPr>
            <w:r>
              <w:rPr>
                <w:rFonts w:ascii="Arial" w:hAnsi="Arial" w:cs="Arial"/>
                <w:sz w:val="20"/>
                <w:szCs w:val="20"/>
                <w:lang w:eastAsia="en-GB"/>
              </w:rPr>
              <w:t>Netherland</w:t>
            </w:r>
          </w:p>
        </w:tc>
        <w:tc>
          <w:tcPr>
            <w:tcW w:w="800" w:type="dxa"/>
          </w:tcPr>
          <w:p w14:paraId="2A7D8BF3" w14:textId="77BFA53C" w:rsidR="00F277D9" w:rsidRPr="00513371" w:rsidRDefault="00F277D9" w:rsidP="0066301C">
            <w:pPr>
              <w:spacing w:line="360" w:lineRule="auto"/>
              <w:jc w:val="both"/>
              <w:rPr>
                <w:rFonts w:ascii="Arial" w:hAnsi="Arial" w:cs="Arial"/>
                <w:sz w:val="20"/>
                <w:szCs w:val="20"/>
                <w:lang w:eastAsia="en-GB"/>
              </w:rPr>
            </w:pPr>
            <w:r>
              <w:rPr>
                <w:rFonts w:ascii="Arial" w:hAnsi="Arial" w:cs="Arial"/>
                <w:sz w:val="20"/>
                <w:szCs w:val="20"/>
                <w:lang w:eastAsia="en-GB"/>
              </w:rPr>
              <w:t>Stable</w:t>
            </w:r>
          </w:p>
        </w:tc>
        <w:tc>
          <w:tcPr>
            <w:tcW w:w="1137" w:type="dxa"/>
          </w:tcPr>
          <w:p w14:paraId="2D6EA4EC" w14:textId="1C2CA619" w:rsidR="00F277D9" w:rsidRPr="00513371" w:rsidRDefault="00F277D9" w:rsidP="0066301C">
            <w:pPr>
              <w:spacing w:line="360" w:lineRule="auto"/>
              <w:jc w:val="both"/>
              <w:rPr>
                <w:rFonts w:ascii="Arial" w:hAnsi="Arial" w:cs="Arial"/>
                <w:sz w:val="20"/>
                <w:szCs w:val="20"/>
                <w:lang w:eastAsia="en-GB"/>
              </w:rPr>
            </w:pPr>
            <w:r>
              <w:rPr>
                <w:rFonts w:ascii="Arial" w:hAnsi="Arial" w:cs="Arial"/>
                <w:sz w:val="20"/>
                <w:szCs w:val="20"/>
                <w:lang w:eastAsia="en-GB"/>
              </w:rPr>
              <w:t>Unstable</w:t>
            </w:r>
          </w:p>
        </w:tc>
        <w:tc>
          <w:tcPr>
            <w:tcW w:w="1150" w:type="dxa"/>
          </w:tcPr>
          <w:p w14:paraId="08B9BBB1" w14:textId="5DA03AD5" w:rsidR="00F277D9" w:rsidRPr="00513371" w:rsidRDefault="00F277D9" w:rsidP="0066301C">
            <w:pPr>
              <w:spacing w:line="360" w:lineRule="auto"/>
              <w:jc w:val="both"/>
              <w:rPr>
                <w:rFonts w:ascii="Arial" w:hAnsi="Arial" w:cs="Arial"/>
                <w:sz w:val="20"/>
                <w:szCs w:val="20"/>
                <w:lang w:eastAsia="en-GB"/>
              </w:rPr>
            </w:pPr>
            <w:r>
              <w:rPr>
                <w:rFonts w:ascii="Arial" w:hAnsi="Arial" w:cs="Arial"/>
                <w:sz w:val="20"/>
                <w:szCs w:val="20"/>
                <w:lang w:eastAsia="en-GB"/>
              </w:rPr>
              <w:t>India</w:t>
            </w:r>
          </w:p>
        </w:tc>
        <w:tc>
          <w:tcPr>
            <w:tcW w:w="1006" w:type="dxa"/>
          </w:tcPr>
          <w:p w14:paraId="5862337D" w14:textId="6C845892" w:rsidR="00F277D9" w:rsidRPr="00513371" w:rsidRDefault="00F277D9" w:rsidP="0066301C">
            <w:pPr>
              <w:spacing w:line="360" w:lineRule="auto"/>
              <w:jc w:val="both"/>
              <w:rPr>
                <w:rFonts w:ascii="Arial" w:hAnsi="Arial" w:cs="Arial"/>
                <w:sz w:val="20"/>
                <w:szCs w:val="20"/>
                <w:lang w:eastAsia="en-GB"/>
              </w:rPr>
            </w:pPr>
            <w:r>
              <w:rPr>
                <w:rFonts w:ascii="Arial" w:hAnsi="Arial" w:cs="Arial"/>
                <w:sz w:val="20"/>
                <w:szCs w:val="20"/>
                <w:lang w:eastAsia="en-GB"/>
              </w:rPr>
              <w:t>Stable</w:t>
            </w:r>
          </w:p>
        </w:tc>
        <w:tc>
          <w:tcPr>
            <w:tcW w:w="1137" w:type="dxa"/>
          </w:tcPr>
          <w:p w14:paraId="4A5E3979" w14:textId="1A623007" w:rsidR="00F277D9" w:rsidRPr="00513371" w:rsidRDefault="00F277D9" w:rsidP="0066301C">
            <w:pPr>
              <w:spacing w:line="360" w:lineRule="auto"/>
              <w:jc w:val="both"/>
              <w:rPr>
                <w:rFonts w:ascii="Arial" w:hAnsi="Arial" w:cs="Arial"/>
                <w:sz w:val="20"/>
                <w:szCs w:val="20"/>
                <w:lang w:eastAsia="en-GB"/>
              </w:rPr>
            </w:pPr>
            <w:r>
              <w:rPr>
                <w:rFonts w:ascii="Arial" w:hAnsi="Arial" w:cs="Arial"/>
                <w:sz w:val="20"/>
                <w:szCs w:val="20"/>
                <w:lang w:eastAsia="en-GB"/>
              </w:rPr>
              <w:t xml:space="preserve">Unstable </w:t>
            </w:r>
          </w:p>
        </w:tc>
        <w:tc>
          <w:tcPr>
            <w:tcW w:w="1195" w:type="dxa"/>
          </w:tcPr>
          <w:p w14:paraId="1BCFA27D" w14:textId="740DFC41" w:rsidR="00F277D9" w:rsidRPr="00513371" w:rsidRDefault="00F277D9" w:rsidP="0066301C">
            <w:pPr>
              <w:spacing w:line="360" w:lineRule="auto"/>
              <w:jc w:val="both"/>
              <w:rPr>
                <w:rFonts w:ascii="Arial" w:hAnsi="Arial" w:cs="Arial"/>
                <w:sz w:val="20"/>
                <w:szCs w:val="20"/>
                <w:lang w:eastAsia="en-GB"/>
              </w:rPr>
            </w:pPr>
            <w:r>
              <w:rPr>
                <w:rFonts w:ascii="Arial" w:hAnsi="Arial" w:cs="Arial"/>
                <w:sz w:val="20"/>
                <w:szCs w:val="20"/>
                <w:lang w:eastAsia="en-GB"/>
              </w:rPr>
              <w:t>Netherland</w:t>
            </w:r>
          </w:p>
        </w:tc>
        <w:tc>
          <w:tcPr>
            <w:tcW w:w="876" w:type="dxa"/>
          </w:tcPr>
          <w:p w14:paraId="07994C7C" w14:textId="7AAF5D4E" w:rsidR="00F277D9" w:rsidRPr="00513371" w:rsidRDefault="00F277D9" w:rsidP="0066301C">
            <w:pPr>
              <w:spacing w:line="360" w:lineRule="auto"/>
              <w:jc w:val="both"/>
              <w:rPr>
                <w:rFonts w:ascii="Arial" w:hAnsi="Arial" w:cs="Arial"/>
                <w:sz w:val="20"/>
                <w:szCs w:val="20"/>
                <w:lang w:eastAsia="en-GB"/>
              </w:rPr>
            </w:pPr>
            <w:r>
              <w:rPr>
                <w:rFonts w:ascii="Arial" w:hAnsi="Arial" w:cs="Arial"/>
                <w:sz w:val="20"/>
                <w:szCs w:val="20"/>
                <w:lang w:eastAsia="en-GB"/>
              </w:rPr>
              <w:t>Stable</w:t>
            </w:r>
          </w:p>
        </w:tc>
        <w:tc>
          <w:tcPr>
            <w:tcW w:w="1137" w:type="dxa"/>
          </w:tcPr>
          <w:p w14:paraId="1F17F7EE" w14:textId="2C5025E1" w:rsidR="00F277D9" w:rsidRPr="00513371" w:rsidRDefault="00F277D9" w:rsidP="0066301C">
            <w:pPr>
              <w:spacing w:line="360" w:lineRule="auto"/>
              <w:jc w:val="both"/>
              <w:rPr>
                <w:rFonts w:ascii="Arial" w:hAnsi="Arial" w:cs="Arial"/>
                <w:sz w:val="20"/>
                <w:szCs w:val="20"/>
                <w:lang w:eastAsia="en-GB"/>
              </w:rPr>
            </w:pPr>
            <w:r>
              <w:rPr>
                <w:rFonts w:ascii="Arial" w:hAnsi="Arial" w:cs="Arial"/>
                <w:sz w:val="20"/>
                <w:szCs w:val="20"/>
                <w:lang w:eastAsia="en-GB"/>
              </w:rPr>
              <w:t>stable</w:t>
            </w:r>
          </w:p>
        </w:tc>
      </w:tr>
      <w:tr w:rsidR="00F277D9" w14:paraId="7327D0DF" w14:textId="77777777" w:rsidTr="00300869">
        <w:tc>
          <w:tcPr>
            <w:tcW w:w="1271" w:type="dxa"/>
          </w:tcPr>
          <w:p w14:paraId="5F82258A" w14:textId="240351F1" w:rsidR="00F277D9" w:rsidRPr="00513371" w:rsidRDefault="00F277D9" w:rsidP="0066301C">
            <w:pPr>
              <w:spacing w:line="360" w:lineRule="auto"/>
              <w:jc w:val="both"/>
              <w:rPr>
                <w:rFonts w:ascii="Arial" w:hAnsi="Arial" w:cs="Arial"/>
                <w:sz w:val="20"/>
                <w:szCs w:val="20"/>
                <w:lang w:eastAsia="en-GB"/>
              </w:rPr>
            </w:pPr>
            <w:r>
              <w:rPr>
                <w:rFonts w:ascii="Arial" w:hAnsi="Arial" w:cs="Arial"/>
                <w:sz w:val="20"/>
                <w:szCs w:val="20"/>
                <w:lang w:eastAsia="en-GB"/>
              </w:rPr>
              <w:t>Spain</w:t>
            </w:r>
          </w:p>
        </w:tc>
        <w:tc>
          <w:tcPr>
            <w:tcW w:w="800" w:type="dxa"/>
          </w:tcPr>
          <w:p w14:paraId="1EE719A5" w14:textId="51D18D90" w:rsidR="00F277D9" w:rsidRPr="00513371" w:rsidRDefault="00F277D9" w:rsidP="0066301C">
            <w:pPr>
              <w:spacing w:line="360" w:lineRule="auto"/>
              <w:jc w:val="both"/>
              <w:rPr>
                <w:rFonts w:ascii="Arial" w:hAnsi="Arial" w:cs="Arial"/>
                <w:sz w:val="20"/>
                <w:szCs w:val="20"/>
                <w:lang w:eastAsia="en-GB"/>
              </w:rPr>
            </w:pPr>
            <w:r>
              <w:rPr>
                <w:rFonts w:ascii="Arial" w:hAnsi="Arial" w:cs="Arial"/>
                <w:sz w:val="20"/>
                <w:szCs w:val="20"/>
                <w:lang w:eastAsia="en-GB"/>
              </w:rPr>
              <w:t>Stable</w:t>
            </w:r>
          </w:p>
        </w:tc>
        <w:tc>
          <w:tcPr>
            <w:tcW w:w="1137" w:type="dxa"/>
          </w:tcPr>
          <w:p w14:paraId="22CF81BF" w14:textId="2876C893" w:rsidR="00F277D9" w:rsidRPr="00513371" w:rsidRDefault="00F277D9" w:rsidP="0066301C">
            <w:pPr>
              <w:spacing w:line="360" w:lineRule="auto"/>
              <w:jc w:val="both"/>
              <w:rPr>
                <w:rFonts w:ascii="Arial" w:hAnsi="Arial" w:cs="Arial"/>
                <w:sz w:val="20"/>
                <w:szCs w:val="20"/>
                <w:lang w:eastAsia="en-GB"/>
              </w:rPr>
            </w:pPr>
            <w:r>
              <w:rPr>
                <w:rFonts w:ascii="Arial" w:hAnsi="Arial" w:cs="Arial"/>
                <w:sz w:val="20"/>
                <w:szCs w:val="20"/>
                <w:lang w:eastAsia="en-GB"/>
              </w:rPr>
              <w:t>Unstable</w:t>
            </w:r>
          </w:p>
        </w:tc>
        <w:tc>
          <w:tcPr>
            <w:tcW w:w="1150" w:type="dxa"/>
          </w:tcPr>
          <w:p w14:paraId="0DB135B6" w14:textId="42D7E3F8" w:rsidR="00F277D9" w:rsidRPr="00513371" w:rsidRDefault="00F277D9" w:rsidP="0066301C">
            <w:pPr>
              <w:spacing w:line="360" w:lineRule="auto"/>
              <w:jc w:val="both"/>
              <w:rPr>
                <w:rFonts w:ascii="Arial" w:hAnsi="Arial" w:cs="Arial"/>
                <w:sz w:val="20"/>
                <w:szCs w:val="20"/>
                <w:lang w:eastAsia="en-GB"/>
              </w:rPr>
            </w:pPr>
            <w:r>
              <w:rPr>
                <w:rFonts w:ascii="Arial" w:hAnsi="Arial" w:cs="Arial"/>
                <w:sz w:val="20"/>
                <w:szCs w:val="20"/>
                <w:lang w:eastAsia="en-GB"/>
              </w:rPr>
              <w:t xml:space="preserve">Nepal </w:t>
            </w:r>
          </w:p>
        </w:tc>
        <w:tc>
          <w:tcPr>
            <w:tcW w:w="1006" w:type="dxa"/>
          </w:tcPr>
          <w:p w14:paraId="626638DE" w14:textId="5D5B2196" w:rsidR="00F277D9" w:rsidRPr="00513371" w:rsidRDefault="00F277D9" w:rsidP="0066301C">
            <w:pPr>
              <w:spacing w:line="360" w:lineRule="auto"/>
              <w:jc w:val="both"/>
              <w:rPr>
                <w:rFonts w:ascii="Arial" w:hAnsi="Arial" w:cs="Arial"/>
                <w:sz w:val="20"/>
                <w:szCs w:val="20"/>
                <w:lang w:eastAsia="en-GB"/>
              </w:rPr>
            </w:pPr>
            <w:r>
              <w:rPr>
                <w:rFonts w:ascii="Arial" w:hAnsi="Arial" w:cs="Arial"/>
                <w:sz w:val="20"/>
                <w:szCs w:val="20"/>
                <w:lang w:eastAsia="en-GB"/>
              </w:rPr>
              <w:t xml:space="preserve">Stable </w:t>
            </w:r>
          </w:p>
        </w:tc>
        <w:tc>
          <w:tcPr>
            <w:tcW w:w="1137" w:type="dxa"/>
          </w:tcPr>
          <w:p w14:paraId="06A08DDE" w14:textId="33939B59" w:rsidR="00F277D9" w:rsidRPr="00513371" w:rsidRDefault="00F277D9" w:rsidP="0066301C">
            <w:pPr>
              <w:spacing w:line="360" w:lineRule="auto"/>
              <w:jc w:val="both"/>
              <w:rPr>
                <w:rFonts w:ascii="Arial" w:hAnsi="Arial" w:cs="Arial"/>
                <w:sz w:val="20"/>
                <w:szCs w:val="20"/>
                <w:lang w:eastAsia="en-GB"/>
              </w:rPr>
            </w:pPr>
            <w:r>
              <w:rPr>
                <w:rFonts w:ascii="Arial" w:hAnsi="Arial" w:cs="Arial"/>
                <w:sz w:val="20"/>
                <w:szCs w:val="20"/>
                <w:lang w:eastAsia="en-GB"/>
              </w:rPr>
              <w:t xml:space="preserve">Stable </w:t>
            </w:r>
          </w:p>
        </w:tc>
        <w:tc>
          <w:tcPr>
            <w:tcW w:w="1195" w:type="dxa"/>
          </w:tcPr>
          <w:p w14:paraId="586F42BB" w14:textId="2411E64D" w:rsidR="00F277D9" w:rsidRPr="00513371" w:rsidRDefault="00F277D9" w:rsidP="0066301C">
            <w:pPr>
              <w:spacing w:line="360" w:lineRule="auto"/>
              <w:jc w:val="both"/>
              <w:rPr>
                <w:rFonts w:ascii="Arial" w:hAnsi="Arial" w:cs="Arial"/>
                <w:sz w:val="20"/>
                <w:szCs w:val="20"/>
                <w:lang w:eastAsia="en-GB"/>
              </w:rPr>
            </w:pPr>
            <w:r>
              <w:rPr>
                <w:rFonts w:ascii="Arial" w:hAnsi="Arial" w:cs="Arial"/>
                <w:sz w:val="20"/>
                <w:szCs w:val="20"/>
                <w:lang w:eastAsia="en-GB"/>
              </w:rPr>
              <w:t>USA</w:t>
            </w:r>
          </w:p>
        </w:tc>
        <w:tc>
          <w:tcPr>
            <w:tcW w:w="876" w:type="dxa"/>
          </w:tcPr>
          <w:p w14:paraId="3F5FEBE8" w14:textId="4A32C239" w:rsidR="00F277D9" w:rsidRPr="00513371" w:rsidRDefault="00F277D9" w:rsidP="0066301C">
            <w:pPr>
              <w:spacing w:line="360" w:lineRule="auto"/>
              <w:jc w:val="both"/>
              <w:rPr>
                <w:rFonts w:ascii="Arial" w:hAnsi="Arial" w:cs="Arial"/>
                <w:sz w:val="20"/>
                <w:szCs w:val="20"/>
                <w:lang w:eastAsia="en-GB"/>
              </w:rPr>
            </w:pPr>
            <w:r>
              <w:rPr>
                <w:rFonts w:ascii="Arial" w:hAnsi="Arial" w:cs="Arial"/>
                <w:sz w:val="20"/>
                <w:szCs w:val="20"/>
                <w:lang w:eastAsia="en-GB"/>
              </w:rPr>
              <w:t>Stable</w:t>
            </w:r>
          </w:p>
        </w:tc>
        <w:tc>
          <w:tcPr>
            <w:tcW w:w="1137" w:type="dxa"/>
          </w:tcPr>
          <w:p w14:paraId="5DE9F34E" w14:textId="22D4293B" w:rsidR="00F277D9" w:rsidRPr="00513371" w:rsidRDefault="00F277D9" w:rsidP="0066301C">
            <w:pPr>
              <w:spacing w:line="360" w:lineRule="auto"/>
              <w:jc w:val="both"/>
              <w:rPr>
                <w:rFonts w:ascii="Arial" w:hAnsi="Arial" w:cs="Arial"/>
                <w:sz w:val="20"/>
                <w:szCs w:val="20"/>
                <w:lang w:eastAsia="en-GB"/>
              </w:rPr>
            </w:pPr>
            <w:r>
              <w:rPr>
                <w:rFonts w:ascii="Arial" w:hAnsi="Arial" w:cs="Arial"/>
                <w:sz w:val="20"/>
                <w:szCs w:val="20"/>
                <w:lang w:eastAsia="en-GB"/>
              </w:rPr>
              <w:t>stable</w:t>
            </w:r>
          </w:p>
        </w:tc>
      </w:tr>
    </w:tbl>
    <w:p w14:paraId="365F0A82" w14:textId="77777777" w:rsidR="001864C3" w:rsidRDefault="001864C3" w:rsidP="0066301C">
      <w:pPr>
        <w:spacing w:line="360" w:lineRule="auto"/>
        <w:jc w:val="both"/>
        <w:rPr>
          <w:rFonts w:ascii="Arial" w:hAnsi="Arial" w:cs="Arial"/>
          <w:sz w:val="20"/>
          <w:szCs w:val="20"/>
          <w:lang w:eastAsia="en-GB"/>
        </w:rPr>
      </w:pPr>
      <w:r w:rsidRPr="003D1715">
        <w:rPr>
          <w:rFonts w:ascii="Arial" w:hAnsi="Arial" w:cs="Arial"/>
          <w:i/>
          <w:iCs/>
          <w:sz w:val="20"/>
          <w:szCs w:val="20"/>
          <w:lang w:eastAsia="en-GB"/>
        </w:rPr>
        <w:t>Source</w:t>
      </w:r>
      <w:r w:rsidRPr="003D1715">
        <w:rPr>
          <w:rFonts w:ascii="Arial" w:hAnsi="Arial" w:cs="Arial"/>
          <w:sz w:val="20"/>
          <w:szCs w:val="20"/>
          <w:lang w:eastAsia="en-GB"/>
        </w:rPr>
        <w:t>: Extracted from EViews 12</w:t>
      </w:r>
    </w:p>
    <w:bookmarkEnd w:id="470"/>
    <w:p w14:paraId="1E769BB4" w14:textId="4907D66D" w:rsidR="00EB1D79" w:rsidRPr="00E306E3" w:rsidRDefault="00EB1D79" w:rsidP="0066301C">
      <w:pPr>
        <w:spacing w:line="360" w:lineRule="auto"/>
        <w:jc w:val="both"/>
        <w:rPr>
          <w:rFonts w:ascii="Arial" w:hAnsi="Arial" w:cs="Arial"/>
          <w:lang w:eastAsia="en-GB"/>
        </w:rPr>
      </w:pPr>
      <w:r>
        <w:rPr>
          <w:rFonts w:ascii="Arial" w:hAnsi="Arial" w:cs="Arial"/>
          <w:lang w:eastAsia="en-GB"/>
        </w:rPr>
        <w:t xml:space="preserve">The result above reveals that the CUSUM statistic provides stable results for all </w:t>
      </w:r>
      <w:r w:rsidR="00741917">
        <w:rPr>
          <w:rFonts w:ascii="Arial" w:hAnsi="Arial" w:cs="Arial"/>
          <w:lang w:eastAsia="en-GB"/>
        </w:rPr>
        <w:t>three CEMAC</w:t>
      </w:r>
      <w:r>
        <w:rPr>
          <w:rFonts w:ascii="Arial" w:hAnsi="Arial" w:cs="Arial"/>
          <w:lang w:eastAsia="en-GB"/>
        </w:rPr>
        <w:t xml:space="preserve"> nations</w:t>
      </w:r>
      <w:r w:rsidR="00280E5D">
        <w:rPr>
          <w:rFonts w:ascii="Arial" w:hAnsi="Arial" w:cs="Arial"/>
          <w:lang w:eastAsia="en-GB"/>
        </w:rPr>
        <w:t xml:space="preserve"> </w:t>
      </w:r>
      <w:r w:rsidR="00741917">
        <w:rPr>
          <w:rFonts w:ascii="Arial" w:hAnsi="Arial" w:cs="Arial"/>
          <w:lang w:eastAsia="en-GB"/>
        </w:rPr>
        <w:t xml:space="preserve">but for </w:t>
      </w:r>
      <w:r w:rsidR="00C73730">
        <w:rPr>
          <w:rFonts w:ascii="Arial" w:hAnsi="Arial" w:cs="Arial"/>
          <w:lang w:eastAsia="en-GB"/>
        </w:rPr>
        <w:t>CAR – Cameroon trade</w:t>
      </w:r>
      <w:r>
        <w:rPr>
          <w:rFonts w:ascii="Arial" w:hAnsi="Arial" w:cs="Arial"/>
          <w:lang w:eastAsia="en-GB"/>
        </w:rPr>
        <w:t>. While the CUSUMSQ statistics provides stable result for all the nations but for Cameroon</w:t>
      </w:r>
      <w:r w:rsidR="00C73730">
        <w:rPr>
          <w:rFonts w:ascii="Arial" w:hAnsi="Arial" w:cs="Arial"/>
          <w:lang w:eastAsia="en-GB"/>
        </w:rPr>
        <w:t xml:space="preserve"> – Netherlands, Cameroon – Spain, CAR – India, CAR – Nepal, and Gabon – China.</w:t>
      </w:r>
      <w:r>
        <w:rPr>
          <w:rFonts w:ascii="Arial" w:hAnsi="Arial" w:cs="Arial"/>
          <w:lang w:eastAsia="en-GB"/>
        </w:rPr>
        <w:t xml:space="preserve"> Thus, the models for the </w:t>
      </w:r>
      <w:r w:rsidR="00C73730">
        <w:rPr>
          <w:rFonts w:ascii="Arial" w:hAnsi="Arial" w:cs="Arial"/>
          <w:lang w:eastAsia="en-GB"/>
        </w:rPr>
        <w:t xml:space="preserve">three </w:t>
      </w:r>
      <w:r>
        <w:rPr>
          <w:rFonts w:ascii="Arial" w:hAnsi="Arial" w:cs="Arial"/>
          <w:lang w:eastAsia="en-GB"/>
        </w:rPr>
        <w:t xml:space="preserve">CEMAC nations are </w:t>
      </w:r>
      <w:r w:rsidR="00C73730">
        <w:rPr>
          <w:rFonts w:ascii="Arial" w:hAnsi="Arial" w:cs="Arial"/>
          <w:lang w:eastAsia="en-GB"/>
        </w:rPr>
        <w:t>good</w:t>
      </w:r>
      <w:r>
        <w:rPr>
          <w:rFonts w:ascii="Arial" w:hAnsi="Arial" w:cs="Arial"/>
          <w:lang w:eastAsia="en-GB"/>
        </w:rPr>
        <w:t>.</w:t>
      </w:r>
    </w:p>
    <w:p w14:paraId="05F22506" w14:textId="03C1530F" w:rsidR="003C4FE7" w:rsidRDefault="003C4FE7" w:rsidP="0066301C">
      <w:pPr>
        <w:spacing w:line="360" w:lineRule="auto"/>
        <w:jc w:val="both"/>
        <w:rPr>
          <w:rFonts w:ascii="Arial" w:hAnsi="Arial" w:cs="Arial"/>
          <w:lang w:val="en-US" w:eastAsia="en-GB"/>
        </w:rPr>
      </w:pPr>
      <w:r w:rsidRPr="000354BF">
        <w:rPr>
          <w:rFonts w:ascii="Arial" w:hAnsi="Arial" w:cs="Arial"/>
        </w:rPr>
        <w:t xml:space="preserve">After dealing with the bilateral aggregate trade data approach by Rose and Yellen (1989), we then proceed to the next approach - the aggregate </w:t>
      </w:r>
      <w:r w:rsidRPr="000354BF">
        <w:rPr>
          <w:rFonts w:ascii="Arial" w:eastAsia="Times New Roman" w:hAnsi="Arial" w:cs="Arial"/>
          <w:lang w:val="en-US" w:eastAsia="en-GB"/>
        </w:rPr>
        <w:t xml:space="preserve">trade data approach by Magee (1973), to </w:t>
      </w:r>
      <w:r w:rsidRPr="000354BF">
        <w:rPr>
          <w:rFonts w:ascii="Arial" w:eastAsia="Times New Roman" w:hAnsi="Arial" w:cs="Arial"/>
          <w:lang w:val="en-US" w:eastAsia="en-GB"/>
        </w:rPr>
        <w:lastRenderedPageBreak/>
        <w:t xml:space="preserve">investigate the presence of the </w:t>
      </w:r>
      <w:r w:rsidRPr="000354BF">
        <w:rPr>
          <w:rFonts w:ascii="Arial" w:eastAsia="Times New Roman" w:hAnsi="Arial" w:cs="Arial"/>
          <w:i/>
          <w:lang w:val="en-US" w:eastAsia="en-GB"/>
        </w:rPr>
        <w:t>J-</w:t>
      </w:r>
      <w:r w:rsidRPr="000354BF">
        <w:rPr>
          <w:rFonts w:ascii="Arial" w:eastAsia="Times New Roman" w:hAnsi="Arial" w:cs="Arial"/>
          <w:lang w:val="en-US" w:eastAsia="en-GB"/>
        </w:rPr>
        <w:t xml:space="preserve">curve. </w:t>
      </w:r>
      <w:r w:rsidRPr="000354BF">
        <w:rPr>
          <w:rFonts w:ascii="Arial" w:hAnsi="Arial" w:cs="Arial"/>
        </w:rPr>
        <w:t>This gives a holistic perspective of the trade relationship between each CEMAC nation and all their trade partners. We follow the same procedures as done with the bilateral trade data approach. However, instead of using the individual trade partners, we sum all the trade partners as one.  Thus, the data use</w:t>
      </w:r>
      <w:r w:rsidR="00C73730">
        <w:rPr>
          <w:rFonts w:ascii="Arial" w:hAnsi="Arial" w:cs="Arial"/>
        </w:rPr>
        <w:t>d</w:t>
      </w:r>
      <w:r w:rsidRPr="000354BF">
        <w:rPr>
          <w:rFonts w:ascii="Arial" w:hAnsi="Arial" w:cs="Arial"/>
        </w:rPr>
        <w:t xml:space="preserve"> will be </w:t>
      </w:r>
      <w:r w:rsidR="002A780F">
        <w:rPr>
          <w:rFonts w:ascii="Arial" w:hAnsi="Arial" w:cs="Arial"/>
        </w:rPr>
        <w:t xml:space="preserve">the </w:t>
      </w:r>
      <w:r w:rsidRPr="000354BF">
        <w:rPr>
          <w:rFonts w:ascii="Arial" w:hAnsi="Arial" w:cs="Arial"/>
        </w:rPr>
        <w:t xml:space="preserve">same as above but for LNFI. We will be using the </w:t>
      </w:r>
      <w:r w:rsidRPr="000354BF">
        <w:rPr>
          <w:rFonts w:ascii="Arial" w:hAnsi="Arial" w:cs="Arial"/>
          <w:lang w:val="en-US" w:eastAsia="en-GB"/>
        </w:rPr>
        <w:t>log trade partners’ foreign income (LNPARTNERSFI)</w:t>
      </w:r>
      <w:r w:rsidR="002A780F">
        <w:rPr>
          <w:rFonts w:ascii="Arial" w:hAnsi="Arial" w:cs="Arial"/>
          <w:lang w:val="en-US" w:eastAsia="en-GB"/>
        </w:rPr>
        <w:t>,</w:t>
      </w:r>
      <w:r w:rsidRPr="000354BF">
        <w:rPr>
          <w:rFonts w:ascii="Arial" w:hAnsi="Arial" w:cs="Arial"/>
          <w:lang w:val="en-US" w:eastAsia="en-GB"/>
        </w:rPr>
        <w:t xml:space="preserve"> which is a proxy for the sum of all the main five trading partners’ gross </w:t>
      </w:r>
      <w:bookmarkStart w:id="471" w:name="_Hlk141670000"/>
      <w:bookmarkStart w:id="472" w:name="_Hlk170839824"/>
      <w:r w:rsidRPr="000354BF">
        <w:rPr>
          <w:rFonts w:ascii="Arial" w:hAnsi="Arial" w:cs="Arial"/>
          <w:lang w:val="en-US" w:eastAsia="en-GB"/>
        </w:rPr>
        <w:t xml:space="preserve">domestic production. </w:t>
      </w:r>
    </w:p>
    <w:p w14:paraId="045CD1C7" w14:textId="0975CB1D" w:rsidR="00F91DB7" w:rsidRPr="00A817E8" w:rsidRDefault="00717EF6" w:rsidP="0066301C">
      <w:pPr>
        <w:pStyle w:val="Heading2"/>
        <w:spacing w:before="0" w:beforeAutospacing="0"/>
      </w:pPr>
      <w:bookmarkStart w:id="473" w:name="_Toc171075418"/>
      <w:r>
        <w:t>4</w:t>
      </w:r>
      <w:r w:rsidR="00F91DB7" w:rsidRPr="00A817E8">
        <w:t>.</w:t>
      </w:r>
      <w:r w:rsidR="00CC1B70">
        <w:t>7</w:t>
      </w:r>
      <w:r w:rsidR="00CC1B70">
        <w:tab/>
      </w:r>
      <w:r w:rsidR="00F91DB7">
        <w:t xml:space="preserve">AGGREGATE TRADE DATA </w:t>
      </w:r>
      <w:r w:rsidR="00F91DB7" w:rsidRPr="00A817E8">
        <w:t>EMPIRICAL ANALYSIS</w:t>
      </w:r>
      <w:bookmarkEnd w:id="473"/>
      <w:r w:rsidR="00F91DB7" w:rsidRPr="00A817E8">
        <w:t xml:space="preserve"> </w:t>
      </w:r>
    </w:p>
    <w:p w14:paraId="3BEABDB0" w14:textId="23E3AE0C" w:rsidR="00F84310" w:rsidRDefault="00F91DB7" w:rsidP="0066301C">
      <w:pPr>
        <w:spacing w:line="360" w:lineRule="auto"/>
        <w:jc w:val="both"/>
        <w:rPr>
          <w:rFonts w:ascii="Arial" w:hAnsi="Arial" w:cs="Arial"/>
        </w:rPr>
      </w:pPr>
      <w:r w:rsidRPr="00876F6F">
        <w:rPr>
          <w:rFonts w:ascii="Arial" w:eastAsia="Times New Roman" w:hAnsi="Arial" w:cs="Arial"/>
          <w:lang w:val="en-US" w:eastAsia="en-GB"/>
        </w:rPr>
        <w:t>In this section</w:t>
      </w:r>
      <w:bookmarkEnd w:id="471"/>
      <w:r w:rsidRPr="00876F6F">
        <w:rPr>
          <w:rFonts w:ascii="Arial" w:eastAsia="Times New Roman" w:hAnsi="Arial" w:cs="Arial"/>
          <w:lang w:val="en-US" w:eastAsia="en-GB"/>
        </w:rPr>
        <w:t xml:space="preserve">, we </w:t>
      </w:r>
      <w:r w:rsidR="000E3E82" w:rsidRPr="00876F6F">
        <w:rPr>
          <w:rFonts w:ascii="Arial" w:eastAsia="Times New Roman" w:hAnsi="Arial" w:cs="Arial"/>
          <w:lang w:val="en-US" w:eastAsia="en-GB"/>
        </w:rPr>
        <w:t>examine</w:t>
      </w:r>
      <w:r w:rsidRPr="00876F6F">
        <w:rPr>
          <w:rFonts w:ascii="Arial" w:eastAsia="Times New Roman" w:hAnsi="Arial" w:cs="Arial"/>
          <w:lang w:val="en-US" w:eastAsia="en-GB"/>
        </w:rPr>
        <w:t xml:space="preserve"> if the CFA franc devaluation ha</w:t>
      </w:r>
      <w:r w:rsidR="00AE0448">
        <w:rPr>
          <w:rFonts w:ascii="Arial" w:eastAsia="Times New Roman" w:hAnsi="Arial" w:cs="Arial"/>
          <w:lang w:val="en-US" w:eastAsia="en-GB"/>
        </w:rPr>
        <w:t>s</w:t>
      </w:r>
      <w:r w:rsidRPr="00876F6F">
        <w:rPr>
          <w:rFonts w:ascii="Arial" w:eastAsia="Times New Roman" w:hAnsi="Arial" w:cs="Arial"/>
          <w:lang w:val="en-US" w:eastAsia="en-GB"/>
        </w:rPr>
        <w:t xml:space="preserve"> an impact on the </w:t>
      </w:r>
      <w:r w:rsidR="001B5F6B">
        <w:rPr>
          <w:rFonts w:ascii="Arial" w:eastAsia="Times New Roman" w:hAnsi="Arial" w:cs="Arial"/>
          <w:lang w:val="en-US" w:eastAsia="en-GB"/>
        </w:rPr>
        <w:t xml:space="preserve">individual </w:t>
      </w:r>
      <w:r w:rsidRPr="00876F6F">
        <w:rPr>
          <w:rFonts w:ascii="Arial" w:eastAsia="Times New Roman" w:hAnsi="Arial" w:cs="Arial"/>
          <w:lang w:val="en-US" w:eastAsia="en-GB"/>
        </w:rPr>
        <w:t xml:space="preserve">CEMAC nations’ </w:t>
      </w:r>
      <w:r w:rsidR="000E3E82">
        <w:rPr>
          <w:rFonts w:ascii="Arial" w:eastAsia="Times New Roman" w:hAnsi="Arial" w:cs="Arial"/>
          <w:lang w:val="en-US" w:eastAsia="en-GB"/>
        </w:rPr>
        <w:t>TB</w:t>
      </w:r>
      <w:r w:rsidR="00650D49">
        <w:rPr>
          <w:rFonts w:ascii="Arial" w:eastAsia="Times New Roman" w:hAnsi="Arial" w:cs="Arial"/>
          <w:lang w:val="en-US" w:eastAsia="en-GB"/>
        </w:rPr>
        <w:t>.</w:t>
      </w:r>
      <w:r w:rsidR="00650D49">
        <w:rPr>
          <w:rStyle w:val="FootnoteReference"/>
          <w:rFonts w:ascii="Arial" w:eastAsia="Times New Roman" w:hAnsi="Arial" w:cs="Arial"/>
          <w:lang w:val="en-US" w:eastAsia="en-GB"/>
        </w:rPr>
        <w:footnoteReference w:id="121"/>
      </w:r>
      <w:r w:rsidR="00215EF6">
        <w:rPr>
          <w:rFonts w:ascii="Arial" w:eastAsia="Times New Roman" w:hAnsi="Arial" w:cs="Arial"/>
          <w:lang w:val="en-US" w:eastAsia="en-GB"/>
        </w:rPr>
        <w:t xml:space="preserve"> </w:t>
      </w:r>
      <w:r w:rsidR="0044271D">
        <w:rPr>
          <w:rFonts w:ascii="Arial" w:eastAsia="Times New Roman" w:hAnsi="Arial" w:cs="Arial"/>
          <w:lang w:val="en-US" w:eastAsia="en-GB"/>
        </w:rPr>
        <w:t xml:space="preserve">This gives us an understanding on the state of each CEMAC nation’s </w:t>
      </w:r>
      <w:r w:rsidR="000E3E82">
        <w:rPr>
          <w:rFonts w:ascii="Arial" w:eastAsia="Times New Roman" w:hAnsi="Arial" w:cs="Arial"/>
          <w:lang w:val="en-US" w:eastAsia="en-GB"/>
        </w:rPr>
        <w:t>TB</w:t>
      </w:r>
      <w:r w:rsidR="0044271D">
        <w:rPr>
          <w:rFonts w:ascii="Arial" w:eastAsia="Times New Roman" w:hAnsi="Arial" w:cs="Arial"/>
          <w:lang w:val="en-US" w:eastAsia="en-GB"/>
        </w:rPr>
        <w:t xml:space="preserve"> </w:t>
      </w:r>
      <w:r w:rsidR="00EE4929">
        <w:rPr>
          <w:rFonts w:ascii="Arial" w:eastAsia="Times New Roman" w:hAnsi="Arial" w:cs="Arial"/>
          <w:lang w:val="en-US" w:eastAsia="en-GB"/>
        </w:rPr>
        <w:t>(i.e.,</w:t>
      </w:r>
      <w:r w:rsidR="0044271D">
        <w:rPr>
          <w:rFonts w:ascii="Arial" w:eastAsia="Times New Roman" w:hAnsi="Arial" w:cs="Arial"/>
          <w:lang w:val="en-US" w:eastAsia="en-GB"/>
        </w:rPr>
        <w:t xml:space="preserve"> if currency devaluation helps improve </w:t>
      </w:r>
      <w:r w:rsidR="00C475D0">
        <w:rPr>
          <w:rFonts w:ascii="Arial" w:eastAsia="Times New Roman" w:hAnsi="Arial" w:cs="Arial"/>
          <w:lang w:val="en-US" w:eastAsia="en-GB"/>
        </w:rPr>
        <w:t>the nation’s</w:t>
      </w:r>
      <w:r w:rsidR="00650D49">
        <w:rPr>
          <w:rFonts w:ascii="Arial" w:eastAsia="Times New Roman" w:hAnsi="Arial" w:cs="Arial"/>
          <w:lang w:val="en-US" w:eastAsia="en-GB"/>
        </w:rPr>
        <w:t xml:space="preserve"> </w:t>
      </w:r>
      <w:r w:rsidR="000E3E82">
        <w:rPr>
          <w:rFonts w:ascii="Arial" w:eastAsia="Times New Roman" w:hAnsi="Arial" w:cs="Arial"/>
          <w:lang w:val="en-US" w:eastAsia="en-GB"/>
        </w:rPr>
        <w:t>TB</w:t>
      </w:r>
      <w:r w:rsidR="00650D49">
        <w:rPr>
          <w:rFonts w:ascii="Arial" w:eastAsia="Times New Roman" w:hAnsi="Arial" w:cs="Arial"/>
          <w:lang w:val="en-US" w:eastAsia="en-GB"/>
        </w:rPr>
        <w:t xml:space="preserve"> or not</w:t>
      </w:r>
      <w:r w:rsidR="00EE4929">
        <w:rPr>
          <w:rFonts w:ascii="Arial" w:eastAsia="Times New Roman" w:hAnsi="Arial" w:cs="Arial"/>
          <w:lang w:val="en-US" w:eastAsia="en-GB"/>
        </w:rPr>
        <w:t>)</w:t>
      </w:r>
      <w:r w:rsidRPr="00876F6F">
        <w:rPr>
          <w:rFonts w:ascii="Arial" w:eastAsia="Times New Roman" w:hAnsi="Arial" w:cs="Arial"/>
          <w:lang w:val="en-US" w:eastAsia="en-GB"/>
        </w:rPr>
        <w:t>.</w:t>
      </w:r>
      <w:r w:rsidR="00650D49">
        <w:rPr>
          <w:rFonts w:ascii="Arial" w:eastAsia="Times New Roman" w:hAnsi="Arial" w:cs="Arial"/>
          <w:lang w:val="en-US" w:eastAsia="en-GB"/>
        </w:rPr>
        <w:t xml:space="preserve"> </w:t>
      </w:r>
      <w:r w:rsidR="00C475D0">
        <w:rPr>
          <w:rFonts w:ascii="Arial" w:eastAsia="Times New Roman" w:hAnsi="Arial" w:cs="Arial"/>
          <w:lang w:val="en-US" w:eastAsia="en-GB"/>
        </w:rPr>
        <w:t>As such, w</w:t>
      </w:r>
      <w:r w:rsidRPr="00876F6F">
        <w:rPr>
          <w:rFonts w:ascii="Arial" w:eastAsia="Times New Roman" w:hAnsi="Arial" w:cs="Arial"/>
          <w:lang w:val="en-US" w:eastAsia="en-GB"/>
        </w:rPr>
        <w:t xml:space="preserve">e </w:t>
      </w:r>
      <w:r w:rsidR="00C40E36">
        <w:rPr>
          <w:rFonts w:ascii="Arial" w:eastAsia="Times New Roman" w:hAnsi="Arial" w:cs="Arial"/>
          <w:lang w:val="en-US" w:eastAsia="en-GB"/>
        </w:rPr>
        <w:t>us</w:t>
      </w:r>
      <w:r w:rsidR="00AE0448">
        <w:rPr>
          <w:rFonts w:ascii="Arial" w:eastAsia="Times New Roman" w:hAnsi="Arial" w:cs="Arial"/>
          <w:lang w:val="en-US" w:eastAsia="en-GB"/>
        </w:rPr>
        <w:t>e</w:t>
      </w:r>
      <w:r w:rsidRPr="00876F6F">
        <w:rPr>
          <w:rFonts w:ascii="Arial" w:eastAsia="Times New Roman" w:hAnsi="Arial" w:cs="Arial"/>
          <w:lang w:val="en-US" w:eastAsia="en-GB"/>
        </w:rPr>
        <w:t xml:space="preserve"> the aggregate trade data approach by Magee (1973) to investigate</w:t>
      </w:r>
      <w:r w:rsidR="00C475D0">
        <w:rPr>
          <w:rFonts w:ascii="Arial" w:eastAsia="Times New Roman" w:hAnsi="Arial" w:cs="Arial"/>
          <w:lang w:val="en-US" w:eastAsia="en-GB"/>
        </w:rPr>
        <w:t xml:space="preserve"> for</w:t>
      </w:r>
      <w:r w:rsidRPr="00876F6F">
        <w:rPr>
          <w:rFonts w:ascii="Arial" w:eastAsia="Times New Roman" w:hAnsi="Arial" w:cs="Arial"/>
          <w:lang w:val="en-US" w:eastAsia="en-GB"/>
        </w:rPr>
        <w:t xml:space="preserve"> the presence of the </w:t>
      </w:r>
      <w:r w:rsidRPr="00876F6F">
        <w:rPr>
          <w:rFonts w:ascii="Arial" w:eastAsia="Times New Roman" w:hAnsi="Arial" w:cs="Arial"/>
          <w:i/>
          <w:lang w:val="en-US" w:eastAsia="en-GB"/>
        </w:rPr>
        <w:t>J-</w:t>
      </w:r>
      <w:r w:rsidRPr="00876F6F">
        <w:rPr>
          <w:rFonts w:ascii="Arial" w:eastAsia="Times New Roman" w:hAnsi="Arial" w:cs="Arial"/>
          <w:lang w:val="en-US" w:eastAsia="en-GB"/>
        </w:rPr>
        <w:t>curve</w:t>
      </w:r>
      <w:r w:rsidR="00C475D0">
        <w:rPr>
          <w:rFonts w:ascii="Arial" w:eastAsia="Times New Roman" w:hAnsi="Arial" w:cs="Arial"/>
          <w:lang w:val="en-US" w:eastAsia="en-GB"/>
        </w:rPr>
        <w:t xml:space="preserve"> in their TB</w:t>
      </w:r>
      <w:r w:rsidRPr="00876F6F">
        <w:rPr>
          <w:rFonts w:ascii="Arial" w:eastAsia="Times New Roman" w:hAnsi="Arial" w:cs="Arial"/>
          <w:lang w:val="en-US" w:eastAsia="en-GB"/>
        </w:rPr>
        <w:t>,</w:t>
      </w:r>
      <w:r w:rsidRPr="00876F6F">
        <w:rPr>
          <w:rFonts w:ascii="Arial" w:hAnsi="Arial" w:cs="Arial"/>
        </w:rPr>
        <w:t xml:space="preserve"> instead of</w:t>
      </w:r>
      <w:r w:rsidR="00C475D0">
        <w:rPr>
          <w:rFonts w:ascii="Arial" w:hAnsi="Arial" w:cs="Arial"/>
        </w:rPr>
        <w:t xml:space="preserve"> using</w:t>
      </w:r>
      <w:r w:rsidRPr="00876F6F">
        <w:rPr>
          <w:rFonts w:ascii="Arial" w:hAnsi="Arial" w:cs="Arial"/>
        </w:rPr>
        <w:t xml:space="preserve"> the bilateral aggregate or bilateral disaggregated trade data approach. This is because </w:t>
      </w:r>
      <w:r w:rsidR="00F84310">
        <w:rPr>
          <w:rFonts w:ascii="Arial" w:hAnsi="Arial" w:cs="Arial"/>
        </w:rPr>
        <w:t>the aggregate trade data approach gives us an overview of a nation’s TB (i.e., it tells us if currency devaluation improves the nation’s TB or not)</w:t>
      </w:r>
      <w:r w:rsidR="000E3E82">
        <w:rPr>
          <w:rFonts w:ascii="Arial" w:hAnsi="Arial" w:cs="Arial"/>
        </w:rPr>
        <w:t xml:space="preserve">. As earlier mentioned, one of aim of currency devaluation is to improve </w:t>
      </w:r>
      <w:r w:rsidR="008D03F9">
        <w:rPr>
          <w:rFonts w:ascii="Arial" w:hAnsi="Arial" w:cs="Arial"/>
        </w:rPr>
        <w:t>a</w:t>
      </w:r>
      <w:r w:rsidR="000E3E82">
        <w:rPr>
          <w:rFonts w:ascii="Arial" w:hAnsi="Arial" w:cs="Arial"/>
        </w:rPr>
        <w:t xml:space="preserve"> nation's TB and the aggregate trade data approach help us </w:t>
      </w:r>
      <w:r w:rsidR="00025297">
        <w:rPr>
          <w:rFonts w:ascii="Arial" w:hAnsi="Arial" w:cs="Arial"/>
        </w:rPr>
        <w:t>analyse</w:t>
      </w:r>
      <w:r w:rsidR="000E3E82">
        <w:rPr>
          <w:rFonts w:ascii="Arial" w:hAnsi="Arial" w:cs="Arial"/>
        </w:rPr>
        <w:t xml:space="preserve"> if this </w:t>
      </w:r>
      <w:r w:rsidR="00776E52">
        <w:rPr>
          <w:rFonts w:ascii="Arial" w:hAnsi="Arial" w:cs="Arial"/>
        </w:rPr>
        <w:t>is</w:t>
      </w:r>
      <w:r w:rsidR="000E3E82">
        <w:rPr>
          <w:rFonts w:ascii="Arial" w:hAnsi="Arial" w:cs="Arial"/>
        </w:rPr>
        <w:t xml:space="preserve"> achieved</w:t>
      </w:r>
      <w:r w:rsidR="00FD538B">
        <w:rPr>
          <w:rFonts w:ascii="Arial" w:hAnsi="Arial" w:cs="Arial"/>
        </w:rPr>
        <w:t xml:space="preserve">. This </w:t>
      </w:r>
      <w:r w:rsidR="00776E52">
        <w:rPr>
          <w:rFonts w:ascii="Arial" w:hAnsi="Arial" w:cs="Arial"/>
        </w:rPr>
        <w:t xml:space="preserve">helps </w:t>
      </w:r>
      <w:r w:rsidR="00FD538B">
        <w:rPr>
          <w:rFonts w:ascii="Arial" w:hAnsi="Arial" w:cs="Arial"/>
        </w:rPr>
        <w:t>inform policymakers if currency devaluation improves the nation’s TB or not</w:t>
      </w:r>
      <w:r w:rsidR="00776E52">
        <w:rPr>
          <w:rFonts w:ascii="Arial" w:hAnsi="Arial" w:cs="Arial"/>
        </w:rPr>
        <w:t>,</w:t>
      </w:r>
      <w:r w:rsidR="00FD538B">
        <w:rPr>
          <w:rFonts w:ascii="Arial" w:hAnsi="Arial" w:cs="Arial"/>
        </w:rPr>
        <w:t xml:space="preserve"> and for them to make informed decisions.</w:t>
      </w:r>
      <w:r w:rsidR="00F62F45">
        <w:rPr>
          <w:rStyle w:val="FootnoteReference"/>
          <w:rFonts w:ascii="Arial" w:hAnsi="Arial" w:cs="Arial"/>
        </w:rPr>
        <w:footnoteReference w:id="122"/>
      </w:r>
      <w:r w:rsidR="000E3E82">
        <w:rPr>
          <w:rFonts w:ascii="Arial" w:hAnsi="Arial" w:cs="Arial"/>
        </w:rPr>
        <w:t xml:space="preserve"> </w:t>
      </w:r>
    </w:p>
    <w:bookmarkEnd w:id="472"/>
    <w:p w14:paraId="29209CEA" w14:textId="2C870D73" w:rsidR="00F91DB7" w:rsidRPr="00876F6F" w:rsidRDefault="00941B56" w:rsidP="0066301C">
      <w:pPr>
        <w:spacing w:line="360" w:lineRule="auto"/>
        <w:jc w:val="both"/>
        <w:rPr>
          <w:rFonts w:ascii="Arial" w:hAnsi="Arial" w:cs="Arial"/>
          <w:lang w:val="en-US" w:eastAsia="en-GB"/>
        </w:rPr>
      </w:pPr>
      <w:r w:rsidRPr="00876F6F">
        <w:rPr>
          <w:rFonts w:ascii="Arial" w:hAnsi="Arial" w:cs="Arial"/>
        </w:rPr>
        <w:t xml:space="preserve">Analysing from industrial or sectorial level (bilateral disaggregate trade data approach) might not give a clear picture of the entire impact of the devaluation since we might not be able to capture all the industries or sectors of a nation. This is largely because CEMAC nations are developing nations, and data on some sectors might be hard to come by or not available. </w:t>
      </w:r>
      <w:r w:rsidR="00171E87">
        <w:rPr>
          <w:rFonts w:ascii="Arial" w:hAnsi="Arial" w:cs="Arial"/>
        </w:rPr>
        <w:t>Hence</w:t>
      </w:r>
      <w:r w:rsidRPr="00876F6F">
        <w:rPr>
          <w:rFonts w:ascii="Arial" w:hAnsi="Arial" w:cs="Arial"/>
        </w:rPr>
        <w:t xml:space="preserve">, using such approach with insufficient data could give incomplete and misleading results. </w:t>
      </w:r>
      <w:r w:rsidR="00F91DB7" w:rsidRPr="00876F6F">
        <w:rPr>
          <w:rFonts w:ascii="Arial" w:hAnsi="Arial" w:cs="Arial"/>
        </w:rPr>
        <w:t xml:space="preserve">However, to ascertain if the objective of the devaluation </w:t>
      </w:r>
      <w:r>
        <w:rPr>
          <w:rFonts w:ascii="Arial" w:hAnsi="Arial" w:cs="Arial"/>
        </w:rPr>
        <w:t>is</w:t>
      </w:r>
      <w:r w:rsidR="00F91DB7" w:rsidRPr="00876F6F">
        <w:rPr>
          <w:rFonts w:ascii="Arial" w:hAnsi="Arial" w:cs="Arial"/>
        </w:rPr>
        <w:t xml:space="preserve"> achieved (which is to see if the CFA franc devaluation </w:t>
      </w:r>
      <w:r>
        <w:rPr>
          <w:rFonts w:ascii="Arial" w:hAnsi="Arial" w:cs="Arial"/>
        </w:rPr>
        <w:t xml:space="preserve">could </w:t>
      </w:r>
      <w:r w:rsidR="00F91DB7" w:rsidRPr="00876F6F">
        <w:rPr>
          <w:rFonts w:ascii="Arial" w:hAnsi="Arial" w:cs="Arial"/>
        </w:rPr>
        <w:t xml:space="preserve">improve the individual CEMAC nation’s trade balance), we ought to investigate from </w:t>
      </w:r>
      <w:r w:rsidR="00171E87" w:rsidRPr="00876F6F">
        <w:rPr>
          <w:rFonts w:ascii="Arial" w:hAnsi="Arial" w:cs="Arial"/>
        </w:rPr>
        <w:t>an</w:t>
      </w:r>
      <w:r w:rsidR="00F91DB7" w:rsidRPr="00876F6F">
        <w:rPr>
          <w:rFonts w:ascii="Arial" w:hAnsi="Arial" w:cs="Arial"/>
        </w:rPr>
        <w:t xml:space="preserve"> </w:t>
      </w:r>
      <w:r w:rsidR="00171E87">
        <w:rPr>
          <w:rFonts w:ascii="Arial" w:hAnsi="Arial" w:cs="Arial"/>
        </w:rPr>
        <w:t>aggregate</w:t>
      </w:r>
      <w:r w:rsidR="00F91DB7" w:rsidRPr="00876F6F">
        <w:rPr>
          <w:rFonts w:ascii="Arial" w:hAnsi="Arial" w:cs="Arial"/>
        </w:rPr>
        <w:t xml:space="preserve"> perspective. Th</w:t>
      </w:r>
      <w:r w:rsidR="00DA55BE">
        <w:rPr>
          <w:rFonts w:ascii="Arial" w:hAnsi="Arial" w:cs="Arial"/>
        </w:rPr>
        <w:t>is</w:t>
      </w:r>
      <w:r w:rsidR="00F91DB7" w:rsidRPr="00876F6F">
        <w:rPr>
          <w:rFonts w:ascii="Arial" w:hAnsi="Arial" w:cs="Arial"/>
        </w:rPr>
        <w:t xml:space="preserve"> necessitat</w:t>
      </w:r>
      <w:r w:rsidR="00DA55BE">
        <w:rPr>
          <w:rFonts w:ascii="Arial" w:hAnsi="Arial" w:cs="Arial"/>
        </w:rPr>
        <w:t>es</w:t>
      </w:r>
      <w:r w:rsidR="00F91DB7" w:rsidRPr="00876F6F">
        <w:rPr>
          <w:rFonts w:ascii="Arial" w:hAnsi="Arial" w:cs="Arial"/>
        </w:rPr>
        <w:t xml:space="preserve"> the use of the aggregate trade data approach, which helps to look at the trading relationship between each of the CEMAC nations and all their main trading partners as one. </w:t>
      </w:r>
    </w:p>
    <w:p w14:paraId="5AF4B4F5" w14:textId="19BF6CA9" w:rsidR="00181EBB" w:rsidRDefault="00F91DB7" w:rsidP="0066301C">
      <w:pPr>
        <w:autoSpaceDE w:val="0"/>
        <w:autoSpaceDN w:val="0"/>
        <w:adjustRightInd w:val="0"/>
        <w:spacing w:after="0" w:line="360" w:lineRule="auto"/>
        <w:jc w:val="both"/>
        <w:rPr>
          <w:rFonts w:ascii="Arial" w:eastAsia="Times New Roman" w:hAnsi="Arial" w:cs="Arial"/>
          <w:lang w:val="en-US" w:eastAsia="en-GB"/>
        </w:rPr>
      </w:pPr>
      <w:r w:rsidRPr="00876F6F">
        <w:rPr>
          <w:rFonts w:ascii="Arial" w:eastAsia="Times New Roman" w:hAnsi="Arial" w:cs="Arial"/>
          <w:lang w:val="en-US" w:eastAsia="en-GB"/>
        </w:rPr>
        <w:lastRenderedPageBreak/>
        <w:t>The dataset analyze</w:t>
      </w:r>
      <w:r w:rsidR="00941B56">
        <w:rPr>
          <w:rFonts w:ascii="Arial" w:eastAsia="Times New Roman" w:hAnsi="Arial" w:cs="Arial"/>
          <w:lang w:val="en-US" w:eastAsia="en-GB"/>
        </w:rPr>
        <w:t>d</w:t>
      </w:r>
      <w:r w:rsidRPr="00876F6F">
        <w:rPr>
          <w:rFonts w:ascii="Arial" w:eastAsia="Times New Roman" w:hAnsi="Arial" w:cs="Arial"/>
          <w:lang w:val="en-US" w:eastAsia="en-GB"/>
        </w:rPr>
        <w:t xml:space="preserve"> in this section </w:t>
      </w:r>
      <w:r w:rsidR="21E53547" w:rsidRPr="00876F6F">
        <w:rPr>
          <w:rFonts w:ascii="Arial" w:eastAsia="Times New Roman" w:hAnsi="Arial" w:cs="Arial"/>
          <w:lang w:val="en-US" w:eastAsia="en-GB"/>
        </w:rPr>
        <w:t>is</w:t>
      </w:r>
      <w:r w:rsidRPr="00876F6F">
        <w:rPr>
          <w:rFonts w:ascii="Arial" w:eastAsia="Times New Roman" w:hAnsi="Arial" w:cs="Arial"/>
          <w:lang w:val="en-US" w:eastAsia="en-GB"/>
        </w:rPr>
        <w:t xml:space="preserve"> secondary, sourced from the World Bank – World Development Indicators. They are annual observations covering the period 1980 to 2018. The variables used are in their log form, with </w:t>
      </w:r>
      <w:r w:rsidR="17192541" w:rsidRPr="00876F6F">
        <w:rPr>
          <w:rFonts w:ascii="Arial" w:eastAsia="Times New Roman" w:hAnsi="Arial" w:cs="Arial"/>
          <w:lang w:val="en-US" w:eastAsia="en-GB"/>
        </w:rPr>
        <w:t>the</w:t>
      </w:r>
      <w:r w:rsidRPr="00876F6F">
        <w:rPr>
          <w:rFonts w:ascii="Arial" w:eastAsia="Times New Roman" w:hAnsi="Arial" w:cs="Arial"/>
          <w:lang w:val="en-US" w:eastAsia="en-GB"/>
        </w:rPr>
        <w:t xml:space="preserve"> log trade balance (LNTB) being the dependent variable. The independent variables used </w:t>
      </w:r>
      <w:r w:rsidR="00941B56" w:rsidRPr="00876F6F">
        <w:rPr>
          <w:rFonts w:ascii="Arial" w:eastAsia="Times New Roman" w:hAnsi="Arial" w:cs="Arial"/>
          <w:lang w:val="en-US" w:eastAsia="en-GB"/>
        </w:rPr>
        <w:t>are</w:t>
      </w:r>
      <w:r w:rsidRPr="00876F6F">
        <w:rPr>
          <w:rFonts w:ascii="Arial" w:eastAsia="Times New Roman" w:hAnsi="Arial" w:cs="Arial"/>
          <w:lang w:val="en-US" w:eastAsia="en-GB"/>
        </w:rPr>
        <w:t xml:space="preserve"> log real effective exchange rate (LNREER)</w:t>
      </w:r>
      <w:r w:rsidR="005A27DF">
        <w:rPr>
          <w:rFonts w:ascii="Arial" w:eastAsia="Times New Roman" w:hAnsi="Arial" w:cs="Arial"/>
          <w:lang w:val="en-US" w:eastAsia="en-GB"/>
        </w:rPr>
        <w:t>;</w:t>
      </w:r>
      <w:r w:rsidRPr="00876F6F">
        <w:rPr>
          <w:rFonts w:ascii="Arial" w:eastAsia="Times New Roman" w:hAnsi="Arial" w:cs="Arial"/>
          <w:lang w:val="en-US" w:eastAsia="en-GB"/>
        </w:rPr>
        <w:t xml:space="preserve"> log domestic income (LNDI)</w:t>
      </w:r>
      <w:r w:rsidR="005A27DF">
        <w:rPr>
          <w:rFonts w:ascii="Arial" w:eastAsia="Times New Roman" w:hAnsi="Arial" w:cs="Arial"/>
          <w:lang w:val="en-US" w:eastAsia="en-GB"/>
        </w:rPr>
        <w:t>,</w:t>
      </w:r>
      <w:r w:rsidRPr="00876F6F">
        <w:rPr>
          <w:rFonts w:ascii="Arial" w:eastAsia="Times New Roman" w:hAnsi="Arial" w:cs="Arial"/>
          <w:lang w:val="en-US" w:eastAsia="en-GB"/>
        </w:rPr>
        <w:t xml:space="preserve"> which is a proxy for each of the CEMAC nations’ gross domestic production (GDP)</w:t>
      </w:r>
      <w:r w:rsidR="005A27DF">
        <w:rPr>
          <w:rFonts w:ascii="Arial" w:eastAsia="Times New Roman" w:hAnsi="Arial" w:cs="Arial"/>
          <w:lang w:val="en-US" w:eastAsia="en-GB"/>
        </w:rPr>
        <w:t>;</w:t>
      </w:r>
      <w:r w:rsidRPr="00876F6F">
        <w:rPr>
          <w:rFonts w:ascii="Arial" w:eastAsia="Times New Roman" w:hAnsi="Arial" w:cs="Arial"/>
          <w:lang w:val="en-US" w:eastAsia="en-GB"/>
        </w:rPr>
        <w:t xml:space="preserve"> and log trade partners’ foreign income (LNPARTNERSFI)</w:t>
      </w:r>
      <w:r w:rsidR="005A27DF">
        <w:rPr>
          <w:rFonts w:ascii="Arial" w:eastAsia="Times New Roman" w:hAnsi="Arial" w:cs="Arial"/>
          <w:lang w:val="en-US" w:eastAsia="en-GB"/>
        </w:rPr>
        <w:t>,</w:t>
      </w:r>
      <w:r w:rsidRPr="00876F6F">
        <w:rPr>
          <w:rFonts w:ascii="Arial" w:eastAsia="Times New Roman" w:hAnsi="Arial" w:cs="Arial"/>
          <w:lang w:val="en-US" w:eastAsia="en-GB"/>
        </w:rPr>
        <w:t xml:space="preserve"> which is a proxy for the sum of all the main five trading partners’ gross domestic production. The main trading partners used are</w:t>
      </w:r>
      <w:r w:rsidR="00941B56">
        <w:rPr>
          <w:rFonts w:ascii="Arial" w:eastAsia="Times New Roman" w:hAnsi="Arial" w:cs="Arial"/>
          <w:lang w:val="en-US" w:eastAsia="en-GB"/>
        </w:rPr>
        <w:t xml:space="preserve"> </w:t>
      </w:r>
      <w:r w:rsidR="1B60D43D">
        <w:rPr>
          <w:rFonts w:ascii="Arial" w:eastAsia="Times New Roman" w:hAnsi="Arial" w:cs="Arial"/>
          <w:lang w:val="en-US" w:eastAsia="en-GB"/>
        </w:rPr>
        <w:t>the</w:t>
      </w:r>
      <w:r w:rsidR="00941B56">
        <w:rPr>
          <w:rFonts w:ascii="Arial" w:eastAsia="Times New Roman" w:hAnsi="Arial" w:cs="Arial"/>
          <w:lang w:val="en-US" w:eastAsia="en-GB"/>
        </w:rPr>
        <w:t xml:space="preserve"> same as in the previous section</w:t>
      </w:r>
      <w:r w:rsidR="00181EBB">
        <w:rPr>
          <w:rFonts w:ascii="Arial" w:eastAsia="Times New Roman" w:hAnsi="Arial" w:cs="Arial"/>
          <w:lang w:val="en-US" w:eastAsia="en-GB"/>
        </w:rPr>
        <w:t>.</w:t>
      </w:r>
      <w:r w:rsidR="00181EBB">
        <w:rPr>
          <w:rStyle w:val="FootnoteReference"/>
          <w:rFonts w:ascii="Arial" w:eastAsia="Times New Roman" w:hAnsi="Arial" w:cs="Arial"/>
          <w:lang w:val="en-US" w:eastAsia="en-GB"/>
        </w:rPr>
        <w:footnoteReference w:id="123"/>
      </w:r>
      <w:r w:rsidR="00181EBB">
        <w:rPr>
          <w:rFonts w:ascii="Arial" w:eastAsia="Times New Roman" w:hAnsi="Arial" w:cs="Arial"/>
          <w:lang w:val="en-US" w:eastAsia="en-GB"/>
        </w:rPr>
        <w:t xml:space="preserve"> T</w:t>
      </w:r>
      <w:r w:rsidR="00181EBB" w:rsidRPr="00876F6F">
        <w:rPr>
          <w:rFonts w:ascii="Arial" w:eastAsia="Times New Roman" w:hAnsi="Arial" w:cs="Arial"/>
          <w:lang w:val="en-US" w:eastAsia="en-GB"/>
        </w:rPr>
        <w:t xml:space="preserve">he </w:t>
      </w:r>
      <w:r w:rsidR="00181EBB">
        <w:rPr>
          <w:rFonts w:ascii="Arial" w:eastAsia="Times New Roman" w:hAnsi="Arial" w:cs="Arial"/>
          <w:lang w:val="en-US" w:eastAsia="en-GB"/>
        </w:rPr>
        <w:t>ARDL approach</w:t>
      </w:r>
      <w:r w:rsidR="00181EBB" w:rsidRPr="00876F6F">
        <w:rPr>
          <w:rFonts w:ascii="Arial" w:eastAsia="Times New Roman" w:hAnsi="Arial" w:cs="Arial"/>
          <w:lang w:val="en-US" w:eastAsia="en-GB"/>
        </w:rPr>
        <w:t xml:space="preserve"> </w:t>
      </w:r>
      <w:r w:rsidR="00D62E1D">
        <w:rPr>
          <w:rFonts w:ascii="Arial" w:eastAsia="Times New Roman" w:hAnsi="Arial" w:cs="Arial"/>
          <w:lang w:val="en-US" w:eastAsia="en-GB"/>
        </w:rPr>
        <w:t>is</w:t>
      </w:r>
      <w:r w:rsidR="00181EBB">
        <w:rPr>
          <w:rFonts w:ascii="Arial" w:eastAsia="Times New Roman" w:hAnsi="Arial" w:cs="Arial"/>
          <w:lang w:val="en-US" w:eastAsia="en-GB"/>
        </w:rPr>
        <w:t xml:space="preserve"> </w:t>
      </w:r>
      <w:r w:rsidR="007C5058">
        <w:rPr>
          <w:rFonts w:ascii="Arial" w:eastAsia="Times New Roman" w:hAnsi="Arial" w:cs="Arial"/>
          <w:lang w:val="en-US" w:eastAsia="en-GB"/>
        </w:rPr>
        <w:t xml:space="preserve">also </w:t>
      </w:r>
      <w:r w:rsidR="00181EBB">
        <w:rPr>
          <w:rFonts w:ascii="Arial" w:eastAsia="Times New Roman" w:hAnsi="Arial" w:cs="Arial"/>
          <w:lang w:val="en-US" w:eastAsia="en-GB"/>
        </w:rPr>
        <w:t xml:space="preserve">used in this section, </w:t>
      </w:r>
      <w:r w:rsidR="00FA6754">
        <w:rPr>
          <w:rFonts w:ascii="Arial" w:hAnsi="Arial" w:cs="Arial"/>
          <w:lang w:val="en-US"/>
        </w:rPr>
        <w:t>beginning</w:t>
      </w:r>
      <w:r w:rsidR="00181EBB">
        <w:rPr>
          <w:rFonts w:ascii="Arial" w:hAnsi="Arial" w:cs="Arial"/>
          <w:lang w:val="en-US"/>
        </w:rPr>
        <w:t xml:space="preserve"> the analysis with the </w:t>
      </w:r>
      <w:r w:rsidR="008658DE">
        <w:rPr>
          <w:rFonts w:ascii="Arial" w:hAnsi="Arial" w:cs="Arial"/>
          <w:lang w:val="en-US"/>
        </w:rPr>
        <w:t>diagnostic</w:t>
      </w:r>
      <w:r w:rsidR="00181EBB">
        <w:rPr>
          <w:rFonts w:ascii="Arial" w:hAnsi="Arial" w:cs="Arial"/>
          <w:lang w:val="en-US"/>
        </w:rPr>
        <w:t xml:space="preserve"> test</w:t>
      </w:r>
      <w:r w:rsidR="00357FDF">
        <w:rPr>
          <w:rFonts w:ascii="Arial" w:hAnsi="Arial" w:cs="Arial"/>
          <w:lang w:val="en-US"/>
        </w:rPr>
        <w:t>,</w:t>
      </w:r>
      <w:r w:rsidR="00181EBB">
        <w:rPr>
          <w:rFonts w:ascii="Arial" w:hAnsi="Arial" w:cs="Arial"/>
          <w:lang w:val="en-US"/>
        </w:rPr>
        <w:t xml:space="preserve"> as seen below.</w:t>
      </w:r>
    </w:p>
    <w:p w14:paraId="4E0EC4CF" w14:textId="183ABC7A" w:rsidR="008658DE" w:rsidRPr="00876F6F" w:rsidRDefault="00585273" w:rsidP="0066301C">
      <w:pPr>
        <w:pStyle w:val="Heading3"/>
        <w:numPr>
          <w:ilvl w:val="0"/>
          <w:numId w:val="0"/>
        </w:numPr>
        <w:spacing w:before="0" w:beforeAutospacing="0"/>
        <w:rPr>
          <w:lang w:val="en-US" w:eastAsia="en-GB"/>
        </w:rPr>
      </w:pPr>
      <w:bookmarkStart w:id="474" w:name="_Toc171075419"/>
      <w:r>
        <w:rPr>
          <w:lang w:val="en-US" w:eastAsia="en-GB"/>
        </w:rPr>
        <w:t>4</w:t>
      </w:r>
      <w:r w:rsidR="008658DE" w:rsidRPr="00876F6F">
        <w:rPr>
          <w:lang w:val="en-US" w:eastAsia="en-GB"/>
        </w:rPr>
        <w:t>.</w:t>
      </w:r>
      <w:r>
        <w:rPr>
          <w:lang w:val="en-US" w:eastAsia="en-GB"/>
        </w:rPr>
        <w:t>7</w:t>
      </w:r>
      <w:r w:rsidR="008658DE" w:rsidRPr="00876F6F">
        <w:rPr>
          <w:lang w:val="en-US" w:eastAsia="en-GB"/>
        </w:rPr>
        <w:t>.</w:t>
      </w:r>
      <w:r w:rsidR="008658DE" w:rsidRPr="00585273">
        <w:t>1</w:t>
      </w:r>
      <w:r>
        <w:tab/>
      </w:r>
      <w:r w:rsidR="008658DE" w:rsidRPr="00585273">
        <w:t>DIAGNOSTIC</w:t>
      </w:r>
      <w:r w:rsidR="008658DE" w:rsidRPr="00876F6F">
        <w:rPr>
          <w:lang w:val="en-US" w:eastAsia="en-GB"/>
        </w:rPr>
        <w:t xml:space="preserve"> TEST RESULTS</w:t>
      </w:r>
      <w:bookmarkEnd w:id="474"/>
    </w:p>
    <w:p w14:paraId="27A11A9C" w14:textId="594BEA39" w:rsidR="008658DE" w:rsidRPr="00876F6F" w:rsidRDefault="003C7614" w:rsidP="0066301C">
      <w:pPr>
        <w:autoSpaceDE w:val="0"/>
        <w:autoSpaceDN w:val="0"/>
        <w:adjustRightInd w:val="0"/>
        <w:spacing w:after="0" w:line="360" w:lineRule="auto"/>
        <w:jc w:val="both"/>
        <w:rPr>
          <w:rFonts w:ascii="Arial" w:hAnsi="Arial" w:cs="Arial"/>
        </w:rPr>
      </w:pPr>
      <w:r>
        <w:rPr>
          <w:rFonts w:ascii="Arial" w:eastAsia="Times New Roman" w:hAnsi="Arial" w:cs="Arial"/>
          <w:lang w:val="en-US" w:eastAsia="en-GB"/>
        </w:rPr>
        <w:t>A</w:t>
      </w:r>
      <w:r w:rsidR="008658DE" w:rsidRPr="00876F6F">
        <w:rPr>
          <w:rFonts w:ascii="Arial" w:eastAsia="Times New Roman" w:hAnsi="Arial" w:cs="Arial"/>
          <w:lang w:val="en-US" w:eastAsia="en-GB"/>
        </w:rPr>
        <w:t>ssess that the data used in this section are good</w:t>
      </w:r>
      <w:r>
        <w:rPr>
          <w:rFonts w:ascii="Arial" w:eastAsia="Times New Roman" w:hAnsi="Arial" w:cs="Arial"/>
          <w:lang w:val="en-US" w:eastAsia="en-GB"/>
        </w:rPr>
        <w:t>;</w:t>
      </w:r>
      <w:r w:rsidR="008658DE" w:rsidRPr="00876F6F">
        <w:rPr>
          <w:rFonts w:ascii="Arial" w:eastAsia="Times New Roman" w:hAnsi="Arial" w:cs="Arial"/>
          <w:lang w:val="en-US" w:eastAsia="en-GB"/>
        </w:rPr>
        <w:t xml:space="preserve"> the following diagnostic (residual) tests were performed</w:t>
      </w:r>
      <w:r w:rsidR="00093862">
        <w:rPr>
          <w:rFonts w:ascii="Arial" w:eastAsia="Times New Roman" w:hAnsi="Arial" w:cs="Arial"/>
          <w:lang w:val="en-US" w:eastAsia="en-GB"/>
        </w:rPr>
        <w:t>:</w:t>
      </w:r>
      <w:r w:rsidR="008658DE" w:rsidRPr="00876F6F">
        <w:rPr>
          <w:rFonts w:ascii="Arial" w:eastAsia="Times New Roman" w:hAnsi="Arial" w:cs="Arial"/>
          <w:lang w:val="en-US" w:eastAsia="en-GB"/>
        </w:rPr>
        <w:t xml:space="preserve"> normality test, serial correlation (autocorrelation) test, </w:t>
      </w:r>
      <w:r w:rsidR="008658DE" w:rsidRPr="00876F6F">
        <w:rPr>
          <w:rFonts w:ascii="Arial" w:hAnsi="Arial" w:cs="Arial"/>
        </w:rPr>
        <w:t>and heteros</w:t>
      </w:r>
      <w:r w:rsidR="008658DE">
        <w:rPr>
          <w:rFonts w:ascii="Arial" w:hAnsi="Arial" w:cs="Arial"/>
        </w:rPr>
        <w:t>c</w:t>
      </w:r>
      <w:r w:rsidR="008658DE" w:rsidRPr="00876F6F">
        <w:rPr>
          <w:rFonts w:ascii="Arial" w:hAnsi="Arial" w:cs="Arial"/>
        </w:rPr>
        <w:t>edasticity test</w:t>
      </w:r>
      <w:r w:rsidR="00CF2C02">
        <w:rPr>
          <w:rFonts w:ascii="Arial" w:hAnsi="Arial" w:cs="Arial"/>
        </w:rPr>
        <w:t>,</w:t>
      </w:r>
      <w:r w:rsidR="008658DE" w:rsidRPr="00876F6F">
        <w:rPr>
          <w:rFonts w:ascii="Arial" w:hAnsi="Arial" w:cs="Arial"/>
        </w:rPr>
        <w:t xml:space="preserve"> as done </w:t>
      </w:r>
      <w:r w:rsidR="00401FA6">
        <w:rPr>
          <w:rFonts w:ascii="Arial" w:hAnsi="Arial" w:cs="Arial"/>
        </w:rPr>
        <w:t xml:space="preserve">in the previous section </w:t>
      </w:r>
      <w:r w:rsidR="008658DE" w:rsidRPr="00876F6F">
        <w:rPr>
          <w:rFonts w:ascii="Arial" w:hAnsi="Arial" w:cs="Arial"/>
        </w:rPr>
        <w:t>above</w:t>
      </w:r>
      <w:r w:rsidR="008658DE" w:rsidRPr="00876F6F">
        <w:rPr>
          <w:rFonts w:ascii="Arial" w:eastAsia="Times New Roman" w:hAnsi="Arial" w:cs="Arial"/>
          <w:lang w:val="en-US" w:eastAsia="en-GB"/>
        </w:rPr>
        <w:t xml:space="preserve">. </w:t>
      </w:r>
      <w:r w:rsidR="008658DE" w:rsidRPr="00876F6F">
        <w:rPr>
          <w:rFonts w:ascii="Arial" w:hAnsi="Arial" w:cs="Arial"/>
        </w:rPr>
        <w:t>The diagnostic test results for the three nations are summari</w:t>
      </w:r>
      <w:r w:rsidR="00C13AAD">
        <w:rPr>
          <w:rFonts w:ascii="Arial" w:hAnsi="Arial" w:cs="Arial"/>
        </w:rPr>
        <w:t>s</w:t>
      </w:r>
      <w:r w:rsidR="008658DE" w:rsidRPr="00876F6F">
        <w:rPr>
          <w:rFonts w:ascii="Arial" w:hAnsi="Arial" w:cs="Arial"/>
        </w:rPr>
        <w:t>e</w:t>
      </w:r>
      <w:r w:rsidR="00C13AAD">
        <w:rPr>
          <w:rFonts w:ascii="Arial" w:hAnsi="Arial" w:cs="Arial"/>
        </w:rPr>
        <w:t>d</w:t>
      </w:r>
      <w:r w:rsidR="008658DE" w:rsidRPr="00876F6F">
        <w:rPr>
          <w:rFonts w:ascii="Arial" w:hAnsi="Arial" w:cs="Arial"/>
        </w:rPr>
        <w:t xml:space="preserve"> </w:t>
      </w:r>
      <w:r w:rsidR="00C13AAD">
        <w:rPr>
          <w:rFonts w:ascii="Arial" w:hAnsi="Arial" w:cs="Arial"/>
        </w:rPr>
        <w:t>i</w:t>
      </w:r>
      <w:r w:rsidR="008658DE" w:rsidRPr="00876F6F">
        <w:rPr>
          <w:rFonts w:ascii="Arial" w:hAnsi="Arial" w:cs="Arial"/>
        </w:rPr>
        <w:t xml:space="preserve">n table </w:t>
      </w:r>
      <w:r w:rsidR="00D52032" w:rsidRPr="00D52032">
        <w:rPr>
          <w:rFonts w:ascii="Arial" w:hAnsi="Arial" w:cs="Arial"/>
        </w:rPr>
        <w:t>4</w:t>
      </w:r>
      <w:r w:rsidR="008658DE" w:rsidRPr="00D52032">
        <w:rPr>
          <w:rFonts w:ascii="Arial" w:hAnsi="Arial" w:cs="Arial"/>
        </w:rPr>
        <w:t>.</w:t>
      </w:r>
      <w:r w:rsidR="009B5E79" w:rsidRPr="00D52032">
        <w:rPr>
          <w:rFonts w:ascii="Arial" w:hAnsi="Arial" w:cs="Arial"/>
        </w:rPr>
        <w:t>7</w:t>
      </w:r>
      <w:r w:rsidR="008658DE" w:rsidRPr="00D52032">
        <w:rPr>
          <w:rFonts w:ascii="Arial" w:hAnsi="Arial" w:cs="Arial"/>
        </w:rPr>
        <w:t xml:space="preserve"> below</w:t>
      </w:r>
      <w:r w:rsidR="008658DE" w:rsidRPr="00876F6F">
        <w:rPr>
          <w:rFonts w:ascii="Arial" w:hAnsi="Arial" w:cs="Arial"/>
        </w:rPr>
        <w:t>.</w:t>
      </w:r>
    </w:p>
    <w:p w14:paraId="6A868B3E" w14:textId="77777777" w:rsidR="008658DE" w:rsidRPr="00876F6F" w:rsidRDefault="008658DE" w:rsidP="0066301C">
      <w:pPr>
        <w:autoSpaceDE w:val="0"/>
        <w:autoSpaceDN w:val="0"/>
        <w:adjustRightInd w:val="0"/>
        <w:spacing w:after="0" w:line="240" w:lineRule="auto"/>
        <w:rPr>
          <w:rFonts w:ascii="Arial" w:hAnsi="Arial" w:cs="Arial"/>
          <w:b/>
        </w:rPr>
      </w:pPr>
    </w:p>
    <w:p w14:paraId="4698A8AF" w14:textId="79B2B020" w:rsidR="008658DE" w:rsidRPr="00876F6F" w:rsidRDefault="00D52032" w:rsidP="0066301C">
      <w:pPr>
        <w:autoSpaceDE w:val="0"/>
        <w:autoSpaceDN w:val="0"/>
        <w:adjustRightInd w:val="0"/>
        <w:spacing w:after="0" w:line="240" w:lineRule="auto"/>
        <w:rPr>
          <w:rFonts w:ascii="Arial" w:hAnsi="Arial" w:cs="Arial"/>
        </w:rPr>
      </w:pPr>
      <w:r>
        <w:rPr>
          <w:rFonts w:ascii="Arial" w:hAnsi="Arial" w:cs="Arial"/>
          <w:b/>
        </w:rPr>
        <w:t>Table 4.7: Diagnostic</w:t>
      </w:r>
      <w:r w:rsidR="00602779">
        <w:rPr>
          <w:rFonts w:ascii="Arial" w:hAnsi="Arial" w:cs="Arial"/>
          <w:b/>
        </w:rPr>
        <w:t xml:space="preserve"> </w:t>
      </w:r>
      <w:r w:rsidR="008658DE" w:rsidRPr="00876F6F">
        <w:rPr>
          <w:rFonts w:ascii="Arial" w:hAnsi="Arial" w:cs="Arial"/>
          <w:b/>
        </w:rPr>
        <w:t>Test Result</w:t>
      </w:r>
      <w:r w:rsidR="00A06B16">
        <w:rPr>
          <w:rFonts w:ascii="Arial" w:hAnsi="Arial" w:cs="Arial"/>
          <w:b/>
        </w:rPr>
        <w:t>s</w:t>
      </w:r>
    </w:p>
    <w:tbl>
      <w:tblPr>
        <w:tblStyle w:val="TableGrid"/>
        <w:tblW w:w="8616" w:type="dxa"/>
        <w:tblInd w:w="-5" w:type="dxa"/>
        <w:tblLook w:val="04A0" w:firstRow="1" w:lastRow="0" w:firstColumn="1" w:lastColumn="0" w:noHBand="0" w:noVBand="1"/>
      </w:tblPr>
      <w:tblGrid>
        <w:gridCol w:w="2970"/>
        <w:gridCol w:w="1304"/>
        <w:gridCol w:w="2525"/>
        <w:gridCol w:w="1817"/>
      </w:tblGrid>
      <w:tr w:rsidR="008658DE" w:rsidRPr="00876F6F" w14:paraId="0B360C77" w14:textId="77777777" w:rsidTr="008463FB">
        <w:tc>
          <w:tcPr>
            <w:tcW w:w="2977" w:type="dxa"/>
          </w:tcPr>
          <w:p w14:paraId="698C0F46" w14:textId="77777777" w:rsidR="008658DE" w:rsidRPr="00876F6F" w:rsidRDefault="008658DE" w:rsidP="0066301C">
            <w:pPr>
              <w:rPr>
                <w:rFonts w:ascii="Arial" w:hAnsi="Arial" w:cs="Arial"/>
                <w:b/>
              </w:rPr>
            </w:pPr>
            <w:r w:rsidRPr="00876F6F">
              <w:rPr>
                <w:rFonts w:ascii="Arial" w:hAnsi="Arial" w:cs="Arial"/>
                <w:b/>
              </w:rPr>
              <w:t>Trade Partners</w:t>
            </w:r>
          </w:p>
        </w:tc>
        <w:tc>
          <w:tcPr>
            <w:tcW w:w="1276" w:type="dxa"/>
          </w:tcPr>
          <w:p w14:paraId="3D32D822" w14:textId="77777777" w:rsidR="008658DE" w:rsidRPr="00876F6F" w:rsidRDefault="008658DE" w:rsidP="0066301C">
            <w:pPr>
              <w:autoSpaceDE w:val="0"/>
              <w:autoSpaceDN w:val="0"/>
              <w:adjustRightInd w:val="0"/>
              <w:jc w:val="center"/>
              <w:rPr>
                <w:rFonts w:ascii="Arial" w:hAnsi="Arial" w:cs="Arial"/>
                <w:b/>
                <w:lang w:val="en-US"/>
              </w:rPr>
            </w:pPr>
            <w:r w:rsidRPr="00876F6F">
              <w:rPr>
                <w:rFonts w:ascii="Arial" w:hAnsi="Arial" w:cs="Arial"/>
                <w:b/>
              </w:rPr>
              <w:t>Cameroon</w:t>
            </w:r>
          </w:p>
        </w:tc>
        <w:tc>
          <w:tcPr>
            <w:tcW w:w="2539" w:type="dxa"/>
          </w:tcPr>
          <w:p w14:paraId="629A52D0" w14:textId="77777777" w:rsidR="008658DE" w:rsidRPr="00876F6F" w:rsidRDefault="008658DE" w:rsidP="0066301C">
            <w:pPr>
              <w:autoSpaceDE w:val="0"/>
              <w:autoSpaceDN w:val="0"/>
              <w:adjustRightInd w:val="0"/>
              <w:jc w:val="center"/>
              <w:rPr>
                <w:rFonts w:ascii="Arial" w:hAnsi="Arial" w:cs="Arial"/>
                <w:b/>
              </w:rPr>
            </w:pPr>
            <w:r w:rsidRPr="00876F6F">
              <w:rPr>
                <w:rFonts w:ascii="Arial" w:hAnsi="Arial" w:cs="Arial"/>
                <w:b/>
                <w:color w:val="000000"/>
              </w:rPr>
              <w:t>CAR</w:t>
            </w:r>
          </w:p>
        </w:tc>
        <w:tc>
          <w:tcPr>
            <w:tcW w:w="1824" w:type="dxa"/>
          </w:tcPr>
          <w:p w14:paraId="5567D3D2" w14:textId="77777777" w:rsidR="008658DE" w:rsidRPr="00876F6F" w:rsidRDefault="008658DE" w:rsidP="0066301C">
            <w:pPr>
              <w:autoSpaceDE w:val="0"/>
              <w:autoSpaceDN w:val="0"/>
              <w:adjustRightInd w:val="0"/>
              <w:jc w:val="center"/>
              <w:rPr>
                <w:rFonts w:ascii="Arial" w:hAnsi="Arial" w:cs="Arial"/>
                <w:b/>
              </w:rPr>
            </w:pPr>
            <w:r w:rsidRPr="00876F6F">
              <w:rPr>
                <w:rFonts w:ascii="Arial" w:hAnsi="Arial" w:cs="Arial"/>
                <w:b/>
                <w:color w:val="000000"/>
              </w:rPr>
              <w:t>Gabon</w:t>
            </w:r>
          </w:p>
        </w:tc>
      </w:tr>
      <w:tr w:rsidR="008658DE" w:rsidRPr="00876F6F" w14:paraId="0DC5427F" w14:textId="77777777" w:rsidTr="008463FB">
        <w:tc>
          <w:tcPr>
            <w:tcW w:w="2977" w:type="dxa"/>
          </w:tcPr>
          <w:p w14:paraId="3388D74C" w14:textId="77777777" w:rsidR="008658DE" w:rsidRPr="00876F6F" w:rsidRDefault="008658DE" w:rsidP="0066301C">
            <w:pPr>
              <w:rPr>
                <w:rFonts w:ascii="Arial" w:hAnsi="Arial" w:cs="Arial"/>
              </w:rPr>
            </w:pPr>
            <w:r w:rsidRPr="00876F6F">
              <w:rPr>
                <w:rFonts w:ascii="Arial" w:hAnsi="Arial" w:cs="Arial"/>
                <w:color w:val="000000"/>
              </w:rPr>
              <w:t>Normality Test</w:t>
            </w:r>
            <w:r>
              <w:rPr>
                <w:rFonts w:ascii="Arial" w:hAnsi="Arial" w:cs="Arial"/>
                <w:color w:val="000000"/>
              </w:rPr>
              <w:t xml:space="preserve"> </w:t>
            </w:r>
            <w:r w:rsidRPr="00876F6F">
              <w:rPr>
                <w:rFonts w:ascii="Arial" w:hAnsi="Arial" w:cs="Arial"/>
                <w:i/>
                <w:color w:val="000000"/>
              </w:rPr>
              <w:t>P</w:t>
            </w:r>
            <w:r w:rsidRPr="00876F6F">
              <w:rPr>
                <w:rFonts w:ascii="Arial" w:hAnsi="Arial" w:cs="Arial"/>
                <w:color w:val="000000"/>
              </w:rPr>
              <w:t>-value</w:t>
            </w:r>
          </w:p>
        </w:tc>
        <w:tc>
          <w:tcPr>
            <w:tcW w:w="1276" w:type="dxa"/>
          </w:tcPr>
          <w:p w14:paraId="23B83C94" w14:textId="2745A612" w:rsidR="008658DE" w:rsidRPr="00876F6F" w:rsidRDefault="008658DE" w:rsidP="0066301C">
            <w:pPr>
              <w:autoSpaceDE w:val="0"/>
              <w:autoSpaceDN w:val="0"/>
              <w:adjustRightInd w:val="0"/>
              <w:jc w:val="center"/>
              <w:rPr>
                <w:rFonts w:ascii="Arial" w:hAnsi="Arial" w:cs="Arial"/>
                <w:color w:val="000000"/>
              </w:rPr>
            </w:pPr>
            <w:r w:rsidRPr="00876F6F">
              <w:rPr>
                <w:rFonts w:ascii="Arial" w:hAnsi="Arial" w:cs="Arial"/>
                <w:color w:val="000000"/>
              </w:rPr>
              <w:t>0.</w:t>
            </w:r>
            <w:r w:rsidR="00D62E1D">
              <w:rPr>
                <w:rFonts w:ascii="Arial" w:hAnsi="Arial" w:cs="Arial"/>
                <w:color w:val="000000"/>
              </w:rPr>
              <w:t>952</w:t>
            </w:r>
          </w:p>
        </w:tc>
        <w:tc>
          <w:tcPr>
            <w:tcW w:w="2539" w:type="dxa"/>
          </w:tcPr>
          <w:p w14:paraId="6DF8B58E" w14:textId="16E09141" w:rsidR="008658DE" w:rsidRPr="00876F6F" w:rsidRDefault="008658DE" w:rsidP="0066301C">
            <w:pPr>
              <w:autoSpaceDE w:val="0"/>
              <w:autoSpaceDN w:val="0"/>
              <w:adjustRightInd w:val="0"/>
              <w:jc w:val="center"/>
              <w:rPr>
                <w:rFonts w:ascii="Arial" w:hAnsi="Arial" w:cs="Arial"/>
                <w:color w:val="000000"/>
              </w:rPr>
            </w:pPr>
            <w:r w:rsidRPr="00876F6F">
              <w:rPr>
                <w:rFonts w:ascii="Arial" w:hAnsi="Arial" w:cs="Arial"/>
                <w:color w:val="000000"/>
              </w:rPr>
              <w:t>0.00</w:t>
            </w:r>
            <w:r w:rsidR="00D62E1D">
              <w:rPr>
                <w:rFonts w:ascii="Arial" w:hAnsi="Arial" w:cs="Arial"/>
                <w:color w:val="000000"/>
              </w:rPr>
              <w:t>8</w:t>
            </w:r>
          </w:p>
        </w:tc>
        <w:tc>
          <w:tcPr>
            <w:tcW w:w="1824" w:type="dxa"/>
          </w:tcPr>
          <w:p w14:paraId="795A06D6" w14:textId="27D73B2B" w:rsidR="008658DE" w:rsidRPr="00876F6F" w:rsidRDefault="008658DE" w:rsidP="0066301C">
            <w:pPr>
              <w:autoSpaceDE w:val="0"/>
              <w:autoSpaceDN w:val="0"/>
              <w:adjustRightInd w:val="0"/>
              <w:jc w:val="center"/>
              <w:rPr>
                <w:rFonts w:ascii="Arial" w:hAnsi="Arial" w:cs="Arial"/>
                <w:color w:val="000000"/>
              </w:rPr>
            </w:pPr>
            <w:r w:rsidRPr="00876F6F">
              <w:rPr>
                <w:rFonts w:ascii="Arial" w:hAnsi="Arial" w:cs="Arial"/>
                <w:color w:val="000000"/>
              </w:rPr>
              <w:t>0.00</w:t>
            </w:r>
            <w:r w:rsidR="00D62E1D">
              <w:rPr>
                <w:rFonts w:ascii="Arial" w:hAnsi="Arial" w:cs="Arial"/>
                <w:color w:val="000000"/>
              </w:rPr>
              <w:t>1</w:t>
            </w:r>
          </w:p>
        </w:tc>
      </w:tr>
      <w:tr w:rsidR="008658DE" w:rsidRPr="00876F6F" w14:paraId="049F9A3C" w14:textId="77777777" w:rsidTr="008463FB">
        <w:tc>
          <w:tcPr>
            <w:tcW w:w="2977" w:type="dxa"/>
          </w:tcPr>
          <w:p w14:paraId="6394B443" w14:textId="77777777" w:rsidR="008658DE" w:rsidRPr="00876F6F" w:rsidRDefault="008658DE" w:rsidP="0066301C">
            <w:pPr>
              <w:rPr>
                <w:rFonts w:ascii="Arial" w:hAnsi="Arial" w:cs="Arial"/>
              </w:rPr>
            </w:pPr>
            <w:r w:rsidRPr="00876F6F">
              <w:rPr>
                <w:rFonts w:ascii="Arial" w:hAnsi="Arial" w:cs="Arial"/>
                <w:color w:val="000000"/>
              </w:rPr>
              <w:t>Autocorrelation</w:t>
            </w:r>
            <w:r>
              <w:rPr>
                <w:rFonts w:ascii="Arial" w:hAnsi="Arial" w:cs="Arial"/>
                <w:color w:val="000000"/>
              </w:rPr>
              <w:t xml:space="preserve"> </w:t>
            </w:r>
            <w:r w:rsidRPr="00876F6F">
              <w:rPr>
                <w:rFonts w:ascii="Arial" w:hAnsi="Arial" w:cs="Arial"/>
                <w:i/>
                <w:color w:val="000000"/>
              </w:rPr>
              <w:t>P-</w:t>
            </w:r>
            <w:r w:rsidRPr="00876F6F">
              <w:rPr>
                <w:rFonts w:ascii="Arial" w:hAnsi="Arial" w:cs="Arial"/>
                <w:color w:val="000000"/>
              </w:rPr>
              <w:t>value</w:t>
            </w:r>
          </w:p>
        </w:tc>
        <w:tc>
          <w:tcPr>
            <w:tcW w:w="1276" w:type="dxa"/>
          </w:tcPr>
          <w:p w14:paraId="5AD45C09" w14:textId="34AC55F4" w:rsidR="008658DE" w:rsidRPr="00876F6F" w:rsidRDefault="008658DE" w:rsidP="0066301C">
            <w:pPr>
              <w:autoSpaceDE w:val="0"/>
              <w:autoSpaceDN w:val="0"/>
              <w:adjustRightInd w:val="0"/>
              <w:jc w:val="center"/>
              <w:rPr>
                <w:rFonts w:ascii="Arial" w:hAnsi="Arial" w:cs="Arial"/>
                <w:lang w:val="en-US"/>
              </w:rPr>
            </w:pPr>
            <w:r w:rsidRPr="00876F6F">
              <w:rPr>
                <w:rFonts w:ascii="Arial" w:hAnsi="Arial" w:cs="Arial"/>
                <w:lang w:val="en-US"/>
              </w:rPr>
              <w:t>0.</w:t>
            </w:r>
            <w:r w:rsidR="00D62E1D">
              <w:rPr>
                <w:rFonts w:ascii="Arial" w:hAnsi="Arial" w:cs="Arial"/>
                <w:lang w:val="en-US"/>
              </w:rPr>
              <w:t>899</w:t>
            </w:r>
          </w:p>
        </w:tc>
        <w:tc>
          <w:tcPr>
            <w:tcW w:w="2539" w:type="dxa"/>
          </w:tcPr>
          <w:p w14:paraId="1FDB9C1D" w14:textId="58BEA96C" w:rsidR="008658DE" w:rsidRPr="00876F6F" w:rsidRDefault="008658DE" w:rsidP="0066301C">
            <w:pPr>
              <w:autoSpaceDE w:val="0"/>
              <w:autoSpaceDN w:val="0"/>
              <w:adjustRightInd w:val="0"/>
              <w:jc w:val="center"/>
              <w:rPr>
                <w:rFonts w:ascii="Arial" w:hAnsi="Arial" w:cs="Arial"/>
                <w:lang w:val="en-US"/>
              </w:rPr>
            </w:pPr>
            <w:r w:rsidRPr="00876F6F">
              <w:rPr>
                <w:rFonts w:ascii="Arial" w:hAnsi="Arial" w:cs="Arial"/>
                <w:lang w:val="en-US"/>
              </w:rPr>
              <w:t>0.</w:t>
            </w:r>
            <w:r w:rsidR="00D62E1D">
              <w:rPr>
                <w:rFonts w:ascii="Arial" w:hAnsi="Arial" w:cs="Arial"/>
                <w:lang w:val="en-US"/>
              </w:rPr>
              <w:t>864</w:t>
            </w:r>
          </w:p>
        </w:tc>
        <w:tc>
          <w:tcPr>
            <w:tcW w:w="1824" w:type="dxa"/>
          </w:tcPr>
          <w:p w14:paraId="4700CC04" w14:textId="54170855" w:rsidR="008658DE" w:rsidRPr="00876F6F" w:rsidRDefault="008658DE" w:rsidP="0066301C">
            <w:pPr>
              <w:autoSpaceDE w:val="0"/>
              <w:autoSpaceDN w:val="0"/>
              <w:adjustRightInd w:val="0"/>
              <w:jc w:val="center"/>
              <w:rPr>
                <w:rFonts w:ascii="Arial" w:hAnsi="Arial" w:cs="Arial"/>
                <w:lang w:val="en-US"/>
              </w:rPr>
            </w:pPr>
            <w:r w:rsidRPr="00876F6F">
              <w:rPr>
                <w:rFonts w:ascii="Arial" w:hAnsi="Arial" w:cs="Arial"/>
                <w:lang w:val="en-US"/>
              </w:rPr>
              <w:t>0.</w:t>
            </w:r>
            <w:r w:rsidR="00D62E1D">
              <w:rPr>
                <w:rFonts w:ascii="Arial" w:hAnsi="Arial" w:cs="Arial"/>
                <w:lang w:val="en-US"/>
              </w:rPr>
              <w:t>884</w:t>
            </w:r>
          </w:p>
        </w:tc>
      </w:tr>
      <w:tr w:rsidR="008658DE" w:rsidRPr="00876F6F" w14:paraId="7AE143AA" w14:textId="77777777" w:rsidTr="008463FB">
        <w:tc>
          <w:tcPr>
            <w:tcW w:w="2977" w:type="dxa"/>
          </w:tcPr>
          <w:p w14:paraId="79ECAF08" w14:textId="77777777" w:rsidR="008658DE" w:rsidRPr="00876F6F" w:rsidRDefault="008658DE" w:rsidP="0066301C">
            <w:pPr>
              <w:autoSpaceDE w:val="0"/>
              <w:autoSpaceDN w:val="0"/>
              <w:adjustRightInd w:val="0"/>
              <w:rPr>
                <w:rFonts w:ascii="Arial" w:hAnsi="Arial" w:cs="Arial"/>
              </w:rPr>
            </w:pPr>
            <w:r w:rsidRPr="00876F6F">
              <w:rPr>
                <w:rFonts w:ascii="Arial" w:hAnsi="Arial" w:cs="Arial"/>
                <w:color w:val="000000"/>
              </w:rPr>
              <w:t>Heteros</w:t>
            </w:r>
            <w:r>
              <w:rPr>
                <w:rFonts w:ascii="Arial" w:hAnsi="Arial" w:cs="Arial"/>
                <w:color w:val="000000"/>
              </w:rPr>
              <w:t>c</w:t>
            </w:r>
            <w:r w:rsidRPr="00876F6F">
              <w:rPr>
                <w:rFonts w:ascii="Arial" w:hAnsi="Arial" w:cs="Arial"/>
                <w:color w:val="000000"/>
              </w:rPr>
              <w:t>edasticity</w:t>
            </w:r>
            <w:r>
              <w:rPr>
                <w:rFonts w:ascii="Arial" w:hAnsi="Arial" w:cs="Arial"/>
                <w:color w:val="000000"/>
              </w:rPr>
              <w:t xml:space="preserve"> </w:t>
            </w:r>
            <w:r w:rsidRPr="00876F6F">
              <w:rPr>
                <w:rFonts w:ascii="Arial" w:hAnsi="Arial" w:cs="Arial"/>
                <w:i/>
                <w:color w:val="000000"/>
              </w:rPr>
              <w:t>P-</w:t>
            </w:r>
            <w:r w:rsidRPr="00876F6F">
              <w:rPr>
                <w:rFonts w:ascii="Arial" w:hAnsi="Arial" w:cs="Arial"/>
                <w:color w:val="000000"/>
              </w:rPr>
              <w:t>value</w:t>
            </w:r>
          </w:p>
        </w:tc>
        <w:tc>
          <w:tcPr>
            <w:tcW w:w="1276" w:type="dxa"/>
          </w:tcPr>
          <w:p w14:paraId="0803D1CD" w14:textId="14D12629" w:rsidR="008658DE" w:rsidRPr="00876F6F" w:rsidRDefault="008658DE" w:rsidP="0066301C">
            <w:pPr>
              <w:autoSpaceDE w:val="0"/>
              <w:autoSpaceDN w:val="0"/>
              <w:adjustRightInd w:val="0"/>
              <w:jc w:val="center"/>
              <w:rPr>
                <w:rFonts w:ascii="Arial" w:hAnsi="Arial" w:cs="Arial"/>
                <w:lang w:val="en-US"/>
              </w:rPr>
            </w:pPr>
            <w:r w:rsidRPr="00876F6F">
              <w:rPr>
                <w:rFonts w:ascii="Arial" w:hAnsi="Arial" w:cs="Arial"/>
                <w:lang w:val="en-US"/>
              </w:rPr>
              <w:t>0.</w:t>
            </w:r>
            <w:r w:rsidR="00D62E1D">
              <w:rPr>
                <w:rFonts w:ascii="Arial" w:hAnsi="Arial" w:cs="Arial"/>
                <w:lang w:val="en-US"/>
              </w:rPr>
              <w:t>397</w:t>
            </w:r>
          </w:p>
        </w:tc>
        <w:tc>
          <w:tcPr>
            <w:tcW w:w="2539" w:type="dxa"/>
          </w:tcPr>
          <w:p w14:paraId="15945DBF" w14:textId="7D96AB56" w:rsidR="008658DE" w:rsidRPr="00876F6F" w:rsidRDefault="008658DE" w:rsidP="0066301C">
            <w:pPr>
              <w:autoSpaceDE w:val="0"/>
              <w:autoSpaceDN w:val="0"/>
              <w:adjustRightInd w:val="0"/>
              <w:jc w:val="center"/>
              <w:rPr>
                <w:rFonts w:ascii="Arial" w:hAnsi="Arial" w:cs="Arial"/>
                <w:lang w:val="en-US"/>
              </w:rPr>
            </w:pPr>
            <w:r w:rsidRPr="00876F6F">
              <w:rPr>
                <w:rFonts w:ascii="Arial" w:hAnsi="Arial" w:cs="Arial"/>
                <w:lang w:val="en-US"/>
              </w:rPr>
              <w:t>0.</w:t>
            </w:r>
            <w:r w:rsidR="00D62E1D">
              <w:rPr>
                <w:rFonts w:ascii="Arial" w:hAnsi="Arial" w:cs="Arial"/>
                <w:lang w:val="en-US"/>
              </w:rPr>
              <w:t>894</w:t>
            </w:r>
          </w:p>
        </w:tc>
        <w:tc>
          <w:tcPr>
            <w:tcW w:w="1824" w:type="dxa"/>
          </w:tcPr>
          <w:p w14:paraId="77DD2BAB" w14:textId="319C20E2" w:rsidR="008658DE" w:rsidRPr="00876F6F" w:rsidRDefault="008658DE" w:rsidP="0066301C">
            <w:pPr>
              <w:autoSpaceDE w:val="0"/>
              <w:autoSpaceDN w:val="0"/>
              <w:adjustRightInd w:val="0"/>
              <w:jc w:val="center"/>
              <w:rPr>
                <w:rFonts w:ascii="Arial" w:hAnsi="Arial" w:cs="Arial"/>
                <w:lang w:val="en-US"/>
              </w:rPr>
            </w:pPr>
            <w:r w:rsidRPr="00876F6F">
              <w:rPr>
                <w:rFonts w:ascii="Arial" w:hAnsi="Arial" w:cs="Arial"/>
                <w:lang w:val="en-US"/>
              </w:rPr>
              <w:t>0.</w:t>
            </w:r>
            <w:r w:rsidR="00D62E1D">
              <w:rPr>
                <w:rFonts w:ascii="Arial" w:hAnsi="Arial" w:cs="Arial"/>
                <w:lang w:val="en-US"/>
              </w:rPr>
              <w:t>213</w:t>
            </w:r>
          </w:p>
        </w:tc>
      </w:tr>
    </w:tbl>
    <w:p w14:paraId="2EEDDD66" w14:textId="26FBF7FD" w:rsidR="008658DE" w:rsidRPr="0021293A" w:rsidRDefault="008658DE" w:rsidP="0066301C">
      <w:pPr>
        <w:pStyle w:val="ListParagraph"/>
        <w:autoSpaceDE w:val="0"/>
        <w:autoSpaceDN w:val="0"/>
        <w:adjustRightInd w:val="0"/>
        <w:spacing w:after="0" w:line="240" w:lineRule="auto"/>
        <w:ind w:left="0"/>
        <w:rPr>
          <w:rFonts w:ascii="Arial" w:hAnsi="Arial" w:cs="Arial"/>
          <w:b/>
          <w:sz w:val="20"/>
          <w:szCs w:val="20"/>
        </w:rPr>
      </w:pPr>
      <w:r w:rsidRPr="0021293A">
        <w:rPr>
          <w:rFonts w:ascii="Arial" w:hAnsi="Arial" w:cs="Arial"/>
          <w:i/>
          <w:sz w:val="20"/>
          <w:szCs w:val="20"/>
        </w:rPr>
        <w:t>Source</w:t>
      </w:r>
      <w:r w:rsidRPr="0021293A">
        <w:rPr>
          <w:rFonts w:ascii="Arial" w:hAnsi="Arial" w:cs="Arial"/>
          <w:sz w:val="20"/>
          <w:szCs w:val="20"/>
        </w:rPr>
        <w:t xml:space="preserve">: </w:t>
      </w:r>
      <w:r w:rsidRPr="0021293A">
        <w:rPr>
          <w:rFonts w:ascii="Arial" w:hAnsi="Arial" w:cs="Arial"/>
          <w:i/>
          <w:sz w:val="20"/>
          <w:szCs w:val="20"/>
        </w:rPr>
        <w:t>Computation from time-series data using EViews 1</w:t>
      </w:r>
      <w:r w:rsidR="00A77B93">
        <w:rPr>
          <w:rFonts w:ascii="Arial" w:hAnsi="Arial" w:cs="Arial"/>
          <w:i/>
          <w:sz w:val="20"/>
          <w:szCs w:val="20"/>
        </w:rPr>
        <w:t>2</w:t>
      </w:r>
    </w:p>
    <w:p w14:paraId="765369A5" w14:textId="77777777" w:rsidR="008658DE" w:rsidRPr="00876F6F" w:rsidRDefault="008658DE" w:rsidP="0066301C">
      <w:pPr>
        <w:pStyle w:val="ListParagraph"/>
        <w:autoSpaceDE w:val="0"/>
        <w:autoSpaceDN w:val="0"/>
        <w:adjustRightInd w:val="0"/>
        <w:spacing w:after="0" w:line="240" w:lineRule="auto"/>
        <w:ind w:left="0"/>
        <w:jc w:val="both"/>
        <w:rPr>
          <w:rFonts w:ascii="Arial" w:hAnsi="Arial" w:cs="Arial"/>
        </w:rPr>
      </w:pPr>
    </w:p>
    <w:p w14:paraId="7908C5BD" w14:textId="4DF04340" w:rsidR="008658DE" w:rsidRDefault="008658DE" w:rsidP="0066301C">
      <w:pPr>
        <w:pStyle w:val="ListParagraph"/>
        <w:autoSpaceDE w:val="0"/>
        <w:autoSpaceDN w:val="0"/>
        <w:adjustRightInd w:val="0"/>
        <w:spacing w:after="0" w:line="360" w:lineRule="auto"/>
        <w:ind w:left="0"/>
        <w:jc w:val="both"/>
        <w:rPr>
          <w:rFonts w:ascii="Arial" w:hAnsi="Arial" w:cs="Arial"/>
          <w:color w:val="000000"/>
          <w:highlight w:val="yellow"/>
        </w:rPr>
      </w:pPr>
      <w:r w:rsidRPr="00876F6F">
        <w:rPr>
          <w:rFonts w:ascii="Arial" w:hAnsi="Arial" w:cs="Arial"/>
        </w:rPr>
        <w:t xml:space="preserve">From the above diagnostic test, the </w:t>
      </w:r>
      <w:r w:rsidR="3E09075E" w:rsidRPr="0283ACFA">
        <w:rPr>
          <w:rFonts w:ascii="Arial" w:hAnsi="Arial" w:cs="Arial"/>
        </w:rPr>
        <w:t>result</w:t>
      </w:r>
      <w:r w:rsidRPr="00876F6F">
        <w:rPr>
          <w:rFonts w:ascii="Arial" w:hAnsi="Arial" w:cs="Arial"/>
        </w:rPr>
        <w:t xml:space="preserve"> of Cameroon shows that the </w:t>
      </w:r>
      <w:r w:rsidRPr="00876F6F">
        <w:rPr>
          <w:rFonts w:ascii="Arial" w:hAnsi="Arial" w:cs="Arial"/>
          <w:i/>
        </w:rPr>
        <w:t>p-</w:t>
      </w:r>
      <w:r w:rsidRPr="00876F6F">
        <w:rPr>
          <w:rFonts w:ascii="Arial" w:hAnsi="Arial" w:cs="Arial"/>
        </w:rPr>
        <w:t>value of the three test</w:t>
      </w:r>
      <w:r>
        <w:rPr>
          <w:rFonts w:ascii="Arial" w:hAnsi="Arial" w:cs="Arial"/>
        </w:rPr>
        <w:t>s</w:t>
      </w:r>
      <w:r w:rsidRPr="00876F6F">
        <w:rPr>
          <w:rFonts w:ascii="Arial" w:hAnsi="Arial" w:cs="Arial"/>
        </w:rPr>
        <w:t xml:space="preserve"> conducted </w:t>
      </w:r>
      <w:r w:rsidR="00401FA6">
        <w:rPr>
          <w:rFonts w:ascii="Arial" w:hAnsi="Arial" w:cs="Arial"/>
        </w:rPr>
        <w:t>are</w:t>
      </w:r>
      <w:r w:rsidRPr="00876F6F">
        <w:rPr>
          <w:rFonts w:ascii="Arial" w:hAnsi="Arial" w:cs="Arial"/>
        </w:rPr>
        <w:t xml:space="preserve"> greater than 0.05. This means that the model is good to be use</w:t>
      </w:r>
      <w:r w:rsidR="006E4285">
        <w:rPr>
          <w:rFonts w:ascii="Arial" w:hAnsi="Arial" w:cs="Arial"/>
        </w:rPr>
        <w:t>d</w:t>
      </w:r>
      <w:r w:rsidRPr="00876F6F">
        <w:rPr>
          <w:rFonts w:ascii="Arial" w:hAnsi="Arial" w:cs="Arial"/>
        </w:rPr>
        <w:t xml:space="preserve"> in this research. The result</w:t>
      </w:r>
      <w:r w:rsidR="006E4285">
        <w:rPr>
          <w:rFonts w:ascii="Arial" w:hAnsi="Arial" w:cs="Arial"/>
        </w:rPr>
        <w:t>s</w:t>
      </w:r>
      <w:r w:rsidRPr="00876F6F">
        <w:rPr>
          <w:rFonts w:ascii="Arial" w:hAnsi="Arial" w:cs="Arial"/>
        </w:rPr>
        <w:t xml:space="preserve"> of CAR and Gabon show that the </w:t>
      </w:r>
      <w:r w:rsidRPr="00876F6F">
        <w:rPr>
          <w:rFonts w:ascii="Arial" w:hAnsi="Arial" w:cs="Arial"/>
          <w:i/>
        </w:rPr>
        <w:t>p-</w:t>
      </w:r>
      <w:r w:rsidRPr="00876F6F">
        <w:rPr>
          <w:rFonts w:ascii="Arial" w:hAnsi="Arial" w:cs="Arial"/>
        </w:rPr>
        <w:t>value of the normality test is less than 0.05</w:t>
      </w:r>
      <w:r w:rsidR="00F343A0">
        <w:rPr>
          <w:rFonts w:ascii="Arial" w:hAnsi="Arial" w:cs="Arial"/>
        </w:rPr>
        <w:t>,</w:t>
      </w:r>
      <w:r w:rsidRPr="00876F6F">
        <w:rPr>
          <w:rFonts w:ascii="Arial" w:hAnsi="Arial" w:cs="Arial"/>
        </w:rPr>
        <w:t xml:space="preserve"> which is not good. While the </w:t>
      </w:r>
      <w:r w:rsidRPr="00876F6F">
        <w:rPr>
          <w:rFonts w:ascii="Arial" w:hAnsi="Arial" w:cs="Arial"/>
          <w:i/>
        </w:rPr>
        <w:t>p-</w:t>
      </w:r>
      <w:r w:rsidRPr="00876F6F">
        <w:rPr>
          <w:rFonts w:ascii="Arial" w:hAnsi="Arial" w:cs="Arial"/>
        </w:rPr>
        <w:t>value of the other two test</w:t>
      </w:r>
      <w:r>
        <w:rPr>
          <w:rFonts w:ascii="Arial" w:hAnsi="Arial" w:cs="Arial"/>
        </w:rPr>
        <w:t>s</w:t>
      </w:r>
      <w:r w:rsidRPr="00876F6F">
        <w:rPr>
          <w:rFonts w:ascii="Arial" w:hAnsi="Arial" w:cs="Arial"/>
        </w:rPr>
        <w:t xml:space="preserve"> is greater than 0.05 (i.e., the </w:t>
      </w:r>
      <w:r w:rsidRPr="00876F6F">
        <w:rPr>
          <w:rFonts w:ascii="Arial" w:hAnsi="Arial" w:cs="Arial"/>
          <w:lang w:val="en-US"/>
        </w:rPr>
        <w:t xml:space="preserve">autocorrelation test </w:t>
      </w:r>
      <w:r w:rsidRPr="00876F6F">
        <w:rPr>
          <w:rFonts w:ascii="Arial" w:hAnsi="Arial" w:cs="Arial"/>
        </w:rPr>
        <w:t>and heteros</w:t>
      </w:r>
      <w:r>
        <w:rPr>
          <w:rFonts w:ascii="Arial" w:hAnsi="Arial" w:cs="Arial"/>
        </w:rPr>
        <w:t>c</w:t>
      </w:r>
      <w:r w:rsidRPr="00876F6F">
        <w:rPr>
          <w:rFonts w:ascii="Arial" w:hAnsi="Arial" w:cs="Arial"/>
        </w:rPr>
        <w:t xml:space="preserve">edasticity test). </w:t>
      </w:r>
      <w:r w:rsidRPr="0283ACFA">
        <w:rPr>
          <w:rFonts w:ascii="Arial" w:hAnsi="Arial" w:cs="Arial"/>
          <w:color w:val="000000" w:themeColor="text1"/>
        </w:rPr>
        <w:t xml:space="preserve">Thus, the models used in this </w:t>
      </w:r>
      <w:r w:rsidR="00950936" w:rsidRPr="0283ACFA">
        <w:rPr>
          <w:rFonts w:ascii="Arial" w:hAnsi="Arial" w:cs="Arial"/>
          <w:color w:val="000000" w:themeColor="text1"/>
        </w:rPr>
        <w:t>section</w:t>
      </w:r>
      <w:r w:rsidRPr="0283ACFA">
        <w:rPr>
          <w:rFonts w:ascii="Arial" w:hAnsi="Arial" w:cs="Arial"/>
          <w:color w:val="000000" w:themeColor="text1"/>
        </w:rPr>
        <w:t xml:space="preserve"> are good and can be used for various test</w:t>
      </w:r>
      <w:r w:rsidR="008D0502">
        <w:rPr>
          <w:rFonts w:ascii="Arial" w:hAnsi="Arial" w:cs="Arial"/>
          <w:color w:val="000000" w:themeColor="text1"/>
        </w:rPr>
        <w:t>s</w:t>
      </w:r>
      <w:r w:rsidRPr="0283ACFA">
        <w:rPr>
          <w:rFonts w:ascii="Arial" w:hAnsi="Arial" w:cs="Arial"/>
          <w:color w:val="000000" w:themeColor="text1"/>
        </w:rPr>
        <w:t>, beginning with the unit root test</w:t>
      </w:r>
      <w:r w:rsidR="008D0502">
        <w:rPr>
          <w:rFonts w:ascii="Arial" w:hAnsi="Arial" w:cs="Arial"/>
          <w:color w:val="000000" w:themeColor="text1"/>
        </w:rPr>
        <w:t>,</w:t>
      </w:r>
      <w:r w:rsidRPr="0283ACFA">
        <w:rPr>
          <w:rFonts w:ascii="Arial" w:hAnsi="Arial" w:cs="Arial"/>
          <w:color w:val="000000" w:themeColor="text1"/>
        </w:rPr>
        <w:t xml:space="preserve"> as seen below.</w:t>
      </w:r>
    </w:p>
    <w:p w14:paraId="7DCBB0C2" w14:textId="05E10C37" w:rsidR="008658DE" w:rsidRPr="00876F6F" w:rsidRDefault="00B15A4F" w:rsidP="0066301C">
      <w:pPr>
        <w:pStyle w:val="Heading3"/>
        <w:numPr>
          <w:ilvl w:val="0"/>
          <w:numId w:val="0"/>
        </w:numPr>
        <w:spacing w:before="0" w:beforeAutospacing="0"/>
        <w:rPr>
          <w:lang w:val="en-US" w:eastAsia="en-GB"/>
        </w:rPr>
      </w:pPr>
      <w:bookmarkStart w:id="475" w:name="_Toc171075420"/>
      <w:r>
        <w:rPr>
          <w:lang w:val="en-US" w:eastAsia="en-GB"/>
        </w:rPr>
        <w:t>4</w:t>
      </w:r>
      <w:r w:rsidR="008658DE" w:rsidRPr="00876F6F">
        <w:rPr>
          <w:lang w:val="en-US" w:eastAsia="en-GB"/>
        </w:rPr>
        <w:t>.</w:t>
      </w:r>
      <w:r>
        <w:rPr>
          <w:lang w:val="en-US" w:eastAsia="en-GB"/>
        </w:rPr>
        <w:t>7</w:t>
      </w:r>
      <w:r w:rsidR="008658DE" w:rsidRPr="00876F6F">
        <w:rPr>
          <w:lang w:val="en-US" w:eastAsia="en-GB"/>
        </w:rPr>
        <w:t>.</w:t>
      </w:r>
      <w:r w:rsidR="008658DE" w:rsidRPr="00B15A4F">
        <w:t>2</w:t>
      </w:r>
      <w:r w:rsidR="00A2198A">
        <w:tab/>
      </w:r>
      <w:r w:rsidR="008658DE" w:rsidRPr="00B15A4F">
        <w:t>UNIT</w:t>
      </w:r>
      <w:r w:rsidR="008658DE" w:rsidRPr="00876F6F">
        <w:rPr>
          <w:lang w:val="en-US" w:eastAsia="en-GB"/>
        </w:rPr>
        <w:t xml:space="preserve"> ROOT TEST</w:t>
      </w:r>
      <w:bookmarkEnd w:id="475"/>
      <w:r w:rsidR="008658DE" w:rsidRPr="00876F6F">
        <w:rPr>
          <w:lang w:val="en-US" w:eastAsia="en-GB"/>
        </w:rPr>
        <w:t xml:space="preserve"> </w:t>
      </w:r>
    </w:p>
    <w:p w14:paraId="0A49060E" w14:textId="45585B48" w:rsidR="008658DE" w:rsidRDefault="008658DE" w:rsidP="0066301C">
      <w:pPr>
        <w:autoSpaceDE w:val="0"/>
        <w:autoSpaceDN w:val="0"/>
        <w:adjustRightInd w:val="0"/>
        <w:spacing w:after="0" w:line="360" w:lineRule="auto"/>
        <w:jc w:val="both"/>
        <w:rPr>
          <w:rFonts w:ascii="Arial" w:hAnsi="Arial" w:cs="Arial"/>
        </w:rPr>
      </w:pPr>
      <w:r w:rsidRPr="006A1BE6">
        <w:rPr>
          <w:rFonts w:ascii="Arial" w:hAnsi="Arial" w:cs="Arial"/>
        </w:rPr>
        <w:t>An analysis for the presence of unit root is perform</w:t>
      </w:r>
      <w:r w:rsidR="00217A87">
        <w:rPr>
          <w:rFonts w:ascii="Arial" w:hAnsi="Arial" w:cs="Arial"/>
        </w:rPr>
        <w:t>ed</w:t>
      </w:r>
      <w:r w:rsidRPr="006A1BE6">
        <w:rPr>
          <w:rFonts w:ascii="Arial" w:hAnsi="Arial" w:cs="Arial"/>
        </w:rPr>
        <w:t xml:space="preserve"> using the </w:t>
      </w:r>
      <w:r w:rsidRPr="57585719">
        <w:rPr>
          <w:rFonts w:ascii="Arial" w:hAnsi="Arial" w:cs="Arial"/>
          <w:i/>
          <w:iCs/>
        </w:rPr>
        <w:t xml:space="preserve">Augmented Dickey-Fuller </w:t>
      </w:r>
      <w:r w:rsidRPr="006A1BE6">
        <w:rPr>
          <w:rFonts w:ascii="Arial" w:hAnsi="Arial" w:cs="Arial"/>
        </w:rPr>
        <w:t xml:space="preserve">(ADF) and </w:t>
      </w:r>
      <w:r w:rsidRPr="57585719">
        <w:rPr>
          <w:rFonts w:ascii="Arial" w:hAnsi="Arial" w:cs="Arial"/>
          <w:i/>
          <w:iCs/>
        </w:rPr>
        <w:t>Philips-Perron</w:t>
      </w:r>
      <w:r w:rsidRPr="006A1BE6">
        <w:rPr>
          <w:rFonts w:ascii="Arial" w:hAnsi="Arial" w:cs="Arial"/>
        </w:rPr>
        <w:t xml:space="preserve"> (PP) test</w:t>
      </w:r>
      <w:r w:rsidR="00217A87">
        <w:rPr>
          <w:rFonts w:ascii="Arial" w:hAnsi="Arial" w:cs="Arial"/>
        </w:rPr>
        <w:t>s</w:t>
      </w:r>
      <w:r w:rsidRPr="006A1BE6">
        <w:rPr>
          <w:rFonts w:ascii="Arial" w:hAnsi="Arial" w:cs="Arial"/>
        </w:rPr>
        <w:t xml:space="preserve"> for the variables of the three CEMAC nations and their trade partners</w:t>
      </w:r>
      <w:r>
        <w:rPr>
          <w:rFonts w:ascii="Arial" w:hAnsi="Arial" w:cs="Arial"/>
        </w:rPr>
        <w:t xml:space="preserve">. </w:t>
      </w:r>
      <w:r w:rsidRPr="006A1BE6">
        <w:rPr>
          <w:rFonts w:ascii="Arial" w:hAnsi="Arial" w:cs="Arial"/>
        </w:rPr>
        <w:t>The test results are summarise</w:t>
      </w:r>
      <w:r>
        <w:rPr>
          <w:rFonts w:ascii="Arial" w:hAnsi="Arial" w:cs="Arial"/>
        </w:rPr>
        <w:t>d</w:t>
      </w:r>
      <w:r w:rsidRPr="006A1BE6">
        <w:rPr>
          <w:rFonts w:ascii="Arial" w:hAnsi="Arial" w:cs="Arial"/>
        </w:rPr>
        <w:t xml:space="preserve"> </w:t>
      </w:r>
      <w:r w:rsidR="00217A87">
        <w:rPr>
          <w:rFonts w:ascii="Arial" w:hAnsi="Arial" w:cs="Arial"/>
        </w:rPr>
        <w:t>in</w:t>
      </w:r>
      <w:r w:rsidR="00A350F8">
        <w:rPr>
          <w:rFonts w:ascii="Arial" w:hAnsi="Arial" w:cs="Arial"/>
        </w:rPr>
        <w:t xml:space="preserve"> the last part of </w:t>
      </w:r>
      <w:r w:rsidRPr="004A5CEF">
        <w:rPr>
          <w:rFonts w:ascii="Arial" w:hAnsi="Arial" w:cs="Arial"/>
        </w:rPr>
        <w:t xml:space="preserve">table </w:t>
      </w:r>
      <w:r w:rsidR="004A5CEF" w:rsidRPr="004A5CEF">
        <w:rPr>
          <w:rFonts w:ascii="Arial" w:hAnsi="Arial" w:cs="Arial"/>
        </w:rPr>
        <w:t>4</w:t>
      </w:r>
      <w:r w:rsidRPr="004A5CEF">
        <w:rPr>
          <w:rFonts w:ascii="Arial" w:hAnsi="Arial" w:cs="Arial"/>
        </w:rPr>
        <w:t>.</w:t>
      </w:r>
      <w:r w:rsidR="00C95E99" w:rsidRPr="004A5CEF">
        <w:rPr>
          <w:rFonts w:ascii="Arial" w:hAnsi="Arial" w:cs="Arial"/>
        </w:rPr>
        <w:t>2</w:t>
      </w:r>
      <w:r w:rsidRPr="004A5CEF">
        <w:rPr>
          <w:rFonts w:ascii="Arial" w:hAnsi="Arial" w:cs="Arial"/>
        </w:rPr>
        <w:t xml:space="preserve"> in the </w:t>
      </w:r>
      <w:r w:rsidR="004A5CEF" w:rsidRPr="004A5CEF">
        <w:rPr>
          <w:rFonts w:ascii="Arial" w:hAnsi="Arial" w:cs="Arial"/>
        </w:rPr>
        <w:t>a</w:t>
      </w:r>
      <w:r w:rsidRPr="004A5CEF">
        <w:rPr>
          <w:rFonts w:ascii="Arial" w:hAnsi="Arial" w:cs="Arial"/>
        </w:rPr>
        <w:t>ppendix</w:t>
      </w:r>
      <w:r w:rsidR="00F10BDD">
        <w:rPr>
          <w:rFonts w:ascii="Arial" w:hAnsi="Arial" w:cs="Arial"/>
        </w:rPr>
        <w:t xml:space="preserve"> B</w:t>
      </w:r>
      <w:r>
        <w:rPr>
          <w:rFonts w:ascii="Arial" w:hAnsi="Arial" w:cs="Arial"/>
        </w:rPr>
        <w:t xml:space="preserve">, whereby the variables are tested using two options (i.e., with constant and with Trend and </w:t>
      </w:r>
      <w:r>
        <w:rPr>
          <w:rFonts w:ascii="Arial" w:hAnsi="Arial" w:cs="Arial"/>
        </w:rPr>
        <w:lastRenderedPageBreak/>
        <w:t>Interception)</w:t>
      </w:r>
      <w:r w:rsidRPr="006A1BE6">
        <w:rPr>
          <w:rFonts w:ascii="Arial" w:hAnsi="Arial" w:cs="Arial"/>
        </w:rPr>
        <w:t>.</w:t>
      </w:r>
      <w:r>
        <w:rPr>
          <w:rStyle w:val="FootnoteReference"/>
          <w:rFonts w:ascii="Arial" w:hAnsi="Arial" w:cs="Arial"/>
        </w:rPr>
        <w:footnoteReference w:id="124"/>
      </w:r>
      <w:r w:rsidRPr="006A1BE6">
        <w:rPr>
          <w:rFonts w:ascii="Arial" w:hAnsi="Arial" w:cs="Arial"/>
        </w:rPr>
        <w:t xml:space="preserve"> </w:t>
      </w:r>
      <w:r>
        <w:rPr>
          <w:rFonts w:ascii="Arial" w:hAnsi="Arial" w:cs="Arial"/>
        </w:rPr>
        <w:t xml:space="preserve">The result indicates the non-existence of the </w:t>
      </w:r>
      <w:r w:rsidRPr="57585719">
        <w:rPr>
          <w:rFonts w:ascii="Arial" w:hAnsi="Arial" w:cs="Arial"/>
          <w:i/>
          <w:iCs/>
        </w:rPr>
        <w:t>I</w:t>
      </w:r>
      <w:r>
        <w:rPr>
          <w:rFonts w:ascii="Arial" w:hAnsi="Arial" w:cs="Arial"/>
        </w:rPr>
        <w:t xml:space="preserve">(2) variable in our study. </w:t>
      </w:r>
      <w:r w:rsidRPr="006A1BE6">
        <w:rPr>
          <w:rFonts w:ascii="Arial" w:hAnsi="Arial" w:cs="Arial"/>
        </w:rPr>
        <w:t xml:space="preserve">From the table on both the </w:t>
      </w:r>
      <w:r w:rsidRPr="57585719">
        <w:rPr>
          <w:rFonts w:ascii="Arial" w:hAnsi="Arial" w:cs="Arial"/>
          <w:i/>
          <w:iCs/>
        </w:rPr>
        <w:t xml:space="preserve">ADF </w:t>
      </w:r>
      <w:r w:rsidRPr="006A1BE6">
        <w:rPr>
          <w:rFonts w:ascii="Arial" w:hAnsi="Arial" w:cs="Arial"/>
        </w:rPr>
        <w:t xml:space="preserve">and </w:t>
      </w:r>
      <w:r w:rsidRPr="57585719">
        <w:rPr>
          <w:rFonts w:ascii="Arial" w:hAnsi="Arial" w:cs="Arial"/>
          <w:i/>
          <w:iCs/>
        </w:rPr>
        <w:t xml:space="preserve">PP </w:t>
      </w:r>
      <w:r w:rsidRPr="006A1BE6">
        <w:rPr>
          <w:rFonts w:ascii="Arial" w:hAnsi="Arial" w:cs="Arial"/>
        </w:rPr>
        <w:t xml:space="preserve">test, the absolute values of </w:t>
      </w:r>
      <w:r>
        <w:rPr>
          <w:rFonts w:ascii="Arial" w:hAnsi="Arial" w:cs="Arial"/>
        </w:rPr>
        <w:t>most</w:t>
      </w:r>
      <w:r w:rsidRPr="006A1BE6">
        <w:rPr>
          <w:rFonts w:ascii="Arial" w:hAnsi="Arial" w:cs="Arial"/>
        </w:rPr>
        <w:t xml:space="preserve"> variables are stationary after their first difference, but for LNTB for Cameroon </w:t>
      </w:r>
      <w:r>
        <w:rPr>
          <w:rFonts w:ascii="Arial" w:hAnsi="Arial" w:cs="Arial"/>
        </w:rPr>
        <w:t xml:space="preserve">and </w:t>
      </w:r>
      <w:r w:rsidRPr="006A1BE6">
        <w:rPr>
          <w:rFonts w:ascii="Arial" w:hAnsi="Arial" w:cs="Arial"/>
        </w:rPr>
        <w:t>LNTB</w:t>
      </w:r>
      <w:r w:rsidRPr="00CF04ED">
        <w:rPr>
          <w:rFonts w:ascii="Arial" w:hAnsi="Arial" w:cs="Arial"/>
        </w:rPr>
        <w:t xml:space="preserve"> </w:t>
      </w:r>
      <w:r w:rsidRPr="006A1BE6">
        <w:rPr>
          <w:rFonts w:ascii="Arial" w:hAnsi="Arial" w:cs="Arial"/>
        </w:rPr>
        <w:t>for Gabon</w:t>
      </w:r>
      <w:r>
        <w:rPr>
          <w:rFonts w:ascii="Arial" w:hAnsi="Arial" w:cs="Arial"/>
        </w:rPr>
        <w:t xml:space="preserve">, </w:t>
      </w:r>
      <w:r w:rsidRPr="006A1BE6">
        <w:rPr>
          <w:rFonts w:ascii="Arial" w:hAnsi="Arial" w:cs="Arial"/>
        </w:rPr>
        <w:t>th</w:t>
      </w:r>
      <w:r w:rsidR="00F72E5D">
        <w:rPr>
          <w:rFonts w:ascii="Arial" w:hAnsi="Arial" w:cs="Arial"/>
        </w:rPr>
        <w:t>ey</w:t>
      </w:r>
      <w:r w:rsidRPr="006A1BE6">
        <w:rPr>
          <w:rFonts w:ascii="Arial" w:hAnsi="Arial" w:cs="Arial"/>
        </w:rPr>
        <w:t xml:space="preserve"> were stationary at level.</w:t>
      </w:r>
      <w:r>
        <w:rPr>
          <w:rFonts w:ascii="Arial" w:hAnsi="Arial" w:cs="Arial"/>
        </w:rPr>
        <w:t xml:space="preserve"> This justifies the use of ARDL approach to cointegration.</w:t>
      </w:r>
      <w:r>
        <w:rPr>
          <w:rStyle w:val="FootnoteReference"/>
          <w:rFonts w:ascii="Arial" w:hAnsi="Arial" w:cs="Arial"/>
        </w:rPr>
        <w:footnoteReference w:id="125"/>
      </w:r>
    </w:p>
    <w:p w14:paraId="00F6260B" w14:textId="67D3F019" w:rsidR="00FA6754" w:rsidRPr="00876F6F" w:rsidRDefault="00A2198A" w:rsidP="0066301C">
      <w:pPr>
        <w:pStyle w:val="Heading3"/>
        <w:numPr>
          <w:ilvl w:val="0"/>
          <w:numId w:val="0"/>
        </w:numPr>
        <w:spacing w:before="0" w:beforeAutospacing="0"/>
        <w:rPr>
          <w:lang w:val="en-US" w:eastAsia="en-GB"/>
        </w:rPr>
      </w:pPr>
      <w:bookmarkStart w:id="476" w:name="_Toc171075421"/>
      <w:r>
        <w:rPr>
          <w:lang w:val="en-US" w:eastAsia="en-GB"/>
        </w:rPr>
        <w:t>4</w:t>
      </w:r>
      <w:r w:rsidR="006501C6">
        <w:rPr>
          <w:lang w:val="en-US" w:eastAsia="en-GB"/>
        </w:rPr>
        <w:t>.</w:t>
      </w:r>
      <w:r w:rsidR="00FA6754" w:rsidRPr="00876F6F">
        <w:rPr>
          <w:lang w:val="en-US" w:eastAsia="en-GB"/>
        </w:rPr>
        <w:t>7.</w:t>
      </w:r>
      <w:r w:rsidR="008658DE" w:rsidRPr="006501C6">
        <w:t>3</w:t>
      </w:r>
      <w:r w:rsidR="006501C6">
        <w:tab/>
      </w:r>
      <w:r w:rsidR="00FA6754" w:rsidRPr="006501C6">
        <w:t>OPTIMAL</w:t>
      </w:r>
      <w:r w:rsidR="00FA6754" w:rsidRPr="00876F6F">
        <w:rPr>
          <w:lang w:val="en-US" w:eastAsia="en-GB"/>
        </w:rPr>
        <w:t xml:space="preserve"> LAG LENGTH</w:t>
      </w:r>
      <w:bookmarkEnd w:id="476"/>
    </w:p>
    <w:p w14:paraId="206FD4F1" w14:textId="1FCF9EEF" w:rsidR="00FA6754" w:rsidRPr="00876F6F" w:rsidRDefault="00FA6754" w:rsidP="0066301C">
      <w:pPr>
        <w:spacing w:line="360" w:lineRule="auto"/>
        <w:jc w:val="both"/>
        <w:rPr>
          <w:rFonts w:ascii="Arial" w:hAnsi="Arial" w:cs="Arial"/>
        </w:rPr>
      </w:pPr>
      <w:r w:rsidRPr="00876F6F">
        <w:rPr>
          <w:rFonts w:ascii="Arial" w:hAnsi="Arial" w:cs="Arial"/>
        </w:rPr>
        <w:t>Applying the wrong lag (too many lag</w:t>
      </w:r>
      <w:r w:rsidR="00EB4B99">
        <w:rPr>
          <w:rFonts w:ascii="Arial" w:hAnsi="Arial" w:cs="Arial"/>
        </w:rPr>
        <w:t>s</w:t>
      </w:r>
      <w:r w:rsidRPr="00876F6F">
        <w:rPr>
          <w:rFonts w:ascii="Arial" w:hAnsi="Arial" w:cs="Arial"/>
        </w:rPr>
        <w:t xml:space="preserve">) in an analysis could result </w:t>
      </w:r>
      <w:r w:rsidR="001843DA">
        <w:rPr>
          <w:rFonts w:ascii="Arial" w:hAnsi="Arial" w:cs="Arial"/>
        </w:rPr>
        <w:t>in</w:t>
      </w:r>
      <w:r w:rsidRPr="00876F6F">
        <w:rPr>
          <w:rFonts w:ascii="Arial" w:hAnsi="Arial" w:cs="Arial"/>
        </w:rPr>
        <w:t xml:space="preserve"> loss of degree of freedom, cause multicollinearity among the regressors, serial correlation in the error terms, and misspecification error. On the other hand, too few lags could result in specification errors. As such, the right lag must be applied as seen below</w:t>
      </w:r>
      <w:r w:rsidR="00EB4B99">
        <w:rPr>
          <w:rFonts w:ascii="Arial" w:hAnsi="Arial" w:cs="Arial"/>
        </w:rPr>
        <w:t>,</w:t>
      </w:r>
      <w:r w:rsidRPr="00876F6F">
        <w:rPr>
          <w:rFonts w:ascii="Arial" w:hAnsi="Arial" w:cs="Arial"/>
        </w:rPr>
        <w:t xml:space="preserve"> with the optimal lag length of Cameroon being 3, CAR being </w:t>
      </w:r>
      <w:r>
        <w:rPr>
          <w:rFonts w:ascii="Arial" w:hAnsi="Arial" w:cs="Arial"/>
        </w:rPr>
        <w:t>2</w:t>
      </w:r>
      <w:r w:rsidRPr="00876F6F">
        <w:rPr>
          <w:rFonts w:ascii="Arial" w:hAnsi="Arial" w:cs="Arial"/>
        </w:rPr>
        <w:t>, and Gabon being 1</w:t>
      </w:r>
      <w:r w:rsidR="00980FC5">
        <w:rPr>
          <w:rFonts w:ascii="Arial" w:hAnsi="Arial" w:cs="Arial"/>
        </w:rPr>
        <w:t>,</w:t>
      </w:r>
      <w:r w:rsidRPr="00876F6F">
        <w:rPr>
          <w:rFonts w:ascii="Arial" w:hAnsi="Arial" w:cs="Arial"/>
        </w:rPr>
        <w:t xml:space="preserve"> as shown </w:t>
      </w:r>
      <w:r w:rsidR="00980FC5">
        <w:rPr>
          <w:rFonts w:ascii="Arial" w:hAnsi="Arial" w:cs="Arial"/>
        </w:rPr>
        <w:t>i</w:t>
      </w:r>
      <w:r w:rsidRPr="00876F6F">
        <w:rPr>
          <w:rFonts w:ascii="Arial" w:hAnsi="Arial" w:cs="Arial"/>
        </w:rPr>
        <w:t>n the table below.</w:t>
      </w:r>
    </w:p>
    <w:p w14:paraId="7D48DFD0" w14:textId="32E22990" w:rsidR="00FA6754" w:rsidRPr="00876F6F" w:rsidRDefault="00FA6754" w:rsidP="0066301C">
      <w:pPr>
        <w:spacing w:after="0" w:line="240" w:lineRule="auto"/>
        <w:rPr>
          <w:rFonts w:ascii="Arial" w:hAnsi="Arial" w:cs="Arial"/>
          <w:b/>
        </w:rPr>
      </w:pPr>
      <w:r w:rsidRPr="003D4280">
        <w:rPr>
          <w:rFonts w:ascii="Arial" w:hAnsi="Arial" w:cs="Arial"/>
          <w:b/>
        </w:rPr>
        <w:t xml:space="preserve">Table </w:t>
      </w:r>
      <w:r w:rsidR="003D4280" w:rsidRPr="003D4280">
        <w:rPr>
          <w:rFonts w:ascii="Arial" w:hAnsi="Arial" w:cs="Arial"/>
          <w:b/>
        </w:rPr>
        <w:t>4</w:t>
      </w:r>
      <w:r w:rsidRPr="003D4280">
        <w:rPr>
          <w:rFonts w:ascii="Arial" w:hAnsi="Arial" w:cs="Arial"/>
          <w:b/>
        </w:rPr>
        <w:t>.</w:t>
      </w:r>
      <w:r w:rsidR="003D4280" w:rsidRPr="003D4280">
        <w:rPr>
          <w:rFonts w:ascii="Arial" w:hAnsi="Arial" w:cs="Arial"/>
          <w:b/>
        </w:rPr>
        <w:t>8</w:t>
      </w:r>
      <w:r w:rsidRPr="003D4280">
        <w:rPr>
          <w:rFonts w:ascii="Arial" w:hAnsi="Arial" w:cs="Arial"/>
          <w:b/>
        </w:rPr>
        <w:t>: Optimal</w:t>
      </w:r>
      <w:r w:rsidRPr="00876F6F">
        <w:rPr>
          <w:rFonts w:ascii="Arial" w:hAnsi="Arial" w:cs="Arial"/>
          <w:b/>
        </w:rPr>
        <w:t xml:space="preserve"> Lag Length Results.</w:t>
      </w:r>
    </w:p>
    <w:tbl>
      <w:tblPr>
        <w:tblStyle w:val="TableGrid43"/>
        <w:tblW w:w="0" w:type="auto"/>
        <w:tblLook w:val="04A0" w:firstRow="1" w:lastRow="0" w:firstColumn="1" w:lastColumn="0" w:noHBand="0" w:noVBand="1"/>
      </w:tblPr>
      <w:tblGrid>
        <w:gridCol w:w="2830"/>
        <w:gridCol w:w="2835"/>
        <w:gridCol w:w="2693"/>
      </w:tblGrid>
      <w:tr w:rsidR="00FA6754" w:rsidRPr="00876F6F" w14:paraId="19E8E334" w14:textId="77777777" w:rsidTr="00AC6286">
        <w:trPr>
          <w:trHeight w:val="378"/>
        </w:trPr>
        <w:tc>
          <w:tcPr>
            <w:tcW w:w="2830" w:type="dxa"/>
          </w:tcPr>
          <w:p w14:paraId="6FBF2C97" w14:textId="77777777" w:rsidR="00FA6754" w:rsidRPr="00876F6F" w:rsidRDefault="00FA6754" w:rsidP="0066301C">
            <w:pPr>
              <w:rPr>
                <w:rFonts w:ascii="Arial" w:hAnsi="Arial" w:cs="Arial"/>
                <w:b/>
              </w:rPr>
            </w:pPr>
            <w:r w:rsidRPr="00876F6F">
              <w:rPr>
                <w:rFonts w:ascii="Arial" w:hAnsi="Arial" w:cs="Arial"/>
                <w:b/>
              </w:rPr>
              <w:t>CEMAC Nations</w:t>
            </w:r>
          </w:p>
        </w:tc>
        <w:tc>
          <w:tcPr>
            <w:tcW w:w="2835" w:type="dxa"/>
          </w:tcPr>
          <w:p w14:paraId="141E8AC7" w14:textId="77777777" w:rsidR="00FA6754" w:rsidRPr="00876F6F" w:rsidRDefault="00FA6754" w:rsidP="0066301C">
            <w:pPr>
              <w:rPr>
                <w:rFonts w:ascii="Arial" w:hAnsi="Arial" w:cs="Arial"/>
                <w:b/>
              </w:rPr>
            </w:pPr>
            <w:r w:rsidRPr="00876F6F">
              <w:rPr>
                <w:rFonts w:ascii="Arial" w:hAnsi="Arial" w:cs="Arial"/>
                <w:b/>
              </w:rPr>
              <w:t>Optimal lag value (AIC)</w:t>
            </w:r>
          </w:p>
        </w:tc>
        <w:tc>
          <w:tcPr>
            <w:tcW w:w="2693" w:type="dxa"/>
          </w:tcPr>
          <w:p w14:paraId="72BEB9C0" w14:textId="77777777" w:rsidR="00FA6754" w:rsidRPr="00876F6F" w:rsidRDefault="00FA6754" w:rsidP="0066301C">
            <w:pPr>
              <w:rPr>
                <w:rFonts w:ascii="Arial" w:hAnsi="Arial" w:cs="Arial"/>
                <w:b/>
              </w:rPr>
            </w:pPr>
            <w:r w:rsidRPr="00876F6F">
              <w:rPr>
                <w:rFonts w:ascii="Arial" w:hAnsi="Arial" w:cs="Arial"/>
                <w:b/>
              </w:rPr>
              <w:t xml:space="preserve">Optimal Lag length </w:t>
            </w:r>
          </w:p>
        </w:tc>
      </w:tr>
      <w:tr w:rsidR="00FA6754" w:rsidRPr="00876F6F" w14:paraId="0E6F4C57" w14:textId="77777777" w:rsidTr="00AC6286">
        <w:trPr>
          <w:trHeight w:val="345"/>
        </w:trPr>
        <w:tc>
          <w:tcPr>
            <w:tcW w:w="2830" w:type="dxa"/>
          </w:tcPr>
          <w:p w14:paraId="1660FD76" w14:textId="77777777" w:rsidR="00FA6754" w:rsidRPr="00876F6F" w:rsidRDefault="00FA6754" w:rsidP="0066301C">
            <w:pPr>
              <w:rPr>
                <w:rFonts w:ascii="Arial" w:hAnsi="Arial" w:cs="Arial"/>
              </w:rPr>
            </w:pPr>
            <w:r w:rsidRPr="00876F6F">
              <w:rPr>
                <w:rFonts w:ascii="Arial" w:hAnsi="Arial" w:cs="Arial"/>
              </w:rPr>
              <w:t>Cameroon</w:t>
            </w:r>
          </w:p>
        </w:tc>
        <w:tc>
          <w:tcPr>
            <w:tcW w:w="2835" w:type="dxa"/>
          </w:tcPr>
          <w:p w14:paraId="21E85ADB" w14:textId="2F89A670" w:rsidR="00FA6754" w:rsidRPr="00FA6754" w:rsidRDefault="00FA6754" w:rsidP="0066301C">
            <w:pPr>
              <w:jc w:val="center"/>
              <w:rPr>
                <w:rFonts w:ascii="Arial" w:hAnsi="Arial" w:cs="Arial"/>
              </w:rPr>
            </w:pPr>
            <w:r w:rsidRPr="00FA6754">
              <w:rPr>
                <w:rFonts w:ascii="Arial" w:hAnsi="Arial" w:cs="Arial"/>
                <w:color w:val="000000"/>
              </w:rPr>
              <w:t>-9.370037*</w:t>
            </w:r>
          </w:p>
        </w:tc>
        <w:tc>
          <w:tcPr>
            <w:tcW w:w="2693" w:type="dxa"/>
          </w:tcPr>
          <w:p w14:paraId="69F245DE" w14:textId="77777777" w:rsidR="00FA6754" w:rsidRPr="00876F6F" w:rsidRDefault="00FA6754" w:rsidP="0066301C">
            <w:pPr>
              <w:jc w:val="center"/>
              <w:rPr>
                <w:rFonts w:ascii="Arial" w:hAnsi="Arial" w:cs="Arial"/>
              </w:rPr>
            </w:pPr>
            <w:r w:rsidRPr="00876F6F">
              <w:rPr>
                <w:rFonts w:ascii="Arial" w:hAnsi="Arial" w:cs="Arial"/>
              </w:rPr>
              <w:t>3</w:t>
            </w:r>
          </w:p>
        </w:tc>
      </w:tr>
      <w:tr w:rsidR="00FA6754" w:rsidRPr="00876F6F" w14:paraId="033943E4" w14:textId="77777777" w:rsidTr="00AC6286">
        <w:trPr>
          <w:trHeight w:val="345"/>
        </w:trPr>
        <w:tc>
          <w:tcPr>
            <w:tcW w:w="2830" w:type="dxa"/>
          </w:tcPr>
          <w:p w14:paraId="5ED04E4A" w14:textId="77777777" w:rsidR="00FA6754" w:rsidRPr="00876F6F" w:rsidRDefault="00FA6754" w:rsidP="0066301C">
            <w:pPr>
              <w:rPr>
                <w:rFonts w:ascii="Arial" w:hAnsi="Arial" w:cs="Arial"/>
              </w:rPr>
            </w:pPr>
            <w:r w:rsidRPr="00876F6F">
              <w:rPr>
                <w:rFonts w:ascii="Arial" w:hAnsi="Arial" w:cs="Arial"/>
              </w:rPr>
              <w:t>CAR</w:t>
            </w:r>
          </w:p>
        </w:tc>
        <w:tc>
          <w:tcPr>
            <w:tcW w:w="2835" w:type="dxa"/>
          </w:tcPr>
          <w:p w14:paraId="78585EEC" w14:textId="6C037E00" w:rsidR="00FA6754" w:rsidRPr="00FA6754" w:rsidRDefault="00FA6754" w:rsidP="0066301C">
            <w:pPr>
              <w:jc w:val="center"/>
              <w:rPr>
                <w:rFonts w:ascii="Arial" w:hAnsi="Arial" w:cs="Arial"/>
              </w:rPr>
            </w:pPr>
            <w:r w:rsidRPr="00FA6754">
              <w:rPr>
                <w:rFonts w:ascii="Arial" w:hAnsi="Arial" w:cs="Arial"/>
                <w:color w:val="000000"/>
              </w:rPr>
              <w:t>-7.562079*</w:t>
            </w:r>
          </w:p>
        </w:tc>
        <w:tc>
          <w:tcPr>
            <w:tcW w:w="2693" w:type="dxa"/>
          </w:tcPr>
          <w:p w14:paraId="713E6F1B" w14:textId="66CF2818" w:rsidR="00FA6754" w:rsidRPr="00876F6F" w:rsidRDefault="00FA6754" w:rsidP="0066301C">
            <w:pPr>
              <w:jc w:val="center"/>
              <w:rPr>
                <w:rFonts w:ascii="Arial" w:hAnsi="Arial" w:cs="Arial"/>
              </w:rPr>
            </w:pPr>
            <w:r>
              <w:rPr>
                <w:rFonts w:ascii="Arial" w:hAnsi="Arial" w:cs="Arial"/>
              </w:rPr>
              <w:t>2</w:t>
            </w:r>
          </w:p>
        </w:tc>
      </w:tr>
      <w:tr w:rsidR="00FA6754" w:rsidRPr="00876F6F" w14:paraId="28935212" w14:textId="77777777" w:rsidTr="00AC6286">
        <w:trPr>
          <w:trHeight w:val="345"/>
        </w:trPr>
        <w:tc>
          <w:tcPr>
            <w:tcW w:w="2830" w:type="dxa"/>
          </w:tcPr>
          <w:p w14:paraId="46EE36A7" w14:textId="77777777" w:rsidR="00FA6754" w:rsidRPr="00876F6F" w:rsidRDefault="00FA6754" w:rsidP="0066301C">
            <w:pPr>
              <w:rPr>
                <w:rFonts w:ascii="Arial" w:hAnsi="Arial" w:cs="Arial"/>
              </w:rPr>
            </w:pPr>
            <w:r w:rsidRPr="00876F6F">
              <w:rPr>
                <w:rFonts w:ascii="Arial" w:hAnsi="Arial" w:cs="Arial"/>
              </w:rPr>
              <w:t>Gabon</w:t>
            </w:r>
          </w:p>
        </w:tc>
        <w:tc>
          <w:tcPr>
            <w:tcW w:w="2835" w:type="dxa"/>
          </w:tcPr>
          <w:p w14:paraId="3BB380AF" w14:textId="1228E2FA" w:rsidR="00FA6754" w:rsidRPr="003F7BA9" w:rsidRDefault="003F7BA9" w:rsidP="0066301C">
            <w:pPr>
              <w:jc w:val="center"/>
              <w:rPr>
                <w:rFonts w:ascii="Arial" w:hAnsi="Arial" w:cs="Arial"/>
              </w:rPr>
            </w:pPr>
            <w:r w:rsidRPr="003F7BA9">
              <w:rPr>
                <w:rFonts w:ascii="Arial" w:hAnsi="Arial" w:cs="Arial"/>
                <w:color w:val="000000"/>
              </w:rPr>
              <w:t>-9.105653*</w:t>
            </w:r>
          </w:p>
        </w:tc>
        <w:tc>
          <w:tcPr>
            <w:tcW w:w="2693" w:type="dxa"/>
          </w:tcPr>
          <w:p w14:paraId="705C8626" w14:textId="77777777" w:rsidR="00FA6754" w:rsidRPr="00876F6F" w:rsidRDefault="00FA6754" w:rsidP="0066301C">
            <w:pPr>
              <w:jc w:val="center"/>
              <w:rPr>
                <w:rFonts w:ascii="Arial" w:hAnsi="Arial" w:cs="Arial"/>
              </w:rPr>
            </w:pPr>
            <w:r w:rsidRPr="00876F6F">
              <w:rPr>
                <w:rFonts w:ascii="Arial" w:hAnsi="Arial" w:cs="Arial"/>
              </w:rPr>
              <w:t>1</w:t>
            </w:r>
          </w:p>
        </w:tc>
      </w:tr>
    </w:tbl>
    <w:p w14:paraId="36C05687" w14:textId="622BAAA6" w:rsidR="00FA6754" w:rsidRDefault="00FA6754" w:rsidP="0066301C">
      <w:pPr>
        <w:autoSpaceDE w:val="0"/>
        <w:autoSpaceDN w:val="0"/>
        <w:adjustRightInd w:val="0"/>
        <w:spacing w:after="0" w:line="276" w:lineRule="auto"/>
        <w:rPr>
          <w:rFonts w:ascii="Arial" w:hAnsi="Arial" w:cs="Arial"/>
          <w:sz w:val="20"/>
          <w:szCs w:val="20"/>
        </w:rPr>
      </w:pPr>
      <w:r w:rsidRPr="003F7BA9">
        <w:rPr>
          <w:rFonts w:ascii="Arial" w:hAnsi="Arial" w:cs="Arial"/>
          <w:i/>
          <w:sz w:val="20"/>
          <w:szCs w:val="20"/>
        </w:rPr>
        <w:t xml:space="preserve">Source: </w:t>
      </w:r>
      <w:r w:rsidRPr="003F7BA9">
        <w:rPr>
          <w:rFonts w:ascii="Arial" w:hAnsi="Arial" w:cs="Arial"/>
          <w:sz w:val="20"/>
          <w:szCs w:val="20"/>
        </w:rPr>
        <w:t>Computation from time-series data using EViews 1</w:t>
      </w:r>
      <w:r w:rsidR="003F7BA9" w:rsidRPr="003F7BA9">
        <w:rPr>
          <w:rFonts w:ascii="Arial" w:hAnsi="Arial" w:cs="Arial"/>
          <w:sz w:val="20"/>
          <w:szCs w:val="20"/>
        </w:rPr>
        <w:t>2</w:t>
      </w:r>
    </w:p>
    <w:p w14:paraId="65078EA1" w14:textId="77777777" w:rsidR="009931D7" w:rsidRPr="003F7BA9" w:rsidRDefault="009931D7" w:rsidP="0066301C">
      <w:pPr>
        <w:autoSpaceDE w:val="0"/>
        <w:autoSpaceDN w:val="0"/>
        <w:adjustRightInd w:val="0"/>
        <w:spacing w:after="0" w:line="276" w:lineRule="auto"/>
        <w:rPr>
          <w:rFonts w:ascii="Arial" w:hAnsi="Arial" w:cs="Arial"/>
          <w:sz w:val="20"/>
          <w:szCs w:val="20"/>
        </w:rPr>
      </w:pPr>
    </w:p>
    <w:p w14:paraId="0B996720" w14:textId="052A557B" w:rsidR="00665436" w:rsidRPr="00876F6F" w:rsidRDefault="00B40A9A" w:rsidP="0066301C">
      <w:pPr>
        <w:pStyle w:val="Heading3"/>
        <w:numPr>
          <w:ilvl w:val="0"/>
          <w:numId w:val="0"/>
        </w:numPr>
        <w:spacing w:before="0" w:beforeAutospacing="0"/>
        <w:rPr>
          <w:szCs w:val="22"/>
          <w:lang w:val="en-US" w:eastAsia="en-GB"/>
        </w:rPr>
      </w:pPr>
      <w:bookmarkStart w:id="477" w:name="_Toc171075422"/>
      <w:bookmarkStart w:id="478" w:name="_Hlk170839858"/>
      <w:r>
        <w:rPr>
          <w:szCs w:val="22"/>
          <w:lang w:val="en-US" w:eastAsia="en-GB"/>
        </w:rPr>
        <w:t>4.</w:t>
      </w:r>
      <w:r w:rsidR="00665436" w:rsidRPr="00876F6F">
        <w:rPr>
          <w:szCs w:val="22"/>
          <w:lang w:val="en-US" w:eastAsia="en-GB"/>
        </w:rPr>
        <w:t>7.</w:t>
      </w:r>
      <w:r w:rsidR="008658DE" w:rsidRPr="006F1809">
        <w:t>4</w:t>
      </w:r>
      <w:r w:rsidR="006F1809">
        <w:tab/>
      </w:r>
      <w:r w:rsidR="00665436" w:rsidRPr="006F1809">
        <w:t>COINTEGRATION</w:t>
      </w:r>
      <w:r w:rsidR="00665436" w:rsidRPr="00665436">
        <w:rPr>
          <w:lang w:val="en-US" w:eastAsia="en-GB"/>
        </w:rPr>
        <w:t xml:space="preserve"> TEST</w:t>
      </w:r>
      <w:bookmarkEnd w:id="477"/>
    </w:p>
    <w:p w14:paraId="2E5D356C" w14:textId="7575AFAF" w:rsidR="00665436" w:rsidRDefault="00980FC5" w:rsidP="0066301C">
      <w:pPr>
        <w:autoSpaceDE w:val="0"/>
        <w:autoSpaceDN w:val="0"/>
        <w:adjustRightInd w:val="0"/>
        <w:spacing w:after="0" w:line="360" w:lineRule="auto"/>
        <w:jc w:val="both"/>
        <w:rPr>
          <w:rFonts w:ascii="Arial" w:hAnsi="Arial" w:cs="Arial"/>
          <w:color w:val="000000"/>
        </w:rPr>
      </w:pPr>
      <w:r>
        <w:rPr>
          <w:rFonts w:ascii="Arial" w:hAnsi="Arial" w:cs="Arial"/>
        </w:rPr>
        <w:t>The c</w:t>
      </w:r>
      <w:r w:rsidR="5878FD3B" w:rsidRPr="0F2C9F83">
        <w:rPr>
          <w:rFonts w:ascii="Arial" w:hAnsi="Arial" w:cs="Arial"/>
        </w:rPr>
        <w:t>ointegration test is a test to verify that variables used in a model have a long-run and short-run relationship among themselves</w:t>
      </w:r>
      <w:r w:rsidR="5878FD3B" w:rsidRPr="0F2C9F83">
        <w:rPr>
          <w:rFonts w:ascii="Arial" w:hAnsi="Arial" w:cs="Arial"/>
          <w:color w:val="000000" w:themeColor="text1"/>
        </w:rPr>
        <w:t xml:space="preserve">. </w:t>
      </w:r>
      <w:r w:rsidR="5878FD3B" w:rsidRPr="0F2C9F83">
        <w:rPr>
          <w:rFonts w:ascii="Arial" w:hAnsi="Arial" w:cs="Arial"/>
        </w:rPr>
        <w:t xml:space="preserve">The Pesaran </w:t>
      </w:r>
      <w:r w:rsidR="5878FD3B" w:rsidRPr="0F2C9F83">
        <w:rPr>
          <w:rFonts w:ascii="Arial" w:hAnsi="Arial" w:cs="Arial"/>
          <w:i/>
          <w:iCs/>
        </w:rPr>
        <w:t>et al.</w:t>
      </w:r>
      <w:r w:rsidR="5878FD3B" w:rsidRPr="0F2C9F83">
        <w:rPr>
          <w:rFonts w:ascii="Arial" w:hAnsi="Arial" w:cs="Arial"/>
        </w:rPr>
        <w:t xml:space="preserve"> (2001)</w:t>
      </w:r>
      <w:r w:rsidR="5878FD3B" w:rsidRPr="0F2C9F83">
        <w:rPr>
          <w:rFonts w:ascii="Arial" w:hAnsi="Arial" w:cs="Arial"/>
          <w:i/>
          <w:iCs/>
        </w:rPr>
        <w:t xml:space="preserve"> </w:t>
      </w:r>
      <w:r w:rsidR="5878FD3B" w:rsidRPr="0F2C9F83">
        <w:rPr>
          <w:rFonts w:ascii="Arial" w:hAnsi="Arial" w:cs="Arial"/>
        </w:rPr>
        <w:t xml:space="preserve">cointegration procedure (ARDL cointegration method) is also used to test for cointegration among the variables in the models. The bound testing procedure is based on the </w:t>
      </w:r>
      <w:r w:rsidR="5878FD3B" w:rsidRPr="0F2C9F83">
        <w:rPr>
          <w:rFonts w:ascii="Arial" w:hAnsi="Arial" w:cs="Arial"/>
          <w:i/>
          <w:iCs/>
        </w:rPr>
        <w:t>F</w:t>
      </w:r>
      <w:r w:rsidR="5878FD3B" w:rsidRPr="0F2C9F83">
        <w:rPr>
          <w:rFonts w:ascii="Arial" w:hAnsi="Arial" w:cs="Arial"/>
        </w:rPr>
        <w:t xml:space="preserve">-statistics and is the first stage of the ARDL cointegration method. The long-term effect of real depreciation is inferred by the size and significance of coefficient of LNREER that is normalized by </w:t>
      </w:r>
      <w:r w:rsidR="5878FD3B" w:rsidRPr="0F2C9F83">
        <w:rPr>
          <w:rFonts w:ascii="Arial" w:eastAsiaTheme="minorEastAsia" w:hAnsi="Arial" w:cs="Arial"/>
        </w:rPr>
        <w:t>the coefficient of LNTB</w:t>
      </w:r>
      <w:r w:rsidR="5878FD3B" w:rsidRPr="0F2C9F83">
        <w:rPr>
          <w:rFonts w:ascii="Arial" w:hAnsi="Arial" w:cs="Arial"/>
        </w:rPr>
        <w:t xml:space="preserve">. The null hypothesis of no cointegration is tested against the alternative hypothesis of cointegration as mentioned in the previous section on </w:t>
      </w:r>
      <w:r w:rsidR="000E48F8">
        <w:rPr>
          <w:rFonts w:ascii="Arial" w:hAnsi="Arial" w:cs="Arial"/>
        </w:rPr>
        <w:t xml:space="preserve">the </w:t>
      </w:r>
      <w:r w:rsidR="5878FD3B" w:rsidRPr="0F2C9F83">
        <w:rPr>
          <w:rFonts w:ascii="Arial" w:hAnsi="Arial" w:cs="Arial"/>
        </w:rPr>
        <w:t xml:space="preserve">bilateral trade approach. The results of </w:t>
      </w:r>
      <w:r w:rsidR="5878FD3B" w:rsidRPr="0F2C9F83">
        <w:rPr>
          <w:rFonts w:ascii="Arial" w:hAnsi="Arial" w:cs="Arial"/>
          <w:i/>
          <w:iCs/>
        </w:rPr>
        <w:t>F</w:t>
      </w:r>
      <w:r w:rsidR="5878FD3B" w:rsidRPr="0F2C9F83">
        <w:rPr>
          <w:rFonts w:ascii="Arial" w:hAnsi="Arial" w:cs="Arial"/>
        </w:rPr>
        <w:t xml:space="preserve">-statistic (bound test) among the variables for the three CEMAC nations and their joint trade partners </w:t>
      </w:r>
      <w:r w:rsidR="000E48F8">
        <w:rPr>
          <w:rFonts w:ascii="Arial" w:hAnsi="Arial" w:cs="Arial"/>
        </w:rPr>
        <w:t>are</w:t>
      </w:r>
      <w:r w:rsidR="5878FD3B" w:rsidRPr="0F2C9F83">
        <w:rPr>
          <w:rFonts w:ascii="Arial" w:hAnsi="Arial" w:cs="Arial"/>
        </w:rPr>
        <w:t xml:space="preserve"> display</w:t>
      </w:r>
      <w:r w:rsidR="00544C4D">
        <w:rPr>
          <w:rFonts w:ascii="Arial" w:hAnsi="Arial" w:cs="Arial"/>
        </w:rPr>
        <w:t>ed</w:t>
      </w:r>
      <w:r w:rsidR="5878FD3B" w:rsidRPr="0F2C9F83">
        <w:rPr>
          <w:rFonts w:ascii="Arial" w:hAnsi="Arial" w:cs="Arial"/>
        </w:rPr>
        <w:t xml:space="preserve"> </w:t>
      </w:r>
      <w:r w:rsidR="00544C4D">
        <w:rPr>
          <w:rFonts w:ascii="Arial" w:hAnsi="Arial" w:cs="Arial"/>
        </w:rPr>
        <w:t>i</w:t>
      </w:r>
      <w:r w:rsidR="5878FD3B" w:rsidRPr="0F2C9F83">
        <w:rPr>
          <w:rFonts w:ascii="Arial" w:hAnsi="Arial" w:cs="Arial"/>
        </w:rPr>
        <w:t>n the table below.</w:t>
      </w:r>
    </w:p>
    <w:p w14:paraId="1B8B524A" w14:textId="1D30C1BD" w:rsidR="00665436" w:rsidRPr="00300869" w:rsidRDefault="00665436" w:rsidP="0066301C">
      <w:pPr>
        <w:spacing w:after="0"/>
        <w:rPr>
          <w:rFonts w:ascii="Arial" w:hAnsi="Arial" w:cs="Arial"/>
          <w:b/>
          <w:bCs/>
        </w:rPr>
      </w:pPr>
      <w:r w:rsidRPr="00300869">
        <w:rPr>
          <w:rFonts w:ascii="Arial" w:hAnsi="Arial" w:cs="Arial"/>
          <w:b/>
          <w:bCs/>
        </w:rPr>
        <w:t xml:space="preserve">Table </w:t>
      </w:r>
      <w:r w:rsidR="00A35CE4" w:rsidRPr="00300869">
        <w:rPr>
          <w:rFonts w:ascii="Arial" w:hAnsi="Arial" w:cs="Arial"/>
          <w:b/>
          <w:bCs/>
        </w:rPr>
        <w:t>4</w:t>
      </w:r>
      <w:r w:rsidRPr="00300869">
        <w:rPr>
          <w:rFonts w:ascii="Arial" w:hAnsi="Arial" w:cs="Arial"/>
          <w:b/>
          <w:bCs/>
        </w:rPr>
        <w:t>.</w:t>
      </w:r>
      <w:r w:rsidR="00912175" w:rsidRPr="00300869">
        <w:rPr>
          <w:rFonts w:ascii="Arial" w:hAnsi="Arial" w:cs="Arial"/>
          <w:b/>
          <w:bCs/>
        </w:rPr>
        <w:t>9</w:t>
      </w:r>
      <w:r w:rsidRPr="00300869">
        <w:rPr>
          <w:rFonts w:ascii="Arial" w:hAnsi="Arial" w:cs="Arial"/>
          <w:b/>
          <w:bCs/>
        </w:rPr>
        <w:t xml:space="preserve">: The </w:t>
      </w:r>
      <w:r w:rsidR="00A35CE4" w:rsidRPr="00300869">
        <w:rPr>
          <w:rFonts w:ascii="Arial" w:hAnsi="Arial" w:cs="Arial"/>
          <w:b/>
          <w:bCs/>
        </w:rPr>
        <w:t>Bound Test Results</w:t>
      </w:r>
    </w:p>
    <w:tbl>
      <w:tblPr>
        <w:tblStyle w:val="TableGrid"/>
        <w:tblW w:w="7909" w:type="dxa"/>
        <w:tblInd w:w="137" w:type="dxa"/>
        <w:tblLook w:val="04A0" w:firstRow="1" w:lastRow="0" w:firstColumn="1" w:lastColumn="0" w:noHBand="0" w:noVBand="1"/>
      </w:tblPr>
      <w:tblGrid>
        <w:gridCol w:w="1649"/>
        <w:gridCol w:w="1583"/>
        <w:gridCol w:w="1171"/>
        <w:gridCol w:w="1503"/>
        <w:gridCol w:w="2003"/>
      </w:tblGrid>
      <w:tr w:rsidR="002E189E" w:rsidRPr="00300869" w14:paraId="70C12CF2" w14:textId="77777777" w:rsidTr="006460D7">
        <w:tc>
          <w:tcPr>
            <w:tcW w:w="1649" w:type="dxa"/>
            <w:vMerge w:val="restart"/>
          </w:tcPr>
          <w:p w14:paraId="46827BD6" w14:textId="77777777" w:rsidR="002E189E" w:rsidRPr="00300869" w:rsidRDefault="002E189E" w:rsidP="0066301C">
            <w:pPr>
              <w:jc w:val="center"/>
              <w:rPr>
                <w:rFonts w:ascii="Arial" w:hAnsi="Arial" w:cs="Arial"/>
                <w:b/>
                <w:bCs/>
              </w:rPr>
            </w:pPr>
            <w:r w:rsidRPr="00300869">
              <w:rPr>
                <w:rFonts w:ascii="Arial" w:hAnsi="Arial" w:cs="Arial"/>
                <w:b/>
                <w:bCs/>
              </w:rPr>
              <w:t>CEMAC Nations</w:t>
            </w:r>
          </w:p>
        </w:tc>
        <w:tc>
          <w:tcPr>
            <w:tcW w:w="1583" w:type="dxa"/>
            <w:vMerge w:val="restart"/>
          </w:tcPr>
          <w:p w14:paraId="194AE951" w14:textId="77777777" w:rsidR="002E189E" w:rsidRPr="00300869" w:rsidRDefault="002E189E" w:rsidP="0066301C">
            <w:pPr>
              <w:jc w:val="center"/>
              <w:rPr>
                <w:rFonts w:ascii="Arial" w:hAnsi="Arial" w:cs="Arial"/>
                <w:b/>
                <w:bCs/>
              </w:rPr>
            </w:pPr>
            <w:r w:rsidRPr="00300869">
              <w:rPr>
                <w:rFonts w:ascii="Arial" w:hAnsi="Arial" w:cs="Arial"/>
                <w:b/>
                <w:bCs/>
              </w:rPr>
              <w:t>F-statistics</w:t>
            </w:r>
          </w:p>
        </w:tc>
        <w:tc>
          <w:tcPr>
            <w:tcW w:w="2674" w:type="dxa"/>
            <w:gridSpan w:val="2"/>
          </w:tcPr>
          <w:p w14:paraId="69E59992" w14:textId="77777777" w:rsidR="002E189E" w:rsidRPr="00300869" w:rsidRDefault="002E189E" w:rsidP="0066301C">
            <w:pPr>
              <w:jc w:val="center"/>
              <w:rPr>
                <w:rFonts w:ascii="Arial" w:hAnsi="Arial" w:cs="Arial"/>
                <w:b/>
                <w:bCs/>
              </w:rPr>
            </w:pPr>
            <w:r w:rsidRPr="00300869">
              <w:rPr>
                <w:rFonts w:ascii="Arial" w:hAnsi="Arial" w:cs="Arial"/>
                <w:b/>
                <w:bCs/>
              </w:rPr>
              <w:t>95%</w:t>
            </w:r>
          </w:p>
        </w:tc>
        <w:tc>
          <w:tcPr>
            <w:tcW w:w="2003" w:type="dxa"/>
            <w:vMerge w:val="restart"/>
          </w:tcPr>
          <w:p w14:paraId="28416B61" w14:textId="77777777" w:rsidR="002E189E" w:rsidRPr="00300869" w:rsidRDefault="002E189E" w:rsidP="0066301C">
            <w:pPr>
              <w:jc w:val="center"/>
              <w:rPr>
                <w:rFonts w:ascii="Arial" w:hAnsi="Arial" w:cs="Arial"/>
                <w:b/>
                <w:bCs/>
              </w:rPr>
            </w:pPr>
            <w:r w:rsidRPr="00300869">
              <w:rPr>
                <w:rFonts w:ascii="Arial" w:hAnsi="Arial" w:cs="Arial"/>
                <w:b/>
                <w:bCs/>
              </w:rPr>
              <w:t>Outcome</w:t>
            </w:r>
          </w:p>
        </w:tc>
      </w:tr>
      <w:tr w:rsidR="002E189E" w:rsidRPr="00300869" w14:paraId="4BEA48BB" w14:textId="77777777" w:rsidTr="006460D7">
        <w:tc>
          <w:tcPr>
            <w:tcW w:w="1649" w:type="dxa"/>
            <w:vMerge/>
          </w:tcPr>
          <w:p w14:paraId="3DE62F68" w14:textId="77777777" w:rsidR="002E189E" w:rsidRPr="00300869" w:rsidRDefault="002E189E" w:rsidP="0066301C">
            <w:pPr>
              <w:jc w:val="center"/>
              <w:rPr>
                <w:rFonts w:ascii="Arial" w:hAnsi="Arial" w:cs="Arial"/>
                <w:b/>
                <w:bCs/>
              </w:rPr>
            </w:pPr>
          </w:p>
        </w:tc>
        <w:tc>
          <w:tcPr>
            <w:tcW w:w="1583" w:type="dxa"/>
            <w:vMerge/>
          </w:tcPr>
          <w:p w14:paraId="49FECCCF" w14:textId="77777777" w:rsidR="002E189E" w:rsidRPr="00300869" w:rsidRDefault="002E189E" w:rsidP="0066301C">
            <w:pPr>
              <w:jc w:val="center"/>
              <w:rPr>
                <w:rFonts w:ascii="Arial" w:hAnsi="Arial" w:cs="Arial"/>
                <w:b/>
                <w:bCs/>
              </w:rPr>
            </w:pPr>
          </w:p>
        </w:tc>
        <w:tc>
          <w:tcPr>
            <w:tcW w:w="1171" w:type="dxa"/>
          </w:tcPr>
          <w:p w14:paraId="4F040EF8" w14:textId="77777777" w:rsidR="002E189E" w:rsidRPr="00300869" w:rsidRDefault="002E189E" w:rsidP="0066301C">
            <w:pPr>
              <w:jc w:val="center"/>
              <w:rPr>
                <w:rFonts w:ascii="Arial" w:hAnsi="Arial" w:cs="Arial"/>
                <w:b/>
                <w:bCs/>
              </w:rPr>
            </w:pPr>
            <w:r w:rsidRPr="00300869">
              <w:rPr>
                <w:rFonts w:ascii="Arial" w:hAnsi="Arial" w:cs="Arial"/>
                <w:b/>
                <w:bCs/>
              </w:rPr>
              <w:t>I(0)</w:t>
            </w:r>
          </w:p>
        </w:tc>
        <w:tc>
          <w:tcPr>
            <w:tcW w:w="1503" w:type="dxa"/>
          </w:tcPr>
          <w:p w14:paraId="69BF1DE7" w14:textId="77777777" w:rsidR="002E189E" w:rsidRPr="00300869" w:rsidRDefault="002E189E" w:rsidP="0066301C">
            <w:pPr>
              <w:jc w:val="center"/>
              <w:rPr>
                <w:rFonts w:ascii="Arial" w:hAnsi="Arial" w:cs="Arial"/>
                <w:b/>
                <w:bCs/>
              </w:rPr>
            </w:pPr>
            <w:r w:rsidRPr="00300869">
              <w:rPr>
                <w:rFonts w:ascii="Arial" w:hAnsi="Arial" w:cs="Arial"/>
                <w:b/>
                <w:bCs/>
              </w:rPr>
              <w:t>I(1)</w:t>
            </w:r>
          </w:p>
        </w:tc>
        <w:tc>
          <w:tcPr>
            <w:tcW w:w="2003" w:type="dxa"/>
            <w:vMerge/>
          </w:tcPr>
          <w:p w14:paraId="63EB10A4" w14:textId="77777777" w:rsidR="002E189E" w:rsidRPr="00300869" w:rsidRDefault="002E189E" w:rsidP="0066301C">
            <w:pPr>
              <w:rPr>
                <w:rFonts w:ascii="Arial" w:hAnsi="Arial" w:cs="Arial"/>
              </w:rPr>
            </w:pPr>
          </w:p>
        </w:tc>
      </w:tr>
      <w:tr w:rsidR="002E189E" w:rsidRPr="00300869" w14:paraId="7BDA3B92" w14:textId="77777777" w:rsidTr="006460D7">
        <w:tc>
          <w:tcPr>
            <w:tcW w:w="1649" w:type="dxa"/>
          </w:tcPr>
          <w:p w14:paraId="75F51003" w14:textId="77777777" w:rsidR="002E189E" w:rsidRPr="00300869" w:rsidRDefault="002E189E" w:rsidP="0066301C">
            <w:pPr>
              <w:rPr>
                <w:rFonts w:ascii="Arial" w:hAnsi="Arial" w:cs="Arial"/>
              </w:rPr>
            </w:pPr>
            <w:r w:rsidRPr="00300869">
              <w:rPr>
                <w:rFonts w:ascii="Arial" w:hAnsi="Arial" w:cs="Arial"/>
              </w:rPr>
              <w:t>Cameroon</w:t>
            </w:r>
          </w:p>
        </w:tc>
        <w:tc>
          <w:tcPr>
            <w:tcW w:w="1583" w:type="dxa"/>
          </w:tcPr>
          <w:p w14:paraId="66F0554E" w14:textId="77777777" w:rsidR="002E189E" w:rsidRPr="00300869" w:rsidRDefault="002E189E" w:rsidP="0066301C">
            <w:pPr>
              <w:rPr>
                <w:rFonts w:ascii="Arial" w:hAnsi="Arial" w:cs="Arial"/>
              </w:rPr>
            </w:pPr>
            <w:r w:rsidRPr="00300869">
              <w:rPr>
                <w:rFonts w:ascii="Arial" w:hAnsi="Arial" w:cs="Arial"/>
              </w:rPr>
              <w:t>7.893</w:t>
            </w:r>
          </w:p>
        </w:tc>
        <w:tc>
          <w:tcPr>
            <w:tcW w:w="1171" w:type="dxa"/>
          </w:tcPr>
          <w:p w14:paraId="2D0588C6" w14:textId="77777777" w:rsidR="002E189E" w:rsidRPr="00300869" w:rsidRDefault="002E189E" w:rsidP="0066301C">
            <w:pPr>
              <w:rPr>
                <w:rFonts w:ascii="Arial" w:hAnsi="Arial" w:cs="Arial"/>
              </w:rPr>
            </w:pPr>
            <w:r w:rsidRPr="00300869">
              <w:rPr>
                <w:rFonts w:ascii="Arial" w:hAnsi="Arial" w:cs="Arial"/>
              </w:rPr>
              <w:t>3.23</w:t>
            </w:r>
          </w:p>
        </w:tc>
        <w:tc>
          <w:tcPr>
            <w:tcW w:w="1503" w:type="dxa"/>
          </w:tcPr>
          <w:p w14:paraId="485CDBF0" w14:textId="77777777" w:rsidR="002E189E" w:rsidRPr="00300869" w:rsidRDefault="002E189E" w:rsidP="0066301C">
            <w:pPr>
              <w:rPr>
                <w:rFonts w:ascii="Arial" w:hAnsi="Arial" w:cs="Arial"/>
              </w:rPr>
            </w:pPr>
            <w:r w:rsidRPr="00300869">
              <w:rPr>
                <w:rFonts w:ascii="Arial" w:hAnsi="Arial" w:cs="Arial"/>
              </w:rPr>
              <w:t>4.35</w:t>
            </w:r>
          </w:p>
        </w:tc>
        <w:tc>
          <w:tcPr>
            <w:tcW w:w="2003" w:type="dxa"/>
          </w:tcPr>
          <w:p w14:paraId="2D6E4F05" w14:textId="77777777" w:rsidR="002E189E" w:rsidRPr="00300869" w:rsidRDefault="002E189E" w:rsidP="0066301C">
            <w:pPr>
              <w:rPr>
                <w:rFonts w:ascii="Arial" w:hAnsi="Arial" w:cs="Arial"/>
              </w:rPr>
            </w:pPr>
            <w:r w:rsidRPr="00300869">
              <w:rPr>
                <w:rFonts w:ascii="Arial" w:hAnsi="Arial" w:cs="Arial"/>
              </w:rPr>
              <w:t>Cointegration</w:t>
            </w:r>
          </w:p>
        </w:tc>
      </w:tr>
      <w:tr w:rsidR="002E189E" w:rsidRPr="00300869" w14:paraId="30535D11" w14:textId="77777777" w:rsidTr="006460D7">
        <w:tc>
          <w:tcPr>
            <w:tcW w:w="1649" w:type="dxa"/>
          </w:tcPr>
          <w:p w14:paraId="7E2C3830" w14:textId="77777777" w:rsidR="002E189E" w:rsidRPr="00300869" w:rsidRDefault="002E189E" w:rsidP="0066301C">
            <w:pPr>
              <w:rPr>
                <w:rFonts w:ascii="Arial" w:hAnsi="Arial" w:cs="Arial"/>
              </w:rPr>
            </w:pPr>
            <w:r w:rsidRPr="00300869">
              <w:rPr>
                <w:rFonts w:ascii="Arial" w:hAnsi="Arial" w:cs="Arial"/>
              </w:rPr>
              <w:t>CAR</w:t>
            </w:r>
          </w:p>
        </w:tc>
        <w:tc>
          <w:tcPr>
            <w:tcW w:w="1583" w:type="dxa"/>
          </w:tcPr>
          <w:p w14:paraId="6BDA4C77" w14:textId="77777777" w:rsidR="002E189E" w:rsidRPr="00300869" w:rsidRDefault="002E189E" w:rsidP="0066301C">
            <w:pPr>
              <w:rPr>
                <w:rFonts w:ascii="Arial" w:hAnsi="Arial" w:cs="Arial"/>
              </w:rPr>
            </w:pPr>
            <w:r w:rsidRPr="00300869">
              <w:rPr>
                <w:rFonts w:ascii="Arial" w:hAnsi="Arial" w:cs="Arial"/>
              </w:rPr>
              <w:t>8.625</w:t>
            </w:r>
          </w:p>
        </w:tc>
        <w:tc>
          <w:tcPr>
            <w:tcW w:w="1171" w:type="dxa"/>
          </w:tcPr>
          <w:p w14:paraId="30B45F61" w14:textId="77777777" w:rsidR="002E189E" w:rsidRPr="00300869" w:rsidRDefault="002E189E" w:rsidP="0066301C">
            <w:pPr>
              <w:rPr>
                <w:rFonts w:ascii="Arial" w:hAnsi="Arial" w:cs="Arial"/>
              </w:rPr>
            </w:pPr>
            <w:r w:rsidRPr="00300869">
              <w:rPr>
                <w:rFonts w:ascii="Arial" w:hAnsi="Arial" w:cs="Arial"/>
              </w:rPr>
              <w:t>3.23</w:t>
            </w:r>
          </w:p>
        </w:tc>
        <w:tc>
          <w:tcPr>
            <w:tcW w:w="1503" w:type="dxa"/>
          </w:tcPr>
          <w:p w14:paraId="12BBCBB5" w14:textId="77777777" w:rsidR="002E189E" w:rsidRPr="00300869" w:rsidRDefault="002E189E" w:rsidP="0066301C">
            <w:pPr>
              <w:rPr>
                <w:rFonts w:ascii="Arial" w:hAnsi="Arial" w:cs="Arial"/>
              </w:rPr>
            </w:pPr>
            <w:r w:rsidRPr="00300869">
              <w:rPr>
                <w:rFonts w:ascii="Arial" w:hAnsi="Arial" w:cs="Arial"/>
              </w:rPr>
              <w:t>4.35</w:t>
            </w:r>
          </w:p>
        </w:tc>
        <w:tc>
          <w:tcPr>
            <w:tcW w:w="2003" w:type="dxa"/>
          </w:tcPr>
          <w:p w14:paraId="49828C76" w14:textId="77777777" w:rsidR="002E189E" w:rsidRPr="00300869" w:rsidRDefault="002E189E" w:rsidP="0066301C">
            <w:pPr>
              <w:rPr>
                <w:rFonts w:ascii="Arial" w:hAnsi="Arial" w:cs="Arial"/>
              </w:rPr>
            </w:pPr>
            <w:r w:rsidRPr="00300869">
              <w:rPr>
                <w:rFonts w:ascii="Arial" w:hAnsi="Arial" w:cs="Arial"/>
              </w:rPr>
              <w:t>Cointegration</w:t>
            </w:r>
          </w:p>
        </w:tc>
      </w:tr>
      <w:tr w:rsidR="002E189E" w:rsidRPr="00300869" w14:paraId="7C1C6518" w14:textId="77777777" w:rsidTr="006460D7">
        <w:tc>
          <w:tcPr>
            <w:tcW w:w="1649" w:type="dxa"/>
          </w:tcPr>
          <w:p w14:paraId="0926129F" w14:textId="77777777" w:rsidR="002E189E" w:rsidRPr="00300869" w:rsidRDefault="002E189E" w:rsidP="0066301C">
            <w:pPr>
              <w:rPr>
                <w:rFonts w:ascii="Arial" w:hAnsi="Arial" w:cs="Arial"/>
              </w:rPr>
            </w:pPr>
            <w:r w:rsidRPr="00300869">
              <w:rPr>
                <w:rFonts w:ascii="Arial" w:hAnsi="Arial" w:cs="Arial"/>
              </w:rPr>
              <w:t>Gabon</w:t>
            </w:r>
          </w:p>
        </w:tc>
        <w:tc>
          <w:tcPr>
            <w:tcW w:w="1583" w:type="dxa"/>
          </w:tcPr>
          <w:p w14:paraId="1B42A675" w14:textId="77777777" w:rsidR="002E189E" w:rsidRPr="00300869" w:rsidRDefault="002E189E" w:rsidP="0066301C">
            <w:pPr>
              <w:rPr>
                <w:rFonts w:ascii="Arial" w:hAnsi="Arial" w:cs="Arial"/>
              </w:rPr>
            </w:pPr>
            <w:r w:rsidRPr="00300869">
              <w:rPr>
                <w:rFonts w:ascii="Arial" w:hAnsi="Arial" w:cs="Arial"/>
              </w:rPr>
              <w:t>4.618</w:t>
            </w:r>
          </w:p>
        </w:tc>
        <w:tc>
          <w:tcPr>
            <w:tcW w:w="1171" w:type="dxa"/>
          </w:tcPr>
          <w:p w14:paraId="66F889D4" w14:textId="77777777" w:rsidR="002E189E" w:rsidRPr="00300869" w:rsidRDefault="002E189E" w:rsidP="0066301C">
            <w:pPr>
              <w:rPr>
                <w:rFonts w:ascii="Arial" w:hAnsi="Arial" w:cs="Arial"/>
              </w:rPr>
            </w:pPr>
            <w:r w:rsidRPr="00300869">
              <w:rPr>
                <w:rFonts w:ascii="Arial" w:hAnsi="Arial" w:cs="Arial"/>
              </w:rPr>
              <w:t>3.23</w:t>
            </w:r>
          </w:p>
        </w:tc>
        <w:tc>
          <w:tcPr>
            <w:tcW w:w="1503" w:type="dxa"/>
          </w:tcPr>
          <w:p w14:paraId="67CC741D" w14:textId="77777777" w:rsidR="002E189E" w:rsidRPr="00300869" w:rsidRDefault="002E189E" w:rsidP="0066301C">
            <w:pPr>
              <w:rPr>
                <w:rFonts w:ascii="Arial" w:hAnsi="Arial" w:cs="Arial"/>
              </w:rPr>
            </w:pPr>
            <w:r w:rsidRPr="00300869">
              <w:rPr>
                <w:rFonts w:ascii="Arial" w:hAnsi="Arial" w:cs="Arial"/>
              </w:rPr>
              <w:t>4.35</w:t>
            </w:r>
          </w:p>
        </w:tc>
        <w:tc>
          <w:tcPr>
            <w:tcW w:w="2003" w:type="dxa"/>
          </w:tcPr>
          <w:p w14:paraId="298F5E2B" w14:textId="77777777" w:rsidR="002E189E" w:rsidRPr="00300869" w:rsidRDefault="002E189E" w:rsidP="0066301C">
            <w:pPr>
              <w:rPr>
                <w:rFonts w:ascii="Arial" w:hAnsi="Arial" w:cs="Arial"/>
              </w:rPr>
            </w:pPr>
            <w:r w:rsidRPr="00300869">
              <w:rPr>
                <w:rFonts w:ascii="Arial" w:hAnsi="Arial" w:cs="Arial"/>
              </w:rPr>
              <w:t>Cointegration</w:t>
            </w:r>
          </w:p>
        </w:tc>
      </w:tr>
    </w:tbl>
    <w:p w14:paraId="79C600FB" w14:textId="77777777" w:rsidR="002E189E" w:rsidRPr="004F2D76" w:rsidRDefault="002E189E" w:rsidP="0066301C">
      <w:pPr>
        <w:autoSpaceDE w:val="0"/>
        <w:autoSpaceDN w:val="0"/>
        <w:adjustRightInd w:val="0"/>
        <w:spacing w:after="0" w:line="240" w:lineRule="auto"/>
        <w:rPr>
          <w:rFonts w:ascii="Arial" w:hAnsi="Arial" w:cs="Arial"/>
          <w:iCs/>
          <w:sz w:val="20"/>
          <w:szCs w:val="20"/>
        </w:rPr>
      </w:pPr>
      <w:r w:rsidRPr="00EC16EC">
        <w:rPr>
          <w:rFonts w:ascii="Arial" w:hAnsi="Arial" w:cs="Arial"/>
          <w:i/>
          <w:sz w:val="20"/>
          <w:szCs w:val="20"/>
        </w:rPr>
        <w:t xml:space="preserve">Source: </w:t>
      </w:r>
      <w:r w:rsidRPr="004F2D76">
        <w:rPr>
          <w:rFonts w:ascii="Arial" w:hAnsi="Arial" w:cs="Arial"/>
          <w:iCs/>
          <w:sz w:val="20"/>
          <w:szCs w:val="20"/>
        </w:rPr>
        <w:t>Computation from time-series data using EViews 12</w:t>
      </w:r>
    </w:p>
    <w:p w14:paraId="51B3D580" w14:textId="77777777" w:rsidR="002E189E" w:rsidRDefault="002E189E" w:rsidP="0066301C">
      <w:pPr>
        <w:rPr>
          <w:rFonts w:ascii="Arial" w:eastAsia="Times New Roman" w:hAnsi="Arial" w:cs="Arial"/>
          <w:lang w:val="en-US" w:eastAsia="en-GB"/>
        </w:rPr>
      </w:pPr>
      <w:r w:rsidRPr="004F2D76">
        <w:rPr>
          <w:rFonts w:ascii="Arial" w:hAnsi="Arial" w:cs="Arial"/>
          <w:i/>
          <w:iCs/>
          <w:sz w:val="20"/>
          <w:szCs w:val="20"/>
        </w:rPr>
        <w:lastRenderedPageBreak/>
        <w:t>Note</w:t>
      </w:r>
      <w:r w:rsidRPr="00FD4898">
        <w:rPr>
          <w:rFonts w:ascii="Arial" w:hAnsi="Arial" w:cs="Arial"/>
          <w:sz w:val="20"/>
          <w:szCs w:val="20"/>
        </w:rPr>
        <w:t xml:space="preserve">: </w:t>
      </w:r>
      <w:r>
        <w:rPr>
          <w:rFonts w:ascii="Arial" w:hAnsi="Arial" w:cs="Arial"/>
          <w:sz w:val="20"/>
          <w:szCs w:val="20"/>
        </w:rPr>
        <w:t>with LNTB being the dependent variable, a</w:t>
      </w:r>
      <w:r w:rsidRPr="00FD4898">
        <w:rPr>
          <w:rFonts w:ascii="Arial" w:hAnsi="Arial" w:cs="Arial"/>
          <w:sz w:val="20"/>
          <w:szCs w:val="20"/>
        </w:rPr>
        <w:t xml:space="preserve"> model is cointegrated once the computed </w:t>
      </w:r>
      <w:r w:rsidRPr="00FD4898">
        <w:rPr>
          <w:rFonts w:ascii="Arial" w:hAnsi="Arial" w:cs="Arial"/>
          <w:i/>
          <w:iCs/>
          <w:sz w:val="20"/>
          <w:szCs w:val="20"/>
        </w:rPr>
        <w:t>F-</w:t>
      </w:r>
      <w:r w:rsidRPr="00FD4898">
        <w:rPr>
          <w:rFonts w:ascii="Arial" w:hAnsi="Arial" w:cs="Arial"/>
          <w:sz w:val="20"/>
          <w:szCs w:val="20"/>
        </w:rPr>
        <w:t xml:space="preserve">statistic </w:t>
      </w:r>
      <w:r w:rsidRPr="004F2D76">
        <w:rPr>
          <w:rFonts w:ascii="Arial" w:hAnsi="Arial" w:cs="Arial"/>
          <w:sz w:val="20"/>
          <w:szCs w:val="20"/>
        </w:rPr>
        <w:t>exceeds the upper critical bounds value</w:t>
      </w:r>
      <w:r>
        <w:rPr>
          <w:rFonts w:ascii="Arial" w:eastAsia="Times New Roman" w:hAnsi="Arial" w:cs="Arial"/>
          <w:lang w:val="en-US" w:eastAsia="en-GB"/>
        </w:rPr>
        <w:t xml:space="preserve"> </w:t>
      </w:r>
    </w:p>
    <w:bookmarkEnd w:id="478"/>
    <w:p w14:paraId="7B126584" w14:textId="3F1931A0" w:rsidR="002E189E" w:rsidRDefault="002E189E" w:rsidP="0066301C">
      <w:pPr>
        <w:autoSpaceDE w:val="0"/>
        <w:autoSpaceDN w:val="0"/>
        <w:adjustRightInd w:val="0"/>
        <w:spacing w:line="360" w:lineRule="auto"/>
        <w:jc w:val="both"/>
        <w:rPr>
          <w:rFonts w:ascii="Arial" w:hAnsi="Arial" w:cs="Arial"/>
          <w:color w:val="000000"/>
        </w:rPr>
      </w:pPr>
      <w:r>
        <w:rPr>
          <w:rFonts w:ascii="Arial" w:hAnsi="Arial" w:cs="Arial"/>
          <w:color w:val="000000"/>
        </w:rPr>
        <w:t>The cointegration test results show that there exist</w:t>
      </w:r>
      <w:r w:rsidR="00A95631">
        <w:rPr>
          <w:rFonts w:ascii="Arial" w:hAnsi="Arial" w:cs="Arial"/>
          <w:color w:val="000000"/>
        </w:rPr>
        <w:t>s</w:t>
      </w:r>
      <w:r>
        <w:rPr>
          <w:rFonts w:ascii="Arial" w:hAnsi="Arial" w:cs="Arial"/>
          <w:color w:val="000000"/>
        </w:rPr>
        <w:t xml:space="preserve"> cointegration among the variables in all th</w:t>
      </w:r>
      <w:r w:rsidR="00AC6286">
        <w:rPr>
          <w:rFonts w:ascii="Arial" w:hAnsi="Arial" w:cs="Arial"/>
          <w:color w:val="000000"/>
        </w:rPr>
        <w:t>re</w:t>
      </w:r>
      <w:r>
        <w:rPr>
          <w:rFonts w:ascii="Arial" w:hAnsi="Arial" w:cs="Arial"/>
          <w:color w:val="000000"/>
        </w:rPr>
        <w:t xml:space="preserve">e models. However, this does not imply that the cointegration is between LNTB and LNREER. (i.e., the cointegration could be among the other variables used in the model). However, our focus in this </w:t>
      </w:r>
      <w:r w:rsidR="00912175">
        <w:rPr>
          <w:rFonts w:ascii="Arial" w:hAnsi="Arial" w:cs="Arial"/>
          <w:color w:val="000000"/>
        </w:rPr>
        <w:t>section</w:t>
      </w:r>
      <w:r>
        <w:rPr>
          <w:rFonts w:ascii="Arial" w:hAnsi="Arial" w:cs="Arial"/>
          <w:color w:val="000000"/>
        </w:rPr>
        <w:t xml:space="preserve"> is to look for the presence of the </w:t>
      </w:r>
      <w:r>
        <w:rPr>
          <w:rFonts w:ascii="Arial" w:hAnsi="Arial" w:cs="Arial"/>
          <w:i/>
          <w:iCs/>
          <w:color w:val="000000"/>
        </w:rPr>
        <w:t>J-</w:t>
      </w:r>
      <w:r>
        <w:rPr>
          <w:rFonts w:ascii="Arial" w:hAnsi="Arial" w:cs="Arial"/>
          <w:color w:val="000000"/>
        </w:rPr>
        <w:t>curve</w:t>
      </w:r>
      <w:r w:rsidR="001075A7">
        <w:rPr>
          <w:rFonts w:ascii="Arial" w:hAnsi="Arial" w:cs="Arial"/>
          <w:color w:val="000000"/>
        </w:rPr>
        <w:t>,</w:t>
      </w:r>
      <w:r>
        <w:rPr>
          <w:rFonts w:ascii="Arial" w:hAnsi="Arial" w:cs="Arial"/>
          <w:color w:val="000000"/>
        </w:rPr>
        <w:t xml:space="preserve"> which is a function of the relationship between LNTB and LNREER</w:t>
      </w:r>
      <w:r w:rsidR="001075A7">
        <w:rPr>
          <w:rFonts w:ascii="Arial" w:hAnsi="Arial" w:cs="Arial"/>
          <w:color w:val="000000"/>
        </w:rPr>
        <w:t>.</w:t>
      </w:r>
    </w:p>
    <w:p w14:paraId="0BCD66E0" w14:textId="34BFCEC6" w:rsidR="002E189E" w:rsidRDefault="002E189E" w:rsidP="0066301C">
      <w:pPr>
        <w:autoSpaceDE w:val="0"/>
        <w:autoSpaceDN w:val="0"/>
        <w:adjustRightInd w:val="0"/>
        <w:spacing w:line="360" w:lineRule="auto"/>
        <w:jc w:val="both"/>
        <w:rPr>
          <w:rFonts w:ascii="Arial" w:hAnsi="Arial" w:cs="Arial"/>
          <w:lang w:val="en-US"/>
        </w:rPr>
      </w:pPr>
      <w:r>
        <w:rPr>
          <w:rFonts w:ascii="Arial" w:hAnsi="Arial" w:cs="Arial"/>
          <w:color w:val="000000"/>
        </w:rPr>
        <w:t xml:space="preserve">The presence of the </w:t>
      </w:r>
      <w:r w:rsidRPr="57585719">
        <w:rPr>
          <w:rFonts w:ascii="Arial" w:hAnsi="Arial" w:cs="Arial"/>
          <w:i/>
          <w:iCs/>
          <w:color w:val="000000"/>
        </w:rPr>
        <w:t>J-</w:t>
      </w:r>
      <w:r>
        <w:rPr>
          <w:rFonts w:ascii="Arial" w:hAnsi="Arial" w:cs="Arial"/>
          <w:color w:val="000000"/>
        </w:rPr>
        <w:t>curve is justified when the coefficient of LNREER is positive and statistically significant in the long</w:t>
      </w:r>
      <w:r w:rsidR="3C50D760">
        <w:rPr>
          <w:rFonts w:ascii="Arial" w:hAnsi="Arial" w:cs="Arial"/>
          <w:color w:val="000000"/>
        </w:rPr>
        <w:t>-</w:t>
      </w:r>
      <w:r>
        <w:rPr>
          <w:rFonts w:ascii="Arial" w:hAnsi="Arial" w:cs="Arial"/>
          <w:color w:val="000000"/>
        </w:rPr>
        <w:t xml:space="preserve">run, while the short run coefficient of LNREER is negative and statistically significant (i.e., the </w:t>
      </w:r>
      <w:r w:rsidRPr="57585719">
        <w:rPr>
          <w:rFonts w:ascii="Arial" w:hAnsi="Arial" w:cs="Arial"/>
          <w:i/>
          <w:iCs/>
          <w:color w:val="000000"/>
        </w:rPr>
        <w:t>t-</w:t>
      </w:r>
      <w:r>
        <w:rPr>
          <w:rFonts w:ascii="Arial" w:hAnsi="Arial" w:cs="Arial"/>
          <w:color w:val="000000"/>
        </w:rPr>
        <w:t xml:space="preserve">statistics </w:t>
      </w:r>
      <w:r w:rsidRPr="00F679C0">
        <w:rPr>
          <w:rFonts w:ascii="Arial" w:hAnsi="Arial" w:cs="Arial"/>
          <w:lang w:val="en-US"/>
        </w:rPr>
        <w:t>≥ 2</w:t>
      </w:r>
      <w:r>
        <w:rPr>
          <w:rFonts w:ascii="Arial" w:hAnsi="Arial" w:cs="Arial"/>
          <w:color w:val="000000"/>
        </w:rPr>
        <w:t xml:space="preserve">). </w:t>
      </w:r>
      <w:r w:rsidRPr="00F679C0">
        <w:rPr>
          <w:rFonts w:ascii="Arial" w:hAnsi="Arial" w:cs="Arial"/>
          <w:lang w:val="en-US"/>
        </w:rPr>
        <w:t xml:space="preserve">This is achieved when the </w:t>
      </w:r>
      <w:r>
        <w:rPr>
          <w:rFonts w:ascii="Arial" w:hAnsi="Arial" w:cs="Arial"/>
          <w:lang w:val="en-US"/>
        </w:rPr>
        <w:t xml:space="preserve">coefficient of the </w:t>
      </w:r>
      <w:r w:rsidRPr="00F679C0">
        <w:rPr>
          <w:rFonts w:ascii="Arial" w:hAnsi="Arial" w:cs="Arial"/>
          <w:lang w:val="en-US"/>
        </w:rPr>
        <w:t xml:space="preserve">error correction term (ECT) of the model is negative (with LNTB being the target variable) and statistically significant (with the </w:t>
      </w:r>
      <w:r w:rsidRPr="57585719">
        <w:rPr>
          <w:rFonts w:ascii="Arial" w:hAnsi="Arial" w:cs="Arial"/>
          <w:i/>
          <w:iCs/>
          <w:lang w:val="en-US"/>
        </w:rPr>
        <w:t>t-</w:t>
      </w:r>
      <w:r w:rsidRPr="00F679C0">
        <w:rPr>
          <w:rFonts w:ascii="Arial" w:hAnsi="Arial" w:cs="Arial"/>
          <w:lang w:val="en-US"/>
        </w:rPr>
        <w:t xml:space="preserve">stat ≥ 2, and the </w:t>
      </w:r>
      <w:r w:rsidRPr="57585719">
        <w:rPr>
          <w:rFonts w:ascii="Arial" w:hAnsi="Arial" w:cs="Arial"/>
          <w:i/>
          <w:iCs/>
          <w:lang w:val="en-US"/>
        </w:rPr>
        <w:t>p-</w:t>
      </w:r>
      <w:r>
        <w:rPr>
          <w:rFonts w:ascii="Arial" w:hAnsi="Arial" w:cs="Arial"/>
          <w:lang w:val="en-US"/>
        </w:rPr>
        <w:t>value</w:t>
      </w:r>
      <w:r w:rsidRPr="00F679C0">
        <w:rPr>
          <w:rFonts w:ascii="Arial" w:hAnsi="Arial" w:cs="Arial"/>
          <w:lang w:val="en-US"/>
        </w:rPr>
        <w:t xml:space="preserve"> &lt; 0.05).</w:t>
      </w:r>
      <w:r w:rsidRPr="00F679C0">
        <w:rPr>
          <w:rStyle w:val="FootnoteReference"/>
          <w:rFonts w:ascii="Arial" w:hAnsi="Arial" w:cs="Arial"/>
          <w:lang w:val="en-US"/>
        </w:rPr>
        <w:footnoteReference w:id="126"/>
      </w:r>
      <w:r w:rsidRPr="00F679C0">
        <w:rPr>
          <w:rFonts w:ascii="Arial" w:hAnsi="Arial" w:cs="Arial"/>
          <w:lang w:val="en-US"/>
        </w:rPr>
        <w:t xml:space="preserve"> This will mean that a shock in the LNREER will cause LNTB to deviate in the short-term before recovering and/or moving to the opposite direction in the long-term.</w:t>
      </w:r>
      <w:r>
        <w:rPr>
          <w:rFonts w:ascii="Arial" w:hAnsi="Arial" w:cs="Arial"/>
          <w:lang w:val="en-US"/>
        </w:rPr>
        <w:t xml:space="preserve"> Thus, necessitating a check of both the long</w:t>
      </w:r>
      <w:r w:rsidR="00882110">
        <w:rPr>
          <w:rFonts w:ascii="Arial" w:hAnsi="Arial" w:cs="Arial"/>
          <w:lang w:val="en-US"/>
        </w:rPr>
        <w:t>-</w:t>
      </w:r>
      <w:r>
        <w:rPr>
          <w:rFonts w:ascii="Arial" w:hAnsi="Arial" w:cs="Arial"/>
          <w:lang w:val="en-US"/>
        </w:rPr>
        <w:t>run and short</w:t>
      </w:r>
      <w:r w:rsidR="00882110">
        <w:rPr>
          <w:rFonts w:ascii="Arial" w:hAnsi="Arial" w:cs="Arial"/>
          <w:lang w:val="en-US"/>
        </w:rPr>
        <w:t>-</w:t>
      </w:r>
      <w:r>
        <w:rPr>
          <w:rFonts w:ascii="Arial" w:hAnsi="Arial" w:cs="Arial"/>
          <w:lang w:val="en-US"/>
        </w:rPr>
        <w:t>run relationship.</w:t>
      </w:r>
    </w:p>
    <w:p w14:paraId="70C09E72" w14:textId="5A5787FE" w:rsidR="00AC6286" w:rsidRPr="00145513" w:rsidRDefault="007A3F7C" w:rsidP="0066301C">
      <w:pPr>
        <w:pStyle w:val="Heading3"/>
        <w:numPr>
          <w:ilvl w:val="0"/>
          <w:numId w:val="0"/>
        </w:numPr>
        <w:spacing w:before="0" w:beforeAutospacing="0"/>
        <w:rPr>
          <w:lang w:val="en-US"/>
        </w:rPr>
      </w:pPr>
      <w:bookmarkStart w:id="479" w:name="_Toc171075423"/>
      <w:bookmarkStart w:id="480" w:name="_Hlk170905760"/>
      <w:r>
        <w:rPr>
          <w:lang w:val="en-US" w:eastAsia="en-GB"/>
        </w:rPr>
        <w:t>4.</w:t>
      </w:r>
      <w:r w:rsidR="00AC6286" w:rsidRPr="00A817E8">
        <w:rPr>
          <w:lang w:val="en-US" w:eastAsia="en-GB"/>
        </w:rPr>
        <w:t>7.</w:t>
      </w:r>
      <w:r w:rsidR="00D20FB4">
        <w:rPr>
          <w:lang w:val="en-US" w:eastAsia="en-GB"/>
        </w:rPr>
        <w:t>5</w:t>
      </w:r>
      <w:r w:rsidR="00E60BBC">
        <w:rPr>
          <w:lang w:val="en-US" w:eastAsia="en-GB"/>
        </w:rPr>
        <w:tab/>
      </w:r>
      <w:r w:rsidR="00AC6286">
        <w:rPr>
          <w:lang w:val="en-US" w:eastAsia="en-GB"/>
        </w:rPr>
        <w:t>LONG-RUN AND SHORT-RUN RELATIONSHIP BETWEEN LNTB AND LNREER</w:t>
      </w:r>
      <w:bookmarkEnd w:id="479"/>
    </w:p>
    <w:p w14:paraId="0FB132C3" w14:textId="293EE10D" w:rsidR="006E25BE" w:rsidRDefault="29FA74C2" w:rsidP="0066301C">
      <w:pPr>
        <w:autoSpaceDE w:val="0"/>
        <w:autoSpaceDN w:val="0"/>
        <w:adjustRightInd w:val="0"/>
        <w:spacing w:line="360" w:lineRule="auto"/>
        <w:jc w:val="both"/>
        <w:rPr>
          <w:rFonts w:ascii="Arial" w:hAnsi="Arial" w:cs="Arial"/>
        </w:rPr>
      </w:pPr>
      <w:r>
        <w:rPr>
          <w:rFonts w:ascii="Arial" w:hAnsi="Arial" w:cs="Arial"/>
        </w:rPr>
        <w:t>We use</w:t>
      </w:r>
      <w:r w:rsidR="005759F8">
        <w:rPr>
          <w:rFonts w:ascii="Arial" w:hAnsi="Arial" w:cs="Arial"/>
        </w:rPr>
        <w:t>d</w:t>
      </w:r>
      <w:r>
        <w:rPr>
          <w:rFonts w:ascii="Arial" w:hAnsi="Arial" w:cs="Arial"/>
        </w:rPr>
        <w:t xml:space="preserve"> t</w:t>
      </w:r>
      <w:r w:rsidRPr="00515944">
        <w:rPr>
          <w:rFonts w:ascii="Arial" w:hAnsi="Arial" w:cs="Arial"/>
        </w:rPr>
        <w:t xml:space="preserve">he </w:t>
      </w:r>
      <w:r>
        <w:rPr>
          <w:rFonts w:ascii="Arial" w:hAnsi="Arial" w:cs="Arial"/>
        </w:rPr>
        <w:t>ARDL model</w:t>
      </w:r>
      <w:r w:rsidRPr="00515944">
        <w:rPr>
          <w:rFonts w:ascii="Arial" w:hAnsi="Arial" w:cs="Arial"/>
        </w:rPr>
        <w:t xml:space="preserve"> results on the relationship between </w:t>
      </w:r>
      <w:r>
        <w:rPr>
          <w:rFonts w:ascii="Arial" w:hAnsi="Arial" w:cs="Arial"/>
        </w:rPr>
        <w:t>CEMAC nations</w:t>
      </w:r>
      <w:r w:rsidRPr="00515944">
        <w:rPr>
          <w:rFonts w:ascii="Arial" w:hAnsi="Arial" w:cs="Arial"/>
        </w:rPr>
        <w:t xml:space="preserve"> with </w:t>
      </w:r>
      <w:r>
        <w:rPr>
          <w:rFonts w:ascii="Arial" w:hAnsi="Arial" w:cs="Arial"/>
        </w:rPr>
        <w:t>their</w:t>
      </w:r>
      <w:r w:rsidR="005759F8">
        <w:rPr>
          <w:rFonts w:ascii="Arial" w:hAnsi="Arial" w:cs="Arial"/>
        </w:rPr>
        <w:t xml:space="preserve"> main</w:t>
      </w:r>
      <w:r w:rsidRPr="00515944">
        <w:rPr>
          <w:rFonts w:ascii="Arial" w:hAnsi="Arial" w:cs="Arial"/>
        </w:rPr>
        <w:t xml:space="preserve"> trade partners</w:t>
      </w:r>
      <w:r>
        <w:rPr>
          <w:rFonts w:ascii="Arial" w:hAnsi="Arial" w:cs="Arial"/>
        </w:rPr>
        <w:t xml:space="preserve"> </w:t>
      </w:r>
      <w:r w:rsidR="005759F8">
        <w:rPr>
          <w:rFonts w:ascii="Arial" w:hAnsi="Arial" w:cs="Arial"/>
        </w:rPr>
        <w:t xml:space="preserve">joint together </w:t>
      </w:r>
      <w:r>
        <w:rPr>
          <w:rFonts w:ascii="Arial" w:hAnsi="Arial" w:cs="Arial"/>
        </w:rPr>
        <w:t xml:space="preserve">to investigate the presence of the </w:t>
      </w:r>
      <w:r w:rsidRPr="57585719">
        <w:rPr>
          <w:rFonts w:ascii="Arial" w:hAnsi="Arial" w:cs="Arial"/>
          <w:i/>
          <w:iCs/>
        </w:rPr>
        <w:t>J-</w:t>
      </w:r>
      <w:r>
        <w:rPr>
          <w:rFonts w:ascii="Arial" w:hAnsi="Arial" w:cs="Arial"/>
        </w:rPr>
        <w:t xml:space="preserve">curve as </w:t>
      </w:r>
      <w:r w:rsidRPr="006E25BE">
        <w:rPr>
          <w:rFonts w:ascii="Arial" w:hAnsi="Arial" w:cs="Arial"/>
        </w:rPr>
        <w:t xml:space="preserve">presented </w:t>
      </w:r>
      <w:r w:rsidR="004D261A" w:rsidRPr="006E25BE">
        <w:rPr>
          <w:rFonts w:ascii="Arial" w:hAnsi="Arial" w:cs="Arial"/>
        </w:rPr>
        <w:t>i</w:t>
      </w:r>
      <w:r w:rsidRPr="006E25BE">
        <w:rPr>
          <w:rFonts w:ascii="Arial" w:hAnsi="Arial" w:cs="Arial"/>
        </w:rPr>
        <w:t xml:space="preserve">n table </w:t>
      </w:r>
      <w:r w:rsidR="00E66202" w:rsidRPr="006E25BE">
        <w:rPr>
          <w:rFonts w:ascii="Arial" w:hAnsi="Arial" w:cs="Arial"/>
        </w:rPr>
        <w:t>4</w:t>
      </w:r>
      <w:r w:rsidRPr="006E25BE">
        <w:rPr>
          <w:rFonts w:ascii="Arial" w:hAnsi="Arial" w:cs="Arial"/>
        </w:rPr>
        <w:t>.1</w:t>
      </w:r>
      <w:r w:rsidR="75B11BE6" w:rsidRPr="006E25BE">
        <w:rPr>
          <w:rFonts w:ascii="Arial" w:hAnsi="Arial" w:cs="Arial"/>
        </w:rPr>
        <w:t>0</w:t>
      </w:r>
      <w:r w:rsidRPr="006E25BE">
        <w:rPr>
          <w:rFonts w:ascii="Arial" w:hAnsi="Arial" w:cs="Arial"/>
        </w:rPr>
        <w:t xml:space="preserve"> </w:t>
      </w:r>
      <w:r w:rsidR="006E25BE" w:rsidRPr="006E25BE">
        <w:rPr>
          <w:rFonts w:ascii="Arial" w:hAnsi="Arial" w:cs="Arial"/>
        </w:rPr>
        <w:t>below</w:t>
      </w:r>
      <w:r w:rsidRPr="006E25BE">
        <w:rPr>
          <w:rFonts w:ascii="Arial" w:hAnsi="Arial" w:cs="Arial"/>
        </w:rPr>
        <w:t>.</w:t>
      </w:r>
      <w:r>
        <w:rPr>
          <w:rFonts w:ascii="Arial" w:hAnsi="Arial" w:cs="Arial"/>
        </w:rPr>
        <w:t xml:space="preserve"> </w:t>
      </w:r>
    </w:p>
    <w:p w14:paraId="6C4C77E0" w14:textId="77777777" w:rsidR="006E25BE" w:rsidRPr="00300869" w:rsidRDefault="006E25BE" w:rsidP="0066301C">
      <w:pPr>
        <w:spacing w:after="0"/>
        <w:rPr>
          <w:rFonts w:ascii="Arial" w:hAnsi="Arial" w:cs="Arial"/>
          <w:b/>
          <w:bCs/>
        </w:rPr>
      </w:pPr>
      <w:r w:rsidRPr="00300869">
        <w:rPr>
          <w:rFonts w:ascii="Arial" w:hAnsi="Arial" w:cs="Arial"/>
          <w:b/>
          <w:bCs/>
        </w:rPr>
        <w:t>Table 4.10: Long-Run and Short-Run Relationship</w:t>
      </w:r>
    </w:p>
    <w:tbl>
      <w:tblPr>
        <w:tblStyle w:val="TableGrid"/>
        <w:tblW w:w="9493" w:type="dxa"/>
        <w:tblLayout w:type="fixed"/>
        <w:tblLook w:val="04A0" w:firstRow="1" w:lastRow="0" w:firstColumn="1" w:lastColumn="0" w:noHBand="0" w:noVBand="1"/>
      </w:tblPr>
      <w:tblGrid>
        <w:gridCol w:w="2969"/>
        <w:gridCol w:w="1420"/>
        <w:gridCol w:w="1629"/>
        <w:gridCol w:w="73"/>
        <w:gridCol w:w="1701"/>
        <w:gridCol w:w="41"/>
        <w:gridCol w:w="1660"/>
      </w:tblGrid>
      <w:tr w:rsidR="006E25BE" w:rsidRPr="00A67D5C" w14:paraId="290240E4" w14:textId="77777777" w:rsidTr="004D74AB">
        <w:trPr>
          <w:trHeight w:val="288"/>
        </w:trPr>
        <w:tc>
          <w:tcPr>
            <w:tcW w:w="9493" w:type="dxa"/>
            <w:gridSpan w:val="7"/>
          </w:tcPr>
          <w:p w14:paraId="4C9FC981" w14:textId="77777777" w:rsidR="006E25BE" w:rsidRPr="008E5C32" w:rsidRDefault="006E25BE" w:rsidP="0066301C">
            <w:pPr>
              <w:jc w:val="center"/>
              <w:rPr>
                <w:rFonts w:ascii="Arial" w:hAnsi="Arial" w:cs="Arial"/>
                <w:b/>
                <w:bCs/>
                <w:sz w:val="24"/>
                <w:szCs w:val="24"/>
              </w:rPr>
            </w:pPr>
            <w:r w:rsidRPr="008E5C32">
              <w:rPr>
                <w:rFonts w:ascii="Arial" w:hAnsi="Arial" w:cs="Arial"/>
                <w:b/>
                <w:bCs/>
                <w:sz w:val="24"/>
                <w:szCs w:val="24"/>
              </w:rPr>
              <w:t xml:space="preserve">Joint Partner </w:t>
            </w:r>
          </w:p>
        </w:tc>
      </w:tr>
      <w:tr w:rsidR="006E25BE" w:rsidRPr="00A67D5C" w14:paraId="106FD5F6" w14:textId="77777777" w:rsidTr="004D74AB">
        <w:trPr>
          <w:trHeight w:val="288"/>
        </w:trPr>
        <w:tc>
          <w:tcPr>
            <w:tcW w:w="9493" w:type="dxa"/>
            <w:gridSpan w:val="7"/>
          </w:tcPr>
          <w:p w14:paraId="56803B4D" w14:textId="77777777" w:rsidR="006E25BE" w:rsidRPr="008E5C32" w:rsidRDefault="006E25BE" w:rsidP="0066301C">
            <w:pPr>
              <w:jc w:val="center"/>
              <w:rPr>
                <w:rFonts w:ascii="Arial" w:hAnsi="Arial" w:cs="Arial"/>
                <w:b/>
                <w:bCs/>
              </w:rPr>
            </w:pPr>
            <w:r w:rsidRPr="008E5C32">
              <w:rPr>
                <w:rFonts w:ascii="Arial" w:hAnsi="Arial" w:cs="Arial"/>
                <w:b/>
                <w:bCs/>
              </w:rPr>
              <w:t>Cameroon</w:t>
            </w:r>
          </w:p>
        </w:tc>
      </w:tr>
      <w:tr w:rsidR="006E25BE" w:rsidRPr="00A67D5C" w14:paraId="197F250C" w14:textId="77777777" w:rsidTr="004D74AB">
        <w:trPr>
          <w:trHeight w:val="288"/>
        </w:trPr>
        <w:tc>
          <w:tcPr>
            <w:tcW w:w="2969" w:type="dxa"/>
          </w:tcPr>
          <w:p w14:paraId="2D7001CE" w14:textId="77777777" w:rsidR="006E25BE" w:rsidRPr="00A67D5C" w:rsidRDefault="006E25BE" w:rsidP="0066301C">
            <w:pPr>
              <w:jc w:val="center"/>
              <w:rPr>
                <w:rFonts w:ascii="Arial" w:hAnsi="Arial" w:cs="Arial"/>
                <w:b/>
                <w:bCs/>
              </w:rPr>
            </w:pPr>
            <w:r w:rsidRPr="00A67D5C">
              <w:rPr>
                <w:rFonts w:ascii="Arial" w:hAnsi="Arial" w:cs="Arial"/>
                <w:b/>
                <w:bCs/>
              </w:rPr>
              <w:t>Variable</w:t>
            </w:r>
          </w:p>
        </w:tc>
        <w:tc>
          <w:tcPr>
            <w:tcW w:w="1420" w:type="dxa"/>
          </w:tcPr>
          <w:p w14:paraId="3D020198" w14:textId="77777777" w:rsidR="006E25BE" w:rsidRPr="00A67D5C" w:rsidRDefault="006E25BE" w:rsidP="0066301C">
            <w:pPr>
              <w:jc w:val="center"/>
              <w:rPr>
                <w:rFonts w:ascii="Arial" w:hAnsi="Arial" w:cs="Arial"/>
                <w:b/>
                <w:bCs/>
              </w:rPr>
            </w:pPr>
            <w:r w:rsidRPr="00A67D5C">
              <w:rPr>
                <w:rFonts w:ascii="Arial" w:hAnsi="Arial" w:cs="Arial"/>
                <w:b/>
                <w:bCs/>
              </w:rPr>
              <w:t>Coefficient</w:t>
            </w:r>
          </w:p>
        </w:tc>
        <w:tc>
          <w:tcPr>
            <w:tcW w:w="1629" w:type="dxa"/>
          </w:tcPr>
          <w:p w14:paraId="1104022F" w14:textId="77777777" w:rsidR="006E25BE" w:rsidRPr="00A67D5C" w:rsidRDefault="006E25BE" w:rsidP="0066301C">
            <w:pPr>
              <w:jc w:val="center"/>
              <w:rPr>
                <w:rFonts w:ascii="Arial" w:hAnsi="Arial" w:cs="Arial"/>
                <w:b/>
                <w:bCs/>
              </w:rPr>
            </w:pPr>
            <w:r w:rsidRPr="00A67D5C">
              <w:rPr>
                <w:rFonts w:ascii="Arial" w:hAnsi="Arial" w:cs="Arial"/>
                <w:b/>
                <w:bCs/>
              </w:rPr>
              <w:t>Std. Error</w:t>
            </w:r>
          </w:p>
        </w:tc>
        <w:tc>
          <w:tcPr>
            <w:tcW w:w="1815" w:type="dxa"/>
            <w:gridSpan w:val="3"/>
          </w:tcPr>
          <w:p w14:paraId="61D47002" w14:textId="77777777" w:rsidR="006E25BE" w:rsidRPr="00A67D5C" w:rsidRDefault="006E25BE" w:rsidP="0066301C">
            <w:pPr>
              <w:jc w:val="center"/>
              <w:rPr>
                <w:rFonts w:ascii="Arial" w:hAnsi="Arial" w:cs="Arial"/>
                <w:b/>
                <w:bCs/>
              </w:rPr>
            </w:pPr>
            <w:r w:rsidRPr="00A67D5C">
              <w:rPr>
                <w:rFonts w:ascii="Arial" w:hAnsi="Arial" w:cs="Arial"/>
                <w:b/>
                <w:bCs/>
              </w:rPr>
              <w:t>t-statistic</w:t>
            </w:r>
          </w:p>
        </w:tc>
        <w:tc>
          <w:tcPr>
            <w:tcW w:w="1660" w:type="dxa"/>
          </w:tcPr>
          <w:p w14:paraId="2DD9D9A4" w14:textId="77777777" w:rsidR="006E25BE" w:rsidRPr="00A67D5C" w:rsidRDefault="006E25BE" w:rsidP="0066301C">
            <w:pPr>
              <w:jc w:val="center"/>
              <w:rPr>
                <w:rFonts w:ascii="Arial" w:hAnsi="Arial" w:cs="Arial"/>
                <w:b/>
                <w:bCs/>
              </w:rPr>
            </w:pPr>
            <w:r w:rsidRPr="00A67D5C">
              <w:rPr>
                <w:rFonts w:ascii="Arial" w:hAnsi="Arial" w:cs="Arial"/>
                <w:b/>
                <w:bCs/>
              </w:rPr>
              <w:t>Prob.</w:t>
            </w:r>
          </w:p>
        </w:tc>
      </w:tr>
      <w:tr w:rsidR="006E25BE" w:rsidRPr="00A67D5C" w14:paraId="5D0B1804" w14:textId="77777777" w:rsidTr="004D74AB">
        <w:trPr>
          <w:trHeight w:val="288"/>
        </w:trPr>
        <w:tc>
          <w:tcPr>
            <w:tcW w:w="2969" w:type="dxa"/>
          </w:tcPr>
          <w:p w14:paraId="3DBD073D" w14:textId="77777777" w:rsidR="006E25BE" w:rsidRPr="00A67D5C" w:rsidRDefault="006E25BE" w:rsidP="0066301C">
            <w:pPr>
              <w:rPr>
                <w:rFonts w:ascii="Arial" w:hAnsi="Arial" w:cs="Arial"/>
                <w:vertAlign w:val="subscript"/>
              </w:rPr>
            </w:pPr>
            <w:r w:rsidRPr="00A67D5C">
              <w:rPr>
                <w:rFonts w:ascii="Arial" w:hAnsi="Arial" w:cs="Arial"/>
              </w:rPr>
              <w:t>Dependent variable ∆LNTB</w:t>
            </w:r>
            <w:r w:rsidRPr="00A67D5C">
              <w:rPr>
                <w:rFonts w:ascii="Arial" w:hAnsi="Arial" w:cs="Arial"/>
                <w:vertAlign w:val="subscript"/>
              </w:rPr>
              <w:t>t</w:t>
            </w:r>
          </w:p>
        </w:tc>
        <w:tc>
          <w:tcPr>
            <w:tcW w:w="1420" w:type="dxa"/>
          </w:tcPr>
          <w:p w14:paraId="17CB8CC0" w14:textId="77777777" w:rsidR="006E25BE" w:rsidRPr="00A67D5C" w:rsidRDefault="006E25BE" w:rsidP="0066301C">
            <w:pPr>
              <w:rPr>
                <w:rFonts w:ascii="Arial" w:hAnsi="Arial" w:cs="Arial"/>
              </w:rPr>
            </w:pPr>
          </w:p>
        </w:tc>
        <w:tc>
          <w:tcPr>
            <w:tcW w:w="1629" w:type="dxa"/>
          </w:tcPr>
          <w:p w14:paraId="76E35034" w14:textId="77777777" w:rsidR="006E25BE" w:rsidRPr="00A67D5C" w:rsidRDefault="006E25BE" w:rsidP="0066301C">
            <w:pPr>
              <w:rPr>
                <w:rFonts w:ascii="Arial" w:hAnsi="Arial" w:cs="Arial"/>
              </w:rPr>
            </w:pPr>
          </w:p>
        </w:tc>
        <w:tc>
          <w:tcPr>
            <w:tcW w:w="1815" w:type="dxa"/>
            <w:gridSpan w:val="3"/>
          </w:tcPr>
          <w:p w14:paraId="0988CC69" w14:textId="77777777" w:rsidR="006E25BE" w:rsidRPr="00A67D5C" w:rsidRDefault="006E25BE" w:rsidP="0066301C">
            <w:pPr>
              <w:rPr>
                <w:rFonts w:ascii="Arial" w:hAnsi="Arial" w:cs="Arial"/>
              </w:rPr>
            </w:pPr>
          </w:p>
        </w:tc>
        <w:tc>
          <w:tcPr>
            <w:tcW w:w="1660" w:type="dxa"/>
          </w:tcPr>
          <w:p w14:paraId="601692D0" w14:textId="77777777" w:rsidR="006E25BE" w:rsidRPr="00A67D5C" w:rsidRDefault="006E25BE" w:rsidP="0066301C">
            <w:pPr>
              <w:rPr>
                <w:rFonts w:ascii="Arial" w:hAnsi="Arial" w:cs="Arial"/>
              </w:rPr>
            </w:pPr>
          </w:p>
        </w:tc>
      </w:tr>
      <w:tr w:rsidR="006E25BE" w:rsidRPr="00A67D5C" w14:paraId="1D408B12" w14:textId="77777777" w:rsidTr="004D74AB">
        <w:trPr>
          <w:trHeight w:val="301"/>
        </w:trPr>
        <w:tc>
          <w:tcPr>
            <w:tcW w:w="2969" w:type="dxa"/>
          </w:tcPr>
          <w:p w14:paraId="0DA54539" w14:textId="77777777" w:rsidR="006E25BE" w:rsidRPr="00E85FF9" w:rsidRDefault="006E25BE" w:rsidP="0066301C">
            <w:pPr>
              <w:rPr>
                <w:rFonts w:ascii="Arial" w:hAnsi="Arial" w:cs="Arial"/>
                <w:b/>
                <w:bCs/>
              </w:rPr>
            </w:pPr>
            <w:r w:rsidRPr="00E85FF9">
              <w:rPr>
                <w:rFonts w:ascii="Arial" w:hAnsi="Arial" w:cs="Arial"/>
                <w:b/>
                <w:bCs/>
              </w:rPr>
              <w:t>Long-run elasticities</w:t>
            </w:r>
          </w:p>
        </w:tc>
        <w:tc>
          <w:tcPr>
            <w:tcW w:w="1420" w:type="dxa"/>
          </w:tcPr>
          <w:p w14:paraId="185D412D" w14:textId="77777777" w:rsidR="006E25BE" w:rsidRPr="00A67D5C" w:rsidRDefault="006E25BE" w:rsidP="0066301C">
            <w:pPr>
              <w:rPr>
                <w:rFonts w:ascii="Arial" w:hAnsi="Arial" w:cs="Arial"/>
              </w:rPr>
            </w:pPr>
          </w:p>
        </w:tc>
        <w:tc>
          <w:tcPr>
            <w:tcW w:w="1629" w:type="dxa"/>
          </w:tcPr>
          <w:p w14:paraId="4C9A07EE" w14:textId="77777777" w:rsidR="006E25BE" w:rsidRPr="00A67D5C" w:rsidRDefault="006E25BE" w:rsidP="0066301C">
            <w:pPr>
              <w:rPr>
                <w:rFonts w:ascii="Arial" w:hAnsi="Arial" w:cs="Arial"/>
              </w:rPr>
            </w:pPr>
          </w:p>
        </w:tc>
        <w:tc>
          <w:tcPr>
            <w:tcW w:w="1815" w:type="dxa"/>
            <w:gridSpan w:val="3"/>
          </w:tcPr>
          <w:p w14:paraId="4C2F1239" w14:textId="77777777" w:rsidR="006E25BE" w:rsidRPr="00A67D5C" w:rsidRDefault="006E25BE" w:rsidP="0066301C">
            <w:pPr>
              <w:rPr>
                <w:rFonts w:ascii="Arial" w:hAnsi="Arial" w:cs="Arial"/>
              </w:rPr>
            </w:pPr>
          </w:p>
        </w:tc>
        <w:tc>
          <w:tcPr>
            <w:tcW w:w="1660" w:type="dxa"/>
          </w:tcPr>
          <w:p w14:paraId="44DAE99A" w14:textId="77777777" w:rsidR="006E25BE" w:rsidRPr="00A67D5C" w:rsidRDefault="006E25BE" w:rsidP="0066301C">
            <w:pPr>
              <w:rPr>
                <w:rFonts w:ascii="Arial" w:hAnsi="Arial" w:cs="Arial"/>
              </w:rPr>
            </w:pPr>
          </w:p>
        </w:tc>
      </w:tr>
      <w:tr w:rsidR="006E25BE" w:rsidRPr="00A67D5C" w14:paraId="67785DF7" w14:textId="77777777" w:rsidTr="004D74AB">
        <w:trPr>
          <w:trHeight w:val="288"/>
        </w:trPr>
        <w:tc>
          <w:tcPr>
            <w:tcW w:w="2969" w:type="dxa"/>
          </w:tcPr>
          <w:p w14:paraId="5023E803" w14:textId="77777777" w:rsidR="006E25BE" w:rsidRPr="00A67D5C" w:rsidRDefault="006E25BE" w:rsidP="0066301C">
            <w:pPr>
              <w:rPr>
                <w:rFonts w:ascii="Arial" w:hAnsi="Arial" w:cs="Arial"/>
              </w:rPr>
            </w:pPr>
            <w:r w:rsidRPr="00A67D5C">
              <w:rPr>
                <w:rFonts w:ascii="Arial" w:hAnsi="Arial" w:cs="Arial"/>
              </w:rPr>
              <w:t>C</w:t>
            </w:r>
          </w:p>
        </w:tc>
        <w:tc>
          <w:tcPr>
            <w:tcW w:w="1420" w:type="dxa"/>
          </w:tcPr>
          <w:p w14:paraId="0C8896F5" w14:textId="77777777" w:rsidR="006E25BE" w:rsidRPr="00A67D5C" w:rsidRDefault="006E25BE" w:rsidP="0066301C">
            <w:pPr>
              <w:rPr>
                <w:rFonts w:ascii="Arial" w:hAnsi="Arial" w:cs="Arial"/>
              </w:rPr>
            </w:pPr>
            <w:r>
              <w:rPr>
                <w:rFonts w:ascii="Arial" w:hAnsi="Arial" w:cs="Arial"/>
              </w:rPr>
              <w:t>1.227</w:t>
            </w:r>
          </w:p>
        </w:tc>
        <w:tc>
          <w:tcPr>
            <w:tcW w:w="1629" w:type="dxa"/>
          </w:tcPr>
          <w:p w14:paraId="6F13DCA3" w14:textId="77777777" w:rsidR="006E25BE" w:rsidRPr="00A67D5C" w:rsidRDefault="006E25BE" w:rsidP="0066301C">
            <w:pPr>
              <w:rPr>
                <w:rFonts w:ascii="Arial" w:hAnsi="Arial" w:cs="Arial"/>
              </w:rPr>
            </w:pPr>
            <w:r>
              <w:rPr>
                <w:rFonts w:ascii="Arial" w:hAnsi="Arial" w:cs="Arial"/>
              </w:rPr>
              <w:t>1.049</w:t>
            </w:r>
          </w:p>
        </w:tc>
        <w:tc>
          <w:tcPr>
            <w:tcW w:w="1815" w:type="dxa"/>
            <w:gridSpan w:val="3"/>
          </w:tcPr>
          <w:p w14:paraId="68045CC9" w14:textId="77777777" w:rsidR="006E25BE" w:rsidRPr="00A67D5C" w:rsidRDefault="006E25BE" w:rsidP="0066301C">
            <w:pPr>
              <w:rPr>
                <w:rFonts w:ascii="Arial" w:hAnsi="Arial" w:cs="Arial"/>
              </w:rPr>
            </w:pPr>
            <w:r>
              <w:rPr>
                <w:rFonts w:ascii="Arial" w:hAnsi="Arial" w:cs="Arial"/>
              </w:rPr>
              <w:t>1.169</w:t>
            </w:r>
          </w:p>
        </w:tc>
        <w:tc>
          <w:tcPr>
            <w:tcW w:w="1660" w:type="dxa"/>
          </w:tcPr>
          <w:p w14:paraId="0A6889BA" w14:textId="77777777" w:rsidR="006E25BE" w:rsidRPr="00A67D5C" w:rsidRDefault="006E25BE" w:rsidP="0066301C">
            <w:pPr>
              <w:rPr>
                <w:rFonts w:ascii="Arial" w:hAnsi="Arial" w:cs="Arial"/>
              </w:rPr>
            </w:pPr>
            <w:r>
              <w:rPr>
                <w:rFonts w:ascii="Arial" w:hAnsi="Arial" w:cs="Arial"/>
              </w:rPr>
              <w:t>0.253</w:t>
            </w:r>
          </w:p>
        </w:tc>
      </w:tr>
      <w:tr w:rsidR="006E25BE" w:rsidRPr="00A67D5C" w14:paraId="57C0AD9E" w14:textId="77777777" w:rsidTr="004D74AB">
        <w:trPr>
          <w:trHeight w:val="288"/>
        </w:trPr>
        <w:tc>
          <w:tcPr>
            <w:tcW w:w="2969" w:type="dxa"/>
          </w:tcPr>
          <w:p w14:paraId="0FB9ABD1" w14:textId="77777777" w:rsidR="006E25BE" w:rsidRPr="00A67D5C" w:rsidRDefault="006E25BE" w:rsidP="0066301C">
            <w:pPr>
              <w:rPr>
                <w:rFonts w:ascii="Arial" w:hAnsi="Arial" w:cs="Arial"/>
              </w:rPr>
            </w:pPr>
            <w:r w:rsidRPr="00A67D5C">
              <w:rPr>
                <w:rFonts w:ascii="Arial" w:hAnsi="Arial" w:cs="Arial"/>
              </w:rPr>
              <w:t>LNREER</w:t>
            </w:r>
          </w:p>
        </w:tc>
        <w:tc>
          <w:tcPr>
            <w:tcW w:w="1420" w:type="dxa"/>
          </w:tcPr>
          <w:p w14:paraId="610137A8" w14:textId="77777777" w:rsidR="006E25BE" w:rsidRPr="00A67D5C" w:rsidRDefault="006E25BE" w:rsidP="0066301C">
            <w:pPr>
              <w:rPr>
                <w:rFonts w:ascii="Arial" w:hAnsi="Arial" w:cs="Arial"/>
              </w:rPr>
            </w:pPr>
            <w:r>
              <w:rPr>
                <w:rFonts w:ascii="Arial" w:hAnsi="Arial" w:cs="Arial"/>
              </w:rPr>
              <w:t>0.230</w:t>
            </w:r>
          </w:p>
        </w:tc>
        <w:tc>
          <w:tcPr>
            <w:tcW w:w="1629" w:type="dxa"/>
          </w:tcPr>
          <w:p w14:paraId="06C113DB" w14:textId="77777777" w:rsidR="006E25BE" w:rsidRPr="00A67D5C" w:rsidRDefault="006E25BE" w:rsidP="0066301C">
            <w:pPr>
              <w:rPr>
                <w:rFonts w:ascii="Arial" w:hAnsi="Arial" w:cs="Arial"/>
              </w:rPr>
            </w:pPr>
            <w:r>
              <w:rPr>
                <w:rFonts w:ascii="Arial" w:hAnsi="Arial" w:cs="Arial"/>
              </w:rPr>
              <w:t>0.193</w:t>
            </w:r>
          </w:p>
        </w:tc>
        <w:tc>
          <w:tcPr>
            <w:tcW w:w="1815" w:type="dxa"/>
            <w:gridSpan w:val="3"/>
          </w:tcPr>
          <w:p w14:paraId="38237AA5" w14:textId="77777777" w:rsidR="006E25BE" w:rsidRPr="00A67D5C" w:rsidRDefault="006E25BE" w:rsidP="0066301C">
            <w:pPr>
              <w:rPr>
                <w:rFonts w:ascii="Arial" w:hAnsi="Arial" w:cs="Arial"/>
              </w:rPr>
            </w:pPr>
            <w:r>
              <w:rPr>
                <w:rFonts w:ascii="Arial" w:hAnsi="Arial" w:cs="Arial"/>
              </w:rPr>
              <w:t>2.754</w:t>
            </w:r>
          </w:p>
        </w:tc>
        <w:tc>
          <w:tcPr>
            <w:tcW w:w="1660" w:type="dxa"/>
          </w:tcPr>
          <w:p w14:paraId="4424EDB9" w14:textId="77777777" w:rsidR="006E25BE" w:rsidRPr="00A67D5C" w:rsidRDefault="006E25BE" w:rsidP="0066301C">
            <w:pPr>
              <w:rPr>
                <w:rFonts w:ascii="Arial" w:hAnsi="Arial" w:cs="Arial"/>
              </w:rPr>
            </w:pPr>
            <w:r>
              <w:rPr>
                <w:rFonts w:ascii="Arial" w:hAnsi="Arial" w:cs="Arial"/>
              </w:rPr>
              <w:t>0.011</w:t>
            </w:r>
          </w:p>
        </w:tc>
      </w:tr>
      <w:tr w:rsidR="006E25BE" w:rsidRPr="00A67D5C" w14:paraId="545D58BC" w14:textId="77777777" w:rsidTr="004D74AB">
        <w:trPr>
          <w:trHeight w:val="288"/>
        </w:trPr>
        <w:tc>
          <w:tcPr>
            <w:tcW w:w="2969" w:type="dxa"/>
          </w:tcPr>
          <w:p w14:paraId="15D17751" w14:textId="77777777" w:rsidR="006E25BE" w:rsidRPr="00A67D5C" w:rsidRDefault="006E25BE" w:rsidP="0066301C">
            <w:pPr>
              <w:rPr>
                <w:rFonts w:ascii="Arial" w:hAnsi="Arial" w:cs="Arial"/>
              </w:rPr>
            </w:pPr>
            <w:r w:rsidRPr="00A67D5C">
              <w:rPr>
                <w:rFonts w:ascii="Arial" w:hAnsi="Arial" w:cs="Arial"/>
              </w:rPr>
              <w:t>LNDI</w:t>
            </w:r>
          </w:p>
        </w:tc>
        <w:tc>
          <w:tcPr>
            <w:tcW w:w="1420" w:type="dxa"/>
          </w:tcPr>
          <w:p w14:paraId="1FDB2E00" w14:textId="77777777" w:rsidR="006E25BE" w:rsidRPr="00A67D5C" w:rsidRDefault="006E25BE" w:rsidP="0066301C">
            <w:pPr>
              <w:rPr>
                <w:rFonts w:ascii="Arial" w:hAnsi="Arial" w:cs="Arial"/>
              </w:rPr>
            </w:pPr>
            <w:r>
              <w:rPr>
                <w:rFonts w:ascii="Arial" w:hAnsi="Arial" w:cs="Arial"/>
              </w:rPr>
              <w:t>-0.407</w:t>
            </w:r>
          </w:p>
        </w:tc>
        <w:tc>
          <w:tcPr>
            <w:tcW w:w="1629" w:type="dxa"/>
          </w:tcPr>
          <w:p w14:paraId="36808C18" w14:textId="77777777" w:rsidR="006E25BE" w:rsidRPr="00A67D5C" w:rsidRDefault="006E25BE" w:rsidP="0066301C">
            <w:pPr>
              <w:rPr>
                <w:rFonts w:ascii="Arial" w:hAnsi="Arial" w:cs="Arial"/>
              </w:rPr>
            </w:pPr>
            <w:r>
              <w:rPr>
                <w:rFonts w:ascii="Arial" w:hAnsi="Arial" w:cs="Arial"/>
              </w:rPr>
              <w:t>0.169</w:t>
            </w:r>
          </w:p>
        </w:tc>
        <w:tc>
          <w:tcPr>
            <w:tcW w:w="1815" w:type="dxa"/>
            <w:gridSpan w:val="3"/>
          </w:tcPr>
          <w:p w14:paraId="7C8B433D" w14:textId="77777777" w:rsidR="006E25BE" w:rsidRPr="00A67D5C" w:rsidRDefault="006E25BE" w:rsidP="0066301C">
            <w:pPr>
              <w:rPr>
                <w:rFonts w:ascii="Arial" w:hAnsi="Arial" w:cs="Arial"/>
              </w:rPr>
            </w:pPr>
            <w:r>
              <w:rPr>
                <w:rFonts w:ascii="Arial" w:hAnsi="Arial" w:cs="Arial"/>
              </w:rPr>
              <w:t>-2.397</w:t>
            </w:r>
          </w:p>
        </w:tc>
        <w:tc>
          <w:tcPr>
            <w:tcW w:w="1660" w:type="dxa"/>
          </w:tcPr>
          <w:p w14:paraId="059F8927" w14:textId="77777777" w:rsidR="006E25BE" w:rsidRPr="00A67D5C" w:rsidRDefault="006E25BE" w:rsidP="0066301C">
            <w:pPr>
              <w:rPr>
                <w:rFonts w:ascii="Arial" w:hAnsi="Arial" w:cs="Arial"/>
              </w:rPr>
            </w:pPr>
            <w:r>
              <w:rPr>
                <w:rFonts w:ascii="Arial" w:hAnsi="Arial" w:cs="Arial"/>
              </w:rPr>
              <w:t>0.024</w:t>
            </w:r>
          </w:p>
        </w:tc>
      </w:tr>
      <w:tr w:rsidR="006E25BE" w:rsidRPr="00A67D5C" w14:paraId="08F2E8EA" w14:textId="77777777" w:rsidTr="004D74AB">
        <w:trPr>
          <w:trHeight w:val="288"/>
        </w:trPr>
        <w:tc>
          <w:tcPr>
            <w:tcW w:w="2969" w:type="dxa"/>
          </w:tcPr>
          <w:p w14:paraId="1C220DA6" w14:textId="77777777" w:rsidR="006E25BE" w:rsidRPr="00A67D5C" w:rsidRDefault="006E25BE" w:rsidP="0066301C">
            <w:pPr>
              <w:rPr>
                <w:rFonts w:ascii="Arial" w:hAnsi="Arial" w:cs="Arial"/>
              </w:rPr>
            </w:pPr>
            <w:r w:rsidRPr="00A67D5C">
              <w:rPr>
                <w:rFonts w:ascii="Arial" w:hAnsi="Arial" w:cs="Arial"/>
              </w:rPr>
              <w:t>LN</w:t>
            </w:r>
            <w:r>
              <w:rPr>
                <w:rFonts w:ascii="Arial" w:hAnsi="Arial" w:cs="Arial"/>
              </w:rPr>
              <w:t>PARTNER</w:t>
            </w:r>
            <w:r w:rsidRPr="00A67D5C">
              <w:rPr>
                <w:rFonts w:ascii="Arial" w:hAnsi="Arial" w:cs="Arial"/>
              </w:rPr>
              <w:t>FI</w:t>
            </w:r>
          </w:p>
        </w:tc>
        <w:tc>
          <w:tcPr>
            <w:tcW w:w="1420" w:type="dxa"/>
          </w:tcPr>
          <w:p w14:paraId="61725B9D" w14:textId="77777777" w:rsidR="006E25BE" w:rsidRPr="00A67D5C" w:rsidRDefault="006E25BE" w:rsidP="0066301C">
            <w:pPr>
              <w:rPr>
                <w:rFonts w:ascii="Arial" w:hAnsi="Arial" w:cs="Arial"/>
              </w:rPr>
            </w:pPr>
            <w:r>
              <w:rPr>
                <w:rFonts w:ascii="Arial" w:hAnsi="Arial" w:cs="Arial"/>
              </w:rPr>
              <w:t>0.194</w:t>
            </w:r>
          </w:p>
        </w:tc>
        <w:tc>
          <w:tcPr>
            <w:tcW w:w="1629" w:type="dxa"/>
          </w:tcPr>
          <w:p w14:paraId="7B318CB8" w14:textId="77777777" w:rsidR="006E25BE" w:rsidRPr="00A67D5C" w:rsidRDefault="006E25BE" w:rsidP="0066301C">
            <w:pPr>
              <w:rPr>
                <w:rFonts w:ascii="Arial" w:hAnsi="Arial" w:cs="Arial"/>
              </w:rPr>
            </w:pPr>
            <w:r>
              <w:rPr>
                <w:rFonts w:ascii="Arial" w:hAnsi="Arial" w:cs="Arial"/>
              </w:rPr>
              <w:t>0.121</w:t>
            </w:r>
          </w:p>
        </w:tc>
        <w:tc>
          <w:tcPr>
            <w:tcW w:w="1815" w:type="dxa"/>
            <w:gridSpan w:val="3"/>
          </w:tcPr>
          <w:p w14:paraId="36F06442" w14:textId="77777777" w:rsidR="006E25BE" w:rsidRPr="00A67D5C" w:rsidRDefault="006E25BE" w:rsidP="0066301C">
            <w:pPr>
              <w:rPr>
                <w:rFonts w:ascii="Arial" w:hAnsi="Arial" w:cs="Arial"/>
              </w:rPr>
            </w:pPr>
            <w:r>
              <w:rPr>
                <w:rFonts w:ascii="Arial" w:hAnsi="Arial" w:cs="Arial"/>
              </w:rPr>
              <w:t>1.597</w:t>
            </w:r>
          </w:p>
        </w:tc>
        <w:tc>
          <w:tcPr>
            <w:tcW w:w="1660" w:type="dxa"/>
          </w:tcPr>
          <w:p w14:paraId="3F4303BB" w14:textId="77777777" w:rsidR="006E25BE" w:rsidRPr="00A67D5C" w:rsidRDefault="006E25BE" w:rsidP="0066301C">
            <w:pPr>
              <w:rPr>
                <w:rFonts w:ascii="Arial" w:hAnsi="Arial" w:cs="Arial"/>
              </w:rPr>
            </w:pPr>
            <w:r>
              <w:rPr>
                <w:rFonts w:ascii="Arial" w:hAnsi="Arial" w:cs="Arial"/>
              </w:rPr>
              <w:t>0.123</w:t>
            </w:r>
          </w:p>
        </w:tc>
      </w:tr>
      <w:tr w:rsidR="006E25BE" w:rsidRPr="00A67D5C" w14:paraId="7EED2501" w14:textId="77777777" w:rsidTr="004D74AB">
        <w:trPr>
          <w:trHeight w:val="288"/>
        </w:trPr>
        <w:tc>
          <w:tcPr>
            <w:tcW w:w="2969" w:type="dxa"/>
          </w:tcPr>
          <w:p w14:paraId="69DE1386" w14:textId="77777777" w:rsidR="006E25BE" w:rsidRPr="00A67D5C" w:rsidRDefault="006E25BE" w:rsidP="0066301C">
            <w:pPr>
              <w:rPr>
                <w:rFonts w:ascii="Arial" w:hAnsi="Arial" w:cs="Arial"/>
                <w:b/>
                <w:bCs/>
              </w:rPr>
            </w:pPr>
            <w:r w:rsidRPr="00A67D5C">
              <w:rPr>
                <w:rFonts w:ascii="Arial" w:hAnsi="Arial" w:cs="Arial"/>
                <w:b/>
                <w:bCs/>
              </w:rPr>
              <w:t>Short-run elasticities</w:t>
            </w:r>
          </w:p>
        </w:tc>
        <w:tc>
          <w:tcPr>
            <w:tcW w:w="1420" w:type="dxa"/>
          </w:tcPr>
          <w:p w14:paraId="079FF691" w14:textId="77777777" w:rsidR="006E25BE" w:rsidRPr="00A67D5C" w:rsidRDefault="006E25BE" w:rsidP="0066301C">
            <w:pPr>
              <w:rPr>
                <w:rFonts w:ascii="Arial" w:hAnsi="Arial" w:cs="Arial"/>
              </w:rPr>
            </w:pPr>
          </w:p>
        </w:tc>
        <w:tc>
          <w:tcPr>
            <w:tcW w:w="1629" w:type="dxa"/>
          </w:tcPr>
          <w:p w14:paraId="1EC2C7F5" w14:textId="77777777" w:rsidR="006E25BE" w:rsidRPr="00A67D5C" w:rsidRDefault="006E25BE" w:rsidP="0066301C">
            <w:pPr>
              <w:rPr>
                <w:rFonts w:ascii="Arial" w:hAnsi="Arial" w:cs="Arial"/>
              </w:rPr>
            </w:pPr>
          </w:p>
        </w:tc>
        <w:tc>
          <w:tcPr>
            <w:tcW w:w="1815" w:type="dxa"/>
            <w:gridSpan w:val="3"/>
          </w:tcPr>
          <w:p w14:paraId="317DCD15" w14:textId="77777777" w:rsidR="006E25BE" w:rsidRPr="00A67D5C" w:rsidRDefault="006E25BE" w:rsidP="0066301C">
            <w:pPr>
              <w:rPr>
                <w:rFonts w:ascii="Arial" w:hAnsi="Arial" w:cs="Arial"/>
              </w:rPr>
            </w:pPr>
          </w:p>
        </w:tc>
        <w:tc>
          <w:tcPr>
            <w:tcW w:w="1660" w:type="dxa"/>
          </w:tcPr>
          <w:p w14:paraId="4231789E" w14:textId="77777777" w:rsidR="006E25BE" w:rsidRPr="00A67D5C" w:rsidRDefault="006E25BE" w:rsidP="0066301C">
            <w:pPr>
              <w:rPr>
                <w:rFonts w:ascii="Arial" w:hAnsi="Arial" w:cs="Arial"/>
              </w:rPr>
            </w:pPr>
          </w:p>
        </w:tc>
      </w:tr>
      <w:tr w:rsidR="006E25BE" w:rsidRPr="00A67D5C" w14:paraId="1CEC4878" w14:textId="77777777" w:rsidTr="004D74AB">
        <w:trPr>
          <w:trHeight w:val="288"/>
        </w:trPr>
        <w:tc>
          <w:tcPr>
            <w:tcW w:w="2969" w:type="dxa"/>
          </w:tcPr>
          <w:p w14:paraId="6AB18EDF" w14:textId="77777777" w:rsidR="006E25BE" w:rsidRPr="00A67D5C" w:rsidRDefault="006E25BE" w:rsidP="0066301C">
            <w:pPr>
              <w:rPr>
                <w:rFonts w:ascii="Arial" w:hAnsi="Arial" w:cs="Arial"/>
              </w:rPr>
            </w:pPr>
            <w:r w:rsidRPr="00A67D5C">
              <w:rPr>
                <w:rFonts w:ascii="Arial" w:hAnsi="Arial" w:cs="Arial"/>
              </w:rPr>
              <w:t>C</w:t>
            </w:r>
          </w:p>
        </w:tc>
        <w:tc>
          <w:tcPr>
            <w:tcW w:w="1420" w:type="dxa"/>
          </w:tcPr>
          <w:p w14:paraId="38C2F66D" w14:textId="77777777" w:rsidR="006E25BE" w:rsidRPr="00A67D5C" w:rsidRDefault="006E25BE" w:rsidP="0066301C">
            <w:pPr>
              <w:rPr>
                <w:rFonts w:ascii="Arial" w:hAnsi="Arial" w:cs="Arial"/>
              </w:rPr>
            </w:pPr>
            <w:r>
              <w:rPr>
                <w:rFonts w:ascii="Arial" w:hAnsi="Arial" w:cs="Arial"/>
              </w:rPr>
              <w:t>1.227</w:t>
            </w:r>
          </w:p>
        </w:tc>
        <w:tc>
          <w:tcPr>
            <w:tcW w:w="1629" w:type="dxa"/>
          </w:tcPr>
          <w:p w14:paraId="2A747F47" w14:textId="77777777" w:rsidR="006E25BE" w:rsidRPr="00A67D5C" w:rsidRDefault="006E25BE" w:rsidP="0066301C">
            <w:pPr>
              <w:rPr>
                <w:rFonts w:ascii="Arial" w:hAnsi="Arial" w:cs="Arial"/>
              </w:rPr>
            </w:pPr>
            <w:r>
              <w:rPr>
                <w:rFonts w:ascii="Arial" w:hAnsi="Arial" w:cs="Arial"/>
              </w:rPr>
              <w:t>0.209</w:t>
            </w:r>
          </w:p>
        </w:tc>
        <w:tc>
          <w:tcPr>
            <w:tcW w:w="1815" w:type="dxa"/>
            <w:gridSpan w:val="3"/>
          </w:tcPr>
          <w:p w14:paraId="52438BCD" w14:textId="77777777" w:rsidR="006E25BE" w:rsidRPr="00A67D5C" w:rsidRDefault="006E25BE" w:rsidP="0066301C">
            <w:pPr>
              <w:rPr>
                <w:rFonts w:ascii="Arial" w:hAnsi="Arial" w:cs="Arial"/>
              </w:rPr>
            </w:pPr>
            <w:r>
              <w:rPr>
                <w:rFonts w:ascii="Arial" w:hAnsi="Arial" w:cs="Arial"/>
              </w:rPr>
              <w:t>5.869</w:t>
            </w:r>
          </w:p>
        </w:tc>
        <w:tc>
          <w:tcPr>
            <w:tcW w:w="1660" w:type="dxa"/>
          </w:tcPr>
          <w:p w14:paraId="04571C7B" w14:textId="77777777" w:rsidR="006E25BE" w:rsidRPr="00A67D5C" w:rsidRDefault="006E25BE" w:rsidP="0066301C">
            <w:pPr>
              <w:rPr>
                <w:rFonts w:ascii="Arial" w:hAnsi="Arial" w:cs="Arial"/>
              </w:rPr>
            </w:pPr>
            <w:r>
              <w:rPr>
                <w:rFonts w:ascii="Arial" w:hAnsi="Arial" w:cs="Arial"/>
              </w:rPr>
              <w:t>0.000</w:t>
            </w:r>
          </w:p>
        </w:tc>
      </w:tr>
      <w:tr w:rsidR="006E25BE" w:rsidRPr="00A67D5C" w14:paraId="3B8BEE83" w14:textId="77777777" w:rsidTr="004D74AB">
        <w:trPr>
          <w:trHeight w:val="288"/>
        </w:trPr>
        <w:tc>
          <w:tcPr>
            <w:tcW w:w="2969" w:type="dxa"/>
          </w:tcPr>
          <w:p w14:paraId="2FA4D665" w14:textId="77777777" w:rsidR="006E25BE" w:rsidRPr="00A67D5C" w:rsidRDefault="006E25BE" w:rsidP="0066301C">
            <w:pPr>
              <w:rPr>
                <w:rFonts w:ascii="Arial" w:hAnsi="Arial" w:cs="Arial"/>
              </w:rPr>
            </w:pPr>
            <w:r w:rsidRPr="000268D6">
              <w:rPr>
                <w:rFonts w:ascii="Arial" w:hAnsi="Arial" w:cs="Arial"/>
              </w:rPr>
              <w:t>∆LNTB</w:t>
            </w:r>
            <w:r w:rsidRPr="000268D6">
              <w:rPr>
                <w:rFonts w:ascii="Arial" w:hAnsi="Arial" w:cs="Arial"/>
                <w:vertAlign w:val="subscript"/>
              </w:rPr>
              <w:t>t-1</w:t>
            </w:r>
          </w:p>
        </w:tc>
        <w:tc>
          <w:tcPr>
            <w:tcW w:w="1420" w:type="dxa"/>
          </w:tcPr>
          <w:p w14:paraId="61C1C060" w14:textId="77777777" w:rsidR="006E25BE" w:rsidRPr="00A67D5C" w:rsidRDefault="006E25BE" w:rsidP="0066301C">
            <w:pPr>
              <w:rPr>
                <w:rFonts w:ascii="Arial" w:hAnsi="Arial" w:cs="Arial"/>
              </w:rPr>
            </w:pPr>
            <w:r>
              <w:rPr>
                <w:rFonts w:ascii="Arial" w:hAnsi="Arial" w:cs="Arial"/>
              </w:rPr>
              <w:t>0.203</w:t>
            </w:r>
          </w:p>
        </w:tc>
        <w:tc>
          <w:tcPr>
            <w:tcW w:w="1629" w:type="dxa"/>
          </w:tcPr>
          <w:p w14:paraId="60FDFAFD" w14:textId="77777777" w:rsidR="006E25BE" w:rsidRPr="00A67D5C" w:rsidRDefault="006E25BE" w:rsidP="0066301C">
            <w:pPr>
              <w:rPr>
                <w:rFonts w:ascii="Arial" w:hAnsi="Arial" w:cs="Arial"/>
              </w:rPr>
            </w:pPr>
            <w:r>
              <w:rPr>
                <w:rFonts w:ascii="Arial" w:hAnsi="Arial" w:cs="Arial"/>
              </w:rPr>
              <w:t>0.129</w:t>
            </w:r>
          </w:p>
        </w:tc>
        <w:tc>
          <w:tcPr>
            <w:tcW w:w="1815" w:type="dxa"/>
            <w:gridSpan w:val="3"/>
          </w:tcPr>
          <w:p w14:paraId="0A92AD21" w14:textId="77777777" w:rsidR="006E25BE" w:rsidRPr="00A67D5C" w:rsidRDefault="006E25BE" w:rsidP="0066301C">
            <w:pPr>
              <w:rPr>
                <w:rFonts w:ascii="Arial" w:hAnsi="Arial" w:cs="Arial"/>
              </w:rPr>
            </w:pPr>
            <w:r>
              <w:rPr>
                <w:rFonts w:ascii="Arial" w:hAnsi="Arial" w:cs="Arial"/>
              </w:rPr>
              <w:t>1.567</w:t>
            </w:r>
          </w:p>
        </w:tc>
        <w:tc>
          <w:tcPr>
            <w:tcW w:w="1660" w:type="dxa"/>
          </w:tcPr>
          <w:p w14:paraId="38089013" w14:textId="77777777" w:rsidR="006E25BE" w:rsidRPr="00A67D5C" w:rsidRDefault="006E25BE" w:rsidP="0066301C">
            <w:pPr>
              <w:rPr>
                <w:rFonts w:ascii="Arial" w:hAnsi="Arial" w:cs="Arial"/>
              </w:rPr>
            </w:pPr>
            <w:r>
              <w:rPr>
                <w:rFonts w:ascii="Arial" w:hAnsi="Arial" w:cs="Arial"/>
              </w:rPr>
              <w:t>0.129</w:t>
            </w:r>
          </w:p>
        </w:tc>
      </w:tr>
      <w:tr w:rsidR="006E25BE" w:rsidRPr="00A67D5C" w14:paraId="01FDFF89" w14:textId="77777777" w:rsidTr="004D74AB">
        <w:trPr>
          <w:trHeight w:val="288"/>
        </w:trPr>
        <w:tc>
          <w:tcPr>
            <w:tcW w:w="2969" w:type="dxa"/>
          </w:tcPr>
          <w:p w14:paraId="0249E79E" w14:textId="77777777" w:rsidR="006E25BE" w:rsidRPr="000268D6" w:rsidRDefault="006E25BE" w:rsidP="0066301C">
            <w:pPr>
              <w:rPr>
                <w:rFonts w:ascii="Arial" w:hAnsi="Arial" w:cs="Arial"/>
              </w:rPr>
            </w:pPr>
            <w:r w:rsidRPr="000268D6">
              <w:rPr>
                <w:rFonts w:ascii="Arial" w:hAnsi="Arial" w:cs="Arial"/>
              </w:rPr>
              <w:t>∆LNTB</w:t>
            </w:r>
            <w:r w:rsidRPr="000268D6">
              <w:rPr>
                <w:rFonts w:ascii="Arial" w:hAnsi="Arial" w:cs="Arial"/>
                <w:vertAlign w:val="subscript"/>
              </w:rPr>
              <w:t>t-</w:t>
            </w:r>
            <w:r>
              <w:rPr>
                <w:rFonts w:ascii="Arial" w:hAnsi="Arial" w:cs="Arial"/>
                <w:vertAlign w:val="subscript"/>
              </w:rPr>
              <w:t>2</w:t>
            </w:r>
          </w:p>
        </w:tc>
        <w:tc>
          <w:tcPr>
            <w:tcW w:w="1420" w:type="dxa"/>
          </w:tcPr>
          <w:p w14:paraId="68474B93" w14:textId="77777777" w:rsidR="006E25BE" w:rsidRPr="00A67D5C" w:rsidRDefault="006E25BE" w:rsidP="0066301C">
            <w:pPr>
              <w:rPr>
                <w:rFonts w:ascii="Arial" w:hAnsi="Arial" w:cs="Arial"/>
              </w:rPr>
            </w:pPr>
            <w:r>
              <w:rPr>
                <w:rFonts w:ascii="Arial" w:hAnsi="Arial" w:cs="Arial"/>
              </w:rPr>
              <w:t>0.246</w:t>
            </w:r>
          </w:p>
        </w:tc>
        <w:tc>
          <w:tcPr>
            <w:tcW w:w="1629" w:type="dxa"/>
          </w:tcPr>
          <w:p w14:paraId="122B2292" w14:textId="77777777" w:rsidR="006E25BE" w:rsidRPr="00A67D5C" w:rsidRDefault="006E25BE" w:rsidP="0066301C">
            <w:pPr>
              <w:rPr>
                <w:rFonts w:ascii="Arial" w:hAnsi="Arial" w:cs="Arial"/>
              </w:rPr>
            </w:pPr>
            <w:r>
              <w:rPr>
                <w:rFonts w:ascii="Arial" w:hAnsi="Arial" w:cs="Arial"/>
              </w:rPr>
              <w:t>0.108</w:t>
            </w:r>
          </w:p>
        </w:tc>
        <w:tc>
          <w:tcPr>
            <w:tcW w:w="1815" w:type="dxa"/>
            <w:gridSpan w:val="3"/>
          </w:tcPr>
          <w:p w14:paraId="1BD9EF31" w14:textId="77777777" w:rsidR="006E25BE" w:rsidRPr="00A67D5C" w:rsidRDefault="006E25BE" w:rsidP="0066301C">
            <w:pPr>
              <w:rPr>
                <w:rFonts w:ascii="Arial" w:hAnsi="Arial" w:cs="Arial"/>
              </w:rPr>
            </w:pPr>
            <w:r>
              <w:rPr>
                <w:rFonts w:ascii="Arial" w:hAnsi="Arial" w:cs="Arial"/>
              </w:rPr>
              <w:t>2.282</w:t>
            </w:r>
          </w:p>
        </w:tc>
        <w:tc>
          <w:tcPr>
            <w:tcW w:w="1660" w:type="dxa"/>
          </w:tcPr>
          <w:p w14:paraId="12B9EE77" w14:textId="77777777" w:rsidR="006E25BE" w:rsidRPr="00A67D5C" w:rsidRDefault="006E25BE" w:rsidP="0066301C">
            <w:pPr>
              <w:rPr>
                <w:rFonts w:ascii="Arial" w:hAnsi="Arial" w:cs="Arial"/>
              </w:rPr>
            </w:pPr>
            <w:r>
              <w:rPr>
                <w:rFonts w:ascii="Arial" w:hAnsi="Arial" w:cs="Arial"/>
              </w:rPr>
              <w:t>0.031</w:t>
            </w:r>
          </w:p>
        </w:tc>
      </w:tr>
      <w:tr w:rsidR="006E25BE" w:rsidRPr="00A67D5C" w14:paraId="11417623" w14:textId="77777777" w:rsidTr="004D74AB">
        <w:trPr>
          <w:trHeight w:val="288"/>
        </w:trPr>
        <w:tc>
          <w:tcPr>
            <w:tcW w:w="2969" w:type="dxa"/>
          </w:tcPr>
          <w:p w14:paraId="0840D602" w14:textId="77777777" w:rsidR="006E25BE" w:rsidRPr="000268D6" w:rsidRDefault="006E25BE" w:rsidP="0066301C">
            <w:pPr>
              <w:rPr>
                <w:rFonts w:ascii="Arial" w:hAnsi="Arial" w:cs="Arial"/>
              </w:rPr>
            </w:pPr>
            <w:r w:rsidRPr="000268D6">
              <w:rPr>
                <w:rFonts w:ascii="Arial" w:hAnsi="Arial" w:cs="Arial"/>
              </w:rPr>
              <w:t>∆LNREER</w:t>
            </w:r>
          </w:p>
        </w:tc>
        <w:tc>
          <w:tcPr>
            <w:tcW w:w="1420" w:type="dxa"/>
          </w:tcPr>
          <w:p w14:paraId="3A5EB6CA" w14:textId="77777777" w:rsidR="006E25BE" w:rsidRPr="00A67D5C" w:rsidRDefault="006E25BE" w:rsidP="0066301C">
            <w:pPr>
              <w:rPr>
                <w:rFonts w:ascii="Arial" w:hAnsi="Arial" w:cs="Arial"/>
              </w:rPr>
            </w:pPr>
            <w:r>
              <w:rPr>
                <w:rFonts w:ascii="Arial" w:hAnsi="Arial" w:cs="Arial"/>
              </w:rPr>
              <w:t>-0.430</w:t>
            </w:r>
          </w:p>
        </w:tc>
        <w:tc>
          <w:tcPr>
            <w:tcW w:w="1629" w:type="dxa"/>
          </w:tcPr>
          <w:p w14:paraId="5E97265C" w14:textId="77777777" w:rsidR="006E25BE" w:rsidRPr="00A67D5C" w:rsidRDefault="006E25BE" w:rsidP="0066301C">
            <w:pPr>
              <w:rPr>
                <w:rFonts w:ascii="Arial" w:hAnsi="Arial" w:cs="Arial"/>
              </w:rPr>
            </w:pPr>
            <w:r>
              <w:rPr>
                <w:rFonts w:ascii="Arial" w:hAnsi="Arial" w:cs="Arial"/>
              </w:rPr>
              <w:t>0.75</w:t>
            </w:r>
          </w:p>
        </w:tc>
        <w:tc>
          <w:tcPr>
            <w:tcW w:w="1815" w:type="dxa"/>
            <w:gridSpan w:val="3"/>
          </w:tcPr>
          <w:p w14:paraId="67A770CF" w14:textId="77777777" w:rsidR="006E25BE" w:rsidRPr="00A67D5C" w:rsidRDefault="006E25BE" w:rsidP="0066301C">
            <w:pPr>
              <w:rPr>
                <w:rFonts w:ascii="Arial" w:hAnsi="Arial" w:cs="Arial"/>
              </w:rPr>
            </w:pPr>
            <w:r>
              <w:rPr>
                <w:rFonts w:ascii="Arial" w:hAnsi="Arial" w:cs="Arial"/>
              </w:rPr>
              <w:t>-2.454</w:t>
            </w:r>
          </w:p>
        </w:tc>
        <w:tc>
          <w:tcPr>
            <w:tcW w:w="1660" w:type="dxa"/>
          </w:tcPr>
          <w:p w14:paraId="1D9FA9CA" w14:textId="77777777" w:rsidR="006E25BE" w:rsidRPr="00A67D5C" w:rsidRDefault="006E25BE" w:rsidP="0066301C">
            <w:pPr>
              <w:rPr>
                <w:rFonts w:ascii="Arial" w:hAnsi="Arial" w:cs="Arial"/>
              </w:rPr>
            </w:pPr>
            <w:r>
              <w:rPr>
                <w:rFonts w:ascii="Arial" w:hAnsi="Arial" w:cs="Arial"/>
              </w:rPr>
              <w:t>0.021</w:t>
            </w:r>
          </w:p>
        </w:tc>
      </w:tr>
      <w:tr w:rsidR="006E25BE" w:rsidRPr="00A67D5C" w14:paraId="510724C6" w14:textId="77777777" w:rsidTr="004D74AB">
        <w:trPr>
          <w:trHeight w:val="288"/>
        </w:trPr>
        <w:tc>
          <w:tcPr>
            <w:tcW w:w="2969" w:type="dxa"/>
          </w:tcPr>
          <w:p w14:paraId="175DE8B2" w14:textId="77777777" w:rsidR="006E25BE" w:rsidRPr="000268D6" w:rsidRDefault="006E25BE" w:rsidP="0066301C">
            <w:pPr>
              <w:rPr>
                <w:rFonts w:ascii="Arial" w:hAnsi="Arial" w:cs="Arial"/>
              </w:rPr>
            </w:pPr>
            <w:r w:rsidRPr="000268D6">
              <w:rPr>
                <w:rFonts w:ascii="Arial" w:hAnsi="Arial" w:cs="Arial"/>
              </w:rPr>
              <w:t>∆LNREER</w:t>
            </w:r>
            <w:r w:rsidRPr="000268D6">
              <w:rPr>
                <w:rFonts w:ascii="Arial" w:hAnsi="Arial" w:cs="Arial"/>
                <w:vertAlign w:val="subscript"/>
              </w:rPr>
              <w:t xml:space="preserve"> t-</w:t>
            </w:r>
            <w:r>
              <w:rPr>
                <w:rFonts w:ascii="Arial" w:hAnsi="Arial" w:cs="Arial"/>
                <w:vertAlign w:val="subscript"/>
              </w:rPr>
              <w:t>1</w:t>
            </w:r>
          </w:p>
        </w:tc>
        <w:tc>
          <w:tcPr>
            <w:tcW w:w="1420" w:type="dxa"/>
          </w:tcPr>
          <w:p w14:paraId="08B4AF30" w14:textId="77777777" w:rsidR="006E25BE" w:rsidRPr="00A67D5C" w:rsidRDefault="006E25BE" w:rsidP="0066301C">
            <w:pPr>
              <w:rPr>
                <w:rFonts w:ascii="Arial" w:hAnsi="Arial" w:cs="Arial"/>
              </w:rPr>
            </w:pPr>
            <w:r>
              <w:rPr>
                <w:rFonts w:ascii="Arial" w:hAnsi="Arial" w:cs="Arial"/>
              </w:rPr>
              <w:t>-0.574</w:t>
            </w:r>
          </w:p>
        </w:tc>
        <w:tc>
          <w:tcPr>
            <w:tcW w:w="1629" w:type="dxa"/>
          </w:tcPr>
          <w:p w14:paraId="16B17299" w14:textId="77777777" w:rsidR="006E25BE" w:rsidRPr="00A67D5C" w:rsidRDefault="006E25BE" w:rsidP="0066301C">
            <w:pPr>
              <w:rPr>
                <w:rFonts w:ascii="Arial" w:hAnsi="Arial" w:cs="Arial"/>
              </w:rPr>
            </w:pPr>
            <w:r>
              <w:rPr>
                <w:rFonts w:ascii="Arial" w:hAnsi="Arial" w:cs="Arial"/>
              </w:rPr>
              <w:t>0.160</w:t>
            </w:r>
          </w:p>
        </w:tc>
        <w:tc>
          <w:tcPr>
            <w:tcW w:w="1815" w:type="dxa"/>
            <w:gridSpan w:val="3"/>
          </w:tcPr>
          <w:p w14:paraId="308606DD" w14:textId="77777777" w:rsidR="006E25BE" w:rsidRPr="00A67D5C" w:rsidRDefault="006E25BE" w:rsidP="0066301C">
            <w:pPr>
              <w:rPr>
                <w:rFonts w:ascii="Arial" w:hAnsi="Arial" w:cs="Arial"/>
              </w:rPr>
            </w:pPr>
            <w:r>
              <w:rPr>
                <w:rFonts w:ascii="Arial" w:hAnsi="Arial" w:cs="Arial"/>
              </w:rPr>
              <w:t>-3.587</w:t>
            </w:r>
          </w:p>
        </w:tc>
        <w:tc>
          <w:tcPr>
            <w:tcW w:w="1660" w:type="dxa"/>
          </w:tcPr>
          <w:p w14:paraId="20C2175E" w14:textId="77777777" w:rsidR="006E25BE" w:rsidRPr="00A67D5C" w:rsidRDefault="006E25BE" w:rsidP="0066301C">
            <w:pPr>
              <w:rPr>
                <w:rFonts w:ascii="Arial" w:hAnsi="Arial" w:cs="Arial"/>
              </w:rPr>
            </w:pPr>
            <w:r>
              <w:rPr>
                <w:rFonts w:ascii="Arial" w:hAnsi="Arial" w:cs="Arial"/>
              </w:rPr>
              <w:t>0.001</w:t>
            </w:r>
          </w:p>
        </w:tc>
      </w:tr>
      <w:tr w:rsidR="006E25BE" w:rsidRPr="00A67D5C" w14:paraId="60911C2E" w14:textId="77777777" w:rsidTr="004D74AB">
        <w:trPr>
          <w:trHeight w:val="288"/>
        </w:trPr>
        <w:tc>
          <w:tcPr>
            <w:tcW w:w="2969" w:type="dxa"/>
          </w:tcPr>
          <w:p w14:paraId="1A1A9F8A" w14:textId="77777777" w:rsidR="006E25BE" w:rsidRPr="000268D6" w:rsidRDefault="006E25BE" w:rsidP="0066301C">
            <w:pPr>
              <w:rPr>
                <w:rFonts w:ascii="Arial" w:hAnsi="Arial" w:cs="Arial"/>
              </w:rPr>
            </w:pPr>
            <w:r w:rsidRPr="00A67D5C">
              <w:rPr>
                <w:rFonts w:ascii="Arial" w:hAnsi="Arial" w:cs="Arial"/>
              </w:rPr>
              <w:t>LNDI</w:t>
            </w:r>
          </w:p>
        </w:tc>
        <w:tc>
          <w:tcPr>
            <w:tcW w:w="1420" w:type="dxa"/>
          </w:tcPr>
          <w:p w14:paraId="0A674249" w14:textId="77777777" w:rsidR="006E25BE" w:rsidRPr="00A67D5C" w:rsidRDefault="006E25BE" w:rsidP="0066301C">
            <w:pPr>
              <w:rPr>
                <w:rFonts w:ascii="Arial" w:hAnsi="Arial" w:cs="Arial"/>
              </w:rPr>
            </w:pPr>
            <w:r>
              <w:rPr>
                <w:rFonts w:ascii="Arial" w:hAnsi="Arial" w:cs="Arial"/>
              </w:rPr>
              <w:t>-0.024</w:t>
            </w:r>
          </w:p>
        </w:tc>
        <w:tc>
          <w:tcPr>
            <w:tcW w:w="1629" w:type="dxa"/>
          </w:tcPr>
          <w:p w14:paraId="36669322" w14:textId="77777777" w:rsidR="006E25BE" w:rsidRPr="00A67D5C" w:rsidRDefault="006E25BE" w:rsidP="0066301C">
            <w:pPr>
              <w:rPr>
                <w:rFonts w:ascii="Arial" w:hAnsi="Arial" w:cs="Arial"/>
              </w:rPr>
            </w:pPr>
            <w:r>
              <w:rPr>
                <w:rFonts w:ascii="Arial" w:hAnsi="Arial" w:cs="Arial"/>
              </w:rPr>
              <w:t>0.136</w:t>
            </w:r>
          </w:p>
        </w:tc>
        <w:tc>
          <w:tcPr>
            <w:tcW w:w="1815" w:type="dxa"/>
            <w:gridSpan w:val="3"/>
          </w:tcPr>
          <w:p w14:paraId="18274410" w14:textId="77777777" w:rsidR="006E25BE" w:rsidRPr="00A67D5C" w:rsidRDefault="006E25BE" w:rsidP="0066301C">
            <w:pPr>
              <w:rPr>
                <w:rFonts w:ascii="Arial" w:hAnsi="Arial" w:cs="Arial"/>
              </w:rPr>
            </w:pPr>
            <w:r>
              <w:rPr>
                <w:rFonts w:ascii="Arial" w:hAnsi="Arial" w:cs="Arial"/>
              </w:rPr>
              <w:t>-0.177</w:t>
            </w:r>
          </w:p>
        </w:tc>
        <w:tc>
          <w:tcPr>
            <w:tcW w:w="1660" w:type="dxa"/>
          </w:tcPr>
          <w:p w14:paraId="356AE2F2" w14:textId="77777777" w:rsidR="006E25BE" w:rsidRPr="00A67D5C" w:rsidRDefault="006E25BE" w:rsidP="0066301C">
            <w:pPr>
              <w:rPr>
                <w:rFonts w:ascii="Arial" w:hAnsi="Arial" w:cs="Arial"/>
              </w:rPr>
            </w:pPr>
            <w:r>
              <w:rPr>
                <w:rFonts w:ascii="Arial" w:hAnsi="Arial" w:cs="Arial"/>
              </w:rPr>
              <w:t>0.861</w:t>
            </w:r>
          </w:p>
        </w:tc>
      </w:tr>
      <w:tr w:rsidR="006E25BE" w:rsidRPr="00A67D5C" w14:paraId="6CC1F11F" w14:textId="77777777" w:rsidTr="004D74AB">
        <w:trPr>
          <w:trHeight w:val="288"/>
        </w:trPr>
        <w:tc>
          <w:tcPr>
            <w:tcW w:w="2969" w:type="dxa"/>
          </w:tcPr>
          <w:p w14:paraId="39F2E861" w14:textId="77777777" w:rsidR="006E25BE" w:rsidRPr="000268D6" w:rsidRDefault="006E25BE" w:rsidP="0066301C">
            <w:pPr>
              <w:rPr>
                <w:rFonts w:ascii="Arial" w:hAnsi="Arial" w:cs="Arial"/>
              </w:rPr>
            </w:pPr>
            <w:r w:rsidRPr="00A67D5C">
              <w:rPr>
                <w:rFonts w:ascii="Arial" w:hAnsi="Arial" w:cs="Arial"/>
              </w:rPr>
              <w:t>LN</w:t>
            </w:r>
            <w:r>
              <w:rPr>
                <w:rFonts w:ascii="Arial" w:hAnsi="Arial" w:cs="Arial"/>
              </w:rPr>
              <w:t>PARTNER</w:t>
            </w:r>
            <w:r w:rsidRPr="00A67D5C">
              <w:rPr>
                <w:rFonts w:ascii="Arial" w:hAnsi="Arial" w:cs="Arial"/>
              </w:rPr>
              <w:t>FI</w:t>
            </w:r>
          </w:p>
        </w:tc>
        <w:tc>
          <w:tcPr>
            <w:tcW w:w="1420" w:type="dxa"/>
          </w:tcPr>
          <w:p w14:paraId="36C998A5" w14:textId="77777777" w:rsidR="006E25BE" w:rsidRPr="00A67D5C" w:rsidRDefault="006E25BE" w:rsidP="0066301C">
            <w:pPr>
              <w:rPr>
                <w:rFonts w:ascii="Arial" w:hAnsi="Arial" w:cs="Arial"/>
              </w:rPr>
            </w:pPr>
            <w:r>
              <w:rPr>
                <w:rFonts w:ascii="Arial" w:hAnsi="Arial" w:cs="Arial"/>
              </w:rPr>
              <w:t>-0.071</w:t>
            </w:r>
          </w:p>
        </w:tc>
        <w:tc>
          <w:tcPr>
            <w:tcW w:w="1629" w:type="dxa"/>
          </w:tcPr>
          <w:p w14:paraId="6EF1CFC0" w14:textId="77777777" w:rsidR="006E25BE" w:rsidRPr="00A67D5C" w:rsidRDefault="006E25BE" w:rsidP="0066301C">
            <w:pPr>
              <w:rPr>
                <w:rFonts w:ascii="Arial" w:hAnsi="Arial" w:cs="Arial"/>
              </w:rPr>
            </w:pPr>
            <w:r>
              <w:rPr>
                <w:rFonts w:ascii="Arial" w:hAnsi="Arial" w:cs="Arial"/>
              </w:rPr>
              <w:t>0.168</w:t>
            </w:r>
          </w:p>
        </w:tc>
        <w:tc>
          <w:tcPr>
            <w:tcW w:w="1815" w:type="dxa"/>
            <w:gridSpan w:val="3"/>
          </w:tcPr>
          <w:p w14:paraId="4DBBE279" w14:textId="77777777" w:rsidR="006E25BE" w:rsidRPr="00A67D5C" w:rsidRDefault="006E25BE" w:rsidP="0066301C">
            <w:pPr>
              <w:rPr>
                <w:rFonts w:ascii="Arial" w:hAnsi="Arial" w:cs="Arial"/>
              </w:rPr>
            </w:pPr>
            <w:r>
              <w:rPr>
                <w:rFonts w:ascii="Arial" w:hAnsi="Arial" w:cs="Arial"/>
              </w:rPr>
              <w:t>-0.421</w:t>
            </w:r>
          </w:p>
        </w:tc>
        <w:tc>
          <w:tcPr>
            <w:tcW w:w="1660" w:type="dxa"/>
          </w:tcPr>
          <w:p w14:paraId="3BEC2130" w14:textId="77777777" w:rsidR="006E25BE" w:rsidRPr="00A67D5C" w:rsidRDefault="006E25BE" w:rsidP="0066301C">
            <w:pPr>
              <w:rPr>
                <w:rFonts w:ascii="Arial" w:hAnsi="Arial" w:cs="Arial"/>
              </w:rPr>
            </w:pPr>
            <w:r>
              <w:rPr>
                <w:rFonts w:ascii="Arial" w:hAnsi="Arial" w:cs="Arial"/>
              </w:rPr>
              <w:t>0.677</w:t>
            </w:r>
          </w:p>
        </w:tc>
      </w:tr>
      <w:tr w:rsidR="006E25BE" w14:paraId="48F76ED2" w14:textId="77777777" w:rsidTr="004D74AB">
        <w:trPr>
          <w:trHeight w:val="288"/>
        </w:trPr>
        <w:tc>
          <w:tcPr>
            <w:tcW w:w="2969" w:type="dxa"/>
          </w:tcPr>
          <w:p w14:paraId="674C256D" w14:textId="77777777" w:rsidR="006E25BE" w:rsidRPr="0092077F" w:rsidRDefault="006E25BE" w:rsidP="0066301C">
            <w:pPr>
              <w:rPr>
                <w:rFonts w:ascii="Arial" w:hAnsi="Arial" w:cs="Arial"/>
              </w:rPr>
            </w:pPr>
            <w:r w:rsidRPr="0092077F">
              <w:rPr>
                <w:rFonts w:ascii="Arial" w:hAnsi="Arial" w:cs="Arial"/>
              </w:rPr>
              <w:lastRenderedPageBreak/>
              <w:t>ECM</w:t>
            </w:r>
            <w:r w:rsidRPr="0092077F">
              <w:rPr>
                <w:rFonts w:ascii="Arial" w:hAnsi="Arial" w:cs="Arial"/>
                <w:vertAlign w:val="subscript"/>
              </w:rPr>
              <w:t>t-1</w:t>
            </w:r>
          </w:p>
        </w:tc>
        <w:tc>
          <w:tcPr>
            <w:tcW w:w="1420" w:type="dxa"/>
          </w:tcPr>
          <w:p w14:paraId="6F44A77A" w14:textId="77777777" w:rsidR="006E25BE" w:rsidRPr="0092077F" w:rsidRDefault="006E25BE" w:rsidP="0066301C">
            <w:pPr>
              <w:rPr>
                <w:rFonts w:ascii="Arial" w:hAnsi="Arial" w:cs="Arial"/>
              </w:rPr>
            </w:pPr>
            <w:r w:rsidRPr="0092077F">
              <w:rPr>
                <w:rFonts w:ascii="Arial" w:hAnsi="Arial" w:cs="Arial"/>
              </w:rPr>
              <w:t>-0.917</w:t>
            </w:r>
          </w:p>
        </w:tc>
        <w:tc>
          <w:tcPr>
            <w:tcW w:w="1629" w:type="dxa"/>
          </w:tcPr>
          <w:p w14:paraId="37D9EE34" w14:textId="77777777" w:rsidR="006E25BE" w:rsidRPr="0092077F" w:rsidRDefault="006E25BE" w:rsidP="0066301C">
            <w:pPr>
              <w:rPr>
                <w:rFonts w:ascii="Arial" w:hAnsi="Arial" w:cs="Arial"/>
              </w:rPr>
            </w:pPr>
            <w:r w:rsidRPr="0092077F">
              <w:rPr>
                <w:rFonts w:ascii="Arial" w:hAnsi="Arial" w:cs="Arial"/>
              </w:rPr>
              <w:t>0.154</w:t>
            </w:r>
          </w:p>
        </w:tc>
        <w:tc>
          <w:tcPr>
            <w:tcW w:w="1815" w:type="dxa"/>
            <w:gridSpan w:val="3"/>
          </w:tcPr>
          <w:p w14:paraId="3E941689" w14:textId="77777777" w:rsidR="006E25BE" w:rsidRPr="0092077F" w:rsidRDefault="006E25BE" w:rsidP="0066301C">
            <w:pPr>
              <w:rPr>
                <w:rFonts w:ascii="Arial" w:hAnsi="Arial" w:cs="Arial"/>
              </w:rPr>
            </w:pPr>
            <w:r w:rsidRPr="0092077F">
              <w:rPr>
                <w:rFonts w:ascii="Arial" w:hAnsi="Arial" w:cs="Arial"/>
              </w:rPr>
              <w:t>-5.946</w:t>
            </w:r>
          </w:p>
        </w:tc>
        <w:tc>
          <w:tcPr>
            <w:tcW w:w="1660" w:type="dxa"/>
          </w:tcPr>
          <w:p w14:paraId="523150D9" w14:textId="77777777" w:rsidR="006E25BE" w:rsidRPr="0092077F" w:rsidRDefault="006E25BE" w:rsidP="0066301C">
            <w:pPr>
              <w:rPr>
                <w:rFonts w:ascii="Arial" w:hAnsi="Arial" w:cs="Arial"/>
              </w:rPr>
            </w:pPr>
            <w:r w:rsidRPr="0092077F">
              <w:rPr>
                <w:rFonts w:ascii="Arial" w:hAnsi="Arial" w:cs="Arial"/>
              </w:rPr>
              <w:t>0.000</w:t>
            </w:r>
          </w:p>
        </w:tc>
      </w:tr>
      <w:tr w:rsidR="006E25BE" w:rsidRPr="00A67D5C" w14:paraId="17B041B4" w14:textId="77777777" w:rsidTr="004D74AB">
        <w:trPr>
          <w:trHeight w:val="288"/>
        </w:trPr>
        <w:tc>
          <w:tcPr>
            <w:tcW w:w="9493" w:type="dxa"/>
            <w:gridSpan w:val="7"/>
          </w:tcPr>
          <w:p w14:paraId="57634DE5" w14:textId="77777777" w:rsidR="006E25BE" w:rsidRPr="008E5C32" w:rsidRDefault="006E25BE" w:rsidP="0066301C">
            <w:pPr>
              <w:jc w:val="center"/>
              <w:rPr>
                <w:rFonts w:ascii="Arial" w:hAnsi="Arial" w:cs="Arial"/>
                <w:b/>
                <w:bCs/>
              </w:rPr>
            </w:pPr>
            <w:r w:rsidRPr="008E5C32">
              <w:rPr>
                <w:rFonts w:ascii="Arial" w:hAnsi="Arial" w:cs="Arial"/>
                <w:b/>
                <w:bCs/>
              </w:rPr>
              <w:t>CAR</w:t>
            </w:r>
          </w:p>
        </w:tc>
      </w:tr>
      <w:tr w:rsidR="006E25BE" w:rsidRPr="00A67D5C" w14:paraId="158E4A32" w14:textId="77777777" w:rsidTr="004D74AB">
        <w:trPr>
          <w:trHeight w:val="288"/>
        </w:trPr>
        <w:tc>
          <w:tcPr>
            <w:tcW w:w="2969" w:type="dxa"/>
          </w:tcPr>
          <w:p w14:paraId="5FD5655D" w14:textId="77777777" w:rsidR="006E25BE" w:rsidRPr="00A67D5C" w:rsidRDefault="006E25BE" w:rsidP="0066301C">
            <w:pPr>
              <w:jc w:val="center"/>
              <w:rPr>
                <w:rFonts w:ascii="Arial" w:hAnsi="Arial" w:cs="Arial"/>
                <w:b/>
                <w:bCs/>
              </w:rPr>
            </w:pPr>
            <w:r w:rsidRPr="00A67D5C">
              <w:rPr>
                <w:rFonts w:ascii="Arial" w:hAnsi="Arial" w:cs="Arial"/>
                <w:b/>
                <w:bCs/>
              </w:rPr>
              <w:t>Variable</w:t>
            </w:r>
          </w:p>
        </w:tc>
        <w:tc>
          <w:tcPr>
            <w:tcW w:w="1420" w:type="dxa"/>
          </w:tcPr>
          <w:p w14:paraId="189E8BDC" w14:textId="77777777" w:rsidR="006E25BE" w:rsidRPr="00A67D5C" w:rsidRDefault="006E25BE" w:rsidP="0066301C">
            <w:pPr>
              <w:jc w:val="center"/>
              <w:rPr>
                <w:rFonts w:ascii="Arial" w:hAnsi="Arial" w:cs="Arial"/>
                <w:b/>
                <w:bCs/>
              </w:rPr>
            </w:pPr>
            <w:r w:rsidRPr="00A67D5C">
              <w:rPr>
                <w:rFonts w:ascii="Arial" w:hAnsi="Arial" w:cs="Arial"/>
                <w:b/>
                <w:bCs/>
              </w:rPr>
              <w:t>Coefficient</w:t>
            </w:r>
          </w:p>
        </w:tc>
        <w:tc>
          <w:tcPr>
            <w:tcW w:w="1702" w:type="dxa"/>
            <w:gridSpan w:val="2"/>
          </w:tcPr>
          <w:p w14:paraId="1568400E" w14:textId="77777777" w:rsidR="006E25BE" w:rsidRPr="00A67D5C" w:rsidRDefault="006E25BE" w:rsidP="0066301C">
            <w:pPr>
              <w:jc w:val="center"/>
              <w:rPr>
                <w:rFonts w:ascii="Arial" w:hAnsi="Arial" w:cs="Arial"/>
                <w:b/>
                <w:bCs/>
              </w:rPr>
            </w:pPr>
            <w:r w:rsidRPr="00A67D5C">
              <w:rPr>
                <w:rFonts w:ascii="Arial" w:hAnsi="Arial" w:cs="Arial"/>
                <w:b/>
                <w:bCs/>
              </w:rPr>
              <w:t>Std. Error</w:t>
            </w:r>
          </w:p>
        </w:tc>
        <w:tc>
          <w:tcPr>
            <w:tcW w:w="1701" w:type="dxa"/>
          </w:tcPr>
          <w:p w14:paraId="5B6E175A" w14:textId="77777777" w:rsidR="006E25BE" w:rsidRPr="00A67D5C" w:rsidRDefault="006E25BE" w:rsidP="0066301C">
            <w:pPr>
              <w:jc w:val="center"/>
              <w:rPr>
                <w:rFonts w:ascii="Arial" w:hAnsi="Arial" w:cs="Arial"/>
                <w:b/>
                <w:bCs/>
              </w:rPr>
            </w:pPr>
            <w:r w:rsidRPr="00A67D5C">
              <w:rPr>
                <w:rFonts w:ascii="Arial" w:hAnsi="Arial" w:cs="Arial"/>
                <w:b/>
                <w:bCs/>
              </w:rPr>
              <w:t>t-statistic</w:t>
            </w:r>
          </w:p>
        </w:tc>
        <w:tc>
          <w:tcPr>
            <w:tcW w:w="1701" w:type="dxa"/>
            <w:gridSpan w:val="2"/>
          </w:tcPr>
          <w:p w14:paraId="2982AF5D" w14:textId="77777777" w:rsidR="006E25BE" w:rsidRPr="00A67D5C" w:rsidRDefault="006E25BE" w:rsidP="0066301C">
            <w:pPr>
              <w:jc w:val="center"/>
              <w:rPr>
                <w:rFonts w:ascii="Arial" w:hAnsi="Arial" w:cs="Arial"/>
                <w:b/>
                <w:bCs/>
              </w:rPr>
            </w:pPr>
            <w:r w:rsidRPr="00A67D5C">
              <w:rPr>
                <w:rFonts w:ascii="Arial" w:hAnsi="Arial" w:cs="Arial"/>
                <w:b/>
                <w:bCs/>
              </w:rPr>
              <w:t>Prob.</w:t>
            </w:r>
          </w:p>
        </w:tc>
      </w:tr>
      <w:tr w:rsidR="006E25BE" w:rsidRPr="00A67D5C" w14:paraId="4B2B6DE0" w14:textId="77777777" w:rsidTr="004D74AB">
        <w:trPr>
          <w:trHeight w:val="288"/>
        </w:trPr>
        <w:tc>
          <w:tcPr>
            <w:tcW w:w="2969" w:type="dxa"/>
          </w:tcPr>
          <w:p w14:paraId="0EC1179D" w14:textId="77777777" w:rsidR="006E25BE" w:rsidRPr="00A67D5C" w:rsidRDefault="006E25BE" w:rsidP="0066301C">
            <w:pPr>
              <w:rPr>
                <w:rFonts w:ascii="Arial" w:hAnsi="Arial" w:cs="Arial"/>
                <w:sz w:val="20"/>
                <w:szCs w:val="20"/>
                <w:vertAlign w:val="subscript"/>
              </w:rPr>
            </w:pPr>
            <w:r w:rsidRPr="00A67D5C">
              <w:rPr>
                <w:rFonts w:ascii="Arial" w:hAnsi="Arial" w:cs="Arial"/>
                <w:sz w:val="20"/>
                <w:szCs w:val="20"/>
              </w:rPr>
              <w:t xml:space="preserve">Dependent variable </w:t>
            </w:r>
            <w:r w:rsidRPr="00A67D5C">
              <w:rPr>
                <w:rFonts w:ascii="Arial" w:hAnsi="Arial" w:cs="Arial"/>
              </w:rPr>
              <w:t>∆LNTB</w:t>
            </w:r>
            <w:r w:rsidRPr="00A67D5C">
              <w:rPr>
                <w:rFonts w:ascii="Arial" w:hAnsi="Arial" w:cs="Arial"/>
                <w:vertAlign w:val="subscript"/>
              </w:rPr>
              <w:t>t</w:t>
            </w:r>
          </w:p>
        </w:tc>
        <w:tc>
          <w:tcPr>
            <w:tcW w:w="1420" w:type="dxa"/>
          </w:tcPr>
          <w:p w14:paraId="20B3A566" w14:textId="77777777" w:rsidR="006E25BE" w:rsidRPr="00A67D5C" w:rsidRDefault="006E25BE" w:rsidP="0066301C">
            <w:pPr>
              <w:rPr>
                <w:rFonts w:ascii="Arial" w:hAnsi="Arial" w:cs="Arial"/>
              </w:rPr>
            </w:pPr>
          </w:p>
        </w:tc>
        <w:tc>
          <w:tcPr>
            <w:tcW w:w="1702" w:type="dxa"/>
            <w:gridSpan w:val="2"/>
          </w:tcPr>
          <w:p w14:paraId="26DCF8D9" w14:textId="77777777" w:rsidR="006E25BE" w:rsidRPr="00A67D5C" w:rsidRDefault="006E25BE" w:rsidP="0066301C">
            <w:pPr>
              <w:rPr>
                <w:rFonts w:ascii="Arial" w:hAnsi="Arial" w:cs="Arial"/>
              </w:rPr>
            </w:pPr>
          </w:p>
        </w:tc>
        <w:tc>
          <w:tcPr>
            <w:tcW w:w="1701" w:type="dxa"/>
          </w:tcPr>
          <w:p w14:paraId="0643588E" w14:textId="77777777" w:rsidR="006E25BE" w:rsidRPr="00A67D5C" w:rsidRDefault="006E25BE" w:rsidP="0066301C">
            <w:pPr>
              <w:rPr>
                <w:rFonts w:ascii="Arial" w:hAnsi="Arial" w:cs="Arial"/>
              </w:rPr>
            </w:pPr>
          </w:p>
        </w:tc>
        <w:tc>
          <w:tcPr>
            <w:tcW w:w="1701" w:type="dxa"/>
            <w:gridSpan w:val="2"/>
          </w:tcPr>
          <w:p w14:paraId="60A8EA25" w14:textId="77777777" w:rsidR="006E25BE" w:rsidRPr="00A67D5C" w:rsidRDefault="006E25BE" w:rsidP="0066301C">
            <w:pPr>
              <w:rPr>
                <w:rFonts w:ascii="Arial" w:hAnsi="Arial" w:cs="Arial"/>
              </w:rPr>
            </w:pPr>
          </w:p>
        </w:tc>
      </w:tr>
      <w:tr w:rsidR="006E25BE" w:rsidRPr="00A67D5C" w14:paraId="1E84ABDF" w14:textId="77777777" w:rsidTr="004D74AB">
        <w:trPr>
          <w:trHeight w:val="301"/>
        </w:trPr>
        <w:tc>
          <w:tcPr>
            <w:tcW w:w="2969" w:type="dxa"/>
          </w:tcPr>
          <w:p w14:paraId="5C22FB72" w14:textId="77777777" w:rsidR="006E25BE" w:rsidRPr="00A67D5C" w:rsidRDefault="006E25BE" w:rsidP="0066301C">
            <w:pPr>
              <w:rPr>
                <w:rFonts w:ascii="Arial" w:hAnsi="Arial" w:cs="Arial"/>
                <w:b/>
                <w:bCs/>
              </w:rPr>
            </w:pPr>
            <w:r w:rsidRPr="00A67D5C">
              <w:rPr>
                <w:rFonts w:ascii="Arial" w:hAnsi="Arial" w:cs="Arial"/>
                <w:b/>
                <w:bCs/>
              </w:rPr>
              <w:t>Long-run elasticities</w:t>
            </w:r>
          </w:p>
        </w:tc>
        <w:tc>
          <w:tcPr>
            <w:tcW w:w="1420" w:type="dxa"/>
          </w:tcPr>
          <w:p w14:paraId="451532C9" w14:textId="77777777" w:rsidR="006E25BE" w:rsidRPr="00A67D5C" w:rsidRDefault="006E25BE" w:rsidP="0066301C">
            <w:pPr>
              <w:rPr>
                <w:rFonts w:ascii="Arial" w:hAnsi="Arial" w:cs="Arial"/>
              </w:rPr>
            </w:pPr>
          </w:p>
        </w:tc>
        <w:tc>
          <w:tcPr>
            <w:tcW w:w="1702" w:type="dxa"/>
            <w:gridSpan w:val="2"/>
          </w:tcPr>
          <w:p w14:paraId="594A11D9" w14:textId="77777777" w:rsidR="006E25BE" w:rsidRPr="00A67D5C" w:rsidRDefault="006E25BE" w:rsidP="0066301C">
            <w:pPr>
              <w:rPr>
                <w:rFonts w:ascii="Arial" w:hAnsi="Arial" w:cs="Arial"/>
              </w:rPr>
            </w:pPr>
          </w:p>
        </w:tc>
        <w:tc>
          <w:tcPr>
            <w:tcW w:w="1701" w:type="dxa"/>
          </w:tcPr>
          <w:p w14:paraId="099BA0F4" w14:textId="77777777" w:rsidR="006E25BE" w:rsidRPr="00A67D5C" w:rsidRDefault="006E25BE" w:rsidP="0066301C">
            <w:pPr>
              <w:rPr>
                <w:rFonts w:ascii="Arial" w:hAnsi="Arial" w:cs="Arial"/>
              </w:rPr>
            </w:pPr>
          </w:p>
        </w:tc>
        <w:tc>
          <w:tcPr>
            <w:tcW w:w="1701" w:type="dxa"/>
            <w:gridSpan w:val="2"/>
          </w:tcPr>
          <w:p w14:paraId="327A726E" w14:textId="77777777" w:rsidR="006E25BE" w:rsidRPr="00A67D5C" w:rsidRDefault="006E25BE" w:rsidP="0066301C">
            <w:pPr>
              <w:rPr>
                <w:rFonts w:ascii="Arial" w:hAnsi="Arial" w:cs="Arial"/>
              </w:rPr>
            </w:pPr>
          </w:p>
        </w:tc>
      </w:tr>
      <w:tr w:rsidR="006E25BE" w:rsidRPr="00A67D5C" w14:paraId="2091AA2F" w14:textId="77777777" w:rsidTr="004D74AB">
        <w:trPr>
          <w:trHeight w:val="288"/>
        </w:trPr>
        <w:tc>
          <w:tcPr>
            <w:tcW w:w="2969" w:type="dxa"/>
          </w:tcPr>
          <w:p w14:paraId="62C24F8B" w14:textId="77777777" w:rsidR="006E25BE" w:rsidRPr="00A67D5C" w:rsidRDefault="006E25BE" w:rsidP="0066301C">
            <w:pPr>
              <w:rPr>
                <w:rFonts w:ascii="Arial" w:hAnsi="Arial" w:cs="Arial"/>
              </w:rPr>
            </w:pPr>
            <w:r w:rsidRPr="00A67D5C">
              <w:rPr>
                <w:rFonts w:ascii="Arial" w:hAnsi="Arial" w:cs="Arial"/>
              </w:rPr>
              <w:t>C</w:t>
            </w:r>
          </w:p>
        </w:tc>
        <w:tc>
          <w:tcPr>
            <w:tcW w:w="1420" w:type="dxa"/>
          </w:tcPr>
          <w:p w14:paraId="537276EA" w14:textId="77777777" w:rsidR="006E25BE" w:rsidRPr="00A67D5C" w:rsidRDefault="006E25BE" w:rsidP="0066301C">
            <w:pPr>
              <w:rPr>
                <w:rFonts w:ascii="Arial" w:hAnsi="Arial" w:cs="Arial"/>
              </w:rPr>
            </w:pPr>
            <w:r>
              <w:rPr>
                <w:rFonts w:ascii="Arial" w:hAnsi="Arial" w:cs="Arial"/>
              </w:rPr>
              <w:t>12.539</w:t>
            </w:r>
          </w:p>
        </w:tc>
        <w:tc>
          <w:tcPr>
            <w:tcW w:w="1702" w:type="dxa"/>
            <w:gridSpan w:val="2"/>
          </w:tcPr>
          <w:p w14:paraId="6948CCAA" w14:textId="77777777" w:rsidR="006E25BE" w:rsidRPr="00A67D5C" w:rsidRDefault="006E25BE" w:rsidP="0066301C">
            <w:pPr>
              <w:rPr>
                <w:rFonts w:ascii="Arial" w:hAnsi="Arial" w:cs="Arial"/>
              </w:rPr>
            </w:pPr>
            <w:r>
              <w:rPr>
                <w:rFonts w:ascii="Arial" w:hAnsi="Arial" w:cs="Arial"/>
              </w:rPr>
              <w:t>2.423</w:t>
            </w:r>
          </w:p>
        </w:tc>
        <w:tc>
          <w:tcPr>
            <w:tcW w:w="1701" w:type="dxa"/>
          </w:tcPr>
          <w:p w14:paraId="28E097E9" w14:textId="77777777" w:rsidR="006E25BE" w:rsidRPr="00A67D5C" w:rsidRDefault="006E25BE" w:rsidP="0066301C">
            <w:pPr>
              <w:rPr>
                <w:rFonts w:ascii="Arial" w:hAnsi="Arial" w:cs="Arial"/>
              </w:rPr>
            </w:pPr>
            <w:r>
              <w:rPr>
                <w:rFonts w:ascii="Arial" w:hAnsi="Arial" w:cs="Arial"/>
              </w:rPr>
              <w:t>5.176</w:t>
            </w:r>
          </w:p>
        </w:tc>
        <w:tc>
          <w:tcPr>
            <w:tcW w:w="1701" w:type="dxa"/>
            <w:gridSpan w:val="2"/>
          </w:tcPr>
          <w:p w14:paraId="4B308CAD" w14:textId="77777777" w:rsidR="006E25BE" w:rsidRPr="00A67D5C" w:rsidRDefault="006E25BE" w:rsidP="0066301C">
            <w:pPr>
              <w:rPr>
                <w:rFonts w:ascii="Arial" w:hAnsi="Arial" w:cs="Arial"/>
              </w:rPr>
            </w:pPr>
            <w:r>
              <w:rPr>
                <w:rFonts w:ascii="Arial" w:hAnsi="Arial" w:cs="Arial"/>
              </w:rPr>
              <w:t>0.000</w:t>
            </w:r>
          </w:p>
        </w:tc>
      </w:tr>
      <w:tr w:rsidR="006E25BE" w:rsidRPr="00A67D5C" w14:paraId="07C5FAE2" w14:textId="77777777" w:rsidTr="004D74AB">
        <w:trPr>
          <w:trHeight w:val="288"/>
        </w:trPr>
        <w:tc>
          <w:tcPr>
            <w:tcW w:w="2969" w:type="dxa"/>
          </w:tcPr>
          <w:p w14:paraId="0F3A7EAE" w14:textId="77777777" w:rsidR="006E25BE" w:rsidRPr="00A67D5C" w:rsidRDefault="006E25BE" w:rsidP="0066301C">
            <w:pPr>
              <w:rPr>
                <w:rFonts w:ascii="Arial" w:hAnsi="Arial" w:cs="Arial"/>
              </w:rPr>
            </w:pPr>
            <w:r w:rsidRPr="00A67D5C">
              <w:rPr>
                <w:rFonts w:ascii="Arial" w:hAnsi="Arial" w:cs="Arial"/>
              </w:rPr>
              <w:t>LNREER</w:t>
            </w:r>
          </w:p>
        </w:tc>
        <w:tc>
          <w:tcPr>
            <w:tcW w:w="1420" w:type="dxa"/>
          </w:tcPr>
          <w:p w14:paraId="521A9620" w14:textId="77777777" w:rsidR="006E25BE" w:rsidRPr="00A67D5C" w:rsidRDefault="006E25BE" w:rsidP="0066301C">
            <w:pPr>
              <w:rPr>
                <w:rFonts w:ascii="Arial" w:hAnsi="Arial" w:cs="Arial"/>
              </w:rPr>
            </w:pPr>
            <w:r>
              <w:rPr>
                <w:rFonts w:ascii="Arial" w:hAnsi="Arial" w:cs="Arial"/>
              </w:rPr>
              <w:t>-0.740</w:t>
            </w:r>
          </w:p>
        </w:tc>
        <w:tc>
          <w:tcPr>
            <w:tcW w:w="1702" w:type="dxa"/>
            <w:gridSpan w:val="2"/>
          </w:tcPr>
          <w:p w14:paraId="60FE3D50" w14:textId="77777777" w:rsidR="006E25BE" w:rsidRPr="00A67D5C" w:rsidRDefault="006E25BE" w:rsidP="0066301C">
            <w:pPr>
              <w:rPr>
                <w:rFonts w:ascii="Arial" w:hAnsi="Arial" w:cs="Arial"/>
              </w:rPr>
            </w:pPr>
            <w:r>
              <w:rPr>
                <w:rFonts w:ascii="Arial" w:hAnsi="Arial" w:cs="Arial"/>
              </w:rPr>
              <w:t>0.081</w:t>
            </w:r>
          </w:p>
        </w:tc>
        <w:tc>
          <w:tcPr>
            <w:tcW w:w="1701" w:type="dxa"/>
          </w:tcPr>
          <w:p w14:paraId="1483114A" w14:textId="77777777" w:rsidR="006E25BE" w:rsidRPr="00A67D5C" w:rsidRDefault="006E25BE" w:rsidP="0066301C">
            <w:pPr>
              <w:rPr>
                <w:rFonts w:ascii="Arial" w:hAnsi="Arial" w:cs="Arial"/>
              </w:rPr>
            </w:pPr>
            <w:r>
              <w:rPr>
                <w:rFonts w:ascii="Arial" w:hAnsi="Arial" w:cs="Arial"/>
              </w:rPr>
              <w:t>-9.158</w:t>
            </w:r>
          </w:p>
        </w:tc>
        <w:tc>
          <w:tcPr>
            <w:tcW w:w="1701" w:type="dxa"/>
            <w:gridSpan w:val="2"/>
          </w:tcPr>
          <w:p w14:paraId="033AF497" w14:textId="77777777" w:rsidR="006E25BE" w:rsidRPr="00A67D5C" w:rsidRDefault="006E25BE" w:rsidP="0066301C">
            <w:pPr>
              <w:rPr>
                <w:rFonts w:ascii="Arial" w:hAnsi="Arial" w:cs="Arial"/>
              </w:rPr>
            </w:pPr>
            <w:r>
              <w:rPr>
                <w:rFonts w:ascii="Arial" w:hAnsi="Arial" w:cs="Arial"/>
              </w:rPr>
              <w:t>0.000</w:t>
            </w:r>
          </w:p>
        </w:tc>
      </w:tr>
      <w:tr w:rsidR="006E25BE" w:rsidRPr="00A67D5C" w14:paraId="01A96B16" w14:textId="77777777" w:rsidTr="004D74AB">
        <w:trPr>
          <w:trHeight w:val="288"/>
        </w:trPr>
        <w:tc>
          <w:tcPr>
            <w:tcW w:w="2969" w:type="dxa"/>
          </w:tcPr>
          <w:p w14:paraId="51366228" w14:textId="77777777" w:rsidR="006E25BE" w:rsidRPr="00A67D5C" w:rsidRDefault="006E25BE" w:rsidP="0066301C">
            <w:pPr>
              <w:rPr>
                <w:rFonts w:ascii="Arial" w:hAnsi="Arial" w:cs="Arial"/>
              </w:rPr>
            </w:pPr>
            <w:r w:rsidRPr="00A67D5C">
              <w:rPr>
                <w:rFonts w:ascii="Arial" w:hAnsi="Arial" w:cs="Arial"/>
              </w:rPr>
              <w:t>LNDI</w:t>
            </w:r>
          </w:p>
        </w:tc>
        <w:tc>
          <w:tcPr>
            <w:tcW w:w="1420" w:type="dxa"/>
          </w:tcPr>
          <w:p w14:paraId="2E606FE4" w14:textId="77777777" w:rsidR="006E25BE" w:rsidRPr="00A67D5C" w:rsidRDefault="006E25BE" w:rsidP="0066301C">
            <w:pPr>
              <w:rPr>
                <w:rFonts w:ascii="Arial" w:hAnsi="Arial" w:cs="Arial"/>
              </w:rPr>
            </w:pPr>
            <w:r>
              <w:rPr>
                <w:rFonts w:ascii="Arial" w:hAnsi="Arial" w:cs="Arial"/>
              </w:rPr>
              <w:t>-0.003</w:t>
            </w:r>
          </w:p>
        </w:tc>
        <w:tc>
          <w:tcPr>
            <w:tcW w:w="1702" w:type="dxa"/>
            <w:gridSpan w:val="2"/>
          </w:tcPr>
          <w:p w14:paraId="44B14070" w14:textId="77777777" w:rsidR="006E25BE" w:rsidRPr="00A67D5C" w:rsidRDefault="006E25BE" w:rsidP="0066301C">
            <w:pPr>
              <w:rPr>
                <w:rFonts w:ascii="Arial" w:hAnsi="Arial" w:cs="Arial"/>
              </w:rPr>
            </w:pPr>
            <w:r>
              <w:rPr>
                <w:rFonts w:ascii="Arial" w:hAnsi="Arial" w:cs="Arial"/>
              </w:rPr>
              <w:t>0.101</w:t>
            </w:r>
          </w:p>
        </w:tc>
        <w:tc>
          <w:tcPr>
            <w:tcW w:w="1701" w:type="dxa"/>
          </w:tcPr>
          <w:p w14:paraId="5F01F4E2" w14:textId="77777777" w:rsidR="006E25BE" w:rsidRPr="00A67D5C" w:rsidRDefault="006E25BE" w:rsidP="0066301C">
            <w:pPr>
              <w:rPr>
                <w:rFonts w:ascii="Arial" w:hAnsi="Arial" w:cs="Arial"/>
              </w:rPr>
            </w:pPr>
            <w:r>
              <w:rPr>
                <w:rFonts w:ascii="Arial" w:hAnsi="Arial" w:cs="Arial"/>
              </w:rPr>
              <w:t>-0.032</w:t>
            </w:r>
          </w:p>
        </w:tc>
        <w:tc>
          <w:tcPr>
            <w:tcW w:w="1701" w:type="dxa"/>
            <w:gridSpan w:val="2"/>
          </w:tcPr>
          <w:p w14:paraId="691C6707" w14:textId="77777777" w:rsidR="006E25BE" w:rsidRPr="00A67D5C" w:rsidRDefault="006E25BE" w:rsidP="0066301C">
            <w:pPr>
              <w:rPr>
                <w:rFonts w:ascii="Arial" w:hAnsi="Arial" w:cs="Arial"/>
              </w:rPr>
            </w:pPr>
            <w:r>
              <w:rPr>
                <w:rFonts w:ascii="Arial" w:hAnsi="Arial" w:cs="Arial"/>
              </w:rPr>
              <w:t>0.974</w:t>
            </w:r>
          </w:p>
        </w:tc>
      </w:tr>
      <w:tr w:rsidR="006E25BE" w:rsidRPr="00A67D5C" w14:paraId="28CEFED2" w14:textId="77777777" w:rsidTr="004D74AB">
        <w:trPr>
          <w:trHeight w:val="288"/>
        </w:trPr>
        <w:tc>
          <w:tcPr>
            <w:tcW w:w="2969" w:type="dxa"/>
          </w:tcPr>
          <w:p w14:paraId="5B7DE1EA" w14:textId="77777777" w:rsidR="006E25BE" w:rsidRPr="00A67D5C" w:rsidRDefault="006E25BE" w:rsidP="0066301C">
            <w:pPr>
              <w:rPr>
                <w:rFonts w:ascii="Arial" w:hAnsi="Arial" w:cs="Arial"/>
              </w:rPr>
            </w:pPr>
            <w:r w:rsidRPr="00A67D5C">
              <w:rPr>
                <w:rFonts w:ascii="Arial" w:hAnsi="Arial" w:cs="Arial"/>
              </w:rPr>
              <w:t>LN</w:t>
            </w:r>
            <w:r>
              <w:rPr>
                <w:rFonts w:ascii="Arial" w:hAnsi="Arial" w:cs="Arial"/>
              </w:rPr>
              <w:t>PARTNER</w:t>
            </w:r>
            <w:r w:rsidRPr="00A67D5C">
              <w:rPr>
                <w:rFonts w:ascii="Arial" w:hAnsi="Arial" w:cs="Arial"/>
              </w:rPr>
              <w:t>FI</w:t>
            </w:r>
          </w:p>
        </w:tc>
        <w:tc>
          <w:tcPr>
            <w:tcW w:w="1420" w:type="dxa"/>
          </w:tcPr>
          <w:p w14:paraId="0750AD52" w14:textId="77777777" w:rsidR="006E25BE" w:rsidRPr="00A67D5C" w:rsidRDefault="006E25BE" w:rsidP="0066301C">
            <w:pPr>
              <w:rPr>
                <w:rFonts w:ascii="Arial" w:hAnsi="Arial" w:cs="Arial"/>
              </w:rPr>
            </w:pPr>
            <w:r>
              <w:rPr>
                <w:rFonts w:ascii="Arial" w:hAnsi="Arial" w:cs="Arial"/>
              </w:rPr>
              <w:t>-0.295</w:t>
            </w:r>
          </w:p>
        </w:tc>
        <w:tc>
          <w:tcPr>
            <w:tcW w:w="1702" w:type="dxa"/>
            <w:gridSpan w:val="2"/>
          </w:tcPr>
          <w:p w14:paraId="3D15E387" w14:textId="77777777" w:rsidR="006E25BE" w:rsidRPr="00A67D5C" w:rsidRDefault="006E25BE" w:rsidP="0066301C">
            <w:pPr>
              <w:rPr>
                <w:rFonts w:ascii="Arial" w:hAnsi="Arial" w:cs="Arial"/>
              </w:rPr>
            </w:pPr>
            <w:r>
              <w:rPr>
                <w:rFonts w:ascii="Arial" w:hAnsi="Arial" w:cs="Arial"/>
              </w:rPr>
              <w:t>0.045</w:t>
            </w:r>
          </w:p>
        </w:tc>
        <w:tc>
          <w:tcPr>
            <w:tcW w:w="1701" w:type="dxa"/>
          </w:tcPr>
          <w:p w14:paraId="0BC6897D" w14:textId="77777777" w:rsidR="006E25BE" w:rsidRPr="00A67D5C" w:rsidRDefault="006E25BE" w:rsidP="0066301C">
            <w:pPr>
              <w:rPr>
                <w:rFonts w:ascii="Arial" w:hAnsi="Arial" w:cs="Arial"/>
              </w:rPr>
            </w:pPr>
            <w:r>
              <w:rPr>
                <w:rFonts w:ascii="Arial" w:hAnsi="Arial" w:cs="Arial"/>
              </w:rPr>
              <w:t>-6.609</w:t>
            </w:r>
          </w:p>
        </w:tc>
        <w:tc>
          <w:tcPr>
            <w:tcW w:w="1701" w:type="dxa"/>
            <w:gridSpan w:val="2"/>
          </w:tcPr>
          <w:p w14:paraId="5A9532E9" w14:textId="77777777" w:rsidR="006E25BE" w:rsidRPr="00A67D5C" w:rsidRDefault="006E25BE" w:rsidP="0066301C">
            <w:pPr>
              <w:rPr>
                <w:rFonts w:ascii="Arial" w:hAnsi="Arial" w:cs="Arial"/>
              </w:rPr>
            </w:pPr>
            <w:r>
              <w:rPr>
                <w:rFonts w:ascii="Arial" w:hAnsi="Arial" w:cs="Arial"/>
              </w:rPr>
              <w:t>0.000</w:t>
            </w:r>
          </w:p>
        </w:tc>
      </w:tr>
      <w:tr w:rsidR="006E25BE" w:rsidRPr="00A67D5C" w14:paraId="4FE793E6" w14:textId="77777777" w:rsidTr="004D74AB">
        <w:trPr>
          <w:trHeight w:val="288"/>
        </w:trPr>
        <w:tc>
          <w:tcPr>
            <w:tcW w:w="2969" w:type="dxa"/>
          </w:tcPr>
          <w:p w14:paraId="28128087" w14:textId="77777777" w:rsidR="006E25BE" w:rsidRPr="00A67D5C" w:rsidRDefault="006E25BE" w:rsidP="0066301C">
            <w:pPr>
              <w:rPr>
                <w:rFonts w:ascii="Arial" w:hAnsi="Arial" w:cs="Arial"/>
                <w:b/>
                <w:bCs/>
              </w:rPr>
            </w:pPr>
            <w:r w:rsidRPr="00A67D5C">
              <w:rPr>
                <w:rFonts w:ascii="Arial" w:hAnsi="Arial" w:cs="Arial"/>
                <w:b/>
                <w:bCs/>
              </w:rPr>
              <w:t>Short-run elasticities</w:t>
            </w:r>
          </w:p>
        </w:tc>
        <w:tc>
          <w:tcPr>
            <w:tcW w:w="1420" w:type="dxa"/>
          </w:tcPr>
          <w:p w14:paraId="68D98465" w14:textId="77777777" w:rsidR="006E25BE" w:rsidRPr="00A67D5C" w:rsidRDefault="006E25BE" w:rsidP="0066301C">
            <w:pPr>
              <w:rPr>
                <w:rFonts w:ascii="Arial" w:hAnsi="Arial" w:cs="Arial"/>
              </w:rPr>
            </w:pPr>
          </w:p>
        </w:tc>
        <w:tc>
          <w:tcPr>
            <w:tcW w:w="1702" w:type="dxa"/>
            <w:gridSpan w:val="2"/>
          </w:tcPr>
          <w:p w14:paraId="7BB91039" w14:textId="77777777" w:rsidR="006E25BE" w:rsidRPr="00A67D5C" w:rsidRDefault="006E25BE" w:rsidP="0066301C">
            <w:pPr>
              <w:rPr>
                <w:rFonts w:ascii="Arial" w:hAnsi="Arial" w:cs="Arial"/>
              </w:rPr>
            </w:pPr>
          </w:p>
        </w:tc>
        <w:tc>
          <w:tcPr>
            <w:tcW w:w="1701" w:type="dxa"/>
          </w:tcPr>
          <w:p w14:paraId="05B04C61" w14:textId="77777777" w:rsidR="006E25BE" w:rsidRPr="00A67D5C" w:rsidRDefault="006E25BE" w:rsidP="0066301C">
            <w:pPr>
              <w:rPr>
                <w:rFonts w:ascii="Arial" w:hAnsi="Arial" w:cs="Arial"/>
              </w:rPr>
            </w:pPr>
          </w:p>
        </w:tc>
        <w:tc>
          <w:tcPr>
            <w:tcW w:w="1701" w:type="dxa"/>
            <w:gridSpan w:val="2"/>
          </w:tcPr>
          <w:p w14:paraId="576EC77B" w14:textId="77777777" w:rsidR="006E25BE" w:rsidRPr="00A67D5C" w:rsidRDefault="006E25BE" w:rsidP="0066301C">
            <w:pPr>
              <w:rPr>
                <w:rFonts w:ascii="Arial" w:hAnsi="Arial" w:cs="Arial"/>
              </w:rPr>
            </w:pPr>
          </w:p>
        </w:tc>
      </w:tr>
      <w:tr w:rsidR="006E25BE" w:rsidRPr="00A67D5C" w14:paraId="33C40DB0" w14:textId="77777777" w:rsidTr="004D74AB">
        <w:trPr>
          <w:trHeight w:val="288"/>
        </w:trPr>
        <w:tc>
          <w:tcPr>
            <w:tcW w:w="2969" w:type="dxa"/>
          </w:tcPr>
          <w:p w14:paraId="0221ACB6" w14:textId="77777777" w:rsidR="006E25BE" w:rsidRPr="00A67D5C" w:rsidRDefault="006E25BE" w:rsidP="0066301C">
            <w:pPr>
              <w:rPr>
                <w:rFonts w:ascii="Arial" w:hAnsi="Arial" w:cs="Arial"/>
              </w:rPr>
            </w:pPr>
            <w:r w:rsidRPr="00A67D5C">
              <w:rPr>
                <w:rFonts w:ascii="Arial" w:hAnsi="Arial" w:cs="Arial"/>
              </w:rPr>
              <w:t>C</w:t>
            </w:r>
          </w:p>
        </w:tc>
        <w:tc>
          <w:tcPr>
            <w:tcW w:w="1420" w:type="dxa"/>
          </w:tcPr>
          <w:p w14:paraId="60EB6089" w14:textId="77777777" w:rsidR="006E25BE" w:rsidRPr="00A67D5C" w:rsidRDefault="006E25BE" w:rsidP="0066301C">
            <w:pPr>
              <w:rPr>
                <w:rFonts w:ascii="Arial" w:hAnsi="Arial" w:cs="Arial"/>
              </w:rPr>
            </w:pPr>
            <w:r>
              <w:rPr>
                <w:rFonts w:ascii="Arial" w:hAnsi="Arial" w:cs="Arial"/>
              </w:rPr>
              <w:t>12.539</w:t>
            </w:r>
          </w:p>
        </w:tc>
        <w:tc>
          <w:tcPr>
            <w:tcW w:w="1702" w:type="dxa"/>
            <w:gridSpan w:val="2"/>
          </w:tcPr>
          <w:p w14:paraId="40E35E3C" w14:textId="77777777" w:rsidR="006E25BE" w:rsidRPr="00A67D5C" w:rsidRDefault="006E25BE" w:rsidP="0066301C">
            <w:pPr>
              <w:rPr>
                <w:rFonts w:ascii="Arial" w:hAnsi="Arial" w:cs="Arial"/>
              </w:rPr>
            </w:pPr>
            <w:r>
              <w:rPr>
                <w:rFonts w:ascii="Arial" w:hAnsi="Arial" w:cs="Arial"/>
              </w:rPr>
              <w:t>2.031</w:t>
            </w:r>
          </w:p>
        </w:tc>
        <w:tc>
          <w:tcPr>
            <w:tcW w:w="1701" w:type="dxa"/>
          </w:tcPr>
          <w:p w14:paraId="6DA2F4F1" w14:textId="77777777" w:rsidR="006E25BE" w:rsidRPr="00A67D5C" w:rsidRDefault="006E25BE" w:rsidP="0066301C">
            <w:pPr>
              <w:rPr>
                <w:rFonts w:ascii="Arial" w:hAnsi="Arial" w:cs="Arial"/>
              </w:rPr>
            </w:pPr>
            <w:r>
              <w:rPr>
                <w:rFonts w:ascii="Arial" w:hAnsi="Arial" w:cs="Arial"/>
              </w:rPr>
              <w:t>6.172</w:t>
            </w:r>
          </w:p>
        </w:tc>
        <w:tc>
          <w:tcPr>
            <w:tcW w:w="1701" w:type="dxa"/>
            <w:gridSpan w:val="2"/>
          </w:tcPr>
          <w:p w14:paraId="1F9BB6E4" w14:textId="77777777" w:rsidR="006E25BE" w:rsidRPr="00A67D5C" w:rsidRDefault="006E25BE" w:rsidP="0066301C">
            <w:pPr>
              <w:rPr>
                <w:rFonts w:ascii="Arial" w:hAnsi="Arial" w:cs="Arial"/>
              </w:rPr>
            </w:pPr>
            <w:r>
              <w:rPr>
                <w:rFonts w:ascii="Arial" w:hAnsi="Arial" w:cs="Arial"/>
              </w:rPr>
              <w:t>0.000</w:t>
            </w:r>
          </w:p>
        </w:tc>
      </w:tr>
      <w:tr w:rsidR="006E25BE" w14:paraId="7CBB2C21" w14:textId="77777777" w:rsidTr="004D74AB">
        <w:trPr>
          <w:trHeight w:val="288"/>
        </w:trPr>
        <w:tc>
          <w:tcPr>
            <w:tcW w:w="2969" w:type="dxa"/>
          </w:tcPr>
          <w:p w14:paraId="034DF002" w14:textId="77777777" w:rsidR="006E25BE" w:rsidRPr="00A67D5C" w:rsidRDefault="006E25BE" w:rsidP="0066301C">
            <w:pPr>
              <w:rPr>
                <w:rFonts w:ascii="Arial" w:hAnsi="Arial" w:cs="Arial"/>
              </w:rPr>
            </w:pPr>
            <w:r w:rsidRPr="000268D6">
              <w:rPr>
                <w:rFonts w:ascii="Arial" w:hAnsi="Arial" w:cs="Arial"/>
              </w:rPr>
              <w:t>∆LNTB</w:t>
            </w:r>
            <w:r w:rsidRPr="000268D6">
              <w:rPr>
                <w:rFonts w:ascii="Arial" w:hAnsi="Arial" w:cs="Arial"/>
                <w:vertAlign w:val="subscript"/>
              </w:rPr>
              <w:t>t-1</w:t>
            </w:r>
          </w:p>
        </w:tc>
        <w:tc>
          <w:tcPr>
            <w:tcW w:w="1420" w:type="dxa"/>
          </w:tcPr>
          <w:p w14:paraId="5FFD32C0" w14:textId="77777777" w:rsidR="006E25BE" w:rsidRDefault="006E25BE" w:rsidP="0066301C">
            <w:pPr>
              <w:rPr>
                <w:rFonts w:ascii="Arial" w:hAnsi="Arial" w:cs="Arial"/>
              </w:rPr>
            </w:pPr>
            <w:r>
              <w:rPr>
                <w:rFonts w:ascii="Arial" w:hAnsi="Arial" w:cs="Arial"/>
              </w:rPr>
              <w:t>0.464</w:t>
            </w:r>
          </w:p>
        </w:tc>
        <w:tc>
          <w:tcPr>
            <w:tcW w:w="1702" w:type="dxa"/>
            <w:gridSpan w:val="2"/>
          </w:tcPr>
          <w:p w14:paraId="0F90C82C" w14:textId="77777777" w:rsidR="006E25BE" w:rsidRDefault="006E25BE" w:rsidP="0066301C">
            <w:pPr>
              <w:rPr>
                <w:rFonts w:ascii="Arial" w:hAnsi="Arial" w:cs="Arial"/>
              </w:rPr>
            </w:pPr>
            <w:r>
              <w:rPr>
                <w:rFonts w:ascii="Arial" w:hAnsi="Arial" w:cs="Arial"/>
              </w:rPr>
              <w:t>0.145</w:t>
            </w:r>
          </w:p>
        </w:tc>
        <w:tc>
          <w:tcPr>
            <w:tcW w:w="1701" w:type="dxa"/>
          </w:tcPr>
          <w:p w14:paraId="405BF0FD" w14:textId="77777777" w:rsidR="006E25BE" w:rsidRDefault="006E25BE" w:rsidP="0066301C">
            <w:pPr>
              <w:rPr>
                <w:rFonts w:ascii="Arial" w:hAnsi="Arial" w:cs="Arial"/>
              </w:rPr>
            </w:pPr>
            <w:r>
              <w:rPr>
                <w:rFonts w:ascii="Arial" w:hAnsi="Arial" w:cs="Arial"/>
              </w:rPr>
              <w:t>3.205</w:t>
            </w:r>
          </w:p>
        </w:tc>
        <w:tc>
          <w:tcPr>
            <w:tcW w:w="1701" w:type="dxa"/>
            <w:gridSpan w:val="2"/>
          </w:tcPr>
          <w:p w14:paraId="2238EBCF" w14:textId="77777777" w:rsidR="006E25BE" w:rsidRDefault="006E25BE" w:rsidP="0066301C">
            <w:pPr>
              <w:rPr>
                <w:rFonts w:ascii="Arial" w:hAnsi="Arial" w:cs="Arial"/>
              </w:rPr>
            </w:pPr>
            <w:r>
              <w:rPr>
                <w:rFonts w:ascii="Arial" w:hAnsi="Arial" w:cs="Arial"/>
              </w:rPr>
              <w:t>0.003</w:t>
            </w:r>
          </w:p>
        </w:tc>
      </w:tr>
      <w:tr w:rsidR="006E25BE" w14:paraId="4DF7A9AD" w14:textId="77777777" w:rsidTr="004D74AB">
        <w:trPr>
          <w:trHeight w:val="288"/>
        </w:trPr>
        <w:tc>
          <w:tcPr>
            <w:tcW w:w="2969" w:type="dxa"/>
          </w:tcPr>
          <w:p w14:paraId="3398D637" w14:textId="77777777" w:rsidR="006E25BE" w:rsidRPr="00A67D5C" w:rsidRDefault="006E25BE" w:rsidP="0066301C">
            <w:pPr>
              <w:rPr>
                <w:rFonts w:ascii="Arial" w:hAnsi="Arial" w:cs="Arial"/>
              </w:rPr>
            </w:pPr>
            <w:r w:rsidRPr="000268D6">
              <w:rPr>
                <w:rFonts w:ascii="Arial" w:hAnsi="Arial" w:cs="Arial"/>
              </w:rPr>
              <w:t>∆LNREER</w:t>
            </w:r>
          </w:p>
        </w:tc>
        <w:tc>
          <w:tcPr>
            <w:tcW w:w="1420" w:type="dxa"/>
          </w:tcPr>
          <w:p w14:paraId="095EC8EF" w14:textId="77777777" w:rsidR="006E25BE" w:rsidRDefault="006E25BE" w:rsidP="0066301C">
            <w:pPr>
              <w:rPr>
                <w:rFonts w:ascii="Arial" w:hAnsi="Arial" w:cs="Arial"/>
              </w:rPr>
            </w:pPr>
            <w:r>
              <w:rPr>
                <w:rFonts w:ascii="Arial" w:hAnsi="Arial" w:cs="Arial"/>
              </w:rPr>
              <w:t>-0.309</w:t>
            </w:r>
          </w:p>
        </w:tc>
        <w:tc>
          <w:tcPr>
            <w:tcW w:w="1702" w:type="dxa"/>
            <w:gridSpan w:val="2"/>
          </w:tcPr>
          <w:p w14:paraId="144F4135" w14:textId="77777777" w:rsidR="006E25BE" w:rsidRDefault="006E25BE" w:rsidP="0066301C">
            <w:pPr>
              <w:rPr>
                <w:rFonts w:ascii="Arial" w:hAnsi="Arial" w:cs="Arial"/>
              </w:rPr>
            </w:pPr>
            <w:r>
              <w:rPr>
                <w:rFonts w:ascii="Arial" w:hAnsi="Arial" w:cs="Arial"/>
              </w:rPr>
              <w:t>0.208</w:t>
            </w:r>
          </w:p>
        </w:tc>
        <w:tc>
          <w:tcPr>
            <w:tcW w:w="1701" w:type="dxa"/>
          </w:tcPr>
          <w:p w14:paraId="3F855390" w14:textId="77777777" w:rsidR="006E25BE" w:rsidRDefault="006E25BE" w:rsidP="0066301C">
            <w:pPr>
              <w:rPr>
                <w:rFonts w:ascii="Arial" w:hAnsi="Arial" w:cs="Arial"/>
              </w:rPr>
            </w:pPr>
            <w:r>
              <w:rPr>
                <w:rFonts w:ascii="Arial" w:hAnsi="Arial" w:cs="Arial"/>
              </w:rPr>
              <w:t>-1.486</w:t>
            </w:r>
          </w:p>
        </w:tc>
        <w:tc>
          <w:tcPr>
            <w:tcW w:w="1701" w:type="dxa"/>
            <w:gridSpan w:val="2"/>
          </w:tcPr>
          <w:p w14:paraId="78E395D3" w14:textId="77777777" w:rsidR="006E25BE" w:rsidRDefault="006E25BE" w:rsidP="0066301C">
            <w:pPr>
              <w:rPr>
                <w:rFonts w:ascii="Arial" w:hAnsi="Arial" w:cs="Arial"/>
              </w:rPr>
            </w:pPr>
            <w:r>
              <w:rPr>
                <w:rFonts w:ascii="Arial" w:hAnsi="Arial" w:cs="Arial"/>
              </w:rPr>
              <w:t>0.148</w:t>
            </w:r>
          </w:p>
        </w:tc>
      </w:tr>
      <w:tr w:rsidR="006E25BE" w:rsidRPr="003E579B" w14:paraId="3E15C9D2" w14:textId="77777777" w:rsidTr="004D74AB">
        <w:trPr>
          <w:trHeight w:val="288"/>
        </w:trPr>
        <w:tc>
          <w:tcPr>
            <w:tcW w:w="2969" w:type="dxa"/>
          </w:tcPr>
          <w:p w14:paraId="31352C96" w14:textId="77777777" w:rsidR="006E25BE" w:rsidRPr="000268D6" w:rsidRDefault="006E25BE" w:rsidP="0066301C">
            <w:pPr>
              <w:rPr>
                <w:rFonts w:ascii="Arial" w:hAnsi="Arial" w:cs="Arial"/>
              </w:rPr>
            </w:pPr>
            <w:r w:rsidRPr="000268D6">
              <w:rPr>
                <w:rFonts w:ascii="Arial" w:hAnsi="Arial" w:cs="Arial"/>
              </w:rPr>
              <w:t>∆LNDI</w:t>
            </w:r>
          </w:p>
        </w:tc>
        <w:tc>
          <w:tcPr>
            <w:tcW w:w="1420" w:type="dxa"/>
          </w:tcPr>
          <w:p w14:paraId="5FFC4F0E" w14:textId="77777777" w:rsidR="006E25BE" w:rsidRPr="003E579B" w:rsidRDefault="006E25BE" w:rsidP="0066301C">
            <w:pPr>
              <w:rPr>
                <w:rFonts w:ascii="Arial" w:hAnsi="Arial" w:cs="Arial"/>
              </w:rPr>
            </w:pPr>
            <w:r>
              <w:rPr>
                <w:rFonts w:ascii="Arial" w:hAnsi="Arial" w:cs="Arial"/>
              </w:rPr>
              <w:t>-0.291</w:t>
            </w:r>
          </w:p>
        </w:tc>
        <w:tc>
          <w:tcPr>
            <w:tcW w:w="1702" w:type="dxa"/>
            <w:gridSpan w:val="2"/>
          </w:tcPr>
          <w:p w14:paraId="6D71C0BF" w14:textId="77777777" w:rsidR="006E25BE" w:rsidRPr="003E579B" w:rsidRDefault="006E25BE" w:rsidP="0066301C">
            <w:pPr>
              <w:rPr>
                <w:rFonts w:ascii="Arial" w:hAnsi="Arial" w:cs="Arial"/>
              </w:rPr>
            </w:pPr>
            <w:r>
              <w:rPr>
                <w:rFonts w:ascii="Arial" w:hAnsi="Arial" w:cs="Arial"/>
              </w:rPr>
              <w:t>0.136</w:t>
            </w:r>
          </w:p>
        </w:tc>
        <w:tc>
          <w:tcPr>
            <w:tcW w:w="1701" w:type="dxa"/>
          </w:tcPr>
          <w:p w14:paraId="3FFC5879" w14:textId="77777777" w:rsidR="006E25BE" w:rsidRPr="003E579B" w:rsidRDefault="006E25BE" w:rsidP="0066301C">
            <w:pPr>
              <w:rPr>
                <w:rFonts w:ascii="Arial" w:hAnsi="Arial" w:cs="Arial"/>
              </w:rPr>
            </w:pPr>
            <w:r>
              <w:rPr>
                <w:rFonts w:ascii="Arial" w:hAnsi="Arial" w:cs="Arial"/>
              </w:rPr>
              <w:t>-2.143</w:t>
            </w:r>
          </w:p>
        </w:tc>
        <w:tc>
          <w:tcPr>
            <w:tcW w:w="1701" w:type="dxa"/>
            <w:gridSpan w:val="2"/>
          </w:tcPr>
          <w:p w14:paraId="4EDAE1D0" w14:textId="77777777" w:rsidR="006E25BE" w:rsidRPr="003E579B" w:rsidRDefault="006E25BE" w:rsidP="0066301C">
            <w:pPr>
              <w:rPr>
                <w:rFonts w:ascii="Arial" w:hAnsi="Arial" w:cs="Arial"/>
              </w:rPr>
            </w:pPr>
            <w:r>
              <w:rPr>
                <w:rFonts w:ascii="Arial" w:hAnsi="Arial" w:cs="Arial"/>
              </w:rPr>
              <w:t>0.041</w:t>
            </w:r>
          </w:p>
        </w:tc>
      </w:tr>
      <w:tr w:rsidR="006E25BE" w:rsidRPr="003E579B" w14:paraId="16700399" w14:textId="77777777" w:rsidTr="004D74AB">
        <w:trPr>
          <w:trHeight w:val="288"/>
        </w:trPr>
        <w:tc>
          <w:tcPr>
            <w:tcW w:w="2969" w:type="dxa"/>
          </w:tcPr>
          <w:p w14:paraId="64EC4E49" w14:textId="77777777" w:rsidR="006E25BE" w:rsidRPr="000268D6" w:rsidRDefault="006E25BE" w:rsidP="0066301C">
            <w:pPr>
              <w:rPr>
                <w:rFonts w:ascii="Arial" w:hAnsi="Arial" w:cs="Arial"/>
              </w:rPr>
            </w:pPr>
            <w:r w:rsidRPr="000268D6">
              <w:rPr>
                <w:rFonts w:ascii="Arial" w:hAnsi="Arial" w:cs="Arial"/>
              </w:rPr>
              <w:t>∆LNDI</w:t>
            </w:r>
            <w:r w:rsidRPr="000268D6">
              <w:rPr>
                <w:rFonts w:ascii="Arial" w:hAnsi="Arial" w:cs="Arial"/>
                <w:vertAlign w:val="subscript"/>
              </w:rPr>
              <w:t>t-1</w:t>
            </w:r>
          </w:p>
        </w:tc>
        <w:tc>
          <w:tcPr>
            <w:tcW w:w="1420" w:type="dxa"/>
          </w:tcPr>
          <w:p w14:paraId="58842DEB" w14:textId="77777777" w:rsidR="006E25BE" w:rsidRPr="003E579B" w:rsidRDefault="006E25BE" w:rsidP="0066301C">
            <w:pPr>
              <w:rPr>
                <w:rFonts w:ascii="Arial" w:hAnsi="Arial" w:cs="Arial"/>
              </w:rPr>
            </w:pPr>
            <w:r>
              <w:rPr>
                <w:rFonts w:ascii="Arial" w:hAnsi="Arial" w:cs="Arial"/>
              </w:rPr>
              <w:t>0.347</w:t>
            </w:r>
          </w:p>
        </w:tc>
        <w:tc>
          <w:tcPr>
            <w:tcW w:w="1702" w:type="dxa"/>
            <w:gridSpan w:val="2"/>
          </w:tcPr>
          <w:p w14:paraId="61E283AF" w14:textId="77777777" w:rsidR="006E25BE" w:rsidRPr="003E579B" w:rsidRDefault="006E25BE" w:rsidP="0066301C">
            <w:pPr>
              <w:rPr>
                <w:rFonts w:ascii="Arial" w:hAnsi="Arial" w:cs="Arial"/>
              </w:rPr>
            </w:pPr>
            <w:r>
              <w:rPr>
                <w:rFonts w:ascii="Arial" w:hAnsi="Arial" w:cs="Arial"/>
              </w:rPr>
              <w:t>0.121</w:t>
            </w:r>
          </w:p>
        </w:tc>
        <w:tc>
          <w:tcPr>
            <w:tcW w:w="1701" w:type="dxa"/>
          </w:tcPr>
          <w:p w14:paraId="49E2BF51" w14:textId="77777777" w:rsidR="006E25BE" w:rsidRPr="003E579B" w:rsidRDefault="006E25BE" w:rsidP="0066301C">
            <w:pPr>
              <w:rPr>
                <w:rFonts w:ascii="Arial" w:hAnsi="Arial" w:cs="Arial"/>
              </w:rPr>
            </w:pPr>
            <w:r>
              <w:rPr>
                <w:rFonts w:ascii="Arial" w:hAnsi="Arial" w:cs="Arial"/>
              </w:rPr>
              <w:t>2.881</w:t>
            </w:r>
          </w:p>
        </w:tc>
        <w:tc>
          <w:tcPr>
            <w:tcW w:w="1701" w:type="dxa"/>
            <w:gridSpan w:val="2"/>
          </w:tcPr>
          <w:p w14:paraId="1AD2721A" w14:textId="77777777" w:rsidR="006E25BE" w:rsidRPr="003E579B" w:rsidRDefault="006E25BE" w:rsidP="0066301C">
            <w:pPr>
              <w:rPr>
                <w:rFonts w:ascii="Arial" w:hAnsi="Arial" w:cs="Arial"/>
              </w:rPr>
            </w:pPr>
            <w:r>
              <w:rPr>
                <w:rFonts w:ascii="Arial" w:hAnsi="Arial" w:cs="Arial"/>
              </w:rPr>
              <w:t>0.007</w:t>
            </w:r>
          </w:p>
        </w:tc>
      </w:tr>
      <w:tr w:rsidR="006E25BE" w:rsidRPr="003E579B" w14:paraId="4779D2AF" w14:textId="77777777" w:rsidTr="004D74AB">
        <w:trPr>
          <w:trHeight w:val="288"/>
        </w:trPr>
        <w:tc>
          <w:tcPr>
            <w:tcW w:w="2969" w:type="dxa"/>
          </w:tcPr>
          <w:p w14:paraId="6246C83E" w14:textId="77777777" w:rsidR="006E25BE" w:rsidRPr="000268D6" w:rsidRDefault="006E25BE" w:rsidP="0066301C">
            <w:pPr>
              <w:rPr>
                <w:rFonts w:ascii="Arial" w:hAnsi="Arial" w:cs="Arial"/>
              </w:rPr>
            </w:pPr>
            <w:r w:rsidRPr="000268D6">
              <w:rPr>
                <w:rFonts w:ascii="Arial" w:hAnsi="Arial" w:cs="Arial"/>
              </w:rPr>
              <w:t>ECM</w:t>
            </w:r>
            <w:r w:rsidRPr="000268D6">
              <w:rPr>
                <w:rFonts w:ascii="Arial" w:hAnsi="Arial" w:cs="Arial"/>
                <w:vertAlign w:val="subscript"/>
              </w:rPr>
              <w:t>t-1</w:t>
            </w:r>
          </w:p>
        </w:tc>
        <w:tc>
          <w:tcPr>
            <w:tcW w:w="1420" w:type="dxa"/>
          </w:tcPr>
          <w:p w14:paraId="507CCD30" w14:textId="77777777" w:rsidR="006E25BE" w:rsidRPr="003E579B" w:rsidRDefault="006E25BE" w:rsidP="0066301C">
            <w:pPr>
              <w:rPr>
                <w:rFonts w:ascii="Arial" w:hAnsi="Arial" w:cs="Arial"/>
              </w:rPr>
            </w:pPr>
            <w:r>
              <w:rPr>
                <w:rFonts w:ascii="Arial" w:hAnsi="Arial" w:cs="Arial"/>
              </w:rPr>
              <w:t>-1.073</w:t>
            </w:r>
          </w:p>
        </w:tc>
        <w:tc>
          <w:tcPr>
            <w:tcW w:w="1702" w:type="dxa"/>
            <w:gridSpan w:val="2"/>
          </w:tcPr>
          <w:p w14:paraId="5ED87C08" w14:textId="77777777" w:rsidR="006E25BE" w:rsidRPr="003E579B" w:rsidRDefault="006E25BE" w:rsidP="0066301C">
            <w:pPr>
              <w:rPr>
                <w:rFonts w:ascii="Arial" w:hAnsi="Arial" w:cs="Arial"/>
              </w:rPr>
            </w:pPr>
            <w:r>
              <w:rPr>
                <w:rFonts w:ascii="Arial" w:hAnsi="Arial" w:cs="Arial"/>
              </w:rPr>
              <w:t>0.174</w:t>
            </w:r>
          </w:p>
        </w:tc>
        <w:tc>
          <w:tcPr>
            <w:tcW w:w="1701" w:type="dxa"/>
          </w:tcPr>
          <w:p w14:paraId="321B37B1" w14:textId="77777777" w:rsidR="006E25BE" w:rsidRPr="003E579B" w:rsidRDefault="006E25BE" w:rsidP="0066301C">
            <w:pPr>
              <w:rPr>
                <w:rFonts w:ascii="Arial" w:hAnsi="Arial" w:cs="Arial"/>
              </w:rPr>
            </w:pPr>
            <w:r>
              <w:rPr>
                <w:rFonts w:ascii="Arial" w:hAnsi="Arial" w:cs="Arial"/>
              </w:rPr>
              <w:t>-6.180</w:t>
            </w:r>
          </w:p>
        </w:tc>
        <w:tc>
          <w:tcPr>
            <w:tcW w:w="1701" w:type="dxa"/>
            <w:gridSpan w:val="2"/>
          </w:tcPr>
          <w:p w14:paraId="593453A5" w14:textId="77777777" w:rsidR="006E25BE" w:rsidRPr="003E579B" w:rsidRDefault="006E25BE" w:rsidP="0066301C">
            <w:pPr>
              <w:rPr>
                <w:rFonts w:ascii="Arial" w:hAnsi="Arial" w:cs="Arial"/>
              </w:rPr>
            </w:pPr>
            <w:r>
              <w:rPr>
                <w:rFonts w:ascii="Arial" w:hAnsi="Arial" w:cs="Arial"/>
              </w:rPr>
              <w:t>0.000</w:t>
            </w:r>
          </w:p>
        </w:tc>
      </w:tr>
      <w:tr w:rsidR="006E25BE" w:rsidRPr="00A67D5C" w14:paraId="0043CF08" w14:textId="77777777" w:rsidTr="004D74AB">
        <w:trPr>
          <w:trHeight w:val="288"/>
        </w:trPr>
        <w:tc>
          <w:tcPr>
            <w:tcW w:w="9493" w:type="dxa"/>
            <w:gridSpan w:val="7"/>
          </w:tcPr>
          <w:p w14:paraId="27945313" w14:textId="77777777" w:rsidR="006E25BE" w:rsidRPr="008E5C32" w:rsidRDefault="006E25BE" w:rsidP="0066301C">
            <w:pPr>
              <w:jc w:val="center"/>
              <w:rPr>
                <w:rFonts w:ascii="Arial" w:hAnsi="Arial" w:cs="Arial"/>
              </w:rPr>
            </w:pPr>
            <w:r w:rsidRPr="008E5C32">
              <w:rPr>
                <w:rFonts w:ascii="Arial" w:hAnsi="Arial" w:cs="Arial"/>
                <w:b/>
                <w:bCs/>
              </w:rPr>
              <w:t>Gabon</w:t>
            </w:r>
          </w:p>
        </w:tc>
      </w:tr>
      <w:tr w:rsidR="006E25BE" w:rsidRPr="00A67D5C" w14:paraId="13B87CA6" w14:textId="77777777" w:rsidTr="004D74AB">
        <w:trPr>
          <w:trHeight w:val="288"/>
        </w:trPr>
        <w:tc>
          <w:tcPr>
            <w:tcW w:w="2969" w:type="dxa"/>
          </w:tcPr>
          <w:p w14:paraId="446A1230" w14:textId="77777777" w:rsidR="006E25BE" w:rsidRDefault="006E25BE" w:rsidP="0066301C">
            <w:pPr>
              <w:rPr>
                <w:rFonts w:ascii="Arial" w:hAnsi="Arial" w:cs="Arial"/>
                <w:b/>
                <w:bCs/>
                <w:sz w:val="28"/>
                <w:szCs w:val="28"/>
              </w:rPr>
            </w:pPr>
            <w:r w:rsidRPr="00A67D5C">
              <w:rPr>
                <w:rFonts w:ascii="Arial" w:hAnsi="Arial" w:cs="Arial"/>
                <w:b/>
                <w:bCs/>
              </w:rPr>
              <w:t>Variable</w:t>
            </w:r>
          </w:p>
        </w:tc>
        <w:tc>
          <w:tcPr>
            <w:tcW w:w="1420" w:type="dxa"/>
          </w:tcPr>
          <w:p w14:paraId="3448A2B1" w14:textId="77777777" w:rsidR="006E25BE" w:rsidRPr="003E579B" w:rsidRDefault="006E25BE" w:rsidP="0066301C">
            <w:pPr>
              <w:rPr>
                <w:rFonts w:ascii="Arial" w:hAnsi="Arial" w:cs="Arial"/>
              </w:rPr>
            </w:pPr>
            <w:r w:rsidRPr="00A67D5C">
              <w:rPr>
                <w:rFonts w:ascii="Arial" w:hAnsi="Arial" w:cs="Arial"/>
                <w:b/>
                <w:bCs/>
              </w:rPr>
              <w:t>Coefficient</w:t>
            </w:r>
          </w:p>
        </w:tc>
        <w:tc>
          <w:tcPr>
            <w:tcW w:w="1702" w:type="dxa"/>
            <w:gridSpan w:val="2"/>
          </w:tcPr>
          <w:p w14:paraId="61962DB3" w14:textId="77777777" w:rsidR="006E25BE" w:rsidRPr="003E579B" w:rsidRDefault="006E25BE" w:rsidP="0066301C">
            <w:pPr>
              <w:rPr>
                <w:rFonts w:ascii="Arial" w:hAnsi="Arial" w:cs="Arial"/>
              </w:rPr>
            </w:pPr>
            <w:r w:rsidRPr="00A67D5C">
              <w:rPr>
                <w:rFonts w:ascii="Arial" w:hAnsi="Arial" w:cs="Arial"/>
                <w:b/>
                <w:bCs/>
              </w:rPr>
              <w:t>Std. Error</w:t>
            </w:r>
          </w:p>
        </w:tc>
        <w:tc>
          <w:tcPr>
            <w:tcW w:w="1701" w:type="dxa"/>
          </w:tcPr>
          <w:p w14:paraId="59641E38" w14:textId="77777777" w:rsidR="006E25BE" w:rsidRPr="003E579B" w:rsidRDefault="006E25BE" w:rsidP="0066301C">
            <w:pPr>
              <w:rPr>
                <w:rFonts w:ascii="Arial" w:hAnsi="Arial" w:cs="Arial"/>
              </w:rPr>
            </w:pPr>
            <w:r w:rsidRPr="00A67D5C">
              <w:rPr>
                <w:rFonts w:ascii="Arial" w:hAnsi="Arial" w:cs="Arial"/>
                <w:b/>
                <w:bCs/>
              </w:rPr>
              <w:t>t-statistic</w:t>
            </w:r>
          </w:p>
        </w:tc>
        <w:tc>
          <w:tcPr>
            <w:tcW w:w="1701" w:type="dxa"/>
            <w:gridSpan w:val="2"/>
          </w:tcPr>
          <w:p w14:paraId="70E81D49" w14:textId="77777777" w:rsidR="006E25BE" w:rsidRPr="003E579B" w:rsidRDefault="006E25BE" w:rsidP="0066301C">
            <w:pPr>
              <w:rPr>
                <w:rFonts w:ascii="Arial" w:hAnsi="Arial" w:cs="Arial"/>
              </w:rPr>
            </w:pPr>
            <w:r w:rsidRPr="00A67D5C">
              <w:rPr>
                <w:rFonts w:ascii="Arial" w:hAnsi="Arial" w:cs="Arial"/>
                <w:b/>
                <w:bCs/>
              </w:rPr>
              <w:t>Prob.</w:t>
            </w:r>
          </w:p>
        </w:tc>
      </w:tr>
      <w:tr w:rsidR="006E25BE" w:rsidRPr="00A67D5C" w14:paraId="75D00725" w14:textId="77777777" w:rsidTr="004D74AB">
        <w:trPr>
          <w:trHeight w:val="288"/>
        </w:trPr>
        <w:tc>
          <w:tcPr>
            <w:tcW w:w="2969" w:type="dxa"/>
          </w:tcPr>
          <w:p w14:paraId="27929AFD" w14:textId="77777777" w:rsidR="006E25BE" w:rsidRPr="00A67D5C" w:rsidRDefault="006E25BE" w:rsidP="0066301C">
            <w:pPr>
              <w:rPr>
                <w:rFonts w:ascii="Arial" w:hAnsi="Arial" w:cs="Arial"/>
                <w:b/>
                <w:bCs/>
              </w:rPr>
            </w:pPr>
            <w:r w:rsidRPr="00A67D5C">
              <w:rPr>
                <w:rFonts w:ascii="Arial" w:hAnsi="Arial" w:cs="Arial"/>
                <w:sz w:val="20"/>
                <w:szCs w:val="20"/>
              </w:rPr>
              <w:t xml:space="preserve">Dependent variable </w:t>
            </w:r>
            <w:r w:rsidRPr="00A67D5C">
              <w:rPr>
                <w:rFonts w:ascii="Arial" w:hAnsi="Arial" w:cs="Arial"/>
              </w:rPr>
              <w:t>∆LNTB</w:t>
            </w:r>
            <w:r w:rsidRPr="00A67D5C">
              <w:rPr>
                <w:rFonts w:ascii="Arial" w:hAnsi="Arial" w:cs="Arial"/>
                <w:vertAlign w:val="subscript"/>
              </w:rPr>
              <w:t>t</w:t>
            </w:r>
          </w:p>
        </w:tc>
        <w:tc>
          <w:tcPr>
            <w:tcW w:w="1420" w:type="dxa"/>
          </w:tcPr>
          <w:p w14:paraId="3E50959B" w14:textId="77777777" w:rsidR="006E25BE" w:rsidRPr="00A67D5C" w:rsidRDefault="006E25BE" w:rsidP="0066301C">
            <w:pPr>
              <w:rPr>
                <w:rFonts w:ascii="Arial" w:hAnsi="Arial" w:cs="Arial"/>
                <w:b/>
                <w:bCs/>
              </w:rPr>
            </w:pPr>
          </w:p>
        </w:tc>
        <w:tc>
          <w:tcPr>
            <w:tcW w:w="1702" w:type="dxa"/>
            <w:gridSpan w:val="2"/>
          </w:tcPr>
          <w:p w14:paraId="34882FE7" w14:textId="77777777" w:rsidR="006E25BE" w:rsidRPr="00A67D5C" w:rsidRDefault="006E25BE" w:rsidP="0066301C">
            <w:pPr>
              <w:rPr>
                <w:rFonts w:ascii="Arial" w:hAnsi="Arial" w:cs="Arial"/>
                <w:b/>
                <w:bCs/>
              </w:rPr>
            </w:pPr>
          </w:p>
        </w:tc>
        <w:tc>
          <w:tcPr>
            <w:tcW w:w="1701" w:type="dxa"/>
          </w:tcPr>
          <w:p w14:paraId="67A28D87" w14:textId="77777777" w:rsidR="006E25BE" w:rsidRPr="00A67D5C" w:rsidRDefault="006E25BE" w:rsidP="0066301C">
            <w:pPr>
              <w:rPr>
                <w:rFonts w:ascii="Arial" w:hAnsi="Arial" w:cs="Arial"/>
                <w:b/>
                <w:bCs/>
              </w:rPr>
            </w:pPr>
          </w:p>
        </w:tc>
        <w:tc>
          <w:tcPr>
            <w:tcW w:w="1701" w:type="dxa"/>
            <w:gridSpan w:val="2"/>
          </w:tcPr>
          <w:p w14:paraId="621C615D" w14:textId="77777777" w:rsidR="006E25BE" w:rsidRPr="00A67D5C" w:rsidRDefault="006E25BE" w:rsidP="0066301C">
            <w:pPr>
              <w:rPr>
                <w:rFonts w:ascii="Arial" w:hAnsi="Arial" w:cs="Arial"/>
                <w:b/>
                <w:bCs/>
              </w:rPr>
            </w:pPr>
          </w:p>
        </w:tc>
      </w:tr>
      <w:tr w:rsidR="006E25BE" w:rsidRPr="00A67D5C" w14:paraId="09FFAD7E" w14:textId="77777777" w:rsidTr="004D74AB">
        <w:trPr>
          <w:trHeight w:val="288"/>
        </w:trPr>
        <w:tc>
          <w:tcPr>
            <w:tcW w:w="2969" w:type="dxa"/>
          </w:tcPr>
          <w:p w14:paraId="48AF18E4" w14:textId="77777777" w:rsidR="006E25BE" w:rsidRPr="00A67D5C" w:rsidRDefault="006E25BE" w:rsidP="0066301C">
            <w:pPr>
              <w:rPr>
                <w:rFonts w:ascii="Arial" w:hAnsi="Arial" w:cs="Arial"/>
                <w:sz w:val="20"/>
                <w:szCs w:val="20"/>
              </w:rPr>
            </w:pPr>
            <w:r w:rsidRPr="00A67D5C">
              <w:rPr>
                <w:rFonts w:ascii="Arial" w:hAnsi="Arial" w:cs="Arial"/>
                <w:b/>
                <w:bCs/>
              </w:rPr>
              <w:t>Long-run elasticities</w:t>
            </w:r>
          </w:p>
        </w:tc>
        <w:tc>
          <w:tcPr>
            <w:tcW w:w="1420" w:type="dxa"/>
          </w:tcPr>
          <w:p w14:paraId="005AC5D0" w14:textId="77777777" w:rsidR="006E25BE" w:rsidRPr="00A67D5C" w:rsidRDefault="006E25BE" w:rsidP="0066301C">
            <w:pPr>
              <w:rPr>
                <w:rFonts w:ascii="Arial" w:hAnsi="Arial" w:cs="Arial"/>
                <w:b/>
                <w:bCs/>
              </w:rPr>
            </w:pPr>
          </w:p>
        </w:tc>
        <w:tc>
          <w:tcPr>
            <w:tcW w:w="1702" w:type="dxa"/>
            <w:gridSpan w:val="2"/>
          </w:tcPr>
          <w:p w14:paraId="35636E04" w14:textId="77777777" w:rsidR="006E25BE" w:rsidRPr="00A67D5C" w:rsidRDefault="006E25BE" w:rsidP="0066301C">
            <w:pPr>
              <w:rPr>
                <w:rFonts w:ascii="Arial" w:hAnsi="Arial" w:cs="Arial"/>
                <w:b/>
                <w:bCs/>
              </w:rPr>
            </w:pPr>
          </w:p>
        </w:tc>
        <w:tc>
          <w:tcPr>
            <w:tcW w:w="1701" w:type="dxa"/>
          </w:tcPr>
          <w:p w14:paraId="428064CC" w14:textId="77777777" w:rsidR="006E25BE" w:rsidRPr="00A67D5C" w:rsidRDefault="006E25BE" w:rsidP="0066301C">
            <w:pPr>
              <w:rPr>
                <w:rFonts w:ascii="Arial" w:hAnsi="Arial" w:cs="Arial"/>
                <w:b/>
                <w:bCs/>
              </w:rPr>
            </w:pPr>
          </w:p>
        </w:tc>
        <w:tc>
          <w:tcPr>
            <w:tcW w:w="1701" w:type="dxa"/>
            <w:gridSpan w:val="2"/>
          </w:tcPr>
          <w:p w14:paraId="52A7CA10" w14:textId="77777777" w:rsidR="006E25BE" w:rsidRPr="00A67D5C" w:rsidRDefault="006E25BE" w:rsidP="0066301C">
            <w:pPr>
              <w:rPr>
                <w:rFonts w:ascii="Arial" w:hAnsi="Arial" w:cs="Arial"/>
                <w:b/>
                <w:bCs/>
              </w:rPr>
            </w:pPr>
          </w:p>
        </w:tc>
      </w:tr>
      <w:tr w:rsidR="006E25BE" w:rsidRPr="00A67D5C" w14:paraId="5FB319F5" w14:textId="77777777" w:rsidTr="004D74AB">
        <w:trPr>
          <w:trHeight w:val="288"/>
        </w:trPr>
        <w:tc>
          <w:tcPr>
            <w:tcW w:w="2969" w:type="dxa"/>
          </w:tcPr>
          <w:p w14:paraId="30AF80E8" w14:textId="77777777" w:rsidR="006E25BE" w:rsidRPr="00A67D5C" w:rsidRDefault="006E25BE" w:rsidP="0066301C">
            <w:pPr>
              <w:rPr>
                <w:rFonts w:ascii="Arial" w:hAnsi="Arial" w:cs="Arial"/>
                <w:b/>
                <w:bCs/>
              </w:rPr>
            </w:pPr>
            <w:r w:rsidRPr="00A67D5C">
              <w:rPr>
                <w:rFonts w:ascii="Arial" w:hAnsi="Arial" w:cs="Arial"/>
              </w:rPr>
              <w:t>C</w:t>
            </w:r>
          </w:p>
        </w:tc>
        <w:tc>
          <w:tcPr>
            <w:tcW w:w="1420" w:type="dxa"/>
          </w:tcPr>
          <w:p w14:paraId="57F11EB8" w14:textId="77777777" w:rsidR="006E25BE" w:rsidRPr="00A67D5C" w:rsidRDefault="006E25BE" w:rsidP="0066301C">
            <w:pPr>
              <w:rPr>
                <w:rFonts w:ascii="Arial" w:hAnsi="Arial" w:cs="Arial"/>
                <w:b/>
                <w:bCs/>
              </w:rPr>
            </w:pPr>
            <w:r>
              <w:rPr>
                <w:rFonts w:ascii="Arial" w:hAnsi="Arial" w:cs="Arial"/>
              </w:rPr>
              <w:t>4.819</w:t>
            </w:r>
          </w:p>
        </w:tc>
        <w:tc>
          <w:tcPr>
            <w:tcW w:w="1702" w:type="dxa"/>
            <w:gridSpan w:val="2"/>
          </w:tcPr>
          <w:p w14:paraId="58345BE6" w14:textId="77777777" w:rsidR="006E25BE" w:rsidRPr="00A67D5C" w:rsidRDefault="006E25BE" w:rsidP="0066301C">
            <w:pPr>
              <w:rPr>
                <w:rFonts w:ascii="Arial" w:hAnsi="Arial" w:cs="Arial"/>
                <w:b/>
                <w:bCs/>
              </w:rPr>
            </w:pPr>
            <w:r>
              <w:rPr>
                <w:rFonts w:ascii="Arial" w:hAnsi="Arial" w:cs="Arial"/>
              </w:rPr>
              <w:t>4.267</w:t>
            </w:r>
          </w:p>
        </w:tc>
        <w:tc>
          <w:tcPr>
            <w:tcW w:w="1701" w:type="dxa"/>
          </w:tcPr>
          <w:p w14:paraId="6BB66556" w14:textId="77777777" w:rsidR="006E25BE" w:rsidRPr="00A67D5C" w:rsidRDefault="006E25BE" w:rsidP="0066301C">
            <w:pPr>
              <w:rPr>
                <w:rFonts w:ascii="Arial" w:hAnsi="Arial" w:cs="Arial"/>
                <w:b/>
                <w:bCs/>
              </w:rPr>
            </w:pPr>
            <w:r>
              <w:rPr>
                <w:rFonts w:ascii="Arial" w:hAnsi="Arial" w:cs="Arial"/>
              </w:rPr>
              <w:t>1.129</w:t>
            </w:r>
          </w:p>
        </w:tc>
        <w:tc>
          <w:tcPr>
            <w:tcW w:w="1701" w:type="dxa"/>
            <w:gridSpan w:val="2"/>
          </w:tcPr>
          <w:p w14:paraId="4F5A8BD4" w14:textId="77777777" w:rsidR="006E25BE" w:rsidRPr="00A67D5C" w:rsidRDefault="006E25BE" w:rsidP="0066301C">
            <w:pPr>
              <w:rPr>
                <w:rFonts w:ascii="Arial" w:hAnsi="Arial" w:cs="Arial"/>
                <w:b/>
                <w:bCs/>
              </w:rPr>
            </w:pPr>
            <w:r>
              <w:rPr>
                <w:rFonts w:ascii="Arial" w:hAnsi="Arial" w:cs="Arial"/>
              </w:rPr>
              <w:t>0.267</w:t>
            </w:r>
          </w:p>
        </w:tc>
      </w:tr>
      <w:tr w:rsidR="006E25BE" w:rsidRPr="00A67D5C" w14:paraId="166F2ACE" w14:textId="77777777" w:rsidTr="004D74AB">
        <w:trPr>
          <w:trHeight w:val="288"/>
        </w:trPr>
        <w:tc>
          <w:tcPr>
            <w:tcW w:w="2969" w:type="dxa"/>
          </w:tcPr>
          <w:p w14:paraId="74F7B2F4" w14:textId="77777777" w:rsidR="006E25BE" w:rsidRPr="00A67D5C" w:rsidRDefault="006E25BE" w:rsidP="0066301C">
            <w:pPr>
              <w:rPr>
                <w:rFonts w:ascii="Arial" w:hAnsi="Arial" w:cs="Arial"/>
              </w:rPr>
            </w:pPr>
            <w:r w:rsidRPr="00A67D5C">
              <w:rPr>
                <w:rFonts w:ascii="Arial" w:hAnsi="Arial" w:cs="Arial"/>
              </w:rPr>
              <w:t>LNREER</w:t>
            </w:r>
          </w:p>
        </w:tc>
        <w:tc>
          <w:tcPr>
            <w:tcW w:w="1420" w:type="dxa"/>
          </w:tcPr>
          <w:p w14:paraId="5D992A82" w14:textId="77777777" w:rsidR="006E25BE" w:rsidRDefault="006E25BE" w:rsidP="0066301C">
            <w:pPr>
              <w:rPr>
                <w:rFonts w:ascii="Arial" w:hAnsi="Arial" w:cs="Arial"/>
              </w:rPr>
            </w:pPr>
            <w:r>
              <w:rPr>
                <w:rFonts w:ascii="Arial" w:hAnsi="Arial" w:cs="Arial"/>
              </w:rPr>
              <w:t>-0.883</w:t>
            </w:r>
          </w:p>
        </w:tc>
        <w:tc>
          <w:tcPr>
            <w:tcW w:w="1702" w:type="dxa"/>
            <w:gridSpan w:val="2"/>
          </w:tcPr>
          <w:p w14:paraId="58009E68" w14:textId="77777777" w:rsidR="006E25BE" w:rsidRDefault="006E25BE" w:rsidP="0066301C">
            <w:pPr>
              <w:rPr>
                <w:rFonts w:ascii="Arial" w:hAnsi="Arial" w:cs="Arial"/>
              </w:rPr>
            </w:pPr>
            <w:r>
              <w:rPr>
                <w:rFonts w:ascii="Arial" w:hAnsi="Arial" w:cs="Arial"/>
              </w:rPr>
              <w:t>0.329</w:t>
            </w:r>
          </w:p>
        </w:tc>
        <w:tc>
          <w:tcPr>
            <w:tcW w:w="1701" w:type="dxa"/>
          </w:tcPr>
          <w:p w14:paraId="2AC9EC2D" w14:textId="77777777" w:rsidR="006E25BE" w:rsidRDefault="006E25BE" w:rsidP="0066301C">
            <w:pPr>
              <w:rPr>
                <w:rFonts w:ascii="Arial" w:hAnsi="Arial" w:cs="Arial"/>
              </w:rPr>
            </w:pPr>
            <w:r>
              <w:rPr>
                <w:rFonts w:ascii="Arial" w:hAnsi="Arial" w:cs="Arial"/>
              </w:rPr>
              <w:t>-2.685</w:t>
            </w:r>
          </w:p>
        </w:tc>
        <w:tc>
          <w:tcPr>
            <w:tcW w:w="1701" w:type="dxa"/>
            <w:gridSpan w:val="2"/>
          </w:tcPr>
          <w:p w14:paraId="1F763F82" w14:textId="77777777" w:rsidR="006E25BE" w:rsidRDefault="006E25BE" w:rsidP="0066301C">
            <w:pPr>
              <w:rPr>
                <w:rFonts w:ascii="Arial" w:hAnsi="Arial" w:cs="Arial"/>
              </w:rPr>
            </w:pPr>
            <w:r>
              <w:rPr>
                <w:rFonts w:ascii="Arial" w:hAnsi="Arial" w:cs="Arial"/>
              </w:rPr>
              <w:t>0.011</w:t>
            </w:r>
          </w:p>
        </w:tc>
      </w:tr>
      <w:tr w:rsidR="006E25BE" w:rsidRPr="00A67D5C" w14:paraId="3BFFE075" w14:textId="77777777" w:rsidTr="004D74AB">
        <w:trPr>
          <w:trHeight w:val="288"/>
        </w:trPr>
        <w:tc>
          <w:tcPr>
            <w:tcW w:w="2969" w:type="dxa"/>
          </w:tcPr>
          <w:p w14:paraId="41C9ECBD" w14:textId="77777777" w:rsidR="006E25BE" w:rsidRPr="00A67D5C" w:rsidRDefault="006E25BE" w:rsidP="0066301C">
            <w:pPr>
              <w:rPr>
                <w:rFonts w:ascii="Arial" w:hAnsi="Arial" w:cs="Arial"/>
              </w:rPr>
            </w:pPr>
            <w:r w:rsidRPr="00A67D5C">
              <w:rPr>
                <w:rFonts w:ascii="Arial" w:hAnsi="Arial" w:cs="Arial"/>
              </w:rPr>
              <w:t>LNDI</w:t>
            </w:r>
          </w:p>
        </w:tc>
        <w:tc>
          <w:tcPr>
            <w:tcW w:w="1420" w:type="dxa"/>
          </w:tcPr>
          <w:p w14:paraId="7A8BE892" w14:textId="77777777" w:rsidR="006E25BE" w:rsidRDefault="006E25BE" w:rsidP="0066301C">
            <w:pPr>
              <w:rPr>
                <w:rFonts w:ascii="Arial" w:hAnsi="Arial" w:cs="Arial"/>
              </w:rPr>
            </w:pPr>
            <w:r>
              <w:rPr>
                <w:rFonts w:ascii="Arial" w:hAnsi="Arial" w:cs="Arial"/>
              </w:rPr>
              <w:t>0.424</w:t>
            </w:r>
          </w:p>
        </w:tc>
        <w:tc>
          <w:tcPr>
            <w:tcW w:w="1702" w:type="dxa"/>
            <w:gridSpan w:val="2"/>
          </w:tcPr>
          <w:p w14:paraId="6466280A" w14:textId="77777777" w:rsidR="006E25BE" w:rsidRDefault="006E25BE" w:rsidP="0066301C">
            <w:pPr>
              <w:rPr>
                <w:rFonts w:ascii="Arial" w:hAnsi="Arial" w:cs="Arial"/>
              </w:rPr>
            </w:pPr>
            <w:r>
              <w:rPr>
                <w:rFonts w:ascii="Arial" w:hAnsi="Arial" w:cs="Arial"/>
              </w:rPr>
              <w:t>0.269</w:t>
            </w:r>
          </w:p>
        </w:tc>
        <w:tc>
          <w:tcPr>
            <w:tcW w:w="1701" w:type="dxa"/>
          </w:tcPr>
          <w:p w14:paraId="3E1B0357" w14:textId="77777777" w:rsidR="006E25BE" w:rsidRDefault="006E25BE" w:rsidP="0066301C">
            <w:pPr>
              <w:rPr>
                <w:rFonts w:ascii="Arial" w:hAnsi="Arial" w:cs="Arial"/>
              </w:rPr>
            </w:pPr>
            <w:r>
              <w:rPr>
                <w:rFonts w:ascii="Arial" w:hAnsi="Arial" w:cs="Arial"/>
              </w:rPr>
              <w:t>1.574</w:t>
            </w:r>
          </w:p>
        </w:tc>
        <w:tc>
          <w:tcPr>
            <w:tcW w:w="1701" w:type="dxa"/>
            <w:gridSpan w:val="2"/>
          </w:tcPr>
          <w:p w14:paraId="2D5BF62D" w14:textId="77777777" w:rsidR="006E25BE" w:rsidRDefault="006E25BE" w:rsidP="0066301C">
            <w:pPr>
              <w:rPr>
                <w:rFonts w:ascii="Arial" w:hAnsi="Arial" w:cs="Arial"/>
              </w:rPr>
            </w:pPr>
            <w:r>
              <w:rPr>
                <w:rFonts w:ascii="Arial" w:hAnsi="Arial" w:cs="Arial"/>
              </w:rPr>
              <w:t>0.125</w:t>
            </w:r>
          </w:p>
        </w:tc>
      </w:tr>
      <w:tr w:rsidR="006E25BE" w:rsidRPr="00A67D5C" w14:paraId="39476624" w14:textId="77777777" w:rsidTr="004D74AB">
        <w:trPr>
          <w:trHeight w:val="288"/>
        </w:trPr>
        <w:tc>
          <w:tcPr>
            <w:tcW w:w="2969" w:type="dxa"/>
          </w:tcPr>
          <w:p w14:paraId="6252C69D" w14:textId="77777777" w:rsidR="006E25BE" w:rsidRPr="00A67D5C" w:rsidRDefault="006E25BE" w:rsidP="0066301C">
            <w:pPr>
              <w:rPr>
                <w:rFonts w:ascii="Arial" w:hAnsi="Arial" w:cs="Arial"/>
              </w:rPr>
            </w:pPr>
            <w:r w:rsidRPr="00A67D5C">
              <w:rPr>
                <w:rFonts w:ascii="Arial" w:hAnsi="Arial" w:cs="Arial"/>
              </w:rPr>
              <w:t>LN</w:t>
            </w:r>
            <w:r>
              <w:rPr>
                <w:rFonts w:ascii="Arial" w:hAnsi="Arial" w:cs="Arial"/>
              </w:rPr>
              <w:t>PARTNER</w:t>
            </w:r>
            <w:r w:rsidRPr="00A67D5C">
              <w:rPr>
                <w:rFonts w:ascii="Arial" w:hAnsi="Arial" w:cs="Arial"/>
              </w:rPr>
              <w:t>FI</w:t>
            </w:r>
          </w:p>
        </w:tc>
        <w:tc>
          <w:tcPr>
            <w:tcW w:w="1420" w:type="dxa"/>
          </w:tcPr>
          <w:p w14:paraId="1C9A5446" w14:textId="77777777" w:rsidR="006E25BE" w:rsidRDefault="006E25BE" w:rsidP="0066301C">
            <w:pPr>
              <w:rPr>
                <w:rFonts w:ascii="Arial" w:hAnsi="Arial" w:cs="Arial"/>
              </w:rPr>
            </w:pPr>
            <w:r>
              <w:rPr>
                <w:rFonts w:ascii="Arial" w:hAnsi="Arial" w:cs="Arial"/>
              </w:rPr>
              <w:t>-0.419</w:t>
            </w:r>
          </w:p>
        </w:tc>
        <w:tc>
          <w:tcPr>
            <w:tcW w:w="1702" w:type="dxa"/>
            <w:gridSpan w:val="2"/>
          </w:tcPr>
          <w:p w14:paraId="679FAFBC" w14:textId="77777777" w:rsidR="006E25BE" w:rsidRDefault="006E25BE" w:rsidP="0066301C">
            <w:pPr>
              <w:rPr>
                <w:rFonts w:ascii="Arial" w:hAnsi="Arial" w:cs="Arial"/>
              </w:rPr>
            </w:pPr>
            <w:r>
              <w:rPr>
                <w:rFonts w:ascii="Arial" w:hAnsi="Arial" w:cs="Arial"/>
              </w:rPr>
              <w:t>0.318</w:t>
            </w:r>
          </w:p>
        </w:tc>
        <w:tc>
          <w:tcPr>
            <w:tcW w:w="1701" w:type="dxa"/>
          </w:tcPr>
          <w:p w14:paraId="7425A2E0" w14:textId="77777777" w:rsidR="006E25BE" w:rsidRDefault="006E25BE" w:rsidP="0066301C">
            <w:pPr>
              <w:rPr>
                <w:rFonts w:ascii="Arial" w:hAnsi="Arial" w:cs="Arial"/>
              </w:rPr>
            </w:pPr>
            <w:r>
              <w:rPr>
                <w:rFonts w:ascii="Arial" w:hAnsi="Arial" w:cs="Arial"/>
              </w:rPr>
              <w:t>-1.318</w:t>
            </w:r>
          </w:p>
        </w:tc>
        <w:tc>
          <w:tcPr>
            <w:tcW w:w="1701" w:type="dxa"/>
            <w:gridSpan w:val="2"/>
          </w:tcPr>
          <w:p w14:paraId="62E65493" w14:textId="77777777" w:rsidR="006E25BE" w:rsidRDefault="006E25BE" w:rsidP="0066301C">
            <w:pPr>
              <w:rPr>
                <w:rFonts w:ascii="Arial" w:hAnsi="Arial" w:cs="Arial"/>
              </w:rPr>
            </w:pPr>
            <w:r>
              <w:rPr>
                <w:rFonts w:ascii="Arial" w:hAnsi="Arial" w:cs="Arial"/>
              </w:rPr>
              <w:t>0.197</w:t>
            </w:r>
          </w:p>
        </w:tc>
      </w:tr>
      <w:tr w:rsidR="006E25BE" w:rsidRPr="00A67D5C" w14:paraId="38F4B37B" w14:textId="77777777" w:rsidTr="004D74AB">
        <w:trPr>
          <w:trHeight w:val="288"/>
        </w:trPr>
        <w:tc>
          <w:tcPr>
            <w:tcW w:w="2969" w:type="dxa"/>
          </w:tcPr>
          <w:p w14:paraId="03264BA6" w14:textId="77777777" w:rsidR="006E25BE" w:rsidRPr="00A67D5C" w:rsidRDefault="006E25BE" w:rsidP="0066301C">
            <w:pPr>
              <w:rPr>
                <w:rFonts w:ascii="Arial" w:hAnsi="Arial" w:cs="Arial"/>
              </w:rPr>
            </w:pPr>
            <w:r w:rsidRPr="00A67D5C">
              <w:rPr>
                <w:rFonts w:ascii="Arial" w:hAnsi="Arial" w:cs="Arial"/>
                <w:b/>
                <w:bCs/>
              </w:rPr>
              <w:t>Short-run elasticities</w:t>
            </w:r>
          </w:p>
        </w:tc>
        <w:tc>
          <w:tcPr>
            <w:tcW w:w="1420" w:type="dxa"/>
          </w:tcPr>
          <w:p w14:paraId="6F30C73D" w14:textId="77777777" w:rsidR="006E25BE" w:rsidRDefault="006E25BE" w:rsidP="0066301C">
            <w:pPr>
              <w:rPr>
                <w:rFonts w:ascii="Arial" w:hAnsi="Arial" w:cs="Arial"/>
              </w:rPr>
            </w:pPr>
          </w:p>
        </w:tc>
        <w:tc>
          <w:tcPr>
            <w:tcW w:w="1702" w:type="dxa"/>
            <w:gridSpan w:val="2"/>
          </w:tcPr>
          <w:p w14:paraId="3D58683F" w14:textId="77777777" w:rsidR="006E25BE" w:rsidRDefault="006E25BE" w:rsidP="0066301C">
            <w:pPr>
              <w:rPr>
                <w:rFonts w:ascii="Arial" w:hAnsi="Arial" w:cs="Arial"/>
              </w:rPr>
            </w:pPr>
          </w:p>
        </w:tc>
        <w:tc>
          <w:tcPr>
            <w:tcW w:w="1701" w:type="dxa"/>
          </w:tcPr>
          <w:p w14:paraId="03A417D3" w14:textId="77777777" w:rsidR="006E25BE" w:rsidRDefault="006E25BE" w:rsidP="0066301C">
            <w:pPr>
              <w:rPr>
                <w:rFonts w:ascii="Arial" w:hAnsi="Arial" w:cs="Arial"/>
              </w:rPr>
            </w:pPr>
          </w:p>
        </w:tc>
        <w:tc>
          <w:tcPr>
            <w:tcW w:w="1701" w:type="dxa"/>
            <w:gridSpan w:val="2"/>
          </w:tcPr>
          <w:p w14:paraId="4932B273" w14:textId="77777777" w:rsidR="006E25BE" w:rsidRDefault="006E25BE" w:rsidP="0066301C">
            <w:pPr>
              <w:rPr>
                <w:rFonts w:ascii="Arial" w:hAnsi="Arial" w:cs="Arial"/>
              </w:rPr>
            </w:pPr>
          </w:p>
        </w:tc>
      </w:tr>
      <w:tr w:rsidR="006E25BE" w:rsidRPr="00A67D5C" w14:paraId="295E85A8" w14:textId="77777777" w:rsidTr="004D74AB">
        <w:trPr>
          <w:trHeight w:val="288"/>
        </w:trPr>
        <w:tc>
          <w:tcPr>
            <w:tcW w:w="2969" w:type="dxa"/>
          </w:tcPr>
          <w:p w14:paraId="1E963706" w14:textId="77777777" w:rsidR="006E25BE" w:rsidRPr="00A67D5C" w:rsidRDefault="006E25BE" w:rsidP="0066301C">
            <w:pPr>
              <w:rPr>
                <w:rFonts w:ascii="Arial" w:hAnsi="Arial" w:cs="Arial"/>
                <w:b/>
                <w:bCs/>
              </w:rPr>
            </w:pPr>
            <w:r w:rsidRPr="00A67D5C">
              <w:rPr>
                <w:rFonts w:ascii="Arial" w:hAnsi="Arial" w:cs="Arial"/>
              </w:rPr>
              <w:t>C</w:t>
            </w:r>
          </w:p>
        </w:tc>
        <w:tc>
          <w:tcPr>
            <w:tcW w:w="1420" w:type="dxa"/>
          </w:tcPr>
          <w:p w14:paraId="03C9A3A5" w14:textId="77777777" w:rsidR="006E25BE" w:rsidRDefault="006E25BE" w:rsidP="0066301C">
            <w:pPr>
              <w:rPr>
                <w:rFonts w:ascii="Arial" w:hAnsi="Arial" w:cs="Arial"/>
              </w:rPr>
            </w:pPr>
            <w:r>
              <w:rPr>
                <w:rFonts w:ascii="Arial" w:hAnsi="Arial" w:cs="Arial"/>
              </w:rPr>
              <w:t>4.819</w:t>
            </w:r>
          </w:p>
        </w:tc>
        <w:tc>
          <w:tcPr>
            <w:tcW w:w="1702" w:type="dxa"/>
            <w:gridSpan w:val="2"/>
          </w:tcPr>
          <w:p w14:paraId="6997A8D6" w14:textId="77777777" w:rsidR="006E25BE" w:rsidRDefault="006E25BE" w:rsidP="0066301C">
            <w:pPr>
              <w:rPr>
                <w:rFonts w:ascii="Arial" w:hAnsi="Arial" w:cs="Arial"/>
              </w:rPr>
            </w:pPr>
            <w:r>
              <w:rPr>
                <w:rFonts w:ascii="Arial" w:hAnsi="Arial" w:cs="Arial"/>
              </w:rPr>
              <w:t>1.077</w:t>
            </w:r>
          </w:p>
        </w:tc>
        <w:tc>
          <w:tcPr>
            <w:tcW w:w="1701" w:type="dxa"/>
          </w:tcPr>
          <w:p w14:paraId="7A3506E9" w14:textId="77777777" w:rsidR="006E25BE" w:rsidRDefault="006E25BE" w:rsidP="0066301C">
            <w:pPr>
              <w:rPr>
                <w:rFonts w:ascii="Arial" w:hAnsi="Arial" w:cs="Arial"/>
              </w:rPr>
            </w:pPr>
            <w:r>
              <w:rPr>
                <w:rFonts w:ascii="Arial" w:hAnsi="Arial" w:cs="Arial"/>
              </w:rPr>
              <w:t>4.472</w:t>
            </w:r>
          </w:p>
        </w:tc>
        <w:tc>
          <w:tcPr>
            <w:tcW w:w="1701" w:type="dxa"/>
            <w:gridSpan w:val="2"/>
          </w:tcPr>
          <w:p w14:paraId="5F570B6F" w14:textId="77777777" w:rsidR="006E25BE" w:rsidRDefault="006E25BE" w:rsidP="0066301C">
            <w:pPr>
              <w:rPr>
                <w:rFonts w:ascii="Arial" w:hAnsi="Arial" w:cs="Arial"/>
              </w:rPr>
            </w:pPr>
            <w:r>
              <w:rPr>
                <w:rFonts w:ascii="Arial" w:hAnsi="Arial" w:cs="Arial"/>
              </w:rPr>
              <w:t>0.000</w:t>
            </w:r>
          </w:p>
        </w:tc>
      </w:tr>
      <w:tr w:rsidR="006E25BE" w:rsidRPr="00A67D5C" w14:paraId="3E4A451F" w14:textId="77777777" w:rsidTr="004D74AB">
        <w:trPr>
          <w:trHeight w:val="288"/>
        </w:trPr>
        <w:tc>
          <w:tcPr>
            <w:tcW w:w="2969" w:type="dxa"/>
          </w:tcPr>
          <w:p w14:paraId="2A3A39D3" w14:textId="77777777" w:rsidR="006E25BE" w:rsidRPr="00A67D5C" w:rsidRDefault="006E25BE" w:rsidP="0066301C">
            <w:pPr>
              <w:rPr>
                <w:rFonts w:ascii="Arial" w:hAnsi="Arial" w:cs="Arial"/>
              </w:rPr>
            </w:pPr>
            <w:r w:rsidRPr="000268D6">
              <w:rPr>
                <w:rFonts w:ascii="Arial" w:hAnsi="Arial" w:cs="Arial"/>
              </w:rPr>
              <w:t>∆LNDI</w:t>
            </w:r>
          </w:p>
        </w:tc>
        <w:tc>
          <w:tcPr>
            <w:tcW w:w="1420" w:type="dxa"/>
          </w:tcPr>
          <w:p w14:paraId="16C92B8C" w14:textId="77777777" w:rsidR="006E25BE" w:rsidRDefault="006E25BE" w:rsidP="0066301C">
            <w:pPr>
              <w:rPr>
                <w:rFonts w:ascii="Arial" w:hAnsi="Arial" w:cs="Arial"/>
              </w:rPr>
            </w:pPr>
            <w:r>
              <w:rPr>
                <w:rFonts w:ascii="Arial" w:hAnsi="Arial" w:cs="Arial"/>
              </w:rPr>
              <w:t>0.817</w:t>
            </w:r>
          </w:p>
        </w:tc>
        <w:tc>
          <w:tcPr>
            <w:tcW w:w="1702" w:type="dxa"/>
            <w:gridSpan w:val="2"/>
          </w:tcPr>
          <w:p w14:paraId="3E984FCF" w14:textId="77777777" w:rsidR="006E25BE" w:rsidRDefault="006E25BE" w:rsidP="0066301C">
            <w:pPr>
              <w:rPr>
                <w:rFonts w:ascii="Arial" w:hAnsi="Arial" w:cs="Arial"/>
              </w:rPr>
            </w:pPr>
            <w:r>
              <w:rPr>
                <w:rFonts w:ascii="Arial" w:hAnsi="Arial" w:cs="Arial"/>
              </w:rPr>
              <w:t>0.186</w:t>
            </w:r>
          </w:p>
        </w:tc>
        <w:tc>
          <w:tcPr>
            <w:tcW w:w="1701" w:type="dxa"/>
          </w:tcPr>
          <w:p w14:paraId="743A89A5" w14:textId="77777777" w:rsidR="006E25BE" w:rsidRDefault="006E25BE" w:rsidP="0066301C">
            <w:pPr>
              <w:rPr>
                <w:rFonts w:ascii="Arial" w:hAnsi="Arial" w:cs="Arial"/>
              </w:rPr>
            </w:pPr>
            <w:r>
              <w:rPr>
                <w:rFonts w:ascii="Arial" w:hAnsi="Arial" w:cs="Arial"/>
              </w:rPr>
              <w:t>4.391</w:t>
            </w:r>
          </w:p>
        </w:tc>
        <w:tc>
          <w:tcPr>
            <w:tcW w:w="1701" w:type="dxa"/>
            <w:gridSpan w:val="2"/>
          </w:tcPr>
          <w:p w14:paraId="04BF69CB" w14:textId="77777777" w:rsidR="006E25BE" w:rsidRDefault="006E25BE" w:rsidP="0066301C">
            <w:pPr>
              <w:rPr>
                <w:rFonts w:ascii="Arial" w:hAnsi="Arial" w:cs="Arial"/>
              </w:rPr>
            </w:pPr>
            <w:r>
              <w:rPr>
                <w:rFonts w:ascii="Arial" w:hAnsi="Arial" w:cs="Arial"/>
              </w:rPr>
              <w:t>0.000</w:t>
            </w:r>
          </w:p>
        </w:tc>
      </w:tr>
      <w:tr w:rsidR="006E25BE" w:rsidRPr="00A67D5C" w14:paraId="3B1803AB" w14:textId="77777777" w:rsidTr="004D74AB">
        <w:trPr>
          <w:trHeight w:val="288"/>
        </w:trPr>
        <w:tc>
          <w:tcPr>
            <w:tcW w:w="2969" w:type="dxa"/>
          </w:tcPr>
          <w:p w14:paraId="424A8ED4" w14:textId="77777777" w:rsidR="006E25BE" w:rsidRPr="00A67D5C" w:rsidRDefault="006E25BE" w:rsidP="0066301C">
            <w:pPr>
              <w:rPr>
                <w:rFonts w:ascii="Arial" w:hAnsi="Arial" w:cs="Arial"/>
              </w:rPr>
            </w:pPr>
            <w:r w:rsidRPr="000268D6">
              <w:rPr>
                <w:rFonts w:ascii="Arial" w:hAnsi="Arial" w:cs="Arial"/>
              </w:rPr>
              <w:t>ECM</w:t>
            </w:r>
            <w:r w:rsidRPr="000268D6">
              <w:rPr>
                <w:rFonts w:ascii="Arial" w:hAnsi="Arial" w:cs="Arial"/>
                <w:vertAlign w:val="subscript"/>
              </w:rPr>
              <w:t>t-1</w:t>
            </w:r>
          </w:p>
        </w:tc>
        <w:tc>
          <w:tcPr>
            <w:tcW w:w="1420" w:type="dxa"/>
          </w:tcPr>
          <w:p w14:paraId="41562951" w14:textId="77777777" w:rsidR="006E25BE" w:rsidRDefault="006E25BE" w:rsidP="0066301C">
            <w:pPr>
              <w:rPr>
                <w:rFonts w:ascii="Arial" w:hAnsi="Arial" w:cs="Arial"/>
              </w:rPr>
            </w:pPr>
            <w:r>
              <w:rPr>
                <w:rFonts w:ascii="Arial" w:hAnsi="Arial" w:cs="Arial"/>
              </w:rPr>
              <w:t>-0.624</w:t>
            </w:r>
          </w:p>
        </w:tc>
        <w:tc>
          <w:tcPr>
            <w:tcW w:w="1702" w:type="dxa"/>
            <w:gridSpan w:val="2"/>
          </w:tcPr>
          <w:p w14:paraId="217BDB26" w14:textId="77777777" w:rsidR="006E25BE" w:rsidRDefault="006E25BE" w:rsidP="0066301C">
            <w:pPr>
              <w:rPr>
                <w:rFonts w:ascii="Arial" w:hAnsi="Arial" w:cs="Arial"/>
              </w:rPr>
            </w:pPr>
            <w:r>
              <w:rPr>
                <w:rFonts w:ascii="Arial" w:hAnsi="Arial" w:cs="Arial"/>
              </w:rPr>
              <w:t>0.139</w:t>
            </w:r>
          </w:p>
        </w:tc>
        <w:tc>
          <w:tcPr>
            <w:tcW w:w="1701" w:type="dxa"/>
          </w:tcPr>
          <w:p w14:paraId="279308AA" w14:textId="77777777" w:rsidR="006E25BE" w:rsidRDefault="006E25BE" w:rsidP="0066301C">
            <w:pPr>
              <w:rPr>
                <w:rFonts w:ascii="Arial" w:hAnsi="Arial" w:cs="Arial"/>
              </w:rPr>
            </w:pPr>
            <w:r>
              <w:rPr>
                <w:rFonts w:ascii="Arial" w:hAnsi="Arial" w:cs="Arial"/>
              </w:rPr>
              <w:t>-4.495</w:t>
            </w:r>
          </w:p>
        </w:tc>
        <w:tc>
          <w:tcPr>
            <w:tcW w:w="1701" w:type="dxa"/>
            <w:gridSpan w:val="2"/>
          </w:tcPr>
          <w:p w14:paraId="4EC01CA7" w14:textId="77777777" w:rsidR="006E25BE" w:rsidRDefault="006E25BE" w:rsidP="0066301C">
            <w:pPr>
              <w:rPr>
                <w:rFonts w:ascii="Arial" w:hAnsi="Arial" w:cs="Arial"/>
              </w:rPr>
            </w:pPr>
            <w:r>
              <w:rPr>
                <w:rFonts w:ascii="Arial" w:hAnsi="Arial" w:cs="Arial"/>
              </w:rPr>
              <w:t>0.000</w:t>
            </w:r>
          </w:p>
        </w:tc>
      </w:tr>
    </w:tbl>
    <w:p w14:paraId="23517829" w14:textId="77777777" w:rsidR="006E25BE" w:rsidRPr="009B1244" w:rsidRDefault="006E25BE" w:rsidP="0066301C">
      <w:pPr>
        <w:autoSpaceDE w:val="0"/>
        <w:autoSpaceDN w:val="0"/>
        <w:adjustRightInd w:val="0"/>
        <w:spacing w:after="0" w:line="240" w:lineRule="auto"/>
        <w:rPr>
          <w:rFonts w:ascii="Arial" w:hAnsi="Arial" w:cs="Arial"/>
          <w:i/>
          <w:sz w:val="20"/>
          <w:szCs w:val="20"/>
          <w:lang w:val="en-US"/>
        </w:rPr>
      </w:pPr>
      <w:r w:rsidRPr="00EC16EC">
        <w:rPr>
          <w:rFonts w:ascii="Arial" w:hAnsi="Arial" w:cs="Arial"/>
          <w:i/>
          <w:sz w:val="20"/>
          <w:szCs w:val="20"/>
          <w:lang w:val="en-US"/>
        </w:rPr>
        <w:t xml:space="preserve">Source: </w:t>
      </w:r>
      <w:r w:rsidRPr="00713BA4">
        <w:rPr>
          <w:rFonts w:ascii="Arial" w:hAnsi="Arial" w:cs="Arial"/>
          <w:iCs/>
          <w:sz w:val="20"/>
          <w:szCs w:val="20"/>
          <w:lang w:val="en-US"/>
        </w:rPr>
        <w:t>Computing from time-series data using EViews 1</w:t>
      </w:r>
      <w:r>
        <w:rPr>
          <w:rFonts w:ascii="Arial" w:hAnsi="Arial" w:cs="Arial"/>
          <w:iCs/>
          <w:sz w:val="20"/>
          <w:szCs w:val="20"/>
          <w:lang w:val="en-US"/>
        </w:rPr>
        <w:t>2</w:t>
      </w:r>
      <w:r w:rsidRPr="00EC16EC">
        <w:rPr>
          <w:rFonts w:ascii="Arial" w:hAnsi="Arial" w:cs="Arial"/>
          <w:i/>
          <w:sz w:val="20"/>
          <w:szCs w:val="20"/>
          <w:lang w:val="en-US"/>
        </w:rPr>
        <w:t>.</w:t>
      </w:r>
    </w:p>
    <w:bookmarkEnd w:id="480"/>
    <w:p w14:paraId="29641237" w14:textId="77777777" w:rsidR="006E25BE" w:rsidRDefault="006E25BE" w:rsidP="0066301C">
      <w:pPr>
        <w:autoSpaceDE w:val="0"/>
        <w:autoSpaceDN w:val="0"/>
        <w:adjustRightInd w:val="0"/>
        <w:spacing w:line="360" w:lineRule="auto"/>
        <w:jc w:val="both"/>
        <w:rPr>
          <w:rFonts w:ascii="Arial" w:hAnsi="Arial" w:cs="Arial"/>
        </w:rPr>
      </w:pPr>
    </w:p>
    <w:p w14:paraId="0BFC74FB" w14:textId="077B89DA" w:rsidR="00AC6286" w:rsidRDefault="29FA74C2" w:rsidP="0066301C">
      <w:pPr>
        <w:autoSpaceDE w:val="0"/>
        <w:autoSpaceDN w:val="0"/>
        <w:adjustRightInd w:val="0"/>
        <w:spacing w:line="360" w:lineRule="auto"/>
        <w:jc w:val="both"/>
        <w:rPr>
          <w:rFonts w:ascii="Arial" w:hAnsi="Arial" w:cs="Arial"/>
          <w:color w:val="000000"/>
        </w:rPr>
      </w:pPr>
      <w:r>
        <w:rPr>
          <w:rFonts w:ascii="Arial" w:hAnsi="Arial" w:cs="Arial"/>
        </w:rPr>
        <w:t>The table is segmented into the three CEMAC nations, showing the relationship among the variables in each trad</w:t>
      </w:r>
      <w:r w:rsidR="00672E25">
        <w:rPr>
          <w:rFonts w:ascii="Arial" w:hAnsi="Arial" w:cs="Arial"/>
        </w:rPr>
        <w:t>ing</w:t>
      </w:r>
      <w:r>
        <w:rPr>
          <w:rFonts w:ascii="Arial" w:hAnsi="Arial" w:cs="Arial"/>
        </w:rPr>
        <w:t xml:space="preserve"> relationship. The individual models show both the long</w:t>
      </w:r>
      <w:r w:rsidR="28004E69">
        <w:rPr>
          <w:rFonts w:ascii="Arial" w:hAnsi="Arial" w:cs="Arial"/>
        </w:rPr>
        <w:t>-term</w:t>
      </w:r>
      <w:r>
        <w:rPr>
          <w:rFonts w:ascii="Arial" w:hAnsi="Arial" w:cs="Arial"/>
        </w:rPr>
        <w:t xml:space="preserve"> and the short</w:t>
      </w:r>
      <w:r w:rsidR="28004E69">
        <w:rPr>
          <w:rFonts w:ascii="Arial" w:hAnsi="Arial" w:cs="Arial"/>
        </w:rPr>
        <w:t>-term</w:t>
      </w:r>
      <w:r>
        <w:rPr>
          <w:rFonts w:ascii="Arial" w:hAnsi="Arial" w:cs="Arial"/>
        </w:rPr>
        <w:t xml:space="preserve"> relationship among the</w:t>
      </w:r>
      <w:r w:rsidR="384F84B0">
        <w:rPr>
          <w:rFonts w:ascii="Arial" w:hAnsi="Arial" w:cs="Arial"/>
        </w:rPr>
        <w:t>ir</w:t>
      </w:r>
      <w:r>
        <w:rPr>
          <w:rFonts w:ascii="Arial" w:hAnsi="Arial" w:cs="Arial"/>
        </w:rPr>
        <w:t xml:space="preserve"> variables. A panoramic view of the results </w:t>
      </w:r>
      <w:r w:rsidRPr="00515944">
        <w:rPr>
          <w:rFonts w:ascii="Arial" w:hAnsi="Arial" w:cs="Arial"/>
        </w:rPr>
        <w:t>shows the presence of a long-term relationship between the dependent variable (LNTB) and the independent variable(s)</w:t>
      </w:r>
      <w:r>
        <w:rPr>
          <w:rFonts w:ascii="Arial" w:hAnsi="Arial" w:cs="Arial"/>
        </w:rPr>
        <w:t xml:space="preserve"> for </w:t>
      </w:r>
      <w:r w:rsidR="4D63C7B2">
        <w:rPr>
          <w:rFonts w:ascii="Arial" w:hAnsi="Arial" w:cs="Arial"/>
        </w:rPr>
        <w:t xml:space="preserve">all </w:t>
      </w:r>
      <w:r>
        <w:rPr>
          <w:rFonts w:ascii="Arial" w:hAnsi="Arial" w:cs="Arial"/>
        </w:rPr>
        <w:t>the models</w:t>
      </w:r>
      <w:r w:rsidR="0061436D">
        <w:rPr>
          <w:rFonts w:ascii="Arial" w:hAnsi="Arial" w:cs="Arial"/>
        </w:rPr>
        <w:t>,</w:t>
      </w:r>
      <w:r w:rsidR="4D63C7B2">
        <w:rPr>
          <w:rFonts w:ascii="Arial" w:hAnsi="Arial" w:cs="Arial"/>
        </w:rPr>
        <w:t xml:space="preserve"> as their ECT are negative and statistically significant</w:t>
      </w:r>
      <w:r w:rsidRPr="00515944">
        <w:rPr>
          <w:rFonts w:ascii="Arial" w:hAnsi="Arial" w:cs="Arial"/>
        </w:rPr>
        <w:t xml:space="preserve">. </w:t>
      </w:r>
      <w:r w:rsidR="4D63C7B2">
        <w:rPr>
          <w:rFonts w:ascii="Arial" w:hAnsi="Arial" w:cs="Arial"/>
        </w:rPr>
        <w:t>However</w:t>
      </w:r>
      <w:r w:rsidRPr="00515944">
        <w:rPr>
          <w:rFonts w:ascii="Arial" w:hAnsi="Arial" w:cs="Arial"/>
        </w:rPr>
        <w:t>, this does not necessarily imply that the long-term relationship is between LNTB and LNREER. The long-term relationship</w:t>
      </w:r>
      <w:r w:rsidR="4D63C7B2">
        <w:rPr>
          <w:rFonts w:ascii="Arial" w:hAnsi="Arial" w:cs="Arial"/>
        </w:rPr>
        <w:t xml:space="preserve"> </w:t>
      </w:r>
      <w:r w:rsidR="0061436D">
        <w:rPr>
          <w:rFonts w:ascii="Arial" w:hAnsi="Arial" w:cs="Arial"/>
        </w:rPr>
        <w:t>could</w:t>
      </w:r>
      <w:r w:rsidRPr="00515944">
        <w:rPr>
          <w:rFonts w:ascii="Arial" w:hAnsi="Arial" w:cs="Arial"/>
        </w:rPr>
        <w:t xml:space="preserve"> be between LNTB and any of the other independent variables (LNDI, LNFI). The </w:t>
      </w:r>
      <w:r w:rsidRPr="57585719">
        <w:rPr>
          <w:rFonts w:ascii="Arial" w:hAnsi="Arial" w:cs="Arial"/>
          <w:i/>
          <w:iCs/>
        </w:rPr>
        <w:t>J</w:t>
      </w:r>
      <w:r w:rsidRPr="00515944">
        <w:rPr>
          <w:rFonts w:ascii="Arial" w:hAnsi="Arial" w:cs="Arial"/>
        </w:rPr>
        <w:t>-curve is attained only when LNREER is negative in the short-term and then positive in the long-term</w:t>
      </w:r>
      <w:r>
        <w:rPr>
          <w:rFonts w:ascii="Arial" w:hAnsi="Arial" w:cs="Arial"/>
        </w:rPr>
        <w:t xml:space="preserve"> (with the coefficient of the ECT being negative and statistically significant)</w:t>
      </w:r>
      <w:r w:rsidRPr="00515944">
        <w:rPr>
          <w:rFonts w:ascii="Arial" w:hAnsi="Arial" w:cs="Arial"/>
        </w:rPr>
        <w:t xml:space="preserve">. </w:t>
      </w:r>
      <w:r>
        <w:rPr>
          <w:rFonts w:ascii="Arial" w:hAnsi="Arial" w:cs="Arial"/>
        </w:rPr>
        <w:t>This</w:t>
      </w:r>
      <w:r w:rsidRPr="00F679C0">
        <w:rPr>
          <w:rFonts w:ascii="Arial" w:hAnsi="Arial" w:cs="Arial"/>
        </w:rPr>
        <w:t xml:space="preserve"> means that after a shock in LNREER (devaluation), the value of the LNTB</w:t>
      </w:r>
      <w:r w:rsidR="4D63C7B2">
        <w:rPr>
          <w:rFonts w:ascii="Arial" w:hAnsi="Arial" w:cs="Arial"/>
        </w:rPr>
        <w:t xml:space="preserve"> (trade balance)</w:t>
      </w:r>
      <w:r w:rsidRPr="00F679C0">
        <w:rPr>
          <w:rFonts w:ascii="Arial" w:hAnsi="Arial" w:cs="Arial"/>
        </w:rPr>
        <w:t xml:space="preserve"> could </w:t>
      </w:r>
      <w:r>
        <w:rPr>
          <w:rFonts w:ascii="Arial" w:hAnsi="Arial" w:cs="Arial"/>
        </w:rPr>
        <w:t>get either</w:t>
      </w:r>
      <w:r w:rsidRPr="00F679C0">
        <w:rPr>
          <w:rFonts w:ascii="Arial" w:hAnsi="Arial" w:cs="Arial"/>
        </w:rPr>
        <w:t xml:space="preserve"> negative or positive</w:t>
      </w:r>
      <w:r>
        <w:rPr>
          <w:rFonts w:ascii="Arial" w:hAnsi="Arial" w:cs="Arial"/>
        </w:rPr>
        <w:t xml:space="preserve"> in the short run</w:t>
      </w:r>
      <w:r w:rsidRPr="00F679C0">
        <w:rPr>
          <w:rFonts w:ascii="Arial" w:hAnsi="Arial" w:cs="Arial"/>
        </w:rPr>
        <w:t>. However, it will recover or converge back to the equilibrium before getting positive or</w:t>
      </w:r>
      <w:r>
        <w:rPr>
          <w:rFonts w:ascii="Arial" w:hAnsi="Arial" w:cs="Arial"/>
        </w:rPr>
        <w:t xml:space="preserve"> negative </w:t>
      </w:r>
      <w:r>
        <w:rPr>
          <w:rFonts w:ascii="Arial" w:hAnsi="Arial" w:cs="Arial"/>
        </w:rPr>
        <w:lastRenderedPageBreak/>
        <w:t xml:space="preserve">in the long-term </w:t>
      </w:r>
      <w:r w:rsidRPr="00F679C0">
        <w:rPr>
          <w:rFonts w:ascii="Arial" w:hAnsi="Arial" w:cs="Arial"/>
        </w:rPr>
        <w:t xml:space="preserve">to reflect the presence of either a </w:t>
      </w:r>
      <w:r w:rsidRPr="57585719">
        <w:rPr>
          <w:rFonts w:ascii="Arial" w:hAnsi="Arial" w:cs="Arial"/>
          <w:i/>
          <w:iCs/>
        </w:rPr>
        <w:t>J-</w:t>
      </w:r>
      <w:r w:rsidRPr="00F679C0">
        <w:rPr>
          <w:rFonts w:ascii="Arial" w:hAnsi="Arial" w:cs="Arial"/>
        </w:rPr>
        <w:t xml:space="preserve">curve or </w:t>
      </w:r>
      <w:r w:rsidRPr="57585719">
        <w:rPr>
          <w:rFonts w:ascii="Arial" w:hAnsi="Arial" w:cs="Arial"/>
          <w:i/>
          <w:iCs/>
        </w:rPr>
        <w:t>S-</w:t>
      </w:r>
      <w:r w:rsidRPr="00F679C0">
        <w:rPr>
          <w:rFonts w:ascii="Arial" w:hAnsi="Arial" w:cs="Arial"/>
        </w:rPr>
        <w:t>curve.</w:t>
      </w:r>
      <w:r w:rsidR="00AC6286" w:rsidRPr="00F679C0">
        <w:rPr>
          <w:rStyle w:val="FootnoteReference"/>
          <w:rFonts w:ascii="Arial" w:hAnsi="Arial" w:cs="Arial"/>
        </w:rPr>
        <w:footnoteReference w:id="127"/>
      </w:r>
      <w:r>
        <w:rPr>
          <w:rFonts w:ascii="Arial" w:hAnsi="Arial" w:cs="Arial"/>
        </w:rPr>
        <w:t xml:space="preserve"> </w:t>
      </w:r>
      <w:r>
        <w:rPr>
          <w:rFonts w:ascii="Arial" w:hAnsi="Arial" w:cs="Arial"/>
          <w:color w:val="000000"/>
        </w:rPr>
        <w:t xml:space="preserve">The aim of this chapter is to investigate the presence of the </w:t>
      </w:r>
      <w:r w:rsidRPr="57585719">
        <w:rPr>
          <w:rFonts w:ascii="Arial" w:hAnsi="Arial" w:cs="Arial"/>
          <w:i/>
          <w:iCs/>
          <w:color w:val="000000"/>
        </w:rPr>
        <w:t>J-</w:t>
      </w:r>
      <w:r>
        <w:rPr>
          <w:rFonts w:ascii="Arial" w:hAnsi="Arial" w:cs="Arial"/>
          <w:color w:val="000000"/>
        </w:rPr>
        <w:t>curve in the trade relationship between the CEMAC nations and their individual trade partners. As such, our focus will be on the relationship between LNTB and LNREER. The results are analysed below</w:t>
      </w:r>
      <w:r w:rsidR="3AF3B80F">
        <w:rPr>
          <w:rFonts w:ascii="Arial" w:hAnsi="Arial" w:cs="Arial"/>
          <w:color w:val="000000"/>
        </w:rPr>
        <w:t>.</w:t>
      </w:r>
    </w:p>
    <w:p w14:paraId="1DB8056D" w14:textId="77777777" w:rsidR="005E7D18" w:rsidRDefault="005E7D18" w:rsidP="0066301C">
      <w:pPr>
        <w:autoSpaceDE w:val="0"/>
        <w:autoSpaceDN w:val="0"/>
        <w:adjustRightInd w:val="0"/>
        <w:spacing w:line="360" w:lineRule="auto"/>
        <w:jc w:val="both"/>
        <w:rPr>
          <w:rFonts w:ascii="Arial" w:hAnsi="Arial" w:cs="Arial"/>
          <w:b/>
          <w:bCs/>
          <w:color w:val="000000"/>
          <w:u w:val="single"/>
        </w:rPr>
      </w:pPr>
    </w:p>
    <w:p w14:paraId="320A6676" w14:textId="77777777" w:rsidR="005E7D18" w:rsidRDefault="005E7D18" w:rsidP="0066301C">
      <w:pPr>
        <w:autoSpaceDE w:val="0"/>
        <w:autoSpaceDN w:val="0"/>
        <w:adjustRightInd w:val="0"/>
        <w:spacing w:line="360" w:lineRule="auto"/>
        <w:jc w:val="both"/>
        <w:rPr>
          <w:rFonts w:ascii="Arial" w:hAnsi="Arial" w:cs="Arial"/>
          <w:b/>
          <w:bCs/>
          <w:color w:val="000000"/>
          <w:u w:val="single"/>
        </w:rPr>
      </w:pPr>
    </w:p>
    <w:p w14:paraId="2BA19A03" w14:textId="37B4E6E3" w:rsidR="008D2C30" w:rsidRPr="008D2C30" w:rsidRDefault="008D2C30" w:rsidP="0066301C">
      <w:pPr>
        <w:autoSpaceDE w:val="0"/>
        <w:autoSpaceDN w:val="0"/>
        <w:adjustRightInd w:val="0"/>
        <w:spacing w:line="360" w:lineRule="auto"/>
        <w:jc w:val="both"/>
        <w:rPr>
          <w:rFonts w:ascii="Arial" w:hAnsi="Arial" w:cs="Arial"/>
          <w:b/>
          <w:bCs/>
          <w:color w:val="000000"/>
          <w:u w:val="single"/>
        </w:rPr>
      </w:pPr>
      <w:r w:rsidRPr="008D2C30">
        <w:rPr>
          <w:rFonts w:ascii="Arial" w:hAnsi="Arial" w:cs="Arial"/>
          <w:b/>
          <w:bCs/>
          <w:color w:val="000000"/>
          <w:u w:val="single"/>
        </w:rPr>
        <w:t>Cameroon</w:t>
      </w:r>
    </w:p>
    <w:p w14:paraId="5BC92F81" w14:textId="62817666" w:rsidR="00F801E7" w:rsidRDefault="001176F1" w:rsidP="0066301C">
      <w:pPr>
        <w:spacing w:line="360" w:lineRule="auto"/>
        <w:jc w:val="both"/>
        <w:rPr>
          <w:rFonts w:ascii="Arial" w:hAnsi="Arial" w:cs="Arial"/>
          <w:lang w:val="en-US" w:eastAsia="en-GB"/>
        </w:rPr>
      </w:pPr>
      <w:r w:rsidRPr="77A84B85">
        <w:rPr>
          <w:rFonts w:ascii="Arial" w:hAnsi="Arial" w:cs="Arial"/>
          <w:color w:val="000000" w:themeColor="text1"/>
        </w:rPr>
        <w:t>Beginning with Cameroon, t</w:t>
      </w:r>
      <w:r w:rsidR="00A905DE" w:rsidRPr="77A84B85">
        <w:rPr>
          <w:rFonts w:ascii="Arial" w:hAnsi="Arial" w:cs="Arial"/>
          <w:color w:val="000000" w:themeColor="text1"/>
        </w:rPr>
        <w:t>he results of the trade relationship between Cameroon and her trade partners show that in the long</w:t>
      </w:r>
      <w:r w:rsidR="5FC42BF0" w:rsidRPr="77A84B85">
        <w:rPr>
          <w:rFonts w:ascii="Arial" w:hAnsi="Arial" w:cs="Arial"/>
          <w:color w:val="000000" w:themeColor="text1"/>
        </w:rPr>
        <w:t>-</w:t>
      </w:r>
      <w:r w:rsidR="00A905DE" w:rsidRPr="77A84B85">
        <w:rPr>
          <w:rFonts w:ascii="Arial" w:hAnsi="Arial" w:cs="Arial"/>
          <w:color w:val="000000" w:themeColor="text1"/>
        </w:rPr>
        <w:t>run</w:t>
      </w:r>
      <w:r w:rsidR="00316581">
        <w:rPr>
          <w:rFonts w:ascii="Arial" w:hAnsi="Arial" w:cs="Arial"/>
          <w:color w:val="000000" w:themeColor="text1"/>
        </w:rPr>
        <w:t>,</w:t>
      </w:r>
      <w:r w:rsidR="00A905DE" w:rsidRPr="77A84B85">
        <w:rPr>
          <w:rFonts w:ascii="Arial" w:hAnsi="Arial" w:cs="Arial"/>
          <w:color w:val="000000" w:themeColor="text1"/>
        </w:rPr>
        <w:t xml:space="preserve"> a 1% devaluation of the CFA franc leads to a </w:t>
      </w:r>
      <w:r w:rsidR="0088548A" w:rsidRPr="77A84B85">
        <w:rPr>
          <w:rFonts w:ascii="Arial" w:hAnsi="Arial" w:cs="Arial"/>
          <w:color w:val="000000" w:themeColor="text1"/>
        </w:rPr>
        <w:t>0</w:t>
      </w:r>
      <w:r w:rsidR="00A905DE" w:rsidRPr="77A84B85">
        <w:rPr>
          <w:rFonts w:ascii="Arial" w:hAnsi="Arial" w:cs="Arial"/>
          <w:color w:val="000000" w:themeColor="text1"/>
        </w:rPr>
        <w:t>.</w:t>
      </w:r>
      <w:r w:rsidR="0088548A" w:rsidRPr="77A84B85">
        <w:rPr>
          <w:rFonts w:ascii="Arial" w:hAnsi="Arial" w:cs="Arial"/>
          <w:color w:val="000000" w:themeColor="text1"/>
        </w:rPr>
        <w:t>23</w:t>
      </w:r>
      <w:r w:rsidR="00A905DE" w:rsidRPr="77A84B85">
        <w:rPr>
          <w:rFonts w:ascii="Arial" w:hAnsi="Arial" w:cs="Arial"/>
          <w:color w:val="000000" w:themeColor="text1"/>
        </w:rPr>
        <w:t xml:space="preserve">% improvement in the </w:t>
      </w:r>
      <w:r w:rsidR="0088548A" w:rsidRPr="77A84B85">
        <w:rPr>
          <w:rFonts w:ascii="Arial" w:hAnsi="Arial" w:cs="Arial"/>
          <w:color w:val="000000" w:themeColor="text1"/>
        </w:rPr>
        <w:t xml:space="preserve">nation’s </w:t>
      </w:r>
      <w:r w:rsidR="00A905DE" w:rsidRPr="77A84B85">
        <w:rPr>
          <w:rFonts w:ascii="Arial" w:hAnsi="Arial" w:cs="Arial"/>
          <w:color w:val="000000" w:themeColor="text1"/>
        </w:rPr>
        <w:t xml:space="preserve">trade balance. This means that currency devaluation results </w:t>
      </w:r>
      <w:r w:rsidR="00A37209">
        <w:rPr>
          <w:rFonts w:ascii="Arial" w:hAnsi="Arial" w:cs="Arial"/>
          <w:color w:val="000000" w:themeColor="text1"/>
        </w:rPr>
        <w:t>in</w:t>
      </w:r>
      <w:r w:rsidR="00A905DE" w:rsidRPr="77A84B85">
        <w:rPr>
          <w:rFonts w:ascii="Arial" w:hAnsi="Arial" w:cs="Arial"/>
          <w:color w:val="000000" w:themeColor="text1"/>
        </w:rPr>
        <w:t xml:space="preserve"> trade improvement in the long</w:t>
      </w:r>
      <w:r w:rsidR="10863BEF" w:rsidRPr="77A84B85">
        <w:rPr>
          <w:rFonts w:ascii="Arial" w:hAnsi="Arial" w:cs="Arial"/>
          <w:color w:val="000000" w:themeColor="text1"/>
        </w:rPr>
        <w:t>-</w:t>
      </w:r>
      <w:r w:rsidR="00A905DE" w:rsidRPr="77A84B85">
        <w:rPr>
          <w:rFonts w:ascii="Arial" w:hAnsi="Arial" w:cs="Arial"/>
          <w:color w:val="000000" w:themeColor="text1"/>
        </w:rPr>
        <w:t xml:space="preserve">run. </w:t>
      </w:r>
      <w:r w:rsidR="0088548A" w:rsidRPr="77A84B85">
        <w:rPr>
          <w:rFonts w:ascii="Arial" w:hAnsi="Arial" w:cs="Arial"/>
          <w:color w:val="000000" w:themeColor="text1"/>
        </w:rPr>
        <w:t>Meanwhile</w:t>
      </w:r>
      <w:r w:rsidR="00D46E40">
        <w:rPr>
          <w:rFonts w:ascii="Arial" w:hAnsi="Arial" w:cs="Arial"/>
          <w:color w:val="000000" w:themeColor="text1"/>
        </w:rPr>
        <w:t>,</w:t>
      </w:r>
      <w:r w:rsidR="0088548A" w:rsidRPr="77A84B85">
        <w:rPr>
          <w:rFonts w:ascii="Arial" w:hAnsi="Arial" w:cs="Arial"/>
          <w:color w:val="000000" w:themeColor="text1"/>
        </w:rPr>
        <w:t xml:space="preserve"> in the short run, a 1% devaluation results </w:t>
      </w:r>
      <w:r w:rsidR="00D46E40">
        <w:rPr>
          <w:rFonts w:ascii="Arial" w:hAnsi="Arial" w:cs="Arial"/>
          <w:color w:val="000000" w:themeColor="text1"/>
        </w:rPr>
        <w:t>in</w:t>
      </w:r>
      <w:r w:rsidR="007C045F" w:rsidRPr="77A84B85">
        <w:rPr>
          <w:rFonts w:ascii="Arial" w:hAnsi="Arial" w:cs="Arial"/>
          <w:color w:val="000000" w:themeColor="text1"/>
        </w:rPr>
        <w:t xml:space="preserve"> </w:t>
      </w:r>
      <w:r w:rsidR="000D5481" w:rsidRPr="77A84B85">
        <w:rPr>
          <w:rFonts w:ascii="Arial" w:hAnsi="Arial" w:cs="Arial"/>
          <w:color w:val="000000" w:themeColor="text1"/>
        </w:rPr>
        <w:t>-</w:t>
      </w:r>
      <w:r w:rsidR="007C045F" w:rsidRPr="77A84B85">
        <w:rPr>
          <w:rFonts w:ascii="Arial" w:hAnsi="Arial" w:cs="Arial"/>
          <w:color w:val="000000" w:themeColor="text1"/>
        </w:rPr>
        <w:t xml:space="preserve">0.46% </w:t>
      </w:r>
      <w:r w:rsidR="0088548A" w:rsidRPr="77A84B85">
        <w:rPr>
          <w:rFonts w:ascii="Arial" w:hAnsi="Arial" w:cs="Arial"/>
          <w:color w:val="000000" w:themeColor="text1"/>
        </w:rPr>
        <w:t xml:space="preserve">worsening of the </w:t>
      </w:r>
      <w:r w:rsidR="007C045F" w:rsidRPr="77A84B85">
        <w:rPr>
          <w:rFonts w:ascii="Arial" w:hAnsi="Arial" w:cs="Arial"/>
          <w:color w:val="000000" w:themeColor="text1"/>
        </w:rPr>
        <w:t>trade balance. This shows that in the short</w:t>
      </w:r>
      <w:r w:rsidR="008D2C30" w:rsidRPr="77A84B85">
        <w:rPr>
          <w:rFonts w:ascii="Arial" w:hAnsi="Arial" w:cs="Arial"/>
          <w:color w:val="000000" w:themeColor="text1"/>
        </w:rPr>
        <w:t>-</w:t>
      </w:r>
      <w:r w:rsidR="007C045F" w:rsidRPr="77A84B85">
        <w:rPr>
          <w:rFonts w:ascii="Arial" w:hAnsi="Arial" w:cs="Arial"/>
          <w:color w:val="000000" w:themeColor="text1"/>
        </w:rPr>
        <w:t>run</w:t>
      </w:r>
      <w:r w:rsidR="000D5481" w:rsidRPr="77A84B85">
        <w:rPr>
          <w:rFonts w:ascii="Arial" w:hAnsi="Arial" w:cs="Arial"/>
          <w:color w:val="000000" w:themeColor="text1"/>
        </w:rPr>
        <w:t>,</w:t>
      </w:r>
      <w:r w:rsidR="007C045F" w:rsidRPr="77A84B85">
        <w:rPr>
          <w:rFonts w:ascii="Arial" w:hAnsi="Arial" w:cs="Arial"/>
          <w:color w:val="000000" w:themeColor="text1"/>
        </w:rPr>
        <w:t xml:space="preserve"> the trade balance is negative</w:t>
      </w:r>
      <w:r w:rsidR="00F432B1">
        <w:rPr>
          <w:rFonts w:ascii="Arial" w:hAnsi="Arial" w:cs="Arial"/>
          <w:color w:val="000000" w:themeColor="text1"/>
        </w:rPr>
        <w:t>,</w:t>
      </w:r>
      <w:r w:rsidR="007C045F" w:rsidRPr="77A84B85">
        <w:rPr>
          <w:rFonts w:ascii="Arial" w:hAnsi="Arial" w:cs="Arial"/>
          <w:color w:val="000000" w:themeColor="text1"/>
        </w:rPr>
        <w:t xml:space="preserve"> and in the l</w:t>
      </w:r>
      <w:r w:rsidR="007B655E" w:rsidRPr="77A84B85">
        <w:rPr>
          <w:rFonts w:ascii="Arial" w:hAnsi="Arial" w:cs="Arial"/>
          <w:color w:val="000000" w:themeColor="text1"/>
        </w:rPr>
        <w:t>ong</w:t>
      </w:r>
      <w:r w:rsidR="74438FC4" w:rsidRPr="77A84B85">
        <w:rPr>
          <w:rFonts w:ascii="Arial" w:hAnsi="Arial" w:cs="Arial"/>
          <w:color w:val="000000" w:themeColor="text1"/>
        </w:rPr>
        <w:t>-</w:t>
      </w:r>
      <w:r w:rsidR="007C045F" w:rsidRPr="77A84B85">
        <w:rPr>
          <w:rFonts w:ascii="Arial" w:hAnsi="Arial" w:cs="Arial"/>
          <w:color w:val="000000" w:themeColor="text1"/>
        </w:rPr>
        <w:t>run</w:t>
      </w:r>
      <w:r w:rsidR="00F432B1">
        <w:rPr>
          <w:rFonts w:ascii="Arial" w:hAnsi="Arial" w:cs="Arial"/>
          <w:color w:val="000000" w:themeColor="text1"/>
        </w:rPr>
        <w:t>,</w:t>
      </w:r>
      <w:r w:rsidR="007C045F" w:rsidRPr="77A84B85">
        <w:rPr>
          <w:rFonts w:ascii="Arial" w:hAnsi="Arial" w:cs="Arial"/>
          <w:color w:val="000000" w:themeColor="text1"/>
        </w:rPr>
        <w:t xml:space="preserve"> it is positive. Also, the ECT is negative </w:t>
      </w:r>
      <w:r w:rsidR="00B02EB7" w:rsidRPr="77A84B85">
        <w:rPr>
          <w:rFonts w:ascii="Arial" w:hAnsi="Arial" w:cs="Arial"/>
          <w:color w:val="000000" w:themeColor="text1"/>
        </w:rPr>
        <w:t xml:space="preserve">(-0.917) and statistically significant (with </w:t>
      </w:r>
      <w:r w:rsidR="00C427B8">
        <w:rPr>
          <w:rFonts w:ascii="Arial" w:hAnsi="Arial" w:cs="Arial"/>
          <w:color w:val="000000" w:themeColor="text1"/>
        </w:rPr>
        <w:t xml:space="preserve">a </w:t>
      </w:r>
      <w:r w:rsidR="00B02EB7" w:rsidRPr="77A84B85">
        <w:rPr>
          <w:rFonts w:ascii="Arial" w:hAnsi="Arial" w:cs="Arial"/>
          <w:i/>
          <w:color w:val="000000" w:themeColor="text1"/>
        </w:rPr>
        <w:t>t</w:t>
      </w:r>
      <w:r w:rsidR="00B02EB7" w:rsidRPr="77A84B85">
        <w:rPr>
          <w:rFonts w:ascii="Arial" w:hAnsi="Arial" w:cs="Arial"/>
          <w:color w:val="000000" w:themeColor="text1"/>
        </w:rPr>
        <w:t>-statistic of |5.946|</w:t>
      </w:r>
      <w:r w:rsidR="00C427B8">
        <w:rPr>
          <w:rFonts w:ascii="Arial" w:hAnsi="Arial" w:cs="Arial"/>
          <w:color w:val="000000" w:themeColor="text1"/>
        </w:rPr>
        <w:t>,</w:t>
      </w:r>
      <w:r w:rsidR="00B02EB7" w:rsidRPr="77A84B85">
        <w:rPr>
          <w:rFonts w:ascii="Arial" w:hAnsi="Arial" w:cs="Arial"/>
          <w:color w:val="000000" w:themeColor="text1"/>
        </w:rPr>
        <w:t xml:space="preserve"> which is greater tha</w:t>
      </w:r>
      <w:r w:rsidR="00C427B8">
        <w:rPr>
          <w:rFonts w:ascii="Arial" w:hAnsi="Arial" w:cs="Arial"/>
          <w:color w:val="000000" w:themeColor="text1"/>
        </w:rPr>
        <w:t>n</w:t>
      </w:r>
      <w:r w:rsidR="00B02EB7" w:rsidRPr="77A84B85">
        <w:rPr>
          <w:rFonts w:ascii="Arial" w:hAnsi="Arial" w:cs="Arial"/>
          <w:color w:val="000000" w:themeColor="text1"/>
        </w:rPr>
        <w:t xml:space="preserve"> |2|</w:t>
      </w:r>
      <w:r w:rsidR="000D5481" w:rsidRPr="77A84B85">
        <w:rPr>
          <w:rFonts w:ascii="Arial" w:hAnsi="Arial" w:cs="Arial"/>
          <w:color w:val="000000" w:themeColor="text1"/>
        </w:rPr>
        <w:t>)</w:t>
      </w:r>
      <w:r w:rsidR="00B02EB7" w:rsidRPr="77A84B85">
        <w:rPr>
          <w:rFonts w:ascii="Arial" w:hAnsi="Arial" w:cs="Arial"/>
          <w:color w:val="000000" w:themeColor="text1"/>
        </w:rPr>
        <w:t>.</w:t>
      </w:r>
      <w:r w:rsidR="0095325F">
        <w:rPr>
          <w:rStyle w:val="FootnoteReference"/>
          <w:rFonts w:ascii="Arial" w:hAnsi="Arial" w:cs="Arial"/>
          <w:color w:val="000000" w:themeColor="text1"/>
        </w:rPr>
        <w:footnoteReference w:id="128"/>
      </w:r>
      <w:r w:rsidR="0010244D" w:rsidRPr="77A84B85">
        <w:rPr>
          <w:rFonts w:ascii="Arial" w:hAnsi="Arial" w:cs="Arial"/>
          <w:color w:val="000000" w:themeColor="text1"/>
        </w:rPr>
        <w:t xml:space="preserve"> </w:t>
      </w:r>
      <w:r w:rsidR="000D5481" w:rsidRPr="77A84B85">
        <w:rPr>
          <w:rFonts w:ascii="Arial" w:hAnsi="Arial" w:cs="Arial"/>
          <w:color w:val="000000" w:themeColor="text1"/>
        </w:rPr>
        <w:t>Thus,</w:t>
      </w:r>
      <w:r w:rsidR="00413EBD" w:rsidRPr="77A84B85">
        <w:rPr>
          <w:rFonts w:ascii="Arial" w:hAnsi="Arial" w:cs="Arial"/>
          <w:color w:val="000000" w:themeColor="text1"/>
        </w:rPr>
        <w:t xml:space="preserve"> there is the presence of the </w:t>
      </w:r>
      <w:r w:rsidR="00413EBD" w:rsidRPr="77A84B85">
        <w:rPr>
          <w:rFonts w:ascii="Arial" w:hAnsi="Arial" w:cs="Arial"/>
          <w:i/>
          <w:color w:val="000000" w:themeColor="text1"/>
        </w:rPr>
        <w:t>J-</w:t>
      </w:r>
      <w:r w:rsidR="00413EBD" w:rsidRPr="77A84B85">
        <w:rPr>
          <w:rFonts w:ascii="Arial" w:hAnsi="Arial" w:cs="Arial"/>
          <w:color w:val="000000" w:themeColor="text1"/>
        </w:rPr>
        <w:t xml:space="preserve">curve in Cameroon trade balance. </w:t>
      </w:r>
      <w:r w:rsidRPr="00A554B6">
        <w:rPr>
          <w:rFonts w:ascii="Arial" w:hAnsi="Arial" w:cs="Arial"/>
          <w:lang w:val="en-US" w:eastAsia="en-GB"/>
        </w:rPr>
        <w:t xml:space="preserve">This result is </w:t>
      </w:r>
      <w:r w:rsidR="006E7FC7" w:rsidRPr="00A554B6">
        <w:rPr>
          <w:rFonts w:ascii="Arial" w:hAnsi="Arial" w:cs="Arial"/>
          <w:lang w:val="en-US" w:eastAsia="en-GB"/>
        </w:rPr>
        <w:t>inline,</w:t>
      </w:r>
      <w:r w:rsidRPr="00A554B6">
        <w:rPr>
          <w:rFonts w:ascii="Arial" w:hAnsi="Arial" w:cs="Arial"/>
          <w:lang w:val="en-US" w:eastAsia="en-GB"/>
        </w:rPr>
        <w:t xml:space="preserve"> and a further confirmation of the results obtained in </w:t>
      </w:r>
      <w:r>
        <w:rPr>
          <w:rFonts w:ascii="Arial" w:hAnsi="Arial" w:cs="Arial"/>
          <w:lang w:val="en-US" w:eastAsia="en-GB"/>
        </w:rPr>
        <w:t>the</w:t>
      </w:r>
      <w:r w:rsidRPr="00A554B6">
        <w:rPr>
          <w:rFonts w:ascii="Arial" w:hAnsi="Arial" w:cs="Arial"/>
          <w:lang w:val="en-US" w:eastAsia="en-GB"/>
        </w:rPr>
        <w:t xml:space="preserve"> </w:t>
      </w:r>
      <w:r>
        <w:rPr>
          <w:rFonts w:ascii="Arial" w:hAnsi="Arial" w:cs="Arial"/>
          <w:lang w:val="en-US" w:eastAsia="en-GB"/>
        </w:rPr>
        <w:t xml:space="preserve">previous </w:t>
      </w:r>
      <w:r w:rsidRPr="00A554B6">
        <w:rPr>
          <w:rFonts w:ascii="Arial" w:hAnsi="Arial" w:cs="Arial"/>
          <w:lang w:val="en-US" w:eastAsia="en-GB"/>
        </w:rPr>
        <w:t xml:space="preserve">section on the trade relationship between Cameroon and its individual trade partners. The result showed the presence of a long-term relationship in the trade balance models with </w:t>
      </w:r>
      <w:r>
        <w:rPr>
          <w:rFonts w:ascii="Arial" w:hAnsi="Arial" w:cs="Arial"/>
          <w:lang w:val="en-US" w:eastAsia="en-GB"/>
        </w:rPr>
        <w:t>all</w:t>
      </w:r>
      <w:r w:rsidRPr="00A554B6">
        <w:rPr>
          <w:rFonts w:ascii="Arial" w:hAnsi="Arial" w:cs="Arial"/>
          <w:lang w:val="en-US" w:eastAsia="en-GB"/>
        </w:rPr>
        <w:t xml:space="preserve"> the trading partners. </w:t>
      </w:r>
    </w:p>
    <w:p w14:paraId="74264A9F" w14:textId="17C48B0C" w:rsidR="001251BE" w:rsidRDefault="001176F1" w:rsidP="0066301C">
      <w:pPr>
        <w:spacing w:line="360" w:lineRule="auto"/>
        <w:jc w:val="both"/>
        <w:rPr>
          <w:rFonts w:ascii="Arial" w:hAnsi="Arial" w:cs="Arial"/>
          <w:color w:val="000000"/>
        </w:rPr>
      </w:pPr>
      <w:r w:rsidRPr="00A554B6">
        <w:rPr>
          <w:rFonts w:ascii="Arial" w:hAnsi="Arial" w:cs="Arial"/>
          <w:lang w:val="en-US" w:eastAsia="en-GB"/>
        </w:rPr>
        <w:t xml:space="preserve">This result is </w:t>
      </w:r>
      <w:r w:rsidR="000D5481" w:rsidRPr="00A554B6">
        <w:rPr>
          <w:rFonts w:ascii="Arial" w:hAnsi="Arial" w:cs="Arial"/>
          <w:lang w:val="en-US" w:eastAsia="en-GB"/>
        </w:rPr>
        <w:t>in line</w:t>
      </w:r>
      <w:r w:rsidRPr="00A554B6">
        <w:rPr>
          <w:rFonts w:ascii="Arial" w:hAnsi="Arial" w:cs="Arial"/>
          <w:lang w:val="en-US" w:eastAsia="en-GB"/>
        </w:rPr>
        <w:t xml:space="preserve"> with that of Dongfack and Ouyang (2019), which state that the CFA franc devaluation improves Cameroon’s trade balance. </w:t>
      </w:r>
      <w:r w:rsidR="00413EBD" w:rsidRPr="77A84B85">
        <w:rPr>
          <w:rFonts w:ascii="Arial" w:hAnsi="Arial" w:cs="Arial"/>
          <w:color w:val="000000" w:themeColor="text1"/>
        </w:rPr>
        <w:t xml:space="preserve">This means that Cameroon’s authority could use the CFA franc devaluation as a tool to improve the nation’s trade balance </w:t>
      </w:r>
      <w:r w:rsidR="00413EBD" w:rsidRPr="77A84B85">
        <w:rPr>
          <w:rFonts w:ascii="Arial" w:hAnsi="Arial" w:cs="Arial"/>
          <w:i/>
          <w:color w:val="000000" w:themeColor="text1"/>
        </w:rPr>
        <w:t xml:space="preserve">ceteris paribus. </w:t>
      </w:r>
      <w:r w:rsidR="00413EBD" w:rsidRPr="77A84B85">
        <w:rPr>
          <w:rFonts w:ascii="Arial" w:hAnsi="Arial" w:cs="Arial"/>
          <w:color w:val="000000" w:themeColor="text1"/>
        </w:rPr>
        <w:t>The result also shows that an increase in domestic income leads to a drop in trade balance. This means that when the citizens have an increase in their income, they will import more foreign product</w:t>
      </w:r>
      <w:r w:rsidR="00CA32AD">
        <w:rPr>
          <w:rFonts w:ascii="Arial" w:hAnsi="Arial" w:cs="Arial"/>
          <w:color w:val="000000" w:themeColor="text1"/>
        </w:rPr>
        <w:t>s,</w:t>
      </w:r>
      <w:r w:rsidR="005F2D43" w:rsidRPr="77A84B85">
        <w:rPr>
          <w:rFonts w:ascii="Arial" w:hAnsi="Arial" w:cs="Arial"/>
          <w:color w:val="000000" w:themeColor="text1"/>
        </w:rPr>
        <w:t xml:space="preserve"> leading to a drop in their trade balance in the long</w:t>
      </w:r>
      <w:r w:rsidR="2F1BDD98" w:rsidRPr="77A84B85">
        <w:rPr>
          <w:rFonts w:ascii="Arial" w:hAnsi="Arial" w:cs="Arial"/>
          <w:color w:val="000000" w:themeColor="text1"/>
        </w:rPr>
        <w:t>-</w:t>
      </w:r>
      <w:r w:rsidR="005F2D43" w:rsidRPr="77A84B85">
        <w:rPr>
          <w:rFonts w:ascii="Arial" w:hAnsi="Arial" w:cs="Arial"/>
          <w:color w:val="000000" w:themeColor="text1"/>
        </w:rPr>
        <w:t xml:space="preserve">run. </w:t>
      </w:r>
      <w:r w:rsidR="00056C2B">
        <w:rPr>
          <w:rFonts w:ascii="Arial" w:hAnsi="Arial" w:cs="Arial"/>
          <w:color w:val="000000" w:themeColor="text1"/>
        </w:rPr>
        <w:t>I</w:t>
      </w:r>
      <w:r w:rsidR="005F2D43" w:rsidRPr="77A84B85">
        <w:rPr>
          <w:rFonts w:ascii="Arial" w:hAnsi="Arial" w:cs="Arial"/>
          <w:color w:val="000000" w:themeColor="text1"/>
        </w:rPr>
        <w:t xml:space="preserve">n the short run, an increase in domestic income leads to an increase in trade balance </w:t>
      </w:r>
      <w:r w:rsidR="005F2D43" w:rsidRPr="77A84B85">
        <w:rPr>
          <w:rFonts w:ascii="Arial" w:hAnsi="Arial" w:cs="Arial"/>
          <w:i/>
          <w:color w:val="000000" w:themeColor="text1"/>
        </w:rPr>
        <w:t xml:space="preserve">ceteris paribus. </w:t>
      </w:r>
      <w:r w:rsidR="000D5481" w:rsidRPr="77A84B85">
        <w:rPr>
          <w:rFonts w:ascii="Arial" w:hAnsi="Arial" w:cs="Arial"/>
          <w:color w:val="000000" w:themeColor="text1"/>
        </w:rPr>
        <w:t xml:space="preserve">This could mean that the nation </w:t>
      </w:r>
      <w:r w:rsidR="6E05AD76" w:rsidRPr="77A84B85">
        <w:rPr>
          <w:rFonts w:ascii="Arial" w:hAnsi="Arial" w:cs="Arial"/>
          <w:color w:val="000000" w:themeColor="text1"/>
        </w:rPr>
        <w:t>must</w:t>
      </w:r>
      <w:r w:rsidR="000D5481" w:rsidRPr="77A84B85">
        <w:rPr>
          <w:rFonts w:ascii="Arial" w:hAnsi="Arial" w:cs="Arial"/>
          <w:color w:val="000000" w:themeColor="text1"/>
        </w:rPr>
        <w:t xml:space="preserve"> improve and diversify the products </w:t>
      </w:r>
      <w:r w:rsidR="00947936">
        <w:rPr>
          <w:rFonts w:ascii="Arial" w:hAnsi="Arial" w:cs="Arial"/>
          <w:color w:val="000000" w:themeColor="text1"/>
        </w:rPr>
        <w:t>it</w:t>
      </w:r>
      <w:r w:rsidR="000D5481" w:rsidRPr="77A84B85">
        <w:rPr>
          <w:rFonts w:ascii="Arial" w:hAnsi="Arial" w:cs="Arial"/>
          <w:color w:val="000000" w:themeColor="text1"/>
        </w:rPr>
        <w:t xml:space="preserve"> produc</w:t>
      </w:r>
      <w:r w:rsidR="00DC17C8">
        <w:rPr>
          <w:rFonts w:ascii="Arial" w:hAnsi="Arial" w:cs="Arial"/>
          <w:color w:val="000000" w:themeColor="text1"/>
        </w:rPr>
        <w:t>es</w:t>
      </w:r>
      <w:r w:rsidR="000D5481" w:rsidRPr="77A84B85">
        <w:rPr>
          <w:rFonts w:ascii="Arial" w:hAnsi="Arial" w:cs="Arial"/>
          <w:color w:val="000000" w:themeColor="text1"/>
        </w:rPr>
        <w:t xml:space="preserve"> so as to encourage the nationals to consume local product</w:t>
      </w:r>
      <w:r w:rsidR="00DC17C8">
        <w:rPr>
          <w:rFonts w:ascii="Arial" w:hAnsi="Arial" w:cs="Arial"/>
          <w:color w:val="000000" w:themeColor="text1"/>
        </w:rPr>
        <w:t>s</w:t>
      </w:r>
      <w:r w:rsidR="000D5481" w:rsidRPr="77A84B85">
        <w:rPr>
          <w:rFonts w:ascii="Arial" w:hAnsi="Arial" w:cs="Arial"/>
          <w:color w:val="000000" w:themeColor="text1"/>
        </w:rPr>
        <w:t xml:space="preserve"> rather than importing much. F</w:t>
      </w:r>
      <w:r w:rsidR="00AE0B01" w:rsidRPr="77A84B85">
        <w:rPr>
          <w:rFonts w:ascii="Arial" w:hAnsi="Arial" w:cs="Arial"/>
          <w:color w:val="000000" w:themeColor="text1"/>
        </w:rPr>
        <w:t>inally, the result shows that there is no relationship between foreign income and trade balance either in the short run or in the long</w:t>
      </w:r>
      <w:r w:rsidR="421D475F" w:rsidRPr="77A84B85">
        <w:rPr>
          <w:rFonts w:ascii="Arial" w:hAnsi="Arial" w:cs="Arial"/>
          <w:color w:val="000000" w:themeColor="text1"/>
        </w:rPr>
        <w:t>-</w:t>
      </w:r>
      <w:r w:rsidR="00AE0B01" w:rsidRPr="77A84B85">
        <w:rPr>
          <w:rFonts w:ascii="Arial" w:hAnsi="Arial" w:cs="Arial"/>
          <w:color w:val="000000" w:themeColor="text1"/>
        </w:rPr>
        <w:t xml:space="preserve">run. </w:t>
      </w:r>
    </w:p>
    <w:p w14:paraId="10E2CE1C" w14:textId="7ED42763" w:rsidR="002B72A2" w:rsidRPr="008A6C4B" w:rsidRDefault="008A6C4B" w:rsidP="0066301C">
      <w:pPr>
        <w:spacing w:line="360" w:lineRule="auto"/>
        <w:jc w:val="both"/>
        <w:rPr>
          <w:rFonts w:ascii="Arial" w:hAnsi="Arial" w:cs="Arial"/>
          <w:b/>
          <w:bCs/>
          <w:color w:val="000000"/>
          <w:u w:val="single"/>
        </w:rPr>
      </w:pPr>
      <w:r w:rsidRPr="008A6C4B">
        <w:rPr>
          <w:rFonts w:ascii="Arial" w:hAnsi="Arial" w:cs="Arial"/>
          <w:b/>
          <w:bCs/>
          <w:color w:val="000000"/>
          <w:u w:val="single"/>
        </w:rPr>
        <w:t>CAR</w:t>
      </w:r>
    </w:p>
    <w:p w14:paraId="137177E3" w14:textId="226BD747" w:rsidR="009911DC" w:rsidRDefault="009911DC" w:rsidP="0066301C">
      <w:pPr>
        <w:spacing w:line="360" w:lineRule="auto"/>
        <w:jc w:val="both"/>
        <w:rPr>
          <w:rFonts w:ascii="Arial" w:hAnsi="Arial" w:cs="Arial"/>
          <w:lang w:val="en-US"/>
        </w:rPr>
      </w:pPr>
      <w:r w:rsidRPr="00C84B3C">
        <w:rPr>
          <w:rFonts w:ascii="Arial" w:hAnsi="Arial" w:cs="Arial"/>
          <w:lang w:val="en-US"/>
        </w:rPr>
        <w:lastRenderedPageBreak/>
        <w:t xml:space="preserve">Looking at the results of CAR, it shows that the coefficient of ECT </w:t>
      </w:r>
      <w:r>
        <w:rPr>
          <w:rFonts w:ascii="Arial" w:hAnsi="Arial" w:cs="Arial"/>
          <w:lang w:val="en-US"/>
        </w:rPr>
        <w:t xml:space="preserve">for all the trade partners are negative and statistically significant </w:t>
      </w:r>
      <w:r w:rsidRPr="00C84B3C">
        <w:rPr>
          <w:rFonts w:ascii="Arial" w:hAnsi="Arial" w:cs="Arial"/>
          <w:lang w:val="en-US"/>
        </w:rPr>
        <w:t>(with the</w:t>
      </w:r>
      <w:r>
        <w:rPr>
          <w:rFonts w:ascii="Arial" w:hAnsi="Arial" w:cs="Arial"/>
          <w:lang w:val="en-US"/>
        </w:rPr>
        <w:t>ir</w:t>
      </w:r>
      <w:r w:rsidRPr="00C84B3C">
        <w:rPr>
          <w:rFonts w:ascii="Arial" w:hAnsi="Arial" w:cs="Arial"/>
          <w:lang w:val="en-US"/>
        </w:rPr>
        <w:t xml:space="preserve"> ECT coefficient being </w:t>
      </w:r>
      <w:r w:rsidRPr="006E6B14">
        <w:rPr>
          <w:rFonts w:ascii="Arial" w:hAnsi="Arial" w:cs="Arial"/>
        </w:rPr>
        <w:t>-1.</w:t>
      </w:r>
      <w:r>
        <w:rPr>
          <w:rFonts w:ascii="Arial" w:hAnsi="Arial" w:cs="Arial"/>
        </w:rPr>
        <w:t>073</w:t>
      </w:r>
      <w:r w:rsidRPr="006E6B14">
        <w:rPr>
          <w:rFonts w:ascii="Arial" w:hAnsi="Arial" w:cs="Arial"/>
          <w:lang w:val="en-US"/>
        </w:rPr>
        <w:t>, with statistical significance of |</w:t>
      </w:r>
      <w:r>
        <w:rPr>
          <w:rFonts w:ascii="Arial" w:hAnsi="Arial" w:cs="Arial"/>
          <w:lang w:val="en-US"/>
        </w:rPr>
        <w:t>6</w:t>
      </w:r>
      <w:r w:rsidRPr="006E6B14">
        <w:rPr>
          <w:rFonts w:ascii="Arial" w:hAnsi="Arial" w:cs="Arial"/>
        </w:rPr>
        <w:t>.</w:t>
      </w:r>
      <w:r>
        <w:rPr>
          <w:rFonts w:ascii="Arial" w:hAnsi="Arial" w:cs="Arial"/>
        </w:rPr>
        <w:t>180</w:t>
      </w:r>
      <w:r w:rsidRPr="006E6B14">
        <w:rPr>
          <w:rFonts w:ascii="Arial" w:hAnsi="Arial" w:cs="Arial"/>
          <w:lang w:val="en-US"/>
        </w:rPr>
        <w:t>|</w:t>
      </w:r>
      <w:r w:rsidRPr="00C84B3C">
        <w:rPr>
          <w:rFonts w:ascii="Arial" w:hAnsi="Arial" w:cs="Arial"/>
          <w:lang w:val="en-US"/>
        </w:rPr>
        <w:t xml:space="preserve">. </w:t>
      </w:r>
      <w:r>
        <w:rPr>
          <w:rFonts w:ascii="Arial" w:hAnsi="Arial" w:cs="Arial"/>
          <w:lang w:val="en-US"/>
        </w:rPr>
        <w:t>In the long</w:t>
      </w:r>
      <w:r w:rsidR="6FEAE9B8" w:rsidRPr="77A84B85">
        <w:rPr>
          <w:rFonts w:ascii="Arial" w:hAnsi="Arial" w:cs="Arial"/>
          <w:lang w:val="en-US"/>
        </w:rPr>
        <w:t>-</w:t>
      </w:r>
      <w:r>
        <w:rPr>
          <w:rFonts w:ascii="Arial" w:hAnsi="Arial" w:cs="Arial"/>
          <w:lang w:val="en-US"/>
        </w:rPr>
        <w:t xml:space="preserve">run </w:t>
      </w:r>
      <w:r w:rsidRPr="00C84B3C">
        <w:rPr>
          <w:rFonts w:ascii="Arial" w:hAnsi="Arial" w:cs="Arial"/>
          <w:lang w:val="en-US"/>
        </w:rPr>
        <w:t xml:space="preserve">their </w:t>
      </w:r>
      <w:r>
        <w:rPr>
          <w:rFonts w:ascii="Arial" w:hAnsi="Arial" w:cs="Arial"/>
          <w:lang w:val="en-US"/>
        </w:rPr>
        <w:t xml:space="preserve">1% devaluation leads to a </w:t>
      </w:r>
      <w:r w:rsidR="007B7784">
        <w:rPr>
          <w:rFonts w:ascii="Arial" w:hAnsi="Arial" w:cs="Arial"/>
          <w:lang w:val="en-US"/>
        </w:rPr>
        <w:t>(-</w:t>
      </w:r>
      <w:r>
        <w:rPr>
          <w:rFonts w:ascii="Arial" w:hAnsi="Arial" w:cs="Arial"/>
          <w:lang w:val="en-US"/>
        </w:rPr>
        <w:t>0.74%</w:t>
      </w:r>
      <w:r w:rsidR="007B7784">
        <w:rPr>
          <w:rFonts w:ascii="Arial" w:hAnsi="Arial" w:cs="Arial"/>
          <w:lang w:val="en-US"/>
        </w:rPr>
        <w:t>)</w:t>
      </w:r>
      <w:r>
        <w:rPr>
          <w:rFonts w:ascii="Arial" w:hAnsi="Arial" w:cs="Arial"/>
          <w:lang w:val="en-US"/>
        </w:rPr>
        <w:t xml:space="preserve"> deterioration of </w:t>
      </w:r>
      <w:r w:rsidR="0825A4B4" w:rsidRPr="77A84B85">
        <w:rPr>
          <w:rFonts w:ascii="Arial" w:hAnsi="Arial" w:cs="Arial"/>
          <w:lang w:val="en-US"/>
        </w:rPr>
        <w:t xml:space="preserve">the </w:t>
      </w:r>
      <w:r>
        <w:rPr>
          <w:rFonts w:ascii="Arial" w:hAnsi="Arial" w:cs="Arial"/>
          <w:lang w:val="en-US"/>
        </w:rPr>
        <w:t xml:space="preserve">trade balance </w:t>
      </w:r>
      <w:r>
        <w:rPr>
          <w:rFonts w:ascii="Arial" w:hAnsi="Arial" w:cs="Arial"/>
          <w:i/>
          <w:iCs/>
          <w:lang w:val="en-US"/>
        </w:rPr>
        <w:t>ceteris paribus.</w:t>
      </w:r>
      <w:r w:rsidRPr="00EE61EF">
        <w:rPr>
          <w:rFonts w:ascii="Arial" w:hAnsi="Arial" w:cs="Arial"/>
          <w:lang w:val="en-US"/>
        </w:rPr>
        <w:t xml:space="preserve"> </w:t>
      </w:r>
      <w:r>
        <w:rPr>
          <w:rFonts w:ascii="Arial" w:hAnsi="Arial" w:cs="Arial"/>
          <w:lang w:val="en-US"/>
        </w:rPr>
        <w:t>However, in the short</w:t>
      </w:r>
      <w:r w:rsidR="7B779B25" w:rsidRPr="77A84B85">
        <w:rPr>
          <w:rFonts w:ascii="Arial" w:hAnsi="Arial" w:cs="Arial"/>
          <w:lang w:val="en-US"/>
        </w:rPr>
        <w:t>-</w:t>
      </w:r>
      <w:r>
        <w:rPr>
          <w:rFonts w:ascii="Arial" w:hAnsi="Arial" w:cs="Arial"/>
          <w:lang w:val="en-US"/>
        </w:rPr>
        <w:t xml:space="preserve">run, the results </w:t>
      </w:r>
      <w:r w:rsidR="2C39AB24" w:rsidRPr="3FD17D78">
        <w:rPr>
          <w:rFonts w:ascii="Arial" w:hAnsi="Arial" w:cs="Arial"/>
          <w:lang w:val="en-US"/>
        </w:rPr>
        <w:t>show</w:t>
      </w:r>
      <w:r>
        <w:rPr>
          <w:rFonts w:ascii="Arial" w:hAnsi="Arial" w:cs="Arial"/>
          <w:lang w:val="en-US"/>
        </w:rPr>
        <w:t xml:space="preserve"> that LNREER does not have an impact on trade balance</w:t>
      </w:r>
      <w:r w:rsidR="00B054BF">
        <w:rPr>
          <w:rFonts w:ascii="Arial" w:hAnsi="Arial" w:cs="Arial"/>
          <w:lang w:val="en-US"/>
        </w:rPr>
        <w:t>,</w:t>
      </w:r>
      <w:r>
        <w:rPr>
          <w:rFonts w:ascii="Arial" w:hAnsi="Arial" w:cs="Arial"/>
          <w:lang w:val="en-US"/>
        </w:rPr>
        <w:t xml:space="preserve"> as LNREER </w:t>
      </w:r>
      <w:r w:rsidR="088246A0" w:rsidRPr="3FD17D78">
        <w:rPr>
          <w:rFonts w:ascii="Arial" w:hAnsi="Arial" w:cs="Arial"/>
          <w:lang w:val="en-US"/>
        </w:rPr>
        <w:t>is</w:t>
      </w:r>
      <w:r>
        <w:rPr>
          <w:rFonts w:ascii="Arial" w:hAnsi="Arial" w:cs="Arial"/>
          <w:lang w:val="en-US"/>
        </w:rPr>
        <w:t xml:space="preserve"> statistically insignificant. </w:t>
      </w:r>
      <w:r w:rsidRPr="00C84B3C">
        <w:rPr>
          <w:rFonts w:ascii="Arial" w:hAnsi="Arial" w:cs="Arial"/>
          <w:lang w:val="en-US"/>
        </w:rPr>
        <w:t xml:space="preserve">So, there is </w:t>
      </w:r>
      <w:r w:rsidR="00B054BF">
        <w:rPr>
          <w:rFonts w:ascii="Arial" w:hAnsi="Arial" w:cs="Arial"/>
          <w:lang w:val="en-US"/>
        </w:rPr>
        <w:t>no</w:t>
      </w:r>
      <w:r>
        <w:rPr>
          <w:rFonts w:ascii="Arial" w:hAnsi="Arial" w:cs="Arial"/>
          <w:lang w:val="en-US"/>
        </w:rPr>
        <w:t xml:space="preserve"> short-term </w:t>
      </w:r>
      <w:r w:rsidRPr="00C84B3C">
        <w:rPr>
          <w:rFonts w:ascii="Arial" w:hAnsi="Arial" w:cs="Arial"/>
          <w:lang w:val="en-US"/>
        </w:rPr>
        <w:t xml:space="preserve">relationship between TB and REER in the trading relationship between CAR and </w:t>
      </w:r>
      <w:r>
        <w:rPr>
          <w:rFonts w:ascii="Arial" w:hAnsi="Arial" w:cs="Arial"/>
          <w:lang w:val="en-US"/>
        </w:rPr>
        <w:t>its</w:t>
      </w:r>
      <w:r w:rsidRPr="00C84B3C">
        <w:rPr>
          <w:rFonts w:ascii="Arial" w:hAnsi="Arial" w:cs="Arial"/>
          <w:lang w:val="en-US"/>
        </w:rPr>
        <w:t xml:space="preserve"> trading nations</w:t>
      </w:r>
      <w:r>
        <w:rPr>
          <w:rFonts w:ascii="Arial" w:hAnsi="Arial" w:cs="Arial"/>
          <w:lang w:val="en-US"/>
        </w:rPr>
        <w:t xml:space="preserve"> put together. A</w:t>
      </w:r>
      <w:r w:rsidRPr="00C84B3C">
        <w:rPr>
          <w:rFonts w:ascii="Arial" w:hAnsi="Arial" w:cs="Arial"/>
          <w:lang w:val="en-US"/>
        </w:rPr>
        <w:t>s such</w:t>
      </w:r>
      <w:r>
        <w:rPr>
          <w:rFonts w:ascii="Arial" w:hAnsi="Arial" w:cs="Arial"/>
          <w:lang w:val="en-US"/>
        </w:rPr>
        <w:t>,</w:t>
      </w:r>
      <w:r w:rsidRPr="00C84B3C">
        <w:rPr>
          <w:rFonts w:ascii="Arial" w:hAnsi="Arial" w:cs="Arial"/>
          <w:lang w:val="en-US"/>
        </w:rPr>
        <w:t xml:space="preserve"> there is no </w:t>
      </w:r>
      <w:r w:rsidRPr="00C84B3C">
        <w:rPr>
          <w:rFonts w:ascii="Arial" w:hAnsi="Arial" w:cs="Arial"/>
          <w:i/>
          <w:lang w:val="en-US"/>
        </w:rPr>
        <w:t>J-</w:t>
      </w:r>
      <w:r w:rsidRPr="00C84B3C">
        <w:rPr>
          <w:rFonts w:ascii="Arial" w:hAnsi="Arial" w:cs="Arial"/>
          <w:lang w:val="en-US"/>
        </w:rPr>
        <w:t>curve phenomenon.</w:t>
      </w:r>
      <w:r w:rsidR="00B054BF">
        <w:rPr>
          <w:rFonts w:ascii="Arial" w:hAnsi="Arial" w:cs="Arial"/>
          <w:lang w:val="en-US"/>
        </w:rPr>
        <w:t xml:space="preserve"> Rather, currency devaluation worsens the </w:t>
      </w:r>
      <w:r w:rsidR="15EECCB4" w:rsidRPr="3FD17D78">
        <w:rPr>
          <w:rFonts w:ascii="Arial" w:hAnsi="Arial" w:cs="Arial"/>
          <w:lang w:val="en-US"/>
        </w:rPr>
        <w:t>nation's</w:t>
      </w:r>
      <w:r w:rsidR="00B054BF">
        <w:rPr>
          <w:rFonts w:ascii="Arial" w:hAnsi="Arial" w:cs="Arial"/>
          <w:lang w:val="en-US"/>
        </w:rPr>
        <w:t xml:space="preserve"> trade balance. This implies that </w:t>
      </w:r>
      <w:r w:rsidR="00B054BF" w:rsidRPr="00C84B3C">
        <w:rPr>
          <w:rFonts w:ascii="Arial" w:hAnsi="Arial" w:cs="Arial"/>
          <w:lang w:val="en-US"/>
        </w:rPr>
        <w:t xml:space="preserve">currency devaluation will not help </w:t>
      </w:r>
      <w:r w:rsidR="0003605C">
        <w:rPr>
          <w:rFonts w:ascii="Arial" w:hAnsi="Arial" w:cs="Arial"/>
          <w:lang w:val="en-US"/>
        </w:rPr>
        <w:t xml:space="preserve">to </w:t>
      </w:r>
      <w:r w:rsidR="00B054BF" w:rsidRPr="00C84B3C">
        <w:rPr>
          <w:rFonts w:ascii="Arial" w:hAnsi="Arial" w:cs="Arial"/>
          <w:lang w:val="en-US"/>
        </w:rPr>
        <w:t>improv</w:t>
      </w:r>
      <w:r w:rsidR="0003605C">
        <w:rPr>
          <w:rFonts w:ascii="Arial" w:hAnsi="Arial" w:cs="Arial"/>
          <w:lang w:val="en-US"/>
        </w:rPr>
        <w:t>e</w:t>
      </w:r>
      <w:r w:rsidR="00B054BF" w:rsidRPr="00C84B3C">
        <w:rPr>
          <w:rFonts w:ascii="Arial" w:hAnsi="Arial" w:cs="Arial"/>
          <w:lang w:val="en-US"/>
        </w:rPr>
        <w:t xml:space="preserve"> the nation’s economic growth via the TB channel. Thus, the government could use other policies to improve the nation’s TB and economic growth instead of using currency devaluation. </w:t>
      </w:r>
      <w:r w:rsidRPr="003E4FCD">
        <w:rPr>
          <w:rFonts w:ascii="Arial" w:hAnsi="Arial" w:cs="Arial"/>
          <w:lang w:val="en-US"/>
        </w:rPr>
        <w:t xml:space="preserve">These results are in line with the result obtained by </w:t>
      </w:r>
      <w:r w:rsidR="00324A56" w:rsidRPr="003E4FCD">
        <w:rPr>
          <w:rFonts w:ascii="Arial" w:hAnsi="Arial" w:cs="Arial"/>
          <w:lang w:val="en-US"/>
        </w:rPr>
        <w:t xml:space="preserve">Ngondo and Khobai (2018) </w:t>
      </w:r>
      <w:r w:rsidR="003E4FCD" w:rsidRPr="003E4FCD">
        <w:rPr>
          <w:rFonts w:ascii="Arial" w:hAnsi="Arial" w:cs="Arial"/>
          <w:lang w:val="en-US"/>
        </w:rPr>
        <w:t xml:space="preserve">on the impact of </w:t>
      </w:r>
      <w:r w:rsidR="00CB3D57">
        <w:rPr>
          <w:rFonts w:ascii="Arial" w:hAnsi="Arial" w:cs="Arial"/>
          <w:lang w:val="en-US"/>
        </w:rPr>
        <w:t xml:space="preserve">the </w:t>
      </w:r>
      <w:r w:rsidR="003E4FCD" w:rsidRPr="003E4FCD">
        <w:rPr>
          <w:rFonts w:ascii="Arial" w:hAnsi="Arial" w:cs="Arial"/>
          <w:lang w:val="en-US"/>
        </w:rPr>
        <w:t xml:space="preserve">exchange rate on exports in South Africa within the period 1994 to 2016. Their result revealed that </w:t>
      </w:r>
      <w:r w:rsidR="00082C25">
        <w:rPr>
          <w:rFonts w:ascii="Arial" w:hAnsi="Arial" w:cs="Arial"/>
          <w:lang w:val="en-US"/>
        </w:rPr>
        <w:t xml:space="preserve">the </w:t>
      </w:r>
      <w:r w:rsidR="003E4FCD" w:rsidRPr="003E4FCD">
        <w:rPr>
          <w:rFonts w:ascii="Arial" w:hAnsi="Arial" w:cs="Arial"/>
          <w:lang w:val="en-US"/>
        </w:rPr>
        <w:t xml:space="preserve">exchange rate had a significant and negative impact on exports in South Africa. This implies that </w:t>
      </w:r>
      <w:r w:rsidR="00082C25">
        <w:rPr>
          <w:rFonts w:ascii="Arial" w:hAnsi="Arial" w:cs="Arial"/>
          <w:lang w:val="en-US"/>
        </w:rPr>
        <w:t xml:space="preserve">the </w:t>
      </w:r>
      <w:r w:rsidR="003E4FCD" w:rsidRPr="003E4FCD">
        <w:rPr>
          <w:rFonts w:ascii="Arial" w:hAnsi="Arial" w:cs="Arial"/>
          <w:lang w:val="en-US"/>
        </w:rPr>
        <w:t>exchange rate has a negative impact on South Africa</w:t>
      </w:r>
      <w:r w:rsidR="0003605C">
        <w:rPr>
          <w:rFonts w:ascii="Arial" w:hAnsi="Arial" w:cs="Arial"/>
          <w:lang w:val="en-US"/>
        </w:rPr>
        <w:t>’s</w:t>
      </w:r>
      <w:r w:rsidR="003E4FCD" w:rsidRPr="003E4FCD">
        <w:rPr>
          <w:rFonts w:ascii="Arial" w:hAnsi="Arial" w:cs="Arial"/>
          <w:lang w:val="en-US"/>
        </w:rPr>
        <w:t xml:space="preserve"> trade balance. </w:t>
      </w:r>
    </w:p>
    <w:p w14:paraId="63744A66" w14:textId="512A3941" w:rsidR="008A6C4B" w:rsidRPr="008A6C4B" w:rsidRDefault="008A6C4B" w:rsidP="0066301C">
      <w:pPr>
        <w:spacing w:line="360" w:lineRule="auto"/>
        <w:jc w:val="both"/>
        <w:rPr>
          <w:rFonts w:ascii="Arial" w:hAnsi="Arial" w:cs="Arial"/>
          <w:b/>
          <w:bCs/>
          <w:u w:val="single"/>
          <w:lang w:val="en-US"/>
        </w:rPr>
      </w:pPr>
      <w:r w:rsidRPr="008A6C4B">
        <w:rPr>
          <w:rFonts w:ascii="Arial" w:hAnsi="Arial" w:cs="Arial"/>
          <w:b/>
          <w:bCs/>
          <w:u w:val="single"/>
          <w:lang w:val="en-US"/>
        </w:rPr>
        <w:t>Gabon</w:t>
      </w:r>
    </w:p>
    <w:p w14:paraId="61AB2F37" w14:textId="2F11EDFA" w:rsidR="00B054BF" w:rsidRDefault="0022A161" w:rsidP="0066301C">
      <w:pPr>
        <w:spacing w:line="360" w:lineRule="auto"/>
        <w:jc w:val="both"/>
        <w:rPr>
          <w:rFonts w:ascii="Arial" w:hAnsi="Arial" w:cs="Arial"/>
          <w:lang w:val="en-US"/>
        </w:rPr>
      </w:pPr>
      <w:r w:rsidRPr="0F2C9F83">
        <w:rPr>
          <w:rFonts w:ascii="Arial" w:hAnsi="Arial" w:cs="Arial"/>
          <w:lang w:val="en-US"/>
        </w:rPr>
        <w:t xml:space="preserve">Finally, looking at the results of Gabon, just as that of CAR shows that the coefficient of ECT for all the trade partners are negative and statistically significant (with their ECT coefficient being </w:t>
      </w:r>
      <w:r w:rsidRPr="0F2C9F83">
        <w:rPr>
          <w:rFonts w:ascii="Arial" w:hAnsi="Arial" w:cs="Arial"/>
        </w:rPr>
        <w:t>-0.624</w:t>
      </w:r>
      <w:r w:rsidRPr="0F2C9F83">
        <w:rPr>
          <w:rFonts w:ascii="Arial" w:hAnsi="Arial" w:cs="Arial"/>
          <w:lang w:val="en-US"/>
        </w:rPr>
        <w:t>, with statistical significance of |4</w:t>
      </w:r>
      <w:r w:rsidRPr="0F2C9F83">
        <w:rPr>
          <w:rFonts w:ascii="Arial" w:hAnsi="Arial" w:cs="Arial"/>
        </w:rPr>
        <w:t>.495</w:t>
      </w:r>
      <w:r w:rsidRPr="0F2C9F83">
        <w:rPr>
          <w:rFonts w:ascii="Arial" w:hAnsi="Arial" w:cs="Arial"/>
          <w:lang w:val="en-US"/>
        </w:rPr>
        <w:t>|. In the long</w:t>
      </w:r>
      <w:r w:rsidR="246B529F" w:rsidRPr="0F2C9F83">
        <w:rPr>
          <w:rFonts w:ascii="Arial" w:hAnsi="Arial" w:cs="Arial"/>
          <w:lang w:val="en-US"/>
        </w:rPr>
        <w:t>-</w:t>
      </w:r>
      <w:r w:rsidRPr="0F2C9F83">
        <w:rPr>
          <w:rFonts w:ascii="Arial" w:hAnsi="Arial" w:cs="Arial"/>
          <w:lang w:val="en-US"/>
        </w:rPr>
        <w:t xml:space="preserve">run their 1% devaluation leads to a </w:t>
      </w:r>
      <w:r w:rsidR="005E1420">
        <w:rPr>
          <w:rFonts w:ascii="Arial" w:hAnsi="Arial" w:cs="Arial"/>
          <w:lang w:val="en-US"/>
        </w:rPr>
        <w:t>(-</w:t>
      </w:r>
      <w:r w:rsidRPr="0F2C9F83">
        <w:rPr>
          <w:rFonts w:ascii="Arial" w:hAnsi="Arial" w:cs="Arial"/>
          <w:lang w:val="en-US"/>
        </w:rPr>
        <w:t>0.883%</w:t>
      </w:r>
      <w:r w:rsidR="005E1420">
        <w:rPr>
          <w:rFonts w:ascii="Arial" w:hAnsi="Arial" w:cs="Arial"/>
          <w:lang w:val="en-US"/>
        </w:rPr>
        <w:t>)</w:t>
      </w:r>
      <w:r w:rsidRPr="0F2C9F83">
        <w:rPr>
          <w:rFonts w:ascii="Arial" w:hAnsi="Arial" w:cs="Arial"/>
          <w:lang w:val="en-US"/>
        </w:rPr>
        <w:t xml:space="preserve"> deterioration of </w:t>
      </w:r>
      <w:r w:rsidR="5ADA4B04" w:rsidRPr="0F2C9F83">
        <w:rPr>
          <w:rFonts w:ascii="Arial" w:hAnsi="Arial" w:cs="Arial"/>
          <w:lang w:val="en-US"/>
        </w:rPr>
        <w:t xml:space="preserve">the </w:t>
      </w:r>
      <w:r w:rsidRPr="0F2C9F83">
        <w:rPr>
          <w:rFonts w:ascii="Arial" w:hAnsi="Arial" w:cs="Arial"/>
          <w:lang w:val="en-US"/>
        </w:rPr>
        <w:t xml:space="preserve">trade balance </w:t>
      </w:r>
      <w:r w:rsidRPr="0F2C9F83">
        <w:rPr>
          <w:rFonts w:ascii="Arial" w:hAnsi="Arial" w:cs="Arial"/>
          <w:i/>
          <w:iCs/>
          <w:lang w:val="en-US"/>
        </w:rPr>
        <w:t>ceteris paribus.</w:t>
      </w:r>
      <w:r w:rsidRPr="0F2C9F83">
        <w:rPr>
          <w:rFonts w:ascii="Arial" w:hAnsi="Arial" w:cs="Arial"/>
          <w:lang w:val="en-US"/>
        </w:rPr>
        <w:t xml:space="preserve"> However, in the short</w:t>
      </w:r>
      <w:r w:rsidR="0568F35A" w:rsidRPr="0F2C9F83">
        <w:rPr>
          <w:rFonts w:ascii="Arial" w:hAnsi="Arial" w:cs="Arial"/>
          <w:lang w:val="en-US"/>
        </w:rPr>
        <w:t>-</w:t>
      </w:r>
      <w:r w:rsidRPr="0F2C9F83">
        <w:rPr>
          <w:rFonts w:ascii="Arial" w:hAnsi="Arial" w:cs="Arial"/>
          <w:lang w:val="en-US"/>
        </w:rPr>
        <w:t xml:space="preserve">run, the results </w:t>
      </w:r>
      <w:r w:rsidR="58AC9211" w:rsidRPr="0F2C9F83">
        <w:rPr>
          <w:rFonts w:ascii="Arial" w:hAnsi="Arial" w:cs="Arial"/>
          <w:lang w:val="en-US"/>
        </w:rPr>
        <w:t>show</w:t>
      </w:r>
      <w:r w:rsidRPr="0F2C9F83">
        <w:rPr>
          <w:rFonts w:ascii="Arial" w:hAnsi="Arial" w:cs="Arial"/>
          <w:lang w:val="en-US"/>
        </w:rPr>
        <w:t xml:space="preserve"> that LNREER does not have an impact on </w:t>
      </w:r>
      <w:r w:rsidR="00FB6D53">
        <w:rPr>
          <w:rFonts w:ascii="Arial" w:hAnsi="Arial" w:cs="Arial"/>
          <w:lang w:val="en-US"/>
        </w:rPr>
        <w:t xml:space="preserve">the </w:t>
      </w:r>
      <w:r w:rsidRPr="0F2C9F83">
        <w:rPr>
          <w:rFonts w:ascii="Arial" w:hAnsi="Arial" w:cs="Arial"/>
          <w:lang w:val="en-US"/>
        </w:rPr>
        <w:t>trade balance</w:t>
      </w:r>
      <w:r w:rsidR="3B50624D" w:rsidRPr="0F2C9F83">
        <w:rPr>
          <w:rFonts w:ascii="Arial" w:hAnsi="Arial" w:cs="Arial"/>
          <w:lang w:val="en-US"/>
        </w:rPr>
        <w:t>, as</w:t>
      </w:r>
      <w:r w:rsidRPr="0F2C9F83">
        <w:rPr>
          <w:rFonts w:ascii="Arial" w:hAnsi="Arial" w:cs="Arial"/>
          <w:lang w:val="en-US"/>
        </w:rPr>
        <w:t xml:space="preserve"> there is n</w:t>
      </w:r>
      <w:r w:rsidR="3B50624D" w:rsidRPr="0F2C9F83">
        <w:rPr>
          <w:rFonts w:ascii="Arial" w:hAnsi="Arial" w:cs="Arial"/>
          <w:lang w:val="en-US"/>
        </w:rPr>
        <w:t xml:space="preserve">o </w:t>
      </w:r>
      <w:r w:rsidRPr="0F2C9F83">
        <w:rPr>
          <w:rFonts w:ascii="Arial" w:hAnsi="Arial" w:cs="Arial"/>
          <w:lang w:val="en-US"/>
        </w:rPr>
        <w:t xml:space="preserve">short-term relationship between TB and REER in the trading relationship between CAR and its trading nations put together. As such, there is no </w:t>
      </w:r>
      <w:r w:rsidRPr="0F2C9F83">
        <w:rPr>
          <w:rFonts w:ascii="Arial" w:hAnsi="Arial" w:cs="Arial"/>
          <w:i/>
          <w:iCs/>
          <w:lang w:val="en-US"/>
        </w:rPr>
        <w:t>J-</w:t>
      </w:r>
      <w:r w:rsidRPr="0F2C9F83">
        <w:rPr>
          <w:rFonts w:ascii="Arial" w:hAnsi="Arial" w:cs="Arial"/>
          <w:lang w:val="en-US"/>
        </w:rPr>
        <w:t>curve phenomenon.</w:t>
      </w:r>
      <w:r w:rsidR="3B50624D" w:rsidRPr="0F2C9F83">
        <w:rPr>
          <w:rFonts w:ascii="Arial" w:hAnsi="Arial" w:cs="Arial"/>
          <w:lang w:val="en-US"/>
        </w:rPr>
        <w:t xml:space="preserve"> Rather, currency devaluation worsens the nation</w:t>
      </w:r>
      <w:r w:rsidR="6CEB90B4" w:rsidRPr="0F2C9F83">
        <w:rPr>
          <w:rFonts w:ascii="Arial" w:hAnsi="Arial" w:cs="Arial"/>
          <w:lang w:val="en-US"/>
        </w:rPr>
        <w:t>’</w:t>
      </w:r>
      <w:r w:rsidR="3B50624D" w:rsidRPr="0F2C9F83">
        <w:rPr>
          <w:rFonts w:ascii="Arial" w:hAnsi="Arial" w:cs="Arial"/>
          <w:lang w:val="en-US"/>
        </w:rPr>
        <w:t xml:space="preserve">s trade balance. This implies that currency devaluation will not help </w:t>
      </w:r>
      <w:r w:rsidR="00C34D29">
        <w:rPr>
          <w:rFonts w:ascii="Arial" w:hAnsi="Arial" w:cs="Arial"/>
          <w:lang w:val="en-US"/>
        </w:rPr>
        <w:t>to</w:t>
      </w:r>
      <w:r w:rsidR="3B50624D" w:rsidRPr="0F2C9F83">
        <w:rPr>
          <w:rFonts w:ascii="Arial" w:hAnsi="Arial" w:cs="Arial"/>
          <w:lang w:val="en-US"/>
        </w:rPr>
        <w:t xml:space="preserve"> improv</w:t>
      </w:r>
      <w:r w:rsidR="00C34D29">
        <w:rPr>
          <w:rFonts w:ascii="Arial" w:hAnsi="Arial" w:cs="Arial"/>
          <w:lang w:val="en-US"/>
        </w:rPr>
        <w:t>e</w:t>
      </w:r>
      <w:r w:rsidR="3B50624D" w:rsidRPr="0F2C9F83">
        <w:rPr>
          <w:rFonts w:ascii="Arial" w:hAnsi="Arial" w:cs="Arial"/>
          <w:lang w:val="en-US"/>
        </w:rPr>
        <w:t xml:space="preserve"> the nation’s economic growth via the TB channel. Thus, the government could use other policies to improve the nation’s TB and economic growth instead of using currency devaluation.</w:t>
      </w:r>
      <w:r w:rsidR="2A93C3B1" w:rsidRPr="0F2C9F83">
        <w:rPr>
          <w:rFonts w:ascii="Arial" w:hAnsi="Arial" w:cs="Arial"/>
          <w:lang w:val="en-US"/>
        </w:rPr>
        <w:t xml:space="preserve"> These results are in line with the result obtained by Ngondo and Khobai (2018) on the impact of </w:t>
      </w:r>
      <w:r w:rsidR="00B93946">
        <w:rPr>
          <w:rFonts w:ascii="Arial" w:hAnsi="Arial" w:cs="Arial"/>
          <w:lang w:val="en-US"/>
        </w:rPr>
        <w:t xml:space="preserve">the </w:t>
      </w:r>
      <w:r w:rsidR="2A93C3B1" w:rsidRPr="0F2C9F83">
        <w:rPr>
          <w:rFonts w:ascii="Arial" w:hAnsi="Arial" w:cs="Arial"/>
          <w:lang w:val="en-US"/>
        </w:rPr>
        <w:t xml:space="preserve">exchange rate on exports in South Africa within the period 1994 to 2016. Their result indicated that </w:t>
      </w:r>
      <w:r w:rsidR="00390685">
        <w:rPr>
          <w:rFonts w:ascii="Arial" w:hAnsi="Arial" w:cs="Arial"/>
          <w:lang w:val="en-US"/>
        </w:rPr>
        <w:t xml:space="preserve">the </w:t>
      </w:r>
      <w:r w:rsidR="2A93C3B1" w:rsidRPr="0F2C9F83">
        <w:rPr>
          <w:rFonts w:ascii="Arial" w:hAnsi="Arial" w:cs="Arial"/>
          <w:lang w:val="en-US"/>
        </w:rPr>
        <w:t xml:space="preserve">exchange rate had a significant and negative impact on exports in South Africa. This implies that </w:t>
      </w:r>
      <w:r w:rsidR="00B93946">
        <w:rPr>
          <w:rFonts w:ascii="Arial" w:hAnsi="Arial" w:cs="Arial"/>
          <w:lang w:val="en-US"/>
        </w:rPr>
        <w:t xml:space="preserve">the </w:t>
      </w:r>
      <w:r w:rsidR="2A93C3B1" w:rsidRPr="0F2C9F83">
        <w:rPr>
          <w:rFonts w:ascii="Arial" w:hAnsi="Arial" w:cs="Arial"/>
          <w:lang w:val="en-US"/>
        </w:rPr>
        <w:t>exchange rate has a negative impact on South Africa</w:t>
      </w:r>
      <w:r w:rsidR="00B93946">
        <w:rPr>
          <w:rFonts w:ascii="Arial" w:hAnsi="Arial" w:cs="Arial"/>
          <w:lang w:val="en-US"/>
        </w:rPr>
        <w:t>’s</w:t>
      </w:r>
      <w:r w:rsidR="2A93C3B1" w:rsidRPr="0F2C9F83">
        <w:rPr>
          <w:rFonts w:ascii="Arial" w:hAnsi="Arial" w:cs="Arial"/>
          <w:lang w:val="en-US"/>
        </w:rPr>
        <w:t xml:space="preserve"> trade balance.   </w:t>
      </w:r>
    </w:p>
    <w:p w14:paraId="7ECC002C" w14:textId="43522506" w:rsidR="001A298A" w:rsidRPr="00876F6F" w:rsidRDefault="00786E31" w:rsidP="0066301C">
      <w:pPr>
        <w:pStyle w:val="Heading3"/>
        <w:numPr>
          <w:ilvl w:val="0"/>
          <w:numId w:val="0"/>
        </w:numPr>
        <w:spacing w:before="0" w:beforeAutospacing="0"/>
        <w:rPr>
          <w:lang w:val="en-US" w:eastAsia="en-GB"/>
        </w:rPr>
      </w:pPr>
      <w:bookmarkStart w:id="481" w:name="_Toc171075424"/>
      <w:bookmarkStart w:id="482" w:name="_Hlk170905993"/>
      <w:r>
        <w:rPr>
          <w:lang w:val="en-US" w:eastAsia="en-GB"/>
        </w:rPr>
        <w:t>4.</w:t>
      </w:r>
      <w:r w:rsidR="001A298A" w:rsidRPr="00A817E8">
        <w:rPr>
          <w:lang w:val="en-US" w:eastAsia="en-GB"/>
        </w:rPr>
        <w:t>7.</w:t>
      </w:r>
      <w:r w:rsidR="00D20FB4">
        <w:rPr>
          <w:lang w:val="en-US" w:eastAsia="en-GB"/>
        </w:rPr>
        <w:t>6</w:t>
      </w:r>
      <w:r w:rsidR="00E707BD">
        <w:rPr>
          <w:lang w:val="en-US" w:eastAsia="en-GB"/>
        </w:rPr>
        <w:tab/>
      </w:r>
      <w:r w:rsidR="001A298A" w:rsidRPr="001A298A">
        <w:rPr>
          <w:lang w:val="en-US" w:eastAsia="en-GB"/>
        </w:rPr>
        <w:t>IMPULSE RESPONSE FUNCTION (IRF)</w:t>
      </w:r>
      <w:bookmarkEnd w:id="481"/>
    </w:p>
    <w:p w14:paraId="34E78AF2" w14:textId="77777777" w:rsidR="008B0C2A" w:rsidRDefault="001A298A" w:rsidP="0066301C">
      <w:pPr>
        <w:autoSpaceDE w:val="0"/>
        <w:autoSpaceDN w:val="0"/>
        <w:adjustRightInd w:val="0"/>
        <w:spacing w:line="360" w:lineRule="auto"/>
        <w:jc w:val="both"/>
        <w:rPr>
          <w:rFonts w:ascii="Arial" w:hAnsi="Arial" w:cs="Arial"/>
          <w:lang w:val="en-US"/>
        </w:rPr>
      </w:pPr>
      <w:r w:rsidRPr="39B0B252">
        <w:rPr>
          <w:rFonts w:ascii="Arial" w:hAnsi="Arial" w:cs="Arial"/>
          <w:lang w:val="en-US"/>
        </w:rPr>
        <w:t xml:space="preserve">The above ARDL results show that there exists a </w:t>
      </w:r>
      <w:r w:rsidRPr="39B0B252">
        <w:rPr>
          <w:rFonts w:ascii="Arial" w:hAnsi="Arial" w:cs="Arial"/>
          <w:i/>
          <w:iCs/>
          <w:lang w:val="en-US"/>
        </w:rPr>
        <w:t>J-</w:t>
      </w:r>
      <w:r w:rsidRPr="39B0B252">
        <w:rPr>
          <w:rFonts w:ascii="Arial" w:hAnsi="Arial" w:cs="Arial"/>
          <w:lang w:val="en-US"/>
        </w:rPr>
        <w:t xml:space="preserve">curve phenomenon only in the Cameroon model. </w:t>
      </w:r>
      <w:r w:rsidR="00156287" w:rsidRPr="39B0B252">
        <w:rPr>
          <w:rFonts w:ascii="Arial" w:hAnsi="Arial" w:cs="Arial"/>
          <w:lang w:val="en-US"/>
        </w:rPr>
        <w:t>To affirm the above results, we use the IRF graphs for a better presentation of the result</w:t>
      </w:r>
      <w:r w:rsidR="00C52917">
        <w:rPr>
          <w:rFonts w:ascii="Arial" w:hAnsi="Arial" w:cs="Arial"/>
          <w:lang w:val="en-US"/>
        </w:rPr>
        <w:t>s</w:t>
      </w:r>
      <w:r w:rsidR="00156287" w:rsidRPr="39B0B252">
        <w:rPr>
          <w:rFonts w:ascii="Arial" w:hAnsi="Arial" w:cs="Arial"/>
          <w:lang w:val="en-US"/>
        </w:rPr>
        <w:t xml:space="preserve"> of the three nations</w:t>
      </w:r>
      <w:r w:rsidR="00217F5F">
        <w:rPr>
          <w:rFonts w:ascii="Arial" w:hAnsi="Arial" w:cs="Arial"/>
          <w:lang w:val="en-US"/>
        </w:rPr>
        <w:t>,</w:t>
      </w:r>
      <w:r w:rsidR="00156287" w:rsidRPr="39B0B252">
        <w:rPr>
          <w:rFonts w:ascii="Arial" w:hAnsi="Arial" w:cs="Arial"/>
          <w:lang w:val="en-US"/>
        </w:rPr>
        <w:t xml:space="preserve"> as presented </w:t>
      </w:r>
      <w:r w:rsidR="00217F5F">
        <w:rPr>
          <w:rFonts w:ascii="Arial" w:hAnsi="Arial" w:cs="Arial"/>
          <w:lang w:val="en-US"/>
        </w:rPr>
        <w:t>i</w:t>
      </w:r>
      <w:r w:rsidR="00156287" w:rsidRPr="39B0B252">
        <w:rPr>
          <w:rFonts w:ascii="Arial" w:hAnsi="Arial" w:cs="Arial"/>
          <w:lang w:val="en-US"/>
        </w:rPr>
        <w:t xml:space="preserve">n </w:t>
      </w:r>
      <w:r w:rsidR="00156287" w:rsidRPr="002064D8">
        <w:rPr>
          <w:rFonts w:ascii="Arial" w:hAnsi="Arial" w:cs="Arial"/>
          <w:lang w:val="en-US"/>
        </w:rPr>
        <w:t xml:space="preserve">figures </w:t>
      </w:r>
      <w:r w:rsidR="002064D8" w:rsidRPr="002064D8">
        <w:rPr>
          <w:rFonts w:ascii="Arial" w:hAnsi="Arial" w:cs="Arial"/>
          <w:lang w:val="en-US"/>
        </w:rPr>
        <w:t>4</w:t>
      </w:r>
      <w:r w:rsidR="00156287" w:rsidRPr="002064D8">
        <w:rPr>
          <w:rFonts w:ascii="Arial" w:hAnsi="Arial" w:cs="Arial"/>
          <w:lang w:val="en-US"/>
        </w:rPr>
        <w:t>.</w:t>
      </w:r>
      <w:r w:rsidR="002064D8" w:rsidRPr="002064D8">
        <w:rPr>
          <w:rFonts w:ascii="Arial" w:hAnsi="Arial" w:cs="Arial"/>
          <w:lang w:val="en-US"/>
        </w:rPr>
        <w:t>6</w:t>
      </w:r>
      <w:r w:rsidR="00156287" w:rsidRPr="002064D8">
        <w:rPr>
          <w:rFonts w:ascii="Arial" w:hAnsi="Arial" w:cs="Arial"/>
          <w:lang w:val="en-US"/>
        </w:rPr>
        <w:t xml:space="preserve"> </w:t>
      </w:r>
      <w:r w:rsidR="008B0C2A">
        <w:rPr>
          <w:rFonts w:ascii="Arial" w:hAnsi="Arial" w:cs="Arial"/>
          <w:lang w:val="en-US"/>
        </w:rPr>
        <w:t xml:space="preserve">below. </w:t>
      </w:r>
    </w:p>
    <w:bookmarkEnd w:id="482"/>
    <w:p w14:paraId="0CB6E8A6" w14:textId="77777777" w:rsidR="005E7D18" w:rsidRDefault="005E7D18" w:rsidP="0066301C">
      <w:pPr>
        <w:autoSpaceDE w:val="0"/>
        <w:autoSpaceDN w:val="0"/>
        <w:adjustRightInd w:val="0"/>
        <w:spacing w:after="0"/>
        <w:rPr>
          <w:rFonts w:ascii="Arial" w:hAnsi="Arial" w:cs="Arial"/>
          <w:b/>
        </w:rPr>
      </w:pPr>
    </w:p>
    <w:p w14:paraId="28287D99" w14:textId="77777777" w:rsidR="005E7D18" w:rsidRDefault="005E7D18" w:rsidP="0066301C">
      <w:pPr>
        <w:autoSpaceDE w:val="0"/>
        <w:autoSpaceDN w:val="0"/>
        <w:adjustRightInd w:val="0"/>
        <w:spacing w:after="0"/>
        <w:rPr>
          <w:rFonts w:ascii="Arial" w:hAnsi="Arial" w:cs="Arial"/>
          <w:b/>
        </w:rPr>
      </w:pPr>
    </w:p>
    <w:p w14:paraId="730A6FD0" w14:textId="77777777" w:rsidR="005E7D18" w:rsidRDefault="005E7D18" w:rsidP="0066301C">
      <w:pPr>
        <w:autoSpaceDE w:val="0"/>
        <w:autoSpaceDN w:val="0"/>
        <w:adjustRightInd w:val="0"/>
        <w:spacing w:after="0"/>
        <w:rPr>
          <w:rFonts w:ascii="Arial" w:hAnsi="Arial" w:cs="Arial"/>
          <w:b/>
        </w:rPr>
      </w:pPr>
    </w:p>
    <w:p w14:paraId="5ECAAD66" w14:textId="77777777" w:rsidR="005E7D18" w:rsidRDefault="005E7D18" w:rsidP="0066301C">
      <w:pPr>
        <w:autoSpaceDE w:val="0"/>
        <w:autoSpaceDN w:val="0"/>
        <w:adjustRightInd w:val="0"/>
        <w:spacing w:after="0"/>
        <w:rPr>
          <w:rFonts w:ascii="Arial" w:hAnsi="Arial" w:cs="Arial"/>
          <w:b/>
        </w:rPr>
      </w:pPr>
    </w:p>
    <w:p w14:paraId="42F25600" w14:textId="77777777" w:rsidR="005E7D18" w:rsidRDefault="005E7D18" w:rsidP="0066301C">
      <w:pPr>
        <w:autoSpaceDE w:val="0"/>
        <w:autoSpaceDN w:val="0"/>
        <w:adjustRightInd w:val="0"/>
        <w:spacing w:after="0"/>
        <w:rPr>
          <w:rFonts w:ascii="Arial" w:hAnsi="Arial" w:cs="Arial"/>
          <w:b/>
        </w:rPr>
      </w:pPr>
    </w:p>
    <w:p w14:paraId="7D440895" w14:textId="77777777" w:rsidR="005E7D18" w:rsidRDefault="005E7D18" w:rsidP="0066301C">
      <w:pPr>
        <w:autoSpaceDE w:val="0"/>
        <w:autoSpaceDN w:val="0"/>
        <w:adjustRightInd w:val="0"/>
        <w:spacing w:after="0"/>
        <w:rPr>
          <w:rFonts w:ascii="Arial" w:hAnsi="Arial" w:cs="Arial"/>
          <w:b/>
        </w:rPr>
      </w:pPr>
    </w:p>
    <w:p w14:paraId="3F40F714" w14:textId="77777777" w:rsidR="005E7D18" w:rsidRDefault="005E7D18" w:rsidP="0066301C">
      <w:pPr>
        <w:autoSpaceDE w:val="0"/>
        <w:autoSpaceDN w:val="0"/>
        <w:adjustRightInd w:val="0"/>
        <w:spacing w:after="0"/>
        <w:rPr>
          <w:rFonts w:ascii="Arial" w:hAnsi="Arial" w:cs="Arial"/>
          <w:b/>
        </w:rPr>
      </w:pPr>
    </w:p>
    <w:p w14:paraId="32434E8B" w14:textId="77777777" w:rsidR="005E7D18" w:rsidRDefault="005E7D18" w:rsidP="0066301C">
      <w:pPr>
        <w:autoSpaceDE w:val="0"/>
        <w:autoSpaceDN w:val="0"/>
        <w:adjustRightInd w:val="0"/>
        <w:spacing w:after="0"/>
        <w:rPr>
          <w:rFonts w:ascii="Arial" w:hAnsi="Arial" w:cs="Arial"/>
          <w:b/>
        </w:rPr>
      </w:pPr>
    </w:p>
    <w:p w14:paraId="4EA993A6" w14:textId="77777777" w:rsidR="005E7D18" w:rsidRDefault="005E7D18" w:rsidP="0066301C">
      <w:pPr>
        <w:autoSpaceDE w:val="0"/>
        <w:autoSpaceDN w:val="0"/>
        <w:adjustRightInd w:val="0"/>
        <w:spacing w:after="0"/>
        <w:rPr>
          <w:rFonts w:ascii="Arial" w:hAnsi="Arial" w:cs="Arial"/>
          <w:b/>
        </w:rPr>
      </w:pPr>
    </w:p>
    <w:p w14:paraId="32818074" w14:textId="77777777" w:rsidR="005E7D18" w:rsidRDefault="005E7D18" w:rsidP="0066301C">
      <w:pPr>
        <w:autoSpaceDE w:val="0"/>
        <w:autoSpaceDN w:val="0"/>
        <w:adjustRightInd w:val="0"/>
        <w:spacing w:after="0"/>
        <w:rPr>
          <w:rFonts w:ascii="Arial" w:hAnsi="Arial" w:cs="Arial"/>
          <w:b/>
        </w:rPr>
      </w:pPr>
    </w:p>
    <w:p w14:paraId="30D06F63" w14:textId="77777777" w:rsidR="005E7D18" w:rsidRDefault="005E7D18" w:rsidP="0066301C">
      <w:pPr>
        <w:autoSpaceDE w:val="0"/>
        <w:autoSpaceDN w:val="0"/>
        <w:adjustRightInd w:val="0"/>
        <w:spacing w:after="0"/>
        <w:rPr>
          <w:rFonts w:ascii="Arial" w:hAnsi="Arial" w:cs="Arial"/>
          <w:b/>
        </w:rPr>
      </w:pPr>
    </w:p>
    <w:p w14:paraId="178F01D9" w14:textId="77777777" w:rsidR="005E7D18" w:rsidRDefault="005E7D18" w:rsidP="0066301C">
      <w:pPr>
        <w:autoSpaceDE w:val="0"/>
        <w:autoSpaceDN w:val="0"/>
        <w:adjustRightInd w:val="0"/>
        <w:spacing w:after="0"/>
        <w:rPr>
          <w:rFonts w:ascii="Arial" w:hAnsi="Arial" w:cs="Arial"/>
          <w:b/>
        </w:rPr>
      </w:pPr>
    </w:p>
    <w:p w14:paraId="22036B3B" w14:textId="474E07D3" w:rsidR="008B0C2A" w:rsidRDefault="008B0C2A" w:rsidP="0066301C">
      <w:pPr>
        <w:autoSpaceDE w:val="0"/>
        <w:autoSpaceDN w:val="0"/>
        <w:adjustRightInd w:val="0"/>
        <w:spacing w:after="0"/>
        <w:rPr>
          <w:rFonts w:ascii="Arial" w:hAnsi="Arial" w:cs="Arial"/>
          <w:b/>
        </w:rPr>
      </w:pPr>
      <w:r w:rsidRPr="007F41B9">
        <w:rPr>
          <w:rFonts w:ascii="Arial" w:hAnsi="Arial" w:cs="Arial"/>
          <w:b/>
        </w:rPr>
        <w:t>Figure 4.6: Impulse</w:t>
      </w:r>
      <w:r w:rsidRPr="00524D1F">
        <w:rPr>
          <w:rFonts w:ascii="Arial" w:hAnsi="Arial" w:cs="Arial"/>
          <w:b/>
        </w:rPr>
        <w:t xml:space="preserve"> Response Function and Table</w:t>
      </w:r>
      <w:r>
        <w:rPr>
          <w:rFonts w:ascii="Arial" w:hAnsi="Arial" w:cs="Arial"/>
          <w:b/>
        </w:rPr>
        <w:t xml:space="preserve"> (CEMAC Nations)</w:t>
      </w:r>
    </w:p>
    <w:p w14:paraId="37B098D7" w14:textId="77777777" w:rsidR="008B0C2A" w:rsidRPr="00FE5AB1" w:rsidRDefault="008B0C2A" w:rsidP="0066301C">
      <w:pPr>
        <w:pBdr>
          <w:top w:val="single" w:sz="4" w:space="1" w:color="auto"/>
          <w:left w:val="single" w:sz="4" w:space="4" w:color="auto"/>
          <w:bottom w:val="single" w:sz="4" w:space="1" w:color="auto"/>
          <w:right w:val="single" w:sz="4" w:space="26" w:color="auto"/>
        </w:pBdr>
        <w:spacing w:after="0"/>
        <w:ind w:right="379"/>
        <w:rPr>
          <w:noProof/>
        </w:rPr>
      </w:pPr>
      <w:r>
        <w:rPr>
          <w:noProof/>
        </w:rPr>
        <w:t xml:space="preserve">  </w:t>
      </w:r>
      <w:r w:rsidRPr="004F38C9">
        <w:rPr>
          <w:noProof/>
        </w:rPr>
        <w:drawing>
          <wp:inline distT="0" distB="0" distL="0" distR="0" wp14:anchorId="0611745C" wp14:editId="2788C43E">
            <wp:extent cx="3870960" cy="2328545"/>
            <wp:effectExtent l="0" t="0" r="0" b="0"/>
            <wp:docPr id="260179380" name="Picture 26017938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5"/>
                    <pic:cNvPicPr>
                      <a:picLocks noChangeAspect="1" noChangeArrowheads="1"/>
                    </pic:cNvPicPr>
                  </pic:nvPicPr>
                  <pic:blipFill>
                    <a:blip r:embed="rId102">
                      <a:extLst>
                        <a:ext uri="{28A0092B-C50C-407E-A947-70E740481C1C}">
                          <a14:useLocalDpi xmlns:a14="http://schemas.microsoft.com/office/drawing/2010/main" val="0"/>
                        </a:ext>
                      </a:extLst>
                    </a:blip>
                    <a:srcRect/>
                    <a:stretch>
                      <a:fillRect/>
                    </a:stretch>
                  </pic:blipFill>
                  <pic:spPr bwMode="auto">
                    <a:xfrm>
                      <a:off x="0" y="0"/>
                      <a:ext cx="3884071" cy="2336432"/>
                    </a:xfrm>
                    <a:prstGeom prst="rect">
                      <a:avLst/>
                    </a:prstGeom>
                    <a:noFill/>
                    <a:ln>
                      <a:noFill/>
                    </a:ln>
                  </pic:spPr>
                </pic:pic>
              </a:graphicData>
            </a:graphic>
          </wp:inline>
        </w:drawing>
      </w:r>
      <w:r>
        <w:rPr>
          <w:noProof/>
        </w:rPr>
        <w:t xml:space="preserve">      </w:t>
      </w:r>
      <w:r w:rsidRPr="004F38C9">
        <w:rPr>
          <w:noProof/>
        </w:rPr>
        <w:drawing>
          <wp:inline distT="0" distB="0" distL="0" distR="0" wp14:anchorId="16A5112D" wp14:editId="415F44DD">
            <wp:extent cx="1188720" cy="2263775"/>
            <wp:effectExtent l="0" t="0" r="0" b="0"/>
            <wp:docPr id="1128457546" name="Picture 112845754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6"/>
                    <pic:cNvPicPr>
                      <a:picLocks noChangeAspect="1" noChangeArrowheads="1"/>
                    </pic:cNvPicPr>
                  </pic:nvPicPr>
                  <pic:blipFill>
                    <a:blip r:embed="rId103">
                      <a:extLst>
                        <a:ext uri="{28A0092B-C50C-407E-A947-70E740481C1C}">
                          <a14:useLocalDpi xmlns:a14="http://schemas.microsoft.com/office/drawing/2010/main" val="0"/>
                        </a:ext>
                      </a:extLst>
                    </a:blip>
                    <a:srcRect/>
                    <a:stretch>
                      <a:fillRect/>
                    </a:stretch>
                  </pic:blipFill>
                  <pic:spPr bwMode="auto">
                    <a:xfrm>
                      <a:off x="0" y="0"/>
                      <a:ext cx="1205512" cy="2295754"/>
                    </a:xfrm>
                    <a:prstGeom prst="rect">
                      <a:avLst/>
                    </a:prstGeom>
                    <a:noFill/>
                    <a:ln>
                      <a:noFill/>
                    </a:ln>
                  </pic:spPr>
                </pic:pic>
              </a:graphicData>
            </a:graphic>
          </wp:inline>
        </w:drawing>
      </w:r>
    </w:p>
    <w:p w14:paraId="2B655B89" w14:textId="77777777" w:rsidR="00A77B93" w:rsidRPr="005D14CA" w:rsidRDefault="00A77B93" w:rsidP="00A77B93">
      <w:pPr>
        <w:pStyle w:val="ListParagraph"/>
        <w:autoSpaceDE w:val="0"/>
        <w:autoSpaceDN w:val="0"/>
        <w:adjustRightInd w:val="0"/>
        <w:spacing w:after="0" w:line="240" w:lineRule="auto"/>
        <w:ind w:left="0"/>
        <w:rPr>
          <w:rFonts w:ascii="Arial" w:hAnsi="Arial" w:cs="Arial"/>
          <w:b/>
          <w:sz w:val="20"/>
          <w:szCs w:val="20"/>
        </w:rPr>
      </w:pPr>
      <w:r w:rsidRPr="005D14CA">
        <w:rPr>
          <w:rFonts w:ascii="Arial" w:hAnsi="Arial" w:cs="Arial"/>
          <w:i/>
          <w:sz w:val="20"/>
          <w:szCs w:val="20"/>
        </w:rPr>
        <w:t>Source</w:t>
      </w:r>
      <w:r w:rsidRPr="005D14CA">
        <w:rPr>
          <w:rFonts w:ascii="Arial" w:hAnsi="Arial" w:cs="Arial"/>
          <w:sz w:val="20"/>
          <w:szCs w:val="20"/>
        </w:rPr>
        <w:t>: Computation from time-series data using EViews 12</w:t>
      </w:r>
    </w:p>
    <w:p w14:paraId="0CE431AC" w14:textId="77777777" w:rsidR="008B0C2A" w:rsidRDefault="008B0C2A" w:rsidP="0066301C"/>
    <w:p w14:paraId="2952447D" w14:textId="77777777" w:rsidR="008B0C2A" w:rsidRDefault="008B0C2A" w:rsidP="00A77B93">
      <w:pPr>
        <w:pBdr>
          <w:top w:val="single" w:sz="4" w:space="1" w:color="auto"/>
          <w:left w:val="single" w:sz="4" w:space="4" w:color="auto"/>
          <w:bottom w:val="single" w:sz="4" w:space="1" w:color="auto"/>
          <w:right w:val="single" w:sz="4" w:space="4" w:color="auto"/>
        </w:pBdr>
        <w:spacing w:after="0"/>
      </w:pPr>
      <w:r>
        <w:rPr>
          <w:noProof/>
        </w:rPr>
        <w:drawing>
          <wp:inline distT="0" distB="0" distL="0" distR="0" wp14:anchorId="283555CF" wp14:editId="65916BF1">
            <wp:extent cx="4023360" cy="2476500"/>
            <wp:effectExtent l="0" t="0" r="0" b="0"/>
            <wp:docPr id="1314733662" name="Picture 131473366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3"/>
                    <pic:cNvPicPr>
                      <a:picLocks noChangeAspect="1" noChangeArrowheads="1"/>
                    </pic:cNvPicPr>
                  </pic:nvPicPr>
                  <pic:blipFill>
                    <a:blip r:embed="rId104">
                      <a:extLst>
                        <a:ext uri="{28A0092B-C50C-407E-A947-70E740481C1C}">
                          <a14:useLocalDpi xmlns:a14="http://schemas.microsoft.com/office/drawing/2010/main" val="0"/>
                        </a:ext>
                      </a:extLst>
                    </a:blip>
                    <a:srcRect/>
                    <a:stretch>
                      <a:fillRect/>
                    </a:stretch>
                  </pic:blipFill>
                  <pic:spPr bwMode="auto">
                    <a:xfrm>
                      <a:off x="0" y="0"/>
                      <a:ext cx="4023360" cy="2476500"/>
                    </a:xfrm>
                    <a:prstGeom prst="rect">
                      <a:avLst/>
                    </a:prstGeom>
                    <a:noFill/>
                    <a:ln>
                      <a:noFill/>
                    </a:ln>
                  </pic:spPr>
                </pic:pic>
              </a:graphicData>
            </a:graphic>
          </wp:inline>
        </w:drawing>
      </w:r>
      <w:r>
        <w:t xml:space="preserve">   </w:t>
      </w:r>
      <w:r>
        <w:rPr>
          <w:noProof/>
        </w:rPr>
        <w:drawing>
          <wp:inline distT="0" distB="0" distL="0" distR="0" wp14:anchorId="572F6E88" wp14:editId="51B03B6F">
            <wp:extent cx="1285875" cy="2514600"/>
            <wp:effectExtent l="0" t="0" r="9525" b="0"/>
            <wp:docPr id="1314733661" name="Picture 131473366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4"/>
                    <pic:cNvPicPr>
                      <a:picLocks noChangeAspect="1" noChangeArrowheads="1"/>
                    </pic:cNvPicPr>
                  </pic:nvPicPr>
                  <pic:blipFill>
                    <a:blip r:embed="rId105">
                      <a:extLst>
                        <a:ext uri="{28A0092B-C50C-407E-A947-70E740481C1C}">
                          <a14:useLocalDpi xmlns:a14="http://schemas.microsoft.com/office/drawing/2010/main" val="0"/>
                        </a:ext>
                      </a:extLst>
                    </a:blip>
                    <a:srcRect/>
                    <a:stretch>
                      <a:fillRect/>
                    </a:stretch>
                  </pic:blipFill>
                  <pic:spPr bwMode="auto">
                    <a:xfrm>
                      <a:off x="0" y="0"/>
                      <a:ext cx="1285875" cy="2514600"/>
                    </a:xfrm>
                    <a:prstGeom prst="rect">
                      <a:avLst/>
                    </a:prstGeom>
                    <a:noFill/>
                    <a:ln>
                      <a:noFill/>
                    </a:ln>
                  </pic:spPr>
                </pic:pic>
              </a:graphicData>
            </a:graphic>
          </wp:inline>
        </w:drawing>
      </w:r>
    </w:p>
    <w:p w14:paraId="6A755A34" w14:textId="77777777" w:rsidR="00A77B93" w:rsidRPr="005D14CA" w:rsidRDefault="00A77B93" w:rsidP="00A77B93">
      <w:pPr>
        <w:pStyle w:val="ListParagraph"/>
        <w:autoSpaceDE w:val="0"/>
        <w:autoSpaceDN w:val="0"/>
        <w:adjustRightInd w:val="0"/>
        <w:spacing w:after="0" w:line="240" w:lineRule="auto"/>
        <w:ind w:left="0"/>
        <w:rPr>
          <w:rFonts w:ascii="Arial" w:hAnsi="Arial" w:cs="Arial"/>
          <w:b/>
          <w:sz w:val="20"/>
          <w:szCs w:val="20"/>
        </w:rPr>
      </w:pPr>
      <w:r w:rsidRPr="005D14CA">
        <w:rPr>
          <w:rFonts w:ascii="Arial" w:hAnsi="Arial" w:cs="Arial"/>
          <w:i/>
          <w:sz w:val="20"/>
          <w:szCs w:val="20"/>
        </w:rPr>
        <w:t>Source</w:t>
      </w:r>
      <w:r w:rsidRPr="005D14CA">
        <w:rPr>
          <w:rFonts w:ascii="Arial" w:hAnsi="Arial" w:cs="Arial"/>
          <w:sz w:val="20"/>
          <w:szCs w:val="20"/>
        </w:rPr>
        <w:t>: Computation from time-series data using EViews 12</w:t>
      </w:r>
    </w:p>
    <w:p w14:paraId="37F9AC69" w14:textId="3E0FC57F" w:rsidR="008B0C2A" w:rsidRPr="008B0C2A" w:rsidRDefault="008B0C2A" w:rsidP="00CE4A98">
      <w:pPr>
        <w:pBdr>
          <w:top w:val="single" w:sz="4" w:space="1" w:color="auto"/>
          <w:left w:val="single" w:sz="4" w:space="4" w:color="auto"/>
          <w:bottom w:val="single" w:sz="4" w:space="1" w:color="auto"/>
          <w:right w:val="single" w:sz="4" w:space="0" w:color="auto"/>
        </w:pBdr>
        <w:spacing w:after="0"/>
        <w:rPr>
          <w:noProof/>
        </w:rPr>
      </w:pPr>
      <w:r>
        <w:rPr>
          <w:noProof/>
        </w:rPr>
        <w:lastRenderedPageBreak/>
        <w:t xml:space="preserve">      </w:t>
      </w:r>
      <w:r>
        <w:rPr>
          <w:noProof/>
        </w:rPr>
        <w:drawing>
          <wp:inline distT="0" distB="0" distL="0" distR="0" wp14:anchorId="70E4FDF8" wp14:editId="3C997391">
            <wp:extent cx="3931920" cy="2564130"/>
            <wp:effectExtent l="0" t="0" r="0" b="0"/>
            <wp:docPr id="266275477" name="Picture 266275477" descr="A graph of a graph&#10;&#10;Description automatically generated with medium confidence"/>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66275477" name="Picture 266275477" descr="A graph of a graph&#10;&#10;Description automatically generated with medium confidence"/>
                    <pic:cNvPicPr>
                      <a:picLocks noChangeAspect="1" noChangeArrowheads="1"/>
                    </pic:cNvPicPr>
                  </pic:nvPicPr>
                  <pic:blipFill>
                    <a:blip r:embed="rId106">
                      <a:extLst>
                        <a:ext uri="{28A0092B-C50C-407E-A947-70E740481C1C}">
                          <a14:useLocalDpi xmlns:a14="http://schemas.microsoft.com/office/drawing/2010/main" val="0"/>
                        </a:ext>
                      </a:extLst>
                    </a:blip>
                    <a:srcRect/>
                    <a:stretch>
                      <a:fillRect/>
                    </a:stretch>
                  </pic:blipFill>
                  <pic:spPr bwMode="auto">
                    <a:xfrm>
                      <a:off x="0" y="0"/>
                      <a:ext cx="3958090" cy="2581196"/>
                    </a:xfrm>
                    <a:prstGeom prst="rect">
                      <a:avLst/>
                    </a:prstGeom>
                    <a:noFill/>
                  </pic:spPr>
                </pic:pic>
              </a:graphicData>
            </a:graphic>
          </wp:inline>
        </w:drawing>
      </w:r>
      <w:r>
        <w:rPr>
          <w:noProof/>
        </w:rPr>
        <w:t xml:space="preserve">      </w:t>
      </w:r>
      <w:r w:rsidRPr="007963A4">
        <w:rPr>
          <w:noProof/>
        </w:rPr>
        <w:drawing>
          <wp:inline distT="0" distB="0" distL="0" distR="0" wp14:anchorId="608F057B" wp14:editId="69D2262F">
            <wp:extent cx="1226820" cy="2598420"/>
            <wp:effectExtent l="0" t="0" r="0" b="0"/>
            <wp:docPr id="1867294666" name="Picture 186729466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8"/>
                    <pic:cNvPicPr>
                      <a:picLocks noChangeAspect="1" noChangeArrowheads="1"/>
                    </pic:cNvPicPr>
                  </pic:nvPicPr>
                  <pic:blipFill>
                    <a:blip r:embed="rId107">
                      <a:extLst>
                        <a:ext uri="{28A0092B-C50C-407E-A947-70E740481C1C}">
                          <a14:useLocalDpi xmlns:a14="http://schemas.microsoft.com/office/drawing/2010/main" val="0"/>
                        </a:ext>
                      </a:extLst>
                    </a:blip>
                    <a:srcRect/>
                    <a:stretch>
                      <a:fillRect/>
                    </a:stretch>
                  </pic:blipFill>
                  <pic:spPr bwMode="auto">
                    <a:xfrm>
                      <a:off x="0" y="0"/>
                      <a:ext cx="1228335" cy="2601629"/>
                    </a:xfrm>
                    <a:prstGeom prst="rect">
                      <a:avLst/>
                    </a:prstGeom>
                    <a:noFill/>
                    <a:ln>
                      <a:noFill/>
                    </a:ln>
                  </pic:spPr>
                </pic:pic>
              </a:graphicData>
            </a:graphic>
          </wp:inline>
        </w:drawing>
      </w:r>
    </w:p>
    <w:p w14:paraId="788202CA" w14:textId="77777777" w:rsidR="00CE4A98" w:rsidRPr="005D14CA" w:rsidRDefault="00CE4A98" w:rsidP="00CE4A98">
      <w:pPr>
        <w:pStyle w:val="ListParagraph"/>
        <w:autoSpaceDE w:val="0"/>
        <w:autoSpaceDN w:val="0"/>
        <w:adjustRightInd w:val="0"/>
        <w:spacing w:after="0" w:line="240" w:lineRule="auto"/>
        <w:ind w:left="0"/>
        <w:rPr>
          <w:rFonts w:ascii="Arial" w:hAnsi="Arial" w:cs="Arial"/>
          <w:b/>
          <w:sz w:val="20"/>
          <w:szCs w:val="20"/>
        </w:rPr>
      </w:pPr>
      <w:r w:rsidRPr="005D14CA">
        <w:rPr>
          <w:rFonts w:ascii="Arial" w:hAnsi="Arial" w:cs="Arial"/>
          <w:i/>
          <w:sz w:val="20"/>
          <w:szCs w:val="20"/>
        </w:rPr>
        <w:t>Source</w:t>
      </w:r>
      <w:r w:rsidRPr="005D14CA">
        <w:rPr>
          <w:rFonts w:ascii="Arial" w:hAnsi="Arial" w:cs="Arial"/>
          <w:sz w:val="20"/>
          <w:szCs w:val="20"/>
        </w:rPr>
        <w:t>: Computation from time-series data using EViews 12</w:t>
      </w:r>
    </w:p>
    <w:p w14:paraId="79F7BC53" w14:textId="6B914321" w:rsidR="003F74A5" w:rsidRPr="003F74A5" w:rsidRDefault="001A298A" w:rsidP="0066301C">
      <w:pPr>
        <w:autoSpaceDE w:val="0"/>
        <w:autoSpaceDN w:val="0"/>
        <w:adjustRightInd w:val="0"/>
        <w:spacing w:line="360" w:lineRule="auto"/>
        <w:jc w:val="both"/>
        <w:rPr>
          <w:rFonts w:ascii="Arial" w:hAnsi="Arial" w:cs="Arial"/>
          <w:lang w:val="en-US"/>
        </w:rPr>
      </w:pPr>
      <w:r w:rsidRPr="39B0B252">
        <w:rPr>
          <w:rFonts w:ascii="Arial" w:hAnsi="Arial" w:cs="Arial"/>
        </w:rPr>
        <w:t xml:space="preserve">The impulse response function (IRF) graphs and tables </w:t>
      </w:r>
      <w:r w:rsidR="002A315A" w:rsidRPr="39B0B252">
        <w:rPr>
          <w:rFonts w:ascii="Arial" w:hAnsi="Arial" w:cs="Arial"/>
        </w:rPr>
        <w:t xml:space="preserve">of Cameroon </w:t>
      </w:r>
      <w:r w:rsidRPr="39B0B252">
        <w:rPr>
          <w:rFonts w:ascii="Arial" w:hAnsi="Arial" w:cs="Arial"/>
        </w:rPr>
        <w:t xml:space="preserve">show the long-term relationship between LNTB and </w:t>
      </w:r>
      <w:r w:rsidR="00524D1F" w:rsidRPr="39B0B252">
        <w:rPr>
          <w:rFonts w:ascii="Arial" w:hAnsi="Arial" w:cs="Arial"/>
        </w:rPr>
        <w:t>LNREER</w:t>
      </w:r>
      <w:r w:rsidRPr="39B0B252">
        <w:rPr>
          <w:rFonts w:ascii="Arial" w:hAnsi="Arial" w:cs="Arial"/>
        </w:rPr>
        <w:t xml:space="preserve">. </w:t>
      </w:r>
      <w:r w:rsidRPr="39B0B252">
        <w:rPr>
          <w:rFonts w:ascii="Arial" w:hAnsi="Arial" w:cs="Arial"/>
          <w:lang w:val="en-US"/>
        </w:rPr>
        <w:t xml:space="preserve">The result shows that there is the presence of the </w:t>
      </w:r>
      <w:r w:rsidRPr="39B0B252">
        <w:rPr>
          <w:rFonts w:ascii="Arial" w:hAnsi="Arial" w:cs="Arial"/>
          <w:i/>
          <w:iCs/>
          <w:lang w:val="en-US"/>
        </w:rPr>
        <w:t>J-</w:t>
      </w:r>
      <w:r w:rsidRPr="39B0B252">
        <w:rPr>
          <w:rFonts w:ascii="Arial" w:hAnsi="Arial" w:cs="Arial"/>
          <w:lang w:val="en-US"/>
        </w:rPr>
        <w:t>curve in the LNTB (i.e., LN</w:t>
      </w:r>
      <w:r w:rsidR="00C0543D" w:rsidRPr="39B0B252">
        <w:rPr>
          <w:rFonts w:ascii="Arial" w:hAnsi="Arial" w:cs="Arial"/>
          <w:lang w:val="en-US"/>
        </w:rPr>
        <w:t>TB</w:t>
      </w:r>
      <w:r w:rsidRPr="39B0B252">
        <w:rPr>
          <w:rFonts w:ascii="Arial" w:hAnsi="Arial" w:cs="Arial"/>
          <w:lang w:val="en-US"/>
        </w:rPr>
        <w:t xml:space="preserve"> got negative before getting positive). The curve moves from value (0) in period 1 to negative value (-</w:t>
      </w:r>
      <w:r w:rsidR="00524D1F" w:rsidRPr="39B0B252">
        <w:rPr>
          <w:rFonts w:ascii="Arial" w:hAnsi="Arial" w:cs="Arial"/>
          <w:lang w:val="en-US"/>
        </w:rPr>
        <w:t>0</w:t>
      </w:r>
      <w:r w:rsidRPr="39B0B252">
        <w:rPr>
          <w:rFonts w:ascii="Arial" w:hAnsi="Arial" w:cs="Arial"/>
          <w:lang w:val="en-US"/>
        </w:rPr>
        <w:t>.</w:t>
      </w:r>
      <w:r w:rsidR="00524D1F" w:rsidRPr="39B0B252">
        <w:rPr>
          <w:rFonts w:ascii="Arial" w:hAnsi="Arial" w:cs="Arial"/>
          <w:lang w:val="en-US"/>
        </w:rPr>
        <w:t>021</w:t>
      </w:r>
      <w:r w:rsidRPr="39B0B252">
        <w:rPr>
          <w:rFonts w:ascii="Arial" w:hAnsi="Arial" w:cs="Arial"/>
          <w:lang w:val="en-US"/>
        </w:rPr>
        <w:t>%) in period 2 and gets better or improve</w:t>
      </w:r>
      <w:r w:rsidR="00524D1F" w:rsidRPr="39B0B252">
        <w:rPr>
          <w:rFonts w:ascii="Arial" w:hAnsi="Arial" w:cs="Arial"/>
          <w:lang w:val="en-US"/>
        </w:rPr>
        <w:t>s to positive in period 3</w:t>
      </w:r>
      <w:r w:rsidR="00802688" w:rsidRPr="39B0B252">
        <w:rPr>
          <w:rFonts w:ascii="Arial" w:hAnsi="Arial" w:cs="Arial"/>
          <w:lang w:val="en-US"/>
        </w:rPr>
        <w:t>.</w:t>
      </w:r>
      <w:r w:rsidR="002A315A" w:rsidRPr="39B0B252">
        <w:rPr>
          <w:rFonts w:ascii="Arial" w:hAnsi="Arial" w:cs="Arial"/>
          <w:lang w:val="en-US"/>
        </w:rPr>
        <w:t xml:space="preserve"> </w:t>
      </w:r>
      <w:r w:rsidRPr="39B0B252">
        <w:rPr>
          <w:rFonts w:ascii="Arial" w:hAnsi="Arial" w:cs="Arial"/>
          <w:lang w:val="en-US"/>
        </w:rPr>
        <w:t xml:space="preserve">From the </w:t>
      </w:r>
      <w:r w:rsidR="00524D1F" w:rsidRPr="39B0B252">
        <w:rPr>
          <w:rFonts w:ascii="Arial" w:hAnsi="Arial" w:cs="Arial"/>
          <w:lang w:val="en-US"/>
        </w:rPr>
        <w:t>third</w:t>
      </w:r>
      <w:r w:rsidRPr="39B0B252">
        <w:rPr>
          <w:rFonts w:ascii="Arial" w:hAnsi="Arial" w:cs="Arial"/>
          <w:lang w:val="en-US"/>
        </w:rPr>
        <w:t xml:space="preserve"> period onward, the TB got positive (i.e., a surplus of 0.</w:t>
      </w:r>
      <w:r w:rsidR="00BF4524" w:rsidRPr="39B0B252">
        <w:rPr>
          <w:rFonts w:ascii="Arial" w:hAnsi="Arial" w:cs="Arial"/>
          <w:lang w:val="en-US"/>
        </w:rPr>
        <w:t>0</w:t>
      </w:r>
      <w:r w:rsidR="000C3185" w:rsidRPr="39B0B252">
        <w:rPr>
          <w:rFonts w:ascii="Arial" w:hAnsi="Arial" w:cs="Arial"/>
          <w:lang w:val="en-US"/>
        </w:rPr>
        <w:t>11</w:t>
      </w:r>
      <w:r w:rsidRPr="39B0B252">
        <w:rPr>
          <w:rFonts w:ascii="Arial" w:hAnsi="Arial" w:cs="Arial"/>
          <w:lang w:val="en-US"/>
        </w:rPr>
        <w:t>%), with an average TB surplus of 0.</w:t>
      </w:r>
      <w:r w:rsidR="000C3185" w:rsidRPr="39B0B252">
        <w:rPr>
          <w:rFonts w:ascii="Arial" w:hAnsi="Arial" w:cs="Arial"/>
          <w:lang w:val="en-US"/>
        </w:rPr>
        <w:t>01</w:t>
      </w:r>
      <w:r w:rsidRPr="39B0B252">
        <w:rPr>
          <w:rFonts w:ascii="Arial" w:hAnsi="Arial" w:cs="Arial"/>
          <w:lang w:val="en-US"/>
        </w:rPr>
        <w:t xml:space="preserve">%. Thus, both the graph and the table show the presence of the </w:t>
      </w:r>
      <w:r w:rsidRPr="39B0B252">
        <w:rPr>
          <w:rFonts w:ascii="Arial" w:hAnsi="Arial" w:cs="Arial"/>
          <w:i/>
          <w:iCs/>
          <w:lang w:val="en-US"/>
        </w:rPr>
        <w:t>J-</w:t>
      </w:r>
      <w:r w:rsidRPr="39B0B252">
        <w:rPr>
          <w:rFonts w:ascii="Arial" w:hAnsi="Arial" w:cs="Arial"/>
          <w:lang w:val="en-US"/>
        </w:rPr>
        <w:t xml:space="preserve">curve in Cameroon TB. Thus, a currency devaluation helps to improve </w:t>
      </w:r>
      <w:r w:rsidR="00C0543D" w:rsidRPr="39B0B252">
        <w:rPr>
          <w:rFonts w:ascii="Arial" w:hAnsi="Arial" w:cs="Arial"/>
          <w:lang w:val="en-US"/>
        </w:rPr>
        <w:t>Cameroon</w:t>
      </w:r>
      <w:r w:rsidRPr="39B0B252">
        <w:rPr>
          <w:rFonts w:ascii="Arial" w:hAnsi="Arial" w:cs="Arial"/>
          <w:lang w:val="en-US"/>
        </w:rPr>
        <w:t>’s trade balance.</w:t>
      </w:r>
      <w:r w:rsidR="00802688" w:rsidRPr="39B0B252">
        <w:rPr>
          <w:rFonts w:ascii="Arial" w:hAnsi="Arial" w:cs="Arial"/>
          <w:lang w:val="en-US"/>
        </w:rPr>
        <w:t xml:space="preserve"> While the</w:t>
      </w:r>
      <w:r w:rsidR="00C0543D" w:rsidRPr="39B0B252">
        <w:rPr>
          <w:rFonts w:ascii="Arial" w:hAnsi="Arial" w:cs="Arial"/>
          <w:lang w:val="en-US"/>
        </w:rPr>
        <w:t xml:space="preserve"> IRF graph and table of both CAR and Gabon show that there is no </w:t>
      </w:r>
      <w:r w:rsidR="00C0543D" w:rsidRPr="39B0B252">
        <w:rPr>
          <w:rFonts w:ascii="Arial" w:hAnsi="Arial" w:cs="Arial"/>
          <w:i/>
          <w:iCs/>
          <w:lang w:val="en-US"/>
        </w:rPr>
        <w:t>J-</w:t>
      </w:r>
      <w:r w:rsidR="00C0543D" w:rsidRPr="39B0B252">
        <w:rPr>
          <w:rFonts w:ascii="Arial" w:hAnsi="Arial" w:cs="Arial"/>
          <w:lang w:val="en-US"/>
        </w:rPr>
        <w:t>curve in the LNTB (i.e., LNTB got negative and never got positive). The curve moves from value (0) in period 1 to negative value</w:t>
      </w:r>
      <w:r w:rsidR="00802688" w:rsidRPr="39B0B252">
        <w:rPr>
          <w:rFonts w:ascii="Arial" w:hAnsi="Arial" w:cs="Arial"/>
          <w:lang w:val="en-US"/>
        </w:rPr>
        <w:t xml:space="preserve"> in period 2</w:t>
      </w:r>
      <w:r w:rsidR="00C0543D" w:rsidRPr="39B0B252">
        <w:rPr>
          <w:rFonts w:ascii="Arial" w:hAnsi="Arial" w:cs="Arial"/>
          <w:lang w:val="en-US"/>
        </w:rPr>
        <w:t xml:space="preserve"> (-0.032%, and -0.006% for CAR and Gabon respectively) and never gets positive throughout the periods. This indicates the absence of the </w:t>
      </w:r>
      <w:r w:rsidR="00C0543D" w:rsidRPr="39B0B252">
        <w:rPr>
          <w:rFonts w:ascii="Arial" w:hAnsi="Arial" w:cs="Arial"/>
          <w:i/>
          <w:iCs/>
          <w:lang w:val="en-US"/>
        </w:rPr>
        <w:t>J-</w:t>
      </w:r>
      <w:r w:rsidR="00C0543D" w:rsidRPr="39B0B252">
        <w:rPr>
          <w:rFonts w:ascii="Arial" w:hAnsi="Arial" w:cs="Arial"/>
          <w:lang w:val="en-US"/>
        </w:rPr>
        <w:t>curve.</w:t>
      </w:r>
      <w:r w:rsidR="00802688" w:rsidRPr="39B0B252">
        <w:rPr>
          <w:rFonts w:ascii="Arial" w:hAnsi="Arial" w:cs="Arial"/>
          <w:lang w:val="en-US"/>
        </w:rPr>
        <w:t xml:space="preserve"> </w:t>
      </w:r>
      <w:r w:rsidR="00C0543D" w:rsidRPr="39B0B252">
        <w:rPr>
          <w:rFonts w:ascii="Arial" w:hAnsi="Arial" w:cs="Arial"/>
          <w:lang w:val="en-US"/>
        </w:rPr>
        <w:t>Th</w:t>
      </w:r>
      <w:r w:rsidR="002A315A" w:rsidRPr="39B0B252">
        <w:rPr>
          <w:rFonts w:ascii="Arial" w:hAnsi="Arial" w:cs="Arial"/>
          <w:lang w:val="en-US"/>
        </w:rPr>
        <w:t>i</w:t>
      </w:r>
      <w:r w:rsidR="00C0543D" w:rsidRPr="39B0B252">
        <w:rPr>
          <w:rFonts w:ascii="Arial" w:hAnsi="Arial" w:cs="Arial"/>
          <w:lang w:val="en-US"/>
        </w:rPr>
        <w:t xml:space="preserve">s </w:t>
      </w:r>
      <w:r w:rsidR="00802688" w:rsidRPr="39B0B252">
        <w:rPr>
          <w:rFonts w:ascii="Arial" w:hAnsi="Arial" w:cs="Arial"/>
          <w:lang w:val="en-US"/>
        </w:rPr>
        <w:t xml:space="preserve">means that currency devaluation does not help to improve CAR and Gabon’s trade balance in the long-run, and the government should use other policies and tools to improve their TB. </w:t>
      </w:r>
    </w:p>
    <w:p w14:paraId="3E5524CA" w14:textId="249CC9AC" w:rsidR="0098504A" w:rsidRPr="002D51AC" w:rsidRDefault="009F76EB" w:rsidP="0066301C">
      <w:pPr>
        <w:pStyle w:val="Heading3"/>
        <w:numPr>
          <w:ilvl w:val="0"/>
          <w:numId w:val="0"/>
        </w:numPr>
        <w:spacing w:before="0" w:beforeAutospacing="0"/>
        <w:rPr>
          <w:highlight w:val="cyan"/>
        </w:rPr>
      </w:pPr>
      <w:bookmarkStart w:id="483" w:name="_Toc171075425"/>
      <w:r>
        <w:rPr>
          <w:rFonts w:eastAsia="Times New Roman"/>
          <w:lang w:val="en-US" w:eastAsia="en-GB"/>
        </w:rPr>
        <w:t>4.</w:t>
      </w:r>
      <w:r w:rsidR="00236129" w:rsidRPr="00A817E8">
        <w:rPr>
          <w:rFonts w:eastAsia="Times New Roman"/>
          <w:lang w:val="en-US" w:eastAsia="en-GB"/>
        </w:rPr>
        <w:t>7.</w:t>
      </w:r>
      <w:r w:rsidR="00236129">
        <w:rPr>
          <w:rFonts w:eastAsia="Times New Roman"/>
          <w:lang w:val="en-US" w:eastAsia="en-GB"/>
        </w:rPr>
        <w:t>7</w:t>
      </w:r>
      <w:r w:rsidR="003D1513">
        <w:rPr>
          <w:rFonts w:eastAsia="Times New Roman"/>
          <w:lang w:val="en-US" w:eastAsia="en-GB"/>
        </w:rPr>
        <w:tab/>
      </w:r>
      <w:r w:rsidR="00236129" w:rsidRPr="00236129">
        <w:t>STABILITY TEST</w:t>
      </w:r>
      <w:bookmarkEnd w:id="483"/>
      <w:r w:rsidR="00236129" w:rsidRPr="001A298A">
        <w:rPr>
          <w:rFonts w:eastAsia="Times New Roman"/>
          <w:lang w:val="en-US" w:eastAsia="en-GB"/>
        </w:rPr>
        <w:t xml:space="preserve"> </w:t>
      </w:r>
    </w:p>
    <w:p w14:paraId="1BBB5E39" w14:textId="77777777" w:rsidR="008B0C2A" w:rsidRDefault="0098504A" w:rsidP="0066301C">
      <w:pPr>
        <w:spacing w:line="360" w:lineRule="auto"/>
        <w:jc w:val="both"/>
        <w:rPr>
          <w:rFonts w:ascii="Arial" w:eastAsiaTheme="minorEastAsia" w:hAnsi="Arial" w:cs="Arial"/>
          <w:iCs/>
        </w:rPr>
      </w:pPr>
      <w:r w:rsidRPr="00677B3C">
        <w:rPr>
          <w:rFonts w:ascii="Arial" w:hAnsi="Arial" w:cs="Arial"/>
        </w:rPr>
        <w:t xml:space="preserve">We check if the estimated regression equations are stable throughout the sample period of the study. Parameter stability tests play a vital role in ensuring </w:t>
      </w:r>
      <w:r w:rsidR="004D1513">
        <w:rPr>
          <w:rFonts w:ascii="Arial" w:hAnsi="Arial" w:cs="Arial"/>
        </w:rPr>
        <w:t xml:space="preserve">the </w:t>
      </w:r>
      <w:r w:rsidRPr="00677B3C">
        <w:rPr>
          <w:rFonts w:ascii="Arial" w:hAnsi="Arial" w:cs="Arial"/>
        </w:rPr>
        <w:t>reliability of policy simulation based on the model</w:t>
      </w:r>
      <w:r w:rsidRPr="00677B3C">
        <w:rPr>
          <w:rFonts w:ascii="Arial" w:eastAsiaTheme="minorEastAsia" w:hAnsi="Arial" w:cs="Arial"/>
          <w:iCs/>
        </w:rPr>
        <w:t xml:space="preserve">. To test for stability following Bahmani-Oskooee and Goswami (2003), we apply the cumulative sum (CUSUM) and cumulative sum square (CUSUMSQ) tests of Brown </w:t>
      </w:r>
      <w:r w:rsidRPr="00677B3C">
        <w:rPr>
          <w:rFonts w:ascii="Arial" w:eastAsiaTheme="minorEastAsia" w:hAnsi="Arial" w:cs="Arial"/>
          <w:i/>
        </w:rPr>
        <w:t xml:space="preserve">et al. </w:t>
      </w:r>
      <w:r w:rsidRPr="00677B3C">
        <w:rPr>
          <w:rFonts w:ascii="Arial" w:eastAsiaTheme="minorEastAsia" w:hAnsi="Arial" w:cs="Arial"/>
          <w:iCs/>
        </w:rPr>
        <w:t>(1975) to the residuals</w:t>
      </w:r>
      <w:r w:rsidRPr="00481B82">
        <w:rPr>
          <w:rFonts w:ascii="Arial" w:eastAsiaTheme="minorEastAsia" w:hAnsi="Arial" w:cs="Arial"/>
          <w:iCs/>
        </w:rPr>
        <w:t xml:space="preserve"> of the models. The advantage of this approach is that it selects the break points recursively rather than arbitrarily. According to the CUSUM test</w:t>
      </w:r>
      <w:r w:rsidR="004D1513">
        <w:rPr>
          <w:rFonts w:ascii="Arial" w:eastAsiaTheme="minorEastAsia" w:hAnsi="Arial" w:cs="Arial"/>
          <w:iCs/>
        </w:rPr>
        <w:t>,</w:t>
      </w:r>
      <w:r w:rsidRPr="00481B82">
        <w:rPr>
          <w:rFonts w:ascii="Arial" w:eastAsiaTheme="minorEastAsia" w:hAnsi="Arial" w:cs="Arial"/>
          <w:iCs/>
        </w:rPr>
        <w:t xml:space="preserve"> the recursive residuals are plotted against the break points while the CUSUMSQ plots the squared recursive residuals against the break points. As a graphical illustration, these two statistics are then plotted with two straight lines</w:t>
      </w:r>
      <w:r w:rsidR="005E588C">
        <w:rPr>
          <w:rFonts w:ascii="Arial" w:eastAsiaTheme="minorEastAsia" w:hAnsi="Arial" w:cs="Arial"/>
          <w:iCs/>
        </w:rPr>
        <w:t>,</w:t>
      </w:r>
      <w:r w:rsidRPr="00481B82">
        <w:rPr>
          <w:rFonts w:ascii="Arial" w:eastAsiaTheme="minorEastAsia" w:hAnsi="Arial" w:cs="Arial"/>
          <w:iCs/>
        </w:rPr>
        <w:t xml:space="preserve"> which are bounded by 5% significance level. If any point </w:t>
      </w:r>
      <w:r w:rsidRPr="00481B82">
        <w:rPr>
          <w:rFonts w:ascii="Arial" w:eastAsiaTheme="minorEastAsia" w:hAnsi="Arial" w:cs="Arial"/>
          <w:iCs/>
        </w:rPr>
        <w:lastRenderedPageBreak/>
        <w:t>l</w:t>
      </w:r>
      <w:r w:rsidR="00525C95">
        <w:rPr>
          <w:rFonts w:ascii="Arial" w:eastAsiaTheme="minorEastAsia" w:hAnsi="Arial" w:cs="Arial"/>
          <w:iCs/>
        </w:rPr>
        <w:t>ies</w:t>
      </w:r>
      <w:r w:rsidRPr="00481B82">
        <w:rPr>
          <w:rFonts w:ascii="Arial" w:eastAsiaTheme="minorEastAsia" w:hAnsi="Arial" w:cs="Arial"/>
          <w:iCs/>
        </w:rPr>
        <w:t xml:space="preserve"> beyond the 5% significance level, the null hypothesis of stable parameters is rejected. The</w:t>
      </w:r>
      <w:r>
        <w:rPr>
          <w:rFonts w:ascii="Arial" w:eastAsiaTheme="minorEastAsia" w:hAnsi="Arial" w:cs="Arial"/>
          <w:iCs/>
        </w:rPr>
        <w:t xml:space="preserve"> stability test result</w:t>
      </w:r>
      <w:r w:rsidR="00525C95">
        <w:rPr>
          <w:rFonts w:ascii="Arial" w:eastAsiaTheme="minorEastAsia" w:hAnsi="Arial" w:cs="Arial"/>
          <w:iCs/>
        </w:rPr>
        <w:t>s</w:t>
      </w:r>
      <w:r>
        <w:rPr>
          <w:rFonts w:ascii="Arial" w:eastAsiaTheme="minorEastAsia" w:hAnsi="Arial" w:cs="Arial"/>
          <w:iCs/>
        </w:rPr>
        <w:t xml:space="preserve"> of the </w:t>
      </w:r>
      <w:r w:rsidR="008B0C2A">
        <w:rPr>
          <w:rFonts w:ascii="Arial" w:eastAsiaTheme="minorEastAsia" w:hAnsi="Arial" w:cs="Arial"/>
          <w:iCs/>
        </w:rPr>
        <w:t>three</w:t>
      </w:r>
      <w:r>
        <w:rPr>
          <w:rFonts w:ascii="Arial" w:eastAsiaTheme="minorEastAsia" w:hAnsi="Arial" w:cs="Arial"/>
          <w:iCs/>
        </w:rPr>
        <w:t xml:space="preserve"> CEMAC nations are </w:t>
      </w:r>
      <w:r w:rsidR="008B0C2A">
        <w:rPr>
          <w:rFonts w:ascii="Arial" w:eastAsiaTheme="minorEastAsia" w:hAnsi="Arial" w:cs="Arial"/>
          <w:iCs/>
        </w:rPr>
        <w:t xml:space="preserve">graphically presented in </w:t>
      </w:r>
      <w:r w:rsidR="008B0C2A" w:rsidRPr="006D23DA">
        <w:rPr>
          <w:rFonts w:ascii="Arial" w:eastAsiaTheme="minorEastAsia" w:hAnsi="Arial" w:cs="Arial"/>
          <w:iCs/>
        </w:rPr>
        <w:t>figures 4.7</w:t>
      </w:r>
      <w:r w:rsidR="008B0C2A">
        <w:rPr>
          <w:rFonts w:ascii="Arial" w:eastAsiaTheme="minorEastAsia" w:hAnsi="Arial" w:cs="Arial"/>
          <w:iCs/>
        </w:rPr>
        <w:t xml:space="preserve"> below. </w:t>
      </w:r>
    </w:p>
    <w:p w14:paraId="79B85A71" w14:textId="77777777" w:rsidR="008B0C2A" w:rsidRDefault="008B0C2A" w:rsidP="0066301C">
      <w:pPr>
        <w:spacing w:after="0"/>
      </w:pPr>
      <w:r w:rsidRPr="00D66B5E">
        <w:rPr>
          <w:rFonts w:ascii="Arial" w:hAnsi="Arial" w:cs="Arial"/>
          <w:b/>
          <w:bCs/>
        </w:rPr>
        <w:t>Figure 4.7:</w:t>
      </w:r>
      <w:r w:rsidRPr="0063382D">
        <w:rPr>
          <w:rFonts w:ascii="Arial" w:hAnsi="Arial" w:cs="Arial"/>
          <w:b/>
          <w:bCs/>
        </w:rPr>
        <w:t xml:space="preserve"> CUSUM and CUSUMSQ </w:t>
      </w:r>
      <w:r>
        <w:rPr>
          <w:rFonts w:ascii="Arial" w:hAnsi="Arial" w:cs="Arial"/>
          <w:b/>
          <w:bCs/>
        </w:rPr>
        <w:t>(</w:t>
      </w:r>
      <w:r w:rsidRPr="0063382D">
        <w:rPr>
          <w:rFonts w:ascii="Arial" w:hAnsi="Arial" w:cs="Arial"/>
          <w:b/>
          <w:bCs/>
        </w:rPr>
        <w:t>C</w:t>
      </w:r>
      <w:r>
        <w:rPr>
          <w:rFonts w:ascii="Arial" w:hAnsi="Arial" w:cs="Arial"/>
          <w:b/>
          <w:bCs/>
        </w:rPr>
        <w:t>EMAC Nations)</w:t>
      </w:r>
    </w:p>
    <w:p w14:paraId="36CF6150" w14:textId="55B2C4CB" w:rsidR="008B0C2A" w:rsidRPr="00CE4A98" w:rsidRDefault="008B0C2A" w:rsidP="00CE4A98">
      <w:pPr>
        <w:pBdr>
          <w:top w:val="single" w:sz="4" w:space="1" w:color="auto"/>
          <w:left w:val="single" w:sz="4" w:space="4" w:color="auto"/>
          <w:bottom w:val="single" w:sz="4" w:space="0" w:color="auto"/>
          <w:right w:val="single" w:sz="4" w:space="4" w:color="auto"/>
        </w:pBdr>
        <w:ind w:right="425"/>
        <w:rPr>
          <w:rFonts w:ascii="Arial" w:hAnsi="Arial" w:cs="Arial"/>
          <w:sz w:val="20"/>
          <w:szCs w:val="20"/>
        </w:rPr>
      </w:pPr>
      <w:r>
        <w:object w:dxaOrig="8641" w:dyaOrig="5700" w14:anchorId="2C49E3C7">
          <v:shape id="_x0000_i1031" type="#_x0000_t75" style="width:203.85pt;height:136.5pt" o:ole="">
            <v:imagedata r:id="rId108" o:title=""/>
          </v:shape>
          <o:OLEObject Type="Embed" ProgID="EViews.Workfile.2" ShapeID="_x0000_i1031" DrawAspect="Content" ObjectID="_1789390262" r:id="rId109"/>
        </w:object>
      </w:r>
      <w:r>
        <w:t xml:space="preserve">     </w:t>
      </w:r>
      <w:r>
        <w:object w:dxaOrig="8700" w:dyaOrig="5670" w14:anchorId="29B401DE">
          <v:shape id="_x0000_i1032" type="#_x0000_t75" style="width:210.4pt;height:138.4pt" o:ole="">
            <v:imagedata r:id="rId110" o:title=""/>
          </v:shape>
          <o:OLEObject Type="Embed" ProgID="EViews.Workfile.2" ShapeID="_x0000_i1032" DrawAspect="Content" ObjectID="_1789390263" r:id="rId111"/>
        </w:object>
      </w:r>
      <w:r>
        <w:t xml:space="preserve"> </w:t>
      </w:r>
    </w:p>
    <w:p w14:paraId="4CD5037E" w14:textId="77777777" w:rsidR="008B0C2A" w:rsidRPr="0063382D" w:rsidRDefault="008B0C2A" w:rsidP="00CE4A98">
      <w:pPr>
        <w:pBdr>
          <w:top w:val="single" w:sz="4" w:space="1" w:color="auto"/>
          <w:left w:val="single" w:sz="4" w:space="4" w:color="auto"/>
          <w:bottom w:val="single" w:sz="4" w:space="1" w:color="auto"/>
          <w:right w:val="single" w:sz="4" w:space="4" w:color="auto"/>
        </w:pBdr>
        <w:spacing w:after="0"/>
        <w:ind w:right="95"/>
      </w:pPr>
      <w:r>
        <w:rPr>
          <w:noProof/>
        </w:rPr>
        <w:drawing>
          <wp:inline distT="0" distB="0" distL="0" distR="0" wp14:anchorId="0213418F" wp14:editId="1EBD76E9">
            <wp:extent cx="2667000" cy="1809750"/>
            <wp:effectExtent l="0" t="0" r="0" b="0"/>
            <wp:docPr id="1314733659" name="Picture 131473365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0"/>
                    <pic:cNvPicPr>
                      <a:picLocks noChangeAspect="1" noChangeArrowheads="1"/>
                    </pic:cNvPicPr>
                  </pic:nvPicPr>
                  <pic:blipFill>
                    <a:blip r:embed="rId112" cstate="print">
                      <a:extLst>
                        <a:ext uri="{28A0092B-C50C-407E-A947-70E740481C1C}">
                          <a14:useLocalDpi xmlns:a14="http://schemas.microsoft.com/office/drawing/2010/main" val="0"/>
                        </a:ext>
                      </a:extLst>
                    </a:blip>
                    <a:srcRect/>
                    <a:stretch>
                      <a:fillRect/>
                    </a:stretch>
                  </pic:blipFill>
                  <pic:spPr bwMode="auto">
                    <a:xfrm>
                      <a:off x="0" y="0"/>
                      <a:ext cx="2667000" cy="1809750"/>
                    </a:xfrm>
                    <a:prstGeom prst="rect">
                      <a:avLst/>
                    </a:prstGeom>
                    <a:noFill/>
                    <a:ln>
                      <a:noFill/>
                    </a:ln>
                  </pic:spPr>
                </pic:pic>
              </a:graphicData>
            </a:graphic>
          </wp:inline>
        </w:drawing>
      </w:r>
      <w:r>
        <w:t xml:space="preserve">   </w:t>
      </w:r>
      <w:r>
        <w:rPr>
          <w:noProof/>
        </w:rPr>
        <w:drawing>
          <wp:inline distT="0" distB="0" distL="0" distR="0" wp14:anchorId="5B56B1DF" wp14:editId="774569BF">
            <wp:extent cx="2880360" cy="1647825"/>
            <wp:effectExtent l="0" t="0" r="0" b="0"/>
            <wp:docPr id="1314733660" name="Picture 131473366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1"/>
                    <pic:cNvPicPr>
                      <a:picLocks noChangeAspect="1" noChangeArrowheads="1"/>
                    </pic:cNvPicPr>
                  </pic:nvPicPr>
                  <pic:blipFill>
                    <a:blip r:embed="rId113" cstate="print">
                      <a:extLst>
                        <a:ext uri="{28A0092B-C50C-407E-A947-70E740481C1C}">
                          <a14:useLocalDpi xmlns:a14="http://schemas.microsoft.com/office/drawing/2010/main" val="0"/>
                        </a:ext>
                      </a:extLst>
                    </a:blip>
                    <a:srcRect/>
                    <a:stretch>
                      <a:fillRect/>
                    </a:stretch>
                  </pic:blipFill>
                  <pic:spPr bwMode="auto">
                    <a:xfrm>
                      <a:off x="0" y="0"/>
                      <a:ext cx="2880360" cy="1647825"/>
                    </a:xfrm>
                    <a:prstGeom prst="rect">
                      <a:avLst/>
                    </a:prstGeom>
                    <a:noFill/>
                    <a:ln>
                      <a:noFill/>
                    </a:ln>
                  </pic:spPr>
                </pic:pic>
              </a:graphicData>
            </a:graphic>
          </wp:inline>
        </w:drawing>
      </w:r>
    </w:p>
    <w:p w14:paraId="329091D2" w14:textId="77777777" w:rsidR="00CE4A98" w:rsidRPr="005D14CA" w:rsidRDefault="00CE4A98" w:rsidP="00CE4A98">
      <w:pPr>
        <w:pStyle w:val="ListParagraph"/>
        <w:autoSpaceDE w:val="0"/>
        <w:autoSpaceDN w:val="0"/>
        <w:adjustRightInd w:val="0"/>
        <w:spacing w:after="0" w:line="240" w:lineRule="auto"/>
        <w:ind w:left="0"/>
        <w:rPr>
          <w:rFonts w:ascii="Arial" w:hAnsi="Arial" w:cs="Arial"/>
          <w:b/>
          <w:sz w:val="20"/>
          <w:szCs w:val="20"/>
        </w:rPr>
      </w:pPr>
      <w:r w:rsidRPr="005D14CA">
        <w:rPr>
          <w:rFonts w:ascii="Arial" w:hAnsi="Arial" w:cs="Arial"/>
          <w:i/>
          <w:sz w:val="20"/>
          <w:szCs w:val="20"/>
        </w:rPr>
        <w:t>Source</w:t>
      </w:r>
      <w:r w:rsidRPr="005D14CA">
        <w:rPr>
          <w:rFonts w:ascii="Arial" w:hAnsi="Arial" w:cs="Arial"/>
          <w:sz w:val="20"/>
          <w:szCs w:val="20"/>
        </w:rPr>
        <w:t>: Computation from time-series data using EViews 12</w:t>
      </w:r>
    </w:p>
    <w:p w14:paraId="22F3D2EA" w14:textId="77777777" w:rsidR="008B0C2A" w:rsidRDefault="008B0C2A" w:rsidP="0066301C"/>
    <w:p w14:paraId="7EEF2230" w14:textId="77777777" w:rsidR="008B0C2A" w:rsidRDefault="008B0C2A" w:rsidP="00CE4A98">
      <w:pPr>
        <w:pBdr>
          <w:top w:val="single" w:sz="4" w:space="1" w:color="auto"/>
          <w:left w:val="single" w:sz="4" w:space="4" w:color="auto"/>
          <w:bottom w:val="single" w:sz="4" w:space="1" w:color="auto"/>
          <w:right w:val="single" w:sz="4" w:space="4" w:color="auto"/>
        </w:pBdr>
        <w:spacing w:after="0"/>
      </w:pPr>
      <w:r>
        <w:rPr>
          <w:noProof/>
        </w:rPr>
        <w:drawing>
          <wp:inline distT="0" distB="0" distL="0" distR="0" wp14:anchorId="1FC0EAA5" wp14:editId="0B3AA3A5">
            <wp:extent cx="2766060" cy="1809750"/>
            <wp:effectExtent l="0" t="0" r="0" b="0"/>
            <wp:docPr id="1314733657" name="Picture 131473365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2"/>
                    <pic:cNvPicPr>
                      <a:picLocks noChangeAspect="1" noChangeArrowheads="1"/>
                    </pic:cNvPicPr>
                  </pic:nvPicPr>
                  <pic:blipFill>
                    <a:blip r:embed="rId114" cstate="print">
                      <a:extLst>
                        <a:ext uri="{28A0092B-C50C-407E-A947-70E740481C1C}">
                          <a14:useLocalDpi xmlns:a14="http://schemas.microsoft.com/office/drawing/2010/main" val="0"/>
                        </a:ext>
                      </a:extLst>
                    </a:blip>
                    <a:srcRect/>
                    <a:stretch>
                      <a:fillRect/>
                    </a:stretch>
                  </pic:blipFill>
                  <pic:spPr bwMode="auto">
                    <a:xfrm>
                      <a:off x="0" y="0"/>
                      <a:ext cx="2766060" cy="1809750"/>
                    </a:xfrm>
                    <a:prstGeom prst="rect">
                      <a:avLst/>
                    </a:prstGeom>
                    <a:noFill/>
                    <a:ln>
                      <a:noFill/>
                    </a:ln>
                  </pic:spPr>
                </pic:pic>
              </a:graphicData>
            </a:graphic>
          </wp:inline>
        </w:drawing>
      </w:r>
      <w:r>
        <w:t xml:space="preserve">  </w:t>
      </w:r>
      <w:r>
        <w:rPr>
          <w:noProof/>
        </w:rPr>
        <w:drawing>
          <wp:inline distT="0" distB="0" distL="0" distR="0" wp14:anchorId="7AC083A3" wp14:editId="68E0024F">
            <wp:extent cx="2872740" cy="1847850"/>
            <wp:effectExtent l="0" t="0" r="0" b="0"/>
            <wp:docPr id="1314733658" name="Picture 131473365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3"/>
                    <pic:cNvPicPr>
                      <a:picLocks noChangeAspect="1" noChangeArrowheads="1"/>
                    </pic:cNvPicPr>
                  </pic:nvPicPr>
                  <pic:blipFill>
                    <a:blip r:embed="rId115" cstate="print">
                      <a:extLst>
                        <a:ext uri="{28A0092B-C50C-407E-A947-70E740481C1C}">
                          <a14:useLocalDpi xmlns:a14="http://schemas.microsoft.com/office/drawing/2010/main" val="0"/>
                        </a:ext>
                      </a:extLst>
                    </a:blip>
                    <a:srcRect/>
                    <a:stretch>
                      <a:fillRect/>
                    </a:stretch>
                  </pic:blipFill>
                  <pic:spPr bwMode="auto">
                    <a:xfrm>
                      <a:off x="0" y="0"/>
                      <a:ext cx="2872740" cy="1847850"/>
                    </a:xfrm>
                    <a:prstGeom prst="rect">
                      <a:avLst/>
                    </a:prstGeom>
                    <a:noFill/>
                    <a:ln>
                      <a:noFill/>
                    </a:ln>
                  </pic:spPr>
                </pic:pic>
              </a:graphicData>
            </a:graphic>
          </wp:inline>
        </w:drawing>
      </w:r>
    </w:p>
    <w:p w14:paraId="6674BD8F" w14:textId="77777777" w:rsidR="00CE4A98" w:rsidRPr="005D14CA" w:rsidRDefault="00CE4A98" w:rsidP="00CE4A98">
      <w:pPr>
        <w:pStyle w:val="ListParagraph"/>
        <w:autoSpaceDE w:val="0"/>
        <w:autoSpaceDN w:val="0"/>
        <w:adjustRightInd w:val="0"/>
        <w:spacing w:after="0" w:line="240" w:lineRule="auto"/>
        <w:ind w:left="0"/>
        <w:rPr>
          <w:rFonts w:ascii="Arial" w:hAnsi="Arial" w:cs="Arial"/>
          <w:b/>
          <w:sz w:val="20"/>
          <w:szCs w:val="20"/>
        </w:rPr>
      </w:pPr>
      <w:r w:rsidRPr="005D14CA">
        <w:rPr>
          <w:rFonts w:ascii="Arial" w:hAnsi="Arial" w:cs="Arial"/>
          <w:i/>
          <w:sz w:val="20"/>
          <w:szCs w:val="20"/>
        </w:rPr>
        <w:t>Source</w:t>
      </w:r>
      <w:r w:rsidRPr="005D14CA">
        <w:rPr>
          <w:rFonts w:ascii="Arial" w:hAnsi="Arial" w:cs="Arial"/>
          <w:sz w:val="20"/>
          <w:szCs w:val="20"/>
        </w:rPr>
        <w:t>: Computation from time-series data using EViews 12</w:t>
      </w:r>
    </w:p>
    <w:p w14:paraId="36FF7AB5" w14:textId="77777777" w:rsidR="008B0C2A" w:rsidRDefault="008B0C2A" w:rsidP="0066301C">
      <w:pPr>
        <w:ind w:right="-283"/>
        <w:rPr>
          <w:rFonts w:ascii="Arial" w:hAnsi="Arial" w:cs="Arial"/>
          <w:sz w:val="20"/>
          <w:szCs w:val="20"/>
        </w:rPr>
      </w:pPr>
    </w:p>
    <w:p w14:paraId="77B0D36D" w14:textId="6897A97F" w:rsidR="008B0C2A" w:rsidRDefault="008B0C2A" w:rsidP="0066301C">
      <w:pPr>
        <w:spacing w:line="360" w:lineRule="auto"/>
        <w:jc w:val="both"/>
        <w:rPr>
          <w:rFonts w:ascii="Arial" w:eastAsiaTheme="minorEastAsia" w:hAnsi="Arial" w:cs="Arial"/>
          <w:iCs/>
        </w:rPr>
      </w:pPr>
      <w:r>
        <w:rPr>
          <w:rFonts w:ascii="Arial" w:hAnsi="Arial" w:cs="Arial"/>
          <w:lang w:eastAsia="en-GB"/>
        </w:rPr>
        <w:t>The stability test results of the three CEMAC nations and their trade partners are good, as the plots of both CUSUM and CUSUMSQ statistics fall within the 5% critical values. The stability test result is summarised below.</w:t>
      </w:r>
    </w:p>
    <w:p w14:paraId="3B9F3209" w14:textId="2AB95174" w:rsidR="0098504A" w:rsidRPr="00300869" w:rsidRDefault="0098504A" w:rsidP="0066301C">
      <w:pPr>
        <w:spacing w:after="0" w:line="360" w:lineRule="auto"/>
        <w:jc w:val="both"/>
        <w:rPr>
          <w:rFonts w:ascii="Arial" w:eastAsiaTheme="minorEastAsia" w:hAnsi="Arial" w:cs="Arial"/>
          <w:b/>
          <w:bCs/>
          <w:iCs/>
        </w:rPr>
      </w:pPr>
      <w:r w:rsidRPr="00300869">
        <w:rPr>
          <w:rFonts w:ascii="Arial" w:eastAsiaTheme="minorEastAsia" w:hAnsi="Arial" w:cs="Arial"/>
          <w:b/>
          <w:bCs/>
          <w:iCs/>
        </w:rPr>
        <w:t xml:space="preserve">Table </w:t>
      </w:r>
      <w:r w:rsidR="00300869" w:rsidRPr="00300869">
        <w:rPr>
          <w:rFonts w:ascii="Arial" w:eastAsiaTheme="minorEastAsia" w:hAnsi="Arial" w:cs="Arial"/>
          <w:b/>
          <w:bCs/>
          <w:iCs/>
        </w:rPr>
        <w:t>4</w:t>
      </w:r>
      <w:r w:rsidRPr="00300869">
        <w:rPr>
          <w:rFonts w:ascii="Arial" w:eastAsiaTheme="minorEastAsia" w:hAnsi="Arial" w:cs="Arial"/>
          <w:b/>
          <w:bCs/>
          <w:iCs/>
        </w:rPr>
        <w:t>.</w:t>
      </w:r>
      <w:r w:rsidR="00E1600E" w:rsidRPr="00300869">
        <w:rPr>
          <w:rFonts w:ascii="Arial" w:eastAsiaTheme="minorEastAsia" w:hAnsi="Arial" w:cs="Arial"/>
          <w:b/>
          <w:bCs/>
          <w:iCs/>
        </w:rPr>
        <w:t>1</w:t>
      </w:r>
      <w:r w:rsidR="004D261A" w:rsidRPr="00300869">
        <w:rPr>
          <w:rFonts w:ascii="Arial" w:eastAsiaTheme="minorEastAsia" w:hAnsi="Arial" w:cs="Arial"/>
          <w:b/>
          <w:bCs/>
          <w:iCs/>
        </w:rPr>
        <w:t>1</w:t>
      </w:r>
      <w:r w:rsidRPr="00300869">
        <w:rPr>
          <w:rFonts w:ascii="Arial" w:eastAsiaTheme="minorEastAsia" w:hAnsi="Arial" w:cs="Arial"/>
          <w:b/>
          <w:bCs/>
          <w:iCs/>
        </w:rPr>
        <w:t>: Stability Test Results Based on CUSUM and CUSUMSQ Test</w:t>
      </w:r>
    </w:p>
    <w:tbl>
      <w:tblPr>
        <w:tblStyle w:val="TableGrid"/>
        <w:tblW w:w="0" w:type="auto"/>
        <w:tblLook w:val="04A0" w:firstRow="1" w:lastRow="0" w:firstColumn="1" w:lastColumn="0" w:noHBand="0" w:noVBand="1"/>
      </w:tblPr>
      <w:tblGrid>
        <w:gridCol w:w="2972"/>
        <w:gridCol w:w="1985"/>
        <w:gridCol w:w="1842"/>
      </w:tblGrid>
      <w:tr w:rsidR="0098504A" w14:paraId="1C8071F1" w14:textId="77777777" w:rsidTr="005A27DF">
        <w:trPr>
          <w:trHeight w:val="255"/>
        </w:trPr>
        <w:tc>
          <w:tcPr>
            <w:tcW w:w="2972" w:type="dxa"/>
          </w:tcPr>
          <w:p w14:paraId="654F473A" w14:textId="77777777" w:rsidR="0098504A" w:rsidRPr="00FB00A2" w:rsidRDefault="0098504A" w:rsidP="0066301C">
            <w:pPr>
              <w:rPr>
                <w:rFonts w:ascii="Arial" w:hAnsi="Arial" w:cs="Arial"/>
                <w:b/>
                <w:bCs/>
              </w:rPr>
            </w:pPr>
            <w:r w:rsidRPr="00FB00A2">
              <w:rPr>
                <w:rFonts w:ascii="Arial" w:hAnsi="Arial" w:cs="Arial"/>
                <w:b/>
                <w:bCs/>
              </w:rPr>
              <w:t>Country</w:t>
            </w:r>
          </w:p>
        </w:tc>
        <w:tc>
          <w:tcPr>
            <w:tcW w:w="1985" w:type="dxa"/>
          </w:tcPr>
          <w:p w14:paraId="2D6C729C" w14:textId="77777777" w:rsidR="0098504A" w:rsidRPr="00FB00A2" w:rsidRDefault="0098504A" w:rsidP="0066301C">
            <w:pPr>
              <w:rPr>
                <w:rFonts w:ascii="Arial" w:hAnsi="Arial" w:cs="Arial"/>
                <w:b/>
                <w:bCs/>
              </w:rPr>
            </w:pPr>
            <w:r w:rsidRPr="00FB00A2">
              <w:rPr>
                <w:rFonts w:ascii="Arial" w:hAnsi="Arial" w:cs="Arial"/>
                <w:b/>
                <w:bCs/>
              </w:rPr>
              <w:t>CUSUM</w:t>
            </w:r>
          </w:p>
        </w:tc>
        <w:tc>
          <w:tcPr>
            <w:tcW w:w="1842" w:type="dxa"/>
          </w:tcPr>
          <w:p w14:paraId="34758BC9" w14:textId="77777777" w:rsidR="0098504A" w:rsidRPr="00FB00A2" w:rsidRDefault="0098504A" w:rsidP="0066301C">
            <w:pPr>
              <w:rPr>
                <w:rFonts w:ascii="Arial" w:hAnsi="Arial" w:cs="Arial"/>
                <w:b/>
                <w:bCs/>
              </w:rPr>
            </w:pPr>
            <w:r w:rsidRPr="00FB00A2">
              <w:rPr>
                <w:rFonts w:ascii="Arial" w:hAnsi="Arial" w:cs="Arial"/>
                <w:b/>
                <w:bCs/>
              </w:rPr>
              <w:t>CUSUMSQ</w:t>
            </w:r>
          </w:p>
        </w:tc>
      </w:tr>
      <w:tr w:rsidR="0098504A" w14:paraId="134D3729" w14:textId="77777777" w:rsidTr="005A27DF">
        <w:trPr>
          <w:trHeight w:val="271"/>
        </w:trPr>
        <w:tc>
          <w:tcPr>
            <w:tcW w:w="2972" w:type="dxa"/>
          </w:tcPr>
          <w:p w14:paraId="069FEED0" w14:textId="77777777" w:rsidR="0098504A" w:rsidRDefault="0098504A" w:rsidP="0066301C">
            <w:pPr>
              <w:rPr>
                <w:rFonts w:ascii="Arial" w:hAnsi="Arial" w:cs="Arial"/>
              </w:rPr>
            </w:pPr>
            <w:r>
              <w:rPr>
                <w:rFonts w:ascii="Arial" w:hAnsi="Arial" w:cs="Arial"/>
              </w:rPr>
              <w:t>Cameroon</w:t>
            </w:r>
          </w:p>
        </w:tc>
        <w:tc>
          <w:tcPr>
            <w:tcW w:w="1985" w:type="dxa"/>
          </w:tcPr>
          <w:p w14:paraId="4099673F" w14:textId="77777777" w:rsidR="0098504A" w:rsidRDefault="0098504A" w:rsidP="0066301C">
            <w:pPr>
              <w:rPr>
                <w:rFonts w:ascii="Arial" w:hAnsi="Arial" w:cs="Arial"/>
              </w:rPr>
            </w:pPr>
            <w:r>
              <w:rPr>
                <w:rFonts w:ascii="Arial" w:hAnsi="Arial" w:cs="Arial"/>
              </w:rPr>
              <w:t>Stable</w:t>
            </w:r>
          </w:p>
        </w:tc>
        <w:tc>
          <w:tcPr>
            <w:tcW w:w="1842" w:type="dxa"/>
          </w:tcPr>
          <w:p w14:paraId="581AB2E1" w14:textId="77777777" w:rsidR="0098504A" w:rsidRDefault="0098504A" w:rsidP="0066301C">
            <w:pPr>
              <w:rPr>
                <w:rFonts w:ascii="Arial" w:hAnsi="Arial" w:cs="Arial"/>
              </w:rPr>
            </w:pPr>
            <w:r>
              <w:rPr>
                <w:rFonts w:ascii="Arial" w:hAnsi="Arial" w:cs="Arial"/>
              </w:rPr>
              <w:t>Unstable</w:t>
            </w:r>
          </w:p>
        </w:tc>
      </w:tr>
      <w:tr w:rsidR="0098504A" w14:paraId="0AC8DBD5" w14:textId="77777777" w:rsidTr="005A27DF">
        <w:trPr>
          <w:trHeight w:val="255"/>
        </w:trPr>
        <w:tc>
          <w:tcPr>
            <w:tcW w:w="2972" w:type="dxa"/>
          </w:tcPr>
          <w:p w14:paraId="1449D612" w14:textId="77777777" w:rsidR="0098504A" w:rsidRDefault="0098504A" w:rsidP="0066301C">
            <w:pPr>
              <w:rPr>
                <w:rFonts w:ascii="Arial" w:hAnsi="Arial" w:cs="Arial"/>
              </w:rPr>
            </w:pPr>
            <w:r>
              <w:rPr>
                <w:rFonts w:ascii="Arial" w:hAnsi="Arial" w:cs="Arial"/>
              </w:rPr>
              <w:t>CAR</w:t>
            </w:r>
          </w:p>
        </w:tc>
        <w:tc>
          <w:tcPr>
            <w:tcW w:w="1985" w:type="dxa"/>
          </w:tcPr>
          <w:p w14:paraId="6FA63086" w14:textId="77777777" w:rsidR="0098504A" w:rsidRDefault="0098504A" w:rsidP="0066301C">
            <w:pPr>
              <w:rPr>
                <w:rFonts w:ascii="Arial" w:hAnsi="Arial" w:cs="Arial"/>
              </w:rPr>
            </w:pPr>
            <w:r>
              <w:rPr>
                <w:rFonts w:ascii="Arial" w:hAnsi="Arial" w:cs="Arial"/>
              </w:rPr>
              <w:t>Stable</w:t>
            </w:r>
          </w:p>
        </w:tc>
        <w:tc>
          <w:tcPr>
            <w:tcW w:w="1842" w:type="dxa"/>
          </w:tcPr>
          <w:p w14:paraId="55A08987" w14:textId="77777777" w:rsidR="0098504A" w:rsidRDefault="0098504A" w:rsidP="0066301C">
            <w:pPr>
              <w:rPr>
                <w:rFonts w:ascii="Arial" w:hAnsi="Arial" w:cs="Arial"/>
              </w:rPr>
            </w:pPr>
            <w:r>
              <w:rPr>
                <w:rFonts w:ascii="Arial" w:hAnsi="Arial" w:cs="Arial"/>
              </w:rPr>
              <w:t>Stable</w:t>
            </w:r>
          </w:p>
        </w:tc>
      </w:tr>
      <w:tr w:rsidR="0098504A" w14:paraId="478DFDCD" w14:textId="77777777" w:rsidTr="005A27DF">
        <w:trPr>
          <w:trHeight w:val="271"/>
        </w:trPr>
        <w:tc>
          <w:tcPr>
            <w:tcW w:w="2972" w:type="dxa"/>
          </w:tcPr>
          <w:p w14:paraId="56A64169" w14:textId="77777777" w:rsidR="0098504A" w:rsidRDefault="0098504A" w:rsidP="0066301C">
            <w:pPr>
              <w:rPr>
                <w:rFonts w:ascii="Arial" w:hAnsi="Arial" w:cs="Arial"/>
              </w:rPr>
            </w:pPr>
            <w:r>
              <w:rPr>
                <w:rFonts w:ascii="Arial" w:hAnsi="Arial" w:cs="Arial"/>
              </w:rPr>
              <w:lastRenderedPageBreak/>
              <w:t>Gabon</w:t>
            </w:r>
          </w:p>
        </w:tc>
        <w:tc>
          <w:tcPr>
            <w:tcW w:w="1985" w:type="dxa"/>
          </w:tcPr>
          <w:p w14:paraId="43283A7A" w14:textId="77777777" w:rsidR="0098504A" w:rsidRDefault="0098504A" w:rsidP="0066301C">
            <w:pPr>
              <w:rPr>
                <w:rFonts w:ascii="Arial" w:hAnsi="Arial" w:cs="Arial"/>
              </w:rPr>
            </w:pPr>
            <w:r>
              <w:rPr>
                <w:rFonts w:ascii="Arial" w:hAnsi="Arial" w:cs="Arial"/>
              </w:rPr>
              <w:t>Stable</w:t>
            </w:r>
          </w:p>
        </w:tc>
        <w:tc>
          <w:tcPr>
            <w:tcW w:w="1842" w:type="dxa"/>
          </w:tcPr>
          <w:p w14:paraId="79583248" w14:textId="77777777" w:rsidR="0098504A" w:rsidRDefault="0098504A" w:rsidP="0066301C">
            <w:pPr>
              <w:rPr>
                <w:rFonts w:ascii="Arial" w:hAnsi="Arial" w:cs="Arial"/>
              </w:rPr>
            </w:pPr>
            <w:r>
              <w:rPr>
                <w:rFonts w:ascii="Arial" w:hAnsi="Arial" w:cs="Arial"/>
              </w:rPr>
              <w:t>Stable</w:t>
            </w:r>
          </w:p>
        </w:tc>
      </w:tr>
    </w:tbl>
    <w:p w14:paraId="1598EA2B" w14:textId="1FC5098C" w:rsidR="0098504A" w:rsidRPr="003D1715" w:rsidRDefault="0098504A" w:rsidP="0066301C">
      <w:pPr>
        <w:spacing w:line="360" w:lineRule="auto"/>
        <w:jc w:val="both"/>
        <w:rPr>
          <w:rFonts w:ascii="Arial" w:hAnsi="Arial" w:cs="Arial"/>
          <w:sz w:val="20"/>
          <w:szCs w:val="20"/>
          <w:lang w:eastAsia="en-GB"/>
        </w:rPr>
      </w:pPr>
      <w:r w:rsidRPr="003D1715">
        <w:rPr>
          <w:rFonts w:ascii="Arial" w:hAnsi="Arial" w:cs="Arial"/>
          <w:i/>
          <w:iCs/>
          <w:sz w:val="20"/>
          <w:szCs w:val="20"/>
          <w:lang w:eastAsia="en-GB"/>
        </w:rPr>
        <w:t>Source</w:t>
      </w:r>
      <w:r w:rsidRPr="003D1715">
        <w:rPr>
          <w:rFonts w:ascii="Arial" w:hAnsi="Arial" w:cs="Arial"/>
          <w:sz w:val="20"/>
          <w:szCs w:val="20"/>
          <w:lang w:eastAsia="en-GB"/>
        </w:rPr>
        <w:t>: Extracted from EViews 12</w:t>
      </w:r>
    </w:p>
    <w:p w14:paraId="601F2146" w14:textId="6212CA3E" w:rsidR="00B27D6D" w:rsidRPr="001A298A" w:rsidRDefault="0098504A" w:rsidP="0066301C">
      <w:pPr>
        <w:spacing w:line="360" w:lineRule="auto"/>
        <w:jc w:val="both"/>
        <w:rPr>
          <w:rFonts w:ascii="Arial" w:hAnsi="Arial" w:cs="Arial"/>
          <w:b/>
          <w:bCs/>
          <w:highlight w:val="yellow"/>
        </w:rPr>
      </w:pPr>
      <w:r w:rsidRPr="3823ABBA">
        <w:rPr>
          <w:rFonts w:ascii="Arial" w:hAnsi="Arial" w:cs="Arial"/>
          <w:lang w:eastAsia="en-GB"/>
        </w:rPr>
        <w:t xml:space="preserve">The stability test results of the </w:t>
      </w:r>
      <w:r w:rsidR="008B0C2A">
        <w:rPr>
          <w:rFonts w:ascii="Arial" w:hAnsi="Arial" w:cs="Arial"/>
          <w:lang w:eastAsia="en-GB"/>
        </w:rPr>
        <w:t xml:space="preserve">three </w:t>
      </w:r>
      <w:r w:rsidRPr="3823ABBA">
        <w:rPr>
          <w:rFonts w:ascii="Arial" w:hAnsi="Arial" w:cs="Arial"/>
          <w:lang w:eastAsia="en-GB"/>
        </w:rPr>
        <w:t>CEMAC nations are good</w:t>
      </w:r>
      <w:r w:rsidR="006A350A">
        <w:rPr>
          <w:rFonts w:ascii="Arial" w:hAnsi="Arial" w:cs="Arial"/>
          <w:lang w:eastAsia="en-GB"/>
        </w:rPr>
        <w:t>,</w:t>
      </w:r>
      <w:r w:rsidRPr="3823ABBA">
        <w:rPr>
          <w:rFonts w:ascii="Arial" w:hAnsi="Arial" w:cs="Arial"/>
          <w:lang w:eastAsia="en-GB"/>
        </w:rPr>
        <w:t xml:space="preserve"> as the plots of both CUSUM and CUSUMSQ statistics fall within the 5% critical values. The stability test result is summarised in the appendix. The result above reveals that the CUSUM statistic provides stable results for all four nations. While the CUSUMSQ statistics provides stable result for all the nations but for Cameroon. Thus, the models for the four CEMAC nations are </w:t>
      </w:r>
      <w:r w:rsidR="27EA4D7B" w:rsidRPr="3823ABBA">
        <w:rPr>
          <w:rFonts w:ascii="Arial" w:hAnsi="Arial" w:cs="Arial"/>
          <w:lang w:eastAsia="en-GB"/>
        </w:rPr>
        <w:t>good.</w:t>
      </w:r>
    </w:p>
    <w:p w14:paraId="6FE665B2" w14:textId="77777777" w:rsidR="71E96B3D" w:rsidRPr="00854173" w:rsidRDefault="71E96B3D" w:rsidP="0066301C">
      <w:pPr>
        <w:pStyle w:val="Heading2"/>
        <w:spacing w:before="0" w:beforeAutospacing="0"/>
      </w:pPr>
      <w:bookmarkStart w:id="484" w:name="_Toc171075426"/>
      <w:bookmarkStart w:id="485" w:name="_Hlk170840523"/>
      <w:r w:rsidRPr="00854173">
        <w:t>4.8</w:t>
      </w:r>
      <w:r w:rsidRPr="00854173">
        <w:tab/>
        <w:t>POLICY RECOMMENDATION</w:t>
      </w:r>
      <w:bookmarkEnd w:id="484"/>
    </w:p>
    <w:p w14:paraId="5E6CD260" w14:textId="11C837C8" w:rsidR="71E96B3D" w:rsidRPr="00854173" w:rsidRDefault="71E96B3D" w:rsidP="0066301C">
      <w:pPr>
        <w:spacing w:line="360" w:lineRule="auto"/>
        <w:jc w:val="both"/>
        <w:rPr>
          <w:rFonts w:ascii="Arial" w:hAnsi="Arial" w:cs="Arial"/>
          <w:lang w:val="en-US"/>
        </w:rPr>
      </w:pPr>
      <w:r w:rsidRPr="00854173">
        <w:rPr>
          <w:rFonts w:ascii="Arial" w:hAnsi="Arial" w:cs="Arial"/>
          <w:lang w:val="en-US"/>
        </w:rPr>
        <w:t>The result of this chapter shows that using CFA franc devaluation as a tool to improve the economic growth of the region via the trade balance channel gives different results for the different member nations. This justifies the fact that every nation has its unique characteristics</w:t>
      </w:r>
      <w:r w:rsidR="00814C74" w:rsidRPr="00854173">
        <w:rPr>
          <w:rFonts w:ascii="Arial" w:hAnsi="Arial" w:cs="Arial"/>
          <w:lang w:val="en-US"/>
        </w:rPr>
        <w:t>,</w:t>
      </w:r>
      <w:r w:rsidRPr="00854173">
        <w:rPr>
          <w:rFonts w:ascii="Arial" w:hAnsi="Arial" w:cs="Arial"/>
          <w:lang w:val="en-US"/>
        </w:rPr>
        <w:t xml:space="preserve"> which should be understood and respected. Using CFA franc devaluation as a “</w:t>
      </w:r>
      <w:r w:rsidRPr="00854173">
        <w:rPr>
          <w:rFonts w:ascii="Arial" w:eastAsia="Arial" w:hAnsi="Arial" w:cs="Arial"/>
          <w:lang w:val="en-US"/>
        </w:rPr>
        <w:t>one-size-fits-all approach</w:t>
      </w:r>
      <w:r w:rsidRPr="00854173">
        <w:rPr>
          <w:rFonts w:ascii="Arial" w:hAnsi="Arial" w:cs="Arial"/>
          <w:lang w:val="en-US"/>
        </w:rPr>
        <w:t xml:space="preserve">” is not ideal for the region. Policymakers require a comprehensive approach that will address the various underlying factors relating to individual nations and the entire region. </w:t>
      </w:r>
    </w:p>
    <w:p w14:paraId="0D6C3C09" w14:textId="05C66EC1" w:rsidR="71E96B3D" w:rsidRPr="00854173" w:rsidRDefault="71E96B3D" w:rsidP="0066301C">
      <w:pPr>
        <w:spacing w:line="360" w:lineRule="auto"/>
        <w:jc w:val="both"/>
        <w:rPr>
          <w:rFonts w:ascii="Arial" w:hAnsi="Arial" w:cs="Arial"/>
        </w:rPr>
      </w:pPr>
      <w:bookmarkStart w:id="486" w:name="_Hlk163650660"/>
      <w:bookmarkEnd w:id="485"/>
      <w:r w:rsidRPr="00854173">
        <w:rPr>
          <w:rFonts w:ascii="Arial" w:hAnsi="Arial" w:cs="Arial"/>
        </w:rPr>
        <w:t xml:space="preserve">The objectives of </w:t>
      </w:r>
      <w:r w:rsidR="00814C74" w:rsidRPr="00854173">
        <w:rPr>
          <w:rFonts w:ascii="Arial" w:hAnsi="Arial" w:cs="Arial"/>
        </w:rPr>
        <w:t xml:space="preserve">the </w:t>
      </w:r>
      <w:r w:rsidRPr="00854173">
        <w:rPr>
          <w:rFonts w:ascii="Arial" w:hAnsi="Arial" w:cs="Arial"/>
        </w:rPr>
        <w:t xml:space="preserve">CEMAC region are primarily </w:t>
      </w:r>
      <w:r w:rsidR="00372E0A" w:rsidRPr="00854173">
        <w:rPr>
          <w:rFonts w:ascii="Arial" w:hAnsi="Arial" w:cs="Arial"/>
        </w:rPr>
        <w:t>to</w:t>
      </w:r>
      <w:r w:rsidRPr="00854173">
        <w:rPr>
          <w:rFonts w:ascii="Arial" w:hAnsi="Arial" w:cs="Arial"/>
        </w:rPr>
        <w:t xml:space="preserve"> promot</w:t>
      </w:r>
      <w:r w:rsidR="00372E0A" w:rsidRPr="00854173">
        <w:rPr>
          <w:rFonts w:ascii="Arial" w:hAnsi="Arial" w:cs="Arial"/>
        </w:rPr>
        <w:t>e</w:t>
      </w:r>
      <w:r w:rsidRPr="00854173">
        <w:rPr>
          <w:rFonts w:ascii="Arial" w:hAnsi="Arial" w:cs="Arial"/>
        </w:rPr>
        <w:t xml:space="preserve"> economic integration, stability, and development among its member nations. Among others, some of CEMAC</w:t>
      </w:r>
      <w:r w:rsidR="00372E0A" w:rsidRPr="00854173">
        <w:rPr>
          <w:rFonts w:ascii="Arial" w:hAnsi="Arial" w:cs="Arial"/>
        </w:rPr>
        <w:t>’s</w:t>
      </w:r>
      <w:r w:rsidRPr="00854173">
        <w:rPr>
          <w:rFonts w:ascii="Arial" w:hAnsi="Arial" w:cs="Arial"/>
        </w:rPr>
        <w:t xml:space="preserve"> main objectives </w:t>
      </w:r>
      <w:r w:rsidR="00D63021" w:rsidRPr="00854173">
        <w:rPr>
          <w:rFonts w:ascii="Arial" w:hAnsi="Arial" w:cs="Arial"/>
        </w:rPr>
        <w:t>are</w:t>
      </w:r>
      <w:r w:rsidRPr="00854173">
        <w:rPr>
          <w:rFonts w:ascii="Arial" w:hAnsi="Arial" w:cs="Arial"/>
        </w:rPr>
        <w:t xml:space="preserve"> to foster regional cooperation,</w:t>
      </w:r>
      <w:r w:rsidRPr="00854173">
        <w:rPr>
          <w:rStyle w:val="FootnoteReference"/>
          <w:rFonts w:ascii="Arial" w:hAnsi="Arial" w:cs="Arial"/>
        </w:rPr>
        <w:footnoteReference w:id="129"/>
      </w:r>
      <w:r w:rsidR="000928EB" w:rsidRPr="00854173">
        <w:rPr>
          <w:rFonts w:ascii="Arial" w:hAnsi="Arial" w:cs="Arial"/>
        </w:rPr>
        <w:t xml:space="preserve"> and</w:t>
      </w:r>
      <w:r w:rsidRPr="00854173">
        <w:rPr>
          <w:rFonts w:ascii="Arial" w:hAnsi="Arial" w:cs="Arial"/>
        </w:rPr>
        <w:t xml:space="preserve"> economic integration.</w:t>
      </w:r>
      <w:r w:rsidRPr="00854173">
        <w:rPr>
          <w:rStyle w:val="FootnoteReference"/>
          <w:rFonts w:ascii="Arial" w:hAnsi="Arial" w:cs="Arial"/>
        </w:rPr>
        <w:footnoteReference w:id="130"/>
      </w:r>
      <w:r w:rsidRPr="00854173">
        <w:rPr>
          <w:rFonts w:ascii="Arial" w:hAnsi="Arial" w:cs="Arial"/>
        </w:rPr>
        <w:t xml:space="preserve">  However, we saw that</w:t>
      </w:r>
      <w:r w:rsidR="000928EB" w:rsidRPr="00854173">
        <w:rPr>
          <w:rFonts w:ascii="Arial" w:hAnsi="Arial" w:cs="Arial"/>
        </w:rPr>
        <w:t>,</w:t>
      </w:r>
      <w:r w:rsidRPr="00854173">
        <w:rPr>
          <w:rFonts w:ascii="Arial" w:hAnsi="Arial" w:cs="Arial"/>
        </w:rPr>
        <w:t xml:space="preserve"> but for CAR</w:t>
      </w:r>
      <w:r w:rsidR="00C1222E" w:rsidRPr="00854173">
        <w:rPr>
          <w:rFonts w:ascii="Arial" w:hAnsi="Arial" w:cs="Arial"/>
        </w:rPr>
        <w:t>,</w:t>
      </w:r>
      <w:r w:rsidRPr="00854173">
        <w:rPr>
          <w:rFonts w:ascii="Arial" w:hAnsi="Arial" w:cs="Arial"/>
        </w:rPr>
        <w:t xml:space="preserve"> </w:t>
      </w:r>
      <w:r w:rsidR="00C1222E" w:rsidRPr="00854173">
        <w:rPr>
          <w:rFonts w:ascii="Arial" w:hAnsi="Arial" w:cs="Arial"/>
        </w:rPr>
        <w:t>which</w:t>
      </w:r>
      <w:r w:rsidRPr="00854173">
        <w:rPr>
          <w:rFonts w:ascii="Arial" w:hAnsi="Arial" w:cs="Arial"/>
        </w:rPr>
        <w:t xml:space="preserve"> had Cameroon as one of its main trading partners, there was no main trading collaboration among the other CEMAC nations. This means that there is </w:t>
      </w:r>
      <w:r w:rsidR="00FB7EA7" w:rsidRPr="00854173">
        <w:rPr>
          <w:rFonts w:ascii="Arial" w:hAnsi="Arial" w:cs="Arial"/>
        </w:rPr>
        <w:t xml:space="preserve">a </w:t>
      </w:r>
      <w:r w:rsidRPr="00854173">
        <w:rPr>
          <w:rFonts w:ascii="Arial" w:hAnsi="Arial" w:cs="Arial"/>
        </w:rPr>
        <w:t xml:space="preserve">need for an improvement of regional cooperation among CEMAC nations. In spite </w:t>
      </w:r>
      <w:r w:rsidR="00FB7EA7" w:rsidRPr="00854173">
        <w:rPr>
          <w:rFonts w:ascii="Arial" w:hAnsi="Arial" w:cs="Arial"/>
        </w:rPr>
        <w:t xml:space="preserve">of </w:t>
      </w:r>
      <w:r w:rsidRPr="00854173">
        <w:rPr>
          <w:rFonts w:ascii="Arial" w:hAnsi="Arial" w:cs="Arial"/>
        </w:rPr>
        <w:t>the suppose</w:t>
      </w:r>
      <w:r w:rsidR="00FB7EA7" w:rsidRPr="00854173">
        <w:rPr>
          <w:rFonts w:ascii="Arial" w:hAnsi="Arial" w:cs="Arial"/>
        </w:rPr>
        <w:t>d</w:t>
      </w:r>
      <w:r w:rsidRPr="00854173">
        <w:rPr>
          <w:rFonts w:ascii="Arial" w:hAnsi="Arial" w:cs="Arial"/>
        </w:rPr>
        <w:t xml:space="preserve"> free movement of people, goods, services, and capital within the region, yet trade within the region is not maximised. Thus, CEMAC policymakers need to enforce and promote economic integration and regional cooperation. </w:t>
      </w:r>
    </w:p>
    <w:p w14:paraId="13B153A9" w14:textId="04349D1B" w:rsidR="71E96B3D" w:rsidRPr="00854173" w:rsidRDefault="71E96B3D" w:rsidP="0066301C">
      <w:pPr>
        <w:spacing w:line="360" w:lineRule="auto"/>
        <w:jc w:val="both"/>
        <w:rPr>
          <w:rFonts w:ascii="Arial" w:hAnsi="Arial" w:cs="Arial"/>
          <w:lang w:val="en-US"/>
        </w:rPr>
      </w:pPr>
      <w:r w:rsidRPr="00854173">
        <w:rPr>
          <w:rFonts w:ascii="Arial" w:hAnsi="Arial" w:cs="Arial"/>
          <w:lang w:val="en-US"/>
        </w:rPr>
        <w:t>Improving the trade balance in the CEMAC region demands a comprehensive approach which addresses both the demand and supply sides of trade</w:t>
      </w:r>
      <w:r w:rsidR="00EC5098" w:rsidRPr="00854173">
        <w:rPr>
          <w:rFonts w:ascii="Arial" w:hAnsi="Arial" w:cs="Arial"/>
          <w:lang w:val="en-US"/>
        </w:rPr>
        <w:t>,</w:t>
      </w:r>
      <w:r w:rsidRPr="00854173">
        <w:rPr>
          <w:rFonts w:ascii="Arial" w:hAnsi="Arial" w:cs="Arial"/>
          <w:lang w:val="en-US"/>
        </w:rPr>
        <w:t xml:space="preserve"> which entails the following recommendations: </w:t>
      </w:r>
      <w:bookmarkStart w:id="487" w:name="_Hlk170840601"/>
      <w:r w:rsidRPr="00854173">
        <w:rPr>
          <w:rFonts w:ascii="Arial" w:hAnsi="Arial" w:cs="Arial"/>
          <w:lang w:val="en-US"/>
        </w:rPr>
        <w:t xml:space="preserve">encourage and support the diversification of export sectors beyond traditional commodities. This could be done by promoting value-added industries like agro-processing, manufacturing, and services. These could generate higher export revenues and reduce the dependence on volatile commodities prices </w:t>
      </w:r>
      <w:bookmarkStart w:id="488" w:name="_Hlk170840645"/>
      <w:bookmarkEnd w:id="487"/>
      <w:r w:rsidRPr="00854173">
        <w:rPr>
          <w:rFonts w:ascii="Arial" w:hAnsi="Arial" w:cs="Arial"/>
          <w:lang w:val="en-US"/>
        </w:rPr>
        <w:t xml:space="preserve">(i.e., </w:t>
      </w:r>
      <w:r w:rsidR="00EC5098" w:rsidRPr="00854173">
        <w:rPr>
          <w:rFonts w:ascii="Arial" w:hAnsi="Arial" w:cs="Arial"/>
          <w:lang w:val="en-US"/>
        </w:rPr>
        <w:t xml:space="preserve">they </w:t>
      </w:r>
      <w:r w:rsidRPr="00854173">
        <w:rPr>
          <w:rFonts w:ascii="Arial" w:hAnsi="Arial" w:cs="Arial"/>
          <w:lang w:val="en-US"/>
        </w:rPr>
        <w:t xml:space="preserve">should diversify the economy </w:t>
      </w:r>
      <w:r w:rsidR="00E831CD" w:rsidRPr="00854173">
        <w:rPr>
          <w:rFonts w:ascii="Arial" w:hAnsi="Arial" w:cs="Arial"/>
          <w:lang w:val="en-US"/>
        </w:rPr>
        <w:t>by</w:t>
      </w:r>
      <w:r w:rsidRPr="00854173">
        <w:rPr>
          <w:rFonts w:ascii="Arial" w:hAnsi="Arial" w:cs="Arial"/>
          <w:lang w:val="en-US"/>
        </w:rPr>
        <w:t xml:space="preserve"> reducing their dependence on oil and other primary commodities to sectors like agriculture, </w:t>
      </w:r>
      <w:r w:rsidRPr="00854173">
        <w:rPr>
          <w:rFonts w:ascii="Arial" w:hAnsi="Arial" w:cs="Arial"/>
          <w:lang w:val="en-US"/>
        </w:rPr>
        <w:lastRenderedPageBreak/>
        <w:t>manufactur</w:t>
      </w:r>
      <w:r w:rsidR="00E831CD" w:rsidRPr="00854173">
        <w:rPr>
          <w:rFonts w:ascii="Arial" w:hAnsi="Arial" w:cs="Arial"/>
          <w:lang w:val="en-US"/>
        </w:rPr>
        <w:t>ing</w:t>
      </w:r>
      <w:r w:rsidRPr="00854173">
        <w:rPr>
          <w:rFonts w:ascii="Arial" w:hAnsi="Arial" w:cs="Arial"/>
          <w:lang w:val="en-US"/>
        </w:rPr>
        <w:t>, services, and technology). This could be done by promoting entrepreneurship, encouraging investments, and supporting innovation in these sectors to create sources of employment and growth.</w:t>
      </w:r>
    </w:p>
    <w:p w14:paraId="25934EB0" w14:textId="316A2A26" w:rsidR="00E66FC1" w:rsidRDefault="71E96B3D" w:rsidP="0066301C">
      <w:pPr>
        <w:spacing w:line="360" w:lineRule="auto"/>
        <w:jc w:val="both"/>
        <w:rPr>
          <w:rFonts w:ascii="Arial" w:hAnsi="Arial" w:cs="Arial"/>
          <w:color w:val="FF0000"/>
          <w:highlight w:val="yellow"/>
          <w:lang w:val="en-US"/>
        </w:rPr>
      </w:pPr>
      <w:bookmarkStart w:id="489" w:name="_Hlk170840714"/>
      <w:bookmarkEnd w:id="488"/>
      <w:r w:rsidRPr="00854173">
        <w:rPr>
          <w:rFonts w:ascii="Arial" w:hAnsi="Arial" w:cs="Arial"/>
          <w:lang w:val="en-US"/>
        </w:rPr>
        <w:t xml:space="preserve">Policymakers should facilitate trade </w:t>
      </w:r>
      <w:r w:rsidR="008E10EC" w:rsidRPr="00854173">
        <w:rPr>
          <w:rFonts w:ascii="Arial" w:hAnsi="Arial" w:cs="Arial"/>
          <w:lang w:val="en-US"/>
        </w:rPr>
        <w:t>by</w:t>
      </w:r>
      <w:r w:rsidRPr="00854173">
        <w:rPr>
          <w:rFonts w:ascii="Arial" w:hAnsi="Arial" w:cs="Arial"/>
          <w:lang w:val="en-US"/>
        </w:rPr>
        <w:t xml:space="preserve"> simplifying trade procedures and shrinking administrative burdens to facilitate cross-border trade. This could be achieved by harmonizing trade regulations with </w:t>
      </w:r>
      <w:r w:rsidR="008B0C2A" w:rsidRPr="00854173">
        <w:rPr>
          <w:rFonts w:ascii="Arial" w:hAnsi="Arial" w:cs="Arial"/>
          <w:lang w:val="en-US"/>
        </w:rPr>
        <w:t>neighboring</w:t>
      </w:r>
      <w:r w:rsidRPr="00854173">
        <w:rPr>
          <w:rFonts w:ascii="Arial" w:hAnsi="Arial" w:cs="Arial"/>
          <w:lang w:val="en-US"/>
        </w:rPr>
        <w:t xml:space="preserve"> nations and eliminating non-tariff barriers to ease regional and international trade </w:t>
      </w:r>
      <w:r w:rsidRPr="00FA412C">
        <w:rPr>
          <w:rFonts w:ascii="Arial" w:hAnsi="Arial" w:cs="Arial"/>
          <w:lang w:val="en-US"/>
        </w:rPr>
        <w:t>and cost-effectiveness.</w:t>
      </w:r>
      <w:r w:rsidR="009F5B89" w:rsidRPr="00FA412C">
        <w:rPr>
          <w:rFonts w:ascii="Arial" w:hAnsi="Arial" w:cs="Arial"/>
          <w:lang w:val="en-US"/>
        </w:rPr>
        <w:t xml:space="preserve"> This could improve trade within the region. </w:t>
      </w:r>
    </w:p>
    <w:p w14:paraId="5AAC5561" w14:textId="76E6053C" w:rsidR="71E96B3D" w:rsidRDefault="71E96B3D" w:rsidP="0066301C">
      <w:pPr>
        <w:spacing w:line="360" w:lineRule="auto"/>
        <w:jc w:val="both"/>
        <w:rPr>
          <w:rFonts w:ascii="Arial" w:hAnsi="Arial" w:cs="Arial"/>
          <w:lang w:val="en-US"/>
        </w:rPr>
      </w:pPr>
      <w:r w:rsidRPr="00854173">
        <w:rPr>
          <w:rFonts w:ascii="Arial" w:hAnsi="Arial" w:cs="Arial"/>
          <w:lang w:val="en-US"/>
        </w:rPr>
        <w:t>Also, policymakers could enhance the development of infrastructure via investment in infrastructure projects</w:t>
      </w:r>
      <w:r w:rsidR="00A44250" w:rsidRPr="00854173">
        <w:rPr>
          <w:rFonts w:ascii="Arial" w:hAnsi="Arial" w:cs="Arial"/>
          <w:lang w:val="en-US"/>
        </w:rPr>
        <w:t>,</w:t>
      </w:r>
      <w:r w:rsidRPr="00854173">
        <w:rPr>
          <w:rFonts w:ascii="Arial" w:hAnsi="Arial" w:cs="Arial"/>
          <w:lang w:val="en-US"/>
        </w:rPr>
        <w:t xml:space="preserve"> which include transportation, telecommunication networks, and energy. This robust infrastructure system helps facilitate trade, attracts private sector investments, reduce</w:t>
      </w:r>
      <w:r w:rsidR="00845A1D" w:rsidRPr="00854173">
        <w:rPr>
          <w:rFonts w:ascii="Arial" w:hAnsi="Arial" w:cs="Arial"/>
          <w:lang w:val="en-US"/>
        </w:rPr>
        <w:t>s</w:t>
      </w:r>
      <w:r w:rsidRPr="00854173">
        <w:rPr>
          <w:rFonts w:ascii="Arial" w:hAnsi="Arial" w:cs="Arial"/>
          <w:lang w:val="en-US"/>
        </w:rPr>
        <w:t xml:space="preserve"> transaction costs, and stimulate</w:t>
      </w:r>
      <w:r w:rsidR="00845A1D" w:rsidRPr="00854173">
        <w:rPr>
          <w:rFonts w:ascii="Arial" w:hAnsi="Arial" w:cs="Arial"/>
          <w:lang w:val="en-US"/>
        </w:rPr>
        <w:t>s</w:t>
      </w:r>
      <w:r w:rsidRPr="00854173">
        <w:rPr>
          <w:rFonts w:ascii="Arial" w:hAnsi="Arial" w:cs="Arial"/>
          <w:lang w:val="en-US"/>
        </w:rPr>
        <w:t xml:space="preserve"> economic activities across</w:t>
      </w:r>
      <w:r w:rsidR="00845A1D" w:rsidRPr="00854173">
        <w:rPr>
          <w:rFonts w:ascii="Arial" w:hAnsi="Arial" w:cs="Arial"/>
          <w:lang w:val="en-US"/>
        </w:rPr>
        <w:t xml:space="preserve"> the</w:t>
      </w:r>
      <w:r w:rsidRPr="00854173">
        <w:rPr>
          <w:rFonts w:ascii="Arial" w:hAnsi="Arial" w:cs="Arial"/>
          <w:lang w:val="en-US"/>
        </w:rPr>
        <w:t xml:space="preserve"> CEMAC region. Finally, policymakers should create </w:t>
      </w:r>
      <w:r w:rsidR="007D0583" w:rsidRPr="00854173">
        <w:rPr>
          <w:rFonts w:ascii="Arial" w:hAnsi="Arial" w:cs="Arial"/>
          <w:lang w:val="en-US"/>
        </w:rPr>
        <w:t>favorable</w:t>
      </w:r>
      <w:r w:rsidRPr="00854173">
        <w:rPr>
          <w:rFonts w:ascii="Arial" w:hAnsi="Arial" w:cs="Arial"/>
          <w:lang w:val="en-US"/>
        </w:rPr>
        <w:t xml:space="preserve"> business climates that will address issues like bureaucratic red tape, corruption, and the enforcement of intellectual property rights. These could create a conducive business environment for trade and investment.</w:t>
      </w:r>
      <w:r w:rsidR="00FA412C">
        <w:rPr>
          <w:rFonts w:ascii="Arial" w:hAnsi="Arial" w:cs="Arial"/>
          <w:lang w:val="en-US"/>
        </w:rPr>
        <w:t xml:space="preserve"> </w:t>
      </w:r>
      <w:r w:rsidR="00FA412C" w:rsidRPr="008A681D">
        <w:rPr>
          <w:rFonts w:ascii="Arial" w:hAnsi="Arial" w:cs="Arial"/>
          <w:lang w:val="en-US"/>
        </w:rPr>
        <w:t xml:space="preserve">As seen in section 4.6.5 and 4.6.6 (table 4.5 and figure 4.3a), only CAR has Cameroon as a main trade partner, yet there is no presence of </w:t>
      </w:r>
      <w:r w:rsidR="00FA412C" w:rsidRPr="008A681D">
        <w:rPr>
          <w:rFonts w:ascii="Arial" w:hAnsi="Arial" w:cs="Arial"/>
          <w:i/>
          <w:iCs/>
          <w:lang w:val="en-US"/>
        </w:rPr>
        <w:t>J-</w:t>
      </w:r>
      <w:r w:rsidR="00FA412C" w:rsidRPr="008A681D">
        <w:rPr>
          <w:rFonts w:ascii="Arial" w:hAnsi="Arial" w:cs="Arial"/>
          <w:lang w:val="en-US"/>
        </w:rPr>
        <w:t xml:space="preserve">curve in the TB. This means that there is need to improve the trade relationship within the CEMAC region, and an improvement of the </w:t>
      </w:r>
      <w:r w:rsidR="00FA412C" w:rsidRPr="008A681D">
        <w:rPr>
          <w:rFonts w:ascii="Arial" w:hAnsi="Arial" w:cs="Arial"/>
        </w:rPr>
        <w:t>business climate</w:t>
      </w:r>
      <w:r w:rsidR="00FA412C" w:rsidRPr="008A681D">
        <w:rPr>
          <w:rFonts w:ascii="Arial" w:hAnsi="Arial" w:cs="Arial"/>
          <w:lang w:val="en-US"/>
        </w:rPr>
        <w:t xml:space="preserve">. </w:t>
      </w:r>
      <w:r w:rsidR="00FA412C">
        <w:rPr>
          <w:rFonts w:ascii="Arial" w:hAnsi="Arial" w:cs="Arial"/>
        </w:rPr>
        <w:t>S</w:t>
      </w:r>
      <w:r w:rsidR="00FA412C" w:rsidRPr="00FE43E1">
        <w:rPr>
          <w:rFonts w:ascii="Arial" w:hAnsi="Arial" w:cs="Arial"/>
        </w:rPr>
        <w:t xml:space="preserve">tatistics indicate that CEMAC region does not have an attractive business environment/ climate. According to the World Bank’s Doing Business Report (2020), CEMAC nations' business environment is far from being attractive, as can be </w:t>
      </w:r>
      <w:r w:rsidR="00FA412C" w:rsidRPr="00DB2D41">
        <w:rPr>
          <w:rFonts w:ascii="Arial" w:hAnsi="Arial" w:cs="Arial"/>
        </w:rPr>
        <w:t xml:space="preserve">seen </w:t>
      </w:r>
      <w:r w:rsidR="00DB2D41" w:rsidRPr="00DB2D41">
        <w:rPr>
          <w:rFonts w:ascii="Arial" w:hAnsi="Arial" w:cs="Arial"/>
        </w:rPr>
        <w:t>o</w:t>
      </w:r>
      <w:r w:rsidR="00FA412C" w:rsidRPr="00DB2D41">
        <w:rPr>
          <w:rFonts w:ascii="Arial" w:hAnsi="Arial" w:cs="Arial"/>
        </w:rPr>
        <w:t>n Table 5.7 in the appendix</w:t>
      </w:r>
      <w:r w:rsidR="00DB2D41" w:rsidRPr="00DB2D41">
        <w:rPr>
          <w:rFonts w:ascii="Arial" w:hAnsi="Arial" w:cs="Arial"/>
        </w:rPr>
        <w:t xml:space="preserve"> C</w:t>
      </w:r>
      <w:r w:rsidR="00FA412C" w:rsidRPr="00DB2D41">
        <w:rPr>
          <w:rFonts w:ascii="Arial" w:hAnsi="Arial" w:cs="Arial"/>
        </w:rPr>
        <w:t>.</w:t>
      </w:r>
      <w:r w:rsidR="00FA412C" w:rsidRPr="00FE43E1">
        <w:rPr>
          <w:rFonts w:ascii="Arial" w:hAnsi="Arial" w:cs="Arial"/>
        </w:rPr>
        <w:t xml:space="preserve"> None of the indicators used reveal a good or positive condition for any of the six CEMAC nations, implying that their business climate is unconducive</w:t>
      </w:r>
      <w:r w:rsidR="00FA412C" w:rsidRPr="00FA412C">
        <w:rPr>
          <w:rFonts w:ascii="Arial" w:hAnsi="Arial" w:cs="Arial"/>
        </w:rPr>
        <w:t>.</w:t>
      </w:r>
      <w:r w:rsidR="00FA412C" w:rsidRPr="00FA412C">
        <w:rPr>
          <w:rFonts w:ascii="Arial" w:hAnsi="Arial" w:cs="Arial"/>
          <w:color w:val="FF0000"/>
          <w:lang w:val="en-US"/>
        </w:rPr>
        <w:t xml:space="preserve"> </w:t>
      </w:r>
      <w:r w:rsidRPr="00854173">
        <w:rPr>
          <w:rFonts w:ascii="Arial" w:hAnsi="Arial" w:cs="Arial"/>
          <w:lang w:val="en-US"/>
        </w:rPr>
        <w:t>Thus, it is imperative for CEMAC nations to collaborate and implement the above recommendations in a synchronized way, taking into consideration each nation’s specific needs and circumstances to attain a sustainable improvement in their trade balance.</w:t>
      </w:r>
    </w:p>
    <w:p w14:paraId="3B09830F" w14:textId="38467C0B" w:rsidR="008204CC" w:rsidRPr="002A51C4" w:rsidRDefault="006E1FC4" w:rsidP="0066301C">
      <w:pPr>
        <w:pStyle w:val="Heading2"/>
        <w:spacing w:before="0" w:beforeAutospacing="0"/>
      </w:pPr>
      <w:bookmarkStart w:id="490" w:name="_Hlk141669980"/>
      <w:bookmarkStart w:id="491" w:name="_Toc171075427"/>
      <w:bookmarkEnd w:id="486"/>
      <w:bookmarkEnd w:id="489"/>
      <w:r>
        <w:t>4</w:t>
      </w:r>
      <w:r w:rsidR="00F91DB7">
        <w:t>.</w:t>
      </w:r>
      <w:r w:rsidR="7BD8BB1B">
        <w:t>9</w:t>
      </w:r>
      <w:r>
        <w:tab/>
      </w:r>
      <w:r w:rsidR="00F91DB7">
        <w:t>CONCLUSION</w:t>
      </w:r>
      <w:bookmarkEnd w:id="490"/>
      <w:bookmarkEnd w:id="491"/>
    </w:p>
    <w:p w14:paraId="4ADEBB7F" w14:textId="13C454A5" w:rsidR="00927135" w:rsidRPr="002A51C4" w:rsidRDefault="00927135" w:rsidP="0066301C">
      <w:pPr>
        <w:spacing w:after="200" w:line="360" w:lineRule="auto"/>
        <w:jc w:val="both"/>
        <w:rPr>
          <w:rFonts w:ascii="Arial" w:hAnsi="Arial" w:cs="Arial"/>
          <w:lang w:val="en-US"/>
        </w:rPr>
      </w:pPr>
      <w:bookmarkStart w:id="492" w:name="_Hlk163650457"/>
      <w:r w:rsidRPr="002A51C4">
        <w:rPr>
          <w:rFonts w:ascii="Arial" w:hAnsi="Arial" w:cs="Arial"/>
          <w:lang w:val="en-US"/>
        </w:rPr>
        <w:t xml:space="preserve">This chapter investigated the impact of CFA franc devaluation on CEMAC nations’ trade balance by looking for the presence of the </w:t>
      </w:r>
      <w:r w:rsidRPr="3823ABBA">
        <w:rPr>
          <w:rFonts w:ascii="Arial" w:hAnsi="Arial" w:cs="Arial"/>
          <w:i/>
          <w:iCs/>
          <w:lang w:val="en-US"/>
        </w:rPr>
        <w:t>J-</w:t>
      </w:r>
      <w:r w:rsidRPr="002A51C4">
        <w:rPr>
          <w:rFonts w:ascii="Arial" w:hAnsi="Arial" w:cs="Arial"/>
          <w:lang w:val="en-US"/>
        </w:rPr>
        <w:t>curve.</w:t>
      </w:r>
      <w:r w:rsidRPr="002A51C4">
        <w:rPr>
          <w:rStyle w:val="FootnoteReference"/>
          <w:rFonts w:ascii="Arial" w:hAnsi="Arial" w:cs="Arial"/>
          <w:lang w:val="en-US"/>
        </w:rPr>
        <w:footnoteReference w:id="131"/>
      </w:r>
      <w:r w:rsidRPr="002A51C4">
        <w:rPr>
          <w:rFonts w:ascii="Arial" w:hAnsi="Arial" w:cs="Arial"/>
          <w:lang w:val="en-US"/>
        </w:rPr>
        <w:t xml:space="preserve"> The variables used in the study include log trade balance (LNTB) being the dependent variable, and </w:t>
      </w:r>
      <w:r w:rsidR="00E81E22" w:rsidRPr="002A51C4">
        <w:rPr>
          <w:rFonts w:ascii="Arial" w:hAnsi="Arial" w:cs="Arial"/>
          <w:lang w:val="en-US"/>
        </w:rPr>
        <w:t xml:space="preserve">independent variables are; </w:t>
      </w:r>
      <w:r w:rsidRPr="002A51C4">
        <w:rPr>
          <w:rFonts w:ascii="Arial" w:hAnsi="Arial" w:cs="Arial"/>
          <w:lang w:val="en-US"/>
        </w:rPr>
        <w:t xml:space="preserve">log real effective exchange rate (LNREER), log domestic income (LNDI) – proxy by </w:t>
      </w:r>
      <w:r w:rsidRPr="002A51C4">
        <w:rPr>
          <w:rFonts w:ascii="Arial" w:hAnsi="Arial" w:cs="Arial"/>
        </w:rPr>
        <w:t xml:space="preserve">each of the CEMAC nations’ gross domestic production (GDP), and log foreign income (LNFI) – proxy by </w:t>
      </w:r>
      <w:r w:rsidRPr="002A51C4">
        <w:rPr>
          <w:rFonts w:ascii="Arial" w:hAnsi="Arial" w:cs="Arial"/>
        </w:rPr>
        <w:lastRenderedPageBreak/>
        <w:t>the main trading partners’ GDP</w:t>
      </w:r>
      <w:r w:rsidR="5321C871" w:rsidRPr="002A51C4">
        <w:rPr>
          <w:rFonts w:ascii="Arial" w:hAnsi="Arial" w:cs="Arial"/>
        </w:rPr>
        <w:t>. The datasets are secondary</w:t>
      </w:r>
      <w:r w:rsidR="35E858D6" w:rsidRPr="002A51C4">
        <w:rPr>
          <w:rFonts w:ascii="Arial" w:hAnsi="Arial" w:cs="Arial"/>
        </w:rPr>
        <w:t>,</w:t>
      </w:r>
      <w:r w:rsidR="35E858D6" w:rsidRPr="3823ABBA">
        <w:rPr>
          <w:rFonts w:ascii="Arial" w:hAnsi="Arial" w:cs="Arial"/>
          <w:lang w:val="en-US"/>
        </w:rPr>
        <w:t xml:space="preserve"> within the period 1980 to 2018</w:t>
      </w:r>
      <w:r w:rsidR="651814BC" w:rsidRPr="002A51C4">
        <w:rPr>
          <w:rFonts w:ascii="Arial" w:hAnsi="Arial" w:cs="Arial"/>
        </w:rPr>
        <w:t>,</w:t>
      </w:r>
      <w:r w:rsidR="0C46D3AE" w:rsidRPr="002A51C4">
        <w:rPr>
          <w:rFonts w:ascii="Arial" w:hAnsi="Arial" w:cs="Arial"/>
        </w:rPr>
        <w:t xml:space="preserve"> and</w:t>
      </w:r>
      <w:r w:rsidR="5321C871" w:rsidRPr="002A51C4">
        <w:rPr>
          <w:rFonts w:ascii="Arial" w:hAnsi="Arial" w:cs="Arial"/>
        </w:rPr>
        <w:t xml:space="preserve"> gathered from </w:t>
      </w:r>
      <w:r w:rsidR="0711BF48" w:rsidRPr="3823ABBA">
        <w:rPr>
          <w:rFonts w:ascii="Arial" w:eastAsia="Arial" w:hAnsi="Arial" w:cs="Arial"/>
          <w:color w:val="000000" w:themeColor="text1"/>
        </w:rPr>
        <w:t>the World banks - World Development Indicators (WDI) database updated on 18/03/</w:t>
      </w:r>
      <w:r w:rsidR="08F1D0C9" w:rsidRPr="3823ABBA">
        <w:rPr>
          <w:rFonts w:ascii="Arial" w:eastAsia="Arial" w:hAnsi="Arial" w:cs="Arial"/>
          <w:color w:val="000000" w:themeColor="text1"/>
        </w:rPr>
        <w:t>2020.</w:t>
      </w:r>
      <w:r w:rsidRPr="002A51C4">
        <w:rPr>
          <w:rFonts w:ascii="Arial" w:hAnsi="Arial" w:cs="Arial"/>
        </w:rPr>
        <w:t xml:space="preserve"> </w:t>
      </w:r>
      <w:r w:rsidR="002A51C4" w:rsidRPr="002A51C4">
        <w:rPr>
          <w:rFonts w:ascii="Arial" w:hAnsi="Arial" w:cs="Arial"/>
        </w:rPr>
        <w:t>The study showed that stationarity of the variables was achieved at both levels and first differencing, which implies the ARDL model was the appropriate estimation technique needed to estimate the coefficients of the variables.</w:t>
      </w:r>
      <w:r w:rsidR="002A51C4">
        <w:rPr>
          <w:rFonts w:ascii="Arial" w:hAnsi="Arial" w:cs="Arial"/>
        </w:rPr>
        <w:t xml:space="preserve"> </w:t>
      </w:r>
    </w:p>
    <w:p w14:paraId="4A7F0D56" w14:textId="54F61E27" w:rsidR="00927135" w:rsidRPr="002A51C4" w:rsidRDefault="00927135" w:rsidP="0066301C">
      <w:pPr>
        <w:spacing w:after="200" w:line="360" w:lineRule="auto"/>
        <w:jc w:val="both"/>
        <w:rPr>
          <w:rFonts w:ascii="Arial" w:hAnsi="Arial" w:cs="Arial"/>
          <w:lang w:val="en-US"/>
        </w:rPr>
      </w:pPr>
      <w:r w:rsidRPr="002A51C4">
        <w:rPr>
          <w:rFonts w:ascii="Arial" w:hAnsi="Arial" w:cs="Arial"/>
          <w:lang w:val="en-US"/>
        </w:rPr>
        <w:t>T</w:t>
      </w:r>
      <w:r w:rsidRPr="002A51C4">
        <w:rPr>
          <w:rFonts w:ascii="Arial" w:hAnsi="Arial" w:cs="Arial"/>
        </w:rPr>
        <w:t xml:space="preserve">he aggregate bilateral trade data approach by Rose and Yellen (1989) was used to investigate the presence of the </w:t>
      </w:r>
      <w:r w:rsidRPr="3823ABBA">
        <w:rPr>
          <w:rFonts w:ascii="Arial" w:hAnsi="Arial" w:cs="Arial"/>
          <w:i/>
          <w:iCs/>
        </w:rPr>
        <w:t>J-</w:t>
      </w:r>
      <w:r w:rsidRPr="002A51C4">
        <w:rPr>
          <w:rFonts w:ascii="Arial" w:hAnsi="Arial" w:cs="Arial"/>
        </w:rPr>
        <w:t>curve in the trade balance relationship between each of the three CEMAC nations and their individual main trade partners. To have a holistic view o</w:t>
      </w:r>
      <w:r w:rsidR="00F86894">
        <w:rPr>
          <w:rFonts w:ascii="Arial" w:hAnsi="Arial" w:cs="Arial"/>
        </w:rPr>
        <w:t>f</w:t>
      </w:r>
      <w:r w:rsidRPr="002A51C4">
        <w:rPr>
          <w:rFonts w:ascii="Arial" w:hAnsi="Arial" w:cs="Arial"/>
        </w:rPr>
        <w:t xml:space="preserve"> the impact of CFA franc devaluation on the nation’s trade balance, we used the aggregate trade data approach by Magee (1973). The presence of the </w:t>
      </w:r>
      <w:r w:rsidRPr="3823ABBA">
        <w:rPr>
          <w:rFonts w:ascii="Arial" w:hAnsi="Arial" w:cs="Arial"/>
          <w:i/>
          <w:iCs/>
        </w:rPr>
        <w:t>J-</w:t>
      </w:r>
      <w:r w:rsidRPr="002A51C4">
        <w:rPr>
          <w:rFonts w:ascii="Arial" w:hAnsi="Arial" w:cs="Arial"/>
        </w:rPr>
        <w:t>curve means that the CFA franc devaluation leads to the improvement of the CEMAC nations’ trade balance in the long-run and vice versa,</w:t>
      </w:r>
      <w:r w:rsidRPr="3823ABBA">
        <w:rPr>
          <w:rFonts w:ascii="Arial" w:hAnsi="Arial" w:cs="Arial"/>
          <w:i/>
          <w:iCs/>
        </w:rPr>
        <w:t xml:space="preserve"> ceteris paribus</w:t>
      </w:r>
      <w:r w:rsidRPr="002A51C4">
        <w:rPr>
          <w:rFonts w:ascii="Arial" w:hAnsi="Arial" w:cs="Arial"/>
        </w:rPr>
        <w:t xml:space="preserve">. The presence of the </w:t>
      </w:r>
      <w:r w:rsidRPr="3823ABBA">
        <w:rPr>
          <w:rFonts w:ascii="Arial" w:hAnsi="Arial" w:cs="Arial"/>
          <w:i/>
          <w:iCs/>
        </w:rPr>
        <w:t>J-</w:t>
      </w:r>
      <w:r w:rsidRPr="002A51C4">
        <w:rPr>
          <w:rFonts w:ascii="Arial" w:hAnsi="Arial" w:cs="Arial"/>
        </w:rPr>
        <w:t xml:space="preserve">curve is achieved when the coefficient of LNREER is positive and statistically significant (i.e., the </w:t>
      </w:r>
      <w:r w:rsidRPr="3823ABBA">
        <w:rPr>
          <w:rFonts w:ascii="Arial" w:hAnsi="Arial" w:cs="Arial"/>
          <w:i/>
          <w:iCs/>
        </w:rPr>
        <w:t>t-</w:t>
      </w:r>
      <w:r w:rsidRPr="002A51C4">
        <w:rPr>
          <w:rFonts w:ascii="Arial" w:hAnsi="Arial" w:cs="Arial"/>
        </w:rPr>
        <w:t xml:space="preserve">statistics </w:t>
      </w:r>
      <w:r w:rsidRPr="002A51C4">
        <w:rPr>
          <w:rFonts w:ascii="Arial" w:hAnsi="Arial" w:cs="Arial"/>
          <w:lang w:val="en-US"/>
        </w:rPr>
        <w:t>≥ |2|</w:t>
      </w:r>
      <w:r w:rsidRPr="002A51C4">
        <w:rPr>
          <w:rFonts w:ascii="Arial" w:hAnsi="Arial" w:cs="Arial"/>
        </w:rPr>
        <w:t xml:space="preserve">) in the long run, while the short run coefficient of LNREER is negative and statistically significant (i.e., the </w:t>
      </w:r>
      <w:r w:rsidRPr="3823ABBA">
        <w:rPr>
          <w:rFonts w:ascii="Arial" w:hAnsi="Arial" w:cs="Arial"/>
          <w:i/>
          <w:iCs/>
        </w:rPr>
        <w:t>t-</w:t>
      </w:r>
      <w:r w:rsidRPr="002A51C4">
        <w:rPr>
          <w:rFonts w:ascii="Arial" w:hAnsi="Arial" w:cs="Arial"/>
        </w:rPr>
        <w:t xml:space="preserve">statistics </w:t>
      </w:r>
      <w:r w:rsidRPr="002A51C4">
        <w:rPr>
          <w:rFonts w:ascii="Arial" w:hAnsi="Arial" w:cs="Arial"/>
          <w:lang w:val="en-US"/>
        </w:rPr>
        <w:t>≥ |2|</w:t>
      </w:r>
      <w:r w:rsidRPr="002A51C4">
        <w:rPr>
          <w:rFonts w:ascii="Arial" w:hAnsi="Arial" w:cs="Arial"/>
        </w:rPr>
        <w:t xml:space="preserve">). </w:t>
      </w:r>
    </w:p>
    <w:p w14:paraId="072F6A06" w14:textId="1BA80AF0" w:rsidR="00927135" w:rsidRDefault="00927135" w:rsidP="0066301C">
      <w:pPr>
        <w:spacing w:line="360" w:lineRule="auto"/>
        <w:jc w:val="both"/>
        <w:rPr>
          <w:rFonts w:ascii="Arial" w:hAnsi="Arial" w:cs="Arial"/>
        </w:rPr>
      </w:pPr>
      <w:r w:rsidRPr="002A51C4">
        <w:rPr>
          <w:rFonts w:ascii="Arial" w:hAnsi="Arial" w:cs="Arial"/>
          <w:lang w:val="en-US"/>
        </w:rPr>
        <w:t>The results of the</w:t>
      </w:r>
      <w:r w:rsidRPr="002A51C4">
        <w:rPr>
          <w:rFonts w:ascii="Arial" w:hAnsi="Arial" w:cs="Arial"/>
        </w:rPr>
        <w:t xml:space="preserve"> aggregate bilateral trade data approach show the presence of a </w:t>
      </w:r>
      <w:r w:rsidRPr="002A51C4">
        <w:rPr>
          <w:rFonts w:ascii="Arial" w:hAnsi="Arial" w:cs="Arial"/>
          <w:i/>
        </w:rPr>
        <w:t>J-</w:t>
      </w:r>
      <w:r w:rsidRPr="002A51C4">
        <w:rPr>
          <w:rFonts w:ascii="Arial" w:hAnsi="Arial" w:cs="Arial"/>
        </w:rPr>
        <w:t xml:space="preserve">curve in the TB between Cameroon and all </w:t>
      </w:r>
      <w:r w:rsidR="00B6365A">
        <w:rPr>
          <w:rFonts w:ascii="Arial" w:hAnsi="Arial" w:cs="Arial"/>
        </w:rPr>
        <w:t>its</w:t>
      </w:r>
      <w:r w:rsidRPr="002A51C4">
        <w:rPr>
          <w:rFonts w:ascii="Arial" w:hAnsi="Arial" w:cs="Arial"/>
        </w:rPr>
        <w:t xml:space="preserve"> five main trade partners. While the results of both CAR and Gabon show the absence of </w:t>
      </w:r>
      <w:r w:rsidRPr="002A51C4">
        <w:rPr>
          <w:rFonts w:ascii="Arial" w:hAnsi="Arial" w:cs="Arial"/>
          <w:i/>
          <w:iCs/>
        </w:rPr>
        <w:t>J-</w:t>
      </w:r>
      <w:r w:rsidRPr="002A51C4">
        <w:rPr>
          <w:rFonts w:ascii="Arial" w:hAnsi="Arial" w:cs="Arial"/>
        </w:rPr>
        <w:t xml:space="preserve">curve in the TB between them </w:t>
      </w:r>
      <w:r w:rsidR="00882078">
        <w:rPr>
          <w:rFonts w:ascii="Arial" w:hAnsi="Arial" w:cs="Arial"/>
        </w:rPr>
        <w:t>and</w:t>
      </w:r>
      <w:r w:rsidRPr="002A51C4">
        <w:rPr>
          <w:rFonts w:ascii="Arial" w:hAnsi="Arial" w:cs="Arial"/>
        </w:rPr>
        <w:t xml:space="preserve"> all their trade partners. From a holistic perspective, the aggregate trade date approach shows the presence of a </w:t>
      </w:r>
      <w:r w:rsidRPr="002A51C4">
        <w:rPr>
          <w:rFonts w:ascii="Arial" w:hAnsi="Arial" w:cs="Arial"/>
          <w:i/>
        </w:rPr>
        <w:t>J-</w:t>
      </w:r>
      <w:r w:rsidRPr="002A51C4">
        <w:rPr>
          <w:rFonts w:ascii="Arial" w:hAnsi="Arial" w:cs="Arial"/>
        </w:rPr>
        <w:t xml:space="preserve">curve in the TB between Cameroon and all her main trade partners combined, while there is no </w:t>
      </w:r>
      <w:r w:rsidRPr="002A51C4">
        <w:rPr>
          <w:rFonts w:ascii="Arial" w:hAnsi="Arial" w:cs="Arial"/>
          <w:i/>
          <w:iCs/>
        </w:rPr>
        <w:t>J-</w:t>
      </w:r>
      <w:r w:rsidRPr="002A51C4">
        <w:rPr>
          <w:rFonts w:ascii="Arial" w:hAnsi="Arial" w:cs="Arial"/>
        </w:rPr>
        <w:t>curve in both CAR and Gabon with their major trade partners combined. This research shows that only Cameroon could benefit from the CFA franc devaluation. Thus, the government</w:t>
      </w:r>
      <w:r w:rsidR="00882078">
        <w:rPr>
          <w:rFonts w:ascii="Arial" w:hAnsi="Arial" w:cs="Arial"/>
        </w:rPr>
        <w:t>s</w:t>
      </w:r>
      <w:r w:rsidRPr="002A51C4">
        <w:rPr>
          <w:rFonts w:ascii="Arial" w:hAnsi="Arial" w:cs="Arial"/>
        </w:rPr>
        <w:t xml:space="preserve"> of both CAR and Gabon should use different policies to improve their trade balance rather than using currency devaluation.</w:t>
      </w:r>
      <w:r>
        <w:rPr>
          <w:rFonts w:ascii="Arial" w:hAnsi="Arial" w:cs="Arial"/>
        </w:rPr>
        <w:t xml:space="preserve"> </w:t>
      </w:r>
    </w:p>
    <w:p w14:paraId="32C0B16D" w14:textId="77777777" w:rsidR="002E4265" w:rsidRDefault="002E4265" w:rsidP="0066301C">
      <w:pPr>
        <w:autoSpaceDE w:val="0"/>
        <w:autoSpaceDN w:val="0"/>
        <w:adjustRightInd w:val="0"/>
        <w:spacing w:after="0" w:line="276" w:lineRule="auto"/>
        <w:rPr>
          <w:rFonts w:ascii="Arial" w:eastAsia="Times New Roman" w:hAnsi="Arial" w:cs="Arial"/>
          <w:b/>
          <w:lang w:val="en-US" w:eastAsia="en-GB"/>
        </w:rPr>
      </w:pPr>
    </w:p>
    <w:bookmarkEnd w:id="492"/>
    <w:p w14:paraId="48A37ED2" w14:textId="77777777" w:rsidR="00443341" w:rsidRDefault="00443341" w:rsidP="0066301C">
      <w:pPr>
        <w:autoSpaceDE w:val="0"/>
        <w:autoSpaceDN w:val="0"/>
        <w:adjustRightInd w:val="0"/>
        <w:spacing w:after="0" w:line="276" w:lineRule="auto"/>
        <w:rPr>
          <w:rFonts w:ascii="Arial" w:eastAsia="Times New Roman" w:hAnsi="Arial" w:cs="Arial"/>
          <w:b/>
          <w:lang w:val="en-US" w:eastAsia="en-GB"/>
        </w:rPr>
      </w:pPr>
    </w:p>
    <w:p w14:paraId="4B096F30" w14:textId="77777777" w:rsidR="00443341" w:rsidRDefault="00443341" w:rsidP="0066301C">
      <w:pPr>
        <w:autoSpaceDE w:val="0"/>
        <w:autoSpaceDN w:val="0"/>
        <w:adjustRightInd w:val="0"/>
        <w:spacing w:after="0" w:line="276" w:lineRule="auto"/>
        <w:rPr>
          <w:rFonts w:ascii="Arial" w:eastAsia="Times New Roman" w:hAnsi="Arial" w:cs="Arial"/>
          <w:b/>
          <w:lang w:val="en-US" w:eastAsia="en-GB"/>
        </w:rPr>
      </w:pPr>
    </w:p>
    <w:p w14:paraId="1D14DC26" w14:textId="77777777" w:rsidR="00443341" w:rsidRDefault="00443341" w:rsidP="0066301C">
      <w:pPr>
        <w:autoSpaceDE w:val="0"/>
        <w:autoSpaceDN w:val="0"/>
        <w:adjustRightInd w:val="0"/>
        <w:spacing w:after="0" w:line="276" w:lineRule="auto"/>
        <w:rPr>
          <w:rFonts w:ascii="Arial" w:eastAsia="Times New Roman" w:hAnsi="Arial" w:cs="Arial"/>
          <w:b/>
          <w:lang w:val="en-US" w:eastAsia="en-GB"/>
        </w:rPr>
      </w:pPr>
    </w:p>
    <w:p w14:paraId="3B42AAF4" w14:textId="77777777" w:rsidR="00443341" w:rsidRDefault="00443341" w:rsidP="0066301C">
      <w:pPr>
        <w:autoSpaceDE w:val="0"/>
        <w:autoSpaceDN w:val="0"/>
        <w:adjustRightInd w:val="0"/>
        <w:spacing w:after="0" w:line="276" w:lineRule="auto"/>
        <w:rPr>
          <w:rFonts w:ascii="Arial" w:eastAsia="Times New Roman" w:hAnsi="Arial" w:cs="Arial"/>
          <w:b/>
          <w:lang w:val="en-US" w:eastAsia="en-GB"/>
        </w:rPr>
      </w:pPr>
    </w:p>
    <w:p w14:paraId="58450EAB" w14:textId="77777777" w:rsidR="00443341" w:rsidRDefault="00443341" w:rsidP="0066301C">
      <w:pPr>
        <w:autoSpaceDE w:val="0"/>
        <w:autoSpaceDN w:val="0"/>
        <w:adjustRightInd w:val="0"/>
        <w:spacing w:after="0" w:line="276" w:lineRule="auto"/>
        <w:rPr>
          <w:rFonts w:ascii="Arial" w:eastAsia="Times New Roman" w:hAnsi="Arial" w:cs="Arial"/>
          <w:b/>
          <w:lang w:val="en-US" w:eastAsia="en-GB"/>
        </w:rPr>
      </w:pPr>
    </w:p>
    <w:p w14:paraId="2E1BB021" w14:textId="77777777" w:rsidR="00443341" w:rsidRDefault="00443341" w:rsidP="0066301C">
      <w:pPr>
        <w:autoSpaceDE w:val="0"/>
        <w:autoSpaceDN w:val="0"/>
        <w:adjustRightInd w:val="0"/>
        <w:spacing w:after="0" w:line="276" w:lineRule="auto"/>
        <w:rPr>
          <w:rFonts w:ascii="Arial" w:eastAsia="Times New Roman" w:hAnsi="Arial" w:cs="Arial"/>
          <w:b/>
          <w:lang w:val="en-US" w:eastAsia="en-GB"/>
        </w:rPr>
      </w:pPr>
    </w:p>
    <w:p w14:paraId="6799DE0B" w14:textId="77777777" w:rsidR="00443341" w:rsidRDefault="00443341" w:rsidP="0066301C">
      <w:pPr>
        <w:autoSpaceDE w:val="0"/>
        <w:autoSpaceDN w:val="0"/>
        <w:adjustRightInd w:val="0"/>
        <w:spacing w:after="0" w:line="276" w:lineRule="auto"/>
        <w:rPr>
          <w:rFonts w:ascii="Arial" w:eastAsia="Times New Roman" w:hAnsi="Arial" w:cs="Arial"/>
          <w:b/>
          <w:lang w:val="en-US" w:eastAsia="en-GB"/>
        </w:rPr>
      </w:pPr>
    </w:p>
    <w:p w14:paraId="640934B8" w14:textId="77777777" w:rsidR="00443341" w:rsidRDefault="00443341" w:rsidP="0066301C">
      <w:pPr>
        <w:autoSpaceDE w:val="0"/>
        <w:autoSpaceDN w:val="0"/>
        <w:adjustRightInd w:val="0"/>
        <w:spacing w:after="0" w:line="276" w:lineRule="auto"/>
        <w:rPr>
          <w:rFonts w:ascii="Arial" w:eastAsia="Times New Roman" w:hAnsi="Arial" w:cs="Arial"/>
          <w:b/>
          <w:lang w:val="en-US" w:eastAsia="en-GB"/>
        </w:rPr>
      </w:pPr>
    </w:p>
    <w:p w14:paraId="2B9A3E51" w14:textId="77777777" w:rsidR="00443341" w:rsidRDefault="00443341" w:rsidP="0066301C">
      <w:pPr>
        <w:autoSpaceDE w:val="0"/>
        <w:autoSpaceDN w:val="0"/>
        <w:adjustRightInd w:val="0"/>
        <w:spacing w:after="0" w:line="276" w:lineRule="auto"/>
        <w:rPr>
          <w:rFonts w:ascii="Arial" w:eastAsia="Times New Roman" w:hAnsi="Arial" w:cs="Arial"/>
          <w:b/>
          <w:lang w:val="en-US" w:eastAsia="en-GB"/>
        </w:rPr>
      </w:pPr>
    </w:p>
    <w:p w14:paraId="21FFDCF2" w14:textId="77777777" w:rsidR="00443341" w:rsidRDefault="00443341" w:rsidP="0066301C">
      <w:pPr>
        <w:autoSpaceDE w:val="0"/>
        <w:autoSpaceDN w:val="0"/>
        <w:adjustRightInd w:val="0"/>
        <w:spacing w:after="0" w:line="276" w:lineRule="auto"/>
        <w:rPr>
          <w:rFonts w:ascii="Arial" w:eastAsia="Times New Roman" w:hAnsi="Arial" w:cs="Arial"/>
          <w:b/>
          <w:lang w:val="en-US" w:eastAsia="en-GB"/>
        </w:rPr>
      </w:pPr>
    </w:p>
    <w:p w14:paraId="17D2AEE3" w14:textId="77777777" w:rsidR="00443341" w:rsidRDefault="00443341" w:rsidP="0066301C">
      <w:pPr>
        <w:autoSpaceDE w:val="0"/>
        <w:autoSpaceDN w:val="0"/>
        <w:adjustRightInd w:val="0"/>
        <w:spacing w:after="0" w:line="276" w:lineRule="auto"/>
        <w:rPr>
          <w:rFonts w:ascii="Arial" w:eastAsia="Times New Roman" w:hAnsi="Arial" w:cs="Arial"/>
          <w:b/>
          <w:lang w:val="en-US" w:eastAsia="en-GB"/>
        </w:rPr>
      </w:pPr>
    </w:p>
    <w:p w14:paraId="4A4698B4" w14:textId="77777777" w:rsidR="00443341" w:rsidRDefault="00443341" w:rsidP="0066301C">
      <w:pPr>
        <w:autoSpaceDE w:val="0"/>
        <w:autoSpaceDN w:val="0"/>
        <w:adjustRightInd w:val="0"/>
        <w:spacing w:after="0" w:line="276" w:lineRule="auto"/>
        <w:rPr>
          <w:rFonts w:ascii="Arial" w:eastAsia="Times New Roman" w:hAnsi="Arial" w:cs="Arial"/>
          <w:b/>
          <w:lang w:val="en-US" w:eastAsia="en-GB"/>
        </w:rPr>
      </w:pPr>
    </w:p>
    <w:p w14:paraId="485CD4A9" w14:textId="77777777" w:rsidR="00443341" w:rsidRDefault="00443341" w:rsidP="0066301C">
      <w:pPr>
        <w:autoSpaceDE w:val="0"/>
        <w:autoSpaceDN w:val="0"/>
        <w:adjustRightInd w:val="0"/>
        <w:spacing w:after="0" w:line="276" w:lineRule="auto"/>
        <w:rPr>
          <w:rFonts w:ascii="Arial" w:eastAsia="Times New Roman" w:hAnsi="Arial" w:cs="Arial"/>
          <w:b/>
          <w:lang w:val="en-US" w:eastAsia="en-GB"/>
        </w:rPr>
      </w:pPr>
    </w:p>
    <w:p w14:paraId="129BDDC4" w14:textId="77777777" w:rsidR="00443341" w:rsidRDefault="00443341" w:rsidP="0066301C">
      <w:pPr>
        <w:autoSpaceDE w:val="0"/>
        <w:autoSpaceDN w:val="0"/>
        <w:adjustRightInd w:val="0"/>
        <w:spacing w:after="0" w:line="276" w:lineRule="auto"/>
        <w:rPr>
          <w:rFonts w:ascii="Arial" w:eastAsia="Times New Roman" w:hAnsi="Arial" w:cs="Arial"/>
          <w:b/>
          <w:lang w:val="en-US" w:eastAsia="en-GB"/>
        </w:rPr>
      </w:pPr>
    </w:p>
    <w:p w14:paraId="7532D8DC" w14:textId="77777777" w:rsidR="008A681D" w:rsidRDefault="008A681D" w:rsidP="0066301C">
      <w:pPr>
        <w:pStyle w:val="Heading1"/>
        <w:numPr>
          <w:ilvl w:val="0"/>
          <w:numId w:val="0"/>
        </w:numPr>
        <w:spacing w:before="0"/>
        <w:rPr>
          <w:rFonts w:eastAsia="Times New Roman"/>
          <w:lang w:val="en-US"/>
        </w:rPr>
      </w:pPr>
    </w:p>
    <w:p w14:paraId="51C29F68" w14:textId="77777777" w:rsidR="00A911B8" w:rsidRDefault="00A911B8" w:rsidP="0066301C">
      <w:pPr>
        <w:rPr>
          <w:lang w:val="en-US" w:eastAsia="en-GB"/>
        </w:rPr>
      </w:pPr>
    </w:p>
    <w:p w14:paraId="2E5B987D" w14:textId="77777777" w:rsidR="00A911B8" w:rsidRPr="008A681D" w:rsidRDefault="00A911B8" w:rsidP="0066301C">
      <w:pPr>
        <w:rPr>
          <w:lang w:val="en-US" w:eastAsia="en-GB"/>
        </w:rPr>
      </w:pPr>
    </w:p>
    <w:p w14:paraId="29FBC49A" w14:textId="6C42E496" w:rsidR="00402561" w:rsidRPr="008204CC" w:rsidRDefault="00402561" w:rsidP="0066301C">
      <w:pPr>
        <w:pStyle w:val="Heading1"/>
        <w:numPr>
          <w:ilvl w:val="0"/>
          <w:numId w:val="0"/>
        </w:numPr>
        <w:spacing w:before="0"/>
        <w:rPr>
          <w:rFonts w:eastAsia="Times New Roman"/>
          <w:lang w:val="en-US"/>
        </w:rPr>
      </w:pPr>
      <w:bookmarkStart w:id="493" w:name="_Toc171075428"/>
      <w:bookmarkStart w:id="494" w:name="_Hlk170840768"/>
      <w:r>
        <w:rPr>
          <w:rFonts w:eastAsia="Times New Roman"/>
          <w:lang w:val="en-US"/>
        </w:rPr>
        <w:t xml:space="preserve">CHAPTER </w:t>
      </w:r>
      <w:r w:rsidR="003925B3">
        <w:rPr>
          <w:rFonts w:eastAsia="Times New Roman"/>
          <w:lang w:val="en-US"/>
        </w:rPr>
        <w:t>5</w:t>
      </w:r>
      <w:r w:rsidR="008C1B60">
        <w:br/>
      </w:r>
      <w:r w:rsidR="00542E6E">
        <w:rPr>
          <w:rFonts w:eastAsia="Times New Roman"/>
          <w:lang w:val="en-US"/>
        </w:rPr>
        <w:t xml:space="preserve">AN EMPIRICAL EXAMINATION OF THE </w:t>
      </w:r>
      <w:r w:rsidR="008204CC" w:rsidRPr="008204CC">
        <w:rPr>
          <w:rFonts w:eastAsia="Times New Roman"/>
          <w:lang w:val="en-US"/>
        </w:rPr>
        <w:t xml:space="preserve">REAL EFFECTIVE EXCHANGE RATE MOVEMENT </w:t>
      </w:r>
      <w:bookmarkStart w:id="495" w:name="_Hlk162355874"/>
      <w:r w:rsidRPr="008204CC">
        <w:rPr>
          <w:rFonts w:eastAsia="Times New Roman"/>
          <w:lang w:val="en-US"/>
        </w:rPr>
        <w:t>AND ECONOMIC GROWTH.</w:t>
      </w:r>
      <w:bookmarkEnd w:id="493"/>
      <w:r w:rsidR="30D2517B" w:rsidRPr="3188175A">
        <w:rPr>
          <w:rFonts w:eastAsia="Times New Roman"/>
          <w:lang w:val="en-US"/>
        </w:rPr>
        <w:t xml:space="preserve"> </w:t>
      </w:r>
    </w:p>
    <w:p w14:paraId="3AB21BCA" w14:textId="20ED7B8C" w:rsidR="00402561" w:rsidRDefault="003925B3" w:rsidP="0066301C">
      <w:pPr>
        <w:pStyle w:val="Heading2"/>
        <w:spacing w:before="0" w:beforeAutospacing="0"/>
      </w:pPr>
      <w:bookmarkStart w:id="496" w:name="_Toc171075429"/>
      <w:r>
        <w:t>5</w:t>
      </w:r>
      <w:r w:rsidR="00000471">
        <w:t>.1</w:t>
      </w:r>
      <w:r w:rsidR="00402561">
        <w:t xml:space="preserve"> </w:t>
      </w:r>
      <w:r w:rsidR="00402561">
        <w:tab/>
      </w:r>
      <w:r w:rsidR="00402561" w:rsidRPr="008204CC">
        <w:t>INTRODUCTION</w:t>
      </w:r>
      <w:bookmarkEnd w:id="496"/>
      <w:r w:rsidR="00402561" w:rsidRPr="008204CC">
        <w:t xml:space="preserve"> </w:t>
      </w:r>
    </w:p>
    <w:p w14:paraId="7092345A" w14:textId="1D6993E9" w:rsidR="003E1A61" w:rsidRPr="009013FF" w:rsidRDefault="003E1A61" w:rsidP="0066301C">
      <w:pPr>
        <w:spacing w:line="360" w:lineRule="auto"/>
        <w:jc w:val="both"/>
        <w:rPr>
          <w:rFonts w:ascii="Arial" w:hAnsi="Arial" w:cs="Arial"/>
        </w:rPr>
      </w:pPr>
      <w:r w:rsidRPr="009013FF">
        <w:rPr>
          <w:rFonts w:ascii="Arial" w:hAnsi="Arial" w:cs="Arial"/>
        </w:rPr>
        <w:t>In this chapter, we will be investigating the relationship between the Real Effective Exchange Rate (REER)</w:t>
      </w:r>
      <w:r w:rsidR="00435E96" w:rsidRPr="009013FF">
        <w:rPr>
          <w:rFonts w:ascii="Arial" w:hAnsi="Arial" w:cs="Arial"/>
        </w:rPr>
        <w:t xml:space="preserve"> and economic growth</w:t>
      </w:r>
      <w:r w:rsidR="000D583B" w:rsidRPr="009013FF">
        <w:rPr>
          <w:rFonts w:ascii="Arial" w:hAnsi="Arial" w:cs="Arial"/>
        </w:rPr>
        <w:t xml:space="preserve"> (i.e., does currency devaluation improve the economic growth of nations). This</w:t>
      </w:r>
      <w:r w:rsidR="00435E96" w:rsidRPr="009013FF">
        <w:rPr>
          <w:rFonts w:ascii="Arial" w:hAnsi="Arial" w:cs="Arial"/>
        </w:rPr>
        <w:t xml:space="preserve"> is done by empirically investigate the relationship between the CFA franc and the </w:t>
      </w:r>
      <w:r w:rsidRPr="009013FF">
        <w:rPr>
          <w:rFonts w:ascii="Arial" w:hAnsi="Arial" w:cs="Arial"/>
        </w:rPr>
        <w:t xml:space="preserve">economic growth </w:t>
      </w:r>
      <w:r w:rsidR="00435E96" w:rsidRPr="009013FF">
        <w:rPr>
          <w:rFonts w:ascii="Arial" w:hAnsi="Arial" w:cs="Arial"/>
        </w:rPr>
        <w:t>of the CEMAC zone</w:t>
      </w:r>
      <w:r w:rsidR="00AF7ACA" w:rsidRPr="009013FF">
        <w:rPr>
          <w:rFonts w:ascii="Arial" w:hAnsi="Arial" w:cs="Arial"/>
        </w:rPr>
        <w:t xml:space="preserve">. </w:t>
      </w:r>
      <w:r w:rsidR="00D16910" w:rsidRPr="009013FF">
        <w:rPr>
          <w:rFonts w:ascii="Arial" w:hAnsi="Arial" w:cs="Arial"/>
          <w:lang w:eastAsia="en-GB"/>
        </w:rPr>
        <w:t>To estimate the long-run relationship among the variables, we used the panel autoregressive distributed lag (ARDL) model.</w:t>
      </w:r>
      <w:r w:rsidR="00D16910" w:rsidRPr="009013FF">
        <w:rPr>
          <w:rStyle w:val="FootnoteReference"/>
          <w:rFonts w:ascii="Arial" w:eastAsia="Times New Roman" w:hAnsi="Arial" w:cs="Arial"/>
          <w:lang w:eastAsia="en-GB"/>
        </w:rPr>
        <w:footnoteReference w:id="132"/>
      </w:r>
      <w:r w:rsidR="00D16910" w:rsidRPr="009013FF">
        <w:rPr>
          <w:rFonts w:ascii="Arial" w:hAnsi="Arial" w:cs="Arial"/>
          <w:lang w:eastAsia="en-GB"/>
        </w:rPr>
        <w:t xml:space="preserve"> This approach helps us understand if CFA franc devaluation contributes to the region’s economic growth. </w:t>
      </w:r>
      <w:r w:rsidRPr="009013FF">
        <w:rPr>
          <w:rFonts w:ascii="Arial" w:hAnsi="Arial" w:cs="Arial"/>
        </w:rPr>
        <w:t>If there is no long-term relationship between REER and economic</w:t>
      </w:r>
      <w:r w:rsidR="000D583B" w:rsidRPr="009013FF">
        <w:rPr>
          <w:rFonts w:ascii="Arial" w:hAnsi="Arial" w:cs="Arial"/>
        </w:rPr>
        <w:t xml:space="preserve"> growth</w:t>
      </w:r>
      <w:r w:rsidR="00435E96" w:rsidRPr="009013FF">
        <w:rPr>
          <w:rFonts w:ascii="Arial" w:hAnsi="Arial" w:cs="Arial"/>
        </w:rPr>
        <w:t>,</w:t>
      </w:r>
      <w:r w:rsidR="000D583B" w:rsidRPr="009013FF">
        <w:rPr>
          <w:rFonts w:ascii="Arial" w:hAnsi="Arial" w:cs="Arial"/>
        </w:rPr>
        <w:t xml:space="preserve"> policymakers should look for different tools but for currency devaluation to improve their economic growth.</w:t>
      </w:r>
      <w:r w:rsidR="00435E96" w:rsidRPr="009013FF">
        <w:rPr>
          <w:rFonts w:ascii="Arial" w:hAnsi="Arial" w:cs="Arial"/>
        </w:rPr>
        <w:t xml:space="preserve"> </w:t>
      </w:r>
    </w:p>
    <w:bookmarkEnd w:id="494"/>
    <w:p w14:paraId="752982F3" w14:textId="69A1036B" w:rsidR="006C17DF" w:rsidRPr="009013FF" w:rsidRDefault="00AB49FA" w:rsidP="0066301C">
      <w:pPr>
        <w:spacing w:line="360" w:lineRule="auto"/>
        <w:jc w:val="both"/>
        <w:rPr>
          <w:rFonts w:ascii="Arial" w:hAnsi="Arial" w:cs="Arial"/>
        </w:rPr>
      </w:pPr>
      <w:r w:rsidRPr="009013FF">
        <w:rPr>
          <w:rFonts w:ascii="Arial" w:hAnsi="Arial" w:cs="Arial"/>
        </w:rPr>
        <w:t>The ‘Washington Consensus’ by Williamson (1994) acknowledges the vital role of RER in the growth process.</w:t>
      </w:r>
      <w:r w:rsidRPr="009013FF">
        <w:rPr>
          <w:rStyle w:val="FootnoteReference"/>
          <w:rFonts w:ascii="Arial" w:hAnsi="Arial" w:cs="Arial"/>
        </w:rPr>
        <w:footnoteReference w:id="133"/>
      </w:r>
      <w:r w:rsidRPr="009013FF">
        <w:rPr>
          <w:rFonts w:ascii="Arial" w:hAnsi="Arial" w:cs="Arial"/>
        </w:rPr>
        <w:t xml:space="preserve"> According to it, an appropriate real exchange rate should be consistent with macroeconomic objectives (price stability, full employment, economic growth, balance of payment equilibrium, and social welfare) in the medium run and “sufﬁciently competitive” such that exports grow at a rate consistent with external balance. </w:t>
      </w:r>
      <w:r w:rsidR="00567298" w:rsidRPr="009013FF">
        <w:rPr>
          <w:rFonts w:ascii="Arial" w:hAnsi="Arial" w:cs="Arial"/>
        </w:rPr>
        <w:t xml:space="preserve">From this vantage point, there is the notion that there exists an equilibrium real exchange rate (ERER) that satisﬁes both internal and external balances (Nurkse, 1945), and any deviation from it could impede economic growth. </w:t>
      </w:r>
      <w:r w:rsidR="00087A56" w:rsidRPr="009013FF">
        <w:rPr>
          <w:rFonts w:ascii="Arial" w:hAnsi="Arial" w:cs="Arial"/>
        </w:rPr>
        <w:t>A</w:t>
      </w:r>
      <w:r w:rsidR="006C17DF" w:rsidRPr="009013FF">
        <w:rPr>
          <w:rFonts w:ascii="Arial" w:hAnsi="Arial" w:cs="Arial"/>
        </w:rPr>
        <w:t xml:space="preserve"> persistently overvalued RER leads to factor misalignment, loss in efficiency, and loss of competitiveness, which hinders growth and slows convergence.</w:t>
      </w:r>
      <w:r w:rsidR="00F7007A" w:rsidRPr="009013FF">
        <w:rPr>
          <w:rStyle w:val="FootnoteReference"/>
          <w:rFonts w:ascii="Arial" w:hAnsi="Arial" w:cs="Arial"/>
        </w:rPr>
        <w:footnoteReference w:id="134"/>
      </w:r>
      <w:r w:rsidR="006C17DF" w:rsidRPr="009013FF">
        <w:rPr>
          <w:rFonts w:ascii="Arial" w:hAnsi="Arial" w:cs="Arial"/>
        </w:rPr>
        <w:t xml:space="preserve"> Also, </w:t>
      </w:r>
      <w:r w:rsidR="006C17DF" w:rsidRPr="009013FF">
        <w:rPr>
          <w:rFonts w:ascii="Arial" w:hAnsi="Arial" w:cs="Arial"/>
        </w:rPr>
        <w:lastRenderedPageBreak/>
        <w:t>an overvalued RER exposes a currency to speculative attacks, which could eventually lead to capital flight as was the case of the Southeast Asia 1997 crisis (Ngian, 2000; Goldstein, 1998).</w:t>
      </w:r>
      <w:r w:rsidR="006C17DF" w:rsidRPr="009013FF">
        <w:rPr>
          <w:rStyle w:val="FootnoteReference"/>
          <w:rFonts w:ascii="Arial" w:hAnsi="Arial" w:cs="Arial"/>
        </w:rPr>
        <w:footnoteReference w:id="135"/>
      </w:r>
      <w:r w:rsidR="006C17DF" w:rsidRPr="009013FF">
        <w:rPr>
          <w:rFonts w:ascii="Arial" w:hAnsi="Arial" w:cs="Arial"/>
        </w:rPr>
        <w:t> The above conclusion is unanimously accepted for the RER overvaluation, but the theoretical and analytical equivalent for its alternative – the RER undervaluation being helpful to economic growth – is not.</w:t>
      </w:r>
      <w:r w:rsidR="006C17DF" w:rsidRPr="009013FF">
        <w:rPr>
          <w:rStyle w:val="FootnoteReference"/>
          <w:rFonts w:ascii="Arial" w:hAnsi="Arial" w:cs="Arial"/>
        </w:rPr>
        <w:footnoteReference w:id="136"/>
      </w:r>
      <w:r w:rsidR="006C17DF" w:rsidRPr="009013FF">
        <w:rPr>
          <w:rFonts w:ascii="Arial" w:hAnsi="Arial" w:cs="Arial"/>
        </w:rPr>
        <w:t>  </w:t>
      </w:r>
    </w:p>
    <w:p w14:paraId="4ECB53A5" w14:textId="62AFA304" w:rsidR="00AB49FA" w:rsidRPr="009013FF" w:rsidRDefault="00AB49FA" w:rsidP="0066301C">
      <w:pPr>
        <w:spacing w:line="360" w:lineRule="auto"/>
        <w:jc w:val="both"/>
        <w:rPr>
          <w:rFonts w:ascii="Arial" w:hAnsi="Arial" w:cs="Arial"/>
        </w:rPr>
      </w:pPr>
      <w:r w:rsidRPr="009013FF">
        <w:rPr>
          <w:rFonts w:ascii="Arial" w:hAnsi="Arial" w:cs="Arial"/>
        </w:rPr>
        <w:t>Contrary to the ‘Washington Consensus’ is the view championed by Rodrik (2008) that RER undervaluation promotes economic growth, and overvaluation harms it. This stance is in part due to the point of view that exchange rate – precisely an undervalued currency could be used in protecting home-based infant industries and the competitiveness of their exports (Nouira and Sekkat, 2015; Grekou, 2015; Levy-Yeyati </w:t>
      </w:r>
      <w:r w:rsidRPr="009013FF">
        <w:rPr>
          <w:rStyle w:val="Emphasis"/>
          <w:rFonts w:ascii="Arial" w:hAnsi="Arial" w:cs="Arial"/>
          <w:color w:val="0E101A"/>
        </w:rPr>
        <w:t>et al.,</w:t>
      </w:r>
      <w:r w:rsidRPr="009013FF">
        <w:rPr>
          <w:rFonts w:ascii="Arial" w:hAnsi="Arial" w:cs="Arial"/>
        </w:rPr>
        <w:t> 2013; Rodrik, 2008). This perspective was recently rekindled due to the success story of the export-led growth in conjunction with apparently undervalued currency in East-Asian nations (Grekou, 2015; Rodrik, 2008; Levy-Yeyati and Sturzenegger, 2007).</w:t>
      </w:r>
      <w:r w:rsidRPr="009013FF">
        <w:rPr>
          <w:rStyle w:val="FootnoteReference"/>
          <w:rFonts w:ascii="Arial" w:hAnsi="Arial" w:cs="Arial"/>
        </w:rPr>
        <w:footnoteReference w:id="137"/>
      </w:r>
      <w:r w:rsidRPr="009013FF">
        <w:rPr>
          <w:rFonts w:ascii="Arial" w:hAnsi="Arial" w:cs="Arial"/>
        </w:rPr>
        <w:t> Finally, Rodrik (2008) says that due to institutional weakness and market failure,</w:t>
      </w:r>
      <w:r w:rsidRPr="009013FF">
        <w:rPr>
          <w:rStyle w:val="FootnoteReference"/>
          <w:rFonts w:ascii="Arial" w:hAnsi="Arial" w:cs="Arial"/>
        </w:rPr>
        <w:footnoteReference w:id="138"/>
      </w:r>
      <w:r w:rsidRPr="009013FF">
        <w:rPr>
          <w:rFonts w:ascii="Arial" w:hAnsi="Arial" w:cs="Arial"/>
        </w:rPr>
        <w:t xml:space="preserve"> the manufacturing sector in developing nations is unduly subject to distortions. As such, it is below its optimal size in equilibrium. Because removing </w:t>
      </w:r>
      <w:r w:rsidRPr="009013FF">
        <w:rPr>
          <w:rFonts w:ascii="Arial" w:hAnsi="Arial" w:cs="Arial"/>
        </w:rPr>
        <w:lastRenderedPageBreak/>
        <w:t>those distortions appears difficult, an undervalued RER serves as a ‘more practical’ second-best option for optimally re-allocating resources towards the manufacturing sector (Rodrik, 2008). </w:t>
      </w:r>
    </w:p>
    <w:p w14:paraId="6954B203" w14:textId="77777777" w:rsidR="00AB49FA" w:rsidRPr="009013FF" w:rsidRDefault="00AB49FA" w:rsidP="0066301C">
      <w:pPr>
        <w:spacing w:line="360" w:lineRule="auto"/>
        <w:jc w:val="both"/>
        <w:rPr>
          <w:rFonts w:ascii="Arial" w:hAnsi="Arial" w:cs="Arial"/>
        </w:rPr>
      </w:pPr>
      <w:bookmarkStart w:id="497" w:name="_Hlk162662766"/>
      <w:r w:rsidRPr="009013FF">
        <w:rPr>
          <w:rFonts w:ascii="Arial" w:hAnsi="Arial" w:cs="Arial"/>
        </w:rPr>
        <w:t>Some empirical results do not support the conclusion that an undervalued RER contributes to economic growth. Easterly (2005) review of the updated Dollar (1997) measure of currency devaluation concludes that RER devaluation was insignificant as a determinant of economic growth. Acemoglu </w:t>
      </w:r>
      <w:r w:rsidRPr="009013FF">
        <w:rPr>
          <w:rStyle w:val="Emphasis"/>
          <w:rFonts w:ascii="Arial" w:hAnsi="Arial" w:cs="Arial"/>
          <w:color w:val="0E101A"/>
        </w:rPr>
        <w:t>et al.</w:t>
      </w:r>
      <w:r w:rsidRPr="009013FF">
        <w:rPr>
          <w:rFonts w:ascii="Arial" w:hAnsi="Arial" w:cs="Arial"/>
        </w:rPr>
        <w:t> (2003) and the IMF (2005) also reached this conclusion, and that the outcome was even weaker when institutions were introduced in the growth model. Nevertheless, some evidence of the positive effect of RER devaluation has surfaced, with the East-Asian nations (China, Hong Kong, Indonesia, Japan, Malaysia, Singapore, South Korea, Thailand, and Taiwan) being perfect examples. It is believed that their “miraculous” growth between the periods 1965 to 1990 was due to the support of “smart”</w:t>
      </w:r>
      <w:r w:rsidRPr="009013FF">
        <w:rPr>
          <w:rStyle w:val="FootnoteReference"/>
          <w:rFonts w:ascii="Arial" w:hAnsi="Arial" w:cs="Arial"/>
        </w:rPr>
        <w:footnoteReference w:id="139"/>
      </w:r>
      <w:r w:rsidRPr="009013FF">
        <w:rPr>
          <w:rFonts w:ascii="Arial" w:hAnsi="Arial" w:cs="Arial"/>
        </w:rPr>
        <w:t xml:space="preserve"> in their export-led growth strategy, alongside their manipulation of the exchange rate (Razmi </w:t>
      </w:r>
      <w:r w:rsidRPr="009013FF">
        <w:rPr>
          <w:rFonts w:ascii="Arial" w:hAnsi="Arial" w:cs="Arial"/>
          <w:i/>
          <w:iCs/>
        </w:rPr>
        <w:t>et al</w:t>
      </w:r>
      <w:r w:rsidRPr="009013FF">
        <w:rPr>
          <w:rFonts w:ascii="Arial" w:hAnsi="Arial" w:cs="Arial"/>
        </w:rPr>
        <w:t>., 2012; Rodrik, 2008; World Bank, 1993).</w:t>
      </w:r>
    </w:p>
    <w:p w14:paraId="09AA3E68" w14:textId="51CEBA1E" w:rsidR="0093432E" w:rsidRPr="0054539B" w:rsidRDefault="0093432E" w:rsidP="0066301C">
      <w:pPr>
        <w:autoSpaceDE w:val="0"/>
        <w:autoSpaceDN w:val="0"/>
        <w:adjustRightInd w:val="0"/>
        <w:spacing w:after="200" w:line="360" w:lineRule="auto"/>
        <w:contextualSpacing/>
        <w:jc w:val="both"/>
        <w:rPr>
          <w:rFonts w:ascii="Arial" w:hAnsi="Arial" w:cs="Arial"/>
          <w:lang w:eastAsia="en-GB"/>
        </w:rPr>
      </w:pPr>
      <w:bookmarkStart w:id="498" w:name="_Hlk164718512"/>
      <w:bookmarkEnd w:id="497"/>
      <w:r w:rsidRPr="0054539B">
        <w:rPr>
          <w:rFonts w:ascii="Arial" w:hAnsi="Arial" w:cs="Arial"/>
          <w:lang w:eastAsia="en-GB"/>
        </w:rPr>
        <w:t>Since the FCFA was devalued with the aim of improving the economic growth of the region, in this chapter we shall be using the</w:t>
      </w:r>
      <w:r w:rsidR="00023E6B">
        <w:rPr>
          <w:rFonts w:ascii="Arial" w:hAnsi="Arial" w:cs="Arial"/>
          <w:lang w:eastAsia="en-GB"/>
        </w:rPr>
        <w:t xml:space="preserve"> </w:t>
      </w:r>
      <w:r w:rsidR="00023E6B">
        <w:rPr>
          <w:rFonts w:ascii="Arial" w:hAnsi="Arial" w:cs="Arial"/>
          <w:lang w:val="en-US"/>
        </w:rPr>
        <w:t xml:space="preserve">Pooled Mean Group (PMG) </w:t>
      </w:r>
      <w:r w:rsidRPr="0054539B">
        <w:rPr>
          <w:rFonts w:ascii="Arial" w:hAnsi="Arial" w:cs="Arial"/>
          <w:lang w:eastAsia="en-GB"/>
        </w:rPr>
        <w:t xml:space="preserve">panel autoregression distributed lag (ARDL) approach to investigate the nature of the relationship between REER and the CEMAC region’s economic growth. This will inform us if the FCFA devaluation improves the CEMAC region’s economic growth or not. The data used are secondary data collected from the World Bank - World Development Indicators (WDI). The data sample is within the period 1980 to 2018 for the following three CEMAC nations (Cameroon, </w:t>
      </w:r>
      <w:r w:rsidR="00D76278">
        <w:rPr>
          <w:rFonts w:ascii="Arial" w:hAnsi="Arial" w:cs="Arial"/>
          <w:lang w:eastAsia="en-GB"/>
        </w:rPr>
        <w:t xml:space="preserve">Central Africa Republic - </w:t>
      </w:r>
      <w:r w:rsidRPr="0054539B">
        <w:rPr>
          <w:rFonts w:ascii="Arial" w:hAnsi="Arial" w:cs="Arial"/>
          <w:lang w:eastAsia="en-GB"/>
        </w:rPr>
        <w:t>CAR, and Gabon).</w:t>
      </w:r>
      <w:r>
        <w:rPr>
          <w:rStyle w:val="FootnoteReference"/>
          <w:rFonts w:ascii="Arial" w:hAnsi="Arial" w:cs="Arial"/>
          <w:lang w:eastAsia="en-GB"/>
        </w:rPr>
        <w:footnoteReference w:id="140"/>
      </w:r>
      <w:r w:rsidRPr="0054539B">
        <w:rPr>
          <w:rFonts w:ascii="Arial" w:hAnsi="Arial" w:cs="Arial"/>
          <w:lang w:eastAsia="en-GB"/>
        </w:rPr>
        <w:t> </w:t>
      </w:r>
      <w:r w:rsidR="00F26FC9">
        <w:rPr>
          <w:rFonts w:ascii="Arial" w:hAnsi="Arial" w:cs="Arial"/>
          <w:lang w:eastAsia="en-GB"/>
        </w:rPr>
        <w:t xml:space="preserve">We use </w:t>
      </w:r>
      <w:r w:rsidR="00F26FC9" w:rsidRPr="008204CC">
        <w:rPr>
          <w:rFonts w:ascii="Arial" w:eastAsia="Times New Roman" w:hAnsi="Arial" w:cs="Arial"/>
          <w:lang w:eastAsia="en-GB"/>
        </w:rPr>
        <w:t xml:space="preserve">economic growth </w:t>
      </w:r>
      <w:r w:rsidR="00F26FC9">
        <w:rPr>
          <w:rFonts w:ascii="Arial" w:eastAsia="Times New Roman" w:hAnsi="Arial" w:cs="Arial"/>
          <w:lang w:eastAsia="en-GB"/>
        </w:rPr>
        <w:t xml:space="preserve">proxy by </w:t>
      </w:r>
      <w:r w:rsidR="00F26FC9" w:rsidRPr="008204CC">
        <w:rPr>
          <w:rFonts w:ascii="Arial" w:eastAsia="Times New Roman" w:hAnsi="Arial" w:cs="Arial"/>
          <w:lang w:eastAsia="en-GB"/>
        </w:rPr>
        <w:t>gross domestic product (GDP) per capita growth</w:t>
      </w:r>
      <w:r w:rsidR="00F26FC9">
        <w:rPr>
          <w:rFonts w:ascii="Arial" w:eastAsia="Times New Roman" w:hAnsi="Arial" w:cs="Arial"/>
          <w:lang w:eastAsia="en-GB"/>
        </w:rPr>
        <w:t xml:space="preserve"> as the</w:t>
      </w:r>
      <w:r w:rsidR="00F26FC9" w:rsidRPr="008204CC">
        <w:rPr>
          <w:rFonts w:ascii="Arial" w:eastAsia="Times New Roman" w:hAnsi="Arial" w:cs="Arial"/>
          <w:lang w:eastAsia="en-GB"/>
        </w:rPr>
        <w:t xml:space="preserve"> dependent variable</w:t>
      </w:r>
      <w:r w:rsidR="00F26FC9">
        <w:rPr>
          <w:rFonts w:ascii="Arial" w:hAnsi="Arial" w:cs="Arial"/>
          <w:lang w:eastAsia="en-GB"/>
        </w:rPr>
        <w:t xml:space="preserve">, while </w:t>
      </w:r>
      <w:r w:rsidR="00F26FC9" w:rsidRPr="008204CC">
        <w:rPr>
          <w:rFonts w:ascii="Arial" w:eastAsia="Times New Roman" w:hAnsi="Arial" w:cs="Arial"/>
          <w:lang w:eastAsia="en-GB"/>
        </w:rPr>
        <w:t>real effective exchange rate</w:t>
      </w:r>
      <w:r w:rsidR="00F26FC9">
        <w:rPr>
          <w:rFonts w:ascii="Arial" w:eastAsia="Times New Roman" w:hAnsi="Arial" w:cs="Arial"/>
          <w:lang w:eastAsia="en-GB"/>
        </w:rPr>
        <w:t>, G</w:t>
      </w:r>
      <w:r w:rsidR="00F26FC9" w:rsidRPr="008204CC">
        <w:rPr>
          <w:rFonts w:ascii="Arial" w:eastAsia="Times New Roman" w:hAnsi="Arial" w:cs="Arial"/>
          <w:lang w:eastAsia="en-GB"/>
        </w:rPr>
        <w:t>overnment consumption</w:t>
      </w:r>
      <w:r w:rsidR="00F26FC9">
        <w:rPr>
          <w:rFonts w:ascii="Arial" w:eastAsia="Times New Roman" w:hAnsi="Arial" w:cs="Arial"/>
          <w:lang w:eastAsia="en-GB"/>
        </w:rPr>
        <w:t>, T</w:t>
      </w:r>
      <w:r w:rsidR="00F26FC9" w:rsidRPr="008204CC">
        <w:rPr>
          <w:rFonts w:ascii="Arial" w:eastAsia="Times New Roman" w:hAnsi="Arial" w:cs="Arial"/>
          <w:lang w:eastAsia="en-GB"/>
        </w:rPr>
        <w:t>rade openness</w:t>
      </w:r>
      <w:r w:rsidR="00F26FC9">
        <w:rPr>
          <w:rFonts w:ascii="Arial" w:eastAsia="Times New Roman" w:hAnsi="Arial" w:cs="Arial"/>
          <w:lang w:eastAsia="en-GB"/>
        </w:rPr>
        <w:t>, F</w:t>
      </w:r>
      <w:r w:rsidR="00F26FC9" w:rsidRPr="008204CC">
        <w:rPr>
          <w:rFonts w:ascii="Arial" w:eastAsia="Times New Roman" w:hAnsi="Arial" w:cs="Arial"/>
          <w:lang w:eastAsia="en-GB"/>
        </w:rPr>
        <w:t xml:space="preserve">oreign </w:t>
      </w:r>
      <w:r w:rsidR="00F26FC9">
        <w:rPr>
          <w:rFonts w:ascii="Arial" w:eastAsia="Times New Roman" w:hAnsi="Arial" w:cs="Arial"/>
          <w:lang w:eastAsia="en-GB"/>
        </w:rPr>
        <w:t>D</w:t>
      </w:r>
      <w:r w:rsidR="00F26FC9" w:rsidRPr="008204CC">
        <w:rPr>
          <w:rFonts w:ascii="Arial" w:eastAsia="Times New Roman" w:hAnsi="Arial" w:cs="Arial"/>
          <w:lang w:eastAsia="en-GB"/>
        </w:rPr>
        <w:t xml:space="preserve">irect </w:t>
      </w:r>
      <w:r w:rsidR="00F26FC9">
        <w:rPr>
          <w:rFonts w:ascii="Arial" w:eastAsia="Times New Roman" w:hAnsi="Arial" w:cs="Arial"/>
          <w:lang w:eastAsia="en-GB"/>
        </w:rPr>
        <w:t>I</w:t>
      </w:r>
      <w:r w:rsidR="00F26FC9" w:rsidRPr="008204CC">
        <w:rPr>
          <w:rFonts w:ascii="Arial" w:eastAsia="Times New Roman" w:hAnsi="Arial" w:cs="Arial"/>
          <w:lang w:eastAsia="en-GB"/>
        </w:rPr>
        <w:t>nvestmen</w:t>
      </w:r>
      <w:r w:rsidR="00F26FC9">
        <w:rPr>
          <w:rFonts w:ascii="Arial" w:eastAsia="Times New Roman" w:hAnsi="Arial" w:cs="Arial"/>
          <w:lang w:eastAsia="en-GB"/>
        </w:rPr>
        <w:t>t</w:t>
      </w:r>
      <w:r w:rsidR="00F26FC9" w:rsidRPr="008204CC">
        <w:rPr>
          <w:rFonts w:ascii="Arial" w:eastAsia="Times New Roman" w:hAnsi="Arial" w:cs="Arial"/>
          <w:lang w:eastAsia="en-GB"/>
        </w:rPr>
        <w:t xml:space="preserve">, </w:t>
      </w:r>
      <w:r w:rsidR="00F26FC9" w:rsidRPr="046713AE">
        <w:rPr>
          <w:rFonts w:ascii="Arial" w:eastAsia="Times New Roman" w:hAnsi="Arial" w:cs="Arial"/>
          <w:lang w:eastAsia="en-GB"/>
        </w:rPr>
        <w:t>Terms of Trade</w:t>
      </w:r>
      <w:r w:rsidR="00F26FC9">
        <w:rPr>
          <w:rFonts w:ascii="Arial" w:eastAsia="Times New Roman" w:hAnsi="Arial" w:cs="Arial"/>
          <w:lang w:eastAsia="en-GB"/>
        </w:rPr>
        <w:t xml:space="preserve"> as independent variables. </w:t>
      </w:r>
      <w:r w:rsidRPr="0054539B">
        <w:rPr>
          <w:rFonts w:ascii="Arial" w:hAnsi="Arial" w:cs="Arial"/>
          <w:lang w:eastAsia="en-GB"/>
        </w:rPr>
        <w:t xml:space="preserve">The analysis is performed using Eviews12 econometric software application. The rest of the chapter is organized as follows: section 5.2 looks at the impact of the REER on economic growth. Section 5.3 deals with the empirical model, section 5.4 deals with the econometric approach, section 5.5 deals with empirical analysis, </w:t>
      </w:r>
      <w:r w:rsidR="00D76278">
        <w:rPr>
          <w:rFonts w:ascii="Arial" w:hAnsi="Arial" w:cs="Arial"/>
          <w:lang w:eastAsia="en-GB"/>
        </w:rPr>
        <w:t>section 5.</w:t>
      </w:r>
      <w:r w:rsidR="0050583D">
        <w:rPr>
          <w:rFonts w:ascii="Arial" w:hAnsi="Arial" w:cs="Arial"/>
          <w:lang w:eastAsia="en-GB"/>
        </w:rPr>
        <w:t>6</w:t>
      </w:r>
      <w:r w:rsidR="00D76278">
        <w:rPr>
          <w:rFonts w:ascii="Arial" w:hAnsi="Arial" w:cs="Arial"/>
          <w:lang w:eastAsia="en-GB"/>
        </w:rPr>
        <w:t xml:space="preserve"> deals with policy recommendation, </w:t>
      </w:r>
      <w:r w:rsidRPr="0054539B">
        <w:rPr>
          <w:rFonts w:ascii="Arial" w:hAnsi="Arial" w:cs="Arial"/>
          <w:lang w:eastAsia="en-GB"/>
        </w:rPr>
        <w:t>and section 5.</w:t>
      </w:r>
      <w:r w:rsidR="0050583D">
        <w:rPr>
          <w:rFonts w:ascii="Arial" w:hAnsi="Arial" w:cs="Arial"/>
          <w:lang w:eastAsia="en-GB"/>
        </w:rPr>
        <w:t>7</w:t>
      </w:r>
      <w:r w:rsidRPr="0054539B">
        <w:rPr>
          <w:rFonts w:ascii="Arial" w:hAnsi="Arial" w:cs="Arial"/>
          <w:lang w:eastAsia="en-GB"/>
        </w:rPr>
        <w:t xml:space="preserve"> deals with the chapter conclusion. </w:t>
      </w:r>
    </w:p>
    <w:p w14:paraId="64BDEF92" w14:textId="6F322FD5" w:rsidR="00402561" w:rsidRDefault="003925B3" w:rsidP="0066301C">
      <w:pPr>
        <w:pStyle w:val="Heading2"/>
        <w:spacing w:before="0" w:beforeAutospacing="0"/>
      </w:pPr>
      <w:bookmarkStart w:id="499" w:name="_Toc171075430"/>
      <w:bookmarkEnd w:id="495"/>
      <w:bookmarkEnd w:id="498"/>
      <w:r>
        <w:lastRenderedPageBreak/>
        <w:t>5</w:t>
      </w:r>
      <w:r w:rsidR="00000471">
        <w:t>.2</w:t>
      </w:r>
      <w:r w:rsidR="00402561">
        <w:tab/>
      </w:r>
      <w:r w:rsidR="00400910" w:rsidRPr="00042A3A">
        <w:t>IMPACT</w:t>
      </w:r>
      <w:r w:rsidR="00400910">
        <w:t xml:space="preserve"> OF</w:t>
      </w:r>
      <w:r w:rsidR="00400910" w:rsidRPr="008204CC">
        <w:t xml:space="preserve"> </w:t>
      </w:r>
      <w:r w:rsidR="00402561" w:rsidRPr="008204CC">
        <w:t xml:space="preserve">REER ON </w:t>
      </w:r>
      <w:r w:rsidR="00400910">
        <w:t>ECONOMIC GROW</w:t>
      </w:r>
      <w:r w:rsidR="00CA5EB9">
        <w:t>T</w:t>
      </w:r>
      <w:r w:rsidR="00400910">
        <w:t>H</w:t>
      </w:r>
      <w:bookmarkEnd w:id="499"/>
      <w:r w:rsidR="00402561" w:rsidRPr="008204CC">
        <w:t xml:space="preserve"> </w:t>
      </w:r>
    </w:p>
    <w:p w14:paraId="308B24A6" w14:textId="77777777" w:rsidR="00F54C0D" w:rsidRPr="00DA4B82" w:rsidRDefault="00F54C0D" w:rsidP="0066301C">
      <w:pPr>
        <w:spacing w:line="360" w:lineRule="auto"/>
        <w:jc w:val="both"/>
        <w:rPr>
          <w:rFonts w:ascii="Arial" w:hAnsi="Arial" w:cs="Arial"/>
        </w:rPr>
      </w:pPr>
      <w:r w:rsidRPr="00DA4B82">
        <w:rPr>
          <w:rFonts w:ascii="Arial" w:hAnsi="Arial" w:cs="Arial"/>
        </w:rPr>
        <w:t>As per the orthodox Keynesian open economic theory, internal balance (price stability, full employment, and economic growth) and external balance (current account that is compatible with long-run capital flows) could be sustained via two kinds of policies: the expenditure-reducing and the expenditure-switching policies. While the expenditure-reducing policy aims at controlling aggregate expenditures, the fiscal and monetary policies are the tools used for achieving it. On the other hand, the expenditure-switching policy influences the composition of a nation’s expenditure on tradable and non-tradable goods, and the exchange rate is the principal mechanism used for this policy. </w:t>
      </w:r>
    </w:p>
    <w:p w14:paraId="6509B604" w14:textId="77777777" w:rsidR="00F54C0D" w:rsidRPr="00DA4B82" w:rsidRDefault="00F54C0D" w:rsidP="0066301C">
      <w:pPr>
        <w:spacing w:line="360" w:lineRule="auto"/>
        <w:jc w:val="both"/>
        <w:rPr>
          <w:rFonts w:ascii="Arial" w:hAnsi="Arial" w:cs="Arial"/>
        </w:rPr>
      </w:pPr>
      <w:r w:rsidRPr="00DA4B82">
        <w:rPr>
          <w:rFonts w:ascii="Arial" w:hAnsi="Arial" w:cs="Arial"/>
        </w:rPr>
        <w:t>The Mundell-Flaming model postulates that currency devaluation is expansionary if the Marshall-Lerner condition (MLC) is fulfilled.</w:t>
      </w:r>
      <w:r>
        <w:rPr>
          <w:rStyle w:val="FootnoteReference"/>
          <w:rFonts w:ascii="Arial" w:hAnsi="Arial" w:cs="Arial"/>
        </w:rPr>
        <w:footnoteReference w:id="141"/>
      </w:r>
      <w:r w:rsidRPr="00DA4B82">
        <w:rPr>
          <w:rFonts w:ascii="Arial" w:hAnsi="Arial" w:cs="Arial"/>
        </w:rPr>
        <w:t> Hence, the devaluation of an exchange rate enhances aggregate demand via the encouragement of exports and the creation of substitution from imports to domestic commodities. Until the 1970s, it was believed that currency devaluation only had a positive effect on a nation’s economic growth (Lizondo and Montiel, 1988). However, the recessions that occurred in some nations in Latin America through their implementation of the orthodox adjustment programs raised browse on the possibilities of devaluation being contractionary in developing nations. Several theoretical reasons were proposed by the “structuralist” economist, which were contrary to the traditional views on why devaluation could be contractionary, thereby leading to a decline in a nation’s economic growth (Diaz-Alejandro, 1963; Cooper, 1971; Lizondo and Montiel, 1988). They emphasised the effects of devaluation ignored by the orthodox, which include the negative income distribution effects, supply-side effects, and the real balance effect (Lizondo and Montiel, 1988). Thus, in the next section, we look at both the contractionary and expansionary devaluation assumptions, as well as the channels through which they could influence a nation’s economic growth. </w:t>
      </w:r>
    </w:p>
    <w:p w14:paraId="6D7A98BF" w14:textId="5C331166" w:rsidR="00E74992" w:rsidRPr="007B2660" w:rsidRDefault="0089464D" w:rsidP="0066301C">
      <w:pPr>
        <w:pStyle w:val="Heading3"/>
        <w:numPr>
          <w:ilvl w:val="0"/>
          <w:numId w:val="0"/>
        </w:numPr>
        <w:spacing w:before="0" w:beforeAutospacing="0"/>
        <w:rPr>
          <w:lang w:val="en-US"/>
        </w:rPr>
      </w:pPr>
      <w:bookmarkStart w:id="500" w:name="_Toc171075431"/>
      <w:r w:rsidRPr="007B2660">
        <w:rPr>
          <w:lang w:val="en-US"/>
        </w:rPr>
        <w:t>5</w:t>
      </w:r>
      <w:r w:rsidR="00042A3A" w:rsidRPr="007B2660">
        <w:rPr>
          <w:lang w:val="en-US"/>
        </w:rPr>
        <w:t>.</w:t>
      </w:r>
      <w:r w:rsidR="001E6A1A" w:rsidRPr="007B2660">
        <w:rPr>
          <w:lang w:val="en-US"/>
        </w:rPr>
        <w:t>2</w:t>
      </w:r>
      <w:r w:rsidR="00E74992" w:rsidRPr="007B2660">
        <w:rPr>
          <w:lang w:val="en-US"/>
        </w:rPr>
        <w:t>.</w:t>
      </w:r>
      <w:r w:rsidR="00E74992" w:rsidRPr="007B2660">
        <w:t>1</w:t>
      </w:r>
      <w:r w:rsidR="00042A3A" w:rsidRPr="007B2660">
        <w:tab/>
      </w:r>
      <w:r w:rsidR="00E74992" w:rsidRPr="007B2660">
        <w:t>CONTRACTIONARY</w:t>
      </w:r>
      <w:r w:rsidR="00E74992" w:rsidRPr="007B2660">
        <w:rPr>
          <w:lang w:val="en-US"/>
        </w:rPr>
        <w:t xml:space="preserve"> DEVALUATION</w:t>
      </w:r>
      <w:bookmarkEnd w:id="500"/>
      <w:r w:rsidR="00E74992" w:rsidRPr="007B2660">
        <w:rPr>
          <w:lang w:val="en-US"/>
        </w:rPr>
        <w:t xml:space="preserve"> </w:t>
      </w:r>
    </w:p>
    <w:p w14:paraId="46ADCAE8" w14:textId="77777777" w:rsidR="00C279D3" w:rsidRPr="00E06737" w:rsidRDefault="00C279D3" w:rsidP="0066301C">
      <w:pPr>
        <w:spacing w:line="360" w:lineRule="auto"/>
        <w:jc w:val="both"/>
        <w:rPr>
          <w:rFonts w:ascii="Arial" w:hAnsi="Arial" w:cs="Arial"/>
        </w:rPr>
      </w:pPr>
      <w:r w:rsidRPr="00E06737">
        <w:rPr>
          <w:rFonts w:ascii="Arial" w:hAnsi="Arial" w:cs="Arial"/>
        </w:rPr>
        <w:t xml:space="preserve">The advocators of the view that currency devaluation is contractionary in developing nations provided the theoretical channel via which this could negatively affect a nation’s economic activities (Diaz-Ajandro, 1963; Cooper, 1971; Hanson, 1983). Until the publication of Krugman and Taylor (1978), it was believed that the substitution effects embarked via a RER devaluation would prove sufficiently strong to ensure that the net effect on employment and output would be expansionary despite a countervailing negative real balance effect and </w:t>
      </w:r>
      <w:r w:rsidRPr="00E06737">
        <w:rPr>
          <w:rFonts w:ascii="Arial" w:hAnsi="Arial" w:cs="Arial"/>
        </w:rPr>
        <w:lastRenderedPageBreak/>
        <w:t>problematic income distribution effects (Lizondo and Montiel, 1988). The Krugman-Taylor paper postulates the channels of contractionary influence, especially in developing nations, and they are split into three groups: effects on the aggregate supply, effects on the aggregate demand, and effects on the balance sheet:</w:t>
      </w:r>
    </w:p>
    <w:p w14:paraId="144E0525" w14:textId="77777777" w:rsidR="00C279D3" w:rsidRPr="00E06737" w:rsidRDefault="00C279D3" w:rsidP="0066301C">
      <w:pPr>
        <w:spacing w:line="360" w:lineRule="auto"/>
        <w:jc w:val="both"/>
        <w:rPr>
          <w:rFonts w:ascii="Arial" w:hAnsi="Arial" w:cs="Arial"/>
        </w:rPr>
      </w:pPr>
      <w:r w:rsidRPr="00E06737">
        <w:rPr>
          <w:rStyle w:val="Strong"/>
          <w:rFonts w:ascii="Arial" w:hAnsi="Arial" w:cs="Arial"/>
          <w:b w:val="0"/>
          <w:bCs w:val="0"/>
          <w:color w:val="0E101A"/>
        </w:rPr>
        <w:t>i </w:t>
      </w:r>
      <w:r w:rsidRPr="00E06737">
        <w:rPr>
          <w:rFonts w:ascii="Arial" w:hAnsi="Arial" w:cs="Arial"/>
        </w:rPr>
        <w:t>            </w:t>
      </w:r>
      <w:r w:rsidRPr="00E06737">
        <w:rPr>
          <w:rStyle w:val="Strong"/>
          <w:rFonts w:ascii="Arial" w:hAnsi="Arial" w:cs="Arial"/>
          <w:color w:val="0E101A"/>
        </w:rPr>
        <w:t>The effect on aggregate supply</w:t>
      </w:r>
      <w:r w:rsidRPr="00E06737">
        <w:rPr>
          <w:rFonts w:ascii="Arial" w:hAnsi="Arial" w:cs="Arial"/>
        </w:rPr>
        <w:t>: In the advent of a devaluation, the domestic cost of production increases in response to the devaluation, especially when the factors of production (inputs – machinery, capital, raw and semi-finished material) are imported (Lizondo and Montiel, 1988). This could be an upward shift of the goods supply curve, with the demand curve sloping down, leading to output reduction and reduced real depreciation than expected. A currency devaluation has an adverse effect on the supply channels of an economy through three main channels: an increase in the cost of working capital, the use of imported input, and an increase in nominal wage (Calvo, 1983; Van Wijnbergen, 1983). </w:t>
      </w:r>
    </w:p>
    <w:p w14:paraId="10280E46" w14:textId="77777777" w:rsidR="00C279D3" w:rsidRPr="00E06737" w:rsidRDefault="00C279D3" w:rsidP="0066301C">
      <w:pPr>
        <w:spacing w:line="360" w:lineRule="auto"/>
        <w:jc w:val="both"/>
        <w:rPr>
          <w:rFonts w:ascii="Arial" w:hAnsi="Arial" w:cs="Arial"/>
        </w:rPr>
      </w:pPr>
      <w:r w:rsidRPr="00E06737">
        <w:rPr>
          <w:rFonts w:ascii="Arial" w:hAnsi="Arial" w:cs="Arial"/>
        </w:rPr>
        <w:t>Some authors have emphasised the point that a nominal devaluation could have an adverse (contractionary) impact on domestic output supply through an increase in the cost of working capital (i.e., costs of financing imported input and labour) (Lizondo and Montiel, 1988; Van Wijnbergen, 1983). In the advent of a devaluation, the cost of foreign capital and interest rate will increase, thereby reducing the profit margin, reducing the demand for capital, and reducing the output supplied. Supposing that before the 1994 FCFA devaluation, Cameroon had a foreign debt of 1,000 FCFA; after the devaluation, the amount doubled, and this also had an impact on the interest to be paid. This increases the burden on the country and makes it much poorer than before.</w:t>
      </w:r>
    </w:p>
    <w:p w14:paraId="6BB83EE3" w14:textId="65937661" w:rsidR="00C279D3" w:rsidRPr="00E06737" w:rsidRDefault="00C279D3" w:rsidP="0066301C">
      <w:pPr>
        <w:spacing w:line="360" w:lineRule="auto"/>
        <w:jc w:val="both"/>
        <w:rPr>
          <w:rFonts w:ascii="Arial" w:hAnsi="Arial" w:cs="Arial"/>
        </w:rPr>
      </w:pPr>
      <w:r w:rsidRPr="00E06737">
        <w:rPr>
          <w:rFonts w:ascii="Arial" w:hAnsi="Arial" w:cs="Arial"/>
        </w:rPr>
        <w:t> When the inputs used for the production process are mostly imports with little elasticity of substitution by domestic inputs, the imported inputs cost will increase due to the devaluation. This increases the cost of production, and the negative effect could outweigh the positive impact to be enjoyed from the devaluation via price competitiveness. This is so because the domestic price of the outputs will be much more than the foreign price, thereby reducing the aggregate output and making the products less competitive in the international market</w:t>
      </w:r>
      <w:r w:rsidR="00413C11">
        <w:rPr>
          <w:rFonts w:ascii="Arial" w:hAnsi="Arial" w:cs="Arial"/>
        </w:rPr>
        <w:t>.</w:t>
      </w:r>
    </w:p>
    <w:p w14:paraId="165171CB" w14:textId="77777777" w:rsidR="00C279D3" w:rsidRPr="00E06737" w:rsidRDefault="00C279D3" w:rsidP="0066301C">
      <w:pPr>
        <w:spacing w:line="360" w:lineRule="auto"/>
        <w:jc w:val="both"/>
        <w:rPr>
          <w:rFonts w:ascii="Arial" w:hAnsi="Arial" w:cs="Arial"/>
        </w:rPr>
      </w:pPr>
      <w:r w:rsidRPr="00E06737">
        <w:rPr>
          <w:rFonts w:ascii="Arial" w:hAnsi="Arial" w:cs="Arial"/>
        </w:rPr>
        <w:t>A devaluation might have an adverse effect on nominal wages since it will reduce the real value of the wage due to the high prices of imported products. At the same token, if there is an increment in the nominal wage to compensate for this difference, it could just be money illusion and it could induce a contrary supply effect (Van Wijnbergen, 1986).</w:t>
      </w:r>
    </w:p>
    <w:p w14:paraId="4D873ECE" w14:textId="77777777" w:rsidR="00C279D3" w:rsidRPr="00E06737" w:rsidRDefault="00C279D3" w:rsidP="0066301C">
      <w:pPr>
        <w:spacing w:line="360" w:lineRule="auto"/>
        <w:jc w:val="both"/>
        <w:rPr>
          <w:rFonts w:ascii="Arial" w:hAnsi="Arial" w:cs="Arial"/>
        </w:rPr>
      </w:pPr>
      <w:r w:rsidRPr="00E06737">
        <w:rPr>
          <w:rStyle w:val="Strong"/>
          <w:rFonts w:ascii="Arial" w:hAnsi="Arial" w:cs="Arial"/>
          <w:b w:val="0"/>
          <w:bCs w:val="0"/>
          <w:color w:val="0E101A"/>
        </w:rPr>
        <w:t>ii</w:t>
      </w:r>
      <w:r w:rsidRPr="00E06737">
        <w:rPr>
          <w:rFonts w:ascii="Arial" w:hAnsi="Arial" w:cs="Arial"/>
        </w:rPr>
        <w:t>            </w:t>
      </w:r>
      <w:r w:rsidRPr="00E06737">
        <w:rPr>
          <w:rStyle w:val="Strong"/>
          <w:rFonts w:ascii="Arial" w:hAnsi="Arial" w:cs="Arial"/>
          <w:color w:val="0E101A"/>
        </w:rPr>
        <w:t>The effect on aggregate</w:t>
      </w:r>
      <w:r w:rsidRPr="00E06737">
        <w:rPr>
          <w:rFonts w:ascii="Arial" w:hAnsi="Arial" w:cs="Arial"/>
        </w:rPr>
        <w:t> </w:t>
      </w:r>
      <w:r w:rsidRPr="00E06737">
        <w:rPr>
          <w:rStyle w:val="Strong"/>
          <w:rFonts w:ascii="Arial" w:hAnsi="Arial" w:cs="Arial"/>
          <w:color w:val="0E101A"/>
        </w:rPr>
        <w:t>demand:</w:t>
      </w:r>
      <w:r w:rsidRPr="00E06737">
        <w:rPr>
          <w:rFonts w:ascii="Arial" w:hAnsi="Arial" w:cs="Arial"/>
        </w:rPr>
        <w:t xml:space="preserve"> Besides affecting supply, as illustrated above, a currency devaluation could also have an adverse effect on the demand for domestically produced products. A currency devaluation could adversely affect a nation’s aggregate demand via four main channels: income redistribution effects, real income effects, effect via </w:t>
      </w:r>
      <w:r w:rsidRPr="00E06737">
        <w:rPr>
          <w:rFonts w:ascii="Arial" w:hAnsi="Arial" w:cs="Arial"/>
        </w:rPr>
        <w:lastRenderedPageBreak/>
        <w:t>imported inputs, and a decrease in investment (Lizondo and Montiel, 1988). A devaluation leads to an increase in the prices of traded commodities, thereby increasing the profit of producers. An increment in the price level results in a drop in real wages, making the marginal propensity to save from wages to be small relative to the marginal propensity to save from profits. This transfers income from the wage earners (employees) to the profit earners (employers), causing a drop in aggregate demand (Lizondo and Montiel, 1988; Krugman and Taylor, 1978; Diaz-Ajandro, 1963). </w:t>
      </w:r>
    </w:p>
    <w:p w14:paraId="5881384E" w14:textId="77777777" w:rsidR="00C279D3" w:rsidRPr="00E06737" w:rsidRDefault="00C279D3" w:rsidP="0066301C">
      <w:pPr>
        <w:spacing w:line="360" w:lineRule="auto"/>
        <w:jc w:val="both"/>
        <w:rPr>
          <w:rFonts w:ascii="Arial" w:hAnsi="Arial" w:cs="Arial"/>
        </w:rPr>
      </w:pPr>
      <w:r w:rsidRPr="00E06737">
        <w:rPr>
          <w:rFonts w:ascii="Arial" w:hAnsi="Arial" w:cs="Arial"/>
        </w:rPr>
        <w:t>An increase in the price level of traded commodities relative to non-traded commodities after a devaluation increases the general price level, leading to a drop in the real money balance. This is especially true if a great portion of the income is spent on the consumption of imported goods whose prices have increased due to the devaluation, leading to a drop in the quantity demanded as well as the quality. Though it is believed that it encourages the consumption of local commodities, the prices of the local commodities could also be expensive due to the increased cost of imported inputs, as well as those goods that might not be produced in the nation (manufactured goods – cars, phone, computers) (Hanson, 1983). These limit the choice of consumers and drop in the standard of living of society. </w:t>
      </w:r>
    </w:p>
    <w:p w14:paraId="7059EF82" w14:textId="77777777" w:rsidR="00C279D3" w:rsidRPr="00E06737" w:rsidRDefault="00C279D3" w:rsidP="0066301C">
      <w:pPr>
        <w:spacing w:line="360" w:lineRule="auto"/>
        <w:jc w:val="both"/>
        <w:rPr>
          <w:rFonts w:ascii="Arial" w:hAnsi="Arial" w:cs="Arial"/>
        </w:rPr>
      </w:pPr>
      <w:r w:rsidRPr="00E06737">
        <w:rPr>
          <w:rFonts w:ascii="Arial" w:hAnsi="Arial" w:cs="Arial"/>
        </w:rPr>
        <w:t>Investment in less developed nations requires the importation of capital goods. Because of the devaluation, capital goods become expensive, especially for new investors. With the advent of modern technology, it becomes exceedingly difficult for new investors in less developed nations to afford the required capital goods. This goes a long way to cause a drop in investment, an increase in inefficiency, a decline in output, and a drop in aggregate demand (Lizondo and Montiel, 1988).</w:t>
      </w:r>
    </w:p>
    <w:p w14:paraId="45465300" w14:textId="77777777" w:rsidR="00C279D3" w:rsidRPr="00E06737" w:rsidRDefault="00C279D3" w:rsidP="0066301C">
      <w:pPr>
        <w:spacing w:line="360" w:lineRule="auto"/>
        <w:jc w:val="both"/>
        <w:rPr>
          <w:rFonts w:ascii="Arial" w:hAnsi="Arial" w:cs="Arial"/>
        </w:rPr>
      </w:pPr>
      <w:r w:rsidRPr="00E06737">
        <w:rPr>
          <w:rFonts w:ascii="Arial" w:hAnsi="Arial" w:cs="Arial"/>
        </w:rPr>
        <w:t>With the devaluation, the value of imported commodities becomes more expensive. If the government imposes many taxes on either imports or exports, the commodities become much more expensive for domestic consumption and expensive in the international market, respectively. At the same token, because the imported inputs are expensive, the exported finished commodities turn out to be expensive. Thereby defeating the purpose of the devaluation unless the exports are subsidised by the government or taxes on exports are reduced. In either case, the government income generated through taxes drops. This ripple effect is felt in the entire economy as the government might not be able to achieve its goal unless it borrows from the nation’s central bank or from aboard, which further increases the indebtedness and burden on the nation’s taxpayers (Van Winjbergen, 1986; Cooper, 1971). This is a vicious cycle and could be a contributing factor to what less developed nations, especially CFA franc nations, are facing (Adom, 2012).</w:t>
      </w:r>
    </w:p>
    <w:p w14:paraId="35EAFBBF" w14:textId="77777777" w:rsidR="00C279D3" w:rsidRPr="00E06737" w:rsidRDefault="00C279D3" w:rsidP="0066301C">
      <w:pPr>
        <w:spacing w:line="360" w:lineRule="auto"/>
        <w:jc w:val="both"/>
        <w:rPr>
          <w:rFonts w:ascii="Arial" w:hAnsi="Arial" w:cs="Arial"/>
        </w:rPr>
      </w:pPr>
      <w:r w:rsidRPr="00E06737">
        <w:rPr>
          <w:rStyle w:val="Strong"/>
          <w:rFonts w:ascii="Arial" w:hAnsi="Arial" w:cs="Arial"/>
          <w:b w:val="0"/>
          <w:bCs w:val="0"/>
          <w:color w:val="0E101A"/>
        </w:rPr>
        <w:lastRenderedPageBreak/>
        <w:t>iii</w:t>
      </w:r>
      <w:r w:rsidRPr="00E06737">
        <w:rPr>
          <w:rFonts w:ascii="Arial" w:hAnsi="Arial" w:cs="Arial"/>
        </w:rPr>
        <w:t>          </w:t>
      </w:r>
      <w:r w:rsidRPr="00E06737">
        <w:rPr>
          <w:rStyle w:val="Strong"/>
          <w:rFonts w:ascii="Arial" w:hAnsi="Arial" w:cs="Arial"/>
          <w:color w:val="0E101A"/>
        </w:rPr>
        <w:t>Balance Sheet Channel:</w:t>
      </w:r>
      <w:r w:rsidRPr="00E06737">
        <w:rPr>
          <w:rFonts w:ascii="Arial" w:hAnsi="Arial" w:cs="Arial"/>
        </w:rPr>
        <w:t> Despite the theoretical views of contractionary devaluation channels, it was thought that the positive outcome of the increase in exports was going to offset the negative impact of a devaluation. This belief was predominant until the 1990s currency crises. The 1990s devaluations after the financial crises had more negative than positive balance sheet impacts (Frankel </w:t>
      </w:r>
      <w:r w:rsidRPr="00E06737">
        <w:rPr>
          <w:rStyle w:val="Emphasis"/>
          <w:rFonts w:ascii="Arial" w:hAnsi="Arial" w:cs="Arial"/>
          <w:color w:val="0E101A"/>
        </w:rPr>
        <w:t>et al.</w:t>
      </w:r>
      <w:r w:rsidRPr="00E06737">
        <w:rPr>
          <w:rFonts w:ascii="Arial" w:hAnsi="Arial" w:cs="Arial"/>
        </w:rPr>
        <w:t>, 2005; Kamin and Rogers, 1997; Edwards, 1989). Because it is difficult for developing nations to borrow in their currency from the international market “</w:t>
      </w:r>
      <w:r w:rsidRPr="00E06737">
        <w:rPr>
          <w:rStyle w:val="Emphasis"/>
          <w:rFonts w:ascii="Arial" w:hAnsi="Arial" w:cs="Arial"/>
          <w:color w:val="0E101A"/>
        </w:rPr>
        <w:t>original sin</w:t>
      </w:r>
      <w:r w:rsidRPr="00E06737">
        <w:rPr>
          <w:rFonts w:ascii="Arial" w:hAnsi="Arial" w:cs="Arial"/>
        </w:rPr>
        <w:t>” – as stated by Eichengreen and Hausmann (1999), they are compelled to borrow in foreign currencies. This leads to a mismatch of currency in the entire economy because the assets of firms are denominated in local currency, while liabilities in foreign currency. In the advent of a sudden exchange-rate depreciation, the currency imbalance could lead to balance sheet problems (Frankel, 2005; Calvo and Reinhart, 2000). </w:t>
      </w:r>
    </w:p>
    <w:p w14:paraId="12C89293" w14:textId="77777777" w:rsidR="00C279D3" w:rsidRPr="00E06737" w:rsidRDefault="00C279D3" w:rsidP="0066301C">
      <w:pPr>
        <w:spacing w:line="360" w:lineRule="auto"/>
        <w:jc w:val="both"/>
        <w:rPr>
          <w:rFonts w:ascii="Arial" w:hAnsi="Arial" w:cs="Arial"/>
        </w:rPr>
      </w:pPr>
      <w:r w:rsidRPr="00E06737">
        <w:rPr>
          <w:rFonts w:ascii="Arial" w:hAnsi="Arial" w:cs="Arial"/>
        </w:rPr>
        <w:t>Also, there is a drop in the net worth of the local firms with respect to foreign currency, and this reduces investment and output. This is so because interest on borrowed foreign capital becomes more expensive than before, making the cost of capital increase, coupled with the increased cost of imported input (Frankel, 2005; Krugman, 1999; Edwards, 1986; Gylfason and Risager, 1984). It is presumed that the 1994 Mexican crisis and 1997 East Asian crises were due to domestic dollarisation liability, coupled with their currency depreciation. This led to the sudden stop and reversal of capital inflow (Calvo </w:t>
      </w:r>
      <w:r w:rsidRPr="00E06737">
        <w:rPr>
          <w:rStyle w:val="Emphasis"/>
          <w:rFonts w:ascii="Arial" w:hAnsi="Arial" w:cs="Arial"/>
          <w:color w:val="0E101A"/>
        </w:rPr>
        <w:t>et al.,</w:t>
      </w:r>
      <w:r w:rsidRPr="00E06737">
        <w:rPr>
          <w:rFonts w:ascii="Arial" w:hAnsi="Arial" w:cs="Arial"/>
        </w:rPr>
        <w:t> 2004; Jeanne and Zettelmeyer, 2002; Bernanke </w:t>
      </w:r>
      <w:r w:rsidRPr="00E06737">
        <w:rPr>
          <w:rStyle w:val="Emphasis"/>
          <w:rFonts w:ascii="Arial" w:hAnsi="Arial" w:cs="Arial"/>
          <w:color w:val="0E101A"/>
        </w:rPr>
        <w:t>et al.,</w:t>
      </w:r>
      <w:r w:rsidRPr="00E06737">
        <w:rPr>
          <w:rFonts w:ascii="Arial" w:hAnsi="Arial" w:cs="Arial"/>
        </w:rPr>
        <w:t> 1999). </w:t>
      </w:r>
    </w:p>
    <w:p w14:paraId="33ABD01E" w14:textId="77777777" w:rsidR="00C279D3" w:rsidRPr="00E06737" w:rsidRDefault="00C279D3" w:rsidP="0066301C">
      <w:pPr>
        <w:spacing w:line="360" w:lineRule="auto"/>
        <w:jc w:val="both"/>
        <w:rPr>
          <w:rFonts w:ascii="Arial" w:hAnsi="Arial" w:cs="Arial"/>
        </w:rPr>
      </w:pPr>
      <w:r w:rsidRPr="00E06737">
        <w:rPr>
          <w:rFonts w:ascii="Arial" w:hAnsi="Arial" w:cs="Arial"/>
        </w:rPr>
        <w:t>There are some empirical studies on the balance sheet effects of depreciation because of the dollarisation of nations’ liabilities. In analysing the devaluation episodes in some developed and middle-income nations, Cespedes (2005) used RER and external debt to capture the balance sheet effects. His evaluation of 82 large devaluation episodes in 1980-2001 showed that the balance sheet effect was negative on output. There was also an expansionary effect of the RER depreciation thanks to the depreciation effect, but because the expansionary effect was less significant within the first year after the devaluation. For nations having huge foreign-dominated external debts, their RER depreciation could generate significant output loss in the short term. Nevertheless, the competitiveness effect starts influencing and significantly determines the growth of output from the second year. As such, in the medium term, the expansionary effect of the RER devaluation dominates the balance sheet effect. This means that in the medium term, there could be a positive impact on output. </w:t>
      </w:r>
    </w:p>
    <w:p w14:paraId="78CB870D" w14:textId="23153DBC" w:rsidR="00E74992" w:rsidRPr="007B2660" w:rsidRDefault="00062E34" w:rsidP="0066301C">
      <w:pPr>
        <w:pStyle w:val="Heading3"/>
        <w:numPr>
          <w:ilvl w:val="0"/>
          <w:numId w:val="0"/>
        </w:numPr>
        <w:spacing w:before="0" w:beforeAutospacing="0"/>
        <w:rPr>
          <w:lang w:val="en-US"/>
        </w:rPr>
      </w:pPr>
      <w:bookmarkStart w:id="501" w:name="_Toc171075432"/>
      <w:r w:rsidRPr="007B2660">
        <w:rPr>
          <w:lang w:val="en-US"/>
        </w:rPr>
        <w:t>5</w:t>
      </w:r>
      <w:r w:rsidR="00E74992" w:rsidRPr="007B2660">
        <w:rPr>
          <w:lang w:val="en-US"/>
        </w:rPr>
        <w:t>.</w:t>
      </w:r>
      <w:r w:rsidR="001E6A1A" w:rsidRPr="007B2660">
        <w:rPr>
          <w:lang w:val="en-US"/>
        </w:rPr>
        <w:t>2</w:t>
      </w:r>
      <w:r w:rsidR="00E74992" w:rsidRPr="007B2660">
        <w:rPr>
          <w:lang w:val="en-US"/>
        </w:rPr>
        <w:t>.</w:t>
      </w:r>
      <w:r w:rsidR="00E74992" w:rsidRPr="007B2660">
        <w:t>2</w:t>
      </w:r>
      <w:r w:rsidR="005B1FF6" w:rsidRPr="007B2660">
        <w:tab/>
      </w:r>
      <w:r w:rsidR="00E74992" w:rsidRPr="007B2660">
        <w:t>EXPANSIONARY</w:t>
      </w:r>
      <w:r w:rsidR="00E74992" w:rsidRPr="007B2660">
        <w:rPr>
          <w:lang w:val="en-US"/>
        </w:rPr>
        <w:t xml:space="preserve"> DEVALUATION ASSUMPTION</w:t>
      </w:r>
      <w:bookmarkEnd w:id="501"/>
    </w:p>
    <w:p w14:paraId="05492F82" w14:textId="1950C452" w:rsidR="00766365" w:rsidRPr="00E71328" w:rsidRDefault="00766365" w:rsidP="0066301C">
      <w:pPr>
        <w:spacing w:line="360" w:lineRule="auto"/>
        <w:jc w:val="both"/>
        <w:rPr>
          <w:rFonts w:ascii="Arial" w:hAnsi="Arial" w:cs="Arial"/>
        </w:rPr>
      </w:pPr>
      <w:bookmarkStart w:id="502" w:name="_Toc108392563"/>
      <w:r w:rsidRPr="00E71328">
        <w:rPr>
          <w:rFonts w:ascii="Arial" w:hAnsi="Arial" w:cs="Arial"/>
        </w:rPr>
        <w:t xml:space="preserve">The hypothesis of contractionary devaluation was analogised from the 1990s using the balance-sheet channel, while in the 1960s, it was deliberated via the supply-side and demand-side channels. But the recent successful economic growth experienced by some East-Asian </w:t>
      </w:r>
      <w:r w:rsidRPr="00E71328">
        <w:rPr>
          <w:rFonts w:ascii="Arial" w:hAnsi="Arial" w:cs="Arial"/>
        </w:rPr>
        <w:lastRenderedPageBreak/>
        <w:t>nations, South Korea, China, and India, have revealed some additional channels via which a real exchange-rate devaluation/depreciation could positively affect the economic growth of a nation (Gluzmann </w:t>
      </w:r>
      <w:r w:rsidRPr="00E71328">
        <w:rPr>
          <w:rStyle w:val="Emphasis"/>
          <w:rFonts w:ascii="Arial" w:hAnsi="Arial" w:cs="Arial"/>
          <w:color w:val="0E101A"/>
        </w:rPr>
        <w:t>et al.</w:t>
      </w:r>
      <w:r w:rsidRPr="00E71328">
        <w:rPr>
          <w:rFonts w:ascii="Arial" w:hAnsi="Arial" w:cs="Arial"/>
        </w:rPr>
        <w:t>, 2012; Rajan and Subramanian, 2011; Rodrik, 2008). The Capital accumulation channel (savings) and the Productivity channel are the two main mechanisms through which a devaluation could positively affect a nation’s economic growth.</w:t>
      </w:r>
    </w:p>
    <w:p w14:paraId="63B04F56" w14:textId="77777777" w:rsidR="00766365" w:rsidRPr="00E71328" w:rsidRDefault="00766365" w:rsidP="0066301C">
      <w:pPr>
        <w:spacing w:line="360" w:lineRule="auto"/>
        <w:jc w:val="both"/>
        <w:rPr>
          <w:rFonts w:ascii="Arial" w:hAnsi="Arial" w:cs="Arial"/>
        </w:rPr>
      </w:pPr>
      <w:r w:rsidRPr="00E71328">
        <w:rPr>
          <w:rStyle w:val="Strong"/>
          <w:rFonts w:ascii="Arial" w:hAnsi="Arial" w:cs="Arial"/>
          <w:color w:val="0E101A"/>
        </w:rPr>
        <w:t>i.</w:t>
      </w:r>
      <w:r w:rsidRPr="00E71328">
        <w:rPr>
          <w:rFonts w:ascii="Arial" w:hAnsi="Arial" w:cs="Arial"/>
        </w:rPr>
        <w:t>            </w:t>
      </w:r>
      <w:r w:rsidRPr="00E71328">
        <w:rPr>
          <w:rStyle w:val="Strong"/>
          <w:rFonts w:ascii="Arial" w:hAnsi="Arial" w:cs="Arial"/>
          <w:color w:val="0E101A"/>
        </w:rPr>
        <w:t>The capital accumulation channel: </w:t>
      </w:r>
      <w:r w:rsidRPr="00E71328">
        <w:rPr>
          <w:rFonts w:ascii="Arial" w:hAnsi="Arial" w:cs="Arial"/>
        </w:rPr>
        <w:t>It is also referred to as the saving channel. The IS-LM model stipulates that saving accumulation facilitates investment, with interest rate considered (Copeland, 2005). An increase in investment leads to an output increase and eventually to economic growth. An exchange-rate deprecation increases the saving rate since the depreciation causes a shift from the demand of tradable to non-tradable. This shift from traded to non-traded goods requires an increment in the interest rate to maintain internal balance (Dooley </w:t>
      </w:r>
      <w:r w:rsidRPr="00E71328">
        <w:rPr>
          <w:rStyle w:val="Emphasis"/>
          <w:rFonts w:ascii="Arial" w:hAnsi="Arial" w:cs="Arial"/>
          <w:color w:val="0E101A"/>
        </w:rPr>
        <w:t>et al., </w:t>
      </w:r>
      <w:r w:rsidRPr="00E71328">
        <w:rPr>
          <w:rFonts w:ascii="Arial" w:hAnsi="Arial" w:cs="Arial"/>
        </w:rPr>
        <w:t>2005; Bernanke, 2005).</w:t>
      </w:r>
      <w:r>
        <w:rPr>
          <w:rStyle w:val="FootnoteReference"/>
          <w:rFonts w:ascii="Arial" w:hAnsi="Arial" w:cs="Arial"/>
        </w:rPr>
        <w:footnoteReference w:id="142"/>
      </w:r>
    </w:p>
    <w:p w14:paraId="7DE09086" w14:textId="77777777" w:rsidR="00766365" w:rsidRPr="00E71328" w:rsidRDefault="00766365" w:rsidP="0066301C">
      <w:pPr>
        <w:spacing w:line="360" w:lineRule="auto"/>
        <w:jc w:val="both"/>
        <w:rPr>
          <w:rFonts w:ascii="Arial" w:hAnsi="Arial" w:cs="Arial"/>
        </w:rPr>
      </w:pPr>
      <w:r w:rsidRPr="00E71328">
        <w:rPr>
          <w:rStyle w:val="Strong"/>
          <w:rFonts w:ascii="Arial" w:hAnsi="Arial" w:cs="Arial"/>
          <w:color w:val="0E101A"/>
        </w:rPr>
        <w:t>ii.</w:t>
      </w:r>
      <w:r w:rsidRPr="00E71328">
        <w:rPr>
          <w:rFonts w:ascii="Arial" w:hAnsi="Arial" w:cs="Arial"/>
        </w:rPr>
        <w:t>          </w:t>
      </w:r>
      <w:r w:rsidRPr="00E71328">
        <w:rPr>
          <w:rStyle w:val="Strong"/>
          <w:rFonts w:ascii="Arial" w:hAnsi="Arial" w:cs="Arial"/>
          <w:color w:val="0E101A"/>
        </w:rPr>
        <w:t>The production channel:</w:t>
      </w:r>
      <w:r w:rsidRPr="00E71328">
        <w:rPr>
          <w:rFonts w:ascii="Arial" w:hAnsi="Arial" w:cs="Arial"/>
        </w:rPr>
        <w:t> This channel in an economy is via the tradable and non-tradable sectors. Because of the externalities of learning by doing, skill and technological spill over are faster in the tradable than the non-tradable sector; the expansion of this sector increases productivity and economic growth. As supposed by Rodrik (2008), less developed nations could obtain higher economic growth through an increment of the tradable sector profitability. He further postulates that the tradeable sector is special since it disproportionally suffers from both market failure and institutional weakness. As such, an undervalued real exchange rate was, therefore, the second-best policy for reducing the distortions, raising the sector’s profits, as well as accelerating economic growth (Rodrik, 2008; Hausmann </w:t>
      </w:r>
      <w:r w:rsidRPr="00E71328">
        <w:rPr>
          <w:rStyle w:val="Emphasis"/>
          <w:rFonts w:ascii="Arial" w:hAnsi="Arial" w:cs="Arial"/>
          <w:color w:val="0E101A"/>
        </w:rPr>
        <w:t>et al.</w:t>
      </w:r>
      <w:r w:rsidRPr="00E71328">
        <w:rPr>
          <w:rFonts w:ascii="Arial" w:hAnsi="Arial" w:cs="Arial"/>
        </w:rPr>
        <w:t>, 2007). </w:t>
      </w:r>
    </w:p>
    <w:p w14:paraId="2B154F4E" w14:textId="77777777" w:rsidR="00766365" w:rsidRPr="00E71328" w:rsidRDefault="00766365" w:rsidP="0066301C">
      <w:pPr>
        <w:spacing w:line="360" w:lineRule="auto"/>
        <w:jc w:val="both"/>
        <w:rPr>
          <w:rFonts w:ascii="Arial" w:hAnsi="Arial" w:cs="Arial"/>
        </w:rPr>
      </w:pPr>
      <w:r w:rsidRPr="00E71328">
        <w:rPr>
          <w:rFonts w:ascii="Arial" w:hAnsi="Arial" w:cs="Arial"/>
        </w:rPr>
        <w:t>As earlier stated, there is little or no systematic evidence supporting Rodrik (2008) views, coupled with the fact that there was no empirical evidence to justify that the tradable sector - especially industries were disproportionally subjected to institutional and market failure in less developed nations (Schroder, 2013; Gluzmann </w:t>
      </w:r>
      <w:r w:rsidRPr="00E71328">
        <w:rPr>
          <w:rStyle w:val="Emphasis"/>
          <w:rFonts w:ascii="Arial" w:hAnsi="Arial" w:cs="Arial"/>
          <w:color w:val="0E101A"/>
        </w:rPr>
        <w:t>et al.,</w:t>
      </w:r>
      <w:r w:rsidRPr="00E71328">
        <w:rPr>
          <w:rFonts w:ascii="Arial" w:hAnsi="Arial" w:cs="Arial"/>
        </w:rPr>
        <w:t> 2012; Vita and Kyaw, 2011). Rather, it was the non-tradable sectors, such as financial sectors, electricity production, telecommunication, infrastructure provision, educational services, and health services, that were seriously affected by the institutional and regulatory quality of a nation (Gluzmann </w:t>
      </w:r>
      <w:r w:rsidRPr="00E71328">
        <w:rPr>
          <w:rStyle w:val="Emphasis"/>
          <w:rFonts w:ascii="Arial" w:hAnsi="Arial" w:cs="Arial"/>
          <w:color w:val="0E101A"/>
        </w:rPr>
        <w:t xml:space="preserve">et </w:t>
      </w:r>
      <w:r w:rsidRPr="00E71328">
        <w:rPr>
          <w:rStyle w:val="Emphasis"/>
          <w:rFonts w:ascii="Arial" w:hAnsi="Arial" w:cs="Arial"/>
          <w:color w:val="0E101A"/>
        </w:rPr>
        <w:lastRenderedPageBreak/>
        <w:t>al.,</w:t>
      </w:r>
      <w:r w:rsidRPr="00E71328">
        <w:rPr>
          <w:rFonts w:ascii="Arial" w:hAnsi="Arial" w:cs="Arial"/>
        </w:rPr>
        <w:t> 2012; Klein and Shambaugh, 2010). Moreover, as argued by Hausmann </w:t>
      </w:r>
      <w:r w:rsidRPr="00E71328">
        <w:rPr>
          <w:rStyle w:val="Emphasis"/>
          <w:rFonts w:ascii="Arial" w:hAnsi="Arial" w:cs="Arial"/>
          <w:color w:val="0E101A"/>
        </w:rPr>
        <w:t>et al. </w:t>
      </w:r>
      <w:r w:rsidRPr="00E71328">
        <w:rPr>
          <w:rFonts w:ascii="Arial" w:hAnsi="Arial" w:cs="Arial"/>
        </w:rPr>
        <w:t>(2007), Baily and Solow (2001), the non-tradable sectors tend to be more skills-intensive than the tradable sectors and, therefore, be more affected and overburdened by institutional quality. In line with Levy-Yeyati and Sturzenegger (2007), it was ascertained that there exists a positive effect of undervaluation on investments, savings, and employment instead of on the export-import substitution effect (Levy-Yeyati </w:t>
      </w:r>
      <w:r w:rsidRPr="00E71328">
        <w:rPr>
          <w:rStyle w:val="Emphasis"/>
          <w:rFonts w:ascii="Arial" w:hAnsi="Arial" w:cs="Arial"/>
          <w:color w:val="0E101A"/>
        </w:rPr>
        <w:t>et al., </w:t>
      </w:r>
      <w:r w:rsidRPr="00E71328">
        <w:rPr>
          <w:rFonts w:ascii="Arial" w:hAnsi="Arial" w:cs="Arial"/>
        </w:rPr>
        <w:t>2013; Gluzmann </w:t>
      </w:r>
      <w:r w:rsidRPr="00E71328">
        <w:rPr>
          <w:rStyle w:val="Emphasis"/>
          <w:rFonts w:ascii="Arial" w:hAnsi="Arial" w:cs="Arial"/>
          <w:color w:val="0E101A"/>
        </w:rPr>
        <w:t>et al.,</w:t>
      </w:r>
      <w:r w:rsidRPr="00E71328">
        <w:rPr>
          <w:rFonts w:ascii="Arial" w:hAnsi="Arial" w:cs="Arial"/>
        </w:rPr>
        <w:t> 2012; Klein and Shambaugh, 2010). </w:t>
      </w:r>
    </w:p>
    <w:p w14:paraId="6B902918" w14:textId="77777777" w:rsidR="00766365" w:rsidRPr="00E71328" w:rsidRDefault="00766365" w:rsidP="0066301C">
      <w:pPr>
        <w:spacing w:line="360" w:lineRule="auto"/>
        <w:jc w:val="both"/>
        <w:rPr>
          <w:rFonts w:ascii="Arial" w:hAnsi="Arial" w:cs="Arial"/>
        </w:rPr>
      </w:pPr>
      <w:r w:rsidRPr="00E71328">
        <w:rPr>
          <w:rFonts w:ascii="Arial" w:hAnsi="Arial" w:cs="Arial"/>
        </w:rPr>
        <w:t>A nation’s economic growth is determined by an accumulation of its natural endowment of resources, stock of physical capital, skills and education of its labour force, and technology employed in transforming inputs into outputs. Investing in these stocks is vital for stimulating the process of economic growth. The level of investment in a small open economy depends on the tradable sector’s attractiveness, which is presumed to be fundamental to economic expansion. A nation’s domestic production structure is made of the traded goods sector comprising all the production activities whereof its industries are exposed to international market competition (for example, cars, phones, dresses).</w:t>
      </w:r>
      <w:r>
        <w:rPr>
          <w:rStyle w:val="FootnoteReference"/>
          <w:rFonts w:ascii="Arial" w:hAnsi="Arial" w:cs="Arial"/>
        </w:rPr>
        <w:footnoteReference w:id="143"/>
      </w:r>
      <w:r w:rsidRPr="00E71328">
        <w:rPr>
          <w:rFonts w:ascii="Arial" w:hAnsi="Arial" w:cs="Arial"/>
        </w:rPr>
        <w:t> A nation’s expenditure must be equivalent to its total produced output value, else any deficit due to importation ought to be paid-off through exportation of domestic products to the international market. The expansion of China’s tradable sector has been particularly important for its industrialisation and economic growth, with its net exports contributing significantly to output expansion (Godbout and Langcake, 2013).</w:t>
      </w:r>
    </w:p>
    <w:p w14:paraId="5B1AF3A8" w14:textId="4DB180A9" w:rsidR="00766365" w:rsidRPr="00E71328" w:rsidRDefault="00766365" w:rsidP="0066301C">
      <w:pPr>
        <w:spacing w:line="360" w:lineRule="auto"/>
        <w:jc w:val="both"/>
        <w:rPr>
          <w:rFonts w:ascii="Arial" w:hAnsi="Arial" w:cs="Arial"/>
          <w:sz w:val="20"/>
          <w:szCs w:val="20"/>
        </w:rPr>
      </w:pPr>
      <w:r w:rsidRPr="00E71328">
        <w:rPr>
          <w:rFonts w:ascii="Arial" w:hAnsi="Arial" w:cs="Arial"/>
        </w:rPr>
        <w:t>On the other hand, the non-tradable sector is made of all other goods (for example, public administration, construction, transport, and health services). This sector is essential in attracting foreign investors into an economy. The domestic policy influences are limited to the tradable sector because the international markets exogenously provide the prices of tradable goods. But what attracts footloose investors in an economy is the relatively cheap input cost in the non-tradable sector.</w:t>
      </w:r>
      <w:r>
        <w:rPr>
          <w:rStyle w:val="FootnoteReference"/>
          <w:rFonts w:ascii="Arial" w:hAnsi="Arial" w:cs="Arial"/>
        </w:rPr>
        <w:footnoteReference w:id="144"/>
      </w:r>
      <w:r w:rsidRPr="00E71328">
        <w:rPr>
          <w:rFonts w:ascii="Arial" w:hAnsi="Arial" w:cs="Arial"/>
        </w:rPr>
        <w:t xml:space="preserve"> Therefore, for the government to increase the competitiveness of the tradable sector and the entire economy, she ought to improve the quality and supply of the non-tradable inputs to the tradable sector, and endeavour that the prices are comparable and imports substitute quality. With the government ensuring that the footloose investors’ firms </w:t>
      </w:r>
      <w:r w:rsidRPr="00E71328">
        <w:rPr>
          <w:rFonts w:ascii="Arial" w:hAnsi="Arial" w:cs="Arial"/>
        </w:rPr>
        <w:lastRenderedPageBreak/>
        <w:t>are competitively supplied by the local markets,</w:t>
      </w:r>
      <w:r>
        <w:rPr>
          <w:rStyle w:val="FootnoteReference"/>
          <w:rFonts w:ascii="Arial" w:hAnsi="Arial" w:cs="Arial"/>
        </w:rPr>
        <w:footnoteReference w:id="145"/>
      </w:r>
      <w:r w:rsidRPr="00E71328">
        <w:rPr>
          <w:rFonts w:ascii="Arial" w:hAnsi="Arial" w:cs="Arial"/>
        </w:rPr>
        <w:t xml:space="preserve"> the non-tradable sectors’ output increases, as well as the real value added to the economy by the foreign firms. The institutional and infrastructure environment of a nation could also be a great determinant for prospective foreign investors. </w:t>
      </w:r>
    </w:p>
    <w:p w14:paraId="737D96DB" w14:textId="2BF9EA1B" w:rsidR="00400910" w:rsidRPr="008204CC" w:rsidRDefault="00786779" w:rsidP="0066301C">
      <w:pPr>
        <w:pStyle w:val="Heading2"/>
        <w:spacing w:before="0" w:beforeAutospacing="0"/>
      </w:pPr>
      <w:bookmarkStart w:id="503" w:name="_Toc171075433"/>
      <w:bookmarkStart w:id="504" w:name="_Hlk170840916"/>
      <w:r>
        <w:t>5</w:t>
      </w:r>
      <w:r w:rsidR="00400910">
        <w:t>.</w:t>
      </w:r>
      <w:r w:rsidR="00A64158">
        <w:t>3</w:t>
      </w:r>
      <w:r w:rsidR="00400910">
        <w:t xml:space="preserve"> </w:t>
      </w:r>
      <w:r w:rsidR="00400910">
        <w:tab/>
      </w:r>
      <w:bookmarkEnd w:id="502"/>
      <w:r w:rsidR="00301820">
        <w:t xml:space="preserve">EMPIRICAL </w:t>
      </w:r>
      <w:r w:rsidR="0046439B">
        <w:t>MODEL</w:t>
      </w:r>
      <w:bookmarkEnd w:id="503"/>
    </w:p>
    <w:p w14:paraId="29CAE8BC" w14:textId="77777777" w:rsidR="00E84D3E" w:rsidRPr="008204CC" w:rsidRDefault="00E84D3E" w:rsidP="0066301C">
      <w:pPr>
        <w:autoSpaceDE w:val="0"/>
        <w:autoSpaceDN w:val="0"/>
        <w:adjustRightInd w:val="0"/>
        <w:spacing w:after="200" w:line="360" w:lineRule="auto"/>
        <w:contextualSpacing/>
        <w:jc w:val="both"/>
        <w:rPr>
          <w:rFonts w:ascii="Arial" w:eastAsia="Times New Roman" w:hAnsi="Arial" w:cs="Arial"/>
          <w:lang w:eastAsia="en-GB"/>
        </w:rPr>
      </w:pPr>
      <w:r w:rsidRPr="008204CC">
        <w:rPr>
          <w:rFonts w:ascii="Arial" w:eastAsia="Times New Roman" w:hAnsi="Arial" w:cs="Arial"/>
          <w:lang w:eastAsia="en-GB"/>
        </w:rPr>
        <w:t>There are several variables used in determining the economic growth of a nation. Sala-i Martin (1997) indicated that over 60 variables are significant in growth regressions. The control variables used in this chapter follows those used by Barro (1991). Some empirical growth studies like Loayza and Ranciere (2006), Levine et al (2000), and Temple (1999), also used similar variables. We use the following conventional growth model, which is a version of Barro (1991):</w:t>
      </w:r>
    </w:p>
    <w:p w14:paraId="684F38C7" w14:textId="77777777" w:rsidR="00E84D3E" w:rsidRPr="008204CC" w:rsidRDefault="00000000" w:rsidP="0066301C">
      <w:pPr>
        <w:autoSpaceDE w:val="0"/>
        <w:autoSpaceDN w:val="0"/>
        <w:adjustRightInd w:val="0"/>
        <w:spacing w:after="200" w:line="360" w:lineRule="auto"/>
        <w:contextualSpacing/>
        <w:jc w:val="center"/>
        <w:rPr>
          <w:rFonts w:ascii="Arial" w:eastAsia="Times New Roman" w:hAnsi="Arial" w:cs="Arial"/>
          <w:lang w:eastAsia="en-GB"/>
        </w:rPr>
      </w:pPr>
      <m:oMath>
        <m:sSub>
          <m:sSubPr>
            <m:ctrlPr>
              <w:rPr>
                <w:rFonts w:ascii="Cambria Math" w:eastAsia="Times New Roman" w:hAnsi="Cambria Math" w:cs="Arial"/>
                <w:i/>
                <w:lang w:eastAsia="en-GB"/>
              </w:rPr>
            </m:ctrlPr>
          </m:sSubPr>
          <m:e>
            <m:r>
              <w:rPr>
                <w:rFonts w:ascii="Cambria Math" w:eastAsia="Times New Roman" w:hAnsi="Cambria Math" w:cs="Arial"/>
                <w:lang w:eastAsia="en-GB"/>
              </w:rPr>
              <m:t>g</m:t>
            </m:r>
          </m:e>
          <m:sub>
            <m:r>
              <m:rPr>
                <m:sty m:val="p"/>
              </m:rPr>
              <w:rPr>
                <w:rFonts w:ascii="Cambria Math" w:eastAsia="Times New Roman" w:hAnsi="Cambria Math" w:cs="Arial"/>
                <w:vertAlign w:val="subscript"/>
                <w:lang w:eastAsia="en-GB"/>
              </w:rPr>
              <m:t>it</m:t>
            </m:r>
          </m:sub>
        </m:sSub>
        <m:r>
          <w:rPr>
            <w:rFonts w:ascii="Cambria Math" w:eastAsia="Times New Roman" w:hAnsi="Cambria Math" w:cs="Arial"/>
            <w:lang w:eastAsia="en-GB"/>
          </w:rPr>
          <m:t>=</m:t>
        </m:r>
        <m:sSub>
          <m:sSubPr>
            <m:ctrlPr>
              <w:rPr>
                <w:rFonts w:ascii="Cambria Math" w:eastAsia="Times New Roman" w:hAnsi="Cambria Math" w:cs="Arial"/>
                <w:i/>
                <w:lang w:eastAsia="en-GB"/>
              </w:rPr>
            </m:ctrlPr>
          </m:sSubPr>
          <m:e>
            <m:r>
              <m:rPr>
                <m:sty m:val="p"/>
              </m:rPr>
              <w:rPr>
                <w:rFonts w:ascii="Cambria Math" w:eastAsia="Times New Roman" w:hAnsi="Cambria Math" w:cs="Arial"/>
                <w:lang w:eastAsia="en-GB"/>
              </w:rPr>
              <m:t>α</m:t>
            </m:r>
          </m:e>
          <m:sub>
            <m:r>
              <m:rPr>
                <m:sty m:val="p"/>
              </m:rPr>
              <w:rPr>
                <w:rFonts w:ascii="Cambria Math" w:eastAsia="Times New Roman" w:hAnsi="Cambria Math" w:cs="Arial"/>
                <w:vertAlign w:val="subscript"/>
                <w:lang w:eastAsia="en-GB"/>
              </w:rPr>
              <m:t>0</m:t>
            </m:r>
          </m:sub>
        </m:sSub>
        <m:r>
          <w:rPr>
            <w:rFonts w:ascii="Cambria Math" w:eastAsia="Times New Roman" w:hAnsi="Cambria Math" w:cs="Arial"/>
            <w:lang w:eastAsia="en-GB"/>
          </w:rPr>
          <m:t>+</m:t>
        </m:r>
        <m:sSub>
          <m:sSubPr>
            <m:ctrlPr>
              <w:rPr>
                <w:rFonts w:ascii="Cambria Math" w:eastAsia="Times New Roman" w:hAnsi="Cambria Math" w:cs="Arial"/>
                <w:i/>
                <w:lang w:eastAsia="en-GB"/>
              </w:rPr>
            </m:ctrlPr>
          </m:sSubPr>
          <m:e>
            <m:r>
              <m:rPr>
                <m:sty m:val="p"/>
              </m:rPr>
              <w:rPr>
                <w:rFonts w:ascii="Cambria Math" w:eastAsia="Times New Roman" w:hAnsi="Cambria Math" w:cs="Arial"/>
                <w:lang w:eastAsia="en-GB"/>
              </w:rPr>
              <m:t>α</m:t>
            </m:r>
          </m:e>
          <m:sub>
            <m:r>
              <w:rPr>
                <w:rFonts w:ascii="Cambria Math" w:eastAsia="Times New Roman" w:hAnsi="Cambria Math" w:cs="Arial"/>
                <w:lang w:eastAsia="en-GB"/>
              </w:rPr>
              <m:t>1</m:t>
            </m:r>
          </m:sub>
        </m:sSub>
        <m:sSub>
          <m:sSubPr>
            <m:ctrlPr>
              <w:rPr>
                <w:rFonts w:ascii="Cambria Math" w:eastAsia="Times New Roman" w:hAnsi="Cambria Math" w:cs="Arial"/>
                <w:i/>
                <w:lang w:eastAsia="en-GB"/>
              </w:rPr>
            </m:ctrlPr>
          </m:sSubPr>
          <m:e>
            <m:r>
              <w:rPr>
                <w:rFonts w:ascii="Cambria Math" w:eastAsia="Times New Roman" w:hAnsi="Cambria Math" w:cs="Arial"/>
                <w:lang w:eastAsia="en-GB"/>
              </w:rPr>
              <m:t>REER</m:t>
            </m:r>
          </m:e>
          <m:sub>
            <m:r>
              <w:rPr>
                <w:rFonts w:ascii="Cambria Math" w:eastAsia="Times New Roman" w:hAnsi="Cambria Math" w:cs="Arial"/>
                <w:lang w:eastAsia="en-GB"/>
              </w:rPr>
              <m:t>it</m:t>
            </m:r>
          </m:sub>
        </m:sSub>
        <m:r>
          <w:rPr>
            <w:rFonts w:ascii="Cambria Math" w:eastAsia="Times New Roman" w:hAnsi="Cambria Math" w:cs="Arial"/>
            <w:lang w:eastAsia="en-GB"/>
          </w:rPr>
          <m:t>+</m:t>
        </m:r>
        <m:sSub>
          <m:sSubPr>
            <m:ctrlPr>
              <w:rPr>
                <w:rFonts w:ascii="Cambria Math" w:eastAsia="Times New Roman" w:hAnsi="Cambria Math" w:cs="Arial"/>
                <w:i/>
                <w:lang w:eastAsia="en-GB"/>
              </w:rPr>
            </m:ctrlPr>
          </m:sSubPr>
          <m:e>
            <m:r>
              <m:rPr>
                <m:sty m:val="p"/>
              </m:rPr>
              <w:rPr>
                <w:rFonts w:ascii="Cambria Math" w:eastAsia="Times New Roman" w:hAnsi="Cambria Math" w:cs="Arial"/>
                <w:lang w:eastAsia="en-GB"/>
              </w:rPr>
              <m:t>α</m:t>
            </m:r>
          </m:e>
          <m:sub>
            <m:r>
              <w:rPr>
                <w:rFonts w:ascii="Cambria Math" w:eastAsia="Times New Roman" w:hAnsi="Cambria Math" w:cs="Arial"/>
                <w:lang w:eastAsia="en-GB"/>
              </w:rPr>
              <m:t>2</m:t>
            </m:r>
          </m:sub>
        </m:sSub>
        <m:sSub>
          <m:sSubPr>
            <m:ctrlPr>
              <w:rPr>
                <w:rFonts w:ascii="Cambria Math" w:eastAsia="Times New Roman" w:hAnsi="Cambria Math" w:cs="Arial"/>
                <w:i/>
                <w:lang w:eastAsia="en-GB"/>
              </w:rPr>
            </m:ctrlPr>
          </m:sSubPr>
          <m:e>
            <m:r>
              <w:rPr>
                <w:rFonts w:ascii="Cambria Math" w:eastAsia="Times New Roman" w:hAnsi="Cambria Math" w:cs="Arial"/>
                <w:lang w:eastAsia="en-GB"/>
              </w:rPr>
              <m:t>OPEN</m:t>
            </m:r>
          </m:e>
          <m:sub>
            <m:r>
              <w:rPr>
                <w:rFonts w:ascii="Cambria Math" w:eastAsia="Times New Roman" w:hAnsi="Cambria Math" w:cs="Arial"/>
                <w:lang w:eastAsia="en-GB"/>
              </w:rPr>
              <m:t>it</m:t>
            </m:r>
          </m:sub>
        </m:sSub>
        <m:r>
          <w:rPr>
            <w:rFonts w:ascii="Cambria Math" w:eastAsia="Times New Roman" w:hAnsi="Cambria Math" w:cs="Arial"/>
            <w:lang w:eastAsia="en-GB"/>
          </w:rPr>
          <m:t>+</m:t>
        </m:r>
        <m:sSub>
          <m:sSubPr>
            <m:ctrlPr>
              <w:rPr>
                <w:rFonts w:ascii="Cambria Math" w:eastAsia="Times New Roman" w:hAnsi="Cambria Math" w:cs="Arial"/>
                <w:i/>
                <w:lang w:eastAsia="en-GB"/>
              </w:rPr>
            </m:ctrlPr>
          </m:sSubPr>
          <m:e>
            <m:r>
              <m:rPr>
                <m:sty m:val="p"/>
              </m:rPr>
              <w:rPr>
                <w:rFonts w:ascii="Cambria Math" w:eastAsia="Times New Roman" w:hAnsi="Cambria Math" w:cs="Arial"/>
                <w:lang w:eastAsia="en-GB"/>
              </w:rPr>
              <m:t>α</m:t>
            </m:r>
          </m:e>
          <m:sub>
            <m:r>
              <w:rPr>
                <w:rFonts w:ascii="Cambria Math" w:eastAsia="Times New Roman" w:hAnsi="Cambria Math" w:cs="Arial"/>
                <w:lang w:eastAsia="en-GB"/>
              </w:rPr>
              <m:t>3</m:t>
            </m:r>
          </m:sub>
        </m:sSub>
        <m:sSub>
          <m:sSubPr>
            <m:ctrlPr>
              <w:rPr>
                <w:rFonts w:ascii="Cambria Math" w:eastAsia="Times New Roman" w:hAnsi="Cambria Math" w:cs="Arial"/>
                <w:i/>
                <w:lang w:eastAsia="en-GB"/>
              </w:rPr>
            </m:ctrlPr>
          </m:sSubPr>
          <m:e>
            <m:r>
              <w:rPr>
                <w:rFonts w:ascii="Cambria Math" w:eastAsia="Times New Roman" w:hAnsi="Cambria Math" w:cs="Arial"/>
                <w:lang w:eastAsia="en-GB"/>
              </w:rPr>
              <m:t>GOVCON</m:t>
            </m:r>
          </m:e>
          <m:sub>
            <m:r>
              <w:rPr>
                <w:rFonts w:ascii="Cambria Math" w:eastAsia="Times New Roman" w:hAnsi="Cambria Math" w:cs="Arial"/>
                <w:lang w:eastAsia="en-GB"/>
              </w:rPr>
              <m:t>it</m:t>
            </m:r>
          </m:sub>
        </m:sSub>
        <m:r>
          <w:rPr>
            <w:rFonts w:ascii="Cambria Math" w:eastAsia="Times New Roman" w:hAnsi="Cambria Math" w:cs="Arial"/>
            <w:lang w:eastAsia="en-GB"/>
          </w:rPr>
          <m:t>+</m:t>
        </m:r>
        <m:sSub>
          <m:sSubPr>
            <m:ctrlPr>
              <w:rPr>
                <w:rFonts w:ascii="Cambria Math" w:eastAsia="Times New Roman" w:hAnsi="Cambria Math" w:cs="Arial"/>
                <w:i/>
                <w:lang w:eastAsia="en-GB"/>
              </w:rPr>
            </m:ctrlPr>
          </m:sSubPr>
          <m:e>
            <m:r>
              <m:rPr>
                <m:sty m:val="p"/>
              </m:rPr>
              <w:rPr>
                <w:rFonts w:ascii="Cambria Math" w:eastAsia="Times New Roman" w:hAnsi="Cambria Math" w:cs="Arial"/>
                <w:lang w:eastAsia="en-GB"/>
              </w:rPr>
              <m:t>α</m:t>
            </m:r>
          </m:e>
          <m:sub>
            <m:r>
              <w:rPr>
                <w:rFonts w:ascii="Cambria Math" w:eastAsia="Times New Roman" w:hAnsi="Cambria Math" w:cs="Arial"/>
                <w:lang w:eastAsia="en-GB"/>
              </w:rPr>
              <m:t>4</m:t>
            </m:r>
          </m:sub>
        </m:sSub>
        <m:sSub>
          <m:sSubPr>
            <m:ctrlPr>
              <w:rPr>
                <w:rFonts w:ascii="Cambria Math" w:eastAsia="Times New Roman" w:hAnsi="Cambria Math" w:cs="Arial"/>
                <w:i/>
                <w:lang w:eastAsia="en-GB"/>
              </w:rPr>
            </m:ctrlPr>
          </m:sSubPr>
          <m:e>
            <m:r>
              <w:rPr>
                <w:rFonts w:ascii="Cambria Math" w:eastAsia="Times New Roman" w:hAnsi="Cambria Math" w:cs="Arial"/>
                <w:lang w:eastAsia="en-GB"/>
              </w:rPr>
              <m:t>FDI</m:t>
            </m:r>
          </m:e>
          <m:sub>
            <m:r>
              <w:rPr>
                <w:rFonts w:ascii="Cambria Math" w:eastAsia="Times New Roman" w:hAnsi="Cambria Math" w:cs="Arial"/>
                <w:lang w:eastAsia="en-GB"/>
              </w:rPr>
              <m:t>it</m:t>
            </m:r>
          </m:sub>
        </m:sSub>
        <m:r>
          <w:rPr>
            <w:rFonts w:ascii="Cambria Math" w:eastAsia="Times New Roman" w:hAnsi="Cambria Math" w:cs="Arial"/>
            <w:lang w:eastAsia="en-GB"/>
          </w:rPr>
          <m:t>+</m:t>
        </m:r>
        <m:sSub>
          <m:sSubPr>
            <m:ctrlPr>
              <w:rPr>
                <w:rFonts w:ascii="Cambria Math" w:eastAsia="Times New Roman" w:hAnsi="Cambria Math" w:cs="Arial"/>
                <w:i/>
                <w:lang w:eastAsia="en-GB"/>
              </w:rPr>
            </m:ctrlPr>
          </m:sSubPr>
          <m:e>
            <m:r>
              <m:rPr>
                <m:sty m:val="p"/>
              </m:rPr>
              <w:rPr>
                <w:rFonts w:ascii="Cambria Math" w:eastAsia="Times New Roman" w:hAnsi="Cambria Math" w:cs="Arial"/>
                <w:lang w:eastAsia="en-GB"/>
              </w:rPr>
              <m:t>α</m:t>
            </m:r>
          </m:e>
          <m:sub>
            <m:r>
              <w:rPr>
                <w:rFonts w:ascii="Cambria Math" w:eastAsia="Times New Roman" w:hAnsi="Cambria Math" w:cs="Arial"/>
                <w:lang w:eastAsia="en-GB"/>
              </w:rPr>
              <m:t>5</m:t>
            </m:r>
          </m:sub>
        </m:sSub>
        <m:sSub>
          <m:sSubPr>
            <m:ctrlPr>
              <w:rPr>
                <w:rFonts w:ascii="Cambria Math" w:eastAsia="Times New Roman" w:hAnsi="Cambria Math" w:cs="Arial"/>
                <w:i/>
                <w:lang w:eastAsia="en-GB"/>
              </w:rPr>
            </m:ctrlPr>
          </m:sSubPr>
          <m:e>
            <m:r>
              <w:rPr>
                <w:rFonts w:ascii="Cambria Math" w:eastAsia="Times New Roman" w:hAnsi="Cambria Math" w:cs="Arial"/>
                <w:lang w:eastAsia="en-GB"/>
              </w:rPr>
              <m:t>TOT</m:t>
            </m:r>
          </m:e>
          <m:sub>
            <m:r>
              <w:rPr>
                <w:rFonts w:ascii="Cambria Math" w:eastAsia="Times New Roman" w:hAnsi="Cambria Math" w:cs="Arial"/>
                <w:lang w:eastAsia="en-GB"/>
              </w:rPr>
              <m:t>it</m:t>
            </m:r>
          </m:sub>
        </m:sSub>
        <m:r>
          <w:rPr>
            <w:rFonts w:ascii="Cambria Math" w:eastAsia="Times New Roman" w:hAnsi="Cambria Math" w:cs="Arial"/>
            <w:lang w:eastAsia="en-GB"/>
          </w:rPr>
          <m:t>+</m:t>
        </m:r>
        <m:sSub>
          <m:sSubPr>
            <m:ctrlPr>
              <w:rPr>
                <w:rFonts w:ascii="Cambria Math" w:eastAsia="Times New Roman" w:hAnsi="Cambria Math" w:cs="Arial"/>
                <w:i/>
                <w:lang w:eastAsia="en-GB"/>
              </w:rPr>
            </m:ctrlPr>
          </m:sSubPr>
          <m:e>
            <m:r>
              <m:rPr>
                <m:sty m:val="p"/>
              </m:rPr>
              <w:rPr>
                <w:rFonts w:ascii="Cambria Math" w:eastAsia="Segoe UI Symbol" w:hAnsi="Cambria Math" w:cs="Arial"/>
                <w:lang w:eastAsia="en-GB"/>
              </w:rPr>
              <m:t>ε</m:t>
            </m:r>
          </m:e>
          <m:sub>
            <m:r>
              <w:rPr>
                <w:rFonts w:ascii="Cambria Math" w:eastAsia="Times New Roman" w:hAnsi="Cambria Math" w:cs="Arial"/>
                <w:lang w:eastAsia="en-GB"/>
              </w:rPr>
              <m:t>it</m:t>
            </m:r>
          </m:sub>
        </m:sSub>
        <m:r>
          <w:rPr>
            <w:rFonts w:ascii="Cambria Math" w:eastAsia="Times New Roman" w:hAnsi="Cambria Math" w:cs="Arial"/>
            <w:lang w:eastAsia="en-GB"/>
          </w:rPr>
          <m:t xml:space="preserve">   </m:t>
        </m:r>
      </m:oMath>
      <w:r w:rsidR="00E84D3E">
        <w:rPr>
          <w:rFonts w:ascii="Arial" w:eastAsia="Times New Roman" w:hAnsi="Arial" w:cs="Arial"/>
          <w:lang w:eastAsia="en-GB"/>
        </w:rPr>
        <w:t xml:space="preserve">      </w:t>
      </w:r>
      <w:r w:rsidR="00E84D3E" w:rsidRPr="00786779">
        <w:rPr>
          <w:rFonts w:ascii="Arial" w:eastAsia="Times New Roman" w:hAnsi="Arial" w:cs="Arial"/>
          <w:lang w:eastAsia="en-GB"/>
        </w:rPr>
        <w:t>(5.1)</w:t>
      </w:r>
    </w:p>
    <w:p w14:paraId="42422B3F" w14:textId="77777777" w:rsidR="00E84D3E" w:rsidRPr="008204CC" w:rsidRDefault="00E84D3E" w:rsidP="0066301C">
      <w:pPr>
        <w:autoSpaceDE w:val="0"/>
        <w:autoSpaceDN w:val="0"/>
        <w:adjustRightInd w:val="0"/>
        <w:spacing w:after="200" w:line="360" w:lineRule="auto"/>
        <w:contextualSpacing/>
        <w:jc w:val="both"/>
        <w:rPr>
          <w:rFonts w:ascii="Arial" w:eastAsia="Times New Roman" w:hAnsi="Arial" w:cs="Arial"/>
          <w:lang w:eastAsia="en-GB"/>
        </w:rPr>
      </w:pPr>
    </w:p>
    <w:p w14:paraId="7F81DA83" w14:textId="77777777" w:rsidR="00E84D3E" w:rsidRDefault="00E84D3E" w:rsidP="0066301C">
      <w:pPr>
        <w:autoSpaceDE w:val="0"/>
        <w:autoSpaceDN w:val="0"/>
        <w:adjustRightInd w:val="0"/>
        <w:spacing w:after="200" w:line="360" w:lineRule="auto"/>
        <w:contextualSpacing/>
        <w:jc w:val="both"/>
        <w:rPr>
          <w:rFonts w:ascii="Arial" w:eastAsia="Times New Roman" w:hAnsi="Arial" w:cs="Arial"/>
          <w:lang w:eastAsia="en-GB"/>
        </w:rPr>
      </w:pPr>
      <w:r w:rsidRPr="008204CC">
        <w:rPr>
          <w:rFonts w:ascii="Arial" w:eastAsia="Times New Roman" w:hAnsi="Arial" w:cs="Arial"/>
          <w:lang w:eastAsia="en-GB"/>
        </w:rPr>
        <w:t>Whereby</w:t>
      </w:r>
      <w:r>
        <w:rPr>
          <w:rFonts w:ascii="Arial" w:eastAsia="Times New Roman" w:hAnsi="Arial" w:cs="Arial"/>
          <w:lang w:eastAsia="en-GB"/>
        </w:rPr>
        <w:t>:</w:t>
      </w:r>
    </w:p>
    <w:p w14:paraId="33A8D07F" w14:textId="77777777" w:rsidR="00E84D3E" w:rsidRDefault="00E84D3E" w:rsidP="0066301C">
      <w:pPr>
        <w:autoSpaceDE w:val="0"/>
        <w:autoSpaceDN w:val="0"/>
        <w:adjustRightInd w:val="0"/>
        <w:spacing w:after="200" w:line="360" w:lineRule="auto"/>
        <w:contextualSpacing/>
        <w:jc w:val="both"/>
        <w:rPr>
          <w:rFonts w:ascii="Arial" w:eastAsia="Times New Roman" w:hAnsi="Arial" w:cs="Arial"/>
          <w:lang w:eastAsia="en-GB"/>
        </w:rPr>
      </w:pPr>
      <w:r w:rsidRPr="008204CC">
        <w:rPr>
          <w:rFonts w:ascii="Arial" w:eastAsia="Times New Roman" w:hAnsi="Arial" w:cs="Arial"/>
          <w:lang w:eastAsia="en-GB"/>
        </w:rPr>
        <w:t xml:space="preserve"> </w:t>
      </w:r>
      <m:oMath>
        <m:r>
          <w:rPr>
            <w:rFonts w:ascii="Cambria Math" w:eastAsia="Times New Roman" w:hAnsi="Cambria Math" w:cs="Arial"/>
            <w:lang w:eastAsia="en-GB"/>
          </w:rPr>
          <m:t>g</m:t>
        </m:r>
      </m:oMath>
      <w:r w:rsidRPr="008204CC">
        <w:rPr>
          <w:rFonts w:ascii="Arial" w:eastAsia="Times New Roman" w:hAnsi="Arial" w:cs="Arial"/>
          <w:lang w:eastAsia="en-GB"/>
        </w:rPr>
        <w:t xml:space="preserve"> </w:t>
      </w:r>
      <w:r>
        <w:rPr>
          <w:rFonts w:ascii="Arial" w:eastAsia="Times New Roman" w:hAnsi="Arial" w:cs="Arial"/>
          <w:lang w:eastAsia="en-GB"/>
        </w:rPr>
        <w:t>=</w:t>
      </w:r>
      <w:r w:rsidRPr="008204CC">
        <w:rPr>
          <w:rFonts w:ascii="Arial" w:eastAsia="Times New Roman" w:hAnsi="Arial" w:cs="Arial"/>
          <w:lang w:eastAsia="en-GB"/>
        </w:rPr>
        <w:t xml:space="preserve"> gross domestic product (GDP) per capita growth (annual %) and it is the dependent variable. </w:t>
      </w:r>
    </w:p>
    <w:p w14:paraId="03F53263" w14:textId="54123394" w:rsidR="005B2010" w:rsidRDefault="00400910" w:rsidP="0066301C">
      <w:pPr>
        <w:autoSpaceDE w:val="0"/>
        <w:autoSpaceDN w:val="0"/>
        <w:adjustRightInd w:val="0"/>
        <w:spacing w:after="200" w:line="360" w:lineRule="auto"/>
        <w:contextualSpacing/>
        <w:jc w:val="both"/>
        <w:rPr>
          <w:rFonts w:ascii="Arial" w:eastAsia="Times New Roman" w:hAnsi="Arial" w:cs="Arial"/>
          <w:lang w:eastAsia="en-GB"/>
        </w:rPr>
      </w:pPr>
      <w:r w:rsidRPr="008204CC">
        <w:rPr>
          <w:rFonts w:ascii="Arial" w:eastAsia="Times New Roman" w:hAnsi="Arial" w:cs="Arial"/>
          <w:lang w:eastAsia="en-GB"/>
        </w:rPr>
        <w:t xml:space="preserve">REER </w:t>
      </w:r>
      <w:r w:rsidR="00B11B75">
        <w:rPr>
          <w:rFonts w:ascii="Arial" w:eastAsia="Times New Roman" w:hAnsi="Arial" w:cs="Arial"/>
          <w:lang w:eastAsia="en-GB"/>
        </w:rPr>
        <w:t>=</w:t>
      </w:r>
      <w:r w:rsidRPr="008204CC">
        <w:rPr>
          <w:rFonts w:ascii="Arial" w:eastAsia="Times New Roman" w:hAnsi="Arial" w:cs="Arial"/>
          <w:lang w:eastAsia="en-GB"/>
        </w:rPr>
        <w:t xml:space="preserve"> real effective exchange rate </w:t>
      </w:r>
      <w:r w:rsidR="00B11B75">
        <w:rPr>
          <w:rFonts w:ascii="Arial" w:eastAsia="Times New Roman" w:hAnsi="Arial" w:cs="Arial"/>
          <w:lang w:eastAsia="en-GB"/>
        </w:rPr>
        <w:t xml:space="preserve">and </w:t>
      </w:r>
      <w:r w:rsidRPr="008204CC">
        <w:rPr>
          <w:rFonts w:ascii="Arial" w:eastAsia="Times New Roman" w:hAnsi="Arial" w:cs="Arial"/>
          <w:lang w:eastAsia="en-GB"/>
        </w:rPr>
        <w:t>is the main control variable of interest.</w:t>
      </w:r>
      <w:r w:rsidRPr="008204CC">
        <w:rPr>
          <w:rFonts w:ascii="Arial" w:eastAsia="Times New Roman" w:hAnsi="Arial" w:cs="Arial"/>
          <w:vertAlign w:val="superscript"/>
          <w:lang w:eastAsia="en-GB"/>
        </w:rPr>
        <w:footnoteReference w:id="146"/>
      </w:r>
      <w:r w:rsidRPr="008204CC">
        <w:rPr>
          <w:rFonts w:ascii="Arial" w:eastAsia="Times New Roman" w:hAnsi="Arial" w:cs="Arial"/>
          <w:lang w:eastAsia="en-GB"/>
        </w:rPr>
        <w:t xml:space="preserve"> </w:t>
      </w:r>
    </w:p>
    <w:p w14:paraId="7BDCB0F5" w14:textId="3B549C7D" w:rsidR="005B2010" w:rsidRDefault="005B2010" w:rsidP="0066301C">
      <w:pPr>
        <w:autoSpaceDE w:val="0"/>
        <w:autoSpaceDN w:val="0"/>
        <w:adjustRightInd w:val="0"/>
        <w:spacing w:after="200" w:line="360" w:lineRule="auto"/>
        <w:contextualSpacing/>
        <w:jc w:val="both"/>
        <w:rPr>
          <w:rFonts w:ascii="Arial" w:eastAsia="Times New Roman" w:hAnsi="Arial" w:cs="Arial"/>
          <w:lang w:eastAsia="en-GB"/>
        </w:rPr>
      </w:pPr>
      <w:r w:rsidRPr="008204CC">
        <w:rPr>
          <w:rFonts w:ascii="Arial" w:eastAsia="Times New Roman" w:hAnsi="Arial" w:cs="Arial"/>
          <w:lang w:eastAsia="en-GB"/>
        </w:rPr>
        <w:t>GOVCON</w:t>
      </w:r>
      <w:r>
        <w:rPr>
          <w:rFonts w:ascii="Arial" w:eastAsia="Times New Roman" w:hAnsi="Arial" w:cs="Arial"/>
          <w:lang w:eastAsia="en-GB"/>
        </w:rPr>
        <w:t xml:space="preserve"> = </w:t>
      </w:r>
      <w:r w:rsidR="00B11B75">
        <w:rPr>
          <w:rFonts w:ascii="Arial" w:eastAsia="Times New Roman" w:hAnsi="Arial" w:cs="Arial"/>
          <w:lang w:eastAsia="en-GB"/>
        </w:rPr>
        <w:t>G</w:t>
      </w:r>
      <w:r w:rsidR="00B11B75" w:rsidRPr="008204CC">
        <w:rPr>
          <w:rFonts w:ascii="Arial" w:eastAsia="Times New Roman" w:hAnsi="Arial" w:cs="Arial"/>
          <w:lang w:eastAsia="en-GB"/>
        </w:rPr>
        <w:t>overnment consumption</w:t>
      </w:r>
      <w:r w:rsidR="00B11B75">
        <w:rPr>
          <w:rFonts w:ascii="Arial" w:eastAsia="Times New Roman" w:hAnsi="Arial" w:cs="Arial"/>
          <w:lang w:eastAsia="en-GB"/>
        </w:rPr>
        <w:t>,</w:t>
      </w:r>
    </w:p>
    <w:p w14:paraId="4DA2D054" w14:textId="75BEFF49" w:rsidR="00B11B75" w:rsidRDefault="00B11B75" w:rsidP="0066301C">
      <w:pPr>
        <w:autoSpaceDE w:val="0"/>
        <w:autoSpaceDN w:val="0"/>
        <w:adjustRightInd w:val="0"/>
        <w:spacing w:after="200" w:line="360" w:lineRule="auto"/>
        <w:contextualSpacing/>
        <w:jc w:val="both"/>
        <w:rPr>
          <w:rFonts w:ascii="Arial" w:eastAsia="Times New Roman" w:hAnsi="Arial" w:cs="Arial"/>
          <w:lang w:eastAsia="en-GB"/>
        </w:rPr>
      </w:pPr>
      <w:r w:rsidRPr="008204CC">
        <w:rPr>
          <w:rFonts w:ascii="Arial" w:eastAsia="Times New Roman" w:hAnsi="Arial" w:cs="Arial"/>
          <w:lang w:eastAsia="en-GB"/>
        </w:rPr>
        <w:t>OPEN</w:t>
      </w:r>
      <w:r>
        <w:rPr>
          <w:rFonts w:ascii="Arial" w:eastAsia="Times New Roman" w:hAnsi="Arial" w:cs="Arial"/>
          <w:lang w:eastAsia="en-GB"/>
        </w:rPr>
        <w:t xml:space="preserve"> = T</w:t>
      </w:r>
      <w:r w:rsidRPr="008204CC">
        <w:rPr>
          <w:rFonts w:ascii="Arial" w:eastAsia="Times New Roman" w:hAnsi="Arial" w:cs="Arial"/>
          <w:lang w:eastAsia="en-GB"/>
        </w:rPr>
        <w:t>rade openness</w:t>
      </w:r>
      <w:r>
        <w:rPr>
          <w:rFonts w:ascii="Arial" w:eastAsia="Times New Roman" w:hAnsi="Arial" w:cs="Arial"/>
          <w:lang w:eastAsia="en-GB"/>
        </w:rPr>
        <w:t>,</w:t>
      </w:r>
    </w:p>
    <w:p w14:paraId="01D2D151" w14:textId="77777777" w:rsidR="00B11B75" w:rsidRDefault="00B11B75" w:rsidP="0066301C">
      <w:pPr>
        <w:autoSpaceDE w:val="0"/>
        <w:autoSpaceDN w:val="0"/>
        <w:adjustRightInd w:val="0"/>
        <w:spacing w:after="200" w:line="360" w:lineRule="auto"/>
        <w:contextualSpacing/>
        <w:jc w:val="both"/>
        <w:rPr>
          <w:rFonts w:ascii="Arial" w:eastAsia="Times New Roman" w:hAnsi="Arial" w:cs="Arial"/>
          <w:lang w:eastAsia="en-GB"/>
        </w:rPr>
      </w:pPr>
      <w:r w:rsidRPr="008204CC">
        <w:rPr>
          <w:rFonts w:ascii="Arial" w:eastAsia="Times New Roman" w:hAnsi="Arial" w:cs="Arial"/>
          <w:lang w:eastAsia="en-GB"/>
        </w:rPr>
        <w:t>FDI</w:t>
      </w:r>
      <w:r>
        <w:rPr>
          <w:rFonts w:ascii="Arial" w:eastAsia="Times New Roman" w:hAnsi="Arial" w:cs="Arial"/>
          <w:lang w:eastAsia="en-GB"/>
        </w:rPr>
        <w:t xml:space="preserve"> =</w:t>
      </w:r>
      <w:r w:rsidRPr="008204CC">
        <w:rPr>
          <w:rFonts w:ascii="Arial" w:eastAsia="Times New Roman" w:hAnsi="Arial" w:cs="Arial"/>
          <w:lang w:eastAsia="en-GB"/>
        </w:rPr>
        <w:t xml:space="preserve"> </w:t>
      </w:r>
      <w:r>
        <w:rPr>
          <w:rFonts w:ascii="Arial" w:eastAsia="Times New Roman" w:hAnsi="Arial" w:cs="Arial"/>
          <w:lang w:eastAsia="en-GB"/>
        </w:rPr>
        <w:t>F</w:t>
      </w:r>
      <w:r w:rsidRPr="008204CC">
        <w:rPr>
          <w:rFonts w:ascii="Arial" w:eastAsia="Times New Roman" w:hAnsi="Arial" w:cs="Arial"/>
          <w:lang w:eastAsia="en-GB"/>
        </w:rPr>
        <w:t xml:space="preserve">oreign </w:t>
      </w:r>
      <w:r>
        <w:rPr>
          <w:rFonts w:ascii="Arial" w:eastAsia="Times New Roman" w:hAnsi="Arial" w:cs="Arial"/>
          <w:lang w:eastAsia="en-GB"/>
        </w:rPr>
        <w:t>D</w:t>
      </w:r>
      <w:r w:rsidRPr="008204CC">
        <w:rPr>
          <w:rFonts w:ascii="Arial" w:eastAsia="Times New Roman" w:hAnsi="Arial" w:cs="Arial"/>
          <w:lang w:eastAsia="en-GB"/>
        </w:rPr>
        <w:t xml:space="preserve">irect </w:t>
      </w:r>
      <w:r>
        <w:rPr>
          <w:rFonts w:ascii="Arial" w:eastAsia="Times New Roman" w:hAnsi="Arial" w:cs="Arial"/>
          <w:lang w:eastAsia="en-GB"/>
        </w:rPr>
        <w:t>I</w:t>
      </w:r>
      <w:r w:rsidRPr="008204CC">
        <w:rPr>
          <w:rFonts w:ascii="Arial" w:eastAsia="Times New Roman" w:hAnsi="Arial" w:cs="Arial"/>
          <w:lang w:eastAsia="en-GB"/>
        </w:rPr>
        <w:t>nvestmen</w:t>
      </w:r>
      <w:r>
        <w:rPr>
          <w:rFonts w:ascii="Arial" w:eastAsia="Times New Roman" w:hAnsi="Arial" w:cs="Arial"/>
          <w:lang w:eastAsia="en-GB"/>
        </w:rPr>
        <w:t>t</w:t>
      </w:r>
      <w:r w:rsidRPr="008204CC">
        <w:rPr>
          <w:rFonts w:ascii="Arial" w:eastAsia="Times New Roman" w:hAnsi="Arial" w:cs="Arial"/>
          <w:lang w:eastAsia="en-GB"/>
        </w:rPr>
        <w:t xml:space="preserve">, </w:t>
      </w:r>
    </w:p>
    <w:p w14:paraId="6DE275A3" w14:textId="1BE5381E" w:rsidR="00B11B75" w:rsidRDefault="00B11B75" w:rsidP="0066301C">
      <w:pPr>
        <w:autoSpaceDE w:val="0"/>
        <w:autoSpaceDN w:val="0"/>
        <w:adjustRightInd w:val="0"/>
        <w:spacing w:after="200" w:line="360" w:lineRule="auto"/>
        <w:contextualSpacing/>
        <w:jc w:val="both"/>
        <w:rPr>
          <w:rFonts w:ascii="Arial" w:eastAsia="Times New Roman" w:hAnsi="Arial" w:cs="Arial"/>
          <w:lang w:eastAsia="en-GB"/>
        </w:rPr>
      </w:pPr>
      <w:r w:rsidRPr="008204CC">
        <w:rPr>
          <w:rFonts w:ascii="Arial" w:eastAsia="Times New Roman" w:hAnsi="Arial" w:cs="Arial"/>
          <w:lang w:eastAsia="en-GB"/>
        </w:rPr>
        <w:t>TOT</w:t>
      </w:r>
      <w:r>
        <w:rPr>
          <w:rFonts w:ascii="Arial" w:eastAsia="Times New Roman" w:hAnsi="Arial" w:cs="Arial"/>
          <w:lang w:eastAsia="en-GB"/>
        </w:rPr>
        <w:t xml:space="preserve"> = T</w:t>
      </w:r>
      <w:r w:rsidRPr="008204CC">
        <w:rPr>
          <w:rFonts w:ascii="Arial" w:eastAsia="Times New Roman" w:hAnsi="Arial" w:cs="Arial"/>
          <w:lang w:eastAsia="en-GB"/>
        </w:rPr>
        <w:t xml:space="preserve">erms of </w:t>
      </w:r>
      <w:r>
        <w:rPr>
          <w:rFonts w:ascii="Arial" w:eastAsia="Times New Roman" w:hAnsi="Arial" w:cs="Arial"/>
          <w:lang w:eastAsia="en-GB"/>
        </w:rPr>
        <w:t>T</w:t>
      </w:r>
      <w:r w:rsidRPr="008204CC">
        <w:rPr>
          <w:rFonts w:ascii="Arial" w:eastAsia="Times New Roman" w:hAnsi="Arial" w:cs="Arial"/>
          <w:lang w:eastAsia="en-GB"/>
        </w:rPr>
        <w:t>rade.</w:t>
      </w:r>
    </w:p>
    <w:p w14:paraId="7FAA19A6" w14:textId="2F984820" w:rsidR="00B11B75" w:rsidRDefault="00665AA9" w:rsidP="0066301C">
      <w:pPr>
        <w:pStyle w:val="Heading3"/>
        <w:numPr>
          <w:ilvl w:val="0"/>
          <w:numId w:val="0"/>
        </w:numPr>
        <w:spacing w:before="0" w:beforeAutospacing="0"/>
      </w:pPr>
      <w:bookmarkStart w:id="505" w:name="_Toc171075434"/>
      <w:bookmarkEnd w:id="504"/>
      <w:r>
        <w:t>5</w:t>
      </w:r>
      <w:r w:rsidR="00A712A8">
        <w:t>.3.1</w:t>
      </w:r>
      <w:r w:rsidR="00774992">
        <w:tab/>
      </w:r>
      <w:r w:rsidR="00A712A8">
        <w:t>TYPES</w:t>
      </w:r>
      <w:r w:rsidR="00B11B75" w:rsidRPr="00680D94">
        <w:t xml:space="preserve"> AND SOURCE OF DATA</w:t>
      </w:r>
      <w:bookmarkEnd w:id="505"/>
      <w:r w:rsidR="00B11B75" w:rsidRPr="00A24A53">
        <w:t xml:space="preserve"> </w:t>
      </w:r>
    </w:p>
    <w:p w14:paraId="48B06413" w14:textId="5174C8B8" w:rsidR="00C27BD3" w:rsidRPr="003018DC" w:rsidRDefault="00CB74D9" w:rsidP="0066301C">
      <w:pPr>
        <w:spacing w:line="360" w:lineRule="auto"/>
        <w:jc w:val="both"/>
        <w:rPr>
          <w:rFonts w:ascii="Arial" w:hAnsi="Arial" w:cs="Arial"/>
        </w:rPr>
      </w:pPr>
      <w:r w:rsidRPr="0054539B">
        <w:rPr>
          <w:rFonts w:ascii="Arial" w:hAnsi="Arial" w:cs="Arial"/>
          <w:lang w:eastAsia="en-GB"/>
        </w:rPr>
        <w:t>Since the FC</w:t>
      </w:r>
      <w:r w:rsidR="00720D67">
        <w:rPr>
          <w:rFonts w:ascii="Arial" w:hAnsi="Arial" w:cs="Arial"/>
          <w:lang w:eastAsia="en-GB"/>
        </w:rPr>
        <w:t>A franc</w:t>
      </w:r>
      <w:r w:rsidRPr="0054539B">
        <w:rPr>
          <w:rFonts w:ascii="Arial" w:hAnsi="Arial" w:cs="Arial"/>
          <w:lang w:eastAsia="en-GB"/>
        </w:rPr>
        <w:t xml:space="preserve"> was devalued with the aim of improving the economic growth of the region, we shall be using the panel autoregression distributed lag (ARDL) approach to investigate the </w:t>
      </w:r>
      <w:r w:rsidR="00720D67" w:rsidRPr="046713AE">
        <w:rPr>
          <w:rFonts w:ascii="Arial" w:hAnsi="Arial" w:cs="Arial"/>
        </w:rPr>
        <w:t xml:space="preserve">impact of </w:t>
      </w:r>
      <w:r w:rsidR="00D07010">
        <w:rPr>
          <w:rFonts w:ascii="Arial" w:hAnsi="Arial" w:cs="Arial"/>
        </w:rPr>
        <w:t>CFA franc</w:t>
      </w:r>
      <w:r w:rsidR="00720D67" w:rsidRPr="046713AE">
        <w:rPr>
          <w:rFonts w:ascii="Arial" w:hAnsi="Arial" w:cs="Arial"/>
        </w:rPr>
        <w:t xml:space="preserve"> on </w:t>
      </w:r>
      <w:r w:rsidRPr="0054539B">
        <w:rPr>
          <w:rFonts w:ascii="Arial" w:hAnsi="Arial" w:cs="Arial"/>
          <w:lang w:eastAsia="en-GB"/>
        </w:rPr>
        <w:t xml:space="preserve">the CEMAC region’s economic growth. </w:t>
      </w:r>
      <w:r w:rsidR="00C27BD3" w:rsidRPr="003018DC">
        <w:rPr>
          <w:rFonts w:ascii="Arial" w:hAnsi="Arial" w:cs="Arial"/>
        </w:rPr>
        <w:t xml:space="preserve">This incorporates the following </w:t>
      </w:r>
      <w:r w:rsidR="00981936">
        <w:rPr>
          <w:rFonts w:ascii="Arial" w:hAnsi="Arial" w:cs="Arial"/>
        </w:rPr>
        <w:t>three</w:t>
      </w:r>
      <w:r w:rsidR="00C27BD3" w:rsidRPr="003018DC">
        <w:rPr>
          <w:rFonts w:ascii="Arial" w:hAnsi="Arial" w:cs="Arial"/>
        </w:rPr>
        <w:t xml:space="preserve"> CEMAC nations (Cameroon, Central Africa Republic – CAR, and Gabon). The data used are secondary annual data within the period 198</w:t>
      </w:r>
      <w:r w:rsidR="00981936">
        <w:rPr>
          <w:rFonts w:ascii="Arial" w:hAnsi="Arial" w:cs="Arial"/>
        </w:rPr>
        <w:t>0</w:t>
      </w:r>
      <w:r w:rsidR="00C27BD3" w:rsidRPr="003018DC">
        <w:rPr>
          <w:rFonts w:ascii="Arial" w:hAnsi="Arial" w:cs="Arial"/>
        </w:rPr>
        <w:t xml:space="preserve"> to 2018</w:t>
      </w:r>
      <w:r w:rsidR="00981936">
        <w:rPr>
          <w:rFonts w:ascii="Arial" w:hAnsi="Arial" w:cs="Arial"/>
        </w:rPr>
        <w:t>.</w:t>
      </w:r>
      <w:r w:rsidR="00C27BD3" w:rsidRPr="003018DC">
        <w:rPr>
          <w:rFonts w:ascii="Arial" w:hAnsi="Arial" w:cs="Arial"/>
        </w:rPr>
        <w:t xml:space="preserve"> The data collected were available until the year 2018 because data beyond that period were not yet available. The data for Chad and Congo (REER) are within the period 2004 to 2018, giving </w:t>
      </w:r>
      <w:r w:rsidR="00C27BD3" w:rsidRPr="003018DC">
        <w:rPr>
          <w:rFonts w:ascii="Arial" w:hAnsi="Arial" w:cs="Arial"/>
        </w:rPr>
        <w:lastRenderedPageBreak/>
        <w:t>just 15 observations, which are insufficient for analytical purposes. The data of the variables and their sources are explained below.</w:t>
      </w:r>
    </w:p>
    <w:p w14:paraId="31FBFF06" w14:textId="02D2F60D" w:rsidR="00C27BD3" w:rsidRPr="003018DC" w:rsidRDefault="008F2973" w:rsidP="0066301C">
      <w:pPr>
        <w:spacing w:line="360" w:lineRule="auto"/>
        <w:jc w:val="both"/>
        <w:rPr>
          <w:rFonts w:ascii="Arial" w:hAnsi="Arial" w:cs="Arial"/>
        </w:rPr>
      </w:pPr>
      <w:r>
        <w:rPr>
          <w:rStyle w:val="Strong"/>
          <w:rFonts w:ascii="Arial" w:hAnsi="Arial" w:cs="Arial"/>
          <w:color w:val="0E101A"/>
        </w:rPr>
        <w:t xml:space="preserve">Gross Domestic Product </w:t>
      </w:r>
      <w:r w:rsidRPr="003018DC">
        <w:rPr>
          <w:rStyle w:val="Strong"/>
          <w:rFonts w:ascii="Arial" w:hAnsi="Arial" w:cs="Arial"/>
          <w:color w:val="0E101A"/>
        </w:rPr>
        <w:t>(G</w:t>
      </w:r>
      <w:r w:rsidR="00E274AF">
        <w:rPr>
          <w:rStyle w:val="Strong"/>
          <w:rFonts w:ascii="Arial" w:hAnsi="Arial" w:cs="Arial"/>
          <w:color w:val="0E101A"/>
        </w:rPr>
        <w:t>DP)</w:t>
      </w:r>
      <w:r w:rsidRPr="003018DC">
        <w:rPr>
          <w:rStyle w:val="Strong"/>
          <w:rFonts w:ascii="Arial" w:hAnsi="Arial" w:cs="Arial"/>
          <w:color w:val="0E101A"/>
        </w:rPr>
        <w:t xml:space="preserve"> </w:t>
      </w:r>
      <w:r>
        <w:rPr>
          <w:rStyle w:val="Strong"/>
          <w:rFonts w:ascii="Arial" w:hAnsi="Arial" w:cs="Arial"/>
          <w:color w:val="0E101A"/>
        </w:rPr>
        <w:t xml:space="preserve">Proxy by </w:t>
      </w:r>
      <w:r w:rsidR="00C27BD3" w:rsidRPr="003018DC">
        <w:rPr>
          <w:rStyle w:val="Strong"/>
          <w:rFonts w:ascii="Arial" w:hAnsi="Arial" w:cs="Arial"/>
          <w:color w:val="0E101A"/>
        </w:rPr>
        <w:t>Gross Domestic Product per capita</w:t>
      </w:r>
      <w:r w:rsidR="00D86FAA">
        <w:rPr>
          <w:rStyle w:val="Strong"/>
          <w:rFonts w:ascii="Arial" w:hAnsi="Arial" w:cs="Arial"/>
          <w:color w:val="0E101A"/>
        </w:rPr>
        <w:t>:</w:t>
      </w:r>
    </w:p>
    <w:p w14:paraId="2B736604" w14:textId="77777777" w:rsidR="00C27BD3" w:rsidRPr="003018DC" w:rsidRDefault="00C27BD3" w:rsidP="0066301C">
      <w:pPr>
        <w:spacing w:line="360" w:lineRule="auto"/>
        <w:jc w:val="both"/>
        <w:rPr>
          <w:rFonts w:ascii="Arial" w:hAnsi="Arial" w:cs="Arial"/>
        </w:rPr>
      </w:pPr>
      <w:r w:rsidRPr="003018DC">
        <w:rPr>
          <w:rFonts w:ascii="Arial" w:hAnsi="Arial" w:cs="Arial"/>
        </w:rPr>
        <w:t>GDP and GDP per capita are two of the measures used to spell the economic state of a nation. Gross Domestic Product (GDP) is the criterion for judging the health of the economy of a nation. It represents the total value of goods and services produced in a nation over a specific period. The GDP is a measure of the size of an economy and represents the growth or economic production of a nation. While GDP per capita is the GDP divided by the total population of the nation, and it is a better indicator of the standard of living of a nation than the GDP.</w:t>
      </w:r>
      <w:r>
        <w:rPr>
          <w:rStyle w:val="FootnoteReference"/>
          <w:rFonts w:ascii="Arial" w:hAnsi="Arial" w:cs="Arial"/>
        </w:rPr>
        <w:footnoteReference w:id="147"/>
      </w:r>
    </w:p>
    <w:p w14:paraId="051D8352" w14:textId="0F1128D5" w:rsidR="00C27BD3" w:rsidRPr="003018DC" w:rsidRDefault="00C27BD3" w:rsidP="0066301C">
      <w:pPr>
        <w:spacing w:line="360" w:lineRule="auto"/>
        <w:jc w:val="both"/>
        <w:rPr>
          <w:rFonts w:ascii="Arial" w:hAnsi="Arial" w:cs="Arial"/>
        </w:rPr>
      </w:pPr>
      <w:r w:rsidRPr="003018DC">
        <w:rPr>
          <w:rFonts w:ascii="Arial" w:hAnsi="Arial" w:cs="Arial"/>
        </w:rPr>
        <w:t>In this research, we use the GDP per capita growth (annual %). “Annual percentage growth rate of GDP per capita based on constant local currency. Aggregates are based on constant 2010 U.S. dollars. GDP per capita is gross domestic product divided by mid</w:t>
      </w:r>
      <w:r w:rsidR="008742FB">
        <w:rPr>
          <w:rFonts w:ascii="Arial" w:hAnsi="Arial" w:cs="Arial"/>
        </w:rPr>
        <w:t>-</w:t>
      </w:r>
      <w:r w:rsidRPr="003018DC">
        <w:rPr>
          <w:rFonts w:ascii="Arial" w:hAnsi="Arial" w:cs="Arial"/>
        </w:rPr>
        <w:t xml:space="preserve">year population. GDP at purchaser's prices is the sum of gross value added by all resident producers in the economy plus any product taxes and minus any subsidies not included in the value of the products. It is calculated without making deductions for depreciation of fabricated assets or for depletion and degradation of natural resources.” </w:t>
      </w:r>
      <w:r w:rsidR="00E274AF">
        <w:rPr>
          <w:rFonts w:ascii="Arial" w:hAnsi="Arial" w:cs="Arial"/>
        </w:rPr>
        <w:t xml:space="preserve">However, in this </w:t>
      </w:r>
      <w:r w:rsidR="0012442D">
        <w:rPr>
          <w:rFonts w:ascii="Arial" w:hAnsi="Arial" w:cs="Arial"/>
        </w:rPr>
        <w:t>chapter</w:t>
      </w:r>
      <w:r w:rsidR="00E274AF">
        <w:rPr>
          <w:rFonts w:ascii="Arial" w:hAnsi="Arial" w:cs="Arial"/>
        </w:rPr>
        <w:t>, we will use the acronym “GDP</w:t>
      </w:r>
      <w:r w:rsidR="00564DDB">
        <w:rPr>
          <w:rFonts w:ascii="Arial" w:hAnsi="Arial" w:cs="Arial"/>
        </w:rPr>
        <w:t>c</w:t>
      </w:r>
      <w:r w:rsidR="00E274AF">
        <w:rPr>
          <w:rFonts w:ascii="Arial" w:hAnsi="Arial" w:cs="Arial"/>
        </w:rPr>
        <w:t>” to represent “</w:t>
      </w:r>
      <w:r w:rsidR="00564DDB" w:rsidRPr="003018DC">
        <w:rPr>
          <w:rFonts w:ascii="Arial" w:hAnsi="Arial" w:cs="Arial"/>
        </w:rPr>
        <w:t>GDP per capita growth (annual %)</w:t>
      </w:r>
      <w:r w:rsidR="00E274AF">
        <w:rPr>
          <w:rFonts w:ascii="Arial" w:hAnsi="Arial" w:cs="Arial"/>
        </w:rPr>
        <w:t xml:space="preserve">”. </w:t>
      </w:r>
      <w:r w:rsidRPr="003018DC">
        <w:rPr>
          <w:rFonts w:ascii="Arial" w:hAnsi="Arial" w:cs="Arial"/>
        </w:rPr>
        <w:t>The data were collected from the World Bank - World Development Indicators (WDI) database, last updated on 18/03/2020.</w:t>
      </w:r>
    </w:p>
    <w:p w14:paraId="5843886D" w14:textId="77777777" w:rsidR="00C27BD3" w:rsidRPr="003018DC" w:rsidRDefault="00C27BD3" w:rsidP="0066301C">
      <w:pPr>
        <w:spacing w:line="360" w:lineRule="auto"/>
        <w:jc w:val="both"/>
        <w:rPr>
          <w:rFonts w:ascii="Arial" w:hAnsi="Arial" w:cs="Arial"/>
        </w:rPr>
      </w:pPr>
      <w:r w:rsidRPr="003018DC">
        <w:rPr>
          <w:rStyle w:val="Strong"/>
          <w:rFonts w:ascii="Arial" w:hAnsi="Arial" w:cs="Arial"/>
          <w:color w:val="0E101A"/>
        </w:rPr>
        <w:t>Real Effective Exchange Rate (REER) index:</w:t>
      </w:r>
      <w:r w:rsidRPr="003018DC">
        <w:rPr>
          <w:rFonts w:ascii="Arial" w:hAnsi="Arial" w:cs="Arial"/>
        </w:rPr>
        <w:t> </w:t>
      </w:r>
    </w:p>
    <w:p w14:paraId="31D59ACF" w14:textId="77777777" w:rsidR="00C27BD3" w:rsidRPr="003018DC" w:rsidRDefault="00C27BD3" w:rsidP="0066301C">
      <w:pPr>
        <w:spacing w:line="360" w:lineRule="auto"/>
        <w:jc w:val="both"/>
        <w:rPr>
          <w:rFonts w:ascii="Arial" w:hAnsi="Arial" w:cs="Arial"/>
        </w:rPr>
      </w:pPr>
      <w:r w:rsidRPr="003018DC">
        <w:rPr>
          <w:rFonts w:ascii="Arial" w:hAnsi="Arial" w:cs="Arial"/>
        </w:rPr>
        <w:t xml:space="preserve">This is the measure of the value of a nation’s currency against a weighted average of foreign trade partners’ currencies divided by a price deflator or index of costs. An increase in the REER implies that the exports of the nation have become more expensive, and imports have become cheaper. This increase indicates a loss in the domestic nation’s trade competitiveness. The reverse is true when the REER experiences a decrease. The REER movements based on different years can be interpreted differently. The primary criterion for a base year is that both internal and external equilibrium should be simultaneously met in the </w:t>
      </w:r>
      <w:r w:rsidRPr="003018DC">
        <w:rPr>
          <w:rFonts w:ascii="Arial" w:hAnsi="Arial" w:cs="Arial"/>
        </w:rPr>
        <w:lastRenderedPageBreak/>
        <w:t>specific year. That is, the REER is assumed to be at both internal and external equilibrium when it has an index value of 100. If the value is above 100, the exchange rate is assumed to be overvalued, and if it is less than 100, it is assumed to be devalued.</w:t>
      </w:r>
      <w:r w:rsidRPr="003018DC">
        <w:rPr>
          <w:rStyle w:val="Emphasis"/>
          <w:rFonts w:ascii="Arial" w:hAnsi="Arial" w:cs="Arial"/>
          <w:color w:val="0E101A"/>
        </w:rPr>
        <w:t> </w:t>
      </w:r>
      <w:r w:rsidRPr="003018DC">
        <w:rPr>
          <w:rFonts w:ascii="Arial" w:hAnsi="Arial" w:cs="Arial"/>
        </w:rPr>
        <w:t>International financial organisations like the World Bank and IMF often publish the REER every ten years. The REER used in this research is the real effective exchange rate index for the base year of 2010 = 100, with the data collected from the World Bank Development Indicator (WDI).</w:t>
      </w:r>
    </w:p>
    <w:p w14:paraId="6AA0CF8A" w14:textId="77777777" w:rsidR="00C27BD3" w:rsidRPr="003018DC" w:rsidRDefault="00C27BD3" w:rsidP="0066301C">
      <w:pPr>
        <w:spacing w:line="360" w:lineRule="auto"/>
        <w:jc w:val="both"/>
        <w:rPr>
          <w:rFonts w:ascii="Arial" w:hAnsi="Arial" w:cs="Arial"/>
        </w:rPr>
      </w:pPr>
      <w:r w:rsidRPr="003018DC">
        <w:rPr>
          <w:rFonts w:ascii="Arial" w:hAnsi="Arial" w:cs="Arial"/>
        </w:rPr>
        <w:t>In this research, the REER “is the nominal index adjusted for relative changes in consumer prices. That is, the REER is the nominal effective exchange rate (NEER) index adjusted for relative movements in the national price or cost indicators of the home country, selected countries, and the euro area (expressed on the base year 2010 = 100) (World Bank, 2020)”. An increase in the REER above the base year ‘100’ represents an appreciation of the local currency, while a decrease represents a depreciation of the local currency. The data for the CEMAC nations were collected from the World Bank - World Development Indicators (WDI) database, last updated on 18/03/2020. </w:t>
      </w:r>
    </w:p>
    <w:p w14:paraId="3646C0E4" w14:textId="77777777" w:rsidR="00C27BD3" w:rsidRPr="003018DC" w:rsidRDefault="00C27BD3" w:rsidP="0066301C">
      <w:pPr>
        <w:spacing w:line="360" w:lineRule="auto"/>
        <w:jc w:val="both"/>
        <w:rPr>
          <w:rFonts w:ascii="Arial" w:hAnsi="Arial" w:cs="Arial"/>
        </w:rPr>
      </w:pPr>
      <w:r w:rsidRPr="003018DC">
        <w:rPr>
          <w:rStyle w:val="Strong"/>
          <w:rFonts w:ascii="Arial" w:hAnsi="Arial" w:cs="Arial"/>
          <w:color w:val="0E101A"/>
        </w:rPr>
        <w:t>Degree of Openness (OPEN):</w:t>
      </w:r>
      <w:r w:rsidRPr="003018DC">
        <w:rPr>
          <w:rFonts w:ascii="Arial" w:hAnsi="Arial" w:cs="Arial"/>
        </w:rPr>
        <w:t> </w:t>
      </w:r>
    </w:p>
    <w:p w14:paraId="5362C9E9" w14:textId="77777777" w:rsidR="00C27BD3" w:rsidRPr="003018DC" w:rsidRDefault="00C27BD3" w:rsidP="0066301C">
      <w:pPr>
        <w:spacing w:line="360" w:lineRule="auto"/>
        <w:jc w:val="both"/>
        <w:rPr>
          <w:rFonts w:ascii="Arial" w:hAnsi="Arial" w:cs="Arial"/>
        </w:rPr>
      </w:pPr>
      <w:r w:rsidRPr="003018DC">
        <w:rPr>
          <w:rFonts w:ascii="Arial" w:hAnsi="Arial" w:cs="Arial"/>
        </w:rPr>
        <w:t>OPEN is the measurement of the extent to which a nation depends on trade with other nations. That is, the degree to which non-domestic transactions (imports and exports) take place and affect the growth and size of a nation (Coleman, 2008; Elbadawi, 1994; Edwards, 1989). The OPEN is measured by the actual size of all registered imports and exports within a nation. Thus, it is the ratio of the sum of imports and exports of goods and services to GDP. </w:t>
      </w:r>
    </w:p>
    <w:p w14:paraId="0FE8DCBE" w14:textId="77777777" w:rsidR="00C27BD3" w:rsidRPr="003018DC" w:rsidRDefault="00C27BD3" w:rsidP="0066301C">
      <w:pPr>
        <w:spacing w:line="360" w:lineRule="auto"/>
        <w:jc w:val="both"/>
        <w:rPr>
          <w:rFonts w:ascii="Arial" w:hAnsi="Arial" w:cs="Arial"/>
        </w:rPr>
      </w:pPr>
      <w:r w:rsidRPr="003018DC">
        <w:rPr>
          <w:rFonts w:ascii="Arial" w:hAnsi="Arial" w:cs="Arial"/>
        </w:rPr>
        <w:t>The openness index is an economic metric calculated as the ratio of a nation’s trade, the sum of exports plus imports, to the nation’s gross domestic product: </w:t>
      </w:r>
    </w:p>
    <w:p w14:paraId="73692A7B" w14:textId="77777777" w:rsidR="00C27BD3" w:rsidRPr="008204CC" w:rsidRDefault="00C27BD3" w:rsidP="0066301C">
      <w:pPr>
        <w:autoSpaceDE w:val="0"/>
        <w:autoSpaceDN w:val="0"/>
        <w:adjustRightInd w:val="0"/>
        <w:spacing w:after="200" w:line="360" w:lineRule="auto"/>
        <w:contextualSpacing/>
        <w:jc w:val="center"/>
        <w:rPr>
          <w:rFonts w:ascii="Arial" w:eastAsia="Times New Roman" w:hAnsi="Arial" w:cs="Arial"/>
          <w:lang w:eastAsia="en-GB"/>
        </w:rPr>
      </w:pPr>
      <w:r w:rsidRPr="008204CC">
        <w:rPr>
          <w:rFonts w:ascii="Arial" w:eastAsia="Times New Roman" w:hAnsi="Arial" w:cs="Arial"/>
          <w:lang w:eastAsia="en-GB"/>
        </w:rPr>
        <w:t xml:space="preserve">OPEN = </w:t>
      </w:r>
      <m:oMath>
        <m:f>
          <m:fPr>
            <m:ctrlPr>
              <w:rPr>
                <w:rFonts w:ascii="Cambria Math" w:eastAsia="Times New Roman" w:hAnsi="Cambria Math" w:cs="Arial"/>
                <w:i/>
                <w:lang w:eastAsia="en-GB"/>
              </w:rPr>
            </m:ctrlPr>
          </m:fPr>
          <m:num>
            <m:r>
              <w:rPr>
                <w:rFonts w:ascii="Cambria Math" w:eastAsia="Times New Roman" w:hAnsi="Cambria Math" w:cs="Arial"/>
                <w:lang w:eastAsia="en-GB"/>
              </w:rPr>
              <m:t>Export +Import</m:t>
            </m:r>
          </m:num>
          <m:den>
            <m:r>
              <w:rPr>
                <w:rFonts w:ascii="Cambria Math" w:eastAsia="Times New Roman" w:hAnsi="Cambria Math" w:cs="Arial"/>
                <w:lang w:eastAsia="en-GB"/>
              </w:rPr>
              <m:t>GDP</m:t>
            </m:r>
          </m:den>
        </m:f>
      </m:oMath>
    </w:p>
    <w:p w14:paraId="248F9923" w14:textId="7544F0E9" w:rsidR="00C27BD3" w:rsidRPr="003018DC" w:rsidRDefault="00C27BD3" w:rsidP="0066301C">
      <w:pPr>
        <w:spacing w:line="360" w:lineRule="auto"/>
        <w:jc w:val="both"/>
        <w:rPr>
          <w:rFonts w:ascii="Arial" w:hAnsi="Arial" w:cs="Arial"/>
        </w:rPr>
      </w:pPr>
      <w:r w:rsidRPr="003018DC">
        <w:rPr>
          <w:rFonts w:ascii="Arial" w:hAnsi="Arial" w:cs="Arial"/>
        </w:rPr>
        <w:t xml:space="preserve">While trade is considered an important determinant of income and growth, with theoretically well-substantiated channels of welfare transmission through trade, the effects of trade policy are theoretically less known or somewhat ambiguous. Trade integration allows for a more efficient allocation of resources via economies of scale and scope as well as via increased competition. It facilitates the diffusion of knowledge and technology transfer. </w:t>
      </w:r>
      <w:r w:rsidR="00C33195">
        <w:rPr>
          <w:rFonts w:ascii="Arial" w:hAnsi="Arial" w:cs="Arial"/>
        </w:rPr>
        <w:t>T</w:t>
      </w:r>
      <w:r w:rsidRPr="003018DC">
        <w:rPr>
          <w:rFonts w:ascii="Arial" w:hAnsi="Arial" w:cs="Arial"/>
        </w:rPr>
        <w:t xml:space="preserve">hese affect cost and productivity patterns that foster technological progress and result in greater efficiency. Nonetheless, the theoretical propositions relating to market and coordination failures, including a need for ‘investment coordination’, ‘infant industry argument’, indivisibilities and risks related to investments in (new) technology, technological interdependencies and complementarities, as well as its tacit elements, which hinders its diffusion and knowledge transfer, have all given rise to targeted state intervention predominantly via trade policy and </w:t>
      </w:r>
      <w:r w:rsidRPr="003018DC">
        <w:rPr>
          <w:rFonts w:ascii="Arial" w:hAnsi="Arial" w:cs="Arial"/>
        </w:rPr>
        <w:lastRenderedPageBreak/>
        <w:t>protection of strategic sectors (Silajdzic and Mehic, 2018). This means that, though trade (especially export-led growth) is commonly viewed as an important determinant of the growth process, trade policies are often subjected to much controversy. </w:t>
      </w:r>
    </w:p>
    <w:p w14:paraId="33F28F49" w14:textId="77777777" w:rsidR="00C27BD3" w:rsidRPr="003018DC" w:rsidRDefault="00C27BD3" w:rsidP="0066301C">
      <w:pPr>
        <w:spacing w:line="360" w:lineRule="auto"/>
        <w:jc w:val="both"/>
        <w:rPr>
          <w:rFonts w:ascii="Arial" w:hAnsi="Arial" w:cs="Arial"/>
        </w:rPr>
      </w:pPr>
      <w:r w:rsidRPr="003018DC">
        <w:rPr>
          <w:rFonts w:ascii="Arial" w:hAnsi="Arial" w:cs="Arial"/>
        </w:rPr>
        <w:t>In this research, OPEN is the sum of exports and imports of goods and services as a percentage of GDP. OPEN = [Exports of goods and services (% of GDP) + Imports of goods and services (% of GDP)]. Exports of goods and services represent the value of all goods and other market services provided to the rest of the world. They include the value of merchandise, freight, insurance, transport, travel, royalties, license fees, and other services, such as communication, construction, financial, information, business, personal, and government services. Imports of goods and services represent the value of all goods and other market services received from the rest of the world. They include the value of merchandise and other services as above (World Bank, 2020). The data is from the World banks - World Development Indicators (WDI) database lastly updated on 18/03/2020.</w:t>
      </w:r>
    </w:p>
    <w:p w14:paraId="7B6FA681" w14:textId="77777777" w:rsidR="00C27BD3" w:rsidRPr="003018DC" w:rsidRDefault="00C27BD3" w:rsidP="0066301C">
      <w:pPr>
        <w:spacing w:line="360" w:lineRule="auto"/>
        <w:jc w:val="both"/>
        <w:rPr>
          <w:rFonts w:ascii="Arial" w:hAnsi="Arial" w:cs="Arial"/>
        </w:rPr>
      </w:pPr>
      <w:r w:rsidRPr="003018DC">
        <w:rPr>
          <w:rStyle w:val="Strong"/>
          <w:rFonts w:ascii="Arial" w:hAnsi="Arial" w:cs="Arial"/>
          <w:color w:val="0E101A"/>
        </w:rPr>
        <w:t>Government Consumption (GOVCON)</w:t>
      </w:r>
      <w:r w:rsidRPr="003018DC">
        <w:rPr>
          <w:rFonts w:ascii="Arial" w:hAnsi="Arial" w:cs="Arial"/>
        </w:rPr>
        <w:t>: </w:t>
      </w:r>
    </w:p>
    <w:p w14:paraId="05538B8B" w14:textId="77777777" w:rsidR="00C27BD3" w:rsidRPr="003018DC" w:rsidRDefault="00C27BD3" w:rsidP="0066301C">
      <w:pPr>
        <w:spacing w:line="360" w:lineRule="auto"/>
        <w:jc w:val="both"/>
        <w:rPr>
          <w:rFonts w:ascii="Arial" w:hAnsi="Arial" w:cs="Arial"/>
        </w:rPr>
      </w:pPr>
      <w:r w:rsidRPr="003018DC">
        <w:rPr>
          <w:rFonts w:ascii="Arial" w:hAnsi="Arial" w:cs="Arial"/>
        </w:rPr>
        <w:t>It is the purchase of goods and services, which includes public investment, public consumption, and transfer payments consisting of capital transfers and income transfers. A government spends money towards the supply of goods and services that the private sector does not provide but are important for the nation’s welfare. Government spending is done on infrastructure, health, welfare benefits, and national defence. Also, the government subsidises industries that cannot propel their operation with private sector funding, like agriculture or transportation. The total government expenditure is necessary for the economic activity of a nation. It affects the rate of economic growth and the level of production in the private sector. Thus, GOVCON is a ratio of GOVCON as a share of GDP:  </w:t>
      </w:r>
    </w:p>
    <w:p w14:paraId="711CFD87" w14:textId="77777777" w:rsidR="00C27BD3" w:rsidRPr="008204CC" w:rsidRDefault="00C27BD3" w:rsidP="0066301C">
      <w:pPr>
        <w:autoSpaceDE w:val="0"/>
        <w:autoSpaceDN w:val="0"/>
        <w:adjustRightInd w:val="0"/>
        <w:spacing w:after="200" w:line="360" w:lineRule="auto"/>
        <w:contextualSpacing/>
        <w:jc w:val="center"/>
        <w:rPr>
          <w:rFonts w:ascii="Arial" w:eastAsia="Times New Roman" w:hAnsi="Arial" w:cs="Arial"/>
          <w:lang w:eastAsia="en-GB"/>
        </w:rPr>
      </w:pPr>
      <w:r w:rsidRPr="008204CC">
        <w:rPr>
          <w:rFonts w:ascii="Arial" w:eastAsia="Times New Roman" w:hAnsi="Arial" w:cs="Arial"/>
          <w:lang w:eastAsia="en-GB"/>
        </w:rPr>
        <w:t xml:space="preserve">GOVCON = </w:t>
      </w:r>
      <m:oMath>
        <m:f>
          <m:fPr>
            <m:ctrlPr>
              <w:rPr>
                <w:rFonts w:ascii="Cambria Math" w:eastAsia="Times New Roman" w:hAnsi="Cambria Math" w:cs="Arial"/>
                <w:i/>
                <w:lang w:eastAsia="en-GB"/>
              </w:rPr>
            </m:ctrlPr>
          </m:fPr>
          <m:num>
            <m:r>
              <w:rPr>
                <w:rFonts w:ascii="Cambria Math" w:eastAsia="Times New Roman" w:hAnsi="Cambria Math" w:cs="Arial"/>
                <w:lang w:eastAsia="en-GB"/>
              </w:rPr>
              <m:t>GOVK</m:t>
            </m:r>
          </m:num>
          <m:den>
            <m:r>
              <w:rPr>
                <w:rFonts w:ascii="Cambria Math" w:eastAsia="Times New Roman" w:hAnsi="Cambria Math" w:cs="Arial"/>
                <w:lang w:eastAsia="en-GB"/>
              </w:rPr>
              <m:t>GDP</m:t>
            </m:r>
          </m:den>
        </m:f>
      </m:oMath>
    </w:p>
    <w:p w14:paraId="0037206E" w14:textId="77777777" w:rsidR="00C27BD3" w:rsidRPr="003018DC" w:rsidRDefault="00C27BD3" w:rsidP="0066301C">
      <w:pPr>
        <w:spacing w:line="360" w:lineRule="auto"/>
        <w:jc w:val="both"/>
        <w:rPr>
          <w:rFonts w:ascii="Arial" w:hAnsi="Arial" w:cs="Arial"/>
        </w:rPr>
      </w:pPr>
      <w:r w:rsidRPr="003018DC">
        <w:rPr>
          <w:rFonts w:ascii="Arial" w:hAnsi="Arial" w:cs="Arial"/>
        </w:rPr>
        <w:t>In this research, GOVCON is the general government final consumption expenditure (formerly general government consumption), which includes all government current expenditures for purchases of goods and services (including compensation of employees). It also includes most expenditures on national defence and security but excludes government military expenditures that are part of government capital formation. GOVCON = [General Government Final Consumption Expenditure (% of GDP)]. The data is from the World banks - World Development Indicators (WDI) database lastly updated on 18/03/2020.</w:t>
      </w:r>
    </w:p>
    <w:p w14:paraId="0ED741C8" w14:textId="77777777" w:rsidR="0006039D" w:rsidRDefault="0006039D" w:rsidP="0066301C">
      <w:pPr>
        <w:spacing w:line="360" w:lineRule="auto"/>
        <w:jc w:val="both"/>
        <w:rPr>
          <w:rStyle w:val="Strong"/>
          <w:rFonts w:ascii="Arial" w:hAnsi="Arial" w:cs="Arial"/>
          <w:color w:val="0E101A"/>
        </w:rPr>
      </w:pPr>
    </w:p>
    <w:p w14:paraId="5DE3BD27" w14:textId="4DDF694B" w:rsidR="00C27BD3" w:rsidRPr="003018DC" w:rsidRDefault="00C27BD3" w:rsidP="0066301C">
      <w:pPr>
        <w:spacing w:line="360" w:lineRule="auto"/>
        <w:jc w:val="both"/>
        <w:rPr>
          <w:rFonts w:ascii="Arial" w:hAnsi="Arial" w:cs="Arial"/>
        </w:rPr>
      </w:pPr>
      <w:r w:rsidRPr="003018DC">
        <w:rPr>
          <w:rStyle w:val="Strong"/>
          <w:rFonts w:ascii="Arial" w:hAnsi="Arial" w:cs="Arial"/>
          <w:color w:val="0E101A"/>
        </w:rPr>
        <w:t>Terms of Trade (TOT):</w:t>
      </w:r>
    </w:p>
    <w:p w14:paraId="04DC6CEC" w14:textId="77777777" w:rsidR="00C27BD3" w:rsidRPr="003018DC" w:rsidRDefault="00C27BD3" w:rsidP="0066301C">
      <w:pPr>
        <w:spacing w:line="360" w:lineRule="auto"/>
        <w:jc w:val="both"/>
        <w:rPr>
          <w:rFonts w:ascii="Arial" w:hAnsi="Arial" w:cs="Arial"/>
        </w:rPr>
      </w:pPr>
      <w:r w:rsidRPr="003018DC">
        <w:rPr>
          <w:rFonts w:ascii="Arial" w:hAnsi="Arial" w:cs="Arial"/>
        </w:rPr>
        <w:lastRenderedPageBreak/>
        <w:t>TOT is the measurement of how much-imported products a nation could get for a unit of exported products (Reinsdorf, 2009). The TOT is measured as - the ratio of the price of export to the price of import (Coleman, 2008; Elbadawi, 1994; Edwards, 1989). In the real world, where nations export and import large amounts of goods, the TOT is computed as:</w:t>
      </w:r>
    </w:p>
    <w:p w14:paraId="174B3CE1" w14:textId="77777777" w:rsidR="00C27BD3" w:rsidRPr="008204CC" w:rsidRDefault="00C27BD3" w:rsidP="0066301C">
      <w:pPr>
        <w:autoSpaceDE w:val="0"/>
        <w:autoSpaceDN w:val="0"/>
        <w:adjustRightInd w:val="0"/>
        <w:spacing w:after="200" w:line="360" w:lineRule="auto"/>
        <w:jc w:val="center"/>
        <w:rPr>
          <w:rFonts w:ascii="Arial" w:hAnsi="Arial" w:cs="Arial"/>
        </w:rPr>
      </w:pPr>
      <w:r w:rsidRPr="008204CC">
        <w:rPr>
          <w:rFonts w:ascii="Arial" w:hAnsi="Arial" w:cs="Arial"/>
        </w:rPr>
        <w:t xml:space="preserve">TOT = </w:t>
      </w:r>
      <m:oMath>
        <m:f>
          <m:fPr>
            <m:ctrlPr>
              <w:rPr>
                <w:rFonts w:ascii="Cambria Math" w:hAnsi="Cambria Math" w:cs="Arial"/>
                <w:i/>
              </w:rPr>
            </m:ctrlPr>
          </m:fPr>
          <m:num>
            <m:r>
              <m:rPr>
                <m:sty m:val="p"/>
              </m:rPr>
              <w:rPr>
                <w:rFonts w:ascii="Cambria Math" w:hAnsi="Cambria Math" w:cs="Arial"/>
              </w:rPr>
              <m:t>Index of export prices</m:t>
            </m:r>
          </m:num>
          <m:den>
            <m:r>
              <m:rPr>
                <m:sty m:val="p"/>
              </m:rPr>
              <w:rPr>
                <w:rFonts w:ascii="Cambria Math" w:hAnsi="Cambria Math" w:cs="Arial"/>
              </w:rPr>
              <m:t>Index of import prices</m:t>
            </m:r>
          </m:den>
        </m:f>
        <m:r>
          <w:rPr>
            <w:rFonts w:ascii="Cambria Math" w:hAnsi="Cambria Math" w:cs="Arial"/>
          </w:rPr>
          <m:t xml:space="preserve"> </m:t>
        </m:r>
        <m:r>
          <m:rPr>
            <m:sty m:val="p"/>
          </m:rPr>
          <w:rPr>
            <w:rFonts w:ascii="Cambria Math" w:hAnsi="Cambria Math" w:cs="Arial"/>
          </w:rPr>
          <m:t>x 100</m:t>
        </m:r>
      </m:oMath>
    </w:p>
    <w:p w14:paraId="3C6B3E7C" w14:textId="77777777" w:rsidR="00C27BD3" w:rsidRPr="003018DC" w:rsidRDefault="00C27BD3" w:rsidP="0066301C">
      <w:pPr>
        <w:spacing w:line="360" w:lineRule="auto"/>
        <w:jc w:val="both"/>
        <w:rPr>
          <w:rFonts w:ascii="Arial" w:hAnsi="Arial" w:cs="Arial"/>
        </w:rPr>
      </w:pPr>
      <w:r w:rsidRPr="003018DC">
        <w:rPr>
          <w:rFonts w:ascii="Arial" w:hAnsi="Arial" w:cs="Arial"/>
        </w:rPr>
        <w:t>A rise of the TOT above 100 means it is improving, while a fall of the TOT below 100 means it is worsening. The TOT could also be expressed in terms of the number 1, with a figure above 1 indicating an improvement. While a figure below 1 indicates a worsening of the TOT. Improvement in a nation’s TOT means that a unit of its exports sold can buy more units of the import products. A rise in the TOT creates benefits for a nation as few of its products chase more foreign products (i.e., an appreciation of the nation’s exchange rate). However, a nation could suffer in terms of a fall in its export volume and a worsening of the balance of payments (Coleman, 2008; Elbadawi, 1994; Edwards, 1989). A worsening of the TOT indicates that a nation exports more of its products to import a given quantity of imports.</w:t>
      </w:r>
    </w:p>
    <w:p w14:paraId="7948DE1B" w14:textId="77777777" w:rsidR="00C27BD3" w:rsidRPr="003018DC" w:rsidRDefault="00C27BD3" w:rsidP="0066301C">
      <w:pPr>
        <w:spacing w:line="360" w:lineRule="auto"/>
        <w:jc w:val="both"/>
        <w:rPr>
          <w:rFonts w:ascii="Arial" w:hAnsi="Arial" w:cs="Arial"/>
        </w:rPr>
      </w:pPr>
      <w:r w:rsidRPr="003018DC">
        <w:rPr>
          <w:rFonts w:ascii="Arial" w:hAnsi="Arial" w:cs="Arial"/>
        </w:rPr>
        <w:t> In this research, the TOT is the ratio of the export and import price index. TOT = [(Export value index (2000 = 100) / Import value index (2000 = 100)] * 100. The export values index is the current value of exports converted to U.S. dollars and expressed as a percentage of the average for the base period (2000). Import value indexes are the current value of imports converted to U.S. dollars and expressed as a percentage of the average for the base period (2000) (World Bank, 2020). They are multiplied by 100 such that values greater than 100 means the TOT is improving, while a value below 100 means that it is worsening. The data is from the World banks - World Development Indicators (WDI) database lastly updated on 18/03/2020.</w:t>
      </w:r>
    </w:p>
    <w:p w14:paraId="7B7DA173" w14:textId="77777777" w:rsidR="00C27BD3" w:rsidRPr="003018DC" w:rsidRDefault="00C27BD3" w:rsidP="0066301C">
      <w:pPr>
        <w:spacing w:line="360" w:lineRule="auto"/>
        <w:jc w:val="both"/>
        <w:rPr>
          <w:rFonts w:ascii="Arial" w:hAnsi="Arial" w:cs="Arial"/>
        </w:rPr>
      </w:pPr>
      <w:r w:rsidRPr="003018DC">
        <w:rPr>
          <w:rFonts w:ascii="Arial" w:hAnsi="Arial" w:cs="Arial"/>
        </w:rPr>
        <w:t> </w:t>
      </w:r>
      <w:r w:rsidRPr="003018DC">
        <w:rPr>
          <w:rStyle w:val="Strong"/>
          <w:rFonts w:ascii="Arial" w:hAnsi="Arial" w:cs="Arial"/>
          <w:color w:val="0E101A"/>
        </w:rPr>
        <w:t>Foreign Direct Investment (FDI)</w:t>
      </w:r>
    </w:p>
    <w:p w14:paraId="1DA7AB7F" w14:textId="77777777" w:rsidR="00C27BD3" w:rsidRPr="003018DC" w:rsidRDefault="00C27BD3" w:rsidP="0066301C">
      <w:pPr>
        <w:spacing w:line="360" w:lineRule="auto"/>
        <w:jc w:val="both"/>
        <w:rPr>
          <w:rFonts w:ascii="Arial" w:hAnsi="Arial" w:cs="Arial"/>
        </w:rPr>
      </w:pPr>
      <w:r w:rsidRPr="003018DC">
        <w:rPr>
          <w:rFonts w:ascii="Arial" w:hAnsi="Arial" w:cs="Arial"/>
        </w:rPr>
        <w:t>Foreign direct investment (FDI) is the international flow of capital that provides a parent company or multinational companies (MNCs) with control over foreign affiliates (Lily </w:t>
      </w:r>
      <w:r w:rsidRPr="003018DC">
        <w:rPr>
          <w:rStyle w:val="Emphasis"/>
          <w:rFonts w:ascii="Arial" w:hAnsi="Arial" w:cs="Arial"/>
          <w:color w:val="0E101A"/>
        </w:rPr>
        <w:t>et al., </w:t>
      </w:r>
      <w:r w:rsidRPr="003018DC">
        <w:rPr>
          <w:rFonts w:ascii="Arial" w:hAnsi="Arial" w:cs="Arial"/>
        </w:rPr>
        <w:t xml:space="preserve">2013). FDI is recognised as an important instrument for resources to flow across national borders to improve economic performance, industrial and international competitiveness, and export. In the new growth theory, FDI is a key factor which contributes to economic growth through technology transfer efficiency improvement. Thus, FDI is associated with both import and export trade in goods, and the host country can benefit from investment-led export growth. </w:t>
      </w:r>
      <w:r w:rsidRPr="003018DC">
        <w:rPr>
          <w:rFonts w:ascii="Arial" w:hAnsi="Arial" w:cs="Arial"/>
        </w:rPr>
        <w:lastRenderedPageBreak/>
        <w:t>FDI is an agent for the transformation of both the host and source economics.</w:t>
      </w:r>
      <w:r>
        <w:rPr>
          <w:rStyle w:val="FootnoteReference"/>
          <w:rFonts w:ascii="Arial" w:hAnsi="Arial" w:cs="Arial"/>
        </w:rPr>
        <w:footnoteReference w:id="148"/>
      </w:r>
      <w:r w:rsidRPr="003018DC">
        <w:rPr>
          <w:rFonts w:ascii="Arial" w:hAnsi="Arial" w:cs="Arial"/>
        </w:rPr>
        <w:t xml:space="preserve"> The initial optimistic view of FDI has slipped off to a mixed feeling of its impact on the host nation’s economic growth. It is consensual that the developmental benefits of FDI are not automatic but depend on some conditions in the host nation (Alfaro &amp; Chauvin, 2017; Alfaro </w:t>
      </w:r>
      <w:r w:rsidRPr="003018DC">
        <w:rPr>
          <w:rStyle w:val="Emphasis"/>
          <w:rFonts w:ascii="Arial" w:hAnsi="Arial" w:cs="Arial"/>
          <w:color w:val="0E101A"/>
        </w:rPr>
        <w:t>et al., </w:t>
      </w:r>
      <w:r w:rsidRPr="003018DC">
        <w:rPr>
          <w:rFonts w:ascii="Arial" w:hAnsi="Arial" w:cs="Arial"/>
        </w:rPr>
        <w:t>2010).</w:t>
      </w:r>
      <w:r>
        <w:rPr>
          <w:rStyle w:val="FootnoteReference"/>
          <w:rFonts w:ascii="Arial" w:hAnsi="Arial" w:cs="Arial"/>
        </w:rPr>
        <w:footnoteReference w:id="149"/>
      </w:r>
      <w:r w:rsidRPr="003018DC">
        <w:rPr>
          <w:rFonts w:ascii="Arial" w:hAnsi="Arial" w:cs="Arial"/>
        </w:rPr>
        <w:t xml:space="preserve">  </w:t>
      </w:r>
    </w:p>
    <w:p w14:paraId="52DB8480" w14:textId="0750BC97" w:rsidR="00C27BD3" w:rsidRPr="003018DC" w:rsidRDefault="00C27BD3" w:rsidP="0066301C">
      <w:pPr>
        <w:spacing w:line="360" w:lineRule="auto"/>
        <w:jc w:val="both"/>
        <w:rPr>
          <w:rFonts w:ascii="Arial" w:hAnsi="Arial" w:cs="Arial"/>
        </w:rPr>
      </w:pPr>
      <w:r w:rsidRPr="003018DC">
        <w:rPr>
          <w:rFonts w:ascii="Arial" w:hAnsi="Arial" w:cs="Arial"/>
        </w:rPr>
        <w:t>In this research, we will use ‘Foreign direct investment, net inflows (% of GDP)’. Foreign direct investments are the net inflows of investment to acquire a lasting management interest (10 per cent or more of voting stock) in an enterprise operating in an economy other than that of the investor. It is the sum of equity capital, reinvestment of earnings, other long-term capital, and short-term capital, as shown in the balance of payments. This series shows net inflows (new investment inflows less disinvestment) in the reporting economy from foreign investors and is divided by GDP. The data is from the World banks - World Development Indicators (WDI) database lastly updated on 18/03/2020.</w:t>
      </w:r>
    </w:p>
    <w:p w14:paraId="32D7F96E" w14:textId="77777777" w:rsidR="0010547B" w:rsidRDefault="005339AD" w:rsidP="0066301C">
      <w:pPr>
        <w:pStyle w:val="Heading2"/>
        <w:spacing w:before="0" w:beforeAutospacing="0"/>
      </w:pPr>
      <w:bookmarkStart w:id="506" w:name="_Toc171075435"/>
      <w:bookmarkStart w:id="507" w:name="_Hlk170841055"/>
      <w:r>
        <w:t>5.</w:t>
      </w:r>
      <w:r w:rsidR="00665AA9">
        <w:t>4</w:t>
      </w:r>
      <w:r w:rsidR="00665AA9">
        <w:tab/>
      </w:r>
      <w:r w:rsidR="0010547B">
        <w:t>ECONOMETRIC APPROACH</w:t>
      </w:r>
      <w:bookmarkEnd w:id="506"/>
    </w:p>
    <w:p w14:paraId="2288CEB3" w14:textId="19735689" w:rsidR="0010547B" w:rsidRDefault="0010547B" w:rsidP="0066301C">
      <w:pPr>
        <w:spacing w:line="360" w:lineRule="auto"/>
        <w:jc w:val="both"/>
        <w:rPr>
          <w:rFonts w:ascii="Arial" w:hAnsi="Arial" w:cs="Arial"/>
        </w:rPr>
      </w:pPr>
      <w:r>
        <w:rPr>
          <w:rFonts w:ascii="Arial" w:hAnsi="Arial" w:cs="Arial"/>
          <w:lang w:eastAsia="en-GB"/>
        </w:rPr>
        <w:t xml:space="preserve">To </w:t>
      </w:r>
      <w:r w:rsidRPr="00220C0F">
        <w:rPr>
          <w:rFonts w:ascii="Arial" w:hAnsi="Arial" w:cs="Arial"/>
          <w:lang w:eastAsia="en-GB"/>
        </w:rPr>
        <w:t>estimat</w:t>
      </w:r>
      <w:r>
        <w:rPr>
          <w:rFonts w:ascii="Arial" w:hAnsi="Arial" w:cs="Arial"/>
          <w:lang w:eastAsia="en-GB"/>
        </w:rPr>
        <w:t>e</w:t>
      </w:r>
      <w:r w:rsidRPr="00220C0F">
        <w:rPr>
          <w:rFonts w:ascii="Arial" w:hAnsi="Arial" w:cs="Arial"/>
          <w:lang w:eastAsia="en-GB"/>
        </w:rPr>
        <w:t xml:space="preserve"> the long-run relationship among the variables, we used the panel autoregressive distributed lag (ARDL) model</w:t>
      </w:r>
      <w:r w:rsidR="00EC0CEC">
        <w:rPr>
          <w:rFonts w:ascii="Arial" w:hAnsi="Arial" w:cs="Arial"/>
          <w:lang w:eastAsia="en-GB"/>
        </w:rPr>
        <w:t>.</w:t>
      </w:r>
      <w:r w:rsidRPr="00220C0F">
        <w:rPr>
          <w:rFonts w:ascii="Arial" w:hAnsi="Arial" w:cs="Arial"/>
          <w:lang w:eastAsia="en-GB"/>
        </w:rPr>
        <w:t xml:space="preserve"> </w:t>
      </w:r>
      <w:r w:rsidR="00EC0CEC" w:rsidRPr="00EC0CEC">
        <w:rPr>
          <w:rFonts w:ascii="Arial" w:hAnsi="Arial" w:cs="Arial"/>
        </w:rPr>
        <w:t>The panel ARDL model is beneficial because, it simultaneously estimates short-run and long-run dynamics. While other cointegration techniques require all the regress to be integrated of the same order, the ARDL can be applied whether the regressors are of order one or zero, but not of order two.</w:t>
      </w:r>
      <w:r w:rsidR="00EC0CEC" w:rsidRPr="00881014">
        <w:t xml:space="preserve"> </w:t>
      </w:r>
      <w:r w:rsidRPr="00220C0F">
        <w:rPr>
          <w:rFonts w:ascii="Arial" w:hAnsi="Arial" w:cs="Arial"/>
          <w:lang w:eastAsia="en-GB"/>
        </w:rPr>
        <w:t>This approach helps us understand from a holistic</w:t>
      </w:r>
      <w:r>
        <w:rPr>
          <w:rFonts w:ascii="Arial" w:hAnsi="Arial" w:cs="Arial"/>
          <w:lang w:eastAsia="en-GB"/>
        </w:rPr>
        <w:t xml:space="preserve"> </w:t>
      </w:r>
      <w:r w:rsidRPr="00220C0F">
        <w:rPr>
          <w:rFonts w:ascii="Arial" w:hAnsi="Arial" w:cs="Arial"/>
          <w:lang w:eastAsia="en-GB"/>
        </w:rPr>
        <w:t>perspective if CFA franc devaluation contributes to the region’s economic growth. For this to be done, we begin by performing some diagnostic test. T</w:t>
      </w:r>
      <w:r w:rsidRPr="00220C0F">
        <w:rPr>
          <w:rFonts w:ascii="Arial" w:hAnsi="Arial" w:cs="Arial"/>
        </w:rPr>
        <w:t>he cross-section dependency test is performed</w:t>
      </w:r>
      <w:r>
        <w:rPr>
          <w:rFonts w:ascii="Arial" w:hAnsi="Arial" w:cs="Arial"/>
        </w:rPr>
        <w:t xml:space="preserve"> </w:t>
      </w:r>
      <w:r w:rsidRPr="00220C0F">
        <w:rPr>
          <w:rFonts w:ascii="Arial" w:hAnsi="Arial" w:cs="Arial"/>
        </w:rPr>
        <w:t xml:space="preserve">to check </w:t>
      </w:r>
      <w:r>
        <w:rPr>
          <w:rFonts w:ascii="Arial" w:hAnsi="Arial" w:cs="Arial"/>
        </w:rPr>
        <w:t>if</w:t>
      </w:r>
      <w:r w:rsidRPr="00220C0F">
        <w:rPr>
          <w:rFonts w:ascii="Arial" w:hAnsi="Arial" w:cs="Arial"/>
        </w:rPr>
        <w:t xml:space="preserve"> the study does not produce spurious results. This test also examines the presence of serial correlation. The diagnostic tests employed in this</w:t>
      </w:r>
      <w:r w:rsidR="00D47AF4">
        <w:rPr>
          <w:rFonts w:ascii="Arial" w:hAnsi="Arial" w:cs="Arial"/>
        </w:rPr>
        <w:t xml:space="preserve"> </w:t>
      </w:r>
      <w:r w:rsidRPr="00220C0F">
        <w:rPr>
          <w:rFonts w:ascii="Arial" w:hAnsi="Arial" w:cs="Arial"/>
        </w:rPr>
        <w:lastRenderedPageBreak/>
        <w:t>study are, the Breusch-Pagan Chi-Square</w:t>
      </w:r>
      <w:r w:rsidRPr="00220C0F">
        <w:rPr>
          <w:rStyle w:val="FootnoteReference"/>
          <w:rFonts w:ascii="Arial" w:hAnsi="Arial" w:cs="Arial"/>
        </w:rPr>
        <w:footnoteReference w:id="150"/>
      </w:r>
      <w:r w:rsidRPr="00220C0F">
        <w:rPr>
          <w:rFonts w:ascii="Arial" w:hAnsi="Arial" w:cs="Arial"/>
        </w:rPr>
        <w:t>, Pearson LM normal</w:t>
      </w:r>
      <w:r w:rsidRPr="00220C0F">
        <w:rPr>
          <w:rStyle w:val="FootnoteReference"/>
          <w:rFonts w:ascii="Arial" w:hAnsi="Arial" w:cs="Arial"/>
        </w:rPr>
        <w:footnoteReference w:id="151"/>
      </w:r>
      <w:r w:rsidRPr="00220C0F">
        <w:rPr>
          <w:rFonts w:ascii="Arial" w:hAnsi="Arial" w:cs="Arial"/>
        </w:rPr>
        <w:t>, and the Pearson cross-sectional dependence (CD)</w:t>
      </w:r>
      <w:r w:rsidRPr="00220C0F">
        <w:rPr>
          <w:rStyle w:val="FootnoteReference"/>
          <w:rFonts w:ascii="Arial" w:hAnsi="Arial" w:cs="Arial"/>
        </w:rPr>
        <w:footnoteReference w:id="152"/>
      </w:r>
      <w:r w:rsidRPr="00220C0F">
        <w:rPr>
          <w:rFonts w:ascii="Arial" w:hAnsi="Arial" w:cs="Arial"/>
        </w:rPr>
        <w:t xml:space="preserve"> tests.</w:t>
      </w:r>
    </w:p>
    <w:p w14:paraId="756E656B" w14:textId="77777777" w:rsidR="0010547B" w:rsidRPr="00BE4609" w:rsidRDefault="0010547B" w:rsidP="0066301C">
      <w:pPr>
        <w:spacing w:line="360" w:lineRule="auto"/>
        <w:jc w:val="both"/>
        <w:rPr>
          <w:rFonts w:ascii="Arial" w:hAnsi="Arial" w:cs="Arial"/>
          <w:lang w:eastAsia="en-GB"/>
        </w:rPr>
      </w:pPr>
      <w:r w:rsidRPr="00220C0F">
        <w:rPr>
          <w:rFonts w:ascii="Arial" w:hAnsi="Arial" w:cs="Arial"/>
          <w:lang w:eastAsia="en-GB"/>
        </w:rPr>
        <w:t>After performing diagnostic test, we proceed with the unit root test to ensure that the variables used are stationary.</w:t>
      </w:r>
      <w:r w:rsidRPr="00220C0F">
        <w:rPr>
          <w:rStyle w:val="FootnoteReference"/>
          <w:rFonts w:ascii="Arial" w:eastAsia="Times New Roman" w:hAnsi="Arial" w:cs="Arial"/>
          <w:lang w:eastAsia="en-GB"/>
        </w:rPr>
        <w:footnoteReference w:id="153"/>
      </w:r>
      <w:r w:rsidRPr="00220C0F">
        <w:rPr>
          <w:rFonts w:ascii="Arial" w:hAnsi="Arial" w:cs="Arial"/>
          <w:lang w:eastAsia="en-GB"/>
        </w:rPr>
        <w:t xml:space="preserve"> </w:t>
      </w:r>
      <w:r>
        <w:rPr>
          <w:rFonts w:ascii="Arial" w:hAnsi="Arial" w:cs="Arial"/>
          <w:lang w:eastAsia="en-GB"/>
        </w:rPr>
        <w:t xml:space="preserve">For panel data, </w:t>
      </w:r>
      <w:r>
        <w:rPr>
          <w:rFonts w:ascii="Arial" w:eastAsia="Times New Roman" w:hAnsi="Arial" w:cs="Arial"/>
          <w:lang w:eastAsia="en-GB"/>
        </w:rPr>
        <w:t xml:space="preserve">the Levin, Lin, and Chu (2002), Pesaran and Shin </w:t>
      </w:r>
      <w:r>
        <w:rPr>
          <w:rFonts w:ascii="Arial" w:eastAsia="Times New Roman" w:hAnsi="Arial" w:cs="Arial"/>
          <w:lang w:eastAsia="en-GB"/>
        </w:rPr>
        <w:lastRenderedPageBreak/>
        <w:t xml:space="preserve">(2003), ADF, and </w:t>
      </w:r>
      <w:r w:rsidRPr="57585719">
        <w:rPr>
          <w:rFonts w:ascii="Arial" w:eastAsia="Times New Roman" w:hAnsi="Arial" w:cs="Arial"/>
          <w:i/>
          <w:iCs/>
          <w:lang w:eastAsia="en-GB"/>
        </w:rPr>
        <w:t xml:space="preserve">PP </w:t>
      </w:r>
      <w:r>
        <w:rPr>
          <w:rFonts w:ascii="Arial" w:eastAsia="Times New Roman" w:hAnsi="Arial" w:cs="Arial"/>
          <w:lang w:eastAsia="en-GB"/>
        </w:rPr>
        <w:t>panel unit root test are performed.</w:t>
      </w:r>
      <w:r>
        <w:rPr>
          <w:rStyle w:val="FootnoteReference"/>
          <w:rFonts w:ascii="Arial" w:eastAsia="Times New Roman" w:hAnsi="Arial" w:cs="Arial"/>
          <w:lang w:eastAsia="en-GB"/>
        </w:rPr>
        <w:footnoteReference w:id="154"/>
      </w:r>
      <w:r>
        <w:rPr>
          <w:rFonts w:ascii="Arial" w:eastAsia="Times New Roman" w:hAnsi="Arial" w:cs="Arial"/>
          <w:lang w:eastAsia="en-GB"/>
        </w:rPr>
        <w:t xml:space="preserve"> These approaches could be </w:t>
      </w:r>
      <w:r w:rsidRPr="000354BF">
        <w:rPr>
          <w:rFonts w:ascii="Arial" w:hAnsi="Arial" w:cs="Arial"/>
          <w:lang w:val="en-US"/>
        </w:rPr>
        <w:t>applied irrespective of whether the variables are integrated of order zero (i.e., the variables are stationary at level form - I(0))</w:t>
      </w:r>
      <w:r>
        <w:rPr>
          <w:rFonts w:ascii="Arial" w:hAnsi="Arial" w:cs="Arial"/>
          <w:lang w:val="en-US"/>
        </w:rPr>
        <w:t>,</w:t>
      </w:r>
      <w:r w:rsidRPr="000354BF">
        <w:rPr>
          <w:rFonts w:ascii="Arial" w:hAnsi="Arial" w:cs="Arial"/>
          <w:lang w:val="en-US"/>
        </w:rPr>
        <w:t xml:space="preserve"> integrated of order one (i.e., the variables become stationary at first difference - I(1))</w:t>
      </w:r>
      <w:r>
        <w:rPr>
          <w:rFonts w:ascii="Arial" w:hAnsi="Arial" w:cs="Arial"/>
          <w:lang w:val="en-US"/>
        </w:rPr>
        <w:t>, or mixed (i.e., both stationary at level form and integrated of order one)</w:t>
      </w:r>
      <w:r w:rsidRPr="000354BF">
        <w:rPr>
          <w:rFonts w:ascii="Arial" w:hAnsi="Arial" w:cs="Arial"/>
          <w:lang w:val="en-US"/>
        </w:rPr>
        <w:t>.</w:t>
      </w:r>
      <w:r>
        <w:rPr>
          <w:rFonts w:ascii="Arial" w:hAnsi="Arial" w:cs="Arial"/>
          <w:lang w:eastAsia="en-GB"/>
        </w:rPr>
        <w:t xml:space="preserve"> </w:t>
      </w:r>
      <w:r>
        <w:rPr>
          <w:rFonts w:ascii="Arial" w:hAnsi="Arial" w:cs="Arial"/>
          <w:lang w:val="en-US"/>
        </w:rPr>
        <w:t>The variables are not to be integrated of order two (i.e., become stationary at second difference – I(2)).</w:t>
      </w:r>
      <w:r>
        <w:rPr>
          <w:rStyle w:val="FootnoteReference"/>
          <w:rFonts w:ascii="Arial" w:hAnsi="Arial" w:cs="Arial"/>
          <w:lang w:val="en-US"/>
        </w:rPr>
        <w:footnoteReference w:id="155"/>
      </w:r>
      <w:r>
        <w:rPr>
          <w:rFonts w:ascii="Arial" w:hAnsi="Arial" w:cs="Arial"/>
          <w:lang w:val="en-US"/>
        </w:rPr>
        <w:t xml:space="preserve"> </w:t>
      </w:r>
    </w:p>
    <w:p w14:paraId="2735A326" w14:textId="77777777" w:rsidR="0010547B" w:rsidRDefault="0010547B" w:rsidP="0066301C">
      <w:pPr>
        <w:autoSpaceDE w:val="0"/>
        <w:autoSpaceDN w:val="0"/>
        <w:adjustRightInd w:val="0"/>
        <w:spacing w:after="200" w:line="360" w:lineRule="auto"/>
        <w:contextualSpacing/>
        <w:jc w:val="both"/>
        <w:rPr>
          <w:rFonts w:ascii="Arial" w:hAnsi="Arial" w:cs="Arial"/>
          <w:lang w:val="en-US"/>
        </w:rPr>
      </w:pPr>
      <w:bookmarkStart w:id="508" w:name="_Hlk164718222"/>
      <w:r>
        <w:rPr>
          <w:rFonts w:ascii="Arial" w:hAnsi="Arial" w:cs="Arial"/>
          <w:lang w:val="en-US"/>
        </w:rPr>
        <w:t xml:space="preserve">The Pooled Mean Group (PMG) panel ARDL approach is used, which assumes that all long-run coefficients are the same across groups, while the short-run coefficients could differ across groups (Pesaran </w:t>
      </w:r>
      <w:r>
        <w:rPr>
          <w:rFonts w:ascii="Arial" w:hAnsi="Arial" w:cs="Arial"/>
          <w:i/>
          <w:iCs/>
          <w:lang w:val="en-US"/>
        </w:rPr>
        <w:t>et al.</w:t>
      </w:r>
      <w:r>
        <w:rPr>
          <w:rFonts w:ascii="Arial" w:hAnsi="Arial" w:cs="Arial"/>
          <w:lang w:val="en-US"/>
        </w:rPr>
        <w:t xml:space="preserve">, 1997). This estimator is useful when one expects similar long-run relationships between nations, being of a similar nature with regards to economic growth. According to Pesaran </w:t>
      </w:r>
      <w:r>
        <w:rPr>
          <w:rFonts w:ascii="Arial" w:hAnsi="Arial" w:cs="Arial"/>
          <w:i/>
          <w:iCs/>
          <w:lang w:val="en-US"/>
        </w:rPr>
        <w:t>et al.</w:t>
      </w:r>
      <w:r>
        <w:rPr>
          <w:rFonts w:ascii="Arial" w:hAnsi="Arial" w:cs="Arial"/>
          <w:lang w:val="en-US"/>
        </w:rPr>
        <w:t xml:space="preserve"> (1997), an ARDL dynamic heterogenous panel regression can be written by using ARDL (</w:t>
      </w:r>
      <w:r w:rsidRPr="00177617">
        <w:rPr>
          <w:rFonts w:ascii="Arial" w:hAnsi="Arial" w:cs="Arial"/>
          <w:i/>
          <w:iCs/>
          <w:lang w:val="en-US"/>
        </w:rPr>
        <w:t>p,</w:t>
      </w:r>
      <w:r>
        <w:rPr>
          <w:rFonts w:ascii="Arial" w:hAnsi="Arial" w:cs="Arial"/>
          <w:i/>
          <w:iCs/>
          <w:lang w:val="en-US"/>
        </w:rPr>
        <w:t xml:space="preserve"> </w:t>
      </w:r>
      <w:r w:rsidRPr="00177617">
        <w:rPr>
          <w:rFonts w:ascii="Arial" w:hAnsi="Arial" w:cs="Arial"/>
          <w:i/>
          <w:iCs/>
          <w:lang w:val="en-US"/>
        </w:rPr>
        <w:t>q</w:t>
      </w:r>
      <w:r>
        <w:rPr>
          <w:rFonts w:ascii="Arial" w:hAnsi="Arial" w:cs="Arial"/>
          <w:lang w:val="en-US"/>
        </w:rPr>
        <w:t>) approach where ‘</w:t>
      </w:r>
      <w:r>
        <w:rPr>
          <w:rFonts w:ascii="Arial" w:hAnsi="Arial" w:cs="Arial"/>
          <w:i/>
          <w:iCs/>
          <w:lang w:val="en-US"/>
        </w:rPr>
        <w:t>p</w:t>
      </w:r>
      <w:r>
        <w:rPr>
          <w:rFonts w:ascii="Arial" w:hAnsi="Arial" w:cs="Arial"/>
          <w:lang w:val="en-US"/>
        </w:rPr>
        <w:t>’ is the lag of dependent variable and ‘</w:t>
      </w:r>
      <w:r>
        <w:rPr>
          <w:rFonts w:ascii="Arial" w:hAnsi="Arial" w:cs="Arial"/>
          <w:i/>
          <w:iCs/>
          <w:lang w:val="en-US"/>
        </w:rPr>
        <w:t>q</w:t>
      </w:r>
      <w:r>
        <w:rPr>
          <w:rFonts w:ascii="Arial" w:hAnsi="Arial" w:cs="Arial"/>
          <w:lang w:val="en-US"/>
        </w:rPr>
        <w:t>’ is the lags of independent variables.</w:t>
      </w:r>
      <w:bookmarkEnd w:id="508"/>
      <w:r>
        <w:rPr>
          <w:rFonts w:ascii="Arial" w:hAnsi="Arial" w:cs="Arial"/>
          <w:lang w:val="en-US"/>
        </w:rPr>
        <w:t xml:space="preserve"> The equation could be written as: </w:t>
      </w:r>
    </w:p>
    <w:p w14:paraId="4FC0A439" w14:textId="77777777" w:rsidR="0010547B" w:rsidRDefault="00000000" w:rsidP="0066301C">
      <w:pPr>
        <w:autoSpaceDE w:val="0"/>
        <w:autoSpaceDN w:val="0"/>
        <w:adjustRightInd w:val="0"/>
        <w:spacing w:after="200" w:line="360" w:lineRule="auto"/>
        <w:contextualSpacing/>
        <w:jc w:val="both"/>
        <w:rPr>
          <w:rFonts w:ascii="Arial" w:eastAsiaTheme="minorEastAsia" w:hAnsi="Arial" w:cs="Arial"/>
          <w:lang w:val="en-US"/>
        </w:rPr>
      </w:pPr>
      <m:oMath>
        <m:sSub>
          <m:sSubPr>
            <m:ctrlPr>
              <w:rPr>
                <w:rFonts w:ascii="Cambria Math" w:hAnsi="Cambria Math" w:cs="Arial"/>
                <w:i/>
                <w:iCs/>
                <w:lang w:val="en-US"/>
              </w:rPr>
            </m:ctrlPr>
          </m:sSubPr>
          <m:e>
            <m:r>
              <w:rPr>
                <w:rFonts w:ascii="Cambria Math" w:hAnsi="Cambria Math" w:cs="Arial"/>
                <w:lang w:val="en-US"/>
              </w:rPr>
              <m:t>g</m:t>
            </m:r>
          </m:e>
          <m:sub>
            <m:r>
              <w:rPr>
                <w:rFonts w:ascii="Cambria Math" w:hAnsi="Cambria Math" w:cs="Arial"/>
                <w:lang w:val="en-US"/>
              </w:rPr>
              <m:t>it</m:t>
            </m:r>
          </m:sub>
        </m:sSub>
      </m:oMath>
      <w:r w:rsidR="0010547B">
        <w:rPr>
          <w:rFonts w:ascii="Arial" w:hAnsi="Arial" w:cs="Arial"/>
          <w:lang w:val="en-US"/>
        </w:rPr>
        <w:t xml:space="preserve"> = </w:t>
      </w:r>
      <m:oMath>
        <m:nary>
          <m:naryPr>
            <m:chr m:val="∑"/>
            <m:limLoc m:val="undOvr"/>
            <m:ctrlPr>
              <w:rPr>
                <w:rFonts w:ascii="Cambria Math" w:hAnsi="Cambria Math" w:cs="Arial"/>
                <w:i/>
                <w:lang w:val="en-US"/>
              </w:rPr>
            </m:ctrlPr>
          </m:naryPr>
          <m:sub>
            <m:r>
              <w:rPr>
                <w:rFonts w:ascii="Cambria Math" w:hAnsi="Cambria Math" w:cs="Arial"/>
                <w:lang w:val="en-US"/>
              </w:rPr>
              <m:t>j=1</m:t>
            </m:r>
          </m:sub>
          <m:sup>
            <m:r>
              <w:rPr>
                <w:rFonts w:ascii="Cambria Math" w:hAnsi="Cambria Math" w:cs="Arial"/>
                <w:lang w:val="en-US"/>
              </w:rPr>
              <m:t>p</m:t>
            </m:r>
          </m:sup>
          <m:e>
            <m:sSub>
              <m:sSubPr>
                <m:ctrlPr>
                  <w:rPr>
                    <w:rFonts w:ascii="Cambria Math" w:hAnsi="Cambria Math" w:cs="Arial"/>
                    <w:i/>
                    <w:lang w:val="en-US"/>
                  </w:rPr>
                </m:ctrlPr>
              </m:sSubPr>
              <m:e>
                <m:r>
                  <w:rPr>
                    <w:rFonts w:ascii="Cambria Math" w:hAnsi="Cambria Math" w:cs="Arial"/>
                    <w:lang w:val="en-US"/>
                  </w:rPr>
                  <m:t>λ</m:t>
                </m:r>
              </m:e>
              <m:sub>
                <m:r>
                  <w:rPr>
                    <w:rFonts w:ascii="Cambria Math" w:hAnsi="Cambria Math" w:cs="Arial"/>
                    <w:lang w:val="en-US"/>
                  </w:rPr>
                  <m:t>ij</m:t>
                </m:r>
              </m:sub>
            </m:sSub>
          </m:e>
        </m:nary>
        <m:sSub>
          <m:sSubPr>
            <m:ctrlPr>
              <w:rPr>
                <w:rFonts w:ascii="Cambria Math" w:hAnsi="Cambria Math" w:cs="Arial"/>
                <w:i/>
                <w:lang w:val="en-US"/>
              </w:rPr>
            </m:ctrlPr>
          </m:sSubPr>
          <m:e>
            <m:r>
              <w:rPr>
                <w:rFonts w:ascii="Cambria Math" w:hAnsi="Cambria Math" w:cs="Arial"/>
                <w:lang w:val="en-US"/>
              </w:rPr>
              <m:t>g</m:t>
            </m:r>
          </m:e>
          <m:sub>
            <m:r>
              <w:rPr>
                <w:rFonts w:ascii="Cambria Math" w:hAnsi="Cambria Math" w:cs="Arial"/>
                <w:lang w:val="en-US"/>
              </w:rPr>
              <m:t>i,t-j</m:t>
            </m:r>
          </m:sub>
        </m:sSub>
        <m:r>
          <w:rPr>
            <w:rFonts w:ascii="Cambria Math" w:hAnsi="Cambria Math" w:cs="Arial"/>
            <w:lang w:val="en-US"/>
          </w:rPr>
          <m:t>+</m:t>
        </m:r>
        <m:nary>
          <m:naryPr>
            <m:chr m:val="∑"/>
            <m:limLoc m:val="undOvr"/>
            <m:ctrlPr>
              <w:rPr>
                <w:rFonts w:ascii="Cambria Math" w:hAnsi="Cambria Math" w:cs="Arial"/>
                <w:i/>
                <w:lang w:val="en-US"/>
              </w:rPr>
            </m:ctrlPr>
          </m:naryPr>
          <m:sub>
            <m:r>
              <w:rPr>
                <w:rFonts w:ascii="Cambria Math" w:hAnsi="Cambria Math" w:cs="Arial"/>
                <w:lang w:val="en-US"/>
              </w:rPr>
              <m:t>j=0</m:t>
            </m:r>
          </m:sub>
          <m:sup>
            <m:r>
              <w:rPr>
                <w:rFonts w:ascii="Cambria Math" w:hAnsi="Cambria Math" w:cs="Arial"/>
                <w:lang w:val="en-US"/>
              </w:rPr>
              <m:t>q</m:t>
            </m:r>
          </m:sup>
          <m:e>
            <m:sSub>
              <m:sSubPr>
                <m:ctrlPr>
                  <w:rPr>
                    <w:rFonts w:ascii="Cambria Math" w:hAnsi="Cambria Math" w:cs="Arial"/>
                    <w:i/>
                    <w:lang w:val="en-US"/>
                  </w:rPr>
                </m:ctrlPr>
              </m:sSubPr>
              <m:e>
                <m:r>
                  <w:rPr>
                    <w:rFonts w:ascii="Cambria Math" w:hAnsi="Cambria Math" w:cs="Arial"/>
                    <w:lang w:val="en-US"/>
                  </w:rPr>
                  <m:t>δ</m:t>
                </m:r>
              </m:e>
              <m:sub>
                <m:r>
                  <w:rPr>
                    <w:rFonts w:ascii="Cambria Math" w:hAnsi="Cambria Math" w:cs="Arial"/>
                    <w:lang w:val="en-US"/>
                  </w:rPr>
                  <m:t>ij</m:t>
                </m:r>
              </m:sub>
            </m:sSub>
          </m:e>
        </m:nary>
        <m:sSub>
          <m:sSubPr>
            <m:ctrlPr>
              <w:rPr>
                <w:rFonts w:ascii="Cambria Math" w:hAnsi="Cambria Math" w:cs="Arial"/>
                <w:i/>
                <w:lang w:val="en-US"/>
              </w:rPr>
            </m:ctrlPr>
          </m:sSubPr>
          <m:e>
            <m:r>
              <w:rPr>
                <w:rFonts w:ascii="Cambria Math" w:hAnsi="Cambria Math" w:cs="Arial"/>
                <w:lang w:val="en-US"/>
              </w:rPr>
              <m:t>X</m:t>
            </m:r>
          </m:e>
          <m:sub>
            <m:r>
              <w:rPr>
                <w:rFonts w:ascii="Cambria Math" w:hAnsi="Cambria Math" w:cs="Arial"/>
                <w:lang w:val="en-US"/>
              </w:rPr>
              <m:t>i,t-j</m:t>
            </m:r>
          </m:sub>
        </m:sSub>
        <m:r>
          <w:rPr>
            <w:rFonts w:ascii="Cambria Math" w:hAnsi="Cambria Math" w:cs="Arial"/>
            <w:lang w:val="en-US"/>
          </w:rPr>
          <m:t xml:space="preserve">+ </m:t>
        </m:r>
        <m:sSub>
          <m:sSubPr>
            <m:ctrlPr>
              <w:rPr>
                <w:rFonts w:ascii="Cambria Math" w:hAnsi="Cambria Math" w:cs="Arial"/>
                <w:i/>
                <w:lang w:val="en-US"/>
              </w:rPr>
            </m:ctrlPr>
          </m:sSubPr>
          <m:e>
            <m:r>
              <w:rPr>
                <w:rFonts w:ascii="Cambria Math" w:hAnsi="Cambria Math" w:cs="Arial"/>
                <w:lang w:val="en-US"/>
              </w:rPr>
              <m:t>μ</m:t>
            </m:r>
          </m:e>
          <m:sub>
            <m:r>
              <w:rPr>
                <w:rFonts w:ascii="Cambria Math" w:hAnsi="Cambria Math" w:cs="Arial"/>
                <w:lang w:val="en-US"/>
              </w:rPr>
              <m:t>i</m:t>
            </m:r>
          </m:sub>
        </m:sSub>
        <m:r>
          <w:rPr>
            <w:rFonts w:ascii="Cambria Math" w:hAnsi="Cambria Math" w:cs="Arial"/>
            <w:lang w:val="en-US"/>
          </w:rPr>
          <m:t>+</m:t>
        </m:r>
        <m:sSub>
          <m:sSubPr>
            <m:ctrlPr>
              <w:rPr>
                <w:rFonts w:ascii="Cambria Math" w:hAnsi="Cambria Math" w:cs="Arial"/>
                <w:i/>
                <w:lang w:val="en-US"/>
              </w:rPr>
            </m:ctrlPr>
          </m:sSubPr>
          <m:e>
            <m:r>
              <m:rPr>
                <m:sty m:val="bi"/>
              </m:rPr>
              <w:rPr>
                <w:rFonts w:ascii="Cambria Math" w:hAnsi="Cambria Math" w:cs="Arial"/>
                <w:lang w:val="en-US"/>
              </w:rPr>
              <m:t>ε</m:t>
            </m:r>
          </m:e>
          <m:sub>
            <m:r>
              <w:rPr>
                <w:rFonts w:ascii="Cambria Math" w:hAnsi="Cambria Math" w:cs="Arial"/>
                <w:lang w:val="en-US"/>
              </w:rPr>
              <m:t>it</m:t>
            </m:r>
          </m:sub>
        </m:sSub>
      </m:oMath>
      <w:r w:rsidR="0010547B">
        <w:rPr>
          <w:rFonts w:ascii="Arial" w:eastAsiaTheme="minorEastAsia" w:hAnsi="Arial" w:cs="Arial"/>
          <w:lang w:val="en-US"/>
        </w:rPr>
        <w:t xml:space="preserve">                                                              </w:t>
      </w:r>
      <w:r w:rsidR="0010547B" w:rsidRPr="00665AA9">
        <w:rPr>
          <w:rFonts w:ascii="Arial" w:eastAsia="Times New Roman" w:hAnsi="Arial" w:cs="Arial"/>
          <w:lang w:eastAsia="en-GB"/>
        </w:rPr>
        <w:t>(5.2)</w:t>
      </w:r>
      <w:r w:rsidR="0010547B">
        <w:rPr>
          <w:rFonts w:ascii="Arial" w:eastAsiaTheme="minorEastAsia" w:hAnsi="Arial" w:cs="Arial"/>
          <w:lang w:val="en-US"/>
        </w:rPr>
        <w:t xml:space="preserve"> </w:t>
      </w:r>
    </w:p>
    <w:p w14:paraId="2C68FA1F" w14:textId="77777777" w:rsidR="0010547B" w:rsidRDefault="0010547B" w:rsidP="0066301C">
      <w:pPr>
        <w:autoSpaceDE w:val="0"/>
        <w:autoSpaceDN w:val="0"/>
        <w:adjustRightInd w:val="0"/>
        <w:spacing w:after="200" w:line="360" w:lineRule="auto"/>
        <w:contextualSpacing/>
        <w:jc w:val="both"/>
        <w:rPr>
          <w:rFonts w:ascii="Arial" w:eastAsiaTheme="minorEastAsia" w:hAnsi="Arial" w:cs="Arial"/>
          <w:lang w:val="en-US"/>
        </w:rPr>
      </w:pPr>
      <w:r>
        <w:rPr>
          <w:rFonts w:ascii="Arial" w:eastAsiaTheme="minorEastAsia" w:hAnsi="Arial" w:cs="Arial"/>
          <w:lang w:val="en-US"/>
        </w:rPr>
        <w:t>whereby:</w:t>
      </w:r>
    </w:p>
    <w:p w14:paraId="525041D1" w14:textId="77777777" w:rsidR="0010547B" w:rsidRDefault="0010547B" w:rsidP="0066301C">
      <w:pPr>
        <w:autoSpaceDE w:val="0"/>
        <w:autoSpaceDN w:val="0"/>
        <w:adjustRightInd w:val="0"/>
        <w:spacing w:after="200" w:line="360" w:lineRule="auto"/>
        <w:contextualSpacing/>
        <w:jc w:val="both"/>
        <w:rPr>
          <w:rFonts w:ascii="Arial" w:eastAsiaTheme="minorEastAsia" w:hAnsi="Arial" w:cs="Arial"/>
          <w:lang w:val="en-US"/>
        </w:rPr>
      </w:pPr>
      <w:r>
        <w:rPr>
          <w:rFonts w:ascii="Arial" w:eastAsiaTheme="minorEastAsia" w:hAnsi="Arial" w:cs="Arial"/>
          <w:i/>
          <w:iCs/>
          <w:lang w:val="en-US"/>
        </w:rPr>
        <w:t xml:space="preserve">g </w:t>
      </w:r>
      <w:r>
        <w:rPr>
          <w:rFonts w:ascii="Arial" w:eastAsiaTheme="minorEastAsia" w:hAnsi="Arial" w:cs="Arial"/>
          <w:lang w:val="en-US"/>
        </w:rPr>
        <w:t xml:space="preserve">is the dependent variable; </w:t>
      </w:r>
      <m:oMath>
        <m:sSub>
          <m:sSubPr>
            <m:ctrlPr>
              <w:rPr>
                <w:rFonts w:ascii="Cambria Math" w:hAnsi="Cambria Math" w:cs="Arial"/>
                <w:i/>
                <w:lang w:val="en-US"/>
              </w:rPr>
            </m:ctrlPr>
          </m:sSubPr>
          <m:e>
            <m:r>
              <w:rPr>
                <w:rFonts w:ascii="Cambria Math" w:hAnsi="Cambria Math" w:cs="Arial"/>
                <w:lang w:val="en-US"/>
              </w:rPr>
              <m:t>X</m:t>
            </m:r>
          </m:e>
          <m:sub>
            <m:r>
              <w:rPr>
                <w:rFonts w:ascii="Cambria Math" w:hAnsi="Cambria Math" w:cs="Arial"/>
                <w:lang w:val="en-US"/>
              </w:rPr>
              <m:t>it</m:t>
            </m:r>
          </m:sub>
        </m:sSub>
      </m:oMath>
      <w:r>
        <w:rPr>
          <w:rFonts w:ascii="Arial" w:eastAsiaTheme="minorEastAsia" w:hAnsi="Arial" w:cs="Arial"/>
          <w:lang w:val="en-US"/>
        </w:rPr>
        <w:t xml:space="preserve"> are vector of the explanatory variables; </w:t>
      </w:r>
      <m:oMath>
        <m:sSub>
          <m:sSubPr>
            <m:ctrlPr>
              <w:rPr>
                <w:rFonts w:ascii="Cambria Math" w:hAnsi="Cambria Math" w:cs="Arial"/>
                <w:i/>
                <w:lang w:val="en-US"/>
              </w:rPr>
            </m:ctrlPr>
          </m:sSubPr>
          <m:e>
            <m:r>
              <w:rPr>
                <w:rFonts w:ascii="Cambria Math" w:hAnsi="Cambria Math" w:cs="Arial"/>
                <w:lang w:val="en-US"/>
              </w:rPr>
              <m:t>δ</m:t>
            </m:r>
          </m:e>
          <m:sub>
            <m:r>
              <w:rPr>
                <w:rFonts w:ascii="Cambria Math" w:hAnsi="Cambria Math" w:cs="Arial"/>
                <w:lang w:val="en-US"/>
              </w:rPr>
              <m:t>it</m:t>
            </m:r>
          </m:sub>
        </m:sSub>
      </m:oMath>
      <w:r>
        <w:rPr>
          <w:rFonts w:ascii="Arial" w:eastAsiaTheme="minorEastAsia" w:hAnsi="Arial" w:cs="Arial"/>
          <w:lang w:val="en-US"/>
        </w:rPr>
        <w:t xml:space="preserve"> are the coefficient vectors; </w:t>
      </w:r>
      <m:oMath>
        <m:sSub>
          <m:sSubPr>
            <m:ctrlPr>
              <w:rPr>
                <w:rFonts w:ascii="Cambria Math" w:hAnsi="Cambria Math" w:cs="Arial"/>
                <w:i/>
                <w:lang w:val="en-US"/>
              </w:rPr>
            </m:ctrlPr>
          </m:sSubPr>
          <m:e>
            <m:r>
              <w:rPr>
                <w:rFonts w:ascii="Cambria Math" w:hAnsi="Cambria Math" w:cs="Arial"/>
                <w:lang w:val="en-US"/>
              </w:rPr>
              <m:t>λ</m:t>
            </m:r>
          </m:e>
          <m:sub>
            <m:r>
              <w:rPr>
                <w:rFonts w:ascii="Cambria Math" w:hAnsi="Cambria Math" w:cs="Arial"/>
                <w:lang w:val="en-US"/>
              </w:rPr>
              <m:t>ij</m:t>
            </m:r>
          </m:sub>
        </m:sSub>
      </m:oMath>
      <w:r>
        <w:rPr>
          <w:rFonts w:ascii="Arial" w:eastAsiaTheme="minorEastAsia" w:hAnsi="Arial" w:cs="Arial"/>
          <w:lang w:val="en-US"/>
        </w:rPr>
        <w:t xml:space="preserve">are the scalars; </w:t>
      </w:r>
      <m:oMath>
        <m:sSub>
          <m:sSubPr>
            <m:ctrlPr>
              <w:rPr>
                <w:rFonts w:ascii="Cambria Math" w:hAnsi="Cambria Math" w:cs="Arial"/>
                <w:i/>
                <w:lang w:val="en-US"/>
              </w:rPr>
            </m:ctrlPr>
          </m:sSubPr>
          <m:e>
            <m:r>
              <w:rPr>
                <w:rFonts w:ascii="Cambria Math" w:hAnsi="Cambria Math" w:cs="Arial"/>
                <w:lang w:val="en-US"/>
              </w:rPr>
              <m:t>μ</m:t>
            </m:r>
          </m:e>
          <m:sub>
            <m:r>
              <w:rPr>
                <w:rFonts w:ascii="Cambria Math" w:hAnsi="Cambria Math" w:cs="Arial"/>
                <w:lang w:val="en-US"/>
              </w:rPr>
              <m:t>i</m:t>
            </m:r>
          </m:sub>
        </m:sSub>
      </m:oMath>
      <w:r>
        <w:rPr>
          <w:rFonts w:ascii="Arial" w:eastAsiaTheme="minorEastAsia" w:hAnsi="Arial" w:cs="Arial"/>
          <w:lang w:val="en-US"/>
        </w:rPr>
        <w:t xml:space="preserve"> is the cross-section effects; </w:t>
      </w:r>
      <m:oMath>
        <m:sSub>
          <m:sSubPr>
            <m:ctrlPr>
              <w:rPr>
                <w:rFonts w:ascii="Cambria Math" w:hAnsi="Cambria Math" w:cs="Arial"/>
                <w:i/>
                <w:lang w:val="en-US"/>
              </w:rPr>
            </m:ctrlPr>
          </m:sSubPr>
          <m:e>
            <m:r>
              <m:rPr>
                <m:sty m:val="bi"/>
              </m:rPr>
              <w:rPr>
                <w:rFonts w:ascii="Cambria Math" w:hAnsi="Cambria Math" w:cs="Arial"/>
                <w:lang w:val="en-US"/>
              </w:rPr>
              <m:t>ε</m:t>
            </m:r>
          </m:e>
          <m:sub>
            <m:r>
              <w:rPr>
                <w:rFonts w:ascii="Cambria Math" w:hAnsi="Cambria Math" w:cs="Arial"/>
                <w:lang w:val="en-US"/>
              </w:rPr>
              <m:t>it</m:t>
            </m:r>
          </m:sub>
        </m:sSub>
      </m:oMath>
      <w:r>
        <w:rPr>
          <w:rFonts w:ascii="Arial" w:eastAsiaTheme="minorEastAsia" w:hAnsi="Arial" w:cs="Arial"/>
          <w:lang w:val="en-US"/>
        </w:rPr>
        <w:t xml:space="preserve"> is the error term; </w:t>
      </w:r>
      <m:oMath>
        <m:r>
          <w:rPr>
            <w:rFonts w:ascii="Cambria Math" w:eastAsiaTheme="minorEastAsia" w:hAnsi="Cambria Math" w:cs="Arial"/>
            <w:lang w:val="en-US"/>
          </w:rPr>
          <m:t>i</m:t>
        </m:r>
      </m:oMath>
      <w:r>
        <w:rPr>
          <w:rFonts w:ascii="Arial" w:eastAsiaTheme="minorEastAsia" w:hAnsi="Arial" w:cs="Arial"/>
          <w:i/>
          <w:iCs/>
          <w:lang w:val="en-US"/>
        </w:rPr>
        <w:t xml:space="preserve"> =</w:t>
      </w:r>
      <w:r>
        <w:rPr>
          <w:rFonts w:ascii="Arial" w:eastAsiaTheme="minorEastAsia" w:hAnsi="Arial" w:cs="Arial"/>
          <w:lang w:val="en-US"/>
        </w:rPr>
        <w:t xml:space="preserve">1, 2, 3, . . ., </w:t>
      </w:r>
      <w:r w:rsidRPr="00347EA2">
        <w:rPr>
          <w:rFonts w:ascii="Arial" w:eastAsiaTheme="minorEastAsia" w:hAnsi="Arial" w:cs="Arial"/>
          <w:i/>
          <w:iCs/>
          <w:lang w:val="en-US"/>
        </w:rPr>
        <w:t>N</w:t>
      </w:r>
      <w:r>
        <w:rPr>
          <w:rFonts w:ascii="Arial" w:eastAsiaTheme="minorEastAsia" w:hAnsi="Arial" w:cs="Arial"/>
          <w:lang w:val="en-US"/>
        </w:rPr>
        <w:t xml:space="preserve"> number of cross sectional (Here </w:t>
      </w:r>
      <m:oMath>
        <m:r>
          <w:rPr>
            <w:rFonts w:ascii="Cambria Math" w:eastAsiaTheme="minorEastAsia" w:hAnsi="Cambria Math" w:cs="Arial"/>
            <w:lang w:val="en-US"/>
          </w:rPr>
          <m:t>i</m:t>
        </m:r>
      </m:oMath>
      <w:r>
        <w:rPr>
          <w:rFonts w:ascii="Arial" w:eastAsiaTheme="minorEastAsia" w:hAnsi="Arial" w:cs="Arial"/>
          <w:i/>
          <w:iCs/>
          <w:lang w:val="en-US"/>
        </w:rPr>
        <w:t xml:space="preserve"> = </w:t>
      </w:r>
      <w:r>
        <w:rPr>
          <w:rFonts w:ascii="Arial" w:eastAsiaTheme="minorEastAsia" w:hAnsi="Arial" w:cs="Arial"/>
          <w:lang w:val="en-US"/>
        </w:rPr>
        <w:t xml:space="preserve">3); </w:t>
      </w:r>
      <w:r>
        <w:rPr>
          <w:rFonts w:ascii="Arial" w:eastAsiaTheme="minorEastAsia" w:hAnsi="Arial" w:cs="Arial"/>
          <w:i/>
          <w:iCs/>
          <w:lang w:val="en-US"/>
        </w:rPr>
        <w:t xml:space="preserve">t= </w:t>
      </w:r>
      <w:r>
        <w:rPr>
          <w:rFonts w:ascii="Arial" w:eastAsiaTheme="minorEastAsia" w:hAnsi="Arial" w:cs="Arial"/>
          <w:lang w:val="en-US"/>
        </w:rPr>
        <w:t xml:space="preserve">1, 2, 3, . . ., </w:t>
      </w:r>
      <w:r>
        <w:rPr>
          <w:rFonts w:ascii="Arial" w:eastAsiaTheme="minorEastAsia" w:hAnsi="Arial" w:cs="Arial"/>
          <w:i/>
          <w:iCs/>
          <w:lang w:val="en-US"/>
        </w:rPr>
        <w:t>T</w:t>
      </w:r>
      <w:r>
        <w:rPr>
          <w:rFonts w:ascii="Arial" w:eastAsiaTheme="minorEastAsia" w:hAnsi="Arial" w:cs="Arial"/>
          <w:lang w:val="en-US"/>
        </w:rPr>
        <w:t xml:space="preserve"> total time period (</w:t>
      </w:r>
      <w:r>
        <w:rPr>
          <w:rFonts w:ascii="Arial" w:eastAsiaTheme="minorEastAsia" w:hAnsi="Arial" w:cs="Arial"/>
          <w:i/>
          <w:iCs/>
          <w:lang w:val="en-US"/>
        </w:rPr>
        <w:t xml:space="preserve">T = </w:t>
      </w:r>
      <w:r>
        <w:rPr>
          <w:rFonts w:ascii="Arial" w:eastAsiaTheme="minorEastAsia" w:hAnsi="Arial" w:cs="Arial"/>
          <w:lang w:val="en-US"/>
        </w:rPr>
        <w:t xml:space="preserve">39). </w:t>
      </w:r>
    </w:p>
    <w:p w14:paraId="6BF9BE7F" w14:textId="77777777" w:rsidR="0010547B" w:rsidRDefault="0010547B" w:rsidP="0066301C">
      <w:pPr>
        <w:autoSpaceDE w:val="0"/>
        <w:autoSpaceDN w:val="0"/>
        <w:adjustRightInd w:val="0"/>
        <w:spacing w:after="200" w:line="360" w:lineRule="auto"/>
        <w:contextualSpacing/>
        <w:jc w:val="both"/>
        <w:rPr>
          <w:rFonts w:ascii="Arial" w:eastAsiaTheme="minorEastAsia" w:hAnsi="Arial" w:cs="Arial"/>
          <w:lang w:val="en-US"/>
        </w:rPr>
      </w:pPr>
      <w:r>
        <w:rPr>
          <w:rFonts w:ascii="Arial" w:eastAsiaTheme="minorEastAsia" w:hAnsi="Arial" w:cs="Arial"/>
          <w:lang w:val="en-US"/>
        </w:rPr>
        <w:t>The estimated panel ARDL model is as seen below:</w:t>
      </w:r>
    </w:p>
    <w:p w14:paraId="670E0A97" w14:textId="77777777" w:rsidR="0010547B" w:rsidRDefault="00000000" w:rsidP="0066301C">
      <w:pPr>
        <w:autoSpaceDE w:val="0"/>
        <w:autoSpaceDN w:val="0"/>
        <w:adjustRightInd w:val="0"/>
        <w:spacing w:after="200" w:line="360" w:lineRule="auto"/>
        <w:contextualSpacing/>
        <w:jc w:val="both"/>
        <w:rPr>
          <w:rFonts w:ascii="Arial" w:eastAsiaTheme="minorEastAsia" w:hAnsi="Arial" w:cs="Arial"/>
          <w:lang w:val="en-US"/>
        </w:rPr>
      </w:pPr>
      <m:oMath>
        <m:sSub>
          <m:sSubPr>
            <m:ctrlPr>
              <w:rPr>
                <w:rFonts w:ascii="Cambria Math" w:eastAsiaTheme="minorEastAsia" w:hAnsi="Cambria Math" w:cs="Arial"/>
                <w:i/>
                <w:lang w:val="en-US"/>
              </w:rPr>
            </m:ctrlPr>
          </m:sSubPr>
          <m:e>
            <m:r>
              <w:rPr>
                <w:rFonts w:ascii="Cambria Math" w:eastAsiaTheme="minorEastAsia" w:hAnsi="Cambria Math" w:cs="Arial"/>
                <w:lang w:val="en-US"/>
              </w:rPr>
              <m:t>∆g</m:t>
            </m:r>
          </m:e>
          <m:sub>
            <m:r>
              <w:rPr>
                <w:rFonts w:ascii="Cambria Math" w:eastAsiaTheme="minorEastAsia" w:hAnsi="Cambria Math" w:cs="Arial"/>
                <w:lang w:val="en-US"/>
              </w:rPr>
              <m:t>it</m:t>
            </m:r>
          </m:sub>
        </m:sSub>
        <m:r>
          <w:rPr>
            <w:rFonts w:ascii="Cambria Math" w:eastAsiaTheme="minorEastAsia" w:hAnsi="Cambria Math" w:cs="Arial"/>
            <w:lang w:val="en-US"/>
          </w:rPr>
          <m:t xml:space="preserve">= </m:t>
        </m:r>
        <m:sSub>
          <m:sSubPr>
            <m:ctrlPr>
              <w:rPr>
                <w:rFonts w:ascii="Cambria Math" w:eastAsiaTheme="minorEastAsia" w:hAnsi="Cambria Math" w:cs="Arial"/>
                <w:i/>
                <w:lang w:val="en-US"/>
              </w:rPr>
            </m:ctrlPr>
          </m:sSubPr>
          <m:e>
            <m:r>
              <w:rPr>
                <w:rFonts w:ascii="Cambria Math" w:eastAsiaTheme="minorEastAsia" w:hAnsi="Cambria Math" w:cs="Arial"/>
                <w:lang w:val="en-US"/>
              </w:rPr>
              <m:t>∅</m:t>
            </m:r>
          </m:e>
          <m:sub>
            <m:r>
              <w:rPr>
                <w:rFonts w:ascii="Cambria Math" w:eastAsiaTheme="minorEastAsia" w:hAnsi="Cambria Math" w:cs="Arial"/>
                <w:lang w:val="en-US"/>
              </w:rPr>
              <m:t>i</m:t>
            </m:r>
          </m:sub>
        </m:sSub>
        <m:d>
          <m:dPr>
            <m:ctrlPr>
              <w:rPr>
                <w:rFonts w:ascii="Cambria Math" w:eastAsiaTheme="minorEastAsia" w:hAnsi="Cambria Math" w:cs="Arial"/>
                <w:i/>
                <w:lang w:val="en-US"/>
              </w:rPr>
            </m:ctrlPr>
          </m:dPr>
          <m:e>
            <m:sSub>
              <m:sSubPr>
                <m:ctrlPr>
                  <w:rPr>
                    <w:rFonts w:ascii="Cambria Math" w:eastAsiaTheme="minorEastAsia" w:hAnsi="Cambria Math" w:cs="Arial"/>
                    <w:i/>
                    <w:lang w:val="en-US"/>
                  </w:rPr>
                </m:ctrlPr>
              </m:sSubPr>
              <m:e>
                <m:r>
                  <w:rPr>
                    <w:rFonts w:ascii="Cambria Math" w:eastAsiaTheme="minorEastAsia" w:hAnsi="Cambria Math" w:cs="Arial"/>
                    <w:lang w:val="en-US"/>
                  </w:rPr>
                  <m:t>g</m:t>
                </m:r>
              </m:e>
              <m:sub>
                <m:r>
                  <w:rPr>
                    <w:rFonts w:ascii="Cambria Math" w:eastAsiaTheme="minorEastAsia" w:hAnsi="Cambria Math" w:cs="Arial"/>
                    <w:lang w:val="en-US"/>
                  </w:rPr>
                  <m:t>i,t-1</m:t>
                </m:r>
              </m:sub>
            </m:sSub>
            <m:r>
              <w:rPr>
                <w:rFonts w:ascii="Cambria Math" w:eastAsiaTheme="minorEastAsia" w:hAnsi="Cambria Math" w:cs="Arial"/>
                <w:lang w:val="en-US"/>
              </w:rPr>
              <m:t>-</m:t>
            </m:r>
            <m:sSub>
              <m:sSubPr>
                <m:ctrlPr>
                  <w:rPr>
                    <w:rFonts w:ascii="Cambria Math" w:eastAsiaTheme="minorEastAsia" w:hAnsi="Cambria Math" w:cs="Arial"/>
                    <w:i/>
                    <w:lang w:val="en-US"/>
                  </w:rPr>
                </m:ctrlPr>
              </m:sSubPr>
              <m:e>
                <m:r>
                  <w:rPr>
                    <w:rFonts w:ascii="Cambria Math" w:eastAsiaTheme="minorEastAsia" w:hAnsi="Cambria Math" w:cs="Arial"/>
                    <w:lang w:val="en-US"/>
                  </w:rPr>
                  <m:t>Ɵ</m:t>
                </m:r>
              </m:e>
              <m:sub>
                <m:r>
                  <w:rPr>
                    <w:rFonts w:ascii="Cambria Math" w:eastAsiaTheme="minorEastAsia" w:hAnsi="Cambria Math" w:cs="Arial"/>
                    <w:lang w:val="en-US"/>
                  </w:rPr>
                  <m:t>t</m:t>
                </m:r>
              </m:sub>
            </m:sSub>
            <m:sSub>
              <m:sSubPr>
                <m:ctrlPr>
                  <w:rPr>
                    <w:rFonts w:ascii="Cambria Math" w:eastAsiaTheme="minorEastAsia" w:hAnsi="Cambria Math" w:cs="Arial"/>
                    <w:i/>
                    <w:lang w:val="en-US"/>
                  </w:rPr>
                </m:ctrlPr>
              </m:sSubPr>
              <m:e>
                <m:r>
                  <w:rPr>
                    <w:rFonts w:ascii="Cambria Math" w:eastAsiaTheme="minorEastAsia" w:hAnsi="Cambria Math" w:cs="Arial"/>
                    <w:lang w:val="en-US"/>
                  </w:rPr>
                  <m:t>X</m:t>
                </m:r>
              </m:e>
              <m:sub>
                <m:r>
                  <w:rPr>
                    <w:rFonts w:ascii="Cambria Math" w:eastAsiaTheme="minorEastAsia" w:hAnsi="Cambria Math" w:cs="Arial"/>
                    <w:lang w:val="en-US"/>
                  </w:rPr>
                  <m:t>it</m:t>
                </m:r>
              </m:sub>
            </m:sSub>
          </m:e>
        </m:d>
        <m:r>
          <w:rPr>
            <w:rFonts w:ascii="Cambria Math" w:eastAsiaTheme="minorEastAsia" w:hAnsi="Cambria Math" w:cs="Arial"/>
            <w:lang w:val="en-US"/>
          </w:rPr>
          <m:t>+</m:t>
        </m:r>
        <m:nary>
          <m:naryPr>
            <m:chr m:val="∑"/>
            <m:limLoc m:val="undOvr"/>
            <m:ctrlPr>
              <w:rPr>
                <w:rFonts w:ascii="Cambria Math" w:eastAsiaTheme="minorEastAsia" w:hAnsi="Cambria Math" w:cs="Arial"/>
                <w:i/>
                <w:lang w:val="en-US"/>
              </w:rPr>
            </m:ctrlPr>
          </m:naryPr>
          <m:sub>
            <m:r>
              <w:rPr>
                <w:rFonts w:ascii="Cambria Math" w:eastAsiaTheme="minorEastAsia" w:hAnsi="Cambria Math" w:cs="Arial"/>
                <w:lang w:val="en-US"/>
              </w:rPr>
              <m:t>j=1</m:t>
            </m:r>
          </m:sub>
          <m:sup>
            <m:r>
              <w:rPr>
                <w:rFonts w:ascii="Cambria Math" w:eastAsiaTheme="minorEastAsia" w:hAnsi="Cambria Math" w:cs="Arial"/>
                <w:lang w:val="en-US"/>
              </w:rPr>
              <m:t>p-1</m:t>
            </m:r>
          </m:sup>
          <m:e>
            <m:sSub>
              <m:sSubPr>
                <m:ctrlPr>
                  <w:rPr>
                    <w:rFonts w:ascii="Cambria Math" w:hAnsi="Cambria Math" w:cs="Arial"/>
                    <w:i/>
                    <w:lang w:val="en-US"/>
                  </w:rPr>
                </m:ctrlPr>
              </m:sSubPr>
              <m:e>
                <m:r>
                  <w:rPr>
                    <w:rFonts w:ascii="Cambria Math" w:hAnsi="Cambria Math" w:cs="Arial"/>
                    <w:lang w:val="en-US"/>
                  </w:rPr>
                  <m:t>λ</m:t>
                </m:r>
              </m:e>
              <m:sub>
                <m:r>
                  <w:rPr>
                    <w:rFonts w:ascii="Cambria Math" w:hAnsi="Cambria Math" w:cs="Arial"/>
                    <w:lang w:val="en-US"/>
                  </w:rPr>
                  <m:t>ij</m:t>
                </m:r>
              </m:sub>
            </m:sSub>
            <m:sSub>
              <m:sSubPr>
                <m:ctrlPr>
                  <w:rPr>
                    <w:rFonts w:ascii="Cambria Math" w:hAnsi="Cambria Math" w:cs="Arial"/>
                    <w:i/>
                    <w:lang w:val="en-US"/>
                  </w:rPr>
                </m:ctrlPr>
              </m:sSubPr>
              <m:e>
                <m:r>
                  <w:rPr>
                    <w:rFonts w:ascii="Cambria Math" w:hAnsi="Cambria Math" w:cs="Arial"/>
                    <w:lang w:val="en-US"/>
                  </w:rPr>
                  <m:t>∆g</m:t>
                </m:r>
              </m:e>
              <m:sub>
                <m:r>
                  <w:rPr>
                    <w:rFonts w:ascii="Cambria Math" w:hAnsi="Cambria Math" w:cs="Arial"/>
                    <w:lang w:val="en-US"/>
                  </w:rPr>
                  <m:t>i,t-j</m:t>
                </m:r>
              </m:sub>
            </m:sSub>
            <m:r>
              <w:rPr>
                <w:rFonts w:ascii="Cambria Math" w:hAnsi="Cambria Math" w:cs="Arial"/>
                <w:lang w:val="en-US"/>
              </w:rPr>
              <m:t>+</m:t>
            </m:r>
            <m:nary>
              <m:naryPr>
                <m:chr m:val="∑"/>
                <m:limLoc m:val="undOvr"/>
                <m:ctrlPr>
                  <w:rPr>
                    <w:rFonts w:ascii="Cambria Math" w:hAnsi="Cambria Math" w:cs="Arial"/>
                    <w:i/>
                    <w:lang w:val="en-US"/>
                  </w:rPr>
                </m:ctrlPr>
              </m:naryPr>
              <m:sub>
                <m:r>
                  <w:rPr>
                    <w:rFonts w:ascii="Cambria Math" w:hAnsi="Cambria Math" w:cs="Arial"/>
                    <w:lang w:val="en-US"/>
                  </w:rPr>
                  <m:t>j=0</m:t>
                </m:r>
              </m:sub>
              <m:sup>
                <m:r>
                  <w:rPr>
                    <w:rFonts w:ascii="Cambria Math" w:hAnsi="Cambria Math" w:cs="Arial"/>
                    <w:lang w:val="en-US"/>
                  </w:rPr>
                  <m:t>q-1</m:t>
                </m:r>
              </m:sup>
              <m:e>
                <m:sSub>
                  <m:sSubPr>
                    <m:ctrlPr>
                      <w:rPr>
                        <w:rFonts w:ascii="Cambria Math" w:hAnsi="Cambria Math" w:cs="Arial"/>
                        <w:i/>
                        <w:lang w:val="en-US"/>
                      </w:rPr>
                    </m:ctrlPr>
                  </m:sSubPr>
                  <m:e>
                    <m:r>
                      <w:rPr>
                        <w:rFonts w:ascii="Cambria Math" w:hAnsi="Cambria Math" w:cs="Arial"/>
                        <w:lang w:val="en-US"/>
                      </w:rPr>
                      <m:t>δ</m:t>
                    </m:r>
                  </m:e>
                  <m:sub>
                    <m:r>
                      <w:rPr>
                        <w:rFonts w:ascii="Cambria Math" w:hAnsi="Cambria Math" w:cs="Arial"/>
                        <w:lang w:val="en-US"/>
                      </w:rPr>
                      <m:t>ij</m:t>
                    </m:r>
                  </m:sub>
                </m:sSub>
              </m:e>
            </m:nary>
            <m:sSub>
              <m:sSubPr>
                <m:ctrlPr>
                  <w:rPr>
                    <w:rFonts w:ascii="Cambria Math" w:hAnsi="Cambria Math" w:cs="Arial"/>
                    <w:i/>
                    <w:lang w:val="en-US"/>
                  </w:rPr>
                </m:ctrlPr>
              </m:sSubPr>
              <m:e>
                <m:r>
                  <w:rPr>
                    <w:rFonts w:ascii="Cambria Math" w:hAnsi="Cambria Math" w:cs="Arial"/>
                    <w:lang w:val="en-US"/>
                  </w:rPr>
                  <m:t>∆X</m:t>
                </m:r>
              </m:e>
              <m:sub>
                <m:r>
                  <w:rPr>
                    <w:rFonts w:ascii="Cambria Math" w:hAnsi="Cambria Math" w:cs="Arial"/>
                    <w:lang w:val="en-US"/>
                  </w:rPr>
                  <m:t>i,t-j</m:t>
                </m:r>
              </m:sub>
            </m:sSub>
          </m:e>
        </m:nary>
        <m:r>
          <w:rPr>
            <w:rFonts w:ascii="Cambria Math" w:hAnsi="Cambria Math" w:cs="Arial"/>
            <w:lang w:val="en-US"/>
          </w:rPr>
          <m:t xml:space="preserve">+ </m:t>
        </m:r>
        <m:sSub>
          <m:sSubPr>
            <m:ctrlPr>
              <w:rPr>
                <w:rFonts w:ascii="Cambria Math" w:hAnsi="Cambria Math" w:cs="Arial"/>
                <w:i/>
                <w:lang w:val="en-US"/>
              </w:rPr>
            </m:ctrlPr>
          </m:sSubPr>
          <m:e>
            <m:r>
              <w:rPr>
                <w:rFonts w:ascii="Cambria Math" w:hAnsi="Cambria Math" w:cs="Arial"/>
                <w:lang w:val="en-US"/>
              </w:rPr>
              <m:t>μ</m:t>
            </m:r>
          </m:e>
          <m:sub>
            <m:r>
              <w:rPr>
                <w:rFonts w:ascii="Cambria Math" w:hAnsi="Cambria Math" w:cs="Arial"/>
                <w:lang w:val="en-US"/>
              </w:rPr>
              <m:t>i</m:t>
            </m:r>
          </m:sub>
        </m:sSub>
        <m:r>
          <w:rPr>
            <w:rFonts w:ascii="Cambria Math" w:hAnsi="Cambria Math" w:cs="Arial"/>
            <w:lang w:val="en-US"/>
          </w:rPr>
          <m:t>+</m:t>
        </m:r>
        <m:sSub>
          <m:sSubPr>
            <m:ctrlPr>
              <w:rPr>
                <w:rFonts w:ascii="Cambria Math" w:hAnsi="Cambria Math" w:cs="Arial"/>
                <w:i/>
                <w:lang w:val="en-US"/>
              </w:rPr>
            </m:ctrlPr>
          </m:sSubPr>
          <m:e>
            <m:r>
              <w:rPr>
                <w:rFonts w:ascii="Cambria Math" w:hAnsi="Cambria Math" w:cs="Arial"/>
                <w:lang w:val="en-US"/>
              </w:rPr>
              <m:t>ε</m:t>
            </m:r>
          </m:e>
          <m:sub>
            <m:r>
              <w:rPr>
                <w:rFonts w:ascii="Cambria Math" w:hAnsi="Cambria Math" w:cs="Arial"/>
                <w:lang w:val="en-US"/>
              </w:rPr>
              <m:t>it</m:t>
            </m:r>
          </m:sub>
        </m:sSub>
      </m:oMath>
      <w:r w:rsidR="0010547B">
        <w:rPr>
          <w:rFonts w:ascii="Arial" w:eastAsiaTheme="minorEastAsia" w:hAnsi="Arial" w:cs="Arial"/>
          <w:lang w:val="en-US"/>
        </w:rPr>
        <w:t xml:space="preserve">                       </w:t>
      </w:r>
      <w:r w:rsidR="0010547B" w:rsidRPr="00665AA9">
        <w:rPr>
          <w:rFonts w:ascii="Arial" w:eastAsiaTheme="minorEastAsia" w:hAnsi="Arial" w:cs="Arial"/>
          <w:lang w:val="en-US"/>
        </w:rPr>
        <w:t>(</w:t>
      </w:r>
      <w:r w:rsidR="0010547B">
        <w:rPr>
          <w:rFonts w:ascii="Arial" w:eastAsiaTheme="minorEastAsia" w:hAnsi="Arial" w:cs="Arial"/>
          <w:lang w:val="en-US"/>
        </w:rPr>
        <w:t>5</w:t>
      </w:r>
      <w:r w:rsidR="0010547B" w:rsidRPr="00665AA9">
        <w:rPr>
          <w:rFonts w:ascii="Arial" w:eastAsiaTheme="minorEastAsia" w:hAnsi="Arial" w:cs="Arial"/>
          <w:lang w:val="en-US"/>
        </w:rPr>
        <w:t>.3)</w:t>
      </w:r>
    </w:p>
    <w:p w14:paraId="20B937D2" w14:textId="77777777" w:rsidR="0010547B" w:rsidRDefault="0010547B" w:rsidP="0066301C">
      <w:pPr>
        <w:autoSpaceDE w:val="0"/>
        <w:autoSpaceDN w:val="0"/>
        <w:adjustRightInd w:val="0"/>
        <w:spacing w:after="200" w:line="360" w:lineRule="auto"/>
        <w:contextualSpacing/>
        <w:jc w:val="both"/>
        <w:rPr>
          <w:rFonts w:ascii="Arial" w:eastAsiaTheme="minorEastAsia" w:hAnsi="Arial" w:cs="Arial"/>
          <w:lang w:val="en-US"/>
        </w:rPr>
      </w:pPr>
      <w:r>
        <w:rPr>
          <w:rFonts w:ascii="Arial" w:eastAsiaTheme="minorEastAsia" w:hAnsi="Arial" w:cs="Arial"/>
          <w:lang w:val="en-US"/>
        </w:rPr>
        <w:t>Where:</w:t>
      </w:r>
    </w:p>
    <w:p w14:paraId="7C9F3B84" w14:textId="77777777" w:rsidR="0010547B" w:rsidRDefault="0010547B" w:rsidP="0066301C">
      <w:pPr>
        <w:autoSpaceDE w:val="0"/>
        <w:autoSpaceDN w:val="0"/>
        <w:adjustRightInd w:val="0"/>
        <w:spacing w:after="200" w:line="360" w:lineRule="auto"/>
        <w:contextualSpacing/>
        <w:jc w:val="both"/>
        <w:rPr>
          <w:rFonts w:ascii="Arial" w:eastAsiaTheme="minorEastAsia" w:hAnsi="Arial" w:cs="Arial"/>
          <w:bCs/>
          <w:lang w:val="en-US"/>
        </w:rPr>
      </w:pPr>
      <w:r w:rsidRPr="57585719">
        <w:rPr>
          <w:rFonts w:ascii="Arial" w:eastAsiaTheme="minorEastAsia" w:hAnsi="Arial" w:cs="Arial"/>
          <w:lang w:val="en-US"/>
        </w:rPr>
        <w:lastRenderedPageBreak/>
        <w:t xml:space="preserve">The </w:t>
      </w:r>
      <m:oMath>
        <m:sSub>
          <m:sSubPr>
            <m:ctrlPr>
              <w:rPr>
                <w:rFonts w:ascii="Cambria Math" w:eastAsiaTheme="minorEastAsia" w:hAnsi="Cambria Math" w:cs="Arial"/>
                <w:i/>
                <w:lang w:val="en-US"/>
              </w:rPr>
            </m:ctrlPr>
          </m:sSubPr>
          <m:e>
            <m:r>
              <w:rPr>
                <w:rFonts w:ascii="Cambria Math" w:eastAsiaTheme="minorEastAsia" w:hAnsi="Cambria Math" w:cs="Arial"/>
                <w:lang w:val="en-US"/>
              </w:rPr>
              <m:t>∅</m:t>
            </m:r>
          </m:e>
          <m:sub>
            <m:r>
              <w:rPr>
                <w:rFonts w:ascii="Cambria Math" w:eastAsiaTheme="minorEastAsia" w:hAnsi="Cambria Math" w:cs="Arial"/>
                <w:lang w:val="en-US"/>
              </w:rPr>
              <m:t>i</m:t>
            </m:r>
          </m:sub>
        </m:sSub>
      </m:oMath>
      <w:r w:rsidRPr="57585719">
        <w:rPr>
          <w:rFonts w:ascii="Arial" w:eastAsiaTheme="minorEastAsia" w:hAnsi="Arial" w:cs="Arial"/>
          <w:lang w:val="en-US"/>
        </w:rPr>
        <w:t>is speed of adjustment parameter and it must be non-zero.</w:t>
      </w:r>
      <w:r w:rsidRPr="57585719">
        <w:rPr>
          <w:rStyle w:val="FootnoteReference"/>
          <w:rFonts w:ascii="Arial" w:eastAsiaTheme="minorEastAsia" w:hAnsi="Arial" w:cs="Arial"/>
          <w:lang w:val="en-US"/>
        </w:rPr>
        <w:footnoteReference w:id="156"/>
      </w:r>
      <m:oMath>
        <m:r>
          <w:rPr>
            <w:rFonts w:ascii="Cambria Math" w:hAnsi="Cambria Math" w:cs="Arial"/>
            <w:lang w:val="en-US"/>
          </w:rPr>
          <m:t xml:space="preserve"> λ</m:t>
        </m:r>
      </m:oMath>
      <w:r w:rsidRPr="57585719">
        <w:rPr>
          <w:rFonts w:ascii="Arial" w:eastAsiaTheme="minorEastAsia" w:hAnsi="Arial" w:cs="Arial"/>
          <w:lang w:val="en-US"/>
        </w:rPr>
        <w:t xml:space="preserve"> and </w:t>
      </w:r>
      <m:oMath>
        <m:r>
          <w:rPr>
            <w:rFonts w:ascii="Cambria Math" w:hAnsi="Cambria Math" w:cs="Arial"/>
            <w:lang w:val="en-US"/>
          </w:rPr>
          <m:t>δ</m:t>
        </m:r>
      </m:oMath>
      <w:r w:rsidRPr="57585719">
        <w:rPr>
          <w:rFonts w:ascii="Arial" w:eastAsiaTheme="minorEastAsia" w:hAnsi="Arial" w:cs="Arial"/>
          <w:lang w:val="en-US"/>
        </w:rPr>
        <w:t xml:space="preserve"> represent the short-run coefficients of dependent and independent variables respectively. The subscripts </w:t>
      </w:r>
      <m:oMath>
        <m:r>
          <w:rPr>
            <w:rFonts w:ascii="Cambria Math" w:eastAsiaTheme="minorEastAsia" w:hAnsi="Cambria Math" w:cs="Arial"/>
            <w:lang w:val="en-US"/>
          </w:rPr>
          <m:t>i</m:t>
        </m:r>
      </m:oMath>
      <w:r w:rsidRPr="57585719">
        <w:rPr>
          <w:rFonts w:ascii="Arial" w:eastAsiaTheme="minorEastAsia" w:hAnsi="Arial" w:cs="Arial"/>
          <w:i/>
          <w:iCs/>
          <w:lang w:val="en-US"/>
        </w:rPr>
        <w:t xml:space="preserve"> </w:t>
      </w:r>
      <w:r w:rsidRPr="57585719">
        <w:rPr>
          <w:rFonts w:ascii="Arial" w:eastAsiaTheme="minorEastAsia" w:hAnsi="Arial" w:cs="Arial"/>
          <w:lang w:val="en-US"/>
        </w:rPr>
        <w:t xml:space="preserve">and </w:t>
      </w:r>
      <w:r w:rsidRPr="57585719">
        <w:rPr>
          <w:rFonts w:ascii="Arial" w:eastAsiaTheme="minorEastAsia" w:hAnsi="Arial" w:cs="Arial"/>
          <w:i/>
          <w:iCs/>
          <w:lang w:val="en-US"/>
        </w:rPr>
        <w:t xml:space="preserve">t </w:t>
      </w:r>
      <w:r w:rsidRPr="57585719">
        <w:rPr>
          <w:rFonts w:ascii="Arial" w:eastAsiaTheme="minorEastAsia" w:hAnsi="Arial" w:cs="Arial"/>
          <w:lang w:val="en-US"/>
        </w:rPr>
        <w:t xml:space="preserve">stand for cross-section and time respectively, </w:t>
      </w:r>
      <m:oMath>
        <m:r>
          <w:rPr>
            <w:rFonts w:ascii="Cambria Math" w:eastAsiaTheme="minorEastAsia" w:hAnsi="Cambria Math" w:cs="Arial"/>
            <w:lang w:val="en-US"/>
          </w:rPr>
          <m:t>Ɵ</m:t>
        </m:r>
      </m:oMath>
      <w:r w:rsidRPr="57585719">
        <w:rPr>
          <w:rFonts w:ascii="Arial" w:eastAsiaTheme="minorEastAsia" w:hAnsi="Arial" w:cs="Arial"/>
          <w:lang w:val="en-US"/>
        </w:rPr>
        <w:t xml:space="preserve"> stands for long-run coefficients while </w:t>
      </w:r>
      <m:oMath>
        <m:r>
          <w:rPr>
            <w:rFonts w:ascii="Cambria Math" w:hAnsi="Cambria Math" w:cs="Arial"/>
            <w:lang w:val="en-US"/>
          </w:rPr>
          <m:t>μ</m:t>
        </m:r>
      </m:oMath>
      <w:r w:rsidRPr="57585719">
        <w:rPr>
          <w:rFonts w:ascii="Arial" w:eastAsiaTheme="minorEastAsia" w:hAnsi="Arial" w:cs="Arial"/>
          <w:lang w:val="en-US"/>
        </w:rPr>
        <w:t xml:space="preserve"> stands for fixed effect and </w:t>
      </w:r>
      <m:oMath>
        <m:r>
          <w:rPr>
            <w:rFonts w:ascii="Cambria Math" w:hAnsi="Cambria Math" w:cs="Arial"/>
            <w:lang w:val="en-US"/>
          </w:rPr>
          <m:t>ε</m:t>
        </m:r>
      </m:oMath>
      <w:r w:rsidRPr="57585719">
        <w:rPr>
          <w:rFonts w:ascii="Arial" w:eastAsiaTheme="minorEastAsia" w:hAnsi="Arial" w:cs="Arial"/>
          <w:lang w:val="en-US"/>
        </w:rPr>
        <w:t xml:space="preserve"> is the error term. </w:t>
      </w:r>
    </w:p>
    <w:p w14:paraId="03BB3B0E" w14:textId="77777777" w:rsidR="0010547B" w:rsidRDefault="0010547B" w:rsidP="0066301C">
      <w:pPr>
        <w:autoSpaceDE w:val="0"/>
        <w:autoSpaceDN w:val="0"/>
        <w:adjustRightInd w:val="0"/>
        <w:spacing w:after="200" w:line="360" w:lineRule="auto"/>
        <w:contextualSpacing/>
        <w:jc w:val="both"/>
        <w:rPr>
          <w:rFonts w:ascii="Arial" w:eastAsiaTheme="minorEastAsia" w:hAnsi="Arial" w:cs="Arial"/>
          <w:bCs/>
          <w:lang w:val="en-US"/>
        </w:rPr>
      </w:pPr>
      <w:r>
        <w:rPr>
          <w:rFonts w:ascii="Arial" w:eastAsiaTheme="minorEastAsia" w:hAnsi="Arial" w:cs="Arial"/>
          <w:bCs/>
          <w:lang w:val="en-US"/>
        </w:rPr>
        <w:t xml:space="preserve">According to Pesaran and Smith (1995), ARDL with the error correction form is a new cointegration approach, superior to other cointegration techniques such as Johansen (1988), Engle and Granger (1987), and Johansen and Juselius (1990). The ARDL technique estimates the long-run and short-run causality for variables integrated of order 0 and 1. The PMG estimator is valid if the error correction term (ECT) is negative. We will then proceed with the analysis as seen in the next section. </w:t>
      </w:r>
    </w:p>
    <w:p w14:paraId="42A58ECE" w14:textId="40D5448E" w:rsidR="002E668D" w:rsidRPr="008204CC" w:rsidRDefault="00535B3F" w:rsidP="0066301C">
      <w:pPr>
        <w:pStyle w:val="Heading2"/>
        <w:spacing w:before="0" w:beforeAutospacing="0"/>
      </w:pPr>
      <w:bookmarkStart w:id="509" w:name="_Toc171075436"/>
      <w:bookmarkStart w:id="510" w:name="_Hlk170841088"/>
      <w:bookmarkEnd w:id="507"/>
      <w:r>
        <w:t>5</w:t>
      </w:r>
      <w:r w:rsidR="002E668D">
        <w:t>.</w:t>
      </w:r>
      <w:r w:rsidR="003F2B25">
        <w:t>5</w:t>
      </w:r>
      <w:r w:rsidR="002E668D">
        <w:tab/>
        <w:t>EMPIRICAL</w:t>
      </w:r>
      <w:r w:rsidR="002E668D" w:rsidRPr="008204CC">
        <w:t xml:space="preserve"> ANALYSIS</w:t>
      </w:r>
      <w:bookmarkEnd w:id="509"/>
      <w:r w:rsidR="002E668D" w:rsidRPr="008204CC">
        <w:t xml:space="preserve"> </w:t>
      </w:r>
    </w:p>
    <w:p w14:paraId="79C5DD49" w14:textId="70FD14C1" w:rsidR="00B713E6" w:rsidRDefault="00402561" w:rsidP="0066301C">
      <w:pPr>
        <w:autoSpaceDE w:val="0"/>
        <w:autoSpaceDN w:val="0"/>
        <w:adjustRightInd w:val="0"/>
        <w:spacing w:after="0" w:line="360" w:lineRule="auto"/>
        <w:jc w:val="both"/>
        <w:rPr>
          <w:rFonts w:ascii="Arial" w:hAnsi="Arial" w:cs="Arial"/>
        </w:rPr>
      </w:pPr>
      <w:r w:rsidRPr="008204CC">
        <w:rPr>
          <w:rFonts w:ascii="Arial" w:hAnsi="Arial" w:cs="Arial"/>
        </w:rPr>
        <w:t xml:space="preserve">In this section, </w:t>
      </w:r>
      <w:r w:rsidR="005468E2">
        <w:rPr>
          <w:rFonts w:ascii="Arial" w:hAnsi="Arial" w:cs="Arial"/>
        </w:rPr>
        <w:t xml:space="preserve">the descriptive statistics show the overall perspective of the dataset. </w:t>
      </w:r>
      <w:r w:rsidR="005468E2" w:rsidRPr="001573FC">
        <w:rPr>
          <w:rFonts w:ascii="Arial" w:hAnsi="Arial" w:cs="Arial"/>
        </w:rPr>
        <w:t xml:space="preserve">Table </w:t>
      </w:r>
      <w:r w:rsidR="00C551F0" w:rsidRPr="001573FC">
        <w:rPr>
          <w:rFonts w:ascii="Arial" w:hAnsi="Arial" w:cs="Arial"/>
        </w:rPr>
        <w:t>5</w:t>
      </w:r>
      <w:r w:rsidR="000C6BE7" w:rsidRPr="001573FC">
        <w:rPr>
          <w:rFonts w:ascii="Arial" w:hAnsi="Arial" w:cs="Arial"/>
        </w:rPr>
        <w:t xml:space="preserve">.1 </w:t>
      </w:r>
      <w:r w:rsidR="00B713E6">
        <w:rPr>
          <w:rFonts w:ascii="Arial" w:hAnsi="Arial" w:cs="Arial"/>
        </w:rPr>
        <w:t>below</w:t>
      </w:r>
      <w:r w:rsidR="000C6BE7">
        <w:rPr>
          <w:rFonts w:ascii="Arial" w:hAnsi="Arial" w:cs="Arial"/>
        </w:rPr>
        <w:t xml:space="preserve"> shows the Mean, Maximum and Minimum values of all the variables used in the section</w:t>
      </w:r>
      <w:r w:rsidR="00F5412C">
        <w:rPr>
          <w:rFonts w:ascii="Arial" w:hAnsi="Arial" w:cs="Arial"/>
        </w:rPr>
        <w:t>.</w:t>
      </w:r>
      <w:r w:rsidR="000C6BE7">
        <w:rPr>
          <w:rFonts w:ascii="Arial" w:hAnsi="Arial" w:cs="Arial"/>
        </w:rPr>
        <w:t xml:space="preserve"> </w:t>
      </w:r>
    </w:p>
    <w:p w14:paraId="1365E6E3" w14:textId="0E4C39EA" w:rsidR="00B713E6" w:rsidRPr="00300869" w:rsidRDefault="00B713E6" w:rsidP="0066301C">
      <w:pPr>
        <w:spacing w:after="0"/>
        <w:rPr>
          <w:rFonts w:ascii="Arial" w:hAnsi="Arial" w:cs="Arial"/>
          <w:b/>
          <w:bCs/>
        </w:rPr>
      </w:pPr>
      <w:r w:rsidRPr="00300869">
        <w:rPr>
          <w:rFonts w:ascii="Arial" w:hAnsi="Arial" w:cs="Arial"/>
          <w:b/>
          <w:bCs/>
        </w:rPr>
        <w:t xml:space="preserve">Table </w:t>
      </w:r>
      <w:r w:rsidR="00C551F0" w:rsidRPr="00300869">
        <w:rPr>
          <w:rFonts w:ascii="Arial" w:hAnsi="Arial" w:cs="Arial"/>
          <w:b/>
          <w:bCs/>
        </w:rPr>
        <w:t>5</w:t>
      </w:r>
      <w:r w:rsidRPr="00300869">
        <w:rPr>
          <w:rFonts w:ascii="Arial" w:hAnsi="Arial" w:cs="Arial"/>
          <w:b/>
          <w:bCs/>
        </w:rPr>
        <w:t>.1: Descriptive Statistics</w:t>
      </w:r>
    </w:p>
    <w:tbl>
      <w:tblPr>
        <w:tblStyle w:val="TableGrid"/>
        <w:tblW w:w="0" w:type="auto"/>
        <w:tblLook w:val="04A0" w:firstRow="1" w:lastRow="0" w:firstColumn="1" w:lastColumn="0" w:noHBand="0" w:noVBand="1"/>
      </w:tblPr>
      <w:tblGrid>
        <w:gridCol w:w="1513"/>
        <w:gridCol w:w="1233"/>
        <w:gridCol w:w="1280"/>
        <w:gridCol w:w="1284"/>
        <w:gridCol w:w="1395"/>
        <w:gridCol w:w="1200"/>
        <w:gridCol w:w="1111"/>
      </w:tblGrid>
      <w:tr w:rsidR="00B713E6" w14:paraId="1F12BE6B" w14:textId="77777777" w:rsidTr="002727A1">
        <w:tc>
          <w:tcPr>
            <w:tcW w:w="1513" w:type="dxa"/>
          </w:tcPr>
          <w:p w14:paraId="475747AA" w14:textId="77777777" w:rsidR="00B713E6" w:rsidRPr="00534102" w:rsidRDefault="00B713E6" w:rsidP="0066301C">
            <w:pPr>
              <w:rPr>
                <w:rFonts w:ascii="Arial" w:hAnsi="Arial" w:cs="Arial"/>
                <w:b/>
                <w:bCs/>
                <w:lang w:val="en-US"/>
              </w:rPr>
            </w:pPr>
            <w:r w:rsidRPr="00534102">
              <w:rPr>
                <w:rFonts w:ascii="Arial" w:hAnsi="Arial" w:cs="Arial"/>
                <w:b/>
                <w:bCs/>
                <w:lang w:val="en-US"/>
              </w:rPr>
              <w:t xml:space="preserve">Statistical </w:t>
            </w:r>
          </w:p>
          <w:p w14:paraId="7A651D3F" w14:textId="77777777" w:rsidR="00B713E6" w:rsidRPr="00534102" w:rsidRDefault="00B713E6" w:rsidP="0066301C">
            <w:pPr>
              <w:rPr>
                <w:rFonts w:ascii="Arial" w:hAnsi="Arial" w:cs="Arial"/>
                <w:b/>
                <w:bCs/>
                <w:lang w:val="en-US"/>
              </w:rPr>
            </w:pPr>
            <w:r w:rsidRPr="00534102">
              <w:rPr>
                <w:rFonts w:ascii="Arial" w:hAnsi="Arial" w:cs="Arial"/>
                <w:b/>
                <w:bCs/>
                <w:lang w:val="en-US"/>
              </w:rPr>
              <w:t>Indicators</w:t>
            </w:r>
          </w:p>
        </w:tc>
        <w:tc>
          <w:tcPr>
            <w:tcW w:w="1233" w:type="dxa"/>
          </w:tcPr>
          <w:p w14:paraId="141FE796" w14:textId="077B7273" w:rsidR="00B713E6" w:rsidRPr="00534102" w:rsidRDefault="00B713E6" w:rsidP="0066301C">
            <w:pPr>
              <w:rPr>
                <w:rFonts w:ascii="Arial" w:hAnsi="Arial" w:cs="Arial"/>
                <w:b/>
                <w:bCs/>
                <w:lang w:val="en-US"/>
              </w:rPr>
            </w:pPr>
            <w:r w:rsidRPr="00534102">
              <w:rPr>
                <w:rFonts w:ascii="Arial" w:hAnsi="Arial" w:cs="Arial"/>
                <w:b/>
                <w:bCs/>
                <w:lang w:val="en-US"/>
              </w:rPr>
              <w:t>GDP</w:t>
            </w:r>
            <w:r w:rsidR="009A38A6">
              <w:rPr>
                <w:rFonts w:ascii="Arial" w:hAnsi="Arial" w:cs="Arial"/>
                <w:b/>
                <w:bCs/>
                <w:lang w:val="en-US"/>
              </w:rPr>
              <w:t>c</w:t>
            </w:r>
          </w:p>
        </w:tc>
        <w:tc>
          <w:tcPr>
            <w:tcW w:w="1280" w:type="dxa"/>
          </w:tcPr>
          <w:p w14:paraId="270415F9" w14:textId="77777777" w:rsidR="00B713E6" w:rsidRPr="00534102" w:rsidRDefault="00B713E6" w:rsidP="0066301C">
            <w:pPr>
              <w:rPr>
                <w:rFonts w:ascii="Arial" w:hAnsi="Arial" w:cs="Arial"/>
                <w:b/>
                <w:bCs/>
                <w:lang w:val="en-US"/>
              </w:rPr>
            </w:pPr>
            <w:r w:rsidRPr="00534102">
              <w:rPr>
                <w:rFonts w:ascii="Arial" w:hAnsi="Arial" w:cs="Arial"/>
                <w:b/>
                <w:bCs/>
                <w:lang w:val="en-US"/>
              </w:rPr>
              <w:t>REER</w:t>
            </w:r>
          </w:p>
        </w:tc>
        <w:tc>
          <w:tcPr>
            <w:tcW w:w="1284" w:type="dxa"/>
          </w:tcPr>
          <w:p w14:paraId="62CBB8F0" w14:textId="77777777" w:rsidR="00B713E6" w:rsidRPr="00534102" w:rsidRDefault="00B713E6" w:rsidP="0066301C">
            <w:pPr>
              <w:rPr>
                <w:rFonts w:ascii="Arial" w:hAnsi="Arial" w:cs="Arial"/>
                <w:b/>
                <w:bCs/>
                <w:lang w:val="en-US"/>
              </w:rPr>
            </w:pPr>
            <w:r w:rsidRPr="00534102">
              <w:rPr>
                <w:rFonts w:ascii="Arial" w:hAnsi="Arial" w:cs="Arial"/>
                <w:b/>
                <w:bCs/>
                <w:lang w:val="en-US"/>
              </w:rPr>
              <w:t>OPEN</w:t>
            </w:r>
          </w:p>
        </w:tc>
        <w:tc>
          <w:tcPr>
            <w:tcW w:w="1395" w:type="dxa"/>
          </w:tcPr>
          <w:p w14:paraId="3C82B3F7" w14:textId="77777777" w:rsidR="00B713E6" w:rsidRPr="00534102" w:rsidRDefault="00B713E6" w:rsidP="0066301C">
            <w:pPr>
              <w:rPr>
                <w:rFonts w:ascii="Arial" w:hAnsi="Arial" w:cs="Arial"/>
                <w:b/>
                <w:bCs/>
                <w:lang w:val="en-US"/>
              </w:rPr>
            </w:pPr>
            <w:r w:rsidRPr="00534102">
              <w:rPr>
                <w:rFonts w:ascii="Arial" w:hAnsi="Arial" w:cs="Arial"/>
                <w:b/>
                <w:bCs/>
                <w:lang w:val="en-US"/>
              </w:rPr>
              <w:t>GOVCON</w:t>
            </w:r>
          </w:p>
        </w:tc>
        <w:tc>
          <w:tcPr>
            <w:tcW w:w="1200" w:type="dxa"/>
          </w:tcPr>
          <w:p w14:paraId="7D3EF054" w14:textId="77777777" w:rsidR="00B713E6" w:rsidRPr="00534102" w:rsidRDefault="00B713E6" w:rsidP="0066301C">
            <w:pPr>
              <w:rPr>
                <w:rFonts w:ascii="Arial" w:hAnsi="Arial" w:cs="Arial"/>
                <w:b/>
                <w:bCs/>
                <w:lang w:val="en-US"/>
              </w:rPr>
            </w:pPr>
            <w:r w:rsidRPr="00534102">
              <w:rPr>
                <w:rFonts w:ascii="Arial" w:hAnsi="Arial" w:cs="Arial"/>
                <w:b/>
                <w:bCs/>
                <w:lang w:val="en-US"/>
              </w:rPr>
              <w:t>FDI</w:t>
            </w:r>
          </w:p>
        </w:tc>
        <w:tc>
          <w:tcPr>
            <w:tcW w:w="1111" w:type="dxa"/>
          </w:tcPr>
          <w:p w14:paraId="7296D267" w14:textId="77777777" w:rsidR="00B713E6" w:rsidRPr="00534102" w:rsidRDefault="00B713E6" w:rsidP="0066301C">
            <w:pPr>
              <w:rPr>
                <w:rFonts w:ascii="Arial" w:hAnsi="Arial" w:cs="Arial"/>
                <w:b/>
                <w:bCs/>
                <w:lang w:val="en-US"/>
              </w:rPr>
            </w:pPr>
            <w:r w:rsidRPr="00534102">
              <w:rPr>
                <w:rFonts w:ascii="Arial" w:hAnsi="Arial" w:cs="Arial"/>
                <w:b/>
                <w:bCs/>
                <w:lang w:val="en-US"/>
              </w:rPr>
              <w:t>TOT</w:t>
            </w:r>
          </w:p>
        </w:tc>
      </w:tr>
      <w:tr w:rsidR="00B713E6" w14:paraId="70FFC967" w14:textId="77777777" w:rsidTr="002727A1">
        <w:tc>
          <w:tcPr>
            <w:tcW w:w="1513" w:type="dxa"/>
          </w:tcPr>
          <w:p w14:paraId="2D1FD23C" w14:textId="77777777" w:rsidR="00B713E6" w:rsidRDefault="00B713E6" w:rsidP="0066301C">
            <w:pPr>
              <w:rPr>
                <w:rFonts w:ascii="Arial" w:hAnsi="Arial" w:cs="Arial"/>
                <w:lang w:val="en-US"/>
              </w:rPr>
            </w:pPr>
            <w:r>
              <w:rPr>
                <w:rFonts w:ascii="Arial" w:hAnsi="Arial" w:cs="Arial"/>
                <w:lang w:val="en-US"/>
              </w:rPr>
              <w:t>Mean</w:t>
            </w:r>
          </w:p>
        </w:tc>
        <w:tc>
          <w:tcPr>
            <w:tcW w:w="1233" w:type="dxa"/>
          </w:tcPr>
          <w:p w14:paraId="38D10696" w14:textId="77777777" w:rsidR="00B713E6" w:rsidRDefault="00B713E6" w:rsidP="0066301C">
            <w:pPr>
              <w:rPr>
                <w:rFonts w:ascii="Arial" w:hAnsi="Arial" w:cs="Arial"/>
                <w:lang w:val="en-US"/>
              </w:rPr>
            </w:pPr>
            <w:r>
              <w:rPr>
                <w:rFonts w:ascii="Arial" w:hAnsi="Arial" w:cs="Arial"/>
                <w:lang w:val="en-US"/>
              </w:rPr>
              <w:t>-0.401</w:t>
            </w:r>
          </w:p>
        </w:tc>
        <w:tc>
          <w:tcPr>
            <w:tcW w:w="1280" w:type="dxa"/>
          </w:tcPr>
          <w:p w14:paraId="45F68A93" w14:textId="77777777" w:rsidR="00B713E6" w:rsidRDefault="00B713E6" w:rsidP="0066301C">
            <w:pPr>
              <w:rPr>
                <w:rFonts w:ascii="Arial" w:hAnsi="Arial" w:cs="Arial"/>
                <w:lang w:val="en-US"/>
              </w:rPr>
            </w:pPr>
            <w:r>
              <w:rPr>
                <w:rFonts w:ascii="Arial" w:hAnsi="Arial" w:cs="Arial"/>
                <w:lang w:val="en-US"/>
              </w:rPr>
              <w:t>124.398</w:t>
            </w:r>
          </w:p>
        </w:tc>
        <w:tc>
          <w:tcPr>
            <w:tcW w:w="1284" w:type="dxa"/>
          </w:tcPr>
          <w:p w14:paraId="1E2EFA54" w14:textId="77777777" w:rsidR="00B713E6" w:rsidRDefault="00B713E6" w:rsidP="0066301C">
            <w:pPr>
              <w:rPr>
                <w:rFonts w:ascii="Arial" w:hAnsi="Arial" w:cs="Arial"/>
                <w:lang w:val="en-US"/>
              </w:rPr>
            </w:pPr>
            <w:r>
              <w:rPr>
                <w:rFonts w:ascii="Arial" w:hAnsi="Arial" w:cs="Arial"/>
                <w:lang w:val="en-US"/>
              </w:rPr>
              <w:t>60.952</w:t>
            </w:r>
          </w:p>
        </w:tc>
        <w:tc>
          <w:tcPr>
            <w:tcW w:w="1395" w:type="dxa"/>
          </w:tcPr>
          <w:p w14:paraId="0B462297" w14:textId="77777777" w:rsidR="00B713E6" w:rsidRDefault="00B713E6" w:rsidP="0066301C">
            <w:pPr>
              <w:rPr>
                <w:rFonts w:ascii="Arial" w:hAnsi="Arial" w:cs="Arial"/>
                <w:lang w:val="en-US"/>
              </w:rPr>
            </w:pPr>
            <w:r>
              <w:rPr>
                <w:rFonts w:ascii="Arial" w:hAnsi="Arial" w:cs="Arial"/>
                <w:lang w:val="en-US"/>
              </w:rPr>
              <w:t>13.171</w:t>
            </w:r>
          </w:p>
        </w:tc>
        <w:tc>
          <w:tcPr>
            <w:tcW w:w="1200" w:type="dxa"/>
          </w:tcPr>
          <w:p w14:paraId="1CA9A591" w14:textId="77777777" w:rsidR="00B713E6" w:rsidRDefault="00B713E6" w:rsidP="0066301C">
            <w:pPr>
              <w:rPr>
                <w:rFonts w:ascii="Arial" w:hAnsi="Arial" w:cs="Arial"/>
                <w:lang w:val="en-US"/>
              </w:rPr>
            </w:pPr>
            <w:r>
              <w:rPr>
                <w:rFonts w:ascii="Arial" w:hAnsi="Arial" w:cs="Arial"/>
                <w:lang w:val="en-US"/>
              </w:rPr>
              <w:t>1.442</w:t>
            </w:r>
          </w:p>
        </w:tc>
        <w:tc>
          <w:tcPr>
            <w:tcW w:w="1111" w:type="dxa"/>
          </w:tcPr>
          <w:p w14:paraId="334173AF" w14:textId="77777777" w:rsidR="00B713E6" w:rsidRDefault="00B713E6" w:rsidP="0066301C">
            <w:pPr>
              <w:rPr>
                <w:rFonts w:ascii="Arial" w:hAnsi="Arial" w:cs="Arial"/>
                <w:lang w:val="en-US"/>
              </w:rPr>
            </w:pPr>
            <w:r>
              <w:rPr>
                <w:rFonts w:ascii="Arial" w:hAnsi="Arial" w:cs="Arial"/>
                <w:lang w:val="en-US"/>
              </w:rPr>
              <w:t>79.412</w:t>
            </w:r>
          </w:p>
        </w:tc>
      </w:tr>
      <w:tr w:rsidR="00B713E6" w14:paraId="0817DD58" w14:textId="77777777" w:rsidTr="002727A1">
        <w:tc>
          <w:tcPr>
            <w:tcW w:w="1513" w:type="dxa"/>
          </w:tcPr>
          <w:p w14:paraId="1FDE638A" w14:textId="77777777" w:rsidR="00B713E6" w:rsidRDefault="00B713E6" w:rsidP="0066301C">
            <w:pPr>
              <w:rPr>
                <w:rFonts w:ascii="Arial" w:hAnsi="Arial" w:cs="Arial"/>
                <w:lang w:val="en-US"/>
              </w:rPr>
            </w:pPr>
            <w:r>
              <w:rPr>
                <w:rFonts w:ascii="Arial" w:hAnsi="Arial" w:cs="Arial"/>
                <w:lang w:val="en-US"/>
              </w:rPr>
              <w:t>Maximum</w:t>
            </w:r>
          </w:p>
        </w:tc>
        <w:tc>
          <w:tcPr>
            <w:tcW w:w="1233" w:type="dxa"/>
          </w:tcPr>
          <w:p w14:paraId="319D66FF" w14:textId="77777777" w:rsidR="00B713E6" w:rsidRDefault="00B713E6" w:rsidP="0066301C">
            <w:pPr>
              <w:rPr>
                <w:rFonts w:ascii="Arial" w:hAnsi="Arial" w:cs="Arial"/>
                <w:lang w:val="en-US"/>
              </w:rPr>
            </w:pPr>
            <w:r>
              <w:rPr>
                <w:rFonts w:ascii="Arial" w:hAnsi="Arial" w:cs="Arial"/>
                <w:lang w:val="en-US"/>
              </w:rPr>
              <w:t>13.564</w:t>
            </w:r>
          </w:p>
        </w:tc>
        <w:tc>
          <w:tcPr>
            <w:tcW w:w="1280" w:type="dxa"/>
          </w:tcPr>
          <w:p w14:paraId="7E851182" w14:textId="77777777" w:rsidR="00B713E6" w:rsidRDefault="00B713E6" w:rsidP="0066301C">
            <w:pPr>
              <w:rPr>
                <w:rFonts w:ascii="Arial" w:hAnsi="Arial" w:cs="Arial"/>
                <w:lang w:val="en-US"/>
              </w:rPr>
            </w:pPr>
            <w:r>
              <w:rPr>
                <w:rFonts w:ascii="Arial" w:hAnsi="Arial" w:cs="Arial"/>
                <w:lang w:val="en-US"/>
              </w:rPr>
              <w:t>223.648</w:t>
            </w:r>
          </w:p>
        </w:tc>
        <w:tc>
          <w:tcPr>
            <w:tcW w:w="1284" w:type="dxa"/>
          </w:tcPr>
          <w:p w14:paraId="51FDB65D" w14:textId="77777777" w:rsidR="00B713E6" w:rsidRDefault="00B713E6" w:rsidP="0066301C">
            <w:pPr>
              <w:rPr>
                <w:rFonts w:ascii="Arial" w:hAnsi="Arial" w:cs="Arial"/>
                <w:lang w:val="en-US"/>
              </w:rPr>
            </w:pPr>
            <w:r>
              <w:rPr>
                <w:rFonts w:ascii="Arial" w:hAnsi="Arial" w:cs="Arial"/>
                <w:lang w:val="en-US"/>
              </w:rPr>
              <w:t>119.853</w:t>
            </w:r>
          </w:p>
        </w:tc>
        <w:tc>
          <w:tcPr>
            <w:tcW w:w="1395" w:type="dxa"/>
          </w:tcPr>
          <w:p w14:paraId="0D49FDA8" w14:textId="77777777" w:rsidR="00B713E6" w:rsidRDefault="00B713E6" w:rsidP="0066301C">
            <w:pPr>
              <w:rPr>
                <w:rFonts w:ascii="Arial" w:hAnsi="Arial" w:cs="Arial"/>
                <w:lang w:val="en-US"/>
              </w:rPr>
            </w:pPr>
            <w:r>
              <w:rPr>
                <w:rFonts w:ascii="Arial" w:hAnsi="Arial" w:cs="Arial"/>
                <w:lang w:val="en-US"/>
              </w:rPr>
              <w:t>25.783</w:t>
            </w:r>
          </w:p>
        </w:tc>
        <w:tc>
          <w:tcPr>
            <w:tcW w:w="1200" w:type="dxa"/>
          </w:tcPr>
          <w:p w14:paraId="6A94D0C6" w14:textId="77777777" w:rsidR="00B713E6" w:rsidRDefault="00B713E6" w:rsidP="0066301C">
            <w:pPr>
              <w:rPr>
                <w:rFonts w:ascii="Arial" w:hAnsi="Arial" w:cs="Arial"/>
                <w:lang w:val="en-US"/>
              </w:rPr>
            </w:pPr>
            <w:r>
              <w:rPr>
                <w:rFonts w:ascii="Arial" w:hAnsi="Arial" w:cs="Arial"/>
                <w:lang w:val="en-US"/>
              </w:rPr>
              <w:t>10.034</w:t>
            </w:r>
          </w:p>
        </w:tc>
        <w:tc>
          <w:tcPr>
            <w:tcW w:w="1111" w:type="dxa"/>
          </w:tcPr>
          <w:p w14:paraId="6A1A255A" w14:textId="77777777" w:rsidR="00B713E6" w:rsidRDefault="00B713E6" w:rsidP="0066301C">
            <w:pPr>
              <w:rPr>
                <w:rFonts w:ascii="Arial" w:hAnsi="Arial" w:cs="Arial"/>
                <w:lang w:val="en-US"/>
              </w:rPr>
            </w:pPr>
            <w:r>
              <w:rPr>
                <w:rFonts w:ascii="Arial" w:hAnsi="Arial" w:cs="Arial"/>
                <w:lang w:val="en-US"/>
              </w:rPr>
              <w:t>165.890</w:t>
            </w:r>
          </w:p>
        </w:tc>
      </w:tr>
      <w:tr w:rsidR="00B713E6" w14:paraId="3C9510C1" w14:textId="77777777" w:rsidTr="002727A1">
        <w:tc>
          <w:tcPr>
            <w:tcW w:w="1513" w:type="dxa"/>
          </w:tcPr>
          <w:p w14:paraId="16931ECF" w14:textId="77777777" w:rsidR="00B713E6" w:rsidRDefault="00B713E6" w:rsidP="0066301C">
            <w:pPr>
              <w:rPr>
                <w:rFonts w:ascii="Arial" w:hAnsi="Arial" w:cs="Arial"/>
                <w:lang w:val="en-US"/>
              </w:rPr>
            </w:pPr>
            <w:r>
              <w:rPr>
                <w:rFonts w:ascii="Arial" w:hAnsi="Arial" w:cs="Arial"/>
                <w:lang w:val="en-US"/>
              </w:rPr>
              <w:t>Minimum</w:t>
            </w:r>
          </w:p>
        </w:tc>
        <w:tc>
          <w:tcPr>
            <w:tcW w:w="1233" w:type="dxa"/>
          </w:tcPr>
          <w:p w14:paraId="2511BAA0" w14:textId="77777777" w:rsidR="00B713E6" w:rsidRDefault="00B713E6" w:rsidP="0066301C">
            <w:pPr>
              <w:rPr>
                <w:rFonts w:ascii="Arial" w:hAnsi="Arial" w:cs="Arial"/>
                <w:lang w:val="en-US"/>
              </w:rPr>
            </w:pPr>
            <w:r>
              <w:rPr>
                <w:rFonts w:ascii="Arial" w:hAnsi="Arial" w:cs="Arial"/>
                <w:lang w:val="en-US"/>
              </w:rPr>
              <w:t>-36.557</w:t>
            </w:r>
          </w:p>
        </w:tc>
        <w:tc>
          <w:tcPr>
            <w:tcW w:w="1280" w:type="dxa"/>
          </w:tcPr>
          <w:p w14:paraId="34315448" w14:textId="77777777" w:rsidR="00B713E6" w:rsidRDefault="00B713E6" w:rsidP="0066301C">
            <w:pPr>
              <w:rPr>
                <w:rFonts w:ascii="Arial" w:hAnsi="Arial" w:cs="Arial"/>
                <w:lang w:val="en-US"/>
              </w:rPr>
            </w:pPr>
            <w:r>
              <w:rPr>
                <w:rFonts w:ascii="Arial" w:hAnsi="Arial" w:cs="Arial"/>
                <w:lang w:val="en-US"/>
              </w:rPr>
              <w:t>82.835</w:t>
            </w:r>
          </w:p>
        </w:tc>
        <w:tc>
          <w:tcPr>
            <w:tcW w:w="1284" w:type="dxa"/>
          </w:tcPr>
          <w:p w14:paraId="637B24EC" w14:textId="77777777" w:rsidR="00B713E6" w:rsidRDefault="00B713E6" w:rsidP="0066301C">
            <w:pPr>
              <w:rPr>
                <w:rFonts w:ascii="Arial" w:hAnsi="Arial" w:cs="Arial"/>
                <w:lang w:val="en-US"/>
              </w:rPr>
            </w:pPr>
            <w:r>
              <w:rPr>
                <w:rFonts w:ascii="Arial" w:hAnsi="Arial" w:cs="Arial"/>
                <w:lang w:val="en-US"/>
              </w:rPr>
              <w:t>26.452</w:t>
            </w:r>
          </w:p>
        </w:tc>
        <w:tc>
          <w:tcPr>
            <w:tcW w:w="1395" w:type="dxa"/>
          </w:tcPr>
          <w:p w14:paraId="0644589D" w14:textId="77777777" w:rsidR="00B713E6" w:rsidRDefault="00B713E6" w:rsidP="0066301C">
            <w:pPr>
              <w:rPr>
                <w:rFonts w:ascii="Arial" w:hAnsi="Arial" w:cs="Arial"/>
                <w:lang w:val="en-US"/>
              </w:rPr>
            </w:pPr>
            <w:r>
              <w:rPr>
                <w:rFonts w:ascii="Arial" w:hAnsi="Arial" w:cs="Arial"/>
                <w:lang w:val="en-US"/>
              </w:rPr>
              <w:t>6.367</w:t>
            </w:r>
          </w:p>
        </w:tc>
        <w:tc>
          <w:tcPr>
            <w:tcW w:w="1200" w:type="dxa"/>
          </w:tcPr>
          <w:p w14:paraId="07084193" w14:textId="77777777" w:rsidR="00B713E6" w:rsidRDefault="00B713E6" w:rsidP="0066301C">
            <w:pPr>
              <w:rPr>
                <w:rFonts w:ascii="Arial" w:hAnsi="Arial" w:cs="Arial"/>
                <w:lang w:val="en-US"/>
              </w:rPr>
            </w:pPr>
            <w:r>
              <w:rPr>
                <w:rFonts w:ascii="Arial" w:hAnsi="Arial" w:cs="Arial"/>
                <w:lang w:val="en-US"/>
              </w:rPr>
              <w:t>-5.007</w:t>
            </w:r>
          </w:p>
        </w:tc>
        <w:tc>
          <w:tcPr>
            <w:tcW w:w="1111" w:type="dxa"/>
          </w:tcPr>
          <w:p w14:paraId="62C86344" w14:textId="77777777" w:rsidR="00B713E6" w:rsidRDefault="00B713E6" w:rsidP="0066301C">
            <w:pPr>
              <w:rPr>
                <w:rFonts w:ascii="Arial" w:hAnsi="Arial" w:cs="Arial"/>
                <w:lang w:val="en-US"/>
              </w:rPr>
            </w:pPr>
            <w:r>
              <w:rPr>
                <w:rFonts w:ascii="Arial" w:hAnsi="Arial" w:cs="Arial"/>
                <w:lang w:val="en-US"/>
              </w:rPr>
              <w:t>17.651</w:t>
            </w:r>
          </w:p>
        </w:tc>
      </w:tr>
      <w:tr w:rsidR="00334038" w14:paraId="11C01E9B" w14:textId="77777777" w:rsidTr="002727A1">
        <w:tc>
          <w:tcPr>
            <w:tcW w:w="1513" w:type="dxa"/>
          </w:tcPr>
          <w:p w14:paraId="66B04AD9" w14:textId="60585EAC" w:rsidR="00334038" w:rsidRDefault="00334038" w:rsidP="0066301C">
            <w:pPr>
              <w:rPr>
                <w:rFonts w:ascii="Arial" w:hAnsi="Arial" w:cs="Arial"/>
                <w:lang w:val="en-US"/>
              </w:rPr>
            </w:pPr>
            <w:r>
              <w:rPr>
                <w:rFonts w:ascii="Arial" w:hAnsi="Arial" w:cs="Arial"/>
                <w:lang w:val="en-US"/>
              </w:rPr>
              <w:t>Std. Dev.</w:t>
            </w:r>
          </w:p>
        </w:tc>
        <w:tc>
          <w:tcPr>
            <w:tcW w:w="1233" w:type="dxa"/>
          </w:tcPr>
          <w:p w14:paraId="1434435F" w14:textId="19E3B848" w:rsidR="00334038" w:rsidRDefault="00334038" w:rsidP="0066301C">
            <w:pPr>
              <w:rPr>
                <w:rFonts w:ascii="Arial" w:hAnsi="Arial" w:cs="Arial"/>
                <w:lang w:val="en-US"/>
              </w:rPr>
            </w:pPr>
            <w:r>
              <w:rPr>
                <w:rFonts w:ascii="Arial" w:hAnsi="Arial" w:cs="Arial"/>
                <w:lang w:val="en-US"/>
              </w:rPr>
              <w:t>5.7331</w:t>
            </w:r>
          </w:p>
        </w:tc>
        <w:tc>
          <w:tcPr>
            <w:tcW w:w="1280" w:type="dxa"/>
          </w:tcPr>
          <w:p w14:paraId="34095380" w14:textId="6BA3B418" w:rsidR="00334038" w:rsidRDefault="00334038" w:rsidP="0066301C">
            <w:pPr>
              <w:rPr>
                <w:rFonts w:ascii="Arial" w:hAnsi="Arial" w:cs="Arial"/>
                <w:lang w:val="en-US"/>
              </w:rPr>
            </w:pPr>
            <w:r>
              <w:rPr>
                <w:rFonts w:ascii="Arial" w:hAnsi="Arial" w:cs="Arial"/>
                <w:lang w:val="en-US"/>
              </w:rPr>
              <w:t>37.080</w:t>
            </w:r>
          </w:p>
        </w:tc>
        <w:tc>
          <w:tcPr>
            <w:tcW w:w="1284" w:type="dxa"/>
          </w:tcPr>
          <w:p w14:paraId="64D533FC" w14:textId="5DEDF39B" w:rsidR="00334038" w:rsidRDefault="00334038" w:rsidP="0066301C">
            <w:pPr>
              <w:rPr>
                <w:rFonts w:ascii="Arial" w:hAnsi="Arial" w:cs="Arial"/>
                <w:lang w:val="en-US"/>
              </w:rPr>
            </w:pPr>
            <w:r>
              <w:rPr>
                <w:rFonts w:ascii="Arial" w:hAnsi="Arial" w:cs="Arial"/>
                <w:lang w:val="en-US"/>
              </w:rPr>
              <w:t>22.064</w:t>
            </w:r>
          </w:p>
        </w:tc>
        <w:tc>
          <w:tcPr>
            <w:tcW w:w="1395" w:type="dxa"/>
          </w:tcPr>
          <w:p w14:paraId="62382642" w14:textId="42C3799D" w:rsidR="00334038" w:rsidRDefault="00334038" w:rsidP="0066301C">
            <w:pPr>
              <w:rPr>
                <w:rFonts w:ascii="Arial" w:hAnsi="Arial" w:cs="Arial"/>
                <w:lang w:val="en-US"/>
              </w:rPr>
            </w:pPr>
            <w:r>
              <w:rPr>
                <w:rFonts w:ascii="Arial" w:hAnsi="Arial" w:cs="Arial"/>
                <w:lang w:val="en-US"/>
              </w:rPr>
              <w:t>3.199</w:t>
            </w:r>
          </w:p>
        </w:tc>
        <w:tc>
          <w:tcPr>
            <w:tcW w:w="1200" w:type="dxa"/>
          </w:tcPr>
          <w:p w14:paraId="1F209868" w14:textId="013075A5" w:rsidR="00334038" w:rsidRDefault="00334038" w:rsidP="0066301C">
            <w:pPr>
              <w:rPr>
                <w:rFonts w:ascii="Arial" w:hAnsi="Arial" w:cs="Arial"/>
                <w:lang w:val="en-US"/>
              </w:rPr>
            </w:pPr>
            <w:r>
              <w:rPr>
                <w:rFonts w:ascii="Arial" w:hAnsi="Arial" w:cs="Arial"/>
                <w:lang w:val="en-US"/>
              </w:rPr>
              <w:t>2.207</w:t>
            </w:r>
          </w:p>
        </w:tc>
        <w:tc>
          <w:tcPr>
            <w:tcW w:w="1111" w:type="dxa"/>
          </w:tcPr>
          <w:p w14:paraId="40838CDF" w14:textId="2C4D7CC6" w:rsidR="00334038" w:rsidRDefault="00334038" w:rsidP="0066301C">
            <w:pPr>
              <w:rPr>
                <w:rFonts w:ascii="Arial" w:hAnsi="Arial" w:cs="Arial"/>
                <w:lang w:val="en-US"/>
              </w:rPr>
            </w:pPr>
            <w:r>
              <w:rPr>
                <w:rFonts w:ascii="Arial" w:hAnsi="Arial" w:cs="Arial"/>
                <w:lang w:val="en-US"/>
              </w:rPr>
              <w:t>29.363</w:t>
            </w:r>
          </w:p>
        </w:tc>
      </w:tr>
      <w:tr w:rsidR="00B713E6" w14:paraId="710B3DCC" w14:textId="77777777" w:rsidTr="002727A1">
        <w:tc>
          <w:tcPr>
            <w:tcW w:w="1513" w:type="dxa"/>
          </w:tcPr>
          <w:p w14:paraId="3DB088EA" w14:textId="77777777" w:rsidR="00B713E6" w:rsidRDefault="00B713E6" w:rsidP="0066301C">
            <w:pPr>
              <w:rPr>
                <w:rFonts w:ascii="Arial" w:hAnsi="Arial" w:cs="Arial"/>
                <w:lang w:val="en-US"/>
              </w:rPr>
            </w:pPr>
            <w:r>
              <w:rPr>
                <w:rFonts w:ascii="Arial" w:hAnsi="Arial" w:cs="Arial"/>
                <w:lang w:val="en-US"/>
              </w:rPr>
              <w:t xml:space="preserve">Observations </w:t>
            </w:r>
          </w:p>
        </w:tc>
        <w:tc>
          <w:tcPr>
            <w:tcW w:w="1233" w:type="dxa"/>
          </w:tcPr>
          <w:p w14:paraId="388159D1" w14:textId="77777777" w:rsidR="00B713E6" w:rsidRDefault="00B713E6" w:rsidP="0066301C">
            <w:pPr>
              <w:rPr>
                <w:rFonts w:ascii="Arial" w:hAnsi="Arial" w:cs="Arial"/>
                <w:lang w:val="en-US"/>
              </w:rPr>
            </w:pPr>
            <w:r>
              <w:rPr>
                <w:rFonts w:ascii="Arial" w:hAnsi="Arial" w:cs="Arial"/>
                <w:lang w:val="en-US"/>
              </w:rPr>
              <w:t>117</w:t>
            </w:r>
          </w:p>
        </w:tc>
        <w:tc>
          <w:tcPr>
            <w:tcW w:w="1280" w:type="dxa"/>
          </w:tcPr>
          <w:p w14:paraId="555F747A" w14:textId="77777777" w:rsidR="00B713E6" w:rsidRDefault="00B713E6" w:rsidP="0066301C">
            <w:pPr>
              <w:rPr>
                <w:rFonts w:ascii="Arial" w:hAnsi="Arial" w:cs="Arial"/>
                <w:lang w:val="en-US"/>
              </w:rPr>
            </w:pPr>
            <w:r>
              <w:rPr>
                <w:rFonts w:ascii="Arial" w:hAnsi="Arial" w:cs="Arial"/>
                <w:lang w:val="en-US"/>
              </w:rPr>
              <w:t>117</w:t>
            </w:r>
          </w:p>
        </w:tc>
        <w:tc>
          <w:tcPr>
            <w:tcW w:w="1284" w:type="dxa"/>
          </w:tcPr>
          <w:p w14:paraId="4A044616" w14:textId="77777777" w:rsidR="00B713E6" w:rsidRDefault="00B713E6" w:rsidP="0066301C">
            <w:pPr>
              <w:rPr>
                <w:rFonts w:ascii="Arial" w:hAnsi="Arial" w:cs="Arial"/>
                <w:lang w:val="en-US"/>
              </w:rPr>
            </w:pPr>
            <w:r>
              <w:rPr>
                <w:rFonts w:ascii="Arial" w:hAnsi="Arial" w:cs="Arial"/>
                <w:lang w:val="en-US"/>
              </w:rPr>
              <w:t>117</w:t>
            </w:r>
          </w:p>
        </w:tc>
        <w:tc>
          <w:tcPr>
            <w:tcW w:w="1395" w:type="dxa"/>
          </w:tcPr>
          <w:p w14:paraId="210184B3" w14:textId="77777777" w:rsidR="00B713E6" w:rsidRDefault="00B713E6" w:rsidP="0066301C">
            <w:pPr>
              <w:rPr>
                <w:rFonts w:ascii="Arial" w:hAnsi="Arial" w:cs="Arial"/>
                <w:lang w:val="en-US"/>
              </w:rPr>
            </w:pPr>
            <w:r>
              <w:rPr>
                <w:rFonts w:ascii="Arial" w:hAnsi="Arial" w:cs="Arial"/>
                <w:lang w:val="en-US"/>
              </w:rPr>
              <w:t>117</w:t>
            </w:r>
          </w:p>
        </w:tc>
        <w:tc>
          <w:tcPr>
            <w:tcW w:w="1200" w:type="dxa"/>
          </w:tcPr>
          <w:p w14:paraId="524C7E2C" w14:textId="77777777" w:rsidR="00B713E6" w:rsidRDefault="00B713E6" w:rsidP="0066301C">
            <w:pPr>
              <w:rPr>
                <w:rFonts w:ascii="Arial" w:hAnsi="Arial" w:cs="Arial"/>
                <w:lang w:val="en-US"/>
              </w:rPr>
            </w:pPr>
            <w:r>
              <w:rPr>
                <w:rFonts w:ascii="Arial" w:hAnsi="Arial" w:cs="Arial"/>
                <w:lang w:val="en-US"/>
              </w:rPr>
              <w:t>117</w:t>
            </w:r>
          </w:p>
        </w:tc>
        <w:tc>
          <w:tcPr>
            <w:tcW w:w="1111" w:type="dxa"/>
          </w:tcPr>
          <w:p w14:paraId="5B915232" w14:textId="77777777" w:rsidR="00B713E6" w:rsidRDefault="00B713E6" w:rsidP="0066301C">
            <w:pPr>
              <w:rPr>
                <w:rFonts w:ascii="Arial" w:hAnsi="Arial" w:cs="Arial"/>
                <w:lang w:val="en-US"/>
              </w:rPr>
            </w:pPr>
            <w:r>
              <w:rPr>
                <w:rFonts w:ascii="Arial" w:hAnsi="Arial" w:cs="Arial"/>
                <w:lang w:val="en-US"/>
              </w:rPr>
              <w:t>117</w:t>
            </w:r>
          </w:p>
        </w:tc>
      </w:tr>
    </w:tbl>
    <w:p w14:paraId="06765411" w14:textId="77777777" w:rsidR="002727A1" w:rsidRPr="00D75CF4" w:rsidRDefault="002727A1" w:rsidP="0066301C">
      <w:pPr>
        <w:autoSpaceDE w:val="0"/>
        <w:autoSpaceDN w:val="0"/>
        <w:adjustRightInd w:val="0"/>
        <w:spacing w:after="0"/>
        <w:rPr>
          <w:rFonts w:ascii="Arial" w:hAnsi="Arial" w:cs="Arial"/>
          <w:sz w:val="20"/>
          <w:szCs w:val="20"/>
        </w:rPr>
      </w:pPr>
      <w:r w:rsidRPr="00D75CF4">
        <w:rPr>
          <w:rFonts w:ascii="Arial" w:hAnsi="Arial" w:cs="Arial"/>
          <w:i/>
          <w:sz w:val="20"/>
          <w:szCs w:val="20"/>
        </w:rPr>
        <w:t xml:space="preserve">Source: </w:t>
      </w:r>
      <w:r w:rsidRPr="00D75CF4">
        <w:rPr>
          <w:rFonts w:ascii="Arial" w:hAnsi="Arial" w:cs="Arial"/>
          <w:sz w:val="20"/>
          <w:szCs w:val="20"/>
        </w:rPr>
        <w:t>Computation from using E</w:t>
      </w:r>
      <w:r>
        <w:rPr>
          <w:rFonts w:ascii="Arial" w:hAnsi="Arial" w:cs="Arial"/>
          <w:sz w:val="20"/>
          <w:szCs w:val="20"/>
        </w:rPr>
        <w:t>V</w:t>
      </w:r>
      <w:r w:rsidRPr="00D75CF4">
        <w:rPr>
          <w:rFonts w:ascii="Arial" w:hAnsi="Arial" w:cs="Arial"/>
          <w:sz w:val="20"/>
          <w:szCs w:val="20"/>
        </w:rPr>
        <w:t>iews 1</w:t>
      </w:r>
      <w:r>
        <w:rPr>
          <w:rFonts w:ascii="Arial" w:hAnsi="Arial" w:cs="Arial"/>
          <w:sz w:val="20"/>
          <w:szCs w:val="20"/>
        </w:rPr>
        <w:t>2</w:t>
      </w:r>
    </w:p>
    <w:p w14:paraId="0CB324AD" w14:textId="77777777" w:rsidR="00B10CCE" w:rsidRDefault="00B10CCE" w:rsidP="0066301C"/>
    <w:p w14:paraId="2D0542E7" w14:textId="77777777" w:rsidR="00F5412C" w:rsidRDefault="0088195F" w:rsidP="0066301C">
      <w:pPr>
        <w:spacing w:line="360" w:lineRule="auto"/>
        <w:jc w:val="both"/>
        <w:rPr>
          <w:rFonts w:ascii="Arial" w:hAnsi="Arial" w:cs="Arial"/>
        </w:rPr>
      </w:pPr>
      <w:r w:rsidRPr="00ED71E0">
        <w:rPr>
          <w:rFonts w:ascii="Arial" w:hAnsi="Arial" w:cs="Arial"/>
        </w:rPr>
        <w:t>The result shows that the average</w:t>
      </w:r>
      <w:r w:rsidR="009A38A6">
        <w:rPr>
          <w:rFonts w:ascii="Arial" w:hAnsi="Arial" w:cs="Arial"/>
        </w:rPr>
        <w:t xml:space="preserve"> annual</w:t>
      </w:r>
      <w:r w:rsidRPr="00ED71E0">
        <w:rPr>
          <w:rFonts w:ascii="Arial" w:hAnsi="Arial" w:cs="Arial"/>
        </w:rPr>
        <w:t xml:space="preserve"> GDP</w:t>
      </w:r>
      <w:r w:rsidR="005D0DEB">
        <w:rPr>
          <w:rFonts w:ascii="Arial" w:hAnsi="Arial" w:cs="Arial"/>
        </w:rPr>
        <w:t>c</w:t>
      </w:r>
      <w:r w:rsidRPr="00ED71E0">
        <w:rPr>
          <w:rFonts w:ascii="Arial" w:hAnsi="Arial" w:cs="Arial"/>
        </w:rPr>
        <w:t xml:space="preserve"> </w:t>
      </w:r>
      <w:r w:rsidR="009A38A6">
        <w:rPr>
          <w:rFonts w:ascii="Arial" w:hAnsi="Arial" w:cs="Arial"/>
        </w:rPr>
        <w:t xml:space="preserve">growth rate </w:t>
      </w:r>
      <w:r w:rsidRPr="00ED71E0">
        <w:rPr>
          <w:rFonts w:ascii="Arial" w:hAnsi="Arial" w:cs="Arial"/>
        </w:rPr>
        <w:t>is</w:t>
      </w:r>
      <w:r w:rsidR="009A38A6">
        <w:rPr>
          <w:rFonts w:ascii="Arial" w:hAnsi="Arial" w:cs="Arial"/>
        </w:rPr>
        <w:t xml:space="preserve"> negative (</w:t>
      </w:r>
      <w:r w:rsidRPr="00ED71E0">
        <w:rPr>
          <w:rFonts w:ascii="Arial" w:hAnsi="Arial" w:cs="Arial"/>
        </w:rPr>
        <w:t>-0.401</w:t>
      </w:r>
      <w:r w:rsidR="009A38A6">
        <w:rPr>
          <w:rFonts w:ascii="Arial" w:hAnsi="Arial" w:cs="Arial"/>
        </w:rPr>
        <w:t>)</w:t>
      </w:r>
      <w:r w:rsidRPr="00ED71E0">
        <w:rPr>
          <w:rFonts w:ascii="Arial" w:hAnsi="Arial" w:cs="Arial"/>
        </w:rPr>
        <w:t xml:space="preserve">, and its minimum and maximum levels are </w:t>
      </w:r>
      <w:r w:rsidR="009A38A6">
        <w:rPr>
          <w:rFonts w:ascii="Arial" w:hAnsi="Arial" w:cs="Arial"/>
        </w:rPr>
        <w:t>(</w:t>
      </w:r>
      <w:r w:rsidRPr="00ED71E0">
        <w:rPr>
          <w:rFonts w:ascii="Arial" w:hAnsi="Arial" w:cs="Arial"/>
        </w:rPr>
        <w:t>-36.557</w:t>
      </w:r>
      <w:r w:rsidR="009A38A6">
        <w:rPr>
          <w:rFonts w:ascii="Arial" w:hAnsi="Arial" w:cs="Arial"/>
        </w:rPr>
        <w:t>)</w:t>
      </w:r>
      <w:r w:rsidRPr="00ED71E0">
        <w:rPr>
          <w:rFonts w:ascii="Arial" w:hAnsi="Arial" w:cs="Arial"/>
        </w:rPr>
        <w:t xml:space="preserve"> and </w:t>
      </w:r>
      <w:r w:rsidR="009A38A6">
        <w:rPr>
          <w:rFonts w:ascii="Arial" w:hAnsi="Arial" w:cs="Arial"/>
        </w:rPr>
        <w:t>(</w:t>
      </w:r>
      <w:r w:rsidRPr="00ED71E0">
        <w:rPr>
          <w:rFonts w:ascii="Arial" w:hAnsi="Arial" w:cs="Arial"/>
        </w:rPr>
        <w:t>13.564</w:t>
      </w:r>
      <w:r w:rsidR="009A38A6">
        <w:rPr>
          <w:rFonts w:ascii="Arial" w:hAnsi="Arial" w:cs="Arial"/>
        </w:rPr>
        <w:t>)</w:t>
      </w:r>
      <w:r w:rsidRPr="00ED71E0">
        <w:rPr>
          <w:rFonts w:ascii="Arial" w:hAnsi="Arial" w:cs="Arial"/>
        </w:rPr>
        <w:t>, respectively</w:t>
      </w:r>
      <w:r w:rsidR="00655716">
        <w:rPr>
          <w:rFonts w:ascii="Arial" w:hAnsi="Arial" w:cs="Arial"/>
        </w:rPr>
        <w:t>, th</w:t>
      </w:r>
      <w:r w:rsidR="00650885">
        <w:rPr>
          <w:rFonts w:ascii="Arial" w:hAnsi="Arial" w:cs="Arial"/>
        </w:rPr>
        <w:t>e</w:t>
      </w:r>
      <w:r w:rsidR="00655716">
        <w:rPr>
          <w:rFonts w:ascii="Arial" w:hAnsi="Arial" w:cs="Arial"/>
        </w:rPr>
        <w:t>n the base period of 2010</w:t>
      </w:r>
      <w:r w:rsidRPr="00ED71E0">
        <w:rPr>
          <w:rFonts w:ascii="Arial" w:hAnsi="Arial" w:cs="Arial"/>
        </w:rPr>
        <w:t>. This implies that, on average, the GDP</w:t>
      </w:r>
      <w:r w:rsidR="009A38A6">
        <w:rPr>
          <w:rFonts w:ascii="Arial" w:hAnsi="Arial" w:cs="Arial"/>
        </w:rPr>
        <w:t>c</w:t>
      </w:r>
      <w:r w:rsidRPr="00ED71E0">
        <w:rPr>
          <w:rFonts w:ascii="Arial" w:hAnsi="Arial" w:cs="Arial"/>
        </w:rPr>
        <w:t xml:space="preserve"> </w:t>
      </w:r>
      <w:r w:rsidR="00096FF6">
        <w:rPr>
          <w:rFonts w:ascii="Arial" w:hAnsi="Arial" w:cs="Arial"/>
        </w:rPr>
        <w:t>is</w:t>
      </w:r>
      <w:r w:rsidRPr="00ED71E0">
        <w:rPr>
          <w:rFonts w:ascii="Arial" w:hAnsi="Arial" w:cs="Arial"/>
        </w:rPr>
        <w:t xml:space="preserve"> negative in the CEMAC region.</w:t>
      </w:r>
      <w:r w:rsidR="00096FF6">
        <w:rPr>
          <w:rStyle w:val="FootnoteReference"/>
          <w:rFonts w:ascii="Arial" w:hAnsi="Arial" w:cs="Arial"/>
        </w:rPr>
        <w:footnoteReference w:id="157"/>
      </w:r>
      <w:r w:rsidRPr="00ED71E0">
        <w:rPr>
          <w:rFonts w:ascii="Arial" w:hAnsi="Arial" w:cs="Arial"/>
        </w:rPr>
        <w:t xml:space="preserve"> The average REER is 24.</w:t>
      </w:r>
      <w:r w:rsidR="00657CEE">
        <w:rPr>
          <w:rFonts w:ascii="Arial" w:hAnsi="Arial" w:cs="Arial"/>
        </w:rPr>
        <w:t>3</w:t>
      </w:r>
      <w:r w:rsidRPr="00ED71E0">
        <w:rPr>
          <w:rFonts w:ascii="Arial" w:hAnsi="Arial" w:cs="Arial"/>
        </w:rPr>
        <w:t>98%</w:t>
      </w:r>
      <w:r w:rsidR="00F37881">
        <w:rPr>
          <w:rFonts w:ascii="Arial" w:hAnsi="Arial" w:cs="Arial"/>
        </w:rPr>
        <w:t xml:space="preserve"> </w:t>
      </w:r>
      <w:r w:rsidR="0063796F">
        <w:rPr>
          <w:rFonts w:ascii="Arial" w:hAnsi="Arial" w:cs="Arial"/>
        </w:rPr>
        <w:t xml:space="preserve">higher than the base period of the </w:t>
      </w:r>
      <w:r w:rsidR="00EE5122">
        <w:rPr>
          <w:rFonts w:ascii="Arial" w:hAnsi="Arial" w:cs="Arial"/>
        </w:rPr>
        <w:t>period (</w:t>
      </w:r>
      <w:r w:rsidR="0063796F">
        <w:rPr>
          <w:rFonts w:ascii="Arial" w:hAnsi="Arial" w:cs="Arial"/>
        </w:rPr>
        <w:t>year 2010</w:t>
      </w:r>
      <w:r w:rsidR="00EE5122">
        <w:rPr>
          <w:rFonts w:ascii="Arial" w:hAnsi="Arial" w:cs="Arial"/>
        </w:rPr>
        <w:t>)</w:t>
      </w:r>
      <w:r w:rsidR="0063796F">
        <w:rPr>
          <w:rFonts w:ascii="Arial" w:hAnsi="Arial" w:cs="Arial"/>
        </w:rPr>
        <w:t xml:space="preserve">. </w:t>
      </w:r>
      <w:r w:rsidR="00655716">
        <w:rPr>
          <w:rFonts w:ascii="Arial" w:hAnsi="Arial" w:cs="Arial"/>
        </w:rPr>
        <w:t>This therefore implies that averagely, the CFA franc was overvalued.</w:t>
      </w:r>
      <w:r w:rsidRPr="00ED71E0">
        <w:rPr>
          <w:rFonts w:ascii="Arial" w:hAnsi="Arial" w:cs="Arial"/>
        </w:rPr>
        <w:t xml:space="preserve"> </w:t>
      </w:r>
      <w:r w:rsidR="00655716">
        <w:rPr>
          <w:rFonts w:ascii="Arial" w:hAnsi="Arial" w:cs="Arial"/>
        </w:rPr>
        <w:t>Also, t</w:t>
      </w:r>
      <w:r w:rsidRPr="00ED71E0">
        <w:rPr>
          <w:rFonts w:ascii="Arial" w:hAnsi="Arial" w:cs="Arial"/>
        </w:rPr>
        <w:t xml:space="preserve">he minimum and maximum are </w:t>
      </w:r>
      <w:r w:rsidR="00657CEE">
        <w:rPr>
          <w:rFonts w:ascii="Arial" w:hAnsi="Arial" w:cs="Arial"/>
        </w:rPr>
        <w:t>17</w:t>
      </w:r>
      <w:r w:rsidRPr="00ED71E0">
        <w:rPr>
          <w:rFonts w:ascii="Arial" w:hAnsi="Arial" w:cs="Arial"/>
        </w:rPr>
        <w:t>.</w:t>
      </w:r>
      <w:r w:rsidR="00657CEE">
        <w:rPr>
          <w:rFonts w:ascii="Arial" w:hAnsi="Arial" w:cs="Arial"/>
        </w:rPr>
        <w:t>165</w:t>
      </w:r>
      <w:r w:rsidRPr="00ED71E0">
        <w:rPr>
          <w:rFonts w:ascii="Arial" w:hAnsi="Arial" w:cs="Arial"/>
        </w:rPr>
        <w:t xml:space="preserve">% </w:t>
      </w:r>
      <w:r w:rsidR="00655716">
        <w:rPr>
          <w:rFonts w:ascii="Arial" w:hAnsi="Arial" w:cs="Arial"/>
        </w:rPr>
        <w:t xml:space="preserve">lower </w:t>
      </w:r>
      <w:r w:rsidRPr="00ED71E0">
        <w:rPr>
          <w:rFonts w:ascii="Arial" w:hAnsi="Arial" w:cs="Arial"/>
        </w:rPr>
        <w:t xml:space="preserve">and </w:t>
      </w:r>
      <w:r w:rsidR="00657CEE">
        <w:rPr>
          <w:rFonts w:ascii="Arial" w:hAnsi="Arial" w:cs="Arial"/>
        </w:rPr>
        <w:t>1</w:t>
      </w:r>
      <w:r w:rsidRPr="00ED71E0">
        <w:rPr>
          <w:rFonts w:ascii="Arial" w:hAnsi="Arial" w:cs="Arial"/>
        </w:rPr>
        <w:t>23.648%</w:t>
      </w:r>
      <w:r w:rsidR="00657CEE">
        <w:rPr>
          <w:rFonts w:ascii="Arial" w:hAnsi="Arial" w:cs="Arial"/>
        </w:rPr>
        <w:t xml:space="preserve"> </w:t>
      </w:r>
      <w:r w:rsidR="00655716">
        <w:rPr>
          <w:rFonts w:ascii="Arial" w:hAnsi="Arial" w:cs="Arial"/>
        </w:rPr>
        <w:t>higher</w:t>
      </w:r>
      <w:r w:rsidRPr="00ED71E0">
        <w:rPr>
          <w:rFonts w:ascii="Arial" w:hAnsi="Arial" w:cs="Arial"/>
        </w:rPr>
        <w:t>, respectively</w:t>
      </w:r>
      <w:r w:rsidR="00655716">
        <w:rPr>
          <w:rFonts w:ascii="Arial" w:hAnsi="Arial" w:cs="Arial"/>
        </w:rPr>
        <w:t xml:space="preserve"> than the base period of 2010</w:t>
      </w:r>
      <w:r w:rsidRPr="00ED71E0">
        <w:rPr>
          <w:rFonts w:ascii="Arial" w:hAnsi="Arial" w:cs="Arial"/>
        </w:rPr>
        <w:t>.</w:t>
      </w:r>
      <w:r w:rsidR="00657CEE">
        <w:rPr>
          <w:rFonts w:ascii="Arial" w:hAnsi="Arial" w:cs="Arial"/>
        </w:rPr>
        <w:t xml:space="preserve"> </w:t>
      </w:r>
    </w:p>
    <w:p w14:paraId="5817BF88" w14:textId="77777777" w:rsidR="00F5412C" w:rsidRDefault="00F5412C" w:rsidP="0066301C">
      <w:pPr>
        <w:spacing w:line="360" w:lineRule="auto"/>
        <w:jc w:val="both"/>
        <w:rPr>
          <w:rFonts w:ascii="Arial" w:hAnsi="Arial" w:cs="Arial"/>
        </w:rPr>
      </w:pPr>
      <w:r>
        <w:rPr>
          <w:rFonts w:ascii="Arial" w:hAnsi="Arial" w:cs="Arial"/>
        </w:rPr>
        <w:t>The OPEN</w:t>
      </w:r>
      <w:r w:rsidRPr="004935D2">
        <w:rPr>
          <w:rFonts w:ascii="Arial" w:hAnsi="Arial" w:cs="Arial"/>
        </w:rPr>
        <w:t xml:space="preserve"> mean of 60.952 implies that, on average, the </w:t>
      </w:r>
      <w:r>
        <w:rPr>
          <w:rFonts w:ascii="Arial" w:hAnsi="Arial" w:cs="Arial"/>
        </w:rPr>
        <w:t>region</w:t>
      </w:r>
      <w:r w:rsidRPr="004935D2">
        <w:rPr>
          <w:rFonts w:ascii="Arial" w:hAnsi="Arial" w:cs="Arial"/>
        </w:rPr>
        <w:t xml:space="preserve"> is moderately open to international trade. This means that</w:t>
      </w:r>
      <w:r>
        <w:rPr>
          <w:rFonts w:ascii="Arial" w:hAnsi="Arial" w:cs="Arial"/>
        </w:rPr>
        <w:t>,</w:t>
      </w:r>
      <w:r w:rsidRPr="004935D2">
        <w:rPr>
          <w:rFonts w:ascii="Arial" w:hAnsi="Arial" w:cs="Arial"/>
        </w:rPr>
        <w:t xml:space="preserve"> the value of </w:t>
      </w:r>
      <w:r>
        <w:rPr>
          <w:rFonts w:ascii="Arial" w:hAnsi="Arial" w:cs="Arial"/>
        </w:rPr>
        <w:t>the region’s</w:t>
      </w:r>
      <w:r w:rsidRPr="004935D2">
        <w:rPr>
          <w:rFonts w:ascii="Arial" w:hAnsi="Arial" w:cs="Arial"/>
        </w:rPr>
        <w:t xml:space="preserve"> total trade (exports plus imports) </w:t>
      </w:r>
      <w:r w:rsidRPr="004935D2">
        <w:rPr>
          <w:rFonts w:ascii="Arial" w:hAnsi="Arial" w:cs="Arial"/>
        </w:rPr>
        <w:lastRenderedPageBreak/>
        <w:t>relative to its Gross Domestic Product (GDP) is moderate.</w:t>
      </w:r>
      <w:r>
        <w:rPr>
          <w:rFonts w:ascii="Arial" w:hAnsi="Arial" w:cs="Arial"/>
        </w:rPr>
        <w:t xml:space="preserve"> Thus, the region is engaged in trade activities without being excessively dependent on international trade, and at the same time not being overly protective with trade barriers (tariffs, quotas). So, the region is integrated into the global economy to a substantial level.</w:t>
      </w:r>
    </w:p>
    <w:p w14:paraId="221BAB5C" w14:textId="77777777" w:rsidR="00F5412C" w:rsidRDefault="00F5412C" w:rsidP="0066301C">
      <w:pPr>
        <w:spacing w:line="360" w:lineRule="auto"/>
        <w:jc w:val="both"/>
        <w:rPr>
          <w:rFonts w:ascii="Arial" w:hAnsi="Arial" w:cs="Arial"/>
        </w:rPr>
      </w:pPr>
      <w:r>
        <w:rPr>
          <w:rFonts w:ascii="Arial" w:hAnsi="Arial" w:cs="Arial"/>
        </w:rPr>
        <w:t>The GOVCON mean of 13.171 indicates that on average, the government consumption expenses account for 13.171% of the region’s GDP. The government consumption level relative to GDP gives insight into the size of government sector in the economy. A larger level of government consumption relative to GDP could indicate an expansionary fiscal policy, aiming at boosting demand and to support the region’s economic growth.</w:t>
      </w:r>
    </w:p>
    <w:p w14:paraId="1A89B1EE" w14:textId="77777777" w:rsidR="00F5412C" w:rsidRDefault="00F5412C" w:rsidP="0066301C">
      <w:pPr>
        <w:spacing w:line="360" w:lineRule="auto"/>
        <w:jc w:val="both"/>
        <w:rPr>
          <w:rFonts w:ascii="Arial" w:hAnsi="Arial" w:cs="Arial"/>
        </w:rPr>
      </w:pPr>
      <w:r>
        <w:rPr>
          <w:rFonts w:ascii="Arial" w:hAnsi="Arial" w:cs="Arial"/>
        </w:rPr>
        <w:t xml:space="preserve">The mean FDI ratio of 1.442 implies that on average, the FDI inflows into the CEMAC region are relatively high compared to their GDP. This signals that foreign investment performs a significant role in the region’s economy. Thus, the region benefits from foreign investment like infrastructure development, technological transfer, and job creation, which could contribute to the region’s economic growth. </w:t>
      </w:r>
    </w:p>
    <w:p w14:paraId="2F7BB235" w14:textId="77777777" w:rsidR="00F5412C" w:rsidRDefault="00F5412C" w:rsidP="0066301C">
      <w:pPr>
        <w:spacing w:line="360" w:lineRule="auto"/>
        <w:jc w:val="both"/>
        <w:rPr>
          <w:rFonts w:ascii="Arial" w:hAnsi="Arial" w:cs="Arial"/>
        </w:rPr>
      </w:pPr>
      <w:r>
        <w:rPr>
          <w:rFonts w:ascii="Arial" w:hAnsi="Arial" w:cs="Arial"/>
        </w:rPr>
        <w:t xml:space="preserve">The TOT mean of 79.412 shows that on average, the region exports prices are 79.412% of their import prices. That is the region receive less value for their exports relative to what they pay for imports (i.e., the value of their exports is lower than that of Imports). A lower-than-average TOT (less than 100) could impact the region’s economic performance as the region will have to export more volume of goods and services to finance their imports. </w:t>
      </w:r>
    </w:p>
    <w:p w14:paraId="0982E97F" w14:textId="77777777" w:rsidR="0088195F" w:rsidRPr="00ED71E0" w:rsidRDefault="0088195F" w:rsidP="0066301C">
      <w:pPr>
        <w:spacing w:line="360" w:lineRule="auto"/>
        <w:jc w:val="both"/>
        <w:rPr>
          <w:rFonts w:ascii="Arial" w:hAnsi="Arial" w:cs="Arial"/>
        </w:rPr>
      </w:pPr>
      <w:r w:rsidRPr="00ED71E0">
        <w:rPr>
          <w:rFonts w:ascii="Arial" w:hAnsi="Arial" w:cs="Arial"/>
        </w:rPr>
        <w:t>We now proceed to analyse the data of the three CEMAC nations to establish if REER devaluation has an impact on their economic growth. We begin by performing some diagnostic tests, as seen below. </w:t>
      </w:r>
    </w:p>
    <w:p w14:paraId="4393F00C" w14:textId="6A8AB7B0" w:rsidR="00402561" w:rsidRPr="0034077E" w:rsidRDefault="00BB27B9" w:rsidP="0066301C">
      <w:pPr>
        <w:pStyle w:val="Heading3"/>
        <w:numPr>
          <w:ilvl w:val="0"/>
          <w:numId w:val="0"/>
        </w:numPr>
        <w:spacing w:before="0" w:beforeAutospacing="0"/>
        <w:rPr>
          <w:lang w:val="en-US" w:eastAsia="en-GB"/>
        </w:rPr>
      </w:pPr>
      <w:bookmarkStart w:id="511" w:name="_Toc171075437"/>
      <w:r>
        <w:rPr>
          <w:lang w:val="en-US" w:eastAsia="en-GB"/>
        </w:rPr>
        <w:t>5</w:t>
      </w:r>
      <w:r w:rsidR="00402561" w:rsidRPr="0034077E">
        <w:rPr>
          <w:lang w:val="en-US" w:eastAsia="en-GB"/>
        </w:rPr>
        <w:t>.</w:t>
      </w:r>
      <w:r w:rsidR="003F2B25">
        <w:rPr>
          <w:lang w:val="en-US" w:eastAsia="en-GB"/>
        </w:rPr>
        <w:t>5</w:t>
      </w:r>
      <w:r w:rsidR="00402561" w:rsidRPr="0034077E">
        <w:rPr>
          <w:lang w:val="en-US" w:eastAsia="en-GB"/>
        </w:rPr>
        <w:t>.1</w:t>
      </w:r>
      <w:r w:rsidR="00154423">
        <w:rPr>
          <w:lang w:val="en-US" w:eastAsia="en-GB"/>
        </w:rPr>
        <w:tab/>
      </w:r>
      <w:r w:rsidR="00402561" w:rsidRPr="0034077E">
        <w:rPr>
          <w:lang w:val="en-US" w:eastAsia="en-GB"/>
        </w:rPr>
        <w:t>DIAGNOSTIC TEST RESULTS</w:t>
      </w:r>
      <w:bookmarkEnd w:id="511"/>
    </w:p>
    <w:p w14:paraId="3A49430D" w14:textId="77777777" w:rsidR="001B21D5" w:rsidRDefault="003630F0" w:rsidP="0066301C">
      <w:pPr>
        <w:spacing w:after="0" w:line="360" w:lineRule="auto"/>
        <w:jc w:val="both"/>
        <w:rPr>
          <w:rFonts w:ascii="Arial" w:eastAsia="Times New Roman" w:hAnsi="Arial" w:cs="Arial"/>
          <w:lang w:val="en-US" w:eastAsia="en-GB"/>
        </w:rPr>
      </w:pPr>
      <w:bookmarkStart w:id="512" w:name="_Hlk170841106"/>
      <w:bookmarkEnd w:id="510"/>
      <w:r>
        <w:rPr>
          <w:rFonts w:ascii="Arial" w:eastAsia="Times New Roman" w:hAnsi="Arial" w:cs="Arial"/>
          <w:lang w:val="en-US" w:eastAsia="en-GB"/>
        </w:rPr>
        <w:t>The cross-section dependency test was performed to check if the study did not produce spurio</w:t>
      </w:r>
      <w:r w:rsidR="00D95129">
        <w:rPr>
          <w:rFonts w:ascii="Arial" w:eastAsia="Times New Roman" w:hAnsi="Arial" w:cs="Arial"/>
          <w:lang w:val="en-US" w:eastAsia="en-GB"/>
        </w:rPr>
        <w:t>u</w:t>
      </w:r>
      <w:r>
        <w:rPr>
          <w:rFonts w:ascii="Arial" w:eastAsia="Times New Roman" w:hAnsi="Arial" w:cs="Arial"/>
          <w:lang w:val="en-US" w:eastAsia="en-GB"/>
        </w:rPr>
        <w:t>s results. The test also examines the presence of serial correlation. The diagnostic tests employed in this section were the Breusch-Pagan Chi-Square, Pe</w:t>
      </w:r>
      <w:r w:rsidR="00D95129">
        <w:rPr>
          <w:rFonts w:ascii="Arial" w:eastAsia="Times New Roman" w:hAnsi="Arial" w:cs="Arial"/>
          <w:lang w:val="en-US" w:eastAsia="en-GB"/>
        </w:rPr>
        <w:t>arson LM normal</w:t>
      </w:r>
      <w:r w:rsidR="00EC23C8">
        <w:rPr>
          <w:rFonts w:ascii="Arial" w:eastAsia="Times New Roman" w:hAnsi="Arial" w:cs="Arial"/>
          <w:lang w:val="en-US" w:eastAsia="en-GB"/>
        </w:rPr>
        <w:t>,</w:t>
      </w:r>
      <w:r w:rsidR="00D95129">
        <w:rPr>
          <w:rFonts w:ascii="Arial" w:eastAsia="Times New Roman" w:hAnsi="Arial" w:cs="Arial"/>
          <w:lang w:val="en-US" w:eastAsia="en-GB"/>
        </w:rPr>
        <w:t xml:space="preserve"> and the Pearson CD test. The results of all the diagnostics tests in</w:t>
      </w:r>
      <w:r w:rsidR="001A5AFA">
        <w:rPr>
          <w:rFonts w:ascii="Arial" w:eastAsia="Times New Roman" w:hAnsi="Arial" w:cs="Arial"/>
          <w:lang w:val="en-US" w:eastAsia="en-GB"/>
        </w:rPr>
        <w:t xml:space="preserve"> the</w:t>
      </w:r>
      <w:r w:rsidR="00D95129">
        <w:rPr>
          <w:rFonts w:ascii="Arial" w:eastAsia="Times New Roman" w:hAnsi="Arial" w:cs="Arial"/>
          <w:lang w:val="en-US" w:eastAsia="en-GB"/>
        </w:rPr>
        <w:t xml:space="preserve"> table below show that th</w:t>
      </w:r>
      <w:r w:rsidR="001A5AFA">
        <w:rPr>
          <w:rFonts w:ascii="Arial" w:eastAsia="Times New Roman" w:hAnsi="Arial" w:cs="Arial"/>
          <w:lang w:val="en-US" w:eastAsia="en-GB"/>
        </w:rPr>
        <w:t>e model is stable</w:t>
      </w:r>
      <w:r w:rsidR="001A5AFA" w:rsidRPr="7A6FEEC2">
        <w:rPr>
          <w:rFonts w:ascii="Arial" w:eastAsia="Times New Roman" w:hAnsi="Arial" w:cs="Arial"/>
          <w:lang w:val="en-US" w:eastAsia="en-GB"/>
        </w:rPr>
        <w:t xml:space="preserve"> </w:t>
      </w:r>
      <w:r w:rsidR="73A5117E" w:rsidRPr="7A6FEEC2">
        <w:rPr>
          <w:rFonts w:ascii="Arial" w:eastAsia="Times New Roman" w:hAnsi="Arial" w:cs="Arial"/>
          <w:lang w:val="en-US" w:eastAsia="en-GB"/>
        </w:rPr>
        <w:t xml:space="preserve">(with no </w:t>
      </w:r>
      <w:r w:rsidR="001A5AFA" w:rsidRPr="7A6FEEC2">
        <w:rPr>
          <w:rFonts w:ascii="Arial" w:eastAsia="Times New Roman" w:hAnsi="Arial" w:cs="Arial"/>
          <w:lang w:val="en-US" w:eastAsia="en-GB"/>
        </w:rPr>
        <w:t>spurious</w:t>
      </w:r>
      <w:r w:rsidR="001A5AFA">
        <w:rPr>
          <w:rFonts w:ascii="Arial" w:eastAsia="Times New Roman" w:hAnsi="Arial" w:cs="Arial"/>
          <w:lang w:val="en-US" w:eastAsia="en-GB"/>
        </w:rPr>
        <w:t xml:space="preserve"> results as the p-value &gt; 0.05</w:t>
      </w:r>
      <w:r w:rsidR="7768038D" w:rsidRPr="7A6FEEC2">
        <w:rPr>
          <w:rFonts w:ascii="Arial" w:eastAsia="Times New Roman" w:hAnsi="Arial" w:cs="Arial"/>
          <w:lang w:val="en-US" w:eastAsia="en-GB"/>
        </w:rPr>
        <w:t>)</w:t>
      </w:r>
      <w:r w:rsidR="001A5AFA" w:rsidRPr="7A6FEEC2">
        <w:rPr>
          <w:rFonts w:ascii="Arial" w:eastAsia="Times New Roman" w:hAnsi="Arial" w:cs="Arial"/>
          <w:lang w:val="en-US" w:eastAsia="en-GB"/>
        </w:rPr>
        <w:t>.</w:t>
      </w:r>
      <w:r w:rsidR="001A5AFA">
        <w:rPr>
          <w:rFonts w:ascii="Arial" w:eastAsia="Times New Roman" w:hAnsi="Arial" w:cs="Arial"/>
          <w:lang w:val="en-US" w:eastAsia="en-GB"/>
        </w:rPr>
        <w:t xml:space="preserve"> </w:t>
      </w:r>
      <w:r w:rsidR="001A5AFA" w:rsidRPr="00876F6F">
        <w:rPr>
          <w:rFonts w:ascii="Arial" w:hAnsi="Arial" w:cs="Arial"/>
        </w:rPr>
        <w:t>T</w:t>
      </w:r>
      <w:r w:rsidR="001A5AFA">
        <w:rPr>
          <w:rFonts w:ascii="Arial" w:hAnsi="Arial" w:cs="Arial"/>
        </w:rPr>
        <w:t>his means that the model is</w:t>
      </w:r>
      <w:r w:rsidR="001A5AFA" w:rsidRPr="00876F6F">
        <w:rPr>
          <w:rFonts w:ascii="Arial" w:hAnsi="Arial" w:cs="Arial"/>
        </w:rPr>
        <w:t xml:space="preserve"> very good to be use</w:t>
      </w:r>
      <w:r w:rsidR="001517EB">
        <w:rPr>
          <w:rFonts w:ascii="Arial" w:hAnsi="Arial" w:cs="Arial"/>
        </w:rPr>
        <w:t>d</w:t>
      </w:r>
      <w:r w:rsidR="001A5AFA" w:rsidRPr="00876F6F">
        <w:rPr>
          <w:rFonts w:ascii="Arial" w:hAnsi="Arial" w:cs="Arial"/>
        </w:rPr>
        <w:t xml:space="preserve"> in this research</w:t>
      </w:r>
      <w:r w:rsidR="195FB19F" w:rsidRPr="7A6FEEC2">
        <w:rPr>
          <w:rFonts w:ascii="Arial" w:hAnsi="Arial" w:cs="Arial"/>
        </w:rPr>
        <w:t>.</w:t>
      </w:r>
      <w:r w:rsidR="001A5AFA">
        <w:rPr>
          <w:rFonts w:ascii="Arial" w:eastAsia="Times New Roman" w:hAnsi="Arial" w:cs="Arial"/>
          <w:lang w:val="en-US" w:eastAsia="en-GB"/>
        </w:rPr>
        <w:t xml:space="preserve"> Thus, we could proceed to perform unit root test. </w:t>
      </w:r>
    </w:p>
    <w:p w14:paraId="6899273F" w14:textId="49A0D647" w:rsidR="003630F0" w:rsidRPr="009038E1" w:rsidRDefault="003630F0" w:rsidP="0066301C">
      <w:pPr>
        <w:spacing w:after="0" w:line="360" w:lineRule="auto"/>
        <w:jc w:val="both"/>
        <w:rPr>
          <w:rFonts w:ascii="Arial" w:hAnsi="Arial" w:cs="Arial"/>
          <w:b/>
          <w:bCs/>
        </w:rPr>
      </w:pPr>
      <w:r w:rsidRPr="004A5B7E">
        <w:rPr>
          <w:rFonts w:ascii="Arial" w:hAnsi="Arial" w:cs="Arial"/>
          <w:b/>
          <w:bCs/>
        </w:rPr>
        <w:t xml:space="preserve">Table </w:t>
      </w:r>
      <w:r w:rsidR="004A5B7E" w:rsidRPr="004A5B7E">
        <w:rPr>
          <w:rFonts w:ascii="Arial" w:hAnsi="Arial" w:cs="Arial"/>
          <w:b/>
          <w:bCs/>
        </w:rPr>
        <w:t>5</w:t>
      </w:r>
      <w:r w:rsidRPr="004A5B7E">
        <w:rPr>
          <w:rFonts w:ascii="Arial" w:hAnsi="Arial" w:cs="Arial"/>
          <w:b/>
          <w:bCs/>
        </w:rPr>
        <w:t>.</w:t>
      </w:r>
      <w:r w:rsidR="006E7367" w:rsidRPr="004A5B7E">
        <w:rPr>
          <w:rFonts w:ascii="Arial" w:hAnsi="Arial" w:cs="Arial"/>
          <w:b/>
          <w:bCs/>
        </w:rPr>
        <w:t>2</w:t>
      </w:r>
      <w:r w:rsidRPr="004A5B7E">
        <w:rPr>
          <w:rFonts w:ascii="Arial" w:hAnsi="Arial" w:cs="Arial"/>
          <w:b/>
          <w:bCs/>
        </w:rPr>
        <w:t>: Cross-sectional Dependency Results</w:t>
      </w:r>
    </w:p>
    <w:tbl>
      <w:tblPr>
        <w:tblStyle w:val="TableGrid"/>
        <w:tblW w:w="0" w:type="auto"/>
        <w:tblLook w:val="04A0" w:firstRow="1" w:lastRow="0" w:firstColumn="1" w:lastColumn="0" w:noHBand="0" w:noVBand="1"/>
      </w:tblPr>
      <w:tblGrid>
        <w:gridCol w:w="3312"/>
        <w:gridCol w:w="2764"/>
      </w:tblGrid>
      <w:tr w:rsidR="001A5AFA" w14:paraId="36AD4277" w14:textId="77777777" w:rsidTr="001A5AFA">
        <w:trPr>
          <w:trHeight w:val="385"/>
        </w:trPr>
        <w:tc>
          <w:tcPr>
            <w:tcW w:w="3312" w:type="dxa"/>
          </w:tcPr>
          <w:p w14:paraId="56839711" w14:textId="77777777" w:rsidR="001A5AFA" w:rsidRPr="009038E1" w:rsidRDefault="001A5AFA" w:rsidP="0066301C">
            <w:pPr>
              <w:jc w:val="center"/>
              <w:rPr>
                <w:rFonts w:ascii="Arial" w:hAnsi="Arial" w:cs="Arial"/>
                <w:b/>
                <w:bCs/>
              </w:rPr>
            </w:pPr>
            <w:r w:rsidRPr="009038E1">
              <w:rPr>
                <w:rFonts w:ascii="Arial" w:hAnsi="Arial" w:cs="Arial"/>
                <w:b/>
                <w:bCs/>
              </w:rPr>
              <w:t>Test</w:t>
            </w:r>
          </w:p>
        </w:tc>
        <w:tc>
          <w:tcPr>
            <w:tcW w:w="2764" w:type="dxa"/>
          </w:tcPr>
          <w:p w14:paraId="79225F41" w14:textId="77777777" w:rsidR="001A5AFA" w:rsidRPr="009038E1" w:rsidRDefault="001A5AFA" w:rsidP="0066301C">
            <w:pPr>
              <w:jc w:val="center"/>
              <w:rPr>
                <w:rFonts w:ascii="Arial" w:hAnsi="Arial" w:cs="Arial"/>
                <w:b/>
                <w:bCs/>
              </w:rPr>
            </w:pPr>
            <w:r w:rsidRPr="009038E1">
              <w:rPr>
                <w:rFonts w:ascii="Arial" w:hAnsi="Arial" w:cs="Arial"/>
                <w:b/>
                <w:bCs/>
              </w:rPr>
              <w:t>Probability</w:t>
            </w:r>
          </w:p>
        </w:tc>
      </w:tr>
      <w:tr w:rsidR="001A5AFA" w14:paraId="289922A6" w14:textId="77777777" w:rsidTr="001A5AFA">
        <w:trPr>
          <w:trHeight w:val="412"/>
        </w:trPr>
        <w:tc>
          <w:tcPr>
            <w:tcW w:w="3312" w:type="dxa"/>
          </w:tcPr>
          <w:p w14:paraId="2FDBA0D4" w14:textId="77777777" w:rsidR="001A5AFA" w:rsidRPr="009038E1" w:rsidRDefault="001A5AFA" w:rsidP="0066301C">
            <w:pPr>
              <w:rPr>
                <w:rFonts w:ascii="Arial" w:hAnsi="Arial" w:cs="Arial"/>
              </w:rPr>
            </w:pPr>
            <w:r w:rsidRPr="009038E1">
              <w:rPr>
                <w:rFonts w:ascii="Arial" w:hAnsi="Arial" w:cs="Arial"/>
              </w:rPr>
              <w:t>Breusch-Pagan LM</w:t>
            </w:r>
          </w:p>
        </w:tc>
        <w:tc>
          <w:tcPr>
            <w:tcW w:w="2764" w:type="dxa"/>
          </w:tcPr>
          <w:p w14:paraId="314B1609" w14:textId="77777777" w:rsidR="001A5AFA" w:rsidRPr="009038E1" w:rsidRDefault="001A5AFA" w:rsidP="0066301C">
            <w:pPr>
              <w:jc w:val="center"/>
              <w:rPr>
                <w:rFonts w:ascii="Arial" w:hAnsi="Arial" w:cs="Arial"/>
              </w:rPr>
            </w:pPr>
            <w:r w:rsidRPr="009038E1">
              <w:rPr>
                <w:rFonts w:ascii="Arial" w:hAnsi="Arial" w:cs="Arial"/>
              </w:rPr>
              <w:t>0.9007</w:t>
            </w:r>
          </w:p>
        </w:tc>
      </w:tr>
      <w:tr w:rsidR="001A5AFA" w14:paraId="3A654C57" w14:textId="77777777" w:rsidTr="001A5AFA">
        <w:trPr>
          <w:trHeight w:val="385"/>
        </w:trPr>
        <w:tc>
          <w:tcPr>
            <w:tcW w:w="3312" w:type="dxa"/>
          </w:tcPr>
          <w:p w14:paraId="15D309CE" w14:textId="77777777" w:rsidR="001A5AFA" w:rsidRPr="009038E1" w:rsidRDefault="001A5AFA" w:rsidP="0066301C">
            <w:pPr>
              <w:rPr>
                <w:rFonts w:ascii="Arial" w:hAnsi="Arial" w:cs="Arial"/>
              </w:rPr>
            </w:pPr>
            <w:r w:rsidRPr="009038E1">
              <w:rPr>
                <w:rFonts w:ascii="Arial" w:hAnsi="Arial" w:cs="Arial"/>
              </w:rPr>
              <w:t>Pesaran scaled LM</w:t>
            </w:r>
          </w:p>
        </w:tc>
        <w:tc>
          <w:tcPr>
            <w:tcW w:w="2764" w:type="dxa"/>
          </w:tcPr>
          <w:p w14:paraId="1D149A04" w14:textId="77777777" w:rsidR="001A5AFA" w:rsidRPr="009038E1" w:rsidRDefault="001A5AFA" w:rsidP="0066301C">
            <w:pPr>
              <w:jc w:val="center"/>
              <w:rPr>
                <w:rFonts w:ascii="Arial" w:hAnsi="Arial" w:cs="Arial"/>
              </w:rPr>
            </w:pPr>
            <w:r w:rsidRPr="009038E1">
              <w:rPr>
                <w:rFonts w:ascii="Arial" w:hAnsi="Arial" w:cs="Arial"/>
              </w:rPr>
              <w:t>0.3234</w:t>
            </w:r>
          </w:p>
        </w:tc>
      </w:tr>
      <w:tr w:rsidR="001A5AFA" w14:paraId="5085080D" w14:textId="77777777" w:rsidTr="001A5AFA">
        <w:trPr>
          <w:trHeight w:val="385"/>
        </w:trPr>
        <w:tc>
          <w:tcPr>
            <w:tcW w:w="3312" w:type="dxa"/>
          </w:tcPr>
          <w:p w14:paraId="5B2E8AFB" w14:textId="77777777" w:rsidR="001A5AFA" w:rsidRPr="009038E1" w:rsidRDefault="001A5AFA" w:rsidP="0066301C">
            <w:pPr>
              <w:rPr>
                <w:rFonts w:ascii="Arial" w:hAnsi="Arial" w:cs="Arial"/>
              </w:rPr>
            </w:pPr>
            <w:r w:rsidRPr="009038E1">
              <w:rPr>
                <w:rFonts w:ascii="Arial" w:hAnsi="Arial" w:cs="Arial"/>
              </w:rPr>
              <w:t>Pesaran CD</w:t>
            </w:r>
          </w:p>
        </w:tc>
        <w:tc>
          <w:tcPr>
            <w:tcW w:w="2764" w:type="dxa"/>
          </w:tcPr>
          <w:p w14:paraId="67D77A8B" w14:textId="77777777" w:rsidR="001A5AFA" w:rsidRPr="009038E1" w:rsidRDefault="001A5AFA" w:rsidP="0066301C">
            <w:pPr>
              <w:jc w:val="center"/>
              <w:rPr>
                <w:rFonts w:ascii="Arial" w:hAnsi="Arial" w:cs="Arial"/>
              </w:rPr>
            </w:pPr>
            <w:r w:rsidRPr="009038E1">
              <w:rPr>
                <w:rFonts w:ascii="Arial" w:hAnsi="Arial" w:cs="Arial"/>
              </w:rPr>
              <w:t>0.8986</w:t>
            </w:r>
          </w:p>
        </w:tc>
      </w:tr>
    </w:tbl>
    <w:p w14:paraId="1A92C799" w14:textId="739FB229" w:rsidR="003630F0" w:rsidRPr="00D75CF4" w:rsidRDefault="003630F0" w:rsidP="0066301C">
      <w:pPr>
        <w:autoSpaceDE w:val="0"/>
        <w:autoSpaceDN w:val="0"/>
        <w:adjustRightInd w:val="0"/>
        <w:spacing w:after="0"/>
        <w:rPr>
          <w:rFonts w:ascii="Arial" w:hAnsi="Arial" w:cs="Arial"/>
          <w:sz w:val="20"/>
          <w:szCs w:val="20"/>
        </w:rPr>
      </w:pPr>
      <w:r w:rsidRPr="00D75CF4">
        <w:rPr>
          <w:rFonts w:ascii="Arial" w:hAnsi="Arial" w:cs="Arial"/>
          <w:i/>
          <w:sz w:val="20"/>
          <w:szCs w:val="20"/>
        </w:rPr>
        <w:lastRenderedPageBreak/>
        <w:t xml:space="preserve">Source: </w:t>
      </w:r>
      <w:r w:rsidRPr="00D75CF4">
        <w:rPr>
          <w:rFonts w:ascii="Arial" w:hAnsi="Arial" w:cs="Arial"/>
          <w:sz w:val="20"/>
          <w:szCs w:val="20"/>
        </w:rPr>
        <w:t>Computation from using E</w:t>
      </w:r>
      <w:r>
        <w:rPr>
          <w:rFonts w:ascii="Arial" w:hAnsi="Arial" w:cs="Arial"/>
          <w:sz w:val="20"/>
          <w:szCs w:val="20"/>
        </w:rPr>
        <w:t>V</w:t>
      </w:r>
      <w:r w:rsidRPr="00D75CF4">
        <w:rPr>
          <w:rFonts w:ascii="Arial" w:hAnsi="Arial" w:cs="Arial"/>
          <w:sz w:val="20"/>
          <w:szCs w:val="20"/>
        </w:rPr>
        <w:t>iews 1</w:t>
      </w:r>
      <w:r>
        <w:rPr>
          <w:rFonts w:ascii="Arial" w:hAnsi="Arial" w:cs="Arial"/>
          <w:sz w:val="20"/>
          <w:szCs w:val="20"/>
        </w:rPr>
        <w:t>2</w:t>
      </w:r>
    </w:p>
    <w:p w14:paraId="14CB63D3" w14:textId="66E7654E" w:rsidR="00402561" w:rsidRPr="008204CC" w:rsidRDefault="005C13FA" w:rsidP="0066301C">
      <w:pPr>
        <w:pStyle w:val="Heading3"/>
        <w:numPr>
          <w:ilvl w:val="0"/>
          <w:numId w:val="0"/>
        </w:numPr>
        <w:spacing w:before="0" w:beforeAutospacing="0"/>
        <w:rPr>
          <w:lang w:val="en-US" w:eastAsia="en-GB"/>
        </w:rPr>
      </w:pPr>
      <w:bookmarkStart w:id="513" w:name="_Toc171075438"/>
      <w:r>
        <w:rPr>
          <w:lang w:val="en-US" w:eastAsia="en-GB"/>
        </w:rPr>
        <w:t>5</w:t>
      </w:r>
      <w:r w:rsidR="00BA0258">
        <w:rPr>
          <w:lang w:val="en-US" w:eastAsia="en-GB"/>
        </w:rPr>
        <w:t>.</w:t>
      </w:r>
      <w:r w:rsidR="003F2B25">
        <w:rPr>
          <w:lang w:val="en-US" w:eastAsia="en-GB"/>
        </w:rPr>
        <w:t>5</w:t>
      </w:r>
      <w:r>
        <w:rPr>
          <w:lang w:val="en-US" w:eastAsia="en-GB"/>
        </w:rPr>
        <w:t>.2</w:t>
      </w:r>
      <w:r>
        <w:rPr>
          <w:lang w:val="en-US" w:eastAsia="en-GB"/>
        </w:rPr>
        <w:tab/>
      </w:r>
      <w:r w:rsidR="00402561" w:rsidRPr="008204CC">
        <w:rPr>
          <w:lang w:val="en-US" w:eastAsia="en-GB"/>
        </w:rPr>
        <w:t xml:space="preserve">UNIT </w:t>
      </w:r>
      <w:r w:rsidR="00402561" w:rsidRPr="005C13FA">
        <w:t>ROOT</w:t>
      </w:r>
      <w:r w:rsidR="00402561" w:rsidRPr="008204CC">
        <w:rPr>
          <w:lang w:val="en-US" w:eastAsia="en-GB"/>
        </w:rPr>
        <w:t xml:space="preserve"> TEST</w:t>
      </w:r>
      <w:bookmarkEnd w:id="513"/>
      <w:r w:rsidR="00402561" w:rsidRPr="008204CC">
        <w:rPr>
          <w:lang w:val="en-US" w:eastAsia="en-GB"/>
        </w:rPr>
        <w:t xml:space="preserve"> </w:t>
      </w:r>
    </w:p>
    <w:bookmarkEnd w:id="512"/>
    <w:p w14:paraId="5E693929" w14:textId="39F03CE8" w:rsidR="0039027C" w:rsidRPr="000A66B6" w:rsidRDefault="004C0A3B" w:rsidP="0066301C">
      <w:pPr>
        <w:spacing w:line="360" w:lineRule="auto"/>
        <w:jc w:val="both"/>
        <w:rPr>
          <w:rFonts w:ascii="Arial" w:hAnsi="Arial" w:cs="Arial"/>
        </w:rPr>
      </w:pPr>
      <w:r>
        <w:rPr>
          <w:rFonts w:ascii="Arial" w:hAnsi="Arial" w:cs="Arial"/>
        </w:rPr>
        <w:t xml:space="preserve">The results of the unit roots tests </w:t>
      </w:r>
      <w:r w:rsidRPr="00772D94">
        <w:rPr>
          <w:rFonts w:ascii="Arial" w:hAnsi="Arial" w:cs="Arial"/>
        </w:rPr>
        <w:t xml:space="preserve">(table </w:t>
      </w:r>
      <w:r w:rsidR="00A457D9" w:rsidRPr="00772D94">
        <w:rPr>
          <w:rFonts w:ascii="Arial" w:hAnsi="Arial" w:cs="Arial"/>
        </w:rPr>
        <w:t>5</w:t>
      </w:r>
      <w:r w:rsidRPr="00772D94">
        <w:rPr>
          <w:rFonts w:ascii="Arial" w:hAnsi="Arial" w:cs="Arial"/>
        </w:rPr>
        <w:t>.</w:t>
      </w:r>
      <w:r w:rsidR="006E7367" w:rsidRPr="00772D94">
        <w:rPr>
          <w:rFonts w:ascii="Arial" w:hAnsi="Arial" w:cs="Arial"/>
        </w:rPr>
        <w:t>3</w:t>
      </w:r>
      <w:r w:rsidRPr="00772D94">
        <w:rPr>
          <w:rFonts w:ascii="Arial" w:hAnsi="Arial" w:cs="Arial"/>
        </w:rPr>
        <w:t xml:space="preserve"> in the appendix)</w:t>
      </w:r>
      <w:r w:rsidR="000D322D">
        <w:rPr>
          <w:rFonts w:ascii="Arial" w:hAnsi="Arial" w:cs="Arial"/>
        </w:rPr>
        <w:t xml:space="preserve"> show that the </w:t>
      </w:r>
      <w:r w:rsidR="000D322D" w:rsidRPr="57585719">
        <w:rPr>
          <w:rFonts w:ascii="Arial" w:hAnsi="Arial" w:cs="Arial"/>
          <w:i/>
          <w:iCs/>
        </w:rPr>
        <w:t>p-</w:t>
      </w:r>
      <w:r w:rsidR="000D322D">
        <w:rPr>
          <w:rFonts w:ascii="Arial" w:hAnsi="Arial" w:cs="Arial"/>
        </w:rPr>
        <w:t>value of GDP is less than 0.05, indicating that the null hypothesis for non-stationarity is rejected at a 0.05 significance level.</w:t>
      </w:r>
      <w:r w:rsidR="0039027C">
        <w:rPr>
          <w:rStyle w:val="FootnoteReference"/>
          <w:rFonts w:ascii="Arial" w:hAnsi="Arial" w:cs="Arial"/>
        </w:rPr>
        <w:footnoteReference w:id="158"/>
      </w:r>
      <w:r w:rsidR="000D322D">
        <w:rPr>
          <w:rFonts w:ascii="Arial" w:hAnsi="Arial" w:cs="Arial"/>
        </w:rPr>
        <w:t xml:space="preserve"> </w:t>
      </w:r>
      <w:r w:rsidR="29EA66BB">
        <w:rPr>
          <w:rFonts w:ascii="Arial" w:hAnsi="Arial" w:cs="Arial"/>
        </w:rPr>
        <w:t>E</w:t>
      </w:r>
      <w:r w:rsidR="00BB2FCE">
        <w:rPr>
          <w:rFonts w:ascii="Arial" w:hAnsi="Arial" w:cs="Arial"/>
        </w:rPr>
        <w:t xml:space="preserve">conomic growth is </w:t>
      </w:r>
      <w:r w:rsidR="5B21536B">
        <w:rPr>
          <w:rFonts w:ascii="Arial" w:hAnsi="Arial" w:cs="Arial"/>
        </w:rPr>
        <w:t xml:space="preserve">stationary at level (i.e., </w:t>
      </w:r>
      <w:r w:rsidR="00BB2FCE">
        <w:rPr>
          <w:rFonts w:ascii="Arial" w:hAnsi="Arial" w:cs="Arial"/>
        </w:rPr>
        <w:t xml:space="preserve">integrated of order </w:t>
      </w:r>
      <w:r w:rsidR="42A3B82A">
        <w:rPr>
          <w:rFonts w:ascii="Arial" w:hAnsi="Arial" w:cs="Arial"/>
        </w:rPr>
        <w:t xml:space="preserve">zero - </w:t>
      </w:r>
      <w:r w:rsidR="00BB2FCE" w:rsidRPr="57585719">
        <w:rPr>
          <w:rFonts w:ascii="Arial" w:hAnsi="Arial" w:cs="Arial"/>
          <w:b/>
          <w:bCs/>
          <w:i/>
          <w:iCs/>
        </w:rPr>
        <w:t>I</w:t>
      </w:r>
      <w:r w:rsidR="00BB2FCE" w:rsidRPr="00BB2FCE">
        <w:rPr>
          <w:rFonts w:ascii="Arial" w:hAnsi="Arial" w:cs="Arial"/>
          <w:b/>
          <w:bCs/>
        </w:rPr>
        <w:t>(0)</w:t>
      </w:r>
      <w:r w:rsidR="009F1F06" w:rsidRPr="009F1F06">
        <w:rPr>
          <w:rFonts w:ascii="Arial" w:hAnsi="Arial" w:cs="Arial"/>
        </w:rPr>
        <w:t>)</w:t>
      </w:r>
      <w:r w:rsidR="00BB2FCE">
        <w:rPr>
          <w:rFonts w:ascii="Arial" w:hAnsi="Arial" w:cs="Arial"/>
          <w:b/>
          <w:bCs/>
        </w:rPr>
        <w:t xml:space="preserve">. </w:t>
      </w:r>
      <w:r w:rsidR="009D3BFA" w:rsidRPr="470B0EF0">
        <w:rPr>
          <w:rFonts w:ascii="Arial" w:hAnsi="Arial" w:cs="Arial"/>
        </w:rPr>
        <w:t>T</w:t>
      </w:r>
      <w:r w:rsidR="00BB2FCE">
        <w:rPr>
          <w:rFonts w:ascii="Arial" w:hAnsi="Arial" w:cs="Arial"/>
        </w:rPr>
        <w:t xml:space="preserve">he other variables </w:t>
      </w:r>
      <w:r w:rsidR="009D3BFA">
        <w:rPr>
          <w:rFonts w:ascii="Arial" w:hAnsi="Arial" w:cs="Arial"/>
        </w:rPr>
        <w:t>are</w:t>
      </w:r>
      <w:r w:rsidR="00BB2FCE">
        <w:rPr>
          <w:rFonts w:ascii="Arial" w:hAnsi="Arial" w:cs="Arial"/>
        </w:rPr>
        <w:t xml:space="preserve"> not stationary at level, </w:t>
      </w:r>
      <w:r w:rsidR="009D3BFA">
        <w:rPr>
          <w:rFonts w:ascii="Arial" w:hAnsi="Arial" w:cs="Arial"/>
        </w:rPr>
        <w:t>so we performed</w:t>
      </w:r>
      <w:r w:rsidR="00BB2FCE">
        <w:rPr>
          <w:rFonts w:ascii="Arial" w:hAnsi="Arial" w:cs="Arial"/>
        </w:rPr>
        <w:t xml:space="preserve"> first difference. </w:t>
      </w:r>
      <w:bookmarkStart w:id="514" w:name="_Hlk170933653"/>
      <w:r w:rsidR="00BB2FCE">
        <w:rPr>
          <w:rFonts w:ascii="Arial" w:hAnsi="Arial" w:cs="Arial"/>
        </w:rPr>
        <w:t>The results from the first difference shows that all the</w:t>
      </w:r>
      <w:r w:rsidR="009F1F06">
        <w:rPr>
          <w:rFonts w:ascii="Arial" w:hAnsi="Arial" w:cs="Arial"/>
        </w:rPr>
        <w:t xml:space="preserve"> variables </w:t>
      </w:r>
      <w:r w:rsidR="009D3BFA">
        <w:rPr>
          <w:rFonts w:ascii="Arial" w:hAnsi="Arial" w:cs="Arial"/>
        </w:rPr>
        <w:t>are stationary at</w:t>
      </w:r>
      <w:r w:rsidR="009F1F06">
        <w:rPr>
          <w:rFonts w:ascii="Arial" w:hAnsi="Arial" w:cs="Arial"/>
        </w:rPr>
        <w:t xml:space="preserve"> </w:t>
      </w:r>
      <w:r w:rsidR="009F1F06" w:rsidRPr="57585719">
        <w:rPr>
          <w:rFonts w:ascii="Arial" w:hAnsi="Arial" w:cs="Arial"/>
          <w:b/>
          <w:bCs/>
          <w:i/>
          <w:iCs/>
        </w:rPr>
        <w:t>I</w:t>
      </w:r>
      <w:r w:rsidR="009F1F06">
        <w:rPr>
          <w:rFonts w:ascii="Arial" w:hAnsi="Arial" w:cs="Arial"/>
          <w:b/>
          <w:bCs/>
        </w:rPr>
        <w:t>(1)</w:t>
      </w:r>
      <w:r w:rsidR="009F1F06">
        <w:rPr>
          <w:rFonts w:ascii="Arial" w:hAnsi="Arial" w:cs="Arial"/>
        </w:rPr>
        <w:t xml:space="preserve">, as their </w:t>
      </w:r>
      <w:r w:rsidR="009F1F06" w:rsidRPr="57585719">
        <w:rPr>
          <w:rFonts w:ascii="Arial" w:hAnsi="Arial" w:cs="Arial"/>
          <w:i/>
          <w:iCs/>
        </w:rPr>
        <w:t>p-</w:t>
      </w:r>
      <w:r w:rsidR="009F1F06">
        <w:rPr>
          <w:rFonts w:ascii="Arial" w:hAnsi="Arial" w:cs="Arial"/>
        </w:rPr>
        <w:t>values &lt; 0.05. The results of the panel unit root tests</w:t>
      </w:r>
      <w:r w:rsidR="00340DD8">
        <w:rPr>
          <w:rFonts w:ascii="Arial" w:hAnsi="Arial" w:cs="Arial"/>
        </w:rPr>
        <w:t>,</w:t>
      </w:r>
      <w:r w:rsidR="009F1F06">
        <w:rPr>
          <w:rFonts w:ascii="Arial" w:hAnsi="Arial" w:cs="Arial"/>
        </w:rPr>
        <w:t xml:space="preserve"> therefore show that there is a mix of </w:t>
      </w:r>
      <w:r w:rsidR="009F1F06" w:rsidRPr="57585719">
        <w:rPr>
          <w:rFonts w:ascii="Arial" w:hAnsi="Arial" w:cs="Arial"/>
          <w:b/>
          <w:bCs/>
          <w:i/>
          <w:iCs/>
        </w:rPr>
        <w:t>I</w:t>
      </w:r>
      <w:r w:rsidR="009F1F06" w:rsidRPr="009F1F06">
        <w:rPr>
          <w:rFonts w:ascii="Arial" w:hAnsi="Arial" w:cs="Arial"/>
          <w:b/>
          <w:bCs/>
        </w:rPr>
        <w:t>(0)</w:t>
      </w:r>
      <w:r w:rsidR="009F1F06">
        <w:rPr>
          <w:rFonts w:ascii="Arial" w:hAnsi="Arial" w:cs="Arial"/>
        </w:rPr>
        <w:t xml:space="preserve"> and </w:t>
      </w:r>
      <w:r w:rsidR="009F1F06" w:rsidRPr="57585719">
        <w:rPr>
          <w:rFonts w:ascii="Arial" w:hAnsi="Arial" w:cs="Arial"/>
          <w:b/>
          <w:bCs/>
          <w:i/>
          <w:iCs/>
        </w:rPr>
        <w:t>I</w:t>
      </w:r>
      <w:r w:rsidR="009F1F06" w:rsidRPr="009F1F06">
        <w:rPr>
          <w:rFonts w:ascii="Arial" w:hAnsi="Arial" w:cs="Arial"/>
          <w:b/>
          <w:bCs/>
        </w:rPr>
        <w:t>(1)</w:t>
      </w:r>
      <w:r w:rsidR="009F1F06">
        <w:rPr>
          <w:rFonts w:ascii="Arial" w:hAnsi="Arial" w:cs="Arial"/>
        </w:rPr>
        <w:t xml:space="preserve">, and none of the variables is </w:t>
      </w:r>
      <w:r w:rsidR="009F1F06" w:rsidRPr="57585719">
        <w:rPr>
          <w:rFonts w:ascii="Arial" w:hAnsi="Arial" w:cs="Arial"/>
          <w:b/>
          <w:bCs/>
          <w:i/>
          <w:iCs/>
        </w:rPr>
        <w:t>I</w:t>
      </w:r>
      <w:r w:rsidR="009F1F06" w:rsidRPr="009F1F06">
        <w:rPr>
          <w:rFonts w:ascii="Arial" w:hAnsi="Arial" w:cs="Arial"/>
          <w:b/>
          <w:bCs/>
        </w:rPr>
        <w:t>(2)</w:t>
      </w:r>
      <w:r w:rsidR="009F1F06">
        <w:rPr>
          <w:rFonts w:ascii="Arial" w:hAnsi="Arial" w:cs="Arial"/>
        </w:rPr>
        <w:t xml:space="preserve">. This confirms the use of </w:t>
      </w:r>
      <w:r w:rsidR="00C37B7B">
        <w:rPr>
          <w:rFonts w:ascii="Arial" w:hAnsi="Arial" w:cs="Arial"/>
        </w:rPr>
        <w:t xml:space="preserve">the </w:t>
      </w:r>
      <w:r w:rsidR="009F1F06">
        <w:rPr>
          <w:rFonts w:ascii="Arial" w:hAnsi="Arial" w:cs="Arial"/>
        </w:rPr>
        <w:t xml:space="preserve">panel </w:t>
      </w:r>
      <w:r w:rsidR="009D3BFA">
        <w:rPr>
          <w:rFonts w:ascii="Arial" w:hAnsi="Arial" w:cs="Arial"/>
        </w:rPr>
        <w:t>A</w:t>
      </w:r>
      <w:r w:rsidR="000A66B6">
        <w:rPr>
          <w:rFonts w:ascii="Arial" w:hAnsi="Arial" w:cs="Arial"/>
        </w:rPr>
        <w:t>RDL model</w:t>
      </w:r>
      <w:r w:rsidR="00C37B7B">
        <w:rPr>
          <w:rFonts w:ascii="Arial" w:hAnsi="Arial" w:cs="Arial"/>
        </w:rPr>
        <w:t>,</w:t>
      </w:r>
      <w:r w:rsidR="000A66B6">
        <w:rPr>
          <w:rFonts w:ascii="Arial" w:hAnsi="Arial" w:cs="Arial"/>
        </w:rPr>
        <w:t xml:space="preserve"> which is appropriate for a mixture of </w:t>
      </w:r>
      <w:r w:rsidR="000A66B6" w:rsidRPr="57585719">
        <w:rPr>
          <w:rFonts w:ascii="Arial" w:hAnsi="Arial" w:cs="Arial"/>
          <w:b/>
          <w:bCs/>
          <w:i/>
          <w:iCs/>
        </w:rPr>
        <w:t>I</w:t>
      </w:r>
      <w:r w:rsidR="000A66B6">
        <w:rPr>
          <w:rFonts w:ascii="Arial" w:hAnsi="Arial" w:cs="Arial"/>
          <w:b/>
          <w:bCs/>
        </w:rPr>
        <w:t xml:space="preserve">(0) </w:t>
      </w:r>
      <w:r w:rsidR="000A66B6">
        <w:rPr>
          <w:rFonts w:ascii="Arial" w:hAnsi="Arial" w:cs="Arial"/>
        </w:rPr>
        <w:t xml:space="preserve">and </w:t>
      </w:r>
      <w:r w:rsidR="000A66B6" w:rsidRPr="57585719">
        <w:rPr>
          <w:rFonts w:ascii="Arial" w:hAnsi="Arial" w:cs="Arial"/>
          <w:b/>
          <w:bCs/>
          <w:i/>
          <w:iCs/>
        </w:rPr>
        <w:t>I</w:t>
      </w:r>
      <w:r w:rsidR="000A66B6">
        <w:rPr>
          <w:rFonts w:ascii="Arial" w:hAnsi="Arial" w:cs="Arial"/>
          <w:b/>
          <w:bCs/>
        </w:rPr>
        <w:t xml:space="preserve">(1) </w:t>
      </w:r>
      <w:r w:rsidR="000A66B6">
        <w:rPr>
          <w:rFonts w:ascii="Arial" w:hAnsi="Arial" w:cs="Arial"/>
        </w:rPr>
        <w:t>variables.</w:t>
      </w:r>
      <w:r w:rsidR="00AC4D83">
        <w:rPr>
          <w:rFonts w:ascii="Arial" w:hAnsi="Arial" w:cs="Arial"/>
        </w:rPr>
        <w:t xml:space="preserve"> </w:t>
      </w:r>
      <w:r w:rsidR="000A66B6">
        <w:rPr>
          <w:rFonts w:ascii="Arial" w:hAnsi="Arial" w:cs="Arial"/>
        </w:rPr>
        <w:t xml:space="preserve">Muchapondwa and Pamhidzai (2011) emphasised the panel ARDL model as the new cointegration procedure because the panel ARDL model allows for the </w:t>
      </w:r>
      <w:r w:rsidR="0039027C">
        <w:rPr>
          <w:rFonts w:ascii="Arial" w:hAnsi="Arial" w:cs="Arial"/>
        </w:rPr>
        <w:t xml:space="preserve">estimation of both the short-term and long-term relationship between economic growth and its fundamentals. </w:t>
      </w:r>
    </w:p>
    <w:p w14:paraId="571EC7EF" w14:textId="14DE31D5" w:rsidR="00402561" w:rsidRPr="008204CC" w:rsidRDefault="00E41A9F" w:rsidP="0066301C">
      <w:pPr>
        <w:pStyle w:val="Heading3"/>
        <w:numPr>
          <w:ilvl w:val="0"/>
          <w:numId w:val="0"/>
        </w:numPr>
        <w:spacing w:before="0" w:beforeAutospacing="0"/>
        <w:rPr>
          <w:lang w:val="en-US" w:eastAsia="en-GB"/>
        </w:rPr>
      </w:pPr>
      <w:bookmarkStart w:id="515" w:name="_Toc171075439"/>
      <w:bookmarkStart w:id="516" w:name="_Hlk170933679"/>
      <w:bookmarkEnd w:id="514"/>
      <w:r>
        <w:rPr>
          <w:lang w:val="en-US" w:eastAsia="en-GB"/>
        </w:rPr>
        <w:t>5.</w:t>
      </w:r>
      <w:r w:rsidR="003F2B25">
        <w:rPr>
          <w:lang w:val="en-US" w:eastAsia="en-GB"/>
        </w:rPr>
        <w:t>5</w:t>
      </w:r>
      <w:r>
        <w:rPr>
          <w:lang w:val="en-US" w:eastAsia="en-GB"/>
        </w:rPr>
        <w:t>.</w:t>
      </w:r>
      <w:r w:rsidRPr="00E41A9F">
        <w:t>3</w:t>
      </w:r>
      <w:r>
        <w:tab/>
      </w:r>
      <w:r w:rsidR="00D56908" w:rsidRPr="00E41A9F">
        <w:t>LONG</w:t>
      </w:r>
      <w:r w:rsidR="00D56908">
        <w:rPr>
          <w:lang w:val="en-US" w:eastAsia="en-GB"/>
        </w:rPr>
        <w:t>-RUN ANALYSIS</w:t>
      </w:r>
      <w:bookmarkEnd w:id="515"/>
    </w:p>
    <w:bookmarkEnd w:id="516"/>
    <w:p w14:paraId="52E90CE4" w14:textId="2B610604" w:rsidR="00402561" w:rsidRPr="008204CC" w:rsidRDefault="008526FD" w:rsidP="0066301C">
      <w:pPr>
        <w:spacing w:line="360" w:lineRule="auto"/>
        <w:jc w:val="both"/>
        <w:rPr>
          <w:rFonts w:ascii="Arial" w:hAnsi="Arial" w:cs="Arial"/>
        </w:rPr>
      </w:pPr>
      <w:r>
        <w:rPr>
          <w:rFonts w:ascii="Arial" w:hAnsi="Arial" w:cs="Arial"/>
        </w:rPr>
        <w:t xml:space="preserve">The panel ARDL results were estimated </w:t>
      </w:r>
      <w:r w:rsidR="002E02B0">
        <w:rPr>
          <w:rFonts w:ascii="Arial" w:hAnsi="Arial" w:cs="Arial"/>
        </w:rPr>
        <w:t xml:space="preserve">by </w:t>
      </w:r>
      <w:r>
        <w:rPr>
          <w:rFonts w:ascii="Arial" w:hAnsi="Arial" w:cs="Arial"/>
        </w:rPr>
        <w:t xml:space="preserve">applying the correct optimal lag using the Akaike info criterion (AIC), as seen </w:t>
      </w:r>
      <w:r w:rsidR="001C6801">
        <w:rPr>
          <w:rFonts w:ascii="Arial" w:hAnsi="Arial" w:cs="Arial"/>
        </w:rPr>
        <w:t>i</w:t>
      </w:r>
      <w:r>
        <w:rPr>
          <w:rFonts w:ascii="Arial" w:hAnsi="Arial" w:cs="Arial"/>
        </w:rPr>
        <w:t>n the table below.</w:t>
      </w:r>
      <w:r>
        <w:rPr>
          <w:rStyle w:val="FootnoteReference"/>
          <w:rFonts w:ascii="Arial" w:hAnsi="Arial" w:cs="Arial"/>
        </w:rPr>
        <w:footnoteReference w:id="159"/>
      </w:r>
      <w:r>
        <w:rPr>
          <w:rFonts w:ascii="Arial" w:hAnsi="Arial" w:cs="Arial"/>
        </w:rPr>
        <w:t xml:space="preserve">  </w:t>
      </w:r>
      <w:r w:rsidR="00E8365F">
        <w:rPr>
          <w:rFonts w:ascii="Arial" w:hAnsi="Arial" w:cs="Arial"/>
        </w:rPr>
        <w:t>T</w:t>
      </w:r>
      <w:r w:rsidR="00402561" w:rsidRPr="008204CC">
        <w:rPr>
          <w:rFonts w:ascii="Arial" w:hAnsi="Arial" w:cs="Arial"/>
        </w:rPr>
        <w:t xml:space="preserve">he </w:t>
      </w:r>
      <w:r w:rsidR="00053D67">
        <w:rPr>
          <w:rFonts w:ascii="Arial" w:hAnsi="Arial" w:cs="Arial"/>
        </w:rPr>
        <w:t>correct</w:t>
      </w:r>
      <w:r w:rsidR="00402561" w:rsidRPr="008204CC">
        <w:rPr>
          <w:rFonts w:ascii="Arial" w:hAnsi="Arial" w:cs="Arial"/>
        </w:rPr>
        <w:t xml:space="preserve"> </w:t>
      </w:r>
      <w:r w:rsidR="00D121F6">
        <w:rPr>
          <w:rFonts w:ascii="Arial" w:hAnsi="Arial" w:cs="Arial"/>
        </w:rPr>
        <w:t xml:space="preserve">optimal </w:t>
      </w:r>
      <w:r w:rsidR="00402561" w:rsidRPr="008204CC">
        <w:rPr>
          <w:rFonts w:ascii="Arial" w:hAnsi="Arial" w:cs="Arial"/>
        </w:rPr>
        <w:t xml:space="preserve">lag </w:t>
      </w:r>
      <w:r w:rsidR="00C049E5">
        <w:rPr>
          <w:rFonts w:ascii="Arial" w:hAnsi="Arial" w:cs="Arial"/>
        </w:rPr>
        <w:t xml:space="preserve">length </w:t>
      </w:r>
      <w:r w:rsidR="00E8365F" w:rsidRPr="008204CC">
        <w:rPr>
          <w:rFonts w:ascii="Arial" w:hAnsi="Arial" w:cs="Arial"/>
        </w:rPr>
        <w:t>must</w:t>
      </w:r>
      <w:r w:rsidR="00402561" w:rsidRPr="008204CC">
        <w:rPr>
          <w:rFonts w:ascii="Arial" w:hAnsi="Arial" w:cs="Arial"/>
        </w:rPr>
        <w:t xml:space="preserve"> be applied</w:t>
      </w:r>
      <w:r w:rsidR="00C049E5">
        <w:rPr>
          <w:rFonts w:ascii="Arial" w:hAnsi="Arial" w:cs="Arial"/>
        </w:rPr>
        <w:t>,</w:t>
      </w:r>
      <w:r w:rsidR="00402561" w:rsidRPr="008204CC">
        <w:rPr>
          <w:rFonts w:ascii="Arial" w:hAnsi="Arial" w:cs="Arial"/>
        </w:rPr>
        <w:t xml:space="preserve"> as seen below</w:t>
      </w:r>
      <w:r>
        <w:rPr>
          <w:rFonts w:ascii="Arial" w:hAnsi="Arial" w:cs="Arial"/>
        </w:rPr>
        <w:t>.</w:t>
      </w:r>
    </w:p>
    <w:p w14:paraId="51A06456" w14:textId="00195E60" w:rsidR="00402561" w:rsidRPr="008204CC" w:rsidRDefault="00402561" w:rsidP="0066301C">
      <w:pPr>
        <w:spacing w:after="0" w:line="240" w:lineRule="auto"/>
        <w:jc w:val="both"/>
        <w:rPr>
          <w:rFonts w:ascii="Arial" w:hAnsi="Arial" w:cs="Arial"/>
          <w:b/>
        </w:rPr>
      </w:pPr>
      <w:r w:rsidRPr="009859A8">
        <w:rPr>
          <w:rFonts w:ascii="Arial" w:hAnsi="Arial" w:cs="Arial"/>
          <w:b/>
        </w:rPr>
        <w:t xml:space="preserve">Table </w:t>
      </w:r>
      <w:r w:rsidR="009859A8">
        <w:rPr>
          <w:rFonts w:ascii="Arial" w:hAnsi="Arial" w:cs="Arial"/>
          <w:b/>
        </w:rPr>
        <w:t>5</w:t>
      </w:r>
      <w:r w:rsidRPr="009859A8">
        <w:rPr>
          <w:rFonts w:ascii="Arial" w:hAnsi="Arial" w:cs="Arial"/>
          <w:b/>
        </w:rPr>
        <w:t>.</w:t>
      </w:r>
      <w:r w:rsidR="006E7367" w:rsidRPr="009859A8">
        <w:rPr>
          <w:rFonts w:ascii="Arial" w:hAnsi="Arial" w:cs="Arial"/>
          <w:b/>
        </w:rPr>
        <w:t>4</w:t>
      </w:r>
      <w:r w:rsidRPr="009859A8">
        <w:rPr>
          <w:rFonts w:ascii="Arial" w:hAnsi="Arial" w:cs="Arial"/>
          <w:b/>
        </w:rPr>
        <w:t>: Optimal Lag Length Results.</w:t>
      </w:r>
    </w:p>
    <w:tbl>
      <w:tblPr>
        <w:tblStyle w:val="TableGrid421"/>
        <w:tblW w:w="0" w:type="auto"/>
        <w:tblLook w:val="04A0" w:firstRow="1" w:lastRow="0" w:firstColumn="1" w:lastColumn="0" w:noHBand="0" w:noVBand="1"/>
      </w:tblPr>
      <w:tblGrid>
        <w:gridCol w:w="2579"/>
        <w:gridCol w:w="2777"/>
      </w:tblGrid>
      <w:tr w:rsidR="00C8097D" w:rsidRPr="008204CC" w14:paraId="206D10AC" w14:textId="77777777" w:rsidTr="008526FD">
        <w:trPr>
          <w:trHeight w:val="729"/>
        </w:trPr>
        <w:tc>
          <w:tcPr>
            <w:tcW w:w="2579" w:type="dxa"/>
          </w:tcPr>
          <w:p w14:paraId="0C6110E1" w14:textId="77777777" w:rsidR="00C8097D" w:rsidRPr="008204CC" w:rsidRDefault="00C8097D" w:rsidP="0066301C">
            <w:pPr>
              <w:jc w:val="both"/>
              <w:rPr>
                <w:rFonts w:ascii="Arial" w:hAnsi="Arial" w:cs="Arial"/>
                <w:b/>
              </w:rPr>
            </w:pPr>
            <w:r w:rsidRPr="008204CC">
              <w:rPr>
                <w:rFonts w:ascii="Arial" w:hAnsi="Arial" w:cs="Arial"/>
                <w:b/>
              </w:rPr>
              <w:t xml:space="preserve">Optimal lag </w:t>
            </w:r>
          </w:p>
          <w:p w14:paraId="02D14063" w14:textId="77777777" w:rsidR="00C8097D" w:rsidRPr="008204CC" w:rsidRDefault="00C8097D" w:rsidP="0066301C">
            <w:pPr>
              <w:jc w:val="both"/>
              <w:rPr>
                <w:rFonts w:ascii="Arial" w:hAnsi="Arial" w:cs="Arial"/>
                <w:b/>
              </w:rPr>
            </w:pPr>
            <w:r w:rsidRPr="008204CC">
              <w:rPr>
                <w:rFonts w:ascii="Arial" w:hAnsi="Arial" w:cs="Arial"/>
                <w:b/>
              </w:rPr>
              <w:t>value (AIC)</w:t>
            </w:r>
          </w:p>
        </w:tc>
        <w:tc>
          <w:tcPr>
            <w:tcW w:w="2777" w:type="dxa"/>
          </w:tcPr>
          <w:p w14:paraId="309FD5BB" w14:textId="77777777" w:rsidR="00C8097D" w:rsidRPr="008204CC" w:rsidRDefault="00C8097D" w:rsidP="0066301C">
            <w:pPr>
              <w:jc w:val="both"/>
              <w:rPr>
                <w:rFonts w:ascii="Arial" w:hAnsi="Arial" w:cs="Arial"/>
                <w:b/>
              </w:rPr>
            </w:pPr>
            <w:r w:rsidRPr="008204CC">
              <w:rPr>
                <w:rFonts w:ascii="Arial" w:hAnsi="Arial" w:cs="Arial"/>
                <w:b/>
              </w:rPr>
              <w:t xml:space="preserve">Optimal </w:t>
            </w:r>
          </w:p>
          <w:p w14:paraId="7ED73083" w14:textId="77777777" w:rsidR="00C8097D" w:rsidRPr="008204CC" w:rsidRDefault="00C8097D" w:rsidP="0066301C">
            <w:pPr>
              <w:jc w:val="both"/>
              <w:rPr>
                <w:rFonts w:ascii="Arial" w:hAnsi="Arial" w:cs="Arial"/>
                <w:b/>
              </w:rPr>
            </w:pPr>
            <w:r w:rsidRPr="008204CC">
              <w:rPr>
                <w:rFonts w:ascii="Arial" w:hAnsi="Arial" w:cs="Arial"/>
                <w:b/>
              </w:rPr>
              <w:t xml:space="preserve">Lag length </w:t>
            </w:r>
          </w:p>
        </w:tc>
      </w:tr>
      <w:tr w:rsidR="00C8097D" w:rsidRPr="008204CC" w14:paraId="3EFBE3E5" w14:textId="77777777" w:rsidTr="008526FD">
        <w:trPr>
          <w:trHeight w:val="418"/>
        </w:trPr>
        <w:tc>
          <w:tcPr>
            <w:tcW w:w="2579" w:type="dxa"/>
          </w:tcPr>
          <w:p w14:paraId="18EF2FE7" w14:textId="7C961E87" w:rsidR="00C8097D" w:rsidRPr="008204CC" w:rsidRDefault="00C8097D" w:rsidP="0066301C">
            <w:pPr>
              <w:jc w:val="center"/>
              <w:rPr>
                <w:rFonts w:ascii="Arial" w:hAnsi="Arial" w:cs="Arial"/>
              </w:rPr>
            </w:pPr>
            <w:r>
              <w:rPr>
                <w:rFonts w:ascii="Arial" w:hAnsi="Arial" w:cs="Arial"/>
                <w:color w:val="000000"/>
              </w:rPr>
              <w:t>37.11774</w:t>
            </w:r>
            <w:r w:rsidRPr="008204CC">
              <w:rPr>
                <w:rFonts w:ascii="Arial" w:hAnsi="Arial" w:cs="Arial"/>
                <w:color w:val="000000"/>
              </w:rPr>
              <w:t>*</w:t>
            </w:r>
          </w:p>
        </w:tc>
        <w:tc>
          <w:tcPr>
            <w:tcW w:w="2777" w:type="dxa"/>
          </w:tcPr>
          <w:p w14:paraId="2B0D7986" w14:textId="09B88FDD" w:rsidR="00C8097D" w:rsidRPr="008204CC" w:rsidRDefault="00C8097D" w:rsidP="0066301C">
            <w:pPr>
              <w:jc w:val="center"/>
              <w:rPr>
                <w:rFonts w:ascii="Arial" w:hAnsi="Arial" w:cs="Arial"/>
              </w:rPr>
            </w:pPr>
            <w:r>
              <w:rPr>
                <w:rFonts w:ascii="Arial" w:hAnsi="Arial" w:cs="Arial"/>
              </w:rPr>
              <w:t>1</w:t>
            </w:r>
          </w:p>
        </w:tc>
      </w:tr>
    </w:tbl>
    <w:p w14:paraId="65AEDF6C" w14:textId="77777777" w:rsidR="00402561" w:rsidRPr="008204CC" w:rsidRDefault="00402561" w:rsidP="0066301C">
      <w:pPr>
        <w:autoSpaceDE w:val="0"/>
        <w:autoSpaceDN w:val="0"/>
        <w:adjustRightInd w:val="0"/>
        <w:spacing w:after="0" w:line="240" w:lineRule="auto"/>
        <w:jc w:val="both"/>
        <w:rPr>
          <w:rFonts w:ascii="Arial" w:hAnsi="Arial" w:cs="Arial"/>
          <w:i/>
          <w:sz w:val="20"/>
          <w:szCs w:val="20"/>
        </w:rPr>
      </w:pPr>
      <w:r w:rsidRPr="008204CC">
        <w:rPr>
          <w:rFonts w:ascii="Arial" w:hAnsi="Arial" w:cs="Arial"/>
          <w:i/>
          <w:color w:val="000000"/>
          <w:sz w:val="20"/>
          <w:szCs w:val="20"/>
        </w:rPr>
        <w:t xml:space="preserve">AIC: </w:t>
      </w:r>
      <w:r w:rsidRPr="008204CC">
        <w:rPr>
          <w:rFonts w:ascii="Arial" w:hAnsi="Arial" w:cs="Arial"/>
          <w:color w:val="000000"/>
          <w:sz w:val="20"/>
          <w:szCs w:val="20"/>
        </w:rPr>
        <w:t>Akaike information criterion</w:t>
      </w:r>
    </w:p>
    <w:p w14:paraId="00BE2C39" w14:textId="208495C3" w:rsidR="00402561" w:rsidRDefault="00402561" w:rsidP="0066301C">
      <w:pPr>
        <w:autoSpaceDE w:val="0"/>
        <w:autoSpaceDN w:val="0"/>
        <w:adjustRightInd w:val="0"/>
        <w:spacing w:after="0" w:line="240" w:lineRule="auto"/>
        <w:jc w:val="both"/>
        <w:rPr>
          <w:rFonts w:ascii="Arial" w:hAnsi="Arial" w:cs="Arial"/>
          <w:sz w:val="20"/>
          <w:szCs w:val="20"/>
        </w:rPr>
      </w:pPr>
      <w:r w:rsidRPr="008204CC">
        <w:rPr>
          <w:rFonts w:ascii="Arial" w:hAnsi="Arial" w:cs="Arial"/>
          <w:i/>
          <w:sz w:val="20"/>
          <w:szCs w:val="20"/>
        </w:rPr>
        <w:t xml:space="preserve">Source: </w:t>
      </w:r>
      <w:r w:rsidRPr="008204CC">
        <w:rPr>
          <w:rFonts w:ascii="Arial" w:hAnsi="Arial" w:cs="Arial"/>
          <w:sz w:val="20"/>
          <w:szCs w:val="20"/>
        </w:rPr>
        <w:t xml:space="preserve">Computation from time-series data using </w:t>
      </w:r>
      <w:r w:rsidR="00000471" w:rsidRPr="008204CC">
        <w:rPr>
          <w:rFonts w:ascii="Arial" w:hAnsi="Arial" w:cs="Arial"/>
          <w:sz w:val="20"/>
          <w:szCs w:val="20"/>
        </w:rPr>
        <w:t>EViews</w:t>
      </w:r>
      <w:r w:rsidRPr="008204CC">
        <w:rPr>
          <w:rFonts w:ascii="Arial" w:hAnsi="Arial" w:cs="Arial"/>
          <w:sz w:val="20"/>
          <w:szCs w:val="20"/>
        </w:rPr>
        <w:t xml:space="preserve"> 1</w:t>
      </w:r>
      <w:r w:rsidR="00C8097D">
        <w:rPr>
          <w:rFonts w:ascii="Arial" w:hAnsi="Arial" w:cs="Arial"/>
          <w:sz w:val="20"/>
          <w:szCs w:val="20"/>
        </w:rPr>
        <w:t>2</w:t>
      </w:r>
    </w:p>
    <w:p w14:paraId="197211BD" w14:textId="481F4678" w:rsidR="009006E1" w:rsidRPr="00431712" w:rsidRDefault="009006E1" w:rsidP="0066301C">
      <w:pPr>
        <w:autoSpaceDE w:val="0"/>
        <w:autoSpaceDN w:val="0"/>
        <w:adjustRightInd w:val="0"/>
        <w:spacing w:after="0" w:line="360" w:lineRule="auto"/>
        <w:jc w:val="both"/>
        <w:rPr>
          <w:rFonts w:ascii="Arial" w:hAnsi="Arial" w:cs="Arial"/>
          <w:sz w:val="20"/>
          <w:szCs w:val="20"/>
        </w:rPr>
      </w:pPr>
    </w:p>
    <w:p w14:paraId="638067D6" w14:textId="77777777" w:rsidR="0006039D" w:rsidRDefault="00486FC6" w:rsidP="0066301C">
      <w:pPr>
        <w:spacing w:line="360" w:lineRule="auto"/>
        <w:jc w:val="both"/>
        <w:rPr>
          <w:rFonts w:ascii="Arial" w:hAnsi="Arial" w:cs="Arial"/>
        </w:rPr>
      </w:pPr>
      <w:r w:rsidRPr="00FE43E1">
        <w:rPr>
          <w:rFonts w:ascii="Arial" w:hAnsi="Arial" w:cs="Arial"/>
        </w:rPr>
        <w:t xml:space="preserve">The PMG result in Table 5.5 </w:t>
      </w:r>
      <w:r w:rsidR="00397721">
        <w:rPr>
          <w:rFonts w:ascii="Arial" w:hAnsi="Arial" w:cs="Arial"/>
        </w:rPr>
        <w:t>below</w:t>
      </w:r>
      <w:r w:rsidRPr="00FE43E1">
        <w:rPr>
          <w:rFonts w:ascii="Arial" w:hAnsi="Arial" w:cs="Arial"/>
        </w:rPr>
        <w:t xml:space="preserve"> shows both the positive and negative long-run relationship between the independent variables and economic growth. The PGM estimator shows that the panel is heterogenous in the short-run and homogeneous in the long-term. The existence of a long-run relationship is that the pooled ECT should be negative and statistically significant (i.e., the </w:t>
      </w:r>
      <w:r w:rsidRPr="00FE43E1">
        <w:rPr>
          <w:rStyle w:val="Emphasis"/>
          <w:rFonts w:ascii="Arial" w:hAnsi="Arial" w:cs="Arial"/>
          <w:color w:val="0E101A"/>
        </w:rPr>
        <w:t>t-statistic </w:t>
      </w:r>
      <w:r w:rsidR="001872AA">
        <w:rPr>
          <w:rStyle w:val="Emphasis"/>
          <w:rFonts w:ascii="Arial" w:hAnsi="Arial" w:cs="Arial"/>
          <w:color w:val="0E101A"/>
        </w:rPr>
        <w:t xml:space="preserve">&gt; </w:t>
      </w:r>
      <w:r w:rsidRPr="00FE43E1">
        <w:rPr>
          <w:rFonts w:ascii="Arial" w:hAnsi="Arial" w:cs="Arial"/>
        </w:rPr>
        <w:t>|2|). In the long-run, GDP growth should be targeted homogeneously, while in the short-run each of the CEMAC nations should be treated independently and heterogeneously (i.e., each nation should adopt its strategy to increase its economic growth).</w:t>
      </w:r>
    </w:p>
    <w:p w14:paraId="5C8C219E" w14:textId="73035FD5" w:rsidR="00486FC6" w:rsidRDefault="00486FC6" w:rsidP="0066301C">
      <w:pPr>
        <w:spacing w:line="360" w:lineRule="auto"/>
        <w:jc w:val="both"/>
        <w:rPr>
          <w:rFonts w:ascii="Arial" w:hAnsi="Arial" w:cs="Arial"/>
        </w:rPr>
      </w:pPr>
      <w:r w:rsidRPr="00FE43E1">
        <w:rPr>
          <w:rFonts w:ascii="Arial" w:hAnsi="Arial" w:cs="Arial"/>
        </w:rPr>
        <w:t> </w:t>
      </w:r>
    </w:p>
    <w:p w14:paraId="2BB9981E" w14:textId="77777777" w:rsidR="00CD1B3F" w:rsidRPr="00D43565" w:rsidRDefault="00CD1B3F" w:rsidP="0066301C">
      <w:pPr>
        <w:spacing w:after="0"/>
        <w:rPr>
          <w:rFonts w:ascii="Arial" w:hAnsi="Arial" w:cs="Arial"/>
          <w:b/>
          <w:bCs/>
        </w:rPr>
      </w:pPr>
      <w:bookmarkStart w:id="517" w:name="_Hlk170841136"/>
      <w:r w:rsidRPr="007C4A32">
        <w:rPr>
          <w:rFonts w:ascii="Arial" w:hAnsi="Arial" w:cs="Arial"/>
          <w:b/>
          <w:bCs/>
        </w:rPr>
        <w:lastRenderedPageBreak/>
        <w:t>Table 5.5: Long-run Results</w:t>
      </w:r>
      <w:r>
        <w:rPr>
          <w:rFonts w:ascii="Arial" w:hAnsi="Arial" w:cs="Arial"/>
          <w:b/>
          <w:bCs/>
        </w:rPr>
        <w:t xml:space="preserve"> (PGM Estimator)</w:t>
      </w:r>
    </w:p>
    <w:tbl>
      <w:tblPr>
        <w:tblStyle w:val="TableGrid"/>
        <w:tblW w:w="0" w:type="auto"/>
        <w:tblLook w:val="04A0" w:firstRow="1" w:lastRow="0" w:firstColumn="1" w:lastColumn="0" w:noHBand="0" w:noVBand="1"/>
      </w:tblPr>
      <w:tblGrid>
        <w:gridCol w:w="1803"/>
        <w:gridCol w:w="1803"/>
        <w:gridCol w:w="1803"/>
        <w:gridCol w:w="1803"/>
      </w:tblGrid>
      <w:tr w:rsidR="00CD1B3F" w:rsidRPr="00D43565" w14:paraId="38D7F4AE" w14:textId="77777777" w:rsidTr="004D74AB">
        <w:tc>
          <w:tcPr>
            <w:tcW w:w="1803" w:type="dxa"/>
          </w:tcPr>
          <w:p w14:paraId="0A0D7BC3" w14:textId="77777777" w:rsidR="00CD1B3F" w:rsidRPr="009038E1" w:rsidRDefault="00CD1B3F" w:rsidP="0066301C">
            <w:pPr>
              <w:jc w:val="center"/>
              <w:rPr>
                <w:rFonts w:ascii="Arial" w:hAnsi="Arial" w:cs="Arial"/>
                <w:b/>
                <w:bCs/>
              </w:rPr>
            </w:pPr>
            <w:r w:rsidRPr="009038E1">
              <w:rPr>
                <w:rFonts w:ascii="Arial" w:hAnsi="Arial" w:cs="Arial"/>
                <w:b/>
                <w:bCs/>
              </w:rPr>
              <w:t>Variables</w:t>
            </w:r>
          </w:p>
        </w:tc>
        <w:tc>
          <w:tcPr>
            <w:tcW w:w="1803" w:type="dxa"/>
          </w:tcPr>
          <w:p w14:paraId="4251988B" w14:textId="77777777" w:rsidR="00CD1B3F" w:rsidRPr="009038E1" w:rsidRDefault="00CD1B3F" w:rsidP="0066301C">
            <w:pPr>
              <w:jc w:val="center"/>
              <w:rPr>
                <w:rFonts w:ascii="Arial" w:hAnsi="Arial" w:cs="Arial"/>
                <w:b/>
                <w:bCs/>
              </w:rPr>
            </w:pPr>
            <w:r w:rsidRPr="009038E1">
              <w:rPr>
                <w:rFonts w:ascii="Arial" w:hAnsi="Arial" w:cs="Arial"/>
                <w:b/>
                <w:bCs/>
              </w:rPr>
              <w:t>Coefficient</w:t>
            </w:r>
          </w:p>
        </w:tc>
        <w:tc>
          <w:tcPr>
            <w:tcW w:w="1803" w:type="dxa"/>
          </w:tcPr>
          <w:p w14:paraId="4F55E8E2" w14:textId="77777777" w:rsidR="00CD1B3F" w:rsidRPr="009038E1" w:rsidRDefault="00CD1B3F" w:rsidP="0066301C">
            <w:pPr>
              <w:jc w:val="center"/>
              <w:rPr>
                <w:rFonts w:ascii="Arial" w:hAnsi="Arial" w:cs="Arial"/>
                <w:b/>
                <w:bCs/>
              </w:rPr>
            </w:pPr>
            <w:r w:rsidRPr="009038E1">
              <w:rPr>
                <w:rFonts w:ascii="Arial" w:hAnsi="Arial" w:cs="Arial"/>
                <w:b/>
                <w:bCs/>
              </w:rPr>
              <w:t>t-Statistic</w:t>
            </w:r>
          </w:p>
        </w:tc>
        <w:tc>
          <w:tcPr>
            <w:tcW w:w="1803" w:type="dxa"/>
          </w:tcPr>
          <w:p w14:paraId="2DD3FE85" w14:textId="77777777" w:rsidR="00CD1B3F" w:rsidRPr="009038E1" w:rsidRDefault="00CD1B3F" w:rsidP="0066301C">
            <w:pPr>
              <w:jc w:val="center"/>
              <w:rPr>
                <w:rFonts w:ascii="Arial" w:hAnsi="Arial" w:cs="Arial"/>
                <w:b/>
                <w:bCs/>
              </w:rPr>
            </w:pPr>
            <w:r w:rsidRPr="009038E1">
              <w:rPr>
                <w:rFonts w:ascii="Arial" w:hAnsi="Arial" w:cs="Arial"/>
                <w:b/>
                <w:bCs/>
              </w:rPr>
              <w:t>P-value</w:t>
            </w:r>
          </w:p>
        </w:tc>
      </w:tr>
      <w:tr w:rsidR="00CD1B3F" w14:paraId="472593D9" w14:textId="77777777" w:rsidTr="004D74AB">
        <w:tc>
          <w:tcPr>
            <w:tcW w:w="1803" w:type="dxa"/>
          </w:tcPr>
          <w:p w14:paraId="4FD2922C" w14:textId="77777777" w:rsidR="00CD1B3F" w:rsidRPr="009038E1" w:rsidRDefault="00CD1B3F" w:rsidP="0066301C">
            <w:pPr>
              <w:rPr>
                <w:rFonts w:ascii="Arial" w:hAnsi="Arial" w:cs="Arial"/>
              </w:rPr>
            </w:pPr>
            <w:r w:rsidRPr="009038E1">
              <w:rPr>
                <w:rFonts w:ascii="Arial" w:hAnsi="Arial" w:cs="Arial"/>
              </w:rPr>
              <w:t>REER</w:t>
            </w:r>
          </w:p>
        </w:tc>
        <w:tc>
          <w:tcPr>
            <w:tcW w:w="1803" w:type="dxa"/>
          </w:tcPr>
          <w:p w14:paraId="5C3E8F74" w14:textId="77777777" w:rsidR="00CD1B3F" w:rsidRPr="009038E1" w:rsidRDefault="00CD1B3F" w:rsidP="0066301C">
            <w:pPr>
              <w:jc w:val="center"/>
              <w:rPr>
                <w:rFonts w:ascii="Arial" w:hAnsi="Arial" w:cs="Arial"/>
              </w:rPr>
            </w:pPr>
            <w:r w:rsidRPr="009038E1">
              <w:rPr>
                <w:rFonts w:ascii="Arial" w:hAnsi="Arial" w:cs="Arial"/>
              </w:rPr>
              <w:t>-0.0242</w:t>
            </w:r>
          </w:p>
        </w:tc>
        <w:tc>
          <w:tcPr>
            <w:tcW w:w="1803" w:type="dxa"/>
          </w:tcPr>
          <w:p w14:paraId="67123D70" w14:textId="77777777" w:rsidR="00CD1B3F" w:rsidRPr="009038E1" w:rsidRDefault="00CD1B3F" w:rsidP="0066301C">
            <w:pPr>
              <w:jc w:val="center"/>
              <w:rPr>
                <w:rFonts w:ascii="Arial" w:hAnsi="Arial" w:cs="Arial"/>
              </w:rPr>
            </w:pPr>
            <w:r w:rsidRPr="009038E1">
              <w:rPr>
                <w:rFonts w:ascii="Arial" w:hAnsi="Arial" w:cs="Arial"/>
              </w:rPr>
              <w:t>-1.74</w:t>
            </w:r>
          </w:p>
        </w:tc>
        <w:tc>
          <w:tcPr>
            <w:tcW w:w="1803" w:type="dxa"/>
          </w:tcPr>
          <w:p w14:paraId="41CBEBE5" w14:textId="77777777" w:rsidR="00CD1B3F" w:rsidRPr="009038E1" w:rsidRDefault="00CD1B3F" w:rsidP="0066301C">
            <w:pPr>
              <w:jc w:val="center"/>
              <w:rPr>
                <w:rFonts w:ascii="Arial" w:hAnsi="Arial" w:cs="Arial"/>
              </w:rPr>
            </w:pPr>
            <w:r w:rsidRPr="009038E1">
              <w:rPr>
                <w:rFonts w:ascii="Arial" w:hAnsi="Arial" w:cs="Arial"/>
              </w:rPr>
              <w:t>0.0852</w:t>
            </w:r>
          </w:p>
        </w:tc>
      </w:tr>
      <w:tr w:rsidR="00CD1B3F" w14:paraId="3241BB07" w14:textId="77777777" w:rsidTr="004D74AB">
        <w:tc>
          <w:tcPr>
            <w:tcW w:w="1803" w:type="dxa"/>
          </w:tcPr>
          <w:p w14:paraId="07A5B5A4" w14:textId="77777777" w:rsidR="00CD1B3F" w:rsidRPr="009038E1" w:rsidRDefault="00CD1B3F" w:rsidP="0066301C">
            <w:pPr>
              <w:rPr>
                <w:rFonts w:ascii="Arial" w:hAnsi="Arial" w:cs="Arial"/>
              </w:rPr>
            </w:pPr>
            <w:r w:rsidRPr="009038E1">
              <w:rPr>
                <w:rFonts w:ascii="Arial" w:hAnsi="Arial" w:cs="Arial"/>
              </w:rPr>
              <w:t>OPEN</w:t>
            </w:r>
          </w:p>
        </w:tc>
        <w:tc>
          <w:tcPr>
            <w:tcW w:w="1803" w:type="dxa"/>
          </w:tcPr>
          <w:p w14:paraId="7B3604D4" w14:textId="77777777" w:rsidR="00CD1B3F" w:rsidRPr="009038E1" w:rsidRDefault="00CD1B3F" w:rsidP="0066301C">
            <w:pPr>
              <w:jc w:val="center"/>
              <w:rPr>
                <w:rFonts w:ascii="Arial" w:hAnsi="Arial" w:cs="Arial"/>
              </w:rPr>
            </w:pPr>
            <w:r w:rsidRPr="009038E1">
              <w:rPr>
                <w:rFonts w:ascii="Arial" w:hAnsi="Arial" w:cs="Arial"/>
              </w:rPr>
              <w:t>0.0212</w:t>
            </w:r>
          </w:p>
        </w:tc>
        <w:tc>
          <w:tcPr>
            <w:tcW w:w="1803" w:type="dxa"/>
          </w:tcPr>
          <w:p w14:paraId="62643851" w14:textId="77777777" w:rsidR="00CD1B3F" w:rsidRPr="009038E1" w:rsidRDefault="00CD1B3F" w:rsidP="0066301C">
            <w:pPr>
              <w:jc w:val="center"/>
              <w:rPr>
                <w:rFonts w:ascii="Arial" w:hAnsi="Arial" w:cs="Arial"/>
              </w:rPr>
            </w:pPr>
            <w:r w:rsidRPr="009038E1">
              <w:rPr>
                <w:rFonts w:ascii="Arial" w:hAnsi="Arial" w:cs="Arial"/>
              </w:rPr>
              <w:t>4.952</w:t>
            </w:r>
          </w:p>
        </w:tc>
        <w:tc>
          <w:tcPr>
            <w:tcW w:w="1803" w:type="dxa"/>
          </w:tcPr>
          <w:p w14:paraId="39D16CA5" w14:textId="77777777" w:rsidR="00CD1B3F" w:rsidRPr="009038E1" w:rsidRDefault="00CD1B3F" w:rsidP="0066301C">
            <w:pPr>
              <w:jc w:val="center"/>
              <w:rPr>
                <w:rFonts w:ascii="Arial" w:hAnsi="Arial" w:cs="Arial"/>
              </w:rPr>
            </w:pPr>
            <w:r w:rsidRPr="009038E1">
              <w:rPr>
                <w:rFonts w:ascii="Arial" w:hAnsi="Arial" w:cs="Arial"/>
              </w:rPr>
              <w:t>0.0000</w:t>
            </w:r>
          </w:p>
        </w:tc>
      </w:tr>
      <w:tr w:rsidR="00CD1B3F" w14:paraId="642CABF2" w14:textId="77777777" w:rsidTr="004D74AB">
        <w:tc>
          <w:tcPr>
            <w:tcW w:w="1803" w:type="dxa"/>
          </w:tcPr>
          <w:p w14:paraId="1EB0C127" w14:textId="77777777" w:rsidR="00CD1B3F" w:rsidRPr="009038E1" w:rsidRDefault="00CD1B3F" w:rsidP="0066301C">
            <w:pPr>
              <w:rPr>
                <w:rFonts w:ascii="Arial" w:hAnsi="Arial" w:cs="Arial"/>
              </w:rPr>
            </w:pPr>
            <w:r w:rsidRPr="009038E1">
              <w:rPr>
                <w:rFonts w:ascii="Arial" w:hAnsi="Arial" w:cs="Arial"/>
              </w:rPr>
              <w:t>GOVCON</w:t>
            </w:r>
          </w:p>
        </w:tc>
        <w:tc>
          <w:tcPr>
            <w:tcW w:w="1803" w:type="dxa"/>
          </w:tcPr>
          <w:p w14:paraId="7DEEC530" w14:textId="77777777" w:rsidR="00CD1B3F" w:rsidRPr="009038E1" w:rsidRDefault="00CD1B3F" w:rsidP="0066301C">
            <w:pPr>
              <w:jc w:val="center"/>
              <w:rPr>
                <w:rFonts w:ascii="Arial" w:hAnsi="Arial" w:cs="Arial"/>
              </w:rPr>
            </w:pPr>
            <w:r w:rsidRPr="009038E1">
              <w:rPr>
                <w:rFonts w:ascii="Arial" w:hAnsi="Arial" w:cs="Arial"/>
              </w:rPr>
              <w:t>-0.8101</w:t>
            </w:r>
          </w:p>
        </w:tc>
        <w:tc>
          <w:tcPr>
            <w:tcW w:w="1803" w:type="dxa"/>
          </w:tcPr>
          <w:p w14:paraId="4C0FC257" w14:textId="77777777" w:rsidR="00CD1B3F" w:rsidRPr="009038E1" w:rsidRDefault="00CD1B3F" w:rsidP="0066301C">
            <w:pPr>
              <w:jc w:val="center"/>
              <w:rPr>
                <w:rFonts w:ascii="Arial" w:hAnsi="Arial" w:cs="Arial"/>
              </w:rPr>
            </w:pPr>
            <w:r w:rsidRPr="009038E1">
              <w:rPr>
                <w:rFonts w:ascii="Arial" w:hAnsi="Arial" w:cs="Arial"/>
              </w:rPr>
              <w:t>-4.4035</w:t>
            </w:r>
          </w:p>
        </w:tc>
        <w:tc>
          <w:tcPr>
            <w:tcW w:w="1803" w:type="dxa"/>
          </w:tcPr>
          <w:p w14:paraId="139F5FD8" w14:textId="77777777" w:rsidR="00CD1B3F" w:rsidRPr="009038E1" w:rsidRDefault="00CD1B3F" w:rsidP="0066301C">
            <w:pPr>
              <w:jc w:val="center"/>
              <w:rPr>
                <w:rFonts w:ascii="Arial" w:hAnsi="Arial" w:cs="Arial"/>
              </w:rPr>
            </w:pPr>
            <w:r w:rsidRPr="009038E1">
              <w:rPr>
                <w:rFonts w:ascii="Arial" w:hAnsi="Arial" w:cs="Arial"/>
              </w:rPr>
              <w:t>0.0000</w:t>
            </w:r>
          </w:p>
        </w:tc>
      </w:tr>
      <w:tr w:rsidR="00CD1B3F" w14:paraId="5924AD31" w14:textId="77777777" w:rsidTr="004D74AB">
        <w:tc>
          <w:tcPr>
            <w:tcW w:w="1803" w:type="dxa"/>
          </w:tcPr>
          <w:p w14:paraId="20CD51E3" w14:textId="77777777" w:rsidR="00CD1B3F" w:rsidRPr="009038E1" w:rsidRDefault="00CD1B3F" w:rsidP="0066301C">
            <w:pPr>
              <w:rPr>
                <w:rFonts w:ascii="Arial" w:hAnsi="Arial" w:cs="Arial"/>
              </w:rPr>
            </w:pPr>
            <w:r w:rsidRPr="009038E1">
              <w:rPr>
                <w:rFonts w:ascii="Arial" w:hAnsi="Arial" w:cs="Arial"/>
              </w:rPr>
              <w:t>FDI</w:t>
            </w:r>
          </w:p>
        </w:tc>
        <w:tc>
          <w:tcPr>
            <w:tcW w:w="1803" w:type="dxa"/>
          </w:tcPr>
          <w:p w14:paraId="7FCB2550" w14:textId="77777777" w:rsidR="00CD1B3F" w:rsidRPr="009038E1" w:rsidRDefault="00CD1B3F" w:rsidP="0066301C">
            <w:pPr>
              <w:jc w:val="center"/>
              <w:rPr>
                <w:rFonts w:ascii="Arial" w:hAnsi="Arial" w:cs="Arial"/>
              </w:rPr>
            </w:pPr>
            <w:r w:rsidRPr="009038E1">
              <w:rPr>
                <w:rFonts w:ascii="Arial" w:hAnsi="Arial" w:cs="Arial"/>
              </w:rPr>
              <w:t>0.2533</w:t>
            </w:r>
          </w:p>
        </w:tc>
        <w:tc>
          <w:tcPr>
            <w:tcW w:w="1803" w:type="dxa"/>
          </w:tcPr>
          <w:p w14:paraId="2F636294" w14:textId="77777777" w:rsidR="00CD1B3F" w:rsidRPr="009038E1" w:rsidRDefault="00CD1B3F" w:rsidP="0066301C">
            <w:pPr>
              <w:jc w:val="center"/>
              <w:rPr>
                <w:rFonts w:ascii="Arial" w:hAnsi="Arial" w:cs="Arial"/>
              </w:rPr>
            </w:pPr>
            <w:r w:rsidRPr="009038E1">
              <w:rPr>
                <w:rFonts w:ascii="Arial" w:hAnsi="Arial" w:cs="Arial"/>
              </w:rPr>
              <w:t>0.7566</w:t>
            </w:r>
          </w:p>
        </w:tc>
        <w:tc>
          <w:tcPr>
            <w:tcW w:w="1803" w:type="dxa"/>
          </w:tcPr>
          <w:p w14:paraId="12C98CA1" w14:textId="77777777" w:rsidR="00CD1B3F" w:rsidRPr="009038E1" w:rsidRDefault="00CD1B3F" w:rsidP="0066301C">
            <w:pPr>
              <w:jc w:val="center"/>
              <w:rPr>
                <w:rFonts w:ascii="Arial" w:hAnsi="Arial" w:cs="Arial"/>
              </w:rPr>
            </w:pPr>
            <w:r w:rsidRPr="009038E1">
              <w:rPr>
                <w:rFonts w:ascii="Arial" w:hAnsi="Arial" w:cs="Arial"/>
              </w:rPr>
              <w:t>0.4512</w:t>
            </w:r>
          </w:p>
        </w:tc>
      </w:tr>
      <w:tr w:rsidR="00CD1B3F" w14:paraId="2FA69523" w14:textId="77777777" w:rsidTr="004D74AB">
        <w:tc>
          <w:tcPr>
            <w:tcW w:w="1803" w:type="dxa"/>
          </w:tcPr>
          <w:p w14:paraId="6F150D2F" w14:textId="77777777" w:rsidR="00CD1B3F" w:rsidRPr="009038E1" w:rsidRDefault="00CD1B3F" w:rsidP="0066301C">
            <w:pPr>
              <w:rPr>
                <w:rFonts w:ascii="Arial" w:hAnsi="Arial" w:cs="Arial"/>
              </w:rPr>
            </w:pPr>
            <w:r w:rsidRPr="009038E1">
              <w:rPr>
                <w:rFonts w:ascii="Arial" w:hAnsi="Arial" w:cs="Arial"/>
              </w:rPr>
              <w:t>TOT</w:t>
            </w:r>
          </w:p>
        </w:tc>
        <w:tc>
          <w:tcPr>
            <w:tcW w:w="1803" w:type="dxa"/>
          </w:tcPr>
          <w:p w14:paraId="15A7C2DB" w14:textId="77777777" w:rsidR="00CD1B3F" w:rsidRPr="009038E1" w:rsidRDefault="00CD1B3F" w:rsidP="0066301C">
            <w:pPr>
              <w:jc w:val="center"/>
              <w:rPr>
                <w:rFonts w:ascii="Arial" w:hAnsi="Arial" w:cs="Arial"/>
              </w:rPr>
            </w:pPr>
            <w:r w:rsidRPr="009038E1">
              <w:rPr>
                <w:rFonts w:ascii="Arial" w:hAnsi="Arial" w:cs="Arial"/>
              </w:rPr>
              <w:t>-0.0154</w:t>
            </w:r>
          </w:p>
        </w:tc>
        <w:tc>
          <w:tcPr>
            <w:tcW w:w="1803" w:type="dxa"/>
          </w:tcPr>
          <w:p w14:paraId="5FEB0BEC" w14:textId="77777777" w:rsidR="00CD1B3F" w:rsidRPr="009038E1" w:rsidRDefault="00CD1B3F" w:rsidP="0066301C">
            <w:pPr>
              <w:jc w:val="center"/>
              <w:rPr>
                <w:rFonts w:ascii="Arial" w:hAnsi="Arial" w:cs="Arial"/>
              </w:rPr>
            </w:pPr>
            <w:r w:rsidRPr="009038E1">
              <w:rPr>
                <w:rFonts w:ascii="Arial" w:hAnsi="Arial" w:cs="Arial"/>
              </w:rPr>
              <w:t>-0.9907</w:t>
            </w:r>
          </w:p>
        </w:tc>
        <w:tc>
          <w:tcPr>
            <w:tcW w:w="1803" w:type="dxa"/>
          </w:tcPr>
          <w:p w14:paraId="573537B2" w14:textId="77777777" w:rsidR="00CD1B3F" w:rsidRPr="009038E1" w:rsidRDefault="00CD1B3F" w:rsidP="0066301C">
            <w:pPr>
              <w:jc w:val="center"/>
              <w:rPr>
                <w:rFonts w:ascii="Arial" w:hAnsi="Arial" w:cs="Arial"/>
              </w:rPr>
            </w:pPr>
            <w:r w:rsidRPr="009038E1">
              <w:rPr>
                <w:rFonts w:ascii="Arial" w:hAnsi="Arial" w:cs="Arial"/>
              </w:rPr>
              <w:t>0.3245</w:t>
            </w:r>
          </w:p>
        </w:tc>
      </w:tr>
    </w:tbl>
    <w:p w14:paraId="24B421A7" w14:textId="77777777" w:rsidR="00CD1B3F" w:rsidRPr="00D75CF4" w:rsidRDefault="00CD1B3F" w:rsidP="0006039D">
      <w:pPr>
        <w:autoSpaceDE w:val="0"/>
        <w:autoSpaceDN w:val="0"/>
        <w:adjustRightInd w:val="0"/>
        <w:spacing w:after="0" w:line="240" w:lineRule="auto"/>
        <w:rPr>
          <w:rFonts w:ascii="Arial" w:hAnsi="Arial" w:cs="Arial"/>
          <w:sz w:val="20"/>
          <w:szCs w:val="20"/>
        </w:rPr>
      </w:pPr>
      <w:r w:rsidRPr="00D75CF4">
        <w:rPr>
          <w:rFonts w:ascii="Arial" w:hAnsi="Arial" w:cs="Arial"/>
          <w:i/>
          <w:sz w:val="20"/>
          <w:szCs w:val="20"/>
        </w:rPr>
        <w:t xml:space="preserve">Source: </w:t>
      </w:r>
      <w:r w:rsidRPr="00D75CF4">
        <w:rPr>
          <w:rFonts w:ascii="Arial" w:hAnsi="Arial" w:cs="Arial"/>
          <w:sz w:val="20"/>
          <w:szCs w:val="20"/>
        </w:rPr>
        <w:t>Computation from using EViews 1</w:t>
      </w:r>
      <w:r>
        <w:rPr>
          <w:rFonts w:ascii="Arial" w:hAnsi="Arial" w:cs="Arial"/>
          <w:sz w:val="20"/>
          <w:szCs w:val="20"/>
        </w:rPr>
        <w:t>2</w:t>
      </w:r>
    </w:p>
    <w:p w14:paraId="06F287C3" w14:textId="54668B60" w:rsidR="00486FC6" w:rsidRPr="00FE43E1" w:rsidRDefault="00486FC6" w:rsidP="0006039D">
      <w:pPr>
        <w:spacing w:before="240" w:line="360" w:lineRule="auto"/>
        <w:jc w:val="both"/>
        <w:rPr>
          <w:rFonts w:ascii="Arial" w:hAnsi="Arial" w:cs="Arial"/>
        </w:rPr>
      </w:pPr>
      <w:r w:rsidRPr="00FE43E1">
        <w:rPr>
          <w:rFonts w:ascii="Arial" w:hAnsi="Arial" w:cs="Arial"/>
        </w:rPr>
        <w:t xml:space="preserve">The result shows that in the long-run, only OPEN has a positive impact on economic growth as </w:t>
      </w:r>
      <w:r w:rsidR="001872AA">
        <w:rPr>
          <w:rFonts w:ascii="Arial" w:hAnsi="Arial" w:cs="Arial"/>
        </w:rPr>
        <w:t xml:space="preserve">an </w:t>
      </w:r>
      <w:r w:rsidRPr="00FE43E1">
        <w:rPr>
          <w:rFonts w:ascii="Arial" w:hAnsi="Arial" w:cs="Arial"/>
        </w:rPr>
        <w:t xml:space="preserve">increase in OPEN </w:t>
      </w:r>
      <w:r w:rsidR="001872AA">
        <w:rPr>
          <w:rFonts w:ascii="Arial" w:hAnsi="Arial" w:cs="Arial"/>
        </w:rPr>
        <w:t xml:space="preserve">by 1 </w:t>
      </w:r>
      <w:r w:rsidR="001872AA" w:rsidRPr="00FE43E1">
        <w:rPr>
          <w:rFonts w:ascii="Arial" w:hAnsi="Arial" w:cs="Arial"/>
        </w:rPr>
        <w:t>lead</w:t>
      </w:r>
      <w:r w:rsidRPr="00FE43E1">
        <w:rPr>
          <w:rFonts w:ascii="Arial" w:hAnsi="Arial" w:cs="Arial"/>
        </w:rPr>
        <w:t xml:space="preserve"> to a</w:t>
      </w:r>
      <w:r w:rsidR="001872AA">
        <w:rPr>
          <w:rFonts w:ascii="Arial" w:hAnsi="Arial" w:cs="Arial"/>
        </w:rPr>
        <w:t>n</w:t>
      </w:r>
      <w:r w:rsidRPr="00FE43E1">
        <w:rPr>
          <w:rFonts w:ascii="Arial" w:hAnsi="Arial" w:cs="Arial"/>
        </w:rPr>
        <w:t xml:space="preserve"> increase in the region’s economic growth</w:t>
      </w:r>
      <w:r w:rsidR="001872AA">
        <w:rPr>
          <w:rFonts w:ascii="Arial" w:hAnsi="Arial" w:cs="Arial"/>
        </w:rPr>
        <w:t xml:space="preserve"> by 0.02</w:t>
      </w:r>
      <w:r w:rsidRPr="00FE43E1">
        <w:rPr>
          <w:rFonts w:ascii="Arial" w:hAnsi="Arial" w:cs="Arial"/>
        </w:rPr>
        <w:t>, and it is statistically significant with </w:t>
      </w:r>
      <w:r w:rsidRPr="00FE43E1">
        <w:rPr>
          <w:rStyle w:val="Emphasis"/>
          <w:rFonts w:ascii="Arial" w:hAnsi="Arial" w:cs="Arial"/>
          <w:color w:val="0E101A"/>
        </w:rPr>
        <w:t>t-statistic</w:t>
      </w:r>
      <w:r w:rsidR="001872AA">
        <w:rPr>
          <w:rStyle w:val="Emphasis"/>
          <w:rFonts w:ascii="Arial" w:hAnsi="Arial" w:cs="Arial"/>
          <w:color w:val="0E101A"/>
        </w:rPr>
        <w:t xml:space="preserve"> </w:t>
      </w:r>
      <w:r w:rsidR="001872AA">
        <w:rPr>
          <w:rStyle w:val="Emphasis"/>
          <w:rFonts w:ascii="Arial" w:hAnsi="Arial" w:cs="Arial"/>
          <w:i w:val="0"/>
          <w:iCs w:val="0"/>
          <w:color w:val="0E101A"/>
        </w:rPr>
        <w:t>&gt;</w:t>
      </w:r>
      <w:r w:rsidRPr="00FE43E1">
        <w:rPr>
          <w:rStyle w:val="Emphasis"/>
          <w:rFonts w:ascii="Arial" w:hAnsi="Arial" w:cs="Arial"/>
          <w:color w:val="0E101A"/>
        </w:rPr>
        <w:t> </w:t>
      </w:r>
      <w:r w:rsidRPr="00FE43E1">
        <w:rPr>
          <w:rFonts w:ascii="Arial" w:hAnsi="Arial" w:cs="Arial"/>
        </w:rPr>
        <w:t>|2| (i.e., </w:t>
      </w:r>
      <w:r w:rsidRPr="00FE43E1">
        <w:rPr>
          <w:rStyle w:val="Emphasis"/>
          <w:rFonts w:ascii="Arial" w:hAnsi="Arial" w:cs="Arial"/>
          <w:color w:val="0E101A"/>
        </w:rPr>
        <w:t>t-stat </w:t>
      </w:r>
      <w:r w:rsidRPr="00FE43E1">
        <w:rPr>
          <w:rFonts w:ascii="Arial" w:hAnsi="Arial" w:cs="Arial"/>
        </w:rPr>
        <w:t>of 4.952). On the other hand, GOVCON has an inverse (negative) relationship with economic growth (i.e., it causes a drop in economic growth). A</w:t>
      </w:r>
      <w:r w:rsidR="001872AA">
        <w:rPr>
          <w:rFonts w:ascii="Arial" w:hAnsi="Arial" w:cs="Arial"/>
        </w:rPr>
        <w:t>n</w:t>
      </w:r>
      <w:r w:rsidRPr="00FE43E1">
        <w:rPr>
          <w:rFonts w:ascii="Arial" w:hAnsi="Arial" w:cs="Arial"/>
        </w:rPr>
        <w:t xml:space="preserve"> increase in GOVCON </w:t>
      </w:r>
      <w:r w:rsidR="001872AA">
        <w:rPr>
          <w:rFonts w:ascii="Arial" w:hAnsi="Arial" w:cs="Arial"/>
        </w:rPr>
        <w:t xml:space="preserve">by 1 </w:t>
      </w:r>
      <w:r w:rsidRPr="00FE43E1">
        <w:rPr>
          <w:rFonts w:ascii="Arial" w:hAnsi="Arial" w:cs="Arial"/>
        </w:rPr>
        <w:t>causes a (-0.81) drop in economic growth </w:t>
      </w:r>
      <w:r w:rsidRPr="00FE43E1">
        <w:rPr>
          <w:rStyle w:val="Emphasis"/>
          <w:rFonts w:ascii="Arial" w:hAnsi="Arial" w:cs="Arial"/>
          <w:color w:val="0E101A"/>
        </w:rPr>
        <w:t>ceteris paribus</w:t>
      </w:r>
      <w:r w:rsidRPr="00FE43E1">
        <w:rPr>
          <w:rFonts w:ascii="Arial" w:hAnsi="Arial" w:cs="Arial"/>
        </w:rPr>
        <w:t>. The result is statistically significant with a </w:t>
      </w:r>
      <w:r w:rsidRPr="00FE43E1">
        <w:rPr>
          <w:rStyle w:val="Emphasis"/>
          <w:rFonts w:ascii="Arial" w:hAnsi="Arial" w:cs="Arial"/>
          <w:color w:val="0E101A"/>
        </w:rPr>
        <w:t>t-statistic </w:t>
      </w:r>
      <w:r w:rsidR="001872AA">
        <w:rPr>
          <w:rStyle w:val="Emphasis"/>
          <w:rFonts w:ascii="Arial" w:hAnsi="Arial" w:cs="Arial"/>
          <w:color w:val="0E101A"/>
        </w:rPr>
        <w:t xml:space="preserve">&gt; </w:t>
      </w:r>
      <w:r w:rsidRPr="00FE43E1">
        <w:rPr>
          <w:rFonts w:ascii="Arial" w:hAnsi="Arial" w:cs="Arial"/>
        </w:rPr>
        <w:t>|2| (i.e., </w:t>
      </w:r>
      <w:r w:rsidRPr="00FE43E1">
        <w:rPr>
          <w:rStyle w:val="Emphasis"/>
          <w:rFonts w:ascii="Arial" w:hAnsi="Arial" w:cs="Arial"/>
          <w:color w:val="0E101A"/>
        </w:rPr>
        <w:t>t-stat </w:t>
      </w:r>
      <w:r w:rsidRPr="00FE43E1">
        <w:rPr>
          <w:rFonts w:ascii="Arial" w:hAnsi="Arial" w:cs="Arial"/>
        </w:rPr>
        <w:t>of -4.4).</w:t>
      </w:r>
    </w:p>
    <w:bookmarkEnd w:id="517"/>
    <w:p w14:paraId="214F03C2" w14:textId="2230FFA7" w:rsidR="00486FC6" w:rsidRPr="00FE43E1" w:rsidRDefault="00486FC6" w:rsidP="0066301C">
      <w:pPr>
        <w:spacing w:line="360" w:lineRule="auto"/>
        <w:jc w:val="both"/>
        <w:rPr>
          <w:rFonts w:ascii="Arial" w:hAnsi="Arial" w:cs="Arial"/>
        </w:rPr>
      </w:pPr>
      <w:r w:rsidRPr="00FE43E1">
        <w:rPr>
          <w:rFonts w:ascii="Arial" w:hAnsi="Arial" w:cs="Arial"/>
        </w:rPr>
        <w:t>Meanwhile, REER, FDI, and TOT do not impact economic growth (i.e., there is no long-run relationship between these independent variables and economic growth). This is because their </w:t>
      </w:r>
      <w:r w:rsidRPr="00FE43E1">
        <w:rPr>
          <w:rStyle w:val="Emphasis"/>
          <w:rFonts w:ascii="Arial" w:hAnsi="Arial" w:cs="Arial"/>
          <w:color w:val="0E101A"/>
        </w:rPr>
        <w:t>p-</w:t>
      </w:r>
      <w:r w:rsidRPr="00FE43E1">
        <w:rPr>
          <w:rFonts w:ascii="Arial" w:hAnsi="Arial" w:cs="Arial"/>
        </w:rPr>
        <w:t>value is more than 0.05 (i.e., 0.0852, 0.4512, and 0.3245, respectively) and are statistically insignificant with </w:t>
      </w:r>
      <w:r w:rsidRPr="00FE43E1">
        <w:rPr>
          <w:rStyle w:val="Emphasis"/>
          <w:rFonts w:ascii="Arial" w:hAnsi="Arial" w:cs="Arial"/>
          <w:color w:val="0E101A"/>
        </w:rPr>
        <w:t>t-statistic</w:t>
      </w:r>
      <w:r w:rsidR="009F6C74">
        <w:rPr>
          <w:rStyle w:val="Emphasis"/>
          <w:rFonts w:ascii="Arial" w:hAnsi="Arial" w:cs="Arial"/>
          <w:color w:val="0E101A"/>
        </w:rPr>
        <w:t xml:space="preserve"> &lt;</w:t>
      </w:r>
      <w:r w:rsidRPr="00FE43E1">
        <w:rPr>
          <w:rStyle w:val="Emphasis"/>
          <w:rFonts w:ascii="Arial" w:hAnsi="Arial" w:cs="Arial"/>
          <w:color w:val="0E101A"/>
        </w:rPr>
        <w:t> </w:t>
      </w:r>
      <w:r w:rsidRPr="00FE43E1">
        <w:rPr>
          <w:rFonts w:ascii="Arial" w:hAnsi="Arial" w:cs="Arial"/>
        </w:rPr>
        <w:t>|2| (i.e., -1.74, 0.7566, -0.9907 respectively). This implies that exchange rate devaluation does not impact/ improve the economic growth of the CEMAC region. On the other hand, we could assume that because the currency is at its equilibrium, it could not impact the economic growth (i.e., when the CFA franc is at equilibrium, it does not influence the economic growth - this is because, after the 1994 devaluation, the currency has been revolving around its equilibrium till the year 2018). Thus, the CEMAC governments and monetary authorities should use other strategies to improve their economic growth. This result is in line with that of Kangami and Akinkugbe (2019), investigating “the effect of a common currency on economic growth: Evidence from CEMAC Custom Union”. They analysed the causal effects of the common currency on economic growth. Their findings showed that the monetary policy change instituted in the CEMAC region in 1994 has not played any significant role in promoting economic growth in the CEMAC region. </w:t>
      </w:r>
    </w:p>
    <w:p w14:paraId="6F4FDAA1" w14:textId="77777777" w:rsidR="00486FC6" w:rsidRPr="00FE43E1" w:rsidRDefault="00486FC6" w:rsidP="0066301C">
      <w:pPr>
        <w:spacing w:line="360" w:lineRule="auto"/>
        <w:jc w:val="both"/>
        <w:rPr>
          <w:rFonts w:ascii="Arial" w:hAnsi="Arial" w:cs="Arial"/>
        </w:rPr>
      </w:pPr>
      <w:r w:rsidRPr="00FE43E1">
        <w:rPr>
          <w:rFonts w:ascii="Arial" w:hAnsi="Arial" w:cs="Arial"/>
        </w:rPr>
        <w:t xml:space="preserve">Statistics from the World Bank’s World Development Indicators (2018) show that the GDP per capita growth (annual %) of individual CEMAC nations has been very mediocre. As of the year 2018, the GDP per capita growth (annual %) for Cameroon, CAR, and Gabon was 1.121%, 1.792%, and -1.545%, respectively. For the other CEMAC nations, Chad, Congo, and Equatorial Guinea, their GDP per capita growth (annual %) was -1.027%, -7.057%, and -9.445%, respectively. All these show that the standard of living of CEMAC nations is </w:t>
      </w:r>
      <w:r w:rsidRPr="00FE43E1">
        <w:rPr>
          <w:rFonts w:ascii="Arial" w:hAnsi="Arial" w:cs="Arial"/>
        </w:rPr>
        <w:lastRenderedPageBreak/>
        <w:t>low.</w:t>
      </w:r>
      <w:r>
        <w:rPr>
          <w:rStyle w:val="FootnoteReference"/>
          <w:rFonts w:ascii="Arial" w:hAnsi="Arial" w:cs="Arial"/>
        </w:rPr>
        <w:footnoteReference w:id="160"/>
      </w:r>
      <w:r w:rsidRPr="00FE43E1">
        <w:rPr>
          <w:rFonts w:ascii="Arial" w:hAnsi="Arial" w:cs="Arial"/>
        </w:rPr>
        <w:t> CEMAC’s poor economic performance in terms of GDP growth could be attributed to several obstacles. These obstacles are mostly institutional and political in nature.</w:t>
      </w:r>
    </w:p>
    <w:p w14:paraId="65833252" w14:textId="50EB6478" w:rsidR="00486FC6" w:rsidRPr="00FE43E1" w:rsidRDefault="00486FC6" w:rsidP="0066301C">
      <w:pPr>
        <w:spacing w:line="360" w:lineRule="auto"/>
        <w:jc w:val="both"/>
        <w:rPr>
          <w:rFonts w:ascii="Arial" w:hAnsi="Arial" w:cs="Arial"/>
        </w:rPr>
      </w:pPr>
      <w:bookmarkStart w:id="518" w:name="_Hlk162620169"/>
      <w:r w:rsidRPr="00FE43E1">
        <w:rPr>
          <w:rFonts w:ascii="Arial" w:hAnsi="Arial" w:cs="Arial"/>
        </w:rPr>
        <w:t xml:space="preserve">Beginning from the investment or business climate, statistics indicate that CEMAC region does not have an attractive business environment/ climate. According to the World Bank’s Doing Business Report (2020), CEMAC nations' business environment is far from being attractive, as can be </w:t>
      </w:r>
      <w:r w:rsidRPr="00DB2D41">
        <w:rPr>
          <w:rFonts w:ascii="Arial" w:hAnsi="Arial" w:cs="Arial"/>
        </w:rPr>
        <w:t>seen in Table 5.7 in the appendix</w:t>
      </w:r>
      <w:r w:rsidR="00DB2D41" w:rsidRPr="00DB2D41">
        <w:rPr>
          <w:rFonts w:ascii="Arial" w:hAnsi="Arial" w:cs="Arial"/>
        </w:rPr>
        <w:t xml:space="preserve"> C</w:t>
      </w:r>
      <w:r w:rsidRPr="00DB2D41">
        <w:rPr>
          <w:rFonts w:ascii="Arial" w:hAnsi="Arial" w:cs="Arial"/>
        </w:rPr>
        <w:t>.</w:t>
      </w:r>
      <w:r w:rsidRPr="00FE43E1">
        <w:rPr>
          <w:rFonts w:ascii="Arial" w:hAnsi="Arial" w:cs="Arial"/>
        </w:rPr>
        <w:t xml:space="preserve"> None of the indicators used indicate a good or positive condition for any of the six CEMAC nations, implying that their business climate is unconducive. It is a consensus among economists that international trade acts as an engine to the economic growth of nations (Metougue, </w:t>
      </w:r>
      <w:r w:rsidRPr="00FE43E1">
        <w:rPr>
          <w:rStyle w:val="Emphasis"/>
          <w:rFonts w:ascii="Arial" w:hAnsi="Arial" w:cs="Arial"/>
          <w:color w:val="0E101A"/>
        </w:rPr>
        <w:t>et al., </w:t>
      </w:r>
      <w:r w:rsidRPr="00FE43E1">
        <w:rPr>
          <w:rFonts w:ascii="Arial" w:hAnsi="Arial" w:cs="Arial"/>
        </w:rPr>
        <w:t>2020; Bond </w:t>
      </w:r>
      <w:r w:rsidRPr="00FE43E1">
        <w:rPr>
          <w:rStyle w:val="Emphasis"/>
          <w:rFonts w:ascii="Arial" w:hAnsi="Arial" w:cs="Arial"/>
          <w:color w:val="0E101A"/>
        </w:rPr>
        <w:t>et al., </w:t>
      </w:r>
      <w:r w:rsidRPr="00FE43E1">
        <w:rPr>
          <w:rFonts w:ascii="Arial" w:hAnsi="Arial" w:cs="Arial"/>
        </w:rPr>
        <w:t xml:space="preserve">2005; Barro and Sala-i-Martin, 1997). They believe that trade, especially international trade, promotes the efficient allocation of resources, allows nations to experience the benefit of economies of scale, transfer of knowledge, fosters technological progress, and propagates competition, which is good for the nation. </w:t>
      </w:r>
      <w:r w:rsidRPr="00DB2D41">
        <w:rPr>
          <w:rFonts w:ascii="Arial" w:hAnsi="Arial" w:cs="Arial"/>
        </w:rPr>
        <w:t xml:space="preserve">However, the data </w:t>
      </w:r>
      <w:r w:rsidR="00DB2D41" w:rsidRPr="00DB2D41">
        <w:rPr>
          <w:rFonts w:ascii="Arial" w:hAnsi="Arial" w:cs="Arial"/>
        </w:rPr>
        <w:t>o</w:t>
      </w:r>
      <w:r w:rsidRPr="00DB2D41">
        <w:rPr>
          <w:rFonts w:ascii="Arial" w:hAnsi="Arial" w:cs="Arial"/>
        </w:rPr>
        <w:t>n Table 5.7 in the appendix</w:t>
      </w:r>
      <w:r w:rsidRPr="00FE43E1">
        <w:rPr>
          <w:rFonts w:ascii="Arial" w:hAnsi="Arial" w:cs="Arial"/>
        </w:rPr>
        <w:t xml:space="preserve"> </w:t>
      </w:r>
      <w:r w:rsidR="00DB2D41">
        <w:rPr>
          <w:rFonts w:ascii="Arial" w:hAnsi="Arial" w:cs="Arial"/>
        </w:rPr>
        <w:t xml:space="preserve">C </w:t>
      </w:r>
      <w:r w:rsidRPr="00FE43E1">
        <w:rPr>
          <w:rFonts w:ascii="Arial" w:hAnsi="Arial" w:cs="Arial"/>
        </w:rPr>
        <w:t>“Doing Business Index for the six CEMAC nations shows an unhealthy business climate. </w:t>
      </w:r>
    </w:p>
    <w:p w14:paraId="752E59EA" w14:textId="77777777" w:rsidR="00486FC6" w:rsidRPr="00FE43E1" w:rsidRDefault="00486FC6" w:rsidP="0066301C">
      <w:pPr>
        <w:spacing w:line="360" w:lineRule="auto"/>
        <w:jc w:val="both"/>
        <w:rPr>
          <w:rFonts w:ascii="Arial" w:hAnsi="Arial" w:cs="Arial"/>
        </w:rPr>
      </w:pPr>
      <w:bookmarkStart w:id="519" w:name="_Hlk170934681"/>
      <w:r w:rsidRPr="00FE43E1">
        <w:rPr>
          <w:rFonts w:ascii="Arial" w:hAnsi="Arial" w:cs="Arial"/>
        </w:rPr>
        <w:t>Moreover, the statistics from Transparency International (2018) indicate that corruption is endemic in the CEMAC region.</w:t>
      </w:r>
      <w:r>
        <w:rPr>
          <w:rStyle w:val="FootnoteReference"/>
          <w:rFonts w:ascii="Arial" w:hAnsi="Arial" w:cs="Arial"/>
        </w:rPr>
        <w:footnoteReference w:id="161"/>
      </w:r>
      <w:r w:rsidRPr="00FE43E1">
        <w:rPr>
          <w:rFonts w:ascii="Arial" w:hAnsi="Arial" w:cs="Arial"/>
        </w:rPr>
        <w:t> The figures reveal the following:</w:t>
      </w:r>
    </w:p>
    <w:p w14:paraId="0E3C55F4" w14:textId="77777777" w:rsidR="00486FC6" w:rsidRPr="00FE43E1" w:rsidRDefault="00486FC6" w:rsidP="0066301C">
      <w:pPr>
        <w:numPr>
          <w:ilvl w:val="0"/>
          <w:numId w:val="43"/>
        </w:numPr>
        <w:spacing w:after="0" w:line="360" w:lineRule="auto"/>
        <w:jc w:val="both"/>
        <w:rPr>
          <w:rFonts w:ascii="Arial" w:hAnsi="Arial" w:cs="Arial"/>
          <w:color w:val="0E101A"/>
        </w:rPr>
      </w:pPr>
      <w:r w:rsidRPr="00FE43E1">
        <w:rPr>
          <w:rFonts w:ascii="Arial" w:hAnsi="Arial" w:cs="Arial"/>
          <w:color w:val="0E101A"/>
        </w:rPr>
        <w:t>Gabon is ranked 124</w:t>
      </w:r>
      <w:r w:rsidRPr="00FE43E1">
        <w:rPr>
          <w:rFonts w:ascii="Arial" w:hAnsi="Arial" w:cs="Arial"/>
          <w:color w:val="0E101A"/>
          <w:vertAlign w:val="superscript"/>
        </w:rPr>
        <w:t>th</w:t>
      </w:r>
      <w:r>
        <w:rPr>
          <w:rFonts w:ascii="Arial" w:hAnsi="Arial" w:cs="Arial"/>
          <w:color w:val="0E101A"/>
        </w:rPr>
        <w:t xml:space="preserve"> </w:t>
      </w:r>
      <w:r w:rsidRPr="00FE43E1">
        <w:rPr>
          <w:rFonts w:ascii="Arial" w:hAnsi="Arial" w:cs="Arial"/>
          <w:color w:val="0E101A"/>
        </w:rPr>
        <w:t>out of 180 nations with a score of 31/100.</w:t>
      </w:r>
    </w:p>
    <w:p w14:paraId="3BBA3381" w14:textId="77777777" w:rsidR="00486FC6" w:rsidRPr="00FE43E1" w:rsidRDefault="00486FC6" w:rsidP="0066301C">
      <w:pPr>
        <w:numPr>
          <w:ilvl w:val="0"/>
          <w:numId w:val="43"/>
        </w:numPr>
        <w:spacing w:after="0" w:line="360" w:lineRule="auto"/>
        <w:jc w:val="both"/>
        <w:rPr>
          <w:rFonts w:ascii="Arial" w:hAnsi="Arial" w:cs="Arial"/>
          <w:color w:val="0E101A"/>
        </w:rPr>
      </w:pPr>
      <w:r w:rsidRPr="00FE43E1">
        <w:rPr>
          <w:rFonts w:ascii="Arial" w:hAnsi="Arial" w:cs="Arial"/>
          <w:color w:val="0E101A"/>
        </w:rPr>
        <w:t>CAR is ranked 149</w:t>
      </w:r>
      <w:r w:rsidRPr="00FE43E1">
        <w:rPr>
          <w:rFonts w:ascii="Arial" w:hAnsi="Arial" w:cs="Arial"/>
          <w:color w:val="0E101A"/>
          <w:vertAlign w:val="superscript"/>
        </w:rPr>
        <w:t>th</w:t>
      </w:r>
      <w:r>
        <w:rPr>
          <w:rFonts w:ascii="Arial" w:hAnsi="Arial" w:cs="Arial"/>
          <w:color w:val="0E101A"/>
        </w:rPr>
        <w:t xml:space="preserve"> </w:t>
      </w:r>
      <w:r w:rsidRPr="00FE43E1">
        <w:rPr>
          <w:rFonts w:ascii="Arial" w:hAnsi="Arial" w:cs="Arial"/>
          <w:color w:val="0E101A"/>
        </w:rPr>
        <w:t>out of 180 with a score of 26/100.</w:t>
      </w:r>
    </w:p>
    <w:p w14:paraId="7156A8BD" w14:textId="77777777" w:rsidR="00486FC6" w:rsidRPr="00FE43E1" w:rsidRDefault="00486FC6" w:rsidP="0066301C">
      <w:pPr>
        <w:numPr>
          <w:ilvl w:val="0"/>
          <w:numId w:val="43"/>
        </w:numPr>
        <w:spacing w:after="0" w:line="360" w:lineRule="auto"/>
        <w:jc w:val="both"/>
        <w:rPr>
          <w:rFonts w:ascii="Arial" w:hAnsi="Arial" w:cs="Arial"/>
          <w:color w:val="0E101A"/>
        </w:rPr>
      </w:pPr>
      <w:r w:rsidRPr="00FE43E1">
        <w:rPr>
          <w:rFonts w:ascii="Arial" w:hAnsi="Arial" w:cs="Arial"/>
          <w:color w:val="0E101A"/>
        </w:rPr>
        <w:t>Cameroon is ranked 152</w:t>
      </w:r>
      <w:r w:rsidRPr="00FE43E1">
        <w:rPr>
          <w:rFonts w:ascii="Arial" w:hAnsi="Arial" w:cs="Arial"/>
          <w:color w:val="0E101A"/>
          <w:vertAlign w:val="superscript"/>
        </w:rPr>
        <w:t>nd</w:t>
      </w:r>
      <w:r>
        <w:rPr>
          <w:rFonts w:ascii="Arial" w:hAnsi="Arial" w:cs="Arial"/>
          <w:color w:val="0E101A"/>
        </w:rPr>
        <w:t xml:space="preserve"> </w:t>
      </w:r>
      <w:r w:rsidRPr="00FE43E1">
        <w:rPr>
          <w:rFonts w:ascii="Arial" w:hAnsi="Arial" w:cs="Arial"/>
          <w:color w:val="0E101A"/>
        </w:rPr>
        <w:t>out of 180 with a score of 25/100.</w:t>
      </w:r>
    </w:p>
    <w:p w14:paraId="24944270" w14:textId="77777777" w:rsidR="00486FC6" w:rsidRPr="00FE43E1" w:rsidRDefault="00486FC6" w:rsidP="0066301C">
      <w:pPr>
        <w:numPr>
          <w:ilvl w:val="0"/>
          <w:numId w:val="43"/>
        </w:numPr>
        <w:spacing w:after="0" w:line="360" w:lineRule="auto"/>
        <w:jc w:val="both"/>
        <w:rPr>
          <w:rFonts w:ascii="Arial" w:hAnsi="Arial" w:cs="Arial"/>
          <w:color w:val="0E101A"/>
        </w:rPr>
      </w:pPr>
      <w:r w:rsidRPr="00FE43E1">
        <w:rPr>
          <w:rFonts w:ascii="Arial" w:hAnsi="Arial" w:cs="Arial"/>
          <w:color w:val="0E101A"/>
        </w:rPr>
        <w:t>Chad and Congo are both ranked 165</w:t>
      </w:r>
      <w:r w:rsidRPr="00FE43E1">
        <w:rPr>
          <w:rFonts w:ascii="Arial" w:hAnsi="Arial" w:cs="Arial"/>
          <w:color w:val="0E101A"/>
          <w:vertAlign w:val="superscript"/>
        </w:rPr>
        <w:t>th</w:t>
      </w:r>
      <w:r>
        <w:rPr>
          <w:rFonts w:ascii="Arial" w:hAnsi="Arial" w:cs="Arial"/>
          <w:color w:val="0E101A"/>
        </w:rPr>
        <w:t xml:space="preserve"> </w:t>
      </w:r>
      <w:r w:rsidRPr="00FE43E1">
        <w:rPr>
          <w:rFonts w:ascii="Arial" w:hAnsi="Arial" w:cs="Arial"/>
          <w:color w:val="0E101A"/>
        </w:rPr>
        <w:t>with a score of 19/100.</w:t>
      </w:r>
    </w:p>
    <w:p w14:paraId="66C58C31" w14:textId="77777777" w:rsidR="00486FC6" w:rsidRPr="00FE43E1" w:rsidRDefault="00486FC6" w:rsidP="0066301C">
      <w:pPr>
        <w:numPr>
          <w:ilvl w:val="0"/>
          <w:numId w:val="43"/>
        </w:numPr>
        <w:spacing w:after="0" w:line="360" w:lineRule="auto"/>
        <w:jc w:val="both"/>
        <w:rPr>
          <w:rFonts w:ascii="Arial" w:hAnsi="Arial" w:cs="Arial"/>
          <w:color w:val="0E101A"/>
        </w:rPr>
      </w:pPr>
      <w:r w:rsidRPr="00FE43E1">
        <w:rPr>
          <w:rFonts w:ascii="Arial" w:hAnsi="Arial" w:cs="Arial"/>
          <w:color w:val="0E101A"/>
        </w:rPr>
        <w:t>Equatorial Guinea is ranked 172</w:t>
      </w:r>
      <w:r w:rsidRPr="00FE43E1">
        <w:rPr>
          <w:rFonts w:ascii="Arial" w:hAnsi="Arial" w:cs="Arial"/>
          <w:color w:val="0E101A"/>
          <w:vertAlign w:val="superscript"/>
        </w:rPr>
        <w:t>nd</w:t>
      </w:r>
      <w:r>
        <w:rPr>
          <w:rFonts w:ascii="Arial" w:hAnsi="Arial" w:cs="Arial"/>
          <w:color w:val="0E101A"/>
        </w:rPr>
        <w:t xml:space="preserve"> </w:t>
      </w:r>
      <w:r w:rsidRPr="00FE43E1">
        <w:rPr>
          <w:rFonts w:ascii="Arial" w:hAnsi="Arial" w:cs="Arial"/>
          <w:color w:val="0E101A"/>
        </w:rPr>
        <w:t>with a score of 16/100.</w:t>
      </w:r>
    </w:p>
    <w:p w14:paraId="43A014E8" w14:textId="77777777" w:rsidR="00486FC6" w:rsidRPr="00FE43E1" w:rsidRDefault="00486FC6" w:rsidP="0066301C">
      <w:pPr>
        <w:spacing w:line="360" w:lineRule="auto"/>
        <w:jc w:val="both"/>
        <w:rPr>
          <w:rFonts w:ascii="Arial" w:hAnsi="Arial" w:cs="Arial"/>
        </w:rPr>
      </w:pPr>
      <w:r w:rsidRPr="00FE43E1">
        <w:rPr>
          <w:rFonts w:ascii="Arial" w:hAnsi="Arial" w:cs="Arial"/>
        </w:rPr>
        <w:t>None of the scores is up to 50, and this does not speak well of the region. Such unconducive conditions repel investors from the region and cause adverse economic growth. </w:t>
      </w:r>
    </w:p>
    <w:bookmarkEnd w:id="519"/>
    <w:p w14:paraId="6F4EF1B4" w14:textId="6B30C4CE" w:rsidR="00486FC6" w:rsidRPr="00FE43E1" w:rsidRDefault="00486FC6" w:rsidP="0066301C">
      <w:pPr>
        <w:spacing w:line="360" w:lineRule="auto"/>
        <w:jc w:val="both"/>
        <w:rPr>
          <w:rFonts w:ascii="Arial" w:hAnsi="Arial" w:cs="Arial"/>
        </w:rPr>
      </w:pPr>
      <w:r w:rsidRPr="00FE43E1">
        <w:rPr>
          <w:rFonts w:ascii="Arial" w:hAnsi="Arial" w:cs="Arial"/>
        </w:rPr>
        <w:t xml:space="preserve">Finally, the region has suffered much economic stagnation as well as economic decline due to political instability in the region. After enjoying decades of political stability, Cameroon has been wrestling for years now with attacks by Boko Haram in the Far North Region of the nation, Rebel attacks in the East Region, and the Secessionist insurrection in the Anglophone regions </w:t>
      </w:r>
      <w:r w:rsidRPr="00FE43E1">
        <w:rPr>
          <w:rFonts w:ascii="Arial" w:hAnsi="Arial" w:cs="Arial"/>
        </w:rPr>
        <w:lastRenderedPageBreak/>
        <w:t>of the nation, which has caused the death of thousands of citizens. These political instabilities have seriously impeded the free flow of goods and services within Cameroon as well as within the CEMAC region, which led to a drop in the economic growth of both the nation and the region (Metougue, </w:t>
      </w:r>
      <w:r w:rsidRPr="00FE43E1">
        <w:rPr>
          <w:rStyle w:val="Emphasis"/>
          <w:rFonts w:ascii="Arial" w:hAnsi="Arial" w:cs="Arial"/>
          <w:color w:val="0E101A"/>
        </w:rPr>
        <w:t>et al., </w:t>
      </w:r>
      <w:r w:rsidRPr="00FE43E1">
        <w:rPr>
          <w:rFonts w:ascii="Arial" w:hAnsi="Arial" w:cs="Arial"/>
        </w:rPr>
        <w:t>2020). Central African Republic (CAR) has also been experiencing armed rebel conflicts over the years.</w:t>
      </w:r>
      <w:r>
        <w:rPr>
          <w:rStyle w:val="FootnoteReference"/>
          <w:rFonts w:ascii="Arial" w:hAnsi="Arial" w:cs="Arial"/>
        </w:rPr>
        <w:footnoteReference w:id="162"/>
      </w:r>
      <w:r w:rsidRPr="00FE43E1">
        <w:rPr>
          <w:rFonts w:ascii="Arial" w:hAnsi="Arial" w:cs="Arial"/>
        </w:rPr>
        <w:t xml:space="preserve"> With regards to Equatorial Guinea, there have been failed coup attempts in the years 2004 and 2017, which has kept the government on a constant alert. Finally, the pirates along the Gulf of Guinea </w:t>
      </w:r>
      <w:bookmarkEnd w:id="518"/>
      <w:r w:rsidRPr="00FE43E1">
        <w:rPr>
          <w:rFonts w:ascii="Arial" w:hAnsi="Arial" w:cs="Arial"/>
        </w:rPr>
        <w:t xml:space="preserve">have made the region very vulnerable to instability. Thus, </w:t>
      </w:r>
      <w:r w:rsidR="009805C9" w:rsidRPr="00FE43E1">
        <w:rPr>
          <w:rFonts w:ascii="Arial" w:hAnsi="Arial" w:cs="Arial"/>
        </w:rPr>
        <w:t>institutional,</w:t>
      </w:r>
      <w:r w:rsidRPr="00FE43E1">
        <w:rPr>
          <w:rFonts w:ascii="Arial" w:hAnsi="Arial" w:cs="Arial"/>
        </w:rPr>
        <w:t xml:space="preserve"> and political obstacles act as impediments to the growth of trade flow and economic growth in the CEMAC region. As such, policymakers ought to take urgent and consistent actions to dismantle these impediments so that the CEMAC region can enjoy economic prosperity.</w:t>
      </w:r>
    </w:p>
    <w:p w14:paraId="0E7B3628" w14:textId="15A6802A" w:rsidR="00ED46D4" w:rsidRPr="008204CC" w:rsidRDefault="00936DC3" w:rsidP="0066301C">
      <w:pPr>
        <w:pStyle w:val="Heading3"/>
        <w:numPr>
          <w:ilvl w:val="0"/>
          <w:numId w:val="0"/>
        </w:numPr>
        <w:spacing w:before="0" w:beforeAutospacing="0"/>
        <w:rPr>
          <w:lang w:val="en-US" w:eastAsia="en-GB"/>
        </w:rPr>
      </w:pPr>
      <w:bookmarkStart w:id="520" w:name="_Toc171075440"/>
      <w:bookmarkStart w:id="521" w:name="_Hlk170841229"/>
      <w:r>
        <w:rPr>
          <w:lang w:val="en-US" w:eastAsia="en-GB"/>
        </w:rPr>
        <w:t>5.</w:t>
      </w:r>
      <w:r w:rsidR="003F2B25">
        <w:rPr>
          <w:lang w:val="en-US" w:eastAsia="en-GB"/>
        </w:rPr>
        <w:t>5</w:t>
      </w:r>
      <w:r>
        <w:rPr>
          <w:lang w:val="en-US" w:eastAsia="en-GB"/>
        </w:rPr>
        <w:t>.</w:t>
      </w:r>
      <w:r w:rsidRPr="00936DC3">
        <w:t>4</w:t>
      </w:r>
      <w:r>
        <w:tab/>
      </w:r>
      <w:r w:rsidR="00ED46D4" w:rsidRPr="00936DC3">
        <w:t>SHORT</w:t>
      </w:r>
      <w:r w:rsidR="00ED46D4">
        <w:rPr>
          <w:lang w:val="en-US" w:eastAsia="en-GB"/>
        </w:rPr>
        <w:t>-RUN ANALYSIS</w:t>
      </w:r>
      <w:bookmarkEnd w:id="520"/>
    </w:p>
    <w:p w14:paraId="7A4BE217" w14:textId="77777777" w:rsidR="00CD1B3F" w:rsidRDefault="007E0140" w:rsidP="0066301C">
      <w:pPr>
        <w:spacing w:line="360" w:lineRule="auto"/>
        <w:jc w:val="both"/>
        <w:rPr>
          <w:rFonts w:ascii="Arial" w:hAnsi="Arial" w:cs="Arial"/>
        </w:rPr>
      </w:pPr>
      <w:r w:rsidRPr="0073129F">
        <w:rPr>
          <w:rFonts w:ascii="Arial" w:hAnsi="Arial" w:cs="Arial"/>
        </w:rPr>
        <w:t xml:space="preserve">After establishing the long-run relationship between the independent variables and economic growth in the above section, this section discusses the short-run results of the study. Table 5.6 </w:t>
      </w:r>
      <w:r w:rsidR="00CD1B3F">
        <w:rPr>
          <w:rFonts w:ascii="Arial" w:hAnsi="Arial" w:cs="Arial"/>
        </w:rPr>
        <w:t>below</w:t>
      </w:r>
      <w:r w:rsidRPr="0073129F">
        <w:rPr>
          <w:rFonts w:ascii="Arial" w:hAnsi="Arial" w:cs="Arial"/>
        </w:rPr>
        <w:t xml:space="preserve"> illustrates the short-run results of the Error Correction Model estimated by the PMG estimator. </w:t>
      </w:r>
    </w:p>
    <w:p w14:paraId="346D373F" w14:textId="77777777" w:rsidR="00CD1B3F" w:rsidRPr="00D43565" w:rsidRDefault="00CD1B3F" w:rsidP="0066301C">
      <w:pPr>
        <w:spacing w:after="0"/>
        <w:rPr>
          <w:rFonts w:ascii="Arial" w:hAnsi="Arial" w:cs="Arial"/>
          <w:b/>
          <w:bCs/>
        </w:rPr>
      </w:pPr>
      <w:r w:rsidRPr="007C4A32">
        <w:rPr>
          <w:rFonts w:ascii="Arial" w:hAnsi="Arial" w:cs="Arial"/>
          <w:b/>
          <w:bCs/>
        </w:rPr>
        <w:t>Table 5.6: Short-run Results</w:t>
      </w:r>
    </w:p>
    <w:tbl>
      <w:tblPr>
        <w:tblStyle w:val="TableGrid"/>
        <w:tblW w:w="0" w:type="auto"/>
        <w:tblLook w:val="04A0" w:firstRow="1" w:lastRow="0" w:firstColumn="1" w:lastColumn="0" w:noHBand="0" w:noVBand="1"/>
      </w:tblPr>
      <w:tblGrid>
        <w:gridCol w:w="1803"/>
        <w:gridCol w:w="1803"/>
        <w:gridCol w:w="1803"/>
        <w:gridCol w:w="1803"/>
        <w:gridCol w:w="1803"/>
      </w:tblGrid>
      <w:tr w:rsidR="00CD1B3F" w:rsidRPr="00D43565" w14:paraId="077C5491" w14:textId="77777777" w:rsidTr="004D74AB">
        <w:tc>
          <w:tcPr>
            <w:tcW w:w="1803" w:type="dxa"/>
          </w:tcPr>
          <w:p w14:paraId="5CED40A1" w14:textId="77777777" w:rsidR="00CD1B3F" w:rsidRPr="009038E1" w:rsidRDefault="00CD1B3F" w:rsidP="0066301C">
            <w:pPr>
              <w:jc w:val="center"/>
              <w:rPr>
                <w:rFonts w:ascii="Arial" w:hAnsi="Arial" w:cs="Arial"/>
                <w:b/>
                <w:bCs/>
              </w:rPr>
            </w:pPr>
            <w:r w:rsidRPr="009038E1">
              <w:rPr>
                <w:rFonts w:ascii="Arial" w:hAnsi="Arial" w:cs="Arial"/>
                <w:b/>
                <w:bCs/>
              </w:rPr>
              <w:t>Variables</w:t>
            </w:r>
          </w:p>
        </w:tc>
        <w:tc>
          <w:tcPr>
            <w:tcW w:w="1803" w:type="dxa"/>
          </w:tcPr>
          <w:p w14:paraId="14D54B0A" w14:textId="77777777" w:rsidR="00CD1B3F" w:rsidRPr="009038E1" w:rsidRDefault="00CD1B3F" w:rsidP="0066301C">
            <w:pPr>
              <w:jc w:val="center"/>
              <w:rPr>
                <w:rFonts w:ascii="Arial" w:hAnsi="Arial" w:cs="Arial"/>
                <w:b/>
                <w:bCs/>
              </w:rPr>
            </w:pPr>
          </w:p>
        </w:tc>
        <w:tc>
          <w:tcPr>
            <w:tcW w:w="1803" w:type="dxa"/>
          </w:tcPr>
          <w:p w14:paraId="55AC7D59" w14:textId="77777777" w:rsidR="00CD1B3F" w:rsidRPr="009038E1" w:rsidRDefault="00CD1B3F" w:rsidP="0066301C">
            <w:pPr>
              <w:jc w:val="center"/>
              <w:rPr>
                <w:rFonts w:ascii="Arial" w:hAnsi="Arial" w:cs="Arial"/>
                <w:b/>
                <w:bCs/>
              </w:rPr>
            </w:pPr>
            <w:r w:rsidRPr="009038E1">
              <w:rPr>
                <w:rFonts w:ascii="Arial" w:hAnsi="Arial" w:cs="Arial"/>
                <w:b/>
                <w:bCs/>
              </w:rPr>
              <w:t>Coefficient</w:t>
            </w:r>
          </w:p>
        </w:tc>
        <w:tc>
          <w:tcPr>
            <w:tcW w:w="1803" w:type="dxa"/>
          </w:tcPr>
          <w:p w14:paraId="55519A72" w14:textId="77777777" w:rsidR="00CD1B3F" w:rsidRPr="009038E1" w:rsidRDefault="00CD1B3F" w:rsidP="0066301C">
            <w:pPr>
              <w:jc w:val="center"/>
              <w:rPr>
                <w:rFonts w:ascii="Arial" w:hAnsi="Arial" w:cs="Arial"/>
                <w:b/>
                <w:bCs/>
              </w:rPr>
            </w:pPr>
            <w:r w:rsidRPr="009038E1">
              <w:rPr>
                <w:rFonts w:ascii="Arial" w:hAnsi="Arial" w:cs="Arial"/>
                <w:b/>
                <w:bCs/>
              </w:rPr>
              <w:t>t-Statistic</w:t>
            </w:r>
          </w:p>
        </w:tc>
        <w:tc>
          <w:tcPr>
            <w:tcW w:w="1803" w:type="dxa"/>
          </w:tcPr>
          <w:p w14:paraId="369EDC75" w14:textId="77777777" w:rsidR="00CD1B3F" w:rsidRPr="009038E1" w:rsidRDefault="00CD1B3F" w:rsidP="0066301C">
            <w:pPr>
              <w:jc w:val="center"/>
              <w:rPr>
                <w:rFonts w:ascii="Arial" w:hAnsi="Arial" w:cs="Arial"/>
                <w:b/>
                <w:bCs/>
              </w:rPr>
            </w:pPr>
            <w:r w:rsidRPr="009038E1">
              <w:rPr>
                <w:rFonts w:ascii="Arial" w:hAnsi="Arial" w:cs="Arial"/>
                <w:b/>
                <w:bCs/>
              </w:rPr>
              <w:t>P-value</w:t>
            </w:r>
          </w:p>
        </w:tc>
      </w:tr>
      <w:tr w:rsidR="00CD1B3F" w14:paraId="22107BA9" w14:textId="77777777" w:rsidTr="004D74AB">
        <w:tc>
          <w:tcPr>
            <w:tcW w:w="1803" w:type="dxa"/>
          </w:tcPr>
          <w:p w14:paraId="47C4ECE8" w14:textId="77777777" w:rsidR="00CD1B3F" w:rsidRPr="009038E1" w:rsidRDefault="00CD1B3F" w:rsidP="0066301C">
            <w:pPr>
              <w:rPr>
                <w:rFonts w:ascii="Arial" w:hAnsi="Arial" w:cs="Arial"/>
              </w:rPr>
            </w:pPr>
            <w:r w:rsidRPr="009038E1">
              <w:rPr>
                <w:rFonts w:ascii="Arial" w:hAnsi="Arial" w:cs="Arial"/>
              </w:rPr>
              <w:t>ECT</w:t>
            </w:r>
          </w:p>
        </w:tc>
        <w:tc>
          <w:tcPr>
            <w:tcW w:w="1803" w:type="dxa"/>
          </w:tcPr>
          <w:p w14:paraId="68C15CE4" w14:textId="77777777" w:rsidR="00CD1B3F" w:rsidRPr="009038E1" w:rsidRDefault="00CD1B3F" w:rsidP="0066301C">
            <w:pPr>
              <w:jc w:val="center"/>
              <w:rPr>
                <w:rFonts w:ascii="Arial" w:hAnsi="Arial" w:cs="Arial"/>
              </w:rPr>
            </w:pPr>
          </w:p>
        </w:tc>
        <w:tc>
          <w:tcPr>
            <w:tcW w:w="1803" w:type="dxa"/>
          </w:tcPr>
          <w:p w14:paraId="5D158426" w14:textId="77777777" w:rsidR="00CD1B3F" w:rsidRPr="009038E1" w:rsidRDefault="00CD1B3F" w:rsidP="0066301C">
            <w:pPr>
              <w:jc w:val="center"/>
              <w:rPr>
                <w:rFonts w:ascii="Arial" w:hAnsi="Arial" w:cs="Arial"/>
              </w:rPr>
            </w:pPr>
            <w:r w:rsidRPr="009038E1">
              <w:rPr>
                <w:rFonts w:ascii="Arial" w:hAnsi="Arial" w:cs="Arial"/>
              </w:rPr>
              <w:t>-0.9786</w:t>
            </w:r>
          </w:p>
        </w:tc>
        <w:tc>
          <w:tcPr>
            <w:tcW w:w="1803" w:type="dxa"/>
          </w:tcPr>
          <w:p w14:paraId="1D7B802C" w14:textId="77777777" w:rsidR="00CD1B3F" w:rsidRPr="009038E1" w:rsidRDefault="00CD1B3F" w:rsidP="0066301C">
            <w:pPr>
              <w:jc w:val="center"/>
              <w:rPr>
                <w:rFonts w:ascii="Arial" w:hAnsi="Arial" w:cs="Arial"/>
              </w:rPr>
            </w:pPr>
            <w:r w:rsidRPr="009038E1">
              <w:rPr>
                <w:rFonts w:ascii="Arial" w:hAnsi="Arial" w:cs="Arial"/>
              </w:rPr>
              <w:t>-5.2144</w:t>
            </w:r>
          </w:p>
        </w:tc>
        <w:tc>
          <w:tcPr>
            <w:tcW w:w="1803" w:type="dxa"/>
          </w:tcPr>
          <w:p w14:paraId="25F0CDB6" w14:textId="77777777" w:rsidR="00CD1B3F" w:rsidRPr="009038E1" w:rsidRDefault="00CD1B3F" w:rsidP="0066301C">
            <w:pPr>
              <w:jc w:val="center"/>
              <w:rPr>
                <w:rFonts w:ascii="Arial" w:hAnsi="Arial" w:cs="Arial"/>
              </w:rPr>
            </w:pPr>
            <w:r w:rsidRPr="009038E1">
              <w:rPr>
                <w:rFonts w:ascii="Arial" w:hAnsi="Arial" w:cs="Arial"/>
              </w:rPr>
              <w:t>0.0000</w:t>
            </w:r>
          </w:p>
        </w:tc>
      </w:tr>
      <w:tr w:rsidR="00CD1B3F" w14:paraId="38EEEBED" w14:textId="77777777" w:rsidTr="004D74AB">
        <w:tc>
          <w:tcPr>
            <w:tcW w:w="1803" w:type="dxa"/>
          </w:tcPr>
          <w:p w14:paraId="6D64D33D" w14:textId="77777777" w:rsidR="00CD1B3F" w:rsidRPr="009038E1" w:rsidRDefault="00CD1B3F" w:rsidP="0066301C">
            <w:pPr>
              <w:rPr>
                <w:rFonts w:ascii="Arial" w:hAnsi="Arial" w:cs="Arial"/>
              </w:rPr>
            </w:pPr>
            <w:r w:rsidRPr="009038E1">
              <w:rPr>
                <w:rFonts w:ascii="Arial" w:hAnsi="Arial" w:cs="Arial"/>
              </w:rPr>
              <w:t>∆REER</w:t>
            </w:r>
          </w:p>
        </w:tc>
        <w:tc>
          <w:tcPr>
            <w:tcW w:w="1803" w:type="dxa"/>
          </w:tcPr>
          <w:p w14:paraId="5008CAFD" w14:textId="77777777" w:rsidR="00CD1B3F" w:rsidRPr="009038E1" w:rsidRDefault="00CD1B3F" w:rsidP="0066301C">
            <w:pPr>
              <w:jc w:val="center"/>
              <w:rPr>
                <w:rFonts w:ascii="Arial" w:hAnsi="Arial" w:cs="Arial"/>
              </w:rPr>
            </w:pPr>
          </w:p>
        </w:tc>
        <w:tc>
          <w:tcPr>
            <w:tcW w:w="1803" w:type="dxa"/>
          </w:tcPr>
          <w:p w14:paraId="7C602140" w14:textId="77777777" w:rsidR="00CD1B3F" w:rsidRPr="009038E1" w:rsidRDefault="00CD1B3F" w:rsidP="0066301C">
            <w:pPr>
              <w:jc w:val="center"/>
              <w:rPr>
                <w:rFonts w:ascii="Arial" w:hAnsi="Arial" w:cs="Arial"/>
              </w:rPr>
            </w:pPr>
            <w:r w:rsidRPr="009038E1">
              <w:rPr>
                <w:rFonts w:ascii="Arial" w:hAnsi="Arial" w:cs="Arial"/>
              </w:rPr>
              <w:t>-0.0682</w:t>
            </w:r>
          </w:p>
        </w:tc>
        <w:tc>
          <w:tcPr>
            <w:tcW w:w="1803" w:type="dxa"/>
          </w:tcPr>
          <w:p w14:paraId="0EE8902F" w14:textId="77777777" w:rsidR="00CD1B3F" w:rsidRPr="009038E1" w:rsidRDefault="00CD1B3F" w:rsidP="0066301C">
            <w:pPr>
              <w:jc w:val="center"/>
              <w:rPr>
                <w:rFonts w:ascii="Arial" w:hAnsi="Arial" w:cs="Arial"/>
              </w:rPr>
            </w:pPr>
            <w:r w:rsidRPr="009038E1">
              <w:rPr>
                <w:rFonts w:ascii="Arial" w:hAnsi="Arial" w:cs="Arial"/>
              </w:rPr>
              <w:t>-2.828</w:t>
            </w:r>
          </w:p>
        </w:tc>
        <w:tc>
          <w:tcPr>
            <w:tcW w:w="1803" w:type="dxa"/>
          </w:tcPr>
          <w:p w14:paraId="0AF01F56" w14:textId="77777777" w:rsidR="00CD1B3F" w:rsidRPr="009038E1" w:rsidRDefault="00CD1B3F" w:rsidP="0066301C">
            <w:pPr>
              <w:jc w:val="center"/>
              <w:rPr>
                <w:rFonts w:ascii="Arial" w:hAnsi="Arial" w:cs="Arial"/>
              </w:rPr>
            </w:pPr>
            <w:r w:rsidRPr="009038E1">
              <w:rPr>
                <w:rFonts w:ascii="Arial" w:hAnsi="Arial" w:cs="Arial"/>
              </w:rPr>
              <w:t>0.0058</w:t>
            </w:r>
          </w:p>
        </w:tc>
      </w:tr>
      <w:tr w:rsidR="00CD1B3F" w14:paraId="5D5630BF" w14:textId="77777777" w:rsidTr="004D74AB">
        <w:tc>
          <w:tcPr>
            <w:tcW w:w="1803" w:type="dxa"/>
          </w:tcPr>
          <w:p w14:paraId="40DDBA17" w14:textId="77777777" w:rsidR="00CD1B3F" w:rsidRPr="009038E1" w:rsidRDefault="00CD1B3F" w:rsidP="0066301C">
            <w:pPr>
              <w:rPr>
                <w:rFonts w:ascii="Arial" w:hAnsi="Arial" w:cs="Arial"/>
              </w:rPr>
            </w:pPr>
            <w:r w:rsidRPr="009038E1">
              <w:rPr>
                <w:rFonts w:ascii="Arial" w:hAnsi="Arial" w:cs="Arial"/>
              </w:rPr>
              <w:t>∆OPEN</w:t>
            </w:r>
          </w:p>
        </w:tc>
        <w:tc>
          <w:tcPr>
            <w:tcW w:w="1803" w:type="dxa"/>
          </w:tcPr>
          <w:p w14:paraId="1538D9C7" w14:textId="77777777" w:rsidR="00CD1B3F" w:rsidRPr="009038E1" w:rsidRDefault="00CD1B3F" w:rsidP="0066301C">
            <w:pPr>
              <w:jc w:val="center"/>
              <w:rPr>
                <w:rFonts w:ascii="Arial" w:hAnsi="Arial" w:cs="Arial"/>
              </w:rPr>
            </w:pPr>
          </w:p>
        </w:tc>
        <w:tc>
          <w:tcPr>
            <w:tcW w:w="1803" w:type="dxa"/>
          </w:tcPr>
          <w:p w14:paraId="41075D77" w14:textId="77777777" w:rsidR="00CD1B3F" w:rsidRPr="009038E1" w:rsidRDefault="00CD1B3F" w:rsidP="0066301C">
            <w:pPr>
              <w:jc w:val="center"/>
              <w:rPr>
                <w:rFonts w:ascii="Arial" w:hAnsi="Arial" w:cs="Arial"/>
              </w:rPr>
            </w:pPr>
            <w:r w:rsidRPr="009038E1">
              <w:rPr>
                <w:rFonts w:ascii="Arial" w:hAnsi="Arial" w:cs="Arial"/>
              </w:rPr>
              <w:t>-0.355</w:t>
            </w:r>
          </w:p>
        </w:tc>
        <w:tc>
          <w:tcPr>
            <w:tcW w:w="1803" w:type="dxa"/>
          </w:tcPr>
          <w:p w14:paraId="52998495" w14:textId="77777777" w:rsidR="00CD1B3F" w:rsidRPr="009038E1" w:rsidRDefault="00CD1B3F" w:rsidP="0066301C">
            <w:pPr>
              <w:jc w:val="center"/>
              <w:rPr>
                <w:rFonts w:ascii="Arial" w:hAnsi="Arial" w:cs="Arial"/>
              </w:rPr>
            </w:pPr>
            <w:r w:rsidRPr="009038E1">
              <w:rPr>
                <w:rFonts w:ascii="Arial" w:hAnsi="Arial" w:cs="Arial"/>
              </w:rPr>
              <w:t>-2.6091</w:t>
            </w:r>
          </w:p>
        </w:tc>
        <w:tc>
          <w:tcPr>
            <w:tcW w:w="1803" w:type="dxa"/>
          </w:tcPr>
          <w:p w14:paraId="6680269D" w14:textId="77777777" w:rsidR="00CD1B3F" w:rsidRPr="009038E1" w:rsidRDefault="00CD1B3F" w:rsidP="0066301C">
            <w:pPr>
              <w:jc w:val="center"/>
              <w:rPr>
                <w:rFonts w:ascii="Arial" w:hAnsi="Arial" w:cs="Arial"/>
              </w:rPr>
            </w:pPr>
            <w:r w:rsidRPr="009038E1">
              <w:rPr>
                <w:rFonts w:ascii="Arial" w:hAnsi="Arial" w:cs="Arial"/>
              </w:rPr>
              <w:t>0.0106</w:t>
            </w:r>
          </w:p>
        </w:tc>
      </w:tr>
      <w:tr w:rsidR="00CD1B3F" w14:paraId="2EBA600F" w14:textId="77777777" w:rsidTr="004D74AB">
        <w:tc>
          <w:tcPr>
            <w:tcW w:w="1803" w:type="dxa"/>
          </w:tcPr>
          <w:p w14:paraId="4E98F5D0" w14:textId="77777777" w:rsidR="00CD1B3F" w:rsidRPr="009038E1" w:rsidRDefault="00CD1B3F" w:rsidP="0066301C">
            <w:pPr>
              <w:rPr>
                <w:rFonts w:ascii="Arial" w:hAnsi="Arial" w:cs="Arial"/>
              </w:rPr>
            </w:pPr>
            <w:r w:rsidRPr="009038E1">
              <w:rPr>
                <w:rFonts w:ascii="Arial" w:hAnsi="Arial" w:cs="Arial"/>
              </w:rPr>
              <w:t>∆GOVCON</w:t>
            </w:r>
          </w:p>
        </w:tc>
        <w:tc>
          <w:tcPr>
            <w:tcW w:w="1803" w:type="dxa"/>
          </w:tcPr>
          <w:p w14:paraId="5D1B1204" w14:textId="77777777" w:rsidR="00CD1B3F" w:rsidRPr="009038E1" w:rsidRDefault="00CD1B3F" w:rsidP="0066301C">
            <w:pPr>
              <w:jc w:val="center"/>
              <w:rPr>
                <w:rFonts w:ascii="Arial" w:hAnsi="Arial" w:cs="Arial"/>
              </w:rPr>
            </w:pPr>
          </w:p>
        </w:tc>
        <w:tc>
          <w:tcPr>
            <w:tcW w:w="1803" w:type="dxa"/>
          </w:tcPr>
          <w:p w14:paraId="728EFB0B" w14:textId="77777777" w:rsidR="00CD1B3F" w:rsidRPr="009038E1" w:rsidRDefault="00CD1B3F" w:rsidP="0066301C">
            <w:pPr>
              <w:jc w:val="center"/>
              <w:rPr>
                <w:rFonts w:ascii="Arial" w:hAnsi="Arial" w:cs="Arial"/>
              </w:rPr>
            </w:pPr>
            <w:r w:rsidRPr="009038E1">
              <w:rPr>
                <w:rFonts w:ascii="Arial" w:hAnsi="Arial" w:cs="Arial"/>
              </w:rPr>
              <w:t>-0.683</w:t>
            </w:r>
          </w:p>
        </w:tc>
        <w:tc>
          <w:tcPr>
            <w:tcW w:w="1803" w:type="dxa"/>
          </w:tcPr>
          <w:p w14:paraId="7241BBCC" w14:textId="77777777" w:rsidR="00CD1B3F" w:rsidRPr="009038E1" w:rsidRDefault="00CD1B3F" w:rsidP="0066301C">
            <w:pPr>
              <w:jc w:val="center"/>
              <w:rPr>
                <w:rFonts w:ascii="Arial" w:hAnsi="Arial" w:cs="Arial"/>
              </w:rPr>
            </w:pPr>
            <w:r w:rsidRPr="009038E1">
              <w:rPr>
                <w:rFonts w:ascii="Arial" w:hAnsi="Arial" w:cs="Arial"/>
              </w:rPr>
              <w:t>-2.4009</w:t>
            </w:r>
          </w:p>
        </w:tc>
        <w:tc>
          <w:tcPr>
            <w:tcW w:w="1803" w:type="dxa"/>
          </w:tcPr>
          <w:p w14:paraId="5ECE630A" w14:textId="77777777" w:rsidR="00CD1B3F" w:rsidRPr="009038E1" w:rsidRDefault="00CD1B3F" w:rsidP="0066301C">
            <w:pPr>
              <w:jc w:val="center"/>
              <w:rPr>
                <w:rFonts w:ascii="Arial" w:hAnsi="Arial" w:cs="Arial"/>
              </w:rPr>
            </w:pPr>
            <w:r w:rsidRPr="009038E1">
              <w:rPr>
                <w:rFonts w:ascii="Arial" w:hAnsi="Arial" w:cs="Arial"/>
              </w:rPr>
              <w:t>0.0184</w:t>
            </w:r>
          </w:p>
        </w:tc>
      </w:tr>
      <w:tr w:rsidR="00CD1B3F" w14:paraId="5923340F" w14:textId="77777777" w:rsidTr="004D74AB">
        <w:tc>
          <w:tcPr>
            <w:tcW w:w="1803" w:type="dxa"/>
          </w:tcPr>
          <w:p w14:paraId="3F03E8BB" w14:textId="77777777" w:rsidR="00CD1B3F" w:rsidRPr="009038E1" w:rsidRDefault="00CD1B3F" w:rsidP="0066301C">
            <w:pPr>
              <w:rPr>
                <w:rFonts w:ascii="Arial" w:hAnsi="Arial" w:cs="Arial"/>
              </w:rPr>
            </w:pPr>
            <w:r w:rsidRPr="009038E1">
              <w:rPr>
                <w:rFonts w:ascii="Arial" w:hAnsi="Arial" w:cs="Arial"/>
              </w:rPr>
              <w:t>∆FDI</w:t>
            </w:r>
          </w:p>
        </w:tc>
        <w:tc>
          <w:tcPr>
            <w:tcW w:w="1803" w:type="dxa"/>
          </w:tcPr>
          <w:p w14:paraId="14041A24" w14:textId="77777777" w:rsidR="00CD1B3F" w:rsidRPr="009038E1" w:rsidRDefault="00CD1B3F" w:rsidP="0066301C">
            <w:pPr>
              <w:jc w:val="center"/>
              <w:rPr>
                <w:rFonts w:ascii="Arial" w:hAnsi="Arial" w:cs="Arial"/>
              </w:rPr>
            </w:pPr>
          </w:p>
        </w:tc>
        <w:tc>
          <w:tcPr>
            <w:tcW w:w="1803" w:type="dxa"/>
          </w:tcPr>
          <w:p w14:paraId="7C6B8023" w14:textId="77777777" w:rsidR="00CD1B3F" w:rsidRPr="009038E1" w:rsidRDefault="00CD1B3F" w:rsidP="0066301C">
            <w:pPr>
              <w:jc w:val="center"/>
              <w:rPr>
                <w:rFonts w:ascii="Arial" w:hAnsi="Arial" w:cs="Arial"/>
              </w:rPr>
            </w:pPr>
            <w:r w:rsidRPr="009038E1">
              <w:rPr>
                <w:rFonts w:ascii="Arial" w:hAnsi="Arial" w:cs="Arial"/>
              </w:rPr>
              <w:t>0.075</w:t>
            </w:r>
          </w:p>
        </w:tc>
        <w:tc>
          <w:tcPr>
            <w:tcW w:w="1803" w:type="dxa"/>
          </w:tcPr>
          <w:p w14:paraId="431FAD3C" w14:textId="77777777" w:rsidR="00CD1B3F" w:rsidRPr="009038E1" w:rsidRDefault="00CD1B3F" w:rsidP="0066301C">
            <w:pPr>
              <w:jc w:val="center"/>
              <w:rPr>
                <w:rFonts w:ascii="Arial" w:hAnsi="Arial" w:cs="Arial"/>
              </w:rPr>
            </w:pPr>
            <w:r w:rsidRPr="009038E1">
              <w:rPr>
                <w:rFonts w:ascii="Arial" w:hAnsi="Arial" w:cs="Arial"/>
              </w:rPr>
              <w:t>0.1416</w:t>
            </w:r>
          </w:p>
        </w:tc>
        <w:tc>
          <w:tcPr>
            <w:tcW w:w="1803" w:type="dxa"/>
          </w:tcPr>
          <w:p w14:paraId="3145ADA4" w14:textId="77777777" w:rsidR="00CD1B3F" w:rsidRPr="009038E1" w:rsidRDefault="00CD1B3F" w:rsidP="0066301C">
            <w:pPr>
              <w:jc w:val="center"/>
              <w:rPr>
                <w:rFonts w:ascii="Arial" w:hAnsi="Arial" w:cs="Arial"/>
              </w:rPr>
            </w:pPr>
            <w:r w:rsidRPr="009038E1">
              <w:rPr>
                <w:rFonts w:ascii="Arial" w:hAnsi="Arial" w:cs="Arial"/>
              </w:rPr>
              <w:t>0.8877</w:t>
            </w:r>
          </w:p>
        </w:tc>
      </w:tr>
      <w:tr w:rsidR="00CD1B3F" w14:paraId="067D5CBF" w14:textId="77777777" w:rsidTr="004D74AB">
        <w:tc>
          <w:tcPr>
            <w:tcW w:w="1803" w:type="dxa"/>
          </w:tcPr>
          <w:p w14:paraId="3691083B" w14:textId="77777777" w:rsidR="00CD1B3F" w:rsidRPr="009038E1" w:rsidRDefault="00CD1B3F" w:rsidP="0066301C">
            <w:pPr>
              <w:rPr>
                <w:rFonts w:ascii="Arial" w:hAnsi="Arial" w:cs="Arial"/>
              </w:rPr>
            </w:pPr>
            <w:r w:rsidRPr="009038E1">
              <w:rPr>
                <w:rFonts w:ascii="Arial" w:hAnsi="Arial" w:cs="Arial"/>
              </w:rPr>
              <w:t>∆TOT</w:t>
            </w:r>
          </w:p>
        </w:tc>
        <w:tc>
          <w:tcPr>
            <w:tcW w:w="1803" w:type="dxa"/>
          </w:tcPr>
          <w:p w14:paraId="74F57EAC" w14:textId="77777777" w:rsidR="00CD1B3F" w:rsidRPr="009038E1" w:rsidRDefault="00CD1B3F" w:rsidP="0066301C">
            <w:pPr>
              <w:jc w:val="center"/>
              <w:rPr>
                <w:rFonts w:ascii="Arial" w:hAnsi="Arial" w:cs="Arial"/>
              </w:rPr>
            </w:pPr>
          </w:p>
        </w:tc>
        <w:tc>
          <w:tcPr>
            <w:tcW w:w="1803" w:type="dxa"/>
          </w:tcPr>
          <w:p w14:paraId="09097204" w14:textId="77777777" w:rsidR="00CD1B3F" w:rsidRPr="009038E1" w:rsidRDefault="00CD1B3F" w:rsidP="0066301C">
            <w:pPr>
              <w:jc w:val="center"/>
              <w:rPr>
                <w:rFonts w:ascii="Arial" w:hAnsi="Arial" w:cs="Arial"/>
              </w:rPr>
            </w:pPr>
            <w:r w:rsidRPr="009038E1">
              <w:rPr>
                <w:rFonts w:ascii="Arial" w:hAnsi="Arial" w:cs="Arial"/>
              </w:rPr>
              <w:t>-0.0355</w:t>
            </w:r>
          </w:p>
        </w:tc>
        <w:tc>
          <w:tcPr>
            <w:tcW w:w="1803" w:type="dxa"/>
          </w:tcPr>
          <w:p w14:paraId="4A67BBB9" w14:textId="77777777" w:rsidR="00CD1B3F" w:rsidRPr="009038E1" w:rsidRDefault="00CD1B3F" w:rsidP="0066301C">
            <w:pPr>
              <w:jc w:val="center"/>
              <w:rPr>
                <w:rFonts w:ascii="Arial" w:hAnsi="Arial" w:cs="Arial"/>
              </w:rPr>
            </w:pPr>
            <w:r w:rsidRPr="009038E1">
              <w:rPr>
                <w:rFonts w:ascii="Arial" w:hAnsi="Arial" w:cs="Arial"/>
              </w:rPr>
              <w:t>-0.4574</w:t>
            </w:r>
          </w:p>
        </w:tc>
        <w:tc>
          <w:tcPr>
            <w:tcW w:w="1803" w:type="dxa"/>
          </w:tcPr>
          <w:p w14:paraId="089991DC" w14:textId="77777777" w:rsidR="00CD1B3F" w:rsidRPr="009038E1" w:rsidRDefault="00CD1B3F" w:rsidP="0066301C">
            <w:pPr>
              <w:jc w:val="center"/>
              <w:rPr>
                <w:rFonts w:ascii="Arial" w:hAnsi="Arial" w:cs="Arial"/>
              </w:rPr>
            </w:pPr>
            <w:r w:rsidRPr="009038E1">
              <w:rPr>
                <w:rFonts w:ascii="Arial" w:hAnsi="Arial" w:cs="Arial"/>
              </w:rPr>
              <w:t>0.6485</w:t>
            </w:r>
          </w:p>
        </w:tc>
      </w:tr>
      <w:tr w:rsidR="00CD1B3F" w14:paraId="3D95132A" w14:textId="77777777" w:rsidTr="004D74AB">
        <w:tc>
          <w:tcPr>
            <w:tcW w:w="1803" w:type="dxa"/>
          </w:tcPr>
          <w:p w14:paraId="125BCB3B" w14:textId="77777777" w:rsidR="00CD1B3F" w:rsidRPr="009038E1" w:rsidRDefault="00CD1B3F" w:rsidP="0066301C">
            <w:pPr>
              <w:rPr>
                <w:rFonts w:ascii="Arial" w:hAnsi="Arial" w:cs="Arial"/>
              </w:rPr>
            </w:pPr>
            <w:r w:rsidRPr="009038E1">
              <w:rPr>
                <w:rFonts w:ascii="Arial" w:hAnsi="Arial" w:cs="Arial"/>
              </w:rPr>
              <w:t>C</w:t>
            </w:r>
          </w:p>
        </w:tc>
        <w:tc>
          <w:tcPr>
            <w:tcW w:w="1803" w:type="dxa"/>
          </w:tcPr>
          <w:p w14:paraId="6690409E" w14:textId="77777777" w:rsidR="00CD1B3F" w:rsidRPr="009038E1" w:rsidRDefault="00CD1B3F" w:rsidP="0066301C">
            <w:pPr>
              <w:jc w:val="center"/>
              <w:rPr>
                <w:rFonts w:ascii="Arial" w:hAnsi="Arial" w:cs="Arial"/>
              </w:rPr>
            </w:pPr>
          </w:p>
        </w:tc>
        <w:tc>
          <w:tcPr>
            <w:tcW w:w="1803" w:type="dxa"/>
          </w:tcPr>
          <w:p w14:paraId="470BD15A" w14:textId="77777777" w:rsidR="00CD1B3F" w:rsidRPr="009038E1" w:rsidRDefault="00CD1B3F" w:rsidP="0066301C">
            <w:pPr>
              <w:jc w:val="center"/>
              <w:rPr>
                <w:rFonts w:ascii="Arial" w:hAnsi="Arial" w:cs="Arial"/>
              </w:rPr>
            </w:pPr>
            <w:r w:rsidRPr="009038E1">
              <w:rPr>
                <w:rFonts w:ascii="Arial" w:hAnsi="Arial" w:cs="Arial"/>
              </w:rPr>
              <w:t>0.7891</w:t>
            </w:r>
          </w:p>
        </w:tc>
        <w:tc>
          <w:tcPr>
            <w:tcW w:w="1803" w:type="dxa"/>
          </w:tcPr>
          <w:p w14:paraId="2B6B4F60" w14:textId="77777777" w:rsidR="00CD1B3F" w:rsidRPr="009038E1" w:rsidRDefault="00CD1B3F" w:rsidP="0066301C">
            <w:pPr>
              <w:jc w:val="center"/>
              <w:rPr>
                <w:rFonts w:ascii="Arial" w:hAnsi="Arial" w:cs="Arial"/>
              </w:rPr>
            </w:pPr>
            <w:r w:rsidRPr="009038E1">
              <w:rPr>
                <w:rFonts w:ascii="Arial" w:hAnsi="Arial" w:cs="Arial"/>
              </w:rPr>
              <w:t>0.3202</w:t>
            </w:r>
          </w:p>
        </w:tc>
        <w:tc>
          <w:tcPr>
            <w:tcW w:w="1803" w:type="dxa"/>
          </w:tcPr>
          <w:p w14:paraId="4ED0DC02" w14:textId="77777777" w:rsidR="00CD1B3F" w:rsidRPr="009038E1" w:rsidRDefault="00CD1B3F" w:rsidP="0066301C">
            <w:pPr>
              <w:jc w:val="center"/>
              <w:rPr>
                <w:rFonts w:ascii="Arial" w:hAnsi="Arial" w:cs="Arial"/>
              </w:rPr>
            </w:pPr>
            <w:r w:rsidRPr="009038E1">
              <w:rPr>
                <w:rFonts w:ascii="Arial" w:hAnsi="Arial" w:cs="Arial"/>
              </w:rPr>
              <w:t>0.7495</w:t>
            </w:r>
          </w:p>
        </w:tc>
      </w:tr>
      <w:tr w:rsidR="00CD1B3F" w14:paraId="347D620E" w14:textId="77777777" w:rsidTr="004D74AB">
        <w:tc>
          <w:tcPr>
            <w:tcW w:w="1803" w:type="dxa"/>
          </w:tcPr>
          <w:p w14:paraId="1B0D1551" w14:textId="77777777" w:rsidR="00CD1B3F" w:rsidRPr="009038E1" w:rsidRDefault="00CD1B3F" w:rsidP="0066301C">
            <w:pPr>
              <w:jc w:val="center"/>
              <w:rPr>
                <w:rFonts w:ascii="Arial" w:hAnsi="Arial" w:cs="Arial"/>
                <w:b/>
                <w:bCs/>
              </w:rPr>
            </w:pPr>
          </w:p>
        </w:tc>
        <w:tc>
          <w:tcPr>
            <w:tcW w:w="7212" w:type="dxa"/>
            <w:gridSpan w:val="4"/>
          </w:tcPr>
          <w:p w14:paraId="5FF77CD8" w14:textId="77777777" w:rsidR="00CD1B3F" w:rsidRPr="009038E1" w:rsidRDefault="00CD1B3F" w:rsidP="0066301C">
            <w:pPr>
              <w:jc w:val="center"/>
              <w:rPr>
                <w:rFonts w:ascii="Arial" w:hAnsi="Arial" w:cs="Arial"/>
                <w:b/>
                <w:bCs/>
              </w:rPr>
            </w:pPr>
            <w:r w:rsidRPr="009038E1">
              <w:rPr>
                <w:rFonts w:ascii="Arial" w:hAnsi="Arial" w:cs="Arial"/>
                <w:b/>
                <w:bCs/>
              </w:rPr>
              <w:t>Cameroon</w:t>
            </w:r>
          </w:p>
        </w:tc>
      </w:tr>
      <w:tr w:rsidR="00CD1B3F" w14:paraId="63C7E147" w14:textId="77777777" w:rsidTr="004D74AB">
        <w:tc>
          <w:tcPr>
            <w:tcW w:w="1803" w:type="dxa"/>
          </w:tcPr>
          <w:p w14:paraId="49278907" w14:textId="77777777" w:rsidR="00CD1B3F" w:rsidRPr="009038E1" w:rsidRDefault="00CD1B3F" w:rsidP="0066301C">
            <w:pPr>
              <w:rPr>
                <w:rFonts w:ascii="Arial" w:hAnsi="Arial" w:cs="Arial"/>
              </w:rPr>
            </w:pPr>
            <w:r w:rsidRPr="009038E1">
              <w:rPr>
                <w:rFonts w:ascii="Arial" w:hAnsi="Arial" w:cs="Arial"/>
              </w:rPr>
              <w:t>ECT</w:t>
            </w:r>
          </w:p>
        </w:tc>
        <w:tc>
          <w:tcPr>
            <w:tcW w:w="1803" w:type="dxa"/>
          </w:tcPr>
          <w:p w14:paraId="0CC0B87F" w14:textId="77777777" w:rsidR="00CD1B3F" w:rsidRPr="009038E1" w:rsidRDefault="00CD1B3F" w:rsidP="0066301C">
            <w:pPr>
              <w:jc w:val="center"/>
              <w:rPr>
                <w:rFonts w:ascii="Arial" w:hAnsi="Arial" w:cs="Arial"/>
              </w:rPr>
            </w:pPr>
          </w:p>
        </w:tc>
        <w:tc>
          <w:tcPr>
            <w:tcW w:w="1803" w:type="dxa"/>
          </w:tcPr>
          <w:p w14:paraId="5872A9A4" w14:textId="77777777" w:rsidR="00CD1B3F" w:rsidRPr="009038E1" w:rsidRDefault="00CD1B3F" w:rsidP="0066301C">
            <w:pPr>
              <w:jc w:val="center"/>
              <w:rPr>
                <w:rFonts w:ascii="Arial" w:hAnsi="Arial" w:cs="Arial"/>
              </w:rPr>
            </w:pPr>
            <w:r w:rsidRPr="009038E1">
              <w:rPr>
                <w:rFonts w:ascii="Arial" w:hAnsi="Arial" w:cs="Arial"/>
              </w:rPr>
              <w:t>-1.0125</w:t>
            </w:r>
          </w:p>
        </w:tc>
        <w:tc>
          <w:tcPr>
            <w:tcW w:w="1803" w:type="dxa"/>
          </w:tcPr>
          <w:p w14:paraId="41E2D9AF" w14:textId="77777777" w:rsidR="00CD1B3F" w:rsidRPr="009038E1" w:rsidRDefault="00CD1B3F" w:rsidP="0066301C">
            <w:pPr>
              <w:jc w:val="center"/>
              <w:rPr>
                <w:rFonts w:ascii="Arial" w:hAnsi="Arial" w:cs="Arial"/>
              </w:rPr>
            </w:pPr>
            <w:r w:rsidRPr="009038E1">
              <w:rPr>
                <w:rFonts w:ascii="Arial" w:hAnsi="Arial" w:cs="Arial"/>
              </w:rPr>
              <w:t>-51.0869</w:t>
            </w:r>
          </w:p>
        </w:tc>
        <w:tc>
          <w:tcPr>
            <w:tcW w:w="1803" w:type="dxa"/>
          </w:tcPr>
          <w:p w14:paraId="36C5F800" w14:textId="77777777" w:rsidR="00CD1B3F" w:rsidRPr="009038E1" w:rsidRDefault="00CD1B3F" w:rsidP="0066301C">
            <w:pPr>
              <w:jc w:val="center"/>
              <w:rPr>
                <w:rFonts w:ascii="Arial" w:hAnsi="Arial" w:cs="Arial"/>
              </w:rPr>
            </w:pPr>
            <w:r w:rsidRPr="009038E1">
              <w:rPr>
                <w:rFonts w:ascii="Arial" w:hAnsi="Arial" w:cs="Arial"/>
              </w:rPr>
              <w:t>0.0000</w:t>
            </w:r>
          </w:p>
        </w:tc>
      </w:tr>
      <w:tr w:rsidR="00CD1B3F" w14:paraId="16A1741C" w14:textId="77777777" w:rsidTr="004D74AB">
        <w:tc>
          <w:tcPr>
            <w:tcW w:w="1803" w:type="dxa"/>
          </w:tcPr>
          <w:p w14:paraId="061A535D" w14:textId="77777777" w:rsidR="00CD1B3F" w:rsidRPr="009038E1" w:rsidRDefault="00CD1B3F" w:rsidP="0066301C">
            <w:pPr>
              <w:rPr>
                <w:rFonts w:ascii="Arial" w:hAnsi="Arial" w:cs="Arial"/>
              </w:rPr>
            </w:pPr>
            <w:r w:rsidRPr="009038E1">
              <w:rPr>
                <w:rFonts w:ascii="Arial" w:hAnsi="Arial" w:cs="Arial"/>
              </w:rPr>
              <w:t>∆REER</w:t>
            </w:r>
          </w:p>
        </w:tc>
        <w:tc>
          <w:tcPr>
            <w:tcW w:w="1803" w:type="dxa"/>
          </w:tcPr>
          <w:p w14:paraId="3AFCBFD9" w14:textId="77777777" w:rsidR="00CD1B3F" w:rsidRPr="009038E1" w:rsidRDefault="00CD1B3F" w:rsidP="0066301C">
            <w:pPr>
              <w:jc w:val="center"/>
              <w:rPr>
                <w:rFonts w:ascii="Arial" w:hAnsi="Arial" w:cs="Arial"/>
              </w:rPr>
            </w:pPr>
          </w:p>
        </w:tc>
        <w:tc>
          <w:tcPr>
            <w:tcW w:w="1803" w:type="dxa"/>
          </w:tcPr>
          <w:p w14:paraId="0D58AFFE" w14:textId="77777777" w:rsidR="00CD1B3F" w:rsidRPr="009038E1" w:rsidRDefault="00CD1B3F" w:rsidP="0066301C">
            <w:pPr>
              <w:jc w:val="center"/>
              <w:rPr>
                <w:rFonts w:ascii="Arial" w:hAnsi="Arial" w:cs="Arial"/>
              </w:rPr>
            </w:pPr>
            <w:r w:rsidRPr="009038E1">
              <w:rPr>
                <w:rFonts w:ascii="Arial" w:hAnsi="Arial" w:cs="Arial"/>
              </w:rPr>
              <w:t>-0.0365</w:t>
            </w:r>
          </w:p>
        </w:tc>
        <w:tc>
          <w:tcPr>
            <w:tcW w:w="1803" w:type="dxa"/>
          </w:tcPr>
          <w:p w14:paraId="1E6453AE" w14:textId="77777777" w:rsidR="00CD1B3F" w:rsidRPr="009038E1" w:rsidRDefault="00CD1B3F" w:rsidP="0066301C">
            <w:pPr>
              <w:jc w:val="center"/>
              <w:rPr>
                <w:rFonts w:ascii="Arial" w:hAnsi="Arial" w:cs="Arial"/>
              </w:rPr>
            </w:pPr>
            <w:r w:rsidRPr="009038E1">
              <w:rPr>
                <w:rFonts w:ascii="Arial" w:hAnsi="Arial" w:cs="Arial"/>
              </w:rPr>
              <w:t>-10.2376</w:t>
            </w:r>
          </w:p>
        </w:tc>
        <w:tc>
          <w:tcPr>
            <w:tcW w:w="1803" w:type="dxa"/>
          </w:tcPr>
          <w:p w14:paraId="09EAFABA" w14:textId="77777777" w:rsidR="00CD1B3F" w:rsidRPr="009038E1" w:rsidRDefault="00CD1B3F" w:rsidP="0066301C">
            <w:pPr>
              <w:jc w:val="center"/>
              <w:rPr>
                <w:rFonts w:ascii="Arial" w:hAnsi="Arial" w:cs="Arial"/>
              </w:rPr>
            </w:pPr>
            <w:r w:rsidRPr="009038E1">
              <w:rPr>
                <w:rFonts w:ascii="Arial" w:hAnsi="Arial" w:cs="Arial"/>
              </w:rPr>
              <w:t>0.002</w:t>
            </w:r>
          </w:p>
        </w:tc>
      </w:tr>
      <w:tr w:rsidR="00CD1B3F" w14:paraId="247CEF5B" w14:textId="77777777" w:rsidTr="004D74AB">
        <w:tc>
          <w:tcPr>
            <w:tcW w:w="1803" w:type="dxa"/>
          </w:tcPr>
          <w:p w14:paraId="4AF01509" w14:textId="77777777" w:rsidR="00CD1B3F" w:rsidRPr="009038E1" w:rsidRDefault="00CD1B3F" w:rsidP="0066301C">
            <w:pPr>
              <w:rPr>
                <w:rFonts w:ascii="Arial" w:hAnsi="Arial" w:cs="Arial"/>
              </w:rPr>
            </w:pPr>
            <w:r w:rsidRPr="009038E1">
              <w:rPr>
                <w:rFonts w:ascii="Arial" w:hAnsi="Arial" w:cs="Arial"/>
              </w:rPr>
              <w:t>∆OPEN</w:t>
            </w:r>
          </w:p>
        </w:tc>
        <w:tc>
          <w:tcPr>
            <w:tcW w:w="1803" w:type="dxa"/>
          </w:tcPr>
          <w:p w14:paraId="7763E351" w14:textId="77777777" w:rsidR="00CD1B3F" w:rsidRPr="009038E1" w:rsidRDefault="00CD1B3F" w:rsidP="0066301C">
            <w:pPr>
              <w:jc w:val="center"/>
              <w:rPr>
                <w:rFonts w:ascii="Arial" w:hAnsi="Arial" w:cs="Arial"/>
              </w:rPr>
            </w:pPr>
          </w:p>
        </w:tc>
        <w:tc>
          <w:tcPr>
            <w:tcW w:w="1803" w:type="dxa"/>
          </w:tcPr>
          <w:p w14:paraId="4E148D97" w14:textId="77777777" w:rsidR="00CD1B3F" w:rsidRPr="009038E1" w:rsidRDefault="00CD1B3F" w:rsidP="0066301C">
            <w:pPr>
              <w:jc w:val="center"/>
              <w:rPr>
                <w:rFonts w:ascii="Arial" w:hAnsi="Arial" w:cs="Arial"/>
              </w:rPr>
            </w:pPr>
            <w:r w:rsidRPr="009038E1">
              <w:rPr>
                <w:rFonts w:ascii="Arial" w:hAnsi="Arial" w:cs="Arial"/>
              </w:rPr>
              <w:t>-0.1205</w:t>
            </w:r>
          </w:p>
        </w:tc>
        <w:tc>
          <w:tcPr>
            <w:tcW w:w="1803" w:type="dxa"/>
          </w:tcPr>
          <w:p w14:paraId="0588BABE" w14:textId="77777777" w:rsidR="00CD1B3F" w:rsidRPr="009038E1" w:rsidRDefault="00CD1B3F" w:rsidP="0066301C">
            <w:pPr>
              <w:jc w:val="center"/>
              <w:rPr>
                <w:rFonts w:ascii="Arial" w:hAnsi="Arial" w:cs="Arial"/>
              </w:rPr>
            </w:pPr>
            <w:r w:rsidRPr="009038E1">
              <w:rPr>
                <w:rFonts w:ascii="Arial" w:hAnsi="Arial" w:cs="Arial"/>
              </w:rPr>
              <w:t>-20.6988</w:t>
            </w:r>
          </w:p>
        </w:tc>
        <w:tc>
          <w:tcPr>
            <w:tcW w:w="1803" w:type="dxa"/>
          </w:tcPr>
          <w:p w14:paraId="6970B92D" w14:textId="77777777" w:rsidR="00CD1B3F" w:rsidRPr="009038E1" w:rsidRDefault="00CD1B3F" w:rsidP="0066301C">
            <w:pPr>
              <w:jc w:val="center"/>
              <w:rPr>
                <w:rFonts w:ascii="Arial" w:hAnsi="Arial" w:cs="Arial"/>
              </w:rPr>
            </w:pPr>
            <w:r w:rsidRPr="009038E1">
              <w:rPr>
                <w:rFonts w:ascii="Arial" w:hAnsi="Arial" w:cs="Arial"/>
              </w:rPr>
              <w:t>0.0002</w:t>
            </w:r>
          </w:p>
        </w:tc>
      </w:tr>
      <w:tr w:rsidR="00CD1B3F" w14:paraId="39A0585E" w14:textId="77777777" w:rsidTr="004D74AB">
        <w:tc>
          <w:tcPr>
            <w:tcW w:w="1803" w:type="dxa"/>
          </w:tcPr>
          <w:p w14:paraId="67F74122" w14:textId="77777777" w:rsidR="00CD1B3F" w:rsidRPr="009038E1" w:rsidRDefault="00CD1B3F" w:rsidP="0066301C">
            <w:pPr>
              <w:rPr>
                <w:rFonts w:ascii="Arial" w:hAnsi="Arial" w:cs="Arial"/>
              </w:rPr>
            </w:pPr>
            <w:r w:rsidRPr="009038E1">
              <w:rPr>
                <w:rFonts w:ascii="Arial" w:hAnsi="Arial" w:cs="Arial"/>
              </w:rPr>
              <w:t>∆GOVCON</w:t>
            </w:r>
          </w:p>
        </w:tc>
        <w:tc>
          <w:tcPr>
            <w:tcW w:w="1803" w:type="dxa"/>
          </w:tcPr>
          <w:p w14:paraId="138AB5B5" w14:textId="77777777" w:rsidR="00CD1B3F" w:rsidRPr="009038E1" w:rsidRDefault="00CD1B3F" w:rsidP="0066301C">
            <w:pPr>
              <w:jc w:val="center"/>
              <w:rPr>
                <w:rFonts w:ascii="Arial" w:hAnsi="Arial" w:cs="Arial"/>
              </w:rPr>
            </w:pPr>
          </w:p>
        </w:tc>
        <w:tc>
          <w:tcPr>
            <w:tcW w:w="1803" w:type="dxa"/>
          </w:tcPr>
          <w:p w14:paraId="4B699A00" w14:textId="77777777" w:rsidR="00CD1B3F" w:rsidRPr="009038E1" w:rsidRDefault="00CD1B3F" w:rsidP="0066301C">
            <w:pPr>
              <w:jc w:val="center"/>
              <w:rPr>
                <w:rFonts w:ascii="Arial" w:hAnsi="Arial" w:cs="Arial"/>
              </w:rPr>
            </w:pPr>
            <w:r w:rsidRPr="009038E1">
              <w:rPr>
                <w:rFonts w:ascii="Arial" w:hAnsi="Arial" w:cs="Arial"/>
              </w:rPr>
              <w:t>-0.1857</w:t>
            </w:r>
          </w:p>
        </w:tc>
        <w:tc>
          <w:tcPr>
            <w:tcW w:w="1803" w:type="dxa"/>
          </w:tcPr>
          <w:p w14:paraId="2D45C326" w14:textId="77777777" w:rsidR="00CD1B3F" w:rsidRPr="009038E1" w:rsidRDefault="00CD1B3F" w:rsidP="0066301C">
            <w:pPr>
              <w:jc w:val="center"/>
              <w:rPr>
                <w:rFonts w:ascii="Arial" w:hAnsi="Arial" w:cs="Arial"/>
              </w:rPr>
            </w:pPr>
            <w:r w:rsidRPr="009038E1">
              <w:rPr>
                <w:rFonts w:ascii="Arial" w:hAnsi="Arial" w:cs="Arial"/>
              </w:rPr>
              <w:t>-0.5407</w:t>
            </w:r>
          </w:p>
        </w:tc>
        <w:tc>
          <w:tcPr>
            <w:tcW w:w="1803" w:type="dxa"/>
          </w:tcPr>
          <w:p w14:paraId="685C57C7" w14:textId="77777777" w:rsidR="00CD1B3F" w:rsidRPr="009038E1" w:rsidRDefault="00CD1B3F" w:rsidP="0066301C">
            <w:pPr>
              <w:jc w:val="center"/>
              <w:rPr>
                <w:rFonts w:ascii="Arial" w:hAnsi="Arial" w:cs="Arial"/>
              </w:rPr>
            </w:pPr>
            <w:r w:rsidRPr="009038E1">
              <w:rPr>
                <w:rFonts w:ascii="Arial" w:hAnsi="Arial" w:cs="Arial"/>
              </w:rPr>
              <w:t>0.6263</w:t>
            </w:r>
          </w:p>
        </w:tc>
      </w:tr>
      <w:tr w:rsidR="00CD1B3F" w14:paraId="27943E18" w14:textId="77777777" w:rsidTr="004D74AB">
        <w:tc>
          <w:tcPr>
            <w:tcW w:w="1803" w:type="dxa"/>
          </w:tcPr>
          <w:p w14:paraId="576AD747" w14:textId="77777777" w:rsidR="00CD1B3F" w:rsidRPr="009038E1" w:rsidRDefault="00CD1B3F" w:rsidP="0066301C">
            <w:pPr>
              <w:rPr>
                <w:rFonts w:ascii="Arial" w:hAnsi="Arial" w:cs="Arial"/>
              </w:rPr>
            </w:pPr>
            <w:r w:rsidRPr="009038E1">
              <w:rPr>
                <w:rFonts w:ascii="Arial" w:hAnsi="Arial" w:cs="Arial"/>
              </w:rPr>
              <w:t>∆FDI</w:t>
            </w:r>
          </w:p>
        </w:tc>
        <w:tc>
          <w:tcPr>
            <w:tcW w:w="1803" w:type="dxa"/>
          </w:tcPr>
          <w:p w14:paraId="38D1A36C" w14:textId="77777777" w:rsidR="00CD1B3F" w:rsidRPr="009038E1" w:rsidRDefault="00CD1B3F" w:rsidP="0066301C">
            <w:pPr>
              <w:jc w:val="center"/>
              <w:rPr>
                <w:rFonts w:ascii="Arial" w:hAnsi="Arial" w:cs="Arial"/>
              </w:rPr>
            </w:pPr>
          </w:p>
        </w:tc>
        <w:tc>
          <w:tcPr>
            <w:tcW w:w="1803" w:type="dxa"/>
          </w:tcPr>
          <w:p w14:paraId="5D773DE6" w14:textId="77777777" w:rsidR="00CD1B3F" w:rsidRPr="009038E1" w:rsidRDefault="00CD1B3F" w:rsidP="0066301C">
            <w:pPr>
              <w:jc w:val="center"/>
              <w:rPr>
                <w:rFonts w:ascii="Arial" w:hAnsi="Arial" w:cs="Arial"/>
              </w:rPr>
            </w:pPr>
            <w:r w:rsidRPr="009038E1">
              <w:rPr>
                <w:rFonts w:ascii="Arial" w:hAnsi="Arial" w:cs="Arial"/>
              </w:rPr>
              <w:t>-0.4776</w:t>
            </w:r>
          </w:p>
        </w:tc>
        <w:tc>
          <w:tcPr>
            <w:tcW w:w="1803" w:type="dxa"/>
          </w:tcPr>
          <w:p w14:paraId="428E8E53" w14:textId="77777777" w:rsidR="00CD1B3F" w:rsidRPr="009038E1" w:rsidRDefault="00CD1B3F" w:rsidP="0066301C">
            <w:pPr>
              <w:jc w:val="center"/>
              <w:rPr>
                <w:rFonts w:ascii="Arial" w:hAnsi="Arial" w:cs="Arial"/>
              </w:rPr>
            </w:pPr>
            <w:r w:rsidRPr="009038E1">
              <w:rPr>
                <w:rFonts w:ascii="Arial" w:hAnsi="Arial" w:cs="Arial"/>
              </w:rPr>
              <w:t>-5.3689</w:t>
            </w:r>
          </w:p>
        </w:tc>
        <w:tc>
          <w:tcPr>
            <w:tcW w:w="1803" w:type="dxa"/>
          </w:tcPr>
          <w:p w14:paraId="71F6E3F6" w14:textId="77777777" w:rsidR="00CD1B3F" w:rsidRPr="009038E1" w:rsidRDefault="00CD1B3F" w:rsidP="0066301C">
            <w:pPr>
              <w:jc w:val="center"/>
              <w:rPr>
                <w:rFonts w:ascii="Arial" w:hAnsi="Arial" w:cs="Arial"/>
              </w:rPr>
            </w:pPr>
            <w:r w:rsidRPr="009038E1">
              <w:rPr>
                <w:rFonts w:ascii="Arial" w:hAnsi="Arial" w:cs="Arial"/>
              </w:rPr>
              <w:t>0.0126</w:t>
            </w:r>
          </w:p>
        </w:tc>
      </w:tr>
      <w:tr w:rsidR="00CD1B3F" w14:paraId="688D9F7A" w14:textId="77777777" w:rsidTr="004D74AB">
        <w:tc>
          <w:tcPr>
            <w:tcW w:w="1803" w:type="dxa"/>
          </w:tcPr>
          <w:p w14:paraId="7D1EDD95" w14:textId="77777777" w:rsidR="00CD1B3F" w:rsidRPr="009038E1" w:rsidRDefault="00CD1B3F" w:rsidP="0066301C">
            <w:pPr>
              <w:rPr>
                <w:rFonts w:ascii="Arial" w:hAnsi="Arial" w:cs="Arial"/>
              </w:rPr>
            </w:pPr>
            <w:r w:rsidRPr="009038E1">
              <w:rPr>
                <w:rFonts w:ascii="Arial" w:hAnsi="Arial" w:cs="Arial"/>
              </w:rPr>
              <w:t>∆TOT</w:t>
            </w:r>
          </w:p>
        </w:tc>
        <w:tc>
          <w:tcPr>
            <w:tcW w:w="1803" w:type="dxa"/>
          </w:tcPr>
          <w:p w14:paraId="2427862E" w14:textId="77777777" w:rsidR="00CD1B3F" w:rsidRPr="009038E1" w:rsidRDefault="00CD1B3F" w:rsidP="0066301C">
            <w:pPr>
              <w:jc w:val="center"/>
              <w:rPr>
                <w:rFonts w:ascii="Arial" w:hAnsi="Arial" w:cs="Arial"/>
              </w:rPr>
            </w:pPr>
          </w:p>
        </w:tc>
        <w:tc>
          <w:tcPr>
            <w:tcW w:w="1803" w:type="dxa"/>
          </w:tcPr>
          <w:p w14:paraId="1B535FAA" w14:textId="77777777" w:rsidR="00CD1B3F" w:rsidRPr="009038E1" w:rsidRDefault="00CD1B3F" w:rsidP="0066301C">
            <w:pPr>
              <w:jc w:val="center"/>
              <w:rPr>
                <w:rFonts w:ascii="Arial" w:hAnsi="Arial" w:cs="Arial"/>
              </w:rPr>
            </w:pPr>
            <w:r w:rsidRPr="009038E1">
              <w:rPr>
                <w:rFonts w:ascii="Arial" w:hAnsi="Arial" w:cs="Arial"/>
              </w:rPr>
              <w:t>-0.0819</w:t>
            </w:r>
          </w:p>
        </w:tc>
        <w:tc>
          <w:tcPr>
            <w:tcW w:w="1803" w:type="dxa"/>
          </w:tcPr>
          <w:p w14:paraId="6889C523" w14:textId="77777777" w:rsidR="00CD1B3F" w:rsidRPr="009038E1" w:rsidRDefault="00CD1B3F" w:rsidP="0066301C">
            <w:pPr>
              <w:jc w:val="center"/>
              <w:rPr>
                <w:rFonts w:ascii="Arial" w:hAnsi="Arial" w:cs="Arial"/>
              </w:rPr>
            </w:pPr>
            <w:r w:rsidRPr="009038E1">
              <w:rPr>
                <w:rFonts w:ascii="Arial" w:hAnsi="Arial" w:cs="Arial"/>
              </w:rPr>
              <w:t>-79.4273</w:t>
            </w:r>
          </w:p>
        </w:tc>
        <w:tc>
          <w:tcPr>
            <w:tcW w:w="1803" w:type="dxa"/>
          </w:tcPr>
          <w:p w14:paraId="085CBB64" w14:textId="77777777" w:rsidR="00CD1B3F" w:rsidRPr="009038E1" w:rsidRDefault="00CD1B3F" w:rsidP="0066301C">
            <w:pPr>
              <w:jc w:val="center"/>
              <w:rPr>
                <w:rFonts w:ascii="Arial" w:hAnsi="Arial" w:cs="Arial"/>
              </w:rPr>
            </w:pPr>
            <w:r w:rsidRPr="009038E1">
              <w:rPr>
                <w:rFonts w:ascii="Arial" w:hAnsi="Arial" w:cs="Arial"/>
              </w:rPr>
              <w:t>0.0000</w:t>
            </w:r>
          </w:p>
        </w:tc>
      </w:tr>
      <w:tr w:rsidR="00CD1B3F" w14:paraId="6F6FABC0" w14:textId="77777777" w:rsidTr="004D74AB">
        <w:tc>
          <w:tcPr>
            <w:tcW w:w="1803" w:type="dxa"/>
          </w:tcPr>
          <w:p w14:paraId="1C2BF559" w14:textId="77777777" w:rsidR="00CD1B3F" w:rsidRPr="009038E1" w:rsidRDefault="00CD1B3F" w:rsidP="0066301C">
            <w:pPr>
              <w:rPr>
                <w:rFonts w:ascii="Arial" w:hAnsi="Arial" w:cs="Arial"/>
              </w:rPr>
            </w:pPr>
            <w:r w:rsidRPr="009038E1">
              <w:rPr>
                <w:rFonts w:ascii="Arial" w:hAnsi="Arial" w:cs="Arial"/>
              </w:rPr>
              <w:t>C</w:t>
            </w:r>
          </w:p>
        </w:tc>
        <w:tc>
          <w:tcPr>
            <w:tcW w:w="1803" w:type="dxa"/>
          </w:tcPr>
          <w:p w14:paraId="5D700BA1" w14:textId="77777777" w:rsidR="00CD1B3F" w:rsidRPr="009038E1" w:rsidRDefault="00CD1B3F" w:rsidP="0066301C">
            <w:pPr>
              <w:jc w:val="center"/>
              <w:rPr>
                <w:rFonts w:ascii="Arial" w:hAnsi="Arial" w:cs="Arial"/>
              </w:rPr>
            </w:pPr>
          </w:p>
        </w:tc>
        <w:tc>
          <w:tcPr>
            <w:tcW w:w="1803" w:type="dxa"/>
          </w:tcPr>
          <w:p w14:paraId="2E7B1773" w14:textId="77777777" w:rsidR="00CD1B3F" w:rsidRPr="009038E1" w:rsidRDefault="00CD1B3F" w:rsidP="0066301C">
            <w:pPr>
              <w:jc w:val="center"/>
              <w:rPr>
                <w:rFonts w:ascii="Arial" w:hAnsi="Arial" w:cs="Arial"/>
              </w:rPr>
            </w:pPr>
            <w:r w:rsidRPr="009038E1">
              <w:rPr>
                <w:rFonts w:ascii="Arial" w:hAnsi="Arial" w:cs="Arial"/>
              </w:rPr>
              <w:t>2.1167</w:t>
            </w:r>
          </w:p>
        </w:tc>
        <w:tc>
          <w:tcPr>
            <w:tcW w:w="1803" w:type="dxa"/>
          </w:tcPr>
          <w:p w14:paraId="433F6933" w14:textId="77777777" w:rsidR="00CD1B3F" w:rsidRPr="009038E1" w:rsidRDefault="00CD1B3F" w:rsidP="0066301C">
            <w:pPr>
              <w:jc w:val="center"/>
              <w:rPr>
                <w:rFonts w:ascii="Arial" w:hAnsi="Arial" w:cs="Arial"/>
              </w:rPr>
            </w:pPr>
            <w:r w:rsidRPr="009038E1">
              <w:rPr>
                <w:rFonts w:ascii="Arial" w:hAnsi="Arial" w:cs="Arial"/>
              </w:rPr>
              <w:t>0.1614</w:t>
            </w:r>
          </w:p>
        </w:tc>
        <w:tc>
          <w:tcPr>
            <w:tcW w:w="1803" w:type="dxa"/>
          </w:tcPr>
          <w:p w14:paraId="72B39BDF" w14:textId="77777777" w:rsidR="00CD1B3F" w:rsidRPr="009038E1" w:rsidRDefault="00CD1B3F" w:rsidP="0066301C">
            <w:pPr>
              <w:jc w:val="center"/>
              <w:rPr>
                <w:rFonts w:ascii="Arial" w:hAnsi="Arial" w:cs="Arial"/>
              </w:rPr>
            </w:pPr>
            <w:r w:rsidRPr="009038E1">
              <w:rPr>
                <w:rFonts w:ascii="Arial" w:hAnsi="Arial" w:cs="Arial"/>
              </w:rPr>
              <w:t>0.882</w:t>
            </w:r>
          </w:p>
        </w:tc>
      </w:tr>
      <w:tr w:rsidR="00CD1B3F" w14:paraId="3C331331" w14:textId="77777777" w:rsidTr="004D74AB">
        <w:tc>
          <w:tcPr>
            <w:tcW w:w="1803" w:type="dxa"/>
          </w:tcPr>
          <w:p w14:paraId="2A1CDAC4" w14:textId="77777777" w:rsidR="00CD1B3F" w:rsidRPr="009038E1" w:rsidRDefault="00CD1B3F" w:rsidP="0066301C">
            <w:pPr>
              <w:jc w:val="center"/>
              <w:rPr>
                <w:rFonts w:ascii="Arial" w:hAnsi="Arial" w:cs="Arial"/>
                <w:b/>
                <w:bCs/>
              </w:rPr>
            </w:pPr>
          </w:p>
        </w:tc>
        <w:tc>
          <w:tcPr>
            <w:tcW w:w="7212" w:type="dxa"/>
            <w:gridSpan w:val="4"/>
          </w:tcPr>
          <w:p w14:paraId="300147FA" w14:textId="77777777" w:rsidR="00CD1B3F" w:rsidRPr="009038E1" w:rsidRDefault="00CD1B3F" w:rsidP="0066301C">
            <w:pPr>
              <w:jc w:val="center"/>
              <w:rPr>
                <w:rFonts w:ascii="Arial" w:hAnsi="Arial" w:cs="Arial"/>
                <w:b/>
                <w:bCs/>
              </w:rPr>
            </w:pPr>
            <w:r w:rsidRPr="009038E1">
              <w:rPr>
                <w:rFonts w:ascii="Arial" w:hAnsi="Arial" w:cs="Arial"/>
                <w:b/>
                <w:bCs/>
              </w:rPr>
              <w:t>CAR</w:t>
            </w:r>
          </w:p>
        </w:tc>
      </w:tr>
      <w:tr w:rsidR="00CD1B3F" w14:paraId="49EE3A4C" w14:textId="77777777" w:rsidTr="004D74AB">
        <w:tc>
          <w:tcPr>
            <w:tcW w:w="1803" w:type="dxa"/>
          </w:tcPr>
          <w:p w14:paraId="0E7422AF" w14:textId="77777777" w:rsidR="00CD1B3F" w:rsidRPr="009038E1" w:rsidRDefault="00CD1B3F" w:rsidP="0066301C">
            <w:pPr>
              <w:rPr>
                <w:rFonts w:ascii="Arial" w:hAnsi="Arial" w:cs="Arial"/>
              </w:rPr>
            </w:pPr>
            <w:r w:rsidRPr="009038E1">
              <w:rPr>
                <w:rFonts w:ascii="Arial" w:hAnsi="Arial" w:cs="Arial"/>
              </w:rPr>
              <w:t>ECT</w:t>
            </w:r>
          </w:p>
        </w:tc>
        <w:tc>
          <w:tcPr>
            <w:tcW w:w="1803" w:type="dxa"/>
          </w:tcPr>
          <w:p w14:paraId="18634BEC" w14:textId="77777777" w:rsidR="00CD1B3F" w:rsidRPr="009038E1" w:rsidRDefault="00CD1B3F" w:rsidP="0066301C">
            <w:pPr>
              <w:jc w:val="center"/>
              <w:rPr>
                <w:rFonts w:ascii="Arial" w:hAnsi="Arial" w:cs="Arial"/>
              </w:rPr>
            </w:pPr>
          </w:p>
        </w:tc>
        <w:tc>
          <w:tcPr>
            <w:tcW w:w="1803" w:type="dxa"/>
          </w:tcPr>
          <w:p w14:paraId="346466FD" w14:textId="77777777" w:rsidR="00CD1B3F" w:rsidRPr="009038E1" w:rsidRDefault="00CD1B3F" w:rsidP="0066301C">
            <w:pPr>
              <w:jc w:val="center"/>
              <w:rPr>
                <w:rFonts w:ascii="Arial" w:hAnsi="Arial" w:cs="Arial"/>
              </w:rPr>
            </w:pPr>
            <w:r w:rsidRPr="009038E1">
              <w:rPr>
                <w:rFonts w:ascii="Arial" w:hAnsi="Arial" w:cs="Arial"/>
              </w:rPr>
              <w:t>-1.2854</w:t>
            </w:r>
          </w:p>
        </w:tc>
        <w:tc>
          <w:tcPr>
            <w:tcW w:w="1803" w:type="dxa"/>
          </w:tcPr>
          <w:p w14:paraId="0ACFD1FA" w14:textId="77777777" w:rsidR="00CD1B3F" w:rsidRPr="009038E1" w:rsidRDefault="00CD1B3F" w:rsidP="0066301C">
            <w:pPr>
              <w:jc w:val="center"/>
              <w:rPr>
                <w:rFonts w:ascii="Arial" w:hAnsi="Arial" w:cs="Arial"/>
              </w:rPr>
            </w:pPr>
            <w:r w:rsidRPr="009038E1">
              <w:rPr>
                <w:rFonts w:ascii="Arial" w:hAnsi="Arial" w:cs="Arial"/>
              </w:rPr>
              <w:t>-61.3633</w:t>
            </w:r>
          </w:p>
        </w:tc>
        <w:tc>
          <w:tcPr>
            <w:tcW w:w="1803" w:type="dxa"/>
          </w:tcPr>
          <w:p w14:paraId="61B72408" w14:textId="77777777" w:rsidR="00CD1B3F" w:rsidRPr="009038E1" w:rsidRDefault="00CD1B3F" w:rsidP="0066301C">
            <w:pPr>
              <w:jc w:val="center"/>
              <w:rPr>
                <w:rFonts w:ascii="Arial" w:hAnsi="Arial" w:cs="Arial"/>
              </w:rPr>
            </w:pPr>
            <w:r w:rsidRPr="009038E1">
              <w:rPr>
                <w:rFonts w:ascii="Arial" w:hAnsi="Arial" w:cs="Arial"/>
              </w:rPr>
              <w:t>0.0000</w:t>
            </w:r>
          </w:p>
        </w:tc>
      </w:tr>
      <w:tr w:rsidR="00CD1B3F" w14:paraId="088E5FA5" w14:textId="77777777" w:rsidTr="004D74AB">
        <w:tc>
          <w:tcPr>
            <w:tcW w:w="1803" w:type="dxa"/>
          </w:tcPr>
          <w:p w14:paraId="533F44F5" w14:textId="77777777" w:rsidR="00CD1B3F" w:rsidRPr="009038E1" w:rsidRDefault="00CD1B3F" w:rsidP="0066301C">
            <w:pPr>
              <w:rPr>
                <w:rFonts w:ascii="Arial" w:hAnsi="Arial" w:cs="Arial"/>
              </w:rPr>
            </w:pPr>
            <w:r w:rsidRPr="009038E1">
              <w:rPr>
                <w:rFonts w:ascii="Arial" w:hAnsi="Arial" w:cs="Arial"/>
              </w:rPr>
              <w:t>∆REER</w:t>
            </w:r>
          </w:p>
        </w:tc>
        <w:tc>
          <w:tcPr>
            <w:tcW w:w="1803" w:type="dxa"/>
          </w:tcPr>
          <w:p w14:paraId="3D45528E" w14:textId="77777777" w:rsidR="00CD1B3F" w:rsidRPr="009038E1" w:rsidRDefault="00CD1B3F" w:rsidP="0066301C">
            <w:pPr>
              <w:jc w:val="center"/>
              <w:rPr>
                <w:rFonts w:ascii="Arial" w:hAnsi="Arial" w:cs="Arial"/>
              </w:rPr>
            </w:pPr>
          </w:p>
        </w:tc>
        <w:tc>
          <w:tcPr>
            <w:tcW w:w="1803" w:type="dxa"/>
          </w:tcPr>
          <w:p w14:paraId="277CEC7A" w14:textId="77777777" w:rsidR="00CD1B3F" w:rsidRPr="009038E1" w:rsidRDefault="00CD1B3F" w:rsidP="0066301C">
            <w:pPr>
              <w:jc w:val="center"/>
              <w:rPr>
                <w:rFonts w:ascii="Arial" w:hAnsi="Arial" w:cs="Arial"/>
              </w:rPr>
            </w:pPr>
            <w:r w:rsidRPr="009038E1">
              <w:rPr>
                <w:rFonts w:ascii="Arial" w:hAnsi="Arial" w:cs="Arial"/>
              </w:rPr>
              <w:t>-0.0526</w:t>
            </w:r>
          </w:p>
        </w:tc>
        <w:tc>
          <w:tcPr>
            <w:tcW w:w="1803" w:type="dxa"/>
          </w:tcPr>
          <w:p w14:paraId="7E88C475" w14:textId="77777777" w:rsidR="00CD1B3F" w:rsidRPr="009038E1" w:rsidRDefault="00CD1B3F" w:rsidP="0066301C">
            <w:pPr>
              <w:jc w:val="center"/>
              <w:rPr>
                <w:rFonts w:ascii="Arial" w:hAnsi="Arial" w:cs="Arial"/>
              </w:rPr>
            </w:pPr>
            <w:r w:rsidRPr="009038E1">
              <w:rPr>
                <w:rFonts w:ascii="Arial" w:hAnsi="Arial" w:cs="Arial"/>
              </w:rPr>
              <w:t>-7.7461</w:t>
            </w:r>
          </w:p>
        </w:tc>
        <w:tc>
          <w:tcPr>
            <w:tcW w:w="1803" w:type="dxa"/>
          </w:tcPr>
          <w:p w14:paraId="5FE5A8EC" w14:textId="77777777" w:rsidR="00CD1B3F" w:rsidRPr="009038E1" w:rsidRDefault="00CD1B3F" w:rsidP="0066301C">
            <w:pPr>
              <w:jc w:val="center"/>
              <w:rPr>
                <w:rFonts w:ascii="Arial" w:hAnsi="Arial" w:cs="Arial"/>
              </w:rPr>
            </w:pPr>
            <w:r w:rsidRPr="009038E1">
              <w:rPr>
                <w:rFonts w:ascii="Arial" w:hAnsi="Arial" w:cs="Arial"/>
              </w:rPr>
              <w:t>0.0045</w:t>
            </w:r>
          </w:p>
        </w:tc>
      </w:tr>
      <w:tr w:rsidR="00CD1B3F" w14:paraId="0771CFA8" w14:textId="77777777" w:rsidTr="004D74AB">
        <w:tc>
          <w:tcPr>
            <w:tcW w:w="1803" w:type="dxa"/>
          </w:tcPr>
          <w:p w14:paraId="58F804B9" w14:textId="77777777" w:rsidR="00CD1B3F" w:rsidRPr="009038E1" w:rsidRDefault="00CD1B3F" w:rsidP="0066301C">
            <w:pPr>
              <w:rPr>
                <w:rFonts w:ascii="Arial" w:hAnsi="Arial" w:cs="Arial"/>
              </w:rPr>
            </w:pPr>
            <w:r w:rsidRPr="009038E1">
              <w:rPr>
                <w:rFonts w:ascii="Arial" w:hAnsi="Arial" w:cs="Arial"/>
              </w:rPr>
              <w:t>∆OPEN</w:t>
            </w:r>
          </w:p>
        </w:tc>
        <w:tc>
          <w:tcPr>
            <w:tcW w:w="1803" w:type="dxa"/>
          </w:tcPr>
          <w:p w14:paraId="3DDA077F" w14:textId="77777777" w:rsidR="00CD1B3F" w:rsidRPr="009038E1" w:rsidRDefault="00CD1B3F" w:rsidP="0066301C">
            <w:pPr>
              <w:jc w:val="center"/>
              <w:rPr>
                <w:rFonts w:ascii="Arial" w:hAnsi="Arial" w:cs="Arial"/>
              </w:rPr>
            </w:pPr>
          </w:p>
        </w:tc>
        <w:tc>
          <w:tcPr>
            <w:tcW w:w="1803" w:type="dxa"/>
          </w:tcPr>
          <w:p w14:paraId="705E6841" w14:textId="77777777" w:rsidR="00CD1B3F" w:rsidRPr="009038E1" w:rsidRDefault="00CD1B3F" w:rsidP="0066301C">
            <w:pPr>
              <w:jc w:val="center"/>
              <w:rPr>
                <w:rFonts w:ascii="Arial" w:hAnsi="Arial" w:cs="Arial"/>
              </w:rPr>
            </w:pPr>
            <w:r w:rsidRPr="009038E1">
              <w:rPr>
                <w:rFonts w:ascii="Arial" w:hAnsi="Arial" w:cs="Arial"/>
              </w:rPr>
              <w:t>-0.5918</w:t>
            </w:r>
          </w:p>
        </w:tc>
        <w:tc>
          <w:tcPr>
            <w:tcW w:w="1803" w:type="dxa"/>
          </w:tcPr>
          <w:p w14:paraId="70D26CA3" w14:textId="77777777" w:rsidR="00CD1B3F" w:rsidRPr="009038E1" w:rsidRDefault="00CD1B3F" w:rsidP="0066301C">
            <w:pPr>
              <w:jc w:val="center"/>
              <w:rPr>
                <w:rFonts w:ascii="Arial" w:hAnsi="Arial" w:cs="Arial"/>
              </w:rPr>
            </w:pPr>
            <w:r w:rsidRPr="009038E1">
              <w:rPr>
                <w:rFonts w:ascii="Arial" w:hAnsi="Arial" w:cs="Arial"/>
              </w:rPr>
              <w:t>-14.2102</w:t>
            </w:r>
          </w:p>
        </w:tc>
        <w:tc>
          <w:tcPr>
            <w:tcW w:w="1803" w:type="dxa"/>
          </w:tcPr>
          <w:p w14:paraId="539EA020" w14:textId="77777777" w:rsidR="00CD1B3F" w:rsidRPr="009038E1" w:rsidRDefault="00CD1B3F" w:rsidP="0066301C">
            <w:pPr>
              <w:jc w:val="center"/>
              <w:rPr>
                <w:rFonts w:ascii="Arial" w:hAnsi="Arial" w:cs="Arial"/>
              </w:rPr>
            </w:pPr>
            <w:r w:rsidRPr="009038E1">
              <w:rPr>
                <w:rFonts w:ascii="Arial" w:hAnsi="Arial" w:cs="Arial"/>
              </w:rPr>
              <w:t>0.0008</w:t>
            </w:r>
          </w:p>
        </w:tc>
      </w:tr>
      <w:tr w:rsidR="00CD1B3F" w14:paraId="243BF5BF" w14:textId="77777777" w:rsidTr="004D74AB">
        <w:tc>
          <w:tcPr>
            <w:tcW w:w="1803" w:type="dxa"/>
          </w:tcPr>
          <w:p w14:paraId="34382651" w14:textId="77777777" w:rsidR="00CD1B3F" w:rsidRPr="009038E1" w:rsidRDefault="00CD1B3F" w:rsidP="0066301C">
            <w:pPr>
              <w:rPr>
                <w:rFonts w:ascii="Arial" w:hAnsi="Arial" w:cs="Arial"/>
              </w:rPr>
            </w:pPr>
            <w:r w:rsidRPr="009038E1">
              <w:rPr>
                <w:rFonts w:ascii="Arial" w:hAnsi="Arial" w:cs="Arial"/>
              </w:rPr>
              <w:t>∆GOVCON</w:t>
            </w:r>
          </w:p>
        </w:tc>
        <w:tc>
          <w:tcPr>
            <w:tcW w:w="1803" w:type="dxa"/>
          </w:tcPr>
          <w:p w14:paraId="6922B36F" w14:textId="77777777" w:rsidR="00CD1B3F" w:rsidRPr="009038E1" w:rsidRDefault="00CD1B3F" w:rsidP="0066301C">
            <w:pPr>
              <w:jc w:val="center"/>
              <w:rPr>
                <w:rFonts w:ascii="Arial" w:hAnsi="Arial" w:cs="Arial"/>
              </w:rPr>
            </w:pPr>
          </w:p>
        </w:tc>
        <w:tc>
          <w:tcPr>
            <w:tcW w:w="1803" w:type="dxa"/>
          </w:tcPr>
          <w:p w14:paraId="734AAA7F" w14:textId="77777777" w:rsidR="00CD1B3F" w:rsidRPr="009038E1" w:rsidRDefault="00CD1B3F" w:rsidP="0066301C">
            <w:pPr>
              <w:jc w:val="center"/>
              <w:rPr>
                <w:rFonts w:ascii="Arial" w:hAnsi="Arial" w:cs="Arial"/>
              </w:rPr>
            </w:pPr>
            <w:r w:rsidRPr="009038E1">
              <w:rPr>
                <w:rFonts w:ascii="Arial" w:hAnsi="Arial" w:cs="Arial"/>
              </w:rPr>
              <w:t>-0.6923</w:t>
            </w:r>
          </w:p>
        </w:tc>
        <w:tc>
          <w:tcPr>
            <w:tcW w:w="1803" w:type="dxa"/>
          </w:tcPr>
          <w:p w14:paraId="127BD009" w14:textId="77777777" w:rsidR="00CD1B3F" w:rsidRPr="009038E1" w:rsidRDefault="00CD1B3F" w:rsidP="0066301C">
            <w:pPr>
              <w:jc w:val="center"/>
              <w:rPr>
                <w:rFonts w:ascii="Arial" w:hAnsi="Arial" w:cs="Arial"/>
              </w:rPr>
            </w:pPr>
            <w:r w:rsidRPr="009038E1">
              <w:rPr>
                <w:rFonts w:ascii="Arial" w:hAnsi="Arial" w:cs="Arial"/>
              </w:rPr>
              <w:t>-2.6327</w:t>
            </w:r>
          </w:p>
        </w:tc>
        <w:tc>
          <w:tcPr>
            <w:tcW w:w="1803" w:type="dxa"/>
          </w:tcPr>
          <w:p w14:paraId="32E8B386" w14:textId="77777777" w:rsidR="00CD1B3F" w:rsidRPr="009038E1" w:rsidRDefault="00CD1B3F" w:rsidP="0066301C">
            <w:pPr>
              <w:jc w:val="center"/>
              <w:rPr>
                <w:rFonts w:ascii="Arial" w:hAnsi="Arial" w:cs="Arial"/>
              </w:rPr>
            </w:pPr>
            <w:r w:rsidRPr="009038E1">
              <w:rPr>
                <w:rFonts w:ascii="Arial" w:hAnsi="Arial" w:cs="Arial"/>
              </w:rPr>
              <w:t>0.0077</w:t>
            </w:r>
          </w:p>
        </w:tc>
      </w:tr>
      <w:tr w:rsidR="00CD1B3F" w14:paraId="688152B2" w14:textId="77777777" w:rsidTr="004D74AB">
        <w:tc>
          <w:tcPr>
            <w:tcW w:w="1803" w:type="dxa"/>
          </w:tcPr>
          <w:p w14:paraId="2B4F609A" w14:textId="77777777" w:rsidR="00CD1B3F" w:rsidRPr="009038E1" w:rsidRDefault="00CD1B3F" w:rsidP="0066301C">
            <w:pPr>
              <w:rPr>
                <w:rFonts w:ascii="Arial" w:hAnsi="Arial" w:cs="Arial"/>
              </w:rPr>
            </w:pPr>
            <w:r w:rsidRPr="009038E1">
              <w:rPr>
                <w:rFonts w:ascii="Arial" w:hAnsi="Arial" w:cs="Arial"/>
              </w:rPr>
              <w:t>∆FDI</w:t>
            </w:r>
          </w:p>
        </w:tc>
        <w:tc>
          <w:tcPr>
            <w:tcW w:w="1803" w:type="dxa"/>
          </w:tcPr>
          <w:p w14:paraId="1F39C0F9" w14:textId="77777777" w:rsidR="00CD1B3F" w:rsidRPr="009038E1" w:rsidRDefault="00CD1B3F" w:rsidP="0066301C">
            <w:pPr>
              <w:jc w:val="center"/>
              <w:rPr>
                <w:rFonts w:ascii="Arial" w:hAnsi="Arial" w:cs="Arial"/>
              </w:rPr>
            </w:pPr>
          </w:p>
        </w:tc>
        <w:tc>
          <w:tcPr>
            <w:tcW w:w="1803" w:type="dxa"/>
          </w:tcPr>
          <w:p w14:paraId="05ACDFCF" w14:textId="77777777" w:rsidR="00CD1B3F" w:rsidRPr="009038E1" w:rsidRDefault="00CD1B3F" w:rsidP="0066301C">
            <w:pPr>
              <w:jc w:val="center"/>
              <w:rPr>
                <w:rFonts w:ascii="Arial" w:hAnsi="Arial" w:cs="Arial"/>
              </w:rPr>
            </w:pPr>
            <w:r w:rsidRPr="009038E1">
              <w:rPr>
                <w:rFonts w:ascii="Arial" w:hAnsi="Arial" w:cs="Arial"/>
              </w:rPr>
              <w:t>1.1342</w:t>
            </w:r>
          </w:p>
        </w:tc>
        <w:tc>
          <w:tcPr>
            <w:tcW w:w="1803" w:type="dxa"/>
          </w:tcPr>
          <w:p w14:paraId="5412C963" w14:textId="77777777" w:rsidR="00CD1B3F" w:rsidRPr="009038E1" w:rsidRDefault="00CD1B3F" w:rsidP="0066301C">
            <w:pPr>
              <w:jc w:val="center"/>
              <w:rPr>
                <w:rFonts w:ascii="Arial" w:hAnsi="Arial" w:cs="Arial"/>
              </w:rPr>
            </w:pPr>
            <w:r w:rsidRPr="009038E1">
              <w:rPr>
                <w:rFonts w:ascii="Arial" w:hAnsi="Arial" w:cs="Arial"/>
              </w:rPr>
              <w:t>1.5775</w:t>
            </w:r>
          </w:p>
        </w:tc>
        <w:tc>
          <w:tcPr>
            <w:tcW w:w="1803" w:type="dxa"/>
          </w:tcPr>
          <w:p w14:paraId="6FC4B5DA" w14:textId="77777777" w:rsidR="00CD1B3F" w:rsidRPr="009038E1" w:rsidRDefault="00CD1B3F" w:rsidP="0066301C">
            <w:pPr>
              <w:jc w:val="center"/>
              <w:rPr>
                <w:rFonts w:ascii="Arial" w:hAnsi="Arial" w:cs="Arial"/>
              </w:rPr>
            </w:pPr>
            <w:r w:rsidRPr="009038E1">
              <w:rPr>
                <w:rFonts w:ascii="Arial" w:hAnsi="Arial" w:cs="Arial"/>
              </w:rPr>
              <w:t>0.2128</w:t>
            </w:r>
          </w:p>
        </w:tc>
      </w:tr>
      <w:tr w:rsidR="00CD1B3F" w14:paraId="38BA094E" w14:textId="77777777" w:rsidTr="004D74AB">
        <w:tc>
          <w:tcPr>
            <w:tcW w:w="1803" w:type="dxa"/>
          </w:tcPr>
          <w:p w14:paraId="444E6316" w14:textId="77777777" w:rsidR="00CD1B3F" w:rsidRPr="009038E1" w:rsidRDefault="00CD1B3F" w:rsidP="0066301C">
            <w:pPr>
              <w:rPr>
                <w:rFonts w:ascii="Arial" w:hAnsi="Arial" w:cs="Arial"/>
              </w:rPr>
            </w:pPr>
            <w:r w:rsidRPr="009038E1">
              <w:rPr>
                <w:rFonts w:ascii="Arial" w:hAnsi="Arial" w:cs="Arial"/>
              </w:rPr>
              <w:t>∆TOT</w:t>
            </w:r>
          </w:p>
        </w:tc>
        <w:tc>
          <w:tcPr>
            <w:tcW w:w="1803" w:type="dxa"/>
          </w:tcPr>
          <w:p w14:paraId="0E3C1677" w14:textId="77777777" w:rsidR="00CD1B3F" w:rsidRPr="009038E1" w:rsidRDefault="00CD1B3F" w:rsidP="0066301C">
            <w:pPr>
              <w:jc w:val="center"/>
              <w:rPr>
                <w:rFonts w:ascii="Arial" w:hAnsi="Arial" w:cs="Arial"/>
              </w:rPr>
            </w:pPr>
          </w:p>
        </w:tc>
        <w:tc>
          <w:tcPr>
            <w:tcW w:w="1803" w:type="dxa"/>
          </w:tcPr>
          <w:p w14:paraId="3236940B" w14:textId="77777777" w:rsidR="00CD1B3F" w:rsidRPr="009038E1" w:rsidRDefault="00CD1B3F" w:rsidP="0066301C">
            <w:pPr>
              <w:jc w:val="center"/>
              <w:rPr>
                <w:rFonts w:ascii="Arial" w:hAnsi="Arial" w:cs="Arial"/>
              </w:rPr>
            </w:pPr>
            <w:r w:rsidRPr="009038E1">
              <w:rPr>
                <w:rFonts w:ascii="Arial" w:hAnsi="Arial" w:cs="Arial"/>
              </w:rPr>
              <w:t>0.116</w:t>
            </w:r>
          </w:p>
        </w:tc>
        <w:tc>
          <w:tcPr>
            <w:tcW w:w="1803" w:type="dxa"/>
          </w:tcPr>
          <w:p w14:paraId="72DA4867" w14:textId="77777777" w:rsidR="00CD1B3F" w:rsidRPr="009038E1" w:rsidRDefault="00CD1B3F" w:rsidP="0066301C">
            <w:pPr>
              <w:jc w:val="center"/>
              <w:rPr>
                <w:rFonts w:ascii="Arial" w:hAnsi="Arial" w:cs="Arial"/>
              </w:rPr>
            </w:pPr>
            <w:r w:rsidRPr="009038E1">
              <w:rPr>
                <w:rFonts w:ascii="Arial" w:hAnsi="Arial" w:cs="Arial"/>
              </w:rPr>
              <w:t>32.8539</w:t>
            </w:r>
          </w:p>
        </w:tc>
        <w:tc>
          <w:tcPr>
            <w:tcW w:w="1803" w:type="dxa"/>
          </w:tcPr>
          <w:p w14:paraId="3B189287" w14:textId="77777777" w:rsidR="00CD1B3F" w:rsidRPr="009038E1" w:rsidRDefault="00CD1B3F" w:rsidP="0066301C">
            <w:pPr>
              <w:jc w:val="center"/>
              <w:rPr>
                <w:rFonts w:ascii="Arial" w:hAnsi="Arial" w:cs="Arial"/>
              </w:rPr>
            </w:pPr>
            <w:r w:rsidRPr="009038E1">
              <w:rPr>
                <w:rFonts w:ascii="Arial" w:hAnsi="Arial" w:cs="Arial"/>
              </w:rPr>
              <w:t>0.0001</w:t>
            </w:r>
          </w:p>
        </w:tc>
      </w:tr>
      <w:tr w:rsidR="00CD1B3F" w14:paraId="1B297FD6" w14:textId="77777777" w:rsidTr="004D74AB">
        <w:tc>
          <w:tcPr>
            <w:tcW w:w="1803" w:type="dxa"/>
          </w:tcPr>
          <w:p w14:paraId="5403BB05" w14:textId="77777777" w:rsidR="00CD1B3F" w:rsidRPr="009038E1" w:rsidRDefault="00CD1B3F" w:rsidP="0066301C">
            <w:pPr>
              <w:rPr>
                <w:rFonts w:ascii="Arial" w:hAnsi="Arial" w:cs="Arial"/>
              </w:rPr>
            </w:pPr>
            <w:r w:rsidRPr="009038E1">
              <w:rPr>
                <w:rFonts w:ascii="Arial" w:hAnsi="Arial" w:cs="Arial"/>
              </w:rPr>
              <w:lastRenderedPageBreak/>
              <w:t>C</w:t>
            </w:r>
          </w:p>
        </w:tc>
        <w:tc>
          <w:tcPr>
            <w:tcW w:w="1803" w:type="dxa"/>
          </w:tcPr>
          <w:p w14:paraId="2E2A85CF" w14:textId="77777777" w:rsidR="00CD1B3F" w:rsidRPr="009038E1" w:rsidRDefault="00CD1B3F" w:rsidP="0066301C">
            <w:pPr>
              <w:jc w:val="center"/>
              <w:rPr>
                <w:rFonts w:ascii="Arial" w:hAnsi="Arial" w:cs="Arial"/>
              </w:rPr>
            </w:pPr>
          </w:p>
        </w:tc>
        <w:tc>
          <w:tcPr>
            <w:tcW w:w="1803" w:type="dxa"/>
          </w:tcPr>
          <w:p w14:paraId="305C2B9E" w14:textId="77777777" w:rsidR="00CD1B3F" w:rsidRPr="009038E1" w:rsidRDefault="00CD1B3F" w:rsidP="0066301C">
            <w:pPr>
              <w:jc w:val="center"/>
              <w:rPr>
                <w:rFonts w:ascii="Arial" w:hAnsi="Arial" w:cs="Arial"/>
              </w:rPr>
            </w:pPr>
            <w:r w:rsidRPr="009038E1">
              <w:rPr>
                <w:rFonts w:ascii="Arial" w:hAnsi="Arial" w:cs="Arial"/>
              </w:rPr>
              <w:t>4.2358</w:t>
            </w:r>
          </w:p>
        </w:tc>
        <w:tc>
          <w:tcPr>
            <w:tcW w:w="1803" w:type="dxa"/>
          </w:tcPr>
          <w:p w14:paraId="5B0228EF" w14:textId="77777777" w:rsidR="00CD1B3F" w:rsidRPr="009038E1" w:rsidRDefault="00CD1B3F" w:rsidP="0066301C">
            <w:pPr>
              <w:jc w:val="center"/>
              <w:rPr>
                <w:rFonts w:ascii="Arial" w:hAnsi="Arial" w:cs="Arial"/>
              </w:rPr>
            </w:pPr>
            <w:r w:rsidRPr="009038E1">
              <w:rPr>
                <w:rFonts w:ascii="Arial" w:hAnsi="Arial" w:cs="Arial"/>
              </w:rPr>
              <w:t>0.2106</w:t>
            </w:r>
          </w:p>
        </w:tc>
        <w:tc>
          <w:tcPr>
            <w:tcW w:w="1803" w:type="dxa"/>
          </w:tcPr>
          <w:p w14:paraId="7CE93F2C" w14:textId="77777777" w:rsidR="00CD1B3F" w:rsidRPr="009038E1" w:rsidRDefault="00CD1B3F" w:rsidP="0066301C">
            <w:pPr>
              <w:jc w:val="center"/>
              <w:rPr>
                <w:rFonts w:ascii="Arial" w:hAnsi="Arial" w:cs="Arial"/>
              </w:rPr>
            </w:pPr>
            <w:r w:rsidRPr="009038E1">
              <w:rPr>
                <w:rFonts w:ascii="Arial" w:hAnsi="Arial" w:cs="Arial"/>
              </w:rPr>
              <w:t>0.8467</w:t>
            </w:r>
          </w:p>
        </w:tc>
      </w:tr>
      <w:tr w:rsidR="00CD1B3F" w14:paraId="498BFA00" w14:textId="77777777" w:rsidTr="004D74AB">
        <w:tc>
          <w:tcPr>
            <w:tcW w:w="1803" w:type="dxa"/>
          </w:tcPr>
          <w:p w14:paraId="2219EA2B" w14:textId="77777777" w:rsidR="00CD1B3F" w:rsidRPr="009038E1" w:rsidRDefault="00CD1B3F" w:rsidP="0066301C">
            <w:pPr>
              <w:jc w:val="center"/>
              <w:rPr>
                <w:rFonts w:ascii="Arial" w:hAnsi="Arial" w:cs="Arial"/>
                <w:b/>
                <w:bCs/>
              </w:rPr>
            </w:pPr>
          </w:p>
        </w:tc>
        <w:tc>
          <w:tcPr>
            <w:tcW w:w="7212" w:type="dxa"/>
            <w:gridSpan w:val="4"/>
          </w:tcPr>
          <w:p w14:paraId="57393AA7" w14:textId="77777777" w:rsidR="00CD1B3F" w:rsidRPr="009038E1" w:rsidRDefault="00CD1B3F" w:rsidP="0066301C">
            <w:pPr>
              <w:jc w:val="center"/>
              <w:rPr>
                <w:rFonts w:ascii="Arial" w:hAnsi="Arial" w:cs="Arial"/>
                <w:b/>
                <w:bCs/>
              </w:rPr>
            </w:pPr>
            <w:r w:rsidRPr="009038E1">
              <w:rPr>
                <w:rFonts w:ascii="Arial" w:hAnsi="Arial" w:cs="Arial"/>
                <w:b/>
                <w:bCs/>
              </w:rPr>
              <w:t>Gabon</w:t>
            </w:r>
          </w:p>
        </w:tc>
      </w:tr>
      <w:tr w:rsidR="00CD1B3F" w14:paraId="392C6663" w14:textId="77777777" w:rsidTr="004D74AB">
        <w:tc>
          <w:tcPr>
            <w:tcW w:w="1803" w:type="dxa"/>
          </w:tcPr>
          <w:p w14:paraId="1A02A9F8" w14:textId="77777777" w:rsidR="00CD1B3F" w:rsidRPr="009038E1" w:rsidRDefault="00CD1B3F" w:rsidP="0066301C">
            <w:pPr>
              <w:rPr>
                <w:rFonts w:ascii="Arial" w:hAnsi="Arial" w:cs="Arial"/>
              </w:rPr>
            </w:pPr>
            <w:r w:rsidRPr="009038E1">
              <w:rPr>
                <w:rFonts w:ascii="Arial" w:hAnsi="Arial" w:cs="Arial"/>
              </w:rPr>
              <w:t>ECT</w:t>
            </w:r>
          </w:p>
        </w:tc>
        <w:tc>
          <w:tcPr>
            <w:tcW w:w="1803" w:type="dxa"/>
          </w:tcPr>
          <w:p w14:paraId="733F4C02" w14:textId="77777777" w:rsidR="00CD1B3F" w:rsidRPr="009038E1" w:rsidRDefault="00CD1B3F" w:rsidP="0066301C">
            <w:pPr>
              <w:jc w:val="center"/>
              <w:rPr>
                <w:rFonts w:ascii="Arial" w:hAnsi="Arial" w:cs="Arial"/>
              </w:rPr>
            </w:pPr>
          </w:p>
        </w:tc>
        <w:tc>
          <w:tcPr>
            <w:tcW w:w="1803" w:type="dxa"/>
          </w:tcPr>
          <w:p w14:paraId="5E53DC6A" w14:textId="77777777" w:rsidR="00CD1B3F" w:rsidRPr="009038E1" w:rsidRDefault="00CD1B3F" w:rsidP="0066301C">
            <w:pPr>
              <w:jc w:val="center"/>
              <w:rPr>
                <w:rFonts w:ascii="Arial" w:hAnsi="Arial" w:cs="Arial"/>
              </w:rPr>
            </w:pPr>
            <w:r w:rsidRPr="009038E1">
              <w:rPr>
                <w:rFonts w:ascii="Arial" w:hAnsi="Arial" w:cs="Arial"/>
              </w:rPr>
              <w:t>-0.6379</w:t>
            </w:r>
          </w:p>
        </w:tc>
        <w:tc>
          <w:tcPr>
            <w:tcW w:w="1803" w:type="dxa"/>
          </w:tcPr>
          <w:p w14:paraId="523BB9BB" w14:textId="77777777" w:rsidR="00CD1B3F" w:rsidRPr="009038E1" w:rsidRDefault="00CD1B3F" w:rsidP="0066301C">
            <w:pPr>
              <w:jc w:val="center"/>
              <w:rPr>
                <w:rFonts w:ascii="Arial" w:hAnsi="Arial" w:cs="Arial"/>
              </w:rPr>
            </w:pPr>
            <w:r w:rsidRPr="009038E1">
              <w:rPr>
                <w:rFonts w:ascii="Arial" w:hAnsi="Arial" w:cs="Arial"/>
              </w:rPr>
              <w:t>-27.6531</w:t>
            </w:r>
          </w:p>
        </w:tc>
        <w:tc>
          <w:tcPr>
            <w:tcW w:w="1803" w:type="dxa"/>
          </w:tcPr>
          <w:p w14:paraId="58511200" w14:textId="77777777" w:rsidR="00CD1B3F" w:rsidRPr="009038E1" w:rsidRDefault="00CD1B3F" w:rsidP="0066301C">
            <w:pPr>
              <w:jc w:val="center"/>
              <w:rPr>
                <w:rFonts w:ascii="Arial" w:hAnsi="Arial" w:cs="Arial"/>
              </w:rPr>
            </w:pPr>
            <w:r w:rsidRPr="009038E1">
              <w:rPr>
                <w:rFonts w:ascii="Arial" w:hAnsi="Arial" w:cs="Arial"/>
              </w:rPr>
              <w:t>0.0001</w:t>
            </w:r>
          </w:p>
        </w:tc>
      </w:tr>
      <w:tr w:rsidR="00CD1B3F" w14:paraId="610E0D70" w14:textId="77777777" w:rsidTr="004D74AB">
        <w:tc>
          <w:tcPr>
            <w:tcW w:w="1803" w:type="dxa"/>
          </w:tcPr>
          <w:p w14:paraId="7760BC61" w14:textId="77777777" w:rsidR="00CD1B3F" w:rsidRPr="009038E1" w:rsidRDefault="00CD1B3F" w:rsidP="0066301C">
            <w:pPr>
              <w:rPr>
                <w:rFonts w:ascii="Arial" w:hAnsi="Arial" w:cs="Arial"/>
              </w:rPr>
            </w:pPr>
            <w:r w:rsidRPr="009038E1">
              <w:rPr>
                <w:rFonts w:ascii="Arial" w:hAnsi="Arial" w:cs="Arial"/>
              </w:rPr>
              <w:t>∆REER</w:t>
            </w:r>
          </w:p>
        </w:tc>
        <w:tc>
          <w:tcPr>
            <w:tcW w:w="1803" w:type="dxa"/>
          </w:tcPr>
          <w:p w14:paraId="5527BBF7" w14:textId="77777777" w:rsidR="00CD1B3F" w:rsidRPr="009038E1" w:rsidRDefault="00CD1B3F" w:rsidP="0066301C">
            <w:pPr>
              <w:jc w:val="center"/>
              <w:rPr>
                <w:rFonts w:ascii="Arial" w:hAnsi="Arial" w:cs="Arial"/>
              </w:rPr>
            </w:pPr>
          </w:p>
        </w:tc>
        <w:tc>
          <w:tcPr>
            <w:tcW w:w="1803" w:type="dxa"/>
          </w:tcPr>
          <w:p w14:paraId="7062CDC4" w14:textId="77777777" w:rsidR="00CD1B3F" w:rsidRPr="009038E1" w:rsidRDefault="00CD1B3F" w:rsidP="0066301C">
            <w:pPr>
              <w:jc w:val="center"/>
              <w:rPr>
                <w:rFonts w:ascii="Arial" w:hAnsi="Arial" w:cs="Arial"/>
              </w:rPr>
            </w:pPr>
            <w:r w:rsidRPr="009038E1">
              <w:rPr>
                <w:rFonts w:ascii="Arial" w:hAnsi="Arial" w:cs="Arial"/>
              </w:rPr>
              <w:t>-0.1155</w:t>
            </w:r>
          </w:p>
        </w:tc>
        <w:tc>
          <w:tcPr>
            <w:tcW w:w="1803" w:type="dxa"/>
          </w:tcPr>
          <w:p w14:paraId="197CCCA5" w14:textId="77777777" w:rsidR="00CD1B3F" w:rsidRPr="009038E1" w:rsidRDefault="00CD1B3F" w:rsidP="0066301C">
            <w:pPr>
              <w:jc w:val="center"/>
              <w:rPr>
                <w:rFonts w:ascii="Arial" w:hAnsi="Arial" w:cs="Arial"/>
              </w:rPr>
            </w:pPr>
            <w:r w:rsidRPr="009038E1">
              <w:rPr>
                <w:rFonts w:ascii="Arial" w:hAnsi="Arial" w:cs="Arial"/>
              </w:rPr>
              <w:t>-35.053</w:t>
            </w:r>
          </w:p>
        </w:tc>
        <w:tc>
          <w:tcPr>
            <w:tcW w:w="1803" w:type="dxa"/>
          </w:tcPr>
          <w:p w14:paraId="63C393E8" w14:textId="77777777" w:rsidR="00CD1B3F" w:rsidRPr="009038E1" w:rsidRDefault="00CD1B3F" w:rsidP="0066301C">
            <w:pPr>
              <w:jc w:val="center"/>
              <w:rPr>
                <w:rFonts w:ascii="Arial" w:hAnsi="Arial" w:cs="Arial"/>
              </w:rPr>
            </w:pPr>
            <w:r w:rsidRPr="009038E1">
              <w:rPr>
                <w:rFonts w:ascii="Arial" w:hAnsi="Arial" w:cs="Arial"/>
              </w:rPr>
              <w:t>0.0001</w:t>
            </w:r>
          </w:p>
        </w:tc>
      </w:tr>
      <w:tr w:rsidR="00CD1B3F" w14:paraId="4575097E" w14:textId="77777777" w:rsidTr="004D74AB">
        <w:tc>
          <w:tcPr>
            <w:tcW w:w="1803" w:type="dxa"/>
          </w:tcPr>
          <w:p w14:paraId="73265993" w14:textId="77777777" w:rsidR="00CD1B3F" w:rsidRPr="009038E1" w:rsidRDefault="00CD1B3F" w:rsidP="0066301C">
            <w:pPr>
              <w:rPr>
                <w:rFonts w:ascii="Arial" w:hAnsi="Arial" w:cs="Arial"/>
              </w:rPr>
            </w:pPr>
            <w:r w:rsidRPr="009038E1">
              <w:rPr>
                <w:rFonts w:ascii="Arial" w:hAnsi="Arial" w:cs="Arial"/>
              </w:rPr>
              <w:t>∆OPEN</w:t>
            </w:r>
          </w:p>
        </w:tc>
        <w:tc>
          <w:tcPr>
            <w:tcW w:w="1803" w:type="dxa"/>
          </w:tcPr>
          <w:p w14:paraId="21475F14" w14:textId="77777777" w:rsidR="00CD1B3F" w:rsidRPr="009038E1" w:rsidRDefault="00CD1B3F" w:rsidP="0066301C">
            <w:pPr>
              <w:jc w:val="center"/>
              <w:rPr>
                <w:rFonts w:ascii="Arial" w:hAnsi="Arial" w:cs="Arial"/>
              </w:rPr>
            </w:pPr>
          </w:p>
        </w:tc>
        <w:tc>
          <w:tcPr>
            <w:tcW w:w="1803" w:type="dxa"/>
          </w:tcPr>
          <w:p w14:paraId="4A1753B6" w14:textId="77777777" w:rsidR="00CD1B3F" w:rsidRPr="009038E1" w:rsidRDefault="00CD1B3F" w:rsidP="0066301C">
            <w:pPr>
              <w:jc w:val="center"/>
              <w:rPr>
                <w:rFonts w:ascii="Arial" w:hAnsi="Arial" w:cs="Arial"/>
              </w:rPr>
            </w:pPr>
            <w:r w:rsidRPr="009038E1">
              <w:rPr>
                <w:rFonts w:ascii="Arial" w:hAnsi="Arial" w:cs="Arial"/>
              </w:rPr>
              <w:t>-0.3526</w:t>
            </w:r>
          </w:p>
        </w:tc>
        <w:tc>
          <w:tcPr>
            <w:tcW w:w="1803" w:type="dxa"/>
          </w:tcPr>
          <w:p w14:paraId="7BF357F6" w14:textId="77777777" w:rsidR="00CD1B3F" w:rsidRPr="009038E1" w:rsidRDefault="00CD1B3F" w:rsidP="0066301C">
            <w:pPr>
              <w:jc w:val="center"/>
              <w:rPr>
                <w:rFonts w:ascii="Arial" w:hAnsi="Arial" w:cs="Arial"/>
              </w:rPr>
            </w:pPr>
            <w:r w:rsidRPr="009038E1">
              <w:rPr>
                <w:rFonts w:ascii="Arial" w:hAnsi="Arial" w:cs="Arial"/>
              </w:rPr>
              <w:t>-31.0747</w:t>
            </w:r>
          </w:p>
        </w:tc>
        <w:tc>
          <w:tcPr>
            <w:tcW w:w="1803" w:type="dxa"/>
          </w:tcPr>
          <w:p w14:paraId="41827952" w14:textId="77777777" w:rsidR="00CD1B3F" w:rsidRPr="009038E1" w:rsidRDefault="00CD1B3F" w:rsidP="0066301C">
            <w:pPr>
              <w:jc w:val="center"/>
              <w:rPr>
                <w:rFonts w:ascii="Arial" w:hAnsi="Arial" w:cs="Arial"/>
              </w:rPr>
            </w:pPr>
            <w:r w:rsidRPr="009038E1">
              <w:rPr>
                <w:rFonts w:ascii="Arial" w:hAnsi="Arial" w:cs="Arial"/>
              </w:rPr>
              <w:t>0.0001</w:t>
            </w:r>
          </w:p>
        </w:tc>
      </w:tr>
      <w:tr w:rsidR="00CD1B3F" w14:paraId="118D80A4" w14:textId="77777777" w:rsidTr="004D74AB">
        <w:tc>
          <w:tcPr>
            <w:tcW w:w="1803" w:type="dxa"/>
          </w:tcPr>
          <w:p w14:paraId="35FA0449" w14:textId="77777777" w:rsidR="00CD1B3F" w:rsidRPr="009038E1" w:rsidRDefault="00CD1B3F" w:rsidP="0066301C">
            <w:pPr>
              <w:rPr>
                <w:rFonts w:ascii="Arial" w:hAnsi="Arial" w:cs="Arial"/>
              </w:rPr>
            </w:pPr>
            <w:r w:rsidRPr="009038E1">
              <w:rPr>
                <w:rFonts w:ascii="Arial" w:hAnsi="Arial" w:cs="Arial"/>
              </w:rPr>
              <w:t>∆GOVCON</w:t>
            </w:r>
          </w:p>
        </w:tc>
        <w:tc>
          <w:tcPr>
            <w:tcW w:w="1803" w:type="dxa"/>
          </w:tcPr>
          <w:p w14:paraId="5383325F" w14:textId="77777777" w:rsidR="00CD1B3F" w:rsidRPr="009038E1" w:rsidRDefault="00CD1B3F" w:rsidP="0066301C">
            <w:pPr>
              <w:jc w:val="center"/>
              <w:rPr>
                <w:rFonts w:ascii="Arial" w:hAnsi="Arial" w:cs="Arial"/>
              </w:rPr>
            </w:pPr>
          </w:p>
        </w:tc>
        <w:tc>
          <w:tcPr>
            <w:tcW w:w="1803" w:type="dxa"/>
          </w:tcPr>
          <w:p w14:paraId="6B3035C9" w14:textId="77777777" w:rsidR="00CD1B3F" w:rsidRPr="009038E1" w:rsidRDefault="00CD1B3F" w:rsidP="0066301C">
            <w:pPr>
              <w:jc w:val="center"/>
              <w:rPr>
                <w:rFonts w:ascii="Arial" w:hAnsi="Arial" w:cs="Arial"/>
              </w:rPr>
            </w:pPr>
            <w:r w:rsidRPr="009038E1">
              <w:rPr>
                <w:rFonts w:ascii="Arial" w:hAnsi="Arial" w:cs="Arial"/>
              </w:rPr>
              <w:t>-1.1711</w:t>
            </w:r>
          </w:p>
        </w:tc>
        <w:tc>
          <w:tcPr>
            <w:tcW w:w="1803" w:type="dxa"/>
          </w:tcPr>
          <w:p w14:paraId="338C409A" w14:textId="77777777" w:rsidR="00CD1B3F" w:rsidRPr="009038E1" w:rsidRDefault="00CD1B3F" w:rsidP="0066301C">
            <w:pPr>
              <w:jc w:val="center"/>
              <w:rPr>
                <w:rFonts w:ascii="Arial" w:hAnsi="Arial" w:cs="Arial"/>
              </w:rPr>
            </w:pPr>
            <w:r w:rsidRPr="009038E1">
              <w:rPr>
                <w:rFonts w:ascii="Arial" w:hAnsi="Arial" w:cs="Arial"/>
              </w:rPr>
              <w:t>-5.7063</w:t>
            </w:r>
          </w:p>
        </w:tc>
        <w:tc>
          <w:tcPr>
            <w:tcW w:w="1803" w:type="dxa"/>
          </w:tcPr>
          <w:p w14:paraId="26973308" w14:textId="77777777" w:rsidR="00CD1B3F" w:rsidRPr="009038E1" w:rsidRDefault="00CD1B3F" w:rsidP="0066301C">
            <w:pPr>
              <w:jc w:val="center"/>
              <w:rPr>
                <w:rFonts w:ascii="Arial" w:hAnsi="Arial" w:cs="Arial"/>
              </w:rPr>
            </w:pPr>
            <w:r w:rsidRPr="009038E1">
              <w:rPr>
                <w:rFonts w:ascii="Arial" w:hAnsi="Arial" w:cs="Arial"/>
              </w:rPr>
              <w:t>0.0107</w:t>
            </w:r>
          </w:p>
        </w:tc>
      </w:tr>
      <w:tr w:rsidR="00CD1B3F" w14:paraId="4DD9DEEB" w14:textId="77777777" w:rsidTr="004D74AB">
        <w:tc>
          <w:tcPr>
            <w:tcW w:w="1803" w:type="dxa"/>
          </w:tcPr>
          <w:p w14:paraId="7C8CD909" w14:textId="77777777" w:rsidR="00CD1B3F" w:rsidRPr="009038E1" w:rsidRDefault="00CD1B3F" w:rsidP="0066301C">
            <w:pPr>
              <w:rPr>
                <w:rFonts w:ascii="Arial" w:hAnsi="Arial" w:cs="Arial"/>
              </w:rPr>
            </w:pPr>
            <w:r w:rsidRPr="009038E1">
              <w:rPr>
                <w:rFonts w:ascii="Arial" w:hAnsi="Arial" w:cs="Arial"/>
              </w:rPr>
              <w:t>∆FDI</w:t>
            </w:r>
          </w:p>
        </w:tc>
        <w:tc>
          <w:tcPr>
            <w:tcW w:w="1803" w:type="dxa"/>
          </w:tcPr>
          <w:p w14:paraId="426F16B8" w14:textId="77777777" w:rsidR="00CD1B3F" w:rsidRPr="009038E1" w:rsidRDefault="00CD1B3F" w:rsidP="0066301C">
            <w:pPr>
              <w:jc w:val="center"/>
              <w:rPr>
                <w:rFonts w:ascii="Arial" w:hAnsi="Arial" w:cs="Arial"/>
              </w:rPr>
            </w:pPr>
          </w:p>
        </w:tc>
        <w:tc>
          <w:tcPr>
            <w:tcW w:w="1803" w:type="dxa"/>
          </w:tcPr>
          <w:p w14:paraId="3AC772C7" w14:textId="77777777" w:rsidR="00CD1B3F" w:rsidRPr="009038E1" w:rsidRDefault="00CD1B3F" w:rsidP="0066301C">
            <w:pPr>
              <w:jc w:val="center"/>
              <w:rPr>
                <w:rFonts w:ascii="Arial" w:hAnsi="Arial" w:cs="Arial"/>
              </w:rPr>
            </w:pPr>
            <w:r w:rsidRPr="009038E1">
              <w:rPr>
                <w:rFonts w:ascii="Arial" w:hAnsi="Arial" w:cs="Arial"/>
              </w:rPr>
              <w:t>-0.4315</w:t>
            </w:r>
          </w:p>
        </w:tc>
        <w:tc>
          <w:tcPr>
            <w:tcW w:w="1803" w:type="dxa"/>
          </w:tcPr>
          <w:p w14:paraId="108AFF48" w14:textId="77777777" w:rsidR="00CD1B3F" w:rsidRPr="009038E1" w:rsidRDefault="00CD1B3F" w:rsidP="0066301C">
            <w:pPr>
              <w:jc w:val="center"/>
              <w:rPr>
                <w:rFonts w:ascii="Arial" w:hAnsi="Arial" w:cs="Arial"/>
              </w:rPr>
            </w:pPr>
            <w:r w:rsidRPr="009038E1">
              <w:rPr>
                <w:rFonts w:ascii="Arial" w:hAnsi="Arial" w:cs="Arial"/>
              </w:rPr>
              <w:t>-6.2449</w:t>
            </w:r>
          </w:p>
        </w:tc>
        <w:tc>
          <w:tcPr>
            <w:tcW w:w="1803" w:type="dxa"/>
          </w:tcPr>
          <w:p w14:paraId="3F702F78" w14:textId="77777777" w:rsidR="00CD1B3F" w:rsidRPr="009038E1" w:rsidRDefault="00CD1B3F" w:rsidP="0066301C">
            <w:pPr>
              <w:jc w:val="center"/>
              <w:rPr>
                <w:rFonts w:ascii="Arial" w:hAnsi="Arial" w:cs="Arial"/>
              </w:rPr>
            </w:pPr>
            <w:r w:rsidRPr="009038E1">
              <w:rPr>
                <w:rFonts w:ascii="Arial" w:hAnsi="Arial" w:cs="Arial"/>
              </w:rPr>
              <w:t>0.0083</w:t>
            </w:r>
          </w:p>
        </w:tc>
      </w:tr>
      <w:tr w:rsidR="00CD1B3F" w14:paraId="79549777" w14:textId="77777777" w:rsidTr="004D74AB">
        <w:tc>
          <w:tcPr>
            <w:tcW w:w="1803" w:type="dxa"/>
          </w:tcPr>
          <w:p w14:paraId="3A49AC6C" w14:textId="77777777" w:rsidR="00CD1B3F" w:rsidRPr="009038E1" w:rsidRDefault="00CD1B3F" w:rsidP="0066301C">
            <w:pPr>
              <w:rPr>
                <w:rFonts w:ascii="Arial" w:hAnsi="Arial" w:cs="Arial"/>
              </w:rPr>
            </w:pPr>
            <w:r w:rsidRPr="009038E1">
              <w:rPr>
                <w:rFonts w:ascii="Arial" w:hAnsi="Arial" w:cs="Arial"/>
              </w:rPr>
              <w:t>∆TOT</w:t>
            </w:r>
          </w:p>
        </w:tc>
        <w:tc>
          <w:tcPr>
            <w:tcW w:w="1803" w:type="dxa"/>
          </w:tcPr>
          <w:p w14:paraId="376876EA" w14:textId="77777777" w:rsidR="00CD1B3F" w:rsidRPr="009038E1" w:rsidRDefault="00CD1B3F" w:rsidP="0066301C">
            <w:pPr>
              <w:jc w:val="center"/>
              <w:rPr>
                <w:rFonts w:ascii="Arial" w:hAnsi="Arial" w:cs="Arial"/>
              </w:rPr>
            </w:pPr>
          </w:p>
        </w:tc>
        <w:tc>
          <w:tcPr>
            <w:tcW w:w="1803" w:type="dxa"/>
          </w:tcPr>
          <w:p w14:paraId="3DA6B404" w14:textId="77777777" w:rsidR="00CD1B3F" w:rsidRPr="009038E1" w:rsidRDefault="00CD1B3F" w:rsidP="0066301C">
            <w:pPr>
              <w:jc w:val="center"/>
              <w:rPr>
                <w:rFonts w:ascii="Arial" w:hAnsi="Arial" w:cs="Arial"/>
              </w:rPr>
            </w:pPr>
            <w:r w:rsidRPr="009038E1">
              <w:rPr>
                <w:rFonts w:ascii="Arial" w:hAnsi="Arial" w:cs="Arial"/>
              </w:rPr>
              <w:t>-0.1407</w:t>
            </w:r>
          </w:p>
        </w:tc>
        <w:tc>
          <w:tcPr>
            <w:tcW w:w="1803" w:type="dxa"/>
          </w:tcPr>
          <w:p w14:paraId="3F54E275" w14:textId="77777777" w:rsidR="00CD1B3F" w:rsidRPr="009038E1" w:rsidRDefault="00CD1B3F" w:rsidP="0066301C">
            <w:pPr>
              <w:jc w:val="center"/>
              <w:rPr>
                <w:rFonts w:ascii="Arial" w:hAnsi="Arial" w:cs="Arial"/>
              </w:rPr>
            </w:pPr>
            <w:r w:rsidRPr="009038E1">
              <w:rPr>
                <w:rFonts w:ascii="Arial" w:hAnsi="Arial" w:cs="Arial"/>
              </w:rPr>
              <w:t>-47.1919</w:t>
            </w:r>
          </w:p>
        </w:tc>
        <w:tc>
          <w:tcPr>
            <w:tcW w:w="1803" w:type="dxa"/>
          </w:tcPr>
          <w:p w14:paraId="368076A6" w14:textId="77777777" w:rsidR="00CD1B3F" w:rsidRPr="009038E1" w:rsidRDefault="00CD1B3F" w:rsidP="0066301C">
            <w:pPr>
              <w:jc w:val="center"/>
              <w:rPr>
                <w:rFonts w:ascii="Arial" w:hAnsi="Arial" w:cs="Arial"/>
              </w:rPr>
            </w:pPr>
            <w:r w:rsidRPr="009038E1">
              <w:rPr>
                <w:rFonts w:ascii="Arial" w:hAnsi="Arial" w:cs="Arial"/>
              </w:rPr>
              <w:t>0.0000</w:t>
            </w:r>
          </w:p>
        </w:tc>
      </w:tr>
      <w:tr w:rsidR="00CD1B3F" w14:paraId="7AD309FC" w14:textId="77777777" w:rsidTr="004D74AB">
        <w:tc>
          <w:tcPr>
            <w:tcW w:w="1803" w:type="dxa"/>
          </w:tcPr>
          <w:p w14:paraId="3D43B647" w14:textId="77777777" w:rsidR="00CD1B3F" w:rsidRPr="009038E1" w:rsidRDefault="00CD1B3F" w:rsidP="0066301C">
            <w:pPr>
              <w:rPr>
                <w:rFonts w:ascii="Arial" w:hAnsi="Arial" w:cs="Arial"/>
              </w:rPr>
            </w:pPr>
            <w:r w:rsidRPr="009038E1">
              <w:rPr>
                <w:rFonts w:ascii="Arial" w:hAnsi="Arial" w:cs="Arial"/>
              </w:rPr>
              <w:t>C</w:t>
            </w:r>
          </w:p>
        </w:tc>
        <w:tc>
          <w:tcPr>
            <w:tcW w:w="1803" w:type="dxa"/>
          </w:tcPr>
          <w:p w14:paraId="69B499FB" w14:textId="77777777" w:rsidR="00CD1B3F" w:rsidRPr="009038E1" w:rsidRDefault="00CD1B3F" w:rsidP="0066301C">
            <w:pPr>
              <w:jc w:val="center"/>
              <w:rPr>
                <w:rFonts w:ascii="Arial" w:hAnsi="Arial" w:cs="Arial"/>
              </w:rPr>
            </w:pPr>
          </w:p>
        </w:tc>
        <w:tc>
          <w:tcPr>
            <w:tcW w:w="1803" w:type="dxa"/>
          </w:tcPr>
          <w:p w14:paraId="50842A5E" w14:textId="77777777" w:rsidR="00CD1B3F" w:rsidRPr="009038E1" w:rsidRDefault="00CD1B3F" w:rsidP="0066301C">
            <w:pPr>
              <w:jc w:val="center"/>
              <w:rPr>
                <w:rFonts w:ascii="Arial" w:hAnsi="Arial" w:cs="Arial"/>
              </w:rPr>
            </w:pPr>
            <w:r w:rsidRPr="009038E1">
              <w:rPr>
                <w:rFonts w:ascii="Arial" w:hAnsi="Arial" w:cs="Arial"/>
              </w:rPr>
              <w:t>-3.9852</w:t>
            </w:r>
          </w:p>
        </w:tc>
        <w:tc>
          <w:tcPr>
            <w:tcW w:w="1803" w:type="dxa"/>
          </w:tcPr>
          <w:p w14:paraId="795A3F79" w14:textId="77777777" w:rsidR="00CD1B3F" w:rsidRPr="009038E1" w:rsidRDefault="00CD1B3F" w:rsidP="0066301C">
            <w:pPr>
              <w:jc w:val="center"/>
              <w:rPr>
                <w:rFonts w:ascii="Arial" w:hAnsi="Arial" w:cs="Arial"/>
              </w:rPr>
            </w:pPr>
            <w:r w:rsidRPr="009038E1">
              <w:rPr>
                <w:rFonts w:ascii="Arial" w:hAnsi="Arial" w:cs="Arial"/>
              </w:rPr>
              <w:t>-0.32</w:t>
            </w:r>
          </w:p>
        </w:tc>
        <w:tc>
          <w:tcPr>
            <w:tcW w:w="1803" w:type="dxa"/>
          </w:tcPr>
          <w:p w14:paraId="1641F14E" w14:textId="77777777" w:rsidR="00CD1B3F" w:rsidRPr="009038E1" w:rsidRDefault="00CD1B3F" w:rsidP="0066301C">
            <w:pPr>
              <w:jc w:val="center"/>
              <w:rPr>
                <w:rFonts w:ascii="Arial" w:hAnsi="Arial" w:cs="Arial"/>
              </w:rPr>
            </w:pPr>
            <w:r w:rsidRPr="009038E1">
              <w:rPr>
                <w:rFonts w:ascii="Arial" w:hAnsi="Arial" w:cs="Arial"/>
              </w:rPr>
              <w:t>0.77</w:t>
            </w:r>
          </w:p>
        </w:tc>
      </w:tr>
    </w:tbl>
    <w:p w14:paraId="0D3301C9" w14:textId="77777777" w:rsidR="00CD1B3F" w:rsidRPr="00D75CF4" w:rsidRDefault="00CD1B3F" w:rsidP="0066301C">
      <w:pPr>
        <w:autoSpaceDE w:val="0"/>
        <w:autoSpaceDN w:val="0"/>
        <w:adjustRightInd w:val="0"/>
        <w:spacing w:after="0"/>
        <w:rPr>
          <w:rFonts w:ascii="Arial" w:hAnsi="Arial" w:cs="Arial"/>
          <w:sz w:val="20"/>
          <w:szCs w:val="20"/>
        </w:rPr>
      </w:pPr>
      <w:r w:rsidRPr="00D75CF4">
        <w:rPr>
          <w:rFonts w:ascii="Arial" w:hAnsi="Arial" w:cs="Arial"/>
          <w:i/>
          <w:sz w:val="20"/>
          <w:szCs w:val="20"/>
        </w:rPr>
        <w:t xml:space="preserve">Source: </w:t>
      </w:r>
      <w:r w:rsidRPr="00D75CF4">
        <w:rPr>
          <w:rFonts w:ascii="Arial" w:hAnsi="Arial" w:cs="Arial"/>
          <w:sz w:val="20"/>
          <w:szCs w:val="20"/>
        </w:rPr>
        <w:t>Computation from using E</w:t>
      </w:r>
      <w:r>
        <w:rPr>
          <w:rFonts w:ascii="Arial" w:hAnsi="Arial" w:cs="Arial"/>
          <w:sz w:val="20"/>
          <w:szCs w:val="20"/>
        </w:rPr>
        <w:t>V</w:t>
      </w:r>
      <w:r w:rsidRPr="00D75CF4">
        <w:rPr>
          <w:rFonts w:ascii="Arial" w:hAnsi="Arial" w:cs="Arial"/>
          <w:sz w:val="20"/>
          <w:szCs w:val="20"/>
        </w:rPr>
        <w:t>iews 1</w:t>
      </w:r>
      <w:r>
        <w:rPr>
          <w:rFonts w:ascii="Arial" w:hAnsi="Arial" w:cs="Arial"/>
          <w:sz w:val="20"/>
          <w:szCs w:val="20"/>
        </w:rPr>
        <w:t>2</w:t>
      </w:r>
    </w:p>
    <w:p w14:paraId="1B77D71E" w14:textId="77777777" w:rsidR="00300869" w:rsidRDefault="00300869" w:rsidP="0066301C">
      <w:pPr>
        <w:spacing w:line="360" w:lineRule="auto"/>
        <w:jc w:val="both"/>
        <w:rPr>
          <w:rFonts w:ascii="Arial" w:hAnsi="Arial" w:cs="Arial"/>
        </w:rPr>
      </w:pPr>
    </w:p>
    <w:p w14:paraId="08EAD9C3" w14:textId="135ABFAC" w:rsidR="007E0140" w:rsidRDefault="007E0140" w:rsidP="0066301C">
      <w:pPr>
        <w:spacing w:line="360" w:lineRule="auto"/>
        <w:jc w:val="both"/>
        <w:rPr>
          <w:rFonts w:ascii="Arial" w:hAnsi="Arial" w:cs="Arial"/>
        </w:rPr>
      </w:pPr>
      <w:r w:rsidRPr="0073129F">
        <w:rPr>
          <w:rFonts w:ascii="Arial" w:hAnsi="Arial" w:cs="Arial"/>
        </w:rPr>
        <w:t>The PGM short-run results show a negative and statistically significant error correction term (ECT) of -0.9789 with a </w:t>
      </w:r>
      <w:r w:rsidRPr="0073129F">
        <w:rPr>
          <w:rStyle w:val="Emphasis"/>
          <w:rFonts w:ascii="Arial" w:hAnsi="Arial" w:cs="Arial"/>
          <w:color w:val="0E101A"/>
        </w:rPr>
        <w:t>t-statistic </w:t>
      </w:r>
      <w:r w:rsidRPr="0073129F">
        <w:rPr>
          <w:rFonts w:ascii="Arial" w:hAnsi="Arial" w:cs="Arial"/>
        </w:rPr>
        <w:t xml:space="preserve">of |-5.2144|, which is </w:t>
      </w:r>
      <w:r w:rsidR="005D2C11">
        <w:rPr>
          <w:rFonts w:ascii="Arial" w:hAnsi="Arial" w:cs="Arial"/>
        </w:rPr>
        <w:t xml:space="preserve">greater than </w:t>
      </w:r>
      <w:r w:rsidRPr="0073129F">
        <w:rPr>
          <w:rFonts w:ascii="Arial" w:hAnsi="Arial" w:cs="Arial"/>
        </w:rPr>
        <w:t>|2|. It takes 1.02 (1/0.9789) years for economic growth to move back to equilibrium after a shock on the independent variables. The high error correction term (ECT) shows that there is a stable relationship between economic growth and the independent variables. The result shows that in the short-run, REER, OPEN, and GOVCON have a negative relationship with economic growth. Noteworthy is that REER has a negative relationship with economic growth in the short-term, but there is no relationship in the long-</w:t>
      </w:r>
      <w:r w:rsidR="00A444A6">
        <w:rPr>
          <w:rFonts w:ascii="Arial" w:hAnsi="Arial" w:cs="Arial"/>
        </w:rPr>
        <w:t>term</w:t>
      </w:r>
      <w:r w:rsidRPr="0073129F">
        <w:rPr>
          <w:rFonts w:ascii="Arial" w:hAnsi="Arial" w:cs="Arial"/>
        </w:rPr>
        <w:t>. This means that the REER devaluation contributes to economic growth in the short-run but has no long-run relationship.</w:t>
      </w:r>
      <w:r>
        <w:rPr>
          <w:rStyle w:val="FootnoteReference"/>
          <w:rFonts w:ascii="Arial" w:hAnsi="Arial" w:cs="Arial"/>
        </w:rPr>
        <w:footnoteReference w:id="163"/>
      </w:r>
      <w:r w:rsidRPr="0073129F">
        <w:rPr>
          <w:rFonts w:ascii="Arial" w:hAnsi="Arial" w:cs="Arial"/>
        </w:rPr>
        <w:t> OPEN has a negative relationship with economic growth in the short-run and a positive relationship in the long-run. While GOVCON has a negative relationship with economic growth in both the short-term and long-term. Both FDI and TOT do not have any relationship with economic growth in the short-run and long-run. </w:t>
      </w:r>
    </w:p>
    <w:p w14:paraId="639AA37E" w14:textId="4E67670A" w:rsidR="00FB0DD4" w:rsidRDefault="007E0140" w:rsidP="0066301C">
      <w:pPr>
        <w:spacing w:line="360" w:lineRule="auto"/>
        <w:jc w:val="both"/>
        <w:rPr>
          <w:rFonts w:ascii="Arial" w:hAnsi="Arial" w:cs="Arial"/>
        </w:rPr>
      </w:pPr>
      <w:r w:rsidRPr="0073129F">
        <w:rPr>
          <w:rFonts w:ascii="Arial" w:hAnsi="Arial" w:cs="Arial"/>
        </w:rPr>
        <w:t xml:space="preserve">The PGM result stipulates that in the long-run, GDP growth should be targeted homogeneously, while in the short-run each of the CEMAC nations could be treated independently and heterogeneously (i.e., each nation should adopt its own strategy to increase its own economic growth). After looking at the short-run result from a homogeneous perspective, we now look at it from a heterogeneous perspective (i.e., the individual CEMAC nations' short-run results). </w:t>
      </w:r>
      <w:bookmarkEnd w:id="521"/>
      <w:r w:rsidRPr="0073129F">
        <w:rPr>
          <w:rFonts w:ascii="Arial" w:hAnsi="Arial" w:cs="Arial"/>
        </w:rPr>
        <w:t xml:space="preserve">Beginning with Cameroon, as seen in Table 5.6 </w:t>
      </w:r>
      <w:r w:rsidR="007A7FDB">
        <w:rPr>
          <w:rFonts w:ascii="Arial" w:hAnsi="Arial" w:cs="Arial"/>
        </w:rPr>
        <w:t>above</w:t>
      </w:r>
      <w:r w:rsidRPr="0073129F">
        <w:rPr>
          <w:rFonts w:ascii="Arial" w:hAnsi="Arial" w:cs="Arial"/>
        </w:rPr>
        <w:t xml:space="preserve">, the short-run result shows that all the independent variables but for GOVCON have a negative relationship with economic growth. While there is no relationship between GOVCON and economic growth, meaning that GOVCON does not impact economic growth in the short-run. CAR result shows that REER, OPEN, and GOVCON have a negative relationship with economic growth. TOT has a positive relationship with economic growth in the </w:t>
      </w:r>
      <w:r w:rsidR="00E65FB7" w:rsidRPr="0073129F">
        <w:rPr>
          <w:rFonts w:ascii="Arial" w:hAnsi="Arial" w:cs="Arial"/>
        </w:rPr>
        <w:t>short run</w:t>
      </w:r>
      <w:r w:rsidRPr="0073129F">
        <w:rPr>
          <w:rFonts w:ascii="Arial" w:hAnsi="Arial" w:cs="Arial"/>
        </w:rPr>
        <w:t xml:space="preserve">. While </w:t>
      </w:r>
      <w:r w:rsidRPr="0073129F">
        <w:rPr>
          <w:rFonts w:ascii="Arial" w:hAnsi="Arial" w:cs="Arial"/>
        </w:rPr>
        <w:lastRenderedPageBreak/>
        <w:t xml:space="preserve">there is no relationship between FDI and economic growth in the short-run. Gabon's result shows that there is a negative relationship between all the independent variables and economic growth in </w:t>
      </w:r>
      <w:bookmarkStart w:id="522" w:name="_Hlk170841283"/>
      <w:r w:rsidRPr="0073129F">
        <w:rPr>
          <w:rFonts w:ascii="Arial" w:hAnsi="Arial" w:cs="Arial"/>
        </w:rPr>
        <w:t>the short-run. </w:t>
      </w:r>
    </w:p>
    <w:p w14:paraId="0919388F" w14:textId="40DD66A3" w:rsidR="00854A0F" w:rsidRPr="00814F04" w:rsidRDefault="00854A0F" w:rsidP="0066301C">
      <w:pPr>
        <w:pStyle w:val="Heading3"/>
        <w:numPr>
          <w:ilvl w:val="0"/>
          <w:numId w:val="0"/>
        </w:numPr>
        <w:spacing w:before="0" w:beforeAutospacing="0"/>
        <w:rPr>
          <w:lang w:val="en-US" w:eastAsia="en-GB"/>
        </w:rPr>
      </w:pPr>
      <w:bookmarkStart w:id="523" w:name="_Toc171075441"/>
      <w:r>
        <w:rPr>
          <w:lang w:val="en-US" w:eastAsia="en-GB"/>
        </w:rPr>
        <w:t>5.</w:t>
      </w:r>
      <w:r w:rsidR="0050583D">
        <w:rPr>
          <w:lang w:val="en-US" w:eastAsia="en-GB"/>
        </w:rPr>
        <w:t>6</w:t>
      </w:r>
      <w:r>
        <w:tab/>
      </w:r>
      <w:r w:rsidRPr="3969DF6F">
        <w:rPr>
          <w:lang w:val="en-US" w:eastAsia="en-GB"/>
        </w:rPr>
        <w:t>P</w:t>
      </w:r>
      <w:r>
        <w:rPr>
          <w:lang w:val="en-US" w:eastAsia="en-GB"/>
        </w:rPr>
        <w:t>OLICY RECOMMENDATION</w:t>
      </w:r>
      <w:bookmarkEnd w:id="523"/>
    </w:p>
    <w:p w14:paraId="279B79BA" w14:textId="21EBBB88" w:rsidR="00854A0F" w:rsidRPr="00B516F6" w:rsidRDefault="00854A0F" w:rsidP="0066301C">
      <w:pPr>
        <w:spacing w:line="360" w:lineRule="auto"/>
        <w:jc w:val="both"/>
        <w:rPr>
          <w:rFonts w:ascii="Arial" w:hAnsi="Arial" w:cs="Arial"/>
        </w:rPr>
      </w:pPr>
      <w:bookmarkStart w:id="524" w:name="_Hlk162656732"/>
      <w:bookmarkStart w:id="525" w:name="_Hlk163651316"/>
      <w:r w:rsidRPr="00B516F6">
        <w:rPr>
          <w:rFonts w:ascii="Arial" w:hAnsi="Arial" w:cs="Arial"/>
        </w:rPr>
        <w:t>Debates on the valuation of the CFA franc have intensified, and there was speculation of a possible devaluation of the CFA franc during the CEMAC Head of States Summit held in Ndjamena–Chad, on 25</w:t>
      </w:r>
      <w:r w:rsidRPr="00854A0F">
        <w:rPr>
          <w:rFonts w:ascii="Arial" w:hAnsi="Arial" w:cs="Arial"/>
          <w:vertAlign w:val="superscript"/>
        </w:rPr>
        <w:t>th</w:t>
      </w:r>
      <w:r>
        <w:rPr>
          <w:rFonts w:ascii="Arial" w:hAnsi="Arial" w:cs="Arial"/>
        </w:rPr>
        <w:t xml:space="preserve"> </w:t>
      </w:r>
      <w:r w:rsidRPr="00B516F6">
        <w:rPr>
          <w:rFonts w:ascii="Arial" w:hAnsi="Arial" w:cs="Arial"/>
        </w:rPr>
        <w:t>October 2018</w:t>
      </w:r>
      <w:r w:rsidR="00611D1E">
        <w:rPr>
          <w:rFonts w:ascii="Arial" w:hAnsi="Arial" w:cs="Arial"/>
        </w:rPr>
        <w:t xml:space="preserve"> (Kapital Afrik, 2018)</w:t>
      </w:r>
      <w:r w:rsidRPr="00B516F6">
        <w:rPr>
          <w:rFonts w:ascii="Arial" w:hAnsi="Arial" w:cs="Arial"/>
        </w:rPr>
        <w:t xml:space="preserve">. </w:t>
      </w:r>
      <w:bookmarkEnd w:id="524"/>
      <w:r w:rsidRPr="00B516F6">
        <w:rPr>
          <w:rFonts w:ascii="Arial" w:hAnsi="Arial" w:cs="Arial"/>
        </w:rPr>
        <w:t>This was due to the poor macroeconomic fundamentals in the region’s balance of payments.</w:t>
      </w:r>
      <w:r>
        <w:rPr>
          <w:rStyle w:val="FootnoteReference"/>
          <w:rFonts w:ascii="Arial" w:hAnsi="Arial" w:cs="Arial"/>
        </w:rPr>
        <w:footnoteReference w:id="164"/>
      </w:r>
      <w:r w:rsidRPr="00B516F6">
        <w:rPr>
          <w:rFonts w:ascii="Arial" w:hAnsi="Arial" w:cs="Arial"/>
        </w:rPr>
        <w:t> It is no longer news that political constraints have contributed to the poor economic performance of the CEMAC region. As earlier mentioned, most of the nations in the region have witnessed or are witnessing some political crises.</w:t>
      </w:r>
      <w:r>
        <w:rPr>
          <w:rStyle w:val="FootnoteReference"/>
          <w:rFonts w:ascii="Arial" w:hAnsi="Arial" w:cs="Arial"/>
        </w:rPr>
        <w:footnoteReference w:id="165"/>
      </w:r>
      <w:r w:rsidRPr="00B516F6">
        <w:rPr>
          <w:rFonts w:ascii="Arial" w:hAnsi="Arial" w:cs="Arial"/>
        </w:rPr>
        <w:t> Political instability has a negative impact on a nation’s economic growth because firms cannot work at their full capacity, thereby impeding economic growth. Having politically unstable neighbours influences a nation’s trade pattern, investment, and mobility of factors of production, thereby leading to lower economic development. So, policies geared to enhance economic growth at the individual regional level could be stalled if the security issues are not addressed. Thus, one of the ways to address the security issues is for the nations to have an inclusive dialogue with the different stakeholders that contribute to the crises in the nations concerned. </w:t>
      </w:r>
    </w:p>
    <w:p w14:paraId="12999BC1" w14:textId="0B0E1CF1" w:rsidR="00854A0F" w:rsidRPr="00B516F6" w:rsidRDefault="00854A0F" w:rsidP="0066301C">
      <w:pPr>
        <w:spacing w:line="360" w:lineRule="auto"/>
        <w:jc w:val="both"/>
        <w:rPr>
          <w:rFonts w:ascii="Arial" w:hAnsi="Arial" w:cs="Arial"/>
        </w:rPr>
      </w:pPr>
      <w:r w:rsidRPr="00B516F6">
        <w:rPr>
          <w:rFonts w:ascii="Arial" w:hAnsi="Arial" w:cs="Arial"/>
        </w:rPr>
        <w:t xml:space="preserve">It is obvious from the analysis that the CFA franc (common currency), along with 12th January 1994 devaluation, has, on average, not contributed to the region’s economic growth. As such, policymakers ought to be careful when adopting policy changes like currency devaluation with the goal of improving their economic growth. This work has shown that the real </w:t>
      </w:r>
      <w:r w:rsidR="000F7B0B">
        <w:rPr>
          <w:rFonts w:ascii="Arial" w:hAnsi="Arial" w:cs="Arial"/>
        </w:rPr>
        <w:t xml:space="preserve">effective </w:t>
      </w:r>
      <w:r w:rsidRPr="00B516F6">
        <w:rPr>
          <w:rFonts w:ascii="Arial" w:hAnsi="Arial" w:cs="Arial"/>
        </w:rPr>
        <w:t>exchange rate does not have a long-run impact on the region’s economic growth. Improving economic growth in the CEMAC region requires a comprehensive approach that addresses various underlying factors. Below are some policy recommendations that could contribute to the enhancement of the CEMAC region’s economic growth: </w:t>
      </w:r>
    </w:p>
    <w:p w14:paraId="29F90405" w14:textId="109020D9" w:rsidR="00854A0F" w:rsidRPr="00B516F6" w:rsidRDefault="00854A0F" w:rsidP="0066301C">
      <w:pPr>
        <w:spacing w:line="360" w:lineRule="auto"/>
        <w:jc w:val="both"/>
        <w:rPr>
          <w:rFonts w:ascii="Arial" w:hAnsi="Arial" w:cs="Arial"/>
        </w:rPr>
      </w:pPr>
      <w:r w:rsidRPr="00B516F6">
        <w:rPr>
          <w:rFonts w:ascii="Arial" w:hAnsi="Arial" w:cs="Arial"/>
        </w:rPr>
        <w:t xml:space="preserve">There is a need for an improvement of governance and institutions, enhancing accountability, transparency, and efficiency of public institutions. Anti-corruption measures should be </w:t>
      </w:r>
      <w:r w:rsidRPr="00B516F6">
        <w:rPr>
          <w:rFonts w:ascii="Arial" w:hAnsi="Arial" w:cs="Arial"/>
        </w:rPr>
        <w:lastRenderedPageBreak/>
        <w:t xml:space="preserve">implemented, the rule of law should be strengthened by empowering the judicial system, and good governance practices should be promoted. These improvements could foster the confidence of investors, attract </w:t>
      </w:r>
      <w:r w:rsidR="003C4157">
        <w:rPr>
          <w:rFonts w:ascii="Arial" w:hAnsi="Arial" w:cs="Arial"/>
        </w:rPr>
        <w:t>Foreign Direct Investment (</w:t>
      </w:r>
      <w:r w:rsidRPr="00B516F6">
        <w:rPr>
          <w:rFonts w:ascii="Arial" w:hAnsi="Arial" w:cs="Arial"/>
        </w:rPr>
        <w:t>FDI</w:t>
      </w:r>
      <w:r w:rsidR="003C4157">
        <w:rPr>
          <w:rFonts w:ascii="Arial" w:hAnsi="Arial" w:cs="Arial"/>
        </w:rPr>
        <w:t>)</w:t>
      </w:r>
      <w:r w:rsidRPr="00B516F6">
        <w:rPr>
          <w:rFonts w:ascii="Arial" w:hAnsi="Arial" w:cs="Arial"/>
        </w:rPr>
        <w:t xml:space="preserve"> and enable economic growth in the region. </w:t>
      </w:r>
    </w:p>
    <w:p w14:paraId="511C038A" w14:textId="77777777" w:rsidR="00854A0F" w:rsidRPr="00B516F6" w:rsidRDefault="00854A0F" w:rsidP="0066301C">
      <w:pPr>
        <w:spacing w:line="360" w:lineRule="auto"/>
        <w:jc w:val="both"/>
        <w:rPr>
          <w:rFonts w:ascii="Arial" w:hAnsi="Arial" w:cs="Arial"/>
        </w:rPr>
      </w:pPr>
      <w:r w:rsidRPr="00B516F6">
        <w:rPr>
          <w:rFonts w:ascii="Arial" w:hAnsi="Arial" w:cs="Arial"/>
        </w:rPr>
        <w:t>Secondly, policymakers should promote the development of financial sectors in the region by strengthening the financial and banking sectors of the region. This could be done by promoting financial inclusion, improving financial regulations, and expanding access to credit for small and medium-sized enterprises (SMEs). They need to develop a sound and comprehensive financial system that supports entrepreneurship, investment, and economic growth.  </w:t>
      </w:r>
    </w:p>
    <w:p w14:paraId="3AC0A92A" w14:textId="77777777" w:rsidR="00854A0F" w:rsidRPr="00B516F6" w:rsidRDefault="00854A0F" w:rsidP="0066301C">
      <w:pPr>
        <w:spacing w:line="360" w:lineRule="auto"/>
        <w:jc w:val="both"/>
        <w:rPr>
          <w:rFonts w:ascii="Arial" w:hAnsi="Arial" w:cs="Arial"/>
        </w:rPr>
      </w:pPr>
      <w:r w:rsidRPr="00B516F6">
        <w:rPr>
          <w:rFonts w:ascii="Arial" w:hAnsi="Arial" w:cs="Arial"/>
        </w:rPr>
        <w:t>Thirdly, policymakers should prioritise investing in human capital, such as investing in healthcare, education, and skills training to develop a productive workforce. Improving access to healthcare services and quality education will improve human capital and promote innovation, thereby driving economic growth in the long-term. </w:t>
      </w:r>
    </w:p>
    <w:p w14:paraId="0C26768B" w14:textId="77777777" w:rsidR="00854A0F" w:rsidRPr="00B516F6" w:rsidRDefault="00854A0F" w:rsidP="0066301C">
      <w:pPr>
        <w:spacing w:line="360" w:lineRule="auto"/>
        <w:jc w:val="both"/>
        <w:rPr>
          <w:rFonts w:ascii="Arial" w:hAnsi="Arial" w:cs="Arial"/>
        </w:rPr>
      </w:pPr>
      <w:r w:rsidRPr="00B516F6">
        <w:rPr>
          <w:rFonts w:ascii="Arial" w:hAnsi="Arial" w:cs="Arial"/>
        </w:rPr>
        <w:t>Fourthly, the region needs to diversify their economy from depending on primary commodities into sectors that foster exports like manufacturing and technology. They should promote innovation and encourage entrepreneurship in these sectors, which could create new sources of employment and growth. </w:t>
      </w:r>
    </w:p>
    <w:p w14:paraId="3A9E7482" w14:textId="77777777" w:rsidR="00854A0F" w:rsidRPr="00B516F6" w:rsidRDefault="00854A0F" w:rsidP="0066301C">
      <w:pPr>
        <w:spacing w:line="360" w:lineRule="auto"/>
        <w:jc w:val="both"/>
        <w:rPr>
          <w:rFonts w:ascii="Arial" w:hAnsi="Arial" w:cs="Arial"/>
        </w:rPr>
      </w:pPr>
      <w:r w:rsidRPr="00B516F6">
        <w:rPr>
          <w:rFonts w:ascii="Arial" w:hAnsi="Arial" w:cs="Arial"/>
        </w:rPr>
        <w:t>Fifthly, they could invest in infrastructure development such as telecommunication networks, transportation, and energy. These robust infrastructure systems will reduce transportation costs, facilitate trade, attract investments in the private sector, and, by so doing, stimulate economic activities in the entire region. </w:t>
      </w:r>
    </w:p>
    <w:p w14:paraId="6BE87A0A" w14:textId="77777777" w:rsidR="00854A0F" w:rsidRPr="00B516F6" w:rsidRDefault="00854A0F" w:rsidP="0066301C">
      <w:pPr>
        <w:spacing w:line="360" w:lineRule="auto"/>
        <w:jc w:val="both"/>
        <w:rPr>
          <w:rFonts w:ascii="Arial" w:hAnsi="Arial" w:cs="Arial"/>
        </w:rPr>
      </w:pPr>
      <w:r w:rsidRPr="00B516F6">
        <w:rPr>
          <w:rFonts w:ascii="Arial" w:hAnsi="Arial" w:cs="Arial"/>
        </w:rPr>
        <w:t>Finally, there should be partnerships and collaborations with regional organisations and international financial institutions to share knowledge and technical expertise. This could help address their common challenges and promote economic growth in the region. The above policy recommendation, if properly implemented, could contribute to enhancing the economic growth in the CEMAC region. It is also necessary to tailor the recommendations to specific circumstances and priorities of every CEMAC nation and, at the same time, foster collective regional cooperation and integration. </w:t>
      </w:r>
    </w:p>
    <w:p w14:paraId="51F16A36" w14:textId="7D71BE4E" w:rsidR="00402561" w:rsidRPr="002E0542" w:rsidRDefault="00A71B11" w:rsidP="0066301C">
      <w:pPr>
        <w:pStyle w:val="Heading2"/>
        <w:spacing w:before="0" w:beforeAutospacing="0"/>
      </w:pPr>
      <w:bookmarkStart w:id="526" w:name="_Toc171075442"/>
      <w:bookmarkEnd w:id="522"/>
      <w:bookmarkEnd w:id="525"/>
      <w:r w:rsidRPr="002E0542">
        <w:t>5</w:t>
      </w:r>
      <w:r w:rsidR="00625515" w:rsidRPr="002E0542">
        <w:t>.</w:t>
      </w:r>
      <w:r w:rsidR="0050583D">
        <w:t>7</w:t>
      </w:r>
      <w:r w:rsidR="00625515" w:rsidRPr="002E0542">
        <w:tab/>
      </w:r>
      <w:r w:rsidR="00402561" w:rsidRPr="002E0542">
        <w:t>CONCLUSION</w:t>
      </w:r>
      <w:bookmarkEnd w:id="526"/>
      <w:r w:rsidR="00402561" w:rsidRPr="002E0542">
        <w:t xml:space="preserve"> </w:t>
      </w:r>
    </w:p>
    <w:p w14:paraId="47218686" w14:textId="609CCF28" w:rsidR="005D70DF" w:rsidRPr="00992489" w:rsidRDefault="005D70DF" w:rsidP="0066301C">
      <w:pPr>
        <w:spacing w:line="360" w:lineRule="auto"/>
        <w:jc w:val="both"/>
        <w:rPr>
          <w:rFonts w:ascii="Arial" w:hAnsi="Arial" w:cs="Arial"/>
        </w:rPr>
      </w:pPr>
      <w:bookmarkStart w:id="527" w:name="_Hlk163650870"/>
      <w:bookmarkStart w:id="528" w:name="_Hlk104365020"/>
      <w:r w:rsidRPr="00992489">
        <w:rPr>
          <w:rFonts w:ascii="Arial" w:hAnsi="Arial" w:cs="Arial"/>
        </w:rPr>
        <w:t xml:space="preserve">In this chapter, we </w:t>
      </w:r>
      <w:r w:rsidR="000D185B">
        <w:rPr>
          <w:rFonts w:ascii="Arial" w:hAnsi="Arial" w:cs="Arial"/>
        </w:rPr>
        <w:t>examined</w:t>
      </w:r>
      <w:r w:rsidRPr="00992489">
        <w:rPr>
          <w:rFonts w:ascii="Arial" w:hAnsi="Arial" w:cs="Arial"/>
        </w:rPr>
        <w:t xml:space="preserve"> the relationship between REER and economic growth. Because one of the goals of the CFA franc devaluation was to improve the Zones’ economic growth, we investigated the impact of CFA franc devaluation on CEMAC Zone’s economic </w:t>
      </w:r>
      <w:r w:rsidRPr="00992489">
        <w:rPr>
          <w:rFonts w:ascii="Arial" w:hAnsi="Arial" w:cs="Arial"/>
        </w:rPr>
        <w:lastRenderedPageBreak/>
        <w:t>growth.</w:t>
      </w:r>
      <w:r>
        <w:rPr>
          <w:rStyle w:val="FootnoteReference"/>
          <w:rFonts w:ascii="Arial" w:hAnsi="Arial" w:cs="Arial"/>
        </w:rPr>
        <w:footnoteReference w:id="166"/>
      </w:r>
      <w:r w:rsidRPr="00992489">
        <w:rPr>
          <w:rFonts w:ascii="Arial" w:hAnsi="Arial" w:cs="Arial"/>
        </w:rPr>
        <w:t> The variables used in the study include gross domestic product (GDP) – proxy by GDP per capita being the dependent variable.</w:t>
      </w:r>
      <w:r>
        <w:rPr>
          <w:rStyle w:val="FootnoteReference"/>
          <w:rFonts w:ascii="Arial" w:hAnsi="Arial" w:cs="Arial"/>
        </w:rPr>
        <w:footnoteReference w:id="167"/>
      </w:r>
      <w:r w:rsidRPr="00992489">
        <w:rPr>
          <w:rFonts w:ascii="Arial" w:hAnsi="Arial" w:cs="Arial"/>
        </w:rPr>
        <w:t xml:space="preserve"> The independent variables are real effective exchange rate (REER), government consumption (GOVCON), trade openness (OPEN), foreign direct investment (FDI), and terms of trade (TOT). The datasets are secondary, within the period 1980 to 2018, and gathered from the World banks - World Development Indicators (WDI) database updated on 18/03/2020. The study showed that stationarity of the variables was achieved at both levels and first differencing, which implies the </w:t>
      </w:r>
      <w:r w:rsidR="003F2C36">
        <w:rPr>
          <w:rFonts w:ascii="Arial" w:hAnsi="Arial" w:cs="Arial"/>
        </w:rPr>
        <w:t>autoregressive</w:t>
      </w:r>
      <w:r w:rsidR="003F2C36" w:rsidRPr="00220C0F">
        <w:rPr>
          <w:rFonts w:ascii="Arial" w:hAnsi="Arial" w:cs="Arial"/>
          <w:lang w:eastAsia="en-GB"/>
        </w:rPr>
        <w:t xml:space="preserve"> distributed lag (ARDL) </w:t>
      </w:r>
      <w:r w:rsidRPr="00992489">
        <w:rPr>
          <w:rFonts w:ascii="Arial" w:hAnsi="Arial" w:cs="Arial"/>
        </w:rPr>
        <w:t>model was the appropriate estimation technique needed to estimate the coefficients of the variables. Because we were interested on the impact of REER on the entire CEMAC region’s economic growth, the Pooled Mean Group (PMG) panel ARDL approach was used, which assumes that all long-run coefficients are the same across groups, while the short-run coefficients could differ across groups. </w:t>
      </w:r>
    </w:p>
    <w:p w14:paraId="6C32910E" w14:textId="77777777" w:rsidR="005D70DF" w:rsidRPr="00992489" w:rsidRDefault="005D70DF" w:rsidP="0066301C">
      <w:pPr>
        <w:spacing w:line="360" w:lineRule="auto"/>
        <w:jc w:val="both"/>
        <w:rPr>
          <w:rFonts w:ascii="Arial" w:hAnsi="Arial" w:cs="Arial"/>
        </w:rPr>
      </w:pPr>
      <w:r w:rsidRPr="00992489">
        <w:rPr>
          <w:rFonts w:ascii="Arial" w:hAnsi="Arial" w:cs="Arial"/>
        </w:rPr>
        <w:t>The results showed that in the long-run, only OPEN has a positive impact on economic growth. On the other hand, GOVCON has an inverse (negative) relationship with economic growth (i.e., it causes a drop in economic growth). Meanwhile, REER, FDI, and TOT do not impact economic growth (i.e., there is no long-run relationship between these independent variables and economic growth). The result shows that in the short-run, REER, OPEN, and GOVCON have a negative relationship with economic growth. Noteworthy is that REER has a negative relationship with economic growth in the short-term, but there is no relationship in the long-run. This means that the REER devaluation contributes to economic growth in the short-run but has no long-run relationship.</w:t>
      </w:r>
      <w:r>
        <w:rPr>
          <w:rStyle w:val="FootnoteReference"/>
          <w:rFonts w:ascii="Arial" w:hAnsi="Arial" w:cs="Arial"/>
        </w:rPr>
        <w:footnoteReference w:id="168"/>
      </w:r>
      <w:r w:rsidRPr="00992489">
        <w:rPr>
          <w:rFonts w:ascii="Arial" w:hAnsi="Arial" w:cs="Arial"/>
        </w:rPr>
        <w:t> OPEN has a negative relationship with economic growth in the short-run and a positive relationship in the long-run. While GOVCON has a negative relationship with economic growth in both the short-term and long-term. Both FDI and TOT do not have any relationship with economic growth in the short-run and long-run. Thus, it is recommended that the region uses other tools to improve the region’s economic growth, as recommended within the chapter.</w:t>
      </w:r>
    </w:p>
    <w:bookmarkEnd w:id="527"/>
    <w:p w14:paraId="4439B4C2" w14:textId="5E95C67D" w:rsidR="00DD355F" w:rsidRDefault="00DD355F" w:rsidP="0066301C">
      <w:pPr>
        <w:spacing w:line="360" w:lineRule="auto"/>
        <w:jc w:val="both"/>
        <w:rPr>
          <w:rFonts w:ascii="Arial" w:hAnsi="Arial" w:cs="Arial"/>
          <w:lang w:val="en-US" w:eastAsia="en-GB"/>
        </w:rPr>
      </w:pPr>
    </w:p>
    <w:p w14:paraId="01016CC7" w14:textId="77777777" w:rsidR="00FB087B" w:rsidRDefault="00FB087B" w:rsidP="0066301C">
      <w:pPr>
        <w:spacing w:line="360" w:lineRule="auto"/>
        <w:jc w:val="both"/>
        <w:rPr>
          <w:rFonts w:ascii="Arial" w:hAnsi="Arial" w:cs="Arial"/>
          <w:lang w:val="en-US" w:eastAsia="en-GB"/>
        </w:rPr>
      </w:pPr>
    </w:p>
    <w:p w14:paraId="2418E2F9" w14:textId="77777777" w:rsidR="00FB087B" w:rsidRDefault="00FB087B" w:rsidP="0066301C">
      <w:pPr>
        <w:spacing w:line="360" w:lineRule="auto"/>
        <w:jc w:val="both"/>
        <w:rPr>
          <w:rFonts w:ascii="Arial" w:hAnsi="Arial" w:cs="Arial"/>
          <w:lang w:val="en-US" w:eastAsia="en-GB"/>
        </w:rPr>
      </w:pPr>
    </w:p>
    <w:p w14:paraId="35BED21A" w14:textId="77777777" w:rsidR="00FB087B" w:rsidRDefault="00FB087B" w:rsidP="0066301C">
      <w:pPr>
        <w:spacing w:line="360" w:lineRule="auto"/>
        <w:jc w:val="both"/>
        <w:rPr>
          <w:rFonts w:ascii="Arial" w:hAnsi="Arial" w:cs="Arial"/>
          <w:lang w:val="en-US" w:eastAsia="en-GB"/>
        </w:rPr>
      </w:pPr>
    </w:p>
    <w:p w14:paraId="5387275F" w14:textId="77777777" w:rsidR="00FB087B" w:rsidRDefault="00FB087B" w:rsidP="0066301C">
      <w:pPr>
        <w:spacing w:line="360" w:lineRule="auto"/>
        <w:jc w:val="both"/>
        <w:rPr>
          <w:rFonts w:ascii="Arial" w:hAnsi="Arial" w:cs="Arial"/>
          <w:lang w:val="en-US" w:eastAsia="en-GB"/>
        </w:rPr>
      </w:pPr>
    </w:p>
    <w:p w14:paraId="3DCF9CF0" w14:textId="77777777" w:rsidR="00FB087B" w:rsidRDefault="00FB087B" w:rsidP="0066301C">
      <w:pPr>
        <w:spacing w:line="360" w:lineRule="auto"/>
        <w:jc w:val="both"/>
        <w:rPr>
          <w:rFonts w:ascii="Arial" w:hAnsi="Arial" w:cs="Arial"/>
          <w:lang w:val="en-US" w:eastAsia="en-GB"/>
        </w:rPr>
      </w:pPr>
    </w:p>
    <w:p w14:paraId="5A4D6009" w14:textId="77777777" w:rsidR="00FB087B" w:rsidRDefault="00FB087B" w:rsidP="0066301C">
      <w:pPr>
        <w:spacing w:line="360" w:lineRule="auto"/>
        <w:jc w:val="both"/>
        <w:rPr>
          <w:rFonts w:ascii="Arial" w:hAnsi="Arial" w:cs="Arial"/>
          <w:lang w:val="en-US" w:eastAsia="en-GB"/>
        </w:rPr>
      </w:pPr>
    </w:p>
    <w:p w14:paraId="2703F1AB" w14:textId="77777777" w:rsidR="00FB087B" w:rsidRDefault="00FB087B" w:rsidP="0066301C">
      <w:pPr>
        <w:spacing w:line="360" w:lineRule="auto"/>
        <w:jc w:val="both"/>
        <w:rPr>
          <w:rFonts w:ascii="Arial" w:hAnsi="Arial" w:cs="Arial"/>
          <w:lang w:val="en-US" w:eastAsia="en-GB"/>
        </w:rPr>
      </w:pPr>
    </w:p>
    <w:p w14:paraId="0A5003FF" w14:textId="77777777" w:rsidR="00FB087B" w:rsidRDefault="00FB087B" w:rsidP="0066301C">
      <w:pPr>
        <w:spacing w:line="360" w:lineRule="auto"/>
        <w:jc w:val="both"/>
        <w:rPr>
          <w:rFonts w:ascii="Arial" w:hAnsi="Arial" w:cs="Arial"/>
          <w:lang w:val="en-US" w:eastAsia="en-GB"/>
        </w:rPr>
      </w:pPr>
    </w:p>
    <w:p w14:paraId="3B559973" w14:textId="77777777" w:rsidR="00FB087B" w:rsidRDefault="00FB087B" w:rsidP="0066301C">
      <w:pPr>
        <w:spacing w:line="360" w:lineRule="auto"/>
        <w:jc w:val="both"/>
        <w:rPr>
          <w:rFonts w:ascii="Arial" w:hAnsi="Arial" w:cs="Arial"/>
          <w:lang w:val="en-US" w:eastAsia="en-GB"/>
        </w:rPr>
      </w:pPr>
    </w:p>
    <w:p w14:paraId="3122B4D7" w14:textId="77777777" w:rsidR="00FB087B" w:rsidRDefault="00FB087B" w:rsidP="0066301C">
      <w:pPr>
        <w:spacing w:line="360" w:lineRule="auto"/>
        <w:jc w:val="both"/>
        <w:rPr>
          <w:rFonts w:ascii="Arial" w:hAnsi="Arial" w:cs="Arial"/>
          <w:lang w:val="en-US" w:eastAsia="en-GB"/>
        </w:rPr>
      </w:pPr>
    </w:p>
    <w:p w14:paraId="0754665B" w14:textId="77777777" w:rsidR="00FB087B" w:rsidRDefault="00FB087B" w:rsidP="0066301C">
      <w:pPr>
        <w:spacing w:line="360" w:lineRule="auto"/>
        <w:jc w:val="both"/>
        <w:rPr>
          <w:rFonts w:ascii="Arial" w:hAnsi="Arial" w:cs="Arial"/>
          <w:lang w:val="en-US" w:eastAsia="en-GB"/>
        </w:rPr>
      </w:pPr>
    </w:p>
    <w:p w14:paraId="51606519" w14:textId="77777777" w:rsidR="00FB087B" w:rsidRDefault="00FB087B" w:rsidP="0066301C">
      <w:pPr>
        <w:spacing w:line="360" w:lineRule="auto"/>
        <w:jc w:val="both"/>
        <w:rPr>
          <w:rFonts w:ascii="Arial" w:hAnsi="Arial" w:cs="Arial"/>
          <w:lang w:val="en-US" w:eastAsia="en-GB"/>
        </w:rPr>
      </w:pPr>
    </w:p>
    <w:p w14:paraId="77E4343F" w14:textId="77777777" w:rsidR="001B21D5" w:rsidRDefault="001B21D5" w:rsidP="0066301C">
      <w:pPr>
        <w:spacing w:line="360" w:lineRule="auto"/>
        <w:jc w:val="both"/>
        <w:rPr>
          <w:rFonts w:ascii="Arial" w:hAnsi="Arial" w:cs="Arial"/>
          <w:lang w:val="en-US" w:eastAsia="en-GB"/>
        </w:rPr>
      </w:pPr>
    </w:p>
    <w:p w14:paraId="2BBE3CAC" w14:textId="77777777" w:rsidR="0006039D" w:rsidRDefault="0006039D" w:rsidP="0066301C">
      <w:pPr>
        <w:spacing w:line="360" w:lineRule="auto"/>
        <w:jc w:val="both"/>
        <w:rPr>
          <w:rFonts w:ascii="Arial" w:hAnsi="Arial" w:cs="Arial"/>
          <w:lang w:val="en-US" w:eastAsia="en-GB"/>
        </w:rPr>
      </w:pPr>
    </w:p>
    <w:p w14:paraId="12A752E8" w14:textId="77777777" w:rsidR="0006039D" w:rsidRDefault="0006039D" w:rsidP="0066301C">
      <w:pPr>
        <w:spacing w:line="360" w:lineRule="auto"/>
        <w:jc w:val="both"/>
        <w:rPr>
          <w:rFonts w:ascii="Arial" w:hAnsi="Arial" w:cs="Arial"/>
          <w:lang w:val="en-US" w:eastAsia="en-GB"/>
        </w:rPr>
      </w:pPr>
    </w:p>
    <w:p w14:paraId="2278F101" w14:textId="77777777" w:rsidR="0006039D" w:rsidRDefault="0006039D" w:rsidP="0066301C">
      <w:pPr>
        <w:spacing w:line="360" w:lineRule="auto"/>
        <w:jc w:val="both"/>
        <w:rPr>
          <w:rFonts w:ascii="Arial" w:hAnsi="Arial" w:cs="Arial"/>
          <w:lang w:val="en-US" w:eastAsia="en-GB"/>
        </w:rPr>
      </w:pPr>
    </w:p>
    <w:p w14:paraId="09659E00" w14:textId="77777777" w:rsidR="0006039D" w:rsidRDefault="0006039D" w:rsidP="0066301C">
      <w:pPr>
        <w:spacing w:line="360" w:lineRule="auto"/>
        <w:jc w:val="both"/>
        <w:rPr>
          <w:rFonts w:ascii="Arial" w:hAnsi="Arial" w:cs="Arial"/>
          <w:lang w:val="en-US" w:eastAsia="en-GB"/>
        </w:rPr>
      </w:pPr>
    </w:p>
    <w:p w14:paraId="0C9FF7E5" w14:textId="77777777" w:rsidR="0006039D" w:rsidRDefault="0006039D" w:rsidP="0066301C">
      <w:pPr>
        <w:spacing w:line="360" w:lineRule="auto"/>
        <w:jc w:val="both"/>
        <w:rPr>
          <w:rFonts w:ascii="Arial" w:hAnsi="Arial" w:cs="Arial"/>
          <w:lang w:val="en-US" w:eastAsia="en-GB"/>
        </w:rPr>
      </w:pPr>
    </w:p>
    <w:p w14:paraId="0CD5FD9F" w14:textId="77777777" w:rsidR="0006039D" w:rsidRDefault="0006039D" w:rsidP="0066301C">
      <w:pPr>
        <w:spacing w:line="360" w:lineRule="auto"/>
        <w:jc w:val="both"/>
        <w:rPr>
          <w:rFonts w:ascii="Arial" w:hAnsi="Arial" w:cs="Arial"/>
          <w:lang w:val="en-US" w:eastAsia="en-GB"/>
        </w:rPr>
      </w:pPr>
    </w:p>
    <w:p w14:paraId="655794BF" w14:textId="77777777" w:rsidR="00EE025F" w:rsidRDefault="00EE025F">
      <w:pPr>
        <w:rPr>
          <w:rFonts w:ascii="Arial" w:eastAsiaTheme="majorEastAsia" w:hAnsi="Arial" w:cstheme="majorBidi"/>
          <w:b/>
          <w:bCs/>
          <w:sz w:val="32"/>
          <w:szCs w:val="28"/>
          <w:lang w:eastAsia="en-GB"/>
        </w:rPr>
      </w:pPr>
      <w:bookmarkStart w:id="529" w:name="_Toc171075443"/>
      <w:bookmarkEnd w:id="528"/>
      <w:r>
        <w:br w:type="page"/>
      </w:r>
    </w:p>
    <w:p w14:paraId="69229A5F" w14:textId="704A16BF" w:rsidR="00000471" w:rsidRPr="00000471" w:rsidRDefault="00DD5C41" w:rsidP="0066301C">
      <w:pPr>
        <w:pStyle w:val="Heading1"/>
        <w:numPr>
          <w:ilvl w:val="0"/>
          <w:numId w:val="0"/>
        </w:numPr>
        <w:spacing w:before="0"/>
        <w:rPr>
          <w:rFonts w:eastAsia="Times New Roman"/>
          <w:lang w:val="en-US"/>
        </w:rPr>
      </w:pPr>
      <w:r>
        <w:lastRenderedPageBreak/>
        <w:t xml:space="preserve">CHAPTER </w:t>
      </w:r>
      <w:r w:rsidR="00CD5030">
        <w:t>6</w:t>
      </w:r>
      <w:r>
        <w:br/>
        <w:t xml:space="preserve">CONCLUSION AND </w:t>
      </w:r>
      <w:r w:rsidR="00A911B8">
        <w:t>RECOMMENDATION</w:t>
      </w:r>
      <w:bookmarkEnd w:id="529"/>
    </w:p>
    <w:p w14:paraId="6F893036" w14:textId="1F8F934F" w:rsidR="00000471" w:rsidRPr="008204CC" w:rsidRDefault="00CD5030" w:rsidP="0066301C">
      <w:pPr>
        <w:pStyle w:val="Heading2"/>
        <w:spacing w:before="0" w:beforeAutospacing="0"/>
      </w:pPr>
      <w:bookmarkStart w:id="530" w:name="_Toc92229039"/>
      <w:bookmarkStart w:id="531" w:name="_Toc171075444"/>
      <w:r>
        <w:t>6</w:t>
      </w:r>
      <w:r w:rsidR="00000471">
        <w:t>.1</w:t>
      </w:r>
      <w:r w:rsidR="00000471">
        <w:tab/>
      </w:r>
      <w:r w:rsidR="00000471" w:rsidRPr="008204CC">
        <w:t>INTRODUCTION</w:t>
      </w:r>
      <w:bookmarkEnd w:id="530"/>
      <w:bookmarkEnd w:id="531"/>
      <w:r w:rsidR="00000471" w:rsidRPr="008204CC">
        <w:t xml:space="preserve"> </w:t>
      </w:r>
    </w:p>
    <w:p w14:paraId="3D867409" w14:textId="59C388E8" w:rsidR="00FB087B" w:rsidRPr="0006460C" w:rsidRDefault="00131D1C" w:rsidP="0066301C">
      <w:pPr>
        <w:spacing w:line="360" w:lineRule="auto"/>
        <w:jc w:val="both"/>
        <w:rPr>
          <w:rFonts w:ascii="Arial" w:hAnsi="Arial" w:cs="Arial"/>
        </w:rPr>
      </w:pPr>
      <w:r w:rsidRPr="00741B6F">
        <w:rPr>
          <w:rFonts w:ascii="Arial" w:hAnsi="Arial" w:cs="Arial"/>
        </w:rPr>
        <w:t>This thesis analysed the state of the CFA franc in the CEMAC zone nations, evaluating if it is aligned (within its equilibrium). It is almost three decades since the CFA franc was devalued. As such, it is necessary to know if it is still at equilibrium.</w:t>
      </w:r>
      <w:r w:rsidR="004B28FF" w:rsidRPr="0096715F">
        <w:rPr>
          <w:rFonts w:ascii="Arial" w:hAnsi="Arial" w:cs="Arial"/>
        </w:rPr>
        <w:t xml:space="preserve"> </w:t>
      </w:r>
      <w:r w:rsidR="00FB087B" w:rsidRPr="0096715F">
        <w:rPr>
          <w:rFonts w:ascii="Arial" w:hAnsi="Arial" w:cs="Arial"/>
        </w:rPr>
        <w:t>As a vital relative price affecting the economy via numerous channels, the impact of changes in the real exchange rate on economic growth has been of growing attention in recent policy debates. The debate was renewed due to the series of economic crises (1994 Mexican Peso crisis, 1997 Southeast Asia financial crisis, 1998 Russia financial crisis, 1999 Brazil currency crisis, 1998 -2002 Argentina great depression), whereby unsustainable exchange-rate regimes were identified as the cause (Gluzmann </w:t>
      </w:r>
      <w:r w:rsidR="00FB087B" w:rsidRPr="0096715F">
        <w:rPr>
          <w:rStyle w:val="Emphasis"/>
          <w:rFonts w:ascii="Arial" w:hAnsi="Arial" w:cs="Arial"/>
          <w:color w:val="0E101A"/>
        </w:rPr>
        <w:t>et al.</w:t>
      </w:r>
      <w:r w:rsidR="00FB087B" w:rsidRPr="0096715F">
        <w:rPr>
          <w:rFonts w:ascii="Arial" w:hAnsi="Arial" w:cs="Arial"/>
        </w:rPr>
        <w:t>, 2012, Farrant and Peersman, 2006).</w:t>
      </w:r>
    </w:p>
    <w:p w14:paraId="6A1E5755" w14:textId="77777777" w:rsidR="00FB087B" w:rsidRDefault="00FB087B" w:rsidP="0066301C">
      <w:pPr>
        <w:spacing w:line="360" w:lineRule="auto"/>
        <w:jc w:val="both"/>
        <w:rPr>
          <w:rFonts w:ascii="Arial" w:hAnsi="Arial" w:cs="Arial"/>
        </w:rPr>
      </w:pPr>
      <w:r w:rsidRPr="00E760FF">
        <w:rPr>
          <w:rFonts w:ascii="Arial" w:hAnsi="Arial" w:cs="Arial"/>
        </w:rPr>
        <w:t>Nations are constantly evaluating their competitiveness in the global market and seeking to empirically provide explanations on the fundamentals that drive their international competitiveness</w:t>
      </w:r>
      <w:r>
        <w:rPr>
          <w:rFonts w:ascii="Arial" w:hAnsi="Arial" w:cs="Arial"/>
        </w:rPr>
        <w:t xml:space="preserve">. </w:t>
      </w:r>
      <w:r w:rsidRPr="00E760FF">
        <w:rPr>
          <w:rFonts w:ascii="Arial" w:hAnsi="Arial" w:cs="Arial"/>
        </w:rPr>
        <w:t>With competitiveness being the ability of a nation to attain sustained, inclusive growth under stable macroeconomic conditions, a nation's international competitiveness in the foreign trade pivots on its real exchange rate (RER) level. Over the years, policymakers and economists focused on fiscal policy and exchange rate policy. While the fiscal deficit's role is well understood, the opposite is the situation concerning the exchange rate policy. </w:t>
      </w:r>
    </w:p>
    <w:p w14:paraId="29093E75" w14:textId="77777777" w:rsidR="00FB087B" w:rsidRDefault="00FB087B" w:rsidP="0066301C">
      <w:pPr>
        <w:spacing w:line="360" w:lineRule="auto"/>
        <w:jc w:val="both"/>
        <w:rPr>
          <w:rFonts w:ascii="Arial" w:hAnsi="Arial" w:cs="Arial"/>
        </w:rPr>
      </w:pPr>
      <w:r>
        <w:rPr>
          <w:rFonts w:ascii="Arial" w:hAnsi="Arial" w:cs="Arial"/>
        </w:rPr>
        <w:t xml:space="preserve">It </w:t>
      </w:r>
      <w:r w:rsidRPr="00E760FF">
        <w:rPr>
          <w:rFonts w:ascii="Arial" w:hAnsi="Arial" w:cs="Arial"/>
        </w:rPr>
        <w:t xml:space="preserve">is unanimously accepted </w:t>
      </w:r>
      <w:r>
        <w:rPr>
          <w:rFonts w:ascii="Arial" w:hAnsi="Arial" w:cs="Arial"/>
        </w:rPr>
        <w:t>that</w:t>
      </w:r>
      <w:r w:rsidRPr="00E760FF">
        <w:rPr>
          <w:rFonts w:ascii="Arial" w:hAnsi="Arial" w:cs="Arial"/>
        </w:rPr>
        <w:t xml:space="preserve"> </w:t>
      </w:r>
      <w:r>
        <w:rPr>
          <w:rFonts w:ascii="Arial" w:hAnsi="Arial" w:cs="Arial"/>
        </w:rPr>
        <w:t>a</w:t>
      </w:r>
      <w:r w:rsidRPr="00E760FF">
        <w:rPr>
          <w:rFonts w:ascii="Arial" w:hAnsi="Arial" w:cs="Arial"/>
        </w:rPr>
        <w:t xml:space="preserve"> persistently overvalued RER leads to factor misalignment, loss in efficiency, and loss of competitiveness, which hinders growth and slows convergence</w:t>
      </w:r>
      <w:r>
        <w:rPr>
          <w:rFonts w:ascii="Arial" w:hAnsi="Arial" w:cs="Arial"/>
        </w:rPr>
        <w:t>. B</w:t>
      </w:r>
      <w:r w:rsidRPr="00E760FF">
        <w:rPr>
          <w:rFonts w:ascii="Arial" w:hAnsi="Arial" w:cs="Arial"/>
        </w:rPr>
        <w:t>ut the theoretical and analytical equivalent for its alternative – the RER undervaluation being helpful to economic growth – is not</w:t>
      </w:r>
      <w:r>
        <w:rPr>
          <w:rFonts w:ascii="Arial" w:hAnsi="Arial" w:cs="Arial"/>
        </w:rPr>
        <w:t xml:space="preserve">. This is partly due to the </w:t>
      </w:r>
      <w:r w:rsidRPr="00E760FF">
        <w:rPr>
          <w:rFonts w:ascii="Arial" w:hAnsi="Arial" w:cs="Arial"/>
        </w:rPr>
        <w:t>issues of its definition and measurement, which include:</w:t>
      </w:r>
      <w:r>
        <w:rPr>
          <w:rFonts w:ascii="Arial" w:hAnsi="Arial" w:cs="Arial"/>
        </w:rPr>
        <w:t xml:space="preserve"> </w:t>
      </w:r>
      <w:r w:rsidRPr="00E760FF">
        <w:rPr>
          <w:rFonts w:ascii="Arial" w:hAnsi="Arial" w:cs="Arial"/>
        </w:rPr>
        <w:t xml:space="preserve">How do we define the real exchange rate? How is it measured? Most importantly, how does one measure the equilibrium exchange rate? It is from the latter that the misalignment is measured. This has made the RER and misalignment among the most debated macroeconomic policies on national and international platforms (Hinkle and Montiel, 1999; Williamson, 1994). </w:t>
      </w:r>
    </w:p>
    <w:p w14:paraId="42CBBFC1" w14:textId="77777777" w:rsidR="00FB087B" w:rsidRPr="00E760FF" w:rsidRDefault="00FB087B" w:rsidP="0066301C">
      <w:pPr>
        <w:spacing w:line="360" w:lineRule="auto"/>
        <w:jc w:val="both"/>
        <w:rPr>
          <w:rFonts w:ascii="Arial" w:hAnsi="Arial" w:cs="Arial"/>
        </w:rPr>
      </w:pPr>
      <w:r w:rsidRPr="00E760FF">
        <w:rPr>
          <w:rFonts w:ascii="Arial" w:hAnsi="Arial" w:cs="Arial"/>
        </w:rPr>
        <w:t xml:space="preserve">The 'Washington Consensus' by Williamson (1994) acknowledges the vital role of RER in the growth process. According to it, an appropriate real exchange rate should be consistent with macroeconomic objectives (price stability, full employment, economy growth, balance of payment equilibrium, and social welfare) in the medium run and "sufﬁciently competitive" such that exports grow at a rate consistent with external balance. </w:t>
      </w:r>
    </w:p>
    <w:p w14:paraId="1D8836AB" w14:textId="652A234C" w:rsidR="00FB087B" w:rsidRDefault="00FB087B" w:rsidP="0066301C">
      <w:pPr>
        <w:spacing w:line="360" w:lineRule="auto"/>
        <w:jc w:val="both"/>
        <w:rPr>
          <w:rFonts w:ascii="Arial" w:hAnsi="Arial" w:cs="Arial"/>
        </w:rPr>
      </w:pPr>
      <w:r w:rsidRPr="004F5EB9">
        <w:rPr>
          <w:rFonts w:ascii="Arial" w:hAnsi="Arial" w:cs="Arial"/>
        </w:rPr>
        <w:lastRenderedPageBreak/>
        <w:t xml:space="preserve">Contrary to the 'Washington Consensus' is the view </w:t>
      </w:r>
      <w:r w:rsidR="004B28FF" w:rsidRPr="004F5EB9">
        <w:rPr>
          <w:rFonts w:ascii="Arial" w:hAnsi="Arial" w:cs="Arial"/>
        </w:rPr>
        <w:t xml:space="preserve">championed </w:t>
      </w:r>
      <w:r w:rsidR="004B28FF">
        <w:rPr>
          <w:rFonts w:ascii="Arial" w:hAnsi="Arial" w:cs="Arial"/>
        </w:rPr>
        <w:t xml:space="preserve">by </w:t>
      </w:r>
      <w:r w:rsidRPr="004F5EB9">
        <w:rPr>
          <w:rFonts w:ascii="Arial" w:hAnsi="Arial" w:cs="Arial"/>
        </w:rPr>
        <w:t xml:space="preserve">Rodrik (2008), </w:t>
      </w:r>
      <w:r w:rsidR="004B28FF" w:rsidRPr="004F5EB9">
        <w:rPr>
          <w:rFonts w:ascii="Arial" w:hAnsi="Arial" w:cs="Arial"/>
        </w:rPr>
        <w:t xml:space="preserve">that </w:t>
      </w:r>
      <w:r w:rsidRPr="004F5EB9">
        <w:rPr>
          <w:rFonts w:ascii="Arial" w:hAnsi="Arial" w:cs="Arial"/>
        </w:rPr>
        <w:t>RER undervaluation promotes economic growth, and overvaluation harms it. This stance is in part due to the point of view that exchange-rate – precisely an undervalued currency could be used in protecting home-based infant industries and the competitiveness of their exports. This perspective was recently rekindled due to the success story of the export-led growth in conjunction with apparently undervalued currency in East-Asian nations. Finally, Rodrik (2008) says that due to institutional weakness and market failure, the manufacturing sector in developing nations is unduly subject to distortions. As such, it is below its optimal size in equilibrium. Because removing those distortions appears difficult, an undervalued RER serves as a 'more practical' second-best option for optimally re-allocating resources towards the manufacturing sector (Rodrik, 2008). </w:t>
      </w:r>
    </w:p>
    <w:p w14:paraId="5817C701" w14:textId="7AA2A85B" w:rsidR="004B28FF" w:rsidRDefault="004B28FF" w:rsidP="0066301C">
      <w:pPr>
        <w:spacing w:line="360" w:lineRule="auto"/>
        <w:jc w:val="both"/>
        <w:rPr>
          <w:rFonts w:ascii="Arial" w:hAnsi="Arial" w:cs="Arial"/>
        </w:rPr>
      </w:pPr>
      <w:r w:rsidRPr="00E760FF">
        <w:rPr>
          <w:rFonts w:ascii="Arial" w:hAnsi="Arial" w:cs="Arial"/>
        </w:rPr>
        <w:t>Some empirical results do not support the conclusion that an undervalued RER contributes to economic growth. Easterly (2005) review of the updated Dollar (1997) measure of currency devaluation concludes that RER devaluation was insignificant as a determinant of economic growth. Acemoglu </w:t>
      </w:r>
      <w:r w:rsidRPr="00E760FF">
        <w:rPr>
          <w:rStyle w:val="Emphasis"/>
          <w:rFonts w:ascii="Arial" w:hAnsi="Arial" w:cs="Arial"/>
          <w:color w:val="0E101A"/>
        </w:rPr>
        <w:t>et al.</w:t>
      </w:r>
      <w:r w:rsidRPr="00E760FF">
        <w:rPr>
          <w:rFonts w:ascii="Arial" w:hAnsi="Arial" w:cs="Arial"/>
        </w:rPr>
        <w:t xml:space="preserve"> (2003) and the IMF (2005) also concluded that the outcome was even weaker when institutions were introduced in the growth model. Nevertheless, some evidence of a positive effect of RER devaluation has surfaced, with the East-Asian nations (China, Hong Kong, Indonesia, Japan, Malaysia, Singapore, South Korea, </w:t>
      </w:r>
      <w:r w:rsidR="003239BA" w:rsidRPr="00E760FF">
        <w:rPr>
          <w:rFonts w:ascii="Arial" w:hAnsi="Arial" w:cs="Arial"/>
        </w:rPr>
        <w:t xml:space="preserve">Taiwan, and </w:t>
      </w:r>
      <w:r w:rsidRPr="00E760FF">
        <w:rPr>
          <w:rFonts w:ascii="Arial" w:hAnsi="Arial" w:cs="Arial"/>
        </w:rPr>
        <w:t>Thailand) being perfect examples. It is believed that their "miraculous" growth between the periods 1965 to 1990 was due to the support of "smart" in their export-led growth strategy, alongside their manipulation of the exchange rate (Razmi </w:t>
      </w:r>
      <w:r w:rsidRPr="00E760FF">
        <w:rPr>
          <w:rStyle w:val="Emphasis"/>
          <w:rFonts w:ascii="Arial" w:hAnsi="Arial" w:cs="Arial"/>
          <w:color w:val="0E101A"/>
        </w:rPr>
        <w:t>et al</w:t>
      </w:r>
      <w:r w:rsidRPr="00E760FF">
        <w:rPr>
          <w:rFonts w:ascii="Arial" w:hAnsi="Arial" w:cs="Arial"/>
        </w:rPr>
        <w:t>., 2012; Rodrik, 2008; World Bank, 1993).</w:t>
      </w:r>
    </w:p>
    <w:p w14:paraId="0DA5F2A6" w14:textId="77777777" w:rsidR="00FB087B" w:rsidRDefault="00FB087B" w:rsidP="0066301C">
      <w:pPr>
        <w:spacing w:line="360" w:lineRule="auto"/>
        <w:jc w:val="both"/>
        <w:rPr>
          <w:rFonts w:ascii="Arial" w:hAnsi="Arial" w:cs="Arial"/>
        </w:rPr>
      </w:pPr>
      <w:r w:rsidRPr="00CE5960">
        <w:rPr>
          <w:rFonts w:ascii="Arial" w:hAnsi="Arial" w:cs="Arial"/>
          <w:lang w:eastAsia="en-GB"/>
        </w:rPr>
        <w:t>It is highly contested among economists that currency devaluation improves a nation’s trade balance (TB) deficit, leading to a reduction of the current account deficit and improving economic growth (Kurtović, 2017). A RER de</w:t>
      </w:r>
      <w:r>
        <w:rPr>
          <w:rFonts w:ascii="Arial" w:hAnsi="Arial" w:cs="Arial"/>
          <w:lang w:eastAsia="en-GB"/>
        </w:rPr>
        <w:t>valuation</w:t>
      </w:r>
      <w:r w:rsidRPr="00CE5960">
        <w:rPr>
          <w:rFonts w:ascii="Arial" w:hAnsi="Arial" w:cs="Arial"/>
          <w:lang w:eastAsia="en-GB"/>
        </w:rPr>
        <w:t xml:space="preserve"> could lead to the deterioration of TB in the short run while improving </w:t>
      </w:r>
      <w:r>
        <w:rPr>
          <w:rFonts w:ascii="Arial" w:hAnsi="Arial" w:cs="Arial"/>
          <w:lang w:eastAsia="en-GB"/>
        </w:rPr>
        <w:t xml:space="preserve">the </w:t>
      </w:r>
      <w:r w:rsidRPr="00CE5960">
        <w:rPr>
          <w:rFonts w:ascii="Arial" w:hAnsi="Arial" w:cs="Arial"/>
          <w:lang w:eastAsia="en-GB"/>
        </w:rPr>
        <w:t>TB in the long run</w:t>
      </w:r>
      <w:r>
        <w:rPr>
          <w:rFonts w:ascii="Arial" w:hAnsi="Arial" w:cs="Arial"/>
          <w:lang w:eastAsia="en-GB"/>
        </w:rPr>
        <w:t>. Th</w:t>
      </w:r>
      <w:r w:rsidRPr="0033762E">
        <w:rPr>
          <w:rFonts w:ascii="Arial" w:hAnsi="Arial" w:cs="Arial"/>
        </w:rPr>
        <w:t>e response of the TB over time looks like a tilted J shape.</w:t>
      </w:r>
      <w:r>
        <w:rPr>
          <w:rFonts w:ascii="Arial" w:hAnsi="Arial" w:cs="Arial"/>
          <w:lang w:eastAsia="en-GB"/>
        </w:rPr>
        <w:t xml:space="preserve"> </w:t>
      </w:r>
      <w:r w:rsidRPr="0033762E">
        <w:rPr>
          <w:rFonts w:ascii="Arial" w:hAnsi="Arial" w:cs="Arial"/>
        </w:rPr>
        <w:t>The </w:t>
      </w:r>
      <w:r w:rsidRPr="0033762E">
        <w:rPr>
          <w:rStyle w:val="Emphasis"/>
          <w:rFonts w:ascii="Arial" w:hAnsi="Arial" w:cs="Arial"/>
          <w:color w:val="0E101A"/>
        </w:rPr>
        <w:t>J-</w:t>
      </w:r>
      <w:r w:rsidRPr="0033762E">
        <w:rPr>
          <w:rFonts w:ascii="Arial" w:hAnsi="Arial" w:cs="Arial"/>
        </w:rPr>
        <w:t>curve theory is the economics traditional wisdom of analysing the dynamic effect of exchange rate changes on TB. If the Marshall-Lerner Condition (MLC</w:t>
      </w:r>
      <w:r>
        <w:rPr>
          <w:rFonts w:ascii="Arial" w:hAnsi="Arial" w:cs="Arial"/>
        </w:rPr>
        <w:t>)</w:t>
      </w:r>
      <w:r w:rsidRPr="008204CC">
        <w:rPr>
          <w:rFonts w:ascii="Arial" w:hAnsi="Arial" w:cs="Arial"/>
        </w:rPr>
        <w:t xml:space="preserve"> holds, </w:t>
      </w:r>
      <w:r w:rsidRPr="0033762E">
        <w:rPr>
          <w:rFonts w:ascii="Arial" w:hAnsi="Arial" w:cs="Arial"/>
        </w:rPr>
        <w:t>it is likely that following a devaluation, an initial drop in TB occurs before an improvement follows</w:t>
      </w:r>
      <w:r>
        <w:rPr>
          <w:rFonts w:ascii="Arial" w:hAnsi="Arial" w:cs="Arial"/>
        </w:rPr>
        <w:t xml:space="preserve">. </w:t>
      </w:r>
      <w:r w:rsidRPr="0033762E">
        <w:rPr>
          <w:rFonts w:ascii="Arial" w:hAnsi="Arial" w:cs="Arial"/>
        </w:rPr>
        <w:t>The </w:t>
      </w:r>
      <w:r w:rsidRPr="0033762E">
        <w:rPr>
          <w:rStyle w:val="Emphasis"/>
          <w:rFonts w:ascii="Arial" w:hAnsi="Arial" w:cs="Arial"/>
          <w:color w:val="0E101A"/>
        </w:rPr>
        <w:t>J</w:t>
      </w:r>
      <w:r w:rsidRPr="0033762E">
        <w:rPr>
          <w:rFonts w:ascii="Arial" w:hAnsi="Arial" w:cs="Arial"/>
        </w:rPr>
        <w:t xml:space="preserve">–curve </w:t>
      </w:r>
      <w:r>
        <w:rPr>
          <w:rFonts w:ascii="Arial" w:hAnsi="Arial" w:cs="Arial"/>
        </w:rPr>
        <w:t>effect</w:t>
      </w:r>
      <w:r w:rsidRPr="0033762E">
        <w:rPr>
          <w:rFonts w:ascii="Arial" w:hAnsi="Arial" w:cs="Arial"/>
        </w:rPr>
        <w:t xml:space="preserve"> is attributed to the lagged adjustment of quantities to changes in the relative prices (Magee, 1973</w:t>
      </w:r>
      <w:r>
        <w:rPr>
          <w:rFonts w:ascii="Arial" w:hAnsi="Arial" w:cs="Arial"/>
        </w:rPr>
        <w:t>).</w:t>
      </w:r>
    </w:p>
    <w:p w14:paraId="325A8A72" w14:textId="0782D6E4" w:rsidR="00FB087B" w:rsidRDefault="00FB087B" w:rsidP="0066301C">
      <w:pPr>
        <w:spacing w:line="360" w:lineRule="auto"/>
        <w:jc w:val="both"/>
        <w:rPr>
          <w:rFonts w:ascii="Arial" w:hAnsi="Arial" w:cs="Arial"/>
          <w:lang w:val="en-US" w:eastAsia="en-GB"/>
        </w:rPr>
      </w:pPr>
      <w:r w:rsidRPr="209ABE44">
        <w:rPr>
          <w:rFonts w:ascii="Arial" w:eastAsia="Times New Roman" w:hAnsi="Arial" w:cs="Arial"/>
          <w:color w:val="000000" w:themeColor="text1"/>
        </w:rPr>
        <w:t xml:space="preserve">Economists see the RER as a policy instrument for promoting economic growth of a nation. </w:t>
      </w:r>
      <w:r>
        <w:rPr>
          <w:rFonts w:ascii="Arial" w:eastAsia="Times New Roman" w:hAnsi="Arial" w:cs="Arial"/>
          <w:color w:val="000000" w:themeColor="text1"/>
        </w:rPr>
        <w:t xml:space="preserve">This view as championed by Rodrik (2008) who stated that </w:t>
      </w:r>
      <w:r w:rsidRPr="00C956A2">
        <w:rPr>
          <w:rFonts w:ascii="Arial" w:hAnsi="Arial" w:cs="Arial"/>
          <w:lang w:eastAsia="en-GB"/>
        </w:rPr>
        <w:t>R</w:t>
      </w:r>
      <w:r>
        <w:rPr>
          <w:rFonts w:ascii="Arial" w:hAnsi="Arial" w:cs="Arial"/>
          <w:lang w:eastAsia="en-GB"/>
        </w:rPr>
        <w:t>E</w:t>
      </w:r>
      <w:r w:rsidRPr="00C956A2">
        <w:rPr>
          <w:rFonts w:ascii="Arial" w:hAnsi="Arial" w:cs="Arial"/>
          <w:lang w:eastAsia="en-GB"/>
        </w:rPr>
        <w:t>R undervaluation promotes economic growth and overvaluation harms it</w:t>
      </w:r>
      <w:r w:rsidRPr="00C956A2">
        <w:rPr>
          <w:rFonts w:ascii="Arial" w:hAnsi="Arial" w:cs="Arial"/>
          <w:lang w:val="en-US" w:eastAsia="en-GB"/>
        </w:rPr>
        <w:t xml:space="preserve">. This stance is in part due to the view that exchange-rate – precisely an undervalued currency could be used in protecting home based infant industries and the competitiveness of their exports (Nouira and Sekkat, 2015; </w:t>
      </w:r>
      <w:r w:rsidRPr="00C956A2">
        <w:rPr>
          <w:rFonts w:ascii="Arial" w:hAnsi="Arial" w:cs="Arial"/>
          <w:lang w:eastAsia="en-GB"/>
        </w:rPr>
        <w:t xml:space="preserve">Grekou, </w:t>
      </w:r>
      <w:r w:rsidRPr="00C956A2">
        <w:rPr>
          <w:rFonts w:ascii="Arial" w:hAnsi="Arial" w:cs="Arial"/>
          <w:lang w:eastAsia="en-GB"/>
        </w:rPr>
        <w:lastRenderedPageBreak/>
        <w:t>2015;</w:t>
      </w:r>
      <w:r>
        <w:rPr>
          <w:rFonts w:ascii="Arial" w:hAnsi="Arial" w:cs="Arial"/>
          <w:lang w:eastAsia="en-GB"/>
        </w:rPr>
        <w:t xml:space="preserve"> </w:t>
      </w:r>
      <w:r w:rsidRPr="00C956A2">
        <w:rPr>
          <w:rFonts w:ascii="Arial" w:hAnsi="Arial" w:cs="Arial"/>
          <w:lang w:eastAsia="en-GB"/>
        </w:rPr>
        <w:t>Rodrik, 2008</w:t>
      </w:r>
      <w:r w:rsidRPr="00C956A2">
        <w:rPr>
          <w:rFonts w:ascii="Arial" w:hAnsi="Arial" w:cs="Arial"/>
          <w:lang w:val="en-US" w:eastAsia="en-GB"/>
        </w:rPr>
        <w:t>).</w:t>
      </w:r>
      <w:r>
        <w:rPr>
          <w:rFonts w:ascii="Arial" w:hAnsi="Arial" w:cs="Arial"/>
          <w:lang w:val="en-US" w:eastAsia="en-GB"/>
        </w:rPr>
        <w:t xml:space="preserve"> Thus, in this thesis, we reviewed the RER, economic growth and the TB channel through which economy grows with our focus on CEMAC zone nations of the CFA franc.</w:t>
      </w:r>
    </w:p>
    <w:p w14:paraId="567DFD79" w14:textId="77777777" w:rsidR="00FB087B" w:rsidRPr="00203053" w:rsidRDefault="00FB087B" w:rsidP="0066301C">
      <w:pPr>
        <w:spacing w:line="360" w:lineRule="auto"/>
        <w:jc w:val="both"/>
        <w:rPr>
          <w:rFonts w:ascii="Arial" w:hAnsi="Arial" w:cs="Arial"/>
        </w:rPr>
      </w:pPr>
      <w:r w:rsidRPr="00203053">
        <w:rPr>
          <w:rFonts w:ascii="Arial" w:hAnsi="Arial" w:cs="Arial"/>
        </w:rPr>
        <w:t xml:space="preserve">The </w:t>
      </w:r>
      <w:r>
        <w:rPr>
          <w:rFonts w:ascii="Arial" w:hAnsi="Arial" w:cs="Arial"/>
        </w:rPr>
        <w:t xml:space="preserve">CFA </w:t>
      </w:r>
      <w:r w:rsidRPr="00203053">
        <w:rPr>
          <w:rFonts w:ascii="Arial" w:hAnsi="Arial" w:cs="Arial"/>
        </w:rPr>
        <w:t>franc zone by their history have inherited a fixed exchange rate regime since their colonial past. Hence, these nations saw their currency match the French Franc (FF), which was the currency of their metropolis.</w:t>
      </w:r>
      <w:r>
        <w:rPr>
          <w:rFonts w:ascii="Arial" w:hAnsi="Arial" w:cs="Arial"/>
        </w:rPr>
        <w:t xml:space="preserve"> </w:t>
      </w:r>
      <w:r w:rsidRPr="0038176A">
        <w:rPr>
          <w:rFonts w:ascii="Arial" w:hAnsi="Arial" w:cs="Arial"/>
        </w:rPr>
        <w:t>Created on 26</w:t>
      </w:r>
      <w:r w:rsidRPr="001631CA">
        <w:rPr>
          <w:rFonts w:ascii="Arial" w:hAnsi="Arial" w:cs="Arial"/>
          <w:vertAlign w:val="superscript"/>
        </w:rPr>
        <w:t>th</w:t>
      </w:r>
      <w:r>
        <w:rPr>
          <w:rFonts w:ascii="Arial" w:hAnsi="Arial" w:cs="Arial"/>
        </w:rPr>
        <w:t xml:space="preserve"> </w:t>
      </w:r>
      <w:r w:rsidRPr="0038176A">
        <w:rPr>
          <w:rFonts w:ascii="Arial" w:hAnsi="Arial" w:cs="Arial"/>
        </w:rPr>
        <w:t>December 1945 in the wake of the Bretton Woods conference, the Franc of African Financial Community (FCFA) – was initially known as the Franc of French Colonies of Africa (Franc des Colonies Francaises d'Afrique acronym - FCFA). The CFA franc (FCFA) is the currency used in 15 African states grouped into three zones</w:t>
      </w:r>
      <w:r>
        <w:rPr>
          <w:rFonts w:ascii="Arial" w:hAnsi="Arial" w:cs="Arial"/>
        </w:rPr>
        <w:t>.</w:t>
      </w:r>
      <w:r>
        <w:rPr>
          <w:rStyle w:val="FootnoteReference"/>
          <w:rFonts w:ascii="Arial" w:hAnsi="Arial" w:cs="Arial"/>
        </w:rPr>
        <w:footnoteReference w:id="169"/>
      </w:r>
      <w:r>
        <w:rPr>
          <w:rFonts w:ascii="Arial" w:hAnsi="Arial" w:cs="Arial"/>
        </w:rPr>
        <w:t xml:space="preserve"> </w:t>
      </w:r>
      <w:r w:rsidRPr="00203053">
        <w:rPr>
          <w:rFonts w:ascii="Arial" w:hAnsi="Arial" w:cs="Arial"/>
        </w:rPr>
        <w:t>In the year 1948, 1 FF was equivalent to 50 CFA franc</w:t>
      </w:r>
      <w:r>
        <w:rPr>
          <w:rFonts w:ascii="Arial" w:hAnsi="Arial" w:cs="Arial"/>
        </w:rPr>
        <w:t xml:space="preserve"> </w:t>
      </w:r>
      <w:r w:rsidRPr="00203053">
        <w:rPr>
          <w:rFonts w:ascii="Arial" w:hAnsi="Arial" w:cs="Arial"/>
        </w:rPr>
        <w:t>and the parity did not change till the 12</w:t>
      </w:r>
      <w:r w:rsidRPr="00203053">
        <w:rPr>
          <w:rFonts w:ascii="Arial" w:hAnsi="Arial" w:cs="Arial"/>
          <w:vertAlign w:val="superscript"/>
        </w:rPr>
        <w:t>th</w:t>
      </w:r>
      <w:r w:rsidRPr="00203053">
        <w:rPr>
          <w:rFonts w:ascii="Arial" w:hAnsi="Arial" w:cs="Arial"/>
        </w:rPr>
        <w:t xml:space="preserve"> January 1994 devaluation by 50%, whereby the parity changed to 1FF worth 100</w:t>
      </w:r>
      <w:r>
        <w:rPr>
          <w:rFonts w:ascii="Arial" w:hAnsi="Arial" w:cs="Arial"/>
        </w:rPr>
        <w:t xml:space="preserve"> </w:t>
      </w:r>
      <w:r w:rsidRPr="00203053">
        <w:rPr>
          <w:rFonts w:ascii="Arial" w:hAnsi="Arial" w:cs="Arial"/>
        </w:rPr>
        <w:t>CFA franc in the nominal rate.</w:t>
      </w:r>
      <w:r>
        <w:rPr>
          <w:rStyle w:val="FootnoteReference"/>
          <w:rFonts w:ascii="Arial" w:hAnsi="Arial" w:cs="Arial"/>
        </w:rPr>
        <w:footnoteReference w:id="170"/>
      </w:r>
      <w:r w:rsidRPr="00203053">
        <w:rPr>
          <w:rFonts w:ascii="Arial" w:hAnsi="Arial" w:cs="Arial"/>
        </w:rPr>
        <w:t xml:space="preserve"> The devaluation was meant to reverse the domestic and external disequilibria that had built up since the mid-1980s. The internal deficit was due to unemployment on the one hand caused by; low level of legal, administrative and institutional framework, human capital, structural policies and financial policies. While the external deficit on the other hand, was due to foreign interests and terms of trade shocks (Bahmani-Oskooee, 1998; Nashahibi and Bazzoni, 1994).</w:t>
      </w:r>
    </w:p>
    <w:p w14:paraId="3A71DE6E" w14:textId="77777777" w:rsidR="00FB087B" w:rsidRDefault="00FB087B" w:rsidP="0066301C">
      <w:pPr>
        <w:spacing w:line="360" w:lineRule="auto"/>
        <w:jc w:val="both"/>
        <w:rPr>
          <w:rFonts w:ascii="Arial" w:hAnsi="Arial" w:cs="Arial"/>
        </w:rPr>
      </w:pPr>
      <w:r w:rsidRPr="0038176A">
        <w:rPr>
          <w:rFonts w:ascii="Arial" w:hAnsi="Arial" w:cs="Arial"/>
        </w:rPr>
        <w:t>The FCFA and FF monetary arrangements included the FCFA convertibility into the FF backed by the French treasury. The convention encompassed strict fiscal and monetary rules, which provided much financial and monetary stability. The advantages, such as greater stability and discipline and low inflation, made the FCFA zone suitable for foreign investment, economic development, and growth (Amin, 2000; Devarajan and De Melo, 1991). Such macroeconomic stability was to attract foreign investors/capital into the nations, which will be used to improve productivity/output, create employment, and growth in the economy, which will eventually result in the improvement in the standard of living of the citizens</w:t>
      </w:r>
      <w:r>
        <w:rPr>
          <w:rFonts w:ascii="Arial" w:hAnsi="Arial" w:cs="Arial"/>
        </w:rPr>
        <w:t>.</w:t>
      </w:r>
    </w:p>
    <w:p w14:paraId="3D6EE2C6" w14:textId="3B2B350E" w:rsidR="00FB087B" w:rsidRDefault="00FB087B" w:rsidP="0066301C">
      <w:pPr>
        <w:spacing w:line="360" w:lineRule="auto"/>
        <w:jc w:val="both"/>
        <w:rPr>
          <w:rFonts w:ascii="Arial" w:hAnsi="Arial" w:cs="Arial"/>
          <w:lang w:val="en-US" w:eastAsia="en-GB"/>
        </w:rPr>
      </w:pPr>
      <w:r w:rsidRPr="0038176A">
        <w:rPr>
          <w:rFonts w:ascii="Arial" w:hAnsi="Arial" w:cs="Arial"/>
        </w:rPr>
        <w:lastRenderedPageBreak/>
        <w:t xml:space="preserve">However, it is believed that the same institutional arrangements that contributed to the good economic performance of the FCFA zone nations before the 1980s had also hindered them from adjusting timely to internal and external shocks. For instance, the fixed exchange rate system practiced by the FCFA nations made it difficult for their currency to change quickly to adjust to shock (Amin, 2000; Devarajan and De Melo, 1991). Therefore, if the institutional arrangements hindered the timely adjustment of the </w:t>
      </w:r>
      <w:r w:rsidR="0011583B">
        <w:rPr>
          <w:rFonts w:ascii="Arial" w:hAnsi="Arial" w:cs="Arial"/>
        </w:rPr>
        <w:t>FCFA</w:t>
      </w:r>
      <w:r w:rsidRPr="0038176A">
        <w:rPr>
          <w:rFonts w:ascii="Arial" w:hAnsi="Arial" w:cs="Arial"/>
        </w:rPr>
        <w:t>, it is necessary to ensure that it does not re-occur, mindful that it has been more than two decades since the currency was devalued. This leaves us with the question of whether the 1994</w:t>
      </w:r>
      <w:r w:rsidR="000918D0">
        <w:rPr>
          <w:rFonts w:ascii="Arial" w:hAnsi="Arial" w:cs="Arial"/>
        </w:rPr>
        <w:t xml:space="preserve"> FCFA</w:t>
      </w:r>
      <w:r w:rsidRPr="0038176A">
        <w:rPr>
          <w:rFonts w:ascii="Arial" w:hAnsi="Arial" w:cs="Arial"/>
        </w:rPr>
        <w:t xml:space="preserve"> devaluation achieved its objectives and if the currency is still at its optimal level (equilibrium or not).</w:t>
      </w:r>
    </w:p>
    <w:p w14:paraId="61FEA456" w14:textId="53612F13" w:rsidR="00FB087B" w:rsidRDefault="00FB087B" w:rsidP="0066301C">
      <w:pPr>
        <w:pStyle w:val="NormalWeb"/>
        <w:spacing w:before="0" w:beforeAutospacing="0" w:after="0" w:afterAutospacing="0" w:line="360" w:lineRule="auto"/>
        <w:jc w:val="both"/>
        <w:rPr>
          <w:rFonts w:ascii="Arial" w:hAnsi="Arial" w:cs="Arial"/>
          <w:color w:val="0E101A"/>
          <w:sz w:val="22"/>
          <w:szCs w:val="22"/>
        </w:rPr>
      </w:pPr>
      <w:r w:rsidRPr="00D97F53">
        <w:rPr>
          <w:rFonts w:ascii="Arial" w:hAnsi="Arial" w:cs="Arial"/>
          <w:color w:val="0E101A"/>
          <w:sz w:val="22"/>
          <w:szCs w:val="22"/>
        </w:rPr>
        <w:t xml:space="preserve">This research </w:t>
      </w:r>
      <w:r>
        <w:rPr>
          <w:rFonts w:ascii="Arial" w:hAnsi="Arial" w:cs="Arial"/>
          <w:color w:val="0E101A"/>
          <w:sz w:val="22"/>
          <w:szCs w:val="22"/>
        </w:rPr>
        <w:t xml:space="preserve">was </w:t>
      </w:r>
      <w:r w:rsidRPr="00D97F53">
        <w:rPr>
          <w:rFonts w:ascii="Arial" w:hAnsi="Arial" w:cs="Arial"/>
          <w:color w:val="0E101A"/>
          <w:sz w:val="22"/>
          <w:szCs w:val="22"/>
        </w:rPr>
        <w:t>aim</w:t>
      </w:r>
      <w:r>
        <w:rPr>
          <w:rFonts w:ascii="Arial" w:hAnsi="Arial" w:cs="Arial"/>
          <w:color w:val="0E101A"/>
          <w:sz w:val="22"/>
          <w:szCs w:val="22"/>
        </w:rPr>
        <w:t>ed at</w:t>
      </w:r>
      <w:r w:rsidRPr="00D97F53">
        <w:rPr>
          <w:rFonts w:ascii="Arial" w:hAnsi="Arial" w:cs="Arial"/>
          <w:color w:val="0E101A"/>
          <w:sz w:val="22"/>
          <w:szCs w:val="22"/>
        </w:rPr>
        <w:t xml:space="preserve"> analys</w:t>
      </w:r>
      <w:r>
        <w:rPr>
          <w:rFonts w:ascii="Arial" w:hAnsi="Arial" w:cs="Arial"/>
          <w:color w:val="0E101A"/>
          <w:sz w:val="22"/>
          <w:szCs w:val="22"/>
        </w:rPr>
        <w:t>ing</w:t>
      </w:r>
      <w:r w:rsidRPr="00D97F53">
        <w:rPr>
          <w:rFonts w:ascii="Arial" w:hAnsi="Arial" w:cs="Arial"/>
          <w:color w:val="0E101A"/>
          <w:sz w:val="22"/>
          <w:szCs w:val="22"/>
        </w:rPr>
        <w:t xml:space="preserve"> the state of the CFA franc in</w:t>
      </w:r>
      <w:r>
        <w:rPr>
          <w:rFonts w:ascii="Arial" w:hAnsi="Arial" w:cs="Arial"/>
          <w:color w:val="0E101A"/>
          <w:sz w:val="22"/>
          <w:szCs w:val="22"/>
        </w:rPr>
        <w:t xml:space="preserve"> each of</w:t>
      </w:r>
      <w:r w:rsidRPr="00D97F53">
        <w:rPr>
          <w:rFonts w:ascii="Arial" w:hAnsi="Arial" w:cs="Arial"/>
          <w:color w:val="0E101A"/>
          <w:sz w:val="22"/>
          <w:szCs w:val="22"/>
        </w:rPr>
        <w:t xml:space="preserve"> the CEMAC nations</w:t>
      </w:r>
      <w:r>
        <w:rPr>
          <w:rFonts w:ascii="Arial" w:hAnsi="Arial" w:cs="Arial"/>
          <w:color w:val="0E101A"/>
          <w:sz w:val="22"/>
          <w:szCs w:val="22"/>
        </w:rPr>
        <w:t>,</w:t>
      </w:r>
      <w:r w:rsidRPr="00D97F53">
        <w:rPr>
          <w:rFonts w:ascii="Arial" w:hAnsi="Arial" w:cs="Arial"/>
          <w:color w:val="0E101A"/>
          <w:sz w:val="22"/>
          <w:szCs w:val="22"/>
        </w:rPr>
        <w:t xml:space="preserve"> to know if it </w:t>
      </w:r>
      <w:r>
        <w:rPr>
          <w:rFonts w:ascii="Arial" w:hAnsi="Arial" w:cs="Arial"/>
          <w:color w:val="0E101A"/>
          <w:sz w:val="22"/>
          <w:szCs w:val="22"/>
        </w:rPr>
        <w:t>wa</w:t>
      </w:r>
      <w:r w:rsidRPr="00D97F53">
        <w:rPr>
          <w:rFonts w:ascii="Arial" w:hAnsi="Arial" w:cs="Arial"/>
          <w:color w:val="0E101A"/>
          <w:sz w:val="22"/>
          <w:szCs w:val="22"/>
        </w:rPr>
        <w:t xml:space="preserve">s aligned. With </w:t>
      </w:r>
      <w:r>
        <w:rPr>
          <w:rFonts w:ascii="Arial" w:hAnsi="Arial" w:cs="Arial"/>
          <w:color w:val="0E101A"/>
          <w:sz w:val="22"/>
          <w:szCs w:val="22"/>
        </w:rPr>
        <w:t>TB</w:t>
      </w:r>
      <w:r w:rsidRPr="00D97F53">
        <w:rPr>
          <w:rFonts w:ascii="Arial" w:hAnsi="Arial" w:cs="Arial"/>
          <w:color w:val="0E101A"/>
          <w:sz w:val="22"/>
          <w:szCs w:val="22"/>
        </w:rPr>
        <w:t xml:space="preserve"> channel being one of the main channels through which the exchange rate impacts economic growth, we investigate</w:t>
      </w:r>
      <w:r>
        <w:rPr>
          <w:rFonts w:ascii="Arial" w:hAnsi="Arial" w:cs="Arial"/>
          <w:color w:val="0E101A"/>
          <w:sz w:val="22"/>
          <w:szCs w:val="22"/>
        </w:rPr>
        <w:t>d</w:t>
      </w:r>
      <w:r w:rsidRPr="00D97F53">
        <w:rPr>
          <w:rFonts w:ascii="Arial" w:hAnsi="Arial" w:cs="Arial"/>
          <w:color w:val="0E101A"/>
          <w:sz w:val="22"/>
          <w:szCs w:val="22"/>
        </w:rPr>
        <w:t xml:space="preserve"> the relationship between the RE</w:t>
      </w:r>
      <w:r>
        <w:rPr>
          <w:rFonts w:ascii="Arial" w:hAnsi="Arial" w:cs="Arial"/>
          <w:color w:val="0E101A"/>
          <w:sz w:val="22"/>
          <w:szCs w:val="22"/>
        </w:rPr>
        <w:t>E</w:t>
      </w:r>
      <w:r w:rsidRPr="00D97F53">
        <w:rPr>
          <w:rFonts w:ascii="Arial" w:hAnsi="Arial" w:cs="Arial"/>
          <w:color w:val="0E101A"/>
          <w:sz w:val="22"/>
          <w:szCs w:val="22"/>
        </w:rPr>
        <w:t>R and the TB</w:t>
      </w:r>
      <w:r>
        <w:rPr>
          <w:rFonts w:ascii="Arial" w:hAnsi="Arial" w:cs="Arial"/>
          <w:color w:val="0E101A"/>
          <w:sz w:val="22"/>
          <w:szCs w:val="22"/>
        </w:rPr>
        <w:t xml:space="preserve"> for the presence of the </w:t>
      </w:r>
      <w:r>
        <w:rPr>
          <w:rFonts w:ascii="Arial" w:hAnsi="Arial" w:cs="Arial"/>
          <w:i/>
          <w:iCs/>
          <w:color w:val="0E101A"/>
          <w:sz w:val="22"/>
          <w:szCs w:val="22"/>
        </w:rPr>
        <w:t>J-</w:t>
      </w:r>
      <w:r>
        <w:rPr>
          <w:rFonts w:ascii="Arial" w:hAnsi="Arial" w:cs="Arial"/>
          <w:color w:val="0E101A"/>
          <w:sz w:val="22"/>
          <w:szCs w:val="22"/>
        </w:rPr>
        <w:t>curve</w:t>
      </w:r>
      <w:r w:rsidRPr="00D97F53">
        <w:rPr>
          <w:rFonts w:ascii="Arial" w:hAnsi="Arial" w:cs="Arial"/>
          <w:color w:val="0E101A"/>
          <w:sz w:val="22"/>
          <w:szCs w:val="22"/>
        </w:rPr>
        <w:t xml:space="preserve">. </w:t>
      </w:r>
      <w:r>
        <w:rPr>
          <w:rFonts w:ascii="Arial" w:hAnsi="Arial" w:cs="Arial"/>
          <w:color w:val="0E101A"/>
          <w:sz w:val="22"/>
          <w:szCs w:val="22"/>
        </w:rPr>
        <w:t>F</w:t>
      </w:r>
      <w:r w:rsidRPr="00D97F53">
        <w:rPr>
          <w:rFonts w:ascii="Arial" w:hAnsi="Arial" w:cs="Arial"/>
          <w:color w:val="0E101A"/>
          <w:sz w:val="22"/>
          <w:szCs w:val="22"/>
        </w:rPr>
        <w:t>rom a</w:t>
      </w:r>
      <w:r w:rsidR="000918D0">
        <w:rPr>
          <w:rFonts w:ascii="Arial" w:hAnsi="Arial" w:cs="Arial"/>
          <w:color w:val="0E101A"/>
          <w:sz w:val="22"/>
          <w:szCs w:val="22"/>
        </w:rPr>
        <w:t>n</w:t>
      </w:r>
      <w:r w:rsidRPr="00D97F53">
        <w:rPr>
          <w:rFonts w:ascii="Arial" w:hAnsi="Arial" w:cs="Arial"/>
          <w:color w:val="0E101A"/>
          <w:sz w:val="22"/>
          <w:szCs w:val="22"/>
        </w:rPr>
        <w:t xml:space="preserve"> </w:t>
      </w:r>
      <w:r>
        <w:rPr>
          <w:rFonts w:ascii="Arial" w:hAnsi="Arial" w:cs="Arial"/>
          <w:color w:val="0E101A"/>
          <w:sz w:val="22"/>
          <w:szCs w:val="22"/>
        </w:rPr>
        <w:t>overview</w:t>
      </w:r>
      <w:r w:rsidRPr="00D97F53">
        <w:rPr>
          <w:rFonts w:ascii="Arial" w:hAnsi="Arial" w:cs="Arial"/>
          <w:color w:val="0E101A"/>
          <w:sz w:val="22"/>
          <w:szCs w:val="22"/>
        </w:rPr>
        <w:t xml:space="preserve"> perspective, we </w:t>
      </w:r>
      <w:r>
        <w:rPr>
          <w:rFonts w:ascii="Arial" w:hAnsi="Arial" w:cs="Arial"/>
          <w:color w:val="0E101A"/>
          <w:sz w:val="22"/>
          <w:szCs w:val="22"/>
        </w:rPr>
        <w:t>investigated</w:t>
      </w:r>
      <w:r w:rsidRPr="00D97F53">
        <w:rPr>
          <w:rFonts w:ascii="Arial" w:hAnsi="Arial" w:cs="Arial"/>
          <w:color w:val="0E101A"/>
          <w:sz w:val="22"/>
          <w:szCs w:val="22"/>
        </w:rPr>
        <w:t xml:space="preserve"> if the objective of the CFA franc devaluation was attained via the impact of the currency on economic growth</w:t>
      </w:r>
      <w:r>
        <w:rPr>
          <w:rFonts w:ascii="Arial" w:hAnsi="Arial" w:cs="Arial"/>
          <w:color w:val="0E101A"/>
          <w:sz w:val="22"/>
          <w:szCs w:val="22"/>
        </w:rPr>
        <w:t xml:space="preserve"> of CEMAC zone</w:t>
      </w:r>
      <w:r w:rsidRPr="00D97F53">
        <w:rPr>
          <w:rFonts w:ascii="Arial" w:hAnsi="Arial" w:cs="Arial"/>
          <w:color w:val="0E101A"/>
          <w:sz w:val="22"/>
          <w:szCs w:val="22"/>
        </w:rPr>
        <w:t xml:space="preserve">. Thus, the following research questions </w:t>
      </w:r>
      <w:r>
        <w:rPr>
          <w:rFonts w:ascii="Arial" w:hAnsi="Arial" w:cs="Arial"/>
          <w:color w:val="0E101A"/>
          <w:sz w:val="22"/>
          <w:szCs w:val="22"/>
        </w:rPr>
        <w:t>were addressed</w:t>
      </w:r>
      <w:r w:rsidRPr="00D97F53">
        <w:rPr>
          <w:rFonts w:ascii="Arial" w:hAnsi="Arial" w:cs="Arial"/>
          <w:color w:val="0E101A"/>
          <w:sz w:val="22"/>
          <w:szCs w:val="22"/>
        </w:rPr>
        <w:t>:</w:t>
      </w:r>
    </w:p>
    <w:p w14:paraId="00F3725B" w14:textId="77777777" w:rsidR="00FB087B" w:rsidRDefault="00FB087B" w:rsidP="0066301C">
      <w:pPr>
        <w:pStyle w:val="ListParagraph"/>
        <w:numPr>
          <w:ilvl w:val="0"/>
          <w:numId w:val="38"/>
        </w:numPr>
        <w:spacing w:after="100" w:afterAutospacing="1" w:line="360" w:lineRule="auto"/>
        <w:jc w:val="both"/>
        <w:rPr>
          <w:rFonts w:ascii="Arial" w:hAnsi="Arial" w:cs="Arial"/>
          <w:color w:val="000000"/>
        </w:rPr>
      </w:pPr>
      <w:r w:rsidRPr="00D13F39">
        <w:rPr>
          <w:rFonts w:ascii="Arial" w:hAnsi="Arial" w:cs="Arial"/>
          <w:color w:val="000000"/>
        </w:rPr>
        <w:t>Is there a real exchange rate misalignment problem in the CEMAC nations?</w:t>
      </w:r>
    </w:p>
    <w:p w14:paraId="1676AAE2" w14:textId="77777777" w:rsidR="00FB087B" w:rsidRPr="00D13F39" w:rsidRDefault="00FB087B" w:rsidP="0066301C">
      <w:pPr>
        <w:pStyle w:val="ListParagraph"/>
        <w:numPr>
          <w:ilvl w:val="0"/>
          <w:numId w:val="38"/>
        </w:numPr>
        <w:spacing w:after="100" w:afterAutospacing="1" w:line="360" w:lineRule="auto"/>
        <w:jc w:val="both"/>
        <w:rPr>
          <w:rFonts w:ascii="Arial" w:hAnsi="Arial" w:cs="Arial"/>
          <w:color w:val="000000"/>
        </w:rPr>
      </w:pPr>
      <w:r w:rsidRPr="00D13F39">
        <w:rPr>
          <w:rFonts w:ascii="Arial" w:hAnsi="Arial" w:cs="Arial"/>
          <w:color w:val="000000"/>
        </w:rPr>
        <w:t>Is there a relationship between the REER and the TB in the CEMAC nations?</w:t>
      </w:r>
    </w:p>
    <w:p w14:paraId="61865ED1" w14:textId="77777777" w:rsidR="00FB087B" w:rsidRPr="00072D15" w:rsidRDefault="00FB087B" w:rsidP="0066301C">
      <w:pPr>
        <w:pStyle w:val="ListParagraph"/>
        <w:numPr>
          <w:ilvl w:val="0"/>
          <w:numId w:val="38"/>
        </w:numPr>
        <w:spacing w:after="100" w:afterAutospacing="1" w:line="360" w:lineRule="auto"/>
        <w:jc w:val="both"/>
        <w:rPr>
          <w:rFonts w:ascii="Arial" w:hAnsi="Arial" w:cs="Arial"/>
        </w:rPr>
      </w:pPr>
      <w:r w:rsidRPr="002C5674">
        <w:rPr>
          <w:rFonts w:ascii="Arial" w:hAnsi="Arial" w:cs="Arial"/>
          <w:color w:val="000000"/>
        </w:rPr>
        <w:t>Is there a relationship between the REER and economic growth in the CEMAC Zone?</w:t>
      </w:r>
    </w:p>
    <w:p w14:paraId="6CB95547" w14:textId="4399A172" w:rsidR="00000471" w:rsidRPr="008204CC" w:rsidRDefault="00CD5030" w:rsidP="0066301C">
      <w:pPr>
        <w:pStyle w:val="Heading2"/>
        <w:spacing w:before="0" w:beforeAutospacing="0"/>
      </w:pPr>
      <w:bookmarkStart w:id="532" w:name="_Toc92229040"/>
      <w:bookmarkStart w:id="533" w:name="_Toc171075445"/>
      <w:r w:rsidRPr="00D57E0B">
        <w:t>6</w:t>
      </w:r>
      <w:r w:rsidR="00A97848" w:rsidRPr="00D57E0B">
        <w:t>.2</w:t>
      </w:r>
      <w:r w:rsidR="00A97848" w:rsidRPr="00D57E0B">
        <w:tab/>
      </w:r>
      <w:r w:rsidR="00000471" w:rsidRPr="00D57E0B">
        <w:t xml:space="preserve">POLICY </w:t>
      </w:r>
      <w:bookmarkEnd w:id="532"/>
      <w:r w:rsidR="00007A7B">
        <w:t>RE</w:t>
      </w:r>
      <w:r w:rsidR="0093094F">
        <w:t>COMMENDATION</w:t>
      </w:r>
      <w:bookmarkEnd w:id="533"/>
    </w:p>
    <w:p w14:paraId="600748BD" w14:textId="66A78345" w:rsidR="006260D6" w:rsidRPr="001F160D" w:rsidRDefault="006260D6" w:rsidP="0066301C">
      <w:pPr>
        <w:spacing w:line="360" w:lineRule="auto"/>
        <w:jc w:val="both"/>
        <w:rPr>
          <w:rFonts w:ascii="Arial" w:hAnsi="Arial" w:cs="Arial"/>
        </w:rPr>
      </w:pPr>
      <w:bookmarkStart w:id="534" w:name="_Toc92229041"/>
      <w:r w:rsidRPr="001F160D">
        <w:rPr>
          <w:rFonts w:ascii="Arial" w:hAnsi="Arial" w:cs="Arial"/>
        </w:rPr>
        <w:t>This thesis is focused on answering the above three research questions and proposing policy recommendations.</w:t>
      </w:r>
    </w:p>
    <w:p w14:paraId="4069C9E0" w14:textId="77777777" w:rsidR="00FB087B" w:rsidRPr="007B56C0" w:rsidRDefault="00FB087B" w:rsidP="0066301C">
      <w:pPr>
        <w:autoSpaceDE w:val="0"/>
        <w:autoSpaceDN w:val="0"/>
        <w:adjustRightInd w:val="0"/>
        <w:spacing w:after="200" w:line="360" w:lineRule="auto"/>
        <w:contextualSpacing/>
        <w:rPr>
          <w:rFonts w:ascii="Arial" w:eastAsia="Times New Roman" w:hAnsi="Arial" w:cs="Arial"/>
          <w:b/>
          <w:bCs/>
          <w:u w:val="single"/>
          <w:lang w:eastAsia="en-GB"/>
        </w:rPr>
      </w:pPr>
      <w:r w:rsidRPr="007B56C0">
        <w:rPr>
          <w:rFonts w:ascii="Arial" w:eastAsia="Times New Roman" w:hAnsi="Arial" w:cs="Arial"/>
          <w:b/>
          <w:bCs/>
          <w:u w:val="single"/>
          <w:lang w:eastAsia="en-GB"/>
        </w:rPr>
        <w:t>Empirical Question 1</w:t>
      </w:r>
    </w:p>
    <w:p w14:paraId="35727A68" w14:textId="1880B137" w:rsidR="00FB087B" w:rsidRPr="00FB087B" w:rsidRDefault="00FB087B" w:rsidP="0066301C">
      <w:pPr>
        <w:spacing w:line="360" w:lineRule="auto"/>
        <w:jc w:val="both"/>
        <w:rPr>
          <w:rFonts w:ascii="Arial" w:hAnsi="Arial" w:cs="Arial"/>
        </w:rPr>
      </w:pPr>
      <w:r w:rsidRPr="00FB087B">
        <w:rPr>
          <w:rFonts w:ascii="Arial" w:hAnsi="Arial" w:cs="Arial"/>
        </w:rPr>
        <w:t xml:space="preserve">This question was focused at investigating the state of the CFA francs (i.e., if it is </w:t>
      </w:r>
      <w:r w:rsidR="00BE353C">
        <w:rPr>
          <w:rFonts w:ascii="Arial" w:hAnsi="Arial" w:cs="Arial"/>
        </w:rPr>
        <w:t>align</w:t>
      </w:r>
      <w:r w:rsidRPr="00FB087B">
        <w:rPr>
          <w:rFonts w:ascii="Arial" w:hAnsi="Arial" w:cs="Arial"/>
        </w:rPr>
        <w:t>ed or not) in the CEMAC zone nations (Cameroon, Central Africa Republic – CAR, Gabon, Equatorial Guinea, Chad, and Congo). Based on the classical works of Clark and MacDonald (1998), we used the Vector Autoregression (VAR) approach, which consists of the full-information maximum likelihood (FIML) method due to Johansen (1995).</w:t>
      </w:r>
      <w:r w:rsidRPr="00FB087B">
        <w:rPr>
          <w:rStyle w:val="FootnoteReference"/>
          <w:rFonts w:ascii="Arial" w:hAnsi="Arial" w:cs="Arial"/>
        </w:rPr>
        <w:footnoteReference w:id="171"/>
      </w:r>
      <w:r w:rsidRPr="00FB087B">
        <w:rPr>
          <w:rFonts w:ascii="Arial" w:hAnsi="Arial" w:cs="Arial"/>
        </w:rPr>
        <w:t xml:space="preserve"> This econometrics methodology corrects for autocorrelation and endogeneity parametrically using the vector error correction mechanism (VECM) specification. It was used to investigate both the long-term and short-term relationship between the REER and its fundamentals in four CEMAC nations (Cameroon, Central Africa Republic – CAR, Gabon, Equatorial Guinea). The </w:t>
      </w:r>
      <w:r w:rsidRPr="00FB087B">
        <w:rPr>
          <w:rFonts w:ascii="Arial" w:hAnsi="Arial" w:cs="Arial"/>
        </w:rPr>
        <w:lastRenderedPageBreak/>
        <w:t xml:space="preserve">fundamentals used are government expenditure (or government debts - </w:t>
      </w:r>
      <w:r w:rsidRPr="00FB087B">
        <w:rPr>
          <w:rFonts w:ascii="Arial" w:hAnsi="Arial" w:cs="Arial"/>
          <w:i/>
        </w:rPr>
        <w:t>GEXP</w:t>
      </w:r>
      <w:r w:rsidRPr="00FB087B">
        <w:rPr>
          <w:rFonts w:ascii="Arial" w:hAnsi="Arial" w:cs="Arial"/>
        </w:rPr>
        <w:t>), terms of trade (</w:t>
      </w:r>
      <w:r w:rsidRPr="00FB087B">
        <w:rPr>
          <w:rFonts w:ascii="Arial" w:hAnsi="Arial" w:cs="Arial"/>
          <w:i/>
        </w:rPr>
        <w:t>TOT</w:t>
      </w:r>
      <w:r w:rsidRPr="00FB087B">
        <w:rPr>
          <w:rFonts w:ascii="Arial" w:hAnsi="Arial" w:cs="Arial"/>
        </w:rPr>
        <w:t>), net foreign assets (</w:t>
      </w:r>
      <w:r w:rsidRPr="00FB087B">
        <w:rPr>
          <w:rFonts w:ascii="Arial" w:hAnsi="Arial" w:cs="Arial"/>
          <w:i/>
        </w:rPr>
        <w:t>NFA</w:t>
      </w:r>
      <w:r w:rsidRPr="00FB087B">
        <w:rPr>
          <w:rFonts w:ascii="Arial" w:hAnsi="Arial" w:cs="Arial"/>
        </w:rPr>
        <w:t xml:space="preserve">), trade policy (proxy by openness - </w:t>
      </w:r>
      <w:r w:rsidRPr="00FB087B">
        <w:rPr>
          <w:rFonts w:ascii="Arial" w:hAnsi="Arial" w:cs="Arial"/>
          <w:i/>
        </w:rPr>
        <w:t>OPEN</w:t>
      </w:r>
      <w:r w:rsidRPr="00FB087B">
        <w:rPr>
          <w:rFonts w:ascii="Arial" w:hAnsi="Arial" w:cs="Arial"/>
        </w:rPr>
        <w:t>), and productivity differentials (</w:t>
      </w:r>
      <w:r w:rsidRPr="00FB087B">
        <w:rPr>
          <w:rFonts w:ascii="Arial" w:hAnsi="Arial" w:cs="Arial"/>
          <w:i/>
        </w:rPr>
        <w:t>PROD</w:t>
      </w:r>
      <w:r w:rsidRPr="00FB087B">
        <w:rPr>
          <w:rFonts w:ascii="Arial" w:hAnsi="Arial" w:cs="Arial"/>
        </w:rPr>
        <w:t xml:space="preserve">). The Augmented Dickey-Fuller (ADF) and Phillips-Perron (PP) unit root tests were done, and the results showed that all the variables were non-stationary at level, and stationary at their first difference. The VECM result showed the presence of long-term relationship between REER and all its fundamentals in CAR and Equatorial Guinea models (but for OPEN, which had no long-term relationship). While there is no long-term relationship between REER and its fundamentals in the models of Cameroon and Gabon. The result of Cameroon, CAR, and Equatorial Guinea shows the presence of short-term relationship between some of the fundamentals and REER. While the result of Gabon shows that there are no short-term relations between the fundamentals and REER. </w:t>
      </w:r>
    </w:p>
    <w:p w14:paraId="03CEAE11" w14:textId="77777777" w:rsidR="00FB087B" w:rsidRPr="00FB087B" w:rsidRDefault="00FB087B" w:rsidP="0066301C">
      <w:pPr>
        <w:spacing w:line="360" w:lineRule="auto"/>
        <w:jc w:val="both"/>
        <w:rPr>
          <w:rFonts w:ascii="Arial" w:hAnsi="Arial" w:cs="Arial"/>
        </w:rPr>
      </w:pPr>
      <w:r w:rsidRPr="00FB087B">
        <w:rPr>
          <w:rFonts w:ascii="Arial" w:eastAsia="Times New Roman" w:hAnsi="Arial" w:cs="Arial"/>
          <w:lang w:val="en-US" w:eastAsia="en-GB"/>
        </w:rPr>
        <w:t>The</w:t>
      </w:r>
      <w:r w:rsidRPr="00FB087B">
        <w:rPr>
          <w:rFonts w:ascii="Arial" w:hAnsi="Arial" w:cs="Arial"/>
        </w:rPr>
        <w:t xml:space="preserve"> behavioural equilibrium exchange rate (BEER) approach by Clark and MacDonald (1998) was used to ascertain the state of the CFA francs in all the CEMAC nations. The results were within the period 1980 to 2018, showing that prior to the 12</w:t>
      </w:r>
      <w:r w:rsidRPr="00FB087B">
        <w:rPr>
          <w:rFonts w:ascii="Arial" w:hAnsi="Arial" w:cs="Arial"/>
          <w:vertAlign w:val="superscript"/>
        </w:rPr>
        <w:t>th</w:t>
      </w:r>
      <w:r w:rsidRPr="00FB087B">
        <w:rPr>
          <w:rFonts w:ascii="Arial" w:hAnsi="Arial" w:cs="Arial"/>
        </w:rPr>
        <w:t xml:space="preserve"> January 1994 devaluation, the currency experienced series of fluctuations between undervaluation and overvaluation. After the devaluation, the currency was undervalued, and thereafter, it has been within its equilibrium. Thus, as of the year 2018, the CFA franc was within the equilibrium (i.e., 1.85%, 3.73%, 4.59%, -0.70%, -4.45%, and 1.08% misalignment for Cameroon, CAR, Gabon, Equatorial Guinea, Chad, and Congo respectively)</w:t>
      </w:r>
      <w:r w:rsidRPr="00FB087B">
        <w:rPr>
          <w:rStyle w:val="FootnoteReference"/>
          <w:rFonts w:ascii="Arial" w:hAnsi="Arial" w:cs="Arial"/>
        </w:rPr>
        <w:footnoteReference w:id="172"/>
      </w:r>
      <w:r w:rsidRPr="00FB087B">
        <w:rPr>
          <w:rFonts w:ascii="Arial" w:hAnsi="Arial" w:cs="Arial"/>
        </w:rPr>
        <w:t>. It should be of no concern to the CEMAC nations’ monetary authorities since they are all within the 5% threshold. However, the results of Equatorial Guinea and Gabon revealed that prior to the devaluation, the currency was within equilibrium and did not warrant devaluation. Because CEMAC is a common currency zone, decisions made impact the entire Zone. The CFA franc could not be devalued (treated) on a country-by-country base.</w:t>
      </w:r>
    </w:p>
    <w:p w14:paraId="2AF88430" w14:textId="64FE0E2B" w:rsidR="00FB087B" w:rsidRDefault="00FB087B" w:rsidP="0066301C">
      <w:pPr>
        <w:autoSpaceDE w:val="0"/>
        <w:autoSpaceDN w:val="0"/>
        <w:adjustRightInd w:val="0"/>
        <w:spacing w:after="200" w:line="360" w:lineRule="auto"/>
        <w:contextualSpacing/>
        <w:rPr>
          <w:rFonts w:ascii="Arial" w:eastAsia="Times New Roman" w:hAnsi="Arial" w:cs="Arial"/>
          <w:lang w:eastAsia="en-GB"/>
        </w:rPr>
      </w:pPr>
      <w:r w:rsidRPr="007B56C0">
        <w:rPr>
          <w:rFonts w:ascii="Arial" w:eastAsia="Times New Roman" w:hAnsi="Arial" w:cs="Arial"/>
          <w:b/>
          <w:bCs/>
          <w:u w:val="single"/>
          <w:lang w:eastAsia="en-GB"/>
        </w:rPr>
        <w:t xml:space="preserve">Empirical Question </w:t>
      </w:r>
      <w:r>
        <w:rPr>
          <w:rFonts w:ascii="Arial" w:eastAsia="Times New Roman" w:hAnsi="Arial" w:cs="Arial"/>
          <w:b/>
          <w:bCs/>
          <w:u w:val="single"/>
          <w:lang w:eastAsia="en-GB"/>
        </w:rPr>
        <w:t>2</w:t>
      </w:r>
    </w:p>
    <w:p w14:paraId="1AF40041" w14:textId="2DB4D45D" w:rsidR="00FB087B" w:rsidRPr="002A51C4" w:rsidRDefault="00FB087B" w:rsidP="0066301C">
      <w:pPr>
        <w:spacing w:line="360" w:lineRule="auto"/>
        <w:jc w:val="both"/>
        <w:rPr>
          <w:rFonts w:ascii="Arial" w:hAnsi="Arial" w:cs="Arial"/>
          <w:lang w:val="en-US"/>
        </w:rPr>
      </w:pPr>
      <w:r w:rsidRPr="002A51C4">
        <w:rPr>
          <w:rFonts w:ascii="Arial" w:hAnsi="Arial" w:cs="Arial"/>
          <w:lang w:val="en-US"/>
        </w:rPr>
        <w:t>Th</w:t>
      </w:r>
      <w:r>
        <w:rPr>
          <w:rFonts w:ascii="Arial" w:hAnsi="Arial" w:cs="Arial"/>
          <w:lang w:val="en-US"/>
        </w:rPr>
        <w:t>e second question</w:t>
      </w:r>
      <w:r w:rsidRPr="002A51C4">
        <w:rPr>
          <w:rFonts w:ascii="Arial" w:hAnsi="Arial" w:cs="Arial"/>
          <w:lang w:val="en-US"/>
        </w:rPr>
        <w:t xml:space="preserve"> </w:t>
      </w:r>
      <w:r>
        <w:rPr>
          <w:rFonts w:ascii="Arial" w:hAnsi="Arial" w:cs="Arial"/>
          <w:lang w:val="en-US"/>
        </w:rPr>
        <w:t>analyzed</w:t>
      </w:r>
      <w:r w:rsidRPr="002A51C4">
        <w:rPr>
          <w:rFonts w:ascii="Arial" w:hAnsi="Arial" w:cs="Arial"/>
          <w:lang w:val="en-US"/>
        </w:rPr>
        <w:t xml:space="preserve"> the impact of CFA franc devaluation on CEMAC nations’ trade balance by looking for the presence of the </w:t>
      </w:r>
      <w:r w:rsidRPr="3823ABBA">
        <w:rPr>
          <w:rFonts w:ascii="Arial" w:hAnsi="Arial" w:cs="Arial"/>
          <w:i/>
          <w:iCs/>
          <w:lang w:val="en-US"/>
        </w:rPr>
        <w:t>J-</w:t>
      </w:r>
      <w:r w:rsidRPr="002A51C4">
        <w:rPr>
          <w:rFonts w:ascii="Arial" w:hAnsi="Arial" w:cs="Arial"/>
          <w:lang w:val="en-US"/>
        </w:rPr>
        <w:t>curve.</w:t>
      </w:r>
      <w:r w:rsidRPr="002A51C4">
        <w:rPr>
          <w:rStyle w:val="FootnoteReference"/>
          <w:rFonts w:ascii="Arial" w:hAnsi="Arial" w:cs="Arial"/>
          <w:lang w:val="en-US"/>
        </w:rPr>
        <w:footnoteReference w:id="173"/>
      </w:r>
      <w:r w:rsidRPr="002A51C4">
        <w:rPr>
          <w:rFonts w:ascii="Arial" w:hAnsi="Arial" w:cs="Arial"/>
          <w:lang w:val="en-US"/>
        </w:rPr>
        <w:t xml:space="preserve"> The variables used in the study include log trade balance (LNTB) being the dependent variable, and independent variables are; log real effective exchange rate (LNREER), log domestic income (LNDI) – proxy by </w:t>
      </w:r>
      <w:r w:rsidRPr="002A51C4">
        <w:rPr>
          <w:rFonts w:ascii="Arial" w:hAnsi="Arial" w:cs="Arial"/>
        </w:rPr>
        <w:t>each of the CEMAC nations’ gross domestic production (GDP), and log foreign income (LNFI) – proxy by the main trading partners’ GDP. The datasets are secondary,</w:t>
      </w:r>
      <w:r w:rsidRPr="3823ABBA">
        <w:rPr>
          <w:rFonts w:ascii="Arial" w:hAnsi="Arial" w:cs="Arial"/>
          <w:lang w:val="en-US"/>
        </w:rPr>
        <w:t xml:space="preserve"> within the period 1980 to 2018</w:t>
      </w:r>
      <w:r w:rsidRPr="002A51C4">
        <w:rPr>
          <w:rFonts w:ascii="Arial" w:hAnsi="Arial" w:cs="Arial"/>
        </w:rPr>
        <w:t xml:space="preserve">, </w:t>
      </w:r>
      <w:r w:rsidRPr="002A51C4">
        <w:rPr>
          <w:rFonts w:ascii="Arial" w:hAnsi="Arial" w:cs="Arial"/>
        </w:rPr>
        <w:lastRenderedPageBreak/>
        <w:t xml:space="preserve">and gathered from </w:t>
      </w:r>
      <w:r w:rsidRPr="3823ABBA">
        <w:rPr>
          <w:rFonts w:ascii="Arial" w:eastAsia="Arial" w:hAnsi="Arial" w:cs="Arial"/>
          <w:color w:val="000000" w:themeColor="text1"/>
        </w:rPr>
        <w:t>the World banks - World Development Indicators (WDI) database updated on 18/03/2020.</w:t>
      </w:r>
      <w:r w:rsidRPr="002A51C4">
        <w:rPr>
          <w:rFonts w:ascii="Arial" w:hAnsi="Arial" w:cs="Arial"/>
        </w:rPr>
        <w:t xml:space="preserve"> The study showed that stationarity of the variables was achieved at both level and first differencing, which implies the ARDL model was the appropriate estimation technique needed to estimate the coefficients of the variables.</w:t>
      </w:r>
      <w:r>
        <w:rPr>
          <w:rFonts w:ascii="Arial" w:hAnsi="Arial" w:cs="Arial"/>
        </w:rPr>
        <w:t xml:space="preserve"> </w:t>
      </w:r>
    </w:p>
    <w:p w14:paraId="1DBA76C9" w14:textId="4AB0CC5A" w:rsidR="00FB087B" w:rsidRPr="002A51C4" w:rsidRDefault="00FB087B" w:rsidP="0066301C">
      <w:pPr>
        <w:spacing w:after="200" w:line="360" w:lineRule="auto"/>
        <w:jc w:val="both"/>
        <w:rPr>
          <w:rFonts w:ascii="Arial" w:hAnsi="Arial" w:cs="Arial"/>
          <w:lang w:val="en-US"/>
        </w:rPr>
      </w:pPr>
      <w:r w:rsidRPr="002A51C4">
        <w:rPr>
          <w:rFonts w:ascii="Arial" w:hAnsi="Arial" w:cs="Arial"/>
          <w:lang w:val="en-US"/>
        </w:rPr>
        <w:t>T</w:t>
      </w:r>
      <w:r w:rsidRPr="002A51C4">
        <w:rPr>
          <w:rFonts w:ascii="Arial" w:hAnsi="Arial" w:cs="Arial"/>
        </w:rPr>
        <w:t xml:space="preserve">he aggregate bilateral trade data approach by Rose and Yellen (1989) was used to investigate the presence of the </w:t>
      </w:r>
      <w:r w:rsidRPr="3823ABBA">
        <w:rPr>
          <w:rFonts w:ascii="Arial" w:hAnsi="Arial" w:cs="Arial"/>
          <w:i/>
          <w:iCs/>
        </w:rPr>
        <w:t>J-</w:t>
      </w:r>
      <w:r w:rsidRPr="002A51C4">
        <w:rPr>
          <w:rFonts w:ascii="Arial" w:hAnsi="Arial" w:cs="Arial"/>
        </w:rPr>
        <w:t>curve in the trade balance relationship between each of the three CEMAC nations and their individual main trade partners. To have a</w:t>
      </w:r>
      <w:r w:rsidR="00241891">
        <w:rPr>
          <w:rFonts w:ascii="Arial" w:hAnsi="Arial" w:cs="Arial"/>
        </w:rPr>
        <w:t>n over</w:t>
      </w:r>
      <w:r w:rsidRPr="002A51C4">
        <w:rPr>
          <w:rFonts w:ascii="Arial" w:hAnsi="Arial" w:cs="Arial"/>
        </w:rPr>
        <w:t>view o</w:t>
      </w:r>
      <w:r>
        <w:rPr>
          <w:rFonts w:ascii="Arial" w:hAnsi="Arial" w:cs="Arial"/>
        </w:rPr>
        <w:t>f</w:t>
      </w:r>
      <w:r w:rsidRPr="002A51C4">
        <w:rPr>
          <w:rFonts w:ascii="Arial" w:hAnsi="Arial" w:cs="Arial"/>
        </w:rPr>
        <w:t xml:space="preserve"> the impact of CFA franc devaluation on the nation’s trade balance, we used the aggregate trade data approach by Magee (1973). The presence of the </w:t>
      </w:r>
      <w:r w:rsidRPr="3823ABBA">
        <w:rPr>
          <w:rFonts w:ascii="Arial" w:hAnsi="Arial" w:cs="Arial"/>
          <w:i/>
          <w:iCs/>
        </w:rPr>
        <w:t>J-</w:t>
      </w:r>
      <w:r w:rsidRPr="002A51C4">
        <w:rPr>
          <w:rFonts w:ascii="Arial" w:hAnsi="Arial" w:cs="Arial"/>
        </w:rPr>
        <w:t xml:space="preserve">curve means that the CFA franc devaluation leads to the </w:t>
      </w:r>
      <w:r w:rsidR="00241891">
        <w:rPr>
          <w:rFonts w:ascii="Arial" w:hAnsi="Arial" w:cs="Arial"/>
        </w:rPr>
        <w:t xml:space="preserve">deterioration of the TB in the short-run, while </w:t>
      </w:r>
      <w:r w:rsidRPr="002A51C4">
        <w:rPr>
          <w:rFonts w:ascii="Arial" w:hAnsi="Arial" w:cs="Arial"/>
        </w:rPr>
        <w:t>improv</w:t>
      </w:r>
      <w:r w:rsidR="00241891">
        <w:rPr>
          <w:rFonts w:ascii="Arial" w:hAnsi="Arial" w:cs="Arial"/>
        </w:rPr>
        <w:t xml:space="preserve">ing it </w:t>
      </w:r>
      <w:r w:rsidRPr="002A51C4">
        <w:rPr>
          <w:rFonts w:ascii="Arial" w:hAnsi="Arial" w:cs="Arial"/>
        </w:rPr>
        <w:t>in the long-run,</w:t>
      </w:r>
      <w:r w:rsidRPr="3823ABBA">
        <w:rPr>
          <w:rFonts w:ascii="Arial" w:hAnsi="Arial" w:cs="Arial"/>
          <w:i/>
          <w:iCs/>
        </w:rPr>
        <w:t xml:space="preserve"> ceteris paribus</w:t>
      </w:r>
      <w:r w:rsidRPr="002A51C4">
        <w:rPr>
          <w:rFonts w:ascii="Arial" w:hAnsi="Arial" w:cs="Arial"/>
        </w:rPr>
        <w:t xml:space="preserve">. The presence of the </w:t>
      </w:r>
      <w:r w:rsidRPr="3823ABBA">
        <w:rPr>
          <w:rFonts w:ascii="Arial" w:hAnsi="Arial" w:cs="Arial"/>
          <w:i/>
          <w:iCs/>
        </w:rPr>
        <w:t>J-</w:t>
      </w:r>
      <w:r w:rsidRPr="002A51C4">
        <w:rPr>
          <w:rFonts w:ascii="Arial" w:hAnsi="Arial" w:cs="Arial"/>
        </w:rPr>
        <w:t xml:space="preserve">curve is achieved when </w:t>
      </w:r>
      <w:r w:rsidR="00B4046E" w:rsidRPr="002A51C4">
        <w:rPr>
          <w:rFonts w:ascii="Arial" w:hAnsi="Arial" w:cs="Arial"/>
        </w:rPr>
        <w:t xml:space="preserve">the short run coefficient of LNREER is negative and statistically significant (i.e., the </w:t>
      </w:r>
      <w:r w:rsidR="00B4046E" w:rsidRPr="3823ABBA">
        <w:rPr>
          <w:rFonts w:ascii="Arial" w:hAnsi="Arial" w:cs="Arial"/>
          <w:i/>
          <w:iCs/>
        </w:rPr>
        <w:t>t-</w:t>
      </w:r>
      <w:r w:rsidR="00B4046E" w:rsidRPr="002A51C4">
        <w:rPr>
          <w:rFonts w:ascii="Arial" w:hAnsi="Arial" w:cs="Arial"/>
        </w:rPr>
        <w:t xml:space="preserve">statistics </w:t>
      </w:r>
      <w:r w:rsidR="00B4046E" w:rsidRPr="002A51C4">
        <w:rPr>
          <w:rFonts w:ascii="Arial" w:hAnsi="Arial" w:cs="Arial"/>
          <w:lang w:val="en-US"/>
        </w:rPr>
        <w:t>≥ |2|</w:t>
      </w:r>
      <w:r w:rsidR="00B4046E" w:rsidRPr="002A51C4">
        <w:rPr>
          <w:rFonts w:ascii="Arial" w:hAnsi="Arial" w:cs="Arial"/>
        </w:rPr>
        <w:t>), while</w:t>
      </w:r>
      <w:r w:rsidR="00B4046E">
        <w:rPr>
          <w:rFonts w:ascii="Arial" w:hAnsi="Arial" w:cs="Arial"/>
        </w:rPr>
        <w:t xml:space="preserve"> </w:t>
      </w:r>
      <w:r w:rsidRPr="002A51C4">
        <w:rPr>
          <w:rFonts w:ascii="Arial" w:hAnsi="Arial" w:cs="Arial"/>
        </w:rPr>
        <w:t>the</w:t>
      </w:r>
      <w:r w:rsidR="00B4046E" w:rsidRPr="002A51C4">
        <w:rPr>
          <w:rFonts w:ascii="Arial" w:hAnsi="Arial" w:cs="Arial"/>
        </w:rPr>
        <w:t xml:space="preserve"> long run </w:t>
      </w:r>
      <w:r w:rsidRPr="002A51C4">
        <w:rPr>
          <w:rFonts w:ascii="Arial" w:hAnsi="Arial" w:cs="Arial"/>
        </w:rPr>
        <w:t xml:space="preserve">coefficient of LNREER is positive and statistically significant (i.e., the </w:t>
      </w:r>
      <w:r w:rsidRPr="3823ABBA">
        <w:rPr>
          <w:rFonts w:ascii="Arial" w:hAnsi="Arial" w:cs="Arial"/>
          <w:i/>
          <w:iCs/>
        </w:rPr>
        <w:t>t-</w:t>
      </w:r>
      <w:r w:rsidRPr="002A51C4">
        <w:rPr>
          <w:rFonts w:ascii="Arial" w:hAnsi="Arial" w:cs="Arial"/>
        </w:rPr>
        <w:t xml:space="preserve">statistics </w:t>
      </w:r>
      <w:r w:rsidRPr="002A51C4">
        <w:rPr>
          <w:rFonts w:ascii="Arial" w:hAnsi="Arial" w:cs="Arial"/>
          <w:lang w:val="en-US"/>
        </w:rPr>
        <w:t>≥ |2|</w:t>
      </w:r>
      <w:r w:rsidRPr="002A51C4">
        <w:rPr>
          <w:rFonts w:ascii="Arial" w:hAnsi="Arial" w:cs="Arial"/>
        </w:rPr>
        <w:t xml:space="preserve">). </w:t>
      </w:r>
    </w:p>
    <w:p w14:paraId="156BC734" w14:textId="7300CCF7" w:rsidR="00FB087B" w:rsidRDefault="00FB087B" w:rsidP="0066301C">
      <w:pPr>
        <w:spacing w:line="360" w:lineRule="auto"/>
        <w:jc w:val="both"/>
        <w:rPr>
          <w:rFonts w:ascii="Arial" w:hAnsi="Arial" w:cs="Arial"/>
        </w:rPr>
      </w:pPr>
      <w:r w:rsidRPr="002A51C4">
        <w:rPr>
          <w:rFonts w:ascii="Arial" w:hAnsi="Arial" w:cs="Arial"/>
          <w:lang w:val="en-US"/>
        </w:rPr>
        <w:t>The results of the</w:t>
      </w:r>
      <w:r w:rsidRPr="002A51C4">
        <w:rPr>
          <w:rFonts w:ascii="Arial" w:hAnsi="Arial" w:cs="Arial"/>
        </w:rPr>
        <w:t xml:space="preserve"> aggregate bilateral trade data approach show the presence of a </w:t>
      </w:r>
      <w:r w:rsidRPr="002A51C4">
        <w:rPr>
          <w:rFonts w:ascii="Arial" w:hAnsi="Arial" w:cs="Arial"/>
          <w:i/>
        </w:rPr>
        <w:t>J-</w:t>
      </w:r>
      <w:r w:rsidRPr="002A51C4">
        <w:rPr>
          <w:rFonts w:ascii="Arial" w:hAnsi="Arial" w:cs="Arial"/>
        </w:rPr>
        <w:t xml:space="preserve">curve in the TB between Cameroon and all </w:t>
      </w:r>
      <w:r w:rsidR="00B4046E">
        <w:rPr>
          <w:rFonts w:ascii="Arial" w:hAnsi="Arial" w:cs="Arial"/>
        </w:rPr>
        <w:t>her</w:t>
      </w:r>
      <w:r w:rsidRPr="002A51C4">
        <w:rPr>
          <w:rFonts w:ascii="Arial" w:hAnsi="Arial" w:cs="Arial"/>
        </w:rPr>
        <w:t xml:space="preserve"> five main trade partners. While the results of both CAR and Gabon show the absence of </w:t>
      </w:r>
      <w:r w:rsidRPr="002A51C4">
        <w:rPr>
          <w:rFonts w:ascii="Arial" w:hAnsi="Arial" w:cs="Arial"/>
          <w:i/>
          <w:iCs/>
        </w:rPr>
        <w:t>J-</w:t>
      </w:r>
      <w:r w:rsidRPr="002A51C4">
        <w:rPr>
          <w:rFonts w:ascii="Arial" w:hAnsi="Arial" w:cs="Arial"/>
        </w:rPr>
        <w:t xml:space="preserve">curve in the TB between them </w:t>
      </w:r>
      <w:r>
        <w:rPr>
          <w:rFonts w:ascii="Arial" w:hAnsi="Arial" w:cs="Arial"/>
        </w:rPr>
        <w:t>and</w:t>
      </w:r>
      <w:r w:rsidRPr="002A51C4">
        <w:rPr>
          <w:rFonts w:ascii="Arial" w:hAnsi="Arial" w:cs="Arial"/>
        </w:rPr>
        <w:t xml:space="preserve"> all their trade partners. From a holistic perspective, the aggregate trade date approach shows the presence of a </w:t>
      </w:r>
      <w:r w:rsidRPr="002A51C4">
        <w:rPr>
          <w:rFonts w:ascii="Arial" w:hAnsi="Arial" w:cs="Arial"/>
          <w:i/>
        </w:rPr>
        <w:t>J-</w:t>
      </w:r>
      <w:r w:rsidRPr="002A51C4">
        <w:rPr>
          <w:rFonts w:ascii="Arial" w:hAnsi="Arial" w:cs="Arial"/>
        </w:rPr>
        <w:t xml:space="preserve">curve in the TB between Cameroon and all her main trade partners combined, while there is no </w:t>
      </w:r>
      <w:r w:rsidRPr="002A51C4">
        <w:rPr>
          <w:rFonts w:ascii="Arial" w:hAnsi="Arial" w:cs="Arial"/>
          <w:i/>
          <w:iCs/>
        </w:rPr>
        <w:t>J-</w:t>
      </w:r>
      <w:r w:rsidRPr="002A51C4">
        <w:rPr>
          <w:rFonts w:ascii="Arial" w:hAnsi="Arial" w:cs="Arial"/>
        </w:rPr>
        <w:t>curve in both CAR and Gabon with their major trade partners combined. This research shows that only Cameroon could benefit from the CFA franc devaluation</w:t>
      </w:r>
      <w:r w:rsidR="00B4046E">
        <w:rPr>
          <w:rFonts w:ascii="Arial" w:hAnsi="Arial" w:cs="Arial"/>
        </w:rPr>
        <w:t xml:space="preserve"> at improving it TB</w:t>
      </w:r>
      <w:r w:rsidRPr="002A51C4">
        <w:rPr>
          <w:rFonts w:ascii="Arial" w:hAnsi="Arial" w:cs="Arial"/>
        </w:rPr>
        <w:t>. Thus, the government</w:t>
      </w:r>
      <w:r>
        <w:rPr>
          <w:rFonts w:ascii="Arial" w:hAnsi="Arial" w:cs="Arial"/>
        </w:rPr>
        <w:t>s</w:t>
      </w:r>
      <w:r w:rsidRPr="002A51C4">
        <w:rPr>
          <w:rFonts w:ascii="Arial" w:hAnsi="Arial" w:cs="Arial"/>
        </w:rPr>
        <w:t xml:space="preserve"> of both CAR and Gabon should use different policies to improve their </w:t>
      </w:r>
      <w:r w:rsidR="00B4046E">
        <w:rPr>
          <w:rFonts w:ascii="Arial" w:hAnsi="Arial" w:cs="Arial"/>
        </w:rPr>
        <w:t xml:space="preserve">TB </w:t>
      </w:r>
      <w:r w:rsidRPr="002A51C4">
        <w:rPr>
          <w:rFonts w:ascii="Arial" w:hAnsi="Arial" w:cs="Arial"/>
        </w:rPr>
        <w:t>rather than using currency devaluation.</w:t>
      </w:r>
      <w:r>
        <w:rPr>
          <w:rFonts w:ascii="Arial" w:hAnsi="Arial" w:cs="Arial"/>
        </w:rPr>
        <w:t xml:space="preserve"> </w:t>
      </w:r>
    </w:p>
    <w:p w14:paraId="62C5C29F" w14:textId="5D603FD0" w:rsidR="00FB087B" w:rsidRPr="00854173" w:rsidRDefault="00FB087B" w:rsidP="0066301C">
      <w:pPr>
        <w:spacing w:line="360" w:lineRule="auto"/>
        <w:jc w:val="both"/>
        <w:rPr>
          <w:rFonts w:ascii="Arial" w:hAnsi="Arial" w:cs="Arial"/>
        </w:rPr>
      </w:pPr>
      <w:r w:rsidRPr="00854173">
        <w:rPr>
          <w:rFonts w:ascii="Arial" w:hAnsi="Arial" w:cs="Arial"/>
        </w:rPr>
        <w:t>The objectives of the CEMAC region are primarily to promote economic integration, stability, and development among its member nations. Among others, some of CEMAC’s main objectives are to foster regional cooperation,</w:t>
      </w:r>
      <w:r w:rsidRPr="00854173">
        <w:rPr>
          <w:rStyle w:val="FootnoteReference"/>
          <w:rFonts w:ascii="Arial" w:hAnsi="Arial" w:cs="Arial"/>
        </w:rPr>
        <w:footnoteReference w:id="174"/>
      </w:r>
      <w:r w:rsidRPr="00854173">
        <w:rPr>
          <w:rFonts w:ascii="Arial" w:hAnsi="Arial" w:cs="Arial"/>
        </w:rPr>
        <w:t xml:space="preserve"> and economic integration.</w:t>
      </w:r>
      <w:r w:rsidRPr="00854173">
        <w:rPr>
          <w:rStyle w:val="FootnoteReference"/>
          <w:rFonts w:ascii="Arial" w:hAnsi="Arial" w:cs="Arial"/>
        </w:rPr>
        <w:footnoteReference w:id="175"/>
      </w:r>
      <w:r w:rsidRPr="00854173">
        <w:rPr>
          <w:rFonts w:ascii="Arial" w:hAnsi="Arial" w:cs="Arial"/>
        </w:rPr>
        <w:t xml:space="preserve">  However, we saw that, but for CAR, which had Cameroon as one of its main trading partners, there was no main trading collaboration among the other CEMAC nations. This means that there is a need for an improvement of regional cooperation among CEMAC nations. </w:t>
      </w:r>
      <w:r w:rsidR="00B4046E" w:rsidRPr="00854173">
        <w:rPr>
          <w:rFonts w:ascii="Arial" w:hAnsi="Arial" w:cs="Arial"/>
        </w:rPr>
        <w:t>Despite</w:t>
      </w:r>
      <w:r w:rsidRPr="00854173">
        <w:rPr>
          <w:rFonts w:ascii="Arial" w:hAnsi="Arial" w:cs="Arial"/>
        </w:rPr>
        <w:t xml:space="preserve"> the supposed free movement of people, goods, services, and capital within the region, yet trade within the </w:t>
      </w:r>
      <w:r w:rsidRPr="00854173">
        <w:rPr>
          <w:rFonts w:ascii="Arial" w:hAnsi="Arial" w:cs="Arial"/>
        </w:rPr>
        <w:lastRenderedPageBreak/>
        <w:t xml:space="preserve">region is not maximised. Thus, CEMAC policymakers need to enforce and promote economic integration and regional cooperation. </w:t>
      </w:r>
    </w:p>
    <w:p w14:paraId="57C83875" w14:textId="12F841EF" w:rsidR="00FB087B" w:rsidRPr="00854173" w:rsidRDefault="00FB087B" w:rsidP="0066301C">
      <w:pPr>
        <w:spacing w:line="360" w:lineRule="auto"/>
        <w:jc w:val="both"/>
        <w:rPr>
          <w:rFonts w:ascii="Arial" w:hAnsi="Arial" w:cs="Arial"/>
          <w:lang w:val="en-US"/>
        </w:rPr>
      </w:pPr>
      <w:r w:rsidRPr="00854173">
        <w:rPr>
          <w:rFonts w:ascii="Arial" w:hAnsi="Arial" w:cs="Arial"/>
          <w:lang w:val="en-US"/>
        </w:rPr>
        <w:t xml:space="preserve">Improving the </w:t>
      </w:r>
      <w:r w:rsidR="00B4046E">
        <w:rPr>
          <w:rFonts w:ascii="Arial" w:hAnsi="Arial" w:cs="Arial"/>
          <w:lang w:val="en-US"/>
        </w:rPr>
        <w:t>TB</w:t>
      </w:r>
      <w:r w:rsidRPr="00854173">
        <w:rPr>
          <w:rFonts w:ascii="Arial" w:hAnsi="Arial" w:cs="Arial"/>
          <w:lang w:val="en-US"/>
        </w:rPr>
        <w:t xml:space="preserve"> in the CEMAC region demands a comprehensive approach which addresses both the demand and supply sides of trade, which entails the following recommendations: encourage and support the diversification of export sectors beyond traditional commodities. This could be done by promoting value-added industries like agro-processing, manufacturing, and services. These could generate higher export revenues and reduce the dependence on volatile commodities prices (i.e., they should diversify the economy by reducing their dependence on oil and other primary commodities to sectors like agriculture, manufacturing, services, and technology). This could be done by promoting entrepreneurship, encouraging investments, and supporting innovation in these sectors to create sources of employment and growth.</w:t>
      </w:r>
    </w:p>
    <w:p w14:paraId="372AD385" w14:textId="77777777" w:rsidR="00FB087B" w:rsidRDefault="00FB087B" w:rsidP="0066301C">
      <w:pPr>
        <w:spacing w:line="360" w:lineRule="auto"/>
        <w:jc w:val="both"/>
        <w:rPr>
          <w:rFonts w:ascii="Arial" w:hAnsi="Arial" w:cs="Arial"/>
          <w:color w:val="FF0000"/>
          <w:highlight w:val="yellow"/>
          <w:lang w:val="en-US"/>
        </w:rPr>
      </w:pPr>
      <w:r w:rsidRPr="00854173">
        <w:rPr>
          <w:rFonts w:ascii="Arial" w:hAnsi="Arial" w:cs="Arial"/>
          <w:lang w:val="en-US"/>
        </w:rPr>
        <w:t xml:space="preserve">Policymakers should facilitate trade by simplifying trade procedures and shrinking administrative burdens to facilitate cross-border trade. This could be achieved by harmonizing trade regulations with neighboring nations and eliminating non-tariff barriers to ease regional and international trade </w:t>
      </w:r>
      <w:r w:rsidRPr="00FA412C">
        <w:rPr>
          <w:rFonts w:ascii="Arial" w:hAnsi="Arial" w:cs="Arial"/>
          <w:lang w:val="en-US"/>
        </w:rPr>
        <w:t xml:space="preserve">and cost-effectiveness. This could improve trade within the region. </w:t>
      </w:r>
    </w:p>
    <w:p w14:paraId="3467A34B" w14:textId="213EF8ED" w:rsidR="00F838EC" w:rsidRPr="00C111F1" w:rsidRDefault="00FB087B" w:rsidP="0066301C">
      <w:pPr>
        <w:spacing w:line="360" w:lineRule="auto"/>
        <w:jc w:val="both"/>
        <w:rPr>
          <w:rFonts w:ascii="Arial" w:hAnsi="Arial" w:cs="Arial"/>
          <w:lang w:val="en-US"/>
        </w:rPr>
      </w:pPr>
      <w:r w:rsidRPr="00854173">
        <w:rPr>
          <w:rFonts w:ascii="Arial" w:hAnsi="Arial" w:cs="Arial"/>
          <w:lang w:val="en-US"/>
        </w:rPr>
        <w:t>Also, policymakers could enhance the development of infrastructure via investment in infrastructure projects, which include transportation, telecommunication networks, and energy. This robust infrastructure system helps facilitate trade, attracts private sector investments, reduces transaction costs, and stimulates economic activities across the CEMAC region. Finally, policymakers should create favorable business climates that will address issues like bureaucratic red tape, corruption, and the enforcement of intellectual property rights. These could create a conducive business environment for trade and investment.</w:t>
      </w:r>
      <w:r>
        <w:rPr>
          <w:rFonts w:ascii="Arial" w:hAnsi="Arial" w:cs="Arial"/>
          <w:lang w:val="en-US"/>
        </w:rPr>
        <w:t xml:space="preserve"> </w:t>
      </w:r>
      <w:r w:rsidRPr="008A681D">
        <w:rPr>
          <w:rFonts w:ascii="Arial" w:hAnsi="Arial" w:cs="Arial"/>
          <w:lang w:val="en-US"/>
        </w:rPr>
        <w:t xml:space="preserve">As seen in section 4.6.5 and 4.6.6 (table 4.5 and figure 4.3a), only CAR has Cameroon as a main trade partner, yet there is no presence of </w:t>
      </w:r>
      <w:r w:rsidRPr="008A681D">
        <w:rPr>
          <w:rFonts w:ascii="Arial" w:hAnsi="Arial" w:cs="Arial"/>
          <w:i/>
          <w:iCs/>
          <w:lang w:val="en-US"/>
        </w:rPr>
        <w:t>J-</w:t>
      </w:r>
      <w:r w:rsidRPr="008A681D">
        <w:rPr>
          <w:rFonts w:ascii="Arial" w:hAnsi="Arial" w:cs="Arial"/>
          <w:lang w:val="en-US"/>
        </w:rPr>
        <w:t xml:space="preserve">curve in the TB. This means that there is need to improve the trade relationship within the CEMAC region, and an improvement of the </w:t>
      </w:r>
      <w:r w:rsidRPr="008A681D">
        <w:rPr>
          <w:rFonts w:ascii="Arial" w:hAnsi="Arial" w:cs="Arial"/>
        </w:rPr>
        <w:t>business climate</w:t>
      </w:r>
      <w:r w:rsidRPr="008A681D">
        <w:rPr>
          <w:rFonts w:ascii="Arial" w:hAnsi="Arial" w:cs="Arial"/>
          <w:lang w:val="en-US"/>
        </w:rPr>
        <w:t xml:space="preserve">. </w:t>
      </w:r>
      <w:r>
        <w:rPr>
          <w:rFonts w:ascii="Arial" w:hAnsi="Arial" w:cs="Arial"/>
        </w:rPr>
        <w:t>S</w:t>
      </w:r>
      <w:r w:rsidRPr="00FE43E1">
        <w:rPr>
          <w:rFonts w:ascii="Arial" w:hAnsi="Arial" w:cs="Arial"/>
        </w:rPr>
        <w:t xml:space="preserve">tatistics indicate that CEMAC region does not have an attractive business environment/ climate. According to the World Bank’s Doing Business Report (2020), CEMAC nations' business environment is far from being attractive, as can be </w:t>
      </w:r>
      <w:r w:rsidRPr="00DB2D41">
        <w:rPr>
          <w:rFonts w:ascii="Arial" w:hAnsi="Arial" w:cs="Arial"/>
        </w:rPr>
        <w:t>seen in Table 5.7 in the appendix</w:t>
      </w:r>
      <w:r w:rsidR="00DB2D41" w:rsidRPr="00DB2D41">
        <w:rPr>
          <w:rFonts w:ascii="Arial" w:hAnsi="Arial" w:cs="Arial"/>
        </w:rPr>
        <w:t xml:space="preserve"> C</w:t>
      </w:r>
      <w:r w:rsidRPr="00DB2D41">
        <w:rPr>
          <w:rFonts w:ascii="Arial" w:hAnsi="Arial" w:cs="Arial"/>
        </w:rPr>
        <w:t>.</w:t>
      </w:r>
      <w:r w:rsidRPr="00FE43E1">
        <w:rPr>
          <w:rFonts w:ascii="Arial" w:hAnsi="Arial" w:cs="Arial"/>
        </w:rPr>
        <w:t xml:space="preserve"> None of the indicators used reveal a good or positive condition for any of the six CEMAC nations, implying that their business climate is unconducive</w:t>
      </w:r>
      <w:r w:rsidRPr="00FA412C">
        <w:rPr>
          <w:rFonts w:ascii="Arial" w:hAnsi="Arial" w:cs="Arial"/>
        </w:rPr>
        <w:t>.</w:t>
      </w:r>
      <w:r w:rsidRPr="00FA412C">
        <w:rPr>
          <w:rFonts w:ascii="Arial" w:hAnsi="Arial" w:cs="Arial"/>
          <w:color w:val="FF0000"/>
          <w:lang w:val="en-US"/>
        </w:rPr>
        <w:t xml:space="preserve"> </w:t>
      </w:r>
      <w:r w:rsidRPr="00854173">
        <w:rPr>
          <w:rFonts w:ascii="Arial" w:hAnsi="Arial" w:cs="Arial"/>
          <w:lang w:val="en-US"/>
        </w:rPr>
        <w:t>Thus, it is imperative for CEMAC nations to collaborate and implement the above recommendations in a synchronized way, taking into consideration each nation’s specific needs and circumstances to attain a sustainable improvement in their trade balance.</w:t>
      </w:r>
    </w:p>
    <w:p w14:paraId="2E06CF3B" w14:textId="7BDBA576" w:rsidR="00FB087B" w:rsidRDefault="00FB087B" w:rsidP="0066301C">
      <w:pPr>
        <w:autoSpaceDE w:val="0"/>
        <w:autoSpaceDN w:val="0"/>
        <w:adjustRightInd w:val="0"/>
        <w:spacing w:after="200" w:line="360" w:lineRule="auto"/>
        <w:contextualSpacing/>
        <w:rPr>
          <w:rFonts w:ascii="Arial" w:eastAsia="Times New Roman" w:hAnsi="Arial" w:cs="Arial"/>
          <w:lang w:eastAsia="en-GB"/>
        </w:rPr>
      </w:pPr>
      <w:r w:rsidRPr="007B56C0">
        <w:rPr>
          <w:rFonts w:ascii="Arial" w:eastAsia="Times New Roman" w:hAnsi="Arial" w:cs="Arial"/>
          <w:b/>
          <w:bCs/>
          <w:u w:val="single"/>
          <w:lang w:eastAsia="en-GB"/>
        </w:rPr>
        <w:t xml:space="preserve">Empirical Question </w:t>
      </w:r>
      <w:r>
        <w:rPr>
          <w:rFonts w:ascii="Arial" w:eastAsia="Times New Roman" w:hAnsi="Arial" w:cs="Arial"/>
          <w:b/>
          <w:bCs/>
          <w:u w:val="single"/>
          <w:lang w:eastAsia="en-GB"/>
        </w:rPr>
        <w:t>3</w:t>
      </w:r>
    </w:p>
    <w:p w14:paraId="5648E373" w14:textId="498A1E22" w:rsidR="00FB087B" w:rsidRPr="00992489" w:rsidRDefault="00FB087B" w:rsidP="0066301C">
      <w:pPr>
        <w:spacing w:line="360" w:lineRule="auto"/>
        <w:jc w:val="both"/>
        <w:rPr>
          <w:rFonts w:ascii="Arial" w:hAnsi="Arial" w:cs="Arial"/>
        </w:rPr>
      </w:pPr>
      <w:r>
        <w:rPr>
          <w:rFonts w:ascii="Arial" w:hAnsi="Arial" w:cs="Arial"/>
          <w:lang w:val="en-US"/>
        </w:rPr>
        <w:lastRenderedPageBreak/>
        <w:t>In this</w:t>
      </w:r>
      <w:r w:rsidRPr="002A51C4">
        <w:rPr>
          <w:rFonts w:ascii="Arial" w:hAnsi="Arial" w:cs="Arial"/>
          <w:lang w:val="en-US"/>
        </w:rPr>
        <w:t xml:space="preserve"> </w:t>
      </w:r>
      <w:r>
        <w:rPr>
          <w:rFonts w:ascii="Arial" w:hAnsi="Arial" w:cs="Arial"/>
          <w:lang w:val="en-US"/>
        </w:rPr>
        <w:t>third question,</w:t>
      </w:r>
      <w:r w:rsidRPr="00992489">
        <w:rPr>
          <w:rFonts w:ascii="Arial" w:hAnsi="Arial" w:cs="Arial"/>
        </w:rPr>
        <w:t xml:space="preserve"> we </w:t>
      </w:r>
      <w:r>
        <w:rPr>
          <w:rFonts w:ascii="Arial" w:hAnsi="Arial" w:cs="Arial"/>
        </w:rPr>
        <w:t>examined</w:t>
      </w:r>
      <w:r w:rsidRPr="00992489">
        <w:rPr>
          <w:rFonts w:ascii="Arial" w:hAnsi="Arial" w:cs="Arial"/>
        </w:rPr>
        <w:t xml:space="preserve"> the relationship between REER and economic growth</w:t>
      </w:r>
      <w:r>
        <w:rPr>
          <w:rFonts w:ascii="Arial" w:hAnsi="Arial" w:cs="Arial"/>
        </w:rPr>
        <w:t xml:space="preserve"> in CEMAC zone</w:t>
      </w:r>
      <w:r w:rsidRPr="00992489">
        <w:rPr>
          <w:rFonts w:ascii="Arial" w:hAnsi="Arial" w:cs="Arial"/>
        </w:rPr>
        <w:t>. Because one of the goals of the CFA franc devaluation was to improve the Zones’ economic growth, we investigated the impact of CFA franc devaluation on CEMAC Zone’s economic growth.</w:t>
      </w:r>
      <w:r>
        <w:rPr>
          <w:rStyle w:val="FootnoteReference"/>
          <w:rFonts w:ascii="Arial" w:hAnsi="Arial" w:cs="Arial"/>
        </w:rPr>
        <w:footnoteReference w:id="176"/>
      </w:r>
      <w:r w:rsidRPr="00992489">
        <w:rPr>
          <w:rFonts w:ascii="Arial" w:hAnsi="Arial" w:cs="Arial"/>
        </w:rPr>
        <w:t> The variables used in the study include gross domestic product (GDP) – proxy by GDP per capita being the dependent variable.</w:t>
      </w:r>
      <w:r>
        <w:rPr>
          <w:rStyle w:val="FootnoteReference"/>
          <w:rFonts w:ascii="Arial" w:hAnsi="Arial" w:cs="Arial"/>
        </w:rPr>
        <w:footnoteReference w:id="177"/>
      </w:r>
      <w:r w:rsidRPr="00992489">
        <w:rPr>
          <w:rFonts w:ascii="Arial" w:hAnsi="Arial" w:cs="Arial"/>
        </w:rPr>
        <w:t xml:space="preserve"> The independent variables are real effective exchange rate (REER), government consumption (GOVCON), trade openness (OPEN), foreign direct investment (FDI), and terms of trade (TOT). The datasets are secondary, within the period 1980 to 2018, and gathered from the World banks - World Development Indicators (WDI) database updated on 18/03/2020. The study showed that stationarity of the variables was achieved at both level and first differencing, which implies the </w:t>
      </w:r>
      <w:r>
        <w:rPr>
          <w:rFonts w:ascii="Arial" w:hAnsi="Arial" w:cs="Arial"/>
        </w:rPr>
        <w:t>autoregressive</w:t>
      </w:r>
      <w:r w:rsidRPr="00220C0F">
        <w:rPr>
          <w:rFonts w:ascii="Arial" w:hAnsi="Arial" w:cs="Arial"/>
          <w:lang w:eastAsia="en-GB"/>
        </w:rPr>
        <w:t xml:space="preserve"> distributed lag (ARDL) </w:t>
      </w:r>
      <w:r w:rsidRPr="00992489">
        <w:rPr>
          <w:rFonts w:ascii="Arial" w:hAnsi="Arial" w:cs="Arial"/>
        </w:rPr>
        <w:t>model was the appropriate estimation technique needed to estimate the coefficients of the variables. Because we were interested on the impact of REER on the entire CEMAC region’s economic growth, the Pooled Mean Group (PMG) panel ARDL approach was used, which assumes that all long-run coefficients are the same across groups, while the short-run coefficients could differ across groups. </w:t>
      </w:r>
    </w:p>
    <w:p w14:paraId="454A9007" w14:textId="77777777" w:rsidR="00FB087B" w:rsidRDefault="00FB087B" w:rsidP="0066301C">
      <w:pPr>
        <w:spacing w:line="360" w:lineRule="auto"/>
        <w:jc w:val="both"/>
        <w:rPr>
          <w:rFonts w:ascii="Arial" w:hAnsi="Arial" w:cs="Arial"/>
        </w:rPr>
      </w:pPr>
      <w:r w:rsidRPr="00992489">
        <w:rPr>
          <w:rFonts w:ascii="Arial" w:hAnsi="Arial" w:cs="Arial"/>
        </w:rPr>
        <w:t>The results showed that in the long-run, only OPEN has a positive impact on economic growth. On the other hand, GOVCON has an inverse (negative) relationship with economic growth (i.e., it causes a drop in economic growth). Meanwhile, REER, FDI, and TOT do not impact economic growth (i.e., there is no long-run relationship between these independent variables and economic growth). The result shows that in the short-run, REER, OPEN, and GOVCON have a negative relationship with economic growth. Noteworthy is that REER has a negative relationship with economic growth in the short-term, but there is no relationship in the long-run. This means that the REER devaluation contributes to economic growth in the short-run but has no long-run relationship.</w:t>
      </w:r>
      <w:r>
        <w:rPr>
          <w:rStyle w:val="FootnoteReference"/>
          <w:rFonts w:ascii="Arial" w:hAnsi="Arial" w:cs="Arial"/>
        </w:rPr>
        <w:footnoteReference w:id="178"/>
      </w:r>
      <w:r w:rsidRPr="00992489">
        <w:rPr>
          <w:rFonts w:ascii="Arial" w:hAnsi="Arial" w:cs="Arial"/>
        </w:rPr>
        <w:t> OPEN has a negative relationship with economic growth in the short-run and a positive relationship in the long-run. While GOVCON has a negative relationship with economic growth in both the short-term and long-term. Both FDI and TOT do not have any relationship with economic growth in the short-run and long-run. Thus, it is recommended that the region uses other tools to improve the region’s economic growth, as recommended within the chapter.</w:t>
      </w:r>
    </w:p>
    <w:p w14:paraId="58842539" w14:textId="77777777" w:rsidR="00FB087B" w:rsidRPr="00B516F6" w:rsidRDefault="00FB087B" w:rsidP="0066301C">
      <w:pPr>
        <w:spacing w:line="360" w:lineRule="auto"/>
        <w:jc w:val="both"/>
        <w:rPr>
          <w:rFonts w:ascii="Arial" w:hAnsi="Arial" w:cs="Arial"/>
        </w:rPr>
      </w:pPr>
      <w:r w:rsidRPr="00B516F6">
        <w:rPr>
          <w:rFonts w:ascii="Arial" w:hAnsi="Arial" w:cs="Arial"/>
        </w:rPr>
        <w:lastRenderedPageBreak/>
        <w:t>Debates on the valuation of the CFA franc have intensified, and there was speculation of a possible devaluation of the CFA franc during the CEMAC Head of States Summit held in Ndjamena–Chad, on 25</w:t>
      </w:r>
      <w:r w:rsidRPr="00854A0F">
        <w:rPr>
          <w:rFonts w:ascii="Arial" w:hAnsi="Arial" w:cs="Arial"/>
          <w:vertAlign w:val="superscript"/>
        </w:rPr>
        <w:t>th</w:t>
      </w:r>
      <w:r>
        <w:rPr>
          <w:rFonts w:ascii="Arial" w:hAnsi="Arial" w:cs="Arial"/>
        </w:rPr>
        <w:t xml:space="preserve"> </w:t>
      </w:r>
      <w:r w:rsidRPr="00B516F6">
        <w:rPr>
          <w:rFonts w:ascii="Arial" w:hAnsi="Arial" w:cs="Arial"/>
        </w:rPr>
        <w:t>October 2018</w:t>
      </w:r>
      <w:r>
        <w:rPr>
          <w:rFonts w:ascii="Arial" w:hAnsi="Arial" w:cs="Arial"/>
        </w:rPr>
        <w:t xml:space="preserve"> (Kapital Afrik, 2018)</w:t>
      </w:r>
      <w:r w:rsidRPr="00B516F6">
        <w:rPr>
          <w:rFonts w:ascii="Arial" w:hAnsi="Arial" w:cs="Arial"/>
        </w:rPr>
        <w:t>. This was due to the poor macroeconomic fundamentals in the region’s balance of payments.</w:t>
      </w:r>
      <w:r>
        <w:rPr>
          <w:rStyle w:val="FootnoteReference"/>
          <w:rFonts w:ascii="Arial" w:hAnsi="Arial" w:cs="Arial"/>
        </w:rPr>
        <w:footnoteReference w:id="179"/>
      </w:r>
      <w:r w:rsidRPr="00B516F6">
        <w:rPr>
          <w:rFonts w:ascii="Arial" w:hAnsi="Arial" w:cs="Arial"/>
        </w:rPr>
        <w:t> It is no longer news that political constraints have contributed to the poor economic performance of the CEMAC region. As earlier mentioned, most of the nations in the region have witnessed or are witnessing some political crises.</w:t>
      </w:r>
      <w:r>
        <w:rPr>
          <w:rStyle w:val="FootnoteReference"/>
          <w:rFonts w:ascii="Arial" w:hAnsi="Arial" w:cs="Arial"/>
        </w:rPr>
        <w:footnoteReference w:id="180"/>
      </w:r>
      <w:r w:rsidRPr="00B516F6">
        <w:rPr>
          <w:rFonts w:ascii="Arial" w:hAnsi="Arial" w:cs="Arial"/>
        </w:rPr>
        <w:t> Political instability has a negative impact on a nation’s economic growth because firms cannot work at their full capacity, thereby impeding economic growth. Having politically unstable neighbours influences a nation’s trade pattern, investment, and mobility of factors of production, thereby leading to lower economic development. So, policies geared to enhance economic growth at the individual regional level could be stalled if the security issues are not addressed. Thus, one of the ways to address the security issues is for the nations to have an inclusive dialogue with the different stakeholders that contribute to the crises in the nations concerned. </w:t>
      </w:r>
    </w:p>
    <w:p w14:paraId="6094DCE3" w14:textId="119276E6" w:rsidR="00FB087B" w:rsidRPr="00B516F6" w:rsidRDefault="00FB087B" w:rsidP="0066301C">
      <w:pPr>
        <w:spacing w:line="360" w:lineRule="auto"/>
        <w:jc w:val="both"/>
        <w:rPr>
          <w:rFonts w:ascii="Arial" w:hAnsi="Arial" w:cs="Arial"/>
        </w:rPr>
      </w:pPr>
      <w:r w:rsidRPr="00B516F6">
        <w:rPr>
          <w:rFonts w:ascii="Arial" w:hAnsi="Arial" w:cs="Arial"/>
        </w:rPr>
        <w:t>It is obvious from the analysis that the CFA franc (common currency), along with 12</w:t>
      </w:r>
      <w:r w:rsidRPr="00F75F72">
        <w:rPr>
          <w:rFonts w:ascii="Arial" w:hAnsi="Arial" w:cs="Arial"/>
          <w:vertAlign w:val="superscript"/>
        </w:rPr>
        <w:t>th</w:t>
      </w:r>
      <w:r w:rsidRPr="00B516F6">
        <w:rPr>
          <w:rFonts w:ascii="Arial" w:hAnsi="Arial" w:cs="Arial"/>
        </w:rPr>
        <w:t xml:space="preserve"> January 1994 devaluation, has, on average, not contributed to the region’s economic growth. As such, policymakers ought to be careful when adopting policy changes like currency devaluation with the goal of improving their economic growth. This work has shown that the </w:t>
      </w:r>
      <w:r w:rsidR="00F75F72">
        <w:rPr>
          <w:rFonts w:ascii="Arial" w:hAnsi="Arial" w:cs="Arial"/>
        </w:rPr>
        <w:t>REER</w:t>
      </w:r>
      <w:r w:rsidRPr="00B516F6">
        <w:rPr>
          <w:rFonts w:ascii="Arial" w:hAnsi="Arial" w:cs="Arial"/>
        </w:rPr>
        <w:t xml:space="preserve"> does not have a long-run impact on the region’s economic growth. Improving economic growth in the CEMAC region requires a comprehensive approach that addresses various underlying factors. Below are some policy recommendations that could contribute to the enhancement of the CEMAC region’s economic growth: </w:t>
      </w:r>
    </w:p>
    <w:p w14:paraId="49EAE0DB" w14:textId="77777777" w:rsidR="00FB087B" w:rsidRPr="00B516F6" w:rsidRDefault="00FB087B" w:rsidP="0066301C">
      <w:pPr>
        <w:spacing w:line="360" w:lineRule="auto"/>
        <w:jc w:val="both"/>
        <w:rPr>
          <w:rFonts w:ascii="Arial" w:hAnsi="Arial" w:cs="Arial"/>
        </w:rPr>
      </w:pPr>
      <w:r w:rsidRPr="00B516F6">
        <w:rPr>
          <w:rFonts w:ascii="Arial" w:hAnsi="Arial" w:cs="Arial"/>
        </w:rPr>
        <w:t xml:space="preserve">There is a need for an improvement of governance and institutions, enhancing accountability, transparency, and efficiency of public institutions. Anti-corruption measures should be implemented, the rule of law should be strengthened by empowering the judicial system, and good governance practices should be promoted. These improvements could foster the confidence of investors, attract </w:t>
      </w:r>
      <w:r>
        <w:rPr>
          <w:rFonts w:ascii="Arial" w:hAnsi="Arial" w:cs="Arial"/>
        </w:rPr>
        <w:t>Foreign Direct Investment (</w:t>
      </w:r>
      <w:r w:rsidRPr="00B516F6">
        <w:rPr>
          <w:rFonts w:ascii="Arial" w:hAnsi="Arial" w:cs="Arial"/>
        </w:rPr>
        <w:t>FDI</w:t>
      </w:r>
      <w:r>
        <w:rPr>
          <w:rFonts w:ascii="Arial" w:hAnsi="Arial" w:cs="Arial"/>
        </w:rPr>
        <w:t>)</w:t>
      </w:r>
      <w:r w:rsidRPr="00B516F6">
        <w:rPr>
          <w:rFonts w:ascii="Arial" w:hAnsi="Arial" w:cs="Arial"/>
        </w:rPr>
        <w:t xml:space="preserve"> and enable economic growth in the region. </w:t>
      </w:r>
    </w:p>
    <w:p w14:paraId="52C11D14" w14:textId="77777777" w:rsidR="00FB087B" w:rsidRPr="00B516F6" w:rsidRDefault="00FB087B" w:rsidP="0066301C">
      <w:pPr>
        <w:spacing w:line="360" w:lineRule="auto"/>
        <w:jc w:val="both"/>
        <w:rPr>
          <w:rFonts w:ascii="Arial" w:hAnsi="Arial" w:cs="Arial"/>
        </w:rPr>
      </w:pPr>
      <w:r w:rsidRPr="00B516F6">
        <w:rPr>
          <w:rFonts w:ascii="Arial" w:hAnsi="Arial" w:cs="Arial"/>
        </w:rPr>
        <w:lastRenderedPageBreak/>
        <w:t>Secondly, policymakers should promote the development of financial sectors in the region by strengthening the financial and banking sectors of the region. This could be done by promoting financial inclusion, improving financial regulations, and expanding access to credit for small and medium-sized enterprises (SMEs). They need to develop a sound and comprehensive financial system that supports entrepreneurship, investment, and economic growth.  </w:t>
      </w:r>
    </w:p>
    <w:p w14:paraId="55857B34" w14:textId="77777777" w:rsidR="00FB087B" w:rsidRPr="00B516F6" w:rsidRDefault="00FB087B" w:rsidP="0066301C">
      <w:pPr>
        <w:spacing w:line="360" w:lineRule="auto"/>
        <w:jc w:val="both"/>
        <w:rPr>
          <w:rFonts w:ascii="Arial" w:hAnsi="Arial" w:cs="Arial"/>
        </w:rPr>
      </w:pPr>
      <w:r w:rsidRPr="00B516F6">
        <w:rPr>
          <w:rFonts w:ascii="Arial" w:hAnsi="Arial" w:cs="Arial"/>
        </w:rPr>
        <w:t>Thirdly, policymakers should prioritise investing in human capital, such as investing in healthcare, education, and skills training to develop a productive workforce. Improving access to healthcare services and quality education will improve human capital and promote innovation, thereby driving economic growth in the long-term. </w:t>
      </w:r>
    </w:p>
    <w:p w14:paraId="7C461471" w14:textId="51B66AB7" w:rsidR="00FB087B" w:rsidRPr="00B516F6" w:rsidRDefault="00FB087B" w:rsidP="0066301C">
      <w:pPr>
        <w:spacing w:line="360" w:lineRule="auto"/>
        <w:jc w:val="both"/>
        <w:rPr>
          <w:rFonts w:ascii="Arial" w:hAnsi="Arial" w:cs="Arial"/>
        </w:rPr>
      </w:pPr>
      <w:r w:rsidRPr="00B516F6">
        <w:rPr>
          <w:rFonts w:ascii="Arial" w:hAnsi="Arial" w:cs="Arial"/>
        </w:rPr>
        <w:t>Fourthly, they could invest in infrastructure development such as telecommunication networks, transportation, and energy. These robust infrastructure systems will reduce transportation costs, facilitate trade, attract investments in the private sector, and, by so doing, stimulate economic activities in the entire region. </w:t>
      </w:r>
    </w:p>
    <w:p w14:paraId="278B320E" w14:textId="77777777" w:rsidR="00FB087B" w:rsidRPr="00B516F6" w:rsidRDefault="00FB087B" w:rsidP="0066301C">
      <w:pPr>
        <w:spacing w:line="360" w:lineRule="auto"/>
        <w:jc w:val="both"/>
        <w:rPr>
          <w:rFonts w:ascii="Arial" w:hAnsi="Arial" w:cs="Arial"/>
        </w:rPr>
      </w:pPr>
      <w:r w:rsidRPr="00B516F6">
        <w:rPr>
          <w:rFonts w:ascii="Arial" w:hAnsi="Arial" w:cs="Arial"/>
        </w:rPr>
        <w:t>Finally, there should be partnerships and collaborations with regional organisations and international financial institutions to share knowledge and technical expertise. This could help address their common challenges and promote economic growth in the region. The above policy recommendation, if properly implemented, could contribute to enhancing the economic growth in the CEMAC region. It is also necessary to tailor the recommendations to specific circumstances and priorities of every CEMAC nation and, at the same time, foster collective regional cooperation and integration. </w:t>
      </w:r>
    </w:p>
    <w:p w14:paraId="290D38C6" w14:textId="74F1C726" w:rsidR="00000471" w:rsidRPr="008204CC" w:rsidRDefault="00932279" w:rsidP="0066301C">
      <w:pPr>
        <w:pStyle w:val="Heading2"/>
        <w:spacing w:before="0" w:beforeAutospacing="0"/>
      </w:pPr>
      <w:bookmarkStart w:id="535" w:name="_Toc171075446"/>
      <w:r>
        <w:t>6</w:t>
      </w:r>
      <w:r w:rsidR="00A97848">
        <w:t>.3</w:t>
      </w:r>
      <w:r w:rsidR="00A97848">
        <w:tab/>
      </w:r>
      <w:r w:rsidR="00000471" w:rsidRPr="008204CC">
        <w:t>SUGGESTION FOR FURTHER RESEARCH</w:t>
      </w:r>
      <w:bookmarkEnd w:id="534"/>
      <w:bookmarkEnd w:id="535"/>
    </w:p>
    <w:p w14:paraId="5CA6D03A" w14:textId="5E28CD90" w:rsidR="009150C9" w:rsidRPr="001F160D" w:rsidRDefault="009150C9" w:rsidP="0066301C">
      <w:pPr>
        <w:spacing w:line="360" w:lineRule="auto"/>
        <w:jc w:val="both"/>
        <w:rPr>
          <w:rFonts w:ascii="Arial" w:hAnsi="Arial" w:cs="Arial"/>
        </w:rPr>
      </w:pPr>
      <w:r w:rsidRPr="001F160D">
        <w:rPr>
          <w:rFonts w:ascii="Arial" w:hAnsi="Arial" w:cs="Arial"/>
        </w:rPr>
        <w:t> This research contributes to the existing literature on the following. Despite all the institutional structures and strategic programs put in place by policymakers of the CEMAC zone, bilateral trade flows within the region, and economic prosperity within the entire region have not been encouraging. There are two main channels through which REER impacts a nation’s economic growth: the trade balance channel and foreign direct investment. In this research, we focused on the trade balance channel. It is necessary to investigate the FDI channel and some other economic growth channels and see if they have a long-term relationship with the R</w:t>
      </w:r>
      <w:r w:rsidR="00E659C4">
        <w:rPr>
          <w:rFonts w:ascii="Arial" w:hAnsi="Arial" w:cs="Arial"/>
        </w:rPr>
        <w:t>E</w:t>
      </w:r>
      <w:r w:rsidRPr="001F160D">
        <w:rPr>
          <w:rFonts w:ascii="Arial" w:hAnsi="Arial" w:cs="Arial"/>
        </w:rPr>
        <w:t xml:space="preserve">ER. Secondly, an effective currency devaluation is performed via the accumulation of foreign exchange reserves (FER) by the monetary authority (Central Bank). The FER accumulation is costly as the central banks hold their FER in the form of low-yield short-term US Treasury securities and other securities, which, if they were to be invested, could yield much. It is assumed that more than 85% of the CFA franc zone nations’ FER is kept in an “operations account” held at the French Treasury instead of in the CEMAC nations’ respective central banks (Busch, 2013). This could mean that the cost incurred by the CFA franc nations is </w:t>
      </w:r>
      <w:r w:rsidRPr="001F160D">
        <w:rPr>
          <w:rFonts w:ascii="Arial" w:hAnsi="Arial" w:cs="Arial"/>
        </w:rPr>
        <w:lastRenderedPageBreak/>
        <w:t>relatively higher as they get no yields from the FER, and with the 12</w:t>
      </w:r>
      <w:r w:rsidRPr="00660213">
        <w:rPr>
          <w:rFonts w:ascii="Arial" w:hAnsi="Arial" w:cs="Arial"/>
          <w:vertAlign w:val="superscript"/>
        </w:rPr>
        <w:t>th</w:t>
      </w:r>
      <w:r w:rsidR="009C021E">
        <w:rPr>
          <w:rFonts w:ascii="Arial" w:hAnsi="Arial" w:cs="Arial"/>
        </w:rPr>
        <w:t xml:space="preserve"> </w:t>
      </w:r>
      <w:r w:rsidRPr="001F160D">
        <w:rPr>
          <w:rFonts w:ascii="Arial" w:hAnsi="Arial" w:cs="Arial"/>
        </w:rPr>
        <w:t>January 1994 devaluation, the FER increased.</w:t>
      </w:r>
      <w:r>
        <w:rPr>
          <w:rStyle w:val="FootnoteReference"/>
          <w:rFonts w:ascii="Arial" w:hAnsi="Arial" w:cs="Arial"/>
        </w:rPr>
        <w:footnoteReference w:id="181"/>
      </w:r>
      <w:r w:rsidRPr="001F160D">
        <w:rPr>
          <w:rFonts w:ascii="Arial" w:hAnsi="Arial" w:cs="Arial"/>
        </w:rPr>
        <w:t xml:space="preserve">  Hence, it is necessary to investigate the exact amount of the FER contributed by each of the CEMAC nations, the exact amount held at the French Treasury, </w:t>
      </w:r>
      <w:r>
        <w:rPr>
          <w:rFonts w:ascii="Arial" w:hAnsi="Arial" w:cs="Arial"/>
        </w:rPr>
        <w:t xml:space="preserve">and </w:t>
      </w:r>
      <w:r w:rsidRPr="001F160D">
        <w:rPr>
          <w:rFonts w:ascii="Arial" w:hAnsi="Arial" w:cs="Arial"/>
        </w:rPr>
        <w:t>the yield generated by the FER. This will help give us a better understanding of the opportunity cost these nations have incurred due to the devaluation.  </w:t>
      </w:r>
    </w:p>
    <w:p w14:paraId="58D7AA41" w14:textId="77777777" w:rsidR="001129D1" w:rsidRDefault="001129D1" w:rsidP="0066301C">
      <w:pPr>
        <w:spacing w:line="360" w:lineRule="auto"/>
        <w:jc w:val="both"/>
        <w:rPr>
          <w:rFonts w:ascii="Arial" w:hAnsi="Arial" w:cs="Arial"/>
        </w:rPr>
        <w:sectPr w:rsidR="001129D1" w:rsidSect="00D14E7F">
          <w:pgSz w:w="11906" w:h="16838" w:code="9"/>
          <w:pgMar w:top="1440" w:right="1440" w:bottom="1440" w:left="1440" w:header="709" w:footer="709" w:gutter="0"/>
          <w:cols w:space="708"/>
          <w:docGrid w:linePitch="360"/>
        </w:sectPr>
      </w:pPr>
    </w:p>
    <w:p w14:paraId="64AB77B9" w14:textId="157A4279" w:rsidR="00790A7A" w:rsidRPr="00DC03EB" w:rsidRDefault="00790A7A" w:rsidP="0066301C">
      <w:pPr>
        <w:pStyle w:val="Heading1"/>
        <w:numPr>
          <w:ilvl w:val="0"/>
          <w:numId w:val="0"/>
        </w:numPr>
        <w:spacing w:before="0"/>
        <w:ind w:left="432"/>
        <w:rPr>
          <w:rFonts w:eastAsia="Times New Roman"/>
          <w:lang w:val="en-US"/>
        </w:rPr>
      </w:pPr>
      <w:bookmarkStart w:id="536" w:name="_Toc171075447"/>
      <w:bookmarkStart w:id="537" w:name="_Hlk163804710"/>
      <w:r>
        <w:rPr>
          <w:rFonts w:eastAsia="Times New Roman"/>
          <w:lang w:val="en-US"/>
        </w:rPr>
        <w:lastRenderedPageBreak/>
        <w:t>APPENDI</w:t>
      </w:r>
      <w:r w:rsidR="00E67F85">
        <w:rPr>
          <w:rFonts w:eastAsia="Times New Roman"/>
          <w:lang w:val="en-US"/>
        </w:rPr>
        <w:t>CES</w:t>
      </w:r>
      <w:bookmarkEnd w:id="536"/>
    </w:p>
    <w:p w14:paraId="498A3FD4" w14:textId="5C86FF6C" w:rsidR="00E67F85" w:rsidRDefault="00E67F85" w:rsidP="0066301C">
      <w:pPr>
        <w:spacing w:after="0" w:line="240" w:lineRule="auto"/>
        <w:jc w:val="both"/>
        <w:rPr>
          <w:rFonts w:ascii="Arial" w:hAnsi="Arial" w:cs="Arial"/>
          <w:b/>
        </w:rPr>
      </w:pPr>
      <w:r>
        <w:rPr>
          <w:rFonts w:ascii="Arial" w:hAnsi="Arial" w:cs="Arial"/>
          <w:b/>
        </w:rPr>
        <w:t>APPENDIX A.</w:t>
      </w:r>
    </w:p>
    <w:p w14:paraId="69E274D9" w14:textId="77777777" w:rsidR="00E67F85" w:rsidRDefault="00E67F85" w:rsidP="0066301C">
      <w:pPr>
        <w:spacing w:after="0" w:line="240" w:lineRule="auto"/>
        <w:jc w:val="both"/>
        <w:rPr>
          <w:rFonts w:ascii="Arial" w:hAnsi="Arial" w:cs="Arial"/>
          <w:b/>
        </w:rPr>
      </w:pPr>
    </w:p>
    <w:p w14:paraId="524A1D59" w14:textId="00DA94B1" w:rsidR="00292191" w:rsidRDefault="00790A7A" w:rsidP="0066301C">
      <w:pPr>
        <w:spacing w:after="0" w:line="240" w:lineRule="auto"/>
        <w:jc w:val="both"/>
        <w:rPr>
          <w:rFonts w:ascii="Arial" w:hAnsi="Arial" w:cs="Arial"/>
          <w:b/>
        </w:rPr>
      </w:pPr>
      <w:r w:rsidRPr="00C26E16">
        <w:rPr>
          <w:rFonts w:ascii="Arial" w:hAnsi="Arial" w:cs="Arial"/>
          <w:b/>
        </w:rPr>
        <w:t xml:space="preserve">Table </w:t>
      </w:r>
      <w:r w:rsidR="00C26E16">
        <w:rPr>
          <w:rFonts w:ascii="Arial" w:hAnsi="Arial" w:cs="Arial"/>
          <w:b/>
        </w:rPr>
        <w:t>3</w:t>
      </w:r>
      <w:r w:rsidRPr="00C26E16">
        <w:rPr>
          <w:rFonts w:ascii="Arial" w:hAnsi="Arial" w:cs="Arial"/>
          <w:b/>
        </w:rPr>
        <w:t>.</w:t>
      </w:r>
      <w:r w:rsidR="002C0367" w:rsidRPr="00C26E16">
        <w:rPr>
          <w:rFonts w:ascii="Arial" w:hAnsi="Arial" w:cs="Arial"/>
          <w:b/>
        </w:rPr>
        <w:t>2</w:t>
      </w:r>
      <w:r w:rsidRPr="00C26E16">
        <w:rPr>
          <w:rFonts w:ascii="Arial" w:hAnsi="Arial" w:cs="Arial"/>
          <w:b/>
        </w:rPr>
        <w:t>: ADF</w:t>
      </w:r>
      <w:r w:rsidRPr="00790A7A">
        <w:rPr>
          <w:rFonts w:ascii="Arial" w:hAnsi="Arial" w:cs="Arial"/>
          <w:b/>
        </w:rPr>
        <w:t xml:space="preserve"> and PP Unit Root Test Results.</w:t>
      </w:r>
    </w:p>
    <w:tbl>
      <w:tblPr>
        <w:tblStyle w:val="TableGrid"/>
        <w:tblW w:w="0" w:type="auto"/>
        <w:tblInd w:w="-431" w:type="dxa"/>
        <w:tblLayout w:type="fixed"/>
        <w:tblLook w:val="04A0" w:firstRow="1" w:lastRow="0" w:firstColumn="1" w:lastColumn="0" w:noHBand="0" w:noVBand="1"/>
      </w:tblPr>
      <w:tblGrid>
        <w:gridCol w:w="1985"/>
        <w:gridCol w:w="1418"/>
        <w:gridCol w:w="1559"/>
        <w:gridCol w:w="1418"/>
        <w:gridCol w:w="1559"/>
        <w:gridCol w:w="1559"/>
        <w:gridCol w:w="1560"/>
        <w:gridCol w:w="1559"/>
        <w:gridCol w:w="1558"/>
      </w:tblGrid>
      <w:tr w:rsidR="00292191" w14:paraId="56B1A48A" w14:textId="77777777" w:rsidTr="00D46B41">
        <w:tc>
          <w:tcPr>
            <w:tcW w:w="14175" w:type="dxa"/>
            <w:gridSpan w:val="9"/>
          </w:tcPr>
          <w:p w14:paraId="0224BEA0" w14:textId="77777777" w:rsidR="00292191" w:rsidRPr="00D05CB2" w:rsidRDefault="00292191" w:rsidP="0066301C">
            <w:pPr>
              <w:jc w:val="center"/>
              <w:rPr>
                <w:b/>
                <w:bCs/>
              </w:rPr>
            </w:pPr>
            <w:r w:rsidRPr="00D05CB2">
              <w:rPr>
                <w:b/>
                <w:bCs/>
              </w:rPr>
              <w:t>Cameroon</w:t>
            </w:r>
          </w:p>
        </w:tc>
      </w:tr>
      <w:tr w:rsidR="00292191" w14:paraId="2115A890" w14:textId="77777777" w:rsidTr="00D46B41">
        <w:tc>
          <w:tcPr>
            <w:tcW w:w="1985" w:type="dxa"/>
          </w:tcPr>
          <w:p w14:paraId="7802269C" w14:textId="77777777" w:rsidR="00292191" w:rsidRDefault="00292191" w:rsidP="0066301C"/>
        </w:tc>
        <w:tc>
          <w:tcPr>
            <w:tcW w:w="5954" w:type="dxa"/>
            <w:gridSpan w:val="4"/>
          </w:tcPr>
          <w:p w14:paraId="059035C5" w14:textId="77777777" w:rsidR="00292191" w:rsidRDefault="00292191" w:rsidP="0066301C">
            <w:pPr>
              <w:jc w:val="center"/>
            </w:pPr>
            <w:r>
              <w:t>ADF Test</w:t>
            </w:r>
          </w:p>
        </w:tc>
        <w:tc>
          <w:tcPr>
            <w:tcW w:w="6236" w:type="dxa"/>
            <w:gridSpan w:val="4"/>
          </w:tcPr>
          <w:p w14:paraId="086B8D3A" w14:textId="77777777" w:rsidR="00292191" w:rsidRDefault="00292191" w:rsidP="0066301C">
            <w:pPr>
              <w:jc w:val="center"/>
            </w:pPr>
            <w:r>
              <w:t>PP Test</w:t>
            </w:r>
          </w:p>
        </w:tc>
      </w:tr>
      <w:tr w:rsidR="00292191" w14:paraId="0D9781A0" w14:textId="77777777" w:rsidTr="00D46B41">
        <w:tc>
          <w:tcPr>
            <w:tcW w:w="1985" w:type="dxa"/>
          </w:tcPr>
          <w:p w14:paraId="56F06285" w14:textId="77777777" w:rsidR="00292191" w:rsidRDefault="00292191" w:rsidP="0066301C"/>
        </w:tc>
        <w:tc>
          <w:tcPr>
            <w:tcW w:w="2977" w:type="dxa"/>
            <w:gridSpan w:val="2"/>
          </w:tcPr>
          <w:p w14:paraId="5F0069B9" w14:textId="77777777" w:rsidR="00292191" w:rsidRDefault="00292191" w:rsidP="0066301C">
            <w:pPr>
              <w:jc w:val="center"/>
            </w:pPr>
            <w:r>
              <w:t>Level</w:t>
            </w:r>
          </w:p>
        </w:tc>
        <w:tc>
          <w:tcPr>
            <w:tcW w:w="2977" w:type="dxa"/>
            <w:gridSpan w:val="2"/>
          </w:tcPr>
          <w:p w14:paraId="2DE4BD25" w14:textId="77777777" w:rsidR="00292191" w:rsidRDefault="00292191" w:rsidP="0066301C">
            <w:r>
              <w:t>First Difference</w:t>
            </w:r>
          </w:p>
        </w:tc>
        <w:tc>
          <w:tcPr>
            <w:tcW w:w="3119" w:type="dxa"/>
            <w:gridSpan w:val="2"/>
          </w:tcPr>
          <w:p w14:paraId="3B38ED3D" w14:textId="77777777" w:rsidR="00292191" w:rsidRDefault="00292191" w:rsidP="0066301C">
            <w:pPr>
              <w:jc w:val="center"/>
            </w:pPr>
            <w:r>
              <w:t>Level</w:t>
            </w:r>
          </w:p>
        </w:tc>
        <w:tc>
          <w:tcPr>
            <w:tcW w:w="3117" w:type="dxa"/>
            <w:gridSpan w:val="2"/>
          </w:tcPr>
          <w:p w14:paraId="11F20ADD" w14:textId="77777777" w:rsidR="00292191" w:rsidRDefault="00292191" w:rsidP="0066301C">
            <w:r>
              <w:t>First Difference</w:t>
            </w:r>
          </w:p>
        </w:tc>
      </w:tr>
      <w:tr w:rsidR="00292191" w14:paraId="278730F4" w14:textId="77777777" w:rsidTr="00D46B41">
        <w:tc>
          <w:tcPr>
            <w:tcW w:w="1985" w:type="dxa"/>
          </w:tcPr>
          <w:p w14:paraId="08549997" w14:textId="77777777" w:rsidR="00292191" w:rsidRDefault="00292191" w:rsidP="0066301C">
            <w:r>
              <w:t>Variables</w:t>
            </w:r>
          </w:p>
        </w:tc>
        <w:tc>
          <w:tcPr>
            <w:tcW w:w="1418" w:type="dxa"/>
          </w:tcPr>
          <w:p w14:paraId="3094EDC1" w14:textId="77777777" w:rsidR="00292191" w:rsidRDefault="00292191" w:rsidP="0066301C">
            <w:r>
              <w:t>Constant</w:t>
            </w:r>
          </w:p>
        </w:tc>
        <w:tc>
          <w:tcPr>
            <w:tcW w:w="1559" w:type="dxa"/>
          </w:tcPr>
          <w:p w14:paraId="5C71CBEB" w14:textId="77777777" w:rsidR="00292191" w:rsidRDefault="00292191" w:rsidP="0066301C">
            <w:r>
              <w:t>Trend &amp; Intercept</w:t>
            </w:r>
          </w:p>
        </w:tc>
        <w:tc>
          <w:tcPr>
            <w:tcW w:w="1418" w:type="dxa"/>
          </w:tcPr>
          <w:p w14:paraId="14A8E92A" w14:textId="77777777" w:rsidR="00292191" w:rsidRDefault="00292191" w:rsidP="0066301C">
            <w:r>
              <w:t>Constant</w:t>
            </w:r>
          </w:p>
        </w:tc>
        <w:tc>
          <w:tcPr>
            <w:tcW w:w="1559" w:type="dxa"/>
          </w:tcPr>
          <w:p w14:paraId="2F05AE3A" w14:textId="77777777" w:rsidR="00292191" w:rsidRDefault="00292191" w:rsidP="0066301C">
            <w:r>
              <w:t>Trend &amp; Intercept</w:t>
            </w:r>
          </w:p>
        </w:tc>
        <w:tc>
          <w:tcPr>
            <w:tcW w:w="1559" w:type="dxa"/>
          </w:tcPr>
          <w:p w14:paraId="07F9A2DE" w14:textId="77777777" w:rsidR="00292191" w:rsidRDefault="00292191" w:rsidP="0066301C">
            <w:r>
              <w:t>Constant</w:t>
            </w:r>
          </w:p>
        </w:tc>
        <w:tc>
          <w:tcPr>
            <w:tcW w:w="1560" w:type="dxa"/>
          </w:tcPr>
          <w:p w14:paraId="0EE9D02E" w14:textId="77777777" w:rsidR="00292191" w:rsidRDefault="00292191" w:rsidP="0066301C">
            <w:r>
              <w:t>Trend &amp; Intercept</w:t>
            </w:r>
          </w:p>
        </w:tc>
        <w:tc>
          <w:tcPr>
            <w:tcW w:w="1559" w:type="dxa"/>
          </w:tcPr>
          <w:p w14:paraId="3AE42AA9" w14:textId="77777777" w:rsidR="00292191" w:rsidRDefault="00292191" w:rsidP="0066301C">
            <w:r>
              <w:t>Constant</w:t>
            </w:r>
          </w:p>
        </w:tc>
        <w:tc>
          <w:tcPr>
            <w:tcW w:w="1558" w:type="dxa"/>
          </w:tcPr>
          <w:p w14:paraId="5E4566D7" w14:textId="77777777" w:rsidR="00292191" w:rsidRDefault="00292191" w:rsidP="0066301C">
            <w:r>
              <w:t>Trend &amp; Intercept</w:t>
            </w:r>
          </w:p>
        </w:tc>
      </w:tr>
      <w:tr w:rsidR="00292191" w14:paraId="09AEC7A6" w14:textId="77777777" w:rsidTr="00D46B41">
        <w:tc>
          <w:tcPr>
            <w:tcW w:w="1985" w:type="dxa"/>
          </w:tcPr>
          <w:p w14:paraId="086DDB3C" w14:textId="77777777" w:rsidR="00292191" w:rsidRDefault="00292191" w:rsidP="0066301C">
            <w:r>
              <w:t>REER</w:t>
            </w:r>
          </w:p>
        </w:tc>
        <w:tc>
          <w:tcPr>
            <w:tcW w:w="1418" w:type="dxa"/>
          </w:tcPr>
          <w:p w14:paraId="7980310F" w14:textId="77777777" w:rsidR="00292191" w:rsidRDefault="00292191" w:rsidP="0066301C">
            <w:r>
              <w:t>-1.381</w:t>
            </w:r>
          </w:p>
        </w:tc>
        <w:tc>
          <w:tcPr>
            <w:tcW w:w="1559" w:type="dxa"/>
          </w:tcPr>
          <w:p w14:paraId="45E7095B" w14:textId="77777777" w:rsidR="00292191" w:rsidRDefault="00292191" w:rsidP="0066301C">
            <w:r>
              <w:t>-1.837</w:t>
            </w:r>
          </w:p>
        </w:tc>
        <w:tc>
          <w:tcPr>
            <w:tcW w:w="1418" w:type="dxa"/>
          </w:tcPr>
          <w:p w14:paraId="4B5EBA1B" w14:textId="77777777" w:rsidR="00292191" w:rsidRDefault="00292191" w:rsidP="0066301C">
            <w:r>
              <w:t>-5.399</w:t>
            </w:r>
          </w:p>
        </w:tc>
        <w:tc>
          <w:tcPr>
            <w:tcW w:w="1559" w:type="dxa"/>
          </w:tcPr>
          <w:p w14:paraId="0C1673AE" w14:textId="77777777" w:rsidR="00292191" w:rsidRDefault="00292191" w:rsidP="0066301C">
            <w:r>
              <w:t>-5.320</w:t>
            </w:r>
          </w:p>
        </w:tc>
        <w:tc>
          <w:tcPr>
            <w:tcW w:w="1559" w:type="dxa"/>
          </w:tcPr>
          <w:p w14:paraId="546093D4" w14:textId="77777777" w:rsidR="00292191" w:rsidRDefault="00292191" w:rsidP="0066301C">
            <w:r>
              <w:t>-1.481</w:t>
            </w:r>
          </w:p>
        </w:tc>
        <w:tc>
          <w:tcPr>
            <w:tcW w:w="1560" w:type="dxa"/>
          </w:tcPr>
          <w:p w14:paraId="18142002" w14:textId="77777777" w:rsidR="00292191" w:rsidRDefault="00292191" w:rsidP="0066301C">
            <w:r>
              <w:t>-2.021</w:t>
            </w:r>
          </w:p>
        </w:tc>
        <w:tc>
          <w:tcPr>
            <w:tcW w:w="1559" w:type="dxa"/>
          </w:tcPr>
          <w:p w14:paraId="571CA718" w14:textId="77777777" w:rsidR="00292191" w:rsidRDefault="00292191" w:rsidP="0066301C">
            <w:r>
              <w:t>-5.401</w:t>
            </w:r>
          </w:p>
        </w:tc>
        <w:tc>
          <w:tcPr>
            <w:tcW w:w="1558" w:type="dxa"/>
          </w:tcPr>
          <w:p w14:paraId="014330AB" w14:textId="77777777" w:rsidR="00292191" w:rsidRDefault="00292191" w:rsidP="0066301C">
            <w:r>
              <w:t>-5.322</w:t>
            </w:r>
          </w:p>
        </w:tc>
      </w:tr>
      <w:tr w:rsidR="00292191" w14:paraId="21F90BC7" w14:textId="77777777" w:rsidTr="00D46B41">
        <w:tc>
          <w:tcPr>
            <w:tcW w:w="1985" w:type="dxa"/>
          </w:tcPr>
          <w:p w14:paraId="112DCF46" w14:textId="77777777" w:rsidR="00292191" w:rsidRDefault="00292191" w:rsidP="0066301C">
            <w:r>
              <w:t>TOT</w:t>
            </w:r>
          </w:p>
        </w:tc>
        <w:tc>
          <w:tcPr>
            <w:tcW w:w="1418" w:type="dxa"/>
          </w:tcPr>
          <w:p w14:paraId="2575769A" w14:textId="77777777" w:rsidR="00292191" w:rsidRDefault="00292191" w:rsidP="0066301C">
            <w:r>
              <w:t>-2.021</w:t>
            </w:r>
          </w:p>
        </w:tc>
        <w:tc>
          <w:tcPr>
            <w:tcW w:w="1559" w:type="dxa"/>
          </w:tcPr>
          <w:p w14:paraId="2653BCB0" w14:textId="77777777" w:rsidR="00292191" w:rsidRDefault="00292191" w:rsidP="0066301C">
            <w:r>
              <w:t>-2.802</w:t>
            </w:r>
          </w:p>
        </w:tc>
        <w:tc>
          <w:tcPr>
            <w:tcW w:w="1418" w:type="dxa"/>
          </w:tcPr>
          <w:p w14:paraId="757A79BF" w14:textId="77777777" w:rsidR="00292191" w:rsidRDefault="00292191" w:rsidP="0066301C">
            <w:r>
              <w:t>-3.948</w:t>
            </w:r>
          </w:p>
        </w:tc>
        <w:tc>
          <w:tcPr>
            <w:tcW w:w="1559" w:type="dxa"/>
          </w:tcPr>
          <w:p w14:paraId="769D99B8" w14:textId="77777777" w:rsidR="00292191" w:rsidRDefault="00292191" w:rsidP="0066301C">
            <w:r>
              <w:t>-4.376</w:t>
            </w:r>
          </w:p>
        </w:tc>
        <w:tc>
          <w:tcPr>
            <w:tcW w:w="1559" w:type="dxa"/>
          </w:tcPr>
          <w:p w14:paraId="171F1DB5" w14:textId="77777777" w:rsidR="00292191" w:rsidRDefault="00292191" w:rsidP="0066301C">
            <w:r>
              <w:t>-1.686</w:t>
            </w:r>
          </w:p>
        </w:tc>
        <w:tc>
          <w:tcPr>
            <w:tcW w:w="1560" w:type="dxa"/>
          </w:tcPr>
          <w:p w14:paraId="1FC377F5" w14:textId="77777777" w:rsidR="00292191" w:rsidRDefault="00292191" w:rsidP="0066301C">
            <w:r>
              <w:t>-1.973</w:t>
            </w:r>
          </w:p>
        </w:tc>
        <w:tc>
          <w:tcPr>
            <w:tcW w:w="1559" w:type="dxa"/>
          </w:tcPr>
          <w:p w14:paraId="28DDA542" w14:textId="77777777" w:rsidR="00292191" w:rsidRDefault="00292191" w:rsidP="0066301C">
            <w:r>
              <w:t>-3.969</w:t>
            </w:r>
          </w:p>
        </w:tc>
        <w:tc>
          <w:tcPr>
            <w:tcW w:w="1558" w:type="dxa"/>
          </w:tcPr>
          <w:p w14:paraId="5A1991BE" w14:textId="77777777" w:rsidR="00292191" w:rsidRDefault="00292191" w:rsidP="0066301C">
            <w:r>
              <w:t>-3.984</w:t>
            </w:r>
          </w:p>
        </w:tc>
      </w:tr>
      <w:tr w:rsidR="00292191" w14:paraId="65C50B32" w14:textId="77777777" w:rsidTr="00D46B41">
        <w:tc>
          <w:tcPr>
            <w:tcW w:w="1985" w:type="dxa"/>
          </w:tcPr>
          <w:p w14:paraId="6A459E64" w14:textId="77777777" w:rsidR="00292191" w:rsidRDefault="00292191" w:rsidP="0066301C">
            <w:r>
              <w:t>NFA</w:t>
            </w:r>
          </w:p>
        </w:tc>
        <w:tc>
          <w:tcPr>
            <w:tcW w:w="1418" w:type="dxa"/>
          </w:tcPr>
          <w:p w14:paraId="0BDA5F03" w14:textId="77777777" w:rsidR="00292191" w:rsidRDefault="00292191" w:rsidP="0066301C">
            <w:r>
              <w:t>-0.751</w:t>
            </w:r>
          </w:p>
        </w:tc>
        <w:tc>
          <w:tcPr>
            <w:tcW w:w="1559" w:type="dxa"/>
          </w:tcPr>
          <w:p w14:paraId="537BB328" w14:textId="77777777" w:rsidR="00292191" w:rsidRDefault="00292191" w:rsidP="0066301C">
            <w:r>
              <w:t>-1.486</w:t>
            </w:r>
          </w:p>
        </w:tc>
        <w:tc>
          <w:tcPr>
            <w:tcW w:w="1418" w:type="dxa"/>
          </w:tcPr>
          <w:p w14:paraId="4B94E0CB" w14:textId="77777777" w:rsidR="00292191" w:rsidRDefault="00292191" w:rsidP="0066301C">
            <w:r>
              <w:t>-5.726</w:t>
            </w:r>
          </w:p>
        </w:tc>
        <w:tc>
          <w:tcPr>
            <w:tcW w:w="1559" w:type="dxa"/>
          </w:tcPr>
          <w:p w14:paraId="2980AEBA" w14:textId="77777777" w:rsidR="00292191" w:rsidRDefault="00292191" w:rsidP="0066301C">
            <w:r>
              <w:t>-5.721</w:t>
            </w:r>
          </w:p>
        </w:tc>
        <w:tc>
          <w:tcPr>
            <w:tcW w:w="1559" w:type="dxa"/>
          </w:tcPr>
          <w:p w14:paraId="48BBED63" w14:textId="77777777" w:rsidR="00292191" w:rsidRDefault="00292191" w:rsidP="0066301C">
            <w:r>
              <w:t>-0.886</w:t>
            </w:r>
          </w:p>
        </w:tc>
        <w:tc>
          <w:tcPr>
            <w:tcW w:w="1560" w:type="dxa"/>
          </w:tcPr>
          <w:p w14:paraId="6C8EC44E" w14:textId="77777777" w:rsidR="00292191" w:rsidRDefault="00292191" w:rsidP="0066301C">
            <w:r>
              <w:t>-1.631</w:t>
            </w:r>
          </w:p>
        </w:tc>
        <w:tc>
          <w:tcPr>
            <w:tcW w:w="1559" w:type="dxa"/>
          </w:tcPr>
          <w:p w14:paraId="3C0DE045" w14:textId="77777777" w:rsidR="00292191" w:rsidRDefault="00292191" w:rsidP="0066301C">
            <w:r>
              <w:t>-5.731</w:t>
            </w:r>
          </w:p>
        </w:tc>
        <w:tc>
          <w:tcPr>
            <w:tcW w:w="1558" w:type="dxa"/>
          </w:tcPr>
          <w:p w14:paraId="7B617B53" w14:textId="77777777" w:rsidR="00292191" w:rsidRDefault="00292191" w:rsidP="0066301C">
            <w:r>
              <w:t>-5.726</w:t>
            </w:r>
          </w:p>
        </w:tc>
      </w:tr>
      <w:tr w:rsidR="00292191" w14:paraId="790B9A75" w14:textId="77777777" w:rsidTr="00D46B41">
        <w:tc>
          <w:tcPr>
            <w:tcW w:w="1985" w:type="dxa"/>
          </w:tcPr>
          <w:p w14:paraId="534B7AAB" w14:textId="77777777" w:rsidR="00292191" w:rsidRDefault="00292191" w:rsidP="0066301C">
            <w:r>
              <w:t>GOVCON</w:t>
            </w:r>
          </w:p>
        </w:tc>
        <w:tc>
          <w:tcPr>
            <w:tcW w:w="1418" w:type="dxa"/>
          </w:tcPr>
          <w:p w14:paraId="11ADD57B" w14:textId="77777777" w:rsidR="00292191" w:rsidRDefault="00292191" w:rsidP="0066301C">
            <w:r>
              <w:t>-2.702</w:t>
            </w:r>
          </w:p>
        </w:tc>
        <w:tc>
          <w:tcPr>
            <w:tcW w:w="1559" w:type="dxa"/>
          </w:tcPr>
          <w:p w14:paraId="54E37D9D" w14:textId="77777777" w:rsidR="00292191" w:rsidRDefault="00292191" w:rsidP="0066301C">
            <w:r>
              <w:t>-2.685</w:t>
            </w:r>
          </w:p>
        </w:tc>
        <w:tc>
          <w:tcPr>
            <w:tcW w:w="1418" w:type="dxa"/>
          </w:tcPr>
          <w:p w14:paraId="3656D723" w14:textId="77777777" w:rsidR="00292191" w:rsidRDefault="00292191" w:rsidP="0066301C">
            <w:r>
              <w:t>-7.204</w:t>
            </w:r>
          </w:p>
        </w:tc>
        <w:tc>
          <w:tcPr>
            <w:tcW w:w="1559" w:type="dxa"/>
          </w:tcPr>
          <w:p w14:paraId="3C883128" w14:textId="77777777" w:rsidR="00292191" w:rsidRDefault="00292191" w:rsidP="0066301C">
            <w:r>
              <w:t>-7.243</w:t>
            </w:r>
          </w:p>
        </w:tc>
        <w:tc>
          <w:tcPr>
            <w:tcW w:w="1559" w:type="dxa"/>
          </w:tcPr>
          <w:p w14:paraId="4FD2A465" w14:textId="77777777" w:rsidR="00292191" w:rsidRDefault="00292191" w:rsidP="0066301C">
            <w:r>
              <w:t>-2.554</w:t>
            </w:r>
          </w:p>
        </w:tc>
        <w:tc>
          <w:tcPr>
            <w:tcW w:w="1560" w:type="dxa"/>
          </w:tcPr>
          <w:p w14:paraId="5EF9A0DD" w14:textId="77777777" w:rsidR="00292191" w:rsidRDefault="00292191" w:rsidP="0066301C">
            <w:r>
              <w:t>-2.619</w:t>
            </w:r>
          </w:p>
        </w:tc>
        <w:tc>
          <w:tcPr>
            <w:tcW w:w="1559" w:type="dxa"/>
          </w:tcPr>
          <w:p w14:paraId="299D26E3" w14:textId="77777777" w:rsidR="00292191" w:rsidRDefault="00292191" w:rsidP="0066301C">
            <w:r>
              <w:t>-7.249</w:t>
            </w:r>
          </w:p>
        </w:tc>
        <w:tc>
          <w:tcPr>
            <w:tcW w:w="1558" w:type="dxa"/>
          </w:tcPr>
          <w:p w14:paraId="0CE99BD3" w14:textId="77777777" w:rsidR="00292191" w:rsidRDefault="00292191" w:rsidP="0066301C">
            <w:r>
              <w:t>-7.308</w:t>
            </w:r>
          </w:p>
        </w:tc>
      </w:tr>
      <w:tr w:rsidR="00292191" w14:paraId="0EDBEB88" w14:textId="77777777" w:rsidTr="00D46B41">
        <w:tc>
          <w:tcPr>
            <w:tcW w:w="1985" w:type="dxa"/>
          </w:tcPr>
          <w:p w14:paraId="4D316C2B" w14:textId="77777777" w:rsidR="00292191" w:rsidRDefault="00292191" w:rsidP="0066301C">
            <w:r>
              <w:t>OPEN</w:t>
            </w:r>
          </w:p>
        </w:tc>
        <w:tc>
          <w:tcPr>
            <w:tcW w:w="1418" w:type="dxa"/>
          </w:tcPr>
          <w:p w14:paraId="7C0F9C96" w14:textId="77777777" w:rsidR="00292191" w:rsidRDefault="00292191" w:rsidP="0066301C">
            <w:r>
              <w:t>-2.422</w:t>
            </w:r>
          </w:p>
        </w:tc>
        <w:tc>
          <w:tcPr>
            <w:tcW w:w="1559" w:type="dxa"/>
          </w:tcPr>
          <w:p w14:paraId="7DF72711" w14:textId="77777777" w:rsidR="00292191" w:rsidRDefault="00292191" w:rsidP="0066301C">
            <w:r>
              <w:t>-2.409</w:t>
            </w:r>
          </w:p>
        </w:tc>
        <w:tc>
          <w:tcPr>
            <w:tcW w:w="1418" w:type="dxa"/>
          </w:tcPr>
          <w:p w14:paraId="0DA2ABB1" w14:textId="77777777" w:rsidR="00292191" w:rsidRDefault="00292191" w:rsidP="0066301C">
            <w:r>
              <w:t>-6.524</w:t>
            </w:r>
          </w:p>
        </w:tc>
        <w:tc>
          <w:tcPr>
            <w:tcW w:w="1559" w:type="dxa"/>
          </w:tcPr>
          <w:p w14:paraId="34A16A29" w14:textId="77777777" w:rsidR="00292191" w:rsidRDefault="00292191" w:rsidP="0066301C">
            <w:r>
              <w:t>-6.432</w:t>
            </w:r>
          </w:p>
        </w:tc>
        <w:tc>
          <w:tcPr>
            <w:tcW w:w="1559" w:type="dxa"/>
          </w:tcPr>
          <w:p w14:paraId="2F727DF6" w14:textId="77777777" w:rsidR="00292191" w:rsidRDefault="00292191" w:rsidP="0066301C">
            <w:r>
              <w:t>-2.460</w:t>
            </w:r>
          </w:p>
        </w:tc>
        <w:tc>
          <w:tcPr>
            <w:tcW w:w="1560" w:type="dxa"/>
          </w:tcPr>
          <w:p w14:paraId="565722C1" w14:textId="77777777" w:rsidR="00292191" w:rsidRDefault="00292191" w:rsidP="0066301C">
            <w:r>
              <w:t>-2.457</w:t>
            </w:r>
          </w:p>
        </w:tc>
        <w:tc>
          <w:tcPr>
            <w:tcW w:w="1559" w:type="dxa"/>
          </w:tcPr>
          <w:p w14:paraId="67DD1E87" w14:textId="77777777" w:rsidR="00292191" w:rsidRDefault="00292191" w:rsidP="0066301C">
            <w:r>
              <w:t>-6.775</w:t>
            </w:r>
          </w:p>
        </w:tc>
        <w:tc>
          <w:tcPr>
            <w:tcW w:w="1558" w:type="dxa"/>
          </w:tcPr>
          <w:p w14:paraId="28E907C5" w14:textId="77777777" w:rsidR="00292191" w:rsidRDefault="00292191" w:rsidP="0066301C">
            <w:r>
              <w:t>-6.626</w:t>
            </w:r>
          </w:p>
        </w:tc>
      </w:tr>
      <w:tr w:rsidR="00292191" w14:paraId="06195E97" w14:textId="77777777" w:rsidTr="00D46B41">
        <w:tc>
          <w:tcPr>
            <w:tcW w:w="1985" w:type="dxa"/>
          </w:tcPr>
          <w:p w14:paraId="25E78784" w14:textId="77777777" w:rsidR="00292191" w:rsidRDefault="00292191" w:rsidP="0066301C">
            <w:r>
              <w:t>PROD</w:t>
            </w:r>
          </w:p>
        </w:tc>
        <w:tc>
          <w:tcPr>
            <w:tcW w:w="1418" w:type="dxa"/>
          </w:tcPr>
          <w:p w14:paraId="3E4694E4" w14:textId="77777777" w:rsidR="00292191" w:rsidRDefault="00292191" w:rsidP="0066301C">
            <w:r>
              <w:t>-0.928</w:t>
            </w:r>
          </w:p>
        </w:tc>
        <w:tc>
          <w:tcPr>
            <w:tcW w:w="1559" w:type="dxa"/>
          </w:tcPr>
          <w:p w14:paraId="34CAC2AD" w14:textId="77777777" w:rsidR="00292191" w:rsidRDefault="00292191" w:rsidP="0066301C">
            <w:r>
              <w:t>-1.789</w:t>
            </w:r>
          </w:p>
        </w:tc>
        <w:tc>
          <w:tcPr>
            <w:tcW w:w="1418" w:type="dxa"/>
          </w:tcPr>
          <w:p w14:paraId="619B2423" w14:textId="77777777" w:rsidR="00292191" w:rsidRDefault="00292191" w:rsidP="0066301C">
            <w:r>
              <w:t>-6.812</w:t>
            </w:r>
          </w:p>
        </w:tc>
        <w:tc>
          <w:tcPr>
            <w:tcW w:w="1559" w:type="dxa"/>
          </w:tcPr>
          <w:p w14:paraId="17C642E3" w14:textId="77777777" w:rsidR="00292191" w:rsidRDefault="00292191" w:rsidP="0066301C">
            <w:r>
              <w:t>-6.814</w:t>
            </w:r>
          </w:p>
        </w:tc>
        <w:tc>
          <w:tcPr>
            <w:tcW w:w="1559" w:type="dxa"/>
          </w:tcPr>
          <w:p w14:paraId="2C00AEB8" w14:textId="77777777" w:rsidR="00292191" w:rsidRDefault="00292191" w:rsidP="0066301C">
            <w:r>
              <w:t>-0.835</w:t>
            </w:r>
          </w:p>
        </w:tc>
        <w:tc>
          <w:tcPr>
            <w:tcW w:w="1560" w:type="dxa"/>
          </w:tcPr>
          <w:p w14:paraId="313BA1C9" w14:textId="77777777" w:rsidR="00292191" w:rsidRDefault="00292191" w:rsidP="0066301C">
            <w:r>
              <w:t>-1.789</w:t>
            </w:r>
          </w:p>
        </w:tc>
        <w:tc>
          <w:tcPr>
            <w:tcW w:w="1559" w:type="dxa"/>
          </w:tcPr>
          <w:p w14:paraId="57BA66CC" w14:textId="77777777" w:rsidR="00292191" w:rsidRDefault="00292191" w:rsidP="0066301C">
            <w:r>
              <w:t>-6.871</w:t>
            </w:r>
          </w:p>
        </w:tc>
        <w:tc>
          <w:tcPr>
            <w:tcW w:w="1558" w:type="dxa"/>
          </w:tcPr>
          <w:p w14:paraId="25068497" w14:textId="77777777" w:rsidR="00292191" w:rsidRDefault="00292191" w:rsidP="0066301C">
            <w:r>
              <w:t>-6.889</w:t>
            </w:r>
          </w:p>
        </w:tc>
      </w:tr>
      <w:tr w:rsidR="00292191" w14:paraId="5A30F223" w14:textId="77777777" w:rsidTr="00D46B41">
        <w:tc>
          <w:tcPr>
            <w:tcW w:w="14175" w:type="dxa"/>
            <w:gridSpan w:val="9"/>
          </w:tcPr>
          <w:p w14:paraId="164E7025" w14:textId="77777777" w:rsidR="00292191" w:rsidRDefault="00292191" w:rsidP="0066301C">
            <w:pPr>
              <w:jc w:val="center"/>
            </w:pPr>
            <w:r w:rsidRPr="00D05CB2">
              <w:rPr>
                <w:b/>
                <w:bCs/>
              </w:rPr>
              <w:t>C</w:t>
            </w:r>
            <w:r>
              <w:rPr>
                <w:b/>
                <w:bCs/>
              </w:rPr>
              <w:t>AR</w:t>
            </w:r>
          </w:p>
        </w:tc>
      </w:tr>
      <w:tr w:rsidR="00292191" w14:paraId="6A4C166B" w14:textId="77777777" w:rsidTr="00D46B41">
        <w:tc>
          <w:tcPr>
            <w:tcW w:w="1985" w:type="dxa"/>
          </w:tcPr>
          <w:p w14:paraId="22C6197C" w14:textId="77777777" w:rsidR="00292191" w:rsidRPr="00D05CB2" w:rsidRDefault="00292191" w:rsidP="0066301C">
            <w:pPr>
              <w:rPr>
                <w:b/>
                <w:bCs/>
              </w:rPr>
            </w:pPr>
          </w:p>
        </w:tc>
        <w:tc>
          <w:tcPr>
            <w:tcW w:w="5954" w:type="dxa"/>
            <w:gridSpan w:val="4"/>
          </w:tcPr>
          <w:p w14:paraId="24CC6BB0" w14:textId="77777777" w:rsidR="00292191" w:rsidRDefault="00292191" w:rsidP="0066301C">
            <w:r>
              <w:t>ADF Test</w:t>
            </w:r>
          </w:p>
        </w:tc>
        <w:tc>
          <w:tcPr>
            <w:tcW w:w="6236" w:type="dxa"/>
            <w:gridSpan w:val="4"/>
          </w:tcPr>
          <w:p w14:paraId="514BF6E9" w14:textId="77777777" w:rsidR="00292191" w:rsidRDefault="00292191" w:rsidP="0066301C">
            <w:r>
              <w:t>PP Test</w:t>
            </w:r>
          </w:p>
        </w:tc>
      </w:tr>
      <w:tr w:rsidR="00292191" w14:paraId="3BA64D7D" w14:textId="77777777" w:rsidTr="00D46B41">
        <w:tc>
          <w:tcPr>
            <w:tcW w:w="1985" w:type="dxa"/>
          </w:tcPr>
          <w:p w14:paraId="0404F58B" w14:textId="77777777" w:rsidR="00292191" w:rsidRPr="00D05CB2" w:rsidRDefault="00292191" w:rsidP="0066301C">
            <w:pPr>
              <w:rPr>
                <w:b/>
                <w:bCs/>
              </w:rPr>
            </w:pPr>
          </w:p>
        </w:tc>
        <w:tc>
          <w:tcPr>
            <w:tcW w:w="2977" w:type="dxa"/>
            <w:gridSpan w:val="2"/>
          </w:tcPr>
          <w:p w14:paraId="4D4C93D6" w14:textId="77777777" w:rsidR="00292191" w:rsidRDefault="00292191" w:rsidP="0066301C">
            <w:pPr>
              <w:jc w:val="center"/>
            </w:pPr>
            <w:r>
              <w:t>Level</w:t>
            </w:r>
          </w:p>
        </w:tc>
        <w:tc>
          <w:tcPr>
            <w:tcW w:w="2977" w:type="dxa"/>
            <w:gridSpan w:val="2"/>
          </w:tcPr>
          <w:p w14:paraId="0DD05761" w14:textId="77777777" w:rsidR="00292191" w:rsidRDefault="00292191" w:rsidP="0066301C">
            <w:r>
              <w:t>First Difference</w:t>
            </w:r>
          </w:p>
        </w:tc>
        <w:tc>
          <w:tcPr>
            <w:tcW w:w="3119" w:type="dxa"/>
            <w:gridSpan w:val="2"/>
          </w:tcPr>
          <w:p w14:paraId="0CB4E787" w14:textId="77777777" w:rsidR="00292191" w:rsidRDefault="00292191" w:rsidP="0066301C">
            <w:r>
              <w:t>Level</w:t>
            </w:r>
          </w:p>
        </w:tc>
        <w:tc>
          <w:tcPr>
            <w:tcW w:w="3117" w:type="dxa"/>
            <w:gridSpan w:val="2"/>
          </w:tcPr>
          <w:p w14:paraId="1322DDDE" w14:textId="77777777" w:rsidR="00292191" w:rsidRDefault="00292191" w:rsidP="0066301C">
            <w:r>
              <w:t>First Difference</w:t>
            </w:r>
          </w:p>
        </w:tc>
      </w:tr>
      <w:tr w:rsidR="00292191" w14:paraId="08DD18D3" w14:textId="77777777" w:rsidTr="00D46B41">
        <w:tc>
          <w:tcPr>
            <w:tcW w:w="1985" w:type="dxa"/>
          </w:tcPr>
          <w:p w14:paraId="75F784F5" w14:textId="77777777" w:rsidR="00292191" w:rsidRPr="00D05CB2" w:rsidRDefault="00292191" w:rsidP="0066301C">
            <w:pPr>
              <w:rPr>
                <w:b/>
                <w:bCs/>
              </w:rPr>
            </w:pPr>
            <w:r>
              <w:t>Variables</w:t>
            </w:r>
          </w:p>
        </w:tc>
        <w:tc>
          <w:tcPr>
            <w:tcW w:w="1418" w:type="dxa"/>
          </w:tcPr>
          <w:p w14:paraId="33B48EF6" w14:textId="77777777" w:rsidR="00292191" w:rsidRDefault="00292191" w:rsidP="0066301C">
            <w:r>
              <w:t>Constant</w:t>
            </w:r>
          </w:p>
        </w:tc>
        <w:tc>
          <w:tcPr>
            <w:tcW w:w="1559" w:type="dxa"/>
          </w:tcPr>
          <w:p w14:paraId="30DD32D5" w14:textId="77777777" w:rsidR="00292191" w:rsidRDefault="00292191" w:rsidP="0066301C">
            <w:r>
              <w:t>Trend &amp; Intercept</w:t>
            </w:r>
          </w:p>
        </w:tc>
        <w:tc>
          <w:tcPr>
            <w:tcW w:w="1418" w:type="dxa"/>
          </w:tcPr>
          <w:p w14:paraId="30F3E973" w14:textId="77777777" w:rsidR="00292191" w:rsidRDefault="00292191" w:rsidP="0066301C">
            <w:r>
              <w:t>Constant</w:t>
            </w:r>
          </w:p>
        </w:tc>
        <w:tc>
          <w:tcPr>
            <w:tcW w:w="1559" w:type="dxa"/>
          </w:tcPr>
          <w:p w14:paraId="184FB2FA" w14:textId="77777777" w:rsidR="00292191" w:rsidRDefault="00292191" w:rsidP="0066301C">
            <w:r>
              <w:t>Trend &amp; Intercept</w:t>
            </w:r>
          </w:p>
        </w:tc>
        <w:tc>
          <w:tcPr>
            <w:tcW w:w="1559" w:type="dxa"/>
          </w:tcPr>
          <w:p w14:paraId="4491DE43" w14:textId="77777777" w:rsidR="00292191" w:rsidRDefault="00292191" w:rsidP="0066301C">
            <w:r>
              <w:t>Constant</w:t>
            </w:r>
          </w:p>
        </w:tc>
        <w:tc>
          <w:tcPr>
            <w:tcW w:w="1560" w:type="dxa"/>
          </w:tcPr>
          <w:p w14:paraId="2B088815" w14:textId="77777777" w:rsidR="00292191" w:rsidRDefault="00292191" w:rsidP="0066301C">
            <w:r>
              <w:t>Trend &amp; Intercept</w:t>
            </w:r>
          </w:p>
        </w:tc>
        <w:tc>
          <w:tcPr>
            <w:tcW w:w="1559" w:type="dxa"/>
          </w:tcPr>
          <w:p w14:paraId="01595C02" w14:textId="77777777" w:rsidR="00292191" w:rsidRDefault="00292191" w:rsidP="0066301C">
            <w:r>
              <w:t>Constant</w:t>
            </w:r>
          </w:p>
        </w:tc>
        <w:tc>
          <w:tcPr>
            <w:tcW w:w="1558" w:type="dxa"/>
          </w:tcPr>
          <w:p w14:paraId="5C2B6C0D" w14:textId="77777777" w:rsidR="00292191" w:rsidRDefault="00292191" w:rsidP="0066301C">
            <w:r>
              <w:t>Trend &amp; Intercept</w:t>
            </w:r>
          </w:p>
        </w:tc>
      </w:tr>
      <w:tr w:rsidR="00292191" w14:paraId="595CF8E6" w14:textId="77777777" w:rsidTr="00D46B41">
        <w:tc>
          <w:tcPr>
            <w:tcW w:w="1985" w:type="dxa"/>
          </w:tcPr>
          <w:p w14:paraId="250E1D63" w14:textId="77777777" w:rsidR="00292191" w:rsidRDefault="00292191" w:rsidP="0066301C">
            <w:r>
              <w:t>REER</w:t>
            </w:r>
          </w:p>
        </w:tc>
        <w:tc>
          <w:tcPr>
            <w:tcW w:w="1418" w:type="dxa"/>
          </w:tcPr>
          <w:p w14:paraId="298A246D" w14:textId="77777777" w:rsidR="00292191" w:rsidRDefault="00292191" w:rsidP="0066301C">
            <w:r>
              <w:t>-2.389</w:t>
            </w:r>
          </w:p>
        </w:tc>
        <w:tc>
          <w:tcPr>
            <w:tcW w:w="1559" w:type="dxa"/>
          </w:tcPr>
          <w:p w14:paraId="33A42BAF" w14:textId="77777777" w:rsidR="00292191" w:rsidRDefault="00292191" w:rsidP="0066301C">
            <w:r>
              <w:t>-1.048</w:t>
            </w:r>
          </w:p>
        </w:tc>
        <w:tc>
          <w:tcPr>
            <w:tcW w:w="1418" w:type="dxa"/>
          </w:tcPr>
          <w:p w14:paraId="3C2CBA5B" w14:textId="77777777" w:rsidR="00292191" w:rsidRDefault="00292191" w:rsidP="0066301C">
            <w:r>
              <w:t>-6.426</w:t>
            </w:r>
          </w:p>
        </w:tc>
        <w:tc>
          <w:tcPr>
            <w:tcW w:w="1559" w:type="dxa"/>
          </w:tcPr>
          <w:p w14:paraId="1AF61079" w14:textId="77777777" w:rsidR="00292191" w:rsidRDefault="00292191" w:rsidP="0066301C">
            <w:r>
              <w:t>-6.905</w:t>
            </w:r>
          </w:p>
        </w:tc>
        <w:tc>
          <w:tcPr>
            <w:tcW w:w="1559" w:type="dxa"/>
          </w:tcPr>
          <w:p w14:paraId="6CE2BC82" w14:textId="77777777" w:rsidR="00292191" w:rsidRDefault="00292191" w:rsidP="0066301C">
            <w:r>
              <w:t>-2.411</w:t>
            </w:r>
          </w:p>
        </w:tc>
        <w:tc>
          <w:tcPr>
            <w:tcW w:w="1560" w:type="dxa"/>
          </w:tcPr>
          <w:p w14:paraId="5166BD2A" w14:textId="77777777" w:rsidR="00292191" w:rsidRDefault="00292191" w:rsidP="0066301C">
            <w:r>
              <w:t>-0.994</w:t>
            </w:r>
          </w:p>
        </w:tc>
        <w:tc>
          <w:tcPr>
            <w:tcW w:w="1559" w:type="dxa"/>
          </w:tcPr>
          <w:p w14:paraId="6D73CA7F" w14:textId="77777777" w:rsidR="00292191" w:rsidRDefault="00292191" w:rsidP="0066301C">
            <w:r>
              <w:t>-6.448</w:t>
            </w:r>
          </w:p>
        </w:tc>
        <w:tc>
          <w:tcPr>
            <w:tcW w:w="1558" w:type="dxa"/>
          </w:tcPr>
          <w:p w14:paraId="0E2C6CF7" w14:textId="77777777" w:rsidR="00292191" w:rsidRDefault="00292191" w:rsidP="0066301C">
            <w:r>
              <w:t>-7.003</w:t>
            </w:r>
          </w:p>
        </w:tc>
      </w:tr>
      <w:tr w:rsidR="00292191" w14:paraId="399675C8" w14:textId="77777777" w:rsidTr="00D46B41">
        <w:tc>
          <w:tcPr>
            <w:tcW w:w="1985" w:type="dxa"/>
          </w:tcPr>
          <w:p w14:paraId="5EC58018" w14:textId="77777777" w:rsidR="00292191" w:rsidRDefault="00292191" w:rsidP="0066301C">
            <w:r>
              <w:t>TOT</w:t>
            </w:r>
          </w:p>
        </w:tc>
        <w:tc>
          <w:tcPr>
            <w:tcW w:w="1418" w:type="dxa"/>
          </w:tcPr>
          <w:p w14:paraId="59D0122D" w14:textId="77777777" w:rsidR="00292191" w:rsidRDefault="00292191" w:rsidP="0066301C">
            <w:r>
              <w:t>-2.484</w:t>
            </w:r>
          </w:p>
        </w:tc>
        <w:tc>
          <w:tcPr>
            <w:tcW w:w="1559" w:type="dxa"/>
          </w:tcPr>
          <w:p w14:paraId="1E56330C" w14:textId="77777777" w:rsidR="00292191" w:rsidRPr="003B14ED" w:rsidRDefault="00292191" w:rsidP="0066301C">
            <w:pPr>
              <w:rPr>
                <w:highlight w:val="yellow"/>
              </w:rPr>
            </w:pPr>
            <w:r w:rsidRPr="000B2324">
              <w:t>-2.869</w:t>
            </w:r>
          </w:p>
        </w:tc>
        <w:tc>
          <w:tcPr>
            <w:tcW w:w="1418" w:type="dxa"/>
          </w:tcPr>
          <w:p w14:paraId="6BF12002" w14:textId="77777777" w:rsidR="00292191" w:rsidRDefault="00292191" w:rsidP="0066301C">
            <w:r>
              <w:t>-8.076</w:t>
            </w:r>
          </w:p>
        </w:tc>
        <w:tc>
          <w:tcPr>
            <w:tcW w:w="1559" w:type="dxa"/>
          </w:tcPr>
          <w:p w14:paraId="1C65E5F7" w14:textId="77777777" w:rsidR="00292191" w:rsidRDefault="00292191" w:rsidP="0066301C">
            <w:r>
              <w:t>-7.973</w:t>
            </w:r>
          </w:p>
        </w:tc>
        <w:tc>
          <w:tcPr>
            <w:tcW w:w="1559" w:type="dxa"/>
          </w:tcPr>
          <w:p w14:paraId="0C33E450" w14:textId="77777777" w:rsidR="00292191" w:rsidRDefault="00292191" w:rsidP="0066301C">
            <w:r>
              <w:t>-2.478</w:t>
            </w:r>
          </w:p>
        </w:tc>
        <w:tc>
          <w:tcPr>
            <w:tcW w:w="1560" w:type="dxa"/>
          </w:tcPr>
          <w:p w14:paraId="3DCA91A7" w14:textId="77777777" w:rsidR="00292191" w:rsidRDefault="00292191" w:rsidP="0066301C">
            <w:r w:rsidRPr="000B2324">
              <w:t>-2.939</w:t>
            </w:r>
          </w:p>
        </w:tc>
        <w:tc>
          <w:tcPr>
            <w:tcW w:w="1559" w:type="dxa"/>
          </w:tcPr>
          <w:p w14:paraId="1F427D2D" w14:textId="77777777" w:rsidR="00292191" w:rsidRDefault="00292191" w:rsidP="0066301C">
            <w:r>
              <w:t>-8.982</w:t>
            </w:r>
          </w:p>
        </w:tc>
        <w:tc>
          <w:tcPr>
            <w:tcW w:w="1558" w:type="dxa"/>
          </w:tcPr>
          <w:p w14:paraId="54C8E217" w14:textId="77777777" w:rsidR="00292191" w:rsidRDefault="00292191" w:rsidP="0066301C">
            <w:r>
              <w:t>-9.612</w:t>
            </w:r>
          </w:p>
        </w:tc>
      </w:tr>
      <w:tr w:rsidR="00292191" w14:paraId="03BCFCC7" w14:textId="77777777" w:rsidTr="00D46B41">
        <w:tc>
          <w:tcPr>
            <w:tcW w:w="1985" w:type="dxa"/>
          </w:tcPr>
          <w:p w14:paraId="5C3142EF" w14:textId="77777777" w:rsidR="00292191" w:rsidRDefault="00292191" w:rsidP="0066301C">
            <w:r>
              <w:t>NFA</w:t>
            </w:r>
          </w:p>
        </w:tc>
        <w:tc>
          <w:tcPr>
            <w:tcW w:w="1418" w:type="dxa"/>
          </w:tcPr>
          <w:p w14:paraId="68E1BD63" w14:textId="77777777" w:rsidR="00292191" w:rsidRDefault="00292191" w:rsidP="0066301C">
            <w:r>
              <w:t>-1.962</w:t>
            </w:r>
          </w:p>
        </w:tc>
        <w:tc>
          <w:tcPr>
            <w:tcW w:w="1559" w:type="dxa"/>
          </w:tcPr>
          <w:p w14:paraId="372B74C1" w14:textId="77777777" w:rsidR="00292191" w:rsidRDefault="00292191" w:rsidP="0066301C">
            <w:r>
              <w:t>-1.912</w:t>
            </w:r>
          </w:p>
        </w:tc>
        <w:tc>
          <w:tcPr>
            <w:tcW w:w="1418" w:type="dxa"/>
          </w:tcPr>
          <w:p w14:paraId="192AD846" w14:textId="77777777" w:rsidR="00292191" w:rsidRDefault="00292191" w:rsidP="0066301C">
            <w:r>
              <w:t>-5.902</w:t>
            </w:r>
          </w:p>
        </w:tc>
        <w:tc>
          <w:tcPr>
            <w:tcW w:w="1559" w:type="dxa"/>
          </w:tcPr>
          <w:p w14:paraId="1BB7A5D6" w14:textId="77777777" w:rsidR="00292191" w:rsidRDefault="00292191" w:rsidP="0066301C">
            <w:r>
              <w:t>-5.836</w:t>
            </w:r>
          </w:p>
        </w:tc>
        <w:tc>
          <w:tcPr>
            <w:tcW w:w="1559" w:type="dxa"/>
          </w:tcPr>
          <w:p w14:paraId="6F61C341" w14:textId="77777777" w:rsidR="00292191" w:rsidRDefault="00292191" w:rsidP="0066301C">
            <w:r>
              <w:t>-2.051</w:t>
            </w:r>
          </w:p>
        </w:tc>
        <w:tc>
          <w:tcPr>
            <w:tcW w:w="1560" w:type="dxa"/>
          </w:tcPr>
          <w:p w14:paraId="148C7D84" w14:textId="77777777" w:rsidR="00292191" w:rsidRDefault="00292191" w:rsidP="0066301C">
            <w:r>
              <w:t>-2.004</w:t>
            </w:r>
          </w:p>
        </w:tc>
        <w:tc>
          <w:tcPr>
            <w:tcW w:w="1559" w:type="dxa"/>
          </w:tcPr>
          <w:p w14:paraId="6CB7EFD1" w14:textId="77777777" w:rsidR="00292191" w:rsidRDefault="00292191" w:rsidP="0066301C">
            <w:r>
              <w:t>-5.902</w:t>
            </w:r>
          </w:p>
        </w:tc>
        <w:tc>
          <w:tcPr>
            <w:tcW w:w="1558" w:type="dxa"/>
          </w:tcPr>
          <w:p w14:paraId="67780DF9" w14:textId="77777777" w:rsidR="00292191" w:rsidRDefault="00292191" w:rsidP="0066301C">
            <w:r>
              <w:t>-5.837</w:t>
            </w:r>
          </w:p>
        </w:tc>
      </w:tr>
      <w:tr w:rsidR="00292191" w14:paraId="0D7C2F4E" w14:textId="77777777" w:rsidTr="00D46B41">
        <w:tc>
          <w:tcPr>
            <w:tcW w:w="1985" w:type="dxa"/>
          </w:tcPr>
          <w:p w14:paraId="043A0050" w14:textId="77777777" w:rsidR="00292191" w:rsidRDefault="00292191" w:rsidP="0066301C">
            <w:r>
              <w:t>GOVCON</w:t>
            </w:r>
          </w:p>
        </w:tc>
        <w:tc>
          <w:tcPr>
            <w:tcW w:w="1418" w:type="dxa"/>
          </w:tcPr>
          <w:p w14:paraId="402AC25F" w14:textId="77777777" w:rsidR="00292191" w:rsidRDefault="00292191" w:rsidP="0066301C">
            <w:r>
              <w:t>-1.819</w:t>
            </w:r>
          </w:p>
        </w:tc>
        <w:tc>
          <w:tcPr>
            <w:tcW w:w="1559" w:type="dxa"/>
          </w:tcPr>
          <w:p w14:paraId="436F9106" w14:textId="77777777" w:rsidR="00292191" w:rsidRDefault="00292191" w:rsidP="0066301C">
            <w:r>
              <w:t>-1.875</w:t>
            </w:r>
          </w:p>
        </w:tc>
        <w:tc>
          <w:tcPr>
            <w:tcW w:w="1418" w:type="dxa"/>
          </w:tcPr>
          <w:p w14:paraId="2A1B7D34" w14:textId="77777777" w:rsidR="00292191" w:rsidRDefault="00292191" w:rsidP="0066301C">
            <w:r>
              <w:t>-5.599</w:t>
            </w:r>
          </w:p>
        </w:tc>
        <w:tc>
          <w:tcPr>
            <w:tcW w:w="1559" w:type="dxa"/>
          </w:tcPr>
          <w:p w14:paraId="7B9F0E8D" w14:textId="77777777" w:rsidR="00292191" w:rsidRDefault="00292191" w:rsidP="0066301C">
            <w:r>
              <w:t>-5.537</w:t>
            </w:r>
          </w:p>
        </w:tc>
        <w:tc>
          <w:tcPr>
            <w:tcW w:w="1559" w:type="dxa"/>
          </w:tcPr>
          <w:p w14:paraId="1FFE2F2F" w14:textId="77777777" w:rsidR="00292191" w:rsidRDefault="00292191" w:rsidP="0066301C">
            <w:r>
              <w:t>-1.819</w:t>
            </w:r>
          </w:p>
        </w:tc>
        <w:tc>
          <w:tcPr>
            <w:tcW w:w="1560" w:type="dxa"/>
          </w:tcPr>
          <w:p w14:paraId="7564F091" w14:textId="77777777" w:rsidR="00292191" w:rsidRDefault="00292191" w:rsidP="0066301C">
            <w:r>
              <w:t>-2.012</w:t>
            </w:r>
          </w:p>
        </w:tc>
        <w:tc>
          <w:tcPr>
            <w:tcW w:w="1559" w:type="dxa"/>
          </w:tcPr>
          <w:p w14:paraId="3C6DEA5B" w14:textId="77777777" w:rsidR="00292191" w:rsidRDefault="00292191" w:rsidP="0066301C">
            <w:r>
              <w:t>-5.579</w:t>
            </w:r>
          </w:p>
        </w:tc>
        <w:tc>
          <w:tcPr>
            <w:tcW w:w="1558" w:type="dxa"/>
          </w:tcPr>
          <w:p w14:paraId="5FC46C50" w14:textId="77777777" w:rsidR="00292191" w:rsidRDefault="00292191" w:rsidP="0066301C">
            <w:r>
              <w:t>-5.513</w:t>
            </w:r>
          </w:p>
        </w:tc>
      </w:tr>
      <w:tr w:rsidR="00292191" w14:paraId="0DA515EA" w14:textId="77777777" w:rsidTr="00D46B41">
        <w:tc>
          <w:tcPr>
            <w:tcW w:w="1985" w:type="dxa"/>
          </w:tcPr>
          <w:p w14:paraId="702F6893" w14:textId="77777777" w:rsidR="00292191" w:rsidRDefault="00292191" w:rsidP="0066301C">
            <w:r>
              <w:t>OPEN</w:t>
            </w:r>
          </w:p>
        </w:tc>
        <w:tc>
          <w:tcPr>
            <w:tcW w:w="1418" w:type="dxa"/>
          </w:tcPr>
          <w:p w14:paraId="65CBB3CE" w14:textId="77777777" w:rsidR="00292191" w:rsidRDefault="00292191" w:rsidP="0066301C">
            <w:r>
              <w:t>-1.753</w:t>
            </w:r>
          </w:p>
        </w:tc>
        <w:tc>
          <w:tcPr>
            <w:tcW w:w="1559" w:type="dxa"/>
          </w:tcPr>
          <w:p w14:paraId="52BDCEF6" w14:textId="77777777" w:rsidR="00292191" w:rsidRDefault="00292191" w:rsidP="0066301C">
            <w:r>
              <w:t>-0.644</w:t>
            </w:r>
          </w:p>
        </w:tc>
        <w:tc>
          <w:tcPr>
            <w:tcW w:w="1418" w:type="dxa"/>
          </w:tcPr>
          <w:p w14:paraId="56B98723" w14:textId="77777777" w:rsidR="00292191" w:rsidRDefault="00292191" w:rsidP="0066301C">
            <w:r>
              <w:t>-4.051</w:t>
            </w:r>
          </w:p>
        </w:tc>
        <w:tc>
          <w:tcPr>
            <w:tcW w:w="1559" w:type="dxa"/>
          </w:tcPr>
          <w:p w14:paraId="26822667" w14:textId="77777777" w:rsidR="00292191" w:rsidRDefault="00292191" w:rsidP="0066301C">
            <w:r>
              <w:t>-4.823</w:t>
            </w:r>
          </w:p>
        </w:tc>
        <w:tc>
          <w:tcPr>
            <w:tcW w:w="1559" w:type="dxa"/>
          </w:tcPr>
          <w:p w14:paraId="6A080B57" w14:textId="77777777" w:rsidR="00292191" w:rsidRDefault="00292191" w:rsidP="0066301C">
            <w:r>
              <w:t>-1.911</w:t>
            </w:r>
          </w:p>
        </w:tc>
        <w:tc>
          <w:tcPr>
            <w:tcW w:w="1560" w:type="dxa"/>
          </w:tcPr>
          <w:p w14:paraId="51A80536" w14:textId="77777777" w:rsidR="00292191" w:rsidRDefault="00292191" w:rsidP="0066301C">
            <w:r>
              <w:t>-0.426</w:t>
            </w:r>
          </w:p>
        </w:tc>
        <w:tc>
          <w:tcPr>
            <w:tcW w:w="1559" w:type="dxa"/>
          </w:tcPr>
          <w:p w14:paraId="35DCC514" w14:textId="77777777" w:rsidR="00292191" w:rsidRDefault="00292191" w:rsidP="0066301C">
            <w:r>
              <w:t>-5.451</w:t>
            </w:r>
          </w:p>
        </w:tc>
        <w:tc>
          <w:tcPr>
            <w:tcW w:w="1558" w:type="dxa"/>
          </w:tcPr>
          <w:p w14:paraId="71816FA6" w14:textId="77777777" w:rsidR="00292191" w:rsidRDefault="00292191" w:rsidP="0066301C">
            <w:r>
              <w:t>-6.050</w:t>
            </w:r>
          </w:p>
        </w:tc>
      </w:tr>
      <w:tr w:rsidR="00292191" w14:paraId="4C3F7BCE" w14:textId="77777777" w:rsidTr="00D46B41">
        <w:tc>
          <w:tcPr>
            <w:tcW w:w="1985" w:type="dxa"/>
          </w:tcPr>
          <w:p w14:paraId="114666FC" w14:textId="77777777" w:rsidR="00292191" w:rsidRDefault="00292191" w:rsidP="0066301C">
            <w:r>
              <w:t>PROD</w:t>
            </w:r>
          </w:p>
        </w:tc>
        <w:tc>
          <w:tcPr>
            <w:tcW w:w="1418" w:type="dxa"/>
          </w:tcPr>
          <w:p w14:paraId="54E99522" w14:textId="77777777" w:rsidR="00292191" w:rsidRDefault="00292191" w:rsidP="0066301C">
            <w:r>
              <w:t>-1.779</w:t>
            </w:r>
          </w:p>
        </w:tc>
        <w:tc>
          <w:tcPr>
            <w:tcW w:w="1559" w:type="dxa"/>
          </w:tcPr>
          <w:p w14:paraId="200B0D0C" w14:textId="77777777" w:rsidR="00292191" w:rsidRDefault="00292191" w:rsidP="0066301C">
            <w:r>
              <w:t>-1.948</w:t>
            </w:r>
          </w:p>
        </w:tc>
        <w:tc>
          <w:tcPr>
            <w:tcW w:w="1418" w:type="dxa"/>
          </w:tcPr>
          <w:p w14:paraId="63005B13" w14:textId="77777777" w:rsidR="00292191" w:rsidRDefault="00292191" w:rsidP="0066301C">
            <w:r>
              <w:t>-6.199</w:t>
            </w:r>
          </w:p>
        </w:tc>
        <w:tc>
          <w:tcPr>
            <w:tcW w:w="1559" w:type="dxa"/>
          </w:tcPr>
          <w:p w14:paraId="1FB2E050" w14:textId="77777777" w:rsidR="00292191" w:rsidRDefault="00292191" w:rsidP="0066301C">
            <w:r>
              <w:t>-6.109</w:t>
            </w:r>
          </w:p>
        </w:tc>
        <w:tc>
          <w:tcPr>
            <w:tcW w:w="1559" w:type="dxa"/>
          </w:tcPr>
          <w:p w14:paraId="2C5432EF" w14:textId="77777777" w:rsidR="00292191" w:rsidRDefault="00292191" w:rsidP="0066301C">
            <w:r>
              <w:t>-1.975</w:t>
            </w:r>
          </w:p>
        </w:tc>
        <w:tc>
          <w:tcPr>
            <w:tcW w:w="1560" w:type="dxa"/>
          </w:tcPr>
          <w:p w14:paraId="3532B472" w14:textId="77777777" w:rsidR="00292191" w:rsidRDefault="00292191" w:rsidP="0066301C">
            <w:r>
              <w:t>-2.166</w:t>
            </w:r>
          </w:p>
        </w:tc>
        <w:tc>
          <w:tcPr>
            <w:tcW w:w="1559" w:type="dxa"/>
          </w:tcPr>
          <w:p w14:paraId="75414709" w14:textId="77777777" w:rsidR="00292191" w:rsidRDefault="00292191" w:rsidP="0066301C">
            <w:r>
              <w:t>-6.197</w:t>
            </w:r>
          </w:p>
        </w:tc>
        <w:tc>
          <w:tcPr>
            <w:tcW w:w="1558" w:type="dxa"/>
          </w:tcPr>
          <w:p w14:paraId="644F2B5D" w14:textId="77777777" w:rsidR="00292191" w:rsidRDefault="00292191" w:rsidP="0066301C">
            <w:r>
              <w:t>-6.109</w:t>
            </w:r>
          </w:p>
        </w:tc>
      </w:tr>
      <w:tr w:rsidR="00292191" w14:paraId="79A5B681" w14:textId="77777777" w:rsidTr="00D46B41">
        <w:tc>
          <w:tcPr>
            <w:tcW w:w="14175" w:type="dxa"/>
            <w:gridSpan w:val="9"/>
          </w:tcPr>
          <w:p w14:paraId="3A7D72B1" w14:textId="77777777" w:rsidR="00292191" w:rsidRDefault="00292191" w:rsidP="0066301C">
            <w:pPr>
              <w:jc w:val="center"/>
            </w:pPr>
            <w:r>
              <w:rPr>
                <w:b/>
                <w:bCs/>
              </w:rPr>
              <w:t>Gabon</w:t>
            </w:r>
          </w:p>
        </w:tc>
      </w:tr>
      <w:tr w:rsidR="00292191" w14:paraId="7EB85D4A" w14:textId="77777777" w:rsidTr="00D46B41">
        <w:tc>
          <w:tcPr>
            <w:tcW w:w="1985" w:type="dxa"/>
          </w:tcPr>
          <w:p w14:paraId="65577AA2" w14:textId="77777777" w:rsidR="00292191" w:rsidRDefault="00292191" w:rsidP="0066301C"/>
        </w:tc>
        <w:tc>
          <w:tcPr>
            <w:tcW w:w="2977" w:type="dxa"/>
            <w:gridSpan w:val="2"/>
          </w:tcPr>
          <w:p w14:paraId="680877C9" w14:textId="77777777" w:rsidR="00292191" w:rsidRDefault="00292191" w:rsidP="0066301C">
            <w:pPr>
              <w:jc w:val="center"/>
            </w:pPr>
            <w:r>
              <w:t>ADF Test</w:t>
            </w:r>
          </w:p>
        </w:tc>
        <w:tc>
          <w:tcPr>
            <w:tcW w:w="1418" w:type="dxa"/>
          </w:tcPr>
          <w:p w14:paraId="27E8392E" w14:textId="77777777" w:rsidR="00292191" w:rsidRDefault="00292191" w:rsidP="0066301C">
            <w:pPr>
              <w:jc w:val="center"/>
            </w:pPr>
          </w:p>
        </w:tc>
        <w:tc>
          <w:tcPr>
            <w:tcW w:w="1559" w:type="dxa"/>
          </w:tcPr>
          <w:p w14:paraId="12E6676A" w14:textId="77777777" w:rsidR="00292191" w:rsidRDefault="00292191" w:rsidP="0066301C">
            <w:pPr>
              <w:jc w:val="center"/>
            </w:pPr>
          </w:p>
        </w:tc>
        <w:tc>
          <w:tcPr>
            <w:tcW w:w="6236" w:type="dxa"/>
            <w:gridSpan w:val="4"/>
          </w:tcPr>
          <w:p w14:paraId="2C1A0ED9" w14:textId="77777777" w:rsidR="00292191" w:rsidRDefault="00292191" w:rsidP="0066301C">
            <w:pPr>
              <w:jc w:val="center"/>
            </w:pPr>
            <w:r>
              <w:t>PP Test</w:t>
            </w:r>
          </w:p>
        </w:tc>
      </w:tr>
      <w:tr w:rsidR="00292191" w14:paraId="549E36C5" w14:textId="77777777" w:rsidTr="00D46B41">
        <w:tc>
          <w:tcPr>
            <w:tcW w:w="1985" w:type="dxa"/>
          </w:tcPr>
          <w:p w14:paraId="01DFE483" w14:textId="77777777" w:rsidR="00292191" w:rsidRDefault="00292191" w:rsidP="0066301C"/>
        </w:tc>
        <w:tc>
          <w:tcPr>
            <w:tcW w:w="2977" w:type="dxa"/>
            <w:gridSpan w:val="2"/>
          </w:tcPr>
          <w:p w14:paraId="054E1630" w14:textId="77777777" w:rsidR="00292191" w:rsidRDefault="00292191" w:rsidP="0066301C">
            <w:pPr>
              <w:jc w:val="center"/>
            </w:pPr>
            <w:r>
              <w:t>Level</w:t>
            </w:r>
          </w:p>
        </w:tc>
        <w:tc>
          <w:tcPr>
            <w:tcW w:w="2977" w:type="dxa"/>
            <w:gridSpan w:val="2"/>
          </w:tcPr>
          <w:p w14:paraId="1FB5E371" w14:textId="77777777" w:rsidR="00292191" w:rsidRDefault="00292191" w:rsidP="0066301C">
            <w:pPr>
              <w:jc w:val="center"/>
            </w:pPr>
            <w:r>
              <w:t>First Difference</w:t>
            </w:r>
          </w:p>
        </w:tc>
        <w:tc>
          <w:tcPr>
            <w:tcW w:w="3119" w:type="dxa"/>
            <w:gridSpan w:val="2"/>
          </w:tcPr>
          <w:p w14:paraId="1FE332C5" w14:textId="77777777" w:rsidR="00292191" w:rsidRDefault="00292191" w:rsidP="0066301C">
            <w:pPr>
              <w:jc w:val="center"/>
            </w:pPr>
            <w:r>
              <w:t>Level</w:t>
            </w:r>
          </w:p>
        </w:tc>
        <w:tc>
          <w:tcPr>
            <w:tcW w:w="3117" w:type="dxa"/>
            <w:gridSpan w:val="2"/>
          </w:tcPr>
          <w:p w14:paraId="6A1F7A28" w14:textId="77777777" w:rsidR="00292191" w:rsidRDefault="00292191" w:rsidP="0066301C">
            <w:pPr>
              <w:jc w:val="center"/>
            </w:pPr>
            <w:r>
              <w:t>First Difference</w:t>
            </w:r>
          </w:p>
        </w:tc>
      </w:tr>
      <w:tr w:rsidR="00292191" w14:paraId="6EC2C9B4" w14:textId="77777777" w:rsidTr="00D46B41">
        <w:tc>
          <w:tcPr>
            <w:tcW w:w="1985" w:type="dxa"/>
          </w:tcPr>
          <w:p w14:paraId="54A80AD1" w14:textId="77777777" w:rsidR="00292191" w:rsidRDefault="00292191" w:rsidP="0066301C">
            <w:r>
              <w:lastRenderedPageBreak/>
              <w:t>Variables</w:t>
            </w:r>
          </w:p>
        </w:tc>
        <w:tc>
          <w:tcPr>
            <w:tcW w:w="1418" w:type="dxa"/>
          </w:tcPr>
          <w:p w14:paraId="4DB3D94E" w14:textId="77777777" w:rsidR="00292191" w:rsidRDefault="00292191" w:rsidP="0066301C">
            <w:pPr>
              <w:jc w:val="center"/>
            </w:pPr>
            <w:r>
              <w:t>Constant</w:t>
            </w:r>
          </w:p>
        </w:tc>
        <w:tc>
          <w:tcPr>
            <w:tcW w:w="1559" w:type="dxa"/>
          </w:tcPr>
          <w:p w14:paraId="07A455F6" w14:textId="77777777" w:rsidR="00292191" w:rsidRDefault="00292191" w:rsidP="0066301C">
            <w:pPr>
              <w:jc w:val="center"/>
            </w:pPr>
            <w:r>
              <w:t>Trend &amp; Intercept</w:t>
            </w:r>
          </w:p>
        </w:tc>
        <w:tc>
          <w:tcPr>
            <w:tcW w:w="1418" w:type="dxa"/>
          </w:tcPr>
          <w:p w14:paraId="468282ED" w14:textId="77777777" w:rsidR="00292191" w:rsidRDefault="00292191" w:rsidP="0066301C">
            <w:pPr>
              <w:jc w:val="center"/>
            </w:pPr>
            <w:r>
              <w:t>Constant</w:t>
            </w:r>
          </w:p>
        </w:tc>
        <w:tc>
          <w:tcPr>
            <w:tcW w:w="1559" w:type="dxa"/>
          </w:tcPr>
          <w:p w14:paraId="17E59FA8" w14:textId="77777777" w:rsidR="00292191" w:rsidRDefault="00292191" w:rsidP="0066301C">
            <w:pPr>
              <w:jc w:val="center"/>
            </w:pPr>
            <w:r>
              <w:t>Trend &amp; Intercept</w:t>
            </w:r>
          </w:p>
        </w:tc>
        <w:tc>
          <w:tcPr>
            <w:tcW w:w="1559" w:type="dxa"/>
          </w:tcPr>
          <w:p w14:paraId="5F2AB68A" w14:textId="77777777" w:rsidR="00292191" w:rsidRDefault="00292191" w:rsidP="0066301C">
            <w:pPr>
              <w:jc w:val="center"/>
            </w:pPr>
            <w:r>
              <w:t>Constant</w:t>
            </w:r>
          </w:p>
        </w:tc>
        <w:tc>
          <w:tcPr>
            <w:tcW w:w="1560" w:type="dxa"/>
          </w:tcPr>
          <w:p w14:paraId="04A9A30E" w14:textId="77777777" w:rsidR="00292191" w:rsidRDefault="00292191" w:rsidP="0066301C">
            <w:pPr>
              <w:jc w:val="center"/>
            </w:pPr>
            <w:r>
              <w:t>Trend &amp; Intercept</w:t>
            </w:r>
          </w:p>
        </w:tc>
        <w:tc>
          <w:tcPr>
            <w:tcW w:w="1559" w:type="dxa"/>
          </w:tcPr>
          <w:p w14:paraId="7AE0F82B" w14:textId="77777777" w:rsidR="00292191" w:rsidRDefault="00292191" w:rsidP="0066301C">
            <w:pPr>
              <w:jc w:val="center"/>
            </w:pPr>
            <w:r>
              <w:t>Constant</w:t>
            </w:r>
          </w:p>
        </w:tc>
        <w:tc>
          <w:tcPr>
            <w:tcW w:w="1558" w:type="dxa"/>
          </w:tcPr>
          <w:p w14:paraId="239D90A5" w14:textId="77777777" w:rsidR="00292191" w:rsidRDefault="00292191" w:rsidP="0066301C">
            <w:pPr>
              <w:jc w:val="center"/>
            </w:pPr>
            <w:r>
              <w:t>Trend &amp; Intercept</w:t>
            </w:r>
          </w:p>
        </w:tc>
      </w:tr>
      <w:tr w:rsidR="00292191" w14:paraId="66765D53" w14:textId="77777777" w:rsidTr="00D46B41">
        <w:tc>
          <w:tcPr>
            <w:tcW w:w="1985" w:type="dxa"/>
          </w:tcPr>
          <w:p w14:paraId="41C0EE55" w14:textId="77777777" w:rsidR="00292191" w:rsidRDefault="00292191" w:rsidP="0066301C">
            <w:r>
              <w:t>REER</w:t>
            </w:r>
          </w:p>
        </w:tc>
        <w:tc>
          <w:tcPr>
            <w:tcW w:w="1418" w:type="dxa"/>
          </w:tcPr>
          <w:p w14:paraId="21841B1B" w14:textId="77777777" w:rsidR="00292191" w:rsidRDefault="00292191" w:rsidP="0066301C">
            <w:r>
              <w:t>-1.850</w:t>
            </w:r>
          </w:p>
        </w:tc>
        <w:tc>
          <w:tcPr>
            <w:tcW w:w="1559" w:type="dxa"/>
          </w:tcPr>
          <w:p w14:paraId="6410A7AF" w14:textId="77777777" w:rsidR="00292191" w:rsidRDefault="00292191" w:rsidP="0066301C">
            <w:r>
              <w:t>-1.574</w:t>
            </w:r>
          </w:p>
        </w:tc>
        <w:tc>
          <w:tcPr>
            <w:tcW w:w="1418" w:type="dxa"/>
          </w:tcPr>
          <w:p w14:paraId="6DFDCC59" w14:textId="77777777" w:rsidR="00292191" w:rsidRDefault="00292191" w:rsidP="0066301C">
            <w:r>
              <w:t>-3.474</w:t>
            </w:r>
          </w:p>
        </w:tc>
        <w:tc>
          <w:tcPr>
            <w:tcW w:w="1559" w:type="dxa"/>
          </w:tcPr>
          <w:p w14:paraId="3C956220" w14:textId="77777777" w:rsidR="00292191" w:rsidRDefault="00292191" w:rsidP="0066301C">
            <w:r>
              <w:t>-3.826</w:t>
            </w:r>
          </w:p>
        </w:tc>
        <w:tc>
          <w:tcPr>
            <w:tcW w:w="1559" w:type="dxa"/>
          </w:tcPr>
          <w:p w14:paraId="49E23FC3" w14:textId="77777777" w:rsidR="00292191" w:rsidRDefault="00292191" w:rsidP="0066301C">
            <w:r>
              <w:t>-1.851</w:t>
            </w:r>
          </w:p>
        </w:tc>
        <w:tc>
          <w:tcPr>
            <w:tcW w:w="1560" w:type="dxa"/>
          </w:tcPr>
          <w:p w14:paraId="07B50964" w14:textId="77777777" w:rsidR="00292191" w:rsidRDefault="00292191" w:rsidP="0066301C">
            <w:r>
              <w:t>-1.679</w:t>
            </w:r>
          </w:p>
        </w:tc>
        <w:tc>
          <w:tcPr>
            <w:tcW w:w="1559" w:type="dxa"/>
          </w:tcPr>
          <w:p w14:paraId="4735E3DF" w14:textId="77777777" w:rsidR="00292191" w:rsidRDefault="00292191" w:rsidP="0066301C">
            <w:r>
              <w:t>-6.577</w:t>
            </w:r>
          </w:p>
        </w:tc>
        <w:tc>
          <w:tcPr>
            <w:tcW w:w="1558" w:type="dxa"/>
          </w:tcPr>
          <w:p w14:paraId="7973B1BB" w14:textId="77777777" w:rsidR="00292191" w:rsidRDefault="00292191" w:rsidP="0066301C">
            <w:r>
              <w:t>-6.653</w:t>
            </w:r>
          </w:p>
        </w:tc>
      </w:tr>
      <w:tr w:rsidR="00292191" w14:paraId="79A82CBF" w14:textId="77777777" w:rsidTr="00D46B41">
        <w:tc>
          <w:tcPr>
            <w:tcW w:w="1985" w:type="dxa"/>
          </w:tcPr>
          <w:p w14:paraId="65E725DF" w14:textId="77777777" w:rsidR="00292191" w:rsidRDefault="00292191" w:rsidP="0066301C">
            <w:r>
              <w:t>TOT</w:t>
            </w:r>
          </w:p>
        </w:tc>
        <w:tc>
          <w:tcPr>
            <w:tcW w:w="1418" w:type="dxa"/>
          </w:tcPr>
          <w:p w14:paraId="6FA4CB5A" w14:textId="77777777" w:rsidR="00292191" w:rsidRDefault="00292191" w:rsidP="0066301C">
            <w:r>
              <w:t>-2.545</w:t>
            </w:r>
          </w:p>
        </w:tc>
        <w:tc>
          <w:tcPr>
            <w:tcW w:w="1559" w:type="dxa"/>
          </w:tcPr>
          <w:p w14:paraId="201A38C1" w14:textId="77777777" w:rsidR="00292191" w:rsidRDefault="00292191" w:rsidP="0066301C">
            <w:r>
              <w:t>-3.489</w:t>
            </w:r>
          </w:p>
        </w:tc>
        <w:tc>
          <w:tcPr>
            <w:tcW w:w="1418" w:type="dxa"/>
          </w:tcPr>
          <w:p w14:paraId="28FFFDBC" w14:textId="77777777" w:rsidR="00292191" w:rsidRDefault="00292191" w:rsidP="0066301C">
            <w:r>
              <w:t>-8.212</w:t>
            </w:r>
          </w:p>
        </w:tc>
        <w:tc>
          <w:tcPr>
            <w:tcW w:w="1559" w:type="dxa"/>
          </w:tcPr>
          <w:p w14:paraId="7FB5E2EB" w14:textId="77777777" w:rsidR="00292191" w:rsidRDefault="00292191" w:rsidP="0066301C">
            <w:r>
              <w:t>-8.094</w:t>
            </w:r>
          </w:p>
        </w:tc>
        <w:tc>
          <w:tcPr>
            <w:tcW w:w="1559" w:type="dxa"/>
          </w:tcPr>
          <w:p w14:paraId="7FCF5877" w14:textId="77777777" w:rsidR="00292191" w:rsidRDefault="00292191" w:rsidP="0066301C">
            <w:r>
              <w:t>-2.519</w:t>
            </w:r>
          </w:p>
        </w:tc>
        <w:tc>
          <w:tcPr>
            <w:tcW w:w="1560" w:type="dxa"/>
          </w:tcPr>
          <w:p w14:paraId="5081BA40" w14:textId="77777777" w:rsidR="00292191" w:rsidRDefault="00292191" w:rsidP="0066301C">
            <w:r>
              <w:t>3.464</w:t>
            </w:r>
          </w:p>
        </w:tc>
        <w:tc>
          <w:tcPr>
            <w:tcW w:w="1559" w:type="dxa"/>
          </w:tcPr>
          <w:p w14:paraId="1BD30E2E" w14:textId="77777777" w:rsidR="00292191" w:rsidRDefault="00292191" w:rsidP="0066301C">
            <w:r>
              <w:t>-8.644</w:t>
            </w:r>
          </w:p>
        </w:tc>
        <w:tc>
          <w:tcPr>
            <w:tcW w:w="1558" w:type="dxa"/>
          </w:tcPr>
          <w:p w14:paraId="0AD3C7E4" w14:textId="77777777" w:rsidR="00292191" w:rsidRDefault="00292191" w:rsidP="0066301C">
            <w:r>
              <w:t>-8.512</w:t>
            </w:r>
          </w:p>
        </w:tc>
      </w:tr>
      <w:tr w:rsidR="00292191" w14:paraId="355B441D" w14:textId="77777777" w:rsidTr="00D46B41">
        <w:tc>
          <w:tcPr>
            <w:tcW w:w="1985" w:type="dxa"/>
          </w:tcPr>
          <w:p w14:paraId="43C9A10F" w14:textId="77777777" w:rsidR="00292191" w:rsidRDefault="00292191" w:rsidP="0066301C">
            <w:r>
              <w:t>NFA</w:t>
            </w:r>
          </w:p>
        </w:tc>
        <w:tc>
          <w:tcPr>
            <w:tcW w:w="1418" w:type="dxa"/>
          </w:tcPr>
          <w:p w14:paraId="29349817" w14:textId="77777777" w:rsidR="00292191" w:rsidRDefault="00292191" w:rsidP="0066301C">
            <w:r>
              <w:t>-1.698</w:t>
            </w:r>
          </w:p>
        </w:tc>
        <w:tc>
          <w:tcPr>
            <w:tcW w:w="1559" w:type="dxa"/>
          </w:tcPr>
          <w:p w14:paraId="61BB6373" w14:textId="77777777" w:rsidR="00292191" w:rsidRDefault="00292191" w:rsidP="0066301C">
            <w:r>
              <w:t>-2.112</w:t>
            </w:r>
          </w:p>
        </w:tc>
        <w:tc>
          <w:tcPr>
            <w:tcW w:w="1418" w:type="dxa"/>
          </w:tcPr>
          <w:p w14:paraId="6CE31C59" w14:textId="77777777" w:rsidR="00292191" w:rsidRDefault="00292191" w:rsidP="0066301C">
            <w:r>
              <w:t>-6.283</w:t>
            </w:r>
          </w:p>
        </w:tc>
        <w:tc>
          <w:tcPr>
            <w:tcW w:w="1559" w:type="dxa"/>
          </w:tcPr>
          <w:p w14:paraId="5FC37FE9" w14:textId="77777777" w:rsidR="00292191" w:rsidRDefault="00292191" w:rsidP="0066301C">
            <w:r>
              <w:t>-6.186</w:t>
            </w:r>
          </w:p>
        </w:tc>
        <w:tc>
          <w:tcPr>
            <w:tcW w:w="1559" w:type="dxa"/>
          </w:tcPr>
          <w:p w14:paraId="6A0EF7F7" w14:textId="77777777" w:rsidR="00292191" w:rsidRDefault="00292191" w:rsidP="0066301C">
            <w:r>
              <w:t>-1.707</w:t>
            </w:r>
          </w:p>
        </w:tc>
        <w:tc>
          <w:tcPr>
            <w:tcW w:w="1560" w:type="dxa"/>
          </w:tcPr>
          <w:p w14:paraId="5B4BB544" w14:textId="77777777" w:rsidR="00292191" w:rsidRDefault="00292191" w:rsidP="0066301C">
            <w:r>
              <w:t>-2.112</w:t>
            </w:r>
          </w:p>
        </w:tc>
        <w:tc>
          <w:tcPr>
            <w:tcW w:w="1559" w:type="dxa"/>
          </w:tcPr>
          <w:p w14:paraId="0275D92F" w14:textId="77777777" w:rsidR="00292191" w:rsidRDefault="00292191" w:rsidP="0066301C">
            <w:r>
              <w:t>-6.309</w:t>
            </w:r>
          </w:p>
        </w:tc>
        <w:tc>
          <w:tcPr>
            <w:tcW w:w="1558" w:type="dxa"/>
          </w:tcPr>
          <w:p w14:paraId="7E198DA1" w14:textId="77777777" w:rsidR="00292191" w:rsidRDefault="00292191" w:rsidP="0066301C">
            <w:r>
              <w:t>-6.206</w:t>
            </w:r>
          </w:p>
        </w:tc>
      </w:tr>
      <w:tr w:rsidR="00292191" w14:paraId="73E2E3D8" w14:textId="77777777" w:rsidTr="00D46B41">
        <w:tc>
          <w:tcPr>
            <w:tcW w:w="1985" w:type="dxa"/>
          </w:tcPr>
          <w:p w14:paraId="0950E93A" w14:textId="77777777" w:rsidR="00292191" w:rsidRDefault="00292191" w:rsidP="0066301C">
            <w:r>
              <w:t>GOVCON</w:t>
            </w:r>
          </w:p>
        </w:tc>
        <w:tc>
          <w:tcPr>
            <w:tcW w:w="1418" w:type="dxa"/>
          </w:tcPr>
          <w:p w14:paraId="000FFDA3" w14:textId="77777777" w:rsidR="00292191" w:rsidRDefault="00292191" w:rsidP="0066301C">
            <w:r>
              <w:t>-2.254</w:t>
            </w:r>
          </w:p>
        </w:tc>
        <w:tc>
          <w:tcPr>
            <w:tcW w:w="1559" w:type="dxa"/>
          </w:tcPr>
          <w:p w14:paraId="00820619" w14:textId="77777777" w:rsidR="00292191" w:rsidRDefault="00292191" w:rsidP="0066301C">
            <w:r>
              <w:t>-2.792</w:t>
            </w:r>
          </w:p>
        </w:tc>
        <w:tc>
          <w:tcPr>
            <w:tcW w:w="1418" w:type="dxa"/>
          </w:tcPr>
          <w:p w14:paraId="1730A32F" w14:textId="77777777" w:rsidR="00292191" w:rsidRDefault="00292191" w:rsidP="0066301C">
            <w:r>
              <w:t>-4.952</w:t>
            </w:r>
          </w:p>
        </w:tc>
        <w:tc>
          <w:tcPr>
            <w:tcW w:w="1559" w:type="dxa"/>
          </w:tcPr>
          <w:p w14:paraId="3FF108C0" w14:textId="77777777" w:rsidR="00292191" w:rsidRDefault="00292191" w:rsidP="0066301C">
            <w:r>
              <w:t>-4.909</w:t>
            </w:r>
          </w:p>
        </w:tc>
        <w:tc>
          <w:tcPr>
            <w:tcW w:w="1559" w:type="dxa"/>
          </w:tcPr>
          <w:p w14:paraId="1CE98502" w14:textId="77777777" w:rsidR="00292191" w:rsidRDefault="00292191" w:rsidP="0066301C">
            <w:r>
              <w:t>-2.441</w:t>
            </w:r>
          </w:p>
        </w:tc>
        <w:tc>
          <w:tcPr>
            <w:tcW w:w="1560" w:type="dxa"/>
          </w:tcPr>
          <w:p w14:paraId="45A05207" w14:textId="77777777" w:rsidR="00292191" w:rsidRDefault="00292191" w:rsidP="0066301C">
            <w:r>
              <w:t>-2.919</w:t>
            </w:r>
          </w:p>
        </w:tc>
        <w:tc>
          <w:tcPr>
            <w:tcW w:w="1559" w:type="dxa"/>
          </w:tcPr>
          <w:p w14:paraId="3277A824" w14:textId="77777777" w:rsidR="00292191" w:rsidRDefault="00292191" w:rsidP="0066301C">
            <w:r>
              <w:t>-5.314</w:t>
            </w:r>
          </w:p>
        </w:tc>
        <w:tc>
          <w:tcPr>
            <w:tcW w:w="1558" w:type="dxa"/>
          </w:tcPr>
          <w:p w14:paraId="337A3F80" w14:textId="77777777" w:rsidR="00292191" w:rsidRDefault="00292191" w:rsidP="0066301C">
            <w:r>
              <w:t>-5.258</w:t>
            </w:r>
          </w:p>
        </w:tc>
      </w:tr>
      <w:tr w:rsidR="00292191" w14:paraId="73F94148" w14:textId="77777777" w:rsidTr="00D46B41">
        <w:tc>
          <w:tcPr>
            <w:tcW w:w="1985" w:type="dxa"/>
          </w:tcPr>
          <w:p w14:paraId="624BC735" w14:textId="77777777" w:rsidR="00292191" w:rsidRDefault="00292191" w:rsidP="0066301C">
            <w:r>
              <w:t>OPEN</w:t>
            </w:r>
          </w:p>
        </w:tc>
        <w:tc>
          <w:tcPr>
            <w:tcW w:w="1418" w:type="dxa"/>
          </w:tcPr>
          <w:p w14:paraId="10263245" w14:textId="77777777" w:rsidR="00292191" w:rsidRDefault="00292191" w:rsidP="0066301C">
            <w:r>
              <w:t>-2.514</w:t>
            </w:r>
          </w:p>
        </w:tc>
        <w:tc>
          <w:tcPr>
            <w:tcW w:w="1559" w:type="dxa"/>
          </w:tcPr>
          <w:p w14:paraId="246337C4" w14:textId="77777777" w:rsidR="00292191" w:rsidRDefault="00292191" w:rsidP="0066301C">
            <w:r>
              <w:t>-3.344</w:t>
            </w:r>
          </w:p>
        </w:tc>
        <w:tc>
          <w:tcPr>
            <w:tcW w:w="1418" w:type="dxa"/>
          </w:tcPr>
          <w:p w14:paraId="0D5F249C" w14:textId="77777777" w:rsidR="00292191" w:rsidRDefault="00292191" w:rsidP="0066301C">
            <w:r>
              <w:t>-9.151</w:t>
            </w:r>
          </w:p>
        </w:tc>
        <w:tc>
          <w:tcPr>
            <w:tcW w:w="1559" w:type="dxa"/>
          </w:tcPr>
          <w:p w14:paraId="160C3650" w14:textId="77777777" w:rsidR="00292191" w:rsidRDefault="00292191" w:rsidP="0066301C">
            <w:r>
              <w:t>-9.020</w:t>
            </w:r>
          </w:p>
        </w:tc>
        <w:tc>
          <w:tcPr>
            <w:tcW w:w="1559" w:type="dxa"/>
          </w:tcPr>
          <w:p w14:paraId="6D8C5308" w14:textId="77777777" w:rsidR="00292191" w:rsidRDefault="00292191" w:rsidP="0066301C">
            <w:r>
              <w:t>-2.514</w:t>
            </w:r>
          </w:p>
        </w:tc>
        <w:tc>
          <w:tcPr>
            <w:tcW w:w="1560" w:type="dxa"/>
          </w:tcPr>
          <w:p w14:paraId="3B5A4E0C" w14:textId="77777777" w:rsidR="00292191" w:rsidRDefault="00292191" w:rsidP="0066301C">
            <w:r>
              <w:t>-3.245</w:t>
            </w:r>
          </w:p>
        </w:tc>
        <w:tc>
          <w:tcPr>
            <w:tcW w:w="1559" w:type="dxa"/>
          </w:tcPr>
          <w:p w14:paraId="1270EAD1" w14:textId="77777777" w:rsidR="00292191" w:rsidRDefault="00292191" w:rsidP="0066301C">
            <w:r>
              <w:t>-9.111</w:t>
            </w:r>
          </w:p>
        </w:tc>
        <w:tc>
          <w:tcPr>
            <w:tcW w:w="1558" w:type="dxa"/>
          </w:tcPr>
          <w:p w14:paraId="10ED2035" w14:textId="77777777" w:rsidR="00292191" w:rsidRDefault="00292191" w:rsidP="0066301C">
            <w:r>
              <w:t>-8.983</w:t>
            </w:r>
          </w:p>
        </w:tc>
      </w:tr>
      <w:tr w:rsidR="00292191" w14:paraId="7E384E74" w14:textId="77777777" w:rsidTr="00D46B41">
        <w:tc>
          <w:tcPr>
            <w:tcW w:w="1985" w:type="dxa"/>
          </w:tcPr>
          <w:p w14:paraId="3C4A518E" w14:textId="77777777" w:rsidR="00292191" w:rsidRDefault="00292191" w:rsidP="0066301C">
            <w:r>
              <w:t>PROD</w:t>
            </w:r>
          </w:p>
        </w:tc>
        <w:tc>
          <w:tcPr>
            <w:tcW w:w="1418" w:type="dxa"/>
          </w:tcPr>
          <w:p w14:paraId="0A278BBB" w14:textId="77777777" w:rsidR="00292191" w:rsidRDefault="00292191" w:rsidP="0066301C">
            <w:r>
              <w:t>-1.266</w:t>
            </w:r>
          </w:p>
        </w:tc>
        <w:tc>
          <w:tcPr>
            <w:tcW w:w="1559" w:type="dxa"/>
          </w:tcPr>
          <w:p w14:paraId="2A2841ED" w14:textId="77777777" w:rsidR="00292191" w:rsidRDefault="00292191" w:rsidP="0066301C">
            <w:r>
              <w:t>-2.421</w:t>
            </w:r>
          </w:p>
        </w:tc>
        <w:tc>
          <w:tcPr>
            <w:tcW w:w="1418" w:type="dxa"/>
          </w:tcPr>
          <w:p w14:paraId="6575F564" w14:textId="77777777" w:rsidR="00292191" w:rsidRDefault="00292191" w:rsidP="0066301C">
            <w:r>
              <w:t>-6.131</w:t>
            </w:r>
          </w:p>
        </w:tc>
        <w:tc>
          <w:tcPr>
            <w:tcW w:w="1559" w:type="dxa"/>
          </w:tcPr>
          <w:p w14:paraId="7953E46D" w14:textId="77777777" w:rsidR="00292191" w:rsidRDefault="00292191" w:rsidP="0066301C">
            <w:r>
              <w:t>-6.063</w:t>
            </w:r>
          </w:p>
        </w:tc>
        <w:tc>
          <w:tcPr>
            <w:tcW w:w="1559" w:type="dxa"/>
          </w:tcPr>
          <w:p w14:paraId="226F2768" w14:textId="77777777" w:rsidR="00292191" w:rsidRDefault="00292191" w:rsidP="0066301C">
            <w:r>
              <w:t>-1.264</w:t>
            </w:r>
          </w:p>
        </w:tc>
        <w:tc>
          <w:tcPr>
            <w:tcW w:w="1560" w:type="dxa"/>
          </w:tcPr>
          <w:p w14:paraId="1D47735C" w14:textId="77777777" w:rsidR="00292191" w:rsidRDefault="00292191" w:rsidP="0066301C">
            <w:r>
              <w:t>-2.507</w:t>
            </w:r>
          </w:p>
        </w:tc>
        <w:tc>
          <w:tcPr>
            <w:tcW w:w="1559" w:type="dxa"/>
          </w:tcPr>
          <w:p w14:paraId="59215B33" w14:textId="77777777" w:rsidR="00292191" w:rsidRDefault="00292191" w:rsidP="0066301C">
            <w:r>
              <w:t>-6.147</w:t>
            </w:r>
          </w:p>
        </w:tc>
        <w:tc>
          <w:tcPr>
            <w:tcW w:w="1558" w:type="dxa"/>
          </w:tcPr>
          <w:p w14:paraId="6FB49801" w14:textId="77777777" w:rsidR="00292191" w:rsidRDefault="00292191" w:rsidP="0066301C">
            <w:r>
              <w:t>-6.073</w:t>
            </w:r>
          </w:p>
        </w:tc>
      </w:tr>
      <w:tr w:rsidR="00292191" w14:paraId="53F3EB4E" w14:textId="77777777" w:rsidTr="00D46B41">
        <w:tc>
          <w:tcPr>
            <w:tcW w:w="14175" w:type="dxa"/>
            <w:gridSpan w:val="9"/>
          </w:tcPr>
          <w:p w14:paraId="5126AE27" w14:textId="77777777" w:rsidR="00292191" w:rsidRDefault="00292191" w:rsidP="0066301C">
            <w:pPr>
              <w:jc w:val="center"/>
            </w:pPr>
            <w:r>
              <w:rPr>
                <w:b/>
                <w:bCs/>
              </w:rPr>
              <w:t>Equatorial Guinea</w:t>
            </w:r>
          </w:p>
        </w:tc>
      </w:tr>
      <w:tr w:rsidR="00292191" w14:paraId="3CEAA5ED" w14:textId="77777777" w:rsidTr="00D46B41">
        <w:tc>
          <w:tcPr>
            <w:tcW w:w="1985" w:type="dxa"/>
          </w:tcPr>
          <w:p w14:paraId="4F96E0B5" w14:textId="77777777" w:rsidR="00292191" w:rsidRPr="00D05CB2" w:rsidRDefault="00292191" w:rsidP="0066301C">
            <w:pPr>
              <w:rPr>
                <w:b/>
                <w:bCs/>
              </w:rPr>
            </w:pPr>
          </w:p>
        </w:tc>
        <w:tc>
          <w:tcPr>
            <w:tcW w:w="1418" w:type="dxa"/>
          </w:tcPr>
          <w:p w14:paraId="6A3763A2" w14:textId="77777777" w:rsidR="00292191" w:rsidRDefault="00292191" w:rsidP="0066301C">
            <w:r>
              <w:t>ADF Test</w:t>
            </w:r>
          </w:p>
        </w:tc>
        <w:tc>
          <w:tcPr>
            <w:tcW w:w="1559" w:type="dxa"/>
          </w:tcPr>
          <w:p w14:paraId="69F61C8F" w14:textId="77777777" w:rsidR="00292191" w:rsidRDefault="00292191" w:rsidP="0066301C">
            <w:r>
              <w:t>PP Test</w:t>
            </w:r>
          </w:p>
        </w:tc>
        <w:tc>
          <w:tcPr>
            <w:tcW w:w="1418" w:type="dxa"/>
          </w:tcPr>
          <w:p w14:paraId="21B28A92" w14:textId="77777777" w:rsidR="00292191" w:rsidRDefault="00292191" w:rsidP="0066301C"/>
        </w:tc>
        <w:tc>
          <w:tcPr>
            <w:tcW w:w="1559" w:type="dxa"/>
          </w:tcPr>
          <w:p w14:paraId="597AB6BD" w14:textId="77777777" w:rsidR="00292191" w:rsidRDefault="00292191" w:rsidP="0066301C"/>
        </w:tc>
        <w:tc>
          <w:tcPr>
            <w:tcW w:w="1559" w:type="dxa"/>
          </w:tcPr>
          <w:p w14:paraId="53C1573C" w14:textId="77777777" w:rsidR="00292191" w:rsidRDefault="00292191" w:rsidP="0066301C"/>
        </w:tc>
        <w:tc>
          <w:tcPr>
            <w:tcW w:w="1560" w:type="dxa"/>
          </w:tcPr>
          <w:p w14:paraId="3B3C8C30" w14:textId="77777777" w:rsidR="00292191" w:rsidRDefault="00292191" w:rsidP="0066301C"/>
        </w:tc>
        <w:tc>
          <w:tcPr>
            <w:tcW w:w="1559" w:type="dxa"/>
          </w:tcPr>
          <w:p w14:paraId="1CDADCCA" w14:textId="77777777" w:rsidR="00292191" w:rsidRDefault="00292191" w:rsidP="0066301C"/>
        </w:tc>
        <w:tc>
          <w:tcPr>
            <w:tcW w:w="1558" w:type="dxa"/>
          </w:tcPr>
          <w:p w14:paraId="1354F293" w14:textId="77777777" w:rsidR="00292191" w:rsidRDefault="00292191" w:rsidP="0066301C"/>
        </w:tc>
      </w:tr>
      <w:tr w:rsidR="00292191" w14:paraId="74BE5440" w14:textId="77777777" w:rsidTr="00D46B41">
        <w:tc>
          <w:tcPr>
            <w:tcW w:w="1985" w:type="dxa"/>
          </w:tcPr>
          <w:p w14:paraId="10EC5B9A" w14:textId="77777777" w:rsidR="00292191" w:rsidRPr="00D05CB2" w:rsidRDefault="00292191" w:rsidP="0066301C">
            <w:pPr>
              <w:rPr>
                <w:b/>
                <w:bCs/>
              </w:rPr>
            </w:pPr>
          </w:p>
        </w:tc>
        <w:tc>
          <w:tcPr>
            <w:tcW w:w="2977" w:type="dxa"/>
            <w:gridSpan w:val="2"/>
          </w:tcPr>
          <w:p w14:paraId="5682E901" w14:textId="77777777" w:rsidR="00292191" w:rsidRDefault="00292191" w:rsidP="0066301C">
            <w:r>
              <w:t>Level</w:t>
            </w:r>
          </w:p>
        </w:tc>
        <w:tc>
          <w:tcPr>
            <w:tcW w:w="2977" w:type="dxa"/>
            <w:gridSpan w:val="2"/>
          </w:tcPr>
          <w:p w14:paraId="77319ED5" w14:textId="77777777" w:rsidR="00292191" w:rsidRDefault="00292191" w:rsidP="0066301C">
            <w:r>
              <w:t>First Difference</w:t>
            </w:r>
          </w:p>
        </w:tc>
        <w:tc>
          <w:tcPr>
            <w:tcW w:w="3119" w:type="dxa"/>
            <w:gridSpan w:val="2"/>
          </w:tcPr>
          <w:p w14:paraId="45A7388E" w14:textId="77777777" w:rsidR="00292191" w:rsidRDefault="00292191" w:rsidP="0066301C">
            <w:r>
              <w:t>Level</w:t>
            </w:r>
          </w:p>
        </w:tc>
        <w:tc>
          <w:tcPr>
            <w:tcW w:w="3117" w:type="dxa"/>
            <w:gridSpan w:val="2"/>
          </w:tcPr>
          <w:p w14:paraId="3B317E12" w14:textId="77777777" w:rsidR="00292191" w:rsidRDefault="00292191" w:rsidP="0066301C">
            <w:r>
              <w:t>First Difference</w:t>
            </w:r>
          </w:p>
        </w:tc>
      </w:tr>
      <w:tr w:rsidR="00292191" w14:paraId="13E09E72" w14:textId="77777777" w:rsidTr="00D46B41">
        <w:tc>
          <w:tcPr>
            <w:tcW w:w="1985" w:type="dxa"/>
          </w:tcPr>
          <w:p w14:paraId="44B301AD" w14:textId="77777777" w:rsidR="00292191" w:rsidRPr="00D05CB2" w:rsidRDefault="00292191" w:rsidP="0066301C">
            <w:pPr>
              <w:rPr>
                <w:b/>
                <w:bCs/>
              </w:rPr>
            </w:pPr>
            <w:r>
              <w:t>Variables</w:t>
            </w:r>
          </w:p>
        </w:tc>
        <w:tc>
          <w:tcPr>
            <w:tcW w:w="1418" w:type="dxa"/>
          </w:tcPr>
          <w:p w14:paraId="22542F61" w14:textId="77777777" w:rsidR="00292191" w:rsidRDefault="00292191" w:rsidP="0066301C">
            <w:r>
              <w:t>Constant</w:t>
            </w:r>
          </w:p>
        </w:tc>
        <w:tc>
          <w:tcPr>
            <w:tcW w:w="1559" w:type="dxa"/>
          </w:tcPr>
          <w:p w14:paraId="12AA5470" w14:textId="77777777" w:rsidR="00292191" w:rsidRDefault="00292191" w:rsidP="0066301C">
            <w:r>
              <w:t>Trend &amp; Intercept</w:t>
            </w:r>
          </w:p>
        </w:tc>
        <w:tc>
          <w:tcPr>
            <w:tcW w:w="1418" w:type="dxa"/>
          </w:tcPr>
          <w:p w14:paraId="2B760902" w14:textId="77777777" w:rsidR="00292191" w:rsidRDefault="00292191" w:rsidP="0066301C">
            <w:r>
              <w:t>Constant</w:t>
            </w:r>
          </w:p>
        </w:tc>
        <w:tc>
          <w:tcPr>
            <w:tcW w:w="1559" w:type="dxa"/>
          </w:tcPr>
          <w:p w14:paraId="6A444DAB" w14:textId="77777777" w:rsidR="00292191" w:rsidRDefault="00292191" w:rsidP="0066301C">
            <w:r>
              <w:t>Trend &amp; Intercept</w:t>
            </w:r>
          </w:p>
        </w:tc>
        <w:tc>
          <w:tcPr>
            <w:tcW w:w="1559" w:type="dxa"/>
          </w:tcPr>
          <w:p w14:paraId="59647EF3" w14:textId="77777777" w:rsidR="00292191" w:rsidRDefault="00292191" w:rsidP="0066301C">
            <w:r>
              <w:t>Constant</w:t>
            </w:r>
          </w:p>
        </w:tc>
        <w:tc>
          <w:tcPr>
            <w:tcW w:w="1560" w:type="dxa"/>
          </w:tcPr>
          <w:p w14:paraId="7F670458" w14:textId="77777777" w:rsidR="00292191" w:rsidRDefault="00292191" w:rsidP="0066301C">
            <w:r>
              <w:t>Trend &amp; Intercept</w:t>
            </w:r>
          </w:p>
        </w:tc>
        <w:tc>
          <w:tcPr>
            <w:tcW w:w="1559" w:type="dxa"/>
          </w:tcPr>
          <w:p w14:paraId="2E1E9C88" w14:textId="77777777" w:rsidR="00292191" w:rsidRDefault="00292191" w:rsidP="0066301C">
            <w:r>
              <w:t>Constant</w:t>
            </w:r>
          </w:p>
        </w:tc>
        <w:tc>
          <w:tcPr>
            <w:tcW w:w="1558" w:type="dxa"/>
          </w:tcPr>
          <w:p w14:paraId="6767CAEC" w14:textId="77777777" w:rsidR="00292191" w:rsidRDefault="00292191" w:rsidP="0066301C">
            <w:r>
              <w:t>Trend &amp; Intercept</w:t>
            </w:r>
          </w:p>
        </w:tc>
      </w:tr>
      <w:tr w:rsidR="00292191" w14:paraId="243387B0" w14:textId="77777777" w:rsidTr="00D46B41">
        <w:tc>
          <w:tcPr>
            <w:tcW w:w="1985" w:type="dxa"/>
          </w:tcPr>
          <w:p w14:paraId="2B2B45AB" w14:textId="77777777" w:rsidR="00292191" w:rsidRDefault="00292191" w:rsidP="0066301C">
            <w:r>
              <w:t>REER</w:t>
            </w:r>
          </w:p>
        </w:tc>
        <w:tc>
          <w:tcPr>
            <w:tcW w:w="1418" w:type="dxa"/>
          </w:tcPr>
          <w:p w14:paraId="361C8B30" w14:textId="77777777" w:rsidR="00292191" w:rsidRDefault="00292191" w:rsidP="0066301C">
            <w:r>
              <w:t>-2.235</w:t>
            </w:r>
          </w:p>
        </w:tc>
        <w:tc>
          <w:tcPr>
            <w:tcW w:w="1559" w:type="dxa"/>
          </w:tcPr>
          <w:p w14:paraId="001470A8" w14:textId="77777777" w:rsidR="00292191" w:rsidRDefault="00292191" w:rsidP="0066301C">
            <w:r>
              <w:t>-3.287</w:t>
            </w:r>
          </w:p>
        </w:tc>
        <w:tc>
          <w:tcPr>
            <w:tcW w:w="1418" w:type="dxa"/>
          </w:tcPr>
          <w:p w14:paraId="2B3283B2" w14:textId="77777777" w:rsidR="00292191" w:rsidRDefault="00292191" w:rsidP="0066301C">
            <w:r>
              <w:t>-5.700</w:t>
            </w:r>
          </w:p>
        </w:tc>
        <w:tc>
          <w:tcPr>
            <w:tcW w:w="1559" w:type="dxa"/>
          </w:tcPr>
          <w:p w14:paraId="4BF31304" w14:textId="77777777" w:rsidR="00292191" w:rsidRDefault="00292191" w:rsidP="0066301C">
            <w:r>
              <w:t>-6.152</w:t>
            </w:r>
          </w:p>
        </w:tc>
        <w:tc>
          <w:tcPr>
            <w:tcW w:w="1559" w:type="dxa"/>
          </w:tcPr>
          <w:p w14:paraId="472D4F47" w14:textId="77777777" w:rsidR="00292191" w:rsidRDefault="00292191" w:rsidP="0066301C">
            <w:r>
              <w:t>-2.370</w:t>
            </w:r>
          </w:p>
        </w:tc>
        <w:tc>
          <w:tcPr>
            <w:tcW w:w="1560" w:type="dxa"/>
          </w:tcPr>
          <w:p w14:paraId="304733EE" w14:textId="77777777" w:rsidR="00292191" w:rsidRDefault="00292191" w:rsidP="0066301C">
            <w:r>
              <w:t>-3.390</w:t>
            </w:r>
          </w:p>
        </w:tc>
        <w:tc>
          <w:tcPr>
            <w:tcW w:w="1559" w:type="dxa"/>
          </w:tcPr>
          <w:p w14:paraId="36A002D5" w14:textId="77777777" w:rsidR="00292191" w:rsidRDefault="00292191" w:rsidP="0066301C">
            <w:r>
              <w:t>-5.699</w:t>
            </w:r>
          </w:p>
        </w:tc>
        <w:tc>
          <w:tcPr>
            <w:tcW w:w="1558" w:type="dxa"/>
          </w:tcPr>
          <w:p w14:paraId="33998942" w14:textId="77777777" w:rsidR="00292191" w:rsidRDefault="00292191" w:rsidP="0066301C">
            <w:r>
              <w:t>-6.163</w:t>
            </w:r>
          </w:p>
        </w:tc>
      </w:tr>
      <w:tr w:rsidR="00292191" w14:paraId="1D26AF1E" w14:textId="77777777" w:rsidTr="00D46B41">
        <w:tc>
          <w:tcPr>
            <w:tcW w:w="1985" w:type="dxa"/>
          </w:tcPr>
          <w:p w14:paraId="67E93530" w14:textId="77777777" w:rsidR="00292191" w:rsidRDefault="00292191" w:rsidP="0066301C">
            <w:r>
              <w:t>TOT</w:t>
            </w:r>
          </w:p>
        </w:tc>
        <w:tc>
          <w:tcPr>
            <w:tcW w:w="1418" w:type="dxa"/>
          </w:tcPr>
          <w:p w14:paraId="78AA72DD" w14:textId="77777777" w:rsidR="00292191" w:rsidRDefault="00292191" w:rsidP="0066301C">
            <w:r>
              <w:t>-1.867</w:t>
            </w:r>
          </w:p>
        </w:tc>
        <w:tc>
          <w:tcPr>
            <w:tcW w:w="1559" w:type="dxa"/>
          </w:tcPr>
          <w:p w14:paraId="3E056EDD" w14:textId="77777777" w:rsidR="00292191" w:rsidRDefault="00292191" w:rsidP="0066301C">
            <w:r>
              <w:t>-2.175</w:t>
            </w:r>
          </w:p>
        </w:tc>
        <w:tc>
          <w:tcPr>
            <w:tcW w:w="1418" w:type="dxa"/>
          </w:tcPr>
          <w:p w14:paraId="717AE162" w14:textId="77777777" w:rsidR="00292191" w:rsidRDefault="00292191" w:rsidP="0066301C">
            <w:r>
              <w:t>-7.590</w:t>
            </w:r>
          </w:p>
        </w:tc>
        <w:tc>
          <w:tcPr>
            <w:tcW w:w="1559" w:type="dxa"/>
          </w:tcPr>
          <w:p w14:paraId="12256949" w14:textId="77777777" w:rsidR="00292191" w:rsidRDefault="00292191" w:rsidP="0066301C">
            <w:r>
              <w:t>-7.496</w:t>
            </w:r>
          </w:p>
        </w:tc>
        <w:tc>
          <w:tcPr>
            <w:tcW w:w="1559" w:type="dxa"/>
          </w:tcPr>
          <w:p w14:paraId="4044D296" w14:textId="77777777" w:rsidR="00292191" w:rsidRDefault="00292191" w:rsidP="0066301C">
            <w:r>
              <w:t>-1.827</w:t>
            </w:r>
          </w:p>
        </w:tc>
        <w:tc>
          <w:tcPr>
            <w:tcW w:w="1560" w:type="dxa"/>
          </w:tcPr>
          <w:p w14:paraId="2B4F9FC2" w14:textId="77777777" w:rsidR="00292191" w:rsidRDefault="00292191" w:rsidP="0066301C">
            <w:r>
              <w:t>-2.269</w:t>
            </w:r>
          </w:p>
        </w:tc>
        <w:tc>
          <w:tcPr>
            <w:tcW w:w="1559" w:type="dxa"/>
          </w:tcPr>
          <w:p w14:paraId="28B09218" w14:textId="77777777" w:rsidR="00292191" w:rsidRDefault="00292191" w:rsidP="0066301C">
            <w:r>
              <w:t>-7.445</w:t>
            </w:r>
          </w:p>
        </w:tc>
        <w:tc>
          <w:tcPr>
            <w:tcW w:w="1558" w:type="dxa"/>
          </w:tcPr>
          <w:p w14:paraId="18E17A8A" w14:textId="77777777" w:rsidR="00292191" w:rsidRDefault="00292191" w:rsidP="0066301C">
            <w:r>
              <w:t>-7.366</w:t>
            </w:r>
          </w:p>
        </w:tc>
      </w:tr>
      <w:tr w:rsidR="00292191" w14:paraId="1A112744" w14:textId="77777777" w:rsidTr="00D46B41">
        <w:tc>
          <w:tcPr>
            <w:tcW w:w="1985" w:type="dxa"/>
          </w:tcPr>
          <w:p w14:paraId="7018C11A" w14:textId="77777777" w:rsidR="00292191" w:rsidRDefault="00292191" w:rsidP="0066301C">
            <w:r>
              <w:t>NFA</w:t>
            </w:r>
          </w:p>
        </w:tc>
        <w:tc>
          <w:tcPr>
            <w:tcW w:w="1418" w:type="dxa"/>
          </w:tcPr>
          <w:p w14:paraId="00B4ECEC" w14:textId="77777777" w:rsidR="00292191" w:rsidRDefault="00292191" w:rsidP="0066301C">
            <w:r>
              <w:t>-1.272</w:t>
            </w:r>
          </w:p>
        </w:tc>
        <w:tc>
          <w:tcPr>
            <w:tcW w:w="1559" w:type="dxa"/>
          </w:tcPr>
          <w:p w14:paraId="37F1D18F" w14:textId="77777777" w:rsidR="00292191" w:rsidRDefault="00292191" w:rsidP="0066301C">
            <w:r>
              <w:t>-0.811</w:t>
            </w:r>
          </w:p>
        </w:tc>
        <w:tc>
          <w:tcPr>
            <w:tcW w:w="1418" w:type="dxa"/>
          </w:tcPr>
          <w:p w14:paraId="53011ACA" w14:textId="77777777" w:rsidR="00292191" w:rsidRDefault="00292191" w:rsidP="0066301C">
            <w:r>
              <w:t>-4.482</w:t>
            </w:r>
          </w:p>
        </w:tc>
        <w:tc>
          <w:tcPr>
            <w:tcW w:w="1559" w:type="dxa"/>
          </w:tcPr>
          <w:p w14:paraId="6C6D9364" w14:textId="77777777" w:rsidR="00292191" w:rsidRDefault="00292191" w:rsidP="0066301C">
            <w:r w:rsidRPr="00021DFF">
              <w:t>-3.959</w:t>
            </w:r>
          </w:p>
        </w:tc>
        <w:tc>
          <w:tcPr>
            <w:tcW w:w="1559" w:type="dxa"/>
          </w:tcPr>
          <w:p w14:paraId="42BC65A1" w14:textId="77777777" w:rsidR="00292191" w:rsidRDefault="00292191" w:rsidP="0066301C">
            <w:r>
              <w:t>-1.424</w:t>
            </w:r>
          </w:p>
        </w:tc>
        <w:tc>
          <w:tcPr>
            <w:tcW w:w="1560" w:type="dxa"/>
          </w:tcPr>
          <w:p w14:paraId="5093A688" w14:textId="15C5863B" w:rsidR="00292191" w:rsidRDefault="00292191" w:rsidP="0066301C">
            <w:r>
              <w:t>-0</w:t>
            </w:r>
            <w:r w:rsidR="00943191">
              <w:t>.</w:t>
            </w:r>
            <w:r>
              <w:t>354</w:t>
            </w:r>
          </w:p>
        </w:tc>
        <w:tc>
          <w:tcPr>
            <w:tcW w:w="1559" w:type="dxa"/>
          </w:tcPr>
          <w:p w14:paraId="4B688F77" w14:textId="77777777" w:rsidR="00292191" w:rsidRDefault="00292191" w:rsidP="0066301C">
            <w:r>
              <w:t>-4.491</w:t>
            </w:r>
          </w:p>
        </w:tc>
        <w:tc>
          <w:tcPr>
            <w:tcW w:w="1558" w:type="dxa"/>
          </w:tcPr>
          <w:p w14:paraId="05549CD4" w14:textId="77777777" w:rsidR="00292191" w:rsidRDefault="00292191" w:rsidP="0066301C">
            <w:r>
              <w:t>-4.572</w:t>
            </w:r>
          </w:p>
        </w:tc>
      </w:tr>
      <w:tr w:rsidR="00292191" w14:paraId="3A8AB9BE" w14:textId="77777777" w:rsidTr="00D46B41">
        <w:tc>
          <w:tcPr>
            <w:tcW w:w="1985" w:type="dxa"/>
          </w:tcPr>
          <w:p w14:paraId="1F1C22AA" w14:textId="77777777" w:rsidR="00292191" w:rsidRDefault="00292191" w:rsidP="0066301C">
            <w:r>
              <w:t>PROD</w:t>
            </w:r>
          </w:p>
        </w:tc>
        <w:tc>
          <w:tcPr>
            <w:tcW w:w="1418" w:type="dxa"/>
          </w:tcPr>
          <w:p w14:paraId="156A87C3" w14:textId="77777777" w:rsidR="00292191" w:rsidRDefault="00292191" w:rsidP="0066301C">
            <w:r>
              <w:t>-1.084</w:t>
            </w:r>
          </w:p>
        </w:tc>
        <w:tc>
          <w:tcPr>
            <w:tcW w:w="1559" w:type="dxa"/>
          </w:tcPr>
          <w:p w14:paraId="32E6F991" w14:textId="77777777" w:rsidR="00292191" w:rsidRDefault="00292191" w:rsidP="0066301C">
            <w:r>
              <w:t>-1.222</w:t>
            </w:r>
          </w:p>
        </w:tc>
        <w:tc>
          <w:tcPr>
            <w:tcW w:w="1418" w:type="dxa"/>
          </w:tcPr>
          <w:p w14:paraId="6200EC37" w14:textId="77777777" w:rsidR="00292191" w:rsidRDefault="00292191" w:rsidP="0066301C">
            <w:r>
              <w:t>-4.798</w:t>
            </w:r>
          </w:p>
        </w:tc>
        <w:tc>
          <w:tcPr>
            <w:tcW w:w="1559" w:type="dxa"/>
          </w:tcPr>
          <w:p w14:paraId="5872F131" w14:textId="77777777" w:rsidR="00292191" w:rsidRDefault="00292191" w:rsidP="0066301C">
            <w:r>
              <w:t>-4.752</w:t>
            </w:r>
          </w:p>
        </w:tc>
        <w:tc>
          <w:tcPr>
            <w:tcW w:w="1559" w:type="dxa"/>
          </w:tcPr>
          <w:p w14:paraId="4C9BBE44" w14:textId="77777777" w:rsidR="00292191" w:rsidRDefault="00292191" w:rsidP="0066301C">
            <w:r>
              <w:t>-1.212</w:t>
            </w:r>
          </w:p>
        </w:tc>
        <w:tc>
          <w:tcPr>
            <w:tcW w:w="1560" w:type="dxa"/>
          </w:tcPr>
          <w:p w14:paraId="0DDF0BE6" w14:textId="77777777" w:rsidR="00292191" w:rsidRDefault="00292191" w:rsidP="0066301C">
            <w:r>
              <w:t>-1.597</w:t>
            </w:r>
          </w:p>
        </w:tc>
        <w:tc>
          <w:tcPr>
            <w:tcW w:w="1559" w:type="dxa"/>
          </w:tcPr>
          <w:p w14:paraId="40D83E30" w14:textId="77777777" w:rsidR="00292191" w:rsidRDefault="00292191" w:rsidP="0066301C">
            <w:r>
              <w:t>-4.831</w:t>
            </w:r>
          </w:p>
        </w:tc>
        <w:tc>
          <w:tcPr>
            <w:tcW w:w="1558" w:type="dxa"/>
          </w:tcPr>
          <w:p w14:paraId="42D683CA" w14:textId="77777777" w:rsidR="00292191" w:rsidRDefault="00292191" w:rsidP="0066301C">
            <w:r>
              <w:t>-4.779</w:t>
            </w:r>
          </w:p>
        </w:tc>
      </w:tr>
    </w:tbl>
    <w:p w14:paraId="5CFCF4BF" w14:textId="77777777" w:rsidR="00AF38CF" w:rsidRPr="00AF38CF" w:rsidRDefault="00AF38CF" w:rsidP="0066301C">
      <w:pPr>
        <w:autoSpaceDE w:val="0"/>
        <w:autoSpaceDN w:val="0"/>
        <w:adjustRightInd w:val="0"/>
        <w:spacing w:after="0"/>
        <w:rPr>
          <w:rFonts w:ascii="Arial" w:hAnsi="Arial" w:cs="Arial"/>
          <w:sz w:val="20"/>
          <w:szCs w:val="20"/>
        </w:rPr>
      </w:pPr>
      <w:r w:rsidRPr="00AF38CF">
        <w:rPr>
          <w:rFonts w:ascii="Arial" w:hAnsi="Arial" w:cs="Arial"/>
          <w:i/>
          <w:sz w:val="20"/>
          <w:szCs w:val="20"/>
        </w:rPr>
        <w:t xml:space="preserve">Source: Computation from time-series data using Eviews </w:t>
      </w:r>
      <w:r w:rsidRPr="00AF38CF">
        <w:rPr>
          <w:rFonts w:ascii="Arial" w:hAnsi="Arial" w:cs="Arial"/>
          <w:sz w:val="20"/>
          <w:szCs w:val="20"/>
        </w:rPr>
        <w:t>12</w:t>
      </w:r>
    </w:p>
    <w:p w14:paraId="7704944C" w14:textId="77777777" w:rsidR="00292191" w:rsidRPr="00572CD7" w:rsidRDefault="00292191" w:rsidP="0066301C">
      <w:pPr>
        <w:rPr>
          <w:rFonts w:ascii="Arial" w:hAnsi="Arial" w:cs="Arial"/>
          <w:sz w:val="20"/>
          <w:szCs w:val="20"/>
        </w:rPr>
      </w:pPr>
      <w:r w:rsidRPr="00572CD7">
        <w:rPr>
          <w:rFonts w:ascii="Arial" w:hAnsi="Arial" w:cs="Arial"/>
          <w:b/>
          <w:bCs/>
          <w:i/>
          <w:iCs/>
          <w:sz w:val="20"/>
          <w:szCs w:val="20"/>
        </w:rPr>
        <w:t>Note:</w:t>
      </w:r>
      <w:r w:rsidRPr="00572CD7">
        <w:rPr>
          <w:rFonts w:ascii="Arial" w:hAnsi="Arial" w:cs="Arial"/>
          <w:sz w:val="20"/>
          <w:szCs w:val="20"/>
        </w:rPr>
        <w:t xml:space="preserve"> The critical value for ADF &amp; PP unit root tests at level </w:t>
      </w:r>
      <w:r>
        <w:rPr>
          <w:rFonts w:ascii="Arial" w:hAnsi="Arial" w:cs="Arial"/>
          <w:sz w:val="20"/>
          <w:szCs w:val="20"/>
        </w:rPr>
        <w:t>at</w:t>
      </w:r>
      <w:r w:rsidRPr="00572CD7">
        <w:rPr>
          <w:rFonts w:ascii="Arial" w:hAnsi="Arial" w:cs="Arial"/>
          <w:sz w:val="20"/>
          <w:szCs w:val="20"/>
        </w:rPr>
        <w:t xml:space="preserve"> 5%</w:t>
      </w:r>
      <w:r>
        <w:rPr>
          <w:rFonts w:ascii="Arial" w:hAnsi="Arial" w:cs="Arial"/>
          <w:sz w:val="20"/>
          <w:szCs w:val="20"/>
        </w:rPr>
        <w:t xml:space="preserve"> </w:t>
      </w:r>
      <w:r w:rsidRPr="00572CD7">
        <w:rPr>
          <w:rFonts w:ascii="Arial" w:hAnsi="Arial" w:cs="Arial"/>
          <w:sz w:val="20"/>
          <w:szCs w:val="20"/>
        </w:rPr>
        <w:t>are -2.941 (constant), and -3.533 (constant, Linear Trend).</w:t>
      </w:r>
      <w:r>
        <w:rPr>
          <w:rFonts w:ascii="Arial" w:hAnsi="Arial" w:cs="Arial"/>
          <w:sz w:val="20"/>
          <w:szCs w:val="20"/>
        </w:rPr>
        <w:t xml:space="preserve"> While the </w:t>
      </w:r>
      <w:r w:rsidRPr="00572CD7">
        <w:rPr>
          <w:rFonts w:ascii="Arial" w:hAnsi="Arial" w:cs="Arial"/>
          <w:sz w:val="20"/>
          <w:szCs w:val="20"/>
        </w:rPr>
        <w:t xml:space="preserve">critical value for ADF &amp; PP unit root tests at </w:t>
      </w:r>
      <w:r>
        <w:rPr>
          <w:rFonts w:ascii="Arial" w:hAnsi="Arial" w:cs="Arial"/>
          <w:sz w:val="20"/>
          <w:szCs w:val="20"/>
        </w:rPr>
        <w:t>1 difference</w:t>
      </w:r>
      <w:r w:rsidRPr="00572CD7">
        <w:rPr>
          <w:rFonts w:ascii="Arial" w:hAnsi="Arial" w:cs="Arial"/>
          <w:sz w:val="20"/>
          <w:szCs w:val="20"/>
        </w:rPr>
        <w:t xml:space="preserve"> </w:t>
      </w:r>
      <w:r>
        <w:rPr>
          <w:rFonts w:ascii="Arial" w:hAnsi="Arial" w:cs="Arial"/>
          <w:sz w:val="20"/>
          <w:szCs w:val="20"/>
        </w:rPr>
        <w:t>at</w:t>
      </w:r>
      <w:r w:rsidRPr="00572CD7">
        <w:rPr>
          <w:rFonts w:ascii="Arial" w:hAnsi="Arial" w:cs="Arial"/>
          <w:sz w:val="20"/>
          <w:szCs w:val="20"/>
        </w:rPr>
        <w:t xml:space="preserve"> 5% are -2.94</w:t>
      </w:r>
      <w:r>
        <w:rPr>
          <w:rFonts w:ascii="Arial" w:hAnsi="Arial" w:cs="Arial"/>
          <w:sz w:val="20"/>
          <w:szCs w:val="20"/>
        </w:rPr>
        <w:t>3</w:t>
      </w:r>
      <w:r w:rsidRPr="00572CD7">
        <w:rPr>
          <w:rFonts w:ascii="Arial" w:hAnsi="Arial" w:cs="Arial"/>
          <w:sz w:val="20"/>
          <w:szCs w:val="20"/>
        </w:rPr>
        <w:t xml:space="preserve"> (constant), and -3.53</w:t>
      </w:r>
      <w:r>
        <w:rPr>
          <w:rFonts w:ascii="Arial" w:hAnsi="Arial" w:cs="Arial"/>
          <w:sz w:val="20"/>
          <w:szCs w:val="20"/>
        </w:rPr>
        <w:t xml:space="preserve">7 </w:t>
      </w:r>
      <w:r w:rsidRPr="00572CD7">
        <w:rPr>
          <w:rFonts w:ascii="Arial" w:hAnsi="Arial" w:cs="Arial"/>
          <w:sz w:val="20"/>
          <w:szCs w:val="20"/>
        </w:rPr>
        <w:t>(constant, Linear Trend).</w:t>
      </w:r>
    </w:p>
    <w:p w14:paraId="4E6D31DA" w14:textId="4E1E5F99" w:rsidR="00292191" w:rsidRDefault="00292191" w:rsidP="0066301C">
      <w:pPr>
        <w:spacing w:after="0" w:line="240" w:lineRule="auto"/>
        <w:jc w:val="both"/>
        <w:rPr>
          <w:rFonts w:ascii="Arial" w:hAnsi="Arial" w:cs="Arial"/>
          <w:b/>
        </w:rPr>
      </w:pPr>
    </w:p>
    <w:p w14:paraId="78DB747F" w14:textId="161131BD" w:rsidR="00292191" w:rsidRDefault="00292191" w:rsidP="0066301C">
      <w:pPr>
        <w:spacing w:after="0" w:line="240" w:lineRule="auto"/>
        <w:jc w:val="both"/>
        <w:rPr>
          <w:rFonts w:ascii="Arial" w:hAnsi="Arial" w:cs="Arial"/>
          <w:sz w:val="20"/>
          <w:szCs w:val="20"/>
        </w:rPr>
      </w:pPr>
    </w:p>
    <w:p w14:paraId="2CADCE0B" w14:textId="22C6402F" w:rsidR="00292191" w:rsidRDefault="00292191" w:rsidP="0066301C">
      <w:pPr>
        <w:spacing w:after="0" w:line="240" w:lineRule="auto"/>
        <w:jc w:val="both"/>
        <w:rPr>
          <w:rFonts w:ascii="Arial" w:hAnsi="Arial" w:cs="Arial"/>
          <w:sz w:val="20"/>
          <w:szCs w:val="20"/>
        </w:rPr>
      </w:pPr>
    </w:p>
    <w:p w14:paraId="2A9909CA" w14:textId="4C19657F" w:rsidR="00292191" w:rsidRDefault="00292191" w:rsidP="0066301C">
      <w:pPr>
        <w:spacing w:after="0" w:line="240" w:lineRule="auto"/>
        <w:jc w:val="both"/>
        <w:rPr>
          <w:rFonts w:ascii="Arial" w:hAnsi="Arial" w:cs="Arial"/>
          <w:sz w:val="20"/>
          <w:szCs w:val="20"/>
        </w:rPr>
      </w:pPr>
    </w:p>
    <w:p w14:paraId="05578E2F" w14:textId="0AF65AC6" w:rsidR="00292191" w:rsidRDefault="00292191" w:rsidP="0066301C">
      <w:pPr>
        <w:spacing w:after="0" w:line="240" w:lineRule="auto"/>
        <w:jc w:val="both"/>
        <w:rPr>
          <w:rFonts w:ascii="Arial" w:hAnsi="Arial" w:cs="Arial"/>
          <w:sz w:val="20"/>
          <w:szCs w:val="20"/>
        </w:rPr>
      </w:pPr>
    </w:p>
    <w:p w14:paraId="28050C2A" w14:textId="64B05D81" w:rsidR="00292191" w:rsidRDefault="00292191" w:rsidP="0066301C">
      <w:pPr>
        <w:spacing w:after="0" w:line="240" w:lineRule="auto"/>
        <w:jc w:val="both"/>
        <w:rPr>
          <w:rFonts w:ascii="Arial" w:hAnsi="Arial" w:cs="Arial"/>
          <w:sz w:val="20"/>
          <w:szCs w:val="20"/>
        </w:rPr>
      </w:pPr>
    </w:p>
    <w:p w14:paraId="5D000B2F" w14:textId="65B9E470" w:rsidR="00292191" w:rsidRDefault="00292191" w:rsidP="0066301C">
      <w:pPr>
        <w:spacing w:after="0" w:line="240" w:lineRule="auto"/>
        <w:jc w:val="both"/>
        <w:rPr>
          <w:rFonts w:ascii="Arial" w:hAnsi="Arial" w:cs="Arial"/>
          <w:sz w:val="20"/>
          <w:szCs w:val="20"/>
        </w:rPr>
      </w:pPr>
    </w:p>
    <w:p w14:paraId="277D78C7" w14:textId="138F26D7" w:rsidR="00292191" w:rsidRDefault="00292191" w:rsidP="0066301C">
      <w:pPr>
        <w:spacing w:after="0" w:line="240" w:lineRule="auto"/>
        <w:jc w:val="both"/>
        <w:rPr>
          <w:rFonts w:ascii="Arial" w:hAnsi="Arial" w:cs="Arial"/>
          <w:sz w:val="20"/>
          <w:szCs w:val="20"/>
        </w:rPr>
      </w:pPr>
    </w:p>
    <w:p w14:paraId="75D1B096" w14:textId="08706A53" w:rsidR="00292191" w:rsidRDefault="00292191" w:rsidP="0066301C">
      <w:pPr>
        <w:spacing w:after="0" w:line="240" w:lineRule="auto"/>
        <w:jc w:val="both"/>
        <w:rPr>
          <w:rFonts w:ascii="Arial" w:hAnsi="Arial" w:cs="Arial"/>
          <w:sz w:val="20"/>
          <w:szCs w:val="20"/>
        </w:rPr>
      </w:pPr>
    </w:p>
    <w:p w14:paraId="5BABA122" w14:textId="62516AEB" w:rsidR="00292191" w:rsidRDefault="00292191" w:rsidP="0066301C">
      <w:pPr>
        <w:spacing w:after="0" w:line="240" w:lineRule="auto"/>
        <w:jc w:val="both"/>
        <w:rPr>
          <w:rFonts w:ascii="Arial" w:hAnsi="Arial" w:cs="Arial"/>
          <w:sz w:val="20"/>
          <w:szCs w:val="20"/>
        </w:rPr>
      </w:pPr>
    </w:p>
    <w:p w14:paraId="687FA3D8" w14:textId="03BD7395" w:rsidR="00292191" w:rsidRDefault="00292191" w:rsidP="0066301C">
      <w:pPr>
        <w:spacing w:after="0" w:line="240" w:lineRule="auto"/>
        <w:jc w:val="both"/>
        <w:rPr>
          <w:rFonts w:ascii="Arial" w:hAnsi="Arial" w:cs="Arial"/>
          <w:sz w:val="20"/>
          <w:szCs w:val="20"/>
        </w:rPr>
      </w:pPr>
    </w:p>
    <w:p w14:paraId="1607D401" w14:textId="455CD8AB" w:rsidR="00292191" w:rsidRDefault="00292191" w:rsidP="0066301C">
      <w:pPr>
        <w:spacing w:after="0" w:line="240" w:lineRule="auto"/>
        <w:jc w:val="both"/>
        <w:rPr>
          <w:rFonts w:ascii="Arial" w:hAnsi="Arial" w:cs="Arial"/>
          <w:sz w:val="20"/>
          <w:szCs w:val="20"/>
        </w:rPr>
      </w:pPr>
    </w:p>
    <w:p w14:paraId="15F0FBB4" w14:textId="58F4EB3A" w:rsidR="00292191" w:rsidRDefault="00292191" w:rsidP="0066301C">
      <w:pPr>
        <w:spacing w:after="0" w:line="240" w:lineRule="auto"/>
        <w:jc w:val="both"/>
        <w:rPr>
          <w:rFonts w:ascii="Arial" w:hAnsi="Arial" w:cs="Arial"/>
          <w:sz w:val="20"/>
          <w:szCs w:val="20"/>
        </w:rPr>
      </w:pPr>
    </w:p>
    <w:p w14:paraId="04E71D8A" w14:textId="77777777" w:rsidR="00790A7A" w:rsidRPr="00790A7A" w:rsidRDefault="00790A7A" w:rsidP="0066301C">
      <w:pPr>
        <w:rPr>
          <w:rFonts w:ascii="Arial" w:hAnsi="Arial" w:cs="Arial"/>
        </w:rPr>
      </w:pPr>
    </w:p>
    <w:p w14:paraId="2BD48475" w14:textId="40B4CBD9" w:rsidR="00620422" w:rsidRPr="008204CC" w:rsidRDefault="00620422" w:rsidP="0066301C">
      <w:pPr>
        <w:spacing w:after="0" w:line="240" w:lineRule="auto"/>
        <w:rPr>
          <w:rFonts w:ascii="Arial" w:hAnsi="Arial" w:cs="Arial"/>
          <w:b/>
        </w:rPr>
      </w:pPr>
      <w:bookmarkStart w:id="538" w:name="_Hlk170896641"/>
      <w:r w:rsidRPr="00E95ADC">
        <w:rPr>
          <w:rFonts w:ascii="Arial" w:hAnsi="Arial" w:cs="Arial"/>
          <w:b/>
        </w:rPr>
        <w:lastRenderedPageBreak/>
        <w:t xml:space="preserve">Table </w:t>
      </w:r>
      <w:r w:rsidR="00E95ADC" w:rsidRPr="00E95ADC">
        <w:rPr>
          <w:rFonts w:ascii="Arial" w:hAnsi="Arial" w:cs="Arial"/>
          <w:b/>
        </w:rPr>
        <w:t>3</w:t>
      </w:r>
      <w:r w:rsidRPr="00E95ADC">
        <w:rPr>
          <w:rFonts w:ascii="Arial" w:hAnsi="Arial" w:cs="Arial"/>
          <w:b/>
        </w:rPr>
        <w:t>.</w:t>
      </w:r>
      <w:r w:rsidR="008D74EB" w:rsidRPr="00E95ADC">
        <w:rPr>
          <w:rFonts w:ascii="Arial" w:hAnsi="Arial" w:cs="Arial"/>
          <w:b/>
        </w:rPr>
        <w:t>8</w:t>
      </w:r>
      <w:r w:rsidRPr="00E95ADC">
        <w:rPr>
          <w:rFonts w:ascii="Arial" w:hAnsi="Arial" w:cs="Arial"/>
          <w:b/>
        </w:rPr>
        <w:t>: The</w:t>
      </w:r>
      <w:r w:rsidRPr="008204CC">
        <w:rPr>
          <w:rFonts w:ascii="Arial" w:hAnsi="Arial" w:cs="Arial"/>
          <w:b/>
        </w:rPr>
        <w:t xml:space="preserve"> Hodrick-Prescott Filter </w:t>
      </w:r>
    </w:p>
    <w:tbl>
      <w:tblPr>
        <w:tblW w:w="13325" w:type="dxa"/>
        <w:tblInd w:w="-5" w:type="dxa"/>
        <w:tblLook w:val="04A0" w:firstRow="1" w:lastRow="0" w:firstColumn="1" w:lastColumn="0" w:noHBand="0" w:noVBand="1"/>
      </w:tblPr>
      <w:tblGrid>
        <w:gridCol w:w="1135"/>
        <w:gridCol w:w="1701"/>
        <w:gridCol w:w="1701"/>
        <w:gridCol w:w="1984"/>
        <w:gridCol w:w="709"/>
        <w:gridCol w:w="678"/>
        <w:gridCol w:w="321"/>
        <w:gridCol w:w="431"/>
        <w:gridCol w:w="984"/>
        <w:gridCol w:w="212"/>
        <w:gridCol w:w="1347"/>
        <w:gridCol w:w="108"/>
        <w:gridCol w:w="2014"/>
      </w:tblGrid>
      <w:tr w:rsidR="009D6DC9" w:rsidRPr="008204CC" w14:paraId="69E97911" w14:textId="77777777" w:rsidTr="00D46B41">
        <w:trPr>
          <w:trHeight w:val="270"/>
        </w:trPr>
        <w:tc>
          <w:tcPr>
            <w:tcW w:w="6521" w:type="dxa"/>
            <w:gridSpan w:val="4"/>
            <w:tcBorders>
              <w:top w:val="single" w:sz="4" w:space="0" w:color="auto"/>
              <w:left w:val="single" w:sz="4" w:space="0" w:color="auto"/>
              <w:bottom w:val="single" w:sz="4" w:space="0" w:color="auto"/>
              <w:right w:val="single" w:sz="4" w:space="0" w:color="auto"/>
            </w:tcBorders>
            <w:shd w:val="clear" w:color="auto" w:fill="E7E6E6" w:themeFill="background2"/>
            <w:noWrap/>
            <w:vAlign w:val="bottom"/>
          </w:tcPr>
          <w:p w14:paraId="12EA4F9A" w14:textId="77777777" w:rsidR="00620422" w:rsidRPr="008204CC" w:rsidRDefault="00620422" w:rsidP="0066301C">
            <w:pPr>
              <w:spacing w:after="0" w:line="240" w:lineRule="auto"/>
              <w:jc w:val="center"/>
              <w:rPr>
                <w:rFonts w:ascii="Arial" w:eastAsia="Times New Roman" w:hAnsi="Arial" w:cs="Arial"/>
                <w:sz w:val="18"/>
                <w:szCs w:val="18"/>
                <w:lang w:eastAsia="en-GB"/>
              </w:rPr>
            </w:pPr>
            <w:r w:rsidRPr="008204CC">
              <w:rPr>
                <w:rFonts w:ascii="Arial" w:hAnsi="Arial" w:cs="Arial"/>
                <w:b/>
                <w:sz w:val="18"/>
                <w:szCs w:val="18"/>
              </w:rPr>
              <w:t>Cameroon</w:t>
            </w:r>
          </w:p>
        </w:tc>
        <w:tc>
          <w:tcPr>
            <w:tcW w:w="709" w:type="dxa"/>
            <w:tcBorders>
              <w:top w:val="single" w:sz="4" w:space="0" w:color="auto"/>
              <w:left w:val="nil"/>
              <w:right w:val="single" w:sz="4" w:space="0" w:color="auto"/>
            </w:tcBorders>
          </w:tcPr>
          <w:p w14:paraId="41FC8B48" w14:textId="77777777" w:rsidR="00620422" w:rsidRPr="008204CC" w:rsidRDefault="00620422" w:rsidP="0066301C">
            <w:pPr>
              <w:spacing w:after="0" w:line="240" w:lineRule="auto"/>
              <w:rPr>
                <w:rFonts w:ascii="Arial" w:eastAsia="Times New Roman" w:hAnsi="Arial" w:cs="Arial"/>
                <w:sz w:val="18"/>
                <w:szCs w:val="18"/>
                <w:lang w:eastAsia="en-GB"/>
              </w:rPr>
            </w:pPr>
          </w:p>
        </w:tc>
        <w:tc>
          <w:tcPr>
            <w:tcW w:w="6095" w:type="dxa"/>
            <w:gridSpan w:val="8"/>
            <w:tcBorders>
              <w:top w:val="single" w:sz="4" w:space="0" w:color="auto"/>
              <w:left w:val="single" w:sz="4" w:space="0" w:color="auto"/>
              <w:bottom w:val="single" w:sz="4" w:space="0" w:color="auto"/>
              <w:right w:val="single" w:sz="4" w:space="0" w:color="auto"/>
            </w:tcBorders>
            <w:shd w:val="clear" w:color="auto" w:fill="E7E6E6" w:themeFill="background2"/>
            <w:vAlign w:val="bottom"/>
          </w:tcPr>
          <w:p w14:paraId="107815D0" w14:textId="77777777" w:rsidR="00620422" w:rsidRPr="008204CC" w:rsidRDefault="00620422" w:rsidP="0066301C">
            <w:pPr>
              <w:spacing w:after="0" w:line="240" w:lineRule="auto"/>
              <w:jc w:val="center"/>
              <w:rPr>
                <w:rFonts w:ascii="Arial" w:eastAsia="Times New Roman" w:hAnsi="Arial" w:cs="Arial"/>
                <w:color w:val="000000"/>
                <w:sz w:val="18"/>
                <w:szCs w:val="18"/>
                <w:lang w:eastAsia="en-GB"/>
              </w:rPr>
            </w:pPr>
            <w:r w:rsidRPr="008204CC">
              <w:rPr>
                <w:rFonts w:ascii="Arial" w:hAnsi="Arial" w:cs="Arial"/>
                <w:b/>
                <w:sz w:val="18"/>
                <w:szCs w:val="18"/>
              </w:rPr>
              <w:t>CAR</w:t>
            </w:r>
          </w:p>
        </w:tc>
      </w:tr>
      <w:tr w:rsidR="009D6DC9" w:rsidRPr="008204CC" w14:paraId="63B04F9C" w14:textId="77777777" w:rsidTr="00D46B41">
        <w:trPr>
          <w:trHeight w:val="270"/>
        </w:trPr>
        <w:tc>
          <w:tcPr>
            <w:tcW w:w="1135" w:type="dxa"/>
            <w:tcBorders>
              <w:top w:val="single" w:sz="4" w:space="0" w:color="auto"/>
              <w:left w:val="single" w:sz="4" w:space="0" w:color="auto"/>
              <w:bottom w:val="single" w:sz="4" w:space="0" w:color="auto"/>
              <w:right w:val="single" w:sz="4" w:space="0" w:color="auto"/>
            </w:tcBorders>
            <w:shd w:val="clear" w:color="auto" w:fill="auto"/>
            <w:noWrap/>
            <w:vAlign w:val="bottom"/>
            <w:hideMark/>
          </w:tcPr>
          <w:p w14:paraId="3CD67D55" w14:textId="77777777" w:rsidR="00620422" w:rsidRPr="008204CC" w:rsidRDefault="00620422" w:rsidP="0066301C">
            <w:pPr>
              <w:spacing w:after="0" w:line="240" w:lineRule="auto"/>
              <w:rPr>
                <w:rFonts w:ascii="Arial" w:eastAsia="Times New Roman" w:hAnsi="Arial" w:cs="Arial"/>
                <w:color w:val="000000"/>
                <w:sz w:val="18"/>
                <w:szCs w:val="18"/>
                <w:lang w:eastAsia="en-GB"/>
              </w:rPr>
            </w:pPr>
            <w:r w:rsidRPr="008204CC">
              <w:rPr>
                <w:rFonts w:ascii="Arial" w:eastAsia="Times New Roman" w:hAnsi="Arial" w:cs="Arial"/>
                <w:color w:val="000000"/>
                <w:sz w:val="18"/>
                <w:szCs w:val="18"/>
                <w:lang w:eastAsia="en-GB"/>
              </w:rPr>
              <w:t>Year</w:t>
            </w:r>
          </w:p>
        </w:tc>
        <w:tc>
          <w:tcPr>
            <w:tcW w:w="1701" w:type="dxa"/>
            <w:tcBorders>
              <w:top w:val="single" w:sz="4" w:space="0" w:color="auto"/>
              <w:left w:val="nil"/>
              <w:bottom w:val="single" w:sz="4" w:space="0" w:color="auto"/>
              <w:right w:val="single" w:sz="4" w:space="0" w:color="auto"/>
            </w:tcBorders>
            <w:shd w:val="clear" w:color="auto" w:fill="auto"/>
            <w:noWrap/>
            <w:vAlign w:val="bottom"/>
            <w:hideMark/>
          </w:tcPr>
          <w:p w14:paraId="0B92FEE6" w14:textId="77777777" w:rsidR="00620422" w:rsidRPr="008204CC" w:rsidRDefault="00620422" w:rsidP="0066301C">
            <w:pPr>
              <w:spacing w:after="0" w:line="240" w:lineRule="auto"/>
              <w:rPr>
                <w:rFonts w:ascii="Arial" w:eastAsia="Times New Roman" w:hAnsi="Arial" w:cs="Arial"/>
                <w:color w:val="000000"/>
                <w:sz w:val="18"/>
                <w:szCs w:val="18"/>
                <w:lang w:eastAsia="en-GB"/>
              </w:rPr>
            </w:pPr>
            <w:r w:rsidRPr="008204CC">
              <w:rPr>
                <w:rFonts w:ascii="Arial" w:eastAsia="Times New Roman" w:hAnsi="Arial" w:cs="Arial"/>
                <w:color w:val="000000"/>
                <w:sz w:val="18"/>
                <w:szCs w:val="18"/>
                <w:lang w:eastAsia="en-GB"/>
              </w:rPr>
              <w:t>REER</w:t>
            </w:r>
          </w:p>
        </w:tc>
        <w:tc>
          <w:tcPr>
            <w:tcW w:w="1701" w:type="dxa"/>
            <w:tcBorders>
              <w:top w:val="single" w:sz="4" w:space="0" w:color="auto"/>
              <w:left w:val="nil"/>
              <w:bottom w:val="single" w:sz="4" w:space="0" w:color="auto"/>
              <w:right w:val="single" w:sz="4" w:space="0" w:color="auto"/>
            </w:tcBorders>
            <w:shd w:val="clear" w:color="auto" w:fill="auto"/>
            <w:noWrap/>
            <w:vAlign w:val="bottom"/>
            <w:hideMark/>
          </w:tcPr>
          <w:p w14:paraId="214968F1" w14:textId="77777777" w:rsidR="00620422" w:rsidRPr="008204CC" w:rsidRDefault="00620422" w:rsidP="0066301C">
            <w:pPr>
              <w:spacing w:after="0" w:line="240" w:lineRule="auto"/>
              <w:rPr>
                <w:rFonts w:ascii="Arial" w:eastAsia="Times New Roman" w:hAnsi="Arial" w:cs="Arial"/>
                <w:color w:val="000000"/>
                <w:sz w:val="18"/>
                <w:szCs w:val="18"/>
                <w:lang w:eastAsia="en-GB"/>
              </w:rPr>
            </w:pPr>
            <w:r w:rsidRPr="008204CC">
              <w:rPr>
                <w:rFonts w:ascii="Arial" w:eastAsia="Times New Roman" w:hAnsi="Arial" w:cs="Arial"/>
                <w:color w:val="000000"/>
                <w:sz w:val="18"/>
                <w:szCs w:val="18"/>
                <w:lang w:eastAsia="en-GB"/>
              </w:rPr>
              <w:t>BEER</w:t>
            </w:r>
          </w:p>
        </w:tc>
        <w:tc>
          <w:tcPr>
            <w:tcW w:w="1984" w:type="dxa"/>
            <w:tcBorders>
              <w:top w:val="single" w:sz="4" w:space="0" w:color="auto"/>
              <w:left w:val="nil"/>
              <w:bottom w:val="single" w:sz="4" w:space="0" w:color="auto"/>
              <w:right w:val="single" w:sz="4" w:space="0" w:color="auto"/>
            </w:tcBorders>
            <w:shd w:val="clear" w:color="auto" w:fill="auto"/>
            <w:noWrap/>
            <w:vAlign w:val="bottom"/>
            <w:hideMark/>
          </w:tcPr>
          <w:p w14:paraId="184B9F8C" w14:textId="77777777" w:rsidR="00620422" w:rsidRPr="008204CC" w:rsidRDefault="00620422" w:rsidP="0066301C">
            <w:pPr>
              <w:spacing w:after="0" w:line="240" w:lineRule="auto"/>
              <w:rPr>
                <w:rFonts w:ascii="Arial" w:eastAsia="Times New Roman" w:hAnsi="Arial" w:cs="Arial"/>
                <w:sz w:val="18"/>
                <w:szCs w:val="18"/>
                <w:lang w:eastAsia="en-GB"/>
              </w:rPr>
            </w:pPr>
            <w:r w:rsidRPr="008204CC">
              <w:rPr>
                <w:rFonts w:ascii="Arial" w:eastAsia="Times New Roman" w:hAnsi="Arial" w:cs="Arial"/>
                <w:sz w:val="18"/>
                <w:szCs w:val="18"/>
                <w:lang w:eastAsia="en-GB"/>
              </w:rPr>
              <w:t>MISALIGNMENT</w:t>
            </w:r>
            <w:r>
              <w:rPr>
                <w:rFonts w:ascii="Arial" w:eastAsia="Times New Roman" w:hAnsi="Arial" w:cs="Arial"/>
                <w:sz w:val="18"/>
                <w:szCs w:val="18"/>
                <w:lang w:eastAsia="en-GB"/>
              </w:rPr>
              <w:t xml:space="preserve"> (%)</w:t>
            </w:r>
          </w:p>
        </w:tc>
        <w:tc>
          <w:tcPr>
            <w:tcW w:w="709" w:type="dxa"/>
            <w:vMerge w:val="restart"/>
            <w:tcBorders>
              <w:left w:val="nil"/>
              <w:right w:val="single" w:sz="4" w:space="0" w:color="auto"/>
            </w:tcBorders>
          </w:tcPr>
          <w:p w14:paraId="283487F7" w14:textId="77777777" w:rsidR="00620422" w:rsidRPr="008204CC" w:rsidRDefault="00620422" w:rsidP="0066301C">
            <w:pPr>
              <w:spacing w:after="0" w:line="240" w:lineRule="auto"/>
              <w:rPr>
                <w:rFonts w:ascii="Arial" w:eastAsia="Times New Roman" w:hAnsi="Arial" w:cs="Arial"/>
                <w:sz w:val="18"/>
                <w:szCs w:val="18"/>
                <w:lang w:eastAsia="en-GB"/>
              </w:rPr>
            </w:pPr>
          </w:p>
        </w:tc>
        <w:tc>
          <w:tcPr>
            <w:tcW w:w="999" w:type="dxa"/>
            <w:gridSpan w:val="2"/>
            <w:tcBorders>
              <w:top w:val="single" w:sz="4" w:space="0" w:color="auto"/>
              <w:left w:val="single" w:sz="4" w:space="0" w:color="auto"/>
              <w:bottom w:val="single" w:sz="4" w:space="0" w:color="auto"/>
              <w:right w:val="single" w:sz="4" w:space="0" w:color="auto"/>
            </w:tcBorders>
            <w:shd w:val="clear" w:color="auto" w:fill="auto"/>
            <w:vAlign w:val="bottom"/>
          </w:tcPr>
          <w:p w14:paraId="0250DADD" w14:textId="77777777" w:rsidR="00620422" w:rsidRPr="008204CC" w:rsidRDefault="00620422" w:rsidP="0066301C">
            <w:pPr>
              <w:spacing w:after="0" w:line="240" w:lineRule="auto"/>
              <w:rPr>
                <w:rFonts w:ascii="Arial" w:eastAsia="Times New Roman" w:hAnsi="Arial" w:cs="Arial"/>
                <w:color w:val="000000"/>
                <w:sz w:val="18"/>
                <w:szCs w:val="18"/>
                <w:lang w:eastAsia="en-GB"/>
              </w:rPr>
            </w:pPr>
            <w:r w:rsidRPr="008204CC">
              <w:rPr>
                <w:rFonts w:ascii="Arial" w:eastAsia="Times New Roman" w:hAnsi="Arial" w:cs="Arial"/>
                <w:color w:val="000000"/>
                <w:sz w:val="18"/>
                <w:szCs w:val="18"/>
                <w:lang w:eastAsia="en-GB"/>
              </w:rPr>
              <w:t>Years</w:t>
            </w:r>
          </w:p>
        </w:tc>
        <w:tc>
          <w:tcPr>
            <w:tcW w:w="1415" w:type="dxa"/>
            <w:gridSpan w:val="2"/>
            <w:tcBorders>
              <w:top w:val="single" w:sz="4" w:space="0" w:color="auto"/>
              <w:left w:val="nil"/>
              <w:bottom w:val="single" w:sz="4" w:space="0" w:color="auto"/>
              <w:right w:val="single" w:sz="4" w:space="0" w:color="auto"/>
            </w:tcBorders>
            <w:shd w:val="clear" w:color="auto" w:fill="auto"/>
            <w:vAlign w:val="bottom"/>
          </w:tcPr>
          <w:p w14:paraId="72E8F260" w14:textId="77777777" w:rsidR="00620422" w:rsidRPr="008204CC" w:rsidRDefault="00620422" w:rsidP="0066301C">
            <w:pPr>
              <w:spacing w:after="0" w:line="240" w:lineRule="auto"/>
              <w:rPr>
                <w:rFonts w:ascii="Arial" w:eastAsia="Times New Roman" w:hAnsi="Arial" w:cs="Arial"/>
                <w:color w:val="000000"/>
                <w:sz w:val="18"/>
                <w:szCs w:val="18"/>
                <w:lang w:eastAsia="en-GB"/>
              </w:rPr>
            </w:pPr>
            <w:r w:rsidRPr="008204CC">
              <w:rPr>
                <w:rFonts w:ascii="Arial" w:eastAsia="Times New Roman" w:hAnsi="Arial" w:cs="Arial"/>
                <w:color w:val="000000"/>
                <w:sz w:val="18"/>
                <w:szCs w:val="18"/>
                <w:lang w:eastAsia="en-GB"/>
              </w:rPr>
              <w:t>REER</w:t>
            </w:r>
          </w:p>
        </w:tc>
        <w:tc>
          <w:tcPr>
            <w:tcW w:w="1559" w:type="dxa"/>
            <w:gridSpan w:val="2"/>
            <w:tcBorders>
              <w:top w:val="single" w:sz="4" w:space="0" w:color="auto"/>
              <w:left w:val="nil"/>
              <w:bottom w:val="single" w:sz="4" w:space="0" w:color="auto"/>
              <w:right w:val="single" w:sz="4" w:space="0" w:color="auto"/>
            </w:tcBorders>
            <w:shd w:val="clear" w:color="auto" w:fill="auto"/>
            <w:vAlign w:val="bottom"/>
          </w:tcPr>
          <w:p w14:paraId="6DA73F84" w14:textId="77777777" w:rsidR="00620422" w:rsidRPr="008204CC" w:rsidRDefault="00620422" w:rsidP="0066301C">
            <w:pPr>
              <w:spacing w:after="0" w:line="240" w:lineRule="auto"/>
              <w:rPr>
                <w:rFonts w:ascii="Arial" w:eastAsia="Times New Roman" w:hAnsi="Arial" w:cs="Arial"/>
                <w:color w:val="000000"/>
                <w:sz w:val="18"/>
                <w:szCs w:val="18"/>
                <w:lang w:eastAsia="en-GB"/>
              </w:rPr>
            </w:pPr>
            <w:r w:rsidRPr="008204CC">
              <w:rPr>
                <w:rFonts w:ascii="Arial" w:eastAsia="Times New Roman" w:hAnsi="Arial" w:cs="Arial"/>
                <w:color w:val="000000"/>
                <w:sz w:val="18"/>
                <w:szCs w:val="18"/>
                <w:lang w:eastAsia="en-GB"/>
              </w:rPr>
              <w:t xml:space="preserve">BEER </w:t>
            </w:r>
          </w:p>
        </w:tc>
        <w:tc>
          <w:tcPr>
            <w:tcW w:w="2122" w:type="dxa"/>
            <w:gridSpan w:val="2"/>
            <w:tcBorders>
              <w:top w:val="single" w:sz="4" w:space="0" w:color="auto"/>
              <w:left w:val="nil"/>
              <w:bottom w:val="single" w:sz="4" w:space="0" w:color="auto"/>
              <w:right w:val="single" w:sz="4" w:space="0" w:color="auto"/>
            </w:tcBorders>
            <w:shd w:val="clear" w:color="auto" w:fill="auto"/>
            <w:vAlign w:val="bottom"/>
          </w:tcPr>
          <w:p w14:paraId="443C986C" w14:textId="77777777" w:rsidR="00620422" w:rsidRPr="008204CC" w:rsidRDefault="00620422" w:rsidP="0066301C">
            <w:pPr>
              <w:spacing w:after="0" w:line="240" w:lineRule="auto"/>
              <w:rPr>
                <w:rFonts w:ascii="Arial" w:eastAsia="Times New Roman" w:hAnsi="Arial" w:cs="Arial"/>
                <w:color w:val="000000"/>
                <w:sz w:val="18"/>
                <w:szCs w:val="18"/>
                <w:lang w:eastAsia="en-GB"/>
              </w:rPr>
            </w:pPr>
            <w:r w:rsidRPr="008204CC">
              <w:rPr>
                <w:rFonts w:ascii="Arial" w:eastAsia="Times New Roman" w:hAnsi="Arial" w:cs="Arial"/>
                <w:color w:val="000000"/>
                <w:sz w:val="18"/>
                <w:szCs w:val="18"/>
                <w:lang w:eastAsia="en-GB"/>
              </w:rPr>
              <w:t>MISALIGNMENT</w:t>
            </w:r>
            <w:r>
              <w:rPr>
                <w:rFonts w:ascii="Arial" w:eastAsia="Times New Roman" w:hAnsi="Arial" w:cs="Arial"/>
                <w:color w:val="000000"/>
                <w:sz w:val="18"/>
                <w:szCs w:val="18"/>
                <w:lang w:eastAsia="en-GB"/>
              </w:rPr>
              <w:t xml:space="preserve"> (%)</w:t>
            </w:r>
          </w:p>
        </w:tc>
      </w:tr>
      <w:tr w:rsidR="008A6AC3" w:rsidRPr="008204CC" w14:paraId="3C287AF8" w14:textId="77777777" w:rsidTr="00D46B41">
        <w:trPr>
          <w:trHeight w:val="270"/>
        </w:trPr>
        <w:tc>
          <w:tcPr>
            <w:tcW w:w="1135" w:type="dxa"/>
            <w:tcBorders>
              <w:top w:val="nil"/>
              <w:left w:val="single" w:sz="4" w:space="0" w:color="auto"/>
              <w:bottom w:val="single" w:sz="4" w:space="0" w:color="auto"/>
              <w:right w:val="single" w:sz="4" w:space="0" w:color="auto"/>
            </w:tcBorders>
            <w:shd w:val="clear" w:color="auto" w:fill="auto"/>
            <w:noWrap/>
            <w:vAlign w:val="bottom"/>
            <w:hideMark/>
          </w:tcPr>
          <w:p w14:paraId="7DEAEE7B" w14:textId="77777777" w:rsidR="00620422" w:rsidRPr="008204CC" w:rsidRDefault="00620422" w:rsidP="0066301C">
            <w:pPr>
              <w:spacing w:after="0" w:line="240" w:lineRule="auto"/>
              <w:jc w:val="right"/>
              <w:rPr>
                <w:rFonts w:ascii="Arial" w:eastAsia="Times New Roman" w:hAnsi="Arial" w:cs="Arial"/>
                <w:color w:val="000000"/>
                <w:sz w:val="18"/>
                <w:szCs w:val="18"/>
                <w:lang w:eastAsia="en-GB"/>
              </w:rPr>
            </w:pPr>
            <w:r w:rsidRPr="008204CC">
              <w:rPr>
                <w:rFonts w:ascii="Arial" w:eastAsia="Times New Roman" w:hAnsi="Arial" w:cs="Arial"/>
                <w:color w:val="000000"/>
                <w:sz w:val="18"/>
                <w:szCs w:val="18"/>
                <w:lang w:eastAsia="en-GB"/>
              </w:rPr>
              <w:t>1980</w:t>
            </w:r>
          </w:p>
        </w:tc>
        <w:tc>
          <w:tcPr>
            <w:tcW w:w="1701" w:type="dxa"/>
            <w:tcBorders>
              <w:top w:val="nil"/>
              <w:left w:val="nil"/>
              <w:bottom w:val="single" w:sz="4" w:space="0" w:color="auto"/>
              <w:right w:val="single" w:sz="4" w:space="0" w:color="auto"/>
            </w:tcBorders>
            <w:shd w:val="clear" w:color="auto" w:fill="auto"/>
            <w:noWrap/>
            <w:vAlign w:val="bottom"/>
            <w:hideMark/>
          </w:tcPr>
          <w:p w14:paraId="38CBEA95" w14:textId="77777777" w:rsidR="00620422" w:rsidRPr="008204CC" w:rsidRDefault="00620422" w:rsidP="0066301C">
            <w:pPr>
              <w:spacing w:after="0" w:line="240" w:lineRule="auto"/>
              <w:jc w:val="right"/>
              <w:rPr>
                <w:rFonts w:ascii="Arial" w:eastAsia="Times New Roman" w:hAnsi="Arial" w:cs="Arial"/>
                <w:color w:val="000000"/>
                <w:sz w:val="18"/>
                <w:szCs w:val="18"/>
                <w:lang w:eastAsia="en-GB"/>
              </w:rPr>
            </w:pPr>
            <w:r w:rsidRPr="008204CC">
              <w:rPr>
                <w:rFonts w:ascii="Arial" w:eastAsia="Times New Roman" w:hAnsi="Arial" w:cs="Arial"/>
                <w:color w:val="000000"/>
                <w:sz w:val="18"/>
                <w:szCs w:val="18"/>
                <w:lang w:eastAsia="en-GB"/>
              </w:rPr>
              <w:t>137.3424789</w:t>
            </w:r>
          </w:p>
        </w:tc>
        <w:tc>
          <w:tcPr>
            <w:tcW w:w="1701" w:type="dxa"/>
            <w:tcBorders>
              <w:top w:val="nil"/>
              <w:left w:val="nil"/>
              <w:bottom w:val="single" w:sz="4" w:space="0" w:color="auto"/>
              <w:right w:val="single" w:sz="4" w:space="0" w:color="auto"/>
            </w:tcBorders>
            <w:shd w:val="clear" w:color="auto" w:fill="auto"/>
            <w:noWrap/>
            <w:vAlign w:val="bottom"/>
            <w:hideMark/>
          </w:tcPr>
          <w:p w14:paraId="01F32063" w14:textId="77777777" w:rsidR="00620422" w:rsidRPr="008204CC" w:rsidRDefault="00620422" w:rsidP="0066301C">
            <w:pPr>
              <w:spacing w:after="0" w:line="240" w:lineRule="auto"/>
              <w:jc w:val="right"/>
              <w:rPr>
                <w:rFonts w:ascii="Arial" w:eastAsia="Times New Roman" w:hAnsi="Arial" w:cs="Arial"/>
                <w:color w:val="000000"/>
                <w:sz w:val="18"/>
                <w:szCs w:val="18"/>
                <w:lang w:eastAsia="en-GB"/>
              </w:rPr>
            </w:pPr>
            <w:r w:rsidRPr="008204CC">
              <w:rPr>
                <w:rFonts w:ascii="Arial" w:eastAsia="Times New Roman" w:hAnsi="Arial" w:cs="Arial"/>
                <w:color w:val="000000"/>
                <w:sz w:val="18"/>
                <w:szCs w:val="18"/>
                <w:lang w:eastAsia="en-GB"/>
              </w:rPr>
              <w:t>129.8981967</w:t>
            </w:r>
          </w:p>
        </w:tc>
        <w:tc>
          <w:tcPr>
            <w:tcW w:w="1984" w:type="dxa"/>
            <w:tcBorders>
              <w:top w:val="nil"/>
              <w:left w:val="nil"/>
              <w:bottom w:val="single" w:sz="4" w:space="0" w:color="auto"/>
              <w:right w:val="single" w:sz="4" w:space="0" w:color="auto"/>
            </w:tcBorders>
            <w:shd w:val="clear" w:color="auto" w:fill="auto"/>
            <w:noWrap/>
            <w:vAlign w:val="bottom"/>
            <w:hideMark/>
          </w:tcPr>
          <w:p w14:paraId="672E29AA" w14:textId="77777777" w:rsidR="00620422" w:rsidRPr="008204CC" w:rsidRDefault="00620422" w:rsidP="0066301C">
            <w:pPr>
              <w:spacing w:after="0" w:line="240" w:lineRule="auto"/>
              <w:jc w:val="right"/>
              <w:rPr>
                <w:rFonts w:ascii="Arial" w:eastAsia="Times New Roman" w:hAnsi="Arial" w:cs="Arial"/>
                <w:sz w:val="18"/>
                <w:szCs w:val="18"/>
                <w:lang w:eastAsia="en-GB"/>
              </w:rPr>
            </w:pPr>
            <w:r w:rsidRPr="008204CC">
              <w:rPr>
                <w:rFonts w:ascii="Arial" w:eastAsia="Times New Roman" w:hAnsi="Arial" w:cs="Arial"/>
                <w:sz w:val="18"/>
                <w:szCs w:val="18"/>
                <w:lang w:eastAsia="en-GB"/>
              </w:rPr>
              <w:t>7.444282</w:t>
            </w:r>
          </w:p>
        </w:tc>
        <w:tc>
          <w:tcPr>
            <w:tcW w:w="709" w:type="dxa"/>
            <w:vMerge/>
            <w:tcBorders>
              <w:left w:val="nil"/>
              <w:right w:val="single" w:sz="4" w:space="0" w:color="auto"/>
            </w:tcBorders>
          </w:tcPr>
          <w:p w14:paraId="71014556" w14:textId="77777777" w:rsidR="00620422" w:rsidRPr="008204CC" w:rsidRDefault="00620422" w:rsidP="0066301C">
            <w:pPr>
              <w:spacing w:after="0" w:line="240" w:lineRule="auto"/>
              <w:jc w:val="right"/>
              <w:rPr>
                <w:rFonts w:ascii="Arial" w:eastAsia="Times New Roman" w:hAnsi="Arial" w:cs="Arial"/>
                <w:sz w:val="18"/>
                <w:szCs w:val="18"/>
                <w:lang w:eastAsia="en-GB"/>
              </w:rPr>
            </w:pPr>
          </w:p>
        </w:tc>
        <w:tc>
          <w:tcPr>
            <w:tcW w:w="999" w:type="dxa"/>
            <w:gridSpan w:val="2"/>
            <w:tcBorders>
              <w:top w:val="nil"/>
              <w:left w:val="single" w:sz="4" w:space="0" w:color="auto"/>
              <w:bottom w:val="single" w:sz="4" w:space="0" w:color="auto"/>
              <w:right w:val="single" w:sz="4" w:space="0" w:color="auto"/>
            </w:tcBorders>
            <w:shd w:val="clear" w:color="auto" w:fill="auto"/>
            <w:vAlign w:val="bottom"/>
          </w:tcPr>
          <w:p w14:paraId="58CDD845" w14:textId="77777777" w:rsidR="00620422" w:rsidRPr="008204CC" w:rsidRDefault="00620422" w:rsidP="0066301C">
            <w:pPr>
              <w:spacing w:after="0" w:line="240" w:lineRule="auto"/>
              <w:jc w:val="right"/>
              <w:rPr>
                <w:rFonts w:ascii="Arial" w:eastAsia="Times New Roman" w:hAnsi="Arial" w:cs="Arial"/>
                <w:color w:val="000000"/>
                <w:sz w:val="18"/>
                <w:szCs w:val="18"/>
                <w:lang w:eastAsia="en-GB"/>
              </w:rPr>
            </w:pPr>
            <w:r w:rsidRPr="008204CC">
              <w:rPr>
                <w:rFonts w:ascii="Arial" w:eastAsia="Times New Roman" w:hAnsi="Arial" w:cs="Arial"/>
                <w:color w:val="000000"/>
                <w:sz w:val="18"/>
                <w:szCs w:val="18"/>
                <w:lang w:eastAsia="en-GB"/>
              </w:rPr>
              <w:t>1980</w:t>
            </w:r>
          </w:p>
        </w:tc>
        <w:tc>
          <w:tcPr>
            <w:tcW w:w="1415" w:type="dxa"/>
            <w:gridSpan w:val="2"/>
            <w:tcBorders>
              <w:top w:val="nil"/>
              <w:left w:val="nil"/>
              <w:bottom w:val="single" w:sz="4" w:space="0" w:color="auto"/>
              <w:right w:val="single" w:sz="4" w:space="0" w:color="auto"/>
            </w:tcBorders>
            <w:shd w:val="clear" w:color="auto" w:fill="auto"/>
            <w:vAlign w:val="bottom"/>
          </w:tcPr>
          <w:p w14:paraId="6BEEBBC9" w14:textId="77777777" w:rsidR="00620422" w:rsidRPr="008204CC" w:rsidRDefault="00620422" w:rsidP="0066301C">
            <w:pPr>
              <w:spacing w:after="0" w:line="240" w:lineRule="auto"/>
              <w:jc w:val="right"/>
              <w:rPr>
                <w:rFonts w:ascii="Arial" w:eastAsia="Times New Roman" w:hAnsi="Arial" w:cs="Arial"/>
                <w:color w:val="000000"/>
                <w:sz w:val="18"/>
                <w:szCs w:val="18"/>
                <w:lang w:eastAsia="en-GB"/>
              </w:rPr>
            </w:pPr>
            <w:r w:rsidRPr="008204CC">
              <w:rPr>
                <w:rFonts w:ascii="Arial" w:eastAsia="Times New Roman" w:hAnsi="Arial" w:cs="Arial"/>
                <w:color w:val="000000"/>
                <w:sz w:val="18"/>
                <w:szCs w:val="18"/>
                <w:lang w:eastAsia="en-GB"/>
              </w:rPr>
              <w:t>202.3474</w:t>
            </w:r>
          </w:p>
        </w:tc>
        <w:tc>
          <w:tcPr>
            <w:tcW w:w="1559" w:type="dxa"/>
            <w:gridSpan w:val="2"/>
            <w:tcBorders>
              <w:top w:val="nil"/>
              <w:left w:val="nil"/>
              <w:bottom w:val="single" w:sz="4" w:space="0" w:color="auto"/>
              <w:right w:val="single" w:sz="4" w:space="0" w:color="auto"/>
            </w:tcBorders>
            <w:shd w:val="clear" w:color="auto" w:fill="auto"/>
            <w:vAlign w:val="bottom"/>
          </w:tcPr>
          <w:p w14:paraId="40A6FD5D" w14:textId="77777777" w:rsidR="00620422" w:rsidRPr="008204CC" w:rsidRDefault="00620422" w:rsidP="0066301C">
            <w:pPr>
              <w:spacing w:after="0" w:line="240" w:lineRule="auto"/>
              <w:jc w:val="right"/>
              <w:rPr>
                <w:rFonts w:ascii="Arial" w:eastAsia="Times New Roman" w:hAnsi="Arial" w:cs="Arial"/>
                <w:color w:val="000000"/>
                <w:sz w:val="18"/>
                <w:szCs w:val="18"/>
                <w:lang w:eastAsia="en-GB"/>
              </w:rPr>
            </w:pPr>
            <w:r w:rsidRPr="008204CC">
              <w:rPr>
                <w:rFonts w:ascii="Arial" w:eastAsia="Times New Roman" w:hAnsi="Arial" w:cs="Arial"/>
                <w:color w:val="000000"/>
                <w:sz w:val="18"/>
                <w:szCs w:val="18"/>
                <w:lang w:eastAsia="en-GB"/>
              </w:rPr>
              <w:t>192.5448</w:t>
            </w:r>
          </w:p>
        </w:tc>
        <w:tc>
          <w:tcPr>
            <w:tcW w:w="2122" w:type="dxa"/>
            <w:gridSpan w:val="2"/>
            <w:tcBorders>
              <w:top w:val="nil"/>
              <w:left w:val="nil"/>
              <w:bottom w:val="single" w:sz="4" w:space="0" w:color="auto"/>
              <w:right w:val="single" w:sz="4" w:space="0" w:color="auto"/>
            </w:tcBorders>
            <w:shd w:val="clear" w:color="auto" w:fill="auto"/>
            <w:vAlign w:val="bottom"/>
          </w:tcPr>
          <w:p w14:paraId="6152AFA0" w14:textId="77777777" w:rsidR="00620422" w:rsidRPr="008204CC" w:rsidRDefault="00620422" w:rsidP="0066301C">
            <w:pPr>
              <w:spacing w:after="0" w:line="240" w:lineRule="auto"/>
              <w:jc w:val="right"/>
              <w:rPr>
                <w:rFonts w:ascii="Arial" w:eastAsia="Times New Roman" w:hAnsi="Arial" w:cs="Arial"/>
                <w:color w:val="000000"/>
                <w:sz w:val="18"/>
                <w:szCs w:val="18"/>
                <w:lang w:eastAsia="en-GB"/>
              </w:rPr>
            </w:pPr>
            <w:r w:rsidRPr="008204CC">
              <w:rPr>
                <w:rFonts w:ascii="Arial" w:eastAsia="Times New Roman" w:hAnsi="Arial" w:cs="Arial"/>
                <w:color w:val="000000"/>
                <w:sz w:val="18"/>
                <w:szCs w:val="18"/>
                <w:lang w:eastAsia="en-GB"/>
              </w:rPr>
              <w:t>9.802571</w:t>
            </w:r>
          </w:p>
        </w:tc>
      </w:tr>
      <w:tr w:rsidR="008A6AC3" w:rsidRPr="008204CC" w14:paraId="13E73CFD" w14:textId="77777777" w:rsidTr="00D46B41">
        <w:trPr>
          <w:trHeight w:val="270"/>
        </w:trPr>
        <w:tc>
          <w:tcPr>
            <w:tcW w:w="1135" w:type="dxa"/>
            <w:tcBorders>
              <w:top w:val="nil"/>
              <w:left w:val="single" w:sz="4" w:space="0" w:color="auto"/>
              <w:bottom w:val="single" w:sz="4" w:space="0" w:color="auto"/>
              <w:right w:val="single" w:sz="4" w:space="0" w:color="auto"/>
            </w:tcBorders>
            <w:shd w:val="clear" w:color="auto" w:fill="auto"/>
            <w:noWrap/>
            <w:vAlign w:val="bottom"/>
            <w:hideMark/>
          </w:tcPr>
          <w:p w14:paraId="780260DF" w14:textId="77777777" w:rsidR="00620422" w:rsidRPr="008204CC" w:rsidRDefault="00620422" w:rsidP="0066301C">
            <w:pPr>
              <w:spacing w:after="0" w:line="240" w:lineRule="auto"/>
              <w:jc w:val="right"/>
              <w:rPr>
                <w:rFonts w:ascii="Arial" w:eastAsia="Times New Roman" w:hAnsi="Arial" w:cs="Arial"/>
                <w:color w:val="000000"/>
                <w:sz w:val="18"/>
                <w:szCs w:val="18"/>
                <w:lang w:eastAsia="en-GB"/>
              </w:rPr>
            </w:pPr>
            <w:r w:rsidRPr="008204CC">
              <w:rPr>
                <w:rFonts w:ascii="Arial" w:eastAsia="Times New Roman" w:hAnsi="Arial" w:cs="Arial"/>
                <w:color w:val="000000"/>
                <w:sz w:val="18"/>
                <w:szCs w:val="18"/>
                <w:lang w:eastAsia="en-GB"/>
              </w:rPr>
              <w:t>1981</w:t>
            </w:r>
          </w:p>
        </w:tc>
        <w:tc>
          <w:tcPr>
            <w:tcW w:w="1701" w:type="dxa"/>
            <w:tcBorders>
              <w:top w:val="nil"/>
              <w:left w:val="nil"/>
              <w:bottom w:val="single" w:sz="4" w:space="0" w:color="auto"/>
              <w:right w:val="single" w:sz="4" w:space="0" w:color="auto"/>
            </w:tcBorders>
            <w:shd w:val="clear" w:color="auto" w:fill="auto"/>
            <w:noWrap/>
            <w:vAlign w:val="bottom"/>
            <w:hideMark/>
          </w:tcPr>
          <w:p w14:paraId="0E4B309E" w14:textId="77777777" w:rsidR="00620422" w:rsidRPr="008204CC" w:rsidRDefault="00620422" w:rsidP="0066301C">
            <w:pPr>
              <w:spacing w:after="0" w:line="240" w:lineRule="auto"/>
              <w:jc w:val="right"/>
              <w:rPr>
                <w:rFonts w:ascii="Arial" w:eastAsia="Times New Roman" w:hAnsi="Arial" w:cs="Arial"/>
                <w:color w:val="000000"/>
                <w:sz w:val="18"/>
                <w:szCs w:val="18"/>
                <w:lang w:eastAsia="en-GB"/>
              </w:rPr>
            </w:pPr>
            <w:r w:rsidRPr="008204CC">
              <w:rPr>
                <w:rFonts w:ascii="Arial" w:eastAsia="Times New Roman" w:hAnsi="Arial" w:cs="Arial"/>
                <w:color w:val="000000"/>
                <w:sz w:val="18"/>
                <w:szCs w:val="18"/>
                <w:lang w:eastAsia="en-GB"/>
              </w:rPr>
              <w:t>126.2282704</w:t>
            </w:r>
          </w:p>
        </w:tc>
        <w:tc>
          <w:tcPr>
            <w:tcW w:w="1701" w:type="dxa"/>
            <w:tcBorders>
              <w:top w:val="nil"/>
              <w:left w:val="nil"/>
              <w:bottom w:val="single" w:sz="4" w:space="0" w:color="auto"/>
              <w:right w:val="single" w:sz="4" w:space="0" w:color="auto"/>
            </w:tcBorders>
            <w:shd w:val="clear" w:color="auto" w:fill="auto"/>
            <w:noWrap/>
            <w:vAlign w:val="bottom"/>
            <w:hideMark/>
          </w:tcPr>
          <w:p w14:paraId="7594DC8F" w14:textId="77777777" w:rsidR="00620422" w:rsidRPr="008204CC" w:rsidRDefault="00620422" w:rsidP="0066301C">
            <w:pPr>
              <w:spacing w:after="0" w:line="240" w:lineRule="auto"/>
              <w:jc w:val="right"/>
              <w:rPr>
                <w:rFonts w:ascii="Arial" w:eastAsia="Times New Roman" w:hAnsi="Arial" w:cs="Arial"/>
                <w:color w:val="000000"/>
                <w:sz w:val="18"/>
                <w:szCs w:val="18"/>
                <w:lang w:eastAsia="en-GB"/>
              </w:rPr>
            </w:pPr>
            <w:r w:rsidRPr="008204CC">
              <w:rPr>
                <w:rFonts w:ascii="Arial" w:eastAsia="Times New Roman" w:hAnsi="Arial" w:cs="Arial"/>
                <w:color w:val="000000"/>
                <w:sz w:val="18"/>
                <w:szCs w:val="18"/>
                <w:lang w:eastAsia="en-GB"/>
              </w:rPr>
              <w:t>132.679707</w:t>
            </w:r>
          </w:p>
        </w:tc>
        <w:tc>
          <w:tcPr>
            <w:tcW w:w="1984" w:type="dxa"/>
            <w:tcBorders>
              <w:top w:val="nil"/>
              <w:left w:val="nil"/>
              <w:bottom w:val="single" w:sz="4" w:space="0" w:color="auto"/>
              <w:right w:val="single" w:sz="4" w:space="0" w:color="auto"/>
            </w:tcBorders>
            <w:shd w:val="clear" w:color="auto" w:fill="auto"/>
            <w:noWrap/>
            <w:vAlign w:val="bottom"/>
            <w:hideMark/>
          </w:tcPr>
          <w:p w14:paraId="6ADE5EDF" w14:textId="77777777" w:rsidR="00620422" w:rsidRPr="008204CC" w:rsidRDefault="00620422" w:rsidP="0066301C">
            <w:pPr>
              <w:spacing w:after="0" w:line="240" w:lineRule="auto"/>
              <w:jc w:val="right"/>
              <w:rPr>
                <w:rFonts w:ascii="Arial" w:eastAsia="Times New Roman" w:hAnsi="Arial" w:cs="Arial"/>
                <w:sz w:val="18"/>
                <w:szCs w:val="18"/>
                <w:lang w:eastAsia="en-GB"/>
              </w:rPr>
            </w:pPr>
            <w:r w:rsidRPr="008204CC">
              <w:rPr>
                <w:rFonts w:ascii="Arial" w:eastAsia="Times New Roman" w:hAnsi="Arial" w:cs="Arial"/>
                <w:sz w:val="18"/>
                <w:szCs w:val="18"/>
                <w:lang w:eastAsia="en-GB"/>
              </w:rPr>
              <w:t>-6.45144</w:t>
            </w:r>
          </w:p>
        </w:tc>
        <w:tc>
          <w:tcPr>
            <w:tcW w:w="709" w:type="dxa"/>
            <w:vMerge/>
            <w:tcBorders>
              <w:left w:val="nil"/>
              <w:right w:val="single" w:sz="4" w:space="0" w:color="auto"/>
            </w:tcBorders>
          </w:tcPr>
          <w:p w14:paraId="6FEA73D7" w14:textId="77777777" w:rsidR="00620422" w:rsidRPr="008204CC" w:rsidRDefault="00620422" w:rsidP="0066301C">
            <w:pPr>
              <w:spacing w:after="0" w:line="240" w:lineRule="auto"/>
              <w:jc w:val="right"/>
              <w:rPr>
                <w:rFonts w:ascii="Arial" w:eastAsia="Times New Roman" w:hAnsi="Arial" w:cs="Arial"/>
                <w:sz w:val="18"/>
                <w:szCs w:val="18"/>
                <w:lang w:eastAsia="en-GB"/>
              </w:rPr>
            </w:pPr>
          </w:p>
        </w:tc>
        <w:tc>
          <w:tcPr>
            <w:tcW w:w="999" w:type="dxa"/>
            <w:gridSpan w:val="2"/>
            <w:tcBorders>
              <w:top w:val="nil"/>
              <w:left w:val="single" w:sz="4" w:space="0" w:color="auto"/>
              <w:bottom w:val="single" w:sz="4" w:space="0" w:color="auto"/>
              <w:right w:val="single" w:sz="4" w:space="0" w:color="auto"/>
            </w:tcBorders>
            <w:shd w:val="clear" w:color="auto" w:fill="auto"/>
            <w:vAlign w:val="bottom"/>
          </w:tcPr>
          <w:p w14:paraId="106AEF6D" w14:textId="77777777" w:rsidR="00620422" w:rsidRPr="008204CC" w:rsidRDefault="00620422" w:rsidP="0066301C">
            <w:pPr>
              <w:spacing w:after="0" w:line="240" w:lineRule="auto"/>
              <w:jc w:val="right"/>
              <w:rPr>
                <w:rFonts w:ascii="Arial" w:eastAsia="Times New Roman" w:hAnsi="Arial" w:cs="Arial"/>
                <w:color w:val="000000"/>
                <w:sz w:val="18"/>
                <w:szCs w:val="18"/>
                <w:lang w:eastAsia="en-GB"/>
              </w:rPr>
            </w:pPr>
            <w:r w:rsidRPr="008204CC">
              <w:rPr>
                <w:rFonts w:ascii="Arial" w:eastAsia="Times New Roman" w:hAnsi="Arial" w:cs="Arial"/>
                <w:color w:val="000000"/>
                <w:sz w:val="18"/>
                <w:szCs w:val="18"/>
                <w:lang w:eastAsia="en-GB"/>
              </w:rPr>
              <w:t>1981</w:t>
            </w:r>
          </w:p>
        </w:tc>
        <w:tc>
          <w:tcPr>
            <w:tcW w:w="1415" w:type="dxa"/>
            <w:gridSpan w:val="2"/>
            <w:tcBorders>
              <w:top w:val="nil"/>
              <w:left w:val="nil"/>
              <w:bottom w:val="single" w:sz="4" w:space="0" w:color="auto"/>
              <w:right w:val="single" w:sz="4" w:space="0" w:color="auto"/>
            </w:tcBorders>
            <w:shd w:val="clear" w:color="auto" w:fill="auto"/>
            <w:vAlign w:val="bottom"/>
          </w:tcPr>
          <w:p w14:paraId="716FE6DC" w14:textId="77777777" w:rsidR="00620422" w:rsidRPr="008204CC" w:rsidRDefault="00620422" w:rsidP="0066301C">
            <w:pPr>
              <w:spacing w:after="0" w:line="240" w:lineRule="auto"/>
              <w:jc w:val="right"/>
              <w:rPr>
                <w:rFonts w:ascii="Arial" w:eastAsia="Times New Roman" w:hAnsi="Arial" w:cs="Arial"/>
                <w:color w:val="000000"/>
                <w:sz w:val="18"/>
                <w:szCs w:val="18"/>
                <w:lang w:eastAsia="en-GB"/>
              </w:rPr>
            </w:pPr>
            <w:r w:rsidRPr="008204CC">
              <w:rPr>
                <w:rFonts w:ascii="Arial" w:eastAsia="Times New Roman" w:hAnsi="Arial" w:cs="Arial"/>
                <w:color w:val="000000"/>
                <w:sz w:val="18"/>
                <w:szCs w:val="18"/>
                <w:lang w:eastAsia="en-GB"/>
              </w:rPr>
              <w:t>176.7697</w:t>
            </w:r>
          </w:p>
        </w:tc>
        <w:tc>
          <w:tcPr>
            <w:tcW w:w="1559" w:type="dxa"/>
            <w:gridSpan w:val="2"/>
            <w:tcBorders>
              <w:top w:val="nil"/>
              <w:left w:val="nil"/>
              <w:bottom w:val="single" w:sz="4" w:space="0" w:color="auto"/>
              <w:right w:val="single" w:sz="4" w:space="0" w:color="auto"/>
            </w:tcBorders>
            <w:shd w:val="clear" w:color="auto" w:fill="auto"/>
            <w:vAlign w:val="bottom"/>
          </w:tcPr>
          <w:p w14:paraId="6CF883F3" w14:textId="77777777" w:rsidR="00620422" w:rsidRPr="008204CC" w:rsidRDefault="00620422" w:rsidP="0066301C">
            <w:pPr>
              <w:spacing w:after="0" w:line="240" w:lineRule="auto"/>
              <w:jc w:val="right"/>
              <w:rPr>
                <w:rFonts w:ascii="Arial" w:eastAsia="Times New Roman" w:hAnsi="Arial" w:cs="Arial"/>
                <w:color w:val="000000"/>
                <w:sz w:val="18"/>
                <w:szCs w:val="18"/>
                <w:lang w:eastAsia="en-GB"/>
              </w:rPr>
            </w:pPr>
            <w:r w:rsidRPr="008204CC">
              <w:rPr>
                <w:rFonts w:ascii="Arial" w:eastAsia="Times New Roman" w:hAnsi="Arial" w:cs="Arial"/>
                <w:color w:val="000000"/>
                <w:sz w:val="18"/>
                <w:szCs w:val="18"/>
                <w:lang w:eastAsia="en-GB"/>
              </w:rPr>
              <w:t>188.7538</w:t>
            </w:r>
          </w:p>
        </w:tc>
        <w:tc>
          <w:tcPr>
            <w:tcW w:w="2122" w:type="dxa"/>
            <w:gridSpan w:val="2"/>
            <w:tcBorders>
              <w:top w:val="nil"/>
              <w:left w:val="nil"/>
              <w:bottom w:val="single" w:sz="4" w:space="0" w:color="auto"/>
              <w:right w:val="single" w:sz="4" w:space="0" w:color="auto"/>
            </w:tcBorders>
            <w:shd w:val="clear" w:color="auto" w:fill="auto"/>
            <w:vAlign w:val="bottom"/>
          </w:tcPr>
          <w:p w14:paraId="14EAEF33" w14:textId="77777777" w:rsidR="00620422" w:rsidRPr="008204CC" w:rsidRDefault="00620422" w:rsidP="0066301C">
            <w:pPr>
              <w:spacing w:after="0" w:line="240" w:lineRule="auto"/>
              <w:jc w:val="right"/>
              <w:rPr>
                <w:rFonts w:ascii="Arial" w:eastAsia="Times New Roman" w:hAnsi="Arial" w:cs="Arial"/>
                <w:color w:val="000000"/>
                <w:sz w:val="18"/>
                <w:szCs w:val="18"/>
                <w:lang w:eastAsia="en-GB"/>
              </w:rPr>
            </w:pPr>
            <w:r w:rsidRPr="008204CC">
              <w:rPr>
                <w:rFonts w:ascii="Arial" w:eastAsia="Times New Roman" w:hAnsi="Arial" w:cs="Arial"/>
                <w:color w:val="000000"/>
                <w:sz w:val="18"/>
                <w:szCs w:val="18"/>
                <w:lang w:eastAsia="en-GB"/>
              </w:rPr>
              <w:t>-11.9841</w:t>
            </w:r>
          </w:p>
        </w:tc>
      </w:tr>
      <w:tr w:rsidR="008A6AC3" w:rsidRPr="008204CC" w14:paraId="740152B8" w14:textId="77777777" w:rsidTr="00D46B41">
        <w:trPr>
          <w:trHeight w:val="270"/>
        </w:trPr>
        <w:tc>
          <w:tcPr>
            <w:tcW w:w="1135" w:type="dxa"/>
            <w:tcBorders>
              <w:top w:val="nil"/>
              <w:left w:val="single" w:sz="4" w:space="0" w:color="auto"/>
              <w:bottom w:val="single" w:sz="4" w:space="0" w:color="auto"/>
              <w:right w:val="single" w:sz="4" w:space="0" w:color="auto"/>
            </w:tcBorders>
            <w:shd w:val="clear" w:color="auto" w:fill="auto"/>
            <w:noWrap/>
            <w:vAlign w:val="bottom"/>
            <w:hideMark/>
          </w:tcPr>
          <w:p w14:paraId="291B7800" w14:textId="77777777" w:rsidR="00620422" w:rsidRPr="008204CC" w:rsidRDefault="00620422" w:rsidP="0066301C">
            <w:pPr>
              <w:spacing w:after="0" w:line="240" w:lineRule="auto"/>
              <w:jc w:val="right"/>
              <w:rPr>
                <w:rFonts w:ascii="Arial" w:eastAsia="Times New Roman" w:hAnsi="Arial" w:cs="Arial"/>
                <w:color w:val="000000"/>
                <w:sz w:val="18"/>
                <w:szCs w:val="18"/>
                <w:lang w:eastAsia="en-GB"/>
              </w:rPr>
            </w:pPr>
            <w:r w:rsidRPr="008204CC">
              <w:rPr>
                <w:rFonts w:ascii="Arial" w:eastAsia="Times New Roman" w:hAnsi="Arial" w:cs="Arial"/>
                <w:color w:val="000000"/>
                <w:sz w:val="18"/>
                <w:szCs w:val="18"/>
                <w:lang w:eastAsia="en-GB"/>
              </w:rPr>
              <w:t>1982</w:t>
            </w:r>
          </w:p>
        </w:tc>
        <w:tc>
          <w:tcPr>
            <w:tcW w:w="1701" w:type="dxa"/>
            <w:tcBorders>
              <w:top w:val="nil"/>
              <w:left w:val="nil"/>
              <w:bottom w:val="single" w:sz="4" w:space="0" w:color="auto"/>
              <w:right w:val="single" w:sz="4" w:space="0" w:color="auto"/>
            </w:tcBorders>
            <w:shd w:val="clear" w:color="auto" w:fill="auto"/>
            <w:noWrap/>
            <w:vAlign w:val="bottom"/>
            <w:hideMark/>
          </w:tcPr>
          <w:p w14:paraId="1DD7536C" w14:textId="77777777" w:rsidR="00620422" w:rsidRPr="008204CC" w:rsidRDefault="00620422" w:rsidP="0066301C">
            <w:pPr>
              <w:spacing w:after="0" w:line="240" w:lineRule="auto"/>
              <w:jc w:val="right"/>
              <w:rPr>
                <w:rFonts w:ascii="Arial" w:eastAsia="Times New Roman" w:hAnsi="Arial" w:cs="Arial"/>
                <w:color w:val="000000"/>
                <w:sz w:val="18"/>
                <w:szCs w:val="18"/>
                <w:lang w:eastAsia="en-GB"/>
              </w:rPr>
            </w:pPr>
            <w:r w:rsidRPr="008204CC">
              <w:rPr>
                <w:rFonts w:ascii="Arial" w:eastAsia="Times New Roman" w:hAnsi="Arial" w:cs="Arial"/>
                <w:color w:val="000000"/>
                <w:sz w:val="18"/>
                <w:szCs w:val="18"/>
                <w:lang w:eastAsia="en-GB"/>
              </w:rPr>
              <w:t>123.4200695</w:t>
            </w:r>
          </w:p>
        </w:tc>
        <w:tc>
          <w:tcPr>
            <w:tcW w:w="1701" w:type="dxa"/>
            <w:tcBorders>
              <w:top w:val="nil"/>
              <w:left w:val="nil"/>
              <w:bottom w:val="single" w:sz="4" w:space="0" w:color="auto"/>
              <w:right w:val="single" w:sz="4" w:space="0" w:color="auto"/>
            </w:tcBorders>
            <w:shd w:val="clear" w:color="auto" w:fill="auto"/>
            <w:noWrap/>
            <w:vAlign w:val="bottom"/>
            <w:hideMark/>
          </w:tcPr>
          <w:p w14:paraId="68A80B48" w14:textId="77777777" w:rsidR="00620422" w:rsidRPr="008204CC" w:rsidRDefault="00620422" w:rsidP="0066301C">
            <w:pPr>
              <w:spacing w:after="0" w:line="240" w:lineRule="auto"/>
              <w:jc w:val="right"/>
              <w:rPr>
                <w:rFonts w:ascii="Arial" w:eastAsia="Times New Roman" w:hAnsi="Arial" w:cs="Arial"/>
                <w:color w:val="000000"/>
                <w:sz w:val="18"/>
                <w:szCs w:val="18"/>
                <w:lang w:eastAsia="en-GB"/>
              </w:rPr>
            </w:pPr>
            <w:r w:rsidRPr="008204CC">
              <w:rPr>
                <w:rFonts w:ascii="Arial" w:eastAsia="Times New Roman" w:hAnsi="Arial" w:cs="Arial"/>
                <w:color w:val="000000"/>
                <w:sz w:val="18"/>
                <w:szCs w:val="18"/>
                <w:lang w:eastAsia="en-GB"/>
              </w:rPr>
              <w:t>135.5356601</w:t>
            </w:r>
          </w:p>
        </w:tc>
        <w:tc>
          <w:tcPr>
            <w:tcW w:w="1984" w:type="dxa"/>
            <w:tcBorders>
              <w:top w:val="nil"/>
              <w:left w:val="nil"/>
              <w:bottom w:val="single" w:sz="4" w:space="0" w:color="auto"/>
              <w:right w:val="single" w:sz="4" w:space="0" w:color="auto"/>
            </w:tcBorders>
            <w:shd w:val="clear" w:color="auto" w:fill="auto"/>
            <w:noWrap/>
            <w:vAlign w:val="bottom"/>
            <w:hideMark/>
          </w:tcPr>
          <w:p w14:paraId="11C5BA14" w14:textId="77777777" w:rsidR="00620422" w:rsidRPr="008204CC" w:rsidRDefault="00620422" w:rsidP="0066301C">
            <w:pPr>
              <w:spacing w:after="0" w:line="240" w:lineRule="auto"/>
              <w:jc w:val="right"/>
              <w:rPr>
                <w:rFonts w:ascii="Arial" w:eastAsia="Times New Roman" w:hAnsi="Arial" w:cs="Arial"/>
                <w:sz w:val="18"/>
                <w:szCs w:val="18"/>
                <w:lang w:eastAsia="en-GB"/>
              </w:rPr>
            </w:pPr>
            <w:r w:rsidRPr="008204CC">
              <w:rPr>
                <w:rFonts w:ascii="Arial" w:eastAsia="Times New Roman" w:hAnsi="Arial" w:cs="Arial"/>
                <w:sz w:val="18"/>
                <w:szCs w:val="18"/>
                <w:lang w:eastAsia="en-GB"/>
              </w:rPr>
              <w:t>-12.1156</w:t>
            </w:r>
          </w:p>
        </w:tc>
        <w:tc>
          <w:tcPr>
            <w:tcW w:w="709" w:type="dxa"/>
            <w:vMerge/>
            <w:tcBorders>
              <w:left w:val="nil"/>
              <w:right w:val="single" w:sz="4" w:space="0" w:color="auto"/>
            </w:tcBorders>
          </w:tcPr>
          <w:p w14:paraId="69803A79" w14:textId="77777777" w:rsidR="00620422" w:rsidRPr="008204CC" w:rsidRDefault="00620422" w:rsidP="0066301C">
            <w:pPr>
              <w:spacing w:after="0" w:line="240" w:lineRule="auto"/>
              <w:jc w:val="right"/>
              <w:rPr>
                <w:rFonts w:ascii="Arial" w:eastAsia="Times New Roman" w:hAnsi="Arial" w:cs="Arial"/>
                <w:sz w:val="18"/>
                <w:szCs w:val="18"/>
                <w:lang w:eastAsia="en-GB"/>
              </w:rPr>
            </w:pPr>
          </w:p>
        </w:tc>
        <w:tc>
          <w:tcPr>
            <w:tcW w:w="999" w:type="dxa"/>
            <w:gridSpan w:val="2"/>
            <w:tcBorders>
              <w:top w:val="nil"/>
              <w:left w:val="single" w:sz="4" w:space="0" w:color="auto"/>
              <w:bottom w:val="single" w:sz="4" w:space="0" w:color="auto"/>
              <w:right w:val="single" w:sz="4" w:space="0" w:color="auto"/>
            </w:tcBorders>
            <w:shd w:val="clear" w:color="auto" w:fill="auto"/>
            <w:vAlign w:val="bottom"/>
          </w:tcPr>
          <w:p w14:paraId="77503069" w14:textId="77777777" w:rsidR="00620422" w:rsidRPr="008204CC" w:rsidRDefault="00620422" w:rsidP="0066301C">
            <w:pPr>
              <w:spacing w:after="0" w:line="240" w:lineRule="auto"/>
              <w:jc w:val="right"/>
              <w:rPr>
                <w:rFonts w:ascii="Arial" w:eastAsia="Times New Roman" w:hAnsi="Arial" w:cs="Arial"/>
                <w:color w:val="000000"/>
                <w:sz w:val="18"/>
                <w:szCs w:val="18"/>
                <w:lang w:eastAsia="en-GB"/>
              </w:rPr>
            </w:pPr>
            <w:r w:rsidRPr="008204CC">
              <w:rPr>
                <w:rFonts w:ascii="Arial" w:eastAsia="Times New Roman" w:hAnsi="Arial" w:cs="Arial"/>
                <w:color w:val="000000"/>
                <w:sz w:val="18"/>
                <w:szCs w:val="18"/>
                <w:lang w:eastAsia="en-GB"/>
              </w:rPr>
              <w:t>1982</w:t>
            </w:r>
          </w:p>
        </w:tc>
        <w:tc>
          <w:tcPr>
            <w:tcW w:w="1415" w:type="dxa"/>
            <w:gridSpan w:val="2"/>
            <w:tcBorders>
              <w:top w:val="nil"/>
              <w:left w:val="nil"/>
              <w:bottom w:val="single" w:sz="4" w:space="0" w:color="auto"/>
              <w:right w:val="single" w:sz="4" w:space="0" w:color="auto"/>
            </w:tcBorders>
            <w:shd w:val="clear" w:color="auto" w:fill="auto"/>
            <w:vAlign w:val="bottom"/>
          </w:tcPr>
          <w:p w14:paraId="5A5E2108" w14:textId="77777777" w:rsidR="00620422" w:rsidRPr="008204CC" w:rsidRDefault="00620422" w:rsidP="0066301C">
            <w:pPr>
              <w:spacing w:after="0" w:line="240" w:lineRule="auto"/>
              <w:jc w:val="right"/>
              <w:rPr>
                <w:rFonts w:ascii="Arial" w:eastAsia="Times New Roman" w:hAnsi="Arial" w:cs="Arial"/>
                <w:color w:val="000000"/>
                <w:sz w:val="18"/>
                <w:szCs w:val="18"/>
                <w:lang w:eastAsia="en-GB"/>
              </w:rPr>
            </w:pPr>
            <w:r w:rsidRPr="008204CC">
              <w:rPr>
                <w:rFonts w:ascii="Arial" w:eastAsia="Times New Roman" w:hAnsi="Arial" w:cs="Arial"/>
                <w:color w:val="000000"/>
                <w:sz w:val="18"/>
                <w:szCs w:val="18"/>
                <w:lang w:eastAsia="en-GB"/>
              </w:rPr>
              <w:t>173.8849</w:t>
            </w:r>
          </w:p>
        </w:tc>
        <w:tc>
          <w:tcPr>
            <w:tcW w:w="1559" w:type="dxa"/>
            <w:gridSpan w:val="2"/>
            <w:tcBorders>
              <w:top w:val="nil"/>
              <w:left w:val="nil"/>
              <w:bottom w:val="single" w:sz="4" w:space="0" w:color="auto"/>
              <w:right w:val="single" w:sz="4" w:space="0" w:color="auto"/>
            </w:tcBorders>
            <w:shd w:val="clear" w:color="auto" w:fill="auto"/>
            <w:vAlign w:val="bottom"/>
          </w:tcPr>
          <w:p w14:paraId="68261788" w14:textId="77777777" w:rsidR="00620422" w:rsidRPr="008204CC" w:rsidRDefault="00620422" w:rsidP="0066301C">
            <w:pPr>
              <w:spacing w:after="0" w:line="240" w:lineRule="auto"/>
              <w:jc w:val="right"/>
              <w:rPr>
                <w:rFonts w:ascii="Arial" w:eastAsia="Times New Roman" w:hAnsi="Arial" w:cs="Arial"/>
                <w:color w:val="000000"/>
                <w:sz w:val="18"/>
                <w:szCs w:val="18"/>
                <w:lang w:eastAsia="en-GB"/>
              </w:rPr>
            </w:pPr>
            <w:r w:rsidRPr="008204CC">
              <w:rPr>
                <w:rFonts w:ascii="Arial" w:eastAsia="Times New Roman" w:hAnsi="Arial" w:cs="Arial"/>
                <w:color w:val="000000"/>
                <w:sz w:val="18"/>
                <w:szCs w:val="18"/>
                <w:lang w:eastAsia="en-GB"/>
              </w:rPr>
              <w:t>185.0608</w:t>
            </w:r>
          </w:p>
        </w:tc>
        <w:tc>
          <w:tcPr>
            <w:tcW w:w="2122" w:type="dxa"/>
            <w:gridSpan w:val="2"/>
            <w:tcBorders>
              <w:top w:val="nil"/>
              <w:left w:val="nil"/>
              <w:bottom w:val="single" w:sz="4" w:space="0" w:color="auto"/>
              <w:right w:val="single" w:sz="4" w:space="0" w:color="auto"/>
            </w:tcBorders>
            <w:shd w:val="clear" w:color="auto" w:fill="auto"/>
            <w:vAlign w:val="bottom"/>
          </w:tcPr>
          <w:p w14:paraId="18619E44" w14:textId="77777777" w:rsidR="00620422" w:rsidRPr="008204CC" w:rsidRDefault="00620422" w:rsidP="0066301C">
            <w:pPr>
              <w:spacing w:after="0" w:line="240" w:lineRule="auto"/>
              <w:jc w:val="right"/>
              <w:rPr>
                <w:rFonts w:ascii="Arial" w:eastAsia="Times New Roman" w:hAnsi="Arial" w:cs="Arial"/>
                <w:color w:val="000000"/>
                <w:sz w:val="18"/>
                <w:szCs w:val="18"/>
                <w:lang w:eastAsia="en-GB"/>
              </w:rPr>
            </w:pPr>
            <w:r w:rsidRPr="008204CC">
              <w:rPr>
                <w:rFonts w:ascii="Arial" w:eastAsia="Times New Roman" w:hAnsi="Arial" w:cs="Arial"/>
                <w:color w:val="000000"/>
                <w:sz w:val="18"/>
                <w:szCs w:val="18"/>
                <w:lang w:eastAsia="en-GB"/>
              </w:rPr>
              <w:t>-11.1759</w:t>
            </w:r>
          </w:p>
        </w:tc>
      </w:tr>
      <w:tr w:rsidR="008A6AC3" w:rsidRPr="008204CC" w14:paraId="61BED8E6" w14:textId="77777777" w:rsidTr="00D46B41">
        <w:trPr>
          <w:trHeight w:val="270"/>
        </w:trPr>
        <w:tc>
          <w:tcPr>
            <w:tcW w:w="1135" w:type="dxa"/>
            <w:tcBorders>
              <w:top w:val="nil"/>
              <w:left w:val="single" w:sz="4" w:space="0" w:color="auto"/>
              <w:bottom w:val="single" w:sz="4" w:space="0" w:color="auto"/>
              <w:right w:val="single" w:sz="4" w:space="0" w:color="auto"/>
            </w:tcBorders>
            <w:shd w:val="clear" w:color="auto" w:fill="auto"/>
            <w:noWrap/>
            <w:vAlign w:val="bottom"/>
            <w:hideMark/>
          </w:tcPr>
          <w:p w14:paraId="71CF49A3" w14:textId="77777777" w:rsidR="00620422" w:rsidRPr="008204CC" w:rsidRDefault="00620422" w:rsidP="0066301C">
            <w:pPr>
              <w:spacing w:after="0" w:line="240" w:lineRule="auto"/>
              <w:jc w:val="right"/>
              <w:rPr>
                <w:rFonts w:ascii="Arial" w:eastAsia="Times New Roman" w:hAnsi="Arial" w:cs="Arial"/>
                <w:color w:val="000000"/>
                <w:sz w:val="18"/>
                <w:szCs w:val="18"/>
                <w:lang w:eastAsia="en-GB"/>
              </w:rPr>
            </w:pPr>
            <w:r w:rsidRPr="008204CC">
              <w:rPr>
                <w:rFonts w:ascii="Arial" w:eastAsia="Times New Roman" w:hAnsi="Arial" w:cs="Arial"/>
                <w:color w:val="000000"/>
                <w:sz w:val="18"/>
                <w:szCs w:val="18"/>
                <w:lang w:eastAsia="en-GB"/>
              </w:rPr>
              <w:t>1983</w:t>
            </w:r>
          </w:p>
        </w:tc>
        <w:tc>
          <w:tcPr>
            <w:tcW w:w="1701" w:type="dxa"/>
            <w:tcBorders>
              <w:top w:val="nil"/>
              <w:left w:val="nil"/>
              <w:bottom w:val="single" w:sz="4" w:space="0" w:color="auto"/>
              <w:right w:val="single" w:sz="4" w:space="0" w:color="auto"/>
            </w:tcBorders>
            <w:shd w:val="clear" w:color="auto" w:fill="auto"/>
            <w:noWrap/>
            <w:vAlign w:val="bottom"/>
            <w:hideMark/>
          </w:tcPr>
          <w:p w14:paraId="3848E887" w14:textId="77777777" w:rsidR="00620422" w:rsidRPr="008204CC" w:rsidRDefault="00620422" w:rsidP="0066301C">
            <w:pPr>
              <w:spacing w:after="0" w:line="240" w:lineRule="auto"/>
              <w:jc w:val="right"/>
              <w:rPr>
                <w:rFonts w:ascii="Arial" w:eastAsia="Times New Roman" w:hAnsi="Arial" w:cs="Arial"/>
                <w:color w:val="000000"/>
                <w:sz w:val="18"/>
                <w:szCs w:val="18"/>
                <w:lang w:eastAsia="en-GB"/>
              </w:rPr>
            </w:pPr>
            <w:r w:rsidRPr="008204CC">
              <w:rPr>
                <w:rFonts w:ascii="Arial" w:eastAsia="Times New Roman" w:hAnsi="Arial" w:cs="Arial"/>
                <w:color w:val="000000"/>
                <w:sz w:val="18"/>
                <w:szCs w:val="18"/>
                <w:lang w:eastAsia="en-GB"/>
              </w:rPr>
              <w:t>128.3315012</w:t>
            </w:r>
          </w:p>
        </w:tc>
        <w:tc>
          <w:tcPr>
            <w:tcW w:w="1701" w:type="dxa"/>
            <w:tcBorders>
              <w:top w:val="nil"/>
              <w:left w:val="nil"/>
              <w:bottom w:val="single" w:sz="4" w:space="0" w:color="auto"/>
              <w:right w:val="single" w:sz="4" w:space="0" w:color="auto"/>
            </w:tcBorders>
            <w:shd w:val="clear" w:color="auto" w:fill="auto"/>
            <w:noWrap/>
            <w:vAlign w:val="bottom"/>
            <w:hideMark/>
          </w:tcPr>
          <w:p w14:paraId="600D55B0" w14:textId="77777777" w:rsidR="00620422" w:rsidRPr="008204CC" w:rsidRDefault="00620422" w:rsidP="0066301C">
            <w:pPr>
              <w:spacing w:after="0" w:line="240" w:lineRule="auto"/>
              <w:jc w:val="right"/>
              <w:rPr>
                <w:rFonts w:ascii="Arial" w:eastAsia="Times New Roman" w:hAnsi="Arial" w:cs="Arial"/>
                <w:color w:val="000000"/>
                <w:sz w:val="18"/>
                <w:szCs w:val="18"/>
                <w:lang w:eastAsia="en-GB"/>
              </w:rPr>
            </w:pPr>
            <w:r w:rsidRPr="008204CC">
              <w:rPr>
                <w:rFonts w:ascii="Arial" w:eastAsia="Times New Roman" w:hAnsi="Arial" w:cs="Arial"/>
                <w:color w:val="000000"/>
                <w:sz w:val="18"/>
                <w:szCs w:val="18"/>
                <w:lang w:eastAsia="en-GB"/>
              </w:rPr>
              <w:t>138.4759845</w:t>
            </w:r>
          </w:p>
        </w:tc>
        <w:tc>
          <w:tcPr>
            <w:tcW w:w="1984" w:type="dxa"/>
            <w:tcBorders>
              <w:top w:val="nil"/>
              <w:left w:val="nil"/>
              <w:bottom w:val="single" w:sz="4" w:space="0" w:color="auto"/>
              <w:right w:val="single" w:sz="4" w:space="0" w:color="auto"/>
            </w:tcBorders>
            <w:shd w:val="clear" w:color="auto" w:fill="auto"/>
            <w:noWrap/>
            <w:vAlign w:val="bottom"/>
            <w:hideMark/>
          </w:tcPr>
          <w:p w14:paraId="7A9D282F" w14:textId="77777777" w:rsidR="00620422" w:rsidRPr="008204CC" w:rsidRDefault="00620422" w:rsidP="0066301C">
            <w:pPr>
              <w:spacing w:after="0" w:line="240" w:lineRule="auto"/>
              <w:jc w:val="right"/>
              <w:rPr>
                <w:rFonts w:ascii="Arial" w:eastAsia="Times New Roman" w:hAnsi="Arial" w:cs="Arial"/>
                <w:sz w:val="18"/>
                <w:szCs w:val="18"/>
                <w:lang w:eastAsia="en-GB"/>
              </w:rPr>
            </w:pPr>
            <w:r w:rsidRPr="008204CC">
              <w:rPr>
                <w:rFonts w:ascii="Arial" w:eastAsia="Times New Roman" w:hAnsi="Arial" w:cs="Arial"/>
                <w:sz w:val="18"/>
                <w:szCs w:val="18"/>
                <w:lang w:eastAsia="en-GB"/>
              </w:rPr>
              <w:t>-10.1445</w:t>
            </w:r>
          </w:p>
        </w:tc>
        <w:tc>
          <w:tcPr>
            <w:tcW w:w="709" w:type="dxa"/>
            <w:vMerge/>
            <w:tcBorders>
              <w:left w:val="nil"/>
              <w:right w:val="single" w:sz="4" w:space="0" w:color="auto"/>
            </w:tcBorders>
          </w:tcPr>
          <w:p w14:paraId="7A1B9ED0" w14:textId="77777777" w:rsidR="00620422" w:rsidRPr="008204CC" w:rsidRDefault="00620422" w:rsidP="0066301C">
            <w:pPr>
              <w:spacing w:after="0" w:line="240" w:lineRule="auto"/>
              <w:jc w:val="right"/>
              <w:rPr>
                <w:rFonts w:ascii="Arial" w:eastAsia="Times New Roman" w:hAnsi="Arial" w:cs="Arial"/>
                <w:sz w:val="18"/>
                <w:szCs w:val="18"/>
                <w:lang w:eastAsia="en-GB"/>
              </w:rPr>
            </w:pPr>
          </w:p>
        </w:tc>
        <w:tc>
          <w:tcPr>
            <w:tcW w:w="999" w:type="dxa"/>
            <w:gridSpan w:val="2"/>
            <w:tcBorders>
              <w:top w:val="nil"/>
              <w:left w:val="single" w:sz="4" w:space="0" w:color="auto"/>
              <w:bottom w:val="single" w:sz="4" w:space="0" w:color="auto"/>
              <w:right w:val="single" w:sz="4" w:space="0" w:color="auto"/>
            </w:tcBorders>
            <w:shd w:val="clear" w:color="auto" w:fill="auto"/>
            <w:vAlign w:val="bottom"/>
          </w:tcPr>
          <w:p w14:paraId="10A888A0" w14:textId="77777777" w:rsidR="00620422" w:rsidRPr="008204CC" w:rsidRDefault="00620422" w:rsidP="0066301C">
            <w:pPr>
              <w:spacing w:after="0" w:line="240" w:lineRule="auto"/>
              <w:jc w:val="right"/>
              <w:rPr>
                <w:rFonts w:ascii="Arial" w:eastAsia="Times New Roman" w:hAnsi="Arial" w:cs="Arial"/>
                <w:color w:val="000000"/>
                <w:sz w:val="18"/>
                <w:szCs w:val="18"/>
                <w:lang w:eastAsia="en-GB"/>
              </w:rPr>
            </w:pPr>
            <w:r w:rsidRPr="008204CC">
              <w:rPr>
                <w:rFonts w:ascii="Arial" w:eastAsia="Times New Roman" w:hAnsi="Arial" w:cs="Arial"/>
                <w:color w:val="000000"/>
                <w:sz w:val="18"/>
                <w:szCs w:val="18"/>
                <w:lang w:eastAsia="en-GB"/>
              </w:rPr>
              <w:t>1983</w:t>
            </w:r>
          </w:p>
        </w:tc>
        <w:tc>
          <w:tcPr>
            <w:tcW w:w="1415" w:type="dxa"/>
            <w:gridSpan w:val="2"/>
            <w:tcBorders>
              <w:top w:val="nil"/>
              <w:left w:val="nil"/>
              <w:bottom w:val="single" w:sz="4" w:space="0" w:color="auto"/>
              <w:right w:val="single" w:sz="4" w:space="0" w:color="auto"/>
            </w:tcBorders>
            <w:shd w:val="clear" w:color="auto" w:fill="auto"/>
            <w:vAlign w:val="bottom"/>
          </w:tcPr>
          <w:p w14:paraId="2C8E2DBB" w14:textId="77777777" w:rsidR="00620422" w:rsidRPr="008204CC" w:rsidRDefault="00620422" w:rsidP="0066301C">
            <w:pPr>
              <w:spacing w:after="0" w:line="240" w:lineRule="auto"/>
              <w:jc w:val="right"/>
              <w:rPr>
                <w:rFonts w:ascii="Arial" w:eastAsia="Times New Roman" w:hAnsi="Arial" w:cs="Arial"/>
                <w:color w:val="000000"/>
                <w:sz w:val="18"/>
                <w:szCs w:val="18"/>
                <w:lang w:eastAsia="en-GB"/>
              </w:rPr>
            </w:pPr>
            <w:r w:rsidRPr="008204CC">
              <w:rPr>
                <w:rFonts w:ascii="Arial" w:eastAsia="Times New Roman" w:hAnsi="Arial" w:cs="Arial"/>
                <w:color w:val="000000"/>
                <w:sz w:val="18"/>
                <w:szCs w:val="18"/>
                <w:lang w:eastAsia="en-GB"/>
              </w:rPr>
              <w:t>178.3887</w:t>
            </w:r>
          </w:p>
        </w:tc>
        <w:tc>
          <w:tcPr>
            <w:tcW w:w="1559" w:type="dxa"/>
            <w:gridSpan w:val="2"/>
            <w:tcBorders>
              <w:top w:val="nil"/>
              <w:left w:val="nil"/>
              <w:bottom w:val="single" w:sz="4" w:space="0" w:color="auto"/>
              <w:right w:val="single" w:sz="4" w:space="0" w:color="auto"/>
            </w:tcBorders>
            <w:shd w:val="clear" w:color="auto" w:fill="auto"/>
            <w:vAlign w:val="bottom"/>
          </w:tcPr>
          <w:p w14:paraId="657D1CF9" w14:textId="77777777" w:rsidR="00620422" w:rsidRPr="008204CC" w:rsidRDefault="00620422" w:rsidP="0066301C">
            <w:pPr>
              <w:spacing w:after="0" w:line="240" w:lineRule="auto"/>
              <w:jc w:val="right"/>
              <w:rPr>
                <w:rFonts w:ascii="Arial" w:eastAsia="Times New Roman" w:hAnsi="Arial" w:cs="Arial"/>
                <w:color w:val="000000"/>
                <w:sz w:val="18"/>
                <w:szCs w:val="18"/>
                <w:lang w:eastAsia="en-GB"/>
              </w:rPr>
            </w:pPr>
            <w:r w:rsidRPr="008204CC">
              <w:rPr>
                <w:rFonts w:ascii="Arial" w:eastAsia="Times New Roman" w:hAnsi="Arial" w:cs="Arial"/>
                <w:color w:val="000000"/>
                <w:sz w:val="18"/>
                <w:szCs w:val="18"/>
                <w:lang w:eastAsia="en-GB"/>
              </w:rPr>
              <w:t>181.4441</w:t>
            </w:r>
          </w:p>
        </w:tc>
        <w:tc>
          <w:tcPr>
            <w:tcW w:w="2122" w:type="dxa"/>
            <w:gridSpan w:val="2"/>
            <w:tcBorders>
              <w:top w:val="nil"/>
              <w:left w:val="nil"/>
              <w:bottom w:val="single" w:sz="4" w:space="0" w:color="auto"/>
              <w:right w:val="single" w:sz="4" w:space="0" w:color="auto"/>
            </w:tcBorders>
            <w:shd w:val="clear" w:color="auto" w:fill="auto"/>
            <w:vAlign w:val="bottom"/>
          </w:tcPr>
          <w:p w14:paraId="0BCD6596" w14:textId="77777777" w:rsidR="00620422" w:rsidRPr="008204CC" w:rsidRDefault="00620422" w:rsidP="0066301C">
            <w:pPr>
              <w:spacing w:after="0" w:line="240" w:lineRule="auto"/>
              <w:jc w:val="right"/>
              <w:rPr>
                <w:rFonts w:ascii="Arial" w:eastAsia="Times New Roman" w:hAnsi="Arial" w:cs="Arial"/>
                <w:color w:val="000000"/>
                <w:sz w:val="18"/>
                <w:szCs w:val="18"/>
                <w:lang w:eastAsia="en-GB"/>
              </w:rPr>
            </w:pPr>
            <w:r w:rsidRPr="008204CC">
              <w:rPr>
                <w:rFonts w:ascii="Arial" w:eastAsia="Times New Roman" w:hAnsi="Arial" w:cs="Arial"/>
                <w:color w:val="000000"/>
                <w:sz w:val="18"/>
                <w:szCs w:val="18"/>
                <w:lang w:eastAsia="en-GB"/>
              </w:rPr>
              <w:t>-3.05533</w:t>
            </w:r>
          </w:p>
        </w:tc>
      </w:tr>
      <w:tr w:rsidR="008A6AC3" w:rsidRPr="008204CC" w14:paraId="6592FD0E" w14:textId="77777777" w:rsidTr="00D46B41">
        <w:trPr>
          <w:trHeight w:val="270"/>
        </w:trPr>
        <w:tc>
          <w:tcPr>
            <w:tcW w:w="1135" w:type="dxa"/>
            <w:tcBorders>
              <w:top w:val="nil"/>
              <w:left w:val="single" w:sz="4" w:space="0" w:color="auto"/>
              <w:bottom w:val="single" w:sz="4" w:space="0" w:color="auto"/>
              <w:right w:val="single" w:sz="4" w:space="0" w:color="auto"/>
            </w:tcBorders>
            <w:shd w:val="clear" w:color="auto" w:fill="auto"/>
            <w:noWrap/>
            <w:vAlign w:val="bottom"/>
            <w:hideMark/>
          </w:tcPr>
          <w:p w14:paraId="7193CC3D" w14:textId="77777777" w:rsidR="00620422" w:rsidRPr="008204CC" w:rsidRDefault="00620422" w:rsidP="0066301C">
            <w:pPr>
              <w:spacing w:after="0" w:line="240" w:lineRule="auto"/>
              <w:jc w:val="right"/>
              <w:rPr>
                <w:rFonts w:ascii="Arial" w:eastAsia="Times New Roman" w:hAnsi="Arial" w:cs="Arial"/>
                <w:color w:val="000000"/>
                <w:sz w:val="18"/>
                <w:szCs w:val="18"/>
                <w:lang w:eastAsia="en-GB"/>
              </w:rPr>
            </w:pPr>
            <w:r w:rsidRPr="008204CC">
              <w:rPr>
                <w:rFonts w:ascii="Arial" w:eastAsia="Times New Roman" w:hAnsi="Arial" w:cs="Arial"/>
                <w:color w:val="000000"/>
                <w:sz w:val="18"/>
                <w:szCs w:val="18"/>
                <w:lang w:eastAsia="en-GB"/>
              </w:rPr>
              <w:t>1984</w:t>
            </w:r>
          </w:p>
        </w:tc>
        <w:tc>
          <w:tcPr>
            <w:tcW w:w="1701" w:type="dxa"/>
            <w:tcBorders>
              <w:top w:val="nil"/>
              <w:left w:val="nil"/>
              <w:bottom w:val="single" w:sz="4" w:space="0" w:color="auto"/>
              <w:right w:val="single" w:sz="4" w:space="0" w:color="auto"/>
            </w:tcBorders>
            <w:shd w:val="clear" w:color="auto" w:fill="auto"/>
            <w:noWrap/>
            <w:vAlign w:val="bottom"/>
            <w:hideMark/>
          </w:tcPr>
          <w:p w14:paraId="4E0F3473" w14:textId="77777777" w:rsidR="00620422" w:rsidRPr="008204CC" w:rsidRDefault="00620422" w:rsidP="0066301C">
            <w:pPr>
              <w:spacing w:after="0" w:line="240" w:lineRule="auto"/>
              <w:jc w:val="right"/>
              <w:rPr>
                <w:rFonts w:ascii="Arial" w:eastAsia="Times New Roman" w:hAnsi="Arial" w:cs="Arial"/>
                <w:color w:val="000000"/>
                <w:sz w:val="18"/>
                <w:szCs w:val="18"/>
                <w:lang w:eastAsia="en-GB"/>
              </w:rPr>
            </w:pPr>
            <w:r w:rsidRPr="008204CC">
              <w:rPr>
                <w:rFonts w:ascii="Arial" w:eastAsia="Times New Roman" w:hAnsi="Arial" w:cs="Arial"/>
                <w:color w:val="000000"/>
                <w:sz w:val="18"/>
                <w:szCs w:val="18"/>
                <w:lang w:eastAsia="en-GB"/>
              </w:rPr>
              <w:t>130.6010195</w:t>
            </w:r>
          </w:p>
        </w:tc>
        <w:tc>
          <w:tcPr>
            <w:tcW w:w="1701" w:type="dxa"/>
            <w:tcBorders>
              <w:top w:val="nil"/>
              <w:left w:val="nil"/>
              <w:bottom w:val="single" w:sz="4" w:space="0" w:color="auto"/>
              <w:right w:val="single" w:sz="4" w:space="0" w:color="auto"/>
            </w:tcBorders>
            <w:shd w:val="clear" w:color="auto" w:fill="auto"/>
            <w:noWrap/>
            <w:vAlign w:val="bottom"/>
            <w:hideMark/>
          </w:tcPr>
          <w:p w14:paraId="385BF605" w14:textId="77777777" w:rsidR="00620422" w:rsidRPr="008204CC" w:rsidRDefault="00620422" w:rsidP="0066301C">
            <w:pPr>
              <w:spacing w:after="0" w:line="240" w:lineRule="auto"/>
              <w:jc w:val="right"/>
              <w:rPr>
                <w:rFonts w:ascii="Arial" w:eastAsia="Times New Roman" w:hAnsi="Arial" w:cs="Arial"/>
                <w:color w:val="000000"/>
                <w:sz w:val="18"/>
                <w:szCs w:val="18"/>
                <w:lang w:eastAsia="en-GB"/>
              </w:rPr>
            </w:pPr>
            <w:r w:rsidRPr="008204CC">
              <w:rPr>
                <w:rFonts w:ascii="Arial" w:eastAsia="Times New Roman" w:hAnsi="Arial" w:cs="Arial"/>
                <w:color w:val="000000"/>
                <w:sz w:val="18"/>
                <w:szCs w:val="18"/>
                <w:lang w:eastAsia="en-GB"/>
              </w:rPr>
              <w:t>141.3894528</w:t>
            </w:r>
          </w:p>
        </w:tc>
        <w:tc>
          <w:tcPr>
            <w:tcW w:w="1984" w:type="dxa"/>
            <w:tcBorders>
              <w:top w:val="nil"/>
              <w:left w:val="nil"/>
              <w:bottom w:val="single" w:sz="4" w:space="0" w:color="auto"/>
              <w:right w:val="single" w:sz="4" w:space="0" w:color="auto"/>
            </w:tcBorders>
            <w:shd w:val="clear" w:color="auto" w:fill="auto"/>
            <w:noWrap/>
            <w:vAlign w:val="bottom"/>
            <w:hideMark/>
          </w:tcPr>
          <w:p w14:paraId="3AF9FA47" w14:textId="77777777" w:rsidR="00620422" w:rsidRPr="008204CC" w:rsidRDefault="00620422" w:rsidP="0066301C">
            <w:pPr>
              <w:spacing w:after="0" w:line="240" w:lineRule="auto"/>
              <w:jc w:val="right"/>
              <w:rPr>
                <w:rFonts w:ascii="Arial" w:eastAsia="Times New Roman" w:hAnsi="Arial" w:cs="Arial"/>
                <w:sz w:val="18"/>
                <w:szCs w:val="18"/>
                <w:lang w:eastAsia="en-GB"/>
              </w:rPr>
            </w:pPr>
            <w:r w:rsidRPr="008204CC">
              <w:rPr>
                <w:rFonts w:ascii="Arial" w:eastAsia="Times New Roman" w:hAnsi="Arial" w:cs="Arial"/>
                <w:sz w:val="18"/>
                <w:szCs w:val="18"/>
                <w:lang w:eastAsia="en-GB"/>
              </w:rPr>
              <w:t>-10.7884</w:t>
            </w:r>
          </w:p>
        </w:tc>
        <w:tc>
          <w:tcPr>
            <w:tcW w:w="709" w:type="dxa"/>
            <w:vMerge/>
            <w:tcBorders>
              <w:left w:val="nil"/>
              <w:right w:val="single" w:sz="4" w:space="0" w:color="auto"/>
            </w:tcBorders>
          </w:tcPr>
          <w:p w14:paraId="2303552E" w14:textId="77777777" w:rsidR="00620422" w:rsidRPr="008204CC" w:rsidRDefault="00620422" w:rsidP="0066301C">
            <w:pPr>
              <w:spacing w:after="0" w:line="240" w:lineRule="auto"/>
              <w:jc w:val="right"/>
              <w:rPr>
                <w:rFonts w:ascii="Arial" w:eastAsia="Times New Roman" w:hAnsi="Arial" w:cs="Arial"/>
                <w:sz w:val="18"/>
                <w:szCs w:val="18"/>
                <w:lang w:eastAsia="en-GB"/>
              </w:rPr>
            </w:pPr>
          </w:p>
        </w:tc>
        <w:tc>
          <w:tcPr>
            <w:tcW w:w="999" w:type="dxa"/>
            <w:gridSpan w:val="2"/>
            <w:tcBorders>
              <w:top w:val="nil"/>
              <w:left w:val="single" w:sz="4" w:space="0" w:color="auto"/>
              <w:bottom w:val="single" w:sz="4" w:space="0" w:color="auto"/>
              <w:right w:val="single" w:sz="4" w:space="0" w:color="auto"/>
            </w:tcBorders>
            <w:shd w:val="clear" w:color="auto" w:fill="auto"/>
            <w:vAlign w:val="bottom"/>
          </w:tcPr>
          <w:p w14:paraId="51E781F4" w14:textId="77777777" w:rsidR="00620422" w:rsidRPr="008204CC" w:rsidRDefault="00620422" w:rsidP="0066301C">
            <w:pPr>
              <w:spacing w:after="0" w:line="240" w:lineRule="auto"/>
              <w:jc w:val="right"/>
              <w:rPr>
                <w:rFonts w:ascii="Arial" w:eastAsia="Times New Roman" w:hAnsi="Arial" w:cs="Arial"/>
                <w:color w:val="000000"/>
                <w:sz w:val="18"/>
                <w:szCs w:val="18"/>
                <w:lang w:eastAsia="en-GB"/>
              </w:rPr>
            </w:pPr>
            <w:r w:rsidRPr="008204CC">
              <w:rPr>
                <w:rFonts w:ascii="Arial" w:eastAsia="Times New Roman" w:hAnsi="Arial" w:cs="Arial"/>
                <w:color w:val="000000"/>
                <w:sz w:val="18"/>
                <w:szCs w:val="18"/>
                <w:lang w:eastAsia="en-GB"/>
              </w:rPr>
              <w:t>1984</w:t>
            </w:r>
          </w:p>
        </w:tc>
        <w:tc>
          <w:tcPr>
            <w:tcW w:w="1415" w:type="dxa"/>
            <w:gridSpan w:val="2"/>
            <w:tcBorders>
              <w:top w:val="nil"/>
              <w:left w:val="nil"/>
              <w:bottom w:val="single" w:sz="4" w:space="0" w:color="auto"/>
              <w:right w:val="single" w:sz="4" w:space="0" w:color="auto"/>
            </w:tcBorders>
            <w:shd w:val="clear" w:color="auto" w:fill="auto"/>
            <w:vAlign w:val="bottom"/>
          </w:tcPr>
          <w:p w14:paraId="397148FB" w14:textId="77777777" w:rsidR="00620422" w:rsidRPr="008204CC" w:rsidRDefault="00620422" w:rsidP="0066301C">
            <w:pPr>
              <w:spacing w:after="0" w:line="240" w:lineRule="auto"/>
              <w:jc w:val="right"/>
              <w:rPr>
                <w:rFonts w:ascii="Arial" w:eastAsia="Times New Roman" w:hAnsi="Arial" w:cs="Arial"/>
                <w:color w:val="000000"/>
                <w:sz w:val="18"/>
                <w:szCs w:val="18"/>
                <w:lang w:eastAsia="en-GB"/>
              </w:rPr>
            </w:pPr>
            <w:r w:rsidRPr="008204CC">
              <w:rPr>
                <w:rFonts w:ascii="Arial" w:eastAsia="Times New Roman" w:hAnsi="Arial" w:cs="Arial"/>
                <w:color w:val="000000"/>
                <w:sz w:val="18"/>
                <w:szCs w:val="18"/>
                <w:lang w:eastAsia="en-GB"/>
              </w:rPr>
              <w:t>168.122</w:t>
            </w:r>
          </w:p>
        </w:tc>
        <w:tc>
          <w:tcPr>
            <w:tcW w:w="1559" w:type="dxa"/>
            <w:gridSpan w:val="2"/>
            <w:tcBorders>
              <w:top w:val="nil"/>
              <w:left w:val="nil"/>
              <w:bottom w:val="single" w:sz="4" w:space="0" w:color="auto"/>
              <w:right w:val="single" w:sz="4" w:space="0" w:color="auto"/>
            </w:tcBorders>
            <w:shd w:val="clear" w:color="auto" w:fill="auto"/>
            <w:vAlign w:val="bottom"/>
          </w:tcPr>
          <w:p w14:paraId="4A0988C5" w14:textId="77777777" w:rsidR="00620422" w:rsidRPr="008204CC" w:rsidRDefault="00620422" w:rsidP="0066301C">
            <w:pPr>
              <w:spacing w:after="0" w:line="240" w:lineRule="auto"/>
              <w:jc w:val="right"/>
              <w:rPr>
                <w:rFonts w:ascii="Arial" w:eastAsia="Times New Roman" w:hAnsi="Arial" w:cs="Arial"/>
                <w:color w:val="000000"/>
                <w:sz w:val="18"/>
                <w:szCs w:val="18"/>
                <w:lang w:eastAsia="en-GB"/>
              </w:rPr>
            </w:pPr>
            <w:r w:rsidRPr="008204CC">
              <w:rPr>
                <w:rFonts w:ascii="Arial" w:eastAsia="Times New Roman" w:hAnsi="Arial" w:cs="Arial"/>
                <w:color w:val="000000"/>
                <w:sz w:val="18"/>
                <w:szCs w:val="18"/>
                <w:lang w:eastAsia="en-GB"/>
              </w:rPr>
              <w:t>177.77</w:t>
            </w:r>
          </w:p>
        </w:tc>
        <w:tc>
          <w:tcPr>
            <w:tcW w:w="2122" w:type="dxa"/>
            <w:gridSpan w:val="2"/>
            <w:tcBorders>
              <w:top w:val="nil"/>
              <w:left w:val="nil"/>
              <w:bottom w:val="single" w:sz="4" w:space="0" w:color="auto"/>
              <w:right w:val="single" w:sz="4" w:space="0" w:color="auto"/>
            </w:tcBorders>
            <w:shd w:val="clear" w:color="auto" w:fill="auto"/>
            <w:vAlign w:val="bottom"/>
          </w:tcPr>
          <w:p w14:paraId="6AD0C142" w14:textId="77777777" w:rsidR="00620422" w:rsidRPr="008204CC" w:rsidRDefault="00620422" w:rsidP="0066301C">
            <w:pPr>
              <w:spacing w:after="0" w:line="240" w:lineRule="auto"/>
              <w:jc w:val="right"/>
              <w:rPr>
                <w:rFonts w:ascii="Arial" w:eastAsia="Times New Roman" w:hAnsi="Arial" w:cs="Arial"/>
                <w:color w:val="000000"/>
                <w:sz w:val="18"/>
                <w:szCs w:val="18"/>
                <w:lang w:eastAsia="en-GB"/>
              </w:rPr>
            </w:pPr>
            <w:r w:rsidRPr="008204CC">
              <w:rPr>
                <w:rFonts w:ascii="Arial" w:eastAsia="Times New Roman" w:hAnsi="Arial" w:cs="Arial"/>
                <w:color w:val="000000"/>
                <w:sz w:val="18"/>
                <w:szCs w:val="18"/>
                <w:lang w:eastAsia="en-GB"/>
              </w:rPr>
              <w:t>-9.64795</w:t>
            </w:r>
          </w:p>
        </w:tc>
      </w:tr>
      <w:tr w:rsidR="008A6AC3" w:rsidRPr="008204CC" w14:paraId="3955515E" w14:textId="77777777" w:rsidTr="00D46B41">
        <w:trPr>
          <w:trHeight w:val="270"/>
        </w:trPr>
        <w:tc>
          <w:tcPr>
            <w:tcW w:w="1135" w:type="dxa"/>
            <w:tcBorders>
              <w:top w:val="nil"/>
              <w:left w:val="single" w:sz="4" w:space="0" w:color="auto"/>
              <w:bottom w:val="single" w:sz="4" w:space="0" w:color="auto"/>
              <w:right w:val="single" w:sz="4" w:space="0" w:color="auto"/>
            </w:tcBorders>
            <w:shd w:val="clear" w:color="auto" w:fill="auto"/>
            <w:noWrap/>
            <w:vAlign w:val="bottom"/>
            <w:hideMark/>
          </w:tcPr>
          <w:p w14:paraId="5302FA7F" w14:textId="77777777" w:rsidR="00620422" w:rsidRPr="008204CC" w:rsidRDefault="00620422" w:rsidP="0066301C">
            <w:pPr>
              <w:spacing w:after="0" w:line="240" w:lineRule="auto"/>
              <w:jc w:val="right"/>
              <w:rPr>
                <w:rFonts w:ascii="Arial" w:eastAsia="Times New Roman" w:hAnsi="Arial" w:cs="Arial"/>
                <w:color w:val="000000"/>
                <w:sz w:val="18"/>
                <w:szCs w:val="18"/>
                <w:lang w:eastAsia="en-GB"/>
              </w:rPr>
            </w:pPr>
            <w:r w:rsidRPr="008204CC">
              <w:rPr>
                <w:rFonts w:ascii="Arial" w:eastAsia="Times New Roman" w:hAnsi="Arial" w:cs="Arial"/>
                <w:color w:val="000000"/>
                <w:sz w:val="18"/>
                <w:szCs w:val="18"/>
                <w:lang w:eastAsia="en-GB"/>
              </w:rPr>
              <w:t>1985</w:t>
            </w:r>
          </w:p>
        </w:tc>
        <w:tc>
          <w:tcPr>
            <w:tcW w:w="1701" w:type="dxa"/>
            <w:tcBorders>
              <w:top w:val="nil"/>
              <w:left w:val="nil"/>
              <w:bottom w:val="single" w:sz="4" w:space="0" w:color="auto"/>
              <w:right w:val="single" w:sz="4" w:space="0" w:color="auto"/>
            </w:tcBorders>
            <w:shd w:val="clear" w:color="auto" w:fill="auto"/>
            <w:noWrap/>
            <w:vAlign w:val="bottom"/>
            <w:hideMark/>
          </w:tcPr>
          <w:p w14:paraId="3450B001" w14:textId="77777777" w:rsidR="00620422" w:rsidRPr="008204CC" w:rsidRDefault="00620422" w:rsidP="0066301C">
            <w:pPr>
              <w:spacing w:after="0" w:line="240" w:lineRule="auto"/>
              <w:jc w:val="right"/>
              <w:rPr>
                <w:rFonts w:ascii="Arial" w:eastAsia="Times New Roman" w:hAnsi="Arial" w:cs="Arial"/>
                <w:color w:val="000000"/>
                <w:sz w:val="18"/>
                <w:szCs w:val="18"/>
                <w:lang w:eastAsia="en-GB"/>
              </w:rPr>
            </w:pPr>
            <w:r w:rsidRPr="008204CC">
              <w:rPr>
                <w:rFonts w:ascii="Arial" w:eastAsia="Times New Roman" w:hAnsi="Arial" w:cs="Arial"/>
                <w:color w:val="000000"/>
                <w:sz w:val="18"/>
                <w:szCs w:val="18"/>
                <w:lang w:eastAsia="en-GB"/>
              </w:rPr>
              <w:t>136.5047012</w:t>
            </w:r>
          </w:p>
        </w:tc>
        <w:tc>
          <w:tcPr>
            <w:tcW w:w="1701" w:type="dxa"/>
            <w:tcBorders>
              <w:top w:val="nil"/>
              <w:left w:val="nil"/>
              <w:bottom w:val="single" w:sz="4" w:space="0" w:color="auto"/>
              <w:right w:val="single" w:sz="4" w:space="0" w:color="auto"/>
            </w:tcBorders>
            <w:shd w:val="clear" w:color="auto" w:fill="auto"/>
            <w:noWrap/>
            <w:vAlign w:val="bottom"/>
            <w:hideMark/>
          </w:tcPr>
          <w:p w14:paraId="167CF659" w14:textId="77777777" w:rsidR="00620422" w:rsidRPr="008204CC" w:rsidRDefault="00620422" w:rsidP="0066301C">
            <w:pPr>
              <w:spacing w:after="0" w:line="240" w:lineRule="auto"/>
              <w:jc w:val="right"/>
              <w:rPr>
                <w:rFonts w:ascii="Arial" w:eastAsia="Times New Roman" w:hAnsi="Arial" w:cs="Arial"/>
                <w:color w:val="000000"/>
                <w:sz w:val="18"/>
                <w:szCs w:val="18"/>
                <w:lang w:eastAsia="en-GB"/>
              </w:rPr>
            </w:pPr>
            <w:r w:rsidRPr="008204CC">
              <w:rPr>
                <w:rFonts w:ascii="Arial" w:eastAsia="Times New Roman" w:hAnsi="Arial" w:cs="Arial"/>
                <w:color w:val="000000"/>
                <w:sz w:val="18"/>
                <w:szCs w:val="18"/>
                <w:lang w:eastAsia="en-GB"/>
              </w:rPr>
              <w:t>144.0633926</w:t>
            </w:r>
          </w:p>
        </w:tc>
        <w:tc>
          <w:tcPr>
            <w:tcW w:w="1984" w:type="dxa"/>
            <w:tcBorders>
              <w:top w:val="nil"/>
              <w:left w:val="nil"/>
              <w:bottom w:val="single" w:sz="4" w:space="0" w:color="auto"/>
              <w:right w:val="single" w:sz="4" w:space="0" w:color="auto"/>
            </w:tcBorders>
            <w:shd w:val="clear" w:color="auto" w:fill="auto"/>
            <w:noWrap/>
            <w:vAlign w:val="bottom"/>
            <w:hideMark/>
          </w:tcPr>
          <w:p w14:paraId="530381F5" w14:textId="77777777" w:rsidR="00620422" w:rsidRPr="008204CC" w:rsidRDefault="00620422" w:rsidP="0066301C">
            <w:pPr>
              <w:spacing w:after="0" w:line="240" w:lineRule="auto"/>
              <w:jc w:val="right"/>
              <w:rPr>
                <w:rFonts w:ascii="Arial" w:eastAsia="Times New Roman" w:hAnsi="Arial" w:cs="Arial"/>
                <w:sz w:val="18"/>
                <w:szCs w:val="18"/>
                <w:lang w:eastAsia="en-GB"/>
              </w:rPr>
            </w:pPr>
            <w:r w:rsidRPr="008204CC">
              <w:rPr>
                <w:rFonts w:ascii="Arial" w:eastAsia="Times New Roman" w:hAnsi="Arial" w:cs="Arial"/>
                <w:sz w:val="18"/>
                <w:szCs w:val="18"/>
                <w:lang w:eastAsia="en-GB"/>
              </w:rPr>
              <w:t>-7.55869</w:t>
            </w:r>
          </w:p>
        </w:tc>
        <w:tc>
          <w:tcPr>
            <w:tcW w:w="709" w:type="dxa"/>
            <w:vMerge/>
            <w:tcBorders>
              <w:left w:val="nil"/>
              <w:right w:val="single" w:sz="4" w:space="0" w:color="auto"/>
            </w:tcBorders>
          </w:tcPr>
          <w:p w14:paraId="489D74BC" w14:textId="77777777" w:rsidR="00620422" w:rsidRPr="008204CC" w:rsidRDefault="00620422" w:rsidP="0066301C">
            <w:pPr>
              <w:spacing w:after="0" w:line="240" w:lineRule="auto"/>
              <w:jc w:val="right"/>
              <w:rPr>
                <w:rFonts w:ascii="Arial" w:eastAsia="Times New Roman" w:hAnsi="Arial" w:cs="Arial"/>
                <w:sz w:val="18"/>
                <w:szCs w:val="18"/>
                <w:lang w:eastAsia="en-GB"/>
              </w:rPr>
            </w:pPr>
          </w:p>
        </w:tc>
        <w:tc>
          <w:tcPr>
            <w:tcW w:w="999" w:type="dxa"/>
            <w:gridSpan w:val="2"/>
            <w:tcBorders>
              <w:top w:val="nil"/>
              <w:left w:val="single" w:sz="4" w:space="0" w:color="auto"/>
              <w:bottom w:val="single" w:sz="4" w:space="0" w:color="auto"/>
              <w:right w:val="single" w:sz="4" w:space="0" w:color="auto"/>
            </w:tcBorders>
            <w:shd w:val="clear" w:color="auto" w:fill="auto"/>
            <w:vAlign w:val="bottom"/>
          </w:tcPr>
          <w:p w14:paraId="5B943D3E" w14:textId="77777777" w:rsidR="00620422" w:rsidRPr="008204CC" w:rsidRDefault="00620422" w:rsidP="0066301C">
            <w:pPr>
              <w:spacing w:after="0" w:line="240" w:lineRule="auto"/>
              <w:jc w:val="right"/>
              <w:rPr>
                <w:rFonts w:ascii="Arial" w:eastAsia="Times New Roman" w:hAnsi="Arial" w:cs="Arial"/>
                <w:color w:val="000000"/>
                <w:sz w:val="18"/>
                <w:szCs w:val="18"/>
                <w:lang w:eastAsia="en-GB"/>
              </w:rPr>
            </w:pPr>
            <w:r w:rsidRPr="008204CC">
              <w:rPr>
                <w:rFonts w:ascii="Arial" w:eastAsia="Times New Roman" w:hAnsi="Arial" w:cs="Arial"/>
                <w:color w:val="000000"/>
                <w:sz w:val="18"/>
                <w:szCs w:val="18"/>
                <w:lang w:eastAsia="en-GB"/>
              </w:rPr>
              <w:t>1985</w:t>
            </w:r>
          </w:p>
        </w:tc>
        <w:tc>
          <w:tcPr>
            <w:tcW w:w="1415" w:type="dxa"/>
            <w:gridSpan w:val="2"/>
            <w:tcBorders>
              <w:top w:val="nil"/>
              <w:left w:val="nil"/>
              <w:bottom w:val="single" w:sz="4" w:space="0" w:color="auto"/>
              <w:right w:val="single" w:sz="4" w:space="0" w:color="auto"/>
            </w:tcBorders>
            <w:shd w:val="clear" w:color="auto" w:fill="auto"/>
            <w:vAlign w:val="bottom"/>
          </w:tcPr>
          <w:p w14:paraId="60FE5168" w14:textId="77777777" w:rsidR="00620422" w:rsidRPr="008204CC" w:rsidRDefault="00620422" w:rsidP="0066301C">
            <w:pPr>
              <w:spacing w:after="0" w:line="240" w:lineRule="auto"/>
              <w:jc w:val="right"/>
              <w:rPr>
                <w:rFonts w:ascii="Arial" w:eastAsia="Times New Roman" w:hAnsi="Arial" w:cs="Arial"/>
                <w:color w:val="000000"/>
                <w:sz w:val="18"/>
                <w:szCs w:val="18"/>
                <w:lang w:eastAsia="en-GB"/>
              </w:rPr>
            </w:pPr>
            <w:r w:rsidRPr="008204CC">
              <w:rPr>
                <w:rFonts w:ascii="Arial" w:eastAsia="Times New Roman" w:hAnsi="Arial" w:cs="Arial"/>
                <w:color w:val="000000"/>
                <w:sz w:val="18"/>
                <w:szCs w:val="18"/>
                <w:lang w:eastAsia="en-GB"/>
              </w:rPr>
              <w:t>179.2576</w:t>
            </w:r>
          </w:p>
        </w:tc>
        <w:tc>
          <w:tcPr>
            <w:tcW w:w="1559" w:type="dxa"/>
            <w:gridSpan w:val="2"/>
            <w:tcBorders>
              <w:top w:val="nil"/>
              <w:left w:val="nil"/>
              <w:bottom w:val="single" w:sz="4" w:space="0" w:color="auto"/>
              <w:right w:val="single" w:sz="4" w:space="0" w:color="auto"/>
            </w:tcBorders>
            <w:shd w:val="clear" w:color="auto" w:fill="auto"/>
            <w:vAlign w:val="bottom"/>
          </w:tcPr>
          <w:p w14:paraId="1785F37A" w14:textId="77777777" w:rsidR="00620422" w:rsidRPr="008204CC" w:rsidRDefault="00620422" w:rsidP="0066301C">
            <w:pPr>
              <w:spacing w:after="0" w:line="240" w:lineRule="auto"/>
              <w:jc w:val="right"/>
              <w:rPr>
                <w:rFonts w:ascii="Arial" w:eastAsia="Times New Roman" w:hAnsi="Arial" w:cs="Arial"/>
                <w:color w:val="000000"/>
                <w:sz w:val="18"/>
                <w:szCs w:val="18"/>
                <w:lang w:eastAsia="en-GB"/>
              </w:rPr>
            </w:pPr>
            <w:r w:rsidRPr="008204CC">
              <w:rPr>
                <w:rFonts w:ascii="Arial" w:eastAsia="Times New Roman" w:hAnsi="Arial" w:cs="Arial"/>
                <w:color w:val="000000"/>
                <w:sz w:val="18"/>
                <w:szCs w:val="18"/>
                <w:lang w:eastAsia="en-GB"/>
              </w:rPr>
              <w:t>173.8743</w:t>
            </w:r>
          </w:p>
        </w:tc>
        <w:tc>
          <w:tcPr>
            <w:tcW w:w="2122" w:type="dxa"/>
            <w:gridSpan w:val="2"/>
            <w:tcBorders>
              <w:top w:val="nil"/>
              <w:left w:val="nil"/>
              <w:bottom w:val="single" w:sz="4" w:space="0" w:color="auto"/>
              <w:right w:val="single" w:sz="4" w:space="0" w:color="auto"/>
            </w:tcBorders>
            <w:shd w:val="clear" w:color="auto" w:fill="auto"/>
            <w:vAlign w:val="bottom"/>
          </w:tcPr>
          <w:p w14:paraId="08DA49FE" w14:textId="77777777" w:rsidR="00620422" w:rsidRPr="008204CC" w:rsidRDefault="00620422" w:rsidP="0066301C">
            <w:pPr>
              <w:spacing w:after="0" w:line="240" w:lineRule="auto"/>
              <w:jc w:val="right"/>
              <w:rPr>
                <w:rFonts w:ascii="Arial" w:eastAsia="Times New Roman" w:hAnsi="Arial" w:cs="Arial"/>
                <w:color w:val="000000"/>
                <w:sz w:val="18"/>
                <w:szCs w:val="18"/>
                <w:lang w:eastAsia="en-GB"/>
              </w:rPr>
            </w:pPr>
            <w:r w:rsidRPr="008204CC">
              <w:rPr>
                <w:rFonts w:ascii="Arial" w:eastAsia="Times New Roman" w:hAnsi="Arial" w:cs="Arial"/>
                <w:color w:val="000000"/>
                <w:sz w:val="18"/>
                <w:szCs w:val="18"/>
                <w:lang w:eastAsia="en-GB"/>
              </w:rPr>
              <w:t>5.383224</w:t>
            </w:r>
          </w:p>
        </w:tc>
      </w:tr>
      <w:tr w:rsidR="008A6AC3" w:rsidRPr="008204CC" w14:paraId="62BD5D5E" w14:textId="77777777" w:rsidTr="00D46B41">
        <w:trPr>
          <w:trHeight w:val="270"/>
        </w:trPr>
        <w:tc>
          <w:tcPr>
            <w:tcW w:w="1135" w:type="dxa"/>
            <w:tcBorders>
              <w:top w:val="nil"/>
              <w:left w:val="single" w:sz="4" w:space="0" w:color="auto"/>
              <w:bottom w:val="single" w:sz="4" w:space="0" w:color="auto"/>
              <w:right w:val="single" w:sz="4" w:space="0" w:color="auto"/>
            </w:tcBorders>
            <w:shd w:val="clear" w:color="auto" w:fill="auto"/>
            <w:noWrap/>
            <w:vAlign w:val="bottom"/>
            <w:hideMark/>
          </w:tcPr>
          <w:p w14:paraId="191F508D" w14:textId="77777777" w:rsidR="00620422" w:rsidRPr="008204CC" w:rsidRDefault="00620422" w:rsidP="0066301C">
            <w:pPr>
              <w:spacing w:after="0" w:line="240" w:lineRule="auto"/>
              <w:jc w:val="right"/>
              <w:rPr>
                <w:rFonts w:ascii="Arial" w:eastAsia="Times New Roman" w:hAnsi="Arial" w:cs="Arial"/>
                <w:color w:val="000000"/>
                <w:sz w:val="18"/>
                <w:szCs w:val="18"/>
                <w:lang w:eastAsia="en-GB"/>
              </w:rPr>
            </w:pPr>
            <w:r w:rsidRPr="008204CC">
              <w:rPr>
                <w:rFonts w:ascii="Arial" w:eastAsia="Times New Roman" w:hAnsi="Arial" w:cs="Arial"/>
                <w:color w:val="000000"/>
                <w:sz w:val="18"/>
                <w:szCs w:val="18"/>
                <w:lang w:eastAsia="en-GB"/>
              </w:rPr>
              <w:t>1986</w:t>
            </w:r>
          </w:p>
        </w:tc>
        <w:tc>
          <w:tcPr>
            <w:tcW w:w="1701" w:type="dxa"/>
            <w:tcBorders>
              <w:top w:val="nil"/>
              <w:left w:val="nil"/>
              <w:bottom w:val="single" w:sz="4" w:space="0" w:color="auto"/>
              <w:right w:val="single" w:sz="4" w:space="0" w:color="auto"/>
            </w:tcBorders>
            <w:shd w:val="clear" w:color="auto" w:fill="auto"/>
            <w:noWrap/>
            <w:vAlign w:val="bottom"/>
            <w:hideMark/>
          </w:tcPr>
          <w:p w14:paraId="6161FD0C" w14:textId="77777777" w:rsidR="00620422" w:rsidRPr="008204CC" w:rsidRDefault="00620422" w:rsidP="0066301C">
            <w:pPr>
              <w:spacing w:after="0" w:line="240" w:lineRule="auto"/>
              <w:jc w:val="right"/>
              <w:rPr>
                <w:rFonts w:ascii="Arial" w:eastAsia="Times New Roman" w:hAnsi="Arial" w:cs="Arial"/>
                <w:color w:val="000000"/>
                <w:sz w:val="18"/>
                <w:szCs w:val="18"/>
                <w:lang w:eastAsia="en-GB"/>
              </w:rPr>
            </w:pPr>
            <w:r w:rsidRPr="008204CC">
              <w:rPr>
                <w:rFonts w:ascii="Arial" w:eastAsia="Times New Roman" w:hAnsi="Arial" w:cs="Arial"/>
                <w:color w:val="000000"/>
                <w:sz w:val="18"/>
                <w:szCs w:val="18"/>
                <w:lang w:eastAsia="en-GB"/>
              </w:rPr>
              <w:t>151.1238979</w:t>
            </w:r>
          </w:p>
        </w:tc>
        <w:tc>
          <w:tcPr>
            <w:tcW w:w="1701" w:type="dxa"/>
            <w:tcBorders>
              <w:top w:val="nil"/>
              <w:left w:val="nil"/>
              <w:bottom w:val="single" w:sz="4" w:space="0" w:color="auto"/>
              <w:right w:val="single" w:sz="4" w:space="0" w:color="auto"/>
            </w:tcBorders>
            <w:shd w:val="clear" w:color="auto" w:fill="auto"/>
            <w:noWrap/>
            <w:vAlign w:val="bottom"/>
            <w:hideMark/>
          </w:tcPr>
          <w:p w14:paraId="0735AEAC" w14:textId="77777777" w:rsidR="00620422" w:rsidRPr="008204CC" w:rsidRDefault="00620422" w:rsidP="0066301C">
            <w:pPr>
              <w:spacing w:after="0" w:line="240" w:lineRule="auto"/>
              <w:jc w:val="right"/>
              <w:rPr>
                <w:rFonts w:ascii="Arial" w:eastAsia="Times New Roman" w:hAnsi="Arial" w:cs="Arial"/>
                <w:color w:val="000000"/>
                <w:sz w:val="18"/>
                <w:szCs w:val="18"/>
                <w:lang w:eastAsia="en-GB"/>
              </w:rPr>
            </w:pPr>
            <w:r w:rsidRPr="008204CC">
              <w:rPr>
                <w:rFonts w:ascii="Arial" w:eastAsia="Times New Roman" w:hAnsi="Arial" w:cs="Arial"/>
                <w:color w:val="000000"/>
                <w:sz w:val="18"/>
                <w:szCs w:val="18"/>
                <w:lang w:eastAsia="en-GB"/>
              </w:rPr>
              <w:t>146.1772473</w:t>
            </w:r>
          </w:p>
        </w:tc>
        <w:tc>
          <w:tcPr>
            <w:tcW w:w="1984" w:type="dxa"/>
            <w:tcBorders>
              <w:top w:val="nil"/>
              <w:left w:val="nil"/>
              <w:bottom w:val="single" w:sz="4" w:space="0" w:color="auto"/>
              <w:right w:val="single" w:sz="4" w:space="0" w:color="auto"/>
            </w:tcBorders>
            <w:shd w:val="clear" w:color="auto" w:fill="auto"/>
            <w:noWrap/>
            <w:vAlign w:val="bottom"/>
            <w:hideMark/>
          </w:tcPr>
          <w:p w14:paraId="317AB2E2" w14:textId="77777777" w:rsidR="00620422" w:rsidRPr="008204CC" w:rsidRDefault="00620422" w:rsidP="0066301C">
            <w:pPr>
              <w:spacing w:after="0" w:line="240" w:lineRule="auto"/>
              <w:jc w:val="right"/>
              <w:rPr>
                <w:rFonts w:ascii="Arial" w:eastAsia="Times New Roman" w:hAnsi="Arial" w:cs="Arial"/>
                <w:sz w:val="18"/>
                <w:szCs w:val="18"/>
                <w:lang w:eastAsia="en-GB"/>
              </w:rPr>
            </w:pPr>
            <w:r w:rsidRPr="008204CC">
              <w:rPr>
                <w:rFonts w:ascii="Arial" w:eastAsia="Times New Roman" w:hAnsi="Arial" w:cs="Arial"/>
                <w:sz w:val="18"/>
                <w:szCs w:val="18"/>
                <w:lang w:eastAsia="en-GB"/>
              </w:rPr>
              <w:t>4.946651</w:t>
            </w:r>
          </w:p>
        </w:tc>
        <w:tc>
          <w:tcPr>
            <w:tcW w:w="709" w:type="dxa"/>
            <w:vMerge/>
            <w:tcBorders>
              <w:left w:val="nil"/>
              <w:right w:val="single" w:sz="4" w:space="0" w:color="auto"/>
            </w:tcBorders>
          </w:tcPr>
          <w:p w14:paraId="4B2D5CFF" w14:textId="77777777" w:rsidR="00620422" w:rsidRPr="008204CC" w:rsidRDefault="00620422" w:rsidP="0066301C">
            <w:pPr>
              <w:spacing w:after="0" w:line="240" w:lineRule="auto"/>
              <w:jc w:val="right"/>
              <w:rPr>
                <w:rFonts w:ascii="Arial" w:eastAsia="Times New Roman" w:hAnsi="Arial" w:cs="Arial"/>
                <w:sz w:val="18"/>
                <w:szCs w:val="18"/>
                <w:lang w:eastAsia="en-GB"/>
              </w:rPr>
            </w:pPr>
          </w:p>
        </w:tc>
        <w:tc>
          <w:tcPr>
            <w:tcW w:w="999" w:type="dxa"/>
            <w:gridSpan w:val="2"/>
            <w:tcBorders>
              <w:top w:val="nil"/>
              <w:left w:val="single" w:sz="4" w:space="0" w:color="auto"/>
              <w:bottom w:val="single" w:sz="4" w:space="0" w:color="auto"/>
              <w:right w:val="single" w:sz="4" w:space="0" w:color="auto"/>
            </w:tcBorders>
            <w:shd w:val="clear" w:color="auto" w:fill="auto"/>
            <w:vAlign w:val="bottom"/>
          </w:tcPr>
          <w:p w14:paraId="265574C3" w14:textId="77777777" w:rsidR="00620422" w:rsidRPr="008204CC" w:rsidRDefault="00620422" w:rsidP="0066301C">
            <w:pPr>
              <w:spacing w:after="0" w:line="240" w:lineRule="auto"/>
              <w:jc w:val="right"/>
              <w:rPr>
                <w:rFonts w:ascii="Arial" w:eastAsia="Times New Roman" w:hAnsi="Arial" w:cs="Arial"/>
                <w:color w:val="000000"/>
                <w:sz w:val="18"/>
                <w:szCs w:val="18"/>
                <w:lang w:eastAsia="en-GB"/>
              </w:rPr>
            </w:pPr>
            <w:r w:rsidRPr="008204CC">
              <w:rPr>
                <w:rFonts w:ascii="Arial" w:eastAsia="Times New Roman" w:hAnsi="Arial" w:cs="Arial"/>
                <w:color w:val="000000"/>
                <w:sz w:val="18"/>
                <w:szCs w:val="18"/>
                <w:lang w:eastAsia="en-GB"/>
              </w:rPr>
              <w:t>1986</w:t>
            </w:r>
          </w:p>
        </w:tc>
        <w:tc>
          <w:tcPr>
            <w:tcW w:w="1415" w:type="dxa"/>
            <w:gridSpan w:val="2"/>
            <w:tcBorders>
              <w:top w:val="nil"/>
              <w:left w:val="nil"/>
              <w:bottom w:val="single" w:sz="4" w:space="0" w:color="auto"/>
              <w:right w:val="single" w:sz="4" w:space="0" w:color="auto"/>
            </w:tcBorders>
            <w:shd w:val="clear" w:color="auto" w:fill="auto"/>
            <w:vAlign w:val="bottom"/>
          </w:tcPr>
          <w:p w14:paraId="376D1350" w14:textId="77777777" w:rsidR="00620422" w:rsidRPr="008204CC" w:rsidRDefault="00620422" w:rsidP="0066301C">
            <w:pPr>
              <w:spacing w:after="0" w:line="240" w:lineRule="auto"/>
              <w:jc w:val="right"/>
              <w:rPr>
                <w:rFonts w:ascii="Arial" w:eastAsia="Times New Roman" w:hAnsi="Arial" w:cs="Arial"/>
                <w:color w:val="000000"/>
                <w:sz w:val="18"/>
                <w:szCs w:val="18"/>
                <w:lang w:eastAsia="en-GB"/>
              </w:rPr>
            </w:pPr>
            <w:r w:rsidRPr="008204CC">
              <w:rPr>
                <w:rFonts w:ascii="Arial" w:eastAsia="Times New Roman" w:hAnsi="Arial" w:cs="Arial"/>
                <w:color w:val="000000"/>
                <w:sz w:val="18"/>
                <w:szCs w:val="18"/>
                <w:lang w:eastAsia="en-GB"/>
              </w:rPr>
              <w:t>188.0925</w:t>
            </w:r>
          </w:p>
        </w:tc>
        <w:tc>
          <w:tcPr>
            <w:tcW w:w="1559" w:type="dxa"/>
            <w:gridSpan w:val="2"/>
            <w:tcBorders>
              <w:top w:val="nil"/>
              <w:left w:val="nil"/>
              <w:bottom w:val="single" w:sz="4" w:space="0" w:color="auto"/>
              <w:right w:val="single" w:sz="4" w:space="0" w:color="auto"/>
            </w:tcBorders>
            <w:shd w:val="clear" w:color="auto" w:fill="auto"/>
            <w:vAlign w:val="bottom"/>
          </w:tcPr>
          <w:p w14:paraId="6E8ABFEC" w14:textId="77777777" w:rsidR="00620422" w:rsidRPr="008204CC" w:rsidRDefault="00620422" w:rsidP="0066301C">
            <w:pPr>
              <w:spacing w:after="0" w:line="240" w:lineRule="auto"/>
              <w:jc w:val="right"/>
              <w:rPr>
                <w:rFonts w:ascii="Arial" w:eastAsia="Times New Roman" w:hAnsi="Arial" w:cs="Arial"/>
                <w:color w:val="000000"/>
                <w:sz w:val="18"/>
                <w:szCs w:val="18"/>
                <w:lang w:eastAsia="en-GB"/>
              </w:rPr>
            </w:pPr>
            <w:r w:rsidRPr="008204CC">
              <w:rPr>
                <w:rFonts w:ascii="Arial" w:eastAsia="Times New Roman" w:hAnsi="Arial" w:cs="Arial"/>
                <w:color w:val="000000"/>
                <w:sz w:val="18"/>
                <w:szCs w:val="18"/>
                <w:lang w:eastAsia="en-GB"/>
              </w:rPr>
              <w:t>169.4966</w:t>
            </w:r>
          </w:p>
        </w:tc>
        <w:tc>
          <w:tcPr>
            <w:tcW w:w="2122" w:type="dxa"/>
            <w:gridSpan w:val="2"/>
            <w:tcBorders>
              <w:top w:val="nil"/>
              <w:left w:val="nil"/>
              <w:bottom w:val="single" w:sz="4" w:space="0" w:color="auto"/>
              <w:right w:val="single" w:sz="4" w:space="0" w:color="auto"/>
            </w:tcBorders>
            <w:shd w:val="clear" w:color="auto" w:fill="auto"/>
            <w:vAlign w:val="bottom"/>
          </w:tcPr>
          <w:p w14:paraId="5BF1B519" w14:textId="77777777" w:rsidR="00620422" w:rsidRPr="008204CC" w:rsidRDefault="00620422" w:rsidP="0066301C">
            <w:pPr>
              <w:spacing w:after="0" w:line="240" w:lineRule="auto"/>
              <w:jc w:val="right"/>
              <w:rPr>
                <w:rFonts w:ascii="Arial" w:eastAsia="Times New Roman" w:hAnsi="Arial" w:cs="Arial"/>
                <w:color w:val="000000"/>
                <w:sz w:val="18"/>
                <w:szCs w:val="18"/>
                <w:lang w:eastAsia="en-GB"/>
              </w:rPr>
            </w:pPr>
            <w:r w:rsidRPr="008204CC">
              <w:rPr>
                <w:rFonts w:ascii="Arial" w:eastAsia="Times New Roman" w:hAnsi="Arial" w:cs="Arial"/>
                <w:color w:val="000000"/>
                <w:sz w:val="18"/>
                <w:szCs w:val="18"/>
                <w:lang w:eastAsia="en-GB"/>
              </w:rPr>
              <w:t>18.59583</w:t>
            </w:r>
          </w:p>
        </w:tc>
      </w:tr>
      <w:tr w:rsidR="008A6AC3" w:rsidRPr="008204CC" w14:paraId="0B094958" w14:textId="77777777" w:rsidTr="00D46B41">
        <w:trPr>
          <w:trHeight w:val="270"/>
        </w:trPr>
        <w:tc>
          <w:tcPr>
            <w:tcW w:w="1135" w:type="dxa"/>
            <w:tcBorders>
              <w:top w:val="nil"/>
              <w:left w:val="single" w:sz="4" w:space="0" w:color="auto"/>
              <w:bottom w:val="single" w:sz="4" w:space="0" w:color="auto"/>
              <w:right w:val="single" w:sz="4" w:space="0" w:color="auto"/>
            </w:tcBorders>
            <w:shd w:val="clear" w:color="auto" w:fill="auto"/>
            <w:noWrap/>
            <w:vAlign w:val="bottom"/>
            <w:hideMark/>
          </w:tcPr>
          <w:p w14:paraId="15B3BE76" w14:textId="77777777" w:rsidR="00620422" w:rsidRPr="008204CC" w:rsidRDefault="00620422" w:rsidP="0066301C">
            <w:pPr>
              <w:spacing w:after="0" w:line="240" w:lineRule="auto"/>
              <w:jc w:val="right"/>
              <w:rPr>
                <w:rFonts w:ascii="Arial" w:eastAsia="Times New Roman" w:hAnsi="Arial" w:cs="Arial"/>
                <w:color w:val="000000"/>
                <w:sz w:val="18"/>
                <w:szCs w:val="18"/>
                <w:lang w:eastAsia="en-GB"/>
              </w:rPr>
            </w:pPr>
            <w:r w:rsidRPr="008204CC">
              <w:rPr>
                <w:rFonts w:ascii="Arial" w:eastAsia="Times New Roman" w:hAnsi="Arial" w:cs="Arial"/>
                <w:color w:val="000000"/>
                <w:sz w:val="18"/>
                <w:szCs w:val="18"/>
                <w:lang w:eastAsia="en-GB"/>
              </w:rPr>
              <w:t>1987</w:t>
            </w:r>
          </w:p>
        </w:tc>
        <w:tc>
          <w:tcPr>
            <w:tcW w:w="1701" w:type="dxa"/>
            <w:tcBorders>
              <w:top w:val="nil"/>
              <w:left w:val="nil"/>
              <w:bottom w:val="single" w:sz="4" w:space="0" w:color="auto"/>
              <w:right w:val="single" w:sz="4" w:space="0" w:color="auto"/>
            </w:tcBorders>
            <w:shd w:val="clear" w:color="auto" w:fill="auto"/>
            <w:noWrap/>
            <w:vAlign w:val="bottom"/>
            <w:hideMark/>
          </w:tcPr>
          <w:p w14:paraId="2B9E6A25" w14:textId="77777777" w:rsidR="00620422" w:rsidRPr="008204CC" w:rsidRDefault="00620422" w:rsidP="0066301C">
            <w:pPr>
              <w:spacing w:after="0" w:line="240" w:lineRule="auto"/>
              <w:jc w:val="right"/>
              <w:rPr>
                <w:rFonts w:ascii="Arial" w:eastAsia="Times New Roman" w:hAnsi="Arial" w:cs="Arial"/>
                <w:color w:val="000000"/>
                <w:sz w:val="18"/>
                <w:szCs w:val="18"/>
                <w:lang w:eastAsia="en-GB"/>
              </w:rPr>
            </w:pPr>
            <w:r w:rsidRPr="008204CC">
              <w:rPr>
                <w:rFonts w:ascii="Arial" w:eastAsia="Times New Roman" w:hAnsi="Arial" w:cs="Arial"/>
                <w:color w:val="000000"/>
                <w:sz w:val="18"/>
                <w:szCs w:val="18"/>
                <w:lang w:eastAsia="en-GB"/>
              </w:rPr>
              <w:t>169.0696231</w:t>
            </w:r>
          </w:p>
        </w:tc>
        <w:tc>
          <w:tcPr>
            <w:tcW w:w="1701" w:type="dxa"/>
            <w:tcBorders>
              <w:top w:val="nil"/>
              <w:left w:val="nil"/>
              <w:bottom w:val="single" w:sz="4" w:space="0" w:color="auto"/>
              <w:right w:val="single" w:sz="4" w:space="0" w:color="auto"/>
            </w:tcBorders>
            <w:shd w:val="clear" w:color="auto" w:fill="auto"/>
            <w:noWrap/>
            <w:vAlign w:val="bottom"/>
            <w:hideMark/>
          </w:tcPr>
          <w:p w14:paraId="775AC689" w14:textId="77777777" w:rsidR="00620422" w:rsidRPr="008204CC" w:rsidRDefault="00620422" w:rsidP="0066301C">
            <w:pPr>
              <w:spacing w:after="0" w:line="240" w:lineRule="auto"/>
              <w:jc w:val="right"/>
              <w:rPr>
                <w:rFonts w:ascii="Arial" w:eastAsia="Times New Roman" w:hAnsi="Arial" w:cs="Arial"/>
                <w:color w:val="000000"/>
                <w:sz w:val="18"/>
                <w:szCs w:val="18"/>
                <w:lang w:eastAsia="en-GB"/>
              </w:rPr>
            </w:pPr>
            <w:r w:rsidRPr="008204CC">
              <w:rPr>
                <w:rFonts w:ascii="Arial" w:eastAsia="Times New Roman" w:hAnsi="Arial" w:cs="Arial"/>
                <w:color w:val="000000"/>
                <w:sz w:val="18"/>
                <w:szCs w:val="18"/>
                <w:lang w:eastAsia="en-GB"/>
              </w:rPr>
              <w:t>147.3348734</w:t>
            </w:r>
          </w:p>
        </w:tc>
        <w:tc>
          <w:tcPr>
            <w:tcW w:w="1984" w:type="dxa"/>
            <w:tcBorders>
              <w:top w:val="nil"/>
              <w:left w:val="nil"/>
              <w:bottom w:val="single" w:sz="4" w:space="0" w:color="auto"/>
              <w:right w:val="single" w:sz="4" w:space="0" w:color="auto"/>
            </w:tcBorders>
            <w:shd w:val="clear" w:color="auto" w:fill="auto"/>
            <w:noWrap/>
            <w:vAlign w:val="bottom"/>
            <w:hideMark/>
          </w:tcPr>
          <w:p w14:paraId="707F5F57" w14:textId="77777777" w:rsidR="00620422" w:rsidRPr="008204CC" w:rsidRDefault="00620422" w:rsidP="0066301C">
            <w:pPr>
              <w:spacing w:after="0" w:line="240" w:lineRule="auto"/>
              <w:jc w:val="right"/>
              <w:rPr>
                <w:rFonts w:ascii="Arial" w:eastAsia="Times New Roman" w:hAnsi="Arial" w:cs="Arial"/>
                <w:sz w:val="18"/>
                <w:szCs w:val="18"/>
                <w:lang w:eastAsia="en-GB"/>
              </w:rPr>
            </w:pPr>
            <w:r w:rsidRPr="008204CC">
              <w:rPr>
                <w:rFonts w:ascii="Arial" w:eastAsia="Times New Roman" w:hAnsi="Arial" w:cs="Arial"/>
                <w:sz w:val="18"/>
                <w:szCs w:val="18"/>
                <w:lang w:eastAsia="en-GB"/>
              </w:rPr>
              <w:t>21.73475</w:t>
            </w:r>
          </w:p>
        </w:tc>
        <w:tc>
          <w:tcPr>
            <w:tcW w:w="709" w:type="dxa"/>
            <w:vMerge/>
            <w:tcBorders>
              <w:left w:val="nil"/>
              <w:right w:val="single" w:sz="4" w:space="0" w:color="auto"/>
            </w:tcBorders>
          </w:tcPr>
          <w:p w14:paraId="61798A42" w14:textId="77777777" w:rsidR="00620422" w:rsidRPr="008204CC" w:rsidRDefault="00620422" w:rsidP="0066301C">
            <w:pPr>
              <w:spacing w:after="0" w:line="240" w:lineRule="auto"/>
              <w:jc w:val="right"/>
              <w:rPr>
                <w:rFonts w:ascii="Arial" w:eastAsia="Times New Roman" w:hAnsi="Arial" w:cs="Arial"/>
                <w:sz w:val="18"/>
                <w:szCs w:val="18"/>
                <w:lang w:eastAsia="en-GB"/>
              </w:rPr>
            </w:pPr>
          </w:p>
        </w:tc>
        <w:tc>
          <w:tcPr>
            <w:tcW w:w="999" w:type="dxa"/>
            <w:gridSpan w:val="2"/>
            <w:tcBorders>
              <w:top w:val="nil"/>
              <w:left w:val="single" w:sz="4" w:space="0" w:color="auto"/>
              <w:bottom w:val="single" w:sz="4" w:space="0" w:color="auto"/>
              <w:right w:val="single" w:sz="4" w:space="0" w:color="auto"/>
            </w:tcBorders>
            <w:shd w:val="clear" w:color="auto" w:fill="auto"/>
            <w:vAlign w:val="bottom"/>
          </w:tcPr>
          <w:p w14:paraId="0EB9F759" w14:textId="77777777" w:rsidR="00620422" w:rsidRPr="008204CC" w:rsidRDefault="00620422" w:rsidP="0066301C">
            <w:pPr>
              <w:spacing w:after="0" w:line="240" w:lineRule="auto"/>
              <w:jc w:val="right"/>
              <w:rPr>
                <w:rFonts w:ascii="Arial" w:eastAsia="Times New Roman" w:hAnsi="Arial" w:cs="Arial"/>
                <w:color w:val="000000"/>
                <w:sz w:val="18"/>
                <w:szCs w:val="18"/>
                <w:lang w:eastAsia="en-GB"/>
              </w:rPr>
            </w:pPr>
            <w:r w:rsidRPr="008204CC">
              <w:rPr>
                <w:rFonts w:ascii="Arial" w:eastAsia="Times New Roman" w:hAnsi="Arial" w:cs="Arial"/>
                <w:color w:val="000000"/>
                <w:sz w:val="18"/>
                <w:szCs w:val="18"/>
                <w:lang w:eastAsia="en-GB"/>
              </w:rPr>
              <w:t>1987</w:t>
            </w:r>
          </w:p>
        </w:tc>
        <w:tc>
          <w:tcPr>
            <w:tcW w:w="1415" w:type="dxa"/>
            <w:gridSpan w:val="2"/>
            <w:tcBorders>
              <w:top w:val="nil"/>
              <w:left w:val="nil"/>
              <w:bottom w:val="single" w:sz="4" w:space="0" w:color="auto"/>
              <w:right w:val="single" w:sz="4" w:space="0" w:color="auto"/>
            </w:tcBorders>
            <w:shd w:val="clear" w:color="auto" w:fill="auto"/>
            <w:vAlign w:val="bottom"/>
          </w:tcPr>
          <w:p w14:paraId="0F52BDFE" w14:textId="77777777" w:rsidR="00620422" w:rsidRPr="008204CC" w:rsidRDefault="00620422" w:rsidP="0066301C">
            <w:pPr>
              <w:spacing w:after="0" w:line="240" w:lineRule="auto"/>
              <w:jc w:val="right"/>
              <w:rPr>
                <w:rFonts w:ascii="Arial" w:eastAsia="Times New Roman" w:hAnsi="Arial" w:cs="Arial"/>
                <w:color w:val="000000"/>
                <w:sz w:val="18"/>
                <w:szCs w:val="18"/>
                <w:lang w:eastAsia="en-GB"/>
              </w:rPr>
            </w:pPr>
            <w:r w:rsidRPr="008204CC">
              <w:rPr>
                <w:rFonts w:ascii="Arial" w:eastAsia="Times New Roman" w:hAnsi="Arial" w:cs="Arial"/>
                <w:color w:val="000000"/>
                <w:sz w:val="18"/>
                <w:szCs w:val="18"/>
                <w:lang w:eastAsia="en-GB"/>
              </w:rPr>
              <w:t>173.7204</w:t>
            </w:r>
          </w:p>
        </w:tc>
        <w:tc>
          <w:tcPr>
            <w:tcW w:w="1559" w:type="dxa"/>
            <w:gridSpan w:val="2"/>
            <w:tcBorders>
              <w:top w:val="nil"/>
              <w:left w:val="nil"/>
              <w:bottom w:val="single" w:sz="4" w:space="0" w:color="auto"/>
              <w:right w:val="single" w:sz="4" w:space="0" w:color="auto"/>
            </w:tcBorders>
            <w:shd w:val="clear" w:color="auto" w:fill="auto"/>
            <w:vAlign w:val="bottom"/>
          </w:tcPr>
          <w:p w14:paraId="744F76A3" w14:textId="77777777" w:rsidR="00620422" w:rsidRPr="008204CC" w:rsidRDefault="00620422" w:rsidP="0066301C">
            <w:pPr>
              <w:spacing w:after="0" w:line="240" w:lineRule="auto"/>
              <w:jc w:val="right"/>
              <w:rPr>
                <w:rFonts w:ascii="Arial" w:eastAsia="Times New Roman" w:hAnsi="Arial" w:cs="Arial"/>
                <w:color w:val="000000"/>
                <w:sz w:val="18"/>
                <w:szCs w:val="18"/>
                <w:lang w:eastAsia="en-GB"/>
              </w:rPr>
            </w:pPr>
            <w:r w:rsidRPr="008204CC">
              <w:rPr>
                <w:rFonts w:ascii="Arial" w:eastAsia="Times New Roman" w:hAnsi="Arial" w:cs="Arial"/>
                <w:color w:val="000000"/>
                <w:sz w:val="18"/>
                <w:szCs w:val="18"/>
                <w:lang w:eastAsia="en-GB"/>
              </w:rPr>
              <w:t>164.43</w:t>
            </w:r>
          </w:p>
        </w:tc>
        <w:tc>
          <w:tcPr>
            <w:tcW w:w="2122" w:type="dxa"/>
            <w:gridSpan w:val="2"/>
            <w:tcBorders>
              <w:top w:val="nil"/>
              <w:left w:val="nil"/>
              <w:bottom w:val="single" w:sz="4" w:space="0" w:color="auto"/>
              <w:right w:val="single" w:sz="4" w:space="0" w:color="auto"/>
            </w:tcBorders>
            <w:shd w:val="clear" w:color="auto" w:fill="auto"/>
            <w:vAlign w:val="bottom"/>
          </w:tcPr>
          <w:p w14:paraId="2787425A" w14:textId="77777777" w:rsidR="00620422" w:rsidRPr="008204CC" w:rsidRDefault="00620422" w:rsidP="0066301C">
            <w:pPr>
              <w:spacing w:after="0" w:line="240" w:lineRule="auto"/>
              <w:jc w:val="right"/>
              <w:rPr>
                <w:rFonts w:ascii="Arial" w:eastAsia="Times New Roman" w:hAnsi="Arial" w:cs="Arial"/>
                <w:color w:val="000000"/>
                <w:sz w:val="18"/>
                <w:szCs w:val="18"/>
                <w:lang w:eastAsia="en-GB"/>
              </w:rPr>
            </w:pPr>
            <w:r w:rsidRPr="008204CC">
              <w:rPr>
                <w:rFonts w:ascii="Arial" w:eastAsia="Times New Roman" w:hAnsi="Arial" w:cs="Arial"/>
                <w:color w:val="000000"/>
                <w:sz w:val="18"/>
                <w:szCs w:val="18"/>
                <w:lang w:eastAsia="en-GB"/>
              </w:rPr>
              <w:t>9.290373</w:t>
            </w:r>
          </w:p>
        </w:tc>
      </w:tr>
      <w:tr w:rsidR="008A6AC3" w:rsidRPr="008204CC" w14:paraId="130DAA70" w14:textId="77777777" w:rsidTr="00D46B41">
        <w:trPr>
          <w:trHeight w:val="270"/>
        </w:trPr>
        <w:tc>
          <w:tcPr>
            <w:tcW w:w="1135" w:type="dxa"/>
            <w:tcBorders>
              <w:top w:val="nil"/>
              <w:left w:val="single" w:sz="4" w:space="0" w:color="auto"/>
              <w:bottom w:val="single" w:sz="4" w:space="0" w:color="auto"/>
              <w:right w:val="single" w:sz="4" w:space="0" w:color="auto"/>
            </w:tcBorders>
            <w:shd w:val="clear" w:color="auto" w:fill="auto"/>
            <w:noWrap/>
            <w:vAlign w:val="bottom"/>
            <w:hideMark/>
          </w:tcPr>
          <w:p w14:paraId="7E4F75DA" w14:textId="77777777" w:rsidR="00620422" w:rsidRPr="008204CC" w:rsidRDefault="00620422" w:rsidP="0066301C">
            <w:pPr>
              <w:spacing w:after="0" w:line="240" w:lineRule="auto"/>
              <w:jc w:val="right"/>
              <w:rPr>
                <w:rFonts w:ascii="Arial" w:eastAsia="Times New Roman" w:hAnsi="Arial" w:cs="Arial"/>
                <w:color w:val="000000"/>
                <w:sz w:val="18"/>
                <w:szCs w:val="18"/>
                <w:lang w:eastAsia="en-GB"/>
              </w:rPr>
            </w:pPr>
            <w:r w:rsidRPr="008204CC">
              <w:rPr>
                <w:rFonts w:ascii="Arial" w:eastAsia="Times New Roman" w:hAnsi="Arial" w:cs="Arial"/>
                <w:color w:val="000000"/>
                <w:sz w:val="18"/>
                <w:szCs w:val="18"/>
                <w:lang w:eastAsia="en-GB"/>
              </w:rPr>
              <w:t>1988</w:t>
            </w:r>
          </w:p>
        </w:tc>
        <w:tc>
          <w:tcPr>
            <w:tcW w:w="1701" w:type="dxa"/>
            <w:tcBorders>
              <w:top w:val="nil"/>
              <w:left w:val="nil"/>
              <w:bottom w:val="single" w:sz="4" w:space="0" w:color="auto"/>
              <w:right w:val="single" w:sz="4" w:space="0" w:color="auto"/>
            </w:tcBorders>
            <w:shd w:val="clear" w:color="auto" w:fill="auto"/>
            <w:noWrap/>
            <w:vAlign w:val="bottom"/>
            <w:hideMark/>
          </w:tcPr>
          <w:p w14:paraId="496937F0" w14:textId="77777777" w:rsidR="00620422" w:rsidRPr="008204CC" w:rsidRDefault="00620422" w:rsidP="0066301C">
            <w:pPr>
              <w:spacing w:after="0" w:line="240" w:lineRule="auto"/>
              <w:jc w:val="right"/>
              <w:rPr>
                <w:rFonts w:ascii="Arial" w:eastAsia="Times New Roman" w:hAnsi="Arial" w:cs="Arial"/>
                <w:color w:val="000000"/>
                <w:sz w:val="18"/>
                <w:szCs w:val="18"/>
                <w:lang w:eastAsia="en-GB"/>
              </w:rPr>
            </w:pPr>
            <w:r w:rsidRPr="008204CC">
              <w:rPr>
                <w:rFonts w:ascii="Arial" w:eastAsia="Times New Roman" w:hAnsi="Arial" w:cs="Arial"/>
                <w:color w:val="000000"/>
                <w:sz w:val="18"/>
                <w:szCs w:val="18"/>
                <w:lang w:eastAsia="en-GB"/>
              </w:rPr>
              <w:t>164.3673383</w:t>
            </w:r>
          </w:p>
        </w:tc>
        <w:tc>
          <w:tcPr>
            <w:tcW w:w="1701" w:type="dxa"/>
            <w:tcBorders>
              <w:top w:val="nil"/>
              <w:left w:val="nil"/>
              <w:bottom w:val="single" w:sz="4" w:space="0" w:color="auto"/>
              <w:right w:val="single" w:sz="4" w:space="0" w:color="auto"/>
            </w:tcBorders>
            <w:shd w:val="clear" w:color="auto" w:fill="auto"/>
            <w:noWrap/>
            <w:vAlign w:val="bottom"/>
            <w:hideMark/>
          </w:tcPr>
          <w:p w14:paraId="6493C2E2" w14:textId="77777777" w:rsidR="00620422" w:rsidRPr="008204CC" w:rsidRDefault="00620422" w:rsidP="0066301C">
            <w:pPr>
              <w:spacing w:after="0" w:line="240" w:lineRule="auto"/>
              <w:jc w:val="right"/>
              <w:rPr>
                <w:rFonts w:ascii="Arial" w:eastAsia="Times New Roman" w:hAnsi="Arial" w:cs="Arial"/>
                <w:color w:val="000000"/>
                <w:sz w:val="18"/>
                <w:szCs w:val="18"/>
                <w:lang w:eastAsia="en-GB"/>
              </w:rPr>
            </w:pPr>
            <w:r w:rsidRPr="008204CC">
              <w:rPr>
                <w:rFonts w:ascii="Arial" w:eastAsia="Times New Roman" w:hAnsi="Arial" w:cs="Arial"/>
                <w:color w:val="000000"/>
                <w:sz w:val="18"/>
                <w:szCs w:val="18"/>
                <w:lang w:eastAsia="en-GB"/>
              </w:rPr>
              <w:t>147.1895939</w:t>
            </w:r>
          </w:p>
        </w:tc>
        <w:tc>
          <w:tcPr>
            <w:tcW w:w="1984" w:type="dxa"/>
            <w:tcBorders>
              <w:top w:val="nil"/>
              <w:left w:val="nil"/>
              <w:bottom w:val="single" w:sz="4" w:space="0" w:color="auto"/>
              <w:right w:val="single" w:sz="4" w:space="0" w:color="auto"/>
            </w:tcBorders>
            <w:shd w:val="clear" w:color="auto" w:fill="auto"/>
            <w:noWrap/>
            <w:vAlign w:val="bottom"/>
            <w:hideMark/>
          </w:tcPr>
          <w:p w14:paraId="13A849FF" w14:textId="77777777" w:rsidR="00620422" w:rsidRPr="008204CC" w:rsidRDefault="00620422" w:rsidP="0066301C">
            <w:pPr>
              <w:spacing w:after="0" w:line="240" w:lineRule="auto"/>
              <w:jc w:val="right"/>
              <w:rPr>
                <w:rFonts w:ascii="Arial" w:eastAsia="Times New Roman" w:hAnsi="Arial" w:cs="Arial"/>
                <w:sz w:val="18"/>
                <w:szCs w:val="18"/>
                <w:lang w:eastAsia="en-GB"/>
              </w:rPr>
            </w:pPr>
            <w:r w:rsidRPr="008204CC">
              <w:rPr>
                <w:rFonts w:ascii="Arial" w:eastAsia="Times New Roman" w:hAnsi="Arial" w:cs="Arial"/>
                <w:sz w:val="18"/>
                <w:szCs w:val="18"/>
                <w:lang w:eastAsia="en-GB"/>
              </w:rPr>
              <w:t>17.17774</w:t>
            </w:r>
          </w:p>
        </w:tc>
        <w:tc>
          <w:tcPr>
            <w:tcW w:w="709" w:type="dxa"/>
            <w:vMerge/>
            <w:tcBorders>
              <w:left w:val="nil"/>
              <w:right w:val="single" w:sz="4" w:space="0" w:color="auto"/>
            </w:tcBorders>
          </w:tcPr>
          <w:p w14:paraId="3A2B72B6" w14:textId="77777777" w:rsidR="00620422" w:rsidRPr="008204CC" w:rsidRDefault="00620422" w:rsidP="0066301C">
            <w:pPr>
              <w:spacing w:after="0" w:line="240" w:lineRule="auto"/>
              <w:jc w:val="right"/>
              <w:rPr>
                <w:rFonts w:ascii="Arial" w:eastAsia="Times New Roman" w:hAnsi="Arial" w:cs="Arial"/>
                <w:sz w:val="18"/>
                <w:szCs w:val="18"/>
                <w:lang w:eastAsia="en-GB"/>
              </w:rPr>
            </w:pPr>
          </w:p>
        </w:tc>
        <w:tc>
          <w:tcPr>
            <w:tcW w:w="999" w:type="dxa"/>
            <w:gridSpan w:val="2"/>
            <w:tcBorders>
              <w:top w:val="nil"/>
              <w:left w:val="single" w:sz="4" w:space="0" w:color="auto"/>
              <w:bottom w:val="single" w:sz="4" w:space="0" w:color="auto"/>
              <w:right w:val="single" w:sz="4" w:space="0" w:color="auto"/>
            </w:tcBorders>
            <w:shd w:val="clear" w:color="auto" w:fill="auto"/>
            <w:vAlign w:val="bottom"/>
          </w:tcPr>
          <w:p w14:paraId="2FDC7700" w14:textId="77777777" w:rsidR="00620422" w:rsidRPr="008204CC" w:rsidRDefault="00620422" w:rsidP="0066301C">
            <w:pPr>
              <w:spacing w:after="0" w:line="240" w:lineRule="auto"/>
              <w:jc w:val="right"/>
              <w:rPr>
                <w:rFonts w:ascii="Arial" w:eastAsia="Times New Roman" w:hAnsi="Arial" w:cs="Arial"/>
                <w:color w:val="000000"/>
                <w:sz w:val="18"/>
                <w:szCs w:val="18"/>
                <w:lang w:eastAsia="en-GB"/>
              </w:rPr>
            </w:pPr>
            <w:r w:rsidRPr="008204CC">
              <w:rPr>
                <w:rFonts w:ascii="Arial" w:eastAsia="Times New Roman" w:hAnsi="Arial" w:cs="Arial"/>
                <w:color w:val="000000"/>
                <w:sz w:val="18"/>
                <w:szCs w:val="18"/>
                <w:lang w:eastAsia="en-GB"/>
              </w:rPr>
              <w:t>1988</w:t>
            </w:r>
          </w:p>
        </w:tc>
        <w:tc>
          <w:tcPr>
            <w:tcW w:w="1415" w:type="dxa"/>
            <w:gridSpan w:val="2"/>
            <w:tcBorders>
              <w:top w:val="nil"/>
              <w:left w:val="nil"/>
              <w:bottom w:val="single" w:sz="4" w:space="0" w:color="auto"/>
              <w:right w:val="single" w:sz="4" w:space="0" w:color="auto"/>
            </w:tcBorders>
            <w:shd w:val="clear" w:color="auto" w:fill="auto"/>
            <w:vAlign w:val="bottom"/>
          </w:tcPr>
          <w:p w14:paraId="37CE0E65" w14:textId="77777777" w:rsidR="00620422" w:rsidRPr="008204CC" w:rsidRDefault="00620422" w:rsidP="0066301C">
            <w:pPr>
              <w:spacing w:after="0" w:line="240" w:lineRule="auto"/>
              <w:jc w:val="right"/>
              <w:rPr>
                <w:rFonts w:ascii="Arial" w:eastAsia="Times New Roman" w:hAnsi="Arial" w:cs="Arial"/>
                <w:color w:val="000000"/>
                <w:sz w:val="18"/>
                <w:szCs w:val="18"/>
                <w:lang w:eastAsia="en-GB"/>
              </w:rPr>
            </w:pPr>
            <w:r w:rsidRPr="008204CC">
              <w:rPr>
                <w:rFonts w:ascii="Arial" w:eastAsia="Times New Roman" w:hAnsi="Arial" w:cs="Arial"/>
                <w:color w:val="000000"/>
                <w:sz w:val="18"/>
                <w:szCs w:val="18"/>
                <w:lang w:eastAsia="en-GB"/>
              </w:rPr>
              <w:t>160.347</w:t>
            </w:r>
          </w:p>
        </w:tc>
        <w:tc>
          <w:tcPr>
            <w:tcW w:w="1559" w:type="dxa"/>
            <w:gridSpan w:val="2"/>
            <w:tcBorders>
              <w:top w:val="nil"/>
              <w:left w:val="nil"/>
              <w:bottom w:val="single" w:sz="4" w:space="0" w:color="auto"/>
              <w:right w:val="single" w:sz="4" w:space="0" w:color="auto"/>
            </w:tcBorders>
            <w:shd w:val="clear" w:color="auto" w:fill="auto"/>
            <w:vAlign w:val="bottom"/>
          </w:tcPr>
          <w:p w14:paraId="770B18E5" w14:textId="77777777" w:rsidR="00620422" w:rsidRPr="008204CC" w:rsidRDefault="00620422" w:rsidP="0066301C">
            <w:pPr>
              <w:spacing w:after="0" w:line="240" w:lineRule="auto"/>
              <w:jc w:val="right"/>
              <w:rPr>
                <w:rFonts w:ascii="Arial" w:eastAsia="Times New Roman" w:hAnsi="Arial" w:cs="Arial"/>
                <w:color w:val="000000"/>
                <w:sz w:val="18"/>
                <w:szCs w:val="18"/>
                <w:lang w:eastAsia="en-GB"/>
              </w:rPr>
            </w:pPr>
            <w:r w:rsidRPr="008204CC">
              <w:rPr>
                <w:rFonts w:ascii="Arial" w:eastAsia="Times New Roman" w:hAnsi="Arial" w:cs="Arial"/>
                <w:color w:val="000000"/>
                <w:sz w:val="18"/>
                <w:szCs w:val="18"/>
                <w:lang w:eastAsia="en-GB"/>
              </w:rPr>
              <w:t>158.6537</w:t>
            </w:r>
          </w:p>
        </w:tc>
        <w:tc>
          <w:tcPr>
            <w:tcW w:w="2122" w:type="dxa"/>
            <w:gridSpan w:val="2"/>
            <w:tcBorders>
              <w:top w:val="nil"/>
              <w:left w:val="nil"/>
              <w:bottom w:val="single" w:sz="4" w:space="0" w:color="auto"/>
              <w:right w:val="single" w:sz="4" w:space="0" w:color="auto"/>
            </w:tcBorders>
            <w:shd w:val="clear" w:color="auto" w:fill="auto"/>
            <w:vAlign w:val="bottom"/>
          </w:tcPr>
          <w:p w14:paraId="7FC71215" w14:textId="77777777" w:rsidR="00620422" w:rsidRPr="008204CC" w:rsidRDefault="00620422" w:rsidP="0066301C">
            <w:pPr>
              <w:spacing w:after="0" w:line="240" w:lineRule="auto"/>
              <w:jc w:val="right"/>
              <w:rPr>
                <w:rFonts w:ascii="Arial" w:eastAsia="Times New Roman" w:hAnsi="Arial" w:cs="Arial"/>
                <w:color w:val="000000"/>
                <w:sz w:val="18"/>
                <w:szCs w:val="18"/>
                <w:lang w:eastAsia="en-GB"/>
              </w:rPr>
            </w:pPr>
            <w:r w:rsidRPr="008204CC">
              <w:rPr>
                <w:rFonts w:ascii="Arial" w:eastAsia="Times New Roman" w:hAnsi="Arial" w:cs="Arial"/>
                <w:color w:val="000000"/>
                <w:sz w:val="18"/>
                <w:szCs w:val="18"/>
                <w:lang w:eastAsia="en-GB"/>
              </w:rPr>
              <w:t>1.693296</w:t>
            </w:r>
          </w:p>
        </w:tc>
      </w:tr>
      <w:tr w:rsidR="008A6AC3" w:rsidRPr="008204CC" w14:paraId="720A5C3B" w14:textId="77777777" w:rsidTr="00D46B41">
        <w:trPr>
          <w:trHeight w:val="270"/>
        </w:trPr>
        <w:tc>
          <w:tcPr>
            <w:tcW w:w="1135" w:type="dxa"/>
            <w:tcBorders>
              <w:top w:val="nil"/>
              <w:left w:val="single" w:sz="4" w:space="0" w:color="auto"/>
              <w:bottom w:val="single" w:sz="4" w:space="0" w:color="auto"/>
              <w:right w:val="single" w:sz="4" w:space="0" w:color="auto"/>
            </w:tcBorders>
            <w:shd w:val="clear" w:color="auto" w:fill="auto"/>
            <w:noWrap/>
            <w:vAlign w:val="bottom"/>
            <w:hideMark/>
          </w:tcPr>
          <w:p w14:paraId="0E505971" w14:textId="77777777" w:rsidR="00620422" w:rsidRPr="008204CC" w:rsidRDefault="00620422" w:rsidP="0066301C">
            <w:pPr>
              <w:spacing w:after="0" w:line="240" w:lineRule="auto"/>
              <w:jc w:val="right"/>
              <w:rPr>
                <w:rFonts w:ascii="Arial" w:eastAsia="Times New Roman" w:hAnsi="Arial" w:cs="Arial"/>
                <w:color w:val="000000"/>
                <w:sz w:val="18"/>
                <w:szCs w:val="18"/>
                <w:lang w:eastAsia="en-GB"/>
              </w:rPr>
            </w:pPr>
            <w:r w:rsidRPr="008204CC">
              <w:rPr>
                <w:rFonts w:ascii="Arial" w:eastAsia="Times New Roman" w:hAnsi="Arial" w:cs="Arial"/>
                <w:color w:val="000000"/>
                <w:sz w:val="18"/>
                <w:szCs w:val="18"/>
                <w:lang w:eastAsia="en-GB"/>
              </w:rPr>
              <w:t>1989</w:t>
            </w:r>
          </w:p>
        </w:tc>
        <w:tc>
          <w:tcPr>
            <w:tcW w:w="1701" w:type="dxa"/>
            <w:tcBorders>
              <w:top w:val="nil"/>
              <w:left w:val="nil"/>
              <w:bottom w:val="single" w:sz="4" w:space="0" w:color="auto"/>
              <w:right w:val="single" w:sz="4" w:space="0" w:color="auto"/>
            </w:tcBorders>
            <w:shd w:val="clear" w:color="auto" w:fill="auto"/>
            <w:noWrap/>
            <w:vAlign w:val="bottom"/>
            <w:hideMark/>
          </w:tcPr>
          <w:p w14:paraId="3B83F3DB" w14:textId="77777777" w:rsidR="00620422" w:rsidRPr="008204CC" w:rsidRDefault="00620422" w:rsidP="0066301C">
            <w:pPr>
              <w:spacing w:after="0" w:line="240" w:lineRule="auto"/>
              <w:jc w:val="right"/>
              <w:rPr>
                <w:rFonts w:ascii="Arial" w:eastAsia="Times New Roman" w:hAnsi="Arial" w:cs="Arial"/>
                <w:color w:val="000000"/>
                <w:sz w:val="18"/>
                <w:szCs w:val="18"/>
                <w:lang w:eastAsia="en-GB"/>
              </w:rPr>
            </w:pPr>
            <w:r w:rsidRPr="008204CC">
              <w:rPr>
                <w:rFonts w:ascii="Arial" w:eastAsia="Times New Roman" w:hAnsi="Arial" w:cs="Arial"/>
                <w:color w:val="000000"/>
                <w:sz w:val="18"/>
                <w:szCs w:val="18"/>
                <w:lang w:eastAsia="en-GB"/>
              </w:rPr>
              <w:t>151.6657754</w:t>
            </w:r>
          </w:p>
        </w:tc>
        <w:tc>
          <w:tcPr>
            <w:tcW w:w="1701" w:type="dxa"/>
            <w:tcBorders>
              <w:top w:val="nil"/>
              <w:left w:val="nil"/>
              <w:bottom w:val="single" w:sz="4" w:space="0" w:color="auto"/>
              <w:right w:val="single" w:sz="4" w:space="0" w:color="auto"/>
            </w:tcBorders>
            <w:shd w:val="clear" w:color="auto" w:fill="auto"/>
            <w:noWrap/>
            <w:vAlign w:val="bottom"/>
            <w:hideMark/>
          </w:tcPr>
          <w:p w14:paraId="502EEE0D" w14:textId="77777777" w:rsidR="00620422" w:rsidRPr="008204CC" w:rsidRDefault="00620422" w:rsidP="0066301C">
            <w:pPr>
              <w:spacing w:after="0" w:line="240" w:lineRule="auto"/>
              <w:jc w:val="right"/>
              <w:rPr>
                <w:rFonts w:ascii="Arial" w:eastAsia="Times New Roman" w:hAnsi="Arial" w:cs="Arial"/>
                <w:color w:val="000000"/>
                <w:sz w:val="18"/>
                <w:szCs w:val="18"/>
                <w:lang w:eastAsia="en-GB"/>
              </w:rPr>
            </w:pPr>
            <w:r w:rsidRPr="008204CC">
              <w:rPr>
                <w:rFonts w:ascii="Arial" w:eastAsia="Times New Roman" w:hAnsi="Arial" w:cs="Arial"/>
                <w:color w:val="000000"/>
                <w:sz w:val="18"/>
                <w:szCs w:val="18"/>
                <w:lang w:eastAsia="en-GB"/>
              </w:rPr>
              <w:t>145.6120793</w:t>
            </w:r>
          </w:p>
        </w:tc>
        <w:tc>
          <w:tcPr>
            <w:tcW w:w="1984" w:type="dxa"/>
            <w:tcBorders>
              <w:top w:val="nil"/>
              <w:left w:val="nil"/>
              <w:bottom w:val="single" w:sz="4" w:space="0" w:color="auto"/>
              <w:right w:val="single" w:sz="4" w:space="0" w:color="auto"/>
            </w:tcBorders>
            <w:shd w:val="clear" w:color="auto" w:fill="auto"/>
            <w:noWrap/>
            <w:vAlign w:val="bottom"/>
            <w:hideMark/>
          </w:tcPr>
          <w:p w14:paraId="336F4C3B" w14:textId="77777777" w:rsidR="00620422" w:rsidRPr="008204CC" w:rsidRDefault="00620422" w:rsidP="0066301C">
            <w:pPr>
              <w:spacing w:after="0" w:line="240" w:lineRule="auto"/>
              <w:jc w:val="right"/>
              <w:rPr>
                <w:rFonts w:ascii="Arial" w:eastAsia="Times New Roman" w:hAnsi="Arial" w:cs="Arial"/>
                <w:sz w:val="18"/>
                <w:szCs w:val="18"/>
                <w:lang w:eastAsia="en-GB"/>
              </w:rPr>
            </w:pPr>
            <w:r w:rsidRPr="008204CC">
              <w:rPr>
                <w:rFonts w:ascii="Arial" w:eastAsia="Times New Roman" w:hAnsi="Arial" w:cs="Arial"/>
                <w:sz w:val="18"/>
                <w:szCs w:val="18"/>
                <w:lang w:eastAsia="en-GB"/>
              </w:rPr>
              <w:t>6.053696</w:t>
            </w:r>
          </w:p>
        </w:tc>
        <w:tc>
          <w:tcPr>
            <w:tcW w:w="709" w:type="dxa"/>
            <w:vMerge/>
            <w:tcBorders>
              <w:left w:val="nil"/>
              <w:right w:val="single" w:sz="4" w:space="0" w:color="auto"/>
            </w:tcBorders>
          </w:tcPr>
          <w:p w14:paraId="4FCC2F4D" w14:textId="77777777" w:rsidR="00620422" w:rsidRPr="008204CC" w:rsidRDefault="00620422" w:rsidP="0066301C">
            <w:pPr>
              <w:spacing w:after="0" w:line="240" w:lineRule="auto"/>
              <w:jc w:val="right"/>
              <w:rPr>
                <w:rFonts w:ascii="Arial" w:eastAsia="Times New Roman" w:hAnsi="Arial" w:cs="Arial"/>
                <w:sz w:val="18"/>
                <w:szCs w:val="18"/>
                <w:lang w:eastAsia="en-GB"/>
              </w:rPr>
            </w:pPr>
          </w:p>
        </w:tc>
        <w:tc>
          <w:tcPr>
            <w:tcW w:w="999" w:type="dxa"/>
            <w:gridSpan w:val="2"/>
            <w:tcBorders>
              <w:top w:val="nil"/>
              <w:left w:val="single" w:sz="4" w:space="0" w:color="auto"/>
              <w:bottom w:val="single" w:sz="4" w:space="0" w:color="auto"/>
              <w:right w:val="single" w:sz="4" w:space="0" w:color="auto"/>
            </w:tcBorders>
            <w:shd w:val="clear" w:color="auto" w:fill="auto"/>
            <w:vAlign w:val="bottom"/>
          </w:tcPr>
          <w:p w14:paraId="673F7BD4" w14:textId="77777777" w:rsidR="00620422" w:rsidRPr="008204CC" w:rsidRDefault="00620422" w:rsidP="0066301C">
            <w:pPr>
              <w:spacing w:after="0" w:line="240" w:lineRule="auto"/>
              <w:jc w:val="right"/>
              <w:rPr>
                <w:rFonts w:ascii="Arial" w:eastAsia="Times New Roman" w:hAnsi="Arial" w:cs="Arial"/>
                <w:color w:val="000000"/>
                <w:sz w:val="18"/>
                <w:szCs w:val="18"/>
                <w:lang w:eastAsia="en-GB"/>
              </w:rPr>
            </w:pPr>
            <w:r w:rsidRPr="008204CC">
              <w:rPr>
                <w:rFonts w:ascii="Arial" w:eastAsia="Times New Roman" w:hAnsi="Arial" w:cs="Arial"/>
                <w:color w:val="000000"/>
                <w:sz w:val="18"/>
                <w:szCs w:val="18"/>
                <w:lang w:eastAsia="en-GB"/>
              </w:rPr>
              <w:t>1989</w:t>
            </w:r>
          </w:p>
        </w:tc>
        <w:tc>
          <w:tcPr>
            <w:tcW w:w="1415" w:type="dxa"/>
            <w:gridSpan w:val="2"/>
            <w:tcBorders>
              <w:top w:val="nil"/>
              <w:left w:val="nil"/>
              <w:bottom w:val="single" w:sz="4" w:space="0" w:color="auto"/>
              <w:right w:val="single" w:sz="4" w:space="0" w:color="auto"/>
            </w:tcBorders>
            <w:shd w:val="clear" w:color="auto" w:fill="auto"/>
            <w:vAlign w:val="bottom"/>
          </w:tcPr>
          <w:p w14:paraId="097E7293" w14:textId="77777777" w:rsidR="00620422" w:rsidRPr="008204CC" w:rsidRDefault="00620422" w:rsidP="0066301C">
            <w:pPr>
              <w:spacing w:after="0" w:line="240" w:lineRule="auto"/>
              <w:jc w:val="right"/>
              <w:rPr>
                <w:rFonts w:ascii="Arial" w:eastAsia="Times New Roman" w:hAnsi="Arial" w:cs="Arial"/>
                <w:color w:val="000000"/>
                <w:sz w:val="18"/>
                <w:szCs w:val="18"/>
                <w:lang w:eastAsia="en-GB"/>
              </w:rPr>
            </w:pPr>
            <w:r w:rsidRPr="008204CC">
              <w:rPr>
                <w:rFonts w:ascii="Arial" w:eastAsia="Times New Roman" w:hAnsi="Arial" w:cs="Arial"/>
                <w:color w:val="000000"/>
                <w:sz w:val="18"/>
                <w:szCs w:val="18"/>
                <w:lang w:eastAsia="en-GB"/>
              </w:rPr>
              <w:t>153.4849</w:t>
            </w:r>
          </w:p>
        </w:tc>
        <w:tc>
          <w:tcPr>
            <w:tcW w:w="1559" w:type="dxa"/>
            <w:gridSpan w:val="2"/>
            <w:tcBorders>
              <w:top w:val="nil"/>
              <w:left w:val="nil"/>
              <w:bottom w:val="single" w:sz="4" w:space="0" w:color="auto"/>
              <w:right w:val="single" w:sz="4" w:space="0" w:color="auto"/>
            </w:tcBorders>
            <w:shd w:val="clear" w:color="auto" w:fill="auto"/>
            <w:vAlign w:val="bottom"/>
          </w:tcPr>
          <w:p w14:paraId="52FE1CDC" w14:textId="77777777" w:rsidR="00620422" w:rsidRPr="008204CC" w:rsidRDefault="00620422" w:rsidP="0066301C">
            <w:pPr>
              <w:spacing w:after="0" w:line="240" w:lineRule="auto"/>
              <w:jc w:val="right"/>
              <w:rPr>
                <w:rFonts w:ascii="Arial" w:eastAsia="Times New Roman" w:hAnsi="Arial" w:cs="Arial"/>
                <w:color w:val="000000"/>
                <w:sz w:val="18"/>
                <w:szCs w:val="18"/>
                <w:lang w:eastAsia="en-GB"/>
              </w:rPr>
            </w:pPr>
            <w:r w:rsidRPr="008204CC">
              <w:rPr>
                <w:rFonts w:ascii="Arial" w:eastAsia="Times New Roman" w:hAnsi="Arial" w:cs="Arial"/>
                <w:color w:val="000000"/>
                <w:sz w:val="18"/>
                <w:szCs w:val="18"/>
                <w:lang w:eastAsia="en-GB"/>
              </w:rPr>
              <w:t>152.2398</w:t>
            </w:r>
          </w:p>
        </w:tc>
        <w:tc>
          <w:tcPr>
            <w:tcW w:w="2122" w:type="dxa"/>
            <w:gridSpan w:val="2"/>
            <w:tcBorders>
              <w:top w:val="nil"/>
              <w:left w:val="nil"/>
              <w:bottom w:val="single" w:sz="4" w:space="0" w:color="auto"/>
              <w:right w:val="single" w:sz="4" w:space="0" w:color="auto"/>
            </w:tcBorders>
            <w:shd w:val="clear" w:color="auto" w:fill="auto"/>
            <w:vAlign w:val="bottom"/>
          </w:tcPr>
          <w:p w14:paraId="79A60B3F" w14:textId="77777777" w:rsidR="00620422" w:rsidRPr="008204CC" w:rsidRDefault="00620422" w:rsidP="0066301C">
            <w:pPr>
              <w:spacing w:after="0" w:line="240" w:lineRule="auto"/>
              <w:jc w:val="right"/>
              <w:rPr>
                <w:rFonts w:ascii="Arial" w:eastAsia="Times New Roman" w:hAnsi="Arial" w:cs="Arial"/>
                <w:color w:val="000000"/>
                <w:sz w:val="18"/>
                <w:szCs w:val="18"/>
                <w:lang w:eastAsia="en-GB"/>
              </w:rPr>
            </w:pPr>
            <w:r w:rsidRPr="008204CC">
              <w:rPr>
                <w:rFonts w:ascii="Arial" w:eastAsia="Times New Roman" w:hAnsi="Arial" w:cs="Arial"/>
                <w:color w:val="000000"/>
                <w:sz w:val="18"/>
                <w:szCs w:val="18"/>
                <w:lang w:eastAsia="en-GB"/>
              </w:rPr>
              <w:t>1.245094</w:t>
            </w:r>
          </w:p>
        </w:tc>
      </w:tr>
      <w:tr w:rsidR="008A6AC3" w:rsidRPr="008204CC" w14:paraId="2888B1AC" w14:textId="77777777" w:rsidTr="00D46B41">
        <w:trPr>
          <w:trHeight w:val="270"/>
        </w:trPr>
        <w:tc>
          <w:tcPr>
            <w:tcW w:w="1135" w:type="dxa"/>
            <w:tcBorders>
              <w:top w:val="nil"/>
              <w:left w:val="single" w:sz="4" w:space="0" w:color="auto"/>
              <w:bottom w:val="single" w:sz="4" w:space="0" w:color="auto"/>
              <w:right w:val="single" w:sz="4" w:space="0" w:color="auto"/>
            </w:tcBorders>
            <w:shd w:val="clear" w:color="auto" w:fill="auto"/>
            <w:noWrap/>
            <w:vAlign w:val="bottom"/>
            <w:hideMark/>
          </w:tcPr>
          <w:p w14:paraId="12813674" w14:textId="77777777" w:rsidR="00620422" w:rsidRPr="008204CC" w:rsidRDefault="00620422" w:rsidP="0066301C">
            <w:pPr>
              <w:spacing w:after="0" w:line="240" w:lineRule="auto"/>
              <w:jc w:val="right"/>
              <w:rPr>
                <w:rFonts w:ascii="Arial" w:eastAsia="Times New Roman" w:hAnsi="Arial" w:cs="Arial"/>
                <w:color w:val="000000"/>
                <w:sz w:val="18"/>
                <w:szCs w:val="18"/>
                <w:lang w:eastAsia="en-GB"/>
              </w:rPr>
            </w:pPr>
            <w:r w:rsidRPr="008204CC">
              <w:rPr>
                <w:rFonts w:ascii="Arial" w:eastAsia="Times New Roman" w:hAnsi="Arial" w:cs="Arial"/>
                <w:color w:val="000000"/>
                <w:sz w:val="18"/>
                <w:szCs w:val="18"/>
                <w:lang w:eastAsia="en-GB"/>
              </w:rPr>
              <w:t>1990</w:t>
            </w:r>
          </w:p>
        </w:tc>
        <w:tc>
          <w:tcPr>
            <w:tcW w:w="1701" w:type="dxa"/>
            <w:tcBorders>
              <w:top w:val="nil"/>
              <w:left w:val="nil"/>
              <w:bottom w:val="single" w:sz="4" w:space="0" w:color="auto"/>
              <w:right w:val="single" w:sz="4" w:space="0" w:color="auto"/>
            </w:tcBorders>
            <w:shd w:val="clear" w:color="auto" w:fill="auto"/>
            <w:noWrap/>
            <w:vAlign w:val="bottom"/>
            <w:hideMark/>
          </w:tcPr>
          <w:p w14:paraId="0212ACBA" w14:textId="77777777" w:rsidR="00620422" w:rsidRPr="008204CC" w:rsidRDefault="00620422" w:rsidP="0066301C">
            <w:pPr>
              <w:spacing w:after="0" w:line="240" w:lineRule="auto"/>
              <w:jc w:val="right"/>
              <w:rPr>
                <w:rFonts w:ascii="Arial" w:eastAsia="Times New Roman" w:hAnsi="Arial" w:cs="Arial"/>
                <w:color w:val="000000"/>
                <w:sz w:val="18"/>
                <w:szCs w:val="18"/>
                <w:lang w:eastAsia="en-GB"/>
              </w:rPr>
            </w:pPr>
            <w:r w:rsidRPr="008204CC">
              <w:rPr>
                <w:rFonts w:ascii="Arial" w:eastAsia="Times New Roman" w:hAnsi="Arial" w:cs="Arial"/>
                <w:color w:val="000000"/>
                <w:sz w:val="18"/>
                <w:szCs w:val="18"/>
                <w:lang w:eastAsia="en-GB"/>
              </w:rPr>
              <w:t>156.2406092</w:t>
            </w:r>
          </w:p>
        </w:tc>
        <w:tc>
          <w:tcPr>
            <w:tcW w:w="1701" w:type="dxa"/>
            <w:tcBorders>
              <w:top w:val="nil"/>
              <w:left w:val="nil"/>
              <w:bottom w:val="single" w:sz="4" w:space="0" w:color="auto"/>
              <w:right w:val="single" w:sz="4" w:space="0" w:color="auto"/>
            </w:tcBorders>
            <w:shd w:val="clear" w:color="auto" w:fill="auto"/>
            <w:noWrap/>
            <w:vAlign w:val="bottom"/>
            <w:hideMark/>
          </w:tcPr>
          <w:p w14:paraId="217911F8" w14:textId="77777777" w:rsidR="00620422" w:rsidRPr="008204CC" w:rsidRDefault="00620422" w:rsidP="0066301C">
            <w:pPr>
              <w:spacing w:after="0" w:line="240" w:lineRule="auto"/>
              <w:jc w:val="right"/>
              <w:rPr>
                <w:rFonts w:ascii="Arial" w:eastAsia="Times New Roman" w:hAnsi="Arial" w:cs="Arial"/>
                <w:color w:val="000000"/>
                <w:sz w:val="18"/>
                <w:szCs w:val="18"/>
                <w:lang w:eastAsia="en-GB"/>
              </w:rPr>
            </w:pPr>
            <w:r w:rsidRPr="008204CC">
              <w:rPr>
                <w:rFonts w:ascii="Arial" w:eastAsia="Times New Roman" w:hAnsi="Arial" w:cs="Arial"/>
                <w:color w:val="000000"/>
                <w:sz w:val="18"/>
                <w:szCs w:val="18"/>
                <w:lang w:eastAsia="en-GB"/>
              </w:rPr>
              <w:t>142.6447774</w:t>
            </w:r>
          </w:p>
        </w:tc>
        <w:tc>
          <w:tcPr>
            <w:tcW w:w="1984" w:type="dxa"/>
            <w:tcBorders>
              <w:top w:val="nil"/>
              <w:left w:val="nil"/>
              <w:bottom w:val="single" w:sz="4" w:space="0" w:color="auto"/>
              <w:right w:val="single" w:sz="4" w:space="0" w:color="auto"/>
            </w:tcBorders>
            <w:shd w:val="clear" w:color="auto" w:fill="auto"/>
            <w:noWrap/>
            <w:vAlign w:val="bottom"/>
            <w:hideMark/>
          </w:tcPr>
          <w:p w14:paraId="3CB32BFE" w14:textId="77777777" w:rsidR="00620422" w:rsidRPr="008204CC" w:rsidRDefault="00620422" w:rsidP="0066301C">
            <w:pPr>
              <w:spacing w:after="0" w:line="240" w:lineRule="auto"/>
              <w:jc w:val="right"/>
              <w:rPr>
                <w:rFonts w:ascii="Arial" w:eastAsia="Times New Roman" w:hAnsi="Arial" w:cs="Arial"/>
                <w:sz w:val="18"/>
                <w:szCs w:val="18"/>
                <w:lang w:eastAsia="en-GB"/>
              </w:rPr>
            </w:pPr>
            <w:r w:rsidRPr="008204CC">
              <w:rPr>
                <w:rFonts w:ascii="Arial" w:eastAsia="Times New Roman" w:hAnsi="Arial" w:cs="Arial"/>
                <w:sz w:val="18"/>
                <w:szCs w:val="18"/>
                <w:lang w:eastAsia="en-GB"/>
              </w:rPr>
              <w:t>13.59583</w:t>
            </w:r>
          </w:p>
        </w:tc>
        <w:tc>
          <w:tcPr>
            <w:tcW w:w="709" w:type="dxa"/>
            <w:vMerge/>
            <w:tcBorders>
              <w:left w:val="nil"/>
              <w:right w:val="single" w:sz="4" w:space="0" w:color="auto"/>
            </w:tcBorders>
          </w:tcPr>
          <w:p w14:paraId="40AB7209" w14:textId="77777777" w:rsidR="00620422" w:rsidRPr="008204CC" w:rsidRDefault="00620422" w:rsidP="0066301C">
            <w:pPr>
              <w:spacing w:after="0" w:line="240" w:lineRule="auto"/>
              <w:jc w:val="right"/>
              <w:rPr>
                <w:rFonts w:ascii="Arial" w:eastAsia="Times New Roman" w:hAnsi="Arial" w:cs="Arial"/>
                <w:sz w:val="18"/>
                <w:szCs w:val="18"/>
                <w:lang w:eastAsia="en-GB"/>
              </w:rPr>
            </w:pPr>
          </w:p>
        </w:tc>
        <w:tc>
          <w:tcPr>
            <w:tcW w:w="999" w:type="dxa"/>
            <w:gridSpan w:val="2"/>
            <w:tcBorders>
              <w:top w:val="nil"/>
              <w:left w:val="single" w:sz="4" w:space="0" w:color="auto"/>
              <w:bottom w:val="single" w:sz="4" w:space="0" w:color="auto"/>
              <w:right w:val="single" w:sz="4" w:space="0" w:color="auto"/>
            </w:tcBorders>
            <w:shd w:val="clear" w:color="auto" w:fill="auto"/>
            <w:vAlign w:val="bottom"/>
          </w:tcPr>
          <w:p w14:paraId="0C42970B" w14:textId="77777777" w:rsidR="00620422" w:rsidRPr="008204CC" w:rsidRDefault="00620422" w:rsidP="0066301C">
            <w:pPr>
              <w:spacing w:after="0" w:line="240" w:lineRule="auto"/>
              <w:jc w:val="right"/>
              <w:rPr>
                <w:rFonts w:ascii="Arial" w:eastAsia="Times New Roman" w:hAnsi="Arial" w:cs="Arial"/>
                <w:color w:val="000000"/>
                <w:sz w:val="18"/>
                <w:szCs w:val="18"/>
                <w:lang w:eastAsia="en-GB"/>
              </w:rPr>
            </w:pPr>
            <w:r w:rsidRPr="008204CC">
              <w:rPr>
                <w:rFonts w:ascii="Arial" w:eastAsia="Times New Roman" w:hAnsi="Arial" w:cs="Arial"/>
                <w:color w:val="000000"/>
                <w:sz w:val="18"/>
                <w:szCs w:val="18"/>
                <w:lang w:eastAsia="en-GB"/>
              </w:rPr>
              <w:t>1990</w:t>
            </w:r>
          </w:p>
        </w:tc>
        <w:tc>
          <w:tcPr>
            <w:tcW w:w="1415" w:type="dxa"/>
            <w:gridSpan w:val="2"/>
            <w:tcBorders>
              <w:top w:val="nil"/>
              <w:left w:val="nil"/>
              <w:bottom w:val="single" w:sz="4" w:space="0" w:color="auto"/>
              <w:right w:val="single" w:sz="4" w:space="0" w:color="auto"/>
            </w:tcBorders>
            <w:shd w:val="clear" w:color="auto" w:fill="auto"/>
            <w:vAlign w:val="bottom"/>
          </w:tcPr>
          <w:p w14:paraId="71A93751" w14:textId="77777777" w:rsidR="00620422" w:rsidRPr="008204CC" w:rsidRDefault="00620422" w:rsidP="0066301C">
            <w:pPr>
              <w:spacing w:after="0" w:line="240" w:lineRule="auto"/>
              <w:jc w:val="right"/>
              <w:rPr>
                <w:rFonts w:ascii="Arial" w:eastAsia="Times New Roman" w:hAnsi="Arial" w:cs="Arial"/>
                <w:color w:val="000000"/>
                <w:sz w:val="18"/>
                <w:szCs w:val="18"/>
                <w:lang w:eastAsia="en-GB"/>
              </w:rPr>
            </w:pPr>
            <w:r w:rsidRPr="008204CC">
              <w:rPr>
                <w:rFonts w:ascii="Arial" w:eastAsia="Times New Roman" w:hAnsi="Arial" w:cs="Arial"/>
                <w:color w:val="000000"/>
                <w:sz w:val="18"/>
                <w:szCs w:val="18"/>
                <w:lang w:eastAsia="en-GB"/>
              </w:rPr>
              <w:t>155.1533</w:t>
            </w:r>
          </w:p>
        </w:tc>
        <w:tc>
          <w:tcPr>
            <w:tcW w:w="1559" w:type="dxa"/>
            <w:gridSpan w:val="2"/>
            <w:tcBorders>
              <w:top w:val="nil"/>
              <w:left w:val="nil"/>
              <w:bottom w:val="single" w:sz="4" w:space="0" w:color="auto"/>
              <w:right w:val="single" w:sz="4" w:space="0" w:color="auto"/>
            </w:tcBorders>
            <w:shd w:val="clear" w:color="auto" w:fill="auto"/>
            <w:vAlign w:val="bottom"/>
          </w:tcPr>
          <w:p w14:paraId="03BC12B8" w14:textId="77777777" w:rsidR="00620422" w:rsidRPr="008204CC" w:rsidRDefault="00620422" w:rsidP="0066301C">
            <w:pPr>
              <w:spacing w:after="0" w:line="240" w:lineRule="auto"/>
              <w:jc w:val="right"/>
              <w:rPr>
                <w:rFonts w:ascii="Arial" w:eastAsia="Times New Roman" w:hAnsi="Arial" w:cs="Arial"/>
                <w:color w:val="000000"/>
                <w:sz w:val="18"/>
                <w:szCs w:val="18"/>
                <w:lang w:eastAsia="en-GB"/>
              </w:rPr>
            </w:pPr>
            <w:r w:rsidRPr="008204CC">
              <w:rPr>
                <w:rFonts w:ascii="Arial" w:eastAsia="Times New Roman" w:hAnsi="Arial" w:cs="Arial"/>
                <w:color w:val="000000"/>
                <w:sz w:val="18"/>
                <w:szCs w:val="18"/>
                <w:lang w:eastAsia="en-GB"/>
              </w:rPr>
              <w:t>145.2774</w:t>
            </w:r>
          </w:p>
        </w:tc>
        <w:tc>
          <w:tcPr>
            <w:tcW w:w="2122" w:type="dxa"/>
            <w:gridSpan w:val="2"/>
            <w:tcBorders>
              <w:top w:val="nil"/>
              <w:left w:val="nil"/>
              <w:bottom w:val="single" w:sz="4" w:space="0" w:color="auto"/>
              <w:right w:val="single" w:sz="4" w:space="0" w:color="auto"/>
            </w:tcBorders>
            <w:shd w:val="clear" w:color="auto" w:fill="auto"/>
            <w:vAlign w:val="bottom"/>
          </w:tcPr>
          <w:p w14:paraId="6126CCB9" w14:textId="77777777" w:rsidR="00620422" w:rsidRPr="008204CC" w:rsidRDefault="00620422" w:rsidP="0066301C">
            <w:pPr>
              <w:spacing w:after="0" w:line="240" w:lineRule="auto"/>
              <w:jc w:val="right"/>
              <w:rPr>
                <w:rFonts w:ascii="Arial" w:eastAsia="Times New Roman" w:hAnsi="Arial" w:cs="Arial"/>
                <w:color w:val="000000"/>
                <w:sz w:val="18"/>
                <w:szCs w:val="18"/>
                <w:lang w:eastAsia="en-GB"/>
              </w:rPr>
            </w:pPr>
            <w:r w:rsidRPr="008204CC">
              <w:rPr>
                <w:rFonts w:ascii="Arial" w:eastAsia="Times New Roman" w:hAnsi="Arial" w:cs="Arial"/>
                <w:color w:val="000000"/>
                <w:sz w:val="18"/>
                <w:szCs w:val="18"/>
                <w:lang w:eastAsia="en-GB"/>
              </w:rPr>
              <w:t>9.875892</w:t>
            </w:r>
          </w:p>
        </w:tc>
      </w:tr>
      <w:tr w:rsidR="008A6AC3" w:rsidRPr="008204CC" w14:paraId="15156621" w14:textId="77777777" w:rsidTr="00D46B41">
        <w:trPr>
          <w:trHeight w:val="270"/>
        </w:trPr>
        <w:tc>
          <w:tcPr>
            <w:tcW w:w="1135" w:type="dxa"/>
            <w:tcBorders>
              <w:top w:val="nil"/>
              <w:left w:val="single" w:sz="4" w:space="0" w:color="auto"/>
              <w:bottom w:val="single" w:sz="4" w:space="0" w:color="auto"/>
              <w:right w:val="single" w:sz="4" w:space="0" w:color="auto"/>
            </w:tcBorders>
            <w:shd w:val="clear" w:color="auto" w:fill="auto"/>
            <w:noWrap/>
            <w:vAlign w:val="bottom"/>
            <w:hideMark/>
          </w:tcPr>
          <w:p w14:paraId="1F14CC82" w14:textId="77777777" w:rsidR="00620422" w:rsidRPr="008204CC" w:rsidRDefault="00620422" w:rsidP="0066301C">
            <w:pPr>
              <w:spacing w:after="0" w:line="240" w:lineRule="auto"/>
              <w:jc w:val="right"/>
              <w:rPr>
                <w:rFonts w:ascii="Arial" w:eastAsia="Times New Roman" w:hAnsi="Arial" w:cs="Arial"/>
                <w:color w:val="000000"/>
                <w:sz w:val="18"/>
                <w:szCs w:val="18"/>
                <w:lang w:eastAsia="en-GB"/>
              </w:rPr>
            </w:pPr>
            <w:r w:rsidRPr="008204CC">
              <w:rPr>
                <w:rFonts w:ascii="Arial" w:eastAsia="Times New Roman" w:hAnsi="Arial" w:cs="Arial"/>
                <w:color w:val="000000"/>
                <w:sz w:val="18"/>
                <w:szCs w:val="18"/>
                <w:lang w:eastAsia="en-GB"/>
              </w:rPr>
              <w:t>1991</w:t>
            </w:r>
          </w:p>
        </w:tc>
        <w:tc>
          <w:tcPr>
            <w:tcW w:w="1701" w:type="dxa"/>
            <w:tcBorders>
              <w:top w:val="nil"/>
              <w:left w:val="nil"/>
              <w:bottom w:val="single" w:sz="4" w:space="0" w:color="auto"/>
              <w:right w:val="single" w:sz="4" w:space="0" w:color="auto"/>
            </w:tcBorders>
            <w:shd w:val="clear" w:color="auto" w:fill="auto"/>
            <w:noWrap/>
            <w:vAlign w:val="bottom"/>
            <w:hideMark/>
          </w:tcPr>
          <w:p w14:paraId="7BF65377" w14:textId="77777777" w:rsidR="00620422" w:rsidRPr="008204CC" w:rsidRDefault="00620422" w:rsidP="0066301C">
            <w:pPr>
              <w:spacing w:after="0" w:line="240" w:lineRule="auto"/>
              <w:jc w:val="right"/>
              <w:rPr>
                <w:rFonts w:ascii="Arial" w:eastAsia="Times New Roman" w:hAnsi="Arial" w:cs="Arial"/>
                <w:color w:val="000000"/>
                <w:sz w:val="18"/>
                <w:szCs w:val="18"/>
                <w:lang w:eastAsia="en-GB"/>
              </w:rPr>
            </w:pPr>
            <w:r w:rsidRPr="008204CC">
              <w:rPr>
                <w:rFonts w:ascii="Arial" w:eastAsia="Times New Roman" w:hAnsi="Arial" w:cs="Arial"/>
                <w:color w:val="000000"/>
                <w:sz w:val="18"/>
                <w:szCs w:val="18"/>
                <w:lang w:eastAsia="en-GB"/>
              </w:rPr>
              <w:t>149.0396407</w:t>
            </w:r>
          </w:p>
        </w:tc>
        <w:tc>
          <w:tcPr>
            <w:tcW w:w="1701" w:type="dxa"/>
            <w:tcBorders>
              <w:top w:val="nil"/>
              <w:left w:val="nil"/>
              <w:bottom w:val="single" w:sz="4" w:space="0" w:color="auto"/>
              <w:right w:val="single" w:sz="4" w:space="0" w:color="auto"/>
            </w:tcBorders>
            <w:shd w:val="clear" w:color="auto" w:fill="auto"/>
            <w:noWrap/>
            <w:vAlign w:val="bottom"/>
            <w:hideMark/>
          </w:tcPr>
          <w:p w14:paraId="33ECFDEF" w14:textId="77777777" w:rsidR="00620422" w:rsidRPr="008204CC" w:rsidRDefault="00620422" w:rsidP="0066301C">
            <w:pPr>
              <w:spacing w:after="0" w:line="240" w:lineRule="auto"/>
              <w:jc w:val="right"/>
              <w:rPr>
                <w:rFonts w:ascii="Arial" w:eastAsia="Times New Roman" w:hAnsi="Arial" w:cs="Arial"/>
                <w:color w:val="000000"/>
                <w:sz w:val="18"/>
                <w:szCs w:val="18"/>
                <w:lang w:eastAsia="en-GB"/>
              </w:rPr>
            </w:pPr>
            <w:r w:rsidRPr="008204CC">
              <w:rPr>
                <w:rFonts w:ascii="Arial" w:eastAsia="Times New Roman" w:hAnsi="Arial" w:cs="Arial"/>
                <w:color w:val="000000"/>
                <w:sz w:val="18"/>
                <w:szCs w:val="18"/>
                <w:lang w:eastAsia="en-GB"/>
              </w:rPr>
              <w:t>138.3906732</w:t>
            </w:r>
          </w:p>
        </w:tc>
        <w:tc>
          <w:tcPr>
            <w:tcW w:w="1984" w:type="dxa"/>
            <w:tcBorders>
              <w:top w:val="nil"/>
              <w:left w:val="nil"/>
              <w:bottom w:val="single" w:sz="4" w:space="0" w:color="auto"/>
              <w:right w:val="single" w:sz="4" w:space="0" w:color="auto"/>
            </w:tcBorders>
            <w:shd w:val="clear" w:color="auto" w:fill="auto"/>
            <w:noWrap/>
            <w:vAlign w:val="bottom"/>
            <w:hideMark/>
          </w:tcPr>
          <w:p w14:paraId="25D67D7D" w14:textId="77777777" w:rsidR="00620422" w:rsidRPr="008204CC" w:rsidRDefault="00620422" w:rsidP="0066301C">
            <w:pPr>
              <w:spacing w:after="0" w:line="240" w:lineRule="auto"/>
              <w:jc w:val="right"/>
              <w:rPr>
                <w:rFonts w:ascii="Arial" w:eastAsia="Times New Roman" w:hAnsi="Arial" w:cs="Arial"/>
                <w:sz w:val="18"/>
                <w:szCs w:val="18"/>
                <w:lang w:eastAsia="en-GB"/>
              </w:rPr>
            </w:pPr>
            <w:r w:rsidRPr="008204CC">
              <w:rPr>
                <w:rFonts w:ascii="Arial" w:eastAsia="Times New Roman" w:hAnsi="Arial" w:cs="Arial"/>
                <w:sz w:val="18"/>
                <w:szCs w:val="18"/>
                <w:lang w:eastAsia="en-GB"/>
              </w:rPr>
              <w:t>10.64897</w:t>
            </w:r>
          </w:p>
        </w:tc>
        <w:tc>
          <w:tcPr>
            <w:tcW w:w="709" w:type="dxa"/>
            <w:vMerge/>
            <w:tcBorders>
              <w:left w:val="nil"/>
              <w:right w:val="single" w:sz="4" w:space="0" w:color="auto"/>
            </w:tcBorders>
          </w:tcPr>
          <w:p w14:paraId="3098D8B6" w14:textId="77777777" w:rsidR="00620422" w:rsidRPr="008204CC" w:rsidRDefault="00620422" w:rsidP="0066301C">
            <w:pPr>
              <w:spacing w:after="0" w:line="240" w:lineRule="auto"/>
              <w:jc w:val="right"/>
              <w:rPr>
                <w:rFonts w:ascii="Arial" w:eastAsia="Times New Roman" w:hAnsi="Arial" w:cs="Arial"/>
                <w:sz w:val="18"/>
                <w:szCs w:val="18"/>
                <w:lang w:eastAsia="en-GB"/>
              </w:rPr>
            </w:pPr>
          </w:p>
        </w:tc>
        <w:tc>
          <w:tcPr>
            <w:tcW w:w="999" w:type="dxa"/>
            <w:gridSpan w:val="2"/>
            <w:tcBorders>
              <w:top w:val="nil"/>
              <w:left w:val="single" w:sz="4" w:space="0" w:color="auto"/>
              <w:bottom w:val="single" w:sz="4" w:space="0" w:color="auto"/>
              <w:right w:val="single" w:sz="4" w:space="0" w:color="auto"/>
            </w:tcBorders>
            <w:shd w:val="clear" w:color="auto" w:fill="auto"/>
            <w:vAlign w:val="bottom"/>
          </w:tcPr>
          <w:p w14:paraId="72BE8FB6" w14:textId="77777777" w:rsidR="00620422" w:rsidRPr="008204CC" w:rsidRDefault="00620422" w:rsidP="0066301C">
            <w:pPr>
              <w:spacing w:after="0" w:line="240" w:lineRule="auto"/>
              <w:jc w:val="right"/>
              <w:rPr>
                <w:rFonts w:ascii="Arial" w:eastAsia="Times New Roman" w:hAnsi="Arial" w:cs="Arial"/>
                <w:color w:val="000000"/>
                <w:sz w:val="18"/>
                <w:szCs w:val="18"/>
                <w:lang w:eastAsia="en-GB"/>
              </w:rPr>
            </w:pPr>
            <w:r w:rsidRPr="008204CC">
              <w:rPr>
                <w:rFonts w:ascii="Arial" w:eastAsia="Times New Roman" w:hAnsi="Arial" w:cs="Arial"/>
                <w:color w:val="000000"/>
                <w:sz w:val="18"/>
                <w:szCs w:val="18"/>
                <w:lang w:eastAsia="en-GB"/>
              </w:rPr>
              <w:t>1991</w:t>
            </w:r>
          </w:p>
        </w:tc>
        <w:tc>
          <w:tcPr>
            <w:tcW w:w="1415" w:type="dxa"/>
            <w:gridSpan w:val="2"/>
            <w:tcBorders>
              <w:top w:val="nil"/>
              <w:left w:val="nil"/>
              <w:bottom w:val="single" w:sz="4" w:space="0" w:color="auto"/>
              <w:right w:val="single" w:sz="4" w:space="0" w:color="auto"/>
            </w:tcBorders>
            <w:shd w:val="clear" w:color="auto" w:fill="auto"/>
            <w:vAlign w:val="bottom"/>
          </w:tcPr>
          <w:p w14:paraId="139C31E8" w14:textId="77777777" w:rsidR="00620422" w:rsidRPr="008204CC" w:rsidRDefault="00620422" w:rsidP="0066301C">
            <w:pPr>
              <w:spacing w:after="0" w:line="240" w:lineRule="auto"/>
              <w:jc w:val="right"/>
              <w:rPr>
                <w:rFonts w:ascii="Arial" w:eastAsia="Times New Roman" w:hAnsi="Arial" w:cs="Arial"/>
                <w:color w:val="000000"/>
                <w:sz w:val="18"/>
                <w:szCs w:val="18"/>
                <w:lang w:eastAsia="en-GB"/>
              </w:rPr>
            </w:pPr>
            <w:r w:rsidRPr="008204CC">
              <w:rPr>
                <w:rFonts w:ascii="Arial" w:eastAsia="Times New Roman" w:hAnsi="Arial" w:cs="Arial"/>
                <w:color w:val="000000"/>
                <w:sz w:val="18"/>
                <w:szCs w:val="18"/>
                <w:lang w:eastAsia="en-GB"/>
              </w:rPr>
              <w:t>143.7035</w:t>
            </w:r>
          </w:p>
        </w:tc>
        <w:tc>
          <w:tcPr>
            <w:tcW w:w="1559" w:type="dxa"/>
            <w:gridSpan w:val="2"/>
            <w:tcBorders>
              <w:top w:val="nil"/>
              <w:left w:val="nil"/>
              <w:bottom w:val="single" w:sz="4" w:space="0" w:color="auto"/>
              <w:right w:val="single" w:sz="4" w:space="0" w:color="auto"/>
            </w:tcBorders>
            <w:shd w:val="clear" w:color="auto" w:fill="auto"/>
            <w:vAlign w:val="bottom"/>
          </w:tcPr>
          <w:p w14:paraId="6A333D43" w14:textId="77777777" w:rsidR="00620422" w:rsidRPr="008204CC" w:rsidRDefault="00620422" w:rsidP="0066301C">
            <w:pPr>
              <w:spacing w:after="0" w:line="240" w:lineRule="auto"/>
              <w:jc w:val="right"/>
              <w:rPr>
                <w:rFonts w:ascii="Arial" w:eastAsia="Times New Roman" w:hAnsi="Arial" w:cs="Arial"/>
                <w:color w:val="000000"/>
                <w:sz w:val="18"/>
                <w:szCs w:val="18"/>
                <w:lang w:eastAsia="en-GB"/>
              </w:rPr>
            </w:pPr>
            <w:r w:rsidRPr="008204CC">
              <w:rPr>
                <w:rFonts w:ascii="Arial" w:eastAsia="Times New Roman" w:hAnsi="Arial" w:cs="Arial"/>
                <w:color w:val="000000"/>
                <w:sz w:val="18"/>
                <w:szCs w:val="18"/>
                <w:lang w:eastAsia="en-GB"/>
              </w:rPr>
              <w:t>137.8678</w:t>
            </w:r>
          </w:p>
        </w:tc>
        <w:tc>
          <w:tcPr>
            <w:tcW w:w="2122" w:type="dxa"/>
            <w:gridSpan w:val="2"/>
            <w:tcBorders>
              <w:top w:val="nil"/>
              <w:left w:val="nil"/>
              <w:bottom w:val="single" w:sz="4" w:space="0" w:color="auto"/>
              <w:right w:val="single" w:sz="4" w:space="0" w:color="auto"/>
            </w:tcBorders>
            <w:shd w:val="clear" w:color="auto" w:fill="auto"/>
            <w:vAlign w:val="bottom"/>
          </w:tcPr>
          <w:p w14:paraId="4AC22515" w14:textId="77777777" w:rsidR="00620422" w:rsidRPr="008204CC" w:rsidRDefault="00620422" w:rsidP="0066301C">
            <w:pPr>
              <w:spacing w:after="0" w:line="240" w:lineRule="auto"/>
              <w:jc w:val="right"/>
              <w:rPr>
                <w:rFonts w:ascii="Arial" w:eastAsia="Times New Roman" w:hAnsi="Arial" w:cs="Arial"/>
                <w:color w:val="000000"/>
                <w:sz w:val="18"/>
                <w:szCs w:val="18"/>
                <w:lang w:eastAsia="en-GB"/>
              </w:rPr>
            </w:pPr>
            <w:r w:rsidRPr="008204CC">
              <w:rPr>
                <w:rFonts w:ascii="Arial" w:eastAsia="Times New Roman" w:hAnsi="Arial" w:cs="Arial"/>
                <w:color w:val="000000"/>
                <w:sz w:val="18"/>
                <w:szCs w:val="18"/>
                <w:lang w:eastAsia="en-GB"/>
              </w:rPr>
              <w:t>5.835725</w:t>
            </w:r>
          </w:p>
        </w:tc>
      </w:tr>
      <w:tr w:rsidR="008A6AC3" w:rsidRPr="008204CC" w14:paraId="1EBF2DC8" w14:textId="77777777" w:rsidTr="00D46B41">
        <w:trPr>
          <w:trHeight w:val="270"/>
        </w:trPr>
        <w:tc>
          <w:tcPr>
            <w:tcW w:w="1135" w:type="dxa"/>
            <w:tcBorders>
              <w:top w:val="nil"/>
              <w:left w:val="single" w:sz="4" w:space="0" w:color="auto"/>
              <w:bottom w:val="single" w:sz="4" w:space="0" w:color="auto"/>
              <w:right w:val="single" w:sz="4" w:space="0" w:color="auto"/>
            </w:tcBorders>
            <w:shd w:val="clear" w:color="auto" w:fill="auto"/>
            <w:noWrap/>
            <w:vAlign w:val="bottom"/>
            <w:hideMark/>
          </w:tcPr>
          <w:p w14:paraId="70FBCF1C" w14:textId="77777777" w:rsidR="00620422" w:rsidRPr="008204CC" w:rsidRDefault="00620422" w:rsidP="0066301C">
            <w:pPr>
              <w:spacing w:after="0" w:line="240" w:lineRule="auto"/>
              <w:jc w:val="right"/>
              <w:rPr>
                <w:rFonts w:ascii="Arial" w:eastAsia="Times New Roman" w:hAnsi="Arial" w:cs="Arial"/>
                <w:color w:val="000000"/>
                <w:sz w:val="18"/>
                <w:szCs w:val="18"/>
                <w:lang w:eastAsia="en-GB"/>
              </w:rPr>
            </w:pPr>
            <w:r w:rsidRPr="008204CC">
              <w:rPr>
                <w:rFonts w:ascii="Arial" w:eastAsia="Times New Roman" w:hAnsi="Arial" w:cs="Arial"/>
                <w:color w:val="000000"/>
                <w:sz w:val="18"/>
                <w:szCs w:val="18"/>
                <w:lang w:eastAsia="en-GB"/>
              </w:rPr>
              <w:t>1992</w:t>
            </w:r>
          </w:p>
        </w:tc>
        <w:tc>
          <w:tcPr>
            <w:tcW w:w="1701" w:type="dxa"/>
            <w:tcBorders>
              <w:top w:val="nil"/>
              <w:left w:val="nil"/>
              <w:bottom w:val="single" w:sz="4" w:space="0" w:color="auto"/>
              <w:right w:val="single" w:sz="4" w:space="0" w:color="auto"/>
            </w:tcBorders>
            <w:shd w:val="clear" w:color="auto" w:fill="auto"/>
            <w:noWrap/>
            <w:vAlign w:val="bottom"/>
            <w:hideMark/>
          </w:tcPr>
          <w:p w14:paraId="07455E2F" w14:textId="77777777" w:rsidR="00620422" w:rsidRPr="008204CC" w:rsidRDefault="00620422" w:rsidP="0066301C">
            <w:pPr>
              <w:spacing w:after="0" w:line="240" w:lineRule="auto"/>
              <w:jc w:val="right"/>
              <w:rPr>
                <w:rFonts w:ascii="Arial" w:eastAsia="Times New Roman" w:hAnsi="Arial" w:cs="Arial"/>
                <w:color w:val="000000"/>
                <w:sz w:val="18"/>
                <w:szCs w:val="18"/>
                <w:lang w:eastAsia="en-GB"/>
              </w:rPr>
            </w:pPr>
            <w:r w:rsidRPr="008204CC">
              <w:rPr>
                <w:rFonts w:ascii="Arial" w:eastAsia="Times New Roman" w:hAnsi="Arial" w:cs="Arial"/>
                <w:color w:val="000000"/>
                <w:sz w:val="18"/>
                <w:szCs w:val="18"/>
                <w:lang w:eastAsia="en-GB"/>
              </w:rPr>
              <w:t>149.9276539</w:t>
            </w:r>
          </w:p>
        </w:tc>
        <w:tc>
          <w:tcPr>
            <w:tcW w:w="1701" w:type="dxa"/>
            <w:tcBorders>
              <w:top w:val="nil"/>
              <w:left w:val="nil"/>
              <w:bottom w:val="single" w:sz="4" w:space="0" w:color="auto"/>
              <w:right w:val="single" w:sz="4" w:space="0" w:color="auto"/>
            </w:tcBorders>
            <w:shd w:val="clear" w:color="auto" w:fill="auto"/>
            <w:noWrap/>
            <w:vAlign w:val="bottom"/>
            <w:hideMark/>
          </w:tcPr>
          <w:p w14:paraId="0B3AF20A" w14:textId="77777777" w:rsidR="00620422" w:rsidRPr="008204CC" w:rsidRDefault="00620422" w:rsidP="0066301C">
            <w:pPr>
              <w:spacing w:after="0" w:line="240" w:lineRule="auto"/>
              <w:jc w:val="right"/>
              <w:rPr>
                <w:rFonts w:ascii="Arial" w:eastAsia="Times New Roman" w:hAnsi="Arial" w:cs="Arial"/>
                <w:color w:val="000000"/>
                <w:sz w:val="18"/>
                <w:szCs w:val="18"/>
                <w:lang w:eastAsia="en-GB"/>
              </w:rPr>
            </w:pPr>
            <w:r w:rsidRPr="008204CC">
              <w:rPr>
                <w:rFonts w:ascii="Arial" w:eastAsia="Times New Roman" w:hAnsi="Arial" w:cs="Arial"/>
                <w:color w:val="000000"/>
                <w:sz w:val="18"/>
                <w:szCs w:val="18"/>
                <w:lang w:eastAsia="en-GB"/>
              </w:rPr>
              <w:t>133.0887098</w:t>
            </w:r>
          </w:p>
        </w:tc>
        <w:tc>
          <w:tcPr>
            <w:tcW w:w="1984" w:type="dxa"/>
            <w:tcBorders>
              <w:top w:val="nil"/>
              <w:left w:val="nil"/>
              <w:bottom w:val="single" w:sz="4" w:space="0" w:color="auto"/>
              <w:right w:val="single" w:sz="4" w:space="0" w:color="auto"/>
            </w:tcBorders>
            <w:shd w:val="clear" w:color="auto" w:fill="auto"/>
            <w:noWrap/>
            <w:vAlign w:val="bottom"/>
            <w:hideMark/>
          </w:tcPr>
          <w:p w14:paraId="6F642F9D" w14:textId="77777777" w:rsidR="00620422" w:rsidRPr="008204CC" w:rsidRDefault="00620422" w:rsidP="0066301C">
            <w:pPr>
              <w:spacing w:after="0" w:line="240" w:lineRule="auto"/>
              <w:jc w:val="right"/>
              <w:rPr>
                <w:rFonts w:ascii="Arial" w:eastAsia="Times New Roman" w:hAnsi="Arial" w:cs="Arial"/>
                <w:sz w:val="18"/>
                <w:szCs w:val="18"/>
                <w:lang w:eastAsia="en-GB"/>
              </w:rPr>
            </w:pPr>
            <w:r w:rsidRPr="008204CC">
              <w:rPr>
                <w:rFonts w:ascii="Arial" w:eastAsia="Times New Roman" w:hAnsi="Arial" w:cs="Arial"/>
                <w:sz w:val="18"/>
                <w:szCs w:val="18"/>
                <w:lang w:eastAsia="en-GB"/>
              </w:rPr>
              <w:t>16.83894</w:t>
            </w:r>
          </w:p>
        </w:tc>
        <w:tc>
          <w:tcPr>
            <w:tcW w:w="709" w:type="dxa"/>
            <w:vMerge/>
            <w:tcBorders>
              <w:left w:val="nil"/>
              <w:right w:val="single" w:sz="4" w:space="0" w:color="auto"/>
            </w:tcBorders>
          </w:tcPr>
          <w:p w14:paraId="71838CE6" w14:textId="77777777" w:rsidR="00620422" w:rsidRPr="008204CC" w:rsidRDefault="00620422" w:rsidP="0066301C">
            <w:pPr>
              <w:spacing w:after="0" w:line="240" w:lineRule="auto"/>
              <w:jc w:val="right"/>
              <w:rPr>
                <w:rFonts w:ascii="Arial" w:eastAsia="Times New Roman" w:hAnsi="Arial" w:cs="Arial"/>
                <w:sz w:val="18"/>
                <w:szCs w:val="18"/>
                <w:lang w:eastAsia="en-GB"/>
              </w:rPr>
            </w:pPr>
          </w:p>
        </w:tc>
        <w:tc>
          <w:tcPr>
            <w:tcW w:w="999" w:type="dxa"/>
            <w:gridSpan w:val="2"/>
            <w:tcBorders>
              <w:top w:val="nil"/>
              <w:left w:val="single" w:sz="4" w:space="0" w:color="auto"/>
              <w:bottom w:val="single" w:sz="4" w:space="0" w:color="auto"/>
              <w:right w:val="single" w:sz="4" w:space="0" w:color="auto"/>
            </w:tcBorders>
            <w:shd w:val="clear" w:color="auto" w:fill="auto"/>
            <w:vAlign w:val="bottom"/>
          </w:tcPr>
          <w:p w14:paraId="5EC13EED" w14:textId="77777777" w:rsidR="00620422" w:rsidRPr="008204CC" w:rsidRDefault="00620422" w:rsidP="0066301C">
            <w:pPr>
              <w:spacing w:after="0" w:line="240" w:lineRule="auto"/>
              <w:jc w:val="right"/>
              <w:rPr>
                <w:rFonts w:ascii="Arial" w:eastAsia="Times New Roman" w:hAnsi="Arial" w:cs="Arial"/>
                <w:color w:val="000000"/>
                <w:sz w:val="18"/>
                <w:szCs w:val="18"/>
                <w:lang w:eastAsia="en-GB"/>
              </w:rPr>
            </w:pPr>
            <w:r w:rsidRPr="008204CC">
              <w:rPr>
                <w:rFonts w:ascii="Arial" w:eastAsia="Times New Roman" w:hAnsi="Arial" w:cs="Arial"/>
                <w:color w:val="000000"/>
                <w:sz w:val="18"/>
                <w:szCs w:val="18"/>
                <w:lang w:eastAsia="en-GB"/>
              </w:rPr>
              <w:t>1992</w:t>
            </w:r>
          </w:p>
        </w:tc>
        <w:tc>
          <w:tcPr>
            <w:tcW w:w="1415" w:type="dxa"/>
            <w:gridSpan w:val="2"/>
            <w:tcBorders>
              <w:top w:val="nil"/>
              <w:left w:val="nil"/>
              <w:bottom w:val="single" w:sz="4" w:space="0" w:color="auto"/>
              <w:right w:val="single" w:sz="4" w:space="0" w:color="auto"/>
            </w:tcBorders>
            <w:shd w:val="clear" w:color="auto" w:fill="auto"/>
            <w:vAlign w:val="bottom"/>
          </w:tcPr>
          <w:p w14:paraId="3697EF2D" w14:textId="77777777" w:rsidR="00620422" w:rsidRPr="008204CC" w:rsidRDefault="00620422" w:rsidP="0066301C">
            <w:pPr>
              <w:spacing w:after="0" w:line="240" w:lineRule="auto"/>
              <w:jc w:val="right"/>
              <w:rPr>
                <w:rFonts w:ascii="Arial" w:eastAsia="Times New Roman" w:hAnsi="Arial" w:cs="Arial"/>
                <w:color w:val="000000"/>
                <w:sz w:val="18"/>
                <w:szCs w:val="18"/>
                <w:lang w:eastAsia="en-GB"/>
              </w:rPr>
            </w:pPr>
            <w:r w:rsidRPr="008204CC">
              <w:rPr>
                <w:rFonts w:ascii="Arial" w:eastAsia="Times New Roman" w:hAnsi="Arial" w:cs="Arial"/>
                <w:color w:val="000000"/>
                <w:sz w:val="18"/>
                <w:szCs w:val="18"/>
                <w:lang w:eastAsia="en-GB"/>
              </w:rPr>
              <w:t>140.8976</w:t>
            </w:r>
          </w:p>
        </w:tc>
        <w:tc>
          <w:tcPr>
            <w:tcW w:w="1559" w:type="dxa"/>
            <w:gridSpan w:val="2"/>
            <w:tcBorders>
              <w:top w:val="nil"/>
              <w:left w:val="nil"/>
              <w:bottom w:val="single" w:sz="4" w:space="0" w:color="auto"/>
              <w:right w:val="single" w:sz="4" w:space="0" w:color="auto"/>
            </w:tcBorders>
            <w:shd w:val="clear" w:color="auto" w:fill="auto"/>
            <w:vAlign w:val="bottom"/>
          </w:tcPr>
          <w:p w14:paraId="7DBF6C75" w14:textId="77777777" w:rsidR="00620422" w:rsidRPr="008204CC" w:rsidRDefault="00620422" w:rsidP="0066301C">
            <w:pPr>
              <w:spacing w:after="0" w:line="240" w:lineRule="auto"/>
              <w:jc w:val="right"/>
              <w:rPr>
                <w:rFonts w:ascii="Arial" w:eastAsia="Times New Roman" w:hAnsi="Arial" w:cs="Arial"/>
                <w:color w:val="000000"/>
                <w:sz w:val="18"/>
                <w:szCs w:val="18"/>
                <w:lang w:eastAsia="en-GB"/>
              </w:rPr>
            </w:pPr>
            <w:r w:rsidRPr="008204CC">
              <w:rPr>
                <w:rFonts w:ascii="Arial" w:eastAsia="Times New Roman" w:hAnsi="Arial" w:cs="Arial"/>
                <w:color w:val="000000"/>
                <w:sz w:val="18"/>
                <w:szCs w:val="18"/>
                <w:lang w:eastAsia="en-GB"/>
              </w:rPr>
              <w:t>130.2113</w:t>
            </w:r>
          </w:p>
        </w:tc>
        <w:tc>
          <w:tcPr>
            <w:tcW w:w="2122" w:type="dxa"/>
            <w:gridSpan w:val="2"/>
            <w:tcBorders>
              <w:top w:val="nil"/>
              <w:left w:val="nil"/>
              <w:bottom w:val="single" w:sz="4" w:space="0" w:color="auto"/>
              <w:right w:val="single" w:sz="4" w:space="0" w:color="auto"/>
            </w:tcBorders>
            <w:shd w:val="clear" w:color="auto" w:fill="auto"/>
            <w:vAlign w:val="bottom"/>
          </w:tcPr>
          <w:p w14:paraId="33B0BFE9" w14:textId="77777777" w:rsidR="00620422" w:rsidRPr="008204CC" w:rsidRDefault="00620422" w:rsidP="0066301C">
            <w:pPr>
              <w:spacing w:after="0" w:line="240" w:lineRule="auto"/>
              <w:jc w:val="right"/>
              <w:rPr>
                <w:rFonts w:ascii="Arial" w:eastAsia="Times New Roman" w:hAnsi="Arial" w:cs="Arial"/>
                <w:color w:val="000000"/>
                <w:sz w:val="18"/>
                <w:szCs w:val="18"/>
                <w:lang w:eastAsia="en-GB"/>
              </w:rPr>
            </w:pPr>
            <w:r w:rsidRPr="008204CC">
              <w:rPr>
                <w:rFonts w:ascii="Arial" w:eastAsia="Times New Roman" w:hAnsi="Arial" w:cs="Arial"/>
                <w:color w:val="000000"/>
                <w:sz w:val="18"/>
                <w:szCs w:val="18"/>
                <w:lang w:eastAsia="en-GB"/>
              </w:rPr>
              <w:t>10.68635</w:t>
            </w:r>
          </w:p>
        </w:tc>
      </w:tr>
      <w:tr w:rsidR="008A6AC3" w:rsidRPr="008204CC" w14:paraId="5DFE6536" w14:textId="77777777" w:rsidTr="00D46B41">
        <w:trPr>
          <w:trHeight w:val="270"/>
        </w:trPr>
        <w:tc>
          <w:tcPr>
            <w:tcW w:w="1135" w:type="dxa"/>
            <w:tcBorders>
              <w:top w:val="nil"/>
              <w:left w:val="single" w:sz="4" w:space="0" w:color="auto"/>
              <w:bottom w:val="single" w:sz="4" w:space="0" w:color="auto"/>
              <w:right w:val="single" w:sz="4" w:space="0" w:color="auto"/>
            </w:tcBorders>
            <w:shd w:val="clear" w:color="auto" w:fill="auto"/>
            <w:noWrap/>
            <w:vAlign w:val="bottom"/>
            <w:hideMark/>
          </w:tcPr>
          <w:p w14:paraId="274C06DB" w14:textId="77777777" w:rsidR="00620422" w:rsidRPr="008204CC" w:rsidRDefault="00620422" w:rsidP="0066301C">
            <w:pPr>
              <w:spacing w:after="0" w:line="240" w:lineRule="auto"/>
              <w:jc w:val="right"/>
              <w:rPr>
                <w:rFonts w:ascii="Arial" w:eastAsia="Times New Roman" w:hAnsi="Arial" w:cs="Arial"/>
                <w:color w:val="000000"/>
                <w:sz w:val="18"/>
                <w:szCs w:val="18"/>
                <w:lang w:eastAsia="en-GB"/>
              </w:rPr>
            </w:pPr>
            <w:r w:rsidRPr="008204CC">
              <w:rPr>
                <w:rFonts w:ascii="Arial" w:eastAsia="Times New Roman" w:hAnsi="Arial" w:cs="Arial"/>
                <w:color w:val="000000"/>
                <w:sz w:val="18"/>
                <w:szCs w:val="18"/>
                <w:lang w:eastAsia="en-GB"/>
              </w:rPr>
              <w:t>1993</w:t>
            </w:r>
          </w:p>
        </w:tc>
        <w:tc>
          <w:tcPr>
            <w:tcW w:w="1701" w:type="dxa"/>
            <w:tcBorders>
              <w:top w:val="nil"/>
              <w:left w:val="nil"/>
              <w:bottom w:val="single" w:sz="4" w:space="0" w:color="auto"/>
              <w:right w:val="single" w:sz="4" w:space="0" w:color="auto"/>
            </w:tcBorders>
            <w:shd w:val="clear" w:color="auto" w:fill="auto"/>
            <w:noWrap/>
            <w:vAlign w:val="bottom"/>
            <w:hideMark/>
          </w:tcPr>
          <w:p w14:paraId="2AAFD80D" w14:textId="77777777" w:rsidR="00620422" w:rsidRPr="008204CC" w:rsidRDefault="00620422" w:rsidP="0066301C">
            <w:pPr>
              <w:spacing w:after="0" w:line="240" w:lineRule="auto"/>
              <w:jc w:val="right"/>
              <w:rPr>
                <w:rFonts w:ascii="Arial" w:eastAsia="Times New Roman" w:hAnsi="Arial" w:cs="Arial"/>
                <w:color w:val="000000"/>
                <w:sz w:val="18"/>
                <w:szCs w:val="18"/>
                <w:lang w:eastAsia="en-GB"/>
              </w:rPr>
            </w:pPr>
            <w:r w:rsidRPr="008204CC">
              <w:rPr>
                <w:rFonts w:ascii="Arial" w:eastAsia="Times New Roman" w:hAnsi="Arial" w:cs="Arial"/>
                <w:color w:val="000000"/>
                <w:sz w:val="18"/>
                <w:szCs w:val="18"/>
                <w:lang w:eastAsia="en-GB"/>
              </w:rPr>
              <w:t>139.4509411</w:t>
            </w:r>
          </w:p>
        </w:tc>
        <w:tc>
          <w:tcPr>
            <w:tcW w:w="1701" w:type="dxa"/>
            <w:tcBorders>
              <w:top w:val="nil"/>
              <w:left w:val="nil"/>
              <w:bottom w:val="single" w:sz="4" w:space="0" w:color="auto"/>
              <w:right w:val="single" w:sz="4" w:space="0" w:color="auto"/>
            </w:tcBorders>
            <w:shd w:val="clear" w:color="auto" w:fill="auto"/>
            <w:noWrap/>
            <w:vAlign w:val="bottom"/>
            <w:hideMark/>
          </w:tcPr>
          <w:p w14:paraId="3700320E" w14:textId="77777777" w:rsidR="00620422" w:rsidRPr="008204CC" w:rsidRDefault="00620422" w:rsidP="0066301C">
            <w:pPr>
              <w:spacing w:after="0" w:line="240" w:lineRule="auto"/>
              <w:jc w:val="right"/>
              <w:rPr>
                <w:rFonts w:ascii="Arial" w:eastAsia="Times New Roman" w:hAnsi="Arial" w:cs="Arial"/>
                <w:color w:val="000000"/>
                <w:sz w:val="18"/>
                <w:szCs w:val="18"/>
                <w:lang w:eastAsia="en-GB"/>
              </w:rPr>
            </w:pPr>
            <w:r w:rsidRPr="008204CC">
              <w:rPr>
                <w:rFonts w:ascii="Arial" w:eastAsia="Times New Roman" w:hAnsi="Arial" w:cs="Arial"/>
                <w:color w:val="000000"/>
                <w:sz w:val="18"/>
                <w:szCs w:val="18"/>
                <w:lang w:eastAsia="en-GB"/>
              </w:rPr>
              <w:t>127.0843202</w:t>
            </w:r>
          </w:p>
        </w:tc>
        <w:tc>
          <w:tcPr>
            <w:tcW w:w="1984" w:type="dxa"/>
            <w:tcBorders>
              <w:top w:val="nil"/>
              <w:left w:val="nil"/>
              <w:bottom w:val="single" w:sz="4" w:space="0" w:color="auto"/>
              <w:right w:val="single" w:sz="4" w:space="0" w:color="auto"/>
            </w:tcBorders>
            <w:shd w:val="clear" w:color="auto" w:fill="auto"/>
            <w:noWrap/>
            <w:vAlign w:val="bottom"/>
            <w:hideMark/>
          </w:tcPr>
          <w:p w14:paraId="1D8D19EE" w14:textId="77777777" w:rsidR="00620422" w:rsidRPr="008204CC" w:rsidRDefault="00620422" w:rsidP="0066301C">
            <w:pPr>
              <w:spacing w:after="0" w:line="240" w:lineRule="auto"/>
              <w:jc w:val="right"/>
              <w:rPr>
                <w:rFonts w:ascii="Arial" w:eastAsia="Times New Roman" w:hAnsi="Arial" w:cs="Arial"/>
                <w:sz w:val="18"/>
                <w:szCs w:val="18"/>
                <w:lang w:eastAsia="en-GB"/>
              </w:rPr>
            </w:pPr>
            <w:r w:rsidRPr="008204CC">
              <w:rPr>
                <w:rFonts w:ascii="Arial" w:eastAsia="Times New Roman" w:hAnsi="Arial" w:cs="Arial"/>
                <w:sz w:val="18"/>
                <w:szCs w:val="18"/>
                <w:lang w:eastAsia="en-GB"/>
              </w:rPr>
              <w:t>12.36662</w:t>
            </w:r>
          </w:p>
        </w:tc>
        <w:tc>
          <w:tcPr>
            <w:tcW w:w="709" w:type="dxa"/>
            <w:vMerge/>
            <w:tcBorders>
              <w:left w:val="nil"/>
              <w:right w:val="single" w:sz="4" w:space="0" w:color="auto"/>
            </w:tcBorders>
          </w:tcPr>
          <w:p w14:paraId="492886F1" w14:textId="77777777" w:rsidR="00620422" w:rsidRPr="008204CC" w:rsidRDefault="00620422" w:rsidP="0066301C">
            <w:pPr>
              <w:spacing w:after="0" w:line="240" w:lineRule="auto"/>
              <w:jc w:val="right"/>
              <w:rPr>
                <w:rFonts w:ascii="Arial" w:eastAsia="Times New Roman" w:hAnsi="Arial" w:cs="Arial"/>
                <w:sz w:val="18"/>
                <w:szCs w:val="18"/>
                <w:lang w:eastAsia="en-GB"/>
              </w:rPr>
            </w:pPr>
          </w:p>
        </w:tc>
        <w:tc>
          <w:tcPr>
            <w:tcW w:w="999" w:type="dxa"/>
            <w:gridSpan w:val="2"/>
            <w:tcBorders>
              <w:top w:val="nil"/>
              <w:left w:val="single" w:sz="4" w:space="0" w:color="auto"/>
              <w:bottom w:val="single" w:sz="4" w:space="0" w:color="auto"/>
              <w:right w:val="single" w:sz="4" w:space="0" w:color="auto"/>
            </w:tcBorders>
            <w:shd w:val="clear" w:color="auto" w:fill="auto"/>
            <w:vAlign w:val="bottom"/>
          </w:tcPr>
          <w:p w14:paraId="32CDB055" w14:textId="77777777" w:rsidR="00620422" w:rsidRPr="008204CC" w:rsidRDefault="00620422" w:rsidP="0066301C">
            <w:pPr>
              <w:spacing w:after="0" w:line="240" w:lineRule="auto"/>
              <w:jc w:val="right"/>
              <w:rPr>
                <w:rFonts w:ascii="Arial" w:eastAsia="Times New Roman" w:hAnsi="Arial" w:cs="Arial"/>
                <w:color w:val="000000"/>
                <w:sz w:val="18"/>
                <w:szCs w:val="18"/>
                <w:lang w:eastAsia="en-GB"/>
              </w:rPr>
            </w:pPr>
            <w:r w:rsidRPr="008204CC">
              <w:rPr>
                <w:rFonts w:ascii="Arial" w:eastAsia="Times New Roman" w:hAnsi="Arial" w:cs="Arial"/>
                <w:color w:val="000000"/>
                <w:sz w:val="18"/>
                <w:szCs w:val="18"/>
                <w:lang w:eastAsia="en-GB"/>
              </w:rPr>
              <w:t>1993</w:t>
            </w:r>
          </w:p>
        </w:tc>
        <w:tc>
          <w:tcPr>
            <w:tcW w:w="1415" w:type="dxa"/>
            <w:gridSpan w:val="2"/>
            <w:tcBorders>
              <w:top w:val="nil"/>
              <w:left w:val="nil"/>
              <w:bottom w:val="single" w:sz="4" w:space="0" w:color="auto"/>
              <w:right w:val="single" w:sz="4" w:space="0" w:color="auto"/>
            </w:tcBorders>
            <w:shd w:val="clear" w:color="auto" w:fill="auto"/>
            <w:vAlign w:val="bottom"/>
          </w:tcPr>
          <w:p w14:paraId="17F26C1F" w14:textId="77777777" w:rsidR="00620422" w:rsidRPr="008204CC" w:rsidRDefault="00620422" w:rsidP="0066301C">
            <w:pPr>
              <w:spacing w:after="0" w:line="240" w:lineRule="auto"/>
              <w:jc w:val="right"/>
              <w:rPr>
                <w:rFonts w:ascii="Arial" w:eastAsia="Times New Roman" w:hAnsi="Arial" w:cs="Arial"/>
                <w:color w:val="000000"/>
                <w:sz w:val="18"/>
                <w:szCs w:val="18"/>
                <w:lang w:eastAsia="en-GB"/>
              </w:rPr>
            </w:pPr>
            <w:r w:rsidRPr="008204CC">
              <w:rPr>
                <w:rFonts w:ascii="Arial" w:eastAsia="Times New Roman" w:hAnsi="Arial" w:cs="Arial"/>
                <w:color w:val="000000"/>
                <w:sz w:val="18"/>
                <w:szCs w:val="18"/>
                <w:lang w:eastAsia="en-GB"/>
              </w:rPr>
              <w:t>132.2499</w:t>
            </w:r>
          </w:p>
        </w:tc>
        <w:tc>
          <w:tcPr>
            <w:tcW w:w="1559" w:type="dxa"/>
            <w:gridSpan w:val="2"/>
            <w:tcBorders>
              <w:top w:val="nil"/>
              <w:left w:val="nil"/>
              <w:bottom w:val="single" w:sz="4" w:space="0" w:color="auto"/>
              <w:right w:val="single" w:sz="4" w:space="0" w:color="auto"/>
            </w:tcBorders>
            <w:shd w:val="clear" w:color="auto" w:fill="auto"/>
            <w:vAlign w:val="bottom"/>
          </w:tcPr>
          <w:p w14:paraId="4A2AA06D" w14:textId="77777777" w:rsidR="00620422" w:rsidRPr="008204CC" w:rsidRDefault="00620422" w:rsidP="0066301C">
            <w:pPr>
              <w:spacing w:after="0" w:line="240" w:lineRule="auto"/>
              <w:jc w:val="right"/>
              <w:rPr>
                <w:rFonts w:ascii="Arial" w:eastAsia="Times New Roman" w:hAnsi="Arial" w:cs="Arial"/>
                <w:color w:val="000000"/>
                <w:sz w:val="18"/>
                <w:szCs w:val="18"/>
                <w:lang w:eastAsia="en-GB"/>
              </w:rPr>
            </w:pPr>
            <w:r w:rsidRPr="008204CC">
              <w:rPr>
                <w:rFonts w:ascii="Arial" w:eastAsia="Times New Roman" w:hAnsi="Arial" w:cs="Arial"/>
                <w:color w:val="000000"/>
                <w:sz w:val="18"/>
                <w:szCs w:val="18"/>
                <w:lang w:eastAsia="en-GB"/>
              </w:rPr>
              <w:t>122.5665</w:t>
            </w:r>
          </w:p>
        </w:tc>
        <w:tc>
          <w:tcPr>
            <w:tcW w:w="2122" w:type="dxa"/>
            <w:gridSpan w:val="2"/>
            <w:tcBorders>
              <w:top w:val="nil"/>
              <w:left w:val="nil"/>
              <w:bottom w:val="single" w:sz="4" w:space="0" w:color="auto"/>
              <w:right w:val="single" w:sz="4" w:space="0" w:color="auto"/>
            </w:tcBorders>
            <w:shd w:val="clear" w:color="auto" w:fill="auto"/>
            <w:vAlign w:val="bottom"/>
          </w:tcPr>
          <w:p w14:paraId="60595428" w14:textId="77777777" w:rsidR="00620422" w:rsidRPr="008204CC" w:rsidRDefault="00620422" w:rsidP="0066301C">
            <w:pPr>
              <w:spacing w:after="0" w:line="240" w:lineRule="auto"/>
              <w:jc w:val="right"/>
              <w:rPr>
                <w:rFonts w:ascii="Arial" w:eastAsia="Times New Roman" w:hAnsi="Arial" w:cs="Arial"/>
                <w:color w:val="000000"/>
                <w:sz w:val="18"/>
                <w:szCs w:val="18"/>
                <w:lang w:eastAsia="en-GB"/>
              </w:rPr>
            </w:pPr>
            <w:r w:rsidRPr="008204CC">
              <w:rPr>
                <w:rFonts w:ascii="Arial" w:eastAsia="Times New Roman" w:hAnsi="Arial" w:cs="Arial"/>
                <w:color w:val="000000"/>
                <w:sz w:val="18"/>
                <w:szCs w:val="18"/>
                <w:lang w:eastAsia="en-GB"/>
              </w:rPr>
              <w:t>9.683377</w:t>
            </w:r>
          </w:p>
        </w:tc>
      </w:tr>
      <w:tr w:rsidR="008A6AC3" w:rsidRPr="008204CC" w14:paraId="6567EE31" w14:textId="77777777" w:rsidTr="00D46B41">
        <w:trPr>
          <w:trHeight w:val="270"/>
        </w:trPr>
        <w:tc>
          <w:tcPr>
            <w:tcW w:w="1135" w:type="dxa"/>
            <w:tcBorders>
              <w:top w:val="nil"/>
              <w:left w:val="single" w:sz="4" w:space="0" w:color="auto"/>
              <w:bottom w:val="single" w:sz="4" w:space="0" w:color="auto"/>
              <w:right w:val="single" w:sz="4" w:space="0" w:color="auto"/>
            </w:tcBorders>
            <w:shd w:val="clear" w:color="auto" w:fill="auto"/>
            <w:noWrap/>
            <w:vAlign w:val="bottom"/>
            <w:hideMark/>
          </w:tcPr>
          <w:p w14:paraId="037DAAED" w14:textId="77777777" w:rsidR="00620422" w:rsidRPr="008204CC" w:rsidRDefault="00620422" w:rsidP="0066301C">
            <w:pPr>
              <w:spacing w:after="0" w:line="240" w:lineRule="auto"/>
              <w:jc w:val="right"/>
              <w:rPr>
                <w:rFonts w:ascii="Arial" w:eastAsia="Times New Roman" w:hAnsi="Arial" w:cs="Arial"/>
                <w:color w:val="000000"/>
                <w:sz w:val="18"/>
                <w:szCs w:val="18"/>
                <w:lang w:eastAsia="en-GB"/>
              </w:rPr>
            </w:pPr>
            <w:r w:rsidRPr="008204CC">
              <w:rPr>
                <w:rFonts w:ascii="Arial" w:eastAsia="Times New Roman" w:hAnsi="Arial" w:cs="Arial"/>
                <w:color w:val="000000"/>
                <w:sz w:val="18"/>
                <w:szCs w:val="18"/>
                <w:lang w:eastAsia="en-GB"/>
              </w:rPr>
              <w:t>1994</w:t>
            </w:r>
          </w:p>
        </w:tc>
        <w:tc>
          <w:tcPr>
            <w:tcW w:w="1701" w:type="dxa"/>
            <w:tcBorders>
              <w:top w:val="nil"/>
              <w:left w:val="nil"/>
              <w:bottom w:val="single" w:sz="4" w:space="0" w:color="auto"/>
              <w:right w:val="single" w:sz="4" w:space="0" w:color="auto"/>
            </w:tcBorders>
            <w:shd w:val="clear" w:color="auto" w:fill="auto"/>
            <w:noWrap/>
            <w:vAlign w:val="bottom"/>
            <w:hideMark/>
          </w:tcPr>
          <w:p w14:paraId="07130591" w14:textId="77777777" w:rsidR="00620422" w:rsidRPr="008204CC" w:rsidRDefault="00620422" w:rsidP="0066301C">
            <w:pPr>
              <w:spacing w:after="0" w:line="240" w:lineRule="auto"/>
              <w:jc w:val="right"/>
              <w:rPr>
                <w:rFonts w:ascii="Arial" w:eastAsia="Times New Roman" w:hAnsi="Arial" w:cs="Arial"/>
                <w:color w:val="000000"/>
                <w:sz w:val="18"/>
                <w:szCs w:val="18"/>
                <w:lang w:eastAsia="en-GB"/>
              </w:rPr>
            </w:pPr>
            <w:r w:rsidRPr="008204CC">
              <w:rPr>
                <w:rFonts w:ascii="Arial" w:eastAsia="Times New Roman" w:hAnsi="Arial" w:cs="Arial"/>
                <w:color w:val="000000"/>
                <w:sz w:val="18"/>
                <w:szCs w:val="18"/>
                <w:lang w:eastAsia="en-GB"/>
              </w:rPr>
              <w:t>90.21931053</w:t>
            </w:r>
          </w:p>
        </w:tc>
        <w:tc>
          <w:tcPr>
            <w:tcW w:w="1701" w:type="dxa"/>
            <w:tcBorders>
              <w:top w:val="nil"/>
              <w:left w:val="nil"/>
              <w:bottom w:val="single" w:sz="4" w:space="0" w:color="auto"/>
              <w:right w:val="single" w:sz="4" w:space="0" w:color="auto"/>
            </w:tcBorders>
            <w:shd w:val="clear" w:color="auto" w:fill="auto"/>
            <w:noWrap/>
            <w:vAlign w:val="bottom"/>
            <w:hideMark/>
          </w:tcPr>
          <w:p w14:paraId="7FC93961" w14:textId="77777777" w:rsidR="00620422" w:rsidRPr="008204CC" w:rsidRDefault="00620422" w:rsidP="0066301C">
            <w:pPr>
              <w:spacing w:after="0" w:line="240" w:lineRule="auto"/>
              <w:jc w:val="right"/>
              <w:rPr>
                <w:rFonts w:ascii="Arial" w:eastAsia="Times New Roman" w:hAnsi="Arial" w:cs="Arial"/>
                <w:color w:val="000000"/>
                <w:sz w:val="18"/>
                <w:szCs w:val="18"/>
                <w:lang w:eastAsia="en-GB"/>
              </w:rPr>
            </w:pPr>
            <w:r w:rsidRPr="008204CC">
              <w:rPr>
                <w:rFonts w:ascii="Arial" w:eastAsia="Times New Roman" w:hAnsi="Arial" w:cs="Arial"/>
                <w:color w:val="000000"/>
                <w:sz w:val="18"/>
                <w:szCs w:val="18"/>
                <w:lang w:eastAsia="en-GB"/>
              </w:rPr>
              <w:t>120.8913265</w:t>
            </w:r>
          </w:p>
        </w:tc>
        <w:tc>
          <w:tcPr>
            <w:tcW w:w="1984" w:type="dxa"/>
            <w:tcBorders>
              <w:top w:val="nil"/>
              <w:left w:val="nil"/>
              <w:bottom w:val="single" w:sz="4" w:space="0" w:color="auto"/>
              <w:right w:val="single" w:sz="4" w:space="0" w:color="auto"/>
            </w:tcBorders>
            <w:shd w:val="clear" w:color="auto" w:fill="auto"/>
            <w:noWrap/>
            <w:vAlign w:val="bottom"/>
            <w:hideMark/>
          </w:tcPr>
          <w:p w14:paraId="65AB36CC" w14:textId="77777777" w:rsidR="00620422" w:rsidRPr="008204CC" w:rsidRDefault="00620422" w:rsidP="0066301C">
            <w:pPr>
              <w:spacing w:after="0" w:line="240" w:lineRule="auto"/>
              <w:jc w:val="right"/>
              <w:rPr>
                <w:rFonts w:ascii="Arial" w:eastAsia="Times New Roman" w:hAnsi="Arial" w:cs="Arial"/>
                <w:sz w:val="18"/>
                <w:szCs w:val="18"/>
                <w:lang w:eastAsia="en-GB"/>
              </w:rPr>
            </w:pPr>
            <w:r w:rsidRPr="008204CC">
              <w:rPr>
                <w:rFonts w:ascii="Arial" w:eastAsia="Times New Roman" w:hAnsi="Arial" w:cs="Arial"/>
                <w:sz w:val="18"/>
                <w:szCs w:val="18"/>
                <w:lang w:eastAsia="en-GB"/>
              </w:rPr>
              <w:t>-30.672</w:t>
            </w:r>
          </w:p>
        </w:tc>
        <w:tc>
          <w:tcPr>
            <w:tcW w:w="709" w:type="dxa"/>
            <w:vMerge/>
            <w:tcBorders>
              <w:left w:val="nil"/>
              <w:right w:val="single" w:sz="4" w:space="0" w:color="auto"/>
            </w:tcBorders>
          </w:tcPr>
          <w:p w14:paraId="746213FC" w14:textId="77777777" w:rsidR="00620422" w:rsidRPr="008204CC" w:rsidRDefault="00620422" w:rsidP="0066301C">
            <w:pPr>
              <w:spacing w:after="0" w:line="240" w:lineRule="auto"/>
              <w:jc w:val="right"/>
              <w:rPr>
                <w:rFonts w:ascii="Arial" w:eastAsia="Times New Roman" w:hAnsi="Arial" w:cs="Arial"/>
                <w:sz w:val="18"/>
                <w:szCs w:val="18"/>
                <w:lang w:eastAsia="en-GB"/>
              </w:rPr>
            </w:pPr>
          </w:p>
        </w:tc>
        <w:tc>
          <w:tcPr>
            <w:tcW w:w="999" w:type="dxa"/>
            <w:gridSpan w:val="2"/>
            <w:tcBorders>
              <w:top w:val="nil"/>
              <w:left w:val="single" w:sz="4" w:space="0" w:color="auto"/>
              <w:bottom w:val="single" w:sz="4" w:space="0" w:color="auto"/>
              <w:right w:val="single" w:sz="4" w:space="0" w:color="auto"/>
            </w:tcBorders>
            <w:shd w:val="clear" w:color="auto" w:fill="auto"/>
            <w:vAlign w:val="bottom"/>
          </w:tcPr>
          <w:p w14:paraId="71A5AF9E" w14:textId="77777777" w:rsidR="00620422" w:rsidRPr="008204CC" w:rsidRDefault="00620422" w:rsidP="0066301C">
            <w:pPr>
              <w:spacing w:after="0" w:line="240" w:lineRule="auto"/>
              <w:jc w:val="right"/>
              <w:rPr>
                <w:rFonts w:ascii="Arial" w:eastAsia="Times New Roman" w:hAnsi="Arial" w:cs="Arial"/>
                <w:color w:val="000000"/>
                <w:sz w:val="18"/>
                <w:szCs w:val="18"/>
                <w:lang w:eastAsia="en-GB"/>
              </w:rPr>
            </w:pPr>
            <w:r w:rsidRPr="008204CC">
              <w:rPr>
                <w:rFonts w:ascii="Arial" w:eastAsia="Times New Roman" w:hAnsi="Arial" w:cs="Arial"/>
                <w:color w:val="000000"/>
                <w:sz w:val="18"/>
                <w:szCs w:val="18"/>
                <w:lang w:eastAsia="en-GB"/>
              </w:rPr>
              <w:t>1994</w:t>
            </w:r>
          </w:p>
        </w:tc>
        <w:tc>
          <w:tcPr>
            <w:tcW w:w="1415" w:type="dxa"/>
            <w:gridSpan w:val="2"/>
            <w:tcBorders>
              <w:top w:val="nil"/>
              <w:left w:val="nil"/>
              <w:bottom w:val="single" w:sz="4" w:space="0" w:color="auto"/>
              <w:right w:val="single" w:sz="4" w:space="0" w:color="auto"/>
            </w:tcBorders>
            <w:shd w:val="clear" w:color="auto" w:fill="auto"/>
            <w:vAlign w:val="bottom"/>
          </w:tcPr>
          <w:p w14:paraId="7C4F3103" w14:textId="77777777" w:rsidR="00620422" w:rsidRPr="008204CC" w:rsidRDefault="00620422" w:rsidP="0066301C">
            <w:pPr>
              <w:spacing w:after="0" w:line="240" w:lineRule="auto"/>
              <w:jc w:val="right"/>
              <w:rPr>
                <w:rFonts w:ascii="Arial" w:eastAsia="Times New Roman" w:hAnsi="Arial" w:cs="Arial"/>
                <w:color w:val="000000"/>
                <w:sz w:val="18"/>
                <w:szCs w:val="18"/>
                <w:lang w:eastAsia="en-GB"/>
              </w:rPr>
            </w:pPr>
            <w:r w:rsidRPr="008204CC">
              <w:rPr>
                <w:rFonts w:ascii="Arial" w:eastAsia="Times New Roman" w:hAnsi="Arial" w:cs="Arial"/>
                <w:color w:val="000000"/>
                <w:sz w:val="18"/>
                <w:szCs w:val="18"/>
                <w:lang w:eastAsia="en-GB"/>
              </w:rPr>
              <w:t>82.83549</w:t>
            </w:r>
          </w:p>
        </w:tc>
        <w:tc>
          <w:tcPr>
            <w:tcW w:w="1559" w:type="dxa"/>
            <w:gridSpan w:val="2"/>
            <w:tcBorders>
              <w:top w:val="nil"/>
              <w:left w:val="nil"/>
              <w:bottom w:val="single" w:sz="4" w:space="0" w:color="auto"/>
              <w:right w:val="single" w:sz="4" w:space="0" w:color="auto"/>
            </w:tcBorders>
            <w:shd w:val="clear" w:color="auto" w:fill="auto"/>
            <w:vAlign w:val="bottom"/>
          </w:tcPr>
          <w:p w14:paraId="05184099" w14:textId="77777777" w:rsidR="00620422" w:rsidRPr="008204CC" w:rsidRDefault="00620422" w:rsidP="0066301C">
            <w:pPr>
              <w:spacing w:after="0" w:line="240" w:lineRule="auto"/>
              <w:jc w:val="right"/>
              <w:rPr>
                <w:rFonts w:ascii="Arial" w:eastAsia="Times New Roman" w:hAnsi="Arial" w:cs="Arial"/>
                <w:color w:val="000000"/>
                <w:sz w:val="18"/>
                <w:szCs w:val="18"/>
                <w:lang w:eastAsia="en-GB"/>
              </w:rPr>
            </w:pPr>
            <w:r w:rsidRPr="008204CC">
              <w:rPr>
                <w:rFonts w:ascii="Arial" w:eastAsia="Times New Roman" w:hAnsi="Arial" w:cs="Arial"/>
                <w:color w:val="000000"/>
                <w:sz w:val="18"/>
                <w:szCs w:val="18"/>
                <w:lang w:eastAsia="en-GB"/>
              </w:rPr>
              <w:t>115.2989</w:t>
            </w:r>
          </w:p>
        </w:tc>
        <w:tc>
          <w:tcPr>
            <w:tcW w:w="2122" w:type="dxa"/>
            <w:gridSpan w:val="2"/>
            <w:tcBorders>
              <w:top w:val="nil"/>
              <w:left w:val="nil"/>
              <w:bottom w:val="single" w:sz="4" w:space="0" w:color="auto"/>
              <w:right w:val="single" w:sz="4" w:space="0" w:color="auto"/>
            </w:tcBorders>
            <w:shd w:val="clear" w:color="auto" w:fill="auto"/>
            <w:vAlign w:val="bottom"/>
          </w:tcPr>
          <w:p w14:paraId="0E72CE7B" w14:textId="77777777" w:rsidR="00620422" w:rsidRPr="008204CC" w:rsidRDefault="00620422" w:rsidP="0066301C">
            <w:pPr>
              <w:spacing w:after="0" w:line="240" w:lineRule="auto"/>
              <w:jc w:val="right"/>
              <w:rPr>
                <w:rFonts w:ascii="Arial" w:eastAsia="Times New Roman" w:hAnsi="Arial" w:cs="Arial"/>
                <w:color w:val="000000"/>
                <w:sz w:val="18"/>
                <w:szCs w:val="18"/>
                <w:lang w:eastAsia="en-GB"/>
              </w:rPr>
            </w:pPr>
            <w:r w:rsidRPr="008204CC">
              <w:rPr>
                <w:rFonts w:ascii="Arial" w:eastAsia="Times New Roman" w:hAnsi="Arial" w:cs="Arial"/>
                <w:color w:val="000000"/>
                <w:sz w:val="18"/>
                <w:szCs w:val="18"/>
                <w:lang w:eastAsia="en-GB"/>
              </w:rPr>
              <w:t>-32.4634</w:t>
            </w:r>
          </w:p>
        </w:tc>
      </w:tr>
      <w:tr w:rsidR="008A6AC3" w:rsidRPr="008204CC" w14:paraId="6E81C0D6" w14:textId="77777777" w:rsidTr="00D46B41">
        <w:trPr>
          <w:trHeight w:val="270"/>
        </w:trPr>
        <w:tc>
          <w:tcPr>
            <w:tcW w:w="1135" w:type="dxa"/>
            <w:tcBorders>
              <w:top w:val="nil"/>
              <w:left w:val="single" w:sz="4" w:space="0" w:color="auto"/>
              <w:bottom w:val="single" w:sz="4" w:space="0" w:color="auto"/>
              <w:right w:val="single" w:sz="4" w:space="0" w:color="auto"/>
            </w:tcBorders>
            <w:shd w:val="clear" w:color="auto" w:fill="auto"/>
            <w:noWrap/>
            <w:vAlign w:val="bottom"/>
            <w:hideMark/>
          </w:tcPr>
          <w:p w14:paraId="5F29BFC4" w14:textId="77777777" w:rsidR="00620422" w:rsidRPr="008204CC" w:rsidRDefault="00620422" w:rsidP="0066301C">
            <w:pPr>
              <w:spacing w:after="0" w:line="240" w:lineRule="auto"/>
              <w:jc w:val="right"/>
              <w:rPr>
                <w:rFonts w:ascii="Arial" w:eastAsia="Times New Roman" w:hAnsi="Arial" w:cs="Arial"/>
                <w:color w:val="000000"/>
                <w:sz w:val="18"/>
                <w:szCs w:val="18"/>
                <w:lang w:eastAsia="en-GB"/>
              </w:rPr>
            </w:pPr>
            <w:r w:rsidRPr="008204CC">
              <w:rPr>
                <w:rFonts w:ascii="Arial" w:eastAsia="Times New Roman" w:hAnsi="Arial" w:cs="Arial"/>
                <w:color w:val="000000"/>
                <w:sz w:val="18"/>
                <w:szCs w:val="18"/>
                <w:lang w:eastAsia="en-GB"/>
              </w:rPr>
              <w:t>1995</w:t>
            </w:r>
          </w:p>
        </w:tc>
        <w:tc>
          <w:tcPr>
            <w:tcW w:w="1701" w:type="dxa"/>
            <w:tcBorders>
              <w:top w:val="nil"/>
              <w:left w:val="nil"/>
              <w:bottom w:val="single" w:sz="4" w:space="0" w:color="auto"/>
              <w:right w:val="single" w:sz="4" w:space="0" w:color="auto"/>
            </w:tcBorders>
            <w:shd w:val="clear" w:color="auto" w:fill="auto"/>
            <w:noWrap/>
            <w:vAlign w:val="bottom"/>
            <w:hideMark/>
          </w:tcPr>
          <w:p w14:paraId="5FAEA69B" w14:textId="77777777" w:rsidR="00620422" w:rsidRPr="008204CC" w:rsidRDefault="00620422" w:rsidP="0066301C">
            <w:pPr>
              <w:spacing w:after="0" w:line="240" w:lineRule="auto"/>
              <w:jc w:val="right"/>
              <w:rPr>
                <w:rFonts w:ascii="Arial" w:eastAsia="Times New Roman" w:hAnsi="Arial" w:cs="Arial"/>
                <w:color w:val="000000"/>
                <w:sz w:val="18"/>
                <w:szCs w:val="18"/>
                <w:lang w:eastAsia="en-GB"/>
              </w:rPr>
            </w:pPr>
            <w:r w:rsidRPr="008204CC">
              <w:rPr>
                <w:rFonts w:ascii="Arial" w:eastAsia="Times New Roman" w:hAnsi="Arial" w:cs="Arial"/>
                <w:color w:val="000000"/>
                <w:sz w:val="18"/>
                <w:szCs w:val="18"/>
                <w:lang w:eastAsia="en-GB"/>
              </w:rPr>
              <w:t>96.94874193</w:t>
            </w:r>
          </w:p>
        </w:tc>
        <w:tc>
          <w:tcPr>
            <w:tcW w:w="1701" w:type="dxa"/>
            <w:tcBorders>
              <w:top w:val="nil"/>
              <w:left w:val="nil"/>
              <w:bottom w:val="single" w:sz="4" w:space="0" w:color="auto"/>
              <w:right w:val="single" w:sz="4" w:space="0" w:color="auto"/>
            </w:tcBorders>
            <w:shd w:val="clear" w:color="auto" w:fill="auto"/>
            <w:noWrap/>
            <w:vAlign w:val="bottom"/>
            <w:hideMark/>
          </w:tcPr>
          <w:p w14:paraId="4A3A716F" w14:textId="77777777" w:rsidR="00620422" w:rsidRPr="008204CC" w:rsidRDefault="00620422" w:rsidP="0066301C">
            <w:pPr>
              <w:spacing w:after="0" w:line="240" w:lineRule="auto"/>
              <w:jc w:val="right"/>
              <w:rPr>
                <w:rFonts w:ascii="Arial" w:eastAsia="Times New Roman" w:hAnsi="Arial" w:cs="Arial"/>
                <w:color w:val="000000"/>
                <w:sz w:val="18"/>
                <w:szCs w:val="18"/>
                <w:lang w:eastAsia="en-GB"/>
              </w:rPr>
            </w:pPr>
            <w:r w:rsidRPr="008204CC">
              <w:rPr>
                <w:rFonts w:ascii="Arial" w:eastAsia="Times New Roman" w:hAnsi="Arial" w:cs="Arial"/>
                <w:color w:val="000000"/>
                <w:sz w:val="18"/>
                <w:szCs w:val="18"/>
                <w:lang w:eastAsia="en-GB"/>
              </w:rPr>
              <w:t>115.1472174</w:t>
            </w:r>
          </w:p>
        </w:tc>
        <w:tc>
          <w:tcPr>
            <w:tcW w:w="1984" w:type="dxa"/>
            <w:tcBorders>
              <w:top w:val="nil"/>
              <w:left w:val="nil"/>
              <w:bottom w:val="single" w:sz="4" w:space="0" w:color="auto"/>
              <w:right w:val="single" w:sz="4" w:space="0" w:color="auto"/>
            </w:tcBorders>
            <w:shd w:val="clear" w:color="auto" w:fill="auto"/>
            <w:noWrap/>
            <w:vAlign w:val="bottom"/>
            <w:hideMark/>
          </w:tcPr>
          <w:p w14:paraId="3F1E8318" w14:textId="77777777" w:rsidR="00620422" w:rsidRPr="008204CC" w:rsidRDefault="00620422" w:rsidP="0066301C">
            <w:pPr>
              <w:spacing w:after="0" w:line="240" w:lineRule="auto"/>
              <w:jc w:val="right"/>
              <w:rPr>
                <w:rFonts w:ascii="Arial" w:eastAsia="Times New Roman" w:hAnsi="Arial" w:cs="Arial"/>
                <w:sz w:val="18"/>
                <w:szCs w:val="18"/>
                <w:lang w:eastAsia="en-GB"/>
              </w:rPr>
            </w:pPr>
            <w:r w:rsidRPr="008204CC">
              <w:rPr>
                <w:rFonts w:ascii="Arial" w:eastAsia="Times New Roman" w:hAnsi="Arial" w:cs="Arial"/>
                <w:sz w:val="18"/>
                <w:szCs w:val="18"/>
                <w:lang w:eastAsia="en-GB"/>
              </w:rPr>
              <w:t>-18.1985</w:t>
            </w:r>
          </w:p>
        </w:tc>
        <w:tc>
          <w:tcPr>
            <w:tcW w:w="709" w:type="dxa"/>
            <w:vMerge/>
            <w:tcBorders>
              <w:left w:val="nil"/>
              <w:right w:val="single" w:sz="4" w:space="0" w:color="auto"/>
            </w:tcBorders>
          </w:tcPr>
          <w:p w14:paraId="10980C69" w14:textId="77777777" w:rsidR="00620422" w:rsidRPr="008204CC" w:rsidRDefault="00620422" w:rsidP="0066301C">
            <w:pPr>
              <w:spacing w:after="0" w:line="240" w:lineRule="auto"/>
              <w:jc w:val="right"/>
              <w:rPr>
                <w:rFonts w:ascii="Arial" w:eastAsia="Times New Roman" w:hAnsi="Arial" w:cs="Arial"/>
                <w:sz w:val="18"/>
                <w:szCs w:val="18"/>
                <w:lang w:eastAsia="en-GB"/>
              </w:rPr>
            </w:pPr>
          </w:p>
        </w:tc>
        <w:tc>
          <w:tcPr>
            <w:tcW w:w="999" w:type="dxa"/>
            <w:gridSpan w:val="2"/>
            <w:tcBorders>
              <w:top w:val="nil"/>
              <w:left w:val="single" w:sz="4" w:space="0" w:color="auto"/>
              <w:bottom w:val="single" w:sz="4" w:space="0" w:color="auto"/>
              <w:right w:val="single" w:sz="4" w:space="0" w:color="auto"/>
            </w:tcBorders>
            <w:shd w:val="clear" w:color="auto" w:fill="auto"/>
            <w:vAlign w:val="bottom"/>
          </w:tcPr>
          <w:p w14:paraId="3420BFB5" w14:textId="77777777" w:rsidR="00620422" w:rsidRPr="008204CC" w:rsidRDefault="00620422" w:rsidP="0066301C">
            <w:pPr>
              <w:spacing w:after="0" w:line="240" w:lineRule="auto"/>
              <w:jc w:val="right"/>
              <w:rPr>
                <w:rFonts w:ascii="Arial" w:eastAsia="Times New Roman" w:hAnsi="Arial" w:cs="Arial"/>
                <w:color w:val="000000"/>
                <w:sz w:val="18"/>
                <w:szCs w:val="18"/>
                <w:lang w:eastAsia="en-GB"/>
              </w:rPr>
            </w:pPr>
            <w:r w:rsidRPr="008204CC">
              <w:rPr>
                <w:rFonts w:ascii="Arial" w:eastAsia="Times New Roman" w:hAnsi="Arial" w:cs="Arial"/>
                <w:color w:val="000000"/>
                <w:sz w:val="18"/>
                <w:szCs w:val="18"/>
                <w:lang w:eastAsia="en-GB"/>
              </w:rPr>
              <w:t>1995</w:t>
            </w:r>
          </w:p>
        </w:tc>
        <w:tc>
          <w:tcPr>
            <w:tcW w:w="1415" w:type="dxa"/>
            <w:gridSpan w:val="2"/>
            <w:tcBorders>
              <w:top w:val="nil"/>
              <w:left w:val="nil"/>
              <w:bottom w:val="single" w:sz="4" w:space="0" w:color="auto"/>
              <w:right w:val="single" w:sz="4" w:space="0" w:color="auto"/>
            </w:tcBorders>
            <w:shd w:val="clear" w:color="auto" w:fill="auto"/>
            <w:vAlign w:val="bottom"/>
          </w:tcPr>
          <w:p w14:paraId="676758FF" w14:textId="77777777" w:rsidR="00620422" w:rsidRPr="008204CC" w:rsidRDefault="00620422" w:rsidP="0066301C">
            <w:pPr>
              <w:spacing w:after="0" w:line="240" w:lineRule="auto"/>
              <w:jc w:val="right"/>
              <w:rPr>
                <w:rFonts w:ascii="Arial" w:eastAsia="Times New Roman" w:hAnsi="Arial" w:cs="Arial"/>
                <w:color w:val="000000"/>
                <w:sz w:val="18"/>
                <w:szCs w:val="18"/>
                <w:lang w:eastAsia="en-GB"/>
              </w:rPr>
            </w:pPr>
            <w:r w:rsidRPr="008204CC">
              <w:rPr>
                <w:rFonts w:ascii="Arial" w:eastAsia="Times New Roman" w:hAnsi="Arial" w:cs="Arial"/>
                <w:color w:val="000000"/>
                <w:sz w:val="18"/>
                <w:szCs w:val="18"/>
                <w:lang w:eastAsia="en-GB"/>
              </w:rPr>
              <w:t>97.88825</w:t>
            </w:r>
          </w:p>
        </w:tc>
        <w:tc>
          <w:tcPr>
            <w:tcW w:w="1559" w:type="dxa"/>
            <w:gridSpan w:val="2"/>
            <w:tcBorders>
              <w:top w:val="nil"/>
              <w:left w:val="nil"/>
              <w:bottom w:val="single" w:sz="4" w:space="0" w:color="auto"/>
              <w:right w:val="single" w:sz="4" w:space="0" w:color="auto"/>
            </w:tcBorders>
            <w:shd w:val="clear" w:color="auto" w:fill="auto"/>
            <w:vAlign w:val="bottom"/>
          </w:tcPr>
          <w:p w14:paraId="02CE0B1A" w14:textId="77777777" w:rsidR="00620422" w:rsidRPr="008204CC" w:rsidRDefault="00620422" w:rsidP="0066301C">
            <w:pPr>
              <w:spacing w:after="0" w:line="240" w:lineRule="auto"/>
              <w:jc w:val="right"/>
              <w:rPr>
                <w:rFonts w:ascii="Arial" w:eastAsia="Times New Roman" w:hAnsi="Arial" w:cs="Arial"/>
                <w:color w:val="000000"/>
                <w:sz w:val="18"/>
                <w:szCs w:val="18"/>
                <w:lang w:eastAsia="en-GB"/>
              </w:rPr>
            </w:pPr>
            <w:r w:rsidRPr="008204CC">
              <w:rPr>
                <w:rFonts w:ascii="Arial" w:eastAsia="Times New Roman" w:hAnsi="Arial" w:cs="Arial"/>
                <w:color w:val="000000"/>
                <w:sz w:val="18"/>
                <w:szCs w:val="18"/>
                <w:lang w:eastAsia="en-GB"/>
              </w:rPr>
              <w:t>108.8707</w:t>
            </w:r>
          </w:p>
        </w:tc>
        <w:tc>
          <w:tcPr>
            <w:tcW w:w="2122" w:type="dxa"/>
            <w:gridSpan w:val="2"/>
            <w:tcBorders>
              <w:top w:val="nil"/>
              <w:left w:val="nil"/>
              <w:bottom w:val="single" w:sz="4" w:space="0" w:color="auto"/>
              <w:right w:val="single" w:sz="4" w:space="0" w:color="auto"/>
            </w:tcBorders>
            <w:shd w:val="clear" w:color="auto" w:fill="auto"/>
            <w:vAlign w:val="bottom"/>
          </w:tcPr>
          <w:p w14:paraId="358C9D77" w14:textId="77777777" w:rsidR="00620422" w:rsidRPr="008204CC" w:rsidRDefault="00620422" w:rsidP="0066301C">
            <w:pPr>
              <w:spacing w:after="0" w:line="240" w:lineRule="auto"/>
              <w:jc w:val="right"/>
              <w:rPr>
                <w:rFonts w:ascii="Arial" w:eastAsia="Times New Roman" w:hAnsi="Arial" w:cs="Arial"/>
                <w:color w:val="000000"/>
                <w:sz w:val="18"/>
                <w:szCs w:val="18"/>
                <w:lang w:eastAsia="en-GB"/>
              </w:rPr>
            </w:pPr>
            <w:r w:rsidRPr="008204CC">
              <w:rPr>
                <w:rFonts w:ascii="Arial" w:eastAsia="Times New Roman" w:hAnsi="Arial" w:cs="Arial"/>
                <w:color w:val="000000"/>
                <w:sz w:val="18"/>
                <w:szCs w:val="18"/>
                <w:lang w:eastAsia="en-GB"/>
              </w:rPr>
              <w:t>-10.9825</w:t>
            </w:r>
          </w:p>
        </w:tc>
      </w:tr>
      <w:tr w:rsidR="008A6AC3" w:rsidRPr="008204CC" w14:paraId="2AFFBF0F" w14:textId="77777777" w:rsidTr="00D46B41">
        <w:trPr>
          <w:trHeight w:val="270"/>
        </w:trPr>
        <w:tc>
          <w:tcPr>
            <w:tcW w:w="1135" w:type="dxa"/>
            <w:tcBorders>
              <w:top w:val="nil"/>
              <w:left w:val="single" w:sz="4" w:space="0" w:color="auto"/>
              <w:bottom w:val="single" w:sz="4" w:space="0" w:color="auto"/>
              <w:right w:val="single" w:sz="4" w:space="0" w:color="auto"/>
            </w:tcBorders>
            <w:shd w:val="clear" w:color="auto" w:fill="auto"/>
            <w:noWrap/>
            <w:vAlign w:val="bottom"/>
            <w:hideMark/>
          </w:tcPr>
          <w:p w14:paraId="02CFC416" w14:textId="77777777" w:rsidR="00620422" w:rsidRPr="008204CC" w:rsidRDefault="00620422" w:rsidP="0066301C">
            <w:pPr>
              <w:spacing w:after="0" w:line="240" w:lineRule="auto"/>
              <w:jc w:val="right"/>
              <w:rPr>
                <w:rFonts w:ascii="Arial" w:eastAsia="Times New Roman" w:hAnsi="Arial" w:cs="Arial"/>
                <w:color w:val="000000"/>
                <w:sz w:val="18"/>
                <w:szCs w:val="18"/>
                <w:lang w:eastAsia="en-GB"/>
              </w:rPr>
            </w:pPr>
            <w:r w:rsidRPr="008204CC">
              <w:rPr>
                <w:rFonts w:ascii="Arial" w:eastAsia="Times New Roman" w:hAnsi="Arial" w:cs="Arial"/>
                <w:color w:val="000000"/>
                <w:sz w:val="18"/>
                <w:szCs w:val="18"/>
                <w:lang w:eastAsia="en-GB"/>
              </w:rPr>
              <w:t>1996</w:t>
            </w:r>
          </w:p>
        </w:tc>
        <w:tc>
          <w:tcPr>
            <w:tcW w:w="1701" w:type="dxa"/>
            <w:tcBorders>
              <w:top w:val="nil"/>
              <w:left w:val="nil"/>
              <w:bottom w:val="single" w:sz="4" w:space="0" w:color="auto"/>
              <w:right w:val="single" w:sz="4" w:space="0" w:color="auto"/>
            </w:tcBorders>
            <w:shd w:val="clear" w:color="auto" w:fill="auto"/>
            <w:noWrap/>
            <w:vAlign w:val="bottom"/>
            <w:hideMark/>
          </w:tcPr>
          <w:p w14:paraId="77A23AA8" w14:textId="77777777" w:rsidR="00620422" w:rsidRPr="008204CC" w:rsidRDefault="00620422" w:rsidP="0066301C">
            <w:pPr>
              <w:spacing w:after="0" w:line="240" w:lineRule="auto"/>
              <w:jc w:val="right"/>
              <w:rPr>
                <w:rFonts w:ascii="Arial" w:eastAsia="Times New Roman" w:hAnsi="Arial" w:cs="Arial"/>
                <w:color w:val="000000"/>
                <w:sz w:val="18"/>
                <w:szCs w:val="18"/>
                <w:lang w:eastAsia="en-GB"/>
              </w:rPr>
            </w:pPr>
            <w:r w:rsidRPr="008204CC">
              <w:rPr>
                <w:rFonts w:ascii="Arial" w:eastAsia="Times New Roman" w:hAnsi="Arial" w:cs="Arial"/>
                <w:color w:val="000000"/>
                <w:sz w:val="18"/>
                <w:szCs w:val="18"/>
                <w:lang w:eastAsia="en-GB"/>
              </w:rPr>
              <w:t>98.03009479</w:t>
            </w:r>
          </w:p>
        </w:tc>
        <w:tc>
          <w:tcPr>
            <w:tcW w:w="1701" w:type="dxa"/>
            <w:tcBorders>
              <w:top w:val="nil"/>
              <w:left w:val="nil"/>
              <w:bottom w:val="single" w:sz="4" w:space="0" w:color="auto"/>
              <w:right w:val="single" w:sz="4" w:space="0" w:color="auto"/>
            </w:tcBorders>
            <w:shd w:val="clear" w:color="auto" w:fill="auto"/>
            <w:noWrap/>
            <w:vAlign w:val="bottom"/>
            <w:hideMark/>
          </w:tcPr>
          <w:p w14:paraId="25B147DB" w14:textId="77777777" w:rsidR="00620422" w:rsidRPr="008204CC" w:rsidRDefault="00620422" w:rsidP="0066301C">
            <w:pPr>
              <w:spacing w:after="0" w:line="240" w:lineRule="auto"/>
              <w:jc w:val="right"/>
              <w:rPr>
                <w:rFonts w:ascii="Arial" w:eastAsia="Times New Roman" w:hAnsi="Arial" w:cs="Arial"/>
                <w:color w:val="000000"/>
                <w:sz w:val="18"/>
                <w:szCs w:val="18"/>
                <w:lang w:eastAsia="en-GB"/>
              </w:rPr>
            </w:pPr>
            <w:r w:rsidRPr="008204CC">
              <w:rPr>
                <w:rFonts w:ascii="Arial" w:eastAsia="Times New Roman" w:hAnsi="Arial" w:cs="Arial"/>
                <w:color w:val="000000"/>
                <w:sz w:val="18"/>
                <w:szCs w:val="18"/>
                <w:lang w:eastAsia="en-GB"/>
              </w:rPr>
              <w:t>110.1827612</w:t>
            </w:r>
          </w:p>
        </w:tc>
        <w:tc>
          <w:tcPr>
            <w:tcW w:w="1984" w:type="dxa"/>
            <w:tcBorders>
              <w:top w:val="nil"/>
              <w:left w:val="nil"/>
              <w:bottom w:val="single" w:sz="4" w:space="0" w:color="auto"/>
              <w:right w:val="single" w:sz="4" w:space="0" w:color="auto"/>
            </w:tcBorders>
            <w:shd w:val="clear" w:color="auto" w:fill="auto"/>
            <w:noWrap/>
            <w:vAlign w:val="bottom"/>
            <w:hideMark/>
          </w:tcPr>
          <w:p w14:paraId="1D1E5AAD" w14:textId="77777777" w:rsidR="00620422" w:rsidRPr="008204CC" w:rsidRDefault="00620422" w:rsidP="0066301C">
            <w:pPr>
              <w:spacing w:after="0" w:line="240" w:lineRule="auto"/>
              <w:jc w:val="right"/>
              <w:rPr>
                <w:rFonts w:ascii="Arial" w:eastAsia="Times New Roman" w:hAnsi="Arial" w:cs="Arial"/>
                <w:sz w:val="18"/>
                <w:szCs w:val="18"/>
                <w:lang w:eastAsia="en-GB"/>
              </w:rPr>
            </w:pPr>
            <w:r w:rsidRPr="008204CC">
              <w:rPr>
                <w:rFonts w:ascii="Arial" w:eastAsia="Times New Roman" w:hAnsi="Arial" w:cs="Arial"/>
                <w:sz w:val="18"/>
                <w:szCs w:val="18"/>
                <w:lang w:eastAsia="en-GB"/>
              </w:rPr>
              <w:t>-12.1527</w:t>
            </w:r>
          </w:p>
        </w:tc>
        <w:tc>
          <w:tcPr>
            <w:tcW w:w="709" w:type="dxa"/>
            <w:vMerge/>
            <w:tcBorders>
              <w:left w:val="nil"/>
              <w:right w:val="single" w:sz="4" w:space="0" w:color="auto"/>
            </w:tcBorders>
          </w:tcPr>
          <w:p w14:paraId="30896894" w14:textId="77777777" w:rsidR="00620422" w:rsidRPr="008204CC" w:rsidRDefault="00620422" w:rsidP="0066301C">
            <w:pPr>
              <w:spacing w:after="0" w:line="240" w:lineRule="auto"/>
              <w:jc w:val="right"/>
              <w:rPr>
                <w:rFonts w:ascii="Arial" w:eastAsia="Times New Roman" w:hAnsi="Arial" w:cs="Arial"/>
                <w:sz w:val="18"/>
                <w:szCs w:val="18"/>
                <w:lang w:eastAsia="en-GB"/>
              </w:rPr>
            </w:pPr>
          </w:p>
        </w:tc>
        <w:tc>
          <w:tcPr>
            <w:tcW w:w="999" w:type="dxa"/>
            <w:gridSpan w:val="2"/>
            <w:tcBorders>
              <w:top w:val="nil"/>
              <w:left w:val="single" w:sz="4" w:space="0" w:color="auto"/>
              <w:bottom w:val="single" w:sz="4" w:space="0" w:color="auto"/>
              <w:right w:val="single" w:sz="4" w:space="0" w:color="auto"/>
            </w:tcBorders>
            <w:shd w:val="clear" w:color="auto" w:fill="auto"/>
            <w:vAlign w:val="bottom"/>
          </w:tcPr>
          <w:p w14:paraId="227DC56B" w14:textId="77777777" w:rsidR="00620422" w:rsidRPr="008204CC" w:rsidRDefault="00620422" w:rsidP="0066301C">
            <w:pPr>
              <w:spacing w:after="0" w:line="240" w:lineRule="auto"/>
              <w:jc w:val="right"/>
              <w:rPr>
                <w:rFonts w:ascii="Arial" w:eastAsia="Times New Roman" w:hAnsi="Arial" w:cs="Arial"/>
                <w:color w:val="000000"/>
                <w:sz w:val="18"/>
                <w:szCs w:val="18"/>
                <w:lang w:eastAsia="en-GB"/>
              </w:rPr>
            </w:pPr>
            <w:r w:rsidRPr="008204CC">
              <w:rPr>
                <w:rFonts w:ascii="Arial" w:eastAsia="Times New Roman" w:hAnsi="Arial" w:cs="Arial"/>
                <w:color w:val="000000"/>
                <w:sz w:val="18"/>
                <w:szCs w:val="18"/>
                <w:lang w:eastAsia="en-GB"/>
              </w:rPr>
              <w:t>1996</w:t>
            </w:r>
          </w:p>
        </w:tc>
        <w:tc>
          <w:tcPr>
            <w:tcW w:w="1415" w:type="dxa"/>
            <w:gridSpan w:val="2"/>
            <w:tcBorders>
              <w:top w:val="nil"/>
              <w:left w:val="nil"/>
              <w:bottom w:val="single" w:sz="4" w:space="0" w:color="auto"/>
              <w:right w:val="single" w:sz="4" w:space="0" w:color="auto"/>
            </w:tcBorders>
            <w:shd w:val="clear" w:color="auto" w:fill="auto"/>
            <w:vAlign w:val="bottom"/>
          </w:tcPr>
          <w:p w14:paraId="4E0B5091" w14:textId="77777777" w:rsidR="00620422" w:rsidRPr="008204CC" w:rsidRDefault="00620422" w:rsidP="0066301C">
            <w:pPr>
              <w:spacing w:after="0" w:line="240" w:lineRule="auto"/>
              <w:jc w:val="right"/>
              <w:rPr>
                <w:rFonts w:ascii="Arial" w:eastAsia="Times New Roman" w:hAnsi="Arial" w:cs="Arial"/>
                <w:color w:val="000000"/>
                <w:sz w:val="18"/>
                <w:szCs w:val="18"/>
                <w:lang w:eastAsia="en-GB"/>
              </w:rPr>
            </w:pPr>
            <w:r w:rsidRPr="008204CC">
              <w:rPr>
                <w:rFonts w:ascii="Arial" w:eastAsia="Times New Roman" w:hAnsi="Arial" w:cs="Arial"/>
                <w:color w:val="000000"/>
                <w:sz w:val="18"/>
                <w:szCs w:val="18"/>
                <w:lang w:eastAsia="en-GB"/>
              </w:rPr>
              <w:t>99.69212</w:t>
            </w:r>
          </w:p>
        </w:tc>
        <w:tc>
          <w:tcPr>
            <w:tcW w:w="1559" w:type="dxa"/>
            <w:gridSpan w:val="2"/>
            <w:tcBorders>
              <w:top w:val="nil"/>
              <w:left w:val="nil"/>
              <w:bottom w:val="single" w:sz="4" w:space="0" w:color="auto"/>
              <w:right w:val="single" w:sz="4" w:space="0" w:color="auto"/>
            </w:tcBorders>
            <w:shd w:val="clear" w:color="auto" w:fill="auto"/>
            <w:vAlign w:val="bottom"/>
          </w:tcPr>
          <w:p w14:paraId="231EBB72" w14:textId="77777777" w:rsidR="00620422" w:rsidRPr="008204CC" w:rsidRDefault="00620422" w:rsidP="0066301C">
            <w:pPr>
              <w:spacing w:after="0" w:line="240" w:lineRule="auto"/>
              <w:jc w:val="right"/>
              <w:rPr>
                <w:rFonts w:ascii="Arial" w:eastAsia="Times New Roman" w:hAnsi="Arial" w:cs="Arial"/>
                <w:color w:val="000000"/>
                <w:sz w:val="18"/>
                <w:szCs w:val="18"/>
                <w:lang w:eastAsia="en-GB"/>
              </w:rPr>
            </w:pPr>
            <w:r w:rsidRPr="008204CC">
              <w:rPr>
                <w:rFonts w:ascii="Arial" w:eastAsia="Times New Roman" w:hAnsi="Arial" w:cs="Arial"/>
                <w:color w:val="000000"/>
                <w:sz w:val="18"/>
                <w:szCs w:val="18"/>
                <w:lang w:eastAsia="en-GB"/>
              </w:rPr>
              <w:t>103.4196</w:t>
            </w:r>
          </w:p>
        </w:tc>
        <w:tc>
          <w:tcPr>
            <w:tcW w:w="2122" w:type="dxa"/>
            <w:gridSpan w:val="2"/>
            <w:tcBorders>
              <w:top w:val="nil"/>
              <w:left w:val="nil"/>
              <w:bottom w:val="single" w:sz="4" w:space="0" w:color="auto"/>
              <w:right w:val="single" w:sz="4" w:space="0" w:color="auto"/>
            </w:tcBorders>
            <w:shd w:val="clear" w:color="auto" w:fill="auto"/>
            <w:vAlign w:val="bottom"/>
          </w:tcPr>
          <w:p w14:paraId="6D09C60C" w14:textId="77777777" w:rsidR="00620422" w:rsidRPr="008204CC" w:rsidRDefault="00620422" w:rsidP="0066301C">
            <w:pPr>
              <w:spacing w:after="0" w:line="240" w:lineRule="auto"/>
              <w:jc w:val="right"/>
              <w:rPr>
                <w:rFonts w:ascii="Arial" w:eastAsia="Times New Roman" w:hAnsi="Arial" w:cs="Arial"/>
                <w:color w:val="000000"/>
                <w:sz w:val="18"/>
                <w:szCs w:val="18"/>
                <w:lang w:eastAsia="en-GB"/>
              </w:rPr>
            </w:pPr>
            <w:r w:rsidRPr="008204CC">
              <w:rPr>
                <w:rFonts w:ascii="Arial" w:eastAsia="Times New Roman" w:hAnsi="Arial" w:cs="Arial"/>
                <w:color w:val="000000"/>
                <w:sz w:val="18"/>
                <w:szCs w:val="18"/>
                <w:lang w:eastAsia="en-GB"/>
              </w:rPr>
              <w:t>-3.72748</w:t>
            </w:r>
          </w:p>
        </w:tc>
      </w:tr>
      <w:tr w:rsidR="008A6AC3" w:rsidRPr="008204CC" w14:paraId="354892A2" w14:textId="77777777" w:rsidTr="00D46B41">
        <w:trPr>
          <w:trHeight w:val="270"/>
        </w:trPr>
        <w:tc>
          <w:tcPr>
            <w:tcW w:w="1135" w:type="dxa"/>
            <w:tcBorders>
              <w:top w:val="nil"/>
              <w:left w:val="single" w:sz="4" w:space="0" w:color="auto"/>
              <w:bottom w:val="single" w:sz="4" w:space="0" w:color="auto"/>
              <w:right w:val="single" w:sz="4" w:space="0" w:color="auto"/>
            </w:tcBorders>
            <w:shd w:val="clear" w:color="auto" w:fill="auto"/>
            <w:noWrap/>
            <w:vAlign w:val="bottom"/>
            <w:hideMark/>
          </w:tcPr>
          <w:p w14:paraId="3051704D" w14:textId="77777777" w:rsidR="00620422" w:rsidRPr="008204CC" w:rsidRDefault="00620422" w:rsidP="0066301C">
            <w:pPr>
              <w:spacing w:after="0" w:line="240" w:lineRule="auto"/>
              <w:jc w:val="right"/>
              <w:rPr>
                <w:rFonts w:ascii="Arial" w:eastAsia="Times New Roman" w:hAnsi="Arial" w:cs="Arial"/>
                <w:color w:val="000000"/>
                <w:sz w:val="18"/>
                <w:szCs w:val="18"/>
                <w:lang w:eastAsia="en-GB"/>
              </w:rPr>
            </w:pPr>
            <w:r w:rsidRPr="008204CC">
              <w:rPr>
                <w:rFonts w:ascii="Arial" w:eastAsia="Times New Roman" w:hAnsi="Arial" w:cs="Arial"/>
                <w:color w:val="000000"/>
                <w:sz w:val="18"/>
                <w:szCs w:val="18"/>
                <w:lang w:eastAsia="en-GB"/>
              </w:rPr>
              <w:t>1997</w:t>
            </w:r>
          </w:p>
        </w:tc>
        <w:tc>
          <w:tcPr>
            <w:tcW w:w="1701" w:type="dxa"/>
            <w:tcBorders>
              <w:top w:val="nil"/>
              <w:left w:val="nil"/>
              <w:bottom w:val="single" w:sz="4" w:space="0" w:color="auto"/>
              <w:right w:val="single" w:sz="4" w:space="0" w:color="auto"/>
            </w:tcBorders>
            <w:shd w:val="clear" w:color="auto" w:fill="auto"/>
            <w:noWrap/>
            <w:vAlign w:val="bottom"/>
            <w:hideMark/>
          </w:tcPr>
          <w:p w14:paraId="3F4E093F" w14:textId="77777777" w:rsidR="00620422" w:rsidRPr="008204CC" w:rsidRDefault="00620422" w:rsidP="0066301C">
            <w:pPr>
              <w:spacing w:after="0" w:line="240" w:lineRule="auto"/>
              <w:jc w:val="right"/>
              <w:rPr>
                <w:rFonts w:ascii="Arial" w:eastAsia="Times New Roman" w:hAnsi="Arial" w:cs="Arial"/>
                <w:color w:val="000000"/>
                <w:sz w:val="18"/>
                <w:szCs w:val="18"/>
                <w:lang w:eastAsia="en-GB"/>
              </w:rPr>
            </w:pPr>
            <w:r w:rsidRPr="008204CC">
              <w:rPr>
                <w:rFonts w:ascii="Arial" w:eastAsia="Times New Roman" w:hAnsi="Arial" w:cs="Arial"/>
                <w:color w:val="000000"/>
                <w:sz w:val="18"/>
                <w:szCs w:val="18"/>
                <w:lang w:eastAsia="en-GB"/>
              </w:rPr>
              <w:t>97.03820135</w:t>
            </w:r>
          </w:p>
        </w:tc>
        <w:tc>
          <w:tcPr>
            <w:tcW w:w="1701" w:type="dxa"/>
            <w:tcBorders>
              <w:top w:val="nil"/>
              <w:left w:val="nil"/>
              <w:bottom w:val="single" w:sz="4" w:space="0" w:color="auto"/>
              <w:right w:val="single" w:sz="4" w:space="0" w:color="auto"/>
            </w:tcBorders>
            <w:shd w:val="clear" w:color="auto" w:fill="auto"/>
            <w:noWrap/>
            <w:vAlign w:val="bottom"/>
            <w:hideMark/>
          </w:tcPr>
          <w:p w14:paraId="2FC59678" w14:textId="77777777" w:rsidR="00620422" w:rsidRPr="008204CC" w:rsidRDefault="00620422" w:rsidP="0066301C">
            <w:pPr>
              <w:spacing w:after="0" w:line="240" w:lineRule="auto"/>
              <w:jc w:val="right"/>
              <w:rPr>
                <w:rFonts w:ascii="Arial" w:eastAsia="Times New Roman" w:hAnsi="Arial" w:cs="Arial"/>
                <w:color w:val="000000"/>
                <w:sz w:val="18"/>
                <w:szCs w:val="18"/>
                <w:lang w:eastAsia="en-GB"/>
              </w:rPr>
            </w:pPr>
            <w:r w:rsidRPr="008204CC">
              <w:rPr>
                <w:rFonts w:ascii="Arial" w:eastAsia="Times New Roman" w:hAnsi="Arial" w:cs="Arial"/>
                <w:color w:val="000000"/>
                <w:sz w:val="18"/>
                <w:szCs w:val="18"/>
                <w:lang w:eastAsia="en-GB"/>
              </w:rPr>
              <w:t>106.1467415</w:t>
            </w:r>
          </w:p>
        </w:tc>
        <w:tc>
          <w:tcPr>
            <w:tcW w:w="1984" w:type="dxa"/>
            <w:tcBorders>
              <w:top w:val="nil"/>
              <w:left w:val="nil"/>
              <w:bottom w:val="single" w:sz="4" w:space="0" w:color="auto"/>
              <w:right w:val="single" w:sz="4" w:space="0" w:color="auto"/>
            </w:tcBorders>
            <w:shd w:val="clear" w:color="auto" w:fill="auto"/>
            <w:noWrap/>
            <w:vAlign w:val="bottom"/>
            <w:hideMark/>
          </w:tcPr>
          <w:p w14:paraId="4A2A589A" w14:textId="77777777" w:rsidR="00620422" w:rsidRPr="008204CC" w:rsidRDefault="00620422" w:rsidP="0066301C">
            <w:pPr>
              <w:spacing w:after="0" w:line="240" w:lineRule="auto"/>
              <w:jc w:val="right"/>
              <w:rPr>
                <w:rFonts w:ascii="Arial" w:eastAsia="Times New Roman" w:hAnsi="Arial" w:cs="Arial"/>
                <w:sz w:val="18"/>
                <w:szCs w:val="18"/>
                <w:lang w:eastAsia="en-GB"/>
              </w:rPr>
            </w:pPr>
            <w:r w:rsidRPr="008204CC">
              <w:rPr>
                <w:rFonts w:ascii="Arial" w:eastAsia="Times New Roman" w:hAnsi="Arial" w:cs="Arial"/>
                <w:sz w:val="18"/>
                <w:szCs w:val="18"/>
                <w:lang w:eastAsia="en-GB"/>
              </w:rPr>
              <w:t>-9.10854</w:t>
            </w:r>
          </w:p>
        </w:tc>
        <w:tc>
          <w:tcPr>
            <w:tcW w:w="709" w:type="dxa"/>
            <w:vMerge/>
            <w:tcBorders>
              <w:left w:val="nil"/>
              <w:right w:val="single" w:sz="4" w:space="0" w:color="auto"/>
            </w:tcBorders>
          </w:tcPr>
          <w:p w14:paraId="5595F212" w14:textId="77777777" w:rsidR="00620422" w:rsidRPr="008204CC" w:rsidRDefault="00620422" w:rsidP="0066301C">
            <w:pPr>
              <w:spacing w:after="0" w:line="240" w:lineRule="auto"/>
              <w:jc w:val="right"/>
              <w:rPr>
                <w:rFonts w:ascii="Arial" w:eastAsia="Times New Roman" w:hAnsi="Arial" w:cs="Arial"/>
                <w:sz w:val="18"/>
                <w:szCs w:val="18"/>
                <w:lang w:eastAsia="en-GB"/>
              </w:rPr>
            </w:pPr>
          </w:p>
        </w:tc>
        <w:tc>
          <w:tcPr>
            <w:tcW w:w="999" w:type="dxa"/>
            <w:gridSpan w:val="2"/>
            <w:tcBorders>
              <w:top w:val="nil"/>
              <w:left w:val="single" w:sz="4" w:space="0" w:color="auto"/>
              <w:bottom w:val="single" w:sz="4" w:space="0" w:color="auto"/>
              <w:right w:val="single" w:sz="4" w:space="0" w:color="auto"/>
            </w:tcBorders>
            <w:shd w:val="clear" w:color="auto" w:fill="auto"/>
            <w:vAlign w:val="bottom"/>
          </w:tcPr>
          <w:p w14:paraId="74748C7B" w14:textId="77777777" w:rsidR="00620422" w:rsidRPr="008204CC" w:rsidRDefault="00620422" w:rsidP="0066301C">
            <w:pPr>
              <w:spacing w:after="0" w:line="240" w:lineRule="auto"/>
              <w:jc w:val="right"/>
              <w:rPr>
                <w:rFonts w:ascii="Arial" w:eastAsia="Times New Roman" w:hAnsi="Arial" w:cs="Arial"/>
                <w:color w:val="000000"/>
                <w:sz w:val="18"/>
                <w:szCs w:val="18"/>
                <w:lang w:eastAsia="en-GB"/>
              </w:rPr>
            </w:pPr>
            <w:r w:rsidRPr="008204CC">
              <w:rPr>
                <w:rFonts w:ascii="Arial" w:eastAsia="Times New Roman" w:hAnsi="Arial" w:cs="Arial"/>
                <w:color w:val="000000"/>
                <w:sz w:val="18"/>
                <w:szCs w:val="18"/>
                <w:lang w:eastAsia="en-GB"/>
              </w:rPr>
              <w:t>1997</w:t>
            </w:r>
          </w:p>
        </w:tc>
        <w:tc>
          <w:tcPr>
            <w:tcW w:w="1415" w:type="dxa"/>
            <w:gridSpan w:val="2"/>
            <w:tcBorders>
              <w:top w:val="nil"/>
              <w:left w:val="nil"/>
              <w:bottom w:val="single" w:sz="4" w:space="0" w:color="auto"/>
              <w:right w:val="single" w:sz="4" w:space="0" w:color="auto"/>
            </w:tcBorders>
            <w:shd w:val="clear" w:color="auto" w:fill="auto"/>
            <w:vAlign w:val="bottom"/>
          </w:tcPr>
          <w:p w14:paraId="363E32C3" w14:textId="77777777" w:rsidR="00620422" w:rsidRPr="008204CC" w:rsidRDefault="00620422" w:rsidP="0066301C">
            <w:pPr>
              <w:spacing w:after="0" w:line="240" w:lineRule="auto"/>
              <w:jc w:val="right"/>
              <w:rPr>
                <w:rFonts w:ascii="Arial" w:eastAsia="Times New Roman" w:hAnsi="Arial" w:cs="Arial"/>
                <w:color w:val="000000"/>
                <w:sz w:val="18"/>
                <w:szCs w:val="18"/>
                <w:lang w:eastAsia="en-GB"/>
              </w:rPr>
            </w:pPr>
            <w:r w:rsidRPr="008204CC">
              <w:rPr>
                <w:rFonts w:ascii="Arial" w:eastAsia="Times New Roman" w:hAnsi="Arial" w:cs="Arial"/>
                <w:color w:val="000000"/>
                <w:sz w:val="18"/>
                <w:szCs w:val="18"/>
                <w:lang w:eastAsia="en-GB"/>
              </w:rPr>
              <w:t>96.16359</w:t>
            </w:r>
          </w:p>
        </w:tc>
        <w:tc>
          <w:tcPr>
            <w:tcW w:w="1559" w:type="dxa"/>
            <w:gridSpan w:val="2"/>
            <w:tcBorders>
              <w:top w:val="nil"/>
              <w:left w:val="nil"/>
              <w:bottom w:val="single" w:sz="4" w:space="0" w:color="auto"/>
              <w:right w:val="single" w:sz="4" w:space="0" w:color="auto"/>
            </w:tcBorders>
            <w:shd w:val="clear" w:color="auto" w:fill="auto"/>
            <w:vAlign w:val="bottom"/>
          </w:tcPr>
          <w:p w14:paraId="0B2E21DC" w14:textId="77777777" w:rsidR="00620422" w:rsidRPr="008204CC" w:rsidRDefault="00620422" w:rsidP="0066301C">
            <w:pPr>
              <w:spacing w:after="0" w:line="240" w:lineRule="auto"/>
              <w:jc w:val="right"/>
              <w:rPr>
                <w:rFonts w:ascii="Arial" w:eastAsia="Times New Roman" w:hAnsi="Arial" w:cs="Arial"/>
                <w:color w:val="000000"/>
                <w:sz w:val="18"/>
                <w:szCs w:val="18"/>
                <w:lang w:eastAsia="en-GB"/>
              </w:rPr>
            </w:pPr>
            <w:r w:rsidRPr="008204CC">
              <w:rPr>
                <w:rFonts w:ascii="Arial" w:eastAsia="Times New Roman" w:hAnsi="Arial" w:cs="Arial"/>
                <w:color w:val="000000"/>
                <w:sz w:val="18"/>
                <w:szCs w:val="18"/>
                <w:lang w:eastAsia="en-GB"/>
              </w:rPr>
              <w:t>98.97341</w:t>
            </w:r>
          </w:p>
        </w:tc>
        <w:tc>
          <w:tcPr>
            <w:tcW w:w="2122" w:type="dxa"/>
            <w:gridSpan w:val="2"/>
            <w:tcBorders>
              <w:top w:val="nil"/>
              <w:left w:val="nil"/>
              <w:bottom w:val="single" w:sz="4" w:space="0" w:color="auto"/>
              <w:right w:val="single" w:sz="4" w:space="0" w:color="auto"/>
            </w:tcBorders>
            <w:shd w:val="clear" w:color="auto" w:fill="auto"/>
            <w:vAlign w:val="bottom"/>
          </w:tcPr>
          <w:p w14:paraId="03D59F2F" w14:textId="77777777" w:rsidR="00620422" w:rsidRPr="008204CC" w:rsidRDefault="00620422" w:rsidP="0066301C">
            <w:pPr>
              <w:spacing w:after="0" w:line="240" w:lineRule="auto"/>
              <w:jc w:val="right"/>
              <w:rPr>
                <w:rFonts w:ascii="Arial" w:eastAsia="Times New Roman" w:hAnsi="Arial" w:cs="Arial"/>
                <w:color w:val="000000"/>
                <w:sz w:val="18"/>
                <w:szCs w:val="18"/>
                <w:lang w:eastAsia="en-GB"/>
              </w:rPr>
            </w:pPr>
            <w:r w:rsidRPr="008204CC">
              <w:rPr>
                <w:rFonts w:ascii="Arial" w:eastAsia="Times New Roman" w:hAnsi="Arial" w:cs="Arial"/>
                <w:color w:val="000000"/>
                <w:sz w:val="18"/>
                <w:szCs w:val="18"/>
                <w:lang w:eastAsia="en-GB"/>
              </w:rPr>
              <w:t>-2.80982</w:t>
            </w:r>
          </w:p>
        </w:tc>
      </w:tr>
      <w:tr w:rsidR="008A6AC3" w:rsidRPr="008204CC" w14:paraId="2ACC8A38" w14:textId="77777777" w:rsidTr="00D46B41">
        <w:trPr>
          <w:trHeight w:val="270"/>
        </w:trPr>
        <w:tc>
          <w:tcPr>
            <w:tcW w:w="1135" w:type="dxa"/>
            <w:tcBorders>
              <w:top w:val="nil"/>
              <w:left w:val="single" w:sz="4" w:space="0" w:color="auto"/>
              <w:bottom w:val="single" w:sz="4" w:space="0" w:color="auto"/>
              <w:right w:val="single" w:sz="4" w:space="0" w:color="auto"/>
            </w:tcBorders>
            <w:shd w:val="clear" w:color="auto" w:fill="auto"/>
            <w:noWrap/>
            <w:vAlign w:val="bottom"/>
            <w:hideMark/>
          </w:tcPr>
          <w:p w14:paraId="3C2E3269" w14:textId="77777777" w:rsidR="00620422" w:rsidRPr="008204CC" w:rsidRDefault="00620422" w:rsidP="0066301C">
            <w:pPr>
              <w:spacing w:after="0" w:line="240" w:lineRule="auto"/>
              <w:jc w:val="right"/>
              <w:rPr>
                <w:rFonts w:ascii="Arial" w:eastAsia="Times New Roman" w:hAnsi="Arial" w:cs="Arial"/>
                <w:color w:val="000000"/>
                <w:sz w:val="18"/>
                <w:szCs w:val="18"/>
                <w:lang w:eastAsia="en-GB"/>
              </w:rPr>
            </w:pPr>
            <w:r w:rsidRPr="008204CC">
              <w:rPr>
                <w:rFonts w:ascii="Arial" w:eastAsia="Times New Roman" w:hAnsi="Arial" w:cs="Arial"/>
                <w:color w:val="000000"/>
                <w:sz w:val="18"/>
                <w:szCs w:val="18"/>
                <w:lang w:eastAsia="en-GB"/>
              </w:rPr>
              <w:t>1998</w:t>
            </w:r>
          </w:p>
        </w:tc>
        <w:tc>
          <w:tcPr>
            <w:tcW w:w="1701" w:type="dxa"/>
            <w:tcBorders>
              <w:top w:val="nil"/>
              <w:left w:val="nil"/>
              <w:bottom w:val="single" w:sz="4" w:space="0" w:color="auto"/>
              <w:right w:val="single" w:sz="4" w:space="0" w:color="auto"/>
            </w:tcBorders>
            <w:shd w:val="clear" w:color="auto" w:fill="auto"/>
            <w:noWrap/>
            <w:vAlign w:val="bottom"/>
            <w:hideMark/>
          </w:tcPr>
          <w:p w14:paraId="5350ACA7" w14:textId="77777777" w:rsidR="00620422" w:rsidRPr="008204CC" w:rsidRDefault="00620422" w:rsidP="0066301C">
            <w:pPr>
              <w:spacing w:after="0" w:line="240" w:lineRule="auto"/>
              <w:jc w:val="right"/>
              <w:rPr>
                <w:rFonts w:ascii="Arial" w:eastAsia="Times New Roman" w:hAnsi="Arial" w:cs="Arial"/>
                <w:color w:val="000000"/>
                <w:sz w:val="18"/>
                <w:szCs w:val="18"/>
                <w:lang w:eastAsia="en-GB"/>
              </w:rPr>
            </w:pPr>
            <w:r w:rsidRPr="008204CC">
              <w:rPr>
                <w:rFonts w:ascii="Arial" w:eastAsia="Times New Roman" w:hAnsi="Arial" w:cs="Arial"/>
                <w:color w:val="000000"/>
                <w:sz w:val="18"/>
                <w:szCs w:val="18"/>
                <w:lang w:eastAsia="en-GB"/>
              </w:rPr>
              <w:t>100.4349359</w:t>
            </w:r>
          </w:p>
        </w:tc>
        <w:tc>
          <w:tcPr>
            <w:tcW w:w="1701" w:type="dxa"/>
            <w:tcBorders>
              <w:top w:val="nil"/>
              <w:left w:val="nil"/>
              <w:bottom w:val="single" w:sz="4" w:space="0" w:color="auto"/>
              <w:right w:val="single" w:sz="4" w:space="0" w:color="auto"/>
            </w:tcBorders>
            <w:shd w:val="clear" w:color="auto" w:fill="auto"/>
            <w:noWrap/>
            <w:vAlign w:val="bottom"/>
            <w:hideMark/>
          </w:tcPr>
          <w:p w14:paraId="58FC5995" w14:textId="77777777" w:rsidR="00620422" w:rsidRPr="008204CC" w:rsidRDefault="00620422" w:rsidP="0066301C">
            <w:pPr>
              <w:spacing w:after="0" w:line="240" w:lineRule="auto"/>
              <w:jc w:val="right"/>
              <w:rPr>
                <w:rFonts w:ascii="Arial" w:eastAsia="Times New Roman" w:hAnsi="Arial" w:cs="Arial"/>
                <w:color w:val="000000"/>
                <w:sz w:val="18"/>
                <w:szCs w:val="18"/>
                <w:lang w:eastAsia="en-GB"/>
              </w:rPr>
            </w:pPr>
            <w:r w:rsidRPr="008204CC">
              <w:rPr>
                <w:rFonts w:ascii="Arial" w:eastAsia="Times New Roman" w:hAnsi="Arial" w:cs="Arial"/>
                <w:color w:val="000000"/>
                <w:sz w:val="18"/>
                <w:szCs w:val="18"/>
                <w:lang w:eastAsia="en-GB"/>
              </w:rPr>
              <w:t>103.0664152</w:t>
            </w:r>
          </w:p>
        </w:tc>
        <w:tc>
          <w:tcPr>
            <w:tcW w:w="1984" w:type="dxa"/>
            <w:tcBorders>
              <w:top w:val="nil"/>
              <w:left w:val="nil"/>
              <w:bottom w:val="single" w:sz="4" w:space="0" w:color="auto"/>
              <w:right w:val="single" w:sz="4" w:space="0" w:color="auto"/>
            </w:tcBorders>
            <w:shd w:val="clear" w:color="auto" w:fill="auto"/>
            <w:noWrap/>
            <w:vAlign w:val="bottom"/>
            <w:hideMark/>
          </w:tcPr>
          <w:p w14:paraId="64059DF1" w14:textId="77777777" w:rsidR="00620422" w:rsidRPr="008204CC" w:rsidRDefault="00620422" w:rsidP="0066301C">
            <w:pPr>
              <w:spacing w:after="0" w:line="240" w:lineRule="auto"/>
              <w:jc w:val="right"/>
              <w:rPr>
                <w:rFonts w:ascii="Arial" w:eastAsia="Times New Roman" w:hAnsi="Arial" w:cs="Arial"/>
                <w:sz w:val="18"/>
                <w:szCs w:val="18"/>
                <w:lang w:eastAsia="en-GB"/>
              </w:rPr>
            </w:pPr>
            <w:r w:rsidRPr="008204CC">
              <w:rPr>
                <w:rFonts w:ascii="Arial" w:eastAsia="Times New Roman" w:hAnsi="Arial" w:cs="Arial"/>
                <w:sz w:val="18"/>
                <w:szCs w:val="18"/>
                <w:lang w:eastAsia="en-GB"/>
              </w:rPr>
              <w:t>-2.63148</w:t>
            </w:r>
          </w:p>
        </w:tc>
        <w:tc>
          <w:tcPr>
            <w:tcW w:w="709" w:type="dxa"/>
            <w:vMerge/>
            <w:tcBorders>
              <w:left w:val="nil"/>
              <w:right w:val="single" w:sz="4" w:space="0" w:color="auto"/>
            </w:tcBorders>
          </w:tcPr>
          <w:p w14:paraId="46890735" w14:textId="77777777" w:rsidR="00620422" w:rsidRPr="008204CC" w:rsidRDefault="00620422" w:rsidP="0066301C">
            <w:pPr>
              <w:spacing w:after="0" w:line="240" w:lineRule="auto"/>
              <w:jc w:val="right"/>
              <w:rPr>
                <w:rFonts w:ascii="Arial" w:eastAsia="Times New Roman" w:hAnsi="Arial" w:cs="Arial"/>
                <w:sz w:val="18"/>
                <w:szCs w:val="18"/>
                <w:lang w:eastAsia="en-GB"/>
              </w:rPr>
            </w:pPr>
          </w:p>
        </w:tc>
        <w:tc>
          <w:tcPr>
            <w:tcW w:w="999" w:type="dxa"/>
            <w:gridSpan w:val="2"/>
            <w:tcBorders>
              <w:top w:val="nil"/>
              <w:left w:val="single" w:sz="4" w:space="0" w:color="auto"/>
              <w:bottom w:val="single" w:sz="4" w:space="0" w:color="auto"/>
              <w:right w:val="single" w:sz="4" w:space="0" w:color="auto"/>
            </w:tcBorders>
            <w:shd w:val="clear" w:color="auto" w:fill="auto"/>
            <w:vAlign w:val="bottom"/>
          </w:tcPr>
          <w:p w14:paraId="11E6623C" w14:textId="77777777" w:rsidR="00620422" w:rsidRPr="008204CC" w:rsidRDefault="00620422" w:rsidP="0066301C">
            <w:pPr>
              <w:spacing w:after="0" w:line="240" w:lineRule="auto"/>
              <w:jc w:val="right"/>
              <w:rPr>
                <w:rFonts w:ascii="Arial" w:eastAsia="Times New Roman" w:hAnsi="Arial" w:cs="Arial"/>
                <w:color w:val="000000"/>
                <w:sz w:val="18"/>
                <w:szCs w:val="18"/>
                <w:lang w:eastAsia="en-GB"/>
              </w:rPr>
            </w:pPr>
            <w:r w:rsidRPr="008204CC">
              <w:rPr>
                <w:rFonts w:ascii="Arial" w:eastAsia="Times New Roman" w:hAnsi="Arial" w:cs="Arial"/>
                <w:color w:val="000000"/>
                <w:sz w:val="18"/>
                <w:szCs w:val="18"/>
                <w:lang w:eastAsia="en-GB"/>
              </w:rPr>
              <w:t>1998</w:t>
            </w:r>
          </w:p>
        </w:tc>
        <w:tc>
          <w:tcPr>
            <w:tcW w:w="1415" w:type="dxa"/>
            <w:gridSpan w:val="2"/>
            <w:tcBorders>
              <w:top w:val="nil"/>
              <w:left w:val="nil"/>
              <w:bottom w:val="single" w:sz="4" w:space="0" w:color="auto"/>
              <w:right w:val="single" w:sz="4" w:space="0" w:color="auto"/>
            </w:tcBorders>
            <w:shd w:val="clear" w:color="auto" w:fill="auto"/>
            <w:vAlign w:val="bottom"/>
          </w:tcPr>
          <w:p w14:paraId="4E535370" w14:textId="77777777" w:rsidR="00620422" w:rsidRPr="008204CC" w:rsidRDefault="00620422" w:rsidP="0066301C">
            <w:pPr>
              <w:spacing w:after="0" w:line="240" w:lineRule="auto"/>
              <w:jc w:val="right"/>
              <w:rPr>
                <w:rFonts w:ascii="Arial" w:eastAsia="Times New Roman" w:hAnsi="Arial" w:cs="Arial"/>
                <w:color w:val="000000"/>
                <w:sz w:val="18"/>
                <w:szCs w:val="18"/>
                <w:lang w:eastAsia="en-GB"/>
              </w:rPr>
            </w:pPr>
            <w:r w:rsidRPr="008204CC">
              <w:rPr>
                <w:rFonts w:ascii="Arial" w:eastAsia="Times New Roman" w:hAnsi="Arial" w:cs="Arial"/>
                <w:color w:val="000000"/>
                <w:sz w:val="18"/>
                <w:szCs w:val="18"/>
                <w:lang w:eastAsia="en-GB"/>
              </w:rPr>
              <w:t>93.91736</w:t>
            </w:r>
          </w:p>
        </w:tc>
        <w:tc>
          <w:tcPr>
            <w:tcW w:w="1559" w:type="dxa"/>
            <w:gridSpan w:val="2"/>
            <w:tcBorders>
              <w:top w:val="nil"/>
              <w:left w:val="nil"/>
              <w:bottom w:val="single" w:sz="4" w:space="0" w:color="auto"/>
              <w:right w:val="single" w:sz="4" w:space="0" w:color="auto"/>
            </w:tcBorders>
            <w:shd w:val="clear" w:color="auto" w:fill="auto"/>
            <w:vAlign w:val="bottom"/>
          </w:tcPr>
          <w:p w14:paraId="6DB4E001" w14:textId="77777777" w:rsidR="00620422" w:rsidRPr="008204CC" w:rsidRDefault="00620422" w:rsidP="0066301C">
            <w:pPr>
              <w:spacing w:after="0" w:line="240" w:lineRule="auto"/>
              <w:jc w:val="right"/>
              <w:rPr>
                <w:rFonts w:ascii="Arial" w:eastAsia="Times New Roman" w:hAnsi="Arial" w:cs="Arial"/>
                <w:color w:val="000000"/>
                <w:sz w:val="18"/>
                <w:szCs w:val="18"/>
                <w:lang w:eastAsia="en-GB"/>
              </w:rPr>
            </w:pPr>
            <w:r w:rsidRPr="008204CC">
              <w:rPr>
                <w:rFonts w:ascii="Arial" w:eastAsia="Times New Roman" w:hAnsi="Arial" w:cs="Arial"/>
                <w:color w:val="000000"/>
                <w:sz w:val="18"/>
                <w:szCs w:val="18"/>
                <w:lang w:eastAsia="en-GB"/>
              </w:rPr>
              <w:t>95.52268</w:t>
            </w:r>
          </w:p>
        </w:tc>
        <w:tc>
          <w:tcPr>
            <w:tcW w:w="2122" w:type="dxa"/>
            <w:gridSpan w:val="2"/>
            <w:tcBorders>
              <w:top w:val="nil"/>
              <w:left w:val="nil"/>
              <w:bottom w:val="single" w:sz="4" w:space="0" w:color="auto"/>
              <w:right w:val="single" w:sz="4" w:space="0" w:color="auto"/>
            </w:tcBorders>
            <w:shd w:val="clear" w:color="auto" w:fill="auto"/>
            <w:vAlign w:val="bottom"/>
          </w:tcPr>
          <w:p w14:paraId="4F026AEB" w14:textId="77777777" w:rsidR="00620422" w:rsidRPr="008204CC" w:rsidRDefault="00620422" w:rsidP="0066301C">
            <w:pPr>
              <w:spacing w:after="0" w:line="240" w:lineRule="auto"/>
              <w:jc w:val="right"/>
              <w:rPr>
                <w:rFonts w:ascii="Arial" w:eastAsia="Times New Roman" w:hAnsi="Arial" w:cs="Arial"/>
                <w:color w:val="000000"/>
                <w:sz w:val="18"/>
                <w:szCs w:val="18"/>
                <w:lang w:eastAsia="en-GB"/>
              </w:rPr>
            </w:pPr>
            <w:r w:rsidRPr="008204CC">
              <w:rPr>
                <w:rFonts w:ascii="Arial" w:eastAsia="Times New Roman" w:hAnsi="Arial" w:cs="Arial"/>
                <w:color w:val="000000"/>
                <w:sz w:val="18"/>
                <w:szCs w:val="18"/>
                <w:lang w:eastAsia="en-GB"/>
              </w:rPr>
              <w:t>-1.60533</w:t>
            </w:r>
          </w:p>
        </w:tc>
      </w:tr>
      <w:tr w:rsidR="008A6AC3" w:rsidRPr="008204CC" w14:paraId="3C463540" w14:textId="77777777" w:rsidTr="00D46B41">
        <w:trPr>
          <w:trHeight w:val="270"/>
        </w:trPr>
        <w:tc>
          <w:tcPr>
            <w:tcW w:w="1135" w:type="dxa"/>
            <w:tcBorders>
              <w:top w:val="nil"/>
              <w:left w:val="single" w:sz="4" w:space="0" w:color="auto"/>
              <w:bottom w:val="single" w:sz="4" w:space="0" w:color="auto"/>
              <w:right w:val="single" w:sz="4" w:space="0" w:color="auto"/>
            </w:tcBorders>
            <w:shd w:val="clear" w:color="auto" w:fill="auto"/>
            <w:noWrap/>
            <w:vAlign w:val="bottom"/>
            <w:hideMark/>
          </w:tcPr>
          <w:p w14:paraId="03DF5FD0" w14:textId="77777777" w:rsidR="00620422" w:rsidRPr="008204CC" w:rsidRDefault="00620422" w:rsidP="0066301C">
            <w:pPr>
              <w:spacing w:after="0" w:line="240" w:lineRule="auto"/>
              <w:jc w:val="right"/>
              <w:rPr>
                <w:rFonts w:ascii="Arial" w:eastAsia="Times New Roman" w:hAnsi="Arial" w:cs="Arial"/>
                <w:color w:val="000000"/>
                <w:sz w:val="18"/>
                <w:szCs w:val="18"/>
                <w:lang w:eastAsia="en-GB"/>
              </w:rPr>
            </w:pPr>
            <w:r w:rsidRPr="008204CC">
              <w:rPr>
                <w:rFonts w:ascii="Arial" w:eastAsia="Times New Roman" w:hAnsi="Arial" w:cs="Arial"/>
                <w:color w:val="000000"/>
                <w:sz w:val="18"/>
                <w:szCs w:val="18"/>
                <w:lang w:eastAsia="en-GB"/>
              </w:rPr>
              <w:t>1999</w:t>
            </w:r>
          </w:p>
        </w:tc>
        <w:tc>
          <w:tcPr>
            <w:tcW w:w="1701" w:type="dxa"/>
            <w:tcBorders>
              <w:top w:val="nil"/>
              <w:left w:val="nil"/>
              <w:bottom w:val="single" w:sz="4" w:space="0" w:color="auto"/>
              <w:right w:val="single" w:sz="4" w:space="0" w:color="auto"/>
            </w:tcBorders>
            <w:shd w:val="clear" w:color="auto" w:fill="auto"/>
            <w:noWrap/>
            <w:vAlign w:val="bottom"/>
            <w:hideMark/>
          </w:tcPr>
          <w:p w14:paraId="2B6B5D65" w14:textId="77777777" w:rsidR="00620422" w:rsidRPr="008204CC" w:rsidRDefault="00620422" w:rsidP="0066301C">
            <w:pPr>
              <w:spacing w:after="0" w:line="240" w:lineRule="auto"/>
              <w:jc w:val="right"/>
              <w:rPr>
                <w:rFonts w:ascii="Arial" w:eastAsia="Times New Roman" w:hAnsi="Arial" w:cs="Arial"/>
                <w:color w:val="000000"/>
                <w:sz w:val="18"/>
                <w:szCs w:val="18"/>
                <w:lang w:eastAsia="en-GB"/>
              </w:rPr>
            </w:pPr>
            <w:r w:rsidRPr="008204CC">
              <w:rPr>
                <w:rFonts w:ascii="Arial" w:eastAsia="Times New Roman" w:hAnsi="Arial" w:cs="Arial"/>
                <w:color w:val="000000"/>
                <w:sz w:val="18"/>
                <w:szCs w:val="18"/>
                <w:lang w:eastAsia="en-GB"/>
              </w:rPr>
              <w:t>99.37948393</w:t>
            </w:r>
          </w:p>
        </w:tc>
        <w:tc>
          <w:tcPr>
            <w:tcW w:w="1701" w:type="dxa"/>
            <w:tcBorders>
              <w:top w:val="nil"/>
              <w:left w:val="nil"/>
              <w:bottom w:val="single" w:sz="4" w:space="0" w:color="auto"/>
              <w:right w:val="single" w:sz="4" w:space="0" w:color="auto"/>
            </w:tcBorders>
            <w:shd w:val="clear" w:color="auto" w:fill="auto"/>
            <w:noWrap/>
            <w:vAlign w:val="bottom"/>
            <w:hideMark/>
          </w:tcPr>
          <w:p w14:paraId="50EAB352" w14:textId="77777777" w:rsidR="00620422" w:rsidRPr="008204CC" w:rsidRDefault="00620422" w:rsidP="0066301C">
            <w:pPr>
              <w:spacing w:after="0" w:line="240" w:lineRule="auto"/>
              <w:jc w:val="right"/>
              <w:rPr>
                <w:rFonts w:ascii="Arial" w:eastAsia="Times New Roman" w:hAnsi="Arial" w:cs="Arial"/>
                <w:color w:val="000000"/>
                <w:sz w:val="18"/>
                <w:szCs w:val="18"/>
                <w:lang w:eastAsia="en-GB"/>
              </w:rPr>
            </w:pPr>
            <w:r w:rsidRPr="008204CC">
              <w:rPr>
                <w:rFonts w:ascii="Arial" w:eastAsia="Times New Roman" w:hAnsi="Arial" w:cs="Arial"/>
                <w:color w:val="000000"/>
                <w:sz w:val="18"/>
                <w:szCs w:val="18"/>
                <w:lang w:eastAsia="en-GB"/>
              </w:rPr>
              <w:t>100.877954</w:t>
            </w:r>
          </w:p>
        </w:tc>
        <w:tc>
          <w:tcPr>
            <w:tcW w:w="1984" w:type="dxa"/>
            <w:tcBorders>
              <w:top w:val="nil"/>
              <w:left w:val="nil"/>
              <w:bottom w:val="single" w:sz="4" w:space="0" w:color="auto"/>
              <w:right w:val="single" w:sz="4" w:space="0" w:color="auto"/>
            </w:tcBorders>
            <w:shd w:val="clear" w:color="auto" w:fill="auto"/>
            <w:noWrap/>
            <w:vAlign w:val="bottom"/>
            <w:hideMark/>
          </w:tcPr>
          <w:p w14:paraId="56EE4381" w14:textId="77777777" w:rsidR="00620422" w:rsidRPr="008204CC" w:rsidRDefault="00620422" w:rsidP="0066301C">
            <w:pPr>
              <w:spacing w:after="0" w:line="240" w:lineRule="auto"/>
              <w:jc w:val="right"/>
              <w:rPr>
                <w:rFonts w:ascii="Arial" w:eastAsia="Times New Roman" w:hAnsi="Arial" w:cs="Arial"/>
                <w:sz w:val="18"/>
                <w:szCs w:val="18"/>
                <w:lang w:eastAsia="en-GB"/>
              </w:rPr>
            </w:pPr>
            <w:r w:rsidRPr="008204CC">
              <w:rPr>
                <w:rFonts w:ascii="Arial" w:eastAsia="Times New Roman" w:hAnsi="Arial" w:cs="Arial"/>
                <w:sz w:val="18"/>
                <w:szCs w:val="18"/>
                <w:lang w:eastAsia="en-GB"/>
              </w:rPr>
              <w:t>-1.49847</w:t>
            </w:r>
          </w:p>
        </w:tc>
        <w:tc>
          <w:tcPr>
            <w:tcW w:w="709" w:type="dxa"/>
            <w:vMerge/>
            <w:tcBorders>
              <w:left w:val="nil"/>
              <w:right w:val="single" w:sz="4" w:space="0" w:color="auto"/>
            </w:tcBorders>
          </w:tcPr>
          <w:p w14:paraId="0DA0893A" w14:textId="77777777" w:rsidR="00620422" w:rsidRPr="008204CC" w:rsidRDefault="00620422" w:rsidP="0066301C">
            <w:pPr>
              <w:spacing w:after="0" w:line="240" w:lineRule="auto"/>
              <w:jc w:val="right"/>
              <w:rPr>
                <w:rFonts w:ascii="Arial" w:eastAsia="Times New Roman" w:hAnsi="Arial" w:cs="Arial"/>
                <w:sz w:val="18"/>
                <w:szCs w:val="18"/>
                <w:lang w:eastAsia="en-GB"/>
              </w:rPr>
            </w:pPr>
          </w:p>
        </w:tc>
        <w:tc>
          <w:tcPr>
            <w:tcW w:w="999" w:type="dxa"/>
            <w:gridSpan w:val="2"/>
            <w:tcBorders>
              <w:top w:val="nil"/>
              <w:left w:val="single" w:sz="4" w:space="0" w:color="auto"/>
              <w:bottom w:val="single" w:sz="4" w:space="0" w:color="auto"/>
              <w:right w:val="single" w:sz="4" w:space="0" w:color="auto"/>
            </w:tcBorders>
            <w:shd w:val="clear" w:color="auto" w:fill="auto"/>
            <w:vAlign w:val="bottom"/>
          </w:tcPr>
          <w:p w14:paraId="62BD35FB" w14:textId="77777777" w:rsidR="00620422" w:rsidRPr="008204CC" w:rsidRDefault="00620422" w:rsidP="0066301C">
            <w:pPr>
              <w:spacing w:after="0" w:line="240" w:lineRule="auto"/>
              <w:jc w:val="right"/>
              <w:rPr>
                <w:rFonts w:ascii="Arial" w:eastAsia="Times New Roman" w:hAnsi="Arial" w:cs="Arial"/>
                <w:color w:val="000000"/>
                <w:sz w:val="18"/>
                <w:szCs w:val="18"/>
                <w:lang w:eastAsia="en-GB"/>
              </w:rPr>
            </w:pPr>
            <w:r w:rsidRPr="008204CC">
              <w:rPr>
                <w:rFonts w:ascii="Arial" w:eastAsia="Times New Roman" w:hAnsi="Arial" w:cs="Arial"/>
                <w:color w:val="000000"/>
                <w:sz w:val="18"/>
                <w:szCs w:val="18"/>
                <w:lang w:eastAsia="en-GB"/>
              </w:rPr>
              <w:t>1999</w:t>
            </w:r>
          </w:p>
        </w:tc>
        <w:tc>
          <w:tcPr>
            <w:tcW w:w="1415" w:type="dxa"/>
            <w:gridSpan w:val="2"/>
            <w:tcBorders>
              <w:top w:val="nil"/>
              <w:left w:val="nil"/>
              <w:bottom w:val="single" w:sz="4" w:space="0" w:color="auto"/>
              <w:right w:val="single" w:sz="4" w:space="0" w:color="auto"/>
            </w:tcBorders>
            <w:shd w:val="clear" w:color="auto" w:fill="auto"/>
            <w:vAlign w:val="bottom"/>
          </w:tcPr>
          <w:p w14:paraId="0FCCDC11" w14:textId="77777777" w:rsidR="00620422" w:rsidRPr="008204CC" w:rsidRDefault="00620422" w:rsidP="0066301C">
            <w:pPr>
              <w:spacing w:after="0" w:line="240" w:lineRule="auto"/>
              <w:jc w:val="right"/>
              <w:rPr>
                <w:rFonts w:ascii="Arial" w:eastAsia="Times New Roman" w:hAnsi="Arial" w:cs="Arial"/>
                <w:color w:val="000000"/>
                <w:sz w:val="18"/>
                <w:szCs w:val="18"/>
                <w:lang w:eastAsia="en-GB"/>
              </w:rPr>
            </w:pPr>
            <w:r w:rsidRPr="008204CC">
              <w:rPr>
                <w:rFonts w:ascii="Arial" w:eastAsia="Times New Roman" w:hAnsi="Arial" w:cs="Arial"/>
                <w:color w:val="000000"/>
                <w:sz w:val="18"/>
                <w:szCs w:val="18"/>
                <w:lang w:eastAsia="en-GB"/>
              </w:rPr>
              <w:t>89.84651</w:t>
            </w:r>
          </w:p>
        </w:tc>
        <w:tc>
          <w:tcPr>
            <w:tcW w:w="1559" w:type="dxa"/>
            <w:gridSpan w:val="2"/>
            <w:tcBorders>
              <w:top w:val="nil"/>
              <w:left w:val="nil"/>
              <w:bottom w:val="single" w:sz="4" w:space="0" w:color="auto"/>
              <w:right w:val="single" w:sz="4" w:space="0" w:color="auto"/>
            </w:tcBorders>
            <w:shd w:val="clear" w:color="auto" w:fill="auto"/>
            <w:vAlign w:val="bottom"/>
          </w:tcPr>
          <w:p w14:paraId="412331A5" w14:textId="77777777" w:rsidR="00620422" w:rsidRPr="008204CC" w:rsidRDefault="00620422" w:rsidP="0066301C">
            <w:pPr>
              <w:spacing w:after="0" w:line="240" w:lineRule="auto"/>
              <w:jc w:val="right"/>
              <w:rPr>
                <w:rFonts w:ascii="Arial" w:eastAsia="Times New Roman" w:hAnsi="Arial" w:cs="Arial"/>
                <w:color w:val="000000"/>
                <w:sz w:val="18"/>
                <w:szCs w:val="18"/>
                <w:lang w:eastAsia="en-GB"/>
              </w:rPr>
            </w:pPr>
            <w:r w:rsidRPr="008204CC">
              <w:rPr>
                <w:rFonts w:ascii="Arial" w:eastAsia="Times New Roman" w:hAnsi="Arial" w:cs="Arial"/>
                <w:color w:val="000000"/>
                <w:sz w:val="18"/>
                <w:szCs w:val="18"/>
                <w:lang w:eastAsia="en-GB"/>
              </w:rPr>
              <w:t>93.02987</w:t>
            </w:r>
          </w:p>
        </w:tc>
        <w:tc>
          <w:tcPr>
            <w:tcW w:w="2122" w:type="dxa"/>
            <w:gridSpan w:val="2"/>
            <w:tcBorders>
              <w:top w:val="nil"/>
              <w:left w:val="nil"/>
              <w:bottom w:val="single" w:sz="4" w:space="0" w:color="auto"/>
              <w:right w:val="single" w:sz="4" w:space="0" w:color="auto"/>
            </w:tcBorders>
            <w:shd w:val="clear" w:color="auto" w:fill="auto"/>
            <w:vAlign w:val="bottom"/>
          </w:tcPr>
          <w:p w14:paraId="7E346CFE" w14:textId="77777777" w:rsidR="00620422" w:rsidRPr="008204CC" w:rsidRDefault="00620422" w:rsidP="0066301C">
            <w:pPr>
              <w:spacing w:after="0" w:line="240" w:lineRule="auto"/>
              <w:jc w:val="right"/>
              <w:rPr>
                <w:rFonts w:ascii="Arial" w:eastAsia="Times New Roman" w:hAnsi="Arial" w:cs="Arial"/>
                <w:color w:val="000000"/>
                <w:sz w:val="18"/>
                <w:szCs w:val="18"/>
                <w:lang w:eastAsia="en-GB"/>
              </w:rPr>
            </w:pPr>
            <w:r w:rsidRPr="008204CC">
              <w:rPr>
                <w:rFonts w:ascii="Arial" w:eastAsia="Times New Roman" w:hAnsi="Arial" w:cs="Arial"/>
                <w:color w:val="000000"/>
                <w:sz w:val="18"/>
                <w:szCs w:val="18"/>
                <w:lang w:eastAsia="en-GB"/>
              </w:rPr>
              <w:t>-3.18335</w:t>
            </w:r>
          </w:p>
        </w:tc>
      </w:tr>
      <w:tr w:rsidR="008A6AC3" w:rsidRPr="008204CC" w14:paraId="15433B9B" w14:textId="77777777" w:rsidTr="00D46B41">
        <w:trPr>
          <w:trHeight w:val="270"/>
        </w:trPr>
        <w:tc>
          <w:tcPr>
            <w:tcW w:w="1135" w:type="dxa"/>
            <w:tcBorders>
              <w:top w:val="nil"/>
              <w:left w:val="single" w:sz="4" w:space="0" w:color="auto"/>
              <w:bottom w:val="single" w:sz="4" w:space="0" w:color="auto"/>
              <w:right w:val="single" w:sz="4" w:space="0" w:color="auto"/>
            </w:tcBorders>
            <w:shd w:val="clear" w:color="auto" w:fill="auto"/>
            <w:noWrap/>
            <w:vAlign w:val="bottom"/>
            <w:hideMark/>
          </w:tcPr>
          <w:p w14:paraId="6C759E28" w14:textId="77777777" w:rsidR="00620422" w:rsidRPr="008204CC" w:rsidRDefault="00620422" w:rsidP="0066301C">
            <w:pPr>
              <w:spacing w:after="0" w:line="240" w:lineRule="auto"/>
              <w:jc w:val="right"/>
              <w:rPr>
                <w:rFonts w:ascii="Arial" w:eastAsia="Times New Roman" w:hAnsi="Arial" w:cs="Arial"/>
                <w:color w:val="000000"/>
                <w:sz w:val="18"/>
                <w:szCs w:val="18"/>
                <w:lang w:eastAsia="en-GB"/>
              </w:rPr>
            </w:pPr>
            <w:r w:rsidRPr="008204CC">
              <w:rPr>
                <w:rFonts w:ascii="Arial" w:eastAsia="Times New Roman" w:hAnsi="Arial" w:cs="Arial"/>
                <w:color w:val="000000"/>
                <w:sz w:val="18"/>
                <w:szCs w:val="18"/>
                <w:lang w:eastAsia="en-GB"/>
              </w:rPr>
              <w:t>2000</w:t>
            </w:r>
          </w:p>
        </w:tc>
        <w:tc>
          <w:tcPr>
            <w:tcW w:w="1701" w:type="dxa"/>
            <w:tcBorders>
              <w:top w:val="nil"/>
              <w:left w:val="nil"/>
              <w:bottom w:val="single" w:sz="4" w:space="0" w:color="auto"/>
              <w:right w:val="single" w:sz="4" w:space="0" w:color="auto"/>
            </w:tcBorders>
            <w:shd w:val="clear" w:color="auto" w:fill="auto"/>
            <w:noWrap/>
            <w:vAlign w:val="bottom"/>
            <w:hideMark/>
          </w:tcPr>
          <w:p w14:paraId="7741506D" w14:textId="77777777" w:rsidR="00620422" w:rsidRPr="008204CC" w:rsidRDefault="00620422" w:rsidP="0066301C">
            <w:pPr>
              <w:spacing w:after="0" w:line="240" w:lineRule="auto"/>
              <w:jc w:val="right"/>
              <w:rPr>
                <w:rFonts w:ascii="Arial" w:eastAsia="Times New Roman" w:hAnsi="Arial" w:cs="Arial"/>
                <w:color w:val="000000"/>
                <w:sz w:val="18"/>
                <w:szCs w:val="18"/>
                <w:lang w:eastAsia="en-GB"/>
              </w:rPr>
            </w:pPr>
            <w:r w:rsidRPr="008204CC">
              <w:rPr>
                <w:rFonts w:ascii="Arial" w:eastAsia="Times New Roman" w:hAnsi="Arial" w:cs="Arial"/>
                <w:color w:val="000000"/>
                <w:sz w:val="18"/>
                <w:szCs w:val="18"/>
                <w:lang w:eastAsia="en-GB"/>
              </w:rPr>
              <w:t>93.68777499</w:t>
            </w:r>
          </w:p>
        </w:tc>
        <w:tc>
          <w:tcPr>
            <w:tcW w:w="1701" w:type="dxa"/>
            <w:tcBorders>
              <w:top w:val="nil"/>
              <w:left w:val="nil"/>
              <w:bottom w:val="single" w:sz="4" w:space="0" w:color="auto"/>
              <w:right w:val="single" w:sz="4" w:space="0" w:color="auto"/>
            </w:tcBorders>
            <w:shd w:val="clear" w:color="auto" w:fill="auto"/>
            <w:noWrap/>
            <w:vAlign w:val="bottom"/>
            <w:hideMark/>
          </w:tcPr>
          <w:p w14:paraId="1FB75505" w14:textId="77777777" w:rsidR="00620422" w:rsidRPr="008204CC" w:rsidRDefault="00620422" w:rsidP="0066301C">
            <w:pPr>
              <w:spacing w:after="0" w:line="240" w:lineRule="auto"/>
              <w:jc w:val="right"/>
              <w:rPr>
                <w:rFonts w:ascii="Arial" w:eastAsia="Times New Roman" w:hAnsi="Arial" w:cs="Arial"/>
                <w:color w:val="000000"/>
                <w:sz w:val="18"/>
                <w:szCs w:val="18"/>
                <w:lang w:eastAsia="en-GB"/>
              </w:rPr>
            </w:pPr>
            <w:r w:rsidRPr="008204CC">
              <w:rPr>
                <w:rFonts w:ascii="Arial" w:eastAsia="Times New Roman" w:hAnsi="Arial" w:cs="Arial"/>
                <w:color w:val="000000"/>
                <w:sz w:val="18"/>
                <w:szCs w:val="18"/>
                <w:lang w:eastAsia="en-GB"/>
              </w:rPr>
              <w:t>99.49121443</w:t>
            </w:r>
          </w:p>
        </w:tc>
        <w:tc>
          <w:tcPr>
            <w:tcW w:w="1984" w:type="dxa"/>
            <w:tcBorders>
              <w:top w:val="nil"/>
              <w:left w:val="nil"/>
              <w:bottom w:val="single" w:sz="4" w:space="0" w:color="auto"/>
              <w:right w:val="single" w:sz="4" w:space="0" w:color="auto"/>
            </w:tcBorders>
            <w:shd w:val="clear" w:color="auto" w:fill="auto"/>
            <w:noWrap/>
            <w:vAlign w:val="bottom"/>
            <w:hideMark/>
          </w:tcPr>
          <w:p w14:paraId="57455830" w14:textId="77777777" w:rsidR="00620422" w:rsidRPr="008204CC" w:rsidRDefault="00620422" w:rsidP="0066301C">
            <w:pPr>
              <w:spacing w:after="0" w:line="240" w:lineRule="auto"/>
              <w:jc w:val="right"/>
              <w:rPr>
                <w:rFonts w:ascii="Arial" w:eastAsia="Times New Roman" w:hAnsi="Arial" w:cs="Arial"/>
                <w:sz w:val="18"/>
                <w:szCs w:val="18"/>
                <w:lang w:eastAsia="en-GB"/>
              </w:rPr>
            </w:pPr>
            <w:r w:rsidRPr="008204CC">
              <w:rPr>
                <w:rFonts w:ascii="Arial" w:eastAsia="Times New Roman" w:hAnsi="Arial" w:cs="Arial"/>
                <w:sz w:val="18"/>
                <w:szCs w:val="18"/>
                <w:lang w:eastAsia="en-GB"/>
              </w:rPr>
              <w:t>-5.80344</w:t>
            </w:r>
          </w:p>
        </w:tc>
        <w:tc>
          <w:tcPr>
            <w:tcW w:w="709" w:type="dxa"/>
            <w:vMerge/>
            <w:tcBorders>
              <w:left w:val="nil"/>
              <w:right w:val="single" w:sz="4" w:space="0" w:color="auto"/>
            </w:tcBorders>
          </w:tcPr>
          <w:p w14:paraId="1A550C32" w14:textId="77777777" w:rsidR="00620422" w:rsidRPr="008204CC" w:rsidRDefault="00620422" w:rsidP="0066301C">
            <w:pPr>
              <w:spacing w:after="0" w:line="240" w:lineRule="auto"/>
              <w:jc w:val="right"/>
              <w:rPr>
                <w:rFonts w:ascii="Arial" w:eastAsia="Times New Roman" w:hAnsi="Arial" w:cs="Arial"/>
                <w:sz w:val="18"/>
                <w:szCs w:val="18"/>
                <w:lang w:eastAsia="en-GB"/>
              </w:rPr>
            </w:pPr>
          </w:p>
        </w:tc>
        <w:tc>
          <w:tcPr>
            <w:tcW w:w="999" w:type="dxa"/>
            <w:gridSpan w:val="2"/>
            <w:tcBorders>
              <w:top w:val="nil"/>
              <w:left w:val="single" w:sz="4" w:space="0" w:color="auto"/>
              <w:bottom w:val="single" w:sz="4" w:space="0" w:color="auto"/>
              <w:right w:val="single" w:sz="4" w:space="0" w:color="auto"/>
            </w:tcBorders>
            <w:shd w:val="clear" w:color="auto" w:fill="auto"/>
            <w:vAlign w:val="bottom"/>
          </w:tcPr>
          <w:p w14:paraId="4BC19D13" w14:textId="77777777" w:rsidR="00620422" w:rsidRPr="008204CC" w:rsidRDefault="00620422" w:rsidP="0066301C">
            <w:pPr>
              <w:spacing w:after="0" w:line="240" w:lineRule="auto"/>
              <w:jc w:val="right"/>
              <w:rPr>
                <w:rFonts w:ascii="Arial" w:eastAsia="Times New Roman" w:hAnsi="Arial" w:cs="Arial"/>
                <w:color w:val="000000"/>
                <w:sz w:val="18"/>
                <w:szCs w:val="18"/>
                <w:lang w:eastAsia="en-GB"/>
              </w:rPr>
            </w:pPr>
            <w:r w:rsidRPr="008204CC">
              <w:rPr>
                <w:rFonts w:ascii="Arial" w:eastAsia="Times New Roman" w:hAnsi="Arial" w:cs="Arial"/>
                <w:color w:val="000000"/>
                <w:sz w:val="18"/>
                <w:szCs w:val="18"/>
                <w:lang w:eastAsia="en-GB"/>
              </w:rPr>
              <w:t>2000</w:t>
            </w:r>
          </w:p>
        </w:tc>
        <w:tc>
          <w:tcPr>
            <w:tcW w:w="1415" w:type="dxa"/>
            <w:gridSpan w:val="2"/>
            <w:tcBorders>
              <w:top w:val="nil"/>
              <w:left w:val="nil"/>
              <w:bottom w:val="single" w:sz="4" w:space="0" w:color="auto"/>
              <w:right w:val="single" w:sz="4" w:space="0" w:color="auto"/>
            </w:tcBorders>
            <w:shd w:val="clear" w:color="auto" w:fill="auto"/>
            <w:vAlign w:val="bottom"/>
          </w:tcPr>
          <w:p w14:paraId="5DB3C39B" w14:textId="77777777" w:rsidR="00620422" w:rsidRPr="008204CC" w:rsidRDefault="00620422" w:rsidP="0066301C">
            <w:pPr>
              <w:spacing w:after="0" w:line="240" w:lineRule="auto"/>
              <w:jc w:val="right"/>
              <w:rPr>
                <w:rFonts w:ascii="Arial" w:eastAsia="Times New Roman" w:hAnsi="Arial" w:cs="Arial"/>
                <w:color w:val="000000"/>
                <w:sz w:val="18"/>
                <w:szCs w:val="18"/>
                <w:lang w:eastAsia="en-GB"/>
              </w:rPr>
            </w:pPr>
            <w:r w:rsidRPr="008204CC">
              <w:rPr>
                <w:rFonts w:ascii="Arial" w:eastAsia="Times New Roman" w:hAnsi="Arial" w:cs="Arial"/>
                <w:color w:val="000000"/>
                <w:sz w:val="18"/>
                <w:szCs w:val="18"/>
                <w:lang w:eastAsia="en-GB"/>
              </w:rPr>
              <w:t>87.00261</w:t>
            </w:r>
          </w:p>
        </w:tc>
        <w:tc>
          <w:tcPr>
            <w:tcW w:w="1559" w:type="dxa"/>
            <w:gridSpan w:val="2"/>
            <w:tcBorders>
              <w:top w:val="nil"/>
              <w:left w:val="nil"/>
              <w:bottom w:val="single" w:sz="4" w:space="0" w:color="auto"/>
              <w:right w:val="single" w:sz="4" w:space="0" w:color="auto"/>
            </w:tcBorders>
            <w:shd w:val="clear" w:color="auto" w:fill="auto"/>
            <w:vAlign w:val="bottom"/>
          </w:tcPr>
          <w:p w14:paraId="54640C1D" w14:textId="77777777" w:rsidR="00620422" w:rsidRPr="008204CC" w:rsidRDefault="00620422" w:rsidP="0066301C">
            <w:pPr>
              <w:spacing w:after="0" w:line="240" w:lineRule="auto"/>
              <w:jc w:val="right"/>
              <w:rPr>
                <w:rFonts w:ascii="Arial" w:eastAsia="Times New Roman" w:hAnsi="Arial" w:cs="Arial"/>
                <w:color w:val="000000"/>
                <w:sz w:val="18"/>
                <w:szCs w:val="18"/>
                <w:lang w:eastAsia="en-GB"/>
              </w:rPr>
            </w:pPr>
            <w:r w:rsidRPr="008204CC">
              <w:rPr>
                <w:rFonts w:ascii="Arial" w:eastAsia="Times New Roman" w:hAnsi="Arial" w:cs="Arial"/>
                <w:color w:val="000000"/>
                <w:sz w:val="18"/>
                <w:szCs w:val="18"/>
                <w:lang w:eastAsia="en-GB"/>
              </w:rPr>
              <w:t>91.44136</w:t>
            </w:r>
          </w:p>
        </w:tc>
        <w:tc>
          <w:tcPr>
            <w:tcW w:w="2122" w:type="dxa"/>
            <w:gridSpan w:val="2"/>
            <w:tcBorders>
              <w:top w:val="nil"/>
              <w:left w:val="nil"/>
              <w:bottom w:val="single" w:sz="4" w:space="0" w:color="auto"/>
              <w:right w:val="single" w:sz="4" w:space="0" w:color="auto"/>
            </w:tcBorders>
            <w:shd w:val="clear" w:color="auto" w:fill="auto"/>
            <w:vAlign w:val="bottom"/>
          </w:tcPr>
          <w:p w14:paraId="1D31A993" w14:textId="77777777" w:rsidR="00620422" w:rsidRPr="008204CC" w:rsidRDefault="00620422" w:rsidP="0066301C">
            <w:pPr>
              <w:spacing w:after="0" w:line="240" w:lineRule="auto"/>
              <w:jc w:val="right"/>
              <w:rPr>
                <w:rFonts w:ascii="Arial" w:eastAsia="Times New Roman" w:hAnsi="Arial" w:cs="Arial"/>
                <w:color w:val="000000"/>
                <w:sz w:val="18"/>
                <w:szCs w:val="18"/>
                <w:lang w:eastAsia="en-GB"/>
              </w:rPr>
            </w:pPr>
            <w:r w:rsidRPr="008204CC">
              <w:rPr>
                <w:rFonts w:ascii="Arial" w:eastAsia="Times New Roman" w:hAnsi="Arial" w:cs="Arial"/>
                <w:color w:val="000000"/>
                <w:sz w:val="18"/>
                <w:szCs w:val="18"/>
                <w:lang w:eastAsia="en-GB"/>
              </w:rPr>
              <w:t>-4.43876</w:t>
            </w:r>
          </w:p>
        </w:tc>
      </w:tr>
      <w:tr w:rsidR="008A6AC3" w:rsidRPr="008204CC" w14:paraId="393C9565" w14:textId="77777777" w:rsidTr="00D46B41">
        <w:trPr>
          <w:trHeight w:val="270"/>
        </w:trPr>
        <w:tc>
          <w:tcPr>
            <w:tcW w:w="1135" w:type="dxa"/>
            <w:tcBorders>
              <w:top w:val="nil"/>
              <w:left w:val="single" w:sz="4" w:space="0" w:color="auto"/>
              <w:bottom w:val="single" w:sz="4" w:space="0" w:color="auto"/>
              <w:right w:val="single" w:sz="4" w:space="0" w:color="auto"/>
            </w:tcBorders>
            <w:shd w:val="clear" w:color="auto" w:fill="auto"/>
            <w:noWrap/>
            <w:vAlign w:val="bottom"/>
            <w:hideMark/>
          </w:tcPr>
          <w:p w14:paraId="4F525C8F" w14:textId="77777777" w:rsidR="00620422" w:rsidRPr="008204CC" w:rsidRDefault="00620422" w:rsidP="0066301C">
            <w:pPr>
              <w:spacing w:after="0" w:line="240" w:lineRule="auto"/>
              <w:jc w:val="right"/>
              <w:rPr>
                <w:rFonts w:ascii="Arial" w:eastAsia="Times New Roman" w:hAnsi="Arial" w:cs="Arial"/>
                <w:color w:val="000000"/>
                <w:sz w:val="18"/>
                <w:szCs w:val="18"/>
                <w:lang w:eastAsia="en-GB"/>
              </w:rPr>
            </w:pPr>
            <w:r w:rsidRPr="008204CC">
              <w:rPr>
                <w:rFonts w:ascii="Arial" w:eastAsia="Times New Roman" w:hAnsi="Arial" w:cs="Arial"/>
                <w:color w:val="000000"/>
                <w:sz w:val="18"/>
                <w:szCs w:val="18"/>
                <w:lang w:eastAsia="en-GB"/>
              </w:rPr>
              <w:t>2001</w:t>
            </w:r>
          </w:p>
        </w:tc>
        <w:tc>
          <w:tcPr>
            <w:tcW w:w="1701" w:type="dxa"/>
            <w:tcBorders>
              <w:top w:val="nil"/>
              <w:left w:val="nil"/>
              <w:bottom w:val="single" w:sz="4" w:space="0" w:color="auto"/>
              <w:right w:val="single" w:sz="4" w:space="0" w:color="auto"/>
            </w:tcBorders>
            <w:shd w:val="clear" w:color="auto" w:fill="auto"/>
            <w:noWrap/>
            <w:vAlign w:val="bottom"/>
            <w:hideMark/>
          </w:tcPr>
          <w:p w14:paraId="25B5BD15" w14:textId="77777777" w:rsidR="00620422" w:rsidRPr="008204CC" w:rsidRDefault="00620422" w:rsidP="0066301C">
            <w:pPr>
              <w:spacing w:after="0" w:line="240" w:lineRule="auto"/>
              <w:jc w:val="right"/>
              <w:rPr>
                <w:rFonts w:ascii="Arial" w:eastAsia="Times New Roman" w:hAnsi="Arial" w:cs="Arial"/>
                <w:color w:val="000000"/>
                <w:sz w:val="18"/>
                <w:szCs w:val="18"/>
                <w:lang w:eastAsia="en-GB"/>
              </w:rPr>
            </w:pPr>
            <w:r w:rsidRPr="008204CC">
              <w:rPr>
                <w:rFonts w:ascii="Arial" w:eastAsia="Times New Roman" w:hAnsi="Arial" w:cs="Arial"/>
                <w:color w:val="000000"/>
                <w:sz w:val="18"/>
                <w:szCs w:val="18"/>
                <w:lang w:eastAsia="en-GB"/>
              </w:rPr>
              <w:t>96.84682302</w:t>
            </w:r>
          </w:p>
        </w:tc>
        <w:tc>
          <w:tcPr>
            <w:tcW w:w="1701" w:type="dxa"/>
            <w:tcBorders>
              <w:top w:val="nil"/>
              <w:left w:val="nil"/>
              <w:bottom w:val="single" w:sz="4" w:space="0" w:color="auto"/>
              <w:right w:val="single" w:sz="4" w:space="0" w:color="auto"/>
            </w:tcBorders>
            <w:shd w:val="clear" w:color="auto" w:fill="auto"/>
            <w:noWrap/>
            <w:vAlign w:val="bottom"/>
            <w:hideMark/>
          </w:tcPr>
          <w:p w14:paraId="48238E05" w14:textId="77777777" w:rsidR="00620422" w:rsidRPr="008204CC" w:rsidRDefault="00620422" w:rsidP="0066301C">
            <w:pPr>
              <w:spacing w:after="0" w:line="240" w:lineRule="auto"/>
              <w:jc w:val="right"/>
              <w:rPr>
                <w:rFonts w:ascii="Arial" w:eastAsia="Times New Roman" w:hAnsi="Arial" w:cs="Arial"/>
                <w:color w:val="000000"/>
                <w:sz w:val="18"/>
                <w:szCs w:val="18"/>
                <w:lang w:eastAsia="en-GB"/>
              </w:rPr>
            </w:pPr>
            <w:r w:rsidRPr="008204CC">
              <w:rPr>
                <w:rFonts w:ascii="Arial" w:eastAsia="Times New Roman" w:hAnsi="Arial" w:cs="Arial"/>
                <w:color w:val="000000"/>
                <w:sz w:val="18"/>
                <w:szCs w:val="18"/>
                <w:lang w:eastAsia="en-GB"/>
              </w:rPr>
              <w:t>98.80106869</w:t>
            </w:r>
          </w:p>
        </w:tc>
        <w:tc>
          <w:tcPr>
            <w:tcW w:w="1984" w:type="dxa"/>
            <w:tcBorders>
              <w:top w:val="nil"/>
              <w:left w:val="nil"/>
              <w:bottom w:val="single" w:sz="4" w:space="0" w:color="auto"/>
              <w:right w:val="single" w:sz="4" w:space="0" w:color="auto"/>
            </w:tcBorders>
            <w:shd w:val="clear" w:color="auto" w:fill="auto"/>
            <w:noWrap/>
            <w:vAlign w:val="bottom"/>
            <w:hideMark/>
          </w:tcPr>
          <w:p w14:paraId="170C22EC" w14:textId="77777777" w:rsidR="00620422" w:rsidRPr="008204CC" w:rsidRDefault="00620422" w:rsidP="0066301C">
            <w:pPr>
              <w:spacing w:after="0" w:line="240" w:lineRule="auto"/>
              <w:jc w:val="right"/>
              <w:rPr>
                <w:rFonts w:ascii="Arial" w:eastAsia="Times New Roman" w:hAnsi="Arial" w:cs="Arial"/>
                <w:sz w:val="18"/>
                <w:szCs w:val="18"/>
                <w:lang w:eastAsia="en-GB"/>
              </w:rPr>
            </w:pPr>
            <w:r w:rsidRPr="008204CC">
              <w:rPr>
                <w:rFonts w:ascii="Arial" w:eastAsia="Times New Roman" w:hAnsi="Arial" w:cs="Arial"/>
                <w:sz w:val="18"/>
                <w:szCs w:val="18"/>
                <w:lang w:eastAsia="en-GB"/>
              </w:rPr>
              <w:t>-1.95425</w:t>
            </w:r>
          </w:p>
        </w:tc>
        <w:tc>
          <w:tcPr>
            <w:tcW w:w="709" w:type="dxa"/>
            <w:vMerge/>
            <w:tcBorders>
              <w:left w:val="nil"/>
              <w:right w:val="single" w:sz="4" w:space="0" w:color="auto"/>
            </w:tcBorders>
          </w:tcPr>
          <w:p w14:paraId="47A467B0" w14:textId="77777777" w:rsidR="00620422" w:rsidRPr="008204CC" w:rsidRDefault="00620422" w:rsidP="0066301C">
            <w:pPr>
              <w:spacing w:after="0" w:line="240" w:lineRule="auto"/>
              <w:jc w:val="right"/>
              <w:rPr>
                <w:rFonts w:ascii="Arial" w:eastAsia="Times New Roman" w:hAnsi="Arial" w:cs="Arial"/>
                <w:sz w:val="18"/>
                <w:szCs w:val="18"/>
                <w:lang w:eastAsia="en-GB"/>
              </w:rPr>
            </w:pPr>
          </w:p>
        </w:tc>
        <w:tc>
          <w:tcPr>
            <w:tcW w:w="999" w:type="dxa"/>
            <w:gridSpan w:val="2"/>
            <w:tcBorders>
              <w:top w:val="nil"/>
              <w:left w:val="single" w:sz="4" w:space="0" w:color="auto"/>
              <w:bottom w:val="single" w:sz="4" w:space="0" w:color="auto"/>
              <w:right w:val="single" w:sz="4" w:space="0" w:color="auto"/>
            </w:tcBorders>
            <w:shd w:val="clear" w:color="auto" w:fill="auto"/>
            <w:vAlign w:val="bottom"/>
          </w:tcPr>
          <w:p w14:paraId="092AAE5F" w14:textId="77777777" w:rsidR="00620422" w:rsidRPr="008204CC" w:rsidRDefault="00620422" w:rsidP="0066301C">
            <w:pPr>
              <w:spacing w:after="0" w:line="240" w:lineRule="auto"/>
              <w:jc w:val="right"/>
              <w:rPr>
                <w:rFonts w:ascii="Arial" w:eastAsia="Times New Roman" w:hAnsi="Arial" w:cs="Arial"/>
                <w:color w:val="000000"/>
                <w:sz w:val="18"/>
                <w:szCs w:val="18"/>
                <w:lang w:eastAsia="en-GB"/>
              </w:rPr>
            </w:pPr>
            <w:r w:rsidRPr="008204CC">
              <w:rPr>
                <w:rFonts w:ascii="Arial" w:eastAsia="Times New Roman" w:hAnsi="Arial" w:cs="Arial"/>
                <w:color w:val="000000"/>
                <w:sz w:val="18"/>
                <w:szCs w:val="18"/>
                <w:lang w:eastAsia="en-GB"/>
              </w:rPr>
              <w:t>2001</w:t>
            </w:r>
          </w:p>
        </w:tc>
        <w:tc>
          <w:tcPr>
            <w:tcW w:w="1415" w:type="dxa"/>
            <w:gridSpan w:val="2"/>
            <w:tcBorders>
              <w:top w:val="nil"/>
              <w:left w:val="nil"/>
              <w:bottom w:val="single" w:sz="4" w:space="0" w:color="auto"/>
              <w:right w:val="single" w:sz="4" w:space="0" w:color="auto"/>
            </w:tcBorders>
            <w:shd w:val="clear" w:color="auto" w:fill="auto"/>
            <w:vAlign w:val="bottom"/>
          </w:tcPr>
          <w:p w14:paraId="45702769" w14:textId="77777777" w:rsidR="00620422" w:rsidRPr="008204CC" w:rsidRDefault="00620422" w:rsidP="0066301C">
            <w:pPr>
              <w:spacing w:after="0" w:line="240" w:lineRule="auto"/>
              <w:jc w:val="right"/>
              <w:rPr>
                <w:rFonts w:ascii="Arial" w:eastAsia="Times New Roman" w:hAnsi="Arial" w:cs="Arial"/>
                <w:color w:val="000000"/>
                <w:sz w:val="18"/>
                <w:szCs w:val="18"/>
                <w:lang w:eastAsia="en-GB"/>
              </w:rPr>
            </w:pPr>
            <w:r w:rsidRPr="008204CC">
              <w:rPr>
                <w:rFonts w:ascii="Arial" w:eastAsia="Times New Roman" w:hAnsi="Arial" w:cs="Arial"/>
                <w:color w:val="000000"/>
                <w:sz w:val="18"/>
                <w:szCs w:val="18"/>
                <w:lang w:eastAsia="en-GB"/>
              </w:rPr>
              <w:t>88.87761</w:t>
            </w:r>
          </w:p>
        </w:tc>
        <w:tc>
          <w:tcPr>
            <w:tcW w:w="1559" w:type="dxa"/>
            <w:gridSpan w:val="2"/>
            <w:tcBorders>
              <w:top w:val="nil"/>
              <w:left w:val="nil"/>
              <w:bottom w:val="single" w:sz="4" w:space="0" w:color="auto"/>
              <w:right w:val="single" w:sz="4" w:space="0" w:color="auto"/>
            </w:tcBorders>
            <w:shd w:val="clear" w:color="auto" w:fill="auto"/>
            <w:vAlign w:val="bottom"/>
          </w:tcPr>
          <w:p w14:paraId="7AA4CA1F" w14:textId="77777777" w:rsidR="00620422" w:rsidRPr="008204CC" w:rsidRDefault="00620422" w:rsidP="0066301C">
            <w:pPr>
              <w:spacing w:after="0" w:line="240" w:lineRule="auto"/>
              <w:jc w:val="right"/>
              <w:rPr>
                <w:rFonts w:ascii="Arial" w:eastAsia="Times New Roman" w:hAnsi="Arial" w:cs="Arial"/>
                <w:color w:val="000000"/>
                <w:sz w:val="18"/>
                <w:szCs w:val="18"/>
                <w:lang w:eastAsia="en-GB"/>
              </w:rPr>
            </w:pPr>
            <w:r w:rsidRPr="008204CC">
              <w:rPr>
                <w:rFonts w:ascii="Arial" w:eastAsia="Times New Roman" w:hAnsi="Arial" w:cs="Arial"/>
                <w:color w:val="000000"/>
                <w:sz w:val="18"/>
                <w:szCs w:val="18"/>
                <w:lang w:eastAsia="en-GB"/>
              </w:rPr>
              <w:t>90.67174</w:t>
            </w:r>
          </w:p>
        </w:tc>
        <w:tc>
          <w:tcPr>
            <w:tcW w:w="2122" w:type="dxa"/>
            <w:gridSpan w:val="2"/>
            <w:tcBorders>
              <w:top w:val="nil"/>
              <w:left w:val="nil"/>
              <w:bottom w:val="single" w:sz="4" w:space="0" w:color="auto"/>
              <w:right w:val="single" w:sz="4" w:space="0" w:color="auto"/>
            </w:tcBorders>
            <w:shd w:val="clear" w:color="auto" w:fill="auto"/>
            <w:vAlign w:val="bottom"/>
          </w:tcPr>
          <w:p w14:paraId="1EEB0571" w14:textId="77777777" w:rsidR="00620422" w:rsidRPr="008204CC" w:rsidRDefault="00620422" w:rsidP="0066301C">
            <w:pPr>
              <w:spacing w:after="0" w:line="240" w:lineRule="auto"/>
              <w:jc w:val="right"/>
              <w:rPr>
                <w:rFonts w:ascii="Arial" w:eastAsia="Times New Roman" w:hAnsi="Arial" w:cs="Arial"/>
                <w:color w:val="000000"/>
                <w:sz w:val="18"/>
                <w:szCs w:val="18"/>
                <w:lang w:eastAsia="en-GB"/>
              </w:rPr>
            </w:pPr>
            <w:r w:rsidRPr="008204CC">
              <w:rPr>
                <w:rFonts w:ascii="Arial" w:eastAsia="Times New Roman" w:hAnsi="Arial" w:cs="Arial"/>
                <w:color w:val="000000"/>
                <w:sz w:val="18"/>
                <w:szCs w:val="18"/>
                <w:lang w:eastAsia="en-GB"/>
              </w:rPr>
              <w:t>-1.79413</w:t>
            </w:r>
          </w:p>
        </w:tc>
      </w:tr>
      <w:tr w:rsidR="008A6AC3" w:rsidRPr="008204CC" w14:paraId="07E8F923" w14:textId="77777777" w:rsidTr="00D46B41">
        <w:trPr>
          <w:trHeight w:val="270"/>
        </w:trPr>
        <w:tc>
          <w:tcPr>
            <w:tcW w:w="1135" w:type="dxa"/>
            <w:tcBorders>
              <w:top w:val="nil"/>
              <w:left w:val="single" w:sz="4" w:space="0" w:color="auto"/>
              <w:bottom w:val="single" w:sz="4" w:space="0" w:color="auto"/>
              <w:right w:val="single" w:sz="4" w:space="0" w:color="auto"/>
            </w:tcBorders>
            <w:shd w:val="clear" w:color="auto" w:fill="auto"/>
            <w:noWrap/>
            <w:vAlign w:val="bottom"/>
            <w:hideMark/>
          </w:tcPr>
          <w:p w14:paraId="643C1942" w14:textId="77777777" w:rsidR="00620422" w:rsidRPr="008204CC" w:rsidRDefault="00620422" w:rsidP="0066301C">
            <w:pPr>
              <w:spacing w:after="0" w:line="240" w:lineRule="auto"/>
              <w:jc w:val="right"/>
              <w:rPr>
                <w:rFonts w:ascii="Arial" w:eastAsia="Times New Roman" w:hAnsi="Arial" w:cs="Arial"/>
                <w:color w:val="000000"/>
                <w:sz w:val="18"/>
                <w:szCs w:val="18"/>
                <w:lang w:eastAsia="en-GB"/>
              </w:rPr>
            </w:pPr>
            <w:r w:rsidRPr="008204CC">
              <w:rPr>
                <w:rFonts w:ascii="Arial" w:eastAsia="Times New Roman" w:hAnsi="Arial" w:cs="Arial"/>
                <w:color w:val="000000"/>
                <w:sz w:val="18"/>
                <w:szCs w:val="18"/>
                <w:lang w:eastAsia="en-GB"/>
              </w:rPr>
              <w:t>2002</w:t>
            </w:r>
          </w:p>
        </w:tc>
        <w:tc>
          <w:tcPr>
            <w:tcW w:w="1701" w:type="dxa"/>
            <w:tcBorders>
              <w:top w:val="nil"/>
              <w:left w:val="nil"/>
              <w:bottom w:val="single" w:sz="4" w:space="0" w:color="auto"/>
              <w:right w:val="single" w:sz="4" w:space="0" w:color="auto"/>
            </w:tcBorders>
            <w:shd w:val="clear" w:color="auto" w:fill="auto"/>
            <w:noWrap/>
            <w:vAlign w:val="bottom"/>
            <w:hideMark/>
          </w:tcPr>
          <w:p w14:paraId="70A1E372" w14:textId="77777777" w:rsidR="00620422" w:rsidRPr="008204CC" w:rsidRDefault="00620422" w:rsidP="0066301C">
            <w:pPr>
              <w:spacing w:after="0" w:line="240" w:lineRule="auto"/>
              <w:jc w:val="right"/>
              <w:rPr>
                <w:rFonts w:ascii="Arial" w:eastAsia="Times New Roman" w:hAnsi="Arial" w:cs="Arial"/>
                <w:color w:val="000000"/>
                <w:sz w:val="18"/>
                <w:szCs w:val="18"/>
                <w:lang w:eastAsia="en-GB"/>
              </w:rPr>
            </w:pPr>
            <w:r w:rsidRPr="008204CC">
              <w:rPr>
                <w:rFonts w:ascii="Arial" w:eastAsia="Times New Roman" w:hAnsi="Arial" w:cs="Arial"/>
                <w:color w:val="000000"/>
                <w:sz w:val="18"/>
                <w:szCs w:val="18"/>
                <w:lang w:eastAsia="en-GB"/>
              </w:rPr>
              <w:t>100.3336037</w:t>
            </w:r>
          </w:p>
        </w:tc>
        <w:tc>
          <w:tcPr>
            <w:tcW w:w="1701" w:type="dxa"/>
            <w:tcBorders>
              <w:top w:val="nil"/>
              <w:left w:val="nil"/>
              <w:bottom w:val="single" w:sz="4" w:space="0" w:color="auto"/>
              <w:right w:val="single" w:sz="4" w:space="0" w:color="auto"/>
            </w:tcBorders>
            <w:shd w:val="clear" w:color="auto" w:fill="auto"/>
            <w:noWrap/>
            <w:vAlign w:val="bottom"/>
            <w:hideMark/>
          </w:tcPr>
          <w:p w14:paraId="0D9F90E4" w14:textId="77777777" w:rsidR="00620422" w:rsidRPr="008204CC" w:rsidRDefault="00620422" w:rsidP="0066301C">
            <w:pPr>
              <w:spacing w:after="0" w:line="240" w:lineRule="auto"/>
              <w:jc w:val="right"/>
              <w:rPr>
                <w:rFonts w:ascii="Arial" w:eastAsia="Times New Roman" w:hAnsi="Arial" w:cs="Arial"/>
                <w:color w:val="000000"/>
                <w:sz w:val="18"/>
                <w:szCs w:val="18"/>
                <w:lang w:eastAsia="en-GB"/>
              </w:rPr>
            </w:pPr>
            <w:r w:rsidRPr="008204CC">
              <w:rPr>
                <w:rFonts w:ascii="Arial" w:eastAsia="Times New Roman" w:hAnsi="Arial" w:cs="Arial"/>
                <w:color w:val="000000"/>
                <w:sz w:val="18"/>
                <w:szCs w:val="18"/>
                <w:lang w:eastAsia="en-GB"/>
              </w:rPr>
              <w:t>98.6443544</w:t>
            </w:r>
          </w:p>
        </w:tc>
        <w:tc>
          <w:tcPr>
            <w:tcW w:w="1984" w:type="dxa"/>
            <w:tcBorders>
              <w:top w:val="nil"/>
              <w:left w:val="nil"/>
              <w:bottom w:val="single" w:sz="4" w:space="0" w:color="auto"/>
              <w:right w:val="single" w:sz="4" w:space="0" w:color="auto"/>
            </w:tcBorders>
            <w:shd w:val="clear" w:color="auto" w:fill="auto"/>
            <w:noWrap/>
            <w:vAlign w:val="bottom"/>
            <w:hideMark/>
          </w:tcPr>
          <w:p w14:paraId="3D8633B3" w14:textId="77777777" w:rsidR="00620422" w:rsidRPr="008204CC" w:rsidRDefault="00620422" w:rsidP="0066301C">
            <w:pPr>
              <w:spacing w:after="0" w:line="240" w:lineRule="auto"/>
              <w:jc w:val="right"/>
              <w:rPr>
                <w:rFonts w:ascii="Arial" w:eastAsia="Times New Roman" w:hAnsi="Arial" w:cs="Arial"/>
                <w:sz w:val="18"/>
                <w:szCs w:val="18"/>
                <w:lang w:eastAsia="en-GB"/>
              </w:rPr>
            </w:pPr>
            <w:r w:rsidRPr="008204CC">
              <w:rPr>
                <w:rFonts w:ascii="Arial" w:eastAsia="Times New Roman" w:hAnsi="Arial" w:cs="Arial"/>
                <w:sz w:val="18"/>
                <w:szCs w:val="18"/>
                <w:lang w:eastAsia="en-GB"/>
              </w:rPr>
              <w:t>1.689249</w:t>
            </w:r>
          </w:p>
        </w:tc>
        <w:tc>
          <w:tcPr>
            <w:tcW w:w="709" w:type="dxa"/>
            <w:vMerge/>
            <w:tcBorders>
              <w:left w:val="nil"/>
              <w:right w:val="single" w:sz="4" w:space="0" w:color="auto"/>
            </w:tcBorders>
          </w:tcPr>
          <w:p w14:paraId="607A2EB2" w14:textId="77777777" w:rsidR="00620422" w:rsidRPr="008204CC" w:rsidRDefault="00620422" w:rsidP="0066301C">
            <w:pPr>
              <w:spacing w:after="0" w:line="240" w:lineRule="auto"/>
              <w:jc w:val="right"/>
              <w:rPr>
                <w:rFonts w:ascii="Arial" w:eastAsia="Times New Roman" w:hAnsi="Arial" w:cs="Arial"/>
                <w:sz w:val="18"/>
                <w:szCs w:val="18"/>
                <w:lang w:eastAsia="en-GB"/>
              </w:rPr>
            </w:pPr>
          </w:p>
        </w:tc>
        <w:tc>
          <w:tcPr>
            <w:tcW w:w="999" w:type="dxa"/>
            <w:gridSpan w:val="2"/>
            <w:tcBorders>
              <w:top w:val="nil"/>
              <w:left w:val="single" w:sz="4" w:space="0" w:color="auto"/>
              <w:bottom w:val="single" w:sz="4" w:space="0" w:color="auto"/>
              <w:right w:val="single" w:sz="4" w:space="0" w:color="auto"/>
            </w:tcBorders>
            <w:shd w:val="clear" w:color="auto" w:fill="auto"/>
            <w:vAlign w:val="bottom"/>
          </w:tcPr>
          <w:p w14:paraId="4A5E463E" w14:textId="77777777" w:rsidR="00620422" w:rsidRPr="008204CC" w:rsidRDefault="00620422" w:rsidP="0066301C">
            <w:pPr>
              <w:spacing w:after="0" w:line="240" w:lineRule="auto"/>
              <w:jc w:val="right"/>
              <w:rPr>
                <w:rFonts w:ascii="Arial" w:eastAsia="Times New Roman" w:hAnsi="Arial" w:cs="Arial"/>
                <w:color w:val="000000"/>
                <w:sz w:val="18"/>
                <w:szCs w:val="18"/>
                <w:lang w:eastAsia="en-GB"/>
              </w:rPr>
            </w:pPr>
            <w:r w:rsidRPr="008204CC">
              <w:rPr>
                <w:rFonts w:ascii="Arial" w:eastAsia="Times New Roman" w:hAnsi="Arial" w:cs="Arial"/>
                <w:color w:val="000000"/>
                <w:sz w:val="18"/>
                <w:szCs w:val="18"/>
                <w:lang w:eastAsia="en-GB"/>
              </w:rPr>
              <w:t>2002</w:t>
            </w:r>
          </w:p>
        </w:tc>
        <w:tc>
          <w:tcPr>
            <w:tcW w:w="1415" w:type="dxa"/>
            <w:gridSpan w:val="2"/>
            <w:tcBorders>
              <w:top w:val="nil"/>
              <w:left w:val="nil"/>
              <w:bottom w:val="single" w:sz="4" w:space="0" w:color="auto"/>
              <w:right w:val="single" w:sz="4" w:space="0" w:color="auto"/>
            </w:tcBorders>
            <w:shd w:val="clear" w:color="auto" w:fill="auto"/>
            <w:vAlign w:val="bottom"/>
          </w:tcPr>
          <w:p w14:paraId="1DB9A1BA" w14:textId="77777777" w:rsidR="00620422" w:rsidRPr="008204CC" w:rsidRDefault="00620422" w:rsidP="0066301C">
            <w:pPr>
              <w:spacing w:after="0" w:line="240" w:lineRule="auto"/>
              <w:jc w:val="right"/>
              <w:rPr>
                <w:rFonts w:ascii="Arial" w:eastAsia="Times New Roman" w:hAnsi="Arial" w:cs="Arial"/>
                <w:color w:val="000000"/>
                <w:sz w:val="18"/>
                <w:szCs w:val="18"/>
                <w:lang w:eastAsia="en-GB"/>
              </w:rPr>
            </w:pPr>
            <w:r w:rsidRPr="008204CC">
              <w:rPr>
                <w:rFonts w:ascii="Arial" w:eastAsia="Times New Roman" w:hAnsi="Arial" w:cs="Arial"/>
                <w:color w:val="000000"/>
                <w:sz w:val="18"/>
                <w:szCs w:val="18"/>
                <w:lang w:eastAsia="en-GB"/>
              </w:rPr>
              <w:t>90.82385</w:t>
            </w:r>
          </w:p>
        </w:tc>
        <w:tc>
          <w:tcPr>
            <w:tcW w:w="1559" w:type="dxa"/>
            <w:gridSpan w:val="2"/>
            <w:tcBorders>
              <w:top w:val="nil"/>
              <w:left w:val="nil"/>
              <w:bottom w:val="single" w:sz="4" w:space="0" w:color="auto"/>
              <w:right w:val="single" w:sz="4" w:space="0" w:color="auto"/>
            </w:tcBorders>
            <w:shd w:val="clear" w:color="auto" w:fill="auto"/>
            <w:vAlign w:val="bottom"/>
          </w:tcPr>
          <w:p w14:paraId="757E10F1" w14:textId="77777777" w:rsidR="00620422" w:rsidRPr="008204CC" w:rsidRDefault="00620422" w:rsidP="0066301C">
            <w:pPr>
              <w:spacing w:after="0" w:line="240" w:lineRule="auto"/>
              <w:jc w:val="right"/>
              <w:rPr>
                <w:rFonts w:ascii="Arial" w:eastAsia="Times New Roman" w:hAnsi="Arial" w:cs="Arial"/>
                <w:color w:val="000000"/>
                <w:sz w:val="18"/>
                <w:szCs w:val="18"/>
                <w:lang w:eastAsia="en-GB"/>
              </w:rPr>
            </w:pPr>
            <w:r w:rsidRPr="008204CC">
              <w:rPr>
                <w:rFonts w:ascii="Arial" w:eastAsia="Times New Roman" w:hAnsi="Arial" w:cs="Arial"/>
                <w:color w:val="000000"/>
                <w:sz w:val="18"/>
                <w:szCs w:val="18"/>
                <w:lang w:eastAsia="en-GB"/>
              </w:rPr>
              <w:t>90.59117</w:t>
            </w:r>
          </w:p>
        </w:tc>
        <w:tc>
          <w:tcPr>
            <w:tcW w:w="2122" w:type="dxa"/>
            <w:gridSpan w:val="2"/>
            <w:tcBorders>
              <w:top w:val="nil"/>
              <w:left w:val="nil"/>
              <w:bottom w:val="single" w:sz="4" w:space="0" w:color="auto"/>
              <w:right w:val="single" w:sz="4" w:space="0" w:color="auto"/>
            </w:tcBorders>
            <w:shd w:val="clear" w:color="auto" w:fill="auto"/>
            <w:vAlign w:val="bottom"/>
          </w:tcPr>
          <w:p w14:paraId="005CEC7C" w14:textId="77777777" w:rsidR="00620422" w:rsidRPr="008204CC" w:rsidRDefault="00620422" w:rsidP="0066301C">
            <w:pPr>
              <w:spacing w:after="0" w:line="240" w:lineRule="auto"/>
              <w:jc w:val="right"/>
              <w:rPr>
                <w:rFonts w:ascii="Arial" w:eastAsia="Times New Roman" w:hAnsi="Arial" w:cs="Arial"/>
                <w:color w:val="000000"/>
                <w:sz w:val="18"/>
                <w:szCs w:val="18"/>
                <w:lang w:eastAsia="en-GB"/>
              </w:rPr>
            </w:pPr>
            <w:r w:rsidRPr="008204CC">
              <w:rPr>
                <w:rFonts w:ascii="Arial" w:eastAsia="Times New Roman" w:hAnsi="Arial" w:cs="Arial"/>
                <w:color w:val="000000"/>
                <w:sz w:val="18"/>
                <w:szCs w:val="18"/>
                <w:lang w:eastAsia="en-GB"/>
              </w:rPr>
              <w:t>0.232677</w:t>
            </w:r>
          </w:p>
        </w:tc>
      </w:tr>
      <w:tr w:rsidR="008A6AC3" w:rsidRPr="008204CC" w14:paraId="238873FE" w14:textId="77777777" w:rsidTr="00D46B41">
        <w:trPr>
          <w:trHeight w:val="270"/>
        </w:trPr>
        <w:tc>
          <w:tcPr>
            <w:tcW w:w="1135" w:type="dxa"/>
            <w:tcBorders>
              <w:top w:val="nil"/>
              <w:left w:val="single" w:sz="4" w:space="0" w:color="auto"/>
              <w:bottom w:val="single" w:sz="4" w:space="0" w:color="auto"/>
              <w:right w:val="single" w:sz="4" w:space="0" w:color="auto"/>
            </w:tcBorders>
            <w:shd w:val="clear" w:color="auto" w:fill="auto"/>
            <w:noWrap/>
            <w:vAlign w:val="bottom"/>
            <w:hideMark/>
          </w:tcPr>
          <w:p w14:paraId="0FAA6E04" w14:textId="77777777" w:rsidR="00620422" w:rsidRPr="008204CC" w:rsidRDefault="00620422" w:rsidP="0066301C">
            <w:pPr>
              <w:spacing w:after="0" w:line="240" w:lineRule="auto"/>
              <w:jc w:val="right"/>
              <w:rPr>
                <w:rFonts w:ascii="Arial" w:eastAsia="Times New Roman" w:hAnsi="Arial" w:cs="Arial"/>
                <w:color w:val="000000"/>
                <w:sz w:val="18"/>
                <w:szCs w:val="18"/>
                <w:lang w:eastAsia="en-GB"/>
              </w:rPr>
            </w:pPr>
            <w:r w:rsidRPr="008204CC">
              <w:rPr>
                <w:rFonts w:ascii="Arial" w:eastAsia="Times New Roman" w:hAnsi="Arial" w:cs="Arial"/>
                <w:color w:val="000000"/>
                <w:sz w:val="18"/>
                <w:szCs w:val="18"/>
                <w:lang w:eastAsia="en-GB"/>
              </w:rPr>
              <w:t>2003</w:t>
            </w:r>
          </w:p>
        </w:tc>
        <w:tc>
          <w:tcPr>
            <w:tcW w:w="1701" w:type="dxa"/>
            <w:tcBorders>
              <w:top w:val="nil"/>
              <w:left w:val="nil"/>
              <w:bottom w:val="single" w:sz="4" w:space="0" w:color="auto"/>
              <w:right w:val="single" w:sz="4" w:space="0" w:color="auto"/>
            </w:tcBorders>
            <w:shd w:val="clear" w:color="auto" w:fill="auto"/>
            <w:noWrap/>
            <w:vAlign w:val="bottom"/>
            <w:hideMark/>
          </w:tcPr>
          <w:p w14:paraId="184B3715" w14:textId="77777777" w:rsidR="00620422" w:rsidRPr="008204CC" w:rsidRDefault="00620422" w:rsidP="0066301C">
            <w:pPr>
              <w:spacing w:after="0" w:line="240" w:lineRule="auto"/>
              <w:jc w:val="right"/>
              <w:rPr>
                <w:rFonts w:ascii="Arial" w:eastAsia="Times New Roman" w:hAnsi="Arial" w:cs="Arial"/>
                <w:color w:val="000000"/>
                <w:sz w:val="18"/>
                <w:szCs w:val="18"/>
                <w:lang w:eastAsia="en-GB"/>
              </w:rPr>
            </w:pPr>
            <w:r w:rsidRPr="008204CC">
              <w:rPr>
                <w:rFonts w:ascii="Arial" w:eastAsia="Times New Roman" w:hAnsi="Arial" w:cs="Arial"/>
                <w:color w:val="000000"/>
                <w:sz w:val="18"/>
                <w:szCs w:val="18"/>
                <w:lang w:eastAsia="en-GB"/>
              </w:rPr>
              <w:t>103.5604119</w:t>
            </w:r>
          </w:p>
        </w:tc>
        <w:tc>
          <w:tcPr>
            <w:tcW w:w="1701" w:type="dxa"/>
            <w:tcBorders>
              <w:top w:val="nil"/>
              <w:left w:val="nil"/>
              <w:bottom w:val="single" w:sz="4" w:space="0" w:color="auto"/>
              <w:right w:val="single" w:sz="4" w:space="0" w:color="auto"/>
            </w:tcBorders>
            <w:shd w:val="clear" w:color="auto" w:fill="auto"/>
            <w:noWrap/>
            <w:vAlign w:val="bottom"/>
            <w:hideMark/>
          </w:tcPr>
          <w:p w14:paraId="188CEE98" w14:textId="77777777" w:rsidR="00620422" w:rsidRPr="008204CC" w:rsidRDefault="00620422" w:rsidP="0066301C">
            <w:pPr>
              <w:spacing w:after="0" w:line="240" w:lineRule="auto"/>
              <w:jc w:val="right"/>
              <w:rPr>
                <w:rFonts w:ascii="Arial" w:eastAsia="Times New Roman" w:hAnsi="Arial" w:cs="Arial"/>
                <w:color w:val="000000"/>
                <w:sz w:val="18"/>
                <w:szCs w:val="18"/>
                <w:lang w:eastAsia="en-GB"/>
              </w:rPr>
            </w:pPr>
            <w:r w:rsidRPr="008204CC">
              <w:rPr>
                <w:rFonts w:ascii="Arial" w:eastAsia="Times New Roman" w:hAnsi="Arial" w:cs="Arial"/>
                <w:color w:val="000000"/>
                <w:sz w:val="18"/>
                <w:szCs w:val="18"/>
                <w:lang w:eastAsia="en-GB"/>
              </w:rPr>
              <w:t>98.83836674</w:t>
            </w:r>
          </w:p>
        </w:tc>
        <w:tc>
          <w:tcPr>
            <w:tcW w:w="1984" w:type="dxa"/>
            <w:tcBorders>
              <w:top w:val="nil"/>
              <w:left w:val="nil"/>
              <w:bottom w:val="single" w:sz="4" w:space="0" w:color="auto"/>
              <w:right w:val="single" w:sz="4" w:space="0" w:color="auto"/>
            </w:tcBorders>
            <w:shd w:val="clear" w:color="auto" w:fill="auto"/>
            <w:noWrap/>
            <w:vAlign w:val="bottom"/>
            <w:hideMark/>
          </w:tcPr>
          <w:p w14:paraId="71AA03C3" w14:textId="77777777" w:rsidR="00620422" w:rsidRPr="008204CC" w:rsidRDefault="00620422" w:rsidP="0066301C">
            <w:pPr>
              <w:spacing w:after="0" w:line="240" w:lineRule="auto"/>
              <w:jc w:val="right"/>
              <w:rPr>
                <w:rFonts w:ascii="Arial" w:eastAsia="Times New Roman" w:hAnsi="Arial" w:cs="Arial"/>
                <w:sz w:val="18"/>
                <w:szCs w:val="18"/>
                <w:lang w:eastAsia="en-GB"/>
              </w:rPr>
            </w:pPr>
            <w:r w:rsidRPr="008204CC">
              <w:rPr>
                <w:rFonts w:ascii="Arial" w:eastAsia="Times New Roman" w:hAnsi="Arial" w:cs="Arial"/>
                <w:sz w:val="18"/>
                <w:szCs w:val="18"/>
                <w:lang w:eastAsia="en-GB"/>
              </w:rPr>
              <w:t>4.722045</w:t>
            </w:r>
          </w:p>
        </w:tc>
        <w:tc>
          <w:tcPr>
            <w:tcW w:w="709" w:type="dxa"/>
            <w:vMerge/>
            <w:tcBorders>
              <w:left w:val="nil"/>
              <w:right w:val="single" w:sz="4" w:space="0" w:color="auto"/>
            </w:tcBorders>
          </w:tcPr>
          <w:p w14:paraId="225F3D6D" w14:textId="77777777" w:rsidR="00620422" w:rsidRPr="008204CC" w:rsidRDefault="00620422" w:rsidP="0066301C">
            <w:pPr>
              <w:spacing w:after="0" w:line="240" w:lineRule="auto"/>
              <w:jc w:val="right"/>
              <w:rPr>
                <w:rFonts w:ascii="Arial" w:eastAsia="Times New Roman" w:hAnsi="Arial" w:cs="Arial"/>
                <w:sz w:val="18"/>
                <w:szCs w:val="18"/>
                <w:lang w:eastAsia="en-GB"/>
              </w:rPr>
            </w:pPr>
          </w:p>
        </w:tc>
        <w:tc>
          <w:tcPr>
            <w:tcW w:w="999" w:type="dxa"/>
            <w:gridSpan w:val="2"/>
            <w:tcBorders>
              <w:top w:val="nil"/>
              <w:left w:val="single" w:sz="4" w:space="0" w:color="auto"/>
              <w:bottom w:val="single" w:sz="4" w:space="0" w:color="auto"/>
              <w:right w:val="single" w:sz="4" w:space="0" w:color="auto"/>
            </w:tcBorders>
            <w:shd w:val="clear" w:color="auto" w:fill="auto"/>
            <w:vAlign w:val="bottom"/>
          </w:tcPr>
          <w:p w14:paraId="3AC437EB" w14:textId="77777777" w:rsidR="00620422" w:rsidRPr="008204CC" w:rsidRDefault="00620422" w:rsidP="0066301C">
            <w:pPr>
              <w:spacing w:after="0" w:line="240" w:lineRule="auto"/>
              <w:jc w:val="right"/>
              <w:rPr>
                <w:rFonts w:ascii="Arial" w:eastAsia="Times New Roman" w:hAnsi="Arial" w:cs="Arial"/>
                <w:color w:val="000000"/>
                <w:sz w:val="18"/>
                <w:szCs w:val="18"/>
                <w:lang w:eastAsia="en-GB"/>
              </w:rPr>
            </w:pPr>
            <w:r w:rsidRPr="008204CC">
              <w:rPr>
                <w:rFonts w:ascii="Arial" w:eastAsia="Times New Roman" w:hAnsi="Arial" w:cs="Arial"/>
                <w:color w:val="000000"/>
                <w:sz w:val="18"/>
                <w:szCs w:val="18"/>
                <w:lang w:eastAsia="en-GB"/>
              </w:rPr>
              <w:t>2003</w:t>
            </w:r>
          </w:p>
        </w:tc>
        <w:tc>
          <w:tcPr>
            <w:tcW w:w="1415" w:type="dxa"/>
            <w:gridSpan w:val="2"/>
            <w:tcBorders>
              <w:top w:val="nil"/>
              <w:left w:val="nil"/>
              <w:bottom w:val="single" w:sz="4" w:space="0" w:color="auto"/>
              <w:right w:val="single" w:sz="4" w:space="0" w:color="auto"/>
            </w:tcBorders>
            <w:shd w:val="clear" w:color="auto" w:fill="auto"/>
            <w:vAlign w:val="bottom"/>
          </w:tcPr>
          <w:p w14:paraId="14A20A7D" w14:textId="77777777" w:rsidR="00620422" w:rsidRPr="008204CC" w:rsidRDefault="00620422" w:rsidP="0066301C">
            <w:pPr>
              <w:spacing w:after="0" w:line="240" w:lineRule="auto"/>
              <w:jc w:val="right"/>
              <w:rPr>
                <w:rFonts w:ascii="Arial" w:eastAsia="Times New Roman" w:hAnsi="Arial" w:cs="Arial"/>
                <w:color w:val="000000"/>
                <w:sz w:val="18"/>
                <w:szCs w:val="18"/>
                <w:lang w:eastAsia="en-GB"/>
              </w:rPr>
            </w:pPr>
            <w:r w:rsidRPr="008204CC">
              <w:rPr>
                <w:rFonts w:ascii="Arial" w:eastAsia="Times New Roman" w:hAnsi="Arial" w:cs="Arial"/>
                <w:color w:val="000000"/>
                <w:sz w:val="18"/>
                <w:szCs w:val="18"/>
                <w:lang w:eastAsia="en-GB"/>
              </w:rPr>
              <w:t>96.83504</w:t>
            </w:r>
          </w:p>
        </w:tc>
        <w:tc>
          <w:tcPr>
            <w:tcW w:w="1559" w:type="dxa"/>
            <w:gridSpan w:val="2"/>
            <w:tcBorders>
              <w:top w:val="nil"/>
              <w:left w:val="nil"/>
              <w:bottom w:val="single" w:sz="4" w:space="0" w:color="auto"/>
              <w:right w:val="single" w:sz="4" w:space="0" w:color="auto"/>
            </w:tcBorders>
            <w:shd w:val="clear" w:color="auto" w:fill="auto"/>
            <w:vAlign w:val="bottom"/>
          </w:tcPr>
          <w:p w14:paraId="27792844" w14:textId="77777777" w:rsidR="00620422" w:rsidRPr="008204CC" w:rsidRDefault="00620422" w:rsidP="0066301C">
            <w:pPr>
              <w:spacing w:after="0" w:line="240" w:lineRule="auto"/>
              <w:jc w:val="right"/>
              <w:rPr>
                <w:rFonts w:ascii="Arial" w:eastAsia="Times New Roman" w:hAnsi="Arial" w:cs="Arial"/>
                <w:color w:val="000000"/>
                <w:sz w:val="18"/>
                <w:szCs w:val="18"/>
                <w:lang w:eastAsia="en-GB"/>
              </w:rPr>
            </w:pPr>
            <w:r w:rsidRPr="008204CC">
              <w:rPr>
                <w:rFonts w:ascii="Arial" w:eastAsia="Times New Roman" w:hAnsi="Arial" w:cs="Arial"/>
                <w:color w:val="000000"/>
                <w:sz w:val="18"/>
                <w:szCs w:val="18"/>
                <w:lang w:eastAsia="en-GB"/>
              </w:rPr>
              <w:t>91.0519</w:t>
            </w:r>
          </w:p>
        </w:tc>
        <w:tc>
          <w:tcPr>
            <w:tcW w:w="2122" w:type="dxa"/>
            <w:gridSpan w:val="2"/>
            <w:tcBorders>
              <w:top w:val="nil"/>
              <w:left w:val="nil"/>
              <w:bottom w:val="single" w:sz="4" w:space="0" w:color="auto"/>
              <w:right w:val="single" w:sz="4" w:space="0" w:color="auto"/>
            </w:tcBorders>
            <w:shd w:val="clear" w:color="auto" w:fill="auto"/>
            <w:vAlign w:val="bottom"/>
          </w:tcPr>
          <w:p w14:paraId="6E0A7DC9" w14:textId="77777777" w:rsidR="00620422" w:rsidRPr="008204CC" w:rsidRDefault="00620422" w:rsidP="0066301C">
            <w:pPr>
              <w:spacing w:after="0" w:line="240" w:lineRule="auto"/>
              <w:jc w:val="right"/>
              <w:rPr>
                <w:rFonts w:ascii="Arial" w:eastAsia="Times New Roman" w:hAnsi="Arial" w:cs="Arial"/>
                <w:color w:val="000000"/>
                <w:sz w:val="18"/>
                <w:szCs w:val="18"/>
                <w:lang w:eastAsia="en-GB"/>
              </w:rPr>
            </w:pPr>
            <w:r w:rsidRPr="008204CC">
              <w:rPr>
                <w:rFonts w:ascii="Arial" w:eastAsia="Times New Roman" w:hAnsi="Arial" w:cs="Arial"/>
                <w:color w:val="000000"/>
                <w:sz w:val="18"/>
                <w:szCs w:val="18"/>
                <w:lang w:eastAsia="en-GB"/>
              </w:rPr>
              <w:t>5.78314</w:t>
            </w:r>
          </w:p>
        </w:tc>
      </w:tr>
      <w:tr w:rsidR="008A6AC3" w:rsidRPr="008204CC" w14:paraId="7094D20E" w14:textId="77777777" w:rsidTr="00D46B41">
        <w:trPr>
          <w:trHeight w:val="270"/>
        </w:trPr>
        <w:tc>
          <w:tcPr>
            <w:tcW w:w="1135" w:type="dxa"/>
            <w:tcBorders>
              <w:top w:val="nil"/>
              <w:left w:val="single" w:sz="4" w:space="0" w:color="auto"/>
              <w:bottom w:val="single" w:sz="4" w:space="0" w:color="auto"/>
              <w:right w:val="single" w:sz="4" w:space="0" w:color="auto"/>
            </w:tcBorders>
            <w:shd w:val="clear" w:color="auto" w:fill="auto"/>
            <w:noWrap/>
            <w:vAlign w:val="bottom"/>
            <w:hideMark/>
          </w:tcPr>
          <w:p w14:paraId="44D6A75F" w14:textId="77777777" w:rsidR="00620422" w:rsidRPr="008204CC" w:rsidRDefault="00620422" w:rsidP="0066301C">
            <w:pPr>
              <w:spacing w:after="0" w:line="240" w:lineRule="auto"/>
              <w:jc w:val="right"/>
              <w:rPr>
                <w:rFonts w:ascii="Arial" w:eastAsia="Times New Roman" w:hAnsi="Arial" w:cs="Arial"/>
                <w:color w:val="000000"/>
                <w:sz w:val="18"/>
                <w:szCs w:val="18"/>
                <w:lang w:eastAsia="en-GB"/>
              </w:rPr>
            </w:pPr>
            <w:r w:rsidRPr="008204CC">
              <w:rPr>
                <w:rFonts w:ascii="Arial" w:eastAsia="Times New Roman" w:hAnsi="Arial" w:cs="Arial"/>
                <w:color w:val="000000"/>
                <w:sz w:val="18"/>
                <w:szCs w:val="18"/>
                <w:lang w:eastAsia="en-GB"/>
              </w:rPr>
              <w:t>2004</w:t>
            </w:r>
          </w:p>
        </w:tc>
        <w:tc>
          <w:tcPr>
            <w:tcW w:w="1701" w:type="dxa"/>
            <w:tcBorders>
              <w:top w:val="nil"/>
              <w:left w:val="nil"/>
              <w:bottom w:val="single" w:sz="4" w:space="0" w:color="auto"/>
              <w:right w:val="single" w:sz="4" w:space="0" w:color="auto"/>
            </w:tcBorders>
            <w:shd w:val="clear" w:color="auto" w:fill="auto"/>
            <w:noWrap/>
            <w:vAlign w:val="bottom"/>
            <w:hideMark/>
          </w:tcPr>
          <w:p w14:paraId="79DFC804" w14:textId="77777777" w:rsidR="00620422" w:rsidRPr="008204CC" w:rsidRDefault="00620422" w:rsidP="0066301C">
            <w:pPr>
              <w:spacing w:after="0" w:line="240" w:lineRule="auto"/>
              <w:jc w:val="right"/>
              <w:rPr>
                <w:rFonts w:ascii="Arial" w:eastAsia="Times New Roman" w:hAnsi="Arial" w:cs="Arial"/>
                <w:color w:val="000000"/>
                <w:sz w:val="18"/>
                <w:szCs w:val="18"/>
                <w:lang w:eastAsia="en-GB"/>
              </w:rPr>
            </w:pPr>
            <w:r w:rsidRPr="008204CC">
              <w:rPr>
                <w:rFonts w:ascii="Arial" w:eastAsia="Times New Roman" w:hAnsi="Arial" w:cs="Arial"/>
                <w:color w:val="000000"/>
                <w:sz w:val="18"/>
                <w:szCs w:val="18"/>
                <w:lang w:eastAsia="en-GB"/>
              </w:rPr>
              <w:t>102.9415724</w:t>
            </w:r>
          </w:p>
        </w:tc>
        <w:tc>
          <w:tcPr>
            <w:tcW w:w="1701" w:type="dxa"/>
            <w:tcBorders>
              <w:top w:val="nil"/>
              <w:left w:val="nil"/>
              <w:bottom w:val="single" w:sz="4" w:space="0" w:color="auto"/>
              <w:right w:val="single" w:sz="4" w:space="0" w:color="auto"/>
            </w:tcBorders>
            <w:shd w:val="clear" w:color="auto" w:fill="auto"/>
            <w:noWrap/>
            <w:vAlign w:val="bottom"/>
            <w:hideMark/>
          </w:tcPr>
          <w:p w14:paraId="19093FDC" w14:textId="77777777" w:rsidR="00620422" w:rsidRPr="008204CC" w:rsidRDefault="00620422" w:rsidP="0066301C">
            <w:pPr>
              <w:spacing w:after="0" w:line="240" w:lineRule="auto"/>
              <w:jc w:val="right"/>
              <w:rPr>
                <w:rFonts w:ascii="Arial" w:eastAsia="Times New Roman" w:hAnsi="Arial" w:cs="Arial"/>
                <w:color w:val="000000"/>
                <w:sz w:val="18"/>
                <w:szCs w:val="18"/>
                <w:lang w:eastAsia="en-GB"/>
              </w:rPr>
            </w:pPr>
            <w:r w:rsidRPr="008204CC">
              <w:rPr>
                <w:rFonts w:ascii="Arial" w:eastAsia="Times New Roman" w:hAnsi="Arial" w:cs="Arial"/>
                <w:color w:val="000000"/>
                <w:sz w:val="18"/>
                <w:szCs w:val="18"/>
                <w:lang w:eastAsia="en-GB"/>
              </w:rPr>
              <w:t>99.21729341</w:t>
            </w:r>
          </w:p>
        </w:tc>
        <w:tc>
          <w:tcPr>
            <w:tcW w:w="1984" w:type="dxa"/>
            <w:tcBorders>
              <w:top w:val="nil"/>
              <w:left w:val="nil"/>
              <w:bottom w:val="single" w:sz="4" w:space="0" w:color="auto"/>
              <w:right w:val="single" w:sz="4" w:space="0" w:color="auto"/>
            </w:tcBorders>
            <w:shd w:val="clear" w:color="auto" w:fill="auto"/>
            <w:noWrap/>
            <w:vAlign w:val="bottom"/>
            <w:hideMark/>
          </w:tcPr>
          <w:p w14:paraId="12E39EE3" w14:textId="77777777" w:rsidR="00620422" w:rsidRPr="008204CC" w:rsidRDefault="00620422" w:rsidP="0066301C">
            <w:pPr>
              <w:spacing w:after="0" w:line="240" w:lineRule="auto"/>
              <w:jc w:val="right"/>
              <w:rPr>
                <w:rFonts w:ascii="Arial" w:eastAsia="Times New Roman" w:hAnsi="Arial" w:cs="Arial"/>
                <w:sz w:val="18"/>
                <w:szCs w:val="18"/>
                <w:lang w:eastAsia="en-GB"/>
              </w:rPr>
            </w:pPr>
            <w:r w:rsidRPr="008204CC">
              <w:rPr>
                <w:rFonts w:ascii="Arial" w:eastAsia="Times New Roman" w:hAnsi="Arial" w:cs="Arial"/>
                <w:sz w:val="18"/>
                <w:szCs w:val="18"/>
                <w:lang w:eastAsia="en-GB"/>
              </w:rPr>
              <w:t>3.724279</w:t>
            </w:r>
          </w:p>
        </w:tc>
        <w:tc>
          <w:tcPr>
            <w:tcW w:w="709" w:type="dxa"/>
            <w:vMerge/>
            <w:tcBorders>
              <w:left w:val="nil"/>
              <w:right w:val="single" w:sz="4" w:space="0" w:color="auto"/>
            </w:tcBorders>
          </w:tcPr>
          <w:p w14:paraId="41531446" w14:textId="77777777" w:rsidR="00620422" w:rsidRPr="008204CC" w:rsidRDefault="00620422" w:rsidP="0066301C">
            <w:pPr>
              <w:spacing w:after="0" w:line="240" w:lineRule="auto"/>
              <w:jc w:val="right"/>
              <w:rPr>
                <w:rFonts w:ascii="Arial" w:eastAsia="Times New Roman" w:hAnsi="Arial" w:cs="Arial"/>
                <w:sz w:val="18"/>
                <w:szCs w:val="18"/>
                <w:lang w:eastAsia="en-GB"/>
              </w:rPr>
            </w:pPr>
          </w:p>
        </w:tc>
        <w:tc>
          <w:tcPr>
            <w:tcW w:w="999" w:type="dxa"/>
            <w:gridSpan w:val="2"/>
            <w:tcBorders>
              <w:top w:val="nil"/>
              <w:left w:val="single" w:sz="4" w:space="0" w:color="auto"/>
              <w:bottom w:val="single" w:sz="4" w:space="0" w:color="auto"/>
              <w:right w:val="single" w:sz="4" w:space="0" w:color="auto"/>
            </w:tcBorders>
            <w:shd w:val="clear" w:color="auto" w:fill="auto"/>
            <w:vAlign w:val="bottom"/>
          </w:tcPr>
          <w:p w14:paraId="2B3DA8E8" w14:textId="77777777" w:rsidR="00620422" w:rsidRPr="008204CC" w:rsidRDefault="00620422" w:rsidP="0066301C">
            <w:pPr>
              <w:spacing w:after="0" w:line="240" w:lineRule="auto"/>
              <w:jc w:val="right"/>
              <w:rPr>
                <w:rFonts w:ascii="Arial" w:eastAsia="Times New Roman" w:hAnsi="Arial" w:cs="Arial"/>
                <w:color w:val="000000"/>
                <w:sz w:val="18"/>
                <w:szCs w:val="18"/>
                <w:lang w:eastAsia="en-GB"/>
              </w:rPr>
            </w:pPr>
            <w:r w:rsidRPr="008204CC">
              <w:rPr>
                <w:rFonts w:ascii="Arial" w:eastAsia="Times New Roman" w:hAnsi="Arial" w:cs="Arial"/>
                <w:color w:val="000000"/>
                <w:sz w:val="18"/>
                <w:szCs w:val="18"/>
                <w:lang w:eastAsia="en-GB"/>
              </w:rPr>
              <w:t>2004</w:t>
            </w:r>
          </w:p>
        </w:tc>
        <w:tc>
          <w:tcPr>
            <w:tcW w:w="1415" w:type="dxa"/>
            <w:gridSpan w:val="2"/>
            <w:tcBorders>
              <w:top w:val="nil"/>
              <w:left w:val="nil"/>
              <w:bottom w:val="single" w:sz="4" w:space="0" w:color="auto"/>
              <w:right w:val="single" w:sz="4" w:space="0" w:color="auto"/>
            </w:tcBorders>
            <w:shd w:val="clear" w:color="auto" w:fill="auto"/>
            <w:vAlign w:val="bottom"/>
          </w:tcPr>
          <w:p w14:paraId="7785A033" w14:textId="77777777" w:rsidR="00620422" w:rsidRPr="008204CC" w:rsidRDefault="00620422" w:rsidP="0066301C">
            <w:pPr>
              <w:spacing w:after="0" w:line="240" w:lineRule="auto"/>
              <w:jc w:val="right"/>
              <w:rPr>
                <w:rFonts w:ascii="Arial" w:eastAsia="Times New Roman" w:hAnsi="Arial" w:cs="Arial"/>
                <w:color w:val="000000"/>
                <w:sz w:val="18"/>
                <w:szCs w:val="18"/>
                <w:lang w:eastAsia="en-GB"/>
              </w:rPr>
            </w:pPr>
            <w:r w:rsidRPr="008204CC">
              <w:rPr>
                <w:rFonts w:ascii="Arial" w:eastAsia="Times New Roman" w:hAnsi="Arial" w:cs="Arial"/>
                <w:color w:val="000000"/>
                <w:sz w:val="18"/>
                <w:szCs w:val="18"/>
                <w:lang w:eastAsia="en-GB"/>
              </w:rPr>
              <w:t>93.89304</w:t>
            </w:r>
          </w:p>
        </w:tc>
        <w:tc>
          <w:tcPr>
            <w:tcW w:w="1559" w:type="dxa"/>
            <w:gridSpan w:val="2"/>
            <w:tcBorders>
              <w:top w:val="nil"/>
              <w:left w:val="nil"/>
              <w:bottom w:val="single" w:sz="4" w:space="0" w:color="auto"/>
              <w:right w:val="single" w:sz="4" w:space="0" w:color="auto"/>
            </w:tcBorders>
            <w:shd w:val="clear" w:color="auto" w:fill="auto"/>
            <w:vAlign w:val="bottom"/>
          </w:tcPr>
          <w:p w14:paraId="5C5FAF26" w14:textId="77777777" w:rsidR="00620422" w:rsidRPr="008204CC" w:rsidRDefault="00620422" w:rsidP="0066301C">
            <w:pPr>
              <w:spacing w:after="0" w:line="240" w:lineRule="auto"/>
              <w:jc w:val="right"/>
              <w:rPr>
                <w:rFonts w:ascii="Arial" w:eastAsia="Times New Roman" w:hAnsi="Arial" w:cs="Arial"/>
                <w:color w:val="000000"/>
                <w:sz w:val="18"/>
                <w:szCs w:val="18"/>
                <w:lang w:eastAsia="en-GB"/>
              </w:rPr>
            </w:pPr>
            <w:r w:rsidRPr="008204CC">
              <w:rPr>
                <w:rFonts w:ascii="Arial" w:eastAsia="Times New Roman" w:hAnsi="Arial" w:cs="Arial"/>
                <w:color w:val="000000"/>
                <w:sz w:val="18"/>
                <w:szCs w:val="18"/>
                <w:lang w:eastAsia="en-GB"/>
              </w:rPr>
              <w:t>91.90848</w:t>
            </w:r>
          </w:p>
        </w:tc>
        <w:tc>
          <w:tcPr>
            <w:tcW w:w="2122" w:type="dxa"/>
            <w:gridSpan w:val="2"/>
            <w:tcBorders>
              <w:top w:val="nil"/>
              <w:left w:val="nil"/>
              <w:bottom w:val="single" w:sz="4" w:space="0" w:color="auto"/>
              <w:right w:val="single" w:sz="4" w:space="0" w:color="auto"/>
            </w:tcBorders>
            <w:shd w:val="clear" w:color="auto" w:fill="auto"/>
            <w:vAlign w:val="bottom"/>
          </w:tcPr>
          <w:p w14:paraId="5DCF30ED" w14:textId="77777777" w:rsidR="00620422" w:rsidRPr="008204CC" w:rsidRDefault="00620422" w:rsidP="0066301C">
            <w:pPr>
              <w:spacing w:after="0" w:line="240" w:lineRule="auto"/>
              <w:jc w:val="right"/>
              <w:rPr>
                <w:rFonts w:ascii="Arial" w:eastAsia="Times New Roman" w:hAnsi="Arial" w:cs="Arial"/>
                <w:color w:val="000000"/>
                <w:sz w:val="18"/>
                <w:szCs w:val="18"/>
                <w:lang w:eastAsia="en-GB"/>
              </w:rPr>
            </w:pPr>
            <w:r w:rsidRPr="008204CC">
              <w:rPr>
                <w:rFonts w:ascii="Arial" w:eastAsia="Times New Roman" w:hAnsi="Arial" w:cs="Arial"/>
                <w:color w:val="000000"/>
                <w:sz w:val="18"/>
                <w:szCs w:val="18"/>
                <w:lang w:eastAsia="en-GB"/>
              </w:rPr>
              <w:t>1.984561</w:t>
            </w:r>
          </w:p>
        </w:tc>
      </w:tr>
      <w:tr w:rsidR="008A6AC3" w:rsidRPr="008204CC" w14:paraId="7312B1AF" w14:textId="77777777" w:rsidTr="00D46B41">
        <w:trPr>
          <w:trHeight w:val="270"/>
        </w:trPr>
        <w:tc>
          <w:tcPr>
            <w:tcW w:w="1135" w:type="dxa"/>
            <w:tcBorders>
              <w:top w:val="nil"/>
              <w:left w:val="single" w:sz="4" w:space="0" w:color="auto"/>
              <w:bottom w:val="single" w:sz="4" w:space="0" w:color="auto"/>
              <w:right w:val="single" w:sz="4" w:space="0" w:color="auto"/>
            </w:tcBorders>
            <w:shd w:val="clear" w:color="auto" w:fill="auto"/>
            <w:noWrap/>
            <w:vAlign w:val="bottom"/>
            <w:hideMark/>
          </w:tcPr>
          <w:p w14:paraId="184B5AC0" w14:textId="77777777" w:rsidR="00620422" w:rsidRPr="008204CC" w:rsidRDefault="00620422" w:rsidP="0066301C">
            <w:pPr>
              <w:spacing w:after="0" w:line="240" w:lineRule="auto"/>
              <w:jc w:val="right"/>
              <w:rPr>
                <w:rFonts w:ascii="Arial" w:eastAsia="Times New Roman" w:hAnsi="Arial" w:cs="Arial"/>
                <w:color w:val="000000"/>
                <w:sz w:val="18"/>
                <w:szCs w:val="18"/>
                <w:lang w:eastAsia="en-GB"/>
              </w:rPr>
            </w:pPr>
            <w:r w:rsidRPr="008204CC">
              <w:rPr>
                <w:rFonts w:ascii="Arial" w:eastAsia="Times New Roman" w:hAnsi="Arial" w:cs="Arial"/>
                <w:color w:val="000000"/>
                <w:sz w:val="18"/>
                <w:szCs w:val="18"/>
                <w:lang w:eastAsia="en-GB"/>
              </w:rPr>
              <w:t>2005</w:t>
            </w:r>
          </w:p>
        </w:tc>
        <w:tc>
          <w:tcPr>
            <w:tcW w:w="1701" w:type="dxa"/>
            <w:tcBorders>
              <w:top w:val="nil"/>
              <w:left w:val="nil"/>
              <w:bottom w:val="single" w:sz="4" w:space="0" w:color="auto"/>
              <w:right w:val="single" w:sz="4" w:space="0" w:color="auto"/>
            </w:tcBorders>
            <w:shd w:val="clear" w:color="auto" w:fill="auto"/>
            <w:noWrap/>
            <w:vAlign w:val="bottom"/>
            <w:hideMark/>
          </w:tcPr>
          <w:p w14:paraId="1DE52E60" w14:textId="77777777" w:rsidR="00620422" w:rsidRPr="008204CC" w:rsidRDefault="00620422" w:rsidP="0066301C">
            <w:pPr>
              <w:spacing w:after="0" w:line="240" w:lineRule="auto"/>
              <w:jc w:val="right"/>
              <w:rPr>
                <w:rFonts w:ascii="Arial" w:eastAsia="Times New Roman" w:hAnsi="Arial" w:cs="Arial"/>
                <w:color w:val="000000"/>
                <w:sz w:val="18"/>
                <w:szCs w:val="18"/>
                <w:lang w:eastAsia="en-GB"/>
              </w:rPr>
            </w:pPr>
            <w:r w:rsidRPr="008204CC">
              <w:rPr>
                <w:rFonts w:ascii="Arial" w:eastAsia="Times New Roman" w:hAnsi="Arial" w:cs="Arial"/>
                <w:color w:val="000000"/>
                <w:sz w:val="18"/>
                <w:szCs w:val="18"/>
                <w:lang w:eastAsia="en-GB"/>
              </w:rPr>
              <w:t>99.8708443</w:t>
            </w:r>
          </w:p>
        </w:tc>
        <w:tc>
          <w:tcPr>
            <w:tcW w:w="1701" w:type="dxa"/>
            <w:tcBorders>
              <w:top w:val="nil"/>
              <w:left w:val="nil"/>
              <w:bottom w:val="single" w:sz="4" w:space="0" w:color="auto"/>
              <w:right w:val="single" w:sz="4" w:space="0" w:color="auto"/>
            </w:tcBorders>
            <w:shd w:val="clear" w:color="auto" w:fill="auto"/>
            <w:noWrap/>
            <w:vAlign w:val="bottom"/>
            <w:hideMark/>
          </w:tcPr>
          <w:p w14:paraId="7C30DC4F" w14:textId="77777777" w:rsidR="00620422" w:rsidRPr="008204CC" w:rsidRDefault="00620422" w:rsidP="0066301C">
            <w:pPr>
              <w:spacing w:after="0" w:line="240" w:lineRule="auto"/>
              <w:jc w:val="right"/>
              <w:rPr>
                <w:rFonts w:ascii="Arial" w:eastAsia="Times New Roman" w:hAnsi="Arial" w:cs="Arial"/>
                <w:color w:val="000000"/>
                <w:sz w:val="18"/>
                <w:szCs w:val="18"/>
                <w:lang w:eastAsia="en-GB"/>
              </w:rPr>
            </w:pPr>
            <w:r w:rsidRPr="008204CC">
              <w:rPr>
                <w:rFonts w:ascii="Arial" w:eastAsia="Times New Roman" w:hAnsi="Arial" w:cs="Arial"/>
                <w:color w:val="000000"/>
                <w:sz w:val="18"/>
                <w:szCs w:val="18"/>
                <w:lang w:eastAsia="en-GB"/>
              </w:rPr>
              <w:t>99.66254254</w:t>
            </w:r>
          </w:p>
        </w:tc>
        <w:tc>
          <w:tcPr>
            <w:tcW w:w="1984" w:type="dxa"/>
            <w:tcBorders>
              <w:top w:val="nil"/>
              <w:left w:val="nil"/>
              <w:bottom w:val="single" w:sz="4" w:space="0" w:color="auto"/>
              <w:right w:val="single" w:sz="4" w:space="0" w:color="auto"/>
            </w:tcBorders>
            <w:shd w:val="clear" w:color="auto" w:fill="auto"/>
            <w:noWrap/>
            <w:vAlign w:val="bottom"/>
            <w:hideMark/>
          </w:tcPr>
          <w:p w14:paraId="7980AED1" w14:textId="77777777" w:rsidR="00620422" w:rsidRPr="008204CC" w:rsidRDefault="00620422" w:rsidP="0066301C">
            <w:pPr>
              <w:spacing w:after="0" w:line="240" w:lineRule="auto"/>
              <w:jc w:val="right"/>
              <w:rPr>
                <w:rFonts w:ascii="Arial" w:eastAsia="Times New Roman" w:hAnsi="Arial" w:cs="Arial"/>
                <w:sz w:val="18"/>
                <w:szCs w:val="18"/>
                <w:lang w:eastAsia="en-GB"/>
              </w:rPr>
            </w:pPr>
            <w:r w:rsidRPr="008204CC">
              <w:rPr>
                <w:rFonts w:ascii="Arial" w:eastAsia="Times New Roman" w:hAnsi="Arial" w:cs="Arial"/>
                <w:sz w:val="18"/>
                <w:szCs w:val="18"/>
                <w:lang w:eastAsia="en-GB"/>
              </w:rPr>
              <w:t>0.208302</w:t>
            </w:r>
          </w:p>
        </w:tc>
        <w:tc>
          <w:tcPr>
            <w:tcW w:w="709" w:type="dxa"/>
            <w:vMerge/>
            <w:tcBorders>
              <w:left w:val="nil"/>
              <w:right w:val="single" w:sz="4" w:space="0" w:color="auto"/>
            </w:tcBorders>
          </w:tcPr>
          <w:p w14:paraId="58BF8C53" w14:textId="77777777" w:rsidR="00620422" w:rsidRPr="008204CC" w:rsidRDefault="00620422" w:rsidP="0066301C">
            <w:pPr>
              <w:spacing w:after="0" w:line="240" w:lineRule="auto"/>
              <w:jc w:val="right"/>
              <w:rPr>
                <w:rFonts w:ascii="Arial" w:eastAsia="Times New Roman" w:hAnsi="Arial" w:cs="Arial"/>
                <w:sz w:val="18"/>
                <w:szCs w:val="18"/>
                <w:lang w:eastAsia="en-GB"/>
              </w:rPr>
            </w:pPr>
          </w:p>
        </w:tc>
        <w:tc>
          <w:tcPr>
            <w:tcW w:w="999" w:type="dxa"/>
            <w:gridSpan w:val="2"/>
            <w:tcBorders>
              <w:top w:val="nil"/>
              <w:left w:val="single" w:sz="4" w:space="0" w:color="auto"/>
              <w:bottom w:val="single" w:sz="4" w:space="0" w:color="auto"/>
              <w:right w:val="single" w:sz="4" w:space="0" w:color="auto"/>
            </w:tcBorders>
            <w:shd w:val="clear" w:color="auto" w:fill="auto"/>
            <w:vAlign w:val="bottom"/>
          </w:tcPr>
          <w:p w14:paraId="4777247E" w14:textId="77777777" w:rsidR="00620422" w:rsidRPr="008204CC" w:rsidRDefault="00620422" w:rsidP="0066301C">
            <w:pPr>
              <w:spacing w:after="0" w:line="240" w:lineRule="auto"/>
              <w:jc w:val="right"/>
              <w:rPr>
                <w:rFonts w:ascii="Arial" w:eastAsia="Times New Roman" w:hAnsi="Arial" w:cs="Arial"/>
                <w:color w:val="000000"/>
                <w:sz w:val="18"/>
                <w:szCs w:val="18"/>
                <w:lang w:eastAsia="en-GB"/>
              </w:rPr>
            </w:pPr>
            <w:r w:rsidRPr="008204CC">
              <w:rPr>
                <w:rFonts w:ascii="Arial" w:eastAsia="Times New Roman" w:hAnsi="Arial" w:cs="Arial"/>
                <w:color w:val="000000"/>
                <w:sz w:val="18"/>
                <w:szCs w:val="18"/>
                <w:lang w:eastAsia="en-GB"/>
              </w:rPr>
              <w:t>2005</w:t>
            </w:r>
          </w:p>
        </w:tc>
        <w:tc>
          <w:tcPr>
            <w:tcW w:w="1415" w:type="dxa"/>
            <w:gridSpan w:val="2"/>
            <w:tcBorders>
              <w:top w:val="nil"/>
              <w:left w:val="nil"/>
              <w:bottom w:val="single" w:sz="4" w:space="0" w:color="auto"/>
              <w:right w:val="single" w:sz="4" w:space="0" w:color="auto"/>
            </w:tcBorders>
            <w:shd w:val="clear" w:color="auto" w:fill="auto"/>
            <w:vAlign w:val="bottom"/>
          </w:tcPr>
          <w:p w14:paraId="40BFD588" w14:textId="77777777" w:rsidR="00620422" w:rsidRPr="008204CC" w:rsidRDefault="00620422" w:rsidP="0066301C">
            <w:pPr>
              <w:spacing w:after="0" w:line="240" w:lineRule="auto"/>
              <w:jc w:val="right"/>
              <w:rPr>
                <w:rFonts w:ascii="Arial" w:eastAsia="Times New Roman" w:hAnsi="Arial" w:cs="Arial"/>
                <w:color w:val="000000"/>
                <w:sz w:val="18"/>
                <w:szCs w:val="18"/>
                <w:lang w:eastAsia="en-GB"/>
              </w:rPr>
            </w:pPr>
            <w:r w:rsidRPr="008204CC">
              <w:rPr>
                <w:rFonts w:ascii="Arial" w:eastAsia="Times New Roman" w:hAnsi="Arial" w:cs="Arial"/>
                <w:color w:val="000000"/>
                <w:sz w:val="18"/>
                <w:szCs w:val="18"/>
                <w:lang w:eastAsia="en-GB"/>
              </w:rPr>
              <w:t>93.04301</w:t>
            </w:r>
          </w:p>
        </w:tc>
        <w:tc>
          <w:tcPr>
            <w:tcW w:w="1559" w:type="dxa"/>
            <w:gridSpan w:val="2"/>
            <w:tcBorders>
              <w:top w:val="nil"/>
              <w:left w:val="nil"/>
              <w:bottom w:val="single" w:sz="4" w:space="0" w:color="auto"/>
              <w:right w:val="single" w:sz="4" w:space="0" w:color="auto"/>
            </w:tcBorders>
            <w:shd w:val="clear" w:color="auto" w:fill="auto"/>
            <w:vAlign w:val="bottom"/>
          </w:tcPr>
          <w:p w14:paraId="1A6FA17E" w14:textId="77777777" w:rsidR="00620422" w:rsidRPr="008204CC" w:rsidRDefault="00620422" w:rsidP="0066301C">
            <w:pPr>
              <w:spacing w:after="0" w:line="240" w:lineRule="auto"/>
              <w:jc w:val="right"/>
              <w:rPr>
                <w:rFonts w:ascii="Arial" w:eastAsia="Times New Roman" w:hAnsi="Arial" w:cs="Arial"/>
                <w:color w:val="000000"/>
                <w:sz w:val="18"/>
                <w:szCs w:val="18"/>
                <w:lang w:eastAsia="en-GB"/>
              </w:rPr>
            </w:pPr>
            <w:r w:rsidRPr="008204CC">
              <w:rPr>
                <w:rFonts w:ascii="Arial" w:eastAsia="Times New Roman" w:hAnsi="Arial" w:cs="Arial"/>
                <w:color w:val="000000"/>
                <w:sz w:val="18"/>
                <w:szCs w:val="18"/>
                <w:lang w:eastAsia="en-GB"/>
              </w:rPr>
              <w:t>93.07332</w:t>
            </w:r>
          </w:p>
        </w:tc>
        <w:tc>
          <w:tcPr>
            <w:tcW w:w="2122" w:type="dxa"/>
            <w:gridSpan w:val="2"/>
            <w:tcBorders>
              <w:top w:val="nil"/>
              <w:left w:val="nil"/>
              <w:bottom w:val="single" w:sz="4" w:space="0" w:color="auto"/>
              <w:right w:val="single" w:sz="4" w:space="0" w:color="auto"/>
            </w:tcBorders>
            <w:shd w:val="clear" w:color="auto" w:fill="auto"/>
            <w:vAlign w:val="bottom"/>
          </w:tcPr>
          <w:p w14:paraId="47932581" w14:textId="77777777" w:rsidR="00620422" w:rsidRPr="008204CC" w:rsidRDefault="00620422" w:rsidP="0066301C">
            <w:pPr>
              <w:spacing w:after="0" w:line="240" w:lineRule="auto"/>
              <w:jc w:val="right"/>
              <w:rPr>
                <w:rFonts w:ascii="Arial" w:eastAsia="Times New Roman" w:hAnsi="Arial" w:cs="Arial"/>
                <w:color w:val="000000"/>
                <w:sz w:val="18"/>
                <w:szCs w:val="18"/>
                <w:lang w:eastAsia="en-GB"/>
              </w:rPr>
            </w:pPr>
            <w:r w:rsidRPr="008204CC">
              <w:rPr>
                <w:rFonts w:ascii="Arial" w:eastAsia="Times New Roman" w:hAnsi="Arial" w:cs="Arial"/>
                <w:color w:val="000000"/>
                <w:sz w:val="18"/>
                <w:szCs w:val="18"/>
                <w:lang w:eastAsia="en-GB"/>
              </w:rPr>
              <w:t>-0.03031</w:t>
            </w:r>
          </w:p>
        </w:tc>
      </w:tr>
      <w:tr w:rsidR="008A6AC3" w:rsidRPr="008204CC" w14:paraId="22C5650C" w14:textId="77777777" w:rsidTr="00D46B41">
        <w:trPr>
          <w:trHeight w:val="270"/>
        </w:trPr>
        <w:tc>
          <w:tcPr>
            <w:tcW w:w="1135" w:type="dxa"/>
            <w:tcBorders>
              <w:top w:val="nil"/>
              <w:left w:val="single" w:sz="4" w:space="0" w:color="auto"/>
              <w:bottom w:val="single" w:sz="4" w:space="0" w:color="auto"/>
              <w:right w:val="single" w:sz="4" w:space="0" w:color="auto"/>
            </w:tcBorders>
            <w:shd w:val="clear" w:color="auto" w:fill="auto"/>
            <w:noWrap/>
            <w:vAlign w:val="bottom"/>
            <w:hideMark/>
          </w:tcPr>
          <w:p w14:paraId="2F376F07" w14:textId="77777777" w:rsidR="00620422" w:rsidRPr="008204CC" w:rsidRDefault="00620422" w:rsidP="0066301C">
            <w:pPr>
              <w:spacing w:after="0" w:line="240" w:lineRule="auto"/>
              <w:jc w:val="right"/>
              <w:rPr>
                <w:rFonts w:ascii="Arial" w:eastAsia="Times New Roman" w:hAnsi="Arial" w:cs="Arial"/>
                <w:color w:val="000000"/>
                <w:sz w:val="18"/>
                <w:szCs w:val="18"/>
                <w:lang w:eastAsia="en-GB"/>
              </w:rPr>
            </w:pPr>
            <w:r w:rsidRPr="008204CC">
              <w:rPr>
                <w:rFonts w:ascii="Arial" w:eastAsia="Times New Roman" w:hAnsi="Arial" w:cs="Arial"/>
                <w:color w:val="000000"/>
                <w:sz w:val="18"/>
                <w:szCs w:val="18"/>
                <w:lang w:eastAsia="en-GB"/>
              </w:rPr>
              <w:t>2006</w:t>
            </w:r>
          </w:p>
        </w:tc>
        <w:tc>
          <w:tcPr>
            <w:tcW w:w="1701" w:type="dxa"/>
            <w:tcBorders>
              <w:top w:val="nil"/>
              <w:left w:val="nil"/>
              <w:bottom w:val="single" w:sz="4" w:space="0" w:color="auto"/>
              <w:right w:val="single" w:sz="4" w:space="0" w:color="auto"/>
            </w:tcBorders>
            <w:shd w:val="clear" w:color="auto" w:fill="auto"/>
            <w:noWrap/>
            <w:vAlign w:val="bottom"/>
            <w:hideMark/>
          </w:tcPr>
          <w:p w14:paraId="7CAB1B1C" w14:textId="77777777" w:rsidR="00620422" w:rsidRPr="008204CC" w:rsidRDefault="00620422" w:rsidP="0066301C">
            <w:pPr>
              <w:spacing w:after="0" w:line="240" w:lineRule="auto"/>
              <w:jc w:val="right"/>
              <w:rPr>
                <w:rFonts w:ascii="Arial" w:eastAsia="Times New Roman" w:hAnsi="Arial" w:cs="Arial"/>
                <w:color w:val="000000"/>
                <w:sz w:val="18"/>
                <w:szCs w:val="18"/>
                <w:lang w:eastAsia="en-GB"/>
              </w:rPr>
            </w:pPr>
            <w:r w:rsidRPr="008204CC">
              <w:rPr>
                <w:rFonts w:ascii="Arial" w:eastAsia="Times New Roman" w:hAnsi="Arial" w:cs="Arial"/>
                <w:color w:val="000000"/>
                <w:sz w:val="18"/>
                <w:szCs w:val="18"/>
                <w:lang w:eastAsia="en-GB"/>
              </w:rPr>
              <w:t>101.512383</w:t>
            </w:r>
          </w:p>
        </w:tc>
        <w:tc>
          <w:tcPr>
            <w:tcW w:w="1701" w:type="dxa"/>
            <w:tcBorders>
              <w:top w:val="nil"/>
              <w:left w:val="nil"/>
              <w:bottom w:val="single" w:sz="4" w:space="0" w:color="auto"/>
              <w:right w:val="single" w:sz="4" w:space="0" w:color="auto"/>
            </w:tcBorders>
            <w:shd w:val="clear" w:color="auto" w:fill="auto"/>
            <w:noWrap/>
            <w:vAlign w:val="bottom"/>
            <w:hideMark/>
          </w:tcPr>
          <w:p w14:paraId="4B3BEA85" w14:textId="77777777" w:rsidR="00620422" w:rsidRPr="008204CC" w:rsidRDefault="00620422" w:rsidP="0066301C">
            <w:pPr>
              <w:spacing w:after="0" w:line="240" w:lineRule="auto"/>
              <w:jc w:val="right"/>
              <w:rPr>
                <w:rFonts w:ascii="Arial" w:eastAsia="Times New Roman" w:hAnsi="Arial" w:cs="Arial"/>
                <w:color w:val="000000"/>
                <w:sz w:val="18"/>
                <w:szCs w:val="18"/>
                <w:lang w:eastAsia="en-GB"/>
              </w:rPr>
            </w:pPr>
            <w:r w:rsidRPr="008204CC">
              <w:rPr>
                <w:rFonts w:ascii="Arial" w:eastAsia="Times New Roman" w:hAnsi="Arial" w:cs="Arial"/>
                <w:color w:val="000000"/>
                <w:sz w:val="18"/>
                <w:szCs w:val="18"/>
                <w:lang w:eastAsia="en-GB"/>
              </w:rPr>
              <w:t>100.0927651</w:t>
            </w:r>
          </w:p>
        </w:tc>
        <w:tc>
          <w:tcPr>
            <w:tcW w:w="1984" w:type="dxa"/>
            <w:tcBorders>
              <w:top w:val="nil"/>
              <w:left w:val="nil"/>
              <w:bottom w:val="single" w:sz="4" w:space="0" w:color="auto"/>
              <w:right w:val="single" w:sz="4" w:space="0" w:color="auto"/>
            </w:tcBorders>
            <w:shd w:val="clear" w:color="auto" w:fill="auto"/>
            <w:noWrap/>
            <w:vAlign w:val="bottom"/>
            <w:hideMark/>
          </w:tcPr>
          <w:p w14:paraId="54A0D924" w14:textId="77777777" w:rsidR="00620422" w:rsidRPr="008204CC" w:rsidRDefault="00620422" w:rsidP="0066301C">
            <w:pPr>
              <w:spacing w:after="0" w:line="240" w:lineRule="auto"/>
              <w:jc w:val="right"/>
              <w:rPr>
                <w:rFonts w:ascii="Arial" w:eastAsia="Times New Roman" w:hAnsi="Arial" w:cs="Arial"/>
                <w:sz w:val="18"/>
                <w:szCs w:val="18"/>
                <w:lang w:eastAsia="en-GB"/>
              </w:rPr>
            </w:pPr>
            <w:r w:rsidRPr="008204CC">
              <w:rPr>
                <w:rFonts w:ascii="Arial" w:eastAsia="Times New Roman" w:hAnsi="Arial" w:cs="Arial"/>
                <w:sz w:val="18"/>
                <w:szCs w:val="18"/>
                <w:lang w:eastAsia="en-GB"/>
              </w:rPr>
              <w:t>1.419618</w:t>
            </w:r>
          </w:p>
        </w:tc>
        <w:tc>
          <w:tcPr>
            <w:tcW w:w="709" w:type="dxa"/>
            <w:vMerge/>
            <w:tcBorders>
              <w:left w:val="nil"/>
              <w:right w:val="single" w:sz="4" w:space="0" w:color="auto"/>
            </w:tcBorders>
          </w:tcPr>
          <w:p w14:paraId="39B71857" w14:textId="77777777" w:rsidR="00620422" w:rsidRPr="008204CC" w:rsidRDefault="00620422" w:rsidP="0066301C">
            <w:pPr>
              <w:spacing w:after="0" w:line="240" w:lineRule="auto"/>
              <w:jc w:val="right"/>
              <w:rPr>
                <w:rFonts w:ascii="Arial" w:eastAsia="Times New Roman" w:hAnsi="Arial" w:cs="Arial"/>
                <w:sz w:val="18"/>
                <w:szCs w:val="18"/>
                <w:lang w:eastAsia="en-GB"/>
              </w:rPr>
            </w:pPr>
          </w:p>
        </w:tc>
        <w:tc>
          <w:tcPr>
            <w:tcW w:w="999" w:type="dxa"/>
            <w:gridSpan w:val="2"/>
            <w:tcBorders>
              <w:top w:val="nil"/>
              <w:left w:val="single" w:sz="4" w:space="0" w:color="auto"/>
              <w:bottom w:val="single" w:sz="4" w:space="0" w:color="auto"/>
              <w:right w:val="single" w:sz="4" w:space="0" w:color="auto"/>
            </w:tcBorders>
            <w:shd w:val="clear" w:color="auto" w:fill="auto"/>
            <w:vAlign w:val="bottom"/>
          </w:tcPr>
          <w:p w14:paraId="402D886A" w14:textId="77777777" w:rsidR="00620422" w:rsidRPr="008204CC" w:rsidRDefault="00620422" w:rsidP="0066301C">
            <w:pPr>
              <w:spacing w:after="0" w:line="240" w:lineRule="auto"/>
              <w:jc w:val="right"/>
              <w:rPr>
                <w:rFonts w:ascii="Arial" w:eastAsia="Times New Roman" w:hAnsi="Arial" w:cs="Arial"/>
                <w:color w:val="000000"/>
                <w:sz w:val="18"/>
                <w:szCs w:val="18"/>
                <w:lang w:eastAsia="en-GB"/>
              </w:rPr>
            </w:pPr>
            <w:r w:rsidRPr="008204CC">
              <w:rPr>
                <w:rFonts w:ascii="Arial" w:eastAsia="Times New Roman" w:hAnsi="Arial" w:cs="Arial"/>
                <w:color w:val="000000"/>
                <w:sz w:val="18"/>
                <w:szCs w:val="18"/>
                <w:lang w:eastAsia="en-GB"/>
              </w:rPr>
              <w:t>2006</w:t>
            </w:r>
          </w:p>
        </w:tc>
        <w:tc>
          <w:tcPr>
            <w:tcW w:w="1415" w:type="dxa"/>
            <w:gridSpan w:val="2"/>
            <w:tcBorders>
              <w:top w:val="nil"/>
              <w:left w:val="nil"/>
              <w:bottom w:val="single" w:sz="4" w:space="0" w:color="auto"/>
              <w:right w:val="single" w:sz="4" w:space="0" w:color="auto"/>
            </w:tcBorders>
            <w:shd w:val="clear" w:color="auto" w:fill="auto"/>
            <w:vAlign w:val="bottom"/>
          </w:tcPr>
          <w:p w14:paraId="2DD716F0" w14:textId="77777777" w:rsidR="00620422" w:rsidRPr="008204CC" w:rsidRDefault="00620422" w:rsidP="0066301C">
            <w:pPr>
              <w:spacing w:after="0" w:line="240" w:lineRule="auto"/>
              <w:jc w:val="right"/>
              <w:rPr>
                <w:rFonts w:ascii="Arial" w:eastAsia="Times New Roman" w:hAnsi="Arial" w:cs="Arial"/>
                <w:color w:val="000000"/>
                <w:sz w:val="18"/>
                <w:szCs w:val="18"/>
                <w:lang w:eastAsia="en-GB"/>
              </w:rPr>
            </w:pPr>
            <w:r w:rsidRPr="008204CC">
              <w:rPr>
                <w:rFonts w:ascii="Arial" w:eastAsia="Times New Roman" w:hAnsi="Arial" w:cs="Arial"/>
                <w:color w:val="000000"/>
                <w:sz w:val="18"/>
                <w:szCs w:val="18"/>
                <w:lang w:eastAsia="en-GB"/>
              </w:rPr>
              <w:t>96.45685</w:t>
            </w:r>
          </w:p>
        </w:tc>
        <w:tc>
          <w:tcPr>
            <w:tcW w:w="1559" w:type="dxa"/>
            <w:gridSpan w:val="2"/>
            <w:tcBorders>
              <w:top w:val="nil"/>
              <w:left w:val="nil"/>
              <w:bottom w:val="single" w:sz="4" w:space="0" w:color="auto"/>
              <w:right w:val="single" w:sz="4" w:space="0" w:color="auto"/>
            </w:tcBorders>
            <w:shd w:val="clear" w:color="auto" w:fill="auto"/>
            <w:vAlign w:val="bottom"/>
          </w:tcPr>
          <w:p w14:paraId="2F97B328" w14:textId="77777777" w:rsidR="00620422" w:rsidRPr="008204CC" w:rsidRDefault="00620422" w:rsidP="0066301C">
            <w:pPr>
              <w:spacing w:after="0" w:line="240" w:lineRule="auto"/>
              <w:jc w:val="right"/>
              <w:rPr>
                <w:rFonts w:ascii="Arial" w:eastAsia="Times New Roman" w:hAnsi="Arial" w:cs="Arial"/>
                <w:color w:val="000000"/>
                <w:sz w:val="18"/>
                <w:szCs w:val="18"/>
                <w:lang w:eastAsia="en-GB"/>
              </w:rPr>
            </w:pPr>
            <w:r w:rsidRPr="008204CC">
              <w:rPr>
                <w:rFonts w:ascii="Arial" w:eastAsia="Times New Roman" w:hAnsi="Arial" w:cs="Arial"/>
                <w:color w:val="000000"/>
                <w:sz w:val="18"/>
                <w:szCs w:val="18"/>
                <w:lang w:eastAsia="en-GB"/>
              </w:rPr>
              <w:t>94.47864</w:t>
            </w:r>
          </w:p>
        </w:tc>
        <w:tc>
          <w:tcPr>
            <w:tcW w:w="2122" w:type="dxa"/>
            <w:gridSpan w:val="2"/>
            <w:tcBorders>
              <w:top w:val="nil"/>
              <w:left w:val="nil"/>
              <w:bottom w:val="single" w:sz="4" w:space="0" w:color="auto"/>
              <w:right w:val="single" w:sz="4" w:space="0" w:color="auto"/>
            </w:tcBorders>
            <w:shd w:val="clear" w:color="auto" w:fill="auto"/>
            <w:vAlign w:val="bottom"/>
          </w:tcPr>
          <w:p w14:paraId="69C0C152" w14:textId="77777777" w:rsidR="00620422" w:rsidRPr="008204CC" w:rsidRDefault="00620422" w:rsidP="0066301C">
            <w:pPr>
              <w:spacing w:after="0" w:line="240" w:lineRule="auto"/>
              <w:jc w:val="right"/>
              <w:rPr>
                <w:rFonts w:ascii="Arial" w:eastAsia="Times New Roman" w:hAnsi="Arial" w:cs="Arial"/>
                <w:color w:val="000000"/>
                <w:sz w:val="18"/>
                <w:szCs w:val="18"/>
                <w:lang w:eastAsia="en-GB"/>
              </w:rPr>
            </w:pPr>
            <w:r w:rsidRPr="008204CC">
              <w:rPr>
                <w:rFonts w:ascii="Arial" w:eastAsia="Times New Roman" w:hAnsi="Arial" w:cs="Arial"/>
                <w:color w:val="000000"/>
                <w:sz w:val="18"/>
                <w:szCs w:val="18"/>
                <w:lang w:eastAsia="en-GB"/>
              </w:rPr>
              <w:t>1.978212</w:t>
            </w:r>
          </w:p>
        </w:tc>
      </w:tr>
      <w:tr w:rsidR="008A6AC3" w:rsidRPr="008204CC" w14:paraId="4161C7E7" w14:textId="77777777" w:rsidTr="00D46B41">
        <w:trPr>
          <w:trHeight w:val="270"/>
        </w:trPr>
        <w:tc>
          <w:tcPr>
            <w:tcW w:w="1135" w:type="dxa"/>
            <w:tcBorders>
              <w:top w:val="nil"/>
              <w:left w:val="single" w:sz="4" w:space="0" w:color="auto"/>
              <w:bottom w:val="single" w:sz="4" w:space="0" w:color="auto"/>
              <w:right w:val="single" w:sz="4" w:space="0" w:color="auto"/>
            </w:tcBorders>
            <w:shd w:val="clear" w:color="auto" w:fill="auto"/>
            <w:noWrap/>
            <w:vAlign w:val="bottom"/>
            <w:hideMark/>
          </w:tcPr>
          <w:p w14:paraId="09C23350" w14:textId="77777777" w:rsidR="00620422" w:rsidRPr="008204CC" w:rsidRDefault="00620422" w:rsidP="0066301C">
            <w:pPr>
              <w:spacing w:after="0" w:line="240" w:lineRule="auto"/>
              <w:jc w:val="right"/>
              <w:rPr>
                <w:rFonts w:ascii="Arial" w:eastAsia="Times New Roman" w:hAnsi="Arial" w:cs="Arial"/>
                <w:color w:val="000000"/>
                <w:sz w:val="18"/>
                <w:szCs w:val="18"/>
                <w:lang w:eastAsia="en-GB"/>
              </w:rPr>
            </w:pPr>
            <w:r w:rsidRPr="008204CC">
              <w:rPr>
                <w:rFonts w:ascii="Arial" w:eastAsia="Times New Roman" w:hAnsi="Arial" w:cs="Arial"/>
                <w:color w:val="000000"/>
                <w:sz w:val="18"/>
                <w:szCs w:val="18"/>
                <w:lang w:eastAsia="en-GB"/>
              </w:rPr>
              <w:t>2007</w:t>
            </w:r>
          </w:p>
        </w:tc>
        <w:tc>
          <w:tcPr>
            <w:tcW w:w="1701" w:type="dxa"/>
            <w:tcBorders>
              <w:top w:val="nil"/>
              <w:left w:val="nil"/>
              <w:bottom w:val="single" w:sz="4" w:space="0" w:color="auto"/>
              <w:right w:val="single" w:sz="4" w:space="0" w:color="auto"/>
            </w:tcBorders>
            <w:shd w:val="clear" w:color="auto" w:fill="auto"/>
            <w:noWrap/>
            <w:vAlign w:val="bottom"/>
            <w:hideMark/>
          </w:tcPr>
          <w:p w14:paraId="7A372F25" w14:textId="77777777" w:rsidR="00620422" w:rsidRPr="008204CC" w:rsidRDefault="00620422" w:rsidP="0066301C">
            <w:pPr>
              <w:spacing w:after="0" w:line="240" w:lineRule="auto"/>
              <w:jc w:val="right"/>
              <w:rPr>
                <w:rFonts w:ascii="Arial" w:eastAsia="Times New Roman" w:hAnsi="Arial" w:cs="Arial"/>
                <w:color w:val="000000"/>
                <w:sz w:val="18"/>
                <w:szCs w:val="18"/>
                <w:lang w:eastAsia="en-GB"/>
              </w:rPr>
            </w:pPr>
            <w:r w:rsidRPr="008204CC">
              <w:rPr>
                <w:rFonts w:ascii="Arial" w:eastAsia="Times New Roman" w:hAnsi="Arial" w:cs="Arial"/>
                <w:color w:val="000000"/>
                <w:sz w:val="18"/>
                <w:szCs w:val="18"/>
                <w:lang w:eastAsia="en-GB"/>
              </w:rPr>
              <w:t>102.1073574</w:t>
            </w:r>
          </w:p>
        </w:tc>
        <w:tc>
          <w:tcPr>
            <w:tcW w:w="1701" w:type="dxa"/>
            <w:tcBorders>
              <w:top w:val="nil"/>
              <w:left w:val="nil"/>
              <w:bottom w:val="single" w:sz="4" w:space="0" w:color="auto"/>
              <w:right w:val="single" w:sz="4" w:space="0" w:color="auto"/>
            </w:tcBorders>
            <w:shd w:val="clear" w:color="auto" w:fill="auto"/>
            <w:noWrap/>
            <w:vAlign w:val="bottom"/>
            <w:hideMark/>
          </w:tcPr>
          <w:p w14:paraId="3218894A" w14:textId="77777777" w:rsidR="00620422" w:rsidRPr="008204CC" w:rsidRDefault="00620422" w:rsidP="0066301C">
            <w:pPr>
              <w:spacing w:after="0" w:line="240" w:lineRule="auto"/>
              <w:jc w:val="right"/>
              <w:rPr>
                <w:rFonts w:ascii="Arial" w:eastAsia="Times New Roman" w:hAnsi="Arial" w:cs="Arial"/>
                <w:color w:val="000000"/>
                <w:sz w:val="18"/>
                <w:szCs w:val="18"/>
                <w:lang w:eastAsia="en-GB"/>
              </w:rPr>
            </w:pPr>
            <w:r w:rsidRPr="008204CC">
              <w:rPr>
                <w:rFonts w:ascii="Arial" w:eastAsia="Times New Roman" w:hAnsi="Arial" w:cs="Arial"/>
                <w:color w:val="000000"/>
                <w:sz w:val="18"/>
                <w:szCs w:val="18"/>
                <w:lang w:eastAsia="en-GB"/>
              </w:rPr>
              <w:t>100.428695</w:t>
            </w:r>
          </w:p>
        </w:tc>
        <w:tc>
          <w:tcPr>
            <w:tcW w:w="1984" w:type="dxa"/>
            <w:tcBorders>
              <w:top w:val="nil"/>
              <w:left w:val="nil"/>
              <w:bottom w:val="single" w:sz="4" w:space="0" w:color="auto"/>
              <w:right w:val="single" w:sz="4" w:space="0" w:color="auto"/>
            </w:tcBorders>
            <w:shd w:val="clear" w:color="auto" w:fill="auto"/>
            <w:noWrap/>
            <w:vAlign w:val="bottom"/>
            <w:hideMark/>
          </w:tcPr>
          <w:p w14:paraId="7257B69E" w14:textId="77777777" w:rsidR="00620422" w:rsidRPr="008204CC" w:rsidRDefault="00620422" w:rsidP="0066301C">
            <w:pPr>
              <w:spacing w:after="0" w:line="240" w:lineRule="auto"/>
              <w:jc w:val="right"/>
              <w:rPr>
                <w:rFonts w:ascii="Arial" w:eastAsia="Times New Roman" w:hAnsi="Arial" w:cs="Arial"/>
                <w:sz w:val="18"/>
                <w:szCs w:val="18"/>
                <w:lang w:eastAsia="en-GB"/>
              </w:rPr>
            </w:pPr>
            <w:r w:rsidRPr="008204CC">
              <w:rPr>
                <w:rFonts w:ascii="Arial" w:eastAsia="Times New Roman" w:hAnsi="Arial" w:cs="Arial"/>
                <w:sz w:val="18"/>
                <w:szCs w:val="18"/>
                <w:lang w:eastAsia="en-GB"/>
              </w:rPr>
              <w:t>1.678662</w:t>
            </w:r>
          </w:p>
        </w:tc>
        <w:tc>
          <w:tcPr>
            <w:tcW w:w="709" w:type="dxa"/>
            <w:vMerge/>
            <w:tcBorders>
              <w:left w:val="nil"/>
              <w:right w:val="single" w:sz="4" w:space="0" w:color="auto"/>
            </w:tcBorders>
          </w:tcPr>
          <w:p w14:paraId="2A05CA54" w14:textId="77777777" w:rsidR="00620422" w:rsidRPr="008204CC" w:rsidRDefault="00620422" w:rsidP="0066301C">
            <w:pPr>
              <w:spacing w:after="0" w:line="240" w:lineRule="auto"/>
              <w:jc w:val="right"/>
              <w:rPr>
                <w:rFonts w:ascii="Arial" w:eastAsia="Times New Roman" w:hAnsi="Arial" w:cs="Arial"/>
                <w:sz w:val="18"/>
                <w:szCs w:val="18"/>
                <w:lang w:eastAsia="en-GB"/>
              </w:rPr>
            </w:pPr>
          </w:p>
        </w:tc>
        <w:tc>
          <w:tcPr>
            <w:tcW w:w="999" w:type="dxa"/>
            <w:gridSpan w:val="2"/>
            <w:tcBorders>
              <w:top w:val="nil"/>
              <w:left w:val="single" w:sz="4" w:space="0" w:color="auto"/>
              <w:bottom w:val="single" w:sz="4" w:space="0" w:color="auto"/>
              <w:right w:val="single" w:sz="4" w:space="0" w:color="auto"/>
            </w:tcBorders>
            <w:shd w:val="clear" w:color="auto" w:fill="auto"/>
            <w:vAlign w:val="bottom"/>
          </w:tcPr>
          <w:p w14:paraId="3B2FC6F7" w14:textId="77777777" w:rsidR="00620422" w:rsidRPr="008204CC" w:rsidRDefault="00620422" w:rsidP="0066301C">
            <w:pPr>
              <w:spacing w:after="0" w:line="240" w:lineRule="auto"/>
              <w:jc w:val="right"/>
              <w:rPr>
                <w:rFonts w:ascii="Arial" w:eastAsia="Times New Roman" w:hAnsi="Arial" w:cs="Arial"/>
                <w:color w:val="000000"/>
                <w:sz w:val="18"/>
                <w:szCs w:val="18"/>
                <w:lang w:eastAsia="en-GB"/>
              </w:rPr>
            </w:pPr>
            <w:r w:rsidRPr="008204CC">
              <w:rPr>
                <w:rFonts w:ascii="Arial" w:eastAsia="Times New Roman" w:hAnsi="Arial" w:cs="Arial"/>
                <w:color w:val="000000"/>
                <w:sz w:val="18"/>
                <w:szCs w:val="18"/>
                <w:lang w:eastAsia="en-GB"/>
              </w:rPr>
              <w:t>2007</w:t>
            </w:r>
          </w:p>
        </w:tc>
        <w:tc>
          <w:tcPr>
            <w:tcW w:w="1415" w:type="dxa"/>
            <w:gridSpan w:val="2"/>
            <w:tcBorders>
              <w:top w:val="nil"/>
              <w:left w:val="nil"/>
              <w:bottom w:val="single" w:sz="4" w:space="0" w:color="auto"/>
              <w:right w:val="single" w:sz="4" w:space="0" w:color="auto"/>
            </w:tcBorders>
            <w:shd w:val="clear" w:color="auto" w:fill="auto"/>
            <w:vAlign w:val="bottom"/>
          </w:tcPr>
          <w:p w14:paraId="32F0D264" w14:textId="77777777" w:rsidR="00620422" w:rsidRPr="008204CC" w:rsidRDefault="00620422" w:rsidP="0066301C">
            <w:pPr>
              <w:spacing w:after="0" w:line="240" w:lineRule="auto"/>
              <w:jc w:val="right"/>
              <w:rPr>
                <w:rFonts w:ascii="Arial" w:eastAsia="Times New Roman" w:hAnsi="Arial" w:cs="Arial"/>
                <w:color w:val="000000"/>
                <w:sz w:val="18"/>
                <w:szCs w:val="18"/>
                <w:lang w:eastAsia="en-GB"/>
              </w:rPr>
            </w:pPr>
            <w:r w:rsidRPr="008204CC">
              <w:rPr>
                <w:rFonts w:ascii="Arial" w:eastAsia="Times New Roman" w:hAnsi="Arial" w:cs="Arial"/>
                <w:color w:val="000000"/>
                <w:sz w:val="18"/>
                <w:szCs w:val="18"/>
                <w:lang w:eastAsia="en-GB"/>
              </w:rPr>
              <w:t>97.42405</w:t>
            </w:r>
          </w:p>
        </w:tc>
        <w:tc>
          <w:tcPr>
            <w:tcW w:w="1559" w:type="dxa"/>
            <w:gridSpan w:val="2"/>
            <w:tcBorders>
              <w:top w:val="nil"/>
              <w:left w:val="nil"/>
              <w:bottom w:val="single" w:sz="4" w:space="0" w:color="auto"/>
              <w:right w:val="single" w:sz="4" w:space="0" w:color="auto"/>
            </w:tcBorders>
            <w:shd w:val="clear" w:color="auto" w:fill="auto"/>
            <w:vAlign w:val="bottom"/>
          </w:tcPr>
          <w:p w14:paraId="5BC405F1" w14:textId="77777777" w:rsidR="00620422" w:rsidRPr="008204CC" w:rsidRDefault="00620422" w:rsidP="0066301C">
            <w:pPr>
              <w:spacing w:after="0" w:line="240" w:lineRule="auto"/>
              <w:jc w:val="right"/>
              <w:rPr>
                <w:rFonts w:ascii="Arial" w:eastAsia="Times New Roman" w:hAnsi="Arial" w:cs="Arial"/>
                <w:color w:val="000000"/>
                <w:sz w:val="18"/>
                <w:szCs w:val="18"/>
                <w:lang w:eastAsia="en-GB"/>
              </w:rPr>
            </w:pPr>
            <w:r w:rsidRPr="008204CC">
              <w:rPr>
                <w:rFonts w:ascii="Arial" w:eastAsia="Times New Roman" w:hAnsi="Arial" w:cs="Arial"/>
                <w:color w:val="000000"/>
                <w:sz w:val="18"/>
                <w:szCs w:val="18"/>
                <w:lang w:eastAsia="en-GB"/>
              </w:rPr>
              <w:t>96.0564</w:t>
            </w:r>
          </w:p>
        </w:tc>
        <w:tc>
          <w:tcPr>
            <w:tcW w:w="2122" w:type="dxa"/>
            <w:gridSpan w:val="2"/>
            <w:tcBorders>
              <w:top w:val="nil"/>
              <w:left w:val="nil"/>
              <w:bottom w:val="single" w:sz="4" w:space="0" w:color="auto"/>
              <w:right w:val="single" w:sz="4" w:space="0" w:color="auto"/>
            </w:tcBorders>
            <w:shd w:val="clear" w:color="auto" w:fill="auto"/>
            <w:vAlign w:val="bottom"/>
          </w:tcPr>
          <w:p w14:paraId="0A24D090" w14:textId="77777777" w:rsidR="00620422" w:rsidRPr="008204CC" w:rsidRDefault="00620422" w:rsidP="0066301C">
            <w:pPr>
              <w:spacing w:after="0" w:line="240" w:lineRule="auto"/>
              <w:jc w:val="right"/>
              <w:rPr>
                <w:rFonts w:ascii="Arial" w:eastAsia="Times New Roman" w:hAnsi="Arial" w:cs="Arial"/>
                <w:color w:val="000000"/>
                <w:sz w:val="18"/>
                <w:szCs w:val="18"/>
                <w:lang w:eastAsia="en-GB"/>
              </w:rPr>
            </w:pPr>
            <w:r w:rsidRPr="008204CC">
              <w:rPr>
                <w:rFonts w:ascii="Arial" w:eastAsia="Times New Roman" w:hAnsi="Arial" w:cs="Arial"/>
                <w:color w:val="000000"/>
                <w:sz w:val="18"/>
                <w:szCs w:val="18"/>
                <w:lang w:eastAsia="en-GB"/>
              </w:rPr>
              <w:t>1.367654</w:t>
            </w:r>
          </w:p>
        </w:tc>
      </w:tr>
      <w:tr w:rsidR="008A6AC3" w:rsidRPr="008204CC" w14:paraId="1D06B542" w14:textId="77777777" w:rsidTr="00D46B41">
        <w:trPr>
          <w:trHeight w:val="270"/>
        </w:trPr>
        <w:tc>
          <w:tcPr>
            <w:tcW w:w="1135" w:type="dxa"/>
            <w:tcBorders>
              <w:top w:val="nil"/>
              <w:left w:val="single" w:sz="4" w:space="0" w:color="auto"/>
              <w:bottom w:val="single" w:sz="4" w:space="0" w:color="auto"/>
              <w:right w:val="single" w:sz="4" w:space="0" w:color="auto"/>
            </w:tcBorders>
            <w:shd w:val="clear" w:color="auto" w:fill="auto"/>
            <w:noWrap/>
            <w:vAlign w:val="bottom"/>
            <w:hideMark/>
          </w:tcPr>
          <w:p w14:paraId="5F3ECD78" w14:textId="77777777" w:rsidR="00620422" w:rsidRPr="008204CC" w:rsidRDefault="00620422" w:rsidP="0066301C">
            <w:pPr>
              <w:spacing w:after="0" w:line="240" w:lineRule="auto"/>
              <w:jc w:val="right"/>
              <w:rPr>
                <w:rFonts w:ascii="Arial" w:eastAsia="Times New Roman" w:hAnsi="Arial" w:cs="Arial"/>
                <w:color w:val="000000"/>
                <w:sz w:val="18"/>
                <w:szCs w:val="18"/>
                <w:lang w:eastAsia="en-GB"/>
              </w:rPr>
            </w:pPr>
            <w:r w:rsidRPr="008204CC">
              <w:rPr>
                <w:rFonts w:ascii="Arial" w:eastAsia="Times New Roman" w:hAnsi="Arial" w:cs="Arial"/>
                <w:color w:val="000000"/>
                <w:sz w:val="18"/>
                <w:szCs w:val="18"/>
                <w:lang w:eastAsia="en-GB"/>
              </w:rPr>
              <w:t>2008</w:t>
            </w:r>
          </w:p>
        </w:tc>
        <w:tc>
          <w:tcPr>
            <w:tcW w:w="1701" w:type="dxa"/>
            <w:tcBorders>
              <w:top w:val="nil"/>
              <w:left w:val="nil"/>
              <w:bottom w:val="single" w:sz="4" w:space="0" w:color="auto"/>
              <w:right w:val="single" w:sz="4" w:space="0" w:color="auto"/>
            </w:tcBorders>
            <w:shd w:val="clear" w:color="auto" w:fill="auto"/>
            <w:noWrap/>
            <w:vAlign w:val="bottom"/>
            <w:hideMark/>
          </w:tcPr>
          <w:p w14:paraId="075D6BA9" w14:textId="77777777" w:rsidR="00620422" w:rsidRPr="008204CC" w:rsidRDefault="00620422" w:rsidP="0066301C">
            <w:pPr>
              <w:spacing w:after="0" w:line="240" w:lineRule="auto"/>
              <w:jc w:val="right"/>
              <w:rPr>
                <w:rFonts w:ascii="Arial" w:eastAsia="Times New Roman" w:hAnsi="Arial" w:cs="Arial"/>
                <w:color w:val="000000"/>
                <w:sz w:val="18"/>
                <w:szCs w:val="18"/>
                <w:lang w:eastAsia="en-GB"/>
              </w:rPr>
            </w:pPr>
            <w:r w:rsidRPr="008204CC">
              <w:rPr>
                <w:rFonts w:ascii="Arial" w:eastAsia="Times New Roman" w:hAnsi="Arial" w:cs="Arial"/>
                <w:color w:val="000000"/>
                <w:sz w:val="18"/>
                <w:szCs w:val="18"/>
                <w:lang w:eastAsia="en-GB"/>
              </w:rPr>
              <w:t>105.0243175</w:t>
            </w:r>
          </w:p>
        </w:tc>
        <w:tc>
          <w:tcPr>
            <w:tcW w:w="1701" w:type="dxa"/>
            <w:tcBorders>
              <w:top w:val="nil"/>
              <w:left w:val="nil"/>
              <w:bottom w:val="single" w:sz="4" w:space="0" w:color="auto"/>
              <w:right w:val="single" w:sz="4" w:space="0" w:color="auto"/>
            </w:tcBorders>
            <w:shd w:val="clear" w:color="auto" w:fill="auto"/>
            <w:noWrap/>
            <w:vAlign w:val="bottom"/>
            <w:hideMark/>
          </w:tcPr>
          <w:p w14:paraId="25F7D790" w14:textId="77777777" w:rsidR="00620422" w:rsidRPr="008204CC" w:rsidRDefault="00620422" w:rsidP="0066301C">
            <w:pPr>
              <w:spacing w:after="0" w:line="240" w:lineRule="auto"/>
              <w:jc w:val="right"/>
              <w:rPr>
                <w:rFonts w:ascii="Arial" w:eastAsia="Times New Roman" w:hAnsi="Arial" w:cs="Arial"/>
                <w:color w:val="000000"/>
                <w:sz w:val="18"/>
                <w:szCs w:val="18"/>
                <w:lang w:eastAsia="en-GB"/>
              </w:rPr>
            </w:pPr>
            <w:r w:rsidRPr="008204CC">
              <w:rPr>
                <w:rFonts w:ascii="Arial" w:eastAsia="Times New Roman" w:hAnsi="Arial" w:cs="Arial"/>
                <w:color w:val="000000"/>
                <w:sz w:val="18"/>
                <w:szCs w:val="18"/>
                <w:lang w:eastAsia="en-GB"/>
              </w:rPr>
              <w:t>100.6052623</w:t>
            </w:r>
          </w:p>
        </w:tc>
        <w:tc>
          <w:tcPr>
            <w:tcW w:w="1984" w:type="dxa"/>
            <w:tcBorders>
              <w:top w:val="nil"/>
              <w:left w:val="nil"/>
              <w:bottom w:val="single" w:sz="4" w:space="0" w:color="auto"/>
              <w:right w:val="single" w:sz="4" w:space="0" w:color="auto"/>
            </w:tcBorders>
            <w:shd w:val="clear" w:color="auto" w:fill="auto"/>
            <w:noWrap/>
            <w:vAlign w:val="bottom"/>
            <w:hideMark/>
          </w:tcPr>
          <w:p w14:paraId="30156663" w14:textId="77777777" w:rsidR="00620422" w:rsidRPr="008204CC" w:rsidRDefault="00620422" w:rsidP="0066301C">
            <w:pPr>
              <w:spacing w:after="0" w:line="240" w:lineRule="auto"/>
              <w:jc w:val="right"/>
              <w:rPr>
                <w:rFonts w:ascii="Arial" w:eastAsia="Times New Roman" w:hAnsi="Arial" w:cs="Arial"/>
                <w:sz w:val="18"/>
                <w:szCs w:val="18"/>
                <w:lang w:eastAsia="en-GB"/>
              </w:rPr>
            </w:pPr>
            <w:r w:rsidRPr="008204CC">
              <w:rPr>
                <w:rFonts w:ascii="Arial" w:eastAsia="Times New Roman" w:hAnsi="Arial" w:cs="Arial"/>
                <w:sz w:val="18"/>
                <w:szCs w:val="18"/>
                <w:lang w:eastAsia="en-GB"/>
              </w:rPr>
              <w:t>4.419055</w:t>
            </w:r>
          </w:p>
        </w:tc>
        <w:tc>
          <w:tcPr>
            <w:tcW w:w="709" w:type="dxa"/>
            <w:vMerge/>
            <w:tcBorders>
              <w:left w:val="nil"/>
              <w:right w:val="single" w:sz="4" w:space="0" w:color="auto"/>
            </w:tcBorders>
          </w:tcPr>
          <w:p w14:paraId="4005AAD9" w14:textId="77777777" w:rsidR="00620422" w:rsidRPr="008204CC" w:rsidRDefault="00620422" w:rsidP="0066301C">
            <w:pPr>
              <w:spacing w:after="0" w:line="240" w:lineRule="auto"/>
              <w:jc w:val="right"/>
              <w:rPr>
                <w:rFonts w:ascii="Arial" w:eastAsia="Times New Roman" w:hAnsi="Arial" w:cs="Arial"/>
                <w:sz w:val="18"/>
                <w:szCs w:val="18"/>
                <w:lang w:eastAsia="en-GB"/>
              </w:rPr>
            </w:pPr>
          </w:p>
        </w:tc>
        <w:tc>
          <w:tcPr>
            <w:tcW w:w="999" w:type="dxa"/>
            <w:gridSpan w:val="2"/>
            <w:tcBorders>
              <w:top w:val="nil"/>
              <w:left w:val="single" w:sz="4" w:space="0" w:color="auto"/>
              <w:bottom w:val="single" w:sz="4" w:space="0" w:color="auto"/>
              <w:right w:val="single" w:sz="4" w:space="0" w:color="auto"/>
            </w:tcBorders>
            <w:shd w:val="clear" w:color="auto" w:fill="auto"/>
            <w:vAlign w:val="bottom"/>
          </w:tcPr>
          <w:p w14:paraId="34781A3A" w14:textId="77777777" w:rsidR="00620422" w:rsidRPr="008204CC" w:rsidRDefault="00620422" w:rsidP="0066301C">
            <w:pPr>
              <w:spacing w:after="0" w:line="240" w:lineRule="auto"/>
              <w:jc w:val="right"/>
              <w:rPr>
                <w:rFonts w:ascii="Arial" w:eastAsia="Times New Roman" w:hAnsi="Arial" w:cs="Arial"/>
                <w:color w:val="000000"/>
                <w:sz w:val="18"/>
                <w:szCs w:val="18"/>
                <w:lang w:eastAsia="en-GB"/>
              </w:rPr>
            </w:pPr>
            <w:r w:rsidRPr="008204CC">
              <w:rPr>
                <w:rFonts w:ascii="Arial" w:eastAsia="Times New Roman" w:hAnsi="Arial" w:cs="Arial"/>
                <w:color w:val="000000"/>
                <w:sz w:val="18"/>
                <w:szCs w:val="18"/>
                <w:lang w:eastAsia="en-GB"/>
              </w:rPr>
              <w:t>2008</w:t>
            </w:r>
          </w:p>
        </w:tc>
        <w:tc>
          <w:tcPr>
            <w:tcW w:w="1415" w:type="dxa"/>
            <w:gridSpan w:val="2"/>
            <w:tcBorders>
              <w:top w:val="nil"/>
              <w:left w:val="nil"/>
              <w:bottom w:val="single" w:sz="4" w:space="0" w:color="auto"/>
              <w:right w:val="single" w:sz="4" w:space="0" w:color="auto"/>
            </w:tcBorders>
            <w:shd w:val="clear" w:color="auto" w:fill="auto"/>
            <w:vAlign w:val="bottom"/>
          </w:tcPr>
          <w:p w14:paraId="7E930346" w14:textId="77777777" w:rsidR="00620422" w:rsidRPr="008204CC" w:rsidRDefault="00620422" w:rsidP="0066301C">
            <w:pPr>
              <w:spacing w:after="0" w:line="240" w:lineRule="auto"/>
              <w:jc w:val="right"/>
              <w:rPr>
                <w:rFonts w:ascii="Arial" w:eastAsia="Times New Roman" w:hAnsi="Arial" w:cs="Arial"/>
                <w:color w:val="000000"/>
                <w:sz w:val="18"/>
                <w:szCs w:val="18"/>
                <w:lang w:eastAsia="en-GB"/>
              </w:rPr>
            </w:pPr>
            <w:r w:rsidRPr="008204CC">
              <w:rPr>
                <w:rFonts w:ascii="Arial" w:eastAsia="Times New Roman" w:hAnsi="Arial" w:cs="Arial"/>
                <w:color w:val="000000"/>
                <w:sz w:val="18"/>
                <w:szCs w:val="18"/>
                <w:lang w:eastAsia="en-GB"/>
              </w:rPr>
              <w:t>104.0884</w:t>
            </w:r>
          </w:p>
        </w:tc>
        <w:tc>
          <w:tcPr>
            <w:tcW w:w="1559" w:type="dxa"/>
            <w:gridSpan w:val="2"/>
            <w:tcBorders>
              <w:top w:val="nil"/>
              <w:left w:val="nil"/>
              <w:bottom w:val="single" w:sz="4" w:space="0" w:color="auto"/>
              <w:right w:val="single" w:sz="4" w:space="0" w:color="auto"/>
            </w:tcBorders>
            <w:shd w:val="clear" w:color="auto" w:fill="auto"/>
            <w:vAlign w:val="bottom"/>
          </w:tcPr>
          <w:p w14:paraId="68F19D52" w14:textId="77777777" w:rsidR="00620422" w:rsidRPr="008204CC" w:rsidRDefault="00620422" w:rsidP="0066301C">
            <w:pPr>
              <w:spacing w:after="0" w:line="240" w:lineRule="auto"/>
              <w:jc w:val="right"/>
              <w:rPr>
                <w:rFonts w:ascii="Arial" w:eastAsia="Times New Roman" w:hAnsi="Arial" w:cs="Arial"/>
                <w:color w:val="000000"/>
                <w:sz w:val="18"/>
                <w:szCs w:val="18"/>
                <w:lang w:eastAsia="en-GB"/>
              </w:rPr>
            </w:pPr>
            <w:r w:rsidRPr="008204CC">
              <w:rPr>
                <w:rFonts w:ascii="Arial" w:eastAsia="Times New Roman" w:hAnsi="Arial" w:cs="Arial"/>
                <w:color w:val="000000"/>
                <w:sz w:val="18"/>
                <w:szCs w:val="18"/>
                <w:lang w:eastAsia="en-GB"/>
              </w:rPr>
              <w:t>97.75831</w:t>
            </w:r>
          </w:p>
        </w:tc>
        <w:tc>
          <w:tcPr>
            <w:tcW w:w="2122" w:type="dxa"/>
            <w:gridSpan w:val="2"/>
            <w:tcBorders>
              <w:top w:val="nil"/>
              <w:left w:val="nil"/>
              <w:bottom w:val="single" w:sz="4" w:space="0" w:color="auto"/>
              <w:right w:val="single" w:sz="4" w:space="0" w:color="auto"/>
            </w:tcBorders>
            <w:shd w:val="clear" w:color="auto" w:fill="auto"/>
            <w:vAlign w:val="bottom"/>
          </w:tcPr>
          <w:p w14:paraId="182D4D99" w14:textId="77777777" w:rsidR="00620422" w:rsidRPr="008204CC" w:rsidRDefault="00620422" w:rsidP="0066301C">
            <w:pPr>
              <w:spacing w:after="0" w:line="240" w:lineRule="auto"/>
              <w:jc w:val="right"/>
              <w:rPr>
                <w:rFonts w:ascii="Arial" w:eastAsia="Times New Roman" w:hAnsi="Arial" w:cs="Arial"/>
                <w:color w:val="000000"/>
                <w:sz w:val="18"/>
                <w:szCs w:val="18"/>
                <w:lang w:eastAsia="en-GB"/>
              </w:rPr>
            </w:pPr>
            <w:r w:rsidRPr="008204CC">
              <w:rPr>
                <w:rFonts w:ascii="Arial" w:eastAsia="Times New Roman" w:hAnsi="Arial" w:cs="Arial"/>
                <w:color w:val="000000"/>
                <w:sz w:val="18"/>
                <w:szCs w:val="18"/>
                <w:lang w:eastAsia="en-GB"/>
              </w:rPr>
              <w:t>6.33007</w:t>
            </w:r>
          </w:p>
        </w:tc>
      </w:tr>
      <w:tr w:rsidR="008A6AC3" w:rsidRPr="008204CC" w14:paraId="61187308" w14:textId="77777777" w:rsidTr="00D46B41">
        <w:trPr>
          <w:trHeight w:val="270"/>
        </w:trPr>
        <w:tc>
          <w:tcPr>
            <w:tcW w:w="1135" w:type="dxa"/>
            <w:tcBorders>
              <w:top w:val="nil"/>
              <w:left w:val="single" w:sz="4" w:space="0" w:color="auto"/>
              <w:bottom w:val="single" w:sz="4" w:space="0" w:color="auto"/>
              <w:right w:val="single" w:sz="4" w:space="0" w:color="auto"/>
            </w:tcBorders>
            <w:shd w:val="clear" w:color="auto" w:fill="auto"/>
            <w:noWrap/>
            <w:vAlign w:val="bottom"/>
            <w:hideMark/>
          </w:tcPr>
          <w:p w14:paraId="2564742D" w14:textId="77777777" w:rsidR="00620422" w:rsidRPr="008204CC" w:rsidRDefault="00620422" w:rsidP="0066301C">
            <w:pPr>
              <w:spacing w:after="0" w:line="240" w:lineRule="auto"/>
              <w:jc w:val="right"/>
              <w:rPr>
                <w:rFonts w:ascii="Arial" w:eastAsia="Times New Roman" w:hAnsi="Arial" w:cs="Arial"/>
                <w:color w:val="000000"/>
                <w:sz w:val="18"/>
                <w:szCs w:val="18"/>
                <w:lang w:eastAsia="en-GB"/>
              </w:rPr>
            </w:pPr>
            <w:r w:rsidRPr="008204CC">
              <w:rPr>
                <w:rFonts w:ascii="Arial" w:eastAsia="Times New Roman" w:hAnsi="Arial" w:cs="Arial"/>
                <w:color w:val="000000"/>
                <w:sz w:val="18"/>
                <w:szCs w:val="18"/>
                <w:lang w:eastAsia="en-GB"/>
              </w:rPr>
              <w:lastRenderedPageBreak/>
              <w:t>2009</w:t>
            </w:r>
          </w:p>
        </w:tc>
        <w:tc>
          <w:tcPr>
            <w:tcW w:w="1701" w:type="dxa"/>
            <w:tcBorders>
              <w:top w:val="nil"/>
              <w:left w:val="nil"/>
              <w:bottom w:val="single" w:sz="4" w:space="0" w:color="auto"/>
              <w:right w:val="single" w:sz="4" w:space="0" w:color="auto"/>
            </w:tcBorders>
            <w:shd w:val="clear" w:color="auto" w:fill="auto"/>
            <w:noWrap/>
            <w:vAlign w:val="bottom"/>
            <w:hideMark/>
          </w:tcPr>
          <w:p w14:paraId="19C9BBF7" w14:textId="77777777" w:rsidR="00620422" w:rsidRPr="008204CC" w:rsidRDefault="00620422" w:rsidP="0066301C">
            <w:pPr>
              <w:spacing w:after="0" w:line="240" w:lineRule="auto"/>
              <w:jc w:val="right"/>
              <w:rPr>
                <w:rFonts w:ascii="Arial" w:eastAsia="Times New Roman" w:hAnsi="Arial" w:cs="Arial"/>
                <w:color w:val="000000"/>
                <w:sz w:val="18"/>
                <w:szCs w:val="18"/>
                <w:lang w:eastAsia="en-GB"/>
              </w:rPr>
            </w:pPr>
            <w:r w:rsidRPr="008204CC">
              <w:rPr>
                <w:rFonts w:ascii="Arial" w:eastAsia="Times New Roman" w:hAnsi="Arial" w:cs="Arial"/>
                <w:color w:val="000000"/>
                <w:sz w:val="18"/>
                <w:szCs w:val="18"/>
                <w:lang w:eastAsia="en-GB"/>
              </w:rPr>
              <w:t>106.4801327</w:t>
            </w:r>
          </w:p>
        </w:tc>
        <w:tc>
          <w:tcPr>
            <w:tcW w:w="1701" w:type="dxa"/>
            <w:tcBorders>
              <w:top w:val="nil"/>
              <w:left w:val="nil"/>
              <w:bottom w:val="single" w:sz="4" w:space="0" w:color="auto"/>
              <w:right w:val="single" w:sz="4" w:space="0" w:color="auto"/>
            </w:tcBorders>
            <w:shd w:val="clear" w:color="auto" w:fill="auto"/>
            <w:noWrap/>
            <w:vAlign w:val="bottom"/>
            <w:hideMark/>
          </w:tcPr>
          <w:p w14:paraId="6B3CAF7F" w14:textId="77777777" w:rsidR="00620422" w:rsidRPr="008204CC" w:rsidRDefault="00620422" w:rsidP="0066301C">
            <w:pPr>
              <w:spacing w:after="0" w:line="240" w:lineRule="auto"/>
              <w:jc w:val="right"/>
              <w:rPr>
                <w:rFonts w:ascii="Arial" w:eastAsia="Times New Roman" w:hAnsi="Arial" w:cs="Arial"/>
                <w:color w:val="000000"/>
                <w:sz w:val="18"/>
                <w:szCs w:val="18"/>
                <w:lang w:eastAsia="en-GB"/>
              </w:rPr>
            </w:pPr>
            <w:r w:rsidRPr="008204CC">
              <w:rPr>
                <w:rFonts w:ascii="Arial" w:eastAsia="Times New Roman" w:hAnsi="Arial" w:cs="Arial"/>
                <w:color w:val="000000"/>
                <w:sz w:val="18"/>
                <w:szCs w:val="18"/>
                <w:lang w:eastAsia="en-GB"/>
              </w:rPr>
              <w:t>100.5741839</w:t>
            </w:r>
          </w:p>
        </w:tc>
        <w:tc>
          <w:tcPr>
            <w:tcW w:w="1984" w:type="dxa"/>
            <w:tcBorders>
              <w:top w:val="nil"/>
              <w:left w:val="nil"/>
              <w:bottom w:val="single" w:sz="4" w:space="0" w:color="auto"/>
              <w:right w:val="single" w:sz="4" w:space="0" w:color="auto"/>
            </w:tcBorders>
            <w:shd w:val="clear" w:color="auto" w:fill="auto"/>
            <w:noWrap/>
            <w:vAlign w:val="bottom"/>
            <w:hideMark/>
          </w:tcPr>
          <w:p w14:paraId="122580E4" w14:textId="77777777" w:rsidR="00620422" w:rsidRPr="008204CC" w:rsidRDefault="00620422" w:rsidP="0066301C">
            <w:pPr>
              <w:spacing w:after="0" w:line="240" w:lineRule="auto"/>
              <w:jc w:val="right"/>
              <w:rPr>
                <w:rFonts w:ascii="Arial" w:eastAsia="Times New Roman" w:hAnsi="Arial" w:cs="Arial"/>
                <w:sz w:val="18"/>
                <w:szCs w:val="18"/>
                <w:lang w:eastAsia="en-GB"/>
              </w:rPr>
            </w:pPr>
            <w:r w:rsidRPr="008204CC">
              <w:rPr>
                <w:rFonts w:ascii="Arial" w:eastAsia="Times New Roman" w:hAnsi="Arial" w:cs="Arial"/>
                <w:sz w:val="18"/>
                <w:szCs w:val="18"/>
                <w:lang w:eastAsia="en-GB"/>
              </w:rPr>
              <w:t>5.905949</w:t>
            </w:r>
          </w:p>
        </w:tc>
        <w:tc>
          <w:tcPr>
            <w:tcW w:w="709" w:type="dxa"/>
            <w:vMerge/>
            <w:tcBorders>
              <w:left w:val="nil"/>
              <w:right w:val="single" w:sz="4" w:space="0" w:color="auto"/>
            </w:tcBorders>
          </w:tcPr>
          <w:p w14:paraId="43CE7814" w14:textId="77777777" w:rsidR="00620422" w:rsidRPr="008204CC" w:rsidRDefault="00620422" w:rsidP="0066301C">
            <w:pPr>
              <w:spacing w:after="0" w:line="240" w:lineRule="auto"/>
              <w:jc w:val="right"/>
              <w:rPr>
                <w:rFonts w:ascii="Arial" w:eastAsia="Times New Roman" w:hAnsi="Arial" w:cs="Arial"/>
                <w:sz w:val="18"/>
                <w:szCs w:val="18"/>
                <w:lang w:eastAsia="en-GB"/>
              </w:rPr>
            </w:pPr>
          </w:p>
        </w:tc>
        <w:tc>
          <w:tcPr>
            <w:tcW w:w="999" w:type="dxa"/>
            <w:gridSpan w:val="2"/>
            <w:tcBorders>
              <w:top w:val="nil"/>
              <w:left w:val="single" w:sz="4" w:space="0" w:color="auto"/>
              <w:bottom w:val="single" w:sz="4" w:space="0" w:color="auto"/>
              <w:right w:val="single" w:sz="4" w:space="0" w:color="auto"/>
            </w:tcBorders>
            <w:shd w:val="clear" w:color="auto" w:fill="auto"/>
            <w:vAlign w:val="bottom"/>
          </w:tcPr>
          <w:p w14:paraId="62E17B85" w14:textId="77777777" w:rsidR="00620422" w:rsidRPr="008204CC" w:rsidRDefault="00620422" w:rsidP="0066301C">
            <w:pPr>
              <w:spacing w:after="0" w:line="240" w:lineRule="auto"/>
              <w:jc w:val="right"/>
              <w:rPr>
                <w:rFonts w:ascii="Arial" w:eastAsia="Times New Roman" w:hAnsi="Arial" w:cs="Arial"/>
                <w:color w:val="000000"/>
                <w:sz w:val="18"/>
                <w:szCs w:val="18"/>
                <w:lang w:eastAsia="en-GB"/>
              </w:rPr>
            </w:pPr>
            <w:r w:rsidRPr="008204CC">
              <w:rPr>
                <w:rFonts w:ascii="Arial" w:eastAsia="Times New Roman" w:hAnsi="Arial" w:cs="Arial"/>
                <w:color w:val="000000"/>
                <w:sz w:val="18"/>
                <w:szCs w:val="18"/>
                <w:lang w:eastAsia="en-GB"/>
              </w:rPr>
              <w:t>2009</w:t>
            </w:r>
          </w:p>
        </w:tc>
        <w:tc>
          <w:tcPr>
            <w:tcW w:w="1415" w:type="dxa"/>
            <w:gridSpan w:val="2"/>
            <w:tcBorders>
              <w:top w:val="nil"/>
              <w:left w:val="nil"/>
              <w:bottom w:val="single" w:sz="4" w:space="0" w:color="auto"/>
              <w:right w:val="single" w:sz="4" w:space="0" w:color="auto"/>
            </w:tcBorders>
            <w:shd w:val="clear" w:color="auto" w:fill="auto"/>
            <w:vAlign w:val="bottom"/>
          </w:tcPr>
          <w:p w14:paraId="7F4C7880" w14:textId="77777777" w:rsidR="00620422" w:rsidRPr="008204CC" w:rsidRDefault="00620422" w:rsidP="0066301C">
            <w:pPr>
              <w:spacing w:after="0" w:line="240" w:lineRule="auto"/>
              <w:jc w:val="right"/>
              <w:rPr>
                <w:rFonts w:ascii="Arial" w:eastAsia="Times New Roman" w:hAnsi="Arial" w:cs="Arial"/>
                <w:color w:val="000000"/>
                <w:sz w:val="18"/>
                <w:szCs w:val="18"/>
                <w:lang w:eastAsia="en-GB"/>
              </w:rPr>
            </w:pPr>
            <w:r w:rsidRPr="008204CC">
              <w:rPr>
                <w:rFonts w:ascii="Arial" w:eastAsia="Times New Roman" w:hAnsi="Arial" w:cs="Arial"/>
                <w:color w:val="000000"/>
                <w:sz w:val="18"/>
                <w:szCs w:val="18"/>
                <w:lang w:eastAsia="en-GB"/>
              </w:rPr>
              <w:t>106.3816</w:t>
            </w:r>
          </w:p>
        </w:tc>
        <w:tc>
          <w:tcPr>
            <w:tcW w:w="1559" w:type="dxa"/>
            <w:gridSpan w:val="2"/>
            <w:tcBorders>
              <w:top w:val="nil"/>
              <w:left w:val="nil"/>
              <w:bottom w:val="single" w:sz="4" w:space="0" w:color="auto"/>
              <w:right w:val="single" w:sz="4" w:space="0" w:color="auto"/>
            </w:tcBorders>
            <w:shd w:val="clear" w:color="auto" w:fill="auto"/>
            <w:vAlign w:val="bottom"/>
          </w:tcPr>
          <w:p w14:paraId="33B7C8E0" w14:textId="77777777" w:rsidR="00620422" w:rsidRPr="008204CC" w:rsidRDefault="00620422" w:rsidP="0066301C">
            <w:pPr>
              <w:spacing w:after="0" w:line="240" w:lineRule="auto"/>
              <w:jc w:val="right"/>
              <w:rPr>
                <w:rFonts w:ascii="Arial" w:eastAsia="Times New Roman" w:hAnsi="Arial" w:cs="Arial"/>
                <w:color w:val="000000"/>
                <w:sz w:val="18"/>
                <w:szCs w:val="18"/>
                <w:lang w:eastAsia="en-GB"/>
              </w:rPr>
            </w:pPr>
            <w:r w:rsidRPr="008204CC">
              <w:rPr>
                <w:rFonts w:ascii="Arial" w:eastAsia="Times New Roman" w:hAnsi="Arial" w:cs="Arial"/>
                <w:color w:val="000000"/>
                <w:sz w:val="18"/>
                <w:szCs w:val="18"/>
                <w:lang w:eastAsia="en-GB"/>
              </w:rPr>
              <w:t>99.54976</w:t>
            </w:r>
          </w:p>
        </w:tc>
        <w:tc>
          <w:tcPr>
            <w:tcW w:w="2122" w:type="dxa"/>
            <w:gridSpan w:val="2"/>
            <w:tcBorders>
              <w:top w:val="nil"/>
              <w:left w:val="nil"/>
              <w:bottom w:val="single" w:sz="4" w:space="0" w:color="auto"/>
              <w:right w:val="single" w:sz="4" w:space="0" w:color="auto"/>
            </w:tcBorders>
            <w:shd w:val="clear" w:color="auto" w:fill="auto"/>
            <w:vAlign w:val="bottom"/>
          </w:tcPr>
          <w:p w14:paraId="2CA21550" w14:textId="77777777" w:rsidR="00620422" w:rsidRPr="008204CC" w:rsidRDefault="00620422" w:rsidP="0066301C">
            <w:pPr>
              <w:spacing w:after="0" w:line="240" w:lineRule="auto"/>
              <w:jc w:val="right"/>
              <w:rPr>
                <w:rFonts w:ascii="Arial" w:eastAsia="Times New Roman" w:hAnsi="Arial" w:cs="Arial"/>
                <w:color w:val="000000"/>
                <w:sz w:val="18"/>
                <w:szCs w:val="18"/>
                <w:lang w:eastAsia="en-GB"/>
              </w:rPr>
            </w:pPr>
            <w:r w:rsidRPr="008204CC">
              <w:rPr>
                <w:rFonts w:ascii="Arial" w:eastAsia="Times New Roman" w:hAnsi="Arial" w:cs="Arial"/>
                <w:color w:val="000000"/>
                <w:sz w:val="18"/>
                <w:szCs w:val="18"/>
                <w:lang w:eastAsia="en-GB"/>
              </w:rPr>
              <w:t>6.831874</w:t>
            </w:r>
          </w:p>
        </w:tc>
      </w:tr>
      <w:tr w:rsidR="008A6AC3" w:rsidRPr="008204CC" w14:paraId="4992DCDF" w14:textId="77777777" w:rsidTr="00D46B41">
        <w:trPr>
          <w:trHeight w:val="270"/>
        </w:trPr>
        <w:tc>
          <w:tcPr>
            <w:tcW w:w="1135" w:type="dxa"/>
            <w:tcBorders>
              <w:top w:val="nil"/>
              <w:left w:val="single" w:sz="4" w:space="0" w:color="auto"/>
              <w:bottom w:val="single" w:sz="4" w:space="0" w:color="auto"/>
              <w:right w:val="single" w:sz="4" w:space="0" w:color="auto"/>
            </w:tcBorders>
            <w:shd w:val="clear" w:color="auto" w:fill="auto"/>
            <w:noWrap/>
            <w:vAlign w:val="bottom"/>
            <w:hideMark/>
          </w:tcPr>
          <w:p w14:paraId="0201D300" w14:textId="77777777" w:rsidR="00620422" w:rsidRPr="008204CC" w:rsidRDefault="00620422" w:rsidP="0066301C">
            <w:pPr>
              <w:spacing w:after="0" w:line="240" w:lineRule="auto"/>
              <w:jc w:val="right"/>
              <w:rPr>
                <w:rFonts w:ascii="Arial" w:eastAsia="Times New Roman" w:hAnsi="Arial" w:cs="Arial"/>
                <w:color w:val="000000"/>
                <w:sz w:val="18"/>
                <w:szCs w:val="18"/>
                <w:lang w:eastAsia="en-GB"/>
              </w:rPr>
            </w:pPr>
            <w:r w:rsidRPr="008204CC">
              <w:rPr>
                <w:rFonts w:ascii="Arial" w:eastAsia="Times New Roman" w:hAnsi="Arial" w:cs="Arial"/>
                <w:color w:val="000000"/>
                <w:sz w:val="18"/>
                <w:szCs w:val="18"/>
                <w:lang w:eastAsia="en-GB"/>
              </w:rPr>
              <w:t>2010</w:t>
            </w:r>
          </w:p>
        </w:tc>
        <w:tc>
          <w:tcPr>
            <w:tcW w:w="1701" w:type="dxa"/>
            <w:tcBorders>
              <w:top w:val="nil"/>
              <w:left w:val="nil"/>
              <w:bottom w:val="single" w:sz="4" w:space="0" w:color="auto"/>
              <w:right w:val="single" w:sz="4" w:space="0" w:color="auto"/>
            </w:tcBorders>
            <w:shd w:val="clear" w:color="auto" w:fill="auto"/>
            <w:noWrap/>
            <w:vAlign w:val="bottom"/>
            <w:hideMark/>
          </w:tcPr>
          <w:p w14:paraId="1B08595B" w14:textId="77777777" w:rsidR="00620422" w:rsidRPr="008204CC" w:rsidRDefault="00620422" w:rsidP="0066301C">
            <w:pPr>
              <w:spacing w:after="0" w:line="240" w:lineRule="auto"/>
              <w:jc w:val="right"/>
              <w:rPr>
                <w:rFonts w:ascii="Arial" w:eastAsia="Times New Roman" w:hAnsi="Arial" w:cs="Arial"/>
                <w:color w:val="000000"/>
                <w:sz w:val="18"/>
                <w:szCs w:val="18"/>
                <w:lang w:eastAsia="en-GB"/>
              </w:rPr>
            </w:pPr>
            <w:r w:rsidRPr="008204CC">
              <w:rPr>
                <w:rFonts w:ascii="Arial" w:eastAsia="Times New Roman" w:hAnsi="Arial" w:cs="Arial"/>
                <w:color w:val="000000"/>
                <w:sz w:val="18"/>
                <w:szCs w:val="18"/>
                <w:lang w:eastAsia="en-GB"/>
              </w:rPr>
              <w:t>100</w:t>
            </w:r>
          </w:p>
        </w:tc>
        <w:tc>
          <w:tcPr>
            <w:tcW w:w="1701" w:type="dxa"/>
            <w:tcBorders>
              <w:top w:val="nil"/>
              <w:left w:val="nil"/>
              <w:bottom w:val="single" w:sz="4" w:space="0" w:color="auto"/>
              <w:right w:val="single" w:sz="4" w:space="0" w:color="auto"/>
            </w:tcBorders>
            <w:shd w:val="clear" w:color="auto" w:fill="auto"/>
            <w:noWrap/>
            <w:vAlign w:val="bottom"/>
            <w:hideMark/>
          </w:tcPr>
          <w:p w14:paraId="2A58ADF0" w14:textId="77777777" w:rsidR="00620422" w:rsidRPr="008204CC" w:rsidRDefault="00620422" w:rsidP="0066301C">
            <w:pPr>
              <w:spacing w:after="0" w:line="240" w:lineRule="auto"/>
              <w:jc w:val="right"/>
              <w:rPr>
                <w:rFonts w:ascii="Arial" w:eastAsia="Times New Roman" w:hAnsi="Arial" w:cs="Arial"/>
                <w:color w:val="000000"/>
                <w:sz w:val="18"/>
                <w:szCs w:val="18"/>
                <w:lang w:eastAsia="en-GB"/>
              </w:rPr>
            </w:pPr>
            <w:r w:rsidRPr="008204CC">
              <w:rPr>
                <w:rFonts w:ascii="Arial" w:eastAsia="Times New Roman" w:hAnsi="Arial" w:cs="Arial"/>
                <w:color w:val="000000"/>
                <w:sz w:val="18"/>
                <w:szCs w:val="18"/>
                <w:lang w:eastAsia="en-GB"/>
              </w:rPr>
              <w:t>100.331367</w:t>
            </w:r>
          </w:p>
        </w:tc>
        <w:tc>
          <w:tcPr>
            <w:tcW w:w="1984" w:type="dxa"/>
            <w:tcBorders>
              <w:top w:val="nil"/>
              <w:left w:val="nil"/>
              <w:bottom w:val="single" w:sz="4" w:space="0" w:color="auto"/>
              <w:right w:val="single" w:sz="4" w:space="0" w:color="auto"/>
            </w:tcBorders>
            <w:shd w:val="clear" w:color="auto" w:fill="auto"/>
            <w:noWrap/>
            <w:vAlign w:val="bottom"/>
            <w:hideMark/>
          </w:tcPr>
          <w:p w14:paraId="27158B4F" w14:textId="77777777" w:rsidR="00620422" w:rsidRPr="008204CC" w:rsidRDefault="00620422" w:rsidP="0066301C">
            <w:pPr>
              <w:spacing w:after="0" w:line="240" w:lineRule="auto"/>
              <w:jc w:val="right"/>
              <w:rPr>
                <w:rFonts w:ascii="Arial" w:eastAsia="Times New Roman" w:hAnsi="Arial" w:cs="Arial"/>
                <w:sz w:val="18"/>
                <w:szCs w:val="18"/>
                <w:lang w:eastAsia="en-GB"/>
              </w:rPr>
            </w:pPr>
            <w:r w:rsidRPr="008204CC">
              <w:rPr>
                <w:rFonts w:ascii="Arial" w:eastAsia="Times New Roman" w:hAnsi="Arial" w:cs="Arial"/>
                <w:sz w:val="18"/>
                <w:szCs w:val="18"/>
                <w:lang w:eastAsia="en-GB"/>
              </w:rPr>
              <w:t>-0.33137</w:t>
            </w:r>
          </w:p>
        </w:tc>
        <w:tc>
          <w:tcPr>
            <w:tcW w:w="709" w:type="dxa"/>
            <w:vMerge/>
            <w:tcBorders>
              <w:left w:val="nil"/>
              <w:right w:val="single" w:sz="4" w:space="0" w:color="auto"/>
            </w:tcBorders>
          </w:tcPr>
          <w:p w14:paraId="008E153E" w14:textId="77777777" w:rsidR="00620422" w:rsidRPr="008204CC" w:rsidRDefault="00620422" w:rsidP="0066301C">
            <w:pPr>
              <w:spacing w:after="0" w:line="240" w:lineRule="auto"/>
              <w:jc w:val="right"/>
              <w:rPr>
                <w:rFonts w:ascii="Arial" w:eastAsia="Times New Roman" w:hAnsi="Arial" w:cs="Arial"/>
                <w:sz w:val="18"/>
                <w:szCs w:val="18"/>
                <w:lang w:eastAsia="en-GB"/>
              </w:rPr>
            </w:pPr>
          </w:p>
        </w:tc>
        <w:tc>
          <w:tcPr>
            <w:tcW w:w="999" w:type="dxa"/>
            <w:gridSpan w:val="2"/>
            <w:tcBorders>
              <w:top w:val="nil"/>
              <w:left w:val="single" w:sz="4" w:space="0" w:color="auto"/>
              <w:bottom w:val="single" w:sz="4" w:space="0" w:color="auto"/>
              <w:right w:val="single" w:sz="4" w:space="0" w:color="auto"/>
            </w:tcBorders>
            <w:shd w:val="clear" w:color="auto" w:fill="auto"/>
            <w:vAlign w:val="bottom"/>
          </w:tcPr>
          <w:p w14:paraId="65D1A032" w14:textId="77777777" w:rsidR="00620422" w:rsidRPr="008204CC" w:rsidRDefault="00620422" w:rsidP="0066301C">
            <w:pPr>
              <w:spacing w:after="0" w:line="240" w:lineRule="auto"/>
              <w:jc w:val="right"/>
              <w:rPr>
                <w:rFonts w:ascii="Arial" w:eastAsia="Times New Roman" w:hAnsi="Arial" w:cs="Arial"/>
                <w:color w:val="000000"/>
                <w:sz w:val="18"/>
                <w:szCs w:val="18"/>
                <w:lang w:eastAsia="en-GB"/>
              </w:rPr>
            </w:pPr>
            <w:r w:rsidRPr="008204CC">
              <w:rPr>
                <w:rFonts w:ascii="Arial" w:eastAsia="Times New Roman" w:hAnsi="Arial" w:cs="Arial"/>
                <w:color w:val="000000"/>
                <w:sz w:val="18"/>
                <w:szCs w:val="18"/>
                <w:lang w:eastAsia="en-GB"/>
              </w:rPr>
              <w:t>2010</w:t>
            </w:r>
          </w:p>
        </w:tc>
        <w:tc>
          <w:tcPr>
            <w:tcW w:w="1415" w:type="dxa"/>
            <w:gridSpan w:val="2"/>
            <w:tcBorders>
              <w:top w:val="nil"/>
              <w:left w:val="nil"/>
              <w:bottom w:val="single" w:sz="4" w:space="0" w:color="auto"/>
              <w:right w:val="single" w:sz="4" w:space="0" w:color="auto"/>
            </w:tcBorders>
            <w:shd w:val="clear" w:color="auto" w:fill="auto"/>
            <w:vAlign w:val="bottom"/>
          </w:tcPr>
          <w:p w14:paraId="35FB929B" w14:textId="77777777" w:rsidR="00620422" w:rsidRPr="008204CC" w:rsidRDefault="00620422" w:rsidP="0066301C">
            <w:pPr>
              <w:spacing w:after="0" w:line="240" w:lineRule="auto"/>
              <w:jc w:val="right"/>
              <w:rPr>
                <w:rFonts w:ascii="Arial" w:eastAsia="Times New Roman" w:hAnsi="Arial" w:cs="Arial"/>
                <w:color w:val="000000"/>
                <w:sz w:val="18"/>
                <w:szCs w:val="18"/>
                <w:lang w:eastAsia="en-GB"/>
              </w:rPr>
            </w:pPr>
            <w:r w:rsidRPr="008204CC">
              <w:rPr>
                <w:rFonts w:ascii="Arial" w:eastAsia="Times New Roman" w:hAnsi="Arial" w:cs="Arial"/>
                <w:color w:val="000000"/>
                <w:sz w:val="18"/>
                <w:szCs w:val="18"/>
                <w:lang w:eastAsia="en-GB"/>
              </w:rPr>
              <w:t>100</w:t>
            </w:r>
          </w:p>
        </w:tc>
        <w:tc>
          <w:tcPr>
            <w:tcW w:w="1559" w:type="dxa"/>
            <w:gridSpan w:val="2"/>
            <w:tcBorders>
              <w:top w:val="nil"/>
              <w:left w:val="nil"/>
              <w:bottom w:val="single" w:sz="4" w:space="0" w:color="auto"/>
              <w:right w:val="single" w:sz="4" w:space="0" w:color="auto"/>
            </w:tcBorders>
            <w:shd w:val="clear" w:color="auto" w:fill="auto"/>
            <w:vAlign w:val="bottom"/>
          </w:tcPr>
          <w:p w14:paraId="0F340D97" w14:textId="77777777" w:rsidR="00620422" w:rsidRPr="008204CC" w:rsidRDefault="00620422" w:rsidP="0066301C">
            <w:pPr>
              <w:spacing w:after="0" w:line="240" w:lineRule="auto"/>
              <w:jc w:val="right"/>
              <w:rPr>
                <w:rFonts w:ascii="Arial" w:eastAsia="Times New Roman" w:hAnsi="Arial" w:cs="Arial"/>
                <w:color w:val="000000"/>
                <w:sz w:val="18"/>
                <w:szCs w:val="18"/>
                <w:lang w:eastAsia="en-GB"/>
              </w:rPr>
            </w:pPr>
            <w:r w:rsidRPr="008204CC">
              <w:rPr>
                <w:rFonts w:ascii="Arial" w:eastAsia="Times New Roman" w:hAnsi="Arial" w:cs="Arial"/>
                <w:color w:val="000000"/>
                <w:sz w:val="18"/>
                <w:szCs w:val="18"/>
                <w:lang w:eastAsia="en-GB"/>
              </w:rPr>
              <w:t>101.4595</w:t>
            </w:r>
          </w:p>
        </w:tc>
        <w:tc>
          <w:tcPr>
            <w:tcW w:w="2122" w:type="dxa"/>
            <w:gridSpan w:val="2"/>
            <w:tcBorders>
              <w:top w:val="nil"/>
              <w:left w:val="nil"/>
              <w:bottom w:val="single" w:sz="4" w:space="0" w:color="auto"/>
              <w:right w:val="single" w:sz="4" w:space="0" w:color="auto"/>
            </w:tcBorders>
            <w:shd w:val="clear" w:color="auto" w:fill="auto"/>
            <w:vAlign w:val="bottom"/>
          </w:tcPr>
          <w:p w14:paraId="5AFA260E" w14:textId="77777777" w:rsidR="00620422" w:rsidRPr="008204CC" w:rsidRDefault="00620422" w:rsidP="0066301C">
            <w:pPr>
              <w:spacing w:after="0" w:line="240" w:lineRule="auto"/>
              <w:jc w:val="right"/>
              <w:rPr>
                <w:rFonts w:ascii="Arial" w:eastAsia="Times New Roman" w:hAnsi="Arial" w:cs="Arial"/>
                <w:color w:val="000000"/>
                <w:sz w:val="18"/>
                <w:szCs w:val="18"/>
                <w:lang w:eastAsia="en-GB"/>
              </w:rPr>
            </w:pPr>
            <w:r w:rsidRPr="008204CC">
              <w:rPr>
                <w:rFonts w:ascii="Arial" w:eastAsia="Times New Roman" w:hAnsi="Arial" w:cs="Arial"/>
                <w:color w:val="000000"/>
                <w:sz w:val="18"/>
                <w:szCs w:val="18"/>
                <w:lang w:eastAsia="en-GB"/>
              </w:rPr>
              <w:t>-1.45945</w:t>
            </w:r>
          </w:p>
        </w:tc>
      </w:tr>
      <w:tr w:rsidR="008A6AC3" w:rsidRPr="008204CC" w14:paraId="6C7E1255" w14:textId="77777777" w:rsidTr="00D46B41">
        <w:trPr>
          <w:trHeight w:val="270"/>
        </w:trPr>
        <w:tc>
          <w:tcPr>
            <w:tcW w:w="1135" w:type="dxa"/>
            <w:tcBorders>
              <w:top w:val="nil"/>
              <w:left w:val="single" w:sz="4" w:space="0" w:color="auto"/>
              <w:bottom w:val="single" w:sz="4" w:space="0" w:color="auto"/>
              <w:right w:val="single" w:sz="4" w:space="0" w:color="auto"/>
            </w:tcBorders>
            <w:shd w:val="clear" w:color="auto" w:fill="auto"/>
            <w:noWrap/>
            <w:vAlign w:val="bottom"/>
            <w:hideMark/>
          </w:tcPr>
          <w:p w14:paraId="22304588" w14:textId="77777777" w:rsidR="00620422" w:rsidRPr="008204CC" w:rsidRDefault="00620422" w:rsidP="0066301C">
            <w:pPr>
              <w:spacing w:after="0" w:line="240" w:lineRule="auto"/>
              <w:jc w:val="right"/>
              <w:rPr>
                <w:rFonts w:ascii="Arial" w:eastAsia="Times New Roman" w:hAnsi="Arial" w:cs="Arial"/>
                <w:color w:val="000000"/>
                <w:sz w:val="18"/>
                <w:szCs w:val="18"/>
                <w:lang w:eastAsia="en-GB"/>
              </w:rPr>
            </w:pPr>
            <w:r w:rsidRPr="008204CC">
              <w:rPr>
                <w:rFonts w:ascii="Arial" w:eastAsia="Times New Roman" w:hAnsi="Arial" w:cs="Arial"/>
                <w:color w:val="000000"/>
                <w:sz w:val="18"/>
                <w:szCs w:val="18"/>
                <w:lang w:eastAsia="en-GB"/>
              </w:rPr>
              <w:t>2011</w:t>
            </w:r>
          </w:p>
        </w:tc>
        <w:tc>
          <w:tcPr>
            <w:tcW w:w="1701" w:type="dxa"/>
            <w:tcBorders>
              <w:top w:val="nil"/>
              <w:left w:val="nil"/>
              <w:bottom w:val="single" w:sz="4" w:space="0" w:color="auto"/>
              <w:right w:val="single" w:sz="4" w:space="0" w:color="auto"/>
            </w:tcBorders>
            <w:shd w:val="clear" w:color="auto" w:fill="auto"/>
            <w:noWrap/>
            <w:vAlign w:val="bottom"/>
            <w:hideMark/>
          </w:tcPr>
          <w:p w14:paraId="30E8492D" w14:textId="77777777" w:rsidR="00620422" w:rsidRPr="008204CC" w:rsidRDefault="00620422" w:rsidP="0066301C">
            <w:pPr>
              <w:spacing w:after="0" w:line="240" w:lineRule="auto"/>
              <w:jc w:val="right"/>
              <w:rPr>
                <w:rFonts w:ascii="Arial" w:eastAsia="Times New Roman" w:hAnsi="Arial" w:cs="Arial"/>
                <w:color w:val="000000"/>
                <w:sz w:val="18"/>
                <w:szCs w:val="18"/>
                <w:lang w:eastAsia="en-GB"/>
              </w:rPr>
            </w:pPr>
            <w:r w:rsidRPr="008204CC">
              <w:rPr>
                <w:rFonts w:ascii="Arial" w:eastAsia="Times New Roman" w:hAnsi="Arial" w:cs="Arial"/>
                <w:color w:val="000000"/>
                <w:sz w:val="18"/>
                <w:szCs w:val="18"/>
                <w:lang w:eastAsia="en-GB"/>
              </w:rPr>
              <w:t>100.22254</w:t>
            </w:r>
          </w:p>
        </w:tc>
        <w:tc>
          <w:tcPr>
            <w:tcW w:w="1701" w:type="dxa"/>
            <w:tcBorders>
              <w:top w:val="nil"/>
              <w:left w:val="nil"/>
              <w:bottom w:val="single" w:sz="4" w:space="0" w:color="auto"/>
              <w:right w:val="single" w:sz="4" w:space="0" w:color="auto"/>
            </w:tcBorders>
            <w:shd w:val="clear" w:color="auto" w:fill="auto"/>
            <w:noWrap/>
            <w:vAlign w:val="bottom"/>
            <w:hideMark/>
          </w:tcPr>
          <w:p w14:paraId="5A4C03DC" w14:textId="77777777" w:rsidR="00620422" w:rsidRPr="008204CC" w:rsidRDefault="00620422" w:rsidP="0066301C">
            <w:pPr>
              <w:spacing w:after="0" w:line="240" w:lineRule="auto"/>
              <w:jc w:val="right"/>
              <w:rPr>
                <w:rFonts w:ascii="Arial" w:eastAsia="Times New Roman" w:hAnsi="Arial" w:cs="Arial"/>
                <w:color w:val="000000"/>
                <w:sz w:val="18"/>
                <w:szCs w:val="18"/>
                <w:lang w:eastAsia="en-GB"/>
              </w:rPr>
            </w:pPr>
            <w:r w:rsidRPr="008204CC">
              <w:rPr>
                <w:rFonts w:ascii="Arial" w:eastAsia="Times New Roman" w:hAnsi="Arial" w:cs="Arial"/>
                <w:color w:val="000000"/>
                <w:sz w:val="18"/>
                <w:szCs w:val="18"/>
                <w:lang w:eastAsia="en-GB"/>
              </w:rPr>
              <w:t>99.93177844</w:t>
            </w:r>
          </w:p>
        </w:tc>
        <w:tc>
          <w:tcPr>
            <w:tcW w:w="1984" w:type="dxa"/>
            <w:tcBorders>
              <w:top w:val="nil"/>
              <w:left w:val="nil"/>
              <w:bottom w:val="single" w:sz="4" w:space="0" w:color="auto"/>
              <w:right w:val="single" w:sz="4" w:space="0" w:color="auto"/>
            </w:tcBorders>
            <w:shd w:val="clear" w:color="auto" w:fill="auto"/>
            <w:noWrap/>
            <w:vAlign w:val="bottom"/>
            <w:hideMark/>
          </w:tcPr>
          <w:p w14:paraId="313CF7D3" w14:textId="77777777" w:rsidR="00620422" w:rsidRPr="008204CC" w:rsidRDefault="00620422" w:rsidP="0066301C">
            <w:pPr>
              <w:spacing w:after="0" w:line="240" w:lineRule="auto"/>
              <w:jc w:val="right"/>
              <w:rPr>
                <w:rFonts w:ascii="Arial" w:eastAsia="Times New Roman" w:hAnsi="Arial" w:cs="Arial"/>
                <w:sz w:val="18"/>
                <w:szCs w:val="18"/>
                <w:lang w:eastAsia="en-GB"/>
              </w:rPr>
            </w:pPr>
            <w:r w:rsidRPr="008204CC">
              <w:rPr>
                <w:rFonts w:ascii="Arial" w:eastAsia="Times New Roman" w:hAnsi="Arial" w:cs="Arial"/>
                <w:sz w:val="18"/>
                <w:szCs w:val="18"/>
                <w:lang w:eastAsia="en-GB"/>
              </w:rPr>
              <w:t>0.290762</w:t>
            </w:r>
          </w:p>
        </w:tc>
        <w:tc>
          <w:tcPr>
            <w:tcW w:w="709" w:type="dxa"/>
            <w:vMerge/>
            <w:tcBorders>
              <w:left w:val="nil"/>
              <w:right w:val="single" w:sz="4" w:space="0" w:color="auto"/>
            </w:tcBorders>
          </w:tcPr>
          <w:p w14:paraId="0AFC1885" w14:textId="77777777" w:rsidR="00620422" w:rsidRPr="008204CC" w:rsidRDefault="00620422" w:rsidP="0066301C">
            <w:pPr>
              <w:spacing w:after="0" w:line="240" w:lineRule="auto"/>
              <w:jc w:val="right"/>
              <w:rPr>
                <w:rFonts w:ascii="Arial" w:eastAsia="Times New Roman" w:hAnsi="Arial" w:cs="Arial"/>
                <w:sz w:val="18"/>
                <w:szCs w:val="18"/>
                <w:lang w:eastAsia="en-GB"/>
              </w:rPr>
            </w:pPr>
          </w:p>
        </w:tc>
        <w:tc>
          <w:tcPr>
            <w:tcW w:w="999" w:type="dxa"/>
            <w:gridSpan w:val="2"/>
            <w:tcBorders>
              <w:top w:val="nil"/>
              <w:left w:val="single" w:sz="4" w:space="0" w:color="auto"/>
              <w:bottom w:val="single" w:sz="4" w:space="0" w:color="auto"/>
              <w:right w:val="single" w:sz="4" w:space="0" w:color="auto"/>
            </w:tcBorders>
            <w:shd w:val="clear" w:color="auto" w:fill="auto"/>
            <w:vAlign w:val="bottom"/>
          </w:tcPr>
          <w:p w14:paraId="04456902" w14:textId="77777777" w:rsidR="00620422" w:rsidRPr="008204CC" w:rsidRDefault="00620422" w:rsidP="0066301C">
            <w:pPr>
              <w:spacing w:after="0" w:line="240" w:lineRule="auto"/>
              <w:jc w:val="right"/>
              <w:rPr>
                <w:rFonts w:ascii="Arial" w:eastAsia="Times New Roman" w:hAnsi="Arial" w:cs="Arial"/>
                <w:color w:val="000000"/>
                <w:sz w:val="18"/>
                <w:szCs w:val="18"/>
                <w:lang w:eastAsia="en-GB"/>
              </w:rPr>
            </w:pPr>
            <w:r w:rsidRPr="008204CC">
              <w:rPr>
                <w:rFonts w:ascii="Arial" w:eastAsia="Times New Roman" w:hAnsi="Arial" w:cs="Arial"/>
                <w:color w:val="000000"/>
                <w:sz w:val="18"/>
                <w:szCs w:val="18"/>
                <w:lang w:eastAsia="en-GB"/>
              </w:rPr>
              <w:t>2011</w:t>
            </w:r>
          </w:p>
        </w:tc>
        <w:tc>
          <w:tcPr>
            <w:tcW w:w="1415" w:type="dxa"/>
            <w:gridSpan w:val="2"/>
            <w:tcBorders>
              <w:top w:val="nil"/>
              <w:left w:val="nil"/>
              <w:bottom w:val="single" w:sz="4" w:space="0" w:color="auto"/>
              <w:right w:val="single" w:sz="4" w:space="0" w:color="auto"/>
            </w:tcBorders>
            <w:shd w:val="clear" w:color="auto" w:fill="auto"/>
            <w:vAlign w:val="bottom"/>
          </w:tcPr>
          <w:p w14:paraId="75DA1829" w14:textId="77777777" w:rsidR="00620422" w:rsidRPr="008204CC" w:rsidRDefault="00620422" w:rsidP="0066301C">
            <w:pPr>
              <w:spacing w:after="0" w:line="240" w:lineRule="auto"/>
              <w:jc w:val="right"/>
              <w:rPr>
                <w:rFonts w:ascii="Arial" w:eastAsia="Times New Roman" w:hAnsi="Arial" w:cs="Arial"/>
                <w:color w:val="000000"/>
                <w:sz w:val="18"/>
                <w:szCs w:val="18"/>
                <w:lang w:eastAsia="en-GB"/>
              </w:rPr>
            </w:pPr>
            <w:r w:rsidRPr="008204CC">
              <w:rPr>
                <w:rFonts w:ascii="Arial" w:eastAsia="Times New Roman" w:hAnsi="Arial" w:cs="Arial"/>
                <w:color w:val="000000"/>
                <w:sz w:val="18"/>
                <w:szCs w:val="18"/>
                <w:lang w:eastAsia="en-GB"/>
              </w:rPr>
              <w:t>98.43692</w:t>
            </w:r>
          </w:p>
        </w:tc>
        <w:tc>
          <w:tcPr>
            <w:tcW w:w="1559" w:type="dxa"/>
            <w:gridSpan w:val="2"/>
            <w:tcBorders>
              <w:top w:val="nil"/>
              <w:left w:val="nil"/>
              <w:bottom w:val="single" w:sz="4" w:space="0" w:color="auto"/>
              <w:right w:val="single" w:sz="4" w:space="0" w:color="auto"/>
            </w:tcBorders>
            <w:shd w:val="clear" w:color="auto" w:fill="auto"/>
            <w:vAlign w:val="bottom"/>
          </w:tcPr>
          <w:p w14:paraId="4ADDE411" w14:textId="77777777" w:rsidR="00620422" w:rsidRPr="008204CC" w:rsidRDefault="00620422" w:rsidP="0066301C">
            <w:pPr>
              <w:spacing w:after="0" w:line="240" w:lineRule="auto"/>
              <w:jc w:val="right"/>
              <w:rPr>
                <w:rFonts w:ascii="Arial" w:eastAsia="Times New Roman" w:hAnsi="Arial" w:cs="Arial"/>
                <w:color w:val="000000"/>
                <w:sz w:val="18"/>
                <w:szCs w:val="18"/>
                <w:lang w:eastAsia="en-GB"/>
              </w:rPr>
            </w:pPr>
            <w:r w:rsidRPr="008204CC">
              <w:rPr>
                <w:rFonts w:ascii="Arial" w:eastAsia="Times New Roman" w:hAnsi="Arial" w:cs="Arial"/>
                <w:color w:val="000000"/>
                <w:sz w:val="18"/>
                <w:szCs w:val="18"/>
                <w:lang w:eastAsia="en-GB"/>
              </w:rPr>
              <w:t>103.5844</w:t>
            </w:r>
          </w:p>
        </w:tc>
        <w:tc>
          <w:tcPr>
            <w:tcW w:w="2122" w:type="dxa"/>
            <w:gridSpan w:val="2"/>
            <w:tcBorders>
              <w:top w:val="nil"/>
              <w:left w:val="nil"/>
              <w:bottom w:val="single" w:sz="4" w:space="0" w:color="auto"/>
              <w:right w:val="single" w:sz="4" w:space="0" w:color="auto"/>
            </w:tcBorders>
            <w:shd w:val="clear" w:color="auto" w:fill="auto"/>
            <w:vAlign w:val="bottom"/>
          </w:tcPr>
          <w:p w14:paraId="3D832DBA" w14:textId="77777777" w:rsidR="00620422" w:rsidRPr="008204CC" w:rsidRDefault="00620422" w:rsidP="0066301C">
            <w:pPr>
              <w:spacing w:after="0" w:line="240" w:lineRule="auto"/>
              <w:jc w:val="right"/>
              <w:rPr>
                <w:rFonts w:ascii="Arial" w:eastAsia="Times New Roman" w:hAnsi="Arial" w:cs="Arial"/>
                <w:color w:val="000000"/>
                <w:sz w:val="18"/>
                <w:szCs w:val="18"/>
                <w:lang w:eastAsia="en-GB"/>
              </w:rPr>
            </w:pPr>
            <w:r w:rsidRPr="008204CC">
              <w:rPr>
                <w:rFonts w:ascii="Arial" w:eastAsia="Times New Roman" w:hAnsi="Arial" w:cs="Arial"/>
                <w:color w:val="000000"/>
                <w:sz w:val="18"/>
                <w:szCs w:val="18"/>
                <w:lang w:eastAsia="en-GB"/>
              </w:rPr>
              <w:t>-5.14748</w:t>
            </w:r>
          </w:p>
        </w:tc>
      </w:tr>
      <w:tr w:rsidR="008A6AC3" w:rsidRPr="008204CC" w14:paraId="76540FB1" w14:textId="77777777" w:rsidTr="00D46B41">
        <w:trPr>
          <w:trHeight w:val="270"/>
        </w:trPr>
        <w:tc>
          <w:tcPr>
            <w:tcW w:w="1135" w:type="dxa"/>
            <w:tcBorders>
              <w:top w:val="nil"/>
              <w:left w:val="single" w:sz="4" w:space="0" w:color="auto"/>
              <w:bottom w:val="single" w:sz="4" w:space="0" w:color="auto"/>
              <w:right w:val="single" w:sz="4" w:space="0" w:color="auto"/>
            </w:tcBorders>
            <w:shd w:val="clear" w:color="auto" w:fill="auto"/>
            <w:noWrap/>
            <w:vAlign w:val="bottom"/>
            <w:hideMark/>
          </w:tcPr>
          <w:p w14:paraId="3B9237F2" w14:textId="77777777" w:rsidR="00620422" w:rsidRPr="008204CC" w:rsidRDefault="00620422" w:rsidP="0066301C">
            <w:pPr>
              <w:spacing w:after="0" w:line="240" w:lineRule="auto"/>
              <w:jc w:val="right"/>
              <w:rPr>
                <w:rFonts w:ascii="Arial" w:eastAsia="Times New Roman" w:hAnsi="Arial" w:cs="Arial"/>
                <w:color w:val="000000"/>
                <w:sz w:val="18"/>
                <w:szCs w:val="18"/>
                <w:lang w:eastAsia="en-GB"/>
              </w:rPr>
            </w:pPr>
            <w:r w:rsidRPr="008204CC">
              <w:rPr>
                <w:rFonts w:ascii="Arial" w:eastAsia="Times New Roman" w:hAnsi="Arial" w:cs="Arial"/>
                <w:color w:val="000000"/>
                <w:sz w:val="18"/>
                <w:szCs w:val="18"/>
                <w:lang w:eastAsia="en-GB"/>
              </w:rPr>
              <w:t>2012</w:t>
            </w:r>
          </w:p>
        </w:tc>
        <w:tc>
          <w:tcPr>
            <w:tcW w:w="1701" w:type="dxa"/>
            <w:tcBorders>
              <w:top w:val="nil"/>
              <w:left w:val="nil"/>
              <w:bottom w:val="single" w:sz="4" w:space="0" w:color="auto"/>
              <w:right w:val="single" w:sz="4" w:space="0" w:color="auto"/>
            </w:tcBorders>
            <w:shd w:val="clear" w:color="auto" w:fill="auto"/>
            <w:noWrap/>
            <w:vAlign w:val="bottom"/>
            <w:hideMark/>
          </w:tcPr>
          <w:p w14:paraId="73791C7F" w14:textId="77777777" w:rsidR="00620422" w:rsidRPr="008204CC" w:rsidRDefault="00620422" w:rsidP="0066301C">
            <w:pPr>
              <w:spacing w:after="0" w:line="240" w:lineRule="auto"/>
              <w:jc w:val="right"/>
              <w:rPr>
                <w:rFonts w:ascii="Arial" w:eastAsia="Times New Roman" w:hAnsi="Arial" w:cs="Arial"/>
                <w:color w:val="000000"/>
                <w:sz w:val="18"/>
                <w:szCs w:val="18"/>
                <w:lang w:eastAsia="en-GB"/>
              </w:rPr>
            </w:pPr>
            <w:r w:rsidRPr="008204CC">
              <w:rPr>
                <w:rFonts w:ascii="Arial" w:eastAsia="Times New Roman" w:hAnsi="Arial" w:cs="Arial"/>
                <w:color w:val="000000"/>
                <w:sz w:val="18"/>
                <w:szCs w:val="18"/>
                <w:lang w:eastAsia="en-GB"/>
              </w:rPr>
              <w:t>96.44922894</w:t>
            </w:r>
          </w:p>
        </w:tc>
        <w:tc>
          <w:tcPr>
            <w:tcW w:w="1701" w:type="dxa"/>
            <w:tcBorders>
              <w:top w:val="nil"/>
              <w:left w:val="nil"/>
              <w:bottom w:val="single" w:sz="4" w:space="0" w:color="auto"/>
              <w:right w:val="single" w:sz="4" w:space="0" w:color="auto"/>
            </w:tcBorders>
            <w:shd w:val="clear" w:color="auto" w:fill="auto"/>
            <w:noWrap/>
            <w:vAlign w:val="bottom"/>
            <w:hideMark/>
          </w:tcPr>
          <w:p w14:paraId="08472F53" w14:textId="77777777" w:rsidR="00620422" w:rsidRPr="008204CC" w:rsidRDefault="00620422" w:rsidP="0066301C">
            <w:pPr>
              <w:spacing w:after="0" w:line="240" w:lineRule="auto"/>
              <w:jc w:val="right"/>
              <w:rPr>
                <w:rFonts w:ascii="Arial" w:eastAsia="Times New Roman" w:hAnsi="Arial" w:cs="Arial"/>
                <w:color w:val="000000"/>
                <w:sz w:val="18"/>
                <w:szCs w:val="18"/>
                <w:lang w:eastAsia="en-GB"/>
              </w:rPr>
            </w:pPr>
            <w:r w:rsidRPr="008204CC">
              <w:rPr>
                <w:rFonts w:ascii="Arial" w:eastAsia="Times New Roman" w:hAnsi="Arial" w:cs="Arial"/>
                <w:color w:val="000000"/>
                <w:sz w:val="18"/>
                <w:szCs w:val="18"/>
                <w:lang w:eastAsia="en-GB"/>
              </w:rPr>
              <w:t>99.42707132</w:t>
            </w:r>
          </w:p>
        </w:tc>
        <w:tc>
          <w:tcPr>
            <w:tcW w:w="1984" w:type="dxa"/>
            <w:tcBorders>
              <w:top w:val="nil"/>
              <w:left w:val="nil"/>
              <w:bottom w:val="single" w:sz="4" w:space="0" w:color="auto"/>
              <w:right w:val="single" w:sz="4" w:space="0" w:color="auto"/>
            </w:tcBorders>
            <w:shd w:val="clear" w:color="auto" w:fill="auto"/>
            <w:noWrap/>
            <w:vAlign w:val="bottom"/>
            <w:hideMark/>
          </w:tcPr>
          <w:p w14:paraId="2DEF27F2" w14:textId="77777777" w:rsidR="00620422" w:rsidRPr="008204CC" w:rsidRDefault="00620422" w:rsidP="0066301C">
            <w:pPr>
              <w:spacing w:after="0" w:line="240" w:lineRule="auto"/>
              <w:jc w:val="right"/>
              <w:rPr>
                <w:rFonts w:ascii="Arial" w:eastAsia="Times New Roman" w:hAnsi="Arial" w:cs="Arial"/>
                <w:sz w:val="18"/>
                <w:szCs w:val="18"/>
                <w:lang w:eastAsia="en-GB"/>
              </w:rPr>
            </w:pPr>
            <w:r w:rsidRPr="008204CC">
              <w:rPr>
                <w:rFonts w:ascii="Arial" w:eastAsia="Times New Roman" w:hAnsi="Arial" w:cs="Arial"/>
                <w:sz w:val="18"/>
                <w:szCs w:val="18"/>
                <w:lang w:eastAsia="en-GB"/>
              </w:rPr>
              <w:t>-2.97784</w:t>
            </w:r>
          </w:p>
        </w:tc>
        <w:tc>
          <w:tcPr>
            <w:tcW w:w="709" w:type="dxa"/>
            <w:vMerge/>
            <w:tcBorders>
              <w:left w:val="nil"/>
              <w:right w:val="single" w:sz="4" w:space="0" w:color="auto"/>
            </w:tcBorders>
          </w:tcPr>
          <w:p w14:paraId="4ADC2982" w14:textId="77777777" w:rsidR="00620422" w:rsidRPr="008204CC" w:rsidRDefault="00620422" w:rsidP="0066301C">
            <w:pPr>
              <w:spacing w:after="0" w:line="240" w:lineRule="auto"/>
              <w:jc w:val="right"/>
              <w:rPr>
                <w:rFonts w:ascii="Arial" w:eastAsia="Times New Roman" w:hAnsi="Arial" w:cs="Arial"/>
                <w:sz w:val="18"/>
                <w:szCs w:val="18"/>
                <w:lang w:eastAsia="en-GB"/>
              </w:rPr>
            </w:pPr>
          </w:p>
        </w:tc>
        <w:tc>
          <w:tcPr>
            <w:tcW w:w="999" w:type="dxa"/>
            <w:gridSpan w:val="2"/>
            <w:tcBorders>
              <w:top w:val="nil"/>
              <w:left w:val="single" w:sz="4" w:space="0" w:color="auto"/>
              <w:bottom w:val="single" w:sz="4" w:space="0" w:color="auto"/>
              <w:right w:val="single" w:sz="4" w:space="0" w:color="auto"/>
            </w:tcBorders>
            <w:shd w:val="clear" w:color="auto" w:fill="auto"/>
            <w:vAlign w:val="bottom"/>
          </w:tcPr>
          <w:p w14:paraId="7B313BB6" w14:textId="77777777" w:rsidR="00620422" w:rsidRPr="008204CC" w:rsidRDefault="00620422" w:rsidP="0066301C">
            <w:pPr>
              <w:spacing w:after="0" w:line="240" w:lineRule="auto"/>
              <w:jc w:val="right"/>
              <w:rPr>
                <w:rFonts w:ascii="Arial" w:eastAsia="Times New Roman" w:hAnsi="Arial" w:cs="Arial"/>
                <w:color w:val="000000"/>
                <w:sz w:val="18"/>
                <w:szCs w:val="18"/>
                <w:lang w:eastAsia="en-GB"/>
              </w:rPr>
            </w:pPr>
            <w:r w:rsidRPr="008204CC">
              <w:rPr>
                <w:rFonts w:ascii="Arial" w:eastAsia="Times New Roman" w:hAnsi="Arial" w:cs="Arial"/>
                <w:color w:val="000000"/>
                <w:sz w:val="18"/>
                <w:szCs w:val="18"/>
                <w:lang w:eastAsia="en-GB"/>
              </w:rPr>
              <w:t>2012</w:t>
            </w:r>
          </w:p>
        </w:tc>
        <w:tc>
          <w:tcPr>
            <w:tcW w:w="1415" w:type="dxa"/>
            <w:gridSpan w:val="2"/>
            <w:tcBorders>
              <w:top w:val="nil"/>
              <w:left w:val="nil"/>
              <w:bottom w:val="single" w:sz="4" w:space="0" w:color="auto"/>
              <w:right w:val="single" w:sz="4" w:space="0" w:color="auto"/>
            </w:tcBorders>
            <w:shd w:val="clear" w:color="auto" w:fill="auto"/>
            <w:vAlign w:val="bottom"/>
          </w:tcPr>
          <w:p w14:paraId="2ACCAD01" w14:textId="77777777" w:rsidR="00620422" w:rsidRPr="008204CC" w:rsidRDefault="00620422" w:rsidP="0066301C">
            <w:pPr>
              <w:spacing w:after="0" w:line="240" w:lineRule="auto"/>
              <w:jc w:val="right"/>
              <w:rPr>
                <w:rFonts w:ascii="Arial" w:eastAsia="Times New Roman" w:hAnsi="Arial" w:cs="Arial"/>
                <w:color w:val="000000"/>
                <w:sz w:val="18"/>
                <w:szCs w:val="18"/>
                <w:lang w:eastAsia="en-GB"/>
              </w:rPr>
            </w:pPr>
            <w:r w:rsidRPr="008204CC">
              <w:rPr>
                <w:rFonts w:ascii="Arial" w:eastAsia="Times New Roman" w:hAnsi="Arial" w:cs="Arial"/>
                <w:color w:val="000000"/>
                <w:sz w:val="18"/>
                <w:szCs w:val="18"/>
                <w:lang w:eastAsia="en-GB"/>
              </w:rPr>
              <w:t>97.83703</w:t>
            </w:r>
          </w:p>
        </w:tc>
        <w:tc>
          <w:tcPr>
            <w:tcW w:w="1559" w:type="dxa"/>
            <w:gridSpan w:val="2"/>
            <w:tcBorders>
              <w:top w:val="nil"/>
              <w:left w:val="nil"/>
              <w:bottom w:val="single" w:sz="4" w:space="0" w:color="auto"/>
              <w:right w:val="single" w:sz="4" w:space="0" w:color="auto"/>
            </w:tcBorders>
            <w:shd w:val="clear" w:color="auto" w:fill="auto"/>
            <w:vAlign w:val="bottom"/>
          </w:tcPr>
          <w:p w14:paraId="0915CAD2" w14:textId="77777777" w:rsidR="00620422" w:rsidRPr="008204CC" w:rsidRDefault="00620422" w:rsidP="0066301C">
            <w:pPr>
              <w:spacing w:after="0" w:line="240" w:lineRule="auto"/>
              <w:jc w:val="right"/>
              <w:rPr>
                <w:rFonts w:ascii="Arial" w:eastAsia="Times New Roman" w:hAnsi="Arial" w:cs="Arial"/>
                <w:color w:val="000000"/>
                <w:sz w:val="18"/>
                <w:szCs w:val="18"/>
                <w:lang w:eastAsia="en-GB"/>
              </w:rPr>
            </w:pPr>
            <w:r w:rsidRPr="008204CC">
              <w:rPr>
                <w:rFonts w:ascii="Arial" w:eastAsia="Times New Roman" w:hAnsi="Arial" w:cs="Arial"/>
                <w:color w:val="000000"/>
                <w:sz w:val="18"/>
                <w:szCs w:val="18"/>
                <w:lang w:eastAsia="en-GB"/>
              </w:rPr>
              <w:t>106.007</w:t>
            </w:r>
          </w:p>
        </w:tc>
        <w:tc>
          <w:tcPr>
            <w:tcW w:w="2122" w:type="dxa"/>
            <w:gridSpan w:val="2"/>
            <w:tcBorders>
              <w:top w:val="nil"/>
              <w:left w:val="nil"/>
              <w:bottom w:val="single" w:sz="4" w:space="0" w:color="auto"/>
              <w:right w:val="single" w:sz="4" w:space="0" w:color="auto"/>
            </w:tcBorders>
            <w:shd w:val="clear" w:color="auto" w:fill="auto"/>
            <w:vAlign w:val="bottom"/>
          </w:tcPr>
          <w:p w14:paraId="24128A65" w14:textId="77777777" w:rsidR="00620422" w:rsidRPr="008204CC" w:rsidRDefault="00620422" w:rsidP="0066301C">
            <w:pPr>
              <w:spacing w:after="0" w:line="240" w:lineRule="auto"/>
              <w:jc w:val="right"/>
              <w:rPr>
                <w:rFonts w:ascii="Arial" w:eastAsia="Times New Roman" w:hAnsi="Arial" w:cs="Arial"/>
                <w:color w:val="000000"/>
                <w:sz w:val="18"/>
                <w:szCs w:val="18"/>
                <w:lang w:eastAsia="en-GB"/>
              </w:rPr>
            </w:pPr>
            <w:r w:rsidRPr="008204CC">
              <w:rPr>
                <w:rFonts w:ascii="Arial" w:eastAsia="Times New Roman" w:hAnsi="Arial" w:cs="Arial"/>
                <w:color w:val="000000"/>
                <w:sz w:val="18"/>
                <w:szCs w:val="18"/>
                <w:lang w:eastAsia="en-GB"/>
              </w:rPr>
              <w:t>-8.17</w:t>
            </w:r>
          </w:p>
        </w:tc>
      </w:tr>
      <w:tr w:rsidR="008A6AC3" w:rsidRPr="008204CC" w14:paraId="2CE44BCE" w14:textId="77777777" w:rsidTr="00D46B41">
        <w:trPr>
          <w:trHeight w:val="270"/>
        </w:trPr>
        <w:tc>
          <w:tcPr>
            <w:tcW w:w="1135" w:type="dxa"/>
            <w:tcBorders>
              <w:top w:val="nil"/>
              <w:left w:val="single" w:sz="4" w:space="0" w:color="auto"/>
              <w:bottom w:val="single" w:sz="4" w:space="0" w:color="auto"/>
              <w:right w:val="single" w:sz="4" w:space="0" w:color="auto"/>
            </w:tcBorders>
            <w:shd w:val="clear" w:color="auto" w:fill="auto"/>
            <w:noWrap/>
            <w:vAlign w:val="bottom"/>
            <w:hideMark/>
          </w:tcPr>
          <w:p w14:paraId="11EAF2B0" w14:textId="77777777" w:rsidR="00620422" w:rsidRPr="008204CC" w:rsidRDefault="00620422" w:rsidP="0066301C">
            <w:pPr>
              <w:spacing w:after="0" w:line="240" w:lineRule="auto"/>
              <w:jc w:val="right"/>
              <w:rPr>
                <w:rFonts w:ascii="Arial" w:eastAsia="Times New Roman" w:hAnsi="Arial" w:cs="Arial"/>
                <w:color w:val="000000"/>
                <w:sz w:val="18"/>
                <w:szCs w:val="18"/>
                <w:lang w:eastAsia="en-GB"/>
              </w:rPr>
            </w:pPr>
            <w:r w:rsidRPr="008204CC">
              <w:rPr>
                <w:rFonts w:ascii="Arial" w:eastAsia="Times New Roman" w:hAnsi="Arial" w:cs="Arial"/>
                <w:color w:val="000000"/>
                <w:sz w:val="18"/>
                <w:szCs w:val="18"/>
                <w:lang w:eastAsia="en-GB"/>
              </w:rPr>
              <w:t>2013</w:t>
            </w:r>
          </w:p>
        </w:tc>
        <w:tc>
          <w:tcPr>
            <w:tcW w:w="1701" w:type="dxa"/>
            <w:tcBorders>
              <w:top w:val="nil"/>
              <w:left w:val="nil"/>
              <w:bottom w:val="single" w:sz="4" w:space="0" w:color="auto"/>
              <w:right w:val="single" w:sz="4" w:space="0" w:color="auto"/>
            </w:tcBorders>
            <w:shd w:val="clear" w:color="auto" w:fill="auto"/>
            <w:noWrap/>
            <w:vAlign w:val="bottom"/>
            <w:hideMark/>
          </w:tcPr>
          <w:p w14:paraId="7D6D074D" w14:textId="77777777" w:rsidR="00620422" w:rsidRPr="008204CC" w:rsidRDefault="00620422" w:rsidP="0066301C">
            <w:pPr>
              <w:spacing w:after="0" w:line="240" w:lineRule="auto"/>
              <w:jc w:val="right"/>
              <w:rPr>
                <w:rFonts w:ascii="Arial" w:eastAsia="Times New Roman" w:hAnsi="Arial" w:cs="Arial"/>
                <w:color w:val="000000"/>
                <w:sz w:val="18"/>
                <w:szCs w:val="18"/>
                <w:lang w:eastAsia="en-GB"/>
              </w:rPr>
            </w:pPr>
            <w:r w:rsidRPr="008204CC">
              <w:rPr>
                <w:rFonts w:ascii="Arial" w:eastAsia="Times New Roman" w:hAnsi="Arial" w:cs="Arial"/>
                <w:color w:val="000000"/>
                <w:sz w:val="18"/>
                <w:szCs w:val="18"/>
                <w:lang w:eastAsia="en-GB"/>
              </w:rPr>
              <w:t>98.90934994</w:t>
            </w:r>
          </w:p>
        </w:tc>
        <w:tc>
          <w:tcPr>
            <w:tcW w:w="1701" w:type="dxa"/>
            <w:tcBorders>
              <w:top w:val="nil"/>
              <w:left w:val="nil"/>
              <w:bottom w:val="single" w:sz="4" w:space="0" w:color="auto"/>
              <w:right w:val="single" w:sz="4" w:space="0" w:color="auto"/>
            </w:tcBorders>
            <w:shd w:val="clear" w:color="auto" w:fill="auto"/>
            <w:noWrap/>
            <w:vAlign w:val="bottom"/>
            <w:hideMark/>
          </w:tcPr>
          <w:p w14:paraId="5ABE0C1B" w14:textId="77777777" w:rsidR="00620422" w:rsidRPr="008204CC" w:rsidRDefault="00620422" w:rsidP="0066301C">
            <w:pPr>
              <w:spacing w:after="0" w:line="240" w:lineRule="auto"/>
              <w:jc w:val="right"/>
              <w:rPr>
                <w:rFonts w:ascii="Arial" w:eastAsia="Times New Roman" w:hAnsi="Arial" w:cs="Arial"/>
                <w:color w:val="000000"/>
                <w:sz w:val="18"/>
                <w:szCs w:val="18"/>
                <w:lang w:eastAsia="en-GB"/>
              </w:rPr>
            </w:pPr>
            <w:r w:rsidRPr="008204CC">
              <w:rPr>
                <w:rFonts w:ascii="Arial" w:eastAsia="Times New Roman" w:hAnsi="Arial" w:cs="Arial"/>
                <w:color w:val="000000"/>
                <w:sz w:val="18"/>
                <w:szCs w:val="18"/>
                <w:lang w:eastAsia="en-GB"/>
              </w:rPr>
              <w:t>98.87180639</w:t>
            </w:r>
          </w:p>
        </w:tc>
        <w:tc>
          <w:tcPr>
            <w:tcW w:w="1984" w:type="dxa"/>
            <w:tcBorders>
              <w:top w:val="nil"/>
              <w:left w:val="nil"/>
              <w:bottom w:val="single" w:sz="4" w:space="0" w:color="auto"/>
              <w:right w:val="single" w:sz="4" w:space="0" w:color="auto"/>
            </w:tcBorders>
            <w:shd w:val="clear" w:color="auto" w:fill="auto"/>
            <w:noWrap/>
            <w:vAlign w:val="bottom"/>
            <w:hideMark/>
          </w:tcPr>
          <w:p w14:paraId="47E360D1" w14:textId="77777777" w:rsidR="00620422" w:rsidRPr="008204CC" w:rsidRDefault="00620422" w:rsidP="0066301C">
            <w:pPr>
              <w:spacing w:after="0" w:line="240" w:lineRule="auto"/>
              <w:jc w:val="right"/>
              <w:rPr>
                <w:rFonts w:ascii="Arial" w:eastAsia="Times New Roman" w:hAnsi="Arial" w:cs="Arial"/>
                <w:sz w:val="18"/>
                <w:szCs w:val="18"/>
                <w:lang w:eastAsia="en-GB"/>
              </w:rPr>
            </w:pPr>
            <w:r w:rsidRPr="008204CC">
              <w:rPr>
                <w:rFonts w:ascii="Arial" w:eastAsia="Times New Roman" w:hAnsi="Arial" w:cs="Arial"/>
                <w:sz w:val="18"/>
                <w:szCs w:val="18"/>
                <w:lang w:eastAsia="en-GB"/>
              </w:rPr>
              <w:t>0.037544</w:t>
            </w:r>
          </w:p>
        </w:tc>
        <w:tc>
          <w:tcPr>
            <w:tcW w:w="709" w:type="dxa"/>
            <w:vMerge/>
            <w:tcBorders>
              <w:left w:val="nil"/>
              <w:right w:val="single" w:sz="4" w:space="0" w:color="auto"/>
            </w:tcBorders>
          </w:tcPr>
          <w:p w14:paraId="7906192C" w14:textId="77777777" w:rsidR="00620422" w:rsidRPr="008204CC" w:rsidRDefault="00620422" w:rsidP="0066301C">
            <w:pPr>
              <w:spacing w:after="0" w:line="240" w:lineRule="auto"/>
              <w:jc w:val="right"/>
              <w:rPr>
                <w:rFonts w:ascii="Arial" w:eastAsia="Times New Roman" w:hAnsi="Arial" w:cs="Arial"/>
                <w:sz w:val="18"/>
                <w:szCs w:val="18"/>
                <w:lang w:eastAsia="en-GB"/>
              </w:rPr>
            </w:pPr>
          </w:p>
        </w:tc>
        <w:tc>
          <w:tcPr>
            <w:tcW w:w="999" w:type="dxa"/>
            <w:gridSpan w:val="2"/>
            <w:tcBorders>
              <w:top w:val="nil"/>
              <w:left w:val="single" w:sz="4" w:space="0" w:color="auto"/>
              <w:bottom w:val="single" w:sz="4" w:space="0" w:color="auto"/>
              <w:right w:val="single" w:sz="4" w:space="0" w:color="auto"/>
            </w:tcBorders>
            <w:shd w:val="clear" w:color="auto" w:fill="auto"/>
            <w:vAlign w:val="bottom"/>
          </w:tcPr>
          <w:p w14:paraId="7A00B8B9" w14:textId="77777777" w:rsidR="00620422" w:rsidRPr="008204CC" w:rsidRDefault="00620422" w:rsidP="0066301C">
            <w:pPr>
              <w:spacing w:after="0" w:line="240" w:lineRule="auto"/>
              <w:jc w:val="right"/>
              <w:rPr>
                <w:rFonts w:ascii="Arial" w:eastAsia="Times New Roman" w:hAnsi="Arial" w:cs="Arial"/>
                <w:color w:val="000000"/>
                <w:sz w:val="18"/>
                <w:szCs w:val="18"/>
                <w:lang w:eastAsia="en-GB"/>
              </w:rPr>
            </w:pPr>
            <w:r w:rsidRPr="008204CC">
              <w:rPr>
                <w:rFonts w:ascii="Arial" w:eastAsia="Times New Roman" w:hAnsi="Arial" w:cs="Arial"/>
                <w:color w:val="000000"/>
                <w:sz w:val="18"/>
                <w:szCs w:val="18"/>
                <w:lang w:eastAsia="en-GB"/>
              </w:rPr>
              <w:t>2013</w:t>
            </w:r>
          </w:p>
        </w:tc>
        <w:tc>
          <w:tcPr>
            <w:tcW w:w="1415" w:type="dxa"/>
            <w:gridSpan w:val="2"/>
            <w:tcBorders>
              <w:top w:val="nil"/>
              <w:left w:val="nil"/>
              <w:bottom w:val="single" w:sz="4" w:space="0" w:color="auto"/>
              <w:right w:val="single" w:sz="4" w:space="0" w:color="auto"/>
            </w:tcBorders>
            <w:shd w:val="clear" w:color="auto" w:fill="auto"/>
            <w:vAlign w:val="bottom"/>
          </w:tcPr>
          <w:p w14:paraId="08BB8846" w14:textId="77777777" w:rsidR="00620422" w:rsidRPr="008204CC" w:rsidRDefault="00620422" w:rsidP="0066301C">
            <w:pPr>
              <w:spacing w:after="0" w:line="240" w:lineRule="auto"/>
              <w:jc w:val="right"/>
              <w:rPr>
                <w:rFonts w:ascii="Arial" w:eastAsia="Times New Roman" w:hAnsi="Arial" w:cs="Arial"/>
                <w:color w:val="000000"/>
                <w:sz w:val="18"/>
                <w:szCs w:val="18"/>
                <w:lang w:eastAsia="en-GB"/>
              </w:rPr>
            </w:pPr>
            <w:r w:rsidRPr="008204CC">
              <w:rPr>
                <w:rFonts w:ascii="Arial" w:eastAsia="Times New Roman" w:hAnsi="Arial" w:cs="Arial"/>
                <w:color w:val="000000"/>
                <w:sz w:val="18"/>
                <w:szCs w:val="18"/>
                <w:lang w:eastAsia="en-GB"/>
              </w:rPr>
              <w:t>105.1361</w:t>
            </w:r>
          </w:p>
        </w:tc>
        <w:tc>
          <w:tcPr>
            <w:tcW w:w="1559" w:type="dxa"/>
            <w:gridSpan w:val="2"/>
            <w:tcBorders>
              <w:top w:val="nil"/>
              <w:left w:val="nil"/>
              <w:bottom w:val="single" w:sz="4" w:space="0" w:color="auto"/>
              <w:right w:val="single" w:sz="4" w:space="0" w:color="auto"/>
            </w:tcBorders>
            <w:shd w:val="clear" w:color="auto" w:fill="auto"/>
            <w:vAlign w:val="bottom"/>
          </w:tcPr>
          <w:p w14:paraId="1D678AAC" w14:textId="77777777" w:rsidR="00620422" w:rsidRPr="008204CC" w:rsidRDefault="00620422" w:rsidP="0066301C">
            <w:pPr>
              <w:spacing w:after="0" w:line="240" w:lineRule="auto"/>
              <w:jc w:val="right"/>
              <w:rPr>
                <w:rFonts w:ascii="Arial" w:eastAsia="Times New Roman" w:hAnsi="Arial" w:cs="Arial"/>
                <w:color w:val="000000"/>
                <w:sz w:val="18"/>
                <w:szCs w:val="18"/>
                <w:lang w:eastAsia="en-GB"/>
              </w:rPr>
            </w:pPr>
            <w:r w:rsidRPr="008204CC">
              <w:rPr>
                <w:rFonts w:ascii="Arial" w:eastAsia="Times New Roman" w:hAnsi="Arial" w:cs="Arial"/>
                <w:color w:val="000000"/>
                <w:sz w:val="18"/>
                <w:szCs w:val="18"/>
                <w:lang w:eastAsia="en-GB"/>
              </w:rPr>
              <w:t>108.7583</w:t>
            </w:r>
          </w:p>
        </w:tc>
        <w:tc>
          <w:tcPr>
            <w:tcW w:w="2122" w:type="dxa"/>
            <w:gridSpan w:val="2"/>
            <w:tcBorders>
              <w:top w:val="nil"/>
              <w:left w:val="nil"/>
              <w:bottom w:val="single" w:sz="4" w:space="0" w:color="auto"/>
              <w:right w:val="single" w:sz="4" w:space="0" w:color="auto"/>
            </w:tcBorders>
            <w:shd w:val="clear" w:color="auto" w:fill="auto"/>
            <w:vAlign w:val="bottom"/>
          </w:tcPr>
          <w:p w14:paraId="283FA687" w14:textId="77777777" w:rsidR="00620422" w:rsidRPr="008204CC" w:rsidRDefault="00620422" w:rsidP="0066301C">
            <w:pPr>
              <w:spacing w:after="0" w:line="240" w:lineRule="auto"/>
              <w:jc w:val="right"/>
              <w:rPr>
                <w:rFonts w:ascii="Arial" w:eastAsia="Times New Roman" w:hAnsi="Arial" w:cs="Arial"/>
                <w:color w:val="000000"/>
                <w:sz w:val="18"/>
                <w:szCs w:val="18"/>
                <w:lang w:eastAsia="en-GB"/>
              </w:rPr>
            </w:pPr>
            <w:r w:rsidRPr="008204CC">
              <w:rPr>
                <w:rFonts w:ascii="Arial" w:eastAsia="Times New Roman" w:hAnsi="Arial" w:cs="Arial"/>
                <w:color w:val="000000"/>
                <w:sz w:val="18"/>
                <w:szCs w:val="18"/>
                <w:lang w:eastAsia="en-GB"/>
              </w:rPr>
              <w:t>-3.62216</w:t>
            </w:r>
          </w:p>
        </w:tc>
      </w:tr>
      <w:tr w:rsidR="008A6AC3" w:rsidRPr="008204CC" w14:paraId="2C4D15DB" w14:textId="77777777" w:rsidTr="00D46B41">
        <w:trPr>
          <w:trHeight w:val="270"/>
        </w:trPr>
        <w:tc>
          <w:tcPr>
            <w:tcW w:w="1135" w:type="dxa"/>
            <w:tcBorders>
              <w:top w:val="nil"/>
              <w:left w:val="single" w:sz="4" w:space="0" w:color="auto"/>
              <w:bottom w:val="single" w:sz="4" w:space="0" w:color="auto"/>
              <w:right w:val="single" w:sz="4" w:space="0" w:color="auto"/>
            </w:tcBorders>
            <w:shd w:val="clear" w:color="auto" w:fill="auto"/>
            <w:noWrap/>
            <w:vAlign w:val="bottom"/>
            <w:hideMark/>
          </w:tcPr>
          <w:p w14:paraId="4D3CF19B" w14:textId="77777777" w:rsidR="00620422" w:rsidRPr="008204CC" w:rsidRDefault="00620422" w:rsidP="0066301C">
            <w:pPr>
              <w:spacing w:after="0" w:line="240" w:lineRule="auto"/>
              <w:jc w:val="right"/>
              <w:rPr>
                <w:rFonts w:ascii="Arial" w:eastAsia="Times New Roman" w:hAnsi="Arial" w:cs="Arial"/>
                <w:color w:val="000000"/>
                <w:sz w:val="18"/>
                <w:szCs w:val="18"/>
                <w:lang w:eastAsia="en-GB"/>
              </w:rPr>
            </w:pPr>
            <w:r w:rsidRPr="008204CC">
              <w:rPr>
                <w:rFonts w:ascii="Arial" w:eastAsia="Times New Roman" w:hAnsi="Arial" w:cs="Arial"/>
                <w:color w:val="000000"/>
                <w:sz w:val="18"/>
                <w:szCs w:val="18"/>
                <w:lang w:eastAsia="en-GB"/>
              </w:rPr>
              <w:t>2014</w:t>
            </w:r>
          </w:p>
        </w:tc>
        <w:tc>
          <w:tcPr>
            <w:tcW w:w="1701" w:type="dxa"/>
            <w:tcBorders>
              <w:top w:val="nil"/>
              <w:left w:val="nil"/>
              <w:bottom w:val="single" w:sz="4" w:space="0" w:color="auto"/>
              <w:right w:val="single" w:sz="4" w:space="0" w:color="auto"/>
            </w:tcBorders>
            <w:shd w:val="clear" w:color="auto" w:fill="auto"/>
            <w:noWrap/>
            <w:vAlign w:val="bottom"/>
            <w:hideMark/>
          </w:tcPr>
          <w:p w14:paraId="360DA3FF" w14:textId="77777777" w:rsidR="00620422" w:rsidRPr="008204CC" w:rsidRDefault="00620422" w:rsidP="0066301C">
            <w:pPr>
              <w:spacing w:after="0" w:line="240" w:lineRule="auto"/>
              <w:jc w:val="right"/>
              <w:rPr>
                <w:rFonts w:ascii="Arial" w:eastAsia="Times New Roman" w:hAnsi="Arial" w:cs="Arial"/>
                <w:color w:val="000000"/>
                <w:sz w:val="18"/>
                <w:szCs w:val="18"/>
                <w:lang w:eastAsia="en-GB"/>
              </w:rPr>
            </w:pPr>
            <w:r w:rsidRPr="008204CC">
              <w:rPr>
                <w:rFonts w:ascii="Arial" w:eastAsia="Times New Roman" w:hAnsi="Arial" w:cs="Arial"/>
                <w:color w:val="000000"/>
                <w:sz w:val="18"/>
                <w:szCs w:val="18"/>
                <w:lang w:eastAsia="en-GB"/>
              </w:rPr>
              <w:t>99.72419221</w:t>
            </w:r>
          </w:p>
        </w:tc>
        <w:tc>
          <w:tcPr>
            <w:tcW w:w="1701" w:type="dxa"/>
            <w:tcBorders>
              <w:top w:val="nil"/>
              <w:left w:val="nil"/>
              <w:bottom w:val="single" w:sz="4" w:space="0" w:color="auto"/>
              <w:right w:val="single" w:sz="4" w:space="0" w:color="auto"/>
            </w:tcBorders>
            <w:shd w:val="clear" w:color="auto" w:fill="auto"/>
            <w:noWrap/>
            <w:vAlign w:val="bottom"/>
            <w:hideMark/>
          </w:tcPr>
          <w:p w14:paraId="44593B90" w14:textId="77777777" w:rsidR="00620422" w:rsidRPr="008204CC" w:rsidRDefault="00620422" w:rsidP="0066301C">
            <w:pPr>
              <w:spacing w:after="0" w:line="240" w:lineRule="auto"/>
              <w:jc w:val="right"/>
              <w:rPr>
                <w:rFonts w:ascii="Arial" w:eastAsia="Times New Roman" w:hAnsi="Arial" w:cs="Arial"/>
                <w:color w:val="000000"/>
                <w:sz w:val="18"/>
                <w:szCs w:val="18"/>
                <w:lang w:eastAsia="en-GB"/>
              </w:rPr>
            </w:pPr>
            <w:r w:rsidRPr="008204CC">
              <w:rPr>
                <w:rFonts w:ascii="Arial" w:eastAsia="Times New Roman" w:hAnsi="Arial" w:cs="Arial"/>
                <w:color w:val="000000"/>
                <w:sz w:val="18"/>
                <w:szCs w:val="18"/>
                <w:lang w:eastAsia="en-GB"/>
              </w:rPr>
              <w:t>98.29076595</w:t>
            </w:r>
          </w:p>
        </w:tc>
        <w:tc>
          <w:tcPr>
            <w:tcW w:w="1984" w:type="dxa"/>
            <w:tcBorders>
              <w:top w:val="nil"/>
              <w:left w:val="nil"/>
              <w:bottom w:val="single" w:sz="4" w:space="0" w:color="auto"/>
              <w:right w:val="single" w:sz="4" w:space="0" w:color="auto"/>
            </w:tcBorders>
            <w:shd w:val="clear" w:color="auto" w:fill="auto"/>
            <w:noWrap/>
            <w:vAlign w:val="bottom"/>
            <w:hideMark/>
          </w:tcPr>
          <w:p w14:paraId="2E4ED98E" w14:textId="77777777" w:rsidR="00620422" w:rsidRPr="008204CC" w:rsidRDefault="00620422" w:rsidP="0066301C">
            <w:pPr>
              <w:spacing w:after="0" w:line="240" w:lineRule="auto"/>
              <w:jc w:val="right"/>
              <w:rPr>
                <w:rFonts w:ascii="Arial" w:eastAsia="Times New Roman" w:hAnsi="Arial" w:cs="Arial"/>
                <w:sz w:val="18"/>
                <w:szCs w:val="18"/>
                <w:lang w:eastAsia="en-GB"/>
              </w:rPr>
            </w:pPr>
            <w:r w:rsidRPr="008204CC">
              <w:rPr>
                <w:rFonts w:ascii="Arial" w:eastAsia="Times New Roman" w:hAnsi="Arial" w:cs="Arial"/>
                <w:sz w:val="18"/>
                <w:szCs w:val="18"/>
                <w:lang w:eastAsia="en-GB"/>
              </w:rPr>
              <w:t>1.433426</w:t>
            </w:r>
          </w:p>
        </w:tc>
        <w:tc>
          <w:tcPr>
            <w:tcW w:w="709" w:type="dxa"/>
            <w:vMerge/>
            <w:tcBorders>
              <w:left w:val="nil"/>
              <w:right w:val="single" w:sz="4" w:space="0" w:color="auto"/>
            </w:tcBorders>
          </w:tcPr>
          <w:p w14:paraId="21FCF90D" w14:textId="77777777" w:rsidR="00620422" w:rsidRPr="008204CC" w:rsidRDefault="00620422" w:rsidP="0066301C">
            <w:pPr>
              <w:spacing w:after="0" w:line="240" w:lineRule="auto"/>
              <w:jc w:val="right"/>
              <w:rPr>
                <w:rFonts w:ascii="Arial" w:eastAsia="Times New Roman" w:hAnsi="Arial" w:cs="Arial"/>
                <w:sz w:val="18"/>
                <w:szCs w:val="18"/>
                <w:lang w:eastAsia="en-GB"/>
              </w:rPr>
            </w:pPr>
          </w:p>
        </w:tc>
        <w:tc>
          <w:tcPr>
            <w:tcW w:w="999" w:type="dxa"/>
            <w:gridSpan w:val="2"/>
            <w:tcBorders>
              <w:top w:val="nil"/>
              <w:left w:val="single" w:sz="4" w:space="0" w:color="auto"/>
              <w:bottom w:val="single" w:sz="4" w:space="0" w:color="auto"/>
              <w:right w:val="single" w:sz="4" w:space="0" w:color="auto"/>
            </w:tcBorders>
            <w:shd w:val="clear" w:color="auto" w:fill="auto"/>
            <w:vAlign w:val="bottom"/>
          </w:tcPr>
          <w:p w14:paraId="00EB20BF" w14:textId="77777777" w:rsidR="00620422" w:rsidRPr="008204CC" w:rsidRDefault="00620422" w:rsidP="0066301C">
            <w:pPr>
              <w:spacing w:after="0" w:line="240" w:lineRule="auto"/>
              <w:jc w:val="right"/>
              <w:rPr>
                <w:rFonts w:ascii="Arial" w:eastAsia="Times New Roman" w:hAnsi="Arial" w:cs="Arial"/>
                <w:color w:val="000000"/>
                <w:sz w:val="18"/>
                <w:szCs w:val="18"/>
                <w:lang w:eastAsia="en-GB"/>
              </w:rPr>
            </w:pPr>
            <w:r w:rsidRPr="008204CC">
              <w:rPr>
                <w:rFonts w:ascii="Arial" w:eastAsia="Times New Roman" w:hAnsi="Arial" w:cs="Arial"/>
                <w:color w:val="000000"/>
                <w:sz w:val="18"/>
                <w:szCs w:val="18"/>
                <w:lang w:eastAsia="en-GB"/>
              </w:rPr>
              <w:t>2014</w:t>
            </w:r>
          </w:p>
        </w:tc>
        <w:tc>
          <w:tcPr>
            <w:tcW w:w="1415" w:type="dxa"/>
            <w:gridSpan w:val="2"/>
            <w:tcBorders>
              <w:top w:val="nil"/>
              <w:left w:val="nil"/>
              <w:bottom w:val="single" w:sz="4" w:space="0" w:color="auto"/>
              <w:right w:val="single" w:sz="4" w:space="0" w:color="auto"/>
            </w:tcBorders>
            <w:shd w:val="clear" w:color="auto" w:fill="auto"/>
            <w:vAlign w:val="bottom"/>
          </w:tcPr>
          <w:p w14:paraId="5753FBA1" w14:textId="77777777" w:rsidR="00620422" w:rsidRPr="008204CC" w:rsidRDefault="00620422" w:rsidP="0066301C">
            <w:pPr>
              <w:spacing w:after="0" w:line="240" w:lineRule="auto"/>
              <w:jc w:val="right"/>
              <w:rPr>
                <w:rFonts w:ascii="Arial" w:eastAsia="Times New Roman" w:hAnsi="Arial" w:cs="Arial"/>
                <w:color w:val="000000"/>
                <w:sz w:val="18"/>
                <w:szCs w:val="18"/>
                <w:lang w:eastAsia="en-GB"/>
              </w:rPr>
            </w:pPr>
            <w:r w:rsidRPr="008204CC">
              <w:rPr>
                <w:rFonts w:ascii="Arial" w:eastAsia="Times New Roman" w:hAnsi="Arial" w:cs="Arial"/>
                <w:color w:val="000000"/>
                <w:sz w:val="18"/>
                <w:szCs w:val="18"/>
                <w:lang w:eastAsia="en-GB"/>
              </w:rPr>
              <w:t>116.4247</w:t>
            </w:r>
          </w:p>
        </w:tc>
        <w:tc>
          <w:tcPr>
            <w:tcW w:w="1559" w:type="dxa"/>
            <w:gridSpan w:val="2"/>
            <w:tcBorders>
              <w:top w:val="nil"/>
              <w:left w:val="nil"/>
              <w:bottom w:val="single" w:sz="4" w:space="0" w:color="auto"/>
              <w:right w:val="single" w:sz="4" w:space="0" w:color="auto"/>
            </w:tcBorders>
            <w:shd w:val="clear" w:color="auto" w:fill="auto"/>
            <w:vAlign w:val="bottom"/>
          </w:tcPr>
          <w:p w14:paraId="4BE92AD4" w14:textId="77777777" w:rsidR="00620422" w:rsidRPr="008204CC" w:rsidRDefault="00620422" w:rsidP="0066301C">
            <w:pPr>
              <w:spacing w:after="0" w:line="240" w:lineRule="auto"/>
              <w:jc w:val="right"/>
              <w:rPr>
                <w:rFonts w:ascii="Arial" w:eastAsia="Times New Roman" w:hAnsi="Arial" w:cs="Arial"/>
                <w:color w:val="000000"/>
                <w:sz w:val="18"/>
                <w:szCs w:val="18"/>
                <w:lang w:eastAsia="en-GB"/>
              </w:rPr>
            </w:pPr>
            <w:r w:rsidRPr="008204CC">
              <w:rPr>
                <w:rFonts w:ascii="Arial" w:eastAsia="Times New Roman" w:hAnsi="Arial" w:cs="Arial"/>
                <w:color w:val="000000"/>
                <w:sz w:val="18"/>
                <w:szCs w:val="18"/>
                <w:lang w:eastAsia="en-GB"/>
              </w:rPr>
              <w:t>111.7874</w:t>
            </w:r>
          </w:p>
        </w:tc>
        <w:tc>
          <w:tcPr>
            <w:tcW w:w="2122" w:type="dxa"/>
            <w:gridSpan w:val="2"/>
            <w:tcBorders>
              <w:top w:val="nil"/>
              <w:left w:val="nil"/>
              <w:bottom w:val="single" w:sz="4" w:space="0" w:color="auto"/>
              <w:right w:val="single" w:sz="4" w:space="0" w:color="auto"/>
            </w:tcBorders>
            <w:shd w:val="clear" w:color="auto" w:fill="auto"/>
            <w:vAlign w:val="bottom"/>
          </w:tcPr>
          <w:p w14:paraId="4B1CD611" w14:textId="77777777" w:rsidR="00620422" w:rsidRPr="008204CC" w:rsidRDefault="00620422" w:rsidP="0066301C">
            <w:pPr>
              <w:spacing w:after="0" w:line="240" w:lineRule="auto"/>
              <w:jc w:val="right"/>
              <w:rPr>
                <w:rFonts w:ascii="Arial" w:eastAsia="Times New Roman" w:hAnsi="Arial" w:cs="Arial"/>
                <w:color w:val="000000"/>
                <w:sz w:val="18"/>
                <w:szCs w:val="18"/>
                <w:lang w:eastAsia="en-GB"/>
              </w:rPr>
            </w:pPr>
            <w:r w:rsidRPr="008204CC">
              <w:rPr>
                <w:rFonts w:ascii="Arial" w:eastAsia="Times New Roman" w:hAnsi="Arial" w:cs="Arial"/>
                <w:color w:val="000000"/>
                <w:sz w:val="18"/>
                <w:szCs w:val="18"/>
                <w:lang w:eastAsia="en-GB"/>
              </w:rPr>
              <w:t>4.637322</w:t>
            </w:r>
          </w:p>
        </w:tc>
      </w:tr>
      <w:tr w:rsidR="008A6AC3" w:rsidRPr="008204CC" w14:paraId="0EEE2652" w14:textId="77777777" w:rsidTr="00D46B41">
        <w:trPr>
          <w:trHeight w:val="270"/>
        </w:trPr>
        <w:tc>
          <w:tcPr>
            <w:tcW w:w="1135" w:type="dxa"/>
            <w:tcBorders>
              <w:top w:val="nil"/>
              <w:left w:val="single" w:sz="4" w:space="0" w:color="auto"/>
              <w:bottom w:val="single" w:sz="4" w:space="0" w:color="auto"/>
              <w:right w:val="single" w:sz="4" w:space="0" w:color="auto"/>
            </w:tcBorders>
            <w:shd w:val="clear" w:color="auto" w:fill="auto"/>
            <w:noWrap/>
            <w:vAlign w:val="bottom"/>
            <w:hideMark/>
          </w:tcPr>
          <w:p w14:paraId="244C3792" w14:textId="77777777" w:rsidR="00620422" w:rsidRPr="008204CC" w:rsidRDefault="00620422" w:rsidP="0066301C">
            <w:pPr>
              <w:spacing w:after="0" w:line="240" w:lineRule="auto"/>
              <w:jc w:val="right"/>
              <w:rPr>
                <w:rFonts w:ascii="Arial" w:eastAsia="Times New Roman" w:hAnsi="Arial" w:cs="Arial"/>
                <w:color w:val="000000"/>
                <w:sz w:val="18"/>
                <w:szCs w:val="18"/>
                <w:lang w:eastAsia="en-GB"/>
              </w:rPr>
            </w:pPr>
            <w:r w:rsidRPr="008204CC">
              <w:rPr>
                <w:rFonts w:ascii="Arial" w:eastAsia="Times New Roman" w:hAnsi="Arial" w:cs="Arial"/>
                <w:color w:val="000000"/>
                <w:sz w:val="18"/>
                <w:szCs w:val="18"/>
                <w:lang w:eastAsia="en-GB"/>
              </w:rPr>
              <w:t>2015</w:t>
            </w:r>
          </w:p>
        </w:tc>
        <w:tc>
          <w:tcPr>
            <w:tcW w:w="1701" w:type="dxa"/>
            <w:tcBorders>
              <w:top w:val="nil"/>
              <w:left w:val="nil"/>
              <w:bottom w:val="single" w:sz="4" w:space="0" w:color="auto"/>
              <w:right w:val="single" w:sz="4" w:space="0" w:color="auto"/>
            </w:tcBorders>
            <w:shd w:val="clear" w:color="auto" w:fill="auto"/>
            <w:noWrap/>
            <w:vAlign w:val="bottom"/>
            <w:hideMark/>
          </w:tcPr>
          <w:p w14:paraId="1AFC9AAF" w14:textId="77777777" w:rsidR="00620422" w:rsidRPr="008204CC" w:rsidRDefault="00620422" w:rsidP="0066301C">
            <w:pPr>
              <w:spacing w:after="0" w:line="240" w:lineRule="auto"/>
              <w:jc w:val="right"/>
              <w:rPr>
                <w:rFonts w:ascii="Arial" w:eastAsia="Times New Roman" w:hAnsi="Arial" w:cs="Arial"/>
                <w:color w:val="000000"/>
                <w:sz w:val="18"/>
                <w:szCs w:val="18"/>
                <w:lang w:eastAsia="en-GB"/>
              </w:rPr>
            </w:pPr>
            <w:r w:rsidRPr="008204CC">
              <w:rPr>
                <w:rFonts w:ascii="Arial" w:eastAsia="Times New Roman" w:hAnsi="Arial" w:cs="Arial"/>
                <w:color w:val="000000"/>
                <w:sz w:val="18"/>
                <w:szCs w:val="18"/>
                <w:lang w:eastAsia="en-GB"/>
              </w:rPr>
              <w:t>93.51006141</w:t>
            </w:r>
          </w:p>
        </w:tc>
        <w:tc>
          <w:tcPr>
            <w:tcW w:w="1701" w:type="dxa"/>
            <w:tcBorders>
              <w:top w:val="nil"/>
              <w:left w:val="nil"/>
              <w:bottom w:val="single" w:sz="4" w:space="0" w:color="auto"/>
              <w:right w:val="single" w:sz="4" w:space="0" w:color="auto"/>
            </w:tcBorders>
            <w:shd w:val="clear" w:color="auto" w:fill="auto"/>
            <w:noWrap/>
            <w:vAlign w:val="bottom"/>
            <w:hideMark/>
          </w:tcPr>
          <w:p w14:paraId="67C6D95A" w14:textId="77777777" w:rsidR="00620422" w:rsidRPr="008204CC" w:rsidRDefault="00620422" w:rsidP="0066301C">
            <w:pPr>
              <w:spacing w:after="0" w:line="240" w:lineRule="auto"/>
              <w:jc w:val="right"/>
              <w:rPr>
                <w:rFonts w:ascii="Arial" w:eastAsia="Times New Roman" w:hAnsi="Arial" w:cs="Arial"/>
                <w:color w:val="000000"/>
                <w:sz w:val="18"/>
                <w:szCs w:val="18"/>
                <w:lang w:eastAsia="en-GB"/>
              </w:rPr>
            </w:pPr>
            <w:r w:rsidRPr="008204CC">
              <w:rPr>
                <w:rFonts w:ascii="Arial" w:eastAsia="Times New Roman" w:hAnsi="Arial" w:cs="Arial"/>
                <w:color w:val="000000"/>
                <w:sz w:val="18"/>
                <w:szCs w:val="18"/>
                <w:lang w:eastAsia="en-GB"/>
              </w:rPr>
              <w:t>97.70910775</w:t>
            </w:r>
          </w:p>
        </w:tc>
        <w:tc>
          <w:tcPr>
            <w:tcW w:w="1984" w:type="dxa"/>
            <w:tcBorders>
              <w:top w:val="nil"/>
              <w:left w:val="nil"/>
              <w:bottom w:val="single" w:sz="4" w:space="0" w:color="auto"/>
              <w:right w:val="single" w:sz="4" w:space="0" w:color="auto"/>
            </w:tcBorders>
            <w:shd w:val="clear" w:color="auto" w:fill="auto"/>
            <w:noWrap/>
            <w:vAlign w:val="bottom"/>
            <w:hideMark/>
          </w:tcPr>
          <w:p w14:paraId="528D5139" w14:textId="77777777" w:rsidR="00620422" w:rsidRPr="008204CC" w:rsidRDefault="00620422" w:rsidP="0066301C">
            <w:pPr>
              <w:spacing w:after="0" w:line="240" w:lineRule="auto"/>
              <w:jc w:val="right"/>
              <w:rPr>
                <w:rFonts w:ascii="Arial" w:eastAsia="Times New Roman" w:hAnsi="Arial" w:cs="Arial"/>
                <w:sz w:val="18"/>
                <w:szCs w:val="18"/>
                <w:lang w:eastAsia="en-GB"/>
              </w:rPr>
            </w:pPr>
            <w:r w:rsidRPr="008204CC">
              <w:rPr>
                <w:rFonts w:ascii="Arial" w:eastAsia="Times New Roman" w:hAnsi="Arial" w:cs="Arial"/>
                <w:sz w:val="18"/>
                <w:szCs w:val="18"/>
                <w:lang w:eastAsia="en-GB"/>
              </w:rPr>
              <w:t>-4.19905</w:t>
            </w:r>
          </w:p>
        </w:tc>
        <w:tc>
          <w:tcPr>
            <w:tcW w:w="709" w:type="dxa"/>
            <w:vMerge/>
            <w:tcBorders>
              <w:left w:val="nil"/>
              <w:right w:val="single" w:sz="4" w:space="0" w:color="auto"/>
            </w:tcBorders>
          </w:tcPr>
          <w:p w14:paraId="1271D765" w14:textId="77777777" w:rsidR="00620422" w:rsidRPr="008204CC" w:rsidRDefault="00620422" w:rsidP="0066301C">
            <w:pPr>
              <w:spacing w:after="0" w:line="240" w:lineRule="auto"/>
              <w:jc w:val="right"/>
              <w:rPr>
                <w:rFonts w:ascii="Arial" w:eastAsia="Times New Roman" w:hAnsi="Arial" w:cs="Arial"/>
                <w:sz w:val="18"/>
                <w:szCs w:val="18"/>
                <w:lang w:eastAsia="en-GB"/>
              </w:rPr>
            </w:pPr>
          </w:p>
        </w:tc>
        <w:tc>
          <w:tcPr>
            <w:tcW w:w="999" w:type="dxa"/>
            <w:gridSpan w:val="2"/>
            <w:tcBorders>
              <w:top w:val="nil"/>
              <w:left w:val="single" w:sz="4" w:space="0" w:color="auto"/>
              <w:bottom w:val="single" w:sz="4" w:space="0" w:color="auto"/>
              <w:right w:val="single" w:sz="4" w:space="0" w:color="auto"/>
            </w:tcBorders>
            <w:shd w:val="clear" w:color="auto" w:fill="auto"/>
            <w:vAlign w:val="bottom"/>
          </w:tcPr>
          <w:p w14:paraId="3460EF72" w14:textId="77777777" w:rsidR="00620422" w:rsidRPr="008204CC" w:rsidRDefault="00620422" w:rsidP="0066301C">
            <w:pPr>
              <w:spacing w:after="0" w:line="240" w:lineRule="auto"/>
              <w:jc w:val="right"/>
              <w:rPr>
                <w:rFonts w:ascii="Arial" w:eastAsia="Times New Roman" w:hAnsi="Arial" w:cs="Arial"/>
                <w:color w:val="000000"/>
                <w:sz w:val="18"/>
                <w:szCs w:val="18"/>
                <w:lang w:eastAsia="en-GB"/>
              </w:rPr>
            </w:pPr>
            <w:r w:rsidRPr="008204CC">
              <w:rPr>
                <w:rFonts w:ascii="Arial" w:eastAsia="Times New Roman" w:hAnsi="Arial" w:cs="Arial"/>
                <w:color w:val="000000"/>
                <w:sz w:val="18"/>
                <w:szCs w:val="18"/>
                <w:lang w:eastAsia="en-GB"/>
              </w:rPr>
              <w:t>2015</w:t>
            </w:r>
          </w:p>
        </w:tc>
        <w:tc>
          <w:tcPr>
            <w:tcW w:w="1415" w:type="dxa"/>
            <w:gridSpan w:val="2"/>
            <w:tcBorders>
              <w:top w:val="nil"/>
              <w:left w:val="nil"/>
              <w:bottom w:val="single" w:sz="4" w:space="0" w:color="auto"/>
              <w:right w:val="single" w:sz="4" w:space="0" w:color="auto"/>
            </w:tcBorders>
            <w:shd w:val="clear" w:color="auto" w:fill="auto"/>
            <w:vAlign w:val="bottom"/>
          </w:tcPr>
          <w:p w14:paraId="05CEB345" w14:textId="77777777" w:rsidR="00620422" w:rsidRPr="008204CC" w:rsidRDefault="00620422" w:rsidP="0066301C">
            <w:pPr>
              <w:spacing w:after="0" w:line="240" w:lineRule="auto"/>
              <w:jc w:val="right"/>
              <w:rPr>
                <w:rFonts w:ascii="Arial" w:eastAsia="Times New Roman" w:hAnsi="Arial" w:cs="Arial"/>
                <w:color w:val="000000"/>
                <w:sz w:val="18"/>
                <w:szCs w:val="18"/>
                <w:lang w:eastAsia="en-GB"/>
              </w:rPr>
            </w:pPr>
            <w:r w:rsidRPr="008204CC">
              <w:rPr>
                <w:rFonts w:ascii="Arial" w:eastAsia="Times New Roman" w:hAnsi="Arial" w:cs="Arial"/>
                <w:color w:val="000000"/>
                <w:sz w:val="18"/>
                <w:szCs w:val="18"/>
                <w:lang w:eastAsia="en-GB"/>
              </w:rPr>
              <w:t>113.0131</w:t>
            </w:r>
          </w:p>
        </w:tc>
        <w:tc>
          <w:tcPr>
            <w:tcW w:w="1559" w:type="dxa"/>
            <w:gridSpan w:val="2"/>
            <w:tcBorders>
              <w:top w:val="nil"/>
              <w:left w:val="nil"/>
              <w:bottom w:val="single" w:sz="4" w:space="0" w:color="auto"/>
              <w:right w:val="single" w:sz="4" w:space="0" w:color="auto"/>
            </w:tcBorders>
            <w:shd w:val="clear" w:color="auto" w:fill="auto"/>
            <w:vAlign w:val="bottom"/>
          </w:tcPr>
          <w:p w14:paraId="65C02326" w14:textId="77777777" w:rsidR="00620422" w:rsidRPr="008204CC" w:rsidRDefault="00620422" w:rsidP="0066301C">
            <w:pPr>
              <w:spacing w:after="0" w:line="240" w:lineRule="auto"/>
              <w:jc w:val="right"/>
              <w:rPr>
                <w:rFonts w:ascii="Arial" w:eastAsia="Times New Roman" w:hAnsi="Arial" w:cs="Arial"/>
                <w:color w:val="000000"/>
                <w:sz w:val="18"/>
                <w:szCs w:val="18"/>
                <w:lang w:eastAsia="en-GB"/>
              </w:rPr>
            </w:pPr>
            <w:r w:rsidRPr="008204CC">
              <w:rPr>
                <w:rFonts w:ascii="Arial" w:eastAsia="Times New Roman" w:hAnsi="Arial" w:cs="Arial"/>
                <w:color w:val="000000"/>
                <w:sz w:val="18"/>
                <w:szCs w:val="18"/>
                <w:lang w:eastAsia="en-GB"/>
              </w:rPr>
              <w:t>115.0074</w:t>
            </w:r>
          </w:p>
        </w:tc>
        <w:tc>
          <w:tcPr>
            <w:tcW w:w="2122" w:type="dxa"/>
            <w:gridSpan w:val="2"/>
            <w:tcBorders>
              <w:top w:val="nil"/>
              <w:left w:val="nil"/>
              <w:bottom w:val="single" w:sz="4" w:space="0" w:color="auto"/>
              <w:right w:val="single" w:sz="4" w:space="0" w:color="auto"/>
            </w:tcBorders>
            <w:shd w:val="clear" w:color="auto" w:fill="auto"/>
            <w:vAlign w:val="bottom"/>
          </w:tcPr>
          <w:p w14:paraId="171154C7" w14:textId="77777777" w:rsidR="00620422" w:rsidRPr="008204CC" w:rsidRDefault="00620422" w:rsidP="0066301C">
            <w:pPr>
              <w:spacing w:after="0" w:line="240" w:lineRule="auto"/>
              <w:jc w:val="right"/>
              <w:rPr>
                <w:rFonts w:ascii="Arial" w:eastAsia="Times New Roman" w:hAnsi="Arial" w:cs="Arial"/>
                <w:color w:val="000000"/>
                <w:sz w:val="18"/>
                <w:szCs w:val="18"/>
                <w:lang w:eastAsia="en-GB"/>
              </w:rPr>
            </w:pPr>
            <w:r w:rsidRPr="008204CC">
              <w:rPr>
                <w:rFonts w:ascii="Arial" w:eastAsia="Times New Roman" w:hAnsi="Arial" w:cs="Arial"/>
                <w:color w:val="000000"/>
                <w:sz w:val="18"/>
                <w:szCs w:val="18"/>
                <w:lang w:eastAsia="en-GB"/>
              </w:rPr>
              <w:t>-1.99431</w:t>
            </w:r>
          </w:p>
        </w:tc>
      </w:tr>
      <w:tr w:rsidR="008A6AC3" w:rsidRPr="008204CC" w14:paraId="66EEC2FA" w14:textId="77777777" w:rsidTr="00D46B41">
        <w:trPr>
          <w:trHeight w:val="270"/>
        </w:trPr>
        <w:tc>
          <w:tcPr>
            <w:tcW w:w="1135" w:type="dxa"/>
            <w:tcBorders>
              <w:top w:val="nil"/>
              <w:left w:val="single" w:sz="4" w:space="0" w:color="auto"/>
              <w:bottom w:val="single" w:sz="4" w:space="0" w:color="auto"/>
              <w:right w:val="single" w:sz="4" w:space="0" w:color="auto"/>
            </w:tcBorders>
            <w:shd w:val="clear" w:color="auto" w:fill="auto"/>
            <w:noWrap/>
            <w:vAlign w:val="bottom"/>
            <w:hideMark/>
          </w:tcPr>
          <w:p w14:paraId="6140CAF7" w14:textId="77777777" w:rsidR="00620422" w:rsidRPr="008204CC" w:rsidRDefault="00620422" w:rsidP="0066301C">
            <w:pPr>
              <w:spacing w:after="0" w:line="240" w:lineRule="auto"/>
              <w:jc w:val="right"/>
              <w:rPr>
                <w:rFonts w:ascii="Arial" w:eastAsia="Times New Roman" w:hAnsi="Arial" w:cs="Arial"/>
                <w:color w:val="000000"/>
                <w:sz w:val="18"/>
                <w:szCs w:val="18"/>
                <w:lang w:eastAsia="en-GB"/>
              </w:rPr>
            </w:pPr>
            <w:r w:rsidRPr="008204CC">
              <w:rPr>
                <w:rFonts w:ascii="Arial" w:eastAsia="Times New Roman" w:hAnsi="Arial" w:cs="Arial"/>
                <w:color w:val="000000"/>
                <w:sz w:val="18"/>
                <w:szCs w:val="18"/>
                <w:lang w:eastAsia="en-GB"/>
              </w:rPr>
              <w:t>2016</w:t>
            </w:r>
          </w:p>
        </w:tc>
        <w:tc>
          <w:tcPr>
            <w:tcW w:w="1701" w:type="dxa"/>
            <w:tcBorders>
              <w:top w:val="nil"/>
              <w:left w:val="nil"/>
              <w:bottom w:val="single" w:sz="4" w:space="0" w:color="auto"/>
              <w:right w:val="single" w:sz="4" w:space="0" w:color="auto"/>
            </w:tcBorders>
            <w:shd w:val="clear" w:color="auto" w:fill="auto"/>
            <w:noWrap/>
            <w:vAlign w:val="bottom"/>
            <w:hideMark/>
          </w:tcPr>
          <w:p w14:paraId="0DB741E5" w14:textId="77777777" w:rsidR="00620422" w:rsidRPr="008204CC" w:rsidRDefault="00620422" w:rsidP="0066301C">
            <w:pPr>
              <w:spacing w:after="0" w:line="240" w:lineRule="auto"/>
              <w:jc w:val="right"/>
              <w:rPr>
                <w:rFonts w:ascii="Arial" w:eastAsia="Times New Roman" w:hAnsi="Arial" w:cs="Arial"/>
                <w:color w:val="000000"/>
                <w:sz w:val="18"/>
                <w:szCs w:val="18"/>
                <w:lang w:eastAsia="en-GB"/>
              </w:rPr>
            </w:pPr>
            <w:r w:rsidRPr="008204CC">
              <w:rPr>
                <w:rFonts w:ascii="Arial" w:eastAsia="Times New Roman" w:hAnsi="Arial" w:cs="Arial"/>
                <w:color w:val="000000"/>
                <w:sz w:val="18"/>
                <w:szCs w:val="18"/>
                <w:lang w:eastAsia="en-GB"/>
              </w:rPr>
              <w:t>95.63358321</w:t>
            </w:r>
          </w:p>
        </w:tc>
        <w:tc>
          <w:tcPr>
            <w:tcW w:w="1701" w:type="dxa"/>
            <w:tcBorders>
              <w:top w:val="nil"/>
              <w:left w:val="nil"/>
              <w:bottom w:val="single" w:sz="4" w:space="0" w:color="auto"/>
              <w:right w:val="single" w:sz="4" w:space="0" w:color="auto"/>
            </w:tcBorders>
            <w:shd w:val="clear" w:color="auto" w:fill="auto"/>
            <w:noWrap/>
            <w:vAlign w:val="bottom"/>
            <w:hideMark/>
          </w:tcPr>
          <w:p w14:paraId="4A67B1B4" w14:textId="77777777" w:rsidR="00620422" w:rsidRPr="008204CC" w:rsidRDefault="00620422" w:rsidP="0066301C">
            <w:pPr>
              <w:spacing w:after="0" w:line="240" w:lineRule="auto"/>
              <w:jc w:val="right"/>
              <w:rPr>
                <w:rFonts w:ascii="Arial" w:eastAsia="Times New Roman" w:hAnsi="Arial" w:cs="Arial"/>
                <w:color w:val="000000"/>
                <w:sz w:val="18"/>
                <w:szCs w:val="18"/>
                <w:lang w:eastAsia="en-GB"/>
              </w:rPr>
            </w:pPr>
            <w:r w:rsidRPr="008204CC">
              <w:rPr>
                <w:rFonts w:ascii="Arial" w:eastAsia="Times New Roman" w:hAnsi="Arial" w:cs="Arial"/>
                <w:color w:val="000000"/>
                <w:sz w:val="18"/>
                <w:szCs w:val="18"/>
                <w:lang w:eastAsia="en-GB"/>
              </w:rPr>
              <w:t>97.16632382</w:t>
            </w:r>
          </w:p>
        </w:tc>
        <w:tc>
          <w:tcPr>
            <w:tcW w:w="1984" w:type="dxa"/>
            <w:tcBorders>
              <w:top w:val="nil"/>
              <w:left w:val="nil"/>
              <w:bottom w:val="single" w:sz="4" w:space="0" w:color="auto"/>
              <w:right w:val="single" w:sz="4" w:space="0" w:color="auto"/>
            </w:tcBorders>
            <w:shd w:val="clear" w:color="auto" w:fill="auto"/>
            <w:noWrap/>
            <w:vAlign w:val="bottom"/>
            <w:hideMark/>
          </w:tcPr>
          <w:p w14:paraId="0719131F" w14:textId="77777777" w:rsidR="00620422" w:rsidRPr="008204CC" w:rsidRDefault="00620422" w:rsidP="0066301C">
            <w:pPr>
              <w:spacing w:after="0" w:line="240" w:lineRule="auto"/>
              <w:jc w:val="right"/>
              <w:rPr>
                <w:rFonts w:ascii="Arial" w:eastAsia="Times New Roman" w:hAnsi="Arial" w:cs="Arial"/>
                <w:sz w:val="18"/>
                <w:szCs w:val="18"/>
                <w:lang w:eastAsia="en-GB"/>
              </w:rPr>
            </w:pPr>
            <w:r w:rsidRPr="008204CC">
              <w:rPr>
                <w:rFonts w:ascii="Arial" w:eastAsia="Times New Roman" w:hAnsi="Arial" w:cs="Arial"/>
                <w:sz w:val="18"/>
                <w:szCs w:val="18"/>
                <w:lang w:eastAsia="en-GB"/>
              </w:rPr>
              <w:t>-1.53274</w:t>
            </w:r>
          </w:p>
        </w:tc>
        <w:tc>
          <w:tcPr>
            <w:tcW w:w="709" w:type="dxa"/>
            <w:vMerge/>
            <w:tcBorders>
              <w:left w:val="nil"/>
              <w:right w:val="single" w:sz="4" w:space="0" w:color="auto"/>
            </w:tcBorders>
          </w:tcPr>
          <w:p w14:paraId="67FF3FBC" w14:textId="77777777" w:rsidR="00620422" w:rsidRPr="008204CC" w:rsidRDefault="00620422" w:rsidP="0066301C">
            <w:pPr>
              <w:spacing w:after="0" w:line="240" w:lineRule="auto"/>
              <w:jc w:val="right"/>
              <w:rPr>
                <w:rFonts w:ascii="Arial" w:eastAsia="Times New Roman" w:hAnsi="Arial" w:cs="Arial"/>
                <w:sz w:val="18"/>
                <w:szCs w:val="18"/>
                <w:lang w:eastAsia="en-GB"/>
              </w:rPr>
            </w:pPr>
          </w:p>
        </w:tc>
        <w:tc>
          <w:tcPr>
            <w:tcW w:w="999" w:type="dxa"/>
            <w:gridSpan w:val="2"/>
            <w:tcBorders>
              <w:top w:val="nil"/>
              <w:left w:val="single" w:sz="4" w:space="0" w:color="auto"/>
              <w:bottom w:val="single" w:sz="4" w:space="0" w:color="auto"/>
              <w:right w:val="single" w:sz="4" w:space="0" w:color="auto"/>
            </w:tcBorders>
            <w:shd w:val="clear" w:color="auto" w:fill="auto"/>
            <w:vAlign w:val="bottom"/>
          </w:tcPr>
          <w:p w14:paraId="463D0755" w14:textId="77777777" w:rsidR="00620422" w:rsidRPr="008204CC" w:rsidRDefault="00620422" w:rsidP="0066301C">
            <w:pPr>
              <w:spacing w:after="0" w:line="240" w:lineRule="auto"/>
              <w:jc w:val="right"/>
              <w:rPr>
                <w:rFonts w:ascii="Arial" w:eastAsia="Times New Roman" w:hAnsi="Arial" w:cs="Arial"/>
                <w:color w:val="000000"/>
                <w:sz w:val="18"/>
                <w:szCs w:val="18"/>
                <w:lang w:eastAsia="en-GB"/>
              </w:rPr>
            </w:pPr>
            <w:r w:rsidRPr="008204CC">
              <w:rPr>
                <w:rFonts w:ascii="Arial" w:eastAsia="Times New Roman" w:hAnsi="Arial" w:cs="Arial"/>
                <w:color w:val="000000"/>
                <w:sz w:val="18"/>
                <w:szCs w:val="18"/>
                <w:lang w:eastAsia="en-GB"/>
              </w:rPr>
              <w:t>2016</w:t>
            </w:r>
          </w:p>
        </w:tc>
        <w:tc>
          <w:tcPr>
            <w:tcW w:w="1415" w:type="dxa"/>
            <w:gridSpan w:val="2"/>
            <w:tcBorders>
              <w:top w:val="nil"/>
              <w:left w:val="nil"/>
              <w:bottom w:val="single" w:sz="4" w:space="0" w:color="auto"/>
              <w:right w:val="single" w:sz="4" w:space="0" w:color="auto"/>
            </w:tcBorders>
            <w:shd w:val="clear" w:color="auto" w:fill="auto"/>
            <w:vAlign w:val="bottom"/>
          </w:tcPr>
          <w:p w14:paraId="2E4F2145" w14:textId="77777777" w:rsidR="00620422" w:rsidRPr="008204CC" w:rsidRDefault="00620422" w:rsidP="0066301C">
            <w:pPr>
              <w:spacing w:after="0" w:line="240" w:lineRule="auto"/>
              <w:jc w:val="right"/>
              <w:rPr>
                <w:rFonts w:ascii="Arial" w:eastAsia="Times New Roman" w:hAnsi="Arial" w:cs="Arial"/>
                <w:color w:val="000000"/>
                <w:sz w:val="18"/>
                <w:szCs w:val="18"/>
                <w:lang w:eastAsia="en-GB"/>
              </w:rPr>
            </w:pPr>
            <w:r w:rsidRPr="008204CC">
              <w:rPr>
                <w:rFonts w:ascii="Arial" w:eastAsia="Times New Roman" w:hAnsi="Arial" w:cs="Arial"/>
                <w:color w:val="000000"/>
                <w:sz w:val="18"/>
                <w:szCs w:val="18"/>
                <w:lang w:eastAsia="en-GB"/>
              </w:rPr>
              <w:t>119.1866</w:t>
            </w:r>
          </w:p>
        </w:tc>
        <w:tc>
          <w:tcPr>
            <w:tcW w:w="1559" w:type="dxa"/>
            <w:gridSpan w:val="2"/>
            <w:tcBorders>
              <w:top w:val="nil"/>
              <w:left w:val="nil"/>
              <w:bottom w:val="single" w:sz="4" w:space="0" w:color="auto"/>
              <w:right w:val="single" w:sz="4" w:space="0" w:color="auto"/>
            </w:tcBorders>
            <w:shd w:val="clear" w:color="auto" w:fill="auto"/>
            <w:vAlign w:val="bottom"/>
          </w:tcPr>
          <w:p w14:paraId="2CBC224B" w14:textId="77777777" w:rsidR="00620422" w:rsidRPr="008204CC" w:rsidRDefault="00620422" w:rsidP="0066301C">
            <w:pPr>
              <w:spacing w:after="0" w:line="240" w:lineRule="auto"/>
              <w:jc w:val="right"/>
              <w:rPr>
                <w:rFonts w:ascii="Arial" w:eastAsia="Times New Roman" w:hAnsi="Arial" w:cs="Arial"/>
                <w:color w:val="000000"/>
                <w:sz w:val="18"/>
                <w:szCs w:val="18"/>
                <w:lang w:eastAsia="en-GB"/>
              </w:rPr>
            </w:pPr>
            <w:r w:rsidRPr="008204CC">
              <w:rPr>
                <w:rFonts w:ascii="Arial" w:eastAsia="Times New Roman" w:hAnsi="Arial" w:cs="Arial"/>
                <w:color w:val="000000"/>
                <w:sz w:val="18"/>
                <w:szCs w:val="18"/>
                <w:lang w:eastAsia="en-GB"/>
              </w:rPr>
              <w:t>118.3778</w:t>
            </w:r>
          </w:p>
        </w:tc>
        <w:tc>
          <w:tcPr>
            <w:tcW w:w="2122" w:type="dxa"/>
            <w:gridSpan w:val="2"/>
            <w:tcBorders>
              <w:top w:val="nil"/>
              <w:left w:val="nil"/>
              <w:bottom w:val="single" w:sz="4" w:space="0" w:color="auto"/>
              <w:right w:val="single" w:sz="4" w:space="0" w:color="auto"/>
            </w:tcBorders>
            <w:shd w:val="clear" w:color="auto" w:fill="auto"/>
            <w:vAlign w:val="bottom"/>
          </w:tcPr>
          <w:p w14:paraId="487C6300" w14:textId="77777777" w:rsidR="00620422" w:rsidRPr="008204CC" w:rsidRDefault="00620422" w:rsidP="0066301C">
            <w:pPr>
              <w:spacing w:after="0" w:line="240" w:lineRule="auto"/>
              <w:jc w:val="right"/>
              <w:rPr>
                <w:rFonts w:ascii="Arial" w:eastAsia="Times New Roman" w:hAnsi="Arial" w:cs="Arial"/>
                <w:color w:val="000000"/>
                <w:sz w:val="18"/>
                <w:szCs w:val="18"/>
                <w:lang w:eastAsia="en-GB"/>
              </w:rPr>
            </w:pPr>
            <w:r w:rsidRPr="008204CC">
              <w:rPr>
                <w:rFonts w:ascii="Arial" w:eastAsia="Times New Roman" w:hAnsi="Arial" w:cs="Arial"/>
                <w:color w:val="000000"/>
                <w:sz w:val="18"/>
                <w:szCs w:val="18"/>
                <w:lang w:eastAsia="en-GB"/>
              </w:rPr>
              <w:t>0.808842</w:t>
            </w:r>
          </w:p>
        </w:tc>
      </w:tr>
      <w:tr w:rsidR="008A6AC3" w:rsidRPr="008204CC" w14:paraId="215FB5E3" w14:textId="77777777" w:rsidTr="00D46B41">
        <w:trPr>
          <w:trHeight w:val="270"/>
        </w:trPr>
        <w:tc>
          <w:tcPr>
            <w:tcW w:w="1135" w:type="dxa"/>
            <w:tcBorders>
              <w:top w:val="nil"/>
              <w:left w:val="single" w:sz="4" w:space="0" w:color="auto"/>
              <w:bottom w:val="single" w:sz="4" w:space="0" w:color="auto"/>
              <w:right w:val="single" w:sz="4" w:space="0" w:color="auto"/>
            </w:tcBorders>
            <w:shd w:val="clear" w:color="auto" w:fill="auto"/>
            <w:noWrap/>
            <w:vAlign w:val="bottom"/>
            <w:hideMark/>
          </w:tcPr>
          <w:p w14:paraId="70BAD1B3" w14:textId="77777777" w:rsidR="00620422" w:rsidRPr="008204CC" w:rsidRDefault="00620422" w:rsidP="0066301C">
            <w:pPr>
              <w:spacing w:after="0" w:line="240" w:lineRule="auto"/>
              <w:jc w:val="right"/>
              <w:rPr>
                <w:rFonts w:ascii="Arial" w:eastAsia="Times New Roman" w:hAnsi="Arial" w:cs="Arial"/>
                <w:color w:val="000000"/>
                <w:sz w:val="18"/>
                <w:szCs w:val="18"/>
                <w:lang w:eastAsia="en-GB"/>
              </w:rPr>
            </w:pPr>
            <w:r w:rsidRPr="008204CC">
              <w:rPr>
                <w:rFonts w:ascii="Arial" w:eastAsia="Times New Roman" w:hAnsi="Arial" w:cs="Arial"/>
                <w:color w:val="000000"/>
                <w:sz w:val="18"/>
                <w:szCs w:val="18"/>
                <w:lang w:eastAsia="en-GB"/>
              </w:rPr>
              <w:t>2017</w:t>
            </w:r>
          </w:p>
        </w:tc>
        <w:tc>
          <w:tcPr>
            <w:tcW w:w="1701" w:type="dxa"/>
            <w:tcBorders>
              <w:top w:val="nil"/>
              <w:left w:val="nil"/>
              <w:bottom w:val="single" w:sz="4" w:space="0" w:color="auto"/>
              <w:right w:val="single" w:sz="4" w:space="0" w:color="auto"/>
            </w:tcBorders>
            <w:shd w:val="clear" w:color="auto" w:fill="auto"/>
            <w:noWrap/>
            <w:vAlign w:val="bottom"/>
            <w:hideMark/>
          </w:tcPr>
          <w:p w14:paraId="4A0BBAE9" w14:textId="77777777" w:rsidR="00620422" w:rsidRPr="008204CC" w:rsidRDefault="00620422" w:rsidP="0066301C">
            <w:pPr>
              <w:spacing w:after="0" w:line="240" w:lineRule="auto"/>
              <w:jc w:val="right"/>
              <w:rPr>
                <w:rFonts w:ascii="Arial" w:eastAsia="Times New Roman" w:hAnsi="Arial" w:cs="Arial"/>
                <w:color w:val="000000"/>
                <w:sz w:val="18"/>
                <w:szCs w:val="18"/>
                <w:lang w:eastAsia="en-GB"/>
              </w:rPr>
            </w:pPr>
            <w:r w:rsidRPr="008204CC">
              <w:rPr>
                <w:rFonts w:ascii="Arial" w:eastAsia="Times New Roman" w:hAnsi="Arial" w:cs="Arial"/>
                <w:color w:val="000000"/>
                <w:sz w:val="18"/>
                <w:szCs w:val="18"/>
                <w:lang w:eastAsia="en-GB"/>
              </w:rPr>
              <w:t>96.58750666</w:t>
            </w:r>
          </w:p>
        </w:tc>
        <w:tc>
          <w:tcPr>
            <w:tcW w:w="1701" w:type="dxa"/>
            <w:tcBorders>
              <w:top w:val="nil"/>
              <w:left w:val="nil"/>
              <w:bottom w:val="single" w:sz="4" w:space="0" w:color="auto"/>
              <w:right w:val="single" w:sz="4" w:space="0" w:color="auto"/>
            </w:tcBorders>
            <w:shd w:val="clear" w:color="auto" w:fill="auto"/>
            <w:noWrap/>
            <w:vAlign w:val="bottom"/>
            <w:hideMark/>
          </w:tcPr>
          <w:p w14:paraId="3F0E524A" w14:textId="77777777" w:rsidR="00620422" w:rsidRPr="008204CC" w:rsidRDefault="00620422" w:rsidP="0066301C">
            <w:pPr>
              <w:spacing w:after="0" w:line="240" w:lineRule="auto"/>
              <w:jc w:val="right"/>
              <w:rPr>
                <w:rFonts w:ascii="Arial" w:eastAsia="Times New Roman" w:hAnsi="Arial" w:cs="Arial"/>
                <w:color w:val="000000"/>
                <w:sz w:val="18"/>
                <w:szCs w:val="18"/>
                <w:lang w:eastAsia="en-GB"/>
              </w:rPr>
            </w:pPr>
            <w:r w:rsidRPr="008204CC">
              <w:rPr>
                <w:rFonts w:ascii="Arial" w:eastAsia="Times New Roman" w:hAnsi="Arial" w:cs="Arial"/>
                <w:color w:val="000000"/>
                <w:sz w:val="18"/>
                <w:szCs w:val="18"/>
                <w:lang w:eastAsia="en-GB"/>
              </w:rPr>
              <w:t>96.65991569</w:t>
            </w:r>
          </w:p>
        </w:tc>
        <w:tc>
          <w:tcPr>
            <w:tcW w:w="1984" w:type="dxa"/>
            <w:tcBorders>
              <w:top w:val="nil"/>
              <w:left w:val="nil"/>
              <w:bottom w:val="single" w:sz="4" w:space="0" w:color="auto"/>
              <w:right w:val="single" w:sz="4" w:space="0" w:color="auto"/>
            </w:tcBorders>
            <w:shd w:val="clear" w:color="auto" w:fill="auto"/>
            <w:noWrap/>
            <w:vAlign w:val="bottom"/>
            <w:hideMark/>
          </w:tcPr>
          <w:p w14:paraId="2377ABF7" w14:textId="77777777" w:rsidR="00620422" w:rsidRPr="008204CC" w:rsidRDefault="00620422" w:rsidP="0066301C">
            <w:pPr>
              <w:spacing w:after="0" w:line="240" w:lineRule="auto"/>
              <w:jc w:val="right"/>
              <w:rPr>
                <w:rFonts w:ascii="Arial" w:eastAsia="Times New Roman" w:hAnsi="Arial" w:cs="Arial"/>
                <w:sz w:val="18"/>
                <w:szCs w:val="18"/>
                <w:lang w:eastAsia="en-GB"/>
              </w:rPr>
            </w:pPr>
            <w:r w:rsidRPr="008204CC">
              <w:rPr>
                <w:rFonts w:ascii="Arial" w:eastAsia="Times New Roman" w:hAnsi="Arial" w:cs="Arial"/>
                <w:sz w:val="18"/>
                <w:szCs w:val="18"/>
                <w:lang w:eastAsia="en-GB"/>
              </w:rPr>
              <w:t>-0.07241</w:t>
            </w:r>
          </w:p>
        </w:tc>
        <w:tc>
          <w:tcPr>
            <w:tcW w:w="709" w:type="dxa"/>
            <w:vMerge/>
            <w:tcBorders>
              <w:left w:val="nil"/>
              <w:right w:val="single" w:sz="4" w:space="0" w:color="auto"/>
            </w:tcBorders>
          </w:tcPr>
          <w:p w14:paraId="410CD65B" w14:textId="77777777" w:rsidR="00620422" w:rsidRPr="008204CC" w:rsidRDefault="00620422" w:rsidP="0066301C">
            <w:pPr>
              <w:spacing w:after="0" w:line="240" w:lineRule="auto"/>
              <w:jc w:val="right"/>
              <w:rPr>
                <w:rFonts w:ascii="Arial" w:eastAsia="Times New Roman" w:hAnsi="Arial" w:cs="Arial"/>
                <w:sz w:val="18"/>
                <w:szCs w:val="18"/>
                <w:lang w:eastAsia="en-GB"/>
              </w:rPr>
            </w:pPr>
          </w:p>
        </w:tc>
        <w:tc>
          <w:tcPr>
            <w:tcW w:w="999" w:type="dxa"/>
            <w:gridSpan w:val="2"/>
            <w:tcBorders>
              <w:top w:val="nil"/>
              <w:left w:val="single" w:sz="4" w:space="0" w:color="auto"/>
              <w:bottom w:val="single" w:sz="4" w:space="0" w:color="auto"/>
              <w:right w:val="single" w:sz="4" w:space="0" w:color="auto"/>
            </w:tcBorders>
            <w:shd w:val="clear" w:color="auto" w:fill="auto"/>
            <w:vAlign w:val="bottom"/>
          </w:tcPr>
          <w:p w14:paraId="248840AB" w14:textId="77777777" w:rsidR="00620422" w:rsidRPr="008204CC" w:rsidRDefault="00620422" w:rsidP="0066301C">
            <w:pPr>
              <w:spacing w:after="0" w:line="240" w:lineRule="auto"/>
              <w:jc w:val="right"/>
              <w:rPr>
                <w:rFonts w:ascii="Arial" w:eastAsia="Times New Roman" w:hAnsi="Arial" w:cs="Arial"/>
                <w:color w:val="000000"/>
                <w:sz w:val="18"/>
                <w:szCs w:val="18"/>
                <w:lang w:eastAsia="en-GB"/>
              </w:rPr>
            </w:pPr>
            <w:r w:rsidRPr="008204CC">
              <w:rPr>
                <w:rFonts w:ascii="Arial" w:eastAsia="Times New Roman" w:hAnsi="Arial" w:cs="Arial"/>
                <w:color w:val="000000"/>
                <w:sz w:val="18"/>
                <w:szCs w:val="18"/>
                <w:lang w:eastAsia="en-GB"/>
              </w:rPr>
              <w:t>2017</w:t>
            </w:r>
          </w:p>
        </w:tc>
        <w:tc>
          <w:tcPr>
            <w:tcW w:w="1415" w:type="dxa"/>
            <w:gridSpan w:val="2"/>
            <w:tcBorders>
              <w:top w:val="nil"/>
              <w:left w:val="nil"/>
              <w:bottom w:val="single" w:sz="4" w:space="0" w:color="auto"/>
              <w:right w:val="single" w:sz="4" w:space="0" w:color="auto"/>
            </w:tcBorders>
            <w:shd w:val="clear" w:color="auto" w:fill="auto"/>
            <w:vAlign w:val="bottom"/>
          </w:tcPr>
          <w:p w14:paraId="1A25B145" w14:textId="77777777" w:rsidR="00620422" w:rsidRPr="008204CC" w:rsidRDefault="00620422" w:rsidP="0066301C">
            <w:pPr>
              <w:spacing w:after="0" w:line="240" w:lineRule="auto"/>
              <w:jc w:val="right"/>
              <w:rPr>
                <w:rFonts w:ascii="Arial" w:eastAsia="Times New Roman" w:hAnsi="Arial" w:cs="Arial"/>
                <w:color w:val="000000"/>
                <w:sz w:val="18"/>
                <w:szCs w:val="18"/>
                <w:lang w:eastAsia="en-GB"/>
              </w:rPr>
            </w:pPr>
            <w:r w:rsidRPr="008204CC">
              <w:rPr>
                <w:rFonts w:ascii="Arial" w:eastAsia="Times New Roman" w:hAnsi="Arial" w:cs="Arial"/>
                <w:color w:val="000000"/>
                <w:sz w:val="18"/>
                <w:szCs w:val="18"/>
                <w:lang w:eastAsia="en-GB"/>
              </w:rPr>
              <w:t>123.3544</w:t>
            </w:r>
          </w:p>
        </w:tc>
        <w:tc>
          <w:tcPr>
            <w:tcW w:w="1559" w:type="dxa"/>
            <w:gridSpan w:val="2"/>
            <w:tcBorders>
              <w:top w:val="nil"/>
              <w:left w:val="nil"/>
              <w:bottom w:val="single" w:sz="4" w:space="0" w:color="auto"/>
              <w:right w:val="single" w:sz="4" w:space="0" w:color="auto"/>
            </w:tcBorders>
            <w:shd w:val="clear" w:color="auto" w:fill="auto"/>
            <w:vAlign w:val="bottom"/>
          </w:tcPr>
          <w:p w14:paraId="330E730B" w14:textId="77777777" w:rsidR="00620422" w:rsidRPr="008204CC" w:rsidRDefault="00620422" w:rsidP="0066301C">
            <w:pPr>
              <w:spacing w:after="0" w:line="240" w:lineRule="auto"/>
              <w:jc w:val="right"/>
              <w:rPr>
                <w:rFonts w:ascii="Arial" w:eastAsia="Times New Roman" w:hAnsi="Arial" w:cs="Arial"/>
                <w:color w:val="000000"/>
                <w:sz w:val="18"/>
                <w:szCs w:val="18"/>
                <w:lang w:eastAsia="en-GB"/>
              </w:rPr>
            </w:pPr>
            <w:r w:rsidRPr="008204CC">
              <w:rPr>
                <w:rFonts w:ascii="Arial" w:eastAsia="Times New Roman" w:hAnsi="Arial" w:cs="Arial"/>
                <w:color w:val="000000"/>
                <w:sz w:val="18"/>
                <w:szCs w:val="18"/>
                <w:lang w:eastAsia="en-GB"/>
              </w:rPr>
              <w:t>121.8378</w:t>
            </w:r>
          </w:p>
        </w:tc>
        <w:tc>
          <w:tcPr>
            <w:tcW w:w="2122" w:type="dxa"/>
            <w:gridSpan w:val="2"/>
            <w:tcBorders>
              <w:top w:val="nil"/>
              <w:left w:val="nil"/>
              <w:bottom w:val="single" w:sz="4" w:space="0" w:color="auto"/>
              <w:right w:val="single" w:sz="4" w:space="0" w:color="auto"/>
            </w:tcBorders>
            <w:shd w:val="clear" w:color="auto" w:fill="auto"/>
            <w:vAlign w:val="bottom"/>
          </w:tcPr>
          <w:p w14:paraId="4C6031B4" w14:textId="77777777" w:rsidR="00620422" w:rsidRPr="008204CC" w:rsidRDefault="00620422" w:rsidP="0066301C">
            <w:pPr>
              <w:spacing w:after="0" w:line="240" w:lineRule="auto"/>
              <w:jc w:val="right"/>
              <w:rPr>
                <w:rFonts w:ascii="Arial" w:eastAsia="Times New Roman" w:hAnsi="Arial" w:cs="Arial"/>
                <w:color w:val="000000"/>
                <w:sz w:val="18"/>
                <w:szCs w:val="18"/>
                <w:lang w:eastAsia="en-GB"/>
              </w:rPr>
            </w:pPr>
            <w:r w:rsidRPr="008204CC">
              <w:rPr>
                <w:rFonts w:ascii="Arial" w:eastAsia="Times New Roman" w:hAnsi="Arial" w:cs="Arial"/>
                <w:color w:val="000000"/>
                <w:sz w:val="18"/>
                <w:szCs w:val="18"/>
                <w:lang w:eastAsia="en-GB"/>
              </w:rPr>
              <w:t>1.516577</w:t>
            </w:r>
          </w:p>
        </w:tc>
      </w:tr>
      <w:tr w:rsidR="008A6AC3" w:rsidRPr="008204CC" w14:paraId="74FB17E1" w14:textId="77777777" w:rsidTr="00D46B41">
        <w:trPr>
          <w:trHeight w:val="270"/>
        </w:trPr>
        <w:tc>
          <w:tcPr>
            <w:tcW w:w="1135" w:type="dxa"/>
            <w:tcBorders>
              <w:top w:val="nil"/>
              <w:left w:val="single" w:sz="4" w:space="0" w:color="auto"/>
              <w:bottom w:val="single" w:sz="4" w:space="0" w:color="auto"/>
              <w:right w:val="single" w:sz="4" w:space="0" w:color="auto"/>
            </w:tcBorders>
            <w:shd w:val="clear" w:color="auto" w:fill="auto"/>
            <w:noWrap/>
            <w:vAlign w:val="bottom"/>
            <w:hideMark/>
          </w:tcPr>
          <w:p w14:paraId="6FD183BA" w14:textId="77777777" w:rsidR="00620422" w:rsidRPr="008204CC" w:rsidRDefault="00620422" w:rsidP="0066301C">
            <w:pPr>
              <w:spacing w:after="0" w:line="240" w:lineRule="auto"/>
              <w:jc w:val="right"/>
              <w:rPr>
                <w:rFonts w:ascii="Arial" w:eastAsia="Times New Roman" w:hAnsi="Arial" w:cs="Arial"/>
                <w:color w:val="000000"/>
                <w:sz w:val="18"/>
                <w:szCs w:val="18"/>
                <w:lang w:eastAsia="en-GB"/>
              </w:rPr>
            </w:pPr>
            <w:r w:rsidRPr="008204CC">
              <w:rPr>
                <w:rFonts w:ascii="Arial" w:eastAsia="Times New Roman" w:hAnsi="Arial" w:cs="Arial"/>
                <w:color w:val="000000"/>
                <w:sz w:val="18"/>
                <w:szCs w:val="18"/>
                <w:lang w:eastAsia="en-GB"/>
              </w:rPr>
              <w:t>2018</w:t>
            </w:r>
          </w:p>
        </w:tc>
        <w:tc>
          <w:tcPr>
            <w:tcW w:w="1701" w:type="dxa"/>
            <w:tcBorders>
              <w:top w:val="nil"/>
              <w:left w:val="nil"/>
              <w:bottom w:val="single" w:sz="4" w:space="0" w:color="auto"/>
              <w:right w:val="single" w:sz="4" w:space="0" w:color="auto"/>
            </w:tcBorders>
            <w:shd w:val="clear" w:color="auto" w:fill="auto"/>
            <w:noWrap/>
            <w:vAlign w:val="bottom"/>
            <w:hideMark/>
          </w:tcPr>
          <w:p w14:paraId="53B77499" w14:textId="77777777" w:rsidR="00620422" w:rsidRPr="008204CC" w:rsidRDefault="00620422" w:rsidP="0066301C">
            <w:pPr>
              <w:spacing w:after="0" w:line="240" w:lineRule="auto"/>
              <w:jc w:val="right"/>
              <w:rPr>
                <w:rFonts w:ascii="Arial" w:eastAsia="Times New Roman" w:hAnsi="Arial" w:cs="Arial"/>
                <w:color w:val="000000"/>
                <w:sz w:val="18"/>
                <w:szCs w:val="18"/>
                <w:lang w:eastAsia="en-GB"/>
              </w:rPr>
            </w:pPr>
            <w:r w:rsidRPr="008204CC">
              <w:rPr>
                <w:rFonts w:ascii="Arial" w:eastAsia="Times New Roman" w:hAnsi="Arial" w:cs="Arial"/>
                <w:color w:val="000000"/>
                <w:sz w:val="18"/>
                <w:szCs w:val="18"/>
                <w:lang w:eastAsia="en-GB"/>
              </w:rPr>
              <w:t>98.02705231</w:t>
            </w:r>
          </w:p>
        </w:tc>
        <w:tc>
          <w:tcPr>
            <w:tcW w:w="1701" w:type="dxa"/>
            <w:tcBorders>
              <w:top w:val="nil"/>
              <w:left w:val="nil"/>
              <w:bottom w:val="single" w:sz="4" w:space="0" w:color="auto"/>
              <w:right w:val="single" w:sz="4" w:space="0" w:color="auto"/>
            </w:tcBorders>
            <w:shd w:val="clear" w:color="auto" w:fill="auto"/>
            <w:noWrap/>
            <w:vAlign w:val="bottom"/>
            <w:hideMark/>
          </w:tcPr>
          <w:p w14:paraId="4000FF81" w14:textId="77777777" w:rsidR="00620422" w:rsidRPr="008204CC" w:rsidRDefault="00620422" w:rsidP="0066301C">
            <w:pPr>
              <w:spacing w:after="0" w:line="240" w:lineRule="auto"/>
              <w:jc w:val="right"/>
              <w:rPr>
                <w:rFonts w:ascii="Arial" w:eastAsia="Times New Roman" w:hAnsi="Arial" w:cs="Arial"/>
                <w:color w:val="000000"/>
                <w:sz w:val="18"/>
                <w:szCs w:val="18"/>
                <w:lang w:eastAsia="en-GB"/>
              </w:rPr>
            </w:pPr>
            <w:r w:rsidRPr="008204CC">
              <w:rPr>
                <w:rFonts w:ascii="Arial" w:eastAsia="Times New Roman" w:hAnsi="Arial" w:cs="Arial"/>
                <w:color w:val="000000"/>
                <w:sz w:val="18"/>
                <w:szCs w:val="18"/>
                <w:lang w:eastAsia="en-GB"/>
              </w:rPr>
              <w:t>96.1720575</w:t>
            </w:r>
          </w:p>
        </w:tc>
        <w:tc>
          <w:tcPr>
            <w:tcW w:w="1984" w:type="dxa"/>
            <w:tcBorders>
              <w:top w:val="nil"/>
              <w:left w:val="nil"/>
              <w:bottom w:val="single" w:sz="4" w:space="0" w:color="auto"/>
              <w:right w:val="single" w:sz="4" w:space="0" w:color="auto"/>
            </w:tcBorders>
            <w:shd w:val="clear" w:color="auto" w:fill="auto"/>
            <w:noWrap/>
            <w:vAlign w:val="bottom"/>
            <w:hideMark/>
          </w:tcPr>
          <w:p w14:paraId="0156BD40" w14:textId="77777777" w:rsidR="00620422" w:rsidRPr="008204CC" w:rsidRDefault="00620422" w:rsidP="0066301C">
            <w:pPr>
              <w:spacing w:after="0" w:line="240" w:lineRule="auto"/>
              <w:jc w:val="right"/>
              <w:rPr>
                <w:rFonts w:ascii="Arial" w:eastAsia="Times New Roman" w:hAnsi="Arial" w:cs="Arial"/>
                <w:sz w:val="18"/>
                <w:szCs w:val="18"/>
                <w:lang w:eastAsia="en-GB"/>
              </w:rPr>
            </w:pPr>
            <w:r w:rsidRPr="008204CC">
              <w:rPr>
                <w:rFonts w:ascii="Arial" w:eastAsia="Times New Roman" w:hAnsi="Arial" w:cs="Arial"/>
                <w:sz w:val="18"/>
                <w:szCs w:val="18"/>
                <w:lang w:eastAsia="en-GB"/>
              </w:rPr>
              <w:t>1.854995</w:t>
            </w:r>
          </w:p>
        </w:tc>
        <w:tc>
          <w:tcPr>
            <w:tcW w:w="709" w:type="dxa"/>
            <w:vMerge/>
            <w:tcBorders>
              <w:left w:val="nil"/>
              <w:bottom w:val="single" w:sz="4" w:space="0" w:color="auto"/>
              <w:right w:val="single" w:sz="4" w:space="0" w:color="auto"/>
            </w:tcBorders>
          </w:tcPr>
          <w:p w14:paraId="77A6FB5E" w14:textId="77777777" w:rsidR="00620422" w:rsidRPr="008204CC" w:rsidRDefault="00620422" w:rsidP="0066301C">
            <w:pPr>
              <w:spacing w:after="0" w:line="240" w:lineRule="auto"/>
              <w:jc w:val="right"/>
              <w:rPr>
                <w:rFonts w:ascii="Arial" w:eastAsia="Times New Roman" w:hAnsi="Arial" w:cs="Arial"/>
                <w:sz w:val="18"/>
                <w:szCs w:val="18"/>
                <w:lang w:eastAsia="en-GB"/>
              </w:rPr>
            </w:pPr>
          </w:p>
        </w:tc>
        <w:tc>
          <w:tcPr>
            <w:tcW w:w="999" w:type="dxa"/>
            <w:gridSpan w:val="2"/>
            <w:tcBorders>
              <w:top w:val="nil"/>
              <w:left w:val="single" w:sz="4" w:space="0" w:color="auto"/>
              <w:bottom w:val="single" w:sz="4" w:space="0" w:color="auto"/>
              <w:right w:val="single" w:sz="4" w:space="0" w:color="auto"/>
            </w:tcBorders>
            <w:shd w:val="clear" w:color="auto" w:fill="auto"/>
            <w:vAlign w:val="bottom"/>
          </w:tcPr>
          <w:p w14:paraId="5C062B0D" w14:textId="77777777" w:rsidR="00620422" w:rsidRPr="008204CC" w:rsidRDefault="00620422" w:rsidP="0066301C">
            <w:pPr>
              <w:spacing w:after="0" w:line="240" w:lineRule="auto"/>
              <w:jc w:val="right"/>
              <w:rPr>
                <w:rFonts w:ascii="Arial" w:eastAsia="Times New Roman" w:hAnsi="Arial" w:cs="Arial"/>
                <w:color w:val="000000"/>
                <w:sz w:val="18"/>
                <w:szCs w:val="18"/>
                <w:lang w:eastAsia="en-GB"/>
              </w:rPr>
            </w:pPr>
            <w:r w:rsidRPr="008204CC">
              <w:rPr>
                <w:rFonts w:ascii="Arial" w:eastAsia="Times New Roman" w:hAnsi="Arial" w:cs="Arial"/>
                <w:color w:val="000000"/>
                <w:sz w:val="18"/>
                <w:szCs w:val="18"/>
                <w:lang w:eastAsia="en-GB"/>
              </w:rPr>
              <w:t>2018</w:t>
            </w:r>
          </w:p>
        </w:tc>
        <w:tc>
          <w:tcPr>
            <w:tcW w:w="1415" w:type="dxa"/>
            <w:gridSpan w:val="2"/>
            <w:tcBorders>
              <w:top w:val="nil"/>
              <w:left w:val="nil"/>
              <w:bottom w:val="single" w:sz="4" w:space="0" w:color="auto"/>
              <w:right w:val="single" w:sz="4" w:space="0" w:color="auto"/>
            </w:tcBorders>
            <w:shd w:val="clear" w:color="auto" w:fill="auto"/>
            <w:vAlign w:val="bottom"/>
          </w:tcPr>
          <w:p w14:paraId="73AE784C" w14:textId="77777777" w:rsidR="00620422" w:rsidRPr="008204CC" w:rsidRDefault="00620422" w:rsidP="0066301C">
            <w:pPr>
              <w:spacing w:after="0" w:line="240" w:lineRule="auto"/>
              <w:jc w:val="right"/>
              <w:rPr>
                <w:rFonts w:ascii="Arial" w:eastAsia="Times New Roman" w:hAnsi="Arial" w:cs="Arial"/>
                <w:color w:val="000000"/>
                <w:sz w:val="18"/>
                <w:szCs w:val="18"/>
                <w:lang w:eastAsia="en-GB"/>
              </w:rPr>
            </w:pPr>
            <w:r w:rsidRPr="008204CC">
              <w:rPr>
                <w:rFonts w:ascii="Arial" w:eastAsia="Times New Roman" w:hAnsi="Arial" w:cs="Arial"/>
                <w:color w:val="000000"/>
                <w:sz w:val="18"/>
                <w:szCs w:val="18"/>
                <w:lang w:eastAsia="en-GB"/>
              </w:rPr>
              <w:t>129.0643</w:t>
            </w:r>
          </w:p>
        </w:tc>
        <w:tc>
          <w:tcPr>
            <w:tcW w:w="1559" w:type="dxa"/>
            <w:gridSpan w:val="2"/>
            <w:tcBorders>
              <w:top w:val="nil"/>
              <w:left w:val="nil"/>
              <w:bottom w:val="single" w:sz="4" w:space="0" w:color="auto"/>
              <w:right w:val="single" w:sz="4" w:space="0" w:color="auto"/>
            </w:tcBorders>
            <w:shd w:val="clear" w:color="auto" w:fill="auto"/>
            <w:vAlign w:val="bottom"/>
          </w:tcPr>
          <w:p w14:paraId="0749EF01" w14:textId="77777777" w:rsidR="00620422" w:rsidRPr="008204CC" w:rsidRDefault="00620422" w:rsidP="0066301C">
            <w:pPr>
              <w:spacing w:after="0" w:line="240" w:lineRule="auto"/>
              <w:jc w:val="right"/>
              <w:rPr>
                <w:rFonts w:ascii="Arial" w:eastAsia="Times New Roman" w:hAnsi="Arial" w:cs="Arial"/>
                <w:color w:val="000000"/>
                <w:sz w:val="18"/>
                <w:szCs w:val="18"/>
                <w:lang w:eastAsia="en-GB"/>
              </w:rPr>
            </w:pPr>
            <w:r w:rsidRPr="008204CC">
              <w:rPr>
                <w:rFonts w:ascii="Arial" w:eastAsia="Times New Roman" w:hAnsi="Arial" w:cs="Arial"/>
                <w:color w:val="000000"/>
                <w:sz w:val="18"/>
                <w:szCs w:val="18"/>
                <w:lang w:eastAsia="en-GB"/>
              </w:rPr>
              <w:t>125.3352</w:t>
            </w:r>
          </w:p>
        </w:tc>
        <w:tc>
          <w:tcPr>
            <w:tcW w:w="2122" w:type="dxa"/>
            <w:gridSpan w:val="2"/>
            <w:tcBorders>
              <w:top w:val="nil"/>
              <w:left w:val="nil"/>
              <w:bottom w:val="single" w:sz="4" w:space="0" w:color="auto"/>
              <w:right w:val="single" w:sz="4" w:space="0" w:color="auto"/>
            </w:tcBorders>
            <w:shd w:val="clear" w:color="auto" w:fill="auto"/>
            <w:vAlign w:val="bottom"/>
          </w:tcPr>
          <w:p w14:paraId="3A62A25A" w14:textId="77777777" w:rsidR="00620422" w:rsidRPr="008204CC" w:rsidRDefault="00620422" w:rsidP="0066301C">
            <w:pPr>
              <w:spacing w:after="0" w:line="240" w:lineRule="auto"/>
              <w:jc w:val="right"/>
              <w:rPr>
                <w:rFonts w:ascii="Arial" w:eastAsia="Times New Roman" w:hAnsi="Arial" w:cs="Arial"/>
                <w:color w:val="000000"/>
                <w:sz w:val="18"/>
                <w:szCs w:val="18"/>
                <w:lang w:eastAsia="en-GB"/>
              </w:rPr>
            </w:pPr>
            <w:r w:rsidRPr="008204CC">
              <w:rPr>
                <w:rFonts w:ascii="Arial" w:eastAsia="Times New Roman" w:hAnsi="Arial" w:cs="Arial"/>
                <w:color w:val="000000"/>
                <w:sz w:val="18"/>
                <w:szCs w:val="18"/>
                <w:lang w:eastAsia="en-GB"/>
              </w:rPr>
              <w:t>3.729115</w:t>
            </w:r>
          </w:p>
        </w:tc>
      </w:tr>
      <w:tr w:rsidR="009D6DC9" w:rsidRPr="008204CC" w14:paraId="491FAF09" w14:textId="77777777" w:rsidTr="00D46B41">
        <w:trPr>
          <w:trHeight w:val="300"/>
        </w:trPr>
        <w:tc>
          <w:tcPr>
            <w:tcW w:w="6521" w:type="dxa"/>
            <w:gridSpan w:val="4"/>
            <w:tcBorders>
              <w:top w:val="single" w:sz="4" w:space="0" w:color="auto"/>
              <w:left w:val="single" w:sz="4" w:space="0" w:color="auto"/>
              <w:bottom w:val="single" w:sz="4" w:space="0" w:color="auto"/>
              <w:right w:val="single" w:sz="4" w:space="0" w:color="auto"/>
            </w:tcBorders>
            <w:shd w:val="clear" w:color="auto" w:fill="E7E6E6" w:themeFill="background2"/>
            <w:noWrap/>
            <w:vAlign w:val="bottom"/>
          </w:tcPr>
          <w:p w14:paraId="5FD013FD" w14:textId="77777777" w:rsidR="00620422" w:rsidRPr="008204CC" w:rsidRDefault="00620422" w:rsidP="0066301C">
            <w:pPr>
              <w:spacing w:after="0" w:line="240" w:lineRule="auto"/>
              <w:jc w:val="center"/>
              <w:rPr>
                <w:rFonts w:ascii="Arial" w:hAnsi="Arial" w:cs="Arial"/>
                <w:b/>
                <w:sz w:val="18"/>
                <w:szCs w:val="18"/>
              </w:rPr>
            </w:pPr>
            <w:r w:rsidRPr="008204CC">
              <w:rPr>
                <w:rFonts w:ascii="Arial" w:hAnsi="Arial" w:cs="Arial"/>
                <w:b/>
                <w:sz w:val="18"/>
                <w:szCs w:val="18"/>
              </w:rPr>
              <w:t>Gabon</w:t>
            </w:r>
          </w:p>
        </w:tc>
        <w:tc>
          <w:tcPr>
            <w:tcW w:w="709" w:type="dxa"/>
            <w:vMerge w:val="restart"/>
            <w:tcBorders>
              <w:top w:val="single" w:sz="4" w:space="0" w:color="auto"/>
              <w:left w:val="nil"/>
              <w:right w:val="single" w:sz="4" w:space="0" w:color="auto"/>
            </w:tcBorders>
          </w:tcPr>
          <w:p w14:paraId="4C9BB77D" w14:textId="77777777" w:rsidR="00620422" w:rsidRPr="008204CC" w:rsidRDefault="00620422" w:rsidP="0066301C">
            <w:pPr>
              <w:spacing w:after="0" w:line="240" w:lineRule="auto"/>
              <w:rPr>
                <w:rFonts w:ascii="Arial" w:eastAsia="Times New Roman" w:hAnsi="Arial" w:cs="Arial"/>
                <w:color w:val="000000"/>
                <w:sz w:val="18"/>
                <w:szCs w:val="18"/>
                <w:lang w:eastAsia="en-GB"/>
              </w:rPr>
            </w:pPr>
          </w:p>
        </w:tc>
        <w:tc>
          <w:tcPr>
            <w:tcW w:w="6095" w:type="dxa"/>
            <w:gridSpan w:val="8"/>
            <w:tcBorders>
              <w:top w:val="single" w:sz="4" w:space="0" w:color="auto"/>
              <w:left w:val="single" w:sz="4" w:space="0" w:color="auto"/>
              <w:bottom w:val="single" w:sz="4" w:space="0" w:color="auto"/>
              <w:right w:val="single" w:sz="4" w:space="0" w:color="auto"/>
            </w:tcBorders>
            <w:shd w:val="clear" w:color="auto" w:fill="E7E6E6" w:themeFill="background2"/>
            <w:vAlign w:val="bottom"/>
          </w:tcPr>
          <w:p w14:paraId="0CDB0371" w14:textId="77777777" w:rsidR="00620422" w:rsidRPr="008204CC" w:rsidRDefault="00620422" w:rsidP="0066301C">
            <w:pPr>
              <w:spacing w:after="0" w:line="240" w:lineRule="auto"/>
              <w:jc w:val="center"/>
              <w:rPr>
                <w:rFonts w:ascii="Arial" w:eastAsia="Times New Roman" w:hAnsi="Arial" w:cs="Arial"/>
                <w:color w:val="000000"/>
                <w:sz w:val="18"/>
                <w:szCs w:val="18"/>
                <w:lang w:eastAsia="en-GB"/>
              </w:rPr>
            </w:pPr>
            <w:r w:rsidRPr="008204CC">
              <w:rPr>
                <w:rFonts w:ascii="Arial" w:hAnsi="Arial" w:cs="Arial"/>
                <w:b/>
                <w:sz w:val="18"/>
                <w:szCs w:val="18"/>
              </w:rPr>
              <w:t>Equatorial Guinea</w:t>
            </w:r>
          </w:p>
        </w:tc>
      </w:tr>
      <w:tr w:rsidR="009D6DC9" w:rsidRPr="008204CC" w14:paraId="793B1E40" w14:textId="77777777" w:rsidTr="00D46B41">
        <w:trPr>
          <w:trHeight w:val="300"/>
        </w:trPr>
        <w:tc>
          <w:tcPr>
            <w:tcW w:w="1135" w:type="dxa"/>
            <w:tcBorders>
              <w:top w:val="single" w:sz="4" w:space="0" w:color="auto"/>
              <w:left w:val="single" w:sz="4" w:space="0" w:color="auto"/>
              <w:bottom w:val="single" w:sz="4" w:space="0" w:color="auto"/>
              <w:right w:val="single" w:sz="4" w:space="0" w:color="auto"/>
            </w:tcBorders>
            <w:shd w:val="clear" w:color="auto" w:fill="auto"/>
            <w:noWrap/>
            <w:vAlign w:val="bottom"/>
            <w:hideMark/>
          </w:tcPr>
          <w:p w14:paraId="5F8AD3D2" w14:textId="77777777" w:rsidR="00620422" w:rsidRPr="008204CC" w:rsidRDefault="00620422" w:rsidP="0066301C">
            <w:pPr>
              <w:spacing w:after="0" w:line="240" w:lineRule="auto"/>
              <w:rPr>
                <w:rFonts w:ascii="Arial" w:eastAsia="Times New Roman" w:hAnsi="Arial" w:cs="Arial"/>
                <w:color w:val="000000"/>
                <w:sz w:val="18"/>
                <w:szCs w:val="18"/>
                <w:lang w:eastAsia="en-GB"/>
              </w:rPr>
            </w:pPr>
            <w:r w:rsidRPr="008204CC">
              <w:rPr>
                <w:rFonts w:ascii="Arial" w:eastAsia="Times New Roman" w:hAnsi="Arial" w:cs="Arial"/>
                <w:color w:val="000000"/>
                <w:sz w:val="18"/>
                <w:szCs w:val="18"/>
                <w:lang w:eastAsia="en-GB"/>
              </w:rPr>
              <w:t>Year</w:t>
            </w:r>
          </w:p>
        </w:tc>
        <w:tc>
          <w:tcPr>
            <w:tcW w:w="1701" w:type="dxa"/>
            <w:tcBorders>
              <w:top w:val="single" w:sz="4" w:space="0" w:color="auto"/>
              <w:left w:val="nil"/>
              <w:bottom w:val="single" w:sz="4" w:space="0" w:color="auto"/>
              <w:right w:val="single" w:sz="4" w:space="0" w:color="auto"/>
            </w:tcBorders>
            <w:shd w:val="clear" w:color="auto" w:fill="auto"/>
            <w:noWrap/>
            <w:vAlign w:val="bottom"/>
            <w:hideMark/>
          </w:tcPr>
          <w:p w14:paraId="6BECFA2D" w14:textId="77777777" w:rsidR="00620422" w:rsidRPr="008204CC" w:rsidRDefault="00620422" w:rsidP="0066301C">
            <w:pPr>
              <w:spacing w:after="0" w:line="240" w:lineRule="auto"/>
              <w:rPr>
                <w:rFonts w:ascii="Arial" w:eastAsia="Times New Roman" w:hAnsi="Arial" w:cs="Arial"/>
                <w:color w:val="000000"/>
                <w:sz w:val="18"/>
                <w:szCs w:val="18"/>
                <w:lang w:eastAsia="en-GB"/>
              </w:rPr>
            </w:pPr>
            <w:r w:rsidRPr="008204CC">
              <w:rPr>
                <w:rFonts w:ascii="Arial" w:eastAsia="Times New Roman" w:hAnsi="Arial" w:cs="Arial"/>
                <w:color w:val="000000"/>
                <w:sz w:val="18"/>
                <w:szCs w:val="18"/>
                <w:lang w:eastAsia="en-GB"/>
              </w:rPr>
              <w:t>REER</w:t>
            </w:r>
          </w:p>
        </w:tc>
        <w:tc>
          <w:tcPr>
            <w:tcW w:w="1701" w:type="dxa"/>
            <w:tcBorders>
              <w:top w:val="single" w:sz="4" w:space="0" w:color="auto"/>
              <w:left w:val="nil"/>
              <w:bottom w:val="single" w:sz="4" w:space="0" w:color="auto"/>
              <w:right w:val="single" w:sz="4" w:space="0" w:color="auto"/>
            </w:tcBorders>
            <w:shd w:val="clear" w:color="auto" w:fill="auto"/>
            <w:noWrap/>
            <w:vAlign w:val="bottom"/>
            <w:hideMark/>
          </w:tcPr>
          <w:p w14:paraId="7D4676D9" w14:textId="77777777" w:rsidR="00620422" w:rsidRPr="008204CC" w:rsidRDefault="00620422" w:rsidP="0066301C">
            <w:pPr>
              <w:spacing w:after="0" w:line="240" w:lineRule="auto"/>
              <w:rPr>
                <w:rFonts w:ascii="Arial" w:eastAsia="Times New Roman" w:hAnsi="Arial" w:cs="Arial"/>
                <w:color w:val="000000"/>
                <w:sz w:val="18"/>
                <w:szCs w:val="18"/>
                <w:lang w:eastAsia="en-GB"/>
              </w:rPr>
            </w:pPr>
            <w:r w:rsidRPr="008204CC">
              <w:rPr>
                <w:rFonts w:ascii="Arial" w:eastAsia="Times New Roman" w:hAnsi="Arial" w:cs="Arial"/>
                <w:color w:val="000000"/>
                <w:sz w:val="18"/>
                <w:szCs w:val="18"/>
                <w:lang w:eastAsia="en-GB"/>
              </w:rPr>
              <w:t>BEER</w:t>
            </w:r>
          </w:p>
        </w:tc>
        <w:tc>
          <w:tcPr>
            <w:tcW w:w="1984" w:type="dxa"/>
            <w:tcBorders>
              <w:top w:val="single" w:sz="4" w:space="0" w:color="auto"/>
              <w:left w:val="nil"/>
              <w:bottom w:val="single" w:sz="4" w:space="0" w:color="auto"/>
              <w:right w:val="single" w:sz="4" w:space="0" w:color="auto"/>
            </w:tcBorders>
            <w:shd w:val="clear" w:color="auto" w:fill="auto"/>
            <w:noWrap/>
            <w:vAlign w:val="bottom"/>
            <w:hideMark/>
          </w:tcPr>
          <w:p w14:paraId="134A4F42" w14:textId="77777777" w:rsidR="00620422" w:rsidRPr="008204CC" w:rsidRDefault="00620422" w:rsidP="0066301C">
            <w:pPr>
              <w:spacing w:after="0" w:line="240" w:lineRule="auto"/>
              <w:rPr>
                <w:rFonts w:ascii="Arial" w:eastAsia="Times New Roman" w:hAnsi="Arial" w:cs="Arial"/>
                <w:color w:val="000000"/>
                <w:sz w:val="18"/>
                <w:szCs w:val="18"/>
                <w:lang w:eastAsia="en-GB"/>
              </w:rPr>
            </w:pPr>
            <w:r w:rsidRPr="008204CC">
              <w:rPr>
                <w:rFonts w:ascii="Arial" w:eastAsia="Times New Roman" w:hAnsi="Arial" w:cs="Arial"/>
                <w:color w:val="000000"/>
                <w:sz w:val="18"/>
                <w:szCs w:val="18"/>
                <w:lang w:eastAsia="en-GB"/>
              </w:rPr>
              <w:t>MISALIGNMENT</w:t>
            </w:r>
            <w:r>
              <w:rPr>
                <w:rFonts w:ascii="Arial" w:eastAsia="Times New Roman" w:hAnsi="Arial" w:cs="Arial"/>
                <w:color w:val="000000"/>
                <w:sz w:val="18"/>
                <w:szCs w:val="18"/>
                <w:lang w:eastAsia="en-GB"/>
              </w:rPr>
              <w:t xml:space="preserve"> (%)</w:t>
            </w:r>
          </w:p>
        </w:tc>
        <w:tc>
          <w:tcPr>
            <w:tcW w:w="709" w:type="dxa"/>
            <w:vMerge/>
            <w:tcBorders>
              <w:left w:val="nil"/>
              <w:right w:val="single" w:sz="4" w:space="0" w:color="auto"/>
            </w:tcBorders>
          </w:tcPr>
          <w:p w14:paraId="24CF4429" w14:textId="77777777" w:rsidR="00620422" w:rsidRPr="008204CC" w:rsidRDefault="00620422" w:rsidP="0066301C">
            <w:pPr>
              <w:spacing w:after="0" w:line="240" w:lineRule="auto"/>
              <w:rPr>
                <w:rFonts w:ascii="Arial" w:eastAsia="Times New Roman" w:hAnsi="Arial" w:cs="Arial"/>
                <w:color w:val="000000"/>
                <w:sz w:val="18"/>
                <w:szCs w:val="18"/>
                <w:lang w:eastAsia="en-GB"/>
              </w:rPr>
            </w:pPr>
          </w:p>
        </w:tc>
        <w:tc>
          <w:tcPr>
            <w:tcW w:w="999" w:type="dxa"/>
            <w:gridSpan w:val="2"/>
            <w:tcBorders>
              <w:top w:val="single" w:sz="4" w:space="0" w:color="auto"/>
              <w:left w:val="single" w:sz="4" w:space="0" w:color="auto"/>
              <w:bottom w:val="single" w:sz="4" w:space="0" w:color="auto"/>
              <w:right w:val="single" w:sz="4" w:space="0" w:color="auto"/>
            </w:tcBorders>
            <w:shd w:val="clear" w:color="auto" w:fill="auto"/>
            <w:vAlign w:val="bottom"/>
          </w:tcPr>
          <w:p w14:paraId="3E76A0AD" w14:textId="77777777" w:rsidR="00620422" w:rsidRPr="008204CC" w:rsidRDefault="00620422" w:rsidP="0066301C">
            <w:pPr>
              <w:spacing w:after="0" w:line="240" w:lineRule="auto"/>
              <w:jc w:val="center"/>
              <w:rPr>
                <w:rFonts w:ascii="Arial" w:eastAsia="Times New Roman" w:hAnsi="Arial" w:cs="Arial"/>
                <w:color w:val="000000"/>
                <w:sz w:val="18"/>
                <w:szCs w:val="18"/>
                <w:lang w:eastAsia="en-GB"/>
              </w:rPr>
            </w:pPr>
            <w:r w:rsidRPr="008204CC">
              <w:rPr>
                <w:rFonts w:ascii="Arial" w:eastAsia="Times New Roman" w:hAnsi="Arial" w:cs="Arial"/>
                <w:color w:val="000000"/>
                <w:sz w:val="18"/>
                <w:szCs w:val="18"/>
                <w:lang w:eastAsia="en-GB"/>
              </w:rPr>
              <w:t>Year</w:t>
            </w:r>
          </w:p>
        </w:tc>
        <w:tc>
          <w:tcPr>
            <w:tcW w:w="1415" w:type="dxa"/>
            <w:gridSpan w:val="2"/>
            <w:tcBorders>
              <w:top w:val="single" w:sz="4" w:space="0" w:color="auto"/>
              <w:left w:val="nil"/>
              <w:bottom w:val="single" w:sz="4" w:space="0" w:color="auto"/>
              <w:right w:val="single" w:sz="4" w:space="0" w:color="auto"/>
            </w:tcBorders>
            <w:shd w:val="clear" w:color="auto" w:fill="auto"/>
            <w:vAlign w:val="bottom"/>
          </w:tcPr>
          <w:p w14:paraId="67FEE722" w14:textId="77777777" w:rsidR="00620422" w:rsidRPr="008204CC" w:rsidRDefault="00620422" w:rsidP="0066301C">
            <w:pPr>
              <w:spacing w:after="0" w:line="240" w:lineRule="auto"/>
              <w:rPr>
                <w:rFonts w:ascii="Arial" w:eastAsia="Times New Roman" w:hAnsi="Arial" w:cs="Arial"/>
                <w:color w:val="000000"/>
                <w:sz w:val="18"/>
                <w:szCs w:val="18"/>
                <w:lang w:eastAsia="en-GB"/>
              </w:rPr>
            </w:pPr>
            <w:r w:rsidRPr="008204CC">
              <w:rPr>
                <w:rFonts w:ascii="Arial" w:eastAsia="Times New Roman" w:hAnsi="Arial" w:cs="Arial"/>
                <w:color w:val="000000"/>
                <w:sz w:val="18"/>
                <w:szCs w:val="18"/>
                <w:lang w:eastAsia="en-GB"/>
              </w:rPr>
              <w:t>REER</w:t>
            </w:r>
          </w:p>
        </w:tc>
        <w:tc>
          <w:tcPr>
            <w:tcW w:w="1559" w:type="dxa"/>
            <w:gridSpan w:val="2"/>
            <w:tcBorders>
              <w:top w:val="single" w:sz="4" w:space="0" w:color="auto"/>
              <w:left w:val="nil"/>
              <w:bottom w:val="single" w:sz="4" w:space="0" w:color="auto"/>
              <w:right w:val="single" w:sz="4" w:space="0" w:color="auto"/>
            </w:tcBorders>
            <w:shd w:val="clear" w:color="auto" w:fill="auto"/>
            <w:vAlign w:val="bottom"/>
          </w:tcPr>
          <w:p w14:paraId="38F5FED6" w14:textId="77777777" w:rsidR="00620422" w:rsidRPr="008204CC" w:rsidRDefault="00620422" w:rsidP="0066301C">
            <w:pPr>
              <w:spacing w:after="0" w:line="240" w:lineRule="auto"/>
              <w:rPr>
                <w:rFonts w:ascii="Arial" w:eastAsia="Times New Roman" w:hAnsi="Arial" w:cs="Arial"/>
                <w:sz w:val="18"/>
                <w:szCs w:val="18"/>
                <w:lang w:eastAsia="en-GB"/>
              </w:rPr>
            </w:pPr>
            <w:r w:rsidRPr="008204CC">
              <w:rPr>
                <w:rFonts w:ascii="Arial" w:eastAsia="Times New Roman" w:hAnsi="Arial" w:cs="Arial"/>
                <w:sz w:val="18"/>
                <w:szCs w:val="18"/>
                <w:lang w:eastAsia="en-GB"/>
              </w:rPr>
              <w:t>BEER</w:t>
            </w:r>
          </w:p>
        </w:tc>
        <w:tc>
          <w:tcPr>
            <w:tcW w:w="2122" w:type="dxa"/>
            <w:gridSpan w:val="2"/>
            <w:tcBorders>
              <w:top w:val="single" w:sz="4" w:space="0" w:color="auto"/>
              <w:left w:val="nil"/>
              <w:bottom w:val="single" w:sz="4" w:space="0" w:color="auto"/>
              <w:right w:val="single" w:sz="4" w:space="0" w:color="auto"/>
            </w:tcBorders>
            <w:shd w:val="clear" w:color="auto" w:fill="auto"/>
            <w:vAlign w:val="bottom"/>
          </w:tcPr>
          <w:p w14:paraId="503E1868" w14:textId="77777777" w:rsidR="00620422" w:rsidRPr="008204CC" w:rsidRDefault="00620422" w:rsidP="0066301C">
            <w:pPr>
              <w:spacing w:after="0" w:line="240" w:lineRule="auto"/>
              <w:rPr>
                <w:rFonts w:ascii="Arial" w:eastAsia="Times New Roman" w:hAnsi="Arial" w:cs="Arial"/>
                <w:color w:val="000000"/>
                <w:sz w:val="18"/>
                <w:szCs w:val="18"/>
                <w:lang w:eastAsia="en-GB"/>
              </w:rPr>
            </w:pPr>
            <w:r w:rsidRPr="008204CC">
              <w:rPr>
                <w:rFonts w:ascii="Arial" w:eastAsia="Times New Roman" w:hAnsi="Arial" w:cs="Arial"/>
                <w:color w:val="000000"/>
                <w:sz w:val="18"/>
                <w:szCs w:val="18"/>
                <w:lang w:eastAsia="en-GB"/>
              </w:rPr>
              <w:t>MISALIGNMENT</w:t>
            </w:r>
            <w:r>
              <w:rPr>
                <w:rFonts w:ascii="Arial" w:eastAsia="Times New Roman" w:hAnsi="Arial" w:cs="Arial"/>
                <w:color w:val="000000"/>
                <w:sz w:val="18"/>
                <w:szCs w:val="18"/>
                <w:lang w:eastAsia="en-GB"/>
              </w:rPr>
              <w:t xml:space="preserve"> (%)</w:t>
            </w:r>
          </w:p>
        </w:tc>
      </w:tr>
      <w:tr w:rsidR="008A6AC3" w:rsidRPr="008204CC" w14:paraId="31E2F53A" w14:textId="77777777" w:rsidTr="00D46B41">
        <w:trPr>
          <w:trHeight w:val="300"/>
        </w:trPr>
        <w:tc>
          <w:tcPr>
            <w:tcW w:w="1135" w:type="dxa"/>
            <w:tcBorders>
              <w:top w:val="nil"/>
              <w:left w:val="single" w:sz="4" w:space="0" w:color="auto"/>
              <w:bottom w:val="single" w:sz="4" w:space="0" w:color="auto"/>
              <w:right w:val="single" w:sz="4" w:space="0" w:color="auto"/>
            </w:tcBorders>
            <w:shd w:val="clear" w:color="auto" w:fill="auto"/>
            <w:noWrap/>
            <w:vAlign w:val="bottom"/>
            <w:hideMark/>
          </w:tcPr>
          <w:p w14:paraId="6C048099" w14:textId="77777777" w:rsidR="00620422" w:rsidRPr="008204CC" w:rsidRDefault="00620422" w:rsidP="0066301C">
            <w:pPr>
              <w:spacing w:after="0" w:line="240" w:lineRule="auto"/>
              <w:jc w:val="right"/>
              <w:rPr>
                <w:rFonts w:ascii="Arial" w:eastAsia="Times New Roman" w:hAnsi="Arial" w:cs="Arial"/>
                <w:color w:val="000000"/>
                <w:sz w:val="18"/>
                <w:szCs w:val="18"/>
                <w:lang w:eastAsia="en-GB"/>
              </w:rPr>
            </w:pPr>
            <w:r w:rsidRPr="008204CC">
              <w:rPr>
                <w:rFonts w:ascii="Arial" w:eastAsia="Times New Roman" w:hAnsi="Arial" w:cs="Arial"/>
                <w:color w:val="000000"/>
                <w:sz w:val="18"/>
                <w:szCs w:val="18"/>
                <w:lang w:eastAsia="en-GB"/>
              </w:rPr>
              <w:t>1980</w:t>
            </w:r>
          </w:p>
        </w:tc>
        <w:tc>
          <w:tcPr>
            <w:tcW w:w="1701" w:type="dxa"/>
            <w:tcBorders>
              <w:top w:val="nil"/>
              <w:left w:val="nil"/>
              <w:bottom w:val="single" w:sz="4" w:space="0" w:color="auto"/>
              <w:right w:val="single" w:sz="4" w:space="0" w:color="auto"/>
            </w:tcBorders>
            <w:shd w:val="clear" w:color="auto" w:fill="auto"/>
            <w:noWrap/>
            <w:vAlign w:val="bottom"/>
            <w:hideMark/>
          </w:tcPr>
          <w:p w14:paraId="03C65776" w14:textId="77777777" w:rsidR="00620422" w:rsidRPr="008204CC" w:rsidRDefault="00620422" w:rsidP="0066301C">
            <w:pPr>
              <w:spacing w:after="0" w:line="240" w:lineRule="auto"/>
              <w:jc w:val="right"/>
              <w:rPr>
                <w:rFonts w:ascii="Arial" w:eastAsia="Times New Roman" w:hAnsi="Arial" w:cs="Arial"/>
                <w:color w:val="000000"/>
                <w:sz w:val="18"/>
                <w:szCs w:val="18"/>
                <w:lang w:eastAsia="en-GB"/>
              </w:rPr>
            </w:pPr>
            <w:r w:rsidRPr="008204CC">
              <w:rPr>
                <w:rFonts w:ascii="Arial" w:eastAsia="Times New Roman" w:hAnsi="Arial" w:cs="Arial"/>
                <w:color w:val="000000"/>
                <w:sz w:val="18"/>
                <w:szCs w:val="18"/>
                <w:lang w:eastAsia="en-GB"/>
              </w:rPr>
              <w:t>223.64822</w:t>
            </w:r>
          </w:p>
        </w:tc>
        <w:tc>
          <w:tcPr>
            <w:tcW w:w="1701" w:type="dxa"/>
            <w:tcBorders>
              <w:top w:val="nil"/>
              <w:left w:val="nil"/>
              <w:bottom w:val="single" w:sz="4" w:space="0" w:color="auto"/>
              <w:right w:val="single" w:sz="4" w:space="0" w:color="auto"/>
            </w:tcBorders>
            <w:shd w:val="clear" w:color="auto" w:fill="auto"/>
            <w:noWrap/>
            <w:vAlign w:val="bottom"/>
            <w:hideMark/>
          </w:tcPr>
          <w:p w14:paraId="6B15F04E" w14:textId="77777777" w:rsidR="00620422" w:rsidRPr="008204CC" w:rsidRDefault="00620422" w:rsidP="0066301C">
            <w:pPr>
              <w:spacing w:after="0" w:line="240" w:lineRule="auto"/>
              <w:jc w:val="right"/>
              <w:rPr>
                <w:rFonts w:ascii="Arial" w:eastAsia="Times New Roman" w:hAnsi="Arial" w:cs="Arial"/>
                <w:color w:val="000000"/>
                <w:sz w:val="18"/>
                <w:szCs w:val="18"/>
                <w:lang w:eastAsia="en-GB"/>
              </w:rPr>
            </w:pPr>
            <w:r w:rsidRPr="008204CC">
              <w:rPr>
                <w:rFonts w:ascii="Arial" w:eastAsia="Times New Roman" w:hAnsi="Arial" w:cs="Arial"/>
                <w:color w:val="000000"/>
                <w:sz w:val="18"/>
                <w:szCs w:val="18"/>
                <w:lang w:eastAsia="en-GB"/>
              </w:rPr>
              <w:t>213.9434</w:t>
            </w:r>
          </w:p>
        </w:tc>
        <w:tc>
          <w:tcPr>
            <w:tcW w:w="1984" w:type="dxa"/>
            <w:tcBorders>
              <w:top w:val="nil"/>
              <w:left w:val="nil"/>
              <w:bottom w:val="single" w:sz="4" w:space="0" w:color="auto"/>
              <w:right w:val="single" w:sz="4" w:space="0" w:color="auto"/>
            </w:tcBorders>
            <w:shd w:val="clear" w:color="auto" w:fill="auto"/>
            <w:noWrap/>
            <w:vAlign w:val="bottom"/>
            <w:hideMark/>
          </w:tcPr>
          <w:p w14:paraId="43B0C125" w14:textId="77777777" w:rsidR="00620422" w:rsidRPr="008204CC" w:rsidRDefault="00620422" w:rsidP="0066301C">
            <w:pPr>
              <w:spacing w:after="0" w:line="240" w:lineRule="auto"/>
              <w:jc w:val="right"/>
              <w:rPr>
                <w:rFonts w:ascii="Arial" w:eastAsia="Times New Roman" w:hAnsi="Arial" w:cs="Arial"/>
                <w:color w:val="000000"/>
                <w:sz w:val="18"/>
                <w:szCs w:val="18"/>
                <w:lang w:eastAsia="en-GB"/>
              </w:rPr>
            </w:pPr>
            <w:r w:rsidRPr="008204CC">
              <w:rPr>
                <w:rFonts w:ascii="Arial" w:eastAsia="Times New Roman" w:hAnsi="Arial" w:cs="Arial"/>
                <w:color w:val="000000"/>
                <w:sz w:val="18"/>
                <w:szCs w:val="18"/>
                <w:lang w:eastAsia="en-GB"/>
              </w:rPr>
              <w:t>9.7048123</w:t>
            </w:r>
          </w:p>
        </w:tc>
        <w:tc>
          <w:tcPr>
            <w:tcW w:w="709" w:type="dxa"/>
            <w:vMerge/>
            <w:tcBorders>
              <w:left w:val="nil"/>
              <w:right w:val="single" w:sz="4" w:space="0" w:color="auto"/>
            </w:tcBorders>
          </w:tcPr>
          <w:p w14:paraId="6EEE75FD" w14:textId="77777777" w:rsidR="00620422" w:rsidRPr="008204CC" w:rsidRDefault="00620422" w:rsidP="0066301C">
            <w:pPr>
              <w:spacing w:after="0" w:line="240" w:lineRule="auto"/>
              <w:jc w:val="right"/>
              <w:rPr>
                <w:rFonts w:ascii="Arial" w:eastAsia="Times New Roman" w:hAnsi="Arial" w:cs="Arial"/>
                <w:color w:val="000000"/>
                <w:sz w:val="18"/>
                <w:szCs w:val="18"/>
                <w:lang w:eastAsia="en-GB"/>
              </w:rPr>
            </w:pPr>
          </w:p>
        </w:tc>
        <w:tc>
          <w:tcPr>
            <w:tcW w:w="999" w:type="dxa"/>
            <w:gridSpan w:val="2"/>
            <w:tcBorders>
              <w:top w:val="nil"/>
              <w:left w:val="single" w:sz="4" w:space="0" w:color="auto"/>
              <w:bottom w:val="single" w:sz="4" w:space="0" w:color="auto"/>
              <w:right w:val="single" w:sz="4" w:space="0" w:color="auto"/>
            </w:tcBorders>
            <w:shd w:val="clear" w:color="auto" w:fill="auto"/>
            <w:vAlign w:val="bottom"/>
          </w:tcPr>
          <w:p w14:paraId="4D316B09" w14:textId="77777777" w:rsidR="00620422" w:rsidRPr="008204CC" w:rsidRDefault="00620422" w:rsidP="0066301C">
            <w:pPr>
              <w:spacing w:after="0" w:line="240" w:lineRule="auto"/>
              <w:jc w:val="right"/>
              <w:rPr>
                <w:rFonts w:ascii="Arial" w:eastAsia="Times New Roman" w:hAnsi="Arial" w:cs="Arial"/>
                <w:color w:val="000000"/>
                <w:sz w:val="18"/>
                <w:szCs w:val="18"/>
                <w:lang w:eastAsia="en-GB"/>
              </w:rPr>
            </w:pPr>
            <w:r w:rsidRPr="008204CC">
              <w:rPr>
                <w:rFonts w:ascii="Arial" w:eastAsia="Times New Roman" w:hAnsi="Arial" w:cs="Arial"/>
                <w:color w:val="000000"/>
                <w:sz w:val="18"/>
                <w:szCs w:val="18"/>
                <w:lang w:eastAsia="en-GB"/>
              </w:rPr>
              <w:t>1985</w:t>
            </w:r>
          </w:p>
        </w:tc>
        <w:tc>
          <w:tcPr>
            <w:tcW w:w="1415" w:type="dxa"/>
            <w:gridSpan w:val="2"/>
            <w:tcBorders>
              <w:top w:val="nil"/>
              <w:left w:val="nil"/>
              <w:bottom w:val="single" w:sz="4" w:space="0" w:color="auto"/>
              <w:right w:val="single" w:sz="4" w:space="0" w:color="auto"/>
            </w:tcBorders>
            <w:shd w:val="clear" w:color="auto" w:fill="auto"/>
            <w:vAlign w:val="bottom"/>
          </w:tcPr>
          <w:p w14:paraId="7BE4297C" w14:textId="77777777" w:rsidR="00620422" w:rsidRPr="008204CC" w:rsidRDefault="00620422" w:rsidP="0066301C">
            <w:pPr>
              <w:spacing w:after="0" w:line="240" w:lineRule="auto"/>
              <w:jc w:val="right"/>
              <w:rPr>
                <w:rFonts w:ascii="Arial" w:eastAsia="Times New Roman" w:hAnsi="Arial" w:cs="Arial"/>
                <w:color w:val="000000"/>
                <w:sz w:val="18"/>
                <w:szCs w:val="18"/>
                <w:lang w:eastAsia="en-GB"/>
              </w:rPr>
            </w:pPr>
            <w:r w:rsidRPr="008204CC">
              <w:rPr>
                <w:rFonts w:ascii="Arial" w:eastAsia="Times New Roman" w:hAnsi="Arial" w:cs="Arial"/>
                <w:color w:val="000000"/>
                <w:sz w:val="18"/>
                <w:szCs w:val="18"/>
                <w:lang w:eastAsia="en-GB"/>
              </w:rPr>
              <w:t>125.3748</w:t>
            </w:r>
          </w:p>
        </w:tc>
        <w:tc>
          <w:tcPr>
            <w:tcW w:w="1559" w:type="dxa"/>
            <w:gridSpan w:val="2"/>
            <w:tcBorders>
              <w:top w:val="nil"/>
              <w:left w:val="nil"/>
              <w:bottom w:val="single" w:sz="4" w:space="0" w:color="auto"/>
              <w:right w:val="single" w:sz="4" w:space="0" w:color="auto"/>
            </w:tcBorders>
            <w:shd w:val="clear" w:color="auto" w:fill="auto"/>
            <w:vAlign w:val="bottom"/>
          </w:tcPr>
          <w:p w14:paraId="7B18657E" w14:textId="77777777" w:rsidR="00620422" w:rsidRPr="008204CC" w:rsidRDefault="00620422" w:rsidP="0066301C">
            <w:pPr>
              <w:spacing w:after="0" w:line="240" w:lineRule="auto"/>
              <w:jc w:val="right"/>
              <w:rPr>
                <w:rFonts w:ascii="Arial" w:eastAsia="Times New Roman" w:hAnsi="Arial" w:cs="Arial"/>
                <w:sz w:val="18"/>
                <w:szCs w:val="18"/>
                <w:lang w:eastAsia="en-GB"/>
              </w:rPr>
            </w:pPr>
            <w:r w:rsidRPr="008204CC">
              <w:rPr>
                <w:rFonts w:ascii="Arial" w:eastAsia="Times New Roman" w:hAnsi="Arial" w:cs="Arial"/>
                <w:sz w:val="18"/>
                <w:szCs w:val="18"/>
                <w:lang w:eastAsia="en-GB"/>
              </w:rPr>
              <w:t>110.3505505</w:t>
            </w:r>
          </w:p>
        </w:tc>
        <w:tc>
          <w:tcPr>
            <w:tcW w:w="2122" w:type="dxa"/>
            <w:gridSpan w:val="2"/>
            <w:tcBorders>
              <w:top w:val="nil"/>
              <w:left w:val="nil"/>
              <w:bottom w:val="single" w:sz="4" w:space="0" w:color="auto"/>
              <w:right w:val="single" w:sz="4" w:space="0" w:color="auto"/>
            </w:tcBorders>
            <w:shd w:val="clear" w:color="auto" w:fill="auto"/>
            <w:vAlign w:val="bottom"/>
          </w:tcPr>
          <w:p w14:paraId="71FA7EE4" w14:textId="77777777" w:rsidR="00620422" w:rsidRPr="008204CC" w:rsidRDefault="00620422" w:rsidP="0066301C">
            <w:pPr>
              <w:spacing w:after="0" w:line="240" w:lineRule="auto"/>
              <w:jc w:val="right"/>
              <w:rPr>
                <w:rFonts w:ascii="Arial" w:eastAsia="Times New Roman" w:hAnsi="Arial" w:cs="Arial"/>
                <w:color w:val="000000"/>
                <w:sz w:val="18"/>
                <w:szCs w:val="18"/>
                <w:lang w:eastAsia="en-GB"/>
              </w:rPr>
            </w:pPr>
            <w:r w:rsidRPr="008204CC">
              <w:rPr>
                <w:rFonts w:ascii="Arial" w:eastAsia="Times New Roman" w:hAnsi="Arial" w:cs="Arial"/>
                <w:color w:val="000000"/>
                <w:sz w:val="18"/>
                <w:szCs w:val="18"/>
                <w:lang w:eastAsia="en-GB"/>
              </w:rPr>
              <w:t>15.02427053</w:t>
            </w:r>
          </w:p>
        </w:tc>
      </w:tr>
      <w:tr w:rsidR="008A6AC3" w:rsidRPr="008204CC" w14:paraId="5F795DC8" w14:textId="77777777" w:rsidTr="00D46B41">
        <w:trPr>
          <w:trHeight w:val="300"/>
        </w:trPr>
        <w:tc>
          <w:tcPr>
            <w:tcW w:w="1135" w:type="dxa"/>
            <w:tcBorders>
              <w:top w:val="nil"/>
              <w:left w:val="single" w:sz="4" w:space="0" w:color="auto"/>
              <w:bottom w:val="single" w:sz="4" w:space="0" w:color="auto"/>
              <w:right w:val="single" w:sz="4" w:space="0" w:color="auto"/>
            </w:tcBorders>
            <w:shd w:val="clear" w:color="auto" w:fill="auto"/>
            <w:noWrap/>
            <w:vAlign w:val="bottom"/>
            <w:hideMark/>
          </w:tcPr>
          <w:p w14:paraId="6AE68A69" w14:textId="77777777" w:rsidR="00620422" w:rsidRPr="008204CC" w:rsidRDefault="00620422" w:rsidP="0066301C">
            <w:pPr>
              <w:spacing w:after="0" w:line="240" w:lineRule="auto"/>
              <w:jc w:val="right"/>
              <w:rPr>
                <w:rFonts w:ascii="Arial" w:eastAsia="Times New Roman" w:hAnsi="Arial" w:cs="Arial"/>
                <w:color w:val="000000"/>
                <w:sz w:val="18"/>
                <w:szCs w:val="18"/>
                <w:lang w:eastAsia="en-GB"/>
              </w:rPr>
            </w:pPr>
            <w:r w:rsidRPr="008204CC">
              <w:rPr>
                <w:rFonts w:ascii="Arial" w:eastAsia="Times New Roman" w:hAnsi="Arial" w:cs="Arial"/>
                <w:color w:val="000000"/>
                <w:sz w:val="18"/>
                <w:szCs w:val="18"/>
                <w:lang w:eastAsia="en-GB"/>
              </w:rPr>
              <w:t>1981</w:t>
            </w:r>
          </w:p>
        </w:tc>
        <w:tc>
          <w:tcPr>
            <w:tcW w:w="1701" w:type="dxa"/>
            <w:tcBorders>
              <w:top w:val="nil"/>
              <w:left w:val="nil"/>
              <w:bottom w:val="single" w:sz="4" w:space="0" w:color="auto"/>
              <w:right w:val="single" w:sz="4" w:space="0" w:color="auto"/>
            </w:tcBorders>
            <w:shd w:val="clear" w:color="auto" w:fill="auto"/>
            <w:noWrap/>
            <w:vAlign w:val="bottom"/>
            <w:hideMark/>
          </w:tcPr>
          <w:p w14:paraId="2958BDE8" w14:textId="77777777" w:rsidR="00620422" w:rsidRPr="008204CC" w:rsidRDefault="00620422" w:rsidP="0066301C">
            <w:pPr>
              <w:spacing w:after="0" w:line="240" w:lineRule="auto"/>
              <w:jc w:val="right"/>
              <w:rPr>
                <w:rFonts w:ascii="Arial" w:eastAsia="Times New Roman" w:hAnsi="Arial" w:cs="Arial"/>
                <w:color w:val="000000"/>
                <w:sz w:val="18"/>
                <w:szCs w:val="18"/>
                <w:lang w:eastAsia="en-GB"/>
              </w:rPr>
            </w:pPr>
            <w:r w:rsidRPr="008204CC">
              <w:rPr>
                <w:rFonts w:ascii="Arial" w:eastAsia="Times New Roman" w:hAnsi="Arial" w:cs="Arial"/>
                <w:color w:val="000000"/>
                <w:sz w:val="18"/>
                <w:szCs w:val="18"/>
                <w:lang w:eastAsia="en-GB"/>
              </w:rPr>
              <w:t>199.19001</w:t>
            </w:r>
          </w:p>
        </w:tc>
        <w:tc>
          <w:tcPr>
            <w:tcW w:w="1701" w:type="dxa"/>
            <w:tcBorders>
              <w:top w:val="nil"/>
              <w:left w:val="nil"/>
              <w:bottom w:val="single" w:sz="4" w:space="0" w:color="auto"/>
              <w:right w:val="single" w:sz="4" w:space="0" w:color="auto"/>
            </w:tcBorders>
            <w:shd w:val="clear" w:color="auto" w:fill="auto"/>
            <w:noWrap/>
            <w:vAlign w:val="bottom"/>
            <w:hideMark/>
          </w:tcPr>
          <w:p w14:paraId="4C7A2627" w14:textId="77777777" w:rsidR="00620422" w:rsidRPr="008204CC" w:rsidRDefault="00620422" w:rsidP="0066301C">
            <w:pPr>
              <w:spacing w:after="0" w:line="240" w:lineRule="auto"/>
              <w:jc w:val="right"/>
              <w:rPr>
                <w:rFonts w:ascii="Arial" w:eastAsia="Times New Roman" w:hAnsi="Arial" w:cs="Arial"/>
                <w:color w:val="000000"/>
                <w:sz w:val="18"/>
                <w:szCs w:val="18"/>
                <w:lang w:eastAsia="en-GB"/>
              </w:rPr>
            </w:pPr>
            <w:r w:rsidRPr="008204CC">
              <w:rPr>
                <w:rFonts w:ascii="Arial" w:eastAsia="Times New Roman" w:hAnsi="Arial" w:cs="Arial"/>
                <w:color w:val="000000"/>
                <w:sz w:val="18"/>
                <w:szCs w:val="18"/>
                <w:lang w:eastAsia="en-GB"/>
              </w:rPr>
              <w:t>211.39181</w:t>
            </w:r>
          </w:p>
        </w:tc>
        <w:tc>
          <w:tcPr>
            <w:tcW w:w="1984" w:type="dxa"/>
            <w:tcBorders>
              <w:top w:val="nil"/>
              <w:left w:val="nil"/>
              <w:bottom w:val="single" w:sz="4" w:space="0" w:color="auto"/>
              <w:right w:val="single" w:sz="4" w:space="0" w:color="auto"/>
            </w:tcBorders>
            <w:shd w:val="clear" w:color="auto" w:fill="auto"/>
            <w:noWrap/>
            <w:vAlign w:val="bottom"/>
            <w:hideMark/>
          </w:tcPr>
          <w:p w14:paraId="05167AD7" w14:textId="77777777" w:rsidR="00620422" w:rsidRPr="008204CC" w:rsidRDefault="00620422" w:rsidP="0066301C">
            <w:pPr>
              <w:spacing w:after="0" w:line="240" w:lineRule="auto"/>
              <w:jc w:val="right"/>
              <w:rPr>
                <w:rFonts w:ascii="Arial" w:eastAsia="Times New Roman" w:hAnsi="Arial" w:cs="Arial"/>
                <w:color w:val="000000"/>
                <w:sz w:val="18"/>
                <w:szCs w:val="18"/>
                <w:lang w:eastAsia="en-GB"/>
              </w:rPr>
            </w:pPr>
            <w:r w:rsidRPr="008204CC">
              <w:rPr>
                <w:rFonts w:ascii="Arial" w:eastAsia="Times New Roman" w:hAnsi="Arial" w:cs="Arial"/>
                <w:color w:val="000000"/>
                <w:sz w:val="18"/>
                <w:szCs w:val="18"/>
                <w:lang w:eastAsia="en-GB"/>
              </w:rPr>
              <w:t>-12.201799</w:t>
            </w:r>
          </w:p>
        </w:tc>
        <w:tc>
          <w:tcPr>
            <w:tcW w:w="709" w:type="dxa"/>
            <w:vMerge/>
            <w:tcBorders>
              <w:left w:val="nil"/>
              <w:right w:val="single" w:sz="4" w:space="0" w:color="auto"/>
            </w:tcBorders>
          </w:tcPr>
          <w:p w14:paraId="4A734752" w14:textId="77777777" w:rsidR="00620422" w:rsidRPr="008204CC" w:rsidRDefault="00620422" w:rsidP="0066301C">
            <w:pPr>
              <w:spacing w:after="0" w:line="240" w:lineRule="auto"/>
              <w:jc w:val="right"/>
              <w:rPr>
                <w:rFonts w:ascii="Arial" w:eastAsia="Times New Roman" w:hAnsi="Arial" w:cs="Arial"/>
                <w:color w:val="000000"/>
                <w:sz w:val="18"/>
                <w:szCs w:val="18"/>
                <w:lang w:eastAsia="en-GB"/>
              </w:rPr>
            </w:pPr>
          </w:p>
        </w:tc>
        <w:tc>
          <w:tcPr>
            <w:tcW w:w="999" w:type="dxa"/>
            <w:gridSpan w:val="2"/>
            <w:tcBorders>
              <w:top w:val="nil"/>
              <w:left w:val="single" w:sz="4" w:space="0" w:color="auto"/>
              <w:bottom w:val="single" w:sz="4" w:space="0" w:color="auto"/>
              <w:right w:val="single" w:sz="4" w:space="0" w:color="auto"/>
            </w:tcBorders>
            <w:shd w:val="clear" w:color="auto" w:fill="auto"/>
            <w:vAlign w:val="bottom"/>
          </w:tcPr>
          <w:p w14:paraId="4383FDFD" w14:textId="77777777" w:rsidR="00620422" w:rsidRPr="008204CC" w:rsidRDefault="00620422" w:rsidP="0066301C">
            <w:pPr>
              <w:spacing w:after="0" w:line="240" w:lineRule="auto"/>
              <w:jc w:val="right"/>
              <w:rPr>
                <w:rFonts w:ascii="Arial" w:eastAsia="Times New Roman" w:hAnsi="Arial" w:cs="Arial"/>
                <w:color w:val="000000"/>
                <w:sz w:val="18"/>
                <w:szCs w:val="18"/>
                <w:lang w:eastAsia="en-GB"/>
              </w:rPr>
            </w:pPr>
            <w:r w:rsidRPr="008204CC">
              <w:rPr>
                <w:rFonts w:ascii="Arial" w:eastAsia="Times New Roman" w:hAnsi="Arial" w:cs="Arial"/>
                <w:color w:val="000000"/>
                <w:sz w:val="18"/>
                <w:szCs w:val="18"/>
                <w:lang w:eastAsia="en-GB"/>
              </w:rPr>
              <w:t>1986</w:t>
            </w:r>
          </w:p>
        </w:tc>
        <w:tc>
          <w:tcPr>
            <w:tcW w:w="1415" w:type="dxa"/>
            <w:gridSpan w:val="2"/>
            <w:tcBorders>
              <w:top w:val="nil"/>
              <w:left w:val="nil"/>
              <w:bottom w:val="single" w:sz="4" w:space="0" w:color="auto"/>
              <w:right w:val="single" w:sz="4" w:space="0" w:color="auto"/>
            </w:tcBorders>
            <w:shd w:val="clear" w:color="auto" w:fill="auto"/>
            <w:vAlign w:val="bottom"/>
          </w:tcPr>
          <w:p w14:paraId="39B3ADA6" w14:textId="77777777" w:rsidR="00620422" w:rsidRPr="008204CC" w:rsidRDefault="00620422" w:rsidP="0066301C">
            <w:pPr>
              <w:spacing w:after="0" w:line="240" w:lineRule="auto"/>
              <w:jc w:val="right"/>
              <w:rPr>
                <w:rFonts w:ascii="Arial" w:eastAsia="Times New Roman" w:hAnsi="Arial" w:cs="Arial"/>
                <w:color w:val="000000"/>
                <w:sz w:val="18"/>
                <w:szCs w:val="18"/>
                <w:lang w:eastAsia="en-GB"/>
              </w:rPr>
            </w:pPr>
            <w:r w:rsidRPr="008204CC">
              <w:rPr>
                <w:rFonts w:ascii="Arial" w:eastAsia="Times New Roman" w:hAnsi="Arial" w:cs="Arial"/>
                <w:color w:val="000000"/>
                <w:sz w:val="18"/>
                <w:szCs w:val="18"/>
                <w:lang w:eastAsia="en-GB"/>
              </w:rPr>
              <w:t>105.5312</w:t>
            </w:r>
          </w:p>
        </w:tc>
        <w:tc>
          <w:tcPr>
            <w:tcW w:w="1559" w:type="dxa"/>
            <w:gridSpan w:val="2"/>
            <w:tcBorders>
              <w:top w:val="nil"/>
              <w:left w:val="nil"/>
              <w:bottom w:val="single" w:sz="4" w:space="0" w:color="auto"/>
              <w:right w:val="single" w:sz="4" w:space="0" w:color="auto"/>
            </w:tcBorders>
            <w:shd w:val="clear" w:color="auto" w:fill="auto"/>
            <w:vAlign w:val="bottom"/>
          </w:tcPr>
          <w:p w14:paraId="3D1991DF" w14:textId="77777777" w:rsidR="00620422" w:rsidRPr="008204CC" w:rsidRDefault="00620422" w:rsidP="0066301C">
            <w:pPr>
              <w:spacing w:after="0" w:line="240" w:lineRule="auto"/>
              <w:jc w:val="right"/>
              <w:rPr>
                <w:rFonts w:ascii="Arial" w:eastAsia="Times New Roman" w:hAnsi="Arial" w:cs="Arial"/>
                <w:sz w:val="18"/>
                <w:szCs w:val="18"/>
                <w:lang w:eastAsia="en-GB"/>
              </w:rPr>
            </w:pPr>
            <w:r w:rsidRPr="008204CC">
              <w:rPr>
                <w:rFonts w:ascii="Arial" w:eastAsia="Times New Roman" w:hAnsi="Arial" w:cs="Arial"/>
                <w:sz w:val="18"/>
                <w:szCs w:val="18"/>
                <w:lang w:eastAsia="en-GB"/>
              </w:rPr>
              <w:t>104.3494836</w:t>
            </w:r>
          </w:p>
        </w:tc>
        <w:tc>
          <w:tcPr>
            <w:tcW w:w="2122" w:type="dxa"/>
            <w:gridSpan w:val="2"/>
            <w:tcBorders>
              <w:top w:val="nil"/>
              <w:left w:val="nil"/>
              <w:bottom w:val="single" w:sz="4" w:space="0" w:color="auto"/>
              <w:right w:val="single" w:sz="4" w:space="0" w:color="auto"/>
            </w:tcBorders>
            <w:shd w:val="clear" w:color="auto" w:fill="auto"/>
            <w:vAlign w:val="bottom"/>
          </w:tcPr>
          <w:p w14:paraId="18FDE651" w14:textId="77777777" w:rsidR="00620422" w:rsidRPr="008204CC" w:rsidRDefault="00620422" w:rsidP="0066301C">
            <w:pPr>
              <w:spacing w:after="0" w:line="240" w:lineRule="auto"/>
              <w:jc w:val="right"/>
              <w:rPr>
                <w:rFonts w:ascii="Arial" w:eastAsia="Times New Roman" w:hAnsi="Arial" w:cs="Arial"/>
                <w:color w:val="000000"/>
                <w:sz w:val="18"/>
                <w:szCs w:val="18"/>
                <w:lang w:eastAsia="en-GB"/>
              </w:rPr>
            </w:pPr>
            <w:r w:rsidRPr="008204CC">
              <w:rPr>
                <w:rFonts w:ascii="Arial" w:eastAsia="Times New Roman" w:hAnsi="Arial" w:cs="Arial"/>
                <w:color w:val="000000"/>
                <w:sz w:val="18"/>
                <w:szCs w:val="18"/>
                <w:lang w:eastAsia="en-GB"/>
              </w:rPr>
              <w:t>1.181753068</w:t>
            </w:r>
          </w:p>
        </w:tc>
      </w:tr>
      <w:tr w:rsidR="008A6AC3" w:rsidRPr="008204CC" w14:paraId="2C9554E4" w14:textId="77777777" w:rsidTr="00D46B41">
        <w:trPr>
          <w:trHeight w:val="300"/>
        </w:trPr>
        <w:tc>
          <w:tcPr>
            <w:tcW w:w="1135" w:type="dxa"/>
            <w:tcBorders>
              <w:top w:val="nil"/>
              <w:left w:val="single" w:sz="4" w:space="0" w:color="auto"/>
              <w:bottom w:val="single" w:sz="4" w:space="0" w:color="auto"/>
              <w:right w:val="single" w:sz="4" w:space="0" w:color="auto"/>
            </w:tcBorders>
            <w:shd w:val="clear" w:color="auto" w:fill="auto"/>
            <w:noWrap/>
            <w:vAlign w:val="bottom"/>
            <w:hideMark/>
          </w:tcPr>
          <w:p w14:paraId="4E0FAFE0" w14:textId="77777777" w:rsidR="00620422" w:rsidRPr="008204CC" w:rsidRDefault="00620422" w:rsidP="0066301C">
            <w:pPr>
              <w:spacing w:after="0" w:line="240" w:lineRule="auto"/>
              <w:jc w:val="right"/>
              <w:rPr>
                <w:rFonts w:ascii="Arial" w:eastAsia="Times New Roman" w:hAnsi="Arial" w:cs="Arial"/>
                <w:color w:val="000000"/>
                <w:sz w:val="18"/>
                <w:szCs w:val="18"/>
                <w:lang w:eastAsia="en-GB"/>
              </w:rPr>
            </w:pPr>
            <w:r w:rsidRPr="008204CC">
              <w:rPr>
                <w:rFonts w:ascii="Arial" w:eastAsia="Times New Roman" w:hAnsi="Arial" w:cs="Arial"/>
                <w:color w:val="000000"/>
                <w:sz w:val="18"/>
                <w:szCs w:val="18"/>
                <w:lang w:eastAsia="en-GB"/>
              </w:rPr>
              <w:t>1982</w:t>
            </w:r>
          </w:p>
        </w:tc>
        <w:tc>
          <w:tcPr>
            <w:tcW w:w="1701" w:type="dxa"/>
            <w:tcBorders>
              <w:top w:val="nil"/>
              <w:left w:val="nil"/>
              <w:bottom w:val="single" w:sz="4" w:space="0" w:color="auto"/>
              <w:right w:val="single" w:sz="4" w:space="0" w:color="auto"/>
            </w:tcBorders>
            <w:shd w:val="clear" w:color="auto" w:fill="auto"/>
            <w:noWrap/>
            <w:vAlign w:val="bottom"/>
            <w:hideMark/>
          </w:tcPr>
          <w:p w14:paraId="4ADB05A2" w14:textId="77777777" w:rsidR="00620422" w:rsidRPr="008204CC" w:rsidRDefault="00620422" w:rsidP="0066301C">
            <w:pPr>
              <w:spacing w:after="0" w:line="240" w:lineRule="auto"/>
              <w:jc w:val="right"/>
              <w:rPr>
                <w:rFonts w:ascii="Arial" w:eastAsia="Times New Roman" w:hAnsi="Arial" w:cs="Arial"/>
                <w:color w:val="000000"/>
                <w:sz w:val="18"/>
                <w:szCs w:val="18"/>
                <w:lang w:eastAsia="en-GB"/>
              </w:rPr>
            </w:pPr>
            <w:r w:rsidRPr="008204CC">
              <w:rPr>
                <w:rFonts w:ascii="Arial" w:eastAsia="Times New Roman" w:hAnsi="Arial" w:cs="Arial"/>
                <w:color w:val="000000"/>
                <w:sz w:val="18"/>
                <w:szCs w:val="18"/>
                <w:lang w:eastAsia="en-GB"/>
              </w:rPr>
              <w:t>200.99015</w:t>
            </w:r>
          </w:p>
        </w:tc>
        <w:tc>
          <w:tcPr>
            <w:tcW w:w="1701" w:type="dxa"/>
            <w:tcBorders>
              <w:top w:val="nil"/>
              <w:left w:val="nil"/>
              <w:bottom w:val="single" w:sz="4" w:space="0" w:color="auto"/>
              <w:right w:val="single" w:sz="4" w:space="0" w:color="auto"/>
            </w:tcBorders>
            <w:shd w:val="clear" w:color="auto" w:fill="auto"/>
            <w:noWrap/>
            <w:vAlign w:val="bottom"/>
            <w:hideMark/>
          </w:tcPr>
          <w:p w14:paraId="4F73E8D9" w14:textId="77777777" w:rsidR="00620422" w:rsidRPr="008204CC" w:rsidRDefault="00620422" w:rsidP="0066301C">
            <w:pPr>
              <w:spacing w:after="0" w:line="240" w:lineRule="auto"/>
              <w:jc w:val="right"/>
              <w:rPr>
                <w:rFonts w:ascii="Arial" w:eastAsia="Times New Roman" w:hAnsi="Arial" w:cs="Arial"/>
                <w:color w:val="000000"/>
                <w:sz w:val="18"/>
                <w:szCs w:val="18"/>
                <w:lang w:eastAsia="en-GB"/>
              </w:rPr>
            </w:pPr>
            <w:r w:rsidRPr="008204CC">
              <w:rPr>
                <w:rFonts w:ascii="Arial" w:eastAsia="Times New Roman" w:hAnsi="Arial" w:cs="Arial"/>
                <w:color w:val="000000"/>
                <w:sz w:val="18"/>
                <w:szCs w:val="18"/>
                <w:lang w:eastAsia="en-GB"/>
              </w:rPr>
              <w:t>208.93726</w:t>
            </w:r>
          </w:p>
        </w:tc>
        <w:tc>
          <w:tcPr>
            <w:tcW w:w="1984" w:type="dxa"/>
            <w:tcBorders>
              <w:top w:val="nil"/>
              <w:left w:val="nil"/>
              <w:bottom w:val="single" w:sz="4" w:space="0" w:color="auto"/>
              <w:right w:val="single" w:sz="4" w:space="0" w:color="auto"/>
            </w:tcBorders>
            <w:shd w:val="clear" w:color="auto" w:fill="auto"/>
            <w:noWrap/>
            <w:vAlign w:val="bottom"/>
            <w:hideMark/>
          </w:tcPr>
          <w:p w14:paraId="2CB8B43C" w14:textId="77777777" w:rsidR="00620422" w:rsidRPr="008204CC" w:rsidRDefault="00620422" w:rsidP="0066301C">
            <w:pPr>
              <w:spacing w:after="0" w:line="240" w:lineRule="auto"/>
              <w:jc w:val="right"/>
              <w:rPr>
                <w:rFonts w:ascii="Arial" w:eastAsia="Times New Roman" w:hAnsi="Arial" w:cs="Arial"/>
                <w:color w:val="000000"/>
                <w:sz w:val="18"/>
                <w:szCs w:val="18"/>
                <w:lang w:eastAsia="en-GB"/>
              </w:rPr>
            </w:pPr>
            <w:r w:rsidRPr="008204CC">
              <w:rPr>
                <w:rFonts w:ascii="Arial" w:eastAsia="Times New Roman" w:hAnsi="Arial" w:cs="Arial"/>
                <w:color w:val="000000"/>
                <w:sz w:val="18"/>
                <w:szCs w:val="18"/>
                <w:lang w:eastAsia="en-GB"/>
              </w:rPr>
              <w:t>-7.9471038</w:t>
            </w:r>
          </w:p>
        </w:tc>
        <w:tc>
          <w:tcPr>
            <w:tcW w:w="709" w:type="dxa"/>
            <w:vMerge/>
            <w:tcBorders>
              <w:left w:val="nil"/>
              <w:right w:val="single" w:sz="4" w:space="0" w:color="auto"/>
            </w:tcBorders>
          </w:tcPr>
          <w:p w14:paraId="44E72EC0" w14:textId="77777777" w:rsidR="00620422" w:rsidRPr="008204CC" w:rsidRDefault="00620422" w:rsidP="0066301C">
            <w:pPr>
              <w:spacing w:after="0" w:line="240" w:lineRule="auto"/>
              <w:jc w:val="right"/>
              <w:rPr>
                <w:rFonts w:ascii="Arial" w:eastAsia="Times New Roman" w:hAnsi="Arial" w:cs="Arial"/>
                <w:color w:val="000000"/>
                <w:sz w:val="18"/>
                <w:szCs w:val="18"/>
                <w:lang w:eastAsia="en-GB"/>
              </w:rPr>
            </w:pPr>
          </w:p>
        </w:tc>
        <w:tc>
          <w:tcPr>
            <w:tcW w:w="999" w:type="dxa"/>
            <w:gridSpan w:val="2"/>
            <w:tcBorders>
              <w:top w:val="nil"/>
              <w:left w:val="single" w:sz="4" w:space="0" w:color="auto"/>
              <w:bottom w:val="single" w:sz="4" w:space="0" w:color="auto"/>
              <w:right w:val="single" w:sz="4" w:space="0" w:color="auto"/>
            </w:tcBorders>
            <w:shd w:val="clear" w:color="auto" w:fill="auto"/>
            <w:vAlign w:val="bottom"/>
          </w:tcPr>
          <w:p w14:paraId="73F94421" w14:textId="77777777" w:rsidR="00620422" w:rsidRPr="008204CC" w:rsidRDefault="00620422" w:rsidP="0066301C">
            <w:pPr>
              <w:spacing w:after="0" w:line="240" w:lineRule="auto"/>
              <w:jc w:val="right"/>
              <w:rPr>
                <w:rFonts w:ascii="Arial" w:eastAsia="Times New Roman" w:hAnsi="Arial" w:cs="Arial"/>
                <w:color w:val="000000"/>
                <w:sz w:val="18"/>
                <w:szCs w:val="18"/>
                <w:lang w:eastAsia="en-GB"/>
              </w:rPr>
            </w:pPr>
            <w:r w:rsidRPr="008204CC">
              <w:rPr>
                <w:rFonts w:ascii="Arial" w:eastAsia="Times New Roman" w:hAnsi="Arial" w:cs="Arial"/>
                <w:color w:val="000000"/>
                <w:sz w:val="18"/>
                <w:szCs w:val="18"/>
                <w:lang w:eastAsia="en-GB"/>
              </w:rPr>
              <w:t>1987</w:t>
            </w:r>
          </w:p>
        </w:tc>
        <w:tc>
          <w:tcPr>
            <w:tcW w:w="1415" w:type="dxa"/>
            <w:gridSpan w:val="2"/>
            <w:tcBorders>
              <w:top w:val="nil"/>
              <w:left w:val="nil"/>
              <w:bottom w:val="single" w:sz="4" w:space="0" w:color="auto"/>
              <w:right w:val="single" w:sz="4" w:space="0" w:color="auto"/>
            </w:tcBorders>
            <w:shd w:val="clear" w:color="auto" w:fill="auto"/>
            <w:vAlign w:val="bottom"/>
          </w:tcPr>
          <w:p w14:paraId="3CB791A9" w14:textId="77777777" w:rsidR="00620422" w:rsidRPr="008204CC" w:rsidRDefault="00620422" w:rsidP="0066301C">
            <w:pPr>
              <w:spacing w:after="0" w:line="240" w:lineRule="auto"/>
              <w:jc w:val="right"/>
              <w:rPr>
                <w:rFonts w:ascii="Arial" w:eastAsia="Times New Roman" w:hAnsi="Arial" w:cs="Arial"/>
                <w:color w:val="000000"/>
                <w:sz w:val="18"/>
                <w:szCs w:val="18"/>
                <w:lang w:eastAsia="en-GB"/>
              </w:rPr>
            </w:pPr>
            <w:r w:rsidRPr="008204CC">
              <w:rPr>
                <w:rFonts w:ascii="Arial" w:eastAsia="Times New Roman" w:hAnsi="Arial" w:cs="Arial"/>
                <w:color w:val="000000"/>
                <w:sz w:val="18"/>
                <w:szCs w:val="18"/>
                <w:lang w:eastAsia="en-GB"/>
              </w:rPr>
              <w:t>91.28741</w:t>
            </w:r>
          </w:p>
        </w:tc>
        <w:tc>
          <w:tcPr>
            <w:tcW w:w="1559" w:type="dxa"/>
            <w:gridSpan w:val="2"/>
            <w:tcBorders>
              <w:top w:val="nil"/>
              <w:left w:val="nil"/>
              <w:bottom w:val="single" w:sz="4" w:space="0" w:color="auto"/>
              <w:right w:val="single" w:sz="4" w:space="0" w:color="auto"/>
            </w:tcBorders>
            <w:shd w:val="clear" w:color="auto" w:fill="auto"/>
            <w:vAlign w:val="bottom"/>
          </w:tcPr>
          <w:p w14:paraId="695BDAFB" w14:textId="77777777" w:rsidR="00620422" w:rsidRPr="008204CC" w:rsidRDefault="00620422" w:rsidP="0066301C">
            <w:pPr>
              <w:spacing w:after="0" w:line="240" w:lineRule="auto"/>
              <w:jc w:val="right"/>
              <w:rPr>
                <w:rFonts w:ascii="Arial" w:eastAsia="Times New Roman" w:hAnsi="Arial" w:cs="Arial"/>
                <w:sz w:val="18"/>
                <w:szCs w:val="18"/>
                <w:lang w:eastAsia="en-GB"/>
              </w:rPr>
            </w:pPr>
            <w:r w:rsidRPr="008204CC">
              <w:rPr>
                <w:rFonts w:ascii="Arial" w:eastAsia="Times New Roman" w:hAnsi="Arial" w:cs="Arial"/>
                <w:sz w:val="18"/>
                <w:szCs w:val="18"/>
                <w:lang w:eastAsia="en-GB"/>
              </w:rPr>
              <w:t>98.49865947</w:t>
            </w:r>
          </w:p>
        </w:tc>
        <w:tc>
          <w:tcPr>
            <w:tcW w:w="2122" w:type="dxa"/>
            <w:gridSpan w:val="2"/>
            <w:tcBorders>
              <w:top w:val="nil"/>
              <w:left w:val="nil"/>
              <w:bottom w:val="single" w:sz="4" w:space="0" w:color="auto"/>
              <w:right w:val="single" w:sz="4" w:space="0" w:color="auto"/>
            </w:tcBorders>
            <w:shd w:val="clear" w:color="auto" w:fill="auto"/>
            <w:vAlign w:val="bottom"/>
          </w:tcPr>
          <w:p w14:paraId="03ECC02E" w14:textId="77777777" w:rsidR="00620422" w:rsidRPr="008204CC" w:rsidRDefault="00620422" w:rsidP="0066301C">
            <w:pPr>
              <w:spacing w:after="0" w:line="240" w:lineRule="auto"/>
              <w:jc w:val="right"/>
              <w:rPr>
                <w:rFonts w:ascii="Arial" w:eastAsia="Times New Roman" w:hAnsi="Arial" w:cs="Arial"/>
                <w:color w:val="000000"/>
                <w:sz w:val="18"/>
                <w:szCs w:val="18"/>
                <w:lang w:eastAsia="en-GB"/>
              </w:rPr>
            </w:pPr>
            <w:r w:rsidRPr="008204CC">
              <w:rPr>
                <w:rFonts w:ascii="Arial" w:eastAsia="Times New Roman" w:hAnsi="Arial" w:cs="Arial"/>
                <w:color w:val="000000"/>
                <w:sz w:val="18"/>
                <w:szCs w:val="18"/>
                <w:lang w:eastAsia="en-GB"/>
              </w:rPr>
              <w:t>-7.211247924</w:t>
            </w:r>
          </w:p>
        </w:tc>
      </w:tr>
      <w:tr w:rsidR="008A6AC3" w:rsidRPr="008204CC" w14:paraId="29EF15F6" w14:textId="77777777" w:rsidTr="00D46B41">
        <w:trPr>
          <w:trHeight w:val="300"/>
        </w:trPr>
        <w:tc>
          <w:tcPr>
            <w:tcW w:w="1135" w:type="dxa"/>
            <w:tcBorders>
              <w:top w:val="nil"/>
              <w:left w:val="single" w:sz="4" w:space="0" w:color="auto"/>
              <w:bottom w:val="single" w:sz="4" w:space="0" w:color="auto"/>
              <w:right w:val="single" w:sz="4" w:space="0" w:color="auto"/>
            </w:tcBorders>
            <w:shd w:val="clear" w:color="auto" w:fill="auto"/>
            <w:noWrap/>
            <w:vAlign w:val="bottom"/>
            <w:hideMark/>
          </w:tcPr>
          <w:p w14:paraId="77E680CC" w14:textId="77777777" w:rsidR="00620422" w:rsidRPr="008204CC" w:rsidRDefault="00620422" w:rsidP="0066301C">
            <w:pPr>
              <w:spacing w:after="0" w:line="240" w:lineRule="auto"/>
              <w:jc w:val="right"/>
              <w:rPr>
                <w:rFonts w:ascii="Arial" w:eastAsia="Times New Roman" w:hAnsi="Arial" w:cs="Arial"/>
                <w:color w:val="000000"/>
                <w:sz w:val="18"/>
                <w:szCs w:val="18"/>
                <w:lang w:eastAsia="en-GB"/>
              </w:rPr>
            </w:pPr>
            <w:r w:rsidRPr="008204CC">
              <w:rPr>
                <w:rFonts w:ascii="Arial" w:eastAsia="Times New Roman" w:hAnsi="Arial" w:cs="Arial"/>
                <w:color w:val="000000"/>
                <w:sz w:val="18"/>
                <w:szCs w:val="18"/>
                <w:lang w:eastAsia="en-GB"/>
              </w:rPr>
              <w:t>1983</w:t>
            </w:r>
          </w:p>
        </w:tc>
        <w:tc>
          <w:tcPr>
            <w:tcW w:w="1701" w:type="dxa"/>
            <w:tcBorders>
              <w:top w:val="nil"/>
              <w:left w:val="nil"/>
              <w:bottom w:val="single" w:sz="4" w:space="0" w:color="auto"/>
              <w:right w:val="single" w:sz="4" w:space="0" w:color="auto"/>
            </w:tcBorders>
            <w:shd w:val="clear" w:color="auto" w:fill="auto"/>
            <w:noWrap/>
            <w:vAlign w:val="bottom"/>
            <w:hideMark/>
          </w:tcPr>
          <w:p w14:paraId="60E8075F" w14:textId="77777777" w:rsidR="00620422" w:rsidRPr="008204CC" w:rsidRDefault="00620422" w:rsidP="0066301C">
            <w:pPr>
              <w:spacing w:after="0" w:line="240" w:lineRule="auto"/>
              <w:jc w:val="right"/>
              <w:rPr>
                <w:rFonts w:ascii="Arial" w:eastAsia="Times New Roman" w:hAnsi="Arial" w:cs="Arial"/>
                <w:color w:val="000000"/>
                <w:sz w:val="18"/>
                <w:szCs w:val="18"/>
                <w:lang w:eastAsia="en-GB"/>
              </w:rPr>
            </w:pPr>
            <w:r w:rsidRPr="008204CC">
              <w:rPr>
                <w:rFonts w:ascii="Arial" w:eastAsia="Times New Roman" w:hAnsi="Arial" w:cs="Arial"/>
                <w:color w:val="000000"/>
                <w:sz w:val="18"/>
                <w:szCs w:val="18"/>
                <w:lang w:eastAsia="en-GB"/>
              </w:rPr>
              <w:t>197.81903</w:t>
            </w:r>
          </w:p>
        </w:tc>
        <w:tc>
          <w:tcPr>
            <w:tcW w:w="1701" w:type="dxa"/>
            <w:tcBorders>
              <w:top w:val="nil"/>
              <w:left w:val="nil"/>
              <w:bottom w:val="single" w:sz="4" w:space="0" w:color="auto"/>
              <w:right w:val="single" w:sz="4" w:space="0" w:color="auto"/>
            </w:tcBorders>
            <w:shd w:val="clear" w:color="auto" w:fill="auto"/>
            <w:noWrap/>
            <w:vAlign w:val="bottom"/>
            <w:hideMark/>
          </w:tcPr>
          <w:p w14:paraId="406FABB1" w14:textId="77777777" w:rsidR="00620422" w:rsidRPr="008204CC" w:rsidRDefault="00620422" w:rsidP="0066301C">
            <w:pPr>
              <w:spacing w:after="0" w:line="240" w:lineRule="auto"/>
              <w:jc w:val="right"/>
              <w:rPr>
                <w:rFonts w:ascii="Arial" w:eastAsia="Times New Roman" w:hAnsi="Arial" w:cs="Arial"/>
                <w:color w:val="000000"/>
                <w:sz w:val="18"/>
                <w:szCs w:val="18"/>
                <w:lang w:eastAsia="en-GB"/>
              </w:rPr>
            </w:pPr>
            <w:r w:rsidRPr="008204CC">
              <w:rPr>
                <w:rFonts w:ascii="Arial" w:eastAsia="Times New Roman" w:hAnsi="Arial" w:cs="Arial"/>
                <w:color w:val="000000"/>
                <w:sz w:val="18"/>
                <w:szCs w:val="18"/>
                <w:lang w:eastAsia="en-GB"/>
              </w:rPr>
              <w:t>206.55479</w:t>
            </w:r>
          </w:p>
        </w:tc>
        <w:tc>
          <w:tcPr>
            <w:tcW w:w="1984" w:type="dxa"/>
            <w:tcBorders>
              <w:top w:val="nil"/>
              <w:left w:val="nil"/>
              <w:bottom w:val="single" w:sz="4" w:space="0" w:color="auto"/>
              <w:right w:val="single" w:sz="4" w:space="0" w:color="auto"/>
            </w:tcBorders>
            <w:shd w:val="clear" w:color="auto" w:fill="auto"/>
            <w:noWrap/>
            <w:vAlign w:val="bottom"/>
            <w:hideMark/>
          </w:tcPr>
          <w:p w14:paraId="171A7986" w14:textId="77777777" w:rsidR="00620422" w:rsidRPr="008204CC" w:rsidRDefault="00620422" w:rsidP="0066301C">
            <w:pPr>
              <w:spacing w:after="0" w:line="240" w:lineRule="auto"/>
              <w:jc w:val="right"/>
              <w:rPr>
                <w:rFonts w:ascii="Arial" w:eastAsia="Times New Roman" w:hAnsi="Arial" w:cs="Arial"/>
                <w:color w:val="000000"/>
                <w:sz w:val="18"/>
                <w:szCs w:val="18"/>
                <w:lang w:eastAsia="en-GB"/>
              </w:rPr>
            </w:pPr>
            <w:r w:rsidRPr="008204CC">
              <w:rPr>
                <w:rFonts w:ascii="Arial" w:eastAsia="Times New Roman" w:hAnsi="Arial" w:cs="Arial"/>
                <w:color w:val="000000"/>
                <w:sz w:val="18"/>
                <w:szCs w:val="18"/>
                <w:lang w:eastAsia="en-GB"/>
              </w:rPr>
              <w:t>-8.7357533</w:t>
            </w:r>
          </w:p>
        </w:tc>
        <w:tc>
          <w:tcPr>
            <w:tcW w:w="709" w:type="dxa"/>
            <w:vMerge/>
            <w:tcBorders>
              <w:left w:val="nil"/>
              <w:right w:val="single" w:sz="4" w:space="0" w:color="auto"/>
            </w:tcBorders>
          </w:tcPr>
          <w:p w14:paraId="6DB4C372" w14:textId="77777777" w:rsidR="00620422" w:rsidRPr="008204CC" w:rsidRDefault="00620422" w:rsidP="0066301C">
            <w:pPr>
              <w:spacing w:after="0" w:line="240" w:lineRule="auto"/>
              <w:jc w:val="right"/>
              <w:rPr>
                <w:rFonts w:ascii="Arial" w:eastAsia="Times New Roman" w:hAnsi="Arial" w:cs="Arial"/>
                <w:color w:val="000000"/>
                <w:sz w:val="18"/>
                <w:szCs w:val="18"/>
                <w:lang w:eastAsia="en-GB"/>
              </w:rPr>
            </w:pPr>
          </w:p>
        </w:tc>
        <w:tc>
          <w:tcPr>
            <w:tcW w:w="999" w:type="dxa"/>
            <w:gridSpan w:val="2"/>
            <w:tcBorders>
              <w:top w:val="nil"/>
              <w:left w:val="single" w:sz="4" w:space="0" w:color="auto"/>
              <w:bottom w:val="single" w:sz="4" w:space="0" w:color="auto"/>
              <w:right w:val="single" w:sz="4" w:space="0" w:color="auto"/>
            </w:tcBorders>
            <w:shd w:val="clear" w:color="auto" w:fill="auto"/>
            <w:vAlign w:val="bottom"/>
          </w:tcPr>
          <w:p w14:paraId="4ABAEE57" w14:textId="77777777" w:rsidR="00620422" w:rsidRPr="008204CC" w:rsidRDefault="00620422" w:rsidP="0066301C">
            <w:pPr>
              <w:spacing w:after="0" w:line="240" w:lineRule="auto"/>
              <w:jc w:val="right"/>
              <w:rPr>
                <w:rFonts w:ascii="Arial" w:eastAsia="Times New Roman" w:hAnsi="Arial" w:cs="Arial"/>
                <w:color w:val="000000"/>
                <w:sz w:val="18"/>
                <w:szCs w:val="18"/>
                <w:lang w:eastAsia="en-GB"/>
              </w:rPr>
            </w:pPr>
            <w:r w:rsidRPr="008204CC">
              <w:rPr>
                <w:rFonts w:ascii="Arial" w:eastAsia="Times New Roman" w:hAnsi="Arial" w:cs="Arial"/>
                <w:color w:val="000000"/>
                <w:sz w:val="18"/>
                <w:szCs w:val="18"/>
                <w:lang w:eastAsia="en-GB"/>
              </w:rPr>
              <w:t>1988</w:t>
            </w:r>
          </w:p>
        </w:tc>
        <w:tc>
          <w:tcPr>
            <w:tcW w:w="1415" w:type="dxa"/>
            <w:gridSpan w:val="2"/>
            <w:tcBorders>
              <w:top w:val="nil"/>
              <w:left w:val="nil"/>
              <w:bottom w:val="single" w:sz="4" w:space="0" w:color="auto"/>
              <w:right w:val="single" w:sz="4" w:space="0" w:color="auto"/>
            </w:tcBorders>
            <w:shd w:val="clear" w:color="auto" w:fill="auto"/>
            <w:vAlign w:val="bottom"/>
          </w:tcPr>
          <w:p w14:paraId="00565840" w14:textId="77777777" w:rsidR="00620422" w:rsidRPr="008204CC" w:rsidRDefault="00620422" w:rsidP="0066301C">
            <w:pPr>
              <w:spacing w:after="0" w:line="240" w:lineRule="auto"/>
              <w:jc w:val="right"/>
              <w:rPr>
                <w:rFonts w:ascii="Arial" w:eastAsia="Times New Roman" w:hAnsi="Arial" w:cs="Arial"/>
                <w:color w:val="000000"/>
                <w:sz w:val="18"/>
                <w:szCs w:val="18"/>
                <w:lang w:eastAsia="en-GB"/>
              </w:rPr>
            </w:pPr>
            <w:r w:rsidRPr="008204CC">
              <w:rPr>
                <w:rFonts w:ascii="Arial" w:eastAsia="Times New Roman" w:hAnsi="Arial" w:cs="Arial"/>
                <w:color w:val="000000"/>
                <w:sz w:val="18"/>
                <w:szCs w:val="18"/>
                <w:lang w:eastAsia="en-GB"/>
              </w:rPr>
              <w:t>87.45613</w:t>
            </w:r>
          </w:p>
        </w:tc>
        <w:tc>
          <w:tcPr>
            <w:tcW w:w="1559" w:type="dxa"/>
            <w:gridSpan w:val="2"/>
            <w:tcBorders>
              <w:top w:val="nil"/>
              <w:left w:val="nil"/>
              <w:bottom w:val="single" w:sz="4" w:space="0" w:color="auto"/>
              <w:right w:val="single" w:sz="4" w:space="0" w:color="auto"/>
            </w:tcBorders>
            <w:shd w:val="clear" w:color="auto" w:fill="auto"/>
            <w:vAlign w:val="bottom"/>
          </w:tcPr>
          <w:p w14:paraId="0B843E29" w14:textId="77777777" w:rsidR="00620422" w:rsidRPr="008204CC" w:rsidRDefault="00620422" w:rsidP="0066301C">
            <w:pPr>
              <w:spacing w:after="0" w:line="240" w:lineRule="auto"/>
              <w:jc w:val="right"/>
              <w:rPr>
                <w:rFonts w:ascii="Arial" w:eastAsia="Times New Roman" w:hAnsi="Arial" w:cs="Arial"/>
                <w:sz w:val="18"/>
                <w:szCs w:val="18"/>
                <w:lang w:eastAsia="en-GB"/>
              </w:rPr>
            </w:pPr>
            <w:r w:rsidRPr="008204CC">
              <w:rPr>
                <w:rFonts w:ascii="Arial" w:eastAsia="Times New Roman" w:hAnsi="Arial" w:cs="Arial"/>
                <w:sz w:val="18"/>
                <w:szCs w:val="18"/>
                <w:lang w:eastAsia="en-GB"/>
              </w:rPr>
              <w:t>92.96013825</w:t>
            </w:r>
          </w:p>
        </w:tc>
        <w:tc>
          <w:tcPr>
            <w:tcW w:w="2122" w:type="dxa"/>
            <w:gridSpan w:val="2"/>
            <w:tcBorders>
              <w:top w:val="nil"/>
              <w:left w:val="nil"/>
              <w:bottom w:val="single" w:sz="4" w:space="0" w:color="auto"/>
              <w:right w:val="single" w:sz="4" w:space="0" w:color="auto"/>
            </w:tcBorders>
            <w:shd w:val="clear" w:color="auto" w:fill="auto"/>
            <w:vAlign w:val="bottom"/>
          </w:tcPr>
          <w:p w14:paraId="6B515321" w14:textId="77777777" w:rsidR="00620422" w:rsidRPr="008204CC" w:rsidRDefault="00620422" w:rsidP="0066301C">
            <w:pPr>
              <w:spacing w:after="0" w:line="240" w:lineRule="auto"/>
              <w:jc w:val="right"/>
              <w:rPr>
                <w:rFonts w:ascii="Arial" w:eastAsia="Times New Roman" w:hAnsi="Arial" w:cs="Arial"/>
                <w:color w:val="000000"/>
                <w:sz w:val="18"/>
                <w:szCs w:val="18"/>
                <w:lang w:eastAsia="en-GB"/>
              </w:rPr>
            </w:pPr>
            <w:r w:rsidRPr="008204CC">
              <w:rPr>
                <w:rFonts w:ascii="Arial" w:eastAsia="Times New Roman" w:hAnsi="Arial" w:cs="Arial"/>
                <w:color w:val="000000"/>
                <w:sz w:val="18"/>
                <w:szCs w:val="18"/>
                <w:lang w:eastAsia="en-GB"/>
              </w:rPr>
              <w:t>-5.504009043</w:t>
            </w:r>
          </w:p>
        </w:tc>
      </w:tr>
      <w:tr w:rsidR="008A6AC3" w:rsidRPr="008204CC" w14:paraId="3C1D6FA7" w14:textId="77777777" w:rsidTr="00D46B41">
        <w:trPr>
          <w:trHeight w:val="300"/>
        </w:trPr>
        <w:tc>
          <w:tcPr>
            <w:tcW w:w="1135" w:type="dxa"/>
            <w:tcBorders>
              <w:top w:val="nil"/>
              <w:left w:val="single" w:sz="4" w:space="0" w:color="auto"/>
              <w:bottom w:val="single" w:sz="4" w:space="0" w:color="auto"/>
              <w:right w:val="single" w:sz="4" w:space="0" w:color="auto"/>
            </w:tcBorders>
            <w:shd w:val="clear" w:color="auto" w:fill="auto"/>
            <w:noWrap/>
            <w:vAlign w:val="bottom"/>
            <w:hideMark/>
          </w:tcPr>
          <w:p w14:paraId="542A482C" w14:textId="77777777" w:rsidR="00620422" w:rsidRPr="008204CC" w:rsidRDefault="00620422" w:rsidP="0066301C">
            <w:pPr>
              <w:spacing w:after="0" w:line="240" w:lineRule="auto"/>
              <w:jc w:val="right"/>
              <w:rPr>
                <w:rFonts w:ascii="Arial" w:eastAsia="Times New Roman" w:hAnsi="Arial" w:cs="Arial"/>
                <w:color w:val="000000"/>
                <w:sz w:val="18"/>
                <w:szCs w:val="18"/>
                <w:lang w:eastAsia="en-GB"/>
              </w:rPr>
            </w:pPr>
            <w:r w:rsidRPr="008204CC">
              <w:rPr>
                <w:rFonts w:ascii="Arial" w:eastAsia="Times New Roman" w:hAnsi="Arial" w:cs="Arial"/>
                <w:color w:val="000000"/>
                <w:sz w:val="18"/>
                <w:szCs w:val="18"/>
                <w:lang w:eastAsia="en-GB"/>
              </w:rPr>
              <w:t>1984</w:t>
            </w:r>
          </w:p>
        </w:tc>
        <w:tc>
          <w:tcPr>
            <w:tcW w:w="1701" w:type="dxa"/>
            <w:tcBorders>
              <w:top w:val="nil"/>
              <w:left w:val="nil"/>
              <w:bottom w:val="single" w:sz="4" w:space="0" w:color="auto"/>
              <w:right w:val="single" w:sz="4" w:space="0" w:color="auto"/>
            </w:tcBorders>
            <w:shd w:val="clear" w:color="auto" w:fill="auto"/>
            <w:noWrap/>
            <w:vAlign w:val="bottom"/>
            <w:hideMark/>
          </w:tcPr>
          <w:p w14:paraId="751F9699" w14:textId="77777777" w:rsidR="00620422" w:rsidRPr="008204CC" w:rsidRDefault="00620422" w:rsidP="0066301C">
            <w:pPr>
              <w:spacing w:after="0" w:line="240" w:lineRule="auto"/>
              <w:jc w:val="right"/>
              <w:rPr>
                <w:rFonts w:ascii="Arial" w:eastAsia="Times New Roman" w:hAnsi="Arial" w:cs="Arial"/>
                <w:color w:val="000000"/>
                <w:sz w:val="18"/>
                <w:szCs w:val="18"/>
                <w:lang w:eastAsia="en-GB"/>
              </w:rPr>
            </w:pPr>
            <w:r w:rsidRPr="008204CC">
              <w:rPr>
                <w:rFonts w:ascii="Arial" w:eastAsia="Times New Roman" w:hAnsi="Arial" w:cs="Arial"/>
                <w:color w:val="000000"/>
                <w:sz w:val="18"/>
                <w:szCs w:val="18"/>
                <w:lang w:eastAsia="en-GB"/>
              </w:rPr>
              <w:t>189.85467</w:t>
            </w:r>
          </w:p>
        </w:tc>
        <w:tc>
          <w:tcPr>
            <w:tcW w:w="1701" w:type="dxa"/>
            <w:tcBorders>
              <w:top w:val="nil"/>
              <w:left w:val="nil"/>
              <w:bottom w:val="single" w:sz="4" w:space="0" w:color="auto"/>
              <w:right w:val="single" w:sz="4" w:space="0" w:color="auto"/>
            </w:tcBorders>
            <w:shd w:val="clear" w:color="auto" w:fill="auto"/>
            <w:noWrap/>
            <w:vAlign w:val="bottom"/>
            <w:hideMark/>
          </w:tcPr>
          <w:p w14:paraId="57E16AE2" w14:textId="77777777" w:rsidR="00620422" w:rsidRPr="008204CC" w:rsidRDefault="00620422" w:rsidP="0066301C">
            <w:pPr>
              <w:spacing w:after="0" w:line="240" w:lineRule="auto"/>
              <w:jc w:val="right"/>
              <w:rPr>
                <w:rFonts w:ascii="Arial" w:eastAsia="Times New Roman" w:hAnsi="Arial" w:cs="Arial"/>
                <w:color w:val="000000"/>
                <w:sz w:val="18"/>
                <w:szCs w:val="18"/>
                <w:lang w:eastAsia="en-GB"/>
              </w:rPr>
            </w:pPr>
            <w:r w:rsidRPr="008204CC">
              <w:rPr>
                <w:rFonts w:ascii="Arial" w:eastAsia="Times New Roman" w:hAnsi="Arial" w:cs="Arial"/>
                <w:color w:val="000000"/>
                <w:sz w:val="18"/>
                <w:szCs w:val="18"/>
                <w:lang w:eastAsia="en-GB"/>
              </w:rPr>
              <w:t>204.13995</w:t>
            </w:r>
          </w:p>
        </w:tc>
        <w:tc>
          <w:tcPr>
            <w:tcW w:w="1984" w:type="dxa"/>
            <w:tcBorders>
              <w:top w:val="nil"/>
              <w:left w:val="nil"/>
              <w:bottom w:val="single" w:sz="4" w:space="0" w:color="auto"/>
              <w:right w:val="single" w:sz="4" w:space="0" w:color="auto"/>
            </w:tcBorders>
            <w:shd w:val="clear" w:color="auto" w:fill="auto"/>
            <w:noWrap/>
            <w:vAlign w:val="bottom"/>
            <w:hideMark/>
          </w:tcPr>
          <w:p w14:paraId="7DCE5151" w14:textId="77777777" w:rsidR="00620422" w:rsidRPr="008204CC" w:rsidRDefault="00620422" w:rsidP="0066301C">
            <w:pPr>
              <w:spacing w:after="0" w:line="240" w:lineRule="auto"/>
              <w:jc w:val="right"/>
              <w:rPr>
                <w:rFonts w:ascii="Arial" w:eastAsia="Times New Roman" w:hAnsi="Arial" w:cs="Arial"/>
                <w:color w:val="000000"/>
                <w:sz w:val="18"/>
                <w:szCs w:val="18"/>
                <w:lang w:eastAsia="en-GB"/>
              </w:rPr>
            </w:pPr>
            <w:r w:rsidRPr="008204CC">
              <w:rPr>
                <w:rFonts w:ascii="Arial" w:eastAsia="Times New Roman" w:hAnsi="Arial" w:cs="Arial"/>
                <w:color w:val="000000"/>
                <w:sz w:val="18"/>
                <w:szCs w:val="18"/>
                <w:lang w:eastAsia="en-GB"/>
              </w:rPr>
              <w:t>-14.28528</w:t>
            </w:r>
          </w:p>
        </w:tc>
        <w:tc>
          <w:tcPr>
            <w:tcW w:w="709" w:type="dxa"/>
            <w:vMerge/>
            <w:tcBorders>
              <w:left w:val="nil"/>
              <w:right w:val="single" w:sz="4" w:space="0" w:color="auto"/>
            </w:tcBorders>
          </w:tcPr>
          <w:p w14:paraId="6F127BDF" w14:textId="77777777" w:rsidR="00620422" w:rsidRPr="008204CC" w:rsidRDefault="00620422" w:rsidP="0066301C">
            <w:pPr>
              <w:spacing w:after="0" w:line="240" w:lineRule="auto"/>
              <w:jc w:val="right"/>
              <w:rPr>
                <w:rFonts w:ascii="Arial" w:eastAsia="Times New Roman" w:hAnsi="Arial" w:cs="Arial"/>
                <w:color w:val="000000"/>
                <w:sz w:val="18"/>
                <w:szCs w:val="18"/>
                <w:lang w:eastAsia="en-GB"/>
              </w:rPr>
            </w:pPr>
          </w:p>
        </w:tc>
        <w:tc>
          <w:tcPr>
            <w:tcW w:w="999" w:type="dxa"/>
            <w:gridSpan w:val="2"/>
            <w:tcBorders>
              <w:top w:val="nil"/>
              <w:left w:val="single" w:sz="4" w:space="0" w:color="auto"/>
              <w:bottom w:val="single" w:sz="4" w:space="0" w:color="auto"/>
              <w:right w:val="single" w:sz="4" w:space="0" w:color="auto"/>
            </w:tcBorders>
            <w:shd w:val="clear" w:color="auto" w:fill="auto"/>
            <w:vAlign w:val="bottom"/>
          </w:tcPr>
          <w:p w14:paraId="33270622" w14:textId="77777777" w:rsidR="00620422" w:rsidRPr="008204CC" w:rsidRDefault="00620422" w:rsidP="0066301C">
            <w:pPr>
              <w:spacing w:after="0" w:line="240" w:lineRule="auto"/>
              <w:jc w:val="right"/>
              <w:rPr>
                <w:rFonts w:ascii="Arial" w:eastAsia="Times New Roman" w:hAnsi="Arial" w:cs="Arial"/>
                <w:color w:val="000000"/>
                <w:sz w:val="18"/>
                <w:szCs w:val="18"/>
                <w:lang w:eastAsia="en-GB"/>
              </w:rPr>
            </w:pPr>
            <w:r w:rsidRPr="008204CC">
              <w:rPr>
                <w:rFonts w:ascii="Arial" w:eastAsia="Times New Roman" w:hAnsi="Arial" w:cs="Arial"/>
                <w:color w:val="000000"/>
                <w:sz w:val="18"/>
                <w:szCs w:val="18"/>
                <w:lang w:eastAsia="en-GB"/>
              </w:rPr>
              <w:t>1989</w:t>
            </w:r>
          </w:p>
        </w:tc>
        <w:tc>
          <w:tcPr>
            <w:tcW w:w="1415" w:type="dxa"/>
            <w:gridSpan w:val="2"/>
            <w:tcBorders>
              <w:top w:val="nil"/>
              <w:left w:val="nil"/>
              <w:bottom w:val="single" w:sz="4" w:space="0" w:color="auto"/>
              <w:right w:val="single" w:sz="4" w:space="0" w:color="auto"/>
            </w:tcBorders>
            <w:shd w:val="clear" w:color="auto" w:fill="auto"/>
            <w:vAlign w:val="bottom"/>
          </w:tcPr>
          <w:p w14:paraId="7B232462" w14:textId="77777777" w:rsidR="00620422" w:rsidRPr="008204CC" w:rsidRDefault="00620422" w:rsidP="0066301C">
            <w:pPr>
              <w:spacing w:after="0" w:line="240" w:lineRule="auto"/>
              <w:jc w:val="right"/>
              <w:rPr>
                <w:rFonts w:ascii="Arial" w:eastAsia="Times New Roman" w:hAnsi="Arial" w:cs="Arial"/>
                <w:color w:val="000000"/>
                <w:sz w:val="18"/>
                <w:szCs w:val="18"/>
                <w:lang w:eastAsia="en-GB"/>
              </w:rPr>
            </w:pPr>
            <w:r w:rsidRPr="008204CC">
              <w:rPr>
                <w:rFonts w:ascii="Arial" w:eastAsia="Times New Roman" w:hAnsi="Arial" w:cs="Arial"/>
                <w:color w:val="000000"/>
                <w:sz w:val="18"/>
                <w:szCs w:val="18"/>
                <w:lang w:eastAsia="en-GB"/>
              </w:rPr>
              <w:t>85.64082</w:t>
            </w:r>
          </w:p>
        </w:tc>
        <w:tc>
          <w:tcPr>
            <w:tcW w:w="1559" w:type="dxa"/>
            <w:gridSpan w:val="2"/>
            <w:tcBorders>
              <w:top w:val="nil"/>
              <w:left w:val="nil"/>
              <w:bottom w:val="single" w:sz="4" w:space="0" w:color="auto"/>
              <w:right w:val="single" w:sz="4" w:space="0" w:color="auto"/>
            </w:tcBorders>
            <w:shd w:val="clear" w:color="auto" w:fill="auto"/>
            <w:vAlign w:val="bottom"/>
          </w:tcPr>
          <w:p w14:paraId="0E37C23C" w14:textId="77777777" w:rsidR="00620422" w:rsidRPr="008204CC" w:rsidRDefault="00620422" w:rsidP="0066301C">
            <w:pPr>
              <w:spacing w:after="0" w:line="240" w:lineRule="auto"/>
              <w:jc w:val="right"/>
              <w:rPr>
                <w:rFonts w:ascii="Arial" w:eastAsia="Times New Roman" w:hAnsi="Arial" w:cs="Arial"/>
                <w:sz w:val="18"/>
                <w:szCs w:val="18"/>
                <w:lang w:eastAsia="en-GB"/>
              </w:rPr>
            </w:pPr>
            <w:r w:rsidRPr="008204CC">
              <w:rPr>
                <w:rFonts w:ascii="Arial" w:eastAsia="Times New Roman" w:hAnsi="Arial" w:cs="Arial"/>
                <w:sz w:val="18"/>
                <w:szCs w:val="18"/>
                <w:lang w:eastAsia="en-GB"/>
              </w:rPr>
              <w:t>87.82386773</w:t>
            </w:r>
          </w:p>
        </w:tc>
        <w:tc>
          <w:tcPr>
            <w:tcW w:w="2122" w:type="dxa"/>
            <w:gridSpan w:val="2"/>
            <w:tcBorders>
              <w:top w:val="nil"/>
              <w:left w:val="nil"/>
              <w:bottom w:val="single" w:sz="4" w:space="0" w:color="auto"/>
              <w:right w:val="single" w:sz="4" w:space="0" w:color="auto"/>
            </w:tcBorders>
            <w:shd w:val="clear" w:color="auto" w:fill="auto"/>
            <w:vAlign w:val="bottom"/>
          </w:tcPr>
          <w:p w14:paraId="0C232A61" w14:textId="77777777" w:rsidR="00620422" w:rsidRPr="008204CC" w:rsidRDefault="00620422" w:rsidP="0066301C">
            <w:pPr>
              <w:spacing w:after="0" w:line="240" w:lineRule="auto"/>
              <w:jc w:val="right"/>
              <w:rPr>
                <w:rFonts w:ascii="Arial" w:eastAsia="Times New Roman" w:hAnsi="Arial" w:cs="Arial"/>
                <w:color w:val="000000"/>
                <w:sz w:val="18"/>
                <w:szCs w:val="18"/>
                <w:lang w:eastAsia="en-GB"/>
              </w:rPr>
            </w:pPr>
            <w:r w:rsidRPr="008204CC">
              <w:rPr>
                <w:rFonts w:ascii="Arial" w:eastAsia="Times New Roman" w:hAnsi="Arial" w:cs="Arial"/>
                <w:color w:val="000000"/>
                <w:sz w:val="18"/>
                <w:szCs w:val="18"/>
                <w:lang w:eastAsia="en-GB"/>
              </w:rPr>
              <w:t>-2.183049557</w:t>
            </w:r>
          </w:p>
        </w:tc>
      </w:tr>
      <w:tr w:rsidR="008A6AC3" w:rsidRPr="008204CC" w14:paraId="61C5FC9E" w14:textId="77777777" w:rsidTr="00D46B41">
        <w:trPr>
          <w:trHeight w:val="300"/>
        </w:trPr>
        <w:tc>
          <w:tcPr>
            <w:tcW w:w="1135" w:type="dxa"/>
            <w:tcBorders>
              <w:top w:val="nil"/>
              <w:left w:val="single" w:sz="4" w:space="0" w:color="auto"/>
              <w:bottom w:val="single" w:sz="4" w:space="0" w:color="auto"/>
              <w:right w:val="single" w:sz="4" w:space="0" w:color="auto"/>
            </w:tcBorders>
            <w:shd w:val="clear" w:color="auto" w:fill="auto"/>
            <w:noWrap/>
            <w:vAlign w:val="bottom"/>
            <w:hideMark/>
          </w:tcPr>
          <w:p w14:paraId="50513E25" w14:textId="77777777" w:rsidR="00620422" w:rsidRPr="008204CC" w:rsidRDefault="00620422" w:rsidP="0066301C">
            <w:pPr>
              <w:spacing w:after="0" w:line="240" w:lineRule="auto"/>
              <w:jc w:val="right"/>
              <w:rPr>
                <w:rFonts w:ascii="Arial" w:eastAsia="Times New Roman" w:hAnsi="Arial" w:cs="Arial"/>
                <w:color w:val="000000"/>
                <w:sz w:val="18"/>
                <w:szCs w:val="18"/>
                <w:lang w:eastAsia="en-GB"/>
              </w:rPr>
            </w:pPr>
            <w:r w:rsidRPr="008204CC">
              <w:rPr>
                <w:rFonts w:ascii="Arial" w:eastAsia="Times New Roman" w:hAnsi="Arial" w:cs="Arial"/>
                <w:color w:val="000000"/>
                <w:sz w:val="18"/>
                <w:szCs w:val="18"/>
                <w:lang w:eastAsia="en-GB"/>
              </w:rPr>
              <w:t>1985</w:t>
            </w:r>
          </w:p>
        </w:tc>
        <w:tc>
          <w:tcPr>
            <w:tcW w:w="1701" w:type="dxa"/>
            <w:tcBorders>
              <w:top w:val="nil"/>
              <w:left w:val="nil"/>
              <w:bottom w:val="single" w:sz="4" w:space="0" w:color="auto"/>
              <w:right w:val="single" w:sz="4" w:space="0" w:color="auto"/>
            </w:tcBorders>
            <w:shd w:val="clear" w:color="auto" w:fill="auto"/>
            <w:noWrap/>
            <w:vAlign w:val="bottom"/>
            <w:hideMark/>
          </w:tcPr>
          <w:p w14:paraId="57CA0188" w14:textId="77777777" w:rsidR="00620422" w:rsidRPr="008204CC" w:rsidRDefault="00620422" w:rsidP="0066301C">
            <w:pPr>
              <w:spacing w:after="0" w:line="240" w:lineRule="auto"/>
              <w:jc w:val="right"/>
              <w:rPr>
                <w:rFonts w:ascii="Arial" w:eastAsia="Times New Roman" w:hAnsi="Arial" w:cs="Arial"/>
                <w:color w:val="000000"/>
                <w:sz w:val="18"/>
                <w:szCs w:val="18"/>
                <w:lang w:eastAsia="en-GB"/>
              </w:rPr>
            </w:pPr>
            <w:r w:rsidRPr="008204CC">
              <w:rPr>
                <w:rFonts w:ascii="Arial" w:eastAsia="Times New Roman" w:hAnsi="Arial" w:cs="Arial"/>
                <w:color w:val="000000"/>
                <w:sz w:val="18"/>
                <w:szCs w:val="18"/>
                <w:lang w:eastAsia="en-GB"/>
              </w:rPr>
              <w:t>195.8232</w:t>
            </w:r>
          </w:p>
        </w:tc>
        <w:tc>
          <w:tcPr>
            <w:tcW w:w="1701" w:type="dxa"/>
            <w:tcBorders>
              <w:top w:val="nil"/>
              <w:left w:val="nil"/>
              <w:bottom w:val="single" w:sz="4" w:space="0" w:color="auto"/>
              <w:right w:val="single" w:sz="4" w:space="0" w:color="auto"/>
            </w:tcBorders>
            <w:shd w:val="clear" w:color="auto" w:fill="auto"/>
            <w:noWrap/>
            <w:vAlign w:val="bottom"/>
            <w:hideMark/>
          </w:tcPr>
          <w:p w14:paraId="7BA9B46A" w14:textId="77777777" w:rsidR="00620422" w:rsidRPr="008204CC" w:rsidRDefault="00620422" w:rsidP="0066301C">
            <w:pPr>
              <w:spacing w:after="0" w:line="240" w:lineRule="auto"/>
              <w:jc w:val="right"/>
              <w:rPr>
                <w:rFonts w:ascii="Arial" w:eastAsia="Times New Roman" w:hAnsi="Arial" w:cs="Arial"/>
                <w:color w:val="000000"/>
                <w:sz w:val="18"/>
                <w:szCs w:val="18"/>
                <w:lang w:eastAsia="en-GB"/>
              </w:rPr>
            </w:pPr>
            <w:r w:rsidRPr="008204CC">
              <w:rPr>
                <w:rFonts w:ascii="Arial" w:eastAsia="Times New Roman" w:hAnsi="Arial" w:cs="Arial"/>
                <w:color w:val="000000"/>
                <w:sz w:val="18"/>
                <w:szCs w:val="18"/>
                <w:lang w:eastAsia="en-GB"/>
              </w:rPr>
              <w:t>201.50096</w:t>
            </w:r>
          </w:p>
        </w:tc>
        <w:tc>
          <w:tcPr>
            <w:tcW w:w="1984" w:type="dxa"/>
            <w:tcBorders>
              <w:top w:val="nil"/>
              <w:left w:val="nil"/>
              <w:bottom w:val="single" w:sz="4" w:space="0" w:color="auto"/>
              <w:right w:val="single" w:sz="4" w:space="0" w:color="auto"/>
            </w:tcBorders>
            <w:shd w:val="clear" w:color="auto" w:fill="auto"/>
            <w:noWrap/>
            <w:vAlign w:val="bottom"/>
            <w:hideMark/>
          </w:tcPr>
          <w:p w14:paraId="387B49EF" w14:textId="77777777" w:rsidR="00620422" w:rsidRPr="008204CC" w:rsidRDefault="00620422" w:rsidP="0066301C">
            <w:pPr>
              <w:spacing w:after="0" w:line="240" w:lineRule="auto"/>
              <w:jc w:val="right"/>
              <w:rPr>
                <w:rFonts w:ascii="Arial" w:eastAsia="Times New Roman" w:hAnsi="Arial" w:cs="Arial"/>
                <w:color w:val="000000"/>
                <w:sz w:val="18"/>
                <w:szCs w:val="18"/>
                <w:lang w:eastAsia="en-GB"/>
              </w:rPr>
            </w:pPr>
            <w:r w:rsidRPr="008204CC">
              <w:rPr>
                <w:rFonts w:ascii="Arial" w:eastAsia="Times New Roman" w:hAnsi="Arial" w:cs="Arial"/>
                <w:color w:val="000000"/>
                <w:sz w:val="18"/>
                <w:szCs w:val="18"/>
                <w:lang w:eastAsia="en-GB"/>
              </w:rPr>
              <w:t>-5.6777627</w:t>
            </w:r>
          </w:p>
        </w:tc>
        <w:tc>
          <w:tcPr>
            <w:tcW w:w="709" w:type="dxa"/>
            <w:vMerge/>
            <w:tcBorders>
              <w:left w:val="nil"/>
              <w:right w:val="single" w:sz="4" w:space="0" w:color="auto"/>
            </w:tcBorders>
          </w:tcPr>
          <w:p w14:paraId="6CD02060" w14:textId="77777777" w:rsidR="00620422" w:rsidRPr="008204CC" w:rsidRDefault="00620422" w:rsidP="0066301C">
            <w:pPr>
              <w:spacing w:after="0" w:line="240" w:lineRule="auto"/>
              <w:jc w:val="right"/>
              <w:rPr>
                <w:rFonts w:ascii="Arial" w:eastAsia="Times New Roman" w:hAnsi="Arial" w:cs="Arial"/>
                <w:color w:val="000000"/>
                <w:sz w:val="18"/>
                <w:szCs w:val="18"/>
                <w:lang w:eastAsia="en-GB"/>
              </w:rPr>
            </w:pPr>
          </w:p>
        </w:tc>
        <w:tc>
          <w:tcPr>
            <w:tcW w:w="999" w:type="dxa"/>
            <w:gridSpan w:val="2"/>
            <w:tcBorders>
              <w:top w:val="nil"/>
              <w:left w:val="single" w:sz="4" w:space="0" w:color="auto"/>
              <w:bottom w:val="single" w:sz="4" w:space="0" w:color="auto"/>
              <w:right w:val="single" w:sz="4" w:space="0" w:color="auto"/>
            </w:tcBorders>
            <w:shd w:val="clear" w:color="auto" w:fill="auto"/>
            <w:vAlign w:val="bottom"/>
          </w:tcPr>
          <w:p w14:paraId="0776F8D1" w14:textId="77777777" w:rsidR="00620422" w:rsidRPr="008204CC" w:rsidRDefault="00620422" w:rsidP="0066301C">
            <w:pPr>
              <w:spacing w:after="0" w:line="240" w:lineRule="auto"/>
              <w:jc w:val="right"/>
              <w:rPr>
                <w:rFonts w:ascii="Arial" w:eastAsia="Times New Roman" w:hAnsi="Arial" w:cs="Arial"/>
                <w:color w:val="000000"/>
                <w:sz w:val="18"/>
                <w:szCs w:val="18"/>
                <w:lang w:eastAsia="en-GB"/>
              </w:rPr>
            </w:pPr>
            <w:r w:rsidRPr="008204CC">
              <w:rPr>
                <w:rFonts w:ascii="Arial" w:eastAsia="Times New Roman" w:hAnsi="Arial" w:cs="Arial"/>
                <w:color w:val="000000"/>
                <w:sz w:val="18"/>
                <w:szCs w:val="18"/>
                <w:lang w:eastAsia="en-GB"/>
              </w:rPr>
              <w:t>1990</w:t>
            </w:r>
          </w:p>
        </w:tc>
        <w:tc>
          <w:tcPr>
            <w:tcW w:w="1415" w:type="dxa"/>
            <w:gridSpan w:val="2"/>
            <w:tcBorders>
              <w:top w:val="nil"/>
              <w:left w:val="nil"/>
              <w:bottom w:val="single" w:sz="4" w:space="0" w:color="auto"/>
              <w:right w:val="single" w:sz="4" w:space="0" w:color="auto"/>
            </w:tcBorders>
            <w:shd w:val="clear" w:color="auto" w:fill="auto"/>
            <w:vAlign w:val="bottom"/>
          </w:tcPr>
          <w:p w14:paraId="7A3419CD" w14:textId="77777777" w:rsidR="00620422" w:rsidRPr="008204CC" w:rsidRDefault="00620422" w:rsidP="0066301C">
            <w:pPr>
              <w:spacing w:after="0" w:line="240" w:lineRule="auto"/>
              <w:jc w:val="right"/>
              <w:rPr>
                <w:rFonts w:ascii="Arial" w:eastAsia="Times New Roman" w:hAnsi="Arial" w:cs="Arial"/>
                <w:color w:val="000000"/>
                <w:sz w:val="18"/>
                <w:szCs w:val="18"/>
                <w:lang w:eastAsia="en-GB"/>
              </w:rPr>
            </w:pPr>
            <w:r w:rsidRPr="008204CC">
              <w:rPr>
                <w:rFonts w:ascii="Arial" w:eastAsia="Times New Roman" w:hAnsi="Arial" w:cs="Arial"/>
                <w:color w:val="000000"/>
                <w:sz w:val="18"/>
                <w:szCs w:val="18"/>
                <w:lang w:eastAsia="en-GB"/>
              </w:rPr>
              <w:t>85.81038</w:t>
            </w:r>
          </w:p>
        </w:tc>
        <w:tc>
          <w:tcPr>
            <w:tcW w:w="1559" w:type="dxa"/>
            <w:gridSpan w:val="2"/>
            <w:tcBorders>
              <w:top w:val="nil"/>
              <w:left w:val="nil"/>
              <w:bottom w:val="single" w:sz="4" w:space="0" w:color="auto"/>
              <w:right w:val="single" w:sz="4" w:space="0" w:color="auto"/>
            </w:tcBorders>
            <w:shd w:val="clear" w:color="auto" w:fill="auto"/>
            <w:vAlign w:val="bottom"/>
          </w:tcPr>
          <w:p w14:paraId="3BCED04C" w14:textId="77777777" w:rsidR="00620422" w:rsidRPr="008204CC" w:rsidRDefault="00620422" w:rsidP="0066301C">
            <w:pPr>
              <w:spacing w:after="0" w:line="240" w:lineRule="auto"/>
              <w:jc w:val="right"/>
              <w:rPr>
                <w:rFonts w:ascii="Arial" w:eastAsia="Times New Roman" w:hAnsi="Arial" w:cs="Arial"/>
                <w:sz w:val="18"/>
                <w:szCs w:val="18"/>
                <w:lang w:eastAsia="en-GB"/>
              </w:rPr>
            </w:pPr>
            <w:r w:rsidRPr="008204CC">
              <w:rPr>
                <w:rFonts w:ascii="Arial" w:eastAsia="Times New Roman" w:hAnsi="Arial" w:cs="Arial"/>
                <w:sz w:val="18"/>
                <w:szCs w:val="18"/>
                <w:lang w:eastAsia="en-GB"/>
              </w:rPr>
              <w:t>83.12475557</w:t>
            </w:r>
          </w:p>
        </w:tc>
        <w:tc>
          <w:tcPr>
            <w:tcW w:w="2122" w:type="dxa"/>
            <w:gridSpan w:val="2"/>
            <w:tcBorders>
              <w:top w:val="nil"/>
              <w:left w:val="nil"/>
              <w:bottom w:val="single" w:sz="4" w:space="0" w:color="auto"/>
              <w:right w:val="single" w:sz="4" w:space="0" w:color="auto"/>
            </w:tcBorders>
            <w:shd w:val="clear" w:color="auto" w:fill="auto"/>
            <w:vAlign w:val="bottom"/>
          </w:tcPr>
          <w:p w14:paraId="0819D326" w14:textId="77777777" w:rsidR="00620422" w:rsidRPr="008204CC" w:rsidRDefault="00620422" w:rsidP="0066301C">
            <w:pPr>
              <w:spacing w:after="0" w:line="240" w:lineRule="auto"/>
              <w:jc w:val="right"/>
              <w:rPr>
                <w:rFonts w:ascii="Arial" w:eastAsia="Times New Roman" w:hAnsi="Arial" w:cs="Arial"/>
                <w:color w:val="000000"/>
                <w:sz w:val="18"/>
                <w:szCs w:val="18"/>
                <w:lang w:eastAsia="en-GB"/>
              </w:rPr>
            </w:pPr>
            <w:r w:rsidRPr="008204CC">
              <w:rPr>
                <w:rFonts w:ascii="Arial" w:eastAsia="Times New Roman" w:hAnsi="Arial" w:cs="Arial"/>
                <w:color w:val="000000"/>
                <w:sz w:val="18"/>
                <w:szCs w:val="18"/>
                <w:lang w:eastAsia="en-GB"/>
              </w:rPr>
              <w:t>2.685624506</w:t>
            </w:r>
          </w:p>
        </w:tc>
      </w:tr>
      <w:tr w:rsidR="008A6AC3" w:rsidRPr="008204CC" w14:paraId="365B0216" w14:textId="77777777" w:rsidTr="00D46B41">
        <w:trPr>
          <w:trHeight w:val="300"/>
        </w:trPr>
        <w:tc>
          <w:tcPr>
            <w:tcW w:w="1135" w:type="dxa"/>
            <w:tcBorders>
              <w:top w:val="nil"/>
              <w:left w:val="single" w:sz="4" w:space="0" w:color="auto"/>
              <w:bottom w:val="single" w:sz="4" w:space="0" w:color="auto"/>
              <w:right w:val="single" w:sz="4" w:space="0" w:color="auto"/>
            </w:tcBorders>
            <w:shd w:val="clear" w:color="auto" w:fill="auto"/>
            <w:noWrap/>
            <w:vAlign w:val="bottom"/>
            <w:hideMark/>
          </w:tcPr>
          <w:p w14:paraId="037932DC" w14:textId="77777777" w:rsidR="00620422" w:rsidRPr="008204CC" w:rsidRDefault="00620422" w:rsidP="0066301C">
            <w:pPr>
              <w:spacing w:after="0" w:line="240" w:lineRule="auto"/>
              <w:jc w:val="right"/>
              <w:rPr>
                <w:rFonts w:ascii="Arial" w:eastAsia="Times New Roman" w:hAnsi="Arial" w:cs="Arial"/>
                <w:color w:val="000000"/>
                <w:sz w:val="18"/>
                <w:szCs w:val="18"/>
                <w:lang w:eastAsia="en-GB"/>
              </w:rPr>
            </w:pPr>
            <w:r w:rsidRPr="008204CC">
              <w:rPr>
                <w:rFonts w:ascii="Arial" w:eastAsia="Times New Roman" w:hAnsi="Arial" w:cs="Arial"/>
                <w:color w:val="000000"/>
                <w:sz w:val="18"/>
                <w:szCs w:val="18"/>
                <w:lang w:eastAsia="en-GB"/>
              </w:rPr>
              <w:t>1986</w:t>
            </w:r>
          </w:p>
        </w:tc>
        <w:tc>
          <w:tcPr>
            <w:tcW w:w="1701" w:type="dxa"/>
            <w:tcBorders>
              <w:top w:val="nil"/>
              <w:left w:val="nil"/>
              <w:bottom w:val="single" w:sz="4" w:space="0" w:color="auto"/>
              <w:right w:val="single" w:sz="4" w:space="0" w:color="auto"/>
            </w:tcBorders>
            <w:shd w:val="clear" w:color="auto" w:fill="auto"/>
            <w:noWrap/>
            <w:vAlign w:val="bottom"/>
            <w:hideMark/>
          </w:tcPr>
          <w:p w14:paraId="5BA0E641" w14:textId="77777777" w:rsidR="00620422" w:rsidRPr="008204CC" w:rsidRDefault="00620422" w:rsidP="0066301C">
            <w:pPr>
              <w:spacing w:after="0" w:line="240" w:lineRule="auto"/>
              <w:jc w:val="right"/>
              <w:rPr>
                <w:rFonts w:ascii="Arial" w:eastAsia="Times New Roman" w:hAnsi="Arial" w:cs="Arial"/>
                <w:color w:val="000000"/>
                <w:sz w:val="18"/>
                <w:szCs w:val="18"/>
                <w:lang w:eastAsia="en-GB"/>
              </w:rPr>
            </w:pPr>
            <w:r w:rsidRPr="008204CC">
              <w:rPr>
                <w:rFonts w:ascii="Arial" w:eastAsia="Times New Roman" w:hAnsi="Arial" w:cs="Arial"/>
                <w:color w:val="000000"/>
                <w:sz w:val="18"/>
                <w:szCs w:val="18"/>
                <w:lang w:eastAsia="en-GB"/>
              </w:rPr>
              <w:t>213.24217</w:t>
            </w:r>
          </w:p>
        </w:tc>
        <w:tc>
          <w:tcPr>
            <w:tcW w:w="1701" w:type="dxa"/>
            <w:tcBorders>
              <w:top w:val="nil"/>
              <w:left w:val="nil"/>
              <w:bottom w:val="single" w:sz="4" w:space="0" w:color="auto"/>
              <w:right w:val="single" w:sz="4" w:space="0" w:color="auto"/>
            </w:tcBorders>
            <w:shd w:val="clear" w:color="auto" w:fill="auto"/>
            <w:noWrap/>
            <w:vAlign w:val="bottom"/>
            <w:hideMark/>
          </w:tcPr>
          <w:p w14:paraId="46AE3EA1" w14:textId="77777777" w:rsidR="00620422" w:rsidRPr="008204CC" w:rsidRDefault="00620422" w:rsidP="0066301C">
            <w:pPr>
              <w:spacing w:after="0" w:line="240" w:lineRule="auto"/>
              <w:jc w:val="right"/>
              <w:rPr>
                <w:rFonts w:ascii="Arial" w:eastAsia="Times New Roman" w:hAnsi="Arial" w:cs="Arial"/>
                <w:color w:val="000000"/>
                <w:sz w:val="18"/>
                <w:szCs w:val="18"/>
                <w:lang w:eastAsia="en-GB"/>
              </w:rPr>
            </w:pPr>
            <w:r w:rsidRPr="008204CC">
              <w:rPr>
                <w:rFonts w:ascii="Arial" w:eastAsia="Times New Roman" w:hAnsi="Arial" w:cs="Arial"/>
                <w:color w:val="000000"/>
                <w:sz w:val="18"/>
                <w:szCs w:val="18"/>
                <w:lang w:eastAsia="en-GB"/>
              </w:rPr>
              <w:t>198.30315</w:t>
            </w:r>
          </w:p>
        </w:tc>
        <w:tc>
          <w:tcPr>
            <w:tcW w:w="1984" w:type="dxa"/>
            <w:tcBorders>
              <w:top w:val="nil"/>
              <w:left w:val="nil"/>
              <w:bottom w:val="single" w:sz="4" w:space="0" w:color="auto"/>
              <w:right w:val="single" w:sz="4" w:space="0" w:color="auto"/>
            </w:tcBorders>
            <w:shd w:val="clear" w:color="auto" w:fill="auto"/>
            <w:noWrap/>
            <w:vAlign w:val="bottom"/>
            <w:hideMark/>
          </w:tcPr>
          <w:p w14:paraId="25A5795C" w14:textId="77777777" w:rsidR="00620422" w:rsidRPr="008204CC" w:rsidRDefault="00620422" w:rsidP="0066301C">
            <w:pPr>
              <w:spacing w:after="0" w:line="240" w:lineRule="auto"/>
              <w:jc w:val="right"/>
              <w:rPr>
                <w:rFonts w:ascii="Arial" w:eastAsia="Times New Roman" w:hAnsi="Arial" w:cs="Arial"/>
                <w:color w:val="000000"/>
                <w:sz w:val="18"/>
                <w:szCs w:val="18"/>
                <w:lang w:eastAsia="en-GB"/>
              </w:rPr>
            </w:pPr>
            <w:r w:rsidRPr="008204CC">
              <w:rPr>
                <w:rFonts w:ascii="Arial" w:eastAsia="Times New Roman" w:hAnsi="Arial" w:cs="Arial"/>
                <w:color w:val="000000"/>
                <w:sz w:val="18"/>
                <w:szCs w:val="18"/>
                <w:lang w:eastAsia="en-GB"/>
              </w:rPr>
              <w:t>14.939012</w:t>
            </w:r>
          </w:p>
        </w:tc>
        <w:tc>
          <w:tcPr>
            <w:tcW w:w="709" w:type="dxa"/>
            <w:vMerge/>
            <w:tcBorders>
              <w:left w:val="nil"/>
              <w:right w:val="single" w:sz="4" w:space="0" w:color="auto"/>
            </w:tcBorders>
          </w:tcPr>
          <w:p w14:paraId="582D9437" w14:textId="77777777" w:rsidR="00620422" w:rsidRPr="008204CC" w:rsidRDefault="00620422" w:rsidP="0066301C">
            <w:pPr>
              <w:spacing w:after="0" w:line="240" w:lineRule="auto"/>
              <w:jc w:val="right"/>
              <w:rPr>
                <w:rFonts w:ascii="Arial" w:eastAsia="Times New Roman" w:hAnsi="Arial" w:cs="Arial"/>
                <w:color w:val="000000"/>
                <w:sz w:val="18"/>
                <w:szCs w:val="18"/>
                <w:lang w:eastAsia="en-GB"/>
              </w:rPr>
            </w:pPr>
          </w:p>
        </w:tc>
        <w:tc>
          <w:tcPr>
            <w:tcW w:w="999" w:type="dxa"/>
            <w:gridSpan w:val="2"/>
            <w:tcBorders>
              <w:top w:val="nil"/>
              <w:left w:val="single" w:sz="4" w:space="0" w:color="auto"/>
              <w:bottom w:val="single" w:sz="4" w:space="0" w:color="auto"/>
              <w:right w:val="single" w:sz="4" w:space="0" w:color="auto"/>
            </w:tcBorders>
            <w:shd w:val="clear" w:color="auto" w:fill="auto"/>
            <w:vAlign w:val="bottom"/>
          </w:tcPr>
          <w:p w14:paraId="679BDAFE" w14:textId="77777777" w:rsidR="00620422" w:rsidRPr="008204CC" w:rsidRDefault="00620422" w:rsidP="0066301C">
            <w:pPr>
              <w:spacing w:after="0" w:line="240" w:lineRule="auto"/>
              <w:jc w:val="right"/>
              <w:rPr>
                <w:rFonts w:ascii="Arial" w:eastAsia="Times New Roman" w:hAnsi="Arial" w:cs="Arial"/>
                <w:color w:val="000000"/>
                <w:sz w:val="18"/>
                <w:szCs w:val="18"/>
                <w:lang w:eastAsia="en-GB"/>
              </w:rPr>
            </w:pPr>
            <w:r w:rsidRPr="008204CC">
              <w:rPr>
                <w:rFonts w:ascii="Arial" w:eastAsia="Times New Roman" w:hAnsi="Arial" w:cs="Arial"/>
                <w:color w:val="000000"/>
                <w:sz w:val="18"/>
                <w:szCs w:val="18"/>
                <w:lang w:eastAsia="en-GB"/>
              </w:rPr>
              <w:t>1991</w:t>
            </w:r>
          </w:p>
        </w:tc>
        <w:tc>
          <w:tcPr>
            <w:tcW w:w="1415" w:type="dxa"/>
            <w:gridSpan w:val="2"/>
            <w:tcBorders>
              <w:top w:val="nil"/>
              <w:left w:val="nil"/>
              <w:bottom w:val="single" w:sz="4" w:space="0" w:color="auto"/>
              <w:right w:val="single" w:sz="4" w:space="0" w:color="auto"/>
            </w:tcBorders>
            <w:shd w:val="clear" w:color="auto" w:fill="auto"/>
            <w:vAlign w:val="bottom"/>
          </w:tcPr>
          <w:p w14:paraId="612D3A62" w14:textId="77777777" w:rsidR="00620422" w:rsidRPr="008204CC" w:rsidRDefault="00620422" w:rsidP="0066301C">
            <w:pPr>
              <w:spacing w:after="0" w:line="240" w:lineRule="auto"/>
              <w:jc w:val="right"/>
              <w:rPr>
                <w:rFonts w:ascii="Arial" w:eastAsia="Times New Roman" w:hAnsi="Arial" w:cs="Arial"/>
                <w:color w:val="000000"/>
                <w:sz w:val="18"/>
                <w:szCs w:val="18"/>
                <w:lang w:eastAsia="en-GB"/>
              </w:rPr>
            </w:pPr>
            <w:r w:rsidRPr="008204CC">
              <w:rPr>
                <w:rFonts w:ascii="Arial" w:eastAsia="Times New Roman" w:hAnsi="Arial" w:cs="Arial"/>
                <w:color w:val="000000"/>
                <w:sz w:val="18"/>
                <w:szCs w:val="18"/>
                <w:lang w:eastAsia="en-GB"/>
              </w:rPr>
              <w:t>78.94511</w:t>
            </w:r>
          </w:p>
        </w:tc>
        <w:tc>
          <w:tcPr>
            <w:tcW w:w="1559" w:type="dxa"/>
            <w:gridSpan w:val="2"/>
            <w:tcBorders>
              <w:top w:val="nil"/>
              <w:left w:val="nil"/>
              <w:bottom w:val="single" w:sz="4" w:space="0" w:color="auto"/>
              <w:right w:val="single" w:sz="4" w:space="0" w:color="auto"/>
            </w:tcBorders>
            <w:shd w:val="clear" w:color="auto" w:fill="auto"/>
            <w:vAlign w:val="bottom"/>
          </w:tcPr>
          <w:p w14:paraId="1F25A1F6" w14:textId="77777777" w:rsidR="00620422" w:rsidRPr="008204CC" w:rsidRDefault="00620422" w:rsidP="0066301C">
            <w:pPr>
              <w:spacing w:after="0" w:line="240" w:lineRule="auto"/>
              <w:jc w:val="right"/>
              <w:rPr>
                <w:rFonts w:ascii="Arial" w:eastAsia="Times New Roman" w:hAnsi="Arial" w:cs="Arial"/>
                <w:sz w:val="18"/>
                <w:szCs w:val="18"/>
                <w:lang w:eastAsia="en-GB"/>
              </w:rPr>
            </w:pPr>
            <w:r w:rsidRPr="008204CC">
              <w:rPr>
                <w:rFonts w:ascii="Arial" w:eastAsia="Times New Roman" w:hAnsi="Arial" w:cs="Arial"/>
                <w:sz w:val="18"/>
                <w:szCs w:val="18"/>
                <w:lang w:eastAsia="en-GB"/>
              </w:rPr>
              <w:t>78.87587895</w:t>
            </w:r>
          </w:p>
        </w:tc>
        <w:tc>
          <w:tcPr>
            <w:tcW w:w="2122" w:type="dxa"/>
            <w:gridSpan w:val="2"/>
            <w:tcBorders>
              <w:top w:val="nil"/>
              <w:left w:val="nil"/>
              <w:bottom w:val="single" w:sz="4" w:space="0" w:color="auto"/>
              <w:right w:val="single" w:sz="4" w:space="0" w:color="auto"/>
            </w:tcBorders>
            <w:shd w:val="clear" w:color="auto" w:fill="auto"/>
            <w:vAlign w:val="bottom"/>
          </w:tcPr>
          <w:p w14:paraId="01C3247A" w14:textId="77777777" w:rsidR="00620422" w:rsidRPr="008204CC" w:rsidRDefault="00620422" w:rsidP="0066301C">
            <w:pPr>
              <w:spacing w:after="0" w:line="240" w:lineRule="auto"/>
              <w:jc w:val="right"/>
              <w:rPr>
                <w:rFonts w:ascii="Arial" w:eastAsia="Times New Roman" w:hAnsi="Arial" w:cs="Arial"/>
                <w:color w:val="000000"/>
                <w:sz w:val="18"/>
                <w:szCs w:val="18"/>
                <w:lang w:eastAsia="en-GB"/>
              </w:rPr>
            </w:pPr>
            <w:r w:rsidRPr="008204CC">
              <w:rPr>
                <w:rFonts w:ascii="Arial" w:eastAsia="Times New Roman" w:hAnsi="Arial" w:cs="Arial"/>
                <w:color w:val="000000"/>
                <w:sz w:val="18"/>
                <w:szCs w:val="18"/>
                <w:lang w:eastAsia="en-GB"/>
              </w:rPr>
              <w:t>0.069235285</w:t>
            </w:r>
          </w:p>
        </w:tc>
      </w:tr>
      <w:tr w:rsidR="008A6AC3" w:rsidRPr="008204CC" w14:paraId="7ECE5D50" w14:textId="77777777" w:rsidTr="00D46B41">
        <w:trPr>
          <w:trHeight w:val="300"/>
        </w:trPr>
        <w:tc>
          <w:tcPr>
            <w:tcW w:w="1135" w:type="dxa"/>
            <w:tcBorders>
              <w:top w:val="nil"/>
              <w:left w:val="single" w:sz="4" w:space="0" w:color="auto"/>
              <w:bottom w:val="single" w:sz="4" w:space="0" w:color="auto"/>
              <w:right w:val="single" w:sz="4" w:space="0" w:color="auto"/>
            </w:tcBorders>
            <w:shd w:val="clear" w:color="auto" w:fill="auto"/>
            <w:noWrap/>
            <w:vAlign w:val="bottom"/>
            <w:hideMark/>
          </w:tcPr>
          <w:p w14:paraId="5C6BCE73" w14:textId="77777777" w:rsidR="00620422" w:rsidRPr="008204CC" w:rsidRDefault="00620422" w:rsidP="0066301C">
            <w:pPr>
              <w:spacing w:after="0" w:line="240" w:lineRule="auto"/>
              <w:jc w:val="right"/>
              <w:rPr>
                <w:rFonts w:ascii="Arial" w:eastAsia="Times New Roman" w:hAnsi="Arial" w:cs="Arial"/>
                <w:color w:val="000000"/>
                <w:sz w:val="18"/>
                <w:szCs w:val="18"/>
                <w:lang w:eastAsia="en-GB"/>
              </w:rPr>
            </w:pPr>
            <w:r w:rsidRPr="008204CC">
              <w:rPr>
                <w:rFonts w:ascii="Arial" w:eastAsia="Times New Roman" w:hAnsi="Arial" w:cs="Arial"/>
                <w:color w:val="000000"/>
                <w:sz w:val="18"/>
                <w:szCs w:val="18"/>
                <w:lang w:eastAsia="en-GB"/>
              </w:rPr>
              <w:t>1987</w:t>
            </w:r>
          </w:p>
        </w:tc>
        <w:tc>
          <w:tcPr>
            <w:tcW w:w="1701" w:type="dxa"/>
            <w:tcBorders>
              <w:top w:val="nil"/>
              <w:left w:val="nil"/>
              <w:bottom w:val="single" w:sz="4" w:space="0" w:color="auto"/>
              <w:right w:val="single" w:sz="4" w:space="0" w:color="auto"/>
            </w:tcBorders>
            <w:shd w:val="clear" w:color="auto" w:fill="auto"/>
            <w:noWrap/>
            <w:vAlign w:val="bottom"/>
            <w:hideMark/>
          </w:tcPr>
          <w:p w14:paraId="2EDBF50F" w14:textId="77777777" w:rsidR="00620422" w:rsidRPr="008204CC" w:rsidRDefault="00620422" w:rsidP="0066301C">
            <w:pPr>
              <w:spacing w:after="0" w:line="240" w:lineRule="auto"/>
              <w:jc w:val="right"/>
              <w:rPr>
                <w:rFonts w:ascii="Arial" w:eastAsia="Times New Roman" w:hAnsi="Arial" w:cs="Arial"/>
                <w:color w:val="000000"/>
                <w:sz w:val="18"/>
                <w:szCs w:val="18"/>
                <w:lang w:eastAsia="en-GB"/>
              </w:rPr>
            </w:pPr>
            <w:r w:rsidRPr="008204CC">
              <w:rPr>
                <w:rFonts w:ascii="Arial" w:eastAsia="Times New Roman" w:hAnsi="Arial" w:cs="Arial"/>
                <w:color w:val="000000"/>
                <w:sz w:val="18"/>
                <w:szCs w:val="18"/>
                <w:lang w:eastAsia="en-GB"/>
              </w:rPr>
              <w:t>209.46064</w:t>
            </w:r>
          </w:p>
        </w:tc>
        <w:tc>
          <w:tcPr>
            <w:tcW w:w="1701" w:type="dxa"/>
            <w:tcBorders>
              <w:top w:val="nil"/>
              <w:left w:val="nil"/>
              <w:bottom w:val="single" w:sz="4" w:space="0" w:color="auto"/>
              <w:right w:val="single" w:sz="4" w:space="0" w:color="auto"/>
            </w:tcBorders>
            <w:shd w:val="clear" w:color="auto" w:fill="auto"/>
            <w:noWrap/>
            <w:vAlign w:val="bottom"/>
            <w:hideMark/>
          </w:tcPr>
          <w:p w14:paraId="47550DC6" w14:textId="77777777" w:rsidR="00620422" w:rsidRPr="008204CC" w:rsidRDefault="00620422" w:rsidP="0066301C">
            <w:pPr>
              <w:spacing w:after="0" w:line="240" w:lineRule="auto"/>
              <w:jc w:val="right"/>
              <w:rPr>
                <w:rFonts w:ascii="Arial" w:eastAsia="Times New Roman" w:hAnsi="Arial" w:cs="Arial"/>
                <w:color w:val="000000"/>
                <w:sz w:val="18"/>
                <w:szCs w:val="18"/>
                <w:lang w:eastAsia="en-GB"/>
              </w:rPr>
            </w:pPr>
            <w:r w:rsidRPr="008204CC">
              <w:rPr>
                <w:rFonts w:ascii="Arial" w:eastAsia="Times New Roman" w:hAnsi="Arial" w:cs="Arial"/>
                <w:color w:val="000000"/>
                <w:sz w:val="18"/>
                <w:szCs w:val="18"/>
                <w:lang w:eastAsia="en-GB"/>
              </w:rPr>
              <w:t>194.15511</w:t>
            </w:r>
          </w:p>
        </w:tc>
        <w:tc>
          <w:tcPr>
            <w:tcW w:w="1984" w:type="dxa"/>
            <w:tcBorders>
              <w:top w:val="nil"/>
              <w:left w:val="nil"/>
              <w:bottom w:val="single" w:sz="4" w:space="0" w:color="auto"/>
              <w:right w:val="single" w:sz="4" w:space="0" w:color="auto"/>
            </w:tcBorders>
            <w:shd w:val="clear" w:color="auto" w:fill="auto"/>
            <w:noWrap/>
            <w:vAlign w:val="bottom"/>
            <w:hideMark/>
          </w:tcPr>
          <w:p w14:paraId="24FE5027" w14:textId="77777777" w:rsidR="00620422" w:rsidRPr="008204CC" w:rsidRDefault="00620422" w:rsidP="0066301C">
            <w:pPr>
              <w:spacing w:after="0" w:line="240" w:lineRule="auto"/>
              <w:jc w:val="right"/>
              <w:rPr>
                <w:rFonts w:ascii="Arial" w:eastAsia="Times New Roman" w:hAnsi="Arial" w:cs="Arial"/>
                <w:color w:val="000000"/>
                <w:sz w:val="18"/>
                <w:szCs w:val="18"/>
                <w:lang w:eastAsia="en-GB"/>
              </w:rPr>
            </w:pPr>
            <w:r w:rsidRPr="008204CC">
              <w:rPr>
                <w:rFonts w:ascii="Arial" w:eastAsia="Times New Roman" w:hAnsi="Arial" w:cs="Arial"/>
                <w:color w:val="000000"/>
                <w:sz w:val="18"/>
                <w:szCs w:val="18"/>
                <w:lang w:eastAsia="en-GB"/>
              </w:rPr>
              <w:t>15.305539</w:t>
            </w:r>
          </w:p>
        </w:tc>
        <w:tc>
          <w:tcPr>
            <w:tcW w:w="709" w:type="dxa"/>
            <w:vMerge/>
            <w:tcBorders>
              <w:left w:val="nil"/>
              <w:right w:val="single" w:sz="4" w:space="0" w:color="auto"/>
            </w:tcBorders>
          </w:tcPr>
          <w:p w14:paraId="4B55BF3C" w14:textId="77777777" w:rsidR="00620422" w:rsidRPr="008204CC" w:rsidRDefault="00620422" w:rsidP="0066301C">
            <w:pPr>
              <w:spacing w:after="0" w:line="240" w:lineRule="auto"/>
              <w:jc w:val="right"/>
              <w:rPr>
                <w:rFonts w:ascii="Arial" w:eastAsia="Times New Roman" w:hAnsi="Arial" w:cs="Arial"/>
                <w:color w:val="000000"/>
                <w:sz w:val="18"/>
                <w:szCs w:val="18"/>
                <w:lang w:eastAsia="en-GB"/>
              </w:rPr>
            </w:pPr>
          </w:p>
        </w:tc>
        <w:tc>
          <w:tcPr>
            <w:tcW w:w="999" w:type="dxa"/>
            <w:gridSpan w:val="2"/>
            <w:tcBorders>
              <w:top w:val="nil"/>
              <w:left w:val="single" w:sz="4" w:space="0" w:color="auto"/>
              <w:bottom w:val="single" w:sz="4" w:space="0" w:color="auto"/>
              <w:right w:val="single" w:sz="4" w:space="0" w:color="auto"/>
            </w:tcBorders>
            <w:shd w:val="clear" w:color="auto" w:fill="auto"/>
            <w:vAlign w:val="bottom"/>
          </w:tcPr>
          <w:p w14:paraId="33963D2F" w14:textId="77777777" w:rsidR="00620422" w:rsidRPr="008204CC" w:rsidRDefault="00620422" w:rsidP="0066301C">
            <w:pPr>
              <w:spacing w:after="0" w:line="240" w:lineRule="auto"/>
              <w:jc w:val="right"/>
              <w:rPr>
                <w:rFonts w:ascii="Arial" w:eastAsia="Times New Roman" w:hAnsi="Arial" w:cs="Arial"/>
                <w:color w:val="000000"/>
                <w:sz w:val="18"/>
                <w:szCs w:val="18"/>
                <w:lang w:eastAsia="en-GB"/>
              </w:rPr>
            </w:pPr>
            <w:r w:rsidRPr="008204CC">
              <w:rPr>
                <w:rFonts w:ascii="Arial" w:eastAsia="Times New Roman" w:hAnsi="Arial" w:cs="Arial"/>
                <w:color w:val="000000"/>
                <w:sz w:val="18"/>
                <w:szCs w:val="18"/>
                <w:lang w:eastAsia="en-GB"/>
              </w:rPr>
              <w:t>1992</w:t>
            </w:r>
          </w:p>
        </w:tc>
        <w:tc>
          <w:tcPr>
            <w:tcW w:w="1415" w:type="dxa"/>
            <w:gridSpan w:val="2"/>
            <w:tcBorders>
              <w:top w:val="nil"/>
              <w:left w:val="nil"/>
              <w:bottom w:val="single" w:sz="4" w:space="0" w:color="auto"/>
              <w:right w:val="single" w:sz="4" w:space="0" w:color="auto"/>
            </w:tcBorders>
            <w:shd w:val="clear" w:color="auto" w:fill="auto"/>
            <w:vAlign w:val="bottom"/>
          </w:tcPr>
          <w:p w14:paraId="25B60C7E" w14:textId="77777777" w:rsidR="00620422" w:rsidRPr="008204CC" w:rsidRDefault="00620422" w:rsidP="0066301C">
            <w:pPr>
              <w:spacing w:after="0" w:line="240" w:lineRule="auto"/>
              <w:jc w:val="right"/>
              <w:rPr>
                <w:rFonts w:ascii="Arial" w:eastAsia="Times New Roman" w:hAnsi="Arial" w:cs="Arial"/>
                <w:color w:val="000000"/>
                <w:sz w:val="18"/>
                <w:szCs w:val="18"/>
                <w:lang w:eastAsia="en-GB"/>
              </w:rPr>
            </w:pPr>
            <w:r w:rsidRPr="008204CC">
              <w:rPr>
                <w:rFonts w:ascii="Arial" w:eastAsia="Times New Roman" w:hAnsi="Arial" w:cs="Arial"/>
                <w:color w:val="000000"/>
                <w:sz w:val="18"/>
                <w:szCs w:val="18"/>
                <w:lang w:eastAsia="en-GB"/>
              </w:rPr>
              <w:t>75.59356</w:t>
            </w:r>
          </w:p>
        </w:tc>
        <w:tc>
          <w:tcPr>
            <w:tcW w:w="1559" w:type="dxa"/>
            <w:gridSpan w:val="2"/>
            <w:tcBorders>
              <w:top w:val="nil"/>
              <w:left w:val="nil"/>
              <w:bottom w:val="single" w:sz="4" w:space="0" w:color="auto"/>
              <w:right w:val="single" w:sz="4" w:space="0" w:color="auto"/>
            </w:tcBorders>
            <w:shd w:val="clear" w:color="auto" w:fill="auto"/>
            <w:vAlign w:val="bottom"/>
          </w:tcPr>
          <w:p w14:paraId="5409FE23" w14:textId="77777777" w:rsidR="00620422" w:rsidRPr="008204CC" w:rsidRDefault="00620422" w:rsidP="0066301C">
            <w:pPr>
              <w:spacing w:after="0" w:line="240" w:lineRule="auto"/>
              <w:jc w:val="right"/>
              <w:rPr>
                <w:rFonts w:ascii="Arial" w:eastAsia="Times New Roman" w:hAnsi="Arial" w:cs="Arial"/>
                <w:sz w:val="18"/>
                <w:szCs w:val="18"/>
                <w:lang w:eastAsia="en-GB"/>
              </w:rPr>
            </w:pPr>
            <w:r w:rsidRPr="008204CC">
              <w:rPr>
                <w:rFonts w:ascii="Arial" w:eastAsia="Times New Roman" w:hAnsi="Arial" w:cs="Arial"/>
                <w:sz w:val="18"/>
                <w:szCs w:val="18"/>
                <w:lang w:eastAsia="en-GB"/>
              </w:rPr>
              <w:t>75.11717128</w:t>
            </w:r>
          </w:p>
        </w:tc>
        <w:tc>
          <w:tcPr>
            <w:tcW w:w="2122" w:type="dxa"/>
            <w:gridSpan w:val="2"/>
            <w:tcBorders>
              <w:top w:val="nil"/>
              <w:left w:val="nil"/>
              <w:bottom w:val="single" w:sz="4" w:space="0" w:color="auto"/>
              <w:right w:val="single" w:sz="4" w:space="0" w:color="auto"/>
            </w:tcBorders>
            <w:shd w:val="clear" w:color="auto" w:fill="auto"/>
            <w:vAlign w:val="bottom"/>
          </w:tcPr>
          <w:p w14:paraId="1E675FAE" w14:textId="77777777" w:rsidR="00620422" w:rsidRPr="008204CC" w:rsidRDefault="00620422" w:rsidP="0066301C">
            <w:pPr>
              <w:spacing w:after="0" w:line="240" w:lineRule="auto"/>
              <w:jc w:val="right"/>
              <w:rPr>
                <w:rFonts w:ascii="Arial" w:eastAsia="Times New Roman" w:hAnsi="Arial" w:cs="Arial"/>
                <w:color w:val="000000"/>
                <w:sz w:val="18"/>
                <w:szCs w:val="18"/>
                <w:lang w:eastAsia="en-GB"/>
              </w:rPr>
            </w:pPr>
            <w:r w:rsidRPr="008204CC">
              <w:rPr>
                <w:rFonts w:ascii="Arial" w:eastAsia="Times New Roman" w:hAnsi="Arial" w:cs="Arial"/>
                <w:color w:val="000000"/>
                <w:sz w:val="18"/>
                <w:szCs w:val="18"/>
                <w:lang w:eastAsia="en-GB"/>
              </w:rPr>
              <w:t>0.476387309</w:t>
            </w:r>
          </w:p>
        </w:tc>
      </w:tr>
      <w:tr w:rsidR="008A6AC3" w:rsidRPr="008204CC" w14:paraId="61A9DAAE" w14:textId="77777777" w:rsidTr="00D46B41">
        <w:trPr>
          <w:trHeight w:val="300"/>
        </w:trPr>
        <w:tc>
          <w:tcPr>
            <w:tcW w:w="1135" w:type="dxa"/>
            <w:tcBorders>
              <w:top w:val="nil"/>
              <w:left w:val="single" w:sz="4" w:space="0" w:color="auto"/>
              <w:bottom w:val="single" w:sz="4" w:space="0" w:color="auto"/>
              <w:right w:val="single" w:sz="4" w:space="0" w:color="auto"/>
            </w:tcBorders>
            <w:shd w:val="clear" w:color="auto" w:fill="auto"/>
            <w:noWrap/>
            <w:vAlign w:val="bottom"/>
            <w:hideMark/>
          </w:tcPr>
          <w:p w14:paraId="4DDED4BA" w14:textId="77777777" w:rsidR="00620422" w:rsidRPr="008204CC" w:rsidRDefault="00620422" w:rsidP="0066301C">
            <w:pPr>
              <w:spacing w:after="0" w:line="240" w:lineRule="auto"/>
              <w:jc w:val="right"/>
              <w:rPr>
                <w:rFonts w:ascii="Arial" w:eastAsia="Times New Roman" w:hAnsi="Arial" w:cs="Arial"/>
                <w:color w:val="000000"/>
                <w:sz w:val="18"/>
                <w:szCs w:val="18"/>
                <w:lang w:eastAsia="en-GB"/>
              </w:rPr>
            </w:pPr>
            <w:r w:rsidRPr="008204CC">
              <w:rPr>
                <w:rFonts w:ascii="Arial" w:eastAsia="Times New Roman" w:hAnsi="Arial" w:cs="Arial"/>
                <w:color w:val="000000"/>
                <w:sz w:val="18"/>
                <w:szCs w:val="18"/>
                <w:lang w:eastAsia="en-GB"/>
              </w:rPr>
              <w:t>1988</w:t>
            </w:r>
          </w:p>
        </w:tc>
        <w:tc>
          <w:tcPr>
            <w:tcW w:w="1701" w:type="dxa"/>
            <w:tcBorders>
              <w:top w:val="nil"/>
              <w:left w:val="nil"/>
              <w:bottom w:val="single" w:sz="4" w:space="0" w:color="auto"/>
              <w:right w:val="single" w:sz="4" w:space="0" w:color="auto"/>
            </w:tcBorders>
            <w:shd w:val="clear" w:color="auto" w:fill="auto"/>
            <w:noWrap/>
            <w:vAlign w:val="bottom"/>
            <w:hideMark/>
          </w:tcPr>
          <w:p w14:paraId="7893B769" w14:textId="77777777" w:rsidR="00620422" w:rsidRPr="008204CC" w:rsidRDefault="00620422" w:rsidP="0066301C">
            <w:pPr>
              <w:spacing w:after="0" w:line="240" w:lineRule="auto"/>
              <w:jc w:val="right"/>
              <w:rPr>
                <w:rFonts w:ascii="Arial" w:eastAsia="Times New Roman" w:hAnsi="Arial" w:cs="Arial"/>
                <w:color w:val="000000"/>
                <w:sz w:val="18"/>
                <w:szCs w:val="18"/>
                <w:lang w:eastAsia="en-GB"/>
              </w:rPr>
            </w:pPr>
            <w:r w:rsidRPr="008204CC">
              <w:rPr>
                <w:rFonts w:ascii="Arial" w:eastAsia="Times New Roman" w:hAnsi="Arial" w:cs="Arial"/>
                <w:color w:val="000000"/>
                <w:sz w:val="18"/>
                <w:szCs w:val="18"/>
                <w:lang w:eastAsia="en-GB"/>
              </w:rPr>
              <w:t>181.2535</w:t>
            </w:r>
          </w:p>
        </w:tc>
        <w:tc>
          <w:tcPr>
            <w:tcW w:w="1701" w:type="dxa"/>
            <w:tcBorders>
              <w:top w:val="nil"/>
              <w:left w:val="nil"/>
              <w:bottom w:val="single" w:sz="4" w:space="0" w:color="auto"/>
              <w:right w:val="single" w:sz="4" w:space="0" w:color="auto"/>
            </w:tcBorders>
            <w:shd w:val="clear" w:color="auto" w:fill="auto"/>
            <w:noWrap/>
            <w:vAlign w:val="bottom"/>
            <w:hideMark/>
          </w:tcPr>
          <w:p w14:paraId="55F04129" w14:textId="77777777" w:rsidR="00620422" w:rsidRPr="008204CC" w:rsidRDefault="00620422" w:rsidP="0066301C">
            <w:pPr>
              <w:spacing w:after="0" w:line="240" w:lineRule="auto"/>
              <w:jc w:val="right"/>
              <w:rPr>
                <w:rFonts w:ascii="Arial" w:eastAsia="Times New Roman" w:hAnsi="Arial" w:cs="Arial"/>
                <w:color w:val="000000"/>
                <w:sz w:val="18"/>
                <w:szCs w:val="18"/>
                <w:lang w:eastAsia="en-GB"/>
              </w:rPr>
            </w:pPr>
            <w:r w:rsidRPr="008204CC">
              <w:rPr>
                <w:rFonts w:ascii="Arial" w:eastAsia="Times New Roman" w:hAnsi="Arial" w:cs="Arial"/>
                <w:color w:val="000000"/>
                <w:sz w:val="18"/>
                <w:szCs w:val="18"/>
                <w:lang w:eastAsia="en-GB"/>
              </w:rPr>
              <w:t>188.81478</w:t>
            </w:r>
          </w:p>
        </w:tc>
        <w:tc>
          <w:tcPr>
            <w:tcW w:w="1984" w:type="dxa"/>
            <w:tcBorders>
              <w:top w:val="nil"/>
              <w:left w:val="nil"/>
              <w:bottom w:val="single" w:sz="4" w:space="0" w:color="auto"/>
              <w:right w:val="single" w:sz="4" w:space="0" w:color="auto"/>
            </w:tcBorders>
            <w:shd w:val="clear" w:color="auto" w:fill="auto"/>
            <w:noWrap/>
            <w:vAlign w:val="bottom"/>
            <w:hideMark/>
          </w:tcPr>
          <w:p w14:paraId="7D00B235" w14:textId="77777777" w:rsidR="00620422" w:rsidRPr="008204CC" w:rsidRDefault="00620422" w:rsidP="0066301C">
            <w:pPr>
              <w:spacing w:after="0" w:line="240" w:lineRule="auto"/>
              <w:jc w:val="right"/>
              <w:rPr>
                <w:rFonts w:ascii="Arial" w:eastAsia="Times New Roman" w:hAnsi="Arial" w:cs="Arial"/>
                <w:color w:val="000000"/>
                <w:sz w:val="18"/>
                <w:szCs w:val="18"/>
                <w:lang w:eastAsia="en-GB"/>
              </w:rPr>
            </w:pPr>
            <w:r w:rsidRPr="008204CC">
              <w:rPr>
                <w:rFonts w:ascii="Arial" w:eastAsia="Times New Roman" w:hAnsi="Arial" w:cs="Arial"/>
                <w:color w:val="000000"/>
                <w:sz w:val="18"/>
                <w:szCs w:val="18"/>
                <w:lang w:eastAsia="en-GB"/>
              </w:rPr>
              <w:t>-7.561281</w:t>
            </w:r>
          </w:p>
        </w:tc>
        <w:tc>
          <w:tcPr>
            <w:tcW w:w="709" w:type="dxa"/>
            <w:vMerge/>
            <w:tcBorders>
              <w:left w:val="nil"/>
              <w:right w:val="single" w:sz="4" w:space="0" w:color="auto"/>
            </w:tcBorders>
          </w:tcPr>
          <w:p w14:paraId="1EC1A62C" w14:textId="77777777" w:rsidR="00620422" w:rsidRPr="008204CC" w:rsidRDefault="00620422" w:rsidP="0066301C">
            <w:pPr>
              <w:spacing w:after="0" w:line="240" w:lineRule="auto"/>
              <w:jc w:val="right"/>
              <w:rPr>
                <w:rFonts w:ascii="Arial" w:eastAsia="Times New Roman" w:hAnsi="Arial" w:cs="Arial"/>
                <w:color w:val="000000"/>
                <w:sz w:val="18"/>
                <w:szCs w:val="18"/>
                <w:lang w:eastAsia="en-GB"/>
              </w:rPr>
            </w:pPr>
          </w:p>
        </w:tc>
        <w:tc>
          <w:tcPr>
            <w:tcW w:w="999" w:type="dxa"/>
            <w:gridSpan w:val="2"/>
            <w:tcBorders>
              <w:top w:val="nil"/>
              <w:left w:val="single" w:sz="4" w:space="0" w:color="auto"/>
              <w:bottom w:val="single" w:sz="4" w:space="0" w:color="auto"/>
              <w:right w:val="single" w:sz="4" w:space="0" w:color="auto"/>
            </w:tcBorders>
            <w:shd w:val="clear" w:color="auto" w:fill="auto"/>
            <w:vAlign w:val="bottom"/>
          </w:tcPr>
          <w:p w14:paraId="0610B6D6" w14:textId="77777777" w:rsidR="00620422" w:rsidRPr="008204CC" w:rsidRDefault="00620422" w:rsidP="0066301C">
            <w:pPr>
              <w:spacing w:after="0" w:line="240" w:lineRule="auto"/>
              <w:jc w:val="right"/>
              <w:rPr>
                <w:rFonts w:ascii="Arial" w:eastAsia="Times New Roman" w:hAnsi="Arial" w:cs="Arial"/>
                <w:color w:val="000000"/>
                <w:sz w:val="18"/>
                <w:szCs w:val="18"/>
                <w:lang w:eastAsia="en-GB"/>
              </w:rPr>
            </w:pPr>
            <w:r w:rsidRPr="008204CC">
              <w:rPr>
                <w:rFonts w:ascii="Arial" w:eastAsia="Times New Roman" w:hAnsi="Arial" w:cs="Arial"/>
                <w:color w:val="000000"/>
                <w:sz w:val="18"/>
                <w:szCs w:val="18"/>
                <w:lang w:eastAsia="en-GB"/>
              </w:rPr>
              <w:t>1993</w:t>
            </w:r>
          </w:p>
        </w:tc>
        <w:tc>
          <w:tcPr>
            <w:tcW w:w="1415" w:type="dxa"/>
            <w:gridSpan w:val="2"/>
            <w:tcBorders>
              <w:top w:val="nil"/>
              <w:left w:val="nil"/>
              <w:bottom w:val="single" w:sz="4" w:space="0" w:color="auto"/>
              <w:right w:val="single" w:sz="4" w:space="0" w:color="auto"/>
            </w:tcBorders>
            <w:shd w:val="clear" w:color="auto" w:fill="auto"/>
            <w:vAlign w:val="bottom"/>
          </w:tcPr>
          <w:p w14:paraId="4A42E2D8" w14:textId="77777777" w:rsidR="00620422" w:rsidRPr="008204CC" w:rsidRDefault="00620422" w:rsidP="0066301C">
            <w:pPr>
              <w:spacing w:after="0" w:line="240" w:lineRule="auto"/>
              <w:jc w:val="right"/>
              <w:rPr>
                <w:rFonts w:ascii="Arial" w:eastAsia="Times New Roman" w:hAnsi="Arial" w:cs="Arial"/>
                <w:color w:val="000000"/>
                <w:sz w:val="18"/>
                <w:szCs w:val="18"/>
                <w:lang w:eastAsia="en-GB"/>
              </w:rPr>
            </w:pPr>
            <w:r w:rsidRPr="008204CC">
              <w:rPr>
                <w:rFonts w:ascii="Arial" w:eastAsia="Times New Roman" w:hAnsi="Arial" w:cs="Arial"/>
                <w:color w:val="000000"/>
                <w:sz w:val="18"/>
                <w:szCs w:val="18"/>
                <w:lang w:eastAsia="en-GB"/>
              </w:rPr>
              <w:t>79.44577</w:t>
            </w:r>
          </w:p>
        </w:tc>
        <w:tc>
          <w:tcPr>
            <w:tcW w:w="1559" w:type="dxa"/>
            <w:gridSpan w:val="2"/>
            <w:tcBorders>
              <w:top w:val="nil"/>
              <w:left w:val="nil"/>
              <w:bottom w:val="single" w:sz="4" w:space="0" w:color="auto"/>
              <w:right w:val="single" w:sz="4" w:space="0" w:color="auto"/>
            </w:tcBorders>
            <w:shd w:val="clear" w:color="auto" w:fill="auto"/>
            <w:vAlign w:val="bottom"/>
          </w:tcPr>
          <w:p w14:paraId="03054DAB" w14:textId="77777777" w:rsidR="00620422" w:rsidRPr="008204CC" w:rsidRDefault="00620422" w:rsidP="0066301C">
            <w:pPr>
              <w:spacing w:after="0" w:line="240" w:lineRule="auto"/>
              <w:jc w:val="right"/>
              <w:rPr>
                <w:rFonts w:ascii="Arial" w:eastAsia="Times New Roman" w:hAnsi="Arial" w:cs="Arial"/>
                <w:sz w:val="18"/>
                <w:szCs w:val="18"/>
                <w:lang w:eastAsia="en-GB"/>
              </w:rPr>
            </w:pPr>
            <w:r w:rsidRPr="008204CC">
              <w:rPr>
                <w:rFonts w:ascii="Arial" w:eastAsia="Times New Roman" w:hAnsi="Arial" w:cs="Arial"/>
                <w:sz w:val="18"/>
                <w:szCs w:val="18"/>
                <w:lang w:eastAsia="en-GB"/>
              </w:rPr>
              <w:t>71.88925832</w:t>
            </w:r>
          </w:p>
        </w:tc>
        <w:tc>
          <w:tcPr>
            <w:tcW w:w="2122" w:type="dxa"/>
            <w:gridSpan w:val="2"/>
            <w:tcBorders>
              <w:top w:val="nil"/>
              <w:left w:val="nil"/>
              <w:bottom w:val="single" w:sz="4" w:space="0" w:color="auto"/>
              <w:right w:val="single" w:sz="4" w:space="0" w:color="auto"/>
            </w:tcBorders>
            <w:shd w:val="clear" w:color="auto" w:fill="auto"/>
            <w:vAlign w:val="bottom"/>
          </w:tcPr>
          <w:p w14:paraId="7D813A63" w14:textId="77777777" w:rsidR="00620422" w:rsidRPr="008204CC" w:rsidRDefault="00620422" w:rsidP="0066301C">
            <w:pPr>
              <w:spacing w:after="0" w:line="240" w:lineRule="auto"/>
              <w:jc w:val="right"/>
              <w:rPr>
                <w:rFonts w:ascii="Arial" w:eastAsia="Times New Roman" w:hAnsi="Arial" w:cs="Arial"/>
                <w:color w:val="000000"/>
                <w:sz w:val="18"/>
                <w:szCs w:val="18"/>
                <w:lang w:eastAsia="en-GB"/>
              </w:rPr>
            </w:pPr>
            <w:r w:rsidRPr="008204CC">
              <w:rPr>
                <w:rFonts w:ascii="Arial" w:eastAsia="Times New Roman" w:hAnsi="Arial" w:cs="Arial"/>
                <w:color w:val="000000"/>
                <w:sz w:val="18"/>
                <w:szCs w:val="18"/>
                <w:lang w:eastAsia="en-GB"/>
              </w:rPr>
              <w:t>7.556508717</w:t>
            </w:r>
          </w:p>
        </w:tc>
      </w:tr>
      <w:tr w:rsidR="008A6AC3" w:rsidRPr="008204CC" w14:paraId="34CCB679" w14:textId="77777777" w:rsidTr="00D46B41">
        <w:trPr>
          <w:trHeight w:val="300"/>
        </w:trPr>
        <w:tc>
          <w:tcPr>
            <w:tcW w:w="1135" w:type="dxa"/>
            <w:tcBorders>
              <w:top w:val="nil"/>
              <w:left w:val="single" w:sz="4" w:space="0" w:color="auto"/>
              <w:bottom w:val="single" w:sz="4" w:space="0" w:color="auto"/>
              <w:right w:val="single" w:sz="4" w:space="0" w:color="auto"/>
            </w:tcBorders>
            <w:shd w:val="clear" w:color="auto" w:fill="auto"/>
            <w:noWrap/>
            <w:vAlign w:val="bottom"/>
            <w:hideMark/>
          </w:tcPr>
          <w:p w14:paraId="4C373993" w14:textId="77777777" w:rsidR="00620422" w:rsidRPr="008204CC" w:rsidRDefault="00620422" w:rsidP="0066301C">
            <w:pPr>
              <w:spacing w:after="0" w:line="240" w:lineRule="auto"/>
              <w:jc w:val="right"/>
              <w:rPr>
                <w:rFonts w:ascii="Arial" w:eastAsia="Times New Roman" w:hAnsi="Arial" w:cs="Arial"/>
                <w:color w:val="000000"/>
                <w:sz w:val="18"/>
                <w:szCs w:val="18"/>
                <w:lang w:eastAsia="en-GB"/>
              </w:rPr>
            </w:pPr>
            <w:r w:rsidRPr="008204CC">
              <w:rPr>
                <w:rFonts w:ascii="Arial" w:eastAsia="Times New Roman" w:hAnsi="Arial" w:cs="Arial"/>
                <w:color w:val="000000"/>
                <w:sz w:val="18"/>
                <w:szCs w:val="18"/>
                <w:lang w:eastAsia="en-GB"/>
              </w:rPr>
              <w:t>1989</w:t>
            </w:r>
          </w:p>
        </w:tc>
        <w:tc>
          <w:tcPr>
            <w:tcW w:w="1701" w:type="dxa"/>
            <w:tcBorders>
              <w:top w:val="nil"/>
              <w:left w:val="nil"/>
              <w:bottom w:val="single" w:sz="4" w:space="0" w:color="auto"/>
              <w:right w:val="single" w:sz="4" w:space="0" w:color="auto"/>
            </w:tcBorders>
            <w:shd w:val="clear" w:color="auto" w:fill="auto"/>
            <w:noWrap/>
            <w:vAlign w:val="bottom"/>
            <w:hideMark/>
          </w:tcPr>
          <w:p w14:paraId="7DA8999C" w14:textId="77777777" w:rsidR="00620422" w:rsidRPr="008204CC" w:rsidRDefault="00620422" w:rsidP="0066301C">
            <w:pPr>
              <w:spacing w:after="0" w:line="240" w:lineRule="auto"/>
              <w:jc w:val="right"/>
              <w:rPr>
                <w:rFonts w:ascii="Arial" w:eastAsia="Times New Roman" w:hAnsi="Arial" w:cs="Arial"/>
                <w:color w:val="000000"/>
                <w:sz w:val="18"/>
                <w:szCs w:val="18"/>
                <w:lang w:eastAsia="en-GB"/>
              </w:rPr>
            </w:pPr>
            <w:r w:rsidRPr="008204CC">
              <w:rPr>
                <w:rFonts w:ascii="Arial" w:eastAsia="Times New Roman" w:hAnsi="Arial" w:cs="Arial"/>
                <w:color w:val="000000"/>
                <w:sz w:val="18"/>
                <w:szCs w:val="18"/>
                <w:lang w:eastAsia="en-GB"/>
              </w:rPr>
              <w:t>214.19161</w:t>
            </w:r>
          </w:p>
        </w:tc>
        <w:tc>
          <w:tcPr>
            <w:tcW w:w="1701" w:type="dxa"/>
            <w:tcBorders>
              <w:top w:val="nil"/>
              <w:left w:val="nil"/>
              <w:bottom w:val="single" w:sz="4" w:space="0" w:color="auto"/>
              <w:right w:val="single" w:sz="4" w:space="0" w:color="auto"/>
            </w:tcBorders>
            <w:shd w:val="clear" w:color="auto" w:fill="auto"/>
            <w:noWrap/>
            <w:vAlign w:val="bottom"/>
            <w:hideMark/>
          </w:tcPr>
          <w:p w14:paraId="4819F460" w14:textId="77777777" w:rsidR="00620422" w:rsidRPr="008204CC" w:rsidRDefault="00620422" w:rsidP="0066301C">
            <w:pPr>
              <w:spacing w:after="0" w:line="240" w:lineRule="auto"/>
              <w:jc w:val="right"/>
              <w:rPr>
                <w:rFonts w:ascii="Arial" w:eastAsia="Times New Roman" w:hAnsi="Arial" w:cs="Arial"/>
                <w:color w:val="000000"/>
                <w:sz w:val="18"/>
                <w:szCs w:val="18"/>
                <w:lang w:eastAsia="en-GB"/>
              </w:rPr>
            </w:pPr>
            <w:r w:rsidRPr="008204CC">
              <w:rPr>
                <w:rFonts w:ascii="Arial" w:eastAsia="Times New Roman" w:hAnsi="Arial" w:cs="Arial"/>
                <w:color w:val="000000"/>
                <w:sz w:val="18"/>
                <w:szCs w:val="18"/>
                <w:lang w:eastAsia="en-GB"/>
              </w:rPr>
              <w:t>182.19319</w:t>
            </w:r>
          </w:p>
        </w:tc>
        <w:tc>
          <w:tcPr>
            <w:tcW w:w="1984" w:type="dxa"/>
            <w:tcBorders>
              <w:top w:val="nil"/>
              <w:left w:val="nil"/>
              <w:bottom w:val="single" w:sz="4" w:space="0" w:color="auto"/>
              <w:right w:val="single" w:sz="4" w:space="0" w:color="auto"/>
            </w:tcBorders>
            <w:shd w:val="clear" w:color="auto" w:fill="auto"/>
            <w:noWrap/>
            <w:vAlign w:val="bottom"/>
            <w:hideMark/>
          </w:tcPr>
          <w:p w14:paraId="26C0E6B6" w14:textId="77777777" w:rsidR="00620422" w:rsidRPr="008204CC" w:rsidRDefault="00620422" w:rsidP="0066301C">
            <w:pPr>
              <w:spacing w:after="0" w:line="240" w:lineRule="auto"/>
              <w:jc w:val="right"/>
              <w:rPr>
                <w:rFonts w:ascii="Arial" w:eastAsia="Times New Roman" w:hAnsi="Arial" w:cs="Arial"/>
                <w:color w:val="000000"/>
                <w:sz w:val="18"/>
                <w:szCs w:val="18"/>
                <w:lang w:eastAsia="en-GB"/>
              </w:rPr>
            </w:pPr>
            <w:r w:rsidRPr="008204CC">
              <w:rPr>
                <w:rFonts w:ascii="Arial" w:eastAsia="Times New Roman" w:hAnsi="Arial" w:cs="Arial"/>
                <w:color w:val="000000"/>
                <w:sz w:val="18"/>
                <w:szCs w:val="18"/>
                <w:lang w:eastAsia="en-GB"/>
              </w:rPr>
              <w:t>31.998424</w:t>
            </w:r>
          </w:p>
        </w:tc>
        <w:tc>
          <w:tcPr>
            <w:tcW w:w="709" w:type="dxa"/>
            <w:vMerge/>
            <w:tcBorders>
              <w:left w:val="nil"/>
              <w:right w:val="single" w:sz="4" w:space="0" w:color="auto"/>
            </w:tcBorders>
          </w:tcPr>
          <w:p w14:paraId="515F93CE" w14:textId="77777777" w:rsidR="00620422" w:rsidRPr="008204CC" w:rsidRDefault="00620422" w:rsidP="0066301C">
            <w:pPr>
              <w:spacing w:after="0" w:line="240" w:lineRule="auto"/>
              <w:jc w:val="right"/>
              <w:rPr>
                <w:rFonts w:ascii="Arial" w:eastAsia="Times New Roman" w:hAnsi="Arial" w:cs="Arial"/>
                <w:color w:val="000000"/>
                <w:sz w:val="18"/>
                <w:szCs w:val="18"/>
                <w:lang w:eastAsia="en-GB"/>
              </w:rPr>
            </w:pPr>
          </w:p>
        </w:tc>
        <w:tc>
          <w:tcPr>
            <w:tcW w:w="999" w:type="dxa"/>
            <w:gridSpan w:val="2"/>
            <w:tcBorders>
              <w:top w:val="nil"/>
              <w:left w:val="single" w:sz="4" w:space="0" w:color="auto"/>
              <w:bottom w:val="single" w:sz="4" w:space="0" w:color="auto"/>
              <w:right w:val="single" w:sz="4" w:space="0" w:color="auto"/>
            </w:tcBorders>
            <w:shd w:val="clear" w:color="auto" w:fill="auto"/>
            <w:vAlign w:val="bottom"/>
          </w:tcPr>
          <w:p w14:paraId="5AB62ECF" w14:textId="77777777" w:rsidR="00620422" w:rsidRPr="008204CC" w:rsidRDefault="00620422" w:rsidP="0066301C">
            <w:pPr>
              <w:spacing w:after="0" w:line="240" w:lineRule="auto"/>
              <w:jc w:val="right"/>
              <w:rPr>
                <w:rFonts w:ascii="Arial" w:eastAsia="Times New Roman" w:hAnsi="Arial" w:cs="Arial"/>
                <w:color w:val="000000"/>
                <w:sz w:val="18"/>
                <w:szCs w:val="18"/>
                <w:lang w:eastAsia="en-GB"/>
              </w:rPr>
            </w:pPr>
            <w:r w:rsidRPr="008204CC">
              <w:rPr>
                <w:rFonts w:ascii="Arial" w:eastAsia="Times New Roman" w:hAnsi="Arial" w:cs="Arial"/>
                <w:color w:val="000000"/>
                <w:sz w:val="18"/>
                <w:szCs w:val="18"/>
                <w:lang w:eastAsia="en-GB"/>
              </w:rPr>
              <w:t>1994</w:t>
            </w:r>
          </w:p>
        </w:tc>
        <w:tc>
          <w:tcPr>
            <w:tcW w:w="1415" w:type="dxa"/>
            <w:gridSpan w:val="2"/>
            <w:tcBorders>
              <w:top w:val="nil"/>
              <w:left w:val="nil"/>
              <w:bottom w:val="single" w:sz="4" w:space="0" w:color="auto"/>
              <w:right w:val="single" w:sz="4" w:space="0" w:color="auto"/>
            </w:tcBorders>
            <w:shd w:val="clear" w:color="auto" w:fill="auto"/>
            <w:vAlign w:val="bottom"/>
          </w:tcPr>
          <w:p w14:paraId="1A2EA766" w14:textId="77777777" w:rsidR="00620422" w:rsidRPr="008204CC" w:rsidRDefault="00620422" w:rsidP="0066301C">
            <w:pPr>
              <w:spacing w:after="0" w:line="240" w:lineRule="auto"/>
              <w:jc w:val="right"/>
              <w:rPr>
                <w:rFonts w:ascii="Arial" w:eastAsia="Times New Roman" w:hAnsi="Arial" w:cs="Arial"/>
                <w:color w:val="000000"/>
                <w:sz w:val="18"/>
                <w:szCs w:val="18"/>
                <w:lang w:eastAsia="en-GB"/>
              </w:rPr>
            </w:pPr>
            <w:r w:rsidRPr="008204CC">
              <w:rPr>
                <w:rFonts w:ascii="Arial" w:eastAsia="Times New Roman" w:hAnsi="Arial" w:cs="Arial"/>
                <w:color w:val="000000"/>
                <w:sz w:val="18"/>
                <w:szCs w:val="18"/>
                <w:lang w:eastAsia="en-GB"/>
              </w:rPr>
              <w:t>57.09972</w:t>
            </w:r>
          </w:p>
        </w:tc>
        <w:tc>
          <w:tcPr>
            <w:tcW w:w="1559" w:type="dxa"/>
            <w:gridSpan w:val="2"/>
            <w:tcBorders>
              <w:top w:val="nil"/>
              <w:left w:val="nil"/>
              <w:bottom w:val="single" w:sz="4" w:space="0" w:color="auto"/>
              <w:right w:val="single" w:sz="4" w:space="0" w:color="auto"/>
            </w:tcBorders>
            <w:shd w:val="clear" w:color="auto" w:fill="auto"/>
            <w:vAlign w:val="bottom"/>
          </w:tcPr>
          <w:p w14:paraId="0AD8B2A0" w14:textId="77777777" w:rsidR="00620422" w:rsidRPr="008204CC" w:rsidRDefault="00620422" w:rsidP="0066301C">
            <w:pPr>
              <w:spacing w:after="0" w:line="240" w:lineRule="auto"/>
              <w:jc w:val="right"/>
              <w:rPr>
                <w:rFonts w:ascii="Arial" w:eastAsia="Times New Roman" w:hAnsi="Arial" w:cs="Arial"/>
                <w:sz w:val="18"/>
                <w:szCs w:val="18"/>
                <w:lang w:eastAsia="en-GB"/>
              </w:rPr>
            </w:pPr>
            <w:r w:rsidRPr="008204CC">
              <w:rPr>
                <w:rFonts w:ascii="Arial" w:eastAsia="Times New Roman" w:hAnsi="Arial" w:cs="Arial"/>
                <w:sz w:val="18"/>
                <w:szCs w:val="18"/>
                <w:lang w:eastAsia="en-GB"/>
              </w:rPr>
              <w:t>69.23752973</w:t>
            </w:r>
          </w:p>
        </w:tc>
        <w:tc>
          <w:tcPr>
            <w:tcW w:w="2122" w:type="dxa"/>
            <w:gridSpan w:val="2"/>
            <w:tcBorders>
              <w:top w:val="nil"/>
              <w:left w:val="nil"/>
              <w:bottom w:val="single" w:sz="4" w:space="0" w:color="auto"/>
              <w:right w:val="single" w:sz="4" w:space="0" w:color="auto"/>
            </w:tcBorders>
            <w:shd w:val="clear" w:color="auto" w:fill="auto"/>
            <w:vAlign w:val="bottom"/>
          </w:tcPr>
          <w:p w14:paraId="36494AF0" w14:textId="77777777" w:rsidR="00620422" w:rsidRPr="008204CC" w:rsidRDefault="00620422" w:rsidP="0066301C">
            <w:pPr>
              <w:spacing w:after="0" w:line="240" w:lineRule="auto"/>
              <w:jc w:val="right"/>
              <w:rPr>
                <w:rFonts w:ascii="Arial" w:eastAsia="Times New Roman" w:hAnsi="Arial" w:cs="Arial"/>
                <w:color w:val="000000"/>
                <w:sz w:val="18"/>
                <w:szCs w:val="18"/>
                <w:lang w:eastAsia="en-GB"/>
              </w:rPr>
            </w:pPr>
            <w:r w:rsidRPr="008204CC">
              <w:rPr>
                <w:rFonts w:ascii="Arial" w:eastAsia="Times New Roman" w:hAnsi="Arial" w:cs="Arial"/>
                <w:color w:val="000000"/>
                <w:sz w:val="18"/>
                <w:szCs w:val="18"/>
                <w:lang w:eastAsia="en-GB"/>
              </w:rPr>
              <w:t>-12.1378048</w:t>
            </w:r>
          </w:p>
        </w:tc>
      </w:tr>
      <w:tr w:rsidR="008A6AC3" w:rsidRPr="008204CC" w14:paraId="2116BC2C" w14:textId="77777777" w:rsidTr="00D46B41">
        <w:trPr>
          <w:trHeight w:val="300"/>
        </w:trPr>
        <w:tc>
          <w:tcPr>
            <w:tcW w:w="1135" w:type="dxa"/>
            <w:tcBorders>
              <w:top w:val="nil"/>
              <w:left w:val="single" w:sz="4" w:space="0" w:color="auto"/>
              <w:bottom w:val="single" w:sz="4" w:space="0" w:color="auto"/>
              <w:right w:val="single" w:sz="4" w:space="0" w:color="auto"/>
            </w:tcBorders>
            <w:shd w:val="clear" w:color="auto" w:fill="auto"/>
            <w:noWrap/>
            <w:vAlign w:val="bottom"/>
            <w:hideMark/>
          </w:tcPr>
          <w:p w14:paraId="2C811F44" w14:textId="77777777" w:rsidR="00620422" w:rsidRPr="008204CC" w:rsidRDefault="00620422" w:rsidP="0066301C">
            <w:pPr>
              <w:spacing w:after="0" w:line="240" w:lineRule="auto"/>
              <w:jc w:val="right"/>
              <w:rPr>
                <w:rFonts w:ascii="Arial" w:eastAsia="Times New Roman" w:hAnsi="Arial" w:cs="Arial"/>
                <w:color w:val="000000"/>
                <w:sz w:val="18"/>
                <w:szCs w:val="18"/>
                <w:lang w:eastAsia="en-GB"/>
              </w:rPr>
            </w:pPr>
            <w:r w:rsidRPr="008204CC">
              <w:rPr>
                <w:rFonts w:ascii="Arial" w:eastAsia="Times New Roman" w:hAnsi="Arial" w:cs="Arial"/>
                <w:color w:val="000000"/>
                <w:sz w:val="18"/>
                <w:szCs w:val="18"/>
                <w:lang w:eastAsia="en-GB"/>
              </w:rPr>
              <w:t>1990</w:t>
            </w:r>
          </w:p>
        </w:tc>
        <w:tc>
          <w:tcPr>
            <w:tcW w:w="1701" w:type="dxa"/>
            <w:tcBorders>
              <w:top w:val="nil"/>
              <w:left w:val="nil"/>
              <w:bottom w:val="single" w:sz="4" w:space="0" w:color="auto"/>
              <w:right w:val="single" w:sz="4" w:space="0" w:color="auto"/>
            </w:tcBorders>
            <w:shd w:val="clear" w:color="auto" w:fill="auto"/>
            <w:noWrap/>
            <w:vAlign w:val="bottom"/>
            <w:hideMark/>
          </w:tcPr>
          <w:p w14:paraId="70994F56" w14:textId="77777777" w:rsidR="00620422" w:rsidRPr="008204CC" w:rsidRDefault="00620422" w:rsidP="0066301C">
            <w:pPr>
              <w:spacing w:after="0" w:line="240" w:lineRule="auto"/>
              <w:jc w:val="right"/>
              <w:rPr>
                <w:rFonts w:ascii="Arial" w:eastAsia="Times New Roman" w:hAnsi="Arial" w:cs="Arial"/>
                <w:color w:val="000000"/>
                <w:sz w:val="18"/>
                <w:szCs w:val="18"/>
                <w:lang w:eastAsia="en-GB"/>
              </w:rPr>
            </w:pPr>
            <w:r w:rsidRPr="008204CC">
              <w:rPr>
                <w:rFonts w:ascii="Arial" w:eastAsia="Times New Roman" w:hAnsi="Arial" w:cs="Arial"/>
                <w:color w:val="000000"/>
                <w:sz w:val="18"/>
                <w:szCs w:val="18"/>
                <w:lang w:eastAsia="en-GB"/>
              </w:rPr>
              <w:t>215.26543</w:t>
            </w:r>
          </w:p>
        </w:tc>
        <w:tc>
          <w:tcPr>
            <w:tcW w:w="1701" w:type="dxa"/>
            <w:tcBorders>
              <w:top w:val="nil"/>
              <w:left w:val="nil"/>
              <w:bottom w:val="single" w:sz="4" w:space="0" w:color="auto"/>
              <w:right w:val="single" w:sz="4" w:space="0" w:color="auto"/>
            </w:tcBorders>
            <w:shd w:val="clear" w:color="auto" w:fill="auto"/>
            <w:noWrap/>
            <w:vAlign w:val="bottom"/>
            <w:hideMark/>
          </w:tcPr>
          <w:p w14:paraId="44859C10" w14:textId="77777777" w:rsidR="00620422" w:rsidRPr="008204CC" w:rsidRDefault="00620422" w:rsidP="0066301C">
            <w:pPr>
              <w:spacing w:after="0" w:line="240" w:lineRule="auto"/>
              <w:jc w:val="right"/>
              <w:rPr>
                <w:rFonts w:ascii="Arial" w:eastAsia="Times New Roman" w:hAnsi="Arial" w:cs="Arial"/>
                <w:color w:val="000000"/>
                <w:sz w:val="18"/>
                <w:szCs w:val="18"/>
                <w:lang w:eastAsia="en-GB"/>
              </w:rPr>
            </w:pPr>
            <w:r w:rsidRPr="008204CC">
              <w:rPr>
                <w:rFonts w:ascii="Arial" w:eastAsia="Times New Roman" w:hAnsi="Arial" w:cs="Arial"/>
                <w:color w:val="000000"/>
                <w:sz w:val="18"/>
                <w:szCs w:val="18"/>
                <w:lang w:eastAsia="en-GB"/>
              </w:rPr>
              <w:t>174.12574</w:t>
            </w:r>
          </w:p>
        </w:tc>
        <w:tc>
          <w:tcPr>
            <w:tcW w:w="1984" w:type="dxa"/>
            <w:tcBorders>
              <w:top w:val="nil"/>
              <w:left w:val="nil"/>
              <w:bottom w:val="single" w:sz="4" w:space="0" w:color="auto"/>
              <w:right w:val="single" w:sz="4" w:space="0" w:color="auto"/>
            </w:tcBorders>
            <w:shd w:val="clear" w:color="auto" w:fill="auto"/>
            <w:noWrap/>
            <w:vAlign w:val="bottom"/>
            <w:hideMark/>
          </w:tcPr>
          <w:p w14:paraId="54C0FB89" w14:textId="77777777" w:rsidR="00620422" w:rsidRPr="008204CC" w:rsidRDefault="00620422" w:rsidP="0066301C">
            <w:pPr>
              <w:spacing w:after="0" w:line="240" w:lineRule="auto"/>
              <w:jc w:val="right"/>
              <w:rPr>
                <w:rFonts w:ascii="Arial" w:eastAsia="Times New Roman" w:hAnsi="Arial" w:cs="Arial"/>
                <w:color w:val="000000"/>
                <w:sz w:val="18"/>
                <w:szCs w:val="18"/>
                <w:lang w:eastAsia="en-GB"/>
              </w:rPr>
            </w:pPr>
            <w:r w:rsidRPr="008204CC">
              <w:rPr>
                <w:rFonts w:ascii="Arial" w:eastAsia="Times New Roman" w:hAnsi="Arial" w:cs="Arial"/>
                <w:color w:val="000000"/>
                <w:sz w:val="18"/>
                <w:szCs w:val="18"/>
                <w:lang w:eastAsia="en-GB"/>
              </w:rPr>
              <w:t>41.139694</w:t>
            </w:r>
          </w:p>
        </w:tc>
        <w:tc>
          <w:tcPr>
            <w:tcW w:w="709" w:type="dxa"/>
            <w:vMerge/>
            <w:tcBorders>
              <w:left w:val="nil"/>
              <w:right w:val="single" w:sz="4" w:space="0" w:color="auto"/>
            </w:tcBorders>
          </w:tcPr>
          <w:p w14:paraId="0A7E9BED" w14:textId="77777777" w:rsidR="00620422" w:rsidRPr="008204CC" w:rsidRDefault="00620422" w:rsidP="0066301C">
            <w:pPr>
              <w:spacing w:after="0" w:line="240" w:lineRule="auto"/>
              <w:jc w:val="right"/>
              <w:rPr>
                <w:rFonts w:ascii="Arial" w:eastAsia="Times New Roman" w:hAnsi="Arial" w:cs="Arial"/>
                <w:color w:val="000000"/>
                <w:sz w:val="18"/>
                <w:szCs w:val="18"/>
                <w:lang w:eastAsia="en-GB"/>
              </w:rPr>
            </w:pPr>
          </w:p>
        </w:tc>
        <w:tc>
          <w:tcPr>
            <w:tcW w:w="999" w:type="dxa"/>
            <w:gridSpan w:val="2"/>
            <w:tcBorders>
              <w:top w:val="nil"/>
              <w:left w:val="single" w:sz="4" w:space="0" w:color="auto"/>
              <w:bottom w:val="single" w:sz="4" w:space="0" w:color="auto"/>
              <w:right w:val="single" w:sz="4" w:space="0" w:color="auto"/>
            </w:tcBorders>
            <w:shd w:val="clear" w:color="auto" w:fill="auto"/>
            <w:vAlign w:val="bottom"/>
          </w:tcPr>
          <w:p w14:paraId="36308ED1" w14:textId="77777777" w:rsidR="00620422" w:rsidRPr="008204CC" w:rsidRDefault="00620422" w:rsidP="0066301C">
            <w:pPr>
              <w:spacing w:after="0" w:line="240" w:lineRule="auto"/>
              <w:jc w:val="right"/>
              <w:rPr>
                <w:rFonts w:ascii="Arial" w:eastAsia="Times New Roman" w:hAnsi="Arial" w:cs="Arial"/>
                <w:color w:val="000000"/>
                <w:sz w:val="18"/>
                <w:szCs w:val="18"/>
                <w:lang w:eastAsia="en-GB"/>
              </w:rPr>
            </w:pPr>
            <w:r w:rsidRPr="008204CC">
              <w:rPr>
                <w:rFonts w:ascii="Arial" w:eastAsia="Times New Roman" w:hAnsi="Arial" w:cs="Arial"/>
                <w:color w:val="000000"/>
                <w:sz w:val="18"/>
                <w:szCs w:val="18"/>
                <w:lang w:eastAsia="en-GB"/>
              </w:rPr>
              <w:t>1995</w:t>
            </w:r>
          </w:p>
        </w:tc>
        <w:tc>
          <w:tcPr>
            <w:tcW w:w="1415" w:type="dxa"/>
            <w:gridSpan w:val="2"/>
            <w:tcBorders>
              <w:top w:val="nil"/>
              <w:left w:val="nil"/>
              <w:bottom w:val="single" w:sz="4" w:space="0" w:color="auto"/>
              <w:right w:val="single" w:sz="4" w:space="0" w:color="auto"/>
            </w:tcBorders>
            <w:shd w:val="clear" w:color="auto" w:fill="auto"/>
            <w:vAlign w:val="bottom"/>
          </w:tcPr>
          <w:p w14:paraId="7FE3B8D8" w14:textId="77777777" w:rsidR="00620422" w:rsidRPr="008204CC" w:rsidRDefault="00620422" w:rsidP="0066301C">
            <w:pPr>
              <w:spacing w:after="0" w:line="240" w:lineRule="auto"/>
              <w:jc w:val="right"/>
              <w:rPr>
                <w:rFonts w:ascii="Arial" w:eastAsia="Times New Roman" w:hAnsi="Arial" w:cs="Arial"/>
                <w:color w:val="000000"/>
                <w:sz w:val="18"/>
                <w:szCs w:val="18"/>
                <w:lang w:eastAsia="en-GB"/>
              </w:rPr>
            </w:pPr>
            <w:r w:rsidRPr="008204CC">
              <w:rPr>
                <w:rFonts w:ascii="Arial" w:eastAsia="Times New Roman" w:hAnsi="Arial" w:cs="Arial"/>
                <w:color w:val="000000"/>
                <w:sz w:val="18"/>
                <w:szCs w:val="18"/>
                <w:lang w:eastAsia="en-GB"/>
              </w:rPr>
              <w:t>68.03457</w:t>
            </w:r>
          </w:p>
        </w:tc>
        <w:tc>
          <w:tcPr>
            <w:tcW w:w="1559" w:type="dxa"/>
            <w:gridSpan w:val="2"/>
            <w:tcBorders>
              <w:top w:val="nil"/>
              <w:left w:val="nil"/>
              <w:bottom w:val="single" w:sz="4" w:space="0" w:color="auto"/>
              <w:right w:val="single" w:sz="4" w:space="0" w:color="auto"/>
            </w:tcBorders>
            <w:shd w:val="clear" w:color="auto" w:fill="auto"/>
            <w:vAlign w:val="bottom"/>
          </w:tcPr>
          <w:p w14:paraId="5E373D43" w14:textId="77777777" w:rsidR="00620422" w:rsidRPr="008204CC" w:rsidRDefault="00620422" w:rsidP="0066301C">
            <w:pPr>
              <w:spacing w:after="0" w:line="240" w:lineRule="auto"/>
              <w:jc w:val="right"/>
              <w:rPr>
                <w:rFonts w:ascii="Arial" w:eastAsia="Times New Roman" w:hAnsi="Arial" w:cs="Arial"/>
                <w:sz w:val="18"/>
                <w:szCs w:val="18"/>
                <w:lang w:eastAsia="en-GB"/>
              </w:rPr>
            </w:pPr>
            <w:r w:rsidRPr="008204CC">
              <w:rPr>
                <w:rFonts w:ascii="Arial" w:eastAsia="Times New Roman" w:hAnsi="Arial" w:cs="Arial"/>
                <w:sz w:val="18"/>
                <w:szCs w:val="18"/>
                <w:lang w:eastAsia="en-GB"/>
              </w:rPr>
              <w:t>67.28294023</w:t>
            </w:r>
          </w:p>
        </w:tc>
        <w:tc>
          <w:tcPr>
            <w:tcW w:w="2122" w:type="dxa"/>
            <w:gridSpan w:val="2"/>
            <w:tcBorders>
              <w:top w:val="nil"/>
              <w:left w:val="nil"/>
              <w:bottom w:val="single" w:sz="4" w:space="0" w:color="auto"/>
              <w:right w:val="single" w:sz="4" w:space="0" w:color="auto"/>
            </w:tcBorders>
            <w:shd w:val="clear" w:color="auto" w:fill="auto"/>
            <w:vAlign w:val="bottom"/>
          </w:tcPr>
          <w:p w14:paraId="08362ADB" w14:textId="77777777" w:rsidR="00620422" w:rsidRPr="008204CC" w:rsidRDefault="00620422" w:rsidP="0066301C">
            <w:pPr>
              <w:spacing w:after="0" w:line="240" w:lineRule="auto"/>
              <w:jc w:val="right"/>
              <w:rPr>
                <w:rFonts w:ascii="Arial" w:eastAsia="Times New Roman" w:hAnsi="Arial" w:cs="Arial"/>
                <w:color w:val="000000"/>
                <w:sz w:val="18"/>
                <w:szCs w:val="18"/>
                <w:lang w:eastAsia="en-GB"/>
              </w:rPr>
            </w:pPr>
            <w:r w:rsidRPr="008204CC">
              <w:rPr>
                <w:rFonts w:ascii="Arial" w:eastAsia="Times New Roman" w:hAnsi="Arial" w:cs="Arial"/>
                <w:color w:val="000000"/>
                <w:sz w:val="18"/>
                <w:szCs w:val="18"/>
                <w:lang w:eastAsia="en-GB"/>
              </w:rPr>
              <w:t>0.751630895</w:t>
            </w:r>
          </w:p>
        </w:tc>
      </w:tr>
      <w:tr w:rsidR="008A6AC3" w:rsidRPr="008204CC" w14:paraId="3401AD30" w14:textId="77777777" w:rsidTr="00D46B41">
        <w:trPr>
          <w:trHeight w:val="300"/>
        </w:trPr>
        <w:tc>
          <w:tcPr>
            <w:tcW w:w="1135" w:type="dxa"/>
            <w:tcBorders>
              <w:top w:val="nil"/>
              <w:left w:val="single" w:sz="4" w:space="0" w:color="auto"/>
              <w:bottom w:val="single" w:sz="4" w:space="0" w:color="auto"/>
              <w:right w:val="single" w:sz="4" w:space="0" w:color="auto"/>
            </w:tcBorders>
            <w:shd w:val="clear" w:color="auto" w:fill="auto"/>
            <w:noWrap/>
            <w:vAlign w:val="bottom"/>
            <w:hideMark/>
          </w:tcPr>
          <w:p w14:paraId="003DA8B3" w14:textId="77777777" w:rsidR="00620422" w:rsidRPr="008204CC" w:rsidRDefault="00620422" w:rsidP="0066301C">
            <w:pPr>
              <w:spacing w:after="0" w:line="240" w:lineRule="auto"/>
              <w:jc w:val="right"/>
              <w:rPr>
                <w:rFonts w:ascii="Arial" w:eastAsia="Times New Roman" w:hAnsi="Arial" w:cs="Arial"/>
                <w:color w:val="000000"/>
                <w:sz w:val="18"/>
                <w:szCs w:val="18"/>
                <w:lang w:eastAsia="en-GB"/>
              </w:rPr>
            </w:pPr>
            <w:r w:rsidRPr="008204CC">
              <w:rPr>
                <w:rFonts w:ascii="Arial" w:eastAsia="Times New Roman" w:hAnsi="Arial" w:cs="Arial"/>
                <w:color w:val="000000"/>
                <w:sz w:val="18"/>
                <w:szCs w:val="18"/>
                <w:lang w:eastAsia="en-GB"/>
              </w:rPr>
              <w:t>1991</w:t>
            </w:r>
          </w:p>
        </w:tc>
        <w:tc>
          <w:tcPr>
            <w:tcW w:w="1701" w:type="dxa"/>
            <w:tcBorders>
              <w:top w:val="nil"/>
              <w:left w:val="nil"/>
              <w:bottom w:val="single" w:sz="4" w:space="0" w:color="auto"/>
              <w:right w:val="single" w:sz="4" w:space="0" w:color="auto"/>
            </w:tcBorders>
            <w:shd w:val="clear" w:color="auto" w:fill="auto"/>
            <w:noWrap/>
            <w:vAlign w:val="bottom"/>
            <w:hideMark/>
          </w:tcPr>
          <w:p w14:paraId="587D7DCB" w14:textId="77777777" w:rsidR="00620422" w:rsidRPr="008204CC" w:rsidRDefault="00620422" w:rsidP="0066301C">
            <w:pPr>
              <w:spacing w:after="0" w:line="240" w:lineRule="auto"/>
              <w:jc w:val="right"/>
              <w:rPr>
                <w:rFonts w:ascii="Arial" w:eastAsia="Times New Roman" w:hAnsi="Arial" w:cs="Arial"/>
                <w:color w:val="000000"/>
                <w:sz w:val="18"/>
                <w:szCs w:val="18"/>
                <w:lang w:eastAsia="en-GB"/>
              </w:rPr>
            </w:pPr>
            <w:r w:rsidRPr="008204CC">
              <w:rPr>
                <w:rFonts w:ascii="Arial" w:eastAsia="Times New Roman" w:hAnsi="Arial" w:cs="Arial"/>
                <w:color w:val="000000"/>
                <w:sz w:val="18"/>
                <w:szCs w:val="18"/>
                <w:lang w:eastAsia="en-GB"/>
              </w:rPr>
              <w:t>167.63778</w:t>
            </w:r>
          </w:p>
        </w:tc>
        <w:tc>
          <w:tcPr>
            <w:tcW w:w="1701" w:type="dxa"/>
            <w:tcBorders>
              <w:top w:val="nil"/>
              <w:left w:val="nil"/>
              <w:bottom w:val="single" w:sz="4" w:space="0" w:color="auto"/>
              <w:right w:val="single" w:sz="4" w:space="0" w:color="auto"/>
            </w:tcBorders>
            <w:shd w:val="clear" w:color="auto" w:fill="auto"/>
            <w:noWrap/>
            <w:vAlign w:val="bottom"/>
            <w:hideMark/>
          </w:tcPr>
          <w:p w14:paraId="614FB960" w14:textId="77777777" w:rsidR="00620422" w:rsidRPr="008204CC" w:rsidRDefault="00620422" w:rsidP="0066301C">
            <w:pPr>
              <w:spacing w:after="0" w:line="240" w:lineRule="auto"/>
              <w:jc w:val="right"/>
              <w:rPr>
                <w:rFonts w:ascii="Arial" w:eastAsia="Times New Roman" w:hAnsi="Arial" w:cs="Arial"/>
                <w:color w:val="000000"/>
                <w:sz w:val="18"/>
                <w:szCs w:val="18"/>
                <w:lang w:eastAsia="en-GB"/>
              </w:rPr>
            </w:pPr>
            <w:r w:rsidRPr="008204CC">
              <w:rPr>
                <w:rFonts w:ascii="Arial" w:eastAsia="Times New Roman" w:hAnsi="Arial" w:cs="Arial"/>
                <w:color w:val="000000"/>
                <w:sz w:val="18"/>
                <w:szCs w:val="18"/>
                <w:lang w:eastAsia="en-GB"/>
              </w:rPr>
              <w:t>164.76781</w:t>
            </w:r>
          </w:p>
        </w:tc>
        <w:tc>
          <w:tcPr>
            <w:tcW w:w="1984" w:type="dxa"/>
            <w:tcBorders>
              <w:top w:val="nil"/>
              <w:left w:val="nil"/>
              <w:bottom w:val="single" w:sz="4" w:space="0" w:color="auto"/>
              <w:right w:val="single" w:sz="4" w:space="0" w:color="auto"/>
            </w:tcBorders>
            <w:shd w:val="clear" w:color="auto" w:fill="auto"/>
            <w:noWrap/>
            <w:vAlign w:val="bottom"/>
            <w:hideMark/>
          </w:tcPr>
          <w:p w14:paraId="4A877DED" w14:textId="77777777" w:rsidR="00620422" w:rsidRPr="008204CC" w:rsidRDefault="00620422" w:rsidP="0066301C">
            <w:pPr>
              <w:spacing w:after="0" w:line="240" w:lineRule="auto"/>
              <w:jc w:val="right"/>
              <w:rPr>
                <w:rFonts w:ascii="Arial" w:eastAsia="Times New Roman" w:hAnsi="Arial" w:cs="Arial"/>
                <w:color w:val="000000"/>
                <w:sz w:val="18"/>
                <w:szCs w:val="18"/>
                <w:lang w:eastAsia="en-GB"/>
              </w:rPr>
            </w:pPr>
            <w:r w:rsidRPr="008204CC">
              <w:rPr>
                <w:rFonts w:ascii="Arial" w:eastAsia="Times New Roman" w:hAnsi="Arial" w:cs="Arial"/>
                <w:color w:val="000000"/>
                <w:sz w:val="18"/>
                <w:szCs w:val="18"/>
                <w:lang w:eastAsia="en-GB"/>
              </w:rPr>
              <w:t>2.8699617</w:t>
            </w:r>
          </w:p>
        </w:tc>
        <w:tc>
          <w:tcPr>
            <w:tcW w:w="709" w:type="dxa"/>
            <w:vMerge/>
            <w:tcBorders>
              <w:left w:val="nil"/>
              <w:right w:val="single" w:sz="4" w:space="0" w:color="auto"/>
            </w:tcBorders>
          </w:tcPr>
          <w:p w14:paraId="4AF6D612" w14:textId="77777777" w:rsidR="00620422" w:rsidRPr="008204CC" w:rsidRDefault="00620422" w:rsidP="0066301C">
            <w:pPr>
              <w:spacing w:after="0" w:line="240" w:lineRule="auto"/>
              <w:jc w:val="right"/>
              <w:rPr>
                <w:rFonts w:ascii="Arial" w:eastAsia="Times New Roman" w:hAnsi="Arial" w:cs="Arial"/>
                <w:color w:val="000000"/>
                <w:sz w:val="18"/>
                <w:szCs w:val="18"/>
                <w:lang w:eastAsia="en-GB"/>
              </w:rPr>
            </w:pPr>
          </w:p>
        </w:tc>
        <w:tc>
          <w:tcPr>
            <w:tcW w:w="999" w:type="dxa"/>
            <w:gridSpan w:val="2"/>
            <w:tcBorders>
              <w:top w:val="nil"/>
              <w:left w:val="single" w:sz="4" w:space="0" w:color="auto"/>
              <w:bottom w:val="single" w:sz="4" w:space="0" w:color="auto"/>
              <w:right w:val="single" w:sz="4" w:space="0" w:color="auto"/>
            </w:tcBorders>
            <w:shd w:val="clear" w:color="auto" w:fill="auto"/>
            <w:vAlign w:val="bottom"/>
          </w:tcPr>
          <w:p w14:paraId="7A7F5CBB" w14:textId="77777777" w:rsidR="00620422" w:rsidRPr="008204CC" w:rsidRDefault="00620422" w:rsidP="0066301C">
            <w:pPr>
              <w:spacing w:after="0" w:line="240" w:lineRule="auto"/>
              <w:jc w:val="right"/>
              <w:rPr>
                <w:rFonts w:ascii="Arial" w:eastAsia="Times New Roman" w:hAnsi="Arial" w:cs="Arial"/>
                <w:color w:val="000000"/>
                <w:sz w:val="18"/>
                <w:szCs w:val="18"/>
                <w:lang w:eastAsia="en-GB"/>
              </w:rPr>
            </w:pPr>
            <w:r w:rsidRPr="008204CC">
              <w:rPr>
                <w:rFonts w:ascii="Arial" w:eastAsia="Times New Roman" w:hAnsi="Arial" w:cs="Arial"/>
                <w:color w:val="000000"/>
                <w:sz w:val="18"/>
                <w:szCs w:val="18"/>
                <w:lang w:eastAsia="en-GB"/>
              </w:rPr>
              <w:t>1996</w:t>
            </w:r>
          </w:p>
        </w:tc>
        <w:tc>
          <w:tcPr>
            <w:tcW w:w="1415" w:type="dxa"/>
            <w:gridSpan w:val="2"/>
            <w:tcBorders>
              <w:top w:val="nil"/>
              <w:left w:val="nil"/>
              <w:bottom w:val="single" w:sz="4" w:space="0" w:color="auto"/>
              <w:right w:val="single" w:sz="4" w:space="0" w:color="auto"/>
            </w:tcBorders>
            <w:shd w:val="clear" w:color="auto" w:fill="auto"/>
            <w:vAlign w:val="bottom"/>
          </w:tcPr>
          <w:p w14:paraId="03157D3B" w14:textId="77777777" w:rsidR="00620422" w:rsidRPr="008204CC" w:rsidRDefault="00620422" w:rsidP="0066301C">
            <w:pPr>
              <w:spacing w:after="0" w:line="240" w:lineRule="auto"/>
              <w:jc w:val="right"/>
              <w:rPr>
                <w:rFonts w:ascii="Arial" w:eastAsia="Times New Roman" w:hAnsi="Arial" w:cs="Arial"/>
                <w:color w:val="000000"/>
                <w:sz w:val="18"/>
                <w:szCs w:val="18"/>
                <w:lang w:eastAsia="en-GB"/>
              </w:rPr>
            </w:pPr>
            <w:r w:rsidRPr="008204CC">
              <w:rPr>
                <w:rFonts w:ascii="Arial" w:eastAsia="Times New Roman" w:hAnsi="Arial" w:cs="Arial"/>
                <w:color w:val="000000"/>
                <w:sz w:val="18"/>
                <w:szCs w:val="18"/>
                <w:lang w:eastAsia="en-GB"/>
              </w:rPr>
              <w:t>68.01968</w:t>
            </w:r>
          </w:p>
        </w:tc>
        <w:tc>
          <w:tcPr>
            <w:tcW w:w="1559" w:type="dxa"/>
            <w:gridSpan w:val="2"/>
            <w:tcBorders>
              <w:top w:val="nil"/>
              <w:left w:val="nil"/>
              <w:bottom w:val="single" w:sz="4" w:space="0" w:color="auto"/>
              <w:right w:val="single" w:sz="4" w:space="0" w:color="auto"/>
            </w:tcBorders>
            <w:shd w:val="clear" w:color="auto" w:fill="auto"/>
            <w:vAlign w:val="bottom"/>
          </w:tcPr>
          <w:p w14:paraId="6A71E752" w14:textId="77777777" w:rsidR="00620422" w:rsidRPr="008204CC" w:rsidRDefault="00620422" w:rsidP="0066301C">
            <w:pPr>
              <w:spacing w:after="0" w:line="240" w:lineRule="auto"/>
              <w:jc w:val="right"/>
              <w:rPr>
                <w:rFonts w:ascii="Arial" w:eastAsia="Times New Roman" w:hAnsi="Arial" w:cs="Arial"/>
                <w:sz w:val="18"/>
                <w:szCs w:val="18"/>
                <w:lang w:eastAsia="en-GB"/>
              </w:rPr>
            </w:pPr>
            <w:r w:rsidRPr="008204CC">
              <w:rPr>
                <w:rFonts w:ascii="Arial" w:eastAsia="Times New Roman" w:hAnsi="Arial" w:cs="Arial"/>
                <w:sz w:val="18"/>
                <w:szCs w:val="18"/>
                <w:lang w:eastAsia="en-GB"/>
              </w:rPr>
              <w:t>66.02506651</w:t>
            </w:r>
          </w:p>
        </w:tc>
        <w:tc>
          <w:tcPr>
            <w:tcW w:w="2122" w:type="dxa"/>
            <w:gridSpan w:val="2"/>
            <w:tcBorders>
              <w:top w:val="nil"/>
              <w:left w:val="nil"/>
              <w:bottom w:val="single" w:sz="4" w:space="0" w:color="auto"/>
              <w:right w:val="single" w:sz="4" w:space="0" w:color="auto"/>
            </w:tcBorders>
            <w:shd w:val="clear" w:color="auto" w:fill="auto"/>
            <w:vAlign w:val="bottom"/>
          </w:tcPr>
          <w:p w14:paraId="2EC4190C" w14:textId="77777777" w:rsidR="00620422" w:rsidRPr="008204CC" w:rsidRDefault="00620422" w:rsidP="0066301C">
            <w:pPr>
              <w:spacing w:after="0" w:line="240" w:lineRule="auto"/>
              <w:jc w:val="right"/>
              <w:rPr>
                <w:rFonts w:ascii="Arial" w:eastAsia="Times New Roman" w:hAnsi="Arial" w:cs="Arial"/>
                <w:color w:val="000000"/>
                <w:sz w:val="18"/>
                <w:szCs w:val="18"/>
                <w:lang w:eastAsia="en-GB"/>
              </w:rPr>
            </w:pPr>
            <w:r w:rsidRPr="008204CC">
              <w:rPr>
                <w:rFonts w:ascii="Arial" w:eastAsia="Times New Roman" w:hAnsi="Arial" w:cs="Arial"/>
                <w:color w:val="000000"/>
                <w:sz w:val="18"/>
                <w:szCs w:val="18"/>
                <w:lang w:eastAsia="en-GB"/>
              </w:rPr>
              <w:t>1.994609329</w:t>
            </w:r>
          </w:p>
        </w:tc>
      </w:tr>
      <w:tr w:rsidR="008A6AC3" w:rsidRPr="008204CC" w14:paraId="4ED0779B" w14:textId="77777777" w:rsidTr="00D46B41">
        <w:trPr>
          <w:trHeight w:val="300"/>
        </w:trPr>
        <w:tc>
          <w:tcPr>
            <w:tcW w:w="1135" w:type="dxa"/>
            <w:tcBorders>
              <w:top w:val="nil"/>
              <w:left w:val="single" w:sz="4" w:space="0" w:color="auto"/>
              <w:bottom w:val="single" w:sz="4" w:space="0" w:color="auto"/>
              <w:right w:val="single" w:sz="4" w:space="0" w:color="auto"/>
            </w:tcBorders>
            <w:shd w:val="clear" w:color="auto" w:fill="auto"/>
            <w:noWrap/>
            <w:vAlign w:val="bottom"/>
            <w:hideMark/>
          </w:tcPr>
          <w:p w14:paraId="3F5DDD62" w14:textId="77777777" w:rsidR="00620422" w:rsidRPr="008204CC" w:rsidRDefault="00620422" w:rsidP="0066301C">
            <w:pPr>
              <w:spacing w:after="0" w:line="240" w:lineRule="auto"/>
              <w:jc w:val="right"/>
              <w:rPr>
                <w:rFonts w:ascii="Arial" w:eastAsia="Times New Roman" w:hAnsi="Arial" w:cs="Arial"/>
                <w:color w:val="000000"/>
                <w:sz w:val="18"/>
                <w:szCs w:val="18"/>
                <w:lang w:eastAsia="en-GB"/>
              </w:rPr>
            </w:pPr>
            <w:r w:rsidRPr="008204CC">
              <w:rPr>
                <w:rFonts w:ascii="Arial" w:eastAsia="Times New Roman" w:hAnsi="Arial" w:cs="Arial"/>
                <w:color w:val="000000"/>
                <w:sz w:val="18"/>
                <w:szCs w:val="18"/>
                <w:lang w:eastAsia="en-GB"/>
              </w:rPr>
              <w:t>1992</w:t>
            </w:r>
          </w:p>
        </w:tc>
        <w:tc>
          <w:tcPr>
            <w:tcW w:w="1701" w:type="dxa"/>
            <w:tcBorders>
              <w:top w:val="nil"/>
              <w:left w:val="nil"/>
              <w:bottom w:val="single" w:sz="4" w:space="0" w:color="auto"/>
              <w:right w:val="single" w:sz="4" w:space="0" w:color="auto"/>
            </w:tcBorders>
            <w:shd w:val="clear" w:color="auto" w:fill="auto"/>
            <w:noWrap/>
            <w:vAlign w:val="bottom"/>
            <w:hideMark/>
          </w:tcPr>
          <w:p w14:paraId="0F02D55E" w14:textId="77777777" w:rsidR="00620422" w:rsidRPr="008204CC" w:rsidRDefault="00620422" w:rsidP="0066301C">
            <w:pPr>
              <w:spacing w:after="0" w:line="240" w:lineRule="auto"/>
              <w:jc w:val="right"/>
              <w:rPr>
                <w:rFonts w:ascii="Arial" w:eastAsia="Times New Roman" w:hAnsi="Arial" w:cs="Arial"/>
                <w:color w:val="000000"/>
                <w:sz w:val="18"/>
                <w:szCs w:val="18"/>
                <w:lang w:eastAsia="en-GB"/>
              </w:rPr>
            </w:pPr>
            <w:r w:rsidRPr="008204CC">
              <w:rPr>
                <w:rFonts w:ascii="Arial" w:eastAsia="Times New Roman" w:hAnsi="Arial" w:cs="Arial"/>
                <w:color w:val="000000"/>
                <w:sz w:val="18"/>
                <w:szCs w:val="18"/>
                <w:lang w:eastAsia="en-GB"/>
              </w:rPr>
              <w:t>151.32173</w:t>
            </w:r>
          </w:p>
        </w:tc>
        <w:tc>
          <w:tcPr>
            <w:tcW w:w="1701" w:type="dxa"/>
            <w:tcBorders>
              <w:top w:val="nil"/>
              <w:left w:val="nil"/>
              <w:bottom w:val="single" w:sz="4" w:space="0" w:color="auto"/>
              <w:right w:val="single" w:sz="4" w:space="0" w:color="auto"/>
            </w:tcBorders>
            <w:shd w:val="clear" w:color="auto" w:fill="auto"/>
            <w:noWrap/>
            <w:vAlign w:val="bottom"/>
            <w:hideMark/>
          </w:tcPr>
          <w:p w14:paraId="7AC025AD" w14:textId="77777777" w:rsidR="00620422" w:rsidRPr="008204CC" w:rsidRDefault="00620422" w:rsidP="0066301C">
            <w:pPr>
              <w:spacing w:after="0" w:line="240" w:lineRule="auto"/>
              <w:jc w:val="right"/>
              <w:rPr>
                <w:rFonts w:ascii="Arial" w:eastAsia="Times New Roman" w:hAnsi="Arial" w:cs="Arial"/>
                <w:color w:val="000000"/>
                <w:sz w:val="18"/>
                <w:szCs w:val="18"/>
                <w:lang w:eastAsia="en-GB"/>
              </w:rPr>
            </w:pPr>
            <w:r w:rsidRPr="008204CC">
              <w:rPr>
                <w:rFonts w:ascii="Arial" w:eastAsia="Times New Roman" w:hAnsi="Arial" w:cs="Arial"/>
                <w:color w:val="000000"/>
                <w:sz w:val="18"/>
                <w:szCs w:val="18"/>
                <w:lang w:eastAsia="en-GB"/>
              </w:rPr>
              <w:t>154.68621</w:t>
            </w:r>
          </w:p>
        </w:tc>
        <w:tc>
          <w:tcPr>
            <w:tcW w:w="1984" w:type="dxa"/>
            <w:tcBorders>
              <w:top w:val="nil"/>
              <w:left w:val="nil"/>
              <w:bottom w:val="single" w:sz="4" w:space="0" w:color="auto"/>
              <w:right w:val="single" w:sz="4" w:space="0" w:color="auto"/>
            </w:tcBorders>
            <w:shd w:val="clear" w:color="auto" w:fill="auto"/>
            <w:noWrap/>
            <w:vAlign w:val="bottom"/>
            <w:hideMark/>
          </w:tcPr>
          <w:p w14:paraId="38725655" w14:textId="77777777" w:rsidR="00620422" w:rsidRPr="008204CC" w:rsidRDefault="00620422" w:rsidP="0066301C">
            <w:pPr>
              <w:spacing w:after="0" w:line="240" w:lineRule="auto"/>
              <w:jc w:val="right"/>
              <w:rPr>
                <w:rFonts w:ascii="Arial" w:eastAsia="Times New Roman" w:hAnsi="Arial" w:cs="Arial"/>
                <w:color w:val="000000"/>
                <w:sz w:val="18"/>
                <w:szCs w:val="18"/>
                <w:lang w:eastAsia="en-GB"/>
              </w:rPr>
            </w:pPr>
            <w:r w:rsidRPr="008204CC">
              <w:rPr>
                <w:rFonts w:ascii="Arial" w:eastAsia="Times New Roman" w:hAnsi="Arial" w:cs="Arial"/>
                <w:color w:val="000000"/>
                <w:sz w:val="18"/>
                <w:szCs w:val="18"/>
                <w:lang w:eastAsia="en-GB"/>
              </w:rPr>
              <w:t>-3.364471</w:t>
            </w:r>
          </w:p>
        </w:tc>
        <w:tc>
          <w:tcPr>
            <w:tcW w:w="709" w:type="dxa"/>
            <w:vMerge/>
            <w:tcBorders>
              <w:left w:val="nil"/>
              <w:right w:val="single" w:sz="4" w:space="0" w:color="auto"/>
            </w:tcBorders>
          </w:tcPr>
          <w:p w14:paraId="1566D7B8" w14:textId="77777777" w:rsidR="00620422" w:rsidRPr="008204CC" w:rsidRDefault="00620422" w:rsidP="0066301C">
            <w:pPr>
              <w:spacing w:after="0" w:line="240" w:lineRule="auto"/>
              <w:jc w:val="right"/>
              <w:rPr>
                <w:rFonts w:ascii="Arial" w:eastAsia="Times New Roman" w:hAnsi="Arial" w:cs="Arial"/>
                <w:color w:val="000000"/>
                <w:sz w:val="18"/>
                <w:szCs w:val="18"/>
                <w:lang w:eastAsia="en-GB"/>
              </w:rPr>
            </w:pPr>
          </w:p>
        </w:tc>
        <w:tc>
          <w:tcPr>
            <w:tcW w:w="999" w:type="dxa"/>
            <w:gridSpan w:val="2"/>
            <w:tcBorders>
              <w:top w:val="nil"/>
              <w:left w:val="single" w:sz="4" w:space="0" w:color="auto"/>
              <w:bottom w:val="single" w:sz="4" w:space="0" w:color="auto"/>
              <w:right w:val="single" w:sz="4" w:space="0" w:color="auto"/>
            </w:tcBorders>
            <w:shd w:val="clear" w:color="auto" w:fill="auto"/>
            <w:vAlign w:val="bottom"/>
          </w:tcPr>
          <w:p w14:paraId="256E6358" w14:textId="77777777" w:rsidR="00620422" w:rsidRPr="008204CC" w:rsidRDefault="00620422" w:rsidP="0066301C">
            <w:pPr>
              <w:spacing w:after="0" w:line="240" w:lineRule="auto"/>
              <w:jc w:val="right"/>
              <w:rPr>
                <w:rFonts w:ascii="Arial" w:eastAsia="Times New Roman" w:hAnsi="Arial" w:cs="Arial"/>
                <w:color w:val="000000"/>
                <w:sz w:val="18"/>
                <w:szCs w:val="18"/>
                <w:lang w:eastAsia="en-GB"/>
              </w:rPr>
            </w:pPr>
            <w:r w:rsidRPr="008204CC">
              <w:rPr>
                <w:rFonts w:ascii="Arial" w:eastAsia="Times New Roman" w:hAnsi="Arial" w:cs="Arial"/>
                <w:color w:val="000000"/>
                <w:sz w:val="18"/>
                <w:szCs w:val="18"/>
                <w:lang w:eastAsia="en-GB"/>
              </w:rPr>
              <w:t>1997</w:t>
            </w:r>
          </w:p>
        </w:tc>
        <w:tc>
          <w:tcPr>
            <w:tcW w:w="1415" w:type="dxa"/>
            <w:gridSpan w:val="2"/>
            <w:tcBorders>
              <w:top w:val="nil"/>
              <w:left w:val="nil"/>
              <w:bottom w:val="single" w:sz="4" w:space="0" w:color="auto"/>
              <w:right w:val="single" w:sz="4" w:space="0" w:color="auto"/>
            </w:tcBorders>
            <w:shd w:val="clear" w:color="auto" w:fill="auto"/>
            <w:vAlign w:val="bottom"/>
          </w:tcPr>
          <w:p w14:paraId="16E5F4F9" w14:textId="77777777" w:rsidR="00620422" w:rsidRPr="008204CC" w:rsidRDefault="00620422" w:rsidP="0066301C">
            <w:pPr>
              <w:spacing w:after="0" w:line="240" w:lineRule="auto"/>
              <w:jc w:val="right"/>
              <w:rPr>
                <w:rFonts w:ascii="Arial" w:eastAsia="Times New Roman" w:hAnsi="Arial" w:cs="Arial"/>
                <w:color w:val="000000"/>
                <w:sz w:val="18"/>
                <w:szCs w:val="18"/>
                <w:lang w:eastAsia="en-GB"/>
              </w:rPr>
            </w:pPr>
            <w:r w:rsidRPr="008204CC">
              <w:rPr>
                <w:rFonts w:ascii="Arial" w:eastAsia="Times New Roman" w:hAnsi="Arial" w:cs="Arial"/>
                <w:color w:val="000000"/>
                <w:sz w:val="18"/>
                <w:szCs w:val="18"/>
                <w:lang w:eastAsia="en-GB"/>
              </w:rPr>
              <w:t>62.8426</w:t>
            </w:r>
          </w:p>
        </w:tc>
        <w:tc>
          <w:tcPr>
            <w:tcW w:w="1559" w:type="dxa"/>
            <w:gridSpan w:val="2"/>
            <w:tcBorders>
              <w:top w:val="nil"/>
              <w:left w:val="nil"/>
              <w:bottom w:val="single" w:sz="4" w:space="0" w:color="auto"/>
              <w:right w:val="single" w:sz="4" w:space="0" w:color="auto"/>
            </w:tcBorders>
            <w:shd w:val="clear" w:color="auto" w:fill="auto"/>
            <w:vAlign w:val="bottom"/>
          </w:tcPr>
          <w:p w14:paraId="0EF3AB4F" w14:textId="77777777" w:rsidR="00620422" w:rsidRPr="008204CC" w:rsidRDefault="00620422" w:rsidP="0066301C">
            <w:pPr>
              <w:spacing w:after="0" w:line="240" w:lineRule="auto"/>
              <w:jc w:val="right"/>
              <w:rPr>
                <w:rFonts w:ascii="Arial" w:eastAsia="Times New Roman" w:hAnsi="Arial" w:cs="Arial"/>
                <w:sz w:val="18"/>
                <w:szCs w:val="18"/>
                <w:lang w:eastAsia="en-GB"/>
              </w:rPr>
            </w:pPr>
            <w:r w:rsidRPr="008204CC">
              <w:rPr>
                <w:rFonts w:ascii="Arial" w:eastAsia="Times New Roman" w:hAnsi="Arial" w:cs="Arial"/>
                <w:sz w:val="18"/>
                <w:szCs w:val="18"/>
                <w:lang w:eastAsia="en-GB"/>
              </w:rPr>
              <w:t>65.47100154</w:t>
            </w:r>
          </w:p>
        </w:tc>
        <w:tc>
          <w:tcPr>
            <w:tcW w:w="2122" w:type="dxa"/>
            <w:gridSpan w:val="2"/>
            <w:tcBorders>
              <w:top w:val="nil"/>
              <w:left w:val="nil"/>
              <w:bottom w:val="single" w:sz="4" w:space="0" w:color="auto"/>
              <w:right w:val="single" w:sz="4" w:space="0" w:color="auto"/>
            </w:tcBorders>
            <w:shd w:val="clear" w:color="auto" w:fill="auto"/>
            <w:vAlign w:val="bottom"/>
          </w:tcPr>
          <w:p w14:paraId="34FFA7AD" w14:textId="77777777" w:rsidR="00620422" w:rsidRPr="008204CC" w:rsidRDefault="00620422" w:rsidP="0066301C">
            <w:pPr>
              <w:spacing w:after="0" w:line="240" w:lineRule="auto"/>
              <w:jc w:val="right"/>
              <w:rPr>
                <w:rFonts w:ascii="Arial" w:eastAsia="Times New Roman" w:hAnsi="Arial" w:cs="Arial"/>
                <w:color w:val="000000"/>
                <w:sz w:val="18"/>
                <w:szCs w:val="18"/>
                <w:lang w:eastAsia="en-GB"/>
              </w:rPr>
            </w:pPr>
            <w:r w:rsidRPr="008204CC">
              <w:rPr>
                <w:rFonts w:ascii="Arial" w:eastAsia="Times New Roman" w:hAnsi="Arial" w:cs="Arial"/>
                <w:color w:val="000000"/>
                <w:sz w:val="18"/>
                <w:szCs w:val="18"/>
                <w:lang w:eastAsia="en-GB"/>
              </w:rPr>
              <w:t>-2.62840515</w:t>
            </w:r>
          </w:p>
        </w:tc>
      </w:tr>
      <w:tr w:rsidR="008A6AC3" w:rsidRPr="008204CC" w14:paraId="7C054AE0" w14:textId="77777777" w:rsidTr="00D46B41">
        <w:trPr>
          <w:trHeight w:val="300"/>
        </w:trPr>
        <w:tc>
          <w:tcPr>
            <w:tcW w:w="1135" w:type="dxa"/>
            <w:tcBorders>
              <w:top w:val="nil"/>
              <w:left w:val="single" w:sz="4" w:space="0" w:color="auto"/>
              <w:bottom w:val="single" w:sz="4" w:space="0" w:color="auto"/>
              <w:right w:val="single" w:sz="4" w:space="0" w:color="auto"/>
            </w:tcBorders>
            <w:shd w:val="clear" w:color="auto" w:fill="auto"/>
            <w:noWrap/>
            <w:vAlign w:val="bottom"/>
            <w:hideMark/>
          </w:tcPr>
          <w:p w14:paraId="2E895465" w14:textId="77777777" w:rsidR="00620422" w:rsidRPr="008204CC" w:rsidRDefault="00620422" w:rsidP="0066301C">
            <w:pPr>
              <w:spacing w:after="0" w:line="240" w:lineRule="auto"/>
              <w:jc w:val="right"/>
              <w:rPr>
                <w:rFonts w:ascii="Arial" w:eastAsia="Times New Roman" w:hAnsi="Arial" w:cs="Arial"/>
                <w:color w:val="000000"/>
                <w:sz w:val="18"/>
                <w:szCs w:val="18"/>
                <w:lang w:eastAsia="en-GB"/>
              </w:rPr>
            </w:pPr>
            <w:r w:rsidRPr="008204CC">
              <w:rPr>
                <w:rFonts w:ascii="Arial" w:eastAsia="Times New Roman" w:hAnsi="Arial" w:cs="Arial"/>
                <w:color w:val="000000"/>
                <w:sz w:val="18"/>
                <w:szCs w:val="18"/>
                <w:lang w:eastAsia="en-GB"/>
              </w:rPr>
              <w:t>1993</w:t>
            </w:r>
          </w:p>
        </w:tc>
        <w:tc>
          <w:tcPr>
            <w:tcW w:w="1701" w:type="dxa"/>
            <w:tcBorders>
              <w:top w:val="nil"/>
              <w:left w:val="nil"/>
              <w:bottom w:val="single" w:sz="4" w:space="0" w:color="auto"/>
              <w:right w:val="single" w:sz="4" w:space="0" w:color="auto"/>
            </w:tcBorders>
            <w:shd w:val="clear" w:color="auto" w:fill="auto"/>
            <w:noWrap/>
            <w:vAlign w:val="bottom"/>
            <w:hideMark/>
          </w:tcPr>
          <w:p w14:paraId="65776D6C" w14:textId="77777777" w:rsidR="00620422" w:rsidRPr="008204CC" w:rsidRDefault="00620422" w:rsidP="0066301C">
            <w:pPr>
              <w:spacing w:after="0" w:line="240" w:lineRule="auto"/>
              <w:jc w:val="right"/>
              <w:rPr>
                <w:rFonts w:ascii="Arial" w:eastAsia="Times New Roman" w:hAnsi="Arial" w:cs="Arial"/>
                <w:color w:val="000000"/>
                <w:sz w:val="18"/>
                <w:szCs w:val="18"/>
                <w:lang w:eastAsia="en-GB"/>
              </w:rPr>
            </w:pPr>
            <w:r w:rsidRPr="008204CC">
              <w:rPr>
                <w:rFonts w:ascii="Arial" w:eastAsia="Times New Roman" w:hAnsi="Arial" w:cs="Arial"/>
                <w:color w:val="000000"/>
                <w:sz w:val="18"/>
                <w:szCs w:val="18"/>
                <w:lang w:eastAsia="en-GB"/>
              </w:rPr>
              <w:t>146.69638</w:t>
            </w:r>
          </w:p>
        </w:tc>
        <w:tc>
          <w:tcPr>
            <w:tcW w:w="1701" w:type="dxa"/>
            <w:tcBorders>
              <w:top w:val="nil"/>
              <w:left w:val="nil"/>
              <w:bottom w:val="single" w:sz="4" w:space="0" w:color="auto"/>
              <w:right w:val="single" w:sz="4" w:space="0" w:color="auto"/>
            </w:tcBorders>
            <w:shd w:val="clear" w:color="auto" w:fill="auto"/>
            <w:noWrap/>
            <w:vAlign w:val="bottom"/>
            <w:hideMark/>
          </w:tcPr>
          <w:p w14:paraId="31ADB40F" w14:textId="77777777" w:rsidR="00620422" w:rsidRPr="008204CC" w:rsidRDefault="00620422" w:rsidP="0066301C">
            <w:pPr>
              <w:spacing w:after="0" w:line="240" w:lineRule="auto"/>
              <w:jc w:val="right"/>
              <w:rPr>
                <w:rFonts w:ascii="Arial" w:eastAsia="Times New Roman" w:hAnsi="Arial" w:cs="Arial"/>
                <w:color w:val="000000"/>
                <w:sz w:val="18"/>
                <w:szCs w:val="18"/>
                <w:lang w:eastAsia="en-GB"/>
              </w:rPr>
            </w:pPr>
            <w:r w:rsidRPr="008204CC">
              <w:rPr>
                <w:rFonts w:ascii="Arial" w:eastAsia="Times New Roman" w:hAnsi="Arial" w:cs="Arial"/>
                <w:color w:val="000000"/>
                <w:sz w:val="18"/>
                <w:szCs w:val="18"/>
                <w:lang w:eastAsia="en-GB"/>
              </w:rPr>
              <w:t>144.4764</w:t>
            </w:r>
          </w:p>
        </w:tc>
        <w:tc>
          <w:tcPr>
            <w:tcW w:w="1984" w:type="dxa"/>
            <w:tcBorders>
              <w:top w:val="nil"/>
              <w:left w:val="nil"/>
              <w:bottom w:val="single" w:sz="4" w:space="0" w:color="auto"/>
              <w:right w:val="single" w:sz="4" w:space="0" w:color="auto"/>
            </w:tcBorders>
            <w:shd w:val="clear" w:color="auto" w:fill="auto"/>
            <w:noWrap/>
            <w:vAlign w:val="bottom"/>
            <w:hideMark/>
          </w:tcPr>
          <w:p w14:paraId="6FE16589" w14:textId="77777777" w:rsidR="00620422" w:rsidRPr="008204CC" w:rsidRDefault="00620422" w:rsidP="0066301C">
            <w:pPr>
              <w:spacing w:after="0" w:line="240" w:lineRule="auto"/>
              <w:jc w:val="right"/>
              <w:rPr>
                <w:rFonts w:ascii="Arial" w:eastAsia="Times New Roman" w:hAnsi="Arial" w:cs="Arial"/>
                <w:color w:val="000000"/>
                <w:sz w:val="18"/>
                <w:szCs w:val="18"/>
                <w:lang w:eastAsia="en-GB"/>
              </w:rPr>
            </w:pPr>
            <w:r w:rsidRPr="008204CC">
              <w:rPr>
                <w:rFonts w:ascii="Arial" w:eastAsia="Times New Roman" w:hAnsi="Arial" w:cs="Arial"/>
                <w:color w:val="000000"/>
                <w:sz w:val="18"/>
                <w:szCs w:val="18"/>
                <w:lang w:eastAsia="en-GB"/>
              </w:rPr>
              <w:t>2.2199867</w:t>
            </w:r>
          </w:p>
        </w:tc>
        <w:tc>
          <w:tcPr>
            <w:tcW w:w="709" w:type="dxa"/>
            <w:vMerge/>
            <w:tcBorders>
              <w:left w:val="nil"/>
              <w:right w:val="single" w:sz="4" w:space="0" w:color="auto"/>
            </w:tcBorders>
          </w:tcPr>
          <w:p w14:paraId="35011A8D" w14:textId="77777777" w:rsidR="00620422" w:rsidRPr="008204CC" w:rsidRDefault="00620422" w:rsidP="0066301C">
            <w:pPr>
              <w:spacing w:after="0" w:line="240" w:lineRule="auto"/>
              <w:jc w:val="right"/>
              <w:rPr>
                <w:rFonts w:ascii="Arial" w:eastAsia="Times New Roman" w:hAnsi="Arial" w:cs="Arial"/>
                <w:color w:val="000000"/>
                <w:sz w:val="18"/>
                <w:szCs w:val="18"/>
                <w:lang w:eastAsia="en-GB"/>
              </w:rPr>
            </w:pPr>
          </w:p>
        </w:tc>
        <w:tc>
          <w:tcPr>
            <w:tcW w:w="999" w:type="dxa"/>
            <w:gridSpan w:val="2"/>
            <w:tcBorders>
              <w:top w:val="nil"/>
              <w:left w:val="single" w:sz="4" w:space="0" w:color="auto"/>
              <w:bottom w:val="single" w:sz="4" w:space="0" w:color="auto"/>
              <w:right w:val="single" w:sz="4" w:space="0" w:color="auto"/>
            </w:tcBorders>
            <w:shd w:val="clear" w:color="auto" w:fill="auto"/>
            <w:vAlign w:val="bottom"/>
          </w:tcPr>
          <w:p w14:paraId="06646EB7" w14:textId="77777777" w:rsidR="00620422" w:rsidRPr="008204CC" w:rsidRDefault="00620422" w:rsidP="0066301C">
            <w:pPr>
              <w:spacing w:after="0" w:line="240" w:lineRule="auto"/>
              <w:jc w:val="right"/>
              <w:rPr>
                <w:rFonts w:ascii="Arial" w:eastAsia="Times New Roman" w:hAnsi="Arial" w:cs="Arial"/>
                <w:color w:val="000000"/>
                <w:sz w:val="18"/>
                <w:szCs w:val="18"/>
                <w:lang w:eastAsia="en-GB"/>
              </w:rPr>
            </w:pPr>
            <w:r w:rsidRPr="008204CC">
              <w:rPr>
                <w:rFonts w:ascii="Arial" w:eastAsia="Times New Roman" w:hAnsi="Arial" w:cs="Arial"/>
                <w:color w:val="000000"/>
                <w:sz w:val="18"/>
                <w:szCs w:val="18"/>
                <w:lang w:eastAsia="en-GB"/>
              </w:rPr>
              <w:t>1998</w:t>
            </w:r>
          </w:p>
        </w:tc>
        <w:tc>
          <w:tcPr>
            <w:tcW w:w="1415" w:type="dxa"/>
            <w:gridSpan w:val="2"/>
            <w:tcBorders>
              <w:top w:val="nil"/>
              <w:left w:val="nil"/>
              <w:bottom w:val="single" w:sz="4" w:space="0" w:color="auto"/>
              <w:right w:val="single" w:sz="4" w:space="0" w:color="auto"/>
            </w:tcBorders>
            <w:shd w:val="clear" w:color="auto" w:fill="auto"/>
            <w:vAlign w:val="bottom"/>
          </w:tcPr>
          <w:p w14:paraId="55F80DA3" w14:textId="77777777" w:rsidR="00620422" w:rsidRPr="008204CC" w:rsidRDefault="00620422" w:rsidP="0066301C">
            <w:pPr>
              <w:spacing w:after="0" w:line="240" w:lineRule="auto"/>
              <w:jc w:val="right"/>
              <w:rPr>
                <w:rFonts w:ascii="Arial" w:eastAsia="Times New Roman" w:hAnsi="Arial" w:cs="Arial"/>
                <w:color w:val="000000"/>
                <w:sz w:val="18"/>
                <w:szCs w:val="18"/>
                <w:lang w:eastAsia="en-GB"/>
              </w:rPr>
            </w:pPr>
            <w:r w:rsidRPr="008204CC">
              <w:rPr>
                <w:rFonts w:ascii="Arial" w:eastAsia="Times New Roman" w:hAnsi="Arial" w:cs="Arial"/>
                <w:color w:val="000000"/>
                <w:sz w:val="18"/>
                <w:szCs w:val="18"/>
                <w:lang w:eastAsia="en-GB"/>
              </w:rPr>
              <w:t>66.861</w:t>
            </w:r>
          </w:p>
        </w:tc>
        <w:tc>
          <w:tcPr>
            <w:tcW w:w="1559" w:type="dxa"/>
            <w:gridSpan w:val="2"/>
            <w:tcBorders>
              <w:top w:val="nil"/>
              <w:left w:val="nil"/>
              <w:bottom w:val="single" w:sz="4" w:space="0" w:color="auto"/>
              <w:right w:val="single" w:sz="4" w:space="0" w:color="auto"/>
            </w:tcBorders>
            <w:shd w:val="clear" w:color="auto" w:fill="auto"/>
            <w:vAlign w:val="bottom"/>
          </w:tcPr>
          <w:p w14:paraId="28301808" w14:textId="77777777" w:rsidR="00620422" w:rsidRPr="008204CC" w:rsidRDefault="00620422" w:rsidP="0066301C">
            <w:pPr>
              <w:spacing w:after="0" w:line="240" w:lineRule="auto"/>
              <w:jc w:val="right"/>
              <w:rPr>
                <w:rFonts w:ascii="Arial" w:eastAsia="Times New Roman" w:hAnsi="Arial" w:cs="Arial"/>
                <w:sz w:val="18"/>
                <w:szCs w:val="18"/>
                <w:lang w:eastAsia="en-GB"/>
              </w:rPr>
            </w:pPr>
            <w:r w:rsidRPr="008204CC">
              <w:rPr>
                <w:rFonts w:ascii="Arial" w:eastAsia="Times New Roman" w:hAnsi="Arial" w:cs="Arial"/>
                <w:sz w:val="18"/>
                <w:szCs w:val="18"/>
                <w:lang w:eastAsia="en-GB"/>
              </w:rPr>
              <w:t>65.64778441</w:t>
            </w:r>
          </w:p>
        </w:tc>
        <w:tc>
          <w:tcPr>
            <w:tcW w:w="2122" w:type="dxa"/>
            <w:gridSpan w:val="2"/>
            <w:tcBorders>
              <w:top w:val="nil"/>
              <w:left w:val="nil"/>
              <w:bottom w:val="single" w:sz="4" w:space="0" w:color="auto"/>
              <w:right w:val="single" w:sz="4" w:space="0" w:color="auto"/>
            </w:tcBorders>
            <w:shd w:val="clear" w:color="auto" w:fill="auto"/>
            <w:vAlign w:val="bottom"/>
          </w:tcPr>
          <w:p w14:paraId="5816C15F" w14:textId="77777777" w:rsidR="00620422" w:rsidRPr="008204CC" w:rsidRDefault="00620422" w:rsidP="0066301C">
            <w:pPr>
              <w:spacing w:after="0" w:line="240" w:lineRule="auto"/>
              <w:jc w:val="right"/>
              <w:rPr>
                <w:rFonts w:ascii="Arial" w:eastAsia="Times New Roman" w:hAnsi="Arial" w:cs="Arial"/>
                <w:color w:val="000000"/>
                <w:sz w:val="18"/>
                <w:szCs w:val="18"/>
                <w:lang w:eastAsia="en-GB"/>
              </w:rPr>
            </w:pPr>
            <w:r w:rsidRPr="008204CC">
              <w:rPr>
                <w:rFonts w:ascii="Arial" w:eastAsia="Times New Roman" w:hAnsi="Arial" w:cs="Arial"/>
                <w:color w:val="000000"/>
                <w:sz w:val="18"/>
                <w:szCs w:val="18"/>
                <w:lang w:eastAsia="en-GB"/>
              </w:rPr>
              <w:t>1.213217216</w:t>
            </w:r>
          </w:p>
        </w:tc>
      </w:tr>
      <w:tr w:rsidR="008A6AC3" w:rsidRPr="008204CC" w14:paraId="5DFEA19A" w14:textId="77777777" w:rsidTr="00D46B41">
        <w:trPr>
          <w:trHeight w:val="300"/>
        </w:trPr>
        <w:tc>
          <w:tcPr>
            <w:tcW w:w="1135" w:type="dxa"/>
            <w:tcBorders>
              <w:top w:val="nil"/>
              <w:left w:val="single" w:sz="4" w:space="0" w:color="auto"/>
              <w:bottom w:val="single" w:sz="4" w:space="0" w:color="auto"/>
              <w:right w:val="single" w:sz="4" w:space="0" w:color="auto"/>
            </w:tcBorders>
            <w:shd w:val="clear" w:color="auto" w:fill="auto"/>
            <w:noWrap/>
            <w:vAlign w:val="bottom"/>
            <w:hideMark/>
          </w:tcPr>
          <w:p w14:paraId="72166CC2" w14:textId="77777777" w:rsidR="00620422" w:rsidRPr="008204CC" w:rsidRDefault="00620422" w:rsidP="0066301C">
            <w:pPr>
              <w:spacing w:after="0" w:line="240" w:lineRule="auto"/>
              <w:jc w:val="right"/>
              <w:rPr>
                <w:rFonts w:ascii="Arial" w:eastAsia="Times New Roman" w:hAnsi="Arial" w:cs="Arial"/>
                <w:color w:val="000000"/>
                <w:sz w:val="18"/>
                <w:szCs w:val="18"/>
                <w:lang w:eastAsia="en-GB"/>
              </w:rPr>
            </w:pPr>
            <w:r w:rsidRPr="008204CC">
              <w:rPr>
                <w:rFonts w:ascii="Arial" w:eastAsia="Times New Roman" w:hAnsi="Arial" w:cs="Arial"/>
                <w:color w:val="000000"/>
                <w:sz w:val="18"/>
                <w:szCs w:val="18"/>
                <w:lang w:eastAsia="en-GB"/>
              </w:rPr>
              <w:t>1994</w:t>
            </w:r>
          </w:p>
        </w:tc>
        <w:tc>
          <w:tcPr>
            <w:tcW w:w="1701" w:type="dxa"/>
            <w:tcBorders>
              <w:top w:val="nil"/>
              <w:left w:val="nil"/>
              <w:bottom w:val="single" w:sz="4" w:space="0" w:color="auto"/>
              <w:right w:val="single" w:sz="4" w:space="0" w:color="auto"/>
            </w:tcBorders>
            <w:shd w:val="clear" w:color="auto" w:fill="auto"/>
            <w:noWrap/>
            <w:vAlign w:val="bottom"/>
            <w:hideMark/>
          </w:tcPr>
          <w:p w14:paraId="61573234" w14:textId="77777777" w:rsidR="00620422" w:rsidRPr="008204CC" w:rsidRDefault="00620422" w:rsidP="0066301C">
            <w:pPr>
              <w:spacing w:after="0" w:line="240" w:lineRule="auto"/>
              <w:jc w:val="right"/>
              <w:rPr>
                <w:rFonts w:ascii="Arial" w:eastAsia="Times New Roman" w:hAnsi="Arial" w:cs="Arial"/>
                <w:color w:val="000000"/>
                <w:sz w:val="18"/>
                <w:szCs w:val="18"/>
                <w:lang w:eastAsia="en-GB"/>
              </w:rPr>
            </w:pPr>
            <w:r w:rsidRPr="008204CC">
              <w:rPr>
                <w:rFonts w:ascii="Arial" w:eastAsia="Times New Roman" w:hAnsi="Arial" w:cs="Arial"/>
                <w:color w:val="000000"/>
                <w:sz w:val="18"/>
                <w:szCs w:val="18"/>
                <w:lang w:eastAsia="en-GB"/>
              </w:rPr>
              <w:t>99.017016</w:t>
            </w:r>
          </w:p>
        </w:tc>
        <w:tc>
          <w:tcPr>
            <w:tcW w:w="1701" w:type="dxa"/>
            <w:tcBorders>
              <w:top w:val="nil"/>
              <w:left w:val="nil"/>
              <w:bottom w:val="single" w:sz="4" w:space="0" w:color="auto"/>
              <w:right w:val="single" w:sz="4" w:space="0" w:color="auto"/>
            </w:tcBorders>
            <w:shd w:val="clear" w:color="auto" w:fill="auto"/>
            <w:noWrap/>
            <w:vAlign w:val="bottom"/>
            <w:hideMark/>
          </w:tcPr>
          <w:p w14:paraId="692DEC19" w14:textId="77777777" w:rsidR="00620422" w:rsidRPr="008204CC" w:rsidRDefault="00620422" w:rsidP="0066301C">
            <w:pPr>
              <w:spacing w:after="0" w:line="240" w:lineRule="auto"/>
              <w:jc w:val="right"/>
              <w:rPr>
                <w:rFonts w:ascii="Arial" w:eastAsia="Times New Roman" w:hAnsi="Arial" w:cs="Arial"/>
                <w:color w:val="000000"/>
                <w:sz w:val="18"/>
                <w:szCs w:val="18"/>
                <w:lang w:eastAsia="en-GB"/>
              </w:rPr>
            </w:pPr>
            <w:r w:rsidRPr="008204CC">
              <w:rPr>
                <w:rFonts w:ascii="Arial" w:eastAsia="Times New Roman" w:hAnsi="Arial" w:cs="Arial"/>
                <w:color w:val="000000"/>
                <w:sz w:val="18"/>
                <w:szCs w:val="18"/>
                <w:lang w:eastAsia="en-GB"/>
              </w:rPr>
              <w:t>134.70022</w:t>
            </w:r>
          </w:p>
        </w:tc>
        <w:tc>
          <w:tcPr>
            <w:tcW w:w="1984" w:type="dxa"/>
            <w:tcBorders>
              <w:top w:val="nil"/>
              <w:left w:val="nil"/>
              <w:bottom w:val="single" w:sz="4" w:space="0" w:color="auto"/>
              <w:right w:val="single" w:sz="4" w:space="0" w:color="auto"/>
            </w:tcBorders>
            <w:shd w:val="clear" w:color="auto" w:fill="auto"/>
            <w:noWrap/>
            <w:vAlign w:val="bottom"/>
            <w:hideMark/>
          </w:tcPr>
          <w:p w14:paraId="21C77AE9" w14:textId="77777777" w:rsidR="00620422" w:rsidRPr="008204CC" w:rsidRDefault="00620422" w:rsidP="0066301C">
            <w:pPr>
              <w:spacing w:after="0" w:line="240" w:lineRule="auto"/>
              <w:jc w:val="right"/>
              <w:rPr>
                <w:rFonts w:ascii="Arial" w:eastAsia="Times New Roman" w:hAnsi="Arial" w:cs="Arial"/>
                <w:color w:val="000000"/>
                <w:sz w:val="18"/>
                <w:szCs w:val="18"/>
                <w:lang w:eastAsia="en-GB"/>
              </w:rPr>
            </w:pPr>
            <w:r w:rsidRPr="008204CC">
              <w:rPr>
                <w:rFonts w:ascii="Arial" w:eastAsia="Times New Roman" w:hAnsi="Arial" w:cs="Arial"/>
                <w:color w:val="000000"/>
                <w:sz w:val="18"/>
                <w:szCs w:val="18"/>
                <w:lang w:eastAsia="en-GB"/>
              </w:rPr>
              <w:t>-35.683207</w:t>
            </w:r>
          </w:p>
        </w:tc>
        <w:tc>
          <w:tcPr>
            <w:tcW w:w="709" w:type="dxa"/>
            <w:vMerge/>
            <w:tcBorders>
              <w:left w:val="nil"/>
              <w:right w:val="single" w:sz="4" w:space="0" w:color="auto"/>
            </w:tcBorders>
          </w:tcPr>
          <w:p w14:paraId="7CC311D6" w14:textId="77777777" w:rsidR="00620422" w:rsidRPr="008204CC" w:rsidRDefault="00620422" w:rsidP="0066301C">
            <w:pPr>
              <w:spacing w:after="0" w:line="240" w:lineRule="auto"/>
              <w:jc w:val="right"/>
              <w:rPr>
                <w:rFonts w:ascii="Arial" w:eastAsia="Times New Roman" w:hAnsi="Arial" w:cs="Arial"/>
                <w:color w:val="000000"/>
                <w:sz w:val="18"/>
                <w:szCs w:val="18"/>
                <w:lang w:eastAsia="en-GB"/>
              </w:rPr>
            </w:pPr>
          </w:p>
        </w:tc>
        <w:tc>
          <w:tcPr>
            <w:tcW w:w="999" w:type="dxa"/>
            <w:gridSpan w:val="2"/>
            <w:tcBorders>
              <w:top w:val="nil"/>
              <w:left w:val="single" w:sz="4" w:space="0" w:color="auto"/>
              <w:bottom w:val="single" w:sz="4" w:space="0" w:color="auto"/>
              <w:right w:val="single" w:sz="4" w:space="0" w:color="auto"/>
            </w:tcBorders>
            <w:shd w:val="clear" w:color="auto" w:fill="auto"/>
            <w:vAlign w:val="bottom"/>
          </w:tcPr>
          <w:p w14:paraId="62902CBC" w14:textId="77777777" w:rsidR="00620422" w:rsidRPr="008204CC" w:rsidRDefault="00620422" w:rsidP="0066301C">
            <w:pPr>
              <w:spacing w:after="0" w:line="240" w:lineRule="auto"/>
              <w:jc w:val="right"/>
              <w:rPr>
                <w:rFonts w:ascii="Arial" w:eastAsia="Times New Roman" w:hAnsi="Arial" w:cs="Arial"/>
                <w:color w:val="000000"/>
                <w:sz w:val="18"/>
                <w:szCs w:val="18"/>
                <w:lang w:eastAsia="en-GB"/>
              </w:rPr>
            </w:pPr>
            <w:r w:rsidRPr="008204CC">
              <w:rPr>
                <w:rFonts w:ascii="Arial" w:eastAsia="Times New Roman" w:hAnsi="Arial" w:cs="Arial"/>
                <w:color w:val="000000"/>
                <w:sz w:val="18"/>
                <w:szCs w:val="18"/>
                <w:lang w:eastAsia="en-GB"/>
              </w:rPr>
              <w:t>1999</w:t>
            </w:r>
          </w:p>
        </w:tc>
        <w:tc>
          <w:tcPr>
            <w:tcW w:w="1415" w:type="dxa"/>
            <w:gridSpan w:val="2"/>
            <w:tcBorders>
              <w:top w:val="nil"/>
              <w:left w:val="nil"/>
              <w:bottom w:val="single" w:sz="4" w:space="0" w:color="auto"/>
              <w:right w:val="single" w:sz="4" w:space="0" w:color="auto"/>
            </w:tcBorders>
            <w:shd w:val="clear" w:color="auto" w:fill="auto"/>
            <w:vAlign w:val="bottom"/>
          </w:tcPr>
          <w:p w14:paraId="50111B03" w14:textId="77777777" w:rsidR="00620422" w:rsidRPr="008204CC" w:rsidRDefault="00620422" w:rsidP="0066301C">
            <w:pPr>
              <w:spacing w:after="0" w:line="240" w:lineRule="auto"/>
              <w:jc w:val="right"/>
              <w:rPr>
                <w:rFonts w:ascii="Arial" w:eastAsia="Times New Roman" w:hAnsi="Arial" w:cs="Arial"/>
                <w:color w:val="000000"/>
                <w:sz w:val="18"/>
                <w:szCs w:val="18"/>
                <w:lang w:eastAsia="en-GB"/>
              </w:rPr>
            </w:pPr>
            <w:r w:rsidRPr="008204CC">
              <w:rPr>
                <w:rFonts w:ascii="Arial" w:eastAsia="Times New Roman" w:hAnsi="Arial" w:cs="Arial"/>
                <w:color w:val="000000"/>
                <w:sz w:val="18"/>
                <w:szCs w:val="18"/>
                <w:lang w:eastAsia="en-GB"/>
              </w:rPr>
              <w:t>63.82384</w:t>
            </w:r>
          </w:p>
        </w:tc>
        <w:tc>
          <w:tcPr>
            <w:tcW w:w="1559" w:type="dxa"/>
            <w:gridSpan w:val="2"/>
            <w:tcBorders>
              <w:top w:val="nil"/>
              <w:left w:val="nil"/>
              <w:bottom w:val="single" w:sz="4" w:space="0" w:color="auto"/>
              <w:right w:val="single" w:sz="4" w:space="0" w:color="auto"/>
            </w:tcBorders>
            <w:shd w:val="clear" w:color="auto" w:fill="auto"/>
            <w:vAlign w:val="bottom"/>
          </w:tcPr>
          <w:p w14:paraId="3B461F73" w14:textId="77777777" w:rsidR="00620422" w:rsidRPr="008204CC" w:rsidRDefault="00620422" w:rsidP="0066301C">
            <w:pPr>
              <w:spacing w:after="0" w:line="240" w:lineRule="auto"/>
              <w:jc w:val="right"/>
              <w:rPr>
                <w:rFonts w:ascii="Arial" w:eastAsia="Times New Roman" w:hAnsi="Arial" w:cs="Arial"/>
                <w:sz w:val="18"/>
                <w:szCs w:val="18"/>
                <w:lang w:eastAsia="en-GB"/>
              </w:rPr>
            </w:pPr>
            <w:r w:rsidRPr="008204CC">
              <w:rPr>
                <w:rFonts w:ascii="Arial" w:eastAsia="Times New Roman" w:hAnsi="Arial" w:cs="Arial"/>
                <w:sz w:val="18"/>
                <w:szCs w:val="18"/>
                <w:lang w:eastAsia="en-GB"/>
              </w:rPr>
              <w:t>66.55617017</w:t>
            </w:r>
          </w:p>
        </w:tc>
        <w:tc>
          <w:tcPr>
            <w:tcW w:w="2122" w:type="dxa"/>
            <w:gridSpan w:val="2"/>
            <w:tcBorders>
              <w:top w:val="nil"/>
              <w:left w:val="nil"/>
              <w:bottom w:val="single" w:sz="4" w:space="0" w:color="auto"/>
              <w:right w:val="single" w:sz="4" w:space="0" w:color="auto"/>
            </w:tcBorders>
            <w:shd w:val="clear" w:color="auto" w:fill="auto"/>
            <w:vAlign w:val="bottom"/>
          </w:tcPr>
          <w:p w14:paraId="0C31650F" w14:textId="77777777" w:rsidR="00620422" w:rsidRPr="008204CC" w:rsidRDefault="00620422" w:rsidP="0066301C">
            <w:pPr>
              <w:spacing w:after="0" w:line="240" w:lineRule="auto"/>
              <w:jc w:val="right"/>
              <w:rPr>
                <w:rFonts w:ascii="Arial" w:eastAsia="Times New Roman" w:hAnsi="Arial" w:cs="Arial"/>
                <w:color w:val="000000"/>
                <w:sz w:val="18"/>
                <w:szCs w:val="18"/>
                <w:lang w:eastAsia="en-GB"/>
              </w:rPr>
            </w:pPr>
            <w:r w:rsidRPr="008204CC">
              <w:rPr>
                <w:rFonts w:ascii="Arial" w:eastAsia="Times New Roman" w:hAnsi="Arial" w:cs="Arial"/>
                <w:color w:val="000000"/>
                <w:sz w:val="18"/>
                <w:szCs w:val="18"/>
                <w:lang w:eastAsia="en-GB"/>
              </w:rPr>
              <w:t>-2.732329943</w:t>
            </w:r>
          </w:p>
        </w:tc>
      </w:tr>
      <w:tr w:rsidR="008A6AC3" w:rsidRPr="008204CC" w14:paraId="202EB6DB" w14:textId="77777777" w:rsidTr="00D46B41">
        <w:trPr>
          <w:trHeight w:val="300"/>
        </w:trPr>
        <w:tc>
          <w:tcPr>
            <w:tcW w:w="1135" w:type="dxa"/>
            <w:tcBorders>
              <w:top w:val="nil"/>
              <w:left w:val="single" w:sz="4" w:space="0" w:color="auto"/>
              <w:bottom w:val="single" w:sz="4" w:space="0" w:color="auto"/>
              <w:right w:val="single" w:sz="4" w:space="0" w:color="auto"/>
            </w:tcBorders>
            <w:shd w:val="clear" w:color="auto" w:fill="auto"/>
            <w:noWrap/>
            <w:vAlign w:val="bottom"/>
            <w:hideMark/>
          </w:tcPr>
          <w:p w14:paraId="0C8A70C8" w14:textId="77777777" w:rsidR="00620422" w:rsidRPr="008204CC" w:rsidRDefault="00620422" w:rsidP="0066301C">
            <w:pPr>
              <w:spacing w:after="0" w:line="240" w:lineRule="auto"/>
              <w:jc w:val="right"/>
              <w:rPr>
                <w:rFonts w:ascii="Arial" w:eastAsia="Times New Roman" w:hAnsi="Arial" w:cs="Arial"/>
                <w:color w:val="000000"/>
                <w:sz w:val="18"/>
                <w:szCs w:val="18"/>
                <w:lang w:eastAsia="en-GB"/>
              </w:rPr>
            </w:pPr>
            <w:r w:rsidRPr="008204CC">
              <w:rPr>
                <w:rFonts w:ascii="Arial" w:eastAsia="Times New Roman" w:hAnsi="Arial" w:cs="Arial"/>
                <w:color w:val="000000"/>
                <w:sz w:val="18"/>
                <w:szCs w:val="18"/>
                <w:lang w:eastAsia="en-GB"/>
              </w:rPr>
              <w:t>1995</w:t>
            </w:r>
          </w:p>
        </w:tc>
        <w:tc>
          <w:tcPr>
            <w:tcW w:w="1701" w:type="dxa"/>
            <w:tcBorders>
              <w:top w:val="nil"/>
              <w:left w:val="nil"/>
              <w:bottom w:val="single" w:sz="4" w:space="0" w:color="auto"/>
              <w:right w:val="single" w:sz="4" w:space="0" w:color="auto"/>
            </w:tcBorders>
            <w:shd w:val="clear" w:color="auto" w:fill="auto"/>
            <w:noWrap/>
            <w:vAlign w:val="bottom"/>
            <w:hideMark/>
          </w:tcPr>
          <w:p w14:paraId="36156859" w14:textId="77777777" w:rsidR="00620422" w:rsidRPr="008204CC" w:rsidRDefault="00620422" w:rsidP="0066301C">
            <w:pPr>
              <w:spacing w:after="0" w:line="240" w:lineRule="auto"/>
              <w:jc w:val="right"/>
              <w:rPr>
                <w:rFonts w:ascii="Arial" w:eastAsia="Times New Roman" w:hAnsi="Arial" w:cs="Arial"/>
                <w:color w:val="000000"/>
                <w:sz w:val="18"/>
                <w:szCs w:val="18"/>
                <w:lang w:eastAsia="en-GB"/>
              </w:rPr>
            </w:pPr>
            <w:r w:rsidRPr="008204CC">
              <w:rPr>
                <w:rFonts w:ascii="Arial" w:eastAsia="Times New Roman" w:hAnsi="Arial" w:cs="Arial"/>
                <w:color w:val="000000"/>
                <w:sz w:val="18"/>
                <w:szCs w:val="18"/>
                <w:lang w:eastAsia="en-GB"/>
              </w:rPr>
              <w:t>109.45951</w:t>
            </w:r>
          </w:p>
        </w:tc>
        <w:tc>
          <w:tcPr>
            <w:tcW w:w="1701" w:type="dxa"/>
            <w:tcBorders>
              <w:top w:val="nil"/>
              <w:left w:val="nil"/>
              <w:bottom w:val="single" w:sz="4" w:space="0" w:color="auto"/>
              <w:right w:val="single" w:sz="4" w:space="0" w:color="auto"/>
            </w:tcBorders>
            <w:shd w:val="clear" w:color="auto" w:fill="auto"/>
            <w:noWrap/>
            <w:vAlign w:val="bottom"/>
            <w:hideMark/>
          </w:tcPr>
          <w:p w14:paraId="6E50E0F1" w14:textId="77777777" w:rsidR="00620422" w:rsidRPr="008204CC" w:rsidRDefault="00620422" w:rsidP="0066301C">
            <w:pPr>
              <w:spacing w:after="0" w:line="240" w:lineRule="auto"/>
              <w:jc w:val="right"/>
              <w:rPr>
                <w:rFonts w:ascii="Arial" w:eastAsia="Times New Roman" w:hAnsi="Arial" w:cs="Arial"/>
                <w:color w:val="000000"/>
                <w:sz w:val="18"/>
                <w:szCs w:val="18"/>
                <w:lang w:eastAsia="en-GB"/>
              </w:rPr>
            </w:pPr>
            <w:r w:rsidRPr="008204CC">
              <w:rPr>
                <w:rFonts w:ascii="Arial" w:eastAsia="Times New Roman" w:hAnsi="Arial" w:cs="Arial"/>
                <w:color w:val="000000"/>
                <w:sz w:val="18"/>
                <w:szCs w:val="18"/>
                <w:lang w:eastAsia="en-GB"/>
              </w:rPr>
              <w:t>125.94173</w:t>
            </w:r>
          </w:p>
        </w:tc>
        <w:tc>
          <w:tcPr>
            <w:tcW w:w="1984" w:type="dxa"/>
            <w:tcBorders>
              <w:top w:val="nil"/>
              <w:left w:val="nil"/>
              <w:bottom w:val="single" w:sz="4" w:space="0" w:color="auto"/>
              <w:right w:val="single" w:sz="4" w:space="0" w:color="auto"/>
            </w:tcBorders>
            <w:shd w:val="clear" w:color="auto" w:fill="auto"/>
            <w:noWrap/>
            <w:vAlign w:val="bottom"/>
            <w:hideMark/>
          </w:tcPr>
          <w:p w14:paraId="2FD269C0" w14:textId="77777777" w:rsidR="00620422" w:rsidRPr="008204CC" w:rsidRDefault="00620422" w:rsidP="0066301C">
            <w:pPr>
              <w:spacing w:after="0" w:line="240" w:lineRule="auto"/>
              <w:jc w:val="right"/>
              <w:rPr>
                <w:rFonts w:ascii="Arial" w:eastAsia="Times New Roman" w:hAnsi="Arial" w:cs="Arial"/>
                <w:color w:val="000000"/>
                <w:sz w:val="18"/>
                <w:szCs w:val="18"/>
                <w:lang w:eastAsia="en-GB"/>
              </w:rPr>
            </w:pPr>
            <w:r w:rsidRPr="008204CC">
              <w:rPr>
                <w:rFonts w:ascii="Arial" w:eastAsia="Times New Roman" w:hAnsi="Arial" w:cs="Arial"/>
                <w:color w:val="000000"/>
                <w:sz w:val="18"/>
                <w:szCs w:val="18"/>
                <w:lang w:eastAsia="en-GB"/>
              </w:rPr>
              <w:t>-16.482215</w:t>
            </w:r>
          </w:p>
        </w:tc>
        <w:tc>
          <w:tcPr>
            <w:tcW w:w="709" w:type="dxa"/>
            <w:vMerge/>
            <w:tcBorders>
              <w:left w:val="nil"/>
              <w:right w:val="single" w:sz="4" w:space="0" w:color="auto"/>
            </w:tcBorders>
          </w:tcPr>
          <w:p w14:paraId="362FA951" w14:textId="77777777" w:rsidR="00620422" w:rsidRPr="008204CC" w:rsidRDefault="00620422" w:rsidP="0066301C">
            <w:pPr>
              <w:spacing w:after="0" w:line="240" w:lineRule="auto"/>
              <w:jc w:val="right"/>
              <w:rPr>
                <w:rFonts w:ascii="Arial" w:eastAsia="Times New Roman" w:hAnsi="Arial" w:cs="Arial"/>
                <w:color w:val="000000"/>
                <w:sz w:val="18"/>
                <w:szCs w:val="18"/>
                <w:lang w:eastAsia="en-GB"/>
              </w:rPr>
            </w:pPr>
          </w:p>
        </w:tc>
        <w:tc>
          <w:tcPr>
            <w:tcW w:w="999" w:type="dxa"/>
            <w:gridSpan w:val="2"/>
            <w:tcBorders>
              <w:top w:val="nil"/>
              <w:left w:val="single" w:sz="4" w:space="0" w:color="auto"/>
              <w:bottom w:val="single" w:sz="4" w:space="0" w:color="auto"/>
              <w:right w:val="single" w:sz="4" w:space="0" w:color="auto"/>
            </w:tcBorders>
            <w:shd w:val="clear" w:color="auto" w:fill="auto"/>
            <w:vAlign w:val="bottom"/>
          </w:tcPr>
          <w:p w14:paraId="5D7F559A" w14:textId="77777777" w:rsidR="00620422" w:rsidRPr="008204CC" w:rsidRDefault="00620422" w:rsidP="0066301C">
            <w:pPr>
              <w:spacing w:after="0" w:line="240" w:lineRule="auto"/>
              <w:jc w:val="right"/>
              <w:rPr>
                <w:rFonts w:ascii="Arial" w:eastAsia="Times New Roman" w:hAnsi="Arial" w:cs="Arial"/>
                <w:color w:val="000000"/>
                <w:sz w:val="18"/>
                <w:szCs w:val="18"/>
                <w:lang w:eastAsia="en-GB"/>
              </w:rPr>
            </w:pPr>
            <w:r w:rsidRPr="008204CC">
              <w:rPr>
                <w:rFonts w:ascii="Arial" w:eastAsia="Times New Roman" w:hAnsi="Arial" w:cs="Arial"/>
                <w:color w:val="000000"/>
                <w:sz w:val="18"/>
                <w:szCs w:val="18"/>
                <w:lang w:eastAsia="en-GB"/>
              </w:rPr>
              <w:t>2000</w:t>
            </w:r>
          </w:p>
        </w:tc>
        <w:tc>
          <w:tcPr>
            <w:tcW w:w="1415" w:type="dxa"/>
            <w:gridSpan w:val="2"/>
            <w:tcBorders>
              <w:top w:val="nil"/>
              <w:left w:val="nil"/>
              <w:bottom w:val="single" w:sz="4" w:space="0" w:color="auto"/>
              <w:right w:val="single" w:sz="4" w:space="0" w:color="auto"/>
            </w:tcBorders>
            <w:shd w:val="clear" w:color="auto" w:fill="auto"/>
            <w:vAlign w:val="bottom"/>
          </w:tcPr>
          <w:p w14:paraId="7903D23A" w14:textId="77777777" w:rsidR="00620422" w:rsidRPr="008204CC" w:rsidRDefault="00620422" w:rsidP="0066301C">
            <w:pPr>
              <w:spacing w:after="0" w:line="240" w:lineRule="auto"/>
              <w:jc w:val="right"/>
              <w:rPr>
                <w:rFonts w:ascii="Arial" w:eastAsia="Times New Roman" w:hAnsi="Arial" w:cs="Arial"/>
                <w:color w:val="000000"/>
                <w:sz w:val="18"/>
                <w:szCs w:val="18"/>
                <w:lang w:eastAsia="en-GB"/>
              </w:rPr>
            </w:pPr>
            <w:r w:rsidRPr="008204CC">
              <w:rPr>
                <w:rFonts w:ascii="Arial" w:eastAsia="Times New Roman" w:hAnsi="Arial" w:cs="Arial"/>
                <w:color w:val="000000"/>
                <w:sz w:val="18"/>
                <w:szCs w:val="18"/>
                <w:lang w:eastAsia="en-GB"/>
              </w:rPr>
              <w:t>59.32544</w:t>
            </w:r>
          </w:p>
        </w:tc>
        <w:tc>
          <w:tcPr>
            <w:tcW w:w="1559" w:type="dxa"/>
            <w:gridSpan w:val="2"/>
            <w:tcBorders>
              <w:top w:val="nil"/>
              <w:left w:val="nil"/>
              <w:bottom w:val="single" w:sz="4" w:space="0" w:color="auto"/>
              <w:right w:val="single" w:sz="4" w:space="0" w:color="auto"/>
            </w:tcBorders>
            <w:shd w:val="clear" w:color="auto" w:fill="auto"/>
            <w:vAlign w:val="bottom"/>
          </w:tcPr>
          <w:p w14:paraId="22A500BF" w14:textId="77777777" w:rsidR="00620422" w:rsidRPr="008204CC" w:rsidRDefault="00620422" w:rsidP="0066301C">
            <w:pPr>
              <w:spacing w:after="0" w:line="240" w:lineRule="auto"/>
              <w:jc w:val="right"/>
              <w:rPr>
                <w:rFonts w:ascii="Arial" w:eastAsia="Times New Roman" w:hAnsi="Arial" w:cs="Arial"/>
                <w:sz w:val="18"/>
                <w:szCs w:val="18"/>
                <w:lang w:eastAsia="en-GB"/>
              </w:rPr>
            </w:pPr>
            <w:r w:rsidRPr="008204CC">
              <w:rPr>
                <w:rFonts w:ascii="Arial" w:eastAsia="Times New Roman" w:hAnsi="Arial" w:cs="Arial"/>
                <w:sz w:val="18"/>
                <w:szCs w:val="18"/>
                <w:lang w:eastAsia="en-GB"/>
              </w:rPr>
              <w:t>68.209046</w:t>
            </w:r>
          </w:p>
        </w:tc>
        <w:tc>
          <w:tcPr>
            <w:tcW w:w="2122" w:type="dxa"/>
            <w:gridSpan w:val="2"/>
            <w:tcBorders>
              <w:top w:val="nil"/>
              <w:left w:val="nil"/>
              <w:bottom w:val="single" w:sz="4" w:space="0" w:color="auto"/>
              <w:right w:val="single" w:sz="4" w:space="0" w:color="auto"/>
            </w:tcBorders>
            <w:shd w:val="clear" w:color="auto" w:fill="auto"/>
            <w:vAlign w:val="bottom"/>
          </w:tcPr>
          <w:p w14:paraId="2F1A54A9" w14:textId="77777777" w:rsidR="00620422" w:rsidRPr="008204CC" w:rsidRDefault="00620422" w:rsidP="0066301C">
            <w:pPr>
              <w:spacing w:after="0" w:line="240" w:lineRule="auto"/>
              <w:jc w:val="right"/>
              <w:rPr>
                <w:rFonts w:ascii="Arial" w:eastAsia="Times New Roman" w:hAnsi="Arial" w:cs="Arial"/>
                <w:color w:val="000000"/>
                <w:sz w:val="18"/>
                <w:szCs w:val="18"/>
                <w:lang w:eastAsia="en-GB"/>
              </w:rPr>
            </w:pPr>
            <w:r w:rsidRPr="008204CC">
              <w:rPr>
                <w:rFonts w:ascii="Arial" w:eastAsia="Times New Roman" w:hAnsi="Arial" w:cs="Arial"/>
                <w:color w:val="000000"/>
                <w:sz w:val="18"/>
                <w:szCs w:val="18"/>
                <w:lang w:eastAsia="en-GB"/>
              </w:rPr>
              <w:t>-8.883606192</w:t>
            </w:r>
          </w:p>
        </w:tc>
      </w:tr>
      <w:tr w:rsidR="008A6AC3" w:rsidRPr="008204CC" w14:paraId="7DB103E7" w14:textId="77777777" w:rsidTr="00D46B41">
        <w:trPr>
          <w:trHeight w:val="300"/>
        </w:trPr>
        <w:tc>
          <w:tcPr>
            <w:tcW w:w="1135" w:type="dxa"/>
            <w:tcBorders>
              <w:top w:val="nil"/>
              <w:left w:val="single" w:sz="4" w:space="0" w:color="auto"/>
              <w:bottom w:val="single" w:sz="4" w:space="0" w:color="auto"/>
              <w:right w:val="single" w:sz="4" w:space="0" w:color="auto"/>
            </w:tcBorders>
            <w:shd w:val="clear" w:color="auto" w:fill="auto"/>
            <w:noWrap/>
            <w:vAlign w:val="bottom"/>
            <w:hideMark/>
          </w:tcPr>
          <w:p w14:paraId="3B29B2C5" w14:textId="77777777" w:rsidR="00620422" w:rsidRPr="008204CC" w:rsidRDefault="00620422" w:rsidP="0066301C">
            <w:pPr>
              <w:spacing w:after="0" w:line="240" w:lineRule="auto"/>
              <w:jc w:val="right"/>
              <w:rPr>
                <w:rFonts w:ascii="Arial" w:eastAsia="Times New Roman" w:hAnsi="Arial" w:cs="Arial"/>
                <w:color w:val="000000"/>
                <w:sz w:val="18"/>
                <w:szCs w:val="18"/>
                <w:lang w:eastAsia="en-GB"/>
              </w:rPr>
            </w:pPr>
            <w:r w:rsidRPr="008204CC">
              <w:rPr>
                <w:rFonts w:ascii="Arial" w:eastAsia="Times New Roman" w:hAnsi="Arial" w:cs="Arial"/>
                <w:color w:val="000000"/>
                <w:sz w:val="18"/>
                <w:szCs w:val="18"/>
                <w:lang w:eastAsia="en-GB"/>
              </w:rPr>
              <w:t>1996</w:t>
            </w:r>
          </w:p>
        </w:tc>
        <w:tc>
          <w:tcPr>
            <w:tcW w:w="1701" w:type="dxa"/>
            <w:tcBorders>
              <w:top w:val="nil"/>
              <w:left w:val="nil"/>
              <w:bottom w:val="single" w:sz="4" w:space="0" w:color="auto"/>
              <w:right w:val="single" w:sz="4" w:space="0" w:color="auto"/>
            </w:tcBorders>
            <w:shd w:val="clear" w:color="auto" w:fill="auto"/>
            <w:noWrap/>
            <w:vAlign w:val="bottom"/>
            <w:hideMark/>
          </w:tcPr>
          <w:p w14:paraId="49BC06C8" w14:textId="77777777" w:rsidR="00620422" w:rsidRPr="008204CC" w:rsidRDefault="00620422" w:rsidP="0066301C">
            <w:pPr>
              <w:spacing w:after="0" w:line="240" w:lineRule="auto"/>
              <w:jc w:val="right"/>
              <w:rPr>
                <w:rFonts w:ascii="Arial" w:eastAsia="Times New Roman" w:hAnsi="Arial" w:cs="Arial"/>
                <w:color w:val="000000"/>
                <w:sz w:val="18"/>
                <w:szCs w:val="18"/>
                <w:lang w:eastAsia="en-GB"/>
              </w:rPr>
            </w:pPr>
            <w:r w:rsidRPr="008204CC">
              <w:rPr>
                <w:rFonts w:ascii="Arial" w:eastAsia="Times New Roman" w:hAnsi="Arial" w:cs="Arial"/>
                <w:color w:val="000000"/>
                <w:sz w:val="18"/>
                <w:szCs w:val="18"/>
                <w:lang w:eastAsia="en-GB"/>
              </w:rPr>
              <w:t>108.15813</w:t>
            </w:r>
          </w:p>
        </w:tc>
        <w:tc>
          <w:tcPr>
            <w:tcW w:w="1701" w:type="dxa"/>
            <w:tcBorders>
              <w:top w:val="nil"/>
              <w:left w:val="nil"/>
              <w:bottom w:val="single" w:sz="4" w:space="0" w:color="auto"/>
              <w:right w:val="single" w:sz="4" w:space="0" w:color="auto"/>
            </w:tcBorders>
            <w:shd w:val="clear" w:color="auto" w:fill="auto"/>
            <w:noWrap/>
            <w:vAlign w:val="bottom"/>
            <w:hideMark/>
          </w:tcPr>
          <w:p w14:paraId="4D5D10FB" w14:textId="77777777" w:rsidR="00620422" w:rsidRPr="008204CC" w:rsidRDefault="00620422" w:rsidP="0066301C">
            <w:pPr>
              <w:spacing w:after="0" w:line="240" w:lineRule="auto"/>
              <w:jc w:val="right"/>
              <w:rPr>
                <w:rFonts w:ascii="Arial" w:eastAsia="Times New Roman" w:hAnsi="Arial" w:cs="Arial"/>
                <w:color w:val="000000"/>
                <w:sz w:val="18"/>
                <w:szCs w:val="18"/>
                <w:lang w:eastAsia="en-GB"/>
              </w:rPr>
            </w:pPr>
            <w:r w:rsidRPr="008204CC">
              <w:rPr>
                <w:rFonts w:ascii="Arial" w:eastAsia="Times New Roman" w:hAnsi="Arial" w:cs="Arial"/>
                <w:color w:val="000000"/>
                <w:sz w:val="18"/>
                <w:szCs w:val="18"/>
                <w:lang w:eastAsia="en-GB"/>
              </w:rPr>
              <w:t>118.42812</w:t>
            </w:r>
          </w:p>
        </w:tc>
        <w:tc>
          <w:tcPr>
            <w:tcW w:w="1984" w:type="dxa"/>
            <w:tcBorders>
              <w:top w:val="nil"/>
              <w:left w:val="nil"/>
              <w:bottom w:val="single" w:sz="4" w:space="0" w:color="auto"/>
              <w:right w:val="single" w:sz="4" w:space="0" w:color="auto"/>
            </w:tcBorders>
            <w:shd w:val="clear" w:color="auto" w:fill="auto"/>
            <w:noWrap/>
            <w:vAlign w:val="bottom"/>
            <w:hideMark/>
          </w:tcPr>
          <w:p w14:paraId="06613D5C" w14:textId="77777777" w:rsidR="00620422" w:rsidRPr="008204CC" w:rsidRDefault="00620422" w:rsidP="0066301C">
            <w:pPr>
              <w:spacing w:after="0" w:line="240" w:lineRule="auto"/>
              <w:jc w:val="right"/>
              <w:rPr>
                <w:rFonts w:ascii="Arial" w:eastAsia="Times New Roman" w:hAnsi="Arial" w:cs="Arial"/>
                <w:color w:val="000000"/>
                <w:sz w:val="18"/>
                <w:szCs w:val="18"/>
                <w:lang w:eastAsia="en-GB"/>
              </w:rPr>
            </w:pPr>
            <w:r w:rsidRPr="008204CC">
              <w:rPr>
                <w:rFonts w:ascii="Arial" w:eastAsia="Times New Roman" w:hAnsi="Arial" w:cs="Arial"/>
                <w:color w:val="000000"/>
                <w:sz w:val="18"/>
                <w:szCs w:val="18"/>
                <w:lang w:eastAsia="en-GB"/>
              </w:rPr>
              <w:t>-10.269996</w:t>
            </w:r>
          </w:p>
        </w:tc>
        <w:tc>
          <w:tcPr>
            <w:tcW w:w="709" w:type="dxa"/>
            <w:vMerge/>
            <w:tcBorders>
              <w:left w:val="nil"/>
              <w:right w:val="single" w:sz="4" w:space="0" w:color="auto"/>
            </w:tcBorders>
          </w:tcPr>
          <w:p w14:paraId="5B7BB389" w14:textId="77777777" w:rsidR="00620422" w:rsidRPr="008204CC" w:rsidRDefault="00620422" w:rsidP="0066301C">
            <w:pPr>
              <w:spacing w:after="0" w:line="240" w:lineRule="auto"/>
              <w:jc w:val="right"/>
              <w:rPr>
                <w:rFonts w:ascii="Arial" w:eastAsia="Times New Roman" w:hAnsi="Arial" w:cs="Arial"/>
                <w:color w:val="000000"/>
                <w:sz w:val="18"/>
                <w:szCs w:val="18"/>
                <w:lang w:eastAsia="en-GB"/>
              </w:rPr>
            </w:pPr>
          </w:p>
        </w:tc>
        <w:tc>
          <w:tcPr>
            <w:tcW w:w="999" w:type="dxa"/>
            <w:gridSpan w:val="2"/>
            <w:tcBorders>
              <w:top w:val="nil"/>
              <w:left w:val="single" w:sz="4" w:space="0" w:color="auto"/>
              <w:bottom w:val="single" w:sz="4" w:space="0" w:color="auto"/>
              <w:right w:val="single" w:sz="4" w:space="0" w:color="auto"/>
            </w:tcBorders>
            <w:shd w:val="clear" w:color="auto" w:fill="auto"/>
            <w:vAlign w:val="bottom"/>
          </w:tcPr>
          <w:p w14:paraId="33A362B1" w14:textId="77777777" w:rsidR="00620422" w:rsidRPr="008204CC" w:rsidRDefault="00620422" w:rsidP="0066301C">
            <w:pPr>
              <w:spacing w:after="0" w:line="240" w:lineRule="auto"/>
              <w:jc w:val="right"/>
              <w:rPr>
                <w:rFonts w:ascii="Arial" w:eastAsia="Times New Roman" w:hAnsi="Arial" w:cs="Arial"/>
                <w:color w:val="000000"/>
                <w:sz w:val="18"/>
                <w:szCs w:val="18"/>
                <w:lang w:eastAsia="en-GB"/>
              </w:rPr>
            </w:pPr>
            <w:r w:rsidRPr="008204CC">
              <w:rPr>
                <w:rFonts w:ascii="Arial" w:eastAsia="Times New Roman" w:hAnsi="Arial" w:cs="Arial"/>
                <w:color w:val="000000"/>
                <w:sz w:val="18"/>
                <w:szCs w:val="18"/>
                <w:lang w:eastAsia="en-GB"/>
              </w:rPr>
              <w:t>2001</w:t>
            </w:r>
          </w:p>
        </w:tc>
        <w:tc>
          <w:tcPr>
            <w:tcW w:w="1415" w:type="dxa"/>
            <w:gridSpan w:val="2"/>
            <w:tcBorders>
              <w:top w:val="nil"/>
              <w:left w:val="nil"/>
              <w:bottom w:val="single" w:sz="4" w:space="0" w:color="auto"/>
              <w:right w:val="single" w:sz="4" w:space="0" w:color="auto"/>
            </w:tcBorders>
            <w:shd w:val="clear" w:color="auto" w:fill="auto"/>
            <w:vAlign w:val="bottom"/>
          </w:tcPr>
          <w:p w14:paraId="1E0DE490" w14:textId="77777777" w:rsidR="00620422" w:rsidRPr="008204CC" w:rsidRDefault="00620422" w:rsidP="0066301C">
            <w:pPr>
              <w:spacing w:after="0" w:line="240" w:lineRule="auto"/>
              <w:jc w:val="right"/>
              <w:rPr>
                <w:rFonts w:ascii="Arial" w:eastAsia="Times New Roman" w:hAnsi="Arial" w:cs="Arial"/>
                <w:color w:val="000000"/>
                <w:sz w:val="18"/>
                <w:szCs w:val="18"/>
                <w:lang w:eastAsia="en-GB"/>
              </w:rPr>
            </w:pPr>
            <w:r w:rsidRPr="008204CC">
              <w:rPr>
                <w:rFonts w:ascii="Arial" w:eastAsia="Times New Roman" w:hAnsi="Arial" w:cs="Arial"/>
                <w:color w:val="000000"/>
                <w:sz w:val="18"/>
                <w:szCs w:val="18"/>
                <w:lang w:eastAsia="en-GB"/>
              </w:rPr>
              <w:t>62.39398</w:t>
            </w:r>
          </w:p>
        </w:tc>
        <w:tc>
          <w:tcPr>
            <w:tcW w:w="1559" w:type="dxa"/>
            <w:gridSpan w:val="2"/>
            <w:tcBorders>
              <w:top w:val="nil"/>
              <w:left w:val="nil"/>
              <w:bottom w:val="single" w:sz="4" w:space="0" w:color="auto"/>
              <w:right w:val="single" w:sz="4" w:space="0" w:color="auto"/>
            </w:tcBorders>
            <w:shd w:val="clear" w:color="auto" w:fill="auto"/>
            <w:vAlign w:val="bottom"/>
          </w:tcPr>
          <w:p w14:paraId="16062E00" w14:textId="77777777" w:rsidR="00620422" w:rsidRPr="008204CC" w:rsidRDefault="00620422" w:rsidP="0066301C">
            <w:pPr>
              <w:spacing w:after="0" w:line="240" w:lineRule="auto"/>
              <w:jc w:val="right"/>
              <w:rPr>
                <w:rFonts w:ascii="Arial" w:eastAsia="Times New Roman" w:hAnsi="Arial" w:cs="Arial"/>
                <w:sz w:val="18"/>
                <w:szCs w:val="18"/>
                <w:lang w:eastAsia="en-GB"/>
              </w:rPr>
            </w:pPr>
            <w:r w:rsidRPr="008204CC">
              <w:rPr>
                <w:rFonts w:ascii="Arial" w:eastAsia="Times New Roman" w:hAnsi="Arial" w:cs="Arial"/>
                <w:sz w:val="18"/>
                <w:szCs w:val="18"/>
                <w:lang w:eastAsia="en-GB"/>
              </w:rPr>
              <w:t>70.59197582</w:t>
            </w:r>
          </w:p>
        </w:tc>
        <w:tc>
          <w:tcPr>
            <w:tcW w:w="2122" w:type="dxa"/>
            <w:gridSpan w:val="2"/>
            <w:tcBorders>
              <w:top w:val="nil"/>
              <w:left w:val="nil"/>
              <w:bottom w:val="single" w:sz="4" w:space="0" w:color="auto"/>
              <w:right w:val="single" w:sz="4" w:space="0" w:color="auto"/>
            </w:tcBorders>
            <w:shd w:val="clear" w:color="auto" w:fill="auto"/>
            <w:vAlign w:val="bottom"/>
          </w:tcPr>
          <w:p w14:paraId="061F66A2" w14:textId="77777777" w:rsidR="00620422" w:rsidRPr="008204CC" w:rsidRDefault="00620422" w:rsidP="0066301C">
            <w:pPr>
              <w:spacing w:after="0" w:line="240" w:lineRule="auto"/>
              <w:jc w:val="right"/>
              <w:rPr>
                <w:rFonts w:ascii="Arial" w:eastAsia="Times New Roman" w:hAnsi="Arial" w:cs="Arial"/>
                <w:color w:val="000000"/>
                <w:sz w:val="18"/>
                <w:szCs w:val="18"/>
                <w:lang w:eastAsia="en-GB"/>
              </w:rPr>
            </w:pPr>
            <w:r w:rsidRPr="008204CC">
              <w:rPr>
                <w:rFonts w:ascii="Arial" w:eastAsia="Times New Roman" w:hAnsi="Arial" w:cs="Arial"/>
                <w:color w:val="000000"/>
                <w:sz w:val="18"/>
                <w:szCs w:val="18"/>
                <w:lang w:eastAsia="en-GB"/>
              </w:rPr>
              <w:t>-8.197996591</w:t>
            </w:r>
          </w:p>
        </w:tc>
      </w:tr>
      <w:tr w:rsidR="008A6AC3" w:rsidRPr="008204CC" w14:paraId="028ED3BB" w14:textId="77777777" w:rsidTr="00D46B41">
        <w:trPr>
          <w:trHeight w:val="300"/>
        </w:trPr>
        <w:tc>
          <w:tcPr>
            <w:tcW w:w="1135" w:type="dxa"/>
            <w:tcBorders>
              <w:top w:val="nil"/>
              <w:left w:val="single" w:sz="4" w:space="0" w:color="auto"/>
              <w:bottom w:val="single" w:sz="4" w:space="0" w:color="auto"/>
              <w:right w:val="single" w:sz="4" w:space="0" w:color="auto"/>
            </w:tcBorders>
            <w:shd w:val="clear" w:color="auto" w:fill="auto"/>
            <w:noWrap/>
            <w:vAlign w:val="bottom"/>
            <w:hideMark/>
          </w:tcPr>
          <w:p w14:paraId="0AEFB7D2" w14:textId="77777777" w:rsidR="00620422" w:rsidRPr="008204CC" w:rsidRDefault="00620422" w:rsidP="0066301C">
            <w:pPr>
              <w:spacing w:after="0" w:line="240" w:lineRule="auto"/>
              <w:jc w:val="right"/>
              <w:rPr>
                <w:rFonts w:ascii="Arial" w:eastAsia="Times New Roman" w:hAnsi="Arial" w:cs="Arial"/>
                <w:color w:val="000000"/>
                <w:sz w:val="18"/>
                <w:szCs w:val="18"/>
                <w:lang w:eastAsia="en-GB"/>
              </w:rPr>
            </w:pPr>
            <w:r w:rsidRPr="008204CC">
              <w:rPr>
                <w:rFonts w:ascii="Arial" w:eastAsia="Times New Roman" w:hAnsi="Arial" w:cs="Arial"/>
                <w:color w:val="000000"/>
                <w:sz w:val="18"/>
                <w:szCs w:val="18"/>
                <w:lang w:eastAsia="en-GB"/>
              </w:rPr>
              <w:t>1997</w:t>
            </w:r>
          </w:p>
        </w:tc>
        <w:tc>
          <w:tcPr>
            <w:tcW w:w="1701" w:type="dxa"/>
            <w:tcBorders>
              <w:top w:val="nil"/>
              <w:left w:val="nil"/>
              <w:bottom w:val="single" w:sz="4" w:space="0" w:color="auto"/>
              <w:right w:val="single" w:sz="4" w:space="0" w:color="auto"/>
            </w:tcBorders>
            <w:shd w:val="clear" w:color="auto" w:fill="auto"/>
            <w:noWrap/>
            <w:vAlign w:val="bottom"/>
            <w:hideMark/>
          </w:tcPr>
          <w:p w14:paraId="296BB35B" w14:textId="77777777" w:rsidR="00620422" w:rsidRPr="008204CC" w:rsidRDefault="00620422" w:rsidP="0066301C">
            <w:pPr>
              <w:spacing w:after="0" w:line="240" w:lineRule="auto"/>
              <w:jc w:val="right"/>
              <w:rPr>
                <w:rFonts w:ascii="Arial" w:eastAsia="Times New Roman" w:hAnsi="Arial" w:cs="Arial"/>
                <w:color w:val="000000"/>
                <w:sz w:val="18"/>
                <w:szCs w:val="18"/>
                <w:lang w:eastAsia="en-GB"/>
              </w:rPr>
            </w:pPr>
            <w:r w:rsidRPr="008204CC">
              <w:rPr>
                <w:rFonts w:ascii="Arial" w:eastAsia="Times New Roman" w:hAnsi="Arial" w:cs="Arial"/>
                <w:color w:val="000000"/>
                <w:sz w:val="18"/>
                <w:szCs w:val="18"/>
                <w:lang w:eastAsia="en-GB"/>
              </w:rPr>
              <w:t>106.3442</w:t>
            </w:r>
          </w:p>
        </w:tc>
        <w:tc>
          <w:tcPr>
            <w:tcW w:w="1701" w:type="dxa"/>
            <w:tcBorders>
              <w:top w:val="nil"/>
              <w:left w:val="nil"/>
              <w:bottom w:val="single" w:sz="4" w:space="0" w:color="auto"/>
              <w:right w:val="single" w:sz="4" w:space="0" w:color="auto"/>
            </w:tcBorders>
            <w:shd w:val="clear" w:color="auto" w:fill="auto"/>
            <w:noWrap/>
            <w:vAlign w:val="bottom"/>
            <w:hideMark/>
          </w:tcPr>
          <w:p w14:paraId="23CC6926" w14:textId="77777777" w:rsidR="00620422" w:rsidRPr="008204CC" w:rsidRDefault="00620422" w:rsidP="0066301C">
            <w:pPr>
              <w:spacing w:after="0" w:line="240" w:lineRule="auto"/>
              <w:jc w:val="right"/>
              <w:rPr>
                <w:rFonts w:ascii="Arial" w:eastAsia="Times New Roman" w:hAnsi="Arial" w:cs="Arial"/>
                <w:color w:val="000000"/>
                <w:sz w:val="18"/>
                <w:szCs w:val="18"/>
                <w:lang w:eastAsia="en-GB"/>
              </w:rPr>
            </w:pPr>
            <w:r w:rsidRPr="008204CC">
              <w:rPr>
                <w:rFonts w:ascii="Arial" w:eastAsia="Times New Roman" w:hAnsi="Arial" w:cs="Arial"/>
                <w:color w:val="000000"/>
                <w:sz w:val="18"/>
                <w:szCs w:val="18"/>
                <w:lang w:eastAsia="en-GB"/>
              </w:rPr>
              <w:t>112.22178</w:t>
            </w:r>
          </w:p>
        </w:tc>
        <w:tc>
          <w:tcPr>
            <w:tcW w:w="1984" w:type="dxa"/>
            <w:tcBorders>
              <w:top w:val="nil"/>
              <w:left w:val="nil"/>
              <w:bottom w:val="single" w:sz="4" w:space="0" w:color="auto"/>
              <w:right w:val="single" w:sz="4" w:space="0" w:color="auto"/>
            </w:tcBorders>
            <w:shd w:val="clear" w:color="auto" w:fill="auto"/>
            <w:noWrap/>
            <w:vAlign w:val="bottom"/>
            <w:hideMark/>
          </w:tcPr>
          <w:p w14:paraId="73EAAE65" w14:textId="77777777" w:rsidR="00620422" w:rsidRPr="008204CC" w:rsidRDefault="00620422" w:rsidP="0066301C">
            <w:pPr>
              <w:spacing w:after="0" w:line="240" w:lineRule="auto"/>
              <w:jc w:val="right"/>
              <w:rPr>
                <w:rFonts w:ascii="Arial" w:eastAsia="Times New Roman" w:hAnsi="Arial" w:cs="Arial"/>
                <w:color w:val="000000"/>
                <w:sz w:val="18"/>
                <w:szCs w:val="18"/>
                <w:lang w:eastAsia="en-GB"/>
              </w:rPr>
            </w:pPr>
            <w:r w:rsidRPr="008204CC">
              <w:rPr>
                <w:rFonts w:ascii="Arial" w:eastAsia="Times New Roman" w:hAnsi="Arial" w:cs="Arial"/>
                <w:color w:val="000000"/>
                <w:sz w:val="18"/>
                <w:szCs w:val="18"/>
                <w:lang w:eastAsia="en-GB"/>
              </w:rPr>
              <w:t>-5.8775887</w:t>
            </w:r>
          </w:p>
        </w:tc>
        <w:tc>
          <w:tcPr>
            <w:tcW w:w="709" w:type="dxa"/>
            <w:vMerge/>
            <w:tcBorders>
              <w:left w:val="nil"/>
              <w:right w:val="single" w:sz="4" w:space="0" w:color="auto"/>
            </w:tcBorders>
          </w:tcPr>
          <w:p w14:paraId="0D313F7F" w14:textId="77777777" w:rsidR="00620422" w:rsidRPr="008204CC" w:rsidRDefault="00620422" w:rsidP="0066301C">
            <w:pPr>
              <w:spacing w:after="0" w:line="240" w:lineRule="auto"/>
              <w:jc w:val="right"/>
              <w:rPr>
                <w:rFonts w:ascii="Arial" w:eastAsia="Times New Roman" w:hAnsi="Arial" w:cs="Arial"/>
                <w:color w:val="000000"/>
                <w:sz w:val="18"/>
                <w:szCs w:val="18"/>
                <w:lang w:eastAsia="en-GB"/>
              </w:rPr>
            </w:pPr>
          </w:p>
        </w:tc>
        <w:tc>
          <w:tcPr>
            <w:tcW w:w="999" w:type="dxa"/>
            <w:gridSpan w:val="2"/>
            <w:tcBorders>
              <w:top w:val="nil"/>
              <w:left w:val="single" w:sz="4" w:space="0" w:color="auto"/>
              <w:bottom w:val="single" w:sz="4" w:space="0" w:color="auto"/>
              <w:right w:val="single" w:sz="4" w:space="0" w:color="auto"/>
            </w:tcBorders>
            <w:shd w:val="clear" w:color="auto" w:fill="auto"/>
            <w:vAlign w:val="bottom"/>
          </w:tcPr>
          <w:p w14:paraId="355DA6B5" w14:textId="77777777" w:rsidR="00620422" w:rsidRPr="008204CC" w:rsidRDefault="00620422" w:rsidP="0066301C">
            <w:pPr>
              <w:spacing w:after="0" w:line="240" w:lineRule="auto"/>
              <w:jc w:val="right"/>
              <w:rPr>
                <w:rFonts w:ascii="Arial" w:eastAsia="Times New Roman" w:hAnsi="Arial" w:cs="Arial"/>
                <w:color w:val="000000"/>
                <w:sz w:val="18"/>
                <w:szCs w:val="18"/>
                <w:lang w:eastAsia="en-GB"/>
              </w:rPr>
            </w:pPr>
            <w:r w:rsidRPr="008204CC">
              <w:rPr>
                <w:rFonts w:ascii="Arial" w:eastAsia="Times New Roman" w:hAnsi="Arial" w:cs="Arial"/>
                <w:color w:val="000000"/>
                <w:sz w:val="18"/>
                <w:szCs w:val="18"/>
                <w:lang w:eastAsia="en-GB"/>
              </w:rPr>
              <w:t>2002</w:t>
            </w:r>
          </w:p>
        </w:tc>
        <w:tc>
          <w:tcPr>
            <w:tcW w:w="1415" w:type="dxa"/>
            <w:gridSpan w:val="2"/>
            <w:tcBorders>
              <w:top w:val="nil"/>
              <w:left w:val="nil"/>
              <w:bottom w:val="single" w:sz="4" w:space="0" w:color="auto"/>
              <w:right w:val="single" w:sz="4" w:space="0" w:color="auto"/>
            </w:tcBorders>
            <w:shd w:val="clear" w:color="auto" w:fill="auto"/>
            <w:vAlign w:val="bottom"/>
          </w:tcPr>
          <w:p w14:paraId="64D130BD" w14:textId="77777777" w:rsidR="00620422" w:rsidRPr="008204CC" w:rsidRDefault="00620422" w:rsidP="0066301C">
            <w:pPr>
              <w:spacing w:after="0" w:line="240" w:lineRule="auto"/>
              <w:jc w:val="right"/>
              <w:rPr>
                <w:rFonts w:ascii="Arial" w:eastAsia="Times New Roman" w:hAnsi="Arial" w:cs="Arial"/>
                <w:color w:val="000000"/>
                <w:sz w:val="18"/>
                <w:szCs w:val="18"/>
                <w:lang w:eastAsia="en-GB"/>
              </w:rPr>
            </w:pPr>
            <w:r w:rsidRPr="008204CC">
              <w:rPr>
                <w:rFonts w:ascii="Arial" w:eastAsia="Times New Roman" w:hAnsi="Arial" w:cs="Arial"/>
                <w:color w:val="000000"/>
                <w:sz w:val="18"/>
                <w:szCs w:val="18"/>
                <w:lang w:eastAsia="en-GB"/>
              </w:rPr>
              <w:t>68.25745</w:t>
            </w:r>
          </w:p>
        </w:tc>
        <w:tc>
          <w:tcPr>
            <w:tcW w:w="1559" w:type="dxa"/>
            <w:gridSpan w:val="2"/>
            <w:tcBorders>
              <w:top w:val="nil"/>
              <w:left w:val="nil"/>
              <w:bottom w:val="single" w:sz="4" w:space="0" w:color="auto"/>
              <w:right w:val="single" w:sz="4" w:space="0" w:color="auto"/>
            </w:tcBorders>
            <w:shd w:val="clear" w:color="auto" w:fill="auto"/>
            <w:vAlign w:val="bottom"/>
          </w:tcPr>
          <w:p w14:paraId="4847AB56" w14:textId="77777777" w:rsidR="00620422" w:rsidRPr="008204CC" w:rsidRDefault="00620422" w:rsidP="0066301C">
            <w:pPr>
              <w:spacing w:after="0" w:line="240" w:lineRule="auto"/>
              <w:jc w:val="right"/>
              <w:rPr>
                <w:rFonts w:ascii="Arial" w:eastAsia="Times New Roman" w:hAnsi="Arial" w:cs="Arial"/>
                <w:sz w:val="18"/>
                <w:szCs w:val="18"/>
                <w:lang w:eastAsia="en-GB"/>
              </w:rPr>
            </w:pPr>
            <w:r w:rsidRPr="008204CC">
              <w:rPr>
                <w:rFonts w:ascii="Arial" w:eastAsia="Times New Roman" w:hAnsi="Arial" w:cs="Arial"/>
                <w:sz w:val="18"/>
                <w:szCs w:val="18"/>
                <w:lang w:eastAsia="en-GB"/>
              </w:rPr>
              <w:t>73.60168746</w:t>
            </w:r>
          </w:p>
        </w:tc>
        <w:tc>
          <w:tcPr>
            <w:tcW w:w="2122" w:type="dxa"/>
            <w:gridSpan w:val="2"/>
            <w:tcBorders>
              <w:top w:val="nil"/>
              <w:left w:val="nil"/>
              <w:bottom w:val="single" w:sz="4" w:space="0" w:color="auto"/>
              <w:right w:val="single" w:sz="4" w:space="0" w:color="auto"/>
            </w:tcBorders>
            <w:shd w:val="clear" w:color="auto" w:fill="auto"/>
            <w:vAlign w:val="bottom"/>
          </w:tcPr>
          <w:p w14:paraId="0084D292" w14:textId="77777777" w:rsidR="00620422" w:rsidRPr="008204CC" w:rsidRDefault="00620422" w:rsidP="0066301C">
            <w:pPr>
              <w:spacing w:after="0" w:line="240" w:lineRule="auto"/>
              <w:jc w:val="right"/>
              <w:rPr>
                <w:rFonts w:ascii="Arial" w:eastAsia="Times New Roman" w:hAnsi="Arial" w:cs="Arial"/>
                <w:color w:val="000000"/>
                <w:sz w:val="18"/>
                <w:szCs w:val="18"/>
                <w:lang w:eastAsia="en-GB"/>
              </w:rPr>
            </w:pPr>
            <w:r w:rsidRPr="008204CC">
              <w:rPr>
                <w:rFonts w:ascii="Arial" w:eastAsia="Times New Roman" w:hAnsi="Arial" w:cs="Arial"/>
                <w:color w:val="000000"/>
                <w:sz w:val="18"/>
                <w:szCs w:val="18"/>
                <w:lang w:eastAsia="en-GB"/>
              </w:rPr>
              <w:t>-5.344234903</w:t>
            </w:r>
          </w:p>
        </w:tc>
      </w:tr>
      <w:tr w:rsidR="008A6AC3" w:rsidRPr="008204CC" w14:paraId="71610B20" w14:textId="77777777" w:rsidTr="00D46B41">
        <w:trPr>
          <w:trHeight w:val="300"/>
        </w:trPr>
        <w:tc>
          <w:tcPr>
            <w:tcW w:w="1135" w:type="dxa"/>
            <w:tcBorders>
              <w:top w:val="nil"/>
              <w:left w:val="single" w:sz="4" w:space="0" w:color="auto"/>
              <w:bottom w:val="single" w:sz="4" w:space="0" w:color="auto"/>
              <w:right w:val="single" w:sz="4" w:space="0" w:color="auto"/>
            </w:tcBorders>
            <w:shd w:val="clear" w:color="auto" w:fill="auto"/>
            <w:noWrap/>
            <w:vAlign w:val="bottom"/>
            <w:hideMark/>
          </w:tcPr>
          <w:p w14:paraId="3C5D5240" w14:textId="77777777" w:rsidR="00620422" w:rsidRPr="008204CC" w:rsidRDefault="00620422" w:rsidP="0066301C">
            <w:pPr>
              <w:spacing w:after="0" w:line="240" w:lineRule="auto"/>
              <w:jc w:val="right"/>
              <w:rPr>
                <w:rFonts w:ascii="Arial" w:eastAsia="Times New Roman" w:hAnsi="Arial" w:cs="Arial"/>
                <w:color w:val="000000"/>
                <w:sz w:val="18"/>
                <w:szCs w:val="18"/>
                <w:lang w:eastAsia="en-GB"/>
              </w:rPr>
            </w:pPr>
            <w:r w:rsidRPr="008204CC">
              <w:rPr>
                <w:rFonts w:ascii="Arial" w:eastAsia="Times New Roman" w:hAnsi="Arial" w:cs="Arial"/>
                <w:color w:val="000000"/>
                <w:sz w:val="18"/>
                <w:szCs w:val="18"/>
                <w:lang w:eastAsia="en-GB"/>
              </w:rPr>
              <w:lastRenderedPageBreak/>
              <w:t>1998</w:t>
            </w:r>
          </w:p>
        </w:tc>
        <w:tc>
          <w:tcPr>
            <w:tcW w:w="1701" w:type="dxa"/>
            <w:tcBorders>
              <w:top w:val="nil"/>
              <w:left w:val="nil"/>
              <w:bottom w:val="single" w:sz="4" w:space="0" w:color="auto"/>
              <w:right w:val="single" w:sz="4" w:space="0" w:color="auto"/>
            </w:tcBorders>
            <w:shd w:val="clear" w:color="auto" w:fill="auto"/>
            <w:noWrap/>
            <w:vAlign w:val="bottom"/>
            <w:hideMark/>
          </w:tcPr>
          <w:p w14:paraId="632931C2" w14:textId="77777777" w:rsidR="00620422" w:rsidRPr="008204CC" w:rsidRDefault="00620422" w:rsidP="0066301C">
            <w:pPr>
              <w:spacing w:after="0" w:line="240" w:lineRule="auto"/>
              <w:jc w:val="right"/>
              <w:rPr>
                <w:rFonts w:ascii="Arial" w:eastAsia="Times New Roman" w:hAnsi="Arial" w:cs="Arial"/>
                <w:color w:val="000000"/>
                <w:sz w:val="18"/>
                <w:szCs w:val="18"/>
                <w:lang w:eastAsia="en-GB"/>
              </w:rPr>
            </w:pPr>
            <w:r w:rsidRPr="008204CC">
              <w:rPr>
                <w:rFonts w:ascii="Arial" w:eastAsia="Times New Roman" w:hAnsi="Arial" w:cs="Arial"/>
                <w:color w:val="000000"/>
                <w:sz w:val="18"/>
                <w:szCs w:val="18"/>
                <w:lang w:eastAsia="en-GB"/>
              </w:rPr>
              <w:t>107.1369</w:t>
            </w:r>
          </w:p>
        </w:tc>
        <w:tc>
          <w:tcPr>
            <w:tcW w:w="1701" w:type="dxa"/>
            <w:tcBorders>
              <w:top w:val="nil"/>
              <w:left w:val="nil"/>
              <w:bottom w:val="single" w:sz="4" w:space="0" w:color="auto"/>
              <w:right w:val="single" w:sz="4" w:space="0" w:color="auto"/>
            </w:tcBorders>
            <w:shd w:val="clear" w:color="auto" w:fill="auto"/>
            <w:noWrap/>
            <w:vAlign w:val="bottom"/>
            <w:hideMark/>
          </w:tcPr>
          <w:p w14:paraId="3E66BC2A" w14:textId="77777777" w:rsidR="00620422" w:rsidRPr="008204CC" w:rsidRDefault="00620422" w:rsidP="0066301C">
            <w:pPr>
              <w:spacing w:after="0" w:line="240" w:lineRule="auto"/>
              <w:jc w:val="right"/>
              <w:rPr>
                <w:rFonts w:ascii="Arial" w:eastAsia="Times New Roman" w:hAnsi="Arial" w:cs="Arial"/>
                <w:color w:val="000000"/>
                <w:sz w:val="18"/>
                <w:szCs w:val="18"/>
                <w:lang w:eastAsia="en-GB"/>
              </w:rPr>
            </w:pPr>
            <w:r w:rsidRPr="008204CC">
              <w:rPr>
                <w:rFonts w:ascii="Arial" w:eastAsia="Times New Roman" w:hAnsi="Arial" w:cs="Arial"/>
                <w:color w:val="000000"/>
                <w:sz w:val="18"/>
                <w:szCs w:val="18"/>
                <w:lang w:eastAsia="en-GB"/>
              </w:rPr>
              <w:t>107.2824</w:t>
            </w:r>
          </w:p>
        </w:tc>
        <w:tc>
          <w:tcPr>
            <w:tcW w:w="1984" w:type="dxa"/>
            <w:tcBorders>
              <w:top w:val="nil"/>
              <w:left w:val="nil"/>
              <w:bottom w:val="single" w:sz="4" w:space="0" w:color="auto"/>
              <w:right w:val="single" w:sz="4" w:space="0" w:color="auto"/>
            </w:tcBorders>
            <w:shd w:val="clear" w:color="auto" w:fill="auto"/>
            <w:noWrap/>
            <w:vAlign w:val="bottom"/>
            <w:hideMark/>
          </w:tcPr>
          <w:p w14:paraId="064D6530" w14:textId="77777777" w:rsidR="00620422" w:rsidRPr="008204CC" w:rsidRDefault="00620422" w:rsidP="0066301C">
            <w:pPr>
              <w:spacing w:after="0" w:line="240" w:lineRule="auto"/>
              <w:jc w:val="right"/>
              <w:rPr>
                <w:rFonts w:ascii="Arial" w:eastAsia="Times New Roman" w:hAnsi="Arial" w:cs="Arial"/>
                <w:color w:val="000000"/>
                <w:sz w:val="18"/>
                <w:szCs w:val="18"/>
                <w:lang w:eastAsia="en-GB"/>
              </w:rPr>
            </w:pPr>
            <w:r w:rsidRPr="008204CC">
              <w:rPr>
                <w:rFonts w:ascii="Arial" w:eastAsia="Times New Roman" w:hAnsi="Arial" w:cs="Arial"/>
                <w:color w:val="000000"/>
                <w:sz w:val="18"/>
                <w:szCs w:val="18"/>
                <w:lang w:eastAsia="en-GB"/>
              </w:rPr>
              <w:t>-0.1455074</w:t>
            </w:r>
          </w:p>
        </w:tc>
        <w:tc>
          <w:tcPr>
            <w:tcW w:w="709" w:type="dxa"/>
            <w:vMerge/>
            <w:tcBorders>
              <w:left w:val="nil"/>
              <w:right w:val="single" w:sz="4" w:space="0" w:color="auto"/>
            </w:tcBorders>
          </w:tcPr>
          <w:p w14:paraId="622F9251" w14:textId="77777777" w:rsidR="00620422" w:rsidRPr="008204CC" w:rsidRDefault="00620422" w:rsidP="0066301C">
            <w:pPr>
              <w:spacing w:after="0" w:line="240" w:lineRule="auto"/>
              <w:jc w:val="right"/>
              <w:rPr>
                <w:rFonts w:ascii="Arial" w:eastAsia="Times New Roman" w:hAnsi="Arial" w:cs="Arial"/>
                <w:color w:val="000000"/>
                <w:sz w:val="18"/>
                <w:szCs w:val="18"/>
                <w:lang w:eastAsia="en-GB"/>
              </w:rPr>
            </w:pPr>
          </w:p>
        </w:tc>
        <w:tc>
          <w:tcPr>
            <w:tcW w:w="999" w:type="dxa"/>
            <w:gridSpan w:val="2"/>
            <w:tcBorders>
              <w:top w:val="nil"/>
              <w:left w:val="single" w:sz="4" w:space="0" w:color="auto"/>
              <w:bottom w:val="single" w:sz="4" w:space="0" w:color="auto"/>
              <w:right w:val="single" w:sz="4" w:space="0" w:color="auto"/>
            </w:tcBorders>
            <w:shd w:val="clear" w:color="auto" w:fill="auto"/>
            <w:vAlign w:val="bottom"/>
          </w:tcPr>
          <w:p w14:paraId="560D09E3" w14:textId="77777777" w:rsidR="00620422" w:rsidRPr="008204CC" w:rsidRDefault="00620422" w:rsidP="0066301C">
            <w:pPr>
              <w:spacing w:after="0" w:line="240" w:lineRule="auto"/>
              <w:jc w:val="right"/>
              <w:rPr>
                <w:rFonts w:ascii="Arial" w:eastAsia="Times New Roman" w:hAnsi="Arial" w:cs="Arial"/>
                <w:color w:val="000000"/>
                <w:sz w:val="18"/>
                <w:szCs w:val="18"/>
                <w:lang w:eastAsia="en-GB"/>
              </w:rPr>
            </w:pPr>
            <w:r w:rsidRPr="008204CC">
              <w:rPr>
                <w:rFonts w:ascii="Arial" w:eastAsia="Times New Roman" w:hAnsi="Arial" w:cs="Arial"/>
                <w:color w:val="000000"/>
                <w:sz w:val="18"/>
                <w:szCs w:val="18"/>
                <w:lang w:eastAsia="en-GB"/>
              </w:rPr>
              <w:t>2003</w:t>
            </w:r>
          </w:p>
        </w:tc>
        <w:tc>
          <w:tcPr>
            <w:tcW w:w="1415" w:type="dxa"/>
            <w:gridSpan w:val="2"/>
            <w:tcBorders>
              <w:top w:val="nil"/>
              <w:left w:val="nil"/>
              <w:bottom w:val="single" w:sz="4" w:space="0" w:color="auto"/>
              <w:right w:val="single" w:sz="4" w:space="0" w:color="auto"/>
            </w:tcBorders>
            <w:shd w:val="clear" w:color="auto" w:fill="auto"/>
            <w:vAlign w:val="bottom"/>
          </w:tcPr>
          <w:p w14:paraId="4D4128D9" w14:textId="77777777" w:rsidR="00620422" w:rsidRPr="008204CC" w:rsidRDefault="00620422" w:rsidP="0066301C">
            <w:pPr>
              <w:spacing w:after="0" w:line="240" w:lineRule="auto"/>
              <w:jc w:val="right"/>
              <w:rPr>
                <w:rFonts w:ascii="Arial" w:eastAsia="Times New Roman" w:hAnsi="Arial" w:cs="Arial"/>
                <w:color w:val="000000"/>
                <w:sz w:val="18"/>
                <w:szCs w:val="18"/>
                <w:lang w:eastAsia="en-GB"/>
              </w:rPr>
            </w:pPr>
            <w:r w:rsidRPr="008204CC">
              <w:rPr>
                <w:rFonts w:ascii="Arial" w:eastAsia="Times New Roman" w:hAnsi="Arial" w:cs="Arial"/>
                <w:color w:val="000000"/>
                <w:sz w:val="18"/>
                <w:szCs w:val="18"/>
                <w:lang w:eastAsia="en-GB"/>
              </w:rPr>
              <w:t>79.90045</w:t>
            </w:r>
          </w:p>
        </w:tc>
        <w:tc>
          <w:tcPr>
            <w:tcW w:w="1559" w:type="dxa"/>
            <w:gridSpan w:val="2"/>
            <w:tcBorders>
              <w:top w:val="nil"/>
              <w:left w:val="nil"/>
              <w:bottom w:val="single" w:sz="4" w:space="0" w:color="auto"/>
              <w:right w:val="single" w:sz="4" w:space="0" w:color="auto"/>
            </w:tcBorders>
            <w:shd w:val="clear" w:color="auto" w:fill="auto"/>
            <w:vAlign w:val="bottom"/>
          </w:tcPr>
          <w:p w14:paraId="57C8EF70" w14:textId="77777777" w:rsidR="00620422" w:rsidRPr="008204CC" w:rsidRDefault="00620422" w:rsidP="0066301C">
            <w:pPr>
              <w:spacing w:after="0" w:line="240" w:lineRule="auto"/>
              <w:jc w:val="right"/>
              <w:rPr>
                <w:rFonts w:ascii="Arial" w:eastAsia="Times New Roman" w:hAnsi="Arial" w:cs="Arial"/>
                <w:sz w:val="18"/>
                <w:szCs w:val="18"/>
                <w:lang w:eastAsia="en-GB"/>
              </w:rPr>
            </w:pPr>
            <w:r w:rsidRPr="008204CC">
              <w:rPr>
                <w:rFonts w:ascii="Arial" w:eastAsia="Times New Roman" w:hAnsi="Arial" w:cs="Arial"/>
                <w:sz w:val="18"/>
                <w:szCs w:val="18"/>
                <w:lang w:eastAsia="en-GB"/>
              </w:rPr>
              <w:t>77.05292881</w:t>
            </w:r>
          </w:p>
        </w:tc>
        <w:tc>
          <w:tcPr>
            <w:tcW w:w="2122" w:type="dxa"/>
            <w:gridSpan w:val="2"/>
            <w:tcBorders>
              <w:top w:val="nil"/>
              <w:left w:val="nil"/>
              <w:bottom w:val="single" w:sz="4" w:space="0" w:color="auto"/>
              <w:right w:val="single" w:sz="4" w:space="0" w:color="auto"/>
            </w:tcBorders>
            <w:shd w:val="clear" w:color="auto" w:fill="auto"/>
            <w:vAlign w:val="bottom"/>
          </w:tcPr>
          <w:p w14:paraId="52967706" w14:textId="77777777" w:rsidR="00620422" w:rsidRPr="008204CC" w:rsidRDefault="00620422" w:rsidP="0066301C">
            <w:pPr>
              <w:spacing w:after="0" w:line="240" w:lineRule="auto"/>
              <w:jc w:val="right"/>
              <w:rPr>
                <w:rFonts w:ascii="Arial" w:eastAsia="Times New Roman" w:hAnsi="Arial" w:cs="Arial"/>
                <w:color w:val="000000"/>
                <w:sz w:val="18"/>
                <w:szCs w:val="18"/>
                <w:lang w:eastAsia="en-GB"/>
              </w:rPr>
            </w:pPr>
            <w:r w:rsidRPr="008204CC">
              <w:rPr>
                <w:rFonts w:ascii="Arial" w:eastAsia="Times New Roman" w:hAnsi="Arial" w:cs="Arial"/>
                <w:color w:val="000000"/>
                <w:sz w:val="18"/>
                <w:szCs w:val="18"/>
                <w:lang w:eastAsia="en-GB"/>
              </w:rPr>
              <w:t>2.847525015</w:t>
            </w:r>
          </w:p>
        </w:tc>
      </w:tr>
      <w:tr w:rsidR="008A6AC3" w:rsidRPr="008204CC" w14:paraId="0E24A502" w14:textId="77777777" w:rsidTr="00D46B41">
        <w:trPr>
          <w:trHeight w:val="300"/>
        </w:trPr>
        <w:tc>
          <w:tcPr>
            <w:tcW w:w="1135" w:type="dxa"/>
            <w:tcBorders>
              <w:top w:val="nil"/>
              <w:left w:val="single" w:sz="4" w:space="0" w:color="auto"/>
              <w:bottom w:val="single" w:sz="4" w:space="0" w:color="auto"/>
              <w:right w:val="single" w:sz="4" w:space="0" w:color="auto"/>
            </w:tcBorders>
            <w:shd w:val="clear" w:color="auto" w:fill="auto"/>
            <w:noWrap/>
            <w:vAlign w:val="bottom"/>
            <w:hideMark/>
          </w:tcPr>
          <w:p w14:paraId="32F4C4AF" w14:textId="77777777" w:rsidR="00620422" w:rsidRPr="008204CC" w:rsidRDefault="00620422" w:rsidP="0066301C">
            <w:pPr>
              <w:spacing w:after="0" w:line="240" w:lineRule="auto"/>
              <w:jc w:val="right"/>
              <w:rPr>
                <w:rFonts w:ascii="Arial" w:eastAsia="Times New Roman" w:hAnsi="Arial" w:cs="Arial"/>
                <w:color w:val="000000"/>
                <w:sz w:val="18"/>
                <w:szCs w:val="18"/>
                <w:lang w:eastAsia="en-GB"/>
              </w:rPr>
            </w:pPr>
            <w:r w:rsidRPr="008204CC">
              <w:rPr>
                <w:rFonts w:ascii="Arial" w:eastAsia="Times New Roman" w:hAnsi="Arial" w:cs="Arial"/>
                <w:color w:val="000000"/>
                <w:sz w:val="18"/>
                <w:szCs w:val="18"/>
                <w:lang w:eastAsia="en-GB"/>
              </w:rPr>
              <w:t>1999</w:t>
            </w:r>
          </w:p>
        </w:tc>
        <w:tc>
          <w:tcPr>
            <w:tcW w:w="1701" w:type="dxa"/>
            <w:tcBorders>
              <w:top w:val="nil"/>
              <w:left w:val="nil"/>
              <w:bottom w:val="single" w:sz="4" w:space="0" w:color="auto"/>
              <w:right w:val="single" w:sz="4" w:space="0" w:color="auto"/>
            </w:tcBorders>
            <w:shd w:val="clear" w:color="auto" w:fill="auto"/>
            <w:noWrap/>
            <w:vAlign w:val="bottom"/>
            <w:hideMark/>
          </w:tcPr>
          <w:p w14:paraId="732A435D" w14:textId="77777777" w:rsidR="00620422" w:rsidRPr="008204CC" w:rsidRDefault="00620422" w:rsidP="0066301C">
            <w:pPr>
              <w:spacing w:after="0" w:line="240" w:lineRule="auto"/>
              <w:jc w:val="right"/>
              <w:rPr>
                <w:rFonts w:ascii="Arial" w:eastAsia="Times New Roman" w:hAnsi="Arial" w:cs="Arial"/>
                <w:color w:val="000000"/>
                <w:sz w:val="18"/>
                <w:szCs w:val="18"/>
                <w:lang w:eastAsia="en-GB"/>
              </w:rPr>
            </w:pPr>
            <w:r w:rsidRPr="008204CC">
              <w:rPr>
                <w:rFonts w:ascii="Arial" w:eastAsia="Times New Roman" w:hAnsi="Arial" w:cs="Arial"/>
                <w:color w:val="000000"/>
                <w:sz w:val="18"/>
                <w:szCs w:val="18"/>
                <w:lang w:eastAsia="en-GB"/>
              </w:rPr>
              <w:t>102.1353</w:t>
            </w:r>
          </w:p>
        </w:tc>
        <w:tc>
          <w:tcPr>
            <w:tcW w:w="1701" w:type="dxa"/>
            <w:tcBorders>
              <w:top w:val="nil"/>
              <w:left w:val="nil"/>
              <w:bottom w:val="single" w:sz="4" w:space="0" w:color="auto"/>
              <w:right w:val="single" w:sz="4" w:space="0" w:color="auto"/>
            </w:tcBorders>
            <w:shd w:val="clear" w:color="auto" w:fill="auto"/>
            <w:noWrap/>
            <w:vAlign w:val="bottom"/>
            <w:hideMark/>
          </w:tcPr>
          <w:p w14:paraId="3767462A" w14:textId="77777777" w:rsidR="00620422" w:rsidRPr="008204CC" w:rsidRDefault="00620422" w:rsidP="0066301C">
            <w:pPr>
              <w:spacing w:after="0" w:line="240" w:lineRule="auto"/>
              <w:jc w:val="right"/>
              <w:rPr>
                <w:rFonts w:ascii="Arial" w:eastAsia="Times New Roman" w:hAnsi="Arial" w:cs="Arial"/>
                <w:color w:val="000000"/>
                <w:sz w:val="18"/>
                <w:szCs w:val="18"/>
                <w:lang w:eastAsia="en-GB"/>
              </w:rPr>
            </w:pPr>
            <w:r w:rsidRPr="008204CC">
              <w:rPr>
                <w:rFonts w:ascii="Arial" w:eastAsia="Times New Roman" w:hAnsi="Arial" w:cs="Arial"/>
                <w:color w:val="000000"/>
                <w:sz w:val="18"/>
                <w:szCs w:val="18"/>
                <w:lang w:eastAsia="en-GB"/>
              </w:rPr>
              <w:t>103.51089</w:t>
            </w:r>
          </w:p>
        </w:tc>
        <w:tc>
          <w:tcPr>
            <w:tcW w:w="1984" w:type="dxa"/>
            <w:tcBorders>
              <w:top w:val="nil"/>
              <w:left w:val="nil"/>
              <w:bottom w:val="single" w:sz="4" w:space="0" w:color="auto"/>
              <w:right w:val="single" w:sz="4" w:space="0" w:color="auto"/>
            </w:tcBorders>
            <w:shd w:val="clear" w:color="auto" w:fill="auto"/>
            <w:noWrap/>
            <w:vAlign w:val="bottom"/>
            <w:hideMark/>
          </w:tcPr>
          <w:p w14:paraId="0FFB8B02" w14:textId="77777777" w:rsidR="00620422" w:rsidRPr="008204CC" w:rsidRDefault="00620422" w:rsidP="0066301C">
            <w:pPr>
              <w:spacing w:after="0" w:line="240" w:lineRule="auto"/>
              <w:jc w:val="right"/>
              <w:rPr>
                <w:rFonts w:ascii="Arial" w:eastAsia="Times New Roman" w:hAnsi="Arial" w:cs="Arial"/>
                <w:color w:val="000000"/>
                <w:sz w:val="18"/>
                <w:szCs w:val="18"/>
                <w:lang w:eastAsia="en-GB"/>
              </w:rPr>
            </w:pPr>
            <w:r w:rsidRPr="008204CC">
              <w:rPr>
                <w:rFonts w:ascii="Arial" w:eastAsia="Times New Roman" w:hAnsi="Arial" w:cs="Arial"/>
                <w:color w:val="000000"/>
                <w:sz w:val="18"/>
                <w:szCs w:val="18"/>
                <w:lang w:eastAsia="en-GB"/>
              </w:rPr>
              <w:t>-1.3755893</w:t>
            </w:r>
          </w:p>
        </w:tc>
        <w:tc>
          <w:tcPr>
            <w:tcW w:w="709" w:type="dxa"/>
            <w:vMerge/>
            <w:tcBorders>
              <w:left w:val="nil"/>
              <w:right w:val="single" w:sz="4" w:space="0" w:color="auto"/>
            </w:tcBorders>
          </w:tcPr>
          <w:p w14:paraId="401085B9" w14:textId="77777777" w:rsidR="00620422" w:rsidRPr="008204CC" w:rsidRDefault="00620422" w:rsidP="0066301C">
            <w:pPr>
              <w:spacing w:after="0" w:line="240" w:lineRule="auto"/>
              <w:jc w:val="right"/>
              <w:rPr>
                <w:rFonts w:ascii="Arial" w:eastAsia="Times New Roman" w:hAnsi="Arial" w:cs="Arial"/>
                <w:color w:val="000000"/>
                <w:sz w:val="18"/>
                <w:szCs w:val="18"/>
                <w:lang w:eastAsia="en-GB"/>
              </w:rPr>
            </w:pPr>
          </w:p>
        </w:tc>
        <w:tc>
          <w:tcPr>
            <w:tcW w:w="999" w:type="dxa"/>
            <w:gridSpan w:val="2"/>
            <w:tcBorders>
              <w:top w:val="nil"/>
              <w:left w:val="single" w:sz="4" w:space="0" w:color="auto"/>
              <w:bottom w:val="single" w:sz="4" w:space="0" w:color="auto"/>
              <w:right w:val="single" w:sz="4" w:space="0" w:color="auto"/>
            </w:tcBorders>
            <w:shd w:val="clear" w:color="auto" w:fill="auto"/>
            <w:vAlign w:val="bottom"/>
          </w:tcPr>
          <w:p w14:paraId="54E6D44F" w14:textId="77777777" w:rsidR="00620422" w:rsidRPr="008204CC" w:rsidRDefault="00620422" w:rsidP="0066301C">
            <w:pPr>
              <w:spacing w:after="0" w:line="240" w:lineRule="auto"/>
              <w:jc w:val="right"/>
              <w:rPr>
                <w:rFonts w:ascii="Arial" w:eastAsia="Times New Roman" w:hAnsi="Arial" w:cs="Arial"/>
                <w:color w:val="000000"/>
                <w:sz w:val="18"/>
                <w:szCs w:val="18"/>
                <w:lang w:eastAsia="en-GB"/>
              </w:rPr>
            </w:pPr>
            <w:r w:rsidRPr="008204CC">
              <w:rPr>
                <w:rFonts w:ascii="Arial" w:eastAsia="Times New Roman" w:hAnsi="Arial" w:cs="Arial"/>
                <w:color w:val="000000"/>
                <w:sz w:val="18"/>
                <w:szCs w:val="18"/>
                <w:lang w:eastAsia="en-GB"/>
              </w:rPr>
              <w:t>2004</w:t>
            </w:r>
          </w:p>
        </w:tc>
        <w:tc>
          <w:tcPr>
            <w:tcW w:w="1415" w:type="dxa"/>
            <w:gridSpan w:val="2"/>
            <w:tcBorders>
              <w:top w:val="nil"/>
              <w:left w:val="nil"/>
              <w:bottom w:val="single" w:sz="4" w:space="0" w:color="auto"/>
              <w:right w:val="single" w:sz="4" w:space="0" w:color="auto"/>
            </w:tcBorders>
            <w:shd w:val="clear" w:color="auto" w:fill="auto"/>
            <w:vAlign w:val="bottom"/>
          </w:tcPr>
          <w:p w14:paraId="366BCD31" w14:textId="77777777" w:rsidR="00620422" w:rsidRPr="008204CC" w:rsidRDefault="00620422" w:rsidP="0066301C">
            <w:pPr>
              <w:spacing w:after="0" w:line="240" w:lineRule="auto"/>
              <w:jc w:val="right"/>
              <w:rPr>
                <w:rFonts w:ascii="Arial" w:eastAsia="Times New Roman" w:hAnsi="Arial" w:cs="Arial"/>
                <w:color w:val="000000"/>
                <w:sz w:val="18"/>
                <w:szCs w:val="18"/>
                <w:lang w:eastAsia="en-GB"/>
              </w:rPr>
            </w:pPr>
            <w:r w:rsidRPr="008204CC">
              <w:rPr>
                <w:rFonts w:ascii="Arial" w:eastAsia="Times New Roman" w:hAnsi="Arial" w:cs="Arial"/>
                <w:color w:val="000000"/>
                <w:sz w:val="18"/>
                <w:szCs w:val="18"/>
                <w:lang w:eastAsia="en-GB"/>
              </w:rPr>
              <w:t>85.30339</w:t>
            </w:r>
          </w:p>
        </w:tc>
        <w:tc>
          <w:tcPr>
            <w:tcW w:w="1559" w:type="dxa"/>
            <w:gridSpan w:val="2"/>
            <w:tcBorders>
              <w:top w:val="nil"/>
              <w:left w:val="nil"/>
              <w:bottom w:val="single" w:sz="4" w:space="0" w:color="auto"/>
              <w:right w:val="single" w:sz="4" w:space="0" w:color="auto"/>
            </w:tcBorders>
            <w:shd w:val="clear" w:color="auto" w:fill="auto"/>
            <w:vAlign w:val="bottom"/>
          </w:tcPr>
          <w:p w14:paraId="60AB9941" w14:textId="77777777" w:rsidR="00620422" w:rsidRPr="008204CC" w:rsidRDefault="00620422" w:rsidP="0066301C">
            <w:pPr>
              <w:spacing w:after="0" w:line="240" w:lineRule="auto"/>
              <w:jc w:val="right"/>
              <w:rPr>
                <w:rFonts w:ascii="Arial" w:eastAsia="Times New Roman" w:hAnsi="Arial" w:cs="Arial"/>
                <w:sz w:val="18"/>
                <w:szCs w:val="18"/>
                <w:lang w:eastAsia="en-GB"/>
              </w:rPr>
            </w:pPr>
            <w:r w:rsidRPr="008204CC">
              <w:rPr>
                <w:rFonts w:ascii="Arial" w:eastAsia="Times New Roman" w:hAnsi="Arial" w:cs="Arial"/>
                <w:sz w:val="18"/>
                <w:szCs w:val="18"/>
                <w:lang w:eastAsia="en-GB"/>
              </w:rPr>
              <w:t>80.70700538</w:t>
            </w:r>
          </w:p>
        </w:tc>
        <w:tc>
          <w:tcPr>
            <w:tcW w:w="2122" w:type="dxa"/>
            <w:gridSpan w:val="2"/>
            <w:tcBorders>
              <w:top w:val="nil"/>
              <w:left w:val="nil"/>
              <w:bottom w:val="single" w:sz="4" w:space="0" w:color="auto"/>
              <w:right w:val="single" w:sz="4" w:space="0" w:color="auto"/>
            </w:tcBorders>
            <w:shd w:val="clear" w:color="auto" w:fill="auto"/>
            <w:vAlign w:val="bottom"/>
          </w:tcPr>
          <w:p w14:paraId="32234541" w14:textId="77777777" w:rsidR="00620422" w:rsidRPr="008204CC" w:rsidRDefault="00620422" w:rsidP="0066301C">
            <w:pPr>
              <w:spacing w:after="0" w:line="240" w:lineRule="auto"/>
              <w:jc w:val="right"/>
              <w:rPr>
                <w:rFonts w:ascii="Arial" w:eastAsia="Times New Roman" w:hAnsi="Arial" w:cs="Arial"/>
                <w:color w:val="000000"/>
                <w:sz w:val="18"/>
                <w:szCs w:val="18"/>
                <w:lang w:eastAsia="en-GB"/>
              </w:rPr>
            </w:pPr>
            <w:r w:rsidRPr="008204CC">
              <w:rPr>
                <w:rFonts w:ascii="Arial" w:eastAsia="Times New Roman" w:hAnsi="Arial" w:cs="Arial"/>
                <w:color w:val="000000"/>
                <w:sz w:val="18"/>
                <w:szCs w:val="18"/>
                <w:lang w:eastAsia="en-GB"/>
              </w:rPr>
              <w:t>4.596386169</w:t>
            </w:r>
          </w:p>
        </w:tc>
      </w:tr>
      <w:tr w:rsidR="008A6AC3" w:rsidRPr="008204CC" w14:paraId="239EC30B" w14:textId="77777777" w:rsidTr="00D46B41">
        <w:trPr>
          <w:trHeight w:val="300"/>
        </w:trPr>
        <w:tc>
          <w:tcPr>
            <w:tcW w:w="1135" w:type="dxa"/>
            <w:tcBorders>
              <w:top w:val="nil"/>
              <w:left w:val="single" w:sz="4" w:space="0" w:color="auto"/>
              <w:bottom w:val="single" w:sz="4" w:space="0" w:color="auto"/>
              <w:right w:val="single" w:sz="4" w:space="0" w:color="auto"/>
            </w:tcBorders>
            <w:shd w:val="clear" w:color="auto" w:fill="auto"/>
            <w:noWrap/>
            <w:vAlign w:val="bottom"/>
            <w:hideMark/>
          </w:tcPr>
          <w:p w14:paraId="2EDB01C3" w14:textId="77777777" w:rsidR="00620422" w:rsidRPr="008204CC" w:rsidRDefault="00620422" w:rsidP="0066301C">
            <w:pPr>
              <w:spacing w:after="0" w:line="240" w:lineRule="auto"/>
              <w:jc w:val="right"/>
              <w:rPr>
                <w:rFonts w:ascii="Arial" w:eastAsia="Times New Roman" w:hAnsi="Arial" w:cs="Arial"/>
                <w:color w:val="000000"/>
                <w:sz w:val="18"/>
                <w:szCs w:val="18"/>
                <w:lang w:eastAsia="en-GB"/>
              </w:rPr>
            </w:pPr>
            <w:r w:rsidRPr="008204CC">
              <w:rPr>
                <w:rFonts w:ascii="Arial" w:eastAsia="Times New Roman" w:hAnsi="Arial" w:cs="Arial"/>
                <w:color w:val="000000"/>
                <w:sz w:val="18"/>
                <w:szCs w:val="18"/>
                <w:lang w:eastAsia="en-GB"/>
              </w:rPr>
              <w:t>2000</w:t>
            </w:r>
          </w:p>
        </w:tc>
        <w:tc>
          <w:tcPr>
            <w:tcW w:w="1701" w:type="dxa"/>
            <w:tcBorders>
              <w:top w:val="nil"/>
              <w:left w:val="nil"/>
              <w:bottom w:val="single" w:sz="4" w:space="0" w:color="auto"/>
              <w:right w:val="single" w:sz="4" w:space="0" w:color="auto"/>
            </w:tcBorders>
            <w:shd w:val="clear" w:color="auto" w:fill="auto"/>
            <w:noWrap/>
            <w:vAlign w:val="bottom"/>
            <w:hideMark/>
          </w:tcPr>
          <w:p w14:paraId="22DF6CFC" w14:textId="77777777" w:rsidR="00620422" w:rsidRPr="008204CC" w:rsidRDefault="00620422" w:rsidP="0066301C">
            <w:pPr>
              <w:spacing w:after="0" w:line="240" w:lineRule="auto"/>
              <w:jc w:val="right"/>
              <w:rPr>
                <w:rFonts w:ascii="Arial" w:eastAsia="Times New Roman" w:hAnsi="Arial" w:cs="Arial"/>
                <w:color w:val="000000"/>
                <w:sz w:val="18"/>
                <w:szCs w:val="18"/>
                <w:lang w:eastAsia="en-GB"/>
              </w:rPr>
            </w:pPr>
            <w:r w:rsidRPr="008204CC">
              <w:rPr>
                <w:rFonts w:ascii="Arial" w:eastAsia="Times New Roman" w:hAnsi="Arial" w:cs="Arial"/>
                <w:color w:val="000000"/>
                <w:sz w:val="18"/>
                <w:szCs w:val="18"/>
                <w:lang w:eastAsia="en-GB"/>
              </w:rPr>
              <w:t>96.30816</w:t>
            </w:r>
          </w:p>
        </w:tc>
        <w:tc>
          <w:tcPr>
            <w:tcW w:w="1701" w:type="dxa"/>
            <w:tcBorders>
              <w:top w:val="nil"/>
              <w:left w:val="nil"/>
              <w:bottom w:val="single" w:sz="4" w:space="0" w:color="auto"/>
              <w:right w:val="single" w:sz="4" w:space="0" w:color="auto"/>
            </w:tcBorders>
            <w:shd w:val="clear" w:color="auto" w:fill="auto"/>
            <w:noWrap/>
            <w:vAlign w:val="bottom"/>
            <w:hideMark/>
          </w:tcPr>
          <w:p w14:paraId="7064BC89" w14:textId="77777777" w:rsidR="00620422" w:rsidRPr="008204CC" w:rsidRDefault="00620422" w:rsidP="0066301C">
            <w:pPr>
              <w:spacing w:after="0" w:line="240" w:lineRule="auto"/>
              <w:jc w:val="right"/>
              <w:rPr>
                <w:rFonts w:ascii="Arial" w:eastAsia="Times New Roman" w:hAnsi="Arial" w:cs="Arial"/>
                <w:color w:val="000000"/>
                <w:sz w:val="18"/>
                <w:szCs w:val="18"/>
                <w:lang w:eastAsia="en-GB"/>
              </w:rPr>
            </w:pPr>
            <w:r w:rsidRPr="008204CC">
              <w:rPr>
                <w:rFonts w:ascii="Arial" w:eastAsia="Times New Roman" w:hAnsi="Arial" w:cs="Arial"/>
                <w:color w:val="000000"/>
                <w:sz w:val="18"/>
                <w:szCs w:val="18"/>
                <w:lang w:eastAsia="en-GB"/>
              </w:rPr>
              <w:t>100.8067</w:t>
            </w:r>
          </w:p>
        </w:tc>
        <w:tc>
          <w:tcPr>
            <w:tcW w:w="1984" w:type="dxa"/>
            <w:tcBorders>
              <w:top w:val="nil"/>
              <w:left w:val="nil"/>
              <w:bottom w:val="single" w:sz="4" w:space="0" w:color="auto"/>
              <w:right w:val="single" w:sz="4" w:space="0" w:color="auto"/>
            </w:tcBorders>
            <w:shd w:val="clear" w:color="auto" w:fill="auto"/>
            <w:noWrap/>
            <w:vAlign w:val="bottom"/>
            <w:hideMark/>
          </w:tcPr>
          <w:p w14:paraId="63A1CE6D" w14:textId="77777777" w:rsidR="00620422" w:rsidRPr="008204CC" w:rsidRDefault="00620422" w:rsidP="0066301C">
            <w:pPr>
              <w:spacing w:after="0" w:line="240" w:lineRule="auto"/>
              <w:jc w:val="right"/>
              <w:rPr>
                <w:rFonts w:ascii="Arial" w:eastAsia="Times New Roman" w:hAnsi="Arial" w:cs="Arial"/>
                <w:color w:val="000000"/>
                <w:sz w:val="18"/>
                <w:szCs w:val="18"/>
                <w:lang w:eastAsia="en-GB"/>
              </w:rPr>
            </w:pPr>
            <w:r w:rsidRPr="008204CC">
              <w:rPr>
                <w:rFonts w:ascii="Arial" w:eastAsia="Times New Roman" w:hAnsi="Arial" w:cs="Arial"/>
                <w:color w:val="000000"/>
                <w:sz w:val="18"/>
                <w:szCs w:val="18"/>
                <w:lang w:eastAsia="en-GB"/>
              </w:rPr>
              <w:t>-4.4985375</w:t>
            </w:r>
          </w:p>
        </w:tc>
        <w:tc>
          <w:tcPr>
            <w:tcW w:w="709" w:type="dxa"/>
            <w:vMerge/>
            <w:tcBorders>
              <w:left w:val="nil"/>
              <w:right w:val="single" w:sz="4" w:space="0" w:color="auto"/>
            </w:tcBorders>
          </w:tcPr>
          <w:p w14:paraId="517912C6" w14:textId="77777777" w:rsidR="00620422" w:rsidRPr="008204CC" w:rsidRDefault="00620422" w:rsidP="0066301C">
            <w:pPr>
              <w:spacing w:after="0" w:line="240" w:lineRule="auto"/>
              <w:jc w:val="right"/>
              <w:rPr>
                <w:rFonts w:ascii="Arial" w:eastAsia="Times New Roman" w:hAnsi="Arial" w:cs="Arial"/>
                <w:color w:val="000000"/>
                <w:sz w:val="18"/>
                <w:szCs w:val="18"/>
                <w:lang w:eastAsia="en-GB"/>
              </w:rPr>
            </w:pPr>
          </w:p>
        </w:tc>
        <w:tc>
          <w:tcPr>
            <w:tcW w:w="999" w:type="dxa"/>
            <w:gridSpan w:val="2"/>
            <w:tcBorders>
              <w:top w:val="nil"/>
              <w:left w:val="single" w:sz="4" w:space="0" w:color="auto"/>
              <w:bottom w:val="single" w:sz="4" w:space="0" w:color="auto"/>
              <w:right w:val="single" w:sz="4" w:space="0" w:color="auto"/>
            </w:tcBorders>
            <w:shd w:val="clear" w:color="auto" w:fill="auto"/>
            <w:vAlign w:val="bottom"/>
          </w:tcPr>
          <w:p w14:paraId="2CD21457" w14:textId="77777777" w:rsidR="00620422" w:rsidRPr="008204CC" w:rsidRDefault="00620422" w:rsidP="0066301C">
            <w:pPr>
              <w:spacing w:after="0" w:line="240" w:lineRule="auto"/>
              <w:jc w:val="right"/>
              <w:rPr>
                <w:rFonts w:ascii="Arial" w:eastAsia="Times New Roman" w:hAnsi="Arial" w:cs="Arial"/>
                <w:color w:val="000000"/>
                <w:sz w:val="18"/>
                <w:szCs w:val="18"/>
                <w:lang w:eastAsia="en-GB"/>
              </w:rPr>
            </w:pPr>
            <w:r w:rsidRPr="008204CC">
              <w:rPr>
                <w:rFonts w:ascii="Arial" w:eastAsia="Times New Roman" w:hAnsi="Arial" w:cs="Arial"/>
                <w:color w:val="000000"/>
                <w:sz w:val="18"/>
                <w:szCs w:val="18"/>
                <w:lang w:eastAsia="en-GB"/>
              </w:rPr>
              <w:t>2005</w:t>
            </w:r>
          </w:p>
        </w:tc>
        <w:tc>
          <w:tcPr>
            <w:tcW w:w="1415" w:type="dxa"/>
            <w:gridSpan w:val="2"/>
            <w:tcBorders>
              <w:top w:val="nil"/>
              <w:left w:val="nil"/>
              <w:bottom w:val="single" w:sz="4" w:space="0" w:color="auto"/>
              <w:right w:val="single" w:sz="4" w:space="0" w:color="auto"/>
            </w:tcBorders>
            <w:shd w:val="clear" w:color="auto" w:fill="auto"/>
            <w:vAlign w:val="bottom"/>
          </w:tcPr>
          <w:p w14:paraId="1263225A" w14:textId="77777777" w:rsidR="00620422" w:rsidRPr="008204CC" w:rsidRDefault="00620422" w:rsidP="0066301C">
            <w:pPr>
              <w:spacing w:after="0" w:line="240" w:lineRule="auto"/>
              <w:jc w:val="right"/>
              <w:rPr>
                <w:rFonts w:ascii="Arial" w:eastAsia="Times New Roman" w:hAnsi="Arial" w:cs="Arial"/>
                <w:color w:val="000000"/>
                <w:sz w:val="18"/>
                <w:szCs w:val="18"/>
                <w:lang w:eastAsia="en-GB"/>
              </w:rPr>
            </w:pPr>
            <w:r w:rsidRPr="008204CC">
              <w:rPr>
                <w:rFonts w:ascii="Arial" w:eastAsia="Times New Roman" w:hAnsi="Arial" w:cs="Arial"/>
                <w:color w:val="000000"/>
                <w:sz w:val="18"/>
                <w:szCs w:val="18"/>
                <w:lang w:eastAsia="en-GB"/>
              </w:rPr>
              <w:t>89.66533</w:t>
            </w:r>
          </w:p>
        </w:tc>
        <w:tc>
          <w:tcPr>
            <w:tcW w:w="1559" w:type="dxa"/>
            <w:gridSpan w:val="2"/>
            <w:tcBorders>
              <w:top w:val="nil"/>
              <w:left w:val="nil"/>
              <w:bottom w:val="single" w:sz="4" w:space="0" w:color="auto"/>
              <w:right w:val="single" w:sz="4" w:space="0" w:color="auto"/>
            </w:tcBorders>
            <w:shd w:val="clear" w:color="auto" w:fill="auto"/>
            <w:vAlign w:val="bottom"/>
          </w:tcPr>
          <w:p w14:paraId="00299AE2" w14:textId="77777777" w:rsidR="00620422" w:rsidRPr="008204CC" w:rsidRDefault="00620422" w:rsidP="0066301C">
            <w:pPr>
              <w:spacing w:after="0" w:line="240" w:lineRule="auto"/>
              <w:jc w:val="right"/>
              <w:rPr>
                <w:rFonts w:ascii="Arial" w:eastAsia="Times New Roman" w:hAnsi="Arial" w:cs="Arial"/>
                <w:sz w:val="18"/>
                <w:szCs w:val="18"/>
                <w:lang w:eastAsia="en-GB"/>
              </w:rPr>
            </w:pPr>
            <w:r w:rsidRPr="008204CC">
              <w:rPr>
                <w:rFonts w:ascii="Arial" w:eastAsia="Times New Roman" w:hAnsi="Arial" w:cs="Arial"/>
                <w:sz w:val="18"/>
                <w:szCs w:val="18"/>
                <w:lang w:eastAsia="en-GB"/>
              </w:rPr>
              <w:t>84.35369797</w:t>
            </w:r>
          </w:p>
        </w:tc>
        <w:tc>
          <w:tcPr>
            <w:tcW w:w="2122" w:type="dxa"/>
            <w:gridSpan w:val="2"/>
            <w:tcBorders>
              <w:top w:val="nil"/>
              <w:left w:val="nil"/>
              <w:bottom w:val="single" w:sz="4" w:space="0" w:color="auto"/>
              <w:right w:val="single" w:sz="4" w:space="0" w:color="auto"/>
            </w:tcBorders>
            <w:shd w:val="clear" w:color="auto" w:fill="auto"/>
            <w:vAlign w:val="bottom"/>
          </w:tcPr>
          <w:p w14:paraId="57278ED1" w14:textId="77777777" w:rsidR="00620422" w:rsidRPr="008204CC" w:rsidRDefault="00620422" w:rsidP="0066301C">
            <w:pPr>
              <w:spacing w:after="0" w:line="240" w:lineRule="auto"/>
              <w:jc w:val="right"/>
              <w:rPr>
                <w:rFonts w:ascii="Arial" w:eastAsia="Times New Roman" w:hAnsi="Arial" w:cs="Arial"/>
                <w:color w:val="000000"/>
                <w:sz w:val="18"/>
                <w:szCs w:val="18"/>
                <w:lang w:eastAsia="en-GB"/>
              </w:rPr>
            </w:pPr>
            <w:r w:rsidRPr="008204CC">
              <w:rPr>
                <w:rFonts w:ascii="Arial" w:eastAsia="Times New Roman" w:hAnsi="Arial" w:cs="Arial"/>
                <w:color w:val="000000"/>
                <w:sz w:val="18"/>
                <w:szCs w:val="18"/>
                <w:lang w:eastAsia="en-GB"/>
              </w:rPr>
              <w:t>5.311631865</w:t>
            </w:r>
          </w:p>
        </w:tc>
      </w:tr>
      <w:tr w:rsidR="008A6AC3" w:rsidRPr="008204CC" w14:paraId="357DBFC3" w14:textId="77777777" w:rsidTr="00D46B41">
        <w:trPr>
          <w:trHeight w:val="300"/>
        </w:trPr>
        <w:tc>
          <w:tcPr>
            <w:tcW w:w="1135" w:type="dxa"/>
            <w:tcBorders>
              <w:top w:val="nil"/>
              <w:left w:val="single" w:sz="4" w:space="0" w:color="auto"/>
              <w:bottom w:val="single" w:sz="4" w:space="0" w:color="auto"/>
              <w:right w:val="single" w:sz="4" w:space="0" w:color="auto"/>
            </w:tcBorders>
            <w:shd w:val="clear" w:color="auto" w:fill="auto"/>
            <w:noWrap/>
            <w:vAlign w:val="bottom"/>
            <w:hideMark/>
          </w:tcPr>
          <w:p w14:paraId="1CAD3A11" w14:textId="77777777" w:rsidR="00620422" w:rsidRPr="008204CC" w:rsidRDefault="00620422" w:rsidP="0066301C">
            <w:pPr>
              <w:spacing w:after="0" w:line="240" w:lineRule="auto"/>
              <w:jc w:val="right"/>
              <w:rPr>
                <w:rFonts w:ascii="Arial" w:eastAsia="Times New Roman" w:hAnsi="Arial" w:cs="Arial"/>
                <w:color w:val="000000"/>
                <w:sz w:val="18"/>
                <w:szCs w:val="18"/>
                <w:lang w:eastAsia="en-GB"/>
              </w:rPr>
            </w:pPr>
            <w:r w:rsidRPr="008204CC">
              <w:rPr>
                <w:rFonts w:ascii="Arial" w:eastAsia="Times New Roman" w:hAnsi="Arial" w:cs="Arial"/>
                <w:color w:val="000000"/>
                <w:sz w:val="18"/>
                <w:szCs w:val="18"/>
                <w:lang w:eastAsia="en-GB"/>
              </w:rPr>
              <w:t>2001</w:t>
            </w:r>
          </w:p>
        </w:tc>
        <w:tc>
          <w:tcPr>
            <w:tcW w:w="1701" w:type="dxa"/>
            <w:tcBorders>
              <w:top w:val="nil"/>
              <w:left w:val="nil"/>
              <w:bottom w:val="single" w:sz="4" w:space="0" w:color="auto"/>
              <w:right w:val="single" w:sz="4" w:space="0" w:color="auto"/>
            </w:tcBorders>
            <w:shd w:val="clear" w:color="auto" w:fill="auto"/>
            <w:noWrap/>
            <w:vAlign w:val="bottom"/>
            <w:hideMark/>
          </w:tcPr>
          <w:p w14:paraId="3C995313" w14:textId="77777777" w:rsidR="00620422" w:rsidRPr="008204CC" w:rsidRDefault="00620422" w:rsidP="0066301C">
            <w:pPr>
              <w:spacing w:after="0" w:line="240" w:lineRule="auto"/>
              <w:jc w:val="right"/>
              <w:rPr>
                <w:rFonts w:ascii="Arial" w:eastAsia="Times New Roman" w:hAnsi="Arial" w:cs="Arial"/>
                <w:color w:val="000000"/>
                <w:sz w:val="18"/>
                <w:szCs w:val="18"/>
                <w:lang w:eastAsia="en-GB"/>
              </w:rPr>
            </w:pPr>
            <w:r w:rsidRPr="008204CC">
              <w:rPr>
                <w:rFonts w:ascii="Arial" w:eastAsia="Times New Roman" w:hAnsi="Arial" w:cs="Arial"/>
                <w:color w:val="000000"/>
                <w:sz w:val="18"/>
                <w:szCs w:val="18"/>
                <w:lang w:eastAsia="en-GB"/>
              </w:rPr>
              <w:t>96.432363</w:t>
            </w:r>
          </w:p>
        </w:tc>
        <w:tc>
          <w:tcPr>
            <w:tcW w:w="1701" w:type="dxa"/>
            <w:tcBorders>
              <w:top w:val="nil"/>
              <w:left w:val="nil"/>
              <w:bottom w:val="single" w:sz="4" w:space="0" w:color="auto"/>
              <w:right w:val="single" w:sz="4" w:space="0" w:color="auto"/>
            </w:tcBorders>
            <w:shd w:val="clear" w:color="auto" w:fill="auto"/>
            <w:noWrap/>
            <w:vAlign w:val="bottom"/>
            <w:hideMark/>
          </w:tcPr>
          <w:p w14:paraId="6114E2E2" w14:textId="77777777" w:rsidR="00620422" w:rsidRPr="008204CC" w:rsidRDefault="00620422" w:rsidP="0066301C">
            <w:pPr>
              <w:spacing w:after="0" w:line="240" w:lineRule="auto"/>
              <w:jc w:val="right"/>
              <w:rPr>
                <w:rFonts w:ascii="Arial" w:eastAsia="Times New Roman" w:hAnsi="Arial" w:cs="Arial"/>
                <w:color w:val="000000"/>
                <w:sz w:val="18"/>
                <w:szCs w:val="18"/>
                <w:lang w:eastAsia="en-GB"/>
              </w:rPr>
            </w:pPr>
            <w:r w:rsidRPr="008204CC">
              <w:rPr>
                <w:rFonts w:ascii="Arial" w:eastAsia="Times New Roman" w:hAnsi="Arial" w:cs="Arial"/>
                <w:color w:val="000000"/>
                <w:sz w:val="18"/>
                <w:szCs w:val="18"/>
                <w:lang w:eastAsia="en-GB"/>
              </w:rPr>
              <w:t>99.055524</w:t>
            </w:r>
          </w:p>
        </w:tc>
        <w:tc>
          <w:tcPr>
            <w:tcW w:w="1984" w:type="dxa"/>
            <w:tcBorders>
              <w:top w:val="nil"/>
              <w:left w:val="nil"/>
              <w:bottom w:val="single" w:sz="4" w:space="0" w:color="auto"/>
              <w:right w:val="single" w:sz="4" w:space="0" w:color="auto"/>
            </w:tcBorders>
            <w:shd w:val="clear" w:color="auto" w:fill="auto"/>
            <w:noWrap/>
            <w:vAlign w:val="bottom"/>
            <w:hideMark/>
          </w:tcPr>
          <w:p w14:paraId="7950CFEA" w14:textId="77777777" w:rsidR="00620422" w:rsidRPr="008204CC" w:rsidRDefault="00620422" w:rsidP="0066301C">
            <w:pPr>
              <w:spacing w:after="0" w:line="240" w:lineRule="auto"/>
              <w:jc w:val="right"/>
              <w:rPr>
                <w:rFonts w:ascii="Arial" w:eastAsia="Times New Roman" w:hAnsi="Arial" w:cs="Arial"/>
                <w:color w:val="000000"/>
                <w:sz w:val="18"/>
                <w:szCs w:val="18"/>
                <w:lang w:eastAsia="en-GB"/>
              </w:rPr>
            </w:pPr>
            <w:r w:rsidRPr="008204CC">
              <w:rPr>
                <w:rFonts w:ascii="Arial" w:eastAsia="Times New Roman" w:hAnsi="Arial" w:cs="Arial"/>
                <w:color w:val="000000"/>
                <w:sz w:val="18"/>
                <w:szCs w:val="18"/>
                <w:lang w:eastAsia="en-GB"/>
              </w:rPr>
              <w:t>-2.6231611</w:t>
            </w:r>
          </w:p>
        </w:tc>
        <w:tc>
          <w:tcPr>
            <w:tcW w:w="709" w:type="dxa"/>
            <w:vMerge/>
            <w:tcBorders>
              <w:left w:val="nil"/>
              <w:right w:val="single" w:sz="4" w:space="0" w:color="auto"/>
            </w:tcBorders>
          </w:tcPr>
          <w:p w14:paraId="2C453FB7" w14:textId="77777777" w:rsidR="00620422" w:rsidRPr="008204CC" w:rsidRDefault="00620422" w:rsidP="0066301C">
            <w:pPr>
              <w:spacing w:after="0" w:line="240" w:lineRule="auto"/>
              <w:jc w:val="right"/>
              <w:rPr>
                <w:rFonts w:ascii="Arial" w:eastAsia="Times New Roman" w:hAnsi="Arial" w:cs="Arial"/>
                <w:color w:val="000000"/>
                <w:sz w:val="18"/>
                <w:szCs w:val="18"/>
                <w:lang w:eastAsia="en-GB"/>
              </w:rPr>
            </w:pPr>
          </w:p>
        </w:tc>
        <w:tc>
          <w:tcPr>
            <w:tcW w:w="999" w:type="dxa"/>
            <w:gridSpan w:val="2"/>
            <w:tcBorders>
              <w:top w:val="nil"/>
              <w:left w:val="single" w:sz="4" w:space="0" w:color="auto"/>
              <w:bottom w:val="single" w:sz="4" w:space="0" w:color="auto"/>
              <w:right w:val="single" w:sz="4" w:space="0" w:color="auto"/>
            </w:tcBorders>
            <w:shd w:val="clear" w:color="auto" w:fill="auto"/>
            <w:vAlign w:val="bottom"/>
          </w:tcPr>
          <w:p w14:paraId="77AA251F" w14:textId="77777777" w:rsidR="00620422" w:rsidRPr="008204CC" w:rsidRDefault="00620422" w:rsidP="0066301C">
            <w:pPr>
              <w:spacing w:after="0" w:line="240" w:lineRule="auto"/>
              <w:jc w:val="right"/>
              <w:rPr>
                <w:rFonts w:ascii="Arial" w:eastAsia="Times New Roman" w:hAnsi="Arial" w:cs="Arial"/>
                <w:color w:val="000000"/>
                <w:sz w:val="18"/>
                <w:szCs w:val="18"/>
                <w:lang w:eastAsia="en-GB"/>
              </w:rPr>
            </w:pPr>
            <w:r w:rsidRPr="008204CC">
              <w:rPr>
                <w:rFonts w:ascii="Arial" w:eastAsia="Times New Roman" w:hAnsi="Arial" w:cs="Arial"/>
                <w:color w:val="000000"/>
                <w:sz w:val="18"/>
                <w:szCs w:val="18"/>
                <w:lang w:eastAsia="en-GB"/>
              </w:rPr>
              <w:t>2006</w:t>
            </w:r>
          </w:p>
        </w:tc>
        <w:tc>
          <w:tcPr>
            <w:tcW w:w="1415" w:type="dxa"/>
            <w:gridSpan w:val="2"/>
            <w:tcBorders>
              <w:top w:val="nil"/>
              <w:left w:val="nil"/>
              <w:bottom w:val="single" w:sz="4" w:space="0" w:color="auto"/>
              <w:right w:val="single" w:sz="4" w:space="0" w:color="auto"/>
            </w:tcBorders>
            <w:shd w:val="clear" w:color="auto" w:fill="auto"/>
            <w:vAlign w:val="bottom"/>
          </w:tcPr>
          <w:p w14:paraId="555F07B4" w14:textId="77777777" w:rsidR="00620422" w:rsidRPr="008204CC" w:rsidRDefault="00620422" w:rsidP="0066301C">
            <w:pPr>
              <w:spacing w:after="0" w:line="240" w:lineRule="auto"/>
              <w:jc w:val="right"/>
              <w:rPr>
                <w:rFonts w:ascii="Arial" w:eastAsia="Times New Roman" w:hAnsi="Arial" w:cs="Arial"/>
                <w:color w:val="000000"/>
                <w:sz w:val="18"/>
                <w:szCs w:val="18"/>
                <w:lang w:eastAsia="en-GB"/>
              </w:rPr>
            </w:pPr>
            <w:r w:rsidRPr="008204CC">
              <w:rPr>
                <w:rFonts w:ascii="Arial" w:eastAsia="Times New Roman" w:hAnsi="Arial" w:cs="Arial"/>
                <w:color w:val="000000"/>
                <w:sz w:val="18"/>
                <w:szCs w:val="18"/>
                <w:lang w:eastAsia="en-GB"/>
              </w:rPr>
              <w:t>91.09907</w:t>
            </w:r>
          </w:p>
        </w:tc>
        <w:tc>
          <w:tcPr>
            <w:tcW w:w="1559" w:type="dxa"/>
            <w:gridSpan w:val="2"/>
            <w:tcBorders>
              <w:top w:val="nil"/>
              <w:left w:val="nil"/>
              <w:bottom w:val="single" w:sz="4" w:space="0" w:color="auto"/>
              <w:right w:val="single" w:sz="4" w:space="0" w:color="auto"/>
            </w:tcBorders>
            <w:shd w:val="clear" w:color="auto" w:fill="auto"/>
            <w:vAlign w:val="bottom"/>
          </w:tcPr>
          <w:p w14:paraId="39B75E88" w14:textId="77777777" w:rsidR="00620422" w:rsidRPr="008204CC" w:rsidRDefault="00620422" w:rsidP="0066301C">
            <w:pPr>
              <w:spacing w:after="0" w:line="240" w:lineRule="auto"/>
              <w:jc w:val="right"/>
              <w:rPr>
                <w:rFonts w:ascii="Arial" w:eastAsia="Times New Roman" w:hAnsi="Arial" w:cs="Arial"/>
                <w:sz w:val="18"/>
                <w:szCs w:val="18"/>
                <w:lang w:eastAsia="en-GB"/>
              </w:rPr>
            </w:pPr>
            <w:r w:rsidRPr="008204CC">
              <w:rPr>
                <w:rFonts w:ascii="Arial" w:eastAsia="Times New Roman" w:hAnsi="Arial" w:cs="Arial"/>
                <w:sz w:val="18"/>
                <w:szCs w:val="18"/>
                <w:lang w:eastAsia="en-GB"/>
              </w:rPr>
              <w:t>87.8287512</w:t>
            </w:r>
          </w:p>
        </w:tc>
        <w:tc>
          <w:tcPr>
            <w:tcW w:w="2122" w:type="dxa"/>
            <w:gridSpan w:val="2"/>
            <w:tcBorders>
              <w:top w:val="nil"/>
              <w:left w:val="nil"/>
              <w:bottom w:val="single" w:sz="4" w:space="0" w:color="auto"/>
              <w:right w:val="single" w:sz="4" w:space="0" w:color="auto"/>
            </w:tcBorders>
            <w:shd w:val="clear" w:color="auto" w:fill="auto"/>
            <w:vAlign w:val="bottom"/>
          </w:tcPr>
          <w:p w14:paraId="4AB24E96" w14:textId="77777777" w:rsidR="00620422" w:rsidRPr="008204CC" w:rsidRDefault="00620422" w:rsidP="0066301C">
            <w:pPr>
              <w:spacing w:after="0" w:line="240" w:lineRule="auto"/>
              <w:jc w:val="right"/>
              <w:rPr>
                <w:rFonts w:ascii="Arial" w:eastAsia="Times New Roman" w:hAnsi="Arial" w:cs="Arial"/>
                <w:color w:val="000000"/>
                <w:sz w:val="18"/>
                <w:szCs w:val="18"/>
                <w:lang w:eastAsia="en-GB"/>
              </w:rPr>
            </w:pPr>
            <w:r w:rsidRPr="008204CC">
              <w:rPr>
                <w:rFonts w:ascii="Arial" w:eastAsia="Times New Roman" w:hAnsi="Arial" w:cs="Arial"/>
                <w:color w:val="000000"/>
                <w:sz w:val="18"/>
                <w:szCs w:val="18"/>
                <w:lang w:eastAsia="en-GB"/>
              </w:rPr>
              <w:t>3.270316619</w:t>
            </w:r>
          </w:p>
        </w:tc>
      </w:tr>
      <w:tr w:rsidR="008A6AC3" w:rsidRPr="008204CC" w14:paraId="46B24675" w14:textId="77777777" w:rsidTr="00D46B41">
        <w:trPr>
          <w:trHeight w:val="300"/>
        </w:trPr>
        <w:tc>
          <w:tcPr>
            <w:tcW w:w="1135" w:type="dxa"/>
            <w:tcBorders>
              <w:top w:val="nil"/>
              <w:left w:val="single" w:sz="4" w:space="0" w:color="auto"/>
              <w:bottom w:val="single" w:sz="4" w:space="0" w:color="auto"/>
              <w:right w:val="single" w:sz="4" w:space="0" w:color="auto"/>
            </w:tcBorders>
            <w:shd w:val="clear" w:color="auto" w:fill="auto"/>
            <w:noWrap/>
            <w:vAlign w:val="bottom"/>
            <w:hideMark/>
          </w:tcPr>
          <w:p w14:paraId="34326B91" w14:textId="77777777" w:rsidR="00620422" w:rsidRPr="008204CC" w:rsidRDefault="00620422" w:rsidP="0066301C">
            <w:pPr>
              <w:spacing w:after="0" w:line="240" w:lineRule="auto"/>
              <w:jc w:val="right"/>
              <w:rPr>
                <w:rFonts w:ascii="Arial" w:eastAsia="Times New Roman" w:hAnsi="Arial" w:cs="Arial"/>
                <w:color w:val="000000"/>
                <w:sz w:val="18"/>
                <w:szCs w:val="18"/>
                <w:lang w:eastAsia="en-GB"/>
              </w:rPr>
            </w:pPr>
            <w:r w:rsidRPr="008204CC">
              <w:rPr>
                <w:rFonts w:ascii="Arial" w:eastAsia="Times New Roman" w:hAnsi="Arial" w:cs="Arial"/>
                <w:color w:val="000000"/>
                <w:sz w:val="18"/>
                <w:szCs w:val="18"/>
                <w:lang w:eastAsia="en-GB"/>
              </w:rPr>
              <w:t>2002</w:t>
            </w:r>
          </w:p>
        </w:tc>
        <w:tc>
          <w:tcPr>
            <w:tcW w:w="1701" w:type="dxa"/>
            <w:tcBorders>
              <w:top w:val="nil"/>
              <w:left w:val="nil"/>
              <w:bottom w:val="single" w:sz="4" w:space="0" w:color="auto"/>
              <w:right w:val="single" w:sz="4" w:space="0" w:color="auto"/>
            </w:tcBorders>
            <w:shd w:val="clear" w:color="auto" w:fill="auto"/>
            <w:noWrap/>
            <w:vAlign w:val="bottom"/>
            <w:hideMark/>
          </w:tcPr>
          <w:p w14:paraId="0D555758" w14:textId="77777777" w:rsidR="00620422" w:rsidRPr="008204CC" w:rsidRDefault="00620422" w:rsidP="0066301C">
            <w:pPr>
              <w:spacing w:after="0" w:line="240" w:lineRule="auto"/>
              <w:jc w:val="right"/>
              <w:rPr>
                <w:rFonts w:ascii="Arial" w:eastAsia="Times New Roman" w:hAnsi="Arial" w:cs="Arial"/>
                <w:color w:val="000000"/>
                <w:sz w:val="18"/>
                <w:szCs w:val="18"/>
                <w:lang w:eastAsia="en-GB"/>
              </w:rPr>
            </w:pPr>
            <w:r w:rsidRPr="008204CC">
              <w:rPr>
                <w:rFonts w:ascii="Arial" w:eastAsia="Times New Roman" w:hAnsi="Arial" w:cs="Arial"/>
                <w:color w:val="000000"/>
                <w:sz w:val="18"/>
                <w:szCs w:val="18"/>
                <w:lang w:eastAsia="en-GB"/>
              </w:rPr>
              <w:t>96.338294</w:t>
            </w:r>
          </w:p>
        </w:tc>
        <w:tc>
          <w:tcPr>
            <w:tcW w:w="1701" w:type="dxa"/>
            <w:tcBorders>
              <w:top w:val="nil"/>
              <w:left w:val="nil"/>
              <w:bottom w:val="single" w:sz="4" w:space="0" w:color="auto"/>
              <w:right w:val="single" w:sz="4" w:space="0" w:color="auto"/>
            </w:tcBorders>
            <w:shd w:val="clear" w:color="auto" w:fill="auto"/>
            <w:noWrap/>
            <w:vAlign w:val="bottom"/>
            <w:hideMark/>
          </w:tcPr>
          <w:p w14:paraId="1E049141" w14:textId="77777777" w:rsidR="00620422" w:rsidRPr="008204CC" w:rsidRDefault="00620422" w:rsidP="0066301C">
            <w:pPr>
              <w:spacing w:after="0" w:line="240" w:lineRule="auto"/>
              <w:jc w:val="right"/>
              <w:rPr>
                <w:rFonts w:ascii="Arial" w:eastAsia="Times New Roman" w:hAnsi="Arial" w:cs="Arial"/>
                <w:color w:val="000000"/>
                <w:sz w:val="18"/>
                <w:szCs w:val="18"/>
                <w:lang w:eastAsia="en-GB"/>
              </w:rPr>
            </w:pPr>
            <w:r w:rsidRPr="008204CC">
              <w:rPr>
                <w:rFonts w:ascii="Arial" w:eastAsia="Times New Roman" w:hAnsi="Arial" w:cs="Arial"/>
                <w:color w:val="000000"/>
                <w:sz w:val="18"/>
                <w:szCs w:val="18"/>
                <w:lang w:eastAsia="en-GB"/>
              </w:rPr>
              <w:t>98.098085</w:t>
            </w:r>
          </w:p>
        </w:tc>
        <w:tc>
          <w:tcPr>
            <w:tcW w:w="1984" w:type="dxa"/>
            <w:tcBorders>
              <w:top w:val="nil"/>
              <w:left w:val="nil"/>
              <w:bottom w:val="single" w:sz="4" w:space="0" w:color="auto"/>
              <w:right w:val="single" w:sz="4" w:space="0" w:color="auto"/>
            </w:tcBorders>
            <w:shd w:val="clear" w:color="auto" w:fill="auto"/>
            <w:noWrap/>
            <w:vAlign w:val="bottom"/>
            <w:hideMark/>
          </w:tcPr>
          <w:p w14:paraId="30452CA0" w14:textId="77777777" w:rsidR="00620422" w:rsidRPr="008204CC" w:rsidRDefault="00620422" w:rsidP="0066301C">
            <w:pPr>
              <w:spacing w:after="0" w:line="240" w:lineRule="auto"/>
              <w:jc w:val="right"/>
              <w:rPr>
                <w:rFonts w:ascii="Arial" w:eastAsia="Times New Roman" w:hAnsi="Arial" w:cs="Arial"/>
                <w:color w:val="000000"/>
                <w:sz w:val="18"/>
                <w:szCs w:val="18"/>
                <w:lang w:eastAsia="en-GB"/>
              </w:rPr>
            </w:pPr>
            <w:r w:rsidRPr="008204CC">
              <w:rPr>
                <w:rFonts w:ascii="Arial" w:eastAsia="Times New Roman" w:hAnsi="Arial" w:cs="Arial"/>
                <w:color w:val="000000"/>
                <w:sz w:val="18"/>
                <w:szCs w:val="18"/>
                <w:lang w:eastAsia="en-GB"/>
              </w:rPr>
              <w:t>-1.7597915</w:t>
            </w:r>
          </w:p>
        </w:tc>
        <w:tc>
          <w:tcPr>
            <w:tcW w:w="709" w:type="dxa"/>
            <w:vMerge/>
            <w:tcBorders>
              <w:left w:val="nil"/>
              <w:right w:val="single" w:sz="4" w:space="0" w:color="auto"/>
            </w:tcBorders>
          </w:tcPr>
          <w:p w14:paraId="68CDD0F0" w14:textId="77777777" w:rsidR="00620422" w:rsidRPr="008204CC" w:rsidRDefault="00620422" w:rsidP="0066301C">
            <w:pPr>
              <w:spacing w:after="0" w:line="240" w:lineRule="auto"/>
              <w:jc w:val="right"/>
              <w:rPr>
                <w:rFonts w:ascii="Arial" w:eastAsia="Times New Roman" w:hAnsi="Arial" w:cs="Arial"/>
                <w:color w:val="000000"/>
                <w:sz w:val="18"/>
                <w:szCs w:val="18"/>
                <w:lang w:eastAsia="en-GB"/>
              </w:rPr>
            </w:pPr>
          </w:p>
        </w:tc>
        <w:tc>
          <w:tcPr>
            <w:tcW w:w="999" w:type="dxa"/>
            <w:gridSpan w:val="2"/>
            <w:tcBorders>
              <w:top w:val="nil"/>
              <w:left w:val="single" w:sz="4" w:space="0" w:color="auto"/>
              <w:bottom w:val="single" w:sz="4" w:space="0" w:color="auto"/>
              <w:right w:val="single" w:sz="4" w:space="0" w:color="auto"/>
            </w:tcBorders>
            <w:shd w:val="clear" w:color="auto" w:fill="auto"/>
            <w:vAlign w:val="bottom"/>
          </w:tcPr>
          <w:p w14:paraId="3AD566B9" w14:textId="77777777" w:rsidR="00620422" w:rsidRPr="008204CC" w:rsidRDefault="00620422" w:rsidP="0066301C">
            <w:pPr>
              <w:spacing w:after="0" w:line="240" w:lineRule="auto"/>
              <w:jc w:val="right"/>
              <w:rPr>
                <w:rFonts w:ascii="Arial" w:eastAsia="Times New Roman" w:hAnsi="Arial" w:cs="Arial"/>
                <w:color w:val="000000"/>
                <w:sz w:val="18"/>
                <w:szCs w:val="18"/>
                <w:lang w:eastAsia="en-GB"/>
              </w:rPr>
            </w:pPr>
            <w:r w:rsidRPr="008204CC">
              <w:rPr>
                <w:rFonts w:ascii="Arial" w:eastAsia="Times New Roman" w:hAnsi="Arial" w:cs="Arial"/>
                <w:color w:val="000000"/>
                <w:sz w:val="18"/>
                <w:szCs w:val="18"/>
                <w:lang w:eastAsia="en-GB"/>
              </w:rPr>
              <w:t>2007</w:t>
            </w:r>
          </w:p>
        </w:tc>
        <w:tc>
          <w:tcPr>
            <w:tcW w:w="1415" w:type="dxa"/>
            <w:gridSpan w:val="2"/>
            <w:tcBorders>
              <w:top w:val="nil"/>
              <w:left w:val="nil"/>
              <w:bottom w:val="single" w:sz="4" w:space="0" w:color="auto"/>
              <w:right w:val="single" w:sz="4" w:space="0" w:color="auto"/>
            </w:tcBorders>
            <w:shd w:val="clear" w:color="auto" w:fill="auto"/>
            <w:vAlign w:val="bottom"/>
          </w:tcPr>
          <w:p w14:paraId="27D29163" w14:textId="77777777" w:rsidR="00620422" w:rsidRPr="008204CC" w:rsidRDefault="00620422" w:rsidP="0066301C">
            <w:pPr>
              <w:spacing w:after="0" w:line="240" w:lineRule="auto"/>
              <w:jc w:val="right"/>
              <w:rPr>
                <w:rFonts w:ascii="Arial" w:eastAsia="Times New Roman" w:hAnsi="Arial" w:cs="Arial"/>
                <w:color w:val="000000"/>
                <w:sz w:val="18"/>
                <w:szCs w:val="18"/>
                <w:lang w:eastAsia="en-GB"/>
              </w:rPr>
            </w:pPr>
            <w:r w:rsidRPr="008204CC">
              <w:rPr>
                <w:rFonts w:ascii="Arial" w:eastAsia="Times New Roman" w:hAnsi="Arial" w:cs="Arial"/>
                <w:color w:val="000000"/>
                <w:sz w:val="18"/>
                <w:szCs w:val="18"/>
                <w:lang w:eastAsia="en-GB"/>
              </w:rPr>
              <w:t>94.25523</w:t>
            </w:r>
          </w:p>
        </w:tc>
        <w:tc>
          <w:tcPr>
            <w:tcW w:w="1559" w:type="dxa"/>
            <w:gridSpan w:val="2"/>
            <w:tcBorders>
              <w:top w:val="nil"/>
              <w:left w:val="nil"/>
              <w:bottom w:val="single" w:sz="4" w:space="0" w:color="auto"/>
              <w:right w:val="single" w:sz="4" w:space="0" w:color="auto"/>
            </w:tcBorders>
            <w:shd w:val="clear" w:color="auto" w:fill="auto"/>
            <w:vAlign w:val="bottom"/>
          </w:tcPr>
          <w:p w14:paraId="5420560F" w14:textId="77777777" w:rsidR="00620422" w:rsidRPr="008204CC" w:rsidRDefault="00620422" w:rsidP="0066301C">
            <w:pPr>
              <w:spacing w:after="0" w:line="240" w:lineRule="auto"/>
              <w:jc w:val="right"/>
              <w:rPr>
                <w:rFonts w:ascii="Arial" w:eastAsia="Times New Roman" w:hAnsi="Arial" w:cs="Arial"/>
                <w:sz w:val="18"/>
                <w:szCs w:val="18"/>
                <w:lang w:eastAsia="en-GB"/>
              </w:rPr>
            </w:pPr>
            <w:r w:rsidRPr="008204CC">
              <w:rPr>
                <w:rFonts w:ascii="Arial" w:eastAsia="Times New Roman" w:hAnsi="Arial" w:cs="Arial"/>
                <w:sz w:val="18"/>
                <w:szCs w:val="18"/>
                <w:lang w:eastAsia="en-GB"/>
              </w:rPr>
              <w:t>91.02102604</w:t>
            </w:r>
          </w:p>
        </w:tc>
        <w:tc>
          <w:tcPr>
            <w:tcW w:w="2122" w:type="dxa"/>
            <w:gridSpan w:val="2"/>
            <w:tcBorders>
              <w:top w:val="nil"/>
              <w:left w:val="nil"/>
              <w:bottom w:val="single" w:sz="4" w:space="0" w:color="auto"/>
              <w:right w:val="single" w:sz="4" w:space="0" w:color="auto"/>
            </w:tcBorders>
            <w:shd w:val="clear" w:color="auto" w:fill="auto"/>
            <w:vAlign w:val="bottom"/>
          </w:tcPr>
          <w:p w14:paraId="77926825" w14:textId="77777777" w:rsidR="00620422" w:rsidRPr="008204CC" w:rsidRDefault="00620422" w:rsidP="0066301C">
            <w:pPr>
              <w:spacing w:after="0" w:line="240" w:lineRule="auto"/>
              <w:jc w:val="right"/>
              <w:rPr>
                <w:rFonts w:ascii="Arial" w:eastAsia="Times New Roman" w:hAnsi="Arial" w:cs="Arial"/>
                <w:color w:val="000000"/>
                <w:sz w:val="18"/>
                <w:szCs w:val="18"/>
                <w:lang w:eastAsia="en-GB"/>
              </w:rPr>
            </w:pPr>
            <w:r w:rsidRPr="008204CC">
              <w:rPr>
                <w:rFonts w:ascii="Arial" w:eastAsia="Times New Roman" w:hAnsi="Arial" w:cs="Arial"/>
                <w:color w:val="000000"/>
                <w:sz w:val="18"/>
                <w:szCs w:val="18"/>
                <w:lang w:eastAsia="en-GB"/>
              </w:rPr>
              <w:t>3.234207283</w:t>
            </w:r>
          </w:p>
        </w:tc>
      </w:tr>
      <w:tr w:rsidR="008A6AC3" w:rsidRPr="008204CC" w14:paraId="6EB3D3FB" w14:textId="77777777" w:rsidTr="00D46B41">
        <w:trPr>
          <w:trHeight w:val="300"/>
        </w:trPr>
        <w:tc>
          <w:tcPr>
            <w:tcW w:w="1135" w:type="dxa"/>
            <w:tcBorders>
              <w:top w:val="nil"/>
              <w:left w:val="single" w:sz="4" w:space="0" w:color="auto"/>
              <w:bottom w:val="single" w:sz="4" w:space="0" w:color="auto"/>
              <w:right w:val="single" w:sz="4" w:space="0" w:color="auto"/>
            </w:tcBorders>
            <w:shd w:val="clear" w:color="auto" w:fill="auto"/>
            <w:noWrap/>
            <w:vAlign w:val="bottom"/>
            <w:hideMark/>
          </w:tcPr>
          <w:p w14:paraId="4045C973" w14:textId="77777777" w:rsidR="00620422" w:rsidRPr="008204CC" w:rsidRDefault="00620422" w:rsidP="0066301C">
            <w:pPr>
              <w:spacing w:after="0" w:line="240" w:lineRule="auto"/>
              <w:jc w:val="right"/>
              <w:rPr>
                <w:rFonts w:ascii="Arial" w:eastAsia="Times New Roman" w:hAnsi="Arial" w:cs="Arial"/>
                <w:color w:val="000000"/>
                <w:sz w:val="18"/>
                <w:szCs w:val="18"/>
                <w:lang w:eastAsia="en-GB"/>
              </w:rPr>
            </w:pPr>
            <w:r w:rsidRPr="008204CC">
              <w:rPr>
                <w:rFonts w:ascii="Arial" w:eastAsia="Times New Roman" w:hAnsi="Arial" w:cs="Arial"/>
                <w:color w:val="000000"/>
                <w:sz w:val="18"/>
                <w:szCs w:val="18"/>
                <w:lang w:eastAsia="en-GB"/>
              </w:rPr>
              <w:t>2003</w:t>
            </w:r>
          </w:p>
        </w:tc>
        <w:tc>
          <w:tcPr>
            <w:tcW w:w="1701" w:type="dxa"/>
            <w:tcBorders>
              <w:top w:val="nil"/>
              <w:left w:val="nil"/>
              <w:bottom w:val="single" w:sz="4" w:space="0" w:color="auto"/>
              <w:right w:val="single" w:sz="4" w:space="0" w:color="auto"/>
            </w:tcBorders>
            <w:shd w:val="clear" w:color="auto" w:fill="auto"/>
            <w:noWrap/>
            <w:vAlign w:val="bottom"/>
            <w:hideMark/>
          </w:tcPr>
          <w:p w14:paraId="504E1D8A" w14:textId="77777777" w:rsidR="00620422" w:rsidRPr="008204CC" w:rsidRDefault="00620422" w:rsidP="0066301C">
            <w:pPr>
              <w:spacing w:after="0" w:line="240" w:lineRule="auto"/>
              <w:jc w:val="right"/>
              <w:rPr>
                <w:rFonts w:ascii="Arial" w:eastAsia="Times New Roman" w:hAnsi="Arial" w:cs="Arial"/>
                <w:color w:val="000000"/>
                <w:sz w:val="18"/>
                <w:szCs w:val="18"/>
                <w:lang w:eastAsia="en-GB"/>
              </w:rPr>
            </w:pPr>
            <w:r w:rsidRPr="008204CC">
              <w:rPr>
                <w:rFonts w:ascii="Arial" w:eastAsia="Times New Roman" w:hAnsi="Arial" w:cs="Arial"/>
                <w:color w:val="000000"/>
                <w:sz w:val="18"/>
                <w:szCs w:val="18"/>
                <w:lang w:eastAsia="en-GB"/>
              </w:rPr>
              <w:t>101.01181</w:t>
            </w:r>
          </w:p>
        </w:tc>
        <w:tc>
          <w:tcPr>
            <w:tcW w:w="1701" w:type="dxa"/>
            <w:tcBorders>
              <w:top w:val="nil"/>
              <w:left w:val="nil"/>
              <w:bottom w:val="single" w:sz="4" w:space="0" w:color="auto"/>
              <w:right w:val="single" w:sz="4" w:space="0" w:color="auto"/>
            </w:tcBorders>
            <w:shd w:val="clear" w:color="auto" w:fill="auto"/>
            <w:noWrap/>
            <w:vAlign w:val="bottom"/>
            <w:hideMark/>
          </w:tcPr>
          <w:p w14:paraId="5FD00C06" w14:textId="77777777" w:rsidR="00620422" w:rsidRPr="008204CC" w:rsidRDefault="00620422" w:rsidP="0066301C">
            <w:pPr>
              <w:spacing w:after="0" w:line="240" w:lineRule="auto"/>
              <w:jc w:val="right"/>
              <w:rPr>
                <w:rFonts w:ascii="Arial" w:eastAsia="Times New Roman" w:hAnsi="Arial" w:cs="Arial"/>
                <w:color w:val="000000"/>
                <w:sz w:val="18"/>
                <w:szCs w:val="18"/>
                <w:lang w:eastAsia="en-GB"/>
              </w:rPr>
            </w:pPr>
            <w:r w:rsidRPr="008204CC">
              <w:rPr>
                <w:rFonts w:ascii="Arial" w:eastAsia="Times New Roman" w:hAnsi="Arial" w:cs="Arial"/>
                <w:color w:val="000000"/>
                <w:sz w:val="18"/>
                <w:szCs w:val="18"/>
                <w:lang w:eastAsia="en-GB"/>
              </w:rPr>
              <w:t>97.748861</w:t>
            </w:r>
          </w:p>
        </w:tc>
        <w:tc>
          <w:tcPr>
            <w:tcW w:w="1984" w:type="dxa"/>
            <w:tcBorders>
              <w:top w:val="nil"/>
              <w:left w:val="nil"/>
              <w:bottom w:val="single" w:sz="4" w:space="0" w:color="auto"/>
              <w:right w:val="single" w:sz="4" w:space="0" w:color="auto"/>
            </w:tcBorders>
            <w:shd w:val="clear" w:color="auto" w:fill="auto"/>
            <w:noWrap/>
            <w:vAlign w:val="bottom"/>
            <w:hideMark/>
          </w:tcPr>
          <w:p w14:paraId="4B6A3AAA" w14:textId="77777777" w:rsidR="00620422" w:rsidRPr="008204CC" w:rsidRDefault="00620422" w:rsidP="0066301C">
            <w:pPr>
              <w:spacing w:after="0" w:line="240" w:lineRule="auto"/>
              <w:jc w:val="right"/>
              <w:rPr>
                <w:rFonts w:ascii="Arial" w:eastAsia="Times New Roman" w:hAnsi="Arial" w:cs="Arial"/>
                <w:color w:val="000000"/>
                <w:sz w:val="18"/>
                <w:szCs w:val="18"/>
                <w:lang w:eastAsia="en-GB"/>
              </w:rPr>
            </w:pPr>
            <w:r w:rsidRPr="008204CC">
              <w:rPr>
                <w:rFonts w:ascii="Arial" w:eastAsia="Times New Roman" w:hAnsi="Arial" w:cs="Arial"/>
                <w:color w:val="000000"/>
                <w:sz w:val="18"/>
                <w:szCs w:val="18"/>
                <w:lang w:eastAsia="en-GB"/>
              </w:rPr>
              <w:t>3.2629471</w:t>
            </w:r>
          </w:p>
        </w:tc>
        <w:tc>
          <w:tcPr>
            <w:tcW w:w="709" w:type="dxa"/>
            <w:vMerge/>
            <w:tcBorders>
              <w:left w:val="nil"/>
              <w:right w:val="single" w:sz="4" w:space="0" w:color="auto"/>
            </w:tcBorders>
          </w:tcPr>
          <w:p w14:paraId="45596898" w14:textId="77777777" w:rsidR="00620422" w:rsidRPr="008204CC" w:rsidRDefault="00620422" w:rsidP="0066301C">
            <w:pPr>
              <w:spacing w:after="0" w:line="240" w:lineRule="auto"/>
              <w:jc w:val="right"/>
              <w:rPr>
                <w:rFonts w:ascii="Arial" w:eastAsia="Times New Roman" w:hAnsi="Arial" w:cs="Arial"/>
                <w:color w:val="000000"/>
                <w:sz w:val="18"/>
                <w:szCs w:val="18"/>
                <w:lang w:eastAsia="en-GB"/>
              </w:rPr>
            </w:pPr>
          </w:p>
        </w:tc>
        <w:tc>
          <w:tcPr>
            <w:tcW w:w="999" w:type="dxa"/>
            <w:gridSpan w:val="2"/>
            <w:tcBorders>
              <w:top w:val="nil"/>
              <w:left w:val="single" w:sz="4" w:space="0" w:color="auto"/>
              <w:bottom w:val="single" w:sz="4" w:space="0" w:color="auto"/>
              <w:right w:val="single" w:sz="4" w:space="0" w:color="auto"/>
            </w:tcBorders>
            <w:shd w:val="clear" w:color="auto" w:fill="auto"/>
            <w:vAlign w:val="bottom"/>
          </w:tcPr>
          <w:p w14:paraId="120E6B15" w14:textId="77777777" w:rsidR="00620422" w:rsidRPr="008204CC" w:rsidRDefault="00620422" w:rsidP="0066301C">
            <w:pPr>
              <w:spacing w:after="0" w:line="240" w:lineRule="auto"/>
              <w:jc w:val="right"/>
              <w:rPr>
                <w:rFonts w:ascii="Arial" w:eastAsia="Times New Roman" w:hAnsi="Arial" w:cs="Arial"/>
                <w:color w:val="000000"/>
                <w:sz w:val="18"/>
                <w:szCs w:val="18"/>
                <w:lang w:eastAsia="en-GB"/>
              </w:rPr>
            </w:pPr>
            <w:r w:rsidRPr="008204CC">
              <w:rPr>
                <w:rFonts w:ascii="Arial" w:eastAsia="Times New Roman" w:hAnsi="Arial" w:cs="Arial"/>
                <w:color w:val="000000"/>
                <w:sz w:val="18"/>
                <w:szCs w:val="18"/>
                <w:lang w:eastAsia="en-GB"/>
              </w:rPr>
              <w:t>2008</w:t>
            </w:r>
          </w:p>
        </w:tc>
        <w:tc>
          <w:tcPr>
            <w:tcW w:w="1415" w:type="dxa"/>
            <w:gridSpan w:val="2"/>
            <w:tcBorders>
              <w:top w:val="nil"/>
              <w:left w:val="nil"/>
              <w:bottom w:val="single" w:sz="4" w:space="0" w:color="auto"/>
              <w:right w:val="single" w:sz="4" w:space="0" w:color="auto"/>
            </w:tcBorders>
            <w:shd w:val="clear" w:color="auto" w:fill="auto"/>
            <w:vAlign w:val="bottom"/>
          </w:tcPr>
          <w:p w14:paraId="4E2ED2A1" w14:textId="77777777" w:rsidR="00620422" w:rsidRPr="008204CC" w:rsidRDefault="00620422" w:rsidP="0066301C">
            <w:pPr>
              <w:spacing w:after="0" w:line="240" w:lineRule="auto"/>
              <w:jc w:val="right"/>
              <w:rPr>
                <w:rFonts w:ascii="Arial" w:eastAsia="Times New Roman" w:hAnsi="Arial" w:cs="Arial"/>
                <w:color w:val="000000"/>
                <w:sz w:val="18"/>
                <w:szCs w:val="18"/>
                <w:lang w:eastAsia="en-GB"/>
              </w:rPr>
            </w:pPr>
            <w:r w:rsidRPr="008204CC">
              <w:rPr>
                <w:rFonts w:ascii="Arial" w:eastAsia="Times New Roman" w:hAnsi="Arial" w:cs="Arial"/>
                <w:color w:val="000000"/>
                <w:sz w:val="18"/>
                <w:szCs w:val="18"/>
                <w:lang w:eastAsia="en-GB"/>
              </w:rPr>
              <w:t>96.90791</w:t>
            </w:r>
          </w:p>
        </w:tc>
        <w:tc>
          <w:tcPr>
            <w:tcW w:w="1559" w:type="dxa"/>
            <w:gridSpan w:val="2"/>
            <w:tcBorders>
              <w:top w:val="nil"/>
              <w:left w:val="nil"/>
              <w:bottom w:val="single" w:sz="4" w:space="0" w:color="auto"/>
              <w:right w:val="single" w:sz="4" w:space="0" w:color="auto"/>
            </w:tcBorders>
            <w:shd w:val="clear" w:color="auto" w:fill="auto"/>
            <w:vAlign w:val="bottom"/>
          </w:tcPr>
          <w:p w14:paraId="755347B2" w14:textId="77777777" w:rsidR="00620422" w:rsidRPr="008204CC" w:rsidRDefault="00620422" w:rsidP="0066301C">
            <w:pPr>
              <w:spacing w:after="0" w:line="240" w:lineRule="auto"/>
              <w:jc w:val="right"/>
              <w:rPr>
                <w:rFonts w:ascii="Arial" w:eastAsia="Times New Roman" w:hAnsi="Arial" w:cs="Arial"/>
                <w:sz w:val="18"/>
                <w:szCs w:val="18"/>
                <w:lang w:eastAsia="en-GB"/>
              </w:rPr>
            </w:pPr>
            <w:r w:rsidRPr="008204CC">
              <w:rPr>
                <w:rFonts w:ascii="Arial" w:eastAsia="Times New Roman" w:hAnsi="Arial" w:cs="Arial"/>
                <w:sz w:val="18"/>
                <w:szCs w:val="18"/>
                <w:lang w:eastAsia="en-GB"/>
              </w:rPr>
              <w:t>93.85208662</w:t>
            </w:r>
          </w:p>
        </w:tc>
        <w:tc>
          <w:tcPr>
            <w:tcW w:w="2122" w:type="dxa"/>
            <w:gridSpan w:val="2"/>
            <w:tcBorders>
              <w:top w:val="nil"/>
              <w:left w:val="nil"/>
              <w:bottom w:val="single" w:sz="4" w:space="0" w:color="auto"/>
              <w:right w:val="single" w:sz="4" w:space="0" w:color="auto"/>
            </w:tcBorders>
            <w:shd w:val="clear" w:color="auto" w:fill="auto"/>
            <w:vAlign w:val="bottom"/>
          </w:tcPr>
          <w:p w14:paraId="16F2765F" w14:textId="77777777" w:rsidR="00620422" w:rsidRPr="008204CC" w:rsidRDefault="00620422" w:rsidP="0066301C">
            <w:pPr>
              <w:spacing w:after="0" w:line="240" w:lineRule="auto"/>
              <w:jc w:val="right"/>
              <w:rPr>
                <w:rFonts w:ascii="Arial" w:eastAsia="Times New Roman" w:hAnsi="Arial" w:cs="Arial"/>
                <w:color w:val="000000"/>
                <w:sz w:val="18"/>
                <w:szCs w:val="18"/>
                <w:lang w:eastAsia="en-GB"/>
              </w:rPr>
            </w:pPr>
            <w:r w:rsidRPr="008204CC">
              <w:rPr>
                <w:rFonts w:ascii="Arial" w:eastAsia="Times New Roman" w:hAnsi="Arial" w:cs="Arial"/>
                <w:color w:val="000000"/>
                <w:sz w:val="18"/>
                <w:szCs w:val="18"/>
                <w:lang w:eastAsia="en-GB"/>
              </w:rPr>
              <w:t>3.055825349</w:t>
            </w:r>
          </w:p>
        </w:tc>
      </w:tr>
      <w:tr w:rsidR="008A6AC3" w:rsidRPr="008204CC" w14:paraId="0AEA6A91" w14:textId="77777777" w:rsidTr="00D46B41">
        <w:trPr>
          <w:trHeight w:val="300"/>
        </w:trPr>
        <w:tc>
          <w:tcPr>
            <w:tcW w:w="1135" w:type="dxa"/>
            <w:tcBorders>
              <w:top w:val="nil"/>
              <w:left w:val="single" w:sz="4" w:space="0" w:color="auto"/>
              <w:bottom w:val="single" w:sz="4" w:space="0" w:color="auto"/>
              <w:right w:val="single" w:sz="4" w:space="0" w:color="auto"/>
            </w:tcBorders>
            <w:shd w:val="clear" w:color="auto" w:fill="auto"/>
            <w:noWrap/>
            <w:vAlign w:val="bottom"/>
            <w:hideMark/>
          </w:tcPr>
          <w:p w14:paraId="03D82A3D" w14:textId="77777777" w:rsidR="00620422" w:rsidRPr="008204CC" w:rsidRDefault="00620422" w:rsidP="0066301C">
            <w:pPr>
              <w:spacing w:after="0" w:line="240" w:lineRule="auto"/>
              <w:jc w:val="right"/>
              <w:rPr>
                <w:rFonts w:ascii="Arial" w:eastAsia="Times New Roman" w:hAnsi="Arial" w:cs="Arial"/>
                <w:color w:val="000000"/>
                <w:sz w:val="18"/>
                <w:szCs w:val="18"/>
                <w:lang w:eastAsia="en-GB"/>
              </w:rPr>
            </w:pPr>
            <w:r w:rsidRPr="008204CC">
              <w:rPr>
                <w:rFonts w:ascii="Arial" w:eastAsia="Times New Roman" w:hAnsi="Arial" w:cs="Arial"/>
                <w:color w:val="000000"/>
                <w:sz w:val="18"/>
                <w:szCs w:val="18"/>
                <w:lang w:eastAsia="en-GB"/>
              </w:rPr>
              <w:t>2004</w:t>
            </w:r>
          </w:p>
        </w:tc>
        <w:tc>
          <w:tcPr>
            <w:tcW w:w="1701" w:type="dxa"/>
            <w:tcBorders>
              <w:top w:val="nil"/>
              <w:left w:val="nil"/>
              <w:bottom w:val="single" w:sz="4" w:space="0" w:color="auto"/>
              <w:right w:val="single" w:sz="4" w:space="0" w:color="auto"/>
            </w:tcBorders>
            <w:shd w:val="clear" w:color="auto" w:fill="auto"/>
            <w:noWrap/>
            <w:vAlign w:val="bottom"/>
            <w:hideMark/>
          </w:tcPr>
          <w:p w14:paraId="16D928ED" w14:textId="77777777" w:rsidR="00620422" w:rsidRPr="008204CC" w:rsidRDefault="00620422" w:rsidP="0066301C">
            <w:pPr>
              <w:spacing w:after="0" w:line="240" w:lineRule="auto"/>
              <w:jc w:val="right"/>
              <w:rPr>
                <w:rFonts w:ascii="Arial" w:eastAsia="Times New Roman" w:hAnsi="Arial" w:cs="Arial"/>
                <w:color w:val="000000"/>
                <w:sz w:val="18"/>
                <w:szCs w:val="18"/>
                <w:lang w:eastAsia="en-GB"/>
              </w:rPr>
            </w:pPr>
            <w:r w:rsidRPr="008204CC">
              <w:rPr>
                <w:rFonts w:ascii="Arial" w:eastAsia="Times New Roman" w:hAnsi="Arial" w:cs="Arial"/>
                <w:color w:val="000000"/>
                <w:sz w:val="18"/>
                <w:szCs w:val="18"/>
                <w:lang w:eastAsia="en-GB"/>
              </w:rPr>
              <w:t>100.99246</w:t>
            </w:r>
          </w:p>
        </w:tc>
        <w:tc>
          <w:tcPr>
            <w:tcW w:w="1701" w:type="dxa"/>
            <w:tcBorders>
              <w:top w:val="nil"/>
              <w:left w:val="nil"/>
              <w:bottom w:val="single" w:sz="4" w:space="0" w:color="auto"/>
              <w:right w:val="single" w:sz="4" w:space="0" w:color="auto"/>
            </w:tcBorders>
            <w:shd w:val="clear" w:color="auto" w:fill="auto"/>
            <w:noWrap/>
            <w:vAlign w:val="bottom"/>
            <w:hideMark/>
          </w:tcPr>
          <w:p w14:paraId="2403B982" w14:textId="77777777" w:rsidR="00620422" w:rsidRPr="008204CC" w:rsidRDefault="00620422" w:rsidP="0066301C">
            <w:pPr>
              <w:spacing w:after="0" w:line="240" w:lineRule="auto"/>
              <w:jc w:val="right"/>
              <w:rPr>
                <w:rFonts w:ascii="Arial" w:eastAsia="Times New Roman" w:hAnsi="Arial" w:cs="Arial"/>
                <w:color w:val="000000"/>
                <w:sz w:val="18"/>
                <w:szCs w:val="18"/>
                <w:lang w:eastAsia="en-GB"/>
              </w:rPr>
            </w:pPr>
            <w:r w:rsidRPr="008204CC">
              <w:rPr>
                <w:rFonts w:ascii="Arial" w:eastAsia="Times New Roman" w:hAnsi="Arial" w:cs="Arial"/>
                <w:color w:val="000000"/>
                <w:sz w:val="18"/>
                <w:szCs w:val="18"/>
                <w:lang w:eastAsia="en-GB"/>
              </w:rPr>
              <w:t>97.804735</w:t>
            </w:r>
          </w:p>
        </w:tc>
        <w:tc>
          <w:tcPr>
            <w:tcW w:w="1984" w:type="dxa"/>
            <w:tcBorders>
              <w:top w:val="nil"/>
              <w:left w:val="nil"/>
              <w:bottom w:val="single" w:sz="4" w:space="0" w:color="auto"/>
              <w:right w:val="single" w:sz="4" w:space="0" w:color="auto"/>
            </w:tcBorders>
            <w:shd w:val="clear" w:color="auto" w:fill="auto"/>
            <w:noWrap/>
            <w:vAlign w:val="bottom"/>
            <w:hideMark/>
          </w:tcPr>
          <w:p w14:paraId="3DF0668D" w14:textId="77777777" w:rsidR="00620422" w:rsidRPr="008204CC" w:rsidRDefault="00620422" w:rsidP="0066301C">
            <w:pPr>
              <w:spacing w:after="0" w:line="240" w:lineRule="auto"/>
              <w:jc w:val="right"/>
              <w:rPr>
                <w:rFonts w:ascii="Arial" w:eastAsia="Times New Roman" w:hAnsi="Arial" w:cs="Arial"/>
                <w:color w:val="000000"/>
                <w:sz w:val="18"/>
                <w:szCs w:val="18"/>
                <w:lang w:eastAsia="en-GB"/>
              </w:rPr>
            </w:pPr>
            <w:r w:rsidRPr="008204CC">
              <w:rPr>
                <w:rFonts w:ascii="Arial" w:eastAsia="Times New Roman" w:hAnsi="Arial" w:cs="Arial"/>
                <w:color w:val="000000"/>
                <w:sz w:val="18"/>
                <w:szCs w:val="18"/>
                <w:lang w:eastAsia="en-GB"/>
              </w:rPr>
              <w:t>3.1877249</w:t>
            </w:r>
          </w:p>
        </w:tc>
        <w:tc>
          <w:tcPr>
            <w:tcW w:w="709" w:type="dxa"/>
            <w:vMerge/>
            <w:tcBorders>
              <w:left w:val="nil"/>
              <w:right w:val="single" w:sz="4" w:space="0" w:color="auto"/>
            </w:tcBorders>
          </w:tcPr>
          <w:p w14:paraId="4A9AFD26" w14:textId="77777777" w:rsidR="00620422" w:rsidRPr="008204CC" w:rsidRDefault="00620422" w:rsidP="0066301C">
            <w:pPr>
              <w:spacing w:after="0" w:line="240" w:lineRule="auto"/>
              <w:jc w:val="right"/>
              <w:rPr>
                <w:rFonts w:ascii="Arial" w:eastAsia="Times New Roman" w:hAnsi="Arial" w:cs="Arial"/>
                <w:color w:val="000000"/>
                <w:sz w:val="18"/>
                <w:szCs w:val="18"/>
                <w:lang w:eastAsia="en-GB"/>
              </w:rPr>
            </w:pPr>
          </w:p>
        </w:tc>
        <w:tc>
          <w:tcPr>
            <w:tcW w:w="999" w:type="dxa"/>
            <w:gridSpan w:val="2"/>
            <w:tcBorders>
              <w:top w:val="nil"/>
              <w:left w:val="single" w:sz="4" w:space="0" w:color="auto"/>
              <w:bottom w:val="single" w:sz="4" w:space="0" w:color="auto"/>
              <w:right w:val="single" w:sz="4" w:space="0" w:color="auto"/>
            </w:tcBorders>
            <w:shd w:val="clear" w:color="auto" w:fill="auto"/>
            <w:vAlign w:val="bottom"/>
          </w:tcPr>
          <w:p w14:paraId="36EE710C" w14:textId="77777777" w:rsidR="00620422" w:rsidRPr="008204CC" w:rsidRDefault="00620422" w:rsidP="0066301C">
            <w:pPr>
              <w:spacing w:after="0" w:line="240" w:lineRule="auto"/>
              <w:jc w:val="right"/>
              <w:rPr>
                <w:rFonts w:ascii="Arial" w:eastAsia="Times New Roman" w:hAnsi="Arial" w:cs="Arial"/>
                <w:color w:val="000000"/>
                <w:sz w:val="18"/>
                <w:szCs w:val="18"/>
                <w:lang w:eastAsia="en-GB"/>
              </w:rPr>
            </w:pPr>
            <w:r w:rsidRPr="008204CC">
              <w:rPr>
                <w:rFonts w:ascii="Arial" w:eastAsia="Times New Roman" w:hAnsi="Arial" w:cs="Arial"/>
                <w:color w:val="000000"/>
                <w:sz w:val="18"/>
                <w:szCs w:val="18"/>
                <w:lang w:eastAsia="en-GB"/>
              </w:rPr>
              <w:t>2009</w:t>
            </w:r>
          </w:p>
        </w:tc>
        <w:tc>
          <w:tcPr>
            <w:tcW w:w="1415" w:type="dxa"/>
            <w:gridSpan w:val="2"/>
            <w:tcBorders>
              <w:top w:val="nil"/>
              <w:left w:val="nil"/>
              <w:bottom w:val="single" w:sz="4" w:space="0" w:color="auto"/>
              <w:right w:val="single" w:sz="4" w:space="0" w:color="auto"/>
            </w:tcBorders>
            <w:shd w:val="clear" w:color="auto" w:fill="auto"/>
            <w:vAlign w:val="bottom"/>
          </w:tcPr>
          <w:p w14:paraId="7473B5D1" w14:textId="77777777" w:rsidR="00620422" w:rsidRPr="008204CC" w:rsidRDefault="00620422" w:rsidP="0066301C">
            <w:pPr>
              <w:spacing w:after="0" w:line="240" w:lineRule="auto"/>
              <w:jc w:val="right"/>
              <w:rPr>
                <w:rFonts w:ascii="Arial" w:eastAsia="Times New Roman" w:hAnsi="Arial" w:cs="Arial"/>
                <w:color w:val="000000"/>
                <w:sz w:val="18"/>
                <w:szCs w:val="18"/>
                <w:lang w:eastAsia="en-GB"/>
              </w:rPr>
            </w:pPr>
            <w:r w:rsidRPr="008204CC">
              <w:rPr>
                <w:rFonts w:ascii="Arial" w:eastAsia="Times New Roman" w:hAnsi="Arial" w:cs="Arial"/>
                <w:color w:val="000000"/>
                <w:sz w:val="18"/>
                <w:szCs w:val="18"/>
                <w:lang w:eastAsia="en-GB"/>
              </w:rPr>
              <w:t>100.5386</w:t>
            </w:r>
          </w:p>
        </w:tc>
        <w:tc>
          <w:tcPr>
            <w:tcW w:w="1559" w:type="dxa"/>
            <w:gridSpan w:val="2"/>
            <w:tcBorders>
              <w:top w:val="nil"/>
              <w:left w:val="nil"/>
              <w:bottom w:val="single" w:sz="4" w:space="0" w:color="auto"/>
              <w:right w:val="single" w:sz="4" w:space="0" w:color="auto"/>
            </w:tcBorders>
            <w:shd w:val="clear" w:color="auto" w:fill="auto"/>
            <w:vAlign w:val="bottom"/>
          </w:tcPr>
          <w:p w14:paraId="161318AD" w14:textId="77777777" w:rsidR="00620422" w:rsidRPr="008204CC" w:rsidRDefault="00620422" w:rsidP="0066301C">
            <w:pPr>
              <w:spacing w:after="0" w:line="240" w:lineRule="auto"/>
              <w:jc w:val="right"/>
              <w:rPr>
                <w:rFonts w:ascii="Arial" w:eastAsia="Times New Roman" w:hAnsi="Arial" w:cs="Arial"/>
                <w:sz w:val="18"/>
                <w:szCs w:val="18"/>
                <w:lang w:eastAsia="en-GB"/>
              </w:rPr>
            </w:pPr>
            <w:r w:rsidRPr="008204CC">
              <w:rPr>
                <w:rFonts w:ascii="Arial" w:eastAsia="Times New Roman" w:hAnsi="Arial" w:cs="Arial"/>
                <w:sz w:val="18"/>
                <w:szCs w:val="18"/>
                <w:lang w:eastAsia="en-GB"/>
              </w:rPr>
              <w:t>96.27583911</w:t>
            </w:r>
          </w:p>
        </w:tc>
        <w:tc>
          <w:tcPr>
            <w:tcW w:w="2122" w:type="dxa"/>
            <w:gridSpan w:val="2"/>
            <w:tcBorders>
              <w:top w:val="nil"/>
              <w:left w:val="nil"/>
              <w:bottom w:val="single" w:sz="4" w:space="0" w:color="auto"/>
              <w:right w:val="single" w:sz="4" w:space="0" w:color="auto"/>
            </w:tcBorders>
            <w:shd w:val="clear" w:color="auto" w:fill="auto"/>
            <w:vAlign w:val="bottom"/>
          </w:tcPr>
          <w:p w14:paraId="75A66129" w14:textId="77777777" w:rsidR="00620422" w:rsidRPr="008204CC" w:rsidRDefault="00620422" w:rsidP="0066301C">
            <w:pPr>
              <w:spacing w:after="0" w:line="240" w:lineRule="auto"/>
              <w:jc w:val="right"/>
              <w:rPr>
                <w:rFonts w:ascii="Arial" w:eastAsia="Times New Roman" w:hAnsi="Arial" w:cs="Arial"/>
                <w:color w:val="000000"/>
                <w:sz w:val="18"/>
                <w:szCs w:val="18"/>
                <w:lang w:eastAsia="en-GB"/>
              </w:rPr>
            </w:pPr>
            <w:r w:rsidRPr="008204CC">
              <w:rPr>
                <w:rFonts w:ascii="Arial" w:eastAsia="Times New Roman" w:hAnsi="Arial" w:cs="Arial"/>
                <w:color w:val="000000"/>
                <w:sz w:val="18"/>
                <w:szCs w:val="18"/>
                <w:lang w:eastAsia="en-GB"/>
              </w:rPr>
              <w:t>4.262753051</w:t>
            </w:r>
          </w:p>
        </w:tc>
      </w:tr>
      <w:tr w:rsidR="008A6AC3" w:rsidRPr="008204CC" w14:paraId="44066327" w14:textId="77777777" w:rsidTr="00D46B41">
        <w:trPr>
          <w:trHeight w:val="300"/>
        </w:trPr>
        <w:tc>
          <w:tcPr>
            <w:tcW w:w="1135" w:type="dxa"/>
            <w:tcBorders>
              <w:top w:val="nil"/>
              <w:left w:val="single" w:sz="4" w:space="0" w:color="auto"/>
              <w:bottom w:val="single" w:sz="4" w:space="0" w:color="auto"/>
              <w:right w:val="single" w:sz="4" w:space="0" w:color="auto"/>
            </w:tcBorders>
            <w:shd w:val="clear" w:color="auto" w:fill="auto"/>
            <w:noWrap/>
            <w:vAlign w:val="bottom"/>
            <w:hideMark/>
          </w:tcPr>
          <w:p w14:paraId="5E06FC23" w14:textId="77777777" w:rsidR="00620422" w:rsidRPr="008204CC" w:rsidRDefault="00620422" w:rsidP="0066301C">
            <w:pPr>
              <w:spacing w:after="0" w:line="240" w:lineRule="auto"/>
              <w:jc w:val="right"/>
              <w:rPr>
                <w:rFonts w:ascii="Arial" w:eastAsia="Times New Roman" w:hAnsi="Arial" w:cs="Arial"/>
                <w:color w:val="000000"/>
                <w:sz w:val="18"/>
                <w:szCs w:val="18"/>
                <w:lang w:eastAsia="en-GB"/>
              </w:rPr>
            </w:pPr>
            <w:r w:rsidRPr="008204CC">
              <w:rPr>
                <w:rFonts w:ascii="Arial" w:eastAsia="Times New Roman" w:hAnsi="Arial" w:cs="Arial"/>
                <w:color w:val="000000"/>
                <w:sz w:val="18"/>
                <w:szCs w:val="18"/>
                <w:lang w:eastAsia="en-GB"/>
              </w:rPr>
              <w:t>2005</w:t>
            </w:r>
          </w:p>
        </w:tc>
        <w:tc>
          <w:tcPr>
            <w:tcW w:w="1701" w:type="dxa"/>
            <w:tcBorders>
              <w:top w:val="nil"/>
              <w:left w:val="nil"/>
              <w:bottom w:val="single" w:sz="4" w:space="0" w:color="auto"/>
              <w:right w:val="single" w:sz="4" w:space="0" w:color="auto"/>
            </w:tcBorders>
            <w:shd w:val="clear" w:color="auto" w:fill="auto"/>
            <w:noWrap/>
            <w:vAlign w:val="bottom"/>
            <w:hideMark/>
          </w:tcPr>
          <w:p w14:paraId="4D03C526" w14:textId="77777777" w:rsidR="00620422" w:rsidRPr="008204CC" w:rsidRDefault="00620422" w:rsidP="0066301C">
            <w:pPr>
              <w:spacing w:after="0" w:line="240" w:lineRule="auto"/>
              <w:jc w:val="right"/>
              <w:rPr>
                <w:rFonts w:ascii="Arial" w:eastAsia="Times New Roman" w:hAnsi="Arial" w:cs="Arial"/>
                <w:color w:val="000000"/>
                <w:sz w:val="18"/>
                <w:szCs w:val="18"/>
                <w:lang w:eastAsia="en-GB"/>
              </w:rPr>
            </w:pPr>
            <w:r w:rsidRPr="008204CC">
              <w:rPr>
                <w:rFonts w:ascii="Arial" w:eastAsia="Times New Roman" w:hAnsi="Arial" w:cs="Arial"/>
                <w:color w:val="000000"/>
                <w:sz w:val="18"/>
                <w:szCs w:val="18"/>
                <w:lang w:eastAsia="en-GB"/>
              </w:rPr>
              <w:t>101.83765</w:t>
            </w:r>
          </w:p>
        </w:tc>
        <w:tc>
          <w:tcPr>
            <w:tcW w:w="1701" w:type="dxa"/>
            <w:tcBorders>
              <w:top w:val="nil"/>
              <w:left w:val="nil"/>
              <w:bottom w:val="single" w:sz="4" w:space="0" w:color="auto"/>
              <w:right w:val="single" w:sz="4" w:space="0" w:color="auto"/>
            </w:tcBorders>
            <w:shd w:val="clear" w:color="auto" w:fill="auto"/>
            <w:noWrap/>
            <w:vAlign w:val="bottom"/>
            <w:hideMark/>
          </w:tcPr>
          <w:p w14:paraId="24AF1501" w14:textId="77777777" w:rsidR="00620422" w:rsidRPr="008204CC" w:rsidRDefault="00620422" w:rsidP="0066301C">
            <w:pPr>
              <w:spacing w:after="0" w:line="240" w:lineRule="auto"/>
              <w:jc w:val="right"/>
              <w:rPr>
                <w:rFonts w:ascii="Arial" w:eastAsia="Times New Roman" w:hAnsi="Arial" w:cs="Arial"/>
                <w:color w:val="000000"/>
                <w:sz w:val="18"/>
                <w:szCs w:val="18"/>
                <w:lang w:eastAsia="en-GB"/>
              </w:rPr>
            </w:pPr>
            <w:r w:rsidRPr="008204CC">
              <w:rPr>
                <w:rFonts w:ascii="Arial" w:eastAsia="Times New Roman" w:hAnsi="Arial" w:cs="Arial"/>
                <w:color w:val="000000"/>
                <w:sz w:val="18"/>
                <w:szCs w:val="18"/>
                <w:lang w:eastAsia="en-GB"/>
              </w:rPr>
              <w:t>98.095222</w:t>
            </w:r>
          </w:p>
        </w:tc>
        <w:tc>
          <w:tcPr>
            <w:tcW w:w="1984" w:type="dxa"/>
            <w:tcBorders>
              <w:top w:val="nil"/>
              <w:left w:val="nil"/>
              <w:bottom w:val="single" w:sz="4" w:space="0" w:color="auto"/>
              <w:right w:val="single" w:sz="4" w:space="0" w:color="auto"/>
            </w:tcBorders>
            <w:shd w:val="clear" w:color="auto" w:fill="auto"/>
            <w:noWrap/>
            <w:vAlign w:val="bottom"/>
            <w:hideMark/>
          </w:tcPr>
          <w:p w14:paraId="6BC584CD" w14:textId="77777777" w:rsidR="00620422" w:rsidRPr="008204CC" w:rsidRDefault="00620422" w:rsidP="0066301C">
            <w:pPr>
              <w:spacing w:after="0" w:line="240" w:lineRule="auto"/>
              <w:jc w:val="right"/>
              <w:rPr>
                <w:rFonts w:ascii="Arial" w:eastAsia="Times New Roman" w:hAnsi="Arial" w:cs="Arial"/>
                <w:color w:val="000000"/>
                <w:sz w:val="18"/>
                <w:szCs w:val="18"/>
                <w:lang w:eastAsia="en-GB"/>
              </w:rPr>
            </w:pPr>
            <w:r w:rsidRPr="008204CC">
              <w:rPr>
                <w:rFonts w:ascii="Arial" w:eastAsia="Times New Roman" w:hAnsi="Arial" w:cs="Arial"/>
                <w:color w:val="000000"/>
                <w:sz w:val="18"/>
                <w:szCs w:val="18"/>
                <w:lang w:eastAsia="en-GB"/>
              </w:rPr>
              <w:t>3.7424259</w:t>
            </w:r>
          </w:p>
        </w:tc>
        <w:tc>
          <w:tcPr>
            <w:tcW w:w="709" w:type="dxa"/>
            <w:vMerge/>
            <w:tcBorders>
              <w:left w:val="nil"/>
              <w:right w:val="single" w:sz="4" w:space="0" w:color="auto"/>
            </w:tcBorders>
          </w:tcPr>
          <w:p w14:paraId="1384AA94" w14:textId="77777777" w:rsidR="00620422" w:rsidRPr="008204CC" w:rsidRDefault="00620422" w:rsidP="0066301C">
            <w:pPr>
              <w:spacing w:after="0" w:line="240" w:lineRule="auto"/>
              <w:jc w:val="right"/>
              <w:rPr>
                <w:rFonts w:ascii="Arial" w:eastAsia="Times New Roman" w:hAnsi="Arial" w:cs="Arial"/>
                <w:color w:val="000000"/>
                <w:sz w:val="18"/>
                <w:szCs w:val="18"/>
                <w:lang w:eastAsia="en-GB"/>
              </w:rPr>
            </w:pPr>
          </w:p>
        </w:tc>
        <w:tc>
          <w:tcPr>
            <w:tcW w:w="999" w:type="dxa"/>
            <w:gridSpan w:val="2"/>
            <w:tcBorders>
              <w:top w:val="nil"/>
              <w:left w:val="single" w:sz="4" w:space="0" w:color="auto"/>
              <w:bottom w:val="single" w:sz="4" w:space="0" w:color="auto"/>
              <w:right w:val="single" w:sz="4" w:space="0" w:color="auto"/>
            </w:tcBorders>
            <w:shd w:val="clear" w:color="auto" w:fill="auto"/>
            <w:vAlign w:val="bottom"/>
          </w:tcPr>
          <w:p w14:paraId="6390BE37" w14:textId="77777777" w:rsidR="00620422" w:rsidRPr="008204CC" w:rsidRDefault="00620422" w:rsidP="0066301C">
            <w:pPr>
              <w:spacing w:after="0" w:line="240" w:lineRule="auto"/>
              <w:jc w:val="right"/>
              <w:rPr>
                <w:rFonts w:ascii="Arial" w:eastAsia="Times New Roman" w:hAnsi="Arial" w:cs="Arial"/>
                <w:color w:val="000000"/>
                <w:sz w:val="18"/>
                <w:szCs w:val="18"/>
                <w:lang w:eastAsia="en-GB"/>
              </w:rPr>
            </w:pPr>
            <w:r w:rsidRPr="008204CC">
              <w:rPr>
                <w:rFonts w:ascii="Arial" w:eastAsia="Times New Roman" w:hAnsi="Arial" w:cs="Arial"/>
                <w:color w:val="000000"/>
                <w:sz w:val="18"/>
                <w:szCs w:val="18"/>
                <w:lang w:eastAsia="en-GB"/>
              </w:rPr>
              <w:t>2010</w:t>
            </w:r>
          </w:p>
        </w:tc>
        <w:tc>
          <w:tcPr>
            <w:tcW w:w="1415" w:type="dxa"/>
            <w:gridSpan w:val="2"/>
            <w:tcBorders>
              <w:top w:val="nil"/>
              <w:left w:val="nil"/>
              <w:bottom w:val="single" w:sz="4" w:space="0" w:color="auto"/>
              <w:right w:val="single" w:sz="4" w:space="0" w:color="auto"/>
            </w:tcBorders>
            <w:shd w:val="clear" w:color="auto" w:fill="auto"/>
            <w:vAlign w:val="bottom"/>
          </w:tcPr>
          <w:p w14:paraId="42DE24A3" w14:textId="77777777" w:rsidR="00620422" w:rsidRPr="008204CC" w:rsidRDefault="00620422" w:rsidP="0066301C">
            <w:pPr>
              <w:spacing w:after="0" w:line="240" w:lineRule="auto"/>
              <w:jc w:val="right"/>
              <w:rPr>
                <w:rFonts w:ascii="Arial" w:eastAsia="Times New Roman" w:hAnsi="Arial" w:cs="Arial"/>
                <w:color w:val="000000"/>
                <w:sz w:val="18"/>
                <w:szCs w:val="18"/>
                <w:lang w:eastAsia="en-GB"/>
              </w:rPr>
            </w:pPr>
            <w:r w:rsidRPr="008204CC">
              <w:rPr>
                <w:rFonts w:ascii="Arial" w:eastAsia="Times New Roman" w:hAnsi="Arial" w:cs="Arial"/>
                <w:color w:val="000000"/>
                <w:sz w:val="18"/>
                <w:szCs w:val="18"/>
                <w:lang w:eastAsia="en-GB"/>
              </w:rPr>
              <w:t>100</w:t>
            </w:r>
          </w:p>
        </w:tc>
        <w:tc>
          <w:tcPr>
            <w:tcW w:w="1559" w:type="dxa"/>
            <w:gridSpan w:val="2"/>
            <w:tcBorders>
              <w:top w:val="nil"/>
              <w:left w:val="nil"/>
              <w:bottom w:val="single" w:sz="4" w:space="0" w:color="auto"/>
              <w:right w:val="single" w:sz="4" w:space="0" w:color="auto"/>
            </w:tcBorders>
            <w:shd w:val="clear" w:color="auto" w:fill="auto"/>
            <w:vAlign w:val="bottom"/>
          </w:tcPr>
          <w:p w14:paraId="5F306731" w14:textId="77777777" w:rsidR="00620422" w:rsidRPr="008204CC" w:rsidRDefault="00620422" w:rsidP="0066301C">
            <w:pPr>
              <w:spacing w:after="0" w:line="240" w:lineRule="auto"/>
              <w:jc w:val="right"/>
              <w:rPr>
                <w:rFonts w:ascii="Arial" w:eastAsia="Times New Roman" w:hAnsi="Arial" w:cs="Arial"/>
                <w:sz w:val="18"/>
                <w:szCs w:val="18"/>
                <w:lang w:eastAsia="en-GB"/>
              </w:rPr>
            </w:pPr>
            <w:r w:rsidRPr="008204CC">
              <w:rPr>
                <w:rFonts w:ascii="Arial" w:eastAsia="Times New Roman" w:hAnsi="Arial" w:cs="Arial"/>
                <w:sz w:val="18"/>
                <w:szCs w:val="18"/>
                <w:lang w:eastAsia="en-GB"/>
              </w:rPr>
              <w:t>98.27674799</w:t>
            </w:r>
          </w:p>
        </w:tc>
        <w:tc>
          <w:tcPr>
            <w:tcW w:w="2122" w:type="dxa"/>
            <w:gridSpan w:val="2"/>
            <w:tcBorders>
              <w:top w:val="nil"/>
              <w:left w:val="nil"/>
              <w:bottom w:val="single" w:sz="4" w:space="0" w:color="auto"/>
              <w:right w:val="single" w:sz="4" w:space="0" w:color="auto"/>
            </w:tcBorders>
            <w:shd w:val="clear" w:color="auto" w:fill="auto"/>
            <w:vAlign w:val="bottom"/>
          </w:tcPr>
          <w:p w14:paraId="5EF3A4CE" w14:textId="77777777" w:rsidR="00620422" w:rsidRPr="008204CC" w:rsidRDefault="00620422" w:rsidP="0066301C">
            <w:pPr>
              <w:spacing w:after="0" w:line="240" w:lineRule="auto"/>
              <w:jc w:val="right"/>
              <w:rPr>
                <w:rFonts w:ascii="Arial" w:eastAsia="Times New Roman" w:hAnsi="Arial" w:cs="Arial"/>
                <w:color w:val="000000"/>
                <w:sz w:val="18"/>
                <w:szCs w:val="18"/>
                <w:lang w:eastAsia="en-GB"/>
              </w:rPr>
            </w:pPr>
            <w:r w:rsidRPr="008204CC">
              <w:rPr>
                <w:rFonts w:ascii="Arial" w:eastAsia="Times New Roman" w:hAnsi="Arial" w:cs="Arial"/>
                <w:color w:val="000000"/>
                <w:sz w:val="18"/>
                <w:szCs w:val="18"/>
                <w:lang w:eastAsia="en-GB"/>
              </w:rPr>
              <w:t>1.723252011</w:t>
            </w:r>
          </w:p>
        </w:tc>
      </w:tr>
      <w:tr w:rsidR="008A6AC3" w:rsidRPr="008204CC" w14:paraId="5FE542A2" w14:textId="77777777" w:rsidTr="00D46B41">
        <w:trPr>
          <w:trHeight w:val="300"/>
        </w:trPr>
        <w:tc>
          <w:tcPr>
            <w:tcW w:w="1135" w:type="dxa"/>
            <w:tcBorders>
              <w:top w:val="nil"/>
              <w:left w:val="single" w:sz="4" w:space="0" w:color="auto"/>
              <w:bottom w:val="single" w:sz="4" w:space="0" w:color="auto"/>
              <w:right w:val="single" w:sz="4" w:space="0" w:color="auto"/>
            </w:tcBorders>
            <w:shd w:val="clear" w:color="auto" w:fill="auto"/>
            <w:noWrap/>
            <w:vAlign w:val="bottom"/>
            <w:hideMark/>
          </w:tcPr>
          <w:p w14:paraId="4416B3B9" w14:textId="77777777" w:rsidR="00620422" w:rsidRPr="008204CC" w:rsidRDefault="00620422" w:rsidP="0066301C">
            <w:pPr>
              <w:spacing w:after="0" w:line="240" w:lineRule="auto"/>
              <w:jc w:val="right"/>
              <w:rPr>
                <w:rFonts w:ascii="Arial" w:eastAsia="Times New Roman" w:hAnsi="Arial" w:cs="Arial"/>
                <w:color w:val="000000"/>
                <w:sz w:val="18"/>
                <w:szCs w:val="18"/>
                <w:lang w:eastAsia="en-GB"/>
              </w:rPr>
            </w:pPr>
            <w:r w:rsidRPr="008204CC">
              <w:rPr>
                <w:rFonts w:ascii="Arial" w:eastAsia="Times New Roman" w:hAnsi="Arial" w:cs="Arial"/>
                <w:color w:val="000000"/>
                <w:sz w:val="18"/>
                <w:szCs w:val="18"/>
                <w:lang w:eastAsia="en-GB"/>
              </w:rPr>
              <w:t>2006</w:t>
            </w:r>
          </w:p>
        </w:tc>
        <w:tc>
          <w:tcPr>
            <w:tcW w:w="1701" w:type="dxa"/>
            <w:tcBorders>
              <w:top w:val="nil"/>
              <w:left w:val="nil"/>
              <w:bottom w:val="single" w:sz="4" w:space="0" w:color="auto"/>
              <w:right w:val="single" w:sz="4" w:space="0" w:color="auto"/>
            </w:tcBorders>
            <w:shd w:val="clear" w:color="auto" w:fill="auto"/>
            <w:noWrap/>
            <w:vAlign w:val="bottom"/>
            <w:hideMark/>
          </w:tcPr>
          <w:p w14:paraId="35F990E8" w14:textId="77777777" w:rsidR="00620422" w:rsidRPr="008204CC" w:rsidRDefault="00620422" w:rsidP="0066301C">
            <w:pPr>
              <w:spacing w:after="0" w:line="240" w:lineRule="auto"/>
              <w:jc w:val="right"/>
              <w:rPr>
                <w:rFonts w:ascii="Arial" w:eastAsia="Times New Roman" w:hAnsi="Arial" w:cs="Arial"/>
                <w:color w:val="000000"/>
                <w:sz w:val="18"/>
                <w:szCs w:val="18"/>
                <w:lang w:eastAsia="en-GB"/>
              </w:rPr>
            </w:pPr>
            <w:r w:rsidRPr="008204CC">
              <w:rPr>
                <w:rFonts w:ascii="Arial" w:eastAsia="Times New Roman" w:hAnsi="Arial" w:cs="Arial"/>
                <w:color w:val="000000"/>
                <w:sz w:val="18"/>
                <w:szCs w:val="18"/>
                <w:lang w:eastAsia="en-GB"/>
              </w:rPr>
              <w:t>97.979731</w:t>
            </w:r>
          </w:p>
        </w:tc>
        <w:tc>
          <w:tcPr>
            <w:tcW w:w="1701" w:type="dxa"/>
            <w:tcBorders>
              <w:top w:val="nil"/>
              <w:left w:val="nil"/>
              <w:bottom w:val="single" w:sz="4" w:space="0" w:color="auto"/>
              <w:right w:val="single" w:sz="4" w:space="0" w:color="auto"/>
            </w:tcBorders>
            <w:shd w:val="clear" w:color="auto" w:fill="auto"/>
            <w:noWrap/>
            <w:vAlign w:val="bottom"/>
            <w:hideMark/>
          </w:tcPr>
          <w:p w14:paraId="4238DFCF" w14:textId="77777777" w:rsidR="00620422" w:rsidRPr="008204CC" w:rsidRDefault="00620422" w:rsidP="0066301C">
            <w:pPr>
              <w:spacing w:after="0" w:line="240" w:lineRule="auto"/>
              <w:jc w:val="right"/>
              <w:rPr>
                <w:rFonts w:ascii="Arial" w:eastAsia="Times New Roman" w:hAnsi="Arial" w:cs="Arial"/>
                <w:color w:val="000000"/>
                <w:sz w:val="18"/>
                <w:szCs w:val="18"/>
                <w:lang w:eastAsia="en-GB"/>
              </w:rPr>
            </w:pPr>
            <w:r w:rsidRPr="008204CC">
              <w:rPr>
                <w:rFonts w:ascii="Arial" w:eastAsia="Times New Roman" w:hAnsi="Arial" w:cs="Arial"/>
                <w:color w:val="000000"/>
                <w:sz w:val="18"/>
                <w:szCs w:val="18"/>
                <w:lang w:eastAsia="en-GB"/>
              </w:rPr>
              <w:t>98.481712</w:t>
            </w:r>
          </w:p>
        </w:tc>
        <w:tc>
          <w:tcPr>
            <w:tcW w:w="1984" w:type="dxa"/>
            <w:tcBorders>
              <w:top w:val="nil"/>
              <w:left w:val="nil"/>
              <w:bottom w:val="single" w:sz="4" w:space="0" w:color="auto"/>
              <w:right w:val="single" w:sz="4" w:space="0" w:color="auto"/>
            </w:tcBorders>
            <w:shd w:val="clear" w:color="auto" w:fill="auto"/>
            <w:noWrap/>
            <w:vAlign w:val="bottom"/>
            <w:hideMark/>
          </w:tcPr>
          <w:p w14:paraId="1AEEE5A3" w14:textId="77777777" w:rsidR="00620422" w:rsidRPr="008204CC" w:rsidRDefault="00620422" w:rsidP="0066301C">
            <w:pPr>
              <w:spacing w:after="0" w:line="240" w:lineRule="auto"/>
              <w:jc w:val="right"/>
              <w:rPr>
                <w:rFonts w:ascii="Arial" w:eastAsia="Times New Roman" w:hAnsi="Arial" w:cs="Arial"/>
                <w:color w:val="000000"/>
                <w:sz w:val="18"/>
                <w:szCs w:val="18"/>
                <w:lang w:eastAsia="en-GB"/>
              </w:rPr>
            </w:pPr>
            <w:r w:rsidRPr="008204CC">
              <w:rPr>
                <w:rFonts w:ascii="Arial" w:eastAsia="Times New Roman" w:hAnsi="Arial" w:cs="Arial"/>
                <w:color w:val="000000"/>
                <w:sz w:val="18"/>
                <w:szCs w:val="18"/>
                <w:lang w:eastAsia="en-GB"/>
              </w:rPr>
              <w:t>-0.5019815</w:t>
            </w:r>
          </w:p>
        </w:tc>
        <w:tc>
          <w:tcPr>
            <w:tcW w:w="709" w:type="dxa"/>
            <w:vMerge/>
            <w:tcBorders>
              <w:left w:val="nil"/>
              <w:right w:val="single" w:sz="4" w:space="0" w:color="auto"/>
            </w:tcBorders>
          </w:tcPr>
          <w:p w14:paraId="59EC6519" w14:textId="77777777" w:rsidR="00620422" w:rsidRPr="008204CC" w:rsidRDefault="00620422" w:rsidP="0066301C">
            <w:pPr>
              <w:spacing w:after="0" w:line="240" w:lineRule="auto"/>
              <w:jc w:val="right"/>
              <w:rPr>
                <w:rFonts w:ascii="Arial" w:eastAsia="Times New Roman" w:hAnsi="Arial" w:cs="Arial"/>
                <w:color w:val="000000"/>
                <w:sz w:val="18"/>
                <w:szCs w:val="18"/>
                <w:lang w:eastAsia="en-GB"/>
              </w:rPr>
            </w:pPr>
          </w:p>
        </w:tc>
        <w:tc>
          <w:tcPr>
            <w:tcW w:w="999" w:type="dxa"/>
            <w:gridSpan w:val="2"/>
            <w:tcBorders>
              <w:top w:val="nil"/>
              <w:left w:val="single" w:sz="4" w:space="0" w:color="auto"/>
              <w:bottom w:val="single" w:sz="4" w:space="0" w:color="auto"/>
              <w:right w:val="single" w:sz="4" w:space="0" w:color="auto"/>
            </w:tcBorders>
            <w:shd w:val="clear" w:color="auto" w:fill="auto"/>
            <w:vAlign w:val="bottom"/>
          </w:tcPr>
          <w:p w14:paraId="5CEF437A" w14:textId="77777777" w:rsidR="00620422" w:rsidRPr="008204CC" w:rsidRDefault="00620422" w:rsidP="0066301C">
            <w:pPr>
              <w:spacing w:after="0" w:line="240" w:lineRule="auto"/>
              <w:jc w:val="right"/>
              <w:rPr>
                <w:rFonts w:ascii="Arial" w:eastAsia="Times New Roman" w:hAnsi="Arial" w:cs="Arial"/>
                <w:color w:val="000000"/>
                <w:sz w:val="18"/>
                <w:szCs w:val="18"/>
                <w:lang w:eastAsia="en-GB"/>
              </w:rPr>
            </w:pPr>
            <w:r w:rsidRPr="008204CC">
              <w:rPr>
                <w:rFonts w:ascii="Arial" w:eastAsia="Times New Roman" w:hAnsi="Arial" w:cs="Arial"/>
                <w:color w:val="000000"/>
                <w:sz w:val="18"/>
                <w:szCs w:val="18"/>
                <w:lang w:eastAsia="en-GB"/>
              </w:rPr>
              <w:t>2011</w:t>
            </w:r>
          </w:p>
        </w:tc>
        <w:tc>
          <w:tcPr>
            <w:tcW w:w="1415" w:type="dxa"/>
            <w:gridSpan w:val="2"/>
            <w:tcBorders>
              <w:top w:val="nil"/>
              <w:left w:val="nil"/>
              <w:bottom w:val="single" w:sz="4" w:space="0" w:color="auto"/>
              <w:right w:val="single" w:sz="4" w:space="0" w:color="auto"/>
            </w:tcBorders>
            <w:shd w:val="clear" w:color="auto" w:fill="auto"/>
            <w:vAlign w:val="bottom"/>
          </w:tcPr>
          <w:p w14:paraId="61FC7F87" w14:textId="77777777" w:rsidR="00620422" w:rsidRPr="008204CC" w:rsidRDefault="00620422" w:rsidP="0066301C">
            <w:pPr>
              <w:spacing w:after="0" w:line="240" w:lineRule="auto"/>
              <w:jc w:val="right"/>
              <w:rPr>
                <w:rFonts w:ascii="Arial" w:eastAsia="Times New Roman" w:hAnsi="Arial" w:cs="Arial"/>
                <w:color w:val="000000"/>
                <w:sz w:val="18"/>
                <w:szCs w:val="18"/>
                <w:lang w:eastAsia="en-GB"/>
              </w:rPr>
            </w:pPr>
            <w:r w:rsidRPr="008204CC">
              <w:rPr>
                <w:rFonts w:ascii="Arial" w:eastAsia="Times New Roman" w:hAnsi="Arial" w:cs="Arial"/>
                <w:color w:val="000000"/>
                <w:sz w:val="18"/>
                <w:szCs w:val="18"/>
                <w:lang w:eastAsia="en-GB"/>
              </w:rPr>
              <w:t>102.3012</w:t>
            </w:r>
          </w:p>
        </w:tc>
        <w:tc>
          <w:tcPr>
            <w:tcW w:w="1559" w:type="dxa"/>
            <w:gridSpan w:val="2"/>
            <w:tcBorders>
              <w:top w:val="nil"/>
              <w:left w:val="nil"/>
              <w:bottom w:val="single" w:sz="4" w:space="0" w:color="auto"/>
              <w:right w:val="single" w:sz="4" w:space="0" w:color="auto"/>
            </w:tcBorders>
            <w:shd w:val="clear" w:color="auto" w:fill="auto"/>
            <w:vAlign w:val="bottom"/>
          </w:tcPr>
          <w:p w14:paraId="2EB54093" w14:textId="77777777" w:rsidR="00620422" w:rsidRPr="008204CC" w:rsidRDefault="00620422" w:rsidP="0066301C">
            <w:pPr>
              <w:spacing w:after="0" w:line="240" w:lineRule="auto"/>
              <w:jc w:val="right"/>
              <w:rPr>
                <w:rFonts w:ascii="Arial" w:eastAsia="Times New Roman" w:hAnsi="Arial" w:cs="Arial"/>
                <w:sz w:val="18"/>
                <w:szCs w:val="18"/>
                <w:lang w:eastAsia="en-GB"/>
              </w:rPr>
            </w:pPr>
            <w:r w:rsidRPr="008204CC">
              <w:rPr>
                <w:rFonts w:ascii="Arial" w:eastAsia="Times New Roman" w:hAnsi="Arial" w:cs="Arial"/>
                <w:sz w:val="18"/>
                <w:szCs w:val="18"/>
                <w:lang w:eastAsia="en-GB"/>
              </w:rPr>
              <w:t>99.88190522</w:t>
            </w:r>
          </w:p>
        </w:tc>
        <w:tc>
          <w:tcPr>
            <w:tcW w:w="2122" w:type="dxa"/>
            <w:gridSpan w:val="2"/>
            <w:tcBorders>
              <w:top w:val="nil"/>
              <w:left w:val="nil"/>
              <w:bottom w:val="single" w:sz="4" w:space="0" w:color="auto"/>
              <w:right w:val="single" w:sz="4" w:space="0" w:color="auto"/>
            </w:tcBorders>
            <w:shd w:val="clear" w:color="auto" w:fill="auto"/>
            <w:vAlign w:val="bottom"/>
          </w:tcPr>
          <w:p w14:paraId="7A7B1BC5" w14:textId="77777777" w:rsidR="00620422" w:rsidRPr="008204CC" w:rsidRDefault="00620422" w:rsidP="0066301C">
            <w:pPr>
              <w:spacing w:after="0" w:line="240" w:lineRule="auto"/>
              <w:jc w:val="right"/>
              <w:rPr>
                <w:rFonts w:ascii="Arial" w:eastAsia="Times New Roman" w:hAnsi="Arial" w:cs="Arial"/>
                <w:color w:val="000000"/>
                <w:sz w:val="18"/>
                <w:szCs w:val="18"/>
                <w:lang w:eastAsia="en-GB"/>
              </w:rPr>
            </w:pPr>
            <w:r w:rsidRPr="008204CC">
              <w:rPr>
                <w:rFonts w:ascii="Arial" w:eastAsia="Times New Roman" w:hAnsi="Arial" w:cs="Arial"/>
                <w:color w:val="000000"/>
                <w:sz w:val="18"/>
                <w:szCs w:val="18"/>
                <w:lang w:eastAsia="en-GB"/>
              </w:rPr>
              <w:t>2.419320763</w:t>
            </w:r>
          </w:p>
        </w:tc>
      </w:tr>
      <w:tr w:rsidR="008A6AC3" w:rsidRPr="008204CC" w14:paraId="1E79775F" w14:textId="77777777" w:rsidTr="00D46B41">
        <w:trPr>
          <w:trHeight w:val="300"/>
        </w:trPr>
        <w:tc>
          <w:tcPr>
            <w:tcW w:w="1135" w:type="dxa"/>
            <w:tcBorders>
              <w:top w:val="nil"/>
              <w:left w:val="single" w:sz="4" w:space="0" w:color="auto"/>
              <w:bottom w:val="single" w:sz="4" w:space="0" w:color="auto"/>
              <w:right w:val="single" w:sz="4" w:space="0" w:color="auto"/>
            </w:tcBorders>
            <w:shd w:val="clear" w:color="auto" w:fill="auto"/>
            <w:noWrap/>
            <w:vAlign w:val="bottom"/>
            <w:hideMark/>
          </w:tcPr>
          <w:p w14:paraId="793A3A9B" w14:textId="77777777" w:rsidR="00620422" w:rsidRPr="008204CC" w:rsidRDefault="00620422" w:rsidP="0066301C">
            <w:pPr>
              <w:spacing w:after="0" w:line="240" w:lineRule="auto"/>
              <w:jc w:val="right"/>
              <w:rPr>
                <w:rFonts w:ascii="Arial" w:eastAsia="Times New Roman" w:hAnsi="Arial" w:cs="Arial"/>
                <w:color w:val="000000"/>
                <w:sz w:val="18"/>
                <w:szCs w:val="18"/>
                <w:lang w:eastAsia="en-GB"/>
              </w:rPr>
            </w:pPr>
            <w:r w:rsidRPr="008204CC">
              <w:rPr>
                <w:rFonts w:ascii="Arial" w:eastAsia="Times New Roman" w:hAnsi="Arial" w:cs="Arial"/>
                <w:color w:val="000000"/>
                <w:sz w:val="18"/>
                <w:szCs w:val="18"/>
                <w:lang w:eastAsia="en-GB"/>
              </w:rPr>
              <w:t>2007</w:t>
            </w:r>
          </w:p>
        </w:tc>
        <w:tc>
          <w:tcPr>
            <w:tcW w:w="1701" w:type="dxa"/>
            <w:tcBorders>
              <w:top w:val="nil"/>
              <w:left w:val="nil"/>
              <w:bottom w:val="single" w:sz="4" w:space="0" w:color="auto"/>
              <w:right w:val="single" w:sz="4" w:space="0" w:color="auto"/>
            </w:tcBorders>
            <w:shd w:val="clear" w:color="auto" w:fill="auto"/>
            <w:noWrap/>
            <w:vAlign w:val="bottom"/>
            <w:hideMark/>
          </w:tcPr>
          <w:p w14:paraId="49E752E1" w14:textId="77777777" w:rsidR="00620422" w:rsidRPr="008204CC" w:rsidRDefault="00620422" w:rsidP="0066301C">
            <w:pPr>
              <w:spacing w:after="0" w:line="240" w:lineRule="auto"/>
              <w:jc w:val="right"/>
              <w:rPr>
                <w:rFonts w:ascii="Arial" w:eastAsia="Times New Roman" w:hAnsi="Arial" w:cs="Arial"/>
                <w:color w:val="000000"/>
                <w:sz w:val="18"/>
                <w:szCs w:val="18"/>
                <w:lang w:eastAsia="en-GB"/>
              </w:rPr>
            </w:pPr>
            <w:r w:rsidRPr="008204CC">
              <w:rPr>
                <w:rFonts w:ascii="Arial" w:eastAsia="Times New Roman" w:hAnsi="Arial" w:cs="Arial"/>
                <w:color w:val="000000"/>
                <w:sz w:val="18"/>
                <w:szCs w:val="18"/>
                <w:lang w:eastAsia="en-GB"/>
              </w:rPr>
              <w:t>102.34355</w:t>
            </w:r>
          </w:p>
        </w:tc>
        <w:tc>
          <w:tcPr>
            <w:tcW w:w="1701" w:type="dxa"/>
            <w:tcBorders>
              <w:top w:val="nil"/>
              <w:left w:val="nil"/>
              <w:bottom w:val="single" w:sz="4" w:space="0" w:color="auto"/>
              <w:right w:val="single" w:sz="4" w:space="0" w:color="auto"/>
            </w:tcBorders>
            <w:shd w:val="clear" w:color="auto" w:fill="auto"/>
            <w:noWrap/>
            <w:vAlign w:val="bottom"/>
            <w:hideMark/>
          </w:tcPr>
          <w:p w14:paraId="4A636445" w14:textId="77777777" w:rsidR="00620422" w:rsidRPr="008204CC" w:rsidRDefault="00620422" w:rsidP="0066301C">
            <w:pPr>
              <w:spacing w:after="0" w:line="240" w:lineRule="auto"/>
              <w:jc w:val="right"/>
              <w:rPr>
                <w:rFonts w:ascii="Arial" w:eastAsia="Times New Roman" w:hAnsi="Arial" w:cs="Arial"/>
                <w:color w:val="000000"/>
                <w:sz w:val="18"/>
                <w:szCs w:val="18"/>
                <w:lang w:eastAsia="en-GB"/>
              </w:rPr>
            </w:pPr>
            <w:r w:rsidRPr="008204CC">
              <w:rPr>
                <w:rFonts w:ascii="Arial" w:eastAsia="Times New Roman" w:hAnsi="Arial" w:cs="Arial"/>
                <w:color w:val="000000"/>
                <w:sz w:val="18"/>
                <w:szCs w:val="18"/>
                <w:lang w:eastAsia="en-GB"/>
              </w:rPr>
              <w:t>98.86302</w:t>
            </w:r>
          </w:p>
        </w:tc>
        <w:tc>
          <w:tcPr>
            <w:tcW w:w="1984" w:type="dxa"/>
            <w:tcBorders>
              <w:top w:val="nil"/>
              <w:left w:val="nil"/>
              <w:bottom w:val="single" w:sz="4" w:space="0" w:color="auto"/>
              <w:right w:val="single" w:sz="4" w:space="0" w:color="auto"/>
            </w:tcBorders>
            <w:shd w:val="clear" w:color="auto" w:fill="auto"/>
            <w:noWrap/>
            <w:vAlign w:val="bottom"/>
            <w:hideMark/>
          </w:tcPr>
          <w:p w14:paraId="620A7F6F" w14:textId="77777777" w:rsidR="00620422" w:rsidRPr="008204CC" w:rsidRDefault="00620422" w:rsidP="0066301C">
            <w:pPr>
              <w:spacing w:after="0" w:line="240" w:lineRule="auto"/>
              <w:jc w:val="right"/>
              <w:rPr>
                <w:rFonts w:ascii="Arial" w:eastAsia="Times New Roman" w:hAnsi="Arial" w:cs="Arial"/>
                <w:color w:val="000000"/>
                <w:sz w:val="18"/>
                <w:szCs w:val="18"/>
                <w:lang w:eastAsia="en-GB"/>
              </w:rPr>
            </w:pPr>
            <w:r w:rsidRPr="008204CC">
              <w:rPr>
                <w:rFonts w:ascii="Arial" w:eastAsia="Times New Roman" w:hAnsi="Arial" w:cs="Arial"/>
                <w:color w:val="000000"/>
                <w:sz w:val="18"/>
                <w:szCs w:val="18"/>
                <w:lang w:eastAsia="en-GB"/>
              </w:rPr>
              <w:t>3.4805313</w:t>
            </w:r>
          </w:p>
        </w:tc>
        <w:tc>
          <w:tcPr>
            <w:tcW w:w="709" w:type="dxa"/>
            <w:vMerge/>
            <w:tcBorders>
              <w:left w:val="nil"/>
              <w:right w:val="single" w:sz="4" w:space="0" w:color="auto"/>
            </w:tcBorders>
          </w:tcPr>
          <w:p w14:paraId="47C7B365" w14:textId="77777777" w:rsidR="00620422" w:rsidRPr="008204CC" w:rsidRDefault="00620422" w:rsidP="0066301C">
            <w:pPr>
              <w:spacing w:after="0" w:line="240" w:lineRule="auto"/>
              <w:jc w:val="right"/>
              <w:rPr>
                <w:rFonts w:ascii="Arial" w:eastAsia="Times New Roman" w:hAnsi="Arial" w:cs="Arial"/>
                <w:color w:val="000000"/>
                <w:sz w:val="18"/>
                <w:szCs w:val="18"/>
                <w:lang w:eastAsia="en-GB"/>
              </w:rPr>
            </w:pPr>
          </w:p>
        </w:tc>
        <w:tc>
          <w:tcPr>
            <w:tcW w:w="999" w:type="dxa"/>
            <w:gridSpan w:val="2"/>
            <w:tcBorders>
              <w:top w:val="nil"/>
              <w:left w:val="single" w:sz="4" w:space="0" w:color="auto"/>
              <w:bottom w:val="single" w:sz="4" w:space="0" w:color="auto"/>
              <w:right w:val="single" w:sz="4" w:space="0" w:color="auto"/>
            </w:tcBorders>
            <w:shd w:val="clear" w:color="auto" w:fill="auto"/>
            <w:vAlign w:val="bottom"/>
          </w:tcPr>
          <w:p w14:paraId="5339FD03" w14:textId="77777777" w:rsidR="00620422" w:rsidRPr="008204CC" w:rsidRDefault="00620422" w:rsidP="0066301C">
            <w:pPr>
              <w:spacing w:after="0" w:line="240" w:lineRule="auto"/>
              <w:jc w:val="right"/>
              <w:rPr>
                <w:rFonts w:ascii="Arial" w:eastAsia="Times New Roman" w:hAnsi="Arial" w:cs="Arial"/>
                <w:color w:val="000000"/>
                <w:sz w:val="18"/>
                <w:szCs w:val="18"/>
                <w:lang w:eastAsia="en-GB"/>
              </w:rPr>
            </w:pPr>
            <w:r w:rsidRPr="008204CC">
              <w:rPr>
                <w:rFonts w:ascii="Arial" w:eastAsia="Times New Roman" w:hAnsi="Arial" w:cs="Arial"/>
                <w:color w:val="000000"/>
                <w:sz w:val="18"/>
                <w:szCs w:val="18"/>
                <w:lang w:eastAsia="en-GB"/>
              </w:rPr>
              <w:t>2012</w:t>
            </w:r>
          </w:p>
        </w:tc>
        <w:tc>
          <w:tcPr>
            <w:tcW w:w="1415" w:type="dxa"/>
            <w:gridSpan w:val="2"/>
            <w:tcBorders>
              <w:top w:val="nil"/>
              <w:left w:val="nil"/>
              <w:bottom w:val="single" w:sz="4" w:space="0" w:color="auto"/>
              <w:right w:val="single" w:sz="4" w:space="0" w:color="auto"/>
            </w:tcBorders>
            <w:shd w:val="clear" w:color="auto" w:fill="auto"/>
            <w:vAlign w:val="bottom"/>
          </w:tcPr>
          <w:p w14:paraId="72AC3554" w14:textId="77777777" w:rsidR="00620422" w:rsidRPr="008204CC" w:rsidRDefault="00620422" w:rsidP="0066301C">
            <w:pPr>
              <w:spacing w:after="0" w:line="240" w:lineRule="auto"/>
              <w:jc w:val="right"/>
              <w:rPr>
                <w:rFonts w:ascii="Arial" w:eastAsia="Times New Roman" w:hAnsi="Arial" w:cs="Arial"/>
                <w:color w:val="000000"/>
                <w:sz w:val="18"/>
                <w:szCs w:val="18"/>
                <w:lang w:eastAsia="en-GB"/>
              </w:rPr>
            </w:pPr>
            <w:r w:rsidRPr="008204CC">
              <w:rPr>
                <w:rFonts w:ascii="Arial" w:eastAsia="Times New Roman" w:hAnsi="Arial" w:cs="Arial"/>
                <w:color w:val="000000"/>
                <w:sz w:val="18"/>
                <w:szCs w:val="18"/>
                <w:lang w:eastAsia="en-GB"/>
              </w:rPr>
              <w:t>99.4475</w:t>
            </w:r>
          </w:p>
        </w:tc>
        <w:tc>
          <w:tcPr>
            <w:tcW w:w="1559" w:type="dxa"/>
            <w:gridSpan w:val="2"/>
            <w:tcBorders>
              <w:top w:val="nil"/>
              <w:left w:val="nil"/>
              <w:bottom w:val="single" w:sz="4" w:space="0" w:color="auto"/>
              <w:right w:val="single" w:sz="4" w:space="0" w:color="auto"/>
            </w:tcBorders>
            <w:shd w:val="clear" w:color="auto" w:fill="auto"/>
            <w:vAlign w:val="bottom"/>
          </w:tcPr>
          <w:p w14:paraId="5386BE2B" w14:textId="77777777" w:rsidR="00620422" w:rsidRPr="008204CC" w:rsidRDefault="00620422" w:rsidP="0066301C">
            <w:pPr>
              <w:spacing w:after="0" w:line="240" w:lineRule="auto"/>
              <w:jc w:val="right"/>
              <w:rPr>
                <w:rFonts w:ascii="Arial" w:eastAsia="Times New Roman" w:hAnsi="Arial" w:cs="Arial"/>
                <w:sz w:val="18"/>
                <w:szCs w:val="18"/>
                <w:lang w:eastAsia="en-GB"/>
              </w:rPr>
            </w:pPr>
            <w:r w:rsidRPr="008204CC">
              <w:rPr>
                <w:rFonts w:ascii="Arial" w:eastAsia="Times New Roman" w:hAnsi="Arial" w:cs="Arial"/>
                <w:sz w:val="18"/>
                <w:szCs w:val="18"/>
                <w:lang w:eastAsia="en-GB"/>
              </w:rPr>
              <w:t>101.1356353</w:t>
            </w:r>
          </w:p>
        </w:tc>
        <w:tc>
          <w:tcPr>
            <w:tcW w:w="2122" w:type="dxa"/>
            <w:gridSpan w:val="2"/>
            <w:tcBorders>
              <w:top w:val="nil"/>
              <w:left w:val="nil"/>
              <w:bottom w:val="single" w:sz="4" w:space="0" w:color="auto"/>
              <w:right w:val="single" w:sz="4" w:space="0" w:color="auto"/>
            </w:tcBorders>
            <w:shd w:val="clear" w:color="auto" w:fill="auto"/>
            <w:vAlign w:val="bottom"/>
          </w:tcPr>
          <w:p w14:paraId="733A4BC3" w14:textId="77777777" w:rsidR="00620422" w:rsidRPr="008204CC" w:rsidRDefault="00620422" w:rsidP="0066301C">
            <w:pPr>
              <w:spacing w:after="0" w:line="240" w:lineRule="auto"/>
              <w:jc w:val="right"/>
              <w:rPr>
                <w:rFonts w:ascii="Arial" w:eastAsia="Times New Roman" w:hAnsi="Arial" w:cs="Arial"/>
                <w:color w:val="000000"/>
                <w:sz w:val="18"/>
                <w:szCs w:val="18"/>
                <w:lang w:eastAsia="en-GB"/>
              </w:rPr>
            </w:pPr>
            <w:r w:rsidRPr="008204CC">
              <w:rPr>
                <w:rFonts w:ascii="Arial" w:eastAsia="Times New Roman" w:hAnsi="Arial" w:cs="Arial"/>
                <w:color w:val="000000"/>
                <w:sz w:val="18"/>
                <w:szCs w:val="18"/>
                <w:lang w:eastAsia="en-GB"/>
              </w:rPr>
              <w:t>-1.688136658</w:t>
            </w:r>
          </w:p>
        </w:tc>
      </w:tr>
      <w:tr w:rsidR="008A6AC3" w:rsidRPr="008204CC" w14:paraId="33D9703F" w14:textId="77777777" w:rsidTr="00D46B41">
        <w:trPr>
          <w:trHeight w:val="300"/>
        </w:trPr>
        <w:tc>
          <w:tcPr>
            <w:tcW w:w="1135" w:type="dxa"/>
            <w:tcBorders>
              <w:top w:val="nil"/>
              <w:left w:val="single" w:sz="4" w:space="0" w:color="auto"/>
              <w:bottom w:val="single" w:sz="4" w:space="0" w:color="auto"/>
              <w:right w:val="single" w:sz="4" w:space="0" w:color="auto"/>
            </w:tcBorders>
            <w:shd w:val="clear" w:color="auto" w:fill="auto"/>
            <w:noWrap/>
            <w:vAlign w:val="bottom"/>
            <w:hideMark/>
          </w:tcPr>
          <w:p w14:paraId="34E530FC" w14:textId="77777777" w:rsidR="00620422" w:rsidRPr="008204CC" w:rsidRDefault="00620422" w:rsidP="0066301C">
            <w:pPr>
              <w:spacing w:after="0" w:line="240" w:lineRule="auto"/>
              <w:jc w:val="right"/>
              <w:rPr>
                <w:rFonts w:ascii="Arial" w:eastAsia="Times New Roman" w:hAnsi="Arial" w:cs="Arial"/>
                <w:color w:val="000000"/>
                <w:sz w:val="18"/>
                <w:szCs w:val="18"/>
                <w:lang w:eastAsia="en-GB"/>
              </w:rPr>
            </w:pPr>
            <w:r w:rsidRPr="008204CC">
              <w:rPr>
                <w:rFonts w:ascii="Arial" w:eastAsia="Times New Roman" w:hAnsi="Arial" w:cs="Arial"/>
                <w:color w:val="000000"/>
                <w:sz w:val="18"/>
                <w:szCs w:val="18"/>
                <w:lang w:eastAsia="en-GB"/>
              </w:rPr>
              <w:t>2008</w:t>
            </w:r>
          </w:p>
        </w:tc>
        <w:tc>
          <w:tcPr>
            <w:tcW w:w="1701" w:type="dxa"/>
            <w:tcBorders>
              <w:top w:val="nil"/>
              <w:left w:val="nil"/>
              <w:bottom w:val="single" w:sz="4" w:space="0" w:color="auto"/>
              <w:right w:val="single" w:sz="4" w:space="0" w:color="auto"/>
            </w:tcBorders>
            <w:shd w:val="clear" w:color="auto" w:fill="auto"/>
            <w:noWrap/>
            <w:vAlign w:val="bottom"/>
            <w:hideMark/>
          </w:tcPr>
          <w:p w14:paraId="5794F33C" w14:textId="77777777" w:rsidR="00620422" w:rsidRPr="008204CC" w:rsidRDefault="00620422" w:rsidP="0066301C">
            <w:pPr>
              <w:spacing w:after="0" w:line="240" w:lineRule="auto"/>
              <w:jc w:val="right"/>
              <w:rPr>
                <w:rFonts w:ascii="Arial" w:eastAsia="Times New Roman" w:hAnsi="Arial" w:cs="Arial"/>
                <w:color w:val="000000"/>
                <w:sz w:val="18"/>
                <w:szCs w:val="18"/>
                <w:lang w:eastAsia="en-GB"/>
              </w:rPr>
            </w:pPr>
            <w:r w:rsidRPr="008204CC">
              <w:rPr>
                <w:rFonts w:ascii="Arial" w:eastAsia="Times New Roman" w:hAnsi="Arial" w:cs="Arial"/>
                <w:color w:val="000000"/>
                <w:sz w:val="18"/>
                <w:szCs w:val="18"/>
                <w:lang w:eastAsia="en-GB"/>
              </w:rPr>
              <w:t>105.82821</w:t>
            </w:r>
          </w:p>
        </w:tc>
        <w:tc>
          <w:tcPr>
            <w:tcW w:w="1701" w:type="dxa"/>
            <w:tcBorders>
              <w:top w:val="nil"/>
              <w:left w:val="nil"/>
              <w:bottom w:val="single" w:sz="4" w:space="0" w:color="auto"/>
              <w:right w:val="single" w:sz="4" w:space="0" w:color="auto"/>
            </w:tcBorders>
            <w:shd w:val="clear" w:color="auto" w:fill="auto"/>
            <w:noWrap/>
            <w:vAlign w:val="bottom"/>
            <w:hideMark/>
          </w:tcPr>
          <w:p w14:paraId="08442DC6" w14:textId="77777777" w:rsidR="00620422" w:rsidRPr="008204CC" w:rsidRDefault="00620422" w:rsidP="0066301C">
            <w:pPr>
              <w:spacing w:after="0" w:line="240" w:lineRule="auto"/>
              <w:jc w:val="right"/>
              <w:rPr>
                <w:rFonts w:ascii="Arial" w:eastAsia="Times New Roman" w:hAnsi="Arial" w:cs="Arial"/>
                <w:color w:val="000000"/>
                <w:sz w:val="18"/>
                <w:szCs w:val="18"/>
                <w:lang w:eastAsia="en-GB"/>
              </w:rPr>
            </w:pPr>
            <w:r w:rsidRPr="008204CC">
              <w:rPr>
                <w:rFonts w:ascii="Arial" w:eastAsia="Times New Roman" w:hAnsi="Arial" w:cs="Arial"/>
                <w:color w:val="000000"/>
                <w:sz w:val="18"/>
                <w:szCs w:val="18"/>
                <w:lang w:eastAsia="en-GB"/>
              </w:rPr>
              <w:t>99.13294</w:t>
            </w:r>
          </w:p>
        </w:tc>
        <w:tc>
          <w:tcPr>
            <w:tcW w:w="1984" w:type="dxa"/>
            <w:tcBorders>
              <w:top w:val="nil"/>
              <w:left w:val="nil"/>
              <w:bottom w:val="single" w:sz="4" w:space="0" w:color="auto"/>
              <w:right w:val="single" w:sz="4" w:space="0" w:color="auto"/>
            </w:tcBorders>
            <w:shd w:val="clear" w:color="auto" w:fill="auto"/>
            <w:noWrap/>
            <w:vAlign w:val="bottom"/>
            <w:hideMark/>
          </w:tcPr>
          <w:p w14:paraId="3A9CCAC3" w14:textId="77777777" w:rsidR="00620422" w:rsidRPr="008204CC" w:rsidRDefault="00620422" w:rsidP="0066301C">
            <w:pPr>
              <w:spacing w:after="0" w:line="240" w:lineRule="auto"/>
              <w:jc w:val="right"/>
              <w:rPr>
                <w:rFonts w:ascii="Arial" w:eastAsia="Times New Roman" w:hAnsi="Arial" w:cs="Arial"/>
                <w:color w:val="000000"/>
                <w:sz w:val="18"/>
                <w:szCs w:val="18"/>
                <w:lang w:eastAsia="en-GB"/>
              </w:rPr>
            </w:pPr>
            <w:r w:rsidRPr="008204CC">
              <w:rPr>
                <w:rFonts w:ascii="Arial" w:eastAsia="Times New Roman" w:hAnsi="Arial" w:cs="Arial"/>
                <w:color w:val="000000"/>
                <w:sz w:val="18"/>
                <w:szCs w:val="18"/>
                <w:lang w:eastAsia="en-GB"/>
              </w:rPr>
              <w:t>6.6952659</w:t>
            </w:r>
          </w:p>
        </w:tc>
        <w:tc>
          <w:tcPr>
            <w:tcW w:w="709" w:type="dxa"/>
            <w:vMerge/>
            <w:tcBorders>
              <w:left w:val="nil"/>
              <w:right w:val="single" w:sz="4" w:space="0" w:color="auto"/>
            </w:tcBorders>
          </w:tcPr>
          <w:p w14:paraId="2C1B7FC5" w14:textId="77777777" w:rsidR="00620422" w:rsidRPr="008204CC" w:rsidRDefault="00620422" w:rsidP="0066301C">
            <w:pPr>
              <w:spacing w:after="0" w:line="240" w:lineRule="auto"/>
              <w:jc w:val="right"/>
              <w:rPr>
                <w:rFonts w:ascii="Arial" w:eastAsia="Times New Roman" w:hAnsi="Arial" w:cs="Arial"/>
                <w:color w:val="000000"/>
                <w:sz w:val="18"/>
                <w:szCs w:val="18"/>
                <w:lang w:eastAsia="en-GB"/>
              </w:rPr>
            </w:pPr>
          </w:p>
        </w:tc>
        <w:tc>
          <w:tcPr>
            <w:tcW w:w="999" w:type="dxa"/>
            <w:gridSpan w:val="2"/>
            <w:tcBorders>
              <w:top w:val="nil"/>
              <w:left w:val="single" w:sz="4" w:space="0" w:color="auto"/>
              <w:bottom w:val="single" w:sz="4" w:space="0" w:color="auto"/>
              <w:right w:val="single" w:sz="4" w:space="0" w:color="auto"/>
            </w:tcBorders>
            <w:shd w:val="clear" w:color="auto" w:fill="auto"/>
            <w:vAlign w:val="bottom"/>
          </w:tcPr>
          <w:p w14:paraId="360175BE" w14:textId="77777777" w:rsidR="00620422" w:rsidRPr="008204CC" w:rsidRDefault="00620422" w:rsidP="0066301C">
            <w:pPr>
              <w:spacing w:after="0" w:line="240" w:lineRule="auto"/>
              <w:jc w:val="right"/>
              <w:rPr>
                <w:rFonts w:ascii="Arial" w:eastAsia="Times New Roman" w:hAnsi="Arial" w:cs="Arial"/>
                <w:color w:val="000000"/>
                <w:sz w:val="18"/>
                <w:szCs w:val="18"/>
                <w:lang w:eastAsia="en-GB"/>
              </w:rPr>
            </w:pPr>
            <w:r w:rsidRPr="008204CC">
              <w:rPr>
                <w:rFonts w:ascii="Arial" w:eastAsia="Times New Roman" w:hAnsi="Arial" w:cs="Arial"/>
                <w:color w:val="000000"/>
                <w:sz w:val="18"/>
                <w:szCs w:val="18"/>
                <w:lang w:eastAsia="en-GB"/>
              </w:rPr>
              <w:t>2013</w:t>
            </w:r>
          </w:p>
        </w:tc>
        <w:tc>
          <w:tcPr>
            <w:tcW w:w="1415" w:type="dxa"/>
            <w:gridSpan w:val="2"/>
            <w:tcBorders>
              <w:top w:val="nil"/>
              <w:left w:val="nil"/>
              <w:bottom w:val="single" w:sz="4" w:space="0" w:color="auto"/>
              <w:right w:val="single" w:sz="4" w:space="0" w:color="auto"/>
            </w:tcBorders>
            <w:shd w:val="clear" w:color="auto" w:fill="auto"/>
            <w:vAlign w:val="bottom"/>
          </w:tcPr>
          <w:p w14:paraId="710ED74E" w14:textId="77777777" w:rsidR="00620422" w:rsidRPr="008204CC" w:rsidRDefault="00620422" w:rsidP="0066301C">
            <w:pPr>
              <w:spacing w:after="0" w:line="240" w:lineRule="auto"/>
              <w:jc w:val="right"/>
              <w:rPr>
                <w:rFonts w:ascii="Arial" w:eastAsia="Times New Roman" w:hAnsi="Arial" w:cs="Arial"/>
                <w:color w:val="000000"/>
                <w:sz w:val="18"/>
                <w:szCs w:val="18"/>
                <w:lang w:eastAsia="en-GB"/>
              </w:rPr>
            </w:pPr>
            <w:r w:rsidRPr="008204CC">
              <w:rPr>
                <w:rFonts w:ascii="Arial" w:eastAsia="Times New Roman" w:hAnsi="Arial" w:cs="Arial"/>
                <w:color w:val="000000"/>
                <w:sz w:val="18"/>
                <w:szCs w:val="18"/>
                <w:lang w:eastAsia="en-GB"/>
              </w:rPr>
              <w:t>102.6753</w:t>
            </w:r>
          </w:p>
        </w:tc>
        <w:tc>
          <w:tcPr>
            <w:tcW w:w="1559" w:type="dxa"/>
            <w:gridSpan w:val="2"/>
            <w:tcBorders>
              <w:top w:val="nil"/>
              <w:left w:val="nil"/>
              <w:bottom w:val="single" w:sz="4" w:space="0" w:color="auto"/>
              <w:right w:val="single" w:sz="4" w:space="0" w:color="auto"/>
            </w:tcBorders>
            <w:shd w:val="clear" w:color="auto" w:fill="auto"/>
            <w:vAlign w:val="bottom"/>
          </w:tcPr>
          <w:p w14:paraId="6166D102" w14:textId="77777777" w:rsidR="00620422" w:rsidRPr="008204CC" w:rsidRDefault="00620422" w:rsidP="0066301C">
            <w:pPr>
              <w:spacing w:after="0" w:line="240" w:lineRule="auto"/>
              <w:jc w:val="right"/>
              <w:rPr>
                <w:rFonts w:ascii="Arial" w:eastAsia="Times New Roman" w:hAnsi="Arial" w:cs="Arial"/>
                <w:sz w:val="18"/>
                <w:szCs w:val="18"/>
                <w:lang w:eastAsia="en-GB"/>
              </w:rPr>
            </w:pPr>
            <w:r w:rsidRPr="008204CC">
              <w:rPr>
                <w:rFonts w:ascii="Arial" w:eastAsia="Times New Roman" w:hAnsi="Arial" w:cs="Arial"/>
                <w:sz w:val="18"/>
                <w:szCs w:val="18"/>
                <w:lang w:eastAsia="en-GB"/>
              </w:rPr>
              <w:t>102.106456</w:t>
            </w:r>
          </w:p>
        </w:tc>
        <w:tc>
          <w:tcPr>
            <w:tcW w:w="2122" w:type="dxa"/>
            <w:gridSpan w:val="2"/>
            <w:tcBorders>
              <w:top w:val="nil"/>
              <w:left w:val="nil"/>
              <w:bottom w:val="single" w:sz="4" w:space="0" w:color="auto"/>
              <w:right w:val="single" w:sz="4" w:space="0" w:color="auto"/>
            </w:tcBorders>
            <w:shd w:val="clear" w:color="auto" w:fill="auto"/>
            <w:vAlign w:val="bottom"/>
          </w:tcPr>
          <w:p w14:paraId="406D155D" w14:textId="77777777" w:rsidR="00620422" w:rsidRPr="008204CC" w:rsidRDefault="00620422" w:rsidP="0066301C">
            <w:pPr>
              <w:spacing w:after="0" w:line="240" w:lineRule="auto"/>
              <w:jc w:val="right"/>
              <w:rPr>
                <w:rFonts w:ascii="Arial" w:eastAsia="Times New Roman" w:hAnsi="Arial" w:cs="Arial"/>
                <w:color w:val="000000"/>
                <w:sz w:val="18"/>
                <w:szCs w:val="18"/>
                <w:lang w:eastAsia="en-GB"/>
              </w:rPr>
            </w:pPr>
            <w:r w:rsidRPr="008204CC">
              <w:rPr>
                <w:rFonts w:ascii="Arial" w:eastAsia="Times New Roman" w:hAnsi="Arial" w:cs="Arial"/>
                <w:color w:val="000000"/>
                <w:sz w:val="18"/>
                <w:szCs w:val="18"/>
                <w:lang w:eastAsia="en-GB"/>
              </w:rPr>
              <w:t>0.56879787</w:t>
            </w:r>
          </w:p>
        </w:tc>
      </w:tr>
      <w:tr w:rsidR="008A6AC3" w:rsidRPr="008204CC" w14:paraId="2C10F9EC" w14:textId="77777777" w:rsidTr="00D46B41">
        <w:trPr>
          <w:trHeight w:val="300"/>
        </w:trPr>
        <w:tc>
          <w:tcPr>
            <w:tcW w:w="1135" w:type="dxa"/>
            <w:tcBorders>
              <w:top w:val="nil"/>
              <w:left w:val="single" w:sz="4" w:space="0" w:color="auto"/>
              <w:bottom w:val="single" w:sz="4" w:space="0" w:color="auto"/>
              <w:right w:val="single" w:sz="4" w:space="0" w:color="auto"/>
            </w:tcBorders>
            <w:shd w:val="clear" w:color="auto" w:fill="auto"/>
            <w:noWrap/>
            <w:vAlign w:val="bottom"/>
            <w:hideMark/>
          </w:tcPr>
          <w:p w14:paraId="37B3E419" w14:textId="77777777" w:rsidR="00620422" w:rsidRPr="008204CC" w:rsidRDefault="00620422" w:rsidP="0066301C">
            <w:pPr>
              <w:spacing w:after="0" w:line="240" w:lineRule="auto"/>
              <w:jc w:val="right"/>
              <w:rPr>
                <w:rFonts w:ascii="Arial" w:eastAsia="Times New Roman" w:hAnsi="Arial" w:cs="Arial"/>
                <w:color w:val="000000"/>
                <w:sz w:val="18"/>
                <w:szCs w:val="18"/>
                <w:lang w:eastAsia="en-GB"/>
              </w:rPr>
            </w:pPr>
            <w:r w:rsidRPr="008204CC">
              <w:rPr>
                <w:rFonts w:ascii="Arial" w:eastAsia="Times New Roman" w:hAnsi="Arial" w:cs="Arial"/>
                <w:color w:val="000000"/>
                <w:sz w:val="18"/>
                <w:szCs w:val="18"/>
                <w:lang w:eastAsia="en-GB"/>
              </w:rPr>
              <w:t>2009</w:t>
            </w:r>
          </w:p>
        </w:tc>
        <w:tc>
          <w:tcPr>
            <w:tcW w:w="1701" w:type="dxa"/>
            <w:tcBorders>
              <w:top w:val="nil"/>
              <w:left w:val="nil"/>
              <w:bottom w:val="single" w:sz="4" w:space="0" w:color="auto"/>
              <w:right w:val="single" w:sz="4" w:space="0" w:color="auto"/>
            </w:tcBorders>
            <w:shd w:val="clear" w:color="auto" w:fill="auto"/>
            <w:noWrap/>
            <w:vAlign w:val="bottom"/>
            <w:hideMark/>
          </w:tcPr>
          <w:p w14:paraId="0B426A4D" w14:textId="77777777" w:rsidR="00620422" w:rsidRPr="008204CC" w:rsidRDefault="00620422" w:rsidP="0066301C">
            <w:pPr>
              <w:spacing w:after="0" w:line="240" w:lineRule="auto"/>
              <w:jc w:val="right"/>
              <w:rPr>
                <w:rFonts w:ascii="Arial" w:eastAsia="Times New Roman" w:hAnsi="Arial" w:cs="Arial"/>
                <w:color w:val="000000"/>
                <w:sz w:val="18"/>
                <w:szCs w:val="18"/>
                <w:lang w:eastAsia="en-GB"/>
              </w:rPr>
            </w:pPr>
            <w:r w:rsidRPr="008204CC">
              <w:rPr>
                <w:rFonts w:ascii="Arial" w:eastAsia="Times New Roman" w:hAnsi="Arial" w:cs="Arial"/>
                <w:color w:val="000000"/>
                <w:sz w:val="18"/>
                <w:szCs w:val="18"/>
                <w:lang w:eastAsia="en-GB"/>
              </w:rPr>
              <w:t>106.58361</w:t>
            </w:r>
          </w:p>
        </w:tc>
        <w:tc>
          <w:tcPr>
            <w:tcW w:w="1701" w:type="dxa"/>
            <w:tcBorders>
              <w:top w:val="nil"/>
              <w:left w:val="nil"/>
              <w:bottom w:val="single" w:sz="4" w:space="0" w:color="auto"/>
              <w:right w:val="single" w:sz="4" w:space="0" w:color="auto"/>
            </w:tcBorders>
            <w:shd w:val="clear" w:color="auto" w:fill="auto"/>
            <w:noWrap/>
            <w:vAlign w:val="bottom"/>
            <w:hideMark/>
          </w:tcPr>
          <w:p w14:paraId="0DF4CFF0" w14:textId="77777777" w:rsidR="00620422" w:rsidRPr="008204CC" w:rsidRDefault="00620422" w:rsidP="0066301C">
            <w:pPr>
              <w:spacing w:after="0" w:line="240" w:lineRule="auto"/>
              <w:jc w:val="right"/>
              <w:rPr>
                <w:rFonts w:ascii="Arial" w:eastAsia="Times New Roman" w:hAnsi="Arial" w:cs="Arial"/>
                <w:color w:val="000000"/>
                <w:sz w:val="18"/>
                <w:szCs w:val="18"/>
                <w:lang w:eastAsia="en-GB"/>
              </w:rPr>
            </w:pPr>
            <w:r w:rsidRPr="008204CC">
              <w:rPr>
                <w:rFonts w:ascii="Arial" w:eastAsia="Times New Roman" w:hAnsi="Arial" w:cs="Arial"/>
                <w:color w:val="000000"/>
                <w:sz w:val="18"/>
                <w:szCs w:val="18"/>
                <w:lang w:eastAsia="en-GB"/>
              </w:rPr>
              <w:t>99.220073</w:t>
            </w:r>
          </w:p>
        </w:tc>
        <w:tc>
          <w:tcPr>
            <w:tcW w:w="1984" w:type="dxa"/>
            <w:tcBorders>
              <w:top w:val="nil"/>
              <w:left w:val="nil"/>
              <w:bottom w:val="single" w:sz="4" w:space="0" w:color="auto"/>
              <w:right w:val="single" w:sz="4" w:space="0" w:color="auto"/>
            </w:tcBorders>
            <w:shd w:val="clear" w:color="auto" w:fill="auto"/>
            <w:noWrap/>
            <w:vAlign w:val="bottom"/>
            <w:hideMark/>
          </w:tcPr>
          <w:p w14:paraId="03D9D400" w14:textId="77777777" w:rsidR="00620422" w:rsidRPr="008204CC" w:rsidRDefault="00620422" w:rsidP="0066301C">
            <w:pPr>
              <w:spacing w:after="0" w:line="240" w:lineRule="auto"/>
              <w:jc w:val="right"/>
              <w:rPr>
                <w:rFonts w:ascii="Arial" w:eastAsia="Times New Roman" w:hAnsi="Arial" w:cs="Arial"/>
                <w:color w:val="000000"/>
                <w:sz w:val="18"/>
                <w:szCs w:val="18"/>
                <w:lang w:eastAsia="en-GB"/>
              </w:rPr>
            </w:pPr>
            <w:r w:rsidRPr="008204CC">
              <w:rPr>
                <w:rFonts w:ascii="Arial" w:eastAsia="Times New Roman" w:hAnsi="Arial" w:cs="Arial"/>
                <w:color w:val="000000"/>
                <w:sz w:val="18"/>
                <w:szCs w:val="18"/>
                <w:lang w:eastAsia="en-GB"/>
              </w:rPr>
              <w:t>7.3635361</w:t>
            </w:r>
          </w:p>
        </w:tc>
        <w:tc>
          <w:tcPr>
            <w:tcW w:w="709" w:type="dxa"/>
            <w:vMerge/>
            <w:tcBorders>
              <w:left w:val="nil"/>
              <w:right w:val="single" w:sz="4" w:space="0" w:color="auto"/>
            </w:tcBorders>
          </w:tcPr>
          <w:p w14:paraId="56A6C51D" w14:textId="77777777" w:rsidR="00620422" w:rsidRPr="008204CC" w:rsidRDefault="00620422" w:rsidP="0066301C">
            <w:pPr>
              <w:spacing w:after="0" w:line="240" w:lineRule="auto"/>
              <w:jc w:val="right"/>
              <w:rPr>
                <w:rFonts w:ascii="Arial" w:eastAsia="Times New Roman" w:hAnsi="Arial" w:cs="Arial"/>
                <w:color w:val="000000"/>
                <w:sz w:val="18"/>
                <w:szCs w:val="18"/>
                <w:lang w:eastAsia="en-GB"/>
              </w:rPr>
            </w:pPr>
          </w:p>
        </w:tc>
        <w:tc>
          <w:tcPr>
            <w:tcW w:w="999" w:type="dxa"/>
            <w:gridSpan w:val="2"/>
            <w:tcBorders>
              <w:top w:val="nil"/>
              <w:left w:val="single" w:sz="4" w:space="0" w:color="auto"/>
              <w:bottom w:val="single" w:sz="4" w:space="0" w:color="auto"/>
              <w:right w:val="single" w:sz="4" w:space="0" w:color="auto"/>
            </w:tcBorders>
            <w:shd w:val="clear" w:color="auto" w:fill="auto"/>
            <w:vAlign w:val="bottom"/>
          </w:tcPr>
          <w:p w14:paraId="56E4BD74" w14:textId="77777777" w:rsidR="00620422" w:rsidRPr="008204CC" w:rsidRDefault="00620422" w:rsidP="0066301C">
            <w:pPr>
              <w:spacing w:after="0" w:line="240" w:lineRule="auto"/>
              <w:jc w:val="right"/>
              <w:rPr>
                <w:rFonts w:ascii="Arial" w:eastAsia="Times New Roman" w:hAnsi="Arial" w:cs="Arial"/>
                <w:color w:val="000000"/>
                <w:sz w:val="18"/>
                <w:szCs w:val="18"/>
                <w:lang w:eastAsia="en-GB"/>
              </w:rPr>
            </w:pPr>
            <w:r w:rsidRPr="008204CC">
              <w:rPr>
                <w:rFonts w:ascii="Arial" w:eastAsia="Times New Roman" w:hAnsi="Arial" w:cs="Arial"/>
                <w:color w:val="000000"/>
                <w:sz w:val="18"/>
                <w:szCs w:val="18"/>
                <w:lang w:eastAsia="en-GB"/>
              </w:rPr>
              <w:t>2014</w:t>
            </w:r>
          </w:p>
        </w:tc>
        <w:tc>
          <w:tcPr>
            <w:tcW w:w="1415" w:type="dxa"/>
            <w:gridSpan w:val="2"/>
            <w:tcBorders>
              <w:top w:val="nil"/>
              <w:left w:val="nil"/>
              <w:bottom w:val="single" w:sz="4" w:space="0" w:color="auto"/>
              <w:right w:val="single" w:sz="4" w:space="0" w:color="auto"/>
            </w:tcBorders>
            <w:shd w:val="clear" w:color="auto" w:fill="auto"/>
            <w:vAlign w:val="bottom"/>
          </w:tcPr>
          <w:p w14:paraId="2044F5C4" w14:textId="77777777" w:rsidR="00620422" w:rsidRPr="008204CC" w:rsidRDefault="00620422" w:rsidP="0066301C">
            <w:pPr>
              <w:spacing w:after="0" w:line="240" w:lineRule="auto"/>
              <w:jc w:val="right"/>
              <w:rPr>
                <w:rFonts w:ascii="Arial" w:eastAsia="Times New Roman" w:hAnsi="Arial" w:cs="Arial"/>
                <w:color w:val="000000"/>
                <w:sz w:val="18"/>
                <w:szCs w:val="18"/>
                <w:lang w:eastAsia="en-GB"/>
              </w:rPr>
            </w:pPr>
            <w:r w:rsidRPr="008204CC">
              <w:rPr>
                <w:rFonts w:ascii="Arial" w:eastAsia="Times New Roman" w:hAnsi="Arial" w:cs="Arial"/>
                <w:color w:val="000000"/>
                <w:sz w:val="18"/>
                <w:szCs w:val="18"/>
                <w:lang w:eastAsia="en-GB"/>
              </w:rPr>
              <w:t>106.1357</w:t>
            </w:r>
          </w:p>
        </w:tc>
        <w:tc>
          <w:tcPr>
            <w:tcW w:w="1559" w:type="dxa"/>
            <w:gridSpan w:val="2"/>
            <w:tcBorders>
              <w:top w:val="nil"/>
              <w:left w:val="nil"/>
              <w:bottom w:val="single" w:sz="4" w:space="0" w:color="auto"/>
              <w:right w:val="single" w:sz="4" w:space="0" w:color="auto"/>
            </w:tcBorders>
            <w:shd w:val="clear" w:color="auto" w:fill="auto"/>
            <w:vAlign w:val="bottom"/>
          </w:tcPr>
          <w:p w14:paraId="109525E4" w14:textId="77777777" w:rsidR="00620422" w:rsidRPr="008204CC" w:rsidRDefault="00620422" w:rsidP="0066301C">
            <w:pPr>
              <w:spacing w:after="0" w:line="240" w:lineRule="auto"/>
              <w:jc w:val="right"/>
              <w:rPr>
                <w:rFonts w:ascii="Arial" w:eastAsia="Times New Roman" w:hAnsi="Arial" w:cs="Arial"/>
                <w:sz w:val="18"/>
                <w:szCs w:val="18"/>
                <w:lang w:eastAsia="en-GB"/>
              </w:rPr>
            </w:pPr>
            <w:r w:rsidRPr="008204CC">
              <w:rPr>
                <w:rFonts w:ascii="Arial" w:eastAsia="Times New Roman" w:hAnsi="Arial" w:cs="Arial"/>
                <w:sz w:val="18"/>
                <w:szCs w:val="18"/>
                <w:lang w:eastAsia="en-GB"/>
              </w:rPr>
              <w:t>102.8460036</w:t>
            </w:r>
          </w:p>
        </w:tc>
        <w:tc>
          <w:tcPr>
            <w:tcW w:w="2122" w:type="dxa"/>
            <w:gridSpan w:val="2"/>
            <w:tcBorders>
              <w:top w:val="nil"/>
              <w:left w:val="nil"/>
              <w:bottom w:val="single" w:sz="4" w:space="0" w:color="auto"/>
              <w:right w:val="single" w:sz="4" w:space="0" w:color="auto"/>
            </w:tcBorders>
            <w:shd w:val="clear" w:color="auto" w:fill="auto"/>
            <w:vAlign w:val="bottom"/>
          </w:tcPr>
          <w:p w14:paraId="44DB4C75" w14:textId="77777777" w:rsidR="00620422" w:rsidRPr="008204CC" w:rsidRDefault="00620422" w:rsidP="0066301C">
            <w:pPr>
              <w:spacing w:after="0" w:line="240" w:lineRule="auto"/>
              <w:jc w:val="right"/>
              <w:rPr>
                <w:rFonts w:ascii="Arial" w:eastAsia="Times New Roman" w:hAnsi="Arial" w:cs="Arial"/>
                <w:color w:val="000000"/>
                <w:sz w:val="18"/>
                <w:szCs w:val="18"/>
                <w:lang w:eastAsia="en-GB"/>
              </w:rPr>
            </w:pPr>
            <w:r w:rsidRPr="008204CC">
              <w:rPr>
                <w:rFonts w:ascii="Arial" w:eastAsia="Times New Roman" w:hAnsi="Arial" w:cs="Arial"/>
                <w:color w:val="000000"/>
                <w:sz w:val="18"/>
                <w:szCs w:val="18"/>
                <w:lang w:eastAsia="en-GB"/>
              </w:rPr>
              <w:t>3.289652269</w:t>
            </w:r>
          </w:p>
        </w:tc>
      </w:tr>
      <w:tr w:rsidR="008A6AC3" w:rsidRPr="008204CC" w14:paraId="7473A1A4" w14:textId="77777777" w:rsidTr="00D46B41">
        <w:trPr>
          <w:trHeight w:val="300"/>
        </w:trPr>
        <w:tc>
          <w:tcPr>
            <w:tcW w:w="1135" w:type="dxa"/>
            <w:tcBorders>
              <w:top w:val="nil"/>
              <w:left w:val="single" w:sz="4" w:space="0" w:color="auto"/>
              <w:bottom w:val="single" w:sz="4" w:space="0" w:color="auto"/>
              <w:right w:val="single" w:sz="4" w:space="0" w:color="auto"/>
            </w:tcBorders>
            <w:shd w:val="clear" w:color="auto" w:fill="auto"/>
            <w:noWrap/>
            <w:vAlign w:val="bottom"/>
            <w:hideMark/>
          </w:tcPr>
          <w:p w14:paraId="2250AF46" w14:textId="77777777" w:rsidR="00620422" w:rsidRPr="008204CC" w:rsidRDefault="00620422" w:rsidP="0066301C">
            <w:pPr>
              <w:spacing w:after="0" w:line="240" w:lineRule="auto"/>
              <w:jc w:val="right"/>
              <w:rPr>
                <w:rFonts w:ascii="Arial" w:eastAsia="Times New Roman" w:hAnsi="Arial" w:cs="Arial"/>
                <w:color w:val="000000"/>
                <w:sz w:val="18"/>
                <w:szCs w:val="18"/>
                <w:lang w:eastAsia="en-GB"/>
              </w:rPr>
            </w:pPr>
            <w:r w:rsidRPr="008204CC">
              <w:rPr>
                <w:rFonts w:ascii="Arial" w:eastAsia="Times New Roman" w:hAnsi="Arial" w:cs="Arial"/>
                <w:color w:val="000000"/>
                <w:sz w:val="18"/>
                <w:szCs w:val="18"/>
                <w:lang w:eastAsia="en-GB"/>
              </w:rPr>
              <w:t>2010</w:t>
            </w:r>
          </w:p>
        </w:tc>
        <w:tc>
          <w:tcPr>
            <w:tcW w:w="1701" w:type="dxa"/>
            <w:tcBorders>
              <w:top w:val="nil"/>
              <w:left w:val="nil"/>
              <w:bottom w:val="single" w:sz="4" w:space="0" w:color="auto"/>
              <w:right w:val="single" w:sz="4" w:space="0" w:color="auto"/>
            </w:tcBorders>
            <w:shd w:val="clear" w:color="auto" w:fill="auto"/>
            <w:noWrap/>
            <w:vAlign w:val="bottom"/>
            <w:hideMark/>
          </w:tcPr>
          <w:p w14:paraId="0C60D06C" w14:textId="77777777" w:rsidR="00620422" w:rsidRPr="008204CC" w:rsidRDefault="00620422" w:rsidP="0066301C">
            <w:pPr>
              <w:spacing w:after="0" w:line="240" w:lineRule="auto"/>
              <w:jc w:val="right"/>
              <w:rPr>
                <w:rFonts w:ascii="Arial" w:eastAsia="Times New Roman" w:hAnsi="Arial" w:cs="Arial"/>
                <w:color w:val="000000"/>
                <w:sz w:val="18"/>
                <w:szCs w:val="18"/>
                <w:lang w:eastAsia="en-GB"/>
              </w:rPr>
            </w:pPr>
            <w:r w:rsidRPr="008204CC">
              <w:rPr>
                <w:rFonts w:ascii="Arial" w:eastAsia="Times New Roman" w:hAnsi="Arial" w:cs="Arial"/>
                <w:color w:val="000000"/>
                <w:sz w:val="18"/>
                <w:szCs w:val="18"/>
                <w:lang w:eastAsia="en-GB"/>
              </w:rPr>
              <w:t>100</w:t>
            </w:r>
          </w:p>
        </w:tc>
        <w:tc>
          <w:tcPr>
            <w:tcW w:w="1701" w:type="dxa"/>
            <w:tcBorders>
              <w:top w:val="nil"/>
              <w:left w:val="nil"/>
              <w:bottom w:val="single" w:sz="4" w:space="0" w:color="auto"/>
              <w:right w:val="single" w:sz="4" w:space="0" w:color="auto"/>
            </w:tcBorders>
            <w:shd w:val="clear" w:color="auto" w:fill="auto"/>
            <w:noWrap/>
            <w:vAlign w:val="bottom"/>
            <w:hideMark/>
          </w:tcPr>
          <w:p w14:paraId="7928775A" w14:textId="77777777" w:rsidR="00620422" w:rsidRPr="008204CC" w:rsidRDefault="00620422" w:rsidP="0066301C">
            <w:pPr>
              <w:spacing w:after="0" w:line="240" w:lineRule="auto"/>
              <w:jc w:val="right"/>
              <w:rPr>
                <w:rFonts w:ascii="Arial" w:eastAsia="Times New Roman" w:hAnsi="Arial" w:cs="Arial"/>
                <w:color w:val="000000"/>
                <w:sz w:val="18"/>
                <w:szCs w:val="18"/>
                <w:lang w:eastAsia="en-GB"/>
              </w:rPr>
            </w:pPr>
            <w:r w:rsidRPr="008204CC">
              <w:rPr>
                <w:rFonts w:ascii="Arial" w:eastAsia="Times New Roman" w:hAnsi="Arial" w:cs="Arial"/>
                <w:color w:val="000000"/>
                <w:sz w:val="18"/>
                <w:szCs w:val="18"/>
                <w:lang w:eastAsia="en-GB"/>
              </w:rPr>
              <w:t>99.119972</w:t>
            </w:r>
          </w:p>
        </w:tc>
        <w:tc>
          <w:tcPr>
            <w:tcW w:w="1984" w:type="dxa"/>
            <w:tcBorders>
              <w:top w:val="nil"/>
              <w:left w:val="nil"/>
              <w:bottom w:val="single" w:sz="4" w:space="0" w:color="auto"/>
              <w:right w:val="single" w:sz="4" w:space="0" w:color="auto"/>
            </w:tcBorders>
            <w:shd w:val="clear" w:color="auto" w:fill="auto"/>
            <w:noWrap/>
            <w:vAlign w:val="bottom"/>
            <w:hideMark/>
          </w:tcPr>
          <w:p w14:paraId="2077B9C6" w14:textId="77777777" w:rsidR="00620422" w:rsidRPr="008204CC" w:rsidRDefault="00620422" w:rsidP="0066301C">
            <w:pPr>
              <w:spacing w:after="0" w:line="240" w:lineRule="auto"/>
              <w:jc w:val="right"/>
              <w:rPr>
                <w:rFonts w:ascii="Arial" w:eastAsia="Times New Roman" w:hAnsi="Arial" w:cs="Arial"/>
                <w:color w:val="000000"/>
                <w:sz w:val="18"/>
                <w:szCs w:val="18"/>
                <w:lang w:eastAsia="en-GB"/>
              </w:rPr>
            </w:pPr>
            <w:r w:rsidRPr="008204CC">
              <w:rPr>
                <w:rFonts w:ascii="Arial" w:eastAsia="Times New Roman" w:hAnsi="Arial" w:cs="Arial"/>
                <w:color w:val="000000"/>
                <w:sz w:val="18"/>
                <w:szCs w:val="18"/>
                <w:lang w:eastAsia="en-GB"/>
              </w:rPr>
              <w:t>0.8800279</w:t>
            </w:r>
          </w:p>
        </w:tc>
        <w:tc>
          <w:tcPr>
            <w:tcW w:w="709" w:type="dxa"/>
            <w:vMerge/>
            <w:tcBorders>
              <w:left w:val="nil"/>
              <w:right w:val="single" w:sz="4" w:space="0" w:color="auto"/>
            </w:tcBorders>
          </w:tcPr>
          <w:p w14:paraId="2C1EA0FF" w14:textId="77777777" w:rsidR="00620422" w:rsidRPr="008204CC" w:rsidRDefault="00620422" w:rsidP="0066301C">
            <w:pPr>
              <w:spacing w:after="0" w:line="240" w:lineRule="auto"/>
              <w:jc w:val="right"/>
              <w:rPr>
                <w:rFonts w:ascii="Arial" w:eastAsia="Times New Roman" w:hAnsi="Arial" w:cs="Arial"/>
                <w:color w:val="000000"/>
                <w:sz w:val="18"/>
                <w:szCs w:val="18"/>
                <w:lang w:eastAsia="en-GB"/>
              </w:rPr>
            </w:pPr>
          </w:p>
        </w:tc>
        <w:tc>
          <w:tcPr>
            <w:tcW w:w="999" w:type="dxa"/>
            <w:gridSpan w:val="2"/>
            <w:tcBorders>
              <w:top w:val="nil"/>
              <w:left w:val="single" w:sz="4" w:space="0" w:color="auto"/>
              <w:bottom w:val="single" w:sz="4" w:space="0" w:color="auto"/>
              <w:right w:val="single" w:sz="4" w:space="0" w:color="auto"/>
            </w:tcBorders>
            <w:shd w:val="clear" w:color="auto" w:fill="auto"/>
            <w:vAlign w:val="bottom"/>
          </w:tcPr>
          <w:p w14:paraId="2E1315BA" w14:textId="77777777" w:rsidR="00620422" w:rsidRPr="008204CC" w:rsidRDefault="00620422" w:rsidP="0066301C">
            <w:pPr>
              <w:spacing w:after="0" w:line="240" w:lineRule="auto"/>
              <w:jc w:val="right"/>
              <w:rPr>
                <w:rFonts w:ascii="Arial" w:eastAsia="Times New Roman" w:hAnsi="Arial" w:cs="Arial"/>
                <w:color w:val="000000"/>
                <w:sz w:val="18"/>
                <w:szCs w:val="18"/>
                <w:lang w:eastAsia="en-GB"/>
              </w:rPr>
            </w:pPr>
            <w:r w:rsidRPr="008204CC">
              <w:rPr>
                <w:rFonts w:ascii="Arial" w:eastAsia="Times New Roman" w:hAnsi="Arial" w:cs="Arial"/>
                <w:color w:val="000000"/>
                <w:sz w:val="18"/>
                <w:szCs w:val="18"/>
                <w:lang w:eastAsia="en-GB"/>
              </w:rPr>
              <w:t>2015</w:t>
            </w:r>
          </w:p>
        </w:tc>
        <w:tc>
          <w:tcPr>
            <w:tcW w:w="1415" w:type="dxa"/>
            <w:gridSpan w:val="2"/>
            <w:tcBorders>
              <w:top w:val="nil"/>
              <w:left w:val="nil"/>
              <w:bottom w:val="single" w:sz="4" w:space="0" w:color="auto"/>
              <w:right w:val="single" w:sz="4" w:space="0" w:color="auto"/>
            </w:tcBorders>
            <w:shd w:val="clear" w:color="auto" w:fill="auto"/>
            <w:vAlign w:val="bottom"/>
          </w:tcPr>
          <w:p w14:paraId="2D35582A" w14:textId="77777777" w:rsidR="00620422" w:rsidRPr="008204CC" w:rsidRDefault="00620422" w:rsidP="0066301C">
            <w:pPr>
              <w:spacing w:after="0" w:line="240" w:lineRule="auto"/>
              <w:jc w:val="right"/>
              <w:rPr>
                <w:rFonts w:ascii="Arial" w:eastAsia="Times New Roman" w:hAnsi="Arial" w:cs="Arial"/>
                <w:color w:val="000000"/>
                <w:sz w:val="18"/>
                <w:szCs w:val="18"/>
                <w:lang w:eastAsia="en-GB"/>
              </w:rPr>
            </w:pPr>
            <w:r w:rsidRPr="008204CC">
              <w:rPr>
                <w:rFonts w:ascii="Arial" w:eastAsia="Times New Roman" w:hAnsi="Arial" w:cs="Arial"/>
                <w:color w:val="000000"/>
                <w:sz w:val="18"/>
                <w:szCs w:val="18"/>
                <w:lang w:eastAsia="en-GB"/>
              </w:rPr>
              <w:t>99.31268</w:t>
            </w:r>
          </w:p>
        </w:tc>
        <w:tc>
          <w:tcPr>
            <w:tcW w:w="1559" w:type="dxa"/>
            <w:gridSpan w:val="2"/>
            <w:tcBorders>
              <w:top w:val="nil"/>
              <w:left w:val="nil"/>
              <w:bottom w:val="single" w:sz="4" w:space="0" w:color="auto"/>
              <w:right w:val="single" w:sz="4" w:space="0" w:color="auto"/>
            </w:tcBorders>
            <w:shd w:val="clear" w:color="auto" w:fill="auto"/>
            <w:vAlign w:val="bottom"/>
          </w:tcPr>
          <w:p w14:paraId="728403B2" w14:textId="77777777" w:rsidR="00620422" w:rsidRPr="008204CC" w:rsidRDefault="00620422" w:rsidP="0066301C">
            <w:pPr>
              <w:spacing w:after="0" w:line="240" w:lineRule="auto"/>
              <w:jc w:val="right"/>
              <w:rPr>
                <w:rFonts w:ascii="Arial" w:eastAsia="Times New Roman" w:hAnsi="Arial" w:cs="Arial"/>
                <w:sz w:val="18"/>
                <w:szCs w:val="18"/>
                <w:lang w:eastAsia="en-GB"/>
              </w:rPr>
            </w:pPr>
            <w:r w:rsidRPr="008204CC">
              <w:rPr>
                <w:rFonts w:ascii="Arial" w:eastAsia="Times New Roman" w:hAnsi="Arial" w:cs="Arial"/>
                <w:sz w:val="18"/>
                <w:szCs w:val="18"/>
                <w:lang w:eastAsia="en-GB"/>
              </w:rPr>
              <w:t>103.4116024</w:t>
            </w:r>
          </w:p>
        </w:tc>
        <w:tc>
          <w:tcPr>
            <w:tcW w:w="2122" w:type="dxa"/>
            <w:gridSpan w:val="2"/>
            <w:tcBorders>
              <w:top w:val="nil"/>
              <w:left w:val="nil"/>
              <w:bottom w:val="single" w:sz="4" w:space="0" w:color="auto"/>
              <w:right w:val="single" w:sz="4" w:space="0" w:color="auto"/>
            </w:tcBorders>
            <w:shd w:val="clear" w:color="auto" w:fill="auto"/>
            <w:vAlign w:val="bottom"/>
          </w:tcPr>
          <w:p w14:paraId="4D8EA598" w14:textId="77777777" w:rsidR="00620422" w:rsidRPr="008204CC" w:rsidRDefault="00620422" w:rsidP="0066301C">
            <w:pPr>
              <w:spacing w:after="0" w:line="240" w:lineRule="auto"/>
              <w:jc w:val="right"/>
              <w:rPr>
                <w:rFonts w:ascii="Arial" w:eastAsia="Times New Roman" w:hAnsi="Arial" w:cs="Arial"/>
                <w:color w:val="000000"/>
                <w:sz w:val="18"/>
                <w:szCs w:val="18"/>
                <w:lang w:eastAsia="en-GB"/>
              </w:rPr>
            </w:pPr>
            <w:r w:rsidRPr="008204CC">
              <w:rPr>
                <w:rFonts w:ascii="Arial" w:eastAsia="Times New Roman" w:hAnsi="Arial" w:cs="Arial"/>
                <w:color w:val="000000"/>
                <w:sz w:val="18"/>
                <w:szCs w:val="18"/>
                <w:lang w:eastAsia="en-GB"/>
              </w:rPr>
              <w:t>-4.098925463</w:t>
            </w:r>
          </w:p>
        </w:tc>
      </w:tr>
      <w:tr w:rsidR="008A6AC3" w:rsidRPr="008204CC" w14:paraId="497E5D60" w14:textId="77777777" w:rsidTr="00D46B41">
        <w:trPr>
          <w:trHeight w:val="300"/>
        </w:trPr>
        <w:tc>
          <w:tcPr>
            <w:tcW w:w="1135" w:type="dxa"/>
            <w:tcBorders>
              <w:top w:val="nil"/>
              <w:left w:val="single" w:sz="4" w:space="0" w:color="auto"/>
              <w:bottom w:val="single" w:sz="4" w:space="0" w:color="auto"/>
              <w:right w:val="single" w:sz="4" w:space="0" w:color="auto"/>
            </w:tcBorders>
            <w:shd w:val="clear" w:color="auto" w:fill="auto"/>
            <w:noWrap/>
            <w:vAlign w:val="bottom"/>
            <w:hideMark/>
          </w:tcPr>
          <w:p w14:paraId="130D0039" w14:textId="77777777" w:rsidR="00620422" w:rsidRPr="008204CC" w:rsidRDefault="00620422" w:rsidP="0066301C">
            <w:pPr>
              <w:spacing w:after="0" w:line="240" w:lineRule="auto"/>
              <w:jc w:val="right"/>
              <w:rPr>
                <w:rFonts w:ascii="Arial" w:eastAsia="Times New Roman" w:hAnsi="Arial" w:cs="Arial"/>
                <w:color w:val="000000"/>
                <w:sz w:val="18"/>
                <w:szCs w:val="18"/>
                <w:lang w:eastAsia="en-GB"/>
              </w:rPr>
            </w:pPr>
            <w:r w:rsidRPr="008204CC">
              <w:rPr>
                <w:rFonts w:ascii="Arial" w:eastAsia="Times New Roman" w:hAnsi="Arial" w:cs="Arial"/>
                <w:color w:val="000000"/>
                <w:sz w:val="18"/>
                <w:szCs w:val="18"/>
                <w:lang w:eastAsia="en-GB"/>
              </w:rPr>
              <w:t>2011</w:t>
            </w:r>
          </w:p>
        </w:tc>
        <w:tc>
          <w:tcPr>
            <w:tcW w:w="1701" w:type="dxa"/>
            <w:tcBorders>
              <w:top w:val="nil"/>
              <w:left w:val="nil"/>
              <w:bottom w:val="single" w:sz="4" w:space="0" w:color="auto"/>
              <w:right w:val="single" w:sz="4" w:space="0" w:color="auto"/>
            </w:tcBorders>
            <w:shd w:val="clear" w:color="auto" w:fill="auto"/>
            <w:noWrap/>
            <w:vAlign w:val="bottom"/>
            <w:hideMark/>
          </w:tcPr>
          <w:p w14:paraId="74CE570E" w14:textId="77777777" w:rsidR="00620422" w:rsidRPr="008204CC" w:rsidRDefault="00620422" w:rsidP="0066301C">
            <w:pPr>
              <w:spacing w:after="0" w:line="240" w:lineRule="auto"/>
              <w:jc w:val="right"/>
              <w:rPr>
                <w:rFonts w:ascii="Arial" w:eastAsia="Times New Roman" w:hAnsi="Arial" w:cs="Arial"/>
                <w:color w:val="000000"/>
                <w:sz w:val="18"/>
                <w:szCs w:val="18"/>
                <w:lang w:eastAsia="en-GB"/>
              </w:rPr>
            </w:pPr>
            <w:r w:rsidRPr="008204CC">
              <w:rPr>
                <w:rFonts w:ascii="Arial" w:eastAsia="Times New Roman" w:hAnsi="Arial" w:cs="Arial"/>
                <w:color w:val="000000"/>
                <w:sz w:val="18"/>
                <w:szCs w:val="18"/>
                <w:lang w:eastAsia="en-GB"/>
              </w:rPr>
              <w:t>98.162558</w:t>
            </w:r>
          </w:p>
        </w:tc>
        <w:tc>
          <w:tcPr>
            <w:tcW w:w="1701" w:type="dxa"/>
            <w:tcBorders>
              <w:top w:val="nil"/>
              <w:left w:val="nil"/>
              <w:bottom w:val="single" w:sz="4" w:space="0" w:color="auto"/>
              <w:right w:val="single" w:sz="4" w:space="0" w:color="auto"/>
            </w:tcBorders>
            <w:shd w:val="clear" w:color="auto" w:fill="auto"/>
            <w:noWrap/>
            <w:vAlign w:val="bottom"/>
            <w:hideMark/>
          </w:tcPr>
          <w:p w14:paraId="2AEEB7D0" w14:textId="77777777" w:rsidR="00620422" w:rsidRPr="008204CC" w:rsidRDefault="00620422" w:rsidP="0066301C">
            <w:pPr>
              <w:spacing w:after="0" w:line="240" w:lineRule="auto"/>
              <w:jc w:val="right"/>
              <w:rPr>
                <w:rFonts w:ascii="Arial" w:eastAsia="Times New Roman" w:hAnsi="Arial" w:cs="Arial"/>
                <w:color w:val="000000"/>
                <w:sz w:val="18"/>
                <w:szCs w:val="18"/>
                <w:lang w:eastAsia="en-GB"/>
              </w:rPr>
            </w:pPr>
            <w:r w:rsidRPr="008204CC">
              <w:rPr>
                <w:rFonts w:ascii="Arial" w:eastAsia="Times New Roman" w:hAnsi="Arial" w:cs="Arial"/>
                <w:color w:val="000000"/>
                <w:sz w:val="18"/>
                <w:szCs w:val="18"/>
                <w:lang w:eastAsia="en-GB"/>
              </w:rPr>
              <w:t>98.901826</w:t>
            </w:r>
          </w:p>
        </w:tc>
        <w:tc>
          <w:tcPr>
            <w:tcW w:w="1984" w:type="dxa"/>
            <w:tcBorders>
              <w:top w:val="nil"/>
              <w:left w:val="nil"/>
              <w:bottom w:val="single" w:sz="4" w:space="0" w:color="auto"/>
              <w:right w:val="single" w:sz="4" w:space="0" w:color="auto"/>
            </w:tcBorders>
            <w:shd w:val="clear" w:color="auto" w:fill="auto"/>
            <w:noWrap/>
            <w:vAlign w:val="bottom"/>
            <w:hideMark/>
          </w:tcPr>
          <w:p w14:paraId="230E66A1" w14:textId="77777777" w:rsidR="00620422" w:rsidRPr="008204CC" w:rsidRDefault="00620422" w:rsidP="0066301C">
            <w:pPr>
              <w:spacing w:after="0" w:line="240" w:lineRule="auto"/>
              <w:jc w:val="right"/>
              <w:rPr>
                <w:rFonts w:ascii="Arial" w:eastAsia="Times New Roman" w:hAnsi="Arial" w:cs="Arial"/>
                <w:color w:val="000000"/>
                <w:sz w:val="18"/>
                <w:szCs w:val="18"/>
                <w:lang w:eastAsia="en-GB"/>
              </w:rPr>
            </w:pPr>
            <w:r w:rsidRPr="008204CC">
              <w:rPr>
                <w:rFonts w:ascii="Arial" w:eastAsia="Times New Roman" w:hAnsi="Arial" w:cs="Arial"/>
                <w:color w:val="000000"/>
                <w:sz w:val="18"/>
                <w:szCs w:val="18"/>
                <w:lang w:eastAsia="en-GB"/>
              </w:rPr>
              <w:t>-0.7392673</w:t>
            </w:r>
          </w:p>
        </w:tc>
        <w:tc>
          <w:tcPr>
            <w:tcW w:w="709" w:type="dxa"/>
            <w:vMerge/>
            <w:tcBorders>
              <w:left w:val="nil"/>
              <w:right w:val="single" w:sz="4" w:space="0" w:color="auto"/>
            </w:tcBorders>
          </w:tcPr>
          <w:p w14:paraId="7A83ED93" w14:textId="77777777" w:rsidR="00620422" w:rsidRPr="008204CC" w:rsidRDefault="00620422" w:rsidP="0066301C">
            <w:pPr>
              <w:spacing w:after="0" w:line="240" w:lineRule="auto"/>
              <w:jc w:val="right"/>
              <w:rPr>
                <w:rFonts w:ascii="Arial" w:eastAsia="Times New Roman" w:hAnsi="Arial" w:cs="Arial"/>
                <w:color w:val="000000"/>
                <w:sz w:val="18"/>
                <w:szCs w:val="18"/>
                <w:lang w:eastAsia="en-GB"/>
              </w:rPr>
            </w:pPr>
          </w:p>
        </w:tc>
        <w:tc>
          <w:tcPr>
            <w:tcW w:w="999" w:type="dxa"/>
            <w:gridSpan w:val="2"/>
            <w:tcBorders>
              <w:top w:val="nil"/>
              <w:left w:val="single" w:sz="4" w:space="0" w:color="auto"/>
              <w:bottom w:val="single" w:sz="4" w:space="0" w:color="auto"/>
              <w:right w:val="single" w:sz="4" w:space="0" w:color="auto"/>
            </w:tcBorders>
            <w:shd w:val="clear" w:color="auto" w:fill="auto"/>
            <w:vAlign w:val="bottom"/>
          </w:tcPr>
          <w:p w14:paraId="323E1E5C" w14:textId="77777777" w:rsidR="00620422" w:rsidRPr="008204CC" w:rsidRDefault="00620422" w:rsidP="0066301C">
            <w:pPr>
              <w:spacing w:after="0" w:line="240" w:lineRule="auto"/>
              <w:jc w:val="right"/>
              <w:rPr>
                <w:rFonts w:ascii="Arial" w:eastAsia="Times New Roman" w:hAnsi="Arial" w:cs="Arial"/>
                <w:color w:val="000000"/>
                <w:sz w:val="18"/>
                <w:szCs w:val="18"/>
                <w:lang w:eastAsia="en-GB"/>
              </w:rPr>
            </w:pPr>
            <w:r w:rsidRPr="008204CC">
              <w:rPr>
                <w:rFonts w:ascii="Arial" w:eastAsia="Times New Roman" w:hAnsi="Arial" w:cs="Arial"/>
                <w:color w:val="000000"/>
                <w:sz w:val="18"/>
                <w:szCs w:val="18"/>
                <w:lang w:eastAsia="en-GB"/>
              </w:rPr>
              <w:t>2016</w:t>
            </w:r>
          </w:p>
        </w:tc>
        <w:tc>
          <w:tcPr>
            <w:tcW w:w="1415" w:type="dxa"/>
            <w:gridSpan w:val="2"/>
            <w:tcBorders>
              <w:top w:val="nil"/>
              <w:left w:val="nil"/>
              <w:bottom w:val="single" w:sz="4" w:space="0" w:color="auto"/>
              <w:right w:val="single" w:sz="4" w:space="0" w:color="auto"/>
            </w:tcBorders>
            <w:shd w:val="clear" w:color="auto" w:fill="auto"/>
            <w:vAlign w:val="bottom"/>
          </w:tcPr>
          <w:p w14:paraId="141F6FF0" w14:textId="77777777" w:rsidR="00620422" w:rsidRPr="008204CC" w:rsidRDefault="00620422" w:rsidP="0066301C">
            <w:pPr>
              <w:spacing w:after="0" w:line="240" w:lineRule="auto"/>
              <w:jc w:val="right"/>
              <w:rPr>
                <w:rFonts w:ascii="Arial" w:eastAsia="Times New Roman" w:hAnsi="Arial" w:cs="Arial"/>
                <w:color w:val="000000"/>
                <w:sz w:val="18"/>
                <w:szCs w:val="18"/>
                <w:lang w:eastAsia="en-GB"/>
              </w:rPr>
            </w:pPr>
            <w:r w:rsidRPr="008204CC">
              <w:rPr>
                <w:rFonts w:ascii="Arial" w:eastAsia="Times New Roman" w:hAnsi="Arial" w:cs="Arial"/>
                <w:color w:val="000000"/>
                <w:sz w:val="18"/>
                <w:szCs w:val="18"/>
                <w:lang w:eastAsia="en-GB"/>
              </w:rPr>
              <w:t>101.7227</w:t>
            </w:r>
          </w:p>
        </w:tc>
        <w:tc>
          <w:tcPr>
            <w:tcW w:w="1559" w:type="dxa"/>
            <w:gridSpan w:val="2"/>
            <w:tcBorders>
              <w:top w:val="nil"/>
              <w:left w:val="nil"/>
              <w:bottom w:val="single" w:sz="4" w:space="0" w:color="auto"/>
              <w:right w:val="single" w:sz="4" w:space="0" w:color="auto"/>
            </w:tcBorders>
            <w:shd w:val="clear" w:color="auto" w:fill="auto"/>
            <w:vAlign w:val="bottom"/>
          </w:tcPr>
          <w:p w14:paraId="15160CBA" w14:textId="77777777" w:rsidR="00620422" w:rsidRPr="008204CC" w:rsidRDefault="00620422" w:rsidP="0066301C">
            <w:pPr>
              <w:spacing w:after="0" w:line="240" w:lineRule="auto"/>
              <w:jc w:val="right"/>
              <w:rPr>
                <w:rFonts w:ascii="Arial" w:eastAsia="Times New Roman" w:hAnsi="Arial" w:cs="Arial"/>
                <w:sz w:val="18"/>
                <w:szCs w:val="18"/>
                <w:lang w:eastAsia="en-GB"/>
              </w:rPr>
            </w:pPr>
            <w:r w:rsidRPr="008204CC">
              <w:rPr>
                <w:rFonts w:ascii="Arial" w:eastAsia="Times New Roman" w:hAnsi="Arial" w:cs="Arial"/>
                <w:sz w:val="18"/>
                <w:szCs w:val="18"/>
                <w:lang w:eastAsia="en-GB"/>
              </w:rPr>
              <w:t>103.8934732</w:t>
            </w:r>
          </w:p>
        </w:tc>
        <w:tc>
          <w:tcPr>
            <w:tcW w:w="2122" w:type="dxa"/>
            <w:gridSpan w:val="2"/>
            <w:tcBorders>
              <w:top w:val="nil"/>
              <w:left w:val="nil"/>
              <w:bottom w:val="single" w:sz="4" w:space="0" w:color="auto"/>
              <w:right w:val="single" w:sz="4" w:space="0" w:color="auto"/>
            </w:tcBorders>
            <w:shd w:val="clear" w:color="auto" w:fill="auto"/>
            <w:vAlign w:val="bottom"/>
          </w:tcPr>
          <w:p w14:paraId="09F2FA70" w14:textId="77777777" w:rsidR="00620422" w:rsidRPr="008204CC" w:rsidRDefault="00620422" w:rsidP="0066301C">
            <w:pPr>
              <w:spacing w:after="0" w:line="240" w:lineRule="auto"/>
              <w:jc w:val="right"/>
              <w:rPr>
                <w:rFonts w:ascii="Arial" w:eastAsia="Times New Roman" w:hAnsi="Arial" w:cs="Arial"/>
                <w:color w:val="000000"/>
                <w:sz w:val="18"/>
                <w:szCs w:val="18"/>
                <w:lang w:eastAsia="en-GB"/>
              </w:rPr>
            </w:pPr>
            <w:r w:rsidRPr="008204CC">
              <w:rPr>
                <w:rFonts w:ascii="Arial" w:eastAsia="Times New Roman" w:hAnsi="Arial" w:cs="Arial"/>
                <w:color w:val="000000"/>
                <w:sz w:val="18"/>
                <w:szCs w:val="18"/>
                <w:lang w:eastAsia="en-GB"/>
              </w:rPr>
              <w:t>-2.170796966</w:t>
            </w:r>
          </w:p>
        </w:tc>
      </w:tr>
      <w:tr w:rsidR="008A6AC3" w:rsidRPr="008204CC" w14:paraId="01B8297F" w14:textId="77777777" w:rsidTr="00D46B41">
        <w:trPr>
          <w:trHeight w:val="300"/>
        </w:trPr>
        <w:tc>
          <w:tcPr>
            <w:tcW w:w="1135" w:type="dxa"/>
            <w:tcBorders>
              <w:top w:val="nil"/>
              <w:left w:val="single" w:sz="4" w:space="0" w:color="auto"/>
              <w:bottom w:val="single" w:sz="4" w:space="0" w:color="auto"/>
              <w:right w:val="single" w:sz="4" w:space="0" w:color="auto"/>
            </w:tcBorders>
            <w:shd w:val="clear" w:color="auto" w:fill="auto"/>
            <w:noWrap/>
            <w:vAlign w:val="bottom"/>
            <w:hideMark/>
          </w:tcPr>
          <w:p w14:paraId="0FD0F8AE" w14:textId="77777777" w:rsidR="00620422" w:rsidRPr="008204CC" w:rsidRDefault="00620422" w:rsidP="0066301C">
            <w:pPr>
              <w:spacing w:after="0" w:line="240" w:lineRule="auto"/>
              <w:jc w:val="right"/>
              <w:rPr>
                <w:rFonts w:ascii="Arial" w:eastAsia="Times New Roman" w:hAnsi="Arial" w:cs="Arial"/>
                <w:color w:val="000000"/>
                <w:sz w:val="18"/>
                <w:szCs w:val="18"/>
                <w:lang w:eastAsia="en-GB"/>
              </w:rPr>
            </w:pPr>
            <w:r w:rsidRPr="008204CC">
              <w:rPr>
                <w:rFonts w:ascii="Arial" w:eastAsia="Times New Roman" w:hAnsi="Arial" w:cs="Arial"/>
                <w:color w:val="000000"/>
                <w:sz w:val="18"/>
                <w:szCs w:val="18"/>
                <w:lang w:eastAsia="en-GB"/>
              </w:rPr>
              <w:t>2012</w:t>
            </w:r>
          </w:p>
        </w:tc>
        <w:tc>
          <w:tcPr>
            <w:tcW w:w="1701" w:type="dxa"/>
            <w:tcBorders>
              <w:top w:val="nil"/>
              <w:left w:val="nil"/>
              <w:bottom w:val="single" w:sz="4" w:space="0" w:color="auto"/>
              <w:right w:val="single" w:sz="4" w:space="0" w:color="auto"/>
            </w:tcBorders>
            <w:shd w:val="clear" w:color="auto" w:fill="auto"/>
            <w:noWrap/>
            <w:vAlign w:val="bottom"/>
            <w:hideMark/>
          </w:tcPr>
          <w:p w14:paraId="5EE0E5A7" w14:textId="77777777" w:rsidR="00620422" w:rsidRPr="008204CC" w:rsidRDefault="00620422" w:rsidP="0066301C">
            <w:pPr>
              <w:spacing w:after="0" w:line="240" w:lineRule="auto"/>
              <w:jc w:val="right"/>
              <w:rPr>
                <w:rFonts w:ascii="Arial" w:eastAsia="Times New Roman" w:hAnsi="Arial" w:cs="Arial"/>
                <w:color w:val="000000"/>
                <w:sz w:val="18"/>
                <w:szCs w:val="18"/>
                <w:lang w:eastAsia="en-GB"/>
              </w:rPr>
            </w:pPr>
            <w:r w:rsidRPr="008204CC">
              <w:rPr>
                <w:rFonts w:ascii="Arial" w:eastAsia="Times New Roman" w:hAnsi="Arial" w:cs="Arial"/>
                <w:color w:val="000000"/>
                <w:sz w:val="18"/>
                <w:szCs w:val="18"/>
                <w:lang w:eastAsia="en-GB"/>
              </w:rPr>
              <w:t>94.802287</w:t>
            </w:r>
          </w:p>
        </w:tc>
        <w:tc>
          <w:tcPr>
            <w:tcW w:w="1701" w:type="dxa"/>
            <w:tcBorders>
              <w:top w:val="nil"/>
              <w:left w:val="nil"/>
              <w:bottom w:val="single" w:sz="4" w:space="0" w:color="auto"/>
              <w:right w:val="single" w:sz="4" w:space="0" w:color="auto"/>
            </w:tcBorders>
            <w:shd w:val="clear" w:color="auto" w:fill="auto"/>
            <w:noWrap/>
            <w:vAlign w:val="bottom"/>
            <w:hideMark/>
          </w:tcPr>
          <w:p w14:paraId="74D72B94" w14:textId="77777777" w:rsidR="00620422" w:rsidRPr="008204CC" w:rsidRDefault="00620422" w:rsidP="0066301C">
            <w:pPr>
              <w:spacing w:after="0" w:line="240" w:lineRule="auto"/>
              <w:jc w:val="right"/>
              <w:rPr>
                <w:rFonts w:ascii="Arial" w:eastAsia="Times New Roman" w:hAnsi="Arial" w:cs="Arial"/>
                <w:color w:val="000000"/>
                <w:sz w:val="18"/>
                <w:szCs w:val="18"/>
                <w:lang w:eastAsia="en-GB"/>
              </w:rPr>
            </w:pPr>
            <w:r w:rsidRPr="008204CC">
              <w:rPr>
                <w:rFonts w:ascii="Arial" w:eastAsia="Times New Roman" w:hAnsi="Arial" w:cs="Arial"/>
                <w:color w:val="000000"/>
                <w:sz w:val="18"/>
                <w:szCs w:val="18"/>
                <w:lang w:eastAsia="en-GB"/>
              </w:rPr>
              <w:t>98.643622</w:t>
            </w:r>
          </w:p>
        </w:tc>
        <w:tc>
          <w:tcPr>
            <w:tcW w:w="1984" w:type="dxa"/>
            <w:tcBorders>
              <w:top w:val="nil"/>
              <w:left w:val="nil"/>
              <w:bottom w:val="single" w:sz="4" w:space="0" w:color="auto"/>
              <w:right w:val="single" w:sz="4" w:space="0" w:color="auto"/>
            </w:tcBorders>
            <w:shd w:val="clear" w:color="auto" w:fill="auto"/>
            <w:noWrap/>
            <w:vAlign w:val="bottom"/>
            <w:hideMark/>
          </w:tcPr>
          <w:p w14:paraId="7DAFCCE4" w14:textId="77777777" w:rsidR="00620422" w:rsidRPr="008204CC" w:rsidRDefault="00620422" w:rsidP="0066301C">
            <w:pPr>
              <w:spacing w:after="0" w:line="240" w:lineRule="auto"/>
              <w:jc w:val="right"/>
              <w:rPr>
                <w:rFonts w:ascii="Arial" w:eastAsia="Times New Roman" w:hAnsi="Arial" w:cs="Arial"/>
                <w:color w:val="000000"/>
                <w:sz w:val="18"/>
                <w:szCs w:val="18"/>
                <w:lang w:eastAsia="en-GB"/>
              </w:rPr>
            </w:pPr>
            <w:r w:rsidRPr="008204CC">
              <w:rPr>
                <w:rFonts w:ascii="Arial" w:eastAsia="Times New Roman" w:hAnsi="Arial" w:cs="Arial"/>
                <w:color w:val="000000"/>
                <w:sz w:val="18"/>
                <w:szCs w:val="18"/>
                <w:lang w:eastAsia="en-GB"/>
              </w:rPr>
              <w:t>-3.8413347</w:t>
            </w:r>
          </w:p>
        </w:tc>
        <w:tc>
          <w:tcPr>
            <w:tcW w:w="709" w:type="dxa"/>
            <w:vMerge/>
            <w:tcBorders>
              <w:left w:val="nil"/>
              <w:right w:val="single" w:sz="4" w:space="0" w:color="auto"/>
            </w:tcBorders>
          </w:tcPr>
          <w:p w14:paraId="5C54380B" w14:textId="77777777" w:rsidR="00620422" w:rsidRPr="008204CC" w:rsidRDefault="00620422" w:rsidP="0066301C">
            <w:pPr>
              <w:spacing w:after="0" w:line="240" w:lineRule="auto"/>
              <w:jc w:val="right"/>
              <w:rPr>
                <w:rFonts w:ascii="Arial" w:eastAsia="Times New Roman" w:hAnsi="Arial" w:cs="Arial"/>
                <w:color w:val="000000"/>
                <w:sz w:val="18"/>
                <w:szCs w:val="18"/>
                <w:lang w:eastAsia="en-GB"/>
              </w:rPr>
            </w:pPr>
          </w:p>
        </w:tc>
        <w:tc>
          <w:tcPr>
            <w:tcW w:w="999" w:type="dxa"/>
            <w:gridSpan w:val="2"/>
            <w:tcBorders>
              <w:top w:val="nil"/>
              <w:left w:val="single" w:sz="4" w:space="0" w:color="auto"/>
              <w:bottom w:val="single" w:sz="4" w:space="0" w:color="auto"/>
              <w:right w:val="single" w:sz="4" w:space="0" w:color="auto"/>
            </w:tcBorders>
            <w:shd w:val="clear" w:color="auto" w:fill="auto"/>
            <w:vAlign w:val="bottom"/>
          </w:tcPr>
          <w:p w14:paraId="25F6E985" w14:textId="77777777" w:rsidR="00620422" w:rsidRPr="008204CC" w:rsidRDefault="00620422" w:rsidP="0066301C">
            <w:pPr>
              <w:spacing w:after="0" w:line="240" w:lineRule="auto"/>
              <w:jc w:val="right"/>
              <w:rPr>
                <w:rFonts w:ascii="Arial" w:eastAsia="Times New Roman" w:hAnsi="Arial" w:cs="Arial"/>
                <w:color w:val="000000"/>
                <w:sz w:val="18"/>
                <w:szCs w:val="18"/>
                <w:lang w:eastAsia="en-GB"/>
              </w:rPr>
            </w:pPr>
            <w:r w:rsidRPr="008204CC">
              <w:rPr>
                <w:rFonts w:ascii="Arial" w:eastAsia="Times New Roman" w:hAnsi="Arial" w:cs="Arial"/>
                <w:color w:val="000000"/>
                <w:sz w:val="18"/>
                <w:szCs w:val="18"/>
                <w:lang w:eastAsia="en-GB"/>
              </w:rPr>
              <w:t>2017</w:t>
            </w:r>
          </w:p>
        </w:tc>
        <w:tc>
          <w:tcPr>
            <w:tcW w:w="1415" w:type="dxa"/>
            <w:gridSpan w:val="2"/>
            <w:tcBorders>
              <w:top w:val="nil"/>
              <w:left w:val="nil"/>
              <w:bottom w:val="single" w:sz="4" w:space="0" w:color="auto"/>
              <w:right w:val="single" w:sz="4" w:space="0" w:color="auto"/>
            </w:tcBorders>
            <w:shd w:val="clear" w:color="auto" w:fill="auto"/>
            <w:vAlign w:val="bottom"/>
          </w:tcPr>
          <w:p w14:paraId="0C695FE6" w14:textId="77777777" w:rsidR="00620422" w:rsidRPr="008204CC" w:rsidRDefault="00620422" w:rsidP="0066301C">
            <w:pPr>
              <w:spacing w:after="0" w:line="240" w:lineRule="auto"/>
              <w:jc w:val="right"/>
              <w:rPr>
                <w:rFonts w:ascii="Arial" w:eastAsia="Times New Roman" w:hAnsi="Arial" w:cs="Arial"/>
                <w:color w:val="000000"/>
                <w:sz w:val="18"/>
                <w:szCs w:val="18"/>
                <w:lang w:eastAsia="en-GB"/>
              </w:rPr>
            </w:pPr>
            <w:r w:rsidRPr="008204CC">
              <w:rPr>
                <w:rFonts w:ascii="Arial" w:eastAsia="Times New Roman" w:hAnsi="Arial" w:cs="Arial"/>
                <w:color w:val="000000"/>
                <w:sz w:val="18"/>
                <w:szCs w:val="18"/>
                <w:lang w:eastAsia="en-GB"/>
              </w:rPr>
              <w:t>102.2858</w:t>
            </w:r>
          </w:p>
        </w:tc>
        <w:tc>
          <w:tcPr>
            <w:tcW w:w="1559" w:type="dxa"/>
            <w:gridSpan w:val="2"/>
            <w:tcBorders>
              <w:top w:val="nil"/>
              <w:left w:val="nil"/>
              <w:bottom w:val="single" w:sz="4" w:space="0" w:color="auto"/>
              <w:right w:val="single" w:sz="4" w:space="0" w:color="auto"/>
            </w:tcBorders>
            <w:shd w:val="clear" w:color="auto" w:fill="auto"/>
            <w:vAlign w:val="bottom"/>
          </w:tcPr>
          <w:p w14:paraId="4190A018" w14:textId="77777777" w:rsidR="00620422" w:rsidRPr="008204CC" w:rsidRDefault="00620422" w:rsidP="0066301C">
            <w:pPr>
              <w:spacing w:after="0" w:line="240" w:lineRule="auto"/>
              <w:jc w:val="right"/>
              <w:rPr>
                <w:rFonts w:ascii="Arial" w:eastAsia="Times New Roman" w:hAnsi="Arial" w:cs="Arial"/>
                <w:sz w:val="18"/>
                <w:szCs w:val="18"/>
                <w:lang w:eastAsia="en-GB"/>
              </w:rPr>
            </w:pPr>
            <w:r w:rsidRPr="008204CC">
              <w:rPr>
                <w:rFonts w:ascii="Arial" w:eastAsia="Times New Roman" w:hAnsi="Arial" w:cs="Arial"/>
                <w:sz w:val="18"/>
                <w:szCs w:val="18"/>
                <w:lang w:eastAsia="en-GB"/>
              </w:rPr>
              <w:t>104.3408478</w:t>
            </w:r>
          </w:p>
        </w:tc>
        <w:tc>
          <w:tcPr>
            <w:tcW w:w="2122" w:type="dxa"/>
            <w:gridSpan w:val="2"/>
            <w:tcBorders>
              <w:top w:val="nil"/>
              <w:left w:val="nil"/>
              <w:bottom w:val="single" w:sz="4" w:space="0" w:color="auto"/>
              <w:right w:val="single" w:sz="4" w:space="0" w:color="auto"/>
            </w:tcBorders>
            <w:shd w:val="clear" w:color="auto" w:fill="auto"/>
            <w:vAlign w:val="bottom"/>
          </w:tcPr>
          <w:p w14:paraId="645A92A1" w14:textId="77777777" w:rsidR="00620422" w:rsidRPr="008204CC" w:rsidRDefault="00620422" w:rsidP="0066301C">
            <w:pPr>
              <w:spacing w:after="0" w:line="240" w:lineRule="auto"/>
              <w:jc w:val="right"/>
              <w:rPr>
                <w:rFonts w:ascii="Arial" w:eastAsia="Times New Roman" w:hAnsi="Arial" w:cs="Arial"/>
                <w:color w:val="000000"/>
                <w:sz w:val="18"/>
                <w:szCs w:val="18"/>
                <w:lang w:eastAsia="en-GB"/>
              </w:rPr>
            </w:pPr>
            <w:r w:rsidRPr="008204CC">
              <w:rPr>
                <w:rFonts w:ascii="Arial" w:eastAsia="Times New Roman" w:hAnsi="Arial" w:cs="Arial"/>
                <w:color w:val="000000"/>
                <w:sz w:val="18"/>
                <w:szCs w:val="18"/>
                <w:lang w:eastAsia="en-GB"/>
              </w:rPr>
              <w:t>-2.055090339</w:t>
            </w:r>
          </w:p>
        </w:tc>
      </w:tr>
      <w:tr w:rsidR="008A6AC3" w:rsidRPr="008204CC" w14:paraId="4AFD8EE7" w14:textId="77777777" w:rsidTr="00D46B41">
        <w:trPr>
          <w:trHeight w:val="300"/>
        </w:trPr>
        <w:tc>
          <w:tcPr>
            <w:tcW w:w="1135" w:type="dxa"/>
            <w:tcBorders>
              <w:top w:val="nil"/>
              <w:left w:val="single" w:sz="4" w:space="0" w:color="auto"/>
              <w:bottom w:val="single" w:sz="4" w:space="0" w:color="auto"/>
              <w:right w:val="single" w:sz="4" w:space="0" w:color="auto"/>
            </w:tcBorders>
            <w:shd w:val="clear" w:color="auto" w:fill="auto"/>
            <w:noWrap/>
            <w:vAlign w:val="bottom"/>
            <w:hideMark/>
          </w:tcPr>
          <w:p w14:paraId="111C9C0C" w14:textId="77777777" w:rsidR="00620422" w:rsidRPr="008204CC" w:rsidRDefault="00620422" w:rsidP="0066301C">
            <w:pPr>
              <w:spacing w:after="0" w:line="240" w:lineRule="auto"/>
              <w:jc w:val="right"/>
              <w:rPr>
                <w:rFonts w:ascii="Arial" w:eastAsia="Times New Roman" w:hAnsi="Arial" w:cs="Arial"/>
                <w:color w:val="000000"/>
                <w:sz w:val="18"/>
                <w:szCs w:val="18"/>
                <w:lang w:eastAsia="en-GB"/>
              </w:rPr>
            </w:pPr>
            <w:r w:rsidRPr="008204CC">
              <w:rPr>
                <w:rFonts w:ascii="Arial" w:eastAsia="Times New Roman" w:hAnsi="Arial" w:cs="Arial"/>
                <w:color w:val="000000"/>
                <w:sz w:val="18"/>
                <w:szCs w:val="18"/>
                <w:lang w:eastAsia="en-GB"/>
              </w:rPr>
              <w:t>2013</w:t>
            </w:r>
          </w:p>
        </w:tc>
        <w:tc>
          <w:tcPr>
            <w:tcW w:w="1701" w:type="dxa"/>
            <w:tcBorders>
              <w:top w:val="nil"/>
              <w:left w:val="nil"/>
              <w:bottom w:val="single" w:sz="4" w:space="0" w:color="auto"/>
              <w:right w:val="single" w:sz="4" w:space="0" w:color="auto"/>
            </w:tcBorders>
            <w:shd w:val="clear" w:color="auto" w:fill="auto"/>
            <w:noWrap/>
            <w:vAlign w:val="bottom"/>
            <w:hideMark/>
          </w:tcPr>
          <w:p w14:paraId="119B209A" w14:textId="77777777" w:rsidR="00620422" w:rsidRPr="008204CC" w:rsidRDefault="00620422" w:rsidP="0066301C">
            <w:pPr>
              <w:spacing w:after="0" w:line="240" w:lineRule="auto"/>
              <w:jc w:val="right"/>
              <w:rPr>
                <w:rFonts w:ascii="Arial" w:eastAsia="Times New Roman" w:hAnsi="Arial" w:cs="Arial"/>
                <w:color w:val="000000"/>
                <w:sz w:val="18"/>
                <w:szCs w:val="18"/>
                <w:lang w:eastAsia="en-GB"/>
              </w:rPr>
            </w:pPr>
            <w:r w:rsidRPr="008204CC">
              <w:rPr>
                <w:rFonts w:ascii="Arial" w:eastAsia="Times New Roman" w:hAnsi="Arial" w:cs="Arial"/>
                <w:color w:val="000000"/>
                <w:sz w:val="18"/>
                <w:szCs w:val="18"/>
                <w:lang w:eastAsia="en-GB"/>
              </w:rPr>
              <w:t>96.114269</w:t>
            </w:r>
          </w:p>
        </w:tc>
        <w:tc>
          <w:tcPr>
            <w:tcW w:w="1701" w:type="dxa"/>
            <w:tcBorders>
              <w:top w:val="nil"/>
              <w:left w:val="nil"/>
              <w:bottom w:val="single" w:sz="4" w:space="0" w:color="auto"/>
              <w:right w:val="single" w:sz="4" w:space="0" w:color="auto"/>
            </w:tcBorders>
            <w:shd w:val="clear" w:color="auto" w:fill="auto"/>
            <w:noWrap/>
            <w:vAlign w:val="bottom"/>
            <w:hideMark/>
          </w:tcPr>
          <w:p w14:paraId="073E6CD2" w14:textId="77777777" w:rsidR="00620422" w:rsidRPr="008204CC" w:rsidRDefault="00620422" w:rsidP="0066301C">
            <w:pPr>
              <w:spacing w:after="0" w:line="240" w:lineRule="auto"/>
              <w:jc w:val="right"/>
              <w:rPr>
                <w:rFonts w:ascii="Arial" w:eastAsia="Times New Roman" w:hAnsi="Arial" w:cs="Arial"/>
                <w:color w:val="000000"/>
                <w:sz w:val="18"/>
                <w:szCs w:val="18"/>
                <w:lang w:eastAsia="en-GB"/>
              </w:rPr>
            </w:pPr>
            <w:r w:rsidRPr="008204CC">
              <w:rPr>
                <w:rFonts w:ascii="Arial" w:eastAsia="Times New Roman" w:hAnsi="Arial" w:cs="Arial"/>
                <w:color w:val="000000"/>
                <w:sz w:val="18"/>
                <w:szCs w:val="18"/>
                <w:lang w:eastAsia="en-GB"/>
              </w:rPr>
              <w:t>98.415957</w:t>
            </w:r>
          </w:p>
        </w:tc>
        <w:tc>
          <w:tcPr>
            <w:tcW w:w="1984" w:type="dxa"/>
            <w:tcBorders>
              <w:top w:val="nil"/>
              <w:left w:val="nil"/>
              <w:bottom w:val="single" w:sz="4" w:space="0" w:color="auto"/>
              <w:right w:val="single" w:sz="4" w:space="0" w:color="auto"/>
            </w:tcBorders>
            <w:shd w:val="clear" w:color="auto" w:fill="auto"/>
            <w:noWrap/>
            <w:vAlign w:val="bottom"/>
            <w:hideMark/>
          </w:tcPr>
          <w:p w14:paraId="00E16299" w14:textId="77777777" w:rsidR="00620422" w:rsidRPr="008204CC" w:rsidRDefault="00620422" w:rsidP="0066301C">
            <w:pPr>
              <w:spacing w:after="0" w:line="240" w:lineRule="auto"/>
              <w:jc w:val="right"/>
              <w:rPr>
                <w:rFonts w:ascii="Arial" w:eastAsia="Times New Roman" w:hAnsi="Arial" w:cs="Arial"/>
                <w:color w:val="000000"/>
                <w:sz w:val="18"/>
                <w:szCs w:val="18"/>
                <w:lang w:eastAsia="en-GB"/>
              </w:rPr>
            </w:pPr>
            <w:r w:rsidRPr="008204CC">
              <w:rPr>
                <w:rFonts w:ascii="Arial" w:eastAsia="Times New Roman" w:hAnsi="Arial" w:cs="Arial"/>
                <w:color w:val="000000"/>
                <w:sz w:val="18"/>
                <w:szCs w:val="18"/>
                <w:lang w:eastAsia="en-GB"/>
              </w:rPr>
              <w:t>-2.301688</w:t>
            </w:r>
          </w:p>
        </w:tc>
        <w:tc>
          <w:tcPr>
            <w:tcW w:w="709" w:type="dxa"/>
            <w:vMerge/>
            <w:tcBorders>
              <w:left w:val="nil"/>
              <w:right w:val="single" w:sz="4" w:space="0" w:color="auto"/>
            </w:tcBorders>
          </w:tcPr>
          <w:p w14:paraId="619044CC" w14:textId="77777777" w:rsidR="00620422" w:rsidRPr="008204CC" w:rsidRDefault="00620422" w:rsidP="0066301C">
            <w:pPr>
              <w:spacing w:after="0" w:line="240" w:lineRule="auto"/>
              <w:jc w:val="right"/>
              <w:rPr>
                <w:rFonts w:ascii="Arial" w:eastAsia="Times New Roman" w:hAnsi="Arial" w:cs="Arial"/>
                <w:color w:val="000000"/>
                <w:sz w:val="18"/>
                <w:szCs w:val="18"/>
                <w:lang w:eastAsia="en-GB"/>
              </w:rPr>
            </w:pPr>
          </w:p>
        </w:tc>
        <w:tc>
          <w:tcPr>
            <w:tcW w:w="999" w:type="dxa"/>
            <w:gridSpan w:val="2"/>
            <w:tcBorders>
              <w:top w:val="nil"/>
              <w:left w:val="single" w:sz="4" w:space="0" w:color="auto"/>
              <w:bottom w:val="single" w:sz="4" w:space="0" w:color="auto"/>
              <w:right w:val="single" w:sz="4" w:space="0" w:color="auto"/>
            </w:tcBorders>
            <w:shd w:val="clear" w:color="auto" w:fill="auto"/>
            <w:vAlign w:val="bottom"/>
          </w:tcPr>
          <w:p w14:paraId="76AC2F4F" w14:textId="77777777" w:rsidR="00620422" w:rsidRPr="008204CC" w:rsidRDefault="00620422" w:rsidP="0066301C">
            <w:pPr>
              <w:spacing w:after="0" w:line="240" w:lineRule="auto"/>
              <w:jc w:val="right"/>
              <w:rPr>
                <w:rFonts w:ascii="Arial" w:eastAsia="Times New Roman" w:hAnsi="Arial" w:cs="Arial"/>
                <w:color w:val="000000"/>
                <w:sz w:val="18"/>
                <w:szCs w:val="18"/>
                <w:lang w:eastAsia="en-GB"/>
              </w:rPr>
            </w:pPr>
            <w:r w:rsidRPr="008204CC">
              <w:rPr>
                <w:rFonts w:ascii="Arial" w:eastAsia="Times New Roman" w:hAnsi="Arial" w:cs="Arial"/>
                <w:color w:val="000000"/>
                <w:sz w:val="18"/>
                <w:szCs w:val="18"/>
                <w:lang w:eastAsia="en-GB"/>
              </w:rPr>
              <w:t>2018</w:t>
            </w:r>
          </w:p>
        </w:tc>
        <w:tc>
          <w:tcPr>
            <w:tcW w:w="1415" w:type="dxa"/>
            <w:gridSpan w:val="2"/>
            <w:tcBorders>
              <w:top w:val="nil"/>
              <w:left w:val="nil"/>
              <w:bottom w:val="single" w:sz="4" w:space="0" w:color="auto"/>
              <w:right w:val="single" w:sz="4" w:space="0" w:color="auto"/>
            </w:tcBorders>
            <w:shd w:val="clear" w:color="auto" w:fill="auto"/>
            <w:vAlign w:val="bottom"/>
          </w:tcPr>
          <w:p w14:paraId="469FCFE7" w14:textId="77777777" w:rsidR="00620422" w:rsidRPr="008204CC" w:rsidRDefault="00620422" w:rsidP="0066301C">
            <w:pPr>
              <w:spacing w:after="0" w:line="240" w:lineRule="auto"/>
              <w:jc w:val="right"/>
              <w:rPr>
                <w:rFonts w:ascii="Arial" w:eastAsia="Times New Roman" w:hAnsi="Arial" w:cs="Arial"/>
                <w:color w:val="000000"/>
                <w:sz w:val="18"/>
                <w:szCs w:val="18"/>
                <w:lang w:eastAsia="en-GB"/>
              </w:rPr>
            </w:pPr>
            <w:r w:rsidRPr="008204CC">
              <w:rPr>
                <w:rFonts w:ascii="Arial" w:eastAsia="Times New Roman" w:hAnsi="Arial" w:cs="Arial"/>
                <w:color w:val="000000"/>
                <w:sz w:val="18"/>
                <w:szCs w:val="18"/>
                <w:lang w:eastAsia="en-GB"/>
              </w:rPr>
              <w:t>104.084</w:t>
            </w:r>
          </w:p>
        </w:tc>
        <w:tc>
          <w:tcPr>
            <w:tcW w:w="1559" w:type="dxa"/>
            <w:gridSpan w:val="2"/>
            <w:tcBorders>
              <w:top w:val="nil"/>
              <w:left w:val="nil"/>
              <w:bottom w:val="single" w:sz="4" w:space="0" w:color="auto"/>
              <w:right w:val="single" w:sz="4" w:space="0" w:color="auto"/>
            </w:tcBorders>
            <w:shd w:val="clear" w:color="auto" w:fill="auto"/>
            <w:vAlign w:val="bottom"/>
          </w:tcPr>
          <w:p w14:paraId="7BF7A176" w14:textId="77777777" w:rsidR="00620422" w:rsidRPr="008204CC" w:rsidRDefault="00620422" w:rsidP="0066301C">
            <w:pPr>
              <w:spacing w:after="0" w:line="240" w:lineRule="auto"/>
              <w:jc w:val="right"/>
              <w:rPr>
                <w:rFonts w:ascii="Arial" w:eastAsia="Times New Roman" w:hAnsi="Arial" w:cs="Arial"/>
                <w:sz w:val="18"/>
                <w:szCs w:val="18"/>
                <w:lang w:eastAsia="en-GB"/>
              </w:rPr>
            </w:pPr>
            <w:r w:rsidRPr="008204CC">
              <w:rPr>
                <w:rFonts w:ascii="Arial" w:eastAsia="Times New Roman" w:hAnsi="Arial" w:cs="Arial"/>
                <w:sz w:val="18"/>
                <w:szCs w:val="18"/>
                <w:lang w:eastAsia="en-GB"/>
              </w:rPr>
              <w:t>104.7812496</w:t>
            </w:r>
          </w:p>
        </w:tc>
        <w:tc>
          <w:tcPr>
            <w:tcW w:w="2122" w:type="dxa"/>
            <w:gridSpan w:val="2"/>
            <w:tcBorders>
              <w:top w:val="nil"/>
              <w:left w:val="nil"/>
              <w:bottom w:val="single" w:sz="4" w:space="0" w:color="auto"/>
              <w:right w:val="single" w:sz="4" w:space="0" w:color="auto"/>
            </w:tcBorders>
            <w:shd w:val="clear" w:color="auto" w:fill="auto"/>
            <w:vAlign w:val="bottom"/>
          </w:tcPr>
          <w:p w14:paraId="65FA362F" w14:textId="77777777" w:rsidR="00620422" w:rsidRPr="008204CC" w:rsidRDefault="00620422" w:rsidP="0066301C">
            <w:pPr>
              <w:spacing w:after="0" w:line="240" w:lineRule="auto"/>
              <w:jc w:val="right"/>
              <w:rPr>
                <w:rFonts w:ascii="Arial" w:eastAsia="Times New Roman" w:hAnsi="Arial" w:cs="Arial"/>
                <w:color w:val="000000"/>
                <w:sz w:val="18"/>
                <w:szCs w:val="18"/>
                <w:lang w:eastAsia="en-GB"/>
              </w:rPr>
            </w:pPr>
            <w:r w:rsidRPr="008204CC">
              <w:rPr>
                <w:rFonts w:ascii="Arial" w:eastAsia="Times New Roman" w:hAnsi="Arial" w:cs="Arial"/>
                <w:color w:val="000000"/>
                <w:sz w:val="18"/>
                <w:szCs w:val="18"/>
                <w:lang w:eastAsia="en-GB"/>
              </w:rPr>
              <w:t>-0.697271594</w:t>
            </w:r>
          </w:p>
        </w:tc>
      </w:tr>
      <w:tr w:rsidR="004507C6" w:rsidRPr="008204CC" w14:paraId="64C95A03" w14:textId="77777777" w:rsidTr="00D46B41">
        <w:trPr>
          <w:gridAfter w:val="8"/>
          <w:wAfter w:w="6095" w:type="dxa"/>
          <w:trHeight w:val="300"/>
        </w:trPr>
        <w:tc>
          <w:tcPr>
            <w:tcW w:w="1135" w:type="dxa"/>
            <w:tcBorders>
              <w:top w:val="nil"/>
              <w:left w:val="single" w:sz="4" w:space="0" w:color="auto"/>
              <w:bottom w:val="single" w:sz="4" w:space="0" w:color="auto"/>
              <w:right w:val="single" w:sz="4" w:space="0" w:color="auto"/>
            </w:tcBorders>
            <w:shd w:val="clear" w:color="auto" w:fill="auto"/>
            <w:noWrap/>
            <w:vAlign w:val="bottom"/>
            <w:hideMark/>
          </w:tcPr>
          <w:p w14:paraId="7C6007FC" w14:textId="77777777" w:rsidR="00620422" w:rsidRPr="008204CC" w:rsidRDefault="00620422" w:rsidP="0066301C">
            <w:pPr>
              <w:spacing w:after="0" w:line="240" w:lineRule="auto"/>
              <w:jc w:val="right"/>
              <w:rPr>
                <w:rFonts w:ascii="Arial" w:eastAsia="Times New Roman" w:hAnsi="Arial" w:cs="Arial"/>
                <w:color w:val="000000"/>
                <w:sz w:val="18"/>
                <w:szCs w:val="18"/>
                <w:lang w:eastAsia="en-GB"/>
              </w:rPr>
            </w:pPr>
            <w:r w:rsidRPr="008204CC">
              <w:rPr>
                <w:rFonts w:ascii="Arial" w:eastAsia="Times New Roman" w:hAnsi="Arial" w:cs="Arial"/>
                <w:color w:val="000000"/>
                <w:sz w:val="18"/>
                <w:szCs w:val="18"/>
                <w:lang w:eastAsia="en-GB"/>
              </w:rPr>
              <w:t>2014</w:t>
            </w:r>
          </w:p>
        </w:tc>
        <w:tc>
          <w:tcPr>
            <w:tcW w:w="1701" w:type="dxa"/>
            <w:tcBorders>
              <w:top w:val="nil"/>
              <w:left w:val="nil"/>
              <w:bottom w:val="single" w:sz="4" w:space="0" w:color="auto"/>
              <w:right w:val="single" w:sz="4" w:space="0" w:color="auto"/>
            </w:tcBorders>
            <w:shd w:val="clear" w:color="auto" w:fill="auto"/>
            <w:noWrap/>
            <w:vAlign w:val="bottom"/>
            <w:hideMark/>
          </w:tcPr>
          <w:p w14:paraId="0B1F471C" w14:textId="77777777" w:rsidR="00620422" w:rsidRPr="008204CC" w:rsidRDefault="00620422" w:rsidP="0066301C">
            <w:pPr>
              <w:spacing w:after="0" w:line="240" w:lineRule="auto"/>
              <w:jc w:val="right"/>
              <w:rPr>
                <w:rFonts w:ascii="Arial" w:eastAsia="Times New Roman" w:hAnsi="Arial" w:cs="Arial"/>
                <w:color w:val="000000"/>
                <w:sz w:val="18"/>
                <w:szCs w:val="18"/>
                <w:lang w:eastAsia="en-GB"/>
              </w:rPr>
            </w:pPr>
            <w:r w:rsidRPr="008204CC">
              <w:rPr>
                <w:rFonts w:ascii="Arial" w:eastAsia="Times New Roman" w:hAnsi="Arial" w:cs="Arial"/>
                <w:color w:val="000000"/>
                <w:sz w:val="18"/>
                <w:szCs w:val="18"/>
                <w:lang w:eastAsia="en-GB"/>
              </w:rPr>
              <w:t>100.31164</w:t>
            </w:r>
          </w:p>
        </w:tc>
        <w:tc>
          <w:tcPr>
            <w:tcW w:w="1701" w:type="dxa"/>
            <w:tcBorders>
              <w:top w:val="nil"/>
              <w:left w:val="nil"/>
              <w:bottom w:val="single" w:sz="4" w:space="0" w:color="auto"/>
              <w:right w:val="single" w:sz="4" w:space="0" w:color="auto"/>
            </w:tcBorders>
            <w:shd w:val="clear" w:color="auto" w:fill="auto"/>
            <w:noWrap/>
            <w:vAlign w:val="bottom"/>
            <w:hideMark/>
          </w:tcPr>
          <w:p w14:paraId="49F7BAB0" w14:textId="77777777" w:rsidR="00620422" w:rsidRPr="008204CC" w:rsidRDefault="00620422" w:rsidP="0066301C">
            <w:pPr>
              <w:spacing w:after="0" w:line="240" w:lineRule="auto"/>
              <w:jc w:val="right"/>
              <w:rPr>
                <w:rFonts w:ascii="Arial" w:eastAsia="Times New Roman" w:hAnsi="Arial" w:cs="Arial"/>
                <w:color w:val="000000"/>
                <w:sz w:val="18"/>
                <w:szCs w:val="18"/>
                <w:lang w:eastAsia="en-GB"/>
              </w:rPr>
            </w:pPr>
            <w:r w:rsidRPr="008204CC">
              <w:rPr>
                <w:rFonts w:ascii="Arial" w:eastAsia="Times New Roman" w:hAnsi="Arial" w:cs="Arial"/>
                <w:color w:val="000000"/>
                <w:sz w:val="18"/>
                <w:szCs w:val="18"/>
                <w:lang w:eastAsia="en-GB"/>
              </w:rPr>
              <w:t>98.251014</w:t>
            </w:r>
          </w:p>
        </w:tc>
        <w:tc>
          <w:tcPr>
            <w:tcW w:w="1984" w:type="dxa"/>
            <w:tcBorders>
              <w:top w:val="nil"/>
              <w:left w:val="nil"/>
              <w:bottom w:val="single" w:sz="4" w:space="0" w:color="auto"/>
              <w:right w:val="single" w:sz="4" w:space="0" w:color="auto"/>
            </w:tcBorders>
            <w:shd w:val="clear" w:color="auto" w:fill="auto"/>
            <w:noWrap/>
            <w:vAlign w:val="bottom"/>
            <w:hideMark/>
          </w:tcPr>
          <w:p w14:paraId="3FC1D0A6" w14:textId="77777777" w:rsidR="00620422" w:rsidRPr="008204CC" w:rsidRDefault="00620422" w:rsidP="0066301C">
            <w:pPr>
              <w:spacing w:after="0" w:line="240" w:lineRule="auto"/>
              <w:jc w:val="right"/>
              <w:rPr>
                <w:rFonts w:ascii="Arial" w:eastAsia="Times New Roman" w:hAnsi="Arial" w:cs="Arial"/>
                <w:color w:val="000000"/>
                <w:sz w:val="18"/>
                <w:szCs w:val="18"/>
                <w:lang w:eastAsia="en-GB"/>
              </w:rPr>
            </w:pPr>
            <w:r w:rsidRPr="008204CC">
              <w:rPr>
                <w:rFonts w:ascii="Arial" w:eastAsia="Times New Roman" w:hAnsi="Arial" w:cs="Arial"/>
                <w:color w:val="000000"/>
                <w:sz w:val="18"/>
                <w:szCs w:val="18"/>
                <w:lang w:eastAsia="en-GB"/>
              </w:rPr>
              <w:t>2.0606227</w:t>
            </w:r>
          </w:p>
        </w:tc>
        <w:tc>
          <w:tcPr>
            <w:tcW w:w="709" w:type="dxa"/>
            <w:vMerge/>
            <w:tcBorders>
              <w:left w:val="nil"/>
              <w:right w:val="single" w:sz="4" w:space="0" w:color="auto"/>
            </w:tcBorders>
          </w:tcPr>
          <w:p w14:paraId="096E3A90" w14:textId="77777777" w:rsidR="00620422" w:rsidRPr="008204CC" w:rsidRDefault="00620422" w:rsidP="0066301C">
            <w:pPr>
              <w:spacing w:after="0" w:line="240" w:lineRule="auto"/>
              <w:jc w:val="right"/>
              <w:rPr>
                <w:rFonts w:ascii="Arial" w:eastAsia="Times New Roman" w:hAnsi="Arial" w:cs="Arial"/>
                <w:color w:val="000000"/>
                <w:sz w:val="18"/>
                <w:szCs w:val="18"/>
                <w:lang w:eastAsia="en-GB"/>
              </w:rPr>
            </w:pPr>
          </w:p>
        </w:tc>
      </w:tr>
      <w:tr w:rsidR="004507C6" w:rsidRPr="008204CC" w14:paraId="2BA12D70" w14:textId="77777777" w:rsidTr="00D46B41">
        <w:trPr>
          <w:gridAfter w:val="8"/>
          <w:wAfter w:w="6095" w:type="dxa"/>
          <w:trHeight w:val="300"/>
        </w:trPr>
        <w:tc>
          <w:tcPr>
            <w:tcW w:w="1135" w:type="dxa"/>
            <w:tcBorders>
              <w:top w:val="nil"/>
              <w:left w:val="single" w:sz="4" w:space="0" w:color="auto"/>
              <w:bottom w:val="single" w:sz="4" w:space="0" w:color="auto"/>
              <w:right w:val="single" w:sz="4" w:space="0" w:color="auto"/>
            </w:tcBorders>
            <w:shd w:val="clear" w:color="auto" w:fill="auto"/>
            <w:noWrap/>
            <w:vAlign w:val="bottom"/>
            <w:hideMark/>
          </w:tcPr>
          <w:p w14:paraId="1B8F0BAB" w14:textId="77777777" w:rsidR="00620422" w:rsidRPr="008204CC" w:rsidRDefault="00620422" w:rsidP="0066301C">
            <w:pPr>
              <w:spacing w:after="0" w:line="240" w:lineRule="auto"/>
              <w:jc w:val="right"/>
              <w:rPr>
                <w:rFonts w:ascii="Arial" w:eastAsia="Times New Roman" w:hAnsi="Arial" w:cs="Arial"/>
                <w:color w:val="000000"/>
                <w:sz w:val="18"/>
                <w:szCs w:val="18"/>
                <w:lang w:eastAsia="en-GB"/>
              </w:rPr>
            </w:pPr>
            <w:r w:rsidRPr="008204CC">
              <w:rPr>
                <w:rFonts w:ascii="Arial" w:eastAsia="Times New Roman" w:hAnsi="Arial" w:cs="Arial"/>
                <w:color w:val="000000"/>
                <w:sz w:val="18"/>
                <w:szCs w:val="18"/>
                <w:lang w:eastAsia="en-GB"/>
              </w:rPr>
              <w:t>2015</w:t>
            </w:r>
          </w:p>
        </w:tc>
        <w:tc>
          <w:tcPr>
            <w:tcW w:w="1701" w:type="dxa"/>
            <w:tcBorders>
              <w:top w:val="nil"/>
              <w:left w:val="nil"/>
              <w:bottom w:val="single" w:sz="4" w:space="0" w:color="auto"/>
              <w:right w:val="single" w:sz="4" w:space="0" w:color="auto"/>
            </w:tcBorders>
            <w:shd w:val="clear" w:color="auto" w:fill="auto"/>
            <w:noWrap/>
            <w:vAlign w:val="bottom"/>
            <w:hideMark/>
          </w:tcPr>
          <w:p w14:paraId="59BF6C25" w14:textId="77777777" w:rsidR="00620422" w:rsidRPr="008204CC" w:rsidRDefault="00620422" w:rsidP="0066301C">
            <w:pPr>
              <w:spacing w:after="0" w:line="240" w:lineRule="auto"/>
              <w:jc w:val="right"/>
              <w:rPr>
                <w:rFonts w:ascii="Arial" w:eastAsia="Times New Roman" w:hAnsi="Arial" w:cs="Arial"/>
                <w:color w:val="000000"/>
                <w:sz w:val="18"/>
                <w:szCs w:val="18"/>
                <w:lang w:eastAsia="en-GB"/>
              </w:rPr>
            </w:pPr>
            <w:r w:rsidRPr="008204CC">
              <w:rPr>
                <w:rFonts w:ascii="Arial" w:eastAsia="Times New Roman" w:hAnsi="Arial" w:cs="Arial"/>
                <w:color w:val="000000"/>
                <w:sz w:val="18"/>
                <w:szCs w:val="18"/>
                <w:lang w:eastAsia="en-GB"/>
              </w:rPr>
              <w:t>93.620481</w:t>
            </w:r>
          </w:p>
        </w:tc>
        <w:tc>
          <w:tcPr>
            <w:tcW w:w="1701" w:type="dxa"/>
            <w:tcBorders>
              <w:top w:val="nil"/>
              <w:left w:val="nil"/>
              <w:bottom w:val="single" w:sz="4" w:space="0" w:color="auto"/>
              <w:right w:val="single" w:sz="4" w:space="0" w:color="auto"/>
            </w:tcBorders>
            <w:shd w:val="clear" w:color="auto" w:fill="auto"/>
            <w:noWrap/>
            <w:vAlign w:val="bottom"/>
            <w:hideMark/>
          </w:tcPr>
          <w:p w14:paraId="1FA4BD28" w14:textId="77777777" w:rsidR="00620422" w:rsidRPr="008204CC" w:rsidRDefault="00620422" w:rsidP="0066301C">
            <w:pPr>
              <w:spacing w:after="0" w:line="240" w:lineRule="auto"/>
              <w:jc w:val="right"/>
              <w:rPr>
                <w:rFonts w:ascii="Arial" w:eastAsia="Times New Roman" w:hAnsi="Arial" w:cs="Arial"/>
                <w:color w:val="000000"/>
                <w:sz w:val="18"/>
                <w:szCs w:val="18"/>
                <w:lang w:eastAsia="en-GB"/>
              </w:rPr>
            </w:pPr>
            <w:r w:rsidRPr="008204CC">
              <w:rPr>
                <w:rFonts w:ascii="Arial" w:eastAsia="Times New Roman" w:hAnsi="Arial" w:cs="Arial"/>
                <w:color w:val="000000"/>
                <w:sz w:val="18"/>
                <w:szCs w:val="18"/>
                <w:lang w:eastAsia="en-GB"/>
              </w:rPr>
              <w:t>98.157959</w:t>
            </w:r>
          </w:p>
        </w:tc>
        <w:tc>
          <w:tcPr>
            <w:tcW w:w="1984" w:type="dxa"/>
            <w:tcBorders>
              <w:top w:val="nil"/>
              <w:left w:val="nil"/>
              <w:bottom w:val="single" w:sz="4" w:space="0" w:color="auto"/>
              <w:right w:val="single" w:sz="4" w:space="0" w:color="auto"/>
            </w:tcBorders>
            <w:shd w:val="clear" w:color="auto" w:fill="auto"/>
            <w:noWrap/>
            <w:vAlign w:val="bottom"/>
            <w:hideMark/>
          </w:tcPr>
          <w:p w14:paraId="0DF968B9" w14:textId="77777777" w:rsidR="00620422" w:rsidRPr="008204CC" w:rsidRDefault="00620422" w:rsidP="0066301C">
            <w:pPr>
              <w:spacing w:after="0" w:line="240" w:lineRule="auto"/>
              <w:jc w:val="right"/>
              <w:rPr>
                <w:rFonts w:ascii="Arial" w:eastAsia="Times New Roman" w:hAnsi="Arial" w:cs="Arial"/>
                <w:color w:val="000000"/>
                <w:sz w:val="18"/>
                <w:szCs w:val="18"/>
                <w:lang w:eastAsia="en-GB"/>
              </w:rPr>
            </w:pPr>
            <w:r w:rsidRPr="008204CC">
              <w:rPr>
                <w:rFonts w:ascii="Arial" w:eastAsia="Times New Roman" w:hAnsi="Arial" w:cs="Arial"/>
                <w:color w:val="000000"/>
                <w:sz w:val="18"/>
                <w:szCs w:val="18"/>
                <w:lang w:eastAsia="en-GB"/>
              </w:rPr>
              <w:t>-4.5374774</w:t>
            </w:r>
          </w:p>
        </w:tc>
        <w:tc>
          <w:tcPr>
            <w:tcW w:w="709" w:type="dxa"/>
            <w:vMerge/>
            <w:tcBorders>
              <w:left w:val="nil"/>
              <w:right w:val="single" w:sz="4" w:space="0" w:color="auto"/>
            </w:tcBorders>
          </w:tcPr>
          <w:p w14:paraId="343335BC" w14:textId="77777777" w:rsidR="00620422" w:rsidRPr="008204CC" w:rsidRDefault="00620422" w:rsidP="0066301C">
            <w:pPr>
              <w:spacing w:after="0" w:line="240" w:lineRule="auto"/>
              <w:jc w:val="right"/>
              <w:rPr>
                <w:rFonts w:ascii="Arial" w:eastAsia="Times New Roman" w:hAnsi="Arial" w:cs="Arial"/>
                <w:color w:val="000000"/>
                <w:sz w:val="18"/>
                <w:szCs w:val="18"/>
                <w:lang w:eastAsia="en-GB"/>
              </w:rPr>
            </w:pPr>
          </w:p>
        </w:tc>
      </w:tr>
      <w:tr w:rsidR="004507C6" w:rsidRPr="008204CC" w14:paraId="68C0F5C2" w14:textId="77777777" w:rsidTr="00D46B41">
        <w:trPr>
          <w:gridAfter w:val="8"/>
          <w:wAfter w:w="6095" w:type="dxa"/>
          <w:trHeight w:val="300"/>
        </w:trPr>
        <w:tc>
          <w:tcPr>
            <w:tcW w:w="1135" w:type="dxa"/>
            <w:tcBorders>
              <w:top w:val="nil"/>
              <w:left w:val="single" w:sz="4" w:space="0" w:color="auto"/>
              <w:bottom w:val="single" w:sz="4" w:space="0" w:color="auto"/>
              <w:right w:val="single" w:sz="4" w:space="0" w:color="auto"/>
            </w:tcBorders>
            <w:shd w:val="clear" w:color="auto" w:fill="auto"/>
            <w:noWrap/>
            <w:vAlign w:val="bottom"/>
            <w:hideMark/>
          </w:tcPr>
          <w:p w14:paraId="6158E7BE" w14:textId="77777777" w:rsidR="00620422" w:rsidRPr="008204CC" w:rsidRDefault="00620422" w:rsidP="0066301C">
            <w:pPr>
              <w:spacing w:after="0" w:line="240" w:lineRule="auto"/>
              <w:jc w:val="right"/>
              <w:rPr>
                <w:rFonts w:ascii="Arial" w:eastAsia="Times New Roman" w:hAnsi="Arial" w:cs="Arial"/>
                <w:color w:val="000000"/>
                <w:sz w:val="18"/>
                <w:szCs w:val="18"/>
                <w:lang w:eastAsia="en-GB"/>
              </w:rPr>
            </w:pPr>
            <w:r w:rsidRPr="008204CC">
              <w:rPr>
                <w:rFonts w:ascii="Arial" w:eastAsia="Times New Roman" w:hAnsi="Arial" w:cs="Arial"/>
                <w:color w:val="000000"/>
                <w:sz w:val="18"/>
                <w:szCs w:val="18"/>
                <w:lang w:eastAsia="en-GB"/>
              </w:rPr>
              <w:t>2016</w:t>
            </w:r>
          </w:p>
        </w:tc>
        <w:tc>
          <w:tcPr>
            <w:tcW w:w="1701" w:type="dxa"/>
            <w:tcBorders>
              <w:top w:val="nil"/>
              <w:left w:val="nil"/>
              <w:bottom w:val="single" w:sz="4" w:space="0" w:color="auto"/>
              <w:right w:val="single" w:sz="4" w:space="0" w:color="auto"/>
            </w:tcBorders>
            <w:shd w:val="clear" w:color="auto" w:fill="auto"/>
            <w:noWrap/>
            <w:vAlign w:val="bottom"/>
            <w:hideMark/>
          </w:tcPr>
          <w:p w14:paraId="2ABF5DDC" w14:textId="77777777" w:rsidR="00620422" w:rsidRPr="008204CC" w:rsidRDefault="00620422" w:rsidP="0066301C">
            <w:pPr>
              <w:spacing w:after="0" w:line="240" w:lineRule="auto"/>
              <w:jc w:val="right"/>
              <w:rPr>
                <w:rFonts w:ascii="Arial" w:eastAsia="Times New Roman" w:hAnsi="Arial" w:cs="Arial"/>
                <w:color w:val="000000"/>
                <w:sz w:val="18"/>
                <w:szCs w:val="18"/>
                <w:lang w:eastAsia="en-GB"/>
              </w:rPr>
            </w:pPr>
            <w:r w:rsidRPr="008204CC">
              <w:rPr>
                <w:rFonts w:ascii="Arial" w:eastAsia="Times New Roman" w:hAnsi="Arial" w:cs="Arial"/>
                <w:color w:val="000000"/>
                <w:sz w:val="18"/>
                <w:szCs w:val="18"/>
                <w:lang w:eastAsia="en-GB"/>
              </w:rPr>
              <w:t>95.707539</w:t>
            </w:r>
          </w:p>
        </w:tc>
        <w:tc>
          <w:tcPr>
            <w:tcW w:w="1701" w:type="dxa"/>
            <w:tcBorders>
              <w:top w:val="nil"/>
              <w:left w:val="nil"/>
              <w:bottom w:val="single" w:sz="4" w:space="0" w:color="auto"/>
              <w:right w:val="single" w:sz="4" w:space="0" w:color="auto"/>
            </w:tcBorders>
            <w:shd w:val="clear" w:color="auto" w:fill="auto"/>
            <w:noWrap/>
            <w:vAlign w:val="bottom"/>
            <w:hideMark/>
          </w:tcPr>
          <w:p w14:paraId="0A8081BD" w14:textId="77777777" w:rsidR="00620422" w:rsidRPr="008204CC" w:rsidRDefault="00620422" w:rsidP="0066301C">
            <w:pPr>
              <w:spacing w:after="0" w:line="240" w:lineRule="auto"/>
              <w:jc w:val="right"/>
              <w:rPr>
                <w:rFonts w:ascii="Arial" w:eastAsia="Times New Roman" w:hAnsi="Arial" w:cs="Arial"/>
                <w:color w:val="000000"/>
                <w:sz w:val="18"/>
                <w:szCs w:val="18"/>
                <w:lang w:eastAsia="en-GB"/>
              </w:rPr>
            </w:pPr>
            <w:r w:rsidRPr="008204CC">
              <w:rPr>
                <w:rFonts w:ascii="Arial" w:eastAsia="Times New Roman" w:hAnsi="Arial" w:cs="Arial"/>
                <w:color w:val="000000"/>
                <w:sz w:val="18"/>
                <w:szCs w:val="18"/>
                <w:lang w:eastAsia="en-GB"/>
              </w:rPr>
              <w:t>98.166562</w:t>
            </w:r>
          </w:p>
        </w:tc>
        <w:tc>
          <w:tcPr>
            <w:tcW w:w="1984" w:type="dxa"/>
            <w:tcBorders>
              <w:top w:val="nil"/>
              <w:left w:val="nil"/>
              <w:bottom w:val="single" w:sz="4" w:space="0" w:color="auto"/>
              <w:right w:val="single" w:sz="4" w:space="0" w:color="auto"/>
            </w:tcBorders>
            <w:shd w:val="clear" w:color="auto" w:fill="auto"/>
            <w:noWrap/>
            <w:vAlign w:val="bottom"/>
            <w:hideMark/>
          </w:tcPr>
          <w:p w14:paraId="7EFDE7B4" w14:textId="77777777" w:rsidR="00620422" w:rsidRPr="008204CC" w:rsidRDefault="00620422" w:rsidP="0066301C">
            <w:pPr>
              <w:spacing w:after="0" w:line="240" w:lineRule="auto"/>
              <w:jc w:val="right"/>
              <w:rPr>
                <w:rFonts w:ascii="Arial" w:eastAsia="Times New Roman" w:hAnsi="Arial" w:cs="Arial"/>
                <w:color w:val="000000"/>
                <w:sz w:val="18"/>
                <w:szCs w:val="18"/>
                <w:lang w:eastAsia="en-GB"/>
              </w:rPr>
            </w:pPr>
            <w:r w:rsidRPr="008204CC">
              <w:rPr>
                <w:rFonts w:ascii="Arial" w:eastAsia="Times New Roman" w:hAnsi="Arial" w:cs="Arial"/>
                <w:color w:val="000000"/>
                <w:sz w:val="18"/>
                <w:szCs w:val="18"/>
                <w:lang w:eastAsia="en-GB"/>
              </w:rPr>
              <w:t>-2.4590233</w:t>
            </w:r>
          </w:p>
        </w:tc>
        <w:tc>
          <w:tcPr>
            <w:tcW w:w="709" w:type="dxa"/>
            <w:vMerge/>
            <w:tcBorders>
              <w:left w:val="nil"/>
              <w:right w:val="single" w:sz="4" w:space="0" w:color="auto"/>
            </w:tcBorders>
          </w:tcPr>
          <w:p w14:paraId="6DAEDF7F" w14:textId="77777777" w:rsidR="00620422" w:rsidRPr="008204CC" w:rsidRDefault="00620422" w:rsidP="0066301C">
            <w:pPr>
              <w:spacing w:after="0" w:line="240" w:lineRule="auto"/>
              <w:jc w:val="right"/>
              <w:rPr>
                <w:rFonts w:ascii="Arial" w:eastAsia="Times New Roman" w:hAnsi="Arial" w:cs="Arial"/>
                <w:color w:val="000000"/>
                <w:sz w:val="18"/>
                <w:szCs w:val="18"/>
                <w:lang w:eastAsia="en-GB"/>
              </w:rPr>
            </w:pPr>
          </w:p>
        </w:tc>
      </w:tr>
      <w:tr w:rsidR="004507C6" w:rsidRPr="008204CC" w14:paraId="4924EA2A" w14:textId="77777777" w:rsidTr="00D46B41">
        <w:trPr>
          <w:gridAfter w:val="8"/>
          <w:wAfter w:w="6095" w:type="dxa"/>
          <w:trHeight w:val="300"/>
        </w:trPr>
        <w:tc>
          <w:tcPr>
            <w:tcW w:w="1135" w:type="dxa"/>
            <w:tcBorders>
              <w:top w:val="nil"/>
              <w:left w:val="single" w:sz="4" w:space="0" w:color="auto"/>
              <w:bottom w:val="single" w:sz="4" w:space="0" w:color="auto"/>
              <w:right w:val="single" w:sz="4" w:space="0" w:color="auto"/>
            </w:tcBorders>
            <w:shd w:val="clear" w:color="auto" w:fill="auto"/>
            <w:noWrap/>
            <w:vAlign w:val="bottom"/>
            <w:hideMark/>
          </w:tcPr>
          <w:p w14:paraId="4DA0FF99" w14:textId="77777777" w:rsidR="00620422" w:rsidRPr="008204CC" w:rsidRDefault="00620422" w:rsidP="0066301C">
            <w:pPr>
              <w:spacing w:after="0" w:line="240" w:lineRule="auto"/>
              <w:jc w:val="right"/>
              <w:rPr>
                <w:rFonts w:ascii="Arial" w:eastAsia="Times New Roman" w:hAnsi="Arial" w:cs="Arial"/>
                <w:color w:val="000000"/>
                <w:sz w:val="18"/>
                <w:szCs w:val="18"/>
                <w:lang w:eastAsia="en-GB"/>
              </w:rPr>
            </w:pPr>
            <w:r w:rsidRPr="008204CC">
              <w:rPr>
                <w:rFonts w:ascii="Arial" w:eastAsia="Times New Roman" w:hAnsi="Arial" w:cs="Arial"/>
                <w:color w:val="000000"/>
                <w:sz w:val="18"/>
                <w:szCs w:val="18"/>
                <w:lang w:eastAsia="en-GB"/>
              </w:rPr>
              <w:t>2017</w:t>
            </w:r>
          </w:p>
        </w:tc>
        <w:tc>
          <w:tcPr>
            <w:tcW w:w="1701" w:type="dxa"/>
            <w:tcBorders>
              <w:top w:val="nil"/>
              <w:left w:val="nil"/>
              <w:bottom w:val="single" w:sz="4" w:space="0" w:color="auto"/>
              <w:right w:val="single" w:sz="4" w:space="0" w:color="auto"/>
            </w:tcBorders>
            <w:shd w:val="clear" w:color="auto" w:fill="auto"/>
            <w:noWrap/>
            <w:vAlign w:val="bottom"/>
            <w:hideMark/>
          </w:tcPr>
          <w:p w14:paraId="347A6E8B" w14:textId="77777777" w:rsidR="00620422" w:rsidRPr="008204CC" w:rsidRDefault="00620422" w:rsidP="0066301C">
            <w:pPr>
              <w:spacing w:after="0" w:line="240" w:lineRule="auto"/>
              <w:jc w:val="right"/>
              <w:rPr>
                <w:rFonts w:ascii="Arial" w:eastAsia="Times New Roman" w:hAnsi="Arial" w:cs="Arial"/>
                <w:color w:val="000000"/>
                <w:sz w:val="18"/>
                <w:szCs w:val="18"/>
                <w:lang w:eastAsia="en-GB"/>
              </w:rPr>
            </w:pPr>
            <w:r w:rsidRPr="008204CC">
              <w:rPr>
                <w:rFonts w:ascii="Arial" w:eastAsia="Times New Roman" w:hAnsi="Arial" w:cs="Arial"/>
                <w:color w:val="000000"/>
                <w:sz w:val="18"/>
                <w:szCs w:val="18"/>
                <w:lang w:eastAsia="en-GB"/>
              </w:rPr>
              <w:t>97.694191</w:t>
            </w:r>
          </w:p>
        </w:tc>
        <w:tc>
          <w:tcPr>
            <w:tcW w:w="1701" w:type="dxa"/>
            <w:tcBorders>
              <w:top w:val="nil"/>
              <w:left w:val="nil"/>
              <w:bottom w:val="single" w:sz="4" w:space="0" w:color="auto"/>
              <w:right w:val="single" w:sz="4" w:space="0" w:color="auto"/>
            </w:tcBorders>
            <w:shd w:val="clear" w:color="auto" w:fill="auto"/>
            <w:noWrap/>
            <w:vAlign w:val="bottom"/>
            <w:hideMark/>
          </w:tcPr>
          <w:p w14:paraId="57EF9BCB" w14:textId="77777777" w:rsidR="00620422" w:rsidRPr="008204CC" w:rsidRDefault="00620422" w:rsidP="0066301C">
            <w:pPr>
              <w:spacing w:after="0" w:line="240" w:lineRule="auto"/>
              <w:jc w:val="right"/>
              <w:rPr>
                <w:rFonts w:ascii="Arial" w:eastAsia="Times New Roman" w:hAnsi="Arial" w:cs="Arial"/>
                <w:color w:val="000000"/>
                <w:sz w:val="18"/>
                <w:szCs w:val="18"/>
                <w:lang w:eastAsia="en-GB"/>
              </w:rPr>
            </w:pPr>
            <w:r w:rsidRPr="008204CC">
              <w:rPr>
                <w:rFonts w:ascii="Arial" w:eastAsia="Times New Roman" w:hAnsi="Arial" w:cs="Arial"/>
                <w:color w:val="000000"/>
                <w:sz w:val="18"/>
                <w:szCs w:val="18"/>
                <w:lang w:eastAsia="en-GB"/>
              </w:rPr>
              <w:t>98.261222</w:t>
            </w:r>
          </w:p>
        </w:tc>
        <w:tc>
          <w:tcPr>
            <w:tcW w:w="1984" w:type="dxa"/>
            <w:tcBorders>
              <w:top w:val="nil"/>
              <w:left w:val="nil"/>
              <w:bottom w:val="single" w:sz="4" w:space="0" w:color="auto"/>
              <w:right w:val="single" w:sz="4" w:space="0" w:color="auto"/>
            </w:tcBorders>
            <w:shd w:val="clear" w:color="auto" w:fill="auto"/>
            <w:noWrap/>
            <w:vAlign w:val="bottom"/>
            <w:hideMark/>
          </w:tcPr>
          <w:p w14:paraId="1E3897A9" w14:textId="77777777" w:rsidR="00620422" w:rsidRPr="008204CC" w:rsidRDefault="00620422" w:rsidP="0066301C">
            <w:pPr>
              <w:spacing w:after="0" w:line="240" w:lineRule="auto"/>
              <w:jc w:val="right"/>
              <w:rPr>
                <w:rFonts w:ascii="Arial" w:eastAsia="Times New Roman" w:hAnsi="Arial" w:cs="Arial"/>
                <w:color w:val="000000"/>
                <w:sz w:val="18"/>
                <w:szCs w:val="18"/>
                <w:lang w:eastAsia="en-GB"/>
              </w:rPr>
            </w:pPr>
            <w:r w:rsidRPr="008204CC">
              <w:rPr>
                <w:rFonts w:ascii="Arial" w:eastAsia="Times New Roman" w:hAnsi="Arial" w:cs="Arial"/>
                <w:color w:val="000000"/>
                <w:sz w:val="18"/>
                <w:szCs w:val="18"/>
                <w:lang w:eastAsia="en-GB"/>
              </w:rPr>
              <w:t>-0.5670315</w:t>
            </w:r>
          </w:p>
        </w:tc>
        <w:tc>
          <w:tcPr>
            <w:tcW w:w="709" w:type="dxa"/>
            <w:vMerge/>
            <w:tcBorders>
              <w:left w:val="nil"/>
              <w:right w:val="single" w:sz="4" w:space="0" w:color="auto"/>
            </w:tcBorders>
          </w:tcPr>
          <w:p w14:paraId="7C1EEADC" w14:textId="77777777" w:rsidR="00620422" w:rsidRPr="008204CC" w:rsidRDefault="00620422" w:rsidP="0066301C">
            <w:pPr>
              <w:spacing w:after="0" w:line="240" w:lineRule="auto"/>
              <w:jc w:val="right"/>
              <w:rPr>
                <w:rFonts w:ascii="Arial" w:eastAsia="Times New Roman" w:hAnsi="Arial" w:cs="Arial"/>
                <w:color w:val="000000"/>
                <w:sz w:val="18"/>
                <w:szCs w:val="18"/>
                <w:lang w:eastAsia="en-GB"/>
              </w:rPr>
            </w:pPr>
          </w:p>
        </w:tc>
      </w:tr>
      <w:tr w:rsidR="00D55FF8" w:rsidRPr="008204CC" w14:paraId="76D21A48" w14:textId="77777777" w:rsidTr="00D46B41">
        <w:trPr>
          <w:gridAfter w:val="8"/>
          <w:wAfter w:w="6095" w:type="dxa"/>
          <w:trHeight w:val="300"/>
        </w:trPr>
        <w:tc>
          <w:tcPr>
            <w:tcW w:w="1135" w:type="dxa"/>
            <w:tcBorders>
              <w:top w:val="nil"/>
              <w:left w:val="single" w:sz="4" w:space="0" w:color="auto"/>
              <w:bottom w:val="single" w:sz="4" w:space="0" w:color="auto"/>
              <w:right w:val="single" w:sz="4" w:space="0" w:color="auto"/>
            </w:tcBorders>
            <w:shd w:val="clear" w:color="auto" w:fill="auto"/>
            <w:noWrap/>
            <w:vAlign w:val="bottom"/>
            <w:hideMark/>
          </w:tcPr>
          <w:p w14:paraId="28382AFF" w14:textId="77777777" w:rsidR="00620422" w:rsidRPr="008204CC" w:rsidRDefault="00620422" w:rsidP="0066301C">
            <w:pPr>
              <w:spacing w:after="0" w:line="240" w:lineRule="auto"/>
              <w:jc w:val="right"/>
              <w:rPr>
                <w:rFonts w:ascii="Arial" w:eastAsia="Times New Roman" w:hAnsi="Arial" w:cs="Arial"/>
                <w:color w:val="000000"/>
                <w:sz w:val="18"/>
                <w:szCs w:val="18"/>
                <w:lang w:eastAsia="en-GB"/>
              </w:rPr>
            </w:pPr>
            <w:r w:rsidRPr="008204CC">
              <w:rPr>
                <w:rFonts w:ascii="Arial" w:eastAsia="Times New Roman" w:hAnsi="Arial" w:cs="Arial"/>
                <w:color w:val="000000"/>
                <w:sz w:val="18"/>
                <w:szCs w:val="18"/>
                <w:lang w:eastAsia="en-GB"/>
              </w:rPr>
              <w:t>2018</w:t>
            </w:r>
          </w:p>
        </w:tc>
        <w:tc>
          <w:tcPr>
            <w:tcW w:w="1701" w:type="dxa"/>
            <w:tcBorders>
              <w:top w:val="nil"/>
              <w:left w:val="nil"/>
              <w:bottom w:val="single" w:sz="4" w:space="0" w:color="auto"/>
              <w:right w:val="single" w:sz="4" w:space="0" w:color="auto"/>
            </w:tcBorders>
            <w:shd w:val="clear" w:color="auto" w:fill="auto"/>
            <w:noWrap/>
            <w:vAlign w:val="bottom"/>
            <w:hideMark/>
          </w:tcPr>
          <w:p w14:paraId="0DD63508" w14:textId="77777777" w:rsidR="00620422" w:rsidRPr="008204CC" w:rsidRDefault="00620422" w:rsidP="0066301C">
            <w:pPr>
              <w:spacing w:after="0" w:line="240" w:lineRule="auto"/>
              <w:jc w:val="right"/>
              <w:rPr>
                <w:rFonts w:ascii="Arial" w:eastAsia="Times New Roman" w:hAnsi="Arial" w:cs="Arial"/>
                <w:color w:val="000000"/>
                <w:sz w:val="18"/>
                <w:szCs w:val="18"/>
                <w:lang w:eastAsia="en-GB"/>
              </w:rPr>
            </w:pPr>
            <w:r w:rsidRPr="008204CC">
              <w:rPr>
                <w:rFonts w:ascii="Arial" w:eastAsia="Times New Roman" w:hAnsi="Arial" w:cs="Arial"/>
                <w:color w:val="000000"/>
                <w:sz w:val="18"/>
                <w:szCs w:val="18"/>
                <w:lang w:eastAsia="en-GB"/>
              </w:rPr>
              <w:t>102.98808</w:t>
            </w:r>
          </w:p>
        </w:tc>
        <w:tc>
          <w:tcPr>
            <w:tcW w:w="1701" w:type="dxa"/>
            <w:tcBorders>
              <w:top w:val="nil"/>
              <w:left w:val="nil"/>
              <w:bottom w:val="single" w:sz="4" w:space="0" w:color="auto"/>
              <w:right w:val="single" w:sz="4" w:space="0" w:color="auto"/>
            </w:tcBorders>
            <w:shd w:val="clear" w:color="auto" w:fill="auto"/>
            <w:noWrap/>
            <w:vAlign w:val="bottom"/>
            <w:hideMark/>
          </w:tcPr>
          <w:p w14:paraId="6DBD36D1" w14:textId="77777777" w:rsidR="00620422" w:rsidRPr="008204CC" w:rsidRDefault="00620422" w:rsidP="0066301C">
            <w:pPr>
              <w:spacing w:after="0" w:line="240" w:lineRule="auto"/>
              <w:jc w:val="right"/>
              <w:rPr>
                <w:rFonts w:ascii="Arial" w:eastAsia="Times New Roman" w:hAnsi="Arial" w:cs="Arial"/>
                <w:color w:val="000000"/>
                <w:sz w:val="18"/>
                <w:szCs w:val="18"/>
                <w:lang w:eastAsia="en-GB"/>
              </w:rPr>
            </w:pPr>
            <w:r w:rsidRPr="008204CC">
              <w:rPr>
                <w:rFonts w:ascii="Arial" w:eastAsia="Times New Roman" w:hAnsi="Arial" w:cs="Arial"/>
                <w:color w:val="000000"/>
                <w:sz w:val="18"/>
                <w:szCs w:val="18"/>
                <w:lang w:eastAsia="en-GB"/>
              </w:rPr>
              <w:t>98.401745</w:t>
            </w:r>
          </w:p>
        </w:tc>
        <w:tc>
          <w:tcPr>
            <w:tcW w:w="1984" w:type="dxa"/>
            <w:tcBorders>
              <w:top w:val="nil"/>
              <w:left w:val="nil"/>
              <w:bottom w:val="single" w:sz="4" w:space="0" w:color="auto"/>
              <w:right w:val="single" w:sz="4" w:space="0" w:color="auto"/>
            </w:tcBorders>
            <w:shd w:val="clear" w:color="auto" w:fill="auto"/>
            <w:noWrap/>
            <w:vAlign w:val="bottom"/>
            <w:hideMark/>
          </w:tcPr>
          <w:p w14:paraId="0EECD1A3" w14:textId="77777777" w:rsidR="00620422" w:rsidRPr="008204CC" w:rsidRDefault="00620422" w:rsidP="0066301C">
            <w:pPr>
              <w:spacing w:after="0" w:line="240" w:lineRule="auto"/>
              <w:jc w:val="right"/>
              <w:rPr>
                <w:rFonts w:ascii="Arial" w:eastAsia="Times New Roman" w:hAnsi="Arial" w:cs="Arial"/>
                <w:color w:val="000000"/>
                <w:sz w:val="18"/>
                <w:szCs w:val="18"/>
                <w:lang w:eastAsia="en-GB"/>
              </w:rPr>
            </w:pPr>
            <w:r w:rsidRPr="008204CC">
              <w:rPr>
                <w:rFonts w:ascii="Arial" w:eastAsia="Times New Roman" w:hAnsi="Arial" w:cs="Arial"/>
                <w:color w:val="000000"/>
                <w:sz w:val="18"/>
                <w:szCs w:val="18"/>
                <w:lang w:eastAsia="en-GB"/>
              </w:rPr>
              <w:t>4.5863366</w:t>
            </w:r>
          </w:p>
        </w:tc>
        <w:tc>
          <w:tcPr>
            <w:tcW w:w="709" w:type="dxa"/>
            <w:vMerge/>
            <w:tcBorders>
              <w:left w:val="nil"/>
              <w:bottom w:val="single" w:sz="4" w:space="0" w:color="auto"/>
              <w:right w:val="single" w:sz="4" w:space="0" w:color="auto"/>
            </w:tcBorders>
          </w:tcPr>
          <w:p w14:paraId="2E33084C" w14:textId="77777777" w:rsidR="00620422" w:rsidRPr="008204CC" w:rsidRDefault="00620422" w:rsidP="0066301C">
            <w:pPr>
              <w:spacing w:after="0" w:line="240" w:lineRule="auto"/>
              <w:jc w:val="right"/>
              <w:rPr>
                <w:rFonts w:ascii="Arial" w:eastAsia="Times New Roman" w:hAnsi="Arial" w:cs="Arial"/>
                <w:color w:val="000000"/>
                <w:sz w:val="18"/>
                <w:szCs w:val="18"/>
                <w:lang w:eastAsia="en-GB"/>
              </w:rPr>
            </w:pPr>
          </w:p>
        </w:tc>
      </w:tr>
      <w:tr w:rsidR="008A6AC3" w:rsidRPr="008204CC" w14:paraId="26A0DD81" w14:textId="77777777" w:rsidTr="00D46B41">
        <w:trPr>
          <w:trHeight w:val="330"/>
        </w:trPr>
        <w:tc>
          <w:tcPr>
            <w:tcW w:w="6521" w:type="dxa"/>
            <w:gridSpan w:val="4"/>
            <w:tcBorders>
              <w:top w:val="single" w:sz="4" w:space="0" w:color="auto"/>
              <w:left w:val="single" w:sz="4" w:space="0" w:color="auto"/>
              <w:bottom w:val="single" w:sz="4" w:space="0" w:color="auto"/>
              <w:right w:val="single" w:sz="4" w:space="0" w:color="auto"/>
            </w:tcBorders>
            <w:shd w:val="clear" w:color="auto" w:fill="E7E6E6" w:themeFill="background2"/>
            <w:vAlign w:val="center"/>
          </w:tcPr>
          <w:p w14:paraId="754731B7" w14:textId="77777777" w:rsidR="00620422" w:rsidRPr="008204CC" w:rsidRDefault="00620422" w:rsidP="0066301C">
            <w:pPr>
              <w:spacing w:after="0" w:line="240" w:lineRule="auto"/>
              <w:jc w:val="center"/>
              <w:rPr>
                <w:rFonts w:ascii="Arial" w:eastAsia="Times New Roman" w:hAnsi="Arial" w:cs="Arial"/>
                <w:color w:val="000000"/>
                <w:sz w:val="18"/>
                <w:szCs w:val="18"/>
                <w:lang w:eastAsia="en-GB"/>
              </w:rPr>
            </w:pPr>
            <w:r w:rsidRPr="008204CC">
              <w:rPr>
                <w:rFonts w:ascii="Arial" w:hAnsi="Arial" w:cs="Arial"/>
                <w:b/>
                <w:sz w:val="18"/>
                <w:szCs w:val="18"/>
              </w:rPr>
              <w:t>Chad</w:t>
            </w:r>
          </w:p>
        </w:tc>
        <w:tc>
          <w:tcPr>
            <w:tcW w:w="709" w:type="dxa"/>
            <w:vMerge w:val="restart"/>
            <w:tcBorders>
              <w:top w:val="single" w:sz="4" w:space="0" w:color="auto"/>
              <w:left w:val="nil"/>
              <w:right w:val="single" w:sz="4" w:space="0" w:color="auto"/>
            </w:tcBorders>
          </w:tcPr>
          <w:p w14:paraId="474B3988" w14:textId="77777777" w:rsidR="00620422" w:rsidRPr="008204CC" w:rsidRDefault="00620422" w:rsidP="0066301C">
            <w:pPr>
              <w:spacing w:after="0" w:line="240" w:lineRule="auto"/>
              <w:rPr>
                <w:rFonts w:ascii="Arial" w:eastAsia="Times New Roman" w:hAnsi="Arial" w:cs="Arial"/>
                <w:color w:val="000000"/>
                <w:sz w:val="18"/>
                <w:szCs w:val="18"/>
                <w:lang w:eastAsia="en-GB"/>
              </w:rPr>
            </w:pPr>
          </w:p>
        </w:tc>
        <w:tc>
          <w:tcPr>
            <w:tcW w:w="678" w:type="dxa"/>
            <w:tcBorders>
              <w:top w:val="single" w:sz="4" w:space="0" w:color="auto"/>
              <w:left w:val="nil"/>
              <w:bottom w:val="single" w:sz="4" w:space="0" w:color="auto"/>
              <w:right w:val="nil"/>
            </w:tcBorders>
            <w:shd w:val="clear" w:color="auto" w:fill="E7E6E6" w:themeFill="background2"/>
            <w:vAlign w:val="center"/>
          </w:tcPr>
          <w:p w14:paraId="2BEB0095" w14:textId="77777777" w:rsidR="00620422" w:rsidRPr="008204CC" w:rsidRDefault="00620422" w:rsidP="0066301C">
            <w:pPr>
              <w:spacing w:after="0" w:line="240" w:lineRule="auto"/>
              <w:rPr>
                <w:rFonts w:ascii="Arial" w:eastAsia="Times New Roman" w:hAnsi="Arial" w:cs="Arial"/>
                <w:b/>
                <w:bCs/>
                <w:color w:val="000000"/>
                <w:sz w:val="18"/>
                <w:szCs w:val="18"/>
                <w:lang w:eastAsia="en-GB"/>
              </w:rPr>
            </w:pPr>
          </w:p>
        </w:tc>
        <w:tc>
          <w:tcPr>
            <w:tcW w:w="5417" w:type="dxa"/>
            <w:gridSpan w:val="7"/>
            <w:tcBorders>
              <w:top w:val="single" w:sz="4" w:space="0" w:color="auto"/>
              <w:left w:val="nil"/>
              <w:bottom w:val="single" w:sz="4" w:space="0" w:color="auto"/>
              <w:right w:val="single" w:sz="4" w:space="0" w:color="auto"/>
            </w:tcBorders>
            <w:shd w:val="clear" w:color="auto" w:fill="E7E6E6" w:themeFill="background2"/>
          </w:tcPr>
          <w:p w14:paraId="7182165D" w14:textId="77777777" w:rsidR="00620422" w:rsidRPr="008204CC" w:rsidRDefault="00620422" w:rsidP="0066301C">
            <w:pPr>
              <w:spacing w:after="0" w:line="240" w:lineRule="auto"/>
              <w:jc w:val="center"/>
              <w:rPr>
                <w:rFonts w:ascii="Arial" w:eastAsia="Times New Roman" w:hAnsi="Arial" w:cs="Arial"/>
                <w:color w:val="000000"/>
                <w:sz w:val="18"/>
                <w:szCs w:val="18"/>
                <w:lang w:eastAsia="en-GB"/>
              </w:rPr>
            </w:pPr>
            <w:r w:rsidRPr="008204CC">
              <w:rPr>
                <w:rFonts w:ascii="Arial" w:hAnsi="Arial" w:cs="Arial"/>
                <w:b/>
                <w:sz w:val="18"/>
                <w:szCs w:val="18"/>
              </w:rPr>
              <w:t>Congo</w:t>
            </w:r>
          </w:p>
        </w:tc>
      </w:tr>
      <w:tr w:rsidR="008A6AC3" w:rsidRPr="008204CC" w14:paraId="1B87F768" w14:textId="77777777" w:rsidTr="00D46B41">
        <w:trPr>
          <w:trHeight w:val="330"/>
        </w:trPr>
        <w:tc>
          <w:tcPr>
            <w:tcW w:w="1135" w:type="dxa"/>
            <w:tcBorders>
              <w:top w:val="single" w:sz="4" w:space="0" w:color="auto"/>
              <w:left w:val="single" w:sz="4" w:space="0" w:color="auto"/>
              <w:bottom w:val="single" w:sz="4" w:space="0" w:color="auto"/>
              <w:right w:val="single" w:sz="4" w:space="0" w:color="auto"/>
            </w:tcBorders>
            <w:shd w:val="clear" w:color="000000" w:fill="FFFFFF"/>
            <w:vAlign w:val="center"/>
            <w:hideMark/>
          </w:tcPr>
          <w:p w14:paraId="045E711D" w14:textId="77777777" w:rsidR="00620422" w:rsidRPr="008204CC" w:rsidRDefault="00620422" w:rsidP="0066301C">
            <w:pPr>
              <w:spacing w:after="0" w:line="240" w:lineRule="auto"/>
              <w:rPr>
                <w:rFonts w:ascii="Arial" w:eastAsia="Times New Roman" w:hAnsi="Arial" w:cs="Arial"/>
                <w:b/>
                <w:bCs/>
                <w:color w:val="000000"/>
                <w:sz w:val="18"/>
                <w:szCs w:val="18"/>
                <w:lang w:eastAsia="en-GB"/>
              </w:rPr>
            </w:pPr>
            <w:r w:rsidRPr="008204CC">
              <w:rPr>
                <w:rFonts w:ascii="Arial" w:eastAsia="Times New Roman" w:hAnsi="Arial" w:cs="Arial"/>
                <w:b/>
                <w:bCs/>
                <w:color w:val="000000"/>
                <w:sz w:val="18"/>
                <w:szCs w:val="18"/>
                <w:lang w:eastAsia="en-GB"/>
              </w:rPr>
              <w:t>Year</w:t>
            </w:r>
          </w:p>
        </w:tc>
        <w:tc>
          <w:tcPr>
            <w:tcW w:w="1701" w:type="dxa"/>
            <w:tcBorders>
              <w:top w:val="single" w:sz="4" w:space="0" w:color="auto"/>
              <w:left w:val="nil"/>
              <w:bottom w:val="single" w:sz="4" w:space="0" w:color="auto"/>
              <w:right w:val="single" w:sz="4" w:space="0" w:color="auto"/>
            </w:tcBorders>
            <w:shd w:val="clear" w:color="auto" w:fill="auto"/>
            <w:hideMark/>
          </w:tcPr>
          <w:p w14:paraId="36261172" w14:textId="77777777" w:rsidR="00620422" w:rsidRPr="008204CC" w:rsidRDefault="00620422" w:rsidP="0066301C">
            <w:pPr>
              <w:spacing w:after="0" w:line="240" w:lineRule="auto"/>
              <w:jc w:val="center"/>
              <w:rPr>
                <w:rFonts w:ascii="Arial" w:eastAsia="Times New Roman" w:hAnsi="Arial" w:cs="Arial"/>
                <w:b/>
                <w:bCs/>
                <w:color w:val="000000"/>
                <w:sz w:val="18"/>
                <w:szCs w:val="18"/>
                <w:lang w:eastAsia="en-GB"/>
              </w:rPr>
            </w:pPr>
            <w:r w:rsidRPr="008204CC">
              <w:rPr>
                <w:rFonts w:ascii="Arial" w:eastAsia="Times New Roman" w:hAnsi="Arial" w:cs="Arial"/>
                <w:b/>
                <w:bCs/>
                <w:color w:val="000000"/>
                <w:sz w:val="18"/>
                <w:szCs w:val="18"/>
                <w:lang w:eastAsia="en-GB"/>
              </w:rPr>
              <w:t>REER</w:t>
            </w:r>
          </w:p>
        </w:tc>
        <w:tc>
          <w:tcPr>
            <w:tcW w:w="1701" w:type="dxa"/>
            <w:tcBorders>
              <w:top w:val="single" w:sz="4" w:space="0" w:color="auto"/>
              <w:left w:val="nil"/>
              <w:bottom w:val="single" w:sz="4" w:space="0" w:color="auto"/>
              <w:right w:val="single" w:sz="4" w:space="0" w:color="auto"/>
            </w:tcBorders>
            <w:shd w:val="clear" w:color="auto" w:fill="auto"/>
            <w:noWrap/>
            <w:vAlign w:val="bottom"/>
            <w:hideMark/>
          </w:tcPr>
          <w:p w14:paraId="6D7806D2" w14:textId="77777777" w:rsidR="00620422" w:rsidRPr="008204CC" w:rsidRDefault="00620422" w:rsidP="0066301C">
            <w:pPr>
              <w:spacing w:after="0" w:line="240" w:lineRule="auto"/>
              <w:rPr>
                <w:rFonts w:ascii="Arial" w:eastAsia="Times New Roman" w:hAnsi="Arial" w:cs="Arial"/>
                <w:color w:val="000000"/>
                <w:sz w:val="18"/>
                <w:szCs w:val="18"/>
                <w:lang w:eastAsia="en-GB"/>
              </w:rPr>
            </w:pPr>
            <w:r w:rsidRPr="008204CC">
              <w:rPr>
                <w:rFonts w:ascii="Arial" w:eastAsia="Times New Roman" w:hAnsi="Arial" w:cs="Arial"/>
                <w:color w:val="000000"/>
                <w:sz w:val="18"/>
                <w:szCs w:val="18"/>
                <w:lang w:eastAsia="en-GB"/>
              </w:rPr>
              <w:t>BEER</w:t>
            </w:r>
          </w:p>
        </w:tc>
        <w:tc>
          <w:tcPr>
            <w:tcW w:w="1984" w:type="dxa"/>
            <w:tcBorders>
              <w:top w:val="single" w:sz="4" w:space="0" w:color="auto"/>
              <w:left w:val="nil"/>
              <w:bottom w:val="single" w:sz="4" w:space="0" w:color="auto"/>
              <w:right w:val="single" w:sz="4" w:space="0" w:color="auto"/>
            </w:tcBorders>
            <w:shd w:val="clear" w:color="auto" w:fill="auto"/>
            <w:noWrap/>
            <w:vAlign w:val="bottom"/>
            <w:hideMark/>
          </w:tcPr>
          <w:p w14:paraId="30AAA046" w14:textId="77777777" w:rsidR="00620422" w:rsidRPr="008204CC" w:rsidRDefault="00620422" w:rsidP="0066301C">
            <w:pPr>
              <w:spacing w:after="0" w:line="240" w:lineRule="auto"/>
              <w:rPr>
                <w:rFonts w:ascii="Arial" w:eastAsia="Times New Roman" w:hAnsi="Arial" w:cs="Arial"/>
                <w:color w:val="000000"/>
                <w:sz w:val="18"/>
                <w:szCs w:val="18"/>
                <w:lang w:eastAsia="en-GB"/>
              </w:rPr>
            </w:pPr>
            <w:r w:rsidRPr="008204CC">
              <w:rPr>
                <w:rFonts w:ascii="Arial" w:eastAsia="Times New Roman" w:hAnsi="Arial" w:cs="Arial"/>
                <w:color w:val="000000"/>
                <w:sz w:val="18"/>
                <w:szCs w:val="18"/>
                <w:lang w:eastAsia="en-GB"/>
              </w:rPr>
              <w:t>MISALIGNMENT</w:t>
            </w:r>
            <w:r>
              <w:rPr>
                <w:rFonts w:ascii="Arial" w:eastAsia="Times New Roman" w:hAnsi="Arial" w:cs="Arial"/>
                <w:color w:val="000000"/>
                <w:sz w:val="18"/>
                <w:szCs w:val="18"/>
                <w:lang w:eastAsia="en-GB"/>
              </w:rPr>
              <w:t xml:space="preserve"> (%)</w:t>
            </w:r>
          </w:p>
        </w:tc>
        <w:tc>
          <w:tcPr>
            <w:tcW w:w="709" w:type="dxa"/>
            <w:vMerge/>
            <w:tcBorders>
              <w:left w:val="nil"/>
              <w:right w:val="single" w:sz="4" w:space="0" w:color="auto"/>
            </w:tcBorders>
          </w:tcPr>
          <w:p w14:paraId="1CD36C2F" w14:textId="77777777" w:rsidR="00620422" w:rsidRPr="008204CC" w:rsidRDefault="00620422" w:rsidP="0066301C">
            <w:pPr>
              <w:spacing w:after="0" w:line="240" w:lineRule="auto"/>
              <w:rPr>
                <w:rFonts w:ascii="Arial" w:eastAsia="Times New Roman" w:hAnsi="Arial" w:cs="Arial"/>
                <w:color w:val="000000"/>
                <w:sz w:val="18"/>
                <w:szCs w:val="18"/>
                <w:lang w:eastAsia="en-GB"/>
              </w:rPr>
            </w:pPr>
          </w:p>
        </w:tc>
        <w:tc>
          <w:tcPr>
            <w:tcW w:w="678" w:type="dxa"/>
            <w:tcBorders>
              <w:top w:val="single" w:sz="4" w:space="0" w:color="auto"/>
              <w:left w:val="nil"/>
              <w:bottom w:val="single" w:sz="4" w:space="0" w:color="auto"/>
              <w:right w:val="nil"/>
            </w:tcBorders>
            <w:vAlign w:val="center"/>
          </w:tcPr>
          <w:p w14:paraId="75E9F6E0" w14:textId="77777777" w:rsidR="00620422" w:rsidRPr="008204CC" w:rsidRDefault="00620422" w:rsidP="0066301C">
            <w:pPr>
              <w:spacing w:after="0" w:line="240" w:lineRule="auto"/>
              <w:rPr>
                <w:rFonts w:ascii="Arial" w:eastAsia="Times New Roman" w:hAnsi="Arial" w:cs="Arial"/>
                <w:b/>
                <w:bCs/>
                <w:color w:val="000000"/>
                <w:sz w:val="18"/>
                <w:szCs w:val="18"/>
                <w:lang w:eastAsia="en-GB"/>
              </w:rPr>
            </w:pPr>
            <w:r w:rsidRPr="008204CC">
              <w:rPr>
                <w:rFonts w:ascii="Arial" w:eastAsia="Times New Roman" w:hAnsi="Arial" w:cs="Arial"/>
                <w:b/>
                <w:bCs/>
                <w:color w:val="000000"/>
                <w:sz w:val="18"/>
                <w:szCs w:val="18"/>
                <w:lang w:eastAsia="en-GB"/>
              </w:rPr>
              <w:t>Year</w:t>
            </w:r>
          </w:p>
        </w:tc>
        <w:tc>
          <w:tcPr>
            <w:tcW w:w="752" w:type="dxa"/>
            <w:gridSpan w:val="2"/>
            <w:tcBorders>
              <w:top w:val="single" w:sz="4" w:space="0" w:color="auto"/>
              <w:left w:val="nil"/>
              <w:bottom w:val="single" w:sz="4" w:space="0" w:color="auto"/>
              <w:right w:val="single" w:sz="4" w:space="0" w:color="auto"/>
            </w:tcBorders>
          </w:tcPr>
          <w:p w14:paraId="2BB0EB3C" w14:textId="77777777" w:rsidR="00620422" w:rsidRPr="008204CC" w:rsidRDefault="00620422" w:rsidP="0066301C">
            <w:pPr>
              <w:spacing w:after="0" w:line="240" w:lineRule="auto"/>
              <w:rPr>
                <w:rFonts w:ascii="Arial" w:eastAsia="Times New Roman" w:hAnsi="Arial" w:cs="Arial"/>
                <w:color w:val="000000"/>
                <w:sz w:val="18"/>
                <w:szCs w:val="18"/>
                <w:lang w:eastAsia="en-GB"/>
              </w:rPr>
            </w:pPr>
          </w:p>
        </w:tc>
        <w:tc>
          <w:tcPr>
            <w:tcW w:w="1196" w:type="dxa"/>
            <w:gridSpan w:val="2"/>
            <w:tcBorders>
              <w:top w:val="single" w:sz="4" w:space="0" w:color="auto"/>
              <w:left w:val="nil"/>
              <w:bottom w:val="single" w:sz="4" w:space="0" w:color="auto"/>
              <w:right w:val="single" w:sz="4" w:space="0" w:color="auto"/>
            </w:tcBorders>
          </w:tcPr>
          <w:p w14:paraId="3D3D1A04" w14:textId="77777777" w:rsidR="00620422" w:rsidRPr="008204CC" w:rsidRDefault="00620422" w:rsidP="0066301C">
            <w:pPr>
              <w:spacing w:after="0" w:line="240" w:lineRule="auto"/>
              <w:jc w:val="center"/>
              <w:rPr>
                <w:rFonts w:ascii="Arial" w:eastAsia="Times New Roman" w:hAnsi="Arial" w:cs="Arial"/>
                <w:b/>
                <w:bCs/>
                <w:color w:val="000000"/>
                <w:sz w:val="18"/>
                <w:szCs w:val="18"/>
                <w:lang w:eastAsia="en-GB"/>
              </w:rPr>
            </w:pPr>
            <w:r w:rsidRPr="008204CC">
              <w:rPr>
                <w:rFonts w:ascii="Arial" w:eastAsia="Times New Roman" w:hAnsi="Arial" w:cs="Arial"/>
                <w:b/>
                <w:bCs/>
                <w:color w:val="000000"/>
                <w:sz w:val="18"/>
                <w:szCs w:val="18"/>
                <w:lang w:eastAsia="en-GB"/>
              </w:rPr>
              <w:t>REER</w:t>
            </w:r>
          </w:p>
        </w:tc>
        <w:tc>
          <w:tcPr>
            <w:tcW w:w="1455" w:type="dxa"/>
            <w:gridSpan w:val="2"/>
            <w:tcBorders>
              <w:top w:val="single" w:sz="4" w:space="0" w:color="auto"/>
              <w:left w:val="nil"/>
              <w:bottom w:val="single" w:sz="4" w:space="0" w:color="auto"/>
              <w:right w:val="single" w:sz="4" w:space="0" w:color="auto"/>
            </w:tcBorders>
            <w:vAlign w:val="bottom"/>
          </w:tcPr>
          <w:p w14:paraId="6C1BCE49" w14:textId="77777777" w:rsidR="00620422" w:rsidRPr="008204CC" w:rsidRDefault="00620422" w:rsidP="0066301C">
            <w:pPr>
              <w:spacing w:after="0" w:line="240" w:lineRule="auto"/>
              <w:rPr>
                <w:rFonts w:ascii="Arial" w:eastAsia="Times New Roman" w:hAnsi="Arial" w:cs="Arial"/>
                <w:color w:val="000000"/>
                <w:sz w:val="18"/>
                <w:szCs w:val="18"/>
                <w:lang w:eastAsia="en-GB"/>
              </w:rPr>
            </w:pPr>
            <w:r w:rsidRPr="008204CC">
              <w:rPr>
                <w:rFonts w:ascii="Arial" w:eastAsia="Times New Roman" w:hAnsi="Arial" w:cs="Arial"/>
                <w:color w:val="000000"/>
                <w:sz w:val="18"/>
                <w:szCs w:val="18"/>
                <w:lang w:eastAsia="en-GB"/>
              </w:rPr>
              <w:t xml:space="preserve">BEER </w:t>
            </w:r>
          </w:p>
        </w:tc>
        <w:tc>
          <w:tcPr>
            <w:tcW w:w="2014" w:type="dxa"/>
            <w:tcBorders>
              <w:top w:val="single" w:sz="4" w:space="0" w:color="auto"/>
              <w:left w:val="nil"/>
              <w:bottom w:val="single" w:sz="4" w:space="0" w:color="auto"/>
              <w:right w:val="single" w:sz="4" w:space="0" w:color="auto"/>
            </w:tcBorders>
            <w:vAlign w:val="bottom"/>
          </w:tcPr>
          <w:p w14:paraId="01C5C7A0" w14:textId="77777777" w:rsidR="00620422" w:rsidRPr="008204CC" w:rsidRDefault="00620422" w:rsidP="0066301C">
            <w:pPr>
              <w:spacing w:after="0" w:line="240" w:lineRule="auto"/>
              <w:rPr>
                <w:rFonts w:ascii="Arial" w:eastAsia="Times New Roman" w:hAnsi="Arial" w:cs="Arial"/>
                <w:color w:val="000000"/>
                <w:sz w:val="18"/>
                <w:szCs w:val="18"/>
                <w:lang w:eastAsia="en-GB"/>
              </w:rPr>
            </w:pPr>
            <w:r w:rsidRPr="008204CC">
              <w:rPr>
                <w:rFonts w:ascii="Arial" w:eastAsia="Times New Roman" w:hAnsi="Arial" w:cs="Arial"/>
                <w:color w:val="000000"/>
                <w:sz w:val="18"/>
                <w:szCs w:val="18"/>
                <w:lang w:eastAsia="en-GB"/>
              </w:rPr>
              <w:t>MISALIGNMENT</w:t>
            </w:r>
            <w:r>
              <w:rPr>
                <w:rFonts w:ascii="Arial" w:eastAsia="Times New Roman" w:hAnsi="Arial" w:cs="Arial"/>
                <w:color w:val="000000"/>
                <w:sz w:val="18"/>
                <w:szCs w:val="18"/>
                <w:lang w:eastAsia="en-GB"/>
              </w:rPr>
              <w:t xml:space="preserve"> (%)</w:t>
            </w:r>
          </w:p>
        </w:tc>
      </w:tr>
      <w:tr w:rsidR="008A6AC3" w:rsidRPr="008204CC" w14:paraId="57B8FA39" w14:textId="77777777" w:rsidTr="00D46B41">
        <w:trPr>
          <w:trHeight w:val="330"/>
        </w:trPr>
        <w:tc>
          <w:tcPr>
            <w:tcW w:w="1135" w:type="dxa"/>
            <w:tcBorders>
              <w:top w:val="nil"/>
              <w:left w:val="single" w:sz="4" w:space="0" w:color="auto"/>
              <w:bottom w:val="single" w:sz="4" w:space="0" w:color="auto"/>
              <w:right w:val="single" w:sz="4" w:space="0" w:color="auto"/>
            </w:tcBorders>
            <w:shd w:val="clear" w:color="000000" w:fill="FFFFFF"/>
            <w:vAlign w:val="center"/>
            <w:hideMark/>
          </w:tcPr>
          <w:p w14:paraId="4A2AFFB0" w14:textId="77777777" w:rsidR="00620422" w:rsidRPr="008204CC" w:rsidRDefault="00620422" w:rsidP="0066301C">
            <w:pPr>
              <w:spacing w:after="0" w:line="240" w:lineRule="auto"/>
              <w:jc w:val="right"/>
              <w:rPr>
                <w:rFonts w:ascii="Arial" w:eastAsia="Times New Roman" w:hAnsi="Arial" w:cs="Arial"/>
                <w:color w:val="000000"/>
                <w:sz w:val="18"/>
                <w:szCs w:val="18"/>
                <w:lang w:eastAsia="en-GB"/>
              </w:rPr>
            </w:pPr>
            <w:r w:rsidRPr="008204CC">
              <w:rPr>
                <w:rFonts w:ascii="Arial" w:eastAsia="Times New Roman" w:hAnsi="Arial" w:cs="Arial"/>
                <w:color w:val="000000"/>
                <w:sz w:val="18"/>
                <w:szCs w:val="18"/>
                <w:lang w:eastAsia="en-GB"/>
              </w:rPr>
              <w:t>2004</w:t>
            </w:r>
          </w:p>
        </w:tc>
        <w:tc>
          <w:tcPr>
            <w:tcW w:w="1701" w:type="dxa"/>
            <w:tcBorders>
              <w:top w:val="nil"/>
              <w:left w:val="nil"/>
              <w:bottom w:val="single" w:sz="4" w:space="0" w:color="auto"/>
              <w:right w:val="single" w:sz="4" w:space="0" w:color="auto"/>
            </w:tcBorders>
            <w:shd w:val="clear" w:color="auto" w:fill="auto"/>
            <w:vAlign w:val="center"/>
            <w:hideMark/>
          </w:tcPr>
          <w:p w14:paraId="6E9FE88A" w14:textId="77777777" w:rsidR="00620422" w:rsidRPr="008204CC" w:rsidRDefault="00620422" w:rsidP="0066301C">
            <w:pPr>
              <w:spacing w:after="0" w:line="240" w:lineRule="auto"/>
              <w:jc w:val="right"/>
              <w:rPr>
                <w:rFonts w:ascii="Arial" w:eastAsia="Times New Roman" w:hAnsi="Arial" w:cs="Arial"/>
                <w:color w:val="000000"/>
                <w:sz w:val="18"/>
                <w:szCs w:val="18"/>
                <w:lang w:eastAsia="en-GB"/>
              </w:rPr>
            </w:pPr>
            <w:r w:rsidRPr="008204CC">
              <w:rPr>
                <w:rFonts w:ascii="Arial" w:eastAsia="Times New Roman" w:hAnsi="Arial" w:cs="Arial"/>
                <w:color w:val="000000"/>
                <w:sz w:val="18"/>
                <w:szCs w:val="18"/>
                <w:lang w:eastAsia="en-GB"/>
              </w:rPr>
              <w:t>94.921</w:t>
            </w:r>
          </w:p>
        </w:tc>
        <w:tc>
          <w:tcPr>
            <w:tcW w:w="1701" w:type="dxa"/>
            <w:tcBorders>
              <w:top w:val="nil"/>
              <w:left w:val="nil"/>
              <w:bottom w:val="single" w:sz="4" w:space="0" w:color="auto"/>
              <w:right w:val="single" w:sz="4" w:space="0" w:color="auto"/>
            </w:tcBorders>
            <w:shd w:val="clear" w:color="auto" w:fill="auto"/>
            <w:noWrap/>
            <w:vAlign w:val="bottom"/>
            <w:hideMark/>
          </w:tcPr>
          <w:p w14:paraId="07A8DBAA" w14:textId="77777777" w:rsidR="00620422" w:rsidRPr="008204CC" w:rsidRDefault="00620422" w:rsidP="0066301C">
            <w:pPr>
              <w:spacing w:after="0" w:line="240" w:lineRule="auto"/>
              <w:jc w:val="right"/>
              <w:rPr>
                <w:rFonts w:ascii="Arial" w:eastAsia="Times New Roman" w:hAnsi="Arial" w:cs="Arial"/>
                <w:color w:val="000000"/>
                <w:sz w:val="18"/>
                <w:szCs w:val="18"/>
                <w:lang w:eastAsia="en-GB"/>
              </w:rPr>
            </w:pPr>
            <w:r w:rsidRPr="008204CC">
              <w:rPr>
                <w:rFonts w:ascii="Arial" w:eastAsia="Times New Roman" w:hAnsi="Arial" w:cs="Arial"/>
                <w:color w:val="000000"/>
                <w:sz w:val="18"/>
                <w:szCs w:val="18"/>
                <w:lang w:eastAsia="en-GB"/>
              </w:rPr>
              <w:t>99.226006</w:t>
            </w:r>
          </w:p>
        </w:tc>
        <w:tc>
          <w:tcPr>
            <w:tcW w:w="1984" w:type="dxa"/>
            <w:tcBorders>
              <w:top w:val="nil"/>
              <w:left w:val="nil"/>
              <w:bottom w:val="single" w:sz="4" w:space="0" w:color="auto"/>
              <w:right w:val="single" w:sz="4" w:space="0" w:color="auto"/>
            </w:tcBorders>
            <w:shd w:val="clear" w:color="auto" w:fill="auto"/>
            <w:noWrap/>
            <w:vAlign w:val="bottom"/>
            <w:hideMark/>
          </w:tcPr>
          <w:p w14:paraId="73FFC107" w14:textId="77777777" w:rsidR="00620422" w:rsidRPr="008204CC" w:rsidRDefault="00620422" w:rsidP="0066301C">
            <w:pPr>
              <w:spacing w:after="0" w:line="240" w:lineRule="auto"/>
              <w:jc w:val="right"/>
              <w:rPr>
                <w:rFonts w:ascii="Arial" w:eastAsia="Times New Roman" w:hAnsi="Arial" w:cs="Arial"/>
                <w:color w:val="000000"/>
                <w:sz w:val="18"/>
                <w:szCs w:val="18"/>
                <w:lang w:eastAsia="en-GB"/>
              </w:rPr>
            </w:pPr>
            <w:r w:rsidRPr="008204CC">
              <w:rPr>
                <w:rFonts w:ascii="Arial" w:eastAsia="Times New Roman" w:hAnsi="Arial" w:cs="Arial"/>
                <w:color w:val="000000"/>
                <w:sz w:val="18"/>
                <w:szCs w:val="18"/>
                <w:lang w:eastAsia="en-GB"/>
              </w:rPr>
              <w:t>-4.305005999</w:t>
            </w:r>
          </w:p>
        </w:tc>
        <w:tc>
          <w:tcPr>
            <w:tcW w:w="709" w:type="dxa"/>
            <w:vMerge/>
            <w:tcBorders>
              <w:left w:val="nil"/>
              <w:right w:val="single" w:sz="4" w:space="0" w:color="auto"/>
            </w:tcBorders>
          </w:tcPr>
          <w:p w14:paraId="359D1331" w14:textId="77777777" w:rsidR="00620422" w:rsidRPr="008204CC" w:rsidRDefault="00620422" w:rsidP="0066301C">
            <w:pPr>
              <w:spacing w:after="0" w:line="240" w:lineRule="auto"/>
              <w:jc w:val="right"/>
              <w:rPr>
                <w:rFonts w:ascii="Arial" w:eastAsia="Times New Roman" w:hAnsi="Arial" w:cs="Arial"/>
                <w:color w:val="000000"/>
                <w:sz w:val="18"/>
                <w:szCs w:val="18"/>
                <w:lang w:eastAsia="en-GB"/>
              </w:rPr>
            </w:pPr>
          </w:p>
        </w:tc>
        <w:tc>
          <w:tcPr>
            <w:tcW w:w="678" w:type="dxa"/>
            <w:tcBorders>
              <w:top w:val="nil"/>
              <w:left w:val="nil"/>
              <w:bottom w:val="single" w:sz="4" w:space="0" w:color="auto"/>
              <w:right w:val="nil"/>
            </w:tcBorders>
            <w:vAlign w:val="center"/>
          </w:tcPr>
          <w:p w14:paraId="65F61D22" w14:textId="77777777" w:rsidR="00620422" w:rsidRPr="008204CC" w:rsidRDefault="00620422" w:rsidP="0066301C">
            <w:pPr>
              <w:spacing w:after="0" w:line="240" w:lineRule="auto"/>
              <w:jc w:val="right"/>
              <w:rPr>
                <w:rFonts w:ascii="Arial" w:eastAsia="Times New Roman" w:hAnsi="Arial" w:cs="Arial"/>
                <w:color w:val="000000"/>
                <w:sz w:val="18"/>
                <w:szCs w:val="18"/>
                <w:lang w:eastAsia="en-GB"/>
              </w:rPr>
            </w:pPr>
            <w:r w:rsidRPr="008204CC">
              <w:rPr>
                <w:rFonts w:ascii="Arial" w:eastAsia="Times New Roman" w:hAnsi="Arial" w:cs="Arial"/>
                <w:color w:val="000000"/>
                <w:sz w:val="18"/>
                <w:szCs w:val="18"/>
                <w:lang w:eastAsia="en-GB"/>
              </w:rPr>
              <w:t>2004</w:t>
            </w:r>
          </w:p>
        </w:tc>
        <w:tc>
          <w:tcPr>
            <w:tcW w:w="752" w:type="dxa"/>
            <w:gridSpan w:val="2"/>
            <w:tcBorders>
              <w:top w:val="nil"/>
              <w:left w:val="nil"/>
              <w:bottom w:val="single" w:sz="4" w:space="0" w:color="auto"/>
              <w:right w:val="single" w:sz="4" w:space="0" w:color="auto"/>
            </w:tcBorders>
          </w:tcPr>
          <w:p w14:paraId="2DC8957E" w14:textId="77777777" w:rsidR="00620422" w:rsidRPr="008204CC" w:rsidRDefault="00620422" w:rsidP="0066301C">
            <w:pPr>
              <w:spacing w:after="0" w:line="240" w:lineRule="auto"/>
              <w:jc w:val="right"/>
              <w:rPr>
                <w:rFonts w:ascii="Arial" w:eastAsia="Times New Roman" w:hAnsi="Arial" w:cs="Arial"/>
                <w:color w:val="000000"/>
                <w:sz w:val="18"/>
                <w:szCs w:val="18"/>
                <w:lang w:eastAsia="en-GB"/>
              </w:rPr>
            </w:pPr>
          </w:p>
        </w:tc>
        <w:tc>
          <w:tcPr>
            <w:tcW w:w="1196" w:type="dxa"/>
            <w:gridSpan w:val="2"/>
            <w:tcBorders>
              <w:top w:val="nil"/>
              <w:left w:val="nil"/>
              <w:bottom w:val="single" w:sz="4" w:space="0" w:color="auto"/>
              <w:right w:val="single" w:sz="4" w:space="0" w:color="auto"/>
            </w:tcBorders>
            <w:vAlign w:val="bottom"/>
          </w:tcPr>
          <w:p w14:paraId="031BCB15" w14:textId="77777777" w:rsidR="00620422" w:rsidRPr="008204CC" w:rsidRDefault="00620422" w:rsidP="0066301C">
            <w:pPr>
              <w:spacing w:after="0" w:line="240" w:lineRule="auto"/>
              <w:jc w:val="right"/>
              <w:rPr>
                <w:rFonts w:ascii="Arial" w:eastAsia="Times New Roman" w:hAnsi="Arial" w:cs="Arial"/>
                <w:color w:val="000000"/>
                <w:sz w:val="18"/>
                <w:szCs w:val="18"/>
                <w:lang w:eastAsia="en-GB"/>
              </w:rPr>
            </w:pPr>
            <w:r w:rsidRPr="008204CC">
              <w:rPr>
                <w:rFonts w:ascii="Arial" w:eastAsia="Times New Roman" w:hAnsi="Arial" w:cs="Arial"/>
                <w:color w:val="000000"/>
                <w:sz w:val="18"/>
                <w:szCs w:val="18"/>
                <w:lang w:eastAsia="en-GB"/>
              </w:rPr>
              <w:t>142.8968</w:t>
            </w:r>
          </w:p>
        </w:tc>
        <w:tc>
          <w:tcPr>
            <w:tcW w:w="1455" w:type="dxa"/>
            <w:gridSpan w:val="2"/>
            <w:tcBorders>
              <w:top w:val="nil"/>
              <w:left w:val="nil"/>
              <w:bottom w:val="single" w:sz="4" w:space="0" w:color="auto"/>
              <w:right w:val="single" w:sz="4" w:space="0" w:color="auto"/>
            </w:tcBorders>
            <w:vAlign w:val="bottom"/>
          </w:tcPr>
          <w:p w14:paraId="5C4AA2F8" w14:textId="77777777" w:rsidR="00620422" w:rsidRPr="008204CC" w:rsidRDefault="00620422" w:rsidP="0066301C">
            <w:pPr>
              <w:spacing w:after="0" w:line="240" w:lineRule="auto"/>
              <w:jc w:val="right"/>
              <w:rPr>
                <w:rFonts w:ascii="Arial" w:eastAsia="Times New Roman" w:hAnsi="Arial" w:cs="Arial"/>
                <w:color w:val="000000"/>
                <w:sz w:val="18"/>
                <w:szCs w:val="18"/>
                <w:lang w:eastAsia="en-GB"/>
              </w:rPr>
            </w:pPr>
            <w:r w:rsidRPr="008204CC">
              <w:rPr>
                <w:rFonts w:ascii="Arial" w:eastAsia="Times New Roman" w:hAnsi="Arial" w:cs="Arial"/>
                <w:color w:val="000000"/>
                <w:sz w:val="18"/>
                <w:szCs w:val="18"/>
                <w:lang w:eastAsia="en-GB"/>
              </w:rPr>
              <w:t>149.9026842</w:t>
            </w:r>
          </w:p>
        </w:tc>
        <w:tc>
          <w:tcPr>
            <w:tcW w:w="2014" w:type="dxa"/>
            <w:tcBorders>
              <w:top w:val="nil"/>
              <w:left w:val="nil"/>
              <w:bottom w:val="single" w:sz="4" w:space="0" w:color="auto"/>
              <w:right w:val="single" w:sz="4" w:space="0" w:color="auto"/>
            </w:tcBorders>
            <w:vAlign w:val="bottom"/>
          </w:tcPr>
          <w:p w14:paraId="365AE2BB" w14:textId="77777777" w:rsidR="00620422" w:rsidRPr="008204CC" w:rsidRDefault="00620422" w:rsidP="0066301C">
            <w:pPr>
              <w:spacing w:after="0" w:line="240" w:lineRule="auto"/>
              <w:jc w:val="right"/>
              <w:rPr>
                <w:rFonts w:ascii="Arial" w:eastAsia="Times New Roman" w:hAnsi="Arial" w:cs="Arial"/>
                <w:color w:val="000000"/>
                <w:sz w:val="18"/>
                <w:szCs w:val="18"/>
                <w:lang w:eastAsia="en-GB"/>
              </w:rPr>
            </w:pPr>
            <w:r w:rsidRPr="008204CC">
              <w:rPr>
                <w:rFonts w:ascii="Arial" w:eastAsia="Times New Roman" w:hAnsi="Arial" w:cs="Arial"/>
                <w:color w:val="000000"/>
                <w:sz w:val="18"/>
                <w:szCs w:val="18"/>
                <w:lang w:eastAsia="en-GB"/>
              </w:rPr>
              <w:t>-7.005902488</w:t>
            </w:r>
          </w:p>
        </w:tc>
      </w:tr>
      <w:tr w:rsidR="008A6AC3" w:rsidRPr="008204CC" w14:paraId="793747DF" w14:textId="77777777" w:rsidTr="00D46B41">
        <w:trPr>
          <w:trHeight w:val="330"/>
        </w:trPr>
        <w:tc>
          <w:tcPr>
            <w:tcW w:w="1135" w:type="dxa"/>
            <w:tcBorders>
              <w:top w:val="nil"/>
              <w:left w:val="single" w:sz="4" w:space="0" w:color="auto"/>
              <w:bottom w:val="single" w:sz="4" w:space="0" w:color="auto"/>
              <w:right w:val="single" w:sz="4" w:space="0" w:color="auto"/>
            </w:tcBorders>
            <w:shd w:val="clear" w:color="000000" w:fill="FFFFFF"/>
            <w:vAlign w:val="center"/>
            <w:hideMark/>
          </w:tcPr>
          <w:p w14:paraId="6E6431D3" w14:textId="77777777" w:rsidR="00620422" w:rsidRPr="008204CC" w:rsidRDefault="00620422" w:rsidP="0066301C">
            <w:pPr>
              <w:spacing w:after="0" w:line="240" w:lineRule="auto"/>
              <w:jc w:val="right"/>
              <w:rPr>
                <w:rFonts w:ascii="Arial" w:eastAsia="Times New Roman" w:hAnsi="Arial" w:cs="Arial"/>
                <w:color w:val="000000"/>
                <w:sz w:val="18"/>
                <w:szCs w:val="18"/>
                <w:lang w:eastAsia="en-GB"/>
              </w:rPr>
            </w:pPr>
            <w:r w:rsidRPr="008204CC">
              <w:rPr>
                <w:rFonts w:ascii="Arial" w:eastAsia="Times New Roman" w:hAnsi="Arial" w:cs="Arial"/>
                <w:color w:val="000000"/>
                <w:sz w:val="18"/>
                <w:szCs w:val="18"/>
                <w:lang w:eastAsia="en-GB"/>
              </w:rPr>
              <w:t>2005</w:t>
            </w:r>
          </w:p>
        </w:tc>
        <w:tc>
          <w:tcPr>
            <w:tcW w:w="1701" w:type="dxa"/>
            <w:tcBorders>
              <w:top w:val="nil"/>
              <w:left w:val="nil"/>
              <w:bottom w:val="single" w:sz="4" w:space="0" w:color="auto"/>
              <w:right w:val="single" w:sz="4" w:space="0" w:color="auto"/>
            </w:tcBorders>
            <w:shd w:val="clear" w:color="auto" w:fill="auto"/>
            <w:vAlign w:val="center"/>
            <w:hideMark/>
          </w:tcPr>
          <w:p w14:paraId="14D852AF" w14:textId="77777777" w:rsidR="00620422" w:rsidRPr="008204CC" w:rsidRDefault="00620422" w:rsidP="0066301C">
            <w:pPr>
              <w:spacing w:after="0" w:line="240" w:lineRule="auto"/>
              <w:jc w:val="right"/>
              <w:rPr>
                <w:rFonts w:ascii="Arial" w:eastAsia="Times New Roman" w:hAnsi="Arial" w:cs="Arial"/>
                <w:color w:val="000000"/>
                <w:sz w:val="18"/>
                <w:szCs w:val="18"/>
                <w:lang w:eastAsia="en-GB"/>
              </w:rPr>
            </w:pPr>
            <w:r w:rsidRPr="008204CC">
              <w:rPr>
                <w:rFonts w:ascii="Arial" w:eastAsia="Times New Roman" w:hAnsi="Arial" w:cs="Arial"/>
                <w:color w:val="000000"/>
                <w:sz w:val="18"/>
                <w:szCs w:val="18"/>
                <w:lang w:eastAsia="en-GB"/>
              </w:rPr>
              <w:t>98.708</w:t>
            </w:r>
          </w:p>
        </w:tc>
        <w:tc>
          <w:tcPr>
            <w:tcW w:w="1701" w:type="dxa"/>
            <w:tcBorders>
              <w:top w:val="nil"/>
              <w:left w:val="nil"/>
              <w:bottom w:val="single" w:sz="4" w:space="0" w:color="auto"/>
              <w:right w:val="single" w:sz="4" w:space="0" w:color="auto"/>
            </w:tcBorders>
            <w:shd w:val="clear" w:color="auto" w:fill="auto"/>
            <w:noWrap/>
            <w:vAlign w:val="bottom"/>
            <w:hideMark/>
          </w:tcPr>
          <w:p w14:paraId="49E8ADC2" w14:textId="77777777" w:rsidR="00620422" w:rsidRPr="008204CC" w:rsidRDefault="00620422" w:rsidP="0066301C">
            <w:pPr>
              <w:spacing w:after="0" w:line="240" w:lineRule="auto"/>
              <w:jc w:val="right"/>
              <w:rPr>
                <w:rFonts w:ascii="Arial" w:eastAsia="Times New Roman" w:hAnsi="Arial" w:cs="Arial"/>
                <w:color w:val="000000"/>
                <w:sz w:val="18"/>
                <w:szCs w:val="18"/>
                <w:lang w:eastAsia="en-GB"/>
              </w:rPr>
            </w:pPr>
            <w:r w:rsidRPr="008204CC">
              <w:rPr>
                <w:rFonts w:ascii="Arial" w:eastAsia="Times New Roman" w:hAnsi="Arial" w:cs="Arial"/>
                <w:color w:val="000000"/>
                <w:sz w:val="18"/>
                <w:szCs w:val="18"/>
                <w:lang w:eastAsia="en-GB"/>
              </w:rPr>
              <w:t>99.59353883</w:t>
            </w:r>
          </w:p>
        </w:tc>
        <w:tc>
          <w:tcPr>
            <w:tcW w:w="1984" w:type="dxa"/>
            <w:tcBorders>
              <w:top w:val="nil"/>
              <w:left w:val="nil"/>
              <w:bottom w:val="single" w:sz="4" w:space="0" w:color="auto"/>
              <w:right w:val="single" w:sz="4" w:space="0" w:color="auto"/>
            </w:tcBorders>
            <w:shd w:val="clear" w:color="auto" w:fill="auto"/>
            <w:noWrap/>
            <w:vAlign w:val="bottom"/>
            <w:hideMark/>
          </w:tcPr>
          <w:p w14:paraId="7E5ECF6D" w14:textId="77777777" w:rsidR="00620422" w:rsidRPr="008204CC" w:rsidRDefault="00620422" w:rsidP="0066301C">
            <w:pPr>
              <w:spacing w:after="0" w:line="240" w:lineRule="auto"/>
              <w:jc w:val="right"/>
              <w:rPr>
                <w:rFonts w:ascii="Arial" w:eastAsia="Times New Roman" w:hAnsi="Arial" w:cs="Arial"/>
                <w:color w:val="000000"/>
                <w:sz w:val="18"/>
                <w:szCs w:val="18"/>
                <w:lang w:eastAsia="en-GB"/>
              </w:rPr>
            </w:pPr>
            <w:r w:rsidRPr="008204CC">
              <w:rPr>
                <w:rFonts w:ascii="Arial" w:eastAsia="Times New Roman" w:hAnsi="Arial" w:cs="Arial"/>
                <w:color w:val="000000"/>
                <w:sz w:val="18"/>
                <w:szCs w:val="18"/>
                <w:lang w:eastAsia="en-GB"/>
              </w:rPr>
              <w:t>-0.885538826</w:t>
            </w:r>
          </w:p>
        </w:tc>
        <w:tc>
          <w:tcPr>
            <w:tcW w:w="709" w:type="dxa"/>
            <w:vMerge/>
            <w:tcBorders>
              <w:left w:val="nil"/>
              <w:right w:val="single" w:sz="4" w:space="0" w:color="auto"/>
            </w:tcBorders>
          </w:tcPr>
          <w:p w14:paraId="164894A4" w14:textId="77777777" w:rsidR="00620422" w:rsidRPr="008204CC" w:rsidRDefault="00620422" w:rsidP="0066301C">
            <w:pPr>
              <w:spacing w:after="0" w:line="240" w:lineRule="auto"/>
              <w:jc w:val="right"/>
              <w:rPr>
                <w:rFonts w:ascii="Arial" w:eastAsia="Times New Roman" w:hAnsi="Arial" w:cs="Arial"/>
                <w:color w:val="000000"/>
                <w:sz w:val="18"/>
                <w:szCs w:val="18"/>
                <w:lang w:eastAsia="en-GB"/>
              </w:rPr>
            </w:pPr>
          </w:p>
        </w:tc>
        <w:tc>
          <w:tcPr>
            <w:tcW w:w="678" w:type="dxa"/>
            <w:tcBorders>
              <w:top w:val="nil"/>
              <w:left w:val="nil"/>
              <w:bottom w:val="single" w:sz="4" w:space="0" w:color="auto"/>
              <w:right w:val="nil"/>
            </w:tcBorders>
            <w:vAlign w:val="center"/>
          </w:tcPr>
          <w:p w14:paraId="797B1DC8" w14:textId="77777777" w:rsidR="00620422" w:rsidRPr="008204CC" w:rsidRDefault="00620422" w:rsidP="0066301C">
            <w:pPr>
              <w:spacing w:after="0" w:line="240" w:lineRule="auto"/>
              <w:jc w:val="right"/>
              <w:rPr>
                <w:rFonts w:ascii="Arial" w:eastAsia="Times New Roman" w:hAnsi="Arial" w:cs="Arial"/>
                <w:color w:val="000000"/>
                <w:sz w:val="18"/>
                <w:szCs w:val="18"/>
                <w:lang w:eastAsia="en-GB"/>
              </w:rPr>
            </w:pPr>
            <w:r w:rsidRPr="008204CC">
              <w:rPr>
                <w:rFonts w:ascii="Arial" w:eastAsia="Times New Roman" w:hAnsi="Arial" w:cs="Arial"/>
                <w:color w:val="000000"/>
                <w:sz w:val="18"/>
                <w:szCs w:val="18"/>
                <w:lang w:eastAsia="en-GB"/>
              </w:rPr>
              <w:t>2005</w:t>
            </w:r>
          </w:p>
        </w:tc>
        <w:tc>
          <w:tcPr>
            <w:tcW w:w="752" w:type="dxa"/>
            <w:gridSpan w:val="2"/>
            <w:tcBorders>
              <w:top w:val="nil"/>
              <w:left w:val="nil"/>
              <w:bottom w:val="single" w:sz="4" w:space="0" w:color="auto"/>
              <w:right w:val="single" w:sz="4" w:space="0" w:color="auto"/>
            </w:tcBorders>
          </w:tcPr>
          <w:p w14:paraId="0332896E" w14:textId="77777777" w:rsidR="00620422" w:rsidRPr="008204CC" w:rsidRDefault="00620422" w:rsidP="0066301C">
            <w:pPr>
              <w:spacing w:after="0" w:line="240" w:lineRule="auto"/>
              <w:jc w:val="right"/>
              <w:rPr>
                <w:rFonts w:ascii="Arial" w:eastAsia="Times New Roman" w:hAnsi="Arial" w:cs="Arial"/>
                <w:color w:val="000000"/>
                <w:sz w:val="18"/>
                <w:szCs w:val="18"/>
                <w:lang w:eastAsia="en-GB"/>
              </w:rPr>
            </w:pPr>
          </w:p>
        </w:tc>
        <w:tc>
          <w:tcPr>
            <w:tcW w:w="1196" w:type="dxa"/>
            <w:gridSpan w:val="2"/>
            <w:tcBorders>
              <w:top w:val="nil"/>
              <w:left w:val="nil"/>
              <w:bottom w:val="single" w:sz="4" w:space="0" w:color="auto"/>
              <w:right w:val="single" w:sz="4" w:space="0" w:color="auto"/>
            </w:tcBorders>
            <w:vAlign w:val="bottom"/>
          </w:tcPr>
          <w:p w14:paraId="44CEF988" w14:textId="77777777" w:rsidR="00620422" w:rsidRPr="008204CC" w:rsidRDefault="00620422" w:rsidP="0066301C">
            <w:pPr>
              <w:spacing w:after="0" w:line="240" w:lineRule="auto"/>
              <w:jc w:val="right"/>
              <w:rPr>
                <w:rFonts w:ascii="Arial" w:eastAsia="Times New Roman" w:hAnsi="Arial" w:cs="Arial"/>
                <w:color w:val="000000"/>
                <w:sz w:val="18"/>
                <w:szCs w:val="18"/>
                <w:lang w:eastAsia="en-GB"/>
              </w:rPr>
            </w:pPr>
            <w:r w:rsidRPr="008204CC">
              <w:rPr>
                <w:rFonts w:ascii="Arial" w:eastAsia="Times New Roman" w:hAnsi="Arial" w:cs="Arial"/>
                <w:color w:val="000000"/>
                <w:sz w:val="18"/>
                <w:szCs w:val="18"/>
                <w:lang w:eastAsia="en-GB"/>
              </w:rPr>
              <w:t>139.8482</w:t>
            </w:r>
          </w:p>
        </w:tc>
        <w:tc>
          <w:tcPr>
            <w:tcW w:w="1455" w:type="dxa"/>
            <w:gridSpan w:val="2"/>
            <w:tcBorders>
              <w:top w:val="nil"/>
              <w:left w:val="nil"/>
              <w:bottom w:val="single" w:sz="4" w:space="0" w:color="auto"/>
              <w:right w:val="single" w:sz="4" w:space="0" w:color="auto"/>
            </w:tcBorders>
            <w:vAlign w:val="bottom"/>
          </w:tcPr>
          <w:p w14:paraId="5347B591" w14:textId="77777777" w:rsidR="00620422" w:rsidRPr="008204CC" w:rsidRDefault="00620422" w:rsidP="0066301C">
            <w:pPr>
              <w:spacing w:after="0" w:line="240" w:lineRule="auto"/>
              <w:jc w:val="right"/>
              <w:rPr>
                <w:rFonts w:ascii="Arial" w:eastAsia="Times New Roman" w:hAnsi="Arial" w:cs="Arial"/>
                <w:color w:val="000000"/>
                <w:sz w:val="18"/>
                <w:szCs w:val="18"/>
                <w:lang w:eastAsia="en-GB"/>
              </w:rPr>
            </w:pPr>
            <w:r w:rsidRPr="008204CC">
              <w:rPr>
                <w:rFonts w:ascii="Arial" w:eastAsia="Times New Roman" w:hAnsi="Arial" w:cs="Arial"/>
                <w:color w:val="000000"/>
                <w:sz w:val="18"/>
                <w:szCs w:val="18"/>
                <w:lang w:eastAsia="en-GB"/>
              </w:rPr>
              <w:t>146.6652487</w:t>
            </w:r>
          </w:p>
        </w:tc>
        <w:tc>
          <w:tcPr>
            <w:tcW w:w="2014" w:type="dxa"/>
            <w:tcBorders>
              <w:top w:val="nil"/>
              <w:left w:val="nil"/>
              <w:bottom w:val="single" w:sz="4" w:space="0" w:color="auto"/>
              <w:right w:val="single" w:sz="4" w:space="0" w:color="auto"/>
            </w:tcBorders>
            <w:vAlign w:val="bottom"/>
          </w:tcPr>
          <w:p w14:paraId="010D6062" w14:textId="77777777" w:rsidR="00620422" w:rsidRPr="008204CC" w:rsidRDefault="00620422" w:rsidP="0066301C">
            <w:pPr>
              <w:spacing w:after="0" w:line="240" w:lineRule="auto"/>
              <w:jc w:val="right"/>
              <w:rPr>
                <w:rFonts w:ascii="Arial" w:eastAsia="Times New Roman" w:hAnsi="Arial" w:cs="Arial"/>
                <w:color w:val="000000"/>
                <w:sz w:val="18"/>
                <w:szCs w:val="18"/>
                <w:lang w:eastAsia="en-GB"/>
              </w:rPr>
            </w:pPr>
            <w:r w:rsidRPr="008204CC">
              <w:rPr>
                <w:rFonts w:ascii="Arial" w:eastAsia="Times New Roman" w:hAnsi="Arial" w:cs="Arial"/>
                <w:color w:val="000000"/>
                <w:sz w:val="18"/>
                <w:szCs w:val="18"/>
                <w:lang w:eastAsia="en-GB"/>
              </w:rPr>
              <w:t>-6.817015864</w:t>
            </w:r>
          </w:p>
        </w:tc>
      </w:tr>
      <w:tr w:rsidR="008A6AC3" w:rsidRPr="008204CC" w14:paraId="0E272732" w14:textId="77777777" w:rsidTr="00D46B41">
        <w:trPr>
          <w:trHeight w:val="330"/>
        </w:trPr>
        <w:tc>
          <w:tcPr>
            <w:tcW w:w="1135" w:type="dxa"/>
            <w:tcBorders>
              <w:top w:val="nil"/>
              <w:left w:val="single" w:sz="4" w:space="0" w:color="auto"/>
              <w:bottom w:val="single" w:sz="4" w:space="0" w:color="auto"/>
              <w:right w:val="single" w:sz="4" w:space="0" w:color="auto"/>
            </w:tcBorders>
            <w:shd w:val="clear" w:color="000000" w:fill="FFFFFF"/>
            <w:vAlign w:val="center"/>
            <w:hideMark/>
          </w:tcPr>
          <w:p w14:paraId="58CD1FA9" w14:textId="77777777" w:rsidR="00620422" w:rsidRPr="008204CC" w:rsidRDefault="00620422" w:rsidP="0066301C">
            <w:pPr>
              <w:spacing w:after="0" w:line="240" w:lineRule="auto"/>
              <w:jc w:val="right"/>
              <w:rPr>
                <w:rFonts w:ascii="Arial" w:eastAsia="Times New Roman" w:hAnsi="Arial" w:cs="Arial"/>
                <w:color w:val="000000"/>
                <w:sz w:val="18"/>
                <w:szCs w:val="18"/>
                <w:lang w:eastAsia="en-GB"/>
              </w:rPr>
            </w:pPr>
            <w:r w:rsidRPr="008204CC">
              <w:rPr>
                <w:rFonts w:ascii="Arial" w:eastAsia="Times New Roman" w:hAnsi="Arial" w:cs="Arial"/>
                <w:color w:val="000000"/>
                <w:sz w:val="18"/>
                <w:szCs w:val="18"/>
                <w:lang w:eastAsia="en-GB"/>
              </w:rPr>
              <w:t>2006</w:t>
            </w:r>
          </w:p>
        </w:tc>
        <w:tc>
          <w:tcPr>
            <w:tcW w:w="1701" w:type="dxa"/>
            <w:tcBorders>
              <w:top w:val="nil"/>
              <w:left w:val="nil"/>
              <w:bottom w:val="single" w:sz="4" w:space="0" w:color="auto"/>
              <w:right w:val="single" w:sz="4" w:space="0" w:color="auto"/>
            </w:tcBorders>
            <w:shd w:val="clear" w:color="auto" w:fill="auto"/>
            <w:vAlign w:val="center"/>
            <w:hideMark/>
          </w:tcPr>
          <w:p w14:paraId="5044801E" w14:textId="77777777" w:rsidR="00620422" w:rsidRPr="008204CC" w:rsidRDefault="00620422" w:rsidP="0066301C">
            <w:pPr>
              <w:spacing w:after="0" w:line="240" w:lineRule="auto"/>
              <w:jc w:val="right"/>
              <w:rPr>
                <w:rFonts w:ascii="Arial" w:eastAsia="Times New Roman" w:hAnsi="Arial" w:cs="Arial"/>
                <w:color w:val="000000"/>
                <w:sz w:val="18"/>
                <w:szCs w:val="18"/>
                <w:lang w:eastAsia="en-GB"/>
              </w:rPr>
            </w:pPr>
            <w:r w:rsidRPr="008204CC">
              <w:rPr>
                <w:rFonts w:ascii="Arial" w:eastAsia="Times New Roman" w:hAnsi="Arial" w:cs="Arial"/>
                <w:color w:val="000000"/>
                <w:sz w:val="18"/>
                <w:szCs w:val="18"/>
                <w:lang w:eastAsia="en-GB"/>
              </w:rPr>
              <w:t>103.541</w:t>
            </w:r>
          </w:p>
        </w:tc>
        <w:tc>
          <w:tcPr>
            <w:tcW w:w="1701" w:type="dxa"/>
            <w:tcBorders>
              <w:top w:val="nil"/>
              <w:left w:val="nil"/>
              <w:bottom w:val="single" w:sz="4" w:space="0" w:color="auto"/>
              <w:right w:val="single" w:sz="4" w:space="0" w:color="auto"/>
            </w:tcBorders>
            <w:shd w:val="clear" w:color="auto" w:fill="auto"/>
            <w:noWrap/>
            <w:vAlign w:val="bottom"/>
            <w:hideMark/>
          </w:tcPr>
          <w:p w14:paraId="6EF3E40D" w14:textId="77777777" w:rsidR="00620422" w:rsidRPr="008204CC" w:rsidRDefault="00620422" w:rsidP="0066301C">
            <w:pPr>
              <w:spacing w:after="0" w:line="240" w:lineRule="auto"/>
              <w:jc w:val="right"/>
              <w:rPr>
                <w:rFonts w:ascii="Arial" w:eastAsia="Times New Roman" w:hAnsi="Arial" w:cs="Arial"/>
                <w:color w:val="000000"/>
                <w:sz w:val="18"/>
                <w:szCs w:val="18"/>
                <w:lang w:eastAsia="en-GB"/>
              </w:rPr>
            </w:pPr>
            <w:r w:rsidRPr="008204CC">
              <w:rPr>
                <w:rFonts w:ascii="Arial" w:eastAsia="Times New Roman" w:hAnsi="Arial" w:cs="Arial"/>
                <w:color w:val="000000"/>
                <w:sz w:val="18"/>
                <w:szCs w:val="18"/>
                <w:lang w:eastAsia="en-GB"/>
              </w:rPr>
              <w:t>99.91802159</w:t>
            </w:r>
          </w:p>
        </w:tc>
        <w:tc>
          <w:tcPr>
            <w:tcW w:w="1984" w:type="dxa"/>
            <w:tcBorders>
              <w:top w:val="nil"/>
              <w:left w:val="nil"/>
              <w:bottom w:val="single" w:sz="4" w:space="0" w:color="auto"/>
              <w:right w:val="single" w:sz="4" w:space="0" w:color="auto"/>
            </w:tcBorders>
            <w:shd w:val="clear" w:color="auto" w:fill="auto"/>
            <w:noWrap/>
            <w:vAlign w:val="bottom"/>
            <w:hideMark/>
          </w:tcPr>
          <w:p w14:paraId="1D80A8CE" w14:textId="77777777" w:rsidR="00620422" w:rsidRPr="008204CC" w:rsidRDefault="00620422" w:rsidP="0066301C">
            <w:pPr>
              <w:spacing w:after="0" w:line="240" w:lineRule="auto"/>
              <w:jc w:val="right"/>
              <w:rPr>
                <w:rFonts w:ascii="Arial" w:eastAsia="Times New Roman" w:hAnsi="Arial" w:cs="Arial"/>
                <w:color w:val="000000"/>
                <w:sz w:val="18"/>
                <w:szCs w:val="18"/>
                <w:lang w:eastAsia="en-GB"/>
              </w:rPr>
            </w:pPr>
            <w:r w:rsidRPr="008204CC">
              <w:rPr>
                <w:rFonts w:ascii="Arial" w:eastAsia="Times New Roman" w:hAnsi="Arial" w:cs="Arial"/>
                <w:color w:val="000000"/>
                <w:sz w:val="18"/>
                <w:szCs w:val="18"/>
                <w:lang w:eastAsia="en-GB"/>
              </w:rPr>
              <w:t>3.622978407</w:t>
            </w:r>
          </w:p>
        </w:tc>
        <w:tc>
          <w:tcPr>
            <w:tcW w:w="709" w:type="dxa"/>
            <w:vMerge/>
            <w:tcBorders>
              <w:left w:val="nil"/>
              <w:right w:val="single" w:sz="4" w:space="0" w:color="auto"/>
            </w:tcBorders>
          </w:tcPr>
          <w:p w14:paraId="6BD8B7D5" w14:textId="77777777" w:rsidR="00620422" w:rsidRPr="008204CC" w:rsidRDefault="00620422" w:rsidP="0066301C">
            <w:pPr>
              <w:spacing w:after="0" w:line="240" w:lineRule="auto"/>
              <w:jc w:val="right"/>
              <w:rPr>
                <w:rFonts w:ascii="Arial" w:eastAsia="Times New Roman" w:hAnsi="Arial" w:cs="Arial"/>
                <w:color w:val="000000"/>
                <w:sz w:val="18"/>
                <w:szCs w:val="18"/>
                <w:lang w:eastAsia="en-GB"/>
              </w:rPr>
            </w:pPr>
          </w:p>
        </w:tc>
        <w:tc>
          <w:tcPr>
            <w:tcW w:w="678" w:type="dxa"/>
            <w:tcBorders>
              <w:top w:val="nil"/>
              <w:left w:val="nil"/>
              <w:bottom w:val="single" w:sz="4" w:space="0" w:color="auto"/>
              <w:right w:val="nil"/>
            </w:tcBorders>
            <w:vAlign w:val="center"/>
          </w:tcPr>
          <w:p w14:paraId="74114DC7" w14:textId="77777777" w:rsidR="00620422" w:rsidRPr="008204CC" w:rsidRDefault="00620422" w:rsidP="0066301C">
            <w:pPr>
              <w:spacing w:after="0" w:line="240" w:lineRule="auto"/>
              <w:jc w:val="right"/>
              <w:rPr>
                <w:rFonts w:ascii="Arial" w:eastAsia="Times New Roman" w:hAnsi="Arial" w:cs="Arial"/>
                <w:color w:val="000000"/>
                <w:sz w:val="18"/>
                <w:szCs w:val="18"/>
                <w:lang w:eastAsia="en-GB"/>
              </w:rPr>
            </w:pPr>
            <w:r w:rsidRPr="008204CC">
              <w:rPr>
                <w:rFonts w:ascii="Arial" w:eastAsia="Times New Roman" w:hAnsi="Arial" w:cs="Arial"/>
                <w:color w:val="000000"/>
                <w:sz w:val="18"/>
                <w:szCs w:val="18"/>
                <w:lang w:eastAsia="en-GB"/>
              </w:rPr>
              <w:t>2006</w:t>
            </w:r>
          </w:p>
        </w:tc>
        <w:tc>
          <w:tcPr>
            <w:tcW w:w="752" w:type="dxa"/>
            <w:gridSpan w:val="2"/>
            <w:tcBorders>
              <w:top w:val="nil"/>
              <w:left w:val="nil"/>
              <w:bottom w:val="single" w:sz="4" w:space="0" w:color="auto"/>
              <w:right w:val="single" w:sz="4" w:space="0" w:color="auto"/>
            </w:tcBorders>
          </w:tcPr>
          <w:p w14:paraId="56E1BE9B" w14:textId="77777777" w:rsidR="00620422" w:rsidRPr="008204CC" w:rsidRDefault="00620422" w:rsidP="0066301C">
            <w:pPr>
              <w:spacing w:after="0" w:line="240" w:lineRule="auto"/>
              <w:jc w:val="right"/>
              <w:rPr>
                <w:rFonts w:ascii="Arial" w:eastAsia="Times New Roman" w:hAnsi="Arial" w:cs="Arial"/>
                <w:color w:val="000000"/>
                <w:sz w:val="18"/>
                <w:szCs w:val="18"/>
                <w:lang w:eastAsia="en-GB"/>
              </w:rPr>
            </w:pPr>
          </w:p>
        </w:tc>
        <w:tc>
          <w:tcPr>
            <w:tcW w:w="1196" w:type="dxa"/>
            <w:gridSpan w:val="2"/>
            <w:tcBorders>
              <w:top w:val="nil"/>
              <w:left w:val="nil"/>
              <w:bottom w:val="single" w:sz="4" w:space="0" w:color="auto"/>
              <w:right w:val="single" w:sz="4" w:space="0" w:color="auto"/>
            </w:tcBorders>
            <w:vAlign w:val="bottom"/>
          </w:tcPr>
          <w:p w14:paraId="2D5A2F21" w14:textId="77777777" w:rsidR="00620422" w:rsidRPr="008204CC" w:rsidRDefault="00620422" w:rsidP="0066301C">
            <w:pPr>
              <w:spacing w:after="0" w:line="240" w:lineRule="auto"/>
              <w:jc w:val="right"/>
              <w:rPr>
                <w:rFonts w:ascii="Arial" w:eastAsia="Times New Roman" w:hAnsi="Arial" w:cs="Arial"/>
                <w:color w:val="000000"/>
                <w:sz w:val="18"/>
                <w:szCs w:val="18"/>
                <w:lang w:eastAsia="en-GB"/>
              </w:rPr>
            </w:pPr>
            <w:r w:rsidRPr="008204CC">
              <w:rPr>
                <w:rFonts w:ascii="Arial" w:eastAsia="Times New Roman" w:hAnsi="Arial" w:cs="Arial"/>
                <w:color w:val="000000"/>
                <w:sz w:val="18"/>
                <w:szCs w:val="18"/>
                <w:lang w:eastAsia="en-GB"/>
              </w:rPr>
              <w:t>154.3082</w:t>
            </w:r>
          </w:p>
        </w:tc>
        <w:tc>
          <w:tcPr>
            <w:tcW w:w="1455" w:type="dxa"/>
            <w:gridSpan w:val="2"/>
            <w:tcBorders>
              <w:top w:val="nil"/>
              <w:left w:val="nil"/>
              <w:bottom w:val="single" w:sz="4" w:space="0" w:color="auto"/>
              <w:right w:val="single" w:sz="4" w:space="0" w:color="auto"/>
            </w:tcBorders>
            <w:vAlign w:val="bottom"/>
          </w:tcPr>
          <w:p w14:paraId="77CED143" w14:textId="77777777" w:rsidR="00620422" w:rsidRPr="008204CC" w:rsidRDefault="00620422" w:rsidP="0066301C">
            <w:pPr>
              <w:spacing w:after="0" w:line="240" w:lineRule="auto"/>
              <w:jc w:val="right"/>
              <w:rPr>
                <w:rFonts w:ascii="Arial" w:eastAsia="Times New Roman" w:hAnsi="Arial" w:cs="Arial"/>
                <w:color w:val="000000"/>
                <w:sz w:val="18"/>
                <w:szCs w:val="18"/>
                <w:lang w:eastAsia="en-GB"/>
              </w:rPr>
            </w:pPr>
            <w:r w:rsidRPr="008204CC">
              <w:rPr>
                <w:rFonts w:ascii="Arial" w:eastAsia="Times New Roman" w:hAnsi="Arial" w:cs="Arial"/>
                <w:color w:val="000000"/>
                <w:sz w:val="18"/>
                <w:szCs w:val="18"/>
                <w:lang w:eastAsia="en-GB"/>
              </w:rPr>
              <w:t>143.3577543</w:t>
            </w:r>
          </w:p>
        </w:tc>
        <w:tc>
          <w:tcPr>
            <w:tcW w:w="2014" w:type="dxa"/>
            <w:tcBorders>
              <w:top w:val="nil"/>
              <w:left w:val="nil"/>
              <w:bottom w:val="single" w:sz="4" w:space="0" w:color="auto"/>
              <w:right w:val="single" w:sz="4" w:space="0" w:color="auto"/>
            </w:tcBorders>
            <w:vAlign w:val="bottom"/>
          </w:tcPr>
          <w:p w14:paraId="543EF418" w14:textId="77777777" w:rsidR="00620422" w:rsidRPr="008204CC" w:rsidRDefault="00620422" w:rsidP="0066301C">
            <w:pPr>
              <w:spacing w:after="0" w:line="240" w:lineRule="auto"/>
              <w:jc w:val="right"/>
              <w:rPr>
                <w:rFonts w:ascii="Arial" w:eastAsia="Times New Roman" w:hAnsi="Arial" w:cs="Arial"/>
                <w:color w:val="000000"/>
                <w:sz w:val="18"/>
                <w:szCs w:val="18"/>
                <w:lang w:eastAsia="en-GB"/>
              </w:rPr>
            </w:pPr>
            <w:r w:rsidRPr="008204CC">
              <w:rPr>
                <w:rFonts w:ascii="Arial" w:eastAsia="Times New Roman" w:hAnsi="Arial" w:cs="Arial"/>
                <w:color w:val="000000"/>
                <w:sz w:val="18"/>
                <w:szCs w:val="18"/>
                <w:lang w:eastAsia="en-GB"/>
              </w:rPr>
              <w:t>10.95047843</w:t>
            </w:r>
          </w:p>
        </w:tc>
      </w:tr>
      <w:tr w:rsidR="008A6AC3" w:rsidRPr="008204CC" w14:paraId="31F6C774" w14:textId="77777777" w:rsidTr="00D46B41">
        <w:trPr>
          <w:trHeight w:val="330"/>
        </w:trPr>
        <w:tc>
          <w:tcPr>
            <w:tcW w:w="1135" w:type="dxa"/>
            <w:tcBorders>
              <w:top w:val="nil"/>
              <w:left w:val="single" w:sz="4" w:space="0" w:color="auto"/>
              <w:bottom w:val="single" w:sz="4" w:space="0" w:color="auto"/>
              <w:right w:val="single" w:sz="4" w:space="0" w:color="auto"/>
            </w:tcBorders>
            <w:shd w:val="clear" w:color="000000" w:fill="FFFFFF"/>
            <w:vAlign w:val="center"/>
            <w:hideMark/>
          </w:tcPr>
          <w:p w14:paraId="0F1760EA" w14:textId="77777777" w:rsidR="00620422" w:rsidRPr="008204CC" w:rsidRDefault="00620422" w:rsidP="0066301C">
            <w:pPr>
              <w:spacing w:after="0" w:line="240" w:lineRule="auto"/>
              <w:jc w:val="right"/>
              <w:rPr>
                <w:rFonts w:ascii="Arial" w:eastAsia="Times New Roman" w:hAnsi="Arial" w:cs="Arial"/>
                <w:color w:val="000000"/>
                <w:sz w:val="18"/>
                <w:szCs w:val="18"/>
                <w:lang w:eastAsia="en-GB"/>
              </w:rPr>
            </w:pPr>
            <w:r w:rsidRPr="008204CC">
              <w:rPr>
                <w:rFonts w:ascii="Arial" w:eastAsia="Times New Roman" w:hAnsi="Arial" w:cs="Arial"/>
                <w:color w:val="000000"/>
                <w:sz w:val="18"/>
                <w:szCs w:val="18"/>
                <w:lang w:eastAsia="en-GB"/>
              </w:rPr>
              <w:t>2007</w:t>
            </w:r>
          </w:p>
        </w:tc>
        <w:tc>
          <w:tcPr>
            <w:tcW w:w="1701" w:type="dxa"/>
            <w:tcBorders>
              <w:top w:val="nil"/>
              <w:left w:val="nil"/>
              <w:bottom w:val="single" w:sz="4" w:space="0" w:color="auto"/>
              <w:right w:val="single" w:sz="4" w:space="0" w:color="auto"/>
            </w:tcBorders>
            <w:shd w:val="clear" w:color="auto" w:fill="auto"/>
            <w:vAlign w:val="center"/>
            <w:hideMark/>
          </w:tcPr>
          <w:p w14:paraId="0EEDA9E2" w14:textId="77777777" w:rsidR="00620422" w:rsidRPr="008204CC" w:rsidRDefault="00620422" w:rsidP="0066301C">
            <w:pPr>
              <w:spacing w:after="0" w:line="240" w:lineRule="auto"/>
              <w:jc w:val="right"/>
              <w:rPr>
                <w:rFonts w:ascii="Arial" w:eastAsia="Times New Roman" w:hAnsi="Arial" w:cs="Arial"/>
                <w:color w:val="000000"/>
                <w:sz w:val="18"/>
                <w:szCs w:val="18"/>
                <w:lang w:eastAsia="en-GB"/>
              </w:rPr>
            </w:pPr>
            <w:r w:rsidRPr="008204CC">
              <w:rPr>
                <w:rFonts w:ascii="Arial" w:eastAsia="Times New Roman" w:hAnsi="Arial" w:cs="Arial"/>
                <w:color w:val="000000"/>
                <w:sz w:val="18"/>
                <w:szCs w:val="18"/>
                <w:lang w:eastAsia="en-GB"/>
              </w:rPr>
              <w:t>93.947</w:t>
            </w:r>
          </w:p>
        </w:tc>
        <w:tc>
          <w:tcPr>
            <w:tcW w:w="1701" w:type="dxa"/>
            <w:tcBorders>
              <w:top w:val="nil"/>
              <w:left w:val="nil"/>
              <w:bottom w:val="single" w:sz="4" w:space="0" w:color="auto"/>
              <w:right w:val="single" w:sz="4" w:space="0" w:color="auto"/>
            </w:tcBorders>
            <w:shd w:val="clear" w:color="auto" w:fill="auto"/>
            <w:noWrap/>
            <w:vAlign w:val="bottom"/>
            <w:hideMark/>
          </w:tcPr>
          <w:p w14:paraId="4E9AF168" w14:textId="77777777" w:rsidR="00620422" w:rsidRPr="008204CC" w:rsidRDefault="00620422" w:rsidP="0066301C">
            <w:pPr>
              <w:spacing w:after="0" w:line="240" w:lineRule="auto"/>
              <w:jc w:val="right"/>
              <w:rPr>
                <w:rFonts w:ascii="Arial" w:eastAsia="Times New Roman" w:hAnsi="Arial" w:cs="Arial"/>
                <w:color w:val="000000"/>
                <w:sz w:val="18"/>
                <w:szCs w:val="18"/>
                <w:lang w:eastAsia="en-GB"/>
              </w:rPr>
            </w:pPr>
            <w:r w:rsidRPr="008204CC">
              <w:rPr>
                <w:rFonts w:ascii="Arial" w:eastAsia="Times New Roman" w:hAnsi="Arial" w:cs="Arial"/>
                <w:color w:val="000000"/>
                <w:sz w:val="18"/>
                <w:szCs w:val="18"/>
                <w:lang w:eastAsia="en-GB"/>
              </w:rPr>
              <w:t>100.1475489</w:t>
            </w:r>
          </w:p>
        </w:tc>
        <w:tc>
          <w:tcPr>
            <w:tcW w:w="1984" w:type="dxa"/>
            <w:tcBorders>
              <w:top w:val="nil"/>
              <w:left w:val="nil"/>
              <w:bottom w:val="single" w:sz="4" w:space="0" w:color="auto"/>
              <w:right w:val="single" w:sz="4" w:space="0" w:color="auto"/>
            </w:tcBorders>
            <w:shd w:val="clear" w:color="auto" w:fill="auto"/>
            <w:noWrap/>
            <w:vAlign w:val="bottom"/>
            <w:hideMark/>
          </w:tcPr>
          <w:p w14:paraId="292C065D" w14:textId="77777777" w:rsidR="00620422" w:rsidRPr="008204CC" w:rsidRDefault="00620422" w:rsidP="0066301C">
            <w:pPr>
              <w:spacing w:after="0" w:line="240" w:lineRule="auto"/>
              <w:jc w:val="right"/>
              <w:rPr>
                <w:rFonts w:ascii="Arial" w:eastAsia="Times New Roman" w:hAnsi="Arial" w:cs="Arial"/>
                <w:color w:val="000000"/>
                <w:sz w:val="18"/>
                <w:szCs w:val="18"/>
                <w:lang w:eastAsia="en-GB"/>
              </w:rPr>
            </w:pPr>
            <w:r w:rsidRPr="008204CC">
              <w:rPr>
                <w:rFonts w:ascii="Arial" w:eastAsia="Times New Roman" w:hAnsi="Arial" w:cs="Arial"/>
                <w:color w:val="000000"/>
                <w:sz w:val="18"/>
                <w:szCs w:val="18"/>
                <w:lang w:eastAsia="en-GB"/>
              </w:rPr>
              <w:t>-6.200548852</w:t>
            </w:r>
          </w:p>
        </w:tc>
        <w:tc>
          <w:tcPr>
            <w:tcW w:w="709" w:type="dxa"/>
            <w:vMerge/>
            <w:tcBorders>
              <w:left w:val="nil"/>
              <w:right w:val="single" w:sz="4" w:space="0" w:color="auto"/>
            </w:tcBorders>
          </w:tcPr>
          <w:p w14:paraId="18FCE0A0" w14:textId="77777777" w:rsidR="00620422" w:rsidRPr="008204CC" w:rsidRDefault="00620422" w:rsidP="0066301C">
            <w:pPr>
              <w:spacing w:after="0" w:line="240" w:lineRule="auto"/>
              <w:jc w:val="right"/>
              <w:rPr>
                <w:rFonts w:ascii="Arial" w:eastAsia="Times New Roman" w:hAnsi="Arial" w:cs="Arial"/>
                <w:color w:val="000000"/>
                <w:sz w:val="18"/>
                <w:szCs w:val="18"/>
                <w:lang w:eastAsia="en-GB"/>
              </w:rPr>
            </w:pPr>
          </w:p>
        </w:tc>
        <w:tc>
          <w:tcPr>
            <w:tcW w:w="678" w:type="dxa"/>
            <w:tcBorders>
              <w:top w:val="nil"/>
              <w:left w:val="nil"/>
              <w:bottom w:val="single" w:sz="4" w:space="0" w:color="auto"/>
              <w:right w:val="nil"/>
            </w:tcBorders>
            <w:vAlign w:val="center"/>
          </w:tcPr>
          <w:p w14:paraId="38420E80" w14:textId="77777777" w:rsidR="00620422" w:rsidRPr="008204CC" w:rsidRDefault="00620422" w:rsidP="0066301C">
            <w:pPr>
              <w:spacing w:after="0" w:line="240" w:lineRule="auto"/>
              <w:jc w:val="right"/>
              <w:rPr>
                <w:rFonts w:ascii="Arial" w:eastAsia="Times New Roman" w:hAnsi="Arial" w:cs="Arial"/>
                <w:color w:val="000000"/>
                <w:sz w:val="18"/>
                <w:szCs w:val="18"/>
                <w:lang w:eastAsia="en-GB"/>
              </w:rPr>
            </w:pPr>
            <w:r w:rsidRPr="008204CC">
              <w:rPr>
                <w:rFonts w:ascii="Arial" w:eastAsia="Times New Roman" w:hAnsi="Arial" w:cs="Arial"/>
                <w:color w:val="000000"/>
                <w:sz w:val="18"/>
                <w:szCs w:val="18"/>
                <w:lang w:eastAsia="en-GB"/>
              </w:rPr>
              <w:t>2007</w:t>
            </w:r>
          </w:p>
        </w:tc>
        <w:tc>
          <w:tcPr>
            <w:tcW w:w="752" w:type="dxa"/>
            <w:gridSpan w:val="2"/>
            <w:tcBorders>
              <w:top w:val="nil"/>
              <w:left w:val="nil"/>
              <w:bottom w:val="single" w:sz="4" w:space="0" w:color="auto"/>
              <w:right w:val="single" w:sz="4" w:space="0" w:color="auto"/>
            </w:tcBorders>
          </w:tcPr>
          <w:p w14:paraId="59331D10" w14:textId="77777777" w:rsidR="00620422" w:rsidRPr="008204CC" w:rsidRDefault="00620422" w:rsidP="0066301C">
            <w:pPr>
              <w:spacing w:after="0" w:line="240" w:lineRule="auto"/>
              <w:jc w:val="right"/>
              <w:rPr>
                <w:rFonts w:ascii="Arial" w:eastAsia="Times New Roman" w:hAnsi="Arial" w:cs="Arial"/>
                <w:color w:val="000000"/>
                <w:sz w:val="18"/>
                <w:szCs w:val="18"/>
                <w:lang w:eastAsia="en-GB"/>
              </w:rPr>
            </w:pPr>
          </w:p>
        </w:tc>
        <w:tc>
          <w:tcPr>
            <w:tcW w:w="1196" w:type="dxa"/>
            <w:gridSpan w:val="2"/>
            <w:tcBorders>
              <w:top w:val="nil"/>
              <w:left w:val="nil"/>
              <w:bottom w:val="single" w:sz="4" w:space="0" w:color="auto"/>
              <w:right w:val="single" w:sz="4" w:space="0" w:color="auto"/>
            </w:tcBorders>
            <w:vAlign w:val="bottom"/>
          </w:tcPr>
          <w:p w14:paraId="18EEE37B" w14:textId="77777777" w:rsidR="00620422" w:rsidRPr="008204CC" w:rsidRDefault="00620422" w:rsidP="0066301C">
            <w:pPr>
              <w:spacing w:after="0" w:line="240" w:lineRule="auto"/>
              <w:jc w:val="right"/>
              <w:rPr>
                <w:rFonts w:ascii="Arial" w:eastAsia="Times New Roman" w:hAnsi="Arial" w:cs="Arial"/>
                <w:color w:val="000000"/>
                <w:sz w:val="18"/>
                <w:szCs w:val="18"/>
                <w:lang w:eastAsia="en-GB"/>
              </w:rPr>
            </w:pPr>
            <w:r w:rsidRPr="008204CC">
              <w:rPr>
                <w:rFonts w:ascii="Arial" w:eastAsia="Times New Roman" w:hAnsi="Arial" w:cs="Arial"/>
                <w:color w:val="000000"/>
                <w:sz w:val="18"/>
                <w:szCs w:val="18"/>
                <w:lang w:eastAsia="en-GB"/>
              </w:rPr>
              <w:t>150.5504</w:t>
            </w:r>
          </w:p>
        </w:tc>
        <w:tc>
          <w:tcPr>
            <w:tcW w:w="1455" w:type="dxa"/>
            <w:gridSpan w:val="2"/>
            <w:tcBorders>
              <w:top w:val="nil"/>
              <w:left w:val="nil"/>
              <w:bottom w:val="single" w:sz="4" w:space="0" w:color="auto"/>
              <w:right w:val="single" w:sz="4" w:space="0" w:color="auto"/>
            </w:tcBorders>
            <w:vAlign w:val="bottom"/>
          </w:tcPr>
          <w:p w14:paraId="1F99920B" w14:textId="77777777" w:rsidR="00620422" w:rsidRPr="008204CC" w:rsidRDefault="00620422" w:rsidP="0066301C">
            <w:pPr>
              <w:spacing w:after="0" w:line="240" w:lineRule="auto"/>
              <w:jc w:val="right"/>
              <w:rPr>
                <w:rFonts w:ascii="Arial" w:eastAsia="Times New Roman" w:hAnsi="Arial" w:cs="Arial"/>
                <w:color w:val="000000"/>
                <w:sz w:val="18"/>
                <w:szCs w:val="18"/>
                <w:lang w:eastAsia="en-GB"/>
              </w:rPr>
            </w:pPr>
            <w:r w:rsidRPr="008204CC">
              <w:rPr>
                <w:rFonts w:ascii="Arial" w:eastAsia="Times New Roman" w:hAnsi="Arial" w:cs="Arial"/>
                <w:color w:val="000000"/>
                <w:sz w:val="18"/>
                <w:szCs w:val="18"/>
                <w:lang w:eastAsia="en-GB"/>
              </w:rPr>
              <w:t>139.8419716</w:t>
            </w:r>
          </w:p>
        </w:tc>
        <w:tc>
          <w:tcPr>
            <w:tcW w:w="2014" w:type="dxa"/>
            <w:tcBorders>
              <w:top w:val="nil"/>
              <w:left w:val="nil"/>
              <w:bottom w:val="single" w:sz="4" w:space="0" w:color="auto"/>
              <w:right w:val="single" w:sz="4" w:space="0" w:color="auto"/>
            </w:tcBorders>
            <w:vAlign w:val="bottom"/>
          </w:tcPr>
          <w:p w14:paraId="618477DA" w14:textId="77777777" w:rsidR="00620422" w:rsidRPr="008204CC" w:rsidRDefault="00620422" w:rsidP="0066301C">
            <w:pPr>
              <w:spacing w:after="0" w:line="240" w:lineRule="auto"/>
              <w:jc w:val="right"/>
              <w:rPr>
                <w:rFonts w:ascii="Arial" w:eastAsia="Times New Roman" w:hAnsi="Arial" w:cs="Arial"/>
                <w:color w:val="000000"/>
                <w:sz w:val="18"/>
                <w:szCs w:val="18"/>
                <w:lang w:eastAsia="en-GB"/>
              </w:rPr>
            </w:pPr>
            <w:r w:rsidRPr="008204CC">
              <w:rPr>
                <w:rFonts w:ascii="Arial" w:eastAsia="Times New Roman" w:hAnsi="Arial" w:cs="Arial"/>
                <w:color w:val="000000"/>
                <w:sz w:val="18"/>
                <w:szCs w:val="18"/>
                <w:lang w:eastAsia="en-GB"/>
              </w:rPr>
              <w:t>10.70837921</w:t>
            </w:r>
          </w:p>
        </w:tc>
      </w:tr>
      <w:tr w:rsidR="008A6AC3" w:rsidRPr="008204CC" w14:paraId="2255E210" w14:textId="77777777" w:rsidTr="00D46B41">
        <w:trPr>
          <w:trHeight w:val="330"/>
        </w:trPr>
        <w:tc>
          <w:tcPr>
            <w:tcW w:w="1135" w:type="dxa"/>
            <w:tcBorders>
              <w:top w:val="nil"/>
              <w:left w:val="single" w:sz="4" w:space="0" w:color="auto"/>
              <w:bottom w:val="single" w:sz="4" w:space="0" w:color="auto"/>
              <w:right w:val="single" w:sz="4" w:space="0" w:color="auto"/>
            </w:tcBorders>
            <w:shd w:val="clear" w:color="000000" w:fill="FFFFFF"/>
            <w:vAlign w:val="center"/>
            <w:hideMark/>
          </w:tcPr>
          <w:p w14:paraId="634E7E23" w14:textId="77777777" w:rsidR="00620422" w:rsidRPr="008204CC" w:rsidRDefault="00620422" w:rsidP="0066301C">
            <w:pPr>
              <w:spacing w:after="0" w:line="240" w:lineRule="auto"/>
              <w:jc w:val="right"/>
              <w:rPr>
                <w:rFonts w:ascii="Arial" w:eastAsia="Times New Roman" w:hAnsi="Arial" w:cs="Arial"/>
                <w:color w:val="000000"/>
                <w:sz w:val="18"/>
                <w:szCs w:val="18"/>
                <w:lang w:eastAsia="en-GB"/>
              </w:rPr>
            </w:pPr>
            <w:r w:rsidRPr="008204CC">
              <w:rPr>
                <w:rFonts w:ascii="Arial" w:eastAsia="Times New Roman" w:hAnsi="Arial" w:cs="Arial"/>
                <w:color w:val="000000"/>
                <w:sz w:val="18"/>
                <w:szCs w:val="18"/>
                <w:lang w:eastAsia="en-GB"/>
              </w:rPr>
              <w:t>2008</w:t>
            </w:r>
          </w:p>
        </w:tc>
        <w:tc>
          <w:tcPr>
            <w:tcW w:w="1701" w:type="dxa"/>
            <w:tcBorders>
              <w:top w:val="nil"/>
              <w:left w:val="nil"/>
              <w:bottom w:val="single" w:sz="4" w:space="0" w:color="auto"/>
              <w:right w:val="single" w:sz="4" w:space="0" w:color="auto"/>
            </w:tcBorders>
            <w:shd w:val="clear" w:color="auto" w:fill="auto"/>
            <w:vAlign w:val="center"/>
            <w:hideMark/>
          </w:tcPr>
          <w:p w14:paraId="5549EC1D" w14:textId="77777777" w:rsidR="00620422" w:rsidRPr="008204CC" w:rsidRDefault="00620422" w:rsidP="0066301C">
            <w:pPr>
              <w:spacing w:after="0" w:line="240" w:lineRule="auto"/>
              <w:jc w:val="right"/>
              <w:rPr>
                <w:rFonts w:ascii="Arial" w:eastAsia="Times New Roman" w:hAnsi="Arial" w:cs="Arial"/>
                <w:color w:val="000000"/>
                <w:sz w:val="18"/>
                <w:szCs w:val="18"/>
                <w:lang w:eastAsia="en-GB"/>
              </w:rPr>
            </w:pPr>
            <w:r w:rsidRPr="008204CC">
              <w:rPr>
                <w:rFonts w:ascii="Arial" w:eastAsia="Times New Roman" w:hAnsi="Arial" w:cs="Arial"/>
                <w:color w:val="000000"/>
                <w:sz w:val="18"/>
                <w:szCs w:val="18"/>
                <w:lang w:eastAsia="en-GB"/>
              </w:rPr>
              <w:t>100.726</w:t>
            </w:r>
          </w:p>
        </w:tc>
        <w:tc>
          <w:tcPr>
            <w:tcW w:w="1701" w:type="dxa"/>
            <w:tcBorders>
              <w:top w:val="nil"/>
              <w:left w:val="nil"/>
              <w:bottom w:val="single" w:sz="4" w:space="0" w:color="auto"/>
              <w:right w:val="single" w:sz="4" w:space="0" w:color="auto"/>
            </w:tcBorders>
            <w:shd w:val="clear" w:color="auto" w:fill="auto"/>
            <w:noWrap/>
            <w:vAlign w:val="bottom"/>
            <w:hideMark/>
          </w:tcPr>
          <w:p w14:paraId="0FF407DA" w14:textId="77777777" w:rsidR="00620422" w:rsidRPr="008204CC" w:rsidRDefault="00620422" w:rsidP="0066301C">
            <w:pPr>
              <w:spacing w:after="0" w:line="240" w:lineRule="auto"/>
              <w:jc w:val="right"/>
              <w:rPr>
                <w:rFonts w:ascii="Arial" w:eastAsia="Times New Roman" w:hAnsi="Arial" w:cs="Arial"/>
                <w:color w:val="000000"/>
                <w:sz w:val="18"/>
                <w:szCs w:val="18"/>
                <w:lang w:eastAsia="en-GB"/>
              </w:rPr>
            </w:pPr>
            <w:r w:rsidRPr="008204CC">
              <w:rPr>
                <w:rFonts w:ascii="Arial" w:eastAsia="Times New Roman" w:hAnsi="Arial" w:cs="Arial"/>
                <w:color w:val="000000"/>
                <w:sz w:val="18"/>
                <w:szCs w:val="18"/>
                <w:lang w:eastAsia="en-GB"/>
              </w:rPr>
              <w:t>100.2664449</w:t>
            </w:r>
          </w:p>
        </w:tc>
        <w:tc>
          <w:tcPr>
            <w:tcW w:w="1984" w:type="dxa"/>
            <w:tcBorders>
              <w:top w:val="nil"/>
              <w:left w:val="nil"/>
              <w:bottom w:val="single" w:sz="4" w:space="0" w:color="auto"/>
              <w:right w:val="single" w:sz="4" w:space="0" w:color="auto"/>
            </w:tcBorders>
            <w:shd w:val="clear" w:color="auto" w:fill="auto"/>
            <w:noWrap/>
            <w:vAlign w:val="bottom"/>
            <w:hideMark/>
          </w:tcPr>
          <w:p w14:paraId="1FDDFE94" w14:textId="77777777" w:rsidR="00620422" w:rsidRPr="008204CC" w:rsidRDefault="00620422" w:rsidP="0066301C">
            <w:pPr>
              <w:spacing w:after="0" w:line="240" w:lineRule="auto"/>
              <w:jc w:val="right"/>
              <w:rPr>
                <w:rFonts w:ascii="Arial" w:eastAsia="Times New Roman" w:hAnsi="Arial" w:cs="Arial"/>
                <w:color w:val="000000"/>
                <w:sz w:val="18"/>
                <w:szCs w:val="18"/>
                <w:lang w:eastAsia="en-GB"/>
              </w:rPr>
            </w:pPr>
            <w:r w:rsidRPr="008204CC">
              <w:rPr>
                <w:rFonts w:ascii="Arial" w:eastAsia="Times New Roman" w:hAnsi="Arial" w:cs="Arial"/>
                <w:color w:val="000000"/>
                <w:sz w:val="18"/>
                <w:szCs w:val="18"/>
                <w:lang w:eastAsia="en-GB"/>
              </w:rPr>
              <w:t>0.459555061</w:t>
            </w:r>
          </w:p>
        </w:tc>
        <w:tc>
          <w:tcPr>
            <w:tcW w:w="709" w:type="dxa"/>
            <w:vMerge/>
            <w:tcBorders>
              <w:left w:val="nil"/>
              <w:right w:val="single" w:sz="4" w:space="0" w:color="auto"/>
            </w:tcBorders>
          </w:tcPr>
          <w:p w14:paraId="227C3914" w14:textId="77777777" w:rsidR="00620422" w:rsidRPr="008204CC" w:rsidRDefault="00620422" w:rsidP="0066301C">
            <w:pPr>
              <w:spacing w:after="0" w:line="240" w:lineRule="auto"/>
              <w:jc w:val="right"/>
              <w:rPr>
                <w:rFonts w:ascii="Arial" w:eastAsia="Times New Roman" w:hAnsi="Arial" w:cs="Arial"/>
                <w:color w:val="000000"/>
                <w:sz w:val="18"/>
                <w:szCs w:val="18"/>
                <w:lang w:eastAsia="en-GB"/>
              </w:rPr>
            </w:pPr>
          </w:p>
        </w:tc>
        <w:tc>
          <w:tcPr>
            <w:tcW w:w="678" w:type="dxa"/>
            <w:tcBorders>
              <w:top w:val="nil"/>
              <w:left w:val="nil"/>
              <w:bottom w:val="single" w:sz="4" w:space="0" w:color="auto"/>
              <w:right w:val="nil"/>
            </w:tcBorders>
            <w:vAlign w:val="center"/>
          </w:tcPr>
          <w:p w14:paraId="12A6686B" w14:textId="77777777" w:rsidR="00620422" w:rsidRPr="008204CC" w:rsidRDefault="00620422" w:rsidP="0066301C">
            <w:pPr>
              <w:spacing w:after="0" w:line="240" w:lineRule="auto"/>
              <w:jc w:val="right"/>
              <w:rPr>
                <w:rFonts w:ascii="Arial" w:eastAsia="Times New Roman" w:hAnsi="Arial" w:cs="Arial"/>
                <w:color w:val="000000"/>
                <w:sz w:val="18"/>
                <w:szCs w:val="18"/>
                <w:lang w:eastAsia="en-GB"/>
              </w:rPr>
            </w:pPr>
            <w:r w:rsidRPr="008204CC">
              <w:rPr>
                <w:rFonts w:ascii="Arial" w:eastAsia="Times New Roman" w:hAnsi="Arial" w:cs="Arial"/>
                <w:color w:val="000000"/>
                <w:sz w:val="18"/>
                <w:szCs w:val="18"/>
                <w:lang w:eastAsia="en-GB"/>
              </w:rPr>
              <w:t>2008</w:t>
            </w:r>
          </w:p>
        </w:tc>
        <w:tc>
          <w:tcPr>
            <w:tcW w:w="752" w:type="dxa"/>
            <w:gridSpan w:val="2"/>
            <w:tcBorders>
              <w:top w:val="nil"/>
              <w:left w:val="nil"/>
              <w:bottom w:val="single" w:sz="4" w:space="0" w:color="auto"/>
              <w:right w:val="single" w:sz="4" w:space="0" w:color="auto"/>
            </w:tcBorders>
          </w:tcPr>
          <w:p w14:paraId="15009489" w14:textId="77777777" w:rsidR="00620422" w:rsidRPr="008204CC" w:rsidRDefault="00620422" w:rsidP="0066301C">
            <w:pPr>
              <w:spacing w:after="0" w:line="240" w:lineRule="auto"/>
              <w:jc w:val="right"/>
              <w:rPr>
                <w:rFonts w:ascii="Arial" w:eastAsia="Times New Roman" w:hAnsi="Arial" w:cs="Arial"/>
                <w:color w:val="000000"/>
                <w:sz w:val="18"/>
                <w:szCs w:val="18"/>
                <w:lang w:eastAsia="en-GB"/>
              </w:rPr>
            </w:pPr>
          </w:p>
        </w:tc>
        <w:tc>
          <w:tcPr>
            <w:tcW w:w="1196" w:type="dxa"/>
            <w:gridSpan w:val="2"/>
            <w:tcBorders>
              <w:top w:val="nil"/>
              <w:left w:val="nil"/>
              <w:bottom w:val="single" w:sz="4" w:space="0" w:color="auto"/>
              <w:right w:val="single" w:sz="4" w:space="0" w:color="auto"/>
            </w:tcBorders>
            <w:vAlign w:val="bottom"/>
          </w:tcPr>
          <w:p w14:paraId="524F0012" w14:textId="77777777" w:rsidR="00620422" w:rsidRPr="008204CC" w:rsidRDefault="00620422" w:rsidP="0066301C">
            <w:pPr>
              <w:spacing w:after="0" w:line="240" w:lineRule="auto"/>
              <w:jc w:val="right"/>
              <w:rPr>
                <w:rFonts w:ascii="Arial" w:eastAsia="Times New Roman" w:hAnsi="Arial" w:cs="Arial"/>
                <w:color w:val="000000"/>
                <w:sz w:val="18"/>
                <w:szCs w:val="18"/>
                <w:lang w:eastAsia="en-GB"/>
              </w:rPr>
            </w:pPr>
            <w:r w:rsidRPr="008204CC">
              <w:rPr>
                <w:rFonts w:ascii="Arial" w:eastAsia="Times New Roman" w:hAnsi="Arial" w:cs="Arial"/>
                <w:color w:val="000000"/>
                <w:sz w:val="18"/>
                <w:szCs w:val="18"/>
                <w:lang w:eastAsia="en-GB"/>
              </w:rPr>
              <w:t>151.6148</w:t>
            </w:r>
          </w:p>
        </w:tc>
        <w:tc>
          <w:tcPr>
            <w:tcW w:w="1455" w:type="dxa"/>
            <w:gridSpan w:val="2"/>
            <w:tcBorders>
              <w:top w:val="nil"/>
              <w:left w:val="nil"/>
              <w:bottom w:val="single" w:sz="4" w:space="0" w:color="auto"/>
              <w:right w:val="single" w:sz="4" w:space="0" w:color="auto"/>
            </w:tcBorders>
            <w:vAlign w:val="bottom"/>
          </w:tcPr>
          <w:p w14:paraId="3BC28423" w14:textId="77777777" w:rsidR="00620422" w:rsidRPr="008204CC" w:rsidRDefault="00620422" w:rsidP="0066301C">
            <w:pPr>
              <w:spacing w:after="0" w:line="240" w:lineRule="auto"/>
              <w:jc w:val="right"/>
              <w:rPr>
                <w:rFonts w:ascii="Arial" w:eastAsia="Times New Roman" w:hAnsi="Arial" w:cs="Arial"/>
                <w:color w:val="000000"/>
                <w:sz w:val="18"/>
                <w:szCs w:val="18"/>
                <w:lang w:eastAsia="en-GB"/>
              </w:rPr>
            </w:pPr>
            <w:r w:rsidRPr="008204CC">
              <w:rPr>
                <w:rFonts w:ascii="Arial" w:eastAsia="Times New Roman" w:hAnsi="Arial" w:cs="Arial"/>
                <w:color w:val="000000"/>
                <w:sz w:val="18"/>
                <w:szCs w:val="18"/>
                <w:lang w:eastAsia="en-GB"/>
              </w:rPr>
              <w:t>136.0891763</w:t>
            </w:r>
          </w:p>
        </w:tc>
        <w:tc>
          <w:tcPr>
            <w:tcW w:w="2014" w:type="dxa"/>
            <w:tcBorders>
              <w:top w:val="nil"/>
              <w:left w:val="nil"/>
              <w:bottom w:val="single" w:sz="4" w:space="0" w:color="auto"/>
              <w:right w:val="single" w:sz="4" w:space="0" w:color="auto"/>
            </w:tcBorders>
            <w:vAlign w:val="bottom"/>
          </w:tcPr>
          <w:p w14:paraId="30540523" w14:textId="77777777" w:rsidR="00620422" w:rsidRPr="008204CC" w:rsidRDefault="00620422" w:rsidP="0066301C">
            <w:pPr>
              <w:spacing w:after="0" w:line="240" w:lineRule="auto"/>
              <w:jc w:val="right"/>
              <w:rPr>
                <w:rFonts w:ascii="Arial" w:eastAsia="Times New Roman" w:hAnsi="Arial" w:cs="Arial"/>
                <w:color w:val="000000"/>
                <w:sz w:val="18"/>
                <w:szCs w:val="18"/>
                <w:lang w:eastAsia="en-GB"/>
              </w:rPr>
            </w:pPr>
            <w:r w:rsidRPr="008204CC">
              <w:rPr>
                <w:rFonts w:ascii="Arial" w:eastAsia="Times New Roman" w:hAnsi="Arial" w:cs="Arial"/>
                <w:color w:val="000000"/>
                <w:sz w:val="18"/>
                <w:szCs w:val="18"/>
                <w:lang w:eastAsia="en-GB"/>
              </w:rPr>
              <w:t>15.52560814</w:t>
            </w:r>
          </w:p>
        </w:tc>
      </w:tr>
      <w:tr w:rsidR="008A6AC3" w:rsidRPr="008204CC" w14:paraId="6D4C7E35" w14:textId="77777777" w:rsidTr="00D46B41">
        <w:trPr>
          <w:trHeight w:val="330"/>
        </w:trPr>
        <w:tc>
          <w:tcPr>
            <w:tcW w:w="1135" w:type="dxa"/>
            <w:tcBorders>
              <w:top w:val="nil"/>
              <w:left w:val="single" w:sz="4" w:space="0" w:color="auto"/>
              <w:bottom w:val="single" w:sz="4" w:space="0" w:color="auto"/>
              <w:right w:val="single" w:sz="4" w:space="0" w:color="auto"/>
            </w:tcBorders>
            <w:shd w:val="clear" w:color="000000" w:fill="FFFFFF"/>
            <w:vAlign w:val="center"/>
            <w:hideMark/>
          </w:tcPr>
          <w:p w14:paraId="53CE4B31" w14:textId="77777777" w:rsidR="00620422" w:rsidRPr="008204CC" w:rsidRDefault="00620422" w:rsidP="0066301C">
            <w:pPr>
              <w:spacing w:after="0" w:line="240" w:lineRule="auto"/>
              <w:jc w:val="right"/>
              <w:rPr>
                <w:rFonts w:ascii="Arial" w:eastAsia="Times New Roman" w:hAnsi="Arial" w:cs="Arial"/>
                <w:color w:val="000000"/>
                <w:sz w:val="18"/>
                <w:szCs w:val="18"/>
                <w:lang w:eastAsia="en-GB"/>
              </w:rPr>
            </w:pPr>
            <w:r w:rsidRPr="008204CC">
              <w:rPr>
                <w:rFonts w:ascii="Arial" w:eastAsia="Times New Roman" w:hAnsi="Arial" w:cs="Arial"/>
                <w:color w:val="000000"/>
                <w:sz w:val="18"/>
                <w:szCs w:val="18"/>
                <w:lang w:eastAsia="en-GB"/>
              </w:rPr>
              <w:lastRenderedPageBreak/>
              <w:t>2009</w:t>
            </w:r>
          </w:p>
        </w:tc>
        <w:tc>
          <w:tcPr>
            <w:tcW w:w="1701" w:type="dxa"/>
            <w:tcBorders>
              <w:top w:val="nil"/>
              <w:left w:val="nil"/>
              <w:bottom w:val="single" w:sz="4" w:space="0" w:color="auto"/>
              <w:right w:val="single" w:sz="4" w:space="0" w:color="auto"/>
            </w:tcBorders>
            <w:shd w:val="clear" w:color="auto" w:fill="auto"/>
            <w:vAlign w:val="center"/>
            <w:hideMark/>
          </w:tcPr>
          <w:p w14:paraId="2C27664D" w14:textId="77777777" w:rsidR="00620422" w:rsidRPr="008204CC" w:rsidRDefault="00620422" w:rsidP="0066301C">
            <w:pPr>
              <w:spacing w:after="0" w:line="240" w:lineRule="auto"/>
              <w:jc w:val="right"/>
              <w:rPr>
                <w:rFonts w:ascii="Arial" w:eastAsia="Times New Roman" w:hAnsi="Arial" w:cs="Arial"/>
                <w:color w:val="000000"/>
                <w:sz w:val="18"/>
                <w:szCs w:val="18"/>
                <w:lang w:eastAsia="en-GB"/>
              </w:rPr>
            </w:pPr>
            <w:r w:rsidRPr="008204CC">
              <w:rPr>
                <w:rFonts w:ascii="Arial" w:eastAsia="Times New Roman" w:hAnsi="Arial" w:cs="Arial"/>
                <w:color w:val="000000"/>
                <w:sz w:val="18"/>
                <w:szCs w:val="18"/>
                <w:lang w:eastAsia="en-GB"/>
              </w:rPr>
              <w:t>109.891</w:t>
            </w:r>
          </w:p>
        </w:tc>
        <w:tc>
          <w:tcPr>
            <w:tcW w:w="1701" w:type="dxa"/>
            <w:tcBorders>
              <w:top w:val="nil"/>
              <w:left w:val="nil"/>
              <w:bottom w:val="single" w:sz="4" w:space="0" w:color="auto"/>
              <w:right w:val="single" w:sz="4" w:space="0" w:color="auto"/>
            </w:tcBorders>
            <w:shd w:val="clear" w:color="auto" w:fill="auto"/>
            <w:noWrap/>
            <w:vAlign w:val="bottom"/>
            <w:hideMark/>
          </w:tcPr>
          <w:p w14:paraId="7E8C6718" w14:textId="77777777" w:rsidR="00620422" w:rsidRPr="008204CC" w:rsidRDefault="00620422" w:rsidP="0066301C">
            <w:pPr>
              <w:spacing w:after="0" w:line="240" w:lineRule="auto"/>
              <w:jc w:val="right"/>
              <w:rPr>
                <w:rFonts w:ascii="Arial" w:eastAsia="Times New Roman" w:hAnsi="Arial" w:cs="Arial"/>
                <w:color w:val="000000"/>
                <w:sz w:val="18"/>
                <w:szCs w:val="18"/>
                <w:lang w:eastAsia="en-GB"/>
              </w:rPr>
            </w:pPr>
            <w:r w:rsidRPr="008204CC">
              <w:rPr>
                <w:rFonts w:ascii="Arial" w:eastAsia="Times New Roman" w:hAnsi="Arial" w:cs="Arial"/>
                <w:color w:val="000000"/>
                <w:sz w:val="18"/>
                <w:szCs w:val="18"/>
                <w:lang w:eastAsia="en-GB"/>
              </w:rPr>
              <w:t>100.1970287</w:t>
            </w:r>
          </w:p>
        </w:tc>
        <w:tc>
          <w:tcPr>
            <w:tcW w:w="1984" w:type="dxa"/>
            <w:tcBorders>
              <w:top w:val="nil"/>
              <w:left w:val="nil"/>
              <w:bottom w:val="single" w:sz="4" w:space="0" w:color="auto"/>
              <w:right w:val="single" w:sz="4" w:space="0" w:color="auto"/>
            </w:tcBorders>
            <w:shd w:val="clear" w:color="auto" w:fill="auto"/>
            <w:noWrap/>
            <w:vAlign w:val="bottom"/>
            <w:hideMark/>
          </w:tcPr>
          <w:p w14:paraId="6B5BFCBA" w14:textId="77777777" w:rsidR="00620422" w:rsidRPr="008204CC" w:rsidRDefault="00620422" w:rsidP="0066301C">
            <w:pPr>
              <w:spacing w:after="0" w:line="240" w:lineRule="auto"/>
              <w:jc w:val="right"/>
              <w:rPr>
                <w:rFonts w:ascii="Arial" w:eastAsia="Times New Roman" w:hAnsi="Arial" w:cs="Arial"/>
                <w:color w:val="000000"/>
                <w:sz w:val="18"/>
                <w:szCs w:val="18"/>
                <w:lang w:eastAsia="en-GB"/>
              </w:rPr>
            </w:pPr>
            <w:r w:rsidRPr="008204CC">
              <w:rPr>
                <w:rFonts w:ascii="Arial" w:eastAsia="Times New Roman" w:hAnsi="Arial" w:cs="Arial"/>
                <w:color w:val="000000"/>
                <w:sz w:val="18"/>
                <w:szCs w:val="18"/>
                <w:lang w:eastAsia="en-GB"/>
              </w:rPr>
              <w:t>9.6939713</w:t>
            </w:r>
          </w:p>
        </w:tc>
        <w:tc>
          <w:tcPr>
            <w:tcW w:w="709" w:type="dxa"/>
            <w:vMerge/>
            <w:tcBorders>
              <w:left w:val="nil"/>
              <w:right w:val="single" w:sz="4" w:space="0" w:color="auto"/>
            </w:tcBorders>
          </w:tcPr>
          <w:p w14:paraId="42FB52E6" w14:textId="77777777" w:rsidR="00620422" w:rsidRPr="008204CC" w:rsidRDefault="00620422" w:rsidP="0066301C">
            <w:pPr>
              <w:spacing w:after="0" w:line="240" w:lineRule="auto"/>
              <w:jc w:val="right"/>
              <w:rPr>
                <w:rFonts w:ascii="Arial" w:eastAsia="Times New Roman" w:hAnsi="Arial" w:cs="Arial"/>
                <w:color w:val="000000"/>
                <w:sz w:val="18"/>
                <w:szCs w:val="18"/>
                <w:lang w:eastAsia="en-GB"/>
              </w:rPr>
            </w:pPr>
          </w:p>
        </w:tc>
        <w:tc>
          <w:tcPr>
            <w:tcW w:w="678" w:type="dxa"/>
            <w:tcBorders>
              <w:top w:val="nil"/>
              <w:left w:val="nil"/>
              <w:bottom w:val="single" w:sz="4" w:space="0" w:color="auto"/>
              <w:right w:val="nil"/>
            </w:tcBorders>
            <w:vAlign w:val="center"/>
          </w:tcPr>
          <w:p w14:paraId="3EA8079D" w14:textId="77777777" w:rsidR="00620422" w:rsidRPr="008204CC" w:rsidRDefault="00620422" w:rsidP="0066301C">
            <w:pPr>
              <w:spacing w:after="0" w:line="240" w:lineRule="auto"/>
              <w:jc w:val="right"/>
              <w:rPr>
                <w:rFonts w:ascii="Arial" w:eastAsia="Times New Roman" w:hAnsi="Arial" w:cs="Arial"/>
                <w:color w:val="000000"/>
                <w:sz w:val="18"/>
                <w:szCs w:val="18"/>
                <w:lang w:eastAsia="en-GB"/>
              </w:rPr>
            </w:pPr>
            <w:r w:rsidRPr="008204CC">
              <w:rPr>
                <w:rFonts w:ascii="Arial" w:eastAsia="Times New Roman" w:hAnsi="Arial" w:cs="Arial"/>
                <w:color w:val="000000"/>
                <w:sz w:val="18"/>
                <w:szCs w:val="18"/>
                <w:lang w:eastAsia="en-GB"/>
              </w:rPr>
              <w:t>2009</w:t>
            </w:r>
          </w:p>
        </w:tc>
        <w:tc>
          <w:tcPr>
            <w:tcW w:w="752" w:type="dxa"/>
            <w:gridSpan w:val="2"/>
            <w:tcBorders>
              <w:top w:val="nil"/>
              <w:left w:val="nil"/>
              <w:bottom w:val="single" w:sz="4" w:space="0" w:color="auto"/>
              <w:right w:val="single" w:sz="4" w:space="0" w:color="auto"/>
            </w:tcBorders>
          </w:tcPr>
          <w:p w14:paraId="4F38E581" w14:textId="77777777" w:rsidR="00620422" w:rsidRPr="008204CC" w:rsidRDefault="00620422" w:rsidP="0066301C">
            <w:pPr>
              <w:spacing w:after="0" w:line="240" w:lineRule="auto"/>
              <w:jc w:val="right"/>
              <w:rPr>
                <w:rFonts w:ascii="Arial" w:eastAsia="Times New Roman" w:hAnsi="Arial" w:cs="Arial"/>
                <w:color w:val="000000"/>
                <w:sz w:val="18"/>
                <w:szCs w:val="18"/>
                <w:lang w:eastAsia="en-GB"/>
              </w:rPr>
            </w:pPr>
          </w:p>
        </w:tc>
        <w:tc>
          <w:tcPr>
            <w:tcW w:w="1196" w:type="dxa"/>
            <w:gridSpan w:val="2"/>
            <w:tcBorders>
              <w:top w:val="nil"/>
              <w:left w:val="nil"/>
              <w:bottom w:val="single" w:sz="4" w:space="0" w:color="auto"/>
              <w:right w:val="single" w:sz="4" w:space="0" w:color="auto"/>
            </w:tcBorders>
            <w:vAlign w:val="bottom"/>
          </w:tcPr>
          <w:p w14:paraId="54C96D0A" w14:textId="77777777" w:rsidR="00620422" w:rsidRPr="008204CC" w:rsidRDefault="00620422" w:rsidP="0066301C">
            <w:pPr>
              <w:spacing w:after="0" w:line="240" w:lineRule="auto"/>
              <w:jc w:val="right"/>
              <w:rPr>
                <w:rFonts w:ascii="Arial" w:eastAsia="Times New Roman" w:hAnsi="Arial" w:cs="Arial"/>
                <w:color w:val="000000"/>
                <w:sz w:val="18"/>
                <w:szCs w:val="18"/>
                <w:lang w:eastAsia="en-GB"/>
              </w:rPr>
            </w:pPr>
            <w:r w:rsidRPr="008204CC">
              <w:rPr>
                <w:rFonts w:ascii="Arial" w:eastAsia="Times New Roman" w:hAnsi="Arial" w:cs="Arial"/>
                <w:color w:val="000000"/>
                <w:sz w:val="18"/>
                <w:szCs w:val="18"/>
                <w:lang w:eastAsia="en-GB"/>
              </w:rPr>
              <w:t>147.5054</w:t>
            </w:r>
          </w:p>
        </w:tc>
        <w:tc>
          <w:tcPr>
            <w:tcW w:w="1455" w:type="dxa"/>
            <w:gridSpan w:val="2"/>
            <w:tcBorders>
              <w:top w:val="nil"/>
              <w:left w:val="nil"/>
              <w:bottom w:val="single" w:sz="4" w:space="0" w:color="auto"/>
              <w:right w:val="single" w:sz="4" w:space="0" w:color="auto"/>
            </w:tcBorders>
            <w:vAlign w:val="bottom"/>
          </w:tcPr>
          <w:p w14:paraId="4E68F70B" w14:textId="77777777" w:rsidR="00620422" w:rsidRPr="008204CC" w:rsidRDefault="00620422" w:rsidP="0066301C">
            <w:pPr>
              <w:spacing w:after="0" w:line="240" w:lineRule="auto"/>
              <w:jc w:val="right"/>
              <w:rPr>
                <w:rFonts w:ascii="Arial" w:eastAsia="Times New Roman" w:hAnsi="Arial" w:cs="Arial"/>
                <w:color w:val="000000"/>
                <w:sz w:val="18"/>
                <w:szCs w:val="18"/>
                <w:lang w:eastAsia="en-GB"/>
              </w:rPr>
            </w:pPr>
            <w:r w:rsidRPr="008204CC">
              <w:rPr>
                <w:rFonts w:ascii="Arial" w:eastAsia="Times New Roman" w:hAnsi="Arial" w:cs="Arial"/>
                <w:color w:val="000000"/>
                <w:sz w:val="18"/>
                <w:szCs w:val="18"/>
                <w:lang w:eastAsia="en-GB"/>
              </w:rPr>
              <w:t>132.1777278</w:t>
            </w:r>
          </w:p>
        </w:tc>
        <w:tc>
          <w:tcPr>
            <w:tcW w:w="2014" w:type="dxa"/>
            <w:tcBorders>
              <w:top w:val="nil"/>
              <w:left w:val="nil"/>
              <w:bottom w:val="single" w:sz="4" w:space="0" w:color="auto"/>
              <w:right w:val="single" w:sz="4" w:space="0" w:color="auto"/>
            </w:tcBorders>
            <w:vAlign w:val="bottom"/>
          </w:tcPr>
          <w:p w14:paraId="2BDA35BE" w14:textId="77777777" w:rsidR="00620422" w:rsidRPr="008204CC" w:rsidRDefault="00620422" w:rsidP="0066301C">
            <w:pPr>
              <w:spacing w:after="0" w:line="240" w:lineRule="auto"/>
              <w:jc w:val="right"/>
              <w:rPr>
                <w:rFonts w:ascii="Arial" w:eastAsia="Times New Roman" w:hAnsi="Arial" w:cs="Arial"/>
                <w:color w:val="000000"/>
                <w:sz w:val="18"/>
                <w:szCs w:val="18"/>
                <w:lang w:eastAsia="en-GB"/>
              </w:rPr>
            </w:pPr>
            <w:r w:rsidRPr="008204CC">
              <w:rPr>
                <w:rFonts w:ascii="Arial" w:eastAsia="Times New Roman" w:hAnsi="Arial" w:cs="Arial"/>
                <w:color w:val="000000"/>
                <w:sz w:val="18"/>
                <w:szCs w:val="18"/>
                <w:lang w:eastAsia="en-GB"/>
              </w:rPr>
              <w:t>15.32762608</w:t>
            </w:r>
          </w:p>
        </w:tc>
      </w:tr>
      <w:tr w:rsidR="008A6AC3" w:rsidRPr="008204CC" w14:paraId="5CB248D1" w14:textId="77777777" w:rsidTr="00D46B41">
        <w:trPr>
          <w:trHeight w:val="330"/>
        </w:trPr>
        <w:tc>
          <w:tcPr>
            <w:tcW w:w="1135" w:type="dxa"/>
            <w:tcBorders>
              <w:top w:val="nil"/>
              <w:left w:val="single" w:sz="4" w:space="0" w:color="auto"/>
              <w:bottom w:val="single" w:sz="4" w:space="0" w:color="auto"/>
              <w:right w:val="single" w:sz="4" w:space="0" w:color="auto"/>
            </w:tcBorders>
            <w:shd w:val="clear" w:color="000000" w:fill="FFFFFF"/>
            <w:vAlign w:val="center"/>
            <w:hideMark/>
          </w:tcPr>
          <w:p w14:paraId="2A929C55" w14:textId="77777777" w:rsidR="00620422" w:rsidRPr="008204CC" w:rsidRDefault="00620422" w:rsidP="0066301C">
            <w:pPr>
              <w:spacing w:after="0" w:line="240" w:lineRule="auto"/>
              <w:jc w:val="right"/>
              <w:rPr>
                <w:rFonts w:ascii="Arial" w:eastAsia="Times New Roman" w:hAnsi="Arial" w:cs="Arial"/>
                <w:color w:val="000000"/>
                <w:sz w:val="18"/>
                <w:szCs w:val="18"/>
                <w:lang w:eastAsia="en-GB"/>
              </w:rPr>
            </w:pPr>
            <w:r w:rsidRPr="008204CC">
              <w:rPr>
                <w:rFonts w:ascii="Arial" w:eastAsia="Times New Roman" w:hAnsi="Arial" w:cs="Arial"/>
                <w:color w:val="000000"/>
                <w:sz w:val="18"/>
                <w:szCs w:val="18"/>
                <w:lang w:eastAsia="en-GB"/>
              </w:rPr>
              <w:t>2010</w:t>
            </w:r>
          </w:p>
        </w:tc>
        <w:tc>
          <w:tcPr>
            <w:tcW w:w="1701" w:type="dxa"/>
            <w:tcBorders>
              <w:top w:val="nil"/>
              <w:left w:val="nil"/>
              <w:bottom w:val="single" w:sz="4" w:space="0" w:color="auto"/>
              <w:right w:val="single" w:sz="4" w:space="0" w:color="auto"/>
            </w:tcBorders>
            <w:shd w:val="clear" w:color="auto" w:fill="auto"/>
            <w:vAlign w:val="center"/>
            <w:hideMark/>
          </w:tcPr>
          <w:p w14:paraId="55844411" w14:textId="77777777" w:rsidR="00620422" w:rsidRPr="008204CC" w:rsidRDefault="00620422" w:rsidP="0066301C">
            <w:pPr>
              <w:spacing w:after="0" w:line="240" w:lineRule="auto"/>
              <w:jc w:val="right"/>
              <w:rPr>
                <w:rFonts w:ascii="Arial" w:eastAsia="Times New Roman" w:hAnsi="Arial" w:cs="Arial"/>
                <w:color w:val="000000"/>
                <w:sz w:val="18"/>
                <w:szCs w:val="18"/>
                <w:lang w:eastAsia="en-GB"/>
              </w:rPr>
            </w:pPr>
            <w:r w:rsidRPr="008204CC">
              <w:rPr>
                <w:rFonts w:ascii="Arial" w:eastAsia="Times New Roman" w:hAnsi="Arial" w:cs="Arial"/>
                <w:color w:val="000000"/>
                <w:sz w:val="18"/>
                <w:szCs w:val="18"/>
                <w:lang w:eastAsia="en-GB"/>
              </w:rPr>
              <w:t>100</w:t>
            </w:r>
          </w:p>
        </w:tc>
        <w:tc>
          <w:tcPr>
            <w:tcW w:w="1701" w:type="dxa"/>
            <w:tcBorders>
              <w:top w:val="nil"/>
              <w:left w:val="nil"/>
              <w:bottom w:val="single" w:sz="4" w:space="0" w:color="auto"/>
              <w:right w:val="single" w:sz="4" w:space="0" w:color="auto"/>
            </w:tcBorders>
            <w:shd w:val="clear" w:color="auto" w:fill="auto"/>
            <w:noWrap/>
            <w:vAlign w:val="bottom"/>
            <w:hideMark/>
          </w:tcPr>
          <w:p w14:paraId="4E341C30" w14:textId="77777777" w:rsidR="00620422" w:rsidRPr="008204CC" w:rsidRDefault="00620422" w:rsidP="0066301C">
            <w:pPr>
              <w:spacing w:after="0" w:line="240" w:lineRule="auto"/>
              <w:jc w:val="right"/>
              <w:rPr>
                <w:rFonts w:ascii="Arial" w:eastAsia="Times New Roman" w:hAnsi="Arial" w:cs="Arial"/>
                <w:color w:val="000000"/>
                <w:sz w:val="18"/>
                <w:szCs w:val="18"/>
                <w:lang w:eastAsia="en-GB"/>
              </w:rPr>
            </w:pPr>
            <w:r w:rsidRPr="008204CC">
              <w:rPr>
                <w:rFonts w:ascii="Arial" w:eastAsia="Times New Roman" w:hAnsi="Arial" w:cs="Arial"/>
                <w:color w:val="000000"/>
                <w:sz w:val="18"/>
                <w:szCs w:val="18"/>
                <w:lang w:eastAsia="en-GB"/>
              </w:rPr>
              <w:t>99.86621453</w:t>
            </w:r>
          </w:p>
        </w:tc>
        <w:tc>
          <w:tcPr>
            <w:tcW w:w="1984" w:type="dxa"/>
            <w:tcBorders>
              <w:top w:val="nil"/>
              <w:left w:val="nil"/>
              <w:bottom w:val="single" w:sz="4" w:space="0" w:color="auto"/>
              <w:right w:val="single" w:sz="4" w:space="0" w:color="auto"/>
            </w:tcBorders>
            <w:shd w:val="clear" w:color="auto" w:fill="auto"/>
            <w:noWrap/>
            <w:vAlign w:val="bottom"/>
            <w:hideMark/>
          </w:tcPr>
          <w:p w14:paraId="402A3960" w14:textId="77777777" w:rsidR="00620422" w:rsidRPr="008204CC" w:rsidRDefault="00620422" w:rsidP="0066301C">
            <w:pPr>
              <w:spacing w:after="0" w:line="240" w:lineRule="auto"/>
              <w:jc w:val="right"/>
              <w:rPr>
                <w:rFonts w:ascii="Arial" w:eastAsia="Times New Roman" w:hAnsi="Arial" w:cs="Arial"/>
                <w:color w:val="000000"/>
                <w:sz w:val="18"/>
                <w:szCs w:val="18"/>
                <w:lang w:eastAsia="en-GB"/>
              </w:rPr>
            </w:pPr>
            <w:r w:rsidRPr="008204CC">
              <w:rPr>
                <w:rFonts w:ascii="Arial" w:eastAsia="Times New Roman" w:hAnsi="Arial" w:cs="Arial"/>
                <w:color w:val="000000"/>
                <w:sz w:val="18"/>
                <w:szCs w:val="18"/>
                <w:lang w:eastAsia="en-GB"/>
              </w:rPr>
              <w:t>0.133785465</w:t>
            </w:r>
          </w:p>
        </w:tc>
        <w:tc>
          <w:tcPr>
            <w:tcW w:w="709" w:type="dxa"/>
            <w:vMerge/>
            <w:tcBorders>
              <w:left w:val="nil"/>
              <w:right w:val="single" w:sz="4" w:space="0" w:color="auto"/>
            </w:tcBorders>
          </w:tcPr>
          <w:p w14:paraId="2EE7ECD8" w14:textId="77777777" w:rsidR="00620422" w:rsidRPr="008204CC" w:rsidRDefault="00620422" w:rsidP="0066301C">
            <w:pPr>
              <w:spacing w:after="0" w:line="240" w:lineRule="auto"/>
              <w:jc w:val="right"/>
              <w:rPr>
                <w:rFonts w:ascii="Arial" w:eastAsia="Times New Roman" w:hAnsi="Arial" w:cs="Arial"/>
                <w:color w:val="000000"/>
                <w:sz w:val="18"/>
                <w:szCs w:val="18"/>
                <w:lang w:eastAsia="en-GB"/>
              </w:rPr>
            </w:pPr>
          </w:p>
        </w:tc>
        <w:tc>
          <w:tcPr>
            <w:tcW w:w="678" w:type="dxa"/>
            <w:tcBorders>
              <w:top w:val="nil"/>
              <w:left w:val="nil"/>
              <w:bottom w:val="single" w:sz="4" w:space="0" w:color="auto"/>
              <w:right w:val="nil"/>
            </w:tcBorders>
            <w:vAlign w:val="center"/>
          </w:tcPr>
          <w:p w14:paraId="1275F390" w14:textId="77777777" w:rsidR="00620422" w:rsidRPr="008204CC" w:rsidRDefault="00620422" w:rsidP="0066301C">
            <w:pPr>
              <w:spacing w:after="0" w:line="240" w:lineRule="auto"/>
              <w:jc w:val="right"/>
              <w:rPr>
                <w:rFonts w:ascii="Arial" w:eastAsia="Times New Roman" w:hAnsi="Arial" w:cs="Arial"/>
                <w:color w:val="000000"/>
                <w:sz w:val="18"/>
                <w:szCs w:val="18"/>
                <w:lang w:eastAsia="en-GB"/>
              </w:rPr>
            </w:pPr>
            <w:r w:rsidRPr="008204CC">
              <w:rPr>
                <w:rFonts w:ascii="Arial" w:eastAsia="Times New Roman" w:hAnsi="Arial" w:cs="Arial"/>
                <w:color w:val="000000"/>
                <w:sz w:val="18"/>
                <w:szCs w:val="18"/>
                <w:lang w:eastAsia="en-GB"/>
              </w:rPr>
              <w:t>2010</w:t>
            </w:r>
          </w:p>
        </w:tc>
        <w:tc>
          <w:tcPr>
            <w:tcW w:w="752" w:type="dxa"/>
            <w:gridSpan w:val="2"/>
            <w:tcBorders>
              <w:top w:val="nil"/>
              <w:left w:val="nil"/>
              <w:bottom w:val="single" w:sz="4" w:space="0" w:color="auto"/>
              <w:right w:val="single" w:sz="4" w:space="0" w:color="auto"/>
            </w:tcBorders>
          </w:tcPr>
          <w:p w14:paraId="520D8DAA" w14:textId="77777777" w:rsidR="00620422" w:rsidRPr="008204CC" w:rsidRDefault="00620422" w:rsidP="0066301C">
            <w:pPr>
              <w:spacing w:after="0" w:line="240" w:lineRule="auto"/>
              <w:jc w:val="right"/>
              <w:rPr>
                <w:rFonts w:ascii="Arial" w:eastAsia="Times New Roman" w:hAnsi="Arial" w:cs="Arial"/>
                <w:color w:val="000000"/>
                <w:sz w:val="18"/>
                <w:szCs w:val="18"/>
                <w:lang w:eastAsia="en-GB"/>
              </w:rPr>
            </w:pPr>
          </w:p>
        </w:tc>
        <w:tc>
          <w:tcPr>
            <w:tcW w:w="1196" w:type="dxa"/>
            <w:gridSpan w:val="2"/>
            <w:tcBorders>
              <w:top w:val="nil"/>
              <w:left w:val="nil"/>
              <w:bottom w:val="single" w:sz="4" w:space="0" w:color="auto"/>
              <w:right w:val="single" w:sz="4" w:space="0" w:color="auto"/>
            </w:tcBorders>
            <w:vAlign w:val="bottom"/>
          </w:tcPr>
          <w:p w14:paraId="6D008EFE" w14:textId="77777777" w:rsidR="00620422" w:rsidRPr="008204CC" w:rsidRDefault="00620422" w:rsidP="0066301C">
            <w:pPr>
              <w:spacing w:after="0" w:line="240" w:lineRule="auto"/>
              <w:jc w:val="right"/>
              <w:rPr>
                <w:rFonts w:ascii="Arial" w:eastAsia="Times New Roman" w:hAnsi="Arial" w:cs="Arial"/>
                <w:color w:val="000000"/>
                <w:sz w:val="18"/>
                <w:szCs w:val="18"/>
                <w:lang w:eastAsia="en-GB"/>
              </w:rPr>
            </w:pPr>
            <w:r w:rsidRPr="008204CC">
              <w:rPr>
                <w:rFonts w:ascii="Arial" w:eastAsia="Times New Roman" w:hAnsi="Arial" w:cs="Arial"/>
                <w:color w:val="000000"/>
                <w:sz w:val="18"/>
                <w:szCs w:val="18"/>
                <w:lang w:eastAsia="en-GB"/>
              </w:rPr>
              <w:t>100</w:t>
            </w:r>
          </w:p>
        </w:tc>
        <w:tc>
          <w:tcPr>
            <w:tcW w:w="1455" w:type="dxa"/>
            <w:gridSpan w:val="2"/>
            <w:tcBorders>
              <w:top w:val="nil"/>
              <w:left w:val="nil"/>
              <w:bottom w:val="single" w:sz="4" w:space="0" w:color="auto"/>
              <w:right w:val="single" w:sz="4" w:space="0" w:color="auto"/>
            </w:tcBorders>
            <w:vAlign w:val="bottom"/>
          </w:tcPr>
          <w:p w14:paraId="497A971D" w14:textId="77777777" w:rsidR="00620422" w:rsidRPr="008204CC" w:rsidRDefault="00620422" w:rsidP="0066301C">
            <w:pPr>
              <w:spacing w:after="0" w:line="240" w:lineRule="auto"/>
              <w:jc w:val="right"/>
              <w:rPr>
                <w:rFonts w:ascii="Arial" w:eastAsia="Times New Roman" w:hAnsi="Arial" w:cs="Arial"/>
                <w:color w:val="000000"/>
                <w:sz w:val="18"/>
                <w:szCs w:val="18"/>
                <w:lang w:eastAsia="en-GB"/>
              </w:rPr>
            </w:pPr>
            <w:r w:rsidRPr="008204CC">
              <w:rPr>
                <w:rFonts w:ascii="Arial" w:eastAsia="Times New Roman" w:hAnsi="Arial" w:cs="Arial"/>
                <w:color w:val="000000"/>
                <w:sz w:val="18"/>
                <w:szCs w:val="18"/>
                <w:lang w:eastAsia="en-GB"/>
              </w:rPr>
              <w:t>128.3412416</w:t>
            </w:r>
          </w:p>
        </w:tc>
        <w:tc>
          <w:tcPr>
            <w:tcW w:w="2014" w:type="dxa"/>
            <w:tcBorders>
              <w:top w:val="nil"/>
              <w:left w:val="nil"/>
              <w:bottom w:val="single" w:sz="4" w:space="0" w:color="auto"/>
              <w:right w:val="single" w:sz="4" w:space="0" w:color="auto"/>
            </w:tcBorders>
            <w:vAlign w:val="bottom"/>
          </w:tcPr>
          <w:p w14:paraId="7F0422A6" w14:textId="77777777" w:rsidR="00620422" w:rsidRPr="008204CC" w:rsidRDefault="00620422" w:rsidP="0066301C">
            <w:pPr>
              <w:spacing w:after="0" w:line="240" w:lineRule="auto"/>
              <w:jc w:val="right"/>
              <w:rPr>
                <w:rFonts w:ascii="Arial" w:eastAsia="Times New Roman" w:hAnsi="Arial" w:cs="Arial"/>
                <w:color w:val="000000"/>
                <w:sz w:val="18"/>
                <w:szCs w:val="18"/>
                <w:lang w:eastAsia="en-GB"/>
              </w:rPr>
            </w:pPr>
            <w:r w:rsidRPr="008204CC">
              <w:rPr>
                <w:rFonts w:ascii="Arial" w:eastAsia="Times New Roman" w:hAnsi="Arial" w:cs="Arial"/>
                <w:color w:val="000000"/>
                <w:sz w:val="18"/>
                <w:szCs w:val="18"/>
                <w:lang w:eastAsia="en-GB"/>
              </w:rPr>
              <w:t>-28.34124158</w:t>
            </w:r>
          </w:p>
        </w:tc>
      </w:tr>
      <w:tr w:rsidR="008A6AC3" w:rsidRPr="008204CC" w14:paraId="7F9C85B6" w14:textId="77777777" w:rsidTr="00D46B41">
        <w:trPr>
          <w:trHeight w:val="330"/>
        </w:trPr>
        <w:tc>
          <w:tcPr>
            <w:tcW w:w="1135" w:type="dxa"/>
            <w:tcBorders>
              <w:top w:val="nil"/>
              <w:left w:val="single" w:sz="4" w:space="0" w:color="auto"/>
              <w:bottom w:val="single" w:sz="4" w:space="0" w:color="auto"/>
              <w:right w:val="single" w:sz="4" w:space="0" w:color="auto"/>
            </w:tcBorders>
            <w:shd w:val="clear" w:color="000000" w:fill="FFFFFF"/>
            <w:vAlign w:val="center"/>
            <w:hideMark/>
          </w:tcPr>
          <w:p w14:paraId="3EA06659" w14:textId="77777777" w:rsidR="00620422" w:rsidRPr="008204CC" w:rsidRDefault="00620422" w:rsidP="0066301C">
            <w:pPr>
              <w:spacing w:after="0" w:line="240" w:lineRule="auto"/>
              <w:jc w:val="right"/>
              <w:rPr>
                <w:rFonts w:ascii="Arial" w:eastAsia="Times New Roman" w:hAnsi="Arial" w:cs="Arial"/>
                <w:color w:val="000000"/>
                <w:sz w:val="18"/>
                <w:szCs w:val="18"/>
                <w:lang w:eastAsia="en-GB"/>
              </w:rPr>
            </w:pPr>
            <w:r w:rsidRPr="008204CC">
              <w:rPr>
                <w:rFonts w:ascii="Arial" w:eastAsia="Times New Roman" w:hAnsi="Arial" w:cs="Arial"/>
                <w:color w:val="000000"/>
                <w:sz w:val="18"/>
                <w:szCs w:val="18"/>
                <w:lang w:eastAsia="en-GB"/>
              </w:rPr>
              <w:t>2011</w:t>
            </w:r>
          </w:p>
        </w:tc>
        <w:tc>
          <w:tcPr>
            <w:tcW w:w="1701" w:type="dxa"/>
            <w:tcBorders>
              <w:top w:val="nil"/>
              <w:left w:val="nil"/>
              <w:bottom w:val="single" w:sz="4" w:space="0" w:color="auto"/>
              <w:right w:val="single" w:sz="4" w:space="0" w:color="auto"/>
            </w:tcBorders>
            <w:shd w:val="clear" w:color="auto" w:fill="auto"/>
            <w:vAlign w:val="center"/>
            <w:hideMark/>
          </w:tcPr>
          <w:p w14:paraId="2A8337CE" w14:textId="77777777" w:rsidR="00620422" w:rsidRPr="008204CC" w:rsidRDefault="00620422" w:rsidP="0066301C">
            <w:pPr>
              <w:spacing w:after="0" w:line="240" w:lineRule="auto"/>
              <w:jc w:val="right"/>
              <w:rPr>
                <w:rFonts w:ascii="Arial" w:eastAsia="Times New Roman" w:hAnsi="Arial" w:cs="Arial"/>
                <w:color w:val="000000"/>
                <w:sz w:val="18"/>
                <w:szCs w:val="18"/>
                <w:lang w:eastAsia="en-GB"/>
              </w:rPr>
            </w:pPr>
            <w:r w:rsidRPr="008204CC">
              <w:rPr>
                <w:rFonts w:ascii="Arial" w:eastAsia="Times New Roman" w:hAnsi="Arial" w:cs="Arial"/>
                <w:color w:val="000000"/>
                <w:sz w:val="18"/>
                <w:szCs w:val="18"/>
                <w:lang w:eastAsia="en-GB"/>
              </w:rPr>
              <w:t>93.601</w:t>
            </w:r>
          </w:p>
        </w:tc>
        <w:tc>
          <w:tcPr>
            <w:tcW w:w="1701" w:type="dxa"/>
            <w:tcBorders>
              <w:top w:val="nil"/>
              <w:left w:val="nil"/>
              <w:bottom w:val="single" w:sz="4" w:space="0" w:color="auto"/>
              <w:right w:val="single" w:sz="4" w:space="0" w:color="auto"/>
            </w:tcBorders>
            <w:shd w:val="clear" w:color="auto" w:fill="auto"/>
            <w:noWrap/>
            <w:vAlign w:val="bottom"/>
            <w:hideMark/>
          </w:tcPr>
          <w:p w14:paraId="07009AA7" w14:textId="77777777" w:rsidR="00620422" w:rsidRPr="008204CC" w:rsidRDefault="00620422" w:rsidP="0066301C">
            <w:pPr>
              <w:spacing w:after="0" w:line="240" w:lineRule="auto"/>
              <w:jc w:val="right"/>
              <w:rPr>
                <w:rFonts w:ascii="Arial" w:eastAsia="Times New Roman" w:hAnsi="Arial" w:cs="Arial"/>
                <w:color w:val="000000"/>
                <w:sz w:val="18"/>
                <w:szCs w:val="18"/>
                <w:lang w:eastAsia="en-GB"/>
              </w:rPr>
            </w:pPr>
            <w:r w:rsidRPr="008204CC">
              <w:rPr>
                <w:rFonts w:ascii="Arial" w:eastAsia="Times New Roman" w:hAnsi="Arial" w:cs="Arial"/>
                <w:color w:val="000000"/>
                <w:sz w:val="18"/>
                <w:szCs w:val="18"/>
                <w:lang w:eastAsia="en-GB"/>
              </w:rPr>
              <w:t>99.29785655</w:t>
            </w:r>
          </w:p>
        </w:tc>
        <w:tc>
          <w:tcPr>
            <w:tcW w:w="1984" w:type="dxa"/>
            <w:tcBorders>
              <w:top w:val="nil"/>
              <w:left w:val="nil"/>
              <w:bottom w:val="single" w:sz="4" w:space="0" w:color="auto"/>
              <w:right w:val="single" w:sz="4" w:space="0" w:color="auto"/>
            </w:tcBorders>
            <w:shd w:val="clear" w:color="auto" w:fill="auto"/>
            <w:noWrap/>
            <w:vAlign w:val="bottom"/>
            <w:hideMark/>
          </w:tcPr>
          <w:p w14:paraId="3D39B0B7" w14:textId="77777777" w:rsidR="00620422" w:rsidRPr="008204CC" w:rsidRDefault="00620422" w:rsidP="0066301C">
            <w:pPr>
              <w:spacing w:after="0" w:line="240" w:lineRule="auto"/>
              <w:jc w:val="right"/>
              <w:rPr>
                <w:rFonts w:ascii="Arial" w:eastAsia="Times New Roman" w:hAnsi="Arial" w:cs="Arial"/>
                <w:color w:val="000000"/>
                <w:sz w:val="18"/>
                <w:szCs w:val="18"/>
                <w:lang w:eastAsia="en-GB"/>
              </w:rPr>
            </w:pPr>
            <w:r w:rsidRPr="008204CC">
              <w:rPr>
                <w:rFonts w:ascii="Arial" w:eastAsia="Times New Roman" w:hAnsi="Arial" w:cs="Arial"/>
                <w:color w:val="000000"/>
                <w:sz w:val="18"/>
                <w:szCs w:val="18"/>
                <w:lang w:eastAsia="en-GB"/>
              </w:rPr>
              <w:t>-5.696856552</w:t>
            </w:r>
          </w:p>
        </w:tc>
        <w:tc>
          <w:tcPr>
            <w:tcW w:w="709" w:type="dxa"/>
            <w:vMerge/>
            <w:tcBorders>
              <w:left w:val="nil"/>
              <w:right w:val="single" w:sz="4" w:space="0" w:color="auto"/>
            </w:tcBorders>
          </w:tcPr>
          <w:p w14:paraId="693D3139" w14:textId="77777777" w:rsidR="00620422" w:rsidRPr="008204CC" w:rsidRDefault="00620422" w:rsidP="0066301C">
            <w:pPr>
              <w:spacing w:after="0" w:line="240" w:lineRule="auto"/>
              <w:jc w:val="right"/>
              <w:rPr>
                <w:rFonts w:ascii="Arial" w:eastAsia="Times New Roman" w:hAnsi="Arial" w:cs="Arial"/>
                <w:color w:val="000000"/>
                <w:sz w:val="18"/>
                <w:szCs w:val="18"/>
                <w:lang w:eastAsia="en-GB"/>
              </w:rPr>
            </w:pPr>
          </w:p>
        </w:tc>
        <w:tc>
          <w:tcPr>
            <w:tcW w:w="678" w:type="dxa"/>
            <w:tcBorders>
              <w:top w:val="nil"/>
              <w:left w:val="nil"/>
              <w:bottom w:val="single" w:sz="4" w:space="0" w:color="auto"/>
              <w:right w:val="nil"/>
            </w:tcBorders>
            <w:vAlign w:val="center"/>
          </w:tcPr>
          <w:p w14:paraId="6B964241" w14:textId="77777777" w:rsidR="00620422" w:rsidRPr="008204CC" w:rsidRDefault="00620422" w:rsidP="0066301C">
            <w:pPr>
              <w:spacing w:after="0" w:line="240" w:lineRule="auto"/>
              <w:jc w:val="right"/>
              <w:rPr>
                <w:rFonts w:ascii="Arial" w:eastAsia="Times New Roman" w:hAnsi="Arial" w:cs="Arial"/>
                <w:color w:val="000000"/>
                <w:sz w:val="18"/>
                <w:szCs w:val="18"/>
                <w:lang w:eastAsia="en-GB"/>
              </w:rPr>
            </w:pPr>
            <w:r w:rsidRPr="008204CC">
              <w:rPr>
                <w:rFonts w:ascii="Arial" w:eastAsia="Times New Roman" w:hAnsi="Arial" w:cs="Arial"/>
                <w:color w:val="000000"/>
                <w:sz w:val="18"/>
                <w:szCs w:val="18"/>
                <w:lang w:eastAsia="en-GB"/>
              </w:rPr>
              <w:t>2011</w:t>
            </w:r>
          </w:p>
        </w:tc>
        <w:tc>
          <w:tcPr>
            <w:tcW w:w="752" w:type="dxa"/>
            <w:gridSpan w:val="2"/>
            <w:tcBorders>
              <w:top w:val="nil"/>
              <w:left w:val="nil"/>
              <w:bottom w:val="single" w:sz="4" w:space="0" w:color="auto"/>
              <w:right w:val="single" w:sz="4" w:space="0" w:color="auto"/>
            </w:tcBorders>
          </w:tcPr>
          <w:p w14:paraId="7E789CB0" w14:textId="77777777" w:rsidR="00620422" w:rsidRPr="008204CC" w:rsidRDefault="00620422" w:rsidP="0066301C">
            <w:pPr>
              <w:spacing w:after="0" w:line="240" w:lineRule="auto"/>
              <w:jc w:val="right"/>
              <w:rPr>
                <w:rFonts w:ascii="Arial" w:eastAsia="Times New Roman" w:hAnsi="Arial" w:cs="Arial"/>
                <w:color w:val="000000"/>
                <w:sz w:val="18"/>
                <w:szCs w:val="18"/>
                <w:lang w:eastAsia="en-GB"/>
              </w:rPr>
            </w:pPr>
          </w:p>
        </w:tc>
        <w:tc>
          <w:tcPr>
            <w:tcW w:w="1196" w:type="dxa"/>
            <w:gridSpan w:val="2"/>
            <w:tcBorders>
              <w:top w:val="nil"/>
              <w:left w:val="nil"/>
              <w:bottom w:val="single" w:sz="4" w:space="0" w:color="auto"/>
              <w:right w:val="single" w:sz="4" w:space="0" w:color="auto"/>
            </w:tcBorders>
            <w:vAlign w:val="bottom"/>
          </w:tcPr>
          <w:p w14:paraId="74200D7C" w14:textId="77777777" w:rsidR="00620422" w:rsidRPr="008204CC" w:rsidRDefault="00620422" w:rsidP="0066301C">
            <w:pPr>
              <w:spacing w:after="0" w:line="240" w:lineRule="auto"/>
              <w:jc w:val="right"/>
              <w:rPr>
                <w:rFonts w:ascii="Arial" w:eastAsia="Times New Roman" w:hAnsi="Arial" w:cs="Arial"/>
                <w:color w:val="000000"/>
                <w:sz w:val="18"/>
                <w:szCs w:val="18"/>
                <w:lang w:eastAsia="en-GB"/>
              </w:rPr>
            </w:pPr>
            <w:r w:rsidRPr="008204CC">
              <w:rPr>
                <w:rFonts w:ascii="Arial" w:eastAsia="Times New Roman" w:hAnsi="Arial" w:cs="Arial"/>
                <w:color w:val="000000"/>
                <w:sz w:val="18"/>
                <w:szCs w:val="18"/>
                <w:lang w:eastAsia="en-GB"/>
              </w:rPr>
              <w:t>105.8215</w:t>
            </w:r>
          </w:p>
        </w:tc>
        <w:tc>
          <w:tcPr>
            <w:tcW w:w="1455" w:type="dxa"/>
            <w:gridSpan w:val="2"/>
            <w:tcBorders>
              <w:top w:val="nil"/>
              <w:left w:val="nil"/>
              <w:bottom w:val="single" w:sz="4" w:space="0" w:color="auto"/>
              <w:right w:val="single" w:sz="4" w:space="0" w:color="auto"/>
            </w:tcBorders>
            <w:vAlign w:val="bottom"/>
          </w:tcPr>
          <w:p w14:paraId="0CB25080" w14:textId="77777777" w:rsidR="00620422" w:rsidRPr="008204CC" w:rsidRDefault="00620422" w:rsidP="0066301C">
            <w:pPr>
              <w:spacing w:after="0" w:line="240" w:lineRule="auto"/>
              <w:jc w:val="right"/>
              <w:rPr>
                <w:rFonts w:ascii="Arial" w:eastAsia="Times New Roman" w:hAnsi="Arial" w:cs="Arial"/>
                <w:color w:val="000000"/>
                <w:sz w:val="18"/>
                <w:szCs w:val="18"/>
                <w:lang w:eastAsia="en-GB"/>
              </w:rPr>
            </w:pPr>
            <w:r w:rsidRPr="008204CC">
              <w:rPr>
                <w:rFonts w:ascii="Arial" w:eastAsia="Times New Roman" w:hAnsi="Arial" w:cs="Arial"/>
                <w:color w:val="000000"/>
                <w:sz w:val="18"/>
                <w:szCs w:val="18"/>
                <w:lang w:eastAsia="en-GB"/>
              </w:rPr>
              <w:t>124.9666093</w:t>
            </w:r>
          </w:p>
        </w:tc>
        <w:tc>
          <w:tcPr>
            <w:tcW w:w="2014" w:type="dxa"/>
            <w:tcBorders>
              <w:top w:val="nil"/>
              <w:left w:val="nil"/>
              <w:bottom w:val="single" w:sz="4" w:space="0" w:color="auto"/>
              <w:right w:val="single" w:sz="4" w:space="0" w:color="auto"/>
            </w:tcBorders>
            <w:vAlign w:val="bottom"/>
          </w:tcPr>
          <w:p w14:paraId="2FC6FB1E" w14:textId="77777777" w:rsidR="00620422" w:rsidRPr="008204CC" w:rsidRDefault="00620422" w:rsidP="0066301C">
            <w:pPr>
              <w:spacing w:after="0" w:line="240" w:lineRule="auto"/>
              <w:jc w:val="right"/>
              <w:rPr>
                <w:rFonts w:ascii="Arial" w:eastAsia="Times New Roman" w:hAnsi="Arial" w:cs="Arial"/>
                <w:color w:val="000000"/>
                <w:sz w:val="18"/>
                <w:szCs w:val="18"/>
                <w:lang w:eastAsia="en-GB"/>
              </w:rPr>
            </w:pPr>
            <w:r w:rsidRPr="008204CC">
              <w:rPr>
                <w:rFonts w:ascii="Arial" w:eastAsia="Times New Roman" w:hAnsi="Arial" w:cs="Arial"/>
                <w:color w:val="000000"/>
                <w:sz w:val="18"/>
                <w:szCs w:val="18"/>
                <w:lang w:eastAsia="en-GB"/>
              </w:rPr>
              <w:t>-19.14514579</w:t>
            </w:r>
          </w:p>
        </w:tc>
      </w:tr>
      <w:tr w:rsidR="008A6AC3" w:rsidRPr="008204CC" w14:paraId="375AB7B3" w14:textId="77777777" w:rsidTr="00D46B41">
        <w:trPr>
          <w:trHeight w:val="330"/>
        </w:trPr>
        <w:tc>
          <w:tcPr>
            <w:tcW w:w="1135" w:type="dxa"/>
            <w:tcBorders>
              <w:top w:val="nil"/>
              <w:left w:val="single" w:sz="4" w:space="0" w:color="auto"/>
              <w:bottom w:val="single" w:sz="4" w:space="0" w:color="auto"/>
              <w:right w:val="single" w:sz="4" w:space="0" w:color="auto"/>
            </w:tcBorders>
            <w:shd w:val="clear" w:color="000000" w:fill="FFFFFF"/>
            <w:vAlign w:val="center"/>
            <w:hideMark/>
          </w:tcPr>
          <w:p w14:paraId="32C292D3" w14:textId="77777777" w:rsidR="00620422" w:rsidRPr="008204CC" w:rsidRDefault="00620422" w:rsidP="0066301C">
            <w:pPr>
              <w:spacing w:after="0" w:line="240" w:lineRule="auto"/>
              <w:jc w:val="right"/>
              <w:rPr>
                <w:rFonts w:ascii="Arial" w:eastAsia="Times New Roman" w:hAnsi="Arial" w:cs="Arial"/>
                <w:color w:val="000000"/>
                <w:sz w:val="18"/>
                <w:szCs w:val="18"/>
                <w:lang w:eastAsia="en-GB"/>
              </w:rPr>
            </w:pPr>
            <w:r w:rsidRPr="008204CC">
              <w:rPr>
                <w:rFonts w:ascii="Arial" w:eastAsia="Times New Roman" w:hAnsi="Arial" w:cs="Arial"/>
                <w:color w:val="000000"/>
                <w:sz w:val="18"/>
                <w:szCs w:val="18"/>
                <w:lang w:eastAsia="en-GB"/>
              </w:rPr>
              <w:t>2012</w:t>
            </w:r>
          </w:p>
        </w:tc>
        <w:tc>
          <w:tcPr>
            <w:tcW w:w="1701" w:type="dxa"/>
            <w:tcBorders>
              <w:top w:val="nil"/>
              <w:left w:val="nil"/>
              <w:bottom w:val="single" w:sz="4" w:space="0" w:color="auto"/>
              <w:right w:val="single" w:sz="4" w:space="0" w:color="auto"/>
            </w:tcBorders>
            <w:shd w:val="clear" w:color="auto" w:fill="auto"/>
            <w:vAlign w:val="center"/>
            <w:hideMark/>
          </w:tcPr>
          <w:p w14:paraId="6D877E4B" w14:textId="77777777" w:rsidR="00620422" w:rsidRPr="008204CC" w:rsidRDefault="00620422" w:rsidP="0066301C">
            <w:pPr>
              <w:spacing w:after="0" w:line="240" w:lineRule="auto"/>
              <w:jc w:val="right"/>
              <w:rPr>
                <w:rFonts w:ascii="Arial" w:eastAsia="Times New Roman" w:hAnsi="Arial" w:cs="Arial"/>
                <w:color w:val="000000"/>
                <w:sz w:val="18"/>
                <w:szCs w:val="18"/>
                <w:lang w:eastAsia="en-GB"/>
              </w:rPr>
            </w:pPr>
            <w:r w:rsidRPr="008204CC">
              <w:rPr>
                <w:rFonts w:ascii="Arial" w:eastAsia="Times New Roman" w:hAnsi="Arial" w:cs="Arial"/>
                <w:color w:val="000000"/>
                <w:sz w:val="18"/>
                <w:szCs w:val="18"/>
                <w:lang w:eastAsia="en-GB"/>
              </w:rPr>
              <w:t>100.015</w:t>
            </w:r>
          </w:p>
        </w:tc>
        <w:tc>
          <w:tcPr>
            <w:tcW w:w="1701" w:type="dxa"/>
            <w:tcBorders>
              <w:top w:val="nil"/>
              <w:left w:val="nil"/>
              <w:bottom w:val="single" w:sz="4" w:space="0" w:color="auto"/>
              <w:right w:val="single" w:sz="4" w:space="0" w:color="auto"/>
            </w:tcBorders>
            <w:shd w:val="clear" w:color="auto" w:fill="auto"/>
            <w:noWrap/>
            <w:vAlign w:val="bottom"/>
            <w:hideMark/>
          </w:tcPr>
          <w:p w14:paraId="0204F4B1" w14:textId="77777777" w:rsidR="00620422" w:rsidRPr="008204CC" w:rsidRDefault="00620422" w:rsidP="0066301C">
            <w:pPr>
              <w:spacing w:after="0" w:line="240" w:lineRule="auto"/>
              <w:jc w:val="right"/>
              <w:rPr>
                <w:rFonts w:ascii="Arial" w:eastAsia="Times New Roman" w:hAnsi="Arial" w:cs="Arial"/>
                <w:color w:val="000000"/>
                <w:sz w:val="18"/>
                <w:szCs w:val="18"/>
                <w:lang w:eastAsia="en-GB"/>
              </w:rPr>
            </w:pPr>
            <w:r w:rsidRPr="008204CC">
              <w:rPr>
                <w:rFonts w:ascii="Arial" w:eastAsia="Times New Roman" w:hAnsi="Arial" w:cs="Arial"/>
                <w:color w:val="000000"/>
                <w:sz w:val="18"/>
                <w:szCs w:val="18"/>
                <w:lang w:eastAsia="en-GB"/>
              </w:rPr>
              <w:t>98.51714672</w:t>
            </w:r>
          </w:p>
        </w:tc>
        <w:tc>
          <w:tcPr>
            <w:tcW w:w="1984" w:type="dxa"/>
            <w:tcBorders>
              <w:top w:val="nil"/>
              <w:left w:val="nil"/>
              <w:bottom w:val="single" w:sz="4" w:space="0" w:color="auto"/>
              <w:right w:val="single" w:sz="4" w:space="0" w:color="auto"/>
            </w:tcBorders>
            <w:shd w:val="clear" w:color="auto" w:fill="auto"/>
            <w:noWrap/>
            <w:vAlign w:val="bottom"/>
            <w:hideMark/>
          </w:tcPr>
          <w:p w14:paraId="132BDE14" w14:textId="77777777" w:rsidR="00620422" w:rsidRPr="008204CC" w:rsidRDefault="00620422" w:rsidP="0066301C">
            <w:pPr>
              <w:spacing w:after="0" w:line="240" w:lineRule="auto"/>
              <w:jc w:val="right"/>
              <w:rPr>
                <w:rFonts w:ascii="Arial" w:eastAsia="Times New Roman" w:hAnsi="Arial" w:cs="Arial"/>
                <w:color w:val="000000"/>
                <w:sz w:val="18"/>
                <w:szCs w:val="18"/>
                <w:lang w:eastAsia="en-GB"/>
              </w:rPr>
            </w:pPr>
            <w:r w:rsidRPr="008204CC">
              <w:rPr>
                <w:rFonts w:ascii="Arial" w:eastAsia="Times New Roman" w:hAnsi="Arial" w:cs="Arial"/>
                <w:color w:val="000000"/>
                <w:sz w:val="18"/>
                <w:szCs w:val="18"/>
                <w:lang w:eastAsia="en-GB"/>
              </w:rPr>
              <w:t>1.49785328</w:t>
            </w:r>
          </w:p>
        </w:tc>
        <w:tc>
          <w:tcPr>
            <w:tcW w:w="709" w:type="dxa"/>
            <w:vMerge/>
            <w:tcBorders>
              <w:left w:val="nil"/>
              <w:right w:val="single" w:sz="4" w:space="0" w:color="auto"/>
            </w:tcBorders>
          </w:tcPr>
          <w:p w14:paraId="14F36C74" w14:textId="77777777" w:rsidR="00620422" w:rsidRPr="008204CC" w:rsidRDefault="00620422" w:rsidP="0066301C">
            <w:pPr>
              <w:spacing w:after="0" w:line="240" w:lineRule="auto"/>
              <w:jc w:val="right"/>
              <w:rPr>
                <w:rFonts w:ascii="Arial" w:eastAsia="Times New Roman" w:hAnsi="Arial" w:cs="Arial"/>
                <w:color w:val="000000"/>
                <w:sz w:val="18"/>
                <w:szCs w:val="18"/>
                <w:lang w:eastAsia="en-GB"/>
              </w:rPr>
            </w:pPr>
          </w:p>
        </w:tc>
        <w:tc>
          <w:tcPr>
            <w:tcW w:w="678" w:type="dxa"/>
            <w:tcBorders>
              <w:top w:val="nil"/>
              <w:left w:val="nil"/>
              <w:bottom w:val="single" w:sz="4" w:space="0" w:color="auto"/>
              <w:right w:val="nil"/>
            </w:tcBorders>
            <w:vAlign w:val="center"/>
          </w:tcPr>
          <w:p w14:paraId="599457AF" w14:textId="77777777" w:rsidR="00620422" w:rsidRPr="008204CC" w:rsidRDefault="00620422" w:rsidP="0066301C">
            <w:pPr>
              <w:spacing w:after="0" w:line="240" w:lineRule="auto"/>
              <w:jc w:val="right"/>
              <w:rPr>
                <w:rFonts w:ascii="Arial" w:eastAsia="Times New Roman" w:hAnsi="Arial" w:cs="Arial"/>
                <w:color w:val="000000"/>
                <w:sz w:val="18"/>
                <w:szCs w:val="18"/>
                <w:lang w:eastAsia="en-GB"/>
              </w:rPr>
            </w:pPr>
            <w:r w:rsidRPr="008204CC">
              <w:rPr>
                <w:rFonts w:ascii="Arial" w:eastAsia="Times New Roman" w:hAnsi="Arial" w:cs="Arial"/>
                <w:color w:val="000000"/>
                <w:sz w:val="18"/>
                <w:szCs w:val="18"/>
                <w:lang w:eastAsia="en-GB"/>
              </w:rPr>
              <w:t>2012</w:t>
            </w:r>
          </w:p>
        </w:tc>
        <w:tc>
          <w:tcPr>
            <w:tcW w:w="752" w:type="dxa"/>
            <w:gridSpan w:val="2"/>
            <w:tcBorders>
              <w:top w:val="nil"/>
              <w:left w:val="nil"/>
              <w:bottom w:val="single" w:sz="4" w:space="0" w:color="auto"/>
              <w:right w:val="single" w:sz="4" w:space="0" w:color="auto"/>
            </w:tcBorders>
          </w:tcPr>
          <w:p w14:paraId="2AF4C199" w14:textId="77777777" w:rsidR="00620422" w:rsidRPr="008204CC" w:rsidRDefault="00620422" w:rsidP="0066301C">
            <w:pPr>
              <w:spacing w:after="0" w:line="240" w:lineRule="auto"/>
              <w:jc w:val="right"/>
              <w:rPr>
                <w:rFonts w:ascii="Arial" w:eastAsia="Times New Roman" w:hAnsi="Arial" w:cs="Arial"/>
                <w:color w:val="000000"/>
                <w:sz w:val="18"/>
                <w:szCs w:val="18"/>
                <w:lang w:eastAsia="en-GB"/>
              </w:rPr>
            </w:pPr>
          </w:p>
        </w:tc>
        <w:tc>
          <w:tcPr>
            <w:tcW w:w="1196" w:type="dxa"/>
            <w:gridSpan w:val="2"/>
            <w:tcBorders>
              <w:top w:val="nil"/>
              <w:left w:val="nil"/>
              <w:bottom w:val="single" w:sz="4" w:space="0" w:color="auto"/>
              <w:right w:val="single" w:sz="4" w:space="0" w:color="auto"/>
            </w:tcBorders>
            <w:vAlign w:val="bottom"/>
          </w:tcPr>
          <w:p w14:paraId="0AB3C913" w14:textId="77777777" w:rsidR="00620422" w:rsidRPr="008204CC" w:rsidRDefault="00620422" w:rsidP="0066301C">
            <w:pPr>
              <w:spacing w:after="0" w:line="240" w:lineRule="auto"/>
              <w:jc w:val="right"/>
              <w:rPr>
                <w:rFonts w:ascii="Arial" w:eastAsia="Times New Roman" w:hAnsi="Arial" w:cs="Arial"/>
                <w:color w:val="000000"/>
                <w:sz w:val="18"/>
                <w:szCs w:val="18"/>
                <w:lang w:eastAsia="en-GB"/>
              </w:rPr>
            </w:pPr>
            <w:r w:rsidRPr="008204CC">
              <w:rPr>
                <w:rFonts w:ascii="Arial" w:eastAsia="Times New Roman" w:hAnsi="Arial" w:cs="Arial"/>
                <w:color w:val="000000"/>
                <w:sz w:val="18"/>
                <w:szCs w:val="18"/>
                <w:lang w:eastAsia="en-GB"/>
              </w:rPr>
              <w:t>115.7533</w:t>
            </w:r>
          </w:p>
        </w:tc>
        <w:tc>
          <w:tcPr>
            <w:tcW w:w="1455" w:type="dxa"/>
            <w:gridSpan w:val="2"/>
            <w:tcBorders>
              <w:top w:val="nil"/>
              <w:left w:val="nil"/>
              <w:bottom w:val="single" w:sz="4" w:space="0" w:color="auto"/>
              <w:right w:val="single" w:sz="4" w:space="0" w:color="auto"/>
            </w:tcBorders>
            <w:vAlign w:val="bottom"/>
          </w:tcPr>
          <w:p w14:paraId="2E35A41D" w14:textId="77777777" w:rsidR="00620422" w:rsidRPr="008204CC" w:rsidRDefault="00620422" w:rsidP="0066301C">
            <w:pPr>
              <w:spacing w:after="0" w:line="240" w:lineRule="auto"/>
              <w:jc w:val="right"/>
              <w:rPr>
                <w:rFonts w:ascii="Arial" w:eastAsia="Times New Roman" w:hAnsi="Arial" w:cs="Arial"/>
                <w:color w:val="000000"/>
                <w:sz w:val="18"/>
                <w:szCs w:val="18"/>
                <w:lang w:eastAsia="en-GB"/>
              </w:rPr>
            </w:pPr>
            <w:r w:rsidRPr="008204CC">
              <w:rPr>
                <w:rFonts w:ascii="Arial" w:eastAsia="Times New Roman" w:hAnsi="Arial" w:cs="Arial"/>
                <w:color w:val="000000"/>
                <w:sz w:val="18"/>
                <w:szCs w:val="18"/>
                <w:lang w:eastAsia="en-GB"/>
              </w:rPr>
              <w:t>122.1573104</w:t>
            </w:r>
          </w:p>
        </w:tc>
        <w:tc>
          <w:tcPr>
            <w:tcW w:w="2014" w:type="dxa"/>
            <w:tcBorders>
              <w:top w:val="nil"/>
              <w:left w:val="nil"/>
              <w:bottom w:val="single" w:sz="4" w:space="0" w:color="auto"/>
              <w:right w:val="single" w:sz="4" w:space="0" w:color="auto"/>
            </w:tcBorders>
            <w:vAlign w:val="bottom"/>
          </w:tcPr>
          <w:p w14:paraId="5AE5A794" w14:textId="77777777" w:rsidR="00620422" w:rsidRPr="008204CC" w:rsidRDefault="00620422" w:rsidP="0066301C">
            <w:pPr>
              <w:spacing w:after="0" w:line="240" w:lineRule="auto"/>
              <w:jc w:val="right"/>
              <w:rPr>
                <w:rFonts w:ascii="Arial" w:eastAsia="Times New Roman" w:hAnsi="Arial" w:cs="Arial"/>
                <w:color w:val="000000"/>
                <w:sz w:val="18"/>
                <w:szCs w:val="18"/>
                <w:lang w:eastAsia="en-GB"/>
              </w:rPr>
            </w:pPr>
            <w:r w:rsidRPr="008204CC">
              <w:rPr>
                <w:rFonts w:ascii="Arial" w:eastAsia="Times New Roman" w:hAnsi="Arial" w:cs="Arial"/>
                <w:color w:val="000000"/>
                <w:sz w:val="18"/>
                <w:szCs w:val="18"/>
                <w:lang w:eastAsia="en-GB"/>
              </w:rPr>
              <w:t>-6.404051062</w:t>
            </w:r>
          </w:p>
        </w:tc>
      </w:tr>
      <w:tr w:rsidR="008A6AC3" w:rsidRPr="008204CC" w14:paraId="1A957838" w14:textId="77777777" w:rsidTr="00D46B41">
        <w:trPr>
          <w:trHeight w:val="330"/>
        </w:trPr>
        <w:tc>
          <w:tcPr>
            <w:tcW w:w="1135" w:type="dxa"/>
            <w:tcBorders>
              <w:top w:val="nil"/>
              <w:left w:val="single" w:sz="4" w:space="0" w:color="auto"/>
              <w:bottom w:val="single" w:sz="4" w:space="0" w:color="auto"/>
              <w:right w:val="single" w:sz="4" w:space="0" w:color="auto"/>
            </w:tcBorders>
            <w:shd w:val="clear" w:color="000000" w:fill="FFFFFF"/>
            <w:vAlign w:val="center"/>
            <w:hideMark/>
          </w:tcPr>
          <w:p w14:paraId="2E462D30" w14:textId="77777777" w:rsidR="00620422" w:rsidRPr="008204CC" w:rsidRDefault="00620422" w:rsidP="0066301C">
            <w:pPr>
              <w:spacing w:after="0" w:line="240" w:lineRule="auto"/>
              <w:jc w:val="right"/>
              <w:rPr>
                <w:rFonts w:ascii="Arial" w:eastAsia="Times New Roman" w:hAnsi="Arial" w:cs="Arial"/>
                <w:color w:val="000000"/>
                <w:sz w:val="18"/>
                <w:szCs w:val="18"/>
                <w:lang w:eastAsia="en-GB"/>
              </w:rPr>
            </w:pPr>
            <w:r w:rsidRPr="008204CC">
              <w:rPr>
                <w:rFonts w:ascii="Arial" w:eastAsia="Times New Roman" w:hAnsi="Arial" w:cs="Arial"/>
                <w:color w:val="000000"/>
                <w:sz w:val="18"/>
                <w:szCs w:val="18"/>
                <w:lang w:eastAsia="en-GB"/>
              </w:rPr>
              <w:t>2013</w:t>
            </w:r>
          </w:p>
        </w:tc>
        <w:tc>
          <w:tcPr>
            <w:tcW w:w="1701" w:type="dxa"/>
            <w:tcBorders>
              <w:top w:val="nil"/>
              <w:left w:val="nil"/>
              <w:bottom w:val="single" w:sz="4" w:space="0" w:color="auto"/>
              <w:right w:val="single" w:sz="4" w:space="0" w:color="auto"/>
            </w:tcBorders>
            <w:shd w:val="clear" w:color="auto" w:fill="auto"/>
            <w:vAlign w:val="center"/>
            <w:hideMark/>
          </w:tcPr>
          <w:p w14:paraId="55405823" w14:textId="77777777" w:rsidR="00620422" w:rsidRPr="008204CC" w:rsidRDefault="00620422" w:rsidP="0066301C">
            <w:pPr>
              <w:spacing w:after="0" w:line="240" w:lineRule="auto"/>
              <w:jc w:val="right"/>
              <w:rPr>
                <w:rFonts w:ascii="Arial" w:eastAsia="Times New Roman" w:hAnsi="Arial" w:cs="Arial"/>
                <w:color w:val="000000"/>
                <w:sz w:val="18"/>
                <w:szCs w:val="18"/>
                <w:lang w:eastAsia="en-GB"/>
              </w:rPr>
            </w:pPr>
            <w:r w:rsidRPr="008204CC">
              <w:rPr>
                <w:rFonts w:ascii="Arial" w:eastAsia="Times New Roman" w:hAnsi="Arial" w:cs="Arial"/>
                <w:color w:val="000000"/>
                <w:sz w:val="18"/>
                <w:szCs w:val="18"/>
                <w:lang w:eastAsia="en-GB"/>
              </w:rPr>
              <w:t>100.5</w:t>
            </w:r>
          </w:p>
        </w:tc>
        <w:tc>
          <w:tcPr>
            <w:tcW w:w="1701" w:type="dxa"/>
            <w:tcBorders>
              <w:top w:val="nil"/>
              <w:left w:val="nil"/>
              <w:bottom w:val="single" w:sz="4" w:space="0" w:color="auto"/>
              <w:right w:val="single" w:sz="4" w:space="0" w:color="auto"/>
            </w:tcBorders>
            <w:shd w:val="clear" w:color="auto" w:fill="auto"/>
            <w:noWrap/>
            <w:vAlign w:val="bottom"/>
            <w:hideMark/>
          </w:tcPr>
          <w:p w14:paraId="20821E6B" w14:textId="77777777" w:rsidR="00620422" w:rsidRPr="008204CC" w:rsidRDefault="00620422" w:rsidP="0066301C">
            <w:pPr>
              <w:spacing w:after="0" w:line="240" w:lineRule="auto"/>
              <w:jc w:val="right"/>
              <w:rPr>
                <w:rFonts w:ascii="Arial" w:eastAsia="Times New Roman" w:hAnsi="Arial" w:cs="Arial"/>
                <w:color w:val="000000"/>
                <w:sz w:val="18"/>
                <w:szCs w:val="18"/>
                <w:lang w:eastAsia="en-GB"/>
              </w:rPr>
            </w:pPr>
            <w:r w:rsidRPr="008204CC">
              <w:rPr>
                <w:rFonts w:ascii="Arial" w:eastAsia="Times New Roman" w:hAnsi="Arial" w:cs="Arial"/>
                <w:color w:val="000000"/>
                <w:sz w:val="18"/>
                <w:szCs w:val="18"/>
                <w:lang w:eastAsia="en-GB"/>
              </w:rPr>
              <w:t>97.49230844</w:t>
            </w:r>
          </w:p>
        </w:tc>
        <w:tc>
          <w:tcPr>
            <w:tcW w:w="1984" w:type="dxa"/>
            <w:tcBorders>
              <w:top w:val="nil"/>
              <w:left w:val="nil"/>
              <w:bottom w:val="single" w:sz="4" w:space="0" w:color="auto"/>
              <w:right w:val="single" w:sz="4" w:space="0" w:color="auto"/>
            </w:tcBorders>
            <w:shd w:val="clear" w:color="auto" w:fill="auto"/>
            <w:noWrap/>
            <w:vAlign w:val="bottom"/>
            <w:hideMark/>
          </w:tcPr>
          <w:p w14:paraId="3AD5B155" w14:textId="77777777" w:rsidR="00620422" w:rsidRPr="008204CC" w:rsidRDefault="00620422" w:rsidP="0066301C">
            <w:pPr>
              <w:spacing w:after="0" w:line="240" w:lineRule="auto"/>
              <w:jc w:val="right"/>
              <w:rPr>
                <w:rFonts w:ascii="Arial" w:eastAsia="Times New Roman" w:hAnsi="Arial" w:cs="Arial"/>
                <w:color w:val="000000"/>
                <w:sz w:val="18"/>
                <w:szCs w:val="18"/>
                <w:lang w:eastAsia="en-GB"/>
              </w:rPr>
            </w:pPr>
            <w:r w:rsidRPr="008204CC">
              <w:rPr>
                <w:rFonts w:ascii="Arial" w:eastAsia="Times New Roman" w:hAnsi="Arial" w:cs="Arial"/>
                <w:color w:val="000000"/>
                <w:sz w:val="18"/>
                <w:szCs w:val="18"/>
                <w:lang w:eastAsia="en-GB"/>
              </w:rPr>
              <w:t>3.007691564</w:t>
            </w:r>
          </w:p>
        </w:tc>
        <w:tc>
          <w:tcPr>
            <w:tcW w:w="709" w:type="dxa"/>
            <w:vMerge/>
            <w:tcBorders>
              <w:left w:val="nil"/>
              <w:right w:val="single" w:sz="4" w:space="0" w:color="auto"/>
            </w:tcBorders>
          </w:tcPr>
          <w:p w14:paraId="3300E824" w14:textId="77777777" w:rsidR="00620422" w:rsidRPr="008204CC" w:rsidRDefault="00620422" w:rsidP="0066301C">
            <w:pPr>
              <w:spacing w:after="0" w:line="240" w:lineRule="auto"/>
              <w:jc w:val="right"/>
              <w:rPr>
                <w:rFonts w:ascii="Arial" w:eastAsia="Times New Roman" w:hAnsi="Arial" w:cs="Arial"/>
                <w:color w:val="000000"/>
                <w:sz w:val="18"/>
                <w:szCs w:val="18"/>
                <w:lang w:eastAsia="en-GB"/>
              </w:rPr>
            </w:pPr>
          </w:p>
        </w:tc>
        <w:tc>
          <w:tcPr>
            <w:tcW w:w="678" w:type="dxa"/>
            <w:tcBorders>
              <w:top w:val="nil"/>
              <w:left w:val="nil"/>
              <w:bottom w:val="single" w:sz="4" w:space="0" w:color="auto"/>
              <w:right w:val="nil"/>
            </w:tcBorders>
            <w:vAlign w:val="center"/>
          </w:tcPr>
          <w:p w14:paraId="44D673E3" w14:textId="77777777" w:rsidR="00620422" w:rsidRPr="008204CC" w:rsidRDefault="00620422" w:rsidP="0066301C">
            <w:pPr>
              <w:spacing w:after="0" w:line="240" w:lineRule="auto"/>
              <w:jc w:val="right"/>
              <w:rPr>
                <w:rFonts w:ascii="Arial" w:eastAsia="Times New Roman" w:hAnsi="Arial" w:cs="Arial"/>
                <w:color w:val="000000"/>
                <w:sz w:val="18"/>
                <w:szCs w:val="18"/>
                <w:lang w:eastAsia="en-GB"/>
              </w:rPr>
            </w:pPr>
            <w:r w:rsidRPr="008204CC">
              <w:rPr>
                <w:rFonts w:ascii="Arial" w:eastAsia="Times New Roman" w:hAnsi="Arial" w:cs="Arial"/>
                <w:color w:val="000000"/>
                <w:sz w:val="18"/>
                <w:szCs w:val="18"/>
                <w:lang w:eastAsia="en-GB"/>
              </w:rPr>
              <w:t>2013</w:t>
            </w:r>
          </w:p>
        </w:tc>
        <w:tc>
          <w:tcPr>
            <w:tcW w:w="752" w:type="dxa"/>
            <w:gridSpan w:val="2"/>
            <w:tcBorders>
              <w:top w:val="nil"/>
              <w:left w:val="nil"/>
              <w:bottom w:val="single" w:sz="4" w:space="0" w:color="auto"/>
              <w:right w:val="single" w:sz="4" w:space="0" w:color="auto"/>
            </w:tcBorders>
          </w:tcPr>
          <w:p w14:paraId="722897E4" w14:textId="77777777" w:rsidR="00620422" w:rsidRPr="008204CC" w:rsidRDefault="00620422" w:rsidP="0066301C">
            <w:pPr>
              <w:spacing w:after="0" w:line="240" w:lineRule="auto"/>
              <w:jc w:val="right"/>
              <w:rPr>
                <w:rFonts w:ascii="Arial" w:eastAsia="Times New Roman" w:hAnsi="Arial" w:cs="Arial"/>
                <w:color w:val="000000"/>
                <w:sz w:val="18"/>
                <w:szCs w:val="18"/>
                <w:lang w:eastAsia="en-GB"/>
              </w:rPr>
            </w:pPr>
          </w:p>
        </w:tc>
        <w:tc>
          <w:tcPr>
            <w:tcW w:w="1196" w:type="dxa"/>
            <w:gridSpan w:val="2"/>
            <w:tcBorders>
              <w:top w:val="nil"/>
              <w:left w:val="nil"/>
              <w:bottom w:val="single" w:sz="4" w:space="0" w:color="auto"/>
              <w:right w:val="single" w:sz="4" w:space="0" w:color="auto"/>
            </w:tcBorders>
            <w:vAlign w:val="bottom"/>
          </w:tcPr>
          <w:p w14:paraId="1A57EA29" w14:textId="77777777" w:rsidR="00620422" w:rsidRPr="008204CC" w:rsidRDefault="00620422" w:rsidP="0066301C">
            <w:pPr>
              <w:spacing w:after="0" w:line="240" w:lineRule="auto"/>
              <w:jc w:val="right"/>
              <w:rPr>
                <w:rFonts w:ascii="Arial" w:eastAsia="Times New Roman" w:hAnsi="Arial" w:cs="Arial"/>
                <w:color w:val="000000"/>
                <w:sz w:val="18"/>
                <w:szCs w:val="18"/>
                <w:lang w:eastAsia="en-GB"/>
              </w:rPr>
            </w:pPr>
            <w:r w:rsidRPr="008204CC">
              <w:rPr>
                <w:rFonts w:ascii="Arial" w:eastAsia="Times New Roman" w:hAnsi="Arial" w:cs="Arial"/>
                <w:color w:val="000000"/>
                <w:sz w:val="18"/>
                <w:szCs w:val="18"/>
                <w:lang w:eastAsia="en-GB"/>
              </w:rPr>
              <w:t>116.3138</w:t>
            </w:r>
          </w:p>
        </w:tc>
        <w:tc>
          <w:tcPr>
            <w:tcW w:w="1455" w:type="dxa"/>
            <w:gridSpan w:val="2"/>
            <w:tcBorders>
              <w:top w:val="nil"/>
              <w:left w:val="nil"/>
              <w:bottom w:val="single" w:sz="4" w:space="0" w:color="auto"/>
              <w:right w:val="single" w:sz="4" w:space="0" w:color="auto"/>
            </w:tcBorders>
            <w:vAlign w:val="bottom"/>
          </w:tcPr>
          <w:p w14:paraId="39BEE2C3" w14:textId="77777777" w:rsidR="00620422" w:rsidRPr="008204CC" w:rsidRDefault="00620422" w:rsidP="0066301C">
            <w:pPr>
              <w:spacing w:after="0" w:line="240" w:lineRule="auto"/>
              <w:jc w:val="right"/>
              <w:rPr>
                <w:rFonts w:ascii="Arial" w:eastAsia="Times New Roman" w:hAnsi="Arial" w:cs="Arial"/>
                <w:color w:val="000000"/>
                <w:sz w:val="18"/>
                <w:szCs w:val="18"/>
                <w:lang w:eastAsia="en-GB"/>
              </w:rPr>
            </w:pPr>
            <w:r w:rsidRPr="008204CC">
              <w:rPr>
                <w:rFonts w:ascii="Arial" w:eastAsia="Times New Roman" w:hAnsi="Arial" w:cs="Arial"/>
                <w:color w:val="000000"/>
                <w:sz w:val="18"/>
                <w:szCs w:val="18"/>
                <w:lang w:eastAsia="en-GB"/>
              </w:rPr>
              <w:t>119.8253727</w:t>
            </w:r>
          </w:p>
        </w:tc>
        <w:tc>
          <w:tcPr>
            <w:tcW w:w="2014" w:type="dxa"/>
            <w:tcBorders>
              <w:top w:val="nil"/>
              <w:left w:val="nil"/>
              <w:bottom w:val="single" w:sz="4" w:space="0" w:color="auto"/>
              <w:right w:val="single" w:sz="4" w:space="0" w:color="auto"/>
            </w:tcBorders>
            <w:vAlign w:val="bottom"/>
          </w:tcPr>
          <w:p w14:paraId="6B0E31B2" w14:textId="77777777" w:rsidR="00620422" w:rsidRPr="008204CC" w:rsidRDefault="00620422" w:rsidP="0066301C">
            <w:pPr>
              <w:spacing w:after="0" w:line="240" w:lineRule="auto"/>
              <w:jc w:val="right"/>
              <w:rPr>
                <w:rFonts w:ascii="Arial" w:eastAsia="Times New Roman" w:hAnsi="Arial" w:cs="Arial"/>
                <w:color w:val="000000"/>
                <w:sz w:val="18"/>
                <w:szCs w:val="18"/>
                <w:lang w:eastAsia="en-GB"/>
              </w:rPr>
            </w:pPr>
            <w:r w:rsidRPr="008204CC">
              <w:rPr>
                <w:rFonts w:ascii="Arial" w:eastAsia="Times New Roman" w:hAnsi="Arial" w:cs="Arial"/>
                <w:color w:val="000000"/>
                <w:sz w:val="18"/>
                <w:szCs w:val="18"/>
                <w:lang w:eastAsia="en-GB"/>
              </w:rPr>
              <w:t>-3.511533371</w:t>
            </w:r>
          </w:p>
        </w:tc>
      </w:tr>
      <w:tr w:rsidR="008A6AC3" w:rsidRPr="008204CC" w14:paraId="7407E676" w14:textId="77777777" w:rsidTr="00D46B41">
        <w:trPr>
          <w:trHeight w:val="330"/>
        </w:trPr>
        <w:tc>
          <w:tcPr>
            <w:tcW w:w="1135" w:type="dxa"/>
            <w:tcBorders>
              <w:top w:val="nil"/>
              <w:left w:val="single" w:sz="4" w:space="0" w:color="auto"/>
              <w:bottom w:val="single" w:sz="4" w:space="0" w:color="auto"/>
              <w:right w:val="single" w:sz="4" w:space="0" w:color="auto"/>
            </w:tcBorders>
            <w:shd w:val="clear" w:color="000000" w:fill="FFFFFF"/>
            <w:vAlign w:val="center"/>
            <w:hideMark/>
          </w:tcPr>
          <w:p w14:paraId="7331CE3D" w14:textId="77777777" w:rsidR="00620422" w:rsidRPr="008204CC" w:rsidRDefault="00620422" w:rsidP="0066301C">
            <w:pPr>
              <w:spacing w:after="0" w:line="240" w:lineRule="auto"/>
              <w:jc w:val="right"/>
              <w:rPr>
                <w:rFonts w:ascii="Arial" w:eastAsia="Times New Roman" w:hAnsi="Arial" w:cs="Arial"/>
                <w:color w:val="000000"/>
                <w:sz w:val="18"/>
                <w:szCs w:val="18"/>
                <w:lang w:eastAsia="en-GB"/>
              </w:rPr>
            </w:pPr>
            <w:r w:rsidRPr="008204CC">
              <w:rPr>
                <w:rFonts w:ascii="Arial" w:eastAsia="Times New Roman" w:hAnsi="Arial" w:cs="Arial"/>
                <w:color w:val="000000"/>
                <w:sz w:val="18"/>
                <w:szCs w:val="18"/>
                <w:lang w:eastAsia="en-GB"/>
              </w:rPr>
              <w:t>2014</w:t>
            </w:r>
          </w:p>
        </w:tc>
        <w:tc>
          <w:tcPr>
            <w:tcW w:w="1701" w:type="dxa"/>
            <w:tcBorders>
              <w:top w:val="nil"/>
              <w:left w:val="nil"/>
              <w:bottom w:val="single" w:sz="4" w:space="0" w:color="auto"/>
              <w:right w:val="single" w:sz="4" w:space="0" w:color="auto"/>
            </w:tcBorders>
            <w:shd w:val="clear" w:color="auto" w:fill="auto"/>
            <w:vAlign w:val="center"/>
            <w:hideMark/>
          </w:tcPr>
          <w:p w14:paraId="58C1E874" w14:textId="77777777" w:rsidR="00620422" w:rsidRPr="008204CC" w:rsidRDefault="00620422" w:rsidP="0066301C">
            <w:pPr>
              <w:spacing w:after="0" w:line="240" w:lineRule="auto"/>
              <w:jc w:val="right"/>
              <w:rPr>
                <w:rFonts w:ascii="Arial" w:eastAsia="Times New Roman" w:hAnsi="Arial" w:cs="Arial"/>
                <w:color w:val="000000"/>
                <w:sz w:val="18"/>
                <w:szCs w:val="18"/>
                <w:lang w:eastAsia="en-GB"/>
              </w:rPr>
            </w:pPr>
            <w:r w:rsidRPr="008204CC">
              <w:rPr>
                <w:rFonts w:ascii="Arial" w:eastAsia="Times New Roman" w:hAnsi="Arial" w:cs="Arial"/>
                <w:color w:val="000000"/>
                <w:sz w:val="18"/>
                <w:szCs w:val="18"/>
                <w:lang w:eastAsia="en-GB"/>
              </w:rPr>
              <w:t>101.037</w:t>
            </w:r>
          </w:p>
        </w:tc>
        <w:tc>
          <w:tcPr>
            <w:tcW w:w="1701" w:type="dxa"/>
            <w:tcBorders>
              <w:top w:val="nil"/>
              <w:left w:val="nil"/>
              <w:bottom w:val="single" w:sz="4" w:space="0" w:color="auto"/>
              <w:right w:val="single" w:sz="4" w:space="0" w:color="auto"/>
            </w:tcBorders>
            <w:shd w:val="clear" w:color="auto" w:fill="auto"/>
            <w:noWrap/>
            <w:vAlign w:val="bottom"/>
            <w:hideMark/>
          </w:tcPr>
          <w:p w14:paraId="21FF925E" w14:textId="77777777" w:rsidR="00620422" w:rsidRPr="008204CC" w:rsidRDefault="00620422" w:rsidP="0066301C">
            <w:pPr>
              <w:spacing w:after="0" w:line="240" w:lineRule="auto"/>
              <w:jc w:val="right"/>
              <w:rPr>
                <w:rFonts w:ascii="Arial" w:eastAsia="Times New Roman" w:hAnsi="Arial" w:cs="Arial"/>
                <w:color w:val="000000"/>
                <w:sz w:val="18"/>
                <w:szCs w:val="18"/>
                <w:lang w:eastAsia="en-GB"/>
              </w:rPr>
            </w:pPr>
            <w:r w:rsidRPr="008204CC">
              <w:rPr>
                <w:rFonts w:ascii="Arial" w:eastAsia="Times New Roman" w:hAnsi="Arial" w:cs="Arial"/>
                <w:color w:val="000000"/>
                <w:sz w:val="18"/>
                <w:szCs w:val="18"/>
                <w:lang w:eastAsia="en-GB"/>
              </w:rPr>
              <w:t>96.20654363</w:t>
            </w:r>
          </w:p>
        </w:tc>
        <w:tc>
          <w:tcPr>
            <w:tcW w:w="1984" w:type="dxa"/>
            <w:tcBorders>
              <w:top w:val="nil"/>
              <w:left w:val="nil"/>
              <w:bottom w:val="single" w:sz="4" w:space="0" w:color="auto"/>
              <w:right w:val="single" w:sz="4" w:space="0" w:color="auto"/>
            </w:tcBorders>
            <w:shd w:val="clear" w:color="auto" w:fill="auto"/>
            <w:noWrap/>
            <w:vAlign w:val="bottom"/>
            <w:hideMark/>
          </w:tcPr>
          <w:p w14:paraId="649EED06" w14:textId="77777777" w:rsidR="00620422" w:rsidRPr="008204CC" w:rsidRDefault="00620422" w:rsidP="0066301C">
            <w:pPr>
              <w:spacing w:after="0" w:line="240" w:lineRule="auto"/>
              <w:jc w:val="right"/>
              <w:rPr>
                <w:rFonts w:ascii="Arial" w:eastAsia="Times New Roman" w:hAnsi="Arial" w:cs="Arial"/>
                <w:color w:val="000000"/>
                <w:sz w:val="18"/>
                <w:szCs w:val="18"/>
                <w:lang w:eastAsia="en-GB"/>
              </w:rPr>
            </w:pPr>
            <w:r w:rsidRPr="008204CC">
              <w:rPr>
                <w:rFonts w:ascii="Arial" w:eastAsia="Times New Roman" w:hAnsi="Arial" w:cs="Arial"/>
                <w:color w:val="000000"/>
                <w:sz w:val="18"/>
                <w:szCs w:val="18"/>
                <w:lang w:eastAsia="en-GB"/>
              </w:rPr>
              <w:t>4.830456366</w:t>
            </w:r>
          </w:p>
        </w:tc>
        <w:tc>
          <w:tcPr>
            <w:tcW w:w="709" w:type="dxa"/>
            <w:vMerge/>
            <w:tcBorders>
              <w:left w:val="nil"/>
              <w:right w:val="single" w:sz="4" w:space="0" w:color="auto"/>
            </w:tcBorders>
          </w:tcPr>
          <w:p w14:paraId="3FF7E6F5" w14:textId="77777777" w:rsidR="00620422" w:rsidRPr="008204CC" w:rsidRDefault="00620422" w:rsidP="0066301C">
            <w:pPr>
              <w:spacing w:after="0" w:line="240" w:lineRule="auto"/>
              <w:jc w:val="right"/>
              <w:rPr>
                <w:rFonts w:ascii="Arial" w:eastAsia="Times New Roman" w:hAnsi="Arial" w:cs="Arial"/>
                <w:color w:val="000000"/>
                <w:sz w:val="18"/>
                <w:szCs w:val="18"/>
                <w:lang w:eastAsia="en-GB"/>
              </w:rPr>
            </w:pPr>
          </w:p>
        </w:tc>
        <w:tc>
          <w:tcPr>
            <w:tcW w:w="678" w:type="dxa"/>
            <w:tcBorders>
              <w:top w:val="nil"/>
              <w:left w:val="nil"/>
              <w:bottom w:val="single" w:sz="4" w:space="0" w:color="auto"/>
              <w:right w:val="nil"/>
            </w:tcBorders>
            <w:vAlign w:val="center"/>
          </w:tcPr>
          <w:p w14:paraId="24640E70" w14:textId="77777777" w:rsidR="00620422" w:rsidRPr="008204CC" w:rsidRDefault="00620422" w:rsidP="0066301C">
            <w:pPr>
              <w:spacing w:after="0" w:line="240" w:lineRule="auto"/>
              <w:jc w:val="right"/>
              <w:rPr>
                <w:rFonts w:ascii="Arial" w:eastAsia="Times New Roman" w:hAnsi="Arial" w:cs="Arial"/>
                <w:color w:val="000000"/>
                <w:sz w:val="18"/>
                <w:szCs w:val="18"/>
                <w:lang w:eastAsia="en-GB"/>
              </w:rPr>
            </w:pPr>
            <w:r w:rsidRPr="008204CC">
              <w:rPr>
                <w:rFonts w:ascii="Arial" w:eastAsia="Times New Roman" w:hAnsi="Arial" w:cs="Arial"/>
                <w:color w:val="000000"/>
                <w:sz w:val="18"/>
                <w:szCs w:val="18"/>
                <w:lang w:eastAsia="en-GB"/>
              </w:rPr>
              <w:t>2014</w:t>
            </w:r>
          </w:p>
        </w:tc>
        <w:tc>
          <w:tcPr>
            <w:tcW w:w="752" w:type="dxa"/>
            <w:gridSpan w:val="2"/>
            <w:tcBorders>
              <w:top w:val="nil"/>
              <w:left w:val="nil"/>
              <w:bottom w:val="single" w:sz="4" w:space="0" w:color="auto"/>
              <w:right w:val="single" w:sz="4" w:space="0" w:color="auto"/>
            </w:tcBorders>
          </w:tcPr>
          <w:p w14:paraId="2D8A9277" w14:textId="77777777" w:rsidR="00620422" w:rsidRPr="008204CC" w:rsidRDefault="00620422" w:rsidP="0066301C">
            <w:pPr>
              <w:spacing w:after="0" w:line="240" w:lineRule="auto"/>
              <w:jc w:val="right"/>
              <w:rPr>
                <w:rFonts w:ascii="Arial" w:eastAsia="Times New Roman" w:hAnsi="Arial" w:cs="Arial"/>
                <w:color w:val="000000"/>
                <w:sz w:val="18"/>
                <w:szCs w:val="18"/>
                <w:lang w:eastAsia="en-GB"/>
              </w:rPr>
            </w:pPr>
          </w:p>
        </w:tc>
        <w:tc>
          <w:tcPr>
            <w:tcW w:w="1196" w:type="dxa"/>
            <w:gridSpan w:val="2"/>
            <w:tcBorders>
              <w:top w:val="nil"/>
              <w:left w:val="nil"/>
              <w:bottom w:val="single" w:sz="4" w:space="0" w:color="auto"/>
              <w:right w:val="single" w:sz="4" w:space="0" w:color="auto"/>
            </w:tcBorders>
            <w:vAlign w:val="bottom"/>
          </w:tcPr>
          <w:p w14:paraId="3821A66A" w14:textId="77777777" w:rsidR="00620422" w:rsidRPr="008204CC" w:rsidRDefault="00620422" w:rsidP="0066301C">
            <w:pPr>
              <w:spacing w:after="0" w:line="240" w:lineRule="auto"/>
              <w:jc w:val="right"/>
              <w:rPr>
                <w:rFonts w:ascii="Arial" w:eastAsia="Times New Roman" w:hAnsi="Arial" w:cs="Arial"/>
                <w:color w:val="000000"/>
                <w:sz w:val="18"/>
                <w:szCs w:val="18"/>
                <w:lang w:eastAsia="en-GB"/>
              </w:rPr>
            </w:pPr>
            <w:r w:rsidRPr="008204CC">
              <w:rPr>
                <w:rFonts w:ascii="Arial" w:eastAsia="Times New Roman" w:hAnsi="Arial" w:cs="Arial"/>
                <w:color w:val="000000"/>
                <w:sz w:val="18"/>
                <w:szCs w:val="18"/>
                <w:lang w:eastAsia="en-GB"/>
              </w:rPr>
              <w:t>117.8029</w:t>
            </w:r>
          </w:p>
        </w:tc>
        <w:tc>
          <w:tcPr>
            <w:tcW w:w="1455" w:type="dxa"/>
            <w:gridSpan w:val="2"/>
            <w:tcBorders>
              <w:top w:val="nil"/>
              <w:left w:val="nil"/>
              <w:bottom w:val="single" w:sz="4" w:space="0" w:color="auto"/>
              <w:right w:val="single" w:sz="4" w:space="0" w:color="auto"/>
            </w:tcBorders>
            <w:vAlign w:val="bottom"/>
          </w:tcPr>
          <w:p w14:paraId="7DF9F969" w14:textId="77777777" w:rsidR="00620422" w:rsidRPr="008204CC" w:rsidRDefault="00620422" w:rsidP="0066301C">
            <w:pPr>
              <w:spacing w:after="0" w:line="240" w:lineRule="auto"/>
              <w:jc w:val="right"/>
              <w:rPr>
                <w:rFonts w:ascii="Arial" w:eastAsia="Times New Roman" w:hAnsi="Arial" w:cs="Arial"/>
                <w:color w:val="000000"/>
                <w:sz w:val="18"/>
                <w:szCs w:val="18"/>
                <w:lang w:eastAsia="en-GB"/>
              </w:rPr>
            </w:pPr>
            <w:r w:rsidRPr="008204CC">
              <w:rPr>
                <w:rFonts w:ascii="Arial" w:eastAsia="Times New Roman" w:hAnsi="Arial" w:cs="Arial"/>
                <w:color w:val="000000"/>
                <w:sz w:val="18"/>
                <w:szCs w:val="18"/>
                <w:lang w:eastAsia="en-GB"/>
              </w:rPr>
              <w:t>117.8187834</w:t>
            </w:r>
          </w:p>
        </w:tc>
        <w:tc>
          <w:tcPr>
            <w:tcW w:w="2014" w:type="dxa"/>
            <w:tcBorders>
              <w:top w:val="nil"/>
              <w:left w:val="nil"/>
              <w:bottom w:val="single" w:sz="4" w:space="0" w:color="auto"/>
              <w:right w:val="single" w:sz="4" w:space="0" w:color="auto"/>
            </w:tcBorders>
            <w:vAlign w:val="bottom"/>
          </w:tcPr>
          <w:p w14:paraId="79E2273A" w14:textId="77777777" w:rsidR="00620422" w:rsidRPr="008204CC" w:rsidRDefault="00620422" w:rsidP="0066301C">
            <w:pPr>
              <w:spacing w:after="0" w:line="240" w:lineRule="auto"/>
              <w:jc w:val="right"/>
              <w:rPr>
                <w:rFonts w:ascii="Arial" w:eastAsia="Times New Roman" w:hAnsi="Arial" w:cs="Arial"/>
                <w:color w:val="000000"/>
                <w:sz w:val="18"/>
                <w:szCs w:val="18"/>
                <w:lang w:eastAsia="en-GB"/>
              </w:rPr>
            </w:pPr>
            <w:r w:rsidRPr="008204CC">
              <w:rPr>
                <w:rFonts w:ascii="Arial" w:eastAsia="Times New Roman" w:hAnsi="Arial" w:cs="Arial"/>
                <w:color w:val="000000"/>
                <w:sz w:val="18"/>
                <w:szCs w:val="18"/>
                <w:lang w:eastAsia="en-GB"/>
              </w:rPr>
              <w:t>-0.015924932</w:t>
            </w:r>
          </w:p>
        </w:tc>
      </w:tr>
      <w:tr w:rsidR="008A6AC3" w:rsidRPr="008204CC" w14:paraId="21FFB9E6" w14:textId="77777777" w:rsidTr="00D46B41">
        <w:trPr>
          <w:trHeight w:val="330"/>
        </w:trPr>
        <w:tc>
          <w:tcPr>
            <w:tcW w:w="1135" w:type="dxa"/>
            <w:tcBorders>
              <w:top w:val="nil"/>
              <w:left w:val="single" w:sz="4" w:space="0" w:color="auto"/>
              <w:bottom w:val="single" w:sz="4" w:space="0" w:color="auto"/>
              <w:right w:val="single" w:sz="4" w:space="0" w:color="auto"/>
            </w:tcBorders>
            <w:shd w:val="clear" w:color="000000" w:fill="FFFFFF"/>
            <w:vAlign w:val="center"/>
            <w:hideMark/>
          </w:tcPr>
          <w:p w14:paraId="6E212996" w14:textId="77777777" w:rsidR="00620422" w:rsidRPr="008204CC" w:rsidRDefault="00620422" w:rsidP="0066301C">
            <w:pPr>
              <w:spacing w:after="0" w:line="240" w:lineRule="auto"/>
              <w:jc w:val="right"/>
              <w:rPr>
                <w:rFonts w:ascii="Arial" w:eastAsia="Times New Roman" w:hAnsi="Arial" w:cs="Arial"/>
                <w:color w:val="000000"/>
                <w:sz w:val="18"/>
                <w:szCs w:val="18"/>
                <w:lang w:eastAsia="en-GB"/>
              </w:rPr>
            </w:pPr>
            <w:r w:rsidRPr="008204CC">
              <w:rPr>
                <w:rFonts w:ascii="Arial" w:eastAsia="Times New Roman" w:hAnsi="Arial" w:cs="Arial"/>
                <w:color w:val="000000"/>
                <w:sz w:val="18"/>
                <w:szCs w:val="18"/>
                <w:lang w:eastAsia="en-GB"/>
              </w:rPr>
              <w:t>2015</w:t>
            </w:r>
          </w:p>
        </w:tc>
        <w:tc>
          <w:tcPr>
            <w:tcW w:w="1701" w:type="dxa"/>
            <w:tcBorders>
              <w:top w:val="nil"/>
              <w:left w:val="nil"/>
              <w:bottom w:val="single" w:sz="4" w:space="0" w:color="auto"/>
              <w:right w:val="single" w:sz="4" w:space="0" w:color="auto"/>
            </w:tcBorders>
            <w:shd w:val="clear" w:color="auto" w:fill="auto"/>
            <w:vAlign w:val="center"/>
            <w:hideMark/>
          </w:tcPr>
          <w:p w14:paraId="09454EEA" w14:textId="77777777" w:rsidR="00620422" w:rsidRPr="008204CC" w:rsidRDefault="00620422" w:rsidP="0066301C">
            <w:pPr>
              <w:spacing w:after="0" w:line="240" w:lineRule="auto"/>
              <w:jc w:val="right"/>
              <w:rPr>
                <w:rFonts w:ascii="Arial" w:eastAsia="Times New Roman" w:hAnsi="Arial" w:cs="Arial"/>
                <w:color w:val="000000"/>
                <w:sz w:val="18"/>
                <w:szCs w:val="18"/>
                <w:lang w:eastAsia="en-GB"/>
              </w:rPr>
            </w:pPr>
            <w:r w:rsidRPr="008204CC">
              <w:rPr>
                <w:rFonts w:ascii="Arial" w:eastAsia="Times New Roman" w:hAnsi="Arial" w:cs="Arial"/>
                <w:color w:val="000000"/>
                <w:sz w:val="18"/>
                <w:szCs w:val="18"/>
                <w:lang w:eastAsia="en-GB"/>
              </w:rPr>
              <w:t>95.693</w:t>
            </w:r>
          </w:p>
        </w:tc>
        <w:tc>
          <w:tcPr>
            <w:tcW w:w="1701" w:type="dxa"/>
            <w:tcBorders>
              <w:top w:val="nil"/>
              <w:left w:val="nil"/>
              <w:bottom w:val="single" w:sz="4" w:space="0" w:color="auto"/>
              <w:right w:val="single" w:sz="4" w:space="0" w:color="auto"/>
            </w:tcBorders>
            <w:shd w:val="clear" w:color="auto" w:fill="auto"/>
            <w:noWrap/>
            <w:vAlign w:val="bottom"/>
            <w:hideMark/>
          </w:tcPr>
          <w:p w14:paraId="42F11E61" w14:textId="77777777" w:rsidR="00620422" w:rsidRPr="008204CC" w:rsidRDefault="00620422" w:rsidP="0066301C">
            <w:pPr>
              <w:spacing w:after="0" w:line="240" w:lineRule="auto"/>
              <w:jc w:val="right"/>
              <w:rPr>
                <w:rFonts w:ascii="Arial" w:eastAsia="Times New Roman" w:hAnsi="Arial" w:cs="Arial"/>
                <w:color w:val="000000"/>
                <w:sz w:val="18"/>
                <w:szCs w:val="18"/>
                <w:lang w:eastAsia="en-GB"/>
              </w:rPr>
            </w:pPr>
            <w:r w:rsidRPr="008204CC">
              <w:rPr>
                <w:rFonts w:ascii="Arial" w:eastAsia="Times New Roman" w:hAnsi="Arial" w:cs="Arial"/>
                <w:color w:val="000000"/>
                <w:sz w:val="18"/>
                <w:szCs w:val="18"/>
                <w:lang w:eastAsia="en-GB"/>
              </w:rPr>
              <w:t>94.67313116</w:t>
            </w:r>
          </w:p>
        </w:tc>
        <w:tc>
          <w:tcPr>
            <w:tcW w:w="1984" w:type="dxa"/>
            <w:tcBorders>
              <w:top w:val="nil"/>
              <w:left w:val="nil"/>
              <w:bottom w:val="single" w:sz="4" w:space="0" w:color="auto"/>
              <w:right w:val="single" w:sz="4" w:space="0" w:color="auto"/>
            </w:tcBorders>
            <w:shd w:val="clear" w:color="auto" w:fill="auto"/>
            <w:noWrap/>
            <w:vAlign w:val="bottom"/>
            <w:hideMark/>
          </w:tcPr>
          <w:p w14:paraId="372751FF" w14:textId="77777777" w:rsidR="00620422" w:rsidRPr="008204CC" w:rsidRDefault="00620422" w:rsidP="0066301C">
            <w:pPr>
              <w:spacing w:after="0" w:line="240" w:lineRule="auto"/>
              <w:jc w:val="right"/>
              <w:rPr>
                <w:rFonts w:ascii="Arial" w:eastAsia="Times New Roman" w:hAnsi="Arial" w:cs="Arial"/>
                <w:color w:val="000000"/>
                <w:sz w:val="18"/>
                <w:szCs w:val="18"/>
                <w:lang w:eastAsia="en-GB"/>
              </w:rPr>
            </w:pPr>
            <w:r w:rsidRPr="008204CC">
              <w:rPr>
                <w:rFonts w:ascii="Arial" w:eastAsia="Times New Roman" w:hAnsi="Arial" w:cs="Arial"/>
                <w:color w:val="000000"/>
                <w:sz w:val="18"/>
                <w:szCs w:val="18"/>
                <w:lang w:eastAsia="en-GB"/>
              </w:rPr>
              <w:t>1.019868837</w:t>
            </w:r>
          </w:p>
        </w:tc>
        <w:tc>
          <w:tcPr>
            <w:tcW w:w="709" w:type="dxa"/>
            <w:vMerge/>
            <w:tcBorders>
              <w:left w:val="nil"/>
              <w:right w:val="single" w:sz="4" w:space="0" w:color="auto"/>
            </w:tcBorders>
          </w:tcPr>
          <w:p w14:paraId="7A81668B" w14:textId="77777777" w:rsidR="00620422" w:rsidRPr="008204CC" w:rsidRDefault="00620422" w:rsidP="0066301C">
            <w:pPr>
              <w:spacing w:after="0" w:line="240" w:lineRule="auto"/>
              <w:jc w:val="right"/>
              <w:rPr>
                <w:rFonts w:ascii="Arial" w:eastAsia="Times New Roman" w:hAnsi="Arial" w:cs="Arial"/>
                <w:color w:val="000000"/>
                <w:sz w:val="18"/>
                <w:szCs w:val="18"/>
                <w:lang w:eastAsia="en-GB"/>
              </w:rPr>
            </w:pPr>
          </w:p>
        </w:tc>
        <w:tc>
          <w:tcPr>
            <w:tcW w:w="678" w:type="dxa"/>
            <w:tcBorders>
              <w:top w:val="nil"/>
              <w:left w:val="nil"/>
              <w:bottom w:val="single" w:sz="4" w:space="0" w:color="auto"/>
              <w:right w:val="nil"/>
            </w:tcBorders>
            <w:vAlign w:val="center"/>
          </w:tcPr>
          <w:p w14:paraId="5147EA91" w14:textId="77777777" w:rsidR="00620422" w:rsidRPr="008204CC" w:rsidRDefault="00620422" w:rsidP="0066301C">
            <w:pPr>
              <w:spacing w:after="0" w:line="240" w:lineRule="auto"/>
              <w:jc w:val="right"/>
              <w:rPr>
                <w:rFonts w:ascii="Arial" w:eastAsia="Times New Roman" w:hAnsi="Arial" w:cs="Arial"/>
                <w:color w:val="000000"/>
                <w:sz w:val="18"/>
                <w:szCs w:val="18"/>
                <w:lang w:eastAsia="en-GB"/>
              </w:rPr>
            </w:pPr>
            <w:r w:rsidRPr="008204CC">
              <w:rPr>
                <w:rFonts w:ascii="Arial" w:eastAsia="Times New Roman" w:hAnsi="Arial" w:cs="Arial"/>
                <w:color w:val="000000"/>
                <w:sz w:val="18"/>
                <w:szCs w:val="18"/>
                <w:lang w:eastAsia="en-GB"/>
              </w:rPr>
              <w:t>2015</w:t>
            </w:r>
          </w:p>
        </w:tc>
        <w:tc>
          <w:tcPr>
            <w:tcW w:w="752" w:type="dxa"/>
            <w:gridSpan w:val="2"/>
            <w:tcBorders>
              <w:top w:val="nil"/>
              <w:left w:val="nil"/>
              <w:bottom w:val="single" w:sz="4" w:space="0" w:color="auto"/>
              <w:right w:val="single" w:sz="4" w:space="0" w:color="auto"/>
            </w:tcBorders>
          </w:tcPr>
          <w:p w14:paraId="4EFE911F" w14:textId="77777777" w:rsidR="00620422" w:rsidRPr="008204CC" w:rsidRDefault="00620422" w:rsidP="0066301C">
            <w:pPr>
              <w:spacing w:after="0" w:line="240" w:lineRule="auto"/>
              <w:jc w:val="right"/>
              <w:rPr>
                <w:rFonts w:ascii="Arial" w:eastAsia="Times New Roman" w:hAnsi="Arial" w:cs="Arial"/>
                <w:color w:val="000000"/>
                <w:sz w:val="18"/>
                <w:szCs w:val="18"/>
                <w:lang w:eastAsia="en-GB"/>
              </w:rPr>
            </w:pPr>
          </w:p>
        </w:tc>
        <w:tc>
          <w:tcPr>
            <w:tcW w:w="1196" w:type="dxa"/>
            <w:gridSpan w:val="2"/>
            <w:tcBorders>
              <w:top w:val="nil"/>
              <w:left w:val="nil"/>
              <w:bottom w:val="single" w:sz="4" w:space="0" w:color="auto"/>
              <w:right w:val="single" w:sz="4" w:space="0" w:color="auto"/>
            </w:tcBorders>
            <w:vAlign w:val="bottom"/>
          </w:tcPr>
          <w:p w14:paraId="171220F0" w14:textId="77777777" w:rsidR="00620422" w:rsidRPr="008204CC" w:rsidRDefault="00620422" w:rsidP="0066301C">
            <w:pPr>
              <w:spacing w:after="0" w:line="240" w:lineRule="auto"/>
              <w:jc w:val="right"/>
              <w:rPr>
                <w:rFonts w:ascii="Arial" w:eastAsia="Times New Roman" w:hAnsi="Arial" w:cs="Arial"/>
                <w:color w:val="000000"/>
                <w:sz w:val="18"/>
                <w:szCs w:val="18"/>
                <w:lang w:eastAsia="en-GB"/>
              </w:rPr>
            </w:pPr>
            <w:r w:rsidRPr="008204CC">
              <w:rPr>
                <w:rFonts w:ascii="Arial" w:eastAsia="Times New Roman" w:hAnsi="Arial" w:cs="Arial"/>
                <w:color w:val="000000"/>
                <w:sz w:val="18"/>
                <w:szCs w:val="18"/>
                <w:lang w:eastAsia="en-GB"/>
              </w:rPr>
              <w:t>131.0816</w:t>
            </w:r>
          </w:p>
        </w:tc>
        <w:tc>
          <w:tcPr>
            <w:tcW w:w="1455" w:type="dxa"/>
            <w:gridSpan w:val="2"/>
            <w:tcBorders>
              <w:top w:val="nil"/>
              <w:left w:val="nil"/>
              <w:bottom w:val="single" w:sz="4" w:space="0" w:color="auto"/>
              <w:right w:val="single" w:sz="4" w:space="0" w:color="auto"/>
            </w:tcBorders>
            <w:vAlign w:val="bottom"/>
          </w:tcPr>
          <w:p w14:paraId="2D866663" w14:textId="77777777" w:rsidR="00620422" w:rsidRPr="008204CC" w:rsidRDefault="00620422" w:rsidP="0066301C">
            <w:pPr>
              <w:spacing w:after="0" w:line="240" w:lineRule="auto"/>
              <w:jc w:val="right"/>
              <w:rPr>
                <w:rFonts w:ascii="Arial" w:eastAsia="Times New Roman" w:hAnsi="Arial" w:cs="Arial"/>
                <w:color w:val="000000"/>
                <w:sz w:val="18"/>
                <w:szCs w:val="18"/>
                <w:lang w:eastAsia="en-GB"/>
              </w:rPr>
            </w:pPr>
            <w:r w:rsidRPr="008204CC">
              <w:rPr>
                <w:rFonts w:ascii="Arial" w:eastAsia="Times New Roman" w:hAnsi="Arial" w:cs="Arial"/>
                <w:color w:val="000000"/>
                <w:sz w:val="18"/>
                <w:szCs w:val="18"/>
                <w:lang w:eastAsia="en-GB"/>
              </w:rPr>
              <w:t>115.9504148</w:t>
            </w:r>
          </w:p>
        </w:tc>
        <w:tc>
          <w:tcPr>
            <w:tcW w:w="2014" w:type="dxa"/>
            <w:tcBorders>
              <w:top w:val="nil"/>
              <w:left w:val="nil"/>
              <w:bottom w:val="single" w:sz="4" w:space="0" w:color="auto"/>
              <w:right w:val="single" w:sz="4" w:space="0" w:color="auto"/>
            </w:tcBorders>
            <w:vAlign w:val="bottom"/>
          </w:tcPr>
          <w:p w14:paraId="1812BD95" w14:textId="77777777" w:rsidR="00620422" w:rsidRPr="008204CC" w:rsidRDefault="00620422" w:rsidP="0066301C">
            <w:pPr>
              <w:spacing w:after="0" w:line="240" w:lineRule="auto"/>
              <w:jc w:val="right"/>
              <w:rPr>
                <w:rFonts w:ascii="Arial" w:eastAsia="Times New Roman" w:hAnsi="Arial" w:cs="Arial"/>
                <w:color w:val="000000"/>
                <w:sz w:val="18"/>
                <w:szCs w:val="18"/>
                <w:lang w:eastAsia="en-GB"/>
              </w:rPr>
            </w:pPr>
            <w:r w:rsidRPr="008204CC">
              <w:rPr>
                <w:rFonts w:ascii="Arial" w:eastAsia="Times New Roman" w:hAnsi="Arial" w:cs="Arial"/>
                <w:color w:val="000000"/>
                <w:sz w:val="18"/>
                <w:szCs w:val="18"/>
                <w:lang w:eastAsia="en-GB"/>
              </w:rPr>
              <w:t>15.13116254</w:t>
            </w:r>
          </w:p>
        </w:tc>
      </w:tr>
      <w:tr w:rsidR="008A6AC3" w:rsidRPr="008204CC" w14:paraId="0B7EDD76" w14:textId="77777777" w:rsidTr="00D46B41">
        <w:trPr>
          <w:trHeight w:val="330"/>
        </w:trPr>
        <w:tc>
          <w:tcPr>
            <w:tcW w:w="1135" w:type="dxa"/>
            <w:tcBorders>
              <w:top w:val="nil"/>
              <w:left w:val="single" w:sz="4" w:space="0" w:color="auto"/>
              <w:bottom w:val="single" w:sz="4" w:space="0" w:color="auto"/>
              <w:right w:val="single" w:sz="4" w:space="0" w:color="auto"/>
            </w:tcBorders>
            <w:shd w:val="clear" w:color="000000" w:fill="FFFFFF"/>
            <w:vAlign w:val="center"/>
            <w:hideMark/>
          </w:tcPr>
          <w:p w14:paraId="6A8B6BF1" w14:textId="77777777" w:rsidR="00620422" w:rsidRPr="008204CC" w:rsidRDefault="00620422" w:rsidP="0066301C">
            <w:pPr>
              <w:spacing w:after="0" w:line="240" w:lineRule="auto"/>
              <w:jc w:val="right"/>
              <w:rPr>
                <w:rFonts w:ascii="Arial" w:eastAsia="Times New Roman" w:hAnsi="Arial" w:cs="Arial"/>
                <w:color w:val="000000"/>
                <w:sz w:val="18"/>
                <w:szCs w:val="18"/>
                <w:lang w:eastAsia="en-GB"/>
              </w:rPr>
            </w:pPr>
            <w:r w:rsidRPr="008204CC">
              <w:rPr>
                <w:rFonts w:ascii="Arial" w:eastAsia="Times New Roman" w:hAnsi="Arial" w:cs="Arial"/>
                <w:color w:val="000000"/>
                <w:sz w:val="18"/>
                <w:szCs w:val="18"/>
                <w:lang w:eastAsia="en-GB"/>
              </w:rPr>
              <w:t>2016</w:t>
            </w:r>
          </w:p>
        </w:tc>
        <w:tc>
          <w:tcPr>
            <w:tcW w:w="1701" w:type="dxa"/>
            <w:tcBorders>
              <w:top w:val="nil"/>
              <w:left w:val="nil"/>
              <w:bottom w:val="single" w:sz="4" w:space="0" w:color="auto"/>
              <w:right w:val="single" w:sz="4" w:space="0" w:color="auto"/>
            </w:tcBorders>
            <w:shd w:val="clear" w:color="auto" w:fill="auto"/>
            <w:vAlign w:val="center"/>
            <w:hideMark/>
          </w:tcPr>
          <w:p w14:paraId="01B8F005" w14:textId="77777777" w:rsidR="00620422" w:rsidRPr="008204CC" w:rsidRDefault="00620422" w:rsidP="0066301C">
            <w:pPr>
              <w:spacing w:after="0" w:line="240" w:lineRule="auto"/>
              <w:jc w:val="right"/>
              <w:rPr>
                <w:rFonts w:ascii="Arial" w:eastAsia="Times New Roman" w:hAnsi="Arial" w:cs="Arial"/>
                <w:color w:val="000000"/>
                <w:sz w:val="18"/>
                <w:szCs w:val="18"/>
                <w:lang w:eastAsia="en-GB"/>
              </w:rPr>
            </w:pPr>
            <w:r w:rsidRPr="008204CC">
              <w:rPr>
                <w:rFonts w:ascii="Arial" w:eastAsia="Times New Roman" w:hAnsi="Arial" w:cs="Arial"/>
                <w:color w:val="000000"/>
                <w:sz w:val="18"/>
                <w:szCs w:val="18"/>
                <w:lang w:eastAsia="en-GB"/>
              </w:rPr>
              <w:t>92.756</w:t>
            </w:r>
          </w:p>
        </w:tc>
        <w:tc>
          <w:tcPr>
            <w:tcW w:w="1701" w:type="dxa"/>
            <w:tcBorders>
              <w:top w:val="nil"/>
              <w:left w:val="nil"/>
              <w:bottom w:val="single" w:sz="4" w:space="0" w:color="auto"/>
              <w:right w:val="single" w:sz="4" w:space="0" w:color="auto"/>
            </w:tcBorders>
            <w:shd w:val="clear" w:color="auto" w:fill="auto"/>
            <w:noWrap/>
            <w:vAlign w:val="bottom"/>
            <w:hideMark/>
          </w:tcPr>
          <w:p w14:paraId="2EDC9FC6" w14:textId="77777777" w:rsidR="00620422" w:rsidRPr="008204CC" w:rsidRDefault="00620422" w:rsidP="0066301C">
            <w:pPr>
              <w:spacing w:after="0" w:line="240" w:lineRule="auto"/>
              <w:jc w:val="right"/>
              <w:rPr>
                <w:rFonts w:ascii="Arial" w:eastAsia="Times New Roman" w:hAnsi="Arial" w:cs="Arial"/>
                <w:color w:val="000000"/>
                <w:sz w:val="18"/>
                <w:szCs w:val="18"/>
                <w:lang w:eastAsia="en-GB"/>
              </w:rPr>
            </w:pPr>
            <w:r w:rsidRPr="008204CC">
              <w:rPr>
                <w:rFonts w:ascii="Arial" w:eastAsia="Times New Roman" w:hAnsi="Arial" w:cs="Arial"/>
                <w:color w:val="000000"/>
                <w:sz w:val="18"/>
                <w:szCs w:val="18"/>
                <w:lang w:eastAsia="en-GB"/>
              </w:rPr>
              <w:t>92.95365444</w:t>
            </w:r>
          </w:p>
        </w:tc>
        <w:tc>
          <w:tcPr>
            <w:tcW w:w="1984" w:type="dxa"/>
            <w:tcBorders>
              <w:top w:val="nil"/>
              <w:left w:val="nil"/>
              <w:bottom w:val="single" w:sz="4" w:space="0" w:color="auto"/>
              <w:right w:val="single" w:sz="4" w:space="0" w:color="auto"/>
            </w:tcBorders>
            <w:shd w:val="clear" w:color="auto" w:fill="auto"/>
            <w:noWrap/>
            <w:vAlign w:val="bottom"/>
            <w:hideMark/>
          </w:tcPr>
          <w:p w14:paraId="60EA2BFF" w14:textId="77777777" w:rsidR="00620422" w:rsidRPr="008204CC" w:rsidRDefault="00620422" w:rsidP="0066301C">
            <w:pPr>
              <w:spacing w:after="0" w:line="240" w:lineRule="auto"/>
              <w:jc w:val="right"/>
              <w:rPr>
                <w:rFonts w:ascii="Arial" w:eastAsia="Times New Roman" w:hAnsi="Arial" w:cs="Arial"/>
                <w:color w:val="000000"/>
                <w:sz w:val="18"/>
                <w:szCs w:val="18"/>
                <w:lang w:eastAsia="en-GB"/>
              </w:rPr>
            </w:pPr>
            <w:r w:rsidRPr="008204CC">
              <w:rPr>
                <w:rFonts w:ascii="Arial" w:eastAsia="Times New Roman" w:hAnsi="Arial" w:cs="Arial"/>
                <w:color w:val="000000"/>
                <w:sz w:val="18"/>
                <w:szCs w:val="18"/>
                <w:lang w:eastAsia="en-GB"/>
              </w:rPr>
              <w:t>-0.197654435</w:t>
            </w:r>
          </w:p>
        </w:tc>
        <w:tc>
          <w:tcPr>
            <w:tcW w:w="709" w:type="dxa"/>
            <w:vMerge/>
            <w:tcBorders>
              <w:left w:val="nil"/>
              <w:right w:val="single" w:sz="4" w:space="0" w:color="auto"/>
            </w:tcBorders>
          </w:tcPr>
          <w:p w14:paraId="12A6C7E8" w14:textId="77777777" w:rsidR="00620422" w:rsidRPr="008204CC" w:rsidRDefault="00620422" w:rsidP="0066301C">
            <w:pPr>
              <w:spacing w:after="0" w:line="240" w:lineRule="auto"/>
              <w:jc w:val="right"/>
              <w:rPr>
                <w:rFonts w:ascii="Arial" w:eastAsia="Times New Roman" w:hAnsi="Arial" w:cs="Arial"/>
                <w:color w:val="000000"/>
                <w:sz w:val="18"/>
                <w:szCs w:val="18"/>
                <w:lang w:eastAsia="en-GB"/>
              </w:rPr>
            </w:pPr>
          </w:p>
        </w:tc>
        <w:tc>
          <w:tcPr>
            <w:tcW w:w="678" w:type="dxa"/>
            <w:tcBorders>
              <w:top w:val="nil"/>
              <w:left w:val="nil"/>
              <w:bottom w:val="single" w:sz="4" w:space="0" w:color="auto"/>
              <w:right w:val="nil"/>
            </w:tcBorders>
            <w:vAlign w:val="center"/>
          </w:tcPr>
          <w:p w14:paraId="234FC2D6" w14:textId="77777777" w:rsidR="00620422" w:rsidRPr="008204CC" w:rsidRDefault="00620422" w:rsidP="0066301C">
            <w:pPr>
              <w:spacing w:after="0" w:line="240" w:lineRule="auto"/>
              <w:jc w:val="right"/>
              <w:rPr>
                <w:rFonts w:ascii="Arial" w:eastAsia="Times New Roman" w:hAnsi="Arial" w:cs="Arial"/>
                <w:color w:val="000000"/>
                <w:sz w:val="18"/>
                <w:szCs w:val="18"/>
                <w:lang w:eastAsia="en-GB"/>
              </w:rPr>
            </w:pPr>
            <w:r w:rsidRPr="008204CC">
              <w:rPr>
                <w:rFonts w:ascii="Arial" w:eastAsia="Times New Roman" w:hAnsi="Arial" w:cs="Arial"/>
                <w:color w:val="000000"/>
                <w:sz w:val="18"/>
                <w:szCs w:val="18"/>
                <w:lang w:eastAsia="en-GB"/>
              </w:rPr>
              <w:t>2016</w:t>
            </w:r>
          </w:p>
        </w:tc>
        <w:tc>
          <w:tcPr>
            <w:tcW w:w="752" w:type="dxa"/>
            <w:gridSpan w:val="2"/>
            <w:tcBorders>
              <w:top w:val="nil"/>
              <w:left w:val="nil"/>
              <w:bottom w:val="single" w:sz="4" w:space="0" w:color="auto"/>
              <w:right w:val="single" w:sz="4" w:space="0" w:color="auto"/>
            </w:tcBorders>
          </w:tcPr>
          <w:p w14:paraId="45F23E05" w14:textId="77777777" w:rsidR="00620422" w:rsidRPr="008204CC" w:rsidRDefault="00620422" w:rsidP="0066301C">
            <w:pPr>
              <w:spacing w:after="0" w:line="240" w:lineRule="auto"/>
              <w:jc w:val="right"/>
              <w:rPr>
                <w:rFonts w:ascii="Arial" w:eastAsia="Times New Roman" w:hAnsi="Arial" w:cs="Arial"/>
                <w:color w:val="000000"/>
                <w:sz w:val="18"/>
                <w:szCs w:val="18"/>
                <w:lang w:eastAsia="en-GB"/>
              </w:rPr>
            </w:pPr>
          </w:p>
        </w:tc>
        <w:tc>
          <w:tcPr>
            <w:tcW w:w="1196" w:type="dxa"/>
            <w:gridSpan w:val="2"/>
            <w:tcBorders>
              <w:top w:val="nil"/>
              <w:left w:val="nil"/>
              <w:bottom w:val="single" w:sz="4" w:space="0" w:color="auto"/>
              <w:right w:val="single" w:sz="4" w:space="0" w:color="auto"/>
            </w:tcBorders>
            <w:vAlign w:val="bottom"/>
          </w:tcPr>
          <w:p w14:paraId="79421B15" w14:textId="77777777" w:rsidR="00620422" w:rsidRPr="008204CC" w:rsidRDefault="00620422" w:rsidP="0066301C">
            <w:pPr>
              <w:spacing w:after="0" w:line="240" w:lineRule="auto"/>
              <w:jc w:val="right"/>
              <w:rPr>
                <w:rFonts w:ascii="Arial" w:eastAsia="Times New Roman" w:hAnsi="Arial" w:cs="Arial"/>
                <w:color w:val="000000"/>
                <w:sz w:val="18"/>
                <w:szCs w:val="18"/>
                <w:lang w:eastAsia="en-GB"/>
              </w:rPr>
            </w:pPr>
            <w:r w:rsidRPr="008204CC">
              <w:rPr>
                <w:rFonts w:ascii="Arial" w:eastAsia="Times New Roman" w:hAnsi="Arial" w:cs="Arial"/>
                <w:color w:val="000000"/>
                <w:sz w:val="18"/>
                <w:szCs w:val="18"/>
                <w:lang w:eastAsia="en-GB"/>
              </w:rPr>
              <w:t>127.2182</w:t>
            </w:r>
          </w:p>
        </w:tc>
        <w:tc>
          <w:tcPr>
            <w:tcW w:w="1455" w:type="dxa"/>
            <w:gridSpan w:val="2"/>
            <w:tcBorders>
              <w:top w:val="nil"/>
              <w:left w:val="nil"/>
              <w:bottom w:val="single" w:sz="4" w:space="0" w:color="auto"/>
              <w:right w:val="single" w:sz="4" w:space="0" w:color="auto"/>
            </w:tcBorders>
            <w:vAlign w:val="bottom"/>
          </w:tcPr>
          <w:p w14:paraId="7815E997" w14:textId="77777777" w:rsidR="00620422" w:rsidRPr="008204CC" w:rsidRDefault="00620422" w:rsidP="0066301C">
            <w:pPr>
              <w:spacing w:after="0" w:line="240" w:lineRule="auto"/>
              <w:jc w:val="right"/>
              <w:rPr>
                <w:rFonts w:ascii="Arial" w:eastAsia="Times New Roman" w:hAnsi="Arial" w:cs="Arial"/>
                <w:color w:val="000000"/>
                <w:sz w:val="18"/>
                <w:szCs w:val="18"/>
                <w:lang w:eastAsia="en-GB"/>
              </w:rPr>
            </w:pPr>
            <w:r w:rsidRPr="008204CC">
              <w:rPr>
                <w:rFonts w:ascii="Arial" w:eastAsia="Times New Roman" w:hAnsi="Arial" w:cs="Arial"/>
                <w:color w:val="000000"/>
                <w:sz w:val="18"/>
                <w:szCs w:val="18"/>
                <w:lang w:eastAsia="en-GB"/>
              </w:rPr>
              <w:t>114.0329794</w:t>
            </w:r>
          </w:p>
        </w:tc>
        <w:tc>
          <w:tcPr>
            <w:tcW w:w="2014" w:type="dxa"/>
            <w:tcBorders>
              <w:top w:val="nil"/>
              <w:left w:val="nil"/>
              <w:bottom w:val="single" w:sz="4" w:space="0" w:color="auto"/>
              <w:right w:val="single" w:sz="4" w:space="0" w:color="auto"/>
            </w:tcBorders>
            <w:vAlign w:val="bottom"/>
          </w:tcPr>
          <w:p w14:paraId="7BAF3485" w14:textId="77777777" w:rsidR="00620422" w:rsidRPr="008204CC" w:rsidRDefault="00620422" w:rsidP="0066301C">
            <w:pPr>
              <w:spacing w:after="0" w:line="240" w:lineRule="auto"/>
              <w:jc w:val="right"/>
              <w:rPr>
                <w:rFonts w:ascii="Arial" w:eastAsia="Times New Roman" w:hAnsi="Arial" w:cs="Arial"/>
                <w:color w:val="000000"/>
                <w:sz w:val="18"/>
                <w:szCs w:val="18"/>
                <w:lang w:eastAsia="en-GB"/>
              </w:rPr>
            </w:pPr>
            <w:r w:rsidRPr="008204CC">
              <w:rPr>
                <w:rFonts w:ascii="Arial" w:eastAsia="Times New Roman" w:hAnsi="Arial" w:cs="Arial"/>
                <w:color w:val="000000"/>
                <w:sz w:val="18"/>
                <w:szCs w:val="18"/>
                <w:lang w:eastAsia="en-GB"/>
              </w:rPr>
              <w:t>13.1852467</w:t>
            </w:r>
          </w:p>
        </w:tc>
      </w:tr>
      <w:tr w:rsidR="008A6AC3" w:rsidRPr="008204CC" w14:paraId="215108E7" w14:textId="77777777" w:rsidTr="00D46B41">
        <w:trPr>
          <w:trHeight w:val="330"/>
        </w:trPr>
        <w:tc>
          <w:tcPr>
            <w:tcW w:w="1135" w:type="dxa"/>
            <w:tcBorders>
              <w:top w:val="nil"/>
              <w:left w:val="single" w:sz="4" w:space="0" w:color="auto"/>
              <w:bottom w:val="single" w:sz="4" w:space="0" w:color="auto"/>
              <w:right w:val="single" w:sz="4" w:space="0" w:color="auto"/>
            </w:tcBorders>
            <w:shd w:val="clear" w:color="000000" w:fill="FFFFFF"/>
            <w:vAlign w:val="center"/>
            <w:hideMark/>
          </w:tcPr>
          <w:p w14:paraId="1D02B72F" w14:textId="77777777" w:rsidR="00620422" w:rsidRPr="008204CC" w:rsidRDefault="00620422" w:rsidP="0066301C">
            <w:pPr>
              <w:spacing w:after="0" w:line="240" w:lineRule="auto"/>
              <w:jc w:val="right"/>
              <w:rPr>
                <w:rFonts w:ascii="Arial" w:eastAsia="Times New Roman" w:hAnsi="Arial" w:cs="Arial"/>
                <w:color w:val="000000"/>
                <w:sz w:val="18"/>
                <w:szCs w:val="18"/>
                <w:lang w:eastAsia="en-GB"/>
              </w:rPr>
            </w:pPr>
            <w:r w:rsidRPr="008204CC">
              <w:rPr>
                <w:rFonts w:ascii="Arial" w:eastAsia="Times New Roman" w:hAnsi="Arial" w:cs="Arial"/>
                <w:color w:val="000000"/>
                <w:sz w:val="18"/>
                <w:szCs w:val="18"/>
                <w:lang w:eastAsia="en-GB"/>
              </w:rPr>
              <w:t>2017</w:t>
            </w:r>
          </w:p>
        </w:tc>
        <w:tc>
          <w:tcPr>
            <w:tcW w:w="1701" w:type="dxa"/>
            <w:tcBorders>
              <w:top w:val="nil"/>
              <w:left w:val="nil"/>
              <w:bottom w:val="single" w:sz="4" w:space="0" w:color="auto"/>
              <w:right w:val="single" w:sz="4" w:space="0" w:color="auto"/>
            </w:tcBorders>
            <w:shd w:val="clear" w:color="auto" w:fill="auto"/>
            <w:vAlign w:val="center"/>
            <w:hideMark/>
          </w:tcPr>
          <w:p w14:paraId="0C3A4C36" w14:textId="77777777" w:rsidR="00620422" w:rsidRPr="008204CC" w:rsidRDefault="00620422" w:rsidP="0066301C">
            <w:pPr>
              <w:spacing w:after="0" w:line="240" w:lineRule="auto"/>
              <w:jc w:val="right"/>
              <w:rPr>
                <w:rFonts w:ascii="Arial" w:eastAsia="Times New Roman" w:hAnsi="Arial" w:cs="Arial"/>
                <w:color w:val="000000"/>
                <w:sz w:val="18"/>
                <w:szCs w:val="18"/>
                <w:lang w:eastAsia="en-GB"/>
              </w:rPr>
            </w:pPr>
            <w:r w:rsidRPr="008204CC">
              <w:rPr>
                <w:rFonts w:ascii="Arial" w:eastAsia="Times New Roman" w:hAnsi="Arial" w:cs="Arial"/>
                <w:color w:val="000000"/>
                <w:sz w:val="18"/>
                <w:szCs w:val="18"/>
                <w:lang w:eastAsia="en-GB"/>
              </w:rPr>
              <w:t>88.587</w:t>
            </w:r>
          </w:p>
        </w:tc>
        <w:tc>
          <w:tcPr>
            <w:tcW w:w="1701" w:type="dxa"/>
            <w:tcBorders>
              <w:top w:val="nil"/>
              <w:left w:val="nil"/>
              <w:bottom w:val="single" w:sz="4" w:space="0" w:color="auto"/>
              <w:right w:val="single" w:sz="4" w:space="0" w:color="auto"/>
            </w:tcBorders>
            <w:shd w:val="clear" w:color="auto" w:fill="auto"/>
            <w:noWrap/>
            <w:vAlign w:val="bottom"/>
            <w:hideMark/>
          </w:tcPr>
          <w:p w14:paraId="338A67B2" w14:textId="77777777" w:rsidR="00620422" w:rsidRPr="008204CC" w:rsidRDefault="00620422" w:rsidP="0066301C">
            <w:pPr>
              <w:spacing w:after="0" w:line="240" w:lineRule="auto"/>
              <w:jc w:val="right"/>
              <w:rPr>
                <w:rFonts w:ascii="Arial" w:eastAsia="Times New Roman" w:hAnsi="Arial" w:cs="Arial"/>
                <w:color w:val="000000"/>
                <w:sz w:val="18"/>
                <w:szCs w:val="18"/>
                <w:lang w:eastAsia="en-GB"/>
              </w:rPr>
            </w:pPr>
            <w:r w:rsidRPr="008204CC">
              <w:rPr>
                <w:rFonts w:ascii="Arial" w:eastAsia="Times New Roman" w:hAnsi="Arial" w:cs="Arial"/>
                <w:color w:val="000000"/>
                <w:sz w:val="18"/>
                <w:szCs w:val="18"/>
                <w:lang w:eastAsia="en-GB"/>
              </w:rPr>
              <w:t>91.11989555</w:t>
            </w:r>
          </w:p>
        </w:tc>
        <w:tc>
          <w:tcPr>
            <w:tcW w:w="1984" w:type="dxa"/>
            <w:tcBorders>
              <w:top w:val="nil"/>
              <w:left w:val="nil"/>
              <w:bottom w:val="single" w:sz="4" w:space="0" w:color="auto"/>
              <w:right w:val="single" w:sz="4" w:space="0" w:color="auto"/>
            </w:tcBorders>
            <w:shd w:val="clear" w:color="auto" w:fill="auto"/>
            <w:noWrap/>
            <w:vAlign w:val="bottom"/>
            <w:hideMark/>
          </w:tcPr>
          <w:p w14:paraId="5FB8D45B" w14:textId="77777777" w:rsidR="00620422" w:rsidRPr="008204CC" w:rsidRDefault="00620422" w:rsidP="0066301C">
            <w:pPr>
              <w:spacing w:after="0" w:line="240" w:lineRule="auto"/>
              <w:jc w:val="right"/>
              <w:rPr>
                <w:rFonts w:ascii="Arial" w:eastAsia="Times New Roman" w:hAnsi="Arial" w:cs="Arial"/>
                <w:color w:val="000000"/>
                <w:sz w:val="18"/>
                <w:szCs w:val="18"/>
                <w:lang w:eastAsia="en-GB"/>
              </w:rPr>
            </w:pPr>
            <w:r w:rsidRPr="008204CC">
              <w:rPr>
                <w:rFonts w:ascii="Arial" w:eastAsia="Times New Roman" w:hAnsi="Arial" w:cs="Arial"/>
                <w:color w:val="000000"/>
                <w:sz w:val="18"/>
                <w:szCs w:val="18"/>
                <w:lang w:eastAsia="en-GB"/>
              </w:rPr>
              <w:t>-2.53289555</w:t>
            </w:r>
          </w:p>
        </w:tc>
        <w:tc>
          <w:tcPr>
            <w:tcW w:w="709" w:type="dxa"/>
            <w:vMerge/>
            <w:tcBorders>
              <w:left w:val="nil"/>
              <w:right w:val="single" w:sz="4" w:space="0" w:color="auto"/>
            </w:tcBorders>
          </w:tcPr>
          <w:p w14:paraId="50B785D8" w14:textId="77777777" w:rsidR="00620422" w:rsidRPr="008204CC" w:rsidRDefault="00620422" w:rsidP="0066301C">
            <w:pPr>
              <w:spacing w:after="0" w:line="240" w:lineRule="auto"/>
              <w:jc w:val="right"/>
              <w:rPr>
                <w:rFonts w:ascii="Arial" w:eastAsia="Times New Roman" w:hAnsi="Arial" w:cs="Arial"/>
                <w:color w:val="000000"/>
                <w:sz w:val="18"/>
                <w:szCs w:val="18"/>
                <w:lang w:eastAsia="en-GB"/>
              </w:rPr>
            </w:pPr>
          </w:p>
        </w:tc>
        <w:tc>
          <w:tcPr>
            <w:tcW w:w="678" w:type="dxa"/>
            <w:tcBorders>
              <w:top w:val="nil"/>
              <w:left w:val="nil"/>
              <w:bottom w:val="single" w:sz="4" w:space="0" w:color="auto"/>
              <w:right w:val="nil"/>
            </w:tcBorders>
            <w:vAlign w:val="center"/>
          </w:tcPr>
          <w:p w14:paraId="2B9680B1" w14:textId="77777777" w:rsidR="00620422" w:rsidRPr="008204CC" w:rsidRDefault="00620422" w:rsidP="0066301C">
            <w:pPr>
              <w:spacing w:after="0" w:line="240" w:lineRule="auto"/>
              <w:jc w:val="right"/>
              <w:rPr>
                <w:rFonts w:ascii="Arial" w:eastAsia="Times New Roman" w:hAnsi="Arial" w:cs="Arial"/>
                <w:color w:val="000000"/>
                <w:sz w:val="18"/>
                <w:szCs w:val="18"/>
                <w:lang w:eastAsia="en-GB"/>
              </w:rPr>
            </w:pPr>
            <w:r w:rsidRPr="008204CC">
              <w:rPr>
                <w:rFonts w:ascii="Arial" w:eastAsia="Times New Roman" w:hAnsi="Arial" w:cs="Arial"/>
                <w:color w:val="000000"/>
                <w:sz w:val="18"/>
                <w:szCs w:val="18"/>
                <w:lang w:eastAsia="en-GB"/>
              </w:rPr>
              <w:t>2017</w:t>
            </w:r>
          </w:p>
        </w:tc>
        <w:tc>
          <w:tcPr>
            <w:tcW w:w="752" w:type="dxa"/>
            <w:gridSpan w:val="2"/>
            <w:tcBorders>
              <w:top w:val="nil"/>
              <w:left w:val="nil"/>
              <w:bottom w:val="single" w:sz="4" w:space="0" w:color="auto"/>
              <w:right w:val="single" w:sz="4" w:space="0" w:color="auto"/>
            </w:tcBorders>
          </w:tcPr>
          <w:p w14:paraId="47D3DC3E" w14:textId="77777777" w:rsidR="00620422" w:rsidRPr="008204CC" w:rsidRDefault="00620422" w:rsidP="0066301C">
            <w:pPr>
              <w:spacing w:after="0" w:line="240" w:lineRule="auto"/>
              <w:jc w:val="right"/>
              <w:rPr>
                <w:rFonts w:ascii="Arial" w:eastAsia="Times New Roman" w:hAnsi="Arial" w:cs="Arial"/>
                <w:color w:val="000000"/>
                <w:sz w:val="18"/>
                <w:szCs w:val="18"/>
                <w:lang w:eastAsia="en-GB"/>
              </w:rPr>
            </w:pPr>
          </w:p>
        </w:tc>
        <w:tc>
          <w:tcPr>
            <w:tcW w:w="1196" w:type="dxa"/>
            <w:gridSpan w:val="2"/>
            <w:tcBorders>
              <w:top w:val="nil"/>
              <w:left w:val="nil"/>
              <w:bottom w:val="single" w:sz="4" w:space="0" w:color="auto"/>
              <w:right w:val="single" w:sz="4" w:space="0" w:color="auto"/>
            </w:tcBorders>
            <w:vAlign w:val="bottom"/>
          </w:tcPr>
          <w:p w14:paraId="25B51D7A" w14:textId="77777777" w:rsidR="00620422" w:rsidRPr="008204CC" w:rsidRDefault="00620422" w:rsidP="0066301C">
            <w:pPr>
              <w:spacing w:after="0" w:line="240" w:lineRule="auto"/>
              <w:jc w:val="right"/>
              <w:rPr>
                <w:rFonts w:ascii="Arial" w:eastAsia="Times New Roman" w:hAnsi="Arial" w:cs="Arial"/>
                <w:color w:val="000000"/>
                <w:sz w:val="18"/>
                <w:szCs w:val="18"/>
                <w:lang w:eastAsia="en-GB"/>
              </w:rPr>
            </w:pPr>
            <w:r w:rsidRPr="008204CC">
              <w:rPr>
                <w:rFonts w:ascii="Arial" w:eastAsia="Times New Roman" w:hAnsi="Arial" w:cs="Arial"/>
                <w:color w:val="000000"/>
                <w:sz w:val="18"/>
                <w:szCs w:val="18"/>
                <w:lang w:eastAsia="en-GB"/>
              </w:rPr>
              <w:t>101.3594</w:t>
            </w:r>
          </w:p>
        </w:tc>
        <w:tc>
          <w:tcPr>
            <w:tcW w:w="1455" w:type="dxa"/>
            <w:gridSpan w:val="2"/>
            <w:tcBorders>
              <w:top w:val="nil"/>
              <w:left w:val="nil"/>
              <w:bottom w:val="single" w:sz="4" w:space="0" w:color="auto"/>
              <w:right w:val="single" w:sz="4" w:space="0" w:color="auto"/>
            </w:tcBorders>
            <w:vAlign w:val="bottom"/>
          </w:tcPr>
          <w:p w14:paraId="30389AD4" w14:textId="77777777" w:rsidR="00620422" w:rsidRPr="008204CC" w:rsidRDefault="00620422" w:rsidP="0066301C">
            <w:pPr>
              <w:spacing w:after="0" w:line="240" w:lineRule="auto"/>
              <w:jc w:val="right"/>
              <w:rPr>
                <w:rFonts w:ascii="Arial" w:eastAsia="Times New Roman" w:hAnsi="Arial" w:cs="Arial"/>
                <w:color w:val="000000"/>
                <w:sz w:val="18"/>
                <w:szCs w:val="18"/>
                <w:lang w:eastAsia="en-GB"/>
              </w:rPr>
            </w:pPr>
            <w:r w:rsidRPr="008204CC">
              <w:rPr>
                <w:rFonts w:ascii="Arial" w:eastAsia="Times New Roman" w:hAnsi="Arial" w:cs="Arial"/>
                <w:color w:val="000000"/>
                <w:sz w:val="18"/>
                <w:szCs w:val="18"/>
                <w:lang w:eastAsia="en-GB"/>
              </w:rPr>
              <w:t>112.0305017</w:t>
            </w:r>
          </w:p>
        </w:tc>
        <w:tc>
          <w:tcPr>
            <w:tcW w:w="2014" w:type="dxa"/>
            <w:tcBorders>
              <w:top w:val="nil"/>
              <w:left w:val="nil"/>
              <w:bottom w:val="single" w:sz="4" w:space="0" w:color="auto"/>
              <w:right w:val="single" w:sz="4" w:space="0" w:color="auto"/>
            </w:tcBorders>
            <w:vAlign w:val="bottom"/>
          </w:tcPr>
          <w:p w14:paraId="069871C3" w14:textId="77777777" w:rsidR="00620422" w:rsidRPr="008204CC" w:rsidRDefault="00620422" w:rsidP="0066301C">
            <w:pPr>
              <w:spacing w:after="0" w:line="240" w:lineRule="auto"/>
              <w:jc w:val="right"/>
              <w:rPr>
                <w:rFonts w:ascii="Arial" w:eastAsia="Times New Roman" w:hAnsi="Arial" w:cs="Arial"/>
                <w:color w:val="000000"/>
                <w:sz w:val="18"/>
                <w:szCs w:val="18"/>
                <w:lang w:eastAsia="en-GB"/>
              </w:rPr>
            </w:pPr>
            <w:r w:rsidRPr="008204CC">
              <w:rPr>
                <w:rFonts w:ascii="Arial" w:eastAsia="Times New Roman" w:hAnsi="Arial" w:cs="Arial"/>
                <w:color w:val="000000"/>
                <w:sz w:val="18"/>
                <w:szCs w:val="18"/>
                <w:lang w:eastAsia="en-GB"/>
              </w:rPr>
              <w:t>-10.67114251</w:t>
            </w:r>
          </w:p>
        </w:tc>
      </w:tr>
      <w:tr w:rsidR="008A6AC3" w:rsidRPr="008204CC" w14:paraId="5778A0CA" w14:textId="77777777" w:rsidTr="00D46B41">
        <w:trPr>
          <w:trHeight w:val="330"/>
        </w:trPr>
        <w:tc>
          <w:tcPr>
            <w:tcW w:w="1135" w:type="dxa"/>
            <w:tcBorders>
              <w:top w:val="nil"/>
              <w:left w:val="single" w:sz="4" w:space="0" w:color="auto"/>
              <w:bottom w:val="single" w:sz="4" w:space="0" w:color="auto"/>
              <w:right w:val="single" w:sz="4" w:space="0" w:color="auto"/>
            </w:tcBorders>
            <w:shd w:val="clear" w:color="000000" w:fill="FFFFFF"/>
            <w:vAlign w:val="center"/>
            <w:hideMark/>
          </w:tcPr>
          <w:p w14:paraId="3CCF4F33" w14:textId="77777777" w:rsidR="00620422" w:rsidRPr="008204CC" w:rsidRDefault="00620422" w:rsidP="0066301C">
            <w:pPr>
              <w:spacing w:after="0" w:line="240" w:lineRule="auto"/>
              <w:jc w:val="right"/>
              <w:rPr>
                <w:rFonts w:ascii="Arial" w:eastAsia="Times New Roman" w:hAnsi="Arial" w:cs="Arial"/>
                <w:color w:val="000000"/>
                <w:sz w:val="18"/>
                <w:szCs w:val="18"/>
                <w:lang w:eastAsia="en-GB"/>
              </w:rPr>
            </w:pPr>
            <w:r w:rsidRPr="008204CC">
              <w:rPr>
                <w:rFonts w:ascii="Arial" w:eastAsia="Times New Roman" w:hAnsi="Arial" w:cs="Arial"/>
                <w:color w:val="000000"/>
                <w:sz w:val="18"/>
                <w:szCs w:val="18"/>
                <w:lang w:eastAsia="en-GB"/>
              </w:rPr>
              <w:t>2018</w:t>
            </w:r>
          </w:p>
        </w:tc>
        <w:tc>
          <w:tcPr>
            <w:tcW w:w="1701" w:type="dxa"/>
            <w:tcBorders>
              <w:top w:val="nil"/>
              <w:left w:val="nil"/>
              <w:bottom w:val="single" w:sz="4" w:space="0" w:color="auto"/>
              <w:right w:val="single" w:sz="4" w:space="0" w:color="auto"/>
            </w:tcBorders>
            <w:shd w:val="clear" w:color="auto" w:fill="auto"/>
            <w:vAlign w:val="center"/>
            <w:hideMark/>
          </w:tcPr>
          <w:p w14:paraId="781E23BA" w14:textId="77777777" w:rsidR="00620422" w:rsidRPr="008204CC" w:rsidRDefault="00620422" w:rsidP="0066301C">
            <w:pPr>
              <w:spacing w:after="0" w:line="240" w:lineRule="auto"/>
              <w:jc w:val="right"/>
              <w:rPr>
                <w:rFonts w:ascii="Arial" w:eastAsia="Times New Roman" w:hAnsi="Arial" w:cs="Arial"/>
                <w:color w:val="000000"/>
                <w:sz w:val="18"/>
                <w:szCs w:val="18"/>
                <w:lang w:eastAsia="en-GB"/>
              </w:rPr>
            </w:pPr>
            <w:r w:rsidRPr="008204CC">
              <w:rPr>
                <w:rFonts w:ascii="Arial" w:eastAsia="Times New Roman" w:hAnsi="Arial" w:cs="Arial"/>
                <w:color w:val="000000"/>
                <w:sz w:val="18"/>
                <w:szCs w:val="18"/>
                <w:lang w:eastAsia="en-GB"/>
              </w:rPr>
              <w:t>84.794</w:t>
            </w:r>
          </w:p>
        </w:tc>
        <w:tc>
          <w:tcPr>
            <w:tcW w:w="1701" w:type="dxa"/>
            <w:tcBorders>
              <w:top w:val="nil"/>
              <w:left w:val="nil"/>
              <w:bottom w:val="single" w:sz="4" w:space="0" w:color="auto"/>
              <w:right w:val="single" w:sz="4" w:space="0" w:color="auto"/>
            </w:tcBorders>
            <w:shd w:val="clear" w:color="auto" w:fill="auto"/>
            <w:noWrap/>
            <w:vAlign w:val="bottom"/>
            <w:hideMark/>
          </w:tcPr>
          <w:p w14:paraId="374D8C5C" w14:textId="77777777" w:rsidR="00620422" w:rsidRPr="008204CC" w:rsidRDefault="00620422" w:rsidP="0066301C">
            <w:pPr>
              <w:spacing w:after="0" w:line="240" w:lineRule="auto"/>
              <w:jc w:val="right"/>
              <w:rPr>
                <w:rFonts w:ascii="Arial" w:eastAsia="Times New Roman" w:hAnsi="Arial" w:cs="Arial"/>
                <w:color w:val="000000"/>
                <w:sz w:val="18"/>
                <w:szCs w:val="18"/>
                <w:lang w:eastAsia="en-GB"/>
              </w:rPr>
            </w:pPr>
            <w:r w:rsidRPr="008204CC">
              <w:rPr>
                <w:rFonts w:ascii="Arial" w:eastAsia="Times New Roman" w:hAnsi="Arial" w:cs="Arial"/>
                <w:color w:val="000000"/>
                <w:sz w:val="18"/>
                <w:szCs w:val="18"/>
                <w:lang w:eastAsia="en-GB"/>
              </w:rPr>
              <w:t>89.24166006</w:t>
            </w:r>
          </w:p>
        </w:tc>
        <w:tc>
          <w:tcPr>
            <w:tcW w:w="1984" w:type="dxa"/>
            <w:tcBorders>
              <w:top w:val="nil"/>
              <w:left w:val="nil"/>
              <w:bottom w:val="single" w:sz="4" w:space="0" w:color="auto"/>
              <w:right w:val="single" w:sz="4" w:space="0" w:color="auto"/>
            </w:tcBorders>
            <w:shd w:val="clear" w:color="auto" w:fill="auto"/>
            <w:noWrap/>
            <w:vAlign w:val="bottom"/>
            <w:hideMark/>
          </w:tcPr>
          <w:p w14:paraId="350E6D94" w14:textId="77777777" w:rsidR="00620422" w:rsidRPr="008204CC" w:rsidRDefault="00620422" w:rsidP="0066301C">
            <w:pPr>
              <w:spacing w:after="0" w:line="240" w:lineRule="auto"/>
              <w:jc w:val="right"/>
              <w:rPr>
                <w:rFonts w:ascii="Arial" w:eastAsia="Times New Roman" w:hAnsi="Arial" w:cs="Arial"/>
                <w:color w:val="000000"/>
                <w:sz w:val="18"/>
                <w:szCs w:val="18"/>
                <w:lang w:eastAsia="en-GB"/>
              </w:rPr>
            </w:pPr>
            <w:r w:rsidRPr="008204CC">
              <w:rPr>
                <w:rFonts w:ascii="Arial" w:eastAsia="Times New Roman" w:hAnsi="Arial" w:cs="Arial"/>
                <w:color w:val="000000"/>
                <w:sz w:val="18"/>
                <w:szCs w:val="18"/>
                <w:lang w:eastAsia="en-GB"/>
              </w:rPr>
              <w:t>-4.447660065</w:t>
            </w:r>
          </w:p>
        </w:tc>
        <w:tc>
          <w:tcPr>
            <w:tcW w:w="709" w:type="dxa"/>
            <w:vMerge/>
            <w:tcBorders>
              <w:left w:val="nil"/>
              <w:bottom w:val="single" w:sz="4" w:space="0" w:color="auto"/>
              <w:right w:val="single" w:sz="4" w:space="0" w:color="auto"/>
            </w:tcBorders>
          </w:tcPr>
          <w:p w14:paraId="058E9D89" w14:textId="77777777" w:rsidR="00620422" w:rsidRPr="008204CC" w:rsidRDefault="00620422" w:rsidP="0066301C">
            <w:pPr>
              <w:spacing w:after="0" w:line="240" w:lineRule="auto"/>
              <w:jc w:val="right"/>
              <w:rPr>
                <w:rFonts w:ascii="Arial" w:eastAsia="Times New Roman" w:hAnsi="Arial" w:cs="Arial"/>
                <w:color w:val="000000"/>
                <w:sz w:val="18"/>
                <w:szCs w:val="18"/>
                <w:lang w:eastAsia="en-GB"/>
              </w:rPr>
            </w:pPr>
          </w:p>
        </w:tc>
        <w:tc>
          <w:tcPr>
            <w:tcW w:w="678" w:type="dxa"/>
            <w:tcBorders>
              <w:top w:val="nil"/>
              <w:left w:val="nil"/>
              <w:bottom w:val="single" w:sz="4" w:space="0" w:color="auto"/>
              <w:right w:val="nil"/>
            </w:tcBorders>
            <w:vAlign w:val="center"/>
          </w:tcPr>
          <w:p w14:paraId="4B3E5148" w14:textId="77777777" w:rsidR="00620422" w:rsidRPr="008204CC" w:rsidRDefault="00620422" w:rsidP="0066301C">
            <w:pPr>
              <w:spacing w:after="0" w:line="240" w:lineRule="auto"/>
              <w:jc w:val="right"/>
              <w:rPr>
                <w:rFonts w:ascii="Arial" w:eastAsia="Times New Roman" w:hAnsi="Arial" w:cs="Arial"/>
                <w:color w:val="000000"/>
                <w:sz w:val="18"/>
                <w:szCs w:val="18"/>
                <w:lang w:eastAsia="en-GB"/>
              </w:rPr>
            </w:pPr>
            <w:r w:rsidRPr="008204CC">
              <w:rPr>
                <w:rFonts w:ascii="Arial" w:eastAsia="Times New Roman" w:hAnsi="Arial" w:cs="Arial"/>
                <w:color w:val="000000"/>
                <w:sz w:val="18"/>
                <w:szCs w:val="18"/>
                <w:lang w:eastAsia="en-GB"/>
              </w:rPr>
              <w:t>2018</w:t>
            </w:r>
          </w:p>
        </w:tc>
        <w:tc>
          <w:tcPr>
            <w:tcW w:w="752" w:type="dxa"/>
            <w:gridSpan w:val="2"/>
            <w:tcBorders>
              <w:top w:val="nil"/>
              <w:left w:val="nil"/>
              <w:bottom w:val="single" w:sz="4" w:space="0" w:color="auto"/>
              <w:right w:val="single" w:sz="4" w:space="0" w:color="auto"/>
            </w:tcBorders>
          </w:tcPr>
          <w:p w14:paraId="30C1200F" w14:textId="77777777" w:rsidR="00620422" w:rsidRPr="008204CC" w:rsidRDefault="00620422" w:rsidP="0066301C">
            <w:pPr>
              <w:spacing w:after="0" w:line="240" w:lineRule="auto"/>
              <w:jc w:val="right"/>
              <w:rPr>
                <w:rFonts w:ascii="Arial" w:eastAsia="Times New Roman" w:hAnsi="Arial" w:cs="Arial"/>
                <w:color w:val="000000"/>
                <w:sz w:val="18"/>
                <w:szCs w:val="18"/>
                <w:lang w:eastAsia="en-GB"/>
              </w:rPr>
            </w:pPr>
          </w:p>
        </w:tc>
        <w:tc>
          <w:tcPr>
            <w:tcW w:w="1196" w:type="dxa"/>
            <w:gridSpan w:val="2"/>
            <w:tcBorders>
              <w:top w:val="nil"/>
              <w:left w:val="nil"/>
              <w:bottom w:val="single" w:sz="4" w:space="0" w:color="auto"/>
              <w:right w:val="single" w:sz="4" w:space="0" w:color="auto"/>
            </w:tcBorders>
            <w:vAlign w:val="bottom"/>
          </w:tcPr>
          <w:p w14:paraId="7BF79E50" w14:textId="77777777" w:rsidR="00620422" w:rsidRPr="008204CC" w:rsidRDefault="00620422" w:rsidP="0066301C">
            <w:pPr>
              <w:spacing w:after="0" w:line="240" w:lineRule="auto"/>
              <w:jc w:val="right"/>
              <w:rPr>
                <w:rFonts w:ascii="Arial" w:eastAsia="Times New Roman" w:hAnsi="Arial" w:cs="Arial"/>
                <w:color w:val="000000"/>
                <w:sz w:val="18"/>
                <w:szCs w:val="18"/>
                <w:lang w:eastAsia="en-GB"/>
              </w:rPr>
            </w:pPr>
            <w:r w:rsidRPr="008204CC">
              <w:rPr>
                <w:rFonts w:ascii="Arial" w:eastAsia="Times New Roman" w:hAnsi="Arial" w:cs="Arial"/>
                <w:color w:val="000000"/>
                <w:sz w:val="18"/>
                <w:szCs w:val="18"/>
                <w:lang w:eastAsia="en-GB"/>
              </w:rPr>
              <w:t>111.1223</w:t>
            </w:r>
          </w:p>
        </w:tc>
        <w:tc>
          <w:tcPr>
            <w:tcW w:w="1455" w:type="dxa"/>
            <w:gridSpan w:val="2"/>
            <w:tcBorders>
              <w:top w:val="nil"/>
              <w:left w:val="nil"/>
              <w:bottom w:val="single" w:sz="4" w:space="0" w:color="auto"/>
              <w:right w:val="single" w:sz="4" w:space="0" w:color="auto"/>
            </w:tcBorders>
            <w:vAlign w:val="bottom"/>
          </w:tcPr>
          <w:p w14:paraId="65814C1C" w14:textId="77777777" w:rsidR="00620422" w:rsidRPr="008204CC" w:rsidRDefault="00620422" w:rsidP="0066301C">
            <w:pPr>
              <w:spacing w:after="0" w:line="240" w:lineRule="auto"/>
              <w:jc w:val="right"/>
              <w:rPr>
                <w:rFonts w:ascii="Arial" w:eastAsia="Times New Roman" w:hAnsi="Arial" w:cs="Arial"/>
                <w:color w:val="000000"/>
                <w:sz w:val="18"/>
                <w:szCs w:val="18"/>
                <w:lang w:eastAsia="en-GB"/>
              </w:rPr>
            </w:pPr>
            <w:r w:rsidRPr="008204CC">
              <w:rPr>
                <w:rFonts w:ascii="Arial" w:eastAsia="Times New Roman" w:hAnsi="Arial" w:cs="Arial"/>
                <w:color w:val="000000"/>
                <w:sz w:val="18"/>
                <w:szCs w:val="18"/>
                <w:lang w:eastAsia="en-GB"/>
              </w:rPr>
              <w:t>110.0388586</w:t>
            </w:r>
          </w:p>
        </w:tc>
        <w:tc>
          <w:tcPr>
            <w:tcW w:w="2014" w:type="dxa"/>
            <w:tcBorders>
              <w:top w:val="nil"/>
              <w:left w:val="nil"/>
              <w:bottom w:val="single" w:sz="4" w:space="0" w:color="auto"/>
              <w:right w:val="single" w:sz="4" w:space="0" w:color="auto"/>
            </w:tcBorders>
            <w:vAlign w:val="bottom"/>
          </w:tcPr>
          <w:p w14:paraId="2C51C17D" w14:textId="77777777" w:rsidR="00620422" w:rsidRPr="008204CC" w:rsidRDefault="00620422" w:rsidP="0066301C">
            <w:pPr>
              <w:spacing w:after="0" w:line="240" w:lineRule="auto"/>
              <w:jc w:val="right"/>
              <w:rPr>
                <w:rFonts w:ascii="Arial" w:eastAsia="Times New Roman" w:hAnsi="Arial" w:cs="Arial"/>
                <w:color w:val="000000"/>
                <w:sz w:val="18"/>
                <w:szCs w:val="18"/>
                <w:lang w:eastAsia="en-GB"/>
              </w:rPr>
            </w:pPr>
            <w:r w:rsidRPr="008204CC">
              <w:rPr>
                <w:rFonts w:ascii="Arial" w:eastAsia="Times New Roman" w:hAnsi="Arial" w:cs="Arial"/>
                <w:color w:val="000000"/>
                <w:sz w:val="18"/>
                <w:szCs w:val="18"/>
                <w:lang w:eastAsia="en-GB"/>
              </w:rPr>
              <w:t>1.083456488</w:t>
            </w:r>
          </w:p>
        </w:tc>
      </w:tr>
    </w:tbl>
    <w:p w14:paraId="2E1BC2F2" w14:textId="77777777" w:rsidR="00CE4A98" w:rsidRPr="005D14CA" w:rsidRDefault="00CE4A98" w:rsidP="00CE4A98">
      <w:pPr>
        <w:pStyle w:val="ListParagraph"/>
        <w:autoSpaceDE w:val="0"/>
        <w:autoSpaceDN w:val="0"/>
        <w:adjustRightInd w:val="0"/>
        <w:spacing w:after="0" w:line="240" w:lineRule="auto"/>
        <w:ind w:left="0"/>
        <w:rPr>
          <w:rFonts w:ascii="Arial" w:hAnsi="Arial" w:cs="Arial"/>
          <w:b/>
          <w:sz w:val="20"/>
          <w:szCs w:val="20"/>
        </w:rPr>
      </w:pPr>
      <w:r w:rsidRPr="005D14CA">
        <w:rPr>
          <w:rFonts w:ascii="Arial" w:hAnsi="Arial" w:cs="Arial"/>
          <w:i/>
          <w:sz w:val="20"/>
          <w:szCs w:val="20"/>
        </w:rPr>
        <w:t>Source</w:t>
      </w:r>
      <w:r w:rsidRPr="005D14CA">
        <w:rPr>
          <w:rFonts w:ascii="Arial" w:hAnsi="Arial" w:cs="Arial"/>
          <w:sz w:val="20"/>
          <w:szCs w:val="20"/>
        </w:rPr>
        <w:t>: Computation from time-series data using EViews 12</w:t>
      </w:r>
    </w:p>
    <w:p w14:paraId="49BD510E" w14:textId="77777777" w:rsidR="00620422" w:rsidRPr="008204CC" w:rsidRDefault="00620422" w:rsidP="0066301C">
      <w:pPr>
        <w:tabs>
          <w:tab w:val="left" w:pos="2640"/>
        </w:tabs>
        <w:rPr>
          <w:rFonts w:ascii="Arial" w:hAnsi="Arial" w:cs="Arial"/>
        </w:rPr>
      </w:pPr>
    </w:p>
    <w:p w14:paraId="7EDB6099" w14:textId="77777777" w:rsidR="00620422" w:rsidRPr="008204CC" w:rsidRDefault="00620422" w:rsidP="0066301C">
      <w:pPr>
        <w:spacing w:after="200" w:line="276" w:lineRule="auto"/>
        <w:rPr>
          <w:rFonts w:ascii="Arial" w:hAnsi="Arial" w:cs="Arial"/>
        </w:rPr>
      </w:pPr>
    </w:p>
    <w:p w14:paraId="3164FA7F" w14:textId="2011CCA4" w:rsidR="00AB0492" w:rsidRDefault="00AB0492" w:rsidP="0066301C">
      <w:pPr>
        <w:rPr>
          <w:rFonts w:ascii="Arial" w:hAnsi="Arial" w:cs="Arial"/>
        </w:rPr>
      </w:pPr>
    </w:p>
    <w:p w14:paraId="65E46959" w14:textId="0F918A51" w:rsidR="00AB0492" w:rsidRDefault="00AB0492" w:rsidP="0066301C">
      <w:pPr>
        <w:rPr>
          <w:rFonts w:ascii="Arial" w:hAnsi="Arial" w:cs="Arial"/>
        </w:rPr>
      </w:pPr>
      <w:r>
        <w:rPr>
          <w:rFonts w:ascii="Arial" w:hAnsi="Arial" w:cs="Arial"/>
        </w:rPr>
        <w:br w:type="page"/>
      </w:r>
    </w:p>
    <w:bookmarkEnd w:id="538"/>
    <w:p w14:paraId="0D18DFB9" w14:textId="77777777" w:rsidR="002D7E0B" w:rsidRDefault="002D7E0B" w:rsidP="0066301C">
      <w:pPr>
        <w:rPr>
          <w:rFonts w:ascii="Arial" w:hAnsi="Arial" w:cs="Arial"/>
        </w:rPr>
        <w:sectPr w:rsidR="002D7E0B" w:rsidSect="00D14E7F">
          <w:headerReference w:type="default" r:id="rId116"/>
          <w:pgSz w:w="16838" w:h="11906" w:orient="landscape"/>
          <w:pgMar w:top="1440" w:right="1440" w:bottom="1440" w:left="1440" w:header="708" w:footer="708" w:gutter="0"/>
          <w:cols w:space="708"/>
          <w:docGrid w:linePitch="360"/>
        </w:sectPr>
      </w:pPr>
    </w:p>
    <w:p w14:paraId="74C38FC6" w14:textId="0AA9762C" w:rsidR="00DB2D41" w:rsidRDefault="00DB2D41" w:rsidP="0066301C">
      <w:pPr>
        <w:spacing w:after="0" w:line="240" w:lineRule="auto"/>
        <w:jc w:val="both"/>
        <w:rPr>
          <w:rFonts w:ascii="Arial" w:hAnsi="Arial" w:cs="Arial"/>
          <w:b/>
        </w:rPr>
      </w:pPr>
      <w:bookmarkStart w:id="539" w:name="_Hlk141208952"/>
      <w:r>
        <w:rPr>
          <w:rFonts w:ascii="Arial" w:hAnsi="Arial" w:cs="Arial"/>
          <w:b/>
        </w:rPr>
        <w:lastRenderedPageBreak/>
        <w:t>APPENDIX B.</w:t>
      </w:r>
    </w:p>
    <w:p w14:paraId="55C16AC4" w14:textId="77777777" w:rsidR="00DB2D41" w:rsidRDefault="00DB2D41" w:rsidP="0066301C">
      <w:pPr>
        <w:spacing w:after="0" w:line="240" w:lineRule="auto"/>
        <w:jc w:val="both"/>
        <w:rPr>
          <w:rFonts w:ascii="Arial" w:hAnsi="Arial" w:cs="Arial"/>
          <w:b/>
        </w:rPr>
      </w:pPr>
    </w:p>
    <w:p w14:paraId="42853DE8" w14:textId="638A7F4F" w:rsidR="00AF38CF" w:rsidRPr="00790A7A" w:rsidRDefault="00AF38CF" w:rsidP="0066301C">
      <w:pPr>
        <w:spacing w:after="0" w:line="276" w:lineRule="auto"/>
        <w:rPr>
          <w:rFonts w:ascii="Arial" w:hAnsi="Arial" w:cs="Arial"/>
          <w:b/>
        </w:rPr>
      </w:pPr>
      <w:r w:rsidRPr="00581905">
        <w:rPr>
          <w:rFonts w:ascii="Arial" w:hAnsi="Arial" w:cs="Arial"/>
          <w:b/>
        </w:rPr>
        <w:t xml:space="preserve">Table </w:t>
      </w:r>
      <w:r w:rsidR="00581905" w:rsidRPr="00581905">
        <w:rPr>
          <w:rFonts w:ascii="Arial" w:hAnsi="Arial" w:cs="Arial"/>
          <w:b/>
        </w:rPr>
        <w:t>4</w:t>
      </w:r>
      <w:r w:rsidRPr="00581905">
        <w:rPr>
          <w:rFonts w:ascii="Arial" w:hAnsi="Arial" w:cs="Arial"/>
          <w:b/>
        </w:rPr>
        <w:t>.</w:t>
      </w:r>
      <w:r w:rsidR="00013269" w:rsidRPr="00581905">
        <w:rPr>
          <w:rFonts w:ascii="Arial" w:hAnsi="Arial" w:cs="Arial"/>
          <w:b/>
        </w:rPr>
        <w:t>2</w:t>
      </w:r>
      <w:r w:rsidRPr="00581905">
        <w:rPr>
          <w:rFonts w:ascii="Arial" w:hAnsi="Arial" w:cs="Arial"/>
          <w:b/>
        </w:rPr>
        <w:t>:</w:t>
      </w:r>
      <w:r w:rsidRPr="00790A7A">
        <w:rPr>
          <w:rFonts w:ascii="Arial" w:hAnsi="Arial" w:cs="Arial"/>
          <w:b/>
        </w:rPr>
        <w:t xml:space="preserve"> ADF and PP Unit Root Test Results. </w:t>
      </w:r>
    </w:p>
    <w:tbl>
      <w:tblPr>
        <w:tblStyle w:val="TableGrid"/>
        <w:tblW w:w="0" w:type="auto"/>
        <w:tblInd w:w="-431" w:type="dxa"/>
        <w:tblLayout w:type="fixed"/>
        <w:tblLook w:val="04A0" w:firstRow="1" w:lastRow="0" w:firstColumn="1" w:lastColumn="0" w:noHBand="0" w:noVBand="1"/>
      </w:tblPr>
      <w:tblGrid>
        <w:gridCol w:w="1985"/>
        <w:gridCol w:w="1418"/>
        <w:gridCol w:w="1559"/>
        <w:gridCol w:w="1418"/>
        <w:gridCol w:w="1559"/>
        <w:gridCol w:w="1559"/>
        <w:gridCol w:w="1560"/>
        <w:gridCol w:w="1559"/>
        <w:gridCol w:w="1558"/>
      </w:tblGrid>
      <w:tr w:rsidR="00AF38CF" w14:paraId="0CA9FA17" w14:textId="77777777" w:rsidTr="009B3C83">
        <w:tc>
          <w:tcPr>
            <w:tcW w:w="14175" w:type="dxa"/>
            <w:gridSpan w:val="9"/>
          </w:tcPr>
          <w:p w14:paraId="32AF5DB0" w14:textId="77777777" w:rsidR="00AF38CF" w:rsidRPr="00D05CB2" w:rsidRDefault="00AF38CF" w:rsidP="0066301C">
            <w:pPr>
              <w:jc w:val="center"/>
              <w:rPr>
                <w:b/>
                <w:bCs/>
              </w:rPr>
            </w:pPr>
            <w:r w:rsidRPr="00D05CB2">
              <w:rPr>
                <w:b/>
                <w:bCs/>
              </w:rPr>
              <w:t>Cameroon</w:t>
            </w:r>
          </w:p>
        </w:tc>
      </w:tr>
      <w:tr w:rsidR="00AF38CF" w14:paraId="41BFED3B" w14:textId="77777777" w:rsidTr="009B3C83">
        <w:tc>
          <w:tcPr>
            <w:tcW w:w="1985" w:type="dxa"/>
          </w:tcPr>
          <w:p w14:paraId="6FEBECF7" w14:textId="77777777" w:rsidR="00AF38CF" w:rsidRDefault="00AF38CF" w:rsidP="0066301C"/>
        </w:tc>
        <w:tc>
          <w:tcPr>
            <w:tcW w:w="5954" w:type="dxa"/>
            <w:gridSpan w:val="4"/>
          </w:tcPr>
          <w:p w14:paraId="48EEAACE" w14:textId="77777777" w:rsidR="00AF38CF" w:rsidRDefault="00AF38CF" w:rsidP="0066301C">
            <w:pPr>
              <w:jc w:val="center"/>
            </w:pPr>
            <w:r>
              <w:t>ADF Test</w:t>
            </w:r>
          </w:p>
        </w:tc>
        <w:tc>
          <w:tcPr>
            <w:tcW w:w="6236" w:type="dxa"/>
            <w:gridSpan w:val="4"/>
          </w:tcPr>
          <w:p w14:paraId="071B6A0B" w14:textId="77777777" w:rsidR="00AF38CF" w:rsidRDefault="00AF38CF" w:rsidP="0066301C">
            <w:pPr>
              <w:jc w:val="center"/>
            </w:pPr>
            <w:r>
              <w:t>PP Test</w:t>
            </w:r>
          </w:p>
        </w:tc>
      </w:tr>
      <w:tr w:rsidR="00AF38CF" w14:paraId="648D4C12" w14:textId="77777777" w:rsidTr="009B3C83">
        <w:tc>
          <w:tcPr>
            <w:tcW w:w="1985" w:type="dxa"/>
          </w:tcPr>
          <w:p w14:paraId="7AFCC3FA" w14:textId="77777777" w:rsidR="00AF38CF" w:rsidRDefault="00AF38CF" w:rsidP="0066301C"/>
        </w:tc>
        <w:tc>
          <w:tcPr>
            <w:tcW w:w="2977" w:type="dxa"/>
            <w:gridSpan w:val="2"/>
          </w:tcPr>
          <w:p w14:paraId="4DF73BF7" w14:textId="77777777" w:rsidR="00AF38CF" w:rsidRDefault="00AF38CF" w:rsidP="0066301C">
            <w:pPr>
              <w:jc w:val="center"/>
            </w:pPr>
            <w:r>
              <w:t>Level</w:t>
            </w:r>
          </w:p>
        </w:tc>
        <w:tc>
          <w:tcPr>
            <w:tcW w:w="2977" w:type="dxa"/>
            <w:gridSpan w:val="2"/>
          </w:tcPr>
          <w:p w14:paraId="20C44D2C" w14:textId="77777777" w:rsidR="00AF38CF" w:rsidRDefault="00AF38CF" w:rsidP="0066301C">
            <w:r>
              <w:t>First Difference</w:t>
            </w:r>
          </w:p>
        </w:tc>
        <w:tc>
          <w:tcPr>
            <w:tcW w:w="3119" w:type="dxa"/>
            <w:gridSpan w:val="2"/>
          </w:tcPr>
          <w:p w14:paraId="25D14DAE" w14:textId="77777777" w:rsidR="00AF38CF" w:rsidRDefault="00AF38CF" w:rsidP="0066301C">
            <w:pPr>
              <w:jc w:val="center"/>
            </w:pPr>
            <w:r>
              <w:t>Level</w:t>
            </w:r>
          </w:p>
        </w:tc>
        <w:tc>
          <w:tcPr>
            <w:tcW w:w="3117" w:type="dxa"/>
            <w:gridSpan w:val="2"/>
          </w:tcPr>
          <w:p w14:paraId="699DC4A1" w14:textId="77777777" w:rsidR="00AF38CF" w:rsidRDefault="00AF38CF" w:rsidP="0066301C">
            <w:r>
              <w:t>First Difference</w:t>
            </w:r>
          </w:p>
        </w:tc>
      </w:tr>
      <w:tr w:rsidR="00AF38CF" w14:paraId="76060EBA" w14:textId="77777777" w:rsidTr="009B3C83">
        <w:tc>
          <w:tcPr>
            <w:tcW w:w="1985" w:type="dxa"/>
          </w:tcPr>
          <w:p w14:paraId="1BAC4AD9" w14:textId="77777777" w:rsidR="00AF38CF" w:rsidRDefault="00AF38CF" w:rsidP="0066301C">
            <w:r>
              <w:t>Variables</w:t>
            </w:r>
          </w:p>
        </w:tc>
        <w:tc>
          <w:tcPr>
            <w:tcW w:w="1418" w:type="dxa"/>
          </w:tcPr>
          <w:p w14:paraId="3BC0276C" w14:textId="77777777" w:rsidR="00AF38CF" w:rsidRDefault="00AF38CF" w:rsidP="0066301C">
            <w:r>
              <w:t>Constant</w:t>
            </w:r>
          </w:p>
        </w:tc>
        <w:tc>
          <w:tcPr>
            <w:tcW w:w="1559" w:type="dxa"/>
          </w:tcPr>
          <w:p w14:paraId="55B523BD" w14:textId="77777777" w:rsidR="00AF38CF" w:rsidRDefault="00AF38CF" w:rsidP="0066301C">
            <w:r>
              <w:t>Trend &amp; Intercept</w:t>
            </w:r>
          </w:p>
        </w:tc>
        <w:tc>
          <w:tcPr>
            <w:tcW w:w="1418" w:type="dxa"/>
          </w:tcPr>
          <w:p w14:paraId="2128EAC5" w14:textId="77777777" w:rsidR="00AF38CF" w:rsidRDefault="00AF38CF" w:rsidP="0066301C">
            <w:r>
              <w:t>Constant</w:t>
            </w:r>
          </w:p>
        </w:tc>
        <w:tc>
          <w:tcPr>
            <w:tcW w:w="1559" w:type="dxa"/>
          </w:tcPr>
          <w:p w14:paraId="39C34AA1" w14:textId="77777777" w:rsidR="00AF38CF" w:rsidRDefault="00AF38CF" w:rsidP="0066301C">
            <w:r>
              <w:t>Trend &amp; Intercept</w:t>
            </w:r>
          </w:p>
        </w:tc>
        <w:tc>
          <w:tcPr>
            <w:tcW w:w="1559" w:type="dxa"/>
          </w:tcPr>
          <w:p w14:paraId="1412CBC5" w14:textId="77777777" w:rsidR="00AF38CF" w:rsidRDefault="00AF38CF" w:rsidP="0066301C">
            <w:r>
              <w:t>Constant</w:t>
            </w:r>
          </w:p>
        </w:tc>
        <w:tc>
          <w:tcPr>
            <w:tcW w:w="1560" w:type="dxa"/>
          </w:tcPr>
          <w:p w14:paraId="302010C5" w14:textId="77777777" w:rsidR="00AF38CF" w:rsidRDefault="00AF38CF" w:rsidP="0066301C">
            <w:r>
              <w:t>Trend &amp; Intercept</w:t>
            </w:r>
          </w:p>
        </w:tc>
        <w:tc>
          <w:tcPr>
            <w:tcW w:w="1559" w:type="dxa"/>
          </w:tcPr>
          <w:p w14:paraId="593024FD" w14:textId="77777777" w:rsidR="00AF38CF" w:rsidRDefault="00AF38CF" w:rsidP="0066301C">
            <w:r>
              <w:t>Constant</w:t>
            </w:r>
          </w:p>
        </w:tc>
        <w:tc>
          <w:tcPr>
            <w:tcW w:w="1558" w:type="dxa"/>
          </w:tcPr>
          <w:p w14:paraId="2707EC6E" w14:textId="77777777" w:rsidR="00AF38CF" w:rsidRDefault="00AF38CF" w:rsidP="0066301C">
            <w:r>
              <w:t>Trend &amp; Intercept</w:t>
            </w:r>
          </w:p>
        </w:tc>
      </w:tr>
      <w:tr w:rsidR="00AF38CF" w14:paraId="75E1D376" w14:textId="77777777" w:rsidTr="009B3C83">
        <w:tc>
          <w:tcPr>
            <w:tcW w:w="1985" w:type="dxa"/>
          </w:tcPr>
          <w:p w14:paraId="616FDC72" w14:textId="77777777" w:rsidR="00AF38CF" w:rsidRDefault="00AF38CF" w:rsidP="0066301C">
            <w:r>
              <w:t>LNTB</w:t>
            </w:r>
          </w:p>
        </w:tc>
        <w:tc>
          <w:tcPr>
            <w:tcW w:w="1418" w:type="dxa"/>
          </w:tcPr>
          <w:p w14:paraId="1B68EA64" w14:textId="77777777" w:rsidR="00AF38CF" w:rsidRDefault="00AF38CF" w:rsidP="0066301C">
            <w:r>
              <w:t>-2.740</w:t>
            </w:r>
          </w:p>
        </w:tc>
        <w:tc>
          <w:tcPr>
            <w:tcW w:w="1559" w:type="dxa"/>
          </w:tcPr>
          <w:p w14:paraId="22F4C42A" w14:textId="77777777" w:rsidR="00AF38CF" w:rsidRDefault="00AF38CF" w:rsidP="0066301C">
            <w:r w:rsidRPr="009C021E">
              <w:t>-3.832</w:t>
            </w:r>
          </w:p>
        </w:tc>
        <w:tc>
          <w:tcPr>
            <w:tcW w:w="1418" w:type="dxa"/>
          </w:tcPr>
          <w:p w14:paraId="23163DD3" w14:textId="77777777" w:rsidR="00AF38CF" w:rsidRDefault="00AF38CF" w:rsidP="0066301C">
            <w:r>
              <w:t>-9.874</w:t>
            </w:r>
          </w:p>
        </w:tc>
        <w:tc>
          <w:tcPr>
            <w:tcW w:w="1559" w:type="dxa"/>
          </w:tcPr>
          <w:p w14:paraId="274E94D5" w14:textId="77777777" w:rsidR="00AF38CF" w:rsidRDefault="00AF38CF" w:rsidP="0066301C">
            <w:r>
              <w:t>-3.923</w:t>
            </w:r>
          </w:p>
        </w:tc>
        <w:tc>
          <w:tcPr>
            <w:tcW w:w="1559" w:type="dxa"/>
          </w:tcPr>
          <w:p w14:paraId="0CB0664E" w14:textId="77777777" w:rsidR="00AF38CF" w:rsidRDefault="00AF38CF" w:rsidP="0066301C">
            <w:r>
              <w:t>-2.585</w:t>
            </w:r>
          </w:p>
        </w:tc>
        <w:tc>
          <w:tcPr>
            <w:tcW w:w="1560" w:type="dxa"/>
          </w:tcPr>
          <w:p w14:paraId="66517748" w14:textId="77777777" w:rsidR="00AF38CF" w:rsidRDefault="00AF38CF" w:rsidP="0066301C">
            <w:r w:rsidRPr="009C021E">
              <w:t>-3.834</w:t>
            </w:r>
          </w:p>
        </w:tc>
        <w:tc>
          <w:tcPr>
            <w:tcW w:w="1559" w:type="dxa"/>
          </w:tcPr>
          <w:p w14:paraId="5E59E0CB" w14:textId="77777777" w:rsidR="00AF38CF" w:rsidRDefault="00AF38CF" w:rsidP="0066301C">
            <w:r>
              <w:t>-11.177</w:t>
            </w:r>
          </w:p>
        </w:tc>
        <w:tc>
          <w:tcPr>
            <w:tcW w:w="1558" w:type="dxa"/>
          </w:tcPr>
          <w:p w14:paraId="3911AB35" w14:textId="77777777" w:rsidR="00AF38CF" w:rsidRDefault="00AF38CF" w:rsidP="0066301C">
            <w:r>
              <w:t>-12.230</w:t>
            </w:r>
          </w:p>
        </w:tc>
      </w:tr>
      <w:tr w:rsidR="00AF38CF" w14:paraId="5379EAAE" w14:textId="77777777" w:rsidTr="009B3C83">
        <w:tc>
          <w:tcPr>
            <w:tcW w:w="1985" w:type="dxa"/>
          </w:tcPr>
          <w:p w14:paraId="737A5372" w14:textId="77777777" w:rsidR="00AF38CF" w:rsidRDefault="00AF38CF" w:rsidP="0066301C">
            <w:r>
              <w:t>LNREER</w:t>
            </w:r>
          </w:p>
        </w:tc>
        <w:tc>
          <w:tcPr>
            <w:tcW w:w="1418" w:type="dxa"/>
          </w:tcPr>
          <w:p w14:paraId="36E026BD" w14:textId="77777777" w:rsidR="00AF38CF" w:rsidRDefault="00AF38CF" w:rsidP="0066301C">
            <w:r>
              <w:t>-1.450</w:t>
            </w:r>
          </w:p>
        </w:tc>
        <w:tc>
          <w:tcPr>
            <w:tcW w:w="1559" w:type="dxa"/>
          </w:tcPr>
          <w:p w14:paraId="503AF0E8" w14:textId="77777777" w:rsidR="00AF38CF" w:rsidRDefault="00AF38CF" w:rsidP="0066301C">
            <w:r>
              <w:t>-1.946</w:t>
            </w:r>
          </w:p>
        </w:tc>
        <w:tc>
          <w:tcPr>
            <w:tcW w:w="1418" w:type="dxa"/>
          </w:tcPr>
          <w:p w14:paraId="0038E2BB" w14:textId="77777777" w:rsidR="00AF38CF" w:rsidRDefault="00AF38CF" w:rsidP="0066301C">
            <w:r>
              <w:t>-5.788</w:t>
            </w:r>
          </w:p>
        </w:tc>
        <w:tc>
          <w:tcPr>
            <w:tcW w:w="1559" w:type="dxa"/>
          </w:tcPr>
          <w:p w14:paraId="215EC95F" w14:textId="77777777" w:rsidR="00AF38CF" w:rsidRDefault="00AF38CF" w:rsidP="0066301C">
            <w:r>
              <w:t>-5.703</w:t>
            </w:r>
          </w:p>
        </w:tc>
        <w:tc>
          <w:tcPr>
            <w:tcW w:w="1559" w:type="dxa"/>
          </w:tcPr>
          <w:p w14:paraId="4C600626" w14:textId="77777777" w:rsidR="00AF38CF" w:rsidRDefault="00AF38CF" w:rsidP="0066301C">
            <w:r>
              <w:t>-1.502</w:t>
            </w:r>
          </w:p>
        </w:tc>
        <w:tc>
          <w:tcPr>
            <w:tcW w:w="1560" w:type="dxa"/>
          </w:tcPr>
          <w:p w14:paraId="1AD8B05B" w14:textId="77777777" w:rsidR="00AF38CF" w:rsidRDefault="00AF38CF" w:rsidP="0066301C">
            <w:r>
              <w:t>2.077</w:t>
            </w:r>
          </w:p>
        </w:tc>
        <w:tc>
          <w:tcPr>
            <w:tcW w:w="1559" w:type="dxa"/>
          </w:tcPr>
          <w:p w14:paraId="05F250A7" w14:textId="77777777" w:rsidR="00AF38CF" w:rsidRDefault="00AF38CF" w:rsidP="0066301C">
            <w:r>
              <w:t>5.788</w:t>
            </w:r>
          </w:p>
        </w:tc>
        <w:tc>
          <w:tcPr>
            <w:tcW w:w="1558" w:type="dxa"/>
          </w:tcPr>
          <w:p w14:paraId="3C0CD5FC" w14:textId="77777777" w:rsidR="00AF38CF" w:rsidRDefault="00AF38CF" w:rsidP="0066301C">
            <w:r>
              <w:t>-5.702</w:t>
            </w:r>
          </w:p>
        </w:tc>
      </w:tr>
      <w:tr w:rsidR="00AF38CF" w14:paraId="702C29D3" w14:textId="77777777" w:rsidTr="009B3C83">
        <w:tc>
          <w:tcPr>
            <w:tcW w:w="1985" w:type="dxa"/>
          </w:tcPr>
          <w:p w14:paraId="072CEFA7" w14:textId="77777777" w:rsidR="00AF38CF" w:rsidRDefault="00AF38CF" w:rsidP="0066301C">
            <w:r>
              <w:t>LNDI</w:t>
            </w:r>
          </w:p>
        </w:tc>
        <w:tc>
          <w:tcPr>
            <w:tcW w:w="1418" w:type="dxa"/>
          </w:tcPr>
          <w:p w14:paraId="61F2965C" w14:textId="77777777" w:rsidR="00AF38CF" w:rsidRDefault="00AF38CF" w:rsidP="0066301C">
            <w:r>
              <w:t>-0.353</w:t>
            </w:r>
          </w:p>
        </w:tc>
        <w:tc>
          <w:tcPr>
            <w:tcW w:w="1559" w:type="dxa"/>
          </w:tcPr>
          <w:p w14:paraId="327F2635" w14:textId="77777777" w:rsidR="00AF38CF" w:rsidRDefault="00AF38CF" w:rsidP="0066301C">
            <w:r>
              <w:t>-1.794</w:t>
            </w:r>
          </w:p>
        </w:tc>
        <w:tc>
          <w:tcPr>
            <w:tcW w:w="1418" w:type="dxa"/>
          </w:tcPr>
          <w:p w14:paraId="52E9907A" w14:textId="77777777" w:rsidR="00AF38CF" w:rsidRDefault="00AF38CF" w:rsidP="0066301C">
            <w:r>
              <w:t>-6.451</w:t>
            </w:r>
          </w:p>
        </w:tc>
        <w:tc>
          <w:tcPr>
            <w:tcW w:w="1559" w:type="dxa"/>
          </w:tcPr>
          <w:p w14:paraId="65586E43" w14:textId="77777777" w:rsidR="00AF38CF" w:rsidRDefault="00AF38CF" w:rsidP="0066301C">
            <w:r>
              <w:t>-6.409</w:t>
            </w:r>
          </w:p>
        </w:tc>
        <w:tc>
          <w:tcPr>
            <w:tcW w:w="1559" w:type="dxa"/>
          </w:tcPr>
          <w:p w14:paraId="0C8AE74B" w14:textId="77777777" w:rsidR="00AF38CF" w:rsidRDefault="00AF38CF" w:rsidP="0066301C">
            <w:r>
              <w:t>-0.257</w:t>
            </w:r>
          </w:p>
        </w:tc>
        <w:tc>
          <w:tcPr>
            <w:tcW w:w="1560" w:type="dxa"/>
          </w:tcPr>
          <w:p w14:paraId="47D7F1C0" w14:textId="77777777" w:rsidR="00AF38CF" w:rsidRDefault="00AF38CF" w:rsidP="0066301C">
            <w:r>
              <w:t>-1.794</w:t>
            </w:r>
          </w:p>
        </w:tc>
        <w:tc>
          <w:tcPr>
            <w:tcW w:w="1559" w:type="dxa"/>
          </w:tcPr>
          <w:p w14:paraId="426233DB" w14:textId="77777777" w:rsidR="00AF38CF" w:rsidRDefault="00AF38CF" w:rsidP="0066301C">
            <w:r>
              <w:t>-6.457</w:t>
            </w:r>
          </w:p>
        </w:tc>
        <w:tc>
          <w:tcPr>
            <w:tcW w:w="1558" w:type="dxa"/>
          </w:tcPr>
          <w:p w14:paraId="4C6C41FB" w14:textId="77777777" w:rsidR="00AF38CF" w:rsidRDefault="00AF38CF" w:rsidP="0066301C">
            <w:r>
              <w:t>-6.428</w:t>
            </w:r>
          </w:p>
        </w:tc>
      </w:tr>
      <w:tr w:rsidR="00AF38CF" w14:paraId="5A0B6028" w14:textId="77777777" w:rsidTr="009B3C83">
        <w:tc>
          <w:tcPr>
            <w:tcW w:w="1985" w:type="dxa"/>
          </w:tcPr>
          <w:p w14:paraId="694D7637" w14:textId="77777777" w:rsidR="00AF38CF" w:rsidRDefault="00AF38CF" w:rsidP="0066301C">
            <w:r>
              <w:t>Partners</w:t>
            </w:r>
          </w:p>
        </w:tc>
        <w:tc>
          <w:tcPr>
            <w:tcW w:w="1418" w:type="dxa"/>
          </w:tcPr>
          <w:p w14:paraId="5BBD11D7" w14:textId="77777777" w:rsidR="00AF38CF" w:rsidRDefault="00AF38CF" w:rsidP="0066301C">
            <w:r>
              <w:t>0.798</w:t>
            </w:r>
          </w:p>
        </w:tc>
        <w:tc>
          <w:tcPr>
            <w:tcW w:w="1559" w:type="dxa"/>
          </w:tcPr>
          <w:p w14:paraId="7F625A97" w14:textId="77777777" w:rsidR="00AF38CF" w:rsidRDefault="00AF38CF" w:rsidP="0066301C">
            <w:r>
              <w:t>-2.684</w:t>
            </w:r>
          </w:p>
        </w:tc>
        <w:tc>
          <w:tcPr>
            <w:tcW w:w="1418" w:type="dxa"/>
          </w:tcPr>
          <w:p w14:paraId="7B3A4BDD" w14:textId="77777777" w:rsidR="00AF38CF" w:rsidRDefault="00AF38CF" w:rsidP="0066301C">
            <w:r>
              <w:t>-4.719</w:t>
            </w:r>
          </w:p>
        </w:tc>
        <w:tc>
          <w:tcPr>
            <w:tcW w:w="1559" w:type="dxa"/>
          </w:tcPr>
          <w:p w14:paraId="067D449D" w14:textId="77777777" w:rsidR="00AF38CF" w:rsidRDefault="00AF38CF" w:rsidP="0066301C">
            <w:r>
              <w:t>-4.627</w:t>
            </w:r>
          </w:p>
        </w:tc>
        <w:tc>
          <w:tcPr>
            <w:tcW w:w="1559" w:type="dxa"/>
          </w:tcPr>
          <w:p w14:paraId="0EBE0119" w14:textId="77777777" w:rsidR="00AF38CF" w:rsidRDefault="00AF38CF" w:rsidP="0066301C">
            <w:r>
              <w:t>0.582</w:t>
            </w:r>
          </w:p>
        </w:tc>
        <w:tc>
          <w:tcPr>
            <w:tcW w:w="1560" w:type="dxa"/>
          </w:tcPr>
          <w:p w14:paraId="2A3CC931" w14:textId="77777777" w:rsidR="00AF38CF" w:rsidRDefault="00AF38CF" w:rsidP="0066301C">
            <w:r>
              <w:t>-2.881</w:t>
            </w:r>
          </w:p>
        </w:tc>
        <w:tc>
          <w:tcPr>
            <w:tcW w:w="1559" w:type="dxa"/>
          </w:tcPr>
          <w:p w14:paraId="78FF1D9C" w14:textId="77777777" w:rsidR="00AF38CF" w:rsidRDefault="00AF38CF" w:rsidP="0066301C">
            <w:r>
              <w:t>-4.675</w:t>
            </w:r>
          </w:p>
        </w:tc>
        <w:tc>
          <w:tcPr>
            <w:tcW w:w="1558" w:type="dxa"/>
          </w:tcPr>
          <w:p w14:paraId="6E1FEE71" w14:textId="77777777" w:rsidR="00AF38CF" w:rsidRDefault="00AF38CF" w:rsidP="0066301C">
            <w:r>
              <w:t>-4.567</w:t>
            </w:r>
          </w:p>
        </w:tc>
      </w:tr>
      <w:tr w:rsidR="00AF38CF" w14:paraId="7855C936" w14:textId="77777777" w:rsidTr="009B3C83">
        <w:tc>
          <w:tcPr>
            <w:tcW w:w="14175" w:type="dxa"/>
            <w:gridSpan w:val="9"/>
          </w:tcPr>
          <w:p w14:paraId="0174C929" w14:textId="77777777" w:rsidR="00AF38CF" w:rsidRDefault="00AF38CF" w:rsidP="0066301C">
            <w:pPr>
              <w:jc w:val="center"/>
            </w:pPr>
            <w:r w:rsidRPr="00D05CB2">
              <w:rPr>
                <w:b/>
                <w:bCs/>
              </w:rPr>
              <w:t>C</w:t>
            </w:r>
            <w:r>
              <w:rPr>
                <w:b/>
                <w:bCs/>
              </w:rPr>
              <w:t>AR</w:t>
            </w:r>
          </w:p>
        </w:tc>
      </w:tr>
      <w:tr w:rsidR="00AF38CF" w14:paraId="7B7F110C" w14:textId="77777777" w:rsidTr="009B3C83">
        <w:tc>
          <w:tcPr>
            <w:tcW w:w="1985" w:type="dxa"/>
          </w:tcPr>
          <w:p w14:paraId="0E1519FA" w14:textId="77777777" w:rsidR="00AF38CF" w:rsidRPr="00D05CB2" w:rsidRDefault="00AF38CF" w:rsidP="0066301C">
            <w:pPr>
              <w:rPr>
                <w:b/>
                <w:bCs/>
              </w:rPr>
            </w:pPr>
          </w:p>
        </w:tc>
        <w:tc>
          <w:tcPr>
            <w:tcW w:w="5954" w:type="dxa"/>
            <w:gridSpan w:val="4"/>
          </w:tcPr>
          <w:p w14:paraId="5A92467D" w14:textId="77777777" w:rsidR="00AF38CF" w:rsidRDefault="00AF38CF" w:rsidP="0066301C">
            <w:r>
              <w:t>ADF Test</w:t>
            </w:r>
          </w:p>
        </w:tc>
        <w:tc>
          <w:tcPr>
            <w:tcW w:w="6236" w:type="dxa"/>
            <w:gridSpan w:val="4"/>
          </w:tcPr>
          <w:p w14:paraId="38A70BDE" w14:textId="77777777" w:rsidR="00AF38CF" w:rsidRDefault="00AF38CF" w:rsidP="0066301C">
            <w:r>
              <w:t>PP Test</w:t>
            </w:r>
          </w:p>
        </w:tc>
      </w:tr>
      <w:tr w:rsidR="00AF38CF" w14:paraId="21AEDFD1" w14:textId="77777777" w:rsidTr="009B3C83">
        <w:tc>
          <w:tcPr>
            <w:tcW w:w="1985" w:type="dxa"/>
          </w:tcPr>
          <w:p w14:paraId="54BDEB8D" w14:textId="77777777" w:rsidR="00AF38CF" w:rsidRPr="00D05CB2" w:rsidRDefault="00AF38CF" w:rsidP="0066301C">
            <w:pPr>
              <w:rPr>
                <w:b/>
                <w:bCs/>
              </w:rPr>
            </w:pPr>
          </w:p>
        </w:tc>
        <w:tc>
          <w:tcPr>
            <w:tcW w:w="2977" w:type="dxa"/>
            <w:gridSpan w:val="2"/>
          </w:tcPr>
          <w:p w14:paraId="1502532C" w14:textId="77777777" w:rsidR="00AF38CF" w:rsidRDefault="00AF38CF" w:rsidP="0066301C">
            <w:pPr>
              <w:jc w:val="center"/>
            </w:pPr>
            <w:r>
              <w:t>Level</w:t>
            </w:r>
          </w:p>
        </w:tc>
        <w:tc>
          <w:tcPr>
            <w:tcW w:w="2977" w:type="dxa"/>
            <w:gridSpan w:val="2"/>
          </w:tcPr>
          <w:p w14:paraId="153D7563" w14:textId="77777777" w:rsidR="00AF38CF" w:rsidRDefault="00AF38CF" w:rsidP="0066301C">
            <w:r>
              <w:t>First Difference</w:t>
            </w:r>
          </w:p>
        </w:tc>
        <w:tc>
          <w:tcPr>
            <w:tcW w:w="3119" w:type="dxa"/>
            <w:gridSpan w:val="2"/>
          </w:tcPr>
          <w:p w14:paraId="71CD057E" w14:textId="77777777" w:rsidR="00AF38CF" w:rsidRDefault="00AF38CF" w:rsidP="0066301C">
            <w:r>
              <w:t>Level</w:t>
            </w:r>
          </w:p>
        </w:tc>
        <w:tc>
          <w:tcPr>
            <w:tcW w:w="3117" w:type="dxa"/>
            <w:gridSpan w:val="2"/>
          </w:tcPr>
          <w:p w14:paraId="6158AB42" w14:textId="77777777" w:rsidR="00AF38CF" w:rsidRDefault="00AF38CF" w:rsidP="0066301C">
            <w:r>
              <w:t>First Difference</w:t>
            </w:r>
          </w:p>
        </w:tc>
      </w:tr>
      <w:tr w:rsidR="00AF38CF" w14:paraId="1B130B1F" w14:textId="77777777" w:rsidTr="009B3C83">
        <w:tc>
          <w:tcPr>
            <w:tcW w:w="1985" w:type="dxa"/>
          </w:tcPr>
          <w:p w14:paraId="4CCD0A6D" w14:textId="77777777" w:rsidR="00AF38CF" w:rsidRPr="00D05CB2" w:rsidRDefault="00AF38CF" w:rsidP="0066301C">
            <w:pPr>
              <w:rPr>
                <w:b/>
                <w:bCs/>
              </w:rPr>
            </w:pPr>
            <w:r>
              <w:t>Variables</w:t>
            </w:r>
          </w:p>
        </w:tc>
        <w:tc>
          <w:tcPr>
            <w:tcW w:w="1418" w:type="dxa"/>
          </w:tcPr>
          <w:p w14:paraId="7115C598" w14:textId="77777777" w:rsidR="00AF38CF" w:rsidRDefault="00AF38CF" w:rsidP="0066301C">
            <w:r>
              <w:t>Constant</w:t>
            </w:r>
          </w:p>
        </w:tc>
        <w:tc>
          <w:tcPr>
            <w:tcW w:w="1559" w:type="dxa"/>
          </w:tcPr>
          <w:p w14:paraId="6B4A5BCA" w14:textId="77777777" w:rsidR="00AF38CF" w:rsidRDefault="00AF38CF" w:rsidP="0066301C">
            <w:r>
              <w:t>Trend &amp; Intercept</w:t>
            </w:r>
          </w:p>
        </w:tc>
        <w:tc>
          <w:tcPr>
            <w:tcW w:w="1418" w:type="dxa"/>
          </w:tcPr>
          <w:p w14:paraId="1EB05317" w14:textId="77777777" w:rsidR="00AF38CF" w:rsidRDefault="00AF38CF" w:rsidP="0066301C">
            <w:r>
              <w:t>Constant</w:t>
            </w:r>
          </w:p>
        </w:tc>
        <w:tc>
          <w:tcPr>
            <w:tcW w:w="1559" w:type="dxa"/>
          </w:tcPr>
          <w:p w14:paraId="6D7052D3" w14:textId="77777777" w:rsidR="00AF38CF" w:rsidRDefault="00AF38CF" w:rsidP="0066301C">
            <w:r>
              <w:t>Trend &amp; Intercept</w:t>
            </w:r>
          </w:p>
        </w:tc>
        <w:tc>
          <w:tcPr>
            <w:tcW w:w="1559" w:type="dxa"/>
          </w:tcPr>
          <w:p w14:paraId="09264EB5" w14:textId="77777777" w:rsidR="00AF38CF" w:rsidRDefault="00AF38CF" w:rsidP="0066301C">
            <w:r>
              <w:t>Constant</w:t>
            </w:r>
          </w:p>
        </w:tc>
        <w:tc>
          <w:tcPr>
            <w:tcW w:w="1560" w:type="dxa"/>
          </w:tcPr>
          <w:p w14:paraId="1DA63884" w14:textId="77777777" w:rsidR="00AF38CF" w:rsidRDefault="00AF38CF" w:rsidP="0066301C">
            <w:r>
              <w:t>Trend &amp; Intercept</w:t>
            </w:r>
          </w:p>
        </w:tc>
        <w:tc>
          <w:tcPr>
            <w:tcW w:w="1559" w:type="dxa"/>
          </w:tcPr>
          <w:p w14:paraId="0CD2F3BA" w14:textId="77777777" w:rsidR="00AF38CF" w:rsidRDefault="00AF38CF" w:rsidP="0066301C">
            <w:r>
              <w:t>Constant</w:t>
            </w:r>
          </w:p>
        </w:tc>
        <w:tc>
          <w:tcPr>
            <w:tcW w:w="1558" w:type="dxa"/>
          </w:tcPr>
          <w:p w14:paraId="13DCDCE5" w14:textId="77777777" w:rsidR="00AF38CF" w:rsidRDefault="00AF38CF" w:rsidP="0066301C">
            <w:r>
              <w:t>Trend &amp; Intercept</w:t>
            </w:r>
          </w:p>
        </w:tc>
      </w:tr>
      <w:tr w:rsidR="00AF38CF" w14:paraId="28D0E483" w14:textId="77777777" w:rsidTr="009B3C83">
        <w:tc>
          <w:tcPr>
            <w:tcW w:w="1985" w:type="dxa"/>
          </w:tcPr>
          <w:p w14:paraId="449E5424" w14:textId="77777777" w:rsidR="00AF38CF" w:rsidRDefault="00AF38CF" w:rsidP="0066301C">
            <w:r>
              <w:t>LNTB</w:t>
            </w:r>
          </w:p>
        </w:tc>
        <w:tc>
          <w:tcPr>
            <w:tcW w:w="1418" w:type="dxa"/>
          </w:tcPr>
          <w:p w14:paraId="090EC58B" w14:textId="77777777" w:rsidR="00AF38CF" w:rsidRDefault="00AF38CF" w:rsidP="0066301C">
            <w:r>
              <w:t>-1.352</w:t>
            </w:r>
          </w:p>
        </w:tc>
        <w:tc>
          <w:tcPr>
            <w:tcW w:w="1559" w:type="dxa"/>
          </w:tcPr>
          <w:p w14:paraId="16BD1E85" w14:textId="77777777" w:rsidR="00AF38CF" w:rsidRDefault="00AF38CF" w:rsidP="0066301C">
            <w:r>
              <w:t>-2.352</w:t>
            </w:r>
          </w:p>
        </w:tc>
        <w:tc>
          <w:tcPr>
            <w:tcW w:w="1418" w:type="dxa"/>
          </w:tcPr>
          <w:p w14:paraId="7048908E" w14:textId="77777777" w:rsidR="00AF38CF" w:rsidRDefault="00AF38CF" w:rsidP="0066301C">
            <w:r>
              <w:t>-7.037</w:t>
            </w:r>
          </w:p>
        </w:tc>
        <w:tc>
          <w:tcPr>
            <w:tcW w:w="1559" w:type="dxa"/>
          </w:tcPr>
          <w:p w14:paraId="2ADE994A" w14:textId="77777777" w:rsidR="00AF38CF" w:rsidRDefault="00AF38CF" w:rsidP="0066301C">
            <w:r>
              <w:t>-6.299</w:t>
            </w:r>
          </w:p>
        </w:tc>
        <w:tc>
          <w:tcPr>
            <w:tcW w:w="1559" w:type="dxa"/>
          </w:tcPr>
          <w:p w14:paraId="38AB6F8B" w14:textId="77777777" w:rsidR="00AF38CF" w:rsidRDefault="00AF38CF" w:rsidP="0066301C">
            <w:r>
              <w:t>-1.079</w:t>
            </w:r>
          </w:p>
        </w:tc>
        <w:tc>
          <w:tcPr>
            <w:tcW w:w="1560" w:type="dxa"/>
          </w:tcPr>
          <w:p w14:paraId="23E30229" w14:textId="77777777" w:rsidR="00AF38CF" w:rsidRDefault="00AF38CF" w:rsidP="0066301C">
            <w:r>
              <w:t>-2.161</w:t>
            </w:r>
          </w:p>
        </w:tc>
        <w:tc>
          <w:tcPr>
            <w:tcW w:w="1559" w:type="dxa"/>
          </w:tcPr>
          <w:p w14:paraId="56D6B07E" w14:textId="77777777" w:rsidR="00AF38CF" w:rsidRDefault="00AF38CF" w:rsidP="0066301C">
            <w:r>
              <w:t>-7.696</w:t>
            </w:r>
          </w:p>
        </w:tc>
        <w:tc>
          <w:tcPr>
            <w:tcW w:w="1558" w:type="dxa"/>
          </w:tcPr>
          <w:p w14:paraId="053DA433" w14:textId="77777777" w:rsidR="00AF38CF" w:rsidRDefault="00AF38CF" w:rsidP="0066301C">
            <w:r>
              <w:t>-15.485</w:t>
            </w:r>
          </w:p>
        </w:tc>
      </w:tr>
      <w:tr w:rsidR="00AF38CF" w14:paraId="3CF1F28E" w14:textId="77777777" w:rsidTr="009B3C83">
        <w:tc>
          <w:tcPr>
            <w:tcW w:w="1985" w:type="dxa"/>
          </w:tcPr>
          <w:p w14:paraId="70DB40F7" w14:textId="77777777" w:rsidR="00AF38CF" w:rsidRDefault="00AF38CF" w:rsidP="0066301C">
            <w:r>
              <w:t>LNREER</w:t>
            </w:r>
          </w:p>
        </w:tc>
        <w:tc>
          <w:tcPr>
            <w:tcW w:w="1418" w:type="dxa"/>
          </w:tcPr>
          <w:p w14:paraId="26583998" w14:textId="77777777" w:rsidR="00AF38CF" w:rsidRDefault="00AF38CF" w:rsidP="0066301C">
            <w:r>
              <w:t>-2.002</w:t>
            </w:r>
          </w:p>
        </w:tc>
        <w:tc>
          <w:tcPr>
            <w:tcW w:w="1559" w:type="dxa"/>
          </w:tcPr>
          <w:p w14:paraId="21A64B6C" w14:textId="77777777" w:rsidR="00AF38CF" w:rsidRDefault="00AF38CF" w:rsidP="0066301C">
            <w:r>
              <w:t>-0.989</w:t>
            </w:r>
          </w:p>
        </w:tc>
        <w:tc>
          <w:tcPr>
            <w:tcW w:w="1418" w:type="dxa"/>
          </w:tcPr>
          <w:p w14:paraId="03A8217D" w14:textId="77777777" w:rsidR="00AF38CF" w:rsidRDefault="00AF38CF" w:rsidP="0066301C">
            <w:r>
              <w:t>-6.598</w:t>
            </w:r>
          </w:p>
        </w:tc>
        <w:tc>
          <w:tcPr>
            <w:tcW w:w="1559" w:type="dxa"/>
          </w:tcPr>
          <w:p w14:paraId="6419752D" w14:textId="77777777" w:rsidR="00AF38CF" w:rsidRDefault="00AF38CF" w:rsidP="0066301C">
            <w:r>
              <w:t>-7.041</w:t>
            </w:r>
          </w:p>
        </w:tc>
        <w:tc>
          <w:tcPr>
            <w:tcW w:w="1559" w:type="dxa"/>
          </w:tcPr>
          <w:p w14:paraId="3FB1251A" w14:textId="77777777" w:rsidR="00AF38CF" w:rsidRDefault="00AF38CF" w:rsidP="0066301C">
            <w:r>
              <w:t>-2.001</w:t>
            </w:r>
          </w:p>
        </w:tc>
        <w:tc>
          <w:tcPr>
            <w:tcW w:w="1560" w:type="dxa"/>
          </w:tcPr>
          <w:p w14:paraId="09E9238D" w14:textId="77777777" w:rsidR="00AF38CF" w:rsidRDefault="00AF38CF" w:rsidP="0066301C">
            <w:r>
              <w:t>-0.989</w:t>
            </w:r>
          </w:p>
        </w:tc>
        <w:tc>
          <w:tcPr>
            <w:tcW w:w="1559" w:type="dxa"/>
          </w:tcPr>
          <w:p w14:paraId="5005882D" w14:textId="77777777" w:rsidR="00AF38CF" w:rsidRDefault="00AF38CF" w:rsidP="0066301C">
            <w:r>
              <w:t>-6.614</w:t>
            </w:r>
          </w:p>
        </w:tc>
        <w:tc>
          <w:tcPr>
            <w:tcW w:w="1558" w:type="dxa"/>
          </w:tcPr>
          <w:p w14:paraId="7F4609C6" w14:textId="77777777" w:rsidR="00AF38CF" w:rsidRDefault="00AF38CF" w:rsidP="0066301C">
            <w:r>
              <w:t>-7.186</w:t>
            </w:r>
          </w:p>
        </w:tc>
      </w:tr>
      <w:tr w:rsidR="00AF38CF" w14:paraId="2E79ABDA" w14:textId="77777777" w:rsidTr="009B3C83">
        <w:tc>
          <w:tcPr>
            <w:tcW w:w="1985" w:type="dxa"/>
          </w:tcPr>
          <w:p w14:paraId="28F314B8" w14:textId="77777777" w:rsidR="00AF38CF" w:rsidRDefault="00AF38CF" w:rsidP="0066301C">
            <w:r>
              <w:t>LNDI</w:t>
            </w:r>
          </w:p>
        </w:tc>
        <w:tc>
          <w:tcPr>
            <w:tcW w:w="1418" w:type="dxa"/>
          </w:tcPr>
          <w:p w14:paraId="106E963C" w14:textId="77777777" w:rsidR="00AF38CF" w:rsidRDefault="00AF38CF" w:rsidP="0066301C">
            <w:r>
              <w:t>-1.047</w:t>
            </w:r>
          </w:p>
        </w:tc>
        <w:tc>
          <w:tcPr>
            <w:tcW w:w="1559" w:type="dxa"/>
          </w:tcPr>
          <w:p w14:paraId="7D8648E5" w14:textId="77777777" w:rsidR="00AF38CF" w:rsidRDefault="00AF38CF" w:rsidP="0066301C">
            <w:r>
              <w:t>-2.040</w:t>
            </w:r>
          </w:p>
        </w:tc>
        <w:tc>
          <w:tcPr>
            <w:tcW w:w="1418" w:type="dxa"/>
          </w:tcPr>
          <w:p w14:paraId="23A775E0" w14:textId="77777777" w:rsidR="00AF38CF" w:rsidRDefault="00AF38CF" w:rsidP="0066301C">
            <w:r>
              <w:t>-6.309</w:t>
            </w:r>
          </w:p>
        </w:tc>
        <w:tc>
          <w:tcPr>
            <w:tcW w:w="1559" w:type="dxa"/>
          </w:tcPr>
          <w:p w14:paraId="6A61CF70" w14:textId="77777777" w:rsidR="00AF38CF" w:rsidRDefault="00AF38CF" w:rsidP="0066301C">
            <w:r>
              <w:t>-6.216</w:t>
            </w:r>
          </w:p>
        </w:tc>
        <w:tc>
          <w:tcPr>
            <w:tcW w:w="1559" w:type="dxa"/>
          </w:tcPr>
          <w:p w14:paraId="455FFD50" w14:textId="77777777" w:rsidR="00AF38CF" w:rsidRDefault="00AF38CF" w:rsidP="0066301C">
            <w:r>
              <w:t>-1.053</w:t>
            </w:r>
          </w:p>
        </w:tc>
        <w:tc>
          <w:tcPr>
            <w:tcW w:w="1560" w:type="dxa"/>
          </w:tcPr>
          <w:p w14:paraId="0E85C90C" w14:textId="77777777" w:rsidR="00AF38CF" w:rsidRDefault="00AF38CF" w:rsidP="0066301C">
            <w:r>
              <w:t>-2.251</w:t>
            </w:r>
          </w:p>
        </w:tc>
        <w:tc>
          <w:tcPr>
            <w:tcW w:w="1559" w:type="dxa"/>
          </w:tcPr>
          <w:p w14:paraId="3D7E82D0" w14:textId="77777777" w:rsidR="00AF38CF" w:rsidRDefault="00AF38CF" w:rsidP="0066301C">
            <w:r>
              <w:t>-6.306</w:t>
            </w:r>
          </w:p>
        </w:tc>
        <w:tc>
          <w:tcPr>
            <w:tcW w:w="1558" w:type="dxa"/>
          </w:tcPr>
          <w:p w14:paraId="396D3AE8" w14:textId="77777777" w:rsidR="00AF38CF" w:rsidRDefault="00AF38CF" w:rsidP="0066301C">
            <w:r>
              <w:t>-6.215</w:t>
            </w:r>
          </w:p>
        </w:tc>
      </w:tr>
      <w:tr w:rsidR="00AF38CF" w14:paraId="6FB32333" w14:textId="77777777" w:rsidTr="009B3C83">
        <w:tc>
          <w:tcPr>
            <w:tcW w:w="1985" w:type="dxa"/>
          </w:tcPr>
          <w:p w14:paraId="0CC28E4F" w14:textId="77777777" w:rsidR="00AF38CF" w:rsidRDefault="00AF38CF" w:rsidP="0066301C">
            <w:r>
              <w:t>Partners</w:t>
            </w:r>
          </w:p>
        </w:tc>
        <w:tc>
          <w:tcPr>
            <w:tcW w:w="1418" w:type="dxa"/>
          </w:tcPr>
          <w:p w14:paraId="1EDA2473" w14:textId="77777777" w:rsidR="00AF38CF" w:rsidRDefault="00AF38CF" w:rsidP="0066301C">
            <w:r>
              <w:t>1.326</w:t>
            </w:r>
          </w:p>
        </w:tc>
        <w:tc>
          <w:tcPr>
            <w:tcW w:w="1559" w:type="dxa"/>
          </w:tcPr>
          <w:p w14:paraId="31B508A6" w14:textId="77777777" w:rsidR="00AF38CF" w:rsidRDefault="00AF38CF" w:rsidP="0066301C">
            <w:r>
              <w:t>-2.439</w:t>
            </w:r>
          </w:p>
        </w:tc>
        <w:tc>
          <w:tcPr>
            <w:tcW w:w="1418" w:type="dxa"/>
          </w:tcPr>
          <w:p w14:paraId="09199CFA" w14:textId="77777777" w:rsidR="00AF38CF" w:rsidRDefault="00AF38CF" w:rsidP="0066301C">
            <w:r>
              <w:t>-4.594</w:t>
            </w:r>
          </w:p>
        </w:tc>
        <w:tc>
          <w:tcPr>
            <w:tcW w:w="1559" w:type="dxa"/>
          </w:tcPr>
          <w:p w14:paraId="36A7E00A" w14:textId="77777777" w:rsidR="00AF38CF" w:rsidRDefault="00AF38CF" w:rsidP="0066301C">
            <w:r>
              <w:t>-4.575</w:t>
            </w:r>
          </w:p>
        </w:tc>
        <w:tc>
          <w:tcPr>
            <w:tcW w:w="1559" w:type="dxa"/>
          </w:tcPr>
          <w:p w14:paraId="614AA278" w14:textId="77777777" w:rsidR="00AF38CF" w:rsidRDefault="00AF38CF" w:rsidP="0066301C">
            <w:r>
              <w:t>1.019</w:t>
            </w:r>
          </w:p>
        </w:tc>
        <w:tc>
          <w:tcPr>
            <w:tcW w:w="1560" w:type="dxa"/>
          </w:tcPr>
          <w:p w14:paraId="0747B056" w14:textId="77777777" w:rsidR="00AF38CF" w:rsidRDefault="00AF38CF" w:rsidP="0066301C">
            <w:r>
              <w:t>-2.524</w:t>
            </w:r>
          </w:p>
        </w:tc>
        <w:tc>
          <w:tcPr>
            <w:tcW w:w="1559" w:type="dxa"/>
          </w:tcPr>
          <w:p w14:paraId="64448571" w14:textId="77777777" w:rsidR="00AF38CF" w:rsidRDefault="00AF38CF" w:rsidP="0066301C">
            <w:r>
              <w:t>-4.549</w:t>
            </w:r>
          </w:p>
        </w:tc>
        <w:tc>
          <w:tcPr>
            <w:tcW w:w="1558" w:type="dxa"/>
          </w:tcPr>
          <w:p w14:paraId="33C034B7" w14:textId="77777777" w:rsidR="00AF38CF" w:rsidRDefault="00AF38CF" w:rsidP="0066301C">
            <w:r>
              <w:t>-4.545</w:t>
            </w:r>
          </w:p>
        </w:tc>
      </w:tr>
      <w:tr w:rsidR="00AF38CF" w14:paraId="10CC05B9" w14:textId="77777777" w:rsidTr="009B3C83">
        <w:tc>
          <w:tcPr>
            <w:tcW w:w="14175" w:type="dxa"/>
            <w:gridSpan w:val="9"/>
          </w:tcPr>
          <w:p w14:paraId="465A49BF" w14:textId="77777777" w:rsidR="00AF38CF" w:rsidRDefault="00AF38CF" w:rsidP="0066301C">
            <w:pPr>
              <w:jc w:val="center"/>
            </w:pPr>
            <w:r>
              <w:rPr>
                <w:b/>
                <w:bCs/>
              </w:rPr>
              <w:t>Gabon</w:t>
            </w:r>
          </w:p>
        </w:tc>
      </w:tr>
      <w:tr w:rsidR="00AF38CF" w14:paraId="71D75B8E" w14:textId="77777777" w:rsidTr="009B3C83">
        <w:tc>
          <w:tcPr>
            <w:tcW w:w="1985" w:type="dxa"/>
          </w:tcPr>
          <w:p w14:paraId="7E043BCE" w14:textId="77777777" w:rsidR="00AF38CF" w:rsidRDefault="00AF38CF" w:rsidP="0066301C"/>
        </w:tc>
        <w:tc>
          <w:tcPr>
            <w:tcW w:w="2977" w:type="dxa"/>
            <w:gridSpan w:val="2"/>
          </w:tcPr>
          <w:p w14:paraId="0377577C" w14:textId="77777777" w:rsidR="00AF38CF" w:rsidRDefault="00AF38CF" w:rsidP="0066301C">
            <w:pPr>
              <w:jc w:val="center"/>
            </w:pPr>
            <w:r>
              <w:t>ADF Test</w:t>
            </w:r>
          </w:p>
        </w:tc>
        <w:tc>
          <w:tcPr>
            <w:tcW w:w="1418" w:type="dxa"/>
          </w:tcPr>
          <w:p w14:paraId="1463D716" w14:textId="77777777" w:rsidR="00AF38CF" w:rsidRDefault="00AF38CF" w:rsidP="0066301C">
            <w:pPr>
              <w:jc w:val="center"/>
            </w:pPr>
          </w:p>
        </w:tc>
        <w:tc>
          <w:tcPr>
            <w:tcW w:w="1559" w:type="dxa"/>
          </w:tcPr>
          <w:p w14:paraId="553F32D2" w14:textId="77777777" w:rsidR="00AF38CF" w:rsidRDefault="00AF38CF" w:rsidP="0066301C">
            <w:pPr>
              <w:jc w:val="center"/>
            </w:pPr>
          </w:p>
        </w:tc>
        <w:tc>
          <w:tcPr>
            <w:tcW w:w="6236" w:type="dxa"/>
            <w:gridSpan w:val="4"/>
          </w:tcPr>
          <w:p w14:paraId="748D753B" w14:textId="77777777" w:rsidR="00AF38CF" w:rsidRDefault="00AF38CF" w:rsidP="0066301C">
            <w:pPr>
              <w:jc w:val="center"/>
            </w:pPr>
            <w:r>
              <w:t>PP Test</w:t>
            </w:r>
          </w:p>
        </w:tc>
      </w:tr>
      <w:tr w:rsidR="00AF38CF" w14:paraId="0D711393" w14:textId="77777777" w:rsidTr="009B3C83">
        <w:tc>
          <w:tcPr>
            <w:tcW w:w="1985" w:type="dxa"/>
          </w:tcPr>
          <w:p w14:paraId="6DE051FE" w14:textId="77777777" w:rsidR="00AF38CF" w:rsidRDefault="00AF38CF" w:rsidP="0066301C"/>
        </w:tc>
        <w:tc>
          <w:tcPr>
            <w:tcW w:w="2977" w:type="dxa"/>
            <w:gridSpan w:val="2"/>
          </w:tcPr>
          <w:p w14:paraId="51B65D68" w14:textId="77777777" w:rsidR="00AF38CF" w:rsidRDefault="00AF38CF" w:rsidP="0066301C">
            <w:pPr>
              <w:jc w:val="center"/>
            </w:pPr>
            <w:r>
              <w:t>Level</w:t>
            </w:r>
          </w:p>
        </w:tc>
        <w:tc>
          <w:tcPr>
            <w:tcW w:w="2977" w:type="dxa"/>
            <w:gridSpan w:val="2"/>
          </w:tcPr>
          <w:p w14:paraId="5C2A3A6B" w14:textId="77777777" w:rsidR="00AF38CF" w:rsidRDefault="00AF38CF" w:rsidP="0066301C">
            <w:pPr>
              <w:jc w:val="center"/>
            </w:pPr>
            <w:r>
              <w:t>First Difference</w:t>
            </w:r>
          </w:p>
        </w:tc>
        <w:tc>
          <w:tcPr>
            <w:tcW w:w="3119" w:type="dxa"/>
            <w:gridSpan w:val="2"/>
          </w:tcPr>
          <w:p w14:paraId="5B0FFA54" w14:textId="77777777" w:rsidR="00AF38CF" w:rsidRDefault="00AF38CF" w:rsidP="0066301C">
            <w:pPr>
              <w:jc w:val="center"/>
            </w:pPr>
            <w:r>
              <w:t>Level</w:t>
            </w:r>
          </w:p>
        </w:tc>
        <w:tc>
          <w:tcPr>
            <w:tcW w:w="3117" w:type="dxa"/>
            <w:gridSpan w:val="2"/>
          </w:tcPr>
          <w:p w14:paraId="0F035218" w14:textId="77777777" w:rsidR="00AF38CF" w:rsidRDefault="00AF38CF" w:rsidP="0066301C">
            <w:pPr>
              <w:jc w:val="center"/>
            </w:pPr>
            <w:r>
              <w:t>First Difference</w:t>
            </w:r>
          </w:p>
        </w:tc>
      </w:tr>
      <w:tr w:rsidR="00AF38CF" w14:paraId="47C1B021" w14:textId="77777777" w:rsidTr="009B3C83">
        <w:tc>
          <w:tcPr>
            <w:tcW w:w="1985" w:type="dxa"/>
          </w:tcPr>
          <w:p w14:paraId="4608B25D" w14:textId="77777777" w:rsidR="00AF38CF" w:rsidRDefault="00AF38CF" w:rsidP="0066301C">
            <w:r>
              <w:t>Variables</w:t>
            </w:r>
          </w:p>
        </w:tc>
        <w:tc>
          <w:tcPr>
            <w:tcW w:w="1418" w:type="dxa"/>
          </w:tcPr>
          <w:p w14:paraId="56AF69F5" w14:textId="77777777" w:rsidR="00AF38CF" w:rsidRDefault="00AF38CF" w:rsidP="0066301C">
            <w:pPr>
              <w:jc w:val="center"/>
            </w:pPr>
            <w:r>
              <w:t>Constant</w:t>
            </w:r>
          </w:p>
        </w:tc>
        <w:tc>
          <w:tcPr>
            <w:tcW w:w="1559" w:type="dxa"/>
          </w:tcPr>
          <w:p w14:paraId="2280C37B" w14:textId="77777777" w:rsidR="00AF38CF" w:rsidRDefault="00AF38CF" w:rsidP="0066301C">
            <w:pPr>
              <w:jc w:val="center"/>
            </w:pPr>
            <w:r>
              <w:t>Trend &amp; Intercept</w:t>
            </w:r>
          </w:p>
        </w:tc>
        <w:tc>
          <w:tcPr>
            <w:tcW w:w="1418" w:type="dxa"/>
          </w:tcPr>
          <w:p w14:paraId="40D8199B" w14:textId="77777777" w:rsidR="00AF38CF" w:rsidRDefault="00AF38CF" w:rsidP="0066301C">
            <w:pPr>
              <w:jc w:val="center"/>
            </w:pPr>
            <w:r>
              <w:t>Constant</w:t>
            </w:r>
          </w:p>
        </w:tc>
        <w:tc>
          <w:tcPr>
            <w:tcW w:w="1559" w:type="dxa"/>
          </w:tcPr>
          <w:p w14:paraId="3D5B1392" w14:textId="77777777" w:rsidR="00AF38CF" w:rsidRDefault="00AF38CF" w:rsidP="0066301C">
            <w:pPr>
              <w:jc w:val="center"/>
            </w:pPr>
            <w:r>
              <w:t>Trend &amp; Intercept</w:t>
            </w:r>
          </w:p>
        </w:tc>
        <w:tc>
          <w:tcPr>
            <w:tcW w:w="1559" w:type="dxa"/>
          </w:tcPr>
          <w:p w14:paraId="6A0A8DB8" w14:textId="77777777" w:rsidR="00AF38CF" w:rsidRDefault="00AF38CF" w:rsidP="0066301C">
            <w:pPr>
              <w:jc w:val="center"/>
            </w:pPr>
            <w:r>
              <w:t>Constant</w:t>
            </w:r>
          </w:p>
        </w:tc>
        <w:tc>
          <w:tcPr>
            <w:tcW w:w="1560" w:type="dxa"/>
          </w:tcPr>
          <w:p w14:paraId="31EBC933" w14:textId="77777777" w:rsidR="00AF38CF" w:rsidRDefault="00AF38CF" w:rsidP="0066301C">
            <w:pPr>
              <w:jc w:val="center"/>
            </w:pPr>
            <w:r>
              <w:t>Trend &amp; Intercept</w:t>
            </w:r>
          </w:p>
        </w:tc>
        <w:tc>
          <w:tcPr>
            <w:tcW w:w="1559" w:type="dxa"/>
          </w:tcPr>
          <w:p w14:paraId="3D927EF2" w14:textId="77777777" w:rsidR="00AF38CF" w:rsidRDefault="00AF38CF" w:rsidP="0066301C">
            <w:pPr>
              <w:jc w:val="center"/>
            </w:pPr>
            <w:r>
              <w:t>Constant</w:t>
            </w:r>
          </w:p>
        </w:tc>
        <w:tc>
          <w:tcPr>
            <w:tcW w:w="1558" w:type="dxa"/>
          </w:tcPr>
          <w:p w14:paraId="381CE674" w14:textId="77777777" w:rsidR="00AF38CF" w:rsidRDefault="00AF38CF" w:rsidP="0066301C">
            <w:pPr>
              <w:jc w:val="center"/>
            </w:pPr>
            <w:r>
              <w:t>Trend &amp; Intercept</w:t>
            </w:r>
          </w:p>
        </w:tc>
      </w:tr>
      <w:tr w:rsidR="00AF38CF" w14:paraId="5479F67B" w14:textId="77777777" w:rsidTr="009B3C83">
        <w:tc>
          <w:tcPr>
            <w:tcW w:w="1985" w:type="dxa"/>
          </w:tcPr>
          <w:p w14:paraId="6C8EC078" w14:textId="77777777" w:rsidR="00AF38CF" w:rsidRDefault="00AF38CF" w:rsidP="0066301C">
            <w:r>
              <w:t>LNTB</w:t>
            </w:r>
          </w:p>
        </w:tc>
        <w:tc>
          <w:tcPr>
            <w:tcW w:w="1418" w:type="dxa"/>
          </w:tcPr>
          <w:p w14:paraId="3B7ABDAB" w14:textId="77777777" w:rsidR="00AF38CF" w:rsidRDefault="00AF38CF" w:rsidP="0066301C">
            <w:r>
              <w:t>-2.307</w:t>
            </w:r>
          </w:p>
        </w:tc>
        <w:tc>
          <w:tcPr>
            <w:tcW w:w="1559" w:type="dxa"/>
          </w:tcPr>
          <w:p w14:paraId="6ECB2F8C" w14:textId="77777777" w:rsidR="00AF38CF" w:rsidRDefault="00AF38CF" w:rsidP="0066301C">
            <w:r w:rsidRPr="009C021E">
              <w:t>-3.557</w:t>
            </w:r>
          </w:p>
        </w:tc>
        <w:tc>
          <w:tcPr>
            <w:tcW w:w="1418" w:type="dxa"/>
          </w:tcPr>
          <w:p w14:paraId="03EBF351" w14:textId="77777777" w:rsidR="00AF38CF" w:rsidRDefault="00AF38CF" w:rsidP="0066301C">
            <w:r>
              <w:t>-5.647</w:t>
            </w:r>
          </w:p>
        </w:tc>
        <w:tc>
          <w:tcPr>
            <w:tcW w:w="1559" w:type="dxa"/>
          </w:tcPr>
          <w:p w14:paraId="0DE21BCF" w14:textId="77777777" w:rsidR="00AF38CF" w:rsidRDefault="00AF38CF" w:rsidP="0066301C">
            <w:r>
              <w:t>-5.634</w:t>
            </w:r>
          </w:p>
        </w:tc>
        <w:tc>
          <w:tcPr>
            <w:tcW w:w="1559" w:type="dxa"/>
          </w:tcPr>
          <w:p w14:paraId="36517C36" w14:textId="77777777" w:rsidR="00AF38CF" w:rsidRDefault="00AF38CF" w:rsidP="0066301C">
            <w:r>
              <w:t>-2.371</w:t>
            </w:r>
          </w:p>
        </w:tc>
        <w:tc>
          <w:tcPr>
            <w:tcW w:w="1560" w:type="dxa"/>
          </w:tcPr>
          <w:p w14:paraId="6F16FD4E" w14:textId="77777777" w:rsidR="00AF38CF" w:rsidRPr="009C021E" w:rsidRDefault="00AF38CF" w:rsidP="0066301C">
            <w:r w:rsidRPr="009C021E">
              <w:t>-3.544</w:t>
            </w:r>
          </w:p>
        </w:tc>
        <w:tc>
          <w:tcPr>
            <w:tcW w:w="1559" w:type="dxa"/>
          </w:tcPr>
          <w:p w14:paraId="6000836F" w14:textId="77777777" w:rsidR="00AF38CF" w:rsidRDefault="00AF38CF" w:rsidP="0066301C">
            <w:r>
              <w:t>-6.953</w:t>
            </w:r>
          </w:p>
        </w:tc>
        <w:tc>
          <w:tcPr>
            <w:tcW w:w="1558" w:type="dxa"/>
          </w:tcPr>
          <w:p w14:paraId="0EBF1AF6" w14:textId="77777777" w:rsidR="00AF38CF" w:rsidRDefault="00AF38CF" w:rsidP="0066301C">
            <w:r>
              <w:t>-6.909</w:t>
            </w:r>
          </w:p>
        </w:tc>
      </w:tr>
      <w:tr w:rsidR="00AF38CF" w14:paraId="1ACB809D" w14:textId="77777777" w:rsidTr="009B3C83">
        <w:tc>
          <w:tcPr>
            <w:tcW w:w="1985" w:type="dxa"/>
          </w:tcPr>
          <w:p w14:paraId="65F19F7A" w14:textId="77777777" w:rsidR="00AF38CF" w:rsidRDefault="00AF38CF" w:rsidP="0066301C">
            <w:r>
              <w:t>LNREER</w:t>
            </w:r>
          </w:p>
        </w:tc>
        <w:tc>
          <w:tcPr>
            <w:tcW w:w="1418" w:type="dxa"/>
          </w:tcPr>
          <w:p w14:paraId="01800083" w14:textId="77777777" w:rsidR="00AF38CF" w:rsidRDefault="00AF38CF" w:rsidP="0066301C">
            <w:r>
              <w:t>-1.675</w:t>
            </w:r>
          </w:p>
        </w:tc>
        <w:tc>
          <w:tcPr>
            <w:tcW w:w="1559" w:type="dxa"/>
          </w:tcPr>
          <w:p w14:paraId="26A0585D" w14:textId="77777777" w:rsidR="00AF38CF" w:rsidRDefault="00AF38CF" w:rsidP="0066301C">
            <w:r>
              <w:t>-1.391</w:t>
            </w:r>
          </w:p>
        </w:tc>
        <w:tc>
          <w:tcPr>
            <w:tcW w:w="1418" w:type="dxa"/>
          </w:tcPr>
          <w:p w14:paraId="706AB928" w14:textId="77777777" w:rsidR="00AF38CF" w:rsidRDefault="00AF38CF" w:rsidP="0066301C">
            <w:r>
              <w:t>-6.675</w:t>
            </w:r>
          </w:p>
        </w:tc>
        <w:tc>
          <w:tcPr>
            <w:tcW w:w="1559" w:type="dxa"/>
          </w:tcPr>
          <w:p w14:paraId="494E22E9" w14:textId="77777777" w:rsidR="00AF38CF" w:rsidRDefault="00AF38CF" w:rsidP="0066301C">
            <w:r>
              <w:t>-6.737</w:t>
            </w:r>
          </w:p>
        </w:tc>
        <w:tc>
          <w:tcPr>
            <w:tcW w:w="1559" w:type="dxa"/>
          </w:tcPr>
          <w:p w14:paraId="559E321D" w14:textId="77777777" w:rsidR="00AF38CF" w:rsidRDefault="00AF38CF" w:rsidP="0066301C">
            <w:r>
              <w:t>-1.675</w:t>
            </w:r>
          </w:p>
        </w:tc>
        <w:tc>
          <w:tcPr>
            <w:tcW w:w="1560" w:type="dxa"/>
          </w:tcPr>
          <w:p w14:paraId="30F56AD6" w14:textId="77777777" w:rsidR="00AF38CF" w:rsidRDefault="00AF38CF" w:rsidP="0066301C">
            <w:r>
              <w:t>-1.485</w:t>
            </w:r>
          </w:p>
        </w:tc>
        <w:tc>
          <w:tcPr>
            <w:tcW w:w="1559" w:type="dxa"/>
          </w:tcPr>
          <w:p w14:paraId="52106796" w14:textId="77777777" w:rsidR="00AF38CF" w:rsidRDefault="00AF38CF" w:rsidP="0066301C">
            <w:r>
              <w:t>-6.657</w:t>
            </w:r>
          </w:p>
        </w:tc>
        <w:tc>
          <w:tcPr>
            <w:tcW w:w="1558" w:type="dxa"/>
          </w:tcPr>
          <w:p w14:paraId="5A62C925" w14:textId="77777777" w:rsidR="00AF38CF" w:rsidRDefault="00AF38CF" w:rsidP="0066301C">
            <w:r>
              <w:t>-6.725</w:t>
            </w:r>
          </w:p>
        </w:tc>
      </w:tr>
      <w:tr w:rsidR="00AF38CF" w14:paraId="0106AA22" w14:textId="77777777" w:rsidTr="009B3C83">
        <w:tc>
          <w:tcPr>
            <w:tcW w:w="1985" w:type="dxa"/>
          </w:tcPr>
          <w:p w14:paraId="0C11B74B" w14:textId="77777777" w:rsidR="00AF38CF" w:rsidRDefault="00AF38CF" w:rsidP="0066301C">
            <w:r>
              <w:t>LNDI</w:t>
            </w:r>
          </w:p>
        </w:tc>
        <w:tc>
          <w:tcPr>
            <w:tcW w:w="1418" w:type="dxa"/>
          </w:tcPr>
          <w:p w14:paraId="1EB16AD3" w14:textId="77777777" w:rsidR="00AF38CF" w:rsidRDefault="00AF38CF" w:rsidP="0066301C">
            <w:r>
              <w:t>-0.144</w:t>
            </w:r>
          </w:p>
        </w:tc>
        <w:tc>
          <w:tcPr>
            <w:tcW w:w="1559" w:type="dxa"/>
          </w:tcPr>
          <w:p w14:paraId="175BEB6F" w14:textId="77777777" w:rsidR="00AF38CF" w:rsidRDefault="00AF38CF" w:rsidP="0066301C">
            <w:r>
              <w:t>-2.451</w:t>
            </w:r>
          </w:p>
        </w:tc>
        <w:tc>
          <w:tcPr>
            <w:tcW w:w="1418" w:type="dxa"/>
          </w:tcPr>
          <w:p w14:paraId="3C63BF71" w14:textId="77777777" w:rsidR="00AF38CF" w:rsidRDefault="00AF38CF" w:rsidP="0066301C">
            <w:r>
              <w:t>-5.509</w:t>
            </w:r>
          </w:p>
        </w:tc>
        <w:tc>
          <w:tcPr>
            <w:tcW w:w="1559" w:type="dxa"/>
          </w:tcPr>
          <w:p w14:paraId="59B41BC7" w14:textId="77777777" w:rsidR="00AF38CF" w:rsidRDefault="00AF38CF" w:rsidP="0066301C">
            <w:r>
              <w:t>-5.478</w:t>
            </w:r>
          </w:p>
        </w:tc>
        <w:tc>
          <w:tcPr>
            <w:tcW w:w="1559" w:type="dxa"/>
          </w:tcPr>
          <w:p w14:paraId="6D9A974D" w14:textId="77777777" w:rsidR="00AF38CF" w:rsidRDefault="00AF38CF" w:rsidP="0066301C">
            <w:r>
              <w:t>-0.197</w:t>
            </w:r>
          </w:p>
        </w:tc>
        <w:tc>
          <w:tcPr>
            <w:tcW w:w="1560" w:type="dxa"/>
          </w:tcPr>
          <w:p w14:paraId="5EAB6865" w14:textId="77777777" w:rsidR="00AF38CF" w:rsidRDefault="00AF38CF" w:rsidP="0066301C">
            <w:r>
              <w:t>-2.514</w:t>
            </w:r>
          </w:p>
        </w:tc>
        <w:tc>
          <w:tcPr>
            <w:tcW w:w="1559" w:type="dxa"/>
          </w:tcPr>
          <w:p w14:paraId="70D0DB9B" w14:textId="77777777" w:rsidR="00AF38CF" w:rsidRDefault="00AF38CF" w:rsidP="0066301C">
            <w:r>
              <w:t>-5.495</w:t>
            </w:r>
          </w:p>
        </w:tc>
        <w:tc>
          <w:tcPr>
            <w:tcW w:w="1558" w:type="dxa"/>
          </w:tcPr>
          <w:p w14:paraId="1785BF40" w14:textId="77777777" w:rsidR="00AF38CF" w:rsidRDefault="00AF38CF" w:rsidP="0066301C">
            <w:r>
              <w:t>-5.464</w:t>
            </w:r>
          </w:p>
        </w:tc>
      </w:tr>
      <w:tr w:rsidR="00AF38CF" w14:paraId="5B35F448" w14:textId="77777777" w:rsidTr="009B3C83">
        <w:tc>
          <w:tcPr>
            <w:tcW w:w="1985" w:type="dxa"/>
          </w:tcPr>
          <w:p w14:paraId="77B99072" w14:textId="77777777" w:rsidR="00AF38CF" w:rsidRDefault="00AF38CF" w:rsidP="0066301C">
            <w:r>
              <w:t>Partners</w:t>
            </w:r>
          </w:p>
        </w:tc>
        <w:tc>
          <w:tcPr>
            <w:tcW w:w="1418" w:type="dxa"/>
          </w:tcPr>
          <w:p w14:paraId="24E76B2A" w14:textId="77777777" w:rsidR="00AF38CF" w:rsidRDefault="00AF38CF" w:rsidP="0066301C">
            <w:r>
              <w:t>-1.603</w:t>
            </w:r>
          </w:p>
        </w:tc>
        <w:tc>
          <w:tcPr>
            <w:tcW w:w="1559" w:type="dxa"/>
          </w:tcPr>
          <w:p w14:paraId="5D06F21D" w14:textId="77777777" w:rsidR="00AF38CF" w:rsidRDefault="00AF38CF" w:rsidP="0066301C">
            <w:r>
              <w:t>-2.677</w:t>
            </w:r>
          </w:p>
        </w:tc>
        <w:tc>
          <w:tcPr>
            <w:tcW w:w="1418" w:type="dxa"/>
          </w:tcPr>
          <w:p w14:paraId="6E8323CA" w14:textId="77777777" w:rsidR="00AF38CF" w:rsidRDefault="00AF38CF" w:rsidP="0066301C">
            <w:r>
              <w:t>-4.957</w:t>
            </w:r>
          </w:p>
        </w:tc>
        <w:tc>
          <w:tcPr>
            <w:tcW w:w="1559" w:type="dxa"/>
          </w:tcPr>
          <w:p w14:paraId="3800F3BF" w14:textId="77777777" w:rsidR="00AF38CF" w:rsidRDefault="00AF38CF" w:rsidP="0066301C">
            <w:r>
              <w:t>-5.493</w:t>
            </w:r>
          </w:p>
        </w:tc>
        <w:tc>
          <w:tcPr>
            <w:tcW w:w="1559" w:type="dxa"/>
          </w:tcPr>
          <w:p w14:paraId="1793A781" w14:textId="77777777" w:rsidR="00AF38CF" w:rsidRDefault="00AF38CF" w:rsidP="0066301C">
            <w:r>
              <w:t>-2.318</w:t>
            </w:r>
          </w:p>
        </w:tc>
        <w:tc>
          <w:tcPr>
            <w:tcW w:w="1560" w:type="dxa"/>
          </w:tcPr>
          <w:p w14:paraId="168DAD6C" w14:textId="77777777" w:rsidR="00AF38CF" w:rsidRDefault="00AF38CF" w:rsidP="0066301C">
            <w:r>
              <w:t>-2.337</w:t>
            </w:r>
          </w:p>
        </w:tc>
        <w:tc>
          <w:tcPr>
            <w:tcW w:w="1559" w:type="dxa"/>
          </w:tcPr>
          <w:p w14:paraId="5442CC7E" w14:textId="77777777" w:rsidR="00AF38CF" w:rsidRDefault="00AF38CF" w:rsidP="0066301C">
            <w:r>
              <w:t>-5.315</w:t>
            </w:r>
          </w:p>
        </w:tc>
        <w:tc>
          <w:tcPr>
            <w:tcW w:w="1558" w:type="dxa"/>
          </w:tcPr>
          <w:p w14:paraId="21ABE9D2" w14:textId="77777777" w:rsidR="00AF38CF" w:rsidRDefault="00AF38CF" w:rsidP="0066301C">
            <w:r>
              <w:t>-7.053</w:t>
            </w:r>
          </w:p>
        </w:tc>
      </w:tr>
      <w:tr w:rsidR="00AF38CF" w14:paraId="72D23AF0" w14:textId="77777777" w:rsidTr="009B3C83">
        <w:tc>
          <w:tcPr>
            <w:tcW w:w="14175" w:type="dxa"/>
            <w:gridSpan w:val="9"/>
          </w:tcPr>
          <w:p w14:paraId="3FE94393" w14:textId="77777777" w:rsidR="00AF38CF" w:rsidRDefault="00AF38CF" w:rsidP="0066301C">
            <w:pPr>
              <w:jc w:val="center"/>
            </w:pPr>
            <w:r>
              <w:rPr>
                <w:b/>
                <w:bCs/>
              </w:rPr>
              <w:t>Partners</w:t>
            </w:r>
          </w:p>
        </w:tc>
      </w:tr>
      <w:tr w:rsidR="00AF38CF" w14:paraId="6B018615" w14:textId="77777777" w:rsidTr="009B3C83">
        <w:tc>
          <w:tcPr>
            <w:tcW w:w="1985" w:type="dxa"/>
          </w:tcPr>
          <w:p w14:paraId="062BEF8B" w14:textId="77777777" w:rsidR="00AF38CF" w:rsidRPr="00D05CB2" w:rsidRDefault="00AF38CF" w:rsidP="0066301C">
            <w:pPr>
              <w:rPr>
                <w:b/>
                <w:bCs/>
              </w:rPr>
            </w:pPr>
          </w:p>
        </w:tc>
        <w:tc>
          <w:tcPr>
            <w:tcW w:w="1418" w:type="dxa"/>
          </w:tcPr>
          <w:p w14:paraId="5E915FC4" w14:textId="77777777" w:rsidR="00AF38CF" w:rsidRDefault="00AF38CF" w:rsidP="0066301C">
            <w:r>
              <w:t>ADF Test</w:t>
            </w:r>
          </w:p>
        </w:tc>
        <w:tc>
          <w:tcPr>
            <w:tcW w:w="1559" w:type="dxa"/>
          </w:tcPr>
          <w:p w14:paraId="0A13CBDB" w14:textId="77777777" w:rsidR="00AF38CF" w:rsidRDefault="00AF38CF" w:rsidP="0066301C">
            <w:r>
              <w:t>PP Test</w:t>
            </w:r>
          </w:p>
        </w:tc>
        <w:tc>
          <w:tcPr>
            <w:tcW w:w="1418" w:type="dxa"/>
          </w:tcPr>
          <w:p w14:paraId="34804862" w14:textId="77777777" w:rsidR="00AF38CF" w:rsidRDefault="00AF38CF" w:rsidP="0066301C"/>
        </w:tc>
        <w:tc>
          <w:tcPr>
            <w:tcW w:w="1559" w:type="dxa"/>
          </w:tcPr>
          <w:p w14:paraId="38659771" w14:textId="77777777" w:rsidR="00AF38CF" w:rsidRDefault="00AF38CF" w:rsidP="0066301C"/>
        </w:tc>
        <w:tc>
          <w:tcPr>
            <w:tcW w:w="1559" w:type="dxa"/>
          </w:tcPr>
          <w:p w14:paraId="2C6F9A9A" w14:textId="77777777" w:rsidR="00AF38CF" w:rsidRDefault="00AF38CF" w:rsidP="0066301C"/>
        </w:tc>
        <w:tc>
          <w:tcPr>
            <w:tcW w:w="1560" w:type="dxa"/>
          </w:tcPr>
          <w:p w14:paraId="508AC389" w14:textId="77777777" w:rsidR="00AF38CF" w:rsidRDefault="00AF38CF" w:rsidP="0066301C"/>
        </w:tc>
        <w:tc>
          <w:tcPr>
            <w:tcW w:w="1559" w:type="dxa"/>
          </w:tcPr>
          <w:p w14:paraId="767C4472" w14:textId="77777777" w:rsidR="00AF38CF" w:rsidRDefault="00AF38CF" w:rsidP="0066301C"/>
        </w:tc>
        <w:tc>
          <w:tcPr>
            <w:tcW w:w="1558" w:type="dxa"/>
          </w:tcPr>
          <w:p w14:paraId="185AB5EA" w14:textId="77777777" w:rsidR="00AF38CF" w:rsidRDefault="00AF38CF" w:rsidP="0066301C"/>
        </w:tc>
      </w:tr>
      <w:tr w:rsidR="00AF38CF" w14:paraId="474E551C" w14:textId="77777777" w:rsidTr="009B3C83">
        <w:tc>
          <w:tcPr>
            <w:tcW w:w="1985" w:type="dxa"/>
          </w:tcPr>
          <w:p w14:paraId="3481B6AF" w14:textId="77777777" w:rsidR="00AF38CF" w:rsidRPr="00D05CB2" w:rsidRDefault="00AF38CF" w:rsidP="0066301C">
            <w:pPr>
              <w:rPr>
                <w:b/>
                <w:bCs/>
              </w:rPr>
            </w:pPr>
          </w:p>
        </w:tc>
        <w:tc>
          <w:tcPr>
            <w:tcW w:w="2977" w:type="dxa"/>
            <w:gridSpan w:val="2"/>
          </w:tcPr>
          <w:p w14:paraId="6F4A3681" w14:textId="77777777" w:rsidR="00AF38CF" w:rsidRDefault="00AF38CF" w:rsidP="0066301C">
            <w:r>
              <w:t>Level</w:t>
            </w:r>
          </w:p>
        </w:tc>
        <w:tc>
          <w:tcPr>
            <w:tcW w:w="2977" w:type="dxa"/>
            <w:gridSpan w:val="2"/>
          </w:tcPr>
          <w:p w14:paraId="0D19F864" w14:textId="77777777" w:rsidR="00AF38CF" w:rsidRDefault="00AF38CF" w:rsidP="0066301C">
            <w:r>
              <w:t>First Difference</w:t>
            </w:r>
          </w:p>
        </w:tc>
        <w:tc>
          <w:tcPr>
            <w:tcW w:w="3119" w:type="dxa"/>
            <w:gridSpan w:val="2"/>
          </w:tcPr>
          <w:p w14:paraId="385ABBD1" w14:textId="77777777" w:rsidR="00AF38CF" w:rsidRDefault="00AF38CF" w:rsidP="0066301C">
            <w:r>
              <w:t>Level</w:t>
            </w:r>
          </w:p>
        </w:tc>
        <w:tc>
          <w:tcPr>
            <w:tcW w:w="3117" w:type="dxa"/>
            <w:gridSpan w:val="2"/>
          </w:tcPr>
          <w:p w14:paraId="0BE41034" w14:textId="77777777" w:rsidR="00AF38CF" w:rsidRDefault="00AF38CF" w:rsidP="0066301C">
            <w:r>
              <w:t>First Difference</w:t>
            </w:r>
          </w:p>
        </w:tc>
      </w:tr>
      <w:tr w:rsidR="00AF38CF" w14:paraId="755403E3" w14:textId="77777777" w:rsidTr="009B3C83">
        <w:tc>
          <w:tcPr>
            <w:tcW w:w="1985" w:type="dxa"/>
          </w:tcPr>
          <w:p w14:paraId="2323F22F" w14:textId="77777777" w:rsidR="00AF38CF" w:rsidRPr="00D05CB2" w:rsidRDefault="00AF38CF" w:rsidP="0066301C">
            <w:pPr>
              <w:rPr>
                <w:b/>
                <w:bCs/>
              </w:rPr>
            </w:pPr>
            <w:r>
              <w:t>Variables</w:t>
            </w:r>
          </w:p>
        </w:tc>
        <w:tc>
          <w:tcPr>
            <w:tcW w:w="1418" w:type="dxa"/>
          </w:tcPr>
          <w:p w14:paraId="350EB4D7" w14:textId="77777777" w:rsidR="00AF38CF" w:rsidRDefault="00AF38CF" w:rsidP="0066301C">
            <w:r>
              <w:t>Constant</w:t>
            </w:r>
          </w:p>
        </w:tc>
        <w:tc>
          <w:tcPr>
            <w:tcW w:w="1559" w:type="dxa"/>
          </w:tcPr>
          <w:p w14:paraId="103C65B0" w14:textId="77777777" w:rsidR="00AF38CF" w:rsidRDefault="00AF38CF" w:rsidP="0066301C">
            <w:r>
              <w:t>Trend &amp; Intercept</w:t>
            </w:r>
          </w:p>
        </w:tc>
        <w:tc>
          <w:tcPr>
            <w:tcW w:w="1418" w:type="dxa"/>
          </w:tcPr>
          <w:p w14:paraId="7815D2A6" w14:textId="77777777" w:rsidR="00AF38CF" w:rsidRDefault="00AF38CF" w:rsidP="0066301C">
            <w:r>
              <w:t>Constant</w:t>
            </w:r>
          </w:p>
        </w:tc>
        <w:tc>
          <w:tcPr>
            <w:tcW w:w="1559" w:type="dxa"/>
          </w:tcPr>
          <w:p w14:paraId="783F0F9B" w14:textId="77777777" w:rsidR="00AF38CF" w:rsidRDefault="00AF38CF" w:rsidP="0066301C">
            <w:r>
              <w:t>Trend &amp; Intercept</w:t>
            </w:r>
          </w:p>
        </w:tc>
        <w:tc>
          <w:tcPr>
            <w:tcW w:w="1559" w:type="dxa"/>
          </w:tcPr>
          <w:p w14:paraId="26469D54" w14:textId="77777777" w:rsidR="00AF38CF" w:rsidRDefault="00AF38CF" w:rsidP="0066301C">
            <w:r>
              <w:t>Constant</w:t>
            </w:r>
          </w:p>
        </w:tc>
        <w:tc>
          <w:tcPr>
            <w:tcW w:w="1560" w:type="dxa"/>
          </w:tcPr>
          <w:p w14:paraId="7E0E6844" w14:textId="77777777" w:rsidR="00AF38CF" w:rsidRDefault="00AF38CF" w:rsidP="0066301C">
            <w:r>
              <w:t>Trend &amp; Intercept</w:t>
            </w:r>
          </w:p>
        </w:tc>
        <w:tc>
          <w:tcPr>
            <w:tcW w:w="1559" w:type="dxa"/>
          </w:tcPr>
          <w:p w14:paraId="09C30738" w14:textId="77777777" w:rsidR="00AF38CF" w:rsidRDefault="00AF38CF" w:rsidP="0066301C">
            <w:r>
              <w:t>Constant</w:t>
            </w:r>
          </w:p>
        </w:tc>
        <w:tc>
          <w:tcPr>
            <w:tcW w:w="1558" w:type="dxa"/>
          </w:tcPr>
          <w:p w14:paraId="19F8B568" w14:textId="77777777" w:rsidR="00AF38CF" w:rsidRDefault="00AF38CF" w:rsidP="0066301C">
            <w:r>
              <w:t>Trend &amp; Intercept</w:t>
            </w:r>
          </w:p>
        </w:tc>
      </w:tr>
      <w:tr w:rsidR="00AF38CF" w14:paraId="1B5B5E0E" w14:textId="77777777" w:rsidTr="009B3C83">
        <w:tc>
          <w:tcPr>
            <w:tcW w:w="1985" w:type="dxa"/>
          </w:tcPr>
          <w:p w14:paraId="332602A4" w14:textId="77777777" w:rsidR="00AF38CF" w:rsidRDefault="00AF38CF" w:rsidP="0066301C">
            <w:r>
              <w:t>LnChinaFI</w:t>
            </w:r>
          </w:p>
        </w:tc>
        <w:tc>
          <w:tcPr>
            <w:tcW w:w="1418" w:type="dxa"/>
          </w:tcPr>
          <w:p w14:paraId="54402C10" w14:textId="77777777" w:rsidR="00AF38CF" w:rsidRDefault="00AF38CF" w:rsidP="0066301C">
            <w:r>
              <w:t>1.666</w:t>
            </w:r>
          </w:p>
        </w:tc>
        <w:tc>
          <w:tcPr>
            <w:tcW w:w="1559" w:type="dxa"/>
          </w:tcPr>
          <w:p w14:paraId="3CE73D86" w14:textId="77777777" w:rsidR="00AF38CF" w:rsidRDefault="00AF38CF" w:rsidP="0066301C">
            <w:r>
              <w:t>-2.202</w:t>
            </w:r>
          </w:p>
        </w:tc>
        <w:tc>
          <w:tcPr>
            <w:tcW w:w="1418" w:type="dxa"/>
          </w:tcPr>
          <w:p w14:paraId="0E30241C" w14:textId="77777777" w:rsidR="00AF38CF" w:rsidRDefault="00AF38CF" w:rsidP="0066301C">
            <w:r>
              <w:t>-3.714</w:t>
            </w:r>
          </w:p>
        </w:tc>
        <w:tc>
          <w:tcPr>
            <w:tcW w:w="1559" w:type="dxa"/>
          </w:tcPr>
          <w:p w14:paraId="67E60542" w14:textId="77777777" w:rsidR="00AF38CF" w:rsidRDefault="00AF38CF" w:rsidP="0066301C">
            <w:r>
              <w:t>-3.716</w:t>
            </w:r>
          </w:p>
        </w:tc>
        <w:tc>
          <w:tcPr>
            <w:tcW w:w="1559" w:type="dxa"/>
          </w:tcPr>
          <w:p w14:paraId="7E64B2ED" w14:textId="77777777" w:rsidR="00AF38CF" w:rsidRDefault="00AF38CF" w:rsidP="0066301C">
            <w:r>
              <w:t>0.892</w:t>
            </w:r>
          </w:p>
        </w:tc>
        <w:tc>
          <w:tcPr>
            <w:tcW w:w="1560" w:type="dxa"/>
          </w:tcPr>
          <w:p w14:paraId="78313B42" w14:textId="77777777" w:rsidR="00AF38CF" w:rsidRDefault="00AF38CF" w:rsidP="0066301C">
            <w:r>
              <w:t>-2.159</w:t>
            </w:r>
          </w:p>
        </w:tc>
        <w:tc>
          <w:tcPr>
            <w:tcW w:w="1559" w:type="dxa"/>
          </w:tcPr>
          <w:p w14:paraId="13BB5B46" w14:textId="77777777" w:rsidR="00AF38CF" w:rsidRDefault="00AF38CF" w:rsidP="0066301C">
            <w:r>
              <w:t>-3.714</w:t>
            </w:r>
          </w:p>
        </w:tc>
        <w:tc>
          <w:tcPr>
            <w:tcW w:w="1558" w:type="dxa"/>
          </w:tcPr>
          <w:p w14:paraId="15A94F7E" w14:textId="77777777" w:rsidR="00AF38CF" w:rsidRDefault="00AF38CF" w:rsidP="0066301C">
            <w:r>
              <w:t>-3.716</w:t>
            </w:r>
          </w:p>
        </w:tc>
      </w:tr>
      <w:tr w:rsidR="00AF38CF" w14:paraId="6F19C993" w14:textId="77777777" w:rsidTr="009B3C83">
        <w:tc>
          <w:tcPr>
            <w:tcW w:w="1985" w:type="dxa"/>
          </w:tcPr>
          <w:p w14:paraId="1B340B4A" w14:textId="77777777" w:rsidR="00AF38CF" w:rsidRDefault="00AF38CF" w:rsidP="0066301C">
            <w:r>
              <w:t>LnFranceFI</w:t>
            </w:r>
          </w:p>
        </w:tc>
        <w:tc>
          <w:tcPr>
            <w:tcW w:w="1418" w:type="dxa"/>
          </w:tcPr>
          <w:p w14:paraId="36A1E54F" w14:textId="77777777" w:rsidR="00AF38CF" w:rsidRDefault="00AF38CF" w:rsidP="0066301C">
            <w:r>
              <w:t>-0.903</w:t>
            </w:r>
          </w:p>
        </w:tc>
        <w:tc>
          <w:tcPr>
            <w:tcW w:w="1559" w:type="dxa"/>
          </w:tcPr>
          <w:p w14:paraId="7BE6CFDA" w14:textId="77777777" w:rsidR="00AF38CF" w:rsidRDefault="00AF38CF" w:rsidP="0066301C">
            <w:r>
              <w:t>-1.500</w:t>
            </w:r>
          </w:p>
        </w:tc>
        <w:tc>
          <w:tcPr>
            <w:tcW w:w="1418" w:type="dxa"/>
          </w:tcPr>
          <w:p w14:paraId="60C0DB53" w14:textId="77777777" w:rsidR="00AF38CF" w:rsidRDefault="00AF38CF" w:rsidP="0066301C">
            <w:r>
              <w:t>-4.643</w:t>
            </w:r>
          </w:p>
        </w:tc>
        <w:tc>
          <w:tcPr>
            <w:tcW w:w="1559" w:type="dxa"/>
          </w:tcPr>
          <w:p w14:paraId="61AAE62D" w14:textId="77777777" w:rsidR="00AF38CF" w:rsidRDefault="00AF38CF" w:rsidP="0066301C">
            <w:r>
              <w:t>-4.677</w:t>
            </w:r>
          </w:p>
        </w:tc>
        <w:tc>
          <w:tcPr>
            <w:tcW w:w="1559" w:type="dxa"/>
          </w:tcPr>
          <w:p w14:paraId="744D432E" w14:textId="77777777" w:rsidR="00AF38CF" w:rsidRDefault="00AF38CF" w:rsidP="0066301C">
            <w:r>
              <w:t>-0.939</w:t>
            </w:r>
          </w:p>
        </w:tc>
        <w:tc>
          <w:tcPr>
            <w:tcW w:w="1560" w:type="dxa"/>
          </w:tcPr>
          <w:p w14:paraId="53173F0F" w14:textId="77777777" w:rsidR="00AF38CF" w:rsidRDefault="00AF38CF" w:rsidP="0066301C">
            <w:r>
              <w:t>-1.894</w:t>
            </w:r>
          </w:p>
        </w:tc>
        <w:tc>
          <w:tcPr>
            <w:tcW w:w="1559" w:type="dxa"/>
          </w:tcPr>
          <w:p w14:paraId="3DDB0C53" w14:textId="77777777" w:rsidR="00AF38CF" w:rsidRDefault="00AF38CF" w:rsidP="0066301C">
            <w:r>
              <w:t>-4.583</w:t>
            </w:r>
          </w:p>
        </w:tc>
        <w:tc>
          <w:tcPr>
            <w:tcW w:w="1558" w:type="dxa"/>
          </w:tcPr>
          <w:p w14:paraId="177498E2" w14:textId="77777777" w:rsidR="00AF38CF" w:rsidRDefault="00AF38CF" w:rsidP="0066301C">
            <w:r>
              <w:t>-4.855</w:t>
            </w:r>
          </w:p>
        </w:tc>
      </w:tr>
      <w:tr w:rsidR="00AF38CF" w14:paraId="152B2002" w14:textId="77777777" w:rsidTr="009B3C83">
        <w:tc>
          <w:tcPr>
            <w:tcW w:w="1985" w:type="dxa"/>
          </w:tcPr>
          <w:p w14:paraId="4B570470" w14:textId="77777777" w:rsidR="00AF38CF" w:rsidRDefault="00AF38CF" w:rsidP="0066301C">
            <w:r>
              <w:t>LnIndiaFI</w:t>
            </w:r>
          </w:p>
        </w:tc>
        <w:tc>
          <w:tcPr>
            <w:tcW w:w="1418" w:type="dxa"/>
          </w:tcPr>
          <w:p w14:paraId="6452163A" w14:textId="77777777" w:rsidR="00AF38CF" w:rsidRDefault="00AF38CF" w:rsidP="0066301C">
            <w:r>
              <w:t>1.136</w:t>
            </w:r>
          </w:p>
        </w:tc>
        <w:tc>
          <w:tcPr>
            <w:tcW w:w="1559" w:type="dxa"/>
          </w:tcPr>
          <w:p w14:paraId="3C2B8B3C" w14:textId="77777777" w:rsidR="00AF38CF" w:rsidRDefault="00AF38CF" w:rsidP="0066301C">
            <w:r>
              <w:t>-1.531</w:t>
            </w:r>
          </w:p>
        </w:tc>
        <w:tc>
          <w:tcPr>
            <w:tcW w:w="1418" w:type="dxa"/>
          </w:tcPr>
          <w:p w14:paraId="6D89404E" w14:textId="77777777" w:rsidR="00AF38CF" w:rsidRDefault="00AF38CF" w:rsidP="0066301C">
            <w:r>
              <w:t>-5.688</w:t>
            </w:r>
          </w:p>
        </w:tc>
        <w:tc>
          <w:tcPr>
            <w:tcW w:w="1559" w:type="dxa"/>
          </w:tcPr>
          <w:p w14:paraId="4574E36D" w14:textId="77777777" w:rsidR="00AF38CF" w:rsidRDefault="00AF38CF" w:rsidP="0066301C">
            <w:r>
              <w:t>-5.941</w:t>
            </w:r>
          </w:p>
        </w:tc>
        <w:tc>
          <w:tcPr>
            <w:tcW w:w="1559" w:type="dxa"/>
          </w:tcPr>
          <w:p w14:paraId="3045A670" w14:textId="77777777" w:rsidR="00AF38CF" w:rsidRDefault="00AF38CF" w:rsidP="0066301C">
            <w:r>
              <w:t>1.075</w:t>
            </w:r>
          </w:p>
        </w:tc>
        <w:tc>
          <w:tcPr>
            <w:tcW w:w="1560" w:type="dxa"/>
          </w:tcPr>
          <w:p w14:paraId="7B0EE85B" w14:textId="77777777" w:rsidR="00AF38CF" w:rsidRDefault="00AF38CF" w:rsidP="0066301C">
            <w:r>
              <w:t>-1.572</w:t>
            </w:r>
          </w:p>
        </w:tc>
        <w:tc>
          <w:tcPr>
            <w:tcW w:w="1559" w:type="dxa"/>
          </w:tcPr>
          <w:p w14:paraId="05F4EAD1" w14:textId="77777777" w:rsidR="00AF38CF" w:rsidRDefault="00AF38CF" w:rsidP="0066301C">
            <w:r>
              <w:t>-5.718</w:t>
            </w:r>
          </w:p>
        </w:tc>
        <w:tc>
          <w:tcPr>
            <w:tcW w:w="1558" w:type="dxa"/>
          </w:tcPr>
          <w:p w14:paraId="1FE0FBDD" w14:textId="77777777" w:rsidR="00AF38CF" w:rsidRDefault="00AF38CF" w:rsidP="0066301C">
            <w:r>
              <w:t>-5.959</w:t>
            </w:r>
          </w:p>
        </w:tc>
      </w:tr>
      <w:tr w:rsidR="00AF38CF" w14:paraId="550DCC6E" w14:textId="77777777" w:rsidTr="009B3C83">
        <w:tc>
          <w:tcPr>
            <w:tcW w:w="1985" w:type="dxa"/>
          </w:tcPr>
          <w:p w14:paraId="3277B495" w14:textId="77777777" w:rsidR="00AF38CF" w:rsidRDefault="00AF38CF" w:rsidP="0066301C">
            <w:r>
              <w:t>LNIrelandFI</w:t>
            </w:r>
          </w:p>
        </w:tc>
        <w:tc>
          <w:tcPr>
            <w:tcW w:w="1418" w:type="dxa"/>
          </w:tcPr>
          <w:p w14:paraId="35579963" w14:textId="77777777" w:rsidR="00AF38CF" w:rsidRDefault="00AF38CF" w:rsidP="0066301C">
            <w:r>
              <w:t>-0.391</w:t>
            </w:r>
          </w:p>
        </w:tc>
        <w:tc>
          <w:tcPr>
            <w:tcW w:w="1559" w:type="dxa"/>
          </w:tcPr>
          <w:p w14:paraId="7CA43BF5" w14:textId="77777777" w:rsidR="00AF38CF" w:rsidRDefault="00AF38CF" w:rsidP="0066301C">
            <w:r>
              <w:t>-1.517</w:t>
            </w:r>
          </w:p>
        </w:tc>
        <w:tc>
          <w:tcPr>
            <w:tcW w:w="1418" w:type="dxa"/>
          </w:tcPr>
          <w:p w14:paraId="439D33C5" w14:textId="77777777" w:rsidR="00AF38CF" w:rsidRDefault="00AF38CF" w:rsidP="0066301C">
            <w:r>
              <w:t>-4.491</w:t>
            </w:r>
          </w:p>
        </w:tc>
        <w:tc>
          <w:tcPr>
            <w:tcW w:w="1559" w:type="dxa"/>
          </w:tcPr>
          <w:p w14:paraId="00D7D986" w14:textId="77777777" w:rsidR="00AF38CF" w:rsidRDefault="00AF38CF" w:rsidP="0066301C">
            <w:r>
              <w:t>-4.455</w:t>
            </w:r>
          </w:p>
        </w:tc>
        <w:tc>
          <w:tcPr>
            <w:tcW w:w="1559" w:type="dxa"/>
          </w:tcPr>
          <w:p w14:paraId="73C08BB2" w14:textId="77777777" w:rsidR="00AF38CF" w:rsidRDefault="00AF38CF" w:rsidP="0066301C">
            <w:r>
              <w:t>-0.420</w:t>
            </w:r>
          </w:p>
        </w:tc>
        <w:tc>
          <w:tcPr>
            <w:tcW w:w="1560" w:type="dxa"/>
          </w:tcPr>
          <w:p w14:paraId="3CBC1756" w14:textId="77777777" w:rsidR="00AF38CF" w:rsidRDefault="00AF38CF" w:rsidP="0066301C">
            <w:r>
              <w:t>-1.881</w:t>
            </w:r>
          </w:p>
        </w:tc>
        <w:tc>
          <w:tcPr>
            <w:tcW w:w="1559" w:type="dxa"/>
          </w:tcPr>
          <w:p w14:paraId="16D8245F" w14:textId="77777777" w:rsidR="00AF38CF" w:rsidRDefault="00AF38CF" w:rsidP="0066301C">
            <w:r>
              <w:t>-4.425</w:t>
            </w:r>
          </w:p>
        </w:tc>
        <w:tc>
          <w:tcPr>
            <w:tcW w:w="1558" w:type="dxa"/>
          </w:tcPr>
          <w:p w14:paraId="7CF81A17" w14:textId="77777777" w:rsidR="00AF38CF" w:rsidRDefault="00AF38CF" w:rsidP="0066301C">
            <w:r>
              <w:t>-4.284</w:t>
            </w:r>
          </w:p>
        </w:tc>
      </w:tr>
      <w:tr w:rsidR="00AF38CF" w14:paraId="30D8AF58" w14:textId="77777777" w:rsidTr="009B3C83">
        <w:tc>
          <w:tcPr>
            <w:tcW w:w="1985" w:type="dxa"/>
          </w:tcPr>
          <w:p w14:paraId="0D687D58" w14:textId="77777777" w:rsidR="00AF38CF" w:rsidRDefault="00AF38CF" w:rsidP="0066301C">
            <w:r>
              <w:t>LNKoreaFI</w:t>
            </w:r>
          </w:p>
        </w:tc>
        <w:tc>
          <w:tcPr>
            <w:tcW w:w="1418" w:type="dxa"/>
          </w:tcPr>
          <w:p w14:paraId="7C9D433A" w14:textId="77777777" w:rsidR="00AF38CF" w:rsidRDefault="00AF38CF" w:rsidP="0066301C">
            <w:r>
              <w:t>-2.003</w:t>
            </w:r>
          </w:p>
        </w:tc>
        <w:tc>
          <w:tcPr>
            <w:tcW w:w="1559" w:type="dxa"/>
          </w:tcPr>
          <w:p w14:paraId="3828F2FE" w14:textId="77777777" w:rsidR="00AF38CF" w:rsidRDefault="00AF38CF" w:rsidP="0066301C">
            <w:r>
              <w:t>-1.790</w:t>
            </w:r>
          </w:p>
        </w:tc>
        <w:tc>
          <w:tcPr>
            <w:tcW w:w="1418" w:type="dxa"/>
          </w:tcPr>
          <w:p w14:paraId="15FEDBE8" w14:textId="77777777" w:rsidR="00AF38CF" w:rsidRDefault="00AF38CF" w:rsidP="0066301C">
            <w:r>
              <w:t>-4.411</w:t>
            </w:r>
          </w:p>
        </w:tc>
        <w:tc>
          <w:tcPr>
            <w:tcW w:w="1559" w:type="dxa"/>
          </w:tcPr>
          <w:p w14:paraId="6D4720C1" w14:textId="77777777" w:rsidR="00AF38CF" w:rsidRDefault="00AF38CF" w:rsidP="0066301C">
            <w:r>
              <w:t>-5.166</w:t>
            </w:r>
          </w:p>
        </w:tc>
        <w:tc>
          <w:tcPr>
            <w:tcW w:w="1559" w:type="dxa"/>
          </w:tcPr>
          <w:p w14:paraId="5CC08545" w14:textId="77777777" w:rsidR="00AF38CF" w:rsidRDefault="00AF38CF" w:rsidP="0066301C">
            <w:r>
              <w:t>-2.105</w:t>
            </w:r>
          </w:p>
        </w:tc>
        <w:tc>
          <w:tcPr>
            <w:tcW w:w="1560" w:type="dxa"/>
          </w:tcPr>
          <w:p w14:paraId="60C59D54" w14:textId="77777777" w:rsidR="00AF38CF" w:rsidRDefault="00AF38CF" w:rsidP="0066301C">
            <w:r>
              <w:t>-1.531</w:t>
            </w:r>
          </w:p>
        </w:tc>
        <w:tc>
          <w:tcPr>
            <w:tcW w:w="1559" w:type="dxa"/>
          </w:tcPr>
          <w:p w14:paraId="1831839F" w14:textId="77777777" w:rsidR="00AF38CF" w:rsidRDefault="00AF38CF" w:rsidP="0066301C">
            <w:r>
              <w:t>-4.935</w:t>
            </w:r>
          </w:p>
        </w:tc>
        <w:tc>
          <w:tcPr>
            <w:tcW w:w="1558" w:type="dxa"/>
          </w:tcPr>
          <w:p w14:paraId="3E933803" w14:textId="77777777" w:rsidR="00AF38CF" w:rsidRDefault="00AF38CF" w:rsidP="0066301C">
            <w:r>
              <w:t>-5.096</w:t>
            </w:r>
          </w:p>
        </w:tc>
      </w:tr>
      <w:tr w:rsidR="00AF38CF" w14:paraId="730AB41E" w14:textId="77777777" w:rsidTr="009B3C83">
        <w:tc>
          <w:tcPr>
            <w:tcW w:w="1985" w:type="dxa"/>
          </w:tcPr>
          <w:p w14:paraId="03CB9E29" w14:textId="77777777" w:rsidR="00AF38CF" w:rsidRDefault="00AF38CF" w:rsidP="0066301C">
            <w:r>
              <w:t>LNNepalFI</w:t>
            </w:r>
          </w:p>
        </w:tc>
        <w:tc>
          <w:tcPr>
            <w:tcW w:w="1418" w:type="dxa"/>
          </w:tcPr>
          <w:p w14:paraId="357F408B" w14:textId="77777777" w:rsidR="00AF38CF" w:rsidRDefault="00AF38CF" w:rsidP="0066301C">
            <w:r>
              <w:t>1.259</w:t>
            </w:r>
          </w:p>
        </w:tc>
        <w:tc>
          <w:tcPr>
            <w:tcW w:w="1559" w:type="dxa"/>
          </w:tcPr>
          <w:p w14:paraId="6DDBF06E" w14:textId="77777777" w:rsidR="00AF38CF" w:rsidRDefault="00AF38CF" w:rsidP="0066301C">
            <w:r>
              <w:t>-0.932</w:t>
            </w:r>
          </w:p>
        </w:tc>
        <w:tc>
          <w:tcPr>
            <w:tcW w:w="1418" w:type="dxa"/>
          </w:tcPr>
          <w:p w14:paraId="29A3A74B" w14:textId="77777777" w:rsidR="00AF38CF" w:rsidRDefault="00AF38CF" w:rsidP="0066301C">
            <w:r>
              <w:t>-5.517</w:t>
            </w:r>
          </w:p>
        </w:tc>
        <w:tc>
          <w:tcPr>
            <w:tcW w:w="1559" w:type="dxa"/>
          </w:tcPr>
          <w:p w14:paraId="0655C17D" w14:textId="77777777" w:rsidR="00AF38CF" w:rsidRDefault="00AF38CF" w:rsidP="0066301C">
            <w:r>
              <w:t>-5.978</w:t>
            </w:r>
          </w:p>
        </w:tc>
        <w:tc>
          <w:tcPr>
            <w:tcW w:w="1559" w:type="dxa"/>
          </w:tcPr>
          <w:p w14:paraId="22EC98B3" w14:textId="77777777" w:rsidR="00AF38CF" w:rsidRDefault="00AF38CF" w:rsidP="0066301C">
            <w:r>
              <w:t>1.248</w:t>
            </w:r>
          </w:p>
        </w:tc>
        <w:tc>
          <w:tcPr>
            <w:tcW w:w="1560" w:type="dxa"/>
          </w:tcPr>
          <w:p w14:paraId="69AADF05" w14:textId="77777777" w:rsidR="00AF38CF" w:rsidRDefault="00AF38CF" w:rsidP="0066301C">
            <w:r>
              <w:t>-0.924</w:t>
            </w:r>
          </w:p>
        </w:tc>
        <w:tc>
          <w:tcPr>
            <w:tcW w:w="1559" w:type="dxa"/>
          </w:tcPr>
          <w:p w14:paraId="5B3AB468" w14:textId="77777777" w:rsidR="00AF38CF" w:rsidRDefault="00AF38CF" w:rsidP="0066301C">
            <w:r>
              <w:t>-5.514</w:t>
            </w:r>
          </w:p>
        </w:tc>
        <w:tc>
          <w:tcPr>
            <w:tcW w:w="1558" w:type="dxa"/>
          </w:tcPr>
          <w:p w14:paraId="7627E1B4" w14:textId="77777777" w:rsidR="00AF38CF" w:rsidRDefault="00AF38CF" w:rsidP="0066301C">
            <w:r>
              <w:t>-5.979</w:t>
            </w:r>
          </w:p>
        </w:tc>
      </w:tr>
      <w:tr w:rsidR="00AF38CF" w14:paraId="5A026FEE" w14:textId="77777777" w:rsidTr="009B3C83">
        <w:tc>
          <w:tcPr>
            <w:tcW w:w="1985" w:type="dxa"/>
          </w:tcPr>
          <w:p w14:paraId="7CACDB4E" w14:textId="77777777" w:rsidR="00AF38CF" w:rsidRDefault="00AF38CF" w:rsidP="0066301C">
            <w:r>
              <w:t>LNNetherlandFI</w:t>
            </w:r>
          </w:p>
        </w:tc>
        <w:tc>
          <w:tcPr>
            <w:tcW w:w="1418" w:type="dxa"/>
          </w:tcPr>
          <w:p w14:paraId="0E663BA5" w14:textId="77777777" w:rsidR="00AF38CF" w:rsidRDefault="00AF38CF" w:rsidP="0066301C">
            <w:r>
              <w:t>-0.678</w:t>
            </w:r>
          </w:p>
        </w:tc>
        <w:tc>
          <w:tcPr>
            <w:tcW w:w="1559" w:type="dxa"/>
          </w:tcPr>
          <w:p w14:paraId="030AE99C" w14:textId="77777777" w:rsidR="00AF38CF" w:rsidRDefault="00AF38CF" w:rsidP="0066301C">
            <w:r>
              <w:t>-1.672</w:t>
            </w:r>
          </w:p>
        </w:tc>
        <w:tc>
          <w:tcPr>
            <w:tcW w:w="1418" w:type="dxa"/>
          </w:tcPr>
          <w:p w14:paraId="54B0AFC8" w14:textId="77777777" w:rsidR="00AF38CF" w:rsidRDefault="00AF38CF" w:rsidP="0066301C">
            <w:r>
              <w:t>-4.956</w:t>
            </w:r>
          </w:p>
        </w:tc>
        <w:tc>
          <w:tcPr>
            <w:tcW w:w="1559" w:type="dxa"/>
          </w:tcPr>
          <w:p w14:paraId="195468A6" w14:textId="77777777" w:rsidR="00AF38CF" w:rsidRDefault="00AF38CF" w:rsidP="0066301C">
            <w:r>
              <w:t>-4.969</w:t>
            </w:r>
          </w:p>
        </w:tc>
        <w:tc>
          <w:tcPr>
            <w:tcW w:w="1559" w:type="dxa"/>
          </w:tcPr>
          <w:p w14:paraId="563F5C61" w14:textId="77777777" w:rsidR="00AF38CF" w:rsidRDefault="00AF38CF" w:rsidP="0066301C">
            <w:r>
              <w:t>-0.719</w:t>
            </w:r>
          </w:p>
        </w:tc>
        <w:tc>
          <w:tcPr>
            <w:tcW w:w="1560" w:type="dxa"/>
          </w:tcPr>
          <w:p w14:paraId="57C7D84B" w14:textId="77777777" w:rsidR="00AF38CF" w:rsidRDefault="00AF38CF" w:rsidP="0066301C">
            <w:r>
              <w:t>-2.103</w:t>
            </w:r>
          </w:p>
        </w:tc>
        <w:tc>
          <w:tcPr>
            <w:tcW w:w="1559" w:type="dxa"/>
          </w:tcPr>
          <w:p w14:paraId="28C19408" w14:textId="77777777" w:rsidR="00AF38CF" w:rsidRDefault="00AF38CF" w:rsidP="0066301C">
            <w:r>
              <w:t>-4.921</w:t>
            </w:r>
          </w:p>
        </w:tc>
        <w:tc>
          <w:tcPr>
            <w:tcW w:w="1558" w:type="dxa"/>
          </w:tcPr>
          <w:p w14:paraId="2558C821" w14:textId="77777777" w:rsidR="00AF38CF" w:rsidRDefault="00AF38CF" w:rsidP="0066301C">
            <w:r>
              <w:t>-5.234</w:t>
            </w:r>
          </w:p>
        </w:tc>
      </w:tr>
      <w:tr w:rsidR="00AF38CF" w14:paraId="7708F478" w14:textId="77777777" w:rsidTr="009B3C83">
        <w:tc>
          <w:tcPr>
            <w:tcW w:w="1985" w:type="dxa"/>
          </w:tcPr>
          <w:p w14:paraId="2A8CE46A" w14:textId="77777777" w:rsidR="00AF38CF" w:rsidRDefault="00AF38CF" w:rsidP="0066301C">
            <w:r>
              <w:t>LNSpainFI</w:t>
            </w:r>
          </w:p>
        </w:tc>
        <w:tc>
          <w:tcPr>
            <w:tcW w:w="1418" w:type="dxa"/>
          </w:tcPr>
          <w:p w14:paraId="7A238002" w14:textId="77777777" w:rsidR="00AF38CF" w:rsidRDefault="00AF38CF" w:rsidP="0066301C">
            <w:r>
              <w:t>-0.966</w:t>
            </w:r>
          </w:p>
        </w:tc>
        <w:tc>
          <w:tcPr>
            <w:tcW w:w="1559" w:type="dxa"/>
          </w:tcPr>
          <w:p w14:paraId="3EF2D433" w14:textId="77777777" w:rsidR="00AF38CF" w:rsidRDefault="00AF38CF" w:rsidP="0066301C">
            <w:r>
              <w:t>-2.194</w:t>
            </w:r>
          </w:p>
        </w:tc>
        <w:tc>
          <w:tcPr>
            <w:tcW w:w="1418" w:type="dxa"/>
          </w:tcPr>
          <w:p w14:paraId="04C36B98" w14:textId="77777777" w:rsidR="00AF38CF" w:rsidRDefault="00AF38CF" w:rsidP="0066301C">
            <w:r>
              <w:t>-4.001</w:t>
            </w:r>
          </w:p>
        </w:tc>
        <w:tc>
          <w:tcPr>
            <w:tcW w:w="1559" w:type="dxa"/>
          </w:tcPr>
          <w:p w14:paraId="58034922" w14:textId="77777777" w:rsidR="00AF38CF" w:rsidRDefault="00AF38CF" w:rsidP="0066301C">
            <w:r>
              <w:t>-4.068</w:t>
            </w:r>
          </w:p>
        </w:tc>
        <w:tc>
          <w:tcPr>
            <w:tcW w:w="1559" w:type="dxa"/>
          </w:tcPr>
          <w:p w14:paraId="11198FEC" w14:textId="77777777" w:rsidR="00AF38CF" w:rsidRDefault="00AF38CF" w:rsidP="0066301C">
            <w:r>
              <w:t>-1.006</w:t>
            </w:r>
          </w:p>
        </w:tc>
        <w:tc>
          <w:tcPr>
            <w:tcW w:w="1560" w:type="dxa"/>
          </w:tcPr>
          <w:p w14:paraId="1CB2F9CC" w14:textId="77777777" w:rsidR="00AF38CF" w:rsidRDefault="00AF38CF" w:rsidP="0066301C">
            <w:r>
              <w:t>-1.766</w:t>
            </w:r>
          </w:p>
        </w:tc>
        <w:tc>
          <w:tcPr>
            <w:tcW w:w="1559" w:type="dxa"/>
          </w:tcPr>
          <w:p w14:paraId="1925CF45" w14:textId="77777777" w:rsidR="00AF38CF" w:rsidRDefault="00AF38CF" w:rsidP="0066301C">
            <w:r>
              <w:t>-3.942</w:t>
            </w:r>
          </w:p>
        </w:tc>
        <w:tc>
          <w:tcPr>
            <w:tcW w:w="1558" w:type="dxa"/>
          </w:tcPr>
          <w:p w14:paraId="5A8D3A78" w14:textId="77777777" w:rsidR="00AF38CF" w:rsidRDefault="00AF38CF" w:rsidP="0066301C">
            <w:r>
              <w:t>-3.953</w:t>
            </w:r>
          </w:p>
        </w:tc>
      </w:tr>
      <w:tr w:rsidR="00AF38CF" w14:paraId="0AC71370" w14:textId="77777777" w:rsidTr="009B3C83">
        <w:tc>
          <w:tcPr>
            <w:tcW w:w="1985" w:type="dxa"/>
          </w:tcPr>
          <w:p w14:paraId="2D97887F" w14:textId="77777777" w:rsidR="00AF38CF" w:rsidRDefault="00AF38CF" w:rsidP="0066301C">
            <w:r>
              <w:t>LNUSAFI</w:t>
            </w:r>
          </w:p>
        </w:tc>
        <w:tc>
          <w:tcPr>
            <w:tcW w:w="1418" w:type="dxa"/>
          </w:tcPr>
          <w:p w14:paraId="295C2F01" w14:textId="77777777" w:rsidR="00AF38CF" w:rsidRDefault="00AF38CF" w:rsidP="0066301C">
            <w:r>
              <w:t>-2.810</w:t>
            </w:r>
          </w:p>
        </w:tc>
        <w:tc>
          <w:tcPr>
            <w:tcW w:w="1559" w:type="dxa"/>
          </w:tcPr>
          <w:p w14:paraId="5083FC0C" w14:textId="77777777" w:rsidR="00AF38CF" w:rsidRDefault="00AF38CF" w:rsidP="0066301C">
            <w:r>
              <w:t>-1.339</w:t>
            </w:r>
          </w:p>
        </w:tc>
        <w:tc>
          <w:tcPr>
            <w:tcW w:w="1418" w:type="dxa"/>
          </w:tcPr>
          <w:p w14:paraId="72694B85" w14:textId="77777777" w:rsidR="00AF38CF" w:rsidRDefault="00AF38CF" w:rsidP="0066301C">
            <w:r>
              <w:t>-4.461</w:t>
            </w:r>
          </w:p>
        </w:tc>
        <w:tc>
          <w:tcPr>
            <w:tcW w:w="1559" w:type="dxa"/>
          </w:tcPr>
          <w:p w14:paraId="4C83347D" w14:textId="77777777" w:rsidR="00AF38CF" w:rsidRDefault="00AF38CF" w:rsidP="0066301C">
            <w:r>
              <w:t>-5.354</w:t>
            </w:r>
          </w:p>
        </w:tc>
        <w:tc>
          <w:tcPr>
            <w:tcW w:w="1559" w:type="dxa"/>
          </w:tcPr>
          <w:p w14:paraId="60816CF6" w14:textId="77777777" w:rsidR="00AF38CF" w:rsidRDefault="00AF38CF" w:rsidP="0066301C">
            <w:r w:rsidRPr="009C021E">
              <w:t>-6.699</w:t>
            </w:r>
          </w:p>
        </w:tc>
        <w:tc>
          <w:tcPr>
            <w:tcW w:w="1560" w:type="dxa"/>
          </w:tcPr>
          <w:p w14:paraId="603DF321" w14:textId="77777777" w:rsidR="00AF38CF" w:rsidRDefault="00AF38CF" w:rsidP="0066301C">
            <w:r>
              <w:t>-2.438</w:t>
            </w:r>
          </w:p>
        </w:tc>
        <w:tc>
          <w:tcPr>
            <w:tcW w:w="1559" w:type="dxa"/>
          </w:tcPr>
          <w:p w14:paraId="43A52A0E" w14:textId="77777777" w:rsidR="00AF38CF" w:rsidRDefault="00AF38CF" w:rsidP="0066301C">
            <w:r>
              <w:t>-4.461</w:t>
            </w:r>
          </w:p>
        </w:tc>
        <w:tc>
          <w:tcPr>
            <w:tcW w:w="1558" w:type="dxa"/>
          </w:tcPr>
          <w:p w14:paraId="324B3899" w14:textId="77777777" w:rsidR="00AF38CF" w:rsidRDefault="00AF38CF" w:rsidP="0066301C">
            <w:r>
              <w:t>-6.662</w:t>
            </w:r>
          </w:p>
        </w:tc>
      </w:tr>
    </w:tbl>
    <w:p w14:paraId="6DEDF5D6" w14:textId="46062156" w:rsidR="00AF38CF" w:rsidRPr="00816AA7" w:rsidRDefault="00AF38CF" w:rsidP="0066301C">
      <w:pPr>
        <w:autoSpaceDE w:val="0"/>
        <w:autoSpaceDN w:val="0"/>
        <w:adjustRightInd w:val="0"/>
        <w:spacing w:after="0"/>
        <w:rPr>
          <w:rFonts w:ascii="Arial" w:hAnsi="Arial" w:cs="Arial"/>
          <w:iCs/>
          <w:sz w:val="20"/>
          <w:szCs w:val="20"/>
        </w:rPr>
      </w:pPr>
      <w:r w:rsidRPr="00816AA7">
        <w:rPr>
          <w:rFonts w:ascii="Arial" w:hAnsi="Arial" w:cs="Arial"/>
          <w:i/>
          <w:sz w:val="20"/>
          <w:szCs w:val="20"/>
        </w:rPr>
        <w:t xml:space="preserve">Source: </w:t>
      </w:r>
      <w:r w:rsidRPr="00816AA7">
        <w:rPr>
          <w:rFonts w:ascii="Arial" w:hAnsi="Arial" w:cs="Arial"/>
          <w:iCs/>
          <w:sz w:val="20"/>
          <w:szCs w:val="20"/>
        </w:rPr>
        <w:t xml:space="preserve">Computation from time-series data using </w:t>
      </w:r>
      <w:r w:rsidR="00497957" w:rsidRPr="00816AA7">
        <w:rPr>
          <w:rFonts w:ascii="Arial" w:hAnsi="Arial" w:cs="Arial"/>
          <w:iCs/>
          <w:sz w:val="20"/>
          <w:szCs w:val="20"/>
        </w:rPr>
        <w:t>EViews</w:t>
      </w:r>
      <w:r w:rsidRPr="00816AA7">
        <w:rPr>
          <w:rFonts w:ascii="Arial" w:hAnsi="Arial" w:cs="Arial"/>
          <w:iCs/>
          <w:sz w:val="20"/>
          <w:szCs w:val="20"/>
        </w:rPr>
        <w:t xml:space="preserve"> 12</w:t>
      </w:r>
    </w:p>
    <w:p w14:paraId="3C6C5F48" w14:textId="77777777" w:rsidR="00AF38CF" w:rsidRPr="00816AA7" w:rsidRDefault="00AF38CF" w:rsidP="0066301C">
      <w:pPr>
        <w:rPr>
          <w:rFonts w:ascii="Arial" w:hAnsi="Arial" w:cs="Arial"/>
          <w:iCs/>
          <w:sz w:val="20"/>
          <w:szCs w:val="20"/>
        </w:rPr>
      </w:pPr>
      <w:r w:rsidRPr="00816AA7">
        <w:rPr>
          <w:rFonts w:ascii="Arial" w:hAnsi="Arial" w:cs="Arial"/>
          <w:b/>
          <w:bCs/>
          <w:iCs/>
          <w:sz w:val="20"/>
          <w:szCs w:val="20"/>
        </w:rPr>
        <w:t>Note:</w:t>
      </w:r>
      <w:r w:rsidRPr="00816AA7">
        <w:rPr>
          <w:rFonts w:ascii="Arial" w:hAnsi="Arial" w:cs="Arial"/>
          <w:iCs/>
          <w:sz w:val="20"/>
          <w:szCs w:val="20"/>
        </w:rPr>
        <w:t xml:space="preserve"> The critical value for ADF &amp; PP unit root tests at level at 5% are -2.941 (constant), and -3.533 (constant, Linear Trend). While the critical value for ADF &amp; PP unit root tests at 1 difference at 5% are -2.943 (constant), and -3.537 (constant, Linear Trend).</w:t>
      </w:r>
    </w:p>
    <w:p w14:paraId="2E46BE0A" w14:textId="0C7BFEB1" w:rsidR="00790A7A" w:rsidRPr="00790A7A" w:rsidRDefault="00790A7A" w:rsidP="0066301C">
      <w:pPr>
        <w:rPr>
          <w:rFonts w:ascii="Arial" w:hAnsi="Arial" w:cs="Arial"/>
        </w:rPr>
        <w:sectPr w:rsidR="00790A7A" w:rsidRPr="00790A7A" w:rsidSect="00D14E7F">
          <w:headerReference w:type="default" r:id="rId117"/>
          <w:pgSz w:w="16838" w:h="11906" w:orient="landscape"/>
          <w:pgMar w:top="1440" w:right="1440" w:bottom="1440" w:left="1440" w:header="709" w:footer="709" w:gutter="0"/>
          <w:cols w:space="708"/>
          <w:docGrid w:linePitch="360"/>
        </w:sectPr>
      </w:pPr>
    </w:p>
    <w:p w14:paraId="7829D7E3" w14:textId="19C9C77E" w:rsidR="00DB2D41" w:rsidRDefault="00DB2D41" w:rsidP="0066301C">
      <w:pPr>
        <w:spacing w:after="0" w:line="240" w:lineRule="auto"/>
        <w:ind w:left="720" w:firstLine="720"/>
        <w:jc w:val="both"/>
        <w:rPr>
          <w:rFonts w:ascii="Arial" w:hAnsi="Arial" w:cs="Arial"/>
          <w:b/>
        </w:rPr>
      </w:pPr>
      <w:r>
        <w:rPr>
          <w:rFonts w:ascii="Arial" w:hAnsi="Arial" w:cs="Arial"/>
          <w:b/>
        </w:rPr>
        <w:lastRenderedPageBreak/>
        <w:t>APPENDIX C.</w:t>
      </w:r>
    </w:p>
    <w:p w14:paraId="59B49E80" w14:textId="77777777" w:rsidR="00DB2D41" w:rsidRDefault="00DB2D41" w:rsidP="0066301C">
      <w:pPr>
        <w:spacing w:after="0" w:line="240" w:lineRule="auto"/>
        <w:ind w:left="720" w:firstLine="720"/>
        <w:jc w:val="both"/>
        <w:rPr>
          <w:rFonts w:ascii="Arial" w:hAnsi="Arial" w:cs="Arial"/>
          <w:b/>
        </w:rPr>
      </w:pPr>
    </w:p>
    <w:p w14:paraId="62D3FA61" w14:textId="77777777" w:rsidR="00376001" w:rsidRDefault="00376001" w:rsidP="0066301C">
      <w:pPr>
        <w:spacing w:after="0"/>
        <w:ind w:left="720" w:firstLine="720"/>
        <w:rPr>
          <w:rFonts w:ascii="Arial" w:hAnsi="Arial" w:cs="Arial"/>
          <w:lang w:val="en-US"/>
        </w:rPr>
      </w:pPr>
      <w:r w:rsidRPr="007C4A32">
        <w:rPr>
          <w:rFonts w:ascii="Arial" w:hAnsi="Arial" w:cs="Arial"/>
          <w:b/>
          <w:bCs/>
          <w:lang w:val="en-US"/>
        </w:rPr>
        <w:t>Table 5.3: Panel Unit Root Tests Results (P-values)</w:t>
      </w:r>
    </w:p>
    <w:tbl>
      <w:tblPr>
        <w:tblStyle w:val="TableGrid"/>
        <w:tblW w:w="0" w:type="auto"/>
        <w:jc w:val="center"/>
        <w:tblLook w:val="04A0" w:firstRow="1" w:lastRow="0" w:firstColumn="1" w:lastColumn="0" w:noHBand="0" w:noVBand="1"/>
      </w:tblPr>
      <w:tblGrid>
        <w:gridCol w:w="1195"/>
        <w:gridCol w:w="1063"/>
        <w:gridCol w:w="1976"/>
        <w:gridCol w:w="889"/>
        <w:gridCol w:w="889"/>
        <w:gridCol w:w="1001"/>
        <w:gridCol w:w="926"/>
        <w:gridCol w:w="1133"/>
      </w:tblGrid>
      <w:tr w:rsidR="00376001" w14:paraId="14AEF292" w14:textId="77777777" w:rsidTr="00376001">
        <w:trPr>
          <w:jc w:val="center"/>
        </w:trPr>
        <w:tc>
          <w:tcPr>
            <w:tcW w:w="1067" w:type="dxa"/>
          </w:tcPr>
          <w:p w14:paraId="7939469B" w14:textId="77777777" w:rsidR="00376001" w:rsidRPr="00173C96" w:rsidRDefault="00376001" w:rsidP="0066301C">
            <w:pPr>
              <w:jc w:val="center"/>
              <w:rPr>
                <w:rFonts w:ascii="Arial" w:hAnsi="Arial" w:cs="Arial"/>
                <w:b/>
                <w:bCs/>
              </w:rPr>
            </w:pPr>
            <w:r w:rsidRPr="00173C96">
              <w:rPr>
                <w:rFonts w:ascii="Arial" w:hAnsi="Arial" w:cs="Arial"/>
                <w:b/>
                <w:bCs/>
              </w:rPr>
              <w:t>Variables</w:t>
            </w:r>
          </w:p>
        </w:tc>
        <w:tc>
          <w:tcPr>
            <w:tcW w:w="1063" w:type="dxa"/>
          </w:tcPr>
          <w:p w14:paraId="2556B3AD" w14:textId="77777777" w:rsidR="00376001" w:rsidRPr="00173C96" w:rsidRDefault="00376001" w:rsidP="0066301C">
            <w:pPr>
              <w:jc w:val="center"/>
              <w:rPr>
                <w:rFonts w:ascii="Arial" w:hAnsi="Arial" w:cs="Arial"/>
                <w:b/>
                <w:bCs/>
              </w:rPr>
            </w:pPr>
            <w:r w:rsidRPr="00173C96">
              <w:rPr>
                <w:rFonts w:ascii="Arial" w:hAnsi="Arial" w:cs="Arial"/>
                <w:b/>
                <w:bCs/>
              </w:rPr>
              <w:t>Level &amp; 1</w:t>
            </w:r>
            <w:r w:rsidRPr="00173C96">
              <w:rPr>
                <w:rFonts w:ascii="Arial" w:hAnsi="Arial" w:cs="Arial"/>
                <w:b/>
                <w:bCs/>
                <w:vertAlign w:val="superscript"/>
              </w:rPr>
              <w:t>st</w:t>
            </w:r>
            <w:r w:rsidRPr="00173C96">
              <w:rPr>
                <w:rFonts w:ascii="Arial" w:hAnsi="Arial" w:cs="Arial"/>
                <w:b/>
                <w:bCs/>
              </w:rPr>
              <w:t xml:space="preserve"> Diff.</w:t>
            </w:r>
          </w:p>
        </w:tc>
        <w:tc>
          <w:tcPr>
            <w:tcW w:w="1976" w:type="dxa"/>
          </w:tcPr>
          <w:p w14:paraId="0A37C7FF" w14:textId="77777777" w:rsidR="00376001" w:rsidRPr="00173C96" w:rsidRDefault="00376001" w:rsidP="0066301C">
            <w:pPr>
              <w:jc w:val="center"/>
              <w:rPr>
                <w:rFonts w:ascii="Arial" w:hAnsi="Arial" w:cs="Arial"/>
                <w:b/>
                <w:bCs/>
              </w:rPr>
            </w:pPr>
            <w:r w:rsidRPr="00173C96">
              <w:rPr>
                <w:rFonts w:ascii="Arial" w:hAnsi="Arial" w:cs="Arial"/>
                <w:b/>
                <w:bCs/>
              </w:rPr>
              <w:t>intercept/trend</w:t>
            </w:r>
          </w:p>
        </w:tc>
        <w:tc>
          <w:tcPr>
            <w:tcW w:w="866" w:type="dxa"/>
          </w:tcPr>
          <w:p w14:paraId="19003471" w14:textId="77777777" w:rsidR="00376001" w:rsidRPr="00173C96" w:rsidRDefault="00376001" w:rsidP="0066301C">
            <w:pPr>
              <w:jc w:val="center"/>
              <w:rPr>
                <w:rFonts w:ascii="Arial" w:hAnsi="Arial" w:cs="Arial"/>
                <w:b/>
                <w:bCs/>
              </w:rPr>
            </w:pPr>
            <w:r w:rsidRPr="00173C96">
              <w:rPr>
                <w:rFonts w:ascii="Arial" w:hAnsi="Arial" w:cs="Arial"/>
                <w:b/>
                <w:bCs/>
              </w:rPr>
              <w:t>LLC</w:t>
            </w:r>
          </w:p>
        </w:tc>
        <w:tc>
          <w:tcPr>
            <w:tcW w:w="870" w:type="dxa"/>
          </w:tcPr>
          <w:p w14:paraId="37E88C5F" w14:textId="77777777" w:rsidR="00376001" w:rsidRPr="00173C96" w:rsidRDefault="00376001" w:rsidP="0066301C">
            <w:pPr>
              <w:jc w:val="center"/>
              <w:rPr>
                <w:rFonts w:ascii="Arial" w:hAnsi="Arial" w:cs="Arial"/>
                <w:b/>
                <w:bCs/>
              </w:rPr>
            </w:pPr>
            <w:r w:rsidRPr="00173C96">
              <w:rPr>
                <w:rFonts w:ascii="Arial" w:hAnsi="Arial" w:cs="Arial"/>
                <w:b/>
                <w:bCs/>
              </w:rPr>
              <w:t>IPS</w:t>
            </w:r>
          </w:p>
        </w:tc>
        <w:tc>
          <w:tcPr>
            <w:tcW w:w="1001" w:type="dxa"/>
          </w:tcPr>
          <w:p w14:paraId="6F5DF0A0" w14:textId="77777777" w:rsidR="00376001" w:rsidRPr="00173C96" w:rsidRDefault="00376001" w:rsidP="0066301C">
            <w:pPr>
              <w:jc w:val="center"/>
              <w:rPr>
                <w:rFonts w:ascii="Arial" w:hAnsi="Arial" w:cs="Arial"/>
                <w:b/>
                <w:bCs/>
              </w:rPr>
            </w:pPr>
            <w:r w:rsidRPr="00173C96">
              <w:rPr>
                <w:rFonts w:ascii="Arial" w:hAnsi="Arial" w:cs="Arial"/>
                <w:b/>
                <w:bCs/>
              </w:rPr>
              <w:t>ADF</w:t>
            </w:r>
          </w:p>
        </w:tc>
        <w:tc>
          <w:tcPr>
            <w:tcW w:w="926" w:type="dxa"/>
          </w:tcPr>
          <w:p w14:paraId="01E51B59" w14:textId="77777777" w:rsidR="00376001" w:rsidRPr="00173C96" w:rsidRDefault="00376001" w:rsidP="0066301C">
            <w:pPr>
              <w:jc w:val="center"/>
              <w:rPr>
                <w:rFonts w:ascii="Arial" w:hAnsi="Arial" w:cs="Arial"/>
                <w:b/>
                <w:bCs/>
              </w:rPr>
            </w:pPr>
            <w:r w:rsidRPr="00173C96">
              <w:rPr>
                <w:rFonts w:ascii="Arial" w:hAnsi="Arial" w:cs="Arial"/>
                <w:b/>
                <w:bCs/>
              </w:rPr>
              <w:t>PP</w:t>
            </w:r>
          </w:p>
        </w:tc>
        <w:tc>
          <w:tcPr>
            <w:tcW w:w="990" w:type="dxa"/>
          </w:tcPr>
          <w:p w14:paraId="4D56C421" w14:textId="77777777" w:rsidR="00376001" w:rsidRPr="00173C96" w:rsidRDefault="00376001" w:rsidP="0066301C">
            <w:pPr>
              <w:jc w:val="center"/>
              <w:rPr>
                <w:rFonts w:ascii="Arial" w:hAnsi="Arial" w:cs="Arial"/>
                <w:b/>
                <w:bCs/>
              </w:rPr>
            </w:pPr>
            <w:r w:rsidRPr="00173C96">
              <w:rPr>
                <w:rFonts w:ascii="Arial" w:hAnsi="Arial" w:cs="Arial"/>
                <w:b/>
                <w:bCs/>
              </w:rPr>
              <w:t>Decision</w:t>
            </w:r>
          </w:p>
        </w:tc>
      </w:tr>
      <w:tr w:rsidR="00376001" w14:paraId="37282D20" w14:textId="77777777" w:rsidTr="00376001">
        <w:trPr>
          <w:jc w:val="center"/>
        </w:trPr>
        <w:tc>
          <w:tcPr>
            <w:tcW w:w="1067" w:type="dxa"/>
            <w:vMerge w:val="restart"/>
          </w:tcPr>
          <w:p w14:paraId="169C8795" w14:textId="77777777" w:rsidR="00376001" w:rsidRPr="00173C96" w:rsidRDefault="00376001" w:rsidP="0066301C">
            <w:pPr>
              <w:jc w:val="center"/>
              <w:rPr>
                <w:rFonts w:ascii="Arial" w:hAnsi="Arial" w:cs="Arial"/>
              </w:rPr>
            </w:pPr>
          </w:p>
          <w:p w14:paraId="0E0A2FFB" w14:textId="77777777" w:rsidR="00376001" w:rsidRPr="00173C96" w:rsidRDefault="00376001" w:rsidP="0066301C">
            <w:pPr>
              <w:jc w:val="center"/>
              <w:rPr>
                <w:rFonts w:ascii="Arial" w:hAnsi="Arial" w:cs="Arial"/>
              </w:rPr>
            </w:pPr>
            <w:r w:rsidRPr="00173C96">
              <w:rPr>
                <w:rFonts w:ascii="Arial" w:hAnsi="Arial" w:cs="Arial"/>
              </w:rPr>
              <w:t>GDP</w:t>
            </w:r>
          </w:p>
        </w:tc>
        <w:tc>
          <w:tcPr>
            <w:tcW w:w="1063" w:type="dxa"/>
            <w:vMerge w:val="restart"/>
          </w:tcPr>
          <w:p w14:paraId="37DF6349" w14:textId="77777777" w:rsidR="00376001" w:rsidRPr="00173C96" w:rsidRDefault="00376001" w:rsidP="0066301C">
            <w:pPr>
              <w:jc w:val="center"/>
              <w:rPr>
                <w:rFonts w:ascii="Arial" w:hAnsi="Arial" w:cs="Arial"/>
              </w:rPr>
            </w:pPr>
          </w:p>
          <w:p w14:paraId="0FF0BCB7" w14:textId="77777777" w:rsidR="00376001" w:rsidRPr="00173C96" w:rsidRDefault="00376001" w:rsidP="0066301C">
            <w:pPr>
              <w:jc w:val="center"/>
              <w:rPr>
                <w:rFonts w:ascii="Arial" w:hAnsi="Arial" w:cs="Arial"/>
              </w:rPr>
            </w:pPr>
            <w:r w:rsidRPr="00173C96">
              <w:rPr>
                <w:rFonts w:ascii="Arial" w:hAnsi="Arial" w:cs="Arial"/>
              </w:rPr>
              <w:t>Level</w:t>
            </w:r>
          </w:p>
        </w:tc>
        <w:tc>
          <w:tcPr>
            <w:tcW w:w="1976" w:type="dxa"/>
          </w:tcPr>
          <w:p w14:paraId="2184801D" w14:textId="77777777" w:rsidR="00376001" w:rsidRPr="00173C96" w:rsidRDefault="00376001" w:rsidP="0066301C">
            <w:pPr>
              <w:rPr>
                <w:rFonts w:ascii="Arial" w:hAnsi="Arial" w:cs="Arial"/>
              </w:rPr>
            </w:pPr>
            <w:r w:rsidRPr="00173C96">
              <w:rPr>
                <w:rFonts w:ascii="Arial" w:hAnsi="Arial" w:cs="Arial"/>
              </w:rPr>
              <w:t>Intercept</w:t>
            </w:r>
          </w:p>
        </w:tc>
        <w:tc>
          <w:tcPr>
            <w:tcW w:w="866" w:type="dxa"/>
          </w:tcPr>
          <w:p w14:paraId="7333A4E2" w14:textId="77777777" w:rsidR="00376001" w:rsidRPr="00173C96" w:rsidRDefault="00376001" w:rsidP="0066301C">
            <w:pPr>
              <w:jc w:val="center"/>
              <w:rPr>
                <w:rFonts w:ascii="Arial" w:hAnsi="Arial" w:cs="Arial"/>
              </w:rPr>
            </w:pPr>
            <w:r w:rsidRPr="00173C96">
              <w:rPr>
                <w:rFonts w:ascii="Arial" w:hAnsi="Arial" w:cs="Arial"/>
              </w:rPr>
              <w:t>0.0006</w:t>
            </w:r>
          </w:p>
        </w:tc>
        <w:tc>
          <w:tcPr>
            <w:tcW w:w="870" w:type="dxa"/>
          </w:tcPr>
          <w:p w14:paraId="1F4975D4" w14:textId="77777777" w:rsidR="00376001" w:rsidRPr="00173C96" w:rsidRDefault="00376001" w:rsidP="0066301C">
            <w:pPr>
              <w:jc w:val="center"/>
              <w:rPr>
                <w:rFonts w:ascii="Arial" w:hAnsi="Arial" w:cs="Arial"/>
              </w:rPr>
            </w:pPr>
            <w:r w:rsidRPr="00173C96">
              <w:rPr>
                <w:rFonts w:ascii="Arial" w:hAnsi="Arial" w:cs="Arial"/>
              </w:rPr>
              <w:t>0.0000</w:t>
            </w:r>
          </w:p>
        </w:tc>
        <w:tc>
          <w:tcPr>
            <w:tcW w:w="1001" w:type="dxa"/>
          </w:tcPr>
          <w:p w14:paraId="603A0614" w14:textId="77777777" w:rsidR="00376001" w:rsidRPr="00173C96" w:rsidRDefault="00376001" w:rsidP="0066301C">
            <w:pPr>
              <w:jc w:val="center"/>
              <w:rPr>
                <w:rFonts w:ascii="Arial" w:hAnsi="Arial" w:cs="Arial"/>
              </w:rPr>
            </w:pPr>
            <w:r w:rsidRPr="00173C96">
              <w:rPr>
                <w:rFonts w:ascii="Arial" w:hAnsi="Arial" w:cs="Arial"/>
              </w:rPr>
              <w:t>0.0000</w:t>
            </w:r>
          </w:p>
        </w:tc>
        <w:tc>
          <w:tcPr>
            <w:tcW w:w="926" w:type="dxa"/>
          </w:tcPr>
          <w:p w14:paraId="2D0812B8" w14:textId="77777777" w:rsidR="00376001" w:rsidRPr="00173C96" w:rsidRDefault="00376001" w:rsidP="0066301C">
            <w:pPr>
              <w:jc w:val="center"/>
              <w:rPr>
                <w:rFonts w:ascii="Arial" w:hAnsi="Arial" w:cs="Arial"/>
              </w:rPr>
            </w:pPr>
            <w:r w:rsidRPr="00173C96">
              <w:rPr>
                <w:rFonts w:ascii="Arial" w:hAnsi="Arial" w:cs="Arial"/>
              </w:rPr>
              <w:t>0.0000</w:t>
            </w:r>
          </w:p>
        </w:tc>
        <w:tc>
          <w:tcPr>
            <w:tcW w:w="990" w:type="dxa"/>
          </w:tcPr>
          <w:p w14:paraId="29C2F470" w14:textId="77777777" w:rsidR="00376001" w:rsidRPr="00173C96" w:rsidRDefault="00376001" w:rsidP="0066301C">
            <w:pPr>
              <w:jc w:val="center"/>
              <w:rPr>
                <w:rFonts w:ascii="Arial" w:hAnsi="Arial" w:cs="Arial"/>
              </w:rPr>
            </w:pPr>
            <w:r w:rsidRPr="00173C96">
              <w:rPr>
                <w:rFonts w:ascii="Arial" w:hAnsi="Arial" w:cs="Arial"/>
              </w:rPr>
              <w:t>I(0)</w:t>
            </w:r>
          </w:p>
        </w:tc>
      </w:tr>
      <w:tr w:rsidR="00376001" w14:paraId="06A6276F" w14:textId="77777777" w:rsidTr="00376001">
        <w:trPr>
          <w:jc w:val="center"/>
        </w:trPr>
        <w:tc>
          <w:tcPr>
            <w:tcW w:w="1067" w:type="dxa"/>
            <w:vMerge/>
          </w:tcPr>
          <w:p w14:paraId="1B58068F" w14:textId="77777777" w:rsidR="00376001" w:rsidRPr="00173C96" w:rsidRDefault="00376001" w:rsidP="0066301C">
            <w:pPr>
              <w:rPr>
                <w:rFonts w:ascii="Arial" w:hAnsi="Arial" w:cs="Arial"/>
              </w:rPr>
            </w:pPr>
          </w:p>
        </w:tc>
        <w:tc>
          <w:tcPr>
            <w:tcW w:w="1063" w:type="dxa"/>
            <w:vMerge/>
          </w:tcPr>
          <w:p w14:paraId="1B005EF0" w14:textId="77777777" w:rsidR="00376001" w:rsidRPr="00173C96" w:rsidRDefault="00376001" w:rsidP="0066301C">
            <w:pPr>
              <w:rPr>
                <w:rFonts w:ascii="Arial" w:hAnsi="Arial" w:cs="Arial"/>
              </w:rPr>
            </w:pPr>
          </w:p>
        </w:tc>
        <w:tc>
          <w:tcPr>
            <w:tcW w:w="1976" w:type="dxa"/>
          </w:tcPr>
          <w:p w14:paraId="7846DF7F" w14:textId="77777777" w:rsidR="00376001" w:rsidRPr="00173C96" w:rsidRDefault="00376001" w:rsidP="0066301C">
            <w:pPr>
              <w:rPr>
                <w:rFonts w:ascii="Arial" w:hAnsi="Arial" w:cs="Arial"/>
              </w:rPr>
            </w:pPr>
            <w:r w:rsidRPr="00173C96">
              <w:rPr>
                <w:rFonts w:ascii="Arial" w:hAnsi="Arial" w:cs="Arial"/>
              </w:rPr>
              <w:t>Intercept &amp; trend</w:t>
            </w:r>
          </w:p>
        </w:tc>
        <w:tc>
          <w:tcPr>
            <w:tcW w:w="866" w:type="dxa"/>
          </w:tcPr>
          <w:p w14:paraId="51F901D3" w14:textId="77777777" w:rsidR="00376001" w:rsidRPr="00173C96" w:rsidRDefault="00376001" w:rsidP="0066301C">
            <w:pPr>
              <w:jc w:val="center"/>
              <w:rPr>
                <w:rFonts w:ascii="Arial" w:hAnsi="Arial" w:cs="Arial"/>
              </w:rPr>
            </w:pPr>
            <w:r w:rsidRPr="00173C96">
              <w:rPr>
                <w:rFonts w:ascii="Arial" w:hAnsi="Arial" w:cs="Arial"/>
              </w:rPr>
              <w:t>0.0088</w:t>
            </w:r>
          </w:p>
        </w:tc>
        <w:tc>
          <w:tcPr>
            <w:tcW w:w="870" w:type="dxa"/>
          </w:tcPr>
          <w:p w14:paraId="58C7CAB3" w14:textId="77777777" w:rsidR="00376001" w:rsidRPr="00173C96" w:rsidRDefault="00376001" w:rsidP="0066301C">
            <w:pPr>
              <w:jc w:val="center"/>
              <w:rPr>
                <w:rFonts w:ascii="Arial" w:hAnsi="Arial" w:cs="Arial"/>
              </w:rPr>
            </w:pPr>
            <w:r w:rsidRPr="00173C96">
              <w:rPr>
                <w:rFonts w:ascii="Arial" w:hAnsi="Arial" w:cs="Arial"/>
              </w:rPr>
              <w:t>0.0000</w:t>
            </w:r>
          </w:p>
        </w:tc>
        <w:tc>
          <w:tcPr>
            <w:tcW w:w="1001" w:type="dxa"/>
          </w:tcPr>
          <w:p w14:paraId="03B82712" w14:textId="77777777" w:rsidR="00376001" w:rsidRPr="00173C96" w:rsidRDefault="00376001" w:rsidP="0066301C">
            <w:pPr>
              <w:jc w:val="center"/>
              <w:rPr>
                <w:rFonts w:ascii="Arial" w:hAnsi="Arial" w:cs="Arial"/>
              </w:rPr>
            </w:pPr>
            <w:r w:rsidRPr="00173C96">
              <w:rPr>
                <w:rFonts w:ascii="Arial" w:hAnsi="Arial" w:cs="Arial"/>
              </w:rPr>
              <w:t>0.0001</w:t>
            </w:r>
          </w:p>
        </w:tc>
        <w:tc>
          <w:tcPr>
            <w:tcW w:w="926" w:type="dxa"/>
          </w:tcPr>
          <w:p w14:paraId="4ABFA28C" w14:textId="77777777" w:rsidR="00376001" w:rsidRPr="00173C96" w:rsidRDefault="00376001" w:rsidP="0066301C">
            <w:pPr>
              <w:jc w:val="center"/>
              <w:rPr>
                <w:rFonts w:ascii="Arial" w:hAnsi="Arial" w:cs="Arial"/>
              </w:rPr>
            </w:pPr>
            <w:r w:rsidRPr="00173C96">
              <w:rPr>
                <w:rFonts w:ascii="Arial" w:hAnsi="Arial" w:cs="Arial"/>
              </w:rPr>
              <w:t>0.0000</w:t>
            </w:r>
          </w:p>
        </w:tc>
        <w:tc>
          <w:tcPr>
            <w:tcW w:w="990" w:type="dxa"/>
          </w:tcPr>
          <w:p w14:paraId="34CBB9DD" w14:textId="77777777" w:rsidR="00376001" w:rsidRPr="00173C96" w:rsidRDefault="00376001" w:rsidP="0066301C">
            <w:pPr>
              <w:jc w:val="center"/>
              <w:rPr>
                <w:rFonts w:ascii="Arial" w:hAnsi="Arial" w:cs="Arial"/>
              </w:rPr>
            </w:pPr>
            <w:r w:rsidRPr="00173C96">
              <w:rPr>
                <w:rFonts w:ascii="Arial" w:hAnsi="Arial" w:cs="Arial"/>
              </w:rPr>
              <w:t>I(0)</w:t>
            </w:r>
          </w:p>
        </w:tc>
      </w:tr>
      <w:tr w:rsidR="00376001" w14:paraId="08A3154A" w14:textId="77777777" w:rsidTr="00376001">
        <w:trPr>
          <w:jc w:val="center"/>
        </w:trPr>
        <w:tc>
          <w:tcPr>
            <w:tcW w:w="1067" w:type="dxa"/>
            <w:vMerge w:val="restart"/>
          </w:tcPr>
          <w:p w14:paraId="2F438020" w14:textId="77777777" w:rsidR="00376001" w:rsidRPr="00173C96" w:rsidRDefault="00376001" w:rsidP="0066301C">
            <w:pPr>
              <w:jc w:val="center"/>
              <w:rPr>
                <w:rFonts w:ascii="Arial" w:hAnsi="Arial" w:cs="Arial"/>
              </w:rPr>
            </w:pPr>
          </w:p>
          <w:p w14:paraId="4B972B4F" w14:textId="77777777" w:rsidR="00376001" w:rsidRPr="00173C96" w:rsidRDefault="00376001" w:rsidP="0066301C">
            <w:pPr>
              <w:jc w:val="center"/>
              <w:rPr>
                <w:rFonts w:ascii="Arial" w:hAnsi="Arial" w:cs="Arial"/>
              </w:rPr>
            </w:pPr>
          </w:p>
          <w:p w14:paraId="01654DD2" w14:textId="77777777" w:rsidR="00376001" w:rsidRPr="00173C96" w:rsidRDefault="00376001" w:rsidP="0066301C">
            <w:pPr>
              <w:jc w:val="center"/>
              <w:rPr>
                <w:rFonts w:ascii="Arial" w:hAnsi="Arial" w:cs="Arial"/>
              </w:rPr>
            </w:pPr>
            <w:r w:rsidRPr="00173C96">
              <w:rPr>
                <w:rFonts w:ascii="Arial" w:hAnsi="Arial" w:cs="Arial"/>
              </w:rPr>
              <w:t>REER</w:t>
            </w:r>
          </w:p>
        </w:tc>
        <w:tc>
          <w:tcPr>
            <w:tcW w:w="1063" w:type="dxa"/>
            <w:vMerge w:val="restart"/>
          </w:tcPr>
          <w:p w14:paraId="266715C8" w14:textId="77777777" w:rsidR="00376001" w:rsidRPr="00173C96" w:rsidRDefault="00376001" w:rsidP="0066301C">
            <w:pPr>
              <w:jc w:val="center"/>
              <w:rPr>
                <w:rFonts w:ascii="Arial" w:hAnsi="Arial" w:cs="Arial"/>
              </w:rPr>
            </w:pPr>
          </w:p>
          <w:p w14:paraId="5BBB5EBD" w14:textId="77777777" w:rsidR="00376001" w:rsidRPr="00173C96" w:rsidRDefault="00376001" w:rsidP="0066301C">
            <w:pPr>
              <w:jc w:val="center"/>
              <w:rPr>
                <w:rFonts w:ascii="Arial" w:hAnsi="Arial" w:cs="Arial"/>
              </w:rPr>
            </w:pPr>
            <w:r w:rsidRPr="00173C96">
              <w:rPr>
                <w:rFonts w:ascii="Arial" w:hAnsi="Arial" w:cs="Arial"/>
              </w:rPr>
              <w:t>Level</w:t>
            </w:r>
          </w:p>
        </w:tc>
        <w:tc>
          <w:tcPr>
            <w:tcW w:w="1976" w:type="dxa"/>
          </w:tcPr>
          <w:p w14:paraId="3E2E7022" w14:textId="77777777" w:rsidR="00376001" w:rsidRPr="00173C96" w:rsidRDefault="00376001" w:rsidP="0066301C">
            <w:pPr>
              <w:rPr>
                <w:rFonts w:ascii="Arial" w:hAnsi="Arial" w:cs="Arial"/>
              </w:rPr>
            </w:pPr>
            <w:r w:rsidRPr="00173C96">
              <w:rPr>
                <w:rFonts w:ascii="Arial" w:hAnsi="Arial" w:cs="Arial"/>
              </w:rPr>
              <w:t>Intercept</w:t>
            </w:r>
          </w:p>
        </w:tc>
        <w:tc>
          <w:tcPr>
            <w:tcW w:w="866" w:type="dxa"/>
          </w:tcPr>
          <w:p w14:paraId="1690A710" w14:textId="77777777" w:rsidR="00376001" w:rsidRPr="00173C96" w:rsidRDefault="00376001" w:rsidP="0066301C">
            <w:pPr>
              <w:jc w:val="center"/>
              <w:rPr>
                <w:rFonts w:ascii="Arial" w:hAnsi="Arial" w:cs="Arial"/>
              </w:rPr>
            </w:pPr>
            <w:r w:rsidRPr="00173C96">
              <w:rPr>
                <w:rFonts w:ascii="Arial" w:hAnsi="Arial" w:cs="Arial"/>
              </w:rPr>
              <w:t>0.1971</w:t>
            </w:r>
          </w:p>
        </w:tc>
        <w:tc>
          <w:tcPr>
            <w:tcW w:w="870" w:type="dxa"/>
          </w:tcPr>
          <w:p w14:paraId="4665DB11" w14:textId="77777777" w:rsidR="00376001" w:rsidRPr="00173C96" w:rsidRDefault="00376001" w:rsidP="0066301C">
            <w:pPr>
              <w:jc w:val="center"/>
              <w:rPr>
                <w:rFonts w:ascii="Arial" w:hAnsi="Arial" w:cs="Arial"/>
              </w:rPr>
            </w:pPr>
            <w:r w:rsidRPr="00173C96">
              <w:rPr>
                <w:rFonts w:ascii="Arial" w:hAnsi="Arial" w:cs="Arial"/>
              </w:rPr>
              <w:t>0.5144</w:t>
            </w:r>
          </w:p>
        </w:tc>
        <w:tc>
          <w:tcPr>
            <w:tcW w:w="1001" w:type="dxa"/>
          </w:tcPr>
          <w:p w14:paraId="4C91F53D" w14:textId="77777777" w:rsidR="00376001" w:rsidRPr="00173C96" w:rsidRDefault="00376001" w:rsidP="0066301C">
            <w:pPr>
              <w:jc w:val="center"/>
              <w:rPr>
                <w:rFonts w:ascii="Arial" w:hAnsi="Arial" w:cs="Arial"/>
              </w:rPr>
            </w:pPr>
            <w:r w:rsidRPr="00173C96">
              <w:rPr>
                <w:rFonts w:ascii="Arial" w:hAnsi="Arial" w:cs="Arial"/>
              </w:rPr>
              <w:t>0.6825</w:t>
            </w:r>
          </w:p>
        </w:tc>
        <w:tc>
          <w:tcPr>
            <w:tcW w:w="926" w:type="dxa"/>
          </w:tcPr>
          <w:p w14:paraId="167A0BBD" w14:textId="77777777" w:rsidR="00376001" w:rsidRPr="00173C96" w:rsidRDefault="00376001" w:rsidP="0066301C">
            <w:pPr>
              <w:jc w:val="center"/>
              <w:rPr>
                <w:rFonts w:ascii="Arial" w:hAnsi="Arial" w:cs="Arial"/>
              </w:rPr>
            </w:pPr>
            <w:r w:rsidRPr="00173C96">
              <w:rPr>
                <w:rFonts w:ascii="Arial" w:hAnsi="Arial" w:cs="Arial"/>
              </w:rPr>
              <w:t>0.3018</w:t>
            </w:r>
          </w:p>
        </w:tc>
        <w:tc>
          <w:tcPr>
            <w:tcW w:w="990" w:type="dxa"/>
          </w:tcPr>
          <w:p w14:paraId="63211EAF" w14:textId="77777777" w:rsidR="00376001" w:rsidRPr="00173C96" w:rsidRDefault="00376001" w:rsidP="0066301C">
            <w:pPr>
              <w:jc w:val="center"/>
              <w:rPr>
                <w:rFonts w:ascii="Arial" w:hAnsi="Arial" w:cs="Arial"/>
              </w:rPr>
            </w:pPr>
            <w:r w:rsidRPr="00173C96">
              <w:rPr>
                <w:rFonts w:ascii="Arial" w:hAnsi="Arial" w:cs="Arial"/>
              </w:rPr>
              <w:t>I(1)</w:t>
            </w:r>
          </w:p>
        </w:tc>
      </w:tr>
      <w:tr w:rsidR="00376001" w14:paraId="2150EE71" w14:textId="77777777" w:rsidTr="00376001">
        <w:trPr>
          <w:jc w:val="center"/>
        </w:trPr>
        <w:tc>
          <w:tcPr>
            <w:tcW w:w="1067" w:type="dxa"/>
            <w:vMerge/>
          </w:tcPr>
          <w:p w14:paraId="73747911" w14:textId="77777777" w:rsidR="00376001" w:rsidRPr="00173C96" w:rsidRDefault="00376001" w:rsidP="0066301C">
            <w:pPr>
              <w:rPr>
                <w:rFonts w:ascii="Arial" w:hAnsi="Arial" w:cs="Arial"/>
              </w:rPr>
            </w:pPr>
          </w:p>
        </w:tc>
        <w:tc>
          <w:tcPr>
            <w:tcW w:w="1063" w:type="dxa"/>
            <w:vMerge/>
          </w:tcPr>
          <w:p w14:paraId="5655826D" w14:textId="77777777" w:rsidR="00376001" w:rsidRPr="00173C96" w:rsidRDefault="00376001" w:rsidP="0066301C">
            <w:pPr>
              <w:rPr>
                <w:rFonts w:ascii="Arial" w:hAnsi="Arial" w:cs="Arial"/>
              </w:rPr>
            </w:pPr>
          </w:p>
        </w:tc>
        <w:tc>
          <w:tcPr>
            <w:tcW w:w="1976" w:type="dxa"/>
          </w:tcPr>
          <w:p w14:paraId="2979762D" w14:textId="77777777" w:rsidR="00376001" w:rsidRPr="00173C96" w:rsidRDefault="00376001" w:rsidP="0066301C">
            <w:pPr>
              <w:rPr>
                <w:rFonts w:ascii="Arial" w:hAnsi="Arial" w:cs="Arial"/>
              </w:rPr>
            </w:pPr>
            <w:r w:rsidRPr="00173C96">
              <w:rPr>
                <w:rFonts w:ascii="Arial" w:hAnsi="Arial" w:cs="Arial"/>
              </w:rPr>
              <w:t>Intercept &amp; trend</w:t>
            </w:r>
          </w:p>
        </w:tc>
        <w:tc>
          <w:tcPr>
            <w:tcW w:w="866" w:type="dxa"/>
          </w:tcPr>
          <w:p w14:paraId="33B76960" w14:textId="77777777" w:rsidR="00376001" w:rsidRPr="00173C96" w:rsidRDefault="00376001" w:rsidP="0066301C">
            <w:pPr>
              <w:jc w:val="center"/>
              <w:rPr>
                <w:rFonts w:ascii="Arial" w:hAnsi="Arial" w:cs="Arial"/>
              </w:rPr>
            </w:pPr>
            <w:r w:rsidRPr="00173C96">
              <w:rPr>
                <w:rFonts w:ascii="Arial" w:hAnsi="Arial" w:cs="Arial"/>
              </w:rPr>
              <w:t>0.9229</w:t>
            </w:r>
          </w:p>
        </w:tc>
        <w:tc>
          <w:tcPr>
            <w:tcW w:w="870" w:type="dxa"/>
          </w:tcPr>
          <w:p w14:paraId="1E52573A" w14:textId="77777777" w:rsidR="00376001" w:rsidRPr="00173C96" w:rsidRDefault="00376001" w:rsidP="0066301C">
            <w:pPr>
              <w:jc w:val="center"/>
              <w:rPr>
                <w:rFonts w:ascii="Arial" w:hAnsi="Arial" w:cs="Arial"/>
              </w:rPr>
            </w:pPr>
            <w:r w:rsidRPr="00173C96">
              <w:rPr>
                <w:rFonts w:ascii="Arial" w:hAnsi="Arial" w:cs="Arial"/>
              </w:rPr>
              <w:t>0.9615</w:t>
            </w:r>
          </w:p>
        </w:tc>
        <w:tc>
          <w:tcPr>
            <w:tcW w:w="1001" w:type="dxa"/>
          </w:tcPr>
          <w:p w14:paraId="57E90D42" w14:textId="77777777" w:rsidR="00376001" w:rsidRPr="00173C96" w:rsidRDefault="00376001" w:rsidP="0066301C">
            <w:pPr>
              <w:jc w:val="center"/>
              <w:rPr>
                <w:rFonts w:ascii="Arial" w:hAnsi="Arial" w:cs="Arial"/>
              </w:rPr>
            </w:pPr>
            <w:r w:rsidRPr="00173C96">
              <w:rPr>
                <w:rFonts w:ascii="Arial" w:hAnsi="Arial" w:cs="Arial"/>
              </w:rPr>
              <w:t>0.9288</w:t>
            </w:r>
          </w:p>
        </w:tc>
        <w:tc>
          <w:tcPr>
            <w:tcW w:w="926" w:type="dxa"/>
          </w:tcPr>
          <w:p w14:paraId="22AE77DE" w14:textId="77777777" w:rsidR="00376001" w:rsidRPr="00173C96" w:rsidRDefault="00376001" w:rsidP="0066301C">
            <w:pPr>
              <w:jc w:val="center"/>
              <w:rPr>
                <w:rFonts w:ascii="Arial" w:hAnsi="Arial" w:cs="Arial"/>
              </w:rPr>
            </w:pPr>
            <w:r w:rsidRPr="00173C96">
              <w:rPr>
                <w:rFonts w:ascii="Arial" w:hAnsi="Arial" w:cs="Arial"/>
              </w:rPr>
              <w:t>0.9323</w:t>
            </w:r>
          </w:p>
        </w:tc>
        <w:tc>
          <w:tcPr>
            <w:tcW w:w="990" w:type="dxa"/>
          </w:tcPr>
          <w:p w14:paraId="1A393FCA" w14:textId="77777777" w:rsidR="00376001" w:rsidRPr="00173C96" w:rsidRDefault="00376001" w:rsidP="0066301C">
            <w:pPr>
              <w:jc w:val="center"/>
              <w:rPr>
                <w:rFonts w:ascii="Arial" w:hAnsi="Arial" w:cs="Arial"/>
              </w:rPr>
            </w:pPr>
            <w:r w:rsidRPr="00173C96">
              <w:rPr>
                <w:rFonts w:ascii="Arial" w:hAnsi="Arial" w:cs="Arial"/>
              </w:rPr>
              <w:t>I(1)</w:t>
            </w:r>
          </w:p>
        </w:tc>
      </w:tr>
      <w:tr w:rsidR="00376001" w14:paraId="0FDD8599" w14:textId="77777777" w:rsidTr="00376001">
        <w:trPr>
          <w:jc w:val="center"/>
        </w:trPr>
        <w:tc>
          <w:tcPr>
            <w:tcW w:w="1067" w:type="dxa"/>
            <w:vMerge/>
          </w:tcPr>
          <w:p w14:paraId="38D83886" w14:textId="77777777" w:rsidR="00376001" w:rsidRPr="00173C96" w:rsidRDefault="00376001" w:rsidP="0066301C">
            <w:pPr>
              <w:rPr>
                <w:rFonts w:ascii="Arial" w:hAnsi="Arial" w:cs="Arial"/>
              </w:rPr>
            </w:pPr>
          </w:p>
        </w:tc>
        <w:tc>
          <w:tcPr>
            <w:tcW w:w="1063" w:type="dxa"/>
            <w:vMerge w:val="restart"/>
          </w:tcPr>
          <w:p w14:paraId="59FD2D7E" w14:textId="77777777" w:rsidR="00376001" w:rsidRPr="00173C96" w:rsidRDefault="00376001" w:rsidP="0066301C">
            <w:pPr>
              <w:jc w:val="center"/>
              <w:rPr>
                <w:rFonts w:ascii="Arial" w:hAnsi="Arial" w:cs="Arial"/>
              </w:rPr>
            </w:pPr>
          </w:p>
          <w:p w14:paraId="60C7192E" w14:textId="77777777" w:rsidR="00376001" w:rsidRPr="00173C96" w:rsidRDefault="00376001" w:rsidP="0066301C">
            <w:pPr>
              <w:jc w:val="center"/>
              <w:rPr>
                <w:rFonts w:ascii="Arial" w:hAnsi="Arial" w:cs="Arial"/>
              </w:rPr>
            </w:pPr>
            <w:r w:rsidRPr="00173C96">
              <w:rPr>
                <w:rFonts w:ascii="Arial" w:hAnsi="Arial" w:cs="Arial"/>
              </w:rPr>
              <w:t>1</w:t>
            </w:r>
            <w:r w:rsidRPr="00173C96">
              <w:rPr>
                <w:rFonts w:ascii="Arial" w:hAnsi="Arial" w:cs="Arial"/>
                <w:vertAlign w:val="superscript"/>
              </w:rPr>
              <w:t>st</w:t>
            </w:r>
            <w:r w:rsidRPr="00173C96">
              <w:rPr>
                <w:rFonts w:ascii="Arial" w:hAnsi="Arial" w:cs="Arial"/>
              </w:rPr>
              <w:t xml:space="preserve"> diff.</w:t>
            </w:r>
          </w:p>
        </w:tc>
        <w:tc>
          <w:tcPr>
            <w:tcW w:w="1976" w:type="dxa"/>
          </w:tcPr>
          <w:p w14:paraId="511DF4D1" w14:textId="77777777" w:rsidR="00376001" w:rsidRPr="00173C96" w:rsidRDefault="00376001" w:rsidP="0066301C">
            <w:pPr>
              <w:rPr>
                <w:rFonts w:ascii="Arial" w:hAnsi="Arial" w:cs="Arial"/>
              </w:rPr>
            </w:pPr>
            <w:r w:rsidRPr="00173C96">
              <w:rPr>
                <w:rFonts w:ascii="Arial" w:hAnsi="Arial" w:cs="Arial"/>
              </w:rPr>
              <w:t>Intercept</w:t>
            </w:r>
          </w:p>
        </w:tc>
        <w:tc>
          <w:tcPr>
            <w:tcW w:w="866" w:type="dxa"/>
          </w:tcPr>
          <w:p w14:paraId="0545E07A" w14:textId="77777777" w:rsidR="00376001" w:rsidRPr="00173C96" w:rsidRDefault="00376001" w:rsidP="0066301C">
            <w:pPr>
              <w:jc w:val="center"/>
              <w:rPr>
                <w:rFonts w:ascii="Arial" w:hAnsi="Arial" w:cs="Arial"/>
              </w:rPr>
            </w:pPr>
            <w:r w:rsidRPr="00173C96">
              <w:rPr>
                <w:rFonts w:ascii="Arial" w:hAnsi="Arial" w:cs="Arial"/>
              </w:rPr>
              <w:t>0.0074</w:t>
            </w:r>
          </w:p>
        </w:tc>
        <w:tc>
          <w:tcPr>
            <w:tcW w:w="870" w:type="dxa"/>
          </w:tcPr>
          <w:p w14:paraId="64C16709" w14:textId="77777777" w:rsidR="00376001" w:rsidRPr="00173C96" w:rsidRDefault="00376001" w:rsidP="0066301C">
            <w:pPr>
              <w:jc w:val="center"/>
              <w:rPr>
                <w:rFonts w:ascii="Arial" w:hAnsi="Arial" w:cs="Arial"/>
              </w:rPr>
            </w:pPr>
            <w:r w:rsidRPr="00173C96">
              <w:rPr>
                <w:rFonts w:ascii="Arial" w:hAnsi="Arial" w:cs="Arial"/>
              </w:rPr>
              <w:t>0.0000</w:t>
            </w:r>
          </w:p>
        </w:tc>
        <w:tc>
          <w:tcPr>
            <w:tcW w:w="1001" w:type="dxa"/>
          </w:tcPr>
          <w:p w14:paraId="6A9A9F61" w14:textId="77777777" w:rsidR="00376001" w:rsidRPr="00173C96" w:rsidRDefault="00376001" w:rsidP="0066301C">
            <w:pPr>
              <w:jc w:val="center"/>
              <w:rPr>
                <w:rFonts w:ascii="Arial" w:hAnsi="Arial" w:cs="Arial"/>
              </w:rPr>
            </w:pPr>
            <w:r w:rsidRPr="00173C96">
              <w:rPr>
                <w:rFonts w:ascii="Arial" w:hAnsi="Arial" w:cs="Arial"/>
              </w:rPr>
              <w:t>0.0000</w:t>
            </w:r>
          </w:p>
        </w:tc>
        <w:tc>
          <w:tcPr>
            <w:tcW w:w="926" w:type="dxa"/>
          </w:tcPr>
          <w:p w14:paraId="48E147A5" w14:textId="77777777" w:rsidR="00376001" w:rsidRPr="00173C96" w:rsidRDefault="00376001" w:rsidP="0066301C">
            <w:pPr>
              <w:jc w:val="center"/>
              <w:rPr>
                <w:rFonts w:ascii="Arial" w:hAnsi="Arial" w:cs="Arial"/>
              </w:rPr>
            </w:pPr>
            <w:r w:rsidRPr="00173C96">
              <w:rPr>
                <w:rFonts w:ascii="Arial" w:hAnsi="Arial" w:cs="Arial"/>
              </w:rPr>
              <w:t>0.0000</w:t>
            </w:r>
          </w:p>
        </w:tc>
        <w:tc>
          <w:tcPr>
            <w:tcW w:w="990" w:type="dxa"/>
          </w:tcPr>
          <w:p w14:paraId="05866501" w14:textId="77777777" w:rsidR="00376001" w:rsidRPr="00173C96" w:rsidRDefault="00376001" w:rsidP="0066301C">
            <w:pPr>
              <w:jc w:val="center"/>
              <w:rPr>
                <w:rFonts w:ascii="Arial" w:hAnsi="Arial" w:cs="Arial"/>
              </w:rPr>
            </w:pPr>
            <w:r w:rsidRPr="00173C96">
              <w:rPr>
                <w:rFonts w:ascii="Arial" w:hAnsi="Arial" w:cs="Arial"/>
              </w:rPr>
              <w:t>I(0)</w:t>
            </w:r>
          </w:p>
        </w:tc>
      </w:tr>
      <w:tr w:rsidR="00376001" w14:paraId="31EA6431" w14:textId="77777777" w:rsidTr="00376001">
        <w:trPr>
          <w:trHeight w:val="149"/>
          <w:jc w:val="center"/>
        </w:trPr>
        <w:tc>
          <w:tcPr>
            <w:tcW w:w="1067" w:type="dxa"/>
            <w:vMerge/>
          </w:tcPr>
          <w:p w14:paraId="405AF4D5" w14:textId="77777777" w:rsidR="00376001" w:rsidRPr="00173C96" w:rsidRDefault="00376001" w:rsidP="0066301C">
            <w:pPr>
              <w:rPr>
                <w:rFonts w:ascii="Arial" w:hAnsi="Arial" w:cs="Arial"/>
              </w:rPr>
            </w:pPr>
          </w:p>
        </w:tc>
        <w:tc>
          <w:tcPr>
            <w:tcW w:w="1063" w:type="dxa"/>
            <w:vMerge/>
          </w:tcPr>
          <w:p w14:paraId="7C6F5655" w14:textId="77777777" w:rsidR="00376001" w:rsidRPr="00173C96" w:rsidRDefault="00376001" w:rsidP="0066301C">
            <w:pPr>
              <w:rPr>
                <w:rFonts w:ascii="Arial" w:hAnsi="Arial" w:cs="Arial"/>
              </w:rPr>
            </w:pPr>
          </w:p>
        </w:tc>
        <w:tc>
          <w:tcPr>
            <w:tcW w:w="1976" w:type="dxa"/>
          </w:tcPr>
          <w:p w14:paraId="564FFB9B" w14:textId="77777777" w:rsidR="00376001" w:rsidRPr="00173C96" w:rsidRDefault="00376001" w:rsidP="0066301C">
            <w:pPr>
              <w:rPr>
                <w:rFonts w:ascii="Arial" w:hAnsi="Arial" w:cs="Arial"/>
              </w:rPr>
            </w:pPr>
            <w:r w:rsidRPr="00173C96">
              <w:rPr>
                <w:rFonts w:ascii="Arial" w:hAnsi="Arial" w:cs="Arial"/>
              </w:rPr>
              <w:t>Intercept &amp; trend</w:t>
            </w:r>
          </w:p>
        </w:tc>
        <w:tc>
          <w:tcPr>
            <w:tcW w:w="866" w:type="dxa"/>
          </w:tcPr>
          <w:p w14:paraId="5574458B" w14:textId="77777777" w:rsidR="00376001" w:rsidRPr="00173C96" w:rsidRDefault="00376001" w:rsidP="0066301C">
            <w:pPr>
              <w:jc w:val="center"/>
              <w:rPr>
                <w:rFonts w:ascii="Arial" w:hAnsi="Arial" w:cs="Arial"/>
              </w:rPr>
            </w:pPr>
            <w:r w:rsidRPr="00173C96">
              <w:rPr>
                <w:rFonts w:ascii="Arial" w:hAnsi="Arial" w:cs="Arial"/>
              </w:rPr>
              <w:t>0.0011</w:t>
            </w:r>
          </w:p>
        </w:tc>
        <w:tc>
          <w:tcPr>
            <w:tcW w:w="870" w:type="dxa"/>
          </w:tcPr>
          <w:p w14:paraId="689CD656" w14:textId="77777777" w:rsidR="00376001" w:rsidRPr="00173C96" w:rsidRDefault="00376001" w:rsidP="0066301C">
            <w:pPr>
              <w:jc w:val="center"/>
              <w:rPr>
                <w:rFonts w:ascii="Arial" w:hAnsi="Arial" w:cs="Arial"/>
              </w:rPr>
            </w:pPr>
            <w:r w:rsidRPr="00173C96">
              <w:rPr>
                <w:rFonts w:ascii="Arial" w:hAnsi="Arial" w:cs="Arial"/>
              </w:rPr>
              <w:t>0.0000</w:t>
            </w:r>
          </w:p>
        </w:tc>
        <w:tc>
          <w:tcPr>
            <w:tcW w:w="1001" w:type="dxa"/>
          </w:tcPr>
          <w:p w14:paraId="63D79036" w14:textId="77777777" w:rsidR="00376001" w:rsidRPr="00173C96" w:rsidRDefault="00376001" w:rsidP="0066301C">
            <w:pPr>
              <w:jc w:val="center"/>
              <w:rPr>
                <w:rFonts w:ascii="Arial" w:hAnsi="Arial" w:cs="Arial"/>
              </w:rPr>
            </w:pPr>
            <w:r w:rsidRPr="00173C96">
              <w:rPr>
                <w:rFonts w:ascii="Arial" w:hAnsi="Arial" w:cs="Arial"/>
              </w:rPr>
              <w:t>0.0000</w:t>
            </w:r>
          </w:p>
        </w:tc>
        <w:tc>
          <w:tcPr>
            <w:tcW w:w="926" w:type="dxa"/>
          </w:tcPr>
          <w:p w14:paraId="5FC441D4" w14:textId="77777777" w:rsidR="00376001" w:rsidRPr="00173C96" w:rsidRDefault="00376001" w:rsidP="0066301C">
            <w:pPr>
              <w:jc w:val="center"/>
              <w:rPr>
                <w:rFonts w:ascii="Arial" w:hAnsi="Arial" w:cs="Arial"/>
              </w:rPr>
            </w:pPr>
            <w:r w:rsidRPr="00173C96">
              <w:rPr>
                <w:rFonts w:ascii="Arial" w:hAnsi="Arial" w:cs="Arial"/>
              </w:rPr>
              <w:t>0.0000</w:t>
            </w:r>
          </w:p>
        </w:tc>
        <w:tc>
          <w:tcPr>
            <w:tcW w:w="990" w:type="dxa"/>
          </w:tcPr>
          <w:p w14:paraId="071E5688" w14:textId="77777777" w:rsidR="00376001" w:rsidRPr="00173C96" w:rsidRDefault="00376001" w:rsidP="0066301C">
            <w:pPr>
              <w:jc w:val="center"/>
              <w:rPr>
                <w:rFonts w:ascii="Arial" w:hAnsi="Arial" w:cs="Arial"/>
              </w:rPr>
            </w:pPr>
            <w:r w:rsidRPr="00173C96">
              <w:rPr>
                <w:rFonts w:ascii="Arial" w:hAnsi="Arial" w:cs="Arial"/>
              </w:rPr>
              <w:t>I(0)</w:t>
            </w:r>
          </w:p>
        </w:tc>
      </w:tr>
      <w:tr w:rsidR="00376001" w14:paraId="7D3D44CE" w14:textId="77777777" w:rsidTr="00376001">
        <w:trPr>
          <w:jc w:val="center"/>
        </w:trPr>
        <w:tc>
          <w:tcPr>
            <w:tcW w:w="1067" w:type="dxa"/>
            <w:vMerge w:val="restart"/>
          </w:tcPr>
          <w:p w14:paraId="08127BE7" w14:textId="77777777" w:rsidR="00376001" w:rsidRPr="00173C96" w:rsidRDefault="00376001" w:rsidP="0066301C">
            <w:pPr>
              <w:jc w:val="center"/>
              <w:rPr>
                <w:rFonts w:ascii="Arial" w:hAnsi="Arial" w:cs="Arial"/>
              </w:rPr>
            </w:pPr>
          </w:p>
          <w:p w14:paraId="48280710" w14:textId="77777777" w:rsidR="00376001" w:rsidRPr="00173C96" w:rsidRDefault="00376001" w:rsidP="0066301C">
            <w:pPr>
              <w:jc w:val="center"/>
              <w:rPr>
                <w:rFonts w:ascii="Arial" w:hAnsi="Arial" w:cs="Arial"/>
              </w:rPr>
            </w:pPr>
          </w:p>
          <w:p w14:paraId="42A3C8DA" w14:textId="77777777" w:rsidR="00376001" w:rsidRPr="00173C96" w:rsidRDefault="00376001" w:rsidP="0066301C">
            <w:pPr>
              <w:jc w:val="center"/>
              <w:rPr>
                <w:rFonts w:ascii="Arial" w:hAnsi="Arial" w:cs="Arial"/>
              </w:rPr>
            </w:pPr>
            <w:r w:rsidRPr="00173C96">
              <w:rPr>
                <w:rFonts w:ascii="Arial" w:hAnsi="Arial" w:cs="Arial"/>
              </w:rPr>
              <w:t>OPEN</w:t>
            </w:r>
          </w:p>
        </w:tc>
        <w:tc>
          <w:tcPr>
            <w:tcW w:w="1063" w:type="dxa"/>
            <w:vMerge w:val="restart"/>
          </w:tcPr>
          <w:p w14:paraId="205D3D72" w14:textId="77777777" w:rsidR="00376001" w:rsidRPr="00173C96" w:rsidRDefault="00376001" w:rsidP="0066301C">
            <w:pPr>
              <w:jc w:val="center"/>
              <w:rPr>
                <w:rFonts w:ascii="Arial" w:hAnsi="Arial" w:cs="Arial"/>
              </w:rPr>
            </w:pPr>
          </w:p>
          <w:p w14:paraId="340B079F" w14:textId="77777777" w:rsidR="00376001" w:rsidRPr="00173C96" w:rsidRDefault="00376001" w:rsidP="0066301C">
            <w:pPr>
              <w:jc w:val="center"/>
              <w:rPr>
                <w:rFonts w:ascii="Arial" w:hAnsi="Arial" w:cs="Arial"/>
              </w:rPr>
            </w:pPr>
            <w:r w:rsidRPr="00173C96">
              <w:rPr>
                <w:rFonts w:ascii="Arial" w:hAnsi="Arial" w:cs="Arial"/>
              </w:rPr>
              <w:t>Level</w:t>
            </w:r>
          </w:p>
        </w:tc>
        <w:tc>
          <w:tcPr>
            <w:tcW w:w="1976" w:type="dxa"/>
          </w:tcPr>
          <w:p w14:paraId="263023FF" w14:textId="77777777" w:rsidR="00376001" w:rsidRPr="00173C96" w:rsidRDefault="00376001" w:rsidP="0066301C">
            <w:pPr>
              <w:rPr>
                <w:rFonts w:ascii="Arial" w:hAnsi="Arial" w:cs="Arial"/>
              </w:rPr>
            </w:pPr>
            <w:r w:rsidRPr="00173C96">
              <w:rPr>
                <w:rFonts w:ascii="Arial" w:hAnsi="Arial" w:cs="Arial"/>
              </w:rPr>
              <w:t>Intercept</w:t>
            </w:r>
          </w:p>
        </w:tc>
        <w:tc>
          <w:tcPr>
            <w:tcW w:w="866" w:type="dxa"/>
          </w:tcPr>
          <w:p w14:paraId="1FE1C12F" w14:textId="77777777" w:rsidR="00376001" w:rsidRPr="00173C96" w:rsidRDefault="00376001" w:rsidP="0066301C">
            <w:pPr>
              <w:jc w:val="center"/>
              <w:rPr>
                <w:rFonts w:ascii="Arial" w:hAnsi="Arial" w:cs="Arial"/>
              </w:rPr>
            </w:pPr>
            <w:r w:rsidRPr="00173C96">
              <w:rPr>
                <w:rFonts w:ascii="Arial" w:hAnsi="Arial" w:cs="Arial"/>
              </w:rPr>
              <w:t>0.4684</w:t>
            </w:r>
          </w:p>
        </w:tc>
        <w:tc>
          <w:tcPr>
            <w:tcW w:w="870" w:type="dxa"/>
          </w:tcPr>
          <w:p w14:paraId="32BCEFDB" w14:textId="77777777" w:rsidR="00376001" w:rsidRPr="00173C96" w:rsidRDefault="00376001" w:rsidP="0066301C">
            <w:pPr>
              <w:jc w:val="center"/>
              <w:rPr>
                <w:rFonts w:ascii="Arial" w:hAnsi="Arial" w:cs="Arial"/>
              </w:rPr>
            </w:pPr>
            <w:r w:rsidRPr="00173C96">
              <w:rPr>
                <w:rFonts w:ascii="Arial" w:hAnsi="Arial" w:cs="Arial"/>
              </w:rPr>
              <w:t>0.3205</w:t>
            </w:r>
          </w:p>
        </w:tc>
        <w:tc>
          <w:tcPr>
            <w:tcW w:w="1001" w:type="dxa"/>
          </w:tcPr>
          <w:p w14:paraId="154A7EDA" w14:textId="77777777" w:rsidR="00376001" w:rsidRPr="00173C96" w:rsidRDefault="00376001" w:rsidP="0066301C">
            <w:pPr>
              <w:jc w:val="center"/>
              <w:rPr>
                <w:rFonts w:ascii="Arial" w:hAnsi="Arial" w:cs="Arial"/>
              </w:rPr>
            </w:pPr>
            <w:r w:rsidRPr="00173C96">
              <w:rPr>
                <w:rFonts w:ascii="Arial" w:hAnsi="Arial" w:cs="Arial"/>
              </w:rPr>
              <w:t>0.4196</w:t>
            </w:r>
          </w:p>
        </w:tc>
        <w:tc>
          <w:tcPr>
            <w:tcW w:w="926" w:type="dxa"/>
          </w:tcPr>
          <w:p w14:paraId="65F11FF3" w14:textId="77777777" w:rsidR="00376001" w:rsidRPr="00173C96" w:rsidRDefault="00376001" w:rsidP="0066301C">
            <w:pPr>
              <w:jc w:val="center"/>
              <w:rPr>
                <w:rFonts w:ascii="Arial" w:hAnsi="Arial" w:cs="Arial"/>
              </w:rPr>
            </w:pPr>
            <w:r w:rsidRPr="00173C96">
              <w:rPr>
                <w:rFonts w:ascii="Arial" w:hAnsi="Arial" w:cs="Arial"/>
              </w:rPr>
              <w:t>0.1042</w:t>
            </w:r>
          </w:p>
        </w:tc>
        <w:tc>
          <w:tcPr>
            <w:tcW w:w="990" w:type="dxa"/>
          </w:tcPr>
          <w:p w14:paraId="6E63944D" w14:textId="77777777" w:rsidR="00376001" w:rsidRPr="00173C96" w:rsidRDefault="00376001" w:rsidP="0066301C">
            <w:pPr>
              <w:jc w:val="center"/>
              <w:rPr>
                <w:rFonts w:ascii="Arial" w:hAnsi="Arial" w:cs="Arial"/>
              </w:rPr>
            </w:pPr>
            <w:r w:rsidRPr="00173C96">
              <w:rPr>
                <w:rFonts w:ascii="Arial" w:hAnsi="Arial" w:cs="Arial"/>
              </w:rPr>
              <w:t>I(1)</w:t>
            </w:r>
          </w:p>
        </w:tc>
      </w:tr>
      <w:tr w:rsidR="00376001" w14:paraId="3E3EB11C" w14:textId="77777777" w:rsidTr="00376001">
        <w:trPr>
          <w:jc w:val="center"/>
        </w:trPr>
        <w:tc>
          <w:tcPr>
            <w:tcW w:w="1067" w:type="dxa"/>
            <w:vMerge/>
          </w:tcPr>
          <w:p w14:paraId="32859656" w14:textId="77777777" w:rsidR="00376001" w:rsidRPr="00173C96" w:rsidRDefault="00376001" w:rsidP="0066301C">
            <w:pPr>
              <w:rPr>
                <w:rFonts w:ascii="Arial" w:hAnsi="Arial" w:cs="Arial"/>
              </w:rPr>
            </w:pPr>
          </w:p>
        </w:tc>
        <w:tc>
          <w:tcPr>
            <w:tcW w:w="1063" w:type="dxa"/>
            <w:vMerge/>
          </w:tcPr>
          <w:p w14:paraId="49E532B0" w14:textId="77777777" w:rsidR="00376001" w:rsidRPr="00173C96" w:rsidRDefault="00376001" w:rsidP="0066301C">
            <w:pPr>
              <w:rPr>
                <w:rFonts w:ascii="Arial" w:hAnsi="Arial" w:cs="Arial"/>
              </w:rPr>
            </w:pPr>
          </w:p>
        </w:tc>
        <w:tc>
          <w:tcPr>
            <w:tcW w:w="1976" w:type="dxa"/>
          </w:tcPr>
          <w:p w14:paraId="78D674C8" w14:textId="77777777" w:rsidR="00376001" w:rsidRPr="00173C96" w:rsidRDefault="00376001" w:rsidP="0066301C">
            <w:pPr>
              <w:rPr>
                <w:rFonts w:ascii="Arial" w:hAnsi="Arial" w:cs="Arial"/>
              </w:rPr>
            </w:pPr>
            <w:r w:rsidRPr="00173C96">
              <w:rPr>
                <w:rFonts w:ascii="Arial" w:hAnsi="Arial" w:cs="Arial"/>
              </w:rPr>
              <w:t>Intercept &amp; trend</w:t>
            </w:r>
          </w:p>
        </w:tc>
        <w:tc>
          <w:tcPr>
            <w:tcW w:w="866" w:type="dxa"/>
          </w:tcPr>
          <w:p w14:paraId="564B1D9B" w14:textId="77777777" w:rsidR="00376001" w:rsidRPr="00173C96" w:rsidRDefault="00376001" w:rsidP="0066301C">
            <w:pPr>
              <w:jc w:val="center"/>
              <w:rPr>
                <w:rFonts w:ascii="Arial" w:hAnsi="Arial" w:cs="Arial"/>
              </w:rPr>
            </w:pPr>
            <w:r w:rsidRPr="00173C96">
              <w:rPr>
                <w:rFonts w:ascii="Arial" w:hAnsi="Arial" w:cs="Arial"/>
              </w:rPr>
              <w:t>0.8925</w:t>
            </w:r>
          </w:p>
        </w:tc>
        <w:tc>
          <w:tcPr>
            <w:tcW w:w="870" w:type="dxa"/>
          </w:tcPr>
          <w:p w14:paraId="1ABBB461" w14:textId="77777777" w:rsidR="00376001" w:rsidRPr="00173C96" w:rsidRDefault="00376001" w:rsidP="0066301C">
            <w:pPr>
              <w:jc w:val="center"/>
              <w:rPr>
                <w:rFonts w:ascii="Arial" w:hAnsi="Arial" w:cs="Arial"/>
              </w:rPr>
            </w:pPr>
            <w:r w:rsidRPr="00173C96">
              <w:rPr>
                <w:rFonts w:ascii="Arial" w:hAnsi="Arial" w:cs="Arial"/>
              </w:rPr>
              <w:t>0.8902</w:t>
            </w:r>
          </w:p>
        </w:tc>
        <w:tc>
          <w:tcPr>
            <w:tcW w:w="1001" w:type="dxa"/>
          </w:tcPr>
          <w:p w14:paraId="2E03A463" w14:textId="77777777" w:rsidR="00376001" w:rsidRPr="00173C96" w:rsidRDefault="00376001" w:rsidP="0066301C">
            <w:pPr>
              <w:jc w:val="center"/>
              <w:rPr>
                <w:rFonts w:ascii="Arial" w:hAnsi="Arial" w:cs="Arial"/>
              </w:rPr>
            </w:pPr>
            <w:r w:rsidRPr="00173C96">
              <w:rPr>
                <w:rFonts w:ascii="Arial" w:hAnsi="Arial" w:cs="Arial"/>
              </w:rPr>
              <w:t>0.7907</w:t>
            </w:r>
          </w:p>
        </w:tc>
        <w:tc>
          <w:tcPr>
            <w:tcW w:w="926" w:type="dxa"/>
          </w:tcPr>
          <w:p w14:paraId="5CC637D0" w14:textId="77777777" w:rsidR="00376001" w:rsidRPr="00173C96" w:rsidRDefault="00376001" w:rsidP="0066301C">
            <w:pPr>
              <w:jc w:val="center"/>
              <w:rPr>
                <w:rFonts w:ascii="Arial" w:hAnsi="Arial" w:cs="Arial"/>
              </w:rPr>
            </w:pPr>
            <w:r w:rsidRPr="00173C96">
              <w:rPr>
                <w:rFonts w:ascii="Arial" w:hAnsi="Arial" w:cs="Arial"/>
              </w:rPr>
              <w:t>0.3257</w:t>
            </w:r>
          </w:p>
        </w:tc>
        <w:tc>
          <w:tcPr>
            <w:tcW w:w="990" w:type="dxa"/>
          </w:tcPr>
          <w:p w14:paraId="3B581C33" w14:textId="77777777" w:rsidR="00376001" w:rsidRPr="00173C96" w:rsidRDefault="00376001" w:rsidP="0066301C">
            <w:pPr>
              <w:jc w:val="center"/>
              <w:rPr>
                <w:rFonts w:ascii="Arial" w:hAnsi="Arial" w:cs="Arial"/>
              </w:rPr>
            </w:pPr>
            <w:r w:rsidRPr="00173C96">
              <w:rPr>
                <w:rFonts w:ascii="Arial" w:hAnsi="Arial" w:cs="Arial"/>
              </w:rPr>
              <w:t>I(1)</w:t>
            </w:r>
          </w:p>
        </w:tc>
      </w:tr>
      <w:tr w:rsidR="00376001" w14:paraId="4A51F2DA" w14:textId="77777777" w:rsidTr="00376001">
        <w:trPr>
          <w:jc w:val="center"/>
        </w:trPr>
        <w:tc>
          <w:tcPr>
            <w:tcW w:w="1067" w:type="dxa"/>
            <w:vMerge/>
          </w:tcPr>
          <w:p w14:paraId="061D5E2F" w14:textId="77777777" w:rsidR="00376001" w:rsidRPr="00173C96" w:rsidRDefault="00376001" w:rsidP="0066301C">
            <w:pPr>
              <w:rPr>
                <w:rFonts w:ascii="Arial" w:hAnsi="Arial" w:cs="Arial"/>
              </w:rPr>
            </w:pPr>
          </w:p>
        </w:tc>
        <w:tc>
          <w:tcPr>
            <w:tcW w:w="1063" w:type="dxa"/>
            <w:vMerge w:val="restart"/>
          </w:tcPr>
          <w:p w14:paraId="2FB2F0D7" w14:textId="77777777" w:rsidR="00376001" w:rsidRPr="00173C96" w:rsidRDefault="00376001" w:rsidP="0066301C">
            <w:pPr>
              <w:jc w:val="center"/>
              <w:rPr>
                <w:rFonts w:ascii="Arial" w:hAnsi="Arial" w:cs="Arial"/>
              </w:rPr>
            </w:pPr>
          </w:p>
          <w:p w14:paraId="7ECE31AE" w14:textId="77777777" w:rsidR="00376001" w:rsidRPr="00173C96" w:rsidRDefault="00376001" w:rsidP="0066301C">
            <w:pPr>
              <w:jc w:val="center"/>
              <w:rPr>
                <w:rFonts w:ascii="Arial" w:hAnsi="Arial" w:cs="Arial"/>
              </w:rPr>
            </w:pPr>
            <w:r w:rsidRPr="00173C96">
              <w:rPr>
                <w:rFonts w:ascii="Arial" w:hAnsi="Arial" w:cs="Arial"/>
              </w:rPr>
              <w:t>1</w:t>
            </w:r>
            <w:r w:rsidRPr="00173C96">
              <w:rPr>
                <w:rFonts w:ascii="Arial" w:hAnsi="Arial" w:cs="Arial"/>
                <w:vertAlign w:val="superscript"/>
              </w:rPr>
              <w:t>st</w:t>
            </w:r>
            <w:r w:rsidRPr="00173C96">
              <w:rPr>
                <w:rFonts w:ascii="Arial" w:hAnsi="Arial" w:cs="Arial"/>
              </w:rPr>
              <w:t xml:space="preserve"> diff.</w:t>
            </w:r>
          </w:p>
        </w:tc>
        <w:tc>
          <w:tcPr>
            <w:tcW w:w="1976" w:type="dxa"/>
          </w:tcPr>
          <w:p w14:paraId="4754EEA6" w14:textId="77777777" w:rsidR="00376001" w:rsidRPr="00173C96" w:rsidRDefault="00376001" w:rsidP="0066301C">
            <w:pPr>
              <w:rPr>
                <w:rFonts w:ascii="Arial" w:hAnsi="Arial" w:cs="Arial"/>
              </w:rPr>
            </w:pPr>
            <w:r w:rsidRPr="00173C96">
              <w:rPr>
                <w:rFonts w:ascii="Arial" w:hAnsi="Arial" w:cs="Arial"/>
              </w:rPr>
              <w:t>Intercept</w:t>
            </w:r>
          </w:p>
        </w:tc>
        <w:tc>
          <w:tcPr>
            <w:tcW w:w="866" w:type="dxa"/>
          </w:tcPr>
          <w:p w14:paraId="20543BAF" w14:textId="77777777" w:rsidR="00376001" w:rsidRPr="00173C96" w:rsidRDefault="00376001" w:rsidP="0066301C">
            <w:pPr>
              <w:jc w:val="center"/>
              <w:rPr>
                <w:rFonts w:ascii="Arial" w:hAnsi="Arial" w:cs="Arial"/>
              </w:rPr>
            </w:pPr>
            <w:r w:rsidRPr="00173C96">
              <w:rPr>
                <w:rFonts w:ascii="Arial" w:hAnsi="Arial" w:cs="Arial"/>
              </w:rPr>
              <w:t>0.0003</w:t>
            </w:r>
          </w:p>
        </w:tc>
        <w:tc>
          <w:tcPr>
            <w:tcW w:w="870" w:type="dxa"/>
          </w:tcPr>
          <w:p w14:paraId="5A827932" w14:textId="77777777" w:rsidR="00376001" w:rsidRPr="00173C96" w:rsidRDefault="00376001" w:rsidP="0066301C">
            <w:pPr>
              <w:jc w:val="center"/>
              <w:rPr>
                <w:rFonts w:ascii="Arial" w:hAnsi="Arial" w:cs="Arial"/>
              </w:rPr>
            </w:pPr>
            <w:r w:rsidRPr="00173C96">
              <w:rPr>
                <w:rFonts w:ascii="Arial" w:hAnsi="Arial" w:cs="Arial"/>
              </w:rPr>
              <w:t>0.0000</w:t>
            </w:r>
          </w:p>
        </w:tc>
        <w:tc>
          <w:tcPr>
            <w:tcW w:w="1001" w:type="dxa"/>
          </w:tcPr>
          <w:p w14:paraId="5A705E16" w14:textId="77777777" w:rsidR="00376001" w:rsidRPr="00173C96" w:rsidRDefault="00376001" w:rsidP="0066301C">
            <w:pPr>
              <w:jc w:val="center"/>
              <w:rPr>
                <w:rFonts w:ascii="Arial" w:hAnsi="Arial" w:cs="Arial"/>
              </w:rPr>
            </w:pPr>
            <w:r w:rsidRPr="00173C96">
              <w:rPr>
                <w:rFonts w:ascii="Arial" w:hAnsi="Arial" w:cs="Arial"/>
              </w:rPr>
              <w:t>0.0000</w:t>
            </w:r>
          </w:p>
        </w:tc>
        <w:tc>
          <w:tcPr>
            <w:tcW w:w="926" w:type="dxa"/>
          </w:tcPr>
          <w:p w14:paraId="23D6538D" w14:textId="77777777" w:rsidR="00376001" w:rsidRPr="00173C96" w:rsidRDefault="00376001" w:rsidP="0066301C">
            <w:pPr>
              <w:jc w:val="center"/>
              <w:rPr>
                <w:rFonts w:ascii="Arial" w:hAnsi="Arial" w:cs="Arial"/>
              </w:rPr>
            </w:pPr>
            <w:r w:rsidRPr="00173C96">
              <w:rPr>
                <w:rFonts w:ascii="Arial" w:hAnsi="Arial" w:cs="Arial"/>
              </w:rPr>
              <w:t>0.0000</w:t>
            </w:r>
          </w:p>
        </w:tc>
        <w:tc>
          <w:tcPr>
            <w:tcW w:w="990" w:type="dxa"/>
          </w:tcPr>
          <w:p w14:paraId="70500EBA" w14:textId="77777777" w:rsidR="00376001" w:rsidRPr="00173C96" w:rsidRDefault="00376001" w:rsidP="0066301C">
            <w:pPr>
              <w:jc w:val="center"/>
              <w:rPr>
                <w:rFonts w:ascii="Arial" w:hAnsi="Arial" w:cs="Arial"/>
              </w:rPr>
            </w:pPr>
            <w:r w:rsidRPr="00173C96">
              <w:rPr>
                <w:rFonts w:ascii="Arial" w:hAnsi="Arial" w:cs="Arial"/>
              </w:rPr>
              <w:t>I(0)</w:t>
            </w:r>
          </w:p>
        </w:tc>
      </w:tr>
      <w:tr w:rsidR="00376001" w14:paraId="28E31005" w14:textId="77777777" w:rsidTr="00376001">
        <w:trPr>
          <w:trHeight w:val="149"/>
          <w:jc w:val="center"/>
        </w:trPr>
        <w:tc>
          <w:tcPr>
            <w:tcW w:w="1067" w:type="dxa"/>
            <w:vMerge/>
          </w:tcPr>
          <w:p w14:paraId="44DE63A5" w14:textId="77777777" w:rsidR="00376001" w:rsidRPr="00173C96" w:rsidRDefault="00376001" w:rsidP="0066301C">
            <w:pPr>
              <w:rPr>
                <w:rFonts w:ascii="Arial" w:hAnsi="Arial" w:cs="Arial"/>
              </w:rPr>
            </w:pPr>
          </w:p>
        </w:tc>
        <w:tc>
          <w:tcPr>
            <w:tcW w:w="1063" w:type="dxa"/>
            <w:vMerge/>
          </w:tcPr>
          <w:p w14:paraId="22A1919A" w14:textId="77777777" w:rsidR="00376001" w:rsidRPr="00173C96" w:rsidRDefault="00376001" w:rsidP="0066301C">
            <w:pPr>
              <w:rPr>
                <w:rFonts w:ascii="Arial" w:hAnsi="Arial" w:cs="Arial"/>
              </w:rPr>
            </w:pPr>
          </w:p>
        </w:tc>
        <w:tc>
          <w:tcPr>
            <w:tcW w:w="1976" w:type="dxa"/>
          </w:tcPr>
          <w:p w14:paraId="2B5B8090" w14:textId="77777777" w:rsidR="00376001" w:rsidRPr="00173C96" w:rsidRDefault="00376001" w:rsidP="0066301C">
            <w:pPr>
              <w:rPr>
                <w:rFonts w:ascii="Arial" w:hAnsi="Arial" w:cs="Arial"/>
              </w:rPr>
            </w:pPr>
            <w:r w:rsidRPr="00173C96">
              <w:rPr>
                <w:rFonts w:ascii="Arial" w:hAnsi="Arial" w:cs="Arial"/>
              </w:rPr>
              <w:t>Intercept &amp; trend</w:t>
            </w:r>
          </w:p>
        </w:tc>
        <w:tc>
          <w:tcPr>
            <w:tcW w:w="866" w:type="dxa"/>
          </w:tcPr>
          <w:p w14:paraId="705FCFF4" w14:textId="77777777" w:rsidR="00376001" w:rsidRPr="00173C96" w:rsidRDefault="00376001" w:rsidP="0066301C">
            <w:pPr>
              <w:jc w:val="center"/>
              <w:rPr>
                <w:rFonts w:ascii="Arial" w:hAnsi="Arial" w:cs="Arial"/>
              </w:rPr>
            </w:pPr>
            <w:r w:rsidRPr="00173C96">
              <w:rPr>
                <w:rFonts w:ascii="Arial" w:hAnsi="Arial" w:cs="Arial"/>
              </w:rPr>
              <w:t>0.0060</w:t>
            </w:r>
          </w:p>
        </w:tc>
        <w:tc>
          <w:tcPr>
            <w:tcW w:w="870" w:type="dxa"/>
          </w:tcPr>
          <w:p w14:paraId="26B9B3F6" w14:textId="77777777" w:rsidR="00376001" w:rsidRPr="00173C96" w:rsidRDefault="00376001" w:rsidP="0066301C">
            <w:pPr>
              <w:jc w:val="center"/>
              <w:rPr>
                <w:rFonts w:ascii="Arial" w:hAnsi="Arial" w:cs="Arial"/>
              </w:rPr>
            </w:pPr>
            <w:r w:rsidRPr="00173C96">
              <w:rPr>
                <w:rFonts w:ascii="Arial" w:hAnsi="Arial" w:cs="Arial"/>
              </w:rPr>
              <w:t>0.0000</w:t>
            </w:r>
          </w:p>
        </w:tc>
        <w:tc>
          <w:tcPr>
            <w:tcW w:w="1001" w:type="dxa"/>
          </w:tcPr>
          <w:p w14:paraId="3D39A2A2" w14:textId="77777777" w:rsidR="00376001" w:rsidRPr="00173C96" w:rsidRDefault="00376001" w:rsidP="0066301C">
            <w:pPr>
              <w:jc w:val="center"/>
              <w:rPr>
                <w:rFonts w:ascii="Arial" w:hAnsi="Arial" w:cs="Arial"/>
              </w:rPr>
            </w:pPr>
            <w:r w:rsidRPr="00173C96">
              <w:rPr>
                <w:rFonts w:ascii="Arial" w:hAnsi="Arial" w:cs="Arial"/>
              </w:rPr>
              <w:t>0.0000</w:t>
            </w:r>
          </w:p>
        </w:tc>
        <w:tc>
          <w:tcPr>
            <w:tcW w:w="926" w:type="dxa"/>
          </w:tcPr>
          <w:p w14:paraId="6720F884" w14:textId="77777777" w:rsidR="00376001" w:rsidRPr="00173C96" w:rsidRDefault="00376001" w:rsidP="0066301C">
            <w:pPr>
              <w:jc w:val="center"/>
              <w:rPr>
                <w:rFonts w:ascii="Arial" w:hAnsi="Arial" w:cs="Arial"/>
              </w:rPr>
            </w:pPr>
            <w:r w:rsidRPr="00173C96">
              <w:rPr>
                <w:rFonts w:ascii="Arial" w:hAnsi="Arial" w:cs="Arial"/>
              </w:rPr>
              <w:t>0.0000</w:t>
            </w:r>
          </w:p>
        </w:tc>
        <w:tc>
          <w:tcPr>
            <w:tcW w:w="990" w:type="dxa"/>
          </w:tcPr>
          <w:p w14:paraId="76EACDB8" w14:textId="77777777" w:rsidR="00376001" w:rsidRPr="00173C96" w:rsidRDefault="00376001" w:rsidP="0066301C">
            <w:pPr>
              <w:jc w:val="center"/>
              <w:rPr>
                <w:rFonts w:ascii="Arial" w:hAnsi="Arial" w:cs="Arial"/>
              </w:rPr>
            </w:pPr>
            <w:r w:rsidRPr="00173C96">
              <w:rPr>
                <w:rFonts w:ascii="Arial" w:hAnsi="Arial" w:cs="Arial"/>
              </w:rPr>
              <w:t>I(0)</w:t>
            </w:r>
          </w:p>
        </w:tc>
      </w:tr>
      <w:tr w:rsidR="00376001" w14:paraId="67639CF8" w14:textId="77777777" w:rsidTr="00376001">
        <w:trPr>
          <w:jc w:val="center"/>
        </w:trPr>
        <w:tc>
          <w:tcPr>
            <w:tcW w:w="1067" w:type="dxa"/>
            <w:vMerge w:val="restart"/>
          </w:tcPr>
          <w:p w14:paraId="29EA532E" w14:textId="77777777" w:rsidR="00376001" w:rsidRPr="00173C96" w:rsidRDefault="00376001" w:rsidP="0066301C">
            <w:pPr>
              <w:jc w:val="center"/>
              <w:rPr>
                <w:rFonts w:ascii="Arial" w:hAnsi="Arial" w:cs="Arial"/>
              </w:rPr>
            </w:pPr>
          </w:p>
          <w:p w14:paraId="1D85CA81" w14:textId="77777777" w:rsidR="00376001" w:rsidRPr="00173C96" w:rsidRDefault="00376001" w:rsidP="0066301C">
            <w:pPr>
              <w:jc w:val="center"/>
              <w:rPr>
                <w:rFonts w:ascii="Arial" w:hAnsi="Arial" w:cs="Arial"/>
              </w:rPr>
            </w:pPr>
          </w:p>
          <w:p w14:paraId="30B67295" w14:textId="77777777" w:rsidR="00376001" w:rsidRPr="00173C96" w:rsidRDefault="00376001" w:rsidP="0066301C">
            <w:pPr>
              <w:jc w:val="center"/>
              <w:rPr>
                <w:rFonts w:ascii="Arial" w:hAnsi="Arial" w:cs="Arial"/>
              </w:rPr>
            </w:pPr>
            <w:r w:rsidRPr="00173C96">
              <w:rPr>
                <w:rFonts w:ascii="Arial" w:hAnsi="Arial" w:cs="Arial"/>
              </w:rPr>
              <w:t>GOVCON</w:t>
            </w:r>
          </w:p>
        </w:tc>
        <w:tc>
          <w:tcPr>
            <w:tcW w:w="1063" w:type="dxa"/>
            <w:vMerge w:val="restart"/>
          </w:tcPr>
          <w:p w14:paraId="62568F0D" w14:textId="77777777" w:rsidR="00376001" w:rsidRPr="00173C96" w:rsidRDefault="00376001" w:rsidP="0066301C">
            <w:pPr>
              <w:jc w:val="center"/>
              <w:rPr>
                <w:rFonts w:ascii="Arial" w:hAnsi="Arial" w:cs="Arial"/>
              </w:rPr>
            </w:pPr>
          </w:p>
          <w:p w14:paraId="2DBAC628" w14:textId="77777777" w:rsidR="00376001" w:rsidRPr="00173C96" w:rsidRDefault="00376001" w:rsidP="0066301C">
            <w:pPr>
              <w:jc w:val="center"/>
              <w:rPr>
                <w:rFonts w:ascii="Arial" w:hAnsi="Arial" w:cs="Arial"/>
              </w:rPr>
            </w:pPr>
            <w:r w:rsidRPr="00173C96">
              <w:rPr>
                <w:rFonts w:ascii="Arial" w:hAnsi="Arial" w:cs="Arial"/>
              </w:rPr>
              <w:t>Level</w:t>
            </w:r>
          </w:p>
        </w:tc>
        <w:tc>
          <w:tcPr>
            <w:tcW w:w="1976" w:type="dxa"/>
          </w:tcPr>
          <w:p w14:paraId="7150BD9A" w14:textId="77777777" w:rsidR="00376001" w:rsidRPr="00173C96" w:rsidRDefault="00376001" w:rsidP="0066301C">
            <w:pPr>
              <w:rPr>
                <w:rFonts w:ascii="Arial" w:hAnsi="Arial" w:cs="Arial"/>
              </w:rPr>
            </w:pPr>
            <w:r w:rsidRPr="00173C96">
              <w:rPr>
                <w:rFonts w:ascii="Arial" w:hAnsi="Arial" w:cs="Arial"/>
              </w:rPr>
              <w:t>Intercept</w:t>
            </w:r>
          </w:p>
        </w:tc>
        <w:tc>
          <w:tcPr>
            <w:tcW w:w="866" w:type="dxa"/>
          </w:tcPr>
          <w:p w14:paraId="4186AB51" w14:textId="77777777" w:rsidR="00376001" w:rsidRPr="00173C96" w:rsidRDefault="00376001" w:rsidP="0066301C">
            <w:pPr>
              <w:jc w:val="center"/>
              <w:rPr>
                <w:rFonts w:ascii="Arial" w:hAnsi="Arial" w:cs="Arial"/>
              </w:rPr>
            </w:pPr>
            <w:r w:rsidRPr="00173C96">
              <w:rPr>
                <w:rFonts w:ascii="Arial" w:hAnsi="Arial" w:cs="Arial"/>
              </w:rPr>
              <w:t>0.2224</w:t>
            </w:r>
          </w:p>
        </w:tc>
        <w:tc>
          <w:tcPr>
            <w:tcW w:w="870" w:type="dxa"/>
          </w:tcPr>
          <w:p w14:paraId="66670B54" w14:textId="77777777" w:rsidR="00376001" w:rsidRPr="00173C96" w:rsidRDefault="00376001" w:rsidP="0066301C">
            <w:pPr>
              <w:jc w:val="center"/>
              <w:rPr>
                <w:rFonts w:ascii="Arial" w:hAnsi="Arial" w:cs="Arial"/>
              </w:rPr>
            </w:pPr>
            <w:r w:rsidRPr="00173C96">
              <w:rPr>
                <w:rFonts w:ascii="Arial" w:hAnsi="Arial" w:cs="Arial"/>
              </w:rPr>
              <w:t>0.0346</w:t>
            </w:r>
          </w:p>
        </w:tc>
        <w:tc>
          <w:tcPr>
            <w:tcW w:w="1001" w:type="dxa"/>
          </w:tcPr>
          <w:p w14:paraId="1A2A8B9B" w14:textId="77777777" w:rsidR="00376001" w:rsidRPr="00173C96" w:rsidRDefault="00376001" w:rsidP="0066301C">
            <w:pPr>
              <w:jc w:val="center"/>
              <w:rPr>
                <w:rFonts w:ascii="Arial" w:hAnsi="Arial" w:cs="Arial"/>
              </w:rPr>
            </w:pPr>
            <w:r w:rsidRPr="00173C96">
              <w:rPr>
                <w:rFonts w:ascii="Arial" w:hAnsi="Arial" w:cs="Arial"/>
              </w:rPr>
              <w:t>0.0525</w:t>
            </w:r>
          </w:p>
        </w:tc>
        <w:tc>
          <w:tcPr>
            <w:tcW w:w="926" w:type="dxa"/>
          </w:tcPr>
          <w:p w14:paraId="6D3A76F9" w14:textId="77777777" w:rsidR="00376001" w:rsidRPr="00173C96" w:rsidRDefault="00376001" w:rsidP="0066301C">
            <w:pPr>
              <w:jc w:val="center"/>
              <w:rPr>
                <w:rFonts w:ascii="Arial" w:hAnsi="Arial" w:cs="Arial"/>
              </w:rPr>
            </w:pPr>
            <w:r w:rsidRPr="00173C96">
              <w:rPr>
                <w:rFonts w:ascii="Arial" w:hAnsi="Arial" w:cs="Arial"/>
              </w:rPr>
              <w:t>0.1101</w:t>
            </w:r>
          </w:p>
        </w:tc>
        <w:tc>
          <w:tcPr>
            <w:tcW w:w="990" w:type="dxa"/>
          </w:tcPr>
          <w:p w14:paraId="76F31B1A" w14:textId="77777777" w:rsidR="00376001" w:rsidRPr="00173C96" w:rsidRDefault="00376001" w:rsidP="0066301C">
            <w:pPr>
              <w:jc w:val="center"/>
              <w:rPr>
                <w:rFonts w:ascii="Arial" w:hAnsi="Arial" w:cs="Arial"/>
              </w:rPr>
            </w:pPr>
            <w:r w:rsidRPr="00173C96">
              <w:rPr>
                <w:rFonts w:ascii="Arial" w:hAnsi="Arial" w:cs="Arial"/>
              </w:rPr>
              <w:t>I(1)</w:t>
            </w:r>
          </w:p>
        </w:tc>
      </w:tr>
      <w:tr w:rsidR="00376001" w14:paraId="613469CF" w14:textId="77777777" w:rsidTr="00376001">
        <w:trPr>
          <w:jc w:val="center"/>
        </w:trPr>
        <w:tc>
          <w:tcPr>
            <w:tcW w:w="1067" w:type="dxa"/>
            <w:vMerge/>
          </w:tcPr>
          <w:p w14:paraId="7389BEEA" w14:textId="77777777" w:rsidR="00376001" w:rsidRPr="00173C96" w:rsidRDefault="00376001" w:rsidP="0066301C">
            <w:pPr>
              <w:rPr>
                <w:rFonts w:ascii="Arial" w:hAnsi="Arial" w:cs="Arial"/>
              </w:rPr>
            </w:pPr>
          </w:p>
        </w:tc>
        <w:tc>
          <w:tcPr>
            <w:tcW w:w="1063" w:type="dxa"/>
            <w:vMerge/>
          </w:tcPr>
          <w:p w14:paraId="066E1BA2" w14:textId="77777777" w:rsidR="00376001" w:rsidRPr="00173C96" w:rsidRDefault="00376001" w:rsidP="0066301C">
            <w:pPr>
              <w:rPr>
                <w:rFonts w:ascii="Arial" w:hAnsi="Arial" w:cs="Arial"/>
              </w:rPr>
            </w:pPr>
          </w:p>
        </w:tc>
        <w:tc>
          <w:tcPr>
            <w:tcW w:w="1976" w:type="dxa"/>
          </w:tcPr>
          <w:p w14:paraId="4926DCCF" w14:textId="77777777" w:rsidR="00376001" w:rsidRPr="00173C96" w:rsidRDefault="00376001" w:rsidP="0066301C">
            <w:pPr>
              <w:rPr>
                <w:rFonts w:ascii="Arial" w:hAnsi="Arial" w:cs="Arial"/>
              </w:rPr>
            </w:pPr>
            <w:r w:rsidRPr="00173C96">
              <w:rPr>
                <w:rFonts w:ascii="Arial" w:hAnsi="Arial" w:cs="Arial"/>
              </w:rPr>
              <w:t>Intercept &amp; trend</w:t>
            </w:r>
          </w:p>
        </w:tc>
        <w:tc>
          <w:tcPr>
            <w:tcW w:w="866" w:type="dxa"/>
          </w:tcPr>
          <w:p w14:paraId="72F1CB8F" w14:textId="77777777" w:rsidR="00376001" w:rsidRPr="00173C96" w:rsidRDefault="00376001" w:rsidP="0066301C">
            <w:pPr>
              <w:jc w:val="center"/>
              <w:rPr>
                <w:rFonts w:ascii="Arial" w:hAnsi="Arial" w:cs="Arial"/>
              </w:rPr>
            </w:pPr>
            <w:r w:rsidRPr="00173C96">
              <w:rPr>
                <w:rFonts w:ascii="Arial" w:hAnsi="Arial" w:cs="Arial"/>
              </w:rPr>
              <w:t>0.5754</w:t>
            </w:r>
          </w:p>
        </w:tc>
        <w:tc>
          <w:tcPr>
            <w:tcW w:w="870" w:type="dxa"/>
          </w:tcPr>
          <w:p w14:paraId="411B2F66" w14:textId="77777777" w:rsidR="00376001" w:rsidRPr="00173C96" w:rsidRDefault="00376001" w:rsidP="0066301C">
            <w:pPr>
              <w:jc w:val="center"/>
              <w:rPr>
                <w:rFonts w:ascii="Arial" w:hAnsi="Arial" w:cs="Arial"/>
              </w:rPr>
            </w:pPr>
            <w:r w:rsidRPr="00173C96">
              <w:rPr>
                <w:rFonts w:ascii="Arial" w:hAnsi="Arial" w:cs="Arial"/>
              </w:rPr>
              <w:t>0.1559</w:t>
            </w:r>
          </w:p>
        </w:tc>
        <w:tc>
          <w:tcPr>
            <w:tcW w:w="1001" w:type="dxa"/>
          </w:tcPr>
          <w:p w14:paraId="4AF63F09" w14:textId="77777777" w:rsidR="00376001" w:rsidRPr="00173C96" w:rsidRDefault="00376001" w:rsidP="0066301C">
            <w:pPr>
              <w:jc w:val="center"/>
              <w:rPr>
                <w:rFonts w:ascii="Arial" w:hAnsi="Arial" w:cs="Arial"/>
              </w:rPr>
            </w:pPr>
            <w:r w:rsidRPr="00173C96">
              <w:rPr>
                <w:rFonts w:ascii="Arial" w:hAnsi="Arial" w:cs="Arial"/>
              </w:rPr>
              <w:t>0.1852</w:t>
            </w:r>
          </w:p>
        </w:tc>
        <w:tc>
          <w:tcPr>
            <w:tcW w:w="926" w:type="dxa"/>
          </w:tcPr>
          <w:p w14:paraId="63DD1415" w14:textId="77777777" w:rsidR="00376001" w:rsidRPr="00173C96" w:rsidRDefault="00376001" w:rsidP="0066301C">
            <w:pPr>
              <w:jc w:val="center"/>
              <w:rPr>
                <w:rFonts w:ascii="Arial" w:hAnsi="Arial" w:cs="Arial"/>
              </w:rPr>
            </w:pPr>
            <w:r w:rsidRPr="00173C96">
              <w:rPr>
                <w:rFonts w:ascii="Arial" w:hAnsi="Arial" w:cs="Arial"/>
              </w:rPr>
              <w:t>0.2978</w:t>
            </w:r>
          </w:p>
        </w:tc>
        <w:tc>
          <w:tcPr>
            <w:tcW w:w="990" w:type="dxa"/>
          </w:tcPr>
          <w:p w14:paraId="33586556" w14:textId="77777777" w:rsidR="00376001" w:rsidRPr="00173C96" w:rsidRDefault="00376001" w:rsidP="0066301C">
            <w:pPr>
              <w:jc w:val="center"/>
              <w:rPr>
                <w:rFonts w:ascii="Arial" w:hAnsi="Arial" w:cs="Arial"/>
              </w:rPr>
            </w:pPr>
            <w:r w:rsidRPr="00173C96">
              <w:rPr>
                <w:rFonts w:ascii="Arial" w:hAnsi="Arial" w:cs="Arial"/>
              </w:rPr>
              <w:t>I(1)</w:t>
            </w:r>
          </w:p>
        </w:tc>
      </w:tr>
      <w:tr w:rsidR="00376001" w14:paraId="24AB8F1A" w14:textId="77777777" w:rsidTr="00376001">
        <w:trPr>
          <w:jc w:val="center"/>
        </w:trPr>
        <w:tc>
          <w:tcPr>
            <w:tcW w:w="1067" w:type="dxa"/>
            <w:vMerge/>
          </w:tcPr>
          <w:p w14:paraId="32CC14AC" w14:textId="77777777" w:rsidR="00376001" w:rsidRPr="00173C96" w:rsidRDefault="00376001" w:rsidP="0066301C">
            <w:pPr>
              <w:rPr>
                <w:rFonts w:ascii="Arial" w:hAnsi="Arial" w:cs="Arial"/>
              </w:rPr>
            </w:pPr>
          </w:p>
        </w:tc>
        <w:tc>
          <w:tcPr>
            <w:tcW w:w="1063" w:type="dxa"/>
            <w:vMerge w:val="restart"/>
          </w:tcPr>
          <w:p w14:paraId="5A41E898" w14:textId="77777777" w:rsidR="00376001" w:rsidRPr="00173C96" w:rsidRDefault="00376001" w:rsidP="0066301C">
            <w:pPr>
              <w:jc w:val="center"/>
              <w:rPr>
                <w:rFonts w:ascii="Arial" w:hAnsi="Arial" w:cs="Arial"/>
              </w:rPr>
            </w:pPr>
          </w:p>
          <w:p w14:paraId="2D84EE74" w14:textId="77777777" w:rsidR="00376001" w:rsidRPr="00173C96" w:rsidRDefault="00376001" w:rsidP="0066301C">
            <w:pPr>
              <w:jc w:val="center"/>
              <w:rPr>
                <w:rFonts w:ascii="Arial" w:hAnsi="Arial" w:cs="Arial"/>
              </w:rPr>
            </w:pPr>
            <w:r w:rsidRPr="00173C96">
              <w:rPr>
                <w:rFonts w:ascii="Arial" w:hAnsi="Arial" w:cs="Arial"/>
              </w:rPr>
              <w:t>1</w:t>
            </w:r>
            <w:r w:rsidRPr="00173C96">
              <w:rPr>
                <w:rFonts w:ascii="Arial" w:hAnsi="Arial" w:cs="Arial"/>
                <w:vertAlign w:val="superscript"/>
              </w:rPr>
              <w:t>st</w:t>
            </w:r>
            <w:r w:rsidRPr="00173C96">
              <w:rPr>
                <w:rFonts w:ascii="Arial" w:hAnsi="Arial" w:cs="Arial"/>
              </w:rPr>
              <w:t xml:space="preserve"> diff.</w:t>
            </w:r>
          </w:p>
        </w:tc>
        <w:tc>
          <w:tcPr>
            <w:tcW w:w="1976" w:type="dxa"/>
          </w:tcPr>
          <w:p w14:paraId="5FBCACCF" w14:textId="77777777" w:rsidR="00376001" w:rsidRPr="00173C96" w:rsidRDefault="00376001" w:rsidP="0066301C">
            <w:pPr>
              <w:rPr>
                <w:rFonts w:ascii="Arial" w:hAnsi="Arial" w:cs="Arial"/>
              </w:rPr>
            </w:pPr>
            <w:r w:rsidRPr="00173C96">
              <w:rPr>
                <w:rFonts w:ascii="Arial" w:hAnsi="Arial" w:cs="Arial"/>
              </w:rPr>
              <w:t>Intercept</w:t>
            </w:r>
          </w:p>
        </w:tc>
        <w:tc>
          <w:tcPr>
            <w:tcW w:w="866" w:type="dxa"/>
          </w:tcPr>
          <w:p w14:paraId="643E64C7" w14:textId="77777777" w:rsidR="00376001" w:rsidRPr="00173C96" w:rsidRDefault="00376001" w:rsidP="0066301C">
            <w:pPr>
              <w:jc w:val="center"/>
              <w:rPr>
                <w:rFonts w:ascii="Arial" w:hAnsi="Arial" w:cs="Arial"/>
              </w:rPr>
            </w:pPr>
            <w:r w:rsidRPr="00173C96">
              <w:rPr>
                <w:rFonts w:ascii="Arial" w:hAnsi="Arial" w:cs="Arial"/>
              </w:rPr>
              <w:t>0.0000</w:t>
            </w:r>
          </w:p>
        </w:tc>
        <w:tc>
          <w:tcPr>
            <w:tcW w:w="870" w:type="dxa"/>
          </w:tcPr>
          <w:p w14:paraId="48AD0F7E" w14:textId="77777777" w:rsidR="00376001" w:rsidRPr="00173C96" w:rsidRDefault="00376001" w:rsidP="0066301C">
            <w:pPr>
              <w:jc w:val="center"/>
              <w:rPr>
                <w:rFonts w:ascii="Arial" w:hAnsi="Arial" w:cs="Arial"/>
              </w:rPr>
            </w:pPr>
            <w:r w:rsidRPr="00173C96">
              <w:rPr>
                <w:rFonts w:ascii="Arial" w:hAnsi="Arial" w:cs="Arial"/>
              </w:rPr>
              <w:t>0.0000</w:t>
            </w:r>
          </w:p>
        </w:tc>
        <w:tc>
          <w:tcPr>
            <w:tcW w:w="1001" w:type="dxa"/>
          </w:tcPr>
          <w:p w14:paraId="32382F83" w14:textId="77777777" w:rsidR="00376001" w:rsidRPr="00173C96" w:rsidRDefault="00376001" w:rsidP="0066301C">
            <w:pPr>
              <w:jc w:val="center"/>
              <w:rPr>
                <w:rFonts w:ascii="Arial" w:hAnsi="Arial" w:cs="Arial"/>
              </w:rPr>
            </w:pPr>
            <w:r w:rsidRPr="00173C96">
              <w:rPr>
                <w:rFonts w:ascii="Arial" w:hAnsi="Arial" w:cs="Arial"/>
              </w:rPr>
              <w:t>0.0000</w:t>
            </w:r>
          </w:p>
        </w:tc>
        <w:tc>
          <w:tcPr>
            <w:tcW w:w="926" w:type="dxa"/>
          </w:tcPr>
          <w:p w14:paraId="30838D28" w14:textId="77777777" w:rsidR="00376001" w:rsidRPr="00173C96" w:rsidRDefault="00376001" w:rsidP="0066301C">
            <w:pPr>
              <w:jc w:val="center"/>
              <w:rPr>
                <w:rFonts w:ascii="Arial" w:hAnsi="Arial" w:cs="Arial"/>
              </w:rPr>
            </w:pPr>
            <w:r w:rsidRPr="00173C96">
              <w:rPr>
                <w:rFonts w:ascii="Arial" w:hAnsi="Arial" w:cs="Arial"/>
              </w:rPr>
              <w:t>0.0000</w:t>
            </w:r>
          </w:p>
        </w:tc>
        <w:tc>
          <w:tcPr>
            <w:tcW w:w="990" w:type="dxa"/>
          </w:tcPr>
          <w:p w14:paraId="41CB05D5" w14:textId="77777777" w:rsidR="00376001" w:rsidRPr="00173C96" w:rsidRDefault="00376001" w:rsidP="0066301C">
            <w:pPr>
              <w:jc w:val="center"/>
              <w:rPr>
                <w:rFonts w:ascii="Arial" w:hAnsi="Arial" w:cs="Arial"/>
              </w:rPr>
            </w:pPr>
            <w:r w:rsidRPr="00173C96">
              <w:rPr>
                <w:rFonts w:ascii="Arial" w:hAnsi="Arial" w:cs="Arial"/>
              </w:rPr>
              <w:t>I(0)</w:t>
            </w:r>
          </w:p>
        </w:tc>
      </w:tr>
      <w:tr w:rsidR="00376001" w14:paraId="3EEF0CDB" w14:textId="77777777" w:rsidTr="00376001">
        <w:trPr>
          <w:trHeight w:val="149"/>
          <w:jc w:val="center"/>
        </w:trPr>
        <w:tc>
          <w:tcPr>
            <w:tcW w:w="1067" w:type="dxa"/>
            <w:vMerge/>
          </w:tcPr>
          <w:p w14:paraId="649DA04D" w14:textId="77777777" w:rsidR="00376001" w:rsidRPr="00173C96" w:rsidRDefault="00376001" w:rsidP="0066301C">
            <w:pPr>
              <w:rPr>
                <w:rFonts w:ascii="Arial" w:hAnsi="Arial" w:cs="Arial"/>
              </w:rPr>
            </w:pPr>
          </w:p>
        </w:tc>
        <w:tc>
          <w:tcPr>
            <w:tcW w:w="1063" w:type="dxa"/>
            <w:vMerge/>
          </w:tcPr>
          <w:p w14:paraId="0E1B8B3C" w14:textId="77777777" w:rsidR="00376001" w:rsidRPr="00173C96" w:rsidRDefault="00376001" w:rsidP="0066301C">
            <w:pPr>
              <w:rPr>
                <w:rFonts w:ascii="Arial" w:hAnsi="Arial" w:cs="Arial"/>
              </w:rPr>
            </w:pPr>
          </w:p>
        </w:tc>
        <w:tc>
          <w:tcPr>
            <w:tcW w:w="1976" w:type="dxa"/>
          </w:tcPr>
          <w:p w14:paraId="51B9276E" w14:textId="77777777" w:rsidR="00376001" w:rsidRPr="00173C96" w:rsidRDefault="00376001" w:rsidP="0066301C">
            <w:pPr>
              <w:rPr>
                <w:rFonts w:ascii="Arial" w:hAnsi="Arial" w:cs="Arial"/>
              </w:rPr>
            </w:pPr>
            <w:r w:rsidRPr="00173C96">
              <w:rPr>
                <w:rFonts w:ascii="Arial" w:hAnsi="Arial" w:cs="Arial"/>
              </w:rPr>
              <w:t>Intercept &amp; trend</w:t>
            </w:r>
          </w:p>
        </w:tc>
        <w:tc>
          <w:tcPr>
            <w:tcW w:w="866" w:type="dxa"/>
          </w:tcPr>
          <w:p w14:paraId="472A8E5D" w14:textId="77777777" w:rsidR="00376001" w:rsidRPr="00173C96" w:rsidRDefault="00376001" w:rsidP="0066301C">
            <w:pPr>
              <w:jc w:val="center"/>
              <w:rPr>
                <w:rFonts w:ascii="Arial" w:hAnsi="Arial" w:cs="Arial"/>
              </w:rPr>
            </w:pPr>
            <w:r w:rsidRPr="00173C96">
              <w:rPr>
                <w:rFonts w:ascii="Arial" w:hAnsi="Arial" w:cs="Arial"/>
              </w:rPr>
              <w:t>0.0004</w:t>
            </w:r>
          </w:p>
        </w:tc>
        <w:tc>
          <w:tcPr>
            <w:tcW w:w="870" w:type="dxa"/>
          </w:tcPr>
          <w:p w14:paraId="46A452BD" w14:textId="77777777" w:rsidR="00376001" w:rsidRPr="00173C96" w:rsidRDefault="00376001" w:rsidP="0066301C">
            <w:pPr>
              <w:jc w:val="center"/>
              <w:rPr>
                <w:rFonts w:ascii="Arial" w:hAnsi="Arial" w:cs="Arial"/>
              </w:rPr>
            </w:pPr>
            <w:r w:rsidRPr="00173C96">
              <w:rPr>
                <w:rFonts w:ascii="Arial" w:hAnsi="Arial" w:cs="Arial"/>
              </w:rPr>
              <w:t>0.0000</w:t>
            </w:r>
          </w:p>
        </w:tc>
        <w:tc>
          <w:tcPr>
            <w:tcW w:w="1001" w:type="dxa"/>
          </w:tcPr>
          <w:p w14:paraId="2906E50B" w14:textId="77777777" w:rsidR="00376001" w:rsidRPr="00173C96" w:rsidRDefault="00376001" w:rsidP="0066301C">
            <w:pPr>
              <w:jc w:val="center"/>
              <w:rPr>
                <w:rFonts w:ascii="Arial" w:hAnsi="Arial" w:cs="Arial"/>
              </w:rPr>
            </w:pPr>
            <w:r w:rsidRPr="00173C96">
              <w:rPr>
                <w:rFonts w:ascii="Arial" w:hAnsi="Arial" w:cs="Arial"/>
              </w:rPr>
              <w:t>0.0000</w:t>
            </w:r>
          </w:p>
        </w:tc>
        <w:tc>
          <w:tcPr>
            <w:tcW w:w="926" w:type="dxa"/>
          </w:tcPr>
          <w:p w14:paraId="088D9C4F" w14:textId="77777777" w:rsidR="00376001" w:rsidRPr="00173C96" w:rsidRDefault="00376001" w:rsidP="0066301C">
            <w:pPr>
              <w:jc w:val="center"/>
              <w:rPr>
                <w:rFonts w:ascii="Arial" w:hAnsi="Arial" w:cs="Arial"/>
              </w:rPr>
            </w:pPr>
            <w:r w:rsidRPr="00173C96">
              <w:rPr>
                <w:rFonts w:ascii="Arial" w:hAnsi="Arial" w:cs="Arial"/>
              </w:rPr>
              <w:t>0.0000</w:t>
            </w:r>
          </w:p>
        </w:tc>
        <w:tc>
          <w:tcPr>
            <w:tcW w:w="990" w:type="dxa"/>
          </w:tcPr>
          <w:p w14:paraId="3BB236DA" w14:textId="77777777" w:rsidR="00376001" w:rsidRPr="00173C96" w:rsidRDefault="00376001" w:rsidP="0066301C">
            <w:pPr>
              <w:jc w:val="center"/>
              <w:rPr>
                <w:rFonts w:ascii="Arial" w:hAnsi="Arial" w:cs="Arial"/>
              </w:rPr>
            </w:pPr>
            <w:r w:rsidRPr="00173C96">
              <w:rPr>
                <w:rFonts w:ascii="Arial" w:hAnsi="Arial" w:cs="Arial"/>
              </w:rPr>
              <w:t>I(0)</w:t>
            </w:r>
          </w:p>
        </w:tc>
      </w:tr>
      <w:tr w:rsidR="00376001" w14:paraId="2CB8A050" w14:textId="77777777" w:rsidTr="00376001">
        <w:trPr>
          <w:jc w:val="center"/>
        </w:trPr>
        <w:tc>
          <w:tcPr>
            <w:tcW w:w="1067" w:type="dxa"/>
            <w:vMerge w:val="restart"/>
          </w:tcPr>
          <w:p w14:paraId="73CD0838" w14:textId="77777777" w:rsidR="00376001" w:rsidRPr="00173C96" w:rsidRDefault="00376001" w:rsidP="0066301C">
            <w:pPr>
              <w:jc w:val="center"/>
              <w:rPr>
                <w:rFonts w:ascii="Arial" w:hAnsi="Arial" w:cs="Arial"/>
              </w:rPr>
            </w:pPr>
          </w:p>
          <w:p w14:paraId="1BC1444E" w14:textId="77777777" w:rsidR="00376001" w:rsidRPr="00173C96" w:rsidRDefault="00376001" w:rsidP="0066301C">
            <w:pPr>
              <w:jc w:val="center"/>
              <w:rPr>
                <w:rFonts w:ascii="Arial" w:hAnsi="Arial" w:cs="Arial"/>
              </w:rPr>
            </w:pPr>
          </w:p>
          <w:p w14:paraId="606636D5" w14:textId="77777777" w:rsidR="00376001" w:rsidRPr="00173C96" w:rsidRDefault="00376001" w:rsidP="0066301C">
            <w:pPr>
              <w:jc w:val="center"/>
              <w:rPr>
                <w:rFonts w:ascii="Arial" w:hAnsi="Arial" w:cs="Arial"/>
              </w:rPr>
            </w:pPr>
            <w:r w:rsidRPr="00173C96">
              <w:rPr>
                <w:rFonts w:ascii="Arial" w:hAnsi="Arial" w:cs="Arial"/>
              </w:rPr>
              <w:t>FDI</w:t>
            </w:r>
          </w:p>
        </w:tc>
        <w:tc>
          <w:tcPr>
            <w:tcW w:w="1063" w:type="dxa"/>
            <w:vMerge w:val="restart"/>
          </w:tcPr>
          <w:p w14:paraId="4C5262B1" w14:textId="77777777" w:rsidR="00376001" w:rsidRPr="00173C96" w:rsidRDefault="00376001" w:rsidP="0066301C">
            <w:pPr>
              <w:jc w:val="center"/>
              <w:rPr>
                <w:rFonts w:ascii="Arial" w:hAnsi="Arial" w:cs="Arial"/>
              </w:rPr>
            </w:pPr>
          </w:p>
          <w:p w14:paraId="0FA10DED" w14:textId="77777777" w:rsidR="00376001" w:rsidRPr="00173C96" w:rsidRDefault="00376001" w:rsidP="0066301C">
            <w:pPr>
              <w:jc w:val="center"/>
              <w:rPr>
                <w:rFonts w:ascii="Arial" w:hAnsi="Arial" w:cs="Arial"/>
              </w:rPr>
            </w:pPr>
            <w:r w:rsidRPr="00173C96">
              <w:rPr>
                <w:rFonts w:ascii="Arial" w:hAnsi="Arial" w:cs="Arial"/>
              </w:rPr>
              <w:t>Level</w:t>
            </w:r>
          </w:p>
        </w:tc>
        <w:tc>
          <w:tcPr>
            <w:tcW w:w="1976" w:type="dxa"/>
          </w:tcPr>
          <w:p w14:paraId="309FE69C" w14:textId="77777777" w:rsidR="00376001" w:rsidRPr="00173C96" w:rsidRDefault="00376001" w:rsidP="0066301C">
            <w:pPr>
              <w:rPr>
                <w:rFonts w:ascii="Arial" w:hAnsi="Arial" w:cs="Arial"/>
              </w:rPr>
            </w:pPr>
            <w:r w:rsidRPr="00173C96">
              <w:rPr>
                <w:rFonts w:ascii="Arial" w:hAnsi="Arial" w:cs="Arial"/>
              </w:rPr>
              <w:t>Intercept</w:t>
            </w:r>
          </w:p>
        </w:tc>
        <w:tc>
          <w:tcPr>
            <w:tcW w:w="866" w:type="dxa"/>
          </w:tcPr>
          <w:p w14:paraId="015EBA47" w14:textId="77777777" w:rsidR="00376001" w:rsidRPr="00173C96" w:rsidRDefault="00376001" w:rsidP="0066301C">
            <w:pPr>
              <w:jc w:val="center"/>
              <w:rPr>
                <w:rFonts w:ascii="Arial" w:hAnsi="Arial" w:cs="Arial"/>
              </w:rPr>
            </w:pPr>
            <w:r w:rsidRPr="00173C96">
              <w:rPr>
                <w:rFonts w:ascii="Arial" w:hAnsi="Arial" w:cs="Arial"/>
              </w:rPr>
              <w:t>0.0240</w:t>
            </w:r>
          </w:p>
        </w:tc>
        <w:tc>
          <w:tcPr>
            <w:tcW w:w="870" w:type="dxa"/>
          </w:tcPr>
          <w:p w14:paraId="2A1CF3D6" w14:textId="77777777" w:rsidR="00376001" w:rsidRPr="00173C96" w:rsidRDefault="00376001" w:rsidP="0066301C">
            <w:pPr>
              <w:jc w:val="center"/>
              <w:rPr>
                <w:rFonts w:ascii="Arial" w:hAnsi="Arial" w:cs="Arial"/>
              </w:rPr>
            </w:pPr>
            <w:r w:rsidRPr="00173C96">
              <w:rPr>
                <w:rFonts w:ascii="Arial" w:hAnsi="Arial" w:cs="Arial"/>
              </w:rPr>
              <w:t>0.1327</w:t>
            </w:r>
          </w:p>
        </w:tc>
        <w:tc>
          <w:tcPr>
            <w:tcW w:w="1001" w:type="dxa"/>
          </w:tcPr>
          <w:p w14:paraId="33C31B81" w14:textId="77777777" w:rsidR="00376001" w:rsidRPr="00173C96" w:rsidRDefault="00376001" w:rsidP="0066301C">
            <w:pPr>
              <w:jc w:val="center"/>
              <w:rPr>
                <w:rFonts w:ascii="Arial" w:hAnsi="Arial" w:cs="Arial"/>
              </w:rPr>
            </w:pPr>
            <w:r w:rsidRPr="00173C96">
              <w:rPr>
                <w:rFonts w:ascii="Arial" w:hAnsi="Arial" w:cs="Arial"/>
              </w:rPr>
              <w:t>0.1964</w:t>
            </w:r>
          </w:p>
        </w:tc>
        <w:tc>
          <w:tcPr>
            <w:tcW w:w="926" w:type="dxa"/>
          </w:tcPr>
          <w:p w14:paraId="5F030322" w14:textId="77777777" w:rsidR="00376001" w:rsidRPr="00173C96" w:rsidRDefault="00376001" w:rsidP="0066301C">
            <w:pPr>
              <w:jc w:val="center"/>
              <w:rPr>
                <w:rFonts w:ascii="Arial" w:hAnsi="Arial" w:cs="Arial"/>
              </w:rPr>
            </w:pPr>
            <w:r w:rsidRPr="00173C96">
              <w:rPr>
                <w:rFonts w:ascii="Arial" w:hAnsi="Arial" w:cs="Arial"/>
              </w:rPr>
              <w:t>0.0000</w:t>
            </w:r>
          </w:p>
        </w:tc>
        <w:tc>
          <w:tcPr>
            <w:tcW w:w="990" w:type="dxa"/>
          </w:tcPr>
          <w:p w14:paraId="119C1AB1" w14:textId="77777777" w:rsidR="00376001" w:rsidRPr="00173C96" w:rsidRDefault="00376001" w:rsidP="0066301C">
            <w:pPr>
              <w:jc w:val="center"/>
              <w:rPr>
                <w:rFonts w:ascii="Arial" w:hAnsi="Arial" w:cs="Arial"/>
              </w:rPr>
            </w:pPr>
            <w:r w:rsidRPr="00173C96">
              <w:rPr>
                <w:rFonts w:ascii="Arial" w:hAnsi="Arial" w:cs="Arial"/>
              </w:rPr>
              <w:t>I(1)</w:t>
            </w:r>
          </w:p>
        </w:tc>
      </w:tr>
      <w:tr w:rsidR="00376001" w14:paraId="140B9296" w14:textId="77777777" w:rsidTr="00376001">
        <w:trPr>
          <w:jc w:val="center"/>
        </w:trPr>
        <w:tc>
          <w:tcPr>
            <w:tcW w:w="1067" w:type="dxa"/>
            <w:vMerge/>
          </w:tcPr>
          <w:p w14:paraId="41EAF6C0" w14:textId="77777777" w:rsidR="00376001" w:rsidRPr="00173C96" w:rsidRDefault="00376001" w:rsidP="0066301C">
            <w:pPr>
              <w:rPr>
                <w:rFonts w:ascii="Arial" w:hAnsi="Arial" w:cs="Arial"/>
              </w:rPr>
            </w:pPr>
          </w:p>
        </w:tc>
        <w:tc>
          <w:tcPr>
            <w:tcW w:w="1063" w:type="dxa"/>
            <w:vMerge/>
          </w:tcPr>
          <w:p w14:paraId="6E090DD9" w14:textId="77777777" w:rsidR="00376001" w:rsidRPr="00173C96" w:rsidRDefault="00376001" w:rsidP="0066301C">
            <w:pPr>
              <w:rPr>
                <w:rFonts w:ascii="Arial" w:hAnsi="Arial" w:cs="Arial"/>
              </w:rPr>
            </w:pPr>
          </w:p>
        </w:tc>
        <w:tc>
          <w:tcPr>
            <w:tcW w:w="1976" w:type="dxa"/>
          </w:tcPr>
          <w:p w14:paraId="6C651F76" w14:textId="77777777" w:rsidR="00376001" w:rsidRPr="00173C96" w:rsidRDefault="00376001" w:rsidP="0066301C">
            <w:pPr>
              <w:rPr>
                <w:rFonts w:ascii="Arial" w:hAnsi="Arial" w:cs="Arial"/>
              </w:rPr>
            </w:pPr>
            <w:r w:rsidRPr="00173C96">
              <w:rPr>
                <w:rFonts w:ascii="Arial" w:hAnsi="Arial" w:cs="Arial"/>
              </w:rPr>
              <w:t>Intercept &amp; trend</w:t>
            </w:r>
          </w:p>
        </w:tc>
        <w:tc>
          <w:tcPr>
            <w:tcW w:w="866" w:type="dxa"/>
          </w:tcPr>
          <w:p w14:paraId="7E74E5C7" w14:textId="77777777" w:rsidR="00376001" w:rsidRPr="00173C96" w:rsidRDefault="00376001" w:rsidP="0066301C">
            <w:pPr>
              <w:jc w:val="center"/>
              <w:rPr>
                <w:rFonts w:ascii="Arial" w:hAnsi="Arial" w:cs="Arial"/>
              </w:rPr>
            </w:pPr>
            <w:r w:rsidRPr="00173C96">
              <w:rPr>
                <w:rFonts w:ascii="Arial" w:hAnsi="Arial" w:cs="Arial"/>
              </w:rPr>
              <w:t>0.0086</w:t>
            </w:r>
          </w:p>
        </w:tc>
        <w:tc>
          <w:tcPr>
            <w:tcW w:w="870" w:type="dxa"/>
          </w:tcPr>
          <w:p w14:paraId="65A0037E" w14:textId="77777777" w:rsidR="00376001" w:rsidRPr="00173C96" w:rsidRDefault="00376001" w:rsidP="0066301C">
            <w:pPr>
              <w:jc w:val="center"/>
              <w:rPr>
                <w:rFonts w:ascii="Arial" w:hAnsi="Arial" w:cs="Arial"/>
              </w:rPr>
            </w:pPr>
            <w:r w:rsidRPr="00173C96">
              <w:rPr>
                <w:rFonts w:ascii="Arial" w:hAnsi="Arial" w:cs="Arial"/>
              </w:rPr>
              <w:t>0.2373</w:t>
            </w:r>
          </w:p>
        </w:tc>
        <w:tc>
          <w:tcPr>
            <w:tcW w:w="1001" w:type="dxa"/>
          </w:tcPr>
          <w:p w14:paraId="46B2F0E2" w14:textId="77777777" w:rsidR="00376001" w:rsidRPr="00173C96" w:rsidRDefault="00376001" w:rsidP="0066301C">
            <w:pPr>
              <w:jc w:val="center"/>
              <w:rPr>
                <w:rFonts w:ascii="Arial" w:hAnsi="Arial" w:cs="Arial"/>
              </w:rPr>
            </w:pPr>
            <w:r w:rsidRPr="00173C96">
              <w:rPr>
                <w:rFonts w:ascii="Arial" w:hAnsi="Arial" w:cs="Arial"/>
              </w:rPr>
              <w:t>0.2867</w:t>
            </w:r>
          </w:p>
        </w:tc>
        <w:tc>
          <w:tcPr>
            <w:tcW w:w="926" w:type="dxa"/>
          </w:tcPr>
          <w:p w14:paraId="59CFEE75" w14:textId="77777777" w:rsidR="00376001" w:rsidRPr="00173C96" w:rsidRDefault="00376001" w:rsidP="0066301C">
            <w:pPr>
              <w:jc w:val="center"/>
              <w:rPr>
                <w:rFonts w:ascii="Arial" w:hAnsi="Arial" w:cs="Arial"/>
              </w:rPr>
            </w:pPr>
            <w:r w:rsidRPr="00173C96">
              <w:rPr>
                <w:rFonts w:ascii="Arial" w:hAnsi="Arial" w:cs="Arial"/>
              </w:rPr>
              <w:t>0.0000</w:t>
            </w:r>
          </w:p>
        </w:tc>
        <w:tc>
          <w:tcPr>
            <w:tcW w:w="990" w:type="dxa"/>
          </w:tcPr>
          <w:p w14:paraId="18FBEEF9" w14:textId="77777777" w:rsidR="00376001" w:rsidRPr="00173C96" w:rsidRDefault="00376001" w:rsidP="0066301C">
            <w:pPr>
              <w:jc w:val="center"/>
              <w:rPr>
                <w:rFonts w:ascii="Arial" w:hAnsi="Arial" w:cs="Arial"/>
              </w:rPr>
            </w:pPr>
            <w:r w:rsidRPr="00173C96">
              <w:rPr>
                <w:rFonts w:ascii="Arial" w:hAnsi="Arial" w:cs="Arial"/>
              </w:rPr>
              <w:t>I(1)</w:t>
            </w:r>
          </w:p>
        </w:tc>
      </w:tr>
      <w:tr w:rsidR="00376001" w14:paraId="0EDA982F" w14:textId="77777777" w:rsidTr="00376001">
        <w:trPr>
          <w:jc w:val="center"/>
        </w:trPr>
        <w:tc>
          <w:tcPr>
            <w:tcW w:w="1067" w:type="dxa"/>
            <w:vMerge/>
          </w:tcPr>
          <w:p w14:paraId="1B034CF3" w14:textId="77777777" w:rsidR="00376001" w:rsidRPr="00173C96" w:rsidRDefault="00376001" w:rsidP="0066301C">
            <w:pPr>
              <w:rPr>
                <w:rFonts w:ascii="Arial" w:hAnsi="Arial" w:cs="Arial"/>
              </w:rPr>
            </w:pPr>
          </w:p>
        </w:tc>
        <w:tc>
          <w:tcPr>
            <w:tcW w:w="1063" w:type="dxa"/>
            <w:vMerge w:val="restart"/>
          </w:tcPr>
          <w:p w14:paraId="68ABD28D" w14:textId="77777777" w:rsidR="00376001" w:rsidRPr="00173C96" w:rsidRDefault="00376001" w:rsidP="0066301C">
            <w:pPr>
              <w:jc w:val="center"/>
              <w:rPr>
                <w:rFonts w:ascii="Arial" w:hAnsi="Arial" w:cs="Arial"/>
              </w:rPr>
            </w:pPr>
          </w:p>
          <w:p w14:paraId="22B967FB" w14:textId="77777777" w:rsidR="00376001" w:rsidRPr="00173C96" w:rsidRDefault="00376001" w:rsidP="0066301C">
            <w:pPr>
              <w:jc w:val="center"/>
              <w:rPr>
                <w:rFonts w:ascii="Arial" w:hAnsi="Arial" w:cs="Arial"/>
              </w:rPr>
            </w:pPr>
            <w:r w:rsidRPr="00173C96">
              <w:rPr>
                <w:rFonts w:ascii="Arial" w:hAnsi="Arial" w:cs="Arial"/>
              </w:rPr>
              <w:t>1</w:t>
            </w:r>
            <w:r w:rsidRPr="00173C96">
              <w:rPr>
                <w:rFonts w:ascii="Arial" w:hAnsi="Arial" w:cs="Arial"/>
                <w:vertAlign w:val="superscript"/>
              </w:rPr>
              <w:t>st</w:t>
            </w:r>
            <w:r w:rsidRPr="00173C96">
              <w:rPr>
                <w:rFonts w:ascii="Arial" w:hAnsi="Arial" w:cs="Arial"/>
              </w:rPr>
              <w:t xml:space="preserve"> diff.</w:t>
            </w:r>
          </w:p>
        </w:tc>
        <w:tc>
          <w:tcPr>
            <w:tcW w:w="1976" w:type="dxa"/>
          </w:tcPr>
          <w:p w14:paraId="3DD6CC38" w14:textId="77777777" w:rsidR="00376001" w:rsidRPr="00173C96" w:rsidRDefault="00376001" w:rsidP="0066301C">
            <w:pPr>
              <w:rPr>
                <w:rFonts w:ascii="Arial" w:hAnsi="Arial" w:cs="Arial"/>
              </w:rPr>
            </w:pPr>
            <w:r w:rsidRPr="00173C96">
              <w:rPr>
                <w:rFonts w:ascii="Arial" w:hAnsi="Arial" w:cs="Arial"/>
              </w:rPr>
              <w:t>Intercept</w:t>
            </w:r>
          </w:p>
        </w:tc>
        <w:tc>
          <w:tcPr>
            <w:tcW w:w="866" w:type="dxa"/>
          </w:tcPr>
          <w:p w14:paraId="7465577C" w14:textId="77777777" w:rsidR="00376001" w:rsidRPr="00173C96" w:rsidRDefault="00376001" w:rsidP="0066301C">
            <w:pPr>
              <w:jc w:val="center"/>
              <w:rPr>
                <w:rFonts w:ascii="Arial" w:hAnsi="Arial" w:cs="Arial"/>
              </w:rPr>
            </w:pPr>
            <w:r w:rsidRPr="00173C96">
              <w:rPr>
                <w:rFonts w:ascii="Arial" w:hAnsi="Arial" w:cs="Arial"/>
              </w:rPr>
              <w:t>0.0000</w:t>
            </w:r>
          </w:p>
        </w:tc>
        <w:tc>
          <w:tcPr>
            <w:tcW w:w="870" w:type="dxa"/>
          </w:tcPr>
          <w:p w14:paraId="6EDA1366" w14:textId="77777777" w:rsidR="00376001" w:rsidRPr="00173C96" w:rsidRDefault="00376001" w:rsidP="0066301C">
            <w:pPr>
              <w:jc w:val="center"/>
              <w:rPr>
                <w:rFonts w:ascii="Arial" w:hAnsi="Arial" w:cs="Arial"/>
              </w:rPr>
            </w:pPr>
            <w:r w:rsidRPr="00173C96">
              <w:rPr>
                <w:rFonts w:ascii="Arial" w:hAnsi="Arial" w:cs="Arial"/>
              </w:rPr>
              <w:t>0.0000</w:t>
            </w:r>
          </w:p>
        </w:tc>
        <w:tc>
          <w:tcPr>
            <w:tcW w:w="1001" w:type="dxa"/>
          </w:tcPr>
          <w:p w14:paraId="3F272ADD" w14:textId="77777777" w:rsidR="00376001" w:rsidRPr="00173C96" w:rsidRDefault="00376001" w:rsidP="0066301C">
            <w:pPr>
              <w:jc w:val="center"/>
              <w:rPr>
                <w:rFonts w:ascii="Arial" w:hAnsi="Arial" w:cs="Arial"/>
              </w:rPr>
            </w:pPr>
            <w:r w:rsidRPr="00173C96">
              <w:rPr>
                <w:rFonts w:ascii="Arial" w:hAnsi="Arial" w:cs="Arial"/>
              </w:rPr>
              <w:t>0.0000</w:t>
            </w:r>
          </w:p>
        </w:tc>
        <w:tc>
          <w:tcPr>
            <w:tcW w:w="926" w:type="dxa"/>
          </w:tcPr>
          <w:p w14:paraId="5CA42F09" w14:textId="77777777" w:rsidR="00376001" w:rsidRPr="00173C96" w:rsidRDefault="00376001" w:rsidP="0066301C">
            <w:pPr>
              <w:jc w:val="center"/>
              <w:rPr>
                <w:rFonts w:ascii="Arial" w:hAnsi="Arial" w:cs="Arial"/>
              </w:rPr>
            </w:pPr>
            <w:r w:rsidRPr="00173C96">
              <w:rPr>
                <w:rFonts w:ascii="Arial" w:hAnsi="Arial" w:cs="Arial"/>
              </w:rPr>
              <w:t>0.0000</w:t>
            </w:r>
          </w:p>
        </w:tc>
        <w:tc>
          <w:tcPr>
            <w:tcW w:w="990" w:type="dxa"/>
          </w:tcPr>
          <w:p w14:paraId="21AD4270" w14:textId="77777777" w:rsidR="00376001" w:rsidRPr="00173C96" w:rsidRDefault="00376001" w:rsidP="0066301C">
            <w:pPr>
              <w:jc w:val="center"/>
              <w:rPr>
                <w:rFonts w:ascii="Arial" w:hAnsi="Arial" w:cs="Arial"/>
              </w:rPr>
            </w:pPr>
            <w:r w:rsidRPr="00173C96">
              <w:rPr>
                <w:rFonts w:ascii="Arial" w:hAnsi="Arial" w:cs="Arial"/>
              </w:rPr>
              <w:t>I(0)</w:t>
            </w:r>
          </w:p>
        </w:tc>
      </w:tr>
      <w:tr w:rsidR="00376001" w14:paraId="39A68580" w14:textId="77777777" w:rsidTr="00376001">
        <w:trPr>
          <w:trHeight w:val="149"/>
          <w:jc w:val="center"/>
        </w:trPr>
        <w:tc>
          <w:tcPr>
            <w:tcW w:w="1067" w:type="dxa"/>
            <w:vMerge/>
          </w:tcPr>
          <w:p w14:paraId="730D0037" w14:textId="77777777" w:rsidR="00376001" w:rsidRPr="00173C96" w:rsidRDefault="00376001" w:rsidP="0066301C">
            <w:pPr>
              <w:rPr>
                <w:rFonts w:ascii="Arial" w:hAnsi="Arial" w:cs="Arial"/>
              </w:rPr>
            </w:pPr>
          </w:p>
        </w:tc>
        <w:tc>
          <w:tcPr>
            <w:tcW w:w="1063" w:type="dxa"/>
            <w:vMerge/>
          </w:tcPr>
          <w:p w14:paraId="54CE2036" w14:textId="77777777" w:rsidR="00376001" w:rsidRPr="00173C96" w:rsidRDefault="00376001" w:rsidP="0066301C">
            <w:pPr>
              <w:rPr>
                <w:rFonts w:ascii="Arial" w:hAnsi="Arial" w:cs="Arial"/>
              </w:rPr>
            </w:pPr>
          </w:p>
        </w:tc>
        <w:tc>
          <w:tcPr>
            <w:tcW w:w="1976" w:type="dxa"/>
          </w:tcPr>
          <w:p w14:paraId="02B6968E" w14:textId="77777777" w:rsidR="00376001" w:rsidRPr="00173C96" w:rsidRDefault="00376001" w:rsidP="0066301C">
            <w:pPr>
              <w:rPr>
                <w:rFonts w:ascii="Arial" w:hAnsi="Arial" w:cs="Arial"/>
              </w:rPr>
            </w:pPr>
            <w:r w:rsidRPr="00173C96">
              <w:rPr>
                <w:rFonts w:ascii="Arial" w:hAnsi="Arial" w:cs="Arial"/>
              </w:rPr>
              <w:t>Intercept &amp; trend</w:t>
            </w:r>
          </w:p>
        </w:tc>
        <w:tc>
          <w:tcPr>
            <w:tcW w:w="866" w:type="dxa"/>
          </w:tcPr>
          <w:p w14:paraId="31BA7E62" w14:textId="77777777" w:rsidR="00376001" w:rsidRPr="00173C96" w:rsidRDefault="00376001" w:rsidP="0066301C">
            <w:pPr>
              <w:jc w:val="center"/>
              <w:rPr>
                <w:rFonts w:ascii="Arial" w:hAnsi="Arial" w:cs="Arial"/>
              </w:rPr>
            </w:pPr>
            <w:r w:rsidRPr="00173C96">
              <w:rPr>
                <w:rFonts w:ascii="Arial" w:hAnsi="Arial" w:cs="Arial"/>
              </w:rPr>
              <w:t>0.0000</w:t>
            </w:r>
          </w:p>
        </w:tc>
        <w:tc>
          <w:tcPr>
            <w:tcW w:w="870" w:type="dxa"/>
          </w:tcPr>
          <w:p w14:paraId="5A8F434E" w14:textId="77777777" w:rsidR="00376001" w:rsidRPr="00173C96" w:rsidRDefault="00376001" w:rsidP="0066301C">
            <w:pPr>
              <w:jc w:val="center"/>
              <w:rPr>
                <w:rFonts w:ascii="Arial" w:hAnsi="Arial" w:cs="Arial"/>
              </w:rPr>
            </w:pPr>
            <w:r w:rsidRPr="00173C96">
              <w:rPr>
                <w:rFonts w:ascii="Arial" w:hAnsi="Arial" w:cs="Arial"/>
              </w:rPr>
              <w:t>0.0000</w:t>
            </w:r>
          </w:p>
        </w:tc>
        <w:tc>
          <w:tcPr>
            <w:tcW w:w="1001" w:type="dxa"/>
          </w:tcPr>
          <w:p w14:paraId="4515DFAD" w14:textId="77777777" w:rsidR="00376001" w:rsidRPr="00173C96" w:rsidRDefault="00376001" w:rsidP="0066301C">
            <w:pPr>
              <w:jc w:val="center"/>
              <w:rPr>
                <w:rFonts w:ascii="Arial" w:hAnsi="Arial" w:cs="Arial"/>
              </w:rPr>
            </w:pPr>
            <w:r w:rsidRPr="00173C96">
              <w:rPr>
                <w:rFonts w:ascii="Arial" w:hAnsi="Arial" w:cs="Arial"/>
              </w:rPr>
              <w:t>0.0000</w:t>
            </w:r>
          </w:p>
        </w:tc>
        <w:tc>
          <w:tcPr>
            <w:tcW w:w="926" w:type="dxa"/>
          </w:tcPr>
          <w:p w14:paraId="7332CF9A" w14:textId="77777777" w:rsidR="00376001" w:rsidRPr="00173C96" w:rsidRDefault="00376001" w:rsidP="0066301C">
            <w:pPr>
              <w:jc w:val="center"/>
              <w:rPr>
                <w:rFonts w:ascii="Arial" w:hAnsi="Arial" w:cs="Arial"/>
              </w:rPr>
            </w:pPr>
            <w:r w:rsidRPr="00173C96">
              <w:rPr>
                <w:rFonts w:ascii="Arial" w:hAnsi="Arial" w:cs="Arial"/>
              </w:rPr>
              <w:t>0.0000</w:t>
            </w:r>
          </w:p>
        </w:tc>
        <w:tc>
          <w:tcPr>
            <w:tcW w:w="990" w:type="dxa"/>
          </w:tcPr>
          <w:p w14:paraId="7F534C64" w14:textId="77777777" w:rsidR="00376001" w:rsidRPr="00173C96" w:rsidRDefault="00376001" w:rsidP="0066301C">
            <w:pPr>
              <w:jc w:val="center"/>
              <w:rPr>
                <w:rFonts w:ascii="Arial" w:hAnsi="Arial" w:cs="Arial"/>
              </w:rPr>
            </w:pPr>
            <w:r w:rsidRPr="00173C96">
              <w:rPr>
                <w:rFonts w:ascii="Arial" w:hAnsi="Arial" w:cs="Arial"/>
              </w:rPr>
              <w:t>I(0)</w:t>
            </w:r>
          </w:p>
        </w:tc>
      </w:tr>
      <w:tr w:rsidR="00376001" w14:paraId="32F26EB1" w14:textId="77777777" w:rsidTr="00376001">
        <w:trPr>
          <w:jc w:val="center"/>
        </w:trPr>
        <w:tc>
          <w:tcPr>
            <w:tcW w:w="1067" w:type="dxa"/>
            <w:vMerge w:val="restart"/>
          </w:tcPr>
          <w:p w14:paraId="445C4C00" w14:textId="77777777" w:rsidR="00376001" w:rsidRPr="00173C96" w:rsidRDefault="00376001" w:rsidP="0066301C">
            <w:pPr>
              <w:jc w:val="center"/>
              <w:rPr>
                <w:rFonts w:ascii="Arial" w:hAnsi="Arial" w:cs="Arial"/>
              </w:rPr>
            </w:pPr>
          </w:p>
          <w:p w14:paraId="23DC874D" w14:textId="77777777" w:rsidR="00376001" w:rsidRPr="00173C96" w:rsidRDefault="00376001" w:rsidP="0066301C">
            <w:pPr>
              <w:jc w:val="center"/>
              <w:rPr>
                <w:rFonts w:ascii="Arial" w:hAnsi="Arial" w:cs="Arial"/>
              </w:rPr>
            </w:pPr>
          </w:p>
          <w:p w14:paraId="5E3F4CA5" w14:textId="77777777" w:rsidR="00376001" w:rsidRPr="00173C96" w:rsidRDefault="00376001" w:rsidP="0066301C">
            <w:pPr>
              <w:jc w:val="center"/>
              <w:rPr>
                <w:rFonts w:ascii="Arial" w:hAnsi="Arial" w:cs="Arial"/>
              </w:rPr>
            </w:pPr>
            <w:r w:rsidRPr="00173C96">
              <w:rPr>
                <w:rFonts w:ascii="Arial" w:hAnsi="Arial" w:cs="Arial"/>
              </w:rPr>
              <w:t>TOT</w:t>
            </w:r>
          </w:p>
        </w:tc>
        <w:tc>
          <w:tcPr>
            <w:tcW w:w="1063" w:type="dxa"/>
            <w:vMerge w:val="restart"/>
          </w:tcPr>
          <w:p w14:paraId="3D6C2E35" w14:textId="77777777" w:rsidR="00376001" w:rsidRPr="00173C96" w:rsidRDefault="00376001" w:rsidP="0066301C">
            <w:pPr>
              <w:jc w:val="center"/>
              <w:rPr>
                <w:rFonts w:ascii="Arial" w:hAnsi="Arial" w:cs="Arial"/>
              </w:rPr>
            </w:pPr>
          </w:p>
          <w:p w14:paraId="7A35800A" w14:textId="77777777" w:rsidR="00376001" w:rsidRPr="00173C96" w:rsidRDefault="00376001" w:rsidP="0066301C">
            <w:pPr>
              <w:jc w:val="center"/>
              <w:rPr>
                <w:rFonts w:ascii="Arial" w:hAnsi="Arial" w:cs="Arial"/>
              </w:rPr>
            </w:pPr>
            <w:r w:rsidRPr="00173C96">
              <w:rPr>
                <w:rFonts w:ascii="Arial" w:hAnsi="Arial" w:cs="Arial"/>
              </w:rPr>
              <w:t>Level</w:t>
            </w:r>
          </w:p>
        </w:tc>
        <w:tc>
          <w:tcPr>
            <w:tcW w:w="1976" w:type="dxa"/>
          </w:tcPr>
          <w:p w14:paraId="717E0933" w14:textId="77777777" w:rsidR="00376001" w:rsidRPr="00173C96" w:rsidRDefault="00376001" w:rsidP="0066301C">
            <w:pPr>
              <w:rPr>
                <w:rFonts w:ascii="Arial" w:hAnsi="Arial" w:cs="Arial"/>
              </w:rPr>
            </w:pPr>
            <w:r w:rsidRPr="00173C96">
              <w:rPr>
                <w:rFonts w:ascii="Arial" w:hAnsi="Arial" w:cs="Arial"/>
              </w:rPr>
              <w:t>Intercept</w:t>
            </w:r>
          </w:p>
        </w:tc>
        <w:tc>
          <w:tcPr>
            <w:tcW w:w="866" w:type="dxa"/>
          </w:tcPr>
          <w:p w14:paraId="0B33D640" w14:textId="77777777" w:rsidR="00376001" w:rsidRPr="00173C96" w:rsidRDefault="00376001" w:rsidP="0066301C">
            <w:pPr>
              <w:jc w:val="center"/>
              <w:rPr>
                <w:rFonts w:ascii="Arial" w:hAnsi="Arial" w:cs="Arial"/>
              </w:rPr>
            </w:pPr>
            <w:r w:rsidRPr="00173C96">
              <w:rPr>
                <w:rFonts w:ascii="Arial" w:hAnsi="Arial" w:cs="Arial"/>
              </w:rPr>
              <w:t>0.1765</w:t>
            </w:r>
          </w:p>
        </w:tc>
        <w:tc>
          <w:tcPr>
            <w:tcW w:w="870" w:type="dxa"/>
          </w:tcPr>
          <w:p w14:paraId="5EAF1E4E" w14:textId="77777777" w:rsidR="00376001" w:rsidRPr="00173C96" w:rsidRDefault="00376001" w:rsidP="0066301C">
            <w:pPr>
              <w:jc w:val="center"/>
              <w:rPr>
                <w:rFonts w:ascii="Arial" w:hAnsi="Arial" w:cs="Arial"/>
              </w:rPr>
            </w:pPr>
            <w:r w:rsidRPr="00173C96">
              <w:rPr>
                <w:rFonts w:ascii="Arial" w:hAnsi="Arial" w:cs="Arial"/>
              </w:rPr>
              <w:t>0.1765</w:t>
            </w:r>
          </w:p>
        </w:tc>
        <w:tc>
          <w:tcPr>
            <w:tcW w:w="1001" w:type="dxa"/>
          </w:tcPr>
          <w:p w14:paraId="7F2A73FE" w14:textId="77777777" w:rsidR="00376001" w:rsidRPr="00173C96" w:rsidRDefault="00376001" w:rsidP="0066301C">
            <w:pPr>
              <w:jc w:val="center"/>
              <w:rPr>
                <w:rFonts w:ascii="Arial" w:hAnsi="Arial" w:cs="Arial"/>
              </w:rPr>
            </w:pPr>
            <w:r w:rsidRPr="00173C96">
              <w:rPr>
                <w:rFonts w:ascii="Arial" w:hAnsi="Arial" w:cs="Arial"/>
              </w:rPr>
              <w:t>0.2266</w:t>
            </w:r>
          </w:p>
        </w:tc>
        <w:tc>
          <w:tcPr>
            <w:tcW w:w="926" w:type="dxa"/>
          </w:tcPr>
          <w:p w14:paraId="1AB0D96D" w14:textId="77777777" w:rsidR="00376001" w:rsidRPr="00173C96" w:rsidRDefault="00376001" w:rsidP="0066301C">
            <w:pPr>
              <w:jc w:val="center"/>
              <w:rPr>
                <w:rFonts w:ascii="Arial" w:hAnsi="Arial" w:cs="Arial"/>
              </w:rPr>
            </w:pPr>
            <w:r w:rsidRPr="00173C96">
              <w:rPr>
                <w:rFonts w:ascii="Arial" w:hAnsi="Arial" w:cs="Arial"/>
              </w:rPr>
              <w:t>0.0244</w:t>
            </w:r>
          </w:p>
        </w:tc>
        <w:tc>
          <w:tcPr>
            <w:tcW w:w="990" w:type="dxa"/>
          </w:tcPr>
          <w:p w14:paraId="0D91F1B5" w14:textId="77777777" w:rsidR="00376001" w:rsidRPr="00173C96" w:rsidRDefault="00376001" w:rsidP="0066301C">
            <w:pPr>
              <w:jc w:val="center"/>
              <w:rPr>
                <w:rFonts w:ascii="Arial" w:hAnsi="Arial" w:cs="Arial"/>
              </w:rPr>
            </w:pPr>
            <w:r w:rsidRPr="00173C96">
              <w:rPr>
                <w:rFonts w:ascii="Arial" w:hAnsi="Arial" w:cs="Arial"/>
              </w:rPr>
              <w:t>I(1)</w:t>
            </w:r>
          </w:p>
        </w:tc>
      </w:tr>
      <w:tr w:rsidR="00376001" w14:paraId="4EA5552B" w14:textId="77777777" w:rsidTr="00376001">
        <w:trPr>
          <w:jc w:val="center"/>
        </w:trPr>
        <w:tc>
          <w:tcPr>
            <w:tcW w:w="1067" w:type="dxa"/>
            <w:vMerge/>
          </w:tcPr>
          <w:p w14:paraId="198D5026" w14:textId="77777777" w:rsidR="00376001" w:rsidRPr="00173C96" w:rsidRDefault="00376001" w:rsidP="0066301C">
            <w:pPr>
              <w:rPr>
                <w:rFonts w:ascii="Arial" w:hAnsi="Arial" w:cs="Arial"/>
              </w:rPr>
            </w:pPr>
          </w:p>
        </w:tc>
        <w:tc>
          <w:tcPr>
            <w:tcW w:w="1063" w:type="dxa"/>
            <w:vMerge/>
          </w:tcPr>
          <w:p w14:paraId="5D487F18" w14:textId="77777777" w:rsidR="00376001" w:rsidRPr="00173C96" w:rsidRDefault="00376001" w:rsidP="0066301C">
            <w:pPr>
              <w:rPr>
                <w:rFonts w:ascii="Arial" w:hAnsi="Arial" w:cs="Arial"/>
              </w:rPr>
            </w:pPr>
          </w:p>
        </w:tc>
        <w:tc>
          <w:tcPr>
            <w:tcW w:w="1976" w:type="dxa"/>
          </w:tcPr>
          <w:p w14:paraId="4140ABE3" w14:textId="77777777" w:rsidR="00376001" w:rsidRPr="00173C96" w:rsidRDefault="00376001" w:rsidP="0066301C">
            <w:pPr>
              <w:rPr>
                <w:rFonts w:ascii="Arial" w:hAnsi="Arial" w:cs="Arial"/>
              </w:rPr>
            </w:pPr>
            <w:r w:rsidRPr="00173C96">
              <w:rPr>
                <w:rFonts w:ascii="Arial" w:hAnsi="Arial" w:cs="Arial"/>
              </w:rPr>
              <w:t>Intercept &amp; trend</w:t>
            </w:r>
          </w:p>
        </w:tc>
        <w:tc>
          <w:tcPr>
            <w:tcW w:w="866" w:type="dxa"/>
          </w:tcPr>
          <w:p w14:paraId="690EFA14" w14:textId="77777777" w:rsidR="00376001" w:rsidRPr="00173C96" w:rsidRDefault="00376001" w:rsidP="0066301C">
            <w:pPr>
              <w:jc w:val="center"/>
              <w:rPr>
                <w:rFonts w:ascii="Arial" w:hAnsi="Arial" w:cs="Arial"/>
              </w:rPr>
            </w:pPr>
            <w:r w:rsidRPr="00173C96">
              <w:rPr>
                <w:rFonts w:ascii="Arial" w:hAnsi="Arial" w:cs="Arial"/>
              </w:rPr>
              <w:t>0.5497</w:t>
            </w:r>
          </w:p>
        </w:tc>
        <w:tc>
          <w:tcPr>
            <w:tcW w:w="870" w:type="dxa"/>
          </w:tcPr>
          <w:p w14:paraId="7E9CD091" w14:textId="77777777" w:rsidR="00376001" w:rsidRPr="00173C96" w:rsidRDefault="00376001" w:rsidP="0066301C">
            <w:pPr>
              <w:jc w:val="center"/>
              <w:rPr>
                <w:rFonts w:ascii="Arial" w:hAnsi="Arial" w:cs="Arial"/>
              </w:rPr>
            </w:pPr>
            <w:r w:rsidRPr="00173C96">
              <w:rPr>
                <w:rFonts w:ascii="Arial" w:hAnsi="Arial" w:cs="Arial"/>
              </w:rPr>
              <w:t>0.3412</w:t>
            </w:r>
          </w:p>
        </w:tc>
        <w:tc>
          <w:tcPr>
            <w:tcW w:w="1001" w:type="dxa"/>
          </w:tcPr>
          <w:p w14:paraId="60FA3BD1" w14:textId="77777777" w:rsidR="00376001" w:rsidRPr="00173C96" w:rsidRDefault="00376001" w:rsidP="0066301C">
            <w:pPr>
              <w:jc w:val="center"/>
              <w:rPr>
                <w:rFonts w:ascii="Arial" w:hAnsi="Arial" w:cs="Arial"/>
              </w:rPr>
            </w:pPr>
            <w:r w:rsidRPr="00173C96">
              <w:rPr>
                <w:rFonts w:ascii="Arial" w:hAnsi="Arial" w:cs="Arial"/>
              </w:rPr>
              <w:t>0.4439</w:t>
            </w:r>
          </w:p>
        </w:tc>
        <w:tc>
          <w:tcPr>
            <w:tcW w:w="926" w:type="dxa"/>
          </w:tcPr>
          <w:p w14:paraId="7AD5A58D" w14:textId="77777777" w:rsidR="00376001" w:rsidRPr="00173C96" w:rsidRDefault="00376001" w:rsidP="0066301C">
            <w:pPr>
              <w:jc w:val="center"/>
              <w:rPr>
                <w:rFonts w:ascii="Arial" w:hAnsi="Arial" w:cs="Arial"/>
              </w:rPr>
            </w:pPr>
            <w:r w:rsidRPr="00173C96">
              <w:rPr>
                <w:rFonts w:ascii="Arial" w:hAnsi="Arial" w:cs="Arial"/>
              </w:rPr>
              <w:t>0.1102</w:t>
            </w:r>
          </w:p>
        </w:tc>
        <w:tc>
          <w:tcPr>
            <w:tcW w:w="990" w:type="dxa"/>
          </w:tcPr>
          <w:p w14:paraId="713D1040" w14:textId="77777777" w:rsidR="00376001" w:rsidRPr="00173C96" w:rsidRDefault="00376001" w:rsidP="0066301C">
            <w:pPr>
              <w:jc w:val="center"/>
              <w:rPr>
                <w:rFonts w:ascii="Arial" w:hAnsi="Arial" w:cs="Arial"/>
              </w:rPr>
            </w:pPr>
            <w:r w:rsidRPr="00173C96">
              <w:rPr>
                <w:rFonts w:ascii="Arial" w:hAnsi="Arial" w:cs="Arial"/>
              </w:rPr>
              <w:t>I(1)</w:t>
            </w:r>
          </w:p>
        </w:tc>
      </w:tr>
      <w:tr w:rsidR="00376001" w14:paraId="46116CCC" w14:textId="77777777" w:rsidTr="00376001">
        <w:trPr>
          <w:jc w:val="center"/>
        </w:trPr>
        <w:tc>
          <w:tcPr>
            <w:tcW w:w="1067" w:type="dxa"/>
            <w:vMerge/>
          </w:tcPr>
          <w:p w14:paraId="37C13E72" w14:textId="77777777" w:rsidR="00376001" w:rsidRPr="00173C96" w:rsidRDefault="00376001" w:rsidP="0066301C">
            <w:pPr>
              <w:rPr>
                <w:rFonts w:ascii="Arial" w:hAnsi="Arial" w:cs="Arial"/>
              </w:rPr>
            </w:pPr>
          </w:p>
        </w:tc>
        <w:tc>
          <w:tcPr>
            <w:tcW w:w="1063" w:type="dxa"/>
            <w:vMerge w:val="restart"/>
          </w:tcPr>
          <w:p w14:paraId="0B855D81" w14:textId="77777777" w:rsidR="00376001" w:rsidRPr="00173C96" w:rsidRDefault="00376001" w:rsidP="0066301C">
            <w:pPr>
              <w:jc w:val="center"/>
              <w:rPr>
                <w:rFonts w:ascii="Arial" w:hAnsi="Arial" w:cs="Arial"/>
              </w:rPr>
            </w:pPr>
          </w:p>
          <w:p w14:paraId="1660D949" w14:textId="77777777" w:rsidR="00376001" w:rsidRPr="00173C96" w:rsidRDefault="00376001" w:rsidP="0066301C">
            <w:pPr>
              <w:jc w:val="center"/>
              <w:rPr>
                <w:rFonts w:ascii="Arial" w:hAnsi="Arial" w:cs="Arial"/>
              </w:rPr>
            </w:pPr>
            <w:r w:rsidRPr="00173C96">
              <w:rPr>
                <w:rFonts w:ascii="Arial" w:hAnsi="Arial" w:cs="Arial"/>
              </w:rPr>
              <w:t>1</w:t>
            </w:r>
            <w:r w:rsidRPr="00173C96">
              <w:rPr>
                <w:rFonts w:ascii="Arial" w:hAnsi="Arial" w:cs="Arial"/>
                <w:vertAlign w:val="superscript"/>
              </w:rPr>
              <w:t>st</w:t>
            </w:r>
            <w:r w:rsidRPr="00173C96">
              <w:rPr>
                <w:rFonts w:ascii="Arial" w:hAnsi="Arial" w:cs="Arial"/>
              </w:rPr>
              <w:t xml:space="preserve"> diff.</w:t>
            </w:r>
          </w:p>
        </w:tc>
        <w:tc>
          <w:tcPr>
            <w:tcW w:w="1976" w:type="dxa"/>
          </w:tcPr>
          <w:p w14:paraId="1C7C7A92" w14:textId="77777777" w:rsidR="00376001" w:rsidRPr="00173C96" w:rsidRDefault="00376001" w:rsidP="0066301C">
            <w:pPr>
              <w:rPr>
                <w:rFonts w:ascii="Arial" w:hAnsi="Arial" w:cs="Arial"/>
              </w:rPr>
            </w:pPr>
            <w:r w:rsidRPr="00173C96">
              <w:rPr>
                <w:rFonts w:ascii="Arial" w:hAnsi="Arial" w:cs="Arial"/>
              </w:rPr>
              <w:t>Intercept</w:t>
            </w:r>
          </w:p>
        </w:tc>
        <w:tc>
          <w:tcPr>
            <w:tcW w:w="866" w:type="dxa"/>
          </w:tcPr>
          <w:p w14:paraId="6E76FD97" w14:textId="77777777" w:rsidR="00376001" w:rsidRPr="00173C96" w:rsidRDefault="00376001" w:rsidP="0066301C">
            <w:pPr>
              <w:jc w:val="center"/>
              <w:rPr>
                <w:rFonts w:ascii="Arial" w:hAnsi="Arial" w:cs="Arial"/>
              </w:rPr>
            </w:pPr>
            <w:r w:rsidRPr="00173C96">
              <w:rPr>
                <w:rFonts w:ascii="Arial" w:hAnsi="Arial" w:cs="Arial"/>
              </w:rPr>
              <w:t>0.0003</w:t>
            </w:r>
          </w:p>
        </w:tc>
        <w:tc>
          <w:tcPr>
            <w:tcW w:w="870" w:type="dxa"/>
          </w:tcPr>
          <w:p w14:paraId="65EB7FCA" w14:textId="77777777" w:rsidR="00376001" w:rsidRPr="00173C96" w:rsidRDefault="00376001" w:rsidP="0066301C">
            <w:pPr>
              <w:jc w:val="center"/>
              <w:rPr>
                <w:rFonts w:ascii="Arial" w:hAnsi="Arial" w:cs="Arial"/>
              </w:rPr>
            </w:pPr>
            <w:r w:rsidRPr="00173C96">
              <w:rPr>
                <w:rFonts w:ascii="Arial" w:hAnsi="Arial" w:cs="Arial"/>
              </w:rPr>
              <w:t>0.0000</w:t>
            </w:r>
          </w:p>
        </w:tc>
        <w:tc>
          <w:tcPr>
            <w:tcW w:w="1001" w:type="dxa"/>
          </w:tcPr>
          <w:p w14:paraId="169264FE" w14:textId="77777777" w:rsidR="00376001" w:rsidRPr="00173C96" w:rsidRDefault="00376001" w:rsidP="0066301C">
            <w:pPr>
              <w:jc w:val="center"/>
              <w:rPr>
                <w:rFonts w:ascii="Arial" w:hAnsi="Arial" w:cs="Arial"/>
              </w:rPr>
            </w:pPr>
            <w:r w:rsidRPr="00173C96">
              <w:rPr>
                <w:rFonts w:ascii="Arial" w:hAnsi="Arial" w:cs="Arial"/>
              </w:rPr>
              <w:t>0.0000</w:t>
            </w:r>
          </w:p>
        </w:tc>
        <w:tc>
          <w:tcPr>
            <w:tcW w:w="926" w:type="dxa"/>
          </w:tcPr>
          <w:p w14:paraId="09391A60" w14:textId="77777777" w:rsidR="00376001" w:rsidRPr="00173C96" w:rsidRDefault="00376001" w:rsidP="0066301C">
            <w:pPr>
              <w:jc w:val="center"/>
              <w:rPr>
                <w:rFonts w:ascii="Arial" w:hAnsi="Arial" w:cs="Arial"/>
              </w:rPr>
            </w:pPr>
            <w:r w:rsidRPr="00173C96">
              <w:rPr>
                <w:rFonts w:ascii="Arial" w:hAnsi="Arial" w:cs="Arial"/>
              </w:rPr>
              <w:t>0.0000</w:t>
            </w:r>
          </w:p>
        </w:tc>
        <w:tc>
          <w:tcPr>
            <w:tcW w:w="990" w:type="dxa"/>
          </w:tcPr>
          <w:p w14:paraId="6EB58DE5" w14:textId="77777777" w:rsidR="00376001" w:rsidRPr="00173C96" w:rsidRDefault="00376001" w:rsidP="0066301C">
            <w:pPr>
              <w:jc w:val="center"/>
              <w:rPr>
                <w:rFonts w:ascii="Arial" w:hAnsi="Arial" w:cs="Arial"/>
              </w:rPr>
            </w:pPr>
            <w:r w:rsidRPr="00173C96">
              <w:rPr>
                <w:rFonts w:ascii="Arial" w:hAnsi="Arial" w:cs="Arial"/>
              </w:rPr>
              <w:t>I(0)</w:t>
            </w:r>
          </w:p>
        </w:tc>
      </w:tr>
      <w:tr w:rsidR="00376001" w14:paraId="35CD6035" w14:textId="77777777" w:rsidTr="00376001">
        <w:trPr>
          <w:trHeight w:val="149"/>
          <w:jc w:val="center"/>
        </w:trPr>
        <w:tc>
          <w:tcPr>
            <w:tcW w:w="1067" w:type="dxa"/>
            <w:vMerge/>
          </w:tcPr>
          <w:p w14:paraId="2587A973" w14:textId="77777777" w:rsidR="00376001" w:rsidRPr="00173C96" w:rsidRDefault="00376001" w:rsidP="0066301C">
            <w:pPr>
              <w:rPr>
                <w:rFonts w:ascii="Arial" w:hAnsi="Arial" w:cs="Arial"/>
              </w:rPr>
            </w:pPr>
          </w:p>
        </w:tc>
        <w:tc>
          <w:tcPr>
            <w:tcW w:w="1063" w:type="dxa"/>
            <w:vMerge/>
          </w:tcPr>
          <w:p w14:paraId="607C645C" w14:textId="77777777" w:rsidR="00376001" w:rsidRPr="00173C96" w:rsidRDefault="00376001" w:rsidP="0066301C">
            <w:pPr>
              <w:rPr>
                <w:rFonts w:ascii="Arial" w:hAnsi="Arial" w:cs="Arial"/>
              </w:rPr>
            </w:pPr>
          </w:p>
        </w:tc>
        <w:tc>
          <w:tcPr>
            <w:tcW w:w="1976" w:type="dxa"/>
          </w:tcPr>
          <w:p w14:paraId="1F23177B" w14:textId="77777777" w:rsidR="00376001" w:rsidRPr="00173C96" w:rsidRDefault="00376001" w:rsidP="0066301C">
            <w:pPr>
              <w:rPr>
                <w:rFonts w:ascii="Arial" w:hAnsi="Arial" w:cs="Arial"/>
              </w:rPr>
            </w:pPr>
            <w:r w:rsidRPr="00173C96">
              <w:rPr>
                <w:rFonts w:ascii="Arial" w:hAnsi="Arial" w:cs="Arial"/>
              </w:rPr>
              <w:t>Intercept &amp; trend</w:t>
            </w:r>
          </w:p>
        </w:tc>
        <w:tc>
          <w:tcPr>
            <w:tcW w:w="866" w:type="dxa"/>
          </w:tcPr>
          <w:p w14:paraId="20489F67" w14:textId="77777777" w:rsidR="00376001" w:rsidRPr="00173C96" w:rsidRDefault="00376001" w:rsidP="0066301C">
            <w:pPr>
              <w:jc w:val="center"/>
              <w:rPr>
                <w:rFonts w:ascii="Arial" w:hAnsi="Arial" w:cs="Arial"/>
              </w:rPr>
            </w:pPr>
            <w:r w:rsidRPr="00173C96">
              <w:rPr>
                <w:rFonts w:ascii="Arial" w:hAnsi="Arial" w:cs="Arial"/>
              </w:rPr>
              <w:t>0.0117</w:t>
            </w:r>
          </w:p>
        </w:tc>
        <w:tc>
          <w:tcPr>
            <w:tcW w:w="870" w:type="dxa"/>
          </w:tcPr>
          <w:p w14:paraId="1D180478" w14:textId="77777777" w:rsidR="00376001" w:rsidRPr="00173C96" w:rsidRDefault="00376001" w:rsidP="0066301C">
            <w:pPr>
              <w:jc w:val="center"/>
              <w:rPr>
                <w:rFonts w:ascii="Arial" w:hAnsi="Arial" w:cs="Arial"/>
              </w:rPr>
            </w:pPr>
            <w:r w:rsidRPr="00173C96">
              <w:rPr>
                <w:rFonts w:ascii="Arial" w:hAnsi="Arial" w:cs="Arial"/>
              </w:rPr>
              <w:t>0.0000</w:t>
            </w:r>
          </w:p>
        </w:tc>
        <w:tc>
          <w:tcPr>
            <w:tcW w:w="1001" w:type="dxa"/>
          </w:tcPr>
          <w:p w14:paraId="3D701F19" w14:textId="77777777" w:rsidR="00376001" w:rsidRPr="00173C96" w:rsidRDefault="00376001" w:rsidP="0066301C">
            <w:pPr>
              <w:jc w:val="center"/>
              <w:rPr>
                <w:rFonts w:ascii="Arial" w:hAnsi="Arial" w:cs="Arial"/>
              </w:rPr>
            </w:pPr>
            <w:r w:rsidRPr="00173C96">
              <w:rPr>
                <w:rFonts w:ascii="Arial" w:hAnsi="Arial" w:cs="Arial"/>
              </w:rPr>
              <w:t>0.0000</w:t>
            </w:r>
          </w:p>
        </w:tc>
        <w:tc>
          <w:tcPr>
            <w:tcW w:w="926" w:type="dxa"/>
          </w:tcPr>
          <w:p w14:paraId="1165E211" w14:textId="77777777" w:rsidR="00376001" w:rsidRPr="00173C96" w:rsidRDefault="00376001" w:rsidP="0066301C">
            <w:pPr>
              <w:jc w:val="center"/>
              <w:rPr>
                <w:rFonts w:ascii="Arial" w:hAnsi="Arial" w:cs="Arial"/>
              </w:rPr>
            </w:pPr>
            <w:r w:rsidRPr="00173C96">
              <w:rPr>
                <w:rFonts w:ascii="Arial" w:hAnsi="Arial" w:cs="Arial"/>
              </w:rPr>
              <w:t>0.0000</w:t>
            </w:r>
          </w:p>
        </w:tc>
        <w:tc>
          <w:tcPr>
            <w:tcW w:w="990" w:type="dxa"/>
          </w:tcPr>
          <w:p w14:paraId="0C9E73CE" w14:textId="77777777" w:rsidR="00376001" w:rsidRPr="00173C96" w:rsidRDefault="00376001" w:rsidP="0066301C">
            <w:pPr>
              <w:jc w:val="center"/>
              <w:rPr>
                <w:rFonts w:ascii="Arial" w:hAnsi="Arial" w:cs="Arial"/>
              </w:rPr>
            </w:pPr>
            <w:r w:rsidRPr="00173C96">
              <w:rPr>
                <w:rFonts w:ascii="Arial" w:hAnsi="Arial" w:cs="Arial"/>
              </w:rPr>
              <w:t>I(0)</w:t>
            </w:r>
          </w:p>
        </w:tc>
      </w:tr>
    </w:tbl>
    <w:p w14:paraId="22F097D7" w14:textId="77777777" w:rsidR="00376001" w:rsidRPr="00D75CF4" w:rsidRDefault="00376001" w:rsidP="0066301C">
      <w:pPr>
        <w:autoSpaceDE w:val="0"/>
        <w:autoSpaceDN w:val="0"/>
        <w:adjustRightInd w:val="0"/>
        <w:spacing w:after="0"/>
        <w:ind w:left="720" w:firstLine="720"/>
        <w:rPr>
          <w:rFonts w:ascii="Arial" w:hAnsi="Arial" w:cs="Arial"/>
          <w:sz w:val="20"/>
          <w:szCs w:val="20"/>
        </w:rPr>
      </w:pPr>
      <w:r w:rsidRPr="00D75CF4">
        <w:rPr>
          <w:rFonts w:ascii="Arial" w:hAnsi="Arial" w:cs="Arial"/>
          <w:i/>
          <w:sz w:val="20"/>
          <w:szCs w:val="20"/>
        </w:rPr>
        <w:t xml:space="preserve">Source: </w:t>
      </w:r>
      <w:r w:rsidRPr="00D75CF4">
        <w:rPr>
          <w:rFonts w:ascii="Arial" w:hAnsi="Arial" w:cs="Arial"/>
          <w:sz w:val="20"/>
          <w:szCs w:val="20"/>
        </w:rPr>
        <w:t>Computation from using EViews 1</w:t>
      </w:r>
      <w:r>
        <w:rPr>
          <w:rFonts w:ascii="Arial" w:hAnsi="Arial" w:cs="Arial"/>
          <w:sz w:val="20"/>
          <w:szCs w:val="20"/>
        </w:rPr>
        <w:t>2</w:t>
      </w:r>
    </w:p>
    <w:p w14:paraId="5D534CD1" w14:textId="77777777" w:rsidR="00376001" w:rsidRDefault="00376001" w:rsidP="0066301C">
      <w:pPr>
        <w:tabs>
          <w:tab w:val="left" w:pos="6296"/>
        </w:tabs>
        <w:autoSpaceDE w:val="0"/>
        <w:autoSpaceDN w:val="0"/>
        <w:adjustRightInd w:val="0"/>
        <w:spacing w:after="0" w:line="240" w:lineRule="auto"/>
        <w:rPr>
          <w:rFonts w:ascii="Arial" w:hAnsi="Arial" w:cs="Arial"/>
          <w:b/>
        </w:rPr>
      </w:pPr>
    </w:p>
    <w:p w14:paraId="5FB6CEF5" w14:textId="77777777" w:rsidR="00376001" w:rsidRPr="008C4634" w:rsidRDefault="00376001" w:rsidP="0066301C">
      <w:pPr>
        <w:spacing w:after="0"/>
        <w:ind w:left="720" w:firstLine="720"/>
        <w:rPr>
          <w:rFonts w:ascii="Arial" w:hAnsi="Arial" w:cs="Arial"/>
          <w:b/>
          <w:bCs/>
        </w:rPr>
      </w:pPr>
      <w:bookmarkStart w:id="540" w:name="_Hlk170934055"/>
      <w:r w:rsidRPr="007C4A32">
        <w:rPr>
          <w:rFonts w:ascii="Arial" w:hAnsi="Arial" w:cs="Arial"/>
          <w:b/>
          <w:bCs/>
        </w:rPr>
        <w:t>Table 5.7: Doing</w:t>
      </w:r>
      <w:r w:rsidRPr="008C4634">
        <w:rPr>
          <w:rFonts w:ascii="Arial" w:hAnsi="Arial" w:cs="Arial"/>
          <w:b/>
          <w:bCs/>
        </w:rPr>
        <w:t xml:space="preserve"> Business Index for the Six CEMAC Nations</w:t>
      </w:r>
    </w:p>
    <w:tbl>
      <w:tblPr>
        <w:tblStyle w:val="TableGrid"/>
        <w:tblW w:w="0" w:type="auto"/>
        <w:jc w:val="center"/>
        <w:tblLook w:val="04A0" w:firstRow="1" w:lastRow="0" w:firstColumn="1" w:lastColumn="0" w:noHBand="0" w:noVBand="1"/>
      </w:tblPr>
      <w:tblGrid>
        <w:gridCol w:w="2311"/>
        <w:gridCol w:w="1149"/>
        <w:gridCol w:w="1106"/>
        <w:gridCol w:w="1105"/>
        <w:gridCol w:w="1134"/>
        <w:gridCol w:w="1134"/>
        <w:gridCol w:w="1224"/>
      </w:tblGrid>
      <w:tr w:rsidR="00376001" w14:paraId="213498F5" w14:textId="77777777" w:rsidTr="00376001">
        <w:trPr>
          <w:jc w:val="center"/>
        </w:trPr>
        <w:tc>
          <w:tcPr>
            <w:tcW w:w="2311" w:type="dxa"/>
          </w:tcPr>
          <w:p w14:paraId="032E8677" w14:textId="77777777" w:rsidR="00376001" w:rsidRDefault="00376001" w:rsidP="0066301C">
            <w:r>
              <w:t xml:space="preserve">Doing Business Indicators </w:t>
            </w:r>
          </w:p>
        </w:tc>
        <w:tc>
          <w:tcPr>
            <w:tcW w:w="1149" w:type="dxa"/>
          </w:tcPr>
          <w:p w14:paraId="2AE94791" w14:textId="77777777" w:rsidR="00376001" w:rsidRDefault="00376001" w:rsidP="0066301C">
            <w:r>
              <w:t xml:space="preserve">Cameroon </w:t>
            </w:r>
          </w:p>
        </w:tc>
        <w:tc>
          <w:tcPr>
            <w:tcW w:w="1106" w:type="dxa"/>
          </w:tcPr>
          <w:p w14:paraId="526B5254" w14:textId="77777777" w:rsidR="00376001" w:rsidRDefault="00376001" w:rsidP="0066301C">
            <w:r>
              <w:t>CAR</w:t>
            </w:r>
          </w:p>
        </w:tc>
        <w:tc>
          <w:tcPr>
            <w:tcW w:w="1105" w:type="dxa"/>
          </w:tcPr>
          <w:p w14:paraId="7A424A63" w14:textId="77777777" w:rsidR="00376001" w:rsidRDefault="00376001" w:rsidP="0066301C">
            <w:r>
              <w:t>Chad</w:t>
            </w:r>
          </w:p>
        </w:tc>
        <w:tc>
          <w:tcPr>
            <w:tcW w:w="1134" w:type="dxa"/>
          </w:tcPr>
          <w:p w14:paraId="5C2CAB0E" w14:textId="77777777" w:rsidR="00376001" w:rsidRDefault="00376001" w:rsidP="0066301C">
            <w:r>
              <w:t xml:space="preserve">Congo </w:t>
            </w:r>
          </w:p>
        </w:tc>
        <w:tc>
          <w:tcPr>
            <w:tcW w:w="1134" w:type="dxa"/>
          </w:tcPr>
          <w:p w14:paraId="38AB11ED" w14:textId="77777777" w:rsidR="00376001" w:rsidRDefault="00376001" w:rsidP="0066301C">
            <w:r>
              <w:t>Equatorial Guinea</w:t>
            </w:r>
          </w:p>
        </w:tc>
        <w:tc>
          <w:tcPr>
            <w:tcW w:w="1224" w:type="dxa"/>
          </w:tcPr>
          <w:p w14:paraId="15DB82C6" w14:textId="77777777" w:rsidR="00376001" w:rsidRDefault="00376001" w:rsidP="0066301C">
            <w:r>
              <w:t>Gabon</w:t>
            </w:r>
          </w:p>
        </w:tc>
      </w:tr>
      <w:tr w:rsidR="00376001" w14:paraId="54EFDEF3" w14:textId="77777777" w:rsidTr="00376001">
        <w:trPr>
          <w:jc w:val="center"/>
        </w:trPr>
        <w:tc>
          <w:tcPr>
            <w:tcW w:w="2311" w:type="dxa"/>
          </w:tcPr>
          <w:p w14:paraId="79DCBD3A" w14:textId="77777777" w:rsidR="00376001" w:rsidRDefault="00376001" w:rsidP="0066301C">
            <w:r>
              <w:t>Start a business</w:t>
            </w:r>
          </w:p>
        </w:tc>
        <w:tc>
          <w:tcPr>
            <w:tcW w:w="1149" w:type="dxa"/>
          </w:tcPr>
          <w:p w14:paraId="24544C30" w14:textId="77777777" w:rsidR="00376001" w:rsidRDefault="00376001" w:rsidP="0066301C">
            <w:r>
              <w:t>14 days</w:t>
            </w:r>
          </w:p>
        </w:tc>
        <w:tc>
          <w:tcPr>
            <w:tcW w:w="1106" w:type="dxa"/>
          </w:tcPr>
          <w:p w14:paraId="50FB997D" w14:textId="77777777" w:rsidR="00376001" w:rsidRDefault="00376001" w:rsidP="0066301C">
            <w:pPr>
              <w:jc w:val="center"/>
            </w:pPr>
            <w:r>
              <w:t>-</w:t>
            </w:r>
          </w:p>
        </w:tc>
        <w:tc>
          <w:tcPr>
            <w:tcW w:w="1105" w:type="dxa"/>
          </w:tcPr>
          <w:p w14:paraId="5F3C3842" w14:textId="77777777" w:rsidR="00376001" w:rsidRDefault="00376001" w:rsidP="0066301C">
            <w:r>
              <w:t>58 days</w:t>
            </w:r>
          </w:p>
        </w:tc>
        <w:tc>
          <w:tcPr>
            <w:tcW w:w="1134" w:type="dxa"/>
          </w:tcPr>
          <w:p w14:paraId="244732BD" w14:textId="77777777" w:rsidR="00376001" w:rsidRDefault="00376001" w:rsidP="0066301C">
            <w:r>
              <w:t>49.5 days</w:t>
            </w:r>
          </w:p>
        </w:tc>
        <w:tc>
          <w:tcPr>
            <w:tcW w:w="1134" w:type="dxa"/>
          </w:tcPr>
          <w:p w14:paraId="5A7252AD" w14:textId="77777777" w:rsidR="00376001" w:rsidRDefault="00376001" w:rsidP="0066301C">
            <w:r>
              <w:t>33 days</w:t>
            </w:r>
          </w:p>
        </w:tc>
        <w:tc>
          <w:tcPr>
            <w:tcW w:w="1224" w:type="dxa"/>
          </w:tcPr>
          <w:p w14:paraId="6EDAA4C4" w14:textId="77777777" w:rsidR="00376001" w:rsidRDefault="00376001" w:rsidP="0066301C">
            <w:r>
              <w:t>31 days</w:t>
            </w:r>
          </w:p>
        </w:tc>
      </w:tr>
      <w:tr w:rsidR="00376001" w14:paraId="2088E3DF" w14:textId="77777777" w:rsidTr="00376001">
        <w:trPr>
          <w:jc w:val="center"/>
        </w:trPr>
        <w:tc>
          <w:tcPr>
            <w:tcW w:w="2311" w:type="dxa"/>
          </w:tcPr>
          <w:p w14:paraId="1148F1E9" w14:textId="77777777" w:rsidR="00376001" w:rsidRDefault="00376001" w:rsidP="0066301C">
            <w:r>
              <w:t>Register property</w:t>
            </w:r>
          </w:p>
        </w:tc>
        <w:tc>
          <w:tcPr>
            <w:tcW w:w="1149" w:type="dxa"/>
          </w:tcPr>
          <w:p w14:paraId="3675451F" w14:textId="77777777" w:rsidR="00376001" w:rsidRDefault="00376001" w:rsidP="0066301C">
            <w:r>
              <w:t>81 days</w:t>
            </w:r>
          </w:p>
        </w:tc>
        <w:tc>
          <w:tcPr>
            <w:tcW w:w="1106" w:type="dxa"/>
          </w:tcPr>
          <w:p w14:paraId="4BE9890F" w14:textId="77777777" w:rsidR="00376001" w:rsidRDefault="00376001" w:rsidP="0066301C">
            <w:pPr>
              <w:jc w:val="center"/>
            </w:pPr>
            <w:r>
              <w:t>-</w:t>
            </w:r>
          </w:p>
        </w:tc>
        <w:tc>
          <w:tcPr>
            <w:tcW w:w="1105" w:type="dxa"/>
          </w:tcPr>
          <w:p w14:paraId="593BD346" w14:textId="77777777" w:rsidR="00376001" w:rsidRDefault="00376001" w:rsidP="0066301C">
            <w:r>
              <w:t>44 days</w:t>
            </w:r>
          </w:p>
        </w:tc>
        <w:tc>
          <w:tcPr>
            <w:tcW w:w="1134" w:type="dxa"/>
          </w:tcPr>
          <w:p w14:paraId="67250190" w14:textId="77777777" w:rsidR="00376001" w:rsidRDefault="00376001" w:rsidP="0066301C">
            <w:r>
              <w:t>54 days</w:t>
            </w:r>
          </w:p>
        </w:tc>
        <w:tc>
          <w:tcPr>
            <w:tcW w:w="1134" w:type="dxa"/>
          </w:tcPr>
          <w:p w14:paraId="11B9E90D" w14:textId="77777777" w:rsidR="00376001" w:rsidRDefault="00376001" w:rsidP="0066301C">
            <w:r>
              <w:t>23 days</w:t>
            </w:r>
          </w:p>
        </w:tc>
        <w:tc>
          <w:tcPr>
            <w:tcW w:w="1224" w:type="dxa"/>
          </w:tcPr>
          <w:p w14:paraId="242E553E" w14:textId="77777777" w:rsidR="00376001" w:rsidRDefault="00376001" w:rsidP="0066301C">
            <w:r>
              <w:t>72 days</w:t>
            </w:r>
          </w:p>
        </w:tc>
      </w:tr>
      <w:tr w:rsidR="00376001" w14:paraId="16E31C07" w14:textId="77777777" w:rsidTr="00376001">
        <w:trPr>
          <w:jc w:val="center"/>
        </w:trPr>
        <w:tc>
          <w:tcPr>
            <w:tcW w:w="2311" w:type="dxa"/>
          </w:tcPr>
          <w:p w14:paraId="3E9AAC44" w14:textId="77777777" w:rsidR="00376001" w:rsidRDefault="00376001" w:rsidP="0066301C">
            <w:r>
              <w:t>Enforce contracts</w:t>
            </w:r>
          </w:p>
        </w:tc>
        <w:tc>
          <w:tcPr>
            <w:tcW w:w="1149" w:type="dxa"/>
          </w:tcPr>
          <w:p w14:paraId="4ECF86C4" w14:textId="77777777" w:rsidR="00376001" w:rsidRDefault="00376001" w:rsidP="0066301C">
            <w:r>
              <w:t>800 days</w:t>
            </w:r>
          </w:p>
        </w:tc>
        <w:tc>
          <w:tcPr>
            <w:tcW w:w="1106" w:type="dxa"/>
          </w:tcPr>
          <w:p w14:paraId="0A71F3C9" w14:textId="77777777" w:rsidR="00376001" w:rsidRDefault="00376001" w:rsidP="0066301C">
            <w:pPr>
              <w:jc w:val="center"/>
            </w:pPr>
            <w:r>
              <w:t>-</w:t>
            </w:r>
          </w:p>
        </w:tc>
        <w:tc>
          <w:tcPr>
            <w:tcW w:w="1105" w:type="dxa"/>
          </w:tcPr>
          <w:p w14:paraId="50A20CAF" w14:textId="77777777" w:rsidR="00376001" w:rsidRDefault="00376001" w:rsidP="0066301C">
            <w:r>
              <w:t>743 days</w:t>
            </w:r>
          </w:p>
        </w:tc>
        <w:tc>
          <w:tcPr>
            <w:tcW w:w="1134" w:type="dxa"/>
          </w:tcPr>
          <w:p w14:paraId="73CD64EC" w14:textId="77777777" w:rsidR="00376001" w:rsidRDefault="00376001" w:rsidP="0066301C">
            <w:r>
              <w:t>560 days</w:t>
            </w:r>
          </w:p>
        </w:tc>
        <w:tc>
          <w:tcPr>
            <w:tcW w:w="1134" w:type="dxa"/>
          </w:tcPr>
          <w:p w14:paraId="29A59949" w14:textId="77777777" w:rsidR="00376001" w:rsidRDefault="00376001" w:rsidP="0066301C">
            <w:r>
              <w:t>475 days</w:t>
            </w:r>
          </w:p>
        </w:tc>
        <w:tc>
          <w:tcPr>
            <w:tcW w:w="1224" w:type="dxa"/>
          </w:tcPr>
          <w:p w14:paraId="50F6608F" w14:textId="77777777" w:rsidR="00376001" w:rsidRDefault="00376001" w:rsidP="0066301C">
            <w:r>
              <w:t>1,160 days</w:t>
            </w:r>
          </w:p>
        </w:tc>
      </w:tr>
      <w:tr w:rsidR="00376001" w14:paraId="3CD1348C" w14:textId="77777777" w:rsidTr="00376001">
        <w:trPr>
          <w:jc w:val="center"/>
        </w:trPr>
        <w:tc>
          <w:tcPr>
            <w:tcW w:w="2311" w:type="dxa"/>
          </w:tcPr>
          <w:p w14:paraId="21B6F65C" w14:textId="77777777" w:rsidR="00376001" w:rsidRDefault="00376001" w:rsidP="0066301C">
            <w:r>
              <w:t>Get electricity</w:t>
            </w:r>
          </w:p>
        </w:tc>
        <w:tc>
          <w:tcPr>
            <w:tcW w:w="1149" w:type="dxa"/>
          </w:tcPr>
          <w:p w14:paraId="0315FBA5" w14:textId="77777777" w:rsidR="00376001" w:rsidRDefault="00376001" w:rsidP="0066301C">
            <w:r>
              <w:t>64 days</w:t>
            </w:r>
          </w:p>
        </w:tc>
        <w:tc>
          <w:tcPr>
            <w:tcW w:w="1106" w:type="dxa"/>
          </w:tcPr>
          <w:p w14:paraId="7D63A2B5" w14:textId="77777777" w:rsidR="00376001" w:rsidRDefault="00376001" w:rsidP="0066301C">
            <w:pPr>
              <w:jc w:val="center"/>
            </w:pPr>
            <w:r>
              <w:t>-</w:t>
            </w:r>
          </w:p>
        </w:tc>
        <w:tc>
          <w:tcPr>
            <w:tcW w:w="1105" w:type="dxa"/>
          </w:tcPr>
          <w:p w14:paraId="7265FBAE" w14:textId="77777777" w:rsidR="00376001" w:rsidRDefault="00376001" w:rsidP="0066301C">
            <w:r>
              <w:t>67 days</w:t>
            </w:r>
          </w:p>
        </w:tc>
        <w:tc>
          <w:tcPr>
            <w:tcW w:w="1134" w:type="dxa"/>
          </w:tcPr>
          <w:p w14:paraId="4D7531C7" w14:textId="77777777" w:rsidR="00376001" w:rsidRDefault="00376001" w:rsidP="0066301C"/>
        </w:tc>
        <w:tc>
          <w:tcPr>
            <w:tcW w:w="1134" w:type="dxa"/>
          </w:tcPr>
          <w:p w14:paraId="24038AF8" w14:textId="77777777" w:rsidR="00376001" w:rsidRDefault="00376001" w:rsidP="0066301C">
            <w:r>
              <w:t>160 days</w:t>
            </w:r>
          </w:p>
        </w:tc>
        <w:tc>
          <w:tcPr>
            <w:tcW w:w="1224" w:type="dxa"/>
          </w:tcPr>
          <w:p w14:paraId="36F7003F" w14:textId="77777777" w:rsidR="00376001" w:rsidRDefault="00376001" w:rsidP="0066301C">
            <w:r>
              <w:t>148 days</w:t>
            </w:r>
          </w:p>
        </w:tc>
      </w:tr>
      <w:tr w:rsidR="00376001" w14:paraId="7684D306" w14:textId="77777777" w:rsidTr="00376001">
        <w:trPr>
          <w:jc w:val="center"/>
        </w:trPr>
        <w:tc>
          <w:tcPr>
            <w:tcW w:w="2311" w:type="dxa"/>
          </w:tcPr>
          <w:p w14:paraId="40D9B986" w14:textId="77777777" w:rsidR="00376001" w:rsidRDefault="00376001" w:rsidP="0066301C">
            <w:r>
              <w:t>Resolve insolvency</w:t>
            </w:r>
          </w:p>
        </w:tc>
        <w:tc>
          <w:tcPr>
            <w:tcW w:w="1149" w:type="dxa"/>
          </w:tcPr>
          <w:p w14:paraId="7BAF1B46" w14:textId="77777777" w:rsidR="00376001" w:rsidRDefault="00376001" w:rsidP="0066301C">
            <w:r>
              <w:t>2.8 years</w:t>
            </w:r>
          </w:p>
        </w:tc>
        <w:tc>
          <w:tcPr>
            <w:tcW w:w="1106" w:type="dxa"/>
          </w:tcPr>
          <w:p w14:paraId="07B64538" w14:textId="77777777" w:rsidR="00376001" w:rsidRDefault="00376001" w:rsidP="0066301C">
            <w:r>
              <w:t>4.8 years</w:t>
            </w:r>
          </w:p>
        </w:tc>
        <w:tc>
          <w:tcPr>
            <w:tcW w:w="1105" w:type="dxa"/>
          </w:tcPr>
          <w:p w14:paraId="768A2153" w14:textId="77777777" w:rsidR="00376001" w:rsidRDefault="00376001" w:rsidP="0066301C">
            <w:r>
              <w:t>4 years</w:t>
            </w:r>
          </w:p>
        </w:tc>
        <w:tc>
          <w:tcPr>
            <w:tcW w:w="1134" w:type="dxa"/>
          </w:tcPr>
          <w:p w14:paraId="2C2D5EE5" w14:textId="77777777" w:rsidR="00376001" w:rsidRDefault="00376001" w:rsidP="0066301C">
            <w:r>
              <w:t>3.3 years</w:t>
            </w:r>
          </w:p>
        </w:tc>
        <w:tc>
          <w:tcPr>
            <w:tcW w:w="1134" w:type="dxa"/>
          </w:tcPr>
          <w:p w14:paraId="639E46D7" w14:textId="77777777" w:rsidR="00376001" w:rsidRDefault="00376001" w:rsidP="0066301C"/>
        </w:tc>
        <w:tc>
          <w:tcPr>
            <w:tcW w:w="1224" w:type="dxa"/>
          </w:tcPr>
          <w:p w14:paraId="4A10832B" w14:textId="77777777" w:rsidR="00376001" w:rsidRDefault="00376001" w:rsidP="0066301C">
            <w:r>
              <w:t>5 years</w:t>
            </w:r>
          </w:p>
        </w:tc>
      </w:tr>
      <w:tr w:rsidR="00376001" w14:paraId="0442267D" w14:textId="77777777" w:rsidTr="00376001">
        <w:trPr>
          <w:jc w:val="center"/>
        </w:trPr>
        <w:tc>
          <w:tcPr>
            <w:tcW w:w="2311" w:type="dxa"/>
          </w:tcPr>
          <w:p w14:paraId="60A0752E" w14:textId="77777777" w:rsidR="00376001" w:rsidRDefault="00376001" w:rsidP="0066301C">
            <w:r>
              <w:t>Comply with Import documents</w:t>
            </w:r>
          </w:p>
        </w:tc>
        <w:tc>
          <w:tcPr>
            <w:tcW w:w="1149" w:type="dxa"/>
          </w:tcPr>
          <w:p w14:paraId="06BC440D" w14:textId="77777777" w:rsidR="00376001" w:rsidRDefault="00376001" w:rsidP="0066301C">
            <w:r>
              <w:t>163 hours</w:t>
            </w:r>
          </w:p>
        </w:tc>
        <w:tc>
          <w:tcPr>
            <w:tcW w:w="1106" w:type="dxa"/>
          </w:tcPr>
          <w:p w14:paraId="7F8B4E22" w14:textId="77777777" w:rsidR="00376001" w:rsidRDefault="00376001" w:rsidP="0066301C">
            <w:r>
              <w:t>120 hours</w:t>
            </w:r>
          </w:p>
        </w:tc>
        <w:tc>
          <w:tcPr>
            <w:tcW w:w="1105" w:type="dxa"/>
          </w:tcPr>
          <w:p w14:paraId="1E415D06" w14:textId="77777777" w:rsidR="00376001" w:rsidRDefault="00376001" w:rsidP="0066301C">
            <w:r>
              <w:t>172 hours</w:t>
            </w:r>
          </w:p>
        </w:tc>
        <w:tc>
          <w:tcPr>
            <w:tcW w:w="1134" w:type="dxa"/>
          </w:tcPr>
          <w:p w14:paraId="4C9A6D98" w14:textId="77777777" w:rsidR="00376001" w:rsidRDefault="00376001" w:rsidP="0066301C">
            <w:r>
              <w:t>208 hours</w:t>
            </w:r>
          </w:p>
        </w:tc>
        <w:tc>
          <w:tcPr>
            <w:tcW w:w="1134" w:type="dxa"/>
          </w:tcPr>
          <w:p w14:paraId="5B6B45D2" w14:textId="77777777" w:rsidR="00376001" w:rsidRDefault="00376001" w:rsidP="0066301C">
            <w:r>
              <w:t>240 hours</w:t>
            </w:r>
          </w:p>
        </w:tc>
        <w:tc>
          <w:tcPr>
            <w:tcW w:w="1224" w:type="dxa"/>
          </w:tcPr>
          <w:p w14:paraId="3D626ED1" w14:textId="77777777" w:rsidR="00376001" w:rsidRDefault="00376001" w:rsidP="0066301C">
            <w:r>
              <w:t>120 hours</w:t>
            </w:r>
          </w:p>
        </w:tc>
      </w:tr>
      <w:tr w:rsidR="00376001" w14:paraId="601FEDF4" w14:textId="77777777" w:rsidTr="00376001">
        <w:trPr>
          <w:jc w:val="center"/>
        </w:trPr>
        <w:tc>
          <w:tcPr>
            <w:tcW w:w="2311" w:type="dxa"/>
          </w:tcPr>
          <w:p w14:paraId="78CB45B9" w14:textId="77777777" w:rsidR="00376001" w:rsidRDefault="00376001" w:rsidP="0066301C">
            <w:r>
              <w:t>Comply with Import procedure at border</w:t>
            </w:r>
          </w:p>
        </w:tc>
        <w:tc>
          <w:tcPr>
            <w:tcW w:w="1149" w:type="dxa"/>
          </w:tcPr>
          <w:p w14:paraId="293ED2E1" w14:textId="77777777" w:rsidR="00376001" w:rsidRDefault="00376001" w:rsidP="0066301C">
            <w:r>
              <w:t>261 hours</w:t>
            </w:r>
          </w:p>
        </w:tc>
        <w:tc>
          <w:tcPr>
            <w:tcW w:w="1106" w:type="dxa"/>
          </w:tcPr>
          <w:p w14:paraId="6A2CC133" w14:textId="77777777" w:rsidR="00376001" w:rsidRDefault="00376001" w:rsidP="0066301C">
            <w:r>
              <w:t>121.7 hours</w:t>
            </w:r>
          </w:p>
        </w:tc>
        <w:tc>
          <w:tcPr>
            <w:tcW w:w="1105" w:type="dxa"/>
          </w:tcPr>
          <w:p w14:paraId="51FCBBF6" w14:textId="77777777" w:rsidR="00376001" w:rsidRDefault="00376001" w:rsidP="0066301C">
            <w:r>
              <w:t>242 hours</w:t>
            </w:r>
          </w:p>
        </w:tc>
        <w:tc>
          <w:tcPr>
            <w:tcW w:w="1134" w:type="dxa"/>
          </w:tcPr>
          <w:p w14:paraId="67C39E90" w14:textId="77777777" w:rsidR="00376001" w:rsidRDefault="00376001" w:rsidP="0066301C">
            <w:r>
              <w:t>397.3 hours</w:t>
            </w:r>
          </w:p>
        </w:tc>
        <w:tc>
          <w:tcPr>
            <w:tcW w:w="1134" w:type="dxa"/>
          </w:tcPr>
          <w:p w14:paraId="56A6DE1E" w14:textId="77777777" w:rsidR="00376001" w:rsidRDefault="00376001" w:rsidP="0066301C">
            <w:r>
              <w:t>240 hours</w:t>
            </w:r>
          </w:p>
        </w:tc>
        <w:tc>
          <w:tcPr>
            <w:tcW w:w="1224" w:type="dxa"/>
          </w:tcPr>
          <w:p w14:paraId="5AA3FCA3" w14:textId="77777777" w:rsidR="00376001" w:rsidRDefault="00376001" w:rsidP="0066301C">
            <w:r>
              <w:t>84 hours</w:t>
            </w:r>
          </w:p>
        </w:tc>
      </w:tr>
      <w:tr w:rsidR="00376001" w14:paraId="668CFB8A" w14:textId="77777777" w:rsidTr="00376001">
        <w:trPr>
          <w:jc w:val="center"/>
        </w:trPr>
        <w:tc>
          <w:tcPr>
            <w:tcW w:w="2311" w:type="dxa"/>
          </w:tcPr>
          <w:p w14:paraId="43F88354" w14:textId="77777777" w:rsidR="00376001" w:rsidRDefault="00376001" w:rsidP="0066301C">
            <w:r>
              <w:t>Comply with export documents</w:t>
            </w:r>
          </w:p>
        </w:tc>
        <w:tc>
          <w:tcPr>
            <w:tcW w:w="1149" w:type="dxa"/>
          </w:tcPr>
          <w:p w14:paraId="2FD3179E" w14:textId="77777777" w:rsidR="00376001" w:rsidRDefault="00376001" w:rsidP="0066301C">
            <w:r>
              <w:t>66 hours</w:t>
            </w:r>
          </w:p>
        </w:tc>
        <w:tc>
          <w:tcPr>
            <w:tcW w:w="1106" w:type="dxa"/>
          </w:tcPr>
          <w:p w14:paraId="503DC3AB" w14:textId="77777777" w:rsidR="00376001" w:rsidRDefault="00376001" w:rsidP="0066301C">
            <w:r>
              <w:t>48 hours</w:t>
            </w:r>
          </w:p>
        </w:tc>
        <w:tc>
          <w:tcPr>
            <w:tcW w:w="1105" w:type="dxa"/>
          </w:tcPr>
          <w:p w14:paraId="6C884498" w14:textId="77777777" w:rsidR="00376001" w:rsidRDefault="00376001" w:rsidP="0066301C">
            <w:r>
              <w:t>87 hours</w:t>
            </w:r>
          </w:p>
        </w:tc>
        <w:tc>
          <w:tcPr>
            <w:tcW w:w="1134" w:type="dxa"/>
          </w:tcPr>
          <w:p w14:paraId="42BC7461" w14:textId="77777777" w:rsidR="00376001" w:rsidRDefault="00376001" w:rsidP="0066301C">
            <w:r>
              <w:t>120 hours</w:t>
            </w:r>
          </w:p>
        </w:tc>
        <w:tc>
          <w:tcPr>
            <w:tcW w:w="1134" w:type="dxa"/>
          </w:tcPr>
          <w:p w14:paraId="52C97C23" w14:textId="77777777" w:rsidR="00376001" w:rsidRDefault="00376001" w:rsidP="0066301C">
            <w:r>
              <w:t>154 hours</w:t>
            </w:r>
          </w:p>
        </w:tc>
        <w:tc>
          <w:tcPr>
            <w:tcW w:w="1224" w:type="dxa"/>
          </w:tcPr>
          <w:p w14:paraId="16AC2ED2" w14:textId="77777777" w:rsidR="00376001" w:rsidRDefault="00376001" w:rsidP="0066301C">
            <w:r>
              <w:t>60 hours</w:t>
            </w:r>
          </w:p>
        </w:tc>
      </w:tr>
      <w:tr w:rsidR="00376001" w14:paraId="1DA7BEED" w14:textId="77777777" w:rsidTr="00376001">
        <w:trPr>
          <w:jc w:val="center"/>
        </w:trPr>
        <w:tc>
          <w:tcPr>
            <w:tcW w:w="2311" w:type="dxa"/>
          </w:tcPr>
          <w:p w14:paraId="499AC163" w14:textId="77777777" w:rsidR="00376001" w:rsidRDefault="00376001" w:rsidP="0066301C">
            <w:r>
              <w:t>Comply with export procedure at border</w:t>
            </w:r>
          </w:p>
        </w:tc>
        <w:tc>
          <w:tcPr>
            <w:tcW w:w="1149" w:type="dxa"/>
          </w:tcPr>
          <w:p w14:paraId="50F9CE27" w14:textId="77777777" w:rsidR="00376001" w:rsidRDefault="00376001" w:rsidP="0066301C">
            <w:r>
              <w:t>202 hours</w:t>
            </w:r>
          </w:p>
        </w:tc>
        <w:tc>
          <w:tcPr>
            <w:tcW w:w="1106" w:type="dxa"/>
          </w:tcPr>
          <w:p w14:paraId="1A668A2F" w14:textId="77777777" w:rsidR="00376001" w:rsidRDefault="00376001" w:rsidP="0066301C">
            <w:r>
              <w:t>48 hours</w:t>
            </w:r>
          </w:p>
        </w:tc>
        <w:tc>
          <w:tcPr>
            <w:tcW w:w="1105" w:type="dxa"/>
          </w:tcPr>
          <w:p w14:paraId="6ACFE2A5" w14:textId="77777777" w:rsidR="00376001" w:rsidRDefault="00376001" w:rsidP="0066301C">
            <w:r>
              <w:t>106 hours</w:t>
            </w:r>
          </w:p>
        </w:tc>
        <w:tc>
          <w:tcPr>
            <w:tcW w:w="1134" w:type="dxa"/>
          </w:tcPr>
          <w:p w14:paraId="4436CF46" w14:textId="77777777" w:rsidR="00376001" w:rsidRDefault="00376001" w:rsidP="0066301C">
            <w:r>
              <w:t>276 hours</w:t>
            </w:r>
          </w:p>
        </w:tc>
        <w:tc>
          <w:tcPr>
            <w:tcW w:w="1134" w:type="dxa"/>
          </w:tcPr>
          <w:p w14:paraId="05BA89AC" w14:textId="77777777" w:rsidR="00376001" w:rsidRDefault="00376001" w:rsidP="0066301C">
            <w:r>
              <w:t>132 hours</w:t>
            </w:r>
          </w:p>
        </w:tc>
        <w:tc>
          <w:tcPr>
            <w:tcW w:w="1224" w:type="dxa"/>
          </w:tcPr>
          <w:p w14:paraId="60404BC5" w14:textId="77777777" w:rsidR="00376001" w:rsidRDefault="00376001" w:rsidP="0066301C">
            <w:r>
              <w:t>96 hours</w:t>
            </w:r>
          </w:p>
        </w:tc>
      </w:tr>
      <w:tr w:rsidR="00376001" w14:paraId="79C2B816" w14:textId="77777777" w:rsidTr="00376001">
        <w:trPr>
          <w:jc w:val="center"/>
        </w:trPr>
        <w:tc>
          <w:tcPr>
            <w:tcW w:w="2311" w:type="dxa"/>
          </w:tcPr>
          <w:p w14:paraId="47545553" w14:textId="77777777" w:rsidR="00376001" w:rsidRDefault="00376001" w:rsidP="0066301C">
            <w:r>
              <w:t>Rank in Doing Business Index of 190 countries</w:t>
            </w:r>
          </w:p>
        </w:tc>
        <w:tc>
          <w:tcPr>
            <w:tcW w:w="1149" w:type="dxa"/>
          </w:tcPr>
          <w:p w14:paraId="095A3915" w14:textId="77777777" w:rsidR="00376001" w:rsidRDefault="00376001" w:rsidP="0066301C">
            <w:r>
              <w:t>167</w:t>
            </w:r>
            <w:r w:rsidRPr="006F44F4">
              <w:rPr>
                <w:vertAlign w:val="superscript"/>
              </w:rPr>
              <w:t>th</w:t>
            </w:r>
            <w:r>
              <w:t xml:space="preserve"> </w:t>
            </w:r>
          </w:p>
        </w:tc>
        <w:tc>
          <w:tcPr>
            <w:tcW w:w="1106" w:type="dxa"/>
          </w:tcPr>
          <w:p w14:paraId="654C8BA1" w14:textId="77777777" w:rsidR="00376001" w:rsidRDefault="00376001" w:rsidP="0066301C">
            <w:r>
              <w:t>184</w:t>
            </w:r>
            <w:r w:rsidRPr="00C9047F">
              <w:rPr>
                <w:vertAlign w:val="superscript"/>
              </w:rPr>
              <w:t>th</w:t>
            </w:r>
          </w:p>
        </w:tc>
        <w:tc>
          <w:tcPr>
            <w:tcW w:w="1105" w:type="dxa"/>
          </w:tcPr>
          <w:p w14:paraId="449597C0" w14:textId="77777777" w:rsidR="00376001" w:rsidRDefault="00376001" w:rsidP="0066301C">
            <w:r>
              <w:t>182</w:t>
            </w:r>
            <w:r w:rsidRPr="00093F7C">
              <w:rPr>
                <w:vertAlign w:val="superscript"/>
              </w:rPr>
              <w:t>nd</w:t>
            </w:r>
            <w:r>
              <w:t xml:space="preserve"> </w:t>
            </w:r>
          </w:p>
        </w:tc>
        <w:tc>
          <w:tcPr>
            <w:tcW w:w="1134" w:type="dxa"/>
          </w:tcPr>
          <w:p w14:paraId="39EB68AF" w14:textId="77777777" w:rsidR="00376001" w:rsidRDefault="00376001" w:rsidP="0066301C">
            <w:r>
              <w:t>180</w:t>
            </w:r>
            <w:r w:rsidRPr="00FB7DCC">
              <w:rPr>
                <w:vertAlign w:val="superscript"/>
              </w:rPr>
              <w:t>th</w:t>
            </w:r>
            <w:r>
              <w:t xml:space="preserve"> </w:t>
            </w:r>
          </w:p>
        </w:tc>
        <w:tc>
          <w:tcPr>
            <w:tcW w:w="1134" w:type="dxa"/>
          </w:tcPr>
          <w:p w14:paraId="171BC370" w14:textId="77777777" w:rsidR="00376001" w:rsidRDefault="00376001" w:rsidP="0066301C">
            <w:r>
              <w:t>178</w:t>
            </w:r>
            <w:r w:rsidRPr="00FB7DCC">
              <w:rPr>
                <w:vertAlign w:val="superscript"/>
              </w:rPr>
              <w:t>th</w:t>
            </w:r>
            <w:r>
              <w:t xml:space="preserve"> </w:t>
            </w:r>
          </w:p>
        </w:tc>
        <w:tc>
          <w:tcPr>
            <w:tcW w:w="1224" w:type="dxa"/>
          </w:tcPr>
          <w:p w14:paraId="1F256C91" w14:textId="77777777" w:rsidR="00376001" w:rsidRDefault="00376001" w:rsidP="0066301C">
            <w:r>
              <w:t>169</w:t>
            </w:r>
            <w:r w:rsidRPr="00093F7C">
              <w:rPr>
                <w:vertAlign w:val="superscript"/>
              </w:rPr>
              <w:t>th</w:t>
            </w:r>
            <w:r>
              <w:t xml:space="preserve"> </w:t>
            </w:r>
          </w:p>
        </w:tc>
      </w:tr>
      <w:tr w:rsidR="00376001" w14:paraId="62585416" w14:textId="77777777" w:rsidTr="00376001">
        <w:trPr>
          <w:jc w:val="center"/>
        </w:trPr>
        <w:tc>
          <w:tcPr>
            <w:tcW w:w="2311" w:type="dxa"/>
          </w:tcPr>
          <w:p w14:paraId="3E1D13C9" w14:textId="77777777" w:rsidR="00376001" w:rsidRDefault="00376001" w:rsidP="0066301C">
            <w:r>
              <w:t>Ease of Doing Business score on 100</w:t>
            </w:r>
          </w:p>
        </w:tc>
        <w:tc>
          <w:tcPr>
            <w:tcW w:w="1149" w:type="dxa"/>
          </w:tcPr>
          <w:p w14:paraId="7C8CE028" w14:textId="77777777" w:rsidR="00376001" w:rsidRDefault="00376001" w:rsidP="0066301C">
            <w:r>
              <w:t>46%</w:t>
            </w:r>
          </w:p>
        </w:tc>
        <w:tc>
          <w:tcPr>
            <w:tcW w:w="1106" w:type="dxa"/>
          </w:tcPr>
          <w:p w14:paraId="43804C14" w14:textId="77777777" w:rsidR="00376001" w:rsidRDefault="00376001" w:rsidP="0066301C">
            <w:r>
              <w:t>35.56%</w:t>
            </w:r>
          </w:p>
        </w:tc>
        <w:tc>
          <w:tcPr>
            <w:tcW w:w="1105" w:type="dxa"/>
          </w:tcPr>
          <w:p w14:paraId="2BF36452" w14:textId="77777777" w:rsidR="00376001" w:rsidRDefault="00376001" w:rsidP="0066301C">
            <w:r>
              <w:t>36.7%</w:t>
            </w:r>
          </w:p>
        </w:tc>
        <w:tc>
          <w:tcPr>
            <w:tcW w:w="1134" w:type="dxa"/>
          </w:tcPr>
          <w:p w14:paraId="335C7B73" w14:textId="77777777" w:rsidR="00376001" w:rsidRDefault="00376001" w:rsidP="0066301C">
            <w:r>
              <w:t>38.2%</w:t>
            </w:r>
          </w:p>
        </w:tc>
        <w:tc>
          <w:tcPr>
            <w:tcW w:w="1134" w:type="dxa"/>
          </w:tcPr>
          <w:p w14:paraId="7DF8C690" w14:textId="77777777" w:rsidR="00376001" w:rsidRDefault="00376001" w:rsidP="0066301C">
            <w:r>
              <w:t>40.54%</w:t>
            </w:r>
          </w:p>
        </w:tc>
        <w:tc>
          <w:tcPr>
            <w:tcW w:w="1224" w:type="dxa"/>
          </w:tcPr>
          <w:p w14:paraId="4BE66FB5" w14:textId="77777777" w:rsidR="00376001" w:rsidRDefault="00376001" w:rsidP="0066301C">
            <w:r>
              <w:t>44.5%</w:t>
            </w:r>
          </w:p>
        </w:tc>
      </w:tr>
    </w:tbl>
    <w:p w14:paraId="719EA7F5" w14:textId="77777777" w:rsidR="00376001" w:rsidRPr="0020008E" w:rsidRDefault="00376001" w:rsidP="0066301C">
      <w:pPr>
        <w:ind w:left="720" w:firstLine="720"/>
        <w:rPr>
          <w:sz w:val="16"/>
          <w:szCs w:val="16"/>
        </w:rPr>
        <w:sectPr w:rsidR="00376001" w:rsidRPr="0020008E" w:rsidSect="00D14E7F">
          <w:headerReference w:type="default" r:id="rId118"/>
          <w:pgSz w:w="11906" w:h="16838"/>
          <w:pgMar w:top="1440" w:right="142" w:bottom="1440" w:left="284" w:header="709" w:footer="709" w:gutter="0"/>
          <w:cols w:space="708"/>
          <w:docGrid w:linePitch="360"/>
        </w:sectPr>
      </w:pPr>
      <w:r w:rsidRPr="00094CDA">
        <w:rPr>
          <w:rFonts w:ascii="Arial" w:hAnsi="Arial" w:cs="Arial"/>
          <w:i/>
          <w:iCs/>
          <w:sz w:val="20"/>
          <w:szCs w:val="20"/>
        </w:rPr>
        <w:t>Source:</w:t>
      </w:r>
      <w:r w:rsidRPr="00094CDA">
        <w:rPr>
          <w:rFonts w:ascii="Arial" w:hAnsi="Arial" w:cs="Arial"/>
          <w:sz w:val="20"/>
          <w:szCs w:val="20"/>
        </w:rPr>
        <w:t xml:space="preserve"> World Bank Doing Business Report (2020)</w:t>
      </w:r>
      <w:bookmarkEnd w:id="537"/>
    </w:p>
    <w:p w14:paraId="3FF68734" w14:textId="6680726F" w:rsidR="21C3821A" w:rsidRDefault="21C3821A" w:rsidP="0066301C">
      <w:pPr>
        <w:pStyle w:val="Heading1"/>
        <w:numPr>
          <w:ilvl w:val="0"/>
          <w:numId w:val="0"/>
        </w:numPr>
        <w:spacing w:before="0"/>
        <w:ind w:left="2618"/>
        <w:jc w:val="left"/>
        <w:rPr>
          <w:rFonts w:eastAsia="Arial" w:cs="Arial"/>
          <w:sz w:val="31"/>
          <w:szCs w:val="31"/>
        </w:rPr>
      </w:pPr>
      <w:bookmarkStart w:id="541" w:name="_Toc171075448"/>
      <w:bookmarkEnd w:id="540"/>
      <w:r w:rsidRPr="48425B6A">
        <w:rPr>
          <w:rFonts w:eastAsia="Arial" w:cs="Arial"/>
          <w:sz w:val="31"/>
          <w:szCs w:val="31"/>
        </w:rPr>
        <w:lastRenderedPageBreak/>
        <w:t>REFERENCE</w:t>
      </w:r>
      <w:bookmarkEnd w:id="541"/>
    </w:p>
    <w:p w14:paraId="743612F1" w14:textId="2F2E38CC" w:rsidR="21C3821A" w:rsidRDefault="21C3821A" w:rsidP="0066301C">
      <w:pPr>
        <w:spacing w:line="257" w:lineRule="auto"/>
        <w:jc w:val="both"/>
        <w:rPr>
          <w:rFonts w:ascii="Arial" w:eastAsia="Arial" w:hAnsi="Arial" w:cs="Arial"/>
          <w:sz w:val="20"/>
          <w:szCs w:val="20"/>
        </w:rPr>
      </w:pPr>
      <w:r w:rsidRPr="48425B6A">
        <w:rPr>
          <w:rFonts w:ascii="Arial" w:eastAsia="Arial" w:hAnsi="Arial" w:cs="Arial"/>
          <w:sz w:val="19"/>
          <w:szCs w:val="19"/>
        </w:rPr>
        <w:t xml:space="preserve"> </w:t>
      </w:r>
      <w:r w:rsidRPr="48425B6A">
        <w:rPr>
          <w:rFonts w:ascii="Arial" w:eastAsia="Arial" w:hAnsi="Arial" w:cs="Arial"/>
          <w:sz w:val="20"/>
          <w:szCs w:val="20"/>
        </w:rPr>
        <w:t xml:space="preserve">Abdih, Y. and Tsangarides, C. (2006). FEER for the CFA Franc. </w:t>
      </w:r>
      <w:r w:rsidRPr="48425B6A">
        <w:rPr>
          <w:rFonts w:ascii="Arial" w:eastAsia="Arial" w:hAnsi="Arial" w:cs="Arial"/>
          <w:i/>
          <w:iCs/>
          <w:sz w:val="20"/>
          <w:szCs w:val="20"/>
        </w:rPr>
        <w:t>IMF Working Paper</w:t>
      </w:r>
      <w:r w:rsidRPr="48425B6A">
        <w:rPr>
          <w:rFonts w:ascii="Arial" w:eastAsia="Arial" w:hAnsi="Arial" w:cs="Arial"/>
          <w:sz w:val="20"/>
          <w:szCs w:val="20"/>
        </w:rPr>
        <w:t xml:space="preserve"> No. 06/236. </w:t>
      </w:r>
    </w:p>
    <w:p w14:paraId="4BA78093" w14:textId="60D7BFA5" w:rsidR="21C3821A" w:rsidRDefault="21C3821A" w:rsidP="0066301C">
      <w:pPr>
        <w:spacing w:after="200"/>
        <w:jc w:val="both"/>
        <w:rPr>
          <w:rFonts w:ascii="Arial" w:eastAsia="Arial" w:hAnsi="Arial" w:cs="Arial"/>
          <w:sz w:val="20"/>
          <w:szCs w:val="20"/>
        </w:rPr>
      </w:pPr>
      <w:r w:rsidRPr="48425B6A">
        <w:rPr>
          <w:rFonts w:ascii="Arial" w:eastAsia="Arial" w:hAnsi="Arial" w:cs="Arial"/>
          <w:sz w:val="20"/>
          <w:szCs w:val="20"/>
        </w:rPr>
        <w:t xml:space="preserve">Abdih, Y. and Tsangarides, C. (2010). FEER for the CFA Franc. </w:t>
      </w:r>
      <w:r w:rsidRPr="48425B6A">
        <w:rPr>
          <w:rFonts w:ascii="Arial" w:eastAsia="Arial" w:hAnsi="Arial" w:cs="Arial"/>
          <w:i/>
          <w:iCs/>
          <w:sz w:val="20"/>
          <w:szCs w:val="20"/>
        </w:rPr>
        <w:t xml:space="preserve">Applied Economics, </w:t>
      </w:r>
      <w:r w:rsidRPr="48425B6A">
        <w:rPr>
          <w:rFonts w:ascii="Arial" w:eastAsia="Arial" w:hAnsi="Arial" w:cs="Arial"/>
          <w:sz w:val="20"/>
          <w:szCs w:val="20"/>
        </w:rPr>
        <w:t xml:space="preserve">Pp: 2009-2029. </w:t>
      </w:r>
    </w:p>
    <w:p w14:paraId="5F69784C" w14:textId="2C5BB4A6" w:rsidR="21C3821A" w:rsidRDefault="21C3821A" w:rsidP="0066301C">
      <w:pPr>
        <w:spacing w:after="200"/>
        <w:jc w:val="both"/>
        <w:rPr>
          <w:rFonts w:ascii="Arial" w:eastAsia="Arial" w:hAnsi="Arial" w:cs="Arial"/>
          <w:sz w:val="20"/>
          <w:szCs w:val="20"/>
        </w:rPr>
      </w:pPr>
      <w:r w:rsidRPr="48425B6A">
        <w:rPr>
          <w:rFonts w:ascii="Arial" w:eastAsia="Arial" w:hAnsi="Arial" w:cs="Arial"/>
          <w:sz w:val="20"/>
          <w:szCs w:val="20"/>
        </w:rPr>
        <w:t xml:space="preserve">Acemoglu, D., Johnson, S., Robinson, J., and Thaicharoen, Y. (2003). Institutional Causes, Macroeconomic Symptoms: Volatility, Crises and Growth. </w:t>
      </w:r>
      <w:r w:rsidRPr="48425B6A">
        <w:rPr>
          <w:rFonts w:ascii="Arial" w:eastAsia="Arial" w:hAnsi="Arial" w:cs="Arial"/>
          <w:i/>
          <w:iCs/>
          <w:sz w:val="20"/>
          <w:szCs w:val="20"/>
        </w:rPr>
        <w:t>Journal of M</w:t>
      </w:r>
      <w:r w:rsidR="004D66B5">
        <w:rPr>
          <w:rFonts w:ascii="Arial" w:eastAsia="Arial" w:hAnsi="Arial" w:cs="Arial"/>
          <w:i/>
          <w:iCs/>
          <w:sz w:val="20"/>
          <w:szCs w:val="20"/>
        </w:rPr>
        <w:t>o</w:t>
      </w:r>
      <w:r w:rsidRPr="48425B6A">
        <w:rPr>
          <w:rFonts w:ascii="Arial" w:eastAsia="Arial" w:hAnsi="Arial" w:cs="Arial"/>
          <w:i/>
          <w:iCs/>
          <w:sz w:val="20"/>
          <w:szCs w:val="20"/>
        </w:rPr>
        <w:t xml:space="preserve">netary Economics, </w:t>
      </w:r>
      <w:r w:rsidRPr="48425B6A">
        <w:rPr>
          <w:rFonts w:ascii="Arial" w:eastAsia="Arial" w:hAnsi="Arial" w:cs="Arial"/>
          <w:sz w:val="20"/>
          <w:szCs w:val="20"/>
        </w:rPr>
        <w:t>Vol. 50, Pp: 49-123.</w:t>
      </w:r>
    </w:p>
    <w:p w14:paraId="409F9C0C" w14:textId="2EE1F639" w:rsidR="21C3821A" w:rsidRDefault="21C3821A" w:rsidP="0066301C">
      <w:pPr>
        <w:spacing w:after="115" w:line="247" w:lineRule="auto"/>
        <w:jc w:val="both"/>
        <w:rPr>
          <w:rFonts w:ascii="Arial" w:eastAsia="Arial" w:hAnsi="Arial" w:cs="Arial"/>
          <w:sz w:val="20"/>
          <w:szCs w:val="20"/>
        </w:rPr>
      </w:pPr>
      <w:r w:rsidRPr="48425B6A">
        <w:rPr>
          <w:rFonts w:ascii="Arial" w:eastAsia="Arial" w:hAnsi="Arial" w:cs="Arial"/>
          <w:sz w:val="20"/>
          <w:szCs w:val="20"/>
        </w:rPr>
        <w:t xml:space="preserve">Adams, S. (2009). Foreign Direct Investment, Domestic Investment, and Economic Growth in Sub-Saharan Africa. </w:t>
      </w:r>
      <w:r w:rsidRPr="48425B6A">
        <w:rPr>
          <w:rFonts w:ascii="Arial" w:eastAsia="Arial" w:hAnsi="Arial" w:cs="Arial"/>
          <w:i/>
          <w:iCs/>
          <w:sz w:val="20"/>
          <w:szCs w:val="20"/>
        </w:rPr>
        <w:t>Journal of Policy Modelling</w:t>
      </w:r>
      <w:r w:rsidRPr="48425B6A">
        <w:rPr>
          <w:rFonts w:ascii="Arial" w:eastAsia="Arial" w:hAnsi="Arial" w:cs="Arial"/>
          <w:sz w:val="20"/>
          <w:szCs w:val="20"/>
        </w:rPr>
        <w:t xml:space="preserve">, Vol. 31(6), Pp: 939–949. </w:t>
      </w:r>
    </w:p>
    <w:p w14:paraId="082F4B09" w14:textId="7EB52873" w:rsidR="21C3821A" w:rsidRDefault="21C3821A" w:rsidP="0066301C">
      <w:pPr>
        <w:spacing w:after="240"/>
        <w:jc w:val="both"/>
        <w:rPr>
          <w:rFonts w:ascii="Arial" w:eastAsia="Arial" w:hAnsi="Arial" w:cs="Arial"/>
          <w:sz w:val="20"/>
          <w:szCs w:val="20"/>
        </w:rPr>
      </w:pPr>
      <w:r w:rsidRPr="48425B6A">
        <w:rPr>
          <w:rFonts w:ascii="Arial" w:eastAsia="Arial" w:hAnsi="Arial" w:cs="Arial"/>
          <w:sz w:val="20"/>
          <w:szCs w:val="20"/>
        </w:rPr>
        <w:t xml:space="preserve">Adom, A.D, (2015) Re-estimating Effective Equilibrium Exchange Rates in the West African Economic and Monetary Union: New Evidences and Perspectives. </w:t>
      </w:r>
      <w:r w:rsidRPr="48425B6A">
        <w:rPr>
          <w:rFonts w:ascii="Arial" w:eastAsia="Arial" w:hAnsi="Arial" w:cs="Arial"/>
          <w:i/>
          <w:iCs/>
          <w:sz w:val="20"/>
          <w:szCs w:val="20"/>
        </w:rPr>
        <w:t>Eastern Journal of Economics and Finance</w:t>
      </w:r>
      <w:r w:rsidRPr="48425B6A">
        <w:rPr>
          <w:rFonts w:ascii="Arial" w:eastAsia="Arial" w:hAnsi="Arial" w:cs="Arial"/>
          <w:sz w:val="20"/>
          <w:szCs w:val="20"/>
        </w:rPr>
        <w:t xml:space="preserve">, Vol. 1(1), Pp 1-31. </w:t>
      </w:r>
    </w:p>
    <w:p w14:paraId="5AA4AC08" w14:textId="511AD993" w:rsidR="21C3821A" w:rsidRDefault="21C3821A" w:rsidP="0066301C">
      <w:pPr>
        <w:spacing w:after="240"/>
        <w:jc w:val="both"/>
        <w:rPr>
          <w:rFonts w:ascii="Arial" w:eastAsia="Arial" w:hAnsi="Arial" w:cs="Arial"/>
          <w:sz w:val="20"/>
          <w:szCs w:val="20"/>
        </w:rPr>
      </w:pPr>
      <w:r w:rsidRPr="48425B6A">
        <w:rPr>
          <w:rFonts w:ascii="Arial" w:eastAsia="Arial" w:hAnsi="Arial" w:cs="Arial"/>
          <w:sz w:val="20"/>
          <w:szCs w:val="20"/>
        </w:rPr>
        <w:t xml:space="preserve">Adu, B.E. and Ntim, A.L. (2014). Causality Analysis of Foreign Direct Investment, Exchange Rate and Interest Rate Volatility in Ghana. </w:t>
      </w:r>
      <w:r w:rsidRPr="48425B6A">
        <w:rPr>
          <w:rFonts w:ascii="Arial" w:eastAsia="Arial" w:hAnsi="Arial" w:cs="Arial"/>
          <w:i/>
          <w:iCs/>
          <w:sz w:val="20"/>
          <w:szCs w:val="20"/>
        </w:rPr>
        <w:t xml:space="preserve">Journal of Economics and Sustainable Development, </w:t>
      </w:r>
      <w:r w:rsidRPr="48425B6A">
        <w:rPr>
          <w:rFonts w:ascii="Arial" w:eastAsia="Arial" w:hAnsi="Arial" w:cs="Arial"/>
          <w:sz w:val="20"/>
          <w:szCs w:val="20"/>
        </w:rPr>
        <w:t xml:space="preserve">Pp: 2 – 23. </w:t>
      </w:r>
    </w:p>
    <w:p w14:paraId="46EEC76C" w14:textId="13D87ED8" w:rsidR="21C3821A" w:rsidRDefault="21C3821A" w:rsidP="0066301C">
      <w:pPr>
        <w:spacing w:after="240"/>
        <w:jc w:val="both"/>
        <w:rPr>
          <w:rFonts w:ascii="Arial" w:eastAsia="Arial" w:hAnsi="Arial" w:cs="Arial"/>
          <w:i/>
          <w:iCs/>
          <w:sz w:val="20"/>
          <w:szCs w:val="20"/>
        </w:rPr>
      </w:pPr>
      <w:r w:rsidRPr="48425B6A">
        <w:rPr>
          <w:rFonts w:ascii="Arial" w:eastAsia="Arial" w:hAnsi="Arial" w:cs="Arial"/>
          <w:sz w:val="20"/>
          <w:szCs w:val="20"/>
        </w:rPr>
        <w:t xml:space="preserve">Agbor, J. A. (2012). The Future of the CEMAC CFA Franc. Policy Paper 2012-06. </w:t>
      </w:r>
      <w:r w:rsidRPr="48425B6A">
        <w:rPr>
          <w:rFonts w:ascii="Arial" w:eastAsia="Arial" w:hAnsi="Arial" w:cs="Arial"/>
          <w:i/>
          <w:iCs/>
          <w:sz w:val="20"/>
          <w:szCs w:val="20"/>
        </w:rPr>
        <w:t xml:space="preserve">Global Economic and Development at Brookings. </w:t>
      </w:r>
    </w:p>
    <w:p w14:paraId="41899546" w14:textId="77777777" w:rsidR="008967CC" w:rsidRPr="00F91229" w:rsidRDefault="008967CC" w:rsidP="0066301C">
      <w:pPr>
        <w:spacing w:line="240" w:lineRule="auto"/>
        <w:jc w:val="both"/>
        <w:rPr>
          <w:rFonts w:ascii="Arial" w:hAnsi="Arial" w:cs="Arial"/>
          <w:sz w:val="20"/>
          <w:szCs w:val="20"/>
        </w:rPr>
      </w:pPr>
      <w:r w:rsidRPr="00F91229">
        <w:rPr>
          <w:rFonts w:ascii="Arial" w:hAnsi="Arial" w:cs="Arial"/>
          <w:sz w:val="20"/>
          <w:szCs w:val="20"/>
          <w:lang w:val="en-US"/>
        </w:rPr>
        <w:t xml:space="preserve">Agenor, P. (1991). Output, Devaluation and the Real Exchange Rate in Developing Countries. </w:t>
      </w:r>
      <w:r w:rsidRPr="00F91229">
        <w:rPr>
          <w:rFonts w:ascii="Arial" w:hAnsi="Arial" w:cs="Arial"/>
          <w:i/>
          <w:iCs/>
          <w:sz w:val="20"/>
          <w:szCs w:val="20"/>
          <w:lang w:val="en-US"/>
        </w:rPr>
        <w:t xml:space="preserve">Review of World Economics, </w:t>
      </w:r>
      <w:r w:rsidRPr="00F91229">
        <w:rPr>
          <w:rFonts w:ascii="Arial" w:hAnsi="Arial" w:cs="Arial"/>
          <w:sz w:val="20"/>
          <w:szCs w:val="20"/>
          <w:lang w:val="en-US"/>
        </w:rPr>
        <w:t>Vol. 127(1), Pp: 19-41.</w:t>
      </w:r>
    </w:p>
    <w:p w14:paraId="41EAB355" w14:textId="77777777" w:rsidR="008F28E9" w:rsidRPr="00D13F39" w:rsidRDefault="008F28E9" w:rsidP="0066301C">
      <w:pPr>
        <w:spacing w:line="240" w:lineRule="auto"/>
        <w:jc w:val="both"/>
        <w:rPr>
          <w:rFonts w:ascii="Arial" w:hAnsi="Arial" w:cs="Arial"/>
          <w:sz w:val="20"/>
          <w:szCs w:val="20"/>
          <w:lang w:val="en-US" w:eastAsia="en-GB"/>
        </w:rPr>
      </w:pPr>
      <w:r w:rsidRPr="00D13F39">
        <w:rPr>
          <w:rFonts w:ascii="Arial" w:hAnsi="Arial" w:cs="Arial"/>
          <w:color w:val="333333"/>
          <w:sz w:val="20"/>
          <w:szCs w:val="20"/>
          <w:shd w:val="clear" w:color="auto" w:fill="FFFFFF"/>
        </w:rPr>
        <w:t>Ahlers, T. &amp; Hinkle L. (1999). Estimating the equilibrium real exchange empirically. In Hinkle L., &amp; Montiel P. (Eds.), </w:t>
      </w:r>
      <w:r w:rsidRPr="00D13F39">
        <w:rPr>
          <w:rStyle w:val="Emphasis"/>
          <w:rFonts w:ascii="Arial" w:hAnsi="Arial" w:cs="Arial"/>
          <w:color w:val="333333"/>
          <w:sz w:val="20"/>
          <w:szCs w:val="20"/>
          <w:shd w:val="clear" w:color="auto" w:fill="FFFFFF"/>
        </w:rPr>
        <w:t>Exchange rate misalignment: Concepts and measurement for developing countries</w:t>
      </w:r>
      <w:r w:rsidRPr="00D13F39">
        <w:rPr>
          <w:rFonts w:ascii="Arial" w:hAnsi="Arial" w:cs="Arial"/>
          <w:color w:val="333333"/>
          <w:sz w:val="20"/>
          <w:szCs w:val="20"/>
          <w:shd w:val="clear" w:color="auto" w:fill="FFFFFF"/>
        </w:rPr>
        <w:t> (pp. 293–358). World Bank.</w:t>
      </w:r>
    </w:p>
    <w:p w14:paraId="7C4A92A8" w14:textId="5248B506" w:rsidR="21C3821A" w:rsidRDefault="21C3821A" w:rsidP="0066301C">
      <w:pPr>
        <w:spacing w:after="200"/>
        <w:jc w:val="both"/>
        <w:rPr>
          <w:rFonts w:ascii="Arial" w:eastAsia="Arial" w:hAnsi="Arial" w:cs="Arial"/>
          <w:sz w:val="20"/>
          <w:szCs w:val="20"/>
        </w:rPr>
      </w:pPr>
      <w:r w:rsidRPr="48425B6A">
        <w:rPr>
          <w:rFonts w:ascii="Arial" w:eastAsia="Arial" w:hAnsi="Arial" w:cs="Arial"/>
          <w:sz w:val="20"/>
          <w:szCs w:val="20"/>
        </w:rPr>
        <w:t xml:space="preserve">Ahmad A. H. (2009). </w:t>
      </w:r>
      <w:r w:rsidRPr="48425B6A">
        <w:rPr>
          <w:rFonts w:ascii="Arial" w:eastAsia="Arial" w:hAnsi="Arial" w:cs="Arial"/>
          <w:i/>
          <w:iCs/>
          <w:sz w:val="20"/>
          <w:szCs w:val="20"/>
        </w:rPr>
        <w:t>An empirical investigation of African exchange rate policies.</w:t>
      </w:r>
      <w:r w:rsidRPr="48425B6A">
        <w:rPr>
          <w:rFonts w:ascii="Arial" w:eastAsia="Arial" w:hAnsi="Arial" w:cs="Arial"/>
          <w:sz w:val="20"/>
          <w:szCs w:val="20"/>
        </w:rPr>
        <w:t xml:space="preserve"> Loughborough University. Ahmad, J. &amp; Yang, J. (2004), Estimation of the J-curve in China: Economics Series East West center working papers.</w:t>
      </w:r>
    </w:p>
    <w:p w14:paraId="76A39394" w14:textId="3359EE2A" w:rsidR="21C3821A" w:rsidRDefault="21C3821A" w:rsidP="0066301C">
      <w:pPr>
        <w:spacing w:after="200"/>
        <w:jc w:val="both"/>
        <w:rPr>
          <w:rFonts w:ascii="Arial" w:eastAsia="Arial" w:hAnsi="Arial" w:cs="Arial"/>
          <w:sz w:val="20"/>
          <w:szCs w:val="20"/>
        </w:rPr>
      </w:pPr>
      <w:r w:rsidRPr="48425B6A">
        <w:rPr>
          <w:rFonts w:ascii="Arial" w:eastAsia="Arial" w:hAnsi="Arial" w:cs="Arial"/>
          <w:sz w:val="20"/>
          <w:szCs w:val="20"/>
        </w:rPr>
        <w:t xml:space="preserve">Ahmad, N., Ahmed, R.R., Khoso, I., Palwishah, R. and Raza, U. (2014). Impact of Exchange Rate on Balance of Payment: An Investigation from Pakistan. </w:t>
      </w:r>
      <w:r w:rsidRPr="48425B6A">
        <w:rPr>
          <w:rFonts w:ascii="Arial" w:eastAsia="Arial" w:hAnsi="Arial" w:cs="Arial"/>
          <w:i/>
          <w:iCs/>
          <w:sz w:val="20"/>
          <w:szCs w:val="20"/>
        </w:rPr>
        <w:t>Research Journal of Finance and Accounting</w:t>
      </w:r>
      <w:r w:rsidRPr="48425B6A">
        <w:rPr>
          <w:rFonts w:ascii="Arial" w:eastAsia="Arial" w:hAnsi="Arial" w:cs="Arial"/>
          <w:sz w:val="20"/>
          <w:szCs w:val="20"/>
        </w:rPr>
        <w:t>. ISSN 2222-1697 (Paper) ISSN 2222-284. 5(13). Online: ww.iiste.org.</w:t>
      </w:r>
    </w:p>
    <w:p w14:paraId="02FFBBD4" w14:textId="718622E6" w:rsidR="21C3821A" w:rsidRDefault="21C3821A" w:rsidP="0066301C">
      <w:pPr>
        <w:spacing w:after="200"/>
        <w:jc w:val="both"/>
        <w:rPr>
          <w:rFonts w:ascii="Arial" w:eastAsia="Arial" w:hAnsi="Arial" w:cs="Arial"/>
          <w:sz w:val="20"/>
          <w:szCs w:val="20"/>
        </w:rPr>
      </w:pPr>
      <w:r w:rsidRPr="48425B6A">
        <w:rPr>
          <w:rFonts w:ascii="Arial" w:eastAsia="Arial" w:hAnsi="Arial" w:cs="Arial"/>
          <w:sz w:val="20"/>
          <w:szCs w:val="20"/>
        </w:rPr>
        <w:t xml:space="preserve">Alexander, S. S. (1952). Effects of a Devaluation on a Trade Balance. </w:t>
      </w:r>
      <w:r w:rsidRPr="48425B6A">
        <w:rPr>
          <w:rFonts w:ascii="Arial" w:eastAsia="Arial" w:hAnsi="Arial" w:cs="Arial"/>
          <w:i/>
          <w:iCs/>
          <w:sz w:val="20"/>
          <w:szCs w:val="20"/>
        </w:rPr>
        <w:t xml:space="preserve">Staff Papers – International Monetary Fund, </w:t>
      </w:r>
      <w:r w:rsidRPr="48425B6A">
        <w:rPr>
          <w:rFonts w:ascii="Arial" w:eastAsia="Arial" w:hAnsi="Arial" w:cs="Arial"/>
          <w:sz w:val="20"/>
          <w:szCs w:val="20"/>
        </w:rPr>
        <w:t>Vol. 2 (2), Pp: 263 – 278.</w:t>
      </w:r>
    </w:p>
    <w:p w14:paraId="0B7D28F9" w14:textId="0FB55752" w:rsidR="21C3821A" w:rsidRDefault="21C3821A" w:rsidP="0066301C">
      <w:pPr>
        <w:spacing w:after="200"/>
        <w:jc w:val="both"/>
        <w:rPr>
          <w:rFonts w:ascii="Arial" w:eastAsia="Arial" w:hAnsi="Arial" w:cs="Arial"/>
          <w:color w:val="000000" w:themeColor="text1"/>
          <w:sz w:val="20"/>
          <w:szCs w:val="20"/>
        </w:rPr>
      </w:pPr>
      <w:r w:rsidRPr="48425B6A">
        <w:rPr>
          <w:rFonts w:ascii="Arial" w:eastAsia="Arial" w:hAnsi="Arial" w:cs="Arial"/>
          <w:color w:val="000000" w:themeColor="text1"/>
          <w:sz w:val="20"/>
          <w:szCs w:val="20"/>
        </w:rPr>
        <w:t xml:space="preserve">Alfaro and Chauvin (2017) Foreign Direct Investment, Finance, and Economic Development. </w:t>
      </w:r>
      <w:r w:rsidRPr="48425B6A">
        <w:rPr>
          <w:rFonts w:ascii="Arial" w:eastAsia="Arial" w:hAnsi="Arial" w:cs="Arial"/>
          <w:i/>
          <w:iCs/>
          <w:color w:val="000000" w:themeColor="text1"/>
          <w:sz w:val="20"/>
          <w:szCs w:val="20"/>
        </w:rPr>
        <w:t>Chapter for Encyclopedia of International Economics and Global Trade</w:t>
      </w:r>
      <w:r w:rsidRPr="48425B6A">
        <w:rPr>
          <w:rFonts w:ascii="Arial" w:eastAsia="Arial" w:hAnsi="Arial" w:cs="Arial"/>
          <w:color w:val="000000" w:themeColor="text1"/>
          <w:sz w:val="20"/>
          <w:szCs w:val="20"/>
        </w:rPr>
        <w:t>. 1-32.</w:t>
      </w:r>
    </w:p>
    <w:p w14:paraId="318F8F40" w14:textId="5FCFF677" w:rsidR="21C3821A" w:rsidRDefault="21C3821A" w:rsidP="0066301C">
      <w:pPr>
        <w:spacing w:after="200"/>
        <w:jc w:val="both"/>
        <w:rPr>
          <w:rFonts w:ascii="Arial" w:eastAsia="Arial" w:hAnsi="Arial" w:cs="Arial"/>
          <w:sz w:val="20"/>
          <w:szCs w:val="20"/>
        </w:rPr>
      </w:pPr>
      <w:r w:rsidRPr="48425B6A">
        <w:rPr>
          <w:rFonts w:ascii="Arial" w:eastAsia="Arial" w:hAnsi="Arial" w:cs="Arial"/>
          <w:sz w:val="20"/>
          <w:szCs w:val="20"/>
        </w:rPr>
        <w:t xml:space="preserve">Aizenman, J. and Riera-Crichton, D. (2008). Real exchange rate and international reserves in an era of growing financial and trade integration. </w:t>
      </w:r>
      <w:r w:rsidRPr="48425B6A">
        <w:rPr>
          <w:rFonts w:ascii="Arial" w:eastAsia="Arial" w:hAnsi="Arial" w:cs="Arial"/>
          <w:i/>
          <w:iCs/>
          <w:sz w:val="20"/>
          <w:szCs w:val="20"/>
        </w:rPr>
        <w:t xml:space="preserve">The Review of Economics and Statistics, </w:t>
      </w:r>
      <w:r w:rsidRPr="48425B6A">
        <w:rPr>
          <w:rFonts w:ascii="Arial" w:eastAsia="Arial" w:hAnsi="Arial" w:cs="Arial"/>
          <w:sz w:val="20"/>
          <w:szCs w:val="20"/>
        </w:rPr>
        <w:t xml:space="preserve">90, Pp:812-15. </w:t>
      </w:r>
    </w:p>
    <w:p w14:paraId="68B3A4F4" w14:textId="2EDDEA7C" w:rsidR="21C3821A" w:rsidRDefault="21C3821A" w:rsidP="0066301C">
      <w:pPr>
        <w:spacing w:after="200"/>
        <w:jc w:val="both"/>
        <w:rPr>
          <w:rFonts w:ascii="Arial" w:eastAsia="Arial" w:hAnsi="Arial" w:cs="Arial"/>
          <w:sz w:val="20"/>
          <w:szCs w:val="20"/>
        </w:rPr>
      </w:pPr>
      <w:r w:rsidRPr="48425B6A">
        <w:rPr>
          <w:rFonts w:ascii="Arial" w:eastAsia="Arial" w:hAnsi="Arial" w:cs="Arial"/>
          <w:sz w:val="20"/>
          <w:szCs w:val="20"/>
        </w:rPr>
        <w:t xml:space="preserve">Ali, Y.S.A, Mohamed, I.I., &amp; Zahir, M.O. (2017). Impact of Change in Exchange Rate on Foreign Direct Investment: Evidence from Somalia. </w:t>
      </w:r>
      <w:r w:rsidRPr="48425B6A">
        <w:rPr>
          <w:rFonts w:ascii="Arial" w:eastAsia="Arial" w:hAnsi="Arial" w:cs="Arial"/>
          <w:i/>
          <w:iCs/>
          <w:sz w:val="20"/>
          <w:szCs w:val="20"/>
        </w:rPr>
        <w:t>Journal of Economics and Sustainable Development,</w:t>
      </w:r>
      <w:r w:rsidRPr="48425B6A">
        <w:rPr>
          <w:rFonts w:ascii="Arial" w:eastAsia="Arial" w:hAnsi="Arial" w:cs="Arial"/>
          <w:sz w:val="20"/>
          <w:szCs w:val="20"/>
        </w:rPr>
        <w:t xml:space="preserve"> Vol. 8(8), Pp: 47 – 54.</w:t>
      </w:r>
    </w:p>
    <w:p w14:paraId="58F71921" w14:textId="06B39868" w:rsidR="21C3821A" w:rsidRDefault="21C3821A" w:rsidP="0066301C">
      <w:pPr>
        <w:spacing w:after="200"/>
        <w:jc w:val="both"/>
        <w:rPr>
          <w:rFonts w:ascii="Arial" w:eastAsia="Arial" w:hAnsi="Arial" w:cs="Arial"/>
          <w:sz w:val="20"/>
          <w:szCs w:val="20"/>
        </w:rPr>
      </w:pPr>
      <w:r w:rsidRPr="48425B6A">
        <w:rPr>
          <w:rFonts w:ascii="Arial" w:eastAsia="Arial" w:hAnsi="Arial" w:cs="Arial"/>
          <w:sz w:val="20"/>
          <w:szCs w:val="20"/>
        </w:rPr>
        <w:t xml:space="preserve">Alias, E.F., A. Baharom, I. Ismail, and A. Radam. (2012). The Impact of Exchange Rate on Tomato Trade: Evidence from Malaysia. </w:t>
      </w:r>
      <w:r w:rsidRPr="48425B6A">
        <w:rPr>
          <w:rFonts w:ascii="Arial" w:eastAsia="Arial" w:hAnsi="Arial" w:cs="Arial"/>
          <w:i/>
          <w:iCs/>
          <w:sz w:val="20"/>
          <w:szCs w:val="20"/>
        </w:rPr>
        <w:t xml:space="preserve">Asian Social Science, </w:t>
      </w:r>
      <w:r w:rsidRPr="48425B6A">
        <w:rPr>
          <w:rFonts w:ascii="Arial" w:eastAsia="Arial" w:hAnsi="Arial" w:cs="Arial"/>
          <w:sz w:val="20"/>
          <w:szCs w:val="20"/>
        </w:rPr>
        <w:t>Vol. 8(6), Pp: 20 – 25.</w:t>
      </w:r>
    </w:p>
    <w:p w14:paraId="5CCA1A64" w14:textId="5CB64431" w:rsidR="21C3821A" w:rsidRDefault="21C3821A" w:rsidP="0066301C">
      <w:pPr>
        <w:jc w:val="both"/>
        <w:rPr>
          <w:rFonts w:ascii="Arial" w:eastAsia="Arial" w:hAnsi="Arial" w:cs="Arial"/>
          <w:sz w:val="20"/>
          <w:szCs w:val="20"/>
        </w:rPr>
      </w:pPr>
      <w:r w:rsidRPr="48425B6A">
        <w:rPr>
          <w:rFonts w:ascii="Arial" w:eastAsia="Arial" w:hAnsi="Arial" w:cs="Arial"/>
          <w:sz w:val="20"/>
          <w:szCs w:val="20"/>
        </w:rPr>
        <w:t xml:space="preserve">Almeida, R., Fernandes, A., (2008). Openness and Technological Innovations in Developing Countries: Evidence from Firm-level Surveys. </w:t>
      </w:r>
      <w:r w:rsidRPr="48425B6A">
        <w:rPr>
          <w:rFonts w:ascii="Arial" w:eastAsia="Arial" w:hAnsi="Arial" w:cs="Arial"/>
          <w:i/>
          <w:iCs/>
          <w:sz w:val="20"/>
          <w:szCs w:val="20"/>
        </w:rPr>
        <w:t>Journal of Development Studies</w:t>
      </w:r>
      <w:r w:rsidRPr="48425B6A">
        <w:rPr>
          <w:rFonts w:ascii="Arial" w:eastAsia="Arial" w:hAnsi="Arial" w:cs="Arial"/>
          <w:sz w:val="20"/>
          <w:szCs w:val="20"/>
        </w:rPr>
        <w:t>, Vol. 44 (5), Pp: 701– 727.</w:t>
      </w:r>
    </w:p>
    <w:p w14:paraId="2B9BFB39" w14:textId="4B275603" w:rsidR="21C3821A" w:rsidRDefault="21C3821A" w:rsidP="0066301C">
      <w:pPr>
        <w:spacing w:after="200"/>
        <w:jc w:val="both"/>
        <w:rPr>
          <w:rFonts w:ascii="Arial" w:eastAsia="Arial" w:hAnsi="Arial" w:cs="Arial"/>
          <w:sz w:val="20"/>
          <w:szCs w:val="20"/>
        </w:rPr>
      </w:pPr>
      <w:r w:rsidRPr="48425B6A">
        <w:rPr>
          <w:rFonts w:ascii="Arial" w:eastAsia="Arial" w:hAnsi="Arial" w:cs="Arial"/>
          <w:sz w:val="20"/>
          <w:szCs w:val="20"/>
        </w:rPr>
        <w:lastRenderedPageBreak/>
        <w:t xml:space="preserve">Akosah, N. K., Mireku, P. B., and Owusu-Afriyie, E. (2018). Real Exchange Rate Misalignment and Macroeconomic Implications: Recent Evidence from Ghana. </w:t>
      </w:r>
      <w:r w:rsidRPr="48425B6A">
        <w:rPr>
          <w:rFonts w:ascii="Arial" w:eastAsia="Arial" w:hAnsi="Arial" w:cs="Arial"/>
          <w:i/>
          <w:iCs/>
          <w:sz w:val="20"/>
          <w:szCs w:val="20"/>
        </w:rPr>
        <w:t>African Review of Economics and Finance,</w:t>
      </w:r>
      <w:r w:rsidRPr="48425B6A">
        <w:rPr>
          <w:rFonts w:ascii="Arial" w:eastAsia="Arial" w:hAnsi="Arial" w:cs="Arial"/>
          <w:sz w:val="20"/>
          <w:szCs w:val="20"/>
        </w:rPr>
        <w:t xml:space="preserve"> Vol. 10 (1), Pp: 164 – 211.  </w:t>
      </w:r>
    </w:p>
    <w:p w14:paraId="7B6924B2" w14:textId="653767BC" w:rsidR="21C3821A" w:rsidRDefault="21C3821A" w:rsidP="0066301C">
      <w:pPr>
        <w:spacing w:after="200"/>
        <w:jc w:val="both"/>
        <w:rPr>
          <w:rFonts w:ascii="Arial" w:eastAsia="Arial" w:hAnsi="Arial" w:cs="Arial"/>
          <w:i/>
          <w:iCs/>
          <w:sz w:val="20"/>
          <w:szCs w:val="20"/>
        </w:rPr>
      </w:pPr>
      <w:r w:rsidRPr="48425B6A">
        <w:rPr>
          <w:rFonts w:ascii="Arial" w:eastAsia="Arial" w:hAnsi="Arial" w:cs="Arial"/>
          <w:sz w:val="20"/>
          <w:szCs w:val="20"/>
        </w:rPr>
        <w:t>Amin, A.A. (2000). Long-term Growth in the CFA Franc Zone Countries.</w:t>
      </w:r>
      <w:r w:rsidRPr="48425B6A">
        <w:rPr>
          <w:rFonts w:ascii="Arial" w:eastAsia="Arial" w:hAnsi="Arial" w:cs="Arial"/>
          <w:i/>
          <w:iCs/>
          <w:sz w:val="20"/>
          <w:szCs w:val="20"/>
        </w:rPr>
        <w:t xml:space="preserve"> World Institute for Development Economic Research.</w:t>
      </w:r>
    </w:p>
    <w:p w14:paraId="5E84356F" w14:textId="7CDBB974" w:rsidR="21C3821A" w:rsidRDefault="21C3821A" w:rsidP="0066301C">
      <w:pPr>
        <w:spacing w:after="200"/>
        <w:jc w:val="both"/>
        <w:rPr>
          <w:rFonts w:ascii="Arial" w:eastAsia="Arial" w:hAnsi="Arial" w:cs="Arial"/>
          <w:sz w:val="20"/>
          <w:szCs w:val="20"/>
        </w:rPr>
      </w:pPr>
      <w:r w:rsidRPr="48425B6A">
        <w:rPr>
          <w:rFonts w:ascii="Arial" w:eastAsia="Arial" w:hAnsi="Arial" w:cs="Arial"/>
          <w:sz w:val="20"/>
          <w:szCs w:val="20"/>
        </w:rPr>
        <w:t xml:space="preserve">Amoah, L., and Aziakpono, M. J. (2017). Exchange Rate Behaviour in Ghana: is there a Misalignment? </w:t>
      </w:r>
      <w:r w:rsidRPr="48425B6A">
        <w:rPr>
          <w:rFonts w:ascii="Arial" w:eastAsia="Arial" w:hAnsi="Arial" w:cs="Arial"/>
          <w:i/>
          <w:iCs/>
          <w:sz w:val="20"/>
          <w:szCs w:val="20"/>
        </w:rPr>
        <w:t>The Journal of Developing Areas</w:t>
      </w:r>
      <w:r w:rsidRPr="48425B6A">
        <w:rPr>
          <w:rFonts w:ascii="Arial" w:eastAsia="Arial" w:hAnsi="Arial" w:cs="Arial"/>
          <w:sz w:val="20"/>
          <w:szCs w:val="20"/>
        </w:rPr>
        <w:t>, Vol. 51(4), Pp: 261-276.</w:t>
      </w:r>
    </w:p>
    <w:p w14:paraId="2B0A1F1C" w14:textId="343D1A18" w:rsidR="003C5A46" w:rsidRPr="003C5A46" w:rsidRDefault="003C5A46" w:rsidP="0066301C">
      <w:pPr>
        <w:spacing w:line="240" w:lineRule="auto"/>
        <w:jc w:val="both"/>
        <w:rPr>
          <w:rFonts w:ascii="Arial" w:hAnsi="Arial" w:cs="Arial"/>
          <w:sz w:val="20"/>
          <w:szCs w:val="20"/>
        </w:rPr>
      </w:pPr>
      <w:r w:rsidRPr="003C5A46">
        <w:rPr>
          <w:rFonts w:ascii="Arial" w:hAnsi="Arial" w:cs="Arial"/>
          <w:sz w:val="20"/>
          <w:szCs w:val="20"/>
        </w:rPr>
        <w:t>Anthony, O., Jonathan, E., Chiamaka, O., Onyinye, I. and Anthony, O. (2019). Exchange Rat</w:t>
      </w:r>
      <w:r w:rsidR="00C97FF2">
        <w:rPr>
          <w:rFonts w:ascii="Arial" w:hAnsi="Arial" w:cs="Arial"/>
          <w:sz w:val="20"/>
          <w:szCs w:val="20"/>
        </w:rPr>
        <w:t>e</w:t>
      </w:r>
      <w:r w:rsidRPr="003C5A46">
        <w:rPr>
          <w:rFonts w:ascii="Arial" w:hAnsi="Arial" w:cs="Arial"/>
          <w:sz w:val="20"/>
          <w:szCs w:val="20"/>
        </w:rPr>
        <w:t xml:space="preserve"> Movements and the Agricultural Sector in Nigeria: An Empirical Investigation. Journal of Academic Research in Economics, Vol. 11(3).</w:t>
      </w:r>
    </w:p>
    <w:p w14:paraId="4E1F4761" w14:textId="7529E331" w:rsidR="21C3821A" w:rsidRPr="003C5A46" w:rsidRDefault="21C3821A" w:rsidP="0066301C">
      <w:pPr>
        <w:spacing w:line="240" w:lineRule="auto"/>
        <w:jc w:val="both"/>
        <w:rPr>
          <w:rFonts w:ascii="Arial" w:eastAsia="Arial" w:hAnsi="Arial" w:cs="Arial"/>
          <w:sz w:val="20"/>
          <w:szCs w:val="20"/>
        </w:rPr>
      </w:pPr>
      <w:r w:rsidRPr="003C5A46">
        <w:rPr>
          <w:rFonts w:ascii="Arial" w:eastAsia="Arial" w:hAnsi="Arial" w:cs="Arial"/>
          <w:sz w:val="20"/>
          <w:szCs w:val="20"/>
        </w:rPr>
        <w:t xml:space="preserve">Ardalani, Z. and Bahmani-Oskooee, M. (2007). Is there a J-curve at the Industry Level. </w:t>
      </w:r>
      <w:r w:rsidRPr="00D4668A">
        <w:rPr>
          <w:rFonts w:ascii="Arial" w:eastAsia="Arial" w:hAnsi="Arial" w:cs="Arial"/>
          <w:i/>
          <w:iCs/>
          <w:sz w:val="20"/>
          <w:szCs w:val="20"/>
        </w:rPr>
        <w:t>Economics Bulletin</w:t>
      </w:r>
      <w:r w:rsidRPr="003C5A46">
        <w:rPr>
          <w:rFonts w:ascii="Arial" w:eastAsia="Arial" w:hAnsi="Arial" w:cs="Arial"/>
          <w:sz w:val="20"/>
          <w:szCs w:val="20"/>
        </w:rPr>
        <w:t>, Vol. 6(26), Pp: 1 -12.</w:t>
      </w:r>
    </w:p>
    <w:p w14:paraId="55B7A583" w14:textId="71BF5CA7" w:rsidR="21C3821A" w:rsidRDefault="21C3821A" w:rsidP="0066301C">
      <w:pPr>
        <w:spacing w:after="200"/>
        <w:jc w:val="both"/>
        <w:rPr>
          <w:rFonts w:ascii="Arial" w:eastAsia="Arial" w:hAnsi="Arial" w:cs="Arial"/>
          <w:sz w:val="20"/>
          <w:szCs w:val="20"/>
        </w:rPr>
      </w:pPr>
      <w:r w:rsidRPr="48425B6A">
        <w:rPr>
          <w:rFonts w:ascii="Arial" w:eastAsia="Arial" w:hAnsi="Arial" w:cs="Arial"/>
          <w:sz w:val="20"/>
          <w:szCs w:val="20"/>
        </w:rPr>
        <w:t xml:space="preserve">Asongu, S.A. (2014a). </w:t>
      </w:r>
    </w:p>
    <w:p w14:paraId="3A4B3DD2" w14:textId="5833A8CA" w:rsidR="21C3821A" w:rsidRDefault="21C3821A" w:rsidP="0066301C">
      <w:pPr>
        <w:spacing w:after="200"/>
        <w:jc w:val="both"/>
        <w:rPr>
          <w:rFonts w:ascii="Arial" w:eastAsia="Arial" w:hAnsi="Arial" w:cs="Arial"/>
          <w:sz w:val="20"/>
          <w:szCs w:val="20"/>
        </w:rPr>
      </w:pPr>
      <w:r w:rsidRPr="48425B6A">
        <w:rPr>
          <w:rFonts w:ascii="Arial" w:eastAsia="Arial" w:hAnsi="Arial" w:cs="Arial"/>
          <w:sz w:val="20"/>
          <w:szCs w:val="20"/>
        </w:rPr>
        <w:t xml:space="preserve">Asongu, S. A., (2014a). “Are Proposed African Monetary Unions Optimal Currency Areas? Real, Monetary and Fiscal Policy Convergence Analysis”. </w:t>
      </w:r>
      <w:r w:rsidRPr="48425B6A">
        <w:rPr>
          <w:rFonts w:ascii="Arial" w:eastAsia="Arial" w:hAnsi="Arial" w:cs="Arial"/>
          <w:i/>
          <w:iCs/>
          <w:sz w:val="20"/>
          <w:szCs w:val="20"/>
        </w:rPr>
        <w:t>African Journal of Economics and Management Studies</w:t>
      </w:r>
      <w:r w:rsidRPr="48425B6A">
        <w:rPr>
          <w:rFonts w:ascii="Arial" w:eastAsia="Arial" w:hAnsi="Arial" w:cs="Arial"/>
          <w:sz w:val="20"/>
          <w:szCs w:val="20"/>
        </w:rPr>
        <w:t>, Vol.5(1), Pp: 9-29</w:t>
      </w:r>
    </w:p>
    <w:p w14:paraId="0F19387C" w14:textId="35B37565" w:rsidR="21C3821A" w:rsidRDefault="21C3821A" w:rsidP="0066301C">
      <w:pPr>
        <w:spacing w:after="200"/>
        <w:jc w:val="both"/>
        <w:rPr>
          <w:rFonts w:ascii="Arial" w:eastAsia="Arial" w:hAnsi="Arial" w:cs="Arial"/>
          <w:sz w:val="20"/>
          <w:szCs w:val="20"/>
        </w:rPr>
      </w:pPr>
      <w:r w:rsidRPr="48425B6A">
        <w:rPr>
          <w:rFonts w:ascii="Arial" w:eastAsia="Arial" w:hAnsi="Arial" w:cs="Arial"/>
          <w:sz w:val="20"/>
          <w:szCs w:val="20"/>
        </w:rPr>
        <w:t xml:space="preserve">Asongu, S. A., (2014b). “REER imbalances and macroeconomic adjustments in the proposed West African Monetary Union”. </w:t>
      </w:r>
      <w:r w:rsidRPr="48425B6A">
        <w:rPr>
          <w:rFonts w:ascii="Arial" w:eastAsia="Arial" w:hAnsi="Arial" w:cs="Arial"/>
          <w:i/>
          <w:iCs/>
          <w:sz w:val="20"/>
          <w:szCs w:val="20"/>
        </w:rPr>
        <w:t>South African Journal of Economics,</w:t>
      </w:r>
      <w:r w:rsidRPr="48425B6A">
        <w:rPr>
          <w:rFonts w:ascii="Arial" w:eastAsia="Arial" w:hAnsi="Arial" w:cs="Arial"/>
          <w:sz w:val="20"/>
          <w:szCs w:val="20"/>
        </w:rPr>
        <w:t xml:space="preserve"> Vol. 82(2), Pp: 276-289.</w:t>
      </w:r>
    </w:p>
    <w:p w14:paraId="5C919D17" w14:textId="1500BF4B" w:rsidR="21C3821A" w:rsidRDefault="21C3821A" w:rsidP="0066301C">
      <w:pPr>
        <w:spacing w:after="200"/>
        <w:jc w:val="both"/>
        <w:rPr>
          <w:rFonts w:ascii="Arial" w:eastAsia="Arial" w:hAnsi="Arial" w:cs="Arial"/>
          <w:i/>
          <w:iCs/>
          <w:sz w:val="20"/>
          <w:szCs w:val="20"/>
        </w:rPr>
      </w:pPr>
      <w:r w:rsidRPr="48425B6A">
        <w:rPr>
          <w:rFonts w:ascii="Arial" w:eastAsia="Arial" w:hAnsi="Arial" w:cs="Arial"/>
          <w:sz w:val="20"/>
          <w:szCs w:val="20"/>
        </w:rPr>
        <w:t xml:space="preserve">Asongu, S.A. and Nnanna, J. (2019). REER Imbalance and Macroeconomic Adjustment: Evidence from the CEMAC zone. </w:t>
      </w:r>
      <w:r w:rsidRPr="48425B6A">
        <w:rPr>
          <w:rFonts w:ascii="Arial" w:eastAsia="Arial" w:hAnsi="Arial" w:cs="Arial"/>
          <w:i/>
          <w:iCs/>
          <w:sz w:val="20"/>
          <w:szCs w:val="20"/>
        </w:rPr>
        <w:t>European Xtramile Centre of African Studies. WP/19/071.</w:t>
      </w:r>
    </w:p>
    <w:p w14:paraId="7E9DCEB5" w14:textId="77777777" w:rsidR="00585D04" w:rsidRPr="00D13F39" w:rsidRDefault="00585D04" w:rsidP="0066301C">
      <w:pPr>
        <w:spacing w:line="240" w:lineRule="auto"/>
        <w:jc w:val="both"/>
        <w:rPr>
          <w:rFonts w:ascii="Arial" w:hAnsi="Arial" w:cs="Arial"/>
          <w:sz w:val="20"/>
          <w:szCs w:val="20"/>
          <w:lang w:val="en-US" w:eastAsia="en-GB"/>
        </w:rPr>
      </w:pPr>
      <w:r w:rsidRPr="00D13F39">
        <w:rPr>
          <w:rFonts w:ascii="Arial" w:hAnsi="Arial" w:cs="Arial"/>
          <w:color w:val="333333"/>
          <w:sz w:val="20"/>
          <w:szCs w:val="20"/>
          <w:shd w:val="clear" w:color="auto" w:fill="FFFFFF"/>
        </w:rPr>
        <w:t>Asongu, S. A., &amp; Nnanna, J. (2020). REER Imbalances and Macroeconomic Adjustments: Evidence from the CEMAC Zone. </w:t>
      </w:r>
      <w:r w:rsidRPr="00D13F39">
        <w:rPr>
          <w:rFonts w:ascii="Arial" w:hAnsi="Arial" w:cs="Arial"/>
          <w:i/>
          <w:iCs/>
          <w:color w:val="333333"/>
          <w:sz w:val="20"/>
          <w:szCs w:val="20"/>
          <w:shd w:val="clear" w:color="auto" w:fill="FFFFFF"/>
        </w:rPr>
        <w:t>Foreign Trade Review</w:t>
      </w:r>
      <w:r w:rsidRPr="00D13F39">
        <w:rPr>
          <w:rFonts w:ascii="Arial" w:hAnsi="Arial" w:cs="Arial"/>
          <w:color w:val="333333"/>
          <w:sz w:val="20"/>
          <w:szCs w:val="20"/>
          <w:shd w:val="clear" w:color="auto" w:fill="FFFFFF"/>
        </w:rPr>
        <w:t>, </w:t>
      </w:r>
      <w:r w:rsidRPr="00D13F39">
        <w:rPr>
          <w:rFonts w:ascii="Arial" w:hAnsi="Arial" w:cs="Arial"/>
          <w:i/>
          <w:iCs/>
          <w:color w:val="333333"/>
          <w:sz w:val="20"/>
          <w:szCs w:val="20"/>
          <w:shd w:val="clear" w:color="auto" w:fill="FFFFFF"/>
        </w:rPr>
        <w:t>55</w:t>
      </w:r>
      <w:r w:rsidRPr="00D13F39">
        <w:rPr>
          <w:rFonts w:ascii="Arial" w:hAnsi="Arial" w:cs="Arial"/>
          <w:color w:val="333333"/>
          <w:sz w:val="20"/>
          <w:szCs w:val="20"/>
          <w:shd w:val="clear" w:color="auto" w:fill="FFFFFF"/>
        </w:rPr>
        <w:t>(3), 372–381. </w:t>
      </w:r>
      <w:hyperlink r:id="rId119" w:history="1">
        <w:r w:rsidRPr="00D13F39">
          <w:rPr>
            <w:rStyle w:val="Hyperlink"/>
            <w:rFonts w:ascii="Arial" w:hAnsi="Arial" w:cs="Arial"/>
            <w:sz w:val="20"/>
            <w:szCs w:val="20"/>
            <w:shd w:val="clear" w:color="auto" w:fill="FFFFFF"/>
          </w:rPr>
          <w:t>https://doi.org/10.1177/0015732520919838</w:t>
        </w:r>
      </w:hyperlink>
    </w:p>
    <w:p w14:paraId="3FA14ABB" w14:textId="3481ED7C" w:rsidR="21C3821A" w:rsidRDefault="21C3821A" w:rsidP="0066301C">
      <w:pPr>
        <w:spacing w:after="200"/>
        <w:jc w:val="both"/>
        <w:rPr>
          <w:rFonts w:ascii="Arial" w:eastAsia="Arial" w:hAnsi="Arial" w:cs="Arial"/>
          <w:sz w:val="20"/>
          <w:szCs w:val="20"/>
          <w:lang w:val="en-US"/>
        </w:rPr>
      </w:pPr>
      <w:r w:rsidRPr="48425B6A">
        <w:rPr>
          <w:rFonts w:ascii="Arial" w:eastAsia="Arial" w:hAnsi="Arial" w:cs="Arial"/>
          <w:sz w:val="20"/>
          <w:szCs w:val="20"/>
          <w:lang w:val="en-US"/>
        </w:rPr>
        <w:t>Aten, B., Heston, A., and Summers, R. (2009). “Penn World Table Version 6.3”, Center for International Comparisons of Production, Income and Prices at the University of Pennsylvania.</w:t>
      </w:r>
    </w:p>
    <w:p w14:paraId="03495CCC" w14:textId="55403F0E" w:rsidR="21C3821A" w:rsidRDefault="21C3821A" w:rsidP="0066301C">
      <w:pPr>
        <w:spacing w:after="200"/>
        <w:jc w:val="both"/>
        <w:rPr>
          <w:rFonts w:ascii="Arial" w:eastAsia="Arial" w:hAnsi="Arial" w:cs="Arial"/>
          <w:sz w:val="20"/>
          <w:szCs w:val="20"/>
          <w:lang w:val="en-US"/>
        </w:rPr>
      </w:pPr>
      <w:r w:rsidRPr="48425B6A">
        <w:rPr>
          <w:rFonts w:ascii="Arial" w:eastAsia="Arial" w:hAnsi="Arial" w:cs="Arial"/>
          <w:sz w:val="20"/>
          <w:szCs w:val="20"/>
          <w:lang w:val="en-US"/>
        </w:rPr>
        <w:t xml:space="preserve">Baek, J. (2007). The J-curve Effect and the US-Canada Forest Products Trade. </w:t>
      </w:r>
      <w:r w:rsidRPr="48425B6A">
        <w:rPr>
          <w:rFonts w:ascii="Arial" w:eastAsia="Arial" w:hAnsi="Arial" w:cs="Arial"/>
          <w:i/>
          <w:iCs/>
          <w:sz w:val="20"/>
          <w:szCs w:val="20"/>
          <w:lang w:val="en-US"/>
        </w:rPr>
        <w:t>Journal of Forest Economics,</w:t>
      </w:r>
      <w:r w:rsidRPr="48425B6A">
        <w:rPr>
          <w:rFonts w:ascii="Arial" w:eastAsia="Arial" w:hAnsi="Arial" w:cs="Arial"/>
          <w:sz w:val="20"/>
          <w:szCs w:val="20"/>
          <w:lang w:val="en-US"/>
        </w:rPr>
        <w:t xml:space="preserve"> Vol. 13(4), Pp245 – 258.</w:t>
      </w:r>
    </w:p>
    <w:p w14:paraId="79D9E6F4" w14:textId="03A53F3D" w:rsidR="21C3821A" w:rsidRDefault="21C3821A" w:rsidP="0066301C">
      <w:pPr>
        <w:spacing w:after="200"/>
        <w:jc w:val="both"/>
        <w:rPr>
          <w:rFonts w:ascii="Arial" w:eastAsia="Arial" w:hAnsi="Arial" w:cs="Arial"/>
          <w:sz w:val="20"/>
          <w:szCs w:val="20"/>
          <w:lang w:val="en-US"/>
        </w:rPr>
      </w:pPr>
      <w:r w:rsidRPr="48425B6A">
        <w:rPr>
          <w:rFonts w:ascii="Arial" w:eastAsia="Arial" w:hAnsi="Arial" w:cs="Arial"/>
          <w:sz w:val="20"/>
          <w:szCs w:val="20"/>
          <w:lang w:val="en-US"/>
        </w:rPr>
        <w:t>Baffes, J., Elbadawi, I.A., &amp; O'Connell, S.A. (1999). Single-equation Estimation of the Equilibrium Exchange Rate. In: Hinkle, L.E., Montiel, P.J. (Eds.), Exchange Rate Misalignment: Concepts and Measurement for Developing Countries. A World Bank Research Publication, Oxford University Press, pp. 405–464.</w:t>
      </w:r>
    </w:p>
    <w:p w14:paraId="698CCC24" w14:textId="7F26C772" w:rsidR="21C3821A" w:rsidRDefault="21C3821A" w:rsidP="0066301C">
      <w:pPr>
        <w:spacing w:after="200"/>
        <w:jc w:val="both"/>
        <w:rPr>
          <w:rFonts w:ascii="Arial" w:eastAsia="Arial" w:hAnsi="Arial" w:cs="Arial"/>
          <w:sz w:val="20"/>
          <w:szCs w:val="20"/>
          <w:lang w:val="en-US"/>
        </w:rPr>
      </w:pPr>
      <w:r w:rsidRPr="48425B6A">
        <w:rPr>
          <w:rFonts w:ascii="Arial" w:eastAsia="Arial" w:hAnsi="Arial" w:cs="Arial"/>
          <w:sz w:val="20"/>
          <w:szCs w:val="20"/>
        </w:rPr>
        <w:t>Bahmani-Oskooee,</w:t>
      </w:r>
      <w:r w:rsidRPr="48425B6A">
        <w:rPr>
          <w:rFonts w:ascii="Arial" w:eastAsia="Arial" w:hAnsi="Arial" w:cs="Arial"/>
          <w:sz w:val="20"/>
          <w:szCs w:val="20"/>
          <w:lang w:val="en-US"/>
        </w:rPr>
        <w:t xml:space="preserve"> M. (1985) Devaluation and the J-Curve: Some Evidence from LDCs. </w:t>
      </w:r>
      <w:r w:rsidRPr="00D4668A">
        <w:rPr>
          <w:rFonts w:ascii="Arial" w:eastAsia="Arial" w:hAnsi="Arial" w:cs="Arial"/>
          <w:i/>
          <w:iCs/>
          <w:sz w:val="20"/>
          <w:szCs w:val="20"/>
          <w:lang w:val="en-US"/>
        </w:rPr>
        <w:t>The Review of Economics and Statistics</w:t>
      </w:r>
      <w:r w:rsidRPr="48425B6A">
        <w:rPr>
          <w:rFonts w:ascii="Arial" w:eastAsia="Arial" w:hAnsi="Arial" w:cs="Arial"/>
          <w:sz w:val="20"/>
          <w:szCs w:val="20"/>
          <w:lang w:val="en-US"/>
        </w:rPr>
        <w:t>, 67 (3), Pp: 500-504. DOI.org/10.2307/1925980.</w:t>
      </w:r>
    </w:p>
    <w:p w14:paraId="17285C9B" w14:textId="1910EFDD" w:rsidR="21C3821A" w:rsidRDefault="21C3821A" w:rsidP="0066301C">
      <w:pPr>
        <w:spacing w:after="200"/>
        <w:jc w:val="both"/>
        <w:rPr>
          <w:rFonts w:ascii="Arial" w:eastAsia="Arial" w:hAnsi="Arial" w:cs="Arial"/>
          <w:sz w:val="20"/>
          <w:szCs w:val="20"/>
        </w:rPr>
      </w:pPr>
      <w:r w:rsidRPr="48425B6A">
        <w:rPr>
          <w:rFonts w:ascii="Arial" w:eastAsia="Arial" w:hAnsi="Arial" w:cs="Arial"/>
          <w:sz w:val="20"/>
          <w:szCs w:val="20"/>
        </w:rPr>
        <w:t xml:space="preserve">Bahmani-Oskooee, M. (1991). Is there a Long-run Relationship between the Trade Balance and the Real Effective Exchange Rate of LDCs? </w:t>
      </w:r>
      <w:r w:rsidRPr="48425B6A">
        <w:rPr>
          <w:rFonts w:ascii="Arial" w:eastAsia="Arial" w:hAnsi="Arial" w:cs="Arial"/>
          <w:i/>
          <w:iCs/>
          <w:sz w:val="20"/>
          <w:szCs w:val="20"/>
        </w:rPr>
        <w:t xml:space="preserve">Economics Letters, </w:t>
      </w:r>
      <w:r w:rsidRPr="48425B6A">
        <w:rPr>
          <w:rFonts w:ascii="Arial" w:eastAsia="Arial" w:hAnsi="Arial" w:cs="Arial"/>
          <w:sz w:val="20"/>
          <w:szCs w:val="20"/>
        </w:rPr>
        <w:t>Vol. 36(4), Pp: 403-407.</w:t>
      </w:r>
    </w:p>
    <w:p w14:paraId="59270E49" w14:textId="0145CAEA" w:rsidR="21C3821A" w:rsidRDefault="21C3821A" w:rsidP="0066301C">
      <w:pPr>
        <w:spacing w:after="200"/>
        <w:jc w:val="both"/>
        <w:rPr>
          <w:rFonts w:ascii="Arial" w:eastAsia="Arial" w:hAnsi="Arial" w:cs="Arial"/>
          <w:color w:val="0563C1"/>
          <w:sz w:val="20"/>
          <w:szCs w:val="20"/>
          <w:u w:val="single"/>
        </w:rPr>
      </w:pPr>
      <w:r w:rsidRPr="48425B6A">
        <w:rPr>
          <w:rFonts w:ascii="Arial" w:eastAsia="Arial" w:hAnsi="Arial" w:cs="Arial"/>
          <w:sz w:val="20"/>
          <w:szCs w:val="20"/>
        </w:rPr>
        <w:t xml:space="preserve">Bahmani-Oskooee, M. (1998). Are Devaluations Contractionary in LDCs? </w:t>
      </w:r>
      <w:r w:rsidRPr="48425B6A">
        <w:rPr>
          <w:rFonts w:ascii="Arial" w:eastAsia="Arial" w:hAnsi="Arial" w:cs="Arial"/>
          <w:i/>
          <w:iCs/>
          <w:sz w:val="20"/>
          <w:szCs w:val="20"/>
        </w:rPr>
        <w:t>Journal of Economic Development</w:t>
      </w:r>
      <w:r w:rsidRPr="48425B6A">
        <w:rPr>
          <w:rFonts w:ascii="Arial" w:eastAsia="Arial" w:hAnsi="Arial" w:cs="Arial"/>
          <w:sz w:val="20"/>
          <w:szCs w:val="20"/>
        </w:rPr>
        <w:t xml:space="preserve">, Vol. 23, pp. 131-144. [Online] Available: </w:t>
      </w:r>
      <w:hyperlink r:id="rId120">
        <w:r w:rsidRPr="48425B6A">
          <w:rPr>
            <w:rStyle w:val="Hyperlink"/>
            <w:rFonts w:ascii="Arial" w:eastAsia="Arial" w:hAnsi="Arial" w:cs="Arial"/>
            <w:sz w:val="20"/>
            <w:szCs w:val="20"/>
          </w:rPr>
          <w:t>http://www.jed.or.kr/full-text/23-1/oskooee.PDF</w:t>
        </w:r>
      </w:hyperlink>
      <w:r w:rsidRPr="48425B6A">
        <w:rPr>
          <w:rFonts w:ascii="Arial" w:eastAsia="Arial" w:hAnsi="Arial" w:cs="Arial"/>
          <w:color w:val="0563C1"/>
          <w:sz w:val="20"/>
          <w:szCs w:val="20"/>
          <w:u w:val="single"/>
        </w:rPr>
        <w:t>.</w:t>
      </w:r>
    </w:p>
    <w:p w14:paraId="6CD55247" w14:textId="6CAE11B3" w:rsidR="21C3821A" w:rsidRDefault="21C3821A" w:rsidP="0066301C">
      <w:pPr>
        <w:spacing w:after="200"/>
        <w:jc w:val="both"/>
        <w:rPr>
          <w:rFonts w:ascii="Arial" w:eastAsia="Arial" w:hAnsi="Arial" w:cs="Arial"/>
          <w:i/>
          <w:iCs/>
          <w:sz w:val="20"/>
          <w:szCs w:val="20"/>
        </w:rPr>
      </w:pPr>
      <w:r w:rsidRPr="48425B6A">
        <w:rPr>
          <w:rFonts w:ascii="Arial" w:eastAsia="Arial" w:hAnsi="Arial" w:cs="Arial"/>
          <w:sz w:val="20"/>
          <w:szCs w:val="20"/>
        </w:rPr>
        <w:t xml:space="preserve">Bahmani-Oskooee, M. and Alse, J. (1994). Short-term versus Long-term Effects of Devaluation: Error-Correction Modelling and Cointegration. </w:t>
      </w:r>
      <w:r w:rsidRPr="48425B6A">
        <w:rPr>
          <w:rFonts w:ascii="Arial" w:eastAsia="Arial" w:hAnsi="Arial" w:cs="Arial"/>
          <w:i/>
          <w:iCs/>
          <w:sz w:val="20"/>
          <w:szCs w:val="20"/>
        </w:rPr>
        <w:t xml:space="preserve">Eastern Economic Journal, </w:t>
      </w:r>
      <w:r w:rsidRPr="48425B6A">
        <w:rPr>
          <w:rFonts w:ascii="Arial" w:eastAsia="Arial" w:hAnsi="Arial" w:cs="Arial"/>
          <w:sz w:val="20"/>
          <w:szCs w:val="20"/>
        </w:rPr>
        <w:t>Vol. 20(4), Pp: 453-464.</w:t>
      </w:r>
      <w:r w:rsidRPr="48425B6A">
        <w:rPr>
          <w:rFonts w:ascii="Arial" w:eastAsia="Arial" w:hAnsi="Arial" w:cs="Arial"/>
          <w:i/>
          <w:iCs/>
          <w:sz w:val="20"/>
          <w:szCs w:val="20"/>
        </w:rPr>
        <w:t xml:space="preserve"> </w:t>
      </w:r>
    </w:p>
    <w:p w14:paraId="21EEC9C0" w14:textId="4408BF37" w:rsidR="21C3821A" w:rsidRDefault="21C3821A" w:rsidP="0066301C">
      <w:pPr>
        <w:spacing w:after="200" w:line="276" w:lineRule="auto"/>
        <w:jc w:val="both"/>
        <w:rPr>
          <w:rFonts w:ascii="Arial" w:eastAsia="Arial" w:hAnsi="Arial" w:cs="Arial"/>
          <w:sz w:val="20"/>
          <w:szCs w:val="20"/>
        </w:rPr>
      </w:pPr>
      <w:r w:rsidRPr="48425B6A">
        <w:rPr>
          <w:rFonts w:ascii="Arial" w:eastAsia="Arial" w:hAnsi="Arial" w:cs="Arial"/>
          <w:sz w:val="20"/>
          <w:szCs w:val="20"/>
        </w:rPr>
        <w:t xml:space="preserve">Bahmani-Oskooee, M. and Rhee, H. J. (1997). Response of Domestic Production to Depreciation in Korea: An Application of Johansen’s Cointegration Methodology. </w:t>
      </w:r>
      <w:r w:rsidRPr="48425B6A">
        <w:rPr>
          <w:rFonts w:ascii="Arial" w:eastAsia="Arial" w:hAnsi="Arial" w:cs="Arial"/>
          <w:i/>
          <w:iCs/>
          <w:sz w:val="20"/>
          <w:szCs w:val="20"/>
        </w:rPr>
        <w:t>International Economic Journal</w:t>
      </w:r>
      <w:r w:rsidRPr="48425B6A">
        <w:rPr>
          <w:rFonts w:ascii="Arial" w:eastAsia="Arial" w:hAnsi="Arial" w:cs="Arial"/>
          <w:sz w:val="20"/>
          <w:szCs w:val="20"/>
        </w:rPr>
        <w:t xml:space="preserve">, 11, 103-112. </w:t>
      </w:r>
      <w:hyperlink r:id="rId121">
        <w:r w:rsidRPr="48425B6A">
          <w:rPr>
            <w:rStyle w:val="Hyperlink"/>
            <w:rFonts w:ascii="Arial" w:eastAsia="Arial" w:hAnsi="Arial" w:cs="Arial"/>
            <w:sz w:val="20"/>
            <w:szCs w:val="20"/>
          </w:rPr>
          <w:t>http://dx.doi.org/10.1080/10168739700000029</w:t>
        </w:r>
      </w:hyperlink>
      <w:r w:rsidRPr="48425B6A">
        <w:rPr>
          <w:rFonts w:ascii="Arial" w:eastAsia="Arial" w:hAnsi="Arial" w:cs="Arial"/>
          <w:sz w:val="20"/>
          <w:szCs w:val="20"/>
        </w:rPr>
        <w:t>.</w:t>
      </w:r>
    </w:p>
    <w:p w14:paraId="1AF26D85" w14:textId="425AEF4D" w:rsidR="21C3821A" w:rsidRDefault="21C3821A" w:rsidP="0066301C">
      <w:pPr>
        <w:spacing w:after="200" w:line="276" w:lineRule="auto"/>
        <w:jc w:val="both"/>
        <w:rPr>
          <w:rFonts w:ascii="Arial" w:eastAsia="Arial" w:hAnsi="Arial" w:cs="Arial"/>
          <w:sz w:val="20"/>
          <w:szCs w:val="20"/>
          <w:lang w:val="en-US"/>
        </w:rPr>
      </w:pPr>
      <w:r w:rsidRPr="48425B6A">
        <w:rPr>
          <w:rFonts w:ascii="Arial" w:eastAsia="Arial" w:hAnsi="Arial" w:cs="Arial"/>
          <w:sz w:val="20"/>
          <w:szCs w:val="20"/>
        </w:rPr>
        <w:lastRenderedPageBreak/>
        <w:t xml:space="preserve">Bahmani-Oskooee, M. and </w:t>
      </w:r>
      <w:r w:rsidRPr="48425B6A">
        <w:rPr>
          <w:rFonts w:ascii="Arial" w:eastAsia="Arial" w:hAnsi="Arial" w:cs="Arial"/>
          <w:sz w:val="20"/>
          <w:szCs w:val="20"/>
          <w:lang w:val="en-US"/>
        </w:rPr>
        <w:t xml:space="preserve">Niroomand, F. (1998). Long-run price elasticities and the Marshall-Lerner condition revisited. </w:t>
      </w:r>
      <w:r w:rsidRPr="48425B6A">
        <w:rPr>
          <w:rFonts w:ascii="Arial" w:eastAsia="Arial" w:hAnsi="Arial" w:cs="Arial"/>
          <w:i/>
          <w:iCs/>
          <w:sz w:val="20"/>
          <w:szCs w:val="20"/>
          <w:lang w:val="en-US"/>
        </w:rPr>
        <w:t xml:space="preserve">Economics Letter, </w:t>
      </w:r>
      <w:r w:rsidRPr="48425B6A">
        <w:rPr>
          <w:rFonts w:ascii="Arial" w:eastAsia="Arial" w:hAnsi="Arial" w:cs="Arial"/>
          <w:sz w:val="20"/>
          <w:szCs w:val="20"/>
          <w:lang w:val="en-US"/>
        </w:rPr>
        <w:t xml:space="preserve">Vol. 61, Pp: 107 -117. </w:t>
      </w:r>
    </w:p>
    <w:p w14:paraId="47B8C85F" w14:textId="63951A03" w:rsidR="21C3821A" w:rsidRDefault="21C3821A" w:rsidP="0066301C">
      <w:pPr>
        <w:spacing w:after="200" w:line="276" w:lineRule="auto"/>
        <w:jc w:val="both"/>
        <w:rPr>
          <w:rFonts w:ascii="Arial" w:eastAsia="Arial" w:hAnsi="Arial" w:cs="Arial"/>
          <w:sz w:val="20"/>
          <w:szCs w:val="20"/>
        </w:rPr>
      </w:pPr>
      <w:r w:rsidRPr="48425B6A">
        <w:rPr>
          <w:rFonts w:ascii="Arial" w:eastAsia="Arial" w:hAnsi="Arial" w:cs="Arial"/>
          <w:sz w:val="20"/>
          <w:szCs w:val="20"/>
        </w:rPr>
        <w:t xml:space="preserve">Bahmani-Oskooee, M. and Brooks, T. J. (1999). Bilateral J-curve between US and her Trading Partners. </w:t>
      </w:r>
      <w:r w:rsidRPr="48425B6A">
        <w:rPr>
          <w:rFonts w:ascii="Arial" w:eastAsia="Arial" w:hAnsi="Arial" w:cs="Arial"/>
          <w:i/>
          <w:iCs/>
          <w:sz w:val="20"/>
          <w:szCs w:val="20"/>
        </w:rPr>
        <w:t xml:space="preserve">Review of World Economics, </w:t>
      </w:r>
      <w:r w:rsidRPr="48425B6A">
        <w:rPr>
          <w:rFonts w:ascii="Arial" w:eastAsia="Arial" w:hAnsi="Arial" w:cs="Arial"/>
          <w:sz w:val="20"/>
          <w:szCs w:val="20"/>
        </w:rPr>
        <w:t>Vol. 135(1), Pp: 156 - 165.</w:t>
      </w:r>
    </w:p>
    <w:p w14:paraId="0A42F800" w14:textId="579645B6" w:rsidR="21C3821A" w:rsidRDefault="21C3821A" w:rsidP="0066301C">
      <w:pPr>
        <w:spacing w:after="200" w:line="276" w:lineRule="auto"/>
        <w:jc w:val="both"/>
        <w:rPr>
          <w:rFonts w:ascii="Arial" w:eastAsia="Arial" w:hAnsi="Arial" w:cs="Arial"/>
          <w:sz w:val="20"/>
          <w:szCs w:val="20"/>
        </w:rPr>
      </w:pPr>
      <w:r w:rsidRPr="48425B6A">
        <w:rPr>
          <w:rFonts w:ascii="Arial" w:eastAsia="Arial" w:hAnsi="Arial" w:cs="Arial"/>
          <w:sz w:val="20"/>
          <w:szCs w:val="20"/>
        </w:rPr>
        <w:t xml:space="preserve">Bahmani-Oskooee, M. and Kantipong, T. (2001). The </w:t>
      </w:r>
      <w:r w:rsidRPr="48425B6A">
        <w:rPr>
          <w:rFonts w:ascii="Arial" w:eastAsia="Arial" w:hAnsi="Arial" w:cs="Arial"/>
          <w:i/>
          <w:iCs/>
          <w:sz w:val="20"/>
          <w:szCs w:val="20"/>
        </w:rPr>
        <w:t>J-</w:t>
      </w:r>
      <w:r w:rsidRPr="48425B6A">
        <w:rPr>
          <w:rFonts w:ascii="Arial" w:eastAsia="Arial" w:hAnsi="Arial" w:cs="Arial"/>
          <w:sz w:val="20"/>
          <w:szCs w:val="20"/>
        </w:rPr>
        <w:t xml:space="preserve">curve in the Emerging Economies of Eastern Europe. </w:t>
      </w:r>
      <w:r w:rsidRPr="48425B6A">
        <w:rPr>
          <w:rFonts w:ascii="Arial" w:eastAsia="Arial" w:hAnsi="Arial" w:cs="Arial"/>
          <w:i/>
          <w:iCs/>
          <w:sz w:val="20"/>
          <w:szCs w:val="20"/>
        </w:rPr>
        <w:t xml:space="preserve">International Trade Journal, </w:t>
      </w:r>
      <w:r w:rsidRPr="48425B6A">
        <w:rPr>
          <w:rFonts w:ascii="Arial" w:eastAsia="Arial" w:hAnsi="Arial" w:cs="Arial"/>
          <w:sz w:val="20"/>
          <w:szCs w:val="20"/>
        </w:rPr>
        <w:t>Vol. 19(2), Pp: 165 -178.</w:t>
      </w:r>
    </w:p>
    <w:p w14:paraId="744F2817" w14:textId="1D7F4B2D" w:rsidR="21C3821A" w:rsidRDefault="21C3821A" w:rsidP="0066301C">
      <w:pPr>
        <w:spacing w:line="257" w:lineRule="auto"/>
        <w:jc w:val="both"/>
        <w:rPr>
          <w:rFonts w:ascii="Arial" w:eastAsia="Arial" w:hAnsi="Arial" w:cs="Arial"/>
          <w:sz w:val="20"/>
          <w:szCs w:val="20"/>
        </w:rPr>
      </w:pPr>
      <w:r w:rsidRPr="48425B6A">
        <w:rPr>
          <w:rFonts w:ascii="Arial" w:eastAsia="Arial" w:hAnsi="Arial" w:cs="Arial"/>
          <w:sz w:val="20"/>
          <w:szCs w:val="20"/>
        </w:rPr>
        <w:t xml:space="preserve">Bahmani-Oskooee, M. and Goswami, G. G. (2003). A disaggregated approach to test the </w:t>
      </w:r>
      <w:r w:rsidRPr="48425B6A">
        <w:rPr>
          <w:rFonts w:ascii="Arial" w:eastAsia="Arial" w:hAnsi="Arial" w:cs="Arial"/>
          <w:i/>
          <w:iCs/>
          <w:sz w:val="20"/>
          <w:szCs w:val="20"/>
        </w:rPr>
        <w:t>J-</w:t>
      </w:r>
      <w:r w:rsidRPr="48425B6A">
        <w:rPr>
          <w:rFonts w:ascii="Arial" w:eastAsia="Arial" w:hAnsi="Arial" w:cs="Arial"/>
          <w:sz w:val="20"/>
          <w:szCs w:val="20"/>
        </w:rPr>
        <w:t xml:space="preserve">curve phenomenon: Japan versus her major trading partners. </w:t>
      </w:r>
      <w:r w:rsidRPr="48425B6A">
        <w:rPr>
          <w:rFonts w:ascii="Arial" w:eastAsia="Arial" w:hAnsi="Arial" w:cs="Arial"/>
          <w:i/>
          <w:iCs/>
          <w:sz w:val="20"/>
          <w:szCs w:val="20"/>
        </w:rPr>
        <w:t>Journal of Economics and Finance,</w:t>
      </w:r>
      <w:r w:rsidRPr="48425B6A">
        <w:rPr>
          <w:rFonts w:ascii="Arial" w:eastAsia="Arial" w:hAnsi="Arial" w:cs="Arial"/>
          <w:sz w:val="20"/>
          <w:szCs w:val="20"/>
        </w:rPr>
        <w:t xml:space="preserve"> Vol. 27, Pp: 102-113.</w:t>
      </w:r>
    </w:p>
    <w:p w14:paraId="38DE2DAF" w14:textId="170070B6" w:rsidR="21C3821A" w:rsidRDefault="21C3821A" w:rsidP="0066301C">
      <w:pPr>
        <w:spacing w:after="200" w:line="276" w:lineRule="auto"/>
        <w:jc w:val="both"/>
        <w:rPr>
          <w:rFonts w:ascii="Arial" w:eastAsia="Arial" w:hAnsi="Arial" w:cs="Arial"/>
          <w:i/>
          <w:iCs/>
          <w:sz w:val="20"/>
          <w:szCs w:val="20"/>
        </w:rPr>
      </w:pPr>
      <w:r w:rsidRPr="48425B6A">
        <w:rPr>
          <w:rFonts w:ascii="Arial" w:eastAsia="Arial" w:hAnsi="Arial" w:cs="Arial"/>
          <w:sz w:val="20"/>
          <w:szCs w:val="20"/>
        </w:rPr>
        <w:t xml:space="preserve">Bahmani-Oskooee, M. and Wang, Y. (2008). The J-curve: Evidence from Commodity Trade between US and Canada. </w:t>
      </w:r>
      <w:r w:rsidRPr="48425B6A">
        <w:rPr>
          <w:rFonts w:ascii="Arial" w:eastAsia="Arial" w:hAnsi="Arial" w:cs="Arial"/>
          <w:i/>
          <w:iCs/>
          <w:sz w:val="20"/>
          <w:szCs w:val="20"/>
        </w:rPr>
        <w:t>Applied Economics</w:t>
      </w:r>
      <w:r w:rsidRPr="48425B6A">
        <w:rPr>
          <w:rFonts w:ascii="Arial" w:eastAsia="Arial" w:hAnsi="Arial" w:cs="Arial"/>
          <w:sz w:val="20"/>
          <w:szCs w:val="20"/>
        </w:rPr>
        <w:t>, Vol. 40(21), Pp: 2735 – 2747.</w:t>
      </w:r>
      <w:r w:rsidRPr="48425B6A">
        <w:rPr>
          <w:rFonts w:ascii="Arial" w:eastAsia="Arial" w:hAnsi="Arial" w:cs="Arial"/>
          <w:i/>
          <w:iCs/>
          <w:sz w:val="20"/>
          <w:szCs w:val="20"/>
        </w:rPr>
        <w:t xml:space="preserve"> </w:t>
      </w:r>
    </w:p>
    <w:p w14:paraId="07446B20" w14:textId="12805953" w:rsidR="21C3821A" w:rsidRDefault="21C3821A" w:rsidP="0066301C">
      <w:pPr>
        <w:spacing w:after="200" w:line="276" w:lineRule="auto"/>
        <w:jc w:val="both"/>
        <w:rPr>
          <w:rFonts w:ascii="Arial" w:eastAsia="Arial" w:hAnsi="Arial" w:cs="Arial"/>
          <w:sz w:val="20"/>
          <w:szCs w:val="20"/>
        </w:rPr>
      </w:pPr>
      <w:r w:rsidRPr="48425B6A">
        <w:rPr>
          <w:rFonts w:ascii="Arial" w:eastAsia="Arial" w:hAnsi="Arial" w:cs="Arial"/>
          <w:sz w:val="20"/>
          <w:szCs w:val="20"/>
        </w:rPr>
        <w:t xml:space="preserve">Bahmani-Oskooee, M. and Hajilee, M. (2009). The J-curve at Industry Level: Evidence from Sweden –US Trade. </w:t>
      </w:r>
      <w:r w:rsidRPr="48425B6A">
        <w:rPr>
          <w:rFonts w:ascii="Arial" w:eastAsia="Arial" w:hAnsi="Arial" w:cs="Arial"/>
          <w:i/>
          <w:iCs/>
          <w:sz w:val="20"/>
          <w:szCs w:val="20"/>
        </w:rPr>
        <w:t xml:space="preserve">Economic Systems, </w:t>
      </w:r>
      <w:r w:rsidRPr="48425B6A">
        <w:rPr>
          <w:rFonts w:ascii="Arial" w:eastAsia="Arial" w:hAnsi="Arial" w:cs="Arial"/>
          <w:sz w:val="20"/>
          <w:szCs w:val="20"/>
        </w:rPr>
        <w:t>Vol. 33(1), Pp: 83 – 92.</w:t>
      </w:r>
    </w:p>
    <w:p w14:paraId="45F6FA71" w14:textId="4F69DAD3" w:rsidR="21C3821A" w:rsidRDefault="21C3821A" w:rsidP="0066301C">
      <w:pPr>
        <w:spacing w:after="200" w:line="276" w:lineRule="auto"/>
        <w:jc w:val="both"/>
        <w:rPr>
          <w:rFonts w:ascii="Arial" w:eastAsia="Arial" w:hAnsi="Arial" w:cs="Arial"/>
          <w:sz w:val="20"/>
          <w:szCs w:val="20"/>
        </w:rPr>
      </w:pPr>
      <w:r w:rsidRPr="48425B6A">
        <w:rPr>
          <w:rFonts w:ascii="Arial" w:eastAsia="Arial" w:hAnsi="Arial" w:cs="Arial"/>
          <w:sz w:val="20"/>
          <w:szCs w:val="20"/>
        </w:rPr>
        <w:t xml:space="preserve">Bahmani-Oskooee, M. and Hegerty, S. W. (2009). The Japanese – US Trade Balance and the Yen: Evidence from Industry Data. </w:t>
      </w:r>
      <w:r w:rsidRPr="48425B6A">
        <w:rPr>
          <w:rFonts w:ascii="Arial" w:eastAsia="Arial" w:hAnsi="Arial" w:cs="Arial"/>
          <w:i/>
          <w:iCs/>
          <w:sz w:val="20"/>
          <w:szCs w:val="20"/>
        </w:rPr>
        <w:t xml:space="preserve">Japan and the World Economy, </w:t>
      </w:r>
      <w:r w:rsidRPr="48425B6A">
        <w:rPr>
          <w:rFonts w:ascii="Arial" w:eastAsia="Arial" w:hAnsi="Arial" w:cs="Arial"/>
          <w:sz w:val="20"/>
          <w:szCs w:val="20"/>
        </w:rPr>
        <w:t>Vol. 21(2). Pp: 161 – 171.</w:t>
      </w:r>
    </w:p>
    <w:p w14:paraId="175E02B8" w14:textId="4378E63A" w:rsidR="21C3821A" w:rsidRDefault="21C3821A" w:rsidP="0066301C">
      <w:pPr>
        <w:spacing w:after="200" w:line="276" w:lineRule="auto"/>
        <w:jc w:val="both"/>
        <w:rPr>
          <w:rFonts w:ascii="Arial" w:eastAsia="Arial" w:hAnsi="Arial" w:cs="Arial"/>
          <w:sz w:val="20"/>
          <w:szCs w:val="20"/>
        </w:rPr>
      </w:pPr>
      <w:r w:rsidRPr="48425B6A">
        <w:rPr>
          <w:rFonts w:ascii="Arial" w:eastAsia="Arial" w:hAnsi="Arial" w:cs="Arial"/>
          <w:sz w:val="20"/>
          <w:szCs w:val="20"/>
        </w:rPr>
        <w:t xml:space="preserve">Bahmani-Oskooee, M. and Hegerty, S. W. (2010). The J and S-curves: A Survey of the Recent Literature. </w:t>
      </w:r>
      <w:r w:rsidRPr="48425B6A">
        <w:rPr>
          <w:rFonts w:ascii="Arial" w:eastAsia="Arial" w:hAnsi="Arial" w:cs="Arial"/>
          <w:i/>
          <w:iCs/>
          <w:sz w:val="20"/>
          <w:szCs w:val="20"/>
        </w:rPr>
        <w:t xml:space="preserve">Journal of Economic Studies, </w:t>
      </w:r>
      <w:r w:rsidRPr="48425B6A">
        <w:rPr>
          <w:rFonts w:ascii="Arial" w:eastAsia="Arial" w:hAnsi="Arial" w:cs="Arial"/>
          <w:sz w:val="20"/>
          <w:szCs w:val="20"/>
        </w:rPr>
        <w:t>Vol. 37 (6), Pp: 580-596.</w:t>
      </w:r>
    </w:p>
    <w:p w14:paraId="79144181" w14:textId="77777777" w:rsidR="00BB6841" w:rsidRPr="007C7F87" w:rsidRDefault="00BB6841" w:rsidP="0066301C">
      <w:pPr>
        <w:spacing w:after="100" w:afterAutospacing="1" w:line="240" w:lineRule="auto"/>
        <w:jc w:val="both"/>
        <w:rPr>
          <w:rFonts w:ascii="Arial" w:hAnsi="Arial" w:cs="Arial"/>
          <w:b/>
          <w:bCs/>
          <w:color w:val="333333"/>
          <w:sz w:val="20"/>
          <w:szCs w:val="20"/>
        </w:rPr>
      </w:pPr>
      <w:r w:rsidRPr="007C7F87">
        <w:rPr>
          <w:rFonts w:ascii="Arial" w:hAnsi="Arial" w:cs="Arial"/>
          <w:color w:val="333333"/>
          <w:sz w:val="20"/>
          <w:szCs w:val="20"/>
        </w:rPr>
        <w:t xml:space="preserve">Bahmani-Oskooee, M. and Kandil, M. (2009). Are Devaluations Contractionary in MENA Countries? </w:t>
      </w:r>
      <w:r w:rsidRPr="007C7F87">
        <w:rPr>
          <w:rStyle w:val="citationsource-journal"/>
          <w:rFonts w:ascii="Arial" w:hAnsi="Arial" w:cs="Arial"/>
          <w:i/>
          <w:iCs/>
          <w:color w:val="333333"/>
          <w:sz w:val="20"/>
          <w:szCs w:val="20"/>
        </w:rPr>
        <w:t>Applied Economics</w:t>
      </w:r>
      <w:r w:rsidRPr="007C7F87">
        <w:rPr>
          <w:rFonts w:ascii="Arial" w:hAnsi="Arial" w:cs="Arial"/>
          <w:color w:val="333333"/>
          <w:sz w:val="20"/>
          <w:szCs w:val="20"/>
        </w:rPr>
        <w:t>, Vol.41, Pp: 139–150.</w:t>
      </w:r>
      <w:r w:rsidRPr="007C7F87">
        <w:rPr>
          <w:rFonts w:ascii="Arial" w:hAnsi="Arial" w:cs="Arial"/>
          <w:b/>
          <w:bCs/>
          <w:color w:val="333333"/>
          <w:sz w:val="20"/>
          <w:szCs w:val="20"/>
        </w:rPr>
        <w:t xml:space="preserve"> </w:t>
      </w:r>
    </w:p>
    <w:p w14:paraId="25FF9A2D" w14:textId="31970903" w:rsidR="21C3821A" w:rsidRDefault="21C3821A" w:rsidP="0066301C">
      <w:pPr>
        <w:spacing w:after="200" w:line="276" w:lineRule="auto"/>
        <w:jc w:val="both"/>
        <w:rPr>
          <w:rFonts w:ascii="Arial" w:eastAsia="Arial" w:hAnsi="Arial" w:cs="Arial"/>
          <w:sz w:val="20"/>
          <w:szCs w:val="20"/>
        </w:rPr>
      </w:pPr>
      <w:r w:rsidRPr="48425B6A">
        <w:rPr>
          <w:rFonts w:ascii="Arial" w:eastAsia="Arial" w:hAnsi="Arial" w:cs="Arial"/>
          <w:sz w:val="20"/>
          <w:szCs w:val="20"/>
        </w:rPr>
        <w:t xml:space="preserve">Bahmani-Oskooee, M. and Zhang, R. (2013). The J-curve: Evidence from Commodity Trade between the US and China. </w:t>
      </w:r>
      <w:r w:rsidRPr="48425B6A">
        <w:rPr>
          <w:rFonts w:ascii="Arial" w:eastAsia="Arial" w:hAnsi="Arial" w:cs="Arial"/>
          <w:i/>
          <w:iCs/>
          <w:sz w:val="20"/>
          <w:szCs w:val="20"/>
        </w:rPr>
        <w:t xml:space="preserve">Applied Economics, </w:t>
      </w:r>
      <w:r w:rsidRPr="48425B6A">
        <w:rPr>
          <w:rFonts w:ascii="Arial" w:eastAsia="Arial" w:hAnsi="Arial" w:cs="Arial"/>
          <w:sz w:val="20"/>
          <w:szCs w:val="20"/>
        </w:rPr>
        <w:t>Vol. (45(31), Pp: 4333 – 4342.</w:t>
      </w:r>
    </w:p>
    <w:p w14:paraId="233049C5" w14:textId="4C87730B" w:rsidR="21C3821A" w:rsidRDefault="21C3821A" w:rsidP="0066301C">
      <w:pPr>
        <w:spacing w:after="200" w:line="276" w:lineRule="auto"/>
        <w:jc w:val="both"/>
        <w:rPr>
          <w:rFonts w:ascii="Arial" w:eastAsia="Arial" w:hAnsi="Arial" w:cs="Arial"/>
          <w:sz w:val="20"/>
          <w:szCs w:val="20"/>
        </w:rPr>
      </w:pPr>
      <w:r w:rsidRPr="48425B6A">
        <w:rPr>
          <w:rFonts w:ascii="Arial" w:eastAsia="Arial" w:hAnsi="Arial" w:cs="Arial"/>
          <w:sz w:val="20"/>
          <w:szCs w:val="20"/>
        </w:rPr>
        <w:t xml:space="preserve">Bahmani-Oskooee, M. and Hosny, A.S. (2013). Egypt-US Commodity Trade and the J-curve. </w:t>
      </w:r>
      <w:r w:rsidRPr="48425B6A">
        <w:rPr>
          <w:rFonts w:ascii="Arial" w:eastAsia="Arial" w:hAnsi="Arial" w:cs="Arial"/>
          <w:i/>
          <w:iCs/>
          <w:sz w:val="20"/>
          <w:szCs w:val="20"/>
        </w:rPr>
        <w:t xml:space="preserve">International Journal of Economics and Business Research, </w:t>
      </w:r>
      <w:r w:rsidRPr="48425B6A">
        <w:rPr>
          <w:rFonts w:ascii="Arial" w:eastAsia="Arial" w:hAnsi="Arial" w:cs="Arial"/>
          <w:sz w:val="20"/>
          <w:szCs w:val="20"/>
        </w:rPr>
        <w:t xml:space="preserve">Vol. 5(2), Pp: 115 – 127. </w:t>
      </w:r>
    </w:p>
    <w:p w14:paraId="1454B50A" w14:textId="107A57C9" w:rsidR="21C3821A" w:rsidRDefault="21C3821A" w:rsidP="0066301C">
      <w:pPr>
        <w:tabs>
          <w:tab w:val="left" w:pos="560"/>
          <w:tab w:val="left" w:pos="1120"/>
          <w:tab w:val="left" w:pos="1680"/>
          <w:tab w:val="left" w:pos="2240"/>
          <w:tab w:val="left" w:pos="2800"/>
          <w:tab w:val="left" w:pos="3360"/>
          <w:tab w:val="left" w:pos="3920"/>
          <w:tab w:val="left" w:pos="4480"/>
          <w:tab w:val="left" w:pos="5040"/>
          <w:tab w:val="left" w:pos="5600"/>
          <w:tab w:val="left" w:pos="6160"/>
          <w:tab w:val="left" w:pos="6720"/>
        </w:tabs>
        <w:spacing w:after="240"/>
        <w:jc w:val="both"/>
        <w:rPr>
          <w:rFonts w:ascii="Arial" w:eastAsia="Arial" w:hAnsi="Arial" w:cs="Arial"/>
          <w:sz w:val="20"/>
          <w:szCs w:val="20"/>
          <w:lang w:val="en-US"/>
        </w:rPr>
      </w:pPr>
      <w:r w:rsidRPr="48425B6A">
        <w:rPr>
          <w:rFonts w:ascii="Arial" w:eastAsia="Arial" w:hAnsi="Arial" w:cs="Arial"/>
          <w:sz w:val="20"/>
          <w:szCs w:val="20"/>
          <w:lang w:val="en-US"/>
        </w:rPr>
        <w:t xml:space="preserve">Baily, M. and Solow, R. (2001). International Productivity Comparisons built from the firm level. </w:t>
      </w:r>
      <w:r w:rsidRPr="48425B6A">
        <w:rPr>
          <w:rFonts w:ascii="Arial" w:eastAsia="Arial" w:hAnsi="Arial" w:cs="Arial"/>
          <w:i/>
          <w:iCs/>
          <w:sz w:val="20"/>
          <w:szCs w:val="20"/>
          <w:lang w:val="en-US"/>
        </w:rPr>
        <w:t>Journal of Economic Perspectives</w:t>
      </w:r>
      <w:r w:rsidRPr="48425B6A">
        <w:rPr>
          <w:rFonts w:ascii="Arial" w:eastAsia="Arial" w:hAnsi="Arial" w:cs="Arial"/>
          <w:sz w:val="20"/>
          <w:szCs w:val="20"/>
          <w:lang w:val="en-US"/>
        </w:rPr>
        <w:t>, Vol. 15(3), Pp: 151–172.</w:t>
      </w:r>
    </w:p>
    <w:p w14:paraId="33D34953" w14:textId="6AA9090C" w:rsidR="21C3821A" w:rsidRDefault="21C3821A" w:rsidP="0066301C">
      <w:pPr>
        <w:tabs>
          <w:tab w:val="left" w:pos="560"/>
          <w:tab w:val="left" w:pos="1120"/>
          <w:tab w:val="left" w:pos="1680"/>
          <w:tab w:val="left" w:pos="2240"/>
          <w:tab w:val="left" w:pos="2800"/>
          <w:tab w:val="left" w:pos="3360"/>
          <w:tab w:val="left" w:pos="3920"/>
          <w:tab w:val="left" w:pos="4480"/>
          <w:tab w:val="left" w:pos="5040"/>
          <w:tab w:val="left" w:pos="5600"/>
          <w:tab w:val="left" w:pos="6160"/>
          <w:tab w:val="left" w:pos="6720"/>
        </w:tabs>
        <w:spacing w:after="240"/>
        <w:jc w:val="both"/>
        <w:rPr>
          <w:rFonts w:ascii="Arial" w:eastAsia="Arial" w:hAnsi="Arial" w:cs="Arial"/>
          <w:sz w:val="20"/>
          <w:szCs w:val="20"/>
          <w:lang w:val="en-US"/>
        </w:rPr>
      </w:pPr>
      <w:r w:rsidRPr="48425B6A">
        <w:rPr>
          <w:rFonts w:ascii="Arial" w:eastAsia="Arial" w:hAnsi="Arial" w:cs="Arial"/>
          <w:sz w:val="20"/>
          <w:szCs w:val="20"/>
          <w:lang w:val="en-US"/>
        </w:rPr>
        <w:t xml:space="preserve">Baldwin, R. (2012). Sequencing Asian Regionalism: Theory and Lessons from Europe. </w:t>
      </w:r>
      <w:r w:rsidRPr="48425B6A">
        <w:rPr>
          <w:rFonts w:ascii="Arial" w:eastAsia="Arial" w:hAnsi="Arial" w:cs="Arial"/>
          <w:i/>
          <w:iCs/>
          <w:sz w:val="20"/>
          <w:szCs w:val="20"/>
          <w:lang w:val="en-US"/>
        </w:rPr>
        <w:t xml:space="preserve"> Journal of Economic Integration</w:t>
      </w:r>
      <w:r w:rsidRPr="48425B6A">
        <w:rPr>
          <w:rFonts w:ascii="Arial" w:eastAsia="Arial" w:hAnsi="Arial" w:cs="Arial"/>
          <w:sz w:val="20"/>
          <w:szCs w:val="20"/>
          <w:lang w:val="en-US"/>
        </w:rPr>
        <w:t>, Vol 27, Pp: 1-32.</w:t>
      </w:r>
    </w:p>
    <w:p w14:paraId="71962738" w14:textId="287255B1" w:rsidR="21C3821A" w:rsidRDefault="21C3821A" w:rsidP="0066301C">
      <w:pPr>
        <w:spacing w:after="200" w:line="276" w:lineRule="auto"/>
        <w:jc w:val="both"/>
        <w:rPr>
          <w:rFonts w:ascii="Arial" w:eastAsia="Arial" w:hAnsi="Arial" w:cs="Arial"/>
          <w:sz w:val="20"/>
          <w:szCs w:val="20"/>
        </w:rPr>
      </w:pPr>
      <w:r w:rsidRPr="48425B6A">
        <w:rPr>
          <w:rFonts w:ascii="Arial" w:eastAsia="Arial" w:hAnsi="Arial" w:cs="Arial"/>
          <w:sz w:val="20"/>
          <w:szCs w:val="20"/>
        </w:rPr>
        <w:t xml:space="preserve">Banerjee, A., and Munshi, K. (2004). How efficiently is capital allocated? Evidence from the Knitted garment industry in Tirupur. </w:t>
      </w:r>
      <w:r w:rsidRPr="48425B6A">
        <w:rPr>
          <w:rFonts w:ascii="Arial" w:eastAsia="Arial" w:hAnsi="Arial" w:cs="Arial"/>
          <w:i/>
          <w:iCs/>
          <w:sz w:val="20"/>
          <w:szCs w:val="20"/>
        </w:rPr>
        <w:t>Review of Economic Studies,</w:t>
      </w:r>
      <w:r w:rsidRPr="48425B6A">
        <w:rPr>
          <w:rFonts w:ascii="Arial" w:eastAsia="Arial" w:hAnsi="Arial" w:cs="Arial"/>
          <w:sz w:val="20"/>
          <w:szCs w:val="20"/>
        </w:rPr>
        <w:t xml:space="preserve"> 71(1), Pp:19-42.</w:t>
      </w:r>
    </w:p>
    <w:p w14:paraId="19973F9A" w14:textId="2DB71D25" w:rsidR="21C3821A" w:rsidRDefault="21C3821A" w:rsidP="0066301C">
      <w:pPr>
        <w:spacing w:after="200"/>
        <w:jc w:val="both"/>
        <w:rPr>
          <w:rFonts w:ascii="Arial" w:eastAsia="Arial" w:hAnsi="Arial" w:cs="Arial"/>
          <w:color w:val="000000" w:themeColor="text1"/>
          <w:sz w:val="20"/>
          <w:szCs w:val="20"/>
        </w:rPr>
      </w:pPr>
      <w:r w:rsidRPr="48425B6A">
        <w:rPr>
          <w:rFonts w:ascii="Arial" w:eastAsia="Arial" w:hAnsi="Arial" w:cs="Arial"/>
          <w:color w:val="000000" w:themeColor="text1"/>
          <w:sz w:val="20"/>
          <w:szCs w:val="20"/>
        </w:rPr>
        <w:t xml:space="preserve">Barro, R. J. (1991). Economic Growth in a Cross Section of Countries. </w:t>
      </w:r>
      <w:r w:rsidRPr="48425B6A">
        <w:rPr>
          <w:rFonts w:ascii="Arial" w:eastAsia="Arial" w:hAnsi="Arial" w:cs="Arial"/>
          <w:i/>
          <w:iCs/>
          <w:color w:val="000000" w:themeColor="text1"/>
          <w:sz w:val="20"/>
          <w:szCs w:val="20"/>
        </w:rPr>
        <w:t>The Quarterly Journal of Economics</w:t>
      </w:r>
      <w:r w:rsidRPr="48425B6A">
        <w:rPr>
          <w:rFonts w:ascii="Arial" w:eastAsia="Arial" w:hAnsi="Arial" w:cs="Arial"/>
          <w:color w:val="000000" w:themeColor="text1"/>
          <w:sz w:val="20"/>
          <w:szCs w:val="20"/>
        </w:rPr>
        <w:t>, Vol.106, Pp: 407-443.</w:t>
      </w:r>
    </w:p>
    <w:p w14:paraId="7F3B3B54" w14:textId="2CD9AD2F" w:rsidR="21C3821A" w:rsidRDefault="21C3821A" w:rsidP="0066301C">
      <w:pPr>
        <w:jc w:val="both"/>
        <w:rPr>
          <w:rFonts w:ascii="Arial" w:eastAsia="Arial" w:hAnsi="Arial" w:cs="Arial"/>
          <w:sz w:val="20"/>
          <w:szCs w:val="20"/>
        </w:rPr>
      </w:pPr>
      <w:r w:rsidRPr="48425B6A">
        <w:rPr>
          <w:rFonts w:ascii="Arial" w:eastAsia="Arial" w:hAnsi="Arial" w:cs="Arial"/>
          <w:sz w:val="20"/>
          <w:szCs w:val="20"/>
        </w:rPr>
        <w:t xml:space="preserve">Barro, R.J, and Sala-i-Martin, X. (1997). Technological Diffusion, Convergence, and Growth. </w:t>
      </w:r>
      <w:r w:rsidRPr="48425B6A">
        <w:rPr>
          <w:rFonts w:ascii="Arial" w:eastAsia="Arial" w:hAnsi="Arial" w:cs="Arial"/>
          <w:i/>
          <w:iCs/>
          <w:sz w:val="20"/>
          <w:szCs w:val="20"/>
        </w:rPr>
        <w:t xml:space="preserve">Journal of Economic Growth, </w:t>
      </w:r>
      <w:r w:rsidRPr="48425B6A">
        <w:rPr>
          <w:rFonts w:ascii="Arial" w:eastAsia="Arial" w:hAnsi="Arial" w:cs="Arial"/>
          <w:sz w:val="20"/>
          <w:szCs w:val="20"/>
        </w:rPr>
        <w:t xml:space="preserve">Vol 2(1), Pp: 2-26. </w:t>
      </w:r>
    </w:p>
    <w:p w14:paraId="31BE917A" w14:textId="67C103AF" w:rsidR="21C3821A" w:rsidRDefault="21C3821A" w:rsidP="0066301C">
      <w:pPr>
        <w:tabs>
          <w:tab w:val="left" w:pos="560"/>
          <w:tab w:val="left" w:pos="1120"/>
          <w:tab w:val="left" w:pos="1680"/>
          <w:tab w:val="left" w:pos="2240"/>
          <w:tab w:val="left" w:pos="2800"/>
          <w:tab w:val="left" w:pos="3360"/>
          <w:tab w:val="left" w:pos="3920"/>
          <w:tab w:val="left" w:pos="4480"/>
          <w:tab w:val="left" w:pos="5040"/>
          <w:tab w:val="left" w:pos="5600"/>
          <w:tab w:val="left" w:pos="6160"/>
          <w:tab w:val="left" w:pos="6720"/>
        </w:tabs>
        <w:spacing w:after="240"/>
        <w:jc w:val="both"/>
        <w:rPr>
          <w:rFonts w:ascii="Arial" w:eastAsia="Arial" w:hAnsi="Arial" w:cs="Arial"/>
          <w:sz w:val="20"/>
          <w:szCs w:val="20"/>
        </w:rPr>
      </w:pPr>
      <w:r w:rsidRPr="48425B6A">
        <w:rPr>
          <w:rFonts w:ascii="Arial" w:eastAsia="Arial" w:hAnsi="Arial" w:cs="Arial"/>
          <w:sz w:val="20"/>
          <w:szCs w:val="20"/>
        </w:rPr>
        <w:t xml:space="preserve">Béreau, S., Villavicencio, A. L. and Mignon, V. (2012). Currency Misalignments and Growth: A New Look using Nonlinear Panel Data Methods. </w:t>
      </w:r>
      <w:r w:rsidRPr="48425B6A">
        <w:rPr>
          <w:rFonts w:ascii="Arial" w:eastAsia="Arial" w:hAnsi="Arial" w:cs="Arial"/>
          <w:i/>
          <w:iCs/>
          <w:sz w:val="20"/>
          <w:szCs w:val="20"/>
        </w:rPr>
        <w:t xml:space="preserve">Applied Economics. </w:t>
      </w:r>
      <w:r w:rsidRPr="48425B6A">
        <w:rPr>
          <w:rFonts w:ascii="Arial" w:eastAsia="Arial" w:hAnsi="Arial" w:cs="Arial"/>
          <w:sz w:val="20"/>
          <w:szCs w:val="20"/>
        </w:rPr>
        <w:t>Vol. 44 (27), Pp: 3503 -3511.</w:t>
      </w:r>
    </w:p>
    <w:p w14:paraId="6E3709FE" w14:textId="45CBC004" w:rsidR="21C3821A" w:rsidRDefault="21C3821A" w:rsidP="0066301C">
      <w:pPr>
        <w:tabs>
          <w:tab w:val="left" w:pos="560"/>
          <w:tab w:val="left" w:pos="1120"/>
          <w:tab w:val="left" w:pos="1680"/>
          <w:tab w:val="left" w:pos="2240"/>
          <w:tab w:val="left" w:pos="2800"/>
          <w:tab w:val="left" w:pos="3360"/>
          <w:tab w:val="left" w:pos="3920"/>
          <w:tab w:val="left" w:pos="4480"/>
          <w:tab w:val="left" w:pos="5040"/>
          <w:tab w:val="left" w:pos="5600"/>
          <w:tab w:val="left" w:pos="6160"/>
          <w:tab w:val="left" w:pos="6720"/>
        </w:tabs>
        <w:spacing w:after="240"/>
        <w:jc w:val="both"/>
        <w:rPr>
          <w:rFonts w:ascii="Arial" w:eastAsia="Arial" w:hAnsi="Arial" w:cs="Arial"/>
          <w:i/>
          <w:iCs/>
          <w:sz w:val="20"/>
          <w:szCs w:val="20"/>
        </w:rPr>
      </w:pPr>
      <w:r w:rsidRPr="48425B6A">
        <w:rPr>
          <w:rFonts w:ascii="Arial" w:eastAsia="Arial" w:hAnsi="Arial" w:cs="Arial"/>
          <w:sz w:val="20"/>
          <w:szCs w:val="20"/>
        </w:rPr>
        <w:t xml:space="preserve">Bickerdike, C. F. (1920). The Instability of Foreign Exchange. </w:t>
      </w:r>
      <w:r w:rsidRPr="48425B6A">
        <w:rPr>
          <w:rFonts w:ascii="Arial" w:eastAsia="Arial" w:hAnsi="Arial" w:cs="Arial"/>
          <w:i/>
          <w:iCs/>
          <w:sz w:val="20"/>
          <w:szCs w:val="20"/>
        </w:rPr>
        <w:t xml:space="preserve">The Economic Journal. </w:t>
      </w:r>
    </w:p>
    <w:p w14:paraId="25F1AC48" w14:textId="5EC9BFC5" w:rsidR="21C3821A" w:rsidRDefault="21C3821A" w:rsidP="0066301C">
      <w:pPr>
        <w:tabs>
          <w:tab w:val="left" w:pos="560"/>
          <w:tab w:val="left" w:pos="1120"/>
          <w:tab w:val="left" w:pos="1680"/>
          <w:tab w:val="left" w:pos="2240"/>
          <w:tab w:val="left" w:pos="2800"/>
          <w:tab w:val="left" w:pos="3360"/>
          <w:tab w:val="left" w:pos="3920"/>
          <w:tab w:val="left" w:pos="4480"/>
          <w:tab w:val="left" w:pos="5040"/>
          <w:tab w:val="left" w:pos="5600"/>
          <w:tab w:val="left" w:pos="6160"/>
          <w:tab w:val="left" w:pos="6720"/>
        </w:tabs>
        <w:spacing w:after="240"/>
        <w:jc w:val="both"/>
        <w:rPr>
          <w:rFonts w:ascii="Arial" w:eastAsia="Arial" w:hAnsi="Arial" w:cs="Arial"/>
          <w:sz w:val="20"/>
          <w:szCs w:val="20"/>
        </w:rPr>
      </w:pPr>
      <w:r w:rsidRPr="48425B6A">
        <w:rPr>
          <w:rFonts w:ascii="Arial" w:eastAsia="Arial" w:hAnsi="Arial" w:cs="Arial"/>
          <w:sz w:val="20"/>
          <w:szCs w:val="20"/>
        </w:rPr>
        <w:t xml:space="preserve">Bilson, J.F.O. (1978). The Current Experience with Floating Exchange Rates: An Appraisal of the Monetary Approach. </w:t>
      </w:r>
      <w:r w:rsidRPr="48425B6A">
        <w:rPr>
          <w:rFonts w:ascii="Arial" w:eastAsia="Arial" w:hAnsi="Arial" w:cs="Arial"/>
          <w:i/>
          <w:iCs/>
          <w:sz w:val="20"/>
          <w:szCs w:val="20"/>
        </w:rPr>
        <w:t xml:space="preserve">The American Economic Review, </w:t>
      </w:r>
      <w:r w:rsidRPr="48425B6A">
        <w:rPr>
          <w:rFonts w:ascii="Arial" w:eastAsia="Arial" w:hAnsi="Arial" w:cs="Arial"/>
          <w:sz w:val="20"/>
          <w:szCs w:val="20"/>
        </w:rPr>
        <w:t>Vol. 68 (2). Papers and Proceedings of the Ninetieth Annual Meeting of the American Economic Association, Pp: 392 – 397.</w:t>
      </w:r>
    </w:p>
    <w:p w14:paraId="428B1317" w14:textId="018E785C" w:rsidR="21C3821A" w:rsidRDefault="21C3821A" w:rsidP="0066301C">
      <w:pPr>
        <w:spacing w:after="200" w:line="276" w:lineRule="auto"/>
        <w:jc w:val="both"/>
        <w:rPr>
          <w:rFonts w:ascii="Arial" w:eastAsia="Arial" w:hAnsi="Arial" w:cs="Arial"/>
          <w:sz w:val="20"/>
          <w:szCs w:val="20"/>
        </w:rPr>
      </w:pPr>
      <w:r w:rsidRPr="48425B6A">
        <w:rPr>
          <w:rFonts w:ascii="Arial" w:eastAsia="Arial" w:hAnsi="Arial" w:cs="Arial"/>
          <w:sz w:val="20"/>
          <w:szCs w:val="20"/>
        </w:rPr>
        <w:lastRenderedPageBreak/>
        <w:t xml:space="preserve">Bleaney, M. and Greenaway, D. (2001), 'The Impact of Terms of Trade and Real Exchange Rates Volatility on Investment and Growth in Sub- Saharan Africa', </w:t>
      </w:r>
      <w:r w:rsidRPr="48425B6A">
        <w:rPr>
          <w:rFonts w:ascii="Arial" w:eastAsia="Arial" w:hAnsi="Arial" w:cs="Arial"/>
          <w:i/>
          <w:iCs/>
          <w:sz w:val="20"/>
          <w:szCs w:val="20"/>
        </w:rPr>
        <w:t>Journal of Development Economics</w:t>
      </w:r>
      <w:r w:rsidRPr="48425B6A">
        <w:rPr>
          <w:rFonts w:ascii="Arial" w:eastAsia="Arial" w:hAnsi="Arial" w:cs="Arial"/>
          <w:sz w:val="20"/>
          <w:szCs w:val="20"/>
        </w:rPr>
        <w:t>, vol. 65, Pp: 491-500.</w:t>
      </w:r>
    </w:p>
    <w:p w14:paraId="3B36698A" w14:textId="59E1D52B" w:rsidR="21C3821A" w:rsidRDefault="21C3821A" w:rsidP="0066301C">
      <w:pPr>
        <w:jc w:val="both"/>
        <w:rPr>
          <w:rFonts w:ascii="Arial" w:eastAsia="Arial" w:hAnsi="Arial" w:cs="Arial"/>
          <w:sz w:val="20"/>
          <w:szCs w:val="20"/>
        </w:rPr>
      </w:pPr>
      <w:r w:rsidRPr="48425B6A">
        <w:rPr>
          <w:rFonts w:ascii="Arial" w:eastAsia="Arial" w:hAnsi="Arial" w:cs="Arial"/>
          <w:sz w:val="20"/>
          <w:szCs w:val="20"/>
        </w:rPr>
        <w:t xml:space="preserve">Bond, E.W., Jones, R.W, Ping. (2005). Economic take-offs in a Dynamic Process of Globalisation. </w:t>
      </w:r>
      <w:r w:rsidRPr="48425B6A">
        <w:rPr>
          <w:rFonts w:ascii="Arial" w:eastAsia="Arial" w:hAnsi="Arial" w:cs="Arial"/>
          <w:i/>
          <w:iCs/>
          <w:sz w:val="20"/>
          <w:szCs w:val="20"/>
        </w:rPr>
        <w:t xml:space="preserve">Review of International Economics, </w:t>
      </w:r>
      <w:r w:rsidRPr="48425B6A">
        <w:rPr>
          <w:rFonts w:ascii="Arial" w:eastAsia="Arial" w:hAnsi="Arial" w:cs="Arial"/>
          <w:sz w:val="20"/>
          <w:szCs w:val="20"/>
        </w:rPr>
        <w:t>Vol. 13(1), Pp: 1-19.</w:t>
      </w:r>
    </w:p>
    <w:p w14:paraId="4D7CE53E" w14:textId="49297313" w:rsidR="21C3821A" w:rsidRDefault="21C3821A" w:rsidP="0066301C">
      <w:pPr>
        <w:spacing w:after="200" w:line="276" w:lineRule="auto"/>
        <w:jc w:val="both"/>
        <w:rPr>
          <w:rFonts w:ascii="Arial" w:eastAsia="Arial" w:hAnsi="Arial" w:cs="Arial"/>
          <w:sz w:val="20"/>
          <w:szCs w:val="20"/>
        </w:rPr>
      </w:pPr>
      <w:r w:rsidRPr="48425B6A">
        <w:rPr>
          <w:rFonts w:ascii="Arial" w:eastAsia="Arial" w:hAnsi="Arial" w:cs="Arial"/>
          <w:sz w:val="20"/>
          <w:szCs w:val="20"/>
        </w:rPr>
        <w:t xml:space="preserve">Borena, D. L. (2013). The Effect of Exchange Rate Movement on Trade Balance in Ethiopia, </w:t>
      </w:r>
      <w:r w:rsidRPr="48425B6A">
        <w:rPr>
          <w:rFonts w:ascii="Arial" w:eastAsia="Arial" w:hAnsi="Arial" w:cs="Arial"/>
          <w:i/>
          <w:iCs/>
          <w:sz w:val="20"/>
          <w:szCs w:val="20"/>
        </w:rPr>
        <w:t>University of Tokyo.</w:t>
      </w:r>
      <w:r w:rsidRPr="48425B6A">
        <w:rPr>
          <w:rFonts w:ascii="Arial" w:eastAsia="Arial" w:hAnsi="Arial" w:cs="Arial"/>
          <w:sz w:val="20"/>
          <w:szCs w:val="20"/>
        </w:rPr>
        <w:t xml:space="preserve"> </w:t>
      </w:r>
    </w:p>
    <w:p w14:paraId="1A724D39" w14:textId="77D5B9DA" w:rsidR="21C3821A" w:rsidRDefault="21C3821A" w:rsidP="0066301C">
      <w:pPr>
        <w:spacing w:after="200" w:line="276" w:lineRule="auto"/>
        <w:jc w:val="both"/>
        <w:rPr>
          <w:rFonts w:ascii="Arial" w:eastAsia="Arial" w:hAnsi="Arial" w:cs="Arial"/>
          <w:i/>
          <w:iCs/>
          <w:sz w:val="20"/>
          <w:szCs w:val="20"/>
        </w:rPr>
      </w:pPr>
      <w:r w:rsidRPr="48425B6A">
        <w:rPr>
          <w:rFonts w:ascii="Arial" w:eastAsia="Arial" w:hAnsi="Arial" w:cs="Arial"/>
          <w:sz w:val="20"/>
          <w:szCs w:val="20"/>
        </w:rPr>
        <w:t xml:space="preserve">Boughton, J.M. (1988). The Monetary Approach to Exchange Rates: What now Remains? Essay in International Finance No. 171. Department of Economics. </w:t>
      </w:r>
      <w:r w:rsidRPr="48425B6A">
        <w:rPr>
          <w:rFonts w:ascii="Arial" w:eastAsia="Arial" w:hAnsi="Arial" w:cs="Arial"/>
          <w:i/>
          <w:iCs/>
          <w:sz w:val="20"/>
          <w:szCs w:val="20"/>
        </w:rPr>
        <w:t>Princeton University.</w:t>
      </w:r>
    </w:p>
    <w:p w14:paraId="65729D8A" w14:textId="2247BBE8" w:rsidR="21C3821A" w:rsidRDefault="21C3821A" w:rsidP="0066301C">
      <w:pPr>
        <w:spacing w:after="200" w:line="276" w:lineRule="auto"/>
        <w:jc w:val="both"/>
        <w:rPr>
          <w:rFonts w:ascii="Arial" w:eastAsia="Arial" w:hAnsi="Arial" w:cs="Arial"/>
          <w:i/>
          <w:iCs/>
          <w:sz w:val="20"/>
          <w:szCs w:val="20"/>
        </w:rPr>
      </w:pPr>
      <w:r w:rsidRPr="48425B6A">
        <w:rPr>
          <w:rFonts w:ascii="Arial" w:eastAsia="Arial" w:hAnsi="Arial" w:cs="Arial"/>
          <w:sz w:val="20"/>
          <w:szCs w:val="20"/>
        </w:rPr>
        <w:t xml:space="preserve">Boyko, N. (2002). The Monetary Model of Exchange Rate Determination: The Case of Ukraine. </w:t>
      </w:r>
      <w:r w:rsidRPr="48425B6A">
        <w:rPr>
          <w:rFonts w:ascii="Arial" w:eastAsia="Arial" w:hAnsi="Arial" w:cs="Arial"/>
          <w:i/>
          <w:iCs/>
          <w:sz w:val="20"/>
          <w:szCs w:val="20"/>
        </w:rPr>
        <w:t>The University of Kiev-Mohyla Academy.</w:t>
      </w:r>
      <w:r w:rsidRPr="48425B6A">
        <w:rPr>
          <w:rFonts w:ascii="Arial" w:eastAsia="Arial" w:hAnsi="Arial" w:cs="Arial"/>
          <w:sz w:val="20"/>
          <w:szCs w:val="20"/>
        </w:rPr>
        <w:t xml:space="preserve"> </w:t>
      </w:r>
      <w:r w:rsidRPr="48425B6A">
        <w:rPr>
          <w:rFonts w:ascii="Arial" w:eastAsia="Arial" w:hAnsi="Arial" w:cs="Arial"/>
          <w:i/>
          <w:iCs/>
          <w:sz w:val="20"/>
          <w:szCs w:val="20"/>
        </w:rPr>
        <w:t xml:space="preserve"> </w:t>
      </w:r>
    </w:p>
    <w:p w14:paraId="56447FA6" w14:textId="4E2CE237" w:rsidR="21C3821A" w:rsidRDefault="21C3821A" w:rsidP="0066301C">
      <w:pPr>
        <w:spacing w:after="200" w:line="276" w:lineRule="auto"/>
        <w:jc w:val="both"/>
        <w:rPr>
          <w:rFonts w:ascii="Arial" w:eastAsia="Arial" w:hAnsi="Arial" w:cs="Arial"/>
          <w:sz w:val="20"/>
          <w:szCs w:val="20"/>
        </w:rPr>
      </w:pPr>
      <w:r w:rsidRPr="48425B6A">
        <w:rPr>
          <w:rFonts w:ascii="Arial" w:eastAsia="Arial" w:hAnsi="Arial" w:cs="Arial"/>
          <w:sz w:val="20"/>
          <w:szCs w:val="20"/>
        </w:rPr>
        <w:t xml:space="preserve">Brada, J.C., Kutan, A.M., and Zhou, S. (1997). The Exchange Rate and the Balance of Trade: The Turkish Experience. </w:t>
      </w:r>
      <w:r w:rsidRPr="48425B6A">
        <w:rPr>
          <w:rFonts w:ascii="Arial" w:eastAsia="Arial" w:hAnsi="Arial" w:cs="Arial"/>
          <w:i/>
          <w:iCs/>
          <w:sz w:val="20"/>
          <w:szCs w:val="20"/>
        </w:rPr>
        <w:t xml:space="preserve">Journal of Development Studies, </w:t>
      </w:r>
      <w:r w:rsidRPr="48425B6A">
        <w:rPr>
          <w:rFonts w:ascii="Arial" w:eastAsia="Arial" w:hAnsi="Arial" w:cs="Arial"/>
          <w:sz w:val="20"/>
          <w:szCs w:val="20"/>
        </w:rPr>
        <w:t>Vol. 33(5), Pp: 675-692.</w:t>
      </w:r>
    </w:p>
    <w:p w14:paraId="2AA61048" w14:textId="0E10704F" w:rsidR="21C3821A" w:rsidRDefault="21C3821A" w:rsidP="0066301C">
      <w:pPr>
        <w:spacing w:after="200" w:line="276" w:lineRule="auto"/>
        <w:jc w:val="both"/>
        <w:rPr>
          <w:rFonts w:ascii="Arial" w:eastAsia="Arial" w:hAnsi="Arial" w:cs="Arial"/>
          <w:sz w:val="20"/>
          <w:szCs w:val="20"/>
        </w:rPr>
      </w:pPr>
      <w:r w:rsidRPr="48425B6A">
        <w:rPr>
          <w:rFonts w:ascii="Arial" w:eastAsia="Arial" w:hAnsi="Arial" w:cs="Arial"/>
          <w:sz w:val="20"/>
          <w:szCs w:val="20"/>
        </w:rPr>
        <w:t xml:space="preserve">Brada, J.C., Kutan, A.M., and Zhou, S. (1993). “China’s Exchange Rate and the Balance of Trade”. </w:t>
      </w:r>
      <w:r w:rsidRPr="48425B6A">
        <w:rPr>
          <w:rFonts w:ascii="Arial" w:eastAsia="Arial" w:hAnsi="Arial" w:cs="Arial"/>
          <w:i/>
          <w:iCs/>
          <w:sz w:val="20"/>
          <w:szCs w:val="20"/>
        </w:rPr>
        <w:t xml:space="preserve">|Economics of Planning, </w:t>
      </w:r>
      <w:r w:rsidRPr="48425B6A">
        <w:rPr>
          <w:rFonts w:ascii="Arial" w:eastAsia="Arial" w:hAnsi="Arial" w:cs="Arial"/>
          <w:sz w:val="20"/>
          <w:szCs w:val="20"/>
        </w:rPr>
        <w:t>26.3, Pp: 229-242. Doi: 10.1007/BF01265668.</w:t>
      </w:r>
    </w:p>
    <w:p w14:paraId="69DDEDD5" w14:textId="57E216CD" w:rsidR="21C3821A" w:rsidRDefault="21C3821A" w:rsidP="0066301C">
      <w:pPr>
        <w:spacing w:after="200" w:line="276" w:lineRule="auto"/>
        <w:jc w:val="both"/>
        <w:rPr>
          <w:rFonts w:ascii="Arial" w:eastAsia="Arial" w:hAnsi="Arial" w:cs="Arial"/>
          <w:sz w:val="20"/>
          <w:szCs w:val="20"/>
        </w:rPr>
      </w:pPr>
      <w:r w:rsidRPr="48425B6A">
        <w:rPr>
          <w:rFonts w:ascii="Arial" w:eastAsia="Arial" w:hAnsi="Arial" w:cs="Arial"/>
          <w:sz w:val="20"/>
          <w:szCs w:val="20"/>
        </w:rPr>
        <w:t xml:space="preserve">Branson, W. H., Halttunen, H. and Masson, P. (1979). Exchange Rates in the Short Run. </w:t>
      </w:r>
      <w:r w:rsidRPr="48425B6A">
        <w:rPr>
          <w:rFonts w:ascii="Arial" w:eastAsia="Arial" w:hAnsi="Arial" w:cs="Arial"/>
          <w:i/>
          <w:iCs/>
          <w:sz w:val="20"/>
          <w:szCs w:val="20"/>
        </w:rPr>
        <w:t xml:space="preserve">European Economic Review. </w:t>
      </w:r>
      <w:r w:rsidRPr="48425B6A">
        <w:rPr>
          <w:rFonts w:ascii="Arial" w:eastAsia="Arial" w:hAnsi="Arial" w:cs="Arial"/>
          <w:sz w:val="20"/>
          <w:szCs w:val="20"/>
        </w:rPr>
        <w:t xml:space="preserve"> </w:t>
      </w:r>
    </w:p>
    <w:p w14:paraId="7CDCDE7C" w14:textId="2B85F59D" w:rsidR="21C3821A" w:rsidRDefault="21C3821A" w:rsidP="0066301C">
      <w:pPr>
        <w:spacing w:after="240"/>
        <w:jc w:val="both"/>
        <w:rPr>
          <w:rFonts w:ascii="Arial" w:eastAsia="Arial" w:hAnsi="Arial" w:cs="Arial"/>
          <w:sz w:val="20"/>
          <w:szCs w:val="20"/>
        </w:rPr>
      </w:pPr>
      <w:r w:rsidRPr="48425B6A">
        <w:rPr>
          <w:rFonts w:ascii="Arial" w:eastAsia="Arial" w:hAnsi="Arial" w:cs="Arial"/>
          <w:sz w:val="20"/>
          <w:szCs w:val="20"/>
        </w:rPr>
        <w:t xml:space="preserve">Breusch, T., and A. Pagan. (1980). The Lagrange multiplier test and its application to model specification in econometrics. </w:t>
      </w:r>
      <w:r w:rsidRPr="48425B6A">
        <w:rPr>
          <w:rFonts w:ascii="Arial" w:eastAsia="Arial" w:hAnsi="Arial" w:cs="Arial"/>
          <w:i/>
          <w:iCs/>
          <w:sz w:val="20"/>
          <w:szCs w:val="20"/>
        </w:rPr>
        <w:t>Review of Economic Studies, Vol.</w:t>
      </w:r>
      <w:r w:rsidRPr="48425B6A">
        <w:rPr>
          <w:rFonts w:ascii="Arial" w:eastAsia="Arial" w:hAnsi="Arial" w:cs="Arial"/>
          <w:sz w:val="20"/>
          <w:szCs w:val="20"/>
        </w:rPr>
        <w:t xml:space="preserve"> 47, PP: 239–253.</w:t>
      </w:r>
    </w:p>
    <w:p w14:paraId="6A950C94" w14:textId="255DBDCA" w:rsidR="21C3821A" w:rsidRDefault="21C3821A" w:rsidP="0066301C">
      <w:pPr>
        <w:spacing w:after="240"/>
        <w:jc w:val="both"/>
        <w:rPr>
          <w:rFonts w:ascii="Arial" w:eastAsia="Arial" w:hAnsi="Arial" w:cs="Arial"/>
          <w:sz w:val="20"/>
          <w:szCs w:val="20"/>
        </w:rPr>
      </w:pPr>
      <w:r w:rsidRPr="48425B6A">
        <w:rPr>
          <w:rFonts w:ascii="Arial" w:eastAsia="Arial" w:hAnsi="Arial" w:cs="Arial"/>
          <w:sz w:val="20"/>
          <w:szCs w:val="20"/>
        </w:rPr>
        <w:t xml:space="preserve">Brewer, T. L., &amp; Young, S. (1998). </w:t>
      </w:r>
      <w:r w:rsidRPr="48425B6A">
        <w:rPr>
          <w:rFonts w:ascii="Arial" w:eastAsia="Arial" w:hAnsi="Arial" w:cs="Arial"/>
          <w:i/>
          <w:iCs/>
          <w:sz w:val="20"/>
          <w:szCs w:val="20"/>
        </w:rPr>
        <w:t>The multilateral investment system and multinational enterprises.</w:t>
      </w:r>
      <w:r w:rsidRPr="48425B6A">
        <w:rPr>
          <w:rFonts w:ascii="Arial" w:eastAsia="Arial" w:hAnsi="Arial" w:cs="Arial"/>
          <w:sz w:val="20"/>
          <w:szCs w:val="20"/>
        </w:rPr>
        <w:t xml:space="preserve"> Oxford University Press. doi:10.1093/acprof:oso/9780198293156.001.0001 </w:t>
      </w:r>
    </w:p>
    <w:p w14:paraId="03875641" w14:textId="342E2CE1" w:rsidR="21C3821A" w:rsidRDefault="21C3821A" w:rsidP="0066301C">
      <w:pPr>
        <w:spacing w:after="200" w:line="276" w:lineRule="auto"/>
        <w:jc w:val="both"/>
        <w:rPr>
          <w:rFonts w:ascii="Arial" w:eastAsia="Arial" w:hAnsi="Arial" w:cs="Arial"/>
          <w:i/>
          <w:iCs/>
          <w:sz w:val="20"/>
          <w:szCs w:val="20"/>
        </w:rPr>
      </w:pPr>
      <w:r w:rsidRPr="48425B6A">
        <w:rPr>
          <w:rFonts w:ascii="Arial" w:eastAsia="Arial" w:hAnsi="Arial" w:cs="Arial"/>
          <w:sz w:val="20"/>
          <w:szCs w:val="20"/>
        </w:rPr>
        <w:t xml:space="preserve">Brown, W. B., and Hogendorn, D. D. (2005). International Economics: in the Age of Globalization, </w:t>
      </w:r>
      <w:r w:rsidRPr="48425B6A">
        <w:rPr>
          <w:rFonts w:ascii="Arial" w:eastAsia="Arial" w:hAnsi="Arial" w:cs="Arial"/>
          <w:i/>
          <w:iCs/>
          <w:sz w:val="20"/>
          <w:szCs w:val="20"/>
        </w:rPr>
        <w:t>University of Toronto Press.</w:t>
      </w:r>
    </w:p>
    <w:p w14:paraId="0C98F244" w14:textId="47596A8E" w:rsidR="21C3821A" w:rsidRDefault="21C3821A" w:rsidP="0066301C">
      <w:pPr>
        <w:spacing w:after="200" w:line="276" w:lineRule="auto"/>
        <w:jc w:val="both"/>
        <w:rPr>
          <w:rFonts w:ascii="Arial" w:eastAsia="Arial" w:hAnsi="Arial" w:cs="Arial"/>
          <w:sz w:val="20"/>
          <w:szCs w:val="20"/>
        </w:rPr>
      </w:pPr>
      <w:r w:rsidRPr="48425B6A">
        <w:rPr>
          <w:rFonts w:ascii="Arial" w:eastAsia="Arial" w:hAnsi="Arial" w:cs="Arial"/>
          <w:sz w:val="20"/>
          <w:szCs w:val="20"/>
        </w:rPr>
        <w:t xml:space="preserve">Brown, R.L., Durbin, J., and Evans, J.M (1975). Techniques for Testing the Constancy of Regression Relationship over Time. </w:t>
      </w:r>
      <w:r w:rsidRPr="48425B6A">
        <w:rPr>
          <w:rFonts w:ascii="Arial" w:eastAsia="Arial" w:hAnsi="Arial" w:cs="Arial"/>
          <w:i/>
          <w:iCs/>
          <w:sz w:val="20"/>
          <w:szCs w:val="20"/>
        </w:rPr>
        <w:t xml:space="preserve">Journal of the Royal Statistical Society. </w:t>
      </w:r>
      <w:r w:rsidRPr="48425B6A">
        <w:rPr>
          <w:rFonts w:ascii="Arial" w:eastAsia="Arial" w:hAnsi="Arial" w:cs="Arial"/>
          <w:sz w:val="20"/>
          <w:szCs w:val="20"/>
        </w:rPr>
        <w:t xml:space="preserve">Series B (Methodological), Vol.37 (2), Pp: 149-192. </w:t>
      </w:r>
    </w:p>
    <w:p w14:paraId="54885828" w14:textId="42846C6F" w:rsidR="21C3821A" w:rsidRDefault="21C3821A" w:rsidP="0066301C">
      <w:pPr>
        <w:spacing w:after="200" w:line="276" w:lineRule="auto"/>
        <w:jc w:val="both"/>
        <w:rPr>
          <w:rFonts w:ascii="Arial" w:eastAsia="Arial" w:hAnsi="Arial" w:cs="Arial"/>
          <w:i/>
          <w:iCs/>
          <w:sz w:val="20"/>
          <w:szCs w:val="20"/>
        </w:rPr>
      </w:pPr>
      <w:r w:rsidRPr="48425B6A">
        <w:rPr>
          <w:rFonts w:ascii="Arial" w:eastAsia="Arial" w:hAnsi="Arial" w:cs="Arial"/>
          <w:sz w:val="20"/>
          <w:szCs w:val="20"/>
        </w:rPr>
        <w:t xml:space="preserve">Cahyono, D. (2008). Determinants of Equilibrium real Exchange Rate and Its Misalignment in Indonesia (Post Crisis Era). </w:t>
      </w:r>
      <w:r w:rsidRPr="48425B6A">
        <w:rPr>
          <w:rFonts w:ascii="Arial" w:eastAsia="Arial" w:hAnsi="Arial" w:cs="Arial"/>
          <w:i/>
          <w:iCs/>
          <w:sz w:val="20"/>
          <w:szCs w:val="20"/>
        </w:rPr>
        <w:t>Institute of Social Studies.</w:t>
      </w:r>
    </w:p>
    <w:p w14:paraId="66F6B5A1" w14:textId="293D4D41" w:rsidR="21C3821A" w:rsidRDefault="21C3821A" w:rsidP="0066301C">
      <w:pPr>
        <w:spacing w:after="200" w:line="276" w:lineRule="auto"/>
        <w:jc w:val="both"/>
        <w:rPr>
          <w:rFonts w:ascii="Arial" w:eastAsia="Arial" w:hAnsi="Arial" w:cs="Arial"/>
          <w:sz w:val="20"/>
          <w:szCs w:val="20"/>
        </w:rPr>
      </w:pPr>
      <w:r w:rsidRPr="48425B6A">
        <w:rPr>
          <w:rFonts w:ascii="Arial" w:eastAsia="Arial" w:hAnsi="Arial" w:cs="Arial"/>
          <w:sz w:val="20"/>
          <w:szCs w:val="20"/>
        </w:rPr>
        <w:t xml:space="preserve">Cakrani, E., Resulaj, P., and Koprencka, L. K. (2013) Government Spending and Real Exchange Rate Case of Albania. </w:t>
      </w:r>
      <w:r w:rsidRPr="48425B6A">
        <w:rPr>
          <w:rFonts w:ascii="Arial" w:eastAsia="Arial" w:hAnsi="Arial" w:cs="Arial"/>
          <w:i/>
          <w:iCs/>
          <w:sz w:val="20"/>
          <w:szCs w:val="20"/>
        </w:rPr>
        <w:t>European Journal of Sustainable Development</w:t>
      </w:r>
      <w:r w:rsidRPr="48425B6A">
        <w:rPr>
          <w:rFonts w:ascii="Arial" w:eastAsia="Arial" w:hAnsi="Arial" w:cs="Arial"/>
          <w:sz w:val="20"/>
          <w:szCs w:val="20"/>
        </w:rPr>
        <w:t>, vol. 2 (4), Pp: 303-310.</w:t>
      </w:r>
    </w:p>
    <w:p w14:paraId="3AE1EF84" w14:textId="7C96F0EF" w:rsidR="21C3821A" w:rsidRDefault="21C3821A" w:rsidP="0066301C">
      <w:pPr>
        <w:spacing w:after="200" w:line="276" w:lineRule="auto"/>
        <w:jc w:val="both"/>
        <w:rPr>
          <w:rFonts w:ascii="Arial" w:eastAsia="Arial" w:hAnsi="Arial" w:cs="Arial"/>
          <w:sz w:val="20"/>
          <w:szCs w:val="20"/>
        </w:rPr>
      </w:pPr>
      <w:r w:rsidRPr="48425B6A">
        <w:rPr>
          <w:rFonts w:ascii="Arial" w:eastAsia="Arial" w:hAnsi="Arial" w:cs="Arial"/>
          <w:sz w:val="20"/>
          <w:szCs w:val="20"/>
        </w:rPr>
        <w:t xml:space="preserve">Cakrani, E. (2014). The Impact of Real Exchange Rate on Economic Growth in Albania. </w:t>
      </w:r>
      <w:r w:rsidRPr="48425B6A">
        <w:rPr>
          <w:rFonts w:ascii="Arial" w:eastAsia="Arial" w:hAnsi="Arial" w:cs="Arial"/>
          <w:i/>
          <w:iCs/>
          <w:sz w:val="20"/>
          <w:szCs w:val="20"/>
        </w:rPr>
        <w:t xml:space="preserve">Acta Universitatis Danubius, </w:t>
      </w:r>
      <w:r w:rsidRPr="48425B6A">
        <w:rPr>
          <w:rFonts w:ascii="Arial" w:eastAsia="Arial" w:hAnsi="Arial" w:cs="Arial"/>
          <w:sz w:val="20"/>
          <w:szCs w:val="20"/>
        </w:rPr>
        <w:t>vol. 10(1), Pp: 141-147.</w:t>
      </w:r>
    </w:p>
    <w:p w14:paraId="18252B10" w14:textId="1E41C7C3" w:rsidR="21C3821A" w:rsidRDefault="21C3821A" w:rsidP="0066301C">
      <w:pPr>
        <w:spacing w:after="200" w:line="276" w:lineRule="auto"/>
        <w:jc w:val="both"/>
        <w:rPr>
          <w:rFonts w:ascii="Arial" w:eastAsia="Arial" w:hAnsi="Arial" w:cs="Arial"/>
          <w:color w:val="333333"/>
          <w:sz w:val="20"/>
          <w:szCs w:val="20"/>
        </w:rPr>
      </w:pPr>
      <w:r w:rsidRPr="48425B6A">
        <w:rPr>
          <w:rFonts w:ascii="Arial" w:eastAsia="Arial" w:hAnsi="Arial" w:cs="Arial"/>
          <w:color w:val="333333"/>
          <w:sz w:val="20"/>
          <w:szCs w:val="20"/>
        </w:rPr>
        <w:t xml:space="preserve">Calvo, </w:t>
      </w:r>
      <w:r w:rsidRPr="48425B6A">
        <w:rPr>
          <w:rFonts w:ascii="Arial" w:eastAsia="Arial" w:hAnsi="Arial" w:cs="Arial"/>
          <w:color w:val="000000" w:themeColor="text1"/>
          <w:sz w:val="20"/>
          <w:szCs w:val="20"/>
        </w:rPr>
        <w:t>G. A. (198). Staggered Prices in Utility-</w:t>
      </w:r>
      <w:r w:rsidRPr="48425B6A">
        <w:rPr>
          <w:rFonts w:ascii="Arial" w:eastAsia="Arial" w:hAnsi="Arial" w:cs="Arial"/>
          <w:color w:val="333333"/>
          <w:sz w:val="20"/>
          <w:szCs w:val="20"/>
        </w:rPr>
        <w:t xml:space="preserve">maximizing Framework. </w:t>
      </w:r>
      <w:r w:rsidRPr="48425B6A">
        <w:rPr>
          <w:rFonts w:ascii="Arial" w:eastAsia="Arial" w:hAnsi="Arial" w:cs="Arial"/>
          <w:i/>
          <w:iCs/>
          <w:color w:val="333333"/>
          <w:sz w:val="20"/>
          <w:szCs w:val="20"/>
        </w:rPr>
        <w:t xml:space="preserve">Journal of Monetary Economics, Elsevier, </w:t>
      </w:r>
      <w:r w:rsidRPr="48425B6A">
        <w:rPr>
          <w:rFonts w:ascii="Arial" w:eastAsia="Arial" w:hAnsi="Arial" w:cs="Arial"/>
          <w:color w:val="333333"/>
          <w:sz w:val="20"/>
          <w:szCs w:val="20"/>
        </w:rPr>
        <w:t>Vol.12(3), Pp: 383-398.</w:t>
      </w:r>
    </w:p>
    <w:p w14:paraId="5E90A102" w14:textId="496628B6" w:rsidR="21C3821A" w:rsidRDefault="21C3821A" w:rsidP="0066301C">
      <w:pPr>
        <w:spacing w:after="200" w:line="276" w:lineRule="auto"/>
        <w:jc w:val="both"/>
        <w:rPr>
          <w:rFonts w:ascii="Arial" w:eastAsia="Arial" w:hAnsi="Arial" w:cs="Arial"/>
          <w:sz w:val="20"/>
          <w:szCs w:val="20"/>
        </w:rPr>
      </w:pPr>
      <w:r w:rsidRPr="48425B6A">
        <w:rPr>
          <w:rFonts w:ascii="Arial" w:eastAsia="Arial" w:hAnsi="Arial" w:cs="Arial"/>
          <w:sz w:val="20"/>
          <w:szCs w:val="20"/>
        </w:rPr>
        <w:t xml:space="preserve">Carter, C.A. and Pick, D.H. (1989). The J-curve Effect and the US Agricultural Trade Balance. </w:t>
      </w:r>
      <w:r w:rsidRPr="48425B6A">
        <w:rPr>
          <w:rFonts w:ascii="Arial" w:eastAsia="Arial" w:hAnsi="Arial" w:cs="Arial"/>
          <w:i/>
          <w:iCs/>
          <w:sz w:val="20"/>
          <w:szCs w:val="20"/>
        </w:rPr>
        <w:t xml:space="preserve">American Journal of Agricultural Economics, </w:t>
      </w:r>
      <w:r w:rsidRPr="48425B6A">
        <w:rPr>
          <w:rFonts w:ascii="Arial" w:eastAsia="Arial" w:hAnsi="Arial" w:cs="Arial"/>
          <w:sz w:val="20"/>
          <w:szCs w:val="20"/>
        </w:rPr>
        <w:t>Vol. 71(3), Pp: 712 – 720.</w:t>
      </w:r>
    </w:p>
    <w:p w14:paraId="63593A09" w14:textId="44ACC851" w:rsidR="00304FAB" w:rsidRPr="00304FAB" w:rsidRDefault="00304FAB" w:rsidP="0066301C">
      <w:pPr>
        <w:spacing w:line="257" w:lineRule="auto"/>
        <w:jc w:val="both"/>
        <w:rPr>
          <w:rFonts w:ascii="Arial" w:eastAsia="Arial" w:hAnsi="Arial" w:cs="Arial"/>
          <w:sz w:val="20"/>
          <w:szCs w:val="20"/>
          <w:lang w:val="en-US"/>
        </w:rPr>
      </w:pPr>
      <w:r w:rsidRPr="0035185C">
        <w:rPr>
          <w:rFonts w:ascii="Arial" w:hAnsi="Arial" w:cs="Arial"/>
          <w:color w:val="232323"/>
          <w:sz w:val="20"/>
          <w:szCs w:val="20"/>
          <w:shd w:val="clear" w:color="auto" w:fill="FFFFFF"/>
        </w:rPr>
        <w:t>Cassel, G. (1918)</w:t>
      </w:r>
      <w:r>
        <w:rPr>
          <w:rFonts w:ascii="Arial" w:hAnsi="Arial" w:cs="Arial"/>
          <w:color w:val="232323"/>
          <w:sz w:val="20"/>
          <w:szCs w:val="20"/>
          <w:shd w:val="clear" w:color="auto" w:fill="FFFFFF"/>
        </w:rPr>
        <w:t>.</w:t>
      </w:r>
      <w:r w:rsidRPr="0035185C">
        <w:rPr>
          <w:rFonts w:ascii="Arial" w:hAnsi="Arial" w:cs="Arial"/>
          <w:color w:val="232323"/>
          <w:sz w:val="20"/>
          <w:szCs w:val="20"/>
          <w:shd w:val="clear" w:color="auto" w:fill="FFFFFF"/>
        </w:rPr>
        <w:t xml:space="preserve"> Abnormal Deviations in International Exchanges. </w:t>
      </w:r>
      <w:r w:rsidRPr="000D6886">
        <w:rPr>
          <w:rFonts w:ascii="Arial" w:hAnsi="Arial" w:cs="Arial"/>
          <w:i/>
          <w:iCs/>
          <w:color w:val="232323"/>
          <w:sz w:val="20"/>
          <w:szCs w:val="20"/>
          <w:shd w:val="clear" w:color="auto" w:fill="FFFFFF"/>
        </w:rPr>
        <w:t>The Economic Journal</w:t>
      </w:r>
      <w:r w:rsidRPr="0035185C">
        <w:rPr>
          <w:rFonts w:ascii="Arial" w:hAnsi="Arial" w:cs="Arial"/>
          <w:color w:val="232323"/>
          <w:sz w:val="20"/>
          <w:szCs w:val="20"/>
          <w:shd w:val="clear" w:color="auto" w:fill="FFFFFF"/>
        </w:rPr>
        <w:t>,</w:t>
      </w:r>
      <w:r>
        <w:rPr>
          <w:rFonts w:ascii="Arial" w:hAnsi="Arial" w:cs="Arial"/>
          <w:color w:val="232323"/>
          <w:sz w:val="20"/>
          <w:szCs w:val="20"/>
          <w:shd w:val="clear" w:color="auto" w:fill="FFFFFF"/>
        </w:rPr>
        <w:t xml:space="preserve"> Vol.</w:t>
      </w:r>
      <w:r w:rsidRPr="0035185C">
        <w:rPr>
          <w:rFonts w:ascii="Arial" w:hAnsi="Arial" w:cs="Arial"/>
          <w:color w:val="232323"/>
          <w:sz w:val="20"/>
          <w:szCs w:val="20"/>
          <w:shd w:val="clear" w:color="auto" w:fill="FFFFFF"/>
        </w:rPr>
        <w:t xml:space="preserve"> 28, </w:t>
      </w:r>
      <w:r>
        <w:rPr>
          <w:rFonts w:ascii="Arial" w:hAnsi="Arial" w:cs="Arial"/>
          <w:color w:val="232323"/>
          <w:sz w:val="20"/>
          <w:szCs w:val="20"/>
          <w:shd w:val="clear" w:color="auto" w:fill="FFFFFF"/>
        </w:rPr>
        <w:t xml:space="preserve">Pp: </w:t>
      </w:r>
      <w:r w:rsidRPr="0035185C">
        <w:rPr>
          <w:rFonts w:ascii="Arial" w:hAnsi="Arial" w:cs="Arial"/>
          <w:color w:val="232323"/>
          <w:sz w:val="20"/>
          <w:szCs w:val="20"/>
          <w:shd w:val="clear" w:color="auto" w:fill="FFFFFF"/>
        </w:rPr>
        <w:t>413-415.</w:t>
      </w:r>
      <w:r>
        <w:rPr>
          <w:rFonts w:ascii="Arial" w:hAnsi="Arial" w:cs="Arial"/>
          <w:color w:val="232323"/>
          <w:sz w:val="20"/>
          <w:szCs w:val="20"/>
          <w:shd w:val="clear" w:color="auto" w:fill="FFFFFF"/>
        </w:rPr>
        <w:t xml:space="preserve"> </w:t>
      </w:r>
      <w:hyperlink r:id="rId122" w:history="1">
        <w:r w:rsidRPr="00D76CAA">
          <w:rPr>
            <w:rStyle w:val="Hyperlink"/>
            <w:rFonts w:ascii="Arial" w:hAnsi="Arial" w:cs="Arial"/>
            <w:sz w:val="20"/>
            <w:szCs w:val="20"/>
            <w:shd w:val="clear" w:color="auto" w:fill="FFFFFF"/>
          </w:rPr>
          <w:t>https://doi.org/10.2307/2223329</w:t>
        </w:r>
      </w:hyperlink>
      <w:r w:rsidR="00C111F1">
        <w:rPr>
          <w:rFonts w:ascii="Arial" w:hAnsi="Arial" w:cs="Arial"/>
          <w:color w:val="232323"/>
          <w:sz w:val="20"/>
          <w:szCs w:val="20"/>
          <w:shd w:val="clear" w:color="auto" w:fill="FFFFFF"/>
        </w:rPr>
        <w:t>.</w:t>
      </w:r>
    </w:p>
    <w:p w14:paraId="63674C77" w14:textId="1CF7E36A" w:rsidR="21C3821A" w:rsidRDefault="21C3821A" w:rsidP="0066301C">
      <w:pPr>
        <w:spacing w:after="200" w:line="276" w:lineRule="auto"/>
        <w:jc w:val="both"/>
        <w:rPr>
          <w:rFonts w:ascii="Arial" w:eastAsia="Arial" w:hAnsi="Arial" w:cs="Arial"/>
          <w:sz w:val="20"/>
          <w:szCs w:val="20"/>
        </w:rPr>
      </w:pPr>
      <w:r w:rsidRPr="48425B6A">
        <w:rPr>
          <w:rFonts w:ascii="Arial" w:eastAsia="Arial" w:hAnsi="Arial" w:cs="Arial"/>
          <w:sz w:val="20"/>
          <w:szCs w:val="20"/>
        </w:rPr>
        <w:lastRenderedPageBreak/>
        <w:t xml:space="preserve">Chen, K., Hsiu-Hua, and Lin, C. (2006). Exchange Rate Movement and Foreign Direct Investment in Taiwan. </w:t>
      </w:r>
      <w:r w:rsidRPr="48425B6A">
        <w:rPr>
          <w:rFonts w:ascii="Arial" w:eastAsia="Arial" w:hAnsi="Arial" w:cs="Arial"/>
          <w:i/>
          <w:iCs/>
          <w:sz w:val="20"/>
          <w:szCs w:val="20"/>
        </w:rPr>
        <w:t xml:space="preserve">The Developing Economies, </w:t>
      </w:r>
      <w:r w:rsidRPr="48425B6A">
        <w:rPr>
          <w:rFonts w:ascii="Arial" w:eastAsia="Arial" w:hAnsi="Arial" w:cs="Arial"/>
          <w:sz w:val="20"/>
          <w:szCs w:val="20"/>
        </w:rPr>
        <w:t>Pp: 269 – 287.</w:t>
      </w:r>
    </w:p>
    <w:p w14:paraId="6CE08165" w14:textId="77777777" w:rsidR="00534502" w:rsidRPr="00D13F39" w:rsidRDefault="00534502" w:rsidP="0066301C">
      <w:pPr>
        <w:spacing w:line="240" w:lineRule="auto"/>
        <w:jc w:val="both"/>
        <w:rPr>
          <w:rFonts w:ascii="Arial" w:hAnsi="Arial" w:cs="Arial"/>
          <w:sz w:val="20"/>
          <w:szCs w:val="20"/>
        </w:rPr>
      </w:pPr>
      <w:r w:rsidRPr="00D13F39">
        <w:rPr>
          <w:rFonts w:ascii="Arial" w:hAnsi="Arial" w:cs="Arial"/>
          <w:sz w:val="20"/>
          <w:szCs w:val="20"/>
        </w:rPr>
        <w:t xml:space="preserve">Chen, R., Milesi-Ferretti, G. M., &amp; Tressel, T., (2012). “External Imbalances in the Euro Area”, </w:t>
      </w:r>
      <w:r w:rsidRPr="00534502">
        <w:rPr>
          <w:rFonts w:ascii="Arial" w:hAnsi="Arial" w:cs="Arial"/>
          <w:i/>
          <w:iCs/>
          <w:sz w:val="20"/>
          <w:szCs w:val="20"/>
        </w:rPr>
        <w:t>IMF Working Paper 12/236</w:t>
      </w:r>
      <w:r w:rsidRPr="00D13F39">
        <w:rPr>
          <w:rFonts w:ascii="Arial" w:hAnsi="Arial" w:cs="Arial"/>
          <w:sz w:val="20"/>
          <w:szCs w:val="20"/>
        </w:rPr>
        <w:t>.</w:t>
      </w:r>
    </w:p>
    <w:p w14:paraId="1D3D4397" w14:textId="2721C459" w:rsidR="21C3821A" w:rsidRPr="006334D8" w:rsidRDefault="21C3821A" w:rsidP="006334D8">
      <w:pPr>
        <w:spacing w:after="200" w:line="276" w:lineRule="auto"/>
        <w:jc w:val="both"/>
        <w:rPr>
          <w:rFonts w:ascii="Arial" w:eastAsia="Arial" w:hAnsi="Arial" w:cs="Arial"/>
          <w:sz w:val="20"/>
          <w:szCs w:val="20"/>
        </w:rPr>
      </w:pPr>
      <w:r w:rsidRPr="48425B6A">
        <w:rPr>
          <w:rFonts w:ascii="Arial" w:eastAsia="Arial" w:hAnsi="Arial" w:cs="Arial"/>
          <w:sz w:val="20"/>
          <w:szCs w:val="20"/>
        </w:rPr>
        <w:t>Clark, P</w:t>
      </w:r>
      <w:r w:rsidR="006334D8">
        <w:rPr>
          <w:rFonts w:ascii="Arial" w:eastAsia="Arial" w:hAnsi="Arial" w:cs="Arial"/>
          <w:sz w:val="20"/>
          <w:szCs w:val="20"/>
        </w:rPr>
        <w:t>.B</w:t>
      </w:r>
      <w:r w:rsidRPr="48425B6A">
        <w:rPr>
          <w:rFonts w:ascii="Arial" w:eastAsia="Arial" w:hAnsi="Arial" w:cs="Arial"/>
          <w:sz w:val="20"/>
          <w:szCs w:val="20"/>
        </w:rPr>
        <w:t xml:space="preserve">., Bartolini, L., Bayoumi, T., and Symansky, S. (1994). Exchange Rates and Economic Fundamentals: A Framework for Analysis. </w:t>
      </w:r>
      <w:r w:rsidRPr="48425B6A">
        <w:rPr>
          <w:rFonts w:ascii="Arial" w:eastAsia="Arial" w:hAnsi="Arial" w:cs="Arial"/>
          <w:i/>
          <w:iCs/>
          <w:sz w:val="20"/>
          <w:szCs w:val="20"/>
        </w:rPr>
        <w:t xml:space="preserve">International Monetary Fund, </w:t>
      </w:r>
      <w:r w:rsidRPr="48425B6A">
        <w:rPr>
          <w:rFonts w:ascii="Arial" w:eastAsia="Arial" w:hAnsi="Arial" w:cs="Arial"/>
          <w:sz w:val="20"/>
          <w:szCs w:val="20"/>
        </w:rPr>
        <w:t xml:space="preserve">Washington D.C. Occasional </w:t>
      </w:r>
      <w:r w:rsidRPr="006334D8">
        <w:rPr>
          <w:rFonts w:ascii="Arial" w:eastAsia="Arial" w:hAnsi="Arial" w:cs="Arial"/>
          <w:sz w:val="20"/>
          <w:szCs w:val="20"/>
        </w:rPr>
        <w:t xml:space="preserve">paper 115. </w:t>
      </w:r>
    </w:p>
    <w:p w14:paraId="26365614" w14:textId="3F3B03FE" w:rsidR="006334D8" w:rsidRPr="006334D8" w:rsidRDefault="006334D8" w:rsidP="006334D8">
      <w:pPr>
        <w:jc w:val="both"/>
        <w:rPr>
          <w:rFonts w:ascii="Arial" w:hAnsi="Arial" w:cs="Arial"/>
          <w:i/>
          <w:iCs/>
          <w:sz w:val="20"/>
          <w:szCs w:val="20"/>
        </w:rPr>
      </w:pPr>
      <w:r w:rsidRPr="006334D8">
        <w:rPr>
          <w:rFonts w:ascii="Arial" w:hAnsi="Arial" w:cs="Arial"/>
          <w:sz w:val="20"/>
          <w:szCs w:val="20"/>
        </w:rPr>
        <w:t>Clark, P.</w:t>
      </w:r>
      <w:r>
        <w:rPr>
          <w:rFonts w:ascii="Arial" w:hAnsi="Arial" w:cs="Arial"/>
          <w:sz w:val="20"/>
          <w:szCs w:val="20"/>
        </w:rPr>
        <w:t>B.</w:t>
      </w:r>
      <w:r w:rsidR="00AB1374">
        <w:rPr>
          <w:rFonts w:ascii="Arial" w:hAnsi="Arial" w:cs="Arial"/>
          <w:sz w:val="20"/>
          <w:szCs w:val="20"/>
        </w:rPr>
        <w:t>,</w:t>
      </w:r>
      <w:r w:rsidRPr="006334D8">
        <w:rPr>
          <w:rFonts w:ascii="Arial" w:hAnsi="Arial" w:cs="Arial"/>
          <w:sz w:val="20"/>
          <w:szCs w:val="20"/>
        </w:rPr>
        <w:t xml:space="preserve"> </w:t>
      </w:r>
      <w:r w:rsidR="00AB1374">
        <w:rPr>
          <w:rFonts w:ascii="Arial" w:hAnsi="Arial" w:cs="Arial"/>
          <w:sz w:val="20"/>
          <w:szCs w:val="20"/>
        </w:rPr>
        <w:t xml:space="preserve">and </w:t>
      </w:r>
      <w:r w:rsidRPr="006334D8">
        <w:rPr>
          <w:rFonts w:ascii="Arial" w:hAnsi="Arial" w:cs="Arial"/>
          <w:sz w:val="20"/>
          <w:szCs w:val="20"/>
        </w:rPr>
        <w:t xml:space="preserve">MacDonald, R. </w:t>
      </w:r>
      <w:r>
        <w:rPr>
          <w:rFonts w:ascii="Arial" w:hAnsi="Arial" w:cs="Arial"/>
          <w:sz w:val="20"/>
          <w:szCs w:val="20"/>
        </w:rPr>
        <w:t>(</w:t>
      </w:r>
      <w:r w:rsidRPr="006334D8">
        <w:rPr>
          <w:rFonts w:ascii="Arial" w:hAnsi="Arial" w:cs="Arial"/>
          <w:sz w:val="20"/>
          <w:szCs w:val="20"/>
        </w:rPr>
        <w:t>2004</w:t>
      </w:r>
      <w:r>
        <w:rPr>
          <w:rFonts w:ascii="Arial" w:hAnsi="Arial" w:cs="Arial"/>
          <w:sz w:val="20"/>
          <w:szCs w:val="20"/>
        </w:rPr>
        <w:t>)</w:t>
      </w:r>
      <w:r w:rsidRPr="006334D8">
        <w:rPr>
          <w:rFonts w:ascii="Arial" w:hAnsi="Arial" w:cs="Arial"/>
          <w:sz w:val="20"/>
          <w:szCs w:val="20"/>
        </w:rPr>
        <w:t xml:space="preserve">. Filtering the BEER: a permanent and transitory decomposition. Global Finance Journal </w:t>
      </w:r>
      <w:r>
        <w:rPr>
          <w:rFonts w:ascii="Arial" w:hAnsi="Arial" w:cs="Arial"/>
          <w:sz w:val="20"/>
          <w:szCs w:val="20"/>
        </w:rPr>
        <w:t>vol.</w:t>
      </w:r>
      <w:r w:rsidRPr="006334D8">
        <w:rPr>
          <w:rFonts w:ascii="Arial" w:hAnsi="Arial" w:cs="Arial"/>
          <w:sz w:val="20"/>
          <w:szCs w:val="20"/>
        </w:rPr>
        <w:t xml:space="preserve">15 (1), </w:t>
      </w:r>
      <w:r>
        <w:rPr>
          <w:rFonts w:ascii="Arial" w:hAnsi="Arial" w:cs="Arial"/>
          <w:sz w:val="20"/>
          <w:szCs w:val="20"/>
        </w:rPr>
        <w:t>Pp:</w:t>
      </w:r>
      <w:r w:rsidRPr="006334D8">
        <w:rPr>
          <w:rFonts w:ascii="Arial" w:hAnsi="Arial" w:cs="Arial"/>
          <w:sz w:val="20"/>
          <w:szCs w:val="20"/>
        </w:rPr>
        <w:t>29–56.</w:t>
      </w:r>
    </w:p>
    <w:p w14:paraId="6BBCED38" w14:textId="419B0D4E" w:rsidR="21C3821A" w:rsidRPr="006334D8" w:rsidRDefault="21C3821A" w:rsidP="006334D8">
      <w:pPr>
        <w:jc w:val="both"/>
        <w:rPr>
          <w:rFonts w:ascii="Arial" w:eastAsia="Arial" w:hAnsi="Arial" w:cs="Arial"/>
          <w:color w:val="333333"/>
          <w:sz w:val="20"/>
          <w:szCs w:val="20"/>
        </w:rPr>
      </w:pPr>
      <w:r w:rsidRPr="006334D8">
        <w:rPr>
          <w:rFonts w:ascii="Arial" w:eastAsia="Arial" w:hAnsi="Arial" w:cs="Arial"/>
          <w:color w:val="333333"/>
          <w:sz w:val="20"/>
          <w:szCs w:val="20"/>
        </w:rPr>
        <w:t xml:space="preserve">Clark, P.B., and MacDonald, R. (1999). Exchange Rates and Economic Fundamentals: A Methodological Comparison of Beers and Feers. In: MacDonald, R., Stein, J.L. (eds) Equilibrium Exchange Rates. Recent Economic Thought Series, vol 69. Springer, Dordrecht. </w:t>
      </w:r>
      <w:hyperlink r:id="rId123">
        <w:r w:rsidRPr="006334D8">
          <w:rPr>
            <w:rStyle w:val="Hyperlink"/>
            <w:rFonts w:ascii="Arial" w:eastAsia="Arial" w:hAnsi="Arial" w:cs="Arial"/>
            <w:sz w:val="20"/>
            <w:szCs w:val="20"/>
          </w:rPr>
          <w:t>https://doi.org/10.1007/978-94-011-4411-7_10</w:t>
        </w:r>
      </w:hyperlink>
      <w:r w:rsidRPr="006334D8">
        <w:rPr>
          <w:rFonts w:ascii="Arial" w:eastAsia="Arial" w:hAnsi="Arial" w:cs="Arial"/>
          <w:color w:val="333333"/>
          <w:sz w:val="20"/>
          <w:szCs w:val="20"/>
        </w:rPr>
        <w:t xml:space="preserve">. </w:t>
      </w:r>
    </w:p>
    <w:p w14:paraId="49CF2312" w14:textId="44F87763" w:rsidR="21C3821A" w:rsidRDefault="21C3821A" w:rsidP="0066301C">
      <w:pPr>
        <w:jc w:val="both"/>
        <w:rPr>
          <w:rFonts w:ascii="Arial" w:eastAsia="Arial" w:hAnsi="Arial" w:cs="Arial"/>
          <w:color w:val="333333"/>
          <w:sz w:val="20"/>
          <w:szCs w:val="20"/>
        </w:rPr>
      </w:pPr>
      <w:r w:rsidRPr="48425B6A">
        <w:rPr>
          <w:rFonts w:ascii="Arial" w:eastAsia="Arial" w:hAnsi="Arial" w:cs="Arial"/>
          <w:color w:val="333333"/>
          <w:sz w:val="20"/>
          <w:szCs w:val="20"/>
        </w:rPr>
        <w:t xml:space="preserve">Clark, P.B., and MacDonald, R. (1998). Exchange Rates and Economic Fundamentals: A Methodological Comparison of Beers and Feers. IMF Working Paper No. 98/7, available at SSRN: </w:t>
      </w:r>
      <w:hyperlink r:id="rId124">
        <w:r w:rsidRPr="48425B6A">
          <w:rPr>
            <w:rStyle w:val="Hyperlink"/>
            <w:rFonts w:ascii="Arial" w:eastAsia="Arial" w:hAnsi="Arial" w:cs="Arial"/>
            <w:sz w:val="20"/>
            <w:szCs w:val="20"/>
          </w:rPr>
          <w:t>https://ssrn.com/abstract=882342</w:t>
        </w:r>
      </w:hyperlink>
      <w:r w:rsidRPr="48425B6A">
        <w:rPr>
          <w:rFonts w:ascii="Arial" w:eastAsia="Arial" w:hAnsi="Arial" w:cs="Arial"/>
          <w:color w:val="333333"/>
          <w:sz w:val="20"/>
          <w:szCs w:val="20"/>
        </w:rPr>
        <w:t>.</w:t>
      </w:r>
    </w:p>
    <w:p w14:paraId="5CA68E9C" w14:textId="10CDEBE7" w:rsidR="21C3821A" w:rsidRDefault="21C3821A" w:rsidP="0066301C">
      <w:pPr>
        <w:spacing w:after="200"/>
        <w:jc w:val="both"/>
        <w:rPr>
          <w:rFonts w:ascii="Arial" w:eastAsia="Arial" w:hAnsi="Arial" w:cs="Arial"/>
          <w:sz w:val="20"/>
          <w:szCs w:val="20"/>
          <w:lang w:val="en-US"/>
        </w:rPr>
      </w:pPr>
      <w:r w:rsidRPr="48425B6A">
        <w:rPr>
          <w:rFonts w:ascii="Arial" w:eastAsia="Arial" w:hAnsi="Arial" w:cs="Arial"/>
          <w:sz w:val="20"/>
          <w:szCs w:val="20"/>
          <w:lang w:val="en-US"/>
        </w:rPr>
        <w:t xml:space="preserve">Coleman, S. (2008). Estimating equilibrium real exchange rates in the Franc Zone. </w:t>
      </w:r>
      <w:r w:rsidRPr="48425B6A">
        <w:rPr>
          <w:rFonts w:ascii="Arial" w:eastAsia="Arial" w:hAnsi="Arial" w:cs="Arial"/>
          <w:i/>
          <w:iCs/>
          <w:sz w:val="20"/>
          <w:szCs w:val="20"/>
          <w:lang w:val="en-US"/>
        </w:rPr>
        <w:t xml:space="preserve">Journal of African Economies, </w:t>
      </w:r>
      <w:r w:rsidRPr="48425B6A">
        <w:rPr>
          <w:rFonts w:ascii="Arial" w:eastAsia="Arial" w:hAnsi="Arial" w:cs="Arial"/>
          <w:sz w:val="20"/>
          <w:szCs w:val="20"/>
          <w:lang w:val="en-US"/>
        </w:rPr>
        <w:t>Vol. 17 (4), Pp:600–634.</w:t>
      </w:r>
    </w:p>
    <w:p w14:paraId="5C7F3A81" w14:textId="3CB489C1" w:rsidR="21C3821A" w:rsidRDefault="21C3821A" w:rsidP="0066301C">
      <w:pPr>
        <w:spacing w:after="0"/>
        <w:jc w:val="both"/>
        <w:rPr>
          <w:rFonts w:ascii="Arial" w:eastAsia="Arial" w:hAnsi="Arial" w:cs="Arial"/>
          <w:sz w:val="20"/>
          <w:szCs w:val="20"/>
        </w:rPr>
      </w:pPr>
      <w:r w:rsidRPr="48425B6A">
        <w:rPr>
          <w:rFonts w:ascii="Arial" w:eastAsia="Arial" w:hAnsi="Arial" w:cs="Arial"/>
          <w:sz w:val="20"/>
          <w:szCs w:val="20"/>
        </w:rPr>
        <w:t xml:space="preserve">Collins, S. M. (1996). 'Exchange Rate Regimes in Latin America and the Caribbean'. </w:t>
      </w:r>
      <w:r w:rsidRPr="48425B6A">
        <w:rPr>
          <w:rFonts w:ascii="Arial" w:eastAsia="Arial" w:hAnsi="Arial" w:cs="Arial"/>
          <w:i/>
          <w:iCs/>
          <w:sz w:val="20"/>
          <w:szCs w:val="20"/>
        </w:rPr>
        <w:t>Journal of Development Economics,</w:t>
      </w:r>
      <w:r w:rsidRPr="48425B6A">
        <w:rPr>
          <w:rFonts w:ascii="Arial" w:eastAsia="Arial" w:hAnsi="Arial" w:cs="Arial"/>
          <w:sz w:val="20"/>
          <w:szCs w:val="20"/>
        </w:rPr>
        <w:t xml:space="preserve"> vol. 51, Pp:117-138.</w:t>
      </w:r>
    </w:p>
    <w:p w14:paraId="7798D6C9" w14:textId="74A1BD32" w:rsidR="21C3821A" w:rsidRDefault="21C3821A" w:rsidP="0066301C">
      <w:pPr>
        <w:spacing w:after="0"/>
        <w:jc w:val="both"/>
        <w:rPr>
          <w:rFonts w:ascii="Arial" w:eastAsia="Arial" w:hAnsi="Arial" w:cs="Arial"/>
          <w:sz w:val="20"/>
          <w:szCs w:val="20"/>
        </w:rPr>
      </w:pPr>
      <w:r w:rsidRPr="48425B6A">
        <w:rPr>
          <w:rFonts w:ascii="Arial" w:eastAsia="Arial" w:hAnsi="Arial" w:cs="Arial"/>
          <w:sz w:val="20"/>
          <w:szCs w:val="20"/>
        </w:rPr>
        <w:t xml:space="preserve"> </w:t>
      </w:r>
    </w:p>
    <w:p w14:paraId="79618492" w14:textId="671498C4" w:rsidR="21C3821A" w:rsidRDefault="21C3821A" w:rsidP="0066301C">
      <w:pPr>
        <w:spacing w:after="0" w:line="360" w:lineRule="auto"/>
        <w:jc w:val="both"/>
        <w:rPr>
          <w:rFonts w:ascii="Arial" w:eastAsia="Arial" w:hAnsi="Arial" w:cs="Arial"/>
          <w:sz w:val="20"/>
          <w:szCs w:val="20"/>
        </w:rPr>
      </w:pPr>
      <w:r w:rsidRPr="48425B6A">
        <w:rPr>
          <w:rFonts w:ascii="Arial" w:eastAsia="Arial" w:hAnsi="Arial" w:cs="Arial"/>
          <w:sz w:val="20"/>
          <w:szCs w:val="20"/>
        </w:rPr>
        <w:t xml:space="preserve">Collier, P. and Dollar, D. (2001). </w:t>
      </w:r>
      <w:r w:rsidRPr="48425B6A">
        <w:rPr>
          <w:rFonts w:ascii="Arial" w:eastAsia="Arial" w:hAnsi="Arial" w:cs="Arial"/>
          <w:i/>
          <w:iCs/>
          <w:sz w:val="20"/>
          <w:szCs w:val="20"/>
        </w:rPr>
        <w:t xml:space="preserve">Globalization, Growth and Poverty, </w:t>
      </w:r>
      <w:r w:rsidRPr="48425B6A">
        <w:rPr>
          <w:rFonts w:ascii="Arial" w:eastAsia="Arial" w:hAnsi="Arial" w:cs="Arial"/>
          <w:sz w:val="20"/>
          <w:szCs w:val="20"/>
        </w:rPr>
        <w:t>World bank.</w:t>
      </w:r>
    </w:p>
    <w:p w14:paraId="13A84A79" w14:textId="3A8A0274" w:rsidR="21C3821A" w:rsidRDefault="21C3821A" w:rsidP="0066301C">
      <w:pPr>
        <w:spacing w:after="0"/>
        <w:jc w:val="both"/>
        <w:rPr>
          <w:rFonts w:ascii="Arial" w:eastAsia="Arial" w:hAnsi="Arial" w:cs="Arial"/>
          <w:sz w:val="20"/>
          <w:szCs w:val="20"/>
        </w:rPr>
      </w:pPr>
      <w:r w:rsidRPr="48425B6A">
        <w:rPr>
          <w:rFonts w:ascii="Arial" w:eastAsia="Arial" w:hAnsi="Arial" w:cs="Arial"/>
          <w:sz w:val="20"/>
          <w:szCs w:val="20"/>
        </w:rPr>
        <w:t>Connolly, M. (1983). Exchange Rates, Real Economic Activity and the Balance of Payments: Evidence from the 1960s. In Classen E. and Salin P., eds., Recent Issues in the Theory of the Flexible Exchange Rates. Amsterdam: North-Holland.</w:t>
      </w:r>
    </w:p>
    <w:p w14:paraId="0582ADCD" w14:textId="76CABBBA" w:rsidR="21C3821A" w:rsidRDefault="21C3821A" w:rsidP="0066301C">
      <w:pPr>
        <w:spacing w:after="0"/>
        <w:jc w:val="both"/>
        <w:rPr>
          <w:rFonts w:ascii="Arial" w:eastAsia="Arial" w:hAnsi="Arial" w:cs="Arial"/>
          <w:sz w:val="20"/>
          <w:szCs w:val="20"/>
        </w:rPr>
      </w:pPr>
      <w:r w:rsidRPr="48425B6A">
        <w:rPr>
          <w:rFonts w:ascii="Arial" w:eastAsia="Arial" w:hAnsi="Arial" w:cs="Arial"/>
          <w:sz w:val="20"/>
          <w:szCs w:val="20"/>
        </w:rPr>
        <w:t xml:space="preserve"> </w:t>
      </w:r>
    </w:p>
    <w:p w14:paraId="5E6425B8" w14:textId="154AD69D" w:rsidR="21C3821A" w:rsidRDefault="21C3821A" w:rsidP="0066301C">
      <w:pPr>
        <w:spacing w:after="200"/>
        <w:jc w:val="both"/>
        <w:rPr>
          <w:rFonts w:ascii="Arial" w:eastAsia="Arial" w:hAnsi="Arial" w:cs="Arial"/>
          <w:sz w:val="20"/>
          <w:szCs w:val="20"/>
        </w:rPr>
      </w:pPr>
      <w:r w:rsidRPr="48425B6A">
        <w:rPr>
          <w:rFonts w:ascii="Arial" w:eastAsia="Arial" w:hAnsi="Arial" w:cs="Arial"/>
          <w:sz w:val="20"/>
          <w:szCs w:val="20"/>
        </w:rPr>
        <w:t>Cooper, R, (1971). Currency Devaluation in Developing Countries.</w:t>
      </w:r>
      <w:r w:rsidRPr="48425B6A">
        <w:rPr>
          <w:rFonts w:ascii="Arial" w:eastAsia="Arial" w:hAnsi="Arial" w:cs="Arial"/>
          <w:i/>
          <w:iCs/>
          <w:sz w:val="20"/>
          <w:szCs w:val="20"/>
        </w:rPr>
        <w:t xml:space="preserve"> Essays in International Finance, </w:t>
      </w:r>
      <w:r w:rsidRPr="48425B6A">
        <w:rPr>
          <w:rFonts w:ascii="Arial" w:eastAsia="Arial" w:hAnsi="Arial" w:cs="Arial"/>
          <w:sz w:val="20"/>
          <w:szCs w:val="20"/>
        </w:rPr>
        <w:t xml:space="preserve">Vol. 86 (Princeton University).  </w:t>
      </w:r>
    </w:p>
    <w:p w14:paraId="5FD1FF53" w14:textId="4F79B179" w:rsidR="21C3821A" w:rsidRDefault="21C3821A" w:rsidP="0066301C">
      <w:pPr>
        <w:spacing w:after="200"/>
        <w:jc w:val="both"/>
        <w:rPr>
          <w:rFonts w:ascii="Arial" w:eastAsia="Arial" w:hAnsi="Arial" w:cs="Arial"/>
          <w:sz w:val="20"/>
          <w:szCs w:val="20"/>
        </w:rPr>
      </w:pPr>
      <w:r w:rsidRPr="48425B6A">
        <w:rPr>
          <w:rFonts w:ascii="Arial" w:eastAsia="Arial" w:hAnsi="Arial" w:cs="Arial"/>
          <w:sz w:val="20"/>
          <w:szCs w:val="20"/>
        </w:rPr>
        <w:t xml:space="preserve">Coudert, V. and Couharde, C. (2003). Exchange Rate Regimes and Sustainable Parities for CEECs in the run-up to EMU Membership. </w:t>
      </w:r>
      <w:r w:rsidRPr="48425B6A">
        <w:rPr>
          <w:rFonts w:ascii="Arial" w:eastAsia="Arial" w:hAnsi="Arial" w:cs="Arial"/>
          <w:i/>
          <w:iCs/>
          <w:sz w:val="20"/>
          <w:szCs w:val="20"/>
        </w:rPr>
        <w:t xml:space="preserve">Revue Economique, </w:t>
      </w:r>
      <w:r w:rsidRPr="48425B6A">
        <w:rPr>
          <w:rFonts w:ascii="Arial" w:eastAsia="Arial" w:hAnsi="Arial" w:cs="Arial"/>
          <w:sz w:val="20"/>
          <w:szCs w:val="20"/>
        </w:rPr>
        <w:t xml:space="preserve">vol. 54(5), pp: 983-1012. </w:t>
      </w:r>
    </w:p>
    <w:p w14:paraId="7099EC8F" w14:textId="789131F6" w:rsidR="21C3821A" w:rsidRDefault="21C3821A" w:rsidP="0066301C">
      <w:pPr>
        <w:spacing w:after="200"/>
        <w:jc w:val="both"/>
        <w:rPr>
          <w:rFonts w:ascii="Arial" w:eastAsia="Arial" w:hAnsi="Arial" w:cs="Arial"/>
          <w:sz w:val="20"/>
          <w:szCs w:val="20"/>
        </w:rPr>
      </w:pPr>
      <w:r w:rsidRPr="48425B6A">
        <w:rPr>
          <w:rFonts w:ascii="Arial" w:eastAsia="Arial" w:hAnsi="Arial" w:cs="Arial"/>
          <w:sz w:val="20"/>
          <w:szCs w:val="20"/>
        </w:rPr>
        <w:t xml:space="preserve">Coudert, V. and Couharde, C. (2009). Currency Misalignment and Exchange Rate Regimes in Emerging and Developing Countries. </w:t>
      </w:r>
      <w:r w:rsidRPr="48425B6A">
        <w:rPr>
          <w:rFonts w:ascii="Arial" w:eastAsia="Arial" w:hAnsi="Arial" w:cs="Arial"/>
          <w:i/>
          <w:iCs/>
          <w:sz w:val="20"/>
          <w:szCs w:val="20"/>
        </w:rPr>
        <w:t xml:space="preserve">Review of International Economics, </w:t>
      </w:r>
      <w:r w:rsidRPr="48425B6A">
        <w:rPr>
          <w:rFonts w:ascii="Arial" w:eastAsia="Arial" w:hAnsi="Arial" w:cs="Arial"/>
          <w:sz w:val="20"/>
          <w:szCs w:val="20"/>
        </w:rPr>
        <w:t xml:space="preserve">vol. 17(1), Pp: 121-136. </w:t>
      </w:r>
    </w:p>
    <w:p w14:paraId="13F4B850" w14:textId="69D3E269" w:rsidR="21C3821A" w:rsidRDefault="21C3821A" w:rsidP="0066301C">
      <w:pPr>
        <w:spacing w:after="200"/>
        <w:jc w:val="both"/>
        <w:rPr>
          <w:rFonts w:ascii="Arial" w:eastAsia="Arial" w:hAnsi="Arial" w:cs="Arial"/>
          <w:sz w:val="20"/>
          <w:szCs w:val="20"/>
        </w:rPr>
      </w:pPr>
      <w:r w:rsidRPr="48425B6A">
        <w:rPr>
          <w:rFonts w:ascii="Arial" w:eastAsia="Arial" w:hAnsi="Arial" w:cs="Arial"/>
          <w:sz w:val="20"/>
          <w:szCs w:val="20"/>
        </w:rPr>
        <w:t xml:space="preserve">Couharde, C. and Sallenave, A. (2013). How do currency misalignments' threshold affect economic growth? </w:t>
      </w:r>
      <w:r w:rsidRPr="48425B6A">
        <w:rPr>
          <w:rFonts w:ascii="Arial" w:eastAsia="Arial" w:hAnsi="Arial" w:cs="Arial"/>
          <w:i/>
          <w:iCs/>
          <w:sz w:val="20"/>
          <w:szCs w:val="20"/>
        </w:rPr>
        <w:t>Journal of Macroeconomics,</w:t>
      </w:r>
      <w:r w:rsidRPr="48425B6A">
        <w:rPr>
          <w:rFonts w:ascii="Arial" w:eastAsia="Arial" w:hAnsi="Arial" w:cs="Arial"/>
          <w:sz w:val="20"/>
          <w:szCs w:val="20"/>
        </w:rPr>
        <w:t xml:space="preserve"> vol. 36, Pp.106 – 120.</w:t>
      </w:r>
    </w:p>
    <w:p w14:paraId="56BDDEA6" w14:textId="77777777" w:rsidR="0003264C" w:rsidRPr="00047DBF" w:rsidRDefault="0003264C" w:rsidP="0066301C">
      <w:pPr>
        <w:spacing w:line="240" w:lineRule="auto"/>
        <w:jc w:val="both"/>
        <w:rPr>
          <w:rFonts w:ascii="Arial" w:hAnsi="Arial" w:cs="Arial"/>
          <w:i/>
          <w:iCs/>
          <w:sz w:val="20"/>
          <w:szCs w:val="20"/>
        </w:rPr>
      </w:pPr>
      <w:r w:rsidRPr="00047DBF">
        <w:rPr>
          <w:rFonts w:ascii="Arial" w:hAnsi="Arial" w:cs="Arial"/>
          <w:sz w:val="20"/>
          <w:szCs w:val="20"/>
        </w:rPr>
        <w:t xml:space="preserve">Couharde, C., Coulibaly, I., Guerreiro, D., and Mignon, V. (2012). Revisiting The Theory of Optimum Currency Areas: Is The CFA Franc Zone Sustainable? </w:t>
      </w:r>
      <w:r w:rsidRPr="00047DBF">
        <w:rPr>
          <w:rFonts w:ascii="Arial" w:hAnsi="Arial" w:cs="Arial"/>
          <w:i/>
          <w:iCs/>
          <w:sz w:val="20"/>
          <w:szCs w:val="20"/>
        </w:rPr>
        <w:t xml:space="preserve">CEPII WP </w:t>
      </w:r>
      <w:r w:rsidRPr="00047DBF">
        <w:rPr>
          <w:rFonts w:ascii="Arial" w:hAnsi="Arial" w:cs="Arial"/>
          <w:sz w:val="20"/>
          <w:szCs w:val="20"/>
        </w:rPr>
        <w:t>No 2012-13.</w:t>
      </w:r>
    </w:p>
    <w:p w14:paraId="036F5159" w14:textId="66624E36" w:rsidR="21C3821A" w:rsidRDefault="21C3821A" w:rsidP="0066301C">
      <w:pPr>
        <w:spacing w:after="200"/>
        <w:jc w:val="both"/>
        <w:rPr>
          <w:rFonts w:ascii="Arial" w:eastAsia="Arial" w:hAnsi="Arial" w:cs="Arial"/>
          <w:sz w:val="20"/>
          <w:szCs w:val="20"/>
        </w:rPr>
      </w:pPr>
      <w:r w:rsidRPr="48425B6A">
        <w:rPr>
          <w:rFonts w:ascii="Arial" w:eastAsia="Arial" w:hAnsi="Arial" w:cs="Arial"/>
          <w:sz w:val="20"/>
          <w:szCs w:val="20"/>
        </w:rPr>
        <w:t>Daniels, J. and VanHoose, D. D. (2005). International Monetary and Financial Economics.</w:t>
      </w:r>
    </w:p>
    <w:p w14:paraId="6109C164" w14:textId="658753CE" w:rsidR="21C3821A" w:rsidRDefault="21C3821A" w:rsidP="0066301C">
      <w:pPr>
        <w:spacing w:after="200"/>
        <w:jc w:val="both"/>
        <w:rPr>
          <w:rFonts w:ascii="Arial" w:eastAsia="Arial" w:hAnsi="Arial" w:cs="Arial"/>
          <w:sz w:val="20"/>
          <w:szCs w:val="20"/>
        </w:rPr>
      </w:pPr>
      <w:r w:rsidRPr="48425B6A">
        <w:rPr>
          <w:rFonts w:ascii="Arial" w:eastAsia="Arial" w:hAnsi="Arial" w:cs="Arial"/>
          <w:sz w:val="20"/>
          <w:szCs w:val="20"/>
        </w:rPr>
        <w:t xml:space="preserve">David, K.B., Patrick, J.K., and Finn, E.K. (1994). Dynamics of the Trade Balance and the Terms of Trade: The J-curve? </w:t>
      </w:r>
      <w:r w:rsidRPr="48425B6A">
        <w:rPr>
          <w:rFonts w:ascii="Arial" w:eastAsia="Arial" w:hAnsi="Arial" w:cs="Arial"/>
          <w:i/>
          <w:iCs/>
          <w:sz w:val="20"/>
          <w:szCs w:val="20"/>
        </w:rPr>
        <w:t xml:space="preserve">American Economic Review, </w:t>
      </w:r>
      <w:r w:rsidRPr="48425B6A">
        <w:rPr>
          <w:rFonts w:ascii="Arial" w:eastAsia="Arial" w:hAnsi="Arial" w:cs="Arial"/>
          <w:sz w:val="20"/>
          <w:szCs w:val="20"/>
        </w:rPr>
        <w:t>Vol. 84(1), Pp: 84-103.</w:t>
      </w:r>
    </w:p>
    <w:p w14:paraId="56465635" w14:textId="4179C69F" w:rsidR="21C3821A" w:rsidRDefault="21C3821A" w:rsidP="0066301C">
      <w:pPr>
        <w:spacing w:after="200"/>
        <w:jc w:val="both"/>
        <w:rPr>
          <w:rFonts w:ascii="Arial" w:eastAsia="Arial" w:hAnsi="Arial" w:cs="Arial"/>
          <w:sz w:val="20"/>
          <w:szCs w:val="20"/>
        </w:rPr>
      </w:pPr>
      <w:r w:rsidRPr="48425B6A">
        <w:rPr>
          <w:rFonts w:ascii="Arial" w:eastAsia="Arial" w:hAnsi="Arial" w:cs="Arial"/>
          <w:sz w:val="20"/>
          <w:szCs w:val="20"/>
        </w:rPr>
        <w:t>Davidson, P. (2009</w:t>
      </w:r>
      <w:r w:rsidRPr="48425B6A">
        <w:rPr>
          <w:rFonts w:ascii="Arial" w:eastAsia="Arial" w:hAnsi="Arial" w:cs="Arial"/>
          <w:i/>
          <w:iCs/>
          <w:sz w:val="20"/>
          <w:szCs w:val="20"/>
        </w:rPr>
        <w:t>). The Keynes Solution: The Path to Global Economic Prosperity</w:t>
      </w:r>
      <w:r w:rsidRPr="48425B6A">
        <w:rPr>
          <w:rFonts w:ascii="Arial" w:eastAsia="Arial" w:hAnsi="Arial" w:cs="Arial"/>
          <w:sz w:val="20"/>
          <w:szCs w:val="20"/>
        </w:rPr>
        <w:t>, New York: Palgrave Macmillan, Pp: 125, ISBN 978-0-230-61920-3.</w:t>
      </w:r>
    </w:p>
    <w:p w14:paraId="04EA46E8" w14:textId="6223C3EF" w:rsidR="21C3821A" w:rsidRDefault="21C3821A" w:rsidP="0066301C">
      <w:pPr>
        <w:spacing w:line="257" w:lineRule="auto"/>
        <w:jc w:val="both"/>
        <w:rPr>
          <w:rFonts w:ascii="Arial" w:eastAsia="Arial" w:hAnsi="Arial" w:cs="Arial"/>
          <w:color w:val="232323"/>
          <w:sz w:val="20"/>
          <w:szCs w:val="20"/>
        </w:rPr>
      </w:pPr>
      <w:r w:rsidRPr="00EE025F">
        <w:rPr>
          <w:rFonts w:ascii="Arial" w:eastAsia="Arial" w:hAnsi="Arial" w:cs="Arial"/>
          <w:color w:val="232323"/>
          <w:sz w:val="20"/>
          <w:szCs w:val="20"/>
          <w:lang w:val="pt-BR"/>
        </w:rPr>
        <w:t xml:space="preserve">De Gregorio, J. and Wolf, H.C. (1994). </w:t>
      </w:r>
      <w:r w:rsidRPr="48425B6A">
        <w:rPr>
          <w:rFonts w:ascii="Arial" w:eastAsia="Arial" w:hAnsi="Arial" w:cs="Arial"/>
          <w:color w:val="232323"/>
          <w:sz w:val="20"/>
          <w:szCs w:val="20"/>
        </w:rPr>
        <w:t>Terms of Trade, Productivity and the Real Exchange Rate. NBER Working Paper 4807.</w:t>
      </w:r>
    </w:p>
    <w:p w14:paraId="3187F564" w14:textId="29F8DBB7" w:rsidR="21C3821A" w:rsidRDefault="21C3821A" w:rsidP="0066301C">
      <w:pPr>
        <w:spacing w:line="257" w:lineRule="auto"/>
        <w:jc w:val="both"/>
        <w:rPr>
          <w:rFonts w:ascii="Arial" w:eastAsia="Arial" w:hAnsi="Arial" w:cs="Arial"/>
          <w:i/>
          <w:iCs/>
          <w:sz w:val="20"/>
          <w:szCs w:val="20"/>
        </w:rPr>
      </w:pPr>
      <w:r w:rsidRPr="48425B6A">
        <w:rPr>
          <w:rFonts w:ascii="Arial" w:eastAsia="Arial" w:hAnsi="Arial" w:cs="Arial"/>
          <w:sz w:val="20"/>
          <w:szCs w:val="20"/>
        </w:rPr>
        <w:lastRenderedPageBreak/>
        <w:t xml:space="preserve">De Hoyos, R. E., and Sarafidis, V. (2006). Testing for Cross-sectional Dependence in Panel-data Models. </w:t>
      </w:r>
      <w:r w:rsidRPr="48425B6A">
        <w:rPr>
          <w:rFonts w:ascii="Arial" w:eastAsia="Arial" w:hAnsi="Arial" w:cs="Arial"/>
          <w:i/>
          <w:iCs/>
          <w:sz w:val="20"/>
          <w:szCs w:val="20"/>
        </w:rPr>
        <w:t xml:space="preserve">The Stata Journal, </w:t>
      </w:r>
      <w:r w:rsidRPr="48425B6A">
        <w:rPr>
          <w:rFonts w:ascii="Arial" w:eastAsia="Arial" w:hAnsi="Arial" w:cs="Arial"/>
          <w:sz w:val="20"/>
          <w:szCs w:val="20"/>
        </w:rPr>
        <w:t>Vol. 6(4), Pp: 482-496</w:t>
      </w:r>
      <w:r w:rsidRPr="48425B6A">
        <w:rPr>
          <w:rFonts w:ascii="Arial" w:eastAsia="Arial" w:hAnsi="Arial" w:cs="Arial"/>
          <w:i/>
          <w:iCs/>
          <w:sz w:val="20"/>
          <w:szCs w:val="20"/>
        </w:rPr>
        <w:t>.</w:t>
      </w:r>
    </w:p>
    <w:p w14:paraId="74A340B1" w14:textId="1808D32B" w:rsidR="21C3821A" w:rsidRDefault="21C3821A" w:rsidP="0066301C">
      <w:pPr>
        <w:spacing w:after="200"/>
        <w:jc w:val="both"/>
        <w:rPr>
          <w:rFonts w:ascii="Arial" w:eastAsia="Arial" w:hAnsi="Arial" w:cs="Arial"/>
          <w:sz w:val="20"/>
          <w:szCs w:val="20"/>
        </w:rPr>
      </w:pPr>
      <w:r w:rsidRPr="48425B6A">
        <w:rPr>
          <w:rFonts w:ascii="Arial" w:eastAsia="Arial" w:hAnsi="Arial" w:cs="Arial"/>
          <w:sz w:val="20"/>
          <w:szCs w:val="20"/>
        </w:rPr>
        <w:t xml:space="preserve">De Vita, G., Kyaw, K.S. (2011). Does the Choice of Exchange Rate Regime Affect the Economic Growth of Developing Countries? </w:t>
      </w:r>
      <w:r w:rsidRPr="48425B6A">
        <w:rPr>
          <w:rFonts w:ascii="Arial" w:eastAsia="Arial" w:hAnsi="Arial" w:cs="Arial"/>
          <w:i/>
          <w:iCs/>
          <w:sz w:val="20"/>
          <w:szCs w:val="20"/>
        </w:rPr>
        <w:t xml:space="preserve">The Journal of Developing Areas, </w:t>
      </w:r>
      <w:r w:rsidRPr="48425B6A">
        <w:rPr>
          <w:rFonts w:ascii="Arial" w:eastAsia="Arial" w:hAnsi="Arial" w:cs="Arial"/>
          <w:sz w:val="20"/>
          <w:szCs w:val="20"/>
        </w:rPr>
        <w:t xml:space="preserve">No, 16, Pp:135 – 153. </w:t>
      </w:r>
    </w:p>
    <w:p w14:paraId="7A6F31ED" w14:textId="72AD5AE3" w:rsidR="21C3821A" w:rsidRDefault="21C3821A" w:rsidP="0066301C">
      <w:pPr>
        <w:spacing w:after="200"/>
        <w:jc w:val="both"/>
        <w:rPr>
          <w:rFonts w:ascii="Arial" w:eastAsia="Arial" w:hAnsi="Arial" w:cs="Arial"/>
          <w:i/>
          <w:iCs/>
          <w:sz w:val="20"/>
          <w:szCs w:val="20"/>
        </w:rPr>
      </w:pPr>
      <w:r w:rsidRPr="48425B6A">
        <w:rPr>
          <w:rFonts w:ascii="Arial" w:eastAsia="Arial" w:hAnsi="Arial" w:cs="Arial"/>
          <w:sz w:val="20"/>
          <w:szCs w:val="20"/>
        </w:rPr>
        <w:t xml:space="preserve">Detken, C., and Martinez, C.M. (2001). The Effective Euro Equilibrium Exchange Rate Since the 197,s: A Structural NATREX Estimation. </w:t>
      </w:r>
      <w:r w:rsidRPr="48425B6A">
        <w:rPr>
          <w:rFonts w:ascii="Arial" w:eastAsia="Arial" w:hAnsi="Arial" w:cs="Arial"/>
          <w:i/>
          <w:iCs/>
          <w:sz w:val="20"/>
          <w:szCs w:val="20"/>
        </w:rPr>
        <w:t xml:space="preserve">European Central Bank (ECB) Working Paper. </w:t>
      </w:r>
    </w:p>
    <w:p w14:paraId="2B9F6EF1" w14:textId="77777777" w:rsidR="00925345" w:rsidRPr="00BD037B" w:rsidRDefault="00925345" w:rsidP="0066301C">
      <w:pPr>
        <w:autoSpaceDE w:val="0"/>
        <w:autoSpaceDN w:val="0"/>
        <w:adjustRightInd w:val="0"/>
        <w:spacing w:line="240" w:lineRule="auto"/>
        <w:jc w:val="both"/>
        <w:rPr>
          <w:rFonts w:ascii="Arial" w:hAnsi="Arial" w:cs="Arial"/>
          <w:sz w:val="20"/>
          <w:szCs w:val="20"/>
        </w:rPr>
      </w:pPr>
      <w:r w:rsidRPr="00BD037B">
        <w:rPr>
          <w:rFonts w:ascii="Arial" w:hAnsi="Arial" w:cs="Arial"/>
          <w:sz w:val="20"/>
          <w:szCs w:val="20"/>
        </w:rPr>
        <w:t>Devarajan, S.</w:t>
      </w:r>
      <w:r>
        <w:rPr>
          <w:rFonts w:ascii="Arial" w:hAnsi="Arial" w:cs="Arial"/>
          <w:sz w:val="20"/>
          <w:szCs w:val="20"/>
        </w:rPr>
        <w:t xml:space="preserve"> and Hinkle, L.E.</w:t>
      </w:r>
      <w:r w:rsidRPr="00BD037B">
        <w:rPr>
          <w:rFonts w:ascii="Arial" w:hAnsi="Arial" w:cs="Arial"/>
          <w:sz w:val="20"/>
          <w:szCs w:val="20"/>
        </w:rPr>
        <w:t xml:space="preserve"> (1994). The CFA Franc Parity Change: An Opportunity to Restore Growth and Reduce Poverty. </w:t>
      </w:r>
      <w:r w:rsidRPr="00BD037B">
        <w:rPr>
          <w:rFonts w:ascii="Arial" w:hAnsi="Arial" w:cs="Arial"/>
          <w:i/>
          <w:iCs/>
          <w:sz w:val="20"/>
          <w:szCs w:val="20"/>
        </w:rPr>
        <w:t xml:space="preserve">Afrika Spectrum, </w:t>
      </w:r>
      <w:r w:rsidRPr="00BD037B">
        <w:rPr>
          <w:rFonts w:ascii="Arial" w:hAnsi="Arial" w:cs="Arial"/>
          <w:sz w:val="20"/>
          <w:szCs w:val="20"/>
        </w:rPr>
        <w:t>Vol. 29(2), Pp: 131-151</w:t>
      </w:r>
    </w:p>
    <w:p w14:paraId="261D20F3" w14:textId="3CE22082" w:rsidR="21C3821A" w:rsidRDefault="21C3821A" w:rsidP="0066301C">
      <w:pPr>
        <w:spacing w:after="200"/>
        <w:jc w:val="both"/>
        <w:rPr>
          <w:rFonts w:ascii="Arial" w:eastAsia="Arial" w:hAnsi="Arial" w:cs="Arial"/>
          <w:sz w:val="20"/>
          <w:szCs w:val="20"/>
        </w:rPr>
      </w:pPr>
      <w:r w:rsidRPr="48425B6A">
        <w:rPr>
          <w:rFonts w:ascii="Arial" w:eastAsia="Arial" w:hAnsi="Arial" w:cs="Arial"/>
          <w:sz w:val="20"/>
          <w:szCs w:val="20"/>
        </w:rPr>
        <w:t xml:space="preserve">Devarajan, S. and Melo, J. (1987). Adjustment with a Fixed Exchange Rate: Cameroon, Cote d’Ivoire, and Senegal. </w:t>
      </w:r>
      <w:r w:rsidRPr="48425B6A">
        <w:rPr>
          <w:rFonts w:ascii="Arial" w:eastAsia="Arial" w:hAnsi="Arial" w:cs="Arial"/>
          <w:i/>
          <w:iCs/>
          <w:sz w:val="20"/>
          <w:szCs w:val="20"/>
        </w:rPr>
        <w:t xml:space="preserve">World Bank Economic Review </w:t>
      </w:r>
      <w:r w:rsidRPr="48425B6A">
        <w:rPr>
          <w:rFonts w:ascii="Arial" w:eastAsia="Arial" w:hAnsi="Arial" w:cs="Arial"/>
          <w:sz w:val="20"/>
          <w:szCs w:val="20"/>
        </w:rPr>
        <w:t xml:space="preserve">1.3, Pp:447 – 487. Doi: 10.1093/wber/1.3.447. </w:t>
      </w:r>
    </w:p>
    <w:p w14:paraId="636BE9C4" w14:textId="77777777" w:rsidR="00925345" w:rsidRPr="00D13F39" w:rsidRDefault="00925345" w:rsidP="0066301C">
      <w:pPr>
        <w:spacing w:line="240" w:lineRule="auto"/>
        <w:jc w:val="both"/>
        <w:rPr>
          <w:rFonts w:ascii="Arial" w:hAnsi="Arial" w:cs="Arial"/>
          <w:sz w:val="20"/>
          <w:szCs w:val="20"/>
        </w:rPr>
      </w:pPr>
      <w:r w:rsidRPr="00D13F39">
        <w:rPr>
          <w:rFonts w:ascii="Arial" w:hAnsi="Arial" w:cs="Arial"/>
          <w:color w:val="232323"/>
          <w:sz w:val="20"/>
          <w:szCs w:val="20"/>
          <w:shd w:val="clear" w:color="auto" w:fill="FFFFFF"/>
        </w:rPr>
        <w:t>Devarajan, S. and de Melo, J. (1991) Membership in the CFA Zone: Odyssean Journey or Trojan Horse? Conference on African Economic Issues, Nairobi.</w:t>
      </w:r>
    </w:p>
    <w:p w14:paraId="1E860327" w14:textId="77777777" w:rsidR="00BD037B" w:rsidRDefault="00BD037B" w:rsidP="0066301C">
      <w:pPr>
        <w:spacing w:after="200"/>
        <w:jc w:val="both"/>
        <w:rPr>
          <w:rFonts w:ascii="Arial" w:eastAsia="Arial" w:hAnsi="Arial" w:cs="Arial"/>
          <w:sz w:val="20"/>
          <w:szCs w:val="20"/>
        </w:rPr>
      </w:pPr>
      <w:r w:rsidRPr="48425B6A">
        <w:rPr>
          <w:rFonts w:ascii="Arial" w:eastAsia="Arial" w:hAnsi="Arial" w:cs="Arial"/>
          <w:sz w:val="20"/>
          <w:szCs w:val="20"/>
        </w:rPr>
        <w:t xml:space="preserve">Devereaux, J. and Connolly, M. (1996). Commercial Policy, the Terms of Trade and the Real Exchange Rate Revisited. </w:t>
      </w:r>
      <w:r w:rsidRPr="48425B6A">
        <w:rPr>
          <w:rFonts w:ascii="Arial" w:eastAsia="Arial" w:hAnsi="Arial" w:cs="Arial"/>
          <w:i/>
          <w:iCs/>
          <w:sz w:val="20"/>
          <w:szCs w:val="20"/>
        </w:rPr>
        <w:t xml:space="preserve">Journal of Development Economics. </w:t>
      </w:r>
      <w:r w:rsidRPr="48425B6A">
        <w:rPr>
          <w:rFonts w:ascii="Arial" w:eastAsia="Arial" w:hAnsi="Arial" w:cs="Arial"/>
          <w:sz w:val="20"/>
          <w:szCs w:val="20"/>
        </w:rPr>
        <w:t xml:space="preserve">Vol. 50(1), Pp: 81 - 99. </w:t>
      </w:r>
    </w:p>
    <w:p w14:paraId="65B7D3D7" w14:textId="6B18550C" w:rsidR="21C3821A" w:rsidRDefault="21C3821A" w:rsidP="0066301C">
      <w:pPr>
        <w:spacing w:after="200"/>
        <w:jc w:val="both"/>
        <w:rPr>
          <w:rFonts w:ascii="Arial" w:eastAsia="Arial" w:hAnsi="Arial" w:cs="Arial"/>
          <w:sz w:val="20"/>
          <w:szCs w:val="20"/>
        </w:rPr>
      </w:pPr>
      <w:r w:rsidRPr="48425B6A">
        <w:rPr>
          <w:rFonts w:ascii="Arial" w:eastAsia="Arial" w:hAnsi="Arial" w:cs="Arial"/>
          <w:sz w:val="20"/>
          <w:szCs w:val="20"/>
        </w:rPr>
        <w:t xml:space="preserve">Dhasmana, A. (2012). India’s Real Exchange Rate and Trade Balance: Fresh Evidence. </w:t>
      </w:r>
      <w:r w:rsidRPr="48425B6A">
        <w:rPr>
          <w:rFonts w:ascii="Arial" w:eastAsia="Arial" w:hAnsi="Arial" w:cs="Arial"/>
          <w:i/>
          <w:iCs/>
          <w:sz w:val="20"/>
          <w:szCs w:val="20"/>
        </w:rPr>
        <w:t xml:space="preserve">IIM Bangalore Research Paper </w:t>
      </w:r>
      <w:r w:rsidRPr="48425B6A">
        <w:rPr>
          <w:rFonts w:ascii="Arial" w:eastAsia="Arial" w:hAnsi="Arial" w:cs="Arial"/>
          <w:sz w:val="20"/>
          <w:szCs w:val="20"/>
        </w:rPr>
        <w:t>No. 37.</w:t>
      </w:r>
    </w:p>
    <w:p w14:paraId="3D63933B" w14:textId="34C271C5" w:rsidR="21C3821A" w:rsidRDefault="21C3821A" w:rsidP="0066301C">
      <w:pPr>
        <w:spacing w:after="200"/>
        <w:jc w:val="both"/>
        <w:rPr>
          <w:rFonts w:ascii="Arial" w:eastAsia="Arial" w:hAnsi="Arial" w:cs="Arial"/>
          <w:i/>
          <w:iCs/>
          <w:sz w:val="20"/>
          <w:szCs w:val="20"/>
        </w:rPr>
      </w:pPr>
      <w:r w:rsidRPr="48425B6A">
        <w:rPr>
          <w:rFonts w:ascii="Arial" w:eastAsia="Arial" w:hAnsi="Arial" w:cs="Arial"/>
          <w:sz w:val="20"/>
          <w:szCs w:val="20"/>
        </w:rPr>
        <w:t xml:space="preserve">Dhakir, A. A., Fuadah, J., and Mohammad, H. A. (2014). The Effect of Exchange Rate Movements on Trade Balance: A Chronological Theoretical Review. </w:t>
      </w:r>
      <w:r w:rsidRPr="48425B6A">
        <w:rPr>
          <w:rFonts w:ascii="Arial" w:eastAsia="Arial" w:hAnsi="Arial" w:cs="Arial"/>
          <w:i/>
          <w:iCs/>
          <w:sz w:val="20"/>
          <w:szCs w:val="20"/>
        </w:rPr>
        <w:t>Economics Research International</w:t>
      </w:r>
      <w:r w:rsidRPr="48425B6A">
        <w:rPr>
          <w:rFonts w:ascii="Arial" w:eastAsia="Arial" w:hAnsi="Arial" w:cs="Arial"/>
          <w:sz w:val="20"/>
          <w:szCs w:val="20"/>
        </w:rPr>
        <w:t>. Hindawi Publishing Corporation</w:t>
      </w:r>
      <w:r w:rsidRPr="48425B6A">
        <w:rPr>
          <w:rFonts w:ascii="Arial" w:eastAsia="Arial" w:hAnsi="Arial" w:cs="Arial"/>
          <w:i/>
          <w:iCs/>
          <w:sz w:val="20"/>
          <w:szCs w:val="20"/>
        </w:rPr>
        <w:t xml:space="preserve">. </w:t>
      </w:r>
    </w:p>
    <w:p w14:paraId="6B9785CC" w14:textId="0CB5F797" w:rsidR="21C3821A" w:rsidRDefault="21C3821A" w:rsidP="0066301C">
      <w:pPr>
        <w:spacing w:after="200"/>
        <w:jc w:val="both"/>
        <w:rPr>
          <w:rFonts w:ascii="Arial" w:eastAsia="Arial" w:hAnsi="Arial" w:cs="Arial"/>
          <w:sz w:val="20"/>
          <w:szCs w:val="20"/>
        </w:rPr>
      </w:pPr>
      <w:r w:rsidRPr="48425B6A">
        <w:rPr>
          <w:rFonts w:ascii="Arial" w:eastAsia="Arial" w:hAnsi="Arial" w:cs="Arial"/>
          <w:sz w:val="20"/>
          <w:szCs w:val="20"/>
        </w:rPr>
        <w:t xml:space="preserve">Dhakir, A. A., Fuadah, J., and Mohammad, H. A. (2015). On The J-Curve Theory: The Literature and Further Proposed Improvements. </w:t>
      </w:r>
      <w:r w:rsidRPr="48425B6A">
        <w:rPr>
          <w:rFonts w:ascii="Arial" w:eastAsia="Arial" w:hAnsi="Arial" w:cs="Arial"/>
          <w:i/>
          <w:iCs/>
          <w:sz w:val="20"/>
          <w:szCs w:val="20"/>
        </w:rPr>
        <w:t xml:space="preserve">Economy, </w:t>
      </w:r>
      <w:r w:rsidRPr="48425B6A">
        <w:rPr>
          <w:rFonts w:ascii="Arial" w:eastAsia="Arial" w:hAnsi="Arial" w:cs="Arial"/>
          <w:sz w:val="20"/>
          <w:szCs w:val="20"/>
        </w:rPr>
        <w:t>Vol. 2(4), Pp: 64-70.</w:t>
      </w:r>
    </w:p>
    <w:p w14:paraId="2345BC97" w14:textId="312AE431" w:rsidR="21C3821A" w:rsidRDefault="21C3821A" w:rsidP="0066301C">
      <w:pPr>
        <w:spacing w:after="200"/>
        <w:jc w:val="both"/>
        <w:rPr>
          <w:rFonts w:ascii="Arial" w:eastAsia="Arial" w:hAnsi="Arial" w:cs="Arial"/>
          <w:sz w:val="20"/>
          <w:szCs w:val="20"/>
        </w:rPr>
      </w:pPr>
      <w:r w:rsidRPr="48425B6A">
        <w:rPr>
          <w:rFonts w:ascii="Arial" w:eastAsia="Arial" w:hAnsi="Arial" w:cs="Arial"/>
          <w:sz w:val="20"/>
          <w:szCs w:val="20"/>
        </w:rPr>
        <w:t xml:space="preserve">Diaz Alejandro, C. (1963). A Note on the Impact of Devaluation and the Redistributive Effect. </w:t>
      </w:r>
      <w:r w:rsidRPr="48425B6A">
        <w:rPr>
          <w:rFonts w:ascii="Arial" w:eastAsia="Arial" w:hAnsi="Arial" w:cs="Arial"/>
          <w:i/>
          <w:iCs/>
          <w:sz w:val="20"/>
          <w:szCs w:val="20"/>
        </w:rPr>
        <w:t xml:space="preserve">Journal of Political Economy, </w:t>
      </w:r>
      <w:r w:rsidRPr="48425B6A">
        <w:rPr>
          <w:rFonts w:ascii="Arial" w:eastAsia="Arial" w:hAnsi="Arial" w:cs="Arial"/>
          <w:sz w:val="20"/>
          <w:szCs w:val="20"/>
        </w:rPr>
        <w:t>Vol. 71, Pp:577-580.</w:t>
      </w:r>
    </w:p>
    <w:p w14:paraId="5EB46243" w14:textId="2BB14879" w:rsidR="21C3821A" w:rsidRDefault="21C3821A" w:rsidP="0066301C">
      <w:pPr>
        <w:spacing w:after="248"/>
        <w:jc w:val="both"/>
        <w:rPr>
          <w:rFonts w:ascii="Arial" w:eastAsia="Arial" w:hAnsi="Arial" w:cs="Arial"/>
          <w:sz w:val="20"/>
          <w:szCs w:val="20"/>
        </w:rPr>
      </w:pPr>
      <w:r w:rsidRPr="48425B6A">
        <w:rPr>
          <w:rFonts w:ascii="Arial" w:eastAsia="Arial" w:hAnsi="Arial" w:cs="Arial"/>
          <w:sz w:val="20"/>
          <w:szCs w:val="20"/>
        </w:rPr>
        <w:t>Diaz Alejandro, C. (1965). Exchange Rate Devaluation in a Semi-Industrialized Country Cambridge, United States: MIT Press.</w:t>
      </w:r>
    </w:p>
    <w:p w14:paraId="16D8741D" w14:textId="53F732F8" w:rsidR="21C3821A" w:rsidRDefault="21C3821A" w:rsidP="0066301C">
      <w:pPr>
        <w:spacing w:after="248"/>
        <w:jc w:val="both"/>
        <w:rPr>
          <w:rFonts w:ascii="Arial" w:eastAsia="Arial" w:hAnsi="Arial" w:cs="Arial"/>
          <w:sz w:val="20"/>
          <w:szCs w:val="20"/>
        </w:rPr>
      </w:pPr>
      <w:r w:rsidRPr="48425B6A">
        <w:rPr>
          <w:rFonts w:ascii="Arial" w:eastAsia="Arial" w:hAnsi="Arial" w:cs="Arial"/>
          <w:sz w:val="20"/>
          <w:szCs w:val="20"/>
        </w:rPr>
        <w:t xml:space="preserve">Diamandis, P.F., Georgoutsos, D.A, and Kouretas, G.P. (1996). Cointegration Tests of the Monetary Exchange Rate Model: The Canadian-US Dollars, 1970-1994. </w:t>
      </w:r>
      <w:r w:rsidRPr="48425B6A">
        <w:rPr>
          <w:rFonts w:ascii="Arial" w:eastAsia="Arial" w:hAnsi="Arial" w:cs="Arial"/>
          <w:i/>
          <w:iCs/>
          <w:sz w:val="20"/>
          <w:szCs w:val="20"/>
        </w:rPr>
        <w:t xml:space="preserve">International Economic Journal, </w:t>
      </w:r>
      <w:r w:rsidRPr="48425B6A">
        <w:rPr>
          <w:rFonts w:ascii="Arial" w:eastAsia="Arial" w:hAnsi="Arial" w:cs="Arial"/>
          <w:sz w:val="20"/>
          <w:szCs w:val="20"/>
        </w:rPr>
        <w:t>Vol 10 (4), Pp: 83-97.</w:t>
      </w:r>
    </w:p>
    <w:p w14:paraId="3610C6D9" w14:textId="6DE1B854" w:rsidR="21C3821A" w:rsidRDefault="21C3821A" w:rsidP="0066301C">
      <w:pPr>
        <w:spacing w:after="248"/>
        <w:jc w:val="both"/>
        <w:rPr>
          <w:rFonts w:ascii="Arial" w:eastAsia="Arial" w:hAnsi="Arial" w:cs="Arial"/>
          <w:sz w:val="20"/>
          <w:szCs w:val="20"/>
        </w:rPr>
      </w:pPr>
      <w:r w:rsidRPr="48425B6A">
        <w:rPr>
          <w:rFonts w:ascii="Arial" w:eastAsia="Arial" w:hAnsi="Arial" w:cs="Arial"/>
          <w:sz w:val="20"/>
          <w:szCs w:val="20"/>
        </w:rPr>
        <w:t xml:space="preserve">Dickerson, C. M. (2005). “Harmonizing Business Laws in Africa: OHADA Calls the Tune”. </w:t>
      </w:r>
      <w:r w:rsidRPr="48425B6A">
        <w:rPr>
          <w:rFonts w:ascii="Arial" w:eastAsia="Arial" w:hAnsi="Arial" w:cs="Arial"/>
          <w:i/>
          <w:iCs/>
          <w:sz w:val="20"/>
          <w:szCs w:val="20"/>
        </w:rPr>
        <w:t>Columbia Journal of Transnational Law</w:t>
      </w:r>
      <w:r w:rsidRPr="48425B6A">
        <w:rPr>
          <w:rFonts w:ascii="Arial" w:eastAsia="Arial" w:hAnsi="Arial" w:cs="Arial"/>
          <w:sz w:val="20"/>
          <w:szCs w:val="20"/>
        </w:rPr>
        <w:t>, Vol 44 (1).</w:t>
      </w:r>
    </w:p>
    <w:p w14:paraId="31AB3AC4" w14:textId="2D8DDAE0" w:rsidR="21C3821A" w:rsidRDefault="21C3821A" w:rsidP="0066301C">
      <w:pPr>
        <w:spacing w:after="200"/>
        <w:jc w:val="both"/>
        <w:rPr>
          <w:rFonts w:ascii="Arial" w:eastAsia="Arial" w:hAnsi="Arial" w:cs="Arial"/>
          <w:sz w:val="20"/>
          <w:szCs w:val="20"/>
        </w:rPr>
      </w:pPr>
      <w:r w:rsidRPr="48425B6A">
        <w:rPr>
          <w:rFonts w:ascii="Arial" w:eastAsia="Arial" w:hAnsi="Arial" w:cs="Arial"/>
          <w:sz w:val="20"/>
          <w:szCs w:val="20"/>
        </w:rPr>
        <w:t xml:space="preserve">Dollar, D. (1997) ‘Outward-Oriented Developing Economies Really Do Grow More Rapidly’. </w:t>
      </w:r>
      <w:r w:rsidRPr="48425B6A">
        <w:rPr>
          <w:rFonts w:ascii="Arial" w:eastAsia="Arial" w:hAnsi="Arial" w:cs="Arial"/>
          <w:i/>
          <w:iCs/>
          <w:sz w:val="20"/>
          <w:szCs w:val="20"/>
        </w:rPr>
        <w:t>Economic Development and Cultural Change</w:t>
      </w:r>
      <w:r w:rsidRPr="48425B6A">
        <w:rPr>
          <w:rFonts w:ascii="Arial" w:eastAsia="Arial" w:hAnsi="Arial" w:cs="Arial"/>
          <w:sz w:val="20"/>
          <w:szCs w:val="20"/>
        </w:rPr>
        <w:t>, 40 (3), Pp. 545–66.</w:t>
      </w:r>
    </w:p>
    <w:p w14:paraId="5DFEE97F" w14:textId="6A7E5B2C" w:rsidR="21C3821A" w:rsidRDefault="21C3821A" w:rsidP="0066301C">
      <w:pPr>
        <w:spacing w:after="200"/>
        <w:jc w:val="both"/>
        <w:rPr>
          <w:rFonts w:ascii="Arial" w:eastAsia="Arial" w:hAnsi="Arial" w:cs="Arial"/>
          <w:sz w:val="20"/>
          <w:szCs w:val="20"/>
        </w:rPr>
      </w:pPr>
      <w:r w:rsidRPr="48425B6A">
        <w:rPr>
          <w:rFonts w:ascii="Arial" w:eastAsia="Arial" w:hAnsi="Arial" w:cs="Arial"/>
          <w:sz w:val="20"/>
          <w:szCs w:val="20"/>
        </w:rPr>
        <w:t xml:space="preserve">Dongfack, L.P.S and Ouyang, H. (2019). The Impact of Real Exchange Rate Depreciation on Cameroon’s Trade Balance: Is devaluation a Remedy for Persistent Trade Deficits? </w:t>
      </w:r>
      <w:r w:rsidRPr="48425B6A">
        <w:rPr>
          <w:rFonts w:ascii="Arial" w:eastAsia="Arial" w:hAnsi="Arial" w:cs="Arial"/>
          <w:i/>
          <w:iCs/>
          <w:sz w:val="20"/>
          <w:szCs w:val="20"/>
        </w:rPr>
        <w:t xml:space="preserve">Journal of Economic Integration, </w:t>
      </w:r>
      <w:r w:rsidRPr="48425B6A">
        <w:rPr>
          <w:rFonts w:ascii="Arial" w:eastAsia="Arial" w:hAnsi="Arial" w:cs="Arial"/>
          <w:sz w:val="20"/>
          <w:szCs w:val="20"/>
        </w:rPr>
        <w:t>Vol34 (1), Pp: 189-213.</w:t>
      </w:r>
    </w:p>
    <w:p w14:paraId="2F0A50EB" w14:textId="73A6883F" w:rsidR="21C3821A" w:rsidRDefault="21C3821A" w:rsidP="0066301C">
      <w:pPr>
        <w:spacing w:after="200"/>
        <w:jc w:val="both"/>
        <w:rPr>
          <w:rFonts w:ascii="Arial" w:eastAsia="Arial" w:hAnsi="Arial" w:cs="Arial"/>
          <w:sz w:val="20"/>
          <w:szCs w:val="20"/>
        </w:rPr>
      </w:pPr>
      <w:r w:rsidRPr="48425B6A">
        <w:rPr>
          <w:rFonts w:ascii="Arial" w:eastAsia="Arial" w:hAnsi="Arial" w:cs="Arial"/>
          <w:sz w:val="20"/>
          <w:szCs w:val="20"/>
        </w:rPr>
        <w:t xml:space="preserve">Dooley, L, Lupton, G and O’Sullivan, D (2005). Multiple Project Management: A Modern Competitive Necessity. </w:t>
      </w:r>
      <w:r w:rsidRPr="48425B6A">
        <w:rPr>
          <w:rFonts w:ascii="Arial" w:eastAsia="Arial" w:hAnsi="Arial" w:cs="Arial"/>
          <w:i/>
          <w:iCs/>
          <w:sz w:val="20"/>
          <w:szCs w:val="20"/>
        </w:rPr>
        <w:t>Journal of Manufacturing Technology Management</w:t>
      </w:r>
      <w:r w:rsidRPr="48425B6A">
        <w:rPr>
          <w:rFonts w:ascii="Arial" w:eastAsia="Arial" w:hAnsi="Arial" w:cs="Arial"/>
          <w:sz w:val="20"/>
          <w:szCs w:val="20"/>
        </w:rPr>
        <w:t xml:space="preserve">, 16(5), 2005, 466- 482. </w:t>
      </w:r>
    </w:p>
    <w:p w14:paraId="56FB0AD4" w14:textId="65CB3F30" w:rsidR="21C3821A" w:rsidRDefault="21C3821A" w:rsidP="0066301C">
      <w:pPr>
        <w:spacing w:after="200"/>
        <w:jc w:val="both"/>
        <w:rPr>
          <w:rFonts w:ascii="Arial" w:eastAsia="Arial" w:hAnsi="Arial" w:cs="Arial"/>
          <w:sz w:val="20"/>
          <w:szCs w:val="20"/>
        </w:rPr>
      </w:pPr>
      <w:r w:rsidRPr="48425B6A">
        <w:rPr>
          <w:rFonts w:ascii="Arial" w:eastAsia="Arial" w:hAnsi="Arial" w:cs="Arial"/>
          <w:sz w:val="20"/>
          <w:szCs w:val="20"/>
        </w:rPr>
        <w:t xml:space="preserve">Dornbusch, R. (1974). Tariffs and Non-traded Goods. </w:t>
      </w:r>
      <w:r w:rsidRPr="48425B6A">
        <w:rPr>
          <w:rFonts w:ascii="Arial" w:eastAsia="Arial" w:hAnsi="Arial" w:cs="Arial"/>
          <w:i/>
          <w:iCs/>
          <w:sz w:val="20"/>
          <w:szCs w:val="20"/>
        </w:rPr>
        <w:t>Journal of International Economics,</w:t>
      </w:r>
      <w:r w:rsidRPr="48425B6A">
        <w:rPr>
          <w:rFonts w:ascii="Arial" w:eastAsia="Arial" w:hAnsi="Arial" w:cs="Arial"/>
          <w:sz w:val="20"/>
          <w:szCs w:val="20"/>
        </w:rPr>
        <w:t xml:space="preserve"> Vol. 4(2), Pp: 177-185. </w:t>
      </w:r>
    </w:p>
    <w:p w14:paraId="13FADFF5" w14:textId="44F0D69E" w:rsidR="21C3821A" w:rsidRDefault="21C3821A" w:rsidP="0066301C">
      <w:pPr>
        <w:spacing w:after="200"/>
        <w:jc w:val="both"/>
        <w:rPr>
          <w:rFonts w:ascii="Arial" w:eastAsia="Arial" w:hAnsi="Arial" w:cs="Arial"/>
          <w:sz w:val="20"/>
          <w:szCs w:val="20"/>
        </w:rPr>
      </w:pPr>
      <w:r w:rsidRPr="48425B6A">
        <w:rPr>
          <w:rFonts w:ascii="Arial" w:eastAsia="Arial" w:hAnsi="Arial" w:cs="Arial"/>
          <w:sz w:val="20"/>
          <w:szCs w:val="20"/>
        </w:rPr>
        <w:t xml:space="preserve">Dornbusch, R. (1980). Exchange Rate Economics: Where do we Start? </w:t>
      </w:r>
      <w:r w:rsidRPr="48425B6A">
        <w:rPr>
          <w:rFonts w:ascii="Arial" w:eastAsia="Arial" w:hAnsi="Arial" w:cs="Arial"/>
          <w:i/>
          <w:iCs/>
          <w:sz w:val="20"/>
          <w:szCs w:val="20"/>
        </w:rPr>
        <w:t xml:space="preserve">Brookings Papers on Economics Activity, </w:t>
      </w:r>
      <w:r w:rsidRPr="48425B6A">
        <w:rPr>
          <w:rFonts w:ascii="Arial" w:eastAsia="Arial" w:hAnsi="Arial" w:cs="Arial"/>
          <w:sz w:val="20"/>
          <w:szCs w:val="20"/>
        </w:rPr>
        <w:t>No.1, Pp: 143 – 185.</w:t>
      </w:r>
    </w:p>
    <w:p w14:paraId="3BAC8461" w14:textId="52C5A183" w:rsidR="21C3821A" w:rsidRDefault="21C3821A" w:rsidP="0066301C">
      <w:pPr>
        <w:spacing w:after="200"/>
        <w:jc w:val="both"/>
        <w:rPr>
          <w:rFonts w:ascii="Arial" w:eastAsia="Arial" w:hAnsi="Arial" w:cs="Arial"/>
          <w:sz w:val="20"/>
          <w:szCs w:val="20"/>
        </w:rPr>
      </w:pPr>
      <w:r w:rsidRPr="48425B6A">
        <w:rPr>
          <w:rFonts w:ascii="Arial" w:eastAsia="Arial" w:hAnsi="Arial" w:cs="Arial"/>
          <w:sz w:val="20"/>
          <w:szCs w:val="20"/>
        </w:rPr>
        <w:lastRenderedPageBreak/>
        <w:t xml:space="preserve">Dornbusch, R. (1996). Expectations and Exchange Rate Dynamics. </w:t>
      </w:r>
      <w:r w:rsidRPr="48425B6A">
        <w:rPr>
          <w:rFonts w:ascii="Arial" w:eastAsia="Arial" w:hAnsi="Arial" w:cs="Arial"/>
          <w:i/>
          <w:iCs/>
          <w:sz w:val="20"/>
          <w:szCs w:val="20"/>
        </w:rPr>
        <w:t xml:space="preserve">The Journal of Political Economy, </w:t>
      </w:r>
      <w:r w:rsidRPr="48425B6A">
        <w:rPr>
          <w:rFonts w:ascii="Arial" w:eastAsia="Arial" w:hAnsi="Arial" w:cs="Arial"/>
          <w:sz w:val="20"/>
          <w:szCs w:val="20"/>
        </w:rPr>
        <w:t>Vol 84 (6), Pp:1161-1176.</w:t>
      </w:r>
    </w:p>
    <w:p w14:paraId="65135022" w14:textId="7A8519A2" w:rsidR="21C3821A" w:rsidRDefault="21C3821A" w:rsidP="0066301C">
      <w:pPr>
        <w:spacing w:after="200"/>
        <w:jc w:val="both"/>
        <w:rPr>
          <w:rFonts w:ascii="Arial" w:eastAsia="Arial" w:hAnsi="Arial" w:cs="Arial"/>
          <w:sz w:val="20"/>
          <w:szCs w:val="20"/>
        </w:rPr>
      </w:pPr>
      <w:r w:rsidRPr="48425B6A">
        <w:rPr>
          <w:rFonts w:ascii="Arial" w:eastAsia="Arial" w:hAnsi="Arial" w:cs="Arial"/>
          <w:sz w:val="20"/>
          <w:szCs w:val="20"/>
        </w:rPr>
        <w:t xml:space="preserve">Doroodian Sr, K., Jung, C., and Boyd, R. (1999). The J-curve Effect and US Agricultural and Industrial Trade. </w:t>
      </w:r>
      <w:r w:rsidRPr="48425B6A">
        <w:rPr>
          <w:rFonts w:ascii="Arial" w:eastAsia="Arial" w:hAnsi="Arial" w:cs="Arial"/>
          <w:i/>
          <w:iCs/>
          <w:sz w:val="20"/>
          <w:szCs w:val="20"/>
        </w:rPr>
        <w:t xml:space="preserve">Applied Economics, </w:t>
      </w:r>
      <w:r w:rsidRPr="48425B6A">
        <w:rPr>
          <w:rFonts w:ascii="Arial" w:eastAsia="Arial" w:hAnsi="Arial" w:cs="Arial"/>
          <w:sz w:val="20"/>
          <w:szCs w:val="20"/>
        </w:rPr>
        <w:t xml:space="preserve">Vol. 31(6), Pp: 687 – 695.  </w:t>
      </w:r>
    </w:p>
    <w:p w14:paraId="7E716883" w14:textId="62295A84" w:rsidR="21C3821A" w:rsidRDefault="21C3821A" w:rsidP="0066301C">
      <w:pPr>
        <w:tabs>
          <w:tab w:val="left" w:pos="720"/>
          <w:tab w:val="left" w:pos="1440"/>
          <w:tab w:val="left" w:pos="2160"/>
        </w:tabs>
        <w:spacing w:after="240"/>
        <w:jc w:val="both"/>
        <w:rPr>
          <w:rFonts w:ascii="Arial" w:eastAsia="Arial" w:hAnsi="Arial" w:cs="Arial"/>
          <w:i/>
          <w:iCs/>
          <w:sz w:val="20"/>
          <w:szCs w:val="20"/>
        </w:rPr>
      </w:pPr>
      <w:r w:rsidRPr="48425B6A">
        <w:rPr>
          <w:rFonts w:ascii="Arial" w:eastAsia="Arial" w:hAnsi="Arial" w:cs="Arial"/>
          <w:sz w:val="20"/>
          <w:szCs w:val="20"/>
        </w:rPr>
        <w:t xml:space="preserve">Driver, R. L. and Westaway, P. F. (2005). Concept of Equilibrium Exchange Rate. </w:t>
      </w:r>
      <w:r w:rsidRPr="48425B6A">
        <w:rPr>
          <w:rFonts w:ascii="Arial" w:eastAsia="Arial" w:hAnsi="Arial" w:cs="Arial"/>
          <w:i/>
          <w:iCs/>
          <w:sz w:val="20"/>
          <w:szCs w:val="20"/>
        </w:rPr>
        <w:t xml:space="preserve">Bank of England Publications Working Paper No. 248. </w:t>
      </w:r>
    </w:p>
    <w:p w14:paraId="2856CCCA" w14:textId="623B5236" w:rsidR="21C3821A" w:rsidRDefault="21C3821A" w:rsidP="0066301C">
      <w:pPr>
        <w:spacing w:after="200"/>
        <w:jc w:val="both"/>
        <w:rPr>
          <w:rFonts w:ascii="Arial" w:eastAsia="Arial" w:hAnsi="Arial" w:cs="Arial"/>
          <w:sz w:val="20"/>
          <w:szCs w:val="20"/>
        </w:rPr>
      </w:pPr>
      <w:r w:rsidRPr="48425B6A">
        <w:rPr>
          <w:rFonts w:ascii="Arial" w:eastAsia="Arial" w:hAnsi="Arial" w:cs="Arial"/>
          <w:sz w:val="20"/>
          <w:szCs w:val="20"/>
        </w:rPr>
        <w:t xml:space="preserve">Durdu, C. B., Mendoza, E. G., and Terrones, M. E. (2009). Precautionary Demand for Foreign Assets in Sudden Stop economies: An Assessment of the New Mercantilism. </w:t>
      </w:r>
      <w:r w:rsidRPr="48425B6A">
        <w:rPr>
          <w:rFonts w:ascii="Arial" w:eastAsia="Arial" w:hAnsi="Arial" w:cs="Arial"/>
          <w:i/>
          <w:iCs/>
          <w:sz w:val="20"/>
          <w:szCs w:val="20"/>
        </w:rPr>
        <w:t>Journal of Development Economics,</w:t>
      </w:r>
      <w:r w:rsidRPr="48425B6A">
        <w:rPr>
          <w:rFonts w:ascii="Arial" w:eastAsia="Arial" w:hAnsi="Arial" w:cs="Arial"/>
          <w:sz w:val="20"/>
          <w:szCs w:val="20"/>
        </w:rPr>
        <w:t xml:space="preserve"> Vol. 89, Pp: 194-209. </w:t>
      </w:r>
    </w:p>
    <w:p w14:paraId="60D51586" w14:textId="5AB35699" w:rsidR="21C3821A" w:rsidRDefault="21C3821A" w:rsidP="0066301C">
      <w:pPr>
        <w:spacing w:after="200"/>
        <w:jc w:val="both"/>
        <w:rPr>
          <w:rFonts w:ascii="Arial" w:eastAsia="Arial" w:hAnsi="Arial" w:cs="Arial"/>
          <w:i/>
          <w:iCs/>
          <w:sz w:val="20"/>
          <w:szCs w:val="20"/>
        </w:rPr>
      </w:pPr>
      <w:r w:rsidRPr="48425B6A">
        <w:rPr>
          <w:rFonts w:ascii="Arial" w:eastAsia="Arial" w:hAnsi="Arial" w:cs="Arial"/>
          <w:sz w:val="20"/>
          <w:szCs w:val="20"/>
        </w:rPr>
        <w:t xml:space="preserve">Duygu, Y. K. (2014). The Real Exchange Rate and Economic Growth. </w:t>
      </w:r>
      <w:r w:rsidRPr="48425B6A">
        <w:rPr>
          <w:rFonts w:ascii="Arial" w:eastAsia="Arial" w:hAnsi="Arial" w:cs="Arial"/>
          <w:i/>
          <w:iCs/>
          <w:sz w:val="20"/>
          <w:szCs w:val="20"/>
        </w:rPr>
        <w:t xml:space="preserve"> A Thesis Submitted to the Graduate School of Social Sciences of Middle East Technical University.</w:t>
      </w:r>
    </w:p>
    <w:p w14:paraId="0637C494" w14:textId="3DCDEAFC" w:rsidR="21C3821A" w:rsidRDefault="21C3821A" w:rsidP="0066301C">
      <w:pPr>
        <w:spacing w:after="200"/>
        <w:jc w:val="both"/>
        <w:rPr>
          <w:rFonts w:ascii="Arial" w:eastAsia="Arial" w:hAnsi="Arial" w:cs="Arial"/>
          <w:sz w:val="20"/>
          <w:szCs w:val="20"/>
        </w:rPr>
      </w:pPr>
      <w:r w:rsidRPr="48425B6A">
        <w:rPr>
          <w:rFonts w:ascii="Arial" w:eastAsia="Arial" w:hAnsi="Arial" w:cs="Arial"/>
          <w:sz w:val="20"/>
          <w:szCs w:val="20"/>
        </w:rPr>
        <w:t xml:space="preserve">Easterly, W. (2005). Can Foreign Aid Save Africa. </w:t>
      </w:r>
      <w:r w:rsidRPr="48425B6A">
        <w:rPr>
          <w:rFonts w:ascii="Arial" w:eastAsia="Arial" w:hAnsi="Arial" w:cs="Arial"/>
          <w:i/>
          <w:iCs/>
          <w:sz w:val="20"/>
          <w:szCs w:val="20"/>
        </w:rPr>
        <w:t xml:space="preserve">Clemens Lecture Series </w:t>
      </w:r>
      <w:r w:rsidRPr="48425B6A">
        <w:rPr>
          <w:rFonts w:ascii="Arial" w:eastAsia="Arial" w:hAnsi="Arial" w:cs="Arial"/>
          <w:sz w:val="20"/>
          <w:szCs w:val="20"/>
        </w:rPr>
        <w:t>(Saint John’s University, Vol. 17, Pp: 1-28.</w:t>
      </w:r>
    </w:p>
    <w:p w14:paraId="059C197A" w14:textId="5BDCF6CD" w:rsidR="21C3821A" w:rsidRDefault="21C3821A" w:rsidP="0066301C">
      <w:pPr>
        <w:spacing w:after="200"/>
        <w:jc w:val="both"/>
        <w:rPr>
          <w:rFonts w:ascii="Arial" w:eastAsia="Arial" w:hAnsi="Arial" w:cs="Arial"/>
          <w:sz w:val="20"/>
          <w:szCs w:val="20"/>
        </w:rPr>
      </w:pPr>
      <w:r w:rsidRPr="48425B6A">
        <w:rPr>
          <w:rFonts w:ascii="Arial" w:eastAsia="Arial" w:hAnsi="Arial" w:cs="Arial"/>
          <w:sz w:val="20"/>
          <w:szCs w:val="20"/>
        </w:rPr>
        <w:t xml:space="preserve">Edwards, S. (1986). Are Devaluations Contractionary? </w:t>
      </w:r>
      <w:r w:rsidRPr="48425B6A">
        <w:rPr>
          <w:rFonts w:ascii="Arial" w:eastAsia="Arial" w:hAnsi="Arial" w:cs="Arial"/>
          <w:i/>
          <w:iCs/>
          <w:sz w:val="20"/>
          <w:szCs w:val="20"/>
        </w:rPr>
        <w:t>Review of Economics and Statistics</w:t>
      </w:r>
      <w:r w:rsidRPr="48425B6A">
        <w:rPr>
          <w:rFonts w:ascii="Arial" w:eastAsia="Arial" w:hAnsi="Arial" w:cs="Arial"/>
          <w:sz w:val="20"/>
          <w:szCs w:val="20"/>
        </w:rPr>
        <w:t xml:space="preserve">, Vol. 68, Pp: 501-508. </w:t>
      </w:r>
      <w:hyperlink r:id="rId125">
        <w:r w:rsidRPr="48425B6A">
          <w:rPr>
            <w:rStyle w:val="Hyperlink"/>
            <w:rFonts w:ascii="Arial" w:eastAsia="Arial" w:hAnsi="Arial" w:cs="Arial"/>
            <w:sz w:val="20"/>
            <w:szCs w:val="20"/>
          </w:rPr>
          <w:t>http://dx.doi.org/10.2307/1926028</w:t>
        </w:r>
      </w:hyperlink>
    </w:p>
    <w:p w14:paraId="04525E6A" w14:textId="3569B021" w:rsidR="21C3821A" w:rsidRDefault="21C3821A" w:rsidP="0066301C">
      <w:pPr>
        <w:spacing w:after="200"/>
        <w:jc w:val="both"/>
        <w:rPr>
          <w:rFonts w:ascii="Arial" w:eastAsia="Arial" w:hAnsi="Arial" w:cs="Arial"/>
          <w:i/>
          <w:iCs/>
          <w:sz w:val="20"/>
          <w:szCs w:val="20"/>
          <w:lang w:val="en-US"/>
        </w:rPr>
      </w:pPr>
      <w:r w:rsidRPr="48425B6A">
        <w:rPr>
          <w:rFonts w:ascii="Arial" w:eastAsia="Arial" w:hAnsi="Arial" w:cs="Arial"/>
          <w:sz w:val="20"/>
          <w:szCs w:val="20"/>
          <w:lang w:val="en-US"/>
        </w:rPr>
        <w:t xml:space="preserve">Edwards, S. (1989a). “Real Exchange Rates, Devaluation, and Adjustment: Exchange Rate Policy in Developing Countries.” </w:t>
      </w:r>
      <w:r w:rsidRPr="48425B6A">
        <w:rPr>
          <w:rFonts w:ascii="Arial" w:eastAsia="Arial" w:hAnsi="Arial" w:cs="Arial"/>
          <w:i/>
          <w:iCs/>
          <w:sz w:val="20"/>
          <w:szCs w:val="20"/>
          <w:lang w:val="en-US"/>
        </w:rPr>
        <w:t>The MIT Press: Cambridge, Massachussetts &amp; London, England.</w:t>
      </w:r>
    </w:p>
    <w:p w14:paraId="72CF43F6" w14:textId="236F170F" w:rsidR="21C3821A" w:rsidRDefault="21C3821A" w:rsidP="0066301C">
      <w:pPr>
        <w:spacing w:after="200"/>
        <w:jc w:val="both"/>
        <w:rPr>
          <w:rFonts w:ascii="Arial" w:eastAsia="Arial" w:hAnsi="Arial" w:cs="Arial"/>
          <w:i/>
          <w:iCs/>
          <w:sz w:val="20"/>
          <w:szCs w:val="20"/>
          <w:lang w:val="en-US"/>
        </w:rPr>
      </w:pPr>
      <w:r w:rsidRPr="48425B6A">
        <w:rPr>
          <w:rFonts w:ascii="Arial" w:eastAsia="Arial" w:hAnsi="Arial" w:cs="Arial"/>
          <w:sz w:val="20"/>
          <w:szCs w:val="20"/>
          <w:lang w:val="en-US"/>
        </w:rPr>
        <w:t xml:space="preserve">Edwards, S. (1989b). “Real Exchange Rates, Devaluation, and Adjustment: Exchange Rate Policy in Developing Countries.” The MIT Press: </w:t>
      </w:r>
      <w:r w:rsidRPr="48425B6A">
        <w:rPr>
          <w:rFonts w:ascii="Arial" w:eastAsia="Arial" w:hAnsi="Arial" w:cs="Arial"/>
          <w:i/>
          <w:iCs/>
          <w:sz w:val="20"/>
          <w:szCs w:val="20"/>
          <w:lang w:val="en-US"/>
        </w:rPr>
        <w:t>Cambridge, Massachussetts &amp; London, England.</w:t>
      </w:r>
    </w:p>
    <w:p w14:paraId="7D37B49F" w14:textId="327FF2F5" w:rsidR="21C3821A" w:rsidRDefault="21C3821A" w:rsidP="0066301C">
      <w:pPr>
        <w:spacing w:after="200"/>
        <w:jc w:val="both"/>
        <w:rPr>
          <w:rFonts w:ascii="Arial" w:eastAsia="Arial" w:hAnsi="Arial" w:cs="Arial"/>
          <w:sz w:val="20"/>
          <w:szCs w:val="20"/>
          <w:lang w:val="en-US"/>
        </w:rPr>
      </w:pPr>
      <w:r w:rsidRPr="48425B6A">
        <w:rPr>
          <w:rFonts w:ascii="Arial" w:eastAsia="Arial" w:hAnsi="Arial" w:cs="Arial"/>
          <w:sz w:val="20"/>
          <w:szCs w:val="20"/>
          <w:lang w:val="en-US"/>
        </w:rPr>
        <w:t>Edwards, S. (1989). Exchange Rate Misalignment in Developing Countries</w:t>
      </w:r>
      <w:r w:rsidRPr="48425B6A">
        <w:rPr>
          <w:rFonts w:ascii="Arial" w:eastAsia="Arial" w:hAnsi="Arial" w:cs="Arial"/>
          <w:i/>
          <w:iCs/>
          <w:sz w:val="20"/>
          <w:szCs w:val="20"/>
          <w:lang w:val="en-US"/>
        </w:rPr>
        <w:t>.</w:t>
      </w:r>
      <w:r w:rsidRPr="48425B6A">
        <w:rPr>
          <w:rFonts w:ascii="Arial" w:eastAsia="Arial" w:hAnsi="Arial" w:cs="Arial"/>
          <w:sz w:val="20"/>
          <w:szCs w:val="20"/>
          <w:lang w:val="en-US"/>
        </w:rPr>
        <w:t xml:space="preserve"> </w:t>
      </w:r>
      <w:r w:rsidRPr="48425B6A">
        <w:rPr>
          <w:rFonts w:ascii="Arial" w:eastAsia="Arial" w:hAnsi="Arial" w:cs="Arial"/>
          <w:i/>
          <w:iCs/>
          <w:sz w:val="20"/>
          <w:szCs w:val="20"/>
          <w:lang w:val="en-US"/>
        </w:rPr>
        <w:t>The World Bank Research Observer</w:t>
      </w:r>
      <w:r w:rsidRPr="48425B6A">
        <w:rPr>
          <w:rFonts w:ascii="Arial" w:eastAsia="Arial" w:hAnsi="Arial" w:cs="Arial"/>
          <w:sz w:val="20"/>
          <w:szCs w:val="20"/>
          <w:lang w:val="en-US"/>
        </w:rPr>
        <w:t xml:space="preserve">, Vol 4 (1), Pp: 3 – 21.  </w:t>
      </w:r>
    </w:p>
    <w:p w14:paraId="2B61C91D" w14:textId="615D71B1" w:rsidR="21C3821A" w:rsidRDefault="21C3821A" w:rsidP="0066301C">
      <w:pPr>
        <w:spacing w:after="200"/>
        <w:jc w:val="both"/>
        <w:rPr>
          <w:rFonts w:ascii="Arial" w:eastAsia="Arial" w:hAnsi="Arial" w:cs="Arial"/>
          <w:sz w:val="20"/>
          <w:szCs w:val="20"/>
          <w:lang w:val="en-US"/>
        </w:rPr>
      </w:pPr>
      <w:r w:rsidRPr="48425B6A">
        <w:rPr>
          <w:rFonts w:ascii="Arial" w:eastAsia="Arial" w:hAnsi="Arial" w:cs="Arial"/>
          <w:sz w:val="20"/>
          <w:szCs w:val="20"/>
          <w:lang w:val="en-US"/>
        </w:rPr>
        <w:t xml:space="preserve">Eita, J. H. and Sichei, M. M. (2006). Estimating the Equilibrium Real Exchange Rate for Namibia. </w:t>
      </w:r>
      <w:r w:rsidRPr="48425B6A">
        <w:rPr>
          <w:rFonts w:ascii="Arial" w:eastAsia="Arial" w:hAnsi="Arial" w:cs="Arial"/>
          <w:i/>
          <w:iCs/>
          <w:sz w:val="20"/>
          <w:szCs w:val="20"/>
          <w:lang w:val="en-US"/>
        </w:rPr>
        <w:t>Department of Economics Working Paper Series.</w:t>
      </w:r>
      <w:r w:rsidRPr="48425B6A">
        <w:rPr>
          <w:rFonts w:ascii="Arial" w:eastAsia="Arial" w:hAnsi="Arial" w:cs="Arial"/>
          <w:sz w:val="20"/>
          <w:szCs w:val="20"/>
          <w:lang w:val="en-US"/>
        </w:rPr>
        <w:t xml:space="preserve"> University of Pretoria.</w:t>
      </w:r>
    </w:p>
    <w:p w14:paraId="36A015D8" w14:textId="4A63CCC2" w:rsidR="21C3821A" w:rsidRPr="00EE025F" w:rsidRDefault="21C3821A" w:rsidP="0066301C">
      <w:pPr>
        <w:spacing w:after="200"/>
        <w:jc w:val="both"/>
        <w:rPr>
          <w:rFonts w:ascii="Arial" w:eastAsia="Arial" w:hAnsi="Arial" w:cs="Arial"/>
          <w:sz w:val="20"/>
          <w:szCs w:val="20"/>
          <w:lang w:val="pt-BR"/>
        </w:rPr>
      </w:pPr>
      <w:r w:rsidRPr="48425B6A">
        <w:rPr>
          <w:rFonts w:ascii="Arial" w:eastAsia="Arial" w:hAnsi="Arial" w:cs="Arial"/>
          <w:sz w:val="20"/>
          <w:szCs w:val="20"/>
        </w:rPr>
        <w:t xml:space="preserve">Elbadawi, I., Kaltani, L. and Soto, R. (2009). Aid, Real Exchange Rate Misalignment and Economic Performance in Sub-Saharan Africa. </w:t>
      </w:r>
      <w:r w:rsidRPr="00EE025F">
        <w:rPr>
          <w:rFonts w:ascii="Arial" w:eastAsia="Arial" w:hAnsi="Arial" w:cs="Arial"/>
          <w:sz w:val="20"/>
          <w:szCs w:val="20"/>
          <w:lang w:val="pt-BR"/>
        </w:rPr>
        <w:t xml:space="preserve">Documentos de Trabajo 368. </w:t>
      </w:r>
      <w:r w:rsidRPr="00EE025F">
        <w:rPr>
          <w:rFonts w:ascii="Arial" w:eastAsia="Arial" w:hAnsi="Arial" w:cs="Arial"/>
          <w:i/>
          <w:iCs/>
          <w:sz w:val="20"/>
          <w:szCs w:val="20"/>
          <w:lang w:val="pt-BR"/>
        </w:rPr>
        <w:t>Instituto de Economia, Ponti</w:t>
      </w:r>
      <w:r w:rsidRPr="48425B6A">
        <w:rPr>
          <w:rFonts w:ascii="Arial" w:eastAsia="Arial" w:hAnsi="Arial" w:cs="Arial"/>
          <w:i/>
          <w:iCs/>
          <w:sz w:val="20"/>
          <w:szCs w:val="20"/>
        </w:rPr>
        <w:t>ﬁ</w:t>
      </w:r>
      <w:r w:rsidRPr="00EE025F">
        <w:rPr>
          <w:rFonts w:ascii="Arial" w:eastAsia="Arial" w:hAnsi="Arial" w:cs="Arial"/>
          <w:i/>
          <w:iCs/>
          <w:sz w:val="20"/>
          <w:szCs w:val="20"/>
          <w:lang w:val="pt-BR"/>
        </w:rPr>
        <w:t>cia</w:t>
      </w:r>
      <w:r w:rsidRPr="00EE025F">
        <w:rPr>
          <w:rFonts w:ascii="Arial" w:eastAsia="Arial" w:hAnsi="Arial" w:cs="Arial"/>
          <w:sz w:val="20"/>
          <w:szCs w:val="20"/>
          <w:lang w:val="pt-BR"/>
        </w:rPr>
        <w:t xml:space="preserve"> Universidad Católica de Chile.</w:t>
      </w:r>
    </w:p>
    <w:p w14:paraId="3454381A" w14:textId="1EBBFBCF" w:rsidR="21C3821A" w:rsidRDefault="21C3821A" w:rsidP="0066301C">
      <w:pPr>
        <w:spacing w:after="200"/>
        <w:jc w:val="both"/>
        <w:rPr>
          <w:rFonts w:ascii="Arial" w:eastAsia="Arial" w:hAnsi="Arial" w:cs="Arial"/>
          <w:sz w:val="20"/>
          <w:szCs w:val="20"/>
          <w:lang w:val="en-US"/>
        </w:rPr>
      </w:pPr>
      <w:r w:rsidRPr="48425B6A">
        <w:rPr>
          <w:rFonts w:ascii="Arial" w:eastAsia="Arial" w:hAnsi="Arial" w:cs="Arial"/>
          <w:sz w:val="20"/>
          <w:szCs w:val="20"/>
          <w:lang w:val="en-US"/>
        </w:rPr>
        <w:t xml:space="preserve">Elbadawi, I.A. (1994). Estimating Long-run Equilibrium Exchange Rates. In: Williamson, J. (Ed.), Estimating Equilibrium Exchange Rates. </w:t>
      </w:r>
      <w:r w:rsidRPr="48425B6A">
        <w:rPr>
          <w:rFonts w:ascii="Arial" w:eastAsia="Arial" w:hAnsi="Arial" w:cs="Arial"/>
          <w:i/>
          <w:iCs/>
          <w:sz w:val="20"/>
          <w:szCs w:val="20"/>
          <w:lang w:val="en-US"/>
        </w:rPr>
        <w:t>Institute for International Economics</w:t>
      </w:r>
      <w:r w:rsidRPr="48425B6A">
        <w:rPr>
          <w:rFonts w:ascii="Arial" w:eastAsia="Arial" w:hAnsi="Arial" w:cs="Arial"/>
          <w:sz w:val="20"/>
          <w:szCs w:val="20"/>
          <w:lang w:val="en-US"/>
        </w:rPr>
        <w:t>, Washington D.C., Pp. 93–132</w:t>
      </w:r>
    </w:p>
    <w:p w14:paraId="3EA5ADB3" w14:textId="128379CE" w:rsidR="21C3821A" w:rsidRDefault="21C3821A" w:rsidP="0066301C">
      <w:pPr>
        <w:spacing w:after="200"/>
        <w:jc w:val="both"/>
        <w:rPr>
          <w:rFonts w:ascii="Arial" w:eastAsia="Arial" w:hAnsi="Arial" w:cs="Arial"/>
          <w:sz w:val="20"/>
          <w:szCs w:val="20"/>
          <w:lang w:val="en-US"/>
        </w:rPr>
      </w:pPr>
      <w:r w:rsidRPr="48425B6A">
        <w:rPr>
          <w:rFonts w:ascii="Arial" w:eastAsia="Arial" w:hAnsi="Arial" w:cs="Arial"/>
          <w:sz w:val="20"/>
          <w:szCs w:val="20"/>
          <w:lang w:val="en-US"/>
        </w:rPr>
        <w:t>Elhiraika, A. and Ndikumana, L. (2007). Reserve Accumulation in African Countries: Sources, Motivation, and effects. University of Massachusetts Amherst. USA.</w:t>
      </w:r>
    </w:p>
    <w:p w14:paraId="4DC9403A" w14:textId="0FA46B52" w:rsidR="21C3821A" w:rsidRDefault="21C3821A" w:rsidP="0066301C">
      <w:pPr>
        <w:spacing w:after="200"/>
        <w:jc w:val="both"/>
        <w:rPr>
          <w:rFonts w:ascii="Arial" w:eastAsia="Arial" w:hAnsi="Arial" w:cs="Arial"/>
          <w:sz w:val="20"/>
          <w:szCs w:val="20"/>
          <w:lang w:val="en-US"/>
        </w:rPr>
      </w:pPr>
      <w:r w:rsidRPr="48425B6A">
        <w:rPr>
          <w:rFonts w:ascii="Arial" w:eastAsia="Arial" w:hAnsi="Arial" w:cs="Arial"/>
          <w:sz w:val="20"/>
          <w:szCs w:val="20"/>
          <w:lang w:val="en-US"/>
        </w:rPr>
        <w:t xml:space="preserve">Ellahi, N. (2011). Exchange Rate volatility and Foreign Direct Investment (FDI) Behaviour in Pakistan: A Time Series Analysis with Autoregressive Distributed Lag (ARDL) application. </w:t>
      </w:r>
      <w:r w:rsidRPr="48425B6A">
        <w:rPr>
          <w:rFonts w:ascii="Arial" w:eastAsia="Arial" w:hAnsi="Arial" w:cs="Arial"/>
          <w:i/>
          <w:iCs/>
          <w:sz w:val="20"/>
          <w:szCs w:val="20"/>
          <w:lang w:val="en-US"/>
        </w:rPr>
        <w:t xml:space="preserve">African Journal of Business management, </w:t>
      </w:r>
      <w:r w:rsidRPr="48425B6A">
        <w:rPr>
          <w:rFonts w:ascii="Arial" w:eastAsia="Arial" w:hAnsi="Arial" w:cs="Arial"/>
          <w:sz w:val="20"/>
          <w:szCs w:val="20"/>
          <w:lang w:val="en-US"/>
        </w:rPr>
        <w:t xml:space="preserve">Pp: 11656 – 11661. </w:t>
      </w:r>
    </w:p>
    <w:p w14:paraId="1FE4BB7B" w14:textId="77777777" w:rsidR="00156361" w:rsidRPr="00156361" w:rsidRDefault="00156361" w:rsidP="0066301C">
      <w:pPr>
        <w:jc w:val="both"/>
        <w:rPr>
          <w:rFonts w:ascii="Arial" w:hAnsi="Arial" w:cs="Arial"/>
          <w:sz w:val="20"/>
          <w:szCs w:val="20"/>
        </w:rPr>
      </w:pPr>
      <w:r w:rsidRPr="00156361">
        <w:rPr>
          <w:rFonts w:ascii="Arial" w:hAnsi="Arial" w:cs="Arial"/>
          <w:sz w:val="20"/>
          <w:szCs w:val="20"/>
        </w:rPr>
        <w:t xml:space="preserve">Enders, W. (1988), "Arima and Cointegration Tests of PPP Under Fixed and Flexible Exchange Rate Regimes", </w:t>
      </w:r>
      <w:r w:rsidRPr="00156361">
        <w:rPr>
          <w:rFonts w:ascii="Arial" w:hAnsi="Arial" w:cs="Arial"/>
          <w:i/>
          <w:iCs/>
          <w:sz w:val="20"/>
          <w:szCs w:val="20"/>
        </w:rPr>
        <w:t xml:space="preserve">Review of Economics and Statistics, </w:t>
      </w:r>
      <w:r w:rsidRPr="00156361">
        <w:rPr>
          <w:rFonts w:ascii="Arial" w:hAnsi="Arial" w:cs="Arial"/>
          <w:sz w:val="20"/>
          <w:szCs w:val="20"/>
        </w:rPr>
        <w:t>Vol.</w:t>
      </w:r>
      <w:r w:rsidRPr="00156361">
        <w:rPr>
          <w:rFonts w:ascii="Arial" w:hAnsi="Arial" w:cs="Arial"/>
          <w:i/>
          <w:iCs/>
          <w:sz w:val="20"/>
          <w:szCs w:val="20"/>
        </w:rPr>
        <w:t xml:space="preserve"> </w:t>
      </w:r>
      <w:r w:rsidRPr="00156361">
        <w:rPr>
          <w:rFonts w:ascii="Arial" w:hAnsi="Arial" w:cs="Arial"/>
          <w:sz w:val="20"/>
          <w:szCs w:val="20"/>
        </w:rPr>
        <w:t>70, Pp: 504-508.</w:t>
      </w:r>
    </w:p>
    <w:p w14:paraId="49B5A0E5" w14:textId="7C3475B9" w:rsidR="21C3821A" w:rsidRPr="00156361" w:rsidRDefault="21C3821A" w:rsidP="0066301C">
      <w:pPr>
        <w:jc w:val="both"/>
        <w:rPr>
          <w:rFonts w:ascii="Arial" w:eastAsia="Arial" w:hAnsi="Arial" w:cs="Arial"/>
          <w:sz w:val="20"/>
          <w:szCs w:val="20"/>
          <w:lang w:val="en-US"/>
        </w:rPr>
      </w:pPr>
      <w:r w:rsidRPr="00156361">
        <w:rPr>
          <w:rFonts w:ascii="Arial" w:eastAsia="Arial" w:hAnsi="Arial" w:cs="Arial"/>
          <w:sz w:val="20"/>
          <w:szCs w:val="20"/>
          <w:lang w:val="en-US"/>
        </w:rPr>
        <w:t xml:space="preserve">Engel, C. (2010). The International Financial Crisis and Policy Challenges in Asia and the Pacific. </w:t>
      </w:r>
      <w:r w:rsidRPr="00156361">
        <w:rPr>
          <w:rFonts w:ascii="Arial" w:eastAsia="Arial" w:hAnsi="Arial" w:cs="Arial"/>
          <w:i/>
          <w:iCs/>
          <w:sz w:val="20"/>
          <w:szCs w:val="20"/>
          <w:lang w:val="en-US"/>
        </w:rPr>
        <w:t xml:space="preserve">Bank of International Settlement, </w:t>
      </w:r>
      <w:r w:rsidRPr="00156361">
        <w:rPr>
          <w:rFonts w:ascii="Arial" w:eastAsia="Arial" w:hAnsi="Arial" w:cs="Arial"/>
          <w:sz w:val="20"/>
          <w:szCs w:val="20"/>
          <w:lang w:val="en-US"/>
        </w:rPr>
        <w:t>Vol. 52, Pp: 229-250.</w:t>
      </w:r>
    </w:p>
    <w:p w14:paraId="7DCDD4C8" w14:textId="0C4A481A" w:rsidR="21C3821A" w:rsidRDefault="21C3821A" w:rsidP="0066301C">
      <w:pPr>
        <w:spacing w:line="257" w:lineRule="auto"/>
        <w:jc w:val="both"/>
        <w:rPr>
          <w:rFonts w:ascii="Arial" w:eastAsia="Arial" w:hAnsi="Arial" w:cs="Arial"/>
          <w:sz w:val="20"/>
          <w:szCs w:val="20"/>
          <w:lang w:val="en-US"/>
        </w:rPr>
      </w:pPr>
      <w:r w:rsidRPr="48425B6A">
        <w:rPr>
          <w:rFonts w:ascii="Arial" w:eastAsia="Arial" w:hAnsi="Arial" w:cs="Arial"/>
          <w:sz w:val="20"/>
          <w:szCs w:val="20"/>
          <w:lang w:val="en-US"/>
        </w:rPr>
        <w:t xml:space="preserve">Engle, R.F., and Granger, C.W. (1987). Co-integration and Error Correction: Representation, Estimation and Testing. </w:t>
      </w:r>
      <w:r w:rsidRPr="48425B6A">
        <w:rPr>
          <w:rFonts w:ascii="Arial" w:eastAsia="Arial" w:hAnsi="Arial" w:cs="Arial"/>
          <w:i/>
          <w:iCs/>
          <w:sz w:val="20"/>
          <w:szCs w:val="20"/>
          <w:lang w:val="en-US"/>
        </w:rPr>
        <w:t xml:space="preserve">Econometrica, </w:t>
      </w:r>
      <w:r w:rsidRPr="48425B6A">
        <w:rPr>
          <w:rFonts w:ascii="Arial" w:eastAsia="Arial" w:hAnsi="Arial" w:cs="Arial"/>
          <w:sz w:val="20"/>
          <w:szCs w:val="20"/>
          <w:lang w:val="en-US"/>
        </w:rPr>
        <w:t>Vol. 55, Pp: 251-276.</w:t>
      </w:r>
    </w:p>
    <w:p w14:paraId="74DDD88F" w14:textId="77777777" w:rsidR="00893CA1" w:rsidRPr="00893CA1" w:rsidRDefault="00893CA1" w:rsidP="0066301C">
      <w:pPr>
        <w:rPr>
          <w:rFonts w:ascii="Arial" w:hAnsi="Arial" w:cs="Arial"/>
          <w:sz w:val="20"/>
          <w:szCs w:val="20"/>
        </w:rPr>
      </w:pPr>
      <w:r w:rsidRPr="00893CA1">
        <w:rPr>
          <w:rFonts w:ascii="Arial" w:hAnsi="Arial" w:cs="Arial"/>
          <w:sz w:val="20"/>
          <w:szCs w:val="20"/>
        </w:rPr>
        <w:t xml:space="preserve">Erer, D., Erer, E., and Gulec, T. C. (2016). Fractional Cointegration Analysis of Stock Market and Exchange Rates: The Case of Turkey. </w:t>
      </w:r>
      <w:r w:rsidRPr="00893CA1">
        <w:rPr>
          <w:rFonts w:ascii="Arial" w:hAnsi="Arial" w:cs="Arial"/>
          <w:i/>
          <w:iCs/>
          <w:sz w:val="20"/>
          <w:szCs w:val="20"/>
        </w:rPr>
        <w:t xml:space="preserve">Financial Studies, </w:t>
      </w:r>
      <w:r w:rsidRPr="00893CA1">
        <w:rPr>
          <w:rFonts w:ascii="Arial" w:hAnsi="Arial" w:cs="Arial"/>
          <w:sz w:val="20"/>
          <w:szCs w:val="20"/>
        </w:rPr>
        <w:t>Vol.3.</w:t>
      </w:r>
    </w:p>
    <w:p w14:paraId="0A80C720" w14:textId="1B6BCD7D" w:rsidR="21C3821A" w:rsidRPr="00893CA1" w:rsidRDefault="21C3821A" w:rsidP="0066301C">
      <w:pPr>
        <w:rPr>
          <w:rFonts w:ascii="Arial" w:eastAsia="Arial" w:hAnsi="Arial" w:cs="Arial"/>
          <w:sz w:val="20"/>
          <w:szCs w:val="20"/>
        </w:rPr>
      </w:pPr>
      <w:r w:rsidRPr="00893CA1">
        <w:rPr>
          <w:rFonts w:ascii="Arial" w:eastAsia="Arial" w:hAnsi="Arial" w:cs="Arial"/>
          <w:sz w:val="20"/>
          <w:szCs w:val="20"/>
        </w:rPr>
        <w:lastRenderedPageBreak/>
        <w:t xml:space="preserve">Ertur E., Musolesi, A. (2017) Weak and Strong Cross-Sectional Dependence: A Panel Data Analysis of International Technology Diffusion, </w:t>
      </w:r>
      <w:r w:rsidRPr="00893CA1">
        <w:rPr>
          <w:rFonts w:ascii="Arial" w:eastAsia="Arial" w:hAnsi="Arial" w:cs="Arial"/>
          <w:i/>
          <w:iCs/>
          <w:sz w:val="20"/>
          <w:szCs w:val="20"/>
        </w:rPr>
        <w:t>Journal of Econometrics</w:t>
      </w:r>
      <w:r w:rsidRPr="00893CA1">
        <w:rPr>
          <w:rFonts w:ascii="Arial" w:eastAsia="Arial" w:hAnsi="Arial" w:cs="Arial"/>
          <w:sz w:val="20"/>
          <w:szCs w:val="20"/>
        </w:rPr>
        <w:t>, 32 (3), 477-503.</w:t>
      </w:r>
    </w:p>
    <w:p w14:paraId="3D43D109" w14:textId="2A81FAA9" w:rsidR="21C3821A" w:rsidRDefault="21C3821A" w:rsidP="0066301C">
      <w:pPr>
        <w:spacing w:after="200"/>
        <w:jc w:val="both"/>
        <w:rPr>
          <w:rFonts w:ascii="Arial" w:eastAsia="Arial" w:hAnsi="Arial" w:cs="Arial"/>
          <w:sz w:val="20"/>
          <w:szCs w:val="20"/>
        </w:rPr>
      </w:pPr>
      <w:r w:rsidRPr="48425B6A">
        <w:rPr>
          <w:rFonts w:ascii="Arial" w:eastAsia="Arial" w:hAnsi="Arial" w:cs="Arial"/>
          <w:sz w:val="20"/>
          <w:szCs w:val="20"/>
        </w:rPr>
        <w:t xml:space="preserve">Evenson. R., and Westphal, L. E., (1995). Technological Change and Technology Strategy, ch 98. 37. In J. Behrman, and T. N. Srinivasan (Eds.), </w:t>
      </w:r>
      <w:r w:rsidRPr="48425B6A">
        <w:rPr>
          <w:rFonts w:ascii="Arial" w:eastAsia="Arial" w:hAnsi="Arial" w:cs="Arial"/>
          <w:i/>
          <w:iCs/>
          <w:sz w:val="20"/>
          <w:szCs w:val="20"/>
        </w:rPr>
        <w:t>Handbook of development economics,</w:t>
      </w:r>
      <w:r w:rsidRPr="48425B6A">
        <w:rPr>
          <w:rFonts w:ascii="Arial" w:eastAsia="Arial" w:hAnsi="Arial" w:cs="Arial"/>
          <w:sz w:val="20"/>
          <w:szCs w:val="20"/>
        </w:rPr>
        <w:t xml:space="preserve"> Vol. 3A, Pp. 2209-2229. Amsterdam: North-Holland.</w:t>
      </w:r>
    </w:p>
    <w:p w14:paraId="180BDCDC" w14:textId="77816E1C" w:rsidR="21C3821A" w:rsidRDefault="21C3821A" w:rsidP="0066301C">
      <w:pPr>
        <w:spacing w:after="200"/>
        <w:jc w:val="both"/>
        <w:rPr>
          <w:rFonts w:ascii="Arial" w:eastAsia="Arial" w:hAnsi="Arial" w:cs="Arial"/>
          <w:color w:val="201F1F"/>
          <w:sz w:val="20"/>
          <w:szCs w:val="20"/>
        </w:rPr>
      </w:pPr>
      <w:r w:rsidRPr="48425B6A">
        <w:rPr>
          <w:rFonts w:ascii="Arial" w:eastAsia="Arial" w:hAnsi="Arial" w:cs="Arial"/>
          <w:color w:val="201F1F"/>
          <w:sz w:val="20"/>
          <w:szCs w:val="20"/>
        </w:rPr>
        <w:t xml:space="preserve">Fagerberg. J. (1988). International Competitiveness, </w:t>
      </w:r>
      <w:r w:rsidRPr="48425B6A">
        <w:rPr>
          <w:rFonts w:ascii="Arial" w:eastAsia="Arial" w:hAnsi="Arial" w:cs="Arial"/>
          <w:i/>
          <w:iCs/>
          <w:color w:val="201F1F"/>
          <w:sz w:val="20"/>
          <w:szCs w:val="20"/>
        </w:rPr>
        <w:t>The Economic Journal</w:t>
      </w:r>
      <w:r w:rsidRPr="48425B6A">
        <w:rPr>
          <w:rFonts w:ascii="Arial" w:eastAsia="Arial" w:hAnsi="Arial" w:cs="Arial"/>
          <w:color w:val="201F1F"/>
          <w:sz w:val="20"/>
          <w:szCs w:val="20"/>
        </w:rPr>
        <w:t>, 98 (June): 355-374.</w:t>
      </w:r>
    </w:p>
    <w:p w14:paraId="0D7D77DA" w14:textId="31F20512" w:rsidR="21C3821A" w:rsidRDefault="21C3821A" w:rsidP="0066301C">
      <w:pPr>
        <w:spacing w:after="200"/>
        <w:jc w:val="both"/>
        <w:rPr>
          <w:rFonts w:ascii="Arial" w:eastAsia="Arial" w:hAnsi="Arial" w:cs="Arial"/>
          <w:sz w:val="20"/>
          <w:szCs w:val="20"/>
        </w:rPr>
      </w:pPr>
      <w:r w:rsidRPr="48425B6A">
        <w:rPr>
          <w:rFonts w:ascii="Arial" w:eastAsia="Arial" w:hAnsi="Arial" w:cs="Arial"/>
          <w:sz w:val="20"/>
          <w:szCs w:val="20"/>
        </w:rPr>
        <w:t xml:space="preserve">Farrant, K. and Peersman, G. (2006). Is the Exchange Rate a Shock Absorber or a Source of Shocks? New Empirical Evidence. </w:t>
      </w:r>
      <w:r w:rsidRPr="48425B6A">
        <w:rPr>
          <w:rFonts w:ascii="Arial" w:eastAsia="Arial" w:hAnsi="Arial" w:cs="Arial"/>
          <w:i/>
          <w:iCs/>
          <w:sz w:val="20"/>
          <w:szCs w:val="20"/>
        </w:rPr>
        <w:t xml:space="preserve">Journal of Money Credit and Banking, </w:t>
      </w:r>
      <w:r w:rsidRPr="48425B6A">
        <w:rPr>
          <w:rFonts w:ascii="Arial" w:eastAsia="Arial" w:hAnsi="Arial" w:cs="Arial"/>
          <w:sz w:val="20"/>
          <w:szCs w:val="20"/>
        </w:rPr>
        <w:t>Vol. 38(4), Pp: 939 – 961.</w:t>
      </w:r>
    </w:p>
    <w:p w14:paraId="14039290" w14:textId="6F28F2CE" w:rsidR="21C3821A" w:rsidRDefault="21C3821A" w:rsidP="0066301C">
      <w:pPr>
        <w:tabs>
          <w:tab w:val="left" w:pos="720"/>
          <w:tab w:val="left" w:pos="1440"/>
          <w:tab w:val="left" w:pos="2160"/>
        </w:tabs>
        <w:spacing w:after="240"/>
        <w:jc w:val="both"/>
        <w:rPr>
          <w:rFonts w:ascii="Arial" w:eastAsia="Arial" w:hAnsi="Arial" w:cs="Arial"/>
          <w:sz w:val="20"/>
          <w:szCs w:val="20"/>
        </w:rPr>
      </w:pPr>
      <w:r w:rsidRPr="48425B6A">
        <w:rPr>
          <w:rFonts w:ascii="Arial" w:eastAsia="Arial" w:hAnsi="Arial" w:cs="Arial"/>
          <w:sz w:val="20"/>
          <w:szCs w:val="20"/>
        </w:rPr>
        <w:t xml:space="preserve">Faruqee, H. (1995). Long-run Determinants of the Real Exchange Rate: a Stock-ﬂow Perspective. Staff Papers — International Monetary Fund 42, 80–107Godbout, C. and Langcake, S. (2013). Demand for manufacturing imports in China. </w:t>
      </w:r>
      <w:r w:rsidRPr="48425B6A">
        <w:rPr>
          <w:rFonts w:ascii="Arial" w:eastAsia="Arial" w:hAnsi="Arial" w:cs="Arial"/>
          <w:i/>
          <w:iCs/>
          <w:sz w:val="20"/>
          <w:szCs w:val="20"/>
        </w:rPr>
        <w:t>Bulletin- June Quarter</w:t>
      </w:r>
      <w:r w:rsidRPr="48425B6A">
        <w:rPr>
          <w:rFonts w:ascii="Arial" w:eastAsia="Arial" w:hAnsi="Arial" w:cs="Arial"/>
          <w:sz w:val="20"/>
          <w:szCs w:val="20"/>
        </w:rPr>
        <w:t xml:space="preserve">. Reserve Bank of Australia. </w:t>
      </w:r>
    </w:p>
    <w:p w14:paraId="208EA678" w14:textId="31455606" w:rsidR="21C3821A" w:rsidRDefault="21C3821A" w:rsidP="0066301C">
      <w:pPr>
        <w:tabs>
          <w:tab w:val="left" w:pos="720"/>
          <w:tab w:val="left" w:pos="1440"/>
          <w:tab w:val="left" w:pos="2160"/>
        </w:tabs>
        <w:spacing w:after="240"/>
        <w:jc w:val="both"/>
        <w:rPr>
          <w:rFonts w:ascii="Arial" w:eastAsia="Arial" w:hAnsi="Arial" w:cs="Arial"/>
          <w:sz w:val="20"/>
          <w:szCs w:val="20"/>
        </w:rPr>
      </w:pPr>
      <w:r w:rsidRPr="48425B6A">
        <w:rPr>
          <w:rFonts w:ascii="Arial" w:eastAsia="Arial" w:hAnsi="Arial" w:cs="Arial"/>
          <w:sz w:val="20"/>
          <w:szCs w:val="20"/>
        </w:rPr>
        <w:t xml:space="preserve">Flemingham, B.S. (1988). Where is the Australian </w:t>
      </w:r>
      <w:r w:rsidRPr="48425B6A">
        <w:rPr>
          <w:rFonts w:ascii="Arial" w:eastAsia="Arial" w:hAnsi="Arial" w:cs="Arial"/>
          <w:i/>
          <w:iCs/>
          <w:sz w:val="20"/>
          <w:szCs w:val="20"/>
        </w:rPr>
        <w:t>J-</w:t>
      </w:r>
      <w:r w:rsidRPr="48425B6A">
        <w:rPr>
          <w:rFonts w:ascii="Arial" w:eastAsia="Arial" w:hAnsi="Arial" w:cs="Arial"/>
          <w:sz w:val="20"/>
          <w:szCs w:val="20"/>
        </w:rPr>
        <w:t xml:space="preserve">curve. </w:t>
      </w:r>
      <w:r w:rsidRPr="48425B6A">
        <w:rPr>
          <w:rFonts w:ascii="Arial" w:eastAsia="Arial" w:hAnsi="Arial" w:cs="Arial"/>
          <w:i/>
          <w:iCs/>
          <w:sz w:val="20"/>
          <w:szCs w:val="20"/>
        </w:rPr>
        <w:t xml:space="preserve">Bulletin of Economic Research, </w:t>
      </w:r>
      <w:r w:rsidRPr="48425B6A">
        <w:rPr>
          <w:rFonts w:ascii="Arial" w:eastAsia="Arial" w:hAnsi="Arial" w:cs="Arial"/>
          <w:sz w:val="20"/>
          <w:szCs w:val="20"/>
        </w:rPr>
        <w:t>Vol. 40, Pp:43-56.</w:t>
      </w:r>
    </w:p>
    <w:p w14:paraId="73477346" w14:textId="18DE4DB3" w:rsidR="21C3821A" w:rsidRDefault="21C3821A" w:rsidP="0066301C">
      <w:pPr>
        <w:tabs>
          <w:tab w:val="left" w:pos="720"/>
          <w:tab w:val="left" w:pos="1440"/>
          <w:tab w:val="left" w:pos="2160"/>
        </w:tabs>
        <w:spacing w:after="240"/>
        <w:jc w:val="both"/>
        <w:rPr>
          <w:rFonts w:ascii="Arial" w:eastAsia="Arial" w:hAnsi="Arial" w:cs="Arial"/>
          <w:sz w:val="20"/>
          <w:szCs w:val="20"/>
        </w:rPr>
      </w:pPr>
      <w:r w:rsidRPr="48425B6A">
        <w:rPr>
          <w:rFonts w:ascii="Arial" w:eastAsia="Arial" w:hAnsi="Arial" w:cs="Arial"/>
          <w:sz w:val="20"/>
          <w:szCs w:val="20"/>
        </w:rPr>
        <w:t xml:space="preserve">Flick, U. (2011). </w:t>
      </w:r>
      <w:r w:rsidRPr="48425B6A">
        <w:rPr>
          <w:rFonts w:ascii="Arial" w:eastAsia="Arial" w:hAnsi="Arial" w:cs="Arial"/>
          <w:i/>
          <w:iCs/>
          <w:sz w:val="20"/>
          <w:szCs w:val="20"/>
        </w:rPr>
        <w:t xml:space="preserve">Introducing Research Methodology: a beginner’s Guide to doing a Research Project. </w:t>
      </w:r>
      <w:r w:rsidRPr="48425B6A">
        <w:rPr>
          <w:rFonts w:ascii="Arial" w:eastAsia="Arial" w:hAnsi="Arial" w:cs="Arial"/>
          <w:sz w:val="20"/>
          <w:szCs w:val="20"/>
        </w:rPr>
        <w:t>London: Sage.</w:t>
      </w:r>
    </w:p>
    <w:p w14:paraId="20F03B99" w14:textId="64944519" w:rsidR="21C3821A" w:rsidRDefault="21C3821A" w:rsidP="0066301C">
      <w:pPr>
        <w:tabs>
          <w:tab w:val="left" w:pos="720"/>
          <w:tab w:val="left" w:pos="1440"/>
          <w:tab w:val="left" w:pos="2160"/>
        </w:tabs>
        <w:spacing w:after="240"/>
        <w:jc w:val="both"/>
        <w:rPr>
          <w:rFonts w:ascii="Arial" w:eastAsia="Arial" w:hAnsi="Arial" w:cs="Arial"/>
          <w:sz w:val="20"/>
          <w:szCs w:val="20"/>
        </w:rPr>
      </w:pPr>
      <w:r w:rsidRPr="48425B6A">
        <w:rPr>
          <w:rFonts w:ascii="Arial" w:eastAsia="Arial" w:hAnsi="Arial" w:cs="Arial"/>
          <w:sz w:val="20"/>
          <w:szCs w:val="20"/>
        </w:rPr>
        <w:t xml:space="preserve">Fouopi D.C. (2012). The CFA Franc Devaluation and Output Growth in the Franc Zone. </w:t>
      </w:r>
      <w:r w:rsidRPr="48425B6A">
        <w:rPr>
          <w:rFonts w:ascii="Arial" w:eastAsia="Arial" w:hAnsi="Arial" w:cs="Arial"/>
          <w:i/>
          <w:iCs/>
          <w:sz w:val="20"/>
          <w:szCs w:val="20"/>
        </w:rPr>
        <w:t>International Journal of Financial Research,</w:t>
      </w:r>
      <w:r w:rsidRPr="48425B6A">
        <w:rPr>
          <w:rFonts w:ascii="Arial" w:eastAsia="Arial" w:hAnsi="Arial" w:cs="Arial"/>
          <w:sz w:val="20"/>
          <w:szCs w:val="20"/>
        </w:rPr>
        <w:t xml:space="preserve"> Vol 3 (1), Pp: 40-48.</w:t>
      </w:r>
    </w:p>
    <w:p w14:paraId="28A6CD19" w14:textId="3AAB1EF2" w:rsidR="21C3821A" w:rsidRDefault="21C3821A" w:rsidP="0066301C">
      <w:pPr>
        <w:spacing w:after="200" w:line="276" w:lineRule="auto"/>
        <w:jc w:val="both"/>
        <w:rPr>
          <w:rFonts w:ascii="Arial" w:eastAsia="Arial" w:hAnsi="Arial" w:cs="Arial"/>
          <w:sz w:val="20"/>
          <w:szCs w:val="20"/>
        </w:rPr>
      </w:pPr>
      <w:r w:rsidRPr="48425B6A">
        <w:rPr>
          <w:rFonts w:ascii="Arial" w:eastAsia="Arial" w:hAnsi="Arial" w:cs="Arial"/>
          <w:sz w:val="20"/>
          <w:szCs w:val="20"/>
        </w:rPr>
        <w:t xml:space="preserve">Frankle, J. A. (1979). The Theory of Floating Exchange Bate based on Real Interest differential. </w:t>
      </w:r>
      <w:r w:rsidRPr="48425B6A">
        <w:rPr>
          <w:rFonts w:ascii="Arial" w:eastAsia="Arial" w:hAnsi="Arial" w:cs="Arial"/>
          <w:i/>
          <w:iCs/>
          <w:sz w:val="20"/>
          <w:szCs w:val="20"/>
        </w:rPr>
        <w:t>The American Economic Review</w:t>
      </w:r>
      <w:r w:rsidRPr="48425B6A">
        <w:rPr>
          <w:rFonts w:ascii="Arial" w:eastAsia="Arial" w:hAnsi="Arial" w:cs="Arial"/>
          <w:sz w:val="20"/>
          <w:szCs w:val="20"/>
        </w:rPr>
        <w:t>, Vol. 69 (4), Pp: 10-622.</w:t>
      </w:r>
    </w:p>
    <w:p w14:paraId="6343305C" w14:textId="1B707988" w:rsidR="21C3821A" w:rsidRDefault="21C3821A" w:rsidP="0066301C">
      <w:pPr>
        <w:tabs>
          <w:tab w:val="left" w:pos="720"/>
          <w:tab w:val="left" w:pos="1440"/>
          <w:tab w:val="left" w:pos="2160"/>
        </w:tabs>
        <w:spacing w:after="240"/>
        <w:jc w:val="both"/>
        <w:rPr>
          <w:rFonts w:ascii="Arial" w:eastAsia="Arial" w:hAnsi="Arial" w:cs="Arial"/>
          <w:sz w:val="20"/>
          <w:szCs w:val="20"/>
        </w:rPr>
      </w:pPr>
      <w:r w:rsidRPr="48425B6A">
        <w:rPr>
          <w:rFonts w:ascii="Arial" w:eastAsia="Arial" w:hAnsi="Arial" w:cs="Arial"/>
          <w:sz w:val="20"/>
          <w:szCs w:val="20"/>
        </w:rPr>
        <w:t xml:space="preserve">Frankel, J.A. (1980). Exchange Rates, Prices, and Money: Lessons from the 1920’s. </w:t>
      </w:r>
      <w:r w:rsidRPr="48425B6A">
        <w:rPr>
          <w:rFonts w:ascii="Arial" w:eastAsia="Arial" w:hAnsi="Arial" w:cs="Arial"/>
          <w:i/>
          <w:iCs/>
          <w:sz w:val="20"/>
          <w:szCs w:val="20"/>
        </w:rPr>
        <w:t xml:space="preserve">The American Economic Review, </w:t>
      </w:r>
      <w:r w:rsidRPr="48425B6A">
        <w:rPr>
          <w:rFonts w:ascii="Arial" w:eastAsia="Arial" w:hAnsi="Arial" w:cs="Arial"/>
          <w:sz w:val="20"/>
          <w:szCs w:val="20"/>
        </w:rPr>
        <w:t>Vol. 70 (2).</w:t>
      </w:r>
    </w:p>
    <w:p w14:paraId="635ACE32" w14:textId="3DC124D2" w:rsidR="21C3821A" w:rsidRDefault="21C3821A" w:rsidP="0066301C">
      <w:pPr>
        <w:tabs>
          <w:tab w:val="left" w:pos="720"/>
          <w:tab w:val="left" w:pos="1440"/>
          <w:tab w:val="left" w:pos="2160"/>
        </w:tabs>
        <w:spacing w:after="240"/>
        <w:jc w:val="both"/>
        <w:rPr>
          <w:rFonts w:ascii="Arial" w:eastAsia="Arial" w:hAnsi="Arial" w:cs="Arial"/>
          <w:sz w:val="20"/>
          <w:szCs w:val="20"/>
        </w:rPr>
      </w:pPr>
      <w:r w:rsidRPr="48425B6A">
        <w:rPr>
          <w:rFonts w:ascii="Arial" w:eastAsia="Arial" w:hAnsi="Arial" w:cs="Arial"/>
          <w:sz w:val="20"/>
          <w:szCs w:val="20"/>
        </w:rPr>
        <w:t xml:space="preserve">Frankel, J.A. (1981b). Flexible Exchange Rates, Prices and the Role of ‘News’: Lessons from the 1970s. </w:t>
      </w:r>
      <w:r w:rsidRPr="48425B6A">
        <w:rPr>
          <w:rFonts w:ascii="Arial" w:eastAsia="Arial" w:hAnsi="Arial" w:cs="Arial"/>
          <w:i/>
          <w:iCs/>
          <w:sz w:val="20"/>
          <w:szCs w:val="20"/>
        </w:rPr>
        <w:t xml:space="preserve">Journal of Political Economy, </w:t>
      </w:r>
      <w:r w:rsidRPr="48425B6A">
        <w:rPr>
          <w:rFonts w:ascii="Arial" w:eastAsia="Arial" w:hAnsi="Arial" w:cs="Arial"/>
          <w:sz w:val="20"/>
          <w:szCs w:val="20"/>
        </w:rPr>
        <w:t>No. 89, Pp: 665 – 705.</w:t>
      </w:r>
    </w:p>
    <w:p w14:paraId="2FA7023A" w14:textId="1A188BA8" w:rsidR="21C3821A" w:rsidRDefault="21C3821A" w:rsidP="0066301C">
      <w:pPr>
        <w:tabs>
          <w:tab w:val="left" w:pos="720"/>
          <w:tab w:val="left" w:pos="1440"/>
          <w:tab w:val="left" w:pos="2160"/>
        </w:tabs>
        <w:spacing w:after="240"/>
        <w:jc w:val="both"/>
        <w:rPr>
          <w:rFonts w:ascii="Arial" w:eastAsia="Arial" w:hAnsi="Arial" w:cs="Arial"/>
          <w:sz w:val="20"/>
          <w:szCs w:val="20"/>
        </w:rPr>
      </w:pPr>
      <w:r w:rsidRPr="48425B6A">
        <w:rPr>
          <w:rFonts w:ascii="Arial" w:eastAsia="Arial" w:hAnsi="Arial" w:cs="Arial"/>
          <w:sz w:val="20"/>
          <w:szCs w:val="20"/>
        </w:rPr>
        <w:t xml:space="preserve">Frankel, J.A. (1982). The Mystery of the Multiplying Marks: A Modification of the Monetary Model. </w:t>
      </w:r>
      <w:r w:rsidRPr="48425B6A">
        <w:rPr>
          <w:rFonts w:ascii="Arial" w:eastAsia="Arial" w:hAnsi="Arial" w:cs="Arial"/>
          <w:i/>
          <w:iCs/>
          <w:sz w:val="20"/>
          <w:szCs w:val="20"/>
        </w:rPr>
        <w:t xml:space="preserve">The Review of Economics and Statistics, </w:t>
      </w:r>
      <w:r w:rsidRPr="48425B6A">
        <w:rPr>
          <w:rFonts w:ascii="Arial" w:eastAsia="Arial" w:hAnsi="Arial" w:cs="Arial"/>
          <w:sz w:val="20"/>
          <w:szCs w:val="20"/>
        </w:rPr>
        <w:t>Vol. 64 (3), Pp: 515-519.</w:t>
      </w:r>
    </w:p>
    <w:p w14:paraId="261B969C" w14:textId="479335F6" w:rsidR="21C3821A" w:rsidRDefault="21C3821A" w:rsidP="0066301C">
      <w:pPr>
        <w:tabs>
          <w:tab w:val="left" w:pos="720"/>
          <w:tab w:val="left" w:pos="1440"/>
          <w:tab w:val="left" w:pos="2160"/>
        </w:tabs>
        <w:spacing w:after="240"/>
        <w:jc w:val="both"/>
        <w:rPr>
          <w:rFonts w:ascii="Arial" w:eastAsia="Arial" w:hAnsi="Arial" w:cs="Arial"/>
          <w:i/>
          <w:iCs/>
          <w:sz w:val="20"/>
          <w:szCs w:val="20"/>
        </w:rPr>
      </w:pPr>
      <w:r w:rsidRPr="48425B6A">
        <w:rPr>
          <w:rFonts w:ascii="Arial" w:eastAsia="Arial" w:hAnsi="Arial" w:cs="Arial"/>
          <w:sz w:val="20"/>
          <w:szCs w:val="20"/>
        </w:rPr>
        <w:t xml:space="preserve">Frankel, J.A. (1999). No Single Currency Regime is Right for All Countries or At All times, NBER Working Papers 7338, </w:t>
      </w:r>
      <w:r w:rsidRPr="48425B6A">
        <w:rPr>
          <w:rFonts w:ascii="Arial" w:eastAsia="Arial" w:hAnsi="Arial" w:cs="Arial"/>
          <w:i/>
          <w:iCs/>
          <w:sz w:val="20"/>
          <w:szCs w:val="20"/>
        </w:rPr>
        <w:t xml:space="preserve">National Bureau of Economic Research, Inc. </w:t>
      </w:r>
    </w:p>
    <w:p w14:paraId="1F098858" w14:textId="0AB21B80" w:rsidR="21C3821A" w:rsidRDefault="21C3821A" w:rsidP="0066301C">
      <w:pPr>
        <w:tabs>
          <w:tab w:val="left" w:pos="720"/>
          <w:tab w:val="left" w:pos="1440"/>
          <w:tab w:val="left" w:pos="2160"/>
        </w:tabs>
        <w:spacing w:after="240"/>
        <w:jc w:val="both"/>
        <w:rPr>
          <w:rFonts w:ascii="Arial" w:eastAsia="Arial" w:hAnsi="Arial" w:cs="Arial"/>
          <w:sz w:val="20"/>
          <w:szCs w:val="20"/>
        </w:rPr>
      </w:pPr>
      <w:r w:rsidRPr="48425B6A">
        <w:rPr>
          <w:rFonts w:ascii="Arial" w:eastAsia="Arial" w:hAnsi="Arial" w:cs="Arial"/>
          <w:sz w:val="20"/>
          <w:szCs w:val="20"/>
        </w:rPr>
        <w:t xml:space="preserve">Frankel, J.A., Thorvaldur, G., and John, F.H. (1980). A Synthesis of Monetary and Keynesian Approaches to Short-Run Balance-of-Payments Theory. </w:t>
      </w:r>
      <w:r w:rsidRPr="48425B6A">
        <w:rPr>
          <w:rFonts w:ascii="Arial" w:eastAsia="Arial" w:hAnsi="Arial" w:cs="Arial"/>
          <w:i/>
          <w:iCs/>
          <w:sz w:val="20"/>
          <w:szCs w:val="20"/>
        </w:rPr>
        <w:t xml:space="preserve">Economics Journal, </w:t>
      </w:r>
      <w:r w:rsidRPr="48425B6A">
        <w:rPr>
          <w:rFonts w:ascii="Arial" w:eastAsia="Arial" w:hAnsi="Arial" w:cs="Arial"/>
          <w:sz w:val="20"/>
          <w:szCs w:val="20"/>
        </w:rPr>
        <w:t xml:space="preserve">No. 90, Pp: 582-592. </w:t>
      </w:r>
    </w:p>
    <w:p w14:paraId="0F3B59C7" w14:textId="0452EAFD" w:rsidR="21C3821A" w:rsidRDefault="21C3821A" w:rsidP="0066301C">
      <w:pPr>
        <w:spacing w:after="200"/>
        <w:jc w:val="both"/>
        <w:rPr>
          <w:rFonts w:ascii="Arial" w:eastAsia="Arial" w:hAnsi="Arial" w:cs="Arial"/>
          <w:i/>
          <w:iCs/>
          <w:color w:val="000000" w:themeColor="text1"/>
          <w:sz w:val="20"/>
          <w:szCs w:val="20"/>
        </w:rPr>
      </w:pPr>
      <w:r w:rsidRPr="48425B6A">
        <w:rPr>
          <w:rFonts w:ascii="Arial" w:eastAsia="Arial" w:hAnsi="Arial" w:cs="Arial"/>
          <w:color w:val="000000" w:themeColor="text1"/>
          <w:sz w:val="20"/>
          <w:szCs w:val="20"/>
        </w:rPr>
        <w:t xml:space="preserve">Friedman, M. (1953). The methodology of positive economics. In M. Friedman (Ed.). Essays in positive economics (pp. 2-43). Chicago: </w:t>
      </w:r>
      <w:r w:rsidRPr="48425B6A">
        <w:rPr>
          <w:rFonts w:ascii="Arial" w:eastAsia="Arial" w:hAnsi="Arial" w:cs="Arial"/>
          <w:i/>
          <w:iCs/>
          <w:color w:val="000000" w:themeColor="text1"/>
          <w:sz w:val="20"/>
          <w:szCs w:val="20"/>
        </w:rPr>
        <w:t>University of Chicago Press.</w:t>
      </w:r>
    </w:p>
    <w:p w14:paraId="5AE128C5" w14:textId="5D5673CE" w:rsidR="21C3821A" w:rsidRDefault="21C3821A" w:rsidP="0066301C">
      <w:pPr>
        <w:spacing w:after="200" w:line="276" w:lineRule="auto"/>
        <w:jc w:val="both"/>
        <w:rPr>
          <w:rFonts w:ascii="Arial" w:eastAsia="Arial" w:hAnsi="Arial" w:cs="Arial"/>
          <w:sz w:val="20"/>
          <w:szCs w:val="20"/>
          <w:lang w:val="en-US"/>
        </w:rPr>
      </w:pPr>
      <w:r w:rsidRPr="48425B6A">
        <w:rPr>
          <w:rFonts w:ascii="Arial" w:eastAsia="Arial" w:hAnsi="Arial" w:cs="Arial"/>
          <w:sz w:val="20"/>
          <w:szCs w:val="20"/>
          <w:lang w:val="en-US"/>
        </w:rPr>
        <w:t>Froot, K., &amp; Stein, J. (1991).  'Exchange Rates and Foreign Direct Investment: An</w:t>
      </w:r>
      <w:r>
        <w:tab/>
      </w:r>
      <w:r w:rsidRPr="48425B6A">
        <w:rPr>
          <w:rFonts w:ascii="Arial" w:eastAsia="Arial" w:hAnsi="Arial" w:cs="Arial"/>
          <w:sz w:val="20"/>
          <w:szCs w:val="20"/>
          <w:lang w:val="en-US"/>
        </w:rPr>
        <w:t xml:space="preserve">Imperfect Capital Markets Approach'. </w:t>
      </w:r>
      <w:r w:rsidRPr="48425B6A">
        <w:rPr>
          <w:rFonts w:ascii="Arial" w:eastAsia="Arial" w:hAnsi="Arial" w:cs="Arial"/>
          <w:i/>
          <w:iCs/>
          <w:sz w:val="20"/>
          <w:szCs w:val="20"/>
          <w:lang w:val="en-US"/>
        </w:rPr>
        <w:t>The Quarterly Journal of Economics</w:t>
      </w:r>
      <w:r w:rsidRPr="48425B6A">
        <w:rPr>
          <w:rFonts w:ascii="Arial" w:eastAsia="Arial" w:hAnsi="Arial" w:cs="Arial"/>
          <w:sz w:val="20"/>
          <w:szCs w:val="20"/>
          <w:lang w:val="en-US"/>
        </w:rPr>
        <w:t>, vol. 4, Pp:1191.</w:t>
      </w:r>
    </w:p>
    <w:p w14:paraId="5614ED68" w14:textId="77777777" w:rsidR="00AB1374" w:rsidRPr="008A7185" w:rsidRDefault="00AB1374" w:rsidP="00AB1374">
      <w:pPr>
        <w:jc w:val="both"/>
        <w:rPr>
          <w:rFonts w:ascii="Arial" w:hAnsi="Arial" w:cs="Arial"/>
          <w:i/>
          <w:iCs/>
          <w:sz w:val="20"/>
          <w:szCs w:val="20"/>
        </w:rPr>
      </w:pPr>
      <w:r w:rsidRPr="008A7185">
        <w:rPr>
          <w:rFonts w:ascii="Arial" w:hAnsi="Arial" w:cs="Arial"/>
          <w:color w:val="333333"/>
          <w:sz w:val="20"/>
          <w:szCs w:val="20"/>
          <w:shd w:val="clear" w:color="auto" w:fill="FFFFFF"/>
        </w:rPr>
        <w:t>Funke</w:t>
      </w:r>
      <w:r>
        <w:rPr>
          <w:rFonts w:ascii="Arial" w:hAnsi="Arial" w:cs="Arial"/>
          <w:color w:val="333333"/>
          <w:sz w:val="20"/>
          <w:szCs w:val="20"/>
          <w:shd w:val="clear" w:color="auto" w:fill="FFFFFF"/>
        </w:rPr>
        <w:t>,</w:t>
      </w:r>
      <w:r w:rsidRPr="008A7185">
        <w:rPr>
          <w:rFonts w:ascii="Arial" w:hAnsi="Arial" w:cs="Arial"/>
          <w:color w:val="333333"/>
          <w:sz w:val="20"/>
          <w:szCs w:val="20"/>
          <w:shd w:val="clear" w:color="auto" w:fill="FFFFFF"/>
        </w:rPr>
        <w:t xml:space="preserve"> M. &amp; Rahn</w:t>
      </w:r>
      <w:r>
        <w:rPr>
          <w:rFonts w:ascii="Arial" w:hAnsi="Arial" w:cs="Arial"/>
          <w:color w:val="333333"/>
          <w:sz w:val="20"/>
          <w:szCs w:val="20"/>
          <w:shd w:val="clear" w:color="auto" w:fill="FFFFFF"/>
        </w:rPr>
        <w:t>.</w:t>
      </w:r>
      <w:r w:rsidRPr="008A7185">
        <w:rPr>
          <w:rFonts w:ascii="Arial" w:hAnsi="Arial" w:cs="Arial"/>
          <w:color w:val="333333"/>
          <w:sz w:val="20"/>
          <w:szCs w:val="20"/>
          <w:shd w:val="clear" w:color="auto" w:fill="FFFFFF"/>
        </w:rPr>
        <w:t xml:space="preserve"> J., 2005. "</w:t>
      </w:r>
      <w:hyperlink r:id="rId126" w:history="1">
        <w:r w:rsidRPr="008A7185">
          <w:rPr>
            <w:rStyle w:val="Hyperlink"/>
            <w:rFonts w:ascii="Arial" w:hAnsi="Arial" w:cs="Arial"/>
            <w:color w:val="auto"/>
            <w:sz w:val="20"/>
            <w:szCs w:val="20"/>
            <w:u w:val="none"/>
          </w:rPr>
          <w:t>Just How Undervalued is the Chinese Renminbi?</w:t>
        </w:r>
      </w:hyperlink>
      <w:r w:rsidRPr="008A7185">
        <w:rPr>
          <w:rFonts w:ascii="Arial" w:hAnsi="Arial" w:cs="Arial"/>
          <w:color w:val="333333"/>
          <w:sz w:val="20"/>
          <w:szCs w:val="20"/>
          <w:shd w:val="clear" w:color="auto" w:fill="FFFFFF"/>
        </w:rPr>
        <w:t>," </w:t>
      </w:r>
      <w:hyperlink r:id="rId127" w:history="1">
        <w:r w:rsidRPr="00AB1374">
          <w:rPr>
            <w:rStyle w:val="Hyperlink"/>
            <w:rFonts w:ascii="Arial" w:hAnsi="Arial" w:cs="Arial"/>
            <w:i/>
            <w:iCs/>
            <w:color w:val="auto"/>
            <w:sz w:val="20"/>
            <w:szCs w:val="20"/>
            <w:u w:val="none"/>
          </w:rPr>
          <w:t>The World Economy</w:t>
        </w:r>
      </w:hyperlink>
      <w:r w:rsidRPr="00AB1374">
        <w:rPr>
          <w:rFonts w:ascii="Arial" w:hAnsi="Arial" w:cs="Arial"/>
          <w:i/>
          <w:iCs/>
          <w:sz w:val="20"/>
          <w:szCs w:val="20"/>
          <w:shd w:val="clear" w:color="auto" w:fill="FFFFFF"/>
        </w:rPr>
        <w:t xml:space="preserve">, </w:t>
      </w:r>
      <w:r w:rsidRPr="00AB1374">
        <w:rPr>
          <w:rFonts w:ascii="Arial" w:hAnsi="Arial" w:cs="Arial"/>
          <w:i/>
          <w:iCs/>
          <w:color w:val="333333"/>
          <w:sz w:val="20"/>
          <w:szCs w:val="20"/>
          <w:shd w:val="clear" w:color="auto" w:fill="FFFFFF"/>
        </w:rPr>
        <w:t>Wiley Blackwell,</w:t>
      </w:r>
      <w:r w:rsidRPr="008A7185">
        <w:rPr>
          <w:rFonts w:ascii="Arial" w:hAnsi="Arial" w:cs="Arial"/>
          <w:color w:val="333333"/>
          <w:sz w:val="20"/>
          <w:szCs w:val="20"/>
          <w:shd w:val="clear" w:color="auto" w:fill="FFFFFF"/>
        </w:rPr>
        <w:t xml:space="preserve"> vol. 28(4), Pp: 465-489.</w:t>
      </w:r>
    </w:p>
    <w:p w14:paraId="1996E3EB" w14:textId="3F2A264C" w:rsidR="21C3821A" w:rsidRDefault="21C3821A" w:rsidP="00AB1374">
      <w:pPr>
        <w:jc w:val="both"/>
        <w:rPr>
          <w:rFonts w:ascii="Arial" w:eastAsia="Arial" w:hAnsi="Arial" w:cs="Arial"/>
          <w:sz w:val="20"/>
          <w:szCs w:val="20"/>
        </w:rPr>
      </w:pPr>
      <w:r w:rsidRPr="48425B6A">
        <w:rPr>
          <w:rFonts w:ascii="Arial" w:eastAsia="Arial" w:hAnsi="Arial" w:cs="Arial"/>
          <w:sz w:val="20"/>
          <w:szCs w:val="20"/>
        </w:rPr>
        <w:t xml:space="preserve">Gankou, J.M. and Ntah, M.N., 2008. Is the regional integration in Central Africa in question. </w:t>
      </w:r>
      <w:r w:rsidRPr="48425B6A">
        <w:rPr>
          <w:rFonts w:ascii="Arial" w:eastAsia="Arial" w:hAnsi="Arial" w:cs="Arial"/>
          <w:i/>
          <w:iCs/>
          <w:sz w:val="20"/>
          <w:szCs w:val="20"/>
        </w:rPr>
        <w:t>Afr. Rev. Integr</w:t>
      </w:r>
      <w:r w:rsidRPr="48425B6A">
        <w:rPr>
          <w:rFonts w:ascii="Arial" w:eastAsia="Arial" w:hAnsi="Arial" w:cs="Arial"/>
          <w:sz w:val="20"/>
          <w:szCs w:val="20"/>
        </w:rPr>
        <w:t>. Vol.2, Pp: 1–33.</w:t>
      </w:r>
    </w:p>
    <w:p w14:paraId="7A22BDD5" w14:textId="7A99CD55" w:rsidR="21C3821A" w:rsidRDefault="21C3821A" w:rsidP="0066301C">
      <w:pPr>
        <w:spacing w:after="200"/>
        <w:jc w:val="both"/>
        <w:rPr>
          <w:rFonts w:ascii="Arial" w:eastAsia="Arial" w:hAnsi="Arial" w:cs="Arial"/>
          <w:sz w:val="20"/>
          <w:szCs w:val="20"/>
        </w:rPr>
      </w:pPr>
      <w:r w:rsidRPr="48425B6A">
        <w:rPr>
          <w:rFonts w:ascii="Arial" w:eastAsia="Arial" w:hAnsi="Arial" w:cs="Arial"/>
          <w:sz w:val="20"/>
          <w:szCs w:val="20"/>
          <w:lang w:val="en-US"/>
        </w:rPr>
        <w:t xml:space="preserve">Gantman, E. R., and </w:t>
      </w:r>
      <w:r w:rsidRPr="48425B6A">
        <w:rPr>
          <w:rFonts w:ascii="Arial" w:eastAsia="Arial" w:hAnsi="Arial" w:cs="Arial"/>
          <w:sz w:val="20"/>
          <w:szCs w:val="20"/>
        </w:rPr>
        <w:t xml:space="preserve">Dabós, M. P. (2018). Does Trade Openness Influence the Real Effective Exchange Rate? New Evidence from Panel Time-Series. </w:t>
      </w:r>
      <w:r w:rsidRPr="48425B6A">
        <w:rPr>
          <w:rFonts w:ascii="Arial" w:eastAsia="Arial" w:hAnsi="Arial" w:cs="Arial"/>
          <w:i/>
          <w:iCs/>
          <w:sz w:val="20"/>
          <w:szCs w:val="20"/>
        </w:rPr>
        <w:t xml:space="preserve">Journal of the Spanish Economic Association, </w:t>
      </w:r>
      <w:r w:rsidRPr="48425B6A">
        <w:rPr>
          <w:rFonts w:ascii="Arial" w:eastAsia="Arial" w:hAnsi="Arial" w:cs="Arial"/>
          <w:sz w:val="20"/>
          <w:szCs w:val="20"/>
        </w:rPr>
        <w:t>Vol. 9 (1), Pp (91-113).</w:t>
      </w:r>
    </w:p>
    <w:p w14:paraId="4AC842BF" w14:textId="77777777" w:rsidR="0068795B" w:rsidRPr="0068795B" w:rsidRDefault="0068795B" w:rsidP="0066301C">
      <w:pPr>
        <w:rPr>
          <w:rFonts w:ascii="Arial" w:hAnsi="Arial" w:cs="Arial"/>
          <w:sz w:val="20"/>
          <w:szCs w:val="20"/>
        </w:rPr>
      </w:pPr>
      <w:r w:rsidRPr="0068795B">
        <w:rPr>
          <w:rFonts w:ascii="Arial" w:hAnsi="Arial" w:cs="Arial"/>
          <w:sz w:val="20"/>
          <w:szCs w:val="20"/>
        </w:rPr>
        <w:lastRenderedPageBreak/>
        <w:t>Ghura, D. (1997). “Private Investment and Endogenous Growth: Evidence from Cameroon”, IMF Working Paper 97/165, December.</w:t>
      </w:r>
    </w:p>
    <w:p w14:paraId="5C059004" w14:textId="19EAB726" w:rsidR="21C3821A" w:rsidRPr="0068795B" w:rsidRDefault="21C3821A" w:rsidP="0066301C">
      <w:pPr>
        <w:rPr>
          <w:rFonts w:ascii="Arial" w:eastAsia="Arial" w:hAnsi="Arial" w:cs="Arial"/>
          <w:sz w:val="20"/>
          <w:szCs w:val="20"/>
        </w:rPr>
      </w:pPr>
      <w:r w:rsidRPr="0068795B">
        <w:rPr>
          <w:rFonts w:ascii="Arial" w:eastAsia="Arial" w:hAnsi="Arial" w:cs="Arial"/>
          <w:sz w:val="20"/>
          <w:szCs w:val="20"/>
        </w:rPr>
        <w:t xml:space="preserve">Ghura, Dhaneshwar and Michael T. Hadjimichael (1996): “Growth in Sub-Saharan Africa”. </w:t>
      </w:r>
      <w:r w:rsidRPr="0068795B">
        <w:rPr>
          <w:rFonts w:ascii="Arial" w:eastAsia="Arial" w:hAnsi="Arial" w:cs="Arial"/>
          <w:i/>
          <w:iCs/>
          <w:sz w:val="20"/>
          <w:szCs w:val="20"/>
        </w:rPr>
        <w:t xml:space="preserve">IMF Staff Papers, </w:t>
      </w:r>
      <w:r w:rsidRPr="0068795B">
        <w:rPr>
          <w:rFonts w:ascii="Arial" w:eastAsia="Arial" w:hAnsi="Arial" w:cs="Arial"/>
          <w:sz w:val="20"/>
          <w:szCs w:val="20"/>
        </w:rPr>
        <w:t xml:space="preserve">Vol. 43 (3), Pp: 605-34. </w:t>
      </w:r>
    </w:p>
    <w:p w14:paraId="1391D631" w14:textId="423E25CA" w:rsidR="21C3821A" w:rsidRDefault="21C3821A" w:rsidP="0066301C">
      <w:pPr>
        <w:spacing w:line="257" w:lineRule="auto"/>
        <w:jc w:val="both"/>
        <w:rPr>
          <w:rFonts w:ascii="Arial" w:eastAsia="Arial" w:hAnsi="Arial" w:cs="Arial"/>
          <w:sz w:val="20"/>
          <w:szCs w:val="20"/>
        </w:rPr>
      </w:pPr>
      <w:r w:rsidRPr="48425B6A">
        <w:rPr>
          <w:rFonts w:ascii="Arial" w:eastAsia="Arial" w:hAnsi="Arial" w:cs="Arial"/>
          <w:sz w:val="20"/>
          <w:szCs w:val="20"/>
        </w:rPr>
        <w:t xml:space="preserve">Giannellis, N. and Koukouritakis, M. (2011). Behavioural Equilibrium Exchange Rate and Total Misalignment: Evidence from the Euro Exchange Rate. </w:t>
      </w:r>
      <w:r w:rsidRPr="48425B6A">
        <w:rPr>
          <w:rFonts w:ascii="Arial" w:eastAsia="Arial" w:hAnsi="Arial" w:cs="Arial"/>
          <w:i/>
          <w:iCs/>
          <w:sz w:val="20"/>
          <w:szCs w:val="20"/>
        </w:rPr>
        <w:t xml:space="preserve">Empirica, </w:t>
      </w:r>
      <w:r w:rsidRPr="48425B6A">
        <w:rPr>
          <w:rFonts w:ascii="Arial" w:eastAsia="Arial" w:hAnsi="Arial" w:cs="Arial"/>
          <w:sz w:val="20"/>
          <w:szCs w:val="20"/>
        </w:rPr>
        <w:t>Vol 38 (4), Pp: 555-578.</w:t>
      </w:r>
    </w:p>
    <w:p w14:paraId="001CBCCA" w14:textId="774F9B9F" w:rsidR="21C3821A" w:rsidRDefault="21C3821A" w:rsidP="0066301C">
      <w:pPr>
        <w:spacing w:line="257" w:lineRule="auto"/>
        <w:jc w:val="both"/>
        <w:rPr>
          <w:rFonts w:ascii="Arial" w:eastAsia="Arial" w:hAnsi="Arial" w:cs="Arial"/>
          <w:sz w:val="20"/>
          <w:szCs w:val="20"/>
          <w:lang w:val="en-US"/>
        </w:rPr>
      </w:pPr>
      <w:r w:rsidRPr="48425B6A">
        <w:rPr>
          <w:rFonts w:ascii="Arial" w:eastAsia="Arial" w:hAnsi="Arial" w:cs="Arial"/>
          <w:sz w:val="20"/>
          <w:szCs w:val="20"/>
          <w:lang w:val="en-US"/>
        </w:rPr>
        <w:t xml:space="preserve">Gluzmann, P.A., Levy Yeyati, E., and Sturzenegger, F. (2012). Exchange Rate Undervaluation and Economic Growth: Diaz Alejandro (1965) Revisited. </w:t>
      </w:r>
      <w:r w:rsidRPr="48425B6A">
        <w:rPr>
          <w:rFonts w:ascii="Arial" w:eastAsia="Arial" w:hAnsi="Arial" w:cs="Arial"/>
          <w:i/>
          <w:iCs/>
          <w:sz w:val="20"/>
          <w:szCs w:val="20"/>
          <w:lang w:val="en-US"/>
        </w:rPr>
        <w:t>Economics Letters</w:t>
      </w:r>
      <w:r w:rsidRPr="48425B6A">
        <w:rPr>
          <w:rFonts w:ascii="Arial" w:eastAsia="Arial" w:hAnsi="Arial" w:cs="Arial"/>
          <w:sz w:val="20"/>
          <w:szCs w:val="20"/>
          <w:lang w:val="en-US"/>
        </w:rPr>
        <w:t>, Vol. 117(3), Pp: 666–672.</w:t>
      </w:r>
    </w:p>
    <w:p w14:paraId="2E8CC2CE" w14:textId="5BE43555" w:rsidR="21C3821A" w:rsidRDefault="21C3821A" w:rsidP="0066301C">
      <w:pPr>
        <w:tabs>
          <w:tab w:val="left" w:pos="560"/>
          <w:tab w:val="left" w:pos="1120"/>
          <w:tab w:val="left" w:pos="1680"/>
          <w:tab w:val="left" w:pos="2240"/>
          <w:tab w:val="left" w:pos="2800"/>
          <w:tab w:val="left" w:pos="3360"/>
          <w:tab w:val="left" w:pos="3920"/>
          <w:tab w:val="left" w:pos="4480"/>
          <w:tab w:val="left" w:pos="5040"/>
          <w:tab w:val="left" w:pos="5600"/>
          <w:tab w:val="left" w:pos="6160"/>
          <w:tab w:val="left" w:pos="6720"/>
        </w:tabs>
        <w:spacing w:after="240"/>
        <w:jc w:val="both"/>
        <w:rPr>
          <w:rFonts w:ascii="Arial" w:eastAsia="Arial" w:hAnsi="Arial" w:cs="Arial"/>
          <w:sz w:val="20"/>
          <w:szCs w:val="20"/>
        </w:rPr>
      </w:pPr>
      <w:r w:rsidRPr="48425B6A">
        <w:rPr>
          <w:rFonts w:ascii="Arial" w:eastAsia="Arial" w:hAnsi="Arial" w:cs="Arial"/>
          <w:sz w:val="20"/>
          <w:szCs w:val="20"/>
        </w:rPr>
        <w:t xml:space="preserve">Godbout, C., and Langcake. (2013). Demand for manufacturing imports in China. </w:t>
      </w:r>
      <w:r w:rsidRPr="48425B6A">
        <w:rPr>
          <w:rFonts w:ascii="Arial" w:eastAsia="Arial" w:hAnsi="Arial" w:cs="Arial"/>
          <w:i/>
          <w:iCs/>
          <w:sz w:val="20"/>
          <w:szCs w:val="20"/>
        </w:rPr>
        <w:t>Reserve bank of Australia Bulletin</w:t>
      </w:r>
      <w:r w:rsidRPr="48425B6A">
        <w:rPr>
          <w:rFonts w:ascii="Arial" w:eastAsia="Arial" w:hAnsi="Arial" w:cs="Arial"/>
          <w:sz w:val="20"/>
          <w:szCs w:val="20"/>
        </w:rPr>
        <w:t>, Pp: 21–27.</w:t>
      </w:r>
    </w:p>
    <w:p w14:paraId="7E9212F3" w14:textId="2475809E" w:rsidR="21C3821A" w:rsidRDefault="21C3821A" w:rsidP="0066301C">
      <w:pPr>
        <w:tabs>
          <w:tab w:val="left" w:pos="560"/>
          <w:tab w:val="left" w:pos="1120"/>
          <w:tab w:val="left" w:pos="1680"/>
          <w:tab w:val="left" w:pos="2240"/>
          <w:tab w:val="left" w:pos="2800"/>
          <w:tab w:val="left" w:pos="3360"/>
          <w:tab w:val="left" w:pos="3920"/>
          <w:tab w:val="left" w:pos="4480"/>
          <w:tab w:val="left" w:pos="5040"/>
          <w:tab w:val="left" w:pos="5600"/>
          <w:tab w:val="left" w:pos="6160"/>
          <w:tab w:val="left" w:pos="6720"/>
        </w:tabs>
        <w:spacing w:after="240"/>
        <w:jc w:val="both"/>
        <w:rPr>
          <w:rFonts w:ascii="Arial" w:eastAsia="Arial" w:hAnsi="Arial" w:cs="Arial"/>
          <w:sz w:val="20"/>
          <w:szCs w:val="20"/>
          <w:lang w:val="en-US"/>
        </w:rPr>
      </w:pPr>
      <w:r w:rsidRPr="48425B6A">
        <w:rPr>
          <w:rFonts w:ascii="Arial" w:eastAsia="Arial" w:hAnsi="Arial" w:cs="Arial"/>
          <w:sz w:val="20"/>
          <w:szCs w:val="20"/>
          <w:lang w:val="en-US"/>
        </w:rPr>
        <w:t xml:space="preserve">Goldstein, M. (1998). The Asian Financial Crises: Causes, Cures, and Systematic Implications. </w:t>
      </w:r>
      <w:r w:rsidRPr="48425B6A">
        <w:rPr>
          <w:rFonts w:ascii="Arial" w:eastAsia="Arial" w:hAnsi="Arial" w:cs="Arial"/>
          <w:i/>
          <w:iCs/>
          <w:sz w:val="20"/>
          <w:szCs w:val="20"/>
          <w:lang w:val="en-US"/>
        </w:rPr>
        <w:t xml:space="preserve">Institute of International Economics: Washington, D.C., </w:t>
      </w:r>
      <w:r w:rsidRPr="48425B6A">
        <w:rPr>
          <w:rFonts w:ascii="Arial" w:eastAsia="Arial" w:hAnsi="Arial" w:cs="Arial"/>
          <w:sz w:val="20"/>
          <w:szCs w:val="20"/>
          <w:lang w:val="en-US"/>
        </w:rPr>
        <w:t xml:space="preserve">77 pages, ISBN 0-88132-261-X. </w:t>
      </w:r>
    </w:p>
    <w:p w14:paraId="41CE3022" w14:textId="21DB6D7D" w:rsidR="21C3821A" w:rsidRDefault="21C3821A" w:rsidP="0066301C">
      <w:pPr>
        <w:spacing w:after="200" w:line="276" w:lineRule="auto"/>
        <w:jc w:val="both"/>
        <w:rPr>
          <w:rFonts w:ascii="Arial" w:eastAsia="Arial" w:hAnsi="Arial" w:cs="Arial"/>
          <w:sz w:val="20"/>
          <w:szCs w:val="20"/>
        </w:rPr>
      </w:pPr>
      <w:r w:rsidRPr="48425B6A">
        <w:rPr>
          <w:rFonts w:ascii="Arial" w:eastAsia="Arial" w:hAnsi="Arial" w:cs="Arial"/>
          <w:sz w:val="20"/>
          <w:szCs w:val="20"/>
        </w:rPr>
        <w:t xml:space="preserve">Grekou, C. (2015).  Revisiting the Nexus between Currency Misalignments and Growth in the CFA Zone. </w:t>
      </w:r>
      <w:r w:rsidRPr="48425B6A">
        <w:rPr>
          <w:rFonts w:ascii="Arial" w:eastAsia="Arial" w:hAnsi="Arial" w:cs="Arial"/>
          <w:i/>
          <w:iCs/>
          <w:sz w:val="20"/>
          <w:szCs w:val="20"/>
        </w:rPr>
        <w:t xml:space="preserve">Economic Modelling. </w:t>
      </w:r>
      <w:r w:rsidRPr="48425B6A">
        <w:rPr>
          <w:rFonts w:ascii="Arial" w:eastAsia="Arial" w:hAnsi="Arial" w:cs="Arial"/>
          <w:sz w:val="20"/>
          <w:szCs w:val="20"/>
        </w:rPr>
        <w:t>Vol. 45, Pp: 142-154.</w:t>
      </w:r>
    </w:p>
    <w:p w14:paraId="2DF52749" w14:textId="56D991E6" w:rsidR="21C3821A" w:rsidRDefault="21C3821A" w:rsidP="0066301C">
      <w:pPr>
        <w:spacing w:after="200"/>
        <w:jc w:val="both"/>
        <w:rPr>
          <w:rFonts w:ascii="Arial" w:eastAsia="Arial" w:hAnsi="Arial" w:cs="Arial"/>
          <w:sz w:val="20"/>
          <w:szCs w:val="20"/>
        </w:rPr>
      </w:pPr>
      <w:r w:rsidRPr="48425B6A">
        <w:rPr>
          <w:rFonts w:ascii="Arial" w:eastAsia="Arial" w:hAnsi="Arial" w:cs="Arial"/>
          <w:sz w:val="20"/>
          <w:szCs w:val="20"/>
        </w:rPr>
        <w:t xml:space="preserve">Gulde, A. and Tsangarides C. (2008). The CFA Franc Zone: Common Currency, Uncommon Challenges. </w:t>
      </w:r>
      <w:r w:rsidRPr="48425B6A">
        <w:rPr>
          <w:rFonts w:ascii="Arial" w:eastAsia="Arial" w:hAnsi="Arial" w:cs="Arial"/>
          <w:i/>
          <w:iCs/>
          <w:sz w:val="20"/>
          <w:szCs w:val="20"/>
        </w:rPr>
        <w:t>International Monetary Fund</w:t>
      </w:r>
      <w:r w:rsidRPr="48425B6A">
        <w:rPr>
          <w:rFonts w:ascii="Arial" w:eastAsia="Arial" w:hAnsi="Arial" w:cs="Arial"/>
          <w:sz w:val="20"/>
          <w:szCs w:val="20"/>
        </w:rPr>
        <w:t>, Vol. 23 (3).</w:t>
      </w:r>
    </w:p>
    <w:p w14:paraId="59943F28" w14:textId="48AE0D45" w:rsidR="21C3821A" w:rsidRDefault="21C3821A" w:rsidP="0066301C">
      <w:pPr>
        <w:spacing w:after="200"/>
        <w:jc w:val="both"/>
        <w:rPr>
          <w:rFonts w:ascii="Arial" w:eastAsia="Arial" w:hAnsi="Arial" w:cs="Arial"/>
          <w:sz w:val="20"/>
          <w:szCs w:val="20"/>
          <w:lang w:val="en-US"/>
        </w:rPr>
      </w:pPr>
      <w:r w:rsidRPr="48425B6A">
        <w:rPr>
          <w:rFonts w:ascii="Arial" w:eastAsia="Arial" w:hAnsi="Arial" w:cs="Arial"/>
          <w:sz w:val="20"/>
          <w:szCs w:val="20"/>
          <w:lang w:val="en-US"/>
        </w:rPr>
        <w:t xml:space="preserve">Hanson, J. (1983). Contractionary Devaluation, Substitution in production and Consumption, and the Role of the Labor Market. </w:t>
      </w:r>
      <w:r w:rsidRPr="48425B6A">
        <w:rPr>
          <w:rFonts w:ascii="Arial" w:eastAsia="Arial" w:hAnsi="Arial" w:cs="Arial"/>
          <w:i/>
          <w:iCs/>
          <w:sz w:val="20"/>
          <w:szCs w:val="20"/>
          <w:lang w:val="en-US"/>
        </w:rPr>
        <w:t xml:space="preserve">Journal of International Economics, </w:t>
      </w:r>
      <w:r w:rsidRPr="48425B6A">
        <w:rPr>
          <w:rFonts w:ascii="Arial" w:eastAsia="Arial" w:hAnsi="Arial" w:cs="Arial"/>
          <w:sz w:val="20"/>
          <w:szCs w:val="20"/>
          <w:lang w:val="en-US"/>
        </w:rPr>
        <w:t xml:space="preserve">Vol. 14, Pp: 179-189. </w:t>
      </w:r>
    </w:p>
    <w:p w14:paraId="75FA35AE" w14:textId="2CC3063C" w:rsidR="21C3821A" w:rsidRDefault="21C3821A" w:rsidP="0066301C">
      <w:pPr>
        <w:spacing w:after="200"/>
        <w:jc w:val="both"/>
        <w:rPr>
          <w:rFonts w:ascii="Arial" w:eastAsia="Arial" w:hAnsi="Arial" w:cs="Arial"/>
          <w:sz w:val="20"/>
          <w:szCs w:val="20"/>
          <w:lang w:val="en-US"/>
        </w:rPr>
      </w:pPr>
      <w:r w:rsidRPr="48425B6A">
        <w:rPr>
          <w:rFonts w:ascii="Arial" w:eastAsia="Arial" w:hAnsi="Arial" w:cs="Arial"/>
          <w:sz w:val="20"/>
          <w:szCs w:val="20"/>
          <w:lang w:val="en-US"/>
        </w:rPr>
        <w:t xml:space="preserve">Harrison, A.E. and Rodríguez-Clare, A. (2009). Trade, foreign investment, and industrial policy. MPRA Paper 15561. </w:t>
      </w:r>
      <w:r w:rsidRPr="48425B6A">
        <w:rPr>
          <w:rFonts w:ascii="Arial" w:eastAsia="Arial" w:hAnsi="Arial" w:cs="Arial"/>
          <w:i/>
          <w:iCs/>
          <w:sz w:val="20"/>
          <w:szCs w:val="20"/>
          <w:lang w:val="en-US"/>
        </w:rPr>
        <w:t>University Library of Munich</w:t>
      </w:r>
      <w:r w:rsidRPr="48425B6A">
        <w:rPr>
          <w:rFonts w:ascii="Arial" w:eastAsia="Arial" w:hAnsi="Arial" w:cs="Arial"/>
          <w:sz w:val="20"/>
          <w:szCs w:val="20"/>
          <w:lang w:val="en-US"/>
        </w:rPr>
        <w:t>, Germany.</w:t>
      </w:r>
    </w:p>
    <w:p w14:paraId="0D6D6701" w14:textId="6E72D2FC" w:rsidR="21C3821A" w:rsidRDefault="21C3821A" w:rsidP="0066301C">
      <w:pPr>
        <w:spacing w:line="257" w:lineRule="auto"/>
        <w:jc w:val="both"/>
        <w:rPr>
          <w:rFonts w:ascii="Arial" w:eastAsia="Arial" w:hAnsi="Arial" w:cs="Arial"/>
          <w:sz w:val="20"/>
          <w:szCs w:val="20"/>
          <w:lang w:val="en-US"/>
        </w:rPr>
      </w:pPr>
      <w:r w:rsidRPr="48425B6A">
        <w:rPr>
          <w:rFonts w:ascii="Arial" w:eastAsia="Arial" w:hAnsi="Arial" w:cs="Arial"/>
          <w:sz w:val="20"/>
          <w:szCs w:val="20"/>
        </w:rPr>
        <w:t>Harvey, H. (2013). Exchange rate sensitivity in the Philippines: Does the J-curve exist? Asian Journal of Business and Management Sciences, vol.2 (10), Pp: 51-61</w:t>
      </w:r>
      <w:r w:rsidRPr="48425B6A">
        <w:rPr>
          <w:rFonts w:ascii="Arial" w:eastAsia="Arial" w:hAnsi="Arial" w:cs="Arial"/>
          <w:sz w:val="20"/>
          <w:szCs w:val="20"/>
          <w:lang w:val="en-US"/>
        </w:rPr>
        <w:t>.</w:t>
      </w:r>
    </w:p>
    <w:p w14:paraId="3A8A7E01" w14:textId="5B6C7B8B" w:rsidR="21C3821A" w:rsidRDefault="21C3821A" w:rsidP="0066301C">
      <w:pPr>
        <w:spacing w:line="257" w:lineRule="auto"/>
        <w:jc w:val="both"/>
        <w:rPr>
          <w:rFonts w:ascii="Arial" w:eastAsia="Arial" w:hAnsi="Arial" w:cs="Arial"/>
          <w:sz w:val="20"/>
          <w:szCs w:val="20"/>
          <w:lang w:val="en-US"/>
        </w:rPr>
      </w:pPr>
      <w:r w:rsidRPr="48425B6A">
        <w:rPr>
          <w:rFonts w:ascii="Arial" w:eastAsia="Arial" w:hAnsi="Arial" w:cs="Arial"/>
          <w:sz w:val="20"/>
          <w:szCs w:val="20"/>
          <w:lang w:val="en-US"/>
        </w:rPr>
        <w:t xml:space="preserve">Hausmann, R., Hwang, J., Rodrik, D. (2007). What you export matters. </w:t>
      </w:r>
      <w:r w:rsidRPr="48425B6A">
        <w:rPr>
          <w:rFonts w:ascii="Arial" w:eastAsia="Arial" w:hAnsi="Arial" w:cs="Arial"/>
          <w:i/>
          <w:iCs/>
          <w:sz w:val="20"/>
          <w:szCs w:val="20"/>
          <w:lang w:val="en-US"/>
        </w:rPr>
        <w:t>Journal of Economic Growth</w:t>
      </w:r>
      <w:r w:rsidRPr="48425B6A">
        <w:rPr>
          <w:rFonts w:ascii="Arial" w:eastAsia="Arial" w:hAnsi="Arial" w:cs="Arial"/>
          <w:sz w:val="20"/>
          <w:szCs w:val="20"/>
          <w:lang w:val="en-US"/>
        </w:rPr>
        <w:t>, Vol. 12(1), Pp: 1–25.</w:t>
      </w:r>
    </w:p>
    <w:p w14:paraId="01E64CE3" w14:textId="636799B3" w:rsidR="21C3821A" w:rsidRDefault="21C3821A" w:rsidP="0066301C">
      <w:pPr>
        <w:jc w:val="both"/>
        <w:rPr>
          <w:rFonts w:ascii="Arial" w:eastAsia="Arial" w:hAnsi="Arial" w:cs="Arial"/>
          <w:sz w:val="20"/>
          <w:szCs w:val="20"/>
        </w:rPr>
      </w:pPr>
      <w:r w:rsidRPr="48425B6A">
        <w:rPr>
          <w:rFonts w:ascii="Arial" w:eastAsia="Arial" w:hAnsi="Arial" w:cs="Arial"/>
          <w:sz w:val="20"/>
          <w:szCs w:val="20"/>
        </w:rPr>
        <w:t xml:space="preserve">Haynes, S.E. and Stone, J.A. (1982). Impact of the terms of trade on the U.S. trade balance: A Re-examination, </w:t>
      </w:r>
      <w:r w:rsidRPr="48425B6A">
        <w:rPr>
          <w:rFonts w:ascii="Arial" w:eastAsia="Arial" w:hAnsi="Arial" w:cs="Arial"/>
          <w:i/>
          <w:iCs/>
          <w:sz w:val="20"/>
          <w:szCs w:val="20"/>
        </w:rPr>
        <w:t>Review of Economics and Statistics</w:t>
      </w:r>
      <w:r w:rsidRPr="48425B6A">
        <w:rPr>
          <w:rFonts w:ascii="Arial" w:eastAsia="Arial" w:hAnsi="Arial" w:cs="Arial"/>
          <w:sz w:val="20"/>
          <w:szCs w:val="20"/>
        </w:rPr>
        <w:t>, Vol. 64, Pp: 702-706.</w:t>
      </w:r>
    </w:p>
    <w:p w14:paraId="0BB238CF" w14:textId="5527A0DF" w:rsidR="21C3821A" w:rsidRDefault="21C3821A" w:rsidP="0066301C">
      <w:pPr>
        <w:spacing w:after="240"/>
        <w:jc w:val="both"/>
        <w:rPr>
          <w:rFonts w:ascii="Arial" w:eastAsia="Arial" w:hAnsi="Arial" w:cs="Arial"/>
          <w:sz w:val="20"/>
          <w:szCs w:val="20"/>
          <w:lang w:val="en-US"/>
        </w:rPr>
      </w:pPr>
      <w:r w:rsidRPr="48425B6A">
        <w:rPr>
          <w:rFonts w:ascii="Arial" w:eastAsia="Arial" w:hAnsi="Arial" w:cs="Arial"/>
          <w:sz w:val="20"/>
          <w:szCs w:val="20"/>
          <w:lang w:val="en-US"/>
        </w:rPr>
        <w:t xml:space="preserve">Himarios, D. (1985). The Effects of Devaluation on the Trade Balance: A Critical view and re-examination of Mile’s new results. </w:t>
      </w:r>
      <w:r w:rsidRPr="48425B6A">
        <w:rPr>
          <w:rFonts w:ascii="Arial" w:eastAsia="Arial" w:hAnsi="Arial" w:cs="Arial"/>
          <w:i/>
          <w:iCs/>
          <w:sz w:val="20"/>
          <w:szCs w:val="20"/>
          <w:lang w:val="en-US"/>
        </w:rPr>
        <w:t xml:space="preserve">Journal of International Money and Finance, </w:t>
      </w:r>
      <w:r w:rsidRPr="48425B6A">
        <w:rPr>
          <w:rFonts w:ascii="Arial" w:eastAsia="Arial" w:hAnsi="Arial" w:cs="Arial"/>
          <w:sz w:val="20"/>
          <w:szCs w:val="20"/>
          <w:lang w:val="en-US"/>
        </w:rPr>
        <w:t>Vol. 4(4), Pp: 553-563.</w:t>
      </w:r>
    </w:p>
    <w:p w14:paraId="583FEECB" w14:textId="386B4504" w:rsidR="21C3821A" w:rsidRDefault="21C3821A" w:rsidP="0066301C">
      <w:pPr>
        <w:spacing w:after="240"/>
        <w:jc w:val="both"/>
        <w:rPr>
          <w:rFonts w:ascii="Arial" w:eastAsia="Arial" w:hAnsi="Arial" w:cs="Arial"/>
          <w:sz w:val="20"/>
          <w:szCs w:val="20"/>
          <w:lang w:val="en-US"/>
        </w:rPr>
      </w:pPr>
      <w:r w:rsidRPr="48425B6A">
        <w:rPr>
          <w:rFonts w:ascii="Arial" w:eastAsia="Arial" w:hAnsi="Arial" w:cs="Arial"/>
          <w:sz w:val="20"/>
          <w:szCs w:val="20"/>
          <w:lang w:val="en-US"/>
        </w:rPr>
        <w:t xml:space="preserve">Hinkle, L.E. and Montiel, P.J. (1999). Exchange Rate Misalignment: Concepts and Measurement for Developing Countries. </w:t>
      </w:r>
      <w:r w:rsidRPr="48425B6A">
        <w:rPr>
          <w:rFonts w:ascii="Arial" w:eastAsia="Arial" w:hAnsi="Arial" w:cs="Arial"/>
          <w:i/>
          <w:iCs/>
          <w:sz w:val="20"/>
          <w:szCs w:val="20"/>
          <w:lang w:val="en-US"/>
        </w:rPr>
        <w:t>A World Bank Research Publication</w:t>
      </w:r>
      <w:r w:rsidRPr="48425B6A">
        <w:rPr>
          <w:rFonts w:ascii="Arial" w:eastAsia="Arial" w:hAnsi="Arial" w:cs="Arial"/>
          <w:sz w:val="20"/>
          <w:szCs w:val="20"/>
          <w:lang w:val="en-US"/>
        </w:rPr>
        <w:t>, Oxford University Press,</w:t>
      </w:r>
    </w:p>
    <w:p w14:paraId="013AFA4E" w14:textId="2E2C303B" w:rsidR="21C3821A" w:rsidRDefault="21C3821A" w:rsidP="0066301C">
      <w:pPr>
        <w:spacing w:after="200"/>
        <w:jc w:val="both"/>
        <w:rPr>
          <w:rFonts w:ascii="Arial" w:eastAsia="Arial" w:hAnsi="Arial" w:cs="Arial"/>
          <w:sz w:val="20"/>
          <w:szCs w:val="20"/>
          <w:lang w:val="en-US"/>
        </w:rPr>
      </w:pPr>
      <w:r w:rsidRPr="48425B6A">
        <w:rPr>
          <w:rFonts w:ascii="Arial" w:eastAsia="Arial" w:hAnsi="Arial" w:cs="Arial"/>
          <w:sz w:val="20"/>
          <w:szCs w:val="20"/>
          <w:lang w:val="en-US"/>
        </w:rPr>
        <w:t xml:space="preserve">Hinkle, L.E. and Nsengiyumva, F. (1999). The two-good internal RER for tradable and non-tradable. In: Hinkle, L.E., and Montiel, P.J. (Eds.), Exchange Rate Misalignment: Concepts and Measurement for Developing Countries. </w:t>
      </w:r>
      <w:r w:rsidRPr="48425B6A">
        <w:rPr>
          <w:rFonts w:ascii="Arial" w:eastAsia="Arial" w:hAnsi="Arial" w:cs="Arial"/>
          <w:i/>
          <w:iCs/>
          <w:sz w:val="20"/>
          <w:szCs w:val="20"/>
          <w:lang w:val="en-US"/>
        </w:rPr>
        <w:t>A World Bank Research Publication</w:t>
      </w:r>
      <w:r w:rsidRPr="48425B6A">
        <w:rPr>
          <w:rFonts w:ascii="Arial" w:eastAsia="Arial" w:hAnsi="Arial" w:cs="Arial"/>
          <w:sz w:val="20"/>
          <w:szCs w:val="20"/>
          <w:lang w:val="en-US"/>
        </w:rPr>
        <w:t xml:space="preserve">, Oxford University Press, </w:t>
      </w:r>
      <w:r w:rsidR="00D91169">
        <w:rPr>
          <w:rFonts w:ascii="Arial" w:eastAsia="Arial" w:hAnsi="Arial" w:cs="Arial"/>
          <w:sz w:val="20"/>
          <w:szCs w:val="20"/>
          <w:lang w:val="en-US"/>
        </w:rPr>
        <w:t>P</w:t>
      </w:r>
      <w:r w:rsidRPr="48425B6A">
        <w:rPr>
          <w:rFonts w:ascii="Arial" w:eastAsia="Arial" w:hAnsi="Arial" w:cs="Arial"/>
          <w:sz w:val="20"/>
          <w:szCs w:val="20"/>
          <w:lang w:val="en-US"/>
        </w:rPr>
        <w:t>p</w:t>
      </w:r>
      <w:r w:rsidR="00D91169">
        <w:rPr>
          <w:rFonts w:ascii="Arial" w:eastAsia="Arial" w:hAnsi="Arial" w:cs="Arial"/>
          <w:sz w:val="20"/>
          <w:szCs w:val="20"/>
          <w:lang w:val="en-US"/>
        </w:rPr>
        <w:t>:</w:t>
      </w:r>
      <w:r w:rsidRPr="48425B6A">
        <w:rPr>
          <w:rFonts w:ascii="Arial" w:eastAsia="Arial" w:hAnsi="Arial" w:cs="Arial"/>
          <w:sz w:val="20"/>
          <w:szCs w:val="20"/>
          <w:lang w:val="en-US"/>
        </w:rPr>
        <w:t xml:space="preserve"> 113–173. </w:t>
      </w:r>
    </w:p>
    <w:p w14:paraId="0832EC29" w14:textId="24CA93D0" w:rsidR="21C3821A" w:rsidRDefault="21C3821A" w:rsidP="0066301C">
      <w:pPr>
        <w:spacing w:after="200"/>
        <w:jc w:val="both"/>
        <w:rPr>
          <w:rFonts w:ascii="Arial" w:eastAsia="Arial" w:hAnsi="Arial" w:cs="Arial"/>
          <w:i/>
          <w:iCs/>
          <w:sz w:val="20"/>
          <w:szCs w:val="20"/>
          <w:lang w:val="en-US"/>
        </w:rPr>
      </w:pPr>
      <w:r w:rsidRPr="48425B6A">
        <w:rPr>
          <w:rFonts w:ascii="Arial" w:eastAsia="Arial" w:hAnsi="Arial" w:cs="Arial"/>
          <w:sz w:val="20"/>
          <w:szCs w:val="20"/>
          <w:lang w:val="en-US"/>
        </w:rPr>
        <w:t xml:space="preserve">Hopkins, S. (1992). The Application of the Portfolio Balance Model of Exchange Rate Determination of the Australian Dollar. Submitted in Fulfilment of the Requirements for the Degree of Doctor of Philosophy, Department of Economics. </w:t>
      </w:r>
      <w:r w:rsidRPr="48425B6A">
        <w:rPr>
          <w:rFonts w:ascii="Arial" w:eastAsia="Arial" w:hAnsi="Arial" w:cs="Arial"/>
          <w:i/>
          <w:iCs/>
          <w:sz w:val="20"/>
          <w:szCs w:val="20"/>
          <w:lang w:val="en-US"/>
        </w:rPr>
        <w:t xml:space="preserve">University of Tasmania. </w:t>
      </w:r>
    </w:p>
    <w:p w14:paraId="3CC0AF3C" w14:textId="4C1546AA" w:rsidR="21C3821A" w:rsidRDefault="21C3821A" w:rsidP="0066301C">
      <w:pPr>
        <w:spacing w:after="200"/>
        <w:jc w:val="both"/>
        <w:rPr>
          <w:rFonts w:ascii="Arial" w:eastAsia="Arial" w:hAnsi="Arial" w:cs="Arial"/>
          <w:sz w:val="20"/>
          <w:szCs w:val="20"/>
        </w:rPr>
      </w:pPr>
      <w:r w:rsidRPr="48425B6A">
        <w:rPr>
          <w:rFonts w:ascii="Arial" w:eastAsia="Arial" w:hAnsi="Arial" w:cs="Arial"/>
          <w:color w:val="333333"/>
          <w:sz w:val="20"/>
          <w:szCs w:val="20"/>
        </w:rPr>
        <w:t xml:space="preserve">Howe, K. R. (1988). Against the Quantitative-Qualitative Incompatibility Thesis or Dogmas Die Hard. </w:t>
      </w:r>
      <w:r w:rsidRPr="48425B6A">
        <w:rPr>
          <w:rFonts w:ascii="Arial" w:eastAsia="Arial" w:hAnsi="Arial" w:cs="Arial"/>
          <w:i/>
          <w:iCs/>
          <w:color w:val="333333"/>
          <w:sz w:val="20"/>
          <w:szCs w:val="20"/>
        </w:rPr>
        <w:t>Educational Researcher</w:t>
      </w:r>
      <w:r w:rsidRPr="48425B6A">
        <w:rPr>
          <w:rFonts w:ascii="Arial" w:eastAsia="Arial" w:hAnsi="Arial" w:cs="Arial"/>
          <w:color w:val="333333"/>
          <w:sz w:val="20"/>
          <w:szCs w:val="20"/>
        </w:rPr>
        <w:t>. Vol. 17(8), Pp:10-16. doi:</w:t>
      </w:r>
      <w:hyperlink r:id="rId128">
        <w:r w:rsidRPr="48425B6A">
          <w:rPr>
            <w:rStyle w:val="Hyperlink"/>
            <w:rFonts w:ascii="Arial" w:eastAsia="Arial" w:hAnsi="Arial" w:cs="Arial"/>
            <w:sz w:val="20"/>
            <w:szCs w:val="20"/>
          </w:rPr>
          <w:t>10.3102/0013189X017008010</w:t>
        </w:r>
      </w:hyperlink>
    </w:p>
    <w:p w14:paraId="2B6AE4B7" w14:textId="77777777" w:rsidR="00AB3F16" w:rsidRPr="00AB3F16" w:rsidRDefault="00AB3F16" w:rsidP="0066301C">
      <w:pPr>
        <w:spacing w:line="240" w:lineRule="auto"/>
        <w:jc w:val="both"/>
        <w:rPr>
          <w:rFonts w:ascii="Arial" w:hAnsi="Arial" w:cs="Arial"/>
          <w:i/>
          <w:iCs/>
          <w:sz w:val="20"/>
          <w:szCs w:val="20"/>
        </w:rPr>
      </w:pPr>
      <w:r w:rsidRPr="00AB3F16">
        <w:rPr>
          <w:rFonts w:ascii="Arial" w:hAnsi="Arial" w:cs="Arial"/>
          <w:sz w:val="20"/>
          <w:szCs w:val="20"/>
        </w:rPr>
        <w:t xml:space="preserve">Hussein A. (2015). An Empirical Test of Purchasing Power Parity Theory for Canadian Dollar-US Dollar Exchange Rates. </w:t>
      </w:r>
      <w:r w:rsidRPr="00AB3F16">
        <w:rPr>
          <w:rFonts w:ascii="Arial" w:hAnsi="Arial" w:cs="Arial"/>
          <w:i/>
          <w:iCs/>
          <w:sz w:val="20"/>
          <w:szCs w:val="20"/>
        </w:rPr>
        <w:t>International Journal of Economics and Finance</w:t>
      </w:r>
      <w:r w:rsidRPr="00AB3F16">
        <w:rPr>
          <w:rFonts w:ascii="Arial" w:hAnsi="Arial" w:cs="Arial"/>
          <w:sz w:val="20"/>
          <w:szCs w:val="20"/>
        </w:rPr>
        <w:t>, Vol. 7(3).</w:t>
      </w:r>
    </w:p>
    <w:p w14:paraId="528F1BAC" w14:textId="356FB5E0" w:rsidR="21C3821A" w:rsidRPr="00AB3F16" w:rsidRDefault="21C3821A" w:rsidP="0066301C">
      <w:pPr>
        <w:spacing w:line="240" w:lineRule="auto"/>
        <w:jc w:val="both"/>
        <w:rPr>
          <w:rFonts w:ascii="Arial" w:eastAsia="Arial" w:hAnsi="Arial" w:cs="Arial"/>
          <w:sz w:val="20"/>
          <w:szCs w:val="20"/>
          <w:lang w:val="en-US"/>
        </w:rPr>
      </w:pPr>
      <w:r w:rsidRPr="00AB3F16">
        <w:rPr>
          <w:rFonts w:ascii="Arial" w:eastAsia="Arial" w:hAnsi="Arial" w:cs="Arial"/>
          <w:sz w:val="20"/>
          <w:szCs w:val="20"/>
          <w:lang w:val="en-US"/>
        </w:rPr>
        <w:lastRenderedPageBreak/>
        <w:t xml:space="preserve">Ian, W. (2009). The Monetary Approach to Exchange Rates: A Brief Review and Empirical Investigation of Debt, Deficit, and Debt Management: Evidence from the United States. </w:t>
      </w:r>
      <w:r w:rsidRPr="00AB3F16">
        <w:rPr>
          <w:rFonts w:ascii="Arial" w:eastAsia="Arial" w:hAnsi="Arial" w:cs="Arial"/>
          <w:i/>
          <w:iCs/>
          <w:sz w:val="20"/>
          <w:szCs w:val="20"/>
          <w:lang w:val="en-US"/>
        </w:rPr>
        <w:t xml:space="preserve">The Journal of Business Inquiry, </w:t>
      </w:r>
      <w:r w:rsidRPr="00AB3F16">
        <w:rPr>
          <w:rFonts w:ascii="Arial" w:eastAsia="Arial" w:hAnsi="Arial" w:cs="Arial"/>
          <w:sz w:val="20"/>
          <w:szCs w:val="20"/>
          <w:lang w:val="en-US"/>
        </w:rPr>
        <w:t>Vol.8 (1), Pp: 83 – 99.</w:t>
      </w:r>
    </w:p>
    <w:p w14:paraId="71AEAE8A" w14:textId="28CFBF85" w:rsidR="21C3821A" w:rsidRDefault="21C3821A" w:rsidP="0066301C">
      <w:pPr>
        <w:spacing w:after="200"/>
        <w:jc w:val="both"/>
        <w:rPr>
          <w:rFonts w:ascii="Arial" w:eastAsia="Arial" w:hAnsi="Arial" w:cs="Arial"/>
          <w:sz w:val="20"/>
          <w:szCs w:val="20"/>
          <w:lang w:val="en-US"/>
        </w:rPr>
      </w:pPr>
      <w:r w:rsidRPr="48425B6A">
        <w:rPr>
          <w:rFonts w:ascii="Arial" w:eastAsia="Arial" w:hAnsi="Arial" w:cs="Arial"/>
          <w:sz w:val="20"/>
          <w:szCs w:val="20"/>
          <w:lang w:val="en-US"/>
        </w:rPr>
        <w:t>IMF (2014). Annual Report on Exchange Arrangements and Exchange Restrictions 2014. Washington, D.C.</w:t>
      </w:r>
    </w:p>
    <w:p w14:paraId="05DE93A1" w14:textId="137B61BD" w:rsidR="21C3821A" w:rsidRDefault="21C3821A" w:rsidP="0066301C">
      <w:pPr>
        <w:spacing w:after="200"/>
        <w:jc w:val="both"/>
        <w:rPr>
          <w:rFonts w:ascii="Arial" w:eastAsia="Arial" w:hAnsi="Arial" w:cs="Arial"/>
          <w:sz w:val="20"/>
          <w:szCs w:val="20"/>
          <w:lang w:val="en-US"/>
        </w:rPr>
      </w:pPr>
      <w:r w:rsidRPr="48425B6A">
        <w:rPr>
          <w:rFonts w:ascii="Arial" w:eastAsia="Arial" w:hAnsi="Arial" w:cs="Arial"/>
          <w:sz w:val="20"/>
          <w:szCs w:val="20"/>
          <w:lang w:val="en-US"/>
        </w:rPr>
        <w:t xml:space="preserve">Imoisi, A. I (2012). Trends in Nigeria;s Balance of Payments: An Empirical Analysis from 1970 – 2010. </w:t>
      </w:r>
      <w:r w:rsidRPr="48425B6A">
        <w:rPr>
          <w:rFonts w:ascii="Arial" w:eastAsia="Arial" w:hAnsi="Arial" w:cs="Arial"/>
          <w:i/>
          <w:iCs/>
          <w:sz w:val="20"/>
          <w:szCs w:val="20"/>
          <w:lang w:val="en-US"/>
        </w:rPr>
        <w:t>European Journal of Business and Management,</w:t>
      </w:r>
      <w:r w:rsidRPr="48425B6A">
        <w:rPr>
          <w:rFonts w:ascii="Arial" w:eastAsia="Arial" w:hAnsi="Arial" w:cs="Arial"/>
          <w:sz w:val="20"/>
          <w:szCs w:val="20"/>
          <w:lang w:val="en-US"/>
        </w:rPr>
        <w:t xml:space="preserve"> Vol. 4(21), Pp:210-2017.</w:t>
      </w:r>
    </w:p>
    <w:p w14:paraId="0E3A5607" w14:textId="25AA297B" w:rsidR="21C3821A" w:rsidRDefault="21C3821A" w:rsidP="0066301C">
      <w:pPr>
        <w:spacing w:after="200"/>
        <w:jc w:val="both"/>
        <w:rPr>
          <w:rFonts w:ascii="Arial" w:eastAsia="Arial" w:hAnsi="Arial" w:cs="Arial"/>
          <w:sz w:val="20"/>
          <w:szCs w:val="20"/>
        </w:rPr>
      </w:pPr>
      <w:r w:rsidRPr="48425B6A">
        <w:rPr>
          <w:rFonts w:ascii="Arial" w:eastAsia="Arial" w:hAnsi="Arial" w:cs="Arial"/>
          <w:sz w:val="20"/>
          <w:szCs w:val="20"/>
        </w:rPr>
        <w:t xml:space="preserve">Isard, p. (2007). Equilibrium Exchange Rates: Assessment Methodologies. </w:t>
      </w:r>
      <w:r w:rsidRPr="48425B6A">
        <w:rPr>
          <w:rFonts w:ascii="Arial" w:eastAsia="Arial" w:hAnsi="Arial" w:cs="Arial"/>
          <w:i/>
          <w:iCs/>
          <w:sz w:val="20"/>
          <w:szCs w:val="20"/>
        </w:rPr>
        <w:t xml:space="preserve">IMF Working Paper, </w:t>
      </w:r>
      <w:r w:rsidRPr="48425B6A">
        <w:rPr>
          <w:rFonts w:ascii="Arial" w:eastAsia="Arial" w:hAnsi="Arial" w:cs="Arial"/>
          <w:sz w:val="20"/>
          <w:szCs w:val="20"/>
        </w:rPr>
        <w:t>Pp: 1-48.</w:t>
      </w:r>
    </w:p>
    <w:p w14:paraId="78AC18A9" w14:textId="666B7D64" w:rsidR="21C3821A" w:rsidRDefault="21C3821A" w:rsidP="0066301C">
      <w:pPr>
        <w:spacing w:after="200"/>
        <w:jc w:val="both"/>
        <w:rPr>
          <w:rFonts w:ascii="Arial" w:eastAsia="Arial" w:hAnsi="Arial" w:cs="Arial"/>
          <w:i/>
          <w:iCs/>
          <w:sz w:val="20"/>
          <w:szCs w:val="20"/>
        </w:rPr>
      </w:pPr>
      <w:r w:rsidRPr="48425B6A">
        <w:rPr>
          <w:rFonts w:ascii="Arial" w:eastAsia="Arial" w:hAnsi="Arial" w:cs="Arial"/>
          <w:sz w:val="20"/>
          <w:szCs w:val="20"/>
        </w:rPr>
        <w:t xml:space="preserve">Iyoboyi, I. and Muftau, O. (2014). The Impact of Exchange Rate Depreciation on the Balance of Payments: Empirical Evidence from Nigeria. </w:t>
      </w:r>
      <w:r w:rsidRPr="48425B6A">
        <w:rPr>
          <w:rFonts w:ascii="Arial" w:eastAsia="Arial" w:hAnsi="Arial" w:cs="Arial"/>
          <w:i/>
          <w:iCs/>
          <w:sz w:val="20"/>
          <w:szCs w:val="20"/>
        </w:rPr>
        <w:t xml:space="preserve">Cogent Economics and Finance, </w:t>
      </w:r>
      <w:r w:rsidRPr="48425B6A">
        <w:rPr>
          <w:rFonts w:ascii="Arial" w:eastAsia="Arial" w:hAnsi="Arial" w:cs="Arial"/>
          <w:sz w:val="20"/>
          <w:szCs w:val="20"/>
        </w:rPr>
        <w:t>Vol. 2(1)</w:t>
      </w:r>
      <w:r w:rsidRPr="48425B6A">
        <w:rPr>
          <w:rFonts w:ascii="Arial" w:eastAsia="Arial" w:hAnsi="Arial" w:cs="Arial"/>
          <w:i/>
          <w:iCs/>
          <w:sz w:val="20"/>
          <w:szCs w:val="20"/>
        </w:rPr>
        <w:t xml:space="preserve">. </w:t>
      </w:r>
    </w:p>
    <w:p w14:paraId="625F6073" w14:textId="231A5052" w:rsidR="21C3821A" w:rsidRDefault="21C3821A" w:rsidP="0066301C">
      <w:pPr>
        <w:spacing w:line="257" w:lineRule="auto"/>
        <w:jc w:val="both"/>
        <w:rPr>
          <w:rFonts w:ascii="Arial" w:eastAsia="Arial" w:hAnsi="Arial" w:cs="Arial"/>
          <w:color w:val="000000" w:themeColor="text1"/>
          <w:sz w:val="20"/>
          <w:szCs w:val="20"/>
        </w:rPr>
      </w:pPr>
      <w:r w:rsidRPr="48425B6A">
        <w:rPr>
          <w:rFonts w:ascii="Arial" w:eastAsia="Arial" w:hAnsi="Arial" w:cs="Arial"/>
          <w:color w:val="000000" w:themeColor="text1"/>
          <w:sz w:val="20"/>
          <w:szCs w:val="20"/>
        </w:rPr>
        <w:t xml:space="preserve">Jarque, C. M. and A. K. Bera (1987). “A Test for Normality of Observations and Regression Residuals.” </w:t>
      </w:r>
      <w:r w:rsidRPr="48425B6A">
        <w:rPr>
          <w:rFonts w:ascii="Arial" w:eastAsia="Arial" w:hAnsi="Arial" w:cs="Arial"/>
          <w:i/>
          <w:iCs/>
          <w:color w:val="212121"/>
          <w:sz w:val="20"/>
          <w:szCs w:val="20"/>
        </w:rPr>
        <w:t>International Statistical Review</w:t>
      </w:r>
      <w:r w:rsidRPr="48425B6A">
        <w:rPr>
          <w:rFonts w:ascii="Arial" w:eastAsia="Arial" w:hAnsi="Arial" w:cs="Arial"/>
          <w:color w:val="000000" w:themeColor="text1"/>
          <w:sz w:val="20"/>
          <w:szCs w:val="20"/>
        </w:rPr>
        <w:t>. Vol. 55(2), Pp. 163–172.</w:t>
      </w:r>
    </w:p>
    <w:p w14:paraId="492BCD64" w14:textId="0E1C0918" w:rsidR="21C3821A" w:rsidRDefault="21C3821A" w:rsidP="0066301C">
      <w:pPr>
        <w:spacing w:line="257" w:lineRule="auto"/>
        <w:jc w:val="both"/>
        <w:rPr>
          <w:rFonts w:ascii="Arial" w:eastAsia="Arial" w:hAnsi="Arial" w:cs="Arial"/>
          <w:i/>
          <w:iCs/>
          <w:sz w:val="20"/>
          <w:szCs w:val="20"/>
          <w:lang w:val="en-US"/>
        </w:rPr>
      </w:pPr>
      <w:r w:rsidRPr="48425B6A">
        <w:rPr>
          <w:rFonts w:ascii="Arial" w:eastAsia="Arial" w:hAnsi="Arial" w:cs="Arial"/>
          <w:sz w:val="20"/>
          <w:szCs w:val="20"/>
          <w:lang w:val="en-US"/>
        </w:rPr>
        <w:t xml:space="preserve">Jena, N. R. and Sethi, N. (2019). Interaction of the Real Effective Exchange Rate with Economic Growth via Openness of the Economy: Empirical Evidence from India. </w:t>
      </w:r>
      <w:r w:rsidRPr="48425B6A">
        <w:rPr>
          <w:rFonts w:ascii="Arial" w:eastAsia="Arial" w:hAnsi="Arial" w:cs="Arial"/>
          <w:i/>
          <w:iCs/>
          <w:sz w:val="20"/>
          <w:szCs w:val="20"/>
          <w:lang w:val="en-US"/>
        </w:rPr>
        <w:t>Journal of Public Affair.</w:t>
      </w:r>
    </w:p>
    <w:p w14:paraId="222DF36D" w14:textId="44E947F5" w:rsidR="21C3821A" w:rsidRDefault="21C3821A" w:rsidP="0066301C">
      <w:pPr>
        <w:spacing w:after="200"/>
        <w:jc w:val="both"/>
        <w:rPr>
          <w:rFonts w:ascii="Arial" w:eastAsia="Arial" w:hAnsi="Arial" w:cs="Arial"/>
          <w:sz w:val="20"/>
          <w:szCs w:val="20"/>
          <w:lang w:val="en-US"/>
        </w:rPr>
      </w:pPr>
      <w:r w:rsidRPr="48425B6A">
        <w:rPr>
          <w:rFonts w:ascii="Arial" w:eastAsia="Arial" w:hAnsi="Arial" w:cs="Arial"/>
          <w:sz w:val="20"/>
          <w:szCs w:val="20"/>
          <w:lang w:val="en-US"/>
        </w:rPr>
        <w:t xml:space="preserve">Jeong, S. E., Mazier, J. and Saadaoui, J. (2010). Exchange Rate Misalignments at  World and European Levels: A FEER Approach. </w:t>
      </w:r>
      <w:r w:rsidRPr="48425B6A">
        <w:rPr>
          <w:rFonts w:ascii="Arial" w:eastAsia="Arial" w:hAnsi="Arial" w:cs="Arial"/>
          <w:i/>
          <w:iCs/>
          <w:sz w:val="20"/>
          <w:szCs w:val="20"/>
          <w:lang w:val="en-US"/>
        </w:rPr>
        <w:t xml:space="preserve">International Economics. </w:t>
      </w:r>
      <w:r w:rsidRPr="48425B6A">
        <w:rPr>
          <w:rFonts w:ascii="Arial" w:eastAsia="Arial" w:hAnsi="Arial" w:cs="Arial"/>
          <w:sz w:val="20"/>
          <w:szCs w:val="20"/>
          <w:lang w:val="en-US"/>
        </w:rPr>
        <w:t>Vol. 121, Pp: 25 -0 57.</w:t>
      </w:r>
    </w:p>
    <w:p w14:paraId="1235C0A8" w14:textId="02A9CEA1" w:rsidR="21C3821A" w:rsidRDefault="21C3821A" w:rsidP="0066301C">
      <w:pPr>
        <w:spacing w:after="200"/>
        <w:jc w:val="both"/>
        <w:rPr>
          <w:rFonts w:ascii="Arial" w:eastAsia="Arial" w:hAnsi="Arial" w:cs="Arial"/>
          <w:sz w:val="20"/>
          <w:szCs w:val="20"/>
          <w:lang w:val="en-US"/>
        </w:rPr>
      </w:pPr>
      <w:r w:rsidRPr="48425B6A">
        <w:rPr>
          <w:rFonts w:ascii="Arial" w:eastAsia="Arial" w:hAnsi="Arial" w:cs="Arial"/>
          <w:sz w:val="20"/>
          <w:szCs w:val="20"/>
          <w:lang w:val="en-US"/>
        </w:rPr>
        <w:t xml:space="preserve">Johnson, H. G. (1976). The Monetary Approach to Balance of Payment Theory. </w:t>
      </w:r>
      <w:r w:rsidRPr="48425B6A">
        <w:rPr>
          <w:rFonts w:ascii="Arial" w:eastAsia="Arial" w:hAnsi="Arial" w:cs="Arial"/>
          <w:i/>
          <w:iCs/>
          <w:sz w:val="20"/>
          <w:szCs w:val="20"/>
          <w:lang w:val="en-US"/>
        </w:rPr>
        <w:t xml:space="preserve">Journal of Finance and Quantitative Analysis, </w:t>
      </w:r>
      <w:r w:rsidRPr="48425B6A">
        <w:rPr>
          <w:rFonts w:ascii="Arial" w:eastAsia="Arial" w:hAnsi="Arial" w:cs="Arial"/>
          <w:sz w:val="20"/>
          <w:szCs w:val="20"/>
          <w:lang w:val="en-US"/>
        </w:rPr>
        <w:t>Vol. 2(3), Pp: 129 – 143.</w:t>
      </w:r>
    </w:p>
    <w:p w14:paraId="24A7092F" w14:textId="6DD06E1D" w:rsidR="21C3821A" w:rsidRDefault="21C3821A" w:rsidP="0066301C">
      <w:pPr>
        <w:spacing w:after="200"/>
        <w:jc w:val="both"/>
        <w:rPr>
          <w:rFonts w:ascii="Arial" w:eastAsia="Arial" w:hAnsi="Arial" w:cs="Arial"/>
          <w:sz w:val="20"/>
          <w:szCs w:val="20"/>
          <w:lang w:val="en-US"/>
        </w:rPr>
      </w:pPr>
      <w:r w:rsidRPr="48425B6A">
        <w:rPr>
          <w:rFonts w:ascii="Arial" w:eastAsia="Arial" w:hAnsi="Arial" w:cs="Arial"/>
          <w:sz w:val="20"/>
          <w:szCs w:val="20"/>
          <w:lang w:val="en-US"/>
        </w:rPr>
        <w:t xml:space="preserve">Johansen, S. (1988). Statistical analysis of cointegration vectors. </w:t>
      </w:r>
      <w:r w:rsidRPr="48425B6A">
        <w:rPr>
          <w:rFonts w:ascii="Arial" w:eastAsia="Arial" w:hAnsi="Arial" w:cs="Arial"/>
          <w:i/>
          <w:iCs/>
          <w:sz w:val="20"/>
          <w:szCs w:val="20"/>
          <w:lang w:val="en-US"/>
        </w:rPr>
        <w:t xml:space="preserve">Journal of Economic Dynamics and Control, </w:t>
      </w:r>
      <w:r w:rsidRPr="48425B6A">
        <w:rPr>
          <w:rFonts w:ascii="Arial" w:eastAsia="Arial" w:hAnsi="Arial" w:cs="Arial"/>
          <w:sz w:val="20"/>
          <w:szCs w:val="20"/>
          <w:lang w:val="en-US"/>
        </w:rPr>
        <w:t>Vol. 12(2), Pp:231-254.</w:t>
      </w:r>
    </w:p>
    <w:p w14:paraId="1EEB0D6A" w14:textId="45CC533B" w:rsidR="21C3821A" w:rsidRDefault="21C3821A" w:rsidP="0066301C">
      <w:pPr>
        <w:jc w:val="both"/>
        <w:rPr>
          <w:rFonts w:ascii="Arial" w:eastAsia="Arial" w:hAnsi="Arial" w:cs="Arial"/>
          <w:color w:val="232323"/>
          <w:sz w:val="20"/>
          <w:szCs w:val="20"/>
        </w:rPr>
      </w:pPr>
      <w:r w:rsidRPr="48425B6A">
        <w:rPr>
          <w:rFonts w:ascii="Arial" w:eastAsia="Arial" w:hAnsi="Arial" w:cs="Arial"/>
          <w:sz w:val="20"/>
          <w:szCs w:val="20"/>
          <w:lang w:val="en-US"/>
        </w:rPr>
        <w:t xml:space="preserve">Johansen, S. (1991). </w:t>
      </w:r>
      <w:r w:rsidRPr="48425B6A">
        <w:rPr>
          <w:rFonts w:ascii="Arial" w:eastAsia="Arial" w:hAnsi="Arial" w:cs="Arial"/>
          <w:color w:val="000000" w:themeColor="text1"/>
          <w:sz w:val="20"/>
          <w:szCs w:val="20"/>
        </w:rPr>
        <w:t xml:space="preserve">Estimation and Hypothesis Testing of Cointegration Vectors in Gaussian Vector Autoregressive Models. </w:t>
      </w:r>
      <w:r w:rsidRPr="48425B6A">
        <w:rPr>
          <w:rFonts w:ascii="Arial" w:eastAsia="Arial" w:hAnsi="Arial" w:cs="Arial"/>
          <w:i/>
          <w:iCs/>
          <w:color w:val="232323"/>
          <w:sz w:val="20"/>
          <w:szCs w:val="20"/>
        </w:rPr>
        <w:t>Econometrica</w:t>
      </w:r>
      <w:r w:rsidRPr="48425B6A">
        <w:rPr>
          <w:rFonts w:ascii="Arial" w:eastAsia="Arial" w:hAnsi="Arial" w:cs="Arial"/>
          <w:color w:val="232323"/>
          <w:sz w:val="20"/>
          <w:szCs w:val="20"/>
        </w:rPr>
        <w:t>, Vol. 59(6), Pp: 1551-1580.</w:t>
      </w:r>
    </w:p>
    <w:p w14:paraId="7F055C90" w14:textId="308F3A0F" w:rsidR="21C3821A" w:rsidRDefault="21C3821A" w:rsidP="0066301C">
      <w:pPr>
        <w:jc w:val="both"/>
        <w:rPr>
          <w:rFonts w:ascii="Arial" w:eastAsia="Arial" w:hAnsi="Arial" w:cs="Arial"/>
          <w:color w:val="232323"/>
          <w:sz w:val="20"/>
          <w:szCs w:val="20"/>
        </w:rPr>
      </w:pPr>
      <w:r w:rsidRPr="48425B6A">
        <w:rPr>
          <w:rFonts w:ascii="Arial" w:eastAsia="Arial" w:hAnsi="Arial" w:cs="Arial"/>
          <w:color w:val="232323"/>
          <w:sz w:val="20"/>
          <w:szCs w:val="20"/>
        </w:rPr>
        <w:t xml:space="preserve">Johansen, S. (1992). Determination of Cointegration Rank in the Presence of a Linear Trend. </w:t>
      </w:r>
      <w:r w:rsidRPr="48425B6A">
        <w:rPr>
          <w:rFonts w:ascii="Arial" w:eastAsia="Arial" w:hAnsi="Arial" w:cs="Arial"/>
          <w:i/>
          <w:iCs/>
          <w:color w:val="232323"/>
          <w:sz w:val="20"/>
          <w:szCs w:val="20"/>
        </w:rPr>
        <w:t>Oxford Bulletin of Economics and Statistics</w:t>
      </w:r>
      <w:r w:rsidRPr="48425B6A">
        <w:rPr>
          <w:rFonts w:ascii="Arial" w:eastAsia="Arial" w:hAnsi="Arial" w:cs="Arial"/>
          <w:color w:val="232323"/>
          <w:sz w:val="20"/>
          <w:szCs w:val="20"/>
        </w:rPr>
        <w:t>, Vol. 54, Pp: 383-397.</w:t>
      </w:r>
    </w:p>
    <w:p w14:paraId="7269D8CB" w14:textId="4EA56F47" w:rsidR="21C3821A" w:rsidRDefault="21C3821A" w:rsidP="0066301C">
      <w:pPr>
        <w:spacing w:after="200"/>
        <w:jc w:val="both"/>
        <w:rPr>
          <w:rFonts w:ascii="Arial" w:eastAsia="Arial" w:hAnsi="Arial" w:cs="Arial"/>
          <w:sz w:val="20"/>
          <w:szCs w:val="20"/>
          <w:lang w:val="en-US"/>
        </w:rPr>
      </w:pPr>
      <w:r w:rsidRPr="48425B6A">
        <w:rPr>
          <w:rFonts w:ascii="Arial" w:eastAsia="Arial" w:hAnsi="Arial" w:cs="Arial"/>
          <w:sz w:val="20"/>
          <w:szCs w:val="20"/>
          <w:lang w:val="en-US"/>
        </w:rPr>
        <w:t xml:space="preserve">Johansen, S. (1995). Identifying Restrictions of Linear Equations with Applications to Simultaneous Equations and Cointegration. </w:t>
      </w:r>
      <w:r w:rsidRPr="48425B6A">
        <w:rPr>
          <w:rFonts w:ascii="Arial" w:eastAsia="Arial" w:hAnsi="Arial" w:cs="Arial"/>
          <w:i/>
          <w:iCs/>
          <w:sz w:val="20"/>
          <w:szCs w:val="20"/>
          <w:lang w:val="en-US"/>
        </w:rPr>
        <w:t>Journal of Econometrics,</w:t>
      </w:r>
      <w:r w:rsidRPr="48425B6A">
        <w:rPr>
          <w:rFonts w:ascii="Arial" w:eastAsia="Arial" w:hAnsi="Arial" w:cs="Arial"/>
          <w:sz w:val="20"/>
          <w:szCs w:val="20"/>
          <w:lang w:val="en-US"/>
        </w:rPr>
        <w:t xml:space="preserve"> Vol. 69(1), Pp: 111-132.  </w:t>
      </w:r>
    </w:p>
    <w:p w14:paraId="24C8CEEF" w14:textId="44E16EC3" w:rsidR="21C3821A" w:rsidRDefault="21C3821A" w:rsidP="0066301C">
      <w:pPr>
        <w:spacing w:line="257" w:lineRule="auto"/>
        <w:jc w:val="both"/>
        <w:rPr>
          <w:rFonts w:ascii="Arial" w:eastAsia="Arial" w:hAnsi="Arial" w:cs="Arial"/>
          <w:sz w:val="20"/>
          <w:szCs w:val="20"/>
          <w:lang w:val="en-US"/>
        </w:rPr>
      </w:pPr>
      <w:r w:rsidRPr="48425B6A">
        <w:rPr>
          <w:rFonts w:ascii="Arial" w:eastAsia="Arial" w:hAnsi="Arial" w:cs="Arial"/>
          <w:sz w:val="20"/>
          <w:szCs w:val="20"/>
          <w:lang w:val="en-US"/>
        </w:rPr>
        <w:t xml:space="preserve">Johansen, S., and Juselius, K. (1990). Maximum Likelihood Estimation and Inference on Cointegration with Application to the Demand for Money. </w:t>
      </w:r>
      <w:r w:rsidRPr="48425B6A">
        <w:rPr>
          <w:rFonts w:ascii="Arial" w:eastAsia="Arial" w:hAnsi="Arial" w:cs="Arial"/>
          <w:i/>
          <w:iCs/>
          <w:sz w:val="20"/>
          <w:szCs w:val="20"/>
          <w:lang w:val="en-US"/>
        </w:rPr>
        <w:t xml:space="preserve">Oxford Bulletin Economic Statistics, </w:t>
      </w:r>
      <w:r w:rsidRPr="48425B6A">
        <w:rPr>
          <w:rFonts w:ascii="Arial" w:eastAsia="Arial" w:hAnsi="Arial" w:cs="Arial"/>
          <w:sz w:val="20"/>
          <w:szCs w:val="20"/>
          <w:lang w:val="en-US"/>
        </w:rPr>
        <w:t>vol. 52, Pp: 169-210.</w:t>
      </w:r>
    </w:p>
    <w:p w14:paraId="7DE44689" w14:textId="7722EED4" w:rsidR="21C3821A" w:rsidRDefault="21C3821A" w:rsidP="0066301C">
      <w:pPr>
        <w:spacing w:line="257" w:lineRule="auto"/>
        <w:jc w:val="both"/>
        <w:rPr>
          <w:rFonts w:ascii="Arial" w:eastAsia="Arial" w:hAnsi="Arial" w:cs="Arial"/>
          <w:sz w:val="20"/>
          <w:szCs w:val="20"/>
          <w:lang w:val="en-US"/>
        </w:rPr>
      </w:pPr>
      <w:r w:rsidRPr="48425B6A">
        <w:rPr>
          <w:rFonts w:ascii="Arial" w:eastAsia="Arial" w:hAnsi="Arial" w:cs="Arial"/>
          <w:sz w:val="20"/>
          <w:szCs w:val="20"/>
          <w:lang w:val="en-US"/>
        </w:rPr>
        <w:t>Johnston, R.B. (1984). The Demand for Non-interest-bearing Money in the United Kingdom.</w:t>
      </w:r>
      <w:r w:rsidRPr="48425B6A">
        <w:rPr>
          <w:rFonts w:ascii="Arial" w:eastAsia="Arial" w:hAnsi="Arial" w:cs="Arial"/>
          <w:i/>
          <w:iCs/>
          <w:sz w:val="20"/>
          <w:szCs w:val="20"/>
          <w:lang w:val="en-US"/>
        </w:rPr>
        <w:t xml:space="preserve"> Treasury Working Paper, </w:t>
      </w:r>
      <w:r w:rsidRPr="48425B6A">
        <w:rPr>
          <w:rFonts w:ascii="Arial" w:eastAsia="Arial" w:hAnsi="Arial" w:cs="Arial"/>
          <w:sz w:val="20"/>
          <w:szCs w:val="20"/>
          <w:lang w:val="en-US"/>
        </w:rPr>
        <w:t>No. 26.</w:t>
      </w:r>
    </w:p>
    <w:p w14:paraId="65E3839B" w14:textId="40770B17" w:rsidR="21C3821A" w:rsidRDefault="21C3821A" w:rsidP="0066301C">
      <w:pPr>
        <w:spacing w:line="257" w:lineRule="auto"/>
        <w:jc w:val="both"/>
        <w:rPr>
          <w:rFonts w:ascii="Arial" w:eastAsia="Arial" w:hAnsi="Arial" w:cs="Arial"/>
          <w:sz w:val="20"/>
          <w:szCs w:val="20"/>
        </w:rPr>
      </w:pPr>
      <w:r w:rsidRPr="48425B6A">
        <w:rPr>
          <w:rFonts w:ascii="Arial" w:eastAsia="Arial" w:hAnsi="Arial" w:cs="Arial"/>
          <w:sz w:val="20"/>
          <w:szCs w:val="20"/>
        </w:rPr>
        <w:t>Joufelkit (2007), «Evolution des taux de change effectifs réels de la zone franc: 1993-2006», Rapport thématique JUMBO, AFD, Septembre.</w:t>
      </w:r>
    </w:p>
    <w:p w14:paraId="651DB5B7" w14:textId="4826F0B8" w:rsidR="21C3821A" w:rsidRDefault="21C3821A" w:rsidP="0066301C">
      <w:pPr>
        <w:spacing w:after="200" w:line="276" w:lineRule="auto"/>
        <w:jc w:val="both"/>
        <w:rPr>
          <w:rFonts w:ascii="Arial" w:eastAsia="Arial" w:hAnsi="Arial" w:cs="Arial"/>
          <w:sz w:val="20"/>
          <w:szCs w:val="20"/>
        </w:rPr>
      </w:pPr>
      <w:r w:rsidRPr="48425B6A">
        <w:rPr>
          <w:rFonts w:ascii="Arial" w:eastAsia="Arial" w:hAnsi="Arial" w:cs="Arial"/>
          <w:sz w:val="20"/>
          <w:szCs w:val="20"/>
        </w:rPr>
        <w:t xml:space="preserve">Junz, H.B. and Rhomberg, R.R. (1973). Price competitiveness in export trade among industrial countries. </w:t>
      </w:r>
      <w:r w:rsidRPr="48425B6A">
        <w:rPr>
          <w:rFonts w:ascii="Arial" w:eastAsia="Arial" w:hAnsi="Arial" w:cs="Arial"/>
          <w:i/>
          <w:iCs/>
          <w:sz w:val="20"/>
          <w:szCs w:val="20"/>
        </w:rPr>
        <w:t xml:space="preserve">American Economic Review, </w:t>
      </w:r>
      <w:r w:rsidRPr="48425B6A">
        <w:rPr>
          <w:rFonts w:ascii="Arial" w:eastAsia="Arial" w:hAnsi="Arial" w:cs="Arial"/>
          <w:sz w:val="20"/>
          <w:szCs w:val="20"/>
        </w:rPr>
        <w:t>Vol. 63, Pp: 412 – 418.</w:t>
      </w:r>
    </w:p>
    <w:p w14:paraId="3A9B86BC" w14:textId="1D75BB01" w:rsidR="21C3821A" w:rsidRDefault="21C3821A" w:rsidP="0066301C">
      <w:pPr>
        <w:spacing w:after="200" w:line="276" w:lineRule="auto"/>
        <w:jc w:val="both"/>
        <w:rPr>
          <w:rFonts w:ascii="Arial" w:eastAsia="Arial" w:hAnsi="Arial" w:cs="Arial"/>
          <w:sz w:val="20"/>
          <w:szCs w:val="20"/>
        </w:rPr>
      </w:pPr>
      <w:r w:rsidRPr="48425B6A">
        <w:rPr>
          <w:rFonts w:ascii="Arial" w:eastAsia="Arial" w:hAnsi="Arial" w:cs="Arial"/>
          <w:sz w:val="20"/>
          <w:szCs w:val="20"/>
        </w:rPr>
        <w:t xml:space="preserve">Kaldor, N. (1966). Marginal Productivity and the Macro-Economic Theories of Growth and Distribution. </w:t>
      </w:r>
      <w:r w:rsidRPr="48425B6A">
        <w:rPr>
          <w:rFonts w:ascii="Arial" w:eastAsia="Arial" w:hAnsi="Arial" w:cs="Arial"/>
          <w:i/>
          <w:iCs/>
          <w:sz w:val="20"/>
          <w:szCs w:val="20"/>
        </w:rPr>
        <w:t>Review of Economic Studies</w:t>
      </w:r>
      <w:r w:rsidRPr="48425B6A">
        <w:rPr>
          <w:rFonts w:ascii="Arial" w:eastAsia="Arial" w:hAnsi="Arial" w:cs="Arial"/>
          <w:sz w:val="20"/>
          <w:szCs w:val="20"/>
        </w:rPr>
        <w:t xml:space="preserve">. Vol. 33, Pp. 309–319.   </w:t>
      </w:r>
    </w:p>
    <w:p w14:paraId="558546B9" w14:textId="430CE6D3" w:rsidR="21C3821A" w:rsidRDefault="21C3821A" w:rsidP="0066301C">
      <w:pPr>
        <w:spacing w:after="200" w:line="276" w:lineRule="auto"/>
        <w:jc w:val="both"/>
        <w:rPr>
          <w:rFonts w:ascii="Arial" w:eastAsia="Arial" w:hAnsi="Arial" w:cs="Arial"/>
          <w:sz w:val="20"/>
          <w:szCs w:val="20"/>
        </w:rPr>
      </w:pPr>
      <w:r w:rsidRPr="48425B6A">
        <w:rPr>
          <w:rFonts w:ascii="Arial" w:eastAsia="Arial" w:hAnsi="Arial" w:cs="Arial"/>
          <w:sz w:val="20"/>
          <w:szCs w:val="20"/>
        </w:rPr>
        <w:t xml:space="preserve">Kaldor, N. (1967). Strategic Factors in Economic Development. </w:t>
      </w:r>
      <w:r w:rsidRPr="48425B6A">
        <w:rPr>
          <w:rFonts w:ascii="Arial" w:eastAsia="Arial" w:hAnsi="Arial" w:cs="Arial"/>
          <w:i/>
          <w:iCs/>
          <w:sz w:val="20"/>
          <w:szCs w:val="20"/>
        </w:rPr>
        <w:t>Cornell University Press</w:t>
      </w:r>
      <w:r w:rsidRPr="48425B6A">
        <w:rPr>
          <w:rFonts w:ascii="Arial" w:eastAsia="Arial" w:hAnsi="Arial" w:cs="Arial"/>
          <w:sz w:val="20"/>
          <w:szCs w:val="20"/>
        </w:rPr>
        <w:t>, Ithaca, NY.</w:t>
      </w:r>
    </w:p>
    <w:p w14:paraId="05507E94" w14:textId="77777777" w:rsidR="00A47C50" w:rsidRPr="00A47C50" w:rsidRDefault="00A47C50" w:rsidP="0066301C">
      <w:pPr>
        <w:jc w:val="both"/>
        <w:rPr>
          <w:rFonts w:ascii="Arial" w:hAnsi="Arial" w:cs="Arial"/>
          <w:sz w:val="20"/>
          <w:szCs w:val="20"/>
        </w:rPr>
      </w:pPr>
      <w:r w:rsidRPr="00A47C50">
        <w:rPr>
          <w:rFonts w:ascii="Arial" w:hAnsi="Arial" w:cs="Arial"/>
          <w:sz w:val="20"/>
          <w:szCs w:val="20"/>
        </w:rPr>
        <w:t xml:space="preserve">KamakP.U., Dhakal, D. Frankline, G.M (2020). Exchange Rate Volatility and Export: Some New Estimates from the Aseans-5. </w:t>
      </w:r>
      <w:r w:rsidRPr="00A47C50">
        <w:rPr>
          <w:rFonts w:ascii="Arial" w:hAnsi="Arial" w:cs="Arial"/>
          <w:i/>
          <w:iCs/>
          <w:sz w:val="20"/>
          <w:szCs w:val="20"/>
        </w:rPr>
        <w:t xml:space="preserve">Journal of Developing Area, </w:t>
      </w:r>
      <w:r w:rsidRPr="00A47C50">
        <w:rPr>
          <w:rFonts w:ascii="Arial" w:hAnsi="Arial" w:cs="Arial"/>
          <w:sz w:val="20"/>
          <w:szCs w:val="20"/>
        </w:rPr>
        <w:t>Vol. 54(1), Pp: 65-73.</w:t>
      </w:r>
    </w:p>
    <w:p w14:paraId="275540A5" w14:textId="6E360C47" w:rsidR="21C3821A" w:rsidRPr="00A47C50" w:rsidRDefault="21C3821A" w:rsidP="0066301C">
      <w:pPr>
        <w:jc w:val="both"/>
        <w:rPr>
          <w:rFonts w:ascii="Arial" w:eastAsia="Arial" w:hAnsi="Arial" w:cs="Arial"/>
          <w:sz w:val="20"/>
          <w:szCs w:val="20"/>
        </w:rPr>
      </w:pPr>
      <w:r w:rsidRPr="00A47C50">
        <w:rPr>
          <w:rFonts w:ascii="Arial" w:eastAsia="Arial" w:hAnsi="Arial" w:cs="Arial"/>
          <w:sz w:val="20"/>
          <w:szCs w:val="20"/>
        </w:rPr>
        <w:lastRenderedPageBreak/>
        <w:t xml:space="preserve">Kangami, D.N. and Akinkugbe, O.F. (2021). Common Currency and Intra-regional Trade in the Central African Monetary Community (CEMAC). </w:t>
      </w:r>
      <w:r w:rsidRPr="00A47C50">
        <w:rPr>
          <w:rFonts w:ascii="Arial" w:eastAsia="Arial" w:hAnsi="Arial" w:cs="Arial"/>
          <w:i/>
          <w:iCs/>
          <w:sz w:val="20"/>
          <w:szCs w:val="20"/>
        </w:rPr>
        <w:t xml:space="preserve">Journal of African Trade, </w:t>
      </w:r>
      <w:r w:rsidRPr="00A47C50">
        <w:rPr>
          <w:rFonts w:ascii="Arial" w:eastAsia="Arial" w:hAnsi="Arial" w:cs="Arial"/>
          <w:sz w:val="20"/>
          <w:szCs w:val="20"/>
        </w:rPr>
        <w:t xml:space="preserve">Vol. 8(1), Pp:13-22. </w:t>
      </w:r>
    </w:p>
    <w:p w14:paraId="4F9A83D7" w14:textId="75E85452" w:rsidR="21C3821A" w:rsidRDefault="21C3821A" w:rsidP="0066301C">
      <w:pPr>
        <w:spacing w:after="200" w:line="276" w:lineRule="auto"/>
        <w:jc w:val="both"/>
        <w:rPr>
          <w:rFonts w:ascii="Arial" w:eastAsia="Arial" w:hAnsi="Arial" w:cs="Arial"/>
          <w:sz w:val="20"/>
          <w:szCs w:val="20"/>
        </w:rPr>
      </w:pPr>
      <w:r w:rsidRPr="48425B6A">
        <w:rPr>
          <w:rFonts w:ascii="Arial" w:eastAsia="Arial" w:hAnsi="Arial" w:cs="Arial"/>
          <w:sz w:val="20"/>
          <w:szCs w:val="20"/>
        </w:rPr>
        <w:t xml:space="preserve">Kangami, D.N. and Akinkugbe, O. A. (2019). "The Effect of Common Currency on Economic Growth: Evidence from CEMAC Custom Union." </w:t>
      </w:r>
      <w:r w:rsidRPr="48425B6A">
        <w:rPr>
          <w:rFonts w:ascii="Arial" w:eastAsia="Arial" w:hAnsi="Arial" w:cs="Arial"/>
          <w:i/>
          <w:iCs/>
          <w:sz w:val="20"/>
          <w:szCs w:val="20"/>
        </w:rPr>
        <w:t>African Social Science Review,</w:t>
      </w:r>
      <w:r w:rsidRPr="48425B6A">
        <w:rPr>
          <w:rFonts w:ascii="Arial" w:eastAsia="Arial" w:hAnsi="Arial" w:cs="Arial"/>
          <w:sz w:val="20"/>
          <w:szCs w:val="20"/>
        </w:rPr>
        <w:t xml:space="preserve"> Vol. 10(1), Article 5.</w:t>
      </w:r>
    </w:p>
    <w:p w14:paraId="48441086" w14:textId="77777777" w:rsidR="00336D1A" w:rsidRPr="00754A11" w:rsidRDefault="00336D1A" w:rsidP="0066301C">
      <w:pPr>
        <w:spacing w:line="240" w:lineRule="auto"/>
        <w:jc w:val="both"/>
        <w:rPr>
          <w:rFonts w:ascii="Arial" w:hAnsi="Arial" w:cs="Arial"/>
          <w:sz w:val="20"/>
          <w:szCs w:val="20"/>
        </w:rPr>
      </w:pPr>
      <w:r w:rsidRPr="00754A11">
        <w:rPr>
          <w:rFonts w:ascii="Arial" w:hAnsi="Arial" w:cs="Arial"/>
          <w:color w:val="131314"/>
          <w:sz w:val="20"/>
          <w:szCs w:val="20"/>
          <w:shd w:val="clear" w:color="auto" w:fill="FFFFFF"/>
        </w:rPr>
        <w:t>Karaha</w:t>
      </w:r>
      <w:r>
        <w:rPr>
          <w:rFonts w:ascii="Arial" w:hAnsi="Arial" w:cs="Arial"/>
          <w:color w:val="131314"/>
          <w:sz w:val="20"/>
          <w:szCs w:val="20"/>
          <w:shd w:val="clear" w:color="auto" w:fill="FFFFFF"/>
        </w:rPr>
        <w:t>n</w:t>
      </w:r>
      <w:r w:rsidRPr="00754A11">
        <w:rPr>
          <w:rFonts w:ascii="Arial" w:hAnsi="Arial" w:cs="Arial"/>
          <w:color w:val="131314"/>
          <w:sz w:val="20"/>
          <w:szCs w:val="20"/>
          <w:shd w:val="clear" w:color="auto" w:fill="FFFFFF"/>
        </w:rPr>
        <w:t xml:space="preserve">, O. (2020). Influence of Exchange Rate on the Economic Growth in the Turkish Economy. </w:t>
      </w:r>
      <w:r w:rsidRPr="00754A11">
        <w:rPr>
          <w:rFonts w:ascii="Arial" w:hAnsi="Arial" w:cs="Arial"/>
          <w:i/>
          <w:iCs/>
          <w:color w:val="131314"/>
          <w:sz w:val="20"/>
          <w:szCs w:val="20"/>
          <w:shd w:val="clear" w:color="auto" w:fill="FFFFFF"/>
        </w:rPr>
        <w:t xml:space="preserve">Financial Assets and Investment, </w:t>
      </w:r>
      <w:r w:rsidRPr="00754A11">
        <w:rPr>
          <w:rFonts w:ascii="Arial" w:hAnsi="Arial" w:cs="Arial"/>
          <w:color w:val="131314"/>
          <w:sz w:val="20"/>
          <w:szCs w:val="20"/>
          <w:shd w:val="clear" w:color="auto" w:fill="FFFFFF"/>
        </w:rPr>
        <w:t>Vol. 11(1), Pp: 21-34.</w:t>
      </w:r>
    </w:p>
    <w:p w14:paraId="03C0C6A0" w14:textId="46DEC19C" w:rsidR="21C3821A" w:rsidRPr="00EE025F" w:rsidRDefault="21C3821A" w:rsidP="0066301C">
      <w:pPr>
        <w:spacing w:after="200"/>
        <w:jc w:val="both"/>
        <w:rPr>
          <w:rFonts w:ascii="Arial" w:eastAsia="Arial" w:hAnsi="Arial" w:cs="Arial"/>
          <w:sz w:val="20"/>
          <w:szCs w:val="20"/>
          <w:lang w:val="pt-BR"/>
        </w:rPr>
      </w:pPr>
      <w:r w:rsidRPr="48425B6A">
        <w:rPr>
          <w:rFonts w:ascii="Arial" w:eastAsia="Arial" w:hAnsi="Arial" w:cs="Arial"/>
          <w:sz w:val="20"/>
          <w:szCs w:val="20"/>
          <w:lang w:val="en-US"/>
        </w:rPr>
        <w:t xml:space="preserve">Khieu Van, H. (2013). The Effects of the Real Exchange Rate on the Trade Balance: Is there a </w:t>
      </w:r>
      <w:r w:rsidRPr="48425B6A">
        <w:rPr>
          <w:rFonts w:ascii="Arial" w:eastAsia="Arial" w:hAnsi="Arial" w:cs="Arial"/>
          <w:i/>
          <w:iCs/>
          <w:sz w:val="20"/>
          <w:szCs w:val="20"/>
          <w:lang w:val="en-US"/>
        </w:rPr>
        <w:t>J</w:t>
      </w:r>
      <w:r w:rsidRPr="48425B6A">
        <w:rPr>
          <w:rFonts w:ascii="Arial" w:eastAsia="Arial" w:hAnsi="Arial" w:cs="Arial"/>
          <w:sz w:val="20"/>
          <w:szCs w:val="20"/>
          <w:lang w:val="en-US"/>
        </w:rPr>
        <w:t xml:space="preserve">-curve for Vietnam? </w:t>
      </w:r>
      <w:r w:rsidRPr="00EE025F">
        <w:rPr>
          <w:rFonts w:ascii="Arial" w:eastAsia="Arial" w:hAnsi="Arial" w:cs="Arial"/>
          <w:sz w:val="20"/>
          <w:szCs w:val="20"/>
          <w:lang w:val="pt-BR"/>
        </w:rPr>
        <w:t>A VAR Approach. MPRA Paper No. 54490.</w:t>
      </w:r>
    </w:p>
    <w:p w14:paraId="7B3CB828" w14:textId="6AF8060D" w:rsidR="000F3E51" w:rsidRPr="00376A1D" w:rsidRDefault="000F3E51" w:rsidP="0066301C">
      <w:pPr>
        <w:spacing w:after="200"/>
        <w:jc w:val="both"/>
        <w:rPr>
          <w:rFonts w:ascii="Arial" w:eastAsia="Arial" w:hAnsi="Arial" w:cs="Arial"/>
          <w:sz w:val="20"/>
          <w:szCs w:val="20"/>
          <w:lang w:val="en-US"/>
        </w:rPr>
      </w:pPr>
      <w:r w:rsidRPr="00EE025F">
        <w:rPr>
          <w:rFonts w:ascii="Arial" w:hAnsi="Arial" w:cs="Arial"/>
          <w:sz w:val="20"/>
          <w:szCs w:val="20"/>
          <w:lang w:val="pt-BR"/>
        </w:rPr>
        <w:t xml:space="preserve">Khomo, M.M. &amp; Aziakpono, M.J. (2020). </w:t>
      </w:r>
      <w:r>
        <w:rPr>
          <w:rFonts w:ascii="Arial" w:hAnsi="Arial" w:cs="Arial"/>
          <w:sz w:val="20"/>
          <w:szCs w:val="20"/>
        </w:rPr>
        <w:t xml:space="preserve">The Behaviour of the Real Effective Exchange Rate of South Africa: Is There a Misalignment? </w:t>
      </w:r>
      <w:r>
        <w:rPr>
          <w:rFonts w:ascii="Arial" w:hAnsi="Arial" w:cs="Arial"/>
          <w:i/>
          <w:iCs/>
          <w:sz w:val="20"/>
          <w:szCs w:val="20"/>
        </w:rPr>
        <w:t>Cogent Economics &amp; Finance</w:t>
      </w:r>
      <w:r w:rsidR="00376A1D">
        <w:rPr>
          <w:rFonts w:ascii="Arial" w:hAnsi="Arial" w:cs="Arial"/>
          <w:i/>
          <w:iCs/>
          <w:sz w:val="20"/>
          <w:szCs w:val="20"/>
        </w:rPr>
        <w:t>,</w:t>
      </w:r>
      <w:r w:rsidR="00376A1D">
        <w:rPr>
          <w:rFonts w:ascii="Arial" w:hAnsi="Arial" w:cs="Arial"/>
          <w:sz w:val="20"/>
          <w:szCs w:val="20"/>
        </w:rPr>
        <w:t xml:space="preserve"> Vol. 8(1). </w:t>
      </w:r>
    </w:p>
    <w:p w14:paraId="70663107" w14:textId="51B9201E" w:rsidR="21C3821A" w:rsidRDefault="21C3821A" w:rsidP="0066301C">
      <w:pPr>
        <w:spacing w:after="200"/>
        <w:jc w:val="both"/>
        <w:rPr>
          <w:rFonts w:ascii="Arial" w:eastAsia="Arial" w:hAnsi="Arial" w:cs="Arial"/>
          <w:i/>
          <w:iCs/>
          <w:sz w:val="20"/>
          <w:szCs w:val="20"/>
          <w:lang w:val="en-US"/>
        </w:rPr>
      </w:pPr>
      <w:r w:rsidRPr="48425B6A">
        <w:rPr>
          <w:rFonts w:ascii="Arial" w:eastAsia="Arial" w:hAnsi="Arial" w:cs="Arial"/>
          <w:sz w:val="20"/>
          <w:szCs w:val="20"/>
          <w:lang w:val="en-US"/>
        </w:rPr>
        <w:t xml:space="preserve">Khondker, B. H., Bidisha, S. H, and Razzaque, M. A. (2012). The Exchange Rate and Economic Growth: An Empirical Assessment on Bangladesh. Working Paper, reference number: S-31019-BGD-1. </w:t>
      </w:r>
      <w:r w:rsidRPr="48425B6A">
        <w:rPr>
          <w:rFonts w:ascii="Arial" w:eastAsia="Arial" w:hAnsi="Arial" w:cs="Arial"/>
          <w:i/>
          <w:iCs/>
          <w:sz w:val="20"/>
          <w:szCs w:val="20"/>
          <w:lang w:val="en-US"/>
        </w:rPr>
        <w:t>International Growth Centre.</w:t>
      </w:r>
    </w:p>
    <w:p w14:paraId="24A0D9EE" w14:textId="00E0CB27" w:rsidR="21C3821A" w:rsidRDefault="21C3821A" w:rsidP="0066301C">
      <w:pPr>
        <w:jc w:val="both"/>
        <w:rPr>
          <w:rFonts w:ascii="Arial" w:eastAsia="Arial" w:hAnsi="Arial" w:cs="Arial"/>
          <w:sz w:val="20"/>
          <w:szCs w:val="20"/>
        </w:rPr>
      </w:pPr>
      <w:r w:rsidRPr="48425B6A">
        <w:rPr>
          <w:rFonts w:ascii="Arial" w:eastAsia="Arial" w:hAnsi="Arial" w:cs="Arial"/>
          <w:sz w:val="20"/>
          <w:szCs w:val="20"/>
        </w:rPr>
        <w:t>Kiema, Nubukpo et Sanou (2011), “Impact ’une dévaluation du franc CFA sur la balance commerciale et la pro uction ans les pays e l’UEMOA,”colloque sur Dynamiques de croissance au sein e l’UEMOA.</w:t>
      </w:r>
    </w:p>
    <w:p w14:paraId="42E18B16" w14:textId="2ACF4EE6" w:rsidR="21C3821A" w:rsidRDefault="21C3821A" w:rsidP="0066301C">
      <w:pPr>
        <w:spacing w:after="200"/>
        <w:jc w:val="both"/>
        <w:rPr>
          <w:rFonts w:ascii="Arial" w:eastAsia="Arial" w:hAnsi="Arial" w:cs="Arial"/>
          <w:sz w:val="20"/>
          <w:szCs w:val="20"/>
        </w:rPr>
      </w:pPr>
      <w:r w:rsidRPr="48425B6A">
        <w:rPr>
          <w:rFonts w:ascii="Arial" w:eastAsia="Arial" w:hAnsi="Arial" w:cs="Arial"/>
          <w:sz w:val="20"/>
          <w:szCs w:val="20"/>
        </w:rPr>
        <w:t>Kiguel, Miguel and O’Connell, Stephen A. (1995). “Parallel Exchange Rate in Developing Countries (English)”</w:t>
      </w:r>
      <w:r w:rsidRPr="48425B6A">
        <w:rPr>
          <w:rFonts w:ascii="Arial" w:eastAsia="Arial" w:hAnsi="Arial" w:cs="Arial"/>
          <w:i/>
          <w:iCs/>
          <w:sz w:val="20"/>
          <w:szCs w:val="20"/>
        </w:rPr>
        <w:t>.</w:t>
      </w:r>
      <w:r w:rsidRPr="48425B6A">
        <w:rPr>
          <w:rFonts w:ascii="Arial" w:eastAsia="Arial" w:hAnsi="Arial" w:cs="Arial"/>
          <w:sz w:val="20"/>
          <w:szCs w:val="20"/>
        </w:rPr>
        <w:t xml:space="preserve"> </w:t>
      </w:r>
      <w:r w:rsidRPr="48425B6A">
        <w:rPr>
          <w:rFonts w:ascii="Arial" w:eastAsia="Arial" w:hAnsi="Arial" w:cs="Arial"/>
          <w:i/>
          <w:iCs/>
          <w:sz w:val="20"/>
          <w:szCs w:val="20"/>
        </w:rPr>
        <w:t>The World Bank Research Observer</w:t>
      </w:r>
      <w:r w:rsidRPr="48425B6A">
        <w:rPr>
          <w:rFonts w:ascii="Arial" w:eastAsia="Arial" w:hAnsi="Arial" w:cs="Arial"/>
          <w:sz w:val="20"/>
          <w:szCs w:val="20"/>
        </w:rPr>
        <w:t xml:space="preserve">, </w:t>
      </w:r>
      <w:r w:rsidR="000F3E51">
        <w:rPr>
          <w:rFonts w:ascii="Arial" w:eastAsia="Arial" w:hAnsi="Arial" w:cs="Arial"/>
          <w:sz w:val="20"/>
          <w:szCs w:val="20"/>
        </w:rPr>
        <w:t>Vol.</w:t>
      </w:r>
      <w:r w:rsidRPr="48425B6A">
        <w:rPr>
          <w:rFonts w:ascii="Arial" w:eastAsia="Arial" w:hAnsi="Arial" w:cs="Arial"/>
          <w:sz w:val="20"/>
          <w:szCs w:val="20"/>
        </w:rPr>
        <w:t>10(1), Pp:21-52.</w:t>
      </w:r>
    </w:p>
    <w:p w14:paraId="09C025AD" w14:textId="6E12A512" w:rsidR="21C3821A" w:rsidRDefault="21C3821A" w:rsidP="0066301C">
      <w:pPr>
        <w:spacing w:after="200"/>
        <w:jc w:val="both"/>
        <w:rPr>
          <w:rFonts w:ascii="Arial" w:eastAsia="Arial" w:hAnsi="Arial" w:cs="Arial"/>
          <w:sz w:val="20"/>
          <w:szCs w:val="20"/>
        </w:rPr>
      </w:pPr>
      <w:r w:rsidRPr="48425B6A">
        <w:rPr>
          <w:rFonts w:ascii="Arial" w:eastAsia="Arial" w:hAnsi="Arial" w:cs="Arial"/>
          <w:sz w:val="20"/>
          <w:szCs w:val="20"/>
        </w:rPr>
        <w:t xml:space="preserve">Kim, A. (2009). Am Empirical Analysis of Korea’s Trade Imbalances with the US and Japan. </w:t>
      </w:r>
      <w:r w:rsidRPr="48425B6A">
        <w:rPr>
          <w:rFonts w:ascii="Arial" w:eastAsia="Arial" w:hAnsi="Arial" w:cs="Arial"/>
          <w:i/>
          <w:iCs/>
          <w:sz w:val="20"/>
          <w:szCs w:val="20"/>
        </w:rPr>
        <w:t xml:space="preserve">Journal of the Asian Pacific Economy, </w:t>
      </w:r>
      <w:r w:rsidRPr="48425B6A">
        <w:rPr>
          <w:rFonts w:ascii="Arial" w:eastAsia="Arial" w:hAnsi="Arial" w:cs="Arial"/>
          <w:sz w:val="20"/>
          <w:szCs w:val="20"/>
        </w:rPr>
        <w:t>Vol.14 (3), Pp: 211- 226.</w:t>
      </w:r>
    </w:p>
    <w:p w14:paraId="29A134FE" w14:textId="5ABFD10B" w:rsidR="21C3821A" w:rsidRDefault="21C3821A" w:rsidP="0066301C">
      <w:pPr>
        <w:spacing w:after="200" w:line="360" w:lineRule="auto"/>
        <w:jc w:val="both"/>
        <w:rPr>
          <w:rFonts w:ascii="Arial" w:eastAsia="Arial" w:hAnsi="Arial" w:cs="Arial"/>
          <w:sz w:val="20"/>
          <w:szCs w:val="20"/>
        </w:rPr>
      </w:pPr>
      <w:r w:rsidRPr="48425B6A">
        <w:rPr>
          <w:rFonts w:ascii="Arial" w:eastAsia="Arial" w:hAnsi="Arial" w:cs="Arial"/>
          <w:sz w:val="20"/>
          <w:szCs w:val="20"/>
        </w:rPr>
        <w:t>Klau, M. (1998). “Exchange rate regimes and inflation and output in Sub-Saharan countries”, BIS Working Papers, No. 53, Basle: Bank for International Settlements.</w:t>
      </w:r>
    </w:p>
    <w:p w14:paraId="4F16BA13" w14:textId="254C5F4B" w:rsidR="21C3821A" w:rsidRDefault="21C3821A" w:rsidP="0066301C">
      <w:pPr>
        <w:spacing w:after="200"/>
        <w:jc w:val="both"/>
        <w:rPr>
          <w:rFonts w:ascii="Arial" w:eastAsia="Arial" w:hAnsi="Arial" w:cs="Arial"/>
          <w:sz w:val="20"/>
          <w:szCs w:val="20"/>
        </w:rPr>
      </w:pPr>
      <w:r w:rsidRPr="48425B6A">
        <w:rPr>
          <w:rFonts w:ascii="Arial" w:eastAsia="Arial" w:hAnsi="Arial" w:cs="Arial"/>
          <w:sz w:val="20"/>
          <w:szCs w:val="20"/>
        </w:rPr>
        <w:t>Klein, M. W. and Shambaugh, J. C. (2010). Exchange Rate Regimes in the Modern Era.</w:t>
      </w:r>
      <w:r w:rsidRPr="48425B6A">
        <w:rPr>
          <w:rFonts w:ascii="Arial" w:eastAsia="Arial" w:hAnsi="Arial" w:cs="Arial"/>
          <w:i/>
          <w:iCs/>
          <w:sz w:val="20"/>
          <w:szCs w:val="20"/>
        </w:rPr>
        <w:t xml:space="preserve"> </w:t>
      </w:r>
      <w:r w:rsidRPr="48425B6A">
        <w:rPr>
          <w:rFonts w:ascii="Arial" w:eastAsia="Arial" w:hAnsi="Arial" w:cs="Arial"/>
          <w:sz w:val="20"/>
          <w:szCs w:val="20"/>
        </w:rPr>
        <w:t>The MIT Press. Cambridge, Massachusetts.</w:t>
      </w:r>
    </w:p>
    <w:p w14:paraId="24F3E2CC" w14:textId="0A01C555" w:rsidR="21C3821A" w:rsidRDefault="21C3821A" w:rsidP="0066301C">
      <w:pPr>
        <w:spacing w:after="200"/>
        <w:jc w:val="both"/>
        <w:rPr>
          <w:rFonts w:ascii="Arial" w:eastAsia="Arial" w:hAnsi="Arial" w:cs="Arial"/>
          <w:i/>
          <w:iCs/>
          <w:sz w:val="20"/>
          <w:szCs w:val="20"/>
        </w:rPr>
      </w:pPr>
      <w:r w:rsidRPr="48425B6A">
        <w:rPr>
          <w:rFonts w:ascii="Arial" w:eastAsia="Arial" w:hAnsi="Arial" w:cs="Arial"/>
          <w:sz w:val="20"/>
          <w:szCs w:val="20"/>
        </w:rPr>
        <w:t xml:space="preserve">Komárek, L. and Melecký, M. (2005). The Behavioural Equilibrium Exchange Rate of the Czech Koruna. Working Paper Series 5. </w:t>
      </w:r>
      <w:r w:rsidRPr="48425B6A">
        <w:rPr>
          <w:rFonts w:ascii="Arial" w:eastAsia="Arial" w:hAnsi="Arial" w:cs="Arial"/>
          <w:i/>
          <w:iCs/>
          <w:sz w:val="20"/>
          <w:szCs w:val="20"/>
        </w:rPr>
        <w:t>Czech National Bank.</w:t>
      </w:r>
    </w:p>
    <w:p w14:paraId="71DDC82E" w14:textId="0E741FAD" w:rsidR="21C3821A" w:rsidRDefault="21C3821A" w:rsidP="0066301C">
      <w:pPr>
        <w:jc w:val="both"/>
        <w:rPr>
          <w:rFonts w:ascii="Arial" w:eastAsia="Arial" w:hAnsi="Arial" w:cs="Arial"/>
          <w:sz w:val="20"/>
          <w:szCs w:val="20"/>
        </w:rPr>
      </w:pPr>
      <w:r w:rsidRPr="48425B6A">
        <w:rPr>
          <w:rFonts w:ascii="Arial" w:eastAsia="Arial" w:hAnsi="Arial" w:cs="Arial"/>
          <w:sz w:val="20"/>
          <w:szCs w:val="20"/>
        </w:rPr>
        <w:t xml:space="preserve">Kremers, J. J. M., Ericson, N. R. and Dolado, J. J. (1992) The Power of Cointegration Tests, </w:t>
      </w:r>
      <w:r w:rsidRPr="48425B6A">
        <w:rPr>
          <w:rFonts w:ascii="Arial" w:eastAsia="Arial" w:hAnsi="Arial" w:cs="Arial"/>
          <w:i/>
          <w:iCs/>
          <w:sz w:val="20"/>
          <w:szCs w:val="20"/>
        </w:rPr>
        <w:t>Oxford Bulletin of Economics and Statistics</w:t>
      </w:r>
      <w:r w:rsidRPr="48425B6A">
        <w:rPr>
          <w:rFonts w:ascii="Arial" w:eastAsia="Arial" w:hAnsi="Arial" w:cs="Arial"/>
          <w:sz w:val="20"/>
          <w:szCs w:val="20"/>
        </w:rPr>
        <w:t>, 54, 325-348.</w:t>
      </w:r>
    </w:p>
    <w:p w14:paraId="7D060D92" w14:textId="61A63BDC" w:rsidR="21C3821A" w:rsidRDefault="21C3821A" w:rsidP="0066301C">
      <w:pPr>
        <w:spacing w:after="0"/>
        <w:jc w:val="both"/>
        <w:rPr>
          <w:rFonts w:ascii="Arial" w:eastAsia="Arial" w:hAnsi="Arial" w:cs="Arial"/>
          <w:i/>
          <w:iCs/>
          <w:sz w:val="20"/>
          <w:szCs w:val="20"/>
          <w:lang w:val="en-US"/>
        </w:rPr>
      </w:pPr>
      <w:r w:rsidRPr="48425B6A">
        <w:rPr>
          <w:rFonts w:ascii="Arial" w:eastAsia="Arial" w:hAnsi="Arial" w:cs="Arial"/>
          <w:sz w:val="20"/>
          <w:szCs w:val="20"/>
          <w:lang w:val="en-US"/>
        </w:rPr>
        <w:t xml:space="preserve">Krueger, O. A. (1983). Exchange Rate Determination. </w:t>
      </w:r>
      <w:r w:rsidRPr="48425B6A">
        <w:rPr>
          <w:rFonts w:ascii="Arial" w:eastAsia="Arial" w:hAnsi="Arial" w:cs="Arial"/>
          <w:i/>
          <w:iCs/>
          <w:sz w:val="20"/>
          <w:szCs w:val="20"/>
          <w:lang w:val="en-US"/>
        </w:rPr>
        <w:t>Cambridge. Cambridge University Press.</w:t>
      </w:r>
    </w:p>
    <w:p w14:paraId="1054EA04" w14:textId="4C63ED4F" w:rsidR="21C3821A" w:rsidRDefault="21C3821A" w:rsidP="0066301C">
      <w:pPr>
        <w:spacing w:after="0"/>
        <w:jc w:val="both"/>
        <w:rPr>
          <w:rFonts w:ascii="Arial" w:eastAsia="Arial" w:hAnsi="Arial" w:cs="Arial"/>
          <w:color w:val="000000" w:themeColor="text1"/>
          <w:sz w:val="20"/>
          <w:szCs w:val="20"/>
        </w:rPr>
      </w:pPr>
      <w:r w:rsidRPr="48425B6A">
        <w:rPr>
          <w:rFonts w:ascii="Arial" w:eastAsia="Arial" w:hAnsi="Arial" w:cs="Arial"/>
          <w:i/>
          <w:iCs/>
          <w:sz w:val="20"/>
          <w:szCs w:val="20"/>
          <w:lang w:val="en-US"/>
        </w:rPr>
        <w:t xml:space="preserve"> </w:t>
      </w:r>
      <w:r w:rsidRPr="48425B6A">
        <w:rPr>
          <w:rFonts w:ascii="Arial" w:eastAsia="Arial" w:hAnsi="Arial" w:cs="Arial"/>
          <w:color w:val="000000" w:themeColor="text1"/>
          <w:sz w:val="20"/>
          <w:szCs w:val="20"/>
        </w:rPr>
        <w:t xml:space="preserve">Krueger, A. O. (1978). </w:t>
      </w:r>
      <w:r w:rsidRPr="48425B6A">
        <w:rPr>
          <w:rFonts w:ascii="Arial" w:eastAsia="Arial" w:hAnsi="Arial" w:cs="Arial"/>
          <w:i/>
          <w:iCs/>
          <w:color w:val="000000" w:themeColor="text1"/>
          <w:sz w:val="20"/>
          <w:szCs w:val="20"/>
        </w:rPr>
        <w:t>Liberalization Attempts and Consequences</w:t>
      </w:r>
      <w:r w:rsidRPr="48425B6A">
        <w:rPr>
          <w:rFonts w:ascii="Arial" w:eastAsia="Arial" w:hAnsi="Arial" w:cs="Arial"/>
          <w:color w:val="000000" w:themeColor="text1"/>
          <w:sz w:val="20"/>
          <w:szCs w:val="20"/>
        </w:rPr>
        <w:t>. Cambridge, MA: Ballinger Publishing Company.</w:t>
      </w:r>
    </w:p>
    <w:p w14:paraId="1180B6FE" w14:textId="0CF4D72E" w:rsidR="21C3821A" w:rsidRDefault="21C3821A" w:rsidP="0066301C">
      <w:pPr>
        <w:spacing w:after="0"/>
        <w:jc w:val="both"/>
        <w:rPr>
          <w:rFonts w:ascii="Arial" w:eastAsia="Arial" w:hAnsi="Arial" w:cs="Arial"/>
          <w:sz w:val="20"/>
          <w:szCs w:val="20"/>
          <w:lang w:val="en-US"/>
        </w:rPr>
      </w:pPr>
      <w:r w:rsidRPr="48425B6A">
        <w:rPr>
          <w:rFonts w:ascii="Arial" w:eastAsia="Arial" w:hAnsi="Arial" w:cs="Arial"/>
          <w:sz w:val="20"/>
          <w:szCs w:val="20"/>
          <w:lang w:val="en-US"/>
        </w:rPr>
        <w:t xml:space="preserve">Krugman P. R., Obstfeld, M., and Melitz, M. J. (2012). </w:t>
      </w:r>
      <w:r w:rsidRPr="48425B6A">
        <w:rPr>
          <w:rFonts w:ascii="Arial" w:eastAsia="Arial" w:hAnsi="Arial" w:cs="Arial"/>
          <w:i/>
          <w:iCs/>
          <w:sz w:val="20"/>
          <w:szCs w:val="20"/>
          <w:lang w:val="en-US"/>
        </w:rPr>
        <w:t>International Economic: Theory and Policy</w:t>
      </w:r>
      <w:r w:rsidRPr="48425B6A">
        <w:rPr>
          <w:rFonts w:ascii="Arial" w:eastAsia="Arial" w:hAnsi="Arial" w:cs="Arial"/>
          <w:sz w:val="20"/>
          <w:szCs w:val="20"/>
          <w:lang w:val="en-US"/>
        </w:rPr>
        <w:t>, 9</w:t>
      </w:r>
      <w:r w:rsidRPr="48425B6A">
        <w:rPr>
          <w:rFonts w:ascii="Arial" w:eastAsia="Arial" w:hAnsi="Arial" w:cs="Arial"/>
          <w:sz w:val="20"/>
          <w:szCs w:val="20"/>
          <w:vertAlign w:val="superscript"/>
          <w:lang w:val="en-US"/>
        </w:rPr>
        <w:t>th</w:t>
      </w:r>
      <w:r w:rsidRPr="48425B6A">
        <w:rPr>
          <w:rFonts w:ascii="Arial" w:eastAsia="Arial" w:hAnsi="Arial" w:cs="Arial"/>
          <w:sz w:val="20"/>
          <w:szCs w:val="20"/>
          <w:lang w:val="en-US"/>
        </w:rPr>
        <w:t xml:space="preserve"> edn</w:t>
      </w:r>
    </w:p>
    <w:p w14:paraId="791D74ED" w14:textId="70E10CD0" w:rsidR="21C3821A" w:rsidRDefault="21C3821A" w:rsidP="0066301C">
      <w:pPr>
        <w:spacing w:after="200"/>
        <w:jc w:val="both"/>
        <w:rPr>
          <w:rFonts w:ascii="Arial" w:eastAsia="Arial" w:hAnsi="Arial" w:cs="Arial"/>
          <w:sz w:val="20"/>
          <w:szCs w:val="20"/>
          <w:lang w:val="en-US"/>
        </w:rPr>
      </w:pPr>
      <w:r w:rsidRPr="48425B6A">
        <w:rPr>
          <w:rFonts w:ascii="Arial" w:eastAsia="Arial" w:hAnsi="Arial" w:cs="Arial"/>
          <w:sz w:val="20"/>
          <w:szCs w:val="20"/>
          <w:lang w:val="en-US"/>
        </w:rPr>
        <w:t xml:space="preserve">Krugman P. R. and Obstfeld, M. (1994). </w:t>
      </w:r>
      <w:r w:rsidRPr="48425B6A">
        <w:rPr>
          <w:rFonts w:ascii="Arial" w:eastAsia="Arial" w:hAnsi="Arial" w:cs="Arial"/>
          <w:i/>
          <w:iCs/>
          <w:sz w:val="20"/>
          <w:szCs w:val="20"/>
          <w:lang w:val="en-US"/>
        </w:rPr>
        <w:t>International Economic: Theory and Policy</w:t>
      </w:r>
      <w:r w:rsidRPr="48425B6A">
        <w:rPr>
          <w:rFonts w:ascii="Arial" w:eastAsia="Arial" w:hAnsi="Arial" w:cs="Arial"/>
          <w:sz w:val="20"/>
          <w:szCs w:val="20"/>
          <w:lang w:val="en-US"/>
        </w:rPr>
        <w:t>, 8</w:t>
      </w:r>
      <w:r w:rsidRPr="48425B6A">
        <w:rPr>
          <w:rFonts w:ascii="Arial" w:eastAsia="Arial" w:hAnsi="Arial" w:cs="Arial"/>
          <w:sz w:val="20"/>
          <w:szCs w:val="20"/>
          <w:vertAlign w:val="superscript"/>
          <w:lang w:val="en-US"/>
        </w:rPr>
        <w:t>th</w:t>
      </w:r>
      <w:r w:rsidRPr="48425B6A">
        <w:rPr>
          <w:rFonts w:ascii="Arial" w:eastAsia="Arial" w:hAnsi="Arial" w:cs="Arial"/>
          <w:sz w:val="20"/>
          <w:szCs w:val="20"/>
          <w:lang w:val="en-US"/>
        </w:rPr>
        <w:t xml:space="preserve"> edn.</w:t>
      </w:r>
    </w:p>
    <w:p w14:paraId="6117C1CC" w14:textId="156E290E" w:rsidR="21C3821A" w:rsidRDefault="21C3821A" w:rsidP="0066301C">
      <w:pPr>
        <w:spacing w:after="200"/>
        <w:jc w:val="both"/>
        <w:rPr>
          <w:rFonts w:ascii="Arial" w:eastAsia="Arial" w:hAnsi="Arial" w:cs="Arial"/>
          <w:sz w:val="20"/>
          <w:szCs w:val="20"/>
          <w:lang w:val="en-US"/>
        </w:rPr>
      </w:pPr>
      <w:r w:rsidRPr="48425B6A">
        <w:rPr>
          <w:rFonts w:ascii="Arial" w:eastAsia="Arial" w:hAnsi="Arial" w:cs="Arial"/>
          <w:sz w:val="20"/>
          <w:szCs w:val="20"/>
          <w:lang w:val="en-US"/>
        </w:rPr>
        <w:t xml:space="preserve">Krugman P. R. and Obstfeld, M. (1994). </w:t>
      </w:r>
      <w:r w:rsidRPr="48425B6A">
        <w:rPr>
          <w:rFonts w:ascii="Arial" w:eastAsia="Arial" w:hAnsi="Arial" w:cs="Arial"/>
          <w:i/>
          <w:iCs/>
          <w:sz w:val="20"/>
          <w:szCs w:val="20"/>
          <w:lang w:val="en-US"/>
        </w:rPr>
        <w:t>International Economic: Theory and Policy</w:t>
      </w:r>
      <w:r w:rsidRPr="48425B6A">
        <w:rPr>
          <w:rFonts w:ascii="Arial" w:eastAsia="Arial" w:hAnsi="Arial" w:cs="Arial"/>
          <w:sz w:val="20"/>
          <w:szCs w:val="20"/>
          <w:lang w:val="en-US"/>
        </w:rPr>
        <w:t>, 3</w:t>
      </w:r>
      <w:r w:rsidRPr="48425B6A">
        <w:rPr>
          <w:rFonts w:ascii="Arial" w:eastAsia="Arial" w:hAnsi="Arial" w:cs="Arial"/>
          <w:sz w:val="20"/>
          <w:szCs w:val="20"/>
          <w:vertAlign w:val="superscript"/>
          <w:lang w:val="en-US"/>
        </w:rPr>
        <w:t>rd</w:t>
      </w:r>
      <w:r w:rsidRPr="48425B6A">
        <w:rPr>
          <w:rFonts w:ascii="Arial" w:eastAsia="Arial" w:hAnsi="Arial" w:cs="Arial"/>
          <w:sz w:val="20"/>
          <w:szCs w:val="20"/>
          <w:lang w:val="en-US"/>
        </w:rPr>
        <w:t xml:space="preserve"> edn. Donnelley and Sons. New Jersey: Addison Wesley Longman, Pearson Education. </w:t>
      </w:r>
    </w:p>
    <w:p w14:paraId="1F0C1B07" w14:textId="470184A0" w:rsidR="21C3821A" w:rsidRDefault="21C3821A" w:rsidP="0066301C">
      <w:pPr>
        <w:spacing w:after="200"/>
        <w:jc w:val="both"/>
        <w:rPr>
          <w:rFonts w:ascii="Arial" w:eastAsia="Arial" w:hAnsi="Arial" w:cs="Arial"/>
          <w:sz w:val="20"/>
          <w:szCs w:val="20"/>
          <w:lang w:val="en-US"/>
        </w:rPr>
      </w:pPr>
      <w:r w:rsidRPr="48425B6A">
        <w:rPr>
          <w:rFonts w:ascii="Arial" w:eastAsia="Arial" w:hAnsi="Arial" w:cs="Arial"/>
          <w:sz w:val="20"/>
          <w:szCs w:val="20"/>
          <w:lang w:val="en-US"/>
        </w:rPr>
        <w:t xml:space="preserve">Krugman, P. and Taylor, L. (1978). Contractionary effect of devaluation. </w:t>
      </w:r>
      <w:r w:rsidRPr="48425B6A">
        <w:rPr>
          <w:rFonts w:ascii="Arial" w:eastAsia="Arial" w:hAnsi="Arial" w:cs="Arial"/>
          <w:i/>
          <w:iCs/>
          <w:sz w:val="20"/>
          <w:szCs w:val="20"/>
          <w:lang w:val="en-US"/>
        </w:rPr>
        <w:t xml:space="preserve">Journal of international economics, </w:t>
      </w:r>
      <w:r w:rsidRPr="48425B6A">
        <w:rPr>
          <w:rFonts w:ascii="Arial" w:eastAsia="Arial" w:hAnsi="Arial" w:cs="Arial"/>
          <w:sz w:val="20"/>
          <w:szCs w:val="20"/>
          <w:lang w:val="en-US"/>
        </w:rPr>
        <w:t>Vol. 8 (3), Pp: 445-456.</w:t>
      </w:r>
    </w:p>
    <w:p w14:paraId="1B13BE85" w14:textId="442F6181" w:rsidR="21C3821A" w:rsidRDefault="21C3821A" w:rsidP="0066301C">
      <w:pPr>
        <w:spacing w:after="0" w:line="360" w:lineRule="auto"/>
        <w:jc w:val="both"/>
        <w:rPr>
          <w:rFonts w:ascii="Arial" w:eastAsia="Arial" w:hAnsi="Arial" w:cs="Arial"/>
          <w:sz w:val="20"/>
          <w:szCs w:val="20"/>
          <w:lang w:val="en-US"/>
        </w:rPr>
      </w:pPr>
      <w:r w:rsidRPr="48425B6A">
        <w:rPr>
          <w:rFonts w:ascii="Arial" w:eastAsia="Arial" w:hAnsi="Arial" w:cs="Arial"/>
          <w:sz w:val="20"/>
          <w:szCs w:val="20"/>
          <w:lang w:val="en-US"/>
        </w:rPr>
        <w:t>Kurtovic, S. Halili, B., Maxhuni, N. (2016). Bilateral Trade Elasticity: B&amp;H versus its seven trade partners. MPRA Paper No. 72297.</w:t>
      </w:r>
    </w:p>
    <w:p w14:paraId="49647EA4" w14:textId="66E935B6" w:rsidR="21C3821A" w:rsidRDefault="21C3821A" w:rsidP="0066301C">
      <w:pPr>
        <w:spacing w:after="200"/>
        <w:jc w:val="both"/>
        <w:rPr>
          <w:rFonts w:ascii="Arial" w:eastAsia="Arial" w:hAnsi="Arial" w:cs="Arial"/>
          <w:sz w:val="20"/>
          <w:szCs w:val="20"/>
        </w:rPr>
      </w:pPr>
      <w:r w:rsidRPr="48425B6A">
        <w:rPr>
          <w:rFonts w:ascii="Arial" w:eastAsia="Arial" w:hAnsi="Arial" w:cs="Arial"/>
          <w:sz w:val="20"/>
          <w:szCs w:val="20"/>
        </w:rPr>
        <w:t>Kurtović, S. (2017). The Effect of Depreciation of the Exchange Rate on the Trade Balance of Albania. Review of Economic Perspectives, ISSN 1804-1663, De Gruyter, Warsaw, Vol. 17 (2), Pp: 141-158.</w:t>
      </w:r>
    </w:p>
    <w:p w14:paraId="5E7832AB" w14:textId="5E9E20C9" w:rsidR="21C3821A" w:rsidRDefault="21C3821A" w:rsidP="0066301C">
      <w:pPr>
        <w:spacing w:after="200"/>
        <w:jc w:val="both"/>
        <w:rPr>
          <w:rFonts w:ascii="Arial" w:eastAsia="Arial" w:hAnsi="Arial" w:cs="Arial"/>
          <w:sz w:val="20"/>
          <w:szCs w:val="20"/>
        </w:rPr>
      </w:pPr>
      <w:r w:rsidRPr="48425B6A">
        <w:rPr>
          <w:rFonts w:ascii="Arial" w:eastAsia="Arial" w:hAnsi="Arial" w:cs="Arial"/>
          <w:sz w:val="20"/>
          <w:szCs w:val="20"/>
        </w:rPr>
        <w:lastRenderedPageBreak/>
        <w:t xml:space="preserve">Kwadwo, S. A. and Hamza, K. (2015). Qualitative and Quantitative Research Paradigms in Business Research: A Philosophical Reflection. </w:t>
      </w:r>
      <w:r w:rsidRPr="48425B6A">
        <w:rPr>
          <w:rFonts w:ascii="Arial" w:eastAsia="Arial" w:hAnsi="Arial" w:cs="Arial"/>
          <w:i/>
          <w:iCs/>
          <w:sz w:val="20"/>
          <w:szCs w:val="20"/>
        </w:rPr>
        <w:t xml:space="preserve">European Journal of Business and Management, </w:t>
      </w:r>
      <w:r w:rsidRPr="48425B6A">
        <w:rPr>
          <w:rFonts w:ascii="Arial" w:eastAsia="Arial" w:hAnsi="Arial" w:cs="Arial"/>
          <w:sz w:val="20"/>
          <w:szCs w:val="20"/>
        </w:rPr>
        <w:t>Vol. 7 (3), PP: 217-225.</w:t>
      </w:r>
    </w:p>
    <w:p w14:paraId="6E8621F0" w14:textId="1043C60D" w:rsidR="21C3821A" w:rsidRDefault="21C3821A" w:rsidP="0066301C">
      <w:pPr>
        <w:spacing w:after="200"/>
        <w:jc w:val="both"/>
        <w:rPr>
          <w:rFonts w:ascii="Arial" w:eastAsia="Arial" w:hAnsi="Arial" w:cs="Arial"/>
          <w:sz w:val="20"/>
          <w:szCs w:val="20"/>
        </w:rPr>
      </w:pPr>
      <w:r w:rsidRPr="48425B6A">
        <w:rPr>
          <w:rFonts w:ascii="Arial" w:eastAsia="Arial" w:hAnsi="Arial" w:cs="Arial"/>
          <w:sz w:val="20"/>
          <w:szCs w:val="20"/>
        </w:rPr>
        <w:t xml:space="preserve">Lafrance, R. and Schembri, L. (2002). Purchasing Power Parity: Definition, Measurement, and Interpretation. </w:t>
      </w:r>
      <w:r w:rsidRPr="48425B6A">
        <w:rPr>
          <w:rFonts w:ascii="Arial" w:eastAsia="Arial" w:hAnsi="Arial" w:cs="Arial"/>
          <w:i/>
          <w:iCs/>
          <w:sz w:val="20"/>
          <w:szCs w:val="20"/>
        </w:rPr>
        <w:t>Bank of Canada Review</w:t>
      </w:r>
      <w:r w:rsidRPr="48425B6A">
        <w:rPr>
          <w:rFonts w:ascii="Arial" w:eastAsia="Arial" w:hAnsi="Arial" w:cs="Arial"/>
          <w:sz w:val="20"/>
          <w:szCs w:val="20"/>
        </w:rPr>
        <w:t xml:space="preserve"> (</w:t>
      </w:r>
      <w:r w:rsidRPr="48425B6A">
        <w:rPr>
          <w:rFonts w:ascii="Arial" w:eastAsia="Arial" w:hAnsi="Arial" w:cs="Arial"/>
          <w:i/>
          <w:iCs/>
          <w:sz w:val="20"/>
          <w:szCs w:val="20"/>
        </w:rPr>
        <w:t>Autumn</w:t>
      </w:r>
      <w:r w:rsidRPr="48425B6A">
        <w:rPr>
          <w:rFonts w:ascii="Arial" w:eastAsia="Arial" w:hAnsi="Arial" w:cs="Arial"/>
          <w:sz w:val="20"/>
          <w:szCs w:val="20"/>
        </w:rPr>
        <w:t>), Pp: 27- 33.</w:t>
      </w:r>
    </w:p>
    <w:p w14:paraId="0CF4F9A7" w14:textId="3BDF9CFF" w:rsidR="21C3821A" w:rsidRDefault="21C3821A" w:rsidP="0066301C">
      <w:pPr>
        <w:spacing w:after="200"/>
        <w:jc w:val="both"/>
        <w:rPr>
          <w:rFonts w:ascii="Arial" w:eastAsia="Arial" w:hAnsi="Arial" w:cs="Arial"/>
          <w:sz w:val="20"/>
          <w:szCs w:val="20"/>
          <w:lang w:val="en-US"/>
        </w:rPr>
      </w:pPr>
      <w:r w:rsidRPr="48425B6A">
        <w:rPr>
          <w:rFonts w:ascii="Arial" w:eastAsia="Arial" w:hAnsi="Arial" w:cs="Arial"/>
          <w:sz w:val="20"/>
          <w:szCs w:val="20"/>
          <w:lang w:val="en-US"/>
        </w:rPr>
        <w:t xml:space="preserve">Lall, S. (2000). </w:t>
      </w:r>
      <w:r w:rsidRPr="48425B6A">
        <w:rPr>
          <w:rFonts w:ascii="Arial" w:eastAsia="Arial" w:hAnsi="Arial" w:cs="Arial"/>
          <w:i/>
          <w:iCs/>
          <w:sz w:val="20"/>
          <w:szCs w:val="20"/>
          <w:lang w:val="en-US"/>
        </w:rPr>
        <w:t>Skills, competitiveness and policy in developing countries.</w:t>
      </w:r>
      <w:r w:rsidRPr="48425B6A">
        <w:rPr>
          <w:rFonts w:ascii="Arial" w:eastAsia="Arial" w:hAnsi="Arial" w:cs="Arial"/>
          <w:sz w:val="20"/>
          <w:szCs w:val="20"/>
          <w:lang w:val="en-US"/>
        </w:rPr>
        <w:t xml:space="preserve"> Queen Elizabeth House Working Paper QEHWPS46, University of Oxford.</w:t>
      </w:r>
    </w:p>
    <w:p w14:paraId="7F7CC002" w14:textId="61EDABD6" w:rsidR="21C3821A" w:rsidRDefault="21C3821A" w:rsidP="0066301C">
      <w:pPr>
        <w:spacing w:after="200"/>
        <w:jc w:val="both"/>
        <w:rPr>
          <w:rFonts w:ascii="Arial" w:eastAsia="Arial" w:hAnsi="Arial" w:cs="Arial"/>
          <w:sz w:val="20"/>
          <w:szCs w:val="20"/>
          <w:lang w:val="en-US"/>
        </w:rPr>
      </w:pPr>
      <w:r w:rsidRPr="48425B6A">
        <w:rPr>
          <w:rFonts w:ascii="Arial" w:eastAsia="Arial" w:hAnsi="Arial" w:cs="Arial"/>
          <w:sz w:val="20"/>
          <w:szCs w:val="20"/>
          <w:lang w:val="en-US"/>
        </w:rPr>
        <w:t xml:space="preserve">Lane, P. R. and Milesi-Ferretti, G. (2002). External Wealth, the Trade Balance, and the Real Exchange Rate. </w:t>
      </w:r>
      <w:r w:rsidRPr="48425B6A">
        <w:rPr>
          <w:rFonts w:ascii="Arial" w:eastAsia="Arial" w:hAnsi="Arial" w:cs="Arial"/>
          <w:i/>
          <w:iCs/>
          <w:sz w:val="20"/>
          <w:szCs w:val="20"/>
          <w:lang w:val="en-US"/>
        </w:rPr>
        <w:t>European Economic Review</w:t>
      </w:r>
      <w:r w:rsidRPr="48425B6A">
        <w:rPr>
          <w:rFonts w:ascii="Arial" w:eastAsia="Arial" w:hAnsi="Arial" w:cs="Arial"/>
          <w:sz w:val="20"/>
          <w:szCs w:val="20"/>
          <w:lang w:val="en-US"/>
        </w:rPr>
        <w:t>. Vol. 46 (6), Pp: 1049 – 1071.</w:t>
      </w:r>
    </w:p>
    <w:p w14:paraId="59D277E1" w14:textId="58BB9062" w:rsidR="21C3821A" w:rsidRDefault="21C3821A" w:rsidP="0066301C">
      <w:pPr>
        <w:spacing w:after="200"/>
        <w:jc w:val="both"/>
        <w:rPr>
          <w:rFonts w:ascii="Arial" w:eastAsia="Arial" w:hAnsi="Arial" w:cs="Arial"/>
          <w:sz w:val="20"/>
          <w:szCs w:val="20"/>
          <w:lang w:val="en-US"/>
        </w:rPr>
      </w:pPr>
      <w:r w:rsidRPr="48425B6A">
        <w:rPr>
          <w:rFonts w:ascii="Arial" w:eastAsia="Arial" w:hAnsi="Arial" w:cs="Arial"/>
          <w:sz w:val="20"/>
          <w:szCs w:val="20"/>
          <w:lang w:val="en-US"/>
        </w:rPr>
        <w:t xml:space="preserve">Laursen, S., and L. A. Metzler (1950). ‘Flexible Exchange Rates and the Theory of Employment’. </w:t>
      </w:r>
      <w:r w:rsidRPr="48425B6A">
        <w:rPr>
          <w:rFonts w:ascii="Arial" w:eastAsia="Arial" w:hAnsi="Arial" w:cs="Arial"/>
          <w:i/>
          <w:iCs/>
          <w:sz w:val="20"/>
          <w:szCs w:val="20"/>
          <w:lang w:val="en-US"/>
        </w:rPr>
        <w:t xml:space="preserve">Review of Economics and Statistics, </w:t>
      </w:r>
      <w:r w:rsidRPr="48425B6A">
        <w:rPr>
          <w:rFonts w:ascii="Arial" w:eastAsia="Arial" w:hAnsi="Arial" w:cs="Arial"/>
          <w:sz w:val="20"/>
          <w:szCs w:val="20"/>
          <w:lang w:val="en-US"/>
        </w:rPr>
        <w:t>XXXII, Pp: 281-299.</w:t>
      </w:r>
    </w:p>
    <w:p w14:paraId="67A118C0" w14:textId="7422CEE1" w:rsidR="21C3821A" w:rsidRDefault="21C3821A" w:rsidP="0066301C">
      <w:pPr>
        <w:spacing w:after="200"/>
        <w:jc w:val="both"/>
        <w:rPr>
          <w:rFonts w:ascii="Arial" w:eastAsia="Arial" w:hAnsi="Arial" w:cs="Arial"/>
          <w:i/>
          <w:iCs/>
          <w:sz w:val="20"/>
          <w:szCs w:val="20"/>
          <w:lang w:val="en-US"/>
        </w:rPr>
      </w:pPr>
      <w:r w:rsidRPr="48425B6A">
        <w:rPr>
          <w:rFonts w:ascii="Arial" w:eastAsia="Arial" w:hAnsi="Arial" w:cs="Arial"/>
          <w:sz w:val="20"/>
          <w:szCs w:val="20"/>
          <w:lang w:val="en-US"/>
        </w:rPr>
        <w:t xml:space="preserve">Lerner, A. (1944). Economics of Control: Principle of Welfare Economics, </w:t>
      </w:r>
      <w:r w:rsidRPr="48425B6A">
        <w:rPr>
          <w:rFonts w:ascii="Arial" w:eastAsia="Arial" w:hAnsi="Arial" w:cs="Arial"/>
          <w:i/>
          <w:iCs/>
          <w:sz w:val="20"/>
          <w:szCs w:val="20"/>
          <w:lang w:val="en-US"/>
        </w:rPr>
        <w:t>Macmillan, New York, USA.</w:t>
      </w:r>
    </w:p>
    <w:p w14:paraId="3454435C" w14:textId="435F9DB8" w:rsidR="004364C0" w:rsidRPr="004364C0" w:rsidRDefault="004364C0" w:rsidP="0066301C">
      <w:pPr>
        <w:jc w:val="both"/>
        <w:rPr>
          <w:rFonts w:ascii="Arial" w:hAnsi="Arial" w:cs="Arial"/>
          <w:sz w:val="20"/>
          <w:szCs w:val="20"/>
        </w:rPr>
      </w:pPr>
      <w:r w:rsidRPr="004364C0">
        <w:rPr>
          <w:rFonts w:ascii="Arial" w:hAnsi="Arial" w:cs="Arial"/>
          <w:sz w:val="20"/>
          <w:szCs w:val="20"/>
          <w:shd w:val="clear" w:color="auto" w:fill="FFFFFF"/>
        </w:rPr>
        <w:t xml:space="preserve">Levin, A., Lin, C.F. and Chu, C.S.J. (2002) Unit Root Tests in Panel Data: Asymptotic and Finite-Sample Properties. Journal of econometrics, 108, 1-24. </w:t>
      </w:r>
      <w:r w:rsidR="00D24315">
        <w:rPr>
          <w:rFonts w:ascii="Arial" w:hAnsi="Arial" w:cs="Arial"/>
          <w:sz w:val="20"/>
          <w:szCs w:val="20"/>
          <w:shd w:val="clear" w:color="auto" w:fill="FFFFFF"/>
        </w:rPr>
        <w:t>h</w:t>
      </w:r>
      <w:r w:rsidRPr="004364C0">
        <w:rPr>
          <w:rFonts w:ascii="Arial" w:hAnsi="Arial" w:cs="Arial"/>
          <w:sz w:val="20"/>
          <w:szCs w:val="20"/>
          <w:shd w:val="clear" w:color="auto" w:fill="FFFFFF"/>
        </w:rPr>
        <w:t>ttps://doi.org/10.1016/S0304-4076(01)00098-7</w:t>
      </w:r>
    </w:p>
    <w:p w14:paraId="7254164C" w14:textId="740B36BA" w:rsidR="21C3821A" w:rsidRPr="004364C0" w:rsidRDefault="21C3821A" w:rsidP="0066301C">
      <w:pPr>
        <w:jc w:val="both"/>
        <w:rPr>
          <w:rFonts w:ascii="Arial" w:eastAsia="Arial" w:hAnsi="Arial" w:cs="Arial"/>
          <w:color w:val="000000" w:themeColor="text1"/>
          <w:sz w:val="20"/>
          <w:szCs w:val="20"/>
        </w:rPr>
      </w:pPr>
      <w:r w:rsidRPr="004364C0">
        <w:rPr>
          <w:rFonts w:ascii="Arial" w:eastAsia="Arial" w:hAnsi="Arial" w:cs="Arial"/>
          <w:color w:val="000000" w:themeColor="text1"/>
          <w:sz w:val="20"/>
          <w:szCs w:val="20"/>
        </w:rPr>
        <w:t xml:space="preserve">Levine, R., Loayza, N. and Beck, T. (2000). Financial Intermediation and Growth: Causality and Causes. </w:t>
      </w:r>
      <w:r w:rsidRPr="004364C0">
        <w:rPr>
          <w:rFonts w:ascii="Arial" w:eastAsia="Arial" w:hAnsi="Arial" w:cs="Arial"/>
          <w:i/>
          <w:iCs/>
          <w:color w:val="000000" w:themeColor="text1"/>
          <w:sz w:val="20"/>
          <w:szCs w:val="20"/>
        </w:rPr>
        <w:t xml:space="preserve">Journal of Monetary Economics, </w:t>
      </w:r>
      <w:r w:rsidRPr="004364C0">
        <w:rPr>
          <w:rFonts w:ascii="Arial" w:eastAsia="Arial" w:hAnsi="Arial" w:cs="Arial"/>
          <w:color w:val="000000" w:themeColor="text1"/>
          <w:sz w:val="20"/>
          <w:szCs w:val="20"/>
        </w:rPr>
        <w:t>Vol. 46(1), Pp:31-77.</w:t>
      </w:r>
    </w:p>
    <w:p w14:paraId="16FDA51F" w14:textId="5F3028D6" w:rsidR="21C3821A" w:rsidRDefault="21C3821A" w:rsidP="0066301C">
      <w:pPr>
        <w:spacing w:after="200"/>
        <w:jc w:val="both"/>
        <w:rPr>
          <w:rFonts w:ascii="Arial" w:eastAsia="Arial" w:hAnsi="Arial" w:cs="Arial"/>
          <w:color w:val="000000" w:themeColor="text1"/>
          <w:sz w:val="20"/>
          <w:szCs w:val="20"/>
        </w:rPr>
      </w:pPr>
      <w:r w:rsidRPr="48425B6A">
        <w:rPr>
          <w:rFonts w:ascii="Arial" w:eastAsia="Arial" w:hAnsi="Arial" w:cs="Arial"/>
          <w:color w:val="000000" w:themeColor="text1"/>
          <w:sz w:val="20"/>
          <w:szCs w:val="20"/>
        </w:rPr>
        <w:t xml:space="preserve">Levy-Yeyati, E. L., and Sturzenegger, F. (2007). Fear of Floating in Reverse: Exchange Rate Policy in the 2000s. </w:t>
      </w:r>
      <w:r w:rsidRPr="48425B6A">
        <w:rPr>
          <w:rFonts w:ascii="Arial" w:eastAsia="Arial" w:hAnsi="Arial" w:cs="Arial"/>
          <w:i/>
          <w:iCs/>
          <w:color w:val="000000" w:themeColor="text1"/>
          <w:sz w:val="20"/>
          <w:szCs w:val="20"/>
        </w:rPr>
        <w:t>Mimeo</w:t>
      </w:r>
      <w:r w:rsidRPr="48425B6A">
        <w:rPr>
          <w:rFonts w:ascii="Arial" w:eastAsia="Arial" w:hAnsi="Arial" w:cs="Arial"/>
          <w:color w:val="000000" w:themeColor="text1"/>
          <w:sz w:val="20"/>
          <w:szCs w:val="20"/>
        </w:rPr>
        <w:t>.</w:t>
      </w:r>
    </w:p>
    <w:p w14:paraId="371B5910" w14:textId="4AA7386F" w:rsidR="21C3821A" w:rsidRDefault="21C3821A" w:rsidP="0066301C">
      <w:pPr>
        <w:spacing w:after="200"/>
        <w:jc w:val="both"/>
        <w:rPr>
          <w:rFonts w:ascii="Arial" w:eastAsia="Arial" w:hAnsi="Arial" w:cs="Arial"/>
          <w:sz w:val="20"/>
          <w:szCs w:val="20"/>
        </w:rPr>
      </w:pPr>
      <w:r w:rsidRPr="48425B6A">
        <w:rPr>
          <w:rFonts w:ascii="Arial" w:eastAsia="Arial" w:hAnsi="Arial" w:cs="Arial"/>
          <w:sz w:val="20"/>
          <w:szCs w:val="20"/>
        </w:rPr>
        <w:t xml:space="preserve">Levy-Yeyati, E. L., Sturzenegger, F., and Gluzmann, P. A. (2013). Fear of Appreciation. </w:t>
      </w:r>
      <w:r w:rsidRPr="48425B6A">
        <w:rPr>
          <w:rFonts w:ascii="Arial" w:eastAsia="Arial" w:hAnsi="Arial" w:cs="Arial"/>
          <w:i/>
          <w:iCs/>
          <w:sz w:val="20"/>
          <w:szCs w:val="20"/>
        </w:rPr>
        <w:t>Journal of Development Economics</w:t>
      </w:r>
      <w:r w:rsidRPr="48425B6A">
        <w:rPr>
          <w:rFonts w:ascii="Arial" w:eastAsia="Arial" w:hAnsi="Arial" w:cs="Arial"/>
          <w:sz w:val="20"/>
          <w:szCs w:val="20"/>
        </w:rPr>
        <w:t>, Vol. 101, Pp: 233- 247.</w:t>
      </w:r>
    </w:p>
    <w:p w14:paraId="2D08352B" w14:textId="3D1B7E29" w:rsidR="21C3821A" w:rsidRDefault="21C3821A" w:rsidP="0066301C">
      <w:pPr>
        <w:spacing w:after="200"/>
        <w:jc w:val="both"/>
        <w:rPr>
          <w:rFonts w:ascii="Arial" w:eastAsia="Arial" w:hAnsi="Arial" w:cs="Arial"/>
          <w:sz w:val="20"/>
          <w:szCs w:val="20"/>
          <w:lang w:val="en-US"/>
        </w:rPr>
      </w:pPr>
      <w:r w:rsidRPr="48425B6A">
        <w:rPr>
          <w:rFonts w:ascii="Arial" w:eastAsia="Arial" w:hAnsi="Arial" w:cs="Arial"/>
          <w:sz w:val="20"/>
          <w:szCs w:val="20"/>
          <w:lang w:val="en-US"/>
        </w:rPr>
        <w:t xml:space="preserve">Li, X. (2004). Trade Liberalization and Reak Exchange Rate Movement. </w:t>
      </w:r>
      <w:r w:rsidRPr="48425B6A">
        <w:rPr>
          <w:rFonts w:ascii="Arial" w:eastAsia="Arial" w:hAnsi="Arial" w:cs="Arial"/>
          <w:i/>
          <w:iCs/>
          <w:sz w:val="20"/>
          <w:szCs w:val="20"/>
          <w:lang w:val="en-US"/>
        </w:rPr>
        <w:t xml:space="preserve">IMF Staff Paper. </w:t>
      </w:r>
      <w:r w:rsidRPr="48425B6A">
        <w:rPr>
          <w:rFonts w:ascii="Arial" w:eastAsia="Arial" w:hAnsi="Arial" w:cs="Arial"/>
          <w:sz w:val="20"/>
          <w:szCs w:val="20"/>
          <w:lang w:val="en-US"/>
        </w:rPr>
        <w:t>Vol. 51(3), Pp: 553-584.</w:t>
      </w:r>
    </w:p>
    <w:p w14:paraId="1DAF83D1" w14:textId="77F3E9D1" w:rsidR="21C3821A" w:rsidRDefault="21C3821A" w:rsidP="0066301C">
      <w:pPr>
        <w:spacing w:after="200"/>
        <w:jc w:val="both"/>
        <w:rPr>
          <w:rFonts w:ascii="Arial" w:eastAsia="Arial" w:hAnsi="Arial" w:cs="Arial"/>
          <w:sz w:val="20"/>
          <w:szCs w:val="20"/>
          <w:lang w:val="en-US"/>
        </w:rPr>
      </w:pPr>
      <w:r w:rsidRPr="48425B6A">
        <w:rPr>
          <w:rFonts w:ascii="Arial" w:eastAsia="Arial" w:hAnsi="Arial" w:cs="Arial"/>
          <w:sz w:val="20"/>
          <w:szCs w:val="20"/>
          <w:lang w:val="en-US"/>
        </w:rPr>
        <w:t xml:space="preserve">Lily, L., Kogid, M., Mulok, D., Sang, L.T, Asid, R. (2013). Exchange Rate and Foreign Direct Investment in Asean Economies. </w:t>
      </w:r>
      <w:r w:rsidRPr="48425B6A">
        <w:rPr>
          <w:rFonts w:ascii="Arial" w:eastAsia="Arial" w:hAnsi="Arial" w:cs="Arial"/>
          <w:i/>
          <w:iCs/>
          <w:sz w:val="20"/>
          <w:szCs w:val="20"/>
          <w:lang w:val="en-US"/>
        </w:rPr>
        <w:t xml:space="preserve">Economic Research International, </w:t>
      </w:r>
      <w:r w:rsidRPr="48425B6A">
        <w:rPr>
          <w:rFonts w:ascii="Arial" w:eastAsia="Arial" w:hAnsi="Arial" w:cs="Arial"/>
          <w:sz w:val="20"/>
          <w:szCs w:val="20"/>
          <w:lang w:val="en-US"/>
        </w:rPr>
        <w:t xml:space="preserve">Vol. 2014, Hindawi Publishing Corporation. </w:t>
      </w:r>
    </w:p>
    <w:p w14:paraId="149DD8C5" w14:textId="7B5EAEBA" w:rsidR="21C3821A" w:rsidRDefault="21C3821A" w:rsidP="0066301C">
      <w:pPr>
        <w:spacing w:after="200"/>
        <w:jc w:val="both"/>
        <w:rPr>
          <w:rFonts w:ascii="Arial" w:eastAsia="Arial" w:hAnsi="Arial" w:cs="Arial"/>
          <w:sz w:val="20"/>
          <w:szCs w:val="20"/>
          <w:lang w:val="en-US"/>
        </w:rPr>
      </w:pPr>
      <w:r w:rsidRPr="48425B6A">
        <w:rPr>
          <w:rFonts w:ascii="Arial" w:eastAsia="Arial" w:hAnsi="Arial" w:cs="Arial"/>
          <w:sz w:val="20"/>
          <w:szCs w:val="20"/>
          <w:lang w:val="en-US"/>
        </w:rPr>
        <w:t>Lizondo, S., and Montiel, P. (1988). Contractionary Devaluation in Developing Countries: An Analytical Overview.  IMF Working Paper, No: 51. Washington, DC.</w:t>
      </w:r>
    </w:p>
    <w:p w14:paraId="0B268BFD" w14:textId="6A0CB599" w:rsidR="21C3821A" w:rsidRDefault="21C3821A" w:rsidP="0066301C">
      <w:pPr>
        <w:spacing w:after="200"/>
        <w:jc w:val="both"/>
        <w:rPr>
          <w:rFonts w:ascii="Arial" w:eastAsia="Arial" w:hAnsi="Arial" w:cs="Arial"/>
          <w:sz w:val="20"/>
          <w:szCs w:val="20"/>
        </w:rPr>
      </w:pPr>
      <w:r w:rsidRPr="48425B6A">
        <w:rPr>
          <w:rFonts w:ascii="Arial" w:eastAsia="Arial" w:hAnsi="Arial" w:cs="Arial"/>
          <w:color w:val="222222"/>
          <w:sz w:val="20"/>
          <w:szCs w:val="20"/>
        </w:rPr>
        <w:t xml:space="preserve">Loayza, N.V. and Ranciere, R. (2006). Financial development, financial fragility, and growth. </w:t>
      </w:r>
      <w:r w:rsidRPr="48425B6A">
        <w:rPr>
          <w:rFonts w:ascii="Arial" w:eastAsia="Arial" w:hAnsi="Arial" w:cs="Arial"/>
          <w:i/>
          <w:iCs/>
          <w:sz w:val="20"/>
          <w:szCs w:val="20"/>
        </w:rPr>
        <w:t>Journal of Money, Credit and Banking</w:t>
      </w:r>
      <w:r w:rsidRPr="48425B6A">
        <w:rPr>
          <w:rFonts w:ascii="Arial" w:eastAsia="Arial" w:hAnsi="Arial" w:cs="Arial"/>
          <w:sz w:val="20"/>
          <w:szCs w:val="20"/>
        </w:rPr>
        <w:t>, Pp:1051-1076.</w:t>
      </w:r>
    </w:p>
    <w:p w14:paraId="541D2DDD" w14:textId="6AFAD6C6" w:rsidR="21C3821A" w:rsidRPr="00F4568A" w:rsidRDefault="21C3821A" w:rsidP="00F4568A">
      <w:pPr>
        <w:spacing w:after="200"/>
        <w:jc w:val="both"/>
        <w:rPr>
          <w:rFonts w:ascii="Arial" w:eastAsia="Arial" w:hAnsi="Arial" w:cs="Arial"/>
          <w:sz w:val="20"/>
          <w:szCs w:val="20"/>
          <w:lang w:val="en-US"/>
        </w:rPr>
      </w:pPr>
      <w:r w:rsidRPr="48425B6A">
        <w:rPr>
          <w:rFonts w:ascii="Arial" w:eastAsia="Arial" w:hAnsi="Arial" w:cs="Arial"/>
          <w:sz w:val="20"/>
          <w:szCs w:val="20"/>
          <w:lang w:val="en-US"/>
        </w:rPr>
        <w:t xml:space="preserve">MacDonald, R. (1984). The Monetary Approach to the Exchange Rate Revisited. </w:t>
      </w:r>
      <w:r w:rsidRPr="48425B6A">
        <w:rPr>
          <w:rFonts w:ascii="Arial" w:eastAsia="Arial" w:hAnsi="Arial" w:cs="Arial"/>
          <w:i/>
          <w:iCs/>
          <w:sz w:val="20"/>
          <w:szCs w:val="20"/>
          <w:lang w:val="en-US"/>
        </w:rPr>
        <w:t xml:space="preserve">Applied Economics, </w:t>
      </w:r>
      <w:r w:rsidRPr="00F4568A">
        <w:rPr>
          <w:rFonts w:ascii="Arial" w:eastAsia="Arial" w:hAnsi="Arial" w:cs="Arial"/>
          <w:sz w:val="20"/>
          <w:szCs w:val="20"/>
          <w:lang w:val="en-US"/>
        </w:rPr>
        <w:t>No. 16, Pp: 771 - 782.</w:t>
      </w:r>
    </w:p>
    <w:p w14:paraId="1D3A3116" w14:textId="77777777" w:rsidR="00F4568A" w:rsidRPr="00F4568A" w:rsidRDefault="00F4568A" w:rsidP="00F4568A">
      <w:pPr>
        <w:jc w:val="both"/>
        <w:rPr>
          <w:rFonts w:ascii="Arial" w:hAnsi="Arial" w:cs="Arial"/>
          <w:sz w:val="20"/>
          <w:szCs w:val="20"/>
        </w:rPr>
      </w:pPr>
      <w:r w:rsidRPr="00F4568A">
        <w:rPr>
          <w:rFonts w:ascii="Arial" w:hAnsi="Arial" w:cs="Arial"/>
          <w:sz w:val="20"/>
          <w:szCs w:val="20"/>
        </w:rPr>
        <w:t xml:space="preserve">MacDonald, R. (1996). </w:t>
      </w:r>
      <w:r w:rsidRPr="00F4568A">
        <w:rPr>
          <w:rFonts w:ascii="Arial" w:hAnsi="Arial" w:cs="Arial"/>
          <w:i/>
          <w:iCs/>
          <w:sz w:val="20"/>
          <w:szCs w:val="20"/>
        </w:rPr>
        <w:t>Welfare Dependency, the Enterprise Culture and Self-Employed Survival</w:t>
      </w:r>
      <w:r w:rsidRPr="00F4568A">
        <w:rPr>
          <w:rFonts w:ascii="Arial" w:hAnsi="Arial" w:cs="Arial"/>
          <w:sz w:val="20"/>
          <w:szCs w:val="20"/>
        </w:rPr>
        <w:t>. Work, Employment and Society, 10(3), 431-447. https://doi.org/10.1177/0950017096103002</w:t>
      </w:r>
    </w:p>
    <w:p w14:paraId="0B79EF17" w14:textId="5202DC02" w:rsidR="21C3821A" w:rsidRPr="00F4568A" w:rsidRDefault="21C3821A" w:rsidP="00F4568A">
      <w:pPr>
        <w:jc w:val="both"/>
        <w:rPr>
          <w:rFonts w:ascii="Arial" w:eastAsia="Arial" w:hAnsi="Arial" w:cs="Arial"/>
          <w:sz w:val="20"/>
          <w:szCs w:val="20"/>
          <w:lang w:val="en-US"/>
        </w:rPr>
      </w:pPr>
      <w:r w:rsidRPr="00F4568A">
        <w:rPr>
          <w:rFonts w:ascii="Arial" w:eastAsia="Arial" w:hAnsi="Arial" w:cs="Arial"/>
          <w:sz w:val="20"/>
          <w:szCs w:val="20"/>
          <w:lang w:val="en-US"/>
        </w:rPr>
        <w:t>MacDonald, R. (1997). What Determines Real Exchange Rates? The Long and Short of It. IMF Working Paper No.21.</w:t>
      </w:r>
    </w:p>
    <w:p w14:paraId="4838E269" w14:textId="78609C56" w:rsidR="21C3821A" w:rsidRDefault="21C3821A" w:rsidP="00F4568A">
      <w:pPr>
        <w:spacing w:after="200"/>
        <w:jc w:val="both"/>
        <w:rPr>
          <w:rFonts w:ascii="Arial" w:eastAsia="Arial" w:hAnsi="Arial" w:cs="Arial"/>
          <w:i/>
          <w:iCs/>
          <w:sz w:val="20"/>
          <w:szCs w:val="20"/>
          <w:lang w:val="en-US"/>
        </w:rPr>
      </w:pPr>
      <w:r w:rsidRPr="00F4568A">
        <w:rPr>
          <w:rFonts w:ascii="Arial" w:eastAsia="Arial" w:hAnsi="Arial" w:cs="Arial"/>
          <w:sz w:val="20"/>
          <w:szCs w:val="20"/>
          <w:lang w:val="en-US"/>
        </w:rPr>
        <w:t>MacDonald, R. (2000). Concepts</w:t>
      </w:r>
      <w:r w:rsidRPr="48425B6A">
        <w:rPr>
          <w:rFonts w:ascii="Arial" w:eastAsia="Arial" w:hAnsi="Arial" w:cs="Arial"/>
          <w:sz w:val="20"/>
          <w:szCs w:val="20"/>
          <w:lang w:val="en-US"/>
        </w:rPr>
        <w:t xml:space="preserve"> to Calculate Equilibrium Exchange Rates: An Overview, Discussion Paper 3/00. </w:t>
      </w:r>
      <w:r w:rsidRPr="48425B6A">
        <w:rPr>
          <w:rFonts w:ascii="Arial" w:eastAsia="Arial" w:hAnsi="Arial" w:cs="Arial"/>
          <w:i/>
          <w:iCs/>
          <w:sz w:val="20"/>
          <w:szCs w:val="20"/>
          <w:lang w:val="en-US"/>
        </w:rPr>
        <w:t xml:space="preserve">Economic Research Group of Deutsche Bundesbank. </w:t>
      </w:r>
    </w:p>
    <w:p w14:paraId="5C69C20A" w14:textId="77777777" w:rsidR="00D63098" w:rsidRPr="00D63098" w:rsidRDefault="00D63098" w:rsidP="0066301C">
      <w:pPr>
        <w:rPr>
          <w:rFonts w:ascii="Arial" w:hAnsi="Arial" w:cs="Arial"/>
          <w:sz w:val="20"/>
          <w:szCs w:val="20"/>
        </w:rPr>
      </w:pPr>
      <w:r w:rsidRPr="00D63098">
        <w:rPr>
          <w:rFonts w:ascii="Arial" w:hAnsi="Arial" w:cs="Arial"/>
          <w:sz w:val="20"/>
          <w:szCs w:val="20"/>
        </w:rPr>
        <w:t>MacDonald, R. &amp; Ricci, L. (2003). Estimation of the Equilibrium Real Exchange Rate in South Africa. IMF Working Paper WP/03/44.</w:t>
      </w:r>
    </w:p>
    <w:p w14:paraId="1844C834" w14:textId="3F773CF1" w:rsidR="001258CD" w:rsidRPr="001258CD" w:rsidRDefault="00BE290E" w:rsidP="0066301C">
      <w:pPr>
        <w:rPr>
          <w:rFonts w:ascii="Arial" w:hAnsi="Arial" w:cs="Arial"/>
          <w:sz w:val="20"/>
          <w:szCs w:val="20"/>
        </w:rPr>
      </w:pPr>
      <w:r w:rsidRPr="001258CD">
        <w:rPr>
          <w:rFonts w:ascii="Arial" w:hAnsi="Arial" w:cs="Arial"/>
          <w:sz w:val="20"/>
          <w:szCs w:val="20"/>
          <w:shd w:val="clear" w:color="auto" w:fill="FFFFFF"/>
        </w:rPr>
        <w:t>MacDonald, R. and Dias, P. (2007) Behavioural Equilibrium Exchange Rate Estimates and Implied Exchange Rate Adjustments for Ten Countries. University of Glasgow and Peterson Institute of International Economics.</w:t>
      </w:r>
    </w:p>
    <w:p w14:paraId="684952F2" w14:textId="0B781185" w:rsidR="21C3821A" w:rsidRPr="001258CD" w:rsidRDefault="21C3821A" w:rsidP="0066301C">
      <w:pPr>
        <w:rPr>
          <w:rFonts w:ascii="Arial" w:hAnsi="Arial" w:cs="Arial"/>
          <w:sz w:val="20"/>
          <w:szCs w:val="20"/>
        </w:rPr>
      </w:pPr>
      <w:r w:rsidRPr="48425B6A">
        <w:rPr>
          <w:rFonts w:ascii="Arial" w:eastAsia="Arial" w:hAnsi="Arial" w:cs="Arial"/>
          <w:color w:val="333333"/>
          <w:sz w:val="20"/>
          <w:szCs w:val="20"/>
        </w:rPr>
        <w:lastRenderedPageBreak/>
        <w:t xml:space="preserve">MacDonald, R. and Vieira, F. (2010). </w:t>
      </w:r>
      <w:hyperlink r:id="rId129">
        <w:r w:rsidRPr="00F4568A">
          <w:rPr>
            <w:rStyle w:val="Hyperlink"/>
            <w:rFonts w:ascii="Arial" w:eastAsia="Arial" w:hAnsi="Arial" w:cs="Arial"/>
            <w:color w:val="auto"/>
            <w:sz w:val="20"/>
            <w:szCs w:val="20"/>
            <w:u w:val="none"/>
          </w:rPr>
          <w:t>A Panel Data Investigation of Real Exchange Rate Misalignment and Growth</w:t>
        </w:r>
      </w:hyperlink>
      <w:r w:rsidRPr="00F4568A">
        <w:rPr>
          <w:rFonts w:ascii="Arial" w:eastAsia="Arial" w:hAnsi="Arial" w:cs="Arial"/>
          <w:sz w:val="20"/>
          <w:szCs w:val="20"/>
        </w:rPr>
        <w:t xml:space="preserve">, </w:t>
      </w:r>
      <w:r w:rsidRPr="00F4568A">
        <w:rPr>
          <w:rFonts w:ascii="Arial" w:eastAsia="Arial" w:hAnsi="Arial" w:cs="Arial"/>
          <w:i/>
          <w:iCs/>
          <w:color w:val="000000" w:themeColor="text1"/>
          <w:sz w:val="20"/>
          <w:szCs w:val="20"/>
        </w:rPr>
        <w:t>CESifo</w:t>
      </w:r>
      <w:r w:rsidRPr="48425B6A">
        <w:rPr>
          <w:rFonts w:ascii="Arial" w:eastAsia="Arial" w:hAnsi="Arial" w:cs="Arial"/>
          <w:i/>
          <w:iCs/>
          <w:color w:val="000000" w:themeColor="text1"/>
          <w:sz w:val="20"/>
          <w:szCs w:val="20"/>
        </w:rPr>
        <w:t xml:space="preserve"> Working Paper Series No. 3061</w:t>
      </w:r>
      <w:r w:rsidRPr="48425B6A">
        <w:rPr>
          <w:rFonts w:ascii="Arial" w:eastAsia="Arial" w:hAnsi="Arial" w:cs="Arial"/>
          <w:color w:val="000000" w:themeColor="text1"/>
          <w:sz w:val="20"/>
          <w:szCs w:val="20"/>
        </w:rPr>
        <w:t xml:space="preserve">, Available at SSRN: </w:t>
      </w:r>
      <w:hyperlink r:id="rId130">
        <w:r w:rsidRPr="48425B6A">
          <w:rPr>
            <w:rStyle w:val="Hyperlink"/>
            <w:rFonts w:ascii="Arial" w:eastAsia="Arial" w:hAnsi="Arial" w:cs="Arial"/>
            <w:sz w:val="20"/>
            <w:szCs w:val="20"/>
          </w:rPr>
          <w:t>https://ssrn.com/abstract=1618198</w:t>
        </w:r>
      </w:hyperlink>
      <w:r w:rsidRPr="48425B6A">
        <w:rPr>
          <w:rFonts w:ascii="Arial" w:eastAsia="Arial" w:hAnsi="Arial" w:cs="Arial"/>
          <w:color w:val="000000" w:themeColor="text1"/>
          <w:sz w:val="20"/>
          <w:szCs w:val="20"/>
        </w:rPr>
        <w:t xml:space="preserve">  </w:t>
      </w:r>
    </w:p>
    <w:p w14:paraId="67F38F3A" w14:textId="122D7C98" w:rsidR="21C3821A" w:rsidRPr="001258CD" w:rsidRDefault="21C3821A" w:rsidP="0066301C">
      <w:pPr>
        <w:rPr>
          <w:rFonts w:ascii="Arial" w:hAnsi="Arial" w:cs="Arial"/>
          <w:sz w:val="20"/>
          <w:szCs w:val="20"/>
          <w:lang w:val="en-US"/>
        </w:rPr>
      </w:pPr>
      <w:r w:rsidRPr="001258CD">
        <w:rPr>
          <w:rFonts w:ascii="Arial" w:hAnsi="Arial" w:cs="Arial"/>
          <w:sz w:val="20"/>
          <w:szCs w:val="20"/>
          <w:lang w:val="en-US"/>
        </w:rPr>
        <w:t xml:space="preserve">Magee, S.P. (1973). Currency Contracts, Pass-through, and Devaluation. Brookings Papers on Economic Activity, Vol. 1973(1), pp: 303-325. </w:t>
      </w:r>
    </w:p>
    <w:p w14:paraId="62F496CE" w14:textId="6101DAB1" w:rsidR="21C3821A" w:rsidRDefault="21C3821A" w:rsidP="0066301C">
      <w:pPr>
        <w:spacing w:after="200"/>
        <w:jc w:val="both"/>
        <w:rPr>
          <w:rFonts w:ascii="Arial" w:eastAsia="Arial" w:hAnsi="Arial" w:cs="Arial"/>
          <w:sz w:val="20"/>
          <w:szCs w:val="20"/>
          <w:lang w:val="en-US"/>
        </w:rPr>
      </w:pPr>
      <w:r w:rsidRPr="48425B6A">
        <w:rPr>
          <w:rFonts w:ascii="Arial" w:eastAsia="Arial" w:hAnsi="Arial" w:cs="Arial"/>
          <w:sz w:val="20"/>
          <w:szCs w:val="20"/>
          <w:lang w:val="en-US"/>
        </w:rPr>
        <w:t xml:space="preserve">Mah, J. S. (2000). An Empirical Examination of the Disaggregated Import Demand of Korea – The case of Information Technology Products. </w:t>
      </w:r>
      <w:r w:rsidRPr="48425B6A">
        <w:rPr>
          <w:rFonts w:ascii="Arial" w:eastAsia="Arial" w:hAnsi="Arial" w:cs="Arial"/>
          <w:i/>
          <w:iCs/>
          <w:sz w:val="20"/>
          <w:szCs w:val="20"/>
          <w:lang w:val="en-US"/>
        </w:rPr>
        <w:t xml:space="preserve">Journal of Asian Economics </w:t>
      </w:r>
      <w:r w:rsidRPr="48425B6A">
        <w:rPr>
          <w:rFonts w:ascii="Arial" w:eastAsia="Arial" w:hAnsi="Arial" w:cs="Arial"/>
          <w:sz w:val="20"/>
          <w:szCs w:val="20"/>
          <w:lang w:val="en-US"/>
        </w:rPr>
        <w:t xml:space="preserve">Vol. 11, Pp: 237-244. </w:t>
      </w:r>
    </w:p>
    <w:p w14:paraId="6A7109E4" w14:textId="5AAB2423" w:rsidR="21C3821A" w:rsidRDefault="21C3821A" w:rsidP="0066301C">
      <w:pPr>
        <w:spacing w:after="200"/>
        <w:jc w:val="both"/>
        <w:rPr>
          <w:rFonts w:ascii="Arial" w:eastAsia="Arial" w:hAnsi="Arial" w:cs="Arial"/>
          <w:sz w:val="20"/>
          <w:szCs w:val="20"/>
          <w:lang w:val="en-US"/>
        </w:rPr>
      </w:pPr>
      <w:r w:rsidRPr="48425B6A">
        <w:rPr>
          <w:rFonts w:ascii="Arial" w:eastAsia="Arial" w:hAnsi="Arial" w:cs="Arial"/>
          <w:sz w:val="20"/>
          <w:szCs w:val="20"/>
          <w:lang w:val="en-US"/>
        </w:rPr>
        <w:t xml:space="preserve">Malimi, K. (2013). The Monetary Approach to Exchange Rate Determination; An Inconsistent Paradigm!!! </w:t>
      </w:r>
      <w:r w:rsidRPr="48425B6A">
        <w:rPr>
          <w:rFonts w:ascii="Arial" w:eastAsia="Arial" w:hAnsi="Arial" w:cs="Arial"/>
          <w:i/>
          <w:iCs/>
          <w:sz w:val="20"/>
          <w:szCs w:val="20"/>
          <w:lang w:val="en-US"/>
        </w:rPr>
        <w:t xml:space="preserve">International Journal of Finance and Accounting, </w:t>
      </w:r>
      <w:r w:rsidRPr="48425B6A">
        <w:rPr>
          <w:rFonts w:ascii="Arial" w:eastAsia="Arial" w:hAnsi="Arial" w:cs="Arial"/>
          <w:sz w:val="20"/>
          <w:szCs w:val="20"/>
          <w:lang w:val="en-US"/>
        </w:rPr>
        <w:t>Vol. 2(7), Pp: 241-247.</w:t>
      </w:r>
    </w:p>
    <w:p w14:paraId="37D2FD51" w14:textId="0C003F0C" w:rsidR="21C3821A" w:rsidRDefault="21C3821A" w:rsidP="0066301C">
      <w:pPr>
        <w:spacing w:after="200"/>
        <w:jc w:val="both"/>
        <w:rPr>
          <w:rFonts w:ascii="Arial" w:eastAsia="Arial" w:hAnsi="Arial" w:cs="Arial"/>
          <w:sz w:val="20"/>
          <w:szCs w:val="20"/>
          <w:lang w:val="en-US"/>
        </w:rPr>
      </w:pPr>
      <w:r w:rsidRPr="48425B6A">
        <w:rPr>
          <w:rFonts w:ascii="Arial" w:eastAsia="Arial" w:hAnsi="Arial" w:cs="Arial"/>
          <w:sz w:val="20"/>
          <w:szCs w:val="20"/>
          <w:lang w:val="en-US"/>
        </w:rPr>
        <w:t xml:space="preserve">Marangos, J. (2008). The Evolution of the Anti-Washington Consensus Debate; From ‘Post-Washington Consensus’ to ‘After the Washington Consensus’, </w:t>
      </w:r>
      <w:r w:rsidRPr="48425B6A">
        <w:rPr>
          <w:rFonts w:ascii="Arial" w:eastAsia="Arial" w:hAnsi="Arial" w:cs="Arial"/>
          <w:i/>
          <w:iCs/>
          <w:sz w:val="20"/>
          <w:szCs w:val="20"/>
          <w:lang w:val="en-US"/>
        </w:rPr>
        <w:t>Sage Journal,</w:t>
      </w:r>
      <w:r w:rsidRPr="48425B6A">
        <w:rPr>
          <w:rFonts w:ascii="Arial" w:eastAsia="Arial" w:hAnsi="Arial" w:cs="Arial"/>
          <w:sz w:val="20"/>
          <w:szCs w:val="20"/>
          <w:lang w:val="en-US"/>
        </w:rPr>
        <w:t xml:space="preserve"> Vol.12 (3), Pp: 227-244.</w:t>
      </w:r>
    </w:p>
    <w:p w14:paraId="4EBC40E6" w14:textId="0805FE0A" w:rsidR="21C3821A" w:rsidRDefault="21C3821A" w:rsidP="0066301C">
      <w:pPr>
        <w:spacing w:after="200"/>
        <w:jc w:val="both"/>
        <w:rPr>
          <w:rFonts w:ascii="Arial" w:eastAsia="Arial" w:hAnsi="Arial" w:cs="Arial"/>
          <w:sz w:val="20"/>
          <w:szCs w:val="20"/>
          <w:lang w:val="en-US"/>
        </w:rPr>
      </w:pPr>
      <w:r w:rsidRPr="48425B6A">
        <w:rPr>
          <w:rFonts w:ascii="Arial" w:eastAsia="Arial" w:hAnsi="Arial" w:cs="Arial"/>
          <w:sz w:val="20"/>
          <w:szCs w:val="20"/>
          <w:lang w:val="en-US"/>
        </w:rPr>
        <w:t xml:space="preserve">Marwah, K., and Klein, L.R. (1996). Estimation of J-curves: United States and Canada. </w:t>
      </w:r>
      <w:r w:rsidRPr="48425B6A">
        <w:rPr>
          <w:rFonts w:ascii="Arial" w:eastAsia="Arial" w:hAnsi="Arial" w:cs="Arial"/>
          <w:i/>
          <w:iCs/>
          <w:sz w:val="20"/>
          <w:szCs w:val="20"/>
          <w:lang w:val="en-US"/>
        </w:rPr>
        <w:t xml:space="preserve">Canadian Journal of Economics, </w:t>
      </w:r>
      <w:r w:rsidRPr="48425B6A">
        <w:rPr>
          <w:rFonts w:ascii="Arial" w:eastAsia="Arial" w:hAnsi="Arial" w:cs="Arial"/>
          <w:sz w:val="20"/>
          <w:szCs w:val="20"/>
          <w:lang w:val="en-US"/>
        </w:rPr>
        <w:t>Vol. 29(3), Pp: 523-539.</w:t>
      </w:r>
    </w:p>
    <w:p w14:paraId="3EA9762E" w14:textId="3D08123D" w:rsidR="21C3821A" w:rsidRDefault="21C3821A" w:rsidP="0066301C">
      <w:pPr>
        <w:spacing w:after="200"/>
        <w:jc w:val="both"/>
        <w:rPr>
          <w:rFonts w:ascii="Arial" w:eastAsia="Arial" w:hAnsi="Arial" w:cs="Arial"/>
          <w:sz w:val="20"/>
          <w:szCs w:val="20"/>
          <w:lang w:val="en-US"/>
        </w:rPr>
      </w:pPr>
      <w:r w:rsidRPr="48425B6A">
        <w:rPr>
          <w:rFonts w:ascii="Arial" w:eastAsia="Arial" w:hAnsi="Arial" w:cs="Arial"/>
          <w:sz w:val="20"/>
          <w:szCs w:val="20"/>
          <w:lang w:val="en-US"/>
        </w:rPr>
        <w:t xml:space="preserve">Maseo-Fernandez, F., Osbat, C., and Schnatz, B., (2002). Determinants of the Euro Real Effective Exchange Rate. </w:t>
      </w:r>
      <w:r w:rsidRPr="48425B6A">
        <w:rPr>
          <w:rFonts w:ascii="Arial" w:eastAsia="Arial" w:hAnsi="Arial" w:cs="Arial"/>
          <w:i/>
          <w:iCs/>
          <w:sz w:val="20"/>
          <w:szCs w:val="20"/>
          <w:lang w:val="en-US"/>
        </w:rPr>
        <w:t>Australian Economic Papers,</w:t>
      </w:r>
      <w:r w:rsidRPr="48425B6A">
        <w:rPr>
          <w:rFonts w:ascii="Arial" w:eastAsia="Arial" w:hAnsi="Arial" w:cs="Arial"/>
          <w:sz w:val="20"/>
          <w:szCs w:val="20"/>
          <w:lang w:val="en-US"/>
        </w:rPr>
        <w:t xml:space="preserve"> Vol. 41 (4), Pp: 437 – 461. </w:t>
      </w:r>
    </w:p>
    <w:p w14:paraId="0855A06D" w14:textId="3F81224C" w:rsidR="21C3821A" w:rsidRDefault="21C3821A" w:rsidP="0066301C">
      <w:pPr>
        <w:spacing w:after="200"/>
        <w:jc w:val="both"/>
        <w:rPr>
          <w:rFonts w:ascii="Arial" w:eastAsia="Arial" w:hAnsi="Arial" w:cs="Arial"/>
          <w:sz w:val="20"/>
          <w:szCs w:val="20"/>
          <w:lang w:val="en-US"/>
        </w:rPr>
      </w:pPr>
      <w:r w:rsidRPr="48425B6A">
        <w:rPr>
          <w:rFonts w:ascii="Arial" w:eastAsia="Arial" w:hAnsi="Arial" w:cs="Arial"/>
          <w:sz w:val="20"/>
          <w:szCs w:val="20"/>
          <w:lang w:val="en-US"/>
        </w:rPr>
        <w:t xml:space="preserve">Masters, W. A. and Ianchorichia, E. (1998), 'Measuring Exchange Rate Misalignment: Inflation Differentials and Domestic Relative Prices', </w:t>
      </w:r>
      <w:r w:rsidRPr="48425B6A">
        <w:rPr>
          <w:rFonts w:ascii="Arial" w:eastAsia="Arial" w:hAnsi="Arial" w:cs="Arial"/>
          <w:i/>
          <w:iCs/>
          <w:sz w:val="20"/>
          <w:szCs w:val="20"/>
          <w:lang w:val="en-US"/>
        </w:rPr>
        <w:t>World Development</w:t>
      </w:r>
      <w:r w:rsidRPr="48425B6A">
        <w:rPr>
          <w:rFonts w:ascii="Arial" w:eastAsia="Arial" w:hAnsi="Arial" w:cs="Arial"/>
          <w:sz w:val="20"/>
          <w:szCs w:val="20"/>
          <w:lang w:val="en-US"/>
        </w:rPr>
        <w:t>, Vol. 26(3), Pp: 465-477.</w:t>
      </w:r>
    </w:p>
    <w:p w14:paraId="6139770B" w14:textId="2241EA94" w:rsidR="21C3821A" w:rsidRDefault="21C3821A" w:rsidP="0066301C">
      <w:pPr>
        <w:spacing w:after="200"/>
        <w:jc w:val="both"/>
        <w:rPr>
          <w:rFonts w:ascii="Arial" w:eastAsia="Arial" w:hAnsi="Arial" w:cs="Arial"/>
          <w:sz w:val="20"/>
          <w:szCs w:val="20"/>
          <w:lang w:val="en-US"/>
        </w:rPr>
      </w:pPr>
      <w:r w:rsidRPr="48425B6A">
        <w:rPr>
          <w:rFonts w:ascii="Arial" w:eastAsia="Arial" w:hAnsi="Arial" w:cs="Arial"/>
          <w:sz w:val="20"/>
          <w:szCs w:val="20"/>
          <w:lang w:val="en-US"/>
        </w:rPr>
        <w:t xml:space="preserve">May, T. (2011). </w:t>
      </w:r>
      <w:r w:rsidRPr="48425B6A">
        <w:rPr>
          <w:rFonts w:ascii="Arial" w:eastAsia="Arial" w:hAnsi="Arial" w:cs="Arial"/>
          <w:i/>
          <w:iCs/>
          <w:sz w:val="20"/>
          <w:szCs w:val="20"/>
          <w:lang w:val="en-US"/>
        </w:rPr>
        <w:t xml:space="preserve">Social Research: Issues, Methods and Research. </w:t>
      </w:r>
      <w:r w:rsidRPr="48425B6A">
        <w:rPr>
          <w:rFonts w:ascii="Arial" w:eastAsia="Arial" w:hAnsi="Arial" w:cs="Arial"/>
          <w:sz w:val="20"/>
          <w:szCs w:val="20"/>
          <w:lang w:val="en-US"/>
        </w:rPr>
        <w:t>London: McGraw-Hill International.</w:t>
      </w:r>
    </w:p>
    <w:p w14:paraId="113ED076" w14:textId="06A66B3F" w:rsidR="21C3821A" w:rsidRDefault="21C3821A" w:rsidP="0066301C">
      <w:pPr>
        <w:spacing w:after="200"/>
        <w:jc w:val="both"/>
        <w:rPr>
          <w:rFonts w:ascii="Arial" w:eastAsia="Arial" w:hAnsi="Arial" w:cs="Arial"/>
          <w:sz w:val="20"/>
          <w:szCs w:val="20"/>
          <w:lang w:val="en-US"/>
        </w:rPr>
      </w:pPr>
      <w:r w:rsidRPr="48425B6A">
        <w:rPr>
          <w:rFonts w:ascii="Arial" w:eastAsia="Arial" w:hAnsi="Arial" w:cs="Arial"/>
          <w:sz w:val="20"/>
          <w:szCs w:val="20"/>
          <w:lang w:val="en-US"/>
        </w:rPr>
        <w:t xml:space="preserve">Mbu, D.T. (2015). Economic Growth, Crisis, and Recovery in Cameroon: A Literature Review. </w:t>
      </w:r>
      <w:r w:rsidRPr="48425B6A">
        <w:rPr>
          <w:rFonts w:ascii="Arial" w:eastAsia="Arial" w:hAnsi="Arial" w:cs="Arial"/>
          <w:i/>
          <w:iCs/>
          <w:sz w:val="20"/>
          <w:szCs w:val="20"/>
          <w:lang w:val="en-US"/>
        </w:rPr>
        <w:t xml:space="preserve">International Journal of Industrial Distribution &amp; Business, </w:t>
      </w:r>
      <w:r w:rsidRPr="48425B6A">
        <w:rPr>
          <w:rFonts w:ascii="Arial" w:eastAsia="Arial" w:hAnsi="Arial" w:cs="Arial"/>
          <w:sz w:val="20"/>
          <w:szCs w:val="20"/>
          <w:lang w:val="en-US"/>
        </w:rPr>
        <w:t>Vol. 6(1), Pp: 5-15.</w:t>
      </w:r>
    </w:p>
    <w:p w14:paraId="3E974494" w14:textId="3A5AE9FE" w:rsidR="21C3821A" w:rsidRDefault="21C3821A" w:rsidP="0066301C">
      <w:pPr>
        <w:spacing w:after="200"/>
        <w:jc w:val="both"/>
        <w:rPr>
          <w:rFonts w:ascii="Arial" w:eastAsia="Arial" w:hAnsi="Arial" w:cs="Arial"/>
          <w:color w:val="232323"/>
          <w:sz w:val="20"/>
          <w:szCs w:val="20"/>
        </w:rPr>
      </w:pPr>
      <w:r w:rsidRPr="48425B6A">
        <w:rPr>
          <w:rFonts w:ascii="Arial" w:eastAsia="Arial" w:hAnsi="Arial" w:cs="Arial"/>
          <w:color w:val="232323"/>
          <w:sz w:val="20"/>
          <w:szCs w:val="20"/>
        </w:rPr>
        <w:t xml:space="preserve">McKinnon, R. (1963). Optimum Currency Areas. </w:t>
      </w:r>
      <w:r w:rsidRPr="48425B6A">
        <w:rPr>
          <w:rFonts w:ascii="Arial" w:eastAsia="Arial" w:hAnsi="Arial" w:cs="Arial"/>
          <w:i/>
          <w:iCs/>
          <w:color w:val="232323"/>
          <w:sz w:val="20"/>
          <w:szCs w:val="20"/>
        </w:rPr>
        <w:t>American Economic Review</w:t>
      </w:r>
      <w:r w:rsidRPr="48425B6A">
        <w:rPr>
          <w:rFonts w:ascii="Arial" w:eastAsia="Arial" w:hAnsi="Arial" w:cs="Arial"/>
          <w:color w:val="232323"/>
          <w:sz w:val="20"/>
          <w:szCs w:val="20"/>
        </w:rPr>
        <w:t>, Vol. 53(4), Pp: 717-724.</w:t>
      </w:r>
    </w:p>
    <w:p w14:paraId="31D5EBCA" w14:textId="5624C464" w:rsidR="21C3821A" w:rsidRDefault="21C3821A" w:rsidP="0066301C">
      <w:pPr>
        <w:spacing w:after="200"/>
        <w:jc w:val="both"/>
        <w:rPr>
          <w:rFonts w:ascii="Arial" w:eastAsia="Arial" w:hAnsi="Arial" w:cs="Arial"/>
          <w:sz w:val="20"/>
          <w:szCs w:val="20"/>
          <w:lang w:val="en-US"/>
        </w:rPr>
      </w:pPr>
      <w:r w:rsidRPr="48425B6A">
        <w:rPr>
          <w:rFonts w:ascii="Arial" w:eastAsia="Arial" w:hAnsi="Arial" w:cs="Arial"/>
          <w:sz w:val="20"/>
          <w:szCs w:val="20"/>
          <w:lang w:val="en-US"/>
        </w:rPr>
        <w:t xml:space="preserve">Meade, J. (1951). The removal of Trade Barriers: The Regional Versus the Universal Approach. </w:t>
      </w:r>
      <w:r w:rsidRPr="48425B6A">
        <w:rPr>
          <w:rFonts w:ascii="Arial" w:eastAsia="Arial" w:hAnsi="Arial" w:cs="Arial"/>
          <w:i/>
          <w:iCs/>
          <w:sz w:val="20"/>
          <w:szCs w:val="20"/>
          <w:lang w:val="en-US"/>
        </w:rPr>
        <w:t xml:space="preserve">Economica, </w:t>
      </w:r>
      <w:r w:rsidRPr="48425B6A">
        <w:rPr>
          <w:rFonts w:ascii="Arial" w:eastAsia="Arial" w:hAnsi="Arial" w:cs="Arial"/>
          <w:sz w:val="20"/>
          <w:szCs w:val="20"/>
          <w:lang w:val="en-US"/>
        </w:rPr>
        <w:t xml:space="preserve">Vol. -18 (70), Pp: 184 -198. </w:t>
      </w:r>
    </w:p>
    <w:p w14:paraId="62F3E74A" w14:textId="225D6913" w:rsidR="21C3821A" w:rsidRDefault="21C3821A" w:rsidP="0066301C">
      <w:pPr>
        <w:spacing w:after="200"/>
        <w:jc w:val="both"/>
        <w:rPr>
          <w:rFonts w:ascii="Arial" w:eastAsia="Arial" w:hAnsi="Arial" w:cs="Arial"/>
          <w:sz w:val="20"/>
          <w:szCs w:val="20"/>
          <w:lang w:val="en-US"/>
        </w:rPr>
      </w:pPr>
      <w:r w:rsidRPr="48425B6A">
        <w:rPr>
          <w:rFonts w:ascii="Arial" w:eastAsia="Arial" w:hAnsi="Arial" w:cs="Arial"/>
          <w:sz w:val="20"/>
          <w:szCs w:val="20"/>
          <w:lang w:val="en-US"/>
        </w:rPr>
        <w:t xml:space="preserve">Melecky, M. and Komarek, L. (2008). Transitional Appreciation of Equilibrium Exchange Rates and the ERM ii. </w:t>
      </w:r>
      <w:r w:rsidRPr="48425B6A">
        <w:rPr>
          <w:rFonts w:ascii="Arial" w:eastAsia="Arial" w:hAnsi="Arial" w:cs="Arial"/>
          <w:i/>
          <w:iCs/>
          <w:sz w:val="20"/>
          <w:szCs w:val="20"/>
          <w:lang w:val="en-US"/>
        </w:rPr>
        <w:t xml:space="preserve">Transaction Studies Review, </w:t>
      </w:r>
      <w:r w:rsidRPr="48425B6A">
        <w:rPr>
          <w:rFonts w:ascii="Arial" w:eastAsia="Arial" w:hAnsi="Arial" w:cs="Arial"/>
          <w:sz w:val="20"/>
          <w:szCs w:val="20"/>
          <w:lang w:val="en-US"/>
        </w:rPr>
        <w:t xml:space="preserve">vol. 15(1), Pp: 95 – 110. </w:t>
      </w:r>
    </w:p>
    <w:p w14:paraId="1DAF7446" w14:textId="74765B88" w:rsidR="21C3821A" w:rsidRDefault="21C3821A" w:rsidP="0066301C">
      <w:pPr>
        <w:spacing w:after="200"/>
        <w:jc w:val="both"/>
        <w:rPr>
          <w:rFonts w:ascii="Arial" w:eastAsia="Arial" w:hAnsi="Arial" w:cs="Arial"/>
          <w:i/>
          <w:iCs/>
          <w:sz w:val="20"/>
          <w:szCs w:val="20"/>
          <w:lang w:val="en-US"/>
        </w:rPr>
      </w:pPr>
      <w:r w:rsidRPr="48425B6A">
        <w:rPr>
          <w:rFonts w:ascii="Arial" w:eastAsia="Arial" w:hAnsi="Arial" w:cs="Arial"/>
          <w:sz w:val="20"/>
          <w:szCs w:val="20"/>
          <w:lang w:val="en-US"/>
        </w:rPr>
        <w:t xml:space="preserve">Melku, S.S. (2012). Exchange Rate Volatility and Foreign Direct Investment: A Panel Data. </w:t>
      </w:r>
      <w:r w:rsidRPr="48425B6A">
        <w:rPr>
          <w:rFonts w:ascii="Arial" w:eastAsia="Arial" w:hAnsi="Arial" w:cs="Arial"/>
          <w:i/>
          <w:iCs/>
          <w:sz w:val="20"/>
          <w:szCs w:val="20"/>
          <w:lang w:val="en-US"/>
        </w:rPr>
        <w:t>Södertörns Högskola, Pp: 4 – 43.</w:t>
      </w:r>
    </w:p>
    <w:p w14:paraId="188AF0F2" w14:textId="5A85370C" w:rsidR="21C3821A" w:rsidRDefault="21C3821A" w:rsidP="0066301C">
      <w:pPr>
        <w:spacing w:after="200"/>
        <w:jc w:val="both"/>
        <w:rPr>
          <w:rFonts w:ascii="Arial" w:eastAsia="Arial" w:hAnsi="Arial" w:cs="Arial"/>
          <w:sz w:val="20"/>
          <w:szCs w:val="20"/>
          <w:lang w:val="en-US"/>
        </w:rPr>
      </w:pPr>
      <w:r w:rsidRPr="48425B6A">
        <w:rPr>
          <w:rFonts w:ascii="Arial" w:eastAsia="Arial" w:hAnsi="Arial" w:cs="Arial"/>
          <w:sz w:val="20"/>
          <w:szCs w:val="20"/>
          <w:lang w:val="en-US"/>
        </w:rPr>
        <w:t xml:space="preserve">Mendoza, R. U. (2004) “International reserve-holding in the developing world: self-insurance in a crisis-prone era?” </w:t>
      </w:r>
    </w:p>
    <w:p w14:paraId="39DD1C1F" w14:textId="19ADFC38" w:rsidR="21C3821A" w:rsidRDefault="21C3821A" w:rsidP="0066301C">
      <w:pPr>
        <w:spacing w:after="200"/>
        <w:jc w:val="both"/>
        <w:rPr>
          <w:rFonts w:ascii="Arial" w:eastAsia="Arial" w:hAnsi="Arial" w:cs="Arial"/>
          <w:sz w:val="20"/>
          <w:szCs w:val="20"/>
          <w:lang w:val="en-US"/>
        </w:rPr>
      </w:pPr>
      <w:r w:rsidRPr="48425B6A">
        <w:rPr>
          <w:rFonts w:ascii="Arial" w:eastAsia="Arial" w:hAnsi="Arial" w:cs="Arial"/>
          <w:sz w:val="20"/>
          <w:szCs w:val="20"/>
          <w:lang w:val="en-US"/>
        </w:rPr>
        <w:t xml:space="preserve">Mendoza, E. G. (1995). The Term of Trade, the Real Exchange Rate, and Economic Fluctuations. </w:t>
      </w:r>
      <w:r w:rsidRPr="48425B6A">
        <w:rPr>
          <w:rFonts w:ascii="Arial" w:eastAsia="Arial" w:hAnsi="Arial" w:cs="Arial"/>
          <w:i/>
          <w:iCs/>
          <w:sz w:val="20"/>
          <w:szCs w:val="20"/>
          <w:lang w:val="en-US"/>
        </w:rPr>
        <w:t xml:space="preserve">International Economic Revie, </w:t>
      </w:r>
      <w:r w:rsidRPr="48425B6A">
        <w:rPr>
          <w:rFonts w:ascii="Arial" w:eastAsia="Arial" w:hAnsi="Arial" w:cs="Arial"/>
          <w:sz w:val="20"/>
          <w:szCs w:val="20"/>
          <w:lang w:val="en-US"/>
        </w:rPr>
        <w:t>Vol. 36 (1), Pp: 101 – 137.</w:t>
      </w:r>
    </w:p>
    <w:p w14:paraId="5D2649F4" w14:textId="1B02F0D3" w:rsidR="21C3821A" w:rsidRDefault="21C3821A" w:rsidP="0066301C">
      <w:pPr>
        <w:jc w:val="both"/>
        <w:rPr>
          <w:rFonts w:ascii="Arial" w:eastAsia="Arial" w:hAnsi="Arial" w:cs="Arial"/>
          <w:i/>
          <w:iCs/>
          <w:sz w:val="20"/>
          <w:szCs w:val="20"/>
        </w:rPr>
      </w:pPr>
      <w:r w:rsidRPr="48425B6A">
        <w:rPr>
          <w:rFonts w:ascii="Arial" w:eastAsia="Arial" w:hAnsi="Arial" w:cs="Arial"/>
          <w:sz w:val="20"/>
          <w:szCs w:val="20"/>
        </w:rPr>
        <w:t xml:space="preserve">Metougue, E.E.E, Molem, S., and Dobdinga, C. (2020). The Impact of CEMAC Bilateral Trade on the Economic Growth of Cameroon: Evidence from the Augmented Solow Model. </w:t>
      </w:r>
      <w:r w:rsidRPr="48425B6A">
        <w:rPr>
          <w:rFonts w:ascii="Arial" w:eastAsia="Arial" w:hAnsi="Arial" w:cs="Arial"/>
          <w:i/>
          <w:iCs/>
          <w:sz w:val="20"/>
          <w:szCs w:val="20"/>
        </w:rPr>
        <w:t>Journal of Economics and Sustainable Development</w:t>
      </w:r>
      <w:r w:rsidRPr="48425B6A">
        <w:rPr>
          <w:rFonts w:ascii="Arial" w:eastAsia="Arial" w:hAnsi="Arial" w:cs="Arial"/>
          <w:sz w:val="20"/>
          <w:szCs w:val="20"/>
        </w:rPr>
        <w:t>, Vol. 11(10), Pp. 156-164.</w:t>
      </w:r>
      <w:r w:rsidRPr="48425B6A">
        <w:rPr>
          <w:rFonts w:ascii="Arial" w:eastAsia="Arial" w:hAnsi="Arial" w:cs="Arial"/>
          <w:i/>
          <w:iCs/>
          <w:sz w:val="20"/>
          <w:szCs w:val="20"/>
        </w:rPr>
        <w:t xml:space="preserve"> </w:t>
      </w:r>
    </w:p>
    <w:p w14:paraId="6060CBA4" w14:textId="3BDE8321" w:rsidR="21C3821A" w:rsidRDefault="21C3821A" w:rsidP="0066301C">
      <w:pPr>
        <w:spacing w:after="200"/>
        <w:jc w:val="both"/>
        <w:rPr>
          <w:rFonts w:ascii="Arial" w:eastAsia="Arial" w:hAnsi="Arial" w:cs="Arial"/>
          <w:sz w:val="20"/>
          <w:szCs w:val="20"/>
          <w:lang w:val="en-US"/>
        </w:rPr>
      </w:pPr>
      <w:r w:rsidRPr="48425B6A">
        <w:rPr>
          <w:rFonts w:ascii="Arial" w:eastAsia="Arial" w:hAnsi="Arial" w:cs="Arial"/>
          <w:sz w:val="20"/>
          <w:szCs w:val="20"/>
          <w:lang w:val="en-US"/>
        </w:rPr>
        <w:t xml:space="preserve">Metzler, L. (1948). A Survey on Contemporary Economics, Vol. 1. Richard D. Irwa inc Homewood IL. </w:t>
      </w:r>
    </w:p>
    <w:p w14:paraId="1A0AE6C6" w14:textId="769A016D" w:rsidR="21C3821A" w:rsidRDefault="21C3821A" w:rsidP="0066301C">
      <w:pPr>
        <w:spacing w:after="200"/>
        <w:jc w:val="both"/>
        <w:rPr>
          <w:rFonts w:ascii="Arial" w:eastAsia="Arial" w:hAnsi="Arial" w:cs="Arial"/>
          <w:sz w:val="20"/>
          <w:szCs w:val="20"/>
          <w:lang w:val="en-US"/>
        </w:rPr>
      </w:pPr>
      <w:r w:rsidRPr="48425B6A">
        <w:rPr>
          <w:rFonts w:ascii="Arial" w:eastAsia="Arial" w:hAnsi="Arial" w:cs="Arial"/>
          <w:sz w:val="20"/>
          <w:szCs w:val="20"/>
          <w:lang w:val="en-US"/>
        </w:rPr>
        <w:t xml:space="preserve">Miles, M.A. (1979). The Effects of Devaluation on the Trade Balance and the Balance of Payments: Some new results. </w:t>
      </w:r>
      <w:r w:rsidRPr="48425B6A">
        <w:rPr>
          <w:rFonts w:ascii="Arial" w:eastAsia="Arial" w:hAnsi="Arial" w:cs="Arial"/>
          <w:i/>
          <w:iCs/>
          <w:sz w:val="20"/>
          <w:szCs w:val="20"/>
          <w:lang w:val="en-US"/>
        </w:rPr>
        <w:t xml:space="preserve">Journal of Political Economy, </w:t>
      </w:r>
      <w:r w:rsidRPr="48425B6A">
        <w:rPr>
          <w:rFonts w:ascii="Arial" w:eastAsia="Arial" w:hAnsi="Arial" w:cs="Arial"/>
          <w:sz w:val="20"/>
          <w:szCs w:val="20"/>
          <w:lang w:val="en-US"/>
        </w:rPr>
        <w:t>Vol. 87(3), Pp: 600-620.</w:t>
      </w:r>
    </w:p>
    <w:p w14:paraId="4D427036" w14:textId="26681F98" w:rsidR="21C3821A" w:rsidRDefault="21C3821A" w:rsidP="0066301C">
      <w:pPr>
        <w:spacing w:line="257" w:lineRule="auto"/>
        <w:jc w:val="both"/>
        <w:rPr>
          <w:rFonts w:ascii="Arial" w:eastAsia="Arial" w:hAnsi="Arial" w:cs="Arial"/>
          <w:sz w:val="20"/>
          <w:szCs w:val="20"/>
          <w:lang w:val="en-US"/>
        </w:rPr>
      </w:pPr>
      <w:r w:rsidRPr="48425B6A">
        <w:rPr>
          <w:rFonts w:ascii="Arial" w:eastAsia="Arial" w:hAnsi="Arial" w:cs="Arial"/>
          <w:sz w:val="20"/>
          <w:szCs w:val="20"/>
          <w:lang w:val="en-US"/>
        </w:rPr>
        <w:t xml:space="preserve">Milgate, M. (1998). “Equilibrium: Development of the Conceept”, in Eatwell, J., Milgate, M, and Newman, P. (eds). </w:t>
      </w:r>
      <w:r w:rsidRPr="48425B6A">
        <w:rPr>
          <w:rFonts w:ascii="Arial" w:eastAsia="Arial" w:hAnsi="Arial" w:cs="Arial"/>
          <w:i/>
          <w:iCs/>
          <w:sz w:val="20"/>
          <w:szCs w:val="20"/>
          <w:lang w:val="en-US"/>
        </w:rPr>
        <w:t>The New Palgrave: A Dictionary of Economics,</w:t>
      </w:r>
      <w:r w:rsidRPr="48425B6A">
        <w:rPr>
          <w:rFonts w:ascii="Arial" w:eastAsia="Arial" w:hAnsi="Arial" w:cs="Arial"/>
          <w:sz w:val="20"/>
          <w:szCs w:val="20"/>
          <w:lang w:val="en-US"/>
        </w:rPr>
        <w:t xml:space="preserve"> Macmillan Press. </w:t>
      </w:r>
    </w:p>
    <w:p w14:paraId="649C5F0F" w14:textId="7E290ADE" w:rsidR="21C3821A" w:rsidRDefault="21C3821A" w:rsidP="0066301C">
      <w:pPr>
        <w:spacing w:line="257" w:lineRule="auto"/>
        <w:jc w:val="both"/>
        <w:rPr>
          <w:rFonts w:ascii="Arial" w:eastAsia="Arial" w:hAnsi="Arial" w:cs="Arial"/>
          <w:sz w:val="20"/>
          <w:szCs w:val="20"/>
          <w:lang w:val="en-US"/>
        </w:rPr>
      </w:pPr>
      <w:r w:rsidRPr="48425B6A">
        <w:rPr>
          <w:rFonts w:ascii="Arial" w:eastAsia="Arial" w:hAnsi="Arial" w:cs="Arial"/>
          <w:sz w:val="20"/>
          <w:szCs w:val="20"/>
          <w:lang w:val="en-US"/>
        </w:rPr>
        <w:lastRenderedPageBreak/>
        <w:t xml:space="preserve">Min, H.G. and McDonald, J. (1993). The Portfolio Balance Model of Exchange Rtes: Short-Run Behavior and Forecasting (The Korean Won/U.S. Dollar Case). </w:t>
      </w:r>
      <w:r w:rsidRPr="48425B6A">
        <w:rPr>
          <w:rFonts w:ascii="Arial" w:eastAsia="Arial" w:hAnsi="Arial" w:cs="Arial"/>
          <w:i/>
          <w:iCs/>
          <w:sz w:val="20"/>
          <w:szCs w:val="20"/>
          <w:lang w:val="en-US"/>
        </w:rPr>
        <w:t xml:space="preserve">International Economic Journal, </w:t>
      </w:r>
      <w:r w:rsidRPr="48425B6A">
        <w:rPr>
          <w:rFonts w:ascii="Arial" w:eastAsia="Arial" w:hAnsi="Arial" w:cs="Arial"/>
          <w:sz w:val="20"/>
          <w:szCs w:val="20"/>
          <w:lang w:val="en-US"/>
        </w:rPr>
        <w:t>Vol. 4, Pp: 75-87.</w:t>
      </w:r>
    </w:p>
    <w:p w14:paraId="158300AB" w14:textId="572686F8" w:rsidR="21C3821A" w:rsidRDefault="21C3821A" w:rsidP="0066301C">
      <w:pPr>
        <w:jc w:val="both"/>
        <w:rPr>
          <w:rFonts w:ascii="Arial" w:eastAsia="Arial" w:hAnsi="Arial" w:cs="Arial"/>
          <w:sz w:val="20"/>
          <w:szCs w:val="20"/>
        </w:rPr>
      </w:pPr>
      <w:r w:rsidRPr="48425B6A">
        <w:rPr>
          <w:rFonts w:ascii="Arial" w:eastAsia="Arial" w:hAnsi="Arial" w:cs="Arial"/>
          <w:sz w:val="20"/>
          <w:szCs w:val="20"/>
        </w:rPr>
        <w:t xml:space="preserve">Mndaka, G., Silumbu, E., Mangani, R. (2022). Testing the J Curve and the Marshall-Lerner Condition: Evidence from Southern African Development Community Countries. </w:t>
      </w:r>
      <w:r w:rsidRPr="48425B6A">
        <w:rPr>
          <w:rFonts w:ascii="Arial" w:eastAsia="Arial" w:hAnsi="Arial" w:cs="Arial"/>
          <w:i/>
          <w:iCs/>
          <w:sz w:val="20"/>
          <w:szCs w:val="20"/>
        </w:rPr>
        <w:t>Economics</w:t>
      </w:r>
      <w:r w:rsidRPr="48425B6A">
        <w:rPr>
          <w:rFonts w:ascii="Arial" w:eastAsia="Arial" w:hAnsi="Arial" w:cs="Arial"/>
          <w:sz w:val="20"/>
          <w:szCs w:val="20"/>
        </w:rPr>
        <w:t xml:space="preserve">. Vol. 11(3), Pp. 98-107. doi: 10.11648/j.eco.20221103.11.  </w:t>
      </w:r>
    </w:p>
    <w:p w14:paraId="0BEA95C9" w14:textId="057410A8" w:rsidR="21C3821A" w:rsidRDefault="21C3821A" w:rsidP="0066301C">
      <w:pPr>
        <w:spacing w:after="200"/>
        <w:jc w:val="both"/>
        <w:rPr>
          <w:rFonts w:ascii="Arial" w:eastAsia="Arial" w:hAnsi="Arial" w:cs="Arial"/>
          <w:i/>
          <w:iCs/>
          <w:sz w:val="20"/>
          <w:szCs w:val="20"/>
          <w:lang w:val="en-US"/>
        </w:rPr>
      </w:pPr>
      <w:r w:rsidRPr="48425B6A">
        <w:rPr>
          <w:rFonts w:ascii="Arial" w:eastAsia="Arial" w:hAnsi="Arial" w:cs="Arial"/>
          <w:sz w:val="20"/>
          <w:szCs w:val="20"/>
          <w:lang w:val="en-US"/>
        </w:rPr>
        <w:t xml:space="preserve">Molua, E. (2010). Assessment of Trade Facilitation and Competitiveness of Cameroon’s coffee Sector: Implications for Trade Liberalization. </w:t>
      </w:r>
      <w:r w:rsidRPr="48425B6A">
        <w:rPr>
          <w:rFonts w:ascii="Arial" w:eastAsia="Arial" w:hAnsi="Arial" w:cs="Arial"/>
          <w:i/>
          <w:iCs/>
          <w:sz w:val="20"/>
          <w:szCs w:val="20"/>
          <w:lang w:val="en-US"/>
        </w:rPr>
        <w:t>Department of Economics and Management, University of Buea, Cameroon.</w:t>
      </w:r>
    </w:p>
    <w:p w14:paraId="7FA02A34" w14:textId="5119F29B" w:rsidR="21C3821A" w:rsidRDefault="21C3821A" w:rsidP="0066301C">
      <w:pPr>
        <w:spacing w:after="200"/>
        <w:jc w:val="both"/>
        <w:rPr>
          <w:rFonts w:ascii="Arial" w:eastAsia="Arial" w:hAnsi="Arial" w:cs="Arial"/>
          <w:sz w:val="20"/>
          <w:szCs w:val="20"/>
          <w:lang w:val="en-US"/>
        </w:rPr>
      </w:pPr>
      <w:r w:rsidRPr="48425B6A">
        <w:rPr>
          <w:rFonts w:ascii="Arial" w:eastAsia="Arial" w:hAnsi="Arial" w:cs="Arial"/>
          <w:sz w:val="20"/>
          <w:szCs w:val="20"/>
          <w:lang w:val="en-US"/>
        </w:rPr>
        <w:t xml:space="preserve">Montiel, P. (1999a). The long-run equilibrium real exchange rate: conceptual issues and empirical research. In: Hinkle, L.E., Montiel, P.J. (Eds.), Exchange Rate Misalignment: Concept and Measurement in Developing Countries. </w:t>
      </w:r>
      <w:r w:rsidRPr="48425B6A">
        <w:rPr>
          <w:rFonts w:ascii="Arial" w:eastAsia="Arial" w:hAnsi="Arial" w:cs="Arial"/>
          <w:i/>
          <w:iCs/>
          <w:sz w:val="20"/>
          <w:szCs w:val="20"/>
          <w:lang w:val="en-US"/>
        </w:rPr>
        <w:t>A World Bank Research Publication, Oxford University Press</w:t>
      </w:r>
      <w:r w:rsidRPr="48425B6A">
        <w:rPr>
          <w:rFonts w:ascii="Arial" w:eastAsia="Arial" w:hAnsi="Arial" w:cs="Arial"/>
          <w:sz w:val="20"/>
          <w:szCs w:val="20"/>
          <w:lang w:val="en-US"/>
        </w:rPr>
        <w:t>, Pp. 219–263.</w:t>
      </w:r>
    </w:p>
    <w:p w14:paraId="34AA64F0" w14:textId="1708F126" w:rsidR="21C3821A" w:rsidRDefault="21C3821A" w:rsidP="0066301C">
      <w:pPr>
        <w:spacing w:after="200"/>
        <w:jc w:val="both"/>
        <w:rPr>
          <w:rFonts w:ascii="Arial" w:eastAsia="Arial" w:hAnsi="Arial" w:cs="Arial"/>
          <w:sz w:val="20"/>
          <w:szCs w:val="20"/>
          <w:lang w:val="en-US"/>
        </w:rPr>
      </w:pPr>
      <w:r w:rsidRPr="48425B6A">
        <w:rPr>
          <w:rFonts w:ascii="Arial" w:eastAsia="Arial" w:hAnsi="Arial" w:cs="Arial"/>
          <w:sz w:val="20"/>
          <w:szCs w:val="20"/>
          <w:lang w:val="en-US"/>
        </w:rPr>
        <w:t>Montiel, P.J., (1999b). Determinants of the long-run equilibrium real exchange rate. In: Hinkle, L. E., Montiel, P. J. (Eds.), Exchange Rate Misalignment: Concepts and Measurement for Developing Countries. A World Bank Research Publication, Oxford University Press, Pp. 264–290.</w:t>
      </w:r>
    </w:p>
    <w:p w14:paraId="14FF99CC" w14:textId="7E34BF60" w:rsidR="21C3821A" w:rsidRDefault="21C3821A" w:rsidP="0066301C">
      <w:pPr>
        <w:jc w:val="both"/>
        <w:rPr>
          <w:rFonts w:ascii="Arial" w:eastAsia="Arial" w:hAnsi="Arial" w:cs="Arial"/>
          <w:sz w:val="20"/>
          <w:szCs w:val="20"/>
        </w:rPr>
      </w:pPr>
      <w:r w:rsidRPr="48425B6A">
        <w:rPr>
          <w:rFonts w:ascii="Arial" w:eastAsia="Arial" w:hAnsi="Arial" w:cs="Arial"/>
          <w:sz w:val="20"/>
          <w:szCs w:val="20"/>
        </w:rPr>
        <w:t>Muchapondwa E.</w:t>
      </w:r>
      <w:r w:rsidR="00E53163">
        <w:rPr>
          <w:rFonts w:ascii="Arial" w:eastAsia="Arial" w:hAnsi="Arial" w:cs="Arial"/>
          <w:sz w:val="20"/>
          <w:szCs w:val="20"/>
        </w:rPr>
        <w:t xml:space="preserve"> and</w:t>
      </w:r>
      <w:r w:rsidRPr="48425B6A">
        <w:rPr>
          <w:rFonts w:ascii="Arial" w:eastAsia="Arial" w:hAnsi="Arial" w:cs="Arial"/>
          <w:sz w:val="20"/>
          <w:szCs w:val="20"/>
        </w:rPr>
        <w:t xml:space="preserve"> Pimhidzai</w:t>
      </w:r>
      <w:r w:rsidR="00E53163">
        <w:rPr>
          <w:rFonts w:ascii="Arial" w:eastAsia="Arial" w:hAnsi="Arial" w:cs="Arial"/>
          <w:sz w:val="20"/>
          <w:szCs w:val="20"/>
        </w:rPr>
        <w:t>,</w:t>
      </w:r>
      <w:r w:rsidRPr="48425B6A">
        <w:rPr>
          <w:rFonts w:ascii="Arial" w:eastAsia="Arial" w:hAnsi="Arial" w:cs="Arial"/>
          <w:sz w:val="20"/>
          <w:szCs w:val="20"/>
        </w:rPr>
        <w:t xml:space="preserve"> O. (2011). Modelling international tourism demand for Zimbabwe. </w:t>
      </w:r>
      <w:r w:rsidRPr="48425B6A">
        <w:rPr>
          <w:rFonts w:ascii="Arial" w:eastAsia="Arial" w:hAnsi="Arial" w:cs="Arial"/>
          <w:i/>
          <w:iCs/>
          <w:sz w:val="20"/>
          <w:szCs w:val="20"/>
        </w:rPr>
        <w:t>International journal of business and social science</w:t>
      </w:r>
      <w:r w:rsidRPr="48425B6A">
        <w:rPr>
          <w:rFonts w:ascii="Arial" w:eastAsia="Arial" w:hAnsi="Arial" w:cs="Arial"/>
          <w:sz w:val="20"/>
          <w:szCs w:val="20"/>
        </w:rPr>
        <w:t>, vol. 2 (1), Pp: 34-56.</w:t>
      </w:r>
    </w:p>
    <w:p w14:paraId="0D54E7C5" w14:textId="0167ECBE" w:rsidR="21C3821A" w:rsidRDefault="21C3821A" w:rsidP="0066301C">
      <w:pPr>
        <w:spacing w:after="200"/>
        <w:jc w:val="both"/>
        <w:rPr>
          <w:rFonts w:ascii="Arial" w:eastAsia="Arial" w:hAnsi="Arial" w:cs="Arial"/>
          <w:sz w:val="20"/>
          <w:szCs w:val="20"/>
          <w:lang w:val="en-US"/>
        </w:rPr>
      </w:pPr>
      <w:r w:rsidRPr="48425B6A">
        <w:rPr>
          <w:rFonts w:ascii="Arial" w:eastAsia="Arial" w:hAnsi="Arial" w:cs="Arial"/>
          <w:sz w:val="20"/>
          <w:szCs w:val="20"/>
          <w:lang w:val="en-US"/>
        </w:rPr>
        <w:t>Muhaise, H., Ejiri, A. H., Muwanga-Zake, J. W., and Kareyo</w:t>
      </w:r>
      <w:r w:rsidR="00E53163">
        <w:rPr>
          <w:rFonts w:ascii="Arial" w:eastAsia="Arial" w:hAnsi="Arial" w:cs="Arial"/>
          <w:sz w:val="20"/>
          <w:szCs w:val="20"/>
          <w:lang w:val="en-US"/>
        </w:rPr>
        <w:t>,</w:t>
      </w:r>
      <w:r w:rsidRPr="48425B6A">
        <w:rPr>
          <w:rFonts w:ascii="Arial" w:eastAsia="Arial" w:hAnsi="Arial" w:cs="Arial"/>
          <w:sz w:val="20"/>
          <w:szCs w:val="20"/>
          <w:lang w:val="en-US"/>
        </w:rPr>
        <w:t xml:space="preserve"> M. (2020). The Research Philosophy Dilemma for Postgraduate. </w:t>
      </w:r>
      <w:r w:rsidRPr="48425B6A">
        <w:rPr>
          <w:rFonts w:ascii="Arial" w:eastAsia="Arial" w:hAnsi="Arial" w:cs="Arial"/>
          <w:i/>
          <w:iCs/>
          <w:sz w:val="20"/>
          <w:szCs w:val="20"/>
          <w:lang w:val="en-US"/>
        </w:rPr>
        <w:t xml:space="preserve">International Journal of Research and Science Innovation </w:t>
      </w:r>
      <w:r w:rsidRPr="48425B6A">
        <w:rPr>
          <w:rFonts w:ascii="Arial" w:eastAsia="Arial" w:hAnsi="Arial" w:cs="Arial"/>
          <w:sz w:val="20"/>
          <w:szCs w:val="20"/>
          <w:lang w:val="en-US"/>
        </w:rPr>
        <w:t>(IJRSI), Vol. 7 (4).</w:t>
      </w:r>
    </w:p>
    <w:p w14:paraId="14CD5C74" w14:textId="2107AF73" w:rsidR="21C3821A" w:rsidRDefault="21C3821A" w:rsidP="0066301C">
      <w:pPr>
        <w:spacing w:after="200"/>
        <w:jc w:val="both"/>
        <w:rPr>
          <w:rFonts w:ascii="Arial" w:eastAsia="Arial" w:hAnsi="Arial" w:cs="Arial"/>
          <w:sz w:val="20"/>
          <w:szCs w:val="20"/>
          <w:lang w:val="en-US"/>
        </w:rPr>
      </w:pPr>
      <w:r w:rsidRPr="48425B6A">
        <w:rPr>
          <w:rFonts w:ascii="Arial" w:eastAsia="Arial" w:hAnsi="Arial" w:cs="Arial"/>
          <w:sz w:val="20"/>
          <w:szCs w:val="20"/>
          <w:lang w:val="en-US"/>
        </w:rPr>
        <w:t xml:space="preserve">Mussa, M. (1979). Empirical Regularities in the Behavior of Exchange Rates and Theories of the Foreign Exchange Market in Policies of Employment, Prices and Exchange Rates (Eds.) K. Brunner and A. Meltzer, The Carnegie-Rochester Conference Series on Public Policy, Vol. 11, Supplement to the </w:t>
      </w:r>
      <w:r w:rsidRPr="48425B6A">
        <w:rPr>
          <w:rFonts w:ascii="Arial" w:eastAsia="Arial" w:hAnsi="Arial" w:cs="Arial"/>
          <w:i/>
          <w:iCs/>
          <w:sz w:val="20"/>
          <w:szCs w:val="20"/>
          <w:lang w:val="en-US"/>
        </w:rPr>
        <w:t>Journal of Monetary</w:t>
      </w:r>
      <w:r w:rsidRPr="48425B6A">
        <w:rPr>
          <w:rFonts w:ascii="Arial" w:eastAsia="Arial" w:hAnsi="Arial" w:cs="Arial"/>
          <w:sz w:val="20"/>
          <w:szCs w:val="20"/>
          <w:lang w:val="en-US"/>
        </w:rPr>
        <w:t xml:space="preserve"> </w:t>
      </w:r>
      <w:r w:rsidRPr="48425B6A">
        <w:rPr>
          <w:rFonts w:ascii="Arial" w:eastAsia="Arial" w:hAnsi="Arial" w:cs="Arial"/>
          <w:i/>
          <w:iCs/>
          <w:sz w:val="20"/>
          <w:szCs w:val="20"/>
          <w:lang w:val="en-US"/>
        </w:rPr>
        <w:t xml:space="preserve">Economics, </w:t>
      </w:r>
      <w:r w:rsidRPr="48425B6A">
        <w:rPr>
          <w:rFonts w:ascii="Arial" w:eastAsia="Arial" w:hAnsi="Arial" w:cs="Arial"/>
          <w:sz w:val="20"/>
          <w:szCs w:val="20"/>
          <w:lang w:val="en-US"/>
        </w:rPr>
        <w:t xml:space="preserve">North-Hollands, Amsterdam.  </w:t>
      </w:r>
    </w:p>
    <w:p w14:paraId="27FC361E" w14:textId="335E3654" w:rsidR="21C3821A" w:rsidRDefault="21C3821A" w:rsidP="0066301C">
      <w:pPr>
        <w:spacing w:after="200"/>
        <w:jc w:val="both"/>
        <w:rPr>
          <w:rFonts w:ascii="Arial" w:eastAsia="Arial" w:hAnsi="Arial" w:cs="Arial"/>
          <w:sz w:val="20"/>
          <w:szCs w:val="20"/>
          <w:lang w:val="en-US"/>
        </w:rPr>
      </w:pPr>
      <w:r w:rsidRPr="48425B6A">
        <w:rPr>
          <w:rFonts w:ascii="Arial" w:eastAsia="Arial" w:hAnsi="Arial" w:cs="Arial"/>
          <w:sz w:val="20"/>
          <w:szCs w:val="20"/>
          <w:lang w:val="en-US"/>
        </w:rPr>
        <w:t xml:space="preserve">Mussa, M. L. (1984). Exchange Rate Theory and Practice. </w:t>
      </w:r>
      <w:r w:rsidRPr="48425B6A">
        <w:rPr>
          <w:rFonts w:ascii="Arial" w:eastAsia="Arial" w:hAnsi="Arial" w:cs="Arial"/>
          <w:i/>
          <w:iCs/>
          <w:sz w:val="20"/>
          <w:szCs w:val="20"/>
          <w:lang w:val="en-US"/>
        </w:rPr>
        <w:t xml:space="preserve">National Bureau of Economic Research, </w:t>
      </w:r>
      <w:r w:rsidRPr="48425B6A">
        <w:rPr>
          <w:rFonts w:ascii="Arial" w:eastAsia="Arial" w:hAnsi="Arial" w:cs="Arial"/>
          <w:sz w:val="20"/>
          <w:szCs w:val="20"/>
          <w:lang w:val="en-US"/>
        </w:rPr>
        <w:t xml:space="preserve">Pp: 13 – 78. </w:t>
      </w:r>
    </w:p>
    <w:p w14:paraId="70D0176E" w14:textId="2E97FE86" w:rsidR="21C3821A" w:rsidRDefault="21C3821A" w:rsidP="0066301C">
      <w:pPr>
        <w:spacing w:after="200"/>
        <w:jc w:val="both"/>
        <w:rPr>
          <w:rFonts w:ascii="Arial" w:eastAsia="Arial" w:hAnsi="Arial" w:cs="Arial"/>
          <w:i/>
          <w:iCs/>
          <w:sz w:val="20"/>
          <w:szCs w:val="20"/>
          <w:lang w:val="en-US"/>
        </w:rPr>
      </w:pPr>
      <w:r w:rsidRPr="48425B6A">
        <w:rPr>
          <w:rFonts w:ascii="Arial" w:eastAsia="Arial" w:hAnsi="Arial" w:cs="Arial"/>
          <w:sz w:val="20"/>
          <w:szCs w:val="20"/>
          <w:lang w:val="en-US"/>
        </w:rPr>
        <w:t xml:space="preserve">Myers, M.D. (2009). Qualitative Research in Business &amp; Management. </w:t>
      </w:r>
      <w:r w:rsidRPr="48425B6A">
        <w:rPr>
          <w:rFonts w:ascii="Arial" w:eastAsia="Arial" w:hAnsi="Arial" w:cs="Arial"/>
          <w:i/>
          <w:iCs/>
          <w:sz w:val="20"/>
          <w:szCs w:val="20"/>
          <w:lang w:val="en-US"/>
        </w:rPr>
        <w:t>Saga Publication.</w:t>
      </w:r>
    </w:p>
    <w:p w14:paraId="057090C8" w14:textId="66568D42" w:rsidR="21C3821A" w:rsidRDefault="21C3821A" w:rsidP="0066301C">
      <w:pPr>
        <w:spacing w:after="200"/>
        <w:jc w:val="both"/>
        <w:rPr>
          <w:rFonts w:ascii="Arial" w:eastAsia="Arial" w:hAnsi="Arial" w:cs="Arial"/>
          <w:sz w:val="20"/>
          <w:szCs w:val="20"/>
          <w:lang w:val="en-US"/>
        </w:rPr>
      </w:pPr>
      <w:r w:rsidRPr="48425B6A">
        <w:rPr>
          <w:rFonts w:ascii="Arial" w:eastAsia="Arial" w:hAnsi="Arial" w:cs="Arial"/>
          <w:sz w:val="20"/>
          <w:szCs w:val="20"/>
          <w:lang w:val="en-US"/>
        </w:rPr>
        <w:t xml:space="preserve">Nápoles, P.R. (2004). The Purchasing Power Parity Theory and Ricardo’s Theory of Value. </w:t>
      </w:r>
      <w:r w:rsidRPr="48425B6A">
        <w:rPr>
          <w:rFonts w:ascii="Arial" w:eastAsia="Arial" w:hAnsi="Arial" w:cs="Arial"/>
          <w:i/>
          <w:iCs/>
          <w:sz w:val="20"/>
          <w:szCs w:val="20"/>
          <w:lang w:val="en-US"/>
        </w:rPr>
        <w:t>Cambridge Political Economy Society</w:t>
      </w:r>
      <w:r w:rsidRPr="48425B6A">
        <w:rPr>
          <w:rFonts w:ascii="Arial" w:eastAsia="Arial" w:hAnsi="Arial" w:cs="Arial"/>
          <w:sz w:val="20"/>
          <w:szCs w:val="20"/>
          <w:lang w:val="en-US"/>
        </w:rPr>
        <w:t>, Vol. 23</w:t>
      </w:r>
    </w:p>
    <w:p w14:paraId="615A5887" w14:textId="75A0E91D" w:rsidR="21C3821A" w:rsidRDefault="21C3821A" w:rsidP="0066301C">
      <w:pPr>
        <w:spacing w:after="240"/>
        <w:jc w:val="both"/>
        <w:rPr>
          <w:rFonts w:ascii="Arial" w:eastAsia="Arial" w:hAnsi="Arial" w:cs="Arial"/>
          <w:color w:val="222222"/>
          <w:sz w:val="20"/>
          <w:szCs w:val="20"/>
        </w:rPr>
      </w:pPr>
      <w:r w:rsidRPr="48425B6A">
        <w:rPr>
          <w:rFonts w:ascii="Arial" w:eastAsia="Arial" w:hAnsi="Arial" w:cs="Arial"/>
          <w:color w:val="222222"/>
          <w:sz w:val="20"/>
          <w:szCs w:val="20"/>
        </w:rPr>
        <w:t>Nashashibi, (1983), Do Devaluations Improve the Trade Balance?  The Evidence Revisited.</w:t>
      </w:r>
    </w:p>
    <w:p w14:paraId="4DB5F3CF" w14:textId="68DECB19" w:rsidR="21C3821A" w:rsidRDefault="21C3821A" w:rsidP="0066301C">
      <w:pPr>
        <w:spacing w:after="200" w:line="276" w:lineRule="auto"/>
        <w:jc w:val="both"/>
        <w:rPr>
          <w:rFonts w:ascii="Arial" w:eastAsia="Arial" w:hAnsi="Arial" w:cs="Arial"/>
          <w:sz w:val="20"/>
          <w:szCs w:val="20"/>
        </w:rPr>
      </w:pPr>
      <w:r w:rsidRPr="48425B6A">
        <w:rPr>
          <w:rFonts w:ascii="Arial" w:eastAsia="Arial" w:hAnsi="Arial" w:cs="Arial"/>
          <w:sz w:val="20"/>
          <w:szCs w:val="20"/>
        </w:rPr>
        <w:t xml:space="preserve">Nashashibi K. &amp; Bazzoni, S. (1994). Exchange Rate Strategies and Fiscal Performance in Sub-Saharan Africa, IMF Staff Papers, vol.41, 1, 76-122. </w:t>
      </w:r>
      <w:hyperlink r:id="rId131">
        <w:r w:rsidRPr="48425B6A">
          <w:rPr>
            <w:rStyle w:val="Hyperlink"/>
            <w:rFonts w:ascii="Arial" w:eastAsia="Arial" w:hAnsi="Arial" w:cs="Arial"/>
            <w:sz w:val="20"/>
            <w:szCs w:val="20"/>
          </w:rPr>
          <w:t>http://dx.doi.org/10.2307/3867486</w:t>
        </w:r>
      </w:hyperlink>
    </w:p>
    <w:p w14:paraId="5EE8B88C" w14:textId="75A2182C" w:rsidR="21C3821A" w:rsidRDefault="21C3821A" w:rsidP="0066301C">
      <w:pPr>
        <w:spacing w:after="240"/>
        <w:jc w:val="both"/>
        <w:rPr>
          <w:rFonts w:ascii="Arial" w:eastAsia="Arial" w:hAnsi="Arial" w:cs="Arial"/>
          <w:color w:val="222222"/>
          <w:sz w:val="20"/>
          <w:szCs w:val="20"/>
        </w:rPr>
      </w:pPr>
      <w:r w:rsidRPr="48425B6A">
        <w:rPr>
          <w:rFonts w:ascii="Arial" w:eastAsia="Arial" w:hAnsi="Arial" w:cs="Arial"/>
          <w:color w:val="222222"/>
          <w:sz w:val="20"/>
          <w:szCs w:val="20"/>
        </w:rPr>
        <w:t xml:space="preserve">Ngian, K. J. (2000). </w:t>
      </w:r>
      <w:r w:rsidRPr="48425B6A">
        <w:rPr>
          <w:rFonts w:ascii="Arial" w:eastAsia="Arial" w:hAnsi="Arial" w:cs="Arial"/>
          <w:i/>
          <w:iCs/>
          <w:color w:val="222222"/>
          <w:sz w:val="20"/>
          <w:szCs w:val="20"/>
        </w:rPr>
        <w:t xml:space="preserve">Coping with the Asian Financial Crisis: The Singapore Experience. </w:t>
      </w:r>
      <w:r w:rsidRPr="48425B6A">
        <w:rPr>
          <w:rFonts w:ascii="Arial" w:eastAsia="Arial" w:hAnsi="Arial" w:cs="Arial"/>
          <w:color w:val="222222"/>
          <w:sz w:val="20"/>
          <w:szCs w:val="20"/>
        </w:rPr>
        <w:t>Institute of Southeast Asian Studies.</w:t>
      </w:r>
    </w:p>
    <w:p w14:paraId="60A373CF" w14:textId="50985460" w:rsidR="00C3583E" w:rsidRPr="00B86AAA" w:rsidRDefault="00C3583E" w:rsidP="0066301C">
      <w:pPr>
        <w:spacing w:line="240" w:lineRule="auto"/>
        <w:jc w:val="both"/>
        <w:rPr>
          <w:rFonts w:ascii="Arial" w:hAnsi="Arial" w:cs="Arial"/>
          <w:i/>
          <w:iCs/>
          <w:sz w:val="20"/>
          <w:szCs w:val="20"/>
        </w:rPr>
      </w:pPr>
      <w:r w:rsidRPr="00B86AAA">
        <w:rPr>
          <w:rFonts w:ascii="Arial" w:hAnsi="Arial" w:cs="Arial"/>
          <w:sz w:val="20"/>
          <w:szCs w:val="20"/>
        </w:rPr>
        <w:t>Ngondo</w:t>
      </w:r>
      <w:r w:rsidR="00B975F0">
        <w:rPr>
          <w:rFonts w:ascii="Arial" w:hAnsi="Arial" w:cs="Arial"/>
          <w:sz w:val="20"/>
          <w:szCs w:val="20"/>
        </w:rPr>
        <w:t>,</w:t>
      </w:r>
      <w:r w:rsidRPr="00B86AAA">
        <w:rPr>
          <w:rFonts w:ascii="Arial" w:hAnsi="Arial" w:cs="Arial"/>
          <w:sz w:val="20"/>
          <w:szCs w:val="20"/>
        </w:rPr>
        <w:t xml:space="preserve"> M. and Khobai, H. (2018). The Impact of Exchange Rate on Exports in South Africa. </w:t>
      </w:r>
      <w:r w:rsidRPr="00B86AAA">
        <w:rPr>
          <w:rFonts w:ascii="Arial" w:hAnsi="Arial" w:cs="Arial"/>
          <w:i/>
          <w:iCs/>
          <w:sz w:val="20"/>
          <w:szCs w:val="20"/>
        </w:rPr>
        <w:t>Munich Personal RePEc Archive</w:t>
      </w:r>
      <w:r>
        <w:rPr>
          <w:rFonts w:ascii="Arial" w:hAnsi="Arial" w:cs="Arial"/>
          <w:i/>
          <w:iCs/>
          <w:sz w:val="20"/>
          <w:szCs w:val="20"/>
        </w:rPr>
        <w:t>.</w:t>
      </w:r>
    </w:p>
    <w:p w14:paraId="118D9F9E" w14:textId="576ECA14" w:rsidR="21C3821A" w:rsidRDefault="21C3821A" w:rsidP="0066301C">
      <w:pPr>
        <w:spacing w:after="240"/>
        <w:jc w:val="both"/>
        <w:rPr>
          <w:rFonts w:ascii="Arial" w:eastAsia="Arial" w:hAnsi="Arial" w:cs="Arial"/>
          <w:color w:val="222222"/>
          <w:sz w:val="20"/>
          <w:szCs w:val="20"/>
        </w:rPr>
      </w:pPr>
      <w:r w:rsidRPr="48425B6A">
        <w:rPr>
          <w:rFonts w:ascii="Arial" w:eastAsia="Arial" w:hAnsi="Arial" w:cs="Arial"/>
          <w:color w:val="222222"/>
          <w:sz w:val="20"/>
          <w:szCs w:val="20"/>
        </w:rPr>
        <w:t xml:space="preserve">Nouira, R. and Sekkat, K. (2015). What Determines the Extent of Real Exchange Rate Misalignment in Developing Countries? </w:t>
      </w:r>
      <w:r w:rsidRPr="48425B6A">
        <w:rPr>
          <w:rFonts w:ascii="Arial" w:eastAsia="Arial" w:hAnsi="Arial" w:cs="Arial"/>
          <w:i/>
          <w:iCs/>
          <w:color w:val="222222"/>
          <w:sz w:val="20"/>
          <w:szCs w:val="20"/>
        </w:rPr>
        <w:t xml:space="preserve">International Economics, </w:t>
      </w:r>
      <w:r w:rsidRPr="48425B6A">
        <w:rPr>
          <w:rFonts w:ascii="Arial" w:eastAsia="Arial" w:hAnsi="Arial" w:cs="Arial"/>
          <w:color w:val="222222"/>
          <w:sz w:val="20"/>
          <w:szCs w:val="20"/>
        </w:rPr>
        <w:t>vol. 141, Pp: 135-151.</w:t>
      </w:r>
    </w:p>
    <w:p w14:paraId="66B01B19" w14:textId="25A99910" w:rsidR="21C3821A" w:rsidRDefault="21C3821A" w:rsidP="0066301C">
      <w:pPr>
        <w:spacing w:after="200"/>
        <w:jc w:val="both"/>
        <w:rPr>
          <w:rFonts w:ascii="Arial" w:eastAsia="Arial" w:hAnsi="Arial" w:cs="Arial"/>
          <w:i/>
          <w:iCs/>
          <w:sz w:val="20"/>
          <w:szCs w:val="20"/>
        </w:rPr>
      </w:pPr>
      <w:r w:rsidRPr="48425B6A">
        <w:rPr>
          <w:rFonts w:ascii="Arial" w:eastAsia="Arial" w:hAnsi="Arial" w:cs="Arial"/>
          <w:sz w:val="20"/>
          <w:szCs w:val="20"/>
        </w:rPr>
        <w:t>Nurkse, R. (1945). Conditions on international monetary equilibrium. Essays in International Finance</w:t>
      </w:r>
      <w:r w:rsidRPr="48425B6A">
        <w:rPr>
          <w:rFonts w:ascii="Arial" w:eastAsia="Arial" w:hAnsi="Arial" w:cs="Arial"/>
          <w:i/>
          <w:iCs/>
          <w:sz w:val="20"/>
          <w:szCs w:val="20"/>
        </w:rPr>
        <w:t>. Princeton University Press.</w:t>
      </w:r>
    </w:p>
    <w:p w14:paraId="6E17FCE1" w14:textId="55A55F67" w:rsidR="21C3821A" w:rsidRDefault="21C3821A" w:rsidP="0066301C">
      <w:pPr>
        <w:spacing w:after="200"/>
        <w:jc w:val="both"/>
        <w:rPr>
          <w:rFonts w:ascii="Arial" w:eastAsia="Arial" w:hAnsi="Arial" w:cs="Arial"/>
          <w:sz w:val="20"/>
          <w:szCs w:val="20"/>
        </w:rPr>
      </w:pPr>
      <w:r w:rsidRPr="48425B6A">
        <w:rPr>
          <w:rFonts w:ascii="Arial" w:eastAsia="Arial" w:hAnsi="Arial" w:cs="Arial"/>
          <w:sz w:val="20"/>
          <w:szCs w:val="20"/>
        </w:rPr>
        <w:lastRenderedPageBreak/>
        <w:t xml:space="preserve">Nyarko, P.A., Nketiah-Amponsah, E., and Barnor, C. (2011). Effects of Exchange Rate Regimes on FDI inflows in Ghana. </w:t>
      </w:r>
      <w:r w:rsidRPr="48425B6A">
        <w:rPr>
          <w:rFonts w:ascii="Arial" w:eastAsia="Arial" w:hAnsi="Arial" w:cs="Arial"/>
          <w:i/>
          <w:iCs/>
          <w:sz w:val="20"/>
          <w:szCs w:val="20"/>
        </w:rPr>
        <w:t xml:space="preserve">International Journal of Economics and Finance, </w:t>
      </w:r>
      <w:r w:rsidRPr="48425B6A">
        <w:rPr>
          <w:rFonts w:ascii="Arial" w:eastAsia="Arial" w:hAnsi="Arial" w:cs="Arial"/>
          <w:sz w:val="20"/>
          <w:szCs w:val="20"/>
        </w:rPr>
        <w:t>Pp: 277 – 286.</w:t>
      </w:r>
    </w:p>
    <w:p w14:paraId="49E98562" w14:textId="02877362" w:rsidR="21C3821A" w:rsidRDefault="21C3821A" w:rsidP="0066301C">
      <w:pPr>
        <w:spacing w:after="200"/>
        <w:jc w:val="both"/>
        <w:rPr>
          <w:rFonts w:ascii="Arial" w:eastAsia="Arial" w:hAnsi="Arial" w:cs="Arial"/>
          <w:sz w:val="20"/>
          <w:szCs w:val="20"/>
          <w:lang w:val="en-US"/>
        </w:rPr>
      </w:pPr>
      <w:r w:rsidRPr="48425B6A">
        <w:rPr>
          <w:rFonts w:ascii="Arial" w:eastAsia="Arial" w:hAnsi="Arial" w:cs="Arial"/>
          <w:sz w:val="20"/>
          <w:szCs w:val="20"/>
          <w:lang w:val="en-US"/>
        </w:rPr>
        <w:t xml:space="preserve">Obstfeld, M. and Rogoff, K. (1995). The Mirage of Fixed Exchange Rate. </w:t>
      </w:r>
      <w:r w:rsidRPr="48425B6A">
        <w:rPr>
          <w:rFonts w:ascii="Arial" w:eastAsia="Arial" w:hAnsi="Arial" w:cs="Arial"/>
          <w:i/>
          <w:iCs/>
          <w:sz w:val="20"/>
          <w:szCs w:val="20"/>
          <w:lang w:val="en-US"/>
        </w:rPr>
        <w:t>Journal of Economic Perspectives</w:t>
      </w:r>
      <w:r w:rsidRPr="48425B6A">
        <w:rPr>
          <w:rFonts w:ascii="Arial" w:eastAsia="Arial" w:hAnsi="Arial" w:cs="Arial"/>
          <w:sz w:val="20"/>
          <w:szCs w:val="20"/>
          <w:lang w:val="en-US"/>
        </w:rPr>
        <w:t>, vol. 9 (4), Pp: 73-96.</w:t>
      </w:r>
    </w:p>
    <w:p w14:paraId="0508A9B1" w14:textId="40947393" w:rsidR="21C3821A" w:rsidRDefault="21C3821A" w:rsidP="0066301C">
      <w:pPr>
        <w:spacing w:after="200"/>
        <w:jc w:val="both"/>
        <w:rPr>
          <w:rFonts w:ascii="Arial" w:eastAsia="Arial" w:hAnsi="Arial" w:cs="Arial"/>
          <w:sz w:val="20"/>
          <w:szCs w:val="20"/>
          <w:lang w:val="en-US"/>
        </w:rPr>
      </w:pPr>
      <w:r w:rsidRPr="48425B6A">
        <w:rPr>
          <w:rFonts w:ascii="Arial" w:eastAsia="Arial" w:hAnsi="Arial" w:cs="Arial"/>
          <w:sz w:val="20"/>
          <w:szCs w:val="20"/>
          <w:lang w:val="en-US"/>
        </w:rPr>
        <w:t xml:space="preserve">Obstfeld, M., Shambaugh, J. C., and Taylor, A. M. (2010). Financial Stability, the Trilemma, and International Reserve. </w:t>
      </w:r>
      <w:r w:rsidRPr="48425B6A">
        <w:rPr>
          <w:rFonts w:ascii="Arial" w:eastAsia="Arial" w:hAnsi="Arial" w:cs="Arial"/>
          <w:i/>
          <w:iCs/>
          <w:sz w:val="20"/>
          <w:szCs w:val="20"/>
          <w:lang w:val="en-US"/>
        </w:rPr>
        <w:t>American Economic journal: Macroeconomics,</w:t>
      </w:r>
      <w:r w:rsidRPr="48425B6A">
        <w:rPr>
          <w:rFonts w:ascii="Arial" w:eastAsia="Arial" w:hAnsi="Arial" w:cs="Arial"/>
          <w:sz w:val="20"/>
          <w:szCs w:val="20"/>
          <w:lang w:val="en-US"/>
        </w:rPr>
        <w:t xml:space="preserve"> vol. 2, Pp: 57-94.</w:t>
      </w:r>
    </w:p>
    <w:p w14:paraId="4E8FE35B" w14:textId="60768087" w:rsidR="21C3821A" w:rsidRDefault="21C3821A" w:rsidP="0066301C">
      <w:pPr>
        <w:spacing w:after="200" w:line="276" w:lineRule="auto"/>
        <w:jc w:val="both"/>
        <w:rPr>
          <w:rFonts w:ascii="Arial" w:eastAsia="Arial" w:hAnsi="Arial" w:cs="Arial"/>
          <w:sz w:val="20"/>
          <w:szCs w:val="20"/>
        </w:rPr>
      </w:pPr>
      <w:r w:rsidRPr="48425B6A">
        <w:rPr>
          <w:rFonts w:ascii="Arial" w:eastAsia="Arial" w:hAnsi="Arial" w:cs="Arial"/>
          <w:sz w:val="20"/>
          <w:szCs w:val="20"/>
        </w:rPr>
        <w:t xml:space="preserve">Odedokun, M. O. (1997). An Empirical Analysis on the Determinants of the Real Exchange Rate in African Countries. </w:t>
      </w:r>
      <w:r w:rsidRPr="48425B6A">
        <w:rPr>
          <w:rFonts w:ascii="Arial" w:eastAsia="Arial" w:hAnsi="Arial" w:cs="Arial"/>
          <w:i/>
          <w:iCs/>
          <w:sz w:val="20"/>
          <w:szCs w:val="20"/>
        </w:rPr>
        <w:t xml:space="preserve">Journal of International Trade Economic Development. </w:t>
      </w:r>
      <w:r w:rsidRPr="48425B6A">
        <w:rPr>
          <w:rFonts w:ascii="Arial" w:eastAsia="Arial" w:hAnsi="Arial" w:cs="Arial"/>
          <w:sz w:val="20"/>
          <w:szCs w:val="20"/>
        </w:rPr>
        <w:t xml:space="preserve">Vol. 6(1), Pp: 63 – 82. </w:t>
      </w:r>
    </w:p>
    <w:p w14:paraId="1AB6A983" w14:textId="49533807" w:rsidR="21C3821A" w:rsidRDefault="21C3821A" w:rsidP="0066301C">
      <w:pPr>
        <w:spacing w:after="200" w:line="276" w:lineRule="auto"/>
        <w:jc w:val="both"/>
        <w:rPr>
          <w:rFonts w:ascii="Arial" w:eastAsia="Arial" w:hAnsi="Arial" w:cs="Arial"/>
          <w:sz w:val="20"/>
          <w:szCs w:val="20"/>
        </w:rPr>
      </w:pPr>
      <w:r w:rsidRPr="48425B6A">
        <w:rPr>
          <w:rFonts w:ascii="Arial" w:eastAsia="Arial" w:hAnsi="Arial" w:cs="Arial"/>
          <w:sz w:val="20"/>
          <w:szCs w:val="20"/>
        </w:rPr>
        <w:t xml:space="preserve">Odili, O. (2014). Exchange Rate and Balance of Payment: An Autoregressive Distributed Lag (Ardl) Econometric Investigation on Nigeria. </w:t>
      </w:r>
      <w:r w:rsidRPr="48425B6A">
        <w:rPr>
          <w:rFonts w:ascii="Arial" w:eastAsia="Arial" w:hAnsi="Arial" w:cs="Arial"/>
          <w:i/>
          <w:iCs/>
          <w:sz w:val="20"/>
          <w:szCs w:val="20"/>
        </w:rPr>
        <w:t xml:space="preserve">Journal of Economics and Finance, </w:t>
      </w:r>
      <w:r w:rsidRPr="48425B6A">
        <w:rPr>
          <w:rFonts w:ascii="Arial" w:eastAsia="Arial" w:hAnsi="Arial" w:cs="Arial"/>
          <w:sz w:val="20"/>
          <w:szCs w:val="20"/>
        </w:rPr>
        <w:t>Vol. 4(6), Pp: 21-30.</w:t>
      </w:r>
    </w:p>
    <w:p w14:paraId="70D4948E" w14:textId="69A28D2E" w:rsidR="21C3821A" w:rsidRDefault="21C3821A" w:rsidP="0066301C">
      <w:pPr>
        <w:spacing w:after="200" w:line="276" w:lineRule="auto"/>
        <w:jc w:val="both"/>
        <w:rPr>
          <w:rFonts w:ascii="Arial" w:eastAsia="Arial" w:hAnsi="Arial" w:cs="Arial"/>
          <w:i/>
          <w:iCs/>
          <w:sz w:val="20"/>
          <w:szCs w:val="20"/>
        </w:rPr>
      </w:pPr>
      <w:r w:rsidRPr="48425B6A">
        <w:rPr>
          <w:rFonts w:ascii="Arial" w:eastAsia="Arial" w:hAnsi="Arial" w:cs="Arial"/>
          <w:sz w:val="20"/>
          <w:szCs w:val="20"/>
        </w:rPr>
        <w:t xml:space="preserve">OECD (2001). Tracking the Euro. </w:t>
      </w:r>
      <w:r w:rsidRPr="48425B6A">
        <w:rPr>
          <w:rFonts w:ascii="Arial" w:eastAsia="Arial" w:hAnsi="Arial" w:cs="Arial"/>
          <w:i/>
          <w:iCs/>
          <w:sz w:val="20"/>
          <w:szCs w:val="20"/>
        </w:rPr>
        <w:t xml:space="preserve">Economics Department Working Papers, No. 298. </w:t>
      </w:r>
    </w:p>
    <w:p w14:paraId="4D52BE62" w14:textId="4BE56D86" w:rsidR="21C3821A" w:rsidRDefault="21C3821A" w:rsidP="0066301C">
      <w:pPr>
        <w:spacing w:after="200" w:line="276" w:lineRule="auto"/>
        <w:jc w:val="both"/>
        <w:rPr>
          <w:rFonts w:ascii="Arial" w:eastAsia="Arial" w:hAnsi="Arial" w:cs="Arial"/>
          <w:sz w:val="20"/>
          <w:szCs w:val="20"/>
        </w:rPr>
      </w:pPr>
      <w:r w:rsidRPr="48425B6A">
        <w:rPr>
          <w:rFonts w:ascii="Arial" w:eastAsia="Arial" w:hAnsi="Arial" w:cs="Arial"/>
          <w:sz w:val="20"/>
          <w:szCs w:val="20"/>
        </w:rPr>
        <w:t xml:space="preserve">Officer, L.H. (1981). The Floating Dollar in the Greenback Period: A Test of Theories of Exchange Rate Determination. </w:t>
      </w:r>
      <w:r w:rsidRPr="48425B6A">
        <w:rPr>
          <w:rFonts w:ascii="Arial" w:eastAsia="Arial" w:hAnsi="Arial" w:cs="Arial"/>
          <w:i/>
          <w:iCs/>
          <w:sz w:val="20"/>
          <w:szCs w:val="20"/>
        </w:rPr>
        <w:t xml:space="preserve">Journal of Economic History, </w:t>
      </w:r>
      <w:r w:rsidRPr="48425B6A">
        <w:rPr>
          <w:rFonts w:ascii="Arial" w:eastAsia="Arial" w:hAnsi="Arial" w:cs="Arial"/>
          <w:sz w:val="20"/>
          <w:szCs w:val="20"/>
        </w:rPr>
        <w:t>Vol. 41, Pp: 629-650.</w:t>
      </w:r>
    </w:p>
    <w:p w14:paraId="05027468" w14:textId="3AEE592C" w:rsidR="21C3821A" w:rsidRDefault="21C3821A" w:rsidP="0066301C">
      <w:pPr>
        <w:spacing w:after="200" w:line="276" w:lineRule="auto"/>
        <w:jc w:val="both"/>
        <w:rPr>
          <w:rFonts w:ascii="Arial" w:eastAsia="Arial" w:hAnsi="Arial" w:cs="Arial"/>
          <w:sz w:val="20"/>
          <w:szCs w:val="20"/>
        </w:rPr>
      </w:pPr>
      <w:r w:rsidRPr="48425B6A">
        <w:rPr>
          <w:rFonts w:ascii="Arial" w:eastAsia="Arial" w:hAnsi="Arial" w:cs="Arial"/>
          <w:sz w:val="20"/>
          <w:szCs w:val="20"/>
        </w:rPr>
        <w:t>Olomola, P. A., and Dada, J. T. (2017). Real Exchange Rate Volatility and Trade Balance in Sub-Sahara Africa Countries: A Generalized Method of Moment (GMM) Approach</w:t>
      </w:r>
      <w:r w:rsidRPr="48425B6A">
        <w:rPr>
          <w:rFonts w:ascii="Arial" w:eastAsia="Arial" w:hAnsi="Arial" w:cs="Arial"/>
          <w:i/>
          <w:iCs/>
          <w:sz w:val="20"/>
          <w:szCs w:val="20"/>
        </w:rPr>
        <w:t xml:space="preserve">. International Journal of Scientific Research and Management, </w:t>
      </w:r>
      <w:r w:rsidRPr="48425B6A">
        <w:rPr>
          <w:rFonts w:ascii="Arial" w:eastAsia="Arial" w:hAnsi="Arial" w:cs="Arial"/>
          <w:sz w:val="20"/>
          <w:szCs w:val="20"/>
        </w:rPr>
        <w:t>vol. 5 (11), Pp: 7375-7403.</w:t>
      </w:r>
    </w:p>
    <w:p w14:paraId="347164B7" w14:textId="4301ADC7" w:rsidR="21C3821A" w:rsidRDefault="21C3821A" w:rsidP="0066301C">
      <w:pPr>
        <w:spacing w:after="200" w:line="276" w:lineRule="auto"/>
        <w:jc w:val="both"/>
        <w:rPr>
          <w:rFonts w:ascii="Arial" w:eastAsia="Arial" w:hAnsi="Arial" w:cs="Arial"/>
          <w:sz w:val="20"/>
          <w:szCs w:val="20"/>
        </w:rPr>
      </w:pPr>
      <w:r w:rsidRPr="48425B6A">
        <w:rPr>
          <w:rFonts w:ascii="Arial" w:eastAsia="Arial" w:hAnsi="Arial" w:cs="Arial"/>
          <w:sz w:val="20"/>
          <w:szCs w:val="20"/>
        </w:rPr>
        <w:t xml:space="preserve">Omorokunwa, O.G. and Ikponmwosa, N. (2014). Exchange rate Volatility and Foreign Private Investment in Nigeria. </w:t>
      </w:r>
      <w:r w:rsidRPr="48425B6A">
        <w:rPr>
          <w:rFonts w:ascii="Arial" w:eastAsia="Arial" w:hAnsi="Arial" w:cs="Arial"/>
          <w:i/>
          <w:iCs/>
          <w:sz w:val="20"/>
          <w:szCs w:val="20"/>
        </w:rPr>
        <w:t xml:space="preserve">Asian Journal of Business Management, </w:t>
      </w:r>
      <w:r w:rsidRPr="48425B6A">
        <w:rPr>
          <w:rFonts w:ascii="Arial" w:eastAsia="Arial" w:hAnsi="Arial" w:cs="Arial"/>
          <w:sz w:val="20"/>
          <w:szCs w:val="20"/>
        </w:rPr>
        <w:t>Pp: 146- 154.</w:t>
      </w:r>
    </w:p>
    <w:p w14:paraId="782BC4A6" w14:textId="7B3A889B" w:rsidR="21C3821A" w:rsidRDefault="21C3821A" w:rsidP="0066301C">
      <w:pPr>
        <w:spacing w:after="200" w:line="276" w:lineRule="auto"/>
        <w:jc w:val="both"/>
        <w:rPr>
          <w:rFonts w:ascii="Arial" w:eastAsia="Arial" w:hAnsi="Arial" w:cs="Arial"/>
          <w:sz w:val="20"/>
          <w:szCs w:val="20"/>
        </w:rPr>
      </w:pPr>
      <w:r w:rsidRPr="48425B6A">
        <w:rPr>
          <w:rFonts w:ascii="Arial" w:eastAsia="Arial" w:hAnsi="Arial" w:cs="Arial"/>
          <w:sz w:val="20"/>
          <w:szCs w:val="20"/>
        </w:rPr>
        <w:t xml:space="preserve">Onafowora, O. (2003). Exchange Rate and Trade Balance in East Asia: Is there a J-curve. </w:t>
      </w:r>
      <w:r w:rsidRPr="48425B6A">
        <w:rPr>
          <w:rFonts w:ascii="Arial" w:eastAsia="Arial" w:hAnsi="Arial" w:cs="Arial"/>
          <w:i/>
          <w:iCs/>
          <w:sz w:val="20"/>
          <w:szCs w:val="20"/>
        </w:rPr>
        <w:t xml:space="preserve">Economic Bulletin, </w:t>
      </w:r>
      <w:r w:rsidRPr="48425B6A">
        <w:rPr>
          <w:rFonts w:ascii="Arial" w:eastAsia="Arial" w:hAnsi="Arial" w:cs="Arial"/>
          <w:sz w:val="20"/>
          <w:szCs w:val="20"/>
        </w:rPr>
        <w:t xml:space="preserve">Vol. 5(18), Pp: 1-13. </w:t>
      </w:r>
    </w:p>
    <w:p w14:paraId="581EA73B" w14:textId="08071888" w:rsidR="21C3821A" w:rsidRDefault="21C3821A" w:rsidP="0066301C">
      <w:pPr>
        <w:spacing w:after="200" w:line="276" w:lineRule="auto"/>
        <w:jc w:val="both"/>
        <w:rPr>
          <w:rFonts w:ascii="Arial" w:eastAsia="Arial" w:hAnsi="Arial" w:cs="Arial"/>
          <w:sz w:val="20"/>
          <w:szCs w:val="20"/>
        </w:rPr>
      </w:pPr>
      <w:r w:rsidRPr="48425B6A">
        <w:rPr>
          <w:rFonts w:ascii="Arial" w:eastAsia="Arial" w:hAnsi="Arial" w:cs="Arial"/>
          <w:sz w:val="20"/>
          <w:szCs w:val="20"/>
        </w:rPr>
        <w:t xml:space="preserve">Ongo, N. B. E. (2014). Foreign Direct Investment and Economic Growth: The Experience of CEMAC Countries. </w:t>
      </w:r>
      <w:r w:rsidRPr="48425B6A">
        <w:rPr>
          <w:rFonts w:ascii="Arial" w:eastAsia="Arial" w:hAnsi="Arial" w:cs="Arial"/>
          <w:i/>
          <w:iCs/>
          <w:sz w:val="20"/>
          <w:szCs w:val="20"/>
        </w:rPr>
        <w:t xml:space="preserve">Journal of Finance &amp; Economics, </w:t>
      </w:r>
      <w:r w:rsidRPr="48425B6A">
        <w:rPr>
          <w:rFonts w:ascii="Arial" w:eastAsia="Arial" w:hAnsi="Arial" w:cs="Arial"/>
          <w:sz w:val="20"/>
          <w:szCs w:val="20"/>
        </w:rPr>
        <w:t>Vol. 2(1), Pp:1-14.</w:t>
      </w:r>
    </w:p>
    <w:p w14:paraId="6CBDF48B" w14:textId="3B45A97B" w:rsidR="21C3821A" w:rsidRDefault="21C3821A" w:rsidP="0066301C">
      <w:pPr>
        <w:spacing w:after="200"/>
        <w:jc w:val="both"/>
        <w:rPr>
          <w:rFonts w:ascii="Arial" w:eastAsia="Arial" w:hAnsi="Arial" w:cs="Arial"/>
          <w:color w:val="000000" w:themeColor="text1"/>
          <w:sz w:val="20"/>
          <w:szCs w:val="20"/>
        </w:rPr>
      </w:pPr>
      <w:r w:rsidRPr="48425B6A">
        <w:rPr>
          <w:rFonts w:ascii="Arial" w:eastAsia="Arial" w:hAnsi="Arial" w:cs="Arial"/>
          <w:color w:val="000000" w:themeColor="text1"/>
          <w:sz w:val="20"/>
          <w:szCs w:val="20"/>
        </w:rPr>
        <w:t xml:space="preserve">Onwuegbuzie, A. J., &amp; Leech, N. L. (2005). On Becoming a Pragmatic Researcher: The Importance of Combining Quantitative and Qualitative Research Methodologies. </w:t>
      </w:r>
      <w:r w:rsidRPr="48425B6A">
        <w:rPr>
          <w:rFonts w:ascii="Arial" w:eastAsia="Arial" w:hAnsi="Arial" w:cs="Arial"/>
          <w:i/>
          <w:iCs/>
          <w:color w:val="000000" w:themeColor="text1"/>
          <w:sz w:val="20"/>
          <w:szCs w:val="20"/>
        </w:rPr>
        <w:t>International Journal of Social Research Methodology</w:t>
      </w:r>
      <w:r w:rsidRPr="48425B6A">
        <w:rPr>
          <w:rFonts w:ascii="Arial" w:eastAsia="Arial" w:hAnsi="Arial" w:cs="Arial"/>
          <w:color w:val="000000" w:themeColor="text1"/>
          <w:sz w:val="20"/>
          <w:szCs w:val="20"/>
        </w:rPr>
        <w:t xml:space="preserve">, Vol. 8, Pp: 375-387. </w:t>
      </w:r>
    </w:p>
    <w:p w14:paraId="750D11A4" w14:textId="75176A23" w:rsidR="21C3821A" w:rsidRDefault="21C3821A" w:rsidP="0066301C">
      <w:pPr>
        <w:spacing w:after="200" w:line="276" w:lineRule="auto"/>
        <w:jc w:val="both"/>
        <w:rPr>
          <w:rFonts w:ascii="Arial" w:eastAsia="Arial" w:hAnsi="Arial" w:cs="Arial"/>
          <w:sz w:val="20"/>
          <w:szCs w:val="20"/>
        </w:rPr>
      </w:pPr>
      <w:r w:rsidRPr="48425B6A">
        <w:rPr>
          <w:rFonts w:ascii="Arial" w:eastAsia="Arial" w:hAnsi="Arial" w:cs="Arial"/>
          <w:sz w:val="20"/>
          <w:szCs w:val="20"/>
        </w:rPr>
        <w:t xml:space="preserve">Osinubi, Tokunbo,S., Amaghionyeodiwe and Lioyd, A. (2009). Exchange Rate Volatility and Foreign Private Investment in Nigeria. </w:t>
      </w:r>
      <w:r w:rsidRPr="48425B6A">
        <w:rPr>
          <w:rFonts w:ascii="Arial" w:eastAsia="Arial" w:hAnsi="Arial" w:cs="Arial"/>
          <w:i/>
          <w:iCs/>
          <w:sz w:val="20"/>
          <w:szCs w:val="20"/>
        </w:rPr>
        <w:t>International Journal of Econometrics and Quantitative Studies</w:t>
      </w:r>
      <w:r w:rsidRPr="48425B6A">
        <w:rPr>
          <w:rFonts w:ascii="Arial" w:eastAsia="Arial" w:hAnsi="Arial" w:cs="Arial"/>
          <w:sz w:val="20"/>
          <w:szCs w:val="20"/>
        </w:rPr>
        <w:t>, Pp: 93 – 102.</w:t>
      </w:r>
    </w:p>
    <w:p w14:paraId="72D15E53" w14:textId="77777777" w:rsidR="00286D88" w:rsidRPr="00047DBF" w:rsidRDefault="00286D88" w:rsidP="0066301C">
      <w:pPr>
        <w:spacing w:line="240" w:lineRule="auto"/>
        <w:jc w:val="both"/>
        <w:rPr>
          <w:rFonts w:ascii="Arial" w:hAnsi="Arial" w:cs="Arial"/>
          <w:sz w:val="20"/>
          <w:szCs w:val="20"/>
        </w:rPr>
      </w:pPr>
      <w:r w:rsidRPr="00047DBF">
        <w:rPr>
          <w:rFonts w:ascii="Arial" w:hAnsi="Arial" w:cs="Arial"/>
          <w:sz w:val="20"/>
          <w:szCs w:val="20"/>
        </w:rPr>
        <w:t xml:space="preserve">Owoundi, F. (2016). Does Exchange Rate Misalignments Really Affect Economic Growth? The Case of Sub-Saharan African Countries. </w:t>
      </w:r>
      <w:r w:rsidRPr="00047DBF">
        <w:rPr>
          <w:rFonts w:ascii="Arial" w:hAnsi="Arial" w:cs="Arial"/>
          <w:i/>
          <w:iCs/>
          <w:sz w:val="20"/>
          <w:szCs w:val="20"/>
        </w:rPr>
        <w:t xml:space="preserve">International Economics, </w:t>
      </w:r>
      <w:r w:rsidRPr="00047DBF">
        <w:rPr>
          <w:rFonts w:ascii="Arial" w:hAnsi="Arial" w:cs="Arial"/>
          <w:sz w:val="20"/>
          <w:szCs w:val="20"/>
        </w:rPr>
        <w:t>Vol. 145, Pp: 92-110.</w:t>
      </w:r>
    </w:p>
    <w:p w14:paraId="6308B7FC" w14:textId="596D24C9" w:rsidR="21C3821A" w:rsidRDefault="21C3821A" w:rsidP="0066301C">
      <w:pPr>
        <w:spacing w:after="200" w:line="276" w:lineRule="auto"/>
        <w:jc w:val="both"/>
        <w:rPr>
          <w:rFonts w:ascii="Arial" w:eastAsia="Arial" w:hAnsi="Arial" w:cs="Arial"/>
          <w:i/>
          <w:iCs/>
          <w:sz w:val="20"/>
          <w:szCs w:val="20"/>
        </w:rPr>
      </w:pPr>
      <w:r w:rsidRPr="48425B6A">
        <w:rPr>
          <w:rFonts w:ascii="Arial" w:eastAsia="Arial" w:hAnsi="Arial" w:cs="Arial"/>
          <w:sz w:val="20"/>
          <w:szCs w:val="20"/>
        </w:rPr>
        <w:t xml:space="preserve">Palle, S.A. (1985). The Stability of Money Demand Functions: An Alternative Approach. BIS Economic Papers No.14. </w:t>
      </w:r>
      <w:r w:rsidRPr="48425B6A">
        <w:rPr>
          <w:rFonts w:ascii="Arial" w:eastAsia="Arial" w:hAnsi="Arial" w:cs="Arial"/>
          <w:i/>
          <w:iCs/>
          <w:sz w:val="20"/>
          <w:szCs w:val="20"/>
        </w:rPr>
        <w:t>Bank for International Settlements.</w:t>
      </w:r>
    </w:p>
    <w:p w14:paraId="17ECB3D9" w14:textId="1791B07B" w:rsidR="21C3821A" w:rsidRDefault="21C3821A" w:rsidP="0066301C">
      <w:pPr>
        <w:spacing w:line="257" w:lineRule="auto"/>
        <w:jc w:val="both"/>
        <w:rPr>
          <w:rFonts w:ascii="Arial" w:eastAsia="Arial" w:hAnsi="Arial" w:cs="Arial"/>
          <w:sz w:val="20"/>
          <w:szCs w:val="20"/>
        </w:rPr>
      </w:pPr>
      <w:r w:rsidRPr="48425B6A">
        <w:rPr>
          <w:rFonts w:ascii="Arial" w:eastAsia="Arial" w:hAnsi="Arial" w:cs="Arial"/>
          <w:sz w:val="20"/>
          <w:szCs w:val="20"/>
        </w:rPr>
        <w:t xml:space="preserve">Paun,C., Mustetescu, R., and Munteanu, C. (2013). The Monetary Approach of the Balance of Payment: Empirical Evidence from Emerging Markets. </w:t>
      </w:r>
      <w:r w:rsidRPr="48425B6A">
        <w:rPr>
          <w:rFonts w:ascii="Arial" w:eastAsia="Arial" w:hAnsi="Arial" w:cs="Arial"/>
          <w:i/>
          <w:iCs/>
          <w:sz w:val="20"/>
          <w:szCs w:val="20"/>
        </w:rPr>
        <w:t>Economic Computation and Economic Cybernetics Studies and Research</w:t>
      </w:r>
      <w:r w:rsidRPr="48425B6A">
        <w:rPr>
          <w:rFonts w:ascii="Arial" w:eastAsia="Arial" w:hAnsi="Arial" w:cs="Arial"/>
          <w:sz w:val="20"/>
          <w:szCs w:val="20"/>
        </w:rPr>
        <w:t>.</w:t>
      </w:r>
    </w:p>
    <w:p w14:paraId="00B4C253" w14:textId="5074E20A" w:rsidR="21C3821A" w:rsidRDefault="21C3821A" w:rsidP="0066301C">
      <w:pPr>
        <w:spacing w:line="257" w:lineRule="auto"/>
        <w:jc w:val="both"/>
        <w:rPr>
          <w:rFonts w:ascii="Arial" w:eastAsia="Arial" w:hAnsi="Arial" w:cs="Arial"/>
          <w:i/>
          <w:iCs/>
          <w:sz w:val="20"/>
          <w:szCs w:val="20"/>
        </w:rPr>
      </w:pPr>
      <w:r w:rsidRPr="48425B6A">
        <w:rPr>
          <w:rFonts w:ascii="Arial" w:eastAsia="Arial" w:hAnsi="Arial" w:cs="Arial"/>
          <w:sz w:val="20"/>
          <w:szCs w:val="20"/>
        </w:rPr>
        <w:t xml:space="preserve">Paya, I., Duarte, A., and Holden, K. (2003). On the Equilibrium Value of the Peseta. </w:t>
      </w:r>
      <w:r w:rsidRPr="48425B6A">
        <w:rPr>
          <w:rFonts w:ascii="Arial" w:eastAsia="Arial" w:hAnsi="Arial" w:cs="Arial"/>
          <w:i/>
          <w:iCs/>
          <w:sz w:val="20"/>
          <w:szCs w:val="20"/>
        </w:rPr>
        <w:t>Applied Financial Economics.</w:t>
      </w:r>
    </w:p>
    <w:p w14:paraId="3C90B567" w14:textId="7DA2900C" w:rsidR="21C3821A" w:rsidRDefault="21C3821A" w:rsidP="0066301C">
      <w:pPr>
        <w:spacing w:line="257" w:lineRule="auto"/>
        <w:jc w:val="both"/>
        <w:rPr>
          <w:rFonts w:ascii="Arial" w:eastAsia="Arial" w:hAnsi="Arial" w:cs="Arial"/>
          <w:sz w:val="20"/>
          <w:szCs w:val="20"/>
        </w:rPr>
      </w:pPr>
      <w:r w:rsidRPr="48425B6A">
        <w:rPr>
          <w:rFonts w:ascii="Arial" w:eastAsia="Arial" w:hAnsi="Arial" w:cs="Arial"/>
          <w:sz w:val="20"/>
          <w:szCs w:val="20"/>
        </w:rPr>
        <w:t xml:space="preserve">Pesaran, M., Shin, Y., and Smith, R., P. (1999). Pooled Mean Group Estimation of Dynamic Heterogeneous Panels. </w:t>
      </w:r>
      <w:r w:rsidRPr="48425B6A">
        <w:rPr>
          <w:rFonts w:ascii="Arial" w:eastAsia="Arial" w:hAnsi="Arial" w:cs="Arial"/>
          <w:i/>
          <w:iCs/>
          <w:sz w:val="20"/>
          <w:szCs w:val="20"/>
        </w:rPr>
        <w:t>Journal of the American Statistical Association</w:t>
      </w:r>
      <w:r w:rsidRPr="48425B6A">
        <w:rPr>
          <w:rFonts w:ascii="Arial" w:eastAsia="Arial" w:hAnsi="Arial" w:cs="Arial"/>
          <w:sz w:val="20"/>
          <w:szCs w:val="20"/>
        </w:rPr>
        <w:t>, vol. 94(446), 621– 634.</w:t>
      </w:r>
    </w:p>
    <w:p w14:paraId="1E607B32" w14:textId="55822E10" w:rsidR="21C3821A" w:rsidRDefault="21C3821A" w:rsidP="0066301C">
      <w:pPr>
        <w:spacing w:line="257" w:lineRule="auto"/>
        <w:jc w:val="both"/>
        <w:rPr>
          <w:rFonts w:ascii="Arial" w:eastAsia="Arial" w:hAnsi="Arial" w:cs="Arial"/>
          <w:sz w:val="20"/>
          <w:szCs w:val="20"/>
        </w:rPr>
      </w:pPr>
      <w:r w:rsidRPr="48425B6A">
        <w:rPr>
          <w:rFonts w:ascii="Arial" w:eastAsia="Arial" w:hAnsi="Arial" w:cs="Arial"/>
          <w:sz w:val="20"/>
          <w:szCs w:val="20"/>
        </w:rPr>
        <w:lastRenderedPageBreak/>
        <w:t xml:space="preserve">Pesaran, M.H., Shin, Y., and Smith, R.P (1997). Pooled Estimation of Long-run Relationships in Dynamic Heterogenous Panels. </w:t>
      </w:r>
      <w:r w:rsidRPr="48425B6A">
        <w:rPr>
          <w:rFonts w:ascii="Arial" w:eastAsia="Arial" w:hAnsi="Arial" w:cs="Arial"/>
          <w:i/>
          <w:iCs/>
          <w:sz w:val="20"/>
          <w:szCs w:val="20"/>
        </w:rPr>
        <w:t>DAE Working Papers Amalgamated Series</w:t>
      </w:r>
      <w:r w:rsidRPr="48425B6A">
        <w:rPr>
          <w:rFonts w:ascii="Arial" w:eastAsia="Arial" w:hAnsi="Arial" w:cs="Arial"/>
          <w:sz w:val="20"/>
          <w:szCs w:val="20"/>
        </w:rPr>
        <w:t>, No 9721, University of Cambridge.</w:t>
      </w:r>
    </w:p>
    <w:p w14:paraId="1C4C2726" w14:textId="7CAEC5AA" w:rsidR="21C3821A" w:rsidRDefault="21C3821A" w:rsidP="0066301C">
      <w:pPr>
        <w:spacing w:line="257" w:lineRule="auto"/>
        <w:jc w:val="both"/>
        <w:rPr>
          <w:rFonts w:ascii="Arial" w:eastAsia="Arial" w:hAnsi="Arial" w:cs="Arial"/>
          <w:sz w:val="20"/>
          <w:szCs w:val="20"/>
        </w:rPr>
      </w:pPr>
      <w:r w:rsidRPr="48425B6A">
        <w:rPr>
          <w:rFonts w:ascii="Arial" w:eastAsia="Arial" w:hAnsi="Arial" w:cs="Arial"/>
          <w:sz w:val="20"/>
          <w:szCs w:val="20"/>
        </w:rPr>
        <w:t>Pesaran, M. (2006). Estimation and Inference in Large Heterogeneous Panels with a Multifactor Error Structure, Econometrica, vol. 74(4), 967-1012.</w:t>
      </w:r>
    </w:p>
    <w:p w14:paraId="30305361" w14:textId="1CD4AFBD" w:rsidR="21C3821A" w:rsidRDefault="21C3821A" w:rsidP="0066301C">
      <w:pPr>
        <w:spacing w:line="257" w:lineRule="auto"/>
        <w:jc w:val="both"/>
        <w:rPr>
          <w:rFonts w:ascii="Arial" w:eastAsia="Arial" w:hAnsi="Arial" w:cs="Arial"/>
          <w:sz w:val="20"/>
          <w:szCs w:val="20"/>
        </w:rPr>
      </w:pPr>
      <w:r w:rsidRPr="48425B6A">
        <w:rPr>
          <w:rFonts w:ascii="Arial" w:eastAsia="Arial" w:hAnsi="Arial" w:cs="Arial"/>
          <w:sz w:val="20"/>
          <w:szCs w:val="20"/>
        </w:rPr>
        <w:t xml:space="preserve">Pesaran, M. H. (2004). General Diagnostic Tests for Cross Section Dependence in Panels. </w:t>
      </w:r>
      <w:r w:rsidRPr="48425B6A">
        <w:rPr>
          <w:rFonts w:ascii="Arial" w:eastAsia="Arial" w:hAnsi="Arial" w:cs="Arial"/>
          <w:i/>
          <w:iCs/>
          <w:sz w:val="20"/>
          <w:szCs w:val="20"/>
        </w:rPr>
        <w:t>CESifo Working Paper Series</w:t>
      </w:r>
      <w:r w:rsidRPr="48425B6A">
        <w:rPr>
          <w:rFonts w:ascii="Arial" w:eastAsia="Arial" w:hAnsi="Arial" w:cs="Arial"/>
          <w:sz w:val="20"/>
          <w:szCs w:val="20"/>
        </w:rPr>
        <w:t xml:space="preserve">, No. 1229, IZA Discussion Paper, No. 1240. </w:t>
      </w:r>
    </w:p>
    <w:p w14:paraId="4AAABE89" w14:textId="05EF6673" w:rsidR="21C3821A" w:rsidRDefault="21C3821A" w:rsidP="0066301C">
      <w:pPr>
        <w:spacing w:after="200"/>
        <w:jc w:val="both"/>
        <w:rPr>
          <w:rFonts w:ascii="Arial" w:eastAsia="Arial" w:hAnsi="Arial" w:cs="Arial"/>
          <w:sz w:val="20"/>
          <w:szCs w:val="20"/>
        </w:rPr>
      </w:pPr>
      <w:r w:rsidRPr="48425B6A">
        <w:rPr>
          <w:rFonts w:ascii="Arial" w:eastAsia="Arial" w:hAnsi="Arial" w:cs="Arial"/>
          <w:sz w:val="20"/>
          <w:szCs w:val="20"/>
        </w:rPr>
        <w:t xml:space="preserve">Pesaran, M.H., Shin, Y., and Smith, R.J. (2001). Bounds Testing Approaches to the Analysis of Level Relationships. </w:t>
      </w:r>
      <w:r w:rsidRPr="48425B6A">
        <w:rPr>
          <w:rFonts w:ascii="Arial" w:eastAsia="Arial" w:hAnsi="Arial" w:cs="Arial"/>
          <w:i/>
          <w:iCs/>
          <w:sz w:val="20"/>
          <w:szCs w:val="20"/>
        </w:rPr>
        <w:t xml:space="preserve">Journal of Applied Econometrics, </w:t>
      </w:r>
      <w:r w:rsidRPr="48425B6A">
        <w:rPr>
          <w:rFonts w:ascii="Arial" w:eastAsia="Arial" w:hAnsi="Arial" w:cs="Arial"/>
          <w:sz w:val="20"/>
          <w:szCs w:val="20"/>
        </w:rPr>
        <w:t>Vol. 16(3), Pp: 289 – 326.</w:t>
      </w:r>
    </w:p>
    <w:p w14:paraId="233EA4D4" w14:textId="2279EBB4" w:rsidR="21C3821A" w:rsidRDefault="21C3821A" w:rsidP="0066301C">
      <w:pPr>
        <w:spacing w:after="200"/>
        <w:jc w:val="both"/>
        <w:rPr>
          <w:rFonts w:ascii="Arial" w:eastAsia="Arial" w:hAnsi="Arial" w:cs="Arial"/>
          <w:sz w:val="20"/>
          <w:szCs w:val="20"/>
        </w:rPr>
      </w:pPr>
      <w:r w:rsidRPr="48425B6A">
        <w:rPr>
          <w:rFonts w:ascii="Arial" w:eastAsia="Arial" w:hAnsi="Arial" w:cs="Arial"/>
          <w:sz w:val="20"/>
          <w:szCs w:val="20"/>
        </w:rPr>
        <w:t xml:space="preserve">Pesaran, M.H., and Smith, R. (1995). Estimating Long-run Relationships from Dynamic Heterogeneous Panels. </w:t>
      </w:r>
      <w:r w:rsidRPr="48425B6A">
        <w:rPr>
          <w:rFonts w:ascii="Arial" w:eastAsia="Arial" w:hAnsi="Arial" w:cs="Arial"/>
          <w:i/>
          <w:iCs/>
          <w:sz w:val="20"/>
          <w:szCs w:val="20"/>
        </w:rPr>
        <w:t xml:space="preserve">Journal of Econometrics, </w:t>
      </w:r>
      <w:r w:rsidRPr="48425B6A">
        <w:rPr>
          <w:rFonts w:ascii="Arial" w:eastAsia="Arial" w:hAnsi="Arial" w:cs="Arial"/>
          <w:sz w:val="20"/>
          <w:szCs w:val="20"/>
        </w:rPr>
        <w:t>vol. 68(1), Pp: 79-113.</w:t>
      </w:r>
    </w:p>
    <w:p w14:paraId="1A400AC2" w14:textId="39599C75" w:rsidR="21C3821A" w:rsidRDefault="21C3821A" w:rsidP="0066301C">
      <w:pPr>
        <w:spacing w:after="0"/>
        <w:jc w:val="both"/>
        <w:rPr>
          <w:rFonts w:ascii="Arial" w:eastAsia="Arial" w:hAnsi="Arial" w:cs="Arial"/>
          <w:sz w:val="20"/>
          <w:szCs w:val="20"/>
        </w:rPr>
      </w:pPr>
      <w:r w:rsidRPr="48425B6A">
        <w:rPr>
          <w:rFonts w:ascii="Arial" w:eastAsia="Arial" w:hAnsi="Arial" w:cs="Arial"/>
          <w:sz w:val="20"/>
          <w:szCs w:val="20"/>
        </w:rPr>
        <w:t>Peukert, H. (2012). “Mercantilism,” in Handbook of the History of Economic Thought, vol. 11 of The European Heritage in Economics and the Social Science, Pp: 93 – 121, Springer, New York, NY, USA.</w:t>
      </w:r>
    </w:p>
    <w:p w14:paraId="4B0D167A" w14:textId="68794ED6" w:rsidR="21C3821A" w:rsidRDefault="21C3821A" w:rsidP="0066301C">
      <w:pPr>
        <w:spacing w:after="200"/>
        <w:jc w:val="both"/>
        <w:rPr>
          <w:rFonts w:ascii="Arial" w:eastAsia="Arial" w:hAnsi="Arial" w:cs="Arial"/>
          <w:sz w:val="20"/>
          <w:szCs w:val="20"/>
        </w:rPr>
      </w:pPr>
      <w:r w:rsidRPr="48425B6A">
        <w:rPr>
          <w:rFonts w:ascii="Arial" w:eastAsia="Arial" w:hAnsi="Arial" w:cs="Arial"/>
          <w:sz w:val="20"/>
          <w:szCs w:val="20"/>
        </w:rPr>
        <w:t xml:space="preserve">Pfeffermann, G. (1985). Overvalued Exchange Rates and Development. </w:t>
      </w:r>
      <w:r w:rsidRPr="48425B6A">
        <w:rPr>
          <w:rFonts w:ascii="Arial" w:eastAsia="Arial" w:hAnsi="Arial" w:cs="Arial"/>
          <w:i/>
          <w:iCs/>
          <w:sz w:val="20"/>
          <w:szCs w:val="20"/>
        </w:rPr>
        <w:t xml:space="preserve">Finance and Development. </w:t>
      </w:r>
      <w:r w:rsidRPr="48425B6A">
        <w:rPr>
          <w:rFonts w:ascii="Arial" w:eastAsia="Arial" w:hAnsi="Arial" w:cs="Arial"/>
          <w:sz w:val="20"/>
          <w:szCs w:val="20"/>
        </w:rPr>
        <w:t xml:space="preserve">Vol. 22 (3), Pp: 17 – 19. </w:t>
      </w:r>
    </w:p>
    <w:p w14:paraId="0C22DE4F" w14:textId="6B31C65F" w:rsidR="21C3821A" w:rsidRDefault="21C3821A" w:rsidP="0066301C">
      <w:pPr>
        <w:jc w:val="both"/>
        <w:rPr>
          <w:rFonts w:ascii="Arial" w:eastAsia="Arial" w:hAnsi="Arial" w:cs="Arial"/>
          <w:color w:val="232323"/>
          <w:sz w:val="20"/>
          <w:szCs w:val="20"/>
        </w:rPr>
      </w:pPr>
      <w:r w:rsidRPr="48425B6A">
        <w:rPr>
          <w:rFonts w:ascii="Arial" w:eastAsia="Arial" w:hAnsi="Arial" w:cs="Arial"/>
          <w:color w:val="232323"/>
          <w:sz w:val="20"/>
          <w:szCs w:val="20"/>
        </w:rPr>
        <w:t xml:space="preserve">Phillips, P. and Hansen, B. (1990). Statistical Inference in Instrumental Variables Regression with I(1) Processes. </w:t>
      </w:r>
      <w:r w:rsidRPr="48425B6A">
        <w:rPr>
          <w:rFonts w:ascii="Arial" w:eastAsia="Arial" w:hAnsi="Arial" w:cs="Arial"/>
          <w:i/>
          <w:iCs/>
          <w:color w:val="232323"/>
          <w:sz w:val="20"/>
          <w:szCs w:val="20"/>
        </w:rPr>
        <w:t>Review of Economic Studies</w:t>
      </w:r>
      <w:r w:rsidRPr="48425B6A">
        <w:rPr>
          <w:rFonts w:ascii="Arial" w:eastAsia="Arial" w:hAnsi="Arial" w:cs="Arial"/>
          <w:color w:val="232323"/>
          <w:sz w:val="20"/>
          <w:szCs w:val="20"/>
        </w:rPr>
        <w:t>, Vol. 57(1), Pp: 99-125.</w:t>
      </w:r>
    </w:p>
    <w:p w14:paraId="10C44D4D" w14:textId="2DB9B115" w:rsidR="21C3821A" w:rsidRDefault="21C3821A" w:rsidP="0066301C">
      <w:pPr>
        <w:spacing w:after="200"/>
        <w:jc w:val="both"/>
        <w:rPr>
          <w:rFonts w:ascii="Arial" w:eastAsia="Arial" w:hAnsi="Arial" w:cs="Arial"/>
          <w:sz w:val="20"/>
          <w:szCs w:val="20"/>
        </w:rPr>
      </w:pPr>
      <w:r w:rsidRPr="48425B6A">
        <w:rPr>
          <w:rFonts w:ascii="Arial" w:eastAsia="Arial" w:hAnsi="Arial" w:cs="Arial"/>
          <w:sz w:val="20"/>
          <w:szCs w:val="20"/>
        </w:rPr>
        <w:t xml:space="preserve">Phillip, S. and Esfahani, F.Z. (2008). Exchange Rates and Foreign Direct Investment: Theoretical Models and Empirical Evidence. </w:t>
      </w:r>
      <w:r w:rsidRPr="48425B6A">
        <w:rPr>
          <w:rFonts w:ascii="Arial" w:eastAsia="Arial" w:hAnsi="Arial" w:cs="Arial"/>
          <w:i/>
          <w:iCs/>
          <w:sz w:val="20"/>
          <w:szCs w:val="20"/>
        </w:rPr>
        <w:t xml:space="preserve">The Australian Journal of Agricultural and Resource Economics, </w:t>
      </w:r>
      <w:r w:rsidRPr="48425B6A">
        <w:rPr>
          <w:rFonts w:ascii="Arial" w:eastAsia="Arial" w:hAnsi="Arial" w:cs="Arial"/>
          <w:sz w:val="20"/>
          <w:szCs w:val="20"/>
        </w:rPr>
        <w:t>Pp: 505 – 525.</w:t>
      </w:r>
    </w:p>
    <w:p w14:paraId="7663F028" w14:textId="7BB4B912" w:rsidR="21C3821A" w:rsidRDefault="21C3821A" w:rsidP="0066301C">
      <w:pPr>
        <w:spacing w:after="200"/>
        <w:jc w:val="both"/>
        <w:rPr>
          <w:rFonts w:ascii="Arial" w:eastAsia="Arial" w:hAnsi="Arial" w:cs="Arial"/>
          <w:sz w:val="20"/>
          <w:szCs w:val="20"/>
        </w:rPr>
      </w:pPr>
      <w:r w:rsidRPr="48425B6A">
        <w:rPr>
          <w:rFonts w:ascii="Arial" w:eastAsia="Arial" w:hAnsi="Arial" w:cs="Arial"/>
          <w:sz w:val="20"/>
          <w:szCs w:val="20"/>
        </w:rPr>
        <w:t xml:space="preserve">Pineau, P. (2005). Transparency in the dark – an assessment of the Cameroon electricity Sector reform. </w:t>
      </w:r>
      <w:r w:rsidRPr="48425B6A">
        <w:rPr>
          <w:rFonts w:ascii="Arial" w:eastAsia="Arial" w:hAnsi="Arial" w:cs="Arial"/>
          <w:i/>
          <w:iCs/>
          <w:sz w:val="20"/>
          <w:szCs w:val="20"/>
        </w:rPr>
        <w:t>International Journal of Global Energy Issues</w:t>
      </w:r>
      <w:r w:rsidRPr="48425B6A">
        <w:rPr>
          <w:rFonts w:ascii="Arial" w:eastAsia="Arial" w:hAnsi="Arial" w:cs="Arial"/>
          <w:sz w:val="20"/>
          <w:szCs w:val="20"/>
        </w:rPr>
        <w:t xml:space="preserve">, vol. 23(2/3), Pp: 133-168. </w:t>
      </w:r>
    </w:p>
    <w:p w14:paraId="58E25EA7" w14:textId="1D8B3269" w:rsidR="21C3821A" w:rsidRDefault="21C3821A" w:rsidP="0066301C">
      <w:pPr>
        <w:spacing w:after="200"/>
        <w:jc w:val="both"/>
        <w:rPr>
          <w:rFonts w:ascii="Arial" w:eastAsia="Arial" w:hAnsi="Arial" w:cs="Arial"/>
          <w:i/>
          <w:iCs/>
          <w:sz w:val="20"/>
          <w:szCs w:val="20"/>
          <w:lang w:val="en-US"/>
        </w:rPr>
      </w:pPr>
      <w:r w:rsidRPr="48425B6A">
        <w:rPr>
          <w:rFonts w:ascii="Arial" w:eastAsia="Arial" w:hAnsi="Arial" w:cs="Arial"/>
          <w:sz w:val="20"/>
          <w:szCs w:val="20"/>
          <w:lang w:val="en-US"/>
        </w:rPr>
        <w:t xml:space="preserve">Polterovich, V., and Popov, V. (2003). Accumulation of Foreign Reserves and Long-term Growth. </w:t>
      </w:r>
      <w:r w:rsidRPr="48425B6A">
        <w:rPr>
          <w:rFonts w:ascii="Arial" w:eastAsia="Arial" w:hAnsi="Arial" w:cs="Arial"/>
          <w:i/>
          <w:iCs/>
          <w:sz w:val="20"/>
          <w:szCs w:val="20"/>
          <w:lang w:val="en-US"/>
        </w:rPr>
        <w:t>New Economic School. (NES).</w:t>
      </w:r>
    </w:p>
    <w:p w14:paraId="3FE9C2D1" w14:textId="4AB9D080" w:rsidR="21C3821A" w:rsidRDefault="21C3821A" w:rsidP="0066301C">
      <w:pPr>
        <w:spacing w:after="200" w:line="276" w:lineRule="auto"/>
        <w:jc w:val="both"/>
        <w:rPr>
          <w:rFonts w:ascii="Arial" w:eastAsia="Arial" w:hAnsi="Arial" w:cs="Arial"/>
          <w:sz w:val="20"/>
          <w:szCs w:val="20"/>
          <w:lang w:val="en-US"/>
        </w:rPr>
      </w:pPr>
      <w:r w:rsidRPr="48425B6A">
        <w:rPr>
          <w:rFonts w:ascii="Arial" w:eastAsia="Arial" w:hAnsi="Arial" w:cs="Arial"/>
          <w:sz w:val="20"/>
          <w:szCs w:val="20"/>
          <w:lang w:val="en-US"/>
        </w:rPr>
        <w:t xml:space="preserve">Pritchett, L. (1991). Measuring outward Orientation in Developing Countries: Can it be done? </w:t>
      </w:r>
      <w:r w:rsidRPr="48425B6A">
        <w:rPr>
          <w:rFonts w:ascii="Arial" w:eastAsia="Arial" w:hAnsi="Arial" w:cs="Arial"/>
          <w:i/>
          <w:iCs/>
          <w:sz w:val="20"/>
          <w:szCs w:val="20"/>
          <w:lang w:val="en-US"/>
        </w:rPr>
        <w:t xml:space="preserve">World Bank, Working Paper </w:t>
      </w:r>
      <w:r w:rsidRPr="48425B6A">
        <w:rPr>
          <w:rFonts w:ascii="Arial" w:eastAsia="Arial" w:hAnsi="Arial" w:cs="Arial"/>
          <w:sz w:val="20"/>
          <w:szCs w:val="20"/>
          <w:lang w:val="en-US"/>
        </w:rPr>
        <w:t>WPS566.</w:t>
      </w:r>
    </w:p>
    <w:p w14:paraId="4D2A07A5" w14:textId="202F0A7D" w:rsidR="21C3821A" w:rsidRDefault="21C3821A" w:rsidP="0066301C">
      <w:pPr>
        <w:spacing w:after="200" w:line="276" w:lineRule="auto"/>
        <w:jc w:val="both"/>
        <w:rPr>
          <w:rFonts w:ascii="Arial" w:eastAsia="Arial" w:hAnsi="Arial" w:cs="Arial"/>
          <w:i/>
          <w:iCs/>
          <w:sz w:val="20"/>
          <w:szCs w:val="20"/>
          <w:lang w:val="en-US"/>
        </w:rPr>
      </w:pPr>
      <w:r w:rsidRPr="48425B6A">
        <w:rPr>
          <w:rFonts w:ascii="Arial" w:eastAsia="Arial" w:hAnsi="Arial" w:cs="Arial"/>
          <w:sz w:val="20"/>
          <w:szCs w:val="20"/>
          <w:lang w:val="en-US"/>
        </w:rPr>
        <w:t xml:space="preserve">Priyatharsiny, S. (2017). The Impact of Exchange Rate on Balance of Payment: An Econometric Investigation on Sri Lanka. </w:t>
      </w:r>
      <w:r w:rsidRPr="48425B6A">
        <w:rPr>
          <w:rFonts w:ascii="Arial" w:eastAsia="Arial" w:hAnsi="Arial" w:cs="Arial"/>
          <w:i/>
          <w:iCs/>
          <w:sz w:val="20"/>
          <w:szCs w:val="20"/>
          <w:lang w:val="en-US"/>
        </w:rPr>
        <w:t>7</w:t>
      </w:r>
      <w:r w:rsidRPr="48425B6A">
        <w:rPr>
          <w:rFonts w:ascii="Arial" w:eastAsia="Arial" w:hAnsi="Arial" w:cs="Arial"/>
          <w:i/>
          <w:iCs/>
          <w:sz w:val="20"/>
          <w:szCs w:val="20"/>
          <w:vertAlign w:val="superscript"/>
          <w:lang w:val="en-US"/>
        </w:rPr>
        <w:t>th</w:t>
      </w:r>
      <w:r w:rsidRPr="48425B6A">
        <w:rPr>
          <w:rFonts w:ascii="Arial" w:eastAsia="Arial" w:hAnsi="Arial" w:cs="Arial"/>
          <w:i/>
          <w:iCs/>
          <w:sz w:val="20"/>
          <w:szCs w:val="20"/>
          <w:lang w:val="en-US"/>
        </w:rPr>
        <w:t xml:space="preserve"> International Symposium, SEUSL. </w:t>
      </w:r>
    </w:p>
    <w:p w14:paraId="202E9BA4" w14:textId="2C4FD5C1" w:rsidR="21C3821A" w:rsidRDefault="21C3821A" w:rsidP="0066301C">
      <w:pPr>
        <w:spacing w:line="257" w:lineRule="auto"/>
        <w:jc w:val="both"/>
        <w:rPr>
          <w:rFonts w:ascii="Arial" w:eastAsia="Arial" w:hAnsi="Arial" w:cs="Arial"/>
          <w:sz w:val="20"/>
          <w:szCs w:val="20"/>
          <w:lang w:val="en-US"/>
        </w:rPr>
      </w:pPr>
      <w:r w:rsidRPr="48425B6A">
        <w:rPr>
          <w:rFonts w:ascii="Arial" w:eastAsia="Arial" w:hAnsi="Arial" w:cs="Arial"/>
          <w:sz w:val="20"/>
          <w:szCs w:val="20"/>
          <w:lang w:val="en-US"/>
        </w:rPr>
        <w:t>Qiong, Fu (2017). How the Change in Exchange Rate Affect the Chinese Economic Growth? Lund University School of Economic and Management.</w:t>
      </w:r>
    </w:p>
    <w:p w14:paraId="2D6242CD" w14:textId="29D8274A" w:rsidR="21C3821A" w:rsidRDefault="21C3821A" w:rsidP="0066301C">
      <w:pPr>
        <w:spacing w:line="257" w:lineRule="auto"/>
        <w:jc w:val="both"/>
        <w:rPr>
          <w:rFonts w:ascii="Arial" w:eastAsia="Arial" w:hAnsi="Arial" w:cs="Arial"/>
          <w:sz w:val="20"/>
          <w:szCs w:val="20"/>
          <w:lang w:val="en-US"/>
        </w:rPr>
      </w:pPr>
      <w:r w:rsidRPr="48425B6A">
        <w:rPr>
          <w:rFonts w:ascii="Arial" w:eastAsia="Arial" w:hAnsi="Arial" w:cs="Arial"/>
          <w:sz w:val="20"/>
          <w:szCs w:val="20"/>
          <w:lang w:val="en-US"/>
        </w:rPr>
        <w:t>Quirk, P. J., Christensen, B. V., Mo Huk, K., and Sasaki. T. (1987). Floating Exchange Rates in Developing Countries: Experience with Auction and Interbank Markets. Occasional Paper No. 53. Washington, DC: IMF.</w:t>
      </w:r>
    </w:p>
    <w:p w14:paraId="46BC4862" w14:textId="6AC78DEE" w:rsidR="21C3821A" w:rsidRDefault="21C3821A" w:rsidP="0066301C">
      <w:pPr>
        <w:spacing w:after="200"/>
        <w:jc w:val="both"/>
        <w:rPr>
          <w:rFonts w:ascii="Arial" w:eastAsia="Arial" w:hAnsi="Arial" w:cs="Arial"/>
          <w:sz w:val="20"/>
          <w:szCs w:val="20"/>
        </w:rPr>
      </w:pPr>
      <w:r w:rsidRPr="48425B6A">
        <w:rPr>
          <w:rFonts w:ascii="Arial" w:eastAsia="Arial" w:hAnsi="Arial" w:cs="Arial"/>
          <w:sz w:val="20"/>
          <w:szCs w:val="20"/>
        </w:rPr>
        <w:t xml:space="preserve">Rajan, R., and Subramanian, A. (2011). Aid, Dutch disease, and manufacturing growth. </w:t>
      </w:r>
      <w:r w:rsidRPr="48425B6A">
        <w:rPr>
          <w:rFonts w:ascii="Arial" w:eastAsia="Arial" w:hAnsi="Arial" w:cs="Arial"/>
          <w:i/>
          <w:iCs/>
          <w:sz w:val="20"/>
          <w:szCs w:val="20"/>
        </w:rPr>
        <w:t>Journal of Development Economics</w:t>
      </w:r>
      <w:r w:rsidRPr="48425B6A">
        <w:rPr>
          <w:rFonts w:ascii="Arial" w:eastAsia="Arial" w:hAnsi="Arial" w:cs="Arial"/>
          <w:sz w:val="20"/>
          <w:szCs w:val="20"/>
        </w:rPr>
        <w:t>, Vol. 94 (1), Pp: 106–118.</w:t>
      </w:r>
    </w:p>
    <w:p w14:paraId="4A459F11" w14:textId="3DE834B7" w:rsidR="21C3821A" w:rsidRDefault="21C3821A" w:rsidP="0066301C">
      <w:pPr>
        <w:spacing w:after="200"/>
        <w:jc w:val="both"/>
        <w:rPr>
          <w:rFonts w:ascii="Arial" w:eastAsia="Arial" w:hAnsi="Arial" w:cs="Arial"/>
          <w:sz w:val="20"/>
          <w:szCs w:val="20"/>
        </w:rPr>
      </w:pPr>
      <w:r w:rsidRPr="48425B6A">
        <w:rPr>
          <w:rFonts w:ascii="Arial" w:eastAsia="Arial" w:hAnsi="Arial" w:cs="Arial"/>
          <w:sz w:val="20"/>
          <w:szCs w:val="20"/>
        </w:rPr>
        <w:t xml:space="preserve">Ramirez, G. and Tsangarides, C.G. (2007). “Competitiveness in the CFA Franc Zone.” </w:t>
      </w:r>
      <w:r w:rsidRPr="48425B6A">
        <w:rPr>
          <w:rFonts w:ascii="Arial" w:eastAsia="Arial" w:hAnsi="Arial" w:cs="Arial"/>
          <w:i/>
          <w:iCs/>
          <w:sz w:val="20"/>
          <w:szCs w:val="20"/>
        </w:rPr>
        <w:t xml:space="preserve">IMF Working Paper </w:t>
      </w:r>
      <w:r w:rsidRPr="48425B6A">
        <w:rPr>
          <w:rFonts w:ascii="Arial" w:eastAsia="Arial" w:hAnsi="Arial" w:cs="Arial"/>
          <w:sz w:val="20"/>
          <w:szCs w:val="20"/>
        </w:rPr>
        <w:t>WP/07/212, Washington D.C.: International Monetary Fund.</w:t>
      </w:r>
    </w:p>
    <w:p w14:paraId="4B162DC3" w14:textId="5670F028" w:rsidR="21C3821A" w:rsidRDefault="21C3821A" w:rsidP="0066301C">
      <w:pPr>
        <w:spacing w:after="200"/>
        <w:jc w:val="both"/>
        <w:rPr>
          <w:rFonts w:ascii="Arial" w:eastAsia="Arial" w:hAnsi="Arial" w:cs="Arial"/>
          <w:sz w:val="20"/>
          <w:szCs w:val="20"/>
        </w:rPr>
      </w:pPr>
      <w:r w:rsidRPr="48425B6A">
        <w:rPr>
          <w:rFonts w:ascii="Arial" w:eastAsia="Arial" w:hAnsi="Arial" w:cs="Arial"/>
          <w:sz w:val="20"/>
          <w:szCs w:val="20"/>
        </w:rPr>
        <w:t xml:space="preserve">Ravn, O. M., Schmitt-Grohé, S., and Uribe, M. (2012). Consumption, Government Spending, and the Real Exchange Rate. </w:t>
      </w:r>
      <w:r w:rsidRPr="48425B6A">
        <w:rPr>
          <w:rFonts w:ascii="Arial" w:eastAsia="Arial" w:hAnsi="Arial" w:cs="Arial"/>
          <w:i/>
          <w:iCs/>
          <w:sz w:val="20"/>
          <w:szCs w:val="20"/>
        </w:rPr>
        <w:t xml:space="preserve">Journal of Monetary Economics, </w:t>
      </w:r>
      <w:r w:rsidRPr="48425B6A">
        <w:rPr>
          <w:rFonts w:ascii="Arial" w:eastAsia="Arial" w:hAnsi="Arial" w:cs="Arial"/>
          <w:sz w:val="20"/>
          <w:szCs w:val="20"/>
        </w:rPr>
        <w:t>Vol. 59(3), Pp: 215 – 234.</w:t>
      </w:r>
    </w:p>
    <w:p w14:paraId="63F0FC7C" w14:textId="101E72FB" w:rsidR="21C3821A" w:rsidRDefault="21C3821A" w:rsidP="0066301C">
      <w:pPr>
        <w:spacing w:after="200"/>
        <w:jc w:val="both"/>
        <w:rPr>
          <w:rFonts w:ascii="Arial" w:eastAsia="Arial" w:hAnsi="Arial" w:cs="Arial"/>
          <w:sz w:val="20"/>
          <w:szCs w:val="20"/>
        </w:rPr>
      </w:pPr>
      <w:r w:rsidRPr="48425B6A">
        <w:rPr>
          <w:rFonts w:ascii="Arial" w:eastAsia="Arial" w:hAnsi="Arial" w:cs="Arial"/>
          <w:sz w:val="20"/>
          <w:szCs w:val="20"/>
        </w:rPr>
        <w:t xml:space="preserve"> Ravn, O. M., Schmitt-Grohé, S., and Uribe, M. (2007). Explain the Effects of Government Spending Shocks on Consumption and the Real Exchange Rate. </w:t>
      </w:r>
      <w:r w:rsidRPr="48425B6A">
        <w:rPr>
          <w:rFonts w:ascii="Arial" w:eastAsia="Arial" w:hAnsi="Arial" w:cs="Arial"/>
          <w:color w:val="000000" w:themeColor="text1"/>
          <w:sz w:val="20"/>
          <w:szCs w:val="20"/>
        </w:rPr>
        <w:t xml:space="preserve">Discussion Paper No. 6541, </w:t>
      </w:r>
      <w:r w:rsidRPr="48425B6A">
        <w:rPr>
          <w:rFonts w:ascii="Arial" w:eastAsia="Arial" w:hAnsi="Arial" w:cs="Arial"/>
          <w:i/>
          <w:iCs/>
          <w:color w:val="000000" w:themeColor="text1"/>
          <w:sz w:val="20"/>
          <w:szCs w:val="20"/>
        </w:rPr>
        <w:t xml:space="preserve">Centre for Economic Policy Research. </w:t>
      </w:r>
      <w:r w:rsidRPr="48425B6A">
        <w:rPr>
          <w:rFonts w:ascii="Arial" w:eastAsia="Arial" w:hAnsi="Arial" w:cs="Arial"/>
          <w:color w:val="000000" w:themeColor="text1"/>
          <w:sz w:val="20"/>
          <w:szCs w:val="20"/>
        </w:rPr>
        <w:t xml:space="preserve">Available on  </w:t>
      </w:r>
      <w:hyperlink r:id="rId132">
        <w:r w:rsidRPr="48425B6A">
          <w:rPr>
            <w:rStyle w:val="Hyperlink"/>
            <w:rFonts w:ascii="Arial" w:eastAsia="Arial" w:hAnsi="Arial" w:cs="Arial"/>
            <w:sz w:val="20"/>
            <w:szCs w:val="20"/>
          </w:rPr>
          <w:t>www.cepr.org/pubs/dps/DP6541.asp</w:t>
        </w:r>
      </w:hyperlink>
      <w:r w:rsidRPr="48425B6A">
        <w:rPr>
          <w:rFonts w:ascii="Arial" w:eastAsia="Arial" w:hAnsi="Arial" w:cs="Arial"/>
          <w:color w:val="000000" w:themeColor="text1"/>
          <w:sz w:val="20"/>
          <w:szCs w:val="20"/>
        </w:rPr>
        <w:t xml:space="preserve">. </w:t>
      </w:r>
      <w:r w:rsidRPr="48425B6A">
        <w:rPr>
          <w:rFonts w:ascii="Arial" w:eastAsia="Arial" w:hAnsi="Arial" w:cs="Arial"/>
          <w:sz w:val="20"/>
          <w:szCs w:val="20"/>
        </w:rPr>
        <w:t xml:space="preserve"> </w:t>
      </w:r>
    </w:p>
    <w:p w14:paraId="7B63F4D2" w14:textId="5C8FBB83" w:rsidR="21C3821A" w:rsidRDefault="21C3821A" w:rsidP="0066301C">
      <w:pPr>
        <w:spacing w:after="200"/>
        <w:jc w:val="both"/>
        <w:rPr>
          <w:rFonts w:ascii="Arial" w:eastAsia="Arial" w:hAnsi="Arial" w:cs="Arial"/>
          <w:sz w:val="20"/>
          <w:szCs w:val="20"/>
        </w:rPr>
      </w:pPr>
      <w:r w:rsidRPr="48425B6A">
        <w:rPr>
          <w:rFonts w:ascii="Arial" w:eastAsia="Arial" w:hAnsi="Arial" w:cs="Arial"/>
          <w:sz w:val="20"/>
          <w:szCs w:val="20"/>
        </w:rPr>
        <w:lastRenderedPageBreak/>
        <w:t xml:space="preserve"> Rawlins, G. and Praven, J. (1993), Devaluation and the Trade Balance: The Recent Experience of Selected African Countries. </w:t>
      </w:r>
    </w:p>
    <w:p w14:paraId="6D9310D3" w14:textId="39FF9435" w:rsidR="21C3821A" w:rsidRDefault="21C3821A" w:rsidP="0066301C">
      <w:pPr>
        <w:spacing w:after="200"/>
        <w:jc w:val="both"/>
        <w:rPr>
          <w:rFonts w:ascii="Arial" w:eastAsia="Arial" w:hAnsi="Arial" w:cs="Arial"/>
          <w:i/>
          <w:iCs/>
          <w:sz w:val="20"/>
          <w:szCs w:val="20"/>
        </w:rPr>
      </w:pPr>
      <w:r w:rsidRPr="48425B6A">
        <w:rPr>
          <w:rFonts w:ascii="Arial" w:eastAsia="Arial" w:hAnsi="Arial" w:cs="Arial"/>
          <w:sz w:val="20"/>
          <w:szCs w:val="20"/>
        </w:rPr>
        <w:t xml:space="preserve">Razin, O. and Collins. S. M. (1997). Real Exchange Rate Misalignment and Growth. </w:t>
      </w:r>
      <w:r w:rsidRPr="48425B6A">
        <w:rPr>
          <w:rFonts w:ascii="Arial" w:eastAsia="Arial" w:hAnsi="Arial" w:cs="Arial"/>
          <w:i/>
          <w:iCs/>
          <w:sz w:val="20"/>
          <w:szCs w:val="20"/>
        </w:rPr>
        <w:t>NBER working paper No. 6174.</w:t>
      </w:r>
    </w:p>
    <w:p w14:paraId="5408F612" w14:textId="762FB88B" w:rsidR="21C3821A" w:rsidRDefault="21C3821A" w:rsidP="0066301C">
      <w:pPr>
        <w:spacing w:after="200"/>
        <w:jc w:val="both"/>
        <w:rPr>
          <w:rFonts w:ascii="Arial" w:eastAsia="Arial" w:hAnsi="Arial" w:cs="Arial"/>
          <w:sz w:val="20"/>
          <w:szCs w:val="20"/>
        </w:rPr>
      </w:pPr>
      <w:r w:rsidRPr="48425B6A">
        <w:rPr>
          <w:rFonts w:ascii="Arial" w:eastAsia="Arial" w:hAnsi="Arial" w:cs="Arial"/>
          <w:sz w:val="20"/>
          <w:szCs w:val="20"/>
        </w:rPr>
        <w:t xml:space="preserve">Razmi, A., Rapetti, M., and Skott, P. (2012). The Real Exchange Rate and Economic Development. </w:t>
      </w:r>
      <w:r w:rsidRPr="48425B6A">
        <w:rPr>
          <w:rFonts w:ascii="Arial" w:eastAsia="Arial" w:hAnsi="Arial" w:cs="Arial"/>
          <w:i/>
          <w:iCs/>
          <w:sz w:val="20"/>
          <w:szCs w:val="20"/>
        </w:rPr>
        <w:t xml:space="preserve">Structural Change and Economic Dynamics, </w:t>
      </w:r>
      <w:r w:rsidRPr="48425B6A">
        <w:rPr>
          <w:rFonts w:ascii="Arial" w:eastAsia="Arial" w:hAnsi="Arial" w:cs="Arial"/>
          <w:sz w:val="20"/>
          <w:szCs w:val="20"/>
        </w:rPr>
        <w:t>Vol. 23(2), Pp: 151 -169.</w:t>
      </w:r>
    </w:p>
    <w:p w14:paraId="29466D39" w14:textId="6D0CE60A" w:rsidR="21C3821A" w:rsidRDefault="21C3821A" w:rsidP="0066301C">
      <w:pPr>
        <w:spacing w:after="200"/>
        <w:jc w:val="both"/>
        <w:rPr>
          <w:rFonts w:ascii="Arial" w:eastAsia="Arial" w:hAnsi="Arial" w:cs="Arial"/>
          <w:sz w:val="20"/>
          <w:szCs w:val="20"/>
        </w:rPr>
      </w:pPr>
      <w:r w:rsidRPr="48425B6A">
        <w:rPr>
          <w:rFonts w:ascii="Arial" w:eastAsia="Arial" w:hAnsi="Arial" w:cs="Arial"/>
          <w:sz w:val="20"/>
          <w:szCs w:val="20"/>
        </w:rPr>
        <w:t xml:space="preserve">Rehman, A. A. and Alharthi, K. (2016). Introduction to Research Paradigms. </w:t>
      </w:r>
      <w:r w:rsidRPr="48425B6A">
        <w:rPr>
          <w:rFonts w:ascii="Arial" w:eastAsia="Arial" w:hAnsi="Arial" w:cs="Arial"/>
          <w:i/>
          <w:iCs/>
          <w:sz w:val="20"/>
          <w:szCs w:val="20"/>
        </w:rPr>
        <w:t xml:space="preserve">International Journal of Educational Investigations, </w:t>
      </w:r>
      <w:r w:rsidRPr="48425B6A">
        <w:rPr>
          <w:rFonts w:ascii="Arial" w:eastAsia="Arial" w:hAnsi="Arial" w:cs="Arial"/>
          <w:sz w:val="20"/>
          <w:szCs w:val="20"/>
        </w:rPr>
        <w:t>Vol. 3 (8), Pp: 51-59.</w:t>
      </w:r>
    </w:p>
    <w:p w14:paraId="0BAC0FD1" w14:textId="6E3ADF2C" w:rsidR="21C3821A" w:rsidRDefault="21C3821A" w:rsidP="0066301C">
      <w:pPr>
        <w:spacing w:after="200"/>
        <w:jc w:val="both"/>
        <w:rPr>
          <w:rFonts w:ascii="Arial" w:eastAsia="Arial" w:hAnsi="Arial" w:cs="Arial"/>
          <w:i/>
          <w:iCs/>
          <w:sz w:val="20"/>
          <w:szCs w:val="20"/>
        </w:rPr>
      </w:pPr>
      <w:r w:rsidRPr="48425B6A">
        <w:rPr>
          <w:rFonts w:ascii="Arial" w:eastAsia="Arial" w:hAnsi="Arial" w:cs="Arial"/>
          <w:sz w:val="20"/>
          <w:szCs w:val="20"/>
        </w:rPr>
        <w:t>Reinsdorf, M. B. (2009). Terms of Trade Effects: Theory and Measurement</w:t>
      </w:r>
      <w:r w:rsidRPr="48425B6A">
        <w:rPr>
          <w:rFonts w:ascii="Arial" w:eastAsia="Arial" w:hAnsi="Arial" w:cs="Arial"/>
          <w:i/>
          <w:iCs/>
          <w:sz w:val="20"/>
          <w:szCs w:val="20"/>
        </w:rPr>
        <w:t>.</w:t>
      </w:r>
      <w:r w:rsidRPr="48425B6A">
        <w:rPr>
          <w:rFonts w:ascii="Arial" w:eastAsia="Arial" w:hAnsi="Arial" w:cs="Arial"/>
          <w:sz w:val="20"/>
          <w:szCs w:val="20"/>
        </w:rPr>
        <w:t xml:space="preserve"> </w:t>
      </w:r>
      <w:r w:rsidRPr="48425B6A">
        <w:rPr>
          <w:rFonts w:ascii="Arial" w:eastAsia="Arial" w:hAnsi="Arial" w:cs="Arial"/>
          <w:i/>
          <w:iCs/>
          <w:sz w:val="20"/>
          <w:szCs w:val="20"/>
        </w:rPr>
        <w:t>Bureau of Economic Analysis.</w:t>
      </w:r>
    </w:p>
    <w:p w14:paraId="24CC16C0" w14:textId="0E9C5507" w:rsidR="21C3821A" w:rsidRDefault="21C3821A" w:rsidP="0066301C">
      <w:pPr>
        <w:spacing w:after="200"/>
        <w:jc w:val="both"/>
        <w:rPr>
          <w:rFonts w:ascii="Arial" w:eastAsia="Arial" w:hAnsi="Arial" w:cs="Arial"/>
          <w:sz w:val="20"/>
          <w:szCs w:val="20"/>
        </w:rPr>
      </w:pPr>
      <w:r w:rsidRPr="48425B6A">
        <w:rPr>
          <w:rFonts w:ascii="Arial" w:eastAsia="Arial" w:hAnsi="Arial" w:cs="Arial"/>
          <w:sz w:val="20"/>
          <w:szCs w:val="20"/>
        </w:rPr>
        <w:t xml:space="preserve">Robinson, J. (1947). Essays in the Theory of Employment (Oxford: Blackwell). </w:t>
      </w:r>
    </w:p>
    <w:p w14:paraId="083A1105" w14:textId="6DEEEBC5" w:rsidR="21C3821A" w:rsidRDefault="21C3821A" w:rsidP="0066301C">
      <w:pPr>
        <w:spacing w:after="200"/>
        <w:jc w:val="both"/>
        <w:rPr>
          <w:rFonts w:ascii="Arial" w:eastAsia="Arial" w:hAnsi="Arial" w:cs="Arial"/>
          <w:sz w:val="20"/>
          <w:szCs w:val="20"/>
        </w:rPr>
      </w:pPr>
      <w:r w:rsidRPr="48425B6A">
        <w:rPr>
          <w:rFonts w:ascii="Arial" w:eastAsia="Arial" w:hAnsi="Arial" w:cs="Arial"/>
          <w:sz w:val="20"/>
          <w:szCs w:val="20"/>
        </w:rPr>
        <w:t xml:space="preserve">Rodrik, D. (2008). The Real Exchange Rate and Economic Growth. </w:t>
      </w:r>
      <w:r w:rsidRPr="48425B6A">
        <w:rPr>
          <w:rFonts w:ascii="Arial" w:eastAsia="Arial" w:hAnsi="Arial" w:cs="Arial"/>
          <w:i/>
          <w:iCs/>
          <w:sz w:val="20"/>
          <w:szCs w:val="20"/>
        </w:rPr>
        <w:t xml:space="preserve">Brookings papers on Economic Activity, </w:t>
      </w:r>
      <w:r w:rsidRPr="48425B6A">
        <w:rPr>
          <w:rFonts w:ascii="Arial" w:eastAsia="Arial" w:hAnsi="Arial" w:cs="Arial"/>
          <w:sz w:val="20"/>
          <w:szCs w:val="20"/>
        </w:rPr>
        <w:t>Vol.2, Pp: 365-412.</w:t>
      </w:r>
    </w:p>
    <w:p w14:paraId="0BAC3973" w14:textId="77A7AECD" w:rsidR="21C3821A" w:rsidRDefault="21C3821A" w:rsidP="0066301C">
      <w:pPr>
        <w:spacing w:after="200"/>
        <w:jc w:val="both"/>
        <w:rPr>
          <w:rFonts w:ascii="Arial" w:eastAsia="Arial" w:hAnsi="Arial" w:cs="Arial"/>
          <w:sz w:val="20"/>
          <w:szCs w:val="20"/>
        </w:rPr>
      </w:pPr>
      <w:r w:rsidRPr="48425B6A">
        <w:rPr>
          <w:rFonts w:ascii="Arial" w:eastAsia="Arial" w:hAnsi="Arial" w:cs="Arial"/>
          <w:sz w:val="20"/>
          <w:szCs w:val="20"/>
        </w:rPr>
        <w:t xml:space="preserve">Rodrik, D. (2006). The Social Cost of Foreign Exchange Reserves. </w:t>
      </w:r>
      <w:r w:rsidRPr="48425B6A">
        <w:rPr>
          <w:rFonts w:ascii="Arial" w:eastAsia="Arial" w:hAnsi="Arial" w:cs="Arial"/>
          <w:i/>
          <w:iCs/>
          <w:sz w:val="20"/>
          <w:szCs w:val="20"/>
        </w:rPr>
        <w:t>International Economic Journal,</w:t>
      </w:r>
      <w:r w:rsidRPr="48425B6A">
        <w:rPr>
          <w:rFonts w:ascii="Arial" w:eastAsia="Arial" w:hAnsi="Arial" w:cs="Arial"/>
          <w:sz w:val="20"/>
          <w:szCs w:val="20"/>
        </w:rPr>
        <w:t xml:space="preserve"> vol. 20(3), Pp: 253-266.</w:t>
      </w:r>
    </w:p>
    <w:p w14:paraId="7A37FAB3" w14:textId="2DD586AF" w:rsidR="21C3821A" w:rsidRDefault="21C3821A" w:rsidP="0066301C">
      <w:pPr>
        <w:spacing w:after="200"/>
        <w:jc w:val="both"/>
        <w:rPr>
          <w:rFonts w:ascii="Arial" w:eastAsia="Arial" w:hAnsi="Arial" w:cs="Arial"/>
          <w:sz w:val="20"/>
          <w:szCs w:val="20"/>
        </w:rPr>
      </w:pPr>
      <w:r w:rsidRPr="48425B6A">
        <w:rPr>
          <w:rFonts w:ascii="Arial" w:eastAsia="Arial" w:hAnsi="Arial" w:cs="Arial"/>
          <w:sz w:val="20"/>
          <w:szCs w:val="20"/>
        </w:rPr>
        <w:t xml:space="preserve">Rogoff, K. (1996). The Purchasing Power Parity Puzzle. </w:t>
      </w:r>
      <w:r w:rsidRPr="48425B6A">
        <w:rPr>
          <w:rFonts w:ascii="Arial" w:eastAsia="Arial" w:hAnsi="Arial" w:cs="Arial"/>
          <w:i/>
          <w:iCs/>
          <w:sz w:val="20"/>
          <w:szCs w:val="20"/>
        </w:rPr>
        <w:t xml:space="preserve">Journal of Economic Literature, </w:t>
      </w:r>
      <w:r w:rsidRPr="48425B6A">
        <w:rPr>
          <w:rFonts w:ascii="Arial" w:eastAsia="Arial" w:hAnsi="Arial" w:cs="Arial"/>
          <w:sz w:val="20"/>
          <w:szCs w:val="20"/>
        </w:rPr>
        <w:t>Vol. 34, Pp: 647-668.</w:t>
      </w:r>
    </w:p>
    <w:p w14:paraId="56D49417" w14:textId="47EE9FCC" w:rsidR="21C3821A" w:rsidRDefault="21C3821A" w:rsidP="0066301C">
      <w:pPr>
        <w:spacing w:after="200"/>
        <w:jc w:val="both"/>
        <w:rPr>
          <w:rFonts w:ascii="Arial" w:eastAsia="Arial" w:hAnsi="Arial" w:cs="Arial"/>
          <w:sz w:val="20"/>
          <w:szCs w:val="20"/>
        </w:rPr>
      </w:pPr>
      <w:r w:rsidRPr="00EE025F">
        <w:rPr>
          <w:rFonts w:ascii="Arial" w:eastAsia="Arial" w:hAnsi="Arial" w:cs="Arial"/>
          <w:sz w:val="20"/>
          <w:szCs w:val="20"/>
          <w:lang w:val="pt-BR"/>
        </w:rPr>
        <w:t xml:space="preserve">Romelli, D., Terra, C., and Vasconcelos, E. (2016). </w:t>
      </w:r>
      <w:r w:rsidRPr="48425B6A">
        <w:rPr>
          <w:rFonts w:ascii="Arial" w:eastAsia="Arial" w:hAnsi="Arial" w:cs="Arial"/>
          <w:sz w:val="20"/>
          <w:szCs w:val="20"/>
        </w:rPr>
        <w:t>Current Account and Real Exchange Rate Changes: the Impact of Trade Openness, Central Bank of Brazil, Working Papers Series 437.</w:t>
      </w:r>
    </w:p>
    <w:p w14:paraId="57AC8D62" w14:textId="77777777" w:rsidR="00AB775B" w:rsidRPr="00F27A02" w:rsidRDefault="00AB775B" w:rsidP="0066301C">
      <w:pPr>
        <w:spacing w:line="240" w:lineRule="auto"/>
        <w:jc w:val="both"/>
        <w:rPr>
          <w:rFonts w:ascii="Arial" w:hAnsi="Arial" w:cs="Arial"/>
          <w:sz w:val="20"/>
          <w:szCs w:val="20"/>
        </w:rPr>
      </w:pPr>
      <w:r w:rsidRPr="00F27A02">
        <w:rPr>
          <w:rFonts w:ascii="Arial" w:hAnsi="Arial" w:cs="Arial"/>
          <w:sz w:val="20"/>
          <w:szCs w:val="20"/>
        </w:rPr>
        <w:t xml:space="preserve">Romer, P. (1994). The Origins of Endogenous Growth. </w:t>
      </w:r>
      <w:r w:rsidRPr="00F27A02">
        <w:rPr>
          <w:rFonts w:ascii="Arial" w:hAnsi="Arial" w:cs="Arial"/>
          <w:i/>
          <w:iCs/>
          <w:sz w:val="20"/>
          <w:szCs w:val="20"/>
        </w:rPr>
        <w:t>Journal of Economic Perspectives</w:t>
      </w:r>
      <w:r w:rsidRPr="00F27A02">
        <w:rPr>
          <w:rFonts w:ascii="Arial" w:hAnsi="Arial" w:cs="Arial"/>
          <w:sz w:val="20"/>
          <w:szCs w:val="20"/>
        </w:rPr>
        <w:t xml:space="preserve">, Vol. 8, Pp: 3-22. </w:t>
      </w:r>
    </w:p>
    <w:p w14:paraId="2D6DE47D" w14:textId="76CE850F" w:rsidR="21C3821A" w:rsidRDefault="21C3821A" w:rsidP="0066301C">
      <w:pPr>
        <w:spacing w:after="200"/>
        <w:jc w:val="both"/>
        <w:rPr>
          <w:rFonts w:ascii="Arial" w:eastAsia="Arial" w:hAnsi="Arial" w:cs="Arial"/>
          <w:sz w:val="20"/>
          <w:szCs w:val="20"/>
        </w:rPr>
      </w:pPr>
      <w:r w:rsidRPr="48425B6A">
        <w:rPr>
          <w:rFonts w:ascii="Arial" w:eastAsia="Arial" w:hAnsi="Arial" w:cs="Arial"/>
          <w:sz w:val="20"/>
          <w:szCs w:val="20"/>
        </w:rPr>
        <w:t xml:space="preserve">Rose, A. K. and Yellen, J. L. (1989). Is There a </w:t>
      </w:r>
      <w:r w:rsidRPr="48425B6A">
        <w:rPr>
          <w:rFonts w:ascii="Arial" w:eastAsia="Arial" w:hAnsi="Arial" w:cs="Arial"/>
          <w:i/>
          <w:iCs/>
          <w:sz w:val="20"/>
          <w:szCs w:val="20"/>
        </w:rPr>
        <w:t>J-</w:t>
      </w:r>
      <w:r w:rsidRPr="48425B6A">
        <w:rPr>
          <w:rFonts w:ascii="Arial" w:eastAsia="Arial" w:hAnsi="Arial" w:cs="Arial"/>
          <w:sz w:val="20"/>
          <w:szCs w:val="20"/>
        </w:rPr>
        <w:t xml:space="preserve">Curve? </w:t>
      </w:r>
      <w:r w:rsidRPr="48425B6A">
        <w:rPr>
          <w:rFonts w:ascii="Arial" w:eastAsia="Arial" w:hAnsi="Arial" w:cs="Arial"/>
          <w:i/>
          <w:iCs/>
          <w:sz w:val="20"/>
          <w:szCs w:val="20"/>
        </w:rPr>
        <w:t xml:space="preserve">Journey of Monetary Economics, </w:t>
      </w:r>
      <w:r w:rsidRPr="48425B6A">
        <w:rPr>
          <w:rFonts w:ascii="Arial" w:eastAsia="Arial" w:hAnsi="Arial" w:cs="Arial"/>
          <w:sz w:val="20"/>
          <w:szCs w:val="20"/>
        </w:rPr>
        <w:t>Vol. 24, Pp:53-68.</w:t>
      </w:r>
    </w:p>
    <w:p w14:paraId="2C97E9E4" w14:textId="655E542F" w:rsidR="21C3821A" w:rsidRDefault="21C3821A" w:rsidP="0066301C">
      <w:pPr>
        <w:spacing w:after="200"/>
        <w:jc w:val="both"/>
        <w:rPr>
          <w:rFonts w:ascii="Arial" w:eastAsia="Arial" w:hAnsi="Arial" w:cs="Arial"/>
          <w:sz w:val="20"/>
          <w:szCs w:val="20"/>
        </w:rPr>
      </w:pPr>
      <w:r w:rsidRPr="48425B6A">
        <w:rPr>
          <w:rFonts w:ascii="Arial" w:eastAsia="Arial" w:hAnsi="Arial" w:cs="Arial"/>
          <w:sz w:val="20"/>
          <w:szCs w:val="20"/>
        </w:rPr>
        <w:t xml:space="preserve">Rose, A. K. (1990). ‘Exchange Rates and the Trade Balance: Some Evidence from Developing Countries’, </w:t>
      </w:r>
      <w:r w:rsidRPr="48425B6A">
        <w:rPr>
          <w:rFonts w:ascii="Arial" w:eastAsia="Arial" w:hAnsi="Arial" w:cs="Arial"/>
          <w:i/>
          <w:iCs/>
          <w:sz w:val="20"/>
          <w:szCs w:val="20"/>
        </w:rPr>
        <w:t>Economics Letters</w:t>
      </w:r>
      <w:r w:rsidRPr="48425B6A">
        <w:rPr>
          <w:rFonts w:ascii="Arial" w:eastAsia="Arial" w:hAnsi="Arial" w:cs="Arial"/>
          <w:sz w:val="20"/>
          <w:szCs w:val="20"/>
        </w:rPr>
        <w:t>, vol. 34(3), Pp: 271 - 275.</w:t>
      </w:r>
    </w:p>
    <w:p w14:paraId="08EA73F8" w14:textId="24C02EFA" w:rsidR="21C3821A" w:rsidRDefault="21C3821A" w:rsidP="0066301C">
      <w:pPr>
        <w:spacing w:after="200"/>
        <w:jc w:val="both"/>
        <w:rPr>
          <w:rFonts w:ascii="Arial" w:eastAsia="Arial" w:hAnsi="Arial" w:cs="Arial"/>
          <w:sz w:val="20"/>
          <w:szCs w:val="20"/>
        </w:rPr>
      </w:pPr>
      <w:r w:rsidRPr="48425B6A">
        <w:rPr>
          <w:rFonts w:ascii="Arial" w:eastAsia="Arial" w:hAnsi="Arial" w:cs="Arial"/>
          <w:sz w:val="20"/>
          <w:szCs w:val="20"/>
        </w:rPr>
        <w:t xml:space="preserve">Rose, A. K. (1991). “The role of exchange rates in a popular model of international trade: Does the ‘Marshall-Lerner’ condition hold?”. </w:t>
      </w:r>
      <w:r w:rsidRPr="48425B6A">
        <w:rPr>
          <w:rFonts w:ascii="Arial" w:eastAsia="Arial" w:hAnsi="Arial" w:cs="Arial"/>
          <w:i/>
          <w:iCs/>
          <w:sz w:val="20"/>
          <w:szCs w:val="20"/>
        </w:rPr>
        <w:t xml:space="preserve">Journal of International Economics, </w:t>
      </w:r>
      <w:r w:rsidR="0067167D">
        <w:rPr>
          <w:rFonts w:ascii="Arial" w:eastAsia="Arial" w:hAnsi="Arial" w:cs="Arial"/>
          <w:sz w:val="20"/>
          <w:szCs w:val="20"/>
        </w:rPr>
        <w:t>V</w:t>
      </w:r>
      <w:r w:rsidRPr="48425B6A">
        <w:rPr>
          <w:rFonts w:ascii="Arial" w:eastAsia="Arial" w:hAnsi="Arial" w:cs="Arial"/>
          <w:sz w:val="20"/>
          <w:szCs w:val="20"/>
        </w:rPr>
        <w:t>ol. 30 (4)</w:t>
      </w:r>
      <w:r w:rsidR="0067167D">
        <w:rPr>
          <w:rFonts w:ascii="Arial" w:eastAsia="Arial" w:hAnsi="Arial" w:cs="Arial"/>
          <w:sz w:val="20"/>
          <w:szCs w:val="20"/>
        </w:rPr>
        <w:t>,</w:t>
      </w:r>
      <w:r w:rsidRPr="48425B6A">
        <w:rPr>
          <w:rFonts w:ascii="Arial" w:eastAsia="Arial" w:hAnsi="Arial" w:cs="Arial"/>
          <w:sz w:val="20"/>
          <w:szCs w:val="20"/>
        </w:rPr>
        <w:t xml:space="preserve"> </w:t>
      </w:r>
      <w:r w:rsidR="0067167D">
        <w:rPr>
          <w:rFonts w:ascii="Arial" w:eastAsia="Arial" w:hAnsi="Arial" w:cs="Arial"/>
          <w:sz w:val="20"/>
          <w:szCs w:val="20"/>
        </w:rPr>
        <w:t xml:space="preserve">Pp: </w:t>
      </w:r>
      <w:r w:rsidRPr="48425B6A">
        <w:rPr>
          <w:rFonts w:ascii="Arial" w:eastAsia="Arial" w:hAnsi="Arial" w:cs="Arial"/>
          <w:sz w:val="20"/>
          <w:szCs w:val="20"/>
        </w:rPr>
        <w:t>301-316. Doi:10.1016/0022-1996(91)90024-Z.</w:t>
      </w:r>
    </w:p>
    <w:p w14:paraId="3AAD89F1" w14:textId="77777777" w:rsidR="00AB775B" w:rsidRPr="00F27A02" w:rsidRDefault="00AB775B" w:rsidP="0066301C">
      <w:pPr>
        <w:spacing w:line="240" w:lineRule="auto"/>
        <w:jc w:val="both"/>
        <w:rPr>
          <w:rFonts w:ascii="Arial" w:hAnsi="Arial" w:cs="Arial"/>
          <w:sz w:val="20"/>
          <w:szCs w:val="20"/>
          <w:lang w:val="en-US"/>
        </w:rPr>
      </w:pPr>
      <w:r w:rsidRPr="00F27A02">
        <w:rPr>
          <w:rFonts w:ascii="Arial" w:hAnsi="Arial" w:cs="Arial"/>
          <w:sz w:val="20"/>
          <w:szCs w:val="20"/>
        </w:rPr>
        <w:t xml:space="preserve">Rostow, W. W. (1960). The Stages of Economic Growth: </w:t>
      </w:r>
      <w:r w:rsidRPr="00F27A02">
        <w:rPr>
          <w:rFonts w:ascii="Arial" w:hAnsi="Arial" w:cs="Arial"/>
          <w:i/>
          <w:iCs/>
          <w:sz w:val="20"/>
          <w:szCs w:val="20"/>
        </w:rPr>
        <w:t>A Noncommunist Manifesto</w:t>
      </w:r>
      <w:r w:rsidRPr="00F27A02">
        <w:rPr>
          <w:rFonts w:ascii="Arial" w:hAnsi="Arial" w:cs="Arial"/>
          <w:sz w:val="20"/>
          <w:szCs w:val="20"/>
        </w:rPr>
        <w:t>, Cambridge: Cambridge University Press</w:t>
      </w:r>
      <w:r>
        <w:rPr>
          <w:rFonts w:ascii="Arial" w:hAnsi="Arial" w:cs="Arial"/>
          <w:sz w:val="20"/>
          <w:szCs w:val="20"/>
        </w:rPr>
        <w:t>.</w:t>
      </w:r>
    </w:p>
    <w:p w14:paraId="10087367" w14:textId="0657C71E" w:rsidR="21C3821A" w:rsidRDefault="21C3821A" w:rsidP="0066301C">
      <w:pPr>
        <w:spacing w:after="200"/>
        <w:jc w:val="both"/>
        <w:rPr>
          <w:rFonts w:ascii="Arial" w:eastAsia="Arial" w:hAnsi="Arial" w:cs="Arial"/>
          <w:sz w:val="20"/>
          <w:szCs w:val="20"/>
        </w:rPr>
      </w:pPr>
      <w:r w:rsidRPr="48425B6A">
        <w:rPr>
          <w:rFonts w:ascii="Arial" w:eastAsia="Arial" w:hAnsi="Arial" w:cs="Arial"/>
          <w:sz w:val="20"/>
          <w:szCs w:val="20"/>
        </w:rPr>
        <w:t>Roudet, S., Saxegaard, M., and Tsangarides, C. (2007). Estimation of equilibrium exchange rates in the WAEMU: a robustness approach. IMF Working Papers 07/194. International Monetary Fund.</w:t>
      </w:r>
    </w:p>
    <w:p w14:paraId="607D0FB3" w14:textId="2406F4D0" w:rsidR="0067167D" w:rsidRPr="0067167D" w:rsidRDefault="0067167D" w:rsidP="0066301C">
      <w:pPr>
        <w:spacing w:after="200"/>
        <w:jc w:val="both"/>
        <w:rPr>
          <w:rFonts w:ascii="Arial" w:eastAsia="Arial" w:hAnsi="Arial" w:cs="Arial"/>
          <w:sz w:val="20"/>
          <w:szCs w:val="20"/>
        </w:rPr>
      </w:pPr>
      <w:r>
        <w:rPr>
          <w:rFonts w:ascii="Arial" w:eastAsia="Arial" w:hAnsi="Arial" w:cs="Arial"/>
          <w:sz w:val="20"/>
          <w:szCs w:val="20"/>
        </w:rPr>
        <w:t xml:space="preserve">Rusek, A. (2012). The European’s Equilibrium Real Exchange Rates. </w:t>
      </w:r>
      <w:r>
        <w:rPr>
          <w:rFonts w:ascii="Arial" w:eastAsia="Arial" w:hAnsi="Arial" w:cs="Arial"/>
          <w:i/>
          <w:iCs/>
          <w:sz w:val="20"/>
          <w:szCs w:val="20"/>
        </w:rPr>
        <w:t xml:space="preserve">Modern Economy, </w:t>
      </w:r>
      <w:r>
        <w:rPr>
          <w:rFonts w:ascii="Arial" w:eastAsia="Arial" w:hAnsi="Arial" w:cs="Arial"/>
          <w:sz w:val="20"/>
          <w:szCs w:val="20"/>
        </w:rPr>
        <w:t>Vol 3, Pp: 534-541.</w:t>
      </w:r>
    </w:p>
    <w:p w14:paraId="2DF9AB9A" w14:textId="77777777" w:rsidR="00FA6804" w:rsidRPr="00B27F54" w:rsidRDefault="00FA6804" w:rsidP="0066301C">
      <w:pPr>
        <w:spacing w:line="240" w:lineRule="auto"/>
        <w:jc w:val="both"/>
        <w:rPr>
          <w:rFonts w:ascii="Arial" w:hAnsi="Arial" w:cs="Arial"/>
          <w:sz w:val="20"/>
          <w:szCs w:val="20"/>
        </w:rPr>
      </w:pPr>
      <w:r w:rsidRPr="00B27F54">
        <w:rPr>
          <w:rFonts w:ascii="Arial" w:hAnsi="Arial" w:cs="Arial"/>
          <w:sz w:val="20"/>
          <w:szCs w:val="20"/>
          <w:lang w:val="en-US"/>
        </w:rPr>
        <w:t xml:space="preserve">Sachs, J. D. (1985). External Debt and Macroeconomic Performance in Latin America and Asia. </w:t>
      </w:r>
      <w:r w:rsidRPr="00B27F54">
        <w:rPr>
          <w:rFonts w:ascii="Arial" w:hAnsi="Arial" w:cs="Arial"/>
          <w:i/>
          <w:iCs/>
          <w:sz w:val="20"/>
          <w:szCs w:val="20"/>
          <w:lang w:val="en-US"/>
        </w:rPr>
        <w:t xml:space="preserve">Brooking Papers on Economic Activity, </w:t>
      </w:r>
      <w:r w:rsidRPr="00B27F54">
        <w:rPr>
          <w:rFonts w:ascii="Arial" w:hAnsi="Arial" w:cs="Arial"/>
          <w:sz w:val="20"/>
          <w:szCs w:val="20"/>
          <w:lang w:val="en-US"/>
        </w:rPr>
        <w:t>Vol. 16(2), Pp: 523-573.</w:t>
      </w:r>
    </w:p>
    <w:p w14:paraId="4990FA86" w14:textId="46194023" w:rsidR="21C3821A" w:rsidRDefault="21C3821A" w:rsidP="0066301C">
      <w:pPr>
        <w:spacing w:after="200"/>
        <w:jc w:val="both"/>
        <w:rPr>
          <w:rFonts w:ascii="Arial" w:eastAsia="Arial" w:hAnsi="Arial" w:cs="Arial"/>
          <w:sz w:val="20"/>
          <w:szCs w:val="20"/>
          <w:lang w:val="en-US"/>
        </w:rPr>
      </w:pPr>
      <w:r w:rsidRPr="48425B6A">
        <w:rPr>
          <w:rFonts w:ascii="Arial" w:eastAsia="Arial" w:hAnsi="Arial" w:cs="Arial"/>
          <w:sz w:val="20"/>
          <w:szCs w:val="20"/>
          <w:lang w:val="en-US"/>
        </w:rPr>
        <w:t xml:space="preserve">Sahlan, S., Abduli, H., Boss Abdullah, R. M. (2018). Trade Balance and </w:t>
      </w:r>
      <w:r w:rsidRPr="48425B6A">
        <w:rPr>
          <w:rFonts w:ascii="Arial" w:eastAsia="Arial" w:hAnsi="Arial" w:cs="Arial"/>
          <w:i/>
          <w:iCs/>
          <w:sz w:val="20"/>
          <w:szCs w:val="20"/>
          <w:lang w:val="en-US"/>
        </w:rPr>
        <w:t>J-</w:t>
      </w:r>
      <w:r w:rsidRPr="48425B6A">
        <w:rPr>
          <w:rFonts w:ascii="Arial" w:eastAsia="Arial" w:hAnsi="Arial" w:cs="Arial"/>
          <w:sz w:val="20"/>
          <w:szCs w:val="20"/>
          <w:lang w:val="en-US"/>
        </w:rPr>
        <w:t xml:space="preserve">Curve Phenomenon in Malaysia. </w:t>
      </w:r>
      <w:r w:rsidRPr="48425B6A">
        <w:rPr>
          <w:rFonts w:ascii="Arial" w:eastAsia="Arial" w:hAnsi="Arial" w:cs="Arial"/>
          <w:i/>
          <w:iCs/>
          <w:sz w:val="20"/>
          <w:szCs w:val="20"/>
          <w:lang w:val="en-US"/>
        </w:rPr>
        <w:t xml:space="preserve">Journal Ekonomi Malaysia, </w:t>
      </w:r>
      <w:r w:rsidRPr="48425B6A">
        <w:rPr>
          <w:rFonts w:ascii="Arial" w:eastAsia="Arial" w:hAnsi="Arial" w:cs="Arial"/>
          <w:sz w:val="20"/>
          <w:szCs w:val="20"/>
          <w:lang w:val="en-US"/>
        </w:rPr>
        <w:t>No. 42, Pp: 91 – 104.</w:t>
      </w:r>
    </w:p>
    <w:p w14:paraId="10B26892" w14:textId="7A046571" w:rsidR="21C3821A" w:rsidRDefault="21C3821A" w:rsidP="0066301C">
      <w:pPr>
        <w:spacing w:after="200"/>
        <w:jc w:val="both"/>
        <w:rPr>
          <w:rFonts w:ascii="Arial" w:eastAsia="Arial" w:hAnsi="Arial" w:cs="Arial"/>
          <w:sz w:val="20"/>
          <w:szCs w:val="20"/>
        </w:rPr>
      </w:pPr>
      <w:r w:rsidRPr="48425B6A">
        <w:rPr>
          <w:rFonts w:ascii="Arial" w:eastAsia="Arial" w:hAnsi="Arial" w:cs="Arial"/>
          <w:sz w:val="20"/>
          <w:szCs w:val="20"/>
        </w:rPr>
        <w:t xml:space="preserve">Sala-i-Martin, X., (1997a), “I Just Ran 2 Million Regressions”, </w:t>
      </w:r>
      <w:r w:rsidRPr="48425B6A">
        <w:rPr>
          <w:rFonts w:ascii="Arial" w:eastAsia="Arial" w:hAnsi="Arial" w:cs="Arial"/>
          <w:i/>
          <w:iCs/>
          <w:sz w:val="20"/>
          <w:szCs w:val="20"/>
        </w:rPr>
        <w:t>American Economic Review</w:t>
      </w:r>
      <w:r w:rsidRPr="48425B6A">
        <w:rPr>
          <w:rFonts w:ascii="Arial" w:eastAsia="Arial" w:hAnsi="Arial" w:cs="Arial"/>
          <w:sz w:val="20"/>
          <w:szCs w:val="20"/>
        </w:rPr>
        <w:t>.</w:t>
      </w:r>
    </w:p>
    <w:p w14:paraId="307602E8" w14:textId="4228BB02" w:rsidR="21C3821A" w:rsidRDefault="21C3821A" w:rsidP="0066301C">
      <w:pPr>
        <w:spacing w:after="200"/>
        <w:jc w:val="both"/>
        <w:rPr>
          <w:rFonts w:ascii="Arial" w:eastAsia="Arial" w:hAnsi="Arial" w:cs="Arial"/>
          <w:sz w:val="20"/>
          <w:szCs w:val="20"/>
        </w:rPr>
      </w:pPr>
      <w:r w:rsidRPr="48425B6A">
        <w:rPr>
          <w:rFonts w:ascii="Arial" w:eastAsia="Arial" w:hAnsi="Arial" w:cs="Arial"/>
          <w:sz w:val="20"/>
          <w:szCs w:val="20"/>
        </w:rPr>
        <w:t xml:space="preserve">Salvatore, D. (2011). The Future Tri-polar International Monetary System. </w:t>
      </w:r>
      <w:r w:rsidRPr="48425B6A">
        <w:rPr>
          <w:rFonts w:ascii="Arial" w:eastAsia="Arial" w:hAnsi="Arial" w:cs="Arial"/>
          <w:i/>
          <w:iCs/>
          <w:sz w:val="20"/>
          <w:szCs w:val="20"/>
        </w:rPr>
        <w:t xml:space="preserve">Journal of Policy Modelling, Elsevier, </w:t>
      </w:r>
      <w:r w:rsidRPr="48425B6A">
        <w:rPr>
          <w:rFonts w:ascii="Arial" w:eastAsia="Arial" w:hAnsi="Arial" w:cs="Arial"/>
          <w:sz w:val="20"/>
          <w:szCs w:val="20"/>
        </w:rPr>
        <w:t xml:space="preserve">Vol. 33(5), Pp: 776 – 785. </w:t>
      </w:r>
    </w:p>
    <w:p w14:paraId="77AEFAAD" w14:textId="77777777" w:rsidR="00251801" w:rsidRPr="0037776D" w:rsidRDefault="00251801" w:rsidP="0066301C">
      <w:pPr>
        <w:spacing w:line="240" w:lineRule="auto"/>
        <w:jc w:val="both"/>
        <w:rPr>
          <w:i/>
          <w:iCs/>
          <w:sz w:val="20"/>
          <w:szCs w:val="20"/>
        </w:rPr>
      </w:pPr>
      <w:r w:rsidRPr="0037776D">
        <w:rPr>
          <w:rFonts w:ascii="Arial" w:hAnsi="Arial" w:cs="Arial"/>
          <w:sz w:val="20"/>
          <w:szCs w:val="20"/>
        </w:rPr>
        <w:lastRenderedPageBreak/>
        <w:t xml:space="preserve">Samuel, E.K. (2019). Do Exchange Rates Matter for Ethiopia’s Export? </w:t>
      </w:r>
      <w:r w:rsidRPr="0037776D">
        <w:rPr>
          <w:rFonts w:ascii="Arial" w:hAnsi="Arial" w:cs="Arial"/>
          <w:i/>
          <w:iCs/>
          <w:sz w:val="20"/>
          <w:szCs w:val="20"/>
        </w:rPr>
        <w:t>Wageningen University and Research Agriculture Economics and Policy Group.</w:t>
      </w:r>
    </w:p>
    <w:p w14:paraId="57D06D2A" w14:textId="3D80420F" w:rsidR="21C3821A" w:rsidRDefault="21C3821A" w:rsidP="0066301C">
      <w:pPr>
        <w:spacing w:after="200"/>
        <w:jc w:val="both"/>
        <w:rPr>
          <w:rFonts w:ascii="Arial" w:eastAsia="Arial" w:hAnsi="Arial" w:cs="Arial"/>
          <w:sz w:val="20"/>
          <w:szCs w:val="20"/>
          <w:lang w:val="en-US"/>
        </w:rPr>
      </w:pPr>
      <w:r w:rsidRPr="48425B6A">
        <w:rPr>
          <w:rFonts w:ascii="Arial" w:eastAsia="Arial" w:hAnsi="Arial" w:cs="Arial"/>
          <w:sz w:val="20"/>
          <w:szCs w:val="20"/>
          <w:lang w:val="en-US"/>
        </w:rPr>
        <w:t xml:space="preserve">Sarno, L. and Taylor, M. (2002). Purchasing Power Parity and the Real Exchange Rate. </w:t>
      </w:r>
      <w:r w:rsidRPr="48425B6A">
        <w:rPr>
          <w:rFonts w:ascii="Arial" w:eastAsia="Arial" w:hAnsi="Arial" w:cs="Arial"/>
          <w:i/>
          <w:iCs/>
          <w:sz w:val="20"/>
          <w:szCs w:val="20"/>
          <w:lang w:val="en-US"/>
        </w:rPr>
        <w:t xml:space="preserve">International Monetary Fund. </w:t>
      </w:r>
      <w:r w:rsidRPr="48425B6A">
        <w:rPr>
          <w:rFonts w:ascii="Arial" w:eastAsia="Arial" w:hAnsi="Arial" w:cs="Arial"/>
          <w:sz w:val="20"/>
          <w:szCs w:val="20"/>
          <w:lang w:val="en-US"/>
        </w:rPr>
        <w:t xml:space="preserve">Vol.49 (1), Pp: 65 – 105. </w:t>
      </w:r>
    </w:p>
    <w:p w14:paraId="1A35ADE4" w14:textId="115E4EA5" w:rsidR="21C3821A" w:rsidRDefault="21C3821A" w:rsidP="0066301C">
      <w:pPr>
        <w:spacing w:after="200"/>
        <w:jc w:val="both"/>
        <w:rPr>
          <w:rFonts w:ascii="Arial" w:eastAsia="Arial" w:hAnsi="Arial" w:cs="Arial"/>
          <w:sz w:val="20"/>
          <w:szCs w:val="20"/>
        </w:rPr>
      </w:pPr>
      <w:r w:rsidRPr="48425B6A">
        <w:rPr>
          <w:rFonts w:ascii="Arial" w:eastAsia="Arial" w:hAnsi="Arial" w:cs="Arial"/>
          <w:sz w:val="20"/>
          <w:szCs w:val="20"/>
        </w:rPr>
        <w:t xml:space="preserve">Schröder, M. (2013). Should Developing Countries Undervalue Their Currencies. </w:t>
      </w:r>
      <w:r w:rsidRPr="48425B6A">
        <w:rPr>
          <w:rFonts w:ascii="Arial" w:eastAsia="Arial" w:hAnsi="Arial" w:cs="Arial"/>
          <w:i/>
          <w:iCs/>
          <w:sz w:val="20"/>
          <w:szCs w:val="20"/>
        </w:rPr>
        <w:t>Journal of Development Economics</w:t>
      </w:r>
      <w:r w:rsidRPr="48425B6A">
        <w:rPr>
          <w:rFonts w:ascii="Arial" w:eastAsia="Arial" w:hAnsi="Arial" w:cs="Arial"/>
          <w:sz w:val="20"/>
          <w:szCs w:val="20"/>
        </w:rPr>
        <w:t>. Vol. 105, Pp. 140-151.</w:t>
      </w:r>
    </w:p>
    <w:p w14:paraId="3E750D74" w14:textId="650E7FE3" w:rsidR="21C3821A" w:rsidRDefault="21C3821A" w:rsidP="0066301C">
      <w:pPr>
        <w:spacing w:after="200"/>
        <w:jc w:val="both"/>
        <w:rPr>
          <w:rFonts w:ascii="Arial" w:eastAsia="Arial" w:hAnsi="Arial" w:cs="Arial"/>
          <w:sz w:val="20"/>
          <w:szCs w:val="20"/>
        </w:rPr>
      </w:pPr>
      <w:r w:rsidRPr="48425B6A">
        <w:rPr>
          <w:rFonts w:ascii="Arial" w:eastAsia="Arial" w:hAnsi="Arial" w:cs="Arial"/>
          <w:sz w:val="20"/>
          <w:szCs w:val="20"/>
        </w:rPr>
        <w:t xml:space="preserve">Scott, D., and Usher, R. (2010). </w:t>
      </w:r>
      <w:r w:rsidRPr="48425B6A">
        <w:rPr>
          <w:rFonts w:ascii="Arial" w:eastAsia="Arial" w:hAnsi="Arial" w:cs="Arial"/>
          <w:i/>
          <w:iCs/>
          <w:sz w:val="20"/>
          <w:szCs w:val="20"/>
        </w:rPr>
        <w:t xml:space="preserve">Researching Education </w:t>
      </w:r>
      <w:r w:rsidRPr="48425B6A">
        <w:rPr>
          <w:rFonts w:ascii="Arial" w:eastAsia="Arial" w:hAnsi="Arial" w:cs="Arial"/>
          <w:sz w:val="20"/>
          <w:szCs w:val="20"/>
        </w:rPr>
        <w:t>(2</w:t>
      </w:r>
      <w:r w:rsidRPr="48425B6A">
        <w:rPr>
          <w:rFonts w:ascii="Arial" w:eastAsia="Arial" w:hAnsi="Arial" w:cs="Arial"/>
          <w:sz w:val="20"/>
          <w:szCs w:val="20"/>
          <w:vertAlign w:val="superscript"/>
        </w:rPr>
        <w:t>nd</w:t>
      </w:r>
      <w:r w:rsidRPr="48425B6A">
        <w:rPr>
          <w:rFonts w:ascii="Arial" w:eastAsia="Arial" w:hAnsi="Arial" w:cs="Arial"/>
          <w:sz w:val="20"/>
          <w:szCs w:val="20"/>
        </w:rPr>
        <w:t xml:space="preserve"> ed.). London, England: Continuum.</w:t>
      </w:r>
    </w:p>
    <w:p w14:paraId="0F9111A6" w14:textId="0086B155" w:rsidR="21C3821A" w:rsidRDefault="21C3821A" w:rsidP="0066301C">
      <w:pPr>
        <w:spacing w:after="200"/>
        <w:jc w:val="both"/>
        <w:rPr>
          <w:rFonts w:ascii="Arial" w:eastAsia="Arial" w:hAnsi="Arial" w:cs="Arial"/>
          <w:sz w:val="20"/>
          <w:szCs w:val="20"/>
        </w:rPr>
      </w:pPr>
      <w:r w:rsidRPr="48425B6A">
        <w:rPr>
          <w:rFonts w:ascii="Arial" w:eastAsia="Arial" w:hAnsi="Arial" w:cs="Arial"/>
          <w:sz w:val="20"/>
          <w:szCs w:val="20"/>
        </w:rPr>
        <w:t xml:space="preserve">Shabaz, M., Abdul, J., and Faradul, I. (2012). Real Exchange Rate and the Trade Balance: The Evidencr from Pakistan. </w:t>
      </w:r>
      <w:r w:rsidRPr="48425B6A">
        <w:rPr>
          <w:rFonts w:ascii="Arial" w:eastAsia="Arial" w:hAnsi="Arial" w:cs="Arial"/>
          <w:i/>
          <w:iCs/>
          <w:sz w:val="20"/>
          <w:szCs w:val="20"/>
        </w:rPr>
        <w:t xml:space="preserve">The International Trade Journal, </w:t>
      </w:r>
      <w:r w:rsidR="0067167D">
        <w:rPr>
          <w:rFonts w:ascii="Arial" w:eastAsia="Arial" w:hAnsi="Arial" w:cs="Arial"/>
          <w:sz w:val="20"/>
          <w:szCs w:val="20"/>
        </w:rPr>
        <w:t>V</w:t>
      </w:r>
      <w:r w:rsidRPr="48425B6A">
        <w:rPr>
          <w:rFonts w:ascii="Arial" w:eastAsia="Arial" w:hAnsi="Arial" w:cs="Arial"/>
          <w:sz w:val="20"/>
          <w:szCs w:val="20"/>
        </w:rPr>
        <w:t>ol. 26(2), Pp: 139-153. Doi: 10.1080/08853908.2012.657588.</w:t>
      </w:r>
    </w:p>
    <w:p w14:paraId="22FC65F9" w14:textId="5A271756" w:rsidR="21C3821A" w:rsidRDefault="21C3821A" w:rsidP="0066301C">
      <w:pPr>
        <w:jc w:val="both"/>
        <w:rPr>
          <w:rFonts w:ascii="Arial" w:eastAsia="Arial" w:hAnsi="Arial" w:cs="Arial"/>
          <w:i/>
          <w:iCs/>
          <w:color w:val="000000" w:themeColor="text1"/>
          <w:sz w:val="20"/>
          <w:szCs w:val="20"/>
        </w:rPr>
      </w:pPr>
      <w:r w:rsidRPr="48425B6A">
        <w:rPr>
          <w:rFonts w:ascii="Arial" w:eastAsia="Arial" w:hAnsi="Arial" w:cs="Arial"/>
          <w:color w:val="000000" w:themeColor="text1"/>
          <w:sz w:val="20"/>
          <w:szCs w:val="20"/>
        </w:rPr>
        <w:t xml:space="preserve">Sharifi-Renani, H. and Mirfatah, M. (2012). The Impact of Exchange Rate Volatility on Foreign Direct Investment in Iran. </w:t>
      </w:r>
      <w:r w:rsidRPr="48425B6A">
        <w:rPr>
          <w:rFonts w:ascii="Arial" w:eastAsia="Arial" w:hAnsi="Arial" w:cs="Arial"/>
          <w:i/>
          <w:iCs/>
          <w:color w:val="000000" w:themeColor="text1"/>
          <w:sz w:val="20"/>
          <w:szCs w:val="20"/>
        </w:rPr>
        <w:t>Procedia Economics and Finance,</w:t>
      </w:r>
      <w:r w:rsidRPr="48425B6A">
        <w:rPr>
          <w:rFonts w:ascii="Arial" w:eastAsia="Arial" w:hAnsi="Arial" w:cs="Arial"/>
          <w:color w:val="000000" w:themeColor="text1"/>
          <w:sz w:val="20"/>
          <w:szCs w:val="20"/>
        </w:rPr>
        <w:t xml:space="preserve"> Vol. 1, Pp: 365 – 373.</w:t>
      </w:r>
      <w:r w:rsidRPr="48425B6A">
        <w:rPr>
          <w:rFonts w:ascii="Arial" w:eastAsia="Arial" w:hAnsi="Arial" w:cs="Arial"/>
          <w:i/>
          <w:iCs/>
          <w:color w:val="000000" w:themeColor="text1"/>
          <w:sz w:val="20"/>
          <w:szCs w:val="20"/>
        </w:rPr>
        <w:t xml:space="preserve"> </w:t>
      </w:r>
    </w:p>
    <w:p w14:paraId="5B425E47" w14:textId="241E1575" w:rsidR="21C3821A" w:rsidRDefault="21C3821A" w:rsidP="0066301C">
      <w:pPr>
        <w:jc w:val="both"/>
        <w:rPr>
          <w:rFonts w:ascii="Arial" w:eastAsia="Arial" w:hAnsi="Arial" w:cs="Arial"/>
          <w:color w:val="000000" w:themeColor="text1"/>
          <w:sz w:val="20"/>
          <w:szCs w:val="20"/>
        </w:rPr>
      </w:pPr>
      <w:r w:rsidRPr="48425B6A">
        <w:rPr>
          <w:rFonts w:ascii="Arial" w:eastAsia="Arial" w:hAnsi="Arial" w:cs="Arial"/>
          <w:color w:val="000000" w:themeColor="text1"/>
          <w:sz w:val="20"/>
          <w:szCs w:val="20"/>
        </w:rPr>
        <w:t xml:space="preserve">Shirvani, H., and Wilbratte, B. (1997). The Relationship between the Real Exchange Rate and the Trade Balance: An Empirical Reassessment. </w:t>
      </w:r>
      <w:r w:rsidRPr="48425B6A">
        <w:rPr>
          <w:rFonts w:ascii="Arial" w:eastAsia="Arial" w:hAnsi="Arial" w:cs="Arial"/>
          <w:i/>
          <w:iCs/>
          <w:color w:val="000000" w:themeColor="text1"/>
          <w:sz w:val="20"/>
          <w:szCs w:val="20"/>
        </w:rPr>
        <w:t xml:space="preserve">International Economic Journal, </w:t>
      </w:r>
      <w:r w:rsidR="0067167D">
        <w:rPr>
          <w:rFonts w:ascii="Arial" w:eastAsia="Arial" w:hAnsi="Arial" w:cs="Arial"/>
          <w:color w:val="000000" w:themeColor="text1"/>
          <w:sz w:val="20"/>
          <w:szCs w:val="20"/>
        </w:rPr>
        <w:t>V</w:t>
      </w:r>
      <w:r w:rsidRPr="48425B6A">
        <w:rPr>
          <w:rFonts w:ascii="Arial" w:eastAsia="Arial" w:hAnsi="Arial" w:cs="Arial"/>
          <w:color w:val="000000" w:themeColor="text1"/>
          <w:sz w:val="20"/>
          <w:szCs w:val="20"/>
        </w:rPr>
        <w:t>ol 11(1), Pp: 39-50.</w:t>
      </w:r>
    </w:p>
    <w:p w14:paraId="25687FAE" w14:textId="03CF7557" w:rsidR="21C3821A" w:rsidRDefault="21C3821A" w:rsidP="0066301C">
      <w:pPr>
        <w:jc w:val="both"/>
        <w:rPr>
          <w:rFonts w:ascii="Arial" w:eastAsia="Arial" w:hAnsi="Arial" w:cs="Arial"/>
          <w:color w:val="000000" w:themeColor="text1"/>
          <w:sz w:val="20"/>
          <w:szCs w:val="20"/>
        </w:rPr>
      </w:pPr>
      <w:r w:rsidRPr="48425B6A">
        <w:rPr>
          <w:rFonts w:ascii="Arial" w:eastAsia="Arial" w:hAnsi="Arial" w:cs="Arial"/>
          <w:color w:val="000000" w:themeColor="text1"/>
          <w:sz w:val="20"/>
          <w:szCs w:val="20"/>
        </w:rPr>
        <w:t>Silajdzic S and Mehic E (2018) Trade Openness and Economic Growth: Empirical Evidence from Transition Economies. Trade and Global Market. InTech. DOI: 10.5772/intechopen.75812.</w:t>
      </w:r>
    </w:p>
    <w:p w14:paraId="6706BE28" w14:textId="5365A6F0" w:rsidR="21C3821A" w:rsidRDefault="21C3821A" w:rsidP="0066301C">
      <w:pPr>
        <w:spacing w:after="0"/>
        <w:jc w:val="both"/>
        <w:rPr>
          <w:rFonts w:ascii="Arial" w:eastAsia="Arial" w:hAnsi="Arial" w:cs="Arial"/>
          <w:sz w:val="20"/>
          <w:szCs w:val="20"/>
          <w:lang w:val="en-US"/>
        </w:rPr>
      </w:pPr>
      <w:r w:rsidRPr="48425B6A">
        <w:rPr>
          <w:rFonts w:ascii="Arial" w:eastAsia="Arial" w:hAnsi="Arial" w:cs="Arial"/>
          <w:sz w:val="20"/>
          <w:szCs w:val="20"/>
          <w:lang w:val="en-US"/>
        </w:rPr>
        <w:t xml:space="preserve">Šimakova, J. (2013) Estimation of the J-curve effect in the bilateral trade of Hungary. </w:t>
      </w:r>
      <w:r w:rsidRPr="48425B6A">
        <w:rPr>
          <w:rFonts w:ascii="Arial" w:eastAsia="Arial" w:hAnsi="Arial" w:cs="Arial"/>
          <w:i/>
          <w:iCs/>
          <w:sz w:val="20"/>
          <w:szCs w:val="20"/>
          <w:lang w:val="en-US"/>
        </w:rPr>
        <w:t>Ekonomická revue - Central European Review of Economic</w:t>
      </w:r>
      <w:r w:rsidRPr="48425B6A">
        <w:rPr>
          <w:rFonts w:ascii="Arial" w:eastAsia="Arial" w:hAnsi="Arial" w:cs="Arial"/>
          <w:sz w:val="20"/>
          <w:szCs w:val="20"/>
          <w:lang w:val="en-US"/>
        </w:rPr>
        <w:t xml:space="preserve">, No. 16, Pp: 183– 191.  </w:t>
      </w:r>
    </w:p>
    <w:p w14:paraId="62FC0F8E" w14:textId="1F69BF4A" w:rsidR="21C3821A" w:rsidRDefault="21C3821A" w:rsidP="0066301C">
      <w:pPr>
        <w:spacing w:after="200"/>
        <w:jc w:val="both"/>
        <w:rPr>
          <w:rFonts w:ascii="Arial" w:eastAsia="Arial" w:hAnsi="Arial" w:cs="Arial"/>
          <w:sz w:val="20"/>
          <w:szCs w:val="20"/>
          <w:lang w:val="en-US"/>
        </w:rPr>
      </w:pPr>
      <w:r w:rsidRPr="48425B6A">
        <w:rPr>
          <w:rFonts w:ascii="Arial" w:eastAsia="Arial" w:hAnsi="Arial" w:cs="Arial"/>
          <w:sz w:val="20"/>
          <w:szCs w:val="20"/>
          <w:lang w:val="en-US"/>
        </w:rPr>
        <w:t xml:space="preserve">Šimakova, J. &amp; Stavarek, D. (2015) The Effect of the Exchange Rate on Industry Level Trade Flows in Czechia. </w:t>
      </w:r>
      <w:r w:rsidRPr="48425B6A">
        <w:rPr>
          <w:rFonts w:ascii="Arial" w:eastAsia="Arial" w:hAnsi="Arial" w:cs="Arial"/>
          <w:i/>
          <w:iCs/>
          <w:sz w:val="20"/>
          <w:szCs w:val="20"/>
          <w:lang w:val="en-US"/>
        </w:rPr>
        <w:t>E+M Ekonomie a Management</w:t>
      </w:r>
      <w:r w:rsidRPr="48425B6A">
        <w:rPr>
          <w:rFonts w:ascii="Arial" w:eastAsia="Arial" w:hAnsi="Arial" w:cs="Arial"/>
          <w:sz w:val="20"/>
          <w:szCs w:val="20"/>
          <w:lang w:val="en-US"/>
        </w:rPr>
        <w:t xml:space="preserve">, </w:t>
      </w:r>
      <w:r w:rsidR="0067167D">
        <w:rPr>
          <w:rFonts w:ascii="Arial" w:eastAsia="Arial" w:hAnsi="Arial" w:cs="Arial"/>
          <w:sz w:val="20"/>
          <w:szCs w:val="20"/>
          <w:lang w:val="en-US"/>
        </w:rPr>
        <w:t>V</w:t>
      </w:r>
      <w:r w:rsidRPr="48425B6A">
        <w:rPr>
          <w:rFonts w:ascii="Arial" w:eastAsia="Arial" w:hAnsi="Arial" w:cs="Arial"/>
          <w:sz w:val="20"/>
          <w:szCs w:val="20"/>
          <w:lang w:val="en-US"/>
        </w:rPr>
        <w:t>ol. 8(4), Pp: 150-165. DOI.org/10.15240/tul/001/2015-4-011</w:t>
      </w:r>
    </w:p>
    <w:p w14:paraId="380FD01E" w14:textId="306DDF92" w:rsidR="21C3821A" w:rsidRDefault="21C3821A" w:rsidP="0066301C">
      <w:pPr>
        <w:spacing w:after="200"/>
        <w:jc w:val="both"/>
        <w:rPr>
          <w:rFonts w:ascii="Arial" w:eastAsia="Arial" w:hAnsi="Arial" w:cs="Arial"/>
          <w:sz w:val="20"/>
          <w:szCs w:val="20"/>
          <w:lang w:val="en-US"/>
        </w:rPr>
      </w:pPr>
      <w:r w:rsidRPr="48425B6A">
        <w:rPr>
          <w:rFonts w:ascii="Arial" w:eastAsia="Arial" w:hAnsi="Arial" w:cs="Arial"/>
          <w:sz w:val="20"/>
          <w:szCs w:val="20"/>
          <w:lang w:val="en-US"/>
        </w:rPr>
        <w:t xml:space="preserve">Šimakova, J. (2014). The Effects of Exchange Rate Change on the Trade Balance of Slovakia. </w:t>
      </w:r>
      <w:r w:rsidRPr="48425B6A">
        <w:rPr>
          <w:rFonts w:ascii="Arial" w:eastAsia="Arial" w:hAnsi="Arial" w:cs="Arial"/>
          <w:i/>
          <w:iCs/>
          <w:sz w:val="20"/>
          <w:szCs w:val="20"/>
          <w:lang w:val="en-US"/>
        </w:rPr>
        <w:t>European Financial and Accounting Journal</w:t>
      </w:r>
      <w:r w:rsidRPr="48425B6A">
        <w:rPr>
          <w:rFonts w:ascii="Arial" w:eastAsia="Arial" w:hAnsi="Arial" w:cs="Arial"/>
          <w:sz w:val="20"/>
          <w:szCs w:val="20"/>
          <w:lang w:val="en-US"/>
        </w:rPr>
        <w:t xml:space="preserve">, </w:t>
      </w:r>
      <w:r w:rsidR="0067167D">
        <w:rPr>
          <w:rFonts w:ascii="Arial" w:eastAsia="Arial" w:hAnsi="Arial" w:cs="Arial"/>
          <w:sz w:val="20"/>
          <w:szCs w:val="20"/>
          <w:lang w:val="en-US"/>
        </w:rPr>
        <w:t>V</w:t>
      </w:r>
      <w:r w:rsidRPr="48425B6A">
        <w:rPr>
          <w:rFonts w:ascii="Arial" w:eastAsia="Arial" w:hAnsi="Arial" w:cs="Arial"/>
          <w:sz w:val="20"/>
          <w:szCs w:val="20"/>
          <w:lang w:val="en-US"/>
        </w:rPr>
        <w:t xml:space="preserve">ol. 9(3), Pp: 50-56.  </w:t>
      </w:r>
    </w:p>
    <w:p w14:paraId="0046E0AB" w14:textId="33E97DFC" w:rsidR="21C3821A" w:rsidRDefault="21C3821A" w:rsidP="0066301C">
      <w:pPr>
        <w:spacing w:after="200"/>
        <w:jc w:val="both"/>
        <w:rPr>
          <w:rFonts w:ascii="Arial" w:eastAsia="Arial" w:hAnsi="Arial" w:cs="Arial"/>
          <w:sz w:val="20"/>
          <w:szCs w:val="20"/>
          <w:lang w:val="en-US"/>
        </w:rPr>
      </w:pPr>
      <w:r w:rsidRPr="48425B6A">
        <w:rPr>
          <w:rFonts w:ascii="Arial" w:eastAsia="Arial" w:hAnsi="Arial" w:cs="Arial"/>
          <w:sz w:val="20"/>
          <w:szCs w:val="20"/>
          <w:lang w:val="en-US"/>
        </w:rPr>
        <w:t xml:space="preserve">Siregar, R. (2011). ‘The Concepts of Equilibrium Exchange Rate: A Survey of Literature’. </w:t>
      </w:r>
      <w:r w:rsidRPr="48425B6A">
        <w:rPr>
          <w:rFonts w:ascii="Arial" w:eastAsia="Arial" w:hAnsi="Arial" w:cs="Arial"/>
          <w:i/>
          <w:iCs/>
          <w:sz w:val="20"/>
          <w:szCs w:val="20"/>
          <w:lang w:val="en-US"/>
        </w:rPr>
        <w:t xml:space="preserve">The South East Asian Central Banks </w:t>
      </w:r>
      <w:r w:rsidRPr="48425B6A">
        <w:rPr>
          <w:rFonts w:ascii="Arial" w:eastAsia="Arial" w:hAnsi="Arial" w:cs="Arial"/>
          <w:sz w:val="20"/>
          <w:szCs w:val="20"/>
          <w:lang w:val="en-US"/>
        </w:rPr>
        <w:t>(</w:t>
      </w:r>
      <w:r w:rsidRPr="48425B6A">
        <w:rPr>
          <w:rFonts w:ascii="Arial" w:eastAsia="Arial" w:hAnsi="Arial" w:cs="Arial"/>
          <w:i/>
          <w:iCs/>
          <w:sz w:val="20"/>
          <w:szCs w:val="20"/>
          <w:lang w:val="en-US"/>
        </w:rPr>
        <w:t>SEACEN</w:t>
      </w:r>
      <w:r w:rsidRPr="48425B6A">
        <w:rPr>
          <w:rFonts w:ascii="Arial" w:eastAsia="Arial" w:hAnsi="Arial" w:cs="Arial"/>
          <w:sz w:val="20"/>
          <w:szCs w:val="20"/>
          <w:lang w:val="en-US"/>
        </w:rPr>
        <w:t>), Kuala Lumpur, Malaysia. Staff Paper No.81.</w:t>
      </w:r>
    </w:p>
    <w:p w14:paraId="6199269F" w14:textId="22034060" w:rsidR="21C3821A" w:rsidRDefault="21C3821A" w:rsidP="0066301C">
      <w:pPr>
        <w:spacing w:after="200"/>
        <w:jc w:val="both"/>
        <w:rPr>
          <w:rFonts w:ascii="Arial" w:eastAsia="Arial" w:hAnsi="Arial" w:cs="Arial"/>
          <w:sz w:val="20"/>
          <w:szCs w:val="20"/>
          <w:lang w:val="en-US"/>
        </w:rPr>
      </w:pPr>
      <w:r w:rsidRPr="48425B6A">
        <w:rPr>
          <w:rFonts w:ascii="Arial" w:eastAsia="Arial" w:hAnsi="Arial" w:cs="Arial"/>
          <w:sz w:val="20"/>
          <w:szCs w:val="20"/>
          <w:lang w:val="en-US"/>
        </w:rPr>
        <w:t>Skott, P., Raperri, M., and Razmi, A. (2012). Real Exchange Rates and the Long-run Effects of Aggregate Demand in Economies with Underemployment.</w:t>
      </w:r>
      <w:r w:rsidRPr="48425B6A">
        <w:rPr>
          <w:rFonts w:ascii="Arial" w:eastAsia="Arial" w:hAnsi="Arial" w:cs="Arial"/>
          <w:i/>
          <w:iCs/>
          <w:sz w:val="20"/>
          <w:szCs w:val="20"/>
          <w:lang w:val="en-US"/>
        </w:rPr>
        <w:t xml:space="preserve"> Economics Department Working Paper Series, </w:t>
      </w:r>
      <w:r w:rsidRPr="48425B6A">
        <w:rPr>
          <w:rFonts w:ascii="Arial" w:eastAsia="Arial" w:hAnsi="Arial" w:cs="Arial"/>
          <w:sz w:val="20"/>
          <w:szCs w:val="20"/>
          <w:lang w:val="en-US"/>
        </w:rPr>
        <w:t xml:space="preserve">Amherst, University of Massachusetts, n. 146. </w:t>
      </w:r>
    </w:p>
    <w:p w14:paraId="14D33A00" w14:textId="35F76C8B" w:rsidR="21C3821A" w:rsidRDefault="21C3821A" w:rsidP="0066301C">
      <w:pPr>
        <w:spacing w:after="200"/>
        <w:jc w:val="both"/>
        <w:rPr>
          <w:rFonts w:ascii="Arial" w:eastAsia="Arial" w:hAnsi="Arial" w:cs="Arial"/>
          <w:sz w:val="20"/>
          <w:szCs w:val="20"/>
        </w:rPr>
      </w:pPr>
      <w:r w:rsidRPr="48425B6A">
        <w:rPr>
          <w:rFonts w:ascii="Arial" w:eastAsia="Arial" w:hAnsi="Arial" w:cs="Arial"/>
          <w:sz w:val="20"/>
          <w:szCs w:val="20"/>
        </w:rPr>
        <w:t xml:space="preserve">Smith, J. K., and Heshusius, L. (1988). "Closing Down the Conversation: The End of the Quantitative-Qualitative Debate Among Educational Inquirers," </w:t>
      </w:r>
      <w:r w:rsidRPr="48425B6A">
        <w:rPr>
          <w:rFonts w:ascii="Arial" w:eastAsia="Arial" w:hAnsi="Arial" w:cs="Arial"/>
          <w:i/>
          <w:iCs/>
          <w:sz w:val="20"/>
          <w:szCs w:val="20"/>
        </w:rPr>
        <w:t>Educational Researcher</w:t>
      </w:r>
      <w:r w:rsidRPr="48425B6A">
        <w:rPr>
          <w:rFonts w:ascii="Arial" w:eastAsia="Arial" w:hAnsi="Arial" w:cs="Arial"/>
          <w:sz w:val="20"/>
          <w:szCs w:val="20"/>
        </w:rPr>
        <w:t>, Pp: 4-12.</w:t>
      </w:r>
    </w:p>
    <w:p w14:paraId="5822A5A5" w14:textId="2FA5D3FC" w:rsidR="21C3821A" w:rsidRDefault="21C3821A" w:rsidP="0066301C">
      <w:pPr>
        <w:spacing w:after="200"/>
        <w:jc w:val="both"/>
        <w:rPr>
          <w:rFonts w:ascii="Arial" w:eastAsia="Arial" w:hAnsi="Arial" w:cs="Arial"/>
          <w:sz w:val="20"/>
          <w:szCs w:val="20"/>
          <w:lang w:val="en-US"/>
        </w:rPr>
      </w:pPr>
      <w:r w:rsidRPr="48425B6A">
        <w:rPr>
          <w:rFonts w:ascii="Arial" w:eastAsia="Arial" w:hAnsi="Arial" w:cs="Arial"/>
          <w:sz w:val="20"/>
          <w:szCs w:val="20"/>
          <w:lang w:val="en-US"/>
        </w:rPr>
        <w:t xml:space="preserve">Smith, P.N., and Wickens, M.R. (1986). An Empirical investigation into the Causes of Failure of the Monetary Model of the Exchange Rate. </w:t>
      </w:r>
      <w:r w:rsidRPr="48425B6A">
        <w:rPr>
          <w:rFonts w:ascii="Arial" w:eastAsia="Arial" w:hAnsi="Arial" w:cs="Arial"/>
          <w:i/>
          <w:iCs/>
          <w:sz w:val="20"/>
          <w:szCs w:val="20"/>
          <w:lang w:val="en-US"/>
        </w:rPr>
        <w:t xml:space="preserve">Journal of Applied Econometrics, </w:t>
      </w:r>
      <w:r w:rsidRPr="48425B6A">
        <w:rPr>
          <w:rFonts w:ascii="Arial" w:eastAsia="Arial" w:hAnsi="Arial" w:cs="Arial"/>
          <w:sz w:val="20"/>
          <w:szCs w:val="20"/>
          <w:lang w:val="en-US"/>
        </w:rPr>
        <w:t xml:space="preserve">Vol. 1(2), Pp: 143-162. </w:t>
      </w:r>
    </w:p>
    <w:p w14:paraId="162AD1CF" w14:textId="7CBDB8C2" w:rsidR="21C3821A" w:rsidRDefault="21C3821A" w:rsidP="0066301C">
      <w:pPr>
        <w:spacing w:after="200"/>
        <w:jc w:val="both"/>
        <w:rPr>
          <w:rFonts w:ascii="Arial" w:eastAsia="Arial" w:hAnsi="Arial" w:cs="Arial"/>
          <w:sz w:val="20"/>
          <w:szCs w:val="20"/>
          <w:lang w:val="en-US"/>
        </w:rPr>
      </w:pPr>
      <w:r w:rsidRPr="48425B6A">
        <w:rPr>
          <w:rFonts w:ascii="Arial" w:eastAsia="Arial" w:hAnsi="Arial" w:cs="Arial"/>
          <w:sz w:val="20"/>
          <w:szCs w:val="20"/>
          <w:lang w:val="en-US"/>
        </w:rPr>
        <w:t xml:space="preserve">Sokolov, V., Lee, B. J., Mark, N.C. (2011). Linkages Between Exchange Rate Policy and Macroeconomic Performance. </w:t>
      </w:r>
      <w:r w:rsidRPr="48425B6A">
        <w:rPr>
          <w:rFonts w:ascii="Arial" w:eastAsia="Arial" w:hAnsi="Arial" w:cs="Arial"/>
          <w:i/>
          <w:iCs/>
          <w:sz w:val="20"/>
          <w:szCs w:val="20"/>
          <w:lang w:val="en-US"/>
        </w:rPr>
        <w:t xml:space="preserve">Pacific Economic Review, </w:t>
      </w:r>
      <w:r w:rsidRPr="48425B6A">
        <w:rPr>
          <w:rFonts w:ascii="Arial" w:eastAsia="Arial" w:hAnsi="Arial" w:cs="Arial"/>
          <w:sz w:val="20"/>
          <w:szCs w:val="20"/>
          <w:lang w:val="en-US"/>
        </w:rPr>
        <w:t>No. 16, Pp: 395- 420.</w:t>
      </w:r>
    </w:p>
    <w:p w14:paraId="60DE6551" w14:textId="77777777" w:rsidR="00AB775B" w:rsidRPr="00F27A02" w:rsidRDefault="00AB775B" w:rsidP="0066301C">
      <w:pPr>
        <w:spacing w:line="240" w:lineRule="auto"/>
        <w:jc w:val="both"/>
        <w:rPr>
          <w:rFonts w:ascii="Arial" w:hAnsi="Arial" w:cs="Arial"/>
          <w:sz w:val="20"/>
          <w:szCs w:val="20"/>
        </w:rPr>
      </w:pPr>
      <w:r w:rsidRPr="00F27A02">
        <w:rPr>
          <w:rFonts w:ascii="Arial" w:hAnsi="Arial" w:cs="Arial"/>
          <w:sz w:val="20"/>
          <w:szCs w:val="20"/>
        </w:rPr>
        <w:t xml:space="preserve">Solow, R. (1957). Technical Change and the Aggregate Production Function. </w:t>
      </w:r>
      <w:r w:rsidRPr="00F27A02">
        <w:rPr>
          <w:rFonts w:ascii="Arial" w:hAnsi="Arial" w:cs="Arial"/>
          <w:i/>
          <w:iCs/>
          <w:sz w:val="20"/>
          <w:szCs w:val="20"/>
        </w:rPr>
        <w:t>Review of Economics and Statistics</w:t>
      </w:r>
      <w:r w:rsidRPr="00F27A02">
        <w:rPr>
          <w:rFonts w:ascii="Arial" w:hAnsi="Arial" w:cs="Arial"/>
          <w:sz w:val="20"/>
          <w:szCs w:val="20"/>
        </w:rPr>
        <w:t>, Vol. 39, Pp:312-320.</w:t>
      </w:r>
    </w:p>
    <w:p w14:paraId="18950900" w14:textId="2886FDA6" w:rsidR="000D106B" w:rsidRPr="008C67FF" w:rsidRDefault="000D106B" w:rsidP="0066301C">
      <w:pPr>
        <w:spacing w:line="240" w:lineRule="auto"/>
        <w:jc w:val="both"/>
        <w:rPr>
          <w:rFonts w:ascii="Arial" w:hAnsi="Arial" w:cs="Arial"/>
          <w:sz w:val="20"/>
          <w:szCs w:val="20"/>
        </w:rPr>
      </w:pPr>
      <w:r w:rsidRPr="008C67FF">
        <w:rPr>
          <w:rFonts w:ascii="Arial" w:hAnsi="Arial" w:cs="Arial"/>
          <w:sz w:val="20"/>
          <w:szCs w:val="20"/>
        </w:rPr>
        <w:t>Stein, J. (1999)</w:t>
      </w:r>
      <w:r>
        <w:rPr>
          <w:rFonts w:ascii="Arial" w:hAnsi="Arial" w:cs="Arial"/>
          <w:sz w:val="20"/>
          <w:szCs w:val="20"/>
        </w:rPr>
        <w:t>.</w:t>
      </w:r>
      <w:r w:rsidRPr="008C67FF">
        <w:rPr>
          <w:rFonts w:ascii="Arial" w:hAnsi="Arial" w:cs="Arial"/>
          <w:sz w:val="20"/>
          <w:szCs w:val="20"/>
        </w:rPr>
        <w:t xml:space="preserve"> “The Evolution of the Real Value of the US Dollar Relative to the G7 Currencies”, Chapter 3, Equilibrium Exchange Rates, (eds) R. MacDonald and J. Stein. Amsterdam: Kluwer Press</w:t>
      </w:r>
      <w:r>
        <w:rPr>
          <w:rFonts w:ascii="Arial" w:hAnsi="Arial" w:cs="Arial"/>
          <w:sz w:val="20"/>
          <w:szCs w:val="20"/>
        </w:rPr>
        <w:t>.</w:t>
      </w:r>
    </w:p>
    <w:p w14:paraId="273CAEB1" w14:textId="120E2C47" w:rsidR="002D78DD" w:rsidRPr="003E563F" w:rsidRDefault="002D78DD" w:rsidP="002D78DD">
      <w:pPr>
        <w:jc w:val="both"/>
        <w:rPr>
          <w:rFonts w:ascii="Arial" w:hAnsi="Arial" w:cs="Arial"/>
          <w:i/>
          <w:iCs/>
          <w:sz w:val="20"/>
          <w:szCs w:val="20"/>
        </w:rPr>
      </w:pPr>
      <w:r w:rsidRPr="003E563F">
        <w:rPr>
          <w:rFonts w:ascii="Arial" w:hAnsi="Arial" w:cs="Arial"/>
          <w:sz w:val="20"/>
          <w:szCs w:val="20"/>
        </w:rPr>
        <w:t xml:space="preserve">Stein, J (1994). The natural real exchange rate of the US dollar and determinants of capital flows. In: Williamson J (ed) Estimating equilibrium exchange rates. Institute for International Economics, Washington DC, </w:t>
      </w:r>
      <w:r>
        <w:rPr>
          <w:rFonts w:ascii="Arial" w:hAnsi="Arial" w:cs="Arial"/>
          <w:sz w:val="20"/>
          <w:szCs w:val="20"/>
        </w:rPr>
        <w:t>P</w:t>
      </w:r>
      <w:r w:rsidRPr="003E563F">
        <w:rPr>
          <w:rFonts w:ascii="Arial" w:hAnsi="Arial" w:cs="Arial"/>
          <w:sz w:val="20"/>
          <w:szCs w:val="20"/>
        </w:rPr>
        <w:t>p</w:t>
      </w:r>
      <w:r>
        <w:rPr>
          <w:rFonts w:ascii="Arial" w:hAnsi="Arial" w:cs="Arial"/>
          <w:sz w:val="20"/>
          <w:szCs w:val="20"/>
        </w:rPr>
        <w:t>:</w:t>
      </w:r>
      <w:r w:rsidRPr="003E563F">
        <w:rPr>
          <w:rFonts w:ascii="Arial" w:hAnsi="Arial" w:cs="Arial"/>
          <w:sz w:val="20"/>
          <w:szCs w:val="20"/>
        </w:rPr>
        <w:t xml:space="preserve"> 133-176.</w:t>
      </w:r>
    </w:p>
    <w:p w14:paraId="5362A7B7" w14:textId="1543C8C1" w:rsidR="21C3821A" w:rsidRDefault="21C3821A" w:rsidP="0066301C">
      <w:pPr>
        <w:spacing w:after="200"/>
        <w:jc w:val="both"/>
        <w:rPr>
          <w:rFonts w:ascii="Arial" w:eastAsia="Arial" w:hAnsi="Arial" w:cs="Arial"/>
          <w:sz w:val="20"/>
          <w:szCs w:val="20"/>
          <w:lang w:val="en-US"/>
        </w:rPr>
      </w:pPr>
      <w:r w:rsidRPr="48425B6A">
        <w:rPr>
          <w:rFonts w:ascii="Arial" w:eastAsia="Arial" w:hAnsi="Arial" w:cs="Arial"/>
          <w:sz w:val="20"/>
          <w:szCs w:val="20"/>
          <w:lang w:val="en-US"/>
        </w:rPr>
        <w:t xml:space="preserve">Stein, J. L. (1995). The Natural Real Exchange Rate of the United States Dollar, and Determinants of Capital Flows, in S. J. L &amp; P. R. Allen, eds, ‘Fundamental Determinants of Exchange Rates’. </w:t>
      </w:r>
      <w:r w:rsidRPr="48425B6A">
        <w:rPr>
          <w:rFonts w:ascii="Arial" w:eastAsia="Arial" w:hAnsi="Arial" w:cs="Arial"/>
          <w:i/>
          <w:iCs/>
          <w:sz w:val="20"/>
          <w:szCs w:val="20"/>
          <w:lang w:val="en-US"/>
        </w:rPr>
        <w:t xml:space="preserve">Oxford University Press, Oxford, </w:t>
      </w:r>
      <w:r w:rsidRPr="48425B6A">
        <w:rPr>
          <w:rFonts w:ascii="Arial" w:eastAsia="Arial" w:hAnsi="Arial" w:cs="Arial"/>
          <w:sz w:val="20"/>
          <w:szCs w:val="20"/>
          <w:lang w:val="en-US"/>
        </w:rPr>
        <w:t>Pp: 38 – 84.</w:t>
      </w:r>
    </w:p>
    <w:p w14:paraId="43FAF7C0" w14:textId="1C9D9B6B" w:rsidR="21C3821A" w:rsidRDefault="21C3821A" w:rsidP="0066301C">
      <w:pPr>
        <w:spacing w:after="200"/>
        <w:jc w:val="both"/>
        <w:rPr>
          <w:rFonts w:ascii="Arial" w:eastAsia="Arial" w:hAnsi="Arial" w:cs="Arial"/>
          <w:i/>
          <w:iCs/>
          <w:sz w:val="20"/>
          <w:szCs w:val="20"/>
          <w:lang w:val="en-US"/>
        </w:rPr>
      </w:pPr>
      <w:r w:rsidRPr="48425B6A">
        <w:rPr>
          <w:rFonts w:ascii="Arial" w:eastAsia="Arial" w:hAnsi="Arial" w:cs="Arial"/>
          <w:sz w:val="20"/>
          <w:szCs w:val="20"/>
          <w:lang w:val="en-US"/>
        </w:rPr>
        <w:lastRenderedPageBreak/>
        <w:t xml:space="preserve">Stein, J.L. and Allen, P.R. (1995). Fundamental Determinant of Exchange Rate. </w:t>
      </w:r>
      <w:r w:rsidRPr="48425B6A">
        <w:rPr>
          <w:rFonts w:ascii="Arial" w:eastAsia="Arial" w:hAnsi="Arial" w:cs="Arial"/>
          <w:i/>
          <w:iCs/>
          <w:sz w:val="20"/>
          <w:szCs w:val="20"/>
          <w:lang w:val="en-US"/>
        </w:rPr>
        <w:t>Oxford University Press, Oxford, UK.</w:t>
      </w:r>
    </w:p>
    <w:p w14:paraId="5675FC6C" w14:textId="492954B5" w:rsidR="21C3821A" w:rsidRDefault="21C3821A" w:rsidP="0066301C">
      <w:pPr>
        <w:spacing w:after="200"/>
        <w:jc w:val="both"/>
        <w:rPr>
          <w:rFonts w:ascii="Arial" w:eastAsia="Arial" w:hAnsi="Arial" w:cs="Arial"/>
          <w:sz w:val="20"/>
          <w:szCs w:val="20"/>
          <w:lang w:val="en-US"/>
        </w:rPr>
      </w:pPr>
      <w:r w:rsidRPr="48425B6A">
        <w:rPr>
          <w:rFonts w:ascii="Arial" w:eastAsia="Arial" w:hAnsi="Arial" w:cs="Arial"/>
          <w:sz w:val="20"/>
          <w:szCs w:val="20"/>
          <w:lang w:val="en-US"/>
        </w:rPr>
        <w:t xml:space="preserve">Tambi, D., and Baye, M. (2012). The change in Inequlity in the Distribution of Living Standards. </w:t>
      </w:r>
      <w:r w:rsidRPr="48425B6A">
        <w:rPr>
          <w:rFonts w:ascii="Arial" w:eastAsia="Arial" w:hAnsi="Arial" w:cs="Arial"/>
          <w:i/>
          <w:iCs/>
          <w:sz w:val="20"/>
          <w:szCs w:val="20"/>
          <w:lang w:val="en-US"/>
        </w:rPr>
        <w:t xml:space="preserve">Euro Economica, </w:t>
      </w:r>
      <w:r w:rsidRPr="48425B6A">
        <w:rPr>
          <w:rFonts w:ascii="Arial" w:eastAsia="Arial" w:hAnsi="Arial" w:cs="Arial"/>
          <w:sz w:val="20"/>
          <w:szCs w:val="20"/>
          <w:lang w:val="en-US"/>
        </w:rPr>
        <w:t>Vol. 31(3), Pp: 23-31.</w:t>
      </w:r>
    </w:p>
    <w:p w14:paraId="4395AAD4" w14:textId="2A4AC0FA" w:rsidR="21C3821A" w:rsidRDefault="21C3821A" w:rsidP="0066301C">
      <w:pPr>
        <w:spacing w:after="200"/>
        <w:jc w:val="both"/>
        <w:rPr>
          <w:rFonts w:ascii="Arial" w:eastAsia="Arial" w:hAnsi="Arial" w:cs="Arial"/>
          <w:sz w:val="20"/>
          <w:szCs w:val="20"/>
        </w:rPr>
      </w:pPr>
      <w:r w:rsidRPr="48425B6A">
        <w:rPr>
          <w:rFonts w:ascii="Arial" w:eastAsia="Arial" w:hAnsi="Arial" w:cs="Arial"/>
          <w:sz w:val="20"/>
          <w:szCs w:val="20"/>
        </w:rPr>
        <w:t xml:space="preserve">Taylor, Alan M. and Taylor, Mark P. (2004). The Purchasing Power Parity Debate. </w:t>
      </w:r>
      <w:r w:rsidRPr="48425B6A">
        <w:rPr>
          <w:rFonts w:ascii="Arial" w:eastAsia="Arial" w:hAnsi="Arial" w:cs="Arial"/>
          <w:i/>
          <w:iCs/>
          <w:sz w:val="20"/>
          <w:szCs w:val="20"/>
        </w:rPr>
        <w:t>Journal of Economic Perspectives,</w:t>
      </w:r>
      <w:r w:rsidRPr="48425B6A">
        <w:rPr>
          <w:rFonts w:ascii="Arial" w:eastAsia="Arial" w:hAnsi="Arial" w:cs="Arial"/>
          <w:sz w:val="20"/>
          <w:szCs w:val="20"/>
        </w:rPr>
        <w:t xml:space="preserve"> Vol. 18(4), Pp: 135-158.</w:t>
      </w:r>
    </w:p>
    <w:p w14:paraId="421834BE" w14:textId="6336D441" w:rsidR="21C3821A" w:rsidRDefault="21C3821A" w:rsidP="0066301C">
      <w:pPr>
        <w:spacing w:after="240"/>
        <w:jc w:val="both"/>
        <w:rPr>
          <w:rFonts w:ascii="Arial" w:eastAsia="Arial" w:hAnsi="Arial" w:cs="Arial"/>
          <w:sz w:val="20"/>
          <w:szCs w:val="20"/>
        </w:rPr>
      </w:pPr>
      <w:r w:rsidRPr="48425B6A">
        <w:rPr>
          <w:rFonts w:ascii="Arial" w:eastAsia="Arial" w:hAnsi="Arial" w:cs="Arial"/>
          <w:sz w:val="20"/>
          <w:szCs w:val="20"/>
        </w:rPr>
        <w:t xml:space="preserve">Temple, J. (1999). The New Growth Evidence. </w:t>
      </w:r>
      <w:r w:rsidRPr="48425B6A">
        <w:rPr>
          <w:rFonts w:ascii="Arial" w:eastAsia="Arial" w:hAnsi="Arial" w:cs="Arial"/>
          <w:i/>
          <w:iCs/>
          <w:sz w:val="20"/>
          <w:szCs w:val="20"/>
        </w:rPr>
        <w:t>Journal of economic Literature</w:t>
      </w:r>
      <w:r w:rsidRPr="48425B6A">
        <w:rPr>
          <w:rFonts w:ascii="Arial" w:eastAsia="Arial" w:hAnsi="Arial" w:cs="Arial"/>
          <w:sz w:val="20"/>
          <w:szCs w:val="20"/>
        </w:rPr>
        <w:t>, Vol. 37, Pp: 112-156.</w:t>
      </w:r>
    </w:p>
    <w:p w14:paraId="01352781" w14:textId="74528875" w:rsidR="21C3821A" w:rsidRDefault="21C3821A" w:rsidP="0066301C">
      <w:pPr>
        <w:spacing w:after="200"/>
        <w:jc w:val="both"/>
        <w:rPr>
          <w:rFonts w:ascii="Arial" w:eastAsia="Arial" w:hAnsi="Arial" w:cs="Arial"/>
          <w:sz w:val="20"/>
          <w:szCs w:val="20"/>
          <w:lang w:val="en-US"/>
        </w:rPr>
      </w:pPr>
      <w:r w:rsidRPr="48425B6A">
        <w:rPr>
          <w:rFonts w:ascii="Arial" w:eastAsia="Arial" w:hAnsi="Arial" w:cs="Arial"/>
          <w:sz w:val="20"/>
          <w:szCs w:val="20"/>
          <w:lang w:val="en-US"/>
        </w:rPr>
        <w:t xml:space="preserve">Thirlwall (2004), Trade Liberalization and Economic Performance in Developing Countries, </w:t>
      </w:r>
      <w:r w:rsidRPr="48425B6A">
        <w:rPr>
          <w:rFonts w:ascii="Arial" w:eastAsia="Arial" w:hAnsi="Arial" w:cs="Arial"/>
          <w:i/>
          <w:iCs/>
          <w:sz w:val="20"/>
          <w:szCs w:val="20"/>
          <w:lang w:val="en-US"/>
        </w:rPr>
        <w:t>The Economic Journal</w:t>
      </w:r>
      <w:r w:rsidRPr="48425B6A">
        <w:rPr>
          <w:rFonts w:ascii="Arial" w:eastAsia="Arial" w:hAnsi="Arial" w:cs="Arial"/>
          <w:sz w:val="20"/>
          <w:szCs w:val="20"/>
          <w:lang w:val="en-US"/>
        </w:rPr>
        <w:t>.</w:t>
      </w:r>
    </w:p>
    <w:p w14:paraId="5A6C7813" w14:textId="4F73569F" w:rsidR="21C3821A" w:rsidRDefault="21C3821A" w:rsidP="0066301C">
      <w:pPr>
        <w:spacing w:after="200"/>
        <w:jc w:val="both"/>
        <w:rPr>
          <w:rFonts w:ascii="Arial" w:eastAsia="Arial" w:hAnsi="Arial" w:cs="Arial"/>
          <w:sz w:val="20"/>
          <w:szCs w:val="20"/>
        </w:rPr>
      </w:pPr>
      <w:r w:rsidRPr="48425B6A">
        <w:rPr>
          <w:rFonts w:ascii="Arial" w:eastAsia="Arial" w:hAnsi="Arial" w:cs="Arial"/>
          <w:sz w:val="20"/>
          <w:szCs w:val="20"/>
        </w:rPr>
        <w:t xml:space="preserve">Thomas, R. and Hardy, C. (2011) ‘Reframing resistance to organizational change’, </w:t>
      </w:r>
      <w:r w:rsidRPr="48425B6A">
        <w:rPr>
          <w:rFonts w:ascii="Arial" w:eastAsia="Arial" w:hAnsi="Arial" w:cs="Arial"/>
          <w:i/>
          <w:iCs/>
          <w:sz w:val="20"/>
          <w:szCs w:val="20"/>
        </w:rPr>
        <w:t>Scandinavian Journal of Management,</w:t>
      </w:r>
      <w:r w:rsidRPr="48425B6A">
        <w:rPr>
          <w:rFonts w:ascii="Arial" w:eastAsia="Arial" w:hAnsi="Arial" w:cs="Arial"/>
          <w:sz w:val="20"/>
          <w:szCs w:val="20"/>
        </w:rPr>
        <w:t xml:space="preserve"> Vol. 27, pp. 322–31.</w:t>
      </w:r>
    </w:p>
    <w:p w14:paraId="1382514C" w14:textId="6F5DC9BB" w:rsidR="21C3821A" w:rsidRDefault="21C3821A" w:rsidP="0066301C">
      <w:pPr>
        <w:spacing w:line="257" w:lineRule="auto"/>
        <w:jc w:val="both"/>
        <w:rPr>
          <w:rFonts w:ascii="Arial" w:eastAsia="Arial" w:hAnsi="Arial" w:cs="Arial"/>
          <w:sz w:val="20"/>
          <w:szCs w:val="20"/>
        </w:rPr>
      </w:pPr>
      <w:r w:rsidRPr="48425B6A">
        <w:rPr>
          <w:rFonts w:ascii="Arial" w:eastAsia="Arial" w:hAnsi="Arial" w:cs="Arial"/>
          <w:sz w:val="20"/>
          <w:szCs w:val="20"/>
        </w:rPr>
        <w:t xml:space="preserve">Tipoy, C. K. (2016). On the Impact of Exchange Rates Misalignments on Econmic Growth using Homogeneous Emerging Countries. </w:t>
      </w:r>
      <w:r w:rsidRPr="48425B6A">
        <w:rPr>
          <w:rFonts w:ascii="Arial" w:eastAsia="Arial" w:hAnsi="Arial" w:cs="Arial"/>
          <w:i/>
          <w:iCs/>
          <w:sz w:val="20"/>
          <w:szCs w:val="20"/>
        </w:rPr>
        <w:t xml:space="preserve">University of Pretoria, </w:t>
      </w:r>
      <w:r w:rsidRPr="48425B6A">
        <w:rPr>
          <w:rFonts w:ascii="Arial" w:eastAsia="Arial" w:hAnsi="Arial" w:cs="Arial"/>
          <w:sz w:val="20"/>
          <w:szCs w:val="20"/>
        </w:rPr>
        <w:t xml:space="preserve">South Africa. </w:t>
      </w:r>
    </w:p>
    <w:p w14:paraId="26329E24" w14:textId="2D4DBD6A" w:rsidR="21C3821A" w:rsidRDefault="21C3821A" w:rsidP="0066301C">
      <w:pPr>
        <w:spacing w:line="257" w:lineRule="auto"/>
        <w:jc w:val="both"/>
        <w:rPr>
          <w:rFonts w:ascii="Arial" w:eastAsia="Arial" w:hAnsi="Arial" w:cs="Arial"/>
          <w:sz w:val="20"/>
          <w:szCs w:val="20"/>
          <w:lang w:val="en-US"/>
        </w:rPr>
      </w:pPr>
      <w:r w:rsidRPr="48425B6A">
        <w:rPr>
          <w:rFonts w:ascii="Arial" w:eastAsia="Arial" w:hAnsi="Arial" w:cs="Arial"/>
          <w:sz w:val="20"/>
          <w:szCs w:val="20"/>
          <w:lang w:val="en-US"/>
        </w:rPr>
        <w:t xml:space="preserve">Tiwari, A. K., Aruna, M., and Dash, A. K. (2018). Testing the Purchasing Power Parity Hypothesis in India: A Non-linear Cointegration Approach. </w:t>
      </w:r>
      <w:r w:rsidRPr="48425B6A">
        <w:rPr>
          <w:rFonts w:ascii="Arial" w:eastAsia="Arial" w:hAnsi="Arial" w:cs="Arial"/>
          <w:i/>
          <w:iCs/>
          <w:sz w:val="20"/>
          <w:szCs w:val="20"/>
          <w:lang w:val="en-US"/>
        </w:rPr>
        <w:t xml:space="preserve">The Empirical Economics Letter, </w:t>
      </w:r>
      <w:r w:rsidRPr="48425B6A">
        <w:rPr>
          <w:rFonts w:ascii="Arial" w:eastAsia="Arial" w:hAnsi="Arial" w:cs="Arial"/>
          <w:sz w:val="20"/>
          <w:szCs w:val="20"/>
          <w:lang w:val="en-US"/>
        </w:rPr>
        <w:t>Pp:  1322 – 1330.</w:t>
      </w:r>
    </w:p>
    <w:p w14:paraId="050B1AD2" w14:textId="16F92A37" w:rsidR="21C3821A" w:rsidRDefault="21C3821A" w:rsidP="0066301C">
      <w:pPr>
        <w:spacing w:after="200"/>
        <w:jc w:val="both"/>
        <w:rPr>
          <w:rFonts w:ascii="Arial" w:eastAsia="Arial" w:hAnsi="Arial" w:cs="Arial"/>
          <w:sz w:val="20"/>
          <w:szCs w:val="20"/>
        </w:rPr>
      </w:pPr>
      <w:r w:rsidRPr="48425B6A">
        <w:rPr>
          <w:rFonts w:ascii="Arial" w:eastAsia="Arial" w:hAnsi="Arial" w:cs="Arial"/>
          <w:sz w:val="20"/>
          <w:szCs w:val="20"/>
        </w:rPr>
        <w:t xml:space="preserve">Udomkerdmongkol, M., Görg, H, and Morrissey, O. (2006). Exchange Rates and Foreign Direct Investment Case US. </w:t>
      </w:r>
      <w:r w:rsidRPr="48425B6A">
        <w:rPr>
          <w:rFonts w:ascii="Arial" w:eastAsia="Arial" w:hAnsi="Arial" w:cs="Arial"/>
          <w:i/>
          <w:iCs/>
          <w:sz w:val="20"/>
          <w:szCs w:val="20"/>
        </w:rPr>
        <w:t>Discussion Papers in Economics,</w:t>
      </w:r>
      <w:r w:rsidRPr="48425B6A">
        <w:rPr>
          <w:rFonts w:ascii="Arial" w:eastAsia="Arial" w:hAnsi="Arial" w:cs="Arial"/>
          <w:sz w:val="20"/>
          <w:szCs w:val="20"/>
        </w:rPr>
        <w:t xml:space="preserve"> Pp:  1360 – 2438.</w:t>
      </w:r>
    </w:p>
    <w:p w14:paraId="00CBDFAF" w14:textId="0275EDC9" w:rsidR="21C3821A" w:rsidRDefault="21C3821A" w:rsidP="0066301C">
      <w:pPr>
        <w:spacing w:after="200"/>
        <w:jc w:val="both"/>
        <w:rPr>
          <w:rFonts w:ascii="Arial" w:eastAsia="Arial" w:hAnsi="Arial" w:cs="Arial"/>
          <w:sz w:val="20"/>
          <w:szCs w:val="20"/>
        </w:rPr>
      </w:pPr>
      <w:r w:rsidRPr="48425B6A">
        <w:rPr>
          <w:rFonts w:ascii="Arial" w:eastAsia="Arial" w:hAnsi="Arial" w:cs="Arial"/>
          <w:sz w:val="20"/>
          <w:szCs w:val="20"/>
        </w:rPr>
        <w:t xml:space="preserve">Umoru, D. and Eboreime, M.I. (2013). Exchange Rate Misalignment and Balance of Payment Adjustment in Nigeria. </w:t>
      </w:r>
      <w:r w:rsidRPr="48425B6A">
        <w:rPr>
          <w:rFonts w:ascii="Arial" w:eastAsia="Arial" w:hAnsi="Arial" w:cs="Arial"/>
          <w:i/>
          <w:iCs/>
          <w:sz w:val="20"/>
          <w:szCs w:val="20"/>
        </w:rPr>
        <w:t xml:space="preserve">European Scientific Journal, </w:t>
      </w:r>
      <w:r w:rsidRPr="48425B6A">
        <w:rPr>
          <w:rFonts w:ascii="Arial" w:eastAsia="Arial" w:hAnsi="Arial" w:cs="Arial"/>
          <w:sz w:val="20"/>
          <w:szCs w:val="20"/>
        </w:rPr>
        <w:t>Vol. 9(13), Pp:260-273.</w:t>
      </w:r>
    </w:p>
    <w:p w14:paraId="30C2251F" w14:textId="3FF52794" w:rsidR="21C3821A" w:rsidRDefault="21C3821A" w:rsidP="0066301C">
      <w:pPr>
        <w:spacing w:after="200"/>
        <w:jc w:val="both"/>
        <w:rPr>
          <w:rFonts w:ascii="Arial" w:eastAsia="Arial" w:hAnsi="Arial" w:cs="Arial"/>
          <w:sz w:val="20"/>
          <w:szCs w:val="20"/>
          <w:lang w:val="en-US"/>
        </w:rPr>
      </w:pPr>
      <w:r w:rsidRPr="48425B6A">
        <w:rPr>
          <w:rFonts w:ascii="Arial" w:eastAsia="Arial" w:hAnsi="Arial" w:cs="Arial"/>
          <w:sz w:val="20"/>
          <w:szCs w:val="20"/>
          <w:lang w:val="en-US"/>
        </w:rPr>
        <w:t>UNCTAD TDR. (2003). Trade and Development Report. United Nations: Geneva.</w:t>
      </w:r>
    </w:p>
    <w:p w14:paraId="6646C401" w14:textId="77777777" w:rsidR="0020454E" w:rsidRPr="002D2FD5" w:rsidRDefault="0020454E" w:rsidP="0066301C">
      <w:pPr>
        <w:spacing w:line="240" w:lineRule="auto"/>
        <w:jc w:val="both"/>
        <w:rPr>
          <w:rFonts w:ascii="Arial" w:hAnsi="Arial" w:cs="Arial"/>
          <w:sz w:val="20"/>
          <w:szCs w:val="20"/>
        </w:rPr>
      </w:pPr>
      <w:r w:rsidRPr="002D2FD5">
        <w:rPr>
          <w:rFonts w:ascii="Arial" w:hAnsi="Arial" w:cs="Arial"/>
          <w:color w:val="333333"/>
          <w:sz w:val="20"/>
          <w:szCs w:val="20"/>
          <w:shd w:val="clear" w:color="auto" w:fill="FFFFFF"/>
        </w:rPr>
        <w:t xml:space="preserve">Upadhyaya, K. and Upadhyay, M. (1999). Output Effects of devaluation: Evidence from Asia. </w:t>
      </w:r>
      <w:r w:rsidRPr="002D2FD5">
        <w:rPr>
          <w:rFonts w:ascii="Arial" w:hAnsi="Arial" w:cs="Arial"/>
          <w:i/>
          <w:iCs/>
          <w:color w:val="333333"/>
          <w:sz w:val="20"/>
          <w:szCs w:val="20"/>
          <w:shd w:val="clear" w:color="auto" w:fill="FFFFFF"/>
        </w:rPr>
        <w:t xml:space="preserve">Journal of Development Studies, </w:t>
      </w:r>
      <w:r w:rsidRPr="002D2FD5">
        <w:rPr>
          <w:rFonts w:ascii="Arial" w:hAnsi="Arial" w:cs="Arial"/>
          <w:color w:val="333333"/>
          <w:sz w:val="20"/>
          <w:szCs w:val="20"/>
          <w:shd w:val="clear" w:color="auto" w:fill="FFFFFF"/>
        </w:rPr>
        <w:t>Vol. 35(6), Pp: 89-103.</w:t>
      </w:r>
    </w:p>
    <w:p w14:paraId="69052649" w14:textId="329DBCBF" w:rsidR="21C3821A" w:rsidRDefault="21C3821A" w:rsidP="0066301C">
      <w:pPr>
        <w:spacing w:after="200"/>
        <w:jc w:val="both"/>
        <w:rPr>
          <w:rFonts w:ascii="Arial" w:eastAsia="Arial" w:hAnsi="Arial" w:cs="Arial"/>
          <w:sz w:val="20"/>
          <w:szCs w:val="20"/>
          <w:lang w:val="en-US"/>
        </w:rPr>
      </w:pPr>
      <w:r w:rsidRPr="48425B6A">
        <w:rPr>
          <w:rFonts w:ascii="Arial" w:eastAsia="Arial" w:hAnsi="Arial" w:cs="Arial"/>
          <w:sz w:val="20"/>
          <w:szCs w:val="20"/>
          <w:lang w:val="en-US"/>
        </w:rPr>
        <w:t>Usma</w:t>
      </w:r>
      <w:r w:rsidR="00AB1374">
        <w:rPr>
          <w:rFonts w:ascii="Arial" w:eastAsia="Arial" w:hAnsi="Arial" w:cs="Arial"/>
          <w:sz w:val="20"/>
          <w:szCs w:val="20"/>
          <w:lang w:val="en-US"/>
        </w:rPr>
        <w:t>n</w:t>
      </w:r>
      <w:r w:rsidRPr="48425B6A">
        <w:rPr>
          <w:rFonts w:ascii="Arial" w:eastAsia="Arial" w:hAnsi="Arial" w:cs="Arial"/>
          <w:sz w:val="20"/>
          <w:szCs w:val="20"/>
          <w:lang w:val="en-US"/>
        </w:rPr>
        <w:t xml:space="preserve">, A., Abd, R.R., and Adamu, B. (2015). Institutional Weakness and Conflict Management in Nigeria: The Need for Collaborative Governance Approach. </w:t>
      </w:r>
      <w:r w:rsidRPr="48425B6A">
        <w:rPr>
          <w:rFonts w:ascii="Arial" w:eastAsia="Arial" w:hAnsi="Arial" w:cs="Arial"/>
          <w:i/>
          <w:iCs/>
          <w:sz w:val="20"/>
          <w:szCs w:val="20"/>
          <w:lang w:val="en-US"/>
        </w:rPr>
        <w:t xml:space="preserve">International Journal of Administration and Governance, </w:t>
      </w:r>
      <w:r w:rsidRPr="48425B6A">
        <w:rPr>
          <w:rFonts w:ascii="Arial" w:eastAsia="Arial" w:hAnsi="Arial" w:cs="Arial"/>
          <w:sz w:val="20"/>
          <w:szCs w:val="20"/>
          <w:lang w:val="en-US"/>
        </w:rPr>
        <w:t xml:space="preserve">Vol 1(11), Pp:1-7. </w:t>
      </w:r>
    </w:p>
    <w:p w14:paraId="26037CB8" w14:textId="0457DF66" w:rsidR="21C3821A" w:rsidRDefault="21C3821A" w:rsidP="0066301C">
      <w:pPr>
        <w:spacing w:after="200"/>
        <w:jc w:val="both"/>
        <w:rPr>
          <w:rFonts w:ascii="Arial" w:eastAsia="Arial" w:hAnsi="Arial" w:cs="Arial"/>
          <w:color w:val="232323"/>
          <w:sz w:val="20"/>
          <w:szCs w:val="20"/>
        </w:rPr>
      </w:pPr>
      <w:r w:rsidRPr="48425B6A">
        <w:rPr>
          <w:rFonts w:ascii="Arial" w:eastAsia="Arial" w:hAnsi="Arial" w:cs="Arial"/>
          <w:color w:val="232323"/>
          <w:sz w:val="20"/>
          <w:szCs w:val="20"/>
        </w:rPr>
        <w:t xml:space="preserve">Van Wijnbergen, S. (1983). Interest Rate Management. </w:t>
      </w:r>
      <w:r w:rsidRPr="48425B6A">
        <w:rPr>
          <w:rFonts w:ascii="Arial" w:eastAsia="Arial" w:hAnsi="Arial" w:cs="Arial"/>
          <w:i/>
          <w:iCs/>
          <w:color w:val="232323"/>
          <w:sz w:val="20"/>
          <w:szCs w:val="20"/>
        </w:rPr>
        <w:t>Journal of Monetary Economics</w:t>
      </w:r>
      <w:r w:rsidRPr="48425B6A">
        <w:rPr>
          <w:rFonts w:ascii="Arial" w:eastAsia="Arial" w:hAnsi="Arial" w:cs="Arial"/>
          <w:color w:val="232323"/>
          <w:sz w:val="20"/>
          <w:szCs w:val="20"/>
        </w:rPr>
        <w:t>, Vol. 12, Pp: 433-452.</w:t>
      </w:r>
    </w:p>
    <w:p w14:paraId="34AB5F78" w14:textId="10F53900" w:rsidR="21C3821A" w:rsidRDefault="21C3821A" w:rsidP="0066301C">
      <w:pPr>
        <w:spacing w:after="200"/>
        <w:jc w:val="both"/>
        <w:rPr>
          <w:rFonts w:ascii="Arial" w:eastAsia="Arial" w:hAnsi="Arial" w:cs="Arial"/>
          <w:sz w:val="20"/>
          <w:szCs w:val="20"/>
        </w:rPr>
      </w:pPr>
      <w:r w:rsidRPr="48425B6A">
        <w:rPr>
          <w:rFonts w:ascii="Arial" w:eastAsia="Arial" w:hAnsi="Arial" w:cs="Arial"/>
          <w:sz w:val="20"/>
          <w:szCs w:val="20"/>
        </w:rPr>
        <w:t xml:space="preserve">Vijay, K. G. (2015). Research Approach: An Overview. </w:t>
      </w:r>
      <w:r w:rsidRPr="48425B6A">
        <w:rPr>
          <w:rFonts w:ascii="Arial" w:eastAsia="Arial" w:hAnsi="Arial" w:cs="Arial"/>
          <w:i/>
          <w:iCs/>
          <w:sz w:val="20"/>
          <w:szCs w:val="20"/>
        </w:rPr>
        <w:t>Golden Research Thoughts,</w:t>
      </w:r>
      <w:r w:rsidRPr="48425B6A">
        <w:rPr>
          <w:rFonts w:ascii="Arial" w:eastAsia="Arial" w:hAnsi="Arial" w:cs="Arial"/>
          <w:sz w:val="20"/>
          <w:szCs w:val="20"/>
        </w:rPr>
        <w:t xml:space="preserve"> Vol. 4 (8).</w:t>
      </w:r>
    </w:p>
    <w:p w14:paraId="735FAF31" w14:textId="394919A3" w:rsidR="21C3821A" w:rsidRDefault="21C3821A" w:rsidP="0066301C">
      <w:pPr>
        <w:spacing w:after="200"/>
        <w:jc w:val="both"/>
        <w:rPr>
          <w:rFonts w:ascii="Arial" w:eastAsia="Arial" w:hAnsi="Arial" w:cs="Arial"/>
          <w:sz w:val="20"/>
          <w:szCs w:val="20"/>
          <w:lang w:val="en-US"/>
        </w:rPr>
      </w:pPr>
      <w:r w:rsidRPr="48425B6A">
        <w:rPr>
          <w:rFonts w:ascii="Arial" w:eastAsia="Arial" w:hAnsi="Arial" w:cs="Arial"/>
          <w:sz w:val="20"/>
          <w:szCs w:val="20"/>
          <w:lang w:val="en-US"/>
        </w:rPr>
        <w:t xml:space="preserve">Wafa, A. (2013). Liberalization Process and Financial Instability: A Mediterranean Perspective. </w:t>
      </w:r>
      <w:r w:rsidRPr="48425B6A">
        <w:rPr>
          <w:rFonts w:ascii="Arial" w:eastAsia="Arial" w:hAnsi="Arial" w:cs="Arial"/>
          <w:i/>
          <w:iCs/>
          <w:sz w:val="20"/>
          <w:szCs w:val="20"/>
          <w:lang w:val="en-US"/>
        </w:rPr>
        <w:t>Journal of Economic Integration</w:t>
      </w:r>
      <w:r w:rsidRPr="48425B6A">
        <w:rPr>
          <w:rFonts w:ascii="Arial" w:eastAsia="Arial" w:hAnsi="Arial" w:cs="Arial"/>
          <w:sz w:val="20"/>
          <w:szCs w:val="20"/>
          <w:lang w:val="en-US"/>
        </w:rPr>
        <w:t xml:space="preserve">, </w:t>
      </w:r>
      <w:r w:rsidR="0067167D">
        <w:rPr>
          <w:rFonts w:ascii="Arial" w:eastAsia="Arial" w:hAnsi="Arial" w:cs="Arial"/>
          <w:sz w:val="20"/>
          <w:szCs w:val="20"/>
          <w:lang w:val="en-US"/>
        </w:rPr>
        <w:t>V</w:t>
      </w:r>
      <w:r w:rsidRPr="48425B6A">
        <w:rPr>
          <w:rFonts w:ascii="Arial" w:eastAsia="Arial" w:hAnsi="Arial" w:cs="Arial"/>
          <w:sz w:val="20"/>
          <w:szCs w:val="20"/>
          <w:lang w:val="en-US"/>
        </w:rPr>
        <w:t>ol. 28, Pp:59-84.</w:t>
      </w:r>
    </w:p>
    <w:p w14:paraId="141AC754" w14:textId="77777777" w:rsidR="000D106B" w:rsidRDefault="000D106B" w:rsidP="0066301C">
      <w:pPr>
        <w:spacing w:after="200"/>
        <w:jc w:val="both"/>
        <w:rPr>
          <w:rFonts w:ascii="Arial" w:eastAsia="Arial" w:hAnsi="Arial" w:cs="Arial"/>
          <w:sz w:val="20"/>
          <w:szCs w:val="20"/>
          <w:lang w:val="en-US"/>
        </w:rPr>
      </w:pPr>
      <w:r w:rsidRPr="48425B6A">
        <w:rPr>
          <w:rFonts w:ascii="Arial" w:eastAsia="Arial" w:hAnsi="Arial" w:cs="Arial"/>
          <w:sz w:val="20"/>
          <w:szCs w:val="20"/>
          <w:lang w:val="en-US"/>
        </w:rPr>
        <w:t xml:space="preserve">Williamson, J. (2004). ‘The Washington Consensus as Policy Prescription for Development’, </w:t>
      </w:r>
      <w:r w:rsidRPr="48425B6A">
        <w:rPr>
          <w:rFonts w:ascii="Arial" w:eastAsia="Arial" w:hAnsi="Arial" w:cs="Arial"/>
          <w:i/>
          <w:iCs/>
          <w:sz w:val="20"/>
          <w:szCs w:val="20"/>
          <w:lang w:val="en-US"/>
        </w:rPr>
        <w:t xml:space="preserve">Development Challenges in the 1990s: Leading Policymakers Speak for Experience. </w:t>
      </w:r>
      <w:r w:rsidRPr="48425B6A">
        <w:rPr>
          <w:rFonts w:ascii="Arial" w:eastAsia="Arial" w:hAnsi="Arial" w:cs="Arial"/>
          <w:sz w:val="20"/>
          <w:szCs w:val="20"/>
          <w:lang w:val="en-US"/>
        </w:rPr>
        <w:t>Pp: 31 – 33.</w:t>
      </w:r>
    </w:p>
    <w:p w14:paraId="7FF2FDBF" w14:textId="77777777" w:rsidR="00384CE4" w:rsidRDefault="00384CE4" w:rsidP="0066301C">
      <w:pPr>
        <w:spacing w:after="200"/>
        <w:jc w:val="both"/>
        <w:rPr>
          <w:rFonts w:ascii="Arial" w:eastAsia="Arial" w:hAnsi="Arial" w:cs="Arial"/>
          <w:sz w:val="20"/>
          <w:szCs w:val="20"/>
          <w:lang w:val="en-US"/>
        </w:rPr>
      </w:pPr>
      <w:r w:rsidRPr="48425B6A">
        <w:rPr>
          <w:rFonts w:ascii="Arial" w:eastAsia="Arial" w:hAnsi="Arial" w:cs="Arial"/>
          <w:sz w:val="20"/>
          <w:szCs w:val="20"/>
          <w:lang w:val="en-US"/>
        </w:rPr>
        <w:t xml:space="preserve">Williamson, J. (1994). Estimates of FEER’s in J. Williamson, ed., ‘Estimating Equilibrium Exchange Rates’. </w:t>
      </w:r>
      <w:r w:rsidRPr="48425B6A">
        <w:rPr>
          <w:rFonts w:ascii="Arial" w:eastAsia="Arial" w:hAnsi="Arial" w:cs="Arial"/>
          <w:i/>
          <w:iCs/>
          <w:sz w:val="20"/>
          <w:szCs w:val="20"/>
          <w:lang w:val="en-US"/>
        </w:rPr>
        <w:t xml:space="preserve">Institute for International Economics, Washington D.C., </w:t>
      </w:r>
      <w:r w:rsidRPr="48425B6A">
        <w:rPr>
          <w:rFonts w:ascii="Arial" w:eastAsia="Arial" w:hAnsi="Arial" w:cs="Arial"/>
          <w:sz w:val="20"/>
          <w:szCs w:val="20"/>
          <w:lang w:val="en-US"/>
        </w:rPr>
        <w:t>Pp: 245.</w:t>
      </w:r>
    </w:p>
    <w:p w14:paraId="1FBF02F9" w14:textId="77777777" w:rsidR="00384CE4" w:rsidRDefault="00384CE4" w:rsidP="0066301C">
      <w:pPr>
        <w:spacing w:after="200"/>
        <w:jc w:val="both"/>
        <w:rPr>
          <w:rFonts w:ascii="Arial" w:eastAsia="Arial" w:hAnsi="Arial" w:cs="Arial"/>
          <w:sz w:val="20"/>
          <w:szCs w:val="20"/>
          <w:lang w:val="en-US"/>
        </w:rPr>
      </w:pPr>
      <w:r w:rsidRPr="48425B6A">
        <w:rPr>
          <w:rFonts w:ascii="Arial" w:eastAsia="Arial" w:hAnsi="Arial" w:cs="Arial"/>
          <w:sz w:val="20"/>
          <w:szCs w:val="20"/>
          <w:lang w:val="en-US"/>
        </w:rPr>
        <w:t xml:space="preserve">Williamson, J. (1990). ‘What Washington means by Policy Reform’, </w:t>
      </w:r>
      <w:r w:rsidRPr="48425B6A">
        <w:rPr>
          <w:rFonts w:ascii="Arial" w:eastAsia="Arial" w:hAnsi="Arial" w:cs="Arial"/>
          <w:i/>
          <w:iCs/>
          <w:sz w:val="20"/>
          <w:szCs w:val="20"/>
          <w:lang w:val="en-US"/>
        </w:rPr>
        <w:t>Latin American Adjustment: How much has happened</w:t>
      </w:r>
      <w:r w:rsidRPr="48425B6A">
        <w:rPr>
          <w:rFonts w:ascii="Arial" w:eastAsia="Arial" w:hAnsi="Arial" w:cs="Arial"/>
          <w:sz w:val="20"/>
          <w:szCs w:val="20"/>
          <w:lang w:val="en-US"/>
        </w:rPr>
        <w:t>. Vol.7, Pp: 7 – 20.</w:t>
      </w:r>
    </w:p>
    <w:p w14:paraId="1E7604C5" w14:textId="77777777" w:rsidR="000D106B" w:rsidRDefault="000D106B" w:rsidP="0066301C">
      <w:pPr>
        <w:spacing w:after="200"/>
        <w:jc w:val="both"/>
        <w:rPr>
          <w:rFonts w:ascii="Arial" w:eastAsia="Arial" w:hAnsi="Arial" w:cs="Arial"/>
          <w:i/>
          <w:iCs/>
          <w:sz w:val="20"/>
          <w:szCs w:val="20"/>
          <w:lang w:val="en-US"/>
        </w:rPr>
      </w:pPr>
      <w:r w:rsidRPr="48425B6A">
        <w:rPr>
          <w:rFonts w:ascii="Arial" w:eastAsia="Arial" w:hAnsi="Arial" w:cs="Arial"/>
          <w:sz w:val="20"/>
          <w:szCs w:val="20"/>
          <w:lang w:val="en-US"/>
        </w:rPr>
        <w:t xml:space="preserve">Williamson, J. (1985). The Exchange Rate System, Policy Analyses in International Economics. </w:t>
      </w:r>
      <w:r w:rsidRPr="48425B6A">
        <w:rPr>
          <w:rFonts w:ascii="Arial" w:eastAsia="Arial" w:hAnsi="Arial" w:cs="Arial"/>
          <w:i/>
          <w:iCs/>
          <w:sz w:val="20"/>
          <w:szCs w:val="20"/>
          <w:lang w:val="en-US"/>
        </w:rPr>
        <w:t>Institute for International Economics.</w:t>
      </w:r>
    </w:p>
    <w:p w14:paraId="61459E7E" w14:textId="27FD8CDD" w:rsidR="000D106B" w:rsidRDefault="000D106B" w:rsidP="0066301C">
      <w:pPr>
        <w:spacing w:after="200"/>
        <w:jc w:val="both"/>
        <w:rPr>
          <w:rFonts w:ascii="Arial" w:eastAsia="Arial" w:hAnsi="Arial" w:cs="Arial"/>
          <w:sz w:val="20"/>
          <w:szCs w:val="20"/>
          <w:lang w:val="en-US"/>
        </w:rPr>
      </w:pPr>
      <w:r w:rsidRPr="008C67FF">
        <w:rPr>
          <w:rFonts w:ascii="Arial" w:hAnsi="Arial" w:cs="Arial"/>
          <w:sz w:val="20"/>
          <w:szCs w:val="20"/>
        </w:rPr>
        <w:t xml:space="preserve">Williamson, J. (1983), Estimating Equilibrium Exchange Rates, Washington, DC: </w:t>
      </w:r>
      <w:r w:rsidRPr="008C67FF">
        <w:rPr>
          <w:rFonts w:ascii="Arial" w:hAnsi="Arial" w:cs="Arial"/>
          <w:i/>
          <w:iCs/>
          <w:sz w:val="20"/>
          <w:szCs w:val="20"/>
        </w:rPr>
        <w:t>Institute for International Economics</w:t>
      </w:r>
      <w:r>
        <w:rPr>
          <w:rFonts w:ascii="Arial" w:hAnsi="Arial" w:cs="Arial"/>
          <w:i/>
          <w:iCs/>
          <w:sz w:val="20"/>
          <w:szCs w:val="20"/>
        </w:rPr>
        <w:t>.</w:t>
      </w:r>
    </w:p>
    <w:p w14:paraId="20393996" w14:textId="1A6D4635" w:rsidR="21C3821A" w:rsidRDefault="21C3821A" w:rsidP="0066301C">
      <w:pPr>
        <w:spacing w:after="200"/>
        <w:jc w:val="both"/>
        <w:rPr>
          <w:rFonts w:ascii="Arial" w:eastAsia="Arial" w:hAnsi="Arial" w:cs="Arial"/>
          <w:sz w:val="20"/>
          <w:szCs w:val="20"/>
        </w:rPr>
      </w:pPr>
      <w:r w:rsidRPr="48425B6A">
        <w:rPr>
          <w:rFonts w:ascii="Arial" w:eastAsia="Arial" w:hAnsi="Arial" w:cs="Arial"/>
          <w:sz w:val="20"/>
          <w:szCs w:val="20"/>
        </w:rPr>
        <w:lastRenderedPageBreak/>
        <w:t xml:space="preserve">Wilson, C. (1959). The Other Face of Mercantilism. </w:t>
      </w:r>
      <w:r w:rsidRPr="48425B6A">
        <w:rPr>
          <w:rFonts w:ascii="Arial" w:eastAsia="Arial" w:hAnsi="Arial" w:cs="Arial"/>
          <w:i/>
          <w:iCs/>
          <w:sz w:val="20"/>
          <w:szCs w:val="20"/>
        </w:rPr>
        <w:t xml:space="preserve">Transaction of the Royal Historical Society, </w:t>
      </w:r>
      <w:r w:rsidR="0067167D">
        <w:rPr>
          <w:rFonts w:ascii="Arial" w:eastAsia="Arial" w:hAnsi="Arial" w:cs="Arial"/>
          <w:sz w:val="20"/>
          <w:szCs w:val="20"/>
        </w:rPr>
        <w:t>V</w:t>
      </w:r>
      <w:r w:rsidRPr="48425B6A">
        <w:rPr>
          <w:rFonts w:ascii="Arial" w:eastAsia="Arial" w:hAnsi="Arial" w:cs="Arial"/>
          <w:sz w:val="20"/>
          <w:szCs w:val="20"/>
        </w:rPr>
        <w:t>ol. 9, Pp: 81 – 101.</w:t>
      </w:r>
    </w:p>
    <w:p w14:paraId="5630A182" w14:textId="168E5C43" w:rsidR="21C3821A" w:rsidRDefault="21C3821A" w:rsidP="0066301C">
      <w:pPr>
        <w:spacing w:after="200"/>
        <w:jc w:val="both"/>
        <w:rPr>
          <w:rFonts w:ascii="Arial" w:eastAsia="Arial" w:hAnsi="Arial" w:cs="Arial"/>
          <w:sz w:val="20"/>
          <w:szCs w:val="20"/>
        </w:rPr>
      </w:pPr>
      <w:r w:rsidRPr="48425B6A">
        <w:rPr>
          <w:rFonts w:ascii="Arial" w:eastAsia="Arial" w:hAnsi="Arial" w:cs="Arial"/>
          <w:sz w:val="20"/>
          <w:szCs w:val="20"/>
        </w:rPr>
        <w:t xml:space="preserve">Wonyra, K. O. (2018). Regional Integration and Export Supply Constraints: Evidence from ECOWAS Zone. </w:t>
      </w:r>
      <w:r w:rsidRPr="48425B6A">
        <w:rPr>
          <w:rFonts w:ascii="Arial" w:eastAsia="Arial" w:hAnsi="Arial" w:cs="Arial"/>
          <w:i/>
          <w:iCs/>
          <w:sz w:val="20"/>
          <w:szCs w:val="20"/>
        </w:rPr>
        <w:t>WEST African Journal of Monetary and Economic Integration,</w:t>
      </w:r>
      <w:r w:rsidRPr="48425B6A">
        <w:rPr>
          <w:rFonts w:ascii="Arial" w:eastAsia="Arial" w:hAnsi="Arial" w:cs="Arial"/>
          <w:sz w:val="20"/>
          <w:szCs w:val="20"/>
        </w:rPr>
        <w:t xml:space="preserve"> Vol. 18, Pp: 72-92.</w:t>
      </w:r>
    </w:p>
    <w:p w14:paraId="3FB30A06" w14:textId="77777777" w:rsidR="00941F0B" w:rsidRDefault="0004101F" w:rsidP="0066301C">
      <w:pPr>
        <w:spacing w:after="200"/>
        <w:jc w:val="both"/>
        <w:rPr>
          <w:rFonts w:ascii="Arial" w:eastAsia="Times New Roman" w:hAnsi="Arial" w:cs="Arial"/>
          <w:color w:val="131314"/>
          <w:sz w:val="20"/>
          <w:szCs w:val="20"/>
          <w:lang w:eastAsia="en-GB"/>
        </w:rPr>
      </w:pPr>
      <w:r w:rsidRPr="000409CE">
        <w:rPr>
          <w:rFonts w:ascii="Arial" w:eastAsia="Times New Roman" w:hAnsi="Arial" w:cs="Arial"/>
          <w:color w:val="131314"/>
          <w:sz w:val="20"/>
          <w:szCs w:val="20"/>
          <w:lang w:eastAsia="en-GB"/>
        </w:rPr>
        <w:t xml:space="preserve">Woodford, M. (2008). How Important Is Money in the Conduct of Monetary Policy? </w:t>
      </w:r>
      <w:r w:rsidRPr="000409CE">
        <w:rPr>
          <w:rFonts w:ascii="Arial" w:eastAsia="Times New Roman" w:hAnsi="Arial" w:cs="Arial"/>
          <w:i/>
          <w:iCs/>
          <w:color w:val="131314"/>
          <w:sz w:val="20"/>
          <w:szCs w:val="20"/>
          <w:lang w:eastAsia="en-GB"/>
        </w:rPr>
        <w:t xml:space="preserve">Journal of Money, Credit and Banking, </w:t>
      </w:r>
      <w:r w:rsidRPr="000409CE">
        <w:rPr>
          <w:rFonts w:ascii="Arial" w:eastAsia="Times New Roman" w:hAnsi="Arial" w:cs="Arial"/>
          <w:color w:val="131314"/>
          <w:sz w:val="20"/>
          <w:szCs w:val="20"/>
          <w:lang w:eastAsia="en-GB"/>
        </w:rPr>
        <w:t>Vol. 40(8), Pp: 1561-1598</w:t>
      </w:r>
      <w:r w:rsidR="00941F0B">
        <w:rPr>
          <w:rFonts w:ascii="Arial" w:eastAsia="Times New Roman" w:hAnsi="Arial" w:cs="Arial"/>
          <w:color w:val="131314"/>
          <w:sz w:val="20"/>
          <w:szCs w:val="20"/>
          <w:lang w:eastAsia="en-GB"/>
        </w:rPr>
        <w:t>.</w:t>
      </w:r>
    </w:p>
    <w:p w14:paraId="4E341BAA" w14:textId="1E2655B7" w:rsidR="21C3821A" w:rsidRDefault="21C3821A" w:rsidP="0066301C">
      <w:pPr>
        <w:spacing w:after="200"/>
        <w:jc w:val="both"/>
        <w:rPr>
          <w:rFonts w:ascii="Arial" w:eastAsia="Arial" w:hAnsi="Arial" w:cs="Arial"/>
          <w:sz w:val="20"/>
          <w:szCs w:val="20"/>
          <w:lang w:val="en-US"/>
        </w:rPr>
      </w:pPr>
      <w:r w:rsidRPr="48425B6A">
        <w:rPr>
          <w:rFonts w:ascii="Arial" w:eastAsia="Arial" w:hAnsi="Arial" w:cs="Arial"/>
          <w:sz w:val="20"/>
          <w:szCs w:val="20"/>
          <w:lang w:val="en-US"/>
        </w:rPr>
        <w:t xml:space="preserve">World Bank. (1984) </w:t>
      </w:r>
      <w:r w:rsidRPr="48425B6A">
        <w:rPr>
          <w:rFonts w:ascii="Arial" w:eastAsia="Arial" w:hAnsi="Arial" w:cs="Arial"/>
          <w:i/>
          <w:iCs/>
          <w:sz w:val="20"/>
          <w:szCs w:val="20"/>
          <w:lang w:val="en-US"/>
        </w:rPr>
        <w:t xml:space="preserve">Toward sustainable development in Sub-Saharan Africa. </w:t>
      </w:r>
      <w:r w:rsidRPr="48425B6A">
        <w:rPr>
          <w:rFonts w:ascii="Arial" w:eastAsia="Arial" w:hAnsi="Arial" w:cs="Arial"/>
          <w:sz w:val="20"/>
          <w:szCs w:val="20"/>
          <w:lang w:val="en-US"/>
        </w:rPr>
        <w:t xml:space="preserve">Washington, D.C. </w:t>
      </w:r>
    </w:p>
    <w:p w14:paraId="56AA04C9" w14:textId="10BAA9D1" w:rsidR="21C3821A" w:rsidRDefault="21C3821A" w:rsidP="0066301C">
      <w:pPr>
        <w:spacing w:after="200"/>
        <w:jc w:val="both"/>
        <w:rPr>
          <w:rFonts w:ascii="Arial" w:eastAsia="Arial" w:hAnsi="Arial" w:cs="Arial"/>
          <w:sz w:val="20"/>
          <w:szCs w:val="20"/>
          <w:lang w:val="en-US"/>
        </w:rPr>
      </w:pPr>
      <w:r w:rsidRPr="48425B6A">
        <w:rPr>
          <w:rFonts w:ascii="Arial" w:eastAsia="Arial" w:hAnsi="Arial" w:cs="Arial"/>
          <w:sz w:val="20"/>
          <w:szCs w:val="20"/>
          <w:lang w:val="en-US"/>
        </w:rPr>
        <w:t xml:space="preserve">World Bank, (1994), “Choice of Exchange Rate Regimes for Developing Countries”, </w:t>
      </w:r>
      <w:r w:rsidRPr="48425B6A">
        <w:rPr>
          <w:rFonts w:ascii="Arial" w:eastAsia="Arial" w:hAnsi="Arial" w:cs="Arial"/>
          <w:i/>
          <w:iCs/>
          <w:sz w:val="20"/>
          <w:szCs w:val="20"/>
          <w:lang w:val="en-US"/>
        </w:rPr>
        <w:t>Africa Region Working Paper</w:t>
      </w:r>
      <w:r w:rsidRPr="48425B6A">
        <w:rPr>
          <w:rFonts w:ascii="Arial" w:eastAsia="Arial" w:hAnsi="Arial" w:cs="Arial"/>
          <w:sz w:val="20"/>
          <w:szCs w:val="20"/>
          <w:lang w:val="en-US"/>
        </w:rPr>
        <w:t xml:space="preserve"> </w:t>
      </w:r>
      <w:r w:rsidRPr="48425B6A">
        <w:rPr>
          <w:rFonts w:ascii="Arial" w:eastAsia="Arial" w:hAnsi="Arial" w:cs="Arial"/>
          <w:i/>
          <w:iCs/>
          <w:sz w:val="20"/>
          <w:szCs w:val="20"/>
          <w:lang w:val="en-US"/>
        </w:rPr>
        <w:t>Series No.16</w:t>
      </w:r>
      <w:r w:rsidRPr="48425B6A">
        <w:rPr>
          <w:rFonts w:ascii="Arial" w:eastAsia="Arial" w:hAnsi="Arial" w:cs="Arial"/>
          <w:sz w:val="20"/>
          <w:szCs w:val="20"/>
          <w:lang w:val="en-US"/>
        </w:rPr>
        <w:t>.</w:t>
      </w:r>
    </w:p>
    <w:p w14:paraId="49BCB2A3" w14:textId="56BAE0DF" w:rsidR="21C3821A" w:rsidRDefault="21C3821A" w:rsidP="0066301C">
      <w:pPr>
        <w:spacing w:after="200" w:line="276" w:lineRule="auto"/>
        <w:jc w:val="both"/>
        <w:rPr>
          <w:rFonts w:ascii="Arial" w:eastAsia="Arial" w:hAnsi="Arial" w:cs="Arial"/>
          <w:sz w:val="20"/>
          <w:szCs w:val="20"/>
        </w:rPr>
      </w:pPr>
      <w:r w:rsidRPr="48425B6A">
        <w:rPr>
          <w:rFonts w:ascii="Arial" w:eastAsia="Arial" w:hAnsi="Arial" w:cs="Arial"/>
          <w:sz w:val="20"/>
          <w:szCs w:val="20"/>
        </w:rPr>
        <w:t xml:space="preserve">World Bank (1996). Republic of Cameroon the Challenge: Harnessing Unrealized Potential a Private Sector Assessment, Report No. 13955-CM, </w:t>
      </w:r>
      <w:r w:rsidRPr="48425B6A">
        <w:rPr>
          <w:rFonts w:ascii="Arial" w:eastAsia="Arial" w:hAnsi="Arial" w:cs="Arial"/>
          <w:i/>
          <w:iCs/>
          <w:sz w:val="20"/>
          <w:szCs w:val="20"/>
        </w:rPr>
        <w:t>The World Bank, Washington</w:t>
      </w:r>
      <w:r w:rsidRPr="48425B6A">
        <w:rPr>
          <w:rFonts w:ascii="Arial" w:eastAsia="Arial" w:hAnsi="Arial" w:cs="Arial"/>
          <w:sz w:val="20"/>
          <w:szCs w:val="20"/>
        </w:rPr>
        <w:t xml:space="preserve">.  </w:t>
      </w:r>
    </w:p>
    <w:p w14:paraId="6D8141DE" w14:textId="11D3EE70" w:rsidR="21C3821A" w:rsidRDefault="21C3821A" w:rsidP="0066301C">
      <w:pPr>
        <w:spacing w:after="200" w:line="276" w:lineRule="auto"/>
        <w:jc w:val="both"/>
        <w:rPr>
          <w:rFonts w:ascii="Arial" w:eastAsia="Arial" w:hAnsi="Arial" w:cs="Arial"/>
          <w:sz w:val="20"/>
          <w:szCs w:val="20"/>
        </w:rPr>
      </w:pPr>
      <w:r w:rsidRPr="48425B6A">
        <w:rPr>
          <w:rFonts w:ascii="Arial" w:eastAsia="Arial" w:hAnsi="Arial" w:cs="Arial"/>
          <w:sz w:val="20"/>
          <w:szCs w:val="20"/>
        </w:rPr>
        <w:t xml:space="preserve">Yanikkaya, H. (2003). Trade Openness and Economic Growth: A Cross Country Empirical Investigation. </w:t>
      </w:r>
      <w:r w:rsidRPr="48425B6A">
        <w:rPr>
          <w:rFonts w:ascii="Arial" w:eastAsia="Arial" w:hAnsi="Arial" w:cs="Arial"/>
          <w:i/>
          <w:iCs/>
          <w:sz w:val="20"/>
          <w:szCs w:val="20"/>
        </w:rPr>
        <w:t xml:space="preserve">Journal of Development Economics. </w:t>
      </w:r>
      <w:r w:rsidRPr="48425B6A">
        <w:rPr>
          <w:rFonts w:ascii="Arial" w:eastAsia="Arial" w:hAnsi="Arial" w:cs="Arial"/>
          <w:sz w:val="20"/>
          <w:szCs w:val="20"/>
        </w:rPr>
        <w:t>Vol. 72(1), Pp: 57 – 89.</w:t>
      </w:r>
    </w:p>
    <w:p w14:paraId="024B56C8" w14:textId="5C35B282" w:rsidR="21C3821A" w:rsidRDefault="21C3821A" w:rsidP="0066301C">
      <w:pPr>
        <w:spacing w:after="200" w:line="276" w:lineRule="auto"/>
        <w:jc w:val="both"/>
        <w:rPr>
          <w:rFonts w:ascii="Arial" w:eastAsia="Arial" w:hAnsi="Arial" w:cs="Arial"/>
          <w:sz w:val="20"/>
          <w:szCs w:val="20"/>
        </w:rPr>
      </w:pPr>
      <w:r w:rsidRPr="48425B6A">
        <w:rPr>
          <w:rFonts w:ascii="Arial" w:eastAsia="Arial" w:hAnsi="Arial" w:cs="Arial"/>
          <w:sz w:val="20"/>
          <w:szCs w:val="20"/>
        </w:rPr>
        <w:t xml:space="preserve">You, K. and Sarantis, N. (2012). Structural Breaks and the Equilibrium Real Effective Exchange Rate in China: A NATREX Approach. </w:t>
      </w:r>
      <w:r w:rsidRPr="48425B6A">
        <w:rPr>
          <w:rFonts w:ascii="Arial" w:eastAsia="Arial" w:hAnsi="Arial" w:cs="Arial"/>
          <w:i/>
          <w:iCs/>
          <w:sz w:val="20"/>
          <w:szCs w:val="20"/>
        </w:rPr>
        <w:t xml:space="preserve">China economic Review. </w:t>
      </w:r>
      <w:r w:rsidRPr="48425B6A">
        <w:rPr>
          <w:rFonts w:ascii="Arial" w:eastAsia="Arial" w:hAnsi="Arial" w:cs="Arial"/>
          <w:sz w:val="20"/>
          <w:szCs w:val="20"/>
        </w:rPr>
        <w:t>Vol. 23(4), Pp: 1146 – 1163.</w:t>
      </w:r>
    </w:p>
    <w:p w14:paraId="331636F0" w14:textId="3DBF650A" w:rsidR="21C3821A" w:rsidRDefault="21C3821A" w:rsidP="0066301C">
      <w:pPr>
        <w:spacing w:after="200" w:line="276" w:lineRule="auto"/>
        <w:jc w:val="both"/>
        <w:rPr>
          <w:rFonts w:ascii="Arial" w:eastAsia="Arial" w:hAnsi="Arial" w:cs="Arial"/>
          <w:sz w:val="20"/>
          <w:szCs w:val="20"/>
        </w:rPr>
      </w:pPr>
      <w:r w:rsidRPr="48425B6A">
        <w:rPr>
          <w:rFonts w:ascii="Arial" w:eastAsia="Arial" w:hAnsi="Arial" w:cs="Arial"/>
          <w:sz w:val="20"/>
          <w:szCs w:val="20"/>
        </w:rPr>
        <w:t xml:space="preserve">Yuen-Ling, N. and Wai-Mum, H. (2008). Real Exchange Rate and Trade Balance Relationship: An Empirical Study on Malaysia. </w:t>
      </w:r>
      <w:r w:rsidRPr="48425B6A">
        <w:rPr>
          <w:rFonts w:ascii="Arial" w:eastAsia="Arial" w:hAnsi="Arial" w:cs="Arial"/>
          <w:i/>
          <w:iCs/>
          <w:sz w:val="20"/>
          <w:szCs w:val="20"/>
        </w:rPr>
        <w:t xml:space="preserve">International Journal of Business and Management, </w:t>
      </w:r>
      <w:r w:rsidRPr="48425B6A">
        <w:rPr>
          <w:rFonts w:ascii="Arial" w:eastAsia="Arial" w:hAnsi="Arial" w:cs="Arial"/>
          <w:sz w:val="20"/>
          <w:szCs w:val="20"/>
        </w:rPr>
        <w:t>Vol. 3 (8), Pp: 130 – 137.</w:t>
      </w:r>
    </w:p>
    <w:p w14:paraId="2B1A6A4F" w14:textId="552D2E7B" w:rsidR="21C3821A" w:rsidRDefault="21C3821A" w:rsidP="0066301C">
      <w:pPr>
        <w:spacing w:after="200" w:line="276" w:lineRule="auto"/>
        <w:jc w:val="both"/>
        <w:rPr>
          <w:rFonts w:ascii="Arial" w:eastAsia="Arial" w:hAnsi="Arial" w:cs="Arial"/>
          <w:sz w:val="20"/>
          <w:szCs w:val="20"/>
        </w:rPr>
      </w:pPr>
      <w:r w:rsidRPr="48425B6A">
        <w:rPr>
          <w:rFonts w:ascii="Arial" w:eastAsia="Arial" w:hAnsi="Arial" w:cs="Arial"/>
          <w:sz w:val="20"/>
          <w:szCs w:val="20"/>
        </w:rPr>
        <w:t xml:space="preserve">Yusoff, M. B. and Febrina, I. (2014). Trade Openness, Real Exchange Rate, Gross Domestic Investment and Growth in Indonesia. </w:t>
      </w:r>
      <w:r w:rsidRPr="48425B6A">
        <w:rPr>
          <w:rFonts w:ascii="Arial" w:eastAsia="Arial" w:hAnsi="Arial" w:cs="Arial"/>
          <w:i/>
          <w:iCs/>
          <w:sz w:val="20"/>
          <w:szCs w:val="20"/>
        </w:rPr>
        <w:t xml:space="preserve">Margin Journal of Applied Economic Research, </w:t>
      </w:r>
      <w:r w:rsidRPr="48425B6A">
        <w:rPr>
          <w:rFonts w:ascii="Arial" w:eastAsia="Arial" w:hAnsi="Arial" w:cs="Arial"/>
          <w:sz w:val="20"/>
          <w:szCs w:val="20"/>
        </w:rPr>
        <w:t>Vol. 8(1), Pp: 1-13.</w:t>
      </w:r>
    </w:p>
    <w:p w14:paraId="353F8A44" w14:textId="2F712046" w:rsidR="21C3821A" w:rsidRDefault="21C3821A" w:rsidP="0066301C">
      <w:pPr>
        <w:spacing w:after="200" w:line="276" w:lineRule="auto"/>
        <w:jc w:val="both"/>
        <w:rPr>
          <w:rFonts w:ascii="Arial" w:eastAsia="Arial" w:hAnsi="Arial" w:cs="Arial"/>
          <w:sz w:val="20"/>
          <w:szCs w:val="20"/>
        </w:rPr>
      </w:pPr>
      <w:r w:rsidRPr="48425B6A">
        <w:rPr>
          <w:rFonts w:ascii="Arial" w:eastAsia="Arial" w:hAnsi="Arial" w:cs="Arial"/>
          <w:sz w:val="20"/>
          <w:szCs w:val="20"/>
        </w:rPr>
        <w:t xml:space="preserve">Zakaria, M. and Ghauri, A. B. (2011). Trade Openess and Real Exchange Rate: Some Evidence from Pakistan. </w:t>
      </w:r>
      <w:r w:rsidRPr="48425B6A">
        <w:rPr>
          <w:rFonts w:ascii="Arial" w:eastAsia="Arial" w:hAnsi="Arial" w:cs="Arial"/>
          <w:i/>
          <w:iCs/>
          <w:sz w:val="20"/>
          <w:szCs w:val="20"/>
        </w:rPr>
        <w:t xml:space="preserve">Romanian Economic Journal, </w:t>
      </w:r>
      <w:r w:rsidRPr="48425B6A">
        <w:rPr>
          <w:rFonts w:ascii="Arial" w:eastAsia="Arial" w:hAnsi="Arial" w:cs="Arial"/>
          <w:sz w:val="20"/>
          <w:szCs w:val="20"/>
        </w:rPr>
        <w:t xml:space="preserve">Vol. 14(39), Pp201-229. </w:t>
      </w:r>
    </w:p>
    <w:p w14:paraId="5E5C6B90" w14:textId="1AAE2704" w:rsidR="21C3821A" w:rsidRDefault="21C3821A" w:rsidP="0066301C">
      <w:pPr>
        <w:spacing w:after="200" w:line="276" w:lineRule="auto"/>
        <w:jc w:val="both"/>
        <w:rPr>
          <w:rFonts w:ascii="Arial" w:eastAsia="Arial" w:hAnsi="Arial" w:cs="Arial"/>
          <w:sz w:val="20"/>
          <w:szCs w:val="20"/>
        </w:rPr>
      </w:pPr>
      <w:r w:rsidRPr="48425B6A">
        <w:rPr>
          <w:rFonts w:ascii="Arial" w:eastAsia="Arial" w:hAnsi="Arial" w:cs="Arial"/>
          <w:sz w:val="20"/>
          <w:szCs w:val="20"/>
        </w:rPr>
        <w:t xml:space="preserve">Zhang, W. B. (2008). </w:t>
      </w:r>
      <w:r w:rsidRPr="48425B6A">
        <w:rPr>
          <w:rFonts w:ascii="Arial" w:eastAsia="Arial" w:hAnsi="Arial" w:cs="Arial"/>
          <w:i/>
          <w:iCs/>
          <w:sz w:val="20"/>
          <w:szCs w:val="20"/>
        </w:rPr>
        <w:t xml:space="preserve">International Trade Theory: Capital, Knowledge, Economic Structure, Money, and Prices Over Time, </w:t>
      </w:r>
      <w:r w:rsidRPr="48425B6A">
        <w:rPr>
          <w:rFonts w:ascii="Arial" w:eastAsia="Arial" w:hAnsi="Arial" w:cs="Arial"/>
          <w:sz w:val="20"/>
          <w:szCs w:val="20"/>
        </w:rPr>
        <w:t xml:space="preserve">Springer </w:t>
      </w:r>
    </w:p>
    <w:p w14:paraId="6131DB9C" w14:textId="67B26877" w:rsidR="21C3821A" w:rsidRDefault="21C3821A" w:rsidP="0066301C">
      <w:pPr>
        <w:spacing w:after="200"/>
        <w:jc w:val="both"/>
        <w:rPr>
          <w:rFonts w:ascii="Arial" w:eastAsia="Arial" w:hAnsi="Arial" w:cs="Arial"/>
          <w:sz w:val="20"/>
          <w:szCs w:val="20"/>
        </w:rPr>
      </w:pPr>
      <w:r w:rsidRPr="48425B6A">
        <w:rPr>
          <w:rFonts w:ascii="Arial" w:eastAsia="Arial" w:hAnsi="Arial" w:cs="Arial"/>
          <w:sz w:val="20"/>
          <w:szCs w:val="20"/>
        </w:rPr>
        <w:t xml:space="preserve">Zhao, X. and Kim, Y. (2009). Is the CFA Franc Zone an Optimum Currency Area? World Development Vol. 37, No. 12, pp. 1877–1886. </w:t>
      </w:r>
    </w:p>
    <w:p w14:paraId="27AE0F8D" w14:textId="74A33D4C" w:rsidR="21C3821A" w:rsidRDefault="21C3821A" w:rsidP="0066301C">
      <w:pPr>
        <w:spacing w:after="200"/>
        <w:jc w:val="both"/>
        <w:rPr>
          <w:rFonts w:ascii="Arial" w:eastAsia="Arial" w:hAnsi="Arial" w:cs="Arial"/>
          <w:sz w:val="20"/>
          <w:szCs w:val="20"/>
        </w:rPr>
      </w:pPr>
      <w:r w:rsidRPr="48425B6A">
        <w:rPr>
          <w:rFonts w:ascii="Arial" w:eastAsia="Arial" w:hAnsi="Arial" w:cs="Arial"/>
          <w:sz w:val="20"/>
          <w:szCs w:val="20"/>
        </w:rPr>
        <w:t xml:space="preserve">Ziramba, E. and Chifamba, R. T. (2014). The </w:t>
      </w:r>
      <w:r w:rsidRPr="48425B6A">
        <w:rPr>
          <w:rFonts w:ascii="Arial" w:eastAsia="Arial" w:hAnsi="Arial" w:cs="Arial"/>
          <w:i/>
          <w:iCs/>
          <w:sz w:val="20"/>
          <w:szCs w:val="20"/>
        </w:rPr>
        <w:t xml:space="preserve">J- </w:t>
      </w:r>
      <w:r w:rsidRPr="48425B6A">
        <w:rPr>
          <w:rFonts w:ascii="Arial" w:eastAsia="Arial" w:hAnsi="Arial" w:cs="Arial"/>
          <w:sz w:val="20"/>
          <w:szCs w:val="20"/>
        </w:rPr>
        <w:t xml:space="preserve">Curve Dynamics of South African Trade: Evidence from the ARDL Approach. </w:t>
      </w:r>
      <w:r w:rsidRPr="48425B6A">
        <w:rPr>
          <w:rFonts w:ascii="Arial" w:eastAsia="Arial" w:hAnsi="Arial" w:cs="Arial"/>
          <w:i/>
          <w:iCs/>
          <w:sz w:val="20"/>
          <w:szCs w:val="20"/>
        </w:rPr>
        <w:t xml:space="preserve">European Scientific Journal, </w:t>
      </w:r>
      <w:r w:rsidRPr="48425B6A">
        <w:rPr>
          <w:rFonts w:ascii="Arial" w:eastAsia="Arial" w:hAnsi="Arial" w:cs="Arial"/>
          <w:sz w:val="20"/>
          <w:szCs w:val="20"/>
        </w:rPr>
        <w:t>Vol. 10(19), Pp: 1857-7881.</w:t>
      </w:r>
    </w:p>
    <w:p w14:paraId="39D7D7F3" w14:textId="2767B338" w:rsidR="21C3821A" w:rsidRDefault="21C3821A" w:rsidP="0066301C">
      <w:pPr>
        <w:spacing w:after="200"/>
        <w:jc w:val="both"/>
        <w:rPr>
          <w:rFonts w:ascii="Arial" w:eastAsia="Arial" w:hAnsi="Arial" w:cs="Arial"/>
          <w:sz w:val="20"/>
          <w:szCs w:val="20"/>
        </w:rPr>
      </w:pPr>
      <w:r w:rsidRPr="48425B6A">
        <w:rPr>
          <w:rFonts w:ascii="Arial" w:eastAsia="Arial" w:hAnsi="Arial" w:cs="Arial"/>
          <w:sz w:val="20"/>
          <w:szCs w:val="20"/>
        </w:rPr>
        <w:t xml:space="preserve">Zobo, C. A. (2014). European Crisis and Sustainability of the CFA Franc Fixity to Euro. </w:t>
      </w:r>
      <w:r w:rsidRPr="48425B6A">
        <w:rPr>
          <w:rFonts w:ascii="Arial" w:eastAsia="Arial" w:hAnsi="Arial" w:cs="Arial"/>
          <w:i/>
          <w:iCs/>
          <w:sz w:val="20"/>
          <w:szCs w:val="20"/>
        </w:rPr>
        <w:t xml:space="preserve">The Journal of European Theoretical and Applied Studies. </w:t>
      </w:r>
      <w:r w:rsidRPr="48425B6A">
        <w:rPr>
          <w:rFonts w:ascii="Arial" w:eastAsia="Arial" w:hAnsi="Arial" w:cs="Arial"/>
          <w:sz w:val="20"/>
          <w:szCs w:val="20"/>
        </w:rPr>
        <w:t xml:space="preserve">The Center for European Studies at Kieklareli University – Turkey, Vol. 2(2), Pp:53-71. </w:t>
      </w:r>
    </w:p>
    <w:p w14:paraId="5825FBC2" w14:textId="0E1CE90F" w:rsidR="21C3821A" w:rsidRPr="004700CF" w:rsidRDefault="21C3821A" w:rsidP="0066301C">
      <w:pPr>
        <w:spacing w:after="4" w:line="245" w:lineRule="auto"/>
        <w:jc w:val="both"/>
        <w:rPr>
          <w:rFonts w:ascii="Arial" w:eastAsia="Arial" w:hAnsi="Arial" w:cs="Arial"/>
          <w:sz w:val="20"/>
          <w:szCs w:val="20"/>
        </w:rPr>
      </w:pPr>
      <w:r w:rsidRPr="48425B6A">
        <w:rPr>
          <w:rFonts w:ascii="Arial" w:eastAsia="Arial" w:hAnsi="Arial" w:cs="Arial"/>
          <w:sz w:val="20"/>
          <w:szCs w:val="20"/>
        </w:rPr>
        <w:t xml:space="preserve">Zukauskas, P., Vveinhardt, J and Andriukaitienė R (2018) Philosophy and Paradigm of Scientific Research. Available at </w:t>
      </w:r>
      <w:hyperlink r:id="rId133">
        <w:r w:rsidRPr="004700CF">
          <w:rPr>
            <w:rStyle w:val="Hyperlink"/>
            <w:rFonts w:ascii="Arial" w:eastAsia="Arial" w:hAnsi="Arial" w:cs="Arial"/>
            <w:sz w:val="20"/>
            <w:szCs w:val="20"/>
            <w:u w:val="none"/>
          </w:rPr>
          <w:t>http://dx.doi.org/10.5772/intechopen.70628</w:t>
        </w:r>
      </w:hyperlink>
      <w:r w:rsidRPr="004700CF">
        <w:rPr>
          <w:rFonts w:ascii="Arial" w:eastAsia="Arial" w:hAnsi="Arial" w:cs="Arial"/>
          <w:sz w:val="20"/>
          <w:szCs w:val="20"/>
        </w:rPr>
        <w:t xml:space="preserve">. Accessed 10th march </w:t>
      </w:r>
    </w:p>
    <w:p w14:paraId="136303A0" w14:textId="4FC8C162" w:rsidR="21C3821A" w:rsidRPr="004700CF" w:rsidRDefault="21C3821A" w:rsidP="0066301C">
      <w:pPr>
        <w:spacing w:after="200"/>
        <w:jc w:val="both"/>
        <w:rPr>
          <w:rFonts w:ascii="Arial" w:eastAsia="Arial" w:hAnsi="Arial" w:cs="Arial"/>
          <w:sz w:val="20"/>
          <w:szCs w:val="20"/>
        </w:rPr>
      </w:pPr>
      <w:r w:rsidRPr="004700CF">
        <w:rPr>
          <w:rFonts w:ascii="Arial" w:eastAsia="Arial" w:hAnsi="Arial" w:cs="Arial"/>
          <w:sz w:val="20"/>
          <w:szCs w:val="20"/>
        </w:rPr>
        <w:t xml:space="preserve"> </w:t>
      </w:r>
    </w:p>
    <w:p w14:paraId="71CB39B5" w14:textId="338D998A" w:rsidR="21C3821A" w:rsidRPr="004700CF" w:rsidRDefault="21C3821A" w:rsidP="0066301C">
      <w:pPr>
        <w:spacing w:after="240" w:line="360" w:lineRule="auto"/>
        <w:jc w:val="both"/>
        <w:rPr>
          <w:rFonts w:ascii="Arial" w:eastAsia="Arial" w:hAnsi="Arial" w:cs="Arial"/>
          <w:b/>
          <w:bCs/>
          <w:sz w:val="20"/>
          <w:szCs w:val="20"/>
        </w:rPr>
      </w:pPr>
      <w:r w:rsidRPr="004700CF">
        <w:rPr>
          <w:rFonts w:ascii="Arial" w:eastAsia="Arial" w:hAnsi="Arial" w:cs="Arial"/>
          <w:b/>
          <w:bCs/>
          <w:sz w:val="20"/>
          <w:szCs w:val="20"/>
        </w:rPr>
        <w:t>ONLINE</w:t>
      </w:r>
    </w:p>
    <w:p w14:paraId="18D0BC8F" w14:textId="2D6A0999" w:rsidR="21C3821A" w:rsidRPr="004700CF" w:rsidRDefault="21C3821A" w:rsidP="0066301C">
      <w:pPr>
        <w:spacing w:after="200"/>
        <w:jc w:val="both"/>
        <w:rPr>
          <w:rFonts w:ascii="Arial" w:eastAsia="Arial" w:hAnsi="Arial" w:cs="Arial"/>
          <w:sz w:val="20"/>
          <w:szCs w:val="20"/>
        </w:rPr>
      </w:pPr>
      <w:r w:rsidRPr="004700CF">
        <w:rPr>
          <w:rFonts w:ascii="Arial" w:eastAsia="Arial" w:hAnsi="Arial" w:cs="Arial"/>
          <w:sz w:val="20"/>
          <w:szCs w:val="20"/>
        </w:rPr>
        <w:t xml:space="preserve">Abey, F. (2010). Balance of Payments (BOP) and Exchange Rates. &lt; </w:t>
      </w:r>
      <w:hyperlink r:id="rId134">
        <w:r w:rsidRPr="004700CF">
          <w:rPr>
            <w:rStyle w:val="Hyperlink"/>
            <w:rFonts w:ascii="Arial" w:eastAsia="Arial" w:hAnsi="Arial" w:cs="Arial"/>
            <w:sz w:val="20"/>
            <w:szCs w:val="20"/>
            <w:u w:val="none"/>
          </w:rPr>
          <w:t>https://www.mbaknol.com/international-finance/balance-of-payments-bop-and-exchange-rates/</w:t>
        </w:r>
      </w:hyperlink>
      <w:r w:rsidRPr="004700CF">
        <w:rPr>
          <w:rFonts w:ascii="Arial" w:eastAsia="Arial" w:hAnsi="Arial" w:cs="Arial"/>
          <w:sz w:val="20"/>
          <w:szCs w:val="20"/>
        </w:rPr>
        <w:t xml:space="preserve">&gt;. Access on 13/03/2021. </w:t>
      </w:r>
    </w:p>
    <w:p w14:paraId="18131B34" w14:textId="6870F0F8" w:rsidR="21C3821A" w:rsidRPr="004700CF" w:rsidRDefault="21C3821A" w:rsidP="0066301C">
      <w:pPr>
        <w:spacing w:after="200"/>
        <w:jc w:val="both"/>
        <w:rPr>
          <w:rFonts w:ascii="Arial" w:eastAsia="Arial" w:hAnsi="Arial" w:cs="Arial"/>
          <w:sz w:val="20"/>
          <w:szCs w:val="20"/>
        </w:rPr>
      </w:pPr>
      <w:r w:rsidRPr="004700CF">
        <w:rPr>
          <w:rFonts w:ascii="Arial" w:eastAsia="Arial" w:hAnsi="Arial" w:cs="Arial"/>
          <w:sz w:val="20"/>
          <w:szCs w:val="20"/>
        </w:rPr>
        <w:lastRenderedPageBreak/>
        <w:t>Africa Business Magazine, 2012. A brief history of the CFA Franc, &lt;</w:t>
      </w:r>
      <w:hyperlink r:id="rId135">
        <w:r w:rsidRPr="004700CF">
          <w:rPr>
            <w:rStyle w:val="Hyperlink"/>
            <w:rFonts w:ascii="Arial" w:eastAsia="Arial" w:hAnsi="Arial" w:cs="Arial"/>
            <w:sz w:val="20"/>
            <w:szCs w:val="20"/>
            <w:u w:val="none"/>
          </w:rPr>
          <w:t>http://africanbusinessmagazine.com/uncategorised/a-brief-history-of-the-cfa-franc/</w:t>
        </w:r>
      </w:hyperlink>
      <w:r w:rsidRPr="004700CF">
        <w:rPr>
          <w:rFonts w:ascii="Arial" w:eastAsia="Arial" w:hAnsi="Arial" w:cs="Arial"/>
          <w:sz w:val="20"/>
          <w:szCs w:val="20"/>
        </w:rPr>
        <w:t xml:space="preserve"> &gt;. Access on 10/05/2017. </w:t>
      </w:r>
    </w:p>
    <w:p w14:paraId="4B3CB96C" w14:textId="01460017" w:rsidR="21C3821A" w:rsidRPr="004700CF" w:rsidRDefault="21C3821A" w:rsidP="0066301C">
      <w:pPr>
        <w:spacing w:after="240"/>
        <w:jc w:val="both"/>
        <w:rPr>
          <w:rFonts w:ascii="Arial" w:eastAsia="Arial" w:hAnsi="Arial" w:cs="Arial"/>
          <w:sz w:val="20"/>
          <w:szCs w:val="20"/>
        </w:rPr>
      </w:pPr>
      <w:r w:rsidRPr="004700CF">
        <w:rPr>
          <w:rFonts w:ascii="Arial" w:eastAsia="Arial" w:hAnsi="Arial" w:cs="Arial"/>
          <w:sz w:val="20"/>
          <w:szCs w:val="20"/>
        </w:rPr>
        <w:t>African Development Bank (ADB) (2018). “Central Africa Economic Outlook 2018”. Macroeconomic Developments and Poverty, Inequality, and Employment. &lt;</w:t>
      </w:r>
      <w:hyperlink r:id="rId136">
        <w:r w:rsidRPr="004700CF">
          <w:rPr>
            <w:rStyle w:val="Hyperlink"/>
            <w:rFonts w:ascii="Arial" w:eastAsia="Arial" w:hAnsi="Arial" w:cs="Arial"/>
            <w:sz w:val="20"/>
            <w:szCs w:val="20"/>
            <w:u w:val="none"/>
          </w:rPr>
          <w:t>https://www.afdb.org/fileadmin/uploads/afdb/Documents/Publications/2018AEO/African-Economic-Outlook-2018-Central-Africa.pdf</w:t>
        </w:r>
      </w:hyperlink>
      <w:r w:rsidRPr="004700CF">
        <w:rPr>
          <w:rFonts w:ascii="Arial" w:eastAsia="Arial" w:hAnsi="Arial" w:cs="Arial"/>
          <w:sz w:val="20"/>
          <w:szCs w:val="20"/>
        </w:rPr>
        <w:t>&gt;. Access on 04</w:t>
      </w:r>
      <w:r w:rsidR="00600C66" w:rsidRPr="004700CF">
        <w:rPr>
          <w:rFonts w:ascii="Arial" w:eastAsia="Arial" w:hAnsi="Arial" w:cs="Arial"/>
          <w:sz w:val="20"/>
          <w:szCs w:val="20"/>
        </w:rPr>
        <w:t>/06/</w:t>
      </w:r>
      <w:r w:rsidRPr="004700CF">
        <w:rPr>
          <w:rFonts w:ascii="Arial" w:eastAsia="Arial" w:hAnsi="Arial" w:cs="Arial"/>
          <w:sz w:val="20"/>
          <w:szCs w:val="20"/>
        </w:rPr>
        <w:t>2019.</w:t>
      </w:r>
    </w:p>
    <w:p w14:paraId="212485D3" w14:textId="49782622" w:rsidR="21C3821A" w:rsidRPr="004700CF" w:rsidRDefault="21C3821A" w:rsidP="0066301C">
      <w:pPr>
        <w:spacing w:after="200"/>
        <w:jc w:val="both"/>
        <w:rPr>
          <w:rFonts w:ascii="Arial" w:eastAsia="Arial" w:hAnsi="Arial" w:cs="Arial"/>
          <w:sz w:val="20"/>
          <w:szCs w:val="20"/>
        </w:rPr>
      </w:pPr>
      <w:r w:rsidRPr="004700CF">
        <w:rPr>
          <w:rFonts w:ascii="Arial" w:eastAsia="Arial" w:hAnsi="Arial" w:cs="Arial"/>
          <w:sz w:val="20"/>
          <w:szCs w:val="20"/>
          <w:lang w:val="en-US"/>
        </w:rPr>
        <w:t xml:space="preserve">Amadeo, K. (2019). Foreign Direct Investment “How FDI Affects Your Life”. &lt; </w:t>
      </w:r>
      <w:hyperlink r:id="rId137">
        <w:r w:rsidRPr="004700CF">
          <w:rPr>
            <w:rStyle w:val="Hyperlink"/>
            <w:rFonts w:ascii="Arial" w:eastAsia="Arial" w:hAnsi="Arial" w:cs="Arial"/>
            <w:sz w:val="20"/>
            <w:szCs w:val="20"/>
            <w:u w:val="none"/>
          </w:rPr>
          <w:t>https://www.thebalance.com/foreign-direct-investment-fdi-pros-cons-and-importance-3306283</w:t>
        </w:r>
      </w:hyperlink>
      <w:r w:rsidRPr="004700CF">
        <w:rPr>
          <w:rFonts w:ascii="Arial" w:eastAsia="Arial" w:hAnsi="Arial" w:cs="Arial"/>
          <w:sz w:val="20"/>
          <w:szCs w:val="20"/>
        </w:rPr>
        <w:t>&gt;. Accessed on 19/05/2019.</w:t>
      </w:r>
    </w:p>
    <w:p w14:paraId="03476273" w14:textId="6256D1A1" w:rsidR="21C3821A" w:rsidRPr="004700CF" w:rsidRDefault="21C3821A" w:rsidP="0066301C">
      <w:pPr>
        <w:spacing w:after="200"/>
        <w:jc w:val="both"/>
        <w:rPr>
          <w:rFonts w:ascii="Arial" w:eastAsia="Arial" w:hAnsi="Arial" w:cs="Arial"/>
          <w:sz w:val="20"/>
          <w:szCs w:val="20"/>
          <w:lang w:val="en-US"/>
        </w:rPr>
      </w:pPr>
      <w:r w:rsidRPr="004700CF">
        <w:rPr>
          <w:rFonts w:ascii="Arial" w:eastAsia="Arial" w:hAnsi="Arial" w:cs="Arial"/>
          <w:sz w:val="20"/>
          <w:szCs w:val="20"/>
          <w:lang w:val="en-US"/>
        </w:rPr>
        <w:t xml:space="preserve">Australia on net (2007). </w:t>
      </w:r>
      <w:r w:rsidRPr="004700CF">
        <w:rPr>
          <w:rFonts w:ascii="Arial" w:eastAsia="Arial" w:hAnsi="Arial" w:cs="Arial"/>
          <w:i/>
          <w:iCs/>
          <w:sz w:val="20"/>
          <w:szCs w:val="20"/>
          <w:lang w:val="en-US"/>
        </w:rPr>
        <w:t>Australian Industry.</w:t>
      </w:r>
      <w:r w:rsidRPr="004700CF">
        <w:rPr>
          <w:rFonts w:ascii="Arial" w:eastAsia="Arial" w:hAnsi="Arial" w:cs="Arial"/>
          <w:sz w:val="20"/>
          <w:szCs w:val="20"/>
          <w:lang w:val="en-US"/>
        </w:rPr>
        <w:t xml:space="preserve"> &lt;</w:t>
      </w:r>
      <w:hyperlink r:id="rId138">
        <w:r w:rsidRPr="004700CF">
          <w:rPr>
            <w:rStyle w:val="Hyperlink"/>
            <w:rFonts w:ascii="Arial" w:eastAsia="Arial" w:hAnsi="Arial" w:cs="Arial"/>
            <w:sz w:val="20"/>
            <w:szCs w:val="20"/>
            <w:u w:val="none"/>
            <w:lang w:val="en-US"/>
          </w:rPr>
          <w:t>http://www.australiaonnet.com/economy-business/industries/</w:t>
        </w:r>
      </w:hyperlink>
      <w:r w:rsidRPr="004700CF">
        <w:rPr>
          <w:rFonts w:ascii="Arial" w:eastAsia="Arial" w:hAnsi="Arial" w:cs="Arial"/>
          <w:sz w:val="20"/>
          <w:szCs w:val="20"/>
          <w:lang w:val="en-US"/>
        </w:rPr>
        <w:t xml:space="preserve">&gt;. Accessed on 21/03/2018. </w:t>
      </w:r>
    </w:p>
    <w:p w14:paraId="6870D669" w14:textId="6F8D2A9B" w:rsidR="21C3821A" w:rsidRPr="004700CF" w:rsidRDefault="21C3821A" w:rsidP="0066301C">
      <w:pPr>
        <w:jc w:val="both"/>
        <w:rPr>
          <w:rFonts w:ascii="Arial" w:eastAsia="Arial" w:hAnsi="Arial" w:cs="Arial"/>
          <w:sz w:val="20"/>
          <w:szCs w:val="20"/>
        </w:rPr>
      </w:pPr>
      <w:r w:rsidRPr="004700CF">
        <w:rPr>
          <w:rFonts w:ascii="Arial" w:eastAsia="Arial" w:hAnsi="Arial" w:cs="Arial"/>
          <w:sz w:val="20"/>
          <w:szCs w:val="20"/>
        </w:rPr>
        <w:t>Banque de France (2010). The Franc Zone – Fact Sheet, n</w:t>
      </w:r>
      <w:r w:rsidRPr="004700CF">
        <w:rPr>
          <w:rFonts w:ascii="Arial" w:eastAsia="Arial" w:hAnsi="Arial" w:cs="Arial"/>
          <w:sz w:val="20"/>
          <w:szCs w:val="20"/>
          <w:vertAlign w:val="superscript"/>
        </w:rPr>
        <w:t>o</w:t>
      </w:r>
      <w:r w:rsidRPr="004700CF">
        <w:rPr>
          <w:rFonts w:ascii="Arial" w:eastAsia="Arial" w:hAnsi="Arial" w:cs="Arial"/>
          <w:sz w:val="20"/>
          <w:szCs w:val="20"/>
        </w:rPr>
        <w:t>:127. Available at &lt;</w:t>
      </w:r>
      <w:hyperlink r:id="rId139">
        <w:r w:rsidRPr="004700CF">
          <w:rPr>
            <w:rStyle w:val="Hyperlink"/>
            <w:rFonts w:ascii="Arial" w:eastAsia="Arial" w:hAnsi="Arial" w:cs="Arial"/>
            <w:sz w:val="20"/>
            <w:szCs w:val="20"/>
            <w:u w:val="none"/>
          </w:rPr>
          <w:t>www.banque-france.fr</w:t>
        </w:r>
      </w:hyperlink>
      <w:r w:rsidRPr="004700CF">
        <w:rPr>
          <w:rFonts w:ascii="Arial" w:eastAsia="Arial" w:hAnsi="Arial" w:cs="Arial"/>
          <w:sz w:val="20"/>
          <w:szCs w:val="20"/>
        </w:rPr>
        <w:t>&gt;. Accessed on 15/12/2022</w:t>
      </w:r>
    </w:p>
    <w:p w14:paraId="0AEE117D" w14:textId="32031310" w:rsidR="21C3821A" w:rsidRPr="004700CF" w:rsidRDefault="21C3821A" w:rsidP="0066301C">
      <w:pPr>
        <w:jc w:val="both"/>
        <w:rPr>
          <w:rFonts w:ascii="Arial" w:eastAsia="Arial" w:hAnsi="Arial" w:cs="Arial"/>
          <w:sz w:val="20"/>
          <w:szCs w:val="20"/>
        </w:rPr>
      </w:pPr>
      <w:r w:rsidRPr="004700CF">
        <w:rPr>
          <w:rFonts w:ascii="Arial" w:eastAsia="Arial" w:hAnsi="Arial" w:cs="Arial"/>
          <w:sz w:val="20"/>
          <w:szCs w:val="20"/>
        </w:rPr>
        <w:t>Banque de Franc (2015). The CFA franc zone. Available at &lt;</w:t>
      </w:r>
      <w:hyperlink r:id="rId140">
        <w:r w:rsidRPr="004700CF">
          <w:rPr>
            <w:rStyle w:val="Hyperlink"/>
            <w:rFonts w:ascii="Arial" w:eastAsia="Arial" w:hAnsi="Arial" w:cs="Arial"/>
            <w:sz w:val="20"/>
            <w:szCs w:val="20"/>
            <w:u w:val="none"/>
          </w:rPr>
          <w:t>https://abc-economie.banque-france.fr/sites/default/files/medias/documents/816153_fiche_zone-franc.pdf</w:t>
        </w:r>
      </w:hyperlink>
      <w:r w:rsidRPr="004700CF">
        <w:rPr>
          <w:rFonts w:ascii="Arial" w:eastAsia="Arial" w:hAnsi="Arial" w:cs="Arial"/>
          <w:sz w:val="20"/>
          <w:szCs w:val="20"/>
        </w:rPr>
        <w:t>&gt;. Accessed on 01/02/2023.</w:t>
      </w:r>
    </w:p>
    <w:p w14:paraId="02E63DBA" w14:textId="4A620FB7" w:rsidR="21C3821A" w:rsidRPr="004700CF" w:rsidRDefault="21C3821A" w:rsidP="0066301C">
      <w:pPr>
        <w:spacing w:after="0"/>
        <w:jc w:val="both"/>
        <w:rPr>
          <w:rFonts w:ascii="Arial" w:eastAsia="Arial" w:hAnsi="Arial" w:cs="Arial"/>
          <w:sz w:val="20"/>
          <w:szCs w:val="20"/>
        </w:rPr>
      </w:pPr>
      <w:r w:rsidRPr="004700CF">
        <w:rPr>
          <w:rFonts w:ascii="Arial" w:eastAsia="Arial" w:hAnsi="Arial" w:cs="Arial"/>
          <w:sz w:val="20"/>
          <w:szCs w:val="20"/>
          <w:lang w:val="en-US"/>
        </w:rPr>
        <w:t>Barone, A. (2020). Capital Control, ‘What is Capital Control? &lt;</w:t>
      </w:r>
      <w:hyperlink r:id="rId141">
        <w:r w:rsidRPr="004700CF">
          <w:rPr>
            <w:rStyle w:val="Hyperlink"/>
            <w:rFonts w:ascii="Arial" w:eastAsia="Arial" w:hAnsi="Arial" w:cs="Arial"/>
            <w:sz w:val="20"/>
            <w:szCs w:val="20"/>
            <w:u w:val="none"/>
          </w:rPr>
          <w:t>https://www.investopedia.com/terms/c/capital_conrol.asp</w:t>
        </w:r>
      </w:hyperlink>
      <w:r w:rsidRPr="004700CF">
        <w:rPr>
          <w:rFonts w:ascii="Arial" w:eastAsia="Arial" w:hAnsi="Arial" w:cs="Arial"/>
          <w:sz w:val="20"/>
          <w:szCs w:val="20"/>
        </w:rPr>
        <w:t>&gt;. Accessed on 25/12/2020.</w:t>
      </w:r>
    </w:p>
    <w:p w14:paraId="713CD644" w14:textId="1382C5F4" w:rsidR="21C3821A" w:rsidRPr="004700CF" w:rsidRDefault="21C3821A" w:rsidP="0066301C">
      <w:pPr>
        <w:spacing w:after="0"/>
        <w:jc w:val="both"/>
        <w:rPr>
          <w:rFonts w:ascii="Arial" w:eastAsia="Arial" w:hAnsi="Arial" w:cs="Arial"/>
          <w:color w:val="000000" w:themeColor="text1"/>
          <w:sz w:val="20"/>
          <w:szCs w:val="20"/>
        </w:rPr>
      </w:pPr>
      <w:r w:rsidRPr="004700CF">
        <w:rPr>
          <w:rFonts w:ascii="Arial" w:eastAsia="Arial" w:hAnsi="Arial" w:cs="Arial"/>
          <w:color w:val="000000" w:themeColor="text1"/>
          <w:sz w:val="20"/>
          <w:szCs w:val="20"/>
        </w:rPr>
        <w:t xml:space="preserve">Bernanke, B. (2005). </w:t>
      </w:r>
      <w:hyperlink r:id="rId142">
        <w:r w:rsidRPr="004700CF">
          <w:rPr>
            <w:rStyle w:val="Hyperlink"/>
            <w:rFonts w:ascii="Arial" w:eastAsia="Arial" w:hAnsi="Arial" w:cs="Arial"/>
            <w:sz w:val="20"/>
            <w:szCs w:val="20"/>
            <w:u w:val="none"/>
          </w:rPr>
          <w:t>The global saving glut and the U.S. current account deficit</w:t>
        </w:r>
      </w:hyperlink>
      <w:r w:rsidRPr="004700CF">
        <w:rPr>
          <w:rFonts w:ascii="Arial" w:eastAsia="Arial" w:hAnsi="Arial" w:cs="Arial"/>
          <w:color w:val="000000" w:themeColor="text1"/>
          <w:sz w:val="20"/>
          <w:szCs w:val="20"/>
        </w:rPr>
        <w:t>, No 77, Speech, Board of Governors of the Federal Reserve System (U.S.).</w:t>
      </w:r>
    </w:p>
    <w:p w14:paraId="46AF1CA9" w14:textId="79EF177A" w:rsidR="21C3821A" w:rsidRPr="004700CF" w:rsidRDefault="21C3821A" w:rsidP="0066301C">
      <w:pPr>
        <w:spacing w:after="0"/>
        <w:jc w:val="both"/>
        <w:rPr>
          <w:rFonts w:ascii="Arial" w:eastAsia="Arial" w:hAnsi="Arial" w:cs="Arial"/>
          <w:sz w:val="20"/>
          <w:szCs w:val="20"/>
        </w:rPr>
      </w:pPr>
      <w:r w:rsidRPr="004700CF">
        <w:rPr>
          <w:rFonts w:ascii="Arial" w:eastAsia="Arial" w:hAnsi="Arial" w:cs="Arial"/>
          <w:sz w:val="20"/>
          <w:szCs w:val="20"/>
        </w:rPr>
        <w:t xml:space="preserve">Bhatt, K. (2020). Pros and Cons of Trade Deficit. &lt; </w:t>
      </w:r>
      <w:hyperlink r:id="rId143">
        <w:r w:rsidRPr="004700CF">
          <w:rPr>
            <w:rStyle w:val="Hyperlink"/>
            <w:rFonts w:ascii="Arial" w:eastAsia="Arial" w:hAnsi="Arial" w:cs="Arial"/>
            <w:sz w:val="20"/>
            <w:szCs w:val="20"/>
            <w:u w:val="none"/>
          </w:rPr>
          <w:t>https://honestproscons.com/pros-and-cons-of-trade-deficit/</w:t>
        </w:r>
      </w:hyperlink>
      <w:r w:rsidRPr="004700CF">
        <w:rPr>
          <w:rFonts w:ascii="Arial" w:eastAsia="Arial" w:hAnsi="Arial" w:cs="Arial"/>
          <w:sz w:val="20"/>
          <w:szCs w:val="20"/>
        </w:rPr>
        <w:t>&gt;. Accessed on 30/01/2022.</w:t>
      </w:r>
    </w:p>
    <w:p w14:paraId="4B5CB659" w14:textId="58ADB197" w:rsidR="21C3821A" w:rsidRPr="004700CF" w:rsidRDefault="21C3821A" w:rsidP="0066301C">
      <w:pPr>
        <w:spacing w:after="0"/>
        <w:jc w:val="both"/>
        <w:rPr>
          <w:rFonts w:ascii="Arial" w:eastAsia="Arial" w:hAnsi="Arial" w:cs="Arial"/>
          <w:sz w:val="20"/>
          <w:szCs w:val="20"/>
        </w:rPr>
      </w:pPr>
      <w:r w:rsidRPr="004700CF">
        <w:rPr>
          <w:rFonts w:ascii="Arial" w:eastAsia="Arial" w:hAnsi="Arial" w:cs="Arial"/>
          <w:sz w:val="20"/>
          <w:szCs w:val="20"/>
        </w:rPr>
        <w:t>Binu, B. P. (2015). Research Design. &lt;</w:t>
      </w:r>
      <w:hyperlink r:id="rId144">
        <w:r w:rsidRPr="004700CF">
          <w:rPr>
            <w:rStyle w:val="Hyperlink"/>
            <w:rFonts w:ascii="Arial" w:eastAsia="Arial" w:hAnsi="Arial" w:cs="Arial"/>
            <w:sz w:val="20"/>
            <w:szCs w:val="20"/>
            <w:u w:val="none"/>
          </w:rPr>
          <w:t>https://www.researchgate.net/publication/308262064_Research_Design</w:t>
        </w:r>
      </w:hyperlink>
      <w:r w:rsidRPr="004700CF">
        <w:rPr>
          <w:rFonts w:ascii="Arial" w:eastAsia="Arial" w:hAnsi="Arial" w:cs="Arial"/>
          <w:sz w:val="20"/>
          <w:szCs w:val="20"/>
        </w:rPr>
        <w:t xml:space="preserve">&gt;. Accessed on 09/02/2021.  </w:t>
      </w:r>
    </w:p>
    <w:p w14:paraId="441376EE" w14:textId="03474A61" w:rsidR="21C3821A" w:rsidRPr="004700CF" w:rsidRDefault="21C3821A" w:rsidP="0066301C">
      <w:pPr>
        <w:spacing w:after="0"/>
        <w:jc w:val="both"/>
        <w:rPr>
          <w:rFonts w:ascii="Arial" w:eastAsia="Arial" w:hAnsi="Arial" w:cs="Arial"/>
          <w:i/>
          <w:iCs/>
          <w:sz w:val="20"/>
          <w:szCs w:val="20"/>
          <w:lang w:val="en-US"/>
        </w:rPr>
      </w:pPr>
      <w:r w:rsidRPr="004700CF">
        <w:rPr>
          <w:rFonts w:ascii="Arial" w:eastAsia="Arial" w:hAnsi="Arial" w:cs="Arial"/>
          <w:sz w:val="20"/>
          <w:szCs w:val="20"/>
          <w:lang w:val="en-US"/>
        </w:rPr>
        <w:t xml:space="preserve">Busch, G. (2013). The Last Gasp of Françafrique. </w:t>
      </w:r>
      <w:r w:rsidRPr="004700CF">
        <w:rPr>
          <w:rFonts w:ascii="Arial" w:eastAsia="Arial" w:hAnsi="Arial" w:cs="Arial"/>
          <w:i/>
          <w:iCs/>
          <w:sz w:val="20"/>
          <w:szCs w:val="20"/>
          <w:lang w:val="en-US"/>
        </w:rPr>
        <w:t xml:space="preserve">OpEdNews.com.  </w:t>
      </w:r>
    </w:p>
    <w:p w14:paraId="2927D4DA" w14:textId="48F6CA83" w:rsidR="21C3821A" w:rsidRPr="004700CF" w:rsidRDefault="21C3821A" w:rsidP="0066301C">
      <w:pPr>
        <w:spacing w:line="257" w:lineRule="auto"/>
        <w:jc w:val="both"/>
        <w:rPr>
          <w:rFonts w:ascii="Arial" w:eastAsia="Arial" w:hAnsi="Arial" w:cs="Arial"/>
          <w:sz w:val="20"/>
          <w:szCs w:val="20"/>
          <w:lang w:val="en-US"/>
        </w:rPr>
      </w:pPr>
      <w:r w:rsidRPr="004700CF">
        <w:rPr>
          <w:rFonts w:ascii="Arial" w:eastAsia="Arial" w:hAnsi="Arial" w:cs="Arial"/>
          <w:sz w:val="20"/>
          <w:szCs w:val="20"/>
          <w:lang w:val="en-US"/>
        </w:rPr>
        <w:t>&lt;</w:t>
      </w:r>
      <w:hyperlink r:id="rId145">
        <w:r w:rsidRPr="004700CF">
          <w:rPr>
            <w:rStyle w:val="Hyperlink"/>
            <w:rFonts w:ascii="Arial" w:eastAsia="Arial" w:hAnsi="Arial" w:cs="Arial"/>
            <w:sz w:val="20"/>
            <w:szCs w:val="20"/>
            <w:u w:val="none"/>
            <w:lang w:val="en-US"/>
          </w:rPr>
          <w:t>https://www.opednews.com/articles/The-Last-Gasp-Of-Fran-afr-by-Gary-Busch-130115-88.html</w:t>
        </w:r>
      </w:hyperlink>
      <w:r w:rsidRPr="004700CF">
        <w:rPr>
          <w:rFonts w:ascii="Arial" w:eastAsia="Arial" w:hAnsi="Arial" w:cs="Arial"/>
          <w:sz w:val="20"/>
          <w:szCs w:val="20"/>
          <w:lang w:val="en-US"/>
        </w:rPr>
        <w:t xml:space="preserve"> &gt;. Accessed on 23 January 2018.</w:t>
      </w:r>
    </w:p>
    <w:p w14:paraId="7630CBCD" w14:textId="20797D29" w:rsidR="21C3821A" w:rsidRPr="004700CF" w:rsidRDefault="21C3821A" w:rsidP="0066301C">
      <w:pPr>
        <w:spacing w:line="257" w:lineRule="auto"/>
        <w:jc w:val="both"/>
        <w:rPr>
          <w:rFonts w:ascii="Arial" w:eastAsia="Arial" w:hAnsi="Arial" w:cs="Arial"/>
          <w:sz w:val="20"/>
          <w:szCs w:val="20"/>
          <w:lang w:val="en-US"/>
        </w:rPr>
      </w:pPr>
      <w:r w:rsidRPr="004700CF">
        <w:rPr>
          <w:rFonts w:ascii="Arial" w:eastAsia="Arial" w:hAnsi="Arial" w:cs="Arial"/>
          <w:sz w:val="20"/>
          <w:szCs w:val="20"/>
          <w:lang w:val="en-US"/>
        </w:rPr>
        <w:t>“Capital Controls.” &lt;</w:t>
      </w:r>
      <w:hyperlink r:id="rId146">
        <w:r w:rsidRPr="004700CF">
          <w:rPr>
            <w:rStyle w:val="Hyperlink"/>
            <w:rFonts w:ascii="Arial" w:eastAsia="Arial" w:hAnsi="Arial" w:cs="Arial"/>
            <w:sz w:val="20"/>
            <w:szCs w:val="20"/>
            <w:u w:val="none"/>
          </w:rPr>
          <w:t>https://www.encyclopedia.com/social-sciences/applied-and-social-sciences-magazines/capital-controls</w:t>
        </w:r>
      </w:hyperlink>
      <w:r w:rsidRPr="004700CF">
        <w:rPr>
          <w:rFonts w:ascii="Arial" w:eastAsia="Arial" w:hAnsi="Arial" w:cs="Arial"/>
          <w:sz w:val="20"/>
          <w:szCs w:val="20"/>
          <w:lang w:val="en-US"/>
        </w:rPr>
        <w:t xml:space="preserve">&gt;. Accessed on 23/12/2020.  </w:t>
      </w:r>
    </w:p>
    <w:p w14:paraId="3FA8329B" w14:textId="1F070C28" w:rsidR="001B70B1" w:rsidRPr="004700CF" w:rsidRDefault="001B70B1" w:rsidP="0066301C">
      <w:pPr>
        <w:spacing w:line="257" w:lineRule="auto"/>
        <w:jc w:val="both"/>
        <w:rPr>
          <w:rFonts w:ascii="Arial" w:eastAsia="Arial" w:hAnsi="Arial" w:cs="Arial"/>
          <w:sz w:val="20"/>
          <w:szCs w:val="20"/>
        </w:rPr>
      </w:pPr>
      <w:r w:rsidRPr="004700CF">
        <w:rPr>
          <w:rFonts w:ascii="Arial" w:eastAsia="Arial" w:hAnsi="Arial" w:cs="Arial"/>
          <w:sz w:val="20"/>
          <w:szCs w:val="20"/>
        </w:rPr>
        <w:t xml:space="preserve">Central Bank of West African States – BCEAO (2017). History of the CFA franc. &lt; </w:t>
      </w:r>
      <w:r w:rsidRPr="004700CF">
        <w:t xml:space="preserve"> </w:t>
      </w:r>
      <w:hyperlink r:id="rId147" w:history="1">
        <w:r w:rsidRPr="004700CF">
          <w:rPr>
            <w:rStyle w:val="Hyperlink"/>
            <w:rFonts w:ascii="Arial" w:eastAsia="Arial" w:hAnsi="Arial" w:cs="Arial"/>
            <w:sz w:val="20"/>
            <w:szCs w:val="20"/>
            <w:u w:val="none"/>
          </w:rPr>
          <w:t>https://www.bceao.int/en/content/history-cfa-franc</w:t>
        </w:r>
      </w:hyperlink>
      <w:r w:rsidRPr="004700CF">
        <w:rPr>
          <w:rFonts w:ascii="Arial" w:eastAsia="Arial" w:hAnsi="Arial" w:cs="Arial"/>
          <w:sz w:val="20"/>
          <w:szCs w:val="20"/>
        </w:rPr>
        <w:t>&gt;. Accessed on 18/04/2023.</w:t>
      </w:r>
    </w:p>
    <w:p w14:paraId="3D010569" w14:textId="4F0CF88E" w:rsidR="21C3821A" w:rsidRPr="004700CF" w:rsidRDefault="21C3821A" w:rsidP="0066301C">
      <w:pPr>
        <w:spacing w:line="257" w:lineRule="auto"/>
        <w:jc w:val="both"/>
        <w:rPr>
          <w:rFonts w:ascii="Arial" w:eastAsia="Arial" w:hAnsi="Arial" w:cs="Arial"/>
          <w:sz w:val="20"/>
          <w:szCs w:val="20"/>
        </w:rPr>
      </w:pPr>
      <w:r w:rsidRPr="004700CF">
        <w:rPr>
          <w:rFonts w:ascii="Arial" w:eastAsia="Arial" w:hAnsi="Arial" w:cs="Arial"/>
          <w:sz w:val="20"/>
          <w:szCs w:val="20"/>
        </w:rPr>
        <w:t>Chen, N. and Novy, D. (2018). Currency Unions mean more Trade but not for everyone. CEPR Discussion Paper. &lt;</w:t>
      </w:r>
      <w:hyperlink r:id="rId148">
        <w:r w:rsidRPr="004700CF">
          <w:rPr>
            <w:rStyle w:val="Hyperlink"/>
            <w:rFonts w:ascii="Arial" w:eastAsia="Arial" w:hAnsi="Arial" w:cs="Arial"/>
            <w:sz w:val="20"/>
            <w:szCs w:val="20"/>
            <w:u w:val="none"/>
          </w:rPr>
          <w:t>https://voxeu.org/ article/currency-unions-mean-more-trade-not-everyone</w:t>
        </w:r>
      </w:hyperlink>
      <w:r w:rsidRPr="004700CF">
        <w:rPr>
          <w:rFonts w:ascii="Arial" w:eastAsia="Arial" w:hAnsi="Arial" w:cs="Arial"/>
          <w:sz w:val="20"/>
          <w:szCs w:val="20"/>
        </w:rPr>
        <w:t>&gt;. Access on 15/01/2023.</w:t>
      </w:r>
    </w:p>
    <w:p w14:paraId="27321F2C" w14:textId="573C3562" w:rsidR="21C3821A" w:rsidRPr="004700CF" w:rsidRDefault="21C3821A" w:rsidP="0066301C">
      <w:pPr>
        <w:spacing w:line="257" w:lineRule="auto"/>
        <w:jc w:val="both"/>
        <w:rPr>
          <w:rFonts w:ascii="Arial" w:eastAsia="Arial" w:hAnsi="Arial" w:cs="Arial"/>
          <w:sz w:val="20"/>
          <w:szCs w:val="20"/>
        </w:rPr>
      </w:pPr>
      <w:r w:rsidRPr="004700CF">
        <w:rPr>
          <w:rFonts w:ascii="Arial" w:eastAsia="Arial" w:hAnsi="Arial" w:cs="Arial"/>
          <w:sz w:val="20"/>
          <w:szCs w:val="20"/>
        </w:rPr>
        <w:t xml:space="preserve">Collier, P. (2002). </w:t>
      </w:r>
      <w:r w:rsidRPr="004700CF">
        <w:rPr>
          <w:rFonts w:ascii="Arial" w:eastAsia="Arial" w:hAnsi="Arial" w:cs="Arial"/>
          <w:i/>
          <w:iCs/>
          <w:sz w:val="20"/>
          <w:szCs w:val="20"/>
        </w:rPr>
        <w:t>Primary commodity dependence and Africa's future (English)</w:t>
      </w:r>
      <w:r w:rsidRPr="004700CF">
        <w:rPr>
          <w:rFonts w:ascii="Arial" w:eastAsia="Arial" w:hAnsi="Arial" w:cs="Arial"/>
          <w:sz w:val="20"/>
          <w:szCs w:val="20"/>
        </w:rPr>
        <w:t>. Washington, DC: World Bank. &lt;</w:t>
      </w:r>
      <w:hyperlink r:id="rId149">
        <w:r w:rsidRPr="004700CF">
          <w:rPr>
            <w:rStyle w:val="Hyperlink"/>
            <w:rFonts w:ascii="Arial" w:eastAsia="Arial" w:hAnsi="Arial" w:cs="Arial"/>
            <w:sz w:val="20"/>
            <w:szCs w:val="20"/>
            <w:u w:val="none"/>
          </w:rPr>
          <w:t>http://documents.worldbank.org/curated/en/514531468740135280/Primary-commodity-dependence-and-Africas-future</w:t>
        </w:r>
      </w:hyperlink>
      <w:r w:rsidRPr="004700CF">
        <w:rPr>
          <w:rFonts w:ascii="Arial" w:eastAsia="Arial" w:hAnsi="Arial" w:cs="Arial"/>
          <w:sz w:val="20"/>
          <w:szCs w:val="20"/>
        </w:rPr>
        <w:t xml:space="preserve"> &gt;. Accessed on 18/09/2017.</w:t>
      </w:r>
    </w:p>
    <w:p w14:paraId="0F4F34BB" w14:textId="3CAAF368" w:rsidR="21C3821A" w:rsidRPr="004700CF" w:rsidRDefault="21C3821A" w:rsidP="0066301C">
      <w:pPr>
        <w:jc w:val="both"/>
        <w:rPr>
          <w:rFonts w:ascii="Arial" w:eastAsia="Arial" w:hAnsi="Arial" w:cs="Arial"/>
          <w:sz w:val="20"/>
          <w:szCs w:val="20"/>
        </w:rPr>
      </w:pPr>
      <w:r w:rsidRPr="004700CF">
        <w:rPr>
          <w:rFonts w:ascii="Arial" w:eastAsia="Arial" w:hAnsi="Arial" w:cs="Arial"/>
          <w:sz w:val="20"/>
          <w:szCs w:val="20"/>
        </w:rPr>
        <w:t>Downey, L. (2020). Transaction Costs. &lt;</w:t>
      </w:r>
      <w:hyperlink r:id="rId150">
        <w:r w:rsidRPr="004700CF">
          <w:rPr>
            <w:rStyle w:val="Hyperlink"/>
            <w:rFonts w:ascii="Arial" w:eastAsia="Arial" w:hAnsi="Arial" w:cs="Arial"/>
            <w:sz w:val="20"/>
            <w:szCs w:val="20"/>
            <w:u w:val="none"/>
          </w:rPr>
          <w:t>https://www.investopedia.com/terms/t/transactioncosts.asp</w:t>
        </w:r>
      </w:hyperlink>
      <w:r w:rsidRPr="004700CF">
        <w:rPr>
          <w:rFonts w:ascii="Arial" w:eastAsia="Arial" w:hAnsi="Arial" w:cs="Arial"/>
          <w:sz w:val="20"/>
          <w:szCs w:val="20"/>
        </w:rPr>
        <w:t>&gt;. Accessed on 24/12/2020.</w:t>
      </w:r>
    </w:p>
    <w:p w14:paraId="5BAA115B" w14:textId="7556927D" w:rsidR="00950905" w:rsidRPr="004700CF" w:rsidRDefault="00950905" w:rsidP="0066301C">
      <w:pPr>
        <w:spacing w:line="240" w:lineRule="auto"/>
        <w:jc w:val="both"/>
        <w:rPr>
          <w:rFonts w:ascii="Arial" w:hAnsi="Arial" w:cs="Arial"/>
          <w:sz w:val="20"/>
          <w:szCs w:val="20"/>
        </w:rPr>
      </w:pPr>
      <w:r w:rsidRPr="004700CF">
        <w:rPr>
          <w:rFonts w:ascii="Arial" w:hAnsi="Arial" w:cs="Arial"/>
          <w:color w:val="000000"/>
          <w:spacing w:val="-5"/>
          <w:sz w:val="20"/>
          <w:szCs w:val="20"/>
          <w:shd w:val="clear" w:color="auto" w:fill="FFFFFF"/>
        </w:rPr>
        <w:t>Eichengreen, B. (2007). The Real Exchange Rate and Economic Growth. </w:t>
      </w:r>
      <w:r w:rsidRPr="004700CF">
        <w:rPr>
          <w:rFonts w:ascii="Arial" w:hAnsi="Arial" w:cs="Arial"/>
          <w:i/>
          <w:iCs/>
          <w:color w:val="000000"/>
          <w:spacing w:val="-5"/>
          <w:sz w:val="20"/>
          <w:szCs w:val="20"/>
          <w:shd w:val="clear" w:color="auto" w:fill="FFFFFF"/>
        </w:rPr>
        <w:t>Social and Economic Studies</w:t>
      </w:r>
      <w:r w:rsidRPr="004700CF">
        <w:rPr>
          <w:rFonts w:ascii="Arial" w:hAnsi="Arial" w:cs="Arial"/>
          <w:color w:val="000000"/>
          <w:spacing w:val="-5"/>
          <w:sz w:val="20"/>
          <w:szCs w:val="20"/>
          <w:shd w:val="clear" w:color="auto" w:fill="FFFFFF"/>
        </w:rPr>
        <w:t>, </w:t>
      </w:r>
      <w:r w:rsidRPr="004700CF">
        <w:rPr>
          <w:rFonts w:ascii="Arial" w:hAnsi="Arial" w:cs="Arial"/>
          <w:i/>
          <w:iCs/>
          <w:color w:val="000000"/>
          <w:spacing w:val="-5"/>
          <w:sz w:val="20"/>
          <w:szCs w:val="20"/>
          <w:shd w:val="clear" w:color="auto" w:fill="FFFFFF"/>
        </w:rPr>
        <w:t>56</w:t>
      </w:r>
      <w:r w:rsidRPr="004700CF">
        <w:rPr>
          <w:rFonts w:ascii="Arial" w:hAnsi="Arial" w:cs="Arial"/>
          <w:color w:val="000000"/>
          <w:spacing w:val="-5"/>
          <w:sz w:val="20"/>
          <w:szCs w:val="20"/>
          <w:shd w:val="clear" w:color="auto" w:fill="FFFFFF"/>
        </w:rPr>
        <w:t xml:space="preserve">(4), </w:t>
      </w:r>
      <w:r w:rsidR="00F122EC" w:rsidRPr="004700CF">
        <w:rPr>
          <w:rFonts w:ascii="Arial" w:hAnsi="Arial" w:cs="Arial"/>
          <w:color w:val="000000"/>
          <w:spacing w:val="-5"/>
          <w:sz w:val="20"/>
          <w:szCs w:val="20"/>
          <w:shd w:val="clear" w:color="auto" w:fill="FFFFFF"/>
        </w:rPr>
        <w:t xml:space="preserve">Pp: </w:t>
      </w:r>
      <w:r w:rsidRPr="004700CF">
        <w:rPr>
          <w:rFonts w:ascii="Arial" w:hAnsi="Arial" w:cs="Arial"/>
          <w:color w:val="000000"/>
          <w:spacing w:val="-5"/>
          <w:sz w:val="20"/>
          <w:szCs w:val="20"/>
          <w:shd w:val="clear" w:color="auto" w:fill="FFFFFF"/>
        </w:rPr>
        <w:t>7–20. &lt;</w:t>
      </w:r>
      <w:hyperlink r:id="rId151" w:history="1">
        <w:r w:rsidR="00D86A24" w:rsidRPr="004700CF">
          <w:rPr>
            <w:rStyle w:val="Hyperlink"/>
            <w:rFonts w:ascii="Arial" w:hAnsi="Arial" w:cs="Arial"/>
            <w:spacing w:val="-5"/>
            <w:sz w:val="20"/>
            <w:szCs w:val="20"/>
            <w:u w:val="none"/>
            <w:shd w:val="clear" w:color="auto" w:fill="FFFFFF"/>
          </w:rPr>
          <w:t>http://www.jstor.org/stable/27866525</w:t>
        </w:r>
      </w:hyperlink>
      <w:r w:rsidRPr="004700CF">
        <w:rPr>
          <w:rFonts w:ascii="Arial" w:hAnsi="Arial" w:cs="Arial"/>
          <w:color w:val="000000"/>
          <w:spacing w:val="-5"/>
          <w:sz w:val="20"/>
          <w:szCs w:val="20"/>
          <w:shd w:val="clear" w:color="auto" w:fill="FFFFFF"/>
        </w:rPr>
        <w:t>&gt;. Accessed on 01/03/2024.</w:t>
      </w:r>
    </w:p>
    <w:p w14:paraId="4C01F91C" w14:textId="52D01CB4" w:rsidR="21C3821A" w:rsidRPr="004700CF" w:rsidRDefault="21C3821A" w:rsidP="0066301C">
      <w:pPr>
        <w:spacing w:after="0"/>
        <w:jc w:val="both"/>
        <w:rPr>
          <w:rFonts w:ascii="Arial" w:eastAsia="Arial" w:hAnsi="Arial" w:cs="Arial"/>
          <w:sz w:val="20"/>
          <w:szCs w:val="20"/>
        </w:rPr>
      </w:pPr>
      <w:r w:rsidRPr="004700CF">
        <w:rPr>
          <w:rFonts w:ascii="Arial" w:eastAsia="Arial" w:hAnsi="Arial" w:cs="Arial"/>
          <w:sz w:val="20"/>
          <w:szCs w:val="20"/>
        </w:rPr>
        <w:t>European Central Bank (2023). Exchanging National Cash. &lt;</w:t>
      </w:r>
      <w:hyperlink r:id="rId152">
        <w:r w:rsidRPr="004700CF">
          <w:rPr>
            <w:rStyle w:val="Hyperlink"/>
            <w:rFonts w:ascii="Arial" w:eastAsia="Arial" w:hAnsi="Arial" w:cs="Arial"/>
            <w:sz w:val="20"/>
            <w:szCs w:val="20"/>
            <w:u w:val="none"/>
          </w:rPr>
          <w:t>https://www.ecb.europa.eu/euro/exchange/html/index.en.html</w:t>
        </w:r>
      </w:hyperlink>
      <w:r w:rsidRPr="004700CF">
        <w:rPr>
          <w:rFonts w:ascii="Arial" w:eastAsia="Arial" w:hAnsi="Arial" w:cs="Arial"/>
          <w:sz w:val="20"/>
          <w:szCs w:val="20"/>
        </w:rPr>
        <w:t>&gt;. Accessed on 21/07/2023.</w:t>
      </w:r>
    </w:p>
    <w:p w14:paraId="74D2F83B" w14:textId="20771BA1" w:rsidR="21C3821A" w:rsidRPr="004700CF" w:rsidRDefault="21C3821A" w:rsidP="0066301C">
      <w:pPr>
        <w:tabs>
          <w:tab w:val="left" w:pos="720"/>
          <w:tab w:val="left" w:pos="1440"/>
          <w:tab w:val="left" w:pos="2160"/>
        </w:tabs>
        <w:spacing w:after="240"/>
        <w:jc w:val="both"/>
        <w:rPr>
          <w:rFonts w:ascii="Arial" w:eastAsia="Arial" w:hAnsi="Arial" w:cs="Arial"/>
          <w:sz w:val="20"/>
          <w:szCs w:val="20"/>
        </w:rPr>
      </w:pPr>
      <w:r w:rsidRPr="004700CF">
        <w:rPr>
          <w:rFonts w:ascii="Arial" w:eastAsia="Arial" w:hAnsi="Arial" w:cs="Arial"/>
          <w:sz w:val="20"/>
          <w:szCs w:val="20"/>
        </w:rPr>
        <w:t>FRED (2019</w:t>
      </w:r>
      <w:r w:rsidRPr="004700CF">
        <w:rPr>
          <w:rFonts w:ascii="Arial" w:eastAsia="Arial" w:hAnsi="Arial" w:cs="Arial"/>
          <w:color w:val="000000" w:themeColor="text1"/>
          <w:sz w:val="20"/>
          <w:szCs w:val="20"/>
        </w:rPr>
        <w:t xml:space="preserve">). Real Effective Exchange Rate as Based on Consumer Price Index for Republic of Congo (COGEREERIX). </w:t>
      </w:r>
      <w:r w:rsidRPr="004700CF">
        <w:rPr>
          <w:rFonts w:ascii="Arial" w:eastAsia="Arial" w:hAnsi="Arial" w:cs="Arial"/>
          <w:i/>
          <w:iCs/>
          <w:color w:val="000000" w:themeColor="text1"/>
          <w:sz w:val="20"/>
          <w:szCs w:val="20"/>
        </w:rPr>
        <w:t xml:space="preserve">Economic/85401 Research, Federal Reserve Bank of ST. Louis, </w:t>
      </w:r>
      <w:r w:rsidRPr="004700CF">
        <w:rPr>
          <w:rFonts w:ascii="Arial" w:eastAsia="Arial" w:hAnsi="Arial" w:cs="Arial"/>
          <w:color w:val="000000" w:themeColor="text1"/>
          <w:sz w:val="20"/>
          <w:szCs w:val="20"/>
        </w:rPr>
        <w:t>USA. Updated on 21/10/2019. &lt;</w:t>
      </w:r>
      <w:hyperlink r:id="rId153">
        <w:r w:rsidRPr="004700CF">
          <w:rPr>
            <w:rStyle w:val="Hyperlink"/>
            <w:rFonts w:ascii="Arial" w:eastAsia="Arial" w:hAnsi="Arial" w:cs="Arial"/>
            <w:sz w:val="20"/>
            <w:szCs w:val="20"/>
            <w:u w:val="none"/>
          </w:rPr>
          <w:t>https://fred.stlouisfed.org/series/COGEREERIX</w:t>
        </w:r>
      </w:hyperlink>
      <w:r w:rsidRPr="004700CF">
        <w:rPr>
          <w:rFonts w:ascii="Arial" w:eastAsia="Arial" w:hAnsi="Arial" w:cs="Arial"/>
          <w:sz w:val="20"/>
          <w:szCs w:val="20"/>
        </w:rPr>
        <w:t>&gt;. Accessed on 07/04/2020.</w:t>
      </w:r>
    </w:p>
    <w:p w14:paraId="1E3DD0D4" w14:textId="3667C6F9" w:rsidR="21C3821A" w:rsidRPr="004700CF" w:rsidRDefault="21C3821A" w:rsidP="0066301C">
      <w:pPr>
        <w:spacing w:after="200"/>
        <w:jc w:val="both"/>
        <w:rPr>
          <w:rFonts w:ascii="Arial" w:eastAsia="Arial" w:hAnsi="Arial" w:cs="Arial"/>
          <w:sz w:val="20"/>
          <w:szCs w:val="20"/>
        </w:rPr>
      </w:pPr>
      <w:r w:rsidRPr="004700CF">
        <w:rPr>
          <w:rFonts w:ascii="Arial" w:eastAsia="Arial" w:hAnsi="Arial" w:cs="Arial"/>
          <w:sz w:val="20"/>
          <w:szCs w:val="20"/>
        </w:rPr>
        <w:lastRenderedPageBreak/>
        <w:t>Galliers, R. D. (1991). Choosing Appropriate Information Systems Research Approaches: A Reviewed Taxonomy. &lt;</w:t>
      </w:r>
      <w:hyperlink r:id="rId154">
        <w:r w:rsidRPr="004700CF">
          <w:rPr>
            <w:rStyle w:val="Hyperlink"/>
            <w:rFonts w:ascii="Arial" w:eastAsia="Arial" w:hAnsi="Arial" w:cs="Arial"/>
            <w:sz w:val="20"/>
            <w:szCs w:val="20"/>
            <w:u w:val="none"/>
          </w:rPr>
          <w:t>https://www.researchgate.net/publication/236143992</w:t>
        </w:r>
      </w:hyperlink>
      <w:r w:rsidRPr="004700CF">
        <w:rPr>
          <w:rFonts w:ascii="Arial" w:eastAsia="Arial" w:hAnsi="Arial" w:cs="Arial"/>
          <w:sz w:val="20"/>
          <w:szCs w:val="20"/>
        </w:rPr>
        <w:t>&gt;. Accessed on 10/02/2021.</w:t>
      </w:r>
    </w:p>
    <w:p w14:paraId="23693BD4" w14:textId="2ADC1666" w:rsidR="21C3821A" w:rsidRPr="004700CF" w:rsidRDefault="21C3821A" w:rsidP="0066301C">
      <w:pPr>
        <w:spacing w:after="200"/>
        <w:jc w:val="both"/>
        <w:rPr>
          <w:rFonts w:ascii="Arial" w:eastAsia="Arial" w:hAnsi="Arial" w:cs="Arial"/>
          <w:sz w:val="20"/>
          <w:szCs w:val="20"/>
        </w:rPr>
      </w:pPr>
      <w:r w:rsidRPr="004700CF">
        <w:rPr>
          <w:rFonts w:ascii="Arial" w:eastAsia="Arial" w:hAnsi="Arial" w:cs="Arial"/>
          <w:sz w:val="20"/>
          <w:szCs w:val="20"/>
        </w:rPr>
        <w:t xml:space="preserve">Goundar, S. (2012). Chapter 3 – Research Methodology and Research Method. &lt; </w:t>
      </w:r>
      <w:hyperlink r:id="rId155">
        <w:r w:rsidRPr="004700CF">
          <w:rPr>
            <w:rStyle w:val="Hyperlink"/>
            <w:rFonts w:ascii="Arial" w:eastAsia="Arial" w:hAnsi="Arial" w:cs="Arial"/>
            <w:sz w:val="20"/>
            <w:szCs w:val="20"/>
            <w:u w:val="none"/>
          </w:rPr>
          <w:t>https://www.researchgate.net/publication/333015026_Chapter_3_-_Research_Methodology_and_Research_Method</w:t>
        </w:r>
      </w:hyperlink>
      <w:r w:rsidRPr="004700CF">
        <w:rPr>
          <w:rFonts w:ascii="Arial" w:eastAsia="Arial" w:hAnsi="Arial" w:cs="Arial"/>
          <w:sz w:val="20"/>
          <w:szCs w:val="20"/>
        </w:rPr>
        <w:t xml:space="preserve"> &gt;. Accessed on 25/01/2021.</w:t>
      </w:r>
    </w:p>
    <w:p w14:paraId="192407E7" w14:textId="12F06F3C" w:rsidR="21C3821A" w:rsidRPr="004700CF" w:rsidRDefault="21C3821A" w:rsidP="0066301C">
      <w:pPr>
        <w:spacing w:after="200"/>
        <w:jc w:val="both"/>
        <w:rPr>
          <w:rFonts w:ascii="Arial" w:eastAsia="Arial" w:hAnsi="Arial" w:cs="Arial"/>
          <w:sz w:val="20"/>
          <w:szCs w:val="20"/>
        </w:rPr>
      </w:pPr>
      <w:r w:rsidRPr="004700CF">
        <w:rPr>
          <w:rFonts w:ascii="Arial" w:eastAsia="Arial" w:hAnsi="Arial" w:cs="Arial"/>
          <w:sz w:val="20"/>
          <w:szCs w:val="20"/>
        </w:rPr>
        <w:t xml:space="preserve">Hamadeh, N. and AbuShanab, H. (2016). Uses of Purchasing Power Parities to Better inform Policy Making ad Poverty Measurement. &lt; </w:t>
      </w:r>
      <w:hyperlink r:id="rId156">
        <w:r w:rsidRPr="004700CF">
          <w:rPr>
            <w:rStyle w:val="Hyperlink"/>
            <w:rFonts w:ascii="Arial" w:eastAsia="Arial" w:hAnsi="Arial" w:cs="Arial"/>
            <w:sz w:val="20"/>
            <w:szCs w:val="20"/>
            <w:u w:val="none"/>
          </w:rPr>
          <w:t>http://pubdocs.worldbank.org/en/469991488490821472/IAOS-2016-Hamadeh-AbuShanab-Uses-of-Purchasing-Power-Parities-to-better-inform-policy-making-and-poverty-measurement.pdf</w:t>
        </w:r>
      </w:hyperlink>
      <w:r w:rsidRPr="004700CF">
        <w:rPr>
          <w:rFonts w:ascii="Arial" w:eastAsia="Arial" w:hAnsi="Arial" w:cs="Arial"/>
          <w:sz w:val="20"/>
          <w:szCs w:val="20"/>
        </w:rPr>
        <w:t>&gt;. Accessed on 21/09/2020.</w:t>
      </w:r>
    </w:p>
    <w:p w14:paraId="2ABB43D7" w14:textId="6D2E97C7" w:rsidR="21C3821A" w:rsidRPr="004700CF" w:rsidRDefault="21C3821A" w:rsidP="0066301C">
      <w:pPr>
        <w:spacing w:after="200"/>
        <w:jc w:val="both"/>
        <w:rPr>
          <w:rFonts w:ascii="Arial" w:eastAsia="Arial" w:hAnsi="Arial" w:cs="Arial"/>
          <w:sz w:val="20"/>
          <w:szCs w:val="20"/>
        </w:rPr>
      </w:pPr>
      <w:r w:rsidRPr="004700CF">
        <w:rPr>
          <w:rFonts w:ascii="Arial" w:eastAsia="Arial" w:hAnsi="Arial" w:cs="Arial"/>
          <w:sz w:val="20"/>
          <w:szCs w:val="20"/>
        </w:rPr>
        <w:t>Hayes, A. (2022).  Multicollinearity: What is multicollinearity. &lt;</w:t>
      </w:r>
      <w:hyperlink r:id="rId157">
        <w:r w:rsidRPr="004700CF">
          <w:rPr>
            <w:rStyle w:val="Hyperlink"/>
            <w:rFonts w:ascii="Arial" w:eastAsia="Arial" w:hAnsi="Arial" w:cs="Arial"/>
            <w:sz w:val="20"/>
            <w:szCs w:val="20"/>
            <w:u w:val="none"/>
          </w:rPr>
          <w:t>https://www.investopedia.com/terms/m/multicollinearity.asp</w:t>
        </w:r>
      </w:hyperlink>
      <w:r w:rsidRPr="004700CF">
        <w:rPr>
          <w:rFonts w:ascii="Arial" w:eastAsia="Arial" w:hAnsi="Arial" w:cs="Arial"/>
          <w:sz w:val="20"/>
          <w:szCs w:val="20"/>
        </w:rPr>
        <w:t xml:space="preserve">&gt;. Accessed on 12/04/2022 </w:t>
      </w:r>
    </w:p>
    <w:p w14:paraId="4C245858" w14:textId="53A38F9B" w:rsidR="21C3821A" w:rsidRPr="004700CF" w:rsidRDefault="21C3821A" w:rsidP="0066301C">
      <w:pPr>
        <w:spacing w:after="200"/>
        <w:jc w:val="both"/>
        <w:rPr>
          <w:rFonts w:ascii="Arial" w:eastAsia="Arial" w:hAnsi="Arial" w:cs="Arial"/>
          <w:sz w:val="20"/>
          <w:szCs w:val="20"/>
        </w:rPr>
      </w:pPr>
      <w:r w:rsidRPr="004700CF">
        <w:rPr>
          <w:rFonts w:ascii="Arial" w:eastAsia="Arial" w:hAnsi="Arial" w:cs="Arial"/>
          <w:sz w:val="20"/>
          <w:szCs w:val="20"/>
        </w:rPr>
        <w:t>International Chamber of Commerce (ICC). (2012). IMB notes increase in piracy off West Africa. Retrieved from &lt;</w:t>
      </w:r>
      <w:hyperlink r:id="rId158">
        <w:r w:rsidRPr="004700CF">
          <w:rPr>
            <w:rStyle w:val="Hyperlink"/>
            <w:rFonts w:ascii="Arial" w:eastAsia="Arial" w:hAnsi="Arial" w:cs="Arial"/>
            <w:sz w:val="20"/>
            <w:szCs w:val="20"/>
            <w:u w:val="none"/>
          </w:rPr>
          <w:t>http://www.icc-ccs.org/news/753-imb-notes-increasein-piracy-off-west-africa</w:t>
        </w:r>
      </w:hyperlink>
      <w:r w:rsidRPr="004700CF">
        <w:rPr>
          <w:rFonts w:ascii="Arial" w:eastAsia="Arial" w:hAnsi="Arial" w:cs="Arial"/>
          <w:color w:val="0563C1"/>
          <w:sz w:val="20"/>
          <w:szCs w:val="20"/>
        </w:rPr>
        <w:t>&gt;</w:t>
      </w:r>
      <w:r w:rsidRPr="004700CF">
        <w:rPr>
          <w:rFonts w:ascii="Arial" w:eastAsia="Arial" w:hAnsi="Arial" w:cs="Arial"/>
          <w:sz w:val="20"/>
          <w:szCs w:val="20"/>
        </w:rPr>
        <w:t>.</w:t>
      </w:r>
    </w:p>
    <w:p w14:paraId="49A59926" w14:textId="4345F814" w:rsidR="21C3821A" w:rsidRPr="004700CF" w:rsidRDefault="21C3821A" w:rsidP="0066301C">
      <w:pPr>
        <w:spacing w:after="200"/>
        <w:jc w:val="both"/>
        <w:rPr>
          <w:rFonts w:ascii="Arial" w:eastAsia="Arial" w:hAnsi="Arial" w:cs="Arial"/>
          <w:sz w:val="20"/>
          <w:szCs w:val="20"/>
        </w:rPr>
      </w:pPr>
      <w:r w:rsidRPr="004700CF">
        <w:rPr>
          <w:rFonts w:ascii="Arial" w:eastAsia="Arial" w:hAnsi="Arial" w:cs="Arial"/>
          <w:sz w:val="20"/>
          <w:szCs w:val="20"/>
        </w:rPr>
        <w:t xml:space="preserve">International Maritime Organization (IMO) (2010). Code of Practice for the Investigation of Crimes of Piracy and Armed Robbery against Ships. Resolution A.1025 (26). Retrieved August 20, 2017. </w:t>
      </w:r>
      <w:r w:rsidR="00611D1E" w:rsidRPr="004700CF">
        <w:rPr>
          <w:rFonts w:ascii="Arial" w:eastAsia="Arial" w:hAnsi="Arial" w:cs="Arial"/>
          <w:sz w:val="20"/>
          <w:szCs w:val="20"/>
        </w:rPr>
        <w:t>&lt;</w:t>
      </w:r>
      <w:hyperlink r:id="rId159" w:history="1">
        <w:r w:rsidR="00611D1E" w:rsidRPr="004700CF">
          <w:rPr>
            <w:rStyle w:val="Hyperlink"/>
            <w:rFonts w:ascii="Arial" w:eastAsia="Arial" w:hAnsi="Arial" w:cs="Arial"/>
            <w:sz w:val="20"/>
            <w:szCs w:val="20"/>
            <w:u w:val="none"/>
          </w:rPr>
          <w:t>http://www.imo.org/OurWork/Security/PiracyArmedRobbery/Guidance/Documents/A.1025.pdf</w:t>
        </w:r>
      </w:hyperlink>
      <w:r w:rsidR="00611D1E" w:rsidRPr="004700CF">
        <w:rPr>
          <w:rStyle w:val="Hyperlink"/>
          <w:rFonts w:ascii="Arial" w:eastAsia="Arial" w:hAnsi="Arial" w:cs="Arial"/>
          <w:sz w:val="20"/>
          <w:szCs w:val="20"/>
          <w:u w:val="none"/>
        </w:rPr>
        <w:t>&gt;</w:t>
      </w:r>
      <w:r w:rsidRPr="004700CF">
        <w:rPr>
          <w:rFonts w:ascii="Arial" w:eastAsia="Arial" w:hAnsi="Arial" w:cs="Arial"/>
          <w:color w:val="0563C1"/>
          <w:sz w:val="20"/>
          <w:szCs w:val="20"/>
        </w:rPr>
        <w:t>.</w:t>
      </w:r>
      <w:r w:rsidRPr="004700CF">
        <w:rPr>
          <w:rFonts w:ascii="Arial" w:eastAsia="Arial" w:hAnsi="Arial" w:cs="Arial"/>
          <w:sz w:val="20"/>
          <w:szCs w:val="20"/>
        </w:rPr>
        <w:t xml:space="preserve"> </w:t>
      </w:r>
    </w:p>
    <w:p w14:paraId="4902D0C9" w14:textId="0442B9B1" w:rsidR="21C3821A" w:rsidRPr="004700CF" w:rsidRDefault="21C3821A" w:rsidP="0066301C">
      <w:pPr>
        <w:spacing w:after="200"/>
        <w:jc w:val="both"/>
        <w:rPr>
          <w:rFonts w:ascii="Arial" w:eastAsia="Arial" w:hAnsi="Arial" w:cs="Arial"/>
          <w:sz w:val="20"/>
          <w:szCs w:val="20"/>
        </w:rPr>
      </w:pPr>
      <w:r w:rsidRPr="004700CF">
        <w:rPr>
          <w:rFonts w:ascii="Arial" w:eastAsia="Arial" w:hAnsi="Arial" w:cs="Arial"/>
          <w:sz w:val="20"/>
          <w:szCs w:val="20"/>
        </w:rPr>
        <w:t xml:space="preserve">International Monetary Fund - IMF (2000). The Fabric of Reform – An IMF Video. &lt; </w:t>
      </w:r>
      <w:hyperlink r:id="rId160">
        <w:r w:rsidRPr="004700CF">
          <w:rPr>
            <w:rStyle w:val="Hyperlink"/>
            <w:rFonts w:ascii="Arial" w:eastAsia="Arial" w:hAnsi="Arial" w:cs="Arial"/>
            <w:sz w:val="20"/>
            <w:szCs w:val="20"/>
            <w:u w:val="none"/>
          </w:rPr>
          <w:t>https://www.imf.org/external/pubs/ft/fabric/backgrnd.htm</w:t>
        </w:r>
      </w:hyperlink>
      <w:r w:rsidRPr="004700CF">
        <w:rPr>
          <w:rFonts w:ascii="Arial" w:eastAsia="Arial" w:hAnsi="Arial" w:cs="Arial"/>
          <w:sz w:val="20"/>
          <w:szCs w:val="20"/>
        </w:rPr>
        <w:t>&gt;. Accessed on 10/08/2018.</w:t>
      </w:r>
    </w:p>
    <w:p w14:paraId="6CCF64ED" w14:textId="345DC22E" w:rsidR="00611D1E" w:rsidRPr="004700CF" w:rsidRDefault="00611D1E" w:rsidP="0066301C">
      <w:pPr>
        <w:spacing w:after="200" w:line="276" w:lineRule="auto"/>
        <w:jc w:val="both"/>
        <w:rPr>
          <w:rFonts w:ascii="Arial" w:eastAsia="Arial" w:hAnsi="Arial" w:cs="Arial"/>
          <w:sz w:val="20"/>
          <w:szCs w:val="20"/>
          <w:lang w:val="en-US"/>
        </w:rPr>
      </w:pPr>
      <w:r w:rsidRPr="004700CF">
        <w:rPr>
          <w:rFonts w:ascii="Arial" w:eastAsia="Arial" w:hAnsi="Arial" w:cs="Arial"/>
          <w:sz w:val="20"/>
          <w:szCs w:val="20"/>
          <w:lang w:val="en-US"/>
        </w:rPr>
        <w:t>Kapital Afrik (2018). No devaluation of the CFA France of Central Africa but. &lt;</w:t>
      </w:r>
      <w:hyperlink r:id="rId161" w:history="1">
        <w:r w:rsidRPr="004700CF">
          <w:rPr>
            <w:rStyle w:val="Hyperlink"/>
            <w:u w:val="none"/>
          </w:rPr>
          <w:t>No devaluation of the CFA Franc of Central Africa but - Kapital Afrik</w:t>
        </w:r>
      </w:hyperlink>
      <w:r w:rsidRPr="004700CF">
        <w:t>&gt;. Accessed on 18/01/2023.</w:t>
      </w:r>
    </w:p>
    <w:p w14:paraId="68BEFF7B" w14:textId="53367FBD" w:rsidR="21C3821A" w:rsidRPr="004700CF" w:rsidRDefault="21C3821A" w:rsidP="0066301C">
      <w:pPr>
        <w:spacing w:after="200" w:line="276" w:lineRule="auto"/>
        <w:jc w:val="both"/>
        <w:rPr>
          <w:rFonts w:ascii="Arial" w:eastAsia="Arial" w:hAnsi="Arial" w:cs="Arial"/>
          <w:sz w:val="20"/>
          <w:szCs w:val="20"/>
          <w:lang w:val="en-US"/>
        </w:rPr>
      </w:pPr>
      <w:r w:rsidRPr="004700CF">
        <w:rPr>
          <w:rFonts w:ascii="Arial" w:eastAsia="Arial" w:hAnsi="Arial" w:cs="Arial"/>
          <w:sz w:val="20"/>
          <w:szCs w:val="20"/>
          <w:lang w:val="en-US"/>
        </w:rPr>
        <w:t>Knoema (2019). Chad Real Effective Exchange Rate (</w:t>
      </w:r>
      <w:hyperlink r:id="rId162">
        <w:r w:rsidRPr="004700CF">
          <w:rPr>
            <w:rStyle w:val="Hyperlink"/>
            <w:rFonts w:ascii="Arial" w:eastAsia="Arial" w:hAnsi="Arial" w:cs="Arial"/>
            <w:sz w:val="20"/>
            <w:szCs w:val="20"/>
            <w:u w:val="none"/>
          </w:rPr>
          <w:t>Sub-Saharan Africa: Regional Economic Outlook (AFRREO), October 2019</w:t>
        </w:r>
      </w:hyperlink>
      <w:r w:rsidRPr="004700CF">
        <w:rPr>
          <w:rFonts w:ascii="Arial" w:eastAsia="Arial" w:hAnsi="Arial" w:cs="Arial"/>
          <w:sz w:val="20"/>
          <w:szCs w:val="20"/>
        </w:rPr>
        <w:t xml:space="preserve">. </w:t>
      </w:r>
      <w:r w:rsidRPr="004700CF">
        <w:rPr>
          <w:rFonts w:ascii="Arial" w:eastAsia="Arial" w:hAnsi="Arial" w:cs="Arial"/>
          <w:sz w:val="20"/>
          <w:szCs w:val="20"/>
          <w:lang w:val="en-US"/>
        </w:rPr>
        <w:t>&lt;</w:t>
      </w:r>
      <w:hyperlink r:id="rId163">
        <w:r w:rsidRPr="004700CF">
          <w:rPr>
            <w:rStyle w:val="Hyperlink"/>
            <w:rFonts w:ascii="Arial" w:eastAsia="Arial" w:hAnsi="Arial" w:cs="Arial"/>
            <w:sz w:val="20"/>
            <w:szCs w:val="20"/>
            <w:u w:val="none"/>
            <w:lang w:val="en-US"/>
          </w:rPr>
          <w:t>https://knoema.com/search?query=Chad%20Real%20effective%20exchange%20rate</w:t>
        </w:r>
      </w:hyperlink>
      <w:r w:rsidRPr="004700CF">
        <w:rPr>
          <w:rFonts w:ascii="Arial" w:eastAsia="Arial" w:hAnsi="Arial" w:cs="Arial"/>
          <w:color w:val="0563C1"/>
          <w:sz w:val="20"/>
          <w:szCs w:val="20"/>
          <w:lang w:val="en-US"/>
        </w:rPr>
        <w:t>&gt;</w:t>
      </w:r>
      <w:r w:rsidRPr="004700CF">
        <w:rPr>
          <w:rFonts w:ascii="Arial" w:eastAsia="Arial" w:hAnsi="Arial" w:cs="Arial"/>
          <w:sz w:val="20"/>
          <w:szCs w:val="20"/>
          <w:lang w:val="en-US"/>
        </w:rPr>
        <w:t>. Accessed on 05/03/2020.</w:t>
      </w:r>
    </w:p>
    <w:p w14:paraId="44442D7D" w14:textId="4A499ECA" w:rsidR="21C3821A" w:rsidRPr="004700CF" w:rsidRDefault="21C3821A" w:rsidP="0066301C">
      <w:pPr>
        <w:spacing w:after="200"/>
        <w:jc w:val="both"/>
        <w:rPr>
          <w:rFonts w:ascii="Arial" w:eastAsia="Arial" w:hAnsi="Arial" w:cs="Arial"/>
          <w:sz w:val="20"/>
          <w:szCs w:val="20"/>
        </w:rPr>
      </w:pPr>
      <w:r w:rsidRPr="004700CF">
        <w:rPr>
          <w:rFonts w:ascii="Arial" w:eastAsia="Arial" w:hAnsi="Arial" w:cs="Arial"/>
          <w:sz w:val="20"/>
          <w:szCs w:val="20"/>
        </w:rPr>
        <w:t>Koulibaly (2008). « La France exploite l'Afrique par le biais du franc CFA », entretien réalisé par Ruth Tete et Soh Tadhieu de New African.</w:t>
      </w:r>
    </w:p>
    <w:p w14:paraId="210006AF" w14:textId="3502B88C" w:rsidR="21C3821A" w:rsidRPr="004700CF" w:rsidRDefault="21C3821A" w:rsidP="0066301C">
      <w:pPr>
        <w:jc w:val="both"/>
        <w:rPr>
          <w:rFonts w:ascii="Arial" w:eastAsia="Arial" w:hAnsi="Arial" w:cs="Arial"/>
          <w:sz w:val="20"/>
          <w:szCs w:val="20"/>
        </w:rPr>
      </w:pPr>
      <w:r w:rsidRPr="004700CF">
        <w:rPr>
          <w:rFonts w:ascii="Arial" w:eastAsia="Arial" w:hAnsi="Arial" w:cs="Arial"/>
          <w:sz w:val="20"/>
          <w:szCs w:val="20"/>
        </w:rPr>
        <w:t xml:space="preserve">Lloyds Bank, 2023. Gabon: Invest in Gabon. Foreign Direct Investment (FDI) in Gabon. </w:t>
      </w:r>
      <w:hyperlink r:id="rId164">
        <w:r w:rsidRPr="004700CF">
          <w:rPr>
            <w:rStyle w:val="Hyperlink"/>
            <w:rFonts w:ascii="Arial" w:eastAsia="Arial" w:hAnsi="Arial" w:cs="Arial"/>
            <w:sz w:val="20"/>
            <w:szCs w:val="20"/>
            <w:u w:val="none"/>
          </w:rPr>
          <w:t>https://www.lloydsbanktrade.com/en/market-potential/gabon/investment</w:t>
        </w:r>
      </w:hyperlink>
      <w:r w:rsidRPr="004700CF">
        <w:rPr>
          <w:rFonts w:ascii="Arial" w:eastAsia="Arial" w:hAnsi="Arial" w:cs="Arial"/>
          <w:sz w:val="20"/>
          <w:szCs w:val="20"/>
        </w:rPr>
        <w:t xml:space="preserve">. Accessed on.  07/07/ 2023 </w:t>
      </w:r>
    </w:p>
    <w:p w14:paraId="3938E5A5" w14:textId="3C98720E" w:rsidR="21C3821A" w:rsidRPr="004700CF" w:rsidRDefault="21C3821A" w:rsidP="0066301C">
      <w:pPr>
        <w:jc w:val="both"/>
        <w:rPr>
          <w:rFonts w:ascii="Arial" w:eastAsia="Arial" w:hAnsi="Arial" w:cs="Arial"/>
          <w:sz w:val="20"/>
          <w:szCs w:val="20"/>
        </w:rPr>
      </w:pPr>
      <w:r w:rsidRPr="004700CF">
        <w:rPr>
          <w:rFonts w:ascii="Arial" w:eastAsia="Arial" w:hAnsi="Arial" w:cs="Arial"/>
          <w:sz w:val="20"/>
          <w:szCs w:val="20"/>
        </w:rPr>
        <w:t xml:space="preserve">Meghana, S. (n.d). Top 3 Approaches to Balance of Payments. &lt; </w:t>
      </w:r>
      <w:hyperlink r:id="rId165">
        <w:r w:rsidRPr="004700CF">
          <w:rPr>
            <w:rStyle w:val="Hyperlink"/>
            <w:rFonts w:ascii="Arial" w:eastAsia="Arial" w:hAnsi="Arial" w:cs="Arial"/>
            <w:sz w:val="20"/>
            <w:szCs w:val="20"/>
            <w:u w:val="none"/>
          </w:rPr>
          <w:t>https://www.microeconomicsnotes.com/balance-of-payments/top-3-approaches-of-balance-of-payments/1736</w:t>
        </w:r>
      </w:hyperlink>
      <w:r w:rsidRPr="004700CF">
        <w:rPr>
          <w:rFonts w:ascii="Arial" w:eastAsia="Arial" w:hAnsi="Arial" w:cs="Arial"/>
          <w:sz w:val="20"/>
          <w:szCs w:val="20"/>
        </w:rPr>
        <w:t>&gt;. Accessed on 15/01/2021.</w:t>
      </w:r>
    </w:p>
    <w:p w14:paraId="56AD7091" w14:textId="76B0E145" w:rsidR="21C3821A" w:rsidRPr="004700CF" w:rsidRDefault="21C3821A" w:rsidP="0066301C">
      <w:pPr>
        <w:spacing w:after="200"/>
        <w:jc w:val="both"/>
        <w:rPr>
          <w:rFonts w:ascii="Arial" w:eastAsia="Arial" w:hAnsi="Arial" w:cs="Arial"/>
          <w:sz w:val="20"/>
          <w:szCs w:val="20"/>
          <w:lang w:val="en-US"/>
        </w:rPr>
      </w:pPr>
      <w:r w:rsidRPr="004700CF">
        <w:rPr>
          <w:rFonts w:ascii="Arial" w:eastAsia="Arial" w:hAnsi="Arial" w:cs="Arial"/>
          <w:sz w:val="20"/>
          <w:szCs w:val="20"/>
        </w:rPr>
        <w:t>Moreno, R. (1998). What Caused East Asia’s Financial Crisis? FRBSF Economic Letter &lt;</w:t>
      </w:r>
      <w:hyperlink r:id="rId166">
        <w:r w:rsidRPr="004700CF">
          <w:rPr>
            <w:rStyle w:val="Hyperlink"/>
            <w:rFonts w:ascii="Arial" w:eastAsia="Arial" w:hAnsi="Arial" w:cs="Arial"/>
            <w:sz w:val="20"/>
            <w:szCs w:val="20"/>
            <w:u w:val="none"/>
            <w:lang w:val="en-US"/>
          </w:rPr>
          <w:t>https://www.frbsf.org/economic-research/publications/economic-letter/1998/august/what-caused-east-asia-financial-crisis/</w:t>
        </w:r>
      </w:hyperlink>
      <w:r w:rsidRPr="004700CF">
        <w:rPr>
          <w:rFonts w:ascii="Arial" w:eastAsia="Arial" w:hAnsi="Arial" w:cs="Arial"/>
          <w:sz w:val="20"/>
          <w:szCs w:val="20"/>
          <w:lang w:val="en-US"/>
        </w:rPr>
        <w:t xml:space="preserve">&gt;. Accessed 18/03/2018. </w:t>
      </w:r>
    </w:p>
    <w:p w14:paraId="561193E6" w14:textId="51FD3D3E" w:rsidR="21C3821A" w:rsidRPr="004700CF" w:rsidRDefault="21C3821A" w:rsidP="0066301C">
      <w:pPr>
        <w:spacing w:after="200"/>
        <w:jc w:val="both"/>
        <w:rPr>
          <w:rFonts w:ascii="Arial" w:eastAsia="Arial" w:hAnsi="Arial" w:cs="Arial"/>
          <w:sz w:val="20"/>
          <w:szCs w:val="20"/>
        </w:rPr>
      </w:pPr>
      <w:r w:rsidRPr="004700CF">
        <w:rPr>
          <w:rFonts w:ascii="Arial" w:eastAsia="Arial" w:hAnsi="Arial" w:cs="Arial"/>
          <w:sz w:val="20"/>
          <w:szCs w:val="20"/>
          <w:lang w:val="en-US"/>
        </w:rPr>
        <w:t>Nirav, S. (n.d). What is Balance of Payments Theory of Rate of Exchange? &lt;</w:t>
      </w:r>
      <w:hyperlink r:id="rId167">
        <w:r w:rsidRPr="004700CF">
          <w:rPr>
            <w:rStyle w:val="Hyperlink"/>
            <w:rFonts w:ascii="Arial" w:eastAsia="Arial" w:hAnsi="Arial" w:cs="Arial"/>
            <w:sz w:val="20"/>
            <w:szCs w:val="20"/>
            <w:u w:val="none"/>
          </w:rPr>
          <w:t>https://www.preservearticles.com/economics/what-is-balance-of-payments-theory-of-rate-of-exchange/19420</w:t>
        </w:r>
      </w:hyperlink>
      <w:r w:rsidRPr="004700CF">
        <w:rPr>
          <w:rFonts w:ascii="Arial" w:eastAsia="Arial" w:hAnsi="Arial" w:cs="Arial"/>
          <w:sz w:val="20"/>
          <w:szCs w:val="20"/>
        </w:rPr>
        <w:t>&gt;. Accessed on 07/01/2021.</w:t>
      </w:r>
    </w:p>
    <w:p w14:paraId="5CC6E13E" w14:textId="1EA50F82" w:rsidR="21C3821A" w:rsidRPr="004700CF" w:rsidRDefault="21C3821A" w:rsidP="0066301C">
      <w:pPr>
        <w:spacing w:after="200"/>
        <w:jc w:val="both"/>
        <w:rPr>
          <w:rFonts w:ascii="Arial" w:eastAsia="Arial" w:hAnsi="Arial" w:cs="Arial"/>
          <w:sz w:val="20"/>
          <w:szCs w:val="20"/>
        </w:rPr>
      </w:pPr>
      <w:r w:rsidRPr="004700CF">
        <w:rPr>
          <w:rFonts w:ascii="Arial" w:eastAsia="Arial" w:hAnsi="Arial" w:cs="Arial"/>
          <w:sz w:val="20"/>
          <w:szCs w:val="20"/>
        </w:rPr>
        <w:t>Parul, S. (2020). Determination of Exchange Rate: 5 Approaches | Forex Management. &lt;</w:t>
      </w:r>
      <w:hyperlink r:id="rId168">
        <w:r w:rsidRPr="004700CF">
          <w:rPr>
            <w:rStyle w:val="Hyperlink"/>
            <w:rFonts w:ascii="Arial" w:eastAsia="Arial" w:hAnsi="Arial" w:cs="Arial"/>
            <w:sz w:val="20"/>
            <w:szCs w:val="20"/>
            <w:u w:val="none"/>
          </w:rPr>
          <w:t>https://www.businessmanagementideas.com/foreign-exchange-2/exchange-rates/determination-of-exchange-rates-5-approaches-forex-management/17191</w:t>
        </w:r>
      </w:hyperlink>
      <w:r w:rsidRPr="004700CF">
        <w:rPr>
          <w:rFonts w:ascii="Arial" w:eastAsia="Arial" w:hAnsi="Arial" w:cs="Arial"/>
          <w:sz w:val="20"/>
          <w:szCs w:val="20"/>
        </w:rPr>
        <w:t>&gt;. Accessed on 23/10/2020.</w:t>
      </w:r>
    </w:p>
    <w:p w14:paraId="07A01101" w14:textId="7639E3D0" w:rsidR="21C3821A" w:rsidRPr="004700CF" w:rsidRDefault="21C3821A" w:rsidP="0066301C">
      <w:pPr>
        <w:spacing w:after="200"/>
        <w:jc w:val="both"/>
        <w:rPr>
          <w:rFonts w:ascii="Arial" w:eastAsia="Arial" w:hAnsi="Arial" w:cs="Arial"/>
          <w:sz w:val="20"/>
          <w:szCs w:val="20"/>
        </w:rPr>
      </w:pPr>
      <w:r w:rsidRPr="004700CF">
        <w:rPr>
          <w:rFonts w:ascii="Arial" w:eastAsia="Arial" w:hAnsi="Arial" w:cs="Arial"/>
          <w:sz w:val="20"/>
          <w:szCs w:val="20"/>
        </w:rPr>
        <w:t xml:space="preserve">Pettinger, T. (2017). Money Supply and the Exchange Rate. &lt; </w:t>
      </w:r>
      <w:hyperlink r:id="rId169">
        <w:r w:rsidRPr="004700CF">
          <w:rPr>
            <w:rStyle w:val="Hyperlink"/>
            <w:rFonts w:ascii="Arial" w:eastAsia="Arial" w:hAnsi="Arial" w:cs="Arial"/>
            <w:sz w:val="20"/>
            <w:szCs w:val="20"/>
            <w:u w:val="none"/>
          </w:rPr>
          <w:t>https://www.economicshelp.org/blog/11550/currency/money-supply-and-the-exchange-rate/</w:t>
        </w:r>
      </w:hyperlink>
      <w:r w:rsidRPr="004700CF">
        <w:rPr>
          <w:rFonts w:ascii="Arial" w:eastAsia="Arial" w:hAnsi="Arial" w:cs="Arial"/>
          <w:sz w:val="20"/>
          <w:szCs w:val="20"/>
        </w:rPr>
        <w:t>&gt;. Accessed on 05/03/2021.</w:t>
      </w:r>
    </w:p>
    <w:p w14:paraId="2BEF49DB" w14:textId="42FC8DF3" w:rsidR="21C3821A" w:rsidRPr="004700CF" w:rsidRDefault="21C3821A" w:rsidP="0066301C">
      <w:pPr>
        <w:spacing w:after="200"/>
        <w:jc w:val="both"/>
        <w:rPr>
          <w:rFonts w:ascii="Arial" w:eastAsia="Arial" w:hAnsi="Arial" w:cs="Arial"/>
          <w:sz w:val="20"/>
          <w:szCs w:val="20"/>
        </w:rPr>
      </w:pPr>
      <w:r w:rsidRPr="004700CF">
        <w:rPr>
          <w:rFonts w:ascii="Arial" w:eastAsia="Arial" w:hAnsi="Arial" w:cs="Arial"/>
          <w:sz w:val="20"/>
          <w:szCs w:val="20"/>
        </w:rPr>
        <w:lastRenderedPageBreak/>
        <w:t>Rajasekar, S., Philominathan, P., and Chinnathambi, V. (2006). Research Methodology. &lt;</w:t>
      </w:r>
      <w:hyperlink r:id="rId170">
        <w:r w:rsidRPr="004700CF">
          <w:rPr>
            <w:rStyle w:val="Hyperlink"/>
            <w:rFonts w:ascii="Arial" w:eastAsia="Arial" w:hAnsi="Arial" w:cs="Arial"/>
            <w:sz w:val="20"/>
            <w:szCs w:val="20"/>
            <w:u w:val="none"/>
          </w:rPr>
          <w:t>https://ia600400.us.archive.org/12/items/arxiv-physics0601009/physics0601009.pdf</w:t>
        </w:r>
      </w:hyperlink>
      <w:r w:rsidRPr="004700CF">
        <w:rPr>
          <w:rFonts w:ascii="Arial" w:eastAsia="Arial" w:hAnsi="Arial" w:cs="Arial"/>
          <w:sz w:val="20"/>
          <w:szCs w:val="20"/>
        </w:rPr>
        <w:t>&gt;. Accessed on 25/10/2020.</w:t>
      </w:r>
    </w:p>
    <w:p w14:paraId="0E5C7E04" w14:textId="763434E5" w:rsidR="21C3821A" w:rsidRPr="004700CF" w:rsidRDefault="21C3821A" w:rsidP="0066301C">
      <w:pPr>
        <w:spacing w:after="4"/>
        <w:jc w:val="both"/>
        <w:rPr>
          <w:rFonts w:ascii="Arial" w:eastAsia="Arial" w:hAnsi="Arial" w:cs="Arial"/>
          <w:sz w:val="20"/>
          <w:szCs w:val="20"/>
        </w:rPr>
      </w:pPr>
      <w:r w:rsidRPr="004700CF">
        <w:rPr>
          <w:rFonts w:ascii="Arial" w:eastAsia="Arial" w:hAnsi="Arial" w:cs="Arial"/>
          <w:sz w:val="20"/>
          <w:szCs w:val="20"/>
        </w:rPr>
        <w:t>Saunders, M., Lewis, P., and Thornhill, A. (2016). Understanding research philosophies and approaches &lt;</w:t>
      </w:r>
      <w:hyperlink r:id="rId171">
        <w:r w:rsidRPr="004700CF">
          <w:rPr>
            <w:rStyle w:val="Hyperlink"/>
            <w:rFonts w:ascii="Arial" w:eastAsia="Arial" w:hAnsi="Arial" w:cs="Arial"/>
            <w:sz w:val="20"/>
            <w:szCs w:val="20"/>
            <w:u w:val="none"/>
          </w:rPr>
          <w:t>https://www.researchgate.net/publication/309102603</w:t>
        </w:r>
      </w:hyperlink>
      <w:r w:rsidRPr="004700CF">
        <w:rPr>
          <w:rFonts w:ascii="Arial" w:eastAsia="Arial" w:hAnsi="Arial" w:cs="Arial"/>
          <w:sz w:val="20"/>
          <w:szCs w:val="20"/>
        </w:rPr>
        <w:t xml:space="preserve"> &gt; Accessed 20/8/2020.</w:t>
      </w:r>
    </w:p>
    <w:p w14:paraId="7E90D3BF" w14:textId="122ECFAA" w:rsidR="21C3821A" w:rsidRPr="004700CF" w:rsidRDefault="21C3821A" w:rsidP="0066301C">
      <w:pPr>
        <w:spacing w:after="200"/>
        <w:jc w:val="both"/>
        <w:rPr>
          <w:rFonts w:ascii="Arial" w:eastAsia="Arial" w:hAnsi="Arial" w:cs="Arial"/>
          <w:sz w:val="20"/>
          <w:szCs w:val="20"/>
        </w:rPr>
      </w:pPr>
      <w:r w:rsidRPr="004700CF">
        <w:rPr>
          <w:rFonts w:ascii="Arial" w:eastAsia="Arial" w:hAnsi="Arial" w:cs="Arial"/>
          <w:sz w:val="20"/>
          <w:szCs w:val="20"/>
        </w:rPr>
        <w:t xml:space="preserve">Selassie, A. A. (2017). Growth and Stability in Cenral Africa. </w:t>
      </w:r>
      <w:r w:rsidRPr="004700CF">
        <w:rPr>
          <w:rFonts w:ascii="Arial" w:eastAsia="Arial" w:hAnsi="Arial" w:cs="Arial"/>
          <w:i/>
          <w:iCs/>
          <w:sz w:val="20"/>
          <w:szCs w:val="20"/>
        </w:rPr>
        <w:t>IMFBlog Insights &amp; Analysis on Economic &amp; Finance.&lt;</w:t>
      </w:r>
      <w:hyperlink r:id="rId172">
        <w:r w:rsidRPr="004700CF">
          <w:rPr>
            <w:rStyle w:val="Hyperlink"/>
            <w:rFonts w:ascii="Arial" w:eastAsia="Arial" w:hAnsi="Arial" w:cs="Arial"/>
            <w:sz w:val="20"/>
            <w:szCs w:val="20"/>
            <w:u w:val="none"/>
          </w:rPr>
          <w:t>https://blogs.imf.org/2017/08/01/a-common-cause-for-sustainable-growth-and-stability-in-central-africa/</w:t>
        </w:r>
      </w:hyperlink>
      <w:r w:rsidRPr="004700CF">
        <w:rPr>
          <w:rFonts w:ascii="Arial" w:eastAsia="Arial" w:hAnsi="Arial" w:cs="Arial"/>
          <w:sz w:val="20"/>
          <w:szCs w:val="20"/>
        </w:rPr>
        <w:t>&gt; accessed on 04</w:t>
      </w:r>
      <w:r w:rsidRPr="004700CF">
        <w:rPr>
          <w:rFonts w:ascii="Arial" w:eastAsia="Arial" w:hAnsi="Arial" w:cs="Arial"/>
          <w:sz w:val="20"/>
          <w:szCs w:val="20"/>
          <w:vertAlign w:val="superscript"/>
        </w:rPr>
        <w:t>th</w:t>
      </w:r>
      <w:r w:rsidRPr="004700CF">
        <w:rPr>
          <w:rFonts w:ascii="Arial" w:eastAsia="Arial" w:hAnsi="Arial" w:cs="Arial"/>
          <w:sz w:val="20"/>
          <w:szCs w:val="20"/>
        </w:rPr>
        <w:t xml:space="preserve"> June 2019.</w:t>
      </w:r>
    </w:p>
    <w:p w14:paraId="76194F6D" w14:textId="4D5B397D" w:rsidR="21C3821A" w:rsidRPr="004700CF" w:rsidRDefault="21C3821A" w:rsidP="0066301C">
      <w:pPr>
        <w:spacing w:after="0"/>
        <w:jc w:val="both"/>
        <w:rPr>
          <w:rFonts w:ascii="Arial" w:eastAsia="Arial" w:hAnsi="Arial" w:cs="Arial"/>
          <w:sz w:val="20"/>
          <w:szCs w:val="20"/>
        </w:rPr>
      </w:pPr>
      <w:r w:rsidRPr="004700CF">
        <w:rPr>
          <w:rFonts w:ascii="Arial" w:eastAsia="Arial" w:hAnsi="Arial" w:cs="Arial"/>
          <w:sz w:val="20"/>
          <w:szCs w:val="20"/>
        </w:rPr>
        <w:t xml:space="preserve">Seth, T. (2020). Demand for and Supply of Money – Discussed! &lt; </w:t>
      </w:r>
      <w:hyperlink r:id="rId173">
        <w:r w:rsidRPr="004700CF">
          <w:rPr>
            <w:rStyle w:val="Hyperlink"/>
            <w:rFonts w:ascii="Arial" w:eastAsia="Arial" w:hAnsi="Arial" w:cs="Arial"/>
            <w:sz w:val="20"/>
            <w:szCs w:val="20"/>
            <w:u w:val="none"/>
          </w:rPr>
          <w:t>https://www.economicsdiscussion.net/money/demand-for-and-supply-of-money-discussed/1853</w:t>
        </w:r>
      </w:hyperlink>
      <w:r w:rsidRPr="004700CF">
        <w:rPr>
          <w:rFonts w:ascii="Arial" w:eastAsia="Arial" w:hAnsi="Arial" w:cs="Arial"/>
          <w:sz w:val="20"/>
          <w:szCs w:val="20"/>
        </w:rPr>
        <w:t>&gt;. Accessed on 27/12/2020.</w:t>
      </w:r>
    </w:p>
    <w:p w14:paraId="057CC448" w14:textId="1A99459A" w:rsidR="21C3821A" w:rsidRPr="004700CF" w:rsidRDefault="21C3821A" w:rsidP="0066301C">
      <w:pPr>
        <w:spacing w:after="0"/>
        <w:jc w:val="both"/>
        <w:rPr>
          <w:rFonts w:ascii="Arial" w:eastAsia="Arial" w:hAnsi="Arial" w:cs="Arial"/>
          <w:sz w:val="20"/>
          <w:szCs w:val="20"/>
        </w:rPr>
      </w:pPr>
      <w:r w:rsidRPr="004700CF">
        <w:rPr>
          <w:rFonts w:ascii="Arial" w:eastAsia="Arial" w:hAnsi="Arial" w:cs="Arial"/>
          <w:sz w:val="20"/>
          <w:szCs w:val="20"/>
        </w:rPr>
        <w:t xml:space="preserve">Shalifay (2013). Investor’s List: Countries with Fixed Currency Exchange Rates. &lt; </w:t>
      </w:r>
      <w:hyperlink r:id="rId174">
        <w:r w:rsidRPr="004700CF">
          <w:rPr>
            <w:rStyle w:val="Hyperlink"/>
            <w:rFonts w:ascii="Arial" w:eastAsia="Arial" w:hAnsi="Arial" w:cs="Arial"/>
            <w:sz w:val="20"/>
            <w:szCs w:val="20"/>
            <w:u w:val="none"/>
          </w:rPr>
          <w:t>https://www.investmentfrontier.com/2013/02/19/investors-list-countries-with-fixed-currency-exchange-rates/</w:t>
        </w:r>
      </w:hyperlink>
      <w:r w:rsidRPr="004700CF">
        <w:rPr>
          <w:rFonts w:ascii="Arial" w:eastAsia="Arial" w:hAnsi="Arial" w:cs="Arial"/>
          <w:sz w:val="20"/>
          <w:szCs w:val="20"/>
        </w:rPr>
        <w:t>&gt;. Accessed on 13/07/2017.</w:t>
      </w:r>
    </w:p>
    <w:p w14:paraId="29CA061C" w14:textId="045A631A" w:rsidR="21C3821A" w:rsidRPr="004700CF" w:rsidRDefault="21C3821A" w:rsidP="0066301C">
      <w:pPr>
        <w:spacing w:after="200"/>
        <w:jc w:val="both"/>
        <w:rPr>
          <w:rFonts w:ascii="Arial" w:eastAsia="Arial" w:hAnsi="Arial" w:cs="Arial"/>
          <w:sz w:val="20"/>
          <w:szCs w:val="20"/>
        </w:rPr>
      </w:pPr>
      <w:r w:rsidRPr="004700CF">
        <w:rPr>
          <w:rFonts w:ascii="Arial" w:eastAsia="Arial" w:hAnsi="Arial" w:cs="Arial"/>
          <w:sz w:val="20"/>
          <w:szCs w:val="20"/>
        </w:rPr>
        <w:t>Smriti, C. (n.d). Mechanism of Absorption Approach to the Balance of Payment Adjustment. &lt;</w:t>
      </w:r>
      <w:hyperlink r:id="rId175">
        <w:r w:rsidRPr="004700CF">
          <w:rPr>
            <w:rStyle w:val="Hyperlink"/>
            <w:rFonts w:ascii="Arial" w:eastAsia="Arial" w:hAnsi="Arial" w:cs="Arial"/>
            <w:sz w:val="20"/>
            <w:szCs w:val="20"/>
            <w:u w:val="none"/>
          </w:rPr>
          <w:t>http://www.yourarticlelibrary.com/notes/macroeconomics/mechanism­of­absorption­approach­to­the­balance­of­payments­adjustment/31245</w:t>
        </w:r>
      </w:hyperlink>
      <w:r w:rsidRPr="004700CF">
        <w:rPr>
          <w:rFonts w:ascii="Arial" w:eastAsia="Arial" w:hAnsi="Arial" w:cs="Arial"/>
          <w:sz w:val="20"/>
          <w:szCs w:val="20"/>
        </w:rPr>
        <w:t>&gt;. Accessed on 01/03/2019.</w:t>
      </w:r>
    </w:p>
    <w:p w14:paraId="1C4498E8" w14:textId="018DCFA3" w:rsidR="21C3821A" w:rsidRPr="004700CF" w:rsidRDefault="21C3821A" w:rsidP="0066301C">
      <w:pPr>
        <w:spacing w:after="200"/>
        <w:jc w:val="both"/>
        <w:rPr>
          <w:rFonts w:ascii="Arial" w:eastAsia="Arial" w:hAnsi="Arial" w:cs="Arial"/>
          <w:sz w:val="20"/>
          <w:szCs w:val="20"/>
        </w:rPr>
      </w:pPr>
      <w:r w:rsidRPr="004700CF">
        <w:rPr>
          <w:rFonts w:ascii="Arial" w:eastAsia="Arial" w:hAnsi="Arial" w:cs="Arial"/>
          <w:sz w:val="20"/>
          <w:szCs w:val="20"/>
        </w:rPr>
        <w:t>Smriti, C. (n.d). Balance of Payments Theory of Exchange – International Trade. &lt;</w:t>
      </w:r>
      <w:hyperlink r:id="rId176">
        <w:r w:rsidRPr="004700CF">
          <w:rPr>
            <w:rStyle w:val="Hyperlink"/>
            <w:rFonts w:ascii="Arial" w:eastAsia="Arial" w:hAnsi="Arial" w:cs="Arial"/>
            <w:sz w:val="20"/>
            <w:szCs w:val="20"/>
            <w:u w:val="none"/>
          </w:rPr>
          <w:t>https://www.yourarticlelibrary.com/international-trade/balance-of-payments-theory-of-exchange-international-trade/26057</w:t>
        </w:r>
      </w:hyperlink>
      <w:r w:rsidRPr="004700CF">
        <w:rPr>
          <w:rFonts w:ascii="Arial" w:eastAsia="Arial" w:hAnsi="Arial" w:cs="Arial"/>
          <w:sz w:val="20"/>
          <w:szCs w:val="20"/>
        </w:rPr>
        <w:t>&gt;. Accessed on 12/03/2021.</w:t>
      </w:r>
    </w:p>
    <w:p w14:paraId="7FDD2F6D" w14:textId="5DC95EBB" w:rsidR="21C3821A" w:rsidRPr="004700CF" w:rsidRDefault="21C3821A" w:rsidP="0066301C">
      <w:pPr>
        <w:spacing w:after="200"/>
        <w:jc w:val="both"/>
        <w:rPr>
          <w:rFonts w:ascii="Arial" w:eastAsia="Arial" w:hAnsi="Arial" w:cs="Arial"/>
          <w:sz w:val="20"/>
          <w:szCs w:val="20"/>
        </w:rPr>
      </w:pPr>
      <w:r w:rsidRPr="004700CF">
        <w:rPr>
          <w:rFonts w:ascii="Arial" w:eastAsia="Arial" w:hAnsi="Arial" w:cs="Arial"/>
          <w:sz w:val="20"/>
          <w:szCs w:val="20"/>
        </w:rPr>
        <w:t>Standard Bank (2023). Cameroon: Economic and Political Overview. &lt;</w:t>
      </w:r>
      <w:hyperlink r:id="rId177">
        <w:r w:rsidRPr="004700CF">
          <w:rPr>
            <w:rStyle w:val="Hyperlink"/>
            <w:rFonts w:ascii="Arial" w:eastAsia="Arial" w:hAnsi="Arial" w:cs="Arial"/>
            <w:sz w:val="20"/>
            <w:szCs w:val="20"/>
            <w:u w:val="none"/>
          </w:rPr>
          <w:t>The economic context of Cameroon - Standard Bank TradeClub</w:t>
        </w:r>
      </w:hyperlink>
      <w:r w:rsidRPr="004700CF">
        <w:rPr>
          <w:rFonts w:ascii="Arial" w:eastAsia="Arial" w:hAnsi="Arial" w:cs="Arial"/>
          <w:sz w:val="20"/>
          <w:szCs w:val="20"/>
        </w:rPr>
        <w:t>&gt;. Accessed on 25/02/2023.</w:t>
      </w:r>
    </w:p>
    <w:p w14:paraId="20370FC0" w14:textId="20B34371" w:rsidR="21C3821A" w:rsidRPr="004700CF" w:rsidRDefault="21C3821A" w:rsidP="0066301C">
      <w:pPr>
        <w:jc w:val="both"/>
        <w:rPr>
          <w:rFonts w:ascii="Arial" w:eastAsia="Arial" w:hAnsi="Arial" w:cs="Arial"/>
          <w:sz w:val="20"/>
          <w:szCs w:val="20"/>
        </w:rPr>
      </w:pPr>
      <w:r w:rsidRPr="004700CF">
        <w:rPr>
          <w:rFonts w:ascii="Arial" w:eastAsia="Arial" w:hAnsi="Arial" w:cs="Arial"/>
          <w:sz w:val="20"/>
          <w:szCs w:val="20"/>
        </w:rPr>
        <w:t>Transparency International (2018). Corruption Perceptions Index. &lt;</w:t>
      </w:r>
      <w:hyperlink r:id="rId178">
        <w:r w:rsidRPr="004700CF">
          <w:rPr>
            <w:rStyle w:val="Hyperlink"/>
            <w:rFonts w:ascii="Arial" w:eastAsia="Arial" w:hAnsi="Arial" w:cs="Arial"/>
            <w:sz w:val="20"/>
            <w:szCs w:val="20"/>
            <w:u w:val="none"/>
          </w:rPr>
          <w:t>https://www.transparency.org/en/cpi/2018</w:t>
        </w:r>
      </w:hyperlink>
      <w:r w:rsidRPr="004700CF">
        <w:rPr>
          <w:rFonts w:ascii="Arial" w:eastAsia="Arial" w:hAnsi="Arial" w:cs="Arial"/>
          <w:sz w:val="20"/>
          <w:szCs w:val="20"/>
        </w:rPr>
        <w:t xml:space="preserve"> &gt;. Accessed on 10/07/2023.</w:t>
      </w:r>
    </w:p>
    <w:p w14:paraId="20004D64" w14:textId="4CAD2BCA" w:rsidR="21C3821A" w:rsidRPr="004700CF" w:rsidRDefault="21C3821A" w:rsidP="0066301C">
      <w:pPr>
        <w:spacing w:after="200"/>
        <w:jc w:val="both"/>
        <w:rPr>
          <w:rFonts w:ascii="Arial" w:eastAsia="Arial" w:hAnsi="Arial" w:cs="Arial"/>
          <w:sz w:val="20"/>
          <w:szCs w:val="20"/>
        </w:rPr>
      </w:pPr>
      <w:r w:rsidRPr="004700CF">
        <w:rPr>
          <w:rFonts w:ascii="Arial" w:eastAsia="Arial" w:hAnsi="Arial" w:cs="Arial"/>
          <w:sz w:val="20"/>
          <w:szCs w:val="20"/>
          <w:lang w:val="en-US"/>
        </w:rPr>
        <w:t>United Nation (2015). Security Council Briefing on the Situation in Central Africa, Special Representative Abdoulaye Bathily. &lt;</w:t>
      </w:r>
      <w:hyperlink r:id="rId179">
        <w:r w:rsidRPr="004700CF">
          <w:rPr>
            <w:rStyle w:val="Hyperlink"/>
            <w:rFonts w:ascii="Arial" w:eastAsia="Arial" w:hAnsi="Arial" w:cs="Arial"/>
            <w:sz w:val="20"/>
            <w:szCs w:val="20"/>
            <w:u w:val="none"/>
          </w:rPr>
          <w:t>https://dppa.un.org/en/security-council-briefing-situation-central-africa-special-representative-abdoulaye-bathily</w:t>
        </w:r>
      </w:hyperlink>
      <w:r w:rsidRPr="004700CF">
        <w:rPr>
          <w:rFonts w:ascii="Arial" w:eastAsia="Arial" w:hAnsi="Arial" w:cs="Arial"/>
          <w:sz w:val="20"/>
          <w:szCs w:val="20"/>
        </w:rPr>
        <w:t>&gt;. Accessed on 04/06/2019.</w:t>
      </w:r>
    </w:p>
    <w:p w14:paraId="1403CDF3" w14:textId="176119B6" w:rsidR="21C3821A" w:rsidRPr="004700CF" w:rsidRDefault="21C3821A" w:rsidP="0066301C">
      <w:pPr>
        <w:jc w:val="both"/>
        <w:rPr>
          <w:rFonts w:ascii="Arial" w:eastAsia="Arial" w:hAnsi="Arial" w:cs="Arial"/>
          <w:sz w:val="20"/>
          <w:szCs w:val="20"/>
          <w:lang w:val="en-US"/>
        </w:rPr>
      </w:pPr>
      <w:r w:rsidRPr="004700CF">
        <w:rPr>
          <w:rFonts w:ascii="Arial" w:eastAsia="Arial" w:hAnsi="Arial" w:cs="Arial"/>
          <w:sz w:val="20"/>
          <w:szCs w:val="20"/>
          <w:lang w:val="en-US"/>
        </w:rPr>
        <w:t>United nation (2019). World Economic Situation and Prospects 2019. &lt;</w:t>
      </w:r>
      <w:hyperlink r:id="rId180">
        <w:r w:rsidRPr="004700CF">
          <w:rPr>
            <w:rStyle w:val="Hyperlink"/>
            <w:rFonts w:ascii="Arial" w:eastAsia="Arial" w:hAnsi="Arial" w:cs="Arial"/>
            <w:sz w:val="20"/>
            <w:szCs w:val="20"/>
            <w:u w:val="none"/>
            <w:lang w:val="en-US"/>
          </w:rPr>
          <w:t>https://www.un.org/development/desa/dpad/wp-ntent/uploads/sites/45/WESP2019_BOOK-web.pdf</w:t>
        </w:r>
      </w:hyperlink>
      <w:r w:rsidRPr="004700CF">
        <w:rPr>
          <w:rFonts w:ascii="Arial" w:eastAsia="Arial" w:hAnsi="Arial" w:cs="Arial"/>
          <w:sz w:val="20"/>
          <w:szCs w:val="20"/>
          <w:lang w:val="en-US"/>
        </w:rPr>
        <w:t>&gt;. Accessed on 19/08/2021.-*9</w:t>
      </w:r>
    </w:p>
    <w:p w14:paraId="60935DBD" w14:textId="059977E4" w:rsidR="21C3821A" w:rsidRPr="004700CF" w:rsidRDefault="21C3821A" w:rsidP="0066301C">
      <w:pPr>
        <w:spacing w:after="200"/>
        <w:jc w:val="both"/>
        <w:rPr>
          <w:rFonts w:ascii="Arial" w:eastAsia="Arial" w:hAnsi="Arial" w:cs="Arial"/>
          <w:sz w:val="20"/>
          <w:szCs w:val="20"/>
        </w:rPr>
      </w:pPr>
      <w:r w:rsidRPr="004700CF">
        <w:rPr>
          <w:rFonts w:ascii="Arial" w:eastAsia="Arial" w:hAnsi="Arial" w:cs="Arial"/>
          <w:sz w:val="20"/>
          <w:szCs w:val="20"/>
          <w:lang w:val="en-US"/>
        </w:rPr>
        <w:t xml:space="preserve">Wamey, J. (2011). Devaluation Jitters Grip CFA Franc Zone. </w:t>
      </w:r>
      <w:r w:rsidRPr="004700CF">
        <w:rPr>
          <w:rFonts w:ascii="Arial" w:eastAsia="Arial" w:hAnsi="Arial" w:cs="Arial"/>
          <w:i/>
          <w:iCs/>
          <w:sz w:val="20"/>
          <w:szCs w:val="20"/>
          <w:lang w:val="en-US"/>
        </w:rPr>
        <w:t xml:space="preserve">Cameroon Postline. </w:t>
      </w:r>
      <w:r w:rsidRPr="004700CF">
        <w:rPr>
          <w:rFonts w:ascii="Arial" w:eastAsia="Arial" w:hAnsi="Arial" w:cs="Arial"/>
          <w:sz w:val="20"/>
          <w:szCs w:val="20"/>
          <w:lang w:val="en-US"/>
        </w:rPr>
        <w:t>&lt;</w:t>
      </w:r>
      <w:hyperlink r:id="rId181">
        <w:r w:rsidRPr="004700CF">
          <w:rPr>
            <w:rStyle w:val="Hyperlink"/>
            <w:rFonts w:ascii="Arial" w:eastAsia="Arial" w:hAnsi="Arial" w:cs="Arial"/>
            <w:sz w:val="20"/>
            <w:szCs w:val="20"/>
            <w:u w:val="none"/>
          </w:rPr>
          <w:t>https://cameroonpostline.com/devaluation-jitters-grip-cfa-franc-zone/</w:t>
        </w:r>
      </w:hyperlink>
      <w:r w:rsidRPr="004700CF">
        <w:rPr>
          <w:rFonts w:ascii="Arial" w:eastAsia="Arial" w:hAnsi="Arial" w:cs="Arial"/>
          <w:sz w:val="20"/>
          <w:szCs w:val="20"/>
        </w:rPr>
        <w:t>&gt;. Access on 02/06/2019.</w:t>
      </w:r>
    </w:p>
    <w:p w14:paraId="4CFBCA54" w14:textId="7C19CDAC" w:rsidR="21C3821A" w:rsidRPr="004700CF" w:rsidRDefault="21C3821A" w:rsidP="0066301C">
      <w:pPr>
        <w:spacing w:after="200"/>
        <w:jc w:val="both"/>
        <w:rPr>
          <w:rFonts w:ascii="Arial" w:eastAsia="Arial" w:hAnsi="Arial" w:cs="Arial"/>
          <w:sz w:val="20"/>
          <w:szCs w:val="20"/>
        </w:rPr>
      </w:pPr>
      <w:r w:rsidRPr="004700CF">
        <w:rPr>
          <w:rFonts w:ascii="Arial" w:eastAsia="Arial" w:hAnsi="Arial" w:cs="Arial"/>
          <w:sz w:val="20"/>
          <w:szCs w:val="20"/>
          <w:lang w:val="en-US"/>
        </w:rPr>
        <w:t>World Bank (2020). World Development Indicators Data Bank, updated on 18/03/2020. &lt;</w:t>
      </w:r>
      <w:hyperlink r:id="rId182">
        <w:r w:rsidRPr="004700CF">
          <w:rPr>
            <w:rStyle w:val="Hyperlink"/>
            <w:rFonts w:ascii="Arial" w:eastAsia="Arial" w:hAnsi="Arial" w:cs="Arial"/>
            <w:sz w:val="20"/>
            <w:szCs w:val="20"/>
            <w:u w:val="none"/>
          </w:rPr>
          <w:t>https://databank.worldbank.org/source/world-development-indicators/Type/TABLE/preview/on</w:t>
        </w:r>
      </w:hyperlink>
      <w:r w:rsidRPr="004700CF">
        <w:rPr>
          <w:rFonts w:ascii="Arial" w:eastAsia="Arial" w:hAnsi="Arial" w:cs="Arial"/>
          <w:sz w:val="20"/>
          <w:szCs w:val="20"/>
        </w:rPr>
        <w:t>&gt;.  Accessed on 07/04/2020.</w:t>
      </w:r>
    </w:p>
    <w:p w14:paraId="162FCFC9" w14:textId="58D4BA58" w:rsidR="21C3821A" w:rsidRPr="004700CF" w:rsidRDefault="21C3821A" w:rsidP="0066301C">
      <w:pPr>
        <w:spacing w:line="257" w:lineRule="auto"/>
        <w:jc w:val="both"/>
        <w:rPr>
          <w:rFonts w:ascii="Arial" w:eastAsia="Arial" w:hAnsi="Arial" w:cs="Arial"/>
          <w:sz w:val="20"/>
          <w:szCs w:val="20"/>
        </w:rPr>
      </w:pPr>
      <w:r w:rsidRPr="004700CF">
        <w:rPr>
          <w:rFonts w:ascii="Arial" w:eastAsia="Arial" w:hAnsi="Arial" w:cs="Arial"/>
          <w:sz w:val="20"/>
          <w:szCs w:val="20"/>
        </w:rPr>
        <w:t xml:space="preserve">World Banks (2020). World Integrated Trade Solution. </w:t>
      </w:r>
      <w:hyperlink r:id="rId183" w:anchor=":~:text=In%202018%2C%20Central%20African%20Republic%20major%20trading%20partner,they%20were%20France%2C%20China%2C%20Cameroon%2C%20Nepal%20and%20India.">
        <w:r w:rsidRPr="004700CF">
          <w:rPr>
            <w:rStyle w:val="Hyperlink"/>
            <w:rFonts w:ascii="Arial" w:eastAsia="Arial" w:hAnsi="Arial" w:cs="Arial"/>
            <w:sz w:val="20"/>
            <w:szCs w:val="20"/>
            <w:u w:val="none"/>
          </w:rPr>
          <w:t>Central African Republic trade balance, exports, imports by country 2020 | WITS Data (worldbank.org)</w:t>
        </w:r>
      </w:hyperlink>
      <w:r w:rsidRPr="004700CF">
        <w:rPr>
          <w:rFonts w:ascii="Arial" w:eastAsia="Arial" w:hAnsi="Arial" w:cs="Arial"/>
          <w:sz w:val="20"/>
          <w:szCs w:val="20"/>
        </w:rPr>
        <w:t xml:space="preserve">. Accessed on 10/01/2023. </w:t>
      </w:r>
    </w:p>
    <w:p w14:paraId="10568416" w14:textId="6BEDB528" w:rsidR="21C3821A" w:rsidRPr="004700CF" w:rsidRDefault="21C3821A" w:rsidP="0066301C">
      <w:pPr>
        <w:spacing w:line="257" w:lineRule="auto"/>
        <w:jc w:val="both"/>
        <w:rPr>
          <w:rFonts w:ascii="Arial" w:eastAsia="Arial" w:hAnsi="Arial" w:cs="Arial"/>
          <w:sz w:val="20"/>
          <w:szCs w:val="20"/>
        </w:rPr>
      </w:pPr>
      <w:r w:rsidRPr="004700CF">
        <w:rPr>
          <w:rFonts w:ascii="Arial" w:eastAsia="Arial" w:hAnsi="Arial" w:cs="Arial"/>
          <w:sz w:val="20"/>
          <w:szCs w:val="20"/>
        </w:rPr>
        <w:t xml:space="preserve">World Bank (2020). World Integrated Trade Solution. </w:t>
      </w:r>
      <w:hyperlink r:id="rId184">
        <w:r w:rsidRPr="004700CF">
          <w:rPr>
            <w:rStyle w:val="Hyperlink"/>
            <w:rFonts w:ascii="Arial" w:eastAsia="Arial" w:hAnsi="Arial" w:cs="Arial"/>
            <w:sz w:val="20"/>
            <w:szCs w:val="20"/>
            <w:u w:val="none"/>
          </w:rPr>
          <w:t>Cameroon trade balance, exports, imports by country and region 2018 | WITS Data (worldbank.org)</w:t>
        </w:r>
      </w:hyperlink>
      <w:r w:rsidRPr="004700CF">
        <w:rPr>
          <w:rFonts w:ascii="Arial" w:eastAsia="Arial" w:hAnsi="Arial" w:cs="Arial"/>
          <w:sz w:val="20"/>
          <w:szCs w:val="20"/>
        </w:rPr>
        <w:t>. Accessed on 10/01/2023.</w:t>
      </w:r>
    </w:p>
    <w:p w14:paraId="02B2D84E" w14:textId="49E0BFE5" w:rsidR="21C3821A" w:rsidRPr="004700CF" w:rsidRDefault="21C3821A" w:rsidP="0066301C">
      <w:pPr>
        <w:jc w:val="both"/>
        <w:rPr>
          <w:rFonts w:ascii="Arial" w:eastAsia="Arial" w:hAnsi="Arial" w:cs="Arial"/>
          <w:sz w:val="20"/>
          <w:szCs w:val="20"/>
        </w:rPr>
      </w:pPr>
      <w:r w:rsidRPr="004700CF">
        <w:rPr>
          <w:rFonts w:ascii="Arial" w:eastAsia="Arial" w:hAnsi="Arial" w:cs="Arial"/>
          <w:sz w:val="20"/>
          <w:szCs w:val="20"/>
        </w:rPr>
        <w:t xml:space="preserve">World Bank (nd). Foreign Direct Investment, Net Inflow (% of GDP) – Gabon. &lt; </w:t>
      </w:r>
      <w:hyperlink r:id="rId185">
        <w:r w:rsidRPr="004700CF">
          <w:rPr>
            <w:rStyle w:val="Hyperlink"/>
            <w:rFonts w:ascii="Arial" w:eastAsia="Arial" w:hAnsi="Arial" w:cs="Arial"/>
            <w:sz w:val="20"/>
            <w:szCs w:val="20"/>
            <w:u w:val="none"/>
          </w:rPr>
          <w:t>https://data.worldbank.org/indicator/BX.KLT.DINV.WD.GD.ZS?locations=GA</w:t>
        </w:r>
      </w:hyperlink>
      <w:r w:rsidRPr="004700CF">
        <w:rPr>
          <w:rFonts w:ascii="Arial" w:eastAsia="Arial" w:hAnsi="Arial" w:cs="Arial"/>
          <w:sz w:val="20"/>
          <w:szCs w:val="20"/>
        </w:rPr>
        <w:t xml:space="preserve">&gt;. Accessed on 07/07/2023. </w:t>
      </w:r>
    </w:p>
    <w:p w14:paraId="75F1A5EE" w14:textId="519520F0" w:rsidR="21C3821A" w:rsidRPr="004700CF" w:rsidRDefault="21C3821A" w:rsidP="0066301C">
      <w:pPr>
        <w:spacing w:line="257" w:lineRule="auto"/>
        <w:jc w:val="both"/>
        <w:rPr>
          <w:rFonts w:ascii="Arial" w:eastAsia="Arial" w:hAnsi="Arial" w:cs="Arial"/>
          <w:sz w:val="20"/>
          <w:szCs w:val="20"/>
        </w:rPr>
      </w:pPr>
      <w:r w:rsidRPr="004700CF">
        <w:rPr>
          <w:rFonts w:ascii="Arial" w:eastAsia="Arial" w:hAnsi="Arial" w:cs="Arial"/>
          <w:sz w:val="20"/>
          <w:szCs w:val="20"/>
        </w:rPr>
        <w:t>World Bank (nd). GDP Growth (annual %). &lt;</w:t>
      </w:r>
      <w:hyperlink r:id="rId186">
        <w:r w:rsidRPr="004700CF">
          <w:rPr>
            <w:rStyle w:val="Hyperlink"/>
            <w:rFonts w:ascii="Arial" w:eastAsia="Arial" w:hAnsi="Arial" w:cs="Arial"/>
            <w:sz w:val="20"/>
            <w:szCs w:val="20"/>
            <w:u w:val="none"/>
          </w:rPr>
          <w:t>https://data.worldbank.org/indicator/NY.GDP.MKTP.KD.ZG</w:t>
        </w:r>
      </w:hyperlink>
      <w:r w:rsidRPr="004700CF">
        <w:rPr>
          <w:rFonts w:ascii="Arial" w:eastAsia="Arial" w:hAnsi="Arial" w:cs="Arial"/>
          <w:sz w:val="20"/>
          <w:szCs w:val="20"/>
        </w:rPr>
        <w:t>&gt;. Accessed on 10/07/2023</w:t>
      </w:r>
    </w:p>
    <w:p w14:paraId="14A81EE6" w14:textId="328C62AD" w:rsidR="21C3821A" w:rsidRPr="004700CF" w:rsidRDefault="21C3821A" w:rsidP="0066301C">
      <w:pPr>
        <w:spacing w:after="200"/>
        <w:jc w:val="both"/>
        <w:rPr>
          <w:rFonts w:ascii="Arial" w:eastAsia="Arial" w:hAnsi="Arial" w:cs="Arial"/>
          <w:sz w:val="20"/>
          <w:szCs w:val="20"/>
        </w:rPr>
      </w:pPr>
      <w:r w:rsidRPr="004700CF">
        <w:rPr>
          <w:rFonts w:ascii="Arial" w:eastAsia="Arial" w:hAnsi="Arial" w:cs="Arial"/>
          <w:sz w:val="20"/>
          <w:szCs w:val="20"/>
        </w:rPr>
        <w:t>Zukauskas, P., Vveinhardt, J., and Andriukaitiene, R. (2018). Philosophy and Paradigm of Scientific Research. &lt;</w:t>
      </w:r>
      <w:hyperlink r:id="rId187">
        <w:r w:rsidRPr="004700CF">
          <w:rPr>
            <w:rStyle w:val="Hyperlink"/>
            <w:rFonts w:ascii="Arial" w:eastAsia="Arial" w:hAnsi="Arial" w:cs="Arial"/>
            <w:sz w:val="20"/>
            <w:szCs w:val="20"/>
            <w:u w:val="none"/>
          </w:rPr>
          <w:t>http://dx.doi.org/10.5772/intechopen.70628</w:t>
        </w:r>
      </w:hyperlink>
      <w:r w:rsidRPr="004700CF">
        <w:rPr>
          <w:rFonts w:ascii="Arial" w:eastAsia="Arial" w:hAnsi="Arial" w:cs="Arial"/>
          <w:sz w:val="20"/>
          <w:szCs w:val="20"/>
        </w:rPr>
        <w:t xml:space="preserve">&gt;. Accessed on 22/01/2021. </w:t>
      </w:r>
    </w:p>
    <w:p w14:paraId="12F963CB" w14:textId="77777777" w:rsidR="006460D7" w:rsidRDefault="006460D7" w:rsidP="0066301C">
      <w:pPr>
        <w:spacing w:after="200" w:line="276" w:lineRule="auto"/>
        <w:jc w:val="both"/>
        <w:rPr>
          <w:rFonts w:ascii="Arial" w:eastAsia="Arial" w:hAnsi="Arial" w:cs="Arial"/>
          <w:b/>
          <w:bCs/>
          <w:sz w:val="20"/>
          <w:szCs w:val="20"/>
        </w:rPr>
      </w:pPr>
    </w:p>
    <w:p w14:paraId="430E258F" w14:textId="77777777" w:rsidR="006460D7" w:rsidRDefault="006460D7" w:rsidP="0066301C">
      <w:pPr>
        <w:spacing w:after="200" w:line="276" w:lineRule="auto"/>
        <w:jc w:val="both"/>
        <w:rPr>
          <w:rFonts w:ascii="Arial" w:eastAsia="Arial" w:hAnsi="Arial" w:cs="Arial"/>
          <w:b/>
          <w:bCs/>
          <w:sz w:val="20"/>
          <w:szCs w:val="20"/>
        </w:rPr>
      </w:pPr>
    </w:p>
    <w:p w14:paraId="74F5D542" w14:textId="0476224A" w:rsidR="21C3821A" w:rsidRDefault="21C3821A" w:rsidP="0066301C">
      <w:pPr>
        <w:spacing w:after="200" w:line="276" w:lineRule="auto"/>
        <w:jc w:val="both"/>
        <w:rPr>
          <w:rFonts w:ascii="Arial" w:eastAsia="Arial" w:hAnsi="Arial" w:cs="Arial"/>
          <w:b/>
          <w:bCs/>
          <w:sz w:val="20"/>
          <w:szCs w:val="20"/>
        </w:rPr>
      </w:pPr>
      <w:r w:rsidRPr="48425B6A">
        <w:rPr>
          <w:rFonts w:ascii="Arial" w:eastAsia="Arial" w:hAnsi="Arial" w:cs="Arial"/>
          <w:b/>
          <w:bCs/>
          <w:sz w:val="20"/>
          <w:szCs w:val="20"/>
        </w:rPr>
        <w:t>BOOKS</w:t>
      </w:r>
    </w:p>
    <w:p w14:paraId="6E1177D8" w14:textId="592E35DC" w:rsidR="21C3821A" w:rsidRDefault="21C3821A" w:rsidP="0066301C">
      <w:pPr>
        <w:spacing w:after="200" w:line="276" w:lineRule="auto"/>
        <w:jc w:val="both"/>
        <w:rPr>
          <w:rFonts w:ascii="Arial" w:eastAsia="Arial" w:hAnsi="Arial" w:cs="Arial"/>
          <w:sz w:val="20"/>
          <w:szCs w:val="20"/>
        </w:rPr>
      </w:pPr>
      <w:r w:rsidRPr="48425B6A">
        <w:rPr>
          <w:rFonts w:ascii="Arial" w:eastAsia="Arial" w:hAnsi="Arial" w:cs="Arial"/>
          <w:sz w:val="20"/>
          <w:szCs w:val="20"/>
        </w:rPr>
        <w:t xml:space="preserve">Agenor, P. R. and Montiel, P. J. (1999). </w:t>
      </w:r>
      <w:r w:rsidRPr="48425B6A">
        <w:rPr>
          <w:rFonts w:ascii="Arial" w:eastAsia="Arial" w:hAnsi="Arial" w:cs="Arial"/>
          <w:i/>
          <w:iCs/>
          <w:sz w:val="20"/>
          <w:szCs w:val="20"/>
        </w:rPr>
        <w:t>Development Macro-economic</w:t>
      </w:r>
      <w:r w:rsidRPr="48425B6A">
        <w:rPr>
          <w:rFonts w:ascii="Arial" w:eastAsia="Arial" w:hAnsi="Arial" w:cs="Arial"/>
          <w:sz w:val="20"/>
          <w:szCs w:val="20"/>
        </w:rPr>
        <w:t>. Princeton, New Jersey: Princeton University Press.</w:t>
      </w:r>
    </w:p>
    <w:p w14:paraId="52449B0F" w14:textId="43C60AC0" w:rsidR="21C3821A" w:rsidRDefault="21C3821A" w:rsidP="0066301C">
      <w:pPr>
        <w:spacing w:after="200"/>
        <w:jc w:val="both"/>
        <w:rPr>
          <w:rFonts w:ascii="Arial" w:eastAsia="Arial" w:hAnsi="Arial" w:cs="Arial"/>
          <w:sz w:val="20"/>
          <w:szCs w:val="20"/>
        </w:rPr>
      </w:pPr>
      <w:r w:rsidRPr="48425B6A">
        <w:rPr>
          <w:rFonts w:ascii="Arial" w:eastAsia="Arial" w:hAnsi="Arial" w:cs="Arial"/>
          <w:sz w:val="20"/>
          <w:szCs w:val="20"/>
        </w:rPr>
        <w:t xml:space="preserve">Ali, F. M. (2014). </w:t>
      </w:r>
      <w:r w:rsidRPr="48425B6A">
        <w:rPr>
          <w:rFonts w:ascii="Arial" w:eastAsia="Arial" w:hAnsi="Arial" w:cs="Arial"/>
          <w:i/>
          <w:iCs/>
          <w:sz w:val="20"/>
          <w:szCs w:val="20"/>
        </w:rPr>
        <w:t>Essays in Exchange Rates and International Finance: A Thesis Submitted for the Degree of Doctor of Philosophy</w:t>
      </w:r>
      <w:r w:rsidRPr="48425B6A">
        <w:rPr>
          <w:rFonts w:ascii="Arial" w:eastAsia="Arial" w:hAnsi="Arial" w:cs="Arial"/>
          <w:sz w:val="20"/>
          <w:szCs w:val="20"/>
        </w:rPr>
        <w:t xml:space="preserve">. Brunel University, UK.  </w:t>
      </w:r>
    </w:p>
    <w:p w14:paraId="4943BA8B" w14:textId="75BDD506" w:rsidR="21C3821A" w:rsidRDefault="21C3821A" w:rsidP="0066301C">
      <w:pPr>
        <w:spacing w:after="200"/>
        <w:jc w:val="both"/>
        <w:rPr>
          <w:rFonts w:ascii="Arial" w:eastAsia="Arial" w:hAnsi="Arial" w:cs="Arial"/>
          <w:sz w:val="20"/>
          <w:szCs w:val="20"/>
        </w:rPr>
      </w:pPr>
      <w:r w:rsidRPr="48425B6A">
        <w:rPr>
          <w:rFonts w:ascii="Arial" w:eastAsia="Arial" w:hAnsi="Arial" w:cs="Arial"/>
          <w:sz w:val="20"/>
          <w:szCs w:val="20"/>
        </w:rPr>
        <w:t xml:space="preserve">Argyrous, G. (2009). </w:t>
      </w:r>
      <w:r w:rsidRPr="48425B6A">
        <w:rPr>
          <w:rFonts w:ascii="Arial" w:eastAsia="Arial" w:hAnsi="Arial" w:cs="Arial"/>
          <w:i/>
          <w:iCs/>
          <w:sz w:val="20"/>
          <w:szCs w:val="20"/>
        </w:rPr>
        <w:t xml:space="preserve">Evidence for Policy and Decision-Making: A Practical Guide. </w:t>
      </w:r>
      <w:r w:rsidRPr="48425B6A">
        <w:rPr>
          <w:rFonts w:ascii="Arial" w:eastAsia="Arial" w:hAnsi="Arial" w:cs="Arial"/>
          <w:sz w:val="20"/>
          <w:szCs w:val="20"/>
        </w:rPr>
        <w:t>University of New South Wales Press, Ltd.</w:t>
      </w:r>
    </w:p>
    <w:p w14:paraId="48EE4633" w14:textId="1BBB44D0" w:rsidR="21C3821A" w:rsidRDefault="21C3821A" w:rsidP="0066301C">
      <w:pPr>
        <w:spacing w:after="200"/>
        <w:jc w:val="both"/>
        <w:rPr>
          <w:rFonts w:ascii="Arial" w:eastAsia="Arial" w:hAnsi="Arial" w:cs="Arial"/>
          <w:sz w:val="20"/>
          <w:szCs w:val="20"/>
        </w:rPr>
      </w:pPr>
      <w:r w:rsidRPr="48425B6A">
        <w:rPr>
          <w:rFonts w:ascii="Arial" w:eastAsia="Arial" w:hAnsi="Arial" w:cs="Arial"/>
          <w:sz w:val="20"/>
          <w:szCs w:val="20"/>
        </w:rPr>
        <w:t>Bhalla, V.K. (2008</w:t>
      </w:r>
      <w:r w:rsidRPr="48425B6A">
        <w:rPr>
          <w:rFonts w:ascii="Arial" w:eastAsia="Arial" w:hAnsi="Arial" w:cs="Arial"/>
          <w:i/>
          <w:iCs/>
          <w:sz w:val="20"/>
          <w:szCs w:val="20"/>
        </w:rPr>
        <w:t xml:space="preserve">). Investment Management: Security Analysis and Portfolio Management </w:t>
      </w:r>
      <w:r w:rsidRPr="48425B6A">
        <w:rPr>
          <w:rFonts w:ascii="Arial" w:eastAsia="Arial" w:hAnsi="Arial" w:cs="Arial"/>
          <w:sz w:val="20"/>
          <w:szCs w:val="20"/>
        </w:rPr>
        <w:t>(19</w:t>
      </w:r>
      <w:r w:rsidRPr="48425B6A">
        <w:rPr>
          <w:rFonts w:ascii="Arial" w:eastAsia="Arial" w:hAnsi="Arial" w:cs="Arial"/>
          <w:sz w:val="20"/>
          <w:szCs w:val="20"/>
          <w:vertAlign w:val="superscript"/>
        </w:rPr>
        <w:t>th</w:t>
      </w:r>
      <w:r w:rsidRPr="48425B6A">
        <w:rPr>
          <w:rFonts w:ascii="Arial" w:eastAsia="Arial" w:hAnsi="Arial" w:cs="Arial"/>
          <w:sz w:val="20"/>
          <w:szCs w:val="20"/>
        </w:rPr>
        <w:t xml:space="preserve"> ed.), S. Chand Publishing. </w:t>
      </w:r>
    </w:p>
    <w:p w14:paraId="4C62485D" w14:textId="4ACB0010" w:rsidR="21C3821A" w:rsidRDefault="21C3821A" w:rsidP="0066301C">
      <w:pPr>
        <w:spacing w:after="200" w:line="276" w:lineRule="auto"/>
        <w:jc w:val="both"/>
        <w:rPr>
          <w:rFonts w:ascii="Arial" w:eastAsia="Arial" w:hAnsi="Arial" w:cs="Arial"/>
          <w:sz w:val="20"/>
          <w:szCs w:val="20"/>
        </w:rPr>
      </w:pPr>
      <w:r w:rsidRPr="48425B6A">
        <w:rPr>
          <w:rFonts w:ascii="Arial" w:eastAsia="Arial" w:hAnsi="Arial" w:cs="Arial"/>
          <w:sz w:val="20"/>
          <w:szCs w:val="20"/>
        </w:rPr>
        <w:t>Blaikie, N. (2010) Designing Social Research (2nd ed.). Cambridge: Polity.</w:t>
      </w:r>
    </w:p>
    <w:p w14:paraId="11279345" w14:textId="0124C4CB" w:rsidR="21C3821A" w:rsidRDefault="21C3821A" w:rsidP="0066301C">
      <w:pPr>
        <w:spacing w:after="200" w:line="276" w:lineRule="auto"/>
        <w:jc w:val="both"/>
        <w:rPr>
          <w:rFonts w:ascii="Arial" w:eastAsia="Arial" w:hAnsi="Arial" w:cs="Arial"/>
          <w:sz w:val="20"/>
          <w:szCs w:val="20"/>
        </w:rPr>
      </w:pPr>
      <w:r w:rsidRPr="48425B6A">
        <w:rPr>
          <w:rFonts w:ascii="Arial" w:eastAsia="Arial" w:hAnsi="Arial" w:cs="Arial"/>
          <w:sz w:val="20"/>
          <w:szCs w:val="20"/>
        </w:rPr>
        <w:t xml:space="preserve">Boland, R. J. (1985). “Phenomenology: A Preferred Approach to Research on Information Systems” In Mumford </w:t>
      </w:r>
      <w:r w:rsidRPr="48425B6A">
        <w:rPr>
          <w:rFonts w:ascii="Arial" w:eastAsia="Arial" w:hAnsi="Arial" w:cs="Arial"/>
          <w:i/>
          <w:iCs/>
          <w:sz w:val="20"/>
          <w:szCs w:val="20"/>
        </w:rPr>
        <w:t xml:space="preserve">et al. </w:t>
      </w:r>
      <w:r w:rsidRPr="48425B6A">
        <w:rPr>
          <w:rFonts w:ascii="Arial" w:eastAsia="Arial" w:hAnsi="Arial" w:cs="Arial"/>
          <w:sz w:val="20"/>
          <w:szCs w:val="20"/>
        </w:rPr>
        <w:t>(3</w:t>
      </w:r>
      <w:r w:rsidRPr="48425B6A">
        <w:rPr>
          <w:rFonts w:ascii="Arial" w:eastAsia="Arial" w:hAnsi="Arial" w:cs="Arial"/>
          <w:sz w:val="20"/>
          <w:szCs w:val="20"/>
          <w:vertAlign w:val="superscript"/>
        </w:rPr>
        <w:t>rd</w:t>
      </w:r>
      <w:r w:rsidRPr="48425B6A">
        <w:rPr>
          <w:rFonts w:ascii="Arial" w:eastAsia="Arial" w:hAnsi="Arial" w:cs="Arial"/>
          <w:sz w:val="20"/>
          <w:szCs w:val="20"/>
        </w:rPr>
        <w:t xml:space="preserve"> ed.). London: Champion &amp; Hall. </w:t>
      </w:r>
    </w:p>
    <w:p w14:paraId="59434F8E" w14:textId="141A6F75" w:rsidR="21C3821A" w:rsidRDefault="21C3821A" w:rsidP="0066301C">
      <w:pPr>
        <w:spacing w:after="200" w:line="276" w:lineRule="auto"/>
        <w:jc w:val="both"/>
        <w:rPr>
          <w:rFonts w:ascii="Arial" w:eastAsia="Arial" w:hAnsi="Arial" w:cs="Arial"/>
          <w:sz w:val="20"/>
          <w:szCs w:val="20"/>
        </w:rPr>
      </w:pPr>
      <w:r w:rsidRPr="48425B6A">
        <w:rPr>
          <w:rFonts w:ascii="Arial" w:eastAsia="Arial" w:hAnsi="Arial" w:cs="Arial"/>
          <w:sz w:val="20"/>
          <w:szCs w:val="20"/>
        </w:rPr>
        <w:t xml:space="preserve">Bryman, A. (2012). </w:t>
      </w:r>
      <w:r w:rsidRPr="48425B6A">
        <w:rPr>
          <w:rFonts w:ascii="Arial" w:eastAsia="Arial" w:hAnsi="Arial" w:cs="Arial"/>
          <w:i/>
          <w:iCs/>
          <w:sz w:val="20"/>
          <w:szCs w:val="20"/>
        </w:rPr>
        <w:t xml:space="preserve">Social Research Methods </w:t>
      </w:r>
      <w:r w:rsidRPr="48425B6A">
        <w:rPr>
          <w:rFonts w:ascii="Arial" w:eastAsia="Arial" w:hAnsi="Arial" w:cs="Arial"/>
          <w:sz w:val="20"/>
          <w:szCs w:val="20"/>
        </w:rPr>
        <w:t>(5</w:t>
      </w:r>
      <w:r w:rsidRPr="48425B6A">
        <w:rPr>
          <w:rFonts w:ascii="Arial" w:eastAsia="Arial" w:hAnsi="Arial" w:cs="Arial"/>
          <w:sz w:val="20"/>
          <w:szCs w:val="20"/>
          <w:vertAlign w:val="superscript"/>
        </w:rPr>
        <w:t>th</w:t>
      </w:r>
      <w:r w:rsidRPr="48425B6A">
        <w:rPr>
          <w:rFonts w:ascii="Arial" w:eastAsia="Arial" w:hAnsi="Arial" w:cs="Arial"/>
          <w:sz w:val="20"/>
          <w:szCs w:val="20"/>
        </w:rPr>
        <w:t xml:space="preserve"> ed.). Oxford: Oxford University Press. </w:t>
      </w:r>
    </w:p>
    <w:p w14:paraId="358E6D38" w14:textId="79C2262C" w:rsidR="21C3821A" w:rsidRDefault="21C3821A" w:rsidP="0066301C">
      <w:pPr>
        <w:spacing w:after="200" w:line="276" w:lineRule="auto"/>
        <w:jc w:val="both"/>
        <w:rPr>
          <w:rFonts w:ascii="Arial" w:eastAsia="Arial" w:hAnsi="Arial" w:cs="Arial"/>
          <w:sz w:val="20"/>
          <w:szCs w:val="20"/>
        </w:rPr>
      </w:pPr>
      <w:r w:rsidRPr="48425B6A">
        <w:rPr>
          <w:rFonts w:ascii="Arial" w:eastAsia="Arial" w:hAnsi="Arial" w:cs="Arial"/>
          <w:sz w:val="20"/>
          <w:szCs w:val="20"/>
        </w:rPr>
        <w:t xml:space="preserve">Buchanan, D., Boddy, D., and McAlman, J. (2013). ‘Getting in getting on, getting out and getting back’, in A. Bryman (ed.) </w:t>
      </w:r>
      <w:r w:rsidRPr="48425B6A">
        <w:rPr>
          <w:rFonts w:ascii="Arial" w:eastAsia="Arial" w:hAnsi="Arial" w:cs="Arial"/>
          <w:i/>
          <w:iCs/>
          <w:sz w:val="20"/>
          <w:szCs w:val="20"/>
        </w:rPr>
        <w:t xml:space="preserve">Doing Research in Organisations. </w:t>
      </w:r>
      <w:r w:rsidRPr="48425B6A">
        <w:rPr>
          <w:rFonts w:ascii="Arial" w:eastAsia="Arial" w:hAnsi="Arial" w:cs="Arial"/>
          <w:sz w:val="20"/>
          <w:szCs w:val="20"/>
        </w:rPr>
        <w:t>London: Routledge, Pp: 53-67.</w:t>
      </w:r>
    </w:p>
    <w:p w14:paraId="1FAEB4AA" w14:textId="35DD4F15" w:rsidR="21C3821A" w:rsidRDefault="21C3821A" w:rsidP="0066301C">
      <w:pPr>
        <w:spacing w:after="200" w:line="276" w:lineRule="auto"/>
        <w:jc w:val="both"/>
        <w:rPr>
          <w:rFonts w:ascii="Arial" w:eastAsia="Arial" w:hAnsi="Arial" w:cs="Arial"/>
          <w:sz w:val="20"/>
          <w:szCs w:val="20"/>
        </w:rPr>
      </w:pPr>
      <w:r w:rsidRPr="48425B6A">
        <w:rPr>
          <w:rFonts w:ascii="Arial" w:eastAsia="Arial" w:hAnsi="Arial" w:cs="Arial"/>
          <w:sz w:val="20"/>
          <w:szCs w:val="20"/>
        </w:rPr>
        <w:t xml:space="preserve">Caramazza, F. and Aziz, J. (1998). “Fixed or Flexible? Getting the Exchange Rate Right in the 1990s.” </w:t>
      </w:r>
      <w:r w:rsidRPr="48425B6A">
        <w:rPr>
          <w:rFonts w:ascii="Arial" w:eastAsia="Arial" w:hAnsi="Arial" w:cs="Arial"/>
          <w:i/>
          <w:iCs/>
          <w:sz w:val="20"/>
          <w:szCs w:val="20"/>
        </w:rPr>
        <w:t>Economic Issues</w:t>
      </w:r>
      <w:r w:rsidRPr="48425B6A">
        <w:rPr>
          <w:rFonts w:ascii="Arial" w:eastAsia="Arial" w:hAnsi="Arial" w:cs="Arial"/>
          <w:sz w:val="20"/>
          <w:szCs w:val="20"/>
        </w:rPr>
        <w:t xml:space="preserve"> 13. International Monetary Fund, Washington, D.C. </w:t>
      </w:r>
    </w:p>
    <w:p w14:paraId="3A751581" w14:textId="0F1F90E3" w:rsidR="21C3821A" w:rsidRDefault="21C3821A" w:rsidP="0066301C">
      <w:pPr>
        <w:spacing w:after="200" w:line="276" w:lineRule="auto"/>
        <w:jc w:val="both"/>
        <w:rPr>
          <w:rFonts w:ascii="Arial" w:eastAsia="Arial" w:hAnsi="Arial" w:cs="Arial"/>
          <w:sz w:val="20"/>
          <w:szCs w:val="20"/>
        </w:rPr>
      </w:pPr>
      <w:r w:rsidRPr="48425B6A">
        <w:rPr>
          <w:rFonts w:ascii="Arial" w:eastAsia="Arial" w:hAnsi="Arial" w:cs="Arial"/>
          <w:sz w:val="20"/>
          <w:szCs w:val="20"/>
        </w:rPr>
        <w:t xml:space="preserve">Caves, R.E. (1996). </w:t>
      </w:r>
      <w:r w:rsidRPr="48425B6A">
        <w:rPr>
          <w:rFonts w:ascii="Arial" w:eastAsia="Arial" w:hAnsi="Arial" w:cs="Arial"/>
          <w:i/>
          <w:iCs/>
          <w:sz w:val="20"/>
          <w:szCs w:val="20"/>
        </w:rPr>
        <w:t xml:space="preserve">Multinational Enterprise and Economic Analysis. </w:t>
      </w:r>
      <w:r w:rsidRPr="48425B6A">
        <w:rPr>
          <w:rFonts w:ascii="Arial" w:eastAsia="Arial" w:hAnsi="Arial" w:cs="Arial"/>
          <w:sz w:val="20"/>
          <w:szCs w:val="20"/>
        </w:rPr>
        <w:t xml:space="preserve">Second Edition. Cambridge: Cambridge University Press. </w:t>
      </w:r>
    </w:p>
    <w:p w14:paraId="4E24ED95" w14:textId="55C9914A" w:rsidR="21C3821A" w:rsidRDefault="21C3821A" w:rsidP="0066301C">
      <w:pPr>
        <w:spacing w:after="200" w:line="276" w:lineRule="auto"/>
        <w:jc w:val="both"/>
        <w:rPr>
          <w:rFonts w:ascii="Arial" w:eastAsia="Arial" w:hAnsi="Arial" w:cs="Arial"/>
          <w:sz w:val="20"/>
          <w:szCs w:val="20"/>
        </w:rPr>
      </w:pPr>
      <w:r w:rsidRPr="48425B6A">
        <w:rPr>
          <w:rFonts w:ascii="Arial" w:eastAsia="Arial" w:hAnsi="Arial" w:cs="Arial"/>
          <w:sz w:val="20"/>
          <w:szCs w:val="20"/>
        </w:rPr>
        <w:t xml:space="preserve">Chatfield, C. (1984). </w:t>
      </w:r>
      <w:r w:rsidRPr="48425B6A">
        <w:rPr>
          <w:rFonts w:ascii="Arial" w:eastAsia="Arial" w:hAnsi="Arial" w:cs="Arial"/>
          <w:i/>
          <w:iCs/>
          <w:sz w:val="20"/>
          <w:szCs w:val="20"/>
        </w:rPr>
        <w:t>The Analysis of Time Series</w:t>
      </w:r>
      <w:r w:rsidRPr="48425B6A">
        <w:rPr>
          <w:rFonts w:ascii="Arial" w:eastAsia="Arial" w:hAnsi="Arial" w:cs="Arial"/>
          <w:sz w:val="20"/>
          <w:szCs w:val="20"/>
        </w:rPr>
        <w:t xml:space="preserve"> (3</w:t>
      </w:r>
      <w:r w:rsidRPr="48425B6A">
        <w:rPr>
          <w:rFonts w:ascii="Arial" w:eastAsia="Arial" w:hAnsi="Arial" w:cs="Arial"/>
          <w:sz w:val="20"/>
          <w:szCs w:val="20"/>
          <w:vertAlign w:val="superscript"/>
        </w:rPr>
        <w:t>rd</w:t>
      </w:r>
      <w:r w:rsidRPr="48425B6A">
        <w:rPr>
          <w:rFonts w:ascii="Arial" w:eastAsia="Arial" w:hAnsi="Arial" w:cs="Arial"/>
          <w:sz w:val="20"/>
          <w:szCs w:val="20"/>
        </w:rPr>
        <w:t xml:space="preserve"> ed.). London: Chapman &amp; Hall.</w:t>
      </w:r>
    </w:p>
    <w:p w14:paraId="4F57BD05" w14:textId="1851FE69" w:rsidR="21C3821A" w:rsidRDefault="21C3821A" w:rsidP="0066301C">
      <w:pPr>
        <w:spacing w:after="200" w:line="276" w:lineRule="auto"/>
        <w:jc w:val="both"/>
        <w:rPr>
          <w:rFonts w:ascii="Arial" w:eastAsia="Arial" w:hAnsi="Arial" w:cs="Arial"/>
          <w:sz w:val="20"/>
          <w:szCs w:val="20"/>
        </w:rPr>
      </w:pPr>
      <w:r w:rsidRPr="48425B6A">
        <w:rPr>
          <w:rFonts w:ascii="Arial" w:eastAsia="Arial" w:hAnsi="Arial" w:cs="Arial"/>
          <w:sz w:val="20"/>
          <w:szCs w:val="20"/>
        </w:rPr>
        <w:t xml:space="preserve">Checkland, P. B. (1981). </w:t>
      </w:r>
      <w:r w:rsidRPr="48425B6A">
        <w:rPr>
          <w:rFonts w:ascii="Arial" w:eastAsia="Arial" w:hAnsi="Arial" w:cs="Arial"/>
          <w:i/>
          <w:iCs/>
          <w:sz w:val="20"/>
          <w:szCs w:val="20"/>
        </w:rPr>
        <w:t>Systems Thinking, System Practice.</w:t>
      </w:r>
      <w:r w:rsidRPr="48425B6A">
        <w:rPr>
          <w:rFonts w:ascii="Arial" w:eastAsia="Arial" w:hAnsi="Arial" w:cs="Arial"/>
          <w:sz w:val="20"/>
          <w:szCs w:val="20"/>
        </w:rPr>
        <w:t xml:space="preserve"> Chichester: Wiley. </w:t>
      </w:r>
    </w:p>
    <w:p w14:paraId="5803B51B" w14:textId="67A503D2" w:rsidR="21C3821A" w:rsidRDefault="21C3821A" w:rsidP="0066301C">
      <w:pPr>
        <w:spacing w:after="200" w:line="276" w:lineRule="auto"/>
        <w:jc w:val="both"/>
        <w:rPr>
          <w:rFonts w:ascii="Arial" w:eastAsia="Arial" w:hAnsi="Arial" w:cs="Arial"/>
          <w:sz w:val="20"/>
          <w:szCs w:val="20"/>
        </w:rPr>
      </w:pPr>
      <w:r w:rsidRPr="48425B6A">
        <w:rPr>
          <w:rFonts w:ascii="Arial" w:eastAsia="Arial" w:hAnsi="Arial" w:cs="Arial"/>
          <w:sz w:val="20"/>
          <w:szCs w:val="20"/>
        </w:rPr>
        <w:t xml:space="preserve">Cohen, L., Manion, L., and Morrison, K. (2007). </w:t>
      </w:r>
      <w:r w:rsidRPr="48425B6A">
        <w:rPr>
          <w:rFonts w:ascii="Arial" w:eastAsia="Arial" w:hAnsi="Arial" w:cs="Arial"/>
          <w:i/>
          <w:iCs/>
          <w:sz w:val="20"/>
          <w:szCs w:val="20"/>
        </w:rPr>
        <w:t xml:space="preserve">Research Methods in Education </w:t>
      </w:r>
      <w:r w:rsidRPr="48425B6A">
        <w:rPr>
          <w:rFonts w:ascii="Arial" w:eastAsia="Arial" w:hAnsi="Arial" w:cs="Arial"/>
          <w:sz w:val="20"/>
          <w:szCs w:val="20"/>
        </w:rPr>
        <w:t>(6</w:t>
      </w:r>
      <w:r w:rsidRPr="48425B6A">
        <w:rPr>
          <w:rFonts w:ascii="Arial" w:eastAsia="Arial" w:hAnsi="Arial" w:cs="Arial"/>
          <w:sz w:val="20"/>
          <w:szCs w:val="20"/>
          <w:vertAlign w:val="superscript"/>
        </w:rPr>
        <w:t>th</w:t>
      </w:r>
      <w:r w:rsidRPr="48425B6A">
        <w:rPr>
          <w:rFonts w:ascii="Arial" w:eastAsia="Arial" w:hAnsi="Arial" w:cs="Arial"/>
          <w:sz w:val="20"/>
          <w:szCs w:val="20"/>
        </w:rPr>
        <w:t xml:space="preserve"> ed.). New York, NY: Routledge.</w:t>
      </w:r>
    </w:p>
    <w:p w14:paraId="55E04103" w14:textId="5D691B23" w:rsidR="21C3821A" w:rsidRDefault="21C3821A" w:rsidP="0066301C">
      <w:pPr>
        <w:spacing w:after="200"/>
        <w:jc w:val="both"/>
        <w:rPr>
          <w:rFonts w:ascii="Arial" w:eastAsia="Arial" w:hAnsi="Arial" w:cs="Arial"/>
          <w:sz w:val="20"/>
          <w:szCs w:val="20"/>
        </w:rPr>
      </w:pPr>
      <w:r w:rsidRPr="48425B6A">
        <w:rPr>
          <w:rFonts w:ascii="Arial" w:eastAsia="Arial" w:hAnsi="Arial" w:cs="Arial"/>
          <w:color w:val="232323"/>
          <w:sz w:val="20"/>
          <w:szCs w:val="20"/>
        </w:rPr>
        <w:t>Copeland, L. (2005). Exchange Rates and International Finance. Prentice-Hall, New York.</w:t>
      </w:r>
      <w:r w:rsidRPr="48425B6A">
        <w:rPr>
          <w:rFonts w:ascii="Arial" w:eastAsia="Arial" w:hAnsi="Arial" w:cs="Arial"/>
          <w:sz w:val="20"/>
          <w:szCs w:val="20"/>
        </w:rPr>
        <w:t xml:space="preserve"> </w:t>
      </w:r>
    </w:p>
    <w:p w14:paraId="0E807478" w14:textId="2768E6B1" w:rsidR="21C3821A" w:rsidRDefault="21C3821A" w:rsidP="0066301C">
      <w:pPr>
        <w:spacing w:after="200"/>
        <w:jc w:val="both"/>
        <w:rPr>
          <w:rFonts w:ascii="Arial" w:eastAsia="Arial" w:hAnsi="Arial" w:cs="Arial"/>
          <w:sz w:val="20"/>
          <w:szCs w:val="20"/>
        </w:rPr>
      </w:pPr>
      <w:r w:rsidRPr="48425B6A">
        <w:rPr>
          <w:rFonts w:ascii="Arial" w:eastAsia="Arial" w:hAnsi="Arial" w:cs="Arial"/>
          <w:sz w:val="20"/>
          <w:szCs w:val="20"/>
        </w:rPr>
        <w:t>Creswell, J.W. and Plano Clark, V.L. (2011). Designing and Conducting Mixed Methods Research, 2</w:t>
      </w:r>
      <w:r w:rsidRPr="48425B6A">
        <w:rPr>
          <w:rFonts w:ascii="Arial" w:eastAsia="Arial" w:hAnsi="Arial" w:cs="Arial"/>
          <w:sz w:val="20"/>
          <w:szCs w:val="20"/>
          <w:vertAlign w:val="superscript"/>
        </w:rPr>
        <w:t>nd</w:t>
      </w:r>
      <w:r w:rsidRPr="48425B6A">
        <w:rPr>
          <w:rFonts w:ascii="Arial" w:eastAsia="Arial" w:hAnsi="Arial" w:cs="Arial"/>
          <w:sz w:val="20"/>
          <w:szCs w:val="20"/>
        </w:rPr>
        <w:t xml:space="preserve"> edition, Sage, Thousand Oaks, CA.</w:t>
      </w:r>
    </w:p>
    <w:p w14:paraId="46F1CDAA" w14:textId="6587281A" w:rsidR="21C3821A" w:rsidRDefault="21C3821A" w:rsidP="0066301C">
      <w:pPr>
        <w:jc w:val="both"/>
        <w:rPr>
          <w:rFonts w:ascii="Arial" w:eastAsia="Arial" w:hAnsi="Arial" w:cs="Arial"/>
          <w:color w:val="212529"/>
          <w:sz w:val="20"/>
          <w:szCs w:val="20"/>
        </w:rPr>
      </w:pPr>
      <w:r w:rsidRPr="48425B6A">
        <w:rPr>
          <w:rFonts w:ascii="Arial" w:eastAsia="Arial" w:hAnsi="Arial" w:cs="Arial"/>
          <w:color w:val="212529"/>
          <w:sz w:val="20"/>
          <w:szCs w:val="20"/>
        </w:rPr>
        <w:t>Crotty, M. (1998). The Foundations of Social Research: Meaning and Perspective in the Research Process. London: Sage Publications.</w:t>
      </w:r>
    </w:p>
    <w:p w14:paraId="0A9B7545" w14:textId="6E1C993C" w:rsidR="21C3821A" w:rsidRDefault="21C3821A" w:rsidP="0066301C">
      <w:pPr>
        <w:spacing w:after="200" w:line="360" w:lineRule="auto"/>
        <w:jc w:val="both"/>
        <w:rPr>
          <w:rFonts w:ascii="Arial" w:eastAsia="Arial" w:hAnsi="Arial" w:cs="Arial"/>
          <w:color w:val="000000" w:themeColor="text1"/>
          <w:sz w:val="20"/>
          <w:szCs w:val="20"/>
        </w:rPr>
      </w:pPr>
      <w:r w:rsidRPr="48425B6A">
        <w:rPr>
          <w:rFonts w:ascii="Arial" w:eastAsia="Arial" w:hAnsi="Arial" w:cs="Arial"/>
          <w:sz w:val="20"/>
          <w:szCs w:val="20"/>
        </w:rPr>
        <w:t>Delbert, M. and Salkind N. (2002) Handbook of Research Design and Social Measurement (6th ed.). London. Sage Publications.</w:t>
      </w:r>
      <w:r w:rsidRPr="48425B6A">
        <w:rPr>
          <w:rFonts w:ascii="Arial" w:eastAsia="Arial" w:hAnsi="Arial" w:cs="Arial"/>
          <w:color w:val="000000" w:themeColor="text1"/>
          <w:sz w:val="20"/>
          <w:szCs w:val="20"/>
        </w:rPr>
        <w:t xml:space="preserve"> </w:t>
      </w:r>
    </w:p>
    <w:p w14:paraId="7CF24B62" w14:textId="6EEDA5D8" w:rsidR="21C3821A" w:rsidRDefault="21C3821A" w:rsidP="0066301C">
      <w:pPr>
        <w:spacing w:after="200" w:line="360" w:lineRule="auto"/>
        <w:jc w:val="both"/>
        <w:rPr>
          <w:rFonts w:ascii="Arial" w:eastAsia="Arial" w:hAnsi="Arial" w:cs="Arial"/>
          <w:color w:val="000000" w:themeColor="text1"/>
          <w:sz w:val="20"/>
          <w:szCs w:val="20"/>
        </w:rPr>
      </w:pPr>
      <w:r w:rsidRPr="48425B6A">
        <w:rPr>
          <w:rFonts w:ascii="Arial" w:eastAsia="Arial" w:hAnsi="Arial" w:cs="Arial"/>
          <w:color w:val="000000" w:themeColor="text1"/>
          <w:sz w:val="20"/>
          <w:szCs w:val="20"/>
        </w:rPr>
        <w:t>Denzin, N. and Lincoln, Y. (2003). Handbook of Qualitative Research. Sage, Toronto.</w:t>
      </w:r>
    </w:p>
    <w:p w14:paraId="391AACB3" w14:textId="42D16BEE" w:rsidR="21C3821A" w:rsidRDefault="21C3821A" w:rsidP="0066301C">
      <w:pPr>
        <w:spacing w:after="200"/>
        <w:jc w:val="both"/>
        <w:rPr>
          <w:rFonts w:ascii="Arial" w:eastAsia="Arial" w:hAnsi="Arial" w:cs="Arial"/>
          <w:color w:val="000000" w:themeColor="text1"/>
          <w:sz w:val="20"/>
          <w:szCs w:val="20"/>
        </w:rPr>
      </w:pPr>
      <w:r w:rsidRPr="48425B6A">
        <w:rPr>
          <w:rFonts w:ascii="Arial" w:eastAsia="Arial" w:hAnsi="Arial" w:cs="Arial"/>
          <w:sz w:val="20"/>
          <w:szCs w:val="20"/>
        </w:rPr>
        <w:t xml:space="preserve">Domegan, C. and Fleming, D. (2007). </w:t>
      </w:r>
      <w:r w:rsidRPr="48425B6A">
        <w:rPr>
          <w:rFonts w:ascii="Arial" w:eastAsia="Arial" w:hAnsi="Arial" w:cs="Arial"/>
          <w:color w:val="000000" w:themeColor="text1"/>
          <w:sz w:val="20"/>
          <w:szCs w:val="20"/>
        </w:rPr>
        <w:t xml:space="preserve">Marketing Research in Ireland: Theory and Practice. 3, illustrated, M.H. Gill &amp; Company U. C. </w:t>
      </w:r>
    </w:p>
    <w:p w14:paraId="06CE70C1" w14:textId="4EAF3477" w:rsidR="21C3821A" w:rsidRDefault="21C3821A" w:rsidP="0066301C">
      <w:pPr>
        <w:spacing w:after="200"/>
        <w:jc w:val="both"/>
        <w:rPr>
          <w:rFonts w:ascii="Arial" w:eastAsia="Arial" w:hAnsi="Arial" w:cs="Arial"/>
          <w:color w:val="000000" w:themeColor="text1"/>
          <w:sz w:val="20"/>
          <w:szCs w:val="20"/>
        </w:rPr>
      </w:pPr>
      <w:r w:rsidRPr="48425B6A">
        <w:rPr>
          <w:rFonts w:ascii="Arial" w:eastAsia="Arial" w:hAnsi="Arial" w:cs="Arial"/>
          <w:color w:val="000000" w:themeColor="text1"/>
          <w:sz w:val="20"/>
          <w:szCs w:val="20"/>
        </w:rPr>
        <w:t xml:space="preserve">Draper, N.R. and Smith, H. (1981). </w:t>
      </w:r>
      <w:r w:rsidRPr="48425B6A">
        <w:rPr>
          <w:rFonts w:ascii="Arial" w:eastAsia="Arial" w:hAnsi="Arial" w:cs="Arial"/>
          <w:i/>
          <w:iCs/>
          <w:color w:val="000000" w:themeColor="text1"/>
          <w:sz w:val="20"/>
          <w:szCs w:val="20"/>
        </w:rPr>
        <w:t>Applied Regression Analysis</w:t>
      </w:r>
      <w:r w:rsidRPr="48425B6A">
        <w:rPr>
          <w:rFonts w:ascii="Arial" w:eastAsia="Arial" w:hAnsi="Arial" w:cs="Arial"/>
          <w:color w:val="000000" w:themeColor="text1"/>
          <w:sz w:val="20"/>
          <w:szCs w:val="20"/>
        </w:rPr>
        <w:t xml:space="preserve"> (2</w:t>
      </w:r>
      <w:r w:rsidRPr="48425B6A">
        <w:rPr>
          <w:rFonts w:ascii="Arial" w:eastAsia="Arial" w:hAnsi="Arial" w:cs="Arial"/>
          <w:color w:val="000000" w:themeColor="text1"/>
          <w:sz w:val="20"/>
          <w:szCs w:val="20"/>
          <w:vertAlign w:val="superscript"/>
        </w:rPr>
        <w:t>nd</w:t>
      </w:r>
      <w:r w:rsidRPr="48425B6A">
        <w:rPr>
          <w:rFonts w:ascii="Arial" w:eastAsia="Arial" w:hAnsi="Arial" w:cs="Arial"/>
          <w:color w:val="000000" w:themeColor="text1"/>
          <w:sz w:val="20"/>
          <w:szCs w:val="20"/>
        </w:rPr>
        <w:t xml:space="preserve"> ed.). New York, NY.: Wiley.</w:t>
      </w:r>
    </w:p>
    <w:p w14:paraId="5AE82819" w14:textId="1504FD00" w:rsidR="21C3821A" w:rsidRDefault="21C3821A" w:rsidP="0066301C">
      <w:pPr>
        <w:spacing w:after="200"/>
        <w:jc w:val="both"/>
        <w:rPr>
          <w:rFonts w:ascii="Arial" w:eastAsia="Arial" w:hAnsi="Arial" w:cs="Arial"/>
          <w:i/>
          <w:iCs/>
          <w:color w:val="000000" w:themeColor="text1"/>
          <w:sz w:val="20"/>
          <w:szCs w:val="20"/>
        </w:rPr>
      </w:pPr>
      <w:r w:rsidRPr="48425B6A">
        <w:rPr>
          <w:rFonts w:ascii="Arial" w:eastAsia="Arial" w:hAnsi="Arial" w:cs="Arial"/>
          <w:color w:val="000000" w:themeColor="text1"/>
          <w:sz w:val="20"/>
          <w:szCs w:val="20"/>
        </w:rPr>
        <w:lastRenderedPageBreak/>
        <w:t xml:space="preserve">Flemuing, I. (1963). On Her Majestys Secret Service. </w:t>
      </w:r>
      <w:r w:rsidRPr="48425B6A">
        <w:rPr>
          <w:rFonts w:ascii="Arial" w:eastAsia="Arial" w:hAnsi="Arial" w:cs="Arial"/>
          <w:i/>
          <w:iCs/>
          <w:color w:val="000000" w:themeColor="text1"/>
          <w:sz w:val="20"/>
          <w:szCs w:val="20"/>
        </w:rPr>
        <w:t>The Book Club.</w:t>
      </w:r>
    </w:p>
    <w:p w14:paraId="759DBA51" w14:textId="36BAB7A2" w:rsidR="21C3821A" w:rsidRDefault="21C3821A" w:rsidP="0066301C">
      <w:pPr>
        <w:spacing w:after="200"/>
        <w:jc w:val="both"/>
        <w:rPr>
          <w:rFonts w:ascii="Arial" w:eastAsia="Arial" w:hAnsi="Arial" w:cs="Arial"/>
          <w:color w:val="000000" w:themeColor="text1"/>
          <w:sz w:val="20"/>
          <w:szCs w:val="20"/>
        </w:rPr>
      </w:pPr>
      <w:r w:rsidRPr="48425B6A">
        <w:rPr>
          <w:rFonts w:ascii="Arial" w:eastAsia="Arial" w:hAnsi="Arial" w:cs="Arial"/>
          <w:color w:val="000000" w:themeColor="text1"/>
          <w:sz w:val="20"/>
          <w:szCs w:val="20"/>
        </w:rPr>
        <w:t xml:space="preserve">Gage, N. (2007). The Paradigm Wars and their Aftermath: A Historical Sketch of Research on Teaching Since 1989. In M. Hammersley (Ed.), </w:t>
      </w:r>
      <w:r w:rsidRPr="48425B6A">
        <w:rPr>
          <w:rFonts w:ascii="Arial" w:eastAsia="Arial" w:hAnsi="Arial" w:cs="Arial"/>
          <w:i/>
          <w:iCs/>
          <w:color w:val="000000" w:themeColor="text1"/>
          <w:sz w:val="20"/>
          <w:szCs w:val="20"/>
        </w:rPr>
        <w:t xml:space="preserve">Education Research and Evidence-Based Practice </w:t>
      </w:r>
      <w:r w:rsidRPr="48425B6A">
        <w:rPr>
          <w:rFonts w:ascii="Arial" w:eastAsia="Arial" w:hAnsi="Arial" w:cs="Arial"/>
          <w:color w:val="000000" w:themeColor="text1"/>
          <w:sz w:val="20"/>
          <w:szCs w:val="20"/>
        </w:rPr>
        <w:t>(Pp: 151-166). London, England: Sage.</w:t>
      </w:r>
    </w:p>
    <w:p w14:paraId="0E13383F" w14:textId="5589CA70" w:rsidR="21C3821A" w:rsidRDefault="21C3821A" w:rsidP="0066301C">
      <w:pPr>
        <w:spacing w:after="200"/>
        <w:jc w:val="both"/>
        <w:rPr>
          <w:rFonts w:ascii="Arial" w:eastAsia="Arial" w:hAnsi="Arial" w:cs="Arial"/>
          <w:color w:val="000000" w:themeColor="text1"/>
          <w:sz w:val="20"/>
          <w:szCs w:val="20"/>
        </w:rPr>
      </w:pPr>
      <w:r w:rsidRPr="48425B6A">
        <w:rPr>
          <w:rFonts w:ascii="Arial" w:eastAsia="Arial" w:hAnsi="Arial" w:cs="Arial"/>
          <w:color w:val="000000" w:themeColor="text1"/>
          <w:sz w:val="20"/>
          <w:szCs w:val="20"/>
        </w:rPr>
        <w:t xml:space="preserve">Gall, M. D., Gall, J. P., and Borg, W. R. (2003). </w:t>
      </w:r>
      <w:r w:rsidRPr="48425B6A">
        <w:rPr>
          <w:rFonts w:ascii="Arial" w:eastAsia="Arial" w:hAnsi="Arial" w:cs="Arial"/>
          <w:i/>
          <w:iCs/>
          <w:color w:val="000000" w:themeColor="text1"/>
          <w:sz w:val="20"/>
          <w:szCs w:val="20"/>
        </w:rPr>
        <w:t>Educational Research: An Introduction</w:t>
      </w:r>
      <w:r w:rsidRPr="48425B6A">
        <w:rPr>
          <w:rFonts w:ascii="Arial" w:eastAsia="Arial" w:hAnsi="Arial" w:cs="Arial"/>
          <w:color w:val="000000" w:themeColor="text1"/>
          <w:sz w:val="20"/>
          <w:szCs w:val="20"/>
        </w:rPr>
        <w:t xml:space="preserve"> (7</w:t>
      </w:r>
      <w:r w:rsidRPr="48425B6A">
        <w:rPr>
          <w:rFonts w:ascii="Arial" w:eastAsia="Arial" w:hAnsi="Arial" w:cs="Arial"/>
          <w:color w:val="000000" w:themeColor="text1"/>
          <w:sz w:val="20"/>
          <w:szCs w:val="20"/>
          <w:vertAlign w:val="superscript"/>
        </w:rPr>
        <w:t>th</w:t>
      </w:r>
      <w:r w:rsidRPr="48425B6A">
        <w:rPr>
          <w:rFonts w:ascii="Arial" w:eastAsia="Arial" w:hAnsi="Arial" w:cs="Arial"/>
          <w:color w:val="000000" w:themeColor="text1"/>
          <w:sz w:val="20"/>
          <w:szCs w:val="20"/>
        </w:rPr>
        <w:t xml:space="preserve"> ed.). Boston, MA: Pearson. </w:t>
      </w:r>
    </w:p>
    <w:p w14:paraId="1FF2068E" w14:textId="09A5DFDB" w:rsidR="21C3821A" w:rsidRDefault="21C3821A" w:rsidP="0066301C">
      <w:pPr>
        <w:spacing w:after="200"/>
        <w:jc w:val="both"/>
        <w:rPr>
          <w:rFonts w:ascii="Arial" w:eastAsia="Arial" w:hAnsi="Arial" w:cs="Arial"/>
          <w:color w:val="000000" w:themeColor="text1"/>
          <w:sz w:val="20"/>
          <w:szCs w:val="20"/>
        </w:rPr>
      </w:pPr>
      <w:r w:rsidRPr="48425B6A">
        <w:rPr>
          <w:rFonts w:ascii="Arial" w:eastAsia="Arial" w:hAnsi="Arial" w:cs="Arial"/>
          <w:color w:val="000000" w:themeColor="text1"/>
          <w:sz w:val="20"/>
          <w:szCs w:val="20"/>
        </w:rPr>
        <w:t xml:space="preserve">Gillham, B. (2000). </w:t>
      </w:r>
      <w:r w:rsidRPr="48425B6A">
        <w:rPr>
          <w:rFonts w:ascii="Arial" w:eastAsia="Arial" w:hAnsi="Arial" w:cs="Arial"/>
          <w:i/>
          <w:iCs/>
          <w:color w:val="000000" w:themeColor="text1"/>
          <w:sz w:val="20"/>
          <w:szCs w:val="20"/>
        </w:rPr>
        <w:t>Case Study Research Methods</w:t>
      </w:r>
      <w:r w:rsidRPr="48425B6A">
        <w:rPr>
          <w:rFonts w:ascii="Arial" w:eastAsia="Arial" w:hAnsi="Arial" w:cs="Arial"/>
          <w:color w:val="000000" w:themeColor="text1"/>
          <w:sz w:val="20"/>
          <w:szCs w:val="20"/>
        </w:rPr>
        <w:t>. Continuum, London.</w:t>
      </w:r>
    </w:p>
    <w:p w14:paraId="64AD0622" w14:textId="5B9EBAF8" w:rsidR="21C3821A" w:rsidRDefault="21C3821A" w:rsidP="0066301C">
      <w:pPr>
        <w:spacing w:after="200"/>
        <w:jc w:val="both"/>
        <w:rPr>
          <w:rFonts w:ascii="Arial" w:eastAsia="Arial" w:hAnsi="Arial" w:cs="Arial"/>
          <w:sz w:val="20"/>
          <w:szCs w:val="20"/>
        </w:rPr>
      </w:pPr>
      <w:r w:rsidRPr="48425B6A">
        <w:rPr>
          <w:rFonts w:ascii="Arial" w:eastAsia="Arial" w:hAnsi="Arial" w:cs="Arial"/>
          <w:sz w:val="20"/>
          <w:szCs w:val="20"/>
        </w:rPr>
        <w:t xml:space="preserve">Goddard, W., and Melville, S. (2004). </w:t>
      </w:r>
      <w:r w:rsidRPr="48425B6A">
        <w:rPr>
          <w:rFonts w:ascii="Arial" w:eastAsia="Arial" w:hAnsi="Arial" w:cs="Arial"/>
          <w:i/>
          <w:iCs/>
          <w:sz w:val="20"/>
          <w:szCs w:val="20"/>
        </w:rPr>
        <w:t>Research Methodology: An Introduction</w:t>
      </w:r>
      <w:r w:rsidRPr="48425B6A">
        <w:rPr>
          <w:rFonts w:ascii="Arial" w:eastAsia="Arial" w:hAnsi="Arial" w:cs="Arial"/>
          <w:sz w:val="20"/>
          <w:szCs w:val="20"/>
        </w:rPr>
        <w:t xml:space="preserve"> (2</w:t>
      </w:r>
      <w:r w:rsidRPr="48425B6A">
        <w:rPr>
          <w:rFonts w:ascii="Arial" w:eastAsia="Arial" w:hAnsi="Arial" w:cs="Arial"/>
          <w:sz w:val="20"/>
          <w:szCs w:val="20"/>
          <w:vertAlign w:val="superscript"/>
        </w:rPr>
        <w:t>nd</w:t>
      </w:r>
      <w:r w:rsidRPr="48425B6A">
        <w:rPr>
          <w:rFonts w:ascii="Arial" w:eastAsia="Arial" w:hAnsi="Arial" w:cs="Arial"/>
          <w:sz w:val="20"/>
          <w:szCs w:val="20"/>
        </w:rPr>
        <w:t xml:space="preserve"> ed.).  Juta Academic.</w:t>
      </w:r>
    </w:p>
    <w:p w14:paraId="20979A33" w14:textId="7C5B90FC" w:rsidR="21C3821A" w:rsidRDefault="21C3821A" w:rsidP="0066301C">
      <w:pPr>
        <w:spacing w:after="240"/>
        <w:jc w:val="both"/>
        <w:rPr>
          <w:rFonts w:ascii="Arial" w:eastAsia="Arial" w:hAnsi="Arial" w:cs="Arial"/>
          <w:color w:val="222222"/>
          <w:sz w:val="20"/>
          <w:szCs w:val="20"/>
        </w:rPr>
      </w:pPr>
      <w:r w:rsidRPr="48425B6A">
        <w:rPr>
          <w:rFonts w:ascii="Arial" w:eastAsia="Arial" w:hAnsi="Arial" w:cs="Arial"/>
          <w:color w:val="222222"/>
          <w:sz w:val="20"/>
          <w:szCs w:val="20"/>
        </w:rPr>
        <w:t xml:space="preserve">Goldstein, M. (1998). </w:t>
      </w:r>
      <w:r w:rsidRPr="48425B6A">
        <w:rPr>
          <w:rFonts w:ascii="Arial" w:eastAsia="Arial" w:hAnsi="Arial" w:cs="Arial"/>
          <w:i/>
          <w:iCs/>
          <w:color w:val="222222"/>
          <w:sz w:val="20"/>
          <w:szCs w:val="20"/>
        </w:rPr>
        <w:t>The Asian financial crisis: Causes, cures, and systemic implications.</w:t>
      </w:r>
      <w:r w:rsidRPr="48425B6A">
        <w:rPr>
          <w:rFonts w:ascii="Arial" w:eastAsia="Arial" w:hAnsi="Arial" w:cs="Arial"/>
          <w:color w:val="222222"/>
          <w:sz w:val="20"/>
          <w:szCs w:val="20"/>
        </w:rPr>
        <w:t xml:space="preserve"> Institute for International Economics. </w:t>
      </w:r>
    </w:p>
    <w:p w14:paraId="10669139" w14:textId="78365A04" w:rsidR="21C3821A" w:rsidRDefault="21C3821A" w:rsidP="0066301C">
      <w:pPr>
        <w:spacing w:after="240"/>
        <w:jc w:val="both"/>
        <w:rPr>
          <w:rFonts w:ascii="Arial" w:eastAsia="Arial" w:hAnsi="Arial" w:cs="Arial"/>
          <w:color w:val="000000" w:themeColor="text1"/>
          <w:sz w:val="20"/>
          <w:szCs w:val="20"/>
        </w:rPr>
      </w:pPr>
      <w:r w:rsidRPr="48425B6A">
        <w:rPr>
          <w:rFonts w:ascii="Arial" w:eastAsia="Arial" w:hAnsi="Arial" w:cs="Arial"/>
          <w:color w:val="000000" w:themeColor="text1"/>
          <w:sz w:val="20"/>
          <w:szCs w:val="20"/>
        </w:rPr>
        <w:t xml:space="preserve">Gratton, C., and Jones, I. (2010). </w:t>
      </w:r>
      <w:r w:rsidRPr="48425B6A">
        <w:rPr>
          <w:rFonts w:ascii="Arial" w:eastAsia="Arial" w:hAnsi="Arial" w:cs="Arial"/>
          <w:i/>
          <w:iCs/>
          <w:color w:val="000000" w:themeColor="text1"/>
          <w:sz w:val="20"/>
          <w:szCs w:val="20"/>
        </w:rPr>
        <w:t>Research Methods for Sports Studies</w:t>
      </w:r>
      <w:r w:rsidRPr="48425B6A">
        <w:rPr>
          <w:rFonts w:ascii="Arial" w:eastAsia="Arial" w:hAnsi="Arial" w:cs="Arial"/>
          <w:color w:val="000000" w:themeColor="text1"/>
          <w:sz w:val="20"/>
          <w:szCs w:val="20"/>
        </w:rPr>
        <w:t>. London: Taylor &amp; Francis</w:t>
      </w:r>
    </w:p>
    <w:p w14:paraId="090B6B4F" w14:textId="347AB250" w:rsidR="21C3821A" w:rsidRDefault="21C3821A" w:rsidP="0066301C">
      <w:pPr>
        <w:spacing w:after="240"/>
        <w:jc w:val="both"/>
        <w:rPr>
          <w:rFonts w:ascii="Arial" w:eastAsia="Arial" w:hAnsi="Arial" w:cs="Arial"/>
          <w:color w:val="222222"/>
          <w:sz w:val="20"/>
          <w:szCs w:val="20"/>
        </w:rPr>
      </w:pPr>
      <w:r w:rsidRPr="48425B6A">
        <w:rPr>
          <w:rFonts w:ascii="Arial" w:eastAsia="Arial" w:hAnsi="Arial" w:cs="Arial"/>
          <w:color w:val="222222"/>
          <w:sz w:val="20"/>
          <w:szCs w:val="20"/>
        </w:rPr>
        <w:t>Grix, J. (2004). The Foundations of Research. New York, NY: Palgrave Macmillan.</w:t>
      </w:r>
    </w:p>
    <w:p w14:paraId="61C9FB09" w14:textId="1DD90896" w:rsidR="21C3821A" w:rsidRDefault="21C3821A" w:rsidP="0066301C">
      <w:pPr>
        <w:spacing w:after="240"/>
        <w:jc w:val="both"/>
        <w:rPr>
          <w:rFonts w:ascii="Arial" w:eastAsia="Arial" w:hAnsi="Arial" w:cs="Arial"/>
          <w:color w:val="222222"/>
          <w:sz w:val="20"/>
          <w:szCs w:val="20"/>
        </w:rPr>
      </w:pPr>
      <w:r w:rsidRPr="48425B6A">
        <w:rPr>
          <w:rFonts w:ascii="Arial" w:eastAsia="Arial" w:hAnsi="Arial" w:cs="Arial"/>
          <w:color w:val="222222"/>
          <w:sz w:val="20"/>
          <w:szCs w:val="20"/>
        </w:rPr>
        <w:t xml:space="preserve">Guba, E.G., and Lincoln, Y. S. (1994). Competing Paradigms in Qualitative Research. In N. K. Denzin and Y. S. Lincoln (Eds.), </w:t>
      </w:r>
      <w:r w:rsidRPr="48425B6A">
        <w:rPr>
          <w:rFonts w:ascii="Arial" w:eastAsia="Arial" w:hAnsi="Arial" w:cs="Arial"/>
          <w:i/>
          <w:iCs/>
          <w:color w:val="222222"/>
          <w:sz w:val="20"/>
          <w:szCs w:val="20"/>
        </w:rPr>
        <w:t xml:space="preserve">The Sage Handbook of Qualitative Research </w:t>
      </w:r>
      <w:r w:rsidRPr="48425B6A">
        <w:rPr>
          <w:rFonts w:ascii="Arial" w:eastAsia="Arial" w:hAnsi="Arial" w:cs="Arial"/>
          <w:color w:val="222222"/>
          <w:sz w:val="20"/>
          <w:szCs w:val="20"/>
        </w:rPr>
        <w:t xml:space="preserve">(Vol.2, Pp:163 – 194). Thousand oaks, CA: Sage. </w:t>
      </w:r>
    </w:p>
    <w:p w14:paraId="07F98734" w14:textId="37361E26" w:rsidR="21C3821A" w:rsidRDefault="21C3821A" w:rsidP="0066301C">
      <w:pPr>
        <w:spacing w:after="240"/>
        <w:jc w:val="both"/>
        <w:rPr>
          <w:rFonts w:ascii="Arial" w:eastAsia="Arial" w:hAnsi="Arial" w:cs="Arial"/>
          <w:color w:val="222222"/>
          <w:sz w:val="20"/>
          <w:szCs w:val="20"/>
        </w:rPr>
      </w:pPr>
      <w:r w:rsidRPr="48425B6A">
        <w:rPr>
          <w:rFonts w:ascii="Arial" w:eastAsia="Arial" w:hAnsi="Arial" w:cs="Arial"/>
          <w:color w:val="222222"/>
          <w:sz w:val="20"/>
          <w:szCs w:val="20"/>
        </w:rPr>
        <w:t xml:space="preserve">Guba, E.G., and Lincoln, Y. S. (2005). Paradigmatic Controversies, Contradictions, and Emerging Confluences. In N. K. Denzin and Y. S. Lincoln (Eds.), </w:t>
      </w:r>
      <w:r w:rsidRPr="48425B6A">
        <w:rPr>
          <w:rFonts w:ascii="Arial" w:eastAsia="Arial" w:hAnsi="Arial" w:cs="Arial"/>
          <w:i/>
          <w:iCs/>
          <w:color w:val="222222"/>
          <w:sz w:val="20"/>
          <w:szCs w:val="20"/>
        </w:rPr>
        <w:t xml:space="preserve">The Sage Handbook of Qualitative Research </w:t>
      </w:r>
      <w:r w:rsidRPr="48425B6A">
        <w:rPr>
          <w:rFonts w:ascii="Arial" w:eastAsia="Arial" w:hAnsi="Arial" w:cs="Arial"/>
          <w:color w:val="222222"/>
          <w:sz w:val="20"/>
          <w:szCs w:val="20"/>
        </w:rPr>
        <w:t>(3</w:t>
      </w:r>
      <w:r w:rsidRPr="48425B6A">
        <w:rPr>
          <w:rFonts w:ascii="Arial" w:eastAsia="Arial" w:hAnsi="Arial" w:cs="Arial"/>
          <w:color w:val="222222"/>
          <w:sz w:val="20"/>
          <w:szCs w:val="20"/>
          <w:vertAlign w:val="superscript"/>
        </w:rPr>
        <w:t>rd</w:t>
      </w:r>
      <w:r w:rsidRPr="48425B6A">
        <w:rPr>
          <w:rFonts w:ascii="Arial" w:eastAsia="Arial" w:hAnsi="Arial" w:cs="Arial"/>
          <w:color w:val="222222"/>
          <w:sz w:val="20"/>
          <w:szCs w:val="20"/>
        </w:rPr>
        <w:t xml:space="preserve"> ed., Pp: 191 – 215). Thousand Oaks, CA: Sage.</w:t>
      </w:r>
    </w:p>
    <w:p w14:paraId="74E6F322" w14:textId="413CD532" w:rsidR="21C3821A" w:rsidRDefault="21C3821A" w:rsidP="0066301C">
      <w:pPr>
        <w:spacing w:after="200"/>
        <w:jc w:val="both"/>
        <w:rPr>
          <w:rFonts w:ascii="Arial" w:eastAsia="Arial" w:hAnsi="Arial" w:cs="Arial"/>
          <w:sz w:val="20"/>
          <w:szCs w:val="20"/>
        </w:rPr>
      </w:pPr>
      <w:r w:rsidRPr="48425B6A">
        <w:rPr>
          <w:rFonts w:ascii="Arial" w:eastAsia="Arial" w:hAnsi="Arial" w:cs="Arial"/>
          <w:sz w:val="20"/>
          <w:szCs w:val="20"/>
        </w:rPr>
        <w:t xml:space="preserve">Gujarati, D.N. and Porter, D.C. (2009). </w:t>
      </w:r>
      <w:r w:rsidRPr="48425B6A">
        <w:rPr>
          <w:rFonts w:ascii="Arial" w:eastAsia="Arial" w:hAnsi="Arial" w:cs="Arial"/>
          <w:i/>
          <w:iCs/>
          <w:sz w:val="20"/>
          <w:szCs w:val="20"/>
        </w:rPr>
        <w:t>Basic Econometrics,</w:t>
      </w:r>
      <w:r w:rsidRPr="48425B6A">
        <w:rPr>
          <w:rFonts w:ascii="Arial" w:eastAsia="Arial" w:hAnsi="Arial" w:cs="Arial"/>
          <w:sz w:val="20"/>
          <w:szCs w:val="20"/>
        </w:rPr>
        <w:t xml:space="preserve"> 5ed, McGraw Hill Inc., New York. </w:t>
      </w:r>
    </w:p>
    <w:p w14:paraId="712A152C" w14:textId="3305C9A9" w:rsidR="21C3821A" w:rsidRDefault="21C3821A" w:rsidP="0066301C">
      <w:pPr>
        <w:spacing w:after="240"/>
        <w:jc w:val="both"/>
        <w:rPr>
          <w:rFonts w:ascii="Arial" w:eastAsia="Arial" w:hAnsi="Arial" w:cs="Arial"/>
          <w:color w:val="222222"/>
          <w:sz w:val="20"/>
          <w:szCs w:val="20"/>
        </w:rPr>
      </w:pPr>
      <w:r w:rsidRPr="48425B6A">
        <w:rPr>
          <w:rFonts w:ascii="Arial" w:eastAsia="Arial" w:hAnsi="Arial" w:cs="Arial"/>
          <w:color w:val="222222"/>
          <w:sz w:val="20"/>
          <w:szCs w:val="20"/>
        </w:rPr>
        <w:t xml:space="preserve">Hallwood, Paul, and Ronald MacDonald (2000). </w:t>
      </w:r>
      <w:r w:rsidRPr="48425B6A">
        <w:rPr>
          <w:rFonts w:ascii="Arial" w:eastAsia="Arial" w:hAnsi="Arial" w:cs="Arial"/>
          <w:i/>
          <w:iCs/>
          <w:color w:val="222222"/>
          <w:sz w:val="20"/>
          <w:szCs w:val="20"/>
        </w:rPr>
        <w:t>International Money and Finance, 3rd ed.</w:t>
      </w:r>
      <w:r w:rsidRPr="48425B6A">
        <w:rPr>
          <w:rFonts w:ascii="Arial" w:eastAsia="Arial" w:hAnsi="Arial" w:cs="Arial"/>
          <w:color w:val="222222"/>
          <w:sz w:val="20"/>
          <w:szCs w:val="20"/>
        </w:rPr>
        <w:t>, Oxford and Cambridge</w:t>
      </w:r>
    </w:p>
    <w:p w14:paraId="7B3EC5A7" w14:textId="1484E205" w:rsidR="21C3821A" w:rsidRDefault="21C3821A" w:rsidP="0066301C">
      <w:pPr>
        <w:spacing w:after="200" w:line="276" w:lineRule="auto"/>
        <w:jc w:val="both"/>
        <w:rPr>
          <w:rFonts w:ascii="Arial" w:eastAsia="Arial" w:hAnsi="Arial" w:cs="Arial"/>
          <w:sz w:val="20"/>
          <w:szCs w:val="20"/>
        </w:rPr>
      </w:pPr>
      <w:r w:rsidRPr="48425B6A">
        <w:rPr>
          <w:rFonts w:ascii="Arial" w:eastAsia="Arial" w:hAnsi="Arial" w:cs="Arial"/>
          <w:sz w:val="20"/>
          <w:szCs w:val="20"/>
        </w:rPr>
        <w:t xml:space="preserve">Hinkle. L. E. and Montlel, P. J. (1999), </w:t>
      </w:r>
      <w:r w:rsidRPr="48425B6A">
        <w:rPr>
          <w:rFonts w:ascii="Arial" w:eastAsia="Arial" w:hAnsi="Arial" w:cs="Arial"/>
          <w:i/>
          <w:iCs/>
          <w:sz w:val="20"/>
          <w:szCs w:val="20"/>
        </w:rPr>
        <w:t>Exchange Rate Misalignment. Concepts and Measurement for Developing Countries</w:t>
      </w:r>
      <w:r w:rsidRPr="48425B6A">
        <w:rPr>
          <w:rFonts w:ascii="Arial" w:eastAsia="Arial" w:hAnsi="Arial" w:cs="Arial"/>
          <w:sz w:val="20"/>
          <w:szCs w:val="20"/>
        </w:rPr>
        <w:t>. Oxford University Press, Oxford.</w:t>
      </w:r>
    </w:p>
    <w:p w14:paraId="199D4063" w14:textId="063BADEB" w:rsidR="21C3821A" w:rsidRDefault="21C3821A" w:rsidP="0066301C">
      <w:pPr>
        <w:spacing w:after="200" w:line="276" w:lineRule="auto"/>
        <w:jc w:val="both"/>
        <w:rPr>
          <w:rFonts w:ascii="Arial" w:eastAsia="Arial" w:hAnsi="Arial" w:cs="Arial"/>
          <w:sz w:val="20"/>
          <w:szCs w:val="20"/>
        </w:rPr>
      </w:pPr>
      <w:r w:rsidRPr="48425B6A">
        <w:rPr>
          <w:rFonts w:ascii="Arial" w:eastAsia="Arial" w:hAnsi="Arial" w:cs="Arial"/>
          <w:sz w:val="20"/>
          <w:szCs w:val="20"/>
        </w:rPr>
        <w:t xml:space="preserve">Kincheloe, J. L. (2008). </w:t>
      </w:r>
      <w:r w:rsidRPr="48425B6A">
        <w:rPr>
          <w:rFonts w:ascii="Arial" w:eastAsia="Arial" w:hAnsi="Arial" w:cs="Arial"/>
          <w:i/>
          <w:iCs/>
          <w:sz w:val="20"/>
          <w:szCs w:val="20"/>
        </w:rPr>
        <w:t xml:space="preserve">Knowledge and Critical Pedagogy. </w:t>
      </w:r>
      <w:r w:rsidRPr="48425B6A">
        <w:rPr>
          <w:rFonts w:ascii="Arial" w:eastAsia="Arial" w:hAnsi="Arial" w:cs="Arial"/>
          <w:sz w:val="20"/>
          <w:szCs w:val="20"/>
        </w:rPr>
        <w:t>London, England: Springer.</w:t>
      </w:r>
    </w:p>
    <w:p w14:paraId="08605B8B" w14:textId="6CC56E7F" w:rsidR="21C3821A" w:rsidRDefault="21C3821A" w:rsidP="0066301C">
      <w:pPr>
        <w:spacing w:after="200" w:line="276" w:lineRule="auto"/>
        <w:jc w:val="both"/>
        <w:rPr>
          <w:rFonts w:ascii="Arial" w:eastAsia="Arial" w:hAnsi="Arial" w:cs="Arial"/>
          <w:sz w:val="20"/>
          <w:szCs w:val="20"/>
        </w:rPr>
      </w:pPr>
      <w:r w:rsidRPr="48425B6A">
        <w:rPr>
          <w:rFonts w:ascii="Arial" w:eastAsia="Arial" w:hAnsi="Arial" w:cs="Arial"/>
          <w:sz w:val="20"/>
          <w:szCs w:val="20"/>
        </w:rPr>
        <w:t xml:space="preserve">Kincheloe, J. L., and McLaren, P. (2005). Rethinking Critical Theory and Qualitative Researc. In N. K. Denzin and Y. S. Lincoln (Eds.), </w:t>
      </w:r>
      <w:r w:rsidRPr="48425B6A">
        <w:rPr>
          <w:rFonts w:ascii="Arial" w:eastAsia="Arial" w:hAnsi="Arial" w:cs="Arial"/>
          <w:i/>
          <w:iCs/>
          <w:sz w:val="20"/>
          <w:szCs w:val="20"/>
        </w:rPr>
        <w:t xml:space="preserve">The Sage Handbook of Qualitative Research </w:t>
      </w:r>
      <w:r w:rsidRPr="48425B6A">
        <w:rPr>
          <w:rFonts w:ascii="Arial" w:eastAsia="Arial" w:hAnsi="Arial" w:cs="Arial"/>
          <w:sz w:val="20"/>
          <w:szCs w:val="20"/>
        </w:rPr>
        <w:t>(3</w:t>
      </w:r>
      <w:r w:rsidRPr="48425B6A">
        <w:rPr>
          <w:rFonts w:ascii="Arial" w:eastAsia="Arial" w:hAnsi="Arial" w:cs="Arial"/>
          <w:sz w:val="20"/>
          <w:szCs w:val="20"/>
          <w:vertAlign w:val="superscript"/>
        </w:rPr>
        <w:t>rd</w:t>
      </w:r>
      <w:r w:rsidRPr="48425B6A">
        <w:rPr>
          <w:rFonts w:ascii="Arial" w:eastAsia="Arial" w:hAnsi="Arial" w:cs="Arial"/>
          <w:sz w:val="20"/>
          <w:szCs w:val="20"/>
        </w:rPr>
        <w:t xml:space="preserve"> ed., Pp303-342). Yhousand Oaks, CA: Sage.</w:t>
      </w:r>
    </w:p>
    <w:p w14:paraId="1FB065FC" w14:textId="5C0585FB" w:rsidR="21C3821A" w:rsidRDefault="21C3821A" w:rsidP="0066301C">
      <w:pPr>
        <w:spacing w:after="200" w:line="276" w:lineRule="auto"/>
        <w:jc w:val="both"/>
        <w:rPr>
          <w:rFonts w:ascii="Arial" w:eastAsia="Arial" w:hAnsi="Arial" w:cs="Arial"/>
          <w:sz w:val="20"/>
          <w:szCs w:val="20"/>
        </w:rPr>
      </w:pPr>
      <w:r w:rsidRPr="48425B6A">
        <w:rPr>
          <w:rFonts w:ascii="Arial" w:eastAsia="Arial" w:hAnsi="Arial" w:cs="Arial"/>
          <w:sz w:val="20"/>
          <w:szCs w:val="20"/>
        </w:rPr>
        <w:t>Kothari, C.R. (2009). Research Methodology-Methods and Techniques. New Age Publishers, India.</w:t>
      </w:r>
    </w:p>
    <w:p w14:paraId="28BA2C2D" w14:textId="150A55B3" w:rsidR="21C3821A" w:rsidRDefault="21C3821A" w:rsidP="0066301C">
      <w:pPr>
        <w:spacing w:after="200" w:line="276" w:lineRule="auto"/>
        <w:jc w:val="both"/>
        <w:rPr>
          <w:rFonts w:ascii="Arial" w:eastAsia="Arial" w:hAnsi="Arial" w:cs="Arial"/>
          <w:sz w:val="20"/>
          <w:szCs w:val="20"/>
        </w:rPr>
      </w:pPr>
      <w:r w:rsidRPr="48425B6A">
        <w:rPr>
          <w:rFonts w:ascii="Arial" w:eastAsia="Arial" w:hAnsi="Arial" w:cs="Arial"/>
          <w:sz w:val="20"/>
          <w:szCs w:val="20"/>
        </w:rPr>
        <w:t>Kothari, C.R. (2004). Research Methodology-Methods and Techniques (2</w:t>
      </w:r>
      <w:r w:rsidRPr="48425B6A">
        <w:rPr>
          <w:rFonts w:ascii="Arial" w:eastAsia="Arial" w:hAnsi="Arial" w:cs="Arial"/>
          <w:sz w:val="20"/>
          <w:szCs w:val="20"/>
          <w:vertAlign w:val="superscript"/>
        </w:rPr>
        <w:t>nd</w:t>
      </w:r>
      <w:r w:rsidRPr="48425B6A">
        <w:rPr>
          <w:rFonts w:ascii="Arial" w:eastAsia="Arial" w:hAnsi="Arial" w:cs="Arial"/>
          <w:sz w:val="20"/>
          <w:szCs w:val="20"/>
        </w:rPr>
        <w:t xml:space="preserve"> ed.). New Age Publishers, India.</w:t>
      </w:r>
    </w:p>
    <w:p w14:paraId="2908C8D0" w14:textId="3A1BD0A2" w:rsidR="21C3821A" w:rsidRDefault="21C3821A" w:rsidP="0066301C">
      <w:pPr>
        <w:spacing w:after="200" w:line="276" w:lineRule="auto"/>
        <w:jc w:val="both"/>
        <w:rPr>
          <w:rFonts w:ascii="Arial" w:eastAsia="Arial" w:hAnsi="Arial" w:cs="Arial"/>
          <w:sz w:val="20"/>
          <w:szCs w:val="20"/>
        </w:rPr>
      </w:pPr>
      <w:r w:rsidRPr="48425B6A">
        <w:rPr>
          <w:rFonts w:ascii="Arial" w:eastAsia="Arial" w:hAnsi="Arial" w:cs="Arial"/>
          <w:sz w:val="20"/>
          <w:szCs w:val="20"/>
        </w:rPr>
        <w:t>Leedy P. and Ormrod J. (2005). Practical Research: Planning and Design. 8</w:t>
      </w:r>
      <w:r w:rsidRPr="48425B6A">
        <w:rPr>
          <w:rFonts w:ascii="Arial" w:eastAsia="Arial" w:hAnsi="Arial" w:cs="Arial"/>
          <w:sz w:val="20"/>
          <w:szCs w:val="20"/>
          <w:vertAlign w:val="superscript"/>
        </w:rPr>
        <w:t>th</w:t>
      </w:r>
      <w:r w:rsidRPr="48425B6A">
        <w:rPr>
          <w:rFonts w:ascii="Arial" w:eastAsia="Arial" w:hAnsi="Arial" w:cs="Arial"/>
          <w:sz w:val="20"/>
          <w:szCs w:val="20"/>
        </w:rPr>
        <w:t xml:space="preserve"> ed.. </w:t>
      </w:r>
      <w:r w:rsidRPr="48425B6A">
        <w:rPr>
          <w:rFonts w:ascii="Arial" w:eastAsia="Arial" w:hAnsi="Arial" w:cs="Arial"/>
          <w:i/>
          <w:iCs/>
          <w:sz w:val="20"/>
          <w:szCs w:val="20"/>
        </w:rPr>
        <w:t>Pearson Educational International and Prentice Hall</w:t>
      </w:r>
      <w:r w:rsidRPr="48425B6A">
        <w:rPr>
          <w:rFonts w:ascii="Arial" w:eastAsia="Arial" w:hAnsi="Arial" w:cs="Arial"/>
          <w:sz w:val="20"/>
          <w:szCs w:val="20"/>
        </w:rPr>
        <w:t>.</w:t>
      </w:r>
    </w:p>
    <w:p w14:paraId="4FE42B5B" w14:textId="55191EDC" w:rsidR="21C3821A" w:rsidRDefault="21C3821A" w:rsidP="0066301C">
      <w:pPr>
        <w:spacing w:after="200" w:line="276" w:lineRule="auto"/>
        <w:jc w:val="both"/>
        <w:rPr>
          <w:rFonts w:ascii="Arial" w:eastAsia="Arial" w:hAnsi="Arial" w:cs="Arial"/>
          <w:i/>
          <w:iCs/>
          <w:sz w:val="20"/>
          <w:szCs w:val="20"/>
        </w:rPr>
      </w:pPr>
      <w:r w:rsidRPr="48425B6A">
        <w:rPr>
          <w:rFonts w:ascii="Arial" w:eastAsia="Arial" w:hAnsi="Arial" w:cs="Arial"/>
          <w:sz w:val="20"/>
          <w:szCs w:val="20"/>
        </w:rPr>
        <w:t>Leedy P. and Ormrod J. (2010). Practical Research: Planning and Design. 9</w:t>
      </w:r>
      <w:r w:rsidRPr="48425B6A">
        <w:rPr>
          <w:rFonts w:ascii="Arial" w:eastAsia="Arial" w:hAnsi="Arial" w:cs="Arial"/>
          <w:sz w:val="20"/>
          <w:szCs w:val="20"/>
          <w:vertAlign w:val="superscript"/>
        </w:rPr>
        <w:t>th</w:t>
      </w:r>
      <w:r w:rsidRPr="48425B6A">
        <w:rPr>
          <w:rFonts w:ascii="Arial" w:eastAsia="Arial" w:hAnsi="Arial" w:cs="Arial"/>
          <w:sz w:val="20"/>
          <w:szCs w:val="20"/>
        </w:rPr>
        <w:t xml:space="preserve"> ed., </w:t>
      </w:r>
      <w:r w:rsidRPr="48425B6A">
        <w:rPr>
          <w:rFonts w:ascii="Arial" w:eastAsia="Arial" w:hAnsi="Arial" w:cs="Arial"/>
          <w:i/>
          <w:iCs/>
          <w:sz w:val="20"/>
          <w:szCs w:val="20"/>
        </w:rPr>
        <w:t>Pearson Education International, Boston.</w:t>
      </w:r>
    </w:p>
    <w:p w14:paraId="5BF438A6" w14:textId="00193F55" w:rsidR="21C3821A" w:rsidRDefault="21C3821A" w:rsidP="0066301C">
      <w:pPr>
        <w:spacing w:after="200" w:line="276" w:lineRule="auto"/>
        <w:jc w:val="both"/>
        <w:rPr>
          <w:rFonts w:ascii="Arial" w:eastAsia="Arial" w:hAnsi="Arial" w:cs="Arial"/>
          <w:sz w:val="20"/>
          <w:szCs w:val="20"/>
        </w:rPr>
      </w:pPr>
      <w:r w:rsidRPr="48425B6A">
        <w:rPr>
          <w:rFonts w:ascii="Arial" w:eastAsia="Arial" w:hAnsi="Arial" w:cs="Arial"/>
          <w:sz w:val="20"/>
          <w:szCs w:val="20"/>
        </w:rPr>
        <w:t xml:space="preserve">Marczyk, G., DeMatteo, D. and Festinger, D. (2005) </w:t>
      </w:r>
      <w:r w:rsidRPr="48425B6A">
        <w:rPr>
          <w:rFonts w:ascii="Arial" w:eastAsia="Arial" w:hAnsi="Arial" w:cs="Arial"/>
          <w:i/>
          <w:iCs/>
          <w:sz w:val="20"/>
          <w:szCs w:val="20"/>
        </w:rPr>
        <w:t xml:space="preserve">Essentials of Research Design and Methodology. </w:t>
      </w:r>
      <w:r w:rsidRPr="48425B6A">
        <w:rPr>
          <w:rFonts w:ascii="Arial" w:eastAsia="Arial" w:hAnsi="Arial" w:cs="Arial"/>
          <w:sz w:val="20"/>
          <w:szCs w:val="20"/>
        </w:rPr>
        <w:t xml:space="preserve">New Jersey. John Wiley and Sons, Inc. </w:t>
      </w:r>
    </w:p>
    <w:p w14:paraId="7DC7F5B5" w14:textId="2DACE8D0" w:rsidR="21C3821A" w:rsidRDefault="21C3821A" w:rsidP="0066301C">
      <w:pPr>
        <w:spacing w:after="200" w:line="276" w:lineRule="auto"/>
        <w:jc w:val="both"/>
        <w:rPr>
          <w:rFonts w:ascii="Arial" w:eastAsia="Arial" w:hAnsi="Arial" w:cs="Arial"/>
          <w:color w:val="000000" w:themeColor="text1"/>
          <w:sz w:val="20"/>
          <w:szCs w:val="20"/>
        </w:rPr>
      </w:pPr>
      <w:r w:rsidRPr="48425B6A">
        <w:rPr>
          <w:rFonts w:ascii="Arial" w:eastAsia="Arial" w:hAnsi="Arial" w:cs="Arial"/>
          <w:color w:val="000000" w:themeColor="text1"/>
          <w:sz w:val="20"/>
          <w:szCs w:val="20"/>
        </w:rPr>
        <w:t xml:space="preserve">MacMillan, J. H. and Schumacher, S. (2001). </w:t>
      </w:r>
      <w:r w:rsidRPr="48425B6A">
        <w:rPr>
          <w:rFonts w:ascii="Arial" w:eastAsia="Arial" w:hAnsi="Arial" w:cs="Arial"/>
          <w:i/>
          <w:iCs/>
          <w:color w:val="000000" w:themeColor="text1"/>
          <w:sz w:val="20"/>
          <w:szCs w:val="20"/>
        </w:rPr>
        <w:t>Research in Education. A Conceptual Introduction</w:t>
      </w:r>
      <w:r w:rsidRPr="48425B6A">
        <w:rPr>
          <w:rFonts w:ascii="Arial" w:eastAsia="Arial" w:hAnsi="Arial" w:cs="Arial"/>
          <w:color w:val="000000" w:themeColor="text1"/>
          <w:sz w:val="20"/>
          <w:szCs w:val="20"/>
        </w:rPr>
        <w:t xml:space="preserve"> (5</w:t>
      </w:r>
      <w:r w:rsidRPr="48425B6A">
        <w:rPr>
          <w:rFonts w:ascii="Arial" w:eastAsia="Arial" w:hAnsi="Arial" w:cs="Arial"/>
          <w:color w:val="000000" w:themeColor="text1"/>
          <w:sz w:val="20"/>
          <w:szCs w:val="20"/>
          <w:vertAlign w:val="superscript"/>
        </w:rPr>
        <w:t>th</w:t>
      </w:r>
      <w:r w:rsidRPr="48425B6A">
        <w:rPr>
          <w:rFonts w:ascii="Arial" w:eastAsia="Arial" w:hAnsi="Arial" w:cs="Arial"/>
          <w:color w:val="000000" w:themeColor="text1"/>
          <w:sz w:val="20"/>
          <w:szCs w:val="20"/>
        </w:rPr>
        <w:t xml:space="preserve"> ed.). Longman, Boston.</w:t>
      </w:r>
    </w:p>
    <w:p w14:paraId="71961211" w14:textId="7AD84663" w:rsidR="21C3821A" w:rsidRDefault="21C3821A" w:rsidP="0066301C">
      <w:pPr>
        <w:spacing w:after="200"/>
        <w:jc w:val="both"/>
        <w:rPr>
          <w:rFonts w:ascii="Arial" w:eastAsia="Arial" w:hAnsi="Arial" w:cs="Arial"/>
          <w:sz w:val="20"/>
          <w:szCs w:val="20"/>
        </w:rPr>
      </w:pPr>
      <w:r w:rsidRPr="48425B6A">
        <w:rPr>
          <w:rFonts w:ascii="Arial" w:eastAsia="Arial" w:hAnsi="Arial" w:cs="Arial"/>
          <w:sz w:val="20"/>
          <w:szCs w:val="20"/>
        </w:rPr>
        <w:lastRenderedPageBreak/>
        <w:t xml:space="preserve">Mertens, D. M. (1998). </w:t>
      </w:r>
      <w:r w:rsidRPr="48425B6A">
        <w:rPr>
          <w:rFonts w:ascii="Arial" w:eastAsia="Arial" w:hAnsi="Arial" w:cs="Arial"/>
          <w:i/>
          <w:iCs/>
          <w:sz w:val="20"/>
          <w:szCs w:val="20"/>
        </w:rPr>
        <w:t>Research Methods in Education and Psychology: Integrating Diversity with Quantitative and Qualitative Approaches</w:t>
      </w:r>
      <w:r w:rsidRPr="48425B6A">
        <w:rPr>
          <w:rFonts w:ascii="Arial" w:eastAsia="Arial" w:hAnsi="Arial" w:cs="Arial"/>
          <w:sz w:val="20"/>
          <w:szCs w:val="20"/>
        </w:rPr>
        <w:t>. SAGE Publication.</w:t>
      </w:r>
    </w:p>
    <w:p w14:paraId="2B5C268C" w14:textId="12D3124A" w:rsidR="21C3821A" w:rsidRDefault="21C3821A" w:rsidP="0066301C">
      <w:pPr>
        <w:spacing w:after="0"/>
        <w:jc w:val="both"/>
        <w:rPr>
          <w:rFonts w:ascii="Arial" w:eastAsia="Arial" w:hAnsi="Arial" w:cs="Arial"/>
          <w:sz w:val="20"/>
          <w:szCs w:val="20"/>
        </w:rPr>
      </w:pPr>
      <w:r w:rsidRPr="48425B6A">
        <w:rPr>
          <w:rFonts w:ascii="Arial" w:eastAsia="Arial" w:hAnsi="Arial" w:cs="Arial"/>
          <w:sz w:val="20"/>
          <w:szCs w:val="20"/>
        </w:rPr>
        <w:t>Miles, M.B. and Huberman, A.M. (1994). Qualitative data analysis: an expanded sourcebook (2</w:t>
      </w:r>
      <w:r w:rsidRPr="48425B6A">
        <w:rPr>
          <w:rFonts w:ascii="Arial" w:eastAsia="Arial" w:hAnsi="Arial" w:cs="Arial"/>
          <w:sz w:val="20"/>
          <w:szCs w:val="20"/>
          <w:vertAlign w:val="superscript"/>
        </w:rPr>
        <w:t>nd</w:t>
      </w:r>
      <w:r w:rsidRPr="48425B6A">
        <w:rPr>
          <w:rFonts w:ascii="Arial" w:eastAsia="Arial" w:hAnsi="Arial" w:cs="Arial"/>
          <w:sz w:val="20"/>
          <w:szCs w:val="20"/>
        </w:rPr>
        <w:t xml:space="preserve"> ed.). London: Sage.</w:t>
      </w:r>
    </w:p>
    <w:p w14:paraId="751DB903" w14:textId="1E3AE3CC" w:rsidR="21C3821A" w:rsidRDefault="21C3821A" w:rsidP="0066301C">
      <w:pPr>
        <w:spacing w:after="200" w:line="276" w:lineRule="auto"/>
        <w:jc w:val="both"/>
        <w:rPr>
          <w:rFonts w:ascii="Arial" w:eastAsia="Arial" w:hAnsi="Arial" w:cs="Arial"/>
          <w:sz w:val="20"/>
          <w:szCs w:val="20"/>
        </w:rPr>
      </w:pPr>
      <w:r w:rsidRPr="48425B6A">
        <w:rPr>
          <w:rFonts w:ascii="Arial" w:eastAsia="Arial" w:hAnsi="Arial" w:cs="Arial"/>
          <w:sz w:val="20"/>
          <w:szCs w:val="20"/>
        </w:rPr>
        <w:t xml:space="preserve">Mouton, J. (1996). </w:t>
      </w:r>
      <w:r w:rsidRPr="48425B6A">
        <w:rPr>
          <w:rFonts w:ascii="Arial" w:eastAsia="Arial" w:hAnsi="Arial" w:cs="Arial"/>
          <w:i/>
          <w:iCs/>
          <w:sz w:val="20"/>
          <w:szCs w:val="20"/>
        </w:rPr>
        <w:t>Understanding Social Research</w:t>
      </w:r>
      <w:r w:rsidRPr="48425B6A">
        <w:rPr>
          <w:rFonts w:ascii="Arial" w:eastAsia="Arial" w:hAnsi="Arial" w:cs="Arial"/>
          <w:sz w:val="20"/>
          <w:szCs w:val="20"/>
        </w:rPr>
        <w:t>. Pretoria: JL van Schaik.</w:t>
      </w:r>
    </w:p>
    <w:p w14:paraId="1FFFFDB4" w14:textId="610998F5" w:rsidR="21C3821A" w:rsidRDefault="21C3821A" w:rsidP="0066301C">
      <w:pPr>
        <w:spacing w:after="200" w:line="276" w:lineRule="auto"/>
        <w:jc w:val="both"/>
        <w:rPr>
          <w:rFonts w:ascii="Arial" w:eastAsia="Arial" w:hAnsi="Arial" w:cs="Arial"/>
          <w:sz w:val="20"/>
          <w:szCs w:val="20"/>
        </w:rPr>
      </w:pPr>
      <w:r w:rsidRPr="48425B6A">
        <w:rPr>
          <w:rFonts w:ascii="Arial" w:eastAsia="Arial" w:hAnsi="Arial" w:cs="Arial"/>
          <w:sz w:val="20"/>
          <w:szCs w:val="20"/>
        </w:rPr>
        <w:t xml:space="preserve">Mouton, J. (2001). How to succeed in your Master's and Doctoral studies: A South African Guide and Resource Book. </w:t>
      </w:r>
      <w:r w:rsidRPr="48425B6A">
        <w:rPr>
          <w:rFonts w:ascii="Arial" w:eastAsia="Arial" w:hAnsi="Arial" w:cs="Arial"/>
          <w:i/>
          <w:iCs/>
          <w:sz w:val="20"/>
          <w:szCs w:val="20"/>
        </w:rPr>
        <w:t>Van Schaik</w:t>
      </w:r>
      <w:r w:rsidRPr="48425B6A">
        <w:rPr>
          <w:rFonts w:ascii="Arial" w:eastAsia="Arial" w:hAnsi="Arial" w:cs="Arial"/>
          <w:sz w:val="20"/>
          <w:szCs w:val="20"/>
        </w:rPr>
        <w:t>.</w:t>
      </w:r>
    </w:p>
    <w:p w14:paraId="24B11FC3" w14:textId="0C999248" w:rsidR="21C3821A" w:rsidRDefault="21C3821A" w:rsidP="0066301C">
      <w:pPr>
        <w:spacing w:after="200"/>
        <w:jc w:val="both"/>
        <w:rPr>
          <w:rFonts w:ascii="Arial" w:eastAsia="Arial" w:hAnsi="Arial" w:cs="Arial"/>
          <w:color w:val="000000" w:themeColor="text1"/>
          <w:sz w:val="20"/>
          <w:szCs w:val="20"/>
        </w:rPr>
      </w:pPr>
      <w:r w:rsidRPr="48425B6A">
        <w:rPr>
          <w:rFonts w:ascii="Arial" w:eastAsia="Arial" w:hAnsi="Arial" w:cs="Arial"/>
          <w:color w:val="000000" w:themeColor="text1"/>
          <w:sz w:val="20"/>
          <w:szCs w:val="20"/>
        </w:rPr>
        <w:t>Neuman, W.L. (1997) Social Research Methods: Qualitative and Quantitative Approaches. 3</w:t>
      </w:r>
      <w:r w:rsidRPr="48425B6A">
        <w:rPr>
          <w:rFonts w:ascii="Arial" w:eastAsia="Arial" w:hAnsi="Arial" w:cs="Arial"/>
          <w:color w:val="000000" w:themeColor="text1"/>
          <w:sz w:val="20"/>
          <w:szCs w:val="20"/>
          <w:vertAlign w:val="superscript"/>
        </w:rPr>
        <w:t>rd</w:t>
      </w:r>
      <w:r w:rsidRPr="48425B6A">
        <w:rPr>
          <w:rFonts w:ascii="Arial" w:eastAsia="Arial" w:hAnsi="Arial" w:cs="Arial"/>
          <w:color w:val="000000" w:themeColor="text1"/>
          <w:sz w:val="20"/>
          <w:szCs w:val="20"/>
        </w:rPr>
        <w:t xml:space="preserve"> Edition, </w:t>
      </w:r>
      <w:r w:rsidRPr="48425B6A">
        <w:rPr>
          <w:rFonts w:ascii="Arial" w:eastAsia="Arial" w:hAnsi="Arial" w:cs="Arial"/>
          <w:i/>
          <w:iCs/>
          <w:color w:val="000000" w:themeColor="text1"/>
          <w:sz w:val="20"/>
          <w:szCs w:val="20"/>
        </w:rPr>
        <w:t>Allyn and Bacon, Boston</w:t>
      </w:r>
      <w:r w:rsidRPr="48425B6A">
        <w:rPr>
          <w:rFonts w:ascii="Arial" w:eastAsia="Arial" w:hAnsi="Arial" w:cs="Arial"/>
          <w:color w:val="000000" w:themeColor="text1"/>
          <w:sz w:val="20"/>
          <w:szCs w:val="20"/>
        </w:rPr>
        <w:t>.</w:t>
      </w:r>
    </w:p>
    <w:p w14:paraId="6510FAB4" w14:textId="08F682C8" w:rsidR="21C3821A" w:rsidRDefault="21C3821A" w:rsidP="0066301C">
      <w:pPr>
        <w:spacing w:after="200"/>
        <w:jc w:val="both"/>
        <w:rPr>
          <w:rFonts w:ascii="Arial" w:eastAsia="Arial" w:hAnsi="Arial" w:cs="Arial"/>
          <w:sz w:val="20"/>
          <w:szCs w:val="20"/>
        </w:rPr>
      </w:pPr>
      <w:r w:rsidRPr="48425B6A">
        <w:rPr>
          <w:rFonts w:ascii="Arial" w:eastAsia="Arial" w:hAnsi="Arial" w:cs="Arial"/>
          <w:color w:val="000000" w:themeColor="text1"/>
          <w:sz w:val="20"/>
          <w:szCs w:val="20"/>
        </w:rPr>
        <w:t>Newman, I. and Benz, C. R. (</w:t>
      </w:r>
      <w:r w:rsidRPr="48425B6A">
        <w:rPr>
          <w:rFonts w:ascii="Arial" w:eastAsia="Arial" w:hAnsi="Arial" w:cs="Arial"/>
          <w:sz w:val="20"/>
          <w:szCs w:val="20"/>
        </w:rPr>
        <w:t>1998). Qualitative-Quantitative Research Methodology: Exploring the Interactive Continuum. Southern Illinois University Press, Carbondale and Edwardsville.</w:t>
      </w:r>
    </w:p>
    <w:p w14:paraId="312666B9" w14:textId="4C35DB52" w:rsidR="21C3821A" w:rsidRDefault="21C3821A" w:rsidP="0066301C">
      <w:pPr>
        <w:spacing w:after="200"/>
        <w:jc w:val="both"/>
        <w:rPr>
          <w:rFonts w:ascii="Arial" w:eastAsia="Arial" w:hAnsi="Arial" w:cs="Arial"/>
          <w:sz w:val="20"/>
          <w:szCs w:val="20"/>
        </w:rPr>
      </w:pPr>
      <w:r w:rsidRPr="48425B6A">
        <w:rPr>
          <w:rFonts w:ascii="Arial" w:eastAsia="Arial" w:hAnsi="Arial" w:cs="Arial"/>
          <w:sz w:val="20"/>
          <w:szCs w:val="20"/>
        </w:rPr>
        <w:t xml:space="preserve">Patton, M. Q. (2002). </w:t>
      </w:r>
      <w:r w:rsidRPr="48425B6A">
        <w:rPr>
          <w:rFonts w:ascii="Arial" w:eastAsia="Arial" w:hAnsi="Arial" w:cs="Arial"/>
          <w:i/>
          <w:iCs/>
          <w:sz w:val="20"/>
          <w:szCs w:val="20"/>
        </w:rPr>
        <w:t xml:space="preserve">Qualitative Research and Evaluation Methods </w:t>
      </w:r>
      <w:r w:rsidRPr="48425B6A">
        <w:rPr>
          <w:rFonts w:ascii="Arial" w:eastAsia="Arial" w:hAnsi="Arial" w:cs="Arial"/>
          <w:sz w:val="20"/>
          <w:szCs w:val="20"/>
        </w:rPr>
        <w:t>(3</w:t>
      </w:r>
      <w:r w:rsidRPr="48425B6A">
        <w:rPr>
          <w:rFonts w:ascii="Arial" w:eastAsia="Arial" w:hAnsi="Arial" w:cs="Arial"/>
          <w:sz w:val="20"/>
          <w:szCs w:val="20"/>
          <w:vertAlign w:val="superscript"/>
        </w:rPr>
        <w:t>rd</w:t>
      </w:r>
      <w:r w:rsidRPr="48425B6A">
        <w:rPr>
          <w:rFonts w:ascii="Arial" w:eastAsia="Arial" w:hAnsi="Arial" w:cs="Arial"/>
          <w:sz w:val="20"/>
          <w:szCs w:val="20"/>
        </w:rPr>
        <w:t xml:space="preserve"> ed.). Thousand Oaks, CA: Sage. </w:t>
      </w:r>
    </w:p>
    <w:p w14:paraId="1B6E03CD" w14:textId="2AF69F6B" w:rsidR="21C3821A" w:rsidRDefault="21C3821A" w:rsidP="0066301C">
      <w:pPr>
        <w:spacing w:after="200"/>
        <w:jc w:val="both"/>
        <w:rPr>
          <w:rFonts w:ascii="Arial" w:eastAsia="Arial" w:hAnsi="Arial" w:cs="Arial"/>
          <w:sz w:val="20"/>
          <w:szCs w:val="20"/>
        </w:rPr>
      </w:pPr>
      <w:r w:rsidRPr="48425B6A">
        <w:rPr>
          <w:rFonts w:ascii="Arial" w:eastAsia="Arial" w:hAnsi="Arial" w:cs="Arial"/>
          <w:sz w:val="20"/>
          <w:szCs w:val="20"/>
        </w:rPr>
        <w:t xml:space="preserve">Richards, K. (2003). </w:t>
      </w:r>
      <w:r w:rsidRPr="48425B6A">
        <w:rPr>
          <w:rFonts w:ascii="Arial" w:eastAsia="Arial" w:hAnsi="Arial" w:cs="Arial"/>
          <w:i/>
          <w:iCs/>
          <w:sz w:val="20"/>
          <w:szCs w:val="20"/>
        </w:rPr>
        <w:t>Qualitative Inquiry in TESOL</w:t>
      </w:r>
      <w:r w:rsidRPr="48425B6A">
        <w:rPr>
          <w:rFonts w:ascii="Arial" w:eastAsia="Arial" w:hAnsi="Arial" w:cs="Arial"/>
          <w:sz w:val="20"/>
          <w:szCs w:val="20"/>
        </w:rPr>
        <w:t>. NY: Palgrave Macmillan.</w:t>
      </w:r>
    </w:p>
    <w:p w14:paraId="394E4E22" w14:textId="2393DFE9" w:rsidR="21C3821A" w:rsidRDefault="21C3821A" w:rsidP="0066301C">
      <w:pPr>
        <w:spacing w:after="200"/>
        <w:jc w:val="both"/>
        <w:rPr>
          <w:rFonts w:ascii="Arial" w:eastAsia="Arial" w:hAnsi="Arial" w:cs="Arial"/>
          <w:sz w:val="20"/>
          <w:szCs w:val="20"/>
        </w:rPr>
      </w:pPr>
      <w:r w:rsidRPr="48425B6A">
        <w:rPr>
          <w:rFonts w:ascii="Arial" w:eastAsia="Arial" w:hAnsi="Arial" w:cs="Arial"/>
          <w:sz w:val="20"/>
          <w:szCs w:val="20"/>
        </w:rPr>
        <w:t xml:space="preserve">Sarantakos, S. (2005). </w:t>
      </w:r>
      <w:r w:rsidRPr="48425B6A">
        <w:rPr>
          <w:rFonts w:ascii="Arial" w:eastAsia="Arial" w:hAnsi="Arial" w:cs="Arial"/>
          <w:i/>
          <w:iCs/>
          <w:sz w:val="20"/>
          <w:szCs w:val="20"/>
        </w:rPr>
        <w:t xml:space="preserve">Social Research, </w:t>
      </w:r>
      <w:r w:rsidRPr="48425B6A">
        <w:rPr>
          <w:rFonts w:ascii="Arial" w:eastAsia="Arial" w:hAnsi="Arial" w:cs="Arial"/>
          <w:sz w:val="20"/>
          <w:szCs w:val="20"/>
        </w:rPr>
        <w:t>(3</w:t>
      </w:r>
      <w:r w:rsidRPr="48425B6A">
        <w:rPr>
          <w:rFonts w:ascii="Arial" w:eastAsia="Arial" w:hAnsi="Arial" w:cs="Arial"/>
          <w:sz w:val="20"/>
          <w:szCs w:val="20"/>
          <w:vertAlign w:val="superscript"/>
        </w:rPr>
        <w:t>rd</w:t>
      </w:r>
      <w:r w:rsidRPr="48425B6A">
        <w:rPr>
          <w:rFonts w:ascii="Arial" w:eastAsia="Arial" w:hAnsi="Arial" w:cs="Arial"/>
          <w:sz w:val="20"/>
          <w:szCs w:val="20"/>
        </w:rPr>
        <w:t xml:space="preserve"> ed.). Melbourne Macmillan Education. </w:t>
      </w:r>
    </w:p>
    <w:p w14:paraId="5BBFAFA3" w14:textId="55C7860D" w:rsidR="21C3821A" w:rsidRDefault="21C3821A" w:rsidP="0066301C">
      <w:pPr>
        <w:spacing w:after="200"/>
        <w:jc w:val="both"/>
        <w:rPr>
          <w:rFonts w:ascii="Arial" w:eastAsia="Arial" w:hAnsi="Arial" w:cs="Arial"/>
          <w:color w:val="3A3A3A"/>
          <w:sz w:val="20"/>
          <w:szCs w:val="20"/>
        </w:rPr>
      </w:pPr>
      <w:r w:rsidRPr="48425B6A">
        <w:rPr>
          <w:rFonts w:ascii="Arial" w:eastAsia="Arial" w:hAnsi="Arial" w:cs="Arial"/>
          <w:color w:val="3A3A3A"/>
          <w:sz w:val="20"/>
          <w:szCs w:val="20"/>
        </w:rPr>
        <w:t>Saunders, M., Lewis, P., &amp; Thornhill, A. (2007). Research Methods for Business Students, (6th ed.) London: Pearson.</w:t>
      </w:r>
    </w:p>
    <w:p w14:paraId="567D08A3" w14:textId="19E975C7" w:rsidR="21C3821A" w:rsidRDefault="21C3821A" w:rsidP="0066301C">
      <w:pPr>
        <w:spacing w:after="200" w:line="360" w:lineRule="auto"/>
        <w:jc w:val="both"/>
        <w:rPr>
          <w:rFonts w:ascii="Arial" w:eastAsia="Arial" w:hAnsi="Arial" w:cs="Arial"/>
          <w:color w:val="000000" w:themeColor="text1"/>
          <w:sz w:val="20"/>
          <w:szCs w:val="20"/>
        </w:rPr>
      </w:pPr>
      <w:r w:rsidRPr="48425B6A">
        <w:rPr>
          <w:rFonts w:ascii="Arial" w:eastAsia="Arial" w:hAnsi="Arial" w:cs="Arial"/>
          <w:color w:val="000000" w:themeColor="text1"/>
          <w:sz w:val="20"/>
          <w:szCs w:val="20"/>
        </w:rPr>
        <w:t xml:space="preserve">Stake, R.E. (1995). </w:t>
      </w:r>
      <w:r w:rsidRPr="48425B6A">
        <w:rPr>
          <w:rFonts w:ascii="Arial" w:eastAsia="Arial" w:hAnsi="Arial" w:cs="Arial"/>
          <w:i/>
          <w:iCs/>
          <w:color w:val="000000" w:themeColor="text1"/>
          <w:sz w:val="20"/>
          <w:szCs w:val="20"/>
        </w:rPr>
        <w:t xml:space="preserve">The Art of Case Study Research. </w:t>
      </w:r>
      <w:r w:rsidRPr="48425B6A">
        <w:rPr>
          <w:rFonts w:ascii="Arial" w:eastAsia="Arial" w:hAnsi="Arial" w:cs="Arial"/>
          <w:color w:val="000000" w:themeColor="text1"/>
          <w:sz w:val="20"/>
          <w:szCs w:val="20"/>
        </w:rPr>
        <w:t>Thousand Oaks, CA: Sage Publications.</w:t>
      </w:r>
    </w:p>
    <w:p w14:paraId="5BC04E58" w14:textId="18CFF457" w:rsidR="21C3821A" w:rsidRDefault="21C3821A" w:rsidP="0066301C">
      <w:pPr>
        <w:spacing w:after="200"/>
        <w:jc w:val="both"/>
        <w:rPr>
          <w:rFonts w:ascii="Arial" w:eastAsia="Arial" w:hAnsi="Arial" w:cs="Arial"/>
          <w:sz w:val="20"/>
          <w:szCs w:val="20"/>
        </w:rPr>
      </w:pPr>
      <w:r w:rsidRPr="48425B6A">
        <w:rPr>
          <w:rFonts w:ascii="Arial" w:eastAsia="Arial" w:hAnsi="Arial" w:cs="Arial"/>
          <w:sz w:val="20"/>
          <w:szCs w:val="20"/>
        </w:rPr>
        <w:t xml:space="preserve">Thirlwall, A. P. and Gibson H. D. (1992). </w:t>
      </w:r>
      <w:r w:rsidRPr="48425B6A">
        <w:rPr>
          <w:rFonts w:ascii="Arial" w:eastAsia="Arial" w:hAnsi="Arial" w:cs="Arial"/>
          <w:i/>
          <w:iCs/>
          <w:sz w:val="20"/>
          <w:szCs w:val="20"/>
        </w:rPr>
        <w:t>Balance of Payment Theory and the United Kingdom Experience, 4ed.</w:t>
      </w:r>
      <w:r w:rsidRPr="48425B6A">
        <w:rPr>
          <w:rFonts w:ascii="Arial" w:eastAsia="Arial" w:hAnsi="Arial" w:cs="Arial"/>
          <w:sz w:val="20"/>
          <w:szCs w:val="20"/>
        </w:rPr>
        <w:t xml:space="preserve"> Macmillan Academic and Professional Ltd. </w:t>
      </w:r>
    </w:p>
    <w:p w14:paraId="3B7596B4" w14:textId="5A503DAA" w:rsidR="21C3821A" w:rsidRDefault="21C3821A" w:rsidP="0066301C">
      <w:pPr>
        <w:spacing w:after="200"/>
        <w:jc w:val="both"/>
        <w:rPr>
          <w:rFonts w:ascii="Arial" w:eastAsia="Arial" w:hAnsi="Arial" w:cs="Arial"/>
          <w:i/>
          <w:iCs/>
          <w:sz w:val="20"/>
          <w:szCs w:val="20"/>
        </w:rPr>
      </w:pPr>
      <w:r w:rsidRPr="48425B6A">
        <w:rPr>
          <w:rFonts w:ascii="Arial" w:eastAsia="Arial" w:hAnsi="Arial" w:cs="Arial"/>
          <w:sz w:val="20"/>
          <w:szCs w:val="20"/>
        </w:rPr>
        <w:t xml:space="preserve">Ve’gh, C. A. (2011). </w:t>
      </w:r>
      <w:r w:rsidRPr="48425B6A">
        <w:rPr>
          <w:rFonts w:ascii="Arial" w:eastAsia="Arial" w:hAnsi="Arial" w:cs="Arial"/>
          <w:i/>
          <w:iCs/>
          <w:sz w:val="20"/>
          <w:szCs w:val="20"/>
        </w:rPr>
        <w:t>Open Economy Macroeconomics in Developing Countries</w:t>
      </w:r>
      <w:r w:rsidRPr="48425B6A">
        <w:rPr>
          <w:rFonts w:ascii="Arial" w:eastAsia="Arial" w:hAnsi="Arial" w:cs="Arial"/>
          <w:sz w:val="20"/>
          <w:szCs w:val="20"/>
        </w:rPr>
        <w:t>. MIT Press</w:t>
      </w:r>
      <w:r w:rsidRPr="48425B6A">
        <w:rPr>
          <w:rFonts w:ascii="Arial" w:eastAsia="Arial" w:hAnsi="Arial" w:cs="Arial"/>
          <w:i/>
          <w:iCs/>
          <w:sz w:val="20"/>
          <w:szCs w:val="20"/>
        </w:rPr>
        <w:t xml:space="preserve">. </w:t>
      </w:r>
    </w:p>
    <w:p w14:paraId="79BA9E9F" w14:textId="414566A8" w:rsidR="21C3821A" w:rsidRDefault="21C3821A" w:rsidP="0066301C">
      <w:pPr>
        <w:spacing w:after="200"/>
        <w:jc w:val="both"/>
        <w:rPr>
          <w:rFonts w:ascii="Arial" w:eastAsia="Arial" w:hAnsi="Arial" w:cs="Arial"/>
          <w:i/>
          <w:iCs/>
          <w:sz w:val="20"/>
          <w:szCs w:val="20"/>
          <w:lang w:val="en-US"/>
        </w:rPr>
      </w:pPr>
      <w:r w:rsidRPr="48425B6A">
        <w:rPr>
          <w:rFonts w:ascii="Arial" w:eastAsia="Arial" w:hAnsi="Arial" w:cs="Arial"/>
          <w:sz w:val="20"/>
          <w:szCs w:val="20"/>
          <w:lang w:val="en-US"/>
        </w:rPr>
        <w:t xml:space="preserve">Von Neumann, J. and Morgenstern, O. (1944). </w:t>
      </w:r>
      <w:r w:rsidRPr="48425B6A">
        <w:rPr>
          <w:rFonts w:ascii="Arial" w:eastAsia="Arial" w:hAnsi="Arial" w:cs="Arial"/>
          <w:i/>
          <w:iCs/>
          <w:sz w:val="20"/>
          <w:szCs w:val="20"/>
          <w:lang w:val="en-US"/>
        </w:rPr>
        <w:t>Theory of Game and Economic Behavior,</w:t>
      </w:r>
      <w:r w:rsidRPr="48425B6A">
        <w:rPr>
          <w:rFonts w:ascii="Arial" w:eastAsia="Arial" w:hAnsi="Arial" w:cs="Arial"/>
          <w:sz w:val="20"/>
          <w:szCs w:val="20"/>
          <w:lang w:val="en-US"/>
        </w:rPr>
        <w:t xml:space="preserve"> Princeton University Press.</w:t>
      </w:r>
      <w:r w:rsidRPr="48425B6A">
        <w:rPr>
          <w:rFonts w:ascii="Arial" w:eastAsia="Arial" w:hAnsi="Arial" w:cs="Arial"/>
          <w:i/>
          <w:iCs/>
          <w:sz w:val="20"/>
          <w:szCs w:val="20"/>
          <w:lang w:val="en-US"/>
        </w:rPr>
        <w:t xml:space="preserve"> </w:t>
      </w:r>
    </w:p>
    <w:p w14:paraId="30EE84D0" w14:textId="7750E8C6" w:rsidR="21C3821A" w:rsidRDefault="21C3821A" w:rsidP="0066301C">
      <w:pPr>
        <w:spacing w:after="200" w:line="276" w:lineRule="auto"/>
        <w:jc w:val="both"/>
        <w:rPr>
          <w:rFonts w:ascii="Arial" w:eastAsia="Arial" w:hAnsi="Arial" w:cs="Arial"/>
          <w:sz w:val="20"/>
          <w:szCs w:val="20"/>
        </w:rPr>
      </w:pPr>
      <w:r w:rsidRPr="48425B6A">
        <w:rPr>
          <w:rFonts w:ascii="Arial" w:eastAsia="Arial" w:hAnsi="Arial" w:cs="Arial"/>
          <w:sz w:val="20"/>
          <w:szCs w:val="20"/>
        </w:rPr>
        <w:t xml:space="preserve">Williamson, J. (1994). </w:t>
      </w:r>
      <w:r w:rsidRPr="48425B6A">
        <w:rPr>
          <w:rFonts w:ascii="Arial" w:eastAsia="Arial" w:hAnsi="Arial" w:cs="Arial"/>
          <w:i/>
          <w:iCs/>
          <w:sz w:val="20"/>
          <w:szCs w:val="20"/>
        </w:rPr>
        <w:t>Estimating Equilibrium Exchange Rates.</w:t>
      </w:r>
      <w:r w:rsidRPr="48425B6A">
        <w:rPr>
          <w:rFonts w:ascii="Arial" w:eastAsia="Arial" w:hAnsi="Arial" w:cs="Arial"/>
          <w:sz w:val="20"/>
          <w:szCs w:val="20"/>
        </w:rPr>
        <w:t xml:space="preserve"> Washington, D.C.: institute for International Economics.</w:t>
      </w:r>
    </w:p>
    <w:p w14:paraId="04C5B4FD" w14:textId="2CD2CB16" w:rsidR="00027027" w:rsidRPr="00ED75E1" w:rsidRDefault="007121EE" w:rsidP="0066301C">
      <w:pPr>
        <w:spacing w:after="200" w:line="276" w:lineRule="auto"/>
        <w:jc w:val="both"/>
        <w:rPr>
          <w:rFonts w:ascii="Arial" w:eastAsia="Arial" w:hAnsi="Arial" w:cs="Arial"/>
          <w:sz w:val="20"/>
          <w:szCs w:val="20"/>
        </w:rPr>
      </w:pPr>
      <w:r>
        <w:rPr>
          <w:rFonts w:ascii="Arial" w:eastAsia="Arial" w:hAnsi="Arial" w:cs="Arial"/>
          <w:sz w:val="20"/>
          <w:szCs w:val="20"/>
        </w:rPr>
        <w:t xml:space="preserve">Williamson, J. (1983). </w:t>
      </w:r>
      <w:r w:rsidRPr="001C5D9C">
        <w:rPr>
          <w:rFonts w:ascii="Arial" w:eastAsia="Arial" w:hAnsi="Arial" w:cs="Arial"/>
          <w:i/>
          <w:iCs/>
          <w:sz w:val="20"/>
          <w:szCs w:val="20"/>
        </w:rPr>
        <w:t>The Exchange Rate System</w:t>
      </w:r>
      <w:r w:rsidR="00ED75E1" w:rsidRPr="001C5D9C">
        <w:rPr>
          <w:rFonts w:ascii="Arial" w:eastAsia="Arial" w:hAnsi="Arial" w:cs="Arial"/>
          <w:i/>
          <w:iCs/>
          <w:sz w:val="20"/>
          <w:szCs w:val="20"/>
        </w:rPr>
        <w:t>.</w:t>
      </w:r>
      <w:r w:rsidR="00ED75E1">
        <w:rPr>
          <w:rFonts w:ascii="Arial" w:eastAsia="Arial" w:hAnsi="Arial" w:cs="Arial"/>
          <w:i/>
          <w:iCs/>
          <w:sz w:val="20"/>
          <w:szCs w:val="20"/>
        </w:rPr>
        <w:t xml:space="preserve"> </w:t>
      </w:r>
      <w:r w:rsidR="00ED75E1" w:rsidRPr="001C5D9C">
        <w:rPr>
          <w:rFonts w:ascii="Arial" w:eastAsia="Arial" w:hAnsi="Arial" w:cs="Arial"/>
          <w:sz w:val="20"/>
          <w:szCs w:val="20"/>
        </w:rPr>
        <w:t>Institute of International Economics</w:t>
      </w:r>
      <w:r w:rsidR="001C5D9C">
        <w:rPr>
          <w:rFonts w:ascii="Arial" w:eastAsia="Arial" w:hAnsi="Arial" w:cs="Arial"/>
          <w:sz w:val="20"/>
          <w:szCs w:val="20"/>
        </w:rPr>
        <w:t>, 2</w:t>
      </w:r>
      <w:r w:rsidR="001C5D9C" w:rsidRPr="001C5D9C">
        <w:rPr>
          <w:rFonts w:ascii="Arial" w:eastAsia="Arial" w:hAnsi="Arial" w:cs="Arial"/>
          <w:sz w:val="20"/>
          <w:szCs w:val="20"/>
          <w:vertAlign w:val="superscript"/>
        </w:rPr>
        <w:t>nd</w:t>
      </w:r>
      <w:r w:rsidR="001C5D9C">
        <w:rPr>
          <w:rFonts w:ascii="Arial" w:eastAsia="Arial" w:hAnsi="Arial" w:cs="Arial"/>
          <w:sz w:val="20"/>
          <w:szCs w:val="20"/>
        </w:rPr>
        <w:t xml:space="preserve"> ed. </w:t>
      </w:r>
    </w:p>
    <w:p w14:paraId="5051C9AE" w14:textId="43E8CAFD" w:rsidR="21C3821A" w:rsidRDefault="21C3821A" w:rsidP="0066301C">
      <w:pPr>
        <w:spacing w:after="200" w:line="276" w:lineRule="auto"/>
        <w:jc w:val="both"/>
        <w:rPr>
          <w:rFonts w:ascii="Arial" w:eastAsia="Arial" w:hAnsi="Arial" w:cs="Arial"/>
          <w:i/>
          <w:iCs/>
          <w:sz w:val="20"/>
          <w:szCs w:val="20"/>
        </w:rPr>
      </w:pPr>
      <w:r w:rsidRPr="48425B6A">
        <w:rPr>
          <w:rFonts w:ascii="Arial" w:eastAsia="Arial" w:hAnsi="Arial" w:cs="Arial"/>
          <w:sz w:val="20"/>
          <w:szCs w:val="20"/>
        </w:rPr>
        <w:t xml:space="preserve">Wooldridge, J.M (2009). </w:t>
      </w:r>
      <w:r w:rsidRPr="48425B6A">
        <w:rPr>
          <w:rFonts w:ascii="Arial" w:eastAsia="Arial" w:hAnsi="Arial" w:cs="Arial"/>
          <w:i/>
          <w:iCs/>
          <w:sz w:val="20"/>
          <w:szCs w:val="20"/>
        </w:rPr>
        <w:t>Introductory Econometrics: A Modern Approach, 4ed.</w:t>
      </w:r>
    </w:p>
    <w:p w14:paraId="717AD7EE" w14:textId="77777777" w:rsidR="003F51A1" w:rsidRPr="003F51A1" w:rsidRDefault="003F51A1" w:rsidP="003F51A1">
      <w:pPr>
        <w:pStyle w:val="NoSpacing"/>
        <w:rPr>
          <w:rFonts w:ascii="Arial" w:hAnsi="Arial" w:cs="Arial"/>
          <w:color w:val="333333"/>
          <w:kern w:val="2"/>
          <w:sz w:val="20"/>
          <w:szCs w:val="20"/>
          <w:shd w:val="clear" w:color="auto" w:fill="FFFFFF"/>
        </w:rPr>
      </w:pPr>
      <w:r w:rsidRPr="003F51A1">
        <w:rPr>
          <w:rFonts w:ascii="Arial" w:hAnsi="Arial" w:cs="Arial"/>
          <w:sz w:val="20"/>
          <w:szCs w:val="20"/>
          <w:lang w:eastAsia="en-GB"/>
        </w:rPr>
        <w:t xml:space="preserve">Wren-Lewis, S. (1998). Real Exchange Rates for the Year 2000 (Policy Analyses in International Economics). </w:t>
      </w:r>
      <w:r w:rsidRPr="003F51A1">
        <w:rPr>
          <w:rFonts w:ascii="Arial" w:hAnsi="Arial" w:cs="Arial"/>
          <w:i/>
          <w:iCs/>
          <w:sz w:val="20"/>
          <w:szCs w:val="20"/>
          <w:lang w:eastAsia="en-GB"/>
        </w:rPr>
        <w:t>Institute for International Economics</w:t>
      </w:r>
      <w:r w:rsidRPr="003F51A1">
        <w:rPr>
          <w:rFonts w:ascii="Arial" w:hAnsi="Arial" w:cs="Arial"/>
          <w:sz w:val="20"/>
          <w:szCs w:val="20"/>
          <w:lang w:eastAsia="en-GB"/>
        </w:rPr>
        <w:t xml:space="preserve">. </w:t>
      </w:r>
    </w:p>
    <w:p w14:paraId="5C0CC8A9" w14:textId="77777777" w:rsidR="003F51A1" w:rsidRDefault="003F51A1" w:rsidP="0066301C">
      <w:pPr>
        <w:spacing w:after="200" w:line="276" w:lineRule="auto"/>
        <w:jc w:val="both"/>
        <w:rPr>
          <w:rFonts w:ascii="Arial" w:eastAsia="Arial" w:hAnsi="Arial" w:cs="Arial"/>
          <w:i/>
          <w:iCs/>
          <w:sz w:val="20"/>
          <w:szCs w:val="20"/>
        </w:rPr>
      </w:pPr>
    </w:p>
    <w:p w14:paraId="6090B15D" w14:textId="00F770DD" w:rsidR="48425B6A" w:rsidRDefault="48425B6A" w:rsidP="0066301C">
      <w:pPr>
        <w:spacing w:line="257" w:lineRule="auto"/>
        <w:jc w:val="both"/>
        <w:rPr>
          <w:rFonts w:ascii="Arial" w:eastAsia="Arial" w:hAnsi="Arial" w:cs="Arial"/>
          <w:sz w:val="20"/>
          <w:szCs w:val="20"/>
        </w:rPr>
      </w:pPr>
    </w:p>
    <w:bookmarkEnd w:id="539"/>
    <w:p w14:paraId="3837B7D6" w14:textId="77777777" w:rsidR="00A97848" w:rsidRDefault="00A97848" w:rsidP="0066301C">
      <w:pPr>
        <w:rPr>
          <w:rFonts w:ascii="Arial" w:hAnsi="Arial" w:cs="Arial"/>
          <w:b/>
          <w:sz w:val="32"/>
          <w:szCs w:val="32"/>
        </w:rPr>
      </w:pPr>
    </w:p>
    <w:sectPr w:rsidR="00A97848">
      <w:headerReference w:type="default" r:id="rId188"/>
      <w:footerReference w:type="default" r:id="rId189"/>
      <w:pgSz w:w="11906" w:h="16838"/>
      <w:pgMar w:top="1440" w:right="1440" w:bottom="1440" w:left="1440" w:header="708" w:footer="708" w:gutter="0"/>
      <w:cols w:space="708"/>
      <w:docGrid w:linePitch="360"/>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endnote w:type="separator" w:id="-1">
    <w:p w14:paraId="15C91299" w14:textId="77777777" w:rsidR="002A3B3C" w:rsidRDefault="002A3B3C" w:rsidP="009930F3">
      <w:pPr>
        <w:spacing w:after="0" w:line="240" w:lineRule="auto"/>
      </w:pPr>
      <w:r>
        <w:separator/>
      </w:r>
    </w:p>
  </w:endnote>
  <w:endnote w:type="continuationSeparator" w:id="0">
    <w:p w14:paraId="3DC77C56" w14:textId="77777777" w:rsidR="002A3B3C" w:rsidRDefault="002A3B3C" w:rsidP="009930F3">
      <w:pPr>
        <w:spacing w:after="0" w:line="240" w:lineRule="auto"/>
      </w:pPr>
      <w:r>
        <w:continuationSeparator/>
      </w:r>
    </w:p>
  </w:endnote>
  <w:endnote w:type="continuationNotice" w:id="1">
    <w:p w14:paraId="0F11B9EB" w14:textId="77777777" w:rsidR="002A3B3C" w:rsidRDefault="002A3B3C">
      <w:pPr>
        <w:spacing w:after="0" w:line="240" w:lineRule="auto"/>
      </w:pP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mc:Ignorable="w14 w15 w16se w16cid w16 w16cex w16sdtdh w16du">
  <w:font w:name="Times New Roman">
    <w:panose1 w:val="02020603050405020304"/>
    <w:charset w:val="00"/>
    <w:family w:val="roman"/>
    <w:pitch w:val="variable"/>
    <w:sig w:usb0="E0002EFF" w:usb1="C000785B" w:usb2="00000009" w:usb3="00000000" w:csb0="000001FF" w:csb1="00000000"/>
  </w:font>
  <w:font w:name="Symbol">
    <w:panose1 w:val="05050102010706020507"/>
    <w:charset w:val="02"/>
    <w:family w:val="roman"/>
    <w:pitch w:val="variable"/>
    <w:sig w:usb0="00000000" w:usb1="10000000" w:usb2="00000000" w:usb3="00000000" w:csb0="80000000" w:csb1="00000000"/>
  </w:font>
  <w:font w:name="Courier New">
    <w:panose1 w:val="02070309020205020404"/>
    <w:charset w:val="00"/>
    <w:family w:val="modern"/>
    <w:pitch w:val="fixed"/>
    <w:sig w:usb0="E0002E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Calibri">
    <w:panose1 w:val="020F0502020204030204"/>
    <w:charset w:val="00"/>
    <w:family w:val="swiss"/>
    <w:pitch w:val="variable"/>
    <w:sig w:usb0="E4002EFF" w:usb1="C200247B" w:usb2="00000009" w:usb3="00000000" w:csb0="000001FF" w:csb1="00000000"/>
  </w:font>
  <w:font w:name="Arial">
    <w:panose1 w:val="020B0604020202020204"/>
    <w:charset w:val="00"/>
    <w:family w:val="swiss"/>
    <w:pitch w:val="variable"/>
    <w:sig w:usb0="E0002EFF" w:usb1="C000785B" w:usb2="00000009" w:usb3="00000000" w:csb0="000001FF" w:csb1="00000000"/>
  </w:font>
  <w:font w:name="Yu Gothic Light">
    <w:altName w:val="游ゴシック Light"/>
    <w:panose1 w:val="020B0300000000000000"/>
    <w:charset w:val="80"/>
    <w:family w:val="swiss"/>
    <w:pitch w:val="variable"/>
    <w:sig w:usb0="E00002FF" w:usb1="2AC7FDFF" w:usb2="00000016" w:usb3="00000000" w:csb0="0002009F" w:csb1="00000000"/>
  </w:font>
  <w:font w:name="Calibri Light">
    <w:panose1 w:val="020F0302020204030204"/>
    <w:charset w:val="00"/>
    <w:family w:val="swiss"/>
    <w:pitch w:val="variable"/>
    <w:sig w:usb0="E4002EFF" w:usb1="C200247B" w:usb2="00000009" w:usb3="00000000" w:csb0="000001FF" w:csb1="00000000"/>
  </w:font>
  <w:font w:name="Tahoma">
    <w:panose1 w:val="020B0604030504040204"/>
    <w:charset w:val="00"/>
    <w:family w:val="swiss"/>
    <w:pitch w:val="variable"/>
    <w:sig w:usb0="E1002EFF" w:usb1="C000605B" w:usb2="00000029" w:usb3="00000000" w:csb0="000101FF" w:csb1="00000000"/>
  </w:font>
  <w:font w:name="Yu Mincho">
    <w:altName w:val="游明朝"/>
    <w:charset w:val="80"/>
    <w:family w:val="roman"/>
    <w:pitch w:val="variable"/>
    <w:sig w:usb0="800002E7" w:usb1="2AC7FCFF" w:usb2="00000012" w:usb3="00000000" w:csb0="0002009F" w:csb1="00000000"/>
  </w:font>
  <w:font w:name="Cambria Math">
    <w:panose1 w:val="02040503050406030204"/>
    <w:charset w:val="00"/>
    <w:family w:val="roman"/>
    <w:pitch w:val="variable"/>
    <w:sig w:usb0="E00006FF" w:usb1="420024FF" w:usb2="02000000" w:usb3="00000000" w:csb0="0000019F" w:csb1="00000000"/>
  </w:font>
  <w:font w:name="Segoe UI Symbol">
    <w:panose1 w:val="020B0502040204020203"/>
    <w:charset w:val="00"/>
    <w:family w:val="swiss"/>
    <w:pitch w:val="variable"/>
    <w:sig w:usb0="800001E3" w:usb1="1200FFEF" w:usb2="00040000" w:usb3="00000000" w:csb0="00000001" w:csb1="00000000"/>
  </w:font>
</w:fonts>
</file>

<file path=word/footer1.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p w14:paraId="407997FB" w14:textId="77777777" w:rsidR="00F41E4D" w:rsidRDefault="00F41E4D">
    <w:pPr>
      <w:pStyle w:val="Footer"/>
      <w:jc w:val="center"/>
    </w:pPr>
  </w:p>
  <w:p w14:paraId="13C845AA" w14:textId="77777777" w:rsidR="00F41E4D" w:rsidRPr="00B05F87" w:rsidRDefault="00F41E4D" w:rsidP="003E7341">
    <w:pPr>
      <w:pStyle w:val="Footer"/>
    </w:pPr>
  </w:p>
</w:ftr>
</file>

<file path=word/footer2.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p w14:paraId="7FC3219F" w14:textId="77777777" w:rsidR="00F41E4D" w:rsidRDefault="00F41E4D" w:rsidP="008C1458">
    <w:pPr>
      <w:pStyle w:val="Footer"/>
      <w:jc w:val="center"/>
    </w:pPr>
    <w:r>
      <w:t>251</w:t>
    </w:r>
  </w:p>
  <w:p w14:paraId="7BEDD442" w14:textId="77777777" w:rsidR="00F41E4D" w:rsidRDefault="00F41E4D">
    <w:pPr>
      <w:pStyle w:val="Footer"/>
    </w:pPr>
  </w:p>
</w:ftr>
</file>

<file path=word/footer3.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sdt>
    <w:sdtPr>
      <w:id w:val="767968821"/>
      <w:docPartObj>
        <w:docPartGallery w:val="Page Numbers (Bottom of Page)"/>
        <w:docPartUnique/>
      </w:docPartObj>
    </w:sdtPr>
    <w:sdtEndPr>
      <w:rPr>
        <w:noProof/>
      </w:rPr>
    </w:sdtEndPr>
    <w:sdtContent>
      <w:p w14:paraId="418BF14A" w14:textId="77777777" w:rsidR="00F41E4D" w:rsidRDefault="00F41E4D">
        <w:pPr>
          <w:pStyle w:val="Footer"/>
          <w:jc w:val="center"/>
        </w:pPr>
        <w:r>
          <w:fldChar w:fldCharType="begin"/>
        </w:r>
        <w:r>
          <w:instrText xml:space="preserve"> PAGE   \* MERGEFORMAT </w:instrText>
        </w:r>
        <w:r>
          <w:fldChar w:fldCharType="separate"/>
        </w:r>
        <w:r>
          <w:rPr>
            <w:noProof/>
          </w:rPr>
          <w:t>223</w:t>
        </w:r>
        <w:r>
          <w:rPr>
            <w:noProof/>
          </w:rPr>
          <w:fldChar w:fldCharType="end"/>
        </w:r>
      </w:p>
    </w:sdtContent>
  </w:sdt>
  <w:p w14:paraId="30B47DF3" w14:textId="77777777" w:rsidR="00F41E4D" w:rsidRDefault="00F41E4D">
    <w:pPr>
      <w:pStyle w:val="Footer"/>
    </w:pPr>
  </w:p>
</w:ftr>
</file>

<file path=word/footer4.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sdt>
    <w:sdtPr>
      <w:id w:val="-482469365"/>
      <w:docPartObj>
        <w:docPartGallery w:val="Page Numbers (Bottom of Page)"/>
        <w:docPartUnique/>
      </w:docPartObj>
    </w:sdtPr>
    <w:sdtEndPr>
      <w:rPr>
        <w:noProof/>
      </w:rPr>
    </w:sdtEndPr>
    <w:sdtContent>
      <w:p w14:paraId="3AE4794C" w14:textId="77777777" w:rsidR="00DC0C2A" w:rsidRDefault="00DC0C2A">
        <w:pPr>
          <w:pStyle w:val="Footer"/>
          <w:jc w:val="center"/>
        </w:pPr>
        <w:r>
          <w:fldChar w:fldCharType="begin"/>
        </w:r>
        <w:r>
          <w:instrText xml:space="preserve"> PAGE   \* MERGEFORMAT </w:instrText>
        </w:r>
        <w:r>
          <w:fldChar w:fldCharType="separate"/>
        </w:r>
        <w:r>
          <w:rPr>
            <w:noProof/>
          </w:rPr>
          <w:t>1</w:t>
        </w:r>
        <w:r>
          <w:rPr>
            <w:noProof/>
          </w:rPr>
          <w:fldChar w:fldCharType="end"/>
        </w:r>
      </w:p>
    </w:sdtContent>
  </w:sdt>
  <w:p w14:paraId="6A0E271D" w14:textId="77777777" w:rsidR="00DC0C2A" w:rsidRPr="00B05F87" w:rsidRDefault="00DC0C2A" w:rsidP="004D74AB">
    <w:pPr>
      <w:pStyle w:val="Footer"/>
    </w:pPr>
  </w:p>
</w:ftr>
</file>

<file path=word/footer5.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sdt>
    <w:sdtPr>
      <w:id w:val="-2042880940"/>
      <w:docPartObj>
        <w:docPartGallery w:val="Page Numbers (Bottom of Page)"/>
        <w:docPartUnique/>
      </w:docPartObj>
    </w:sdtPr>
    <w:sdtEndPr>
      <w:rPr>
        <w:noProof/>
      </w:rPr>
    </w:sdtEndPr>
    <w:sdtContent>
      <w:p w14:paraId="7FA0DE9C" w14:textId="77777777" w:rsidR="00CB7BB1" w:rsidRDefault="00CB7BB1">
        <w:pPr>
          <w:pStyle w:val="Footer"/>
          <w:jc w:val="center"/>
        </w:pPr>
        <w:r>
          <w:fldChar w:fldCharType="begin"/>
        </w:r>
        <w:r>
          <w:instrText xml:space="preserve"> PAGE   \* MERGEFORMAT </w:instrText>
        </w:r>
        <w:r>
          <w:fldChar w:fldCharType="separate"/>
        </w:r>
        <w:r>
          <w:rPr>
            <w:noProof/>
          </w:rPr>
          <w:t>223</w:t>
        </w:r>
        <w:r>
          <w:rPr>
            <w:noProof/>
          </w:rPr>
          <w:fldChar w:fldCharType="end"/>
        </w:r>
      </w:p>
    </w:sdtContent>
  </w:sdt>
  <w:p w14:paraId="5988FDF5" w14:textId="77777777" w:rsidR="00CB7BB1" w:rsidRDefault="00CB7BB1">
    <w:pPr>
      <w:pStyle w:val="Footer"/>
    </w:pPr>
  </w:p>
</w:ftr>
</file>

<file path=word/footer6.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sdt>
    <w:sdtPr>
      <w:id w:val="648709349"/>
      <w:docPartObj>
        <w:docPartGallery w:val="Page Numbers (Bottom of Page)"/>
        <w:docPartUnique/>
      </w:docPartObj>
    </w:sdtPr>
    <w:sdtEndPr>
      <w:rPr>
        <w:noProof/>
      </w:rPr>
    </w:sdtEndPr>
    <w:sdtContent>
      <w:p w14:paraId="093715CE" w14:textId="77777777" w:rsidR="00F41E4D" w:rsidRDefault="00F41E4D">
        <w:pPr>
          <w:pStyle w:val="Footer"/>
          <w:jc w:val="center"/>
        </w:pPr>
        <w:r>
          <w:fldChar w:fldCharType="begin"/>
        </w:r>
        <w:r>
          <w:instrText xml:space="preserve"> PAGE   \* MERGEFORMAT </w:instrText>
        </w:r>
        <w:r>
          <w:fldChar w:fldCharType="separate"/>
        </w:r>
        <w:r>
          <w:rPr>
            <w:noProof/>
          </w:rPr>
          <w:t>257</w:t>
        </w:r>
        <w:r>
          <w:rPr>
            <w:noProof/>
          </w:rPr>
          <w:fldChar w:fldCharType="end"/>
        </w:r>
      </w:p>
    </w:sdtContent>
  </w:sdt>
  <w:p w14:paraId="214C28D3" w14:textId="77777777" w:rsidR="00F41E4D" w:rsidRDefault="00F41E4D">
    <w:pPr>
      <w:pStyle w:val="Footer"/>
    </w:pPr>
  </w:p>
</w:ftr>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footnote w:type="separator" w:id="-1">
    <w:p w14:paraId="31062713" w14:textId="77777777" w:rsidR="002A3B3C" w:rsidRDefault="002A3B3C" w:rsidP="009930F3">
      <w:pPr>
        <w:spacing w:after="0" w:line="240" w:lineRule="auto"/>
      </w:pPr>
      <w:r>
        <w:separator/>
      </w:r>
    </w:p>
  </w:footnote>
  <w:footnote w:type="continuationSeparator" w:id="0">
    <w:p w14:paraId="61C1038B" w14:textId="77777777" w:rsidR="002A3B3C" w:rsidRDefault="002A3B3C" w:rsidP="009930F3">
      <w:pPr>
        <w:spacing w:after="0" w:line="240" w:lineRule="auto"/>
      </w:pPr>
      <w:r>
        <w:continuationSeparator/>
      </w:r>
    </w:p>
  </w:footnote>
  <w:footnote w:type="continuationNotice" w:id="1">
    <w:p w14:paraId="77251549" w14:textId="77777777" w:rsidR="002A3B3C" w:rsidRDefault="002A3B3C">
      <w:pPr>
        <w:spacing w:after="0" w:line="240" w:lineRule="auto"/>
      </w:pPr>
    </w:p>
  </w:footnote>
  <w:footnote w:id="2">
    <w:p w14:paraId="783EDCCF" w14:textId="77777777" w:rsidR="00F41E4D" w:rsidRDefault="00F41E4D" w:rsidP="004F5EB9">
      <w:pPr>
        <w:pStyle w:val="FootnoteText"/>
        <w:jc w:val="both"/>
      </w:pPr>
      <w:r>
        <w:rPr>
          <w:rStyle w:val="FootnoteReference"/>
        </w:rPr>
        <w:footnoteRef/>
      </w:r>
      <w:r>
        <w:t xml:space="preserve"> </w:t>
      </w:r>
      <w:r w:rsidRPr="0006460C">
        <w:rPr>
          <w:rStyle w:val="Emphasis"/>
          <w:rFonts w:ascii="Arial" w:hAnsi="Arial" w:cs="Arial"/>
          <w:color w:val="0E101A"/>
        </w:rPr>
        <w:t>This is predominantly important for African nations, most of whom are small open economies striving to offer their citizens the opportunities to ameliorate their quality and standard of living via employment and productivity gains (Ramirez and Tsangarides, 2007). </w:t>
      </w:r>
    </w:p>
  </w:footnote>
  <w:footnote w:id="3">
    <w:p w14:paraId="1EA9E078" w14:textId="77777777" w:rsidR="00F41E4D" w:rsidRPr="0006460C" w:rsidRDefault="00F41E4D" w:rsidP="004F5EB9">
      <w:pPr>
        <w:pStyle w:val="NormalWeb"/>
        <w:spacing w:before="0" w:beforeAutospacing="0" w:after="0" w:afterAutospacing="0" w:line="276" w:lineRule="auto"/>
        <w:jc w:val="both"/>
        <w:rPr>
          <w:rFonts w:ascii="Arial" w:hAnsi="Arial" w:cs="Arial"/>
          <w:color w:val="0E101A"/>
          <w:sz w:val="20"/>
          <w:szCs w:val="20"/>
        </w:rPr>
      </w:pPr>
      <w:r>
        <w:rPr>
          <w:rStyle w:val="FootnoteReference"/>
        </w:rPr>
        <w:footnoteRef/>
      </w:r>
      <w:r>
        <w:t xml:space="preserve"> </w:t>
      </w:r>
      <w:r w:rsidRPr="0006460C">
        <w:rPr>
          <w:rStyle w:val="Emphasis"/>
          <w:rFonts w:ascii="Arial" w:hAnsi="Arial" w:cs="Arial"/>
          <w:color w:val="0E101A"/>
          <w:sz w:val="20"/>
          <w:szCs w:val="20"/>
        </w:rPr>
        <w:t>When the misalignment is above the equilibrium value, the currency is overvalued, and when it is below the equilibrium value, it is said to be undervalued.</w:t>
      </w:r>
    </w:p>
  </w:footnote>
  <w:footnote w:id="4">
    <w:p w14:paraId="76152B64" w14:textId="77777777" w:rsidR="00F41E4D" w:rsidRDefault="00F41E4D" w:rsidP="004F5EB9">
      <w:pPr>
        <w:pStyle w:val="FootnoteText"/>
        <w:jc w:val="both"/>
      </w:pPr>
      <w:r>
        <w:rPr>
          <w:rStyle w:val="FootnoteReference"/>
        </w:rPr>
        <w:footnoteRef/>
      </w:r>
      <w:r>
        <w:t xml:space="preserve"> </w:t>
      </w:r>
      <w:r w:rsidRPr="0006460C">
        <w:rPr>
          <w:rStyle w:val="Emphasis"/>
          <w:rFonts w:ascii="Arial" w:hAnsi="Arial" w:cs="Arial"/>
          <w:color w:val="0E101A"/>
        </w:rPr>
        <w:t>On 19th May 1997, the Thai Baht was hit by massive speculative attacks because it was not devalued and lacked the foreign reserves to support the USD-Baht currency peg. As such, the Thai government was forced to float the Baht on 2nd July 1997, allowing the value of the Baht to be set by the currency market. This eventually caused a chain reaction of events into a region-wide crisis affecting Indonesia, South Korea, Philippines, Hong Kong, Malaysia, Japan, and Singapore. </w:t>
      </w:r>
    </w:p>
  </w:footnote>
  <w:footnote w:id="5">
    <w:p w14:paraId="252E8654" w14:textId="77777777" w:rsidR="00F41E4D" w:rsidRDefault="00F41E4D" w:rsidP="004F5EB9">
      <w:pPr>
        <w:pStyle w:val="FootnoteText"/>
        <w:jc w:val="both"/>
      </w:pPr>
      <w:r>
        <w:rPr>
          <w:rStyle w:val="FootnoteReference"/>
        </w:rPr>
        <w:footnoteRef/>
      </w:r>
      <w:r>
        <w:t xml:space="preserve"> </w:t>
      </w:r>
      <w:r w:rsidRPr="0006460C">
        <w:rPr>
          <w:rStyle w:val="Emphasis"/>
          <w:rFonts w:ascii="Arial" w:hAnsi="Arial" w:cs="Arial"/>
          <w:color w:val="0E101A"/>
        </w:rPr>
        <w:t>This is because when a currency is devalued, the domestic exporter will benefit from exports getting cheaper (competitive), thereby increasing their sales and returns. This boosts their product demand and could result in job creation in the export sector of the economy. Also, a high export could improve the nation's current account deficit, especially if the deficit is due to the absence of competitiveness. Thus, high export and aggregate demand (AD) could result in high economic growth. Contrarily, a currency devaluation could have some setbacks to a nation because it is likely to result in inflation: much money getting into the economy due to the much export sales will increase aggregate demand relative to aggregate supply (AS), resulting in demand-pull inflation. Simultaneously, a devaluation will cause imports to be much more expensive (imported raw materials and semi-finish goods will increase in price), thereby increasing the cost of production. This eventually results in a cost-push inflation, increasing the cost of living and impoverishing the population. In addition, because it is difficult for developing nations to borrow in their currency from the international market "original sin" – as stated by Eichengreen and Hausmann (1999), they are compelled to borrow in foreign currencies. With a devaluation, the cost of borrowing becomes much more expensive, increasing production costs and dependency on developed nations.</w:t>
      </w:r>
    </w:p>
  </w:footnote>
  <w:footnote w:id="6">
    <w:p w14:paraId="04E406AE" w14:textId="77777777" w:rsidR="00F41E4D" w:rsidRDefault="00F41E4D" w:rsidP="004F5EB9">
      <w:pPr>
        <w:pStyle w:val="NormalWeb"/>
        <w:spacing w:before="0" w:beforeAutospacing="0" w:after="0" w:afterAutospacing="0"/>
        <w:jc w:val="both"/>
      </w:pPr>
      <w:r>
        <w:rPr>
          <w:rStyle w:val="FootnoteReference"/>
        </w:rPr>
        <w:footnoteRef/>
      </w:r>
      <w:r>
        <w:t xml:space="preserve"> </w:t>
      </w:r>
      <w:r w:rsidRPr="0006460C">
        <w:rPr>
          <w:rStyle w:val="Emphasis"/>
          <w:rFonts w:ascii="Arial" w:hAnsi="Arial" w:cs="Arial"/>
          <w:color w:val="0E101A"/>
          <w:sz w:val="20"/>
          <w:szCs w:val="20"/>
        </w:rPr>
        <w:t>SMART is a well-established tool used to plan and achieve goals and is the acronym for Specific, Measurable, Achievable, Relevant, and Time-bound.</w:t>
      </w:r>
    </w:p>
  </w:footnote>
  <w:footnote w:id="7">
    <w:p w14:paraId="3AE10399" w14:textId="77777777" w:rsidR="00F41E4D" w:rsidRDefault="00F41E4D" w:rsidP="004F5EB9">
      <w:pPr>
        <w:pStyle w:val="FootnoteText"/>
        <w:jc w:val="both"/>
      </w:pPr>
      <w:r>
        <w:rPr>
          <w:rStyle w:val="FootnoteReference"/>
        </w:rPr>
        <w:footnoteRef/>
      </w:r>
      <w:r>
        <w:t xml:space="preserve"> </w:t>
      </w:r>
      <w:r w:rsidRPr="0006460C">
        <w:rPr>
          <w:rStyle w:val="Emphasis"/>
          <w:rFonts w:ascii="Arial" w:hAnsi="Arial" w:cs="Arial"/>
          <w:color w:val="0E101A"/>
        </w:rPr>
        <w:t>Looking at implementing some of the IMF recommendations, - the ten pillars of the Washington consensus are i.) Low government borrowing, ii.) Reduction of public spending, iii.) Tax reform, iv.) Interest rates that are market determined v.) Competitive exchange rate, vi.) Trade liberalization, vii.) Liberalization of inward foreign direct investment, iix.) Privatization of state enterprises, ix.) Deregulation, x.) Legal security for property rights.</w:t>
      </w:r>
    </w:p>
  </w:footnote>
  <w:footnote w:id="8">
    <w:p w14:paraId="6553DBDF" w14:textId="77777777" w:rsidR="00F41E4D" w:rsidRDefault="00F41E4D" w:rsidP="004F5EB9">
      <w:pPr>
        <w:pStyle w:val="FootnoteText"/>
        <w:jc w:val="both"/>
      </w:pPr>
      <w:r>
        <w:rPr>
          <w:rStyle w:val="FootnoteReference"/>
        </w:rPr>
        <w:footnoteRef/>
      </w:r>
      <w:r>
        <w:t xml:space="preserve"> </w:t>
      </w:r>
      <w:r w:rsidRPr="0006460C">
        <w:rPr>
          <w:rStyle w:val="Emphasis"/>
          <w:rFonts w:ascii="Arial" w:hAnsi="Arial" w:cs="Arial"/>
          <w:color w:val="0E101A"/>
        </w:rPr>
        <w:t>Nevertheless, an overly competitive RER is not appropriate because it would fuel inﬂation and curb resources (foreign reserve) available for investment (Schroder, 2013; Williamson, 1994). From this vantage point, there is the notion that there exists an equilibrium real exchange rate (ERER) that satisﬁes both internal and external balances (Nurkse, 1945), and any deviation from it could impede economic growth.</w:t>
      </w:r>
    </w:p>
  </w:footnote>
  <w:footnote w:id="9">
    <w:p w14:paraId="5D26EB4D" w14:textId="77777777" w:rsidR="00F41E4D" w:rsidRDefault="00F41E4D" w:rsidP="004F5EB9">
      <w:pPr>
        <w:pStyle w:val="FootnoteText"/>
      </w:pPr>
      <w:r>
        <w:rPr>
          <w:rStyle w:val="FootnoteReference"/>
        </w:rPr>
        <w:footnoteRef/>
      </w:r>
      <w:r>
        <w:t xml:space="preserve"> </w:t>
      </w:r>
      <w:r w:rsidRPr="0006460C">
        <w:rPr>
          <w:rStyle w:val="Emphasis"/>
          <w:rFonts w:ascii="Arial" w:hAnsi="Arial" w:cs="Arial"/>
          <w:color w:val="0E101A"/>
        </w:rPr>
        <w:t>However, it should be noted that the export-led growth strategy also considers the type and quality of exports (primary, industrial, or tertiary</w:t>
      </w:r>
      <w:r>
        <w:rPr>
          <w:rStyle w:val="Emphasis"/>
          <w:rFonts w:ascii="Arial" w:hAnsi="Arial" w:cs="Arial"/>
          <w:color w:val="0E101A"/>
        </w:rPr>
        <w:t>).</w:t>
      </w:r>
    </w:p>
  </w:footnote>
  <w:footnote w:id="10">
    <w:p w14:paraId="391DDB64" w14:textId="77777777" w:rsidR="00F41E4D" w:rsidRDefault="00F41E4D" w:rsidP="004F5EB9">
      <w:pPr>
        <w:pStyle w:val="FootnoteText"/>
        <w:jc w:val="both"/>
      </w:pPr>
      <w:r>
        <w:rPr>
          <w:rStyle w:val="FootnoteReference"/>
        </w:rPr>
        <w:footnoteRef/>
      </w:r>
      <w:r>
        <w:t xml:space="preserve"> </w:t>
      </w:r>
      <w:r w:rsidRPr="0006460C">
        <w:rPr>
          <w:rStyle w:val="Emphasis"/>
          <w:rFonts w:ascii="Arial" w:hAnsi="Arial" w:cs="Arial"/>
          <w:color w:val="0E101A"/>
        </w:rPr>
        <w:t>A weak institution depicts a state of decline or powerless government agencies to effectively discharge some of the fundamental responsibilities of the state, such as the maintenance of law and order and the protection of its territorial integrity. Some of the manifestations of institutional weakness are Losing control of territory or the sole power of using physical force therein, Crisis of legitimacy in which some part of the state seeks disintegration, and Inability to provide essential services to the citizens (Usman et al., 2015). Market failure occurs when there is a state of disequilibrium in the market because of market distortion. It takes place when the quantity of goods and services supplied is not equal to the quantity demanded, and some of the distortions that could affect the free market include price limits, monopoly power, minimum wage requirements, and government regulations. Thus, the causes of market failures are externality, public goods, market control (monopoly, oligopoly, monopsony, oligopsony), and imperfect information in the market. </w:t>
      </w:r>
    </w:p>
  </w:footnote>
  <w:footnote w:id="11">
    <w:p w14:paraId="4E2524AF" w14:textId="3F586645" w:rsidR="007A2A5A" w:rsidRPr="007A2A5A" w:rsidRDefault="00272E76" w:rsidP="007A2A5A">
      <w:pPr>
        <w:pStyle w:val="FootnoteText"/>
        <w:jc w:val="both"/>
        <w:rPr>
          <w:rFonts w:ascii="Arial" w:hAnsi="Arial" w:cs="Arial"/>
          <w:i/>
          <w:iCs/>
        </w:rPr>
      </w:pPr>
      <w:r>
        <w:rPr>
          <w:rStyle w:val="FootnoteReference"/>
        </w:rPr>
        <w:footnoteRef/>
      </w:r>
      <w:r>
        <w:t xml:space="preserve"> </w:t>
      </w:r>
      <w:r w:rsidR="007A2A5A" w:rsidRPr="007A2A5A">
        <w:rPr>
          <w:rFonts w:ascii="Arial" w:eastAsia="Times New Roman" w:hAnsi="Arial" w:cs="Arial"/>
          <w:i/>
          <w:iCs/>
          <w:lang w:val="en-US" w:eastAsia="en-GB"/>
        </w:rPr>
        <w:t xml:space="preserve">In this thesis, our exchange rate is define based on the REER and not the RER </w:t>
      </w:r>
      <w:r w:rsidR="007A2A5A" w:rsidRPr="007A2A5A">
        <w:rPr>
          <w:rFonts w:ascii="Arial" w:hAnsi="Arial" w:cs="Arial"/>
          <w:i/>
          <w:iCs/>
        </w:rPr>
        <w:t>as explained in section 2.1.</w:t>
      </w:r>
    </w:p>
  </w:footnote>
  <w:footnote w:id="12">
    <w:p w14:paraId="1AE07458" w14:textId="77777777" w:rsidR="00036ED7" w:rsidRPr="00CA313A" w:rsidRDefault="00036ED7" w:rsidP="00036ED7">
      <w:pPr>
        <w:pStyle w:val="FootnoteText"/>
        <w:jc w:val="both"/>
        <w:rPr>
          <w:rFonts w:ascii="Arial" w:hAnsi="Arial" w:cs="Arial"/>
          <w:i/>
        </w:rPr>
      </w:pPr>
      <w:r w:rsidRPr="00CA313A">
        <w:rPr>
          <w:rStyle w:val="FootnoteReference"/>
          <w:rFonts w:ascii="Arial" w:hAnsi="Arial" w:cs="Arial"/>
        </w:rPr>
        <w:footnoteRef/>
      </w:r>
      <w:r w:rsidRPr="00CA313A">
        <w:rPr>
          <w:rFonts w:ascii="Arial" w:hAnsi="Arial" w:cs="Arial"/>
        </w:rPr>
        <w:t xml:space="preserve"> </w:t>
      </w:r>
      <w:r w:rsidRPr="00CA313A">
        <w:rPr>
          <w:rFonts w:ascii="Arial" w:hAnsi="Arial" w:cs="Arial"/>
          <w:i/>
        </w:rPr>
        <w:t>The economic growth is measure via the gross domestic product (GDP) growth rate, with a healthy rate ranging between 2% to 3%. The unemployment rate should be at a natural rate of 4.5% to 5%. The inflation</w:t>
      </w:r>
      <w:r>
        <w:rPr>
          <w:rFonts w:ascii="Arial" w:hAnsi="Arial" w:cs="Arial"/>
          <w:i/>
        </w:rPr>
        <w:t xml:space="preserve"> (price stability) </w:t>
      </w:r>
      <w:r w:rsidRPr="00CA313A">
        <w:rPr>
          <w:rFonts w:ascii="Arial" w:hAnsi="Arial" w:cs="Arial"/>
          <w:i/>
        </w:rPr>
        <w:t>should be near 2% target. The BOP trade balance should be zero (Amadeo, 2018).</w:t>
      </w:r>
    </w:p>
  </w:footnote>
  <w:footnote w:id="13">
    <w:p w14:paraId="286F25D1" w14:textId="77777777" w:rsidR="00036ED7" w:rsidRPr="006178C6" w:rsidRDefault="00036ED7" w:rsidP="00036ED7">
      <w:pPr>
        <w:pStyle w:val="FootnoteText"/>
        <w:jc w:val="both"/>
        <w:rPr>
          <w:rFonts w:ascii="Arial" w:hAnsi="Arial" w:cs="Arial"/>
          <w:i/>
          <w:iCs/>
        </w:rPr>
      </w:pPr>
      <w:r>
        <w:rPr>
          <w:rStyle w:val="FootnoteReference"/>
        </w:rPr>
        <w:footnoteRef/>
      </w:r>
      <w:r>
        <w:t xml:space="preserve"> </w:t>
      </w:r>
      <w:r w:rsidRPr="006178C6">
        <w:rPr>
          <w:rFonts w:ascii="Arial" w:hAnsi="Arial" w:cs="Arial"/>
          <w:i/>
          <w:iCs/>
        </w:rPr>
        <w:t>Given its complexity and the simultaneous equations structure, the estimation of the NATREX models runs into similar difficulties as FEER approaches. To avoid some of the problems, most of empirical research utilizing NATREX approach uses reduced form estimations. That of course raises both the question of a stability of estimated coefficients (given the long run dynamics of factors determining saving—investment nexus, the Lucas type critique is certainly possible) and value of fundamentals free of short term and cyclical variations</w:t>
      </w:r>
      <w:r>
        <w:rPr>
          <w:rFonts w:ascii="Arial" w:hAnsi="Arial" w:cs="Arial"/>
          <w:i/>
          <w:iCs/>
        </w:rPr>
        <w:t>.</w:t>
      </w:r>
    </w:p>
  </w:footnote>
  <w:footnote w:id="14">
    <w:p w14:paraId="224ABD82" w14:textId="77777777" w:rsidR="00A8440D" w:rsidRPr="0092429B" w:rsidRDefault="00A8440D" w:rsidP="00A8440D">
      <w:pPr>
        <w:pStyle w:val="FootnoteText"/>
        <w:jc w:val="both"/>
        <w:rPr>
          <w:rFonts w:ascii="Arial" w:hAnsi="Arial" w:cs="Arial"/>
          <w:i/>
          <w:iCs/>
        </w:rPr>
      </w:pPr>
      <w:r>
        <w:rPr>
          <w:rStyle w:val="FootnoteReference"/>
        </w:rPr>
        <w:footnoteRef/>
      </w:r>
      <w:r>
        <w:t xml:space="preserve"> </w:t>
      </w:r>
      <w:r>
        <w:rPr>
          <w:rFonts w:ascii="Arial" w:hAnsi="Arial" w:cs="Arial"/>
          <w:i/>
          <w:iCs/>
        </w:rPr>
        <w:t xml:space="preserve">A long-term relationship could either result in the presence of a J-curve or an S-curve. An S-curve occurs when a currency devaluation leads to an initial improvement in the TB in the short-term and a drop in the long-term (thereby producing an S-sharp like movement of the TB). </w:t>
      </w:r>
    </w:p>
  </w:footnote>
  <w:footnote w:id="15">
    <w:p w14:paraId="2854F201" w14:textId="77777777" w:rsidR="00A8440D" w:rsidRPr="008E6CF5" w:rsidRDefault="00A8440D" w:rsidP="00A8440D">
      <w:pPr>
        <w:pStyle w:val="FootnoteText"/>
        <w:jc w:val="both"/>
        <w:rPr>
          <w:i/>
        </w:rPr>
      </w:pPr>
      <w:r w:rsidRPr="008E6CF5">
        <w:rPr>
          <w:rStyle w:val="FootnoteReference"/>
        </w:rPr>
        <w:footnoteRef/>
      </w:r>
      <w:r w:rsidRPr="008E6CF5">
        <w:rPr>
          <w:i/>
        </w:rPr>
        <w:t xml:space="preserve"> </w:t>
      </w:r>
      <w:r w:rsidRPr="0047717A">
        <w:rPr>
          <w:rFonts w:ascii="Arial" w:hAnsi="Arial" w:cs="Arial"/>
          <w:i/>
        </w:rPr>
        <w:t xml:space="preserve">The </w:t>
      </w:r>
      <w:r w:rsidRPr="0047717A">
        <w:rPr>
          <w:rFonts w:ascii="Arial" w:hAnsi="Arial" w:cs="Arial"/>
          <w:i/>
          <w:lang w:val="en-US"/>
        </w:rPr>
        <w:t>condition states that devaluation improves the trade balance if the sum of the foreign price elasticity of demand for export (ƞ</w:t>
      </w:r>
      <w:r w:rsidRPr="0047717A">
        <w:rPr>
          <w:rFonts w:ascii="Arial" w:hAnsi="Arial" w:cs="Arial"/>
          <w:i/>
          <w:vertAlign w:val="subscript"/>
          <w:lang w:val="en-US"/>
        </w:rPr>
        <w:t>x</w:t>
      </w:r>
      <w:r w:rsidRPr="0047717A">
        <w:rPr>
          <w:rFonts w:ascii="Arial" w:hAnsi="Arial" w:cs="Arial"/>
          <w:i/>
          <w:lang w:val="en-US"/>
        </w:rPr>
        <w:t>) and domestic price elasticity of demand for imports (ƞ</w:t>
      </w:r>
      <w:r w:rsidRPr="0047717A">
        <w:rPr>
          <w:rFonts w:ascii="Arial" w:hAnsi="Arial" w:cs="Arial"/>
          <w:i/>
          <w:vertAlign w:val="subscript"/>
          <w:lang w:val="en-US"/>
        </w:rPr>
        <w:t>m</w:t>
      </w:r>
      <w:r w:rsidRPr="0047717A">
        <w:rPr>
          <w:rFonts w:ascii="Arial" w:hAnsi="Arial" w:cs="Arial"/>
          <w:i/>
          <w:lang w:val="en-US"/>
        </w:rPr>
        <w:t>) exceeds unity, in absolute value, i.e., if:</w:t>
      </w:r>
      <w:r w:rsidRPr="0047717A">
        <w:rPr>
          <w:rFonts w:ascii="Arial" w:hAnsi="Arial" w:cs="Arial"/>
          <w:lang w:val="en-US"/>
        </w:rPr>
        <w:t xml:space="preserve"> </w:t>
      </w:r>
      <w:r w:rsidRPr="0047717A">
        <w:rPr>
          <w:rFonts w:ascii="Arial" w:hAnsi="Arial" w:cs="Arial"/>
          <w:i/>
          <w:lang w:val="en-US"/>
        </w:rPr>
        <w:t>│ƞ</w:t>
      </w:r>
      <w:r w:rsidRPr="0047717A">
        <w:rPr>
          <w:rFonts w:ascii="Arial" w:hAnsi="Arial" w:cs="Arial"/>
          <w:i/>
          <w:vertAlign w:val="subscript"/>
          <w:lang w:val="en-US"/>
        </w:rPr>
        <w:t>x</w:t>
      </w:r>
      <w:r w:rsidRPr="0047717A">
        <w:rPr>
          <w:rFonts w:ascii="Arial" w:hAnsi="Arial" w:cs="Arial"/>
          <w:i/>
          <w:lang w:val="en-US"/>
        </w:rPr>
        <w:t xml:space="preserve"> + ƞ</w:t>
      </w:r>
      <w:r w:rsidRPr="0047717A">
        <w:rPr>
          <w:rFonts w:ascii="Arial" w:hAnsi="Arial" w:cs="Arial"/>
          <w:i/>
          <w:vertAlign w:val="subscript"/>
          <w:lang w:val="en-US"/>
        </w:rPr>
        <w:t>m</w:t>
      </w:r>
      <w:r w:rsidRPr="0047717A">
        <w:rPr>
          <w:rFonts w:ascii="Arial" w:hAnsi="Arial" w:cs="Arial"/>
          <w:i/>
          <w:lang w:val="en-US"/>
        </w:rPr>
        <w:t>│ &gt;1</w:t>
      </w:r>
      <w:r>
        <w:rPr>
          <w:rFonts w:ascii="Arial" w:hAnsi="Arial" w:cs="Arial"/>
          <w:i/>
          <w:lang w:val="en-US"/>
        </w:rPr>
        <w:t xml:space="preserve">. </w:t>
      </w:r>
    </w:p>
  </w:footnote>
  <w:footnote w:id="16">
    <w:p w14:paraId="5DD4D8AB" w14:textId="77777777" w:rsidR="00A8440D" w:rsidRPr="00AA5086" w:rsidRDefault="00A8440D" w:rsidP="00A8440D">
      <w:pPr>
        <w:pStyle w:val="FootnoteText"/>
        <w:jc w:val="both"/>
        <w:rPr>
          <w:rFonts w:ascii="Arial" w:hAnsi="Arial" w:cs="Arial"/>
          <w:i/>
          <w:iCs/>
        </w:rPr>
      </w:pPr>
      <w:r w:rsidRPr="00AA5086">
        <w:rPr>
          <w:rStyle w:val="FootnoteReference"/>
          <w:rFonts w:ascii="Arial" w:hAnsi="Arial" w:cs="Arial"/>
          <w:i/>
          <w:iCs/>
        </w:rPr>
        <w:footnoteRef/>
      </w:r>
      <w:r w:rsidRPr="00AA5086">
        <w:rPr>
          <w:rFonts w:ascii="Arial" w:hAnsi="Arial" w:cs="Arial"/>
          <w:i/>
          <w:iCs/>
        </w:rPr>
        <w:t xml:space="preserve"> For example, in case there is a devaluation of a domestic currency, then the increase in the domestic price competitiveness could result in the exportation of more and the importation of less. By so doing, it improves the TB, known as the volume effect. At the same time, the devaluation increases the import unit value, resulting in the deterioration of the TB, known as the price (value) effect. The price effect dominates in the short term, while the volume effect prevails in the long term, thereby causing the time path of the TB depicted by the </w:t>
      </w:r>
      <w:r w:rsidRPr="00AA5086">
        <w:rPr>
          <w:rStyle w:val="Emphasis"/>
          <w:rFonts w:ascii="Arial" w:hAnsi="Arial" w:cs="Arial"/>
          <w:i w:val="0"/>
          <w:iCs w:val="0"/>
          <w:color w:val="0E101A"/>
        </w:rPr>
        <w:t>J-</w:t>
      </w:r>
      <w:r w:rsidRPr="00AA5086">
        <w:rPr>
          <w:rFonts w:ascii="Arial" w:hAnsi="Arial" w:cs="Arial"/>
          <w:i/>
          <w:iCs/>
        </w:rPr>
        <w:t>curve phenomenon (Ziramba and Chifamba, 2014; Abd-El-Kader, 2013; Bahmani-Oskooee and Mitra, 2009; Baek </w:t>
      </w:r>
      <w:r w:rsidRPr="00AA5086">
        <w:rPr>
          <w:rStyle w:val="Emphasis"/>
          <w:rFonts w:ascii="Arial" w:hAnsi="Arial" w:cs="Arial"/>
          <w:i w:val="0"/>
          <w:iCs w:val="0"/>
          <w:color w:val="0E101A"/>
        </w:rPr>
        <w:t>et al., </w:t>
      </w:r>
      <w:r w:rsidRPr="00AA5086">
        <w:rPr>
          <w:rFonts w:ascii="Arial" w:hAnsi="Arial" w:cs="Arial"/>
          <w:i/>
          <w:iCs/>
        </w:rPr>
        <w:t>2006). </w:t>
      </w:r>
    </w:p>
  </w:footnote>
  <w:footnote w:id="17">
    <w:p w14:paraId="1E4E6B76" w14:textId="77777777" w:rsidR="00D02743" w:rsidRPr="00287FD4" w:rsidRDefault="00D02743" w:rsidP="00D02743">
      <w:pPr>
        <w:spacing w:after="0" w:line="240" w:lineRule="auto"/>
        <w:jc w:val="both"/>
        <w:rPr>
          <w:rFonts w:ascii="Arial" w:hAnsi="Arial" w:cs="Arial"/>
          <w:sz w:val="20"/>
          <w:szCs w:val="20"/>
        </w:rPr>
      </w:pPr>
      <w:r>
        <w:rPr>
          <w:rStyle w:val="FootnoteReference"/>
        </w:rPr>
        <w:footnoteRef/>
      </w:r>
      <w:r>
        <w:t xml:space="preserve"> </w:t>
      </w:r>
      <w:r w:rsidRPr="00287FD4">
        <w:rPr>
          <w:rStyle w:val="Emphasis"/>
          <w:rFonts w:ascii="Arial" w:hAnsi="Arial" w:cs="Arial"/>
          <w:color w:val="0E101A"/>
          <w:sz w:val="20"/>
          <w:szCs w:val="20"/>
        </w:rPr>
        <w:t>The Washington consensus refers to a set of broadly free market economic ideas supported by prominent economists and international organisations like the World Bank, the International Monetary Fund (IMF), and European Union (EU) advocates; free trade, free market, and macroeconomic stability through ten principles stated by John Williamson in 1989.</w:t>
      </w:r>
    </w:p>
  </w:footnote>
  <w:footnote w:id="18">
    <w:p w14:paraId="5A66FB82" w14:textId="77777777" w:rsidR="00F41E4D" w:rsidRDefault="00F41E4D" w:rsidP="001631CA">
      <w:pPr>
        <w:pStyle w:val="FootnoteText"/>
        <w:jc w:val="both"/>
      </w:pPr>
      <w:r>
        <w:rPr>
          <w:rStyle w:val="FootnoteReference"/>
        </w:rPr>
        <w:footnoteRef/>
      </w:r>
      <w:r>
        <w:t xml:space="preserve"> </w:t>
      </w:r>
      <w:r w:rsidRPr="0038176A">
        <w:rPr>
          <w:rStyle w:val="Emphasis"/>
          <w:rFonts w:ascii="Arial" w:hAnsi="Arial" w:cs="Arial"/>
          <w:color w:val="0E101A"/>
        </w:rPr>
        <w:t>This is because currency devaluation makes the domestic currency more competitive, meaning more goods and services will be demanded in the international market. This increased demand will require more labour for production purposes, implying that more people within the nation will be employed, increasing disposable income and living standards.</w:t>
      </w:r>
    </w:p>
  </w:footnote>
  <w:footnote w:id="19">
    <w:p w14:paraId="3BCB8258" w14:textId="77777777" w:rsidR="00F41E4D" w:rsidRDefault="00F41E4D" w:rsidP="001631CA">
      <w:pPr>
        <w:pStyle w:val="FootnoteText"/>
        <w:jc w:val="both"/>
      </w:pPr>
      <w:r>
        <w:rPr>
          <w:rStyle w:val="FootnoteReference"/>
        </w:rPr>
        <w:footnoteRef/>
      </w:r>
      <w:r>
        <w:t xml:space="preserve"> </w:t>
      </w:r>
      <w:r w:rsidRPr="0038176A">
        <w:rPr>
          <w:rStyle w:val="Emphasis"/>
          <w:rFonts w:ascii="Arial" w:hAnsi="Arial" w:cs="Arial"/>
          <w:color w:val="0E101A"/>
        </w:rPr>
        <w:t>The average GDP growth rate for CEMAC zone nations was 4.6% during 1975-1985 compared to 1.4% for non-CFA African nations. However, from 1986 to 1993, the rate was as low as 0.1% for CFA-franc nations compared to 2.5% for non-CFA-franc African nations (Zobo, 2014; Amin, 2000). The investment rate for the CFA franc nations had fallen during the period compared to non-CFA African nations.</w:t>
      </w:r>
    </w:p>
  </w:footnote>
  <w:footnote w:id="20">
    <w:p w14:paraId="0A84B6F0" w14:textId="77777777" w:rsidR="00F41E4D" w:rsidRPr="00523A03" w:rsidRDefault="00F41E4D" w:rsidP="002A4E30">
      <w:pPr>
        <w:pStyle w:val="NoSpacing"/>
        <w:jc w:val="both"/>
        <w:rPr>
          <w:rFonts w:ascii="Arial" w:hAnsi="Arial" w:cs="Arial"/>
          <w:lang w:eastAsia="en-GB"/>
        </w:rPr>
      </w:pPr>
      <w:r>
        <w:rPr>
          <w:rStyle w:val="FootnoteReference"/>
        </w:rPr>
        <w:footnoteRef/>
      </w:r>
      <w:r>
        <w:t xml:space="preserve"> </w:t>
      </w:r>
      <w:r w:rsidRPr="00523A03">
        <w:rPr>
          <w:rFonts w:ascii="Arial" w:hAnsi="Arial" w:cs="Arial"/>
          <w:i/>
          <w:iCs/>
          <w:sz w:val="20"/>
          <w:szCs w:val="20"/>
          <w:lang w:eastAsia="en-GB"/>
        </w:rPr>
        <w:t>Economic growth is measured via the gross domestic product (GDP) growth rate, with a healthy rate ranging between 2% to 3%. The unemployment rate should be at a natural rate of 4.5% to 5%. The inflation (price stability) should be near the 2% target. The BOP trade balance should be zero (Amadeo, 2018).</w:t>
      </w:r>
    </w:p>
  </w:footnote>
  <w:footnote w:id="21">
    <w:p w14:paraId="206AD6E7" w14:textId="77777777" w:rsidR="00F41E4D" w:rsidRDefault="00F41E4D" w:rsidP="002A4E30">
      <w:pPr>
        <w:pStyle w:val="FootnoteText"/>
        <w:jc w:val="both"/>
      </w:pPr>
      <w:r>
        <w:rPr>
          <w:rStyle w:val="FootnoteReference"/>
        </w:rPr>
        <w:footnoteRef/>
      </w:r>
      <w:r>
        <w:t xml:space="preserve"> </w:t>
      </w:r>
      <w:r w:rsidRPr="00523A03">
        <w:rPr>
          <w:rFonts w:ascii="Arial" w:hAnsi="Arial" w:cs="Arial"/>
          <w:i/>
          <w:iCs/>
          <w:lang w:eastAsia="en-GB"/>
        </w:rPr>
        <w:t>OHADA is the acronym for the French “Organisation pour l’harmonisation en Afrique du droit des affaites”. When translated to English as: "Organisation for the Harmonisation of Corporate Law in Africa." It was created on 17th October 1993 in Port Louis - Mauritius, to foster economic development in Central and West Africa by creating a better investment climate in order to attract investment into the nations (Dickerson, 2005).</w:t>
      </w:r>
    </w:p>
  </w:footnote>
  <w:footnote w:id="22">
    <w:p w14:paraId="3DC31ADC" w14:textId="77777777" w:rsidR="00F41E4D" w:rsidRDefault="00F41E4D" w:rsidP="002A4E30">
      <w:pPr>
        <w:pStyle w:val="FootnoteText"/>
        <w:jc w:val="both"/>
      </w:pPr>
      <w:r>
        <w:rPr>
          <w:rStyle w:val="FootnoteReference"/>
        </w:rPr>
        <w:footnoteRef/>
      </w:r>
      <w:r>
        <w:t xml:space="preserve"> </w:t>
      </w:r>
      <w:r w:rsidRPr="00523A03">
        <w:rPr>
          <w:rFonts w:ascii="Arial" w:hAnsi="Arial" w:cs="Arial"/>
          <w:i/>
          <w:iCs/>
          <w:lang w:eastAsia="en-GB"/>
        </w:rPr>
        <w:t>Looking at the implementation of some of the IMF recommendations – the Washington consensus, because of the current account deficit of the BOP in the CEMAC nations, and mindful of the fact that the zone was not yet prepared, be it infrastructure or technological wise, attracting foreign investment/investors was one of the prerogatives in correcting the balance of payment. Due to the devaluation, more foreign investment might have flown into the region because of the cheapness of domestic assets and liberalisation policies. However, if the environs were not conducive, it could lead to capital flight whereby more investments are leaving the nation, as was the case of the 1997 Southeast Asian crisis. Thus, the status quo might not be the same from 1994 until now.</w:t>
      </w:r>
    </w:p>
  </w:footnote>
  <w:footnote w:id="23">
    <w:p w14:paraId="00EA3395" w14:textId="4E66029C" w:rsidR="00F41E4D" w:rsidRDefault="00F41E4D" w:rsidP="002A4E30">
      <w:pPr>
        <w:pStyle w:val="FootnoteText"/>
        <w:jc w:val="both"/>
      </w:pPr>
      <w:r>
        <w:rPr>
          <w:rStyle w:val="FootnoteReference"/>
        </w:rPr>
        <w:footnoteRef/>
      </w:r>
      <w:r>
        <w:t xml:space="preserve"> </w:t>
      </w:r>
      <w:r w:rsidRPr="00523A03">
        <w:rPr>
          <w:rFonts w:ascii="Arial" w:hAnsi="Arial" w:cs="Arial"/>
          <w:i/>
          <w:iCs/>
          <w:lang w:eastAsia="en-GB"/>
        </w:rPr>
        <w:t>Also, the series of shocks across the globe could not have occurred, leaving CEMAC zone nations indifferent. The 1997 South East Asian Financial crisis, the 2008 mortgage crisis which began in the United States of America (USA) and moved to Europe and eventually to the rest of the world, the late 2009 to 2012 European debt crisis that erupted at the wake of the great recession (Petrakis et al., 2013). These could not have occurred without affecting the CEMAC zone, mindful of the financial integration and technological advancement that has made the world a small global village.</w:t>
      </w:r>
    </w:p>
  </w:footnote>
  <w:footnote w:id="24">
    <w:p w14:paraId="33C97D72" w14:textId="77777777" w:rsidR="00F41E4D" w:rsidRDefault="00F41E4D" w:rsidP="002A4E30">
      <w:pPr>
        <w:pStyle w:val="FootnoteText"/>
        <w:jc w:val="both"/>
      </w:pPr>
      <w:r>
        <w:rPr>
          <w:rStyle w:val="FootnoteReference"/>
        </w:rPr>
        <w:footnoteRef/>
      </w:r>
      <w:r>
        <w:t xml:space="preserve"> </w:t>
      </w:r>
      <w:r w:rsidRPr="00523A03">
        <w:rPr>
          <w:rFonts w:ascii="Arial" w:hAnsi="Arial" w:cs="Arial"/>
          <w:i/>
          <w:iCs/>
          <w:lang w:eastAsia="en-GB"/>
        </w:rPr>
        <w:t>The continuous low commodity prices and security threats faced by the region contributed to their stalled economic growth of 0.1% in 2016. This was significantly below the average 3.6% experienced in Africa (ADB, 2018). The insecurity threats in the region are from different fronts; the Maritime insecurity in the Gulf of Guinea affects the following CEMAC nations: Cameroon experienced 60% of the attacks, i.e., 44 attacks between the period 1997 to 2010. Gabon experienced 25% of the attacks; Congo had 12%, and Equatorial Guinea 3% (ICC, 2012; IMO, 2010). The "The Lord's Resistance Army" threat exists in Central Africa Republic and the Democratic Republic of Congo. There is "Boko Haram" threat in the Lake Chad Basin region – in Cameroon and Chad, and the series of crises in Cameroon – Anglophone crisis (UN, 2015). These have gone a long way to drop the region's productivity and increase its unemployment. As stated by "Okun's law," for every 1% increase in unemployment rate, a nation's GDP will be at an additional 2% lower than its potential GDP (Wamey, 2011). </w:t>
      </w:r>
    </w:p>
  </w:footnote>
  <w:footnote w:id="25">
    <w:p w14:paraId="53DE5F99" w14:textId="77777777" w:rsidR="00F41E4D" w:rsidRDefault="00F41E4D" w:rsidP="002A4E30">
      <w:pPr>
        <w:pStyle w:val="FootnoteText"/>
        <w:jc w:val="both"/>
      </w:pPr>
      <w:r>
        <w:rPr>
          <w:rStyle w:val="FootnoteReference"/>
        </w:rPr>
        <w:footnoteRef/>
      </w:r>
      <w:r>
        <w:t xml:space="preserve"> </w:t>
      </w:r>
      <w:r w:rsidRPr="00523A03">
        <w:rPr>
          <w:rFonts w:ascii="Arial" w:hAnsi="Arial" w:cs="Arial"/>
          <w:i/>
          <w:iCs/>
          <w:lang w:eastAsia="en-GB"/>
        </w:rPr>
        <w:t>More to that, 85% of the FCFA nations' foreign reserve is deposited in an 'operation account' controlled by the French Treasury. The Treasury has invested the reserve of the African nations in its name on the Paris Bourse such that the yield from the investment is not shared with the FCFA nations (Wamey, 2011). This increases the opportunity cost endured by the FCFA nations and brings to question whether the devaluation was to enrich France to the detriment of FCFA nations.</w:t>
      </w:r>
      <w:r w:rsidRPr="00523A03">
        <w:rPr>
          <w:rFonts w:ascii="Arial" w:hAnsi="Arial" w:cs="Arial"/>
          <w:lang w:eastAsia="en-GB"/>
        </w:rPr>
        <w:t> </w:t>
      </w:r>
    </w:p>
  </w:footnote>
  <w:footnote w:id="26">
    <w:p w14:paraId="52775C43" w14:textId="4E734757" w:rsidR="00F41E4D" w:rsidRPr="00DC1654" w:rsidRDefault="00F41E4D" w:rsidP="00DC1654">
      <w:pPr>
        <w:spacing w:after="0" w:line="240" w:lineRule="auto"/>
        <w:jc w:val="both"/>
        <w:rPr>
          <w:rFonts w:ascii="Arial" w:eastAsia="Times New Roman" w:hAnsi="Arial" w:cs="Arial"/>
          <w:color w:val="0E101A"/>
          <w:sz w:val="20"/>
          <w:szCs w:val="20"/>
          <w:lang w:eastAsia="en-GB"/>
        </w:rPr>
      </w:pPr>
      <w:r>
        <w:rPr>
          <w:rStyle w:val="FootnoteReference"/>
        </w:rPr>
        <w:footnoteRef/>
      </w:r>
      <w:r>
        <w:t xml:space="preserve"> </w:t>
      </w:r>
      <w:r w:rsidRPr="00D128C1">
        <w:rPr>
          <w:rFonts w:ascii="Arial" w:eastAsia="Times New Roman" w:hAnsi="Arial" w:cs="Arial"/>
          <w:i/>
          <w:iCs/>
          <w:color w:val="0E101A"/>
          <w:sz w:val="20"/>
          <w:szCs w:val="20"/>
          <w:lang w:eastAsia="en-GB"/>
        </w:rPr>
        <w:t xml:space="preserve">Nations like the United States of America (USA) often attract foreign investments in order to improve the capital account of their </w:t>
      </w:r>
      <w:r w:rsidR="00412BF2" w:rsidRPr="00D128C1">
        <w:rPr>
          <w:rFonts w:ascii="Arial" w:eastAsia="Times New Roman" w:hAnsi="Arial" w:cs="Arial"/>
          <w:i/>
          <w:iCs/>
          <w:color w:val="0E101A"/>
          <w:sz w:val="20"/>
          <w:szCs w:val="20"/>
          <w:lang w:eastAsia="en-GB"/>
        </w:rPr>
        <w:t>Bop, thereby</w:t>
      </w:r>
      <w:r w:rsidRPr="00D128C1">
        <w:rPr>
          <w:rFonts w:ascii="Arial" w:eastAsia="Times New Roman" w:hAnsi="Arial" w:cs="Arial"/>
          <w:i/>
          <w:iCs/>
          <w:color w:val="0E101A"/>
          <w:sz w:val="20"/>
          <w:szCs w:val="20"/>
          <w:lang w:eastAsia="en-GB"/>
        </w:rPr>
        <w:t xml:space="preserve"> balancing the negative impact of the current account trade deficit. This helps to get the balance of payment to zero.</w:t>
      </w:r>
    </w:p>
  </w:footnote>
  <w:footnote w:id="27">
    <w:p w14:paraId="6C922537" w14:textId="77777777" w:rsidR="0050583D" w:rsidRDefault="0050583D" w:rsidP="0050583D">
      <w:pPr>
        <w:spacing w:after="0" w:line="240" w:lineRule="auto"/>
        <w:jc w:val="both"/>
      </w:pPr>
      <w:r w:rsidRPr="00DA2667">
        <w:rPr>
          <w:rStyle w:val="FootnoteReference"/>
          <w:rFonts w:ascii="Arial" w:hAnsi="Arial" w:cs="Arial"/>
          <w:i/>
          <w:iCs/>
          <w:sz w:val="20"/>
          <w:szCs w:val="20"/>
        </w:rPr>
        <w:footnoteRef/>
      </w:r>
      <w:r w:rsidRPr="00DA2667">
        <w:rPr>
          <w:rFonts w:ascii="Arial" w:hAnsi="Arial" w:cs="Arial"/>
          <w:i/>
          <w:iCs/>
          <w:sz w:val="20"/>
          <w:szCs w:val="20"/>
        </w:rPr>
        <w:t xml:space="preserve"> The BEER approach is often argued to have advantages over other approaches (specifically the FEER). For instant, the FEER approach is a method of calculation rather than an estimated exchange rate model like the BEER approach. The BEER approach has the potential of capturing all the systematic and fundamental movements of the exchange rates and can be subject to rigorous statistical testing of various metrics, such as the speed of mean reversion. Also, the BEER is a highly tractable approach to gauging an equilibrium exchange rate, relying on a single equation approach using either time series or panel data.</w:t>
      </w:r>
    </w:p>
  </w:footnote>
  <w:footnote w:id="28">
    <w:p w14:paraId="55662E8C" w14:textId="5145AAB2" w:rsidR="0050583D" w:rsidRPr="002B4D3A" w:rsidRDefault="0050583D" w:rsidP="002B4D3A">
      <w:pPr>
        <w:spacing w:after="0" w:line="240" w:lineRule="auto"/>
        <w:jc w:val="both"/>
        <w:rPr>
          <w:rFonts w:ascii="Arial" w:hAnsi="Arial" w:cs="Arial"/>
          <w:i/>
          <w:iCs/>
          <w:sz w:val="20"/>
          <w:szCs w:val="20"/>
        </w:rPr>
      </w:pPr>
      <w:r>
        <w:rPr>
          <w:rStyle w:val="FootnoteReference"/>
        </w:rPr>
        <w:footnoteRef/>
      </w:r>
      <w:r>
        <w:t xml:space="preserve"> </w:t>
      </w:r>
      <w:r w:rsidRPr="003C1678">
        <w:rPr>
          <w:rFonts w:ascii="Arial" w:hAnsi="Arial" w:cs="Arial"/>
          <w:i/>
          <w:iCs/>
          <w:sz w:val="20"/>
          <w:szCs w:val="20"/>
          <w:lang w:eastAsia="en-GB"/>
        </w:rPr>
        <w:t>The VAR approach is used when all the variables in the models are integrated of order one (i.e., the variables become stationary at the first difference - </w:t>
      </w:r>
      <w:r w:rsidRPr="003C1678">
        <w:rPr>
          <w:rFonts w:ascii="Arial" w:hAnsi="Arial" w:cs="Arial"/>
          <w:b/>
          <w:bCs/>
          <w:i/>
          <w:iCs/>
          <w:sz w:val="20"/>
          <w:szCs w:val="20"/>
          <w:lang w:eastAsia="en-GB"/>
        </w:rPr>
        <w:t>I(1)</w:t>
      </w:r>
      <w:r w:rsidRPr="003C1678">
        <w:rPr>
          <w:rFonts w:ascii="Arial" w:hAnsi="Arial" w:cs="Arial"/>
          <w:i/>
          <w:iCs/>
          <w:sz w:val="20"/>
          <w:szCs w:val="20"/>
          <w:lang w:eastAsia="en-GB"/>
        </w:rPr>
        <w:t>). On the other hand, the ARDL approach can be applied irrespective of whether the variables are integrated of order zero (i.e., the variables are stationary at level form - </w:t>
      </w:r>
      <w:r w:rsidRPr="003C1678">
        <w:rPr>
          <w:rFonts w:ascii="Arial" w:hAnsi="Arial" w:cs="Arial"/>
          <w:b/>
          <w:bCs/>
          <w:i/>
          <w:iCs/>
          <w:sz w:val="20"/>
          <w:szCs w:val="20"/>
          <w:lang w:eastAsia="en-GB"/>
        </w:rPr>
        <w:t>I(0)</w:t>
      </w:r>
      <w:r w:rsidRPr="003C1678">
        <w:rPr>
          <w:rFonts w:ascii="Arial" w:hAnsi="Arial" w:cs="Arial"/>
          <w:i/>
          <w:iCs/>
          <w:sz w:val="20"/>
          <w:szCs w:val="20"/>
          <w:lang w:eastAsia="en-GB"/>
        </w:rPr>
        <w:t>) or integrated of order one (i.e., the variables become stationary at first difference - </w:t>
      </w:r>
      <w:r w:rsidRPr="003C1678">
        <w:rPr>
          <w:rFonts w:ascii="Arial" w:hAnsi="Arial" w:cs="Arial"/>
          <w:b/>
          <w:bCs/>
          <w:i/>
          <w:iCs/>
          <w:sz w:val="20"/>
          <w:szCs w:val="20"/>
          <w:lang w:eastAsia="en-GB"/>
        </w:rPr>
        <w:t>I(1)</w:t>
      </w:r>
      <w:r w:rsidRPr="003C1678">
        <w:rPr>
          <w:rFonts w:ascii="Arial" w:hAnsi="Arial" w:cs="Arial"/>
          <w:i/>
          <w:iCs/>
          <w:sz w:val="20"/>
          <w:szCs w:val="20"/>
          <w:lang w:eastAsia="en-GB"/>
        </w:rPr>
        <w:t>). However, the variables must not be integrated of order two (i.e., the variables are stationary at second difference – </w:t>
      </w:r>
      <w:r w:rsidRPr="003C1678">
        <w:rPr>
          <w:rFonts w:ascii="Arial" w:hAnsi="Arial" w:cs="Arial"/>
          <w:b/>
          <w:bCs/>
          <w:i/>
          <w:iCs/>
          <w:sz w:val="20"/>
          <w:szCs w:val="20"/>
          <w:lang w:eastAsia="en-GB"/>
        </w:rPr>
        <w:t>I(2)</w:t>
      </w:r>
      <w:r w:rsidRPr="003C1678">
        <w:rPr>
          <w:rFonts w:ascii="Arial" w:hAnsi="Arial" w:cs="Arial"/>
          <w:i/>
          <w:iCs/>
          <w:sz w:val="20"/>
          <w:szCs w:val="20"/>
          <w:lang w:eastAsia="en-GB"/>
        </w:rPr>
        <w:t>).</w:t>
      </w:r>
    </w:p>
  </w:footnote>
  <w:footnote w:id="29">
    <w:p w14:paraId="4C14836E" w14:textId="77777777" w:rsidR="0050583D" w:rsidRPr="008D4C7A" w:rsidRDefault="0050583D" w:rsidP="002B4D3A">
      <w:pPr>
        <w:pStyle w:val="FootnoteText"/>
        <w:jc w:val="both"/>
        <w:rPr>
          <w:rFonts w:ascii="Arial" w:hAnsi="Arial" w:cs="Arial"/>
          <w:i/>
          <w:iCs/>
        </w:rPr>
      </w:pPr>
      <w:r w:rsidRPr="008D4C7A">
        <w:rPr>
          <w:rStyle w:val="FootnoteReference"/>
          <w:rFonts w:ascii="Arial" w:hAnsi="Arial" w:cs="Arial"/>
        </w:rPr>
        <w:footnoteRef/>
      </w:r>
      <w:r w:rsidRPr="008D4C7A">
        <w:rPr>
          <w:rFonts w:ascii="Arial" w:hAnsi="Arial" w:cs="Arial"/>
        </w:rPr>
        <w:t xml:space="preserve"> </w:t>
      </w:r>
      <w:r w:rsidRPr="008D4C7A">
        <w:rPr>
          <w:rFonts w:ascii="Arial" w:hAnsi="Arial" w:cs="Arial"/>
          <w:i/>
          <w:iCs/>
        </w:rPr>
        <w:t xml:space="preserve">The nations used were Cameroon, Central Africa Republic – CAR, and Gabon. The other three CEMAC nations (Chad, Congo, and Equatorial Guinea) were not used due to lack of data. </w:t>
      </w:r>
    </w:p>
  </w:footnote>
  <w:footnote w:id="30">
    <w:p w14:paraId="4A02F33E" w14:textId="77777777" w:rsidR="0050583D" w:rsidRPr="002F7159" w:rsidRDefault="0050583D" w:rsidP="0050583D">
      <w:pPr>
        <w:pStyle w:val="FootnoteText"/>
        <w:jc w:val="both"/>
        <w:rPr>
          <w:rFonts w:ascii="Arial" w:hAnsi="Arial" w:cs="Arial"/>
          <w:i/>
        </w:rPr>
      </w:pPr>
      <w:r w:rsidRPr="002F7159">
        <w:rPr>
          <w:rStyle w:val="FootnoteReference"/>
          <w:rFonts w:ascii="Arial" w:hAnsi="Arial" w:cs="Arial"/>
        </w:rPr>
        <w:footnoteRef/>
      </w:r>
      <w:r w:rsidRPr="002F7159">
        <w:rPr>
          <w:rFonts w:ascii="Arial" w:hAnsi="Arial" w:cs="Arial"/>
        </w:rPr>
        <w:t xml:space="preserve"> </w:t>
      </w:r>
      <w:r w:rsidRPr="002F7159">
        <w:rPr>
          <w:rFonts w:ascii="Arial" w:hAnsi="Arial" w:cs="Arial"/>
          <w:i/>
          <w:lang w:val="en-US"/>
        </w:rPr>
        <w:t xml:space="preserve">The ECT is the speed at which a dependent variable returns to equilibrium after a change in other variables. If ECT </w:t>
      </w:r>
      <w:r>
        <w:rPr>
          <w:rFonts w:ascii="Arial" w:hAnsi="Arial" w:cs="Arial"/>
          <w:i/>
          <w:lang w:val="en-US"/>
        </w:rPr>
        <w:t>has a negative sign and is statistically significant</w:t>
      </w:r>
      <w:r w:rsidRPr="002F7159">
        <w:rPr>
          <w:rFonts w:ascii="Arial" w:hAnsi="Arial" w:cs="Arial"/>
          <w:i/>
          <w:lang w:val="en-US"/>
        </w:rPr>
        <w:t>, it implies that any shock happening in the short-term will be corrected in the long-term</w:t>
      </w:r>
      <w:r>
        <w:rPr>
          <w:rFonts w:ascii="Arial" w:hAnsi="Arial" w:cs="Arial"/>
          <w:i/>
          <w:lang w:val="en-US"/>
        </w:rPr>
        <w:t xml:space="preserve">. </w:t>
      </w:r>
    </w:p>
  </w:footnote>
  <w:footnote w:id="31">
    <w:p w14:paraId="6E3A7B05" w14:textId="77777777" w:rsidR="0050583D" w:rsidRDefault="0050583D" w:rsidP="0050583D">
      <w:pPr>
        <w:pStyle w:val="FootnoteText"/>
        <w:jc w:val="both"/>
      </w:pPr>
      <w:r>
        <w:rPr>
          <w:rStyle w:val="FootnoteReference"/>
        </w:rPr>
        <w:footnoteRef/>
      </w:r>
      <w:r>
        <w:t xml:space="preserve"> </w:t>
      </w:r>
      <w:r w:rsidRPr="00E82827">
        <w:rPr>
          <w:rFonts w:ascii="Arial" w:hAnsi="Arial" w:cs="Arial"/>
          <w:i/>
        </w:rPr>
        <w:t xml:space="preserve">A real </w:t>
      </w:r>
      <w:r>
        <w:rPr>
          <w:rFonts w:ascii="Arial" w:hAnsi="Arial" w:cs="Arial"/>
          <w:i/>
        </w:rPr>
        <w:t xml:space="preserve">effective </w:t>
      </w:r>
      <w:r w:rsidRPr="00E82827">
        <w:rPr>
          <w:rFonts w:ascii="Arial" w:hAnsi="Arial" w:cs="Arial"/>
          <w:i/>
        </w:rPr>
        <w:t>exchange rate (RE</w:t>
      </w:r>
      <w:r>
        <w:rPr>
          <w:rFonts w:ascii="Arial" w:hAnsi="Arial" w:cs="Arial"/>
          <w:i/>
        </w:rPr>
        <w:t>E</w:t>
      </w:r>
      <w:r w:rsidRPr="00E82827">
        <w:rPr>
          <w:rFonts w:ascii="Arial" w:hAnsi="Arial" w:cs="Arial"/>
          <w:i/>
        </w:rPr>
        <w:t xml:space="preserve">R) devaluation often causes a nation’s trade balance to worsen in the short-term before improving in the long-run, thereby having a </w:t>
      </w:r>
      <w:r w:rsidRPr="00E82827">
        <w:rPr>
          <w:rFonts w:ascii="Arial" w:hAnsi="Arial" w:cs="Arial"/>
          <w:i/>
          <w:iCs/>
        </w:rPr>
        <w:t>J-</w:t>
      </w:r>
      <w:r w:rsidRPr="00E82827">
        <w:rPr>
          <w:rFonts w:ascii="Arial" w:hAnsi="Arial" w:cs="Arial"/>
          <w:i/>
        </w:rPr>
        <w:t xml:space="preserve">curve-like effect on a nation’s trade balance. </w:t>
      </w:r>
    </w:p>
  </w:footnote>
  <w:footnote w:id="32">
    <w:p w14:paraId="548E656D" w14:textId="77777777" w:rsidR="0050583D" w:rsidRDefault="0050583D" w:rsidP="0050583D">
      <w:pPr>
        <w:pStyle w:val="FootnoteText"/>
        <w:jc w:val="both"/>
      </w:pPr>
      <w:r>
        <w:rPr>
          <w:rStyle w:val="FootnoteReference"/>
        </w:rPr>
        <w:footnoteRef/>
      </w:r>
      <w:r>
        <w:t xml:space="preserve"> </w:t>
      </w:r>
      <w:r w:rsidRPr="008D4C7A">
        <w:rPr>
          <w:rFonts w:ascii="Arial" w:hAnsi="Arial" w:cs="Arial"/>
          <w:i/>
          <w:iCs/>
        </w:rPr>
        <w:t>The absence of the </w:t>
      </w:r>
      <w:r w:rsidRPr="008D4C7A">
        <w:rPr>
          <w:rStyle w:val="Emphasis"/>
          <w:rFonts w:ascii="Arial" w:hAnsi="Arial" w:cs="Arial"/>
          <w:i w:val="0"/>
          <w:iCs w:val="0"/>
          <w:color w:val="0E101A"/>
        </w:rPr>
        <w:t>J-</w:t>
      </w:r>
      <w:r w:rsidRPr="008D4C7A">
        <w:rPr>
          <w:rFonts w:ascii="Arial" w:hAnsi="Arial" w:cs="Arial"/>
          <w:i/>
          <w:iCs/>
        </w:rPr>
        <w:t>curve implies that the devaluation does not improve the trade balance and that the government could use other policies to improve their trade balance (deficit) (Dhakir </w:t>
      </w:r>
      <w:r w:rsidRPr="008D4C7A">
        <w:rPr>
          <w:rStyle w:val="Emphasis"/>
          <w:rFonts w:ascii="Arial" w:hAnsi="Arial" w:cs="Arial"/>
          <w:i w:val="0"/>
          <w:iCs w:val="0"/>
          <w:color w:val="0E101A"/>
        </w:rPr>
        <w:t>et al.,</w:t>
      </w:r>
      <w:r w:rsidRPr="008D4C7A">
        <w:rPr>
          <w:rFonts w:ascii="Arial" w:hAnsi="Arial" w:cs="Arial"/>
          <w:i/>
          <w:iCs/>
        </w:rPr>
        <w:t> 2015; Ziramba and Chifamba, 2014; Magee, 1973).</w:t>
      </w:r>
    </w:p>
  </w:footnote>
  <w:footnote w:id="33">
    <w:p w14:paraId="75D5F51D" w14:textId="77777777" w:rsidR="0050583D" w:rsidRDefault="0050583D" w:rsidP="0050583D">
      <w:pPr>
        <w:spacing w:after="0" w:line="240" w:lineRule="auto"/>
        <w:jc w:val="both"/>
      </w:pPr>
      <w:r w:rsidRPr="00C0040F">
        <w:rPr>
          <w:rStyle w:val="FootnoteReference"/>
          <w:i/>
          <w:iCs/>
          <w:sz w:val="20"/>
          <w:szCs w:val="20"/>
        </w:rPr>
        <w:footnoteRef/>
      </w:r>
      <w:r w:rsidRPr="00C0040F">
        <w:rPr>
          <w:i/>
          <w:iCs/>
          <w:sz w:val="20"/>
          <w:szCs w:val="20"/>
        </w:rPr>
        <w:t xml:space="preserve"> </w:t>
      </w:r>
      <w:r w:rsidRPr="00C0040F">
        <w:rPr>
          <w:rFonts w:ascii="Arial" w:hAnsi="Arial" w:cs="Arial"/>
          <w:i/>
          <w:iCs/>
          <w:sz w:val="20"/>
          <w:szCs w:val="20"/>
        </w:rPr>
        <w:t>ARDL approach allows us to determine the number of long-run equilibrium relationships between integrated variables irrespective of whether the variables are integrated of order zero (i.e., the variables are stationary at level form - </w:t>
      </w:r>
      <w:r w:rsidRPr="00C0040F">
        <w:rPr>
          <w:rStyle w:val="Emphasis"/>
          <w:rFonts w:ascii="Arial" w:hAnsi="Arial" w:cs="Arial"/>
          <w:i w:val="0"/>
          <w:iCs w:val="0"/>
          <w:color w:val="0E101A"/>
          <w:sz w:val="20"/>
          <w:szCs w:val="20"/>
        </w:rPr>
        <w:t>I</w:t>
      </w:r>
      <w:r w:rsidRPr="00C0040F">
        <w:rPr>
          <w:rStyle w:val="Strong"/>
          <w:rFonts w:ascii="Arial" w:hAnsi="Arial" w:cs="Arial"/>
          <w:i/>
          <w:iCs/>
          <w:color w:val="0E101A"/>
          <w:sz w:val="20"/>
          <w:szCs w:val="20"/>
        </w:rPr>
        <w:t>(0)</w:t>
      </w:r>
      <w:r w:rsidRPr="00C0040F">
        <w:rPr>
          <w:rFonts w:ascii="Arial" w:hAnsi="Arial" w:cs="Arial"/>
          <w:i/>
          <w:iCs/>
          <w:sz w:val="20"/>
          <w:szCs w:val="20"/>
        </w:rPr>
        <w:t>) or integrated of order one (i.e., the variables become stationary at first difference - </w:t>
      </w:r>
      <w:r w:rsidRPr="00C0040F">
        <w:rPr>
          <w:rStyle w:val="Emphasis"/>
          <w:rFonts w:ascii="Arial" w:hAnsi="Arial" w:cs="Arial"/>
          <w:i w:val="0"/>
          <w:iCs w:val="0"/>
          <w:color w:val="0E101A"/>
          <w:sz w:val="20"/>
          <w:szCs w:val="20"/>
        </w:rPr>
        <w:t>I</w:t>
      </w:r>
      <w:r w:rsidRPr="00C0040F">
        <w:rPr>
          <w:rStyle w:val="Strong"/>
          <w:rFonts w:ascii="Arial" w:hAnsi="Arial" w:cs="Arial"/>
          <w:i/>
          <w:iCs/>
          <w:color w:val="0E101A"/>
          <w:sz w:val="20"/>
          <w:szCs w:val="20"/>
        </w:rPr>
        <w:t>(1)</w:t>
      </w:r>
      <w:r w:rsidRPr="00C0040F">
        <w:rPr>
          <w:rFonts w:ascii="Arial" w:hAnsi="Arial" w:cs="Arial"/>
          <w:i/>
          <w:iCs/>
          <w:sz w:val="20"/>
          <w:szCs w:val="20"/>
        </w:rPr>
        <w:t>)</w:t>
      </w:r>
      <w:r w:rsidRPr="00C0040F">
        <w:rPr>
          <w:rFonts w:ascii="Arial" w:hAnsi="Arial" w:cs="Arial"/>
          <w:i/>
          <w:iCs/>
          <w:sz w:val="20"/>
          <w:szCs w:val="20"/>
          <w:lang w:val="en-US"/>
        </w:rPr>
        <w:t>.</w:t>
      </w:r>
    </w:p>
  </w:footnote>
  <w:footnote w:id="34">
    <w:p w14:paraId="2C2956AB" w14:textId="77777777" w:rsidR="0050583D" w:rsidRDefault="0050583D" w:rsidP="0050583D">
      <w:pPr>
        <w:spacing w:after="0" w:line="240" w:lineRule="auto"/>
        <w:jc w:val="both"/>
        <w:rPr>
          <w:rFonts w:ascii="Arial" w:hAnsi="Arial" w:cs="Arial"/>
        </w:rPr>
      </w:pPr>
      <w:r>
        <w:rPr>
          <w:rStyle w:val="FootnoteReference"/>
        </w:rPr>
        <w:footnoteRef/>
      </w:r>
      <w:r>
        <w:t xml:space="preserve"> </w:t>
      </w:r>
      <w:r w:rsidRPr="00AF0E64">
        <w:rPr>
          <w:rFonts w:ascii="Arial" w:hAnsi="Arial" w:cs="Arial"/>
          <w:i/>
          <w:iCs/>
          <w:sz w:val="20"/>
          <w:szCs w:val="20"/>
          <w:lang w:eastAsia="en-GB"/>
        </w:rPr>
        <w:t>The natural log function of TB has the advantage of making the estimated coefficients directly interpretable as a percentage change and a measure of elasticity, thereby letting us check if the Marshall-Lerner condition (MLC) is fulfilled or not (Dongfack and Ouyang, 2019). Also, it eliminates the need of explaining the dependent variable (TB) in real terms with the appropriate price index.</w:t>
      </w:r>
      <w:r w:rsidRPr="000C2097">
        <w:rPr>
          <w:rFonts w:ascii="Arial" w:hAnsi="Arial" w:cs="Arial"/>
          <w:lang w:eastAsia="en-GB"/>
        </w:rPr>
        <w:t>  </w:t>
      </w:r>
    </w:p>
    <w:p w14:paraId="48EE9EC9" w14:textId="77777777" w:rsidR="0050583D" w:rsidRDefault="0050583D" w:rsidP="0050583D">
      <w:pPr>
        <w:pStyle w:val="FootnoteText"/>
      </w:pPr>
    </w:p>
  </w:footnote>
  <w:footnote w:id="35">
    <w:p w14:paraId="752D42FD" w14:textId="437D6356" w:rsidR="00ED14F2" w:rsidRPr="00ED14F2" w:rsidRDefault="00ED14F2" w:rsidP="00ED14F2">
      <w:pPr>
        <w:pStyle w:val="FootnoteText"/>
        <w:jc w:val="both"/>
        <w:rPr>
          <w:i/>
          <w:iCs/>
        </w:rPr>
      </w:pPr>
      <w:r w:rsidRPr="00ED14F2">
        <w:rPr>
          <w:rStyle w:val="FootnoteReference"/>
          <w:i/>
          <w:iCs/>
        </w:rPr>
        <w:footnoteRef/>
      </w:r>
      <w:r w:rsidRPr="00ED14F2">
        <w:rPr>
          <w:i/>
          <w:iCs/>
        </w:rPr>
        <w:t xml:space="preserve"> </w:t>
      </w:r>
      <w:r w:rsidRPr="00ED14F2">
        <w:rPr>
          <w:rFonts w:ascii="Arial" w:eastAsia="Times New Roman" w:hAnsi="Arial" w:cs="Arial"/>
          <w:i/>
          <w:iCs/>
          <w:lang w:val="en-US" w:eastAsia="en-GB"/>
        </w:rPr>
        <w:t>An increase in a nation’s REER is an indication that its exports are becoming more expensive, and its imports are becoming cheaper. It could lose its trade competitiveness as less of its export might be bought, while its residents import more of cheaper goods. The increase in imports means that the residents of the nation will be demanding more of the foreign nation’s currency to purchase their products. At the same time, less of the domestic currency will be demanded by foreign residents since less of its products are demanded. An increase in the demand for foreign currency relative to its supply will cause an increase in the price of the currency. This increase in the foreign currency means that the currency is appreciating, and the domestic currency is depreciating (devaluating). As the process continues, the exchange rate changes, and it could eventually get to its equilibrium whereby the demand and supply of the currency is equal.</w:t>
      </w:r>
    </w:p>
  </w:footnote>
  <w:footnote w:id="36">
    <w:p w14:paraId="0BBEF12C" w14:textId="77777777" w:rsidR="008036A6" w:rsidRPr="008E6CF5" w:rsidRDefault="008036A6" w:rsidP="008036A6">
      <w:pPr>
        <w:pStyle w:val="FootnoteText"/>
        <w:jc w:val="both"/>
        <w:rPr>
          <w:i/>
        </w:rPr>
      </w:pPr>
      <w:r w:rsidRPr="008E6CF5">
        <w:rPr>
          <w:rStyle w:val="FootnoteReference"/>
          <w:i/>
        </w:rPr>
        <w:footnoteRef/>
      </w:r>
      <w:r w:rsidRPr="008E6CF5">
        <w:rPr>
          <w:i/>
        </w:rPr>
        <w:t xml:space="preserve"> </w:t>
      </w:r>
      <w:r w:rsidRPr="0047717A">
        <w:rPr>
          <w:rFonts w:ascii="Arial" w:hAnsi="Arial" w:cs="Arial"/>
          <w:i/>
        </w:rPr>
        <w:t xml:space="preserve">The </w:t>
      </w:r>
      <w:r w:rsidRPr="0047717A">
        <w:rPr>
          <w:rFonts w:ascii="Arial" w:hAnsi="Arial" w:cs="Arial"/>
          <w:i/>
          <w:lang w:val="en-US"/>
        </w:rPr>
        <w:t>condition states that devaluation improves the trade balance if the sum of the foreign price elasticity of demand for export (ƞ</w:t>
      </w:r>
      <w:r w:rsidRPr="0047717A">
        <w:rPr>
          <w:rFonts w:ascii="Arial" w:hAnsi="Arial" w:cs="Arial"/>
          <w:i/>
          <w:vertAlign w:val="subscript"/>
          <w:lang w:val="en-US"/>
        </w:rPr>
        <w:t>x</w:t>
      </w:r>
      <w:r w:rsidRPr="0047717A">
        <w:rPr>
          <w:rFonts w:ascii="Arial" w:hAnsi="Arial" w:cs="Arial"/>
          <w:i/>
          <w:lang w:val="en-US"/>
        </w:rPr>
        <w:t>) and domestic price elasticity of demand for imports (ƞ</w:t>
      </w:r>
      <w:r w:rsidRPr="0047717A">
        <w:rPr>
          <w:rFonts w:ascii="Arial" w:hAnsi="Arial" w:cs="Arial"/>
          <w:i/>
          <w:vertAlign w:val="subscript"/>
          <w:lang w:val="en-US"/>
        </w:rPr>
        <w:t>m</w:t>
      </w:r>
      <w:r w:rsidRPr="0047717A">
        <w:rPr>
          <w:rFonts w:ascii="Arial" w:hAnsi="Arial" w:cs="Arial"/>
          <w:i/>
          <w:lang w:val="en-US"/>
        </w:rPr>
        <w:t>) exceeds unity, in absolute value, i.e., if:</w:t>
      </w:r>
      <w:r w:rsidRPr="0047717A">
        <w:rPr>
          <w:rFonts w:ascii="Arial" w:hAnsi="Arial" w:cs="Arial"/>
          <w:lang w:val="en-US"/>
        </w:rPr>
        <w:t xml:space="preserve"> </w:t>
      </w:r>
      <w:r w:rsidRPr="0047717A">
        <w:rPr>
          <w:rFonts w:ascii="Arial" w:hAnsi="Arial" w:cs="Arial"/>
          <w:i/>
          <w:lang w:val="en-US"/>
        </w:rPr>
        <w:t>│ƞ</w:t>
      </w:r>
      <w:r w:rsidRPr="0047717A">
        <w:rPr>
          <w:rFonts w:ascii="Arial" w:hAnsi="Arial" w:cs="Arial"/>
          <w:i/>
          <w:vertAlign w:val="subscript"/>
          <w:lang w:val="en-US"/>
        </w:rPr>
        <w:t>x</w:t>
      </w:r>
      <w:r w:rsidRPr="0047717A">
        <w:rPr>
          <w:rFonts w:ascii="Arial" w:hAnsi="Arial" w:cs="Arial"/>
          <w:i/>
          <w:lang w:val="en-US"/>
        </w:rPr>
        <w:t xml:space="preserve"> + ƞ</w:t>
      </w:r>
      <w:r w:rsidRPr="0047717A">
        <w:rPr>
          <w:rFonts w:ascii="Arial" w:hAnsi="Arial" w:cs="Arial"/>
          <w:i/>
          <w:vertAlign w:val="subscript"/>
          <w:lang w:val="en-US"/>
        </w:rPr>
        <w:t>m</w:t>
      </w:r>
      <w:r w:rsidRPr="0047717A">
        <w:rPr>
          <w:rFonts w:ascii="Arial" w:hAnsi="Arial" w:cs="Arial"/>
          <w:i/>
          <w:lang w:val="en-US"/>
        </w:rPr>
        <w:t>│ &gt;1</w:t>
      </w:r>
      <w:r>
        <w:rPr>
          <w:rFonts w:ascii="Arial" w:hAnsi="Arial" w:cs="Arial"/>
          <w:i/>
          <w:lang w:val="en-US"/>
        </w:rPr>
        <w:t xml:space="preserve">. </w:t>
      </w:r>
    </w:p>
  </w:footnote>
  <w:footnote w:id="37">
    <w:p w14:paraId="77C190CE" w14:textId="77777777" w:rsidR="00F41E4D" w:rsidRDefault="00F41E4D" w:rsidP="00050ACC">
      <w:pPr>
        <w:spacing w:after="0" w:line="240" w:lineRule="auto"/>
        <w:jc w:val="both"/>
      </w:pPr>
      <w:r>
        <w:rPr>
          <w:rStyle w:val="FootnoteReference"/>
        </w:rPr>
        <w:footnoteRef/>
      </w:r>
      <w:r>
        <w:t xml:space="preserve"> </w:t>
      </w:r>
      <w:r w:rsidRPr="0037197E">
        <w:rPr>
          <w:rFonts w:ascii="Arial" w:hAnsi="Arial" w:cs="Arial"/>
          <w:i/>
          <w:iCs/>
          <w:sz w:val="20"/>
          <w:szCs w:val="20"/>
          <w:lang w:eastAsia="en-GB"/>
        </w:rPr>
        <w:t>The following nations left the franc zone: Lebanon (1948), Morocco, Algeria, and Tunisia (between 1958 and 1962), and Guinea Conakry (1958). </w:t>
      </w:r>
    </w:p>
  </w:footnote>
  <w:footnote w:id="38">
    <w:p w14:paraId="5A7C6EB9" w14:textId="5F740BD1" w:rsidR="00F41E4D" w:rsidRPr="00587FE3" w:rsidRDefault="00F41E4D" w:rsidP="00587FE3">
      <w:pPr>
        <w:spacing w:after="0" w:line="240" w:lineRule="auto"/>
        <w:jc w:val="both"/>
        <w:rPr>
          <w:rFonts w:ascii="Arial" w:hAnsi="Arial" w:cs="Arial"/>
          <w:sz w:val="20"/>
          <w:szCs w:val="20"/>
          <w:lang w:eastAsia="en-GB"/>
        </w:rPr>
      </w:pPr>
      <w:r>
        <w:rPr>
          <w:rStyle w:val="FootnoteReference"/>
        </w:rPr>
        <w:footnoteRef/>
      </w:r>
      <w:r>
        <w:t xml:space="preserve"> </w:t>
      </w:r>
      <w:r w:rsidRPr="0037197E">
        <w:rPr>
          <w:rFonts w:ascii="Arial" w:hAnsi="Arial" w:cs="Arial"/>
          <w:i/>
          <w:iCs/>
          <w:sz w:val="20"/>
          <w:szCs w:val="20"/>
          <w:lang w:eastAsia="en-GB"/>
        </w:rPr>
        <w:t>Obtained from Banque de France (2010).</w:t>
      </w:r>
    </w:p>
  </w:footnote>
  <w:footnote w:id="39">
    <w:p w14:paraId="72B0A657" w14:textId="77777777" w:rsidR="00F41E4D" w:rsidRDefault="00F41E4D" w:rsidP="00050ACC">
      <w:pPr>
        <w:pStyle w:val="FootnoteText"/>
        <w:jc w:val="both"/>
      </w:pPr>
      <w:r>
        <w:rPr>
          <w:rStyle w:val="FootnoteReference"/>
        </w:rPr>
        <w:footnoteRef/>
      </w:r>
      <w:r>
        <w:t xml:space="preserve"> </w:t>
      </w:r>
      <w:r w:rsidRPr="0037197E">
        <w:rPr>
          <w:rFonts w:ascii="Arial" w:hAnsi="Arial" w:cs="Arial"/>
          <w:i/>
          <w:iCs/>
          <w:lang w:eastAsia="en-GB"/>
        </w:rPr>
        <w:t>This proportion was reduced from 65% to 50% for the net external assets of the BCEAO, following the amendment of 20 September 2005 to the operations account agreement of 4 December 1973. In accordance with the new operation account agreement of the BEAC signed on 5 January 2007, this proportion has been gradually lowered and has stood at 50% since 1 July 2009 (Banque de France, 2010).</w:t>
      </w:r>
    </w:p>
  </w:footnote>
  <w:footnote w:id="40">
    <w:p w14:paraId="7DEA5076" w14:textId="77777777" w:rsidR="00F41E4D" w:rsidRPr="0037197E" w:rsidRDefault="00F41E4D" w:rsidP="00050ACC">
      <w:pPr>
        <w:spacing w:after="0" w:line="240" w:lineRule="auto"/>
        <w:jc w:val="both"/>
        <w:rPr>
          <w:rFonts w:ascii="Arial" w:hAnsi="Arial" w:cs="Arial"/>
          <w:sz w:val="20"/>
          <w:szCs w:val="20"/>
          <w:lang w:eastAsia="en-GB"/>
        </w:rPr>
      </w:pPr>
      <w:r>
        <w:rPr>
          <w:rStyle w:val="FootnoteReference"/>
        </w:rPr>
        <w:footnoteRef/>
      </w:r>
      <w:r>
        <w:t xml:space="preserve"> </w:t>
      </w:r>
      <w:r w:rsidRPr="0037197E">
        <w:rPr>
          <w:rFonts w:ascii="Arial" w:hAnsi="Arial" w:cs="Arial"/>
          <w:i/>
          <w:iCs/>
          <w:sz w:val="20"/>
          <w:szCs w:val="20"/>
          <w:lang w:eastAsia="en-GB"/>
        </w:rPr>
        <w:t>The SDR is the unit of account for the International Monetary Fund. Its value is determined daily based on a basket of four currencies (the US dollar, the euro, the British pound, and the yen).</w:t>
      </w:r>
    </w:p>
    <w:p w14:paraId="211DBE9F" w14:textId="77777777" w:rsidR="00F41E4D" w:rsidRDefault="00F41E4D" w:rsidP="00050ACC">
      <w:pPr>
        <w:pStyle w:val="FootnoteText"/>
      </w:pPr>
    </w:p>
  </w:footnote>
  <w:footnote w:id="41">
    <w:p w14:paraId="2A07E144" w14:textId="4FFE51AC" w:rsidR="00F41E4D" w:rsidRDefault="00F41E4D" w:rsidP="008D7D5B">
      <w:pPr>
        <w:pStyle w:val="FootnoteText"/>
        <w:jc w:val="both"/>
      </w:pPr>
      <w:r>
        <w:rPr>
          <w:rStyle w:val="FootnoteReference"/>
        </w:rPr>
        <w:footnoteRef/>
      </w:r>
      <w:r>
        <w:t xml:space="preserve"> </w:t>
      </w:r>
      <w:r w:rsidRPr="001B283A">
        <w:rPr>
          <w:rFonts w:ascii="Arial" w:hAnsi="Arial" w:cs="Arial"/>
          <w:i/>
          <w:iCs/>
          <w:lang w:eastAsia="en-GB"/>
        </w:rPr>
        <w:t>The parity of the CFA franc was changed from 50 CFA francs to 100 CFA francs per French Franc in the CEMAC and UEMOA region. While in the Comoros, the currency was devalued from 50 Comoran francs per French Franc to 75 Comorian francs per French Franc (Devarajan</w:t>
      </w:r>
      <w:r w:rsidR="00691294">
        <w:rPr>
          <w:rFonts w:ascii="Arial" w:hAnsi="Arial" w:cs="Arial"/>
          <w:i/>
          <w:iCs/>
          <w:lang w:eastAsia="en-GB"/>
        </w:rPr>
        <w:t xml:space="preserve"> and Hinkle</w:t>
      </w:r>
      <w:r w:rsidRPr="001B283A">
        <w:rPr>
          <w:rFonts w:ascii="Arial" w:hAnsi="Arial" w:cs="Arial"/>
          <w:i/>
          <w:iCs/>
          <w:lang w:eastAsia="en-GB"/>
        </w:rPr>
        <w:t>, 1994).</w:t>
      </w:r>
    </w:p>
  </w:footnote>
  <w:footnote w:id="42">
    <w:p w14:paraId="0B59BEA1" w14:textId="77777777" w:rsidR="00F41E4D" w:rsidRDefault="00F41E4D" w:rsidP="008D7D5B">
      <w:pPr>
        <w:pStyle w:val="FootnoteText"/>
        <w:jc w:val="both"/>
      </w:pPr>
      <w:r>
        <w:rPr>
          <w:rStyle w:val="FootnoteReference"/>
        </w:rPr>
        <w:footnoteRef/>
      </w:r>
      <w:r>
        <w:t xml:space="preserve"> </w:t>
      </w:r>
      <w:r w:rsidRPr="001B283A">
        <w:rPr>
          <w:rFonts w:ascii="Arial" w:hAnsi="Arial" w:cs="Arial"/>
          <w:i/>
          <w:iCs/>
          <w:lang w:eastAsia="en-GB"/>
        </w:rPr>
        <w:t>But for the Central Africa Republic, the other five CEMAC zone nations are crude oil exporters.</w:t>
      </w:r>
    </w:p>
  </w:footnote>
  <w:footnote w:id="43">
    <w:p w14:paraId="0CF2E090" w14:textId="2EFF020A" w:rsidR="00F41E4D" w:rsidRDefault="00F41E4D" w:rsidP="008D7D5B">
      <w:pPr>
        <w:pStyle w:val="FootnoteText"/>
        <w:jc w:val="both"/>
      </w:pPr>
      <w:r>
        <w:rPr>
          <w:rStyle w:val="FootnoteReference"/>
        </w:rPr>
        <w:footnoteRef/>
      </w:r>
      <w:r>
        <w:t xml:space="preserve"> </w:t>
      </w:r>
      <w:r w:rsidRPr="001B283A">
        <w:rPr>
          <w:rFonts w:ascii="Arial" w:hAnsi="Arial" w:cs="Arial"/>
          <w:i/>
          <w:iCs/>
          <w:lang w:eastAsia="en-GB"/>
        </w:rPr>
        <w:t xml:space="preserve">The crisis was due to the massive overvaluation of the real exchange rate caused by an unfortunate combination of inappropriate domestic economic policies and major external shocks. The internal adjustment programs pursued by the CFA </w:t>
      </w:r>
      <w:r w:rsidR="003326CB">
        <w:rPr>
          <w:rFonts w:ascii="Arial" w:hAnsi="Arial" w:cs="Arial"/>
          <w:i/>
          <w:iCs/>
          <w:lang w:eastAsia="en-GB"/>
        </w:rPr>
        <w:t xml:space="preserve">franc </w:t>
      </w:r>
      <w:r w:rsidRPr="001B283A">
        <w:rPr>
          <w:rFonts w:ascii="Arial" w:hAnsi="Arial" w:cs="Arial"/>
          <w:i/>
          <w:iCs/>
          <w:lang w:eastAsia="en-GB"/>
        </w:rPr>
        <w:t>zone nations were inadequate to depreciate the RER. Instead, it contributed to the continuous downward economic spiral, necessitating significant policy changes. </w:t>
      </w:r>
    </w:p>
  </w:footnote>
  <w:footnote w:id="44">
    <w:p w14:paraId="7603753B" w14:textId="77777777" w:rsidR="00257C54" w:rsidRPr="00614C9C" w:rsidRDefault="00257C54" w:rsidP="00257C54">
      <w:pPr>
        <w:spacing w:line="240" w:lineRule="auto"/>
        <w:jc w:val="both"/>
        <w:rPr>
          <w:rFonts w:ascii="Arial" w:hAnsi="Arial" w:cs="Arial"/>
          <w:i/>
          <w:iCs/>
          <w:sz w:val="20"/>
          <w:szCs w:val="20"/>
        </w:rPr>
      </w:pPr>
      <w:r w:rsidRPr="00614C9C">
        <w:rPr>
          <w:rStyle w:val="FootnoteReference"/>
          <w:rFonts w:ascii="Arial" w:hAnsi="Arial" w:cs="Arial"/>
          <w:i/>
          <w:iCs/>
          <w:sz w:val="20"/>
          <w:szCs w:val="20"/>
        </w:rPr>
        <w:footnoteRef/>
      </w:r>
      <w:r w:rsidRPr="00614C9C">
        <w:rPr>
          <w:rFonts w:ascii="Arial" w:hAnsi="Arial" w:cs="Arial"/>
          <w:i/>
          <w:iCs/>
          <w:sz w:val="20"/>
          <w:szCs w:val="20"/>
        </w:rPr>
        <w:t xml:space="preserve"> In the study of </w:t>
      </w:r>
      <w:r w:rsidRPr="006334D8">
        <w:rPr>
          <w:rFonts w:ascii="Arial" w:hAnsi="Arial" w:cs="Arial"/>
          <w:i/>
          <w:iCs/>
          <w:sz w:val="20"/>
          <w:szCs w:val="20"/>
        </w:rPr>
        <w:t>Clark and MacDonald (2004),</w:t>
      </w:r>
      <w:r w:rsidRPr="00614C9C">
        <w:rPr>
          <w:rFonts w:ascii="Arial" w:hAnsi="Arial" w:cs="Arial"/>
          <w:i/>
          <w:iCs/>
          <w:sz w:val="20"/>
          <w:szCs w:val="20"/>
        </w:rPr>
        <w:t xml:space="preserve"> they called the model that calculates the exchange rate current misalignment the “BEER model”, and called the model that calculates the exchange rate long-run misalignment the “permanent equilibrium exchange rate (PEER) model”. The use of the two names are not consistent among economists, like Funke and Rahn (2005) used same name as Clark and MacDonald (2004). While Wang et al. (2007) used the PEER (and the Hodrick-Prescott filtered values of economic fundamentals), and they still called their model the BEER model. Looking at the definition used by Clark and MacDonald (2004), the model used by Wang et al.(2007) is to be called the PEER model, as the difference between BEER and PEER models named by Clark and MacDonald (2004) is  the use of current and long-term values of economic fundamentals. In this research, we classify them together under BEER model. That is, we shall be using both BEER and PEER models as the BEER model as done by Wang et al. (2007).</w:t>
      </w:r>
    </w:p>
    <w:p w14:paraId="7DB55C14" w14:textId="77777777" w:rsidR="00257C54" w:rsidRDefault="00257C54" w:rsidP="00257C54">
      <w:pPr>
        <w:pStyle w:val="FootnoteText"/>
      </w:pPr>
    </w:p>
  </w:footnote>
  <w:footnote w:id="45">
    <w:p w14:paraId="03EF3F9F" w14:textId="77777777" w:rsidR="003D31A5" w:rsidRPr="0092429B" w:rsidRDefault="003D31A5" w:rsidP="003D31A5">
      <w:pPr>
        <w:pStyle w:val="FootnoteText"/>
        <w:jc w:val="both"/>
        <w:rPr>
          <w:rFonts w:ascii="Arial" w:hAnsi="Arial" w:cs="Arial"/>
          <w:i/>
          <w:iCs/>
        </w:rPr>
      </w:pPr>
      <w:r>
        <w:rPr>
          <w:rStyle w:val="FootnoteReference"/>
        </w:rPr>
        <w:footnoteRef/>
      </w:r>
      <w:r>
        <w:t xml:space="preserve"> </w:t>
      </w:r>
      <w:r>
        <w:rPr>
          <w:rFonts w:ascii="Arial" w:hAnsi="Arial" w:cs="Arial"/>
          <w:i/>
          <w:iCs/>
        </w:rPr>
        <w:t xml:space="preserve">A long-term relationship could either result in the presence of a J-curve or an S-curve. An S-curve occurs when a currency devaluation leads to an initial improvement in the TB in the short-term and a drop in the long-term (thereby producing an S-sharp like movement of the TB). </w:t>
      </w:r>
    </w:p>
  </w:footnote>
  <w:footnote w:id="46">
    <w:p w14:paraId="6937FB97" w14:textId="77777777" w:rsidR="00114CCB" w:rsidRPr="00513E34" w:rsidRDefault="00114CCB" w:rsidP="000776FD">
      <w:pPr>
        <w:autoSpaceDE w:val="0"/>
        <w:autoSpaceDN w:val="0"/>
        <w:adjustRightInd w:val="0"/>
        <w:jc w:val="both"/>
        <w:rPr>
          <w:rFonts w:cs="Times New Roman"/>
          <w:i/>
          <w:sz w:val="20"/>
          <w:szCs w:val="20"/>
          <w:lang w:val="en-US"/>
        </w:rPr>
      </w:pPr>
      <w:r w:rsidRPr="000776FD">
        <w:rPr>
          <w:rStyle w:val="FootnoteReference"/>
          <w:rFonts w:ascii="Arial" w:hAnsi="Arial" w:cs="Arial"/>
          <w:sz w:val="20"/>
          <w:szCs w:val="20"/>
        </w:rPr>
        <w:footnoteRef/>
      </w:r>
      <w:r w:rsidRPr="000776FD">
        <w:rPr>
          <w:rFonts w:ascii="Arial" w:hAnsi="Arial" w:cs="Arial"/>
          <w:sz w:val="20"/>
          <w:szCs w:val="20"/>
        </w:rPr>
        <w:t xml:space="preserve"> </w:t>
      </w:r>
      <w:r w:rsidRPr="000776FD">
        <w:rPr>
          <w:rFonts w:ascii="Arial" w:hAnsi="Arial" w:cs="Arial"/>
          <w:i/>
          <w:sz w:val="20"/>
          <w:szCs w:val="20"/>
        </w:rPr>
        <w:t xml:space="preserve">The </w:t>
      </w:r>
      <w:r w:rsidRPr="000776FD">
        <w:rPr>
          <w:rFonts w:ascii="Arial" w:hAnsi="Arial" w:cs="Arial"/>
          <w:i/>
          <w:sz w:val="20"/>
          <w:szCs w:val="20"/>
          <w:lang w:val="en-US"/>
        </w:rPr>
        <w:t>condition states that devaluation improves the BoP on trade balance if the sum of the foreign price elasticity of demand for export (ƞ</w:t>
      </w:r>
      <w:r w:rsidRPr="000776FD">
        <w:rPr>
          <w:rFonts w:ascii="Arial" w:hAnsi="Arial" w:cs="Arial"/>
          <w:i/>
          <w:sz w:val="20"/>
          <w:szCs w:val="20"/>
          <w:vertAlign w:val="subscript"/>
          <w:lang w:val="en-US"/>
        </w:rPr>
        <w:t>x</w:t>
      </w:r>
      <w:r w:rsidRPr="000776FD">
        <w:rPr>
          <w:rFonts w:ascii="Arial" w:hAnsi="Arial" w:cs="Arial"/>
          <w:i/>
          <w:sz w:val="20"/>
          <w:szCs w:val="20"/>
          <w:lang w:val="en-US"/>
        </w:rPr>
        <w:t>) and domestic price elasticity of demand for imports (ƞ</w:t>
      </w:r>
      <w:r w:rsidRPr="000776FD">
        <w:rPr>
          <w:rFonts w:ascii="Arial" w:hAnsi="Arial" w:cs="Arial"/>
          <w:i/>
          <w:sz w:val="20"/>
          <w:szCs w:val="20"/>
          <w:vertAlign w:val="subscript"/>
          <w:lang w:val="en-US"/>
        </w:rPr>
        <w:t>m</w:t>
      </w:r>
      <w:r w:rsidRPr="000776FD">
        <w:rPr>
          <w:rFonts w:ascii="Arial" w:hAnsi="Arial" w:cs="Arial"/>
          <w:i/>
          <w:sz w:val="20"/>
          <w:szCs w:val="20"/>
          <w:lang w:val="en-US"/>
        </w:rPr>
        <w:t>) exceeds unity, in absolute value, i.e. if:</w:t>
      </w:r>
      <w:r w:rsidRPr="000776FD">
        <w:rPr>
          <w:rFonts w:ascii="Arial" w:hAnsi="Arial" w:cs="Arial"/>
          <w:sz w:val="20"/>
          <w:szCs w:val="20"/>
          <w:lang w:val="en-US"/>
        </w:rPr>
        <w:t xml:space="preserve"> </w:t>
      </w:r>
      <w:r w:rsidRPr="000776FD">
        <w:rPr>
          <w:rFonts w:ascii="Arial" w:hAnsi="Arial" w:cs="Arial"/>
          <w:i/>
          <w:sz w:val="20"/>
          <w:szCs w:val="20"/>
          <w:lang w:val="en-US"/>
        </w:rPr>
        <w:t>│ƞ</w:t>
      </w:r>
      <w:r w:rsidRPr="000776FD">
        <w:rPr>
          <w:rFonts w:ascii="Arial" w:hAnsi="Arial" w:cs="Arial"/>
          <w:i/>
          <w:sz w:val="20"/>
          <w:szCs w:val="20"/>
          <w:vertAlign w:val="subscript"/>
          <w:lang w:val="en-US"/>
        </w:rPr>
        <w:t>x</w:t>
      </w:r>
      <w:r w:rsidRPr="000776FD">
        <w:rPr>
          <w:rFonts w:ascii="Arial" w:hAnsi="Arial" w:cs="Arial"/>
          <w:i/>
          <w:sz w:val="20"/>
          <w:szCs w:val="20"/>
          <w:lang w:val="en-US"/>
        </w:rPr>
        <w:t xml:space="preserve"> + ƞ</w:t>
      </w:r>
      <w:r w:rsidRPr="000776FD">
        <w:rPr>
          <w:rFonts w:ascii="Arial" w:hAnsi="Arial" w:cs="Arial"/>
          <w:i/>
          <w:sz w:val="20"/>
          <w:szCs w:val="20"/>
          <w:vertAlign w:val="subscript"/>
          <w:lang w:val="en-US"/>
        </w:rPr>
        <w:t>m</w:t>
      </w:r>
      <w:r w:rsidRPr="000776FD">
        <w:rPr>
          <w:rFonts w:ascii="Arial" w:hAnsi="Arial" w:cs="Arial"/>
          <w:i/>
          <w:sz w:val="20"/>
          <w:szCs w:val="20"/>
          <w:lang w:val="en-US"/>
        </w:rPr>
        <w:t>│ &gt;1</w:t>
      </w:r>
      <w:r>
        <w:rPr>
          <w:rFonts w:cs="Times New Roman"/>
          <w:i/>
          <w:sz w:val="20"/>
          <w:szCs w:val="20"/>
          <w:lang w:val="en-US"/>
        </w:rPr>
        <w:t>.</w:t>
      </w:r>
    </w:p>
    <w:p w14:paraId="23BBB815" w14:textId="77777777" w:rsidR="00114CCB" w:rsidRPr="00513E34" w:rsidRDefault="00114CCB" w:rsidP="00114CCB">
      <w:pPr>
        <w:pStyle w:val="FootnoteText"/>
        <w:rPr>
          <w:i/>
        </w:rPr>
      </w:pPr>
    </w:p>
  </w:footnote>
  <w:footnote w:id="47">
    <w:p w14:paraId="3D8247BF" w14:textId="1B4D4DEE" w:rsidR="003463BA" w:rsidRPr="003463BA" w:rsidRDefault="003463BA" w:rsidP="003463BA">
      <w:pPr>
        <w:pStyle w:val="FootnoteText"/>
        <w:jc w:val="both"/>
        <w:rPr>
          <w:i/>
          <w:iCs/>
        </w:rPr>
      </w:pPr>
      <w:r w:rsidRPr="003463BA">
        <w:rPr>
          <w:rStyle w:val="FootnoteReference"/>
          <w:i/>
          <w:iCs/>
        </w:rPr>
        <w:footnoteRef/>
      </w:r>
      <w:r w:rsidRPr="003463BA">
        <w:rPr>
          <w:i/>
          <w:iCs/>
        </w:rPr>
        <w:t xml:space="preserve"> </w:t>
      </w:r>
      <w:r w:rsidRPr="003463BA">
        <w:rPr>
          <w:rFonts w:ascii="Arial" w:hAnsi="Arial" w:cs="Arial"/>
          <w:i/>
          <w:iCs/>
          <w:lang w:val="en-US"/>
        </w:rPr>
        <w:t>It is generally believed by most economist that elasticity is lower in the short-term than in the long-term, in which case the Marshall-Lerner condition could only hold in the medium to long-term. The probability of the Marshall-Lerner condition not holding in the short-term, though it holds in the long-term has led to the phenomenon known as the J-curve effect. The concept underlying the J-curve is that in the short-term, export and import volumes do not change much such that the price effect outweighs the volume effect resulting to deterioration in the TB.</w:t>
      </w:r>
    </w:p>
  </w:footnote>
  <w:footnote w:id="48">
    <w:p w14:paraId="4542403F" w14:textId="77777777" w:rsidR="00423B45" w:rsidRPr="00423B45" w:rsidRDefault="00423B45" w:rsidP="00423B45">
      <w:pPr>
        <w:spacing w:after="0" w:line="240" w:lineRule="auto"/>
        <w:jc w:val="both"/>
        <w:rPr>
          <w:rFonts w:ascii="Arial" w:hAnsi="Arial" w:cs="Arial"/>
          <w:i/>
          <w:iCs/>
          <w:sz w:val="20"/>
          <w:szCs w:val="20"/>
          <w:lang w:val="en-US"/>
        </w:rPr>
      </w:pPr>
      <w:r w:rsidRPr="00423B45">
        <w:rPr>
          <w:rStyle w:val="FootnoteReference"/>
          <w:i/>
          <w:iCs/>
          <w:sz w:val="20"/>
          <w:szCs w:val="20"/>
        </w:rPr>
        <w:footnoteRef/>
      </w:r>
      <w:r w:rsidRPr="00423B45">
        <w:rPr>
          <w:i/>
          <w:iCs/>
          <w:sz w:val="20"/>
          <w:szCs w:val="20"/>
        </w:rPr>
        <w:t xml:space="preserve"> </w:t>
      </w:r>
      <w:r w:rsidRPr="00423B45">
        <w:rPr>
          <w:rFonts w:ascii="Arial" w:hAnsi="Arial" w:cs="Arial"/>
          <w:i/>
          <w:iCs/>
          <w:sz w:val="20"/>
          <w:szCs w:val="20"/>
          <w:lang w:val="en-US"/>
        </w:rPr>
        <w:t xml:space="preserve">The Effect of devaluation on nominal income: There are two direct effects of currency devaluation on income, which are; first being a situation of idle resource (less than full employment) effect, and the second is the terms of trade effect. The Employment effect:  if the resources are idle and provided the Marshall-Lerner condition is fulfill, income will increase depending on the degree at which the rest of the world absorbs more exports and the value of the income multiplier. However, even if income increases, the TB will only improve if the marginal propensity to absorb is less than unity i.e. α˂1. The term of trade effect: Term of trade (TOT) deteriorate after a devaluation because the imports become more expensive in terms of domestic currency, which is not match by a corresponding rise in export prices. This TOT deterioration lowers the national income, as more units of exports are given for a unit of import. However, as stated by Laursen and Metzler (1950) that TOT deterioration following currency devaluation has two effects on absorption: the income effect and the substitution effect. While TOT deterioration lowers the national income and thereby income related absorption, making domestically produce goods relative cheap compared to foreign produce goods, implying a substitution effect in favor of increased consumption of domestically produced goods. In case the positive substitution effect outweighs the negative income effect, then the devaluation that results in a negative TOT could lead to an increase in absorption. </w:t>
      </w:r>
    </w:p>
    <w:p w14:paraId="19A79811" w14:textId="77777777" w:rsidR="00423B45" w:rsidRPr="00423B45" w:rsidRDefault="00423B45" w:rsidP="00423B45">
      <w:pPr>
        <w:pStyle w:val="ListParagraph"/>
        <w:autoSpaceDE w:val="0"/>
        <w:autoSpaceDN w:val="0"/>
        <w:adjustRightInd w:val="0"/>
        <w:spacing w:after="0" w:line="240" w:lineRule="auto"/>
        <w:ind w:left="0"/>
        <w:jc w:val="both"/>
        <w:rPr>
          <w:rFonts w:ascii="Arial" w:hAnsi="Arial" w:cs="Arial"/>
          <w:i/>
          <w:iCs/>
          <w:sz w:val="20"/>
          <w:szCs w:val="20"/>
          <w:lang w:val="en-US"/>
        </w:rPr>
      </w:pPr>
      <w:r w:rsidRPr="00423B45">
        <w:rPr>
          <w:rFonts w:ascii="Arial" w:hAnsi="Arial" w:cs="Arial"/>
          <w:i/>
          <w:sz w:val="20"/>
          <w:szCs w:val="20"/>
          <w:lang w:val="en-US"/>
        </w:rPr>
        <w:t xml:space="preserve">The effects of devaluation on direct absorption: There are different ways via which a devaluation could impact upon the direct absorption like; the income redistribution effect, real income effect, money illusion effect, real cash balance effect, etc. The real income effect: Given an unchanging money stock i.e. the authority does not change the level of money supply, devaluation raises the overall price index. The price increase reduces the real value of money held by people. If economic agents try to restore their real money holdings, economic agents will be forced to cut down their direct absorption. In case the authorities try to respond to the increasing money demand by increasing money supply, the impact of devaluation </w:t>
      </w:r>
      <w:r w:rsidRPr="00423B45">
        <w:rPr>
          <w:rFonts w:ascii="Arial" w:hAnsi="Arial" w:cs="Arial"/>
          <w:i/>
          <w:iCs/>
          <w:sz w:val="20"/>
          <w:szCs w:val="20"/>
          <w:lang w:val="en-US"/>
        </w:rPr>
        <w:t xml:space="preserve">on direct absorption will be sterilize. </w:t>
      </w:r>
    </w:p>
    <w:p w14:paraId="4D817C39" w14:textId="77777777" w:rsidR="00423B45" w:rsidRPr="00423B45" w:rsidRDefault="00423B45" w:rsidP="00423B45">
      <w:pPr>
        <w:pStyle w:val="ListParagraph"/>
        <w:autoSpaceDE w:val="0"/>
        <w:autoSpaceDN w:val="0"/>
        <w:adjustRightInd w:val="0"/>
        <w:spacing w:after="0" w:line="240" w:lineRule="auto"/>
        <w:ind w:left="0"/>
        <w:jc w:val="both"/>
        <w:rPr>
          <w:rFonts w:ascii="Arial" w:hAnsi="Arial" w:cs="Arial"/>
          <w:i/>
          <w:iCs/>
          <w:sz w:val="20"/>
          <w:szCs w:val="20"/>
          <w:lang w:val="en-US"/>
        </w:rPr>
      </w:pPr>
      <w:r w:rsidRPr="00423B45">
        <w:rPr>
          <w:rFonts w:ascii="Arial" w:hAnsi="Arial" w:cs="Arial"/>
          <w:i/>
          <w:iCs/>
          <w:sz w:val="20"/>
          <w:szCs w:val="20"/>
          <w:lang w:val="en-US"/>
        </w:rPr>
        <w:t xml:space="preserve">The income redistribution effect: If currency devaluation redistributes income in favor of people with high marginal propensity to save, direct absorption will fall. While if income is redistributed in favor of people with high marginal propensity to consume, direct absorption will increase. Also, when the money income of people with low income increases with devaluation, they enter the income tax bracket. When the people start to pay income tax, their consumption reduces as compared to higher income group of people who are already paying tax. The results to a reduction in absorption in the case of the former. </w:t>
      </w:r>
    </w:p>
    <w:p w14:paraId="7B876B73" w14:textId="77777777" w:rsidR="00423B45" w:rsidRDefault="00423B45" w:rsidP="00493C8C">
      <w:pPr>
        <w:spacing w:after="0" w:line="240" w:lineRule="auto"/>
        <w:jc w:val="both"/>
        <w:rPr>
          <w:rFonts w:ascii="Arial" w:hAnsi="Arial" w:cs="Arial"/>
          <w:i/>
          <w:iCs/>
          <w:sz w:val="20"/>
          <w:szCs w:val="20"/>
          <w:lang w:val="en-US"/>
        </w:rPr>
      </w:pPr>
      <w:r w:rsidRPr="00423B45">
        <w:rPr>
          <w:rFonts w:ascii="Arial" w:hAnsi="Arial" w:cs="Arial"/>
          <w:i/>
          <w:iCs/>
          <w:sz w:val="20"/>
          <w:szCs w:val="20"/>
          <w:lang w:val="en-US"/>
        </w:rPr>
        <w:t>The money illusion: When prices increase due to devaluation, consumers believe that their real income has fallen, in spite the fact that their money income has risen. With the influence of the money illusion, their consumption expenditure reduces, or direct absorption reduces.</w:t>
      </w:r>
    </w:p>
    <w:p w14:paraId="7C78BF3C" w14:textId="3F4D4D85" w:rsidR="00493C8C" w:rsidRPr="00493C8C" w:rsidRDefault="00493C8C" w:rsidP="00493C8C">
      <w:pPr>
        <w:spacing w:after="0" w:line="240" w:lineRule="auto"/>
        <w:jc w:val="both"/>
        <w:rPr>
          <w:rFonts w:ascii="Arial" w:hAnsi="Arial" w:cs="Arial"/>
          <w:i/>
          <w:iCs/>
          <w:sz w:val="20"/>
          <w:szCs w:val="20"/>
          <w:lang w:val="en-US"/>
        </w:rPr>
      </w:pPr>
      <w:r w:rsidRPr="00493C8C">
        <w:rPr>
          <w:rFonts w:ascii="Arial" w:hAnsi="Arial" w:cs="Arial"/>
          <w:i/>
          <w:iCs/>
          <w:sz w:val="20"/>
          <w:szCs w:val="20"/>
          <w:lang w:val="en-US"/>
        </w:rPr>
        <w:t>In summary, under the absorption approach, the trade balance is a function of domestic consumption (absorption) and real income TB = f(Y, A). The trade balance could improve if there is a decrease in domestic consumption A or an increase in output Y or both. In case absorption is constant and the economy is not at full employment especially in developing nations, when a currency is devalued, the crucial effect is expected to be an increase in output, leading to improvement in the trade balance.</w:t>
      </w:r>
    </w:p>
    <w:p w14:paraId="0FBB0FD0" w14:textId="15320554" w:rsidR="00423B45" w:rsidRDefault="00423B45">
      <w:pPr>
        <w:pStyle w:val="FootnoteText"/>
      </w:pPr>
    </w:p>
  </w:footnote>
  <w:footnote w:id="49">
    <w:p w14:paraId="5E3EA4A2" w14:textId="77777777" w:rsidR="00831DEB" w:rsidRPr="008E6CF5" w:rsidRDefault="00831DEB" w:rsidP="00831DEB">
      <w:pPr>
        <w:pStyle w:val="FootnoteText"/>
        <w:jc w:val="both"/>
        <w:rPr>
          <w:i/>
        </w:rPr>
      </w:pPr>
      <w:r w:rsidRPr="008E6CF5">
        <w:rPr>
          <w:rStyle w:val="FootnoteReference"/>
          <w:i/>
        </w:rPr>
        <w:footnoteRef/>
      </w:r>
      <w:r w:rsidRPr="008E6CF5">
        <w:rPr>
          <w:i/>
        </w:rPr>
        <w:t xml:space="preserve"> </w:t>
      </w:r>
      <w:r w:rsidRPr="0047717A">
        <w:rPr>
          <w:rFonts w:ascii="Arial" w:hAnsi="Arial" w:cs="Arial"/>
          <w:i/>
        </w:rPr>
        <w:t xml:space="preserve">The </w:t>
      </w:r>
      <w:r w:rsidRPr="0047717A">
        <w:rPr>
          <w:rFonts w:ascii="Arial" w:hAnsi="Arial" w:cs="Arial"/>
          <w:i/>
          <w:lang w:val="en-US"/>
        </w:rPr>
        <w:t>condition states that devaluation improves the trade balance if the sum of the foreign price elasticity of demand for export (ƞ</w:t>
      </w:r>
      <w:r w:rsidRPr="0047717A">
        <w:rPr>
          <w:rFonts w:ascii="Arial" w:hAnsi="Arial" w:cs="Arial"/>
          <w:i/>
          <w:vertAlign w:val="subscript"/>
          <w:lang w:val="en-US"/>
        </w:rPr>
        <w:t>x</w:t>
      </w:r>
      <w:r w:rsidRPr="0047717A">
        <w:rPr>
          <w:rFonts w:ascii="Arial" w:hAnsi="Arial" w:cs="Arial"/>
          <w:i/>
          <w:lang w:val="en-US"/>
        </w:rPr>
        <w:t>) and domestic price elasticity of demand for imports (ƞ</w:t>
      </w:r>
      <w:r w:rsidRPr="0047717A">
        <w:rPr>
          <w:rFonts w:ascii="Arial" w:hAnsi="Arial" w:cs="Arial"/>
          <w:i/>
          <w:vertAlign w:val="subscript"/>
          <w:lang w:val="en-US"/>
        </w:rPr>
        <w:t>m</w:t>
      </w:r>
      <w:r w:rsidRPr="0047717A">
        <w:rPr>
          <w:rFonts w:ascii="Arial" w:hAnsi="Arial" w:cs="Arial"/>
          <w:i/>
          <w:lang w:val="en-US"/>
        </w:rPr>
        <w:t>) exceeds unity, in absolute value, i.e., if:</w:t>
      </w:r>
      <w:r w:rsidRPr="0047717A">
        <w:rPr>
          <w:rFonts w:ascii="Arial" w:hAnsi="Arial" w:cs="Arial"/>
          <w:lang w:val="en-US"/>
        </w:rPr>
        <w:t xml:space="preserve"> </w:t>
      </w:r>
      <w:r w:rsidRPr="0047717A">
        <w:rPr>
          <w:rFonts w:ascii="Arial" w:hAnsi="Arial" w:cs="Arial"/>
          <w:i/>
          <w:lang w:val="en-US"/>
        </w:rPr>
        <w:t>│ƞ</w:t>
      </w:r>
      <w:r w:rsidRPr="0047717A">
        <w:rPr>
          <w:rFonts w:ascii="Arial" w:hAnsi="Arial" w:cs="Arial"/>
          <w:i/>
          <w:vertAlign w:val="subscript"/>
          <w:lang w:val="en-US"/>
        </w:rPr>
        <w:t>x</w:t>
      </w:r>
      <w:r w:rsidRPr="0047717A">
        <w:rPr>
          <w:rFonts w:ascii="Arial" w:hAnsi="Arial" w:cs="Arial"/>
          <w:i/>
          <w:lang w:val="en-US"/>
        </w:rPr>
        <w:t xml:space="preserve"> + ƞ</w:t>
      </w:r>
      <w:r w:rsidRPr="0047717A">
        <w:rPr>
          <w:rFonts w:ascii="Arial" w:hAnsi="Arial" w:cs="Arial"/>
          <w:i/>
          <w:vertAlign w:val="subscript"/>
          <w:lang w:val="en-US"/>
        </w:rPr>
        <w:t>m</w:t>
      </w:r>
      <w:r w:rsidRPr="0047717A">
        <w:rPr>
          <w:rFonts w:ascii="Arial" w:hAnsi="Arial" w:cs="Arial"/>
          <w:i/>
          <w:lang w:val="en-US"/>
        </w:rPr>
        <w:t>│ &gt;1</w:t>
      </w:r>
      <w:r>
        <w:rPr>
          <w:rFonts w:ascii="Arial" w:hAnsi="Arial" w:cs="Arial"/>
          <w:i/>
          <w:lang w:val="en-US"/>
        </w:rPr>
        <w:t xml:space="preserve">. </w:t>
      </w:r>
    </w:p>
  </w:footnote>
  <w:footnote w:id="50">
    <w:p w14:paraId="4D1E74B0" w14:textId="77777777" w:rsidR="00F41E4D" w:rsidRDefault="00F41E4D" w:rsidP="0074701C">
      <w:pPr>
        <w:pStyle w:val="FootnoteText"/>
      </w:pPr>
      <w:r>
        <w:rPr>
          <w:rStyle w:val="FootnoteReference"/>
        </w:rPr>
        <w:footnoteRef/>
      </w:r>
      <w:r>
        <w:t xml:space="preserve"> </w:t>
      </w:r>
      <w:r w:rsidRPr="00FE4DCB">
        <w:rPr>
          <w:rStyle w:val="Emphasis"/>
          <w:rFonts w:ascii="Arial" w:hAnsi="Arial" w:cs="Arial"/>
        </w:rPr>
        <w:t>The USA’s G-6 trade partners are (Canada, France, Germany, Italy, Japan, and the United Kingdom).</w:t>
      </w:r>
    </w:p>
  </w:footnote>
  <w:footnote w:id="51">
    <w:p w14:paraId="4A0B1917" w14:textId="11F43D45" w:rsidR="007A4FD8" w:rsidRPr="00231C80" w:rsidRDefault="007A4FD8" w:rsidP="00231C80">
      <w:pPr>
        <w:pStyle w:val="FootnoteText"/>
        <w:jc w:val="both"/>
        <w:rPr>
          <w:rFonts w:ascii="Arial" w:hAnsi="Arial" w:cs="Arial"/>
          <w:i/>
          <w:iCs/>
        </w:rPr>
      </w:pPr>
      <w:r w:rsidRPr="00231C80">
        <w:rPr>
          <w:rStyle w:val="FootnoteReference"/>
          <w:rFonts w:ascii="Arial" w:hAnsi="Arial" w:cs="Arial"/>
        </w:rPr>
        <w:footnoteRef/>
      </w:r>
      <w:r w:rsidRPr="00231C80">
        <w:rPr>
          <w:rFonts w:ascii="Arial" w:hAnsi="Arial" w:cs="Arial"/>
        </w:rPr>
        <w:t xml:space="preserve"> </w:t>
      </w:r>
      <w:r w:rsidRPr="00231C80">
        <w:rPr>
          <w:rFonts w:ascii="Arial" w:hAnsi="Arial" w:cs="Arial"/>
          <w:i/>
          <w:iCs/>
        </w:rPr>
        <w:t>The use of microeconomic and fiscal policies to deal with unfavourable economic developments often lead to government unpopularity and increasing political and social tension</w:t>
      </w:r>
      <w:r w:rsidR="0076069E" w:rsidRPr="00231C80">
        <w:rPr>
          <w:rFonts w:ascii="Arial" w:hAnsi="Arial" w:cs="Arial"/>
          <w:i/>
          <w:iCs/>
        </w:rPr>
        <w:t>s</w:t>
      </w:r>
      <w:r w:rsidRPr="00231C80">
        <w:rPr>
          <w:rFonts w:ascii="Arial" w:hAnsi="Arial" w:cs="Arial"/>
          <w:i/>
          <w:iCs/>
        </w:rPr>
        <w:t xml:space="preserve">.  </w:t>
      </w:r>
    </w:p>
  </w:footnote>
  <w:footnote w:id="52">
    <w:p w14:paraId="045E635C" w14:textId="5F7A39FA" w:rsidR="00231C80" w:rsidRPr="00231C80" w:rsidRDefault="00231C80" w:rsidP="00231C80">
      <w:pPr>
        <w:pStyle w:val="FootnoteText"/>
        <w:jc w:val="both"/>
        <w:rPr>
          <w:rFonts w:ascii="Arial" w:hAnsi="Arial" w:cs="Arial"/>
          <w:i/>
          <w:iCs/>
        </w:rPr>
      </w:pPr>
      <w:r w:rsidRPr="00231C80">
        <w:rPr>
          <w:rStyle w:val="FootnoteReference"/>
          <w:rFonts w:ascii="Arial" w:hAnsi="Arial" w:cs="Arial"/>
        </w:rPr>
        <w:footnoteRef/>
      </w:r>
      <w:r w:rsidRPr="00231C80">
        <w:rPr>
          <w:rFonts w:ascii="Arial" w:hAnsi="Arial" w:cs="Arial"/>
        </w:rPr>
        <w:t xml:space="preserve"> </w:t>
      </w:r>
      <w:r w:rsidRPr="00231C80">
        <w:rPr>
          <w:rFonts w:ascii="Arial" w:hAnsi="Arial" w:cs="Arial"/>
          <w:i/>
          <w:iCs/>
        </w:rPr>
        <w:t>In the medium term, the cohesion processes are facilitated via removing the obstacles to the movements of goods and services and capital among the CEMAC member countries, by harmonisation of the good, services, capital, and labour market regulations among the member state (such as the implementation of OHADA laws).</w:t>
      </w:r>
    </w:p>
  </w:footnote>
  <w:footnote w:id="53">
    <w:p w14:paraId="601F47FC" w14:textId="77777777" w:rsidR="00D9304C" w:rsidRDefault="00D9304C" w:rsidP="006235DE">
      <w:pPr>
        <w:pStyle w:val="FootnoteText"/>
        <w:jc w:val="both"/>
      </w:pPr>
      <w:r>
        <w:rPr>
          <w:rStyle w:val="FootnoteReference"/>
        </w:rPr>
        <w:footnoteRef/>
      </w:r>
      <w:r>
        <w:t xml:space="preserve"> </w:t>
      </w:r>
      <w:r w:rsidRPr="00287FD4">
        <w:rPr>
          <w:rStyle w:val="Emphasis"/>
          <w:rFonts w:ascii="Arial" w:hAnsi="Arial" w:cs="Arial"/>
          <w:color w:val="0E101A"/>
        </w:rPr>
        <w:t>MacDonald and Ricci (2003) used the Johansen FIML in estimating the equilibrium real exchange rate of South Africa. Eita and Sichei (2006) also used this approach to estimate the cointegration of Namibia.</w:t>
      </w:r>
    </w:p>
  </w:footnote>
  <w:footnote w:id="54">
    <w:p w14:paraId="3D976F88" w14:textId="6BAF8206" w:rsidR="003E654D" w:rsidRPr="0008182B" w:rsidRDefault="003E654D" w:rsidP="00340FB5">
      <w:pPr>
        <w:pStyle w:val="FootnoteText"/>
        <w:jc w:val="both"/>
        <w:rPr>
          <w:rFonts w:ascii="Arial" w:hAnsi="Arial" w:cs="Arial"/>
          <w:i/>
          <w:iCs/>
        </w:rPr>
      </w:pPr>
      <w:r w:rsidRPr="0008182B">
        <w:rPr>
          <w:rStyle w:val="FootnoteReference"/>
          <w:rFonts w:ascii="Arial" w:hAnsi="Arial" w:cs="Arial"/>
          <w:i/>
          <w:iCs/>
        </w:rPr>
        <w:footnoteRef/>
      </w:r>
      <w:r w:rsidRPr="0008182B">
        <w:rPr>
          <w:rFonts w:ascii="Arial" w:hAnsi="Arial" w:cs="Arial"/>
          <w:i/>
          <w:iCs/>
        </w:rPr>
        <w:t xml:space="preserve"> This comes </w:t>
      </w:r>
      <w:r w:rsidR="003946EC" w:rsidRPr="0008182B">
        <w:rPr>
          <w:rFonts w:ascii="Arial" w:hAnsi="Arial" w:cs="Arial"/>
          <w:i/>
          <w:iCs/>
        </w:rPr>
        <w:t xml:space="preserve">from the fact that the number of variables in </w:t>
      </w:r>
      <w:r w:rsidR="006C64A1" w:rsidRPr="0008182B">
        <w:rPr>
          <w:rFonts w:ascii="Arial" w:hAnsi="Arial" w:cs="Arial"/>
          <w:i/>
          <w:iCs/>
        </w:rPr>
        <w:t>even relatively small models is often large relative to the number of available observations. This makes the direct and consistent estimation of the multi-equation model unfeasible. Thus, the single equation estimations must be used, tying them together by methods like seemingly unrelated regressions and trying to restore the coefficient consistency with subsequent calibrations.</w:t>
      </w:r>
    </w:p>
  </w:footnote>
  <w:footnote w:id="55">
    <w:p w14:paraId="6E6BBC6E" w14:textId="533E75C6" w:rsidR="00DE1198" w:rsidRPr="0008182B" w:rsidRDefault="00DE1198" w:rsidP="00413B6D">
      <w:pPr>
        <w:spacing w:after="0" w:line="240" w:lineRule="auto"/>
        <w:jc w:val="both"/>
        <w:rPr>
          <w:rFonts w:ascii="Arial" w:hAnsi="Arial" w:cs="Arial"/>
          <w:i/>
          <w:iCs/>
          <w:sz w:val="20"/>
          <w:szCs w:val="20"/>
        </w:rPr>
      </w:pPr>
      <w:r w:rsidRPr="0008182B">
        <w:rPr>
          <w:rStyle w:val="FootnoteReference"/>
          <w:rFonts w:ascii="Arial" w:hAnsi="Arial" w:cs="Arial"/>
          <w:i/>
          <w:iCs/>
          <w:sz w:val="20"/>
          <w:szCs w:val="20"/>
        </w:rPr>
        <w:footnoteRef/>
      </w:r>
      <w:r w:rsidRPr="0008182B">
        <w:rPr>
          <w:rFonts w:ascii="Arial" w:hAnsi="Arial" w:cs="Arial"/>
          <w:i/>
          <w:iCs/>
          <w:sz w:val="20"/>
          <w:szCs w:val="20"/>
        </w:rPr>
        <w:t xml:space="preserve"> Looking at the internal equilibrium, whereby the concepts such as output at its potential level or the</w:t>
      </w:r>
      <w:r w:rsidR="00DD4634" w:rsidRPr="0008182B">
        <w:rPr>
          <w:rFonts w:ascii="Arial" w:hAnsi="Arial" w:cs="Arial"/>
          <w:i/>
          <w:iCs/>
          <w:sz w:val="20"/>
          <w:szCs w:val="20"/>
        </w:rPr>
        <w:t xml:space="preserve"> </w:t>
      </w:r>
      <w:r w:rsidR="00DD4634" w:rsidRPr="0008182B">
        <w:rPr>
          <w:rFonts w:ascii="Arial" w:hAnsi="Arial" w:cs="Arial"/>
          <w:i/>
          <w:iCs/>
          <w:color w:val="040C28"/>
          <w:sz w:val="20"/>
          <w:szCs w:val="20"/>
        </w:rPr>
        <w:t xml:space="preserve">Non-Accelerating Inflation Rate of Unemployment (NAIRU) level of unemployment are generally accepted as the internal equilibrium indicators. However, this view is often controversial mindful of the demographic and preference dynamic, changing work participation rates, changing retirement age etc. The external equilibrium is more disputed due to the unrealistic assumption of zero external balance in the medium term, given the domestic savings – investment nexus and the </w:t>
      </w:r>
      <w:r w:rsidR="00B95973" w:rsidRPr="0008182B">
        <w:rPr>
          <w:rFonts w:ascii="Arial" w:hAnsi="Arial" w:cs="Arial"/>
          <w:i/>
          <w:iCs/>
          <w:color w:val="040C28"/>
          <w:sz w:val="20"/>
          <w:szCs w:val="20"/>
        </w:rPr>
        <w:t>medium-term</w:t>
      </w:r>
      <w:r w:rsidR="00DD4634" w:rsidRPr="0008182B">
        <w:rPr>
          <w:rFonts w:ascii="Arial" w:hAnsi="Arial" w:cs="Arial"/>
          <w:i/>
          <w:iCs/>
          <w:color w:val="040C28"/>
          <w:sz w:val="20"/>
          <w:szCs w:val="20"/>
        </w:rPr>
        <w:t xml:space="preserve"> fiscal nexus. </w:t>
      </w:r>
      <w:r w:rsidR="007A730A" w:rsidRPr="0008182B">
        <w:rPr>
          <w:rFonts w:ascii="Arial" w:hAnsi="Arial" w:cs="Arial"/>
          <w:i/>
          <w:iCs/>
          <w:color w:val="040C28"/>
          <w:sz w:val="20"/>
          <w:szCs w:val="20"/>
        </w:rPr>
        <w:t>T</w:t>
      </w:r>
      <w:r w:rsidR="00DD4634" w:rsidRPr="0008182B">
        <w:rPr>
          <w:rFonts w:ascii="Arial" w:hAnsi="Arial" w:cs="Arial"/>
          <w:i/>
          <w:iCs/>
          <w:color w:val="040C28"/>
          <w:sz w:val="20"/>
          <w:szCs w:val="20"/>
        </w:rPr>
        <w:t>h</w:t>
      </w:r>
      <w:r w:rsidR="007A730A" w:rsidRPr="0008182B">
        <w:rPr>
          <w:rFonts w:ascii="Arial" w:hAnsi="Arial" w:cs="Arial"/>
          <w:i/>
          <w:iCs/>
          <w:color w:val="040C28"/>
          <w:sz w:val="20"/>
          <w:szCs w:val="20"/>
        </w:rPr>
        <w:t xml:space="preserve">is </w:t>
      </w:r>
      <w:r w:rsidR="00B95973" w:rsidRPr="0008182B">
        <w:rPr>
          <w:rFonts w:ascii="Arial" w:hAnsi="Arial" w:cs="Arial"/>
          <w:i/>
          <w:iCs/>
          <w:color w:val="040C28"/>
          <w:sz w:val="20"/>
          <w:szCs w:val="20"/>
        </w:rPr>
        <w:t xml:space="preserve">assumption on the medium-term “external equilibrium” has strong normative elements which </w:t>
      </w:r>
      <w:r w:rsidR="00856FF8" w:rsidRPr="0008182B">
        <w:rPr>
          <w:rFonts w:ascii="Arial" w:hAnsi="Arial" w:cs="Arial"/>
          <w:i/>
          <w:iCs/>
          <w:color w:val="040C28"/>
          <w:sz w:val="20"/>
          <w:szCs w:val="20"/>
        </w:rPr>
        <w:t>affects</w:t>
      </w:r>
      <w:r w:rsidR="007A730A" w:rsidRPr="0008182B">
        <w:rPr>
          <w:rFonts w:ascii="Arial" w:hAnsi="Arial" w:cs="Arial"/>
          <w:i/>
          <w:iCs/>
          <w:color w:val="040C28"/>
          <w:sz w:val="20"/>
          <w:szCs w:val="20"/>
        </w:rPr>
        <w:t xml:space="preserve"> the calculation of the EREERs</w:t>
      </w:r>
      <w:r w:rsidR="00856FF8" w:rsidRPr="0008182B">
        <w:rPr>
          <w:rFonts w:ascii="Arial" w:hAnsi="Arial" w:cs="Arial"/>
          <w:i/>
          <w:iCs/>
          <w:color w:val="040C28"/>
          <w:sz w:val="20"/>
          <w:szCs w:val="20"/>
        </w:rPr>
        <w:t>.</w:t>
      </w:r>
    </w:p>
  </w:footnote>
  <w:footnote w:id="56">
    <w:p w14:paraId="7852C2F8" w14:textId="77777777" w:rsidR="002F4216" w:rsidRPr="006178C6" w:rsidRDefault="002F4216" w:rsidP="002F4216">
      <w:pPr>
        <w:pStyle w:val="FootnoteText"/>
        <w:jc w:val="both"/>
        <w:rPr>
          <w:rFonts w:ascii="Arial" w:hAnsi="Arial" w:cs="Arial"/>
          <w:i/>
          <w:iCs/>
        </w:rPr>
      </w:pPr>
      <w:r>
        <w:rPr>
          <w:rStyle w:val="FootnoteReference"/>
        </w:rPr>
        <w:footnoteRef/>
      </w:r>
      <w:r>
        <w:t xml:space="preserve"> </w:t>
      </w:r>
      <w:r w:rsidRPr="006178C6">
        <w:rPr>
          <w:rFonts w:ascii="Arial" w:hAnsi="Arial" w:cs="Arial"/>
          <w:i/>
          <w:iCs/>
        </w:rPr>
        <w:t>Given its complexity and the simultaneous equations structure, the estimation of the NATREX models runs into similar difficulties as FEER approaches. To avoid some of the problems, most of empirical research utilizing NATREX approach uses reduced form estimations. That of course raises both the question of a stability of estimated coefficients (given the long run dynamics of factors determining saving—investment nexus, the Lucas type critique is certainly possible) and value of fundamentals free of short term and cyclical variations</w:t>
      </w:r>
      <w:r>
        <w:rPr>
          <w:rFonts w:ascii="Arial" w:hAnsi="Arial" w:cs="Arial"/>
          <w:i/>
          <w:iCs/>
        </w:rPr>
        <w:t>.</w:t>
      </w:r>
    </w:p>
  </w:footnote>
  <w:footnote w:id="57">
    <w:p w14:paraId="04A3ABB2" w14:textId="1DEA3B3E" w:rsidR="00F41E4D" w:rsidRPr="00EC7404" w:rsidRDefault="00F41E4D" w:rsidP="00EC7404">
      <w:pPr>
        <w:spacing w:after="0" w:line="240" w:lineRule="auto"/>
        <w:jc w:val="both"/>
        <w:rPr>
          <w:rFonts w:ascii="Arial" w:hAnsi="Arial" w:cs="Arial"/>
          <w:i/>
          <w:iCs/>
          <w:sz w:val="20"/>
          <w:szCs w:val="20"/>
          <w:lang w:eastAsia="en-GB"/>
        </w:rPr>
      </w:pPr>
      <w:r w:rsidRPr="00EC7404">
        <w:rPr>
          <w:rStyle w:val="FootnoteReference"/>
          <w:i/>
          <w:iCs/>
          <w:sz w:val="20"/>
          <w:szCs w:val="20"/>
        </w:rPr>
        <w:footnoteRef/>
      </w:r>
      <w:r w:rsidRPr="00EC7404">
        <w:rPr>
          <w:i/>
          <w:iCs/>
          <w:sz w:val="20"/>
          <w:szCs w:val="20"/>
        </w:rPr>
        <w:t xml:space="preserve"> </w:t>
      </w:r>
      <w:r w:rsidRPr="00EC7404">
        <w:rPr>
          <w:rStyle w:val="Emphasis"/>
          <w:rFonts w:ascii="Arial" w:hAnsi="Arial" w:cs="Arial"/>
          <w:color w:val="0E101A"/>
          <w:sz w:val="20"/>
          <w:szCs w:val="20"/>
        </w:rPr>
        <w:t>These are variables having a direct impact on the exchange rate instead of using variables from a macroeconomic perspective.</w:t>
      </w:r>
      <w:r w:rsidRPr="00EC7404">
        <w:rPr>
          <w:rStyle w:val="Emphasis"/>
          <w:rFonts w:ascii="Arial" w:hAnsi="Arial" w:cs="Arial"/>
          <w:i w:val="0"/>
          <w:iCs w:val="0"/>
          <w:color w:val="0E101A"/>
          <w:sz w:val="20"/>
          <w:szCs w:val="20"/>
        </w:rPr>
        <w:t> </w:t>
      </w:r>
    </w:p>
  </w:footnote>
  <w:footnote w:id="58">
    <w:p w14:paraId="3C8A16F8" w14:textId="6B89D1BF" w:rsidR="00090831" w:rsidRPr="00090831" w:rsidRDefault="00090831" w:rsidP="00EC7404">
      <w:pPr>
        <w:pStyle w:val="FootnoteText"/>
        <w:jc w:val="both"/>
        <w:rPr>
          <w:rFonts w:ascii="Arial" w:hAnsi="Arial" w:cs="Arial"/>
          <w:i/>
          <w:iCs/>
        </w:rPr>
      </w:pPr>
      <w:r>
        <w:rPr>
          <w:rStyle w:val="FootnoteReference"/>
        </w:rPr>
        <w:footnoteRef/>
      </w:r>
      <w:r>
        <w:t xml:space="preserve"> </w:t>
      </w:r>
      <w:r>
        <w:rPr>
          <w:rFonts w:ascii="Arial" w:hAnsi="Arial" w:cs="Arial"/>
          <w:i/>
          <w:iCs/>
        </w:rPr>
        <w:t xml:space="preserve">The key term in the </w:t>
      </w:r>
      <w:r w:rsidRPr="00F47E01">
        <w:rPr>
          <w:rFonts w:ascii="Arial" w:hAnsi="Arial" w:cs="Arial"/>
          <w:i/>
          <w:sz w:val="22"/>
          <w:szCs w:val="22"/>
        </w:rPr>
        <w:t>Z</w:t>
      </w:r>
      <w:r w:rsidRPr="00F47E01">
        <w:rPr>
          <w:rFonts w:ascii="Arial" w:hAnsi="Arial" w:cs="Arial"/>
          <w:i/>
          <w:sz w:val="22"/>
          <w:szCs w:val="22"/>
          <w:vertAlign w:val="subscript"/>
        </w:rPr>
        <w:t>t</w:t>
      </w:r>
      <w:r>
        <w:rPr>
          <w:rFonts w:ascii="Arial" w:hAnsi="Arial" w:cs="Arial"/>
          <w:i/>
          <w:sz w:val="22"/>
          <w:szCs w:val="22"/>
          <w:vertAlign w:val="subscript"/>
        </w:rPr>
        <w:t xml:space="preserve"> </w:t>
      </w:r>
      <w:r>
        <w:rPr>
          <w:rFonts w:ascii="Arial" w:hAnsi="Arial" w:cs="Arial"/>
          <w:i/>
          <w:iCs/>
        </w:rPr>
        <w:t>vector is often taken to be net foreign assets, terms of trade, and relative productivity to capture the long run</w:t>
      </w:r>
      <w:r w:rsidR="00D137C6">
        <w:rPr>
          <w:rFonts w:ascii="Arial" w:hAnsi="Arial" w:cs="Arial"/>
          <w:i/>
          <w:iCs/>
        </w:rPr>
        <w:t xml:space="preserve"> related influences on the RER</w:t>
      </w:r>
      <w:r>
        <w:rPr>
          <w:rFonts w:ascii="Arial" w:hAnsi="Arial" w:cs="Arial"/>
          <w:i/>
          <w:iCs/>
        </w:rPr>
        <w:t>. While the real interest rate yields capture medium run or business cycle related influences on the RER</w:t>
      </w:r>
      <w:r w:rsidR="00EC7404">
        <w:rPr>
          <w:rFonts w:ascii="Arial" w:hAnsi="Arial" w:cs="Arial"/>
          <w:i/>
          <w:iCs/>
        </w:rPr>
        <w:t>.</w:t>
      </w:r>
    </w:p>
  </w:footnote>
  <w:footnote w:id="59">
    <w:p w14:paraId="488C1FB4" w14:textId="77777777" w:rsidR="00F41E4D" w:rsidRPr="00F47E01" w:rsidRDefault="00F41E4D" w:rsidP="00810600">
      <w:pPr>
        <w:pStyle w:val="FootnoteText"/>
        <w:jc w:val="both"/>
        <w:rPr>
          <w:rFonts w:ascii="Arial" w:hAnsi="Arial" w:cs="Arial"/>
          <w:i/>
        </w:rPr>
      </w:pPr>
      <w:r>
        <w:rPr>
          <w:rStyle w:val="FootnoteReference"/>
        </w:rPr>
        <w:footnoteRef/>
      </w:r>
      <w:r>
        <w:t xml:space="preserve"> </w:t>
      </w:r>
      <w:r w:rsidRPr="00F47E01">
        <w:rPr>
          <w:rFonts w:ascii="Arial" w:hAnsi="Arial" w:cs="Arial"/>
          <w:i/>
        </w:rPr>
        <w:t>As earlier defined, the EREER is the level of the REER that is consistent with the long-term exchange rate fundamentals.</w:t>
      </w:r>
    </w:p>
  </w:footnote>
  <w:footnote w:id="60">
    <w:p w14:paraId="4BBEFD4C" w14:textId="77777777" w:rsidR="00B81AF6" w:rsidRPr="00F47E01" w:rsidRDefault="00B81AF6" w:rsidP="00B81AF6">
      <w:pPr>
        <w:pStyle w:val="FootnoteText"/>
        <w:jc w:val="both"/>
        <w:rPr>
          <w:rFonts w:ascii="Arial" w:hAnsi="Arial" w:cs="Arial"/>
          <w:i/>
        </w:rPr>
      </w:pPr>
      <w:r w:rsidRPr="00F47E01">
        <w:rPr>
          <w:rStyle w:val="FootnoteReference"/>
          <w:rFonts w:ascii="Arial" w:hAnsi="Arial" w:cs="Arial"/>
        </w:rPr>
        <w:footnoteRef/>
      </w:r>
      <w:r w:rsidRPr="00F47E01">
        <w:rPr>
          <w:rFonts w:ascii="Arial" w:hAnsi="Arial" w:cs="Arial"/>
        </w:rPr>
        <w:t xml:space="preserve"> </w:t>
      </w:r>
      <w:r w:rsidRPr="00F47E01">
        <w:rPr>
          <w:rFonts w:ascii="Arial" w:hAnsi="Arial" w:cs="Arial"/>
          <w:i/>
        </w:rPr>
        <w:t>Hodrick and Prescott (1997) introduced the Hodrick-Prescott filter</w:t>
      </w:r>
      <w:r>
        <w:rPr>
          <w:rFonts w:ascii="Arial" w:hAnsi="Arial" w:cs="Arial"/>
          <w:i/>
        </w:rPr>
        <w:t>.</w:t>
      </w:r>
      <w:r w:rsidRPr="00F47E01">
        <w:rPr>
          <w:rFonts w:ascii="Arial" w:hAnsi="Arial" w:cs="Arial"/>
          <w:i/>
        </w:rPr>
        <w:t xml:space="preserve"> </w:t>
      </w:r>
      <w:r>
        <w:rPr>
          <w:rFonts w:ascii="Arial" w:hAnsi="Arial" w:cs="Arial"/>
          <w:i/>
        </w:rPr>
        <w:t>T</w:t>
      </w:r>
      <w:r w:rsidRPr="00F47E01">
        <w:rPr>
          <w:rFonts w:ascii="Arial" w:hAnsi="Arial" w:cs="Arial"/>
          <w:i/>
        </w:rPr>
        <w:t xml:space="preserve">hey applied the method to </w:t>
      </w:r>
      <w:r>
        <w:rPr>
          <w:rFonts w:ascii="Arial" w:hAnsi="Arial" w:cs="Arial"/>
          <w:i/>
        </w:rPr>
        <w:t>remove</w:t>
      </w:r>
      <w:r w:rsidRPr="00F47E01">
        <w:rPr>
          <w:rFonts w:ascii="Arial" w:hAnsi="Arial" w:cs="Arial"/>
          <w:i/>
        </w:rPr>
        <w:t xml:space="preserve"> trend</w:t>
      </w:r>
      <w:r>
        <w:rPr>
          <w:rFonts w:ascii="Arial" w:hAnsi="Arial" w:cs="Arial"/>
          <w:i/>
        </w:rPr>
        <w:t>s</w:t>
      </w:r>
      <w:r w:rsidRPr="00F47E01">
        <w:rPr>
          <w:rFonts w:ascii="Arial" w:hAnsi="Arial" w:cs="Arial"/>
          <w:i/>
        </w:rPr>
        <w:t xml:space="preserve"> </w:t>
      </w:r>
      <w:r>
        <w:rPr>
          <w:rFonts w:ascii="Arial" w:hAnsi="Arial" w:cs="Arial"/>
          <w:i/>
        </w:rPr>
        <w:t xml:space="preserve">in the </w:t>
      </w:r>
      <w:r w:rsidRPr="00F47E01">
        <w:rPr>
          <w:rFonts w:ascii="Arial" w:hAnsi="Arial" w:cs="Arial"/>
          <w:i/>
        </w:rPr>
        <w:t>time series.</w:t>
      </w:r>
      <w:r>
        <w:rPr>
          <w:rFonts w:ascii="Arial" w:hAnsi="Arial" w:cs="Arial"/>
          <w:i/>
        </w:rPr>
        <w:t xml:space="preserve"> In recent decades, in the research community of macro econometric time series analysis, we have seen growing interest in the Hodrick-Prescott (1997) filter. It is the most prominent smoothing method for economic time series, and recent studies of the filter include Phillips and Jin (2015), Hamilton (2018), Phillips and Shi (2019), Sakarya and de Jong (2019). </w:t>
      </w:r>
    </w:p>
  </w:footnote>
  <w:footnote w:id="61">
    <w:p w14:paraId="6AF7B06A" w14:textId="7AC2D997" w:rsidR="00F41E4D" w:rsidRPr="008F0D7D" w:rsidRDefault="00F41E4D" w:rsidP="00810600">
      <w:pPr>
        <w:pStyle w:val="FootnoteText"/>
        <w:jc w:val="both"/>
        <w:rPr>
          <w:rFonts w:ascii="Arial" w:hAnsi="Arial" w:cs="Arial"/>
          <w:i/>
        </w:rPr>
      </w:pPr>
      <w:r w:rsidRPr="008F0D7D">
        <w:rPr>
          <w:rStyle w:val="FootnoteReference"/>
          <w:rFonts w:ascii="Arial" w:hAnsi="Arial" w:cs="Arial"/>
        </w:rPr>
        <w:footnoteRef/>
      </w:r>
      <w:r w:rsidRPr="008F0D7D">
        <w:rPr>
          <w:rFonts w:ascii="Arial" w:hAnsi="Arial" w:cs="Arial"/>
        </w:rPr>
        <w:t xml:space="preserve"> </w:t>
      </w:r>
      <w:r w:rsidRPr="008F0D7D">
        <w:rPr>
          <w:rFonts w:ascii="Arial" w:hAnsi="Arial" w:cs="Arial"/>
          <w:i/>
        </w:rPr>
        <w:t>The smoothing factor of 100 is what Hodrick and Prescott suggested for annual data. This smoothing method is defined by</w:t>
      </w:r>
    </w:p>
    <w:p w14:paraId="33274698" w14:textId="3D5669A5" w:rsidR="00F41E4D" w:rsidRPr="008F0D7D" w:rsidRDefault="001A2E04" w:rsidP="00373987">
      <w:pPr>
        <w:rPr>
          <w:rFonts w:ascii="Arial" w:eastAsiaTheme="minorEastAsia" w:hAnsi="Arial" w:cs="Arial"/>
          <w:i/>
          <w:iCs/>
          <w:sz w:val="20"/>
          <w:szCs w:val="20"/>
        </w:rPr>
      </w:pPr>
      <w:r w:rsidRPr="008F0D7D">
        <w:rPr>
          <w:rFonts w:ascii="Arial" w:eastAsiaTheme="minorEastAsia" w:hAnsi="Arial" w:cs="Arial"/>
          <w:i/>
          <w:iCs/>
          <w:sz w:val="20"/>
          <w:szCs w:val="20"/>
        </w:rPr>
        <w:t>HP:</w:t>
      </w:r>
      <w:r w:rsidR="00F41E4D" w:rsidRPr="008F0D7D">
        <w:rPr>
          <w:rFonts w:ascii="Arial" w:eastAsiaTheme="minorEastAsia" w:hAnsi="Arial" w:cs="Arial"/>
          <w:i/>
          <w:iCs/>
          <w:sz w:val="20"/>
          <w:szCs w:val="20"/>
        </w:rPr>
        <w:t xml:space="preserve"> </w:t>
      </w:r>
      <m:oMath>
        <m:func>
          <m:funcPr>
            <m:ctrlPr>
              <w:rPr>
                <w:rFonts w:ascii="Cambria Math" w:eastAsiaTheme="minorEastAsia" w:hAnsi="Cambria Math" w:cs="Arial"/>
                <w:i/>
                <w:iCs/>
                <w:sz w:val="20"/>
                <w:szCs w:val="20"/>
              </w:rPr>
            </m:ctrlPr>
          </m:funcPr>
          <m:fName>
            <m:limLow>
              <m:limLowPr>
                <m:ctrlPr>
                  <w:rPr>
                    <w:rFonts w:ascii="Cambria Math" w:eastAsiaTheme="minorEastAsia" w:hAnsi="Cambria Math" w:cs="Arial"/>
                    <w:i/>
                    <w:iCs/>
                    <w:sz w:val="20"/>
                    <w:szCs w:val="20"/>
                  </w:rPr>
                </m:ctrlPr>
              </m:limLowPr>
              <m:e>
                <m:r>
                  <w:rPr>
                    <w:rFonts w:ascii="Cambria Math" w:hAnsi="Cambria Math" w:cs="Arial"/>
                    <w:sz w:val="20"/>
                    <w:szCs w:val="20"/>
                  </w:rPr>
                  <m:t>min</m:t>
                </m:r>
              </m:e>
              <m:lim>
                <m:sSub>
                  <m:sSubPr>
                    <m:ctrlPr>
                      <w:rPr>
                        <w:rFonts w:ascii="Cambria Math" w:eastAsiaTheme="minorEastAsia" w:hAnsi="Cambria Math" w:cs="Arial"/>
                        <w:i/>
                        <w:iCs/>
                        <w:sz w:val="20"/>
                        <w:szCs w:val="20"/>
                      </w:rPr>
                    </m:ctrlPr>
                  </m:sSubPr>
                  <m:e>
                    <m:r>
                      <w:rPr>
                        <w:rFonts w:ascii="Cambria Math" w:eastAsiaTheme="minorEastAsia" w:hAnsi="Cambria Math" w:cs="Arial"/>
                        <w:sz w:val="20"/>
                        <w:szCs w:val="20"/>
                      </w:rPr>
                      <m:t>x</m:t>
                    </m:r>
                  </m:e>
                  <m:sub>
                    <m:r>
                      <w:rPr>
                        <w:rFonts w:ascii="Cambria Math" w:eastAsiaTheme="minorEastAsia" w:hAnsi="Cambria Math" w:cs="Arial"/>
                        <w:sz w:val="20"/>
                        <w:szCs w:val="20"/>
                      </w:rPr>
                      <m:t>1</m:t>
                    </m:r>
                  </m:sub>
                </m:sSub>
                <m:r>
                  <w:rPr>
                    <w:rFonts w:ascii="Cambria Math" w:eastAsiaTheme="minorEastAsia" w:hAnsi="Cambria Math" w:cs="Arial"/>
                    <w:sz w:val="20"/>
                    <w:szCs w:val="20"/>
                  </w:rPr>
                  <m:t>,  ….</m:t>
                </m:r>
                <m:sSub>
                  <m:sSubPr>
                    <m:ctrlPr>
                      <w:rPr>
                        <w:rFonts w:ascii="Cambria Math" w:eastAsiaTheme="minorEastAsia" w:hAnsi="Cambria Math" w:cs="Arial"/>
                        <w:i/>
                        <w:iCs/>
                        <w:sz w:val="20"/>
                        <w:szCs w:val="20"/>
                      </w:rPr>
                    </m:ctrlPr>
                  </m:sSubPr>
                  <m:e>
                    <m:r>
                      <w:rPr>
                        <w:rFonts w:ascii="Cambria Math" w:eastAsiaTheme="minorEastAsia" w:hAnsi="Cambria Math" w:cs="Arial"/>
                        <w:sz w:val="20"/>
                        <w:szCs w:val="20"/>
                      </w:rPr>
                      <m:t>x</m:t>
                    </m:r>
                  </m:e>
                  <m:sub>
                    <m:r>
                      <w:rPr>
                        <w:rFonts w:ascii="Cambria Math" w:eastAsiaTheme="minorEastAsia" w:hAnsi="Cambria Math" w:cs="Arial"/>
                        <w:sz w:val="20"/>
                        <w:szCs w:val="20"/>
                      </w:rPr>
                      <m:t>T</m:t>
                    </m:r>
                  </m:sub>
                </m:sSub>
                <m:r>
                  <m:rPr>
                    <m:scr m:val="double-struck"/>
                  </m:rPr>
                  <w:rPr>
                    <w:rFonts w:ascii="Cambria Math" w:eastAsiaTheme="minorEastAsia" w:hAnsi="Cambria Math" w:cs="Arial"/>
                    <w:sz w:val="20"/>
                    <w:szCs w:val="20"/>
                  </w:rPr>
                  <m:t>∈R</m:t>
                </m:r>
              </m:lim>
            </m:limLow>
          </m:fName>
          <m:e>
            <m:nary>
              <m:naryPr>
                <m:chr m:val="∑"/>
                <m:limLoc m:val="undOvr"/>
                <m:ctrlPr>
                  <w:rPr>
                    <w:rFonts w:ascii="Cambria Math" w:eastAsiaTheme="minorEastAsia" w:hAnsi="Cambria Math" w:cs="Arial"/>
                    <w:i/>
                    <w:iCs/>
                    <w:sz w:val="20"/>
                    <w:szCs w:val="20"/>
                  </w:rPr>
                </m:ctrlPr>
              </m:naryPr>
              <m:sub>
                <m:r>
                  <w:rPr>
                    <w:rFonts w:ascii="Cambria Math" w:eastAsiaTheme="minorEastAsia" w:hAnsi="Cambria Math" w:cs="Arial"/>
                    <w:sz w:val="20"/>
                    <w:szCs w:val="20"/>
                  </w:rPr>
                  <m:t>t=1</m:t>
                </m:r>
              </m:sub>
              <m:sup>
                <m:r>
                  <w:rPr>
                    <w:rFonts w:ascii="Cambria Math" w:eastAsiaTheme="minorEastAsia" w:hAnsi="Cambria Math" w:cs="Arial"/>
                    <w:sz w:val="20"/>
                    <w:szCs w:val="20"/>
                  </w:rPr>
                  <m:t>T</m:t>
                </m:r>
              </m:sup>
              <m:e>
                <m:r>
                  <w:rPr>
                    <w:rFonts w:ascii="Cambria Math" w:eastAsiaTheme="minorEastAsia" w:hAnsi="Cambria Math" w:cs="Arial"/>
                    <w:sz w:val="20"/>
                    <w:szCs w:val="20"/>
                  </w:rPr>
                  <m:t>(</m:t>
                </m:r>
                <m:sSup>
                  <m:sSupPr>
                    <m:ctrlPr>
                      <w:rPr>
                        <w:rFonts w:ascii="Cambria Math" w:eastAsiaTheme="minorEastAsia" w:hAnsi="Cambria Math" w:cs="Arial"/>
                        <w:i/>
                        <w:iCs/>
                        <w:sz w:val="20"/>
                        <w:szCs w:val="20"/>
                      </w:rPr>
                    </m:ctrlPr>
                  </m:sSupPr>
                  <m:e>
                    <m:sSub>
                      <m:sSubPr>
                        <m:ctrlPr>
                          <w:rPr>
                            <w:rFonts w:ascii="Cambria Math" w:eastAsiaTheme="minorEastAsia" w:hAnsi="Cambria Math" w:cs="Arial"/>
                            <w:i/>
                            <w:iCs/>
                            <w:sz w:val="20"/>
                            <w:szCs w:val="20"/>
                          </w:rPr>
                        </m:ctrlPr>
                      </m:sSubPr>
                      <m:e>
                        <m:r>
                          <w:rPr>
                            <w:rFonts w:ascii="Cambria Math" w:eastAsiaTheme="minorEastAsia" w:hAnsi="Cambria Math" w:cs="Arial"/>
                            <w:sz w:val="20"/>
                            <w:szCs w:val="20"/>
                          </w:rPr>
                          <m:t>y</m:t>
                        </m:r>
                      </m:e>
                      <m:sub>
                        <m:r>
                          <w:rPr>
                            <w:rFonts w:ascii="Cambria Math" w:eastAsiaTheme="minorEastAsia" w:hAnsi="Cambria Math" w:cs="Arial"/>
                            <w:sz w:val="20"/>
                            <w:szCs w:val="20"/>
                          </w:rPr>
                          <m:t>t</m:t>
                        </m:r>
                      </m:sub>
                    </m:sSub>
                    <m:r>
                      <w:rPr>
                        <w:rFonts w:ascii="Cambria Math" w:eastAsiaTheme="minorEastAsia" w:hAnsi="Cambria Math" w:cs="Arial"/>
                        <w:sz w:val="20"/>
                        <w:szCs w:val="20"/>
                      </w:rPr>
                      <m:t>-</m:t>
                    </m:r>
                    <m:sSub>
                      <m:sSubPr>
                        <m:ctrlPr>
                          <w:rPr>
                            <w:rFonts w:ascii="Cambria Math" w:eastAsiaTheme="minorEastAsia" w:hAnsi="Cambria Math" w:cs="Arial"/>
                            <w:i/>
                            <w:iCs/>
                            <w:sz w:val="20"/>
                            <w:szCs w:val="20"/>
                          </w:rPr>
                        </m:ctrlPr>
                      </m:sSubPr>
                      <m:e>
                        <m:r>
                          <w:rPr>
                            <w:rFonts w:ascii="Cambria Math" w:eastAsiaTheme="minorEastAsia" w:hAnsi="Cambria Math" w:cs="Arial"/>
                            <w:sz w:val="20"/>
                            <w:szCs w:val="20"/>
                          </w:rPr>
                          <m:t>x</m:t>
                        </m:r>
                      </m:e>
                      <m:sub>
                        <m:r>
                          <w:rPr>
                            <w:rFonts w:ascii="Cambria Math" w:eastAsiaTheme="minorEastAsia" w:hAnsi="Cambria Math" w:cs="Arial"/>
                            <w:sz w:val="20"/>
                            <w:szCs w:val="20"/>
                          </w:rPr>
                          <m:t>t</m:t>
                        </m:r>
                      </m:sub>
                    </m:sSub>
                    <m:r>
                      <w:rPr>
                        <w:rFonts w:ascii="Cambria Math" w:eastAsiaTheme="minorEastAsia" w:hAnsi="Cambria Math" w:cs="Arial"/>
                        <w:sz w:val="20"/>
                        <w:szCs w:val="20"/>
                      </w:rPr>
                      <m:t>)</m:t>
                    </m:r>
                  </m:e>
                  <m:sup>
                    <m:r>
                      <w:rPr>
                        <w:rFonts w:ascii="Cambria Math" w:eastAsiaTheme="minorEastAsia" w:hAnsi="Cambria Math" w:cs="Arial"/>
                        <w:sz w:val="20"/>
                        <w:szCs w:val="20"/>
                      </w:rPr>
                      <m:t>2</m:t>
                    </m:r>
                  </m:sup>
                </m:sSup>
                <m:r>
                  <w:rPr>
                    <w:rFonts w:ascii="Cambria Math" w:eastAsiaTheme="minorEastAsia" w:hAnsi="Cambria Math" w:cs="Arial"/>
                    <w:sz w:val="20"/>
                    <w:szCs w:val="20"/>
                  </w:rPr>
                  <m:t>+ λ</m:t>
                </m:r>
                <m:nary>
                  <m:naryPr>
                    <m:chr m:val="∑"/>
                    <m:limLoc m:val="undOvr"/>
                    <m:ctrlPr>
                      <w:rPr>
                        <w:rFonts w:ascii="Cambria Math" w:eastAsiaTheme="minorEastAsia" w:hAnsi="Cambria Math" w:cs="Arial"/>
                        <w:i/>
                        <w:iCs/>
                        <w:sz w:val="20"/>
                        <w:szCs w:val="20"/>
                      </w:rPr>
                    </m:ctrlPr>
                  </m:naryPr>
                  <m:sub>
                    <m:r>
                      <w:rPr>
                        <w:rFonts w:ascii="Cambria Math" w:eastAsiaTheme="minorEastAsia" w:hAnsi="Cambria Math" w:cs="Arial"/>
                        <w:sz w:val="20"/>
                        <w:szCs w:val="20"/>
                      </w:rPr>
                      <m:t>t=3</m:t>
                    </m:r>
                  </m:sub>
                  <m:sup>
                    <m:r>
                      <w:rPr>
                        <w:rFonts w:ascii="Cambria Math" w:eastAsiaTheme="minorEastAsia" w:hAnsi="Cambria Math" w:cs="Arial"/>
                        <w:sz w:val="20"/>
                        <w:szCs w:val="20"/>
                      </w:rPr>
                      <m:t>T</m:t>
                    </m:r>
                  </m:sup>
                  <m:e>
                    <m:sSup>
                      <m:sSupPr>
                        <m:ctrlPr>
                          <w:rPr>
                            <w:rFonts w:ascii="Cambria Math" w:eastAsiaTheme="minorEastAsia" w:hAnsi="Cambria Math" w:cs="Arial"/>
                            <w:i/>
                            <w:iCs/>
                            <w:sz w:val="20"/>
                            <w:szCs w:val="20"/>
                          </w:rPr>
                        </m:ctrlPr>
                      </m:sSupPr>
                      <m:e>
                        <m:sSup>
                          <m:sSupPr>
                            <m:ctrlPr>
                              <w:rPr>
                                <w:rFonts w:ascii="Cambria Math" w:eastAsiaTheme="minorEastAsia" w:hAnsi="Cambria Math" w:cs="Arial"/>
                                <w:i/>
                                <w:iCs/>
                                <w:sz w:val="20"/>
                                <w:szCs w:val="20"/>
                              </w:rPr>
                            </m:ctrlPr>
                          </m:sSupPr>
                          <m:e>
                            <m:r>
                              <w:rPr>
                                <w:rFonts w:ascii="Cambria Math" w:eastAsiaTheme="minorEastAsia" w:hAnsi="Cambria Math" w:cs="Arial"/>
                                <w:sz w:val="20"/>
                                <w:szCs w:val="20"/>
                              </w:rPr>
                              <m:t>(∆</m:t>
                            </m:r>
                          </m:e>
                          <m:sup>
                            <m:r>
                              <w:rPr>
                                <w:rFonts w:ascii="Cambria Math" w:eastAsiaTheme="minorEastAsia" w:hAnsi="Cambria Math" w:cs="Arial"/>
                                <w:sz w:val="20"/>
                                <w:szCs w:val="20"/>
                              </w:rPr>
                              <m:t>2</m:t>
                            </m:r>
                          </m:sup>
                        </m:sSup>
                        <m:sSub>
                          <m:sSubPr>
                            <m:ctrlPr>
                              <w:rPr>
                                <w:rFonts w:ascii="Cambria Math" w:eastAsiaTheme="minorEastAsia" w:hAnsi="Cambria Math" w:cs="Arial"/>
                                <w:i/>
                                <w:iCs/>
                                <w:sz w:val="20"/>
                                <w:szCs w:val="20"/>
                              </w:rPr>
                            </m:ctrlPr>
                          </m:sSubPr>
                          <m:e>
                            <m:r>
                              <w:rPr>
                                <w:rFonts w:ascii="Cambria Math" w:eastAsiaTheme="minorEastAsia" w:hAnsi="Cambria Math" w:cs="Arial"/>
                                <w:sz w:val="20"/>
                                <w:szCs w:val="20"/>
                              </w:rPr>
                              <m:t>x</m:t>
                            </m:r>
                          </m:e>
                          <m:sub>
                            <m:r>
                              <w:rPr>
                                <w:rFonts w:ascii="Cambria Math" w:eastAsiaTheme="minorEastAsia" w:hAnsi="Cambria Math" w:cs="Arial"/>
                                <w:sz w:val="20"/>
                                <w:szCs w:val="20"/>
                              </w:rPr>
                              <m:t>t</m:t>
                            </m:r>
                          </m:sub>
                        </m:sSub>
                        <m:r>
                          <w:rPr>
                            <w:rFonts w:ascii="Cambria Math" w:eastAsiaTheme="minorEastAsia" w:hAnsi="Cambria Math" w:cs="Arial"/>
                            <w:sz w:val="20"/>
                            <w:szCs w:val="20"/>
                          </w:rPr>
                          <m:t>)</m:t>
                        </m:r>
                      </m:e>
                      <m:sup>
                        <m:r>
                          <w:rPr>
                            <w:rFonts w:ascii="Cambria Math" w:eastAsiaTheme="minorEastAsia" w:hAnsi="Cambria Math" w:cs="Arial"/>
                            <w:sz w:val="20"/>
                            <w:szCs w:val="20"/>
                          </w:rPr>
                          <m:t>2</m:t>
                        </m:r>
                      </m:sup>
                    </m:sSup>
                  </m:e>
                </m:nary>
              </m:e>
            </m:nary>
          </m:e>
        </m:func>
      </m:oMath>
    </w:p>
    <w:p w14:paraId="02F150D7" w14:textId="77777777" w:rsidR="00F41E4D" w:rsidRPr="008F0D7D" w:rsidRDefault="00F41E4D" w:rsidP="00373987">
      <w:pPr>
        <w:rPr>
          <w:rFonts w:ascii="Arial" w:eastAsiaTheme="minorEastAsia" w:hAnsi="Arial" w:cs="Arial"/>
          <w:i/>
          <w:iCs/>
          <w:sz w:val="20"/>
          <w:szCs w:val="20"/>
        </w:rPr>
      </w:pPr>
      <w:r w:rsidRPr="008F0D7D">
        <w:rPr>
          <w:rFonts w:ascii="Arial" w:eastAsiaTheme="minorEastAsia" w:hAnsi="Arial" w:cs="Arial"/>
          <w:i/>
          <w:iCs/>
          <w:sz w:val="20"/>
          <w:szCs w:val="20"/>
        </w:rPr>
        <w:t>Whereby</w:t>
      </w:r>
    </w:p>
    <w:p w14:paraId="202262BB" w14:textId="3D4F527C" w:rsidR="00F41E4D" w:rsidRPr="00373987" w:rsidRDefault="00F41E4D" w:rsidP="00373987">
      <w:pPr>
        <w:rPr>
          <w:rFonts w:ascii="Arial" w:eastAsiaTheme="minorEastAsia" w:hAnsi="Arial" w:cs="Arial"/>
        </w:rPr>
      </w:pPr>
      <w:r w:rsidRPr="008F0D7D">
        <w:rPr>
          <w:rFonts w:ascii="Arial" w:eastAsiaTheme="minorEastAsia" w:hAnsi="Arial" w:cs="Arial"/>
          <w:i/>
          <w:iCs/>
          <w:sz w:val="20"/>
          <w:szCs w:val="20"/>
        </w:rPr>
        <w:t xml:space="preserve"> </w:t>
      </w:r>
      <m:oMath>
        <m:sSub>
          <m:sSubPr>
            <m:ctrlPr>
              <w:rPr>
                <w:rFonts w:ascii="Cambria Math" w:eastAsiaTheme="minorEastAsia" w:hAnsi="Cambria Math" w:cs="Arial"/>
                <w:i/>
                <w:iCs/>
                <w:sz w:val="20"/>
                <w:szCs w:val="20"/>
              </w:rPr>
            </m:ctrlPr>
          </m:sSubPr>
          <m:e>
            <m:r>
              <w:rPr>
                <w:rFonts w:ascii="Cambria Math" w:eastAsiaTheme="minorEastAsia" w:hAnsi="Cambria Math" w:cs="Arial"/>
                <w:sz w:val="20"/>
                <w:szCs w:val="20"/>
              </w:rPr>
              <m:t>y</m:t>
            </m:r>
          </m:e>
          <m:sub>
            <m:r>
              <w:rPr>
                <w:rFonts w:ascii="Cambria Math" w:eastAsiaTheme="minorEastAsia" w:hAnsi="Cambria Math" w:cs="Arial"/>
                <w:sz w:val="20"/>
                <w:szCs w:val="20"/>
              </w:rPr>
              <m:t>t</m:t>
            </m:r>
          </m:sub>
        </m:sSub>
        <m:r>
          <w:rPr>
            <w:rFonts w:ascii="Cambria Math" w:eastAsiaTheme="minorEastAsia" w:hAnsi="Cambria Math" w:cs="Arial"/>
            <w:sz w:val="20"/>
            <w:szCs w:val="20"/>
          </w:rPr>
          <m:t>,</m:t>
        </m:r>
      </m:oMath>
      <w:r w:rsidRPr="008F0D7D">
        <w:rPr>
          <w:rFonts w:ascii="Arial" w:eastAsiaTheme="minorEastAsia" w:hAnsi="Arial" w:cs="Arial"/>
          <w:i/>
          <w:iCs/>
          <w:sz w:val="20"/>
          <w:szCs w:val="20"/>
        </w:rPr>
        <w:t>. . . .</w:t>
      </w:r>
      <m:oMath>
        <m:r>
          <w:rPr>
            <w:rFonts w:ascii="Cambria Math" w:eastAsiaTheme="minorEastAsia" w:hAnsi="Cambria Math" w:cs="Arial"/>
            <w:sz w:val="20"/>
            <w:szCs w:val="20"/>
          </w:rPr>
          <m:t xml:space="preserve"> </m:t>
        </m:r>
        <m:sSub>
          <m:sSubPr>
            <m:ctrlPr>
              <w:rPr>
                <w:rFonts w:ascii="Cambria Math" w:eastAsiaTheme="minorEastAsia" w:hAnsi="Cambria Math" w:cs="Arial"/>
                <w:i/>
                <w:iCs/>
                <w:sz w:val="20"/>
                <w:szCs w:val="20"/>
              </w:rPr>
            </m:ctrlPr>
          </m:sSubPr>
          <m:e>
            <m:r>
              <w:rPr>
                <w:rFonts w:ascii="Cambria Math" w:eastAsiaTheme="minorEastAsia" w:hAnsi="Cambria Math" w:cs="Arial"/>
                <w:sz w:val="20"/>
                <w:szCs w:val="20"/>
              </w:rPr>
              <m:t>y</m:t>
            </m:r>
          </m:e>
          <m:sub>
            <m:r>
              <w:rPr>
                <w:rFonts w:ascii="Cambria Math" w:eastAsiaTheme="minorEastAsia" w:hAnsi="Cambria Math" w:cs="Arial"/>
                <w:sz w:val="20"/>
                <w:szCs w:val="20"/>
              </w:rPr>
              <m:t>T</m:t>
            </m:r>
          </m:sub>
        </m:sSub>
      </m:oMath>
      <w:r w:rsidRPr="008F0D7D">
        <w:rPr>
          <w:rFonts w:ascii="Arial" w:eastAsiaTheme="minorEastAsia" w:hAnsi="Arial" w:cs="Arial"/>
          <w:i/>
          <w:iCs/>
          <w:sz w:val="20"/>
          <w:szCs w:val="20"/>
        </w:rPr>
        <w:t xml:space="preserve"> denote T observations of an economic time series =, such as real exchange rate (RER), </w:t>
      </w:r>
      <m:oMath>
        <m:r>
          <w:rPr>
            <w:rFonts w:ascii="Cambria Math" w:eastAsiaTheme="minorEastAsia" w:hAnsi="Cambria Math" w:cs="Arial"/>
            <w:sz w:val="20"/>
            <w:szCs w:val="20"/>
          </w:rPr>
          <m:t>λ</m:t>
        </m:r>
      </m:oMath>
      <w:r w:rsidRPr="008F0D7D">
        <w:rPr>
          <w:rFonts w:ascii="Arial" w:eastAsiaTheme="minorEastAsia" w:hAnsi="Arial" w:cs="Arial"/>
          <w:i/>
          <w:iCs/>
          <w:sz w:val="20"/>
          <w:szCs w:val="20"/>
        </w:rPr>
        <w:t xml:space="preserve"> is a positive smoothing parameter that controls fidelity and smoothness, and </w:t>
      </w:r>
      <m:oMath>
        <m:r>
          <w:rPr>
            <w:rFonts w:ascii="Cambria Math" w:eastAsiaTheme="minorEastAsia" w:hAnsi="Cambria Math" w:cs="Arial"/>
            <w:sz w:val="20"/>
            <w:szCs w:val="20"/>
          </w:rPr>
          <m:t>∆</m:t>
        </m:r>
      </m:oMath>
      <w:r w:rsidRPr="008F0D7D">
        <w:rPr>
          <w:rFonts w:ascii="Arial" w:eastAsiaTheme="minorEastAsia" w:hAnsi="Arial" w:cs="Arial"/>
          <w:i/>
          <w:iCs/>
          <w:sz w:val="20"/>
          <w:szCs w:val="20"/>
        </w:rPr>
        <w:t xml:space="preserve"> denotes a different operator such that </w:t>
      </w:r>
      <m:oMath>
        <m:r>
          <w:rPr>
            <w:rFonts w:ascii="Cambria Math" w:eastAsiaTheme="minorEastAsia" w:hAnsi="Cambria Math" w:cs="Arial"/>
            <w:sz w:val="20"/>
            <w:szCs w:val="20"/>
          </w:rPr>
          <m:t>∆</m:t>
        </m:r>
        <m:sSub>
          <m:sSubPr>
            <m:ctrlPr>
              <w:rPr>
                <w:rFonts w:ascii="Cambria Math" w:eastAsiaTheme="minorEastAsia" w:hAnsi="Cambria Math" w:cs="Arial"/>
                <w:i/>
                <w:iCs/>
                <w:sz w:val="20"/>
                <w:szCs w:val="20"/>
              </w:rPr>
            </m:ctrlPr>
          </m:sSubPr>
          <m:e>
            <m:r>
              <w:rPr>
                <w:rFonts w:ascii="Cambria Math" w:eastAsiaTheme="minorEastAsia" w:hAnsi="Cambria Math" w:cs="Arial"/>
                <w:sz w:val="20"/>
                <w:szCs w:val="20"/>
              </w:rPr>
              <m:t>x</m:t>
            </m:r>
          </m:e>
          <m:sub>
            <m:r>
              <w:rPr>
                <w:rFonts w:ascii="Cambria Math" w:eastAsiaTheme="minorEastAsia" w:hAnsi="Cambria Math" w:cs="Arial"/>
                <w:sz w:val="20"/>
                <w:szCs w:val="20"/>
              </w:rPr>
              <m:t>t</m:t>
            </m:r>
          </m:sub>
        </m:sSub>
      </m:oMath>
      <w:r w:rsidRPr="008F0D7D">
        <w:rPr>
          <w:rFonts w:ascii="Arial" w:eastAsiaTheme="minorEastAsia" w:hAnsi="Arial" w:cs="Arial"/>
          <w:i/>
          <w:iCs/>
          <w:sz w:val="20"/>
          <w:szCs w:val="20"/>
        </w:rPr>
        <w:t xml:space="preserve">= </w:t>
      </w:r>
      <m:oMath>
        <m:sSub>
          <m:sSubPr>
            <m:ctrlPr>
              <w:rPr>
                <w:rFonts w:ascii="Cambria Math" w:eastAsiaTheme="minorEastAsia" w:hAnsi="Cambria Math" w:cs="Arial"/>
                <w:i/>
                <w:iCs/>
                <w:sz w:val="20"/>
                <w:szCs w:val="20"/>
              </w:rPr>
            </m:ctrlPr>
          </m:sSubPr>
          <m:e>
            <m:r>
              <w:rPr>
                <w:rFonts w:ascii="Cambria Math" w:eastAsiaTheme="minorEastAsia" w:hAnsi="Cambria Math" w:cs="Arial"/>
                <w:sz w:val="20"/>
                <w:szCs w:val="20"/>
              </w:rPr>
              <m:t>x</m:t>
            </m:r>
          </m:e>
          <m:sub>
            <m:r>
              <w:rPr>
                <w:rFonts w:ascii="Cambria Math" w:eastAsiaTheme="minorEastAsia" w:hAnsi="Cambria Math" w:cs="Arial"/>
                <w:sz w:val="20"/>
                <w:szCs w:val="20"/>
              </w:rPr>
              <m:t>t</m:t>
            </m:r>
          </m:sub>
        </m:sSub>
      </m:oMath>
      <w:r w:rsidRPr="008F0D7D">
        <w:rPr>
          <w:rFonts w:ascii="Arial" w:eastAsiaTheme="minorEastAsia" w:hAnsi="Arial" w:cs="Arial"/>
          <w:i/>
          <w:iCs/>
          <w:sz w:val="20"/>
          <w:szCs w:val="20"/>
        </w:rPr>
        <w:t>-</w:t>
      </w:r>
      <m:oMath>
        <m:sSub>
          <m:sSubPr>
            <m:ctrlPr>
              <w:rPr>
                <w:rFonts w:ascii="Cambria Math" w:eastAsiaTheme="minorEastAsia" w:hAnsi="Cambria Math" w:cs="Arial"/>
                <w:i/>
                <w:iCs/>
                <w:sz w:val="20"/>
                <w:szCs w:val="20"/>
              </w:rPr>
            </m:ctrlPr>
          </m:sSubPr>
          <m:e>
            <m:r>
              <w:rPr>
                <w:rFonts w:ascii="Cambria Math" w:eastAsiaTheme="minorEastAsia" w:hAnsi="Cambria Math" w:cs="Arial"/>
                <w:sz w:val="20"/>
                <w:szCs w:val="20"/>
              </w:rPr>
              <m:t>x</m:t>
            </m:r>
          </m:e>
          <m:sub>
            <m:r>
              <w:rPr>
                <w:rFonts w:ascii="Cambria Math" w:eastAsiaTheme="minorEastAsia" w:hAnsi="Cambria Math" w:cs="Arial"/>
                <w:sz w:val="20"/>
                <w:szCs w:val="20"/>
              </w:rPr>
              <m:t>t-1</m:t>
            </m:r>
          </m:sub>
        </m:sSub>
      </m:oMath>
      <w:r w:rsidRPr="008F0D7D">
        <w:rPr>
          <w:rFonts w:ascii="Arial" w:eastAsiaTheme="minorEastAsia" w:hAnsi="Arial" w:cs="Arial"/>
          <w:i/>
          <w:iCs/>
          <w:sz w:val="20"/>
          <w:szCs w:val="20"/>
        </w:rPr>
        <w:t xml:space="preserve"> and accordingly </w:t>
      </w:r>
      <m:oMath>
        <m:sSup>
          <m:sSupPr>
            <m:ctrlPr>
              <w:rPr>
                <w:rFonts w:ascii="Cambria Math" w:eastAsiaTheme="minorEastAsia" w:hAnsi="Cambria Math" w:cs="Arial"/>
                <w:i/>
                <w:iCs/>
                <w:sz w:val="20"/>
                <w:szCs w:val="20"/>
              </w:rPr>
            </m:ctrlPr>
          </m:sSupPr>
          <m:e>
            <m:r>
              <w:rPr>
                <w:rFonts w:ascii="Cambria Math" w:eastAsiaTheme="minorEastAsia" w:hAnsi="Cambria Math" w:cs="Arial"/>
                <w:sz w:val="20"/>
                <w:szCs w:val="20"/>
              </w:rPr>
              <m:t>∆</m:t>
            </m:r>
          </m:e>
          <m:sup>
            <m:r>
              <w:rPr>
                <w:rFonts w:ascii="Cambria Math" w:eastAsiaTheme="minorEastAsia" w:hAnsi="Cambria Math" w:cs="Arial"/>
                <w:sz w:val="20"/>
                <w:szCs w:val="20"/>
              </w:rPr>
              <m:t>2</m:t>
            </m:r>
          </m:sup>
        </m:sSup>
        <m:sSub>
          <m:sSubPr>
            <m:ctrlPr>
              <w:rPr>
                <w:rFonts w:ascii="Cambria Math" w:eastAsiaTheme="minorEastAsia" w:hAnsi="Cambria Math" w:cs="Arial"/>
                <w:i/>
                <w:iCs/>
                <w:sz w:val="20"/>
                <w:szCs w:val="20"/>
              </w:rPr>
            </m:ctrlPr>
          </m:sSubPr>
          <m:e>
            <m:r>
              <w:rPr>
                <w:rFonts w:ascii="Cambria Math" w:eastAsiaTheme="minorEastAsia" w:hAnsi="Cambria Math" w:cs="Arial"/>
                <w:sz w:val="20"/>
                <w:szCs w:val="20"/>
              </w:rPr>
              <m:t>x</m:t>
            </m:r>
          </m:e>
          <m:sub>
            <m:r>
              <w:rPr>
                <w:rFonts w:ascii="Cambria Math" w:eastAsiaTheme="minorEastAsia" w:hAnsi="Cambria Math" w:cs="Arial"/>
                <w:sz w:val="20"/>
                <w:szCs w:val="20"/>
              </w:rPr>
              <m:t>t</m:t>
            </m:r>
          </m:sub>
        </m:sSub>
      </m:oMath>
      <w:r w:rsidRPr="008F0D7D">
        <w:rPr>
          <w:rFonts w:ascii="Arial" w:eastAsiaTheme="minorEastAsia" w:hAnsi="Arial" w:cs="Arial"/>
          <w:i/>
          <w:iCs/>
          <w:sz w:val="20"/>
          <w:szCs w:val="20"/>
        </w:rPr>
        <w:t>=</w:t>
      </w:r>
      <m:oMath>
        <m:sSub>
          <m:sSubPr>
            <m:ctrlPr>
              <w:rPr>
                <w:rFonts w:ascii="Cambria Math" w:eastAsiaTheme="minorEastAsia" w:hAnsi="Cambria Math" w:cs="Arial"/>
                <w:i/>
                <w:iCs/>
                <w:sz w:val="20"/>
                <w:szCs w:val="20"/>
              </w:rPr>
            </m:ctrlPr>
          </m:sSubPr>
          <m:e>
            <m:r>
              <w:rPr>
                <w:rFonts w:ascii="Cambria Math" w:eastAsiaTheme="minorEastAsia" w:hAnsi="Cambria Math" w:cs="Arial"/>
                <w:sz w:val="20"/>
                <w:szCs w:val="20"/>
              </w:rPr>
              <m:t>x</m:t>
            </m:r>
          </m:e>
          <m:sub>
            <m:r>
              <w:rPr>
                <w:rFonts w:ascii="Cambria Math" w:eastAsiaTheme="minorEastAsia" w:hAnsi="Cambria Math" w:cs="Arial"/>
                <w:sz w:val="20"/>
                <w:szCs w:val="20"/>
              </w:rPr>
              <m:t>t</m:t>
            </m:r>
          </m:sub>
        </m:sSub>
      </m:oMath>
      <w:r w:rsidRPr="008F0D7D">
        <w:rPr>
          <w:rFonts w:ascii="Arial" w:eastAsiaTheme="minorEastAsia" w:hAnsi="Arial" w:cs="Arial"/>
          <w:i/>
          <w:iCs/>
          <w:sz w:val="20"/>
          <w:szCs w:val="20"/>
        </w:rPr>
        <w:t>-</w:t>
      </w:r>
      <m:oMath>
        <m:r>
          <w:rPr>
            <w:rFonts w:ascii="Cambria Math" w:eastAsiaTheme="minorEastAsia" w:hAnsi="Cambria Math" w:cs="Arial"/>
            <w:sz w:val="20"/>
            <w:szCs w:val="20"/>
          </w:rPr>
          <m:t>2</m:t>
        </m:r>
        <m:sSub>
          <m:sSubPr>
            <m:ctrlPr>
              <w:rPr>
                <w:rFonts w:ascii="Cambria Math" w:eastAsiaTheme="minorEastAsia" w:hAnsi="Cambria Math" w:cs="Arial"/>
                <w:i/>
                <w:iCs/>
                <w:sz w:val="20"/>
                <w:szCs w:val="20"/>
              </w:rPr>
            </m:ctrlPr>
          </m:sSubPr>
          <m:e>
            <m:r>
              <w:rPr>
                <w:rFonts w:ascii="Cambria Math" w:eastAsiaTheme="minorEastAsia" w:hAnsi="Cambria Math" w:cs="Arial"/>
                <w:sz w:val="20"/>
                <w:szCs w:val="20"/>
              </w:rPr>
              <m:t>x</m:t>
            </m:r>
          </m:e>
          <m:sub>
            <m:r>
              <w:rPr>
                <w:rFonts w:ascii="Cambria Math" w:eastAsiaTheme="minorEastAsia" w:hAnsi="Cambria Math" w:cs="Arial"/>
                <w:sz w:val="20"/>
                <w:szCs w:val="20"/>
              </w:rPr>
              <m:t>t-1</m:t>
            </m:r>
          </m:sub>
        </m:sSub>
      </m:oMath>
      <w:r w:rsidRPr="008F0D7D">
        <w:rPr>
          <w:rFonts w:ascii="Arial" w:eastAsiaTheme="minorEastAsia" w:hAnsi="Arial" w:cs="Arial"/>
          <w:i/>
          <w:iCs/>
          <w:sz w:val="20"/>
          <w:szCs w:val="20"/>
        </w:rPr>
        <w:t>+</w:t>
      </w:r>
      <m:oMath>
        <m:sSub>
          <m:sSubPr>
            <m:ctrlPr>
              <w:rPr>
                <w:rFonts w:ascii="Cambria Math" w:eastAsiaTheme="minorEastAsia" w:hAnsi="Cambria Math" w:cs="Arial"/>
                <w:i/>
                <w:iCs/>
                <w:sz w:val="20"/>
                <w:szCs w:val="20"/>
              </w:rPr>
            </m:ctrlPr>
          </m:sSubPr>
          <m:e>
            <m:r>
              <w:rPr>
                <w:rFonts w:ascii="Cambria Math" w:eastAsiaTheme="minorEastAsia" w:hAnsi="Cambria Math" w:cs="Arial"/>
                <w:sz w:val="20"/>
                <w:szCs w:val="20"/>
              </w:rPr>
              <m:t>x</m:t>
            </m:r>
          </m:e>
          <m:sub>
            <m:r>
              <w:rPr>
                <w:rFonts w:ascii="Cambria Math" w:eastAsiaTheme="minorEastAsia" w:hAnsi="Cambria Math" w:cs="Arial"/>
                <w:sz w:val="20"/>
                <w:szCs w:val="20"/>
              </w:rPr>
              <m:t>t-2</m:t>
            </m:r>
          </m:sub>
        </m:sSub>
      </m:oMath>
      <w:r w:rsidRPr="008F0D7D">
        <w:rPr>
          <w:rFonts w:ascii="Arial" w:hAnsi="Arial" w:cs="Arial"/>
          <w:i/>
        </w:rPr>
        <w:t>.</w:t>
      </w:r>
    </w:p>
  </w:footnote>
  <w:footnote w:id="62">
    <w:p w14:paraId="26661CF7" w14:textId="644078CF" w:rsidR="00EC7404" w:rsidRDefault="00EC7404" w:rsidP="00EC7404">
      <w:pPr>
        <w:pStyle w:val="FootnoteText"/>
        <w:jc w:val="both"/>
      </w:pPr>
      <w:r>
        <w:rPr>
          <w:rStyle w:val="FootnoteReference"/>
        </w:rPr>
        <w:footnoteRef/>
      </w:r>
      <w:r>
        <w:t xml:space="preserve"> </w:t>
      </w:r>
      <w:r w:rsidRPr="00EC7404">
        <w:rPr>
          <w:rFonts w:ascii="Arial" w:hAnsi="Arial" w:cs="Arial"/>
          <w:i/>
          <w:iCs/>
          <w:lang w:eastAsia="en-GB"/>
        </w:rPr>
        <w:t>Fundamental determinants of the equilibrium REER are those real variables that, in addition to the REER, play a significant role in determining a nation’s internal and external equilibrium (Edwards, 1989). Empirical finding on the determinants of the exchange rate is vast and mixed. This is primarily due to the different time horizons considered and the methodologies applied in the studies (Komárek and Melecký, 2005). Some research works found that government expenditure, terms of trade, net foreign assets, trade policy, and productivity differentials were the most used variables (Edwards, 1989; Clark and MacDonald, 1998; Gala, 2008; Zhang, 2010; Di Nino et al., 2011; Gluzmann et al., 2012; Rapetti et al., 2012). In addition, some other variables like investment and regulated prices, foreign debt, private expenditure, trade balance, and gross domestic production were at times used by some research work (Komárek and Melecký, 2005). Thus, the possible exchange rate determinants associated with the BEER approach are broad. </w:t>
      </w:r>
    </w:p>
  </w:footnote>
  <w:footnote w:id="63">
    <w:p w14:paraId="287DD46C" w14:textId="77777777" w:rsidR="00F41E4D" w:rsidRPr="002D7E0D" w:rsidRDefault="00F41E4D" w:rsidP="002564FB">
      <w:pPr>
        <w:spacing w:line="240" w:lineRule="auto"/>
        <w:jc w:val="both"/>
        <w:rPr>
          <w:rFonts w:ascii="Arial" w:hAnsi="Arial" w:cs="Arial"/>
          <w:sz w:val="20"/>
          <w:szCs w:val="20"/>
        </w:rPr>
      </w:pPr>
      <w:r>
        <w:rPr>
          <w:rStyle w:val="FootnoteReference"/>
        </w:rPr>
        <w:footnoteRef/>
      </w:r>
      <w:r>
        <w:t xml:space="preserve"> </w:t>
      </w:r>
      <w:r w:rsidRPr="002D7E0D">
        <w:rPr>
          <w:rStyle w:val="Emphasis"/>
          <w:rFonts w:ascii="Arial" w:eastAsiaTheme="majorEastAsia" w:hAnsi="Arial" w:cs="Arial"/>
          <w:color w:val="0E101A"/>
          <w:sz w:val="20"/>
          <w:szCs w:val="20"/>
        </w:rPr>
        <w:t>TOT influence on the REER is in both income and substitution effects. If the substitution effect of TOT improvement on the demand and supply side dominates the income effect, it causes real exchange rate depreciation (positive). On the contrary, the improvement in the TOT increases the national income in terms of imported products, which could increase demand for tradable goods, causing a positive wealth effect and an appreciation in currency (negative effect) (Paya et al., 2003).</w:t>
      </w:r>
    </w:p>
    <w:p w14:paraId="7E4B0ABF" w14:textId="77777777" w:rsidR="00F41E4D" w:rsidRDefault="00F41E4D" w:rsidP="002564FB">
      <w:pPr>
        <w:pStyle w:val="FootnoteText"/>
      </w:pPr>
    </w:p>
  </w:footnote>
  <w:footnote w:id="64">
    <w:p w14:paraId="4D1CE45C" w14:textId="77777777" w:rsidR="00F41E4D" w:rsidRDefault="00F41E4D" w:rsidP="0031658F">
      <w:pPr>
        <w:pStyle w:val="FootnoteText"/>
        <w:jc w:val="both"/>
      </w:pPr>
      <w:r>
        <w:rPr>
          <w:rStyle w:val="FootnoteReference"/>
        </w:rPr>
        <w:footnoteRef/>
      </w:r>
      <w:r>
        <w:t xml:space="preserve"> </w:t>
      </w:r>
      <w:r w:rsidRPr="00EB1A0C">
        <w:rPr>
          <w:rFonts w:ascii="Arial" w:hAnsi="Arial" w:cs="Arial"/>
          <w:i/>
          <w:iCs/>
          <w:lang w:eastAsia="en-GB"/>
        </w:rPr>
        <w:t>MacDonald and Ricci (2003) used the Johansen FIML in estimating the equilibrium real exchange rate of South Africa. Eita and Sichei (2006) also used this approach to estimate the cointegration of Namibia</w:t>
      </w:r>
    </w:p>
  </w:footnote>
  <w:footnote w:id="65">
    <w:p w14:paraId="68717217" w14:textId="77777777" w:rsidR="00F41E4D" w:rsidRDefault="00F41E4D" w:rsidP="0031658F">
      <w:pPr>
        <w:pStyle w:val="FootnoteText"/>
        <w:jc w:val="both"/>
      </w:pPr>
      <w:r>
        <w:rPr>
          <w:rStyle w:val="FootnoteReference"/>
        </w:rPr>
        <w:footnoteRef/>
      </w:r>
      <w:r>
        <w:t xml:space="preserve"> </w:t>
      </w:r>
      <w:r w:rsidRPr="00EB1A0C">
        <w:rPr>
          <w:rFonts w:ascii="Arial" w:hAnsi="Arial" w:cs="Arial"/>
          <w:i/>
          <w:iCs/>
          <w:lang w:eastAsia="en-GB"/>
        </w:rPr>
        <w:t>This is done after the data are imported from Microsoft Excel to EViews12 econometric software application.</w:t>
      </w:r>
    </w:p>
  </w:footnote>
  <w:footnote w:id="66">
    <w:p w14:paraId="434E1307" w14:textId="77777777" w:rsidR="00F41E4D" w:rsidRPr="00B51420" w:rsidRDefault="00F41E4D" w:rsidP="00F560D3">
      <w:pPr>
        <w:spacing w:after="0"/>
        <w:jc w:val="both"/>
        <w:rPr>
          <w:rFonts w:ascii="Arial" w:hAnsi="Arial" w:cs="Arial"/>
          <w:sz w:val="20"/>
          <w:szCs w:val="20"/>
        </w:rPr>
      </w:pPr>
      <w:r>
        <w:rPr>
          <w:rStyle w:val="FootnoteReference"/>
        </w:rPr>
        <w:footnoteRef/>
      </w:r>
      <w:r>
        <w:t xml:space="preserve"> </w:t>
      </w:r>
      <w:r w:rsidRPr="00B51420">
        <w:rPr>
          <w:rFonts w:ascii="Arial" w:hAnsi="Arial" w:cs="Arial"/>
          <w:sz w:val="20"/>
          <w:szCs w:val="20"/>
        </w:rPr>
        <w:t xml:space="preserve">In statistics, the Jarque-Bera is a goodness-of-fit test of whether a sample data has a skewness and kurtosis matching a normal distribution. This test is always non-negative, far from zero and it signals that the data do not have a normal </w:t>
      </w:r>
      <w:r w:rsidRPr="00A63B7B">
        <w:rPr>
          <w:rFonts w:ascii="Arial" w:hAnsi="Arial" w:cs="Arial"/>
          <w:sz w:val="20"/>
          <w:szCs w:val="20"/>
        </w:rPr>
        <w:t xml:space="preserve">distribution </w:t>
      </w:r>
      <w:r w:rsidRPr="00A63B7B">
        <w:rPr>
          <w:rFonts w:ascii="Arial" w:hAnsi="Arial" w:cs="Arial"/>
          <w:color w:val="212121"/>
          <w:sz w:val="20"/>
          <w:szCs w:val="20"/>
          <w:shd w:val="clear" w:color="auto" w:fill="FFFFFF"/>
        </w:rPr>
        <w:t>(Jarque and Bera, 1987)</w:t>
      </w:r>
      <w:r w:rsidRPr="00A63B7B">
        <w:rPr>
          <w:rFonts w:ascii="Arial" w:hAnsi="Arial" w:cs="Arial"/>
          <w:sz w:val="20"/>
          <w:szCs w:val="20"/>
        </w:rPr>
        <w:t>.</w:t>
      </w:r>
      <w:r w:rsidRPr="00B51420">
        <w:rPr>
          <w:rFonts w:ascii="Arial" w:hAnsi="Arial" w:cs="Arial"/>
          <w:sz w:val="20"/>
          <w:szCs w:val="20"/>
        </w:rPr>
        <w:t xml:space="preserve"> The </w:t>
      </w:r>
      <w:r w:rsidRPr="00B51420">
        <w:rPr>
          <w:rFonts w:ascii="Arial" w:hAnsi="Arial" w:cs="Arial"/>
          <w:i/>
          <w:iCs/>
          <w:sz w:val="20"/>
          <w:szCs w:val="20"/>
        </w:rPr>
        <w:t xml:space="preserve">JB </w:t>
      </w:r>
      <w:r w:rsidRPr="00B51420">
        <w:rPr>
          <w:rFonts w:ascii="Arial" w:hAnsi="Arial" w:cs="Arial"/>
          <w:sz w:val="20"/>
          <w:szCs w:val="20"/>
        </w:rPr>
        <w:t>test statistic is defined as:</w:t>
      </w:r>
    </w:p>
    <w:p w14:paraId="253CD16E" w14:textId="77777777" w:rsidR="00F41E4D" w:rsidRPr="00B51420" w:rsidRDefault="00F41E4D" w:rsidP="00F560D3">
      <w:pPr>
        <w:spacing w:after="0"/>
        <w:rPr>
          <w:rFonts w:ascii="Arial" w:eastAsiaTheme="minorEastAsia" w:hAnsi="Arial" w:cs="Arial"/>
          <w:sz w:val="20"/>
          <w:szCs w:val="20"/>
        </w:rPr>
      </w:pPr>
      <w:r w:rsidRPr="00B51420">
        <w:rPr>
          <w:rFonts w:ascii="Arial" w:hAnsi="Arial" w:cs="Arial"/>
          <w:i/>
          <w:iCs/>
          <w:sz w:val="20"/>
          <w:szCs w:val="20"/>
        </w:rPr>
        <w:t xml:space="preserve">JB = </w:t>
      </w:r>
      <m:oMath>
        <m:f>
          <m:fPr>
            <m:ctrlPr>
              <w:rPr>
                <w:rFonts w:ascii="Cambria Math" w:hAnsi="Cambria Math" w:cs="Arial"/>
                <w:i/>
                <w:sz w:val="20"/>
                <w:szCs w:val="20"/>
              </w:rPr>
            </m:ctrlPr>
          </m:fPr>
          <m:num>
            <m:r>
              <w:rPr>
                <w:rFonts w:ascii="Cambria Math" w:hAnsi="Cambria Math" w:cs="Arial"/>
                <w:sz w:val="20"/>
                <w:szCs w:val="20"/>
              </w:rPr>
              <m:t>n</m:t>
            </m:r>
          </m:num>
          <m:den>
            <m:r>
              <w:rPr>
                <w:rFonts w:ascii="Cambria Math" w:hAnsi="Cambria Math" w:cs="Arial"/>
                <w:sz w:val="20"/>
                <w:szCs w:val="20"/>
              </w:rPr>
              <m:t>6</m:t>
            </m:r>
          </m:den>
        </m:f>
      </m:oMath>
      <w:r w:rsidRPr="00B51420">
        <w:rPr>
          <w:rFonts w:ascii="Arial" w:eastAsiaTheme="minorEastAsia" w:hAnsi="Arial" w:cs="Arial"/>
          <w:sz w:val="20"/>
          <w:szCs w:val="20"/>
        </w:rPr>
        <w:t xml:space="preserve"> </w:t>
      </w:r>
      <m:oMath>
        <m:d>
          <m:dPr>
            <m:ctrlPr>
              <w:rPr>
                <w:rFonts w:ascii="Cambria Math" w:eastAsiaTheme="minorEastAsia" w:hAnsi="Cambria Math" w:cs="Arial"/>
                <w:i/>
                <w:sz w:val="20"/>
                <w:szCs w:val="20"/>
              </w:rPr>
            </m:ctrlPr>
          </m:dPr>
          <m:e>
            <m:sSup>
              <m:sSupPr>
                <m:ctrlPr>
                  <w:rPr>
                    <w:rFonts w:ascii="Cambria Math" w:eastAsiaTheme="minorEastAsia" w:hAnsi="Cambria Math" w:cs="Arial"/>
                    <w:i/>
                    <w:sz w:val="20"/>
                    <w:szCs w:val="20"/>
                  </w:rPr>
                </m:ctrlPr>
              </m:sSupPr>
              <m:e>
                <m:r>
                  <w:rPr>
                    <w:rFonts w:ascii="Cambria Math" w:eastAsiaTheme="minorEastAsia" w:hAnsi="Cambria Math" w:cs="Arial"/>
                    <w:sz w:val="20"/>
                    <w:szCs w:val="20"/>
                  </w:rPr>
                  <m:t>S</m:t>
                </m:r>
              </m:e>
              <m:sup>
                <m:r>
                  <w:rPr>
                    <w:rFonts w:ascii="Cambria Math" w:eastAsiaTheme="minorEastAsia" w:hAnsi="Cambria Math" w:cs="Arial"/>
                    <w:sz w:val="20"/>
                    <w:szCs w:val="20"/>
                  </w:rPr>
                  <m:t>2</m:t>
                </m:r>
              </m:sup>
            </m:sSup>
            <m:r>
              <w:rPr>
                <w:rFonts w:ascii="Cambria Math" w:eastAsiaTheme="minorEastAsia" w:hAnsi="Cambria Math" w:cs="Arial"/>
                <w:sz w:val="20"/>
                <w:szCs w:val="20"/>
              </w:rPr>
              <m:t xml:space="preserve">+ </m:t>
            </m:r>
            <m:f>
              <m:fPr>
                <m:ctrlPr>
                  <w:rPr>
                    <w:rFonts w:ascii="Cambria Math" w:eastAsiaTheme="minorEastAsia" w:hAnsi="Cambria Math" w:cs="Arial"/>
                    <w:i/>
                    <w:sz w:val="20"/>
                    <w:szCs w:val="20"/>
                  </w:rPr>
                </m:ctrlPr>
              </m:fPr>
              <m:num>
                <m:r>
                  <w:rPr>
                    <w:rFonts w:ascii="Cambria Math" w:eastAsiaTheme="minorEastAsia" w:hAnsi="Cambria Math" w:cs="Arial"/>
                    <w:sz w:val="20"/>
                    <w:szCs w:val="20"/>
                  </w:rPr>
                  <m:t>1</m:t>
                </m:r>
              </m:num>
              <m:den>
                <m:r>
                  <w:rPr>
                    <w:rFonts w:ascii="Cambria Math" w:eastAsiaTheme="minorEastAsia" w:hAnsi="Cambria Math" w:cs="Arial"/>
                    <w:sz w:val="20"/>
                    <w:szCs w:val="20"/>
                  </w:rPr>
                  <m:t>4</m:t>
                </m:r>
              </m:den>
            </m:f>
            <m:r>
              <w:rPr>
                <w:rFonts w:ascii="Cambria Math" w:eastAsiaTheme="minorEastAsia" w:hAnsi="Cambria Math" w:cs="Arial"/>
                <w:sz w:val="20"/>
                <w:szCs w:val="20"/>
              </w:rPr>
              <m:t>(K-3</m:t>
            </m:r>
            <m:sSup>
              <m:sSupPr>
                <m:ctrlPr>
                  <w:rPr>
                    <w:rFonts w:ascii="Cambria Math" w:eastAsiaTheme="minorEastAsia" w:hAnsi="Cambria Math" w:cs="Arial"/>
                    <w:i/>
                    <w:sz w:val="20"/>
                    <w:szCs w:val="20"/>
                  </w:rPr>
                </m:ctrlPr>
              </m:sSupPr>
              <m:e>
                <m:r>
                  <w:rPr>
                    <w:rFonts w:ascii="Cambria Math" w:eastAsiaTheme="minorEastAsia" w:hAnsi="Cambria Math" w:cs="Arial"/>
                    <w:sz w:val="20"/>
                    <w:szCs w:val="20"/>
                  </w:rPr>
                  <m:t>)</m:t>
                </m:r>
              </m:e>
              <m:sup>
                <m:r>
                  <w:rPr>
                    <w:rFonts w:ascii="Cambria Math" w:eastAsiaTheme="minorEastAsia" w:hAnsi="Cambria Math" w:cs="Arial"/>
                    <w:sz w:val="20"/>
                    <w:szCs w:val="20"/>
                  </w:rPr>
                  <m:t>2</m:t>
                </m:r>
              </m:sup>
            </m:sSup>
          </m:e>
        </m:d>
      </m:oMath>
    </w:p>
    <w:p w14:paraId="293B334B" w14:textId="77777777" w:rsidR="00F41E4D" w:rsidRPr="00B51420" w:rsidRDefault="00F41E4D" w:rsidP="00F560D3">
      <w:pPr>
        <w:spacing w:after="0"/>
        <w:rPr>
          <w:rFonts w:ascii="Arial" w:eastAsiaTheme="minorEastAsia" w:hAnsi="Arial" w:cs="Arial"/>
          <w:sz w:val="20"/>
          <w:szCs w:val="20"/>
        </w:rPr>
      </w:pPr>
      <w:r w:rsidRPr="00B51420">
        <w:rPr>
          <w:rFonts w:ascii="Arial" w:eastAsiaTheme="minorEastAsia" w:hAnsi="Arial" w:cs="Arial"/>
          <w:sz w:val="20"/>
          <w:szCs w:val="20"/>
        </w:rPr>
        <w:t xml:space="preserve">Whereby </w:t>
      </w:r>
    </w:p>
    <w:p w14:paraId="5F2B7EEA" w14:textId="77777777" w:rsidR="00F41E4D" w:rsidRPr="00B51420" w:rsidRDefault="00F41E4D" w:rsidP="00F560D3">
      <w:pPr>
        <w:spacing w:after="0"/>
        <w:rPr>
          <w:rFonts w:ascii="Arial" w:eastAsiaTheme="minorEastAsia" w:hAnsi="Arial" w:cs="Arial"/>
          <w:sz w:val="20"/>
          <w:szCs w:val="20"/>
        </w:rPr>
      </w:pPr>
      <w:r w:rsidRPr="00B51420">
        <w:rPr>
          <w:rFonts w:ascii="Arial" w:eastAsiaTheme="minorEastAsia" w:hAnsi="Arial" w:cs="Arial"/>
          <w:i/>
          <w:iCs/>
          <w:sz w:val="20"/>
          <w:szCs w:val="20"/>
        </w:rPr>
        <w:t xml:space="preserve">n </w:t>
      </w:r>
      <w:r w:rsidRPr="00B51420">
        <w:rPr>
          <w:rFonts w:ascii="Arial" w:eastAsiaTheme="minorEastAsia" w:hAnsi="Arial" w:cs="Arial"/>
          <w:sz w:val="20"/>
          <w:szCs w:val="20"/>
        </w:rPr>
        <w:t>is the number of observations (degree of freedom in general),</w:t>
      </w:r>
    </w:p>
    <w:p w14:paraId="22B0B977" w14:textId="77777777" w:rsidR="00F41E4D" w:rsidRPr="00B51420" w:rsidRDefault="00F41E4D" w:rsidP="00F560D3">
      <w:pPr>
        <w:spacing w:after="0"/>
        <w:rPr>
          <w:rFonts w:ascii="Arial" w:eastAsiaTheme="minorEastAsia" w:hAnsi="Arial" w:cs="Arial"/>
          <w:sz w:val="20"/>
          <w:szCs w:val="20"/>
        </w:rPr>
      </w:pPr>
      <w:r w:rsidRPr="00B51420">
        <w:rPr>
          <w:rFonts w:ascii="Arial" w:eastAsiaTheme="minorEastAsia" w:hAnsi="Arial" w:cs="Arial"/>
          <w:i/>
          <w:iCs/>
          <w:sz w:val="20"/>
          <w:szCs w:val="20"/>
        </w:rPr>
        <w:t xml:space="preserve">S </w:t>
      </w:r>
      <w:r w:rsidRPr="00B51420">
        <w:rPr>
          <w:rFonts w:ascii="Arial" w:eastAsiaTheme="minorEastAsia" w:hAnsi="Arial" w:cs="Arial"/>
          <w:sz w:val="20"/>
          <w:szCs w:val="20"/>
        </w:rPr>
        <w:t xml:space="preserve">is the sample skewness </w:t>
      </w:r>
    </w:p>
    <w:p w14:paraId="70C7D7A1" w14:textId="77777777" w:rsidR="00F41E4D" w:rsidRPr="00B51420" w:rsidRDefault="00F41E4D" w:rsidP="00F560D3">
      <w:pPr>
        <w:spacing w:after="0"/>
        <w:rPr>
          <w:rFonts w:ascii="Arial" w:eastAsiaTheme="minorEastAsia" w:hAnsi="Arial" w:cs="Arial"/>
          <w:sz w:val="20"/>
          <w:szCs w:val="20"/>
        </w:rPr>
      </w:pPr>
      <w:r w:rsidRPr="00B51420">
        <w:rPr>
          <w:rFonts w:ascii="Arial" w:eastAsiaTheme="minorEastAsia" w:hAnsi="Arial" w:cs="Arial"/>
          <w:i/>
          <w:iCs/>
          <w:sz w:val="20"/>
          <w:szCs w:val="20"/>
        </w:rPr>
        <w:t xml:space="preserve">K </w:t>
      </w:r>
      <w:r w:rsidRPr="00B51420">
        <w:rPr>
          <w:rFonts w:ascii="Arial" w:eastAsiaTheme="minorEastAsia" w:hAnsi="Arial" w:cs="Arial"/>
          <w:sz w:val="20"/>
          <w:szCs w:val="20"/>
        </w:rPr>
        <w:t>is the sample kurtosis:</w:t>
      </w:r>
    </w:p>
    <w:p w14:paraId="3DA82DAE" w14:textId="77777777" w:rsidR="00F41E4D" w:rsidRPr="00B51420" w:rsidRDefault="00F41E4D" w:rsidP="00F560D3">
      <w:pPr>
        <w:spacing w:after="0"/>
        <w:rPr>
          <w:rFonts w:ascii="Arial" w:eastAsiaTheme="minorEastAsia" w:hAnsi="Arial" w:cs="Arial"/>
          <w:sz w:val="20"/>
          <w:szCs w:val="20"/>
        </w:rPr>
      </w:pPr>
      <w:r w:rsidRPr="00B51420">
        <w:rPr>
          <w:rFonts w:ascii="Arial" w:eastAsiaTheme="minorEastAsia" w:hAnsi="Arial" w:cs="Arial"/>
          <w:i/>
          <w:iCs/>
          <w:sz w:val="20"/>
          <w:szCs w:val="20"/>
        </w:rPr>
        <w:t xml:space="preserve">S = </w:t>
      </w:r>
      <m:oMath>
        <m:f>
          <m:fPr>
            <m:ctrlPr>
              <w:rPr>
                <w:rFonts w:ascii="Cambria Math" w:eastAsiaTheme="minorEastAsia" w:hAnsi="Cambria Math" w:cs="Arial"/>
                <w:i/>
                <w:iCs/>
                <w:sz w:val="20"/>
                <w:szCs w:val="20"/>
              </w:rPr>
            </m:ctrlPr>
          </m:fPr>
          <m:num>
            <m:sSub>
              <m:sSubPr>
                <m:ctrlPr>
                  <w:rPr>
                    <w:rFonts w:ascii="Cambria Math" w:eastAsiaTheme="minorEastAsia" w:hAnsi="Cambria Math" w:cs="Arial"/>
                    <w:i/>
                    <w:iCs/>
                    <w:sz w:val="20"/>
                    <w:szCs w:val="20"/>
                  </w:rPr>
                </m:ctrlPr>
              </m:sSubPr>
              <m:e>
                <m:r>
                  <w:rPr>
                    <w:rFonts w:ascii="Cambria Math" w:eastAsiaTheme="minorEastAsia" w:hAnsi="Cambria Math" w:cs="Arial"/>
                    <w:sz w:val="20"/>
                    <w:szCs w:val="20"/>
                  </w:rPr>
                  <m:t>û</m:t>
                </m:r>
              </m:e>
              <m:sub>
                <m:r>
                  <w:rPr>
                    <w:rFonts w:ascii="Cambria Math" w:eastAsiaTheme="minorEastAsia" w:hAnsi="Cambria Math" w:cs="Arial"/>
                    <w:sz w:val="20"/>
                    <w:szCs w:val="20"/>
                  </w:rPr>
                  <m:t>3</m:t>
                </m:r>
              </m:sub>
            </m:sSub>
          </m:num>
          <m:den>
            <m:sSup>
              <m:sSupPr>
                <m:ctrlPr>
                  <w:rPr>
                    <w:rFonts w:ascii="Cambria Math" w:eastAsiaTheme="minorEastAsia" w:hAnsi="Cambria Math" w:cs="Arial"/>
                    <w:i/>
                    <w:iCs/>
                    <w:sz w:val="20"/>
                    <w:szCs w:val="20"/>
                  </w:rPr>
                </m:ctrlPr>
              </m:sSupPr>
              <m:e>
                <m:acc>
                  <m:accPr>
                    <m:ctrlPr>
                      <w:rPr>
                        <w:rFonts w:ascii="Cambria Math" w:eastAsiaTheme="minorEastAsia" w:hAnsi="Cambria Math" w:cs="Arial"/>
                        <w:i/>
                        <w:iCs/>
                        <w:sz w:val="20"/>
                        <w:szCs w:val="20"/>
                      </w:rPr>
                    </m:ctrlPr>
                  </m:accPr>
                  <m:e>
                    <m:r>
                      <w:rPr>
                        <w:rFonts w:ascii="Cambria Math" w:eastAsiaTheme="minorEastAsia" w:hAnsi="Cambria Math" w:cs="Arial"/>
                        <w:sz w:val="20"/>
                        <w:szCs w:val="20"/>
                      </w:rPr>
                      <m:t>σ</m:t>
                    </m:r>
                  </m:e>
                </m:acc>
              </m:e>
              <m:sup>
                <m:r>
                  <w:rPr>
                    <w:rFonts w:ascii="Cambria Math" w:eastAsiaTheme="minorEastAsia" w:hAnsi="Cambria Math" w:cs="Arial"/>
                    <w:sz w:val="20"/>
                    <w:szCs w:val="20"/>
                  </w:rPr>
                  <m:t>3</m:t>
                </m:r>
              </m:sup>
            </m:sSup>
          </m:den>
        </m:f>
      </m:oMath>
      <w:r w:rsidRPr="00B51420">
        <w:rPr>
          <w:rFonts w:ascii="Arial" w:eastAsiaTheme="minorEastAsia" w:hAnsi="Arial" w:cs="Arial"/>
          <w:sz w:val="20"/>
          <w:szCs w:val="20"/>
        </w:rPr>
        <w:t xml:space="preserve"> = </w:t>
      </w:r>
      <m:oMath>
        <m:f>
          <m:fPr>
            <m:ctrlPr>
              <w:rPr>
                <w:rFonts w:ascii="Cambria Math" w:eastAsiaTheme="minorEastAsia" w:hAnsi="Cambria Math" w:cs="Arial"/>
                <w:i/>
                <w:sz w:val="20"/>
                <w:szCs w:val="20"/>
              </w:rPr>
            </m:ctrlPr>
          </m:fPr>
          <m:num>
            <m:f>
              <m:fPr>
                <m:ctrlPr>
                  <w:rPr>
                    <w:rFonts w:ascii="Cambria Math" w:eastAsiaTheme="minorEastAsia" w:hAnsi="Cambria Math" w:cs="Arial"/>
                    <w:i/>
                    <w:sz w:val="20"/>
                    <w:szCs w:val="20"/>
                  </w:rPr>
                </m:ctrlPr>
              </m:fPr>
              <m:num>
                <m:r>
                  <w:rPr>
                    <w:rFonts w:ascii="Cambria Math" w:hAnsi="Cambria Math" w:cs="Arial"/>
                    <w:sz w:val="20"/>
                    <w:szCs w:val="20"/>
                  </w:rPr>
                  <m:t>1</m:t>
                </m:r>
              </m:num>
              <m:den>
                <m:r>
                  <w:rPr>
                    <w:rFonts w:ascii="Cambria Math" w:hAnsi="Cambria Math" w:cs="Arial"/>
                    <w:sz w:val="20"/>
                    <w:szCs w:val="20"/>
                  </w:rPr>
                  <m:t>n</m:t>
                </m:r>
              </m:den>
            </m:f>
            <m:nary>
              <m:naryPr>
                <m:chr m:val="∑"/>
                <m:limLoc m:val="subSup"/>
                <m:ctrlPr>
                  <w:rPr>
                    <w:rFonts w:ascii="Cambria Math" w:eastAsiaTheme="minorEastAsia" w:hAnsi="Cambria Math" w:cs="Arial"/>
                    <w:i/>
                    <w:sz w:val="20"/>
                    <w:szCs w:val="20"/>
                  </w:rPr>
                </m:ctrlPr>
              </m:naryPr>
              <m:sub>
                <m:r>
                  <w:rPr>
                    <w:rFonts w:ascii="Cambria Math" w:eastAsiaTheme="minorEastAsia" w:hAnsi="Cambria Math" w:cs="Arial"/>
                    <w:sz w:val="20"/>
                    <w:szCs w:val="20"/>
                  </w:rPr>
                  <m:t>i=1</m:t>
                </m:r>
              </m:sub>
              <m:sup>
                <m:r>
                  <w:rPr>
                    <w:rFonts w:ascii="Cambria Math" w:eastAsiaTheme="minorEastAsia" w:hAnsi="Cambria Math" w:cs="Arial"/>
                    <w:sz w:val="20"/>
                    <w:szCs w:val="20"/>
                  </w:rPr>
                  <m:t>n</m:t>
                </m:r>
              </m:sup>
              <m:e>
                <m:sSub>
                  <m:sSubPr>
                    <m:ctrlPr>
                      <w:rPr>
                        <w:rFonts w:ascii="Cambria Math" w:eastAsiaTheme="minorEastAsia" w:hAnsi="Cambria Math" w:cs="Arial"/>
                        <w:i/>
                        <w:sz w:val="20"/>
                        <w:szCs w:val="20"/>
                      </w:rPr>
                    </m:ctrlPr>
                  </m:sSubPr>
                  <m:e>
                    <m:r>
                      <w:rPr>
                        <w:rFonts w:ascii="Cambria Math" w:eastAsiaTheme="minorEastAsia" w:hAnsi="Cambria Math" w:cs="Arial"/>
                        <w:sz w:val="20"/>
                        <w:szCs w:val="20"/>
                      </w:rPr>
                      <m:t>(x</m:t>
                    </m:r>
                  </m:e>
                  <m:sub>
                    <m:r>
                      <w:rPr>
                        <w:rFonts w:ascii="Cambria Math" w:eastAsiaTheme="minorEastAsia" w:hAnsi="Cambria Math" w:cs="Arial"/>
                        <w:sz w:val="20"/>
                        <w:szCs w:val="20"/>
                      </w:rPr>
                      <m:t>i</m:t>
                    </m:r>
                  </m:sub>
                </m:sSub>
                <m:r>
                  <w:rPr>
                    <w:rFonts w:ascii="Cambria Math" w:eastAsiaTheme="minorEastAsia" w:hAnsi="Cambria Math" w:cs="Arial"/>
                    <w:sz w:val="20"/>
                    <w:szCs w:val="20"/>
                  </w:rPr>
                  <m:t xml:space="preserve">- </m:t>
                </m:r>
                <m:acc>
                  <m:accPr>
                    <m:chr m:val="̅"/>
                    <m:ctrlPr>
                      <w:rPr>
                        <w:rFonts w:ascii="Cambria Math" w:eastAsiaTheme="minorEastAsia" w:hAnsi="Cambria Math" w:cs="Arial"/>
                        <w:i/>
                        <w:sz w:val="20"/>
                        <w:szCs w:val="20"/>
                      </w:rPr>
                    </m:ctrlPr>
                  </m:accPr>
                  <m:e>
                    <m:r>
                      <w:rPr>
                        <w:rFonts w:ascii="Cambria Math" w:eastAsiaTheme="minorEastAsia" w:hAnsi="Cambria Math" w:cs="Arial"/>
                        <w:sz w:val="20"/>
                        <w:szCs w:val="20"/>
                      </w:rPr>
                      <m:t>x</m:t>
                    </m:r>
                  </m:e>
                </m:acc>
                <m:sSup>
                  <m:sSupPr>
                    <m:ctrlPr>
                      <w:rPr>
                        <w:rFonts w:ascii="Cambria Math" w:eastAsiaTheme="minorEastAsia" w:hAnsi="Cambria Math" w:cs="Arial"/>
                        <w:i/>
                        <w:sz w:val="20"/>
                        <w:szCs w:val="20"/>
                      </w:rPr>
                    </m:ctrlPr>
                  </m:sSupPr>
                  <m:e>
                    <m:r>
                      <w:rPr>
                        <w:rFonts w:ascii="Cambria Math" w:eastAsiaTheme="minorEastAsia" w:hAnsi="Cambria Math" w:cs="Arial"/>
                        <w:sz w:val="20"/>
                        <w:szCs w:val="20"/>
                      </w:rPr>
                      <m:t>)</m:t>
                    </m:r>
                  </m:e>
                  <m:sup>
                    <m:r>
                      <w:rPr>
                        <w:rFonts w:ascii="Cambria Math" w:eastAsiaTheme="minorEastAsia" w:hAnsi="Cambria Math" w:cs="Arial"/>
                        <w:sz w:val="20"/>
                        <w:szCs w:val="20"/>
                      </w:rPr>
                      <m:t>3</m:t>
                    </m:r>
                  </m:sup>
                </m:sSup>
                <m:r>
                  <w:rPr>
                    <w:rFonts w:ascii="Cambria Math" w:eastAsiaTheme="minorEastAsia" w:hAnsi="Cambria Math" w:cs="Arial"/>
                    <w:sz w:val="20"/>
                    <w:szCs w:val="20"/>
                  </w:rPr>
                  <m:t xml:space="preserve">  </m:t>
                </m:r>
              </m:e>
            </m:nary>
            <m:r>
              <w:rPr>
                <w:rFonts w:ascii="Cambria Math" w:eastAsiaTheme="minorEastAsia" w:hAnsi="Cambria Math" w:cs="Arial"/>
                <w:sz w:val="20"/>
                <w:szCs w:val="20"/>
              </w:rPr>
              <m:t xml:space="preserve">  </m:t>
            </m:r>
          </m:num>
          <m:den>
            <m:r>
              <w:rPr>
                <w:rFonts w:ascii="Cambria Math" w:eastAsiaTheme="minorEastAsia" w:hAnsi="Cambria Math" w:cs="Arial"/>
                <w:sz w:val="20"/>
                <w:szCs w:val="20"/>
              </w:rPr>
              <m:t>(</m:t>
            </m:r>
            <m:f>
              <m:fPr>
                <m:ctrlPr>
                  <w:rPr>
                    <w:rFonts w:ascii="Cambria Math" w:eastAsiaTheme="minorEastAsia" w:hAnsi="Cambria Math" w:cs="Arial"/>
                    <w:i/>
                    <w:sz w:val="20"/>
                    <w:szCs w:val="20"/>
                  </w:rPr>
                </m:ctrlPr>
              </m:fPr>
              <m:num>
                <m:r>
                  <w:rPr>
                    <w:rFonts w:ascii="Cambria Math" w:eastAsiaTheme="minorEastAsia" w:hAnsi="Cambria Math" w:cs="Arial"/>
                    <w:sz w:val="20"/>
                    <w:szCs w:val="20"/>
                  </w:rPr>
                  <m:t>1</m:t>
                </m:r>
              </m:num>
              <m:den>
                <m:r>
                  <w:rPr>
                    <w:rFonts w:ascii="Cambria Math" w:eastAsiaTheme="minorEastAsia" w:hAnsi="Cambria Math" w:cs="Arial"/>
                    <w:sz w:val="20"/>
                    <w:szCs w:val="20"/>
                  </w:rPr>
                  <m:t>n</m:t>
                </m:r>
              </m:den>
            </m:f>
            <m:r>
              <w:rPr>
                <w:rFonts w:ascii="Cambria Math" w:eastAsiaTheme="minorEastAsia" w:hAnsi="Cambria Math" w:cs="Arial"/>
                <w:sz w:val="20"/>
                <w:szCs w:val="20"/>
              </w:rPr>
              <m:t xml:space="preserve"> </m:t>
            </m:r>
            <m:nary>
              <m:naryPr>
                <m:chr m:val="∑"/>
                <m:limLoc m:val="subSup"/>
                <m:ctrlPr>
                  <w:rPr>
                    <w:rFonts w:ascii="Cambria Math" w:eastAsiaTheme="minorEastAsia" w:hAnsi="Cambria Math" w:cs="Arial"/>
                    <w:i/>
                    <w:sz w:val="20"/>
                    <w:szCs w:val="20"/>
                  </w:rPr>
                </m:ctrlPr>
              </m:naryPr>
              <m:sub>
                <m:r>
                  <w:rPr>
                    <w:rFonts w:ascii="Cambria Math" w:eastAsiaTheme="minorEastAsia" w:hAnsi="Cambria Math" w:cs="Arial"/>
                    <w:sz w:val="20"/>
                    <w:szCs w:val="20"/>
                  </w:rPr>
                  <m:t>i=1</m:t>
                </m:r>
              </m:sub>
              <m:sup>
                <m:r>
                  <w:rPr>
                    <w:rFonts w:ascii="Cambria Math" w:eastAsiaTheme="minorEastAsia" w:hAnsi="Cambria Math" w:cs="Arial"/>
                    <w:sz w:val="20"/>
                    <w:szCs w:val="20"/>
                  </w:rPr>
                  <m:t>n</m:t>
                </m:r>
              </m:sup>
              <m:e>
                <m:sSub>
                  <m:sSubPr>
                    <m:ctrlPr>
                      <w:rPr>
                        <w:rFonts w:ascii="Cambria Math" w:eastAsiaTheme="minorEastAsia" w:hAnsi="Cambria Math" w:cs="Arial"/>
                        <w:i/>
                        <w:sz w:val="20"/>
                        <w:szCs w:val="20"/>
                      </w:rPr>
                    </m:ctrlPr>
                  </m:sSubPr>
                  <m:e>
                    <m:r>
                      <w:rPr>
                        <w:rFonts w:ascii="Cambria Math" w:eastAsiaTheme="minorEastAsia" w:hAnsi="Cambria Math" w:cs="Arial"/>
                        <w:sz w:val="20"/>
                        <w:szCs w:val="20"/>
                      </w:rPr>
                      <m:t>(x</m:t>
                    </m:r>
                  </m:e>
                  <m:sub>
                    <m:r>
                      <w:rPr>
                        <w:rFonts w:ascii="Cambria Math" w:eastAsiaTheme="minorEastAsia" w:hAnsi="Cambria Math" w:cs="Arial"/>
                        <w:sz w:val="20"/>
                        <w:szCs w:val="20"/>
                      </w:rPr>
                      <m:t>i</m:t>
                    </m:r>
                  </m:sub>
                </m:sSub>
                <m:r>
                  <w:rPr>
                    <w:rFonts w:ascii="Cambria Math" w:eastAsiaTheme="minorEastAsia" w:hAnsi="Cambria Math" w:cs="Arial"/>
                    <w:sz w:val="20"/>
                    <w:szCs w:val="20"/>
                  </w:rPr>
                  <m:t xml:space="preserve">- </m:t>
                </m:r>
                <m:acc>
                  <m:accPr>
                    <m:chr m:val="̅"/>
                    <m:ctrlPr>
                      <w:rPr>
                        <w:rFonts w:ascii="Cambria Math" w:eastAsiaTheme="minorEastAsia" w:hAnsi="Cambria Math" w:cs="Arial"/>
                        <w:i/>
                        <w:sz w:val="20"/>
                        <w:szCs w:val="20"/>
                      </w:rPr>
                    </m:ctrlPr>
                  </m:accPr>
                  <m:e>
                    <m:r>
                      <w:rPr>
                        <w:rFonts w:ascii="Cambria Math" w:eastAsiaTheme="minorEastAsia" w:hAnsi="Cambria Math" w:cs="Arial"/>
                        <w:sz w:val="20"/>
                        <w:szCs w:val="20"/>
                      </w:rPr>
                      <m:t>x</m:t>
                    </m:r>
                  </m:e>
                </m:acc>
                <m:sSup>
                  <m:sSupPr>
                    <m:ctrlPr>
                      <w:rPr>
                        <w:rFonts w:ascii="Cambria Math" w:eastAsiaTheme="minorEastAsia" w:hAnsi="Cambria Math" w:cs="Arial"/>
                        <w:i/>
                        <w:sz w:val="20"/>
                        <w:szCs w:val="20"/>
                      </w:rPr>
                    </m:ctrlPr>
                  </m:sSupPr>
                  <m:e>
                    <m:r>
                      <w:rPr>
                        <w:rFonts w:ascii="Cambria Math" w:eastAsiaTheme="minorEastAsia" w:hAnsi="Cambria Math" w:cs="Arial"/>
                        <w:sz w:val="20"/>
                        <w:szCs w:val="20"/>
                      </w:rPr>
                      <m:t>)</m:t>
                    </m:r>
                  </m:e>
                  <m:sup>
                    <m:r>
                      <w:rPr>
                        <w:rFonts w:ascii="Cambria Math" w:eastAsiaTheme="minorEastAsia" w:hAnsi="Cambria Math" w:cs="Arial"/>
                        <w:sz w:val="20"/>
                        <w:szCs w:val="20"/>
                      </w:rPr>
                      <m:t xml:space="preserve">2 </m:t>
                    </m:r>
                  </m:sup>
                </m:sSup>
                <m:sSup>
                  <m:sSupPr>
                    <m:ctrlPr>
                      <w:rPr>
                        <w:rFonts w:ascii="Cambria Math" w:eastAsiaTheme="minorEastAsia" w:hAnsi="Cambria Math" w:cs="Arial"/>
                        <w:i/>
                        <w:sz w:val="20"/>
                        <w:szCs w:val="20"/>
                      </w:rPr>
                    </m:ctrlPr>
                  </m:sSupPr>
                  <m:e>
                    <m:r>
                      <w:rPr>
                        <w:rFonts w:ascii="Cambria Math" w:eastAsiaTheme="minorEastAsia" w:hAnsi="Cambria Math" w:cs="Arial"/>
                        <w:sz w:val="20"/>
                        <w:szCs w:val="20"/>
                      </w:rPr>
                      <m:t>)</m:t>
                    </m:r>
                  </m:e>
                  <m:sup>
                    <m:f>
                      <m:fPr>
                        <m:type m:val="lin"/>
                        <m:ctrlPr>
                          <w:rPr>
                            <w:rFonts w:ascii="Cambria Math" w:eastAsiaTheme="minorEastAsia" w:hAnsi="Cambria Math" w:cs="Arial"/>
                            <w:i/>
                            <w:sz w:val="20"/>
                            <w:szCs w:val="20"/>
                          </w:rPr>
                        </m:ctrlPr>
                      </m:fPr>
                      <m:num>
                        <m:r>
                          <w:rPr>
                            <w:rFonts w:ascii="Cambria Math" w:eastAsiaTheme="minorEastAsia" w:hAnsi="Cambria Math" w:cs="Arial"/>
                            <w:sz w:val="20"/>
                            <w:szCs w:val="20"/>
                          </w:rPr>
                          <m:t>3</m:t>
                        </m:r>
                      </m:num>
                      <m:den>
                        <m:r>
                          <w:rPr>
                            <w:rFonts w:ascii="Cambria Math" w:eastAsiaTheme="minorEastAsia" w:hAnsi="Cambria Math" w:cs="Arial"/>
                            <w:sz w:val="20"/>
                            <w:szCs w:val="20"/>
                          </w:rPr>
                          <m:t>2</m:t>
                        </m:r>
                      </m:den>
                    </m:f>
                  </m:sup>
                </m:sSup>
                <m:r>
                  <w:rPr>
                    <w:rFonts w:ascii="Cambria Math" w:eastAsiaTheme="minorEastAsia" w:hAnsi="Cambria Math" w:cs="Arial"/>
                    <w:sz w:val="20"/>
                    <w:szCs w:val="20"/>
                  </w:rPr>
                  <m:t xml:space="preserve">  </m:t>
                </m:r>
              </m:e>
            </m:nary>
          </m:den>
        </m:f>
      </m:oMath>
      <w:r w:rsidRPr="00B51420">
        <w:rPr>
          <w:rFonts w:ascii="Arial" w:eastAsiaTheme="minorEastAsia" w:hAnsi="Arial" w:cs="Arial"/>
          <w:sz w:val="20"/>
          <w:szCs w:val="20"/>
        </w:rPr>
        <w:t>,</w:t>
      </w:r>
    </w:p>
    <w:p w14:paraId="77ED3F27" w14:textId="77777777" w:rsidR="00F41E4D" w:rsidRPr="00B51420" w:rsidRDefault="00F41E4D" w:rsidP="00F560D3">
      <w:pPr>
        <w:spacing w:after="0"/>
        <w:rPr>
          <w:rFonts w:ascii="Arial" w:eastAsiaTheme="minorEastAsia" w:hAnsi="Arial" w:cs="Arial"/>
          <w:sz w:val="20"/>
          <w:szCs w:val="20"/>
        </w:rPr>
      </w:pPr>
      <w:r w:rsidRPr="00B51420">
        <w:rPr>
          <w:rFonts w:ascii="Arial" w:eastAsiaTheme="minorEastAsia" w:hAnsi="Arial" w:cs="Arial"/>
          <w:i/>
          <w:iCs/>
          <w:sz w:val="20"/>
          <w:szCs w:val="20"/>
        </w:rPr>
        <w:t xml:space="preserve">K = </w:t>
      </w:r>
      <m:oMath>
        <m:f>
          <m:fPr>
            <m:ctrlPr>
              <w:rPr>
                <w:rFonts w:ascii="Cambria Math" w:eastAsiaTheme="minorEastAsia" w:hAnsi="Cambria Math" w:cs="Arial"/>
                <w:i/>
                <w:iCs/>
                <w:sz w:val="20"/>
                <w:szCs w:val="20"/>
              </w:rPr>
            </m:ctrlPr>
          </m:fPr>
          <m:num>
            <m:sSub>
              <m:sSubPr>
                <m:ctrlPr>
                  <w:rPr>
                    <w:rFonts w:ascii="Cambria Math" w:eastAsiaTheme="minorEastAsia" w:hAnsi="Cambria Math" w:cs="Arial"/>
                    <w:i/>
                    <w:iCs/>
                    <w:sz w:val="20"/>
                    <w:szCs w:val="20"/>
                  </w:rPr>
                </m:ctrlPr>
              </m:sSubPr>
              <m:e>
                <m:r>
                  <w:rPr>
                    <w:rFonts w:ascii="Cambria Math" w:eastAsiaTheme="minorEastAsia" w:hAnsi="Cambria Math" w:cs="Arial"/>
                    <w:sz w:val="20"/>
                    <w:szCs w:val="20"/>
                  </w:rPr>
                  <m:t>û</m:t>
                </m:r>
              </m:e>
              <m:sub>
                <m:r>
                  <w:rPr>
                    <w:rFonts w:ascii="Cambria Math" w:eastAsiaTheme="minorEastAsia" w:hAnsi="Cambria Math" w:cs="Arial"/>
                    <w:sz w:val="20"/>
                    <w:szCs w:val="20"/>
                  </w:rPr>
                  <m:t>4</m:t>
                </m:r>
              </m:sub>
            </m:sSub>
          </m:num>
          <m:den>
            <m:sSup>
              <m:sSupPr>
                <m:ctrlPr>
                  <w:rPr>
                    <w:rFonts w:ascii="Cambria Math" w:eastAsiaTheme="minorEastAsia" w:hAnsi="Cambria Math" w:cs="Arial"/>
                    <w:i/>
                    <w:iCs/>
                    <w:sz w:val="20"/>
                    <w:szCs w:val="20"/>
                  </w:rPr>
                </m:ctrlPr>
              </m:sSupPr>
              <m:e>
                <m:acc>
                  <m:accPr>
                    <m:ctrlPr>
                      <w:rPr>
                        <w:rFonts w:ascii="Cambria Math" w:eastAsiaTheme="minorEastAsia" w:hAnsi="Cambria Math" w:cs="Arial"/>
                        <w:i/>
                        <w:iCs/>
                        <w:sz w:val="20"/>
                        <w:szCs w:val="20"/>
                      </w:rPr>
                    </m:ctrlPr>
                  </m:accPr>
                  <m:e>
                    <m:r>
                      <w:rPr>
                        <w:rFonts w:ascii="Cambria Math" w:eastAsiaTheme="minorEastAsia" w:hAnsi="Cambria Math" w:cs="Arial"/>
                        <w:sz w:val="20"/>
                        <w:szCs w:val="20"/>
                      </w:rPr>
                      <m:t>σ</m:t>
                    </m:r>
                  </m:e>
                </m:acc>
              </m:e>
              <m:sup>
                <m:r>
                  <w:rPr>
                    <w:rFonts w:ascii="Cambria Math" w:eastAsiaTheme="minorEastAsia" w:hAnsi="Cambria Math" w:cs="Arial"/>
                    <w:sz w:val="20"/>
                    <w:szCs w:val="20"/>
                  </w:rPr>
                  <m:t>4</m:t>
                </m:r>
              </m:sup>
            </m:sSup>
          </m:den>
        </m:f>
      </m:oMath>
      <w:r w:rsidRPr="00B51420">
        <w:rPr>
          <w:rFonts w:ascii="Arial" w:eastAsiaTheme="minorEastAsia" w:hAnsi="Arial" w:cs="Arial"/>
          <w:sz w:val="20"/>
          <w:szCs w:val="20"/>
        </w:rPr>
        <w:t xml:space="preserve">= </w:t>
      </w:r>
      <m:oMath>
        <m:f>
          <m:fPr>
            <m:ctrlPr>
              <w:rPr>
                <w:rFonts w:ascii="Cambria Math" w:eastAsiaTheme="minorEastAsia" w:hAnsi="Cambria Math" w:cs="Arial"/>
                <w:i/>
                <w:sz w:val="20"/>
                <w:szCs w:val="20"/>
              </w:rPr>
            </m:ctrlPr>
          </m:fPr>
          <m:num>
            <m:f>
              <m:fPr>
                <m:ctrlPr>
                  <w:rPr>
                    <w:rFonts w:ascii="Cambria Math" w:eastAsiaTheme="minorEastAsia" w:hAnsi="Cambria Math" w:cs="Arial"/>
                    <w:i/>
                    <w:sz w:val="20"/>
                    <w:szCs w:val="20"/>
                  </w:rPr>
                </m:ctrlPr>
              </m:fPr>
              <m:num>
                <m:r>
                  <w:rPr>
                    <w:rFonts w:ascii="Cambria Math" w:hAnsi="Cambria Math" w:cs="Arial"/>
                    <w:sz w:val="20"/>
                    <w:szCs w:val="20"/>
                  </w:rPr>
                  <m:t>1</m:t>
                </m:r>
              </m:num>
              <m:den>
                <m:r>
                  <w:rPr>
                    <w:rFonts w:ascii="Cambria Math" w:hAnsi="Cambria Math" w:cs="Arial"/>
                    <w:sz w:val="20"/>
                    <w:szCs w:val="20"/>
                  </w:rPr>
                  <m:t>n</m:t>
                </m:r>
              </m:den>
            </m:f>
            <m:nary>
              <m:naryPr>
                <m:chr m:val="∑"/>
                <m:limLoc m:val="subSup"/>
                <m:ctrlPr>
                  <w:rPr>
                    <w:rFonts w:ascii="Cambria Math" w:eastAsiaTheme="minorEastAsia" w:hAnsi="Cambria Math" w:cs="Arial"/>
                    <w:i/>
                    <w:sz w:val="20"/>
                    <w:szCs w:val="20"/>
                  </w:rPr>
                </m:ctrlPr>
              </m:naryPr>
              <m:sub>
                <m:r>
                  <w:rPr>
                    <w:rFonts w:ascii="Cambria Math" w:eastAsiaTheme="minorEastAsia" w:hAnsi="Cambria Math" w:cs="Arial"/>
                    <w:sz w:val="20"/>
                    <w:szCs w:val="20"/>
                  </w:rPr>
                  <m:t>i=1</m:t>
                </m:r>
              </m:sub>
              <m:sup>
                <m:r>
                  <w:rPr>
                    <w:rFonts w:ascii="Cambria Math" w:eastAsiaTheme="minorEastAsia" w:hAnsi="Cambria Math" w:cs="Arial"/>
                    <w:sz w:val="20"/>
                    <w:szCs w:val="20"/>
                  </w:rPr>
                  <m:t>n</m:t>
                </m:r>
              </m:sup>
              <m:e>
                <m:sSub>
                  <m:sSubPr>
                    <m:ctrlPr>
                      <w:rPr>
                        <w:rFonts w:ascii="Cambria Math" w:eastAsiaTheme="minorEastAsia" w:hAnsi="Cambria Math" w:cs="Arial"/>
                        <w:i/>
                        <w:sz w:val="20"/>
                        <w:szCs w:val="20"/>
                      </w:rPr>
                    </m:ctrlPr>
                  </m:sSubPr>
                  <m:e>
                    <m:r>
                      <w:rPr>
                        <w:rFonts w:ascii="Cambria Math" w:eastAsiaTheme="minorEastAsia" w:hAnsi="Cambria Math" w:cs="Arial"/>
                        <w:sz w:val="20"/>
                        <w:szCs w:val="20"/>
                      </w:rPr>
                      <m:t>(x</m:t>
                    </m:r>
                  </m:e>
                  <m:sub>
                    <m:r>
                      <w:rPr>
                        <w:rFonts w:ascii="Cambria Math" w:eastAsiaTheme="minorEastAsia" w:hAnsi="Cambria Math" w:cs="Arial"/>
                        <w:sz w:val="20"/>
                        <w:szCs w:val="20"/>
                      </w:rPr>
                      <m:t>i</m:t>
                    </m:r>
                  </m:sub>
                </m:sSub>
                <m:r>
                  <w:rPr>
                    <w:rFonts w:ascii="Cambria Math" w:eastAsiaTheme="minorEastAsia" w:hAnsi="Cambria Math" w:cs="Arial"/>
                    <w:sz w:val="20"/>
                    <w:szCs w:val="20"/>
                  </w:rPr>
                  <m:t xml:space="preserve">- </m:t>
                </m:r>
                <m:acc>
                  <m:accPr>
                    <m:chr m:val="̅"/>
                    <m:ctrlPr>
                      <w:rPr>
                        <w:rFonts w:ascii="Cambria Math" w:eastAsiaTheme="minorEastAsia" w:hAnsi="Cambria Math" w:cs="Arial"/>
                        <w:i/>
                        <w:sz w:val="20"/>
                        <w:szCs w:val="20"/>
                      </w:rPr>
                    </m:ctrlPr>
                  </m:accPr>
                  <m:e>
                    <m:r>
                      <w:rPr>
                        <w:rFonts w:ascii="Cambria Math" w:eastAsiaTheme="minorEastAsia" w:hAnsi="Cambria Math" w:cs="Arial"/>
                        <w:sz w:val="20"/>
                        <w:szCs w:val="20"/>
                      </w:rPr>
                      <m:t>x</m:t>
                    </m:r>
                  </m:e>
                </m:acc>
                <m:sSup>
                  <m:sSupPr>
                    <m:ctrlPr>
                      <w:rPr>
                        <w:rFonts w:ascii="Cambria Math" w:eastAsiaTheme="minorEastAsia" w:hAnsi="Cambria Math" w:cs="Arial"/>
                        <w:i/>
                        <w:sz w:val="20"/>
                        <w:szCs w:val="20"/>
                      </w:rPr>
                    </m:ctrlPr>
                  </m:sSupPr>
                  <m:e>
                    <m:r>
                      <w:rPr>
                        <w:rFonts w:ascii="Cambria Math" w:eastAsiaTheme="minorEastAsia" w:hAnsi="Cambria Math" w:cs="Arial"/>
                        <w:sz w:val="20"/>
                        <w:szCs w:val="20"/>
                      </w:rPr>
                      <m:t>)</m:t>
                    </m:r>
                  </m:e>
                  <m:sup>
                    <m:r>
                      <w:rPr>
                        <w:rFonts w:ascii="Cambria Math" w:eastAsiaTheme="minorEastAsia" w:hAnsi="Cambria Math" w:cs="Arial"/>
                        <w:sz w:val="20"/>
                        <w:szCs w:val="20"/>
                      </w:rPr>
                      <m:t>4</m:t>
                    </m:r>
                  </m:sup>
                </m:sSup>
                <m:r>
                  <w:rPr>
                    <w:rFonts w:ascii="Cambria Math" w:eastAsiaTheme="minorEastAsia" w:hAnsi="Cambria Math" w:cs="Arial"/>
                    <w:sz w:val="20"/>
                    <w:szCs w:val="20"/>
                  </w:rPr>
                  <m:t xml:space="preserve">  </m:t>
                </m:r>
              </m:e>
            </m:nary>
            <m:r>
              <w:rPr>
                <w:rFonts w:ascii="Cambria Math" w:eastAsiaTheme="minorEastAsia" w:hAnsi="Cambria Math" w:cs="Arial"/>
                <w:sz w:val="20"/>
                <w:szCs w:val="20"/>
              </w:rPr>
              <m:t xml:space="preserve">  </m:t>
            </m:r>
          </m:num>
          <m:den>
            <m:r>
              <w:rPr>
                <w:rFonts w:ascii="Cambria Math" w:eastAsiaTheme="minorEastAsia" w:hAnsi="Cambria Math" w:cs="Arial"/>
                <w:sz w:val="20"/>
                <w:szCs w:val="20"/>
              </w:rPr>
              <m:t>(</m:t>
            </m:r>
            <m:f>
              <m:fPr>
                <m:ctrlPr>
                  <w:rPr>
                    <w:rFonts w:ascii="Cambria Math" w:eastAsiaTheme="minorEastAsia" w:hAnsi="Cambria Math" w:cs="Arial"/>
                    <w:i/>
                    <w:sz w:val="20"/>
                    <w:szCs w:val="20"/>
                  </w:rPr>
                </m:ctrlPr>
              </m:fPr>
              <m:num>
                <m:r>
                  <w:rPr>
                    <w:rFonts w:ascii="Cambria Math" w:eastAsiaTheme="minorEastAsia" w:hAnsi="Cambria Math" w:cs="Arial"/>
                    <w:sz w:val="20"/>
                    <w:szCs w:val="20"/>
                  </w:rPr>
                  <m:t>1</m:t>
                </m:r>
              </m:num>
              <m:den>
                <m:r>
                  <w:rPr>
                    <w:rFonts w:ascii="Cambria Math" w:eastAsiaTheme="minorEastAsia" w:hAnsi="Cambria Math" w:cs="Arial"/>
                    <w:sz w:val="20"/>
                    <w:szCs w:val="20"/>
                  </w:rPr>
                  <m:t>n</m:t>
                </m:r>
              </m:den>
            </m:f>
            <m:r>
              <w:rPr>
                <w:rFonts w:ascii="Cambria Math" w:eastAsiaTheme="minorEastAsia" w:hAnsi="Cambria Math" w:cs="Arial"/>
                <w:sz w:val="20"/>
                <w:szCs w:val="20"/>
              </w:rPr>
              <m:t xml:space="preserve"> </m:t>
            </m:r>
            <m:nary>
              <m:naryPr>
                <m:chr m:val="∑"/>
                <m:limLoc m:val="subSup"/>
                <m:ctrlPr>
                  <w:rPr>
                    <w:rFonts w:ascii="Cambria Math" w:eastAsiaTheme="minorEastAsia" w:hAnsi="Cambria Math" w:cs="Arial"/>
                    <w:i/>
                    <w:sz w:val="20"/>
                    <w:szCs w:val="20"/>
                  </w:rPr>
                </m:ctrlPr>
              </m:naryPr>
              <m:sub>
                <m:r>
                  <w:rPr>
                    <w:rFonts w:ascii="Cambria Math" w:eastAsiaTheme="minorEastAsia" w:hAnsi="Cambria Math" w:cs="Arial"/>
                    <w:sz w:val="20"/>
                    <w:szCs w:val="20"/>
                  </w:rPr>
                  <m:t>i=1</m:t>
                </m:r>
              </m:sub>
              <m:sup>
                <m:r>
                  <w:rPr>
                    <w:rFonts w:ascii="Cambria Math" w:eastAsiaTheme="minorEastAsia" w:hAnsi="Cambria Math" w:cs="Arial"/>
                    <w:sz w:val="20"/>
                    <w:szCs w:val="20"/>
                  </w:rPr>
                  <m:t>n</m:t>
                </m:r>
              </m:sup>
              <m:e>
                <m:sSub>
                  <m:sSubPr>
                    <m:ctrlPr>
                      <w:rPr>
                        <w:rFonts w:ascii="Cambria Math" w:eastAsiaTheme="minorEastAsia" w:hAnsi="Cambria Math" w:cs="Arial"/>
                        <w:i/>
                        <w:sz w:val="20"/>
                        <w:szCs w:val="20"/>
                      </w:rPr>
                    </m:ctrlPr>
                  </m:sSubPr>
                  <m:e>
                    <m:r>
                      <w:rPr>
                        <w:rFonts w:ascii="Cambria Math" w:eastAsiaTheme="minorEastAsia" w:hAnsi="Cambria Math" w:cs="Arial"/>
                        <w:sz w:val="20"/>
                        <w:szCs w:val="20"/>
                      </w:rPr>
                      <m:t>(x</m:t>
                    </m:r>
                  </m:e>
                  <m:sub>
                    <m:r>
                      <w:rPr>
                        <w:rFonts w:ascii="Cambria Math" w:eastAsiaTheme="minorEastAsia" w:hAnsi="Cambria Math" w:cs="Arial"/>
                        <w:sz w:val="20"/>
                        <w:szCs w:val="20"/>
                      </w:rPr>
                      <m:t>i</m:t>
                    </m:r>
                  </m:sub>
                </m:sSub>
                <m:r>
                  <w:rPr>
                    <w:rFonts w:ascii="Cambria Math" w:eastAsiaTheme="minorEastAsia" w:hAnsi="Cambria Math" w:cs="Arial"/>
                    <w:sz w:val="20"/>
                    <w:szCs w:val="20"/>
                  </w:rPr>
                  <m:t xml:space="preserve">- </m:t>
                </m:r>
                <m:acc>
                  <m:accPr>
                    <m:chr m:val="̅"/>
                    <m:ctrlPr>
                      <w:rPr>
                        <w:rFonts w:ascii="Cambria Math" w:eastAsiaTheme="minorEastAsia" w:hAnsi="Cambria Math" w:cs="Arial"/>
                        <w:i/>
                        <w:sz w:val="20"/>
                        <w:szCs w:val="20"/>
                      </w:rPr>
                    </m:ctrlPr>
                  </m:accPr>
                  <m:e>
                    <m:r>
                      <w:rPr>
                        <w:rFonts w:ascii="Cambria Math" w:eastAsiaTheme="minorEastAsia" w:hAnsi="Cambria Math" w:cs="Arial"/>
                        <w:sz w:val="20"/>
                        <w:szCs w:val="20"/>
                      </w:rPr>
                      <m:t>x</m:t>
                    </m:r>
                  </m:e>
                </m:acc>
                <m:sSup>
                  <m:sSupPr>
                    <m:ctrlPr>
                      <w:rPr>
                        <w:rFonts w:ascii="Cambria Math" w:eastAsiaTheme="minorEastAsia" w:hAnsi="Cambria Math" w:cs="Arial"/>
                        <w:i/>
                        <w:sz w:val="20"/>
                        <w:szCs w:val="20"/>
                      </w:rPr>
                    </m:ctrlPr>
                  </m:sSupPr>
                  <m:e>
                    <m:r>
                      <w:rPr>
                        <w:rFonts w:ascii="Cambria Math" w:eastAsiaTheme="minorEastAsia" w:hAnsi="Cambria Math" w:cs="Arial"/>
                        <w:sz w:val="20"/>
                        <w:szCs w:val="20"/>
                      </w:rPr>
                      <m:t>)</m:t>
                    </m:r>
                  </m:e>
                  <m:sup>
                    <m:r>
                      <w:rPr>
                        <w:rFonts w:ascii="Cambria Math" w:eastAsiaTheme="minorEastAsia" w:hAnsi="Cambria Math" w:cs="Arial"/>
                        <w:sz w:val="20"/>
                        <w:szCs w:val="20"/>
                      </w:rPr>
                      <m:t xml:space="preserve">2 </m:t>
                    </m:r>
                  </m:sup>
                </m:sSup>
                <m:sSup>
                  <m:sSupPr>
                    <m:ctrlPr>
                      <w:rPr>
                        <w:rFonts w:ascii="Cambria Math" w:eastAsiaTheme="minorEastAsia" w:hAnsi="Cambria Math" w:cs="Arial"/>
                        <w:i/>
                        <w:sz w:val="20"/>
                        <w:szCs w:val="20"/>
                      </w:rPr>
                    </m:ctrlPr>
                  </m:sSupPr>
                  <m:e>
                    <m:r>
                      <w:rPr>
                        <w:rFonts w:ascii="Cambria Math" w:eastAsiaTheme="minorEastAsia" w:hAnsi="Cambria Math" w:cs="Arial"/>
                        <w:sz w:val="20"/>
                        <w:szCs w:val="20"/>
                      </w:rPr>
                      <m:t>)</m:t>
                    </m:r>
                  </m:e>
                  <m:sup>
                    <m:r>
                      <w:rPr>
                        <w:rFonts w:ascii="Cambria Math" w:eastAsiaTheme="minorEastAsia" w:hAnsi="Cambria Math" w:cs="Arial"/>
                        <w:sz w:val="20"/>
                        <w:szCs w:val="20"/>
                      </w:rPr>
                      <m:t>2</m:t>
                    </m:r>
                  </m:sup>
                </m:sSup>
                <m:r>
                  <w:rPr>
                    <w:rFonts w:ascii="Cambria Math" w:eastAsiaTheme="minorEastAsia" w:hAnsi="Cambria Math" w:cs="Arial"/>
                    <w:sz w:val="20"/>
                    <w:szCs w:val="20"/>
                  </w:rPr>
                  <m:t xml:space="preserve">  </m:t>
                </m:r>
              </m:e>
            </m:nary>
          </m:den>
        </m:f>
      </m:oMath>
      <w:r w:rsidRPr="00B51420">
        <w:rPr>
          <w:rFonts w:ascii="Arial" w:eastAsiaTheme="minorEastAsia" w:hAnsi="Arial" w:cs="Arial"/>
          <w:sz w:val="20"/>
          <w:szCs w:val="20"/>
        </w:rPr>
        <w:t>,</w:t>
      </w:r>
    </w:p>
    <w:p w14:paraId="639CBE4A" w14:textId="77777777" w:rsidR="00F41E4D" w:rsidRPr="00B51420" w:rsidRDefault="00F41E4D" w:rsidP="00F560D3">
      <w:pPr>
        <w:spacing w:after="0"/>
        <w:rPr>
          <w:rFonts w:ascii="Arial" w:eastAsiaTheme="minorEastAsia" w:hAnsi="Arial" w:cs="Arial"/>
          <w:iCs/>
          <w:sz w:val="20"/>
          <w:szCs w:val="20"/>
        </w:rPr>
      </w:pPr>
      <w:r w:rsidRPr="00B51420">
        <w:rPr>
          <w:rFonts w:ascii="Arial" w:eastAsiaTheme="minorEastAsia" w:hAnsi="Arial" w:cs="Arial"/>
          <w:sz w:val="20"/>
          <w:szCs w:val="20"/>
        </w:rPr>
        <w:t xml:space="preserve">Whereby, </w:t>
      </w:r>
      <m:oMath>
        <m:sSub>
          <m:sSubPr>
            <m:ctrlPr>
              <w:rPr>
                <w:rFonts w:ascii="Cambria Math" w:eastAsiaTheme="minorEastAsia" w:hAnsi="Cambria Math" w:cs="Arial"/>
                <w:i/>
                <w:iCs/>
                <w:sz w:val="20"/>
                <w:szCs w:val="20"/>
              </w:rPr>
            </m:ctrlPr>
          </m:sSubPr>
          <m:e>
            <m:r>
              <w:rPr>
                <w:rFonts w:ascii="Cambria Math" w:eastAsiaTheme="minorEastAsia" w:hAnsi="Cambria Math" w:cs="Arial"/>
                <w:sz w:val="20"/>
                <w:szCs w:val="20"/>
              </w:rPr>
              <m:t>û</m:t>
            </m:r>
          </m:e>
          <m:sub>
            <m:r>
              <w:rPr>
                <w:rFonts w:ascii="Cambria Math" w:eastAsiaTheme="minorEastAsia" w:hAnsi="Cambria Math" w:cs="Arial"/>
                <w:sz w:val="20"/>
                <w:szCs w:val="20"/>
              </w:rPr>
              <m:t>3</m:t>
            </m:r>
          </m:sub>
        </m:sSub>
      </m:oMath>
      <w:r w:rsidRPr="00B51420">
        <w:rPr>
          <w:rFonts w:ascii="Arial" w:eastAsiaTheme="minorEastAsia" w:hAnsi="Arial" w:cs="Arial"/>
          <w:iCs/>
          <w:sz w:val="20"/>
          <w:szCs w:val="20"/>
        </w:rPr>
        <w:t xml:space="preserve"> and </w:t>
      </w:r>
      <m:oMath>
        <m:sSub>
          <m:sSubPr>
            <m:ctrlPr>
              <w:rPr>
                <w:rFonts w:ascii="Cambria Math" w:eastAsiaTheme="minorEastAsia" w:hAnsi="Cambria Math" w:cs="Arial"/>
                <w:i/>
                <w:iCs/>
                <w:sz w:val="20"/>
                <w:szCs w:val="20"/>
              </w:rPr>
            </m:ctrlPr>
          </m:sSubPr>
          <m:e>
            <m:r>
              <w:rPr>
                <w:rFonts w:ascii="Cambria Math" w:eastAsiaTheme="minorEastAsia" w:hAnsi="Cambria Math" w:cs="Arial"/>
                <w:sz w:val="20"/>
                <w:szCs w:val="20"/>
              </w:rPr>
              <m:t>û</m:t>
            </m:r>
          </m:e>
          <m:sub>
            <m:r>
              <w:rPr>
                <w:rFonts w:ascii="Cambria Math" w:eastAsiaTheme="minorEastAsia" w:hAnsi="Cambria Math" w:cs="Arial"/>
                <w:sz w:val="20"/>
                <w:szCs w:val="20"/>
              </w:rPr>
              <m:t>4</m:t>
            </m:r>
          </m:sub>
        </m:sSub>
      </m:oMath>
      <w:r w:rsidRPr="00B51420">
        <w:rPr>
          <w:rFonts w:ascii="Arial" w:eastAsiaTheme="minorEastAsia" w:hAnsi="Arial" w:cs="Arial"/>
          <w:iCs/>
          <w:sz w:val="20"/>
          <w:szCs w:val="20"/>
        </w:rPr>
        <w:t xml:space="preserve"> are the estimates of third and fourth central moments, respectively. </w:t>
      </w:r>
    </w:p>
    <w:p w14:paraId="0F3D184B" w14:textId="77777777" w:rsidR="00F41E4D" w:rsidRPr="00D21451" w:rsidRDefault="00000000" w:rsidP="00F560D3">
      <w:pPr>
        <w:spacing w:after="0"/>
        <w:jc w:val="both"/>
        <w:rPr>
          <w:rFonts w:ascii="Arial" w:hAnsi="Arial" w:cs="Arial"/>
          <w:iCs/>
          <w:sz w:val="20"/>
          <w:szCs w:val="20"/>
        </w:rPr>
      </w:pPr>
      <m:oMath>
        <m:acc>
          <m:accPr>
            <m:chr m:val="̅"/>
            <m:ctrlPr>
              <w:rPr>
                <w:rFonts w:ascii="Cambria Math" w:eastAsiaTheme="minorEastAsia" w:hAnsi="Cambria Math" w:cs="Arial"/>
                <w:i/>
                <w:sz w:val="20"/>
                <w:szCs w:val="20"/>
              </w:rPr>
            </m:ctrlPr>
          </m:accPr>
          <m:e>
            <m:r>
              <w:rPr>
                <w:rFonts w:ascii="Cambria Math" w:eastAsiaTheme="minorEastAsia" w:hAnsi="Cambria Math" w:cs="Arial"/>
                <w:sz w:val="20"/>
                <w:szCs w:val="20"/>
              </w:rPr>
              <m:t>x</m:t>
            </m:r>
          </m:e>
        </m:acc>
      </m:oMath>
      <w:r w:rsidR="00F41E4D" w:rsidRPr="00B51420">
        <w:rPr>
          <w:rFonts w:ascii="Arial" w:eastAsiaTheme="minorEastAsia" w:hAnsi="Arial" w:cs="Arial"/>
          <w:i/>
          <w:sz w:val="20"/>
          <w:szCs w:val="20"/>
        </w:rPr>
        <w:t xml:space="preserve"> </w:t>
      </w:r>
      <w:r w:rsidR="00F41E4D" w:rsidRPr="00B51420">
        <w:rPr>
          <w:rFonts w:ascii="Arial" w:eastAsiaTheme="minorEastAsia" w:hAnsi="Arial" w:cs="Arial"/>
          <w:iCs/>
          <w:sz w:val="20"/>
          <w:szCs w:val="20"/>
        </w:rPr>
        <w:t xml:space="preserve">is the sample mean, and </w:t>
      </w:r>
      <m:oMath>
        <m:sSup>
          <m:sSupPr>
            <m:ctrlPr>
              <w:rPr>
                <w:rFonts w:ascii="Cambria Math" w:eastAsiaTheme="minorEastAsia" w:hAnsi="Cambria Math" w:cs="Arial"/>
                <w:i/>
                <w:iCs/>
                <w:sz w:val="20"/>
                <w:szCs w:val="20"/>
              </w:rPr>
            </m:ctrlPr>
          </m:sSupPr>
          <m:e>
            <m:acc>
              <m:accPr>
                <m:ctrlPr>
                  <w:rPr>
                    <w:rFonts w:ascii="Cambria Math" w:eastAsiaTheme="minorEastAsia" w:hAnsi="Cambria Math" w:cs="Arial"/>
                    <w:i/>
                    <w:iCs/>
                    <w:sz w:val="20"/>
                    <w:szCs w:val="20"/>
                  </w:rPr>
                </m:ctrlPr>
              </m:accPr>
              <m:e>
                <m:r>
                  <w:rPr>
                    <w:rFonts w:ascii="Cambria Math" w:eastAsiaTheme="minorEastAsia" w:hAnsi="Cambria Math" w:cs="Arial"/>
                    <w:sz w:val="20"/>
                    <w:szCs w:val="20"/>
                  </w:rPr>
                  <m:t>σ</m:t>
                </m:r>
              </m:e>
            </m:acc>
          </m:e>
          <m:sup>
            <m:r>
              <w:rPr>
                <w:rFonts w:ascii="Cambria Math" w:eastAsiaTheme="minorEastAsia" w:hAnsi="Cambria Math" w:cs="Arial"/>
                <w:sz w:val="20"/>
                <w:szCs w:val="20"/>
              </w:rPr>
              <m:t>2</m:t>
            </m:r>
          </m:sup>
        </m:sSup>
      </m:oMath>
      <w:r w:rsidR="00F41E4D" w:rsidRPr="00B51420">
        <w:rPr>
          <w:rFonts w:ascii="Arial" w:eastAsiaTheme="minorEastAsia" w:hAnsi="Arial" w:cs="Arial"/>
          <w:iCs/>
          <w:sz w:val="20"/>
          <w:szCs w:val="20"/>
        </w:rPr>
        <w:t xml:space="preserve"> is the estimate of the second central moment, the variance. In case the data is from a normal distribution, the </w:t>
      </w:r>
      <w:r w:rsidR="00F41E4D" w:rsidRPr="00B51420">
        <w:rPr>
          <w:rFonts w:ascii="Arial" w:eastAsiaTheme="minorEastAsia" w:hAnsi="Arial" w:cs="Arial"/>
          <w:i/>
          <w:sz w:val="20"/>
          <w:szCs w:val="20"/>
        </w:rPr>
        <w:t xml:space="preserve">JB </w:t>
      </w:r>
      <w:r w:rsidR="00F41E4D" w:rsidRPr="00B51420">
        <w:rPr>
          <w:rFonts w:ascii="Arial" w:eastAsiaTheme="minorEastAsia" w:hAnsi="Arial" w:cs="Arial"/>
          <w:iCs/>
          <w:sz w:val="20"/>
          <w:szCs w:val="20"/>
        </w:rPr>
        <w:t xml:space="preserve">statistic asymptotically has a chi-squared distribution with two degree of freedom. The statistic could be used to test the hypothesis that the data are from a normal distribution. The null hypothesis is a joint hypothesis of the skewness being zero and the excess kurtosis being zero. Thus, samples from a normal distribution have an expected skewness of 0 and an expected excess kurtosis of 0 (which is same as a kurtosis of 3). As stated by </w:t>
      </w:r>
      <w:r w:rsidR="00F41E4D" w:rsidRPr="00B51420">
        <w:rPr>
          <w:rFonts w:ascii="Arial" w:eastAsiaTheme="minorEastAsia" w:hAnsi="Arial" w:cs="Arial"/>
          <w:i/>
          <w:sz w:val="20"/>
          <w:szCs w:val="20"/>
        </w:rPr>
        <w:t xml:space="preserve">JB </w:t>
      </w:r>
      <w:r w:rsidR="00F41E4D" w:rsidRPr="00B51420">
        <w:rPr>
          <w:rFonts w:ascii="Arial" w:eastAsiaTheme="minorEastAsia" w:hAnsi="Arial" w:cs="Arial"/>
          <w:iCs/>
          <w:sz w:val="20"/>
          <w:szCs w:val="20"/>
        </w:rPr>
        <w:t xml:space="preserve">definition, any deviation from this increases the JB statistic.  </w:t>
      </w:r>
    </w:p>
  </w:footnote>
  <w:footnote w:id="67">
    <w:p w14:paraId="35D9AEF1" w14:textId="77777777" w:rsidR="00F41E4D" w:rsidRPr="00EF7D21" w:rsidRDefault="00F41E4D" w:rsidP="00F560D3">
      <w:pPr>
        <w:shd w:val="clear" w:color="auto" w:fill="FFFFFF"/>
        <w:spacing w:after="0" w:line="240" w:lineRule="auto"/>
        <w:jc w:val="both"/>
        <w:rPr>
          <w:rFonts w:ascii="Arial" w:hAnsi="Arial" w:cs="Arial"/>
          <w:color w:val="212121"/>
          <w:sz w:val="20"/>
          <w:szCs w:val="20"/>
          <w:shd w:val="clear" w:color="auto" w:fill="FFFFFF"/>
        </w:rPr>
      </w:pPr>
      <w:r>
        <w:rPr>
          <w:rStyle w:val="FootnoteReference"/>
        </w:rPr>
        <w:footnoteRef/>
      </w:r>
      <w:r>
        <w:t xml:space="preserve"> </w:t>
      </w:r>
      <w:r w:rsidRPr="00EF7D21">
        <w:rPr>
          <w:rFonts w:ascii="Arial" w:hAnsi="Arial" w:cs="Arial"/>
          <w:color w:val="212121"/>
          <w:sz w:val="20"/>
          <w:szCs w:val="20"/>
          <w:shd w:val="clear" w:color="auto" w:fill="FFFFFF"/>
        </w:rPr>
        <w:t xml:space="preserve">The Breusch-Godfrey (BG) test is often used to test for the presence if serial correlation that has not been included in a proposed model structure, which if present could imply that incorrect conclusions could be drawn from other tests or that sub-optimal estimates of model parameters could hr obtained. </w:t>
      </w:r>
    </w:p>
    <w:p w14:paraId="7B192824" w14:textId="77777777" w:rsidR="00F41E4D" w:rsidRPr="00EF7D21" w:rsidRDefault="00F41E4D" w:rsidP="00F560D3">
      <w:pPr>
        <w:shd w:val="clear" w:color="auto" w:fill="FFFFFF"/>
        <w:spacing w:after="0" w:line="240" w:lineRule="auto"/>
        <w:jc w:val="both"/>
        <w:rPr>
          <w:rFonts w:ascii="Arial" w:hAnsi="Arial" w:cs="Arial"/>
          <w:color w:val="212121"/>
          <w:sz w:val="20"/>
          <w:szCs w:val="20"/>
          <w:shd w:val="clear" w:color="auto" w:fill="FFFFFF"/>
        </w:rPr>
      </w:pPr>
      <w:r w:rsidRPr="00EF7D21">
        <w:rPr>
          <w:rFonts w:ascii="Arial" w:hAnsi="Arial" w:cs="Arial"/>
          <w:color w:val="212121"/>
          <w:sz w:val="20"/>
          <w:szCs w:val="20"/>
          <w:shd w:val="clear" w:color="auto" w:fill="FFFFFF"/>
        </w:rPr>
        <w:t>We consider the linear regression:</w:t>
      </w:r>
    </w:p>
    <w:p w14:paraId="0F25F00E" w14:textId="77777777" w:rsidR="00F41E4D" w:rsidRPr="00EF7D21" w:rsidRDefault="00F41E4D" w:rsidP="00F560D3">
      <w:pPr>
        <w:shd w:val="clear" w:color="auto" w:fill="FFFFFF"/>
        <w:spacing w:after="0" w:line="240" w:lineRule="auto"/>
        <w:jc w:val="both"/>
        <w:rPr>
          <w:rFonts w:ascii="Arial" w:hAnsi="Arial" w:cs="Arial"/>
          <w:color w:val="212121"/>
          <w:sz w:val="20"/>
          <w:szCs w:val="20"/>
          <w:shd w:val="clear" w:color="auto" w:fill="FFFFFF"/>
          <w:vertAlign w:val="subscript"/>
        </w:rPr>
      </w:pPr>
      <w:r w:rsidRPr="00EF7D21">
        <w:rPr>
          <w:rFonts w:ascii="Arial" w:hAnsi="Arial" w:cs="Arial"/>
          <w:i/>
          <w:iCs/>
          <w:color w:val="212121"/>
          <w:sz w:val="20"/>
          <w:szCs w:val="20"/>
          <w:shd w:val="clear" w:color="auto" w:fill="FFFFFF"/>
        </w:rPr>
        <w:t>Y</w:t>
      </w:r>
      <w:r w:rsidRPr="00EF7D21">
        <w:rPr>
          <w:rFonts w:ascii="Arial" w:hAnsi="Arial" w:cs="Arial"/>
          <w:i/>
          <w:iCs/>
          <w:color w:val="212121"/>
          <w:sz w:val="20"/>
          <w:szCs w:val="20"/>
          <w:shd w:val="clear" w:color="auto" w:fill="FFFFFF"/>
          <w:vertAlign w:val="subscript"/>
        </w:rPr>
        <w:t xml:space="preserve">t </w:t>
      </w:r>
      <w:r w:rsidRPr="00EF7D21">
        <w:rPr>
          <w:rFonts w:ascii="Arial" w:hAnsi="Arial" w:cs="Arial"/>
          <w:color w:val="212121"/>
          <w:sz w:val="20"/>
          <w:szCs w:val="20"/>
          <w:shd w:val="clear" w:color="auto" w:fill="FFFFFF"/>
        </w:rPr>
        <w:t xml:space="preserve">= </w:t>
      </w:r>
      <w:r w:rsidRPr="00EF7D21">
        <w:rPr>
          <w:rFonts w:ascii="Arial" w:hAnsi="Arial" w:cs="Arial"/>
          <w:i/>
          <w:iCs/>
          <w:color w:val="212121"/>
          <w:sz w:val="20"/>
          <w:szCs w:val="20"/>
          <w:shd w:val="clear" w:color="auto" w:fill="FFFFFF"/>
        </w:rPr>
        <w:t>β</w:t>
      </w:r>
      <w:r w:rsidRPr="00EF7D21">
        <w:rPr>
          <w:rFonts w:ascii="Arial" w:hAnsi="Arial" w:cs="Arial"/>
          <w:color w:val="212121"/>
          <w:sz w:val="20"/>
          <w:szCs w:val="20"/>
          <w:shd w:val="clear" w:color="auto" w:fill="FFFFFF"/>
          <w:vertAlign w:val="subscript"/>
        </w:rPr>
        <w:t>1</w:t>
      </w:r>
      <w:r w:rsidRPr="00EF7D21">
        <w:rPr>
          <w:rFonts w:ascii="Arial" w:hAnsi="Arial" w:cs="Arial"/>
          <w:color w:val="212121"/>
          <w:sz w:val="20"/>
          <w:szCs w:val="20"/>
          <w:shd w:val="clear" w:color="auto" w:fill="FFFFFF"/>
        </w:rPr>
        <w:t xml:space="preserve"> + </w:t>
      </w:r>
      <w:r w:rsidRPr="00EF7D21">
        <w:rPr>
          <w:rFonts w:ascii="Arial" w:hAnsi="Arial" w:cs="Arial"/>
          <w:i/>
          <w:iCs/>
          <w:color w:val="212121"/>
          <w:sz w:val="20"/>
          <w:szCs w:val="20"/>
          <w:shd w:val="clear" w:color="auto" w:fill="FFFFFF"/>
        </w:rPr>
        <w:t>β</w:t>
      </w:r>
      <w:r w:rsidRPr="00EF7D21">
        <w:rPr>
          <w:rFonts w:ascii="Arial" w:hAnsi="Arial" w:cs="Arial"/>
          <w:color w:val="212121"/>
          <w:sz w:val="20"/>
          <w:szCs w:val="20"/>
          <w:shd w:val="clear" w:color="auto" w:fill="FFFFFF"/>
          <w:vertAlign w:val="subscript"/>
        </w:rPr>
        <w:t>2</w:t>
      </w:r>
      <w:r w:rsidRPr="00EF7D21">
        <w:rPr>
          <w:rFonts w:ascii="Arial" w:hAnsi="Arial" w:cs="Arial"/>
          <w:i/>
          <w:iCs/>
          <w:color w:val="212121"/>
          <w:sz w:val="20"/>
          <w:szCs w:val="20"/>
          <w:shd w:val="clear" w:color="auto" w:fill="FFFFFF"/>
        </w:rPr>
        <w:t>X</w:t>
      </w:r>
      <w:r w:rsidRPr="00EF7D21">
        <w:rPr>
          <w:rFonts w:ascii="Arial" w:hAnsi="Arial" w:cs="Arial"/>
          <w:i/>
          <w:iCs/>
          <w:color w:val="212121"/>
          <w:sz w:val="20"/>
          <w:szCs w:val="20"/>
          <w:shd w:val="clear" w:color="auto" w:fill="FFFFFF"/>
          <w:vertAlign w:val="subscript"/>
        </w:rPr>
        <w:t>t,</w:t>
      </w:r>
      <w:r w:rsidRPr="00EF7D21">
        <w:rPr>
          <w:rFonts w:ascii="Arial" w:hAnsi="Arial" w:cs="Arial"/>
          <w:color w:val="212121"/>
          <w:sz w:val="20"/>
          <w:szCs w:val="20"/>
          <w:shd w:val="clear" w:color="auto" w:fill="FFFFFF"/>
          <w:vertAlign w:val="subscript"/>
        </w:rPr>
        <w:t xml:space="preserve">1 </w:t>
      </w:r>
      <w:r w:rsidRPr="00EF7D21">
        <w:rPr>
          <w:rFonts w:ascii="Arial" w:hAnsi="Arial" w:cs="Arial"/>
          <w:color w:val="212121"/>
          <w:sz w:val="20"/>
          <w:szCs w:val="20"/>
          <w:shd w:val="clear" w:color="auto" w:fill="FFFFFF"/>
        </w:rPr>
        <w:t xml:space="preserve">+ </w:t>
      </w:r>
      <w:r w:rsidRPr="00EF7D21">
        <w:rPr>
          <w:rFonts w:ascii="Arial" w:hAnsi="Arial" w:cs="Arial"/>
          <w:i/>
          <w:iCs/>
          <w:color w:val="212121"/>
          <w:sz w:val="20"/>
          <w:szCs w:val="20"/>
          <w:shd w:val="clear" w:color="auto" w:fill="FFFFFF"/>
        </w:rPr>
        <w:t>β</w:t>
      </w:r>
      <w:r w:rsidRPr="00EF7D21">
        <w:rPr>
          <w:rFonts w:ascii="Arial" w:hAnsi="Arial" w:cs="Arial"/>
          <w:color w:val="212121"/>
          <w:sz w:val="20"/>
          <w:szCs w:val="20"/>
          <w:shd w:val="clear" w:color="auto" w:fill="FFFFFF"/>
          <w:vertAlign w:val="subscript"/>
        </w:rPr>
        <w:t>3</w:t>
      </w:r>
      <w:r w:rsidRPr="00EF7D21">
        <w:rPr>
          <w:rFonts w:ascii="Arial" w:hAnsi="Arial" w:cs="Arial"/>
          <w:i/>
          <w:iCs/>
          <w:color w:val="212121"/>
          <w:sz w:val="20"/>
          <w:szCs w:val="20"/>
          <w:shd w:val="clear" w:color="auto" w:fill="FFFFFF"/>
        </w:rPr>
        <w:t>X</w:t>
      </w:r>
      <w:r w:rsidRPr="00EF7D21">
        <w:rPr>
          <w:rFonts w:ascii="Arial" w:hAnsi="Arial" w:cs="Arial"/>
          <w:i/>
          <w:iCs/>
          <w:color w:val="212121"/>
          <w:sz w:val="20"/>
          <w:szCs w:val="20"/>
          <w:shd w:val="clear" w:color="auto" w:fill="FFFFFF"/>
          <w:vertAlign w:val="subscript"/>
        </w:rPr>
        <w:t>t,</w:t>
      </w:r>
      <w:r w:rsidRPr="00EF7D21">
        <w:rPr>
          <w:rFonts w:ascii="Arial" w:hAnsi="Arial" w:cs="Arial"/>
          <w:color w:val="212121"/>
          <w:sz w:val="20"/>
          <w:szCs w:val="20"/>
          <w:shd w:val="clear" w:color="auto" w:fill="FFFFFF"/>
          <w:vertAlign w:val="subscript"/>
        </w:rPr>
        <w:t>2</w:t>
      </w:r>
      <w:r w:rsidRPr="00EF7D21">
        <w:rPr>
          <w:rFonts w:ascii="Arial" w:hAnsi="Arial" w:cs="Arial"/>
          <w:color w:val="212121"/>
          <w:sz w:val="20"/>
          <w:szCs w:val="20"/>
          <w:shd w:val="clear" w:color="auto" w:fill="FFFFFF"/>
        </w:rPr>
        <w:t xml:space="preserve"> + </w:t>
      </w:r>
      <w:r w:rsidRPr="00EF7D21">
        <w:rPr>
          <w:rFonts w:ascii="Cambria Math" w:hAnsi="Cambria Math" w:cs="Cambria Math"/>
          <w:color w:val="212121"/>
          <w:sz w:val="20"/>
          <w:szCs w:val="20"/>
          <w:shd w:val="clear" w:color="auto" w:fill="FFFFFF"/>
        </w:rPr>
        <w:t>𝜇</w:t>
      </w:r>
      <w:r w:rsidRPr="00EF7D21">
        <w:rPr>
          <w:rFonts w:ascii="Arial" w:hAnsi="Arial" w:cs="Arial"/>
          <w:color w:val="212121"/>
          <w:sz w:val="20"/>
          <w:szCs w:val="20"/>
          <w:shd w:val="clear" w:color="auto" w:fill="FFFFFF"/>
          <w:vertAlign w:val="subscript"/>
        </w:rPr>
        <w:t>t</w:t>
      </w:r>
    </w:p>
    <w:p w14:paraId="3D77100B" w14:textId="77777777" w:rsidR="00F41E4D" w:rsidRPr="00EF7D21" w:rsidRDefault="00F41E4D" w:rsidP="00F560D3">
      <w:pPr>
        <w:shd w:val="clear" w:color="auto" w:fill="FFFFFF"/>
        <w:spacing w:after="0" w:line="240" w:lineRule="auto"/>
        <w:jc w:val="both"/>
        <w:rPr>
          <w:rFonts w:ascii="Arial" w:hAnsi="Arial" w:cs="Arial"/>
          <w:color w:val="212121"/>
          <w:sz w:val="20"/>
          <w:szCs w:val="20"/>
          <w:shd w:val="clear" w:color="auto" w:fill="FFFFFF"/>
        </w:rPr>
      </w:pPr>
      <w:r w:rsidRPr="00EF7D21">
        <w:rPr>
          <w:rFonts w:ascii="Arial" w:hAnsi="Arial" w:cs="Arial"/>
          <w:color w:val="212121"/>
          <w:sz w:val="20"/>
          <w:szCs w:val="20"/>
          <w:shd w:val="clear" w:color="auto" w:fill="FFFFFF"/>
        </w:rPr>
        <w:t>Where the errors might follow an AR(</w:t>
      </w:r>
      <w:r w:rsidRPr="00EF7D21">
        <w:rPr>
          <w:rFonts w:ascii="Arial" w:eastAsiaTheme="minorEastAsia" w:hAnsi="Arial" w:cs="Arial"/>
          <w:i/>
          <w:iCs/>
          <w:color w:val="212121"/>
          <w:sz w:val="20"/>
          <w:szCs w:val="20"/>
          <w:shd w:val="clear" w:color="auto" w:fill="FFFFFF"/>
        </w:rPr>
        <w:t>ρ</w:t>
      </w:r>
      <w:r w:rsidRPr="00EF7D21">
        <w:rPr>
          <w:rFonts w:ascii="Arial" w:hAnsi="Arial" w:cs="Arial"/>
          <w:color w:val="212121"/>
          <w:sz w:val="20"/>
          <w:szCs w:val="20"/>
          <w:shd w:val="clear" w:color="auto" w:fill="FFFFFF"/>
        </w:rPr>
        <w:t>) autoregressive scheme, as follows:</w:t>
      </w:r>
    </w:p>
    <w:p w14:paraId="1BAF505D" w14:textId="77777777" w:rsidR="00F41E4D" w:rsidRPr="00EF7D21" w:rsidRDefault="00F41E4D" w:rsidP="00F560D3">
      <w:pPr>
        <w:shd w:val="clear" w:color="auto" w:fill="FFFFFF"/>
        <w:spacing w:after="0" w:line="240" w:lineRule="auto"/>
        <w:jc w:val="both"/>
        <w:rPr>
          <w:rFonts w:ascii="Arial" w:eastAsiaTheme="minorEastAsia" w:hAnsi="Arial" w:cs="Arial"/>
          <w:color w:val="212121"/>
          <w:sz w:val="20"/>
          <w:szCs w:val="20"/>
          <w:shd w:val="clear" w:color="auto" w:fill="FFFFFF"/>
        </w:rPr>
      </w:pPr>
      <w:r w:rsidRPr="00EF7D21">
        <w:rPr>
          <w:rFonts w:ascii="Cambria Math" w:hAnsi="Cambria Math" w:cs="Cambria Math"/>
          <w:color w:val="212121"/>
          <w:sz w:val="20"/>
          <w:szCs w:val="20"/>
          <w:shd w:val="clear" w:color="auto" w:fill="FFFFFF"/>
        </w:rPr>
        <w:t>𝜇</w:t>
      </w:r>
      <w:r w:rsidRPr="00EF7D21">
        <w:rPr>
          <w:rFonts w:ascii="Arial" w:hAnsi="Arial" w:cs="Arial"/>
          <w:color w:val="212121"/>
          <w:sz w:val="20"/>
          <w:szCs w:val="20"/>
          <w:shd w:val="clear" w:color="auto" w:fill="FFFFFF"/>
          <w:vertAlign w:val="subscript"/>
        </w:rPr>
        <w:t xml:space="preserve">t </w:t>
      </w:r>
      <w:r w:rsidRPr="00EF7D21">
        <w:rPr>
          <w:rFonts w:ascii="Arial" w:hAnsi="Arial" w:cs="Arial"/>
          <w:color w:val="212121"/>
          <w:sz w:val="20"/>
          <w:szCs w:val="20"/>
          <w:shd w:val="clear" w:color="auto" w:fill="FFFFFF"/>
        </w:rPr>
        <w:t xml:space="preserve">= </w:t>
      </w:r>
      <w:r w:rsidRPr="00EF7D21">
        <w:rPr>
          <w:rFonts w:ascii="Arial" w:hAnsi="Arial" w:cs="Arial"/>
          <w:i/>
          <w:iCs/>
          <w:sz w:val="20"/>
          <w:szCs w:val="20"/>
        </w:rPr>
        <w:t>ρ</w:t>
      </w:r>
      <w:r w:rsidRPr="00EF7D21">
        <w:rPr>
          <w:rFonts w:ascii="Arial" w:hAnsi="Arial" w:cs="Arial"/>
          <w:color w:val="212121"/>
          <w:sz w:val="20"/>
          <w:szCs w:val="20"/>
          <w:shd w:val="clear" w:color="auto" w:fill="FFFFFF"/>
          <w:vertAlign w:val="subscript"/>
        </w:rPr>
        <w:t xml:space="preserve">1 </w:t>
      </w:r>
      <w:r w:rsidRPr="00EF7D21">
        <w:rPr>
          <w:rFonts w:ascii="Cambria Math" w:hAnsi="Cambria Math" w:cs="Cambria Math"/>
          <w:color w:val="212121"/>
          <w:sz w:val="20"/>
          <w:szCs w:val="20"/>
          <w:shd w:val="clear" w:color="auto" w:fill="FFFFFF"/>
        </w:rPr>
        <w:t>𝜇</w:t>
      </w:r>
      <w:r w:rsidRPr="00EF7D21">
        <w:rPr>
          <w:rFonts w:ascii="Arial" w:hAnsi="Arial" w:cs="Arial"/>
          <w:color w:val="212121"/>
          <w:sz w:val="20"/>
          <w:szCs w:val="20"/>
          <w:shd w:val="clear" w:color="auto" w:fill="FFFFFF"/>
          <w:vertAlign w:val="subscript"/>
        </w:rPr>
        <w:t xml:space="preserve">t-1 </w:t>
      </w:r>
      <w:r w:rsidRPr="00EF7D21">
        <w:rPr>
          <w:rFonts w:ascii="Arial" w:hAnsi="Arial" w:cs="Arial"/>
          <w:color w:val="212121"/>
          <w:sz w:val="20"/>
          <w:szCs w:val="20"/>
          <w:shd w:val="clear" w:color="auto" w:fill="FFFFFF"/>
        </w:rPr>
        <w:t xml:space="preserve">+ </w:t>
      </w:r>
      <w:r w:rsidRPr="00EF7D21">
        <w:rPr>
          <w:rFonts w:ascii="Arial" w:hAnsi="Arial" w:cs="Arial"/>
          <w:i/>
          <w:iCs/>
          <w:sz w:val="20"/>
          <w:szCs w:val="20"/>
        </w:rPr>
        <w:t>ρ</w:t>
      </w:r>
      <w:r w:rsidRPr="00EF7D21">
        <w:rPr>
          <w:rFonts w:ascii="Arial" w:hAnsi="Arial" w:cs="Arial"/>
          <w:color w:val="212121"/>
          <w:sz w:val="20"/>
          <w:szCs w:val="20"/>
          <w:shd w:val="clear" w:color="auto" w:fill="FFFFFF"/>
          <w:vertAlign w:val="subscript"/>
        </w:rPr>
        <w:t xml:space="preserve">2 </w:t>
      </w:r>
      <w:r w:rsidRPr="00EF7D21">
        <w:rPr>
          <w:rFonts w:ascii="Cambria Math" w:hAnsi="Cambria Math" w:cs="Cambria Math"/>
          <w:color w:val="212121"/>
          <w:sz w:val="20"/>
          <w:szCs w:val="20"/>
          <w:shd w:val="clear" w:color="auto" w:fill="FFFFFF"/>
        </w:rPr>
        <w:t>𝜇</w:t>
      </w:r>
      <w:r w:rsidRPr="00EF7D21">
        <w:rPr>
          <w:rFonts w:ascii="Arial" w:hAnsi="Arial" w:cs="Arial"/>
          <w:color w:val="212121"/>
          <w:sz w:val="20"/>
          <w:szCs w:val="20"/>
          <w:shd w:val="clear" w:color="auto" w:fill="FFFFFF"/>
          <w:vertAlign w:val="subscript"/>
        </w:rPr>
        <w:t xml:space="preserve">t-2 </w:t>
      </w:r>
      <w:r w:rsidRPr="00EF7D21">
        <w:rPr>
          <w:rFonts w:ascii="Arial" w:hAnsi="Arial" w:cs="Arial"/>
          <w:color w:val="212121"/>
          <w:sz w:val="20"/>
          <w:szCs w:val="20"/>
          <w:shd w:val="clear" w:color="auto" w:fill="FFFFFF"/>
        </w:rPr>
        <w:t>+</w:t>
      </w:r>
      <w:r w:rsidRPr="00EF7D21">
        <w:rPr>
          <w:rFonts w:ascii="Arial" w:hAnsi="Arial" w:cs="Arial"/>
          <w:color w:val="212121"/>
          <w:sz w:val="20"/>
          <w:szCs w:val="20"/>
          <w:shd w:val="clear" w:color="auto" w:fill="FFFFFF"/>
          <w:vertAlign w:val="superscript"/>
        </w:rPr>
        <w:t xml:space="preserve"> . . . . . .</w:t>
      </w:r>
      <w:r w:rsidRPr="00EF7D21">
        <w:rPr>
          <w:rFonts w:ascii="Arial" w:hAnsi="Arial" w:cs="Arial"/>
          <w:color w:val="212121"/>
          <w:sz w:val="20"/>
          <w:szCs w:val="20"/>
          <w:shd w:val="clear" w:color="auto" w:fill="FFFFFF"/>
        </w:rPr>
        <w:t xml:space="preserve"> + </w:t>
      </w:r>
      <w:r w:rsidRPr="00EF7D21">
        <w:rPr>
          <w:rFonts w:ascii="Arial" w:hAnsi="Arial" w:cs="Arial"/>
          <w:i/>
          <w:iCs/>
          <w:sz w:val="20"/>
          <w:szCs w:val="20"/>
        </w:rPr>
        <w:t>ρ</w:t>
      </w:r>
      <w:r w:rsidRPr="00EF7D21">
        <w:rPr>
          <w:rFonts w:ascii="Arial" w:hAnsi="Arial" w:cs="Arial"/>
          <w:color w:val="212121"/>
          <w:sz w:val="20"/>
          <w:szCs w:val="20"/>
          <w:shd w:val="clear" w:color="auto" w:fill="FFFFFF"/>
          <w:vertAlign w:val="subscript"/>
        </w:rPr>
        <w:t xml:space="preserve">p </w:t>
      </w:r>
      <w:r w:rsidRPr="00EF7D21">
        <w:rPr>
          <w:rFonts w:ascii="Cambria Math" w:hAnsi="Cambria Math" w:cs="Cambria Math"/>
          <w:color w:val="212121"/>
          <w:sz w:val="20"/>
          <w:szCs w:val="20"/>
          <w:shd w:val="clear" w:color="auto" w:fill="FFFFFF"/>
        </w:rPr>
        <w:t>𝜇</w:t>
      </w:r>
      <w:r w:rsidRPr="00EF7D21">
        <w:rPr>
          <w:rFonts w:ascii="Arial" w:hAnsi="Arial" w:cs="Arial"/>
          <w:color w:val="212121"/>
          <w:sz w:val="20"/>
          <w:szCs w:val="20"/>
          <w:shd w:val="clear" w:color="auto" w:fill="FFFFFF"/>
          <w:vertAlign w:val="subscript"/>
        </w:rPr>
        <w:t xml:space="preserve">t-p + </w:t>
      </w:r>
      <m:oMath>
        <m:sSub>
          <m:sSubPr>
            <m:ctrlPr>
              <w:rPr>
                <w:rFonts w:ascii="Cambria Math" w:hAnsi="Cambria Math" w:cs="Arial"/>
                <w:i/>
                <w:color w:val="212121"/>
                <w:sz w:val="20"/>
                <w:szCs w:val="20"/>
                <w:shd w:val="clear" w:color="auto" w:fill="FFFFFF"/>
              </w:rPr>
            </m:ctrlPr>
          </m:sSubPr>
          <m:e>
            <m:r>
              <w:rPr>
                <w:rFonts w:ascii="Cambria Math" w:hAnsi="Cambria Math" w:cs="Arial"/>
                <w:color w:val="212121"/>
                <w:sz w:val="20"/>
                <w:szCs w:val="20"/>
                <w:shd w:val="clear" w:color="auto" w:fill="FFFFFF"/>
              </w:rPr>
              <m:t>ε</m:t>
            </m:r>
          </m:e>
          <m:sub>
            <m:r>
              <w:rPr>
                <w:rFonts w:ascii="Cambria Math" w:hAnsi="Cambria Math" w:cs="Arial"/>
                <w:color w:val="212121"/>
                <w:sz w:val="20"/>
                <w:szCs w:val="20"/>
                <w:shd w:val="clear" w:color="auto" w:fill="FFFFFF"/>
              </w:rPr>
              <m:t>t</m:t>
            </m:r>
          </m:sub>
        </m:sSub>
      </m:oMath>
      <w:r w:rsidRPr="00EF7D21">
        <w:rPr>
          <w:rFonts w:ascii="Arial" w:eastAsiaTheme="minorEastAsia" w:hAnsi="Arial" w:cs="Arial"/>
          <w:color w:val="212121"/>
          <w:sz w:val="20"/>
          <w:szCs w:val="20"/>
          <w:shd w:val="clear" w:color="auto" w:fill="FFFFFF"/>
        </w:rPr>
        <w:t>.</w:t>
      </w:r>
    </w:p>
    <w:p w14:paraId="2FAAB583" w14:textId="77777777" w:rsidR="00F41E4D" w:rsidRPr="00EF7D21" w:rsidRDefault="00F41E4D" w:rsidP="00F560D3">
      <w:pPr>
        <w:shd w:val="clear" w:color="auto" w:fill="FFFFFF"/>
        <w:spacing w:after="0" w:line="240" w:lineRule="auto"/>
        <w:jc w:val="both"/>
        <w:rPr>
          <w:rFonts w:ascii="Arial" w:eastAsiaTheme="minorEastAsia" w:hAnsi="Arial" w:cs="Arial"/>
          <w:color w:val="212121"/>
          <w:sz w:val="20"/>
          <w:szCs w:val="20"/>
          <w:shd w:val="clear" w:color="auto" w:fill="FFFFFF"/>
        </w:rPr>
      </w:pPr>
      <w:r w:rsidRPr="00EF7D21">
        <w:rPr>
          <w:rFonts w:ascii="Arial" w:eastAsiaTheme="minorEastAsia" w:hAnsi="Arial" w:cs="Arial"/>
          <w:color w:val="212121"/>
          <w:sz w:val="20"/>
          <w:szCs w:val="20"/>
          <w:shd w:val="clear" w:color="auto" w:fill="FFFFFF"/>
        </w:rPr>
        <w:t xml:space="preserve">The simple regression model is first fitted by ordinary least squares to obtain a set of sample residuals </w:t>
      </w:r>
      <m:oMath>
        <m:sSub>
          <m:sSubPr>
            <m:ctrlPr>
              <w:rPr>
                <w:rFonts w:ascii="Cambria Math" w:eastAsiaTheme="minorEastAsia" w:hAnsi="Cambria Math" w:cs="Arial"/>
                <w:i/>
                <w:color w:val="212121"/>
                <w:sz w:val="20"/>
                <w:szCs w:val="20"/>
                <w:shd w:val="clear" w:color="auto" w:fill="FFFFFF"/>
              </w:rPr>
            </m:ctrlPr>
          </m:sSubPr>
          <m:e>
            <m:acc>
              <m:accPr>
                <m:ctrlPr>
                  <w:rPr>
                    <w:rFonts w:ascii="Cambria Math" w:eastAsiaTheme="minorEastAsia" w:hAnsi="Cambria Math" w:cs="Arial"/>
                    <w:i/>
                    <w:color w:val="212121"/>
                    <w:sz w:val="20"/>
                    <w:szCs w:val="20"/>
                    <w:shd w:val="clear" w:color="auto" w:fill="FFFFFF"/>
                  </w:rPr>
                </m:ctrlPr>
              </m:accPr>
              <m:e>
                <m:r>
                  <w:rPr>
                    <w:rFonts w:ascii="Cambria Math" w:eastAsiaTheme="minorEastAsia" w:hAnsi="Cambria Math" w:cs="Arial"/>
                    <w:color w:val="212121"/>
                    <w:sz w:val="20"/>
                    <w:szCs w:val="20"/>
                    <w:shd w:val="clear" w:color="auto" w:fill="FFFFFF"/>
                  </w:rPr>
                  <m:t>μ</m:t>
                </m:r>
              </m:e>
            </m:acc>
          </m:e>
          <m:sub>
            <m:r>
              <w:rPr>
                <w:rFonts w:ascii="Cambria Math" w:eastAsiaTheme="minorEastAsia" w:hAnsi="Cambria Math" w:cs="Arial"/>
                <w:color w:val="212121"/>
                <w:sz w:val="20"/>
                <w:szCs w:val="20"/>
                <w:shd w:val="clear" w:color="auto" w:fill="FFFFFF"/>
              </w:rPr>
              <m:t>t</m:t>
            </m:r>
          </m:sub>
        </m:sSub>
      </m:oMath>
      <w:r w:rsidRPr="00EF7D21">
        <w:rPr>
          <w:rFonts w:ascii="Arial" w:eastAsiaTheme="minorEastAsia" w:hAnsi="Arial" w:cs="Arial"/>
          <w:color w:val="212121"/>
          <w:sz w:val="20"/>
          <w:szCs w:val="20"/>
          <w:shd w:val="clear" w:color="auto" w:fill="FFFFFF"/>
        </w:rPr>
        <w:t xml:space="preserve">. </w:t>
      </w:r>
    </w:p>
    <w:p w14:paraId="43021F22" w14:textId="10EF65ED" w:rsidR="00F41E4D" w:rsidRPr="00EF7D21" w:rsidRDefault="00F41E4D" w:rsidP="00F560D3">
      <w:pPr>
        <w:shd w:val="clear" w:color="auto" w:fill="FFFFFF"/>
        <w:spacing w:after="0" w:line="240" w:lineRule="auto"/>
        <w:jc w:val="both"/>
        <w:rPr>
          <w:rFonts w:ascii="Arial" w:eastAsiaTheme="minorEastAsia" w:hAnsi="Arial" w:cs="Arial"/>
          <w:color w:val="212121"/>
          <w:sz w:val="20"/>
          <w:szCs w:val="20"/>
          <w:shd w:val="clear" w:color="auto" w:fill="FFFFFF"/>
        </w:rPr>
      </w:pPr>
      <w:r w:rsidRPr="00EF7D21">
        <w:rPr>
          <w:rFonts w:ascii="Arial" w:eastAsiaTheme="minorEastAsia" w:hAnsi="Arial" w:cs="Arial"/>
          <w:color w:val="212121"/>
          <w:sz w:val="20"/>
          <w:szCs w:val="20"/>
          <w:shd w:val="clear" w:color="auto" w:fill="FFFFFF"/>
        </w:rPr>
        <w:t>If the following auxiliary regression model is fitted</w:t>
      </w:r>
      <w:r>
        <w:rPr>
          <w:rFonts w:ascii="Arial" w:eastAsiaTheme="minorEastAsia" w:hAnsi="Arial" w:cs="Arial"/>
          <w:color w:val="212121"/>
          <w:sz w:val="20"/>
          <w:szCs w:val="20"/>
          <w:shd w:val="clear" w:color="auto" w:fill="FFFFFF"/>
        </w:rPr>
        <w:t>:</w:t>
      </w:r>
    </w:p>
    <w:p w14:paraId="43712C33" w14:textId="77777777" w:rsidR="00F41E4D" w:rsidRPr="00EF7D21" w:rsidRDefault="00000000" w:rsidP="00F560D3">
      <w:pPr>
        <w:shd w:val="clear" w:color="auto" w:fill="FFFFFF"/>
        <w:spacing w:after="0" w:line="240" w:lineRule="auto"/>
        <w:jc w:val="both"/>
        <w:rPr>
          <w:rFonts w:ascii="Arial" w:eastAsiaTheme="minorEastAsia" w:hAnsi="Arial" w:cs="Arial"/>
          <w:i/>
          <w:color w:val="212121"/>
          <w:sz w:val="20"/>
          <w:szCs w:val="20"/>
          <w:shd w:val="clear" w:color="auto" w:fill="FFFFFF"/>
        </w:rPr>
      </w:pPr>
      <m:oMath>
        <m:sSub>
          <m:sSubPr>
            <m:ctrlPr>
              <w:rPr>
                <w:rFonts w:ascii="Cambria Math" w:eastAsiaTheme="minorEastAsia" w:hAnsi="Cambria Math" w:cs="Arial"/>
                <w:i/>
                <w:color w:val="212121"/>
                <w:sz w:val="20"/>
                <w:szCs w:val="20"/>
                <w:shd w:val="clear" w:color="auto" w:fill="FFFFFF"/>
              </w:rPr>
            </m:ctrlPr>
          </m:sSubPr>
          <m:e>
            <m:acc>
              <m:accPr>
                <m:ctrlPr>
                  <w:rPr>
                    <w:rFonts w:ascii="Cambria Math" w:eastAsiaTheme="minorEastAsia" w:hAnsi="Cambria Math" w:cs="Arial"/>
                    <w:i/>
                    <w:color w:val="212121"/>
                    <w:sz w:val="20"/>
                    <w:szCs w:val="20"/>
                    <w:shd w:val="clear" w:color="auto" w:fill="FFFFFF"/>
                  </w:rPr>
                </m:ctrlPr>
              </m:accPr>
              <m:e>
                <m:r>
                  <w:rPr>
                    <w:rFonts w:ascii="Cambria Math" w:eastAsiaTheme="minorEastAsia" w:hAnsi="Cambria Math" w:cs="Arial"/>
                    <w:color w:val="212121"/>
                    <w:sz w:val="20"/>
                    <w:szCs w:val="20"/>
                    <w:shd w:val="clear" w:color="auto" w:fill="FFFFFF"/>
                  </w:rPr>
                  <m:t>μ</m:t>
                </m:r>
              </m:e>
            </m:acc>
          </m:e>
          <m:sub>
            <m:r>
              <w:rPr>
                <w:rFonts w:ascii="Cambria Math" w:eastAsiaTheme="minorEastAsia" w:hAnsi="Cambria Math" w:cs="Arial"/>
                <w:color w:val="212121"/>
                <w:sz w:val="20"/>
                <w:szCs w:val="20"/>
                <w:shd w:val="clear" w:color="auto" w:fill="FFFFFF"/>
              </w:rPr>
              <m:t>t</m:t>
            </m:r>
          </m:sub>
        </m:sSub>
      </m:oMath>
      <w:r w:rsidR="00F41E4D" w:rsidRPr="00EF7D21">
        <w:rPr>
          <w:rFonts w:ascii="Arial" w:eastAsiaTheme="minorEastAsia" w:hAnsi="Arial" w:cs="Arial"/>
          <w:color w:val="212121"/>
          <w:sz w:val="20"/>
          <w:szCs w:val="20"/>
          <w:shd w:val="clear" w:color="auto" w:fill="FFFFFF"/>
        </w:rPr>
        <w:t xml:space="preserve">= </w:t>
      </w:r>
      <m:oMath>
        <m:sSub>
          <m:sSubPr>
            <m:ctrlPr>
              <w:rPr>
                <w:rFonts w:ascii="Cambria Math" w:hAnsi="Cambria Math" w:cs="Arial"/>
                <w:i/>
                <w:sz w:val="20"/>
                <w:szCs w:val="20"/>
              </w:rPr>
            </m:ctrlPr>
          </m:sSubPr>
          <m:e>
            <m:r>
              <m:rPr>
                <m:sty m:val="p"/>
              </m:rPr>
              <w:rPr>
                <w:rFonts w:ascii="Cambria Math" w:hAnsi="Cambria Math" w:cs="Arial"/>
                <w:sz w:val="20"/>
                <w:szCs w:val="20"/>
              </w:rPr>
              <m:t>α</m:t>
            </m:r>
          </m:e>
          <m:sub>
            <m:r>
              <m:rPr>
                <m:sty m:val="p"/>
              </m:rPr>
              <w:rPr>
                <w:rFonts w:ascii="Cambria Math" w:hAnsi="Cambria Math" w:cs="Arial"/>
                <w:sz w:val="20"/>
                <w:szCs w:val="20"/>
                <w:vertAlign w:val="subscript"/>
              </w:rPr>
              <m:t>0</m:t>
            </m:r>
          </m:sub>
        </m:sSub>
        <m:r>
          <w:rPr>
            <w:rFonts w:ascii="Cambria Math" w:hAnsi="Cambria Math" w:cs="Arial"/>
            <w:sz w:val="20"/>
            <w:szCs w:val="20"/>
          </w:rPr>
          <m:t>+</m:t>
        </m:r>
        <m:sSub>
          <m:sSubPr>
            <m:ctrlPr>
              <w:rPr>
                <w:rFonts w:ascii="Cambria Math" w:hAnsi="Cambria Math" w:cs="Arial"/>
                <w:i/>
                <w:sz w:val="20"/>
                <w:szCs w:val="20"/>
              </w:rPr>
            </m:ctrlPr>
          </m:sSubPr>
          <m:e>
            <m:r>
              <w:rPr>
                <w:rFonts w:ascii="Cambria Math" w:hAnsi="Cambria Math" w:cs="Arial"/>
                <w:sz w:val="20"/>
                <w:szCs w:val="20"/>
              </w:rPr>
              <m:t>α</m:t>
            </m:r>
          </m:e>
          <m:sub>
            <m:r>
              <w:rPr>
                <w:rFonts w:ascii="Cambria Math" w:hAnsi="Cambria Math" w:cs="Arial"/>
                <w:sz w:val="20"/>
                <w:szCs w:val="20"/>
                <w:vertAlign w:val="subscript"/>
              </w:rPr>
              <m:t>1</m:t>
            </m:r>
          </m:sub>
        </m:sSub>
        <m:sSub>
          <m:sSubPr>
            <m:ctrlPr>
              <w:rPr>
                <w:rFonts w:ascii="Cambria Math" w:hAnsi="Cambria Math" w:cs="Arial"/>
                <w:i/>
                <w:sz w:val="20"/>
                <w:szCs w:val="20"/>
              </w:rPr>
            </m:ctrlPr>
          </m:sSubPr>
          <m:e>
            <m:r>
              <w:rPr>
                <w:rFonts w:ascii="Cambria Math" w:hAnsi="Cambria Math" w:cs="Arial"/>
                <w:sz w:val="20"/>
                <w:szCs w:val="20"/>
              </w:rPr>
              <m:t>X</m:t>
            </m:r>
          </m:e>
          <m:sub>
            <m:r>
              <w:rPr>
                <w:rFonts w:ascii="Cambria Math" w:hAnsi="Cambria Math" w:cs="Arial"/>
                <w:sz w:val="20"/>
                <w:szCs w:val="20"/>
                <w:vertAlign w:val="subscript"/>
              </w:rPr>
              <m:t>t,1</m:t>
            </m:r>
          </m:sub>
        </m:sSub>
        <m:r>
          <w:rPr>
            <w:rFonts w:ascii="Cambria Math" w:hAnsi="Cambria Math" w:cs="Arial"/>
            <w:sz w:val="20"/>
            <w:szCs w:val="20"/>
          </w:rPr>
          <m:t>+</m:t>
        </m:r>
        <m:sSub>
          <m:sSubPr>
            <m:ctrlPr>
              <w:rPr>
                <w:rFonts w:ascii="Cambria Math" w:hAnsi="Cambria Math" w:cs="Arial"/>
                <w:i/>
                <w:sz w:val="20"/>
                <w:szCs w:val="20"/>
              </w:rPr>
            </m:ctrlPr>
          </m:sSubPr>
          <m:e>
            <m:r>
              <w:rPr>
                <w:rFonts w:ascii="Cambria Math" w:hAnsi="Cambria Math" w:cs="Arial"/>
                <w:sz w:val="20"/>
                <w:szCs w:val="20"/>
              </w:rPr>
              <m:t>α</m:t>
            </m:r>
          </m:e>
          <m:sub>
            <m:r>
              <w:rPr>
                <w:rFonts w:ascii="Cambria Math" w:hAnsi="Cambria Math" w:cs="Arial"/>
                <w:sz w:val="20"/>
                <w:szCs w:val="20"/>
                <w:vertAlign w:val="subscript"/>
              </w:rPr>
              <m:t>2</m:t>
            </m:r>
          </m:sub>
        </m:sSub>
        <m:sSub>
          <m:sSubPr>
            <m:ctrlPr>
              <w:rPr>
                <w:rFonts w:ascii="Cambria Math" w:hAnsi="Cambria Math" w:cs="Arial"/>
                <w:i/>
                <w:sz w:val="20"/>
                <w:szCs w:val="20"/>
              </w:rPr>
            </m:ctrlPr>
          </m:sSubPr>
          <m:e>
            <m:r>
              <w:rPr>
                <w:rFonts w:ascii="Cambria Math" w:hAnsi="Cambria Math" w:cs="Arial"/>
                <w:sz w:val="20"/>
                <w:szCs w:val="20"/>
              </w:rPr>
              <m:t>X</m:t>
            </m:r>
          </m:e>
          <m:sub>
            <m:r>
              <w:rPr>
                <w:rFonts w:ascii="Cambria Math" w:hAnsi="Cambria Math" w:cs="Arial"/>
                <w:sz w:val="20"/>
                <w:szCs w:val="20"/>
                <w:vertAlign w:val="subscript"/>
              </w:rPr>
              <m:t>t,2</m:t>
            </m:r>
          </m:sub>
        </m:sSub>
        <m:r>
          <w:rPr>
            <w:rFonts w:ascii="Cambria Math" w:hAnsi="Cambria Math" w:cs="Arial"/>
            <w:sz w:val="20"/>
            <w:szCs w:val="20"/>
          </w:rPr>
          <m:t>+</m:t>
        </m:r>
        <m:sSub>
          <m:sSubPr>
            <m:ctrlPr>
              <w:rPr>
                <w:rFonts w:ascii="Cambria Math" w:hAnsi="Cambria Math" w:cs="Arial"/>
                <w:i/>
                <w:sz w:val="20"/>
                <w:szCs w:val="20"/>
              </w:rPr>
            </m:ctrlPr>
          </m:sSubPr>
          <m:e>
            <m:r>
              <w:rPr>
                <w:rFonts w:ascii="Cambria Math" w:hAnsi="Cambria Math" w:cs="Arial"/>
                <w:sz w:val="20"/>
                <w:szCs w:val="20"/>
              </w:rPr>
              <m:t>ρ</m:t>
            </m:r>
          </m:e>
          <m:sub>
            <m:r>
              <w:rPr>
                <w:rFonts w:ascii="Cambria Math" w:hAnsi="Cambria Math" w:cs="Arial"/>
                <w:color w:val="212121"/>
                <w:sz w:val="20"/>
                <w:szCs w:val="20"/>
                <w:shd w:val="clear" w:color="auto" w:fill="FFFFFF"/>
                <w:vertAlign w:val="subscript"/>
              </w:rPr>
              <m:t>1</m:t>
            </m:r>
          </m:sub>
        </m:sSub>
        <m:sSub>
          <m:sSubPr>
            <m:ctrlPr>
              <w:rPr>
                <w:rFonts w:ascii="Cambria Math" w:hAnsi="Cambria Math" w:cs="Arial"/>
                <w:i/>
                <w:sz w:val="20"/>
                <w:szCs w:val="20"/>
              </w:rPr>
            </m:ctrlPr>
          </m:sSubPr>
          <m:e>
            <m:acc>
              <m:accPr>
                <m:ctrlPr>
                  <w:rPr>
                    <w:rFonts w:ascii="Cambria Math" w:eastAsiaTheme="minorEastAsia" w:hAnsi="Cambria Math" w:cs="Arial"/>
                    <w:i/>
                    <w:color w:val="212121"/>
                    <w:sz w:val="20"/>
                    <w:szCs w:val="20"/>
                    <w:shd w:val="clear" w:color="auto" w:fill="FFFFFF"/>
                  </w:rPr>
                </m:ctrlPr>
              </m:accPr>
              <m:e>
                <m:r>
                  <w:rPr>
                    <w:rFonts w:ascii="Cambria Math" w:eastAsiaTheme="minorEastAsia" w:hAnsi="Cambria Math" w:cs="Arial"/>
                    <w:color w:val="212121"/>
                    <w:sz w:val="20"/>
                    <w:szCs w:val="20"/>
                    <w:shd w:val="clear" w:color="auto" w:fill="FFFFFF"/>
                  </w:rPr>
                  <m:t>μ</m:t>
                </m:r>
              </m:e>
            </m:acc>
          </m:e>
          <m:sub>
            <m:r>
              <w:rPr>
                <w:rFonts w:ascii="Cambria Math" w:hAnsi="Cambria Math" w:cs="Arial"/>
                <w:sz w:val="20"/>
                <w:szCs w:val="20"/>
              </w:rPr>
              <m:t>t-1</m:t>
            </m:r>
          </m:sub>
        </m:sSub>
        <m:r>
          <w:rPr>
            <w:rFonts w:ascii="Cambria Math" w:hAnsi="Cambria Math" w:cs="Arial"/>
            <w:sz w:val="20"/>
            <w:szCs w:val="20"/>
          </w:rPr>
          <m:t>+</m:t>
        </m:r>
        <m:sSub>
          <m:sSubPr>
            <m:ctrlPr>
              <w:rPr>
                <w:rFonts w:ascii="Cambria Math" w:hAnsi="Cambria Math" w:cs="Arial"/>
                <w:i/>
                <w:sz w:val="20"/>
                <w:szCs w:val="20"/>
              </w:rPr>
            </m:ctrlPr>
          </m:sSubPr>
          <m:e>
            <m:r>
              <w:rPr>
                <w:rFonts w:ascii="Cambria Math" w:hAnsi="Cambria Math" w:cs="Arial"/>
                <w:sz w:val="20"/>
                <w:szCs w:val="20"/>
              </w:rPr>
              <m:t>ρ</m:t>
            </m:r>
          </m:e>
          <m:sub>
            <m:r>
              <w:rPr>
                <w:rFonts w:ascii="Cambria Math" w:hAnsi="Cambria Math" w:cs="Arial"/>
                <w:sz w:val="20"/>
                <w:szCs w:val="20"/>
              </w:rPr>
              <m:t>2</m:t>
            </m:r>
          </m:sub>
        </m:sSub>
        <m:sSub>
          <m:sSubPr>
            <m:ctrlPr>
              <w:rPr>
                <w:rFonts w:ascii="Cambria Math" w:hAnsi="Cambria Math" w:cs="Arial"/>
                <w:i/>
                <w:sz w:val="20"/>
                <w:szCs w:val="20"/>
              </w:rPr>
            </m:ctrlPr>
          </m:sSubPr>
          <m:e>
            <m:acc>
              <m:accPr>
                <m:ctrlPr>
                  <w:rPr>
                    <w:rFonts w:ascii="Cambria Math" w:eastAsiaTheme="minorEastAsia" w:hAnsi="Cambria Math" w:cs="Arial"/>
                    <w:i/>
                    <w:color w:val="212121"/>
                    <w:sz w:val="20"/>
                    <w:szCs w:val="20"/>
                    <w:shd w:val="clear" w:color="auto" w:fill="FFFFFF"/>
                  </w:rPr>
                </m:ctrlPr>
              </m:accPr>
              <m:e>
                <m:r>
                  <w:rPr>
                    <w:rFonts w:ascii="Cambria Math" w:eastAsiaTheme="minorEastAsia" w:hAnsi="Cambria Math" w:cs="Arial"/>
                    <w:color w:val="212121"/>
                    <w:sz w:val="20"/>
                    <w:szCs w:val="20"/>
                    <w:shd w:val="clear" w:color="auto" w:fill="FFFFFF"/>
                  </w:rPr>
                  <m:t>μ</m:t>
                </m:r>
              </m:e>
            </m:acc>
          </m:e>
          <m:sub>
            <m:r>
              <w:rPr>
                <w:rFonts w:ascii="Cambria Math" w:hAnsi="Cambria Math" w:cs="Arial"/>
                <w:sz w:val="20"/>
                <w:szCs w:val="20"/>
              </w:rPr>
              <m:t>t-2</m:t>
            </m:r>
          </m:sub>
        </m:sSub>
        <m:r>
          <w:rPr>
            <w:rFonts w:ascii="Cambria Math" w:hAnsi="Cambria Math" w:cs="Arial"/>
            <w:sz w:val="20"/>
            <w:szCs w:val="20"/>
          </w:rPr>
          <m:t>+…+</m:t>
        </m:r>
        <m:sSub>
          <m:sSubPr>
            <m:ctrlPr>
              <w:rPr>
                <w:rFonts w:ascii="Cambria Math" w:hAnsi="Cambria Math" w:cs="Arial"/>
                <w:i/>
                <w:sz w:val="20"/>
                <w:szCs w:val="20"/>
              </w:rPr>
            </m:ctrlPr>
          </m:sSubPr>
          <m:e>
            <m:r>
              <w:rPr>
                <w:rFonts w:ascii="Cambria Math" w:hAnsi="Cambria Math" w:cs="Arial"/>
                <w:sz w:val="20"/>
                <w:szCs w:val="20"/>
              </w:rPr>
              <m:t>ρ</m:t>
            </m:r>
          </m:e>
          <m:sub>
            <m:r>
              <w:rPr>
                <w:rFonts w:ascii="Cambria Math" w:hAnsi="Cambria Math" w:cs="Arial"/>
                <w:color w:val="212121"/>
                <w:sz w:val="20"/>
                <w:szCs w:val="20"/>
                <w:shd w:val="clear" w:color="auto" w:fill="FFFFFF"/>
                <w:vertAlign w:val="subscript"/>
              </w:rPr>
              <m:t>p</m:t>
            </m:r>
          </m:sub>
        </m:sSub>
        <m:sSub>
          <m:sSubPr>
            <m:ctrlPr>
              <w:rPr>
                <w:rFonts w:ascii="Cambria Math" w:hAnsi="Cambria Math" w:cs="Arial"/>
                <w:i/>
                <w:sz w:val="20"/>
                <w:szCs w:val="20"/>
              </w:rPr>
            </m:ctrlPr>
          </m:sSubPr>
          <m:e>
            <m:acc>
              <m:accPr>
                <m:ctrlPr>
                  <w:rPr>
                    <w:rFonts w:ascii="Cambria Math" w:eastAsiaTheme="minorEastAsia" w:hAnsi="Cambria Math" w:cs="Arial"/>
                    <w:i/>
                    <w:color w:val="212121"/>
                    <w:sz w:val="20"/>
                    <w:szCs w:val="20"/>
                    <w:shd w:val="clear" w:color="auto" w:fill="FFFFFF"/>
                  </w:rPr>
                </m:ctrlPr>
              </m:accPr>
              <m:e>
                <m:r>
                  <w:rPr>
                    <w:rFonts w:ascii="Cambria Math" w:eastAsiaTheme="minorEastAsia" w:hAnsi="Cambria Math" w:cs="Arial"/>
                    <w:color w:val="212121"/>
                    <w:sz w:val="20"/>
                    <w:szCs w:val="20"/>
                    <w:shd w:val="clear" w:color="auto" w:fill="FFFFFF"/>
                  </w:rPr>
                  <m:t>μ</m:t>
                </m:r>
              </m:e>
            </m:acc>
          </m:e>
          <m:sub>
            <m:r>
              <w:rPr>
                <w:rFonts w:ascii="Cambria Math" w:hAnsi="Cambria Math" w:cs="Arial"/>
                <w:sz w:val="20"/>
                <w:szCs w:val="20"/>
              </w:rPr>
              <m:t>t-p</m:t>
            </m:r>
          </m:sub>
        </m:sSub>
        <m:r>
          <w:rPr>
            <w:rFonts w:ascii="Cambria Math" w:hAnsi="Cambria Math" w:cs="Arial"/>
            <w:sz w:val="20"/>
            <w:szCs w:val="20"/>
          </w:rPr>
          <m:t>+</m:t>
        </m:r>
        <m:sSub>
          <m:sSubPr>
            <m:ctrlPr>
              <w:rPr>
                <w:rFonts w:ascii="Cambria Math" w:hAnsi="Cambria Math" w:cs="Arial"/>
                <w:i/>
                <w:sz w:val="20"/>
                <w:szCs w:val="20"/>
              </w:rPr>
            </m:ctrlPr>
          </m:sSubPr>
          <m:e>
            <m:r>
              <w:rPr>
                <w:rFonts w:ascii="Cambria Math" w:eastAsia="Segoe UI Symbol" w:hAnsi="Cambria Math" w:cs="Arial"/>
                <w:sz w:val="20"/>
                <w:szCs w:val="20"/>
              </w:rPr>
              <m:t>ε</m:t>
            </m:r>
          </m:e>
          <m:sub>
            <m:r>
              <w:rPr>
                <w:rFonts w:ascii="Cambria Math" w:hAnsi="Cambria Math" w:cs="Arial"/>
                <w:sz w:val="20"/>
                <w:szCs w:val="20"/>
                <w:vertAlign w:val="subscript"/>
              </w:rPr>
              <m:t>t</m:t>
            </m:r>
          </m:sub>
        </m:sSub>
      </m:oMath>
    </w:p>
    <w:p w14:paraId="67B979FD" w14:textId="77777777" w:rsidR="00F41E4D" w:rsidRPr="00EF7D21" w:rsidRDefault="00F41E4D" w:rsidP="00F560D3">
      <w:pPr>
        <w:shd w:val="clear" w:color="auto" w:fill="FFFFFF"/>
        <w:spacing w:after="0" w:line="240" w:lineRule="auto"/>
        <w:jc w:val="both"/>
        <w:rPr>
          <w:rFonts w:ascii="Arial" w:hAnsi="Arial" w:cs="Arial"/>
          <w:i/>
          <w:iCs/>
          <w:color w:val="212121"/>
          <w:sz w:val="20"/>
          <w:szCs w:val="20"/>
          <w:shd w:val="clear" w:color="auto" w:fill="FFFFFF"/>
        </w:rPr>
      </w:pPr>
      <w:r w:rsidRPr="00EF7D21">
        <w:rPr>
          <w:rFonts w:ascii="Arial" w:hAnsi="Arial" w:cs="Arial"/>
          <w:color w:val="212121"/>
          <w:sz w:val="20"/>
          <w:szCs w:val="20"/>
          <w:shd w:val="clear" w:color="auto" w:fill="FFFFFF"/>
        </w:rPr>
        <w:t>and if the usual R</w:t>
      </w:r>
      <w:r w:rsidRPr="00EF7D21">
        <w:rPr>
          <w:rFonts w:ascii="Arial" w:hAnsi="Arial" w:cs="Arial"/>
          <w:color w:val="212121"/>
          <w:sz w:val="20"/>
          <w:szCs w:val="20"/>
          <w:shd w:val="clear" w:color="auto" w:fill="FFFFFF"/>
          <w:vertAlign w:val="superscript"/>
        </w:rPr>
        <w:t>2</w:t>
      </w:r>
      <w:r w:rsidRPr="00EF7D21">
        <w:rPr>
          <w:rFonts w:ascii="Arial" w:hAnsi="Arial" w:cs="Arial"/>
          <w:color w:val="212121"/>
          <w:sz w:val="20"/>
          <w:szCs w:val="20"/>
          <w:shd w:val="clear" w:color="auto" w:fill="FFFFFF"/>
        </w:rPr>
        <w:t xml:space="preserve"> statistic is calculated for the model, with the following asymptotic approximation could be used for the distribution of the test statistic</w:t>
      </w:r>
    </w:p>
    <w:p w14:paraId="5189DA77" w14:textId="77777777" w:rsidR="00F41E4D" w:rsidRPr="00EF7D21" w:rsidRDefault="00000000" w:rsidP="00F560D3">
      <w:pPr>
        <w:shd w:val="clear" w:color="auto" w:fill="FFFFFF"/>
        <w:spacing w:after="0" w:line="240" w:lineRule="auto"/>
        <w:jc w:val="both"/>
        <w:rPr>
          <w:rFonts w:ascii="Arial" w:eastAsiaTheme="minorEastAsia" w:hAnsi="Arial" w:cs="Arial"/>
          <w:color w:val="212121"/>
          <w:sz w:val="20"/>
          <w:szCs w:val="20"/>
          <w:shd w:val="clear" w:color="auto" w:fill="FFFFFF"/>
        </w:rPr>
      </w:pPr>
      <m:oMath>
        <m:sSup>
          <m:sSupPr>
            <m:ctrlPr>
              <w:rPr>
                <w:rFonts w:ascii="Cambria Math" w:hAnsi="Cambria Math" w:cs="Arial"/>
                <w:i/>
                <w:color w:val="212121"/>
                <w:sz w:val="20"/>
                <w:szCs w:val="20"/>
                <w:shd w:val="clear" w:color="auto" w:fill="FFFFFF"/>
              </w:rPr>
            </m:ctrlPr>
          </m:sSupPr>
          <m:e>
            <m:r>
              <w:rPr>
                <w:rFonts w:ascii="Cambria Math" w:hAnsi="Cambria Math" w:cs="Arial"/>
                <w:color w:val="212121"/>
                <w:sz w:val="20"/>
                <w:szCs w:val="20"/>
                <w:shd w:val="clear" w:color="auto" w:fill="FFFFFF"/>
              </w:rPr>
              <m:t>nR</m:t>
            </m:r>
          </m:e>
          <m:sup>
            <m:r>
              <w:rPr>
                <w:rFonts w:ascii="Cambria Math" w:hAnsi="Cambria Math" w:cs="Arial"/>
                <w:color w:val="212121"/>
                <w:sz w:val="20"/>
                <w:szCs w:val="20"/>
                <w:shd w:val="clear" w:color="auto" w:fill="FFFFFF"/>
              </w:rPr>
              <m:t>2</m:t>
            </m:r>
          </m:sup>
        </m:sSup>
        <m:r>
          <w:rPr>
            <w:rFonts w:ascii="Cambria Math" w:hAnsi="Cambria Math" w:cs="Arial"/>
            <w:color w:val="212121"/>
            <w:sz w:val="20"/>
            <w:szCs w:val="20"/>
            <w:shd w:val="clear" w:color="auto" w:fill="FFFFFF"/>
          </w:rPr>
          <m:t xml:space="preserve"> ~ </m:t>
        </m:r>
        <m:sSubSup>
          <m:sSubSupPr>
            <m:ctrlPr>
              <w:rPr>
                <w:rFonts w:ascii="Cambria Math" w:hAnsi="Cambria Math" w:cs="Arial"/>
                <w:i/>
                <w:color w:val="212121"/>
                <w:sz w:val="20"/>
                <w:szCs w:val="20"/>
                <w:shd w:val="clear" w:color="auto" w:fill="FFFFFF"/>
              </w:rPr>
            </m:ctrlPr>
          </m:sSubSupPr>
          <m:e>
            <m:r>
              <m:rPr>
                <m:scr m:val="script"/>
              </m:rPr>
              <w:rPr>
                <w:rFonts w:ascii="Cambria Math" w:hAnsi="Cambria Math" w:cs="Arial"/>
                <w:color w:val="212121"/>
                <w:sz w:val="20"/>
                <w:szCs w:val="20"/>
                <w:shd w:val="clear" w:color="auto" w:fill="FFFFFF"/>
              </w:rPr>
              <m:t>X</m:t>
            </m:r>
          </m:e>
          <m:sub>
            <m:r>
              <w:rPr>
                <w:rFonts w:ascii="Cambria Math" w:hAnsi="Cambria Math" w:cs="Arial"/>
                <w:color w:val="212121"/>
                <w:sz w:val="20"/>
                <w:szCs w:val="20"/>
                <w:shd w:val="clear" w:color="auto" w:fill="FFFFFF"/>
              </w:rPr>
              <m:t>p</m:t>
            </m:r>
          </m:sub>
          <m:sup>
            <m:r>
              <w:rPr>
                <w:rFonts w:ascii="Cambria Math" w:hAnsi="Cambria Math" w:cs="Arial"/>
                <w:color w:val="212121"/>
                <w:sz w:val="20"/>
                <w:szCs w:val="20"/>
                <w:shd w:val="clear" w:color="auto" w:fill="FFFFFF"/>
              </w:rPr>
              <m:t>2</m:t>
            </m:r>
          </m:sup>
        </m:sSubSup>
      </m:oMath>
      <w:r w:rsidR="00F41E4D" w:rsidRPr="00EF7D21">
        <w:rPr>
          <w:rFonts w:ascii="Arial" w:eastAsiaTheme="minorEastAsia" w:hAnsi="Arial" w:cs="Arial"/>
          <w:color w:val="212121"/>
          <w:sz w:val="20"/>
          <w:szCs w:val="20"/>
          <w:shd w:val="clear" w:color="auto" w:fill="FFFFFF"/>
        </w:rPr>
        <w:t xml:space="preserve">, </w:t>
      </w:r>
    </w:p>
    <w:p w14:paraId="308EF53A" w14:textId="77777777" w:rsidR="00F41E4D" w:rsidRPr="00EF7D21" w:rsidRDefault="00F41E4D" w:rsidP="00F560D3">
      <w:pPr>
        <w:shd w:val="clear" w:color="auto" w:fill="FFFFFF"/>
        <w:spacing w:after="0" w:line="240" w:lineRule="auto"/>
        <w:jc w:val="both"/>
        <w:rPr>
          <w:rFonts w:ascii="Arial" w:eastAsiaTheme="minorEastAsia" w:hAnsi="Arial" w:cs="Arial"/>
          <w:sz w:val="20"/>
          <w:szCs w:val="20"/>
        </w:rPr>
      </w:pPr>
      <w:r w:rsidRPr="00EF7D21">
        <w:rPr>
          <w:rFonts w:ascii="Arial" w:eastAsiaTheme="minorEastAsia" w:hAnsi="Arial" w:cs="Arial"/>
          <w:color w:val="212121"/>
          <w:sz w:val="20"/>
          <w:szCs w:val="20"/>
          <w:shd w:val="clear" w:color="auto" w:fill="FFFFFF"/>
        </w:rPr>
        <w:t xml:space="preserve">when the null hypothesis </w:t>
      </w:r>
      <m:oMath>
        <m:sSub>
          <m:sSubPr>
            <m:ctrlPr>
              <w:rPr>
                <w:rFonts w:ascii="Cambria Math" w:eastAsiaTheme="minorEastAsia" w:hAnsi="Cambria Math" w:cs="Arial"/>
                <w:i/>
                <w:color w:val="212121"/>
                <w:sz w:val="20"/>
                <w:szCs w:val="20"/>
                <w:shd w:val="clear" w:color="auto" w:fill="FFFFFF"/>
              </w:rPr>
            </m:ctrlPr>
          </m:sSubPr>
          <m:e>
            <m:r>
              <w:rPr>
                <w:rFonts w:ascii="Cambria Math" w:eastAsiaTheme="minorEastAsia" w:hAnsi="Cambria Math" w:cs="Arial"/>
                <w:color w:val="212121"/>
                <w:sz w:val="20"/>
                <w:szCs w:val="20"/>
                <w:shd w:val="clear" w:color="auto" w:fill="FFFFFF"/>
              </w:rPr>
              <m:t>H</m:t>
            </m:r>
          </m:e>
          <m:sub>
            <m:r>
              <m:rPr>
                <m:sty m:val="p"/>
              </m:rPr>
              <w:rPr>
                <w:rFonts w:ascii="Cambria Math" w:eastAsiaTheme="minorEastAsia" w:hAnsi="Cambria Math" w:cs="Arial"/>
                <w:color w:val="212121"/>
                <w:sz w:val="20"/>
                <w:szCs w:val="20"/>
                <w:shd w:val="clear" w:color="auto" w:fill="FFFFFF"/>
              </w:rPr>
              <m:t>0</m:t>
            </m:r>
          </m:sub>
        </m:sSub>
        <m:r>
          <w:rPr>
            <w:rFonts w:ascii="Cambria Math" w:eastAsiaTheme="minorEastAsia" w:hAnsi="Cambria Math" w:cs="Arial"/>
            <w:color w:val="212121"/>
            <w:sz w:val="20"/>
            <w:szCs w:val="20"/>
            <w:shd w:val="clear" w:color="auto" w:fill="FFFFFF"/>
          </w:rPr>
          <m:t xml:space="preserve"> :{</m:t>
        </m:r>
        <m:sSub>
          <m:sSubPr>
            <m:ctrlPr>
              <w:rPr>
                <w:rFonts w:ascii="Cambria Math" w:eastAsiaTheme="minorEastAsia" w:hAnsi="Cambria Math" w:cs="Arial"/>
                <w:i/>
                <w:color w:val="212121"/>
                <w:sz w:val="20"/>
                <w:szCs w:val="20"/>
                <w:shd w:val="clear" w:color="auto" w:fill="FFFFFF"/>
              </w:rPr>
            </m:ctrlPr>
          </m:sSubPr>
          <m:e>
            <m:r>
              <w:rPr>
                <w:rFonts w:ascii="Cambria Math" w:eastAsiaTheme="minorEastAsia" w:hAnsi="Cambria Math" w:cs="Arial"/>
                <w:color w:val="212121"/>
                <w:sz w:val="20"/>
                <w:szCs w:val="20"/>
                <w:shd w:val="clear" w:color="auto" w:fill="FFFFFF"/>
              </w:rPr>
              <m:t>ρ</m:t>
            </m:r>
          </m:e>
          <m:sub>
            <m:r>
              <w:rPr>
                <w:rFonts w:ascii="Cambria Math" w:eastAsiaTheme="minorEastAsia" w:hAnsi="Cambria Math" w:cs="Arial"/>
                <w:color w:val="212121"/>
                <w:sz w:val="20"/>
                <w:szCs w:val="20"/>
                <w:shd w:val="clear" w:color="auto" w:fill="FFFFFF"/>
              </w:rPr>
              <m:t>i</m:t>
            </m:r>
          </m:sub>
        </m:sSub>
      </m:oMath>
      <w:r w:rsidRPr="00EF7D21">
        <w:rPr>
          <w:rFonts w:ascii="Arial" w:eastAsiaTheme="minorEastAsia" w:hAnsi="Arial" w:cs="Arial"/>
          <w:color w:val="212121"/>
          <w:sz w:val="20"/>
          <w:szCs w:val="20"/>
          <w:shd w:val="clear" w:color="auto" w:fill="FFFFFF"/>
        </w:rPr>
        <w:t xml:space="preserve">= 0 for all </w:t>
      </w:r>
      <m:oMath>
        <m:r>
          <w:rPr>
            <w:rFonts w:ascii="Cambria Math" w:eastAsiaTheme="minorEastAsia" w:hAnsi="Cambria Math" w:cs="Arial"/>
            <w:color w:val="212121"/>
            <w:sz w:val="20"/>
            <w:szCs w:val="20"/>
            <w:shd w:val="clear" w:color="auto" w:fill="FFFFFF"/>
          </w:rPr>
          <m:t>i</m:t>
        </m:r>
      </m:oMath>
      <w:r w:rsidRPr="00EF7D21">
        <w:rPr>
          <w:rFonts w:ascii="Arial" w:eastAsiaTheme="minorEastAsia" w:hAnsi="Arial" w:cs="Arial"/>
          <w:iCs/>
          <w:color w:val="212121"/>
          <w:sz w:val="20"/>
          <w:szCs w:val="20"/>
          <w:shd w:val="clear" w:color="auto" w:fill="FFFFFF"/>
        </w:rPr>
        <w:t xml:space="preserve">} holds (i.e., there is no serial correlation of any order up to </w:t>
      </w:r>
      <m:oMath>
        <m:r>
          <w:rPr>
            <w:rFonts w:ascii="Cambria Math" w:eastAsiaTheme="minorEastAsia" w:hAnsi="Cambria Math" w:cs="Arial"/>
            <w:color w:val="212121"/>
            <w:sz w:val="20"/>
            <w:szCs w:val="20"/>
            <w:shd w:val="clear" w:color="auto" w:fill="FFFFFF"/>
          </w:rPr>
          <m:t>ρ</m:t>
        </m:r>
      </m:oMath>
      <w:r w:rsidRPr="00EF7D21">
        <w:rPr>
          <w:rFonts w:ascii="Arial" w:eastAsiaTheme="minorEastAsia" w:hAnsi="Arial" w:cs="Arial"/>
          <w:iCs/>
          <w:color w:val="212121"/>
          <w:sz w:val="20"/>
          <w:szCs w:val="20"/>
          <w:shd w:val="clear" w:color="auto" w:fill="FFFFFF"/>
        </w:rPr>
        <w:t xml:space="preserve">). Thus, </w:t>
      </w:r>
      <w:r w:rsidRPr="00EF7D21">
        <w:rPr>
          <w:rFonts w:ascii="Arial" w:eastAsiaTheme="minorEastAsia" w:hAnsi="Arial" w:cs="Arial"/>
          <w:i/>
          <w:color w:val="212121"/>
          <w:sz w:val="20"/>
          <w:szCs w:val="20"/>
          <w:shd w:val="clear" w:color="auto" w:fill="FFFFFF"/>
        </w:rPr>
        <w:t xml:space="preserve">n </w:t>
      </w:r>
      <w:r w:rsidRPr="00EF7D21">
        <w:rPr>
          <w:rFonts w:ascii="Arial" w:eastAsiaTheme="minorEastAsia" w:hAnsi="Arial" w:cs="Arial"/>
          <w:iCs/>
          <w:color w:val="212121"/>
          <w:sz w:val="20"/>
          <w:szCs w:val="20"/>
          <w:shd w:val="clear" w:color="auto" w:fill="FFFFFF"/>
        </w:rPr>
        <w:t xml:space="preserve">is the number of data-points available for the second regression, that for </w:t>
      </w:r>
      <m:oMath>
        <m:sSub>
          <m:sSubPr>
            <m:ctrlPr>
              <w:rPr>
                <w:rFonts w:ascii="Cambria Math" w:hAnsi="Cambria Math" w:cs="Arial"/>
                <w:i/>
                <w:sz w:val="20"/>
                <w:szCs w:val="20"/>
              </w:rPr>
            </m:ctrlPr>
          </m:sSubPr>
          <m:e>
            <m:acc>
              <m:accPr>
                <m:ctrlPr>
                  <w:rPr>
                    <w:rFonts w:ascii="Cambria Math" w:eastAsiaTheme="minorEastAsia" w:hAnsi="Cambria Math" w:cs="Arial"/>
                    <w:i/>
                    <w:color w:val="212121"/>
                    <w:sz w:val="20"/>
                    <w:szCs w:val="20"/>
                    <w:shd w:val="clear" w:color="auto" w:fill="FFFFFF"/>
                  </w:rPr>
                </m:ctrlPr>
              </m:accPr>
              <m:e>
                <m:r>
                  <w:rPr>
                    <w:rFonts w:ascii="Cambria Math" w:eastAsiaTheme="minorEastAsia" w:hAnsi="Cambria Math" w:cs="Arial"/>
                    <w:color w:val="212121"/>
                    <w:sz w:val="20"/>
                    <w:szCs w:val="20"/>
                    <w:shd w:val="clear" w:color="auto" w:fill="FFFFFF"/>
                  </w:rPr>
                  <m:t>μ</m:t>
                </m:r>
              </m:e>
            </m:acc>
          </m:e>
          <m:sub>
            <m:r>
              <w:rPr>
                <w:rFonts w:ascii="Cambria Math" w:hAnsi="Cambria Math" w:cs="Arial"/>
                <w:sz w:val="20"/>
                <w:szCs w:val="20"/>
              </w:rPr>
              <m:t>t</m:t>
            </m:r>
          </m:sub>
        </m:sSub>
      </m:oMath>
      <w:r w:rsidRPr="00EF7D21">
        <w:rPr>
          <w:rFonts w:ascii="Arial" w:eastAsiaTheme="minorEastAsia" w:hAnsi="Arial" w:cs="Arial"/>
          <w:sz w:val="20"/>
          <w:szCs w:val="20"/>
        </w:rPr>
        <w:t xml:space="preserve">, </w:t>
      </w:r>
    </w:p>
    <w:p w14:paraId="77627E6B" w14:textId="77777777" w:rsidR="00F41E4D" w:rsidRPr="00EF7D21" w:rsidRDefault="00F41E4D" w:rsidP="00F560D3">
      <w:pPr>
        <w:shd w:val="clear" w:color="auto" w:fill="FFFFFF"/>
        <w:spacing w:after="0" w:line="240" w:lineRule="auto"/>
        <w:jc w:val="both"/>
        <w:rPr>
          <w:rFonts w:ascii="Arial" w:eastAsiaTheme="minorEastAsia" w:hAnsi="Arial" w:cs="Arial"/>
          <w:iCs/>
          <w:color w:val="212121"/>
          <w:sz w:val="20"/>
          <w:szCs w:val="20"/>
          <w:shd w:val="clear" w:color="auto" w:fill="FFFFFF"/>
        </w:rPr>
      </w:pPr>
      <w:r w:rsidRPr="00EF7D21">
        <w:rPr>
          <w:rFonts w:ascii="Arial" w:eastAsiaTheme="minorEastAsia" w:hAnsi="Arial" w:cs="Arial"/>
          <w:i/>
          <w:color w:val="212121"/>
          <w:sz w:val="20"/>
          <w:szCs w:val="20"/>
          <w:shd w:val="clear" w:color="auto" w:fill="FFFFFF"/>
        </w:rPr>
        <w:t xml:space="preserve">n = </w:t>
      </w:r>
      <m:oMath>
        <m:r>
          <m:rPr>
            <m:sty m:val="p"/>
          </m:rPr>
          <w:rPr>
            <w:rFonts w:ascii="Cambria Math" w:eastAsiaTheme="minorEastAsia" w:hAnsi="Cambria Math" w:cs="Arial"/>
            <w:color w:val="212121"/>
            <w:sz w:val="20"/>
            <w:szCs w:val="20"/>
            <w:shd w:val="clear" w:color="auto" w:fill="FFFFFF"/>
          </w:rPr>
          <m:t>Τ</m:t>
        </m:r>
        <m:r>
          <w:rPr>
            <w:rFonts w:ascii="Cambria Math" w:eastAsiaTheme="minorEastAsia" w:hAnsi="Cambria Math" w:cs="Arial"/>
            <w:color w:val="212121"/>
            <w:sz w:val="20"/>
            <w:szCs w:val="20"/>
            <w:shd w:val="clear" w:color="auto" w:fill="FFFFFF"/>
          </w:rPr>
          <m:t xml:space="preserve">- </m:t>
        </m:r>
        <m:r>
          <m:rPr>
            <m:sty m:val="p"/>
          </m:rPr>
          <w:rPr>
            <w:rFonts w:ascii="Cambria Math" w:eastAsiaTheme="minorEastAsia" w:hAnsi="Cambria Math" w:cs="Arial"/>
            <w:color w:val="212121"/>
            <w:sz w:val="20"/>
            <w:szCs w:val="20"/>
            <w:shd w:val="clear" w:color="auto" w:fill="FFFFFF"/>
          </w:rPr>
          <m:t>ρ</m:t>
        </m:r>
      </m:oMath>
      <w:r w:rsidRPr="00EF7D21">
        <w:rPr>
          <w:rFonts w:ascii="Arial" w:eastAsiaTheme="minorEastAsia" w:hAnsi="Arial" w:cs="Arial"/>
          <w:i/>
          <w:color w:val="212121"/>
          <w:sz w:val="20"/>
          <w:szCs w:val="20"/>
          <w:shd w:val="clear" w:color="auto" w:fill="FFFFFF"/>
        </w:rPr>
        <w:t xml:space="preserve">, </w:t>
      </w:r>
    </w:p>
    <w:p w14:paraId="39D3F7A5" w14:textId="1B919B80" w:rsidR="00F41E4D" w:rsidRPr="00574F26" w:rsidRDefault="00F41E4D" w:rsidP="00574F26">
      <w:pPr>
        <w:shd w:val="clear" w:color="auto" w:fill="FFFFFF"/>
        <w:spacing w:after="0" w:line="240" w:lineRule="auto"/>
        <w:ind w:hanging="11"/>
        <w:jc w:val="both"/>
        <w:rPr>
          <w:rFonts w:ascii="Arial" w:eastAsiaTheme="minorEastAsia" w:hAnsi="Arial" w:cs="Arial"/>
          <w:color w:val="212121"/>
          <w:sz w:val="20"/>
          <w:szCs w:val="20"/>
          <w:shd w:val="clear" w:color="auto" w:fill="FFFFFF"/>
        </w:rPr>
      </w:pPr>
      <w:r w:rsidRPr="00EF7D21">
        <w:rPr>
          <w:rFonts w:ascii="Arial" w:eastAsiaTheme="minorEastAsia" w:hAnsi="Arial" w:cs="Arial"/>
          <w:i/>
          <w:color w:val="212121"/>
          <w:sz w:val="20"/>
          <w:szCs w:val="20"/>
          <w:shd w:val="clear" w:color="auto" w:fill="FFFFFF"/>
        </w:rPr>
        <w:t xml:space="preserve">whereby </w:t>
      </w:r>
      <m:oMath>
        <m:r>
          <m:rPr>
            <m:sty m:val="p"/>
          </m:rPr>
          <w:rPr>
            <w:rFonts w:ascii="Cambria Math" w:eastAsiaTheme="minorEastAsia" w:hAnsi="Cambria Math" w:cs="Arial"/>
            <w:color w:val="212121"/>
            <w:sz w:val="20"/>
            <w:szCs w:val="20"/>
            <w:shd w:val="clear" w:color="auto" w:fill="FFFFFF"/>
          </w:rPr>
          <m:t>Τ</m:t>
        </m:r>
      </m:oMath>
      <w:r w:rsidRPr="00EF7D21">
        <w:rPr>
          <w:rFonts w:ascii="Arial" w:eastAsiaTheme="minorEastAsia" w:hAnsi="Arial" w:cs="Arial"/>
          <w:iCs/>
          <w:color w:val="212121"/>
          <w:sz w:val="20"/>
          <w:szCs w:val="20"/>
          <w:shd w:val="clear" w:color="auto" w:fill="FFFFFF"/>
        </w:rPr>
        <w:t xml:space="preserve"> is the number of observations in the basic series. The value of </w:t>
      </w:r>
      <w:r w:rsidRPr="00EF7D21">
        <w:rPr>
          <w:rFonts w:ascii="Arial" w:eastAsiaTheme="minorEastAsia" w:hAnsi="Arial" w:cs="Arial"/>
          <w:i/>
          <w:color w:val="212121"/>
          <w:sz w:val="20"/>
          <w:szCs w:val="20"/>
          <w:shd w:val="clear" w:color="auto" w:fill="FFFFFF"/>
        </w:rPr>
        <w:t xml:space="preserve">n </w:t>
      </w:r>
      <w:r w:rsidRPr="00EF7D21">
        <w:rPr>
          <w:rFonts w:ascii="Arial" w:eastAsiaTheme="minorEastAsia" w:hAnsi="Arial" w:cs="Arial"/>
          <w:iCs/>
          <w:color w:val="212121"/>
          <w:sz w:val="20"/>
          <w:szCs w:val="20"/>
          <w:shd w:val="clear" w:color="auto" w:fill="FFFFFF"/>
        </w:rPr>
        <w:t>depends on the number of logs of the error term (</w:t>
      </w:r>
      <m:oMath>
        <m:r>
          <m:rPr>
            <m:sty m:val="p"/>
          </m:rPr>
          <w:rPr>
            <w:rFonts w:ascii="Cambria Math" w:eastAsiaTheme="minorEastAsia" w:hAnsi="Cambria Math" w:cs="Arial"/>
            <w:color w:val="212121"/>
            <w:sz w:val="20"/>
            <w:szCs w:val="20"/>
            <w:shd w:val="clear" w:color="auto" w:fill="FFFFFF"/>
          </w:rPr>
          <m:t>ρ).</m:t>
        </m:r>
      </m:oMath>
      <w:r>
        <w:rPr>
          <w:rFonts w:ascii="Arial" w:eastAsiaTheme="minorEastAsia" w:hAnsi="Arial" w:cs="Arial"/>
          <w:color w:val="212121"/>
          <w:sz w:val="20"/>
          <w:szCs w:val="20"/>
          <w:shd w:val="clear" w:color="auto" w:fill="FFFFFF"/>
        </w:rPr>
        <w:t xml:space="preserve"> </w:t>
      </w:r>
    </w:p>
  </w:footnote>
  <w:footnote w:id="68">
    <w:p w14:paraId="13D05A66" w14:textId="77777777" w:rsidR="00F41E4D" w:rsidRPr="009D5B6D" w:rsidRDefault="00F41E4D" w:rsidP="00F560D3">
      <w:pPr>
        <w:pStyle w:val="NoSpacing"/>
        <w:jc w:val="both"/>
        <w:rPr>
          <w:rFonts w:ascii="Arial" w:hAnsi="Arial" w:cs="Arial"/>
          <w:sz w:val="20"/>
          <w:szCs w:val="20"/>
        </w:rPr>
      </w:pPr>
      <w:r>
        <w:rPr>
          <w:rStyle w:val="FootnoteReference"/>
        </w:rPr>
        <w:footnoteRef/>
      </w:r>
      <w:r>
        <w:t xml:space="preserve"> </w:t>
      </w:r>
      <w:r w:rsidRPr="009D5B6D">
        <w:rPr>
          <w:rFonts w:ascii="Arial" w:hAnsi="Arial" w:cs="Arial"/>
          <w:sz w:val="20"/>
          <w:szCs w:val="20"/>
        </w:rPr>
        <w:t xml:space="preserve">We ca fit a three-variable multiple linear regression with formula </w:t>
      </w:r>
      <m:oMath>
        <m:sSub>
          <m:sSubPr>
            <m:ctrlPr>
              <w:rPr>
                <w:rFonts w:ascii="Cambria Math" w:hAnsi="Cambria Math" w:cs="Arial"/>
                <w:i/>
                <w:sz w:val="20"/>
                <w:szCs w:val="20"/>
              </w:rPr>
            </m:ctrlPr>
          </m:sSubPr>
          <m:e>
            <m:acc>
              <m:accPr>
                <m:ctrlPr>
                  <w:rPr>
                    <w:rFonts w:ascii="Cambria Math" w:hAnsi="Cambria Math" w:cs="Arial"/>
                    <w:i/>
                    <w:sz w:val="20"/>
                    <w:szCs w:val="20"/>
                  </w:rPr>
                </m:ctrlPr>
              </m:accPr>
              <m:e>
                <m:r>
                  <w:rPr>
                    <w:rFonts w:ascii="Cambria Math" w:hAnsi="Cambria Math" w:cs="Arial"/>
                    <w:sz w:val="20"/>
                    <w:szCs w:val="20"/>
                  </w:rPr>
                  <m:t>y</m:t>
                </m:r>
              </m:e>
            </m:acc>
          </m:e>
          <m:sub>
            <m:r>
              <w:rPr>
                <w:rFonts w:ascii="Cambria Math" w:hAnsi="Cambria Math" w:cs="Arial"/>
                <w:sz w:val="20"/>
                <w:szCs w:val="20"/>
              </w:rPr>
              <m:t>i</m:t>
            </m:r>
          </m:sub>
        </m:sSub>
        <m:r>
          <w:rPr>
            <w:rFonts w:ascii="Cambria Math" w:hAnsi="Cambria Math" w:cs="Arial"/>
            <w:sz w:val="20"/>
            <w:szCs w:val="20"/>
          </w:rPr>
          <m:t xml:space="preserve">= </m:t>
        </m:r>
        <m:sSub>
          <m:sSubPr>
            <m:ctrlPr>
              <w:rPr>
                <w:rFonts w:ascii="Cambria Math" w:hAnsi="Cambria Math" w:cs="Arial"/>
                <w:i/>
                <w:sz w:val="20"/>
                <w:szCs w:val="20"/>
              </w:rPr>
            </m:ctrlPr>
          </m:sSubPr>
          <m:e>
            <m:acc>
              <m:accPr>
                <m:ctrlPr>
                  <w:rPr>
                    <w:rFonts w:ascii="Cambria Math" w:hAnsi="Cambria Math" w:cs="Arial"/>
                    <w:i/>
                    <w:sz w:val="20"/>
                    <w:szCs w:val="20"/>
                  </w:rPr>
                </m:ctrlPr>
              </m:accPr>
              <m:e>
                <m:r>
                  <w:rPr>
                    <w:rFonts w:ascii="Cambria Math" w:hAnsi="Cambria Math" w:cs="Arial"/>
                    <w:sz w:val="20"/>
                    <w:szCs w:val="20"/>
                  </w:rPr>
                  <m:t>β</m:t>
                </m:r>
              </m:e>
            </m:acc>
          </m:e>
          <m:sub>
            <m:r>
              <w:rPr>
                <w:rFonts w:ascii="Cambria Math" w:hAnsi="Cambria Math" w:cs="Arial"/>
                <w:sz w:val="20"/>
                <w:szCs w:val="20"/>
              </w:rPr>
              <m:t>0</m:t>
            </m:r>
          </m:sub>
        </m:sSub>
        <m:sSub>
          <m:sSubPr>
            <m:ctrlPr>
              <w:rPr>
                <w:rFonts w:ascii="Cambria Math" w:hAnsi="Cambria Math" w:cs="Arial"/>
                <w:i/>
                <w:sz w:val="20"/>
                <w:szCs w:val="20"/>
              </w:rPr>
            </m:ctrlPr>
          </m:sSubPr>
          <m:e>
            <m:r>
              <w:rPr>
                <w:rFonts w:ascii="Cambria Math" w:hAnsi="Cambria Math" w:cs="Arial"/>
                <w:sz w:val="20"/>
                <w:szCs w:val="20"/>
              </w:rPr>
              <m:t>x</m:t>
            </m:r>
          </m:e>
          <m:sub>
            <m:r>
              <w:rPr>
                <w:rFonts w:ascii="Cambria Math" w:hAnsi="Cambria Math" w:cs="Arial"/>
                <w:sz w:val="20"/>
                <w:szCs w:val="20"/>
              </w:rPr>
              <m:t>1i</m:t>
            </m:r>
          </m:sub>
        </m:sSub>
        <m:r>
          <w:rPr>
            <w:rFonts w:ascii="Cambria Math" w:hAnsi="Cambria Math" w:cs="Arial"/>
            <w:sz w:val="20"/>
            <w:szCs w:val="20"/>
          </w:rPr>
          <m:t>+</m:t>
        </m:r>
        <m:sSub>
          <m:sSubPr>
            <m:ctrlPr>
              <w:rPr>
                <w:rFonts w:ascii="Cambria Math" w:hAnsi="Cambria Math" w:cs="Arial"/>
                <w:i/>
                <w:sz w:val="20"/>
                <w:szCs w:val="20"/>
              </w:rPr>
            </m:ctrlPr>
          </m:sSubPr>
          <m:e>
            <m:acc>
              <m:accPr>
                <m:ctrlPr>
                  <w:rPr>
                    <w:rFonts w:ascii="Cambria Math" w:hAnsi="Cambria Math" w:cs="Arial"/>
                    <w:i/>
                    <w:sz w:val="20"/>
                    <w:szCs w:val="20"/>
                  </w:rPr>
                </m:ctrlPr>
              </m:accPr>
              <m:e>
                <m:r>
                  <w:rPr>
                    <w:rFonts w:ascii="Cambria Math" w:hAnsi="Cambria Math" w:cs="Arial"/>
                    <w:sz w:val="20"/>
                    <w:szCs w:val="20"/>
                  </w:rPr>
                  <m:t>β</m:t>
                </m:r>
              </m:e>
            </m:acc>
          </m:e>
          <m:sub>
            <m:r>
              <w:rPr>
                <w:rFonts w:ascii="Cambria Math" w:hAnsi="Cambria Math" w:cs="Arial"/>
                <w:sz w:val="20"/>
                <w:szCs w:val="20"/>
              </w:rPr>
              <m:t>2</m:t>
            </m:r>
          </m:sub>
        </m:sSub>
        <m:sSub>
          <m:sSubPr>
            <m:ctrlPr>
              <w:rPr>
                <w:rFonts w:ascii="Cambria Math" w:hAnsi="Cambria Math" w:cs="Arial"/>
                <w:i/>
                <w:sz w:val="20"/>
                <w:szCs w:val="20"/>
              </w:rPr>
            </m:ctrlPr>
          </m:sSubPr>
          <m:e>
            <m:r>
              <w:rPr>
                <w:rFonts w:ascii="Cambria Math" w:hAnsi="Cambria Math" w:cs="Arial"/>
                <w:sz w:val="20"/>
                <w:szCs w:val="20"/>
              </w:rPr>
              <m:t>x</m:t>
            </m:r>
          </m:e>
          <m:sub>
            <m:r>
              <w:rPr>
                <w:rFonts w:ascii="Cambria Math" w:hAnsi="Cambria Math" w:cs="Arial"/>
                <w:sz w:val="20"/>
                <w:szCs w:val="20"/>
              </w:rPr>
              <m:t>2i</m:t>
            </m:r>
          </m:sub>
        </m:sSub>
      </m:oMath>
      <w:r w:rsidRPr="009D5B6D">
        <w:rPr>
          <w:rFonts w:ascii="Arial" w:hAnsi="Arial" w:cs="Arial"/>
          <w:sz w:val="20"/>
          <w:szCs w:val="20"/>
        </w:rPr>
        <w:t xml:space="preserve"> we obtain regression residuals </w:t>
      </w:r>
      <m:oMath>
        <m:sSub>
          <m:sSubPr>
            <m:ctrlPr>
              <w:rPr>
                <w:rFonts w:ascii="Cambria Math" w:hAnsi="Cambria Math" w:cs="Arial"/>
                <w:i/>
                <w:sz w:val="20"/>
                <w:szCs w:val="20"/>
              </w:rPr>
            </m:ctrlPr>
          </m:sSubPr>
          <m:e>
            <m:acc>
              <m:accPr>
                <m:ctrlPr>
                  <w:rPr>
                    <w:rFonts w:ascii="Cambria Math" w:hAnsi="Cambria Math" w:cs="Arial"/>
                    <w:i/>
                    <w:sz w:val="20"/>
                    <w:szCs w:val="20"/>
                  </w:rPr>
                </m:ctrlPr>
              </m:accPr>
              <m:e>
                <m:r>
                  <m:rPr>
                    <m:scr m:val="script"/>
                  </m:rPr>
                  <w:rPr>
                    <w:rFonts w:ascii="Cambria Math" w:hAnsi="Cambria Math" w:cs="Arial"/>
                    <w:sz w:val="20"/>
                    <w:szCs w:val="20"/>
                  </w:rPr>
                  <m:t>e</m:t>
                </m:r>
              </m:e>
            </m:acc>
          </m:e>
          <m:sub>
            <m:r>
              <w:rPr>
                <w:rFonts w:ascii="Cambria Math" w:hAnsi="Cambria Math" w:cs="Arial"/>
                <w:sz w:val="20"/>
                <w:szCs w:val="20"/>
              </w:rPr>
              <m:t>i</m:t>
            </m:r>
          </m:sub>
        </m:sSub>
      </m:oMath>
      <w:r w:rsidRPr="009D5B6D">
        <w:rPr>
          <w:rFonts w:ascii="Arial" w:hAnsi="Arial" w:cs="Arial"/>
          <w:sz w:val="20"/>
          <w:szCs w:val="20"/>
        </w:rPr>
        <w:t xml:space="preserve"> with formula </w:t>
      </w:r>
      <m:oMath>
        <m:sSub>
          <m:sSubPr>
            <m:ctrlPr>
              <w:rPr>
                <w:rFonts w:ascii="Cambria Math" w:hAnsi="Cambria Math" w:cs="Arial"/>
                <w:i/>
                <w:sz w:val="20"/>
                <w:szCs w:val="20"/>
              </w:rPr>
            </m:ctrlPr>
          </m:sSubPr>
          <m:e>
            <m:acc>
              <m:accPr>
                <m:ctrlPr>
                  <w:rPr>
                    <w:rFonts w:ascii="Cambria Math" w:hAnsi="Cambria Math" w:cs="Arial"/>
                    <w:i/>
                    <w:sz w:val="20"/>
                    <w:szCs w:val="20"/>
                  </w:rPr>
                </m:ctrlPr>
              </m:accPr>
              <m:e>
                <m:r>
                  <m:rPr>
                    <m:scr m:val="script"/>
                  </m:rPr>
                  <w:rPr>
                    <w:rFonts w:ascii="Cambria Math" w:hAnsi="Cambria Math" w:cs="Arial"/>
                    <w:sz w:val="20"/>
                    <w:szCs w:val="20"/>
                  </w:rPr>
                  <m:t>e</m:t>
                </m:r>
              </m:e>
            </m:acc>
          </m:e>
          <m:sub>
            <m:r>
              <w:rPr>
                <w:rFonts w:ascii="Cambria Math" w:hAnsi="Cambria Math" w:cs="Arial"/>
                <w:sz w:val="20"/>
                <w:szCs w:val="20"/>
              </w:rPr>
              <m:t>i</m:t>
            </m:r>
          </m:sub>
        </m:sSub>
      </m:oMath>
      <w:r w:rsidRPr="009D5B6D">
        <w:rPr>
          <w:rFonts w:ascii="Arial" w:hAnsi="Arial" w:cs="Arial"/>
          <w:sz w:val="20"/>
          <w:szCs w:val="20"/>
        </w:rPr>
        <w:t xml:space="preserve">= </w:t>
      </w:r>
      <m:oMath>
        <m:sSub>
          <m:sSubPr>
            <m:ctrlPr>
              <w:rPr>
                <w:rFonts w:ascii="Cambria Math" w:hAnsi="Cambria Math" w:cs="Arial"/>
                <w:i/>
                <w:sz w:val="20"/>
                <w:szCs w:val="20"/>
              </w:rPr>
            </m:ctrlPr>
          </m:sSubPr>
          <m:e>
            <m:r>
              <w:rPr>
                <w:rFonts w:ascii="Cambria Math" w:hAnsi="Cambria Math" w:cs="Arial"/>
                <w:sz w:val="20"/>
                <w:szCs w:val="20"/>
              </w:rPr>
              <m:t>y</m:t>
            </m:r>
          </m:e>
          <m:sub>
            <m:r>
              <w:rPr>
                <w:rFonts w:ascii="Cambria Math" w:hAnsi="Cambria Math" w:cs="Arial"/>
                <w:sz w:val="20"/>
                <w:szCs w:val="20"/>
              </w:rPr>
              <m:t>i</m:t>
            </m:r>
          </m:sub>
        </m:sSub>
        <m:r>
          <w:rPr>
            <w:rFonts w:ascii="Cambria Math" w:hAnsi="Cambria Math" w:cs="Arial"/>
            <w:sz w:val="20"/>
            <w:szCs w:val="20"/>
          </w:rPr>
          <m:t>-</m:t>
        </m:r>
        <m:sSub>
          <m:sSubPr>
            <m:ctrlPr>
              <w:rPr>
                <w:rFonts w:ascii="Cambria Math" w:hAnsi="Cambria Math" w:cs="Arial"/>
                <w:i/>
                <w:sz w:val="20"/>
                <w:szCs w:val="20"/>
              </w:rPr>
            </m:ctrlPr>
          </m:sSubPr>
          <m:e>
            <m:acc>
              <m:accPr>
                <m:ctrlPr>
                  <w:rPr>
                    <w:rFonts w:ascii="Cambria Math" w:hAnsi="Cambria Math" w:cs="Arial"/>
                    <w:i/>
                    <w:sz w:val="20"/>
                    <w:szCs w:val="20"/>
                  </w:rPr>
                </m:ctrlPr>
              </m:accPr>
              <m:e>
                <m:r>
                  <w:rPr>
                    <w:rFonts w:ascii="Cambria Math" w:hAnsi="Cambria Math" w:cs="Arial"/>
                    <w:sz w:val="20"/>
                    <w:szCs w:val="20"/>
                  </w:rPr>
                  <m:t>y</m:t>
                </m:r>
              </m:e>
            </m:acc>
          </m:e>
          <m:sub>
            <m:r>
              <w:rPr>
                <w:rFonts w:ascii="Cambria Math" w:hAnsi="Cambria Math" w:cs="Arial"/>
                <w:sz w:val="20"/>
                <w:szCs w:val="20"/>
              </w:rPr>
              <m:t>i</m:t>
            </m:r>
          </m:sub>
        </m:sSub>
      </m:oMath>
      <w:r w:rsidRPr="009D5B6D">
        <w:rPr>
          <w:rFonts w:ascii="Arial" w:hAnsi="Arial" w:cs="Arial"/>
          <w:sz w:val="20"/>
          <w:szCs w:val="20"/>
        </w:rPr>
        <w:t xml:space="preserve"> are the estimated differences between actual </w:t>
      </w:r>
      <m:oMath>
        <m:sSub>
          <m:sSubPr>
            <m:ctrlPr>
              <w:rPr>
                <w:rFonts w:ascii="Cambria Math" w:hAnsi="Cambria Math" w:cs="Arial"/>
                <w:i/>
                <w:sz w:val="20"/>
                <w:szCs w:val="20"/>
              </w:rPr>
            </m:ctrlPr>
          </m:sSubPr>
          <m:e>
            <m:r>
              <w:rPr>
                <w:rFonts w:ascii="Cambria Math" w:hAnsi="Cambria Math" w:cs="Arial"/>
                <w:sz w:val="20"/>
                <w:szCs w:val="20"/>
              </w:rPr>
              <m:t>y</m:t>
            </m:r>
          </m:e>
          <m:sub>
            <m:r>
              <w:rPr>
                <w:rFonts w:ascii="Cambria Math" w:hAnsi="Cambria Math" w:cs="Arial"/>
                <w:sz w:val="20"/>
                <w:szCs w:val="20"/>
              </w:rPr>
              <m:t>i</m:t>
            </m:r>
          </m:sub>
        </m:sSub>
      </m:oMath>
      <w:r w:rsidRPr="009D5B6D">
        <w:rPr>
          <w:rFonts w:ascii="Arial" w:hAnsi="Arial" w:cs="Arial"/>
          <w:sz w:val="20"/>
          <w:szCs w:val="20"/>
        </w:rPr>
        <w:t xml:space="preserve"> and fitted </w:t>
      </w:r>
      <m:oMath>
        <m:sSub>
          <m:sSubPr>
            <m:ctrlPr>
              <w:rPr>
                <w:rFonts w:ascii="Cambria Math" w:hAnsi="Cambria Math" w:cs="Arial"/>
                <w:i/>
                <w:sz w:val="20"/>
                <w:szCs w:val="20"/>
              </w:rPr>
            </m:ctrlPr>
          </m:sSubPr>
          <m:e>
            <m:acc>
              <m:accPr>
                <m:ctrlPr>
                  <w:rPr>
                    <w:rFonts w:ascii="Cambria Math" w:hAnsi="Cambria Math" w:cs="Arial"/>
                    <w:i/>
                    <w:sz w:val="20"/>
                    <w:szCs w:val="20"/>
                  </w:rPr>
                </m:ctrlPr>
              </m:accPr>
              <m:e>
                <m:r>
                  <w:rPr>
                    <w:rFonts w:ascii="Cambria Math" w:hAnsi="Cambria Math" w:cs="Arial"/>
                    <w:sz w:val="20"/>
                    <w:szCs w:val="20"/>
                  </w:rPr>
                  <m:t>y</m:t>
                </m:r>
              </m:e>
            </m:acc>
          </m:e>
          <m:sub>
            <m:r>
              <w:rPr>
                <w:rFonts w:ascii="Cambria Math" w:hAnsi="Cambria Math" w:cs="Arial"/>
                <w:sz w:val="20"/>
                <w:szCs w:val="20"/>
              </w:rPr>
              <m:t>i</m:t>
            </m:r>
          </m:sub>
        </m:sSub>
      </m:oMath>
      <w:r w:rsidRPr="009D5B6D">
        <w:rPr>
          <w:rFonts w:ascii="Arial" w:hAnsi="Arial" w:cs="Arial"/>
          <w:sz w:val="20"/>
          <w:szCs w:val="20"/>
        </w:rPr>
        <w:t xml:space="preserve"> values. </w:t>
      </w:r>
    </w:p>
    <w:p w14:paraId="3B28AC48" w14:textId="77777777" w:rsidR="00F41E4D" w:rsidRPr="009D5B6D" w:rsidRDefault="00F41E4D" w:rsidP="00F560D3">
      <w:pPr>
        <w:pStyle w:val="NoSpacing"/>
        <w:jc w:val="both"/>
        <w:rPr>
          <w:rFonts w:ascii="Arial" w:hAnsi="Arial" w:cs="Arial"/>
          <w:sz w:val="20"/>
          <w:szCs w:val="20"/>
        </w:rPr>
      </w:pPr>
      <w:r w:rsidRPr="009D5B6D">
        <w:rPr>
          <w:rFonts w:ascii="Arial" w:hAnsi="Arial" w:cs="Arial"/>
          <w:sz w:val="20"/>
          <w:szCs w:val="20"/>
        </w:rPr>
        <w:t xml:space="preserve">The Breusch-Pagan test auxiliary regression with formula </w:t>
      </w:r>
      <m:oMath>
        <m:sSubSup>
          <m:sSubSupPr>
            <m:ctrlPr>
              <w:rPr>
                <w:rFonts w:ascii="Cambria Math" w:hAnsi="Cambria Math" w:cs="Arial"/>
                <w:i/>
                <w:sz w:val="20"/>
                <w:szCs w:val="20"/>
              </w:rPr>
            </m:ctrlPr>
          </m:sSubSupPr>
          <m:e>
            <m:acc>
              <m:accPr>
                <m:ctrlPr>
                  <w:rPr>
                    <w:rFonts w:ascii="Cambria Math" w:hAnsi="Cambria Math" w:cs="Arial"/>
                    <w:i/>
                    <w:sz w:val="20"/>
                    <w:szCs w:val="20"/>
                  </w:rPr>
                </m:ctrlPr>
              </m:accPr>
              <m:e>
                <m:r>
                  <w:rPr>
                    <w:rFonts w:ascii="Cambria Math" w:hAnsi="Cambria Math" w:cs="Arial"/>
                    <w:sz w:val="20"/>
                    <w:szCs w:val="20"/>
                  </w:rPr>
                  <m:t>e</m:t>
                </m:r>
              </m:e>
            </m:acc>
          </m:e>
          <m:sub>
            <m:r>
              <w:rPr>
                <w:rFonts w:ascii="Cambria Math" w:hAnsi="Cambria Math" w:cs="Arial"/>
                <w:sz w:val="20"/>
                <w:szCs w:val="20"/>
              </w:rPr>
              <m:t>i</m:t>
            </m:r>
          </m:sub>
          <m:sup>
            <m:r>
              <w:rPr>
                <w:rFonts w:ascii="Cambria Math" w:hAnsi="Cambria Math" w:cs="Arial"/>
                <w:sz w:val="20"/>
                <w:szCs w:val="20"/>
              </w:rPr>
              <m:t>2</m:t>
            </m:r>
          </m:sup>
        </m:sSubSup>
        <m:r>
          <w:rPr>
            <w:rFonts w:ascii="Cambria Math" w:hAnsi="Cambria Math" w:cs="Arial"/>
            <w:sz w:val="20"/>
            <w:szCs w:val="20"/>
          </w:rPr>
          <m:t>=</m:t>
        </m:r>
        <m:sSub>
          <m:sSubPr>
            <m:ctrlPr>
              <w:rPr>
                <w:rFonts w:ascii="Cambria Math" w:hAnsi="Cambria Math" w:cs="Arial"/>
                <w:i/>
                <w:sz w:val="20"/>
                <w:szCs w:val="20"/>
              </w:rPr>
            </m:ctrlPr>
          </m:sSubPr>
          <m:e>
            <m:acc>
              <m:accPr>
                <m:ctrlPr>
                  <w:rPr>
                    <w:rFonts w:ascii="Cambria Math" w:hAnsi="Cambria Math" w:cs="Arial"/>
                    <w:i/>
                    <w:sz w:val="20"/>
                    <w:szCs w:val="20"/>
                  </w:rPr>
                </m:ctrlPr>
              </m:accPr>
              <m:e>
                <m:r>
                  <w:rPr>
                    <w:rFonts w:ascii="Cambria Math" w:hAnsi="Cambria Math" w:cs="Arial"/>
                    <w:sz w:val="20"/>
                    <w:szCs w:val="20"/>
                  </w:rPr>
                  <m:t>γ</m:t>
                </m:r>
              </m:e>
            </m:acc>
          </m:e>
          <m:sub>
            <m:r>
              <w:rPr>
                <w:rFonts w:ascii="Cambria Math" w:hAnsi="Cambria Math" w:cs="Arial"/>
                <w:sz w:val="20"/>
                <w:szCs w:val="20"/>
              </w:rPr>
              <m:t>0</m:t>
            </m:r>
          </m:sub>
        </m:sSub>
        <m:r>
          <w:rPr>
            <w:rFonts w:ascii="Cambria Math" w:hAnsi="Cambria Math" w:cs="Arial"/>
            <w:sz w:val="20"/>
            <w:szCs w:val="20"/>
          </w:rPr>
          <m:t>+</m:t>
        </m:r>
        <m:sSub>
          <m:sSubPr>
            <m:ctrlPr>
              <w:rPr>
                <w:rFonts w:ascii="Cambria Math" w:hAnsi="Cambria Math" w:cs="Arial"/>
                <w:i/>
                <w:sz w:val="20"/>
                <w:szCs w:val="20"/>
              </w:rPr>
            </m:ctrlPr>
          </m:sSubPr>
          <m:e>
            <m:acc>
              <m:accPr>
                <m:ctrlPr>
                  <w:rPr>
                    <w:rFonts w:ascii="Cambria Math" w:hAnsi="Cambria Math" w:cs="Arial"/>
                    <w:i/>
                    <w:sz w:val="20"/>
                    <w:szCs w:val="20"/>
                  </w:rPr>
                </m:ctrlPr>
              </m:accPr>
              <m:e>
                <m:r>
                  <w:rPr>
                    <w:rFonts w:ascii="Cambria Math" w:hAnsi="Cambria Math" w:cs="Arial"/>
                    <w:sz w:val="20"/>
                    <w:szCs w:val="20"/>
                  </w:rPr>
                  <m:t>γ</m:t>
                </m:r>
              </m:e>
            </m:acc>
          </m:e>
          <m:sub>
            <m:r>
              <w:rPr>
                <w:rFonts w:ascii="Cambria Math" w:hAnsi="Cambria Math" w:cs="Arial"/>
                <w:sz w:val="20"/>
                <w:szCs w:val="20"/>
              </w:rPr>
              <m:t>1</m:t>
            </m:r>
          </m:sub>
        </m:sSub>
        <m:sSub>
          <m:sSubPr>
            <m:ctrlPr>
              <w:rPr>
                <w:rFonts w:ascii="Cambria Math" w:hAnsi="Cambria Math" w:cs="Arial"/>
                <w:i/>
                <w:sz w:val="20"/>
                <w:szCs w:val="20"/>
              </w:rPr>
            </m:ctrlPr>
          </m:sSubPr>
          <m:e>
            <m:r>
              <w:rPr>
                <w:rFonts w:ascii="Cambria Math" w:hAnsi="Cambria Math" w:cs="Arial"/>
                <w:sz w:val="20"/>
                <w:szCs w:val="20"/>
              </w:rPr>
              <m:t>x</m:t>
            </m:r>
          </m:e>
          <m:sub>
            <m:r>
              <w:rPr>
                <w:rFonts w:ascii="Cambria Math" w:hAnsi="Cambria Math" w:cs="Arial"/>
                <w:sz w:val="20"/>
                <w:szCs w:val="20"/>
              </w:rPr>
              <m:t>1i</m:t>
            </m:r>
          </m:sub>
        </m:sSub>
        <m:r>
          <w:rPr>
            <w:rFonts w:ascii="Cambria Math" w:hAnsi="Cambria Math" w:cs="Arial"/>
            <w:sz w:val="20"/>
            <w:szCs w:val="20"/>
          </w:rPr>
          <m:t>+</m:t>
        </m:r>
        <m:sSub>
          <m:sSubPr>
            <m:ctrlPr>
              <w:rPr>
                <w:rFonts w:ascii="Cambria Math" w:hAnsi="Cambria Math" w:cs="Arial"/>
                <w:i/>
                <w:sz w:val="20"/>
                <w:szCs w:val="20"/>
              </w:rPr>
            </m:ctrlPr>
          </m:sSubPr>
          <m:e>
            <m:acc>
              <m:accPr>
                <m:ctrlPr>
                  <w:rPr>
                    <w:rFonts w:ascii="Cambria Math" w:hAnsi="Cambria Math" w:cs="Arial"/>
                    <w:i/>
                    <w:sz w:val="20"/>
                    <w:szCs w:val="20"/>
                  </w:rPr>
                </m:ctrlPr>
              </m:accPr>
              <m:e>
                <m:r>
                  <w:rPr>
                    <w:rFonts w:ascii="Cambria Math" w:hAnsi="Cambria Math" w:cs="Arial"/>
                    <w:sz w:val="20"/>
                    <w:szCs w:val="20"/>
                  </w:rPr>
                  <m:t>γ</m:t>
                </m:r>
              </m:e>
            </m:acc>
          </m:e>
          <m:sub>
            <m:r>
              <w:rPr>
                <w:rFonts w:ascii="Cambria Math" w:hAnsi="Cambria Math" w:cs="Arial"/>
                <w:sz w:val="20"/>
                <w:szCs w:val="20"/>
              </w:rPr>
              <m:t>2</m:t>
            </m:r>
          </m:sub>
        </m:sSub>
        <m:sSub>
          <m:sSubPr>
            <m:ctrlPr>
              <w:rPr>
                <w:rFonts w:ascii="Cambria Math" w:hAnsi="Cambria Math" w:cs="Arial"/>
                <w:i/>
                <w:sz w:val="20"/>
                <w:szCs w:val="20"/>
              </w:rPr>
            </m:ctrlPr>
          </m:sSubPr>
          <m:e>
            <m:r>
              <w:rPr>
                <w:rFonts w:ascii="Cambria Math" w:hAnsi="Cambria Math" w:cs="Arial"/>
                <w:sz w:val="20"/>
                <w:szCs w:val="20"/>
              </w:rPr>
              <m:t>x</m:t>
            </m:r>
          </m:e>
          <m:sub>
            <m:r>
              <w:rPr>
                <w:rFonts w:ascii="Cambria Math" w:hAnsi="Cambria Math" w:cs="Arial"/>
                <w:sz w:val="20"/>
                <w:szCs w:val="20"/>
              </w:rPr>
              <m:t>2i</m:t>
            </m:r>
          </m:sub>
        </m:sSub>
      </m:oMath>
    </w:p>
    <w:p w14:paraId="22662CF6" w14:textId="77777777" w:rsidR="00F41E4D" w:rsidRPr="009D5B6D" w:rsidRDefault="00F41E4D" w:rsidP="00F560D3">
      <w:pPr>
        <w:pStyle w:val="NoSpacing"/>
        <w:jc w:val="both"/>
        <w:rPr>
          <w:rFonts w:ascii="Arial" w:hAnsi="Arial" w:cs="Arial"/>
          <w:sz w:val="20"/>
          <w:szCs w:val="20"/>
        </w:rPr>
      </w:pPr>
      <w:r w:rsidRPr="009D5B6D">
        <w:rPr>
          <w:rFonts w:ascii="Arial" w:hAnsi="Arial" w:cs="Arial"/>
          <w:sz w:val="20"/>
          <w:szCs w:val="20"/>
        </w:rPr>
        <w:t xml:space="preserve">The </w:t>
      </w:r>
      <w:r w:rsidRPr="009D5B6D">
        <w:rPr>
          <w:rFonts w:ascii="Arial" w:hAnsi="Arial" w:cs="Arial"/>
          <w:i/>
          <w:sz w:val="20"/>
          <w:szCs w:val="20"/>
        </w:rPr>
        <w:t xml:space="preserve">chi-square test </w:t>
      </w:r>
      <w:r w:rsidRPr="009D5B6D">
        <w:rPr>
          <w:rFonts w:ascii="Arial" w:hAnsi="Arial" w:cs="Arial"/>
          <w:sz w:val="20"/>
          <w:szCs w:val="20"/>
        </w:rPr>
        <w:t xml:space="preserve">with joint null hypothesis that independent variables coefficients are equal to zero with formula </w:t>
      </w:r>
      <m:oMath>
        <m:sSub>
          <m:sSubPr>
            <m:ctrlPr>
              <w:rPr>
                <w:rFonts w:ascii="Cambria Math" w:hAnsi="Cambria Math" w:cs="Arial"/>
                <w:i/>
                <w:sz w:val="20"/>
                <w:szCs w:val="20"/>
              </w:rPr>
            </m:ctrlPr>
          </m:sSubPr>
          <m:e>
            <m:r>
              <w:rPr>
                <w:rFonts w:ascii="Cambria Math" w:hAnsi="Cambria Math" w:cs="Arial"/>
                <w:sz w:val="20"/>
                <w:szCs w:val="20"/>
              </w:rPr>
              <m:t>H</m:t>
            </m:r>
          </m:e>
          <m:sub>
            <m:r>
              <m:rPr>
                <m:sty m:val="p"/>
              </m:rPr>
              <w:rPr>
                <w:rFonts w:ascii="Cambria Math" w:hAnsi="Cambria Math" w:cs="Arial"/>
                <w:sz w:val="20"/>
                <w:szCs w:val="20"/>
              </w:rPr>
              <m:t>0</m:t>
            </m:r>
          </m:sub>
        </m:sSub>
        <m:r>
          <w:rPr>
            <w:rFonts w:ascii="Cambria Math" w:hAnsi="Cambria Math" w:cs="Arial"/>
            <w:sz w:val="20"/>
            <w:szCs w:val="20"/>
          </w:rPr>
          <m:t xml:space="preserve">: </m:t>
        </m:r>
        <m:sSub>
          <m:sSubPr>
            <m:ctrlPr>
              <w:rPr>
                <w:rFonts w:ascii="Cambria Math" w:hAnsi="Cambria Math" w:cs="Arial"/>
                <w:i/>
                <w:sz w:val="20"/>
                <w:szCs w:val="20"/>
              </w:rPr>
            </m:ctrlPr>
          </m:sSubPr>
          <m:e>
            <m:acc>
              <m:accPr>
                <m:ctrlPr>
                  <w:rPr>
                    <w:rFonts w:ascii="Cambria Math" w:hAnsi="Cambria Math" w:cs="Arial"/>
                    <w:i/>
                    <w:sz w:val="20"/>
                    <w:szCs w:val="20"/>
                  </w:rPr>
                </m:ctrlPr>
              </m:accPr>
              <m:e>
                <m:r>
                  <w:rPr>
                    <w:rFonts w:ascii="Cambria Math" w:hAnsi="Cambria Math" w:cs="Arial"/>
                    <w:sz w:val="20"/>
                    <w:szCs w:val="20"/>
                  </w:rPr>
                  <m:t>γ</m:t>
                </m:r>
              </m:e>
            </m:acc>
          </m:e>
          <m:sub>
            <m:r>
              <w:rPr>
                <w:rFonts w:ascii="Cambria Math" w:hAnsi="Cambria Math" w:cs="Arial"/>
                <w:sz w:val="20"/>
                <w:szCs w:val="20"/>
              </w:rPr>
              <m:t>1</m:t>
            </m:r>
          </m:sub>
        </m:sSub>
        <m:r>
          <w:rPr>
            <w:rFonts w:ascii="Cambria Math" w:hAnsi="Cambria Math" w:cs="Arial"/>
            <w:sz w:val="20"/>
            <w:szCs w:val="20"/>
          </w:rPr>
          <m:t>=</m:t>
        </m:r>
        <m:sSub>
          <m:sSubPr>
            <m:ctrlPr>
              <w:rPr>
                <w:rFonts w:ascii="Cambria Math" w:hAnsi="Cambria Math" w:cs="Arial"/>
                <w:i/>
                <w:sz w:val="20"/>
                <w:szCs w:val="20"/>
              </w:rPr>
            </m:ctrlPr>
          </m:sSubPr>
          <m:e>
            <m:acc>
              <m:accPr>
                <m:ctrlPr>
                  <w:rPr>
                    <w:rFonts w:ascii="Cambria Math" w:hAnsi="Cambria Math" w:cs="Arial"/>
                    <w:i/>
                    <w:sz w:val="20"/>
                    <w:szCs w:val="20"/>
                  </w:rPr>
                </m:ctrlPr>
              </m:accPr>
              <m:e>
                <m:r>
                  <w:rPr>
                    <w:rFonts w:ascii="Cambria Math" w:hAnsi="Cambria Math" w:cs="Arial"/>
                    <w:sz w:val="20"/>
                    <w:szCs w:val="20"/>
                  </w:rPr>
                  <m:t>γ</m:t>
                </m:r>
              </m:e>
            </m:acc>
          </m:e>
          <m:sub>
            <m:r>
              <w:rPr>
                <w:rFonts w:ascii="Cambria Math" w:hAnsi="Cambria Math" w:cs="Arial"/>
                <w:sz w:val="20"/>
                <w:szCs w:val="20"/>
              </w:rPr>
              <m:t>2</m:t>
            </m:r>
          </m:sub>
        </m:sSub>
        <m:r>
          <w:rPr>
            <w:rFonts w:ascii="Cambria Math" w:hAnsi="Cambria Math" w:cs="Arial"/>
            <w:sz w:val="20"/>
            <w:szCs w:val="20"/>
          </w:rPr>
          <m:t>=0</m:t>
        </m:r>
      </m:oMath>
      <w:r w:rsidRPr="009D5B6D">
        <w:rPr>
          <w:rFonts w:ascii="Arial" w:hAnsi="Arial" w:cs="Arial"/>
          <w:sz w:val="20"/>
          <w:szCs w:val="20"/>
        </w:rPr>
        <w:t xml:space="preserve">. If joint null hypothesis is rejected, then regression errors are assumed heteroskedastic. </w:t>
      </w:r>
    </w:p>
    <w:p w14:paraId="44D794EF" w14:textId="77777777" w:rsidR="00F41E4D" w:rsidRDefault="00F41E4D" w:rsidP="00F560D3">
      <w:pPr>
        <w:pStyle w:val="FootnoteText"/>
      </w:pPr>
    </w:p>
  </w:footnote>
  <w:footnote w:id="69">
    <w:p w14:paraId="3B538D95" w14:textId="114CEFFD" w:rsidR="00F41E4D" w:rsidRPr="00272AC8" w:rsidRDefault="00F41E4D" w:rsidP="00B357C8">
      <w:pPr>
        <w:spacing w:after="0" w:line="240" w:lineRule="auto"/>
        <w:jc w:val="both"/>
        <w:rPr>
          <w:rFonts w:ascii="Arial" w:eastAsiaTheme="minorEastAsia" w:hAnsi="Arial" w:cs="Arial"/>
          <w:i/>
          <w:iCs/>
          <w:sz w:val="20"/>
          <w:szCs w:val="20"/>
        </w:rPr>
      </w:pPr>
      <w:r w:rsidRPr="00272AC8">
        <w:rPr>
          <w:rStyle w:val="FootnoteReference"/>
          <w:i/>
          <w:iCs/>
        </w:rPr>
        <w:footnoteRef/>
      </w:r>
      <w:r w:rsidRPr="00272AC8">
        <w:rPr>
          <w:i/>
          <w:iCs/>
        </w:rPr>
        <w:t xml:space="preserve"> </w:t>
      </w:r>
      <w:r w:rsidRPr="00272AC8">
        <w:rPr>
          <w:rFonts w:ascii="Arial" w:eastAsiaTheme="minorEastAsia" w:hAnsi="Arial" w:cs="Arial"/>
          <w:i/>
          <w:iCs/>
          <w:sz w:val="20"/>
          <w:szCs w:val="20"/>
        </w:rPr>
        <w:t>The CUSUM charts are constructed by calculating and plotting a cumulative sum based on the data. Let X</w:t>
      </w:r>
      <w:r w:rsidRPr="00272AC8">
        <w:rPr>
          <w:rFonts w:ascii="Arial" w:eastAsiaTheme="minorEastAsia" w:hAnsi="Arial" w:cs="Arial"/>
          <w:i/>
          <w:iCs/>
          <w:sz w:val="20"/>
          <w:szCs w:val="20"/>
          <w:vertAlign w:val="subscript"/>
        </w:rPr>
        <w:t>1</w:t>
      </w:r>
      <w:r w:rsidRPr="00272AC8">
        <w:rPr>
          <w:rFonts w:ascii="Arial" w:eastAsiaTheme="minorEastAsia" w:hAnsi="Arial" w:cs="Arial"/>
          <w:i/>
          <w:iCs/>
          <w:sz w:val="20"/>
          <w:szCs w:val="20"/>
        </w:rPr>
        <w:t>, X</w:t>
      </w:r>
      <w:r w:rsidRPr="00272AC8">
        <w:rPr>
          <w:rFonts w:ascii="Arial" w:eastAsiaTheme="minorEastAsia" w:hAnsi="Arial" w:cs="Arial"/>
          <w:i/>
          <w:iCs/>
          <w:sz w:val="20"/>
          <w:szCs w:val="20"/>
          <w:vertAlign w:val="subscript"/>
        </w:rPr>
        <w:t>2</w:t>
      </w:r>
      <w:r w:rsidRPr="00272AC8">
        <w:rPr>
          <w:rFonts w:ascii="Arial" w:eastAsiaTheme="minorEastAsia" w:hAnsi="Arial" w:cs="Arial"/>
          <w:i/>
          <w:iCs/>
          <w:sz w:val="20"/>
          <w:szCs w:val="20"/>
        </w:rPr>
        <w:t xml:space="preserve">, </w:t>
      </w:r>
      <w:r w:rsidR="00BB770B" w:rsidRPr="00272AC8">
        <w:rPr>
          <w:rFonts w:ascii="Arial" w:eastAsiaTheme="minorEastAsia" w:hAnsi="Arial" w:cs="Arial"/>
          <w:i/>
          <w:iCs/>
          <w:sz w:val="20"/>
          <w:szCs w:val="20"/>
        </w:rPr>
        <w:t>. . ..</w:t>
      </w:r>
      <w:r w:rsidRPr="00272AC8">
        <w:rPr>
          <w:rFonts w:ascii="Arial" w:eastAsiaTheme="minorEastAsia" w:hAnsi="Arial" w:cs="Arial"/>
          <w:i/>
          <w:iCs/>
          <w:sz w:val="20"/>
          <w:szCs w:val="20"/>
        </w:rPr>
        <w:t xml:space="preserve"> ,X</w:t>
      </w:r>
      <w:r w:rsidRPr="00272AC8">
        <w:rPr>
          <w:rFonts w:ascii="Arial" w:eastAsiaTheme="minorEastAsia" w:hAnsi="Arial" w:cs="Arial"/>
          <w:i/>
          <w:iCs/>
          <w:sz w:val="20"/>
          <w:szCs w:val="20"/>
          <w:vertAlign w:val="subscript"/>
        </w:rPr>
        <w:t xml:space="preserve">n </w:t>
      </w:r>
      <w:r w:rsidRPr="00272AC8">
        <w:rPr>
          <w:rFonts w:ascii="Arial" w:eastAsiaTheme="minorEastAsia" w:hAnsi="Arial" w:cs="Arial"/>
          <w:i/>
          <w:iCs/>
          <w:sz w:val="20"/>
          <w:szCs w:val="20"/>
        </w:rPr>
        <w:t>represent n</w:t>
      </w:r>
      <w:r w:rsidRPr="00272AC8">
        <w:rPr>
          <w:rFonts w:ascii="Arial" w:eastAsiaTheme="minorEastAsia" w:hAnsi="Arial" w:cs="Arial"/>
          <w:i/>
          <w:iCs/>
          <w:sz w:val="20"/>
          <w:szCs w:val="20"/>
          <w:vertAlign w:val="superscript"/>
        </w:rPr>
        <w:t xml:space="preserve">th </w:t>
      </w:r>
      <w:r w:rsidRPr="00272AC8">
        <w:rPr>
          <w:rFonts w:ascii="Arial" w:eastAsiaTheme="minorEastAsia" w:hAnsi="Arial" w:cs="Arial"/>
          <w:i/>
          <w:iCs/>
          <w:sz w:val="20"/>
          <w:szCs w:val="20"/>
        </w:rPr>
        <w:t>data points. From this, the sums S</w:t>
      </w:r>
      <w:r w:rsidRPr="00272AC8">
        <w:rPr>
          <w:rFonts w:ascii="Arial" w:eastAsiaTheme="minorEastAsia" w:hAnsi="Arial" w:cs="Arial"/>
          <w:i/>
          <w:iCs/>
          <w:sz w:val="20"/>
          <w:szCs w:val="20"/>
          <w:vertAlign w:val="subscript"/>
        </w:rPr>
        <w:t>0</w:t>
      </w:r>
      <w:r w:rsidRPr="00272AC8">
        <w:rPr>
          <w:rFonts w:ascii="Arial" w:eastAsiaTheme="minorEastAsia" w:hAnsi="Arial" w:cs="Arial"/>
          <w:i/>
          <w:iCs/>
          <w:sz w:val="20"/>
          <w:szCs w:val="20"/>
        </w:rPr>
        <w:t>, S</w:t>
      </w:r>
      <w:r w:rsidRPr="00272AC8">
        <w:rPr>
          <w:rFonts w:ascii="Arial" w:eastAsiaTheme="minorEastAsia" w:hAnsi="Arial" w:cs="Arial"/>
          <w:i/>
          <w:iCs/>
          <w:sz w:val="20"/>
          <w:szCs w:val="20"/>
          <w:vertAlign w:val="subscript"/>
        </w:rPr>
        <w:t>1</w:t>
      </w:r>
      <w:r w:rsidRPr="00272AC8">
        <w:rPr>
          <w:rFonts w:ascii="Arial" w:eastAsiaTheme="minorEastAsia" w:hAnsi="Arial" w:cs="Arial"/>
          <w:i/>
          <w:iCs/>
          <w:sz w:val="20"/>
          <w:szCs w:val="20"/>
        </w:rPr>
        <w:t>, . . . . , S</w:t>
      </w:r>
      <w:r w:rsidRPr="00272AC8">
        <w:rPr>
          <w:rFonts w:ascii="Arial" w:eastAsiaTheme="minorEastAsia" w:hAnsi="Arial" w:cs="Arial"/>
          <w:i/>
          <w:iCs/>
          <w:sz w:val="20"/>
          <w:szCs w:val="20"/>
          <w:vertAlign w:val="subscript"/>
        </w:rPr>
        <w:t>n</w:t>
      </w:r>
      <w:r w:rsidRPr="00272AC8">
        <w:rPr>
          <w:rFonts w:ascii="Arial" w:eastAsiaTheme="minorEastAsia" w:hAnsi="Arial" w:cs="Arial"/>
          <w:i/>
          <w:iCs/>
          <w:sz w:val="20"/>
          <w:szCs w:val="20"/>
        </w:rPr>
        <w:t xml:space="preserve"> are calculated. The n data points lead to n + 1 (0 through n) sums. The cumulative sums are calculated as follows: </w:t>
      </w:r>
    </w:p>
    <w:p w14:paraId="0F6B56C9" w14:textId="77777777" w:rsidR="00F41E4D" w:rsidRPr="00272AC8" w:rsidRDefault="00F41E4D" w:rsidP="00B357C8">
      <w:pPr>
        <w:spacing w:after="0" w:line="240" w:lineRule="auto"/>
        <w:jc w:val="both"/>
        <w:rPr>
          <w:rFonts w:ascii="Arial" w:eastAsiaTheme="minorEastAsia" w:hAnsi="Arial" w:cs="Arial"/>
          <w:i/>
          <w:iCs/>
          <w:sz w:val="20"/>
          <w:szCs w:val="20"/>
        </w:rPr>
      </w:pPr>
      <w:r w:rsidRPr="00272AC8">
        <w:rPr>
          <w:rFonts w:ascii="Arial" w:eastAsiaTheme="minorEastAsia" w:hAnsi="Arial" w:cs="Arial"/>
          <w:i/>
          <w:iCs/>
          <w:sz w:val="20"/>
          <w:szCs w:val="20"/>
        </w:rPr>
        <w:t xml:space="preserve">Calculate the average: </w:t>
      </w:r>
    </w:p>
    <w:p w14:paraId="23ED25B4" w14:textId="5DF7900C" w:rsidR="00F41E4D" w:rsidRPr="00272AC8" w:rsidRDefault="00000000" w:rsidP="00B357C8">
      <w:pPr>
        <w:spacing w:after="0" w:line="240" w:lineRule="auto"/>
        <w:jc w:val="both"/>
        <w:rPr>
          <w:rFonts w:ascii="Arial" w:eastAsiaTheme="minorEastAsia" w:hAnsi="Arial" w:cs="Arial"/>
          <w:i/>
          <w:iCs/>
          <w:sz w:val="20"/>
          <w:szCs w:val="20"/>
          <w:vertAlign w:val="subscript"/>
        </w:rPr>
      </w:pPr>
      <m:oMathPara>
        <m:oMath>
          <m:bar>
            <m:barPr>
              <m:pos m:val="top"/>
              <m:ctrlPr>
                <w:rPr>
                  <w:rFonts w:ascii="Cambria Math" w:eastAsiaTheme="minorEastAsia" w:hAnsi="Cambria Math" w:cs="Arial"/>
                  <w:i/>
                  <w:iCs/>
                  <w:sz w:val="20"/>
                  <w:szCs w:val="20"/>
                  <w:vertAlign w:val="subscript"/>
                </w:rPr>
              </m:ctrlPr>
            </m:barPr>
            <m:e>
              <m:r>
                <w:rPr>
                  <w:rFonts w:ascii="Cambria Math" w:eastAsiaTheme="minorEastAsia" w:hAnsi="Cambria Math" w:cs="Arial"/>
                  <w:sz w:val="20"/>
                  <w:szCs w:val="20"/>
                  <w:vertAlign w:val="subscript"/>
                </w:rPr>
                <m:t>X</m:t>
              </m:r>
            </m:e>
          </m:bar>
          <m:r>
            <w:rPr>
              <w:rFonts w:ascii="Cambria Math" w:eastAsiaTheme="minorEastAsia" w:hAnsi="Cambria Math" w:cs="Arial"/>
              <w:sz w:val="20"/>
              <w:szCs w:val="20"/>
              <w:vertAlign w:val="subscript"/>
            </w:rPr>
            <m:t>=</m:t>
          </m:r>
          <m:f>
            <m:fPr>
              <m:ctrlPr>
                <w:rPr>
                  <w:rFonts w:ascii="Cambria Math" w:eastAsiaTheme="minorEastAsia" w:hAnsi="Cambria Math" w:cs="Arial"/>
                  <w:i/>
                  <w:iCs/>
                  <w:sz w:val="20"/>
                  <w:szCs w:val="20"/>
                  <w:vertAlign w:val="subscript"/>
                </w:rPr>
              </m:ctrlPr>
            </m:fPr>
            <m:num>
              <m:sSub>
                <m:sSubPr>
                  <m:ctrlPr>
                    <w:rPr>
                      <w:rFonts w:ascii="Cambria Math" w:eastAsiaTheme="minorEastAsia" w:hAnsi="Cambria Math" w:cs="Arial"/>
                      <w:i/>
                      <w:iCs/>
                      <w:sz w:val="20"/>
                      <w:szCs w:val="20"/>
                      <w:vertAlign w:val="subscript"/>
                    </w:rPr>
                  </m:ctrlPr>
                </m:sSubPr>
                <m:e>
                  <m:r>
                    <w:rPr>
                      <w:rFonts w:ascii="Cambria Math" w:eastAsiaTheme="minorEastAsia" w:hAnsi="Cambria Math" w:cs="Arial"/>
                      <w:sz w:val="20"/>
                      <w:szCs w:val="20"/>
                      <w:vertAlign w:val="subscript"/>
                    </w:rPr>
                    <m:t>X</m:t>
                  </m:r>
                </m:e>
                <m:sub>
                  <m:r>
                    <w:rPr>
                      <w:rFonts w:ascii="Cambria Math" w:eastAsiaTheme="minorEastAsia" w:hAnsi="Cambria Math" w:cs="Arial"/>
                      <w:sz w:val="20"/>
                      <w:szCs w:val="20"/>
                      <w:vertAlign w:val="subscript"/>
                    </w:rPr>
                    <m:t>1</m:t>
                  </m:r>
                </m:sub>
              </m:sSub>
              <m:r>
                <w:rPr>
                  <w:rFonts w:ascii="Cambria Math" w:eastAsiaTheme="minorEastAsia" w:hAnsi="Cambria Math" w:cs="Arial"/>
                  <w:sz w:val="20"/>
                  <w:szCs w:val="20"/>
                  <w:vertAlign w:val="subscript"/>
                </w:rPr>
                <m:t>+</m:t>
              </m:r>
              <m:sSub>
                <m:sSubPr>
                  <m:ctrlPr>
                    <w:rPr>
                      <w:rFonts w:ascii="Cambria Math" w:eastAsiaTheme="minorEastAsia" w:hAnsi="Cambria Math" w:cs="Arial"/>
                      <w:i/>
                      <w:iCs/>
                      <w:sz w:val="20"/>
                      <w:szCs w:val="20"/>
                      <w:vertAlign w:val="subscript"/>
                    </w:rPr>
                  </m:ctrlPr>
                </m:sSubPr>
                <m:e>
                  <m:r>
                    <w:rPr>
                      <w:rFonts w:ascii="Cambria Math" w:eastAsiaTheme="minorEastAsia" w:hAnsi="Cambria Math" w:cs="Arial"/>
                      <w:sz w:val="20"/>
                      <w:szCs w:val="20"/>
                      <w:vertAlign w:val="subscript"/>
                    </w:rPr>
                    <m:t>X</m:t>
                  </m:r>
                </m:e>
                <m:sub>
                  <m:r>
                    <w:rPr>
                      <w:rFonts w:ascii="Cambria Math" w:eastAsiaTheme="minorEastAsia" w:hAnsi="Cambria Math" w:cs="Arial"/>
                      <w:sz w:val="20"/>
                      <w:szCs w:val="20"/>
                      <w:vertAlign w:val="subscript"/>
                    </w:rPr>
                    <m:t>2</m:t>
                  </m:r>
                </m:sub>
              </m:sSub>
              <m:r>
                <w:rPr>
                  <w:rFonts w:ascii="Cambria Math" w:eastAsiaTheme="minorEastAsia" w:hAnsi="Cambria Math" w:cs="Arial"/>
                  <w:sz w:val="20"/>
                  <w:szCs w:val="20"/>
                  <w:vertAlign w:val="subscript"/>
                </w:rPr>
                <m:t>+. . . .+</m:t>
              </m:r>
              <m:sSub>
                <m:sSubPr>
                  <m:ctrlPr>
                    <w:rPr>
                      <w:rFonts w:ascii="Cambria Math" w:eastAsiaTheme="minorEastAsia" w:hAnsi="Cambria Math" w:cs="Arial"/>
                      <w:i/>
                      <w:iCs/>
                      <w:sz w:val="20"/>
                      <w:szCs w:val="20"/>
                      <w:vertAlign w:val="subscript"/>
                    </w:rPr>
                  </m:ctrlPr>
                </m:sSubPr>
                <m:e>
                  <m:r>
                    <w:rPr>
                      <w:rFonts w:ascii="Cambria Math" w:eastAsiaTheme="minorEastAsia" w:hAnsi="Cambria Math" w:cs="Arial"/>
                      <w:sz w:val="20"/>
                      <w:szCs w:val="20"/>
                      <w:vertAlign w:val="subscript"/>
                    </w:rPr>
                    <m:t>X</m:t>
                  </m:r>
                </m:e>
                <m:sub>
                  <m:r>
                    <w:rPr>
                      <w:rFonts w:ascii="Cambria Math" w:eastAsiaTheme="minorEastAsia" w:hAnsi="Cambria Math" w:cs="Arial"/>
                      <w:sz w:val="20"/>
                      <w:szCs w:val="20"/>
                      <w:vertAlign w:val="subscript"/>
                    </w:rPr>
                    <m:t>n</m:t>
                  </m:r>
                </m:sub>
              </m:sSub>
            </m:num>
            <m:den>
              <m:r>
                <w:rPr>
                  <w:rFonts w:ascii="Cambria Math" w:eastAsiaTheme="minorEastAsia" w:hAnsi="Cambria Math" w:cs="Arial"/>
                  <w:sz w:val="20"/>
                  <w:szCs w:val="20"/>
                  <w:vertAlign w:val="subscript"/>
                </w:rPr>
                <m:t>n</m:t>
              </m:r>
            </m:den>
          </m:f>
        </m:oMath>
      </m:oMathPara>
    </w:p>
    <w:p w14:paraId="5BCC2535" w14:textId="77777777" w:rsidR="00F41E4D" w:rsidRPr="00272AC8" w:rsidRDefault="00F41E4D" w:rsidP="00B357C8">
      <w:pPr>
        <w:spacing w:after="0" w:line="240" w:lineRule="auto"/>
        <w:jc w:val="both"/>
        <w:rPr>
          <w:rFonts w:ascii="Arial" w:eastAsiaTheme="minorEastAsia" w:hAnsi="Arial" w:cs="Arial"/>
          <w:i/>
          <w:iCs/>
          <w:sz w:val="20"/>
          <w:szCs w:val="20"/>
        </w:rPr>
      </w:pPr>
      <w:r w:rsidRPr="00272AC8">
        <w:rPr>
          <w:rFonts w:ascii="Arial" w:eastAsiaTheme="minorEastAsia" w:hAnsi="Arial" w:cs="Arial"/>
          <w:i/>
          <w:iCs/>
          <w:sz w:val="20"/>
          <w:szCs w:val="20"/>
        </w:rPr>
        <w:t>Start the cumulative sum at zero by setting S</w:t>
      </w:r>
      <w:r w:rsidRPr="00272AC8">
        <w:rPr>
          <w:rFonts w:ascii="Arial" w:eastAsiaTheme="minorEastAsia" w:hAnsi="Arial" w:cs="Arial"/>
          <w:i/>
          <w:iCs/>
          <w:sz w:val="20"/>
          <w:szCs w:val="20"/>
          <w:vertAlign w:val="subscript"/>
        </w:rPr>
        <w:t xml:space="preserve">0 </w:t>
      </w:r>
      <w:r w:rsidRPr="00272AC8">
        <w:rPr>
          <w:rFonts w:ascii="Arial" w:eastAsiaTheme="minorEastAsia" w:hAnsi="Arial" w:cs="Arial"/>
          <w:i/>
          <w:iCs/>
          <w:sz w:val="20"/>
          <w:szCs w:val="20"/>
        </w:rPr>
        <w:t>= 0.</w:t>
      </w:r>
    </w:p>
    <w:p w14:paraId="41BC52A6" w14:textId="5ED07339" w:rsidR="00F41E4D" w:rsidRPr="00272AC8" w:rsidRDefault="00F41E4D" w:rsidP="00B357C8">
      <w:pPr>
        <w:spacing w:after="0" w:line="240" w:lineRule="auto"/>
        <w:jc w:val="both"/>
        <w:rPr>
          <w:rFonts w:ascii="Arial" w:eastAsiaTheme="minorEastAsia" w:hAnsi="Arial" w:cs="Arial"/>
          <w:i/>
          <w:iCs/>
          <w:sz w:val="20"/>
          <w:szCs w:val="20"/>
        </w:rPr>
      </w:pPr>
      <w:r w:rsidRPr="00272AC8">
        <w:rPr>
          <w:rFonts w:ascii="Arial" w:eastAsiaTheme="minorEastAsia" w:hAnsi="Arial" w:cs="Arial"/>
          <w:i/>
          <w:iCs/>
          <w:sz w:val="20"/>
          <w:szCs w:val="20"/>
        </w:rPr>
        <w:t>Calculate the other cumulative sums by adding the difference between the current value and the average to the previous sum, i.e.:</w:t>
      </w:r>
    </w:p>
    <w:p w14:paraId="70BB6F76" w14:textId="24EF9704" w:rsidR="00F41E4D" w:rsidRPr="00EE025F" w:rsidRDefault="00F41E4D" w:rsidP="00B357C8">
      <w:pPr>
        <w:spacing w:after="0" w:line="240" w:lineRule="auto"/>
        <w:jc w:val="both"/>
        <w:rPr>
          <w:rFonts w:ascii="Arial" w:eastAsiaTheme="minorEastAsia" w:hAnsi="Arial" w:cs="Arial"/>
          <w:i/>
          <w:iCs/>
          <w:sz w:val="20"/>
          <w:szCs w:val="20"/>
          <w:lang w:val="pt-BR"/>
        </w:rPr>
      </w:pPr>
      <w:r w:rsidRPr="00EE025F">
        <w:rPr>
          <w:rFonts w:ascii="Arial" w:eastAsiaTheme="minorEastAsia" w:hAnsi="Arial" w:cs="Arial"/>
          <w:i/>
          <w:iCs/>
          <w:sz w:val="20"/>
          <w:szCs w:val="20"/>
          <w:lang w:val="pt-BR"/>
        </w:rPr>
        <w:t>S</w:t>
      </w:r>
      <w:r w:rsidRPr="00EE025F">
        <w:rPr>
          <w:rFonts w:ascii="Arial" w:eastAsiaTheme="minorEastAsia" w:hAnsi="Arial" w:cs="Arial"/>
          <w:i/>
          <w:iCs/>
          <w:sz w:val="20"/>
          <w:szCs w:val="20"/>
          <w:vertAlign w:val="subscript"/>
          <w:lang w:val="pt-BR"/>
        </w:rPr>
        <w:t>i</w:t>
      </w:r>
      <w:r w:rsidRPr="00EE025F">
        <w:rPr>
          <w:rFonts w:ascii="Arial" w:eastAsiaTheme="minorEastAsia" w:hAnsi="Arial" w:cs="Arial"/>
          <w:i/>
          <w:iCs/>
          <w:sz w:val="20"/>
          <w:szCs w:val="20"/>
          <w:lang w:val="pt-BR"/>
        </w:rPr>
        <w:t xml:space="preserve"> = S</w:t>
      </w:r>
      <w:r w:rsidRPr="00EE025F">
        <w:rPr>
          <w:rFonts w:ascii="Arial" w:eastAsiaTheme="minorEastAsia" w:hAnsi="Arial" w:cs="Arial"/>
          <w:i/>
          <w:iCs/>
          <w:sz w:val="20"/>
          <w:szCs w:val="20"/>
          <w:vertAlign w:val="subscript"/>
          <w:lang w:val="pt-BR"/>
        </w:rPr>
        <w:t>i-1</w:t>
      </w:r>
      <w:r w:rsidRPr="00EE025F">
        <w:rPr>
          <w:rFonts w:ascii="Arial" w:eastAsiaTheme="minorEastAsia" w:hAnsi="Arial" w:cs="Arial"/>
          <w:i/>
          <w:iCs/>
          <w:sz w:val="20"/>
          <w:szCs w:val="20"/>
          <w:lang w:val="pt-BR"/>
        </w:rPr>
        <w:t>+ (</w:t>
      </w:r>
      <m:oMath>
        <m:sSub>
          <m:sSubPr>
            <m:ctrlPr>
              <w:rPr>
                <w:rFonts w:ascii="Cambria Math" w:eastAsiaTheme="minorEastAsia" w:hAnsi="Cambria Math" w:cs="Arial"/>
                <w:i/>
                <w:iCs/>
                <w:sz w:val="20"/>
                <w:szCs w:val="20"/>
              </w:rPr>
            </m:ctrlPr>
          </m:sSubPr>
          <m:e>
            <m:r>
              <w:rPr>
                <w:rFonts w:ascii="Cambria Math" w:eastAsiaTheme="minorEastAsia" w:hAnsi="Cambria Math" w:cs="Arial"/>
                <w:sz w:val="20"/>
                <w:szCs w:val="20"/>
              </w:rPr>
              <m:t>X</m:t>
            </m:r>
          </m:e>
          <m:sub>
            <m:r>
              <w:rPr>
                <w:rFonts w:ascii="Cambria Math" w:eastAsiaTheme="minorEastAsia" w:hAnsi="Cambria Math" w:cs="Arial"/>
                <w:sz w:val="20"/>
                <w:szCs w:val="20"/>
              </w:rPr>
              <m:t>i</m:t>
            </m:r>
          </m:sub>
        </m:sSub>
      </m:oMath>
      <w:r w:rsidRPr="00EE025F">
        <w:rPr>
          <w:rFonts w:ascii="Arial" w:eastAsiaTheme="minorEastAsia" w:hAnsi="Arial" w:cs="Arial"/>
          <w:i/>
          <w:iCs/>
          <w:sz w:val="20"/>
          <w:szCs w:val="20"/>
          <w:lang w:val="pt-BR"/>
        </w:rPr>
        <w:t xml:space="preserve"> - </w:t>
      </w:r>
      <m:oMath>
        <m:bar>
          <m:barPr>
            <m:pos m:val="top"/>
            <m:ctrlPr>
              <w:rPr>
                <w:rFonts w:ascii="Cambria Math" w:eastAsiaTheme="minorEastAsia" w:hAnsi="Cambria Math" w:cs="Arial"/>
                <w:i/>
                <w:iCs/>
                <w:sz w:val="20"/>
                <w:szCs w:val="20"/>
                <w:vertAlign w:val="subscript"/>
              </w:rPr>
            </m:ctrlPr>
          </m:barPr>
          <m:e>
            <m:r>
              <w:rPr>
                <w:rFonts w:ascii="Cambria Math" w:eastAsiaTheme="minorEastAsia" w:hAnsi="Cambria Math" w:cs="Arial"/>
                <w:sz w:val="20"/>
                <w:szCs w:val="20"/>
                <w:vertAlign w:val="subscript"/>
              </w:rPr>
              <m:t>X</m:t>
            </m:r>
          </m:e>
        </m:bar>
      </m:oMath>
      <w:r w:rsidRPr="00EE025F">
        <w:rPr>
          <w:rFonts w:ascii="Arial" w:eastAsiaTheme="minorEastAsia" w:hAnsi="Arial" w:cs="Arial"/>
          <w:i/>
          <w:iCs/>
          <w:sz w:val="20"/>
          <w:szCs w:val="20"/>
          <w:lang w:val="pt-BR"/>
        </w:rPr>
        <w:t xml:space="preserve"> )</w:t>
      </w:r>
    </w:p>
    <w:p w14:paraId="61AFF4CE" w14:textId="38C6014D" w:rsidR="00F41E4D" w:rsidRPr="00EE025F" w:rsidRDefault="00F41E4D" w:rsidP="00B357C8">
      <w:pPr>
        <w:spacing w:after="0" w:line="240" w:lineRule="auto"/>
        <w:jc w:val="both"/>
        <w:rPr>
          <w:rFonts w:ascii="Arial" w:eastAsiaTheme="minorEastAsia" w:hAnsi="Arial" w:cs="Arial"/>
          <w:i/>
          <w:iCs/>
          <w:sz w:val="20"/>
          <w:szCs w:val="20"/>
          <w:lang w:val="pt-BR"/>
        </w:rPr>
      </w:pPr>
      <w:r w:rsidRPr="00EE025F">
        <w:rPr>
          <w:rFonts w:ascii="Arial" w:eastAsiaTheme="minorEastAsia" w:hAnsi="Arial" w:cs="Arial"/>
          <w:i/>
          <w:iCs/>
          <w:sz w:val="20"/>
          <w:szCs w:val="20"/>
          <w:lang w:val="pt-BR"/>
        </w:rPr>
        <w:t xml:space="preserve">For i= 1, 2, </w:t>
      </w:r>
      <w:r w:rsidR="00BB770B" w:rsidRPr="00EE025F">
        <w:rPr>
          <w:rFonts w:ascii="Arial" w:eastAsiaTheme="minorEastAsia" w:hAnsi="Arial" w:cs="Arial"/>
          <w:i/>
          <w:iCs/>
          <w:sz w:val="20"/>
          <w:szCs w:val="20"/>
          <w:lang w:val="pt-BR"/>
        </w:rPr>
        <w:t>. . .,</w:t>
      </w:r>
      <w:r w:rsidRPr="00EE025F">
        <w:rPr>
          <w:rFonts w:ascii="Arial" w:eastAsiaTheme="minorEastAsia" w:hAnsi="Arial" w:cs="Arial"/>
          <w:i/>
          <w:iCs/>
          <w:sz w:val="20"/>
          <w:szCs w:val="20"/>
          <w:lang w:val="pt-BR"/>
        </w:rPr>
        <w:t xml:space="preserve"> n.</w:t>
      </w:r>
    </w:p>
    <w:p w14:paraId="1523393C" w14:textId="6E018EF8" w:rsidR="00F41E4D" w:rsidRPr="00587FE3" w:rsidRDefault="00F41E4D" w:rsidP="00587FE3">
      <w:pPr>
        <w:spacing w:after="0" w:line="240" w:lineRule="auto"/>
        <w:jc w:val="both"/>
        <w:rPr>
          <w:rFonts w:ascii="Arial" w:eastAsiaTheme="minorEastAsia" w:hAnsi="Arial" w:cs="Arial"/>
          <w:i/>
          <w:iCs/>
          <w:sz w:val="20"/>
          <w:szCs w:val="20"/>
        </w:rPr>
      </w:pPr>
      <w:r w:rsidRPr="00272AC8">
        <w:rPr>
          <w:rFonts w:ascii="Arial" w:eastAsiaTheme="minorEastAsia" w:hAnsi="Arial" w:cs="Arial"/>
          <w:i/>
          <w:iCs/>
          <w:sz w:val="20"/>
          <w:szCs w:val="20"/>
        </w:rPr>
        <w:t>The cumulative sum is not the cumulative sum of the values. Rather, it is the cumulative sum differences between the value and the average. Because the average is subtracted from each value, the cumulative sum also ends at zero (S</w:t>
      </w:r>
      <w:r w:rsidRPr="00272AC8">
        <w:rPr>
          <w:rFonts w:ascii="Arial" w:eastAsiaTheme="minorEastAsia" w:hAnsi="Arial" w:cs="Arial"/>
          <w:i/>
          <w:iCs/>
          <w:sz w:val="20"/>
          <w:szCs w:val="20"/>
          <w:vertAlign w:val="subscript"/>
        </w:rPr>
        <w:t>24</w:t>
      </w:r>
      <w:r w:rsidRPr="00272AC8">
        <w:rPr>
          <w:rFonts w:ascii="Arial" w:eastAsiaTheme="minorEastAsia" w:hAnsi="Arial" w:cs="Arial"/>
          <w:i/>
          <w:iCs/>
          <w:sz w:val="20"/>
          <w:szCs w:val="20"/>
        </w:rPr>
        <w:t xml:space="preserve"> = 0). The CUSUM chart will then be interpreted as follows: the section on the CUSUM chart with an upward slope indicates the period the value is above average and vice versa.</w:t>
      </w:r>
    </w:p>
  </w:footnote>
  <w:footnote w:id="70">
    <w:p w14:paraId="67A8BEB8" w14:textId="3D657ACD" w:rsidR="00F41E4D" w:rsidRPr="00EB734F" w:rsidRDefault="00F41E4D" w:rsidP="00EB734F">
      <w:pPr>
        <w:autoSpaceDE w:val="0"/>
        <w:autoSpaceDN w:val="0"/>
        <w:adjustRightInd w:val="0"/>
        <w:spacing w:after="0" w:line="240" w:lineRule="auto"/>
        <w:jc w:val="both"/>
        <w:rPr>
          <w:rFonts w:ascii="Arial" w:eastAsiaTheme="minorEastAsia" w:hAnsi="Arial" w:cs="Arial"/>
          <w:i/>
          <w:iCs/>
          <w:sz w:val="20"/>
          <w:szCs w:val="20"/>
        </w:rPr>
      </w:pPr>
      <w:r w:rsidRPr="00EB734F">
        <w:rPr>
          <w:rStyle w:val="FootnoteReference"/>
          <w:i/>
          <w:iCs/>
        </w:rPr>
        <w:footnoteRef/>
      </w:r>
      <w:r w:rsidRPr="00EB734F">
        <w:rPr>
          <w:i/>
          <w:iCs/>
        </w:rPr>
        <w:t xml:space="preserve"> </w:t>
      </w:r>
      <w:r w:rsidRPr="00EB734F">
        <w:rPr>
          <w:rFonts w:ascii="Arial" w:hAnsi="Arial" w:cs="Arial"/>
          <w:i/>
          <w:iCs/>
          <w:sz w:val="20"/>
          <w:szCs w:val="20"/>
        </w:rPr>
        <w:t xml:space="preserve">Let’s suppose that the original time series </w:t>
      </w:r>
      <m:oMath>
        <m:sSubSup>
          <m:sSubSupPr>
            <m:ctrlPr>
              <w:rPr>
                <w:rFonts w:ascii="Cambria Math" w:hAnsi="Cambria Math" w:cs="Arial"/>
                <w:i/>
                <w:iCs/>
                <w:sz w:val="20"/>
                <w:szCs w:val="20"/>
              </w:rPr>
            </m:ctrlPr>
          </m:sSubSupPr>
          <m:e>
            <m:sSub>
              <m:sSubPr>
                <m:ctrlPr>
                  <w:rPr>
                    <w:rFonts w:ascii="Cambria Math" w:eastAsiaTheme="minorEastAsia" w:hAnsi="Cambria Math" w:cs="Arial"/>
                    <w:i/>
                    <w:iCs/>
                    <w:sz w:val="20"/>
                    <w:szCs w:val="20"/>
                  </w:rPr>
                </m:ctrlPr>
              </m:sSubPr>
              <m:e>
                <m:r>
                  <w:rPr>
                    <w:rFonts w:ascii="Cambria Math" w:eastAsiaTheme="minorEastAsia" w:hAnsi="Cambria Math" w:cs="Arial"/>
                    <w:sz w:val="20"/>
                    <w:szCs w:val="20"/>
                  </w:rPr>
                  <m:t>(y</m:t>
                </m:r>
              </m:e>
              <m:sub>
                <m:r>
                  <w:rPr>
                    <w:rFonts w:ascii="Cambria Math" w:eastAsiaTheme="minorEastAsia" w:hAnsi="Cambria Math" w:cs="Arial"/>
                    <w:sz w:val="20"/>
                    <w:szCs w:val="20"/>
                  </w:rPr>
                  <m:t>t</m:t>
                </m:r>
              </m:sub>
            </m:sSub>
            <m:r>
              <w:rPr>
                <w:rFonts w:ascii="Cambria Math" w:hAnsi="Cambria Math" w:cs="Arial"/>
                <w:sz w:val="20"/>
                <w:szCs w:val="20"/>
                <w:vertAlign w:val="subscript"/>
              </w:rPr>
              <m:t>)</m:t>
            </m:r>
          </m:e>
          <m:sub>
            <m:r>
              <w:rPr>
                <w:rFonts w:ascii="Cambria Math" w:hAnsi="Cambria Math" w:cs="Arial"/>
                <w:sz w:val="20"/>
                <w:szCs w:val="20"/>
              </w:rPr>
              <m:t>t=0</m:t>
            </m:r>
          </m:sub>
          <m:sup>
            <m:r>
              <w:rPr>
                <w:rFonts w:ascii="Cambria Math" w:hAnsi="Cambria Math" w:cs="Arial"/>
                <w:sz w:val="20"/>
                <w:szCs w:val="20"/>
              </w:rPr>
              <m:t>T</m:t>
            </m:r>
          </m:sup>
        </m:sSubSup>
      </m:oMath>
      <w:r w:rsidRPr="00EB734F">
        <w:rPr>
          <w:rFonts w:ascii="Arial" w:eastAsiaTheme="minorEastAsia" w:hAnsi="Arial" w:cs="Arial"/>
          <w:i/>
          <w:iCs/>
          <w:sz w:val="20"/>
          <w:szCs w:val="20"/>
        </w:rPr>
        <w:t xml:space="preserve"> is composed of a trend component Ƭ</w:t>
      </w:r>
      <w:r w:rsidRPr="00EB734F">
        <w:rPr>
          <w:rFonts w:ascii="Arial" w:eastAsiaTheme="minorEastAsia" w:hAnsi="Arial" w:cs="Arial"/>
          <w:i/>
          <w:iCs/>
          <w:sz w:val="20"/>
          <w:szCs w:val="20"/>
          <w:vertAlign w:val="subscript"/>
        </w:rPr>
        <w:t xml:space="preserve">t </w:t>
      </w:r>
      <w:r w:rsidRPr="00EB734F">
        <w:rPr>
          <w:rFonts w:ascii="Arial" w:eastAsiaTheme="minorEastAsia" w:hAnsi="Arial" w:cs="Arial"/>
          <w:i/>
          <w:iCs/>
          <w:sz w:val="20"/>
          <w:szCs w:val="20"/>
        </w:rPr>
        <w:t>and a cyclical component c</w:t>
      </w:r>
      <w:r w:rsidRPr="00EB734F">
        <w:rPr>
          <w:rFonts w:ascii="Arial" w:eastAsiaTheme="minorEastAsia" w:hAnsi="Arial" w:cs="Arial"/>
          <w:i/>
          <w:iCs/>
          <w:sz w:val="20"/>
          <w:szCs w:val="20"/>
          <w:vertAlign w:val="subscript"/>
        </w:rPr>
        <w:t>t</w:t>
      </w:r>
      <w:r w:rsidRPr="00EB734F">
        <w:rPr>
          <w:rFonts w:ascii="Arial" w:eastAsiaTheme="minorEastAsia" w:hAnsi="Arial" w:cs="Arial"/>
          <w:i/>
          <w:iCs/>
          <w:sz w:val="20"/>
          <w:szCs w:val="20"/>
        </w:rPr>
        <w:t xml:space="preserve">. That is, </w:t>
      </w:r>
    </w:p>
    <w:p w14:paraId="4FA9771A" w14:textId="754A36EB" w:rsidR="00F41E4D" w:rsidRPr="00EB734F" w:rsidRDefault="00000000" w:rsidP="00EB734F">
      <w:pPr>
        <w:autoSpaceDE w:val="0"/>
        <w:autoSpaceDN w:val="0"/>
        <w:adjustRightInd w:val="0"/>
        <w:spacing w:after="0" w:line="240" w:lineRule="auto"/>
        <w:jc w:val="both"/>
        <w:rPr>
          <w:rFonts w:ascii="Arial" w:eastAsiaTheme="minorEastAsia" w:hAnsi="Arial" w:cs="Arial"/>
          <w:i/>
          <w:iCs/>
          <w:sz w:val="20"/>
          <w:szCs w:val="20"/>
          <w:vertAlign w:val="subscript"/>
        </w:rPr>
      </w:pPr>
      <m:oMath>
        <m:sSub>
          <m:sSubPr>
            <m:ctrlPr>
              <w:rPr>
                <w:rFonts w:ascii="Cambria Math" w:eastAsiaTheme="minorEastAsia" w:hAnsi="Cambria Math" w:cs="Arial"/>
                <w:i/>
                <w:iCs/>
                <w:sz w:val="20"/>
                <w:szCs w:val="20"/>
              </w:rPr>
            </m:ctrlPr>
          </m:sSubPr>
          <m:e>
            <m:r>
              <w:rPr>
                <w:rFonts w:ascii="Cambria Math" w:eastAsiaTheme="minorEastAsia" w:hAnsi="Cambria Math" w:cs="Arial"/>
                <w:sz w:val="20"/>
                <w:szCs w:val="20"/>
              </w:rPr>
              <m:t>y</m:t>
            </m:r>
          </m:e>
          <m:sub>
            <m:r>
              <w:rPr>
                <w:rFonts w:ascii="Cambria Math" w:eastAsiaTheme="minorEastAsia" w:hAnsi="Cambria Math" w:cs="Arial"/>
                <w:sz w:val="20"/>
                <w:szCs w:val="20"/>
              </w:rPr>
              <m:t>t</m:t>
            </m:r>
          </m:sub>
        </m:sSub>
      </m:oMath>
      <w:r w:rsidR="00F41E4D" w:rsidRPr="00EB734F">
        <w:rPr>
          <w:rFonts w:ascii="Arial" w:eastAsiaTheme="minorEastAsia" w:hAnsi="Arial" w:cs="Arial"/>
          <w:i/>
          <w:iCs/>
          <w:sz w:val="20"/>
          <w:szCs w:val="20"/>
        </w:rPr>
        <w:t xml:space="preserve"> = </w:t>
      </w:r>
      <m:oMath>
        <m:sSub>
          <m:sSubPr>
            <m:ctrlPr>
              <w:rPr>
                <w:rFonts w:ascii="Cambria Math" w:eastAsiaTheme="minorEastAsia" w:hAnsi="Cambria Math" w:cs="Arial"/>
                <w:i/>
                <w:iCs/>
                <w:sz w:val="20"/>
                <w:szCs w:val="20"/>
              </w:rPr>
            </m:ctrlPr>
          </m:sSubPr>
          <m:e>
            <m:r>
              <w:rPr>
                <w:rFonts w:ascii="Cambria Math" w:eastAsiaTheme="minorEastAsia" w:hAnsi="Cambria Math" w:cs="Arial"/>
                <w:sz w:val="20"/>
                <w:szCs w:val="20"/>
              </w:rPr>
              <m:t>Ƭ</m:t>
            </m:r>
          </m:e>
          <m:sub>
            <m:r>
              <w:rPr>
                <w:rFonts w:ascii="Cambria Math" w:eastAsiaTheme="minorEastAsia" w:hAnsi="Cambria Math" w:cs="Arial"/>
                <w:sz w:val="20"/>
                <w:szCs w:val="20"/>
                <w:vertAlign w:val="subscript"/>
              </w:rPr>
              <m:t>t</m:t>
            </m:r>
          </m:sub>
        </m:sSub>
      </m:oMath>
      <w:r w:rsidR="00F41E4D" w:rsidRPr="00EB734F">
        <w:rPr>
          <w:rFonts w:ascii="Arial" w:eastAsiaTheme="minorEastAsia" w:hAnsi="Arial" w:cs="Arial"/>
          <w:i/>
          <w:iCs/>
          <w:sz w:val="20"/>
          <w:szCs w:val="20"/>
        </w:rPr>
        <w:t xml:space="preserve">+ </w:t>
      </w:r>
      <m:oMath>
        <m:sSub>
          <m:sSubPr>
            <m:ctrlPr>
              <w:rPr>
                <w:rFonts w:ascii="Cambria Math" w:eastAsiaTheme="minorEastAsia" w:hAnsi="Cambria Math" w:cs="Arial"/>
                <w:i/>
                <w:iCs/>
                <w:sz w:val="20"/>
                <w:szCs w:val="20"/>
              </w:rPr>
            </m:ctrlPr>
          </m:sSubPr>
          <m:e>
            <m:r>
              <w:rPr>
                <w:rFonts w:ascii="Cambria Math" w:eastAsiaTheme="minorEastAsia" w:hAnsi="Cambria Math" w:cs="Arial"/>
                <w:sz w:val="20"/>
                <w:szCs w:val="20"/>
              </w:rPr>
              <m:t>c</m:t>
            </m:r>
          </m:e>
          <m:sub>
            <m:r>
              <w:rPr>
                <w:rFonts w:ascii="Cambria Math" w:eastAsiaTheme="minorEastAsia" w:hAnsi="Cambria Math" w:cs="Arial"/>
                <w:sz w:val="20"/>
                <w:szCs w:val="20"/>
              </w:rPr>
              <m:t>t</m:t>
            </m:r>
          </m:sub>
        </m:sSub>
      </m:oMath>
    </w:p>
    <w:p w14:paraId="334B0D9E" w14:textId="18742601" w:rsidR="00F41E4D" w:rsidRPr="00EB734F" w:rsidRDefault="00F41E4D" w:rsidP="00EB734F">
      <w:pPr>
        <w:autoSpaceDE w:val="0"/>
        <w:autoSpaceDN w:val="0"/>
        <w:adjustRightInd w:val="0"/>
        <w:spacing w:after="0" w:line="240" w:lineRule="auto"/>
        <w:jc w:val="both"/>
        <w:rPr>
          <w:rFonts w:ascii="Arial" w:eastAsiaTheme="minorEastAsia" w:hAnsi="Arial" w:cs="Arial"/>
          <w:i/>
          <w:iCs/>
          <w:sz w:val="20"/>
          <w:szCs w:val="20"/>
        </w:rPr>
      </w:pPr>
      <w:r w:rsidRPr="00EB734F">
        <w:rPr>
          <w:rFonts w:ascii="Arial" w:eastAsiaTheme="minorEastAsia" w:hAnsi="Arial" w:cs="Arial"/>
          <w:i/>
          <w:iCs/>
          <w:sz w:val="20"/>
          <w:szCs w:val="20"/>
        </w:rPr>
        <w:t xml:space="preserve">the HP-filter isolates the cycle component by following minimization </w:t>
      </w:r>
      <w:r w:rsidR="00BB770B" w:rsidRPr="00EB734F">
        <w:rPr>
          <w:rFonts w:ascii="Arial" w:eastAsiaTheme="minorEastAsia" w:hAnsi="Arial" w:cs="Arial"/>
          <w:i/>
          <w:iCs/>
          <w:sz w:val="20"/>
          <w:szCs w:val="20"/>
        </w:rPr>
        <w:t>problem.</w:t>
      </w:r>
    </w:p>
    <w:p w14:paraId="615632D3" w14:textId="74A64F1A" w:rsidR="00F41E4D" w:rsidRPr="00EB734F" w:rsidRDefault="00000000" w:rsidP="00EB734F">
      <w:pPr>
        <w:autoSpaceDE w:val="0"/>
        <w:autoSpaceDN w:val="0"/>
        <w:adjustRightInd w:val="0"/>
        <w:spacing w:after="0" w:line="240" w:lineRule="auto"/>
        <w:jc w:val="both"/>
        <w:rPr>
          <w:rFonts w:ascii="Arial" w:eastAsiaTheme="minorEastAsia" w:hAnsi="Arial" w:cs="Arial"/>
          <w:i/>
          <w:iCs/>
          <w:sz w:val="20"/>
          <w:szCs w:val="20"/>
        </w:rPr>
      </w:pPr>
      <m:oMathPara>
        <m:oMath>
          <m:limLow>
            <m:limLowPr>
              <m:ctrlPr>
                <w:rPr>
                  <w:rFonts w:ascii="Cambria Math" w:eastAsiaTheme="minorEastAsia" w:hAnsi="Cambria Math" w:cs="Arial"/>
                  <w:i/>
                  <w:iCs/>
                  <w:sz w:val="20"/>
                  <w:szCs w:val="20"/>
                </w:rPr>
              </m:ctrlPr>
            </m:limLowPr>
            <m:e>
              <m:r>
                <w:rPr>
                  <w:rFonts w:ascii="Cambria Math" w:hAnsi="Cambria Math" w:cs="Arial"/>
                  <w:sz w:val="20"/>
                  <w:szCs w:val="20"/>
                </w:rPr>
                <m:t>min</m:t>
              </m:r>
            </m:e>
            <m:lim>
              <m:sSub>
                <m:sSubPr>
                  <m:ctrlPr>
                    <w:rPr>
                      <w:rFonts w:ascii="Cambria Math" w:eastAsiaTheme="minorEastAsia" w:hAnsi="Cambria Math" w:cs="Arial"/>
                      <w:i/>
                      <w:iCs/>
                      <w:sz w:val="20"/>
                      <w:szCs w:val="20"/>
                    </w:rPr>
                  </m:ctrlPr>
                </m:sSubPr>
                <m:e>
                  <m:r>
                    <w:rPr>
                      <w:rFonts w:ascii="Cambria Math" w:eastAsiaTheme="minorEastAsia" w:hAnsi="Cambria Math" w:cs="Arial"/>
                      <w:sz w:val="20"/>
                      <w:szCs w:val="20"/>
                    </w:rPr>
                    <m:t>Ƭ</m:t>
                  </m:r>
                </m:e>
                <m:sub>
                  <m:r>
                    <w:rPr>
                      <w:rFonts w:ascii="Cambria Math" w:eastAsiaTheme="minorEastAsia" w:hAnsi="Cambria Math" w:cs="Arial"/>
                      <w:sz w:val="20"/>
                      <w:szCs w:val="20"/>
                    </w:rPr>
                    <m:t>1</m:t>
                  </m:r>
                </m:sub>
              </m:sSub>
              <m:r>
                <w:rPr>
                  <w:rFonts w:ascii="Cambria Math" w:eastAsiaTheme="minorEastAsia" w:hAnsi="Cambria Math" w:cs="Arial"/>
                  <w:sz w:val="20"/>
                  <w:szCs w:val="20"/>
                  <w:vertAlign w:val="subscript"/>
                </w:rPr>
                <m:t xml:space="preserve">, </m:t>
              </m:r>
              <m:r>
                <w:rPr>
                  <w:rFonts w:ascii="Cambria Math" w:eastAsiaTheme="minorEastAsia" w:hAnsi="Cambria Math" w:cs="Arial"/>
                  <w:sz w:val="20"/>
                  <w:szCs w:val="20"/>
                </w:rPr>
                <m:t xml:space="preserve">. . . , </m:t>
              </m:r>
              <m:sSub>
                <m:sSubPr>
                  <m:ctrlPr>
                    <w:rPr>
                      <w:rFonts w:ascii="Cambria Math" w:eastAsiaTheme="minorEastAsia" w:hAnsi="Cambria Math" w:cs="Arial"/>
                      <w:i/>
                      <w:iCs/>
                      <w:sz w:val="20"/>
                      <w:szCs w:val="20"/>
                    </w:rPr>
                  </m:ctrlPr>
                </m:sSubPr>
                <m:e>
                  <m:r>
                    <w:rPr>
                      <w:rFonts w:ascii="Cambria Math" w:eastAsiaTheme="minorEastAsia" w:hAnsi="Cambria Math" w:cs="Arial"/>
                      <w:sz w:val="20"/>
                      <w:szCs w:val="20"/>
                    </w:rPr>
                    <m:t>Ƭ</m:t>
                  </m:r>
                </m:e>
                <m:sub>
                  <m:r>
                    <w:rPr>
                      <w:rFonts w:ascii="Cambria Math" w:eastAsiaTheme="minorEastAsia" w:hAnsi="Cambria Math" w:cs="Arial"/>
                      <w:sz w:val="20"/>
                      <w:szCs w:val="20"/>
                    </w:rPr>
                    <m:t>Ƭ</m:t>
                  </m:r>
                </m:sub>
              </m:sSub>
            </m:lim>
          </m:limLow>
          <m:nary>
            <m:naryPr>
              <m:chr m:val="∑"/>
              <m:limLoc m:val="undOvr"/>
              <m:ctrlPr>
                <w:rPr>
                  <w:rFonts w:ascii="Cambria Math" w:eastAsiaTheme="minorEastAsia" w:hAnsi="Cambria Math" w:cs="Arial"/>
                  <w:i/>
                  <w:iCs/>
                  <w:sz w:val="20"/>
                  <w:szCs w:val="20"/>
                </w:rPr>
              </m:ctrlPr>
            </m:naryPr>
            <m:sub>
              <m:r>
                <w:rPr>
                  <w:rFonts w:ascii="Cambria Math" w:eastAsiaTheme="minorEastAsia" w:hAnsi="Cambria Math" w:cs="Arial"/>
                  <w:sz w:val="20"/>
                  <w:szCs w:val="20"/>
                </w:rPr>
                <m:t>t=1</m:t>
              </m:r>
            </m:sub>
            <m:sup>
              <m:r>
                <w:rPr>
                  <w:rFonts w:ascii="Cambria Math" w:eastAsiaTheme="minorEastAsia" w:hAnsi="Cambria Math" w:cs="Arial"/>
                  <w:sz w:val="20"/>
                  <w:szCs w:val="20"/>
                </w:rPr>
                <m:t>Ƭ</m:t>
              </m:r>
            </m:sup>
            <m:e>
              <m:sSub>
                <m:sSubPr>
                  <m:ctrlPr>
                    <w:rPr>
                      <w:rFonts w:ascii="Cambria Math" w:eastAsiaTheme="minorEastAsia" w:hAnsi="Cambria Math" w:cs="Arial"/>
                      <w:i/>
                      <w:iCs/>
                      <w:sz w:val="20"/>
                      <w:szCs w:val="20"/>
                    </w:rPr>
                  </m:ctrlPr>
                </m:sSubPr>
                <m:e>
                  <m:r>
                    <w:rPr>
                      <w:rFonts w:ascii="Cambria Math" w:eastAsiaTheme="minorEastAsia" w:hAnsi="Cambria Math" w:cs="Arial"/>
                      <w:sz w:val="20"/>
                      <w:szCs w:val="20"/>
                    </w:rPr>
                    <m:t>(y</m:t>
                  </m:r>
                </m:e>
                <m:sub>
                  <m:r>
                    <w:rPr>
                      <w:rFonts w:ascii="Cambria Math" w:eastAsiaTheme="minorEastAsia" w:hAnsi="Cambria Math" w:cs="Arial"/>
                      <w:sz w:val="20"/>
                      <w:szCs w:val="20"/>
                    </w:rPr>
                    <m:t>t</m:t>
                  </m:r>
                </m:sub>
              </m:sSub>
              <m:r>
                <w:rPr>
                  <w:rFonts w:ascii="Cambria Math" w:eastAsiaTheme="minorEastAsia" w:hAnsi="Cambria Math" w:cs="Arial"/>
                  <w:sz w:val="20"/>
                  <w:szCs w:val="20"/>
                </w:rPr>
                <m:t>-</m:t>
              </m:r>
              <m:sSub>
                <m:sSubPr>
                  <m:ctrlPr>
                    <w:rPr>
                      <w:rFonts w:ascii="Cambria Math" w:eastAsiaTheme="minorEastAsia" w:hAnsi="Cambria Math" w:cs="Arial"/>
                      <w:i/>
                      <w:iCs/>
                      <w:sz w:val="20"/>
                      <w:szCs w:val="20"/>
                    </w:rPr>
                  </m:ctrlPr>
                </m:sSubPr>
                <m:e>
                  <m:r>
                    <w:rPr>
                      <w:rFonts w:ascii="Cambria Math" w:eastAsiaTheme="minorEastAsia" w:hAnsi="Cambria Math" w:cs="Arial"/>
                      <w:sz w:val="20"/>
                      <w:szCs w:val="20"/>
                    </w:rPr>
                    <m:t>Ƭ</m:t>
                  </m:r>
                </m:e>
                <m:sub>
                  <m:r>
                    <w:rPr>
                      <w:rFonts w:ascii="Cambria Math" w:eastAsiaTheme="minorEastAsia" w:hAnsi="Cambria Math" w:cs="Arial"/>
                      <w:sz w:val="20"/>
                      <w:szCs w:val="20"/>
                      <w:vertAlign w:val="subscript"/>
                    </w:rPr>
                    <m:t>t</m:t>
                  </m:r>
                </m:sub>
              </m:sSub>
              <m:sSup>
                <m:sSupPr>
                  <m:ctrlPr>
                    <w:rPr>
                      <w:rFonts w:ascii="Cambria Math" w:eastAsiaTheme="minorEastAsia" w:hAnsi="Cambria Math" w:cs="Arial"/>
                      <w:i/>
                      <w:iCs/>
                      <w:sz w:val="20"/>
                      <w:szCs w:val="20"/>
                    </w:rPr>
                  </m:ctrlPr>
                </m:sSupPr>
                <m:e>
                  <m:r>
                    <w:rPr>
                      <w:rFonts w:ascii="Cambria Math" w:hAnsi="Cambria Math" w:cs="Arial"/>
                      <w:sz w:val="20"/>
                      <w:szCs w:val="20"/>
                    </w:rPr>
                    <m:t>)</m:t>
                  </m:r>
                </m:e>
                <m:sup>
                  <m:r>
                    <w:rPr>
                      <w:rFonts w:ascii="Cambria Math" w:hAnsi="Cambria Math" w:cs="Arial"/>
                      <w:sz w:val="20"/>
                      <w:szCs w:val="20"/>
                    </w:rPr>
                    <m:t>2</m:t>
                  </m:r>
                </m:sup>
              </m:sSup>
              <m:r>
                <w:rPr>
                  <w:rFonts w:ascii="Cambria Math" w:eastAsiaTheme="minorEastAsia" w:hAnsi="Cambria Math" w:cs="Arial"/>
                  <w:sz w:val="20"/>
                  <w:szCs w:val="20"/>
                </w:rPr>
                <m:t>+λ</m:t>
              </m:r>
              <m:nary>
                <m:naryPr>
                  <m:chr m:val="∑"/>
                  <m:limLoc m:val="undOvr"/>
                  <m:ctrlPr>
                    <w:rPr>
                      <w:rFonts w:ascii="Cambria Math" w:eastAsiaTheme="minorEastAsia" w:hAnsi="Cambria Math" w:cs="Arial"/>
                      <w:i/>
                      <w:iCs/>
                      <w:sz w:val="20"/>
                      <w:szCs w:val="20"/>
                    </w:rPr>
                  </m:ctrlPr>
                </m:naryPr>
                <m:sub>
                  <m:r>
                    <w:rPr>
                      <w:rFonts w:ascii="Cambria Math" w:eastAsiaTheme="minorEastAsia" w:hAnsi="Cambria Math" w:cs="Arial"/>
                      <w:sz w:val="20"/>
                      <w:szCs w:val="20"/>
                    </w:rPr>
                    <m:t>t=2</m:t>
                  </m:r>
                </m:sub>
                <m:sup>
                  <m:r>
                    <w:rPr>
                      <w:rFonts w:ascii="Cambria Math" w:eastAsiaTheme="minorEastAsia" w:hAnsi="Cambria Math" w:cs="Arial"/>
                      <w:sz w:val="20"/>
                      <w:szCs w:val="20"/>
                    </w:rPr>
                    <m:t>Ƭ-1</m:t>
                  </m:r>
                </m:sup>
                <m:e>
                  <m:sSub>
                    <m:sSubPr>
                      <m:ctrlPr>
                        <w:rPr>
                          <w:rFonts w:ascii="Cambria Math" w:eastAsiaTheme="minorEastAsia" w:hAnsi="Cambria Math" w:cs="Arial"/>
                          <w:i/>
                          <w:iCs/>
                          <w:sz w:val="20"/>
                          <w:szCs w:val="20"/>
                        </w:rPr>
                      </m:ctrlPr>
                    </m:sSubPr>
                    <m:e>
                      <m:r>
                        <w:rPr>
                          <w:rFonts w:ascii="Cambria Math" w:eastAsiaTheme="minorEastAsia" w:hAnsi="Cambria Math" w:cs="Arial"/>
                          <w:sz w:val="20"/>
                          <w:szCs w:val="20"/>
                        </w:rPr>
                        <m:t>[(Ƭ</m:t>
                      </m:r>
                    </m:e>
                    <m:sub>
                      <m:r>
                        <w:rPr>
                          <w:rFonts w:ascii="Cambria Math" w:eastAsiaTheme="minorEastAsia" w:hAnsi="Cambria Math" w:cs="Arial"/>
                          <w:sz w:val="20"/>
                          <w:szCs w:val="20"/>
                        </w:rPr>
                        <m:t>t+1</m:t>
                      </m:r>
                    </m:sub>
                  </m:sSub>
                  <m:r>
                    <w:rPr>
                      <w:rFonts w:ascii="Cambria Math" w:eastAsiaTheme="minorEastAsia" w:hAnsi="Cambria Math" w:cs="Arial"/>
                      <w:sz w:val="20"/>
                      <w:szCs w:val="20"/>
                    </w:rPr>
                    <m:t>-</m:t>
                  </m:r>
                  <m:sSub>
                    <m:sSubPr>
                      <m:ctrlPr>
                        <w:rPr>
                          <w:rFonts w:ascii="Cambria Math" w:eastAsiaTheme="minorEastAsia" w:hAnsi="Cambria Math" w:cs="Arial"/>
                          <w:i/>
                          <w:iCs/>
                          <w:sz w:val="20"/>
                          <w:szCs w:val="20"/>
                        </w:rPr>
                      </m:ctrlPr>
                    </m:sSubPr>
                    <m:e>
                      <m:r>
                        <w:rPr>
                          <w:rFonts w:ascii="Cambria Math" w:eastAsiaTheme="minorEastAsia" w:hAnsi="Cambria Math" w:cs="Arial"/>
                          <w:sz w:val="20"/>
                          <w:szCs w:val="20"/>
                        </w:rPr>
                        <m:t>Ƭ</m:t>
                      </m:r>
                    </m:e>
                    <m:sub>
                      <m:r>
                        <w:rPr>
                          <w:rFonts w:ascii="Cambria Math" w:eastAsiaTheme="minorEastAsia" w:hAnsi="Cambria Math" w:cs="Arial"/>
                          <w:sz w:val="20"/>
                          <w:szCs w:val="20"/>
                          <w:vertAlign w:val="subscript"/>
                        </w:rPr>
                        <m:t>t</m:t>
                      </m:r>
                    </m:sub>
                  </m:sSub>
                  <m:sSup>
                    <m:sSupPr>
                      <m:ctrlPr>
                        <w:rPr>
                          <w:rFonts w:ascii="Cambria Math" w:eastAsiaTheme="minorEastAsia" w:hAnsi="Cambria Math" w:cs="Arial"/>
                          <w:i/>
                          <w:iCs/>
                          <w:sz w:val="20"/>
                          <w:szCs w:val="20"/>
                        </w:rPr>
                      </m:ctrlPr>
                    </m:sSupPr>
                    <m:e>
                      <m:r>
                        <w:rPr>
                          <w:rFonts w:ascii="Cambria Math" w:hAnsi="Cambria Math" w:cs="Arial"/>
                          <w:sz w:val="20"/>
                          <w:szCs w:val="20"/>
                        </w:rPr>
                        <m:t>)</m:t>
                      </m:r>
                      <m:sSub>
                        <m:sSubPr>
                          <m:ctrlPr>
                            <w:rPr>
                              <w:rFonts w:ascii="Cambria Math" w:eastAsiaTheme="minorEastAsia" w:hAnsi="Cambria Math" w:cs="Arial"/>
                              <w:i/>
                              <w:iCs/>
                              <w:sz w:val="20"/>
                              <w:szCs w:val="20"/>
                            </w:rPr>
                          </m:ctrlPr>
                        </m:sSubPr>
                        <m:e>
                          <m:r>
                            <w:rPr>
                              <w:rFonts w:ascii="Cambria Math" w:eastAsiaTheme="minorEastAsia" w:hAnsi="Cambria Math" w:cs="Arial"/>
                              <w:sz w:val="20"/>
                              <w:szCs w:val="20"/>
                            </w:rPr>
                            <m:t>(Ƭ</m:t>
                          </m:r>
                        </m:e>
                        <m:sub>
                          <m:r>
                            <w:rPr>
                              <w:rFonts w:ascii="Cambria Math" w:eastAsiaTheme="minorEastAsia" w:hAnsi="Cambria Math" w:cs="Arial"/>
                              <w:sz w:val="20"/>
                              <w:szCs w:val="20"/>
                            </w:rPr>
                            <m:t>t</m:t>
                          </m:r>
                        </m:sub>
                      </m:sSub>
                      <m:r>
                        <w:rPr>
                          <w:rFonts w:ascii="Cambria Math" w:eastAsiaTheme="minorEastAsia" w:hAnsi="Cambria Math" w:cs="Arial"/>
                          <w:sz w:val="20"/>
                          <w:szCs w:val="20"/>
                        </w:rPr>
                        <m:t>-</m:t>
                      </m:r>
                      <m:sSub>
                        <m:sSubPr>
                          <m:ctrlPr>
                            <w:rPr>
                              <w:rFonts w:ascii="Cambria Math" w:eastAsiaTheme="minorEastAsia" w:hAnsi="Cambria Math" w:cs="Arial"/>
                              <w:i/>
                              <w:iCs/>
                              <w:sz w:val="20"/>
                              <w:szCs w:val="20"/>
                            </w:rPr>
                          </m:ctrlPr>
                        </m:sSubPr>
                        <m:e>
                          <m:r>
                            <w:rPr>
                              <w:rFonts w:ascii="Cambria Math" w:eastAsiaTheme="minorEastAsia" w:hAnsi="Cambria Math" w:cs="Arial"/>
                              <w:sz w:val="20"/>
                              <w:szCs w:val="20"/>
                            </w:rPr>
                            <m:t>Ƭ</m:t>
                          </m:r>
                        </m:e>
                        <m:sub>
                          <m:r>
                            <w:rPr>
                              <w:rFonts w:ascii="Cambria Math" w:eastAsiaTheme="minorEastAsia" w:hAnsi="Cambria Math" w:cs="Arial"/>
                              <w:sz w:val="20"/>
                              <w:szCs w:val="20"/>
                              <w:vertAlign w:val="subscript"/>
                            </w:rPr>
                            <m:t>t-1</m:t>
                          </m:r>
                        </m:sub>
                      </m:sSub>
                      <m:r>
                        <w:rPr>
                          <w:rFonts w:ascii="Cambria Math" w:hAnsi="Cambria Math" w:cs="Arial"/>
                          <w:sz w:val="20"/>
                          <w:szCs w:val="20"/>
                        </w:rPr>
                        <m:t>)]</m:t>
                      </m:r>
                    </m:e>
                    <m:sup>
                      <m:r>
                        <w:rPr>
                          <w:rFonts w:ascii="Cambria Math" w:hAnsi="Cambria Math" w:cs="Arial"/>
                          <w:sz w:val="20"/>
                          <w:szCs w:val="20"/>
                        </w:rPr>
                        <m:t>2</m:t>
                      </m:r>
                    </m:sup>
                  </m:sSup>
                </m:e>
              </m:nary>
              <m:r>
                <w:rPr>
                  <w:rFonts w:ascii="Cambria Math" w:eastAsiaTheme="minorEastAsia" w:hAnsi="Cambria Math" w:cs="Arial"/>
                  <w:sz w:val="20"/>
                  <w:szCs w:val="20"/>
                </w:rPr>
                <m:t xml:space="preserve"> </m:t>
              </m:r>
            </m:e>
          </m:nary>
        </m:oMath>
      </m:oMathPara>
    </w:p>
    <w:p w14:paraId="42E8ACFB" w14:textId="6C3B3C9E" w:rsidR="00F41E4D" w:rsidRPr="00EB734F" w:rsidRDefault="00F41E4D" w:rsidP="00EB734F">
      <w:pPr>
        <w:autoSpaceDE w:val="0"/>
        <w:autoSpaceDN w:val="0"/>
        <w:adjustRightInd w:val="0"/>
        <w:spacing w:after="0" w:line="240" w:lineRule="auto"/>
        <w:jc w:val="both"/>
        <w:rPr>
          <w:rFonts w:ascii="Arial" w:eastAsiaTheme="minorEastAsia" w:hAnsi="Arial" w:cs="Arial"/>
          <w:i/>
          <w:iCs/>
          <w:sz w:val="20"/>
          <w:szCs w:val="20"/>
        </w:rPr>
      </w:pPr>
      <w:r w:rsidRPr="00EB734F">
        <w:rPr>
          <w:rFonts w:ascii="Arial" w:hAnsi="Arial" w:cs="Arial"/>
          <w:i/>
          <w:iCs/>
          <w:sz w:val="20"/>
          <w:szCs w:val="20"/>
        </w:rPr>
        <w:t xml:space="preserve">Whereby </w:t>
      </w:r>
      <m:oMath>
        <m:r>
          <w:rPr>
            <w:rFonts w:ascii="Cambria Math" w:eastAsiaTheme="minorEastAsia" w:hAnsi="Cambria Math" w:cs="Arial"/>
            <w:sz w:val="20"/>
            <w:szCs w:val="20"/>
          </w:rPr>
          <m:t>λ</m:t>
        </m:r>
      </m:oMath>
      <w:r w:rsidRPr="00EB734F">
        <w:rPr>
          <w:rFonts w:ascii="Arial" w:eastAsiaTheme="minorEastAsia" w:hAnsi="Arial" w:cs="Arial"/>
          <w:i/>
          <w:iCs/>
          <w:sz w:val="20"/>
          <w:szCs w:val="20"/>
        </w:rPr>
        <w:t xml:space="preserve"> is a positive smoothing parameter that penalizes variability in the trend. The unique solution to the minimization problem </w:t>
      </w:r>
      <w:r w:rsidR="00BB770B" w:rsidRPr="00EB734F">
        <w:rPr>
          <w:rFonts w:ascii="Arial" w:eastAsiaTheme="minorEastAsia" w:hAnsi="Arial" w:cs="Arial"/>
          <w:i/>
          <w:iCs/>
          <w:sz w:val="20"/>
          <w:szCs w:val="20"/>
        </w:rPr>
        <w:t>is</w:t>
      </w:r>
      <w:r w:rsidR="00BB770B">
        <w:rPr>
          <w:rFonts w:ascii="Arial" w:eastAsiaTheme="minorEastAsia" w:hAnsi="Arial" w:cs="Arial"/>
          <w:i/>
          <w:iCs/>
          <w:sz w:val="20"/>
          <w:szCs w:val="20"/>
        </w:rPr>
        <w:t>:</w:t>
      </w:r>
    </w:p>
    <w:p w14:paraId="7340FB56" w14:textId="31F4C35A" w:rsidR="00F41E4D" w:rsidRPr="00EB734F" w:rsidRDefault="00000000" w:rsidP="00EB734F">
      <w:pPr>
        <w:autoSpaceDE w:val="0"/>
        <w:autoSpaceDN w:val="0"/>
        <w:adjustRightInd w:val="0"/>
        <w:spacing w:after="0" w:line="240" w:lineRule="auto"/>
        <w:jc w:val="both"/>
        <w:rPr>
          <w:rFonts w:ascii="Arial" w:eastAsiaTheme="minorEastAsia" w:hAnsi="Arial" w:cs="Arial"/>
          <w:i/>
          <w:iCs/>
          <w:sz w:val="20"/>
          <w:szCs w:val="20"/>
        </w:rPr>
      </w:pPr>
      <m:oMath>
        <m:acc>
          <m:accPr>
            <m:ctrlPr>
              <w:rPr>
                <w:rFonts w:ascii="Cambria Math" w:hAnsi="Cambria Math" w:cs="Arial"/>
                <w:i/>
                <w:iCs/>
                <w:sz w:val="20"/>
                <w:szCs w:val="20"/>
              </w:rPr>
            </m:ctrlPr>
          </m:accPr>
          <m:e>
            <m:r>
              <w:rPr>
                <w:rFonts w:ascii="Cambria Math" w:hAnsi="Cambria Math" w:cs="Arial"/>
                <w:sz w:val="20"/>
                <w:szCs w:val="20"/>
              </w:rPr>
              <m:t>T</m:t>
            </m:r>
          </m:e>
        </m:acc>
      </m:oMath>
      <w:r w:rsidR="00F41E4D" w:rsidRPr="00EB734F">
        <w:rPr>
          <w:rFonts w:ascii="Arial" w:eastAsiaTheme="minorEastAsia" w:hAnsi="Arial" w:cs="Arial"/>
          <w:i/>
          <w:iCs/>
          <w:sz w:val="20"/>
          <w:szCs w:val="20"/>
        </w:rPr>
        <w:t xml:space="preserve"> = </w:t>
      </w:r>
      <m:oMath>
        <m:sSub>
          <m:sSubPr>
            <m:ctrlPr>
              <w:rPr>
                <w:rFonts w:ascii="Cambria Math" w:eastAsiaTheme="minorEastAsia" w:hAnsi="Cambria Math" w:cs="Arial"/>
                <w:i/>
                <w:iCs/>
                <w:sz w:val="20"/>
                <w:szCs w:val="20"/>
              </w:rPr>
            </m:ctrlPr>
          </m:sSubPr>
          <m:e>
            <m:r>
              <w:rPr>
                <w:rFonts w:ascii="Cambria Math" w:eastAsiaTheme="minorEastAsia" w:hAnsi="Cambria Math" w:cs="Arial"/>
                <w:sz w:val="20"/>
                <w:szCs w:val="20"/>
              </w:rPr>
              <m:t>(I</m:t>
            </m:r>
          </m:e>
          <m:sub>
            <m:r>
              <w:rPr>
                <w:rFonts w:ascii="Cambria Math" w:eastAsiaTheme="minorEastAsia" w:hAnsi="Cambria Math" w:cs="Arial"/>
                <w:sz w:val="20"/>
                <w:szCs w:val="20"/>
              </w:rPr>
              <m:t>T</m:t>
            </m:r>
          </m:sub>
        </m:sSub>
        <m:r>
          <w:rPr>
            <w:rFonts w:ascii="Cambria Math" w:eastAsiaTheme="minorEastAsia" w:hAnsi="Cambria Math" w:cs="Arial"/>
            <w:sz w:val="20"/>
            <w:szCs w:val="20"/>
          </w:rPr>
          <m:t>+λF</m:t>
        </m:r>
        <m:sSup>
          <m:sSupPr>
            <m:ctrlPr>
              <w:rPr>
                <w:rFonts w:ascii="Cambria Math" w:eastAsiaTheme="minorEastAsia" w:hAnsi="Cambria Math" w:cs="Arial"/>
                <w:i/>
                <w:iCs/>
                <w:sz w:val="20"/>
                <w:szCs w:val="20"/>
              </w:rPr>
            </m:ctrlPr>
          </m:sSupPr>
          <m:e>
            <m:r>
              <w:rPr>
                <w:rFonts w:ascii="Cambria Math" w:hAnsi="Cambria Math" w:cs="Arial"/>
                <w:sz w:val="20"/>
                <w:szCs w:val="20"/>
              </w:rPr>
              <m:t>)</m:t>
            </m:r>
          </m:e>
          <m:sup>
            <m:r>
              <w:rPr>
                <w:rFonts w:ascii="Cambria Math" w:hAnsi="Cambria Math" w:cs="Arial"/>
                <w:sz w:val="20"/>
                <w:szCs w:val="20"/>
              </w:rPr>
              <m:t>-1</m:t>
            </m:r>
          </m:sup>
        </m:sSup>
        <m:r>
          <w:rPr>
            <w:rFonts w:ascii="Cambria Math" w:eastAsiaTheme="minorEastAsia" w:hAnsi="Cambria Math" w:cs="Arial"/>
            <w:sz w:val="20"/>
            <w:szCs w:val="20"/>
          </w:rPr>
          <m:t>y</m:t>
        </m:r>
      </m:oMath>
    </w:p>
    <w:p w14:paraId="1EF71080" w14:textId="7FCAE263" w:rsidR="00F41E4D" w:rsidRPr="00EB734F" w:rsidRDefault="00F41E4D" w:rsidP="00EB734F">
      <w:pPr>
        <w:autoSpaceDE w:val="0"/>
        <w:autoSpaceDN w:val="0"/>
        <w:adjustRightInd w:val="0"/>
        <w:spacing w:after="0" w:line="240" w:lineRule="auto"/>
        <w:jc w:val="both"/>
        <w:rPr>
          <w:rFonts w:ascii="Arial" w:eastAsiaTheme="minorEastAsia" w:hAnsi="Arial" w:cs="Arial"/>
          <w:i/>
          <w:iCs/>
          <w:sz w:val="20"/>
          <w:szCs w:val="20"/>
        </w:rPr>
      </w:pPr>
      <w:r w:rsidRPr="00EB734F">
        <w:rPr>
          <w:rFonts w:ascii="Arial" w:eastAsiaTheme="minorEastAsia" w:hAnsi="Arial" w:cs="Arial"/>
          <w:i/>
          <w:iCs/>
          <w:sz w:val="20"/>
          <w:szCs w:val="20"/>
        </w:rPr>
        <w:t xml:space="preserve">Where </w:t>
      </w:r>
      <m:oMath>
        <m:sSub>
          <m:sSubPr>
            <m:ctrlPr>
              <w:rPr>
                <w:rFonts w:ascii="Cambria Math" w:eastAsiaTheme="minorEastAsia" w:hAnsi="Cambria Math" w:cs="Arial"/>
                <w:i/>
                <w:iCs/>
                <w:sz w:val="20"/>
                <w:szCs w:val="20"/>
              </w:rPr>
            </m:ctrlPr>
          </m:sSubPr>
          <m:e>
            <m:r>
              <w:rPr>
                <w:rFonts w:ascii="Cambria Math" w:eastAsiaTheme="minorEastAsia" w:hAnsi="Cambria Math" w:cs="Arial"/>
                <w:sz w:val="20"/>
                <w:szCs w:val="20"/>
              </w:rPr>
              <m:t>I</m:t>
            </m:r>
          </m:e>
          <m:sub>
            <m:r>
              <w:rPr>
                <w:rFonts w:ascii="Cambria Math" w:eastAsiaTheme="minorEastAsia" w:hAnsi="Cambria Math" w:cs="Arial"/>
                <w:sz w:val="20"/>
                <w:szCs w:val="20"/>
              </w:rPr>
              <m:t>T</m:t>
            </m:r>
          </m:sub>
        </m:sSub>
      </m:oMath>
      <w:r w:rsidRPr="00EB734F">
        <w:rPr>
          <w:rFonts w:ascii="Arial" w:eastAsiaTheme="minorEastAsia" w:hAnsi="Arial" w:cs="Arial"/>
          <w:i/>
          <w:iCs/>
          <w:sz w:val="20"/>
          <w:szCs w:val="20"/>
        </w:rPr>
        <w:t xml:space="preserve"> is an Ƭ x Ƭ identity matrix and F is the pentadiagonal Ƭ x Ƭ matrix.</w:t>
      </w:r>
    </w:p>
    <w:p w14:paraId="0740B487" w14:textId="1440682A" w:rsidR="00F41E4D" w:rsidRPr="00EB734F" w:rsidRDefault="00F41E4D" w:rsidP="00EB734F">
      <w:pPr>
        <w:autoSpaceDE w:val="0"/>
        <w:autoSpaceDN w:val="0"/>
        <w:adjustRightInd w:val="0"/>
        <w:spacing w:after="0" w:line="240" w:lineRule="auto"/>
        <w:jc w:val="both"/>
        <w:rPr>
          <w:rFonts w:ascii="Arial" w:eastAsiaTheme="minorEastAsia" w:hAnsi="Arial" w:cs="Arial"/>
          <w:i/>
          <w:iCs/>
          <w:sz w:val="20"/>
          <w:szCs w:val="20"/>
        </w:rPr>
      </w:pPr>
      <w:r w:rsidRPr="00EB734F">
        <w:rPr>
          <w:rFonts w:ascii="Arial" w:eastAsiaTheme="minorEastAsia" w:hAnsi="Arial" w:cs="Arial"/>
          <w:i/>
          <w:iCs/>
          <w:sz w:val="20"/>
          <w:szCs w:val="20"/>
        </w:rPr>
        <w:t xml:space="preserve">The value of </w:t>
      </w:r>
      <m:oMath>
        <m:r>
          <w:rPr>
            <w:rFonts w:ascii="Cambria Math" w:eastAsiaTheme="minorEastAsia" w:hAnsi="Cambria Math" w:cs="Arial"/>
            <w:sz w:val="20"/>
            <w:szCs w:val="20"/>
          </w:rPr>
          <m:t>λ</m:t>
        </m:r>
      </m:oMath>
      <w:r w:rsidRPr="00EB734F">
        <w:rPr>
          <w:rFonts w:ascii="Arial" w:eastAsiaTheme="minorEastAsia" w:hAnsi="Arial" w:cs="Arial"/>
          <w:i/>
          <w:iCs/>
          <w:sz w:val="20"/>
          <w:szCs w:val="20"/>
        </w:rPr>
        <w:t xml:space="preserve"> depends on the frequency of the data. In the literature</w:t>
      </w:r>
      <w:r>
        <w:rPr>
          <w:rFonts w:ascii="Arial" w:eastAsiaTheme="minorEastAsia" w:hAnsi="Arial" w:cs="Arial"/>
          <w:i/>
          <w:iCs/>
          <w:sz w:val="20"/>
          <w:szCs w:val="20"/>
        </w:rPr>
        <w:t>,</w:t>
      </w:r>
      <w:r w:rsidRPr="00EB734F">
        <w:rPr>
          <w:rFonts w:ascii="Arial" w:eastAsiaTheme="minorEastAsia" w:hAnsi="Arial" w:cs="Arial"/>
          <w:i/>
          <w:iCs/>
          <w:sz w:val="20"/>
          <w:szCs w:val="20"/>
        </w:rPr>
        <w:t xml:space="preserve"> the following values are suggested 100 for yearly data, 1600 for quarterly data, </w:t>
      </w:r>
      <w:r>
        <w:rPr>
          <w:rFonts w:ascii="Arial" w:eastAsiaTheme="minorEastAsia" w:hAnsi="Arial" w:cs="Arial"/>
          <w:i/>
          <w:iCs/>
          <w:sz w:val="20"/>
          <w:szCs w:val="20"/>
        </w:rPr>
        <w:t xml:space="preserve">and </w:t>
      </w:r>
      <w:r w:rsidRPr="00EB734F">
        <w:rPr>
          <w:rFonts w:ascii="Arial" w:eastAsiaTheme="minorEastAsia" w:hAnsi="Arial" w:cs="Arial"/>
          <w:i/>
          <w:iCs/>
          <w:sz w:val="20"/>
          <w:szCs w:val="20"/>
        </w:rPr>
        <w:t xml:space="preserve">14400 for monthly data. </w:t>
      </w:r>
    </w:p>
    <w:p w14:paraId="64F60334" w14:textId="585A5118" w:rsidR="00F41E4D" w:rsidRPr="00EB734F" w:rsidRDefault="00F41E4D">
      <w:pPr>
        <w:pStyle w:val="FootnoteText"/>
        <w:rPr>
          <w:rFonts w:ascii="Arial" w:hAnsi="Arial" w:cs="Arial"/>
        </w:rPr>
      </w:pPr>
    </w:p>
  </w:footnote>
  <w:footnote w:id="71">
    <w:p w14:paraId="06D99E96" w14:textId="34DD1088" w:rsidR="00F41E4D" w:rsidRPr="000D38A4" w:rsidRDefault="00F41E4D" w:rsidP="00806598">
      <w:pPr>
        <w:pStyle w:val="ListParagraph"/>
        <w:autoSpaceDE w:val="0"/>
        <w:autoSpaceDN w:val="0"/>
        <w:adjustRightInd w:val="0"/>
        <w:spacing w:after="0" w:line="240" w:lineRule="auto"/>
        <w:ind w:left="0"/>
        <w:jc w:val="both"/>
        <w:rPr>
          <w:i/>
        </w:rPr>
      </w:pPr>
      <w:r w:rsidRPr="000D38A4">
        <w:rPr>
          <w:rStyle w:val="FootnoteReference"/>
          <w:rFonts w:eastAsiaTheme="majorEastAsia"/>
          <w:i/>
        </w:rPr>
        <w:footnoteRef/>
      </w:r>
      <w:r w:rsidRPr="000D38A4">
        <w:rPr>
          <w:i/>
        </w:rPr>
        <w:t xml:space="preserve"> </w:t>
      </w:r>
      <w:r w:rsidRPr="000D38A4">
        <w:rPr>
          <w:rFonts w:ascii="Arial" w:hAnsi="Arial" w:cs="Arial"/>
          <w:i/>
          <w:sz w:val="20"/>
          <w:szCs w:val="20"/>
        </w:rPr>
        <w:t>In case the series are cointegrated, it means the</w:t>
      </w:r>
      <w:r>
        <w:rPr>
          <w:rFonts w:ascii="Arial" w:hAnsi="Arial" w:cs="Arial"/>
          <w:i/>
          <w:sz w:val="20"/>
          <w:szCs w:val="20"/>
        </w:rPr>
        <w:t>y</w:t>
      </w:r>
      <w:r w:rsidRPr="000D38A4">
        <w:rPr>
          <w:rFonts w:ascii="Arial" w:hAnsi="Arial" w:cs="Arial"/>
          <w:i/>
          <w:sz w:val="20"/>
          <w:szCs w:val="20"/>
        </w:rPr>
        <w:t xml:space="preserve"> exhibit a </w:t>
      </w:r>
      <w:r w:rsidR="00185DEE" w:rsidRPr="000D38A4">
        <w:rPr>
          <w:rFonts w:ascii="Arial" w:hAnsi="Arial" w:cs="Arial"/>
          <w:i/>
          <w:sz w:val="20"/>
          <w:szCs w:val="20"/>
        </w:rPr>
        <w:t>long</w:t>
      </w:r>
      <w:r w:rsidR="00185DEE">
        <w:rPr>
          <w:rFonts w:ascii="Arial" w:hAnsi="Arial" w:cs="Arial"/>
          <w:i/>
          <w:sz w:val="20"/>
          <w:szCs w:val="20"/>
        </w:rPr>
        <w:t>-term</w:t>
      </w:r>
      <w:r w:rsidRPr="000D38A4">
        <w:rPr>
          <w:rFonts w:ascii="Arial" w:hAnsi="Arial" w:cs="Arial"/>
          <w:i/>
          <w:sz w:val="20"/>
          <w:szCs w:val="20"/>
        </w:rPr>
        <w:t xml:space="preserve"> relationship. That is, even if there were shocks in the short</w:t>
      </w:r>
      <w:r>
        <w:rPr>
          <w:rFonts w:ascii="Arial" w:hAnsi="Arial" w:cs="Arial"/>
          <w:i/>
          <w:sz w:val="20"/>
          <w:szCs w:val="20"/>
        </w:rPr>
        <w:t xml:space="preserve"> </w:t>
      </w:r>
      <w:r w:rsidRPr="000D38A4">
        <w:rPr>
          <w:rFonts w:ascii="Arial" w:hAnsi="Arial" w:cs="Arial"/>
          <w:i/>
          <w:sz w:val="20"/>
          <w:szCs w:val="20"/>
        </w:rPr>
        <w:t xml:space="preserve">term that may affect movement in individual series, they will with time (in the </w:t>
      </w:r>
      <w:r>
        <w:rPr>
          <w:rFonts w:ascii="Arial" w:hAnsi="Arial" w:cs="Arial"/>
          <w:i/>
          <w:sz w:val="20"/>
          <w:szCs w:val="20"/>
        </w:rPr>
        <w:t>long term</w:t>
      </w:r>
      <w:r w:rsidRPr="000D38A4">
        <w:rPr>
          <w:rFonts w:ascii="Arial" w:hAnsi="Arial" w:cs="Arial"/>
          <w:i/>
          <w:sz w:val="20"/>
          <w:szCs w:val="20"/>
        </w:rPr>
        <w:t>)</w:t>
      </w:r>
      <w:r>
        <w:rPr>
          <w:rFonts w:ascii="Arial" w:hAnsi="Arial" w:cs="Arial"/>
          <w:i/>
          <w:sz w:val="20"/>
          <w:szCs w:val="20"/>
        </w:rPr>
        <w:t>,</w:t>
      </w:r>
      <w:r w:rsidRPr="000D38A4">
        <w:rPr>
          <w:rFonts w:ascii="Arial" w:hAnsi="Arial" w:cs="Arial"/>
          <w:i/>
          <w:sz w:val="20"/>
          <w:szCs w:val="20"/>
        </w:rPr>
        <w:t xml:space="preserve"> converge (get back to the equilibrium). Hence, estimate both short-term and long-term models. The appropriate estimation techniques are the vector autoregressive (VAR) and vector error correction models (VECM). If series are cointegrated, the restricted VAR (vector error correction model – VECM) is used. Whereas, if the series is not cointegrated (that is they do not exhibit a long-term relationship)</w:t>
      </w:r>
      <w:r>
        <w:rPr>
          <w:rFonts w:ascii="Arial" w:hAnsi="Arial" w:cs="Arial"/>
          <w:i/>
          <w:sz w:val="20"/>
          <w:szCs w:val="20"/>
        </w:rPr>
        <w:t>,</w:t>
      </w:r>
      <w:r w:rsidRPr="000D38A4">
        <w:rPr>
          <w:rFonts w:ascii="Arial" w:hAnsi="Arial" w:cs="Arial"/>
          <w:i/>
          <w:sz w:val="20"/>
          <w:szCs w:val="20"/>
        </w:rPr>
        <w:t xml:space="preserve"> the unrestricted</w:t>
      </w:r>
      <w:r>
        <w:rPr>
          <w:rFonts w:ascii="Arial" w:hAnsi="Arial" w:cs="Arial"/>
          <w:i/>
          <w:sz w:val="20"/>
          <w:szCs w:val="20"/>
        </w:rPr>
        <w:t>/ basic</w:t>
      </w:r>
      <w:r w:rsidRPr="000D38A4">
        <w:rPr>
          <w:rFonts w:ascii="Arial" w:hAnsi="Arial" w:cs="Arial"/>
          <w:i/>
          <w:sz w:val="20"/>
          <w:szCs w:val="20"/>
        </w:rPr>
        <w:t xml:space="preserve"> VAR model will be used and not the VECM.</w:t>
      </w:r>
      <w:r w:rsidRPr="000D38A4">
        <w:rPr>
          <w:rFonts w:ascii="Arial" w:hAnsi="Arial" w:cs="Arial"/>
          <w:i/>
        </w:rPr>
        <w:t xml:space="preserve"> </w:t>
      </w:r>
    </w:p>
  </w:footnote>
  <w:footnote w:id="72">
    <w:p w14:paraId="2696882E" w14:textId="77777777" w:rsidR="00F85F04" w:rsidRPr="000E59E6" w:rsidRDefault="00F85F04" w:rsidP="00F85F04">
      <w:pPr>
        <w:pStyle w:val="FootnoteText"/>
        <w:jc w:val="both"/>
        <w:rPr>
          <w:rFonts w:ascii="Arial" w:hAnsi="Arial" w:cs="Arial"/>
          <w:i/>
        </w:rPr>
      </w:pPr>
      <w:r w:rsidRPr="000E59E6">
        <w:rPr>
          <w:rStyle w:val="FootnoteReference"/>
          <w:rFonts w:ascii="Arial" w:hAnsi="Arial" w:cs="Arial"/>
        </w:rPr>
        <w:footnoteRef/>
      </w:r>
      <w:r w:rsidRPr="000E59E6">
        <w:rPr>
          <w:rFonts w:ascii="Arial" w:hAnsi="Arial" w:cs="Arial"/>
        </w:rPr>
        <w:t xml:space="preserve"> </w:t>
      </w:r>
      <w:r w:rsidRPr="000E59E6">
        <w:rPr>
          <w:rFonts w:ascii="Arial" w:hAnsi="Arial" w:cs="Arial"/>
          <w:i/>
        </w:rPr>
        <w:t>From the VECM, if the coe</w:t>
      </w:r>
      <w:r>
        <w:rPr>
          <w:rFonts w:ascii="Arial" w:hAnsi="Arial" w:cs="Arial"/>
          <w:i/>
        </w:rPr>
        <w:t>fficient of the ECT is negative and statistically significant,</w:t>
      </w:r>
      <w:r w:rsidRPr="000E59E6">
        <w:rPr>
          <w:rFonts w:ascii="Arial" w:hAnsi="Arial" w:cs="Arial"/>
          <w:i/>
        </w:rPr>
        <w:t xml:space="preserve"> it means that a shock in any of the fundamentals in the short</w:t>
      </w:r>
      <w:r>
        <w:rPr>
          <w:rFonts w:ascii="Arial" w:hAnsi="Arial" w:cs="Arial"/>
          <w:i/>
        </w:rPr>
        <w:t xml:space="preserve"> </w:t>
      </w:r>
      <w:r w:rsidRPr="000E59E6">
        <w:rPr>
          <w:rFonts w:ascii="Arial" w:hAnsi="Arial" w:cs="Arial"/>
          <w:i/>
        </w:rPr>
        <w:t>term will cause the REER to diverge in the short</w:t>
      </w:r>
      <w:r>
        <w:rPr>
          <w:rFonts w:ascii="Arial" w:hAnsi="Arial" w:cs="Arial"/>
          <w:i/>
        </w:rPr>
        <w:t xml:space="preserve"> </w:t>
      </w:r>
      <w:r w:rsidRPr="000E59E6">
        <w:rPr>
          <w:rFonts w:ascii="Arial" w:hAnsi="Arial" w:cs="Arial"/>
          <w:i/>
        </w:rPr>
        <w:t xml:space="preserve">term. </w:t>
      </w:r>
      <w:r>
        <w:rPr>
          <w:rFonts w:ascii="Arial" w:hAnsi="Arial" w:cs="Arial"/>
          <w:i/>
        </w:rPr>
        <w:t>I</w:t>
      </w:r>
      <w:r w:rsidRPr="000E59E6">
        <w:rPr>
          <w:rFonts w:ascii="Arial" w:hAnsi="Arial" w:cs="Arial"/>
          <w:i/>
        </w:rPr>
        <w:t>n the long</w:t>
      </w:r>
      <w:r>
        <w:rPr>
          <w:rFonts w:ascii="Arial" w:hAnsi="Arial" w:cs="Arial"/>
          <w:i/>
        </w:rPr>
        <w:t xml:space="preserve"> </w:t>
      </w:r>
      <w:r w:rsidRPr="000E59E6">
        <w:rPr>
          <w:rFonts w:ascii="Arial" w:hAnsi="Arial" w:cs="Arial"/>
          <w:i/>
        </w:rPr>
        <w:t>term, it will be corrected, and the REER converge to its equilibrium. On the other hand, if the coefficient of the ECT is positive, it means that a shock in the short</w:t>
      </w:r>
      <w:r>
        <w:rPr>
          <w:rFonts w:ascii="Arial" w:hAnsi="Arial" w:cs="Arial"/>
          <w:i/>
        </w:rPr>
        <w:t xml:space="preserve"> </w:t>
      </w:r>
      <w:r w:rsidRPr="000E59E6">
        <w:rPr>
          <w:rFonts w:ascii="Arial" w:hAnsi="Arial" w:cs="Arial"/>
          <w:i/>
        </w:rPr>
        <w:t>term will cause the REER to diverge in both the short-term and long</w:t>
      </w:r>
      <w:r>
        <w:rPr>
          <w:rFonts w:ascii="Arial" w:hAnsi="Arial" w:cs="Arial"/>
          <w:i/>
        </w:rPr>
        <w:t xml:space="preserve"> </w:t>
      </w:r>
      <w:r w:rsidRPr="000E59E6">
        <w:rPr>
          <w:rFonts w:ascii="Arial" w:hAnsi="Arial" w:cs="Arial"/>
          <w:i/>
        </w:rPr>
        <w:t xml:space="preserve">term. This will mean that the REER will not converge back to equilibrium. </w:t>
      </w:r>
    </w:p>
  </w:footnote>
  <w:footnote w:id="73">
    <w:p w14:paraId="78CDDA8D" w14:textId="4C3367FD" w:rsidR="00E371EC" w:rsidRPr="00E371EC" w:rsidRDefault="00E371EC" w:rsidP="00E371EC">
      <w:pPr>
        <w:pStyle w:val="FootnoteText"/>
        <w:jc w:val="both"/>
        <w:rPr>
          <w:i/>
          <w:iCs/>
        </w:rPr>
      </w:pPr>
      <w:r w:rsidRPr="00E371EC">
        <w:rPr>
          <w:rStyle w:val="FootnoteReference"/>
          <w:i/>
          <w:iCs/>
        </w:rPr>
        <w:footnoteRef/>
      </w:r>
      <w:r w:rsidRPr="00E371EC">
        <w:rPr>
          <w:i/>
          <w:iCs/>
        </w:rPr>
        <w:t xml:space="preserve"> </w:t>
      </w:r>
      <w:r w:rsidRPr="00E371EC">
        <w:rPr>
          <w:rFonts w:ascii="Arial" w:hAnsi="Arial" w:cs="Arial"/>
          <w:i/>
          <w:iCs/>
          <w:lang w:eastAsia="en-GB"/>
        </w:rPr>
        <w:t>Though the Johansen cointegration results showed the presence of cointegration in the model, it was from a generic perspective and not specific between REER and its independent variables model. Thus, the cointegration could be between the other variables as target variables and not REER as the target variable.</w:t>
      </w:r>
    </w:p>
  </w:footnote>
  <w:footnote w:id="74">
    <w:p w14:paraId="30526947" w14:textId="7B696E4F" w:rsidR="009438AD" w:rsidRPr="009438AD" w:rsidRDefault="009438AD" w:rsidP="009438AD">
      <w:pPr>
        <w:pStyle w:val="FootnoteText"/>
        <w:jc w:val="both"/>
        <w:rPr>
          <w:i/>
          <w:iCs/>
        </w:rPr>
      </w:pPr>
      <w:r w:rsidRPr="009438AD">
        <w:rPr>
          <w:rStyle w:val="FootnoteReference"/>
          <w:i/>
          <w:iCs/>
        </w:rPr>
        <w:footnoteRef/>
      </w:r>
      <w:r w:rsidRPr="009438AD">
        <w:rPr>
          <w:i/>
          <w:iCs/>
        </w:rPr>
        <w:t xml:space="preserve"> </w:t>
      </w:r>
      <w:r w:rsidRPr="009438AD">
        <w:rPr>
          <w:rFonts w:ascii="Arial" w:hAnsi="Arial" w:cs="Arial"/>
          <w:i/>
          <w:iCs/>
          <w:lang w:eastAsia="en-GB"/>
        </w:rPr>
        <w:t>Trade openness should allow a reduction in trade barriers and favour imports, which in turn will lead to a depreciation of the exchange rate (Gantman and Dabós, 2018; Dornbusch, 1974). On the other hand, a positive effect could be justified by the fact that trade openness may lead to the importation of capital goods, which in the long term will promote exports and exert upward pressure on the actual real exchange rate of the CFA franc (Wonyra, 2018; Yusoff and Febrina, 2014). </w:t>
      </w:r>
    </w:p>
  </w:footnote>
  <w:footnote w:id="75">
    <w:p w14:paraId="5D3FF10A" w14:textId="2BD219F3" w:rsidR="00F41E4D" w:rsidRPr="005375A3" w:rsidRDefault="00F41E4D">
      <w:pPr>
        <w:pStyle w:val="FootnoteText"/>
        <w:rPr>
          <w:rFonts w:ascii="Arial" w:hAnsi="Arial" w:cs="Arial"/>
        </w:rPr>
      </w:pPr>
      <w:r>
        <w:rPr>
          <w:rStyle w:val="FootnoteReference"/>
        </w:rPr>
        <w:footnoteRef/>
      </w:r>
      <w:r>
        <w:t xml:space="preserve"> </w:t>
      </w:r>
      <w:r>
        <w:rPr>
          <w:rFonts w:ascii="Arial" w:hAnsi="Arial" w:cs="Arial"/>
        </w:rPr>
        <w:t xml:space="preserve">As there is no long-term relation in both Cameroon and Gabon models, we use the unrestricted VAR. The VECM was used for CAR and Equatorial Guinea models. </w:t>
      </w:r>
    </w:p>
  </w:footnote>
  <w:footnote w:id="76">
    <w:p w14:paraId="1F919B74" w14:textId="28D2FD3A" w:rsidR="00F41E4D" w:rsidRPr="00A97910" w:rsidRDefault="00F41E4D" w:rsidP="00FC5FC6">
      <w:pPr>
        <w:pStyle w:val="FootnoteText"/>
        <w:jc w:val="both"/>
        <w:rPr>
          <w:rFonts w:ascii="Arial" w:hAnsi="Arial" w:cs="Arial"/>
          <w:i/>
          <w:iCs/>
        </w:rPr>
      </w:pPr>
      <w:r>
        <w:rPr>
          <w:rStyle w:val="FootnoteReference"/>
        </w:rPr>
        <w:footnoteRef/>
      </w:r>
      <w:r>
        <w:t xml:space="preserve"> </w:t>
      </w:r>
      <w:r w:rsidRPr="00A97910">
        <w:rPr>
          <w:rFonts w:ascii="Arial" w:hAnsi="Arial" w:cs="Arial"/>
          <w:i/>
          <w:iCs/>
          <w:lang w:eastAsia="en-GB"/>
        </w:rPr>
        <w:t xml:space="preserve">This was not only for Gabon, but also </w:t>
      </w:r>
      <w:r>
        <w:rPr>
          <w:rFonts w:ascii="Arial" w:hAnsi="Arial" w:cs="Arial"/>
          <w:i/>
          <w:iCs/>
          <w:lang w:eastAsia="en-GB"/>
        </w:rPr>
        <w:t>for</w:t>
      </w:r>
      <w:r w:rsidRPr="00A97910">
        <w:rPr>
          <w:rFonts w:ascii="Arial" w:hAnsi="Arial" w:cs="Arial"/>
          <w:i/>
          <w:iCs/>
          <w:lang w:eastAsia="en-GB"/>
        </w:rPr>
        <w:t xml:space="preserve"> the other CEMAC nations.</w:t>
      </w:r>
    </w:p>
  </w:footnote>
  <w:footnote w:id="77">
    <w:p w14:paraId="269D2EB6" w14:textId="0CA520EA" w:rsidR="00F41E4D" w:rsidRPr="00C17ABE" w:rsidRDefault="00F41E4D" w:rsidP="001D1B14">
      <w:pPr>
        <w:pStyle w:val="FootnoteText"/>
        <w:jc w:val="both"/>
        <w:rPr>
          <w:i/>
          <w:iCs/>
        </w:rPr>
      </w:pPr>
      <w:r w:rsidRPr="00A97910">
        <w:rPr>
          <w:rStyle w:val="FootnoteReference"/>
          <w:rFonts w:ascii="Arial" w:hAnsi="Arial" w:cs="Arial"/>
        </w:rPr>
        <w:footnoteRef/>
      </w:r>
      <w:r w:rsidRPr="00A97910">
        <w:rPr>
          <w:rFonts w:ascii="Arial" w:hAnsi="Arial" w:cs="Arial"/>
        </w:rPr>
        <w:t xml:space="preserve"> </w:t>
      </w:r>
      <w:r w:rsidRPr="00A97910">
        <w:rPr>
          <w:rFonts w:ascii="Arial" w:hAnsi="Arial" w:cs="Arial"/>
          <w:i/>
          <w:iCs/>
        </w:rPr>
        <w:t xml:space="preserve">The currency has been at equilibrium from the year 2010 till the year 2018. Moreover, the other </w:t>
      </w:r>
      <w:r w:rsidRPr="00A97910">
        <w:rPr>
          <w:rFonts w:ascii="Arial" w:hAnsi="Arial" w:cs="Arial"/>
          <w:i/>
          <w:iCs/>
          <w:lang w:eastAsia="en-GB"/>
        </w:rPr>
        <w:t xml:space="preserve">CEMAC </w:t>
      </w:r>
      <w:r>
        <w:rPr>
          <w:rFonts w:ascii="Arial" w:hAnsi="Arial" w:cs="Arial"/>
          <w:i/>
          <w:iCs/>
          <w:lang w:eastAsia="en-GB"/>
        </w:rPr>
        <w:t>nations’</w:t>
      </w:r>
      <w:r w:rsidRPr="00A97910">
        <w:rPr>
          <w:rFonts w:ascii="Arial" w:hAnsi="Arial" w:cs="Arial"/>
          <w:i/>
          <w:iCs/>
          <w:lang w:eastAsia="en-GB"/>
        </w:rPr>
        <w:t xml:space="preserve"> currencies are also at equilibrium. Thus, there will be no need for any devaluation</w:t>
      </w:r>
      <w:r w:rsidRPr="003B762C">
        <w:rPr>
          <w:rFonts w:ascii="Arial" w:hAnsi="Arial" w:cs="Arial"/>
          <w:i/>
          <w:iCs/>
          <w:lang w:eastAsia="en-GB"/>
        </w:rPr>
        <w:t>.</w:t>
      </w:r>
    </w:p>
  </w:footnote>
  <w:footnote w:id="78">
    <w:p w14:paraId="1E4C8A32" w14:textId="42F98A7F" w:rsidR="00F41E4D" w:rsidRDefault="00F41E4D" w:rsidP="00806598">
      <w:pPr>
        <w:pStyle w:val="FootnoteText"/>
      </w:pPr>
      <w:r>
        <w:rPr>
          <w:rStyle w:val="FootnoteReference"/>
        </w:rPr>
        <w:footnoteRef/>
      </w:r>
      <w:r w:rsidRPr="00866AFC">
        <w:rPr>
          <w:i/>
        </w:rPr>
        <w:t xml:space="preserve"> </w:t>
      </w:r>
      <w:r w:rsidRPr="00866AFC">
        <w:rPr>
          <w:rFonts w:ascii="Arial" w:hAnsi="Arial" w:cs="Arial"/>
          <w:i/>
          <w:lang w:eastAsia="en-GB"/>
        </w:rPr>
        <w:t>When the actual REER is below the EREER (BEER), it is undervalued</w:t>
      </w:r>
      <w:r w:rsidR="007D1E12">
        <w:rPr>
          <w:rFonts w:ascii="Arial" w:hAnsi="Arial" w:cs="Arial"/>
          <w:i/>
          <w:lang w:eastAsia="en-GB"/>
        </w:rPr>
        <w:t>.</w:t>
      </w:r>
    </w:p>
  </w:footnote>
  <w:footnote w:id="79">
    <w:p w14:paraId="795E69D1" w14:textId="07738BCA" w:rsidR="00F41E4D" w:rsidRPr="000D4058" w:rsidRDefault="00F41E4D" w:rsidP="00806598">
      <w:pPr>
        <w:pStyle w:val="FootnoteText"/>
        <w:jc w:val="both"/>
        <w:rPr>
          <w:rFonts w:ascii="Arial" w:hAnsi="Arial" w:cs="Arial"/>
          <w:i/>
        </w:rPr>
      </w:pPr>
      <w:r w:rsidRPr="000D4058">
        <w:rPr>
          <w:rStyle w:val="FootnoteReference"/>
          <w:rFonts w:ascii="Arial" w:hAnsi="Arial" w:cs="Arial"/>
        </w:rPr>
        <w:footnoteRef/>
      </w:r>
      <w:r w:rsidRPr="000D4058">
        <w:rPr>
          <w:rFonts w:ascii="Arial" w:hAnsi="Arial" w:cs="Arial"/>
        </w:rPr>
        <w:t xml:space="preserve"> </w:t>
      </w:r>
      <w:r>
        <w:rPr>
          <w:rFonts w:ascii="Arial" w:hAnsi="Arial" w:cs="Arial"/>
          <w:i/>
        </w:rPr>
        <w:t>A</w:t>
      </w:r>
      <w:r w:rsidRPr="000D4058">
        <w:rPr>
          <w:rFonts w:ascii="Arial" w:hAnsi="Arial" w:cs="Arial"/>
          <w:i/>
        </w:rPr>
        <w:t>s stated by Rodrik (2008), due to institutional weakness and market failure faced by developing nations, the</w:t>
      </w:r>
      <w:r>
        <w:rPr>
          <w:rFonts w:ascii="Arial" w:hAnsi="Arial" w:cs="Arial"/>
          <w:i/>
        </w:rPr>
        <w:t>y</w:t>
      </w:r>
      <w:r w:rsidRPr="000D4058">
        <w:rPr>
          <w:rFonts w:ascii="Arial" w:hAnsi="Arial" w:cs="Arial"/>
          <w:i/>
        </w:rPr>
        <w:t xml:space="preserve"> usually turn to currency devaluation as the second-best option. So, if the devaluation was done not only to get the currency back to equilibrium but to get it devalue</w:t>
      </w:r>
      <w:r>
        <w:rPr>
          <w:rFonts w:ascii="Arial" w:hAnsi="Arial" w:cs="Arial"/>
          <w:i/>
        </w:rPr>
        <w:t>d</w:t>
      </w:r>
      <w:r w:rsidRPr="000D4058">
        <w:rPr>
          <w:rFonts w:ascii="Arial" w:hAnsi="Arial" w:cs="Arial"/>
          <w:i/>
        </w:rPr>
        <w:t xml:space="preserve"> in order for their products to be more competitive in the international market, then the devaluation was necessary. However, we need to evaluate if the degree of devaluation is commensurate or enough to impact on international competitiveness. Was the devaluation able to </w:t>
      </w:r>
      <w:r>
        <w:rPr>
          <w:rFonts w:ascii="Arial" w:hAnsi="Arial" w:cs="Arial"/>
          <w:i/>
        </w:rPr>
        <w:t xml:space="preserve">improve the trade balance, </w:t>
      </w:r>
      <w:r w:rsidRPr="000D4058">
        <w:rPr>
          <w:rFonts w:ascii="Arial" w:hAnsi="Arial" w:cs="Arial"/>
          <w:i/>
        </w:rPr>
        <w:t>attract foreign investors</w:t>
      </w:r>
      <w:r>
        <w:rPr>
          <w:rFonts w:ascii="Arial" w:hAnsi="Arial" w:cs="Arial"/>
          <w:i/>
        </w:rPr>
        <w:t>, and improve economic growth</w:t>
      </w:r>
      <w:r w:rsidRPr="000D4058">
        <w:rPr>
          <w:rFonts w:ascii="Arial" w:hAnsi="Arial" w:cs="Arial"/>
          <w:i/>
        </w:rPr>
        <w:t xml:space="preserve">? Also, the opportunity cost of currency reserve so as for the devaluation to be effective </w:t>
      </w:r>
      <w:r>
        <w:rPr>
          <w:rFonts w:ascii="Arial" w:hAnsi="Arial" w:cs="Arial"/>
          <w:i/>
        </w:rPr>
        <w:t>needs</w:t>
      </w:r>
      <w:r w:rsidRPr="000D4058">
        <w:rPr>
          <w:rFonts w:ascii="Arial" w:hAnsi="Arial" w:cs="Arial"/>
          <w:i/>
        </w:rPr>
        <w:t xml:space="preserve"> to be taken into cognition.   </w:t>
      </w:r>
    </w:p>
  </w:footnote>
  <w:footnote w:id="80">
    <w:p w14:paraId="3C0892F9" w14:textId="77777777" w:rsidR="00F41E4D" w:rsidRPr="00264841" w:rsidRDefault="00F41E4D" w:rsidP="00845EB8">
      <w:pPr>
        <w:pStyle w:val="FootnoteText"/>
        <w:jc w:val="both"/>
        <w:rPr>
          <w:rFonts w:ascii="Arial" w:hAnsi="Arial" w:cs="Arial"/>
        </w:rPr>
      </w:pPr>
      <w:r w:rsidRPr="00264841">
        <w:rPr>
          <w:rStyle w:val="FootnoteReference"/>
          <w:rFonts w:ascii="Arial" w:hAnsi="Arial" w:cs="Arial"/>
        </w:rPr>
        <w:footnoteRef/>
      </w:r>
      <w:r w:rsidRPr="00264841">
        <w:rPr>
          <w:rFonts w:ascii="Arial" w:hAnsi="Arial" w:cs="Arial"/>
        </w:rPr>
        <w:t xml:space="preserve"> </w:t>
      </w:r>
      <w:r w:rsidRPr="00264841">
        <w:rPr>
          <w:rFonts w:ascii="Arial" w:hAnsi="Arial" w:cs="Arial"/>
          <w:i/>
        </w:rPr>
        <w:t>MacDonald and Ricci (2003) used the Johansen FIML in estimating the equilibrium real exchange rate of South Africa.</w:t>
      </w:r>
      <w:r w:rsidRPr="00264841">
        <w:rPr>
          <w:rStyle w:val="FootnoteReference"/>
          <w:rFonts w:ascii="Arial" w:hAnsi="Arial" w:cs="Arial"/>
          <w:i/>
          <w:sz w:val="24"/>
          <w:szCs w:val="24"/>
        </w:rPr>
        <w:t xml:space="preserve"> </w:t>
      </w:r>
      <w:r w:rsidRPr="00264841">
        <w:rPr>
          <w:rFonts w:ascii="Arial" w:hAnsi="Arial" w:cs="Arial"/>
          <w:i/>
        </w:rPr>
        <w:t>Eita and Sichei (2006) also used this approach at estimating the cointegration of Namibia.</w:t>
      </w:r>
    </w:p>
  </w:footnote>
  <w:footnote w:id="81">
    <w:p w14:paraId="360E65F8" w14:textId="77777777" w:rsidR="00F41E4D" w:rsidRDefault="00F41E4D" w:rsidP="00845EB8">
      <w:pPr>
        <w:pStyle w:val="FootnoteText"/>
        <w:jc w:val="both"/>
      </w:pPr>
      <w:r w:rsidRPr="00264841">
        <w:rPr>
          <w:rStyle w:val="FootnoteReference"/>
          <w:rFonts w:ascii="Arial" w:hAnsi="Arial" w:cs="Arial"/>
        </w:rPr>
        <w:footnoteRef/>
      </w:r>
      <w:r w:rsidRPr="00264841">
        <w:rPr>
          <w:rFonts w:ascii="Arial" w:hAnsi="Arial" w:cs="Arial"/>
        </w:rPr>
        <w:t xml:space="preserve"> </w:t>
      </w:r>
      <w:r w:rsidRPr="00264841">
        <w:rPr>
          <w:rFonts w:ascii="Arial" w:hAnsi="Arial" w:cs="Arial"/>
          <w:i/>
        </w:rPr>
        <w:t>Because the REER is seldom at equilibrium, we assumed it is at equilibrium when the misalignment (differences between REER and EREER) revolves around absolute 5%.</w:t>
      </w:r>
      <w:r w:rsidRPr="00264841">
        <w:rPr>
          <w:rFonts w:ascii="Arial" w:hAnsi="Arial" w:cs="Arial"/>
        </w:rPr>
        <w:t xml:space="preserve">   </w:t>
      </w:r>
    </w:p>
  </w:footnote>
  <w:footnote w:id="82">
    <w:p w14:paraId="11DD2D83" w14:textId="77777777" w:rsidR="00617A28" w:rsidRPr="008D4C7A" w:rsidRDefault="00617A28" w:rsidP="00617A28">
      <w:pPr>
        <w:pStyle w:val="FootnoteText"/>
        <w:jc w:val="both"/>
        <w:rPr>
          <w:rFonts w:ascii="Arial" w:hAnsi="Arial" w:cs="Arial"/>
          <w:i/>
          <w:iCs/>
        </w:rPr>
      </w:pPr>
      <w:r w:rsidRPr="008D4C7A">
        <w:rPr>
          <w:rStyle w:val="FootnoteReference"/>
          <w:rFonts w:ascii="Arial" w:hAnsi="Arial" w:cs="Arial"/>
        </w:rPr>
        <w:footnoteRef/>
      </w:r>
      <w:r w:rsidRPr="008D4C7A">
        <w:rPr>
          <w:rFonts w:ascii="Arial" w:hAnsi="Arial" w:cs="Arial"/>
        </w:rPr>
        <w:t xml:space="preserve"> </w:t>
      </w:r>
      <w:r w:rsidRPr="008D4C7A">
        <w:rPr>
          <w:rFonts w:ascii="Arial" w:hAnsi="Arial" w:cs="Arial"/>
          <w:i/>
          <w:iCs/>
        </w:rPr>
        <w:t xml:space="preserve">The nations used were Cameroon, Central Africa Republic – CAR, and Gabon. The other three CEMAC nations (Chad, Congo, and Equatorial Guinea) were not used due to lack of data. </w:t>
      </w:r>
    </w:p>
  </w:footnote>
  <w:footnote w:id="83">
    <w:p w14:paraId="6D27B7CE" w14:textId="77777777" w:rsidR="00617A28" w:rsidRDefault="00617A28" w:rsidP="00617A28">
      <w:pPr>
        <w:pStyle w:val="FootnoteText"/>
        <w:jc w:val="both"/>
      </w:pPr>
      <w:r>
        <w:rPr>
          <w:rStyle w:val="FootnoteReference"/>
        </w:rPr>
        <w:footnoteRef/>
      </w:r>
      <w:r>
        <w:t xml:space="preserve"> </w:t>
      </w:r>
      <w:r w:rsidRPr="00E82827">
        <w:rPr>
          <w:rFonts w:ascii="Arial" w:hAnsi="Arial" w:cs="Arial"/>
          <w:i/>
        </w:rPr>
        <w:t xml:space="preserve">A real </w:t>
      </w:r>
      <w:r>
        <w:rPr>
          <w:rFonts w:ascii="Arial" w:hAnsi="Arial" w:cs="Arial"/>
          <w:i/>
        </w:rPr>
        <w:t xml:space="preserve">effective </w:t>
      </w:r>
      <w:r w:rsidRPr="00E82827">
        <w:rPr>
          <w:rFonts w:ascii="Arial" w:hAnsi="Arial" w:cs="Arial"/>
          <w:i/>
        </w:rPr>
        <w:t>exchange rate (RE</w:t>
      </w:r>
      <w:r>
        <w:rPr>
          <w:rFonts w:ascii="Arial" w:hAnsi="Arial" w:cs="Arial"/>
          <w:i/>
        </w:rPr>
        <w:t>E</w:t>
      </w:r>
      <w:r w:rsidRPr="00E82827">
        <w:rPr>
          <w:rFonts w:ascii="Arial" w:hAnsi="Arial" w:cs="Arial"/>
          <w:i/>
        </w:rPr>
        <w:t xml:space="preserve">R) devaluation often causes a nation’s trade balance to worsen in the short-term before improving in the long-run, thereby having a </w:t>
      </w:r>
      <w:r w:rsidRPr="00E82827">
        <w:rPr>
          <w:rFonts w:ascii="Arial" w:hAnsi="Arial" w:cs="Arial"/>
          <w:i/>
          <w:iCs/>
        </w:rPr>
        <w:t>J-</w:t>
      </w:r>
      <w:r w:rsidRPr="00E82827">
        <w:rPr>
          <w:rFonts w:ascii="Arial" w:hAnsi="Arial" w:cs="Arial"/>
          <w:i/>
        </w:rPr>
        <w:t xml:space="preserve">curve-like effect on a nation’s trade balance. </w:t>
      </w:r>
    </w:p>
  </w:footnote>
  <w:footnote w:id="84">
    <w:p w14:paraId="27C34309" w14:textId="77777777" w:rsidR="00617A28" w:rsidRDefault="00617A28" w:rsidP="00617A28">
      <w:pPr>
        <w:pStyle w:val="FootnoteText"/>
        <w:jc w:val="both"/>
      </w:pPr>
      <w:r>
        <w:rPr>
          <w:rStyle w:val="FootnoteReference"/>
        </w:rPr>
        <w:footnoteRef/>
      </w:r>
      <w:r>
        <w:t xml:space="preserve"> </w:t>
      </w:r>
      <w:r w:rsidRPr="008D4C7A">
        <w:rPr>
          <w:rFonts w:ascii="Arial" w:hAnsi="Arial" w:cs="Arial"/>
          <w:i/>
          <w:iCs/>
        </w:rPr>
        <w:t>The absence of the </w:t>
      </w:r>
      <w:r w:rsidRPr="008D4C7A">
        <w:rPr>
          <w:rStyle w:val="Emphasis"/>
          <w:rFonts w:ascii="Arial" w:hAnsi="Arial" w:cs="Arial"/>
          <w:i w:val="0"/>
          <w:iCs w:val="0"/>
          <w:color w:val="0E101A"/>
        </w:rPr>
        <w:t>J-</w:t>
      </w:r>
      <w:r w:rsidRPr="008D4C7A">
        <w:rPr>
          <w:rFonts w:ascii="Arial" w:hAnsi="Arial" w:cs="Arial"/>
          <w:i/>
          <w:iCs/>
        </w:rPr>
        <w:t>curve implies that the devaluation does not improve the trade balance with the individual trade partner and that the government could use other policies to improve their trade balance (deficit) (Dhakir </w:t>
      </w:r>
      <w:r w:rsidRPr="008D4C7A">
        <w:rPr>
          <w:rStyle w:val="Emphasis"/>
          <w:rFonts w:ascii="Arial" w:hAnsi="Arial" w:cs="Arial"/>
          <w:i w:val="0"/>
          <w:iCs w:val="0"/>
          <w:color w:val="0E101A"/>
        </w:rPr>
        <w:t>et al.,</w:t>
      </w:r>
      <w:r w:rsidRPr="008D4C7A">
        <w:rPr>
          <w:rFonts w:ascii="Arial" w:hAnsi="Arial" w:cs="Arial"/>
          <w:i/>
          <w:iCs/>
        </w:rPr>
        <w:t> 2015; Ziramba and Chifamba, 2014; Magee, 1973).</w:t>
      </w:r>
    </w:p>
  </w:footnote>
  <w:footnote w:id="85">
    <w:p w14:paraId="70FE74AC" w14:textId="16E4C5AA" w:rsidR="00F41E4D" w:rsidRPr="008E6CF5" w:rsidRDefault="00F41E4D" w:rsidP="00A47273">
      <w:pPr>
        <w:pStyle w:val="FootnoteText"/>
        <w:jc w:val="both"/>
        <w:rPr>
          <w:i/>
        </w:rPr>
      </w:pPr>
      <w:r w:rsidRPr="008E6CF5">
        <w:rPr>
          <w:rStyle w:val="FootnoteReference"/>
          <w:i/>
        </w:rPr>
        <w:footnoteRef/>
      </w:r>
      <w:r w:rsidRPr="008E6CF5">
        <w:rPr>
          <w:i/>
        </w:rPr>
        <w:t xml:space="preserve"> </w:t>
      </w:r>
      <w:r w:rsidRPr="0047717A">
        <w:rPr>
          <w:rFonts w:ascii="Arial" w:hAnsi="Arial" w:cs="Arial"/>
          <w:i/>
        </w:rPr>
        <w:t xml:space="preserve">The </w:t>
      </w:r>
      <w:r w:rsidRPr="0047717A">
        <w:rPr>
          <w:rFonts w:ascii="Arial" w:hAnsi="Arial" w:cs="Arial"/>
          <w:i/>
          <w:lang w:val="en-US"/>
        </w:rPr>
        <w:t xml:space="preserve">condition states that devaluation improves the </w:t>
      </w:r>
      <w:r w:rsidR="00177A90">
        <w:rPr>
          <w:rFonts w:ascii="Arial" w:hAnsi="Arial" w:cs="Arial"/>
          <w:i/>
          <w:lang w:val="en-US"/>
        </w:rPr>
        <w:t>TB</w:t>
      </w:r>
      <w:r w:rsidRPr="0047717A">
        <w:rPr>
          <w:rFonts w:ascii="Arial" w:hAnsi="Arial" w:cs="Arial"/>
          <w:i/>
          <w:lang w:val="en-US"/>
        </w:rPr>
        <w:t xml:space="preserve"> if the sum of the foreign price elasticity of demand for export (ƞ</w:t>
      </w:r>
      <w:r w:rsidRPr="0047717A">
        <w:rPr>
          <w:rFonts w:ascii="Arial" w:hAnsi="Arial" w:cs="Arial"/>
          <w:i/>
          <w:vertAlign w:val="subscript"/>
          <w:lang w:val="en-US"/>
        </w:rPr>
        <w:t>x</w:t>
      </w:r>
      <w:r w:rsidRPr="0047717A">
        <w:rPr>
          <w:rFonts w:ascii="Arial" w:hAnsi="Arial" w:cs="Arial"/>
          <w:i/>
          <w:lang w:val="en-US"/>
        </w:rPr>
        <w:t>) and domestic price elasticity of demand for imports (ƞ</w:t>
      </w:r>
      <w:r w:rsidRPr="0047717A">
        <w:rPr>
          <w:rFonts w:ascii="Arial" w:hAnsi="Arial" w:cs="Arial"/>
          <w:i/>
          <w:vertAlign w:val="subscript"/>
          <w:lang w:val="en-US"/>
        </w:rPr>
        <w:t>m</w:t>
      </w:r>
      <w:r w:rsidRPr="0047717A">
        <w:rPr>
          <w:rFonts w:ascii="Arial" w:hAnsi="Arial" w:cs="Arial"/>
          <w:i/>
          <w:lang w:val="en-US"/>
        </w:rPr>
        <w:t xml:space="preserve">) exceeds unity, in absolute value, </w:t>
      </w:r>
      <w:r w:rsidR="00177A90">
        <w:rPr>
          <w:rFonts w:ascii="Arial" w:hAnsi="Arial" w:cs="Arial"/>
          <w:i/>
          <w:lang w:val="en-US"/>
        </w:rPr>
        <w:t>(</w:t>
      </w:r>
      <w:r w:rsidRPr="0047717A">
        <w:rPr>
          <w:rFonts w:ascii="Arial" w:hAnsi="Arial" w:cs="Arial"/>
          <w:i/>
          <w:lang w:val="en-US"/>
        </w:rPr>
        <w:t>i.e., if:</w:t>
      </w:r>
      <w:r w:rsidRPr="0047717A">
        <w:rPr>
          <w:rFonts w:ascii="Arial" w:hAnsi="Arial" w:cs="Arial"/>
          <w:lang w:val="en-US"/>
        </w:rPr>
        <w:t xml:space="preserve"> </w:t>
      </w:r>
      <w:r w:rsidRPr="00177A90">
        <w:rPr>
          <w:rFonts w:ascii="Arial" w:hAnsi="Arial" w:cs="Arial"/>
          <w:i/>
          <w:lang w:val="en-US"/>
        </w:rPr>
        <w:t>│</w:t>
      </w:r>
      <w:r w:rsidRPr="0047717A">
        <w:rPr>
          <w:rFonts w:ascii="Arial" w:hAnsi="Arial" w:cs="Arial"/>
          <w:i/>
          <w:lang w:val="en-US"/>
        </w:rPr>
        <w:t>ƞ</w:t>
      </w:r>
      <w:r w:rsidRPr="0047717A">
        <w:rPr>
          <w:rFonts w:ascii="Arial" w:hAnsi="Arial" w:cs="Arial"/>
          <w:i/>
          <w:vertAlign w:val="subscript"/>
          <w:lang w:val="en-US"/>
        </w:rPr>
        <w:t>x</w:t>
      </w:r>
      <w:r w:rsidRPr="0047717A">
        <w:rPr>
          <w:rFonts w:ascii="Arial" w:hAnsi="Arial" w:cs="Arial"/>
          <w:i/>
          <w:lang w:val="en-US"/>
        </w:rPr>
        <w:t xml:space="preserve"> + ƞ</w:t>
      </w:r>
      <w:r w:rsidRPr="0047717A">
        <w:rPr>
          <w:rFonts w:ascii="Arial" w:hAnsi="Arial" w:cs="Arial"/>
          <w:i/>
          <w:vertAlign w:val="subscript"/>
          <w:lang w:val="en-US"/>
        </w:rPr>
        <w:t>m</w:t>
      </w:r>
      <w:r w:rsidRPr="0047717A">
        <w:rPr>
          <w:rFonts w:ascii="Arial" w:hAnsi="Arial" w:cs="Arial"/>
          <w:i/>
          <w:lang w:val="en-US"/>
        </w:rPr>
        <w:t>│ &gt;1</w:t>
      </w:r>
      <w:r w:rsidR="00177A90">
        <w:rPr>
          <w:rFonts w:ascii="Arial" w:hAnsi="Arial" w:cs="Arial"/>
          <w:i/>
          <w:lang w:val="en-US"/>
        </w:rPr>
        <w:t>)</w:t>
      </w:r>
      <w:r>
        <w:rPr>
          <w:rFonts w:ascii="Arial" w:hAnsi="Arial" w:cs="Arial"/>
          <w:i/>
          <w:lang w:val="en-US"/>
        </w:rPr>
        <w:t xml:space="preserve">. </w:t>
      </w:r>
    </w:p>
  </w:footnote>
  <w:footnote w:id="86">
    <w:p w14:paraId="791792AA" w14:textId="77777777" w:rsidR="00F41E4D" w:rsidRPr="002F7159" w:rsidRDefault="00F41E4D" w:rsidP="00EC0BCE">
      <w:pPr>
        <w:pStyle w:val="FootnoteText"/>
        <w:jc w:val="both"/>
        <w:rPr>
          <w:rFonts w:ascii="Arial" w:hAnsi="Arial" w:cs="Arial"/>
          <w:i/>
        </w:rPr>
      </w:pPr>
      <w:r w:rsidRPr="002F7159">
        <w:rPr>
          <w:rStyle w:val="FootnoteReference"/>
          <w:rFonts w:ascii="Arial" w:hAnsi="Arial" w:cs="Arial"/>
        </w:rPr>
        <w:footnoteRef/>
      </w:r>
      <w:r w:rsidRPr="002F7159">
        <w:rPr>
          <w:rFonts w:ascii="Arial" w:hAnsi="Arial" w:cs="Arial"/>
        </w:rPr>
        <w:t xml:space="preserve"> </w:t>
      </w:r>
      <w:r w:rsidRPr="002F7159">
        <w:rPr>
          <w:rFonts w:ascii="Arial" w:hAnsi="Arial" w:cs="Arial"/>
          <w:i/>
          <w:lang w:val="en-US"/>
        </w:rPr>
        <w:t xml:space="preserve">The ECT is the speed at which a dependent variable returns to equilibrium after a change in other variables. If ECT </w:t>
      </w:r>
      <w:r>
        <w:rPr>
          <w:rFonts w:ascii="Arial" w:hAnsi="Arial" w:cs="Arial"/>
          <w:i/>
          <w:lang w:val="en-US"/>
        </w:rPr>
        <w:t>has a negative sign and is statistically significant</w:t>
      </w:r>
      <w:r w:rsidRPr="002F7159">
        <w:rPr>
          <w:rFonts w:ascii="Arial" w:hAnsi="Arial" w:cs="Arial"/>
          <w:i/>
          <w:lang w:val="en-US"/>
        </w:rPr>
        <w:t>, it implies that any shock happening in the short-term will be corrected in the long-term</w:t>
      </w:r>
      <w:r>
        <w:rPr>
          <w:rFonts w:ascii="Arial" w:hAnsi="Arial" w:cs="Arial"/>
          <w:i/>
          <w:lang w:val="en-US"/>
        </w:rPr>
        <w:t xml:space="preserve">. </w:t>
      </w:r>
    </w:p>
  </w:footnote>
  <w:footnote w:id="87">
    <w:p w14:paraId="55E7FA96" w14:textId="6701C77A" w:rsidR="00F41E4D" w:rsidRPr="00E45E2D" w:rsidRDefault="00F41E4D" w:rsidP="00E45E2D">
      <w:pPr>
        <w:spacing w:after="0" w:line="240" w:lineRule="auto"/>
        <w:jc w:val="both"/>
        <w:rPr>
          <w:rFonts w:ascii="Arial" w:hAnsi="Arial" w:cs="Arial"/>
          <w:lang w:val="en-US"/>
        </w:rPr>
      </w:pPr>
      <w:r>
        <w:rPr>
          <w:rStyle w:val="FootnoteReference"/>
        </w:rPr>
        <w:footnoteRef/>
      </w:r>
      <w:r>
        <w:t xml:space="preserve"> </w:t>
      </w:r>
      <w:r w:rsidRPr="002379DE">
        <w:rPr>
          <w:rFonts w:ascii="Arial" w:hAnsi="Arial" w:cs="Arial"/>
          <w:i/>
          <w:iCs/>
          <w:sz w:val="20"/>
          <w:szCs w:val="20"/>
        </w:rPr>
        <w:t>Thus, Pesaran et al. (2001) compute two sets of critical values for a given significance level. One set assumes that all variables are I(0) and the other set assumes they are all I(1). If the computed F-statistic exceeds the upper critical bounds value, it implies there is cointegration. If the F-statistic is below the lower critical bounds value, it implies no cointegration. Lastly, if the F-statistic falls into the bounds, then the test becomes inconclusive. In such situation, one could look at the error-correction term in the ARDL’s short-term representation (Kremers et al.,1992). If the error-correction term is negative and statistically significant, it means that the variables are quick on approaching their long-term stabilizing condition and can be used to establish cointegration.</w:t>
      </w:r>
    </w:p>
  </w:footnote>
  <w:footnote w:id="88">
    <w:p w14:paraId="12283262" w14:textId="0D804F05" w:rsidR="002920FD" w:rsidRDefault="002920FD" w:rsidP="002920FD">
      <w:pPr>
        <w:spacing w:after="0" w:line="240" w:lineRule="auto"/>
        <w:jc w:val="both"/>
      </w:pPr>
      <w:r>
        <w:rPr>
          <w:rStyle w:val="FootnoteReference"/>
        </w:rPr>
        <w:footnoteRef/>
      </w:r>
      <w:r>
        <w:t xml:space="preserve"> </w:t>
      </w:r>
      <w:r w:rsidRPr="00181EBB">
        <w:rPr>
          <w:rFonts w:ascii="Arial" w:hAnsi="Arial" w:cs="Arial"/>
          <w:i/>
          <w:iCs/>
          <w:sz w:val="20"/>
          <w:szCs w:val="20"/>
          <w:lang w:eastAsia="en-GB"/>
        </w:rPr>
        <w:t xml:space="preserve">Cameroon’s main trade partners are China, France, India, Netherlands, and Spain. CAR main trading partners are Cameroon, China, France, India, and Nepal. While Gabon’s </w:t>
      </w:r>
      <w:r>
        <w:rPr>
          <w:rFonts w:ascii="Arial" w:hAnsi="Arial" w:cs="Arial"/>
          <w:i/>
          <w:iCs/>
          <w:sz w:val="20"/>
          <w:szCs w:val="20"/>
          <w:lang w:eastAsia="en-GB"/>
        </w:rPr>
        <w:t xml:space="preserve">main trade </w:t>
      </w:r>
      <w:r w:rsidRPr="00181EBB">
        <w:rPr>
          <w:rFonts w:ascii="Arial" w:hAnsi="Arial" w:cs="Arial"/>
          <w:i/>
          <w:iCs/>
          <w:sz w:val="20"/>
          <w:szCs w:val="20"/>
          <w:lang w:eastAsia="en-GB"/>
        </w:rPr>
        <w:t>partners are China, Ireland,</w:t>
      </w:r>
      <w:r>
        <w:rPr>
          <w:rFonts w:ascii="Arial" w:hAnsi="Arial" w:cs="Arial"/>
          <w:i/>
          <w:iCs/>
          <w:sz w:val="20"/>
          <w:szCs w:val="20"/>
          <w:lang w:eastAsia="en-GB"/>
        </w:rPr>
        <w:t xml:space="preserve"> the</w:t>
      </w:r>
      <w:r w:rsidRPr="00181EBB">
        <w:rPr>
          <w:rFonts w:ascii="Arial" w:hAnsi="Arial" w:cs="Arial"/>
          <w:i/>
          <w:iCs/>
          <w:sz w:val="20"/>
          <w:szCs w:val="20"/>
          <w:lang w:eastAsia="en-GB"/>
        </w:rPr>
        <w:t xml:space="preserve"> Korea</w:t>
      </w:r>
      <w:r>
        <w:rPr>
          <w:rFonts w:ascii="Arial" w:hAnsi="Arial" w:cs="Arial"/>
          <w:i/>
          <w:iCs/>
          <w:sz w:val="20"/>
          <w:szCs w:val="20"/>
          <w:lang w:eastAsia="en-GB"/>
        </w:rPr>
        <w:t>n</w:t>
      </w:r>
      <w:r w:rsidRPr="00181EBB">
        <w:rPr>
          <w:rFonts w:ascii="Arial" w:hAnsi="Arial" w:cs="Arial"/>
          <w:i/>
          <w:iCs/>
          <w:sz w:val="20"/>
          <w:szCs w:val="20"/>
          <w:lang w:eastAsia="en-GB"/>
        </w:rPr>
        <w:t xml:space="preserve"> Republic, </w:t>
      </w:r>
      <w:r>
        <w:rPr>
          <w:rFonts w:ascii="Arial" w:hAnsi="Arial" w:cs="Arial"/>
          <w:i/>
          <w:iCs/>
          <w:sz w:val="20"/>
          <w:szCs w:val="20"/>
          <w:lang w:eastAsia="en-GB"/>
        </w:rPr>
        <w:t xml:space="preserve">the </w:t>
      </w:r>
      <w:r w:rsidRPr="00181EBB">
        <w:rPr>
          <w:rFonts w:ascii="Arial" w:hAnsi="Arial" w:cs="Arial"/>
          <w:i/>
          <w:iCs/>
          <w:sz w:val="20"/>
          <w:szCs w:val="20"/>
          <w:lang w:eastAsia="en-GB"/>
        </w:rPr>
        <w:t xml:space="preserve">Netherlands, and </w:t>
      </w:r>
      <w:r>
        <w:rPr>
          <w:rFonts w:ascii="Arial" w:hAnsi="Arial" w:cs="Arial"/>
          <w:i/>
          <w:iCs/>
          <w:sz w:val="20"/>
          <w:szCs w:val="20"/>
          <w:lang w:eastAsia="en-GB"/>
        </w:rPr>
        <w:t xml:space="preserve">the </w:t>
      </w:r>
      <w:r w:rsidRPr="00181EBB">
        <w:rPr>
          <w:rFonts w:ascii="Arial" w:hAnsi="Arial" w:cs="Arial"/>
          <w:i/>
          <w:iCs/>
          <w:sz w:val="20"/>
          <w:szCs w:val="20"/>
          <w:lang w:eastAsia="en-GB"/>
        </w:rPr>
        <w:t>United States of America (USA)</w:t>
      </w:r>
      <w:r>
        <w:rPr>
          <w:rFonts w:ascii="Arial" w:hAnsi="Arial" w:cs="Arial"/>
          <w:i/>
          <w:iCs/>
          <w:sz w:val="20"/>
          <w:szCs w:val="20"/>
          <w:lang w:eastAsia="en-GB"/>
        </w:rPr>
        <w:t>.</w:t>
      </w:r>
    </w:p>
  </w:footnote>
  <w:footnote w:id="89">
    <w:p w14:paraId="42C767DE" w14:textId="3B182300" w:rsidR="00F41E4D" w:rsidRPr="00F679C0" w:rsidRDefault="00F41E4D" w:rsidP="002920FD">
      <w:pPr>
        <w:pStyle w:val="FootnoteText"/>
        <w:jc w:val="both"/>
        <w:rPr>
          <w:rFonts w:ascii="Arial" w:hAnsi="Arial" w:cs="Arial"/>
        </w:rPr>
      </w:pPr>
      <w:r w:rsidRPr="00F679C0">
        <w:rPr>
          <w:rStyle w:val="FootnoteReference"/>
          <w:rFonts w:ascii="Arial" w:hAnsi="Arial" w:cs="Arial"/>
          <w:i/>
        </w:rPr>
        <w:footnoteRef/>
      </w:r>
      <w:r w:rsidRPr="00F679C0">
        <w:rPr>
          <w:rFonts w:ascii="Arial" w:hAnsi="Arial" w:cs="Arial"/>
          <w:i/>
        </w:rPr>
        <w:t xml:space="preserve"> </w:t>
      </w:r>
      <w:r w:rsidRPr="0091268C">
        <w:rPr>
          <w:rFonts w:ascii="Arial" w:hAnsi="Arial" w:cs="Arial"/>
          <w:i/>
          <w:iCs/>
        </w:rPr>
        <w:t>The TB data of Equatorial Guinea is available between the periods 2005 to 2018, giving only 14 observations, which are not enough to perform the optimal lag length test – leading to the Autoregressive Distributed Lag (ARDL). As such, we will not be able to proceed with the test. Although both Chad and Congo TB data are available from the period 1980 to 2018, but their data f</w:t>
      </w:r>
      <w:r w:rsidR="00F64E73">
        <w:rPr>
          <w:rFonts w:ascii="Arial" w:hAnsi="Arial" w:cs="Arial"/>
          <w:i/>
          <w:iCs/>
        </w:rPr>
        <w:t>or</w:t>
      </w:r>
      <w:r w:rsidRPr="0091268C">
        <w:rPr>
          <w:rFonts w:ascii="Arial" w:hAnsi="Arial" w:cs="Arial"/>
          <w:i/>
          <w:iCs/>
        </w:rPr>
        <w:t xml:space="preserve"> the REER is available only between the periods 2004 to 2018, giving 15 observations. These 15 observations are also not enough to perform an optimal lag length test leading to the ARDL test. As such, we will not be able to proceed with these three nations because the principal variables (i.e., REER, or TB) needed for the J-curve analysis do not have enough observations. The data used in this chapter have been transformed to their log form.</w:t>
      </w:r>
      <w:r w:rsidRPr="00F679C0">
        <w:rPr>
          <w:rFonts w:ascii="Arial" w:hAnsi="Arial" w:cs="Arial"/>
        </w:rPr>
        <w:t xml:space="preserve">  </w:t>
      </w:r>
    </w:p>
  </w:footnote>
  <w:footnote w:id="90">
    <w:p w14:paraId="75E4D289" w14:textId="77777777" w:rsidR="0040129A" w:rsidRPr="0092429B" w:rsidRDefault="0040129A" w:rsidP="0040129A">
      <w:pPr>
        <w:pStyle w:val="FootnoteText"/>
        <w:jc w:val="both"/>
        <w:rPr>
          <w:rFonts w:ascii="Arial" w:hAnsi="Arial" w:cs="Arial"/>
          <w:i/>
          <w:iCs/>
        </w:rPr>
      </w:pPr>
      <w:r>
        <w:rPr>
          <w:rStyle w:val="FootnoteReference"/>
        </w:rPr>
        <w:footnoteRef/>
      </w:r>
      <w:r>
        <w:t xml:space="preserve"> </w:t>
      </w:r>
      <w:r>
        <w:rPr>
          <w:rFonts w:ascii="Arial" w:hAnsi="Arial" w:cs="Arial"/>
          <w:i/>
          <w:iCs/>
        </w:rPr>
        <w:t xml:space="preserve">A long-term relationship could either result in the presence of a J-curve or an S-curve. An S-curve occurs when a currency devaluation leads to an initial improvement in the TB in the short-term and a drop in the long-term (thereby producing an S-sharp like movement of the TB). </w:t>
      </w:r>
    </w:p>
  </w:footnote>
  <w:footnote w:id="91">
    <w:p w14:paraId="666DC78E" w14:textId="77777777" w:rsidR="0040129A" w:rsidRPr="00F20092" w:rsidRDefault="0040129A" w:rsidP="0040129A">
      <w:pPr>
        <w:autoSpaceDE w:val="0"/>
        <w:autoSpaceDN w:val="0"/>
        <w:adjustRightInd w:val="0"/>
        <w:spacing w:after="0" w:line="240" w:lineRule="auto"/>
        <w:jc w:val="both"/>
        <w:rPr>
          <w:rFonts w:ascii="Arial" w:hAnsi="Arial" w:cs="Arial"/>
          <w:i/>
          <w:sz w:val="20"/>
          <w:szCs w:val="20"/>
          <w:lang w:val="en-US"/>
        </w:rPr>
      </w:pPr>
      <w:r w:rsidRPr="0047717A">
        <w:rPr>
          <w:rStyle w:val="FootnoteReference"/>
          <w:rFonts w:ascii="Arial" w:hAnsi="Arial" w:cs="Arial"/>
        </w:rPr>
        <w:footnoteRef/>
      </w:r>
      <w:r w:rsidRPr="0047717A">
        <w:rPr>
          <w:rFonts w:ascii="Arial" w:hAnsi="Arial" w:cs="Arial"/>
          <w:sz w:val="20"/>
          <w:szCs w:val="20"/>
        </w:rPr>
        <w:t xml:space="preserve"> </w:t>
      </w:r>
      <w:r w:rsidRPr="0047717A">
        <w:rPr>
          <w:rFonts w:ascii="Arial" w:hAnsi="Arial" w:cs="Arial"/>
          <w:i/>
          <w:sz w:val="20"/>
          <w:szCs w:val="20"/>
        </w:rPr>
        <w:t xml:space="preserve">The </w:t>
      </w:r>
      <w:r w:rsidRPr="0047717A">
        <w:rPr>
          <w:rFonts w:ascii="Arial" w:hAnsi="Arial" w:cs="Arial"/>
          <w:i/>
          <w:sz w:val="20"/>
          <w:szCs w:val="20"/>
          <w:lang w:val="en-US"/>
        </w:rPr>
        <w:t>condition states that devaluation improves the trade balance if the sum of the foreign price elasticity of demand for export (ƞ</w:t>
      </w:r>
      <w:r w:rsidRPr="0047717A">
        <w:rPr>
          <w:rFonts w:ascii="Arial" w:hAnsi="Arial" w:cs="Arial"/>
          <w:i/>
          <w:sz w:val="20"/>
          <w:szCs w:val="20"/>
          <w:vertAlign w:val="subscript"/>
          <w:lang w:val="en-US"/>
        </w:rPr>
        <w:t>x</w:t>
      </w:r>
      <w:r w:rsidRPr="0047717A">
        <w:rPr>
          <w:rFonts w:ascii="Arial" w:hAnsi="Arial" w:cs="Arial"/>
          <w:i/>
          <w:sz w:val="20"/>
          <w:szCs w:val="20"/>
          <w:lang w:val="en-US"/>
        </w:rPr>
        <w:t>) and domestic price elasticity of demand for imports (ƞ</w:t>
      </w:r>
      <w:r w:rsidRPr="0047717A">
        <w:rPr>
          <w:rFonts w:ascii="Arial" w:hAnsi="Arial" w:cs="Arial"/>
          <w:i/>
          <w:sz w:val="20"/>
          <w:szCs w:val="20"/>
          <w:vertAlign w:val="subscript"/>
          <w:lang w:val="en-US"/>
        </w:rPr>
        <w:t>m</w:t>
      </w:r>
      <w:r w:rsidRPr="0047717A">
        <w:rPr>
          <w:rFonts w:ascii="Arial" w:hAnsi="Arial" w:cs="Arial"/>
          <w:i/>
          <w:sz w:val="20"/>
          <w:szCs w:val="20"/>
          <w:lang w:val="en-US"/>
        </w:rPr>
        <w:t>) exceeds unity, in absolute value, i.e., if:</w:t>
      </w:r>
      <w:r w:rsidRPr="0047717A">
        <w:rPr>
          <w:rFonts w:ascii="Arial" w:hAnsi="Arial" w:cs="Arial"/>
          <w:sz w:val="20"/>
          <w:szCs w:val="20"/>
          <w:lang w:val="en-US"/>
        </w:rPr>
        <w:t xml:space="preserve"> </w:t>
      </w:r>
      <w:r w:rsidRPr="0047717A">
        <w:rPr>
          <w:rFonts w:ascii="Arial" w:hAnsi="Arial" w:cs="Arial"/>
          <w:i/>
          <w:sz w:val="20"/>
          <w:szCs w:val="20"/>
          <w:lang w:val="en-US"/>
        </w:rPr>
        <w:t>│ƞ</w:t>
      </w:r>
      <w:r w:rsidRPr="0047717A">
        <w:rPr>
          <w:rFonts w:ascii="Arial" w:hAnsi="Arial" w:cs="Arial"/>
          <w:i/>
          <w:sz w:val="20"/>
          <w:szCs w:val="20"/>
          <w:vertAlign w:val="subscript"/>
          <w:lang w:val="en-US"/>
        </w:rPr>
        <w:t>x</w:t>
      </w:r>
      <w:r w:rsidRPr="0047717A">
        <w:rPr>
          <w:rFonts w:ascii="Arial" w:hAnsi="Arial" w:cs="Arial"/>
          <w:i/>
          <w:sz w:val="20"/>
          <w:szCs w:val="20"/>
          <w:lang w:val="en-US"/>
        </w:rPr>
        <w:t xml:space="preserve"> + ƞ</w:t>
      </w:r>
      <w:r w:rsidRPr="0047717A">
        <w:rPr>
          <w:rFonts w:ascii="Arial" w:hAnsi="Arial" w:cs="Arial"/>
          <w:i/>
          <w:sz w:val="20"/>
          <w:szCs w:val="20"/>
          <w:vertAlign w:val="subscript"/>
          <w:lang w:val="en-US"/>
        </w:rPr>
        <w:t>m</w:t>
      </w:r>
      <w:r w:rsidRPr="0047717A">
        <w:rPr>
          <w:rFonts w:ascii="Arial" w:hAnsi="Arial" w:cs="Arial"/>
          <w:i/>
          <w:sz w:val="20"/>
          <w:szCs w:val="20"/>
          <w:lang w:val="en-US"/>
        </w:rPr>
        <w:t>│ &gt;1.</w:t>
      </w:r>
    </w:p>
  </w:footnote>
  <w:footnote w:id="92">
    <w:p w14:paraId="1C8D811C" w14:textId="77777777" w:rsidR="0040129A" w:rsidRPr="0047717A" w:rsidRDefault="0040129A" w:rsidP="0040129A">
      <w:pPr>
        <w:pStyle w:val="FootnoteText"/>
        <w:jc w:val="both"/>
        <w:rPr>
          <w:rFonts w:ascii="Arial" w:hAnsi="Arial" w:cs="Arial"/>
          <w:i/>
        </w:rPr>
      </w:pPr>
      <w:r w:rsidRPr="0047717A">
        <w:rPr>
          <w:rStyle w:val="FootnoteReference"/>
          <w:rFonts w:ascii="Arial" w:hAnsi="Arial" w:cs="Arial"/>
        </w:rPr>
        <w:footnoteRef/>
      </w:r>
      <w:r w:rsidRPr="0047717A">
        <w:rPr>
          <w:rFonts w:ascii="Arial" w:hAnsi="Arial" w:cs="Arial"/>
        </w:rPr>
        <w:t xml:space="preserve"> </w:t>
      </w:r>
      <w:r w:rsidRPr="0047717A">
        <w:rPr>
          <w:rFonts w:ascii="Arial" w:hAnsi="Arial" w:cs="Arial"/>
          <w:i/>
          <w:lang w:val="en-US"/>
        </w:rPr>
        <w:t>The J-curve is also understood from the same perspective.</w:t>
      </w:r>
      <w:r w:rsidRPr="0047717A">
        <w:rPr>
          <w:rFonts w:ascii="Arial" w:hAnsi="Arial" w:cs="Arial"/>
          <w:sz w:val="24"/>
          <w:szCs w:val="24"/>
          <w:lang w:val="en-US"/>
        </w:rPr>
        <w:t xml:space="preserve">  </w:t>
      </w:r>
    </w:p>
  </w:footnote>
  <w:footnote w:id="93">
    <w:p w14:paraId="5F434D22" w14:textId="77777777" w:rsidR="00F41E4D" w:rsidRPr="008E6CF5" w:rsidRDefault="00F41E4D" w:rsidP="002B1422">
      <w:pPr>
        <w:pStyle w:val="FootnoteText"/>
        <w:jc w:val="both"/>
        <w:rPr>
          <w:i/>
        </w:rPr>
      </w:pPr>
      <w:r w:rsidRPr="008E6CF5">
        <w:rPr>
          <w:rStyle w:val="FootnoteReference"/>
          <w:i/>
        </w:rPr>
        <w:footnoteRef/>
      </w:r>
      <w:r w:rsidRPr="008E6CF5">
        <w:rPr>
          <w:i/>
        </w:rPr>
        <w:t xml:space="preserve"> </w:t>
      </w:r>
      <w:r w:rsidRPr="0047717A">
        <w:rPr>
          <w:rFonts w:ascii="Arial" w:hAnsi="Arial" w:cs="Arial"/>
          <w:i/>
        </w:rPr>
        <w:t xml:space="preserve">The </w:t>
      </w:r>
      <w:r w:rsidRPr="0047717A">
        <w:rPr>
          <w:rFonts w:ascii="Arial" w:hAnsi="Arial" w:cs="Arial"/>
          <w:i/>
          <w:lang w:val="en-US"/>
        </w:rPr>
        <w:t>condition states that devaluation improves the trade balance if the sum of the foreign price elasticity of demand for export (ƞ</w:t>
      </w:r>
      <w:r w:rsidRPr="0047717A">
        <w:rPr>
          <w:rFonts w:ascii="Arial" w:hAnsi="Arial" w:cs="Arial"/>
          <w:i/>
          <w:vertAlign w:val="subscript"/>
          <w:lang w:val="en-US"/>
        </w:rPr>
        <w:t>x</w:t>
      </w:r>
      <w:r w:rsidRPr="0047717A">
        <w:rPr>
          <w:rFonts w:ascii="Arial" w:hAnsi="Arial" w:cs="Arial"/>
          <w:i/>
          <w:lang w:val="en-US"/>
        </w:rPr>
        <w:t>) and domestic price elasticity of demand for imports (ƞ</w:t>
      </w:r>
      <w:r w:rsidRPr="0047717A">
        <w:rPr>
          <w:rFonts w:ascii="Arial" w:hAnsi="Arial" w:cs="Arial"/>
          <w:i/>
          <w:vertAlign w:val="subscript"/>
          <w:lang w:val="en-US"/>
        </w:rPr>
        <w:t>m</w:t>
      </w:r>
      <w:r w:rsidRPr="0047717A">
        <w:rPr>
          <w:rFonts w:ascii="Arial" w:hAnsi="Arial" w:cs="Arial"/>
          <w:i/>
          <w:lang w:val="en-US"/>
        </w:rPr>
        <w:t>) exceeds unity, in absolute value, i.e., if:</w:t>
      </w:r>
      <w:r w:rsidRPr="0047717A">
        <w:rPr>
          <w:rFonts w:ascii="Arial" w:hAnsi="Arial" w:cs="Arial"/>
          <w:lang w:val="en-US"/>
        </w:rPr>
        <w:t xml:space="preserve"> </w:t>
      </w:r>
      <w:r w:rsidRPr="0047717A">
        <w:rPr>
          <w:rFonts w:ascii="Arial" w:hAnsi="Arial" w:cs="Arial"/>
          <w:i/>
          <w:lang w:val="en-US"/>
        </w:rPr>
        <w:t>│ƞ</w:t>
      </w:r>
      <w:r w:rsidRPr="0047717A">
        <w:rPr>
          <w:rFonts w:ascii="Arial" w:hAnsi="Arial" w:cs="Arial"/>
          <w:i/>
          <w:vertAlign w:val="subscript"/>
          <w:lang w:val="en-US"/>
        </w:rPr>
        <w:t>x</w:t>
      </w:r>
      <w:r w:rsidRPr="0047717A">
        <w:rPr>
          <w:rFonts w:ascii="Arial" w:hAnsi="Arial" w:cs="Arial"/>
          <w:i/>
          <w:lang w:val="en-US"/>
        </w:rPr>
        <w:t xml:space="preserve"> + ƞ</w:t>
      </w:r>
      <w:r w:rsidRPr="0047717A">
        <w:rPr>
          <w:rFonts w:ascii="Arial" w:hAnsi="Arial" w:cs="Arial"/>
          <w:i/>
          <w:vertAlign w:val="subscript"/>
          <w:lang w:val="en-US"/>
        </w:rPr>
        <w:t>m</w:t>
      </w:r>
      <w:r w:rsidRPr="0047717A">
        <w:rPr>
          <w:rFonts w:ascii="Arial" w:hAnsi="Arial" w:cs="Arial"/>
          <w:i/>
          <w:lang w:val="en-US"/>
        </w:rPr>
        <w:t>│ &gt;1</w:t>
      </w:r>
      <w:r>
        <w:rPr>
          <w:rFonts w:ascii="Arial" w:hAnsi="Arial" w:cs="Arial"/>
          <w:i/>
          <w:lang w:val="en-US"/>
        </w:rPr>
        <w:t xml:space="preserve">. </w:t>
      </w:r>
    </w:p>
  </w:footnote>
  <w:footnote w:id="94">
    <w:p w14:paraId="33F2F648" w14:textId="77777777" w:rsidR="00F41E4D" w:rsidRPr="00E07563" w:rsidRDefault="00F41E4D" w:rsidP="002B1422">
      <w:pPr>
        <w:pStyle w:val="FootnoteText"/>
        <w:jc w:val="both"/>
        <w:rPr>
          <w:i/>
        </w:rPr>
      </w:pPr>
      <w:r w:rsidRPr="0047717A">
        <w:rPr>
          <w:rStyle w:val="FootnoteReference"/>
          <w:rFonts w:ascii="Arial" w:hAnsi="Arial" w:cs="Arial"/>
        </w:rPr>
        <w:footnoteRef/>
      </w:r>
      <w:r w:rsidRPr="0047717A">
        <w:rPr>
          <w:rFonts w:ascii="Arial" w:hAnsi="Arial" w:cs="Arial"/>
        </w:rPr>
        <w:t xml:space="preserve"> </w:t>
      </w:r>
      <w:r w:rsidRPr="0047717A">
        <w:rPr>
          <w:rFonts w:ascii="Arial" w:hAnsi="Arial" w:cs="Arial"/>
          <w:i/>
        </w:rPr>
        <w:t xml:space="preserve">It is necessary to begin with the assumption that a nation’s </w:t>
      </w:r>
      <w:r>
        <w:rPr>
          <w:rFonts w:ascii="Arial" w:hAnsi="Arial" w:cs="Arial"/>
          <w:i/>
        </w:rPr>
        <w:t>TB</w:t>
      </w:r>
      <w:r w:rsidRPr="0047717A">
        <w:rPr>
          <w:rFonts w:ascii="Arial" w:hAnsi="Arial" w:cs="Arial"/>
          <w:i/>
        </w:rPr>
        <w:t xml:space="preserve"> is negative, because if it is not negative, then there will be no need for the authorities to devalue its currency with goal of improving the </w:t>
      </w:r>
      <w:r>
        <w:rPr>
          <w:rFonts w:ascii="Arial" w:hAnsi="Arial" w:cs="Arial"/>
          <w:i/>
        </w:rPr>
        <w:t>TB</w:t>
      </w:r>
      <w:r w:rsidRPr="0047717A">
        <w:rPr>
          <w:rFonts w:ascii="Arial" w:hAnsi="Arial" w:cs="Arial"/>
          <w:i/>
        </w:rPr>
        <w:t>.</w:t>
      </w:r>
      <w:r>
        <w:rPr>
          <w:i/>
        </w:rPr>
        <w:t xml:space="preserve"> </w:t>
      </w:r>
    </w:p>
  </w:footnote>
  <w:footnote w:id="95">
    <w:p w14:paraId="0ADEF556" w14:textId="77777777" w:rsidR="00F41E4D" w:rsidRPr="0047717A" w:rsidRDefault="00F41E4D" w:rsidP="002B1422">
      <w:pPr>
        <w:pStyle w:val="FootnoteText"/>
        <w:jc w:val="both"/>
        <w:rPr>
          <w:rFonts w:ascii="Arial" w:hAnsi="Arial" w:cs="Arial"/>
          <w:i/>
        </w:rPr>
      </w:pPr>
      <w:r w:rsidRPr="0047717A">
        <w:rPr>
          <w:rStyle w:val="FootnoteReference"/>
          <w:rFonts w:ascii="Arial" w:hAnsi="Arial" w:cs="Arial"/>
        </w:rPr>
        <w:footnoteRef/>
      </w:r>
      <w:r w:rsidRPr="0047717A">
        <w:rPr>
          <w:rFonts w:ascii="Arial" w:hAnsi="Arial" w:cs="Arial"/>
        </w:rPr>
        <w:t xml:space="preserve"> </w:t>
      </w:r>
      <w:r w:rsidRPr="0047717A">
        <w:rPr>
          <w:rFonts w:ascii="Arial" w:hAnsi="Arial" w:cs="Arial"/>
          <w:i/>
        </w:rPr>
        <w:t>They are of the opinion that “it is plausible testing the hypothesis that, the J–curve effect is more pronounced in agriculture products than in manufactured products”.</w:t>
      </w:r>
    </w:p>
  </w:footnote>
  <w:footnote w:id="96">
    <w:p w14:paraId="26769B2B" w14:textId="77777777" w:rsidR="00F41E4D" w:rsidRPr="001C12AA" w:rsidRDefault="00F41E4D" w:rsidP="002B1422">
      <w:pPr>
        <w:pStyle w:val="FootnoteText"/>
        <w:jc w:val="both"/>
        <w:rPr>
          <w:i/>
        </w:rPr>
      </w:pPr>
      <w:r w:rsidRPr="0047717A">
        <w:rPr>
          <w:rStyle w:val="FootnoteReference"/>
          <w:rFonts w:ascii="Arial" w:hAnsi="Arial" w:cs="Arial"/>
        </w:rPr>
        <w:footnoteRef/>
      </w:r>
      <w:r w:rsidRPr="0047717A">
        <w:rPr>
          <w:rFonts w:ascii="Arial" w:hAnsi="Arial" w:cs="Arial"/>
        </w:rPr>
        <w:t xml:space="preserve"> </w:t>
      </w:r>
      <w:r w:rsidRPr="0047717A">
        <w:rPr>
          <w:rFonts w:ascii="Arial" w:hAnsi="Arial" w:cs="Arial"/>
          <w:i/>
        </w:rPr>
        <w:t>For example, a bilateral flow from imports could show a positive response to currency depreciation, while the export could show the opposite. Combining the two results as done in the aggregate approach, the responses could cancel each other out, as such causing a single unimportant effect.</w:t>
      </w:r>
      <w:r>
        <w:rPr>
          <w:i/>
        </w:rPr>
        <w:t xml:space="preserve"> </w:t>
      </w:r>
    </w:p>
  </w:footnote>
  <w:footnote w:id="97">
    <w:p w14:paraId="150CBCB5" w14:textId="3254A6F2" w:rsidR="00B461ED" w:rsidRPr="00B461ED" w:rsidRDefault="00B461ED" w:rsidP="00B461ED">
      <w:pPr>
        <w:pStyle w:val="FootnoteText"/>
        <w:jc w:val="both"/>
        <w:rPr>
          <w:rFonts w:ascii="Arial" w:hAnsi="Arial" w:cs="Arial"/>
          <w:i/>
          <w:iCs/>
        </w:rPr>
      </w:pPr>
      <w:r w:rsidRPr="00B461ED">
        <w:rPr>
          <w:rStyle w:val="FootnoteReference"/>
          <w:rFonts w:ascii="Arial" w:hAnsi="Arial" w:cs="Arial"/>
          <w:i/>
          <w:iCs/>
        </w:rPr>
        <w:footnoteRef/>
      </w:r>
      <w:r w:rsidRPr="00B461ED">
        <w:rPr>
          <w:rFonts w:ascii="Arial" w:hAnsi="Arial" w:cs="Arial"/>
          <w:i/>
          <w:iCs/>
        </w:rPr>
        <w:t xml:space="preserve"> The reason for all the mingling could be attributed to the data sources. The two mainly used sources of commodity trade data are “the Standard International Trade Classification (SITC) and the Harmonized Commodity Description and Coding System (HS)” (Dhakir </w:t>
      </w:r>
      <w:r w:rsidRPr="00B461ED">
        <w:rPr>
          <w:rStyle w:val="Emphasis"/>
          <w:rFonts w:ascii="Arial" w:hAnsi="Arial" w:cs="Arial"/>
          <w:i w:val="0"/>
          <w:iCs w:val="0"/>
          <w:color w:val="0E101A"/>
        </w:rPr>
        <w:t>et al., </w:t>
      </w:r>
      <w:r w:rsidRPr="00B461ED">
        <w:rPr>
          <w:rFonts w:ascii="Arial" w:hAnsi="Arial" w:cs="Arial"/>
          <w:i/>
          <w:iCs/>
        </w:rPr>
        <w:t>2015). Though both sources are recognized as commodity classification systems, each of the nomenclature follows a distinct definition of sectors and commodities. This implies that when applied, it could eventually yield different results, which could be confusing and misleading. Above all, some nations, especially developing nations, might not have such systems or data, making the analysis of the nations’ using this approach difficult. </w:t>
      </w:r>
    </w:p>
  </w:footnote>
  <w:footnote w:id="98">
    <w:p w14:paraId="11BDA119" w14:textId="77777777" w:rsidR="00DB518C" w:rsidRDefault="00DB518C" w:rsidP="00DB518C">
      <w:pPr>
        <w:pStyle w:val="FootnoteText"/>
        <w:jc w:val="both"/>
      </w:pPr>
      <w:r>
        <w:rPr>
          <w:rStyle w:val="FootnoteReference"/>
        </w:rPr>
        <w:footnoteRef/>
      </w:r>
      <w:r>
        <w:t xml:space="preserve"> </w:t>
      </w:r>
      <w:r w:rsidRPr="000C2097">
        <w:rPr>
          <w:rFonts w:ascii="Arial" w:hAnsi="Arial" w:cs="Arial"/>
          <w:i/>
          <w:iCs/>
          <w:lang w:eastAsia="en-GB"/>
        </w:rPr>
        <w:t>Ross and Yellen (1989) researched the bilateral J-curve between the USA and its trade partners following the Marshallian demand analysis, whereby the demand for imports by a home (foreign) nation is determined by the domestic (foreign) income and the relative price of imported goods.</w:t>
      </w:r>
    </w:p>
  </w:footnote>
  <w:footnote w:id="99">
    <w:p w14:paraId="32D9E9CA" w14:textId="6F095124" w:rsidR="00DB518C" w:rsidRDefault="00DB518C" w:rsidP="00DB518C">
      <w:pPr>
        <w:pStyle w:val="FootnoteText"/>
        <w:jc w:val="both"/>
      </w:pPr>
      <w:r>
        <w:rPr>
          <w:rStyle w:val="FootnoteReference"/>
        </w:rPr>
        <w:footnoteRef/>
      </w:r>
      <w:r>
        <w:t xml:space="preserve"> </w:t>
      </w:r>
      <w:r w:rsidRPr="000C2097">
        <w:rPr>
          <w:rFonts w:ascii="Arial" w:hAnsi="Arial" w:cs="Arial"/>
          <w:i/>
          <w:iCs/>
          <w:lang w:eastAsia="en-GB"/>
        </w:rPr>
        <w:t xml:space="preserve">The bilateral aggregate approach is used instead of the aggregate trade data approach or bilateral disaggregated trade data approach. This is because, firstly, </w:t>
      </w:r>
      <w:r w:rsidR="007F5999" w:rsidRPr="000C2097">
        <w:rPr>
          <w:rFonts w:ascii="Arial" w:hAnsi="Arial" w:cs="Arial"/>
          <w:i/>
          <w:iCs/>
          <w:lang w:eastAsia="en-GB"/>
        </w:rPr>
        <w:t>analysing</w:t>
      </w:r>
      <w:r w:rsidRPr="000C2097">
        <w:rPr>
          <w:rFonts w:ascii="Arial" w:hAnsi="Arial" w:cs="Arial"/>
          <w:i/>
          <w:iCs/>
          <w:lang w:eastAsia="en-GB"/>
        </w:rPr>
        <w:t xml:space="preserve"> using this approach will identify the trade partner with a J-curve. This helps policymakers to legislate policies that will encourage trade with such individual trade partners and, by so doing, improve the nations' entire trade balance, BoP, and economic growth. As such, achieving the initial goal of the 1994 CFA franc devaluation was to improve the BoP and economic growth. Secondly, if the analysis is done from an aggregate or macro perspective, there might be the presence of an aggregate bias problem, or we might not be able to have a vivid inside look at the individual relationship between each of the CEMAC nations and their individual trading partners as mentioned above. Thirdly, </w:t>
      </w:r>
      <w:r w:rsidR="007F5999" w:rsidRPr="000C2097">
        <w:rPr>
          <w:rFonts w:ascii="Arial" w:hAnsi="Arial" w:cs="Arial"/>
          <w:i/>
          <w:iCs/>
          <w:lang w:eastAsia="en-GB"/>
        </w:rPr>
        <w:t>analysing</w:t>
      </w:r>
      <w:r w:rsidRPr="000C2097">
        <w:rPr>
          <w:rFonts w:ascii="Arial" w:hAnsi="Arial" w:cs="Arial"/>
          <w:i/>
          <w:iCs/>
          <w:lang w:eastAsia="en-GB"/>
        </w:rPr>
        <w:t xml:space="preserve"> from the industrial or sectorial level (bilateral disaggregated trade data approach) might not give a clear picture of the entire impact of the devaluation since we might not be able to capture all the industries or sectors of a nation. This is because CEMAC nations are developing nations, and data on some sectors might be hard to come by or not available. Above all, one of the objectives of the research is to establish if the 1994 CFA devaluation improved the individual CEMAC nations' trade balance from a holistic perspective and not from a sectorial or industrial level. </w:t>
      </w:r>
    </w:p>
  </w:footnote>
  <w:footnote w:id="100">
    <w:p w14:paraId="3C2E6BEF" w14:textId="77777777" w:rsidR="005A67DB" w:rsidRPr="00296ECD" w:rsidRDefault="005A67DB" w:rsidP="005A67DB">
      <w:pPr>
        <w:pStyle w:val="FootnoteText"/>
        <w:jc w:val="both"/>
      </w:pPr>
      <w:r>
        <w:rPr>
          <w:rStyle w:val="FootnoteReference"/>
        </w:rPr>
        <w:footnoteRef/>
      </w:r>
      <w:r>
        <w:t xml:space="preserve"> </w:t>
      </w:r>
      <w:r w:rsidRPr="00296ECD">
        <w:rPr>
          <w:rFonts w:ascii="Arial" w:hAnsi="Arial" w:cs="Arial"/>
          <w:i/>
          <w:iCs/>
          <w:lang w:eastAsia="en-GB"/>
        </w:rPr>
        <w:t>This ratio has been used by Bahmani-Oskooee and Alse (1994), Bahmani-Oskooee (1991), Haynes and Stone (1982). The use of ratio has the following advantages: Firstly, it is invariant to units of measuring exports to imports, that is, whether they are in real or nominal terms or in foreign or domestic currency. Secondly, the regression equation could be expressed in log-linear form or constant elasticity form</w:t>
      </w:r>
      <w:r w:rsidRPr="00296ECD">
        <w:rPr>
          <w:rFonts w:ascii="Arial" w:hAnsi="Arial" w:cs="Arial"/>
          <w:lang w:eastAsia="en-GB"/>
        </w:rPr>
        <w:t>.</w:t>
      </w:r>
    </w:p>
  </w:footnote>
  <w:footnote w:id="101">
    <w:p w14:paraId="71C80759" w14:textId="77777777" w:rsidR="004F25B8" w:rsidRPr="00296ECD" w:rsidRDefault="004F25B8" w:rsidP="004F25B8">
      <w:pPr>
        <w:spacing w:after="0" w:line="240" w:lineRule="auto"/>
        <w:jc w:val="both"/>
        <w:rPr>
          <w:rFonts w:ascii="Arial" w:hAnsi="Arial" w:cs="Arial"/>
          <w:sz w:val="20"/>
          <w:szCs w:val="20"/>
          <w:lang w:eastAsia="en-GB"/>
        </w:rPr>
      </w:pPr>
      <w:r w:rsidRPr="00296ECD">
        <w:rPr>
          <w:rStyle w:val="FootnoteReference"/>
          <w:sz w:val="20"/>
          <w:szCs w:val="20"/>
        </w:rPr>
        <w:footnoteRef/>
      </w:r>
      <w:r w:rsidRPr="00296ECD">
        <w:rPr>
          <w:sz w:val="20"/>
          <w:szCs w:val="20"/>
        </w:rPr>
        <w:t xml:space="preserve"> </w:t>
      </w:r>
      <w:r w:rsidRPr="00296ECD">
        <w:rPr>
          <w:rFonts w:ascii="Arial" w:hAnsi="Arial" w:cs="Arial"/>
          <w:i/>
          <w:iCs/>
          <w:sz w:val="20"/>
          <w:szCs w:val="20"/>
          <w:lang w:eastAsia="en-GB"/>
        </w:rPr>
        <w:t>There have been situations whereby the MLC was satisfied, yet there was still trade balance deterioration (Bahmani-Oskooee and Niroomand, 1998; Rose, 1990; Bahmani-Oskooee, 1985). This has warranted a further approach to be looked at, thus necessitating the test for the J-curve. </w:t>
      </w:r>
    </w:p>
    <w:p w14:paraId="21CECB35" w14:textId="77777777" w:rsidR="004F25B8" w:rsidRPr="000C2097" w:rsidRDefault="004F25B8" w:rsidP="004F25B8">
      <w:pPr>
        <w:spacing w:line="360" w:lineRule="auto"/>
        <w:jc w:val="both"/>
        <w:rPr>
          <w:rFonts w:ascii="Arial" w:hAnsi="Arial" w:cs="Arial"/>
          <w:lang w:eastAsia="en-GB"/>
        </w:rPr>
      </w:pPr>
      <w:r w:rsidRPr="000C2097">
        <w:rPr>
          <w:rFonts w:ascii="Arial" w:hAnsi="Arial" w:cs="Arial"/>
          <w:i/>
          <w:iCs/>
          <w:lang w:eastAsia="en-GB"/>
        </w:rPr>
        <w:t> </w:t>
      </w:r>
    </w:p>
    <w:p w14:paraId="15567D0F" w14:textId="77777777" w:rsidR="004F25B8" w:rsidRDefault="004F25B8" w:rsidP="004F25B8">
      <w:pPr>
        <w:pStyle w:val="FootnoteText"/>
      </w:pPr>
    </w:p>
  </w:footnote>
  <w:footnote w:id="102">
    <w:p w14:paraId="6B764A5C" w14:textId="77777777" w:rsidR="00C275B6" w:rsidRPr="008A0C72" w:rsidRDefault="00C275B6" w:rsidP="00C275B6">
      <w:pPr>
        <w:pStyle w:val="FootnoteText"/>
        <w:rPr>
          <w:rFonts w:ascii="Arial" w:hAnsi="Arial" w:cs="Arial"/>
          <w:i/>
          <w:iCs/>
        </w:rPr>
      </w:pPr>
      <w:r>
        <w:rPr>
          <w:rStyle w:val="FootnoteReference"/>
        </w:rPr>
        <w:footnoteRef/>
      </w:r>
      <w:r>
        <w:t xml:space="preserve"> </w:t>
      </w:r>
      <w:r w:rsidRPr="008A0C72">
        <w:rPr>
          <w:rFonts w:ascii="Arial" w:hAnsi="Arial" w:cs="Arial"/>
          <w:i/>
          <w:iCs/>
        </w:rPr>
        <w:t xml:space="preserve">The source of the trade partners is from the </w:t>
      </w:r>
      <w:r>
        <w:rPr>
          <w:rFonts w:ascii="Arial" w:hAnsi="Arial" w:cs="Arial"/>
          <w:i/>
          <w:iCs/>
        </w:rPr>
        <w:t>World Integrated Trade Solution -</w:t>
      </w:r>
      <w:r w:rsidRPr="008A0C72">
        <w:rPr>
          <w:rFonts w:ascii="Arial" w:hAnsi="Arial" w:cs="Arial"/>
          <w:i/>
          <w:iCs/>
        </w:rPr>
        <w:t>WITS Data (Worldbank.org, 2020).</w:t>
      </w:r>
    </w:p>
  </w:footnote>
  <w:footnote w:id="103">
    <w:p w14:paraId="68A4D5E7" w14:textId="77777777" w:rsidR="00F41E4D" w:rsidRDefault="00F41E4D" w:rsidP="004A3C4B">
      <w:pPr>
        <w:pStyle w:val="FootnoteText"/>
        <w:rPr>
          <w:i/>
        </w:rPr>
      </w:pPr>
      <w:r>
        <w:rPr>
          <w:rStyle w:val="FootnoteReference"/>
        </w:rPr>
        <w:footnoteRef/>
      </w:r>
      <w:r>
        <w:t xml:space="preserve"> </w:t>
      </w:r>
      <w:r>
        <w:rPr>
          <w:i/>
        </w:rPr>
        <w:t>This is done after the data are imported from Microsoft excel to EViews12 econometric software application.</w:t>
      </w:r>
    </w:p>
  </w:footnote>
  <w:footnote w:id="104">
    <w:p w14:paraId="6B7496F1" w14:textId="0F52F66F" w:rsidR="00F41E4D" w:rsidRPr="00B31F8F" w:rsidRDefault="00F41E4D" w:rsidP="002F2E27">
      <w:pPr>
        <w:spacing w:after="0"/>
        <w:jc w:val="both"/>
        <w:rPr>
          <w:rFonts w:ascii="Arial" w:hAnsi="Arial" w:cs="Arial"/>
          <w:sz w:val="20"/>
          <w:szCs w:val="20"/>
        </w:rPr>
      </w:pPr>
      <w:r>
        <w:rPr>
          <w:rStyle w:val="FootnoteReference"/>
        </w:rPr>
        <w:footnoteRef/>
      </w:r>
      <w:r>
        <w:t xml:space="preserve"> </w:t>
      </w:r>
      <w:r>
        <w:rPr>
          <w:rFonts w:ascii="Arial" w:hAnsi="Arial" w:cs="Arial"/>
          <w:sz w:val="20"/>
          <w:szCs w:val="20"/>
        </w:rPr>
        <w:t xml:space="preserve">In statistics, the Jarque-Bera (JB) is a goodness-of-fit test of whether a sample data has a skewness and kurtosis matching a normal distribution. This test is always non-negative, far from zero and it signals that the data do not have a normal distribution </w:t>
      </w:r>
      <w:r>
        <w:rPr>
          <w:rFonts w:ascii="Arial" w:hAnsi="Arial" w:cs="Arial"/>
          <w:color w:val="212121"/>
          <w:sz w:val="20"/>
          <w:szCs w:val="20"/>
          <w:shd w:val="clear" w:color="auto" w:fill="FFFFFF"/>
        </w:rPr>
        <w:t>(Jarque and Bera, 1987)</w:t>
      </w:r>
      <w:r>
        <w:rPr>
          <w:rFonts w:ascii="Arial" w:hAnsi="Arial" w:cs="Arial"/>
          <w:sz w:val="20"/>
          <w:szCs w:val="20"/>
        </w:rPr>
        <w:t xml:space="preserve">. The </w:t>
      </w:r>
      <w:r>
        <w:rPr>
          <w:rFonts w:ascii="Arial" w:hAnsi="Arial" w:cs="Arial"/>
          <w:i/>
          <w:iCs/>
          <w:sz w:val="20"/>
          <w:szCs w:val="20"/>
        </w:rPr>
        <w:t xml:space="preserve">JB </w:t>
      </w:r>
      <w:r>
        <w:rPr>
          <w:rFonts w:ascii="Arial" w:hAnsi="Arial" w:cs="Arial"/>
          <w:sz w:val="20"/>
          <w:szCs w:val="20"/>
        </w:rPr>
        <w:t>test statistic is defined as:</w:t>
      </w:r>
    </w:p>
    <w:p w14:paraId="72CF9D06" w14:textId="77777777" w:rsidR="00F41E4D" w:rsidRPr="00B31F8F" w:rsidRDefault="00F41E4D" w:rsidP="002F2E27">
      <w:pPr>
        <w:spacing w:after="0"/>
        <w:rPr>
          <w:rFonts w:ascii="Arial" w:eastAsiaTheme="minorEastAsia" w:hAnsi="Arial" w:cs="Arial"/>
          <w:sz w:val="20"/>
          <w:szCs w:val="20"/>
        </w:rPr>
      </w:pPr>
      <w:r w:rsidRPr="00B31F8F">
        <w:rPr>
          <w:rFonts w:ascii="Arial" w:hAnsi="Arial" w:cs="Arial"/>
          <w:i/>
          <w:iCs/>
          <w:sz w:val="20"/>
          <w:szCs w:val="20"/>
        </w:rPr>
        <w:t xml:space="preserve">JB = </w:t>
      </w:r>
      <m:oMath>
        <m:f>
          <m:fPr>
            <m:ctrlPr>
              <w:rPr>
                <w:rFonts w:ascii="Cambria Math" w:hAnsi="Cambria Math" w:cs="Arial"/>
                <w:i/>
                <w:sz w:val="20"/>
                <w:szCs w:val="20"/>
              </w:rPr>
            </m:ctrlPr>
          </m:fPr>
          <m:num>
            <m:r>
              <w:rPr>
                <w:rFonts w:ascii="Cambria Math" w:hAnsi="Cambria Math" w:cs="Arial"/>
                <w:sz w:val="20"/>
                <w:szCs w:val="20"/>
              </w:rPr>
              <m:t>n</m:t>
            </m:r>
          </m:num>
          <m:den>
            <m:r>
              <w:rPr>
                <w:rFonts w:ascii="Cambria Math" w:hAnsi="Cambria Math" w:cs="Arial"/>
                <w:sz w:val="20"/>
                <w:szCs w:val="20"/>
              </w:rPr>
              <m:t>6</m:t>
            </m:r>
          </m:den>
        </m:f>
      </m:oMath>
      <w:r w:rsidRPr="00B31F8F">
        <w:rPr>
          <w:rFonts w:ascii="Arial" w:eastAsiaTheme="minorEastAsia" w:hAnsi="Arial" w:cs="Arial"/>
          <w:sz w:val="20"/>
          <w:szCs w:val="20"/>
        </w:rPr>
        <w:t xml:space="preserve"> </w:t>
      </w:r>
      <m:oMath>
        <m:d>
          <m:dPr>
            <m:ctrlPr>
              <w:rPr>
                <w:rFonts w:ascii="Cambria Math" w:eastAsiaTheme="minorEastAsia" w:hAnsi="Cambria Math" w:cs="Arial"/>
                <w:i/>
                <w:sz w:val="20"/>
                <w:szCs w:val="20"/>
              </w:rPr>
            </m:ctrlPr>
          </m:dPr>
          <m:e>
            <m:sSup>
              <m:sSupPr>
                <m:ctrlPr>
                  <w:rPr>
                    <w:rFonts w:ascii="Cambria Math" w:eastAsiaTheme="minorEastAsia" w:hAnsi="Cambria Math" w:cs="Arial"/>
                    <w:i/>
                    <w:sz w:val="20"/>
                    <w:szCs w:val="20"/>
                  </w:rPr>
                </m:ctrlPr>
              </m:sSupPr>
              <m:e>
                <m:r>
                  <w:rPr>
                    <w:rFonts w:ascii="Cambria Math" w:eastAsiaTheme="minorEastAsia" w:hAnsi="Cambria Math" w:cs="Arial"/>
                    <w:sz w:val="20"/>
                    <w:szCs w:val="20"/>
                  </w:rPr>
                  <m:t>S</m:t>
                </m:r>
              </m:e>
              <m:sup>
                <m:r>
                  <w:rPr>
                    <w:rFonts w:ascii="Cambria Math" w:eastAsiaTheme="minorEastAsia" w:hAnsi="Cambria Math" w:cs="Arial"/>
                    <w:sz w:val="20"/>
                    <w:szCs w:val="20"/>
                  </w:rPr>
                  <m:t>2</m:t>
                </m:r>
              </m:sup>
            </m:sSup>
            <m:r>
              <w:rPr>
                <w:rFonts w:ascii="Cambria Math" w:eastAsiaTheme="minorEastAsia" w:hAnsi="Cambria Math" w:cs="Arial"/>
                <w:sz w:val="20"/>
                <w:szCs w:val="20"/>
              </w:rPr>
              <m:t xml:space="preserve">+ </m:t>
            </m:r>
            <m:f>
              <m:fPr>
                <m:ctrlPr>
                  <w:rPr>
                    <w:rFonts w:ascii="Cambria Math" w:eastAsiaTheme="minorEastAsia" w:hAnsi="Cambria Math" w:cs="Arial"/>
                    <w:i/>
                    <w:sz w:val="20"/>
                    <w:szCs w:val="20"/>
                  </w:rPr>
                </m:ctrlPr>
              </m:fPr>
              <m:num>
                <m:r>
                  <w:rPr>
                    <w:rFonts w:ascii="Cambria Math" w:eastAsiaTheme="minorEastAsia" w:hAnsi="Cambria Math" w:cs="Arial"/>
                    <w:sz w:val="20"/>
                    <w:szCs w:val="20"/>
                  </w:rPr>
                  <m:t>1</m:t>
                </m:r>
              </m:num>
              <m:den>
                <m:r>
                  <w:rPr>
                    <w:rFonts w:ascii="Cambria Math" w:eastAsiaTheme="minorEastAsia" w:hAnsi="Cambria Math" w:cs="Arial"/>
                    <w:sz w:val="20"/>
                    <w:szCs w:val="20"/>
                  </w:rPr>
                  <m:t>4</m:t>
                </m:r>
              </m:den>
            </m:f>
            <m:r>
              <w:rPr>
                <w:rFonts w:ascii="Cambria Math" w:eastAsiaTheme="minorEastAsia" w:hAnsi="Cambria Math" w:cs="Arial"/>
                <w:sz w:val="20"/>
                <w:szCs w:val="20"/>
              </w:rPr>
              <m:t>(K-3</m:t>
            </m:r>
            <m:sSup>
              <m:sSupPr>
                <m:ctrlPr>
                  <w:rPr>
                    <w:rFonts w:ascii="Cambria Math" w:eastAsiaTheme="minorEastAsia" w:hAnsi="Cambria Math" w:cs="Arial"/>
                    <w:i/>
                    <w:sz w:val="20"/>
                    <w:szCs w:val="20"/>
                  </w:rPr>
                </m:ctrlPr>
              </m:sSupPr>
              <m:e>
                <m:r>
                  <w:rPr>
                    <w:rFonts w:ascii="Cambria Math" w:eastAsiaTheme="minorEastAsia" w:hAnsi="Cambria Math" w:cs="Arial"/>
                    <w:sz w:val="20"/>
                    <w:szCs w:val="20"/>
                  </w:rPr>
                  <m:t>)</m:t>
                </m:r>
              </m:e>
              <m:sup>
                <m:r>
                  <w:rPr>
                    <w:rFonts w:ascii="Cambria Math" w:eastAsiaTheme="minorEastAsia" w:hAnsi="Cambria Math" w:cs="Arial"/>
                    <w:sz w:val="20"/>
                    <w:szCs w:val="20"/>
                  </w:rPr>
                  <m:t>2</m:t>
                </m:r>
              </m:sup>
            </m:sSup>
          </m:e>
        </m:d>
      </m:oMath>
    </w:p>
    <w:p w14:paraId="21C7EA97" w14:textId="77777777" w:rsidR="00F41E4D" w:rsidRDefault="00F41E4D" w:rsidP="002F2E27">
      <w:pPr>
        <w:spacing w:after="0"/>
        <w:rPr>
          <w:rFonts w:ascii="Arial" w:eastAsiaTheme="minorEastAsia" w:hAnsi="Arial" w:cs="Arial"/>
          <w:sz w:val="20"/>
          <w:szCs w:val="20"/>
        </w:rPr>
      </w:pPr>
      <w:r>
        <w:rPr>
          <w:rFonts w:ascii="Arial" w:eastAsiaTheme="minorEastAsia" w:hAnsi="Arial" w:cs="Arial"/>
          <w:sz w:val="20"/>
          <w:szCs w:val="20"/>
        </w:rPr>
        <w:t xml:space="preserve">Whereby </w:t>
      </w:r>
    </w:p>
    <w:p w14:paraId="0D7F5CA1" w14:textId="77777777" w:rsidR="00F41E4D" w:rsidRDefault="00F41E4D" w:rsidP="002F2E27">
      <w:pPr>
        <w:spacing w:after="0"/>
        <w:rPr>
          <w:rFonts w:ascii="Arial" w:eastAsiaTheme="minorEastAsia" w:hAnsi="Arial" w:cs="Arial"/>
          <w:sz w:val="20"/>
          <w:szCs w:val="20"/>
        </w:rPr>
      </w:pPr>
      <w:r>
        <w:rPr>
          <w:rFonts w:ascii="Arial" w:eastAsiaTheme="minorEastAsia" w:hAnsi="Arial" w:cs="Arial"/>
          <w:i/>
          <w:iCs/>
          <w:sz w:val="20"/>
          <w:szCs w:val="20"/>
        </w:rPr>
        <w:t xml:space="preserve">n </w:t>
      </w:r>
      <w:r>
        <w:rPr>
          <w:rFonts w:ascii="Arial" w:eastAsiaTheme="minorEastAsia" w:hAnsi="Arial" w:cs="Arial"/>
          <w:sz w:val="20"/>
          <w:szCs w:val="20"/>
        </w:rPr>
        <w:t>is the number of observations (degree of freedom in general),</w:t>
      </w:r>
    </w:p>
    <w:p w14:paraId="6A1141AF" w14:textId="77777777" w:rsidR="00F41E4D" w:rsidRDefault="00F41E4D" w:rsidP="002F2E27">
      <w:pPr>
        <w:spacing w:after="0"/>
        <w:rPr>
          <w:rFonts w:ascii="Arial" w:eastAsiaTheme="minorEastAsia" w:hAnsi="Arial" w:cs="Arial"/>
          <w:sz w:val="20"/>
          <w:szCs w:val="20"/>
        </w:rPr>
      </w:pPr>
      <w:r>
        <w:rPr>
          <w:rFonts w:ascii="Arial" w:eastAsiaTheme="minorEastAsia" w:hAnsi="Arial" w:cs="Arial"/>
          <w:i/>
          <w:iCs/>
          <w:sz w:val="20"/>
          <w:szCs w:val="20"/>
        </w:rPr>
        <w:t xml:space="preserve">S </w:t>
      </w:r>
      <w:r>
        <w:rPr>
          <w:rFonts w:ascii="Arial" w:eastAsiaTheme="minorEastAsia" w:hAnsi="Arial" w:cs="Arial"/>
          <w:sz w:val="20"/>
          <w:szCs w:val="20"/>
        </w:rPr>
        <w:t xml:space="preserve">is the sample skewness </w:t>
      </w:r>
    </w:p>
    <w:p w14:paraId="3311D56E" w14:textId="77777777" w:rsidR="00F41E4D" w:rsidRDefault="00F41E4D" w:rsidP="002F2E27">
      <w:pPr>
        <w:spacing w:after="0"/>
        <w:rPr>
          <w:rFonts w:ascii="Arial" w:eastAsiaTheme="minorEastAsia" w:hAnsi="Arial" w:cs="Arial"/>
          <w:sz w:val="20"/>
          <w:szCs w:val="20"/>
        </w:rPr>
      </w:pPr>
      <w:r>
        <w:rPr>
          <w:rFonts w:ascii="Arial" w:eastAsiaTheme="minorEastAsia" w:hAnsi="Arial" w:cs="Arial"/>
          <w:i/>
          <w:iCs/>
          <w:sz w:val="20"/>
          <w:szCs w:val="20"/>
        </w:rPr>
        <w:t xml:space="preserve">K </w:t>
      </w:r>
      <w:r>
        <w:rPr>
          <w:rFonts w:ascii="Arial" w:eastAsiaTheme="minorEastAsia" w:hAnsi="Arial" w:cs="Arial"/>
          <w:sz w:val="20"/>
          <w:szCs w:val="20"/>
        </w:rPr>
        <w:t>is the sample kurtosis:</w:t>
      </w:r>
    </w:p>
    <w:p w14:paraId="4E35A44B" w14:textId="77777777" w:rsidR="00F41E4D" w:rsidRPr="00B31F8F" w:rsidRDefault="00F41E4D" w:rsidP="002F2E27">
      <w:pPr>
        <w:spacing w:after="0"/>
        <w:rPr>
          <w:rFonts w:ascii="Arial" w:eastAsiaTheme="minorEastAsia" w:hAnsi="Arial" w:cs="Arial"/>
        </w:rPr>
      </w:pPr>
      <w:r>
        <w:rPr>
          <w:rFonts w:ascii="Arial" w:eastAsiaTheme="minorEastAsia" w:hAnsi="Arial" w:cs="Arial"/>
          <w:i/>
          <w:iCs/>
          <w:sz w:val="20"/>
          <w:szCs w:val="20"/>
        </w:rPr>
        <w:t xml:space="preserve">S = </w:t>
      </w:r>
      <m:oMath>
        <m:f>
          <m:fPr>
            <m:ctrlPr>
              <w:rPr>
                <w:rFonts w:ascii="Cambria Math" w:eastAsiaTheme="minorEastAsia" w:hAnsi="Cambria Math" w:cs="Arial"/>
                <w:i/>
                <w:iCs/>
              </w:rPr>
            </m:ctrlPr>
          </m:fPr>
          <m:num>
            <m:sSub>
              <m:sSubPr>
                <m:ctrlPr>
                  <w:rPr>
                    <w:rFonts w:ascii="Cambria Math" w:eastAsiaTheme="minorEastAsia" w:hAnsi="Cambria Math" w:cs="Arial"/>
                    <w:i/>
                    <w:iCs/>
                  </w:rPr>
                </m:ctrlPr>
              </m:sSubPr>
              <m:e>
                <m:r>
                  <w:rPr>
                    <w:rFonts w:ascii="Cambria Math" w:eastAsiaTheme="minorEastAsia" w:hAnsi="Cambria Math" w:cs="Arial"/>
                  </w:rPr>
                  <m:t>û</m:t>
                </m:r>
              </m:e>
              <m:sub>
                <m:r>
                  <w:rPr>
                    <w:rFonts w:ascii="Cambria Math" w:eastAsiaTheme="minorEastAsia" w:hAnsi="Cambria Math" w:cs="Arial"/>
                  </w:rPr>
                  <m:t>3</m:t>
                </m:r>
              </m:sub>
            </m:sSub>
          </m:num>
          <m:den>
            <m:sSup>
              <m:sSupPr>
                <m:ctrlPr>
                  <w:rPr>
                    <w:rFonts w:ascii="Cambria Math" w:eastAsiaTheme="minorEastAsia" w:hAnsi="Cambria Math" w:cs="Arial"/>
                    <w:i/>
                    <w:iCs/>
                  </w:rPr>
                </m:ctrlPr>
              </m:sSupPr>
              <m:e>
                <m:acc>
                  <m:accPr>
                    <m:ctrlPr>
                      <w:rPr>
                        <w:rFonts w:ascii="Cambria Math" w:eastAsiaTheme="minorEastAsia" w:hAnsi="Cambria Math" w:cs="Arial"/>
                        <w:i/>
                        <w:iCs/>
                      </w:rPr>
                    </m:ctrlPr>
                  </m:accPr>
                  <m:e>
                    <m:r>
                      <w:rPr>
                        <w:rFonts w:ascii="Cambria Math" w:eastAsiaTheme="minorEastAsia" w:hAnsi="Cambria Math" w:cs="Arial"/>
                      </w:rPr>
                      <m:t>σ</m:t>
                    </m:r>
                  </m:e>
                </m:acc>
              </m:e>
              <m:sup>
                <m:r>
                  <w:rPr>
                    <w:rFonts w:ascii="Cambria Math" w:eastAsiaTheme="minorEastAsia" w:hAnsi="Cambria Math" w:cs="Arial"/>
                  </w:rPr>
                  <m:t>3</m:t>
                </m:r>
              </m:sup>
            </m:sSup>
          </m:den>
        </m:f>
      </m:oMath>
      <w:r w:rsidRPr="00B31F8F">
        <w:rPr>
          <w:rFonts w:ascii="Arial" w:eastAsiaTheme="minorEastAsia" w:hAnsi="Arial" w:cs="Arial"/>
        </w:rPr>
        <w:t xml:space="preserve"> = </w:t>
      </w:r>
      <m:oMath>
        <m:f>
          <m:fPr>
            <m:ctrlPr>
              <w:rPr>
                <w:rFonts w:ascii="Cambria Math" w:eastAsiaTheme="minorEastAsia" w:hAnsi="Cambria Math" w:cs="Arial"/>
                <w:i/>
              </w:rPr>
            </m:ctrlPr>
          </m:fPr>
          <m:num>
            <m:f>
              <m:fPr>
                <m:ctrlPr>
                  <w:rPr>
                    <w:rFonts w:ascii="Cambria Math" w:eastAsiaTheme="minorEastAsia" w:hAnsi="Cambria Math" w:cs="Arial"/>
                    <w:i/>
                  </w:rPr>
                </m:ctrlPr>
              </m:fPr>
              <m:num>
                <m:r>
                  <w:rPr>
                    <w:rFonts w:ascii="Cambria Math" w:hAnsi="Cambria Math" w:cs="Arial"/>
                  </w:rPr>
                  <m:t>1</m:t>
                </m:r>
              </m:num>
              <m:den>
                <m:r>
                  <w:rPr>
                    <w:rFonts w:ascii="Cambria Math" w:hAnsi="Cambria Math" w:cs="Arial"/>
                  </w:rPr>
                  <m:t>n</m:t>
                </m:r>
              </m:den>
            </m:f>
            <m:nary>
              <m:naryPr>
                <m:chr m:val="∑"/>
                <m:limLoc m:val="subSup"/>
                <m:ctrlPr>
                  <w:rPr>
                    <w:rFonts w:ascii="Cambria Math" w:eastAsiaTheme="minorEastAsia" w:hAnsi="Cambria Math" w:cs="Arial"/>
                    <w:i/>
                  </w:rPr>
                </m:ctrlPr>
              </m:naryPr>
              <m:sub>
                <m:r>
                  <w:rPr>
                    <w:rFonts w:ascii="Cambria Math" w:eastAsiaTheme="minorEastAsia" w:hAnsi="Cambria Math" w:cs="Arial"/>
                  </w:rPr>
                  <m:t>i=1</m:t>
                </m:r>
              </m:sub>
              <m:sup>
                <m:r>
                  <w:rPr>
                    <w:rFonts w:ascii="Cambria Math" w:eastAsiaTheme="minorEastAsia" w:hAnsi="Cambria Math" w:cs="Arial"/>
                  </w:rPr>
                  <m:t>n</m:t>
                </m:r>
              </m:sup>
              <m:e>
                <m:sSub>
                  <m:sSubPr>
                    <m:ctrlPr>
                      <w:rPr>
                        <w:rFonts w:ascii="Cambria Math" w:eastAsiaTheme="minorEastAsia" w:hAnsi="Cambria Math" w:cs="Arial"/>
                        <w:i/>
                      </w:rPr>
                    </m:ctrlPr>
                  </m:sSubPr>
                  <m:e>
                    <m:r>
                      <w:rPr>
                        <w:rFonts w:ascii="Cambria Math" w:eastAsiaTheme="minorEastAsia" w:hAnsi="Cambria Math" w:cs="Arial"/>
                      </w:rPr>
                      <m:t>(x</m:t>
                    </m:r>
                  </m:e>
                  <m:sub>
                    <m:r>
                      <w:rPr>
                        <w:rFonts w:ascii="Cambria Math" w:eastAsiaTheme="minorEastAsia" w:hAnsi="Cambria Math" w:cs="Arial"/>
                      </w:rPr>
                      <m:t>i</m:t>
                    </m:r>
                  </m:sub>
                </m:sSub>
                <m:r>
                  <w:rPr>
                    <w:rFonts w:ascii="Cambria Math" w:eastAsiaTheme="minorEastAsia" w:hAnsi="Cambria Math" w:cs="Arial"/>
                  </w:rPr>
                  <m:t xml:space="preserve">- </m:t>
                </m:r>
                <m:acc>
                  <m:accPr>
                    <m:chr m:val="̅"/>
                    <m:ctrlPr>
                      <w:rPr>
                        <w:rFonts w:ascii="Cambria Math" w:eastAsiaTheme="minorEastAsia" w:hAnsi="Cambria Math" w:cs="Arial"/>
                        <w:i/>
                      </w:rPr>
                    </m:ctrlPr>
                  </m:accPr>
                  <m:e>
                    <m:r>
                      <w:rPr>
                        <w:rFonts w:ascii="Cambria Math" w:eastAsiaTheme="minorEastAsia" w:hAnsi="Cambria Math" w:cs="Arial"/>
                      </w:rPr>
                      <m:t>x</m:t>
                    </m:r>
                  </m:e>
                </m:acc>
                <m:sSup>
                  <m:sSupPr>
                    <m:ctrlPr>
                      <w:rPr>
                        <w:rFonts w:ascii="Cambria Math" w:eastAsiaTheme="minorEastAsia" w:hAnsi="Cambria Math" w:cs="Arial"/>
                        <w:i/>
                      </w:rPr>
                    </m:ctrlPr>
                  </m:sSupPr>
                  <m:e>
                    <m:r>
                      <w:rPr>
                        <w:rFonts w:ascii="Cambria Math" w:eastAsiaTheme="minorEastAsia" w:hAnsi="Cambria Math" w:cs="Arial"/>
                      </w:rPr>
                      <m:t>)</m:t>
                    </m:r>
                  </m:e>
                  <m:sup>
                    <m:r>
                      <w:rPr>
                        <w:rFonts w:ascii="Cambria Math" w:eastAsiaTheme="minorEastAsia" w:hAnsi="Cambria Math" w:cs="Arial"/>
                      </w:rPr>
                      <m:t>3</m:t>
                    </m:r>
                  </m:sup>
                </m:sSup>
                <m:r>
                  <w:rPr>
                    <w:rFonts w:ascii="Cambria Math" w:eastAsiaTheme="minorEastAsia" w:hAnsi="Cambria Math" w:cs="Arial"/>
                  </w:rPr>
                  <m:t xml:space="preserve">  </m:t>
                </m:r>
              </m:e>
            </m:nary>
            <m:r>
              <w:rPr>
                <w:rFonts w:ascii="Cambria Math" w:eastAsiaTheme="minorEastAsia" w:hAnsi="Cambria Math" w:cs="Arial"/>
              </w:rPr>
              <m:t xml:space="preserve">  </m:t>
            </m:r>
          </m:num>
          <m:den>
            <m:r>
              <w:rPr>
                <w:rFonts w:ascii="Cambria Math" w:eastAsiaTheme="minorEastAsia" w:hAnsi="Cambria Math" w:cs="Arial"/>
              </w:rPr>
              <m:t>(</m:t>
            </m:r>
            <m:f>
              <m:fPr>
                <m:ctrlPr>
                  <w:rPr>
                    <w:rFonts w:ascii="Cambria Math" w:eastAsiaTheme="minorEastAsia" w:hAnsi="Cambria Math" w:cs="Arial"/>
                    <w:i/>
                  </w:rPr>
                </m:ctrlPr>
              </m:fPr>
              <m:num>
                <m:r>
                  <w:rPr>
                    <w:rFonts w:ascii="Cambria Math" w:eastAsiaTheme="minorEastAsia" w:hAnsi="Cambria Math" w:cs="Arial"/>
                  </w:rPr>
                  <m:t>1</m:t>
                </m:r>
              </m:num>
              <m:den>
                <m:r>
                  <w:rPr>
                    <w:rFonts w:ascii="Cambria Math" w:eastAsiaTheme="minorEastAsia" w:hAnsi="Cambria Math" w:cs="Arial"/>
                  </w:rPr>
                  <m:t>n</m:t>
                </m:r>
              </m:den>
            </m:f>
            <m:r>
              <w:rPr>
                <w:rFonts w:ascii="Cambria Math" w:eastAsiaTheme="minorEastAsia" w:hAnsi="Cambria Math" w:cs="Arial"/>
              </w:rPr>
              <m:t xml:space="preserve"> </m:t>
            </m:r>
            <m:nary>
              <m:naryPr>
                <m:chr m:val="∑"/>
                <m:limLoc m:val="subSup"/>
                <m:ctrlPr>
                  <w:rPr>
                    <w:rFonts w:ascii="Cambria Math" w:eastAsiaTheme="minorEastAsia" w:hAnsi="Cambria Math" w:cs="Arial"/>
                    <w:i/>
                  </w:rPr>
                </m:ctrlPr>
              </m:naryPr>
              <m:sub>
                <m:r>
                  <w:rPr>
                    <w:rFonts w:ascii="Cambria Math" w:eastAsiaTheme="minorEastAsia" w:hAnsi="Cambria Math" w:cs="Arial"/>
                  </w:rPr>
                  <m:t>i=1</m:t>
                </m:r>
              </m:sub>
              <m:sup>
                <m:r>
                  <w:rPr>
                    <w:rFonts w:ascii="Cambria Math" w:eastAsiaTheme="minorEastAsia" w:hAnsi="Cambria Math" w:cs="Arial"/>
                  </w:rPr>
                  <m:t>n</m:t>
                </m:r>
              </m:sup>
              <m:e>
                <m:sSub>
                  <m:sSubPr>
                    <m:ctrlPr>
                      <w:rPr>
                        <w:rFonts w:ascii="Cambria Math" w:eastAsiaTheme="minorEastAsia" w:hAnsi="Cambria Math" w:cs="Arial"/>
                        <w:i/>
                      </w:rPr>
                    </m:ctrlPr>
                  </m:sSubPr>
                  <m:e>
                    <m:r>
                      <w:rPr>
                        <w:rFonts w:ascii="Cambria Math" w:eastAsiaTheme="minorEastAsia" w:hAnsi="Cambria Math" w:cs="Arial"/>
                      </w:rPr>
                      <m:t>(x</m:t>
                    </m:r>
                  </m:e>
                  <m:sub>
                    <m:r>
                      <w:rPr>
                        <w:rFonts w:ascii="Cambria Math" w:eastAsiaTheme="minorEastAsia" w:hAnsi="Cambria Math" w:cs="Arial"/>
                      </w:rPr>
                      <m:t>i</m:t>
                    </m:r>
                  </m:sub>
                </m:sSub>
                <m:r>
                  <w:rPr>
                    <w:rFonts w:ascii="Cambria Math" w:eastAsiaTheme="minorEastAsia" w:hAnsi="Cambria Math" w:cs="Arial"/>
                  </w:rPr>
                  <m:t xml:space="preserve">- </m:t>
                </m:r>
                <m:acc>
                  <m:accPr>
                    <m:chr m:val="̅"/>
                    <m:ctrlPr>
                      <w:rPr>
                        <w:rFonts w:ascii="Cambria Math" w:eastAsiaTheme="minorEastAsia" w:hAnsi="Cambria Math" w:cs="Arial"/>
                        <w:i/>
                      </w:rPr>
                    </m:ctrlPr>
                  </m:accPr>
                  <m:e>
                    <m:r>
                      <w:rPr>
                        <w:rFonts w:ascii="Cambria Math" w:eastAsiaTheme="minorEastAsia" w:hAnsi="Cambria Math" w:cs="Arial"/>
                      </w:rPr>
                      <m:t>x</m:t>
                    </m:r>
                  </m:e>
                </m:acc>
                <m:sSup>
                  <m:sSupPr>
                    <m:ctrlPr>
                      <w:rPr>
                        <w:rFonts w:ascii="Cambria Math" w:eastAsiaTheme="minorEastAsia" w:hAnsi="Cambria Math" w:cs="Arial"/>
                        <w:i/>
                      </w:rPr>
                    </m:ctrlPr>
                  </m:sSupPr>
                  <m:e>
                    <m:r>
                      <w:rPr>
                        <w:rFonts w:ascii="Cambria Math" w:eastAsiaTheme="minorEastAsia" w:hAnsi="Cambria Math" w:cs="Arial"/>
                      </w:rPr>
                      <m:t>)</m:t>
                    </m:r>
                  </m:e>
                  <m:sup>
                    <m:r>
                      <w:rPr>
                        <w:rFonts w:ascii="Cambria Math" w:eastAsiaTheme="minorEastAsia" w:hAnsi="Cambria Math" w:cs="Arial"/>
                      </w:rPr>
                      <m:t xml:space="preserve">2 </m:t>
                    </m:r>
                  </m:sup>
                </m:sSup>
                <m:sSup>
                  <m:sSupPr>
                    <m:ctrlPr>
                      <w:rPr>
                        <w:rFonts w:ascii="Cambria Math" w:eastAsiaTheme="minorEastAsia" w:hAnsi="Cambria Math" w:cs="Arial"/>
                        <w:i/>
                      </w:rPr>
                    </m:ctrlPr>
                  </m:sSupPr>
                  <m:e>
                    <m:r>
                      <w:rPr>
                        <w:rFonts w:ascii="Cambria Math" w:eastAsiaTheme="minorEastAsia" w:hAnsi="Cambria Math" w:cs="Arial"/>
                      </w:rPr>
                      <m:t>)</m:t>
                    </m:r>
                  </m:e>
                  <m:sup>
                    <m:f>
                      <m:fPr>
                        <m:type m:val="lin"/>
                        <m:ctrlPr>
                          <w:rPr>
                            <w:rFonts w:ascii="Cambria Math" w:eastAsiaTheme="minorEastAsia" w:hAnsi="Cambria Math" w:cs="Arial"/>
                            <w:i/>
                          </w:rPr>
                        </m:ctrlPr>
                      </m:fPr>
                      <m:num>
                        <m:r>
                          <w:rPr>
                            <w:rFonts w:ascii="Cambria Math" w:eastAsiaTheme="minorEastAsia" w:hAnsi="Cambria Math" w:cs="Arial"/>
                          </w:rPr>
                          <m:t>3</m:t>
                        </m:r>
                      </m:num>
                      <m:den>
                        <m:r>
                          <w:rPr>
                            <w:rFonts w:ascii="Cambria Math" w:eastAsiaTheme="minorEastAsia" w:hAnsi="Cambria Math" w:cs="Arial"/>
                          </w:rPr>
                          <m:t>2</m:t>
                        </m:r>
                      </m:den>
                    </m:f>
                  </m:sup>
                </m:sSup>
                <m:r>
                  <w:rPr>
                    <w:rFonts w:ascii="Cambria Math" w:eastAsiaTheme="minorEastAsia" w:hAnsi="Cambria Math" w:cs="Arial"/>
                  </w:rPr>
                  <m:t xml:space="preserve">  </m:t>
                </m:r>
              </m:e>
            </m:nary>
          </m:den>
        </m:f>
      </m:oMath>
      <w:r w:rsidRPr="00B31F8F">
        <w:rPr>
          <w:rFonts w:ascii="Arial" w:eastAsiaTheme="minorEastAsia" w:hAnsi="Arial" w:cs="Arial"/>
        </w:rPr>
        <w:t>,</w:t>
      </w:r>
    </w:p>
    <w:p w14:paraId="7AECA816" w14:textId="77777777" w:rsidR="00F41E4D" w:rsidRDefault="00F41E4D" w:rsidP="002F2E27">
      <w:pPr>
        <w:spacing w:after="0"/>
        <w:rPr>
          <w:rFonts w:ascii="Arial" w:eastAsiaTheme="minorEastAsia" w:hAnsi="Arial" w:cs="Arial"/>
          <w:sz w:val="20"/>
          <w:szCs w:val="20"/>
        </w:rPr>
      </w:pPr>
      <w:r w:rsidRPr="00B31F8F">
        <w:rPr>
          <w:rFonts w:ascii="Arial" w:eastAsiaTheme="minorEastAsia" w:hAnsi="Arial" w:cs="Arial"/>
          <w:i/>
          <w:iCs/>
        </w:rPr>
        <w:t xml:space="preserve">K = </w:t>
      </w:r>
      <m:oMath>
        <m:f>
          <m:fPr>
            <m:ctrlPr>
              <w:rPr>
                <w:rFonts w:ascii="Cambria Math" w:eastAsiaTheme="minorEastAsia" w:hAnsi="Cambria Math" w:cs="Arial"/>
                <w:i/>
                <w:iCs/>
              </w:rPr>
            </m:ctrlPr>
          </m:fPr>
          <m:num>
            <m:sSub>
              <m:sSubPr>
                <m:ctrlPr>
                  <w:rPr>
                    <w:rFonts w:ascii="Cambria Math" w:eastAsiaTheme="minorEastAsia" w:hAnsi="Cambria Math" w:cs="Arial"/>
                    <w:i/>
                    <w:iCs/>
                  </w:rPr>
                </m:ctrlPr>
              </m:sSubPr>
              <m:e>
                <m:r>
                  <w:rPr>
                    <w:rFonts w:ascii="Cambria Math" w:eastAsiaTheme="minorEastAsia" w:hAnsi="Cambria Math" w:cs="Arial"/>
                  </w:rPr>
                  <m:t>û</m:t>
                </m:r>
              </m:e>
              <m:sub>
                <m:r>
                  <w:rPr>
                    <w:rFonts w:ascii="Cambria Math" w:eastAsiaTheme="minorEastAsia" w:hAnsi="Cambria Math" w:cs="Arial"/>
                  </w:rPr>
                  <m:t>4</m:t>
                </m:r>
              </m:sub>
            </m:sSub>
          </m:num>
          <m:den>
            <m:sSup>
              <m:sSupPr>
                <m:ctrlPr>
                  <w:rPr>
                    <w:rFonts w:ascii="Cambria Math" w:eastAsiaTheme="minorEastAsia" w:hAnsi="Cambria Math" w:cs="Arial"/>
                    <w:i/>
                    <w:iCs/>
                  </w:rPr>
                </m:ctrlPr>
              </m:sSupPr>
              <m:e>
                <m:acc>
                  <m:accPr>
                    <m:ctrlPr>
                      <w:rPr>
                        <w:rFonts w:ascii="Cambria Math" w:eastAsiaTheme="minorEastAsia" w:hAnsi="Cambria Math" w:cs="Arial"/>
                        <w:i/>
                        <w:iCs/>
                      </w:rPr>
                    </m:ctrlPr>
                  </m:accPr>
                  <m:e>
                    <m:r>
                      <w:rPr>
                        <w:rFonts w:ascii="Cambria Math" w:eastAsiaTheme="minorEastAsia" w:hAnsi="Cambria Math" w:cs="Arial"/>
                      </w:rPr>
                      <m:t>σ</m:t>
                    </m:r>
                  </m:e>
                </m:acc>
              </m:e>
              <m:sup>
                <m:r>
                  <w:rPr>
                    <w:rFonts w:ascii="Cambria Math" w:eastAsiaTheme="minorEastAsia" w:hAnsi="Cambria Math" w:cs="Arial"/>
                  </w:rPr>
                  <m:t>4</m:t>
                </m:r>
              </m:sup>
            </m:sSup>
          </m:den>
        </m:f>
      </m:oMath>
      <w:r w:rsidRPr="00B31F8F">
        <w:rPr>
          <w:rFonts w:ascii="Arial" w:eastAsiaTheme="minorEastAsia" w:hAnsi="Arial" w:cs="Arial"/>
        </w:rPr>
        <w:t xml:space="preserve">= </w:t>
      </w:r>
      <m:oMath>
        <m:f>
          <m:fPr>
            <m:ctrlPr>
              <w:rPr>
                <w:rFonts w:ascii="Cambria Math" w:eastAsiaTheme="minorEastAsia" w:hAnsi="Cambria Math" w:cs="Arial"/>
                <w:i/>
              </w:rPr>
            </m:ctrlPr>
          </m:fPr>
          <m:num>
            <m:f>
              <m:fPr>
                <m:ctrlPr>
                  <w:rPr>
                    <w:rFonts w:ascii="Cambria Math" w:eastAsiaTheme="minorEastAsia" w:hAnsi="Cambria Math" w:cs="Arial"/>
                    <w:i/>
                  </w:rPr>
                </m:ctrlPr>
              </m:fPr>
              <m:num>
                <m:r>
                  <w:rPr>
                    <w:rFonts w:ascii="Cambria Math" w:hAnsi="Cambria Math" w:cs="Arial"/>
                  </w:rPr>
                  <m:t>1</m:t>
                </m:r>
              </m:num>
              <m:den>
                <m:r>
                  <w:rPr>
                    <w:rFonts w:ascii="Cambria Math" w:hAnsi="Cambria Math" w:cs="Arial"/>
                  </w:rPr>
                  <m:t>n</m:t>
                </m:r>
              </m:den>
            </m:f>
            <m:nary>
              <m:naryPr>
                <m:chr m:val="∑"/>
                <m:limLoc m:val="subSup"/>
                <m:ctrlPr>
                  <w:rPr>
                    <w:rFonts w:ascii="Cambria Math" w:eastAsiaTheme="minorEastAsia" w:hAnsi="Cambria Math" w:cs="Arial"/>
                    <w:i/>
                  </w:rPr>
                </m:ctrlPr>
              </m:naryPr>
              <m:sub>
                <m:r>
                  <w:rPr>
                    <w:rFonts w:ascii="Cambria Math" w:eastAsiaTheme="minorEastAsia" w:hAnsi="Cambria Math" w:cs="Arial"/>
                  </w:rPr>
                  <m:t>i=1</m:t>
                </m:r>
              </m:sub>
              <m:sup>
                <m:r>
                  <w:rPr>
                    <w:rFonts w:ascii="Cambria Math" w:eastAsiaTheme="minorEastAsia" w:hAnsi="Cambria Math" w:cs="Arial"/>
                  </w:rPr>
                  <m:t>n</m:t>
                </m:r>
              </m:sup>
              <m:e>
                <m:sSub>
                  <m:sSubPr>
                    <m:ctrlPr>
                      <w:rPr>
                        <w:rFonts w:ascii="Cambria Math" w:eastAsiaTheme="minorEastAsia" w:hAnsi="Cambria Math" w:cs="Arial"/>
                        <w:i/>
                      </w:rPr>
                    </m:ctrlPr>
                  </m:sSubPr>
                  <m:e>
                    <m:r>
                      <w:rPr>
                        <w:rFonts w:ascii="Cambria Math" w:eastAsiaTheme="minorEastAsia" w:hAnsi="Cambria Math" w:cs="Arial"/>
                      </w:rPr>
                      <m:t>(x</m:t>
                    </m:r>
                  </m:e>
                  <m:sub>
                    <m:r>
                      <w:rPr>
                        <w:rFonts w:ascii="Cambria Math" w:eastAsiaTheme="minorEastAsia" w:hAnsi="Cambria Math" w:cs="Arial"/>
                      </w:rPr>
                      <m:t>i</m:t>
                    </m:r>
                  </m:sub>
                </m:sSub>
                <m:r>
                  <w:rPr>
                    <w:rFonts w:ascii="Cambria Math" w:eastAsiaTheme="minorEastAsia" w:hAnsi="Cambria Math" w:cs="Arial"/>
                  </w:rPr>
                  <m:t xml:space="preserve">- </m:t>
                </m:r>
                <m:acc>
                  <m:accPr>
                    <m:chr m:val="̅"/>
                    <m:ctrlPr>
                      <w:rPr>
                        <w:rFonts w:ascii="Cambria Math" w:eastAsiaTheme="minorEastAsia" w:hAnsi="Cambria Math" w:cs="Arial"/>
                        <w:i/>
                      </w:rPr>
                    </m:ctrlPr>
                  </m:accPr>
                  <m:e>
                    <m:r>
                      <w:rPr>
                        <w:rFonts w:ascii="Cambria Math" w:eastAsiaTheme="minorEastAsia" w:hAnsi="Cambria Math" w:cs="Arial"/>
                      </w:rPr>
                      <m:t>x</m:t>
                    </m:r>
                  </m:e>
                </m:acc>
                <m:sSup>
                  <m:sSupPr>
                    <m:ctrlPr>
                      <w:rPr>
                        <w:rFonts w:ascii="Cambria Math" w:eastAsiaTheme="minorEastAsia" w:hAnsi="Cambria Math" w:cs="Arial"/>
                        <w:i/>
                      </w:rPr>
                    </m:ctrlPr>
                  </m:sSupPr>
                  <m:e>
                    <m:r>
                      <w:rPr>
                        <w:rFonts w:ascii="Cambria Math" w:eastAsiaTheme="minorEastAsia" w:hAnsi="Cambria Math" w:cs="Arial"/>
                      </w:rPr>
                      <m:t>)</m:t>
                    </m:r>
                  </m:e>
                  <m:sup>
                    <m:r>
                      <w:rPr>
                        <w:rFonts w:ascii="Cambria Math" w:eastAsiaTheme="minorEastAsia" w:hAnsi="Cambria Math" w:cs="Arial"/>
                      </w:rPr>
                      <m:t>4</m:t>
                    </m:r>
                  </m:sup>
                </m:sSup>
                <m:r>
                  <w:rPr>
                    <w:rFonts w:ascii="Cambria Math" w:eastAsiaTheme="minorEastAsia" w:hAnsi="Cambria Math" w:cs="Arial"/>
                  </w:rPr>
                  <m:t xml:space="preserve">  </m:t>
                </m:r>
              </m:e>
            </m:nary>
            <m:r>
              <w:rPr>
                <w:rFonts w:ascii="Cambria Math" w:eastAsiaTheme="minorEastAsia" w:hAnsi="Cambria Math" w:cs="Arial"/>
              </w:rPr>
              <m:t xml:space="preserve">  </m:t>
            </m:r>
          </m:num>
          <m:den>
            <m:r>
              <w:rPr>
                <w:rFonts w:ascii="Cambria Math" w:eastAsiaTheme="minorEastAsia" w:hAnsi="Cambria Math" w:cs="Arial"/>
              </w:rPr>
              <m:t>(</m:t>
            </m:r>
            <m:f>
              <m:fPr>
                <m:ctrlPr>
                  <w:rPr>
                    <w:rFonts w:ascii="Cambria Math" w:eastAsiaTheme="minorEastAsia" w:hAnsi="Cambria Math" w:cs="Arial"/>
                    <w:i/>
                  </w:rPr>
                </m:ctrlPr>
              </m:fPr>
              <m:num>
                <m:r>
                  <w:rPr>
                    <w:rFonts w:ascii="Cambria Math" w:eastAsiaTheme="minorEastAsia" w:hAnsi="Cambria Math" w:cs="Arial"/>
                  </w:rPr>
                  <m:t>1</m:t>
                </m:r>
              </m:num>
              <m:den>
                <m:r>
                  <w:rPr>
                    <w:rFonts w:ascii="Cambria Math" w:eastAsiaTheme="minorEastAsia" w:hAnsi="Cambria Math" w:cs="Arial"/>
                  </w:rPr>
                  <m:t>n</m:t>
                </m:r>
              </m:den>
            </m:f>
            <m:r>
              <w:rPr>
                <w:rFonts w:ascii="Cambria Math" w:eastAsiaTheme="minorEastAsia" w:hAnsi="Cambria Math" w:cs="Arial"/>
              </w:rPr>
              <m:t xml:space="preserve"> </m:t>
            </m:r>
            <m:nary>
              <m:naryPr>
                <m:chr m:val="∑"/>
                <m:limLoc m:val="subSup"/>
                <m:ctrlPr>
                  <w:rPr>
                    <w:rFonts w:ascii="Cambria Math" w:eastAsiaTheme="minorEastAsia" w:hAnsi="Cambria Math" w:cs="Arial"/>
                    <w:i/>
                  </w:rPr>
                </m:ctrlPr>
              </m:naryPr>
              <m:sub>
                <m:r>
                  <w:rPr>
                    <w:rFonts w:ascii="Cambria Math" w:eastAsiaTheme="minorEastAsia" w:hAnsi="Cambria Math" w:cs="Arial"/>
                  </w:rPr>
                  <m:t>i=1</m:t>
                </m:r>
              </m:sub>
              <m:sup>
                <m:r>
                  <w:rPr>
                    <w:rFonts w:ascii="Cambria Math" w:eastAsiaTheme="minorEastAsia" w:hAnsi="Cambria Math" w:cs="Arial"/>
                  </w:rPr>
                  <m:t>n</m:t>
                </m:r>
              </m:sup>
              <m:e>
                <m:sSub>
                  <m:sSubPr>
                    <m:ctrlPr>
                      <w:rPr>
                        <w:rFonts w:ascii="Cambria Math" w:eastAsiaTheme="minorEastAsia" w:hAnsi="Cambria Math" w:cs="Arial"/>
                        <w:i/>
                      </w:rPr>
                    </m:ctrlPr>
                  </m:sSubPr>
                  <m:e>
                    <m:r>
                      <w:rPr>
                        <w:rFonts w:ascii="Cambria Math" w:eastAsiaTheme="minorEastAsia" w:hAnsi="Cambria Math" w:cs="Arial"/>
                      </w:rPr>
                      <m:t>(x</m:t>
                    </m:r>
                  </m:e>
                  <m:sub>
                    <m:r>
                      <w:rPr>
                        <w:rFonts w:ascii="Cambria Math" w:eastAsiaTheme="minorEastAsia" w:hAnsi="Cambria Math" w:cs="Arial"/>
                      </w:rPr>
                      <m:t>i</m:t>
                    </m:r>
                  </m:sub>
                </m:sSub>
                <m:r>
                  <w:rPr>
                    <w:rFonts w:ascii="Cambria Math" w:eastAsiaTheme="minorEastAsia" w:hAnsi="Cambria Math" w:cs="Arial"/>
                  </w:rPr>
                  <m:t xml:space="preserve">- </m:t>
                </m:r>
                <m:acc>
                  <m:accPr>
                    <m:chr m:val="̅"/>
                    <m:ctrlPr>
                      <w:rPr>
                        <w:rFonts w:ascii="Cambria Math" w:eastAsiaTheme="minorEastAsia" w:hAnsi="Cambria Math" w:cs="Arial"/>
                        <w:i/>
                      </w:rPr>
                    </m:ctrlPr>
                  </m:accPr>
                  <m:e>
                    <m:r>
                      <w:rPr>
                        <w:rFonts w:ascii="Cambria Math" w:eastAsiaTheme="minorEastAsia" w:hAnsi="Cambria Math" w:cs="Arial"/>
                      </w:rPr>
                      <m:t>x</m:t>
                    </m:r>
                  </m:e>
                </m:acc>
                <m:sSup>
                  <m:sSupPr>
                    <m:ctrlPr>
                      <w:rPr>
                        <w:rFonts w:ascii="Cambria Math" w:eastAsiaTheme="minorEastAsia" w:hAnsi="Cambria Math" w:cs="Arial"/>
                        <w:i/>
                      </w:rPr>
                    </m:ctrlPr>
                  </m:sSupPr>
                  <m:e>
                    <m:r>
                      <w:rPr>
                        <w:rFonts w:ascii="Cambria Math" w:eastAsiaTheme="minorEastAsia" w:hAnsi="Cambria Math" w:cs="Arial"/>
                      </w:rPr>
                      <m:t>)</m:t>
                    </m:r>
                  </m:e>
                  <m:sup>
                    <m:r>
                      <w:rPr>
                        <w:rFonts w:ascii="Cambria Math" w:eastAsiaTheme="minorEastAsia" w:hAnsi="Cambria Math" w:cs="Arial"/>
                      </w:rPr>
                      <m:t xml:space="preserve">2 </m:t>
                    </m:r>
                  </m:sup>
                </m:sSup>
                <m:sSup>
                  <m:sSupPr>
                    <m:ctrlPr>
                      <w:rPr>
                        <w:rFonts w:ascii="Cambria Math" w:eastAsiaTheme="minorEastAsia" w:hAnsi="Cambria Math" w:cs="Arial"/>
                        <w:i/>
                      </w:rPr>
                    </m:ctrlPr>
                  </m:sSupPr>
                  <m:e>
                    <m:r>
                      <w:rPr>
                        <w:rFonts w:ascii="Cambria Math" w:eastAsiaTheme="minorEastAsia" w:hAnsi="Cambria Math" w:cs="Arial"/>
                      </w:rPr>
                      <m:t>)</m:t>
                    </m:r>
                  </m:e>
                  <m:sup>
                    <m:r>
                      <w:rPr>
                        <w:rFonts w:ascii="Cambria Math" w:eastAsiaTheme="minorEastAsia" w:hAnsi="Cambria Math" w:cs="Arial"/>
                      </w:rPr>
                      <m:t>2</m:t>
                    </m:r>
                  </m:sup>
                </m:sSup>
                <m:r>
                  <w:rPr>
                    <w:rFonts w:ascii="Cambria Math" w:eastAsiaTheme="minorEastAsia" w:hAnsi="Cambria Math" w:cs="Arial"/>
                  </w:rPr>
                  <m:t xml:space="preserve">  </m:t>
                </m:r>
              </m:e>
            </m:nary>
          </m:den>
        </m:f>
      </m:oMath>
      <w:r>
        <w:rPr>
          <w:rFonts w:ascii="Arial" w:eastAsiaTheme="minorEastAsia" w:hAnsi="Arial" w:cs="Arial"/>
          <w:sz w:val="20"/>
          <w:szCs w:val="20"/>
        </w:rPr>
        <w:t>,</w:t>
      </w:r>
    </w:p>
    <w:p w14:paraId="63F941D6" w14:textId="77777777" w:rsidR="00F41E4D" w:rsidRDefault="00F41E4D" w:rsidP="002F2E27">
      <w:pPr>
        <w:spacing w:after="0"/>
        <w:rPr>
          <w:rFonts w:ascii="Arial" w:eastAsiaTheme="minorEastAsia" w:hAnsi="Arial" w:cs="Arial"/>
          <w:iCs/>
          <w:sz w:val="20"/>
          <w:szCs w:val="20"/>
        </w:rPr>
      </w:pPr>
      <w:r>
        <w:rPr>
          <w:rFonts w:ascii="Arial" w:eastAsiaTheme="minorEastAsia" w:hAnsi="Arial" w:cs="Arial"/>
          <w:sz w:val="20"/>
          <w:szCs w:val="20"/>
        </w:rPr>
        <w:t xml:space="preserve">Whereby, </w:t>
      </w:r>
      <m:oMath>
        <m:sSub>
          <m:sSubPr>
            <m:ctrlPr>
              <w:rPr>
                <w:rFonts w:ascii="Cambria Math" w:eastAsiaTheme="minorEastAsia" w:hAnsi="Cambria Math" w:cs="Arial"/>
                <w:i/>
                <w:iCs/>
              </w:rPr>
            </m:ctrlPr>
          </m:sSubPr>
          <m:e>
            <m:r>
              <w:rPr>
                <w:rFonts w:ascii="Cambria Math" w:eastAsiaTheme="minorEastAsia" w:hAnsi="Cambria Math" w:cs="Arial"/>
                <w:sz w:val="20"/>
                <w:szCs w:val="20"/>
              </w:rPr>
              <m:t>û</m:t>
            </m:r>
          </m:e>
          <m:sub>
            <m:r>
              <w:rPr>
                <w:rFonts w:ascii="Cambria Math" w:eastAsiaTheme="minorEastAsia" w:hAnsi="Cambria Math" w:cs="Arial"/>
                <w:sz w:val="20"/>
                <w:szCs w:val="20"/>
              </w:rPr>
              <m:t>3</m:t>
            </m:r>
          </m:sub>
        </m:sSub>
      </m:oMath>
      <w:r>
        <w:rPr>
          <w:rFonts w:ascii="Arial" w:eastAsiaTheme="minorEastAsia" w:hAnsi="Arial" w:cs="Arial"/>
          <w:iCs/>
          <w:sz w:val="20"/>
          <w:szCs w:val="20"/>
        </w:rPr>
        <w:t xml:space="preserve"> and </w:t>
      </w:r>
      <m:oMath>
        <m:sSub>
          <m:sSubPr>
            <m:ctrlPr>
              <w:rPr>
                <w:rFonts w:ascii="Cambria Math" w:eastAsiaTheme="minorEastAsia" w:hAnsi="Cambria Math" w:cs="Arial"/>
                <w:i/>
                <w:iCs/>
              </w:rPr>
            </m:ctrlPr>
          </m:sSubPr>
          <m:e>
            <m:r>
              <w:rPr>
                <w:rFonts w:ascii="Cambria Math" w:eastAsiaTheme="minorEastAsia" w:hAnsi="Cambria Math" w:cs="Arial"/>
                <w:sz w:val="20"/>
                <w:szCs w:val="20"/>
              </w:rPr>
              <m:t>û</m:t>
            </m:r>
          </m:e>
          <m:sub>
            <m:r>
              <w:rPr>
                <w:rFonts w:ascii="Cambria Math" w:eastAsiaTheme="minorEastAsia" w:hAnsi="Cambria Math" w:cs="Arial"/>
                <w:sz w:val="20"/>
                <w:szCs w:val="20"/>
              </w:rPr>
              <m:t>4</m:t>
            </m:r>
          </m:sub>
        </m:sSub>
      </m:oMath>
      <w:r>
        <w:rPr>
          <w:rFonts w:ascii="Arial" w:eastAsiaTheme="minorEastAsia" w:hAnsi="Arial" w:cs="Arial"/>
          <w:iCs/>
          <w:sz w:val="20"/>
          <w:szCs w:val="20"/>
        </w:rPr>
        <w:t xml:space="preserve"> are the estimates of third and fourth central moments, respectively. </w:t>
      </w:r>
    </w:p>
    <w:p w14:paraId="6C5F93AB" w14:textId="77777777" w:rsidR="00F41E4D" w:rsidRDefault="00000000" w:rsidP="002F2E27">
      <w:pPr>
        <w:spacing w:after="0"/>
        <w:jc w:val="both"/>
        <w:rPr>
          <w:rFonts w:ascii="Arial" w:hAnsi="Arial" w:cs="Arial"/>
          <w:iCs/>
          <w:sz w:val="20"/>
          <w:szCs w:val="20"/>
        </w:rPr>
      </w:pPr>
      <m:oMath>
        <m:acc>
          <m:accPr>
            <m:chr m:val="̅"/>
            <m:ctrlPr>
              <w:rPr>
                <w:rFonts w:ascii="Cambria Math" w:eastAsiaTheme="minorEastAsia" w:hAnsi="Cambria Math" w:cs="Arial"/>
                <w:i/>
              </w:rPr>
            </m:ctrlPr>
          </m:accPr>
          <m:e>
            <m:r>
              <w:rPr>
                <w:rFonts w:ascii="Cambria Math" w:eastAsiaTheme="minorEastAsia" w:hAnsi="Cambria Math" w:cs="Arial"/>
                <w:sz w:val="20"/>
                <w:szCs w:val="20"/>
              </w:rPr>
              <m:t>x</m:t>
            </m:r>
          </m:e>
        </m:acc>
      </m:oMath>
      <w:r w:rsidR="00F41E4D">
        <w:rPr>
          <w:rFonts w:ascii="Arial" w:eastAsiaTheme="minorEastAsia" w:hAnsi="Arial" w:cs="Arial"/>
          <w:i/>
          <w:sz w:val="20"/>
          <w:szCs w:val="20"/>
        </w:rPr>
        <w:t xml:space="preserve"> </w:t>
      </w:r>
      <w:r w:rsidR="00F41E4D">
        <w:rPr>
          <w:rFonts w:ascii="Arial" w:eastAsiaTheme="minorEastAsia" w:hAnsi="Arial" w:cs="Arial"/>
          <w:iCs/>
          <w:sz w:val="20"/>
          <w:szCs w:val="20"/>
        </w:rPr>
        <w:t xml:space="preserve">is the sample mean, and </w:t>
      </w:r>
      <m:oMath>
        <m:sSup>
          <m:sSupPr>
            <m:ctrlPr>
              <w:rPr>
                <w:rFonts w:ascii="Cambria Math" w:eastAsiaTheme="minorEastAsia" w:hAnsi="Cambria Math" w:cs="Arial"/>
                <w:i/>
                <w:iCs/>
              </w:rPr>
            </m:ctrlPr>
          </m:sSupPr>
          <m:e>
            <m:acc>
              <m:accPr>
                <m:ctrlPr>
                  <w:rPr>
                    <w:rFonts w:ascii="Cambria Math" w:eastAsiaTheme="minorEastAsia" w:hAnsi="Cambria Math" w:cs="Arial"/>
                    <w:i/>
                    <w:iCs/>
                  </w:rPr>
                </m:ctrlPr>
              </m:accPr>
              <m:e>
                <m:r>
                  <w:rPr>
                    <w:rFonts w:ascii="Cambria Math" w:eastAsiaTheme="minorEastAsia" w:hAnsi="Cambria Math" w:cs="Arial"/>
                    <w:sz w:val="20"/>
                    <w:szCs w:val="20"/>
                  </w:rPr>
                  <m:t>σ</m:t>
                </m:r>
              </m:e>
            </m:acc>
          </m:e>
          <m:sup>
            <m:r>
              <w:rPr>
                <w:rFonts w:ascii="Cambria Math" w:eastAsiaTheme="minorEastAsia" w:hAnsi="Cambria Math" w:cs="Arial"/>
                <w:sz w:val="20"/>
                <w:szCs w:val="20"/>
              </w:rPr>
              <m:t>2</m:t>
            </m:r>
          </m:sup>
        </m:sSup>
      </m:oMath>
      <w:r w:rsidR="00F41E4D">
        <w:rPr>
          <w:rFonts w:ascii="Arial" w:eastAsiaTheme="minorEastAsia" w:hAnsi="Arial" w:cs="Arial"/>
          <w:iCs/>
          <w:sz w:val="20"/>
          <w:szCs w:val="20"/>
        </w:rPr>
        <w:t xml:space="preserve"> is the estimate of the second central moment, the variance. In case the data is from a normal distribution, the </w:t>
      </w:r>
      <w:r w:rsidR="00F41E4D">
        <w:rPr>
          <w:rFonts w:ascii="Arial" w:eastAsiaTheme="minorEastAsia" w:hAnsi="Arial" w:cs="Arial"/>
          <w:i/>
          <w:sz w:val="20"/>
          <w:szCs w:val="20"/>
        </w:rPr>
        <w:t xml:space="preserve">JB </w:t>
      </w:r>
      <w:r w:rsidR="00F41E4D">
        <w:rPr>
          <w:rFonts w:ascii="Arial" w:eastAsiaTheme="minorEastAsia" w:hAnsi="Arial" w:cs="Arial"/>
          <w:iCs/>
          <w:sz w:val="20"/>
          <w:szCs w:val="20"/>
        </w:rPr>
        <w:t xml:space="preserve">statistic asymptotically has a chi-squared distribution with two degree of freedom. The statistic could be used to test the hypothesis that the data are from a normal distribution. The null hypothesis is a joint hypothesis of the skewness being zero and the excess kurtosis being zero. Thus, samples from a normal distribution have an expected skewness of 0 and an expected excess kurtosis of 0 (which is same as a kurtosis of 3). As stated by </w:t>
      </w:r>
      <w:r w:rsidR="00F41E4D">
        <w:rPr>
          <w:rFonts w:ascii="Arial" w:eastAsiaTheme="minorEastAsia" w:hAnsi="Arial" w:cs="Arial"/>
          <w:i/>
          <w:sz w:val="20"/>
          <w:szCs w:val="20"/>
        </w:rPr>
        <w:t xml:space="preserve">JB </w:t>
      </w:r>
      <w:r w:rsidR="00F41E4D">
        <w:rPr>
          <w:rFonts w:ascii="Arial" w:eastAsiaTheme="minorEastAsia" w:hAnsi="Arial" w:cs="Arial"/>
          <w:iCs/>
          <w:sz w:val="20"/>
          <w:szCs w:val="20"/>
        </w:rPr>
        <w:t xml:space="preserve">definition, any deviation from this increases the JB statistic.  </w:t>
      </w:r>
    </w:p>
  </w:footnote>
  <w:footnote w:id="105">
    <w:p w14:paraId="29B0FAAA" w14:textId="7B5370A1" w:rsidR="00F41E4D" w:rsidRDefault="00F41E4D" w:rsidP="00F52105">
      <w:pPr>
        <w:shd w:val="clear" w:color="auto" w:fill="FFFFFF"/>
        <w:spacing w:line="240" w:lineRule="auto"/>
        <w:jc w:val="both"/>
        <w:rPr>
          <w:rFonts w:ascii="Arial" w:hAnsi="Arial" w:cs="Arial"/>
          <w:color w:val="212121"/>
          <w:sz w:val="20"/>
          <w:szCs w:val="20"/>
          <w:shd w:val="clear" w:color="auto" w:fill="FFFFFF"/>
        </w:rPr>
      </w:pPr>
      <w:r>
        <w:rPr>
          <w:rStyle w:val="FootnoteReference"/>
        </w:rPr>
        <w:footnoteRef/>
      </w:r>
      <w:r>
        <w:t xml:space="preserve"> </w:t>
      </w:r>
      <w:r>
        <w:rPr>
          <w:rFonts w:ascii="Arial" w:hAnsi="Arial" w:cs="Arial"/>
          <w:color w:val="212121"/>
          <w:sz w:val="20"/>
          <w:szCs w:val="20"/>
          <w:shd w:val="clear" w:color="auto" w:fill="FFFFFF"/>
        </w:rPr>
        <w:t xml:space="preserve">The </w:t>
      </w:r>
      <w:bookmarkStart w:id="438" w:name="_Hlk134477696"/>
      <w:r>
        <w:rPr>
          <w:rFonts w:ascii="Arial" w:hAnsi="Arial" w:cs="Arial"/>
          <w:color w:val="212121"/>
          <w:sz w:val="20"/>
          <w:szCs w:val="20"/>
          <w:shd w:val="clear" w:color="auto" w:fill="FFFFFF"/>
        </w:rPr>
        <w:t xml:space="preserve">Breusch-Godfrey (BG) test </w:t>
      </w:r>
      <w:bookmarkEnd w:id="438"/>
      <w:r>
        <w:rPr>
          <w:rFonts w:ascii="Arial" w:hAnsi="Arial" w:cs="Arial"/>
          <w:color w:val="212121"/>
          <w:sz w:val="20"/>
          <w:szCs w:val="20"/>
          <w:shd w:val="clear" w:color="auto" w:fill="FFFFFF"/>
        </w:rPr>
        <w:t xml:space="preserve">is often used to test for the presence of serial correlation that has not been included in a proposed model structure, which if present could imply that incorrect conclusions could be drawn from other tests or that sub-optimal estimates of model parameters could be obtained. </w:t>
      </w:r>
    </w:p>
    <w:p w14:paraId="058D02D6" w14:textId="77777777" w:rsidR="00F41E4D" w:rsidRDefault="00F41E4D" w:rsidP="002F2E27">
      <w:pPr>
        <w:shd w:val="clear" w:color="auto" w:fill="FFFFFF"/>
        <w:spacing w:after="0" w:line="240" w:lineRule="auto"/>
        <w:jc w:val="both"/>
        <w:rPr>
          <w:rFonts w:ascii="Arial" w:hAnsi="Arial" w:cs="Arial"/>
          <w:color w:val="212121"/>
          <w:sz w:val="20"/>
          <w:szCs w:val="20"/>
          <w:shd w:val="clear" w:color="auto" w:fill="FFFFFF"/>
        </w:rPr>
      </w:pPr>
      <w:r>
        <w:rPr>
          <w:rFonts w:ascii="Arial" w:hAnsi="Arial" w:cs="Arial"/>
          <w:color w:val="212121"/>
          <w:sz w:val="20"/>
          <w:szCs w:val="20"/>
          <w:shd w:val="clear" w:color="auto" w:fill="FFFFFF"/>
        </w:rPr>
        <w:t>We consider the linear regression:</w:t>
      </w:r>
    </w:p>
    <w:p w14:paraId="0DB26C44" w14:textId="77777777" w:rsidR="00F41E4D" w:rsidRDefault="00F41E4D" w:rsidP="002F2E27">
      <w:pPr>
        <w:shd w:val="clear" w:color="auto" w:fill="FFFFFF"/>
        <w:spacing w:after="0" w:line="240" w:lineRule="auto"/>
        <w:jc w:val="both"/>
        <w:rPr>
          <w:rFonts w:ascii="Arial" w:hAnsi="Arial" w:cs="Arial"/>
          <w:color w:val="212121"/>
          <w:sz w:val="20"/>
          <w:szCs w:val="20"/>
          <w:shd w:val="clear" w:color="auto" w:fill="FFFFFF"/>
          <w:vertAlign w:val="subscript"/>
        </w:rPr>
      </w:pPr>
      <w:r>
        <w:rPr>
          <w:rFonts w:ascii="Arial" w:hAnsi="Arial" w:cs="Arial"/>
          <w:i/>
          <w:iCs/>
          <w:color w:val="212121"/>
          <w:sz w:val="20"/>
          <w:szCs w:val="20"/>
          <w:shd w:val="clear" w:color="auto" w:fill="FFFFFF"/>
        </w:rPr>
        <w:t>Y</w:t>
      </w:r>
      <w:r>
        <w:rPr>
          <w:rFonts w:ascii="Arial" w:hAnsi="Arial" w:cs="Arial"/>
          <w:i/>
          <w:iCs/>
          <w:color w:val="212121"/>
          <w:sz w:val="20"/>
          <w:szCs w:val="20"/>
          <w:shd w:val="clear" w:color="auto" w:fill="FFFFFF"/>
          <w:vertAlign w:val="subscript"/>
        </w:rPr>
        <w:t xml:space="preserve">t </w:t>
      </w:r>
      <w:r>
        <w:rPr>
          <w:rFonts w:ascii="Arial" w:hAnsi="Arial" w:cs="Arial"/>
          <w:color w:val="212121"/>
          <w:sz w:val="20"/>
          <w:szCs w:val="20"/>
          <w:shd w:val="clear" w:color="auto" w:fill="FFFFFF"/>
        </w:rPr>
        <w:t xml:space="preserve">= </w:t>
      </w:r>
      <w:r>
        <w:rPr>
          <w:rFonts w:ascii="Arial" w:hAnsi="Arial" w:cs="Arial"/>
          <w:i/>
          <w:iCs/>
          <w:color w:val="212121"/>
          <w:sz w:val="20"/>
          <w:szCs w:val="20"/>
          <w:shd w:val="clear" w:color="auto" w:fill="FFFFFF"/>
        </w:rPr>
        <w:t>β</w:t>
      </w:r>
      <w:r>
        <w:rPr>
          <w:rFonts w:ascii="Arial" w:hAnsi="Arial" w:cs="Arial"/>
          <w:color w:val="212121"/>
          <w:sz w:val="20"/>
          <w:szCs w:val="20"/>
          <w:shd w:val="clear" w:color="auto" w:fill="FFFFFF"/>
          <w:vertAlign w:val="subscript"/>
        </w:rPr>
        <w:t>1</w:t>
      </w:r>
      <w:r>
        <w:rPr>
          <w:rFonts w:ascii="Arial" w:hAnsi="Arial" w:cs="Arial"/>
          <w:color w:val="212121"/>
          <w:sz w:val="20"/>
          <w:szCs w:val="20"/>
          <w:shd w:val="clear" w:color="auto" w:fill="FFFFFF"/>
        </w:rPr>
        <w:t xml:space="preserve"> + </w:t>
      </w:r>
      <w:r>
        <w:rPr>
          <w:rFonts w:ascii="Arial" w:hAnsi="Arial" w:cs="Arial"/>
          <w:i/>
          <w:iCs/>
          <w:color w:val="212121"/>
          <w:sz w:val="20"/>
          <w:szCs w:val="20"/>
          <w:shd w:val="clear" w:color="auto" w:fill="FFFFFF"/>
        </w:rPr>
        <w:t>β</w:t>
      </w:r>
      <w:r>
        <w:rPr>
          <w:rFonts w:ascii="Arial" w:hAnsi="Arial" w:cs="Arial"/>
          <w:color w:val="212121"/>
          <w:sz w:val="20"/>
          <w:szCs w:val="20"/>
          <w:shd w:val="clear" w:color="auto" w:fill="FFFFFF"/>
          <w:vertAlign w:val="subscript"/>
        </w:rPr>
        <w:t>2</w:t>
      </w:r>
      <w:r>
        <w:rPr>
          <w:rFonts w:ascii="Arial" w:hAnsi="Arial" w:cs="Arial"/>
          <w:i/>
          <w:iCs/>
          <w:color w:val="212121"/>
          <w:sz w:val="20"/>
          <w:szCs w:val="20"/>
          <w:shd w:val="clear" w:color="auto" w:fill="FFFFFF"/>
        </w:rPr>
        <w:t>X</w:t>
      </w:r>
      <w:r>
        <w:rPr>
          <w:rFonts w:ascii="Arial" w:hAnsi="Arial" w:cs="Arial"/>
          <w:i/>
          <w:iCs/>
          <w:color w:val="212121"/>
          <w:sz w:val="20"/>
          <w:szCs w:val="20"/>
          <w:shd w:val="clear" w:color="auto" w:fill="FFFFFF"/>
          <w:vertAlign w:val="subscript"/>
        </w:rPr>
        <w:t>t,</w:t>
      </w:r>
      <w:r>
        <w:rPr>
          <w:rFonts w:ascii="Arial" w:hAnsi="Arial" w:cs="Arial"/>
          <w:color w:val="212121"/>
          <w:sz w:val="20"/>
          <w:szCs w:val="20"/>
          <w:shd w:val="clear" w:color="auto" w:fill="FFFFFF"/>
          <w:vertAlign w:val="subscript"/>
        </w:rPr>
        <w:t xml:space="preserve">1 </w:t>
      </w:r>
      <w:r>
        <w:rPr>
          <w:rFonts w:ascii="Arial" w:hAnsi="Arial" w:cs="Arial"/>
          <w:color w:val="212121"/>
          <w:sz w:val="20"/>
          <w:szCs w:val="20"/>
          <w:shd w:val="clear" w:color="auto" w:fill="FFFFFF"/>
        </w:rPr>
        <w:t xml:space="preserve">+ </w:t>
      </w:r>
      <w:r>
        <w:rPr>
          <w:rFonts w:ascii="Arial" w:hAnsi="Arial" w:cs="Arial"/>
          <w:i/>
          <w:iCs/>
          <w:color w:val="212121"/>
          <w:sz w:val="20"/>
          <w:szCs w:val="20"/>
          <w:shd w:val="clear" w:color="auto" w:fill="FFFFFF"/>
        </w:rPr>
        <w:t>β</w:t>
      </w:r>
      <w:r>
        <w:rPr>
          <w:rFonts w:ascii="Arial" w:hAnsi="Arial" w:cs="Arial"/>
          <w:color w:val="212121"/>
          <w:sz w:val="20"/>
          <w:szCs w:val="20"/>
          <w:shd w:val="clear" w:color="auto" w:fill="FFFFFF"/>
          <w:vertAlign w:val="subscript"/>
        </w:rPr>
        <w:t>3</w:t>
      </w:r>
      <w:r>
        <w:rPr>
          <w:rFonts w:ascii="Arial" w:hAnsi="Arial" w:cs="Arial"/>
          <w:i/>
          <w:iCs/>
          <w:color w:val="212121"/>
          <w:sz w:val="20"/>
          <w:szCs w:val="20"/>
          <w:shd w:val="clear" w:color="auto" w:fill="FFFFFF"/>
        </w:rPr>
        <w:t>X</w:t>
      </w:r>
      <w:r>
        <w:rPr>
          <w:rFonts w:ascii="Arial" w:hAnsi="Arial" w:cs="Arial"/>
          <w:i/>
          <w:iCs/>
          <w:color w:val="212121"/>
          <w:sz w:val="20"/>
          <w:szCs w:val="20"/>
          <w:shd w:val="clear" w:color="auto" w:fill="FFFFFF"/>
          <w:vertAlign w:val="subscript"/>
        </w:rPr>
        <w:t>t,</w:t>
      </w:r>
      <w:r>
        <w:rPr>
          <w:rFonts w:ascii="Arial" w:hAnsi="Arial" w:cs="Arial"/>
          <w:color w:val="212121"/>
          <w:sz w:val="20"/>
          <w:szCs w:val="20"/>
          <w:shd w:val="clear" w:color="auto" w:fill="FFFFFF"/>
          <w:vertAlign w:val="subscript"/>
        </w:rPr>
        <w:t>2</w:t>
      </w:r>
      <w:r>
        <w:rPr>
          <w:rFonts w:ascii="Arial" w:hAnsi="Arial" w:cs="Arial"/>
          <w:color w:val="212121"/>
          <w:sz w:val="20"/>
          <w:szCs w:val="20"/>
          <w:shd w:val="clear" w:color="auto" w:fill="FFFFFF"/>
        </w:rPr>
        <w:t xml:space="preserve"> + </w:t>
      </w:r>
      <w:r>
        <w:rPr>
          <w:rFonts w:ascii="Cambria Math" w:hAnsi="Cambria Math" w:cs="Cambria Math"/>
          <w:color w:val="212121"/>
          <w:sz w:val="20"/>
          <w:szCs w:val="20"/>
          <w:shd w:val="clear" w:color="auto" w:fill="FFFFFF"/>
        </w:rPr>
        <w:t>𝜇</w:t>
      </w:r>
      <w:r>
        <w:rPr>
          <w:rFonts w:ascii="Arial" w:hAnsi="Arial" w:cs="Arial"/>
          <w:color w:val="212121"/>
          <w:sz w:val="20"/>
          <w:szCs w:val="20"/>
          <w:shd w:val="clear" w:color="auto" w:fill="FFFFFF"/>
          <w:vertAlign w:val="subscript"/>
        </w:rPr>
        <w:t>t</w:t>
      </w:r>
    </w:p>
    <w:p w14:paraId="10F019BD" w14:textId="77777777" w:rsidR="00F41E4D" w:rsidRDefault="00F41E4D" w:rsidP="002F2E27">
      <w:pPr>
        <w:shd w:val="clear" w:color="auto" w:fill="FFFFFF"/>
        <w:spacing w:after="0" w:line="240" w:lineRule="auto"/>
        <w:jc w:val="both"/>
        <w:rPr>
          <w:rFonts w:ascii="Arial" w:hAnsi="Arial" w:cs="Arial"/>
          <w:color w:val="212121"/>
          <w:sz w:val="20"/>
          <w:szCs w:val="20"/>
          <w:shd w:val="clear" w:color="auto" w:fill="FFFFFF"/>
        </w:rPr>
      </w:pPr>
      <w:r>
        <w:rPr>
          <w:rFonts w:ascii="Arial" w:hAnsi="Arial" w:cs="Arial"/>
          <w:color w:val="212121"/>
          <w:sz w:val="20"/>
          <w:szCs w:val="20"/>
          <w:shd w:val="clear" w:color="auto" w:fill="FFFFFF"/>
        </w:rPr>
        <w:t>Where the errors might follow an AR(</w:t>
      </w:r>
      <w:r>
        <w:rPr>
          <w:rFonts w:ascii="Arial" w:eastAsiaTheme="minorEastAsia" w:hAnsi="Arial" w:cs="Arial"/>
          <w:i/>
          <w:iCs/>
          <w:color w:val="212121"/>
          <w:sz w:val="20"/>
          <w:szCs w:val="20"/>
          <w:shd w:val="clear" w:color="auto" w:fill="FFFFFF"/>
        </w:rPr>
        <w:t>ρ</w:t>
      </w:r>
      <w:r>
        <w:rPr>
          <w:rFonts w:ascii="Arial" w:hAnsi="Arial" w:cs="Arial"/>
          <w:color w:val="212121"/>
          <w:sz w:val="20"/>
          <w:szCs w:val="20"/>
          <w:shd w:val="clear" w:color="auto" w:fill="FFFFFF"/>
        </w:rPr>
        <w:t>) autoregressive scheme, as follows:</w:t>
      </w:r>
    </w:p>
    <w:p w14:paraId="66182181" w14:textId="77777777" w:rsidR="00F41E4D" w:rsidRDefault="00F41E4D" w:rsidP="002F2E27">
      <w:pPr>
        <w:shd w:val="clear" w:color="auto" w:fill="FFFFFF"/>
        <w:spacing w:after="0" w:line="240" w:lineRule="auto"/>
        <w:jc w:val="both"/>
        <w:rPr>
          <w:rFonts w:ascii="Arial" w:eastAsiaTheme="minorEastAsia" w:hAnsi="Arial" w:cs="Arial"/>
          <w:color w:val="212121"/>
          <w:sz w:val="20"/>
          <w:szCs w:val="20"/>
          <w:shd w:val="clear" w:color="auto" w:fill="FFFFFF"/>
        </w:rPr>
      </w:pPr>
      <w:r>
        <w:rPr>
          <w:rFonts w:ascii="Cambria Math" w:hAnsi="Cambria Math" w:cs="Cambria Math"/>
          <w:color w:val="212121"/>
          <w:sz w:val="20"/>
          <w:szCs w:val="20"/>
          <w:shd w:val="clear" w:color="auto" w:fill="FFFFFF"/>
        </w:rPr>
        <w:t>𝜇</w:t>
      </w:r>
      <w:r>
        <w:rPr>
          <w:rFonts w:ascii="Arial" w:hAnsi="Arial" w:cs="Arial"/>
          <w:color w:val="212121"/>
          <w:sz w:val="20"/>
          <w:szCs w:val="20"/>
          <w:shd w:val="clear" w:color="auto" w:fill="FFFFFF"/>
          <w:vertAlign w:val="subscript"/>
        </w:rPr>
        <w:t xml:space="preserve">t </w:t>
      </w:r>
      <w:r>
        <w:rPr>
          <w:rFonts w:ascii="Arial" w:hAnsi="Arial" w:cs="Arial"/>
          <w:color w:val="212121"/>
          <w:sz w:val="20"/>
          <w:szCs w:val="20"/>
          <w:shd w:val="clear" w:color="auto" w:fill="FFFFFF"/>
        </w:rPr>
        <w:t xml:space="preserve">= </w:t>
      </w:r>
      <w:r>
        <w:rPr>
          <w:rFonts w:ascii="Arial" w:hAnsi="Arial" w:cs="Arial"/>
          <w:i/>
          <w:iCs/>
          <w:sz w:val="20"/>
          <w:szCs w:val="20"/>
        </w:rPr>
        <w:t>ρ</w:t>
      </w:r>
      <w:r>
        <w:rPr>
          <w:rFonts w:ascii="Arial" w:hAnsi="Arial" w:cs="Arial"/>
          <w:color w:val="212121"/>
          <w:sz w:val="20"/>
          <w:szCs w:val="20"/>
          <w:shd w:val="clear" w:color="auto" w:fill="FFFFFF"/>
          <w:vertAlign w:val="subscript"/>
        </w:rPr>
        <w:t xml:space="preserve">1 </w:t>
      </w:r>
      <w:r>
        <w:rPr>
          <w:rFonts w:ascii="Cambria Math" w:hAnsi="Cambria Math" w:cs="Cambria Math"/>
          <w:color w:val="212121"/>
          <w:sz w:val="20"/>
          <w:szCs w:val="20"/>
          <w:shd w:val="clear" w:color="auto" w:fill="FFFFFF"/>
        </w:rPr>
        <w:t>𝜇</w:t>
      </w:r>
      <w:r>
        <w:rPr>
          <w:rFonts w:ascii="Arial" w:hAnsi="Arial" w:cs="Arial"/>
          <w:color w:val="212121"/>
          <w:sz w:val="20"/>
          <w:szCs w:val="20"/>
          <w:shd w:val="clear" w:color="auto" w:fill="FFFFFF"/>
          <w:vertAlign w:val="subscript"/>
        </w:rPr>
        <w:t xml:space="preserve">t-1 </w:t>
      </w:r>
      <w:r>
        <w:rPr>
          <w:rFonts w:ascii="Arial" w:hAnsi="Arial" w:cs="Arial"/>
          <w:color w:val="212121"/>
          <w:sz w:val="20"/>
          <w:szCs w:val="20"/>
          <w:shd w:val="clear" w:color="auto" w:fill="FFFFFF"/>
        </w:rPr>
        <w:t xml:space="preserve">+ </w:t>
      </w:r>
      <w:r>
        <w:rPr>
          <w:rFonts w:ascii="Arial" w:hAnsi="Arial" w:cs="Arial"/>
          <w:i/>
          <w:iCs/>
          <w:sz w:val="20"/>
          <w:szCs w:val="20"/>
        </w:rPr>
        <w:t>ρ</w:t>
      </w:r>
      <w:r>
        <w:rPr>
          <w:rFonts w:ascii="Arial" w:hAnsi="Arial" w:cs="Arial"/>
          <w:color w:val="212121"/>
          <w:sz w:val="20"/>
          <w:szCs w:val="20"/>
          <w:shd w:val="clear" w:color="auto" w:fill="FFFFFF"/>
          <w:vertAlign w:val="subscript"/>
        </w:rPr>
        <w:t xml:space="preserve">2 </w:t>
      </w:r>
      <w:r>
        <w:rPr>
          <w:rFonts w:ascii="Cambria Math" w:hAnsi="Cambria Math" w:cs="Cambria Math"/>
          <w:color w:val="212121"/>
          <w:sz w:val="20"/>
          <w:szCs w:val="20"/>
          <w:shd w:val="clear" w:color="auto" w:fill="FFFFFF"/>
        </w:rPr>
        <w:t>𝜇</w:t>
      </w:r>
      <w:r>
        <w:rPr>
          <w:rFonts w:ascii="Arial" w:hAnsi="Arial" w:cs="Arial"/>
          <w:color w:val="212121"/>
          <w:sz w:val="20"/>
          <w:szCs w:val="20"/>
          <w:shd w:val="clear" w:color="auto" w:fill="FFFFFF"/>
          <w:vertAlign w:val="subscript"/>
        </w:rPr>
        <w:t xml:space="preserve">t-2 </w:t>
      </w:r>
      <w:r>
        <w:rPr>
          <w:rFonts w:ascii="Arial" w:hAnsi="Arial" w:cs="Arial"/>
          <w:color w:val="212121"/>
          <w:sz w:val="20"/>
          <w:szCs w:val="20"/>
          <w:shd w:val="clear" w:color="auto" w:fill="FFFFFF"/>
        </w:rPr>
        <w:t>+</w:t>
      </w:r>
      <w:r>
        <w:rPr>
          <w:rFonts w:ascii="Arial" w:hAnsi="Arial" w:cs="Arial"/>
          <w:color w:val="212121"/>
          <w:sz w:val="20"/>
          <w:szCs w:val="20"/>
          <w:shd w:val="clear" w:color="auto" w:fill="FFFFFF"/>
          <w:vertAlign w:val="superscript"/>
        </w:rPr>
        <w:t xml:space="preserve"> . . . . . .</w:t>
      </w:r>
      <w:r>
        <w:rPr>
          <w:rFonts w:ascii="Arial" w:hAnsi="Arial" w:cs="Arial"/>
          <w:color w:val="212121"/>
          <w:sz w:val="20"/>
          <w:szCs w:val="20"/>
          <w:shd w:val="clear" w:color="auto" w:fill="FFFFFF"/>
        </w:rPr>
        <w:t xml:space="preserve"> + </w:t>
      </w:r>
      <w:r>
        <w:rPr>
          <w:rFonts w:ascii="Arial" w:hAnsi="Arial" w:cs="Arial"/>
          <w:i/>
          <w:iCs/>
          <w:sz w:val="20"/>
          <w:szCs w:val="20"/>
        </w:rPr>
        <w:t>ρ</w:t>
      </w:r>
      <w:r>
        <w:rPr>
          <w:rFonts w:ascii="Arial" w:hAnsi="Arial" w:cs="Arial"/>
          <w:color w:val="212121"/>
          <w:sz w:val="20"/>
          <w:szCs w:val="20"/>
          <w:shd w:val="clear" w:color="auto" w:fill="FFFFFF"/>
          <w:vertAlign w:val="subscript"/>
        </w:rPr>
        <w:t xml:space="preserve">p </w:t>
      </w:r>
      <w:r>
        <w:rPr>
          <w:rFonts w:ascii="Cambria Math" w:hAnsi="Cambria Math" w:cs="Cambria Math"/>
          <w:color w:val="212121"/>
          <w:sz w:val="20"/>
          <w:szCs w:val="20"/>
          <w:shd w:val="clear" w:color="auto" w:fill="FFFFFF"/>
        </w:rPr>
        <w:t>𝜇</w:t>
      </w:r>
      <w:r>
        <w:rPr>
          <w:rFonts w:ascii="Arial" w:hAnsi="Arial" w:cs="Arial"/>
          <w:color w:val="212121"/>
          <w:sz w:val="20"/>
          <w:szCs w:val="20"/>
          <w:shd w:val="clear" w:color="auto" w:fill="FFFFFF"/>
          <w:vertAlign w:val="subscript"/>
        </w:rPr>
        <w:t xml:space="preserve">t-p + </w:t>
      </w:r>
      <m:oMath>
        <m:sSub>
          <m:sSubPr>
            <m:ctrlPr>
              <w:rPr>
                <w:rFonts w:ascii="Cambria Math" w:hAnsi="Cambria Math" w:cs="Arial"/>
                <w:i/>
                <w:color w:val="212121"/>
                <w:shd w:val="clear" w:color="auto" w:fill="FFFFFF"/>
              </w:rPr>
            </m:ctrlPr>
          </m:sSubPr>
          <m:e>
            <m:r>
              <w:rPr>
                <w:rFonts w:ascii="Cambria Math" w:hAnsi="Cambria Math" w:cs="Arial"/>
                <w:color w:val="212121"/>
                <w:sz w:val="20"/>
                <w:szCs w:val="20"/>
                <w:shd w:val="clear" w:color="auto" w:fill="FFFFFF"/>
              </w:rPr>
              <m:t>ε</m:t>
            </m:r>
          </m:e>
          <m:sub>
            <m:r>
              <w:rPr>
                <w:rFonts w:ascii="Cambria Math" w:hAnsi="Cambria Math" w:cs="Arial"/>
                <w:color w:val="212121"/>
                <w:sz w:val="20"/>
                <w:szCs w:val="20"/>
                <w:shd w:val="clear" w:color="auto" w:fill="FFFFFF"/>
              </w:rPr>
              <m:t>t</m:t>
            </m:r>
          </m:sub>
        </m:sSub>
      </m:oMath>
      <w:r>
        <w:rPr>
          <w:rFonts w:ascii="Arial" w:eastAsiaTheme="minorEastAsia" w:hAnsi="Arial" w:cs="Arial"/>
          <w:color w:val="212121"/>
          <w:sz w:val="20"/>
          <w:szCs w:val="20"/>
          <w:shd w:val="clear" w:color="auto" w:fill="FFFFFF"/>
        </w:rPr>
        <w:t>.</w:t>
      </w:r>
    </w:p>
    <w:p w14:paraId="46CA3465" w14:textId="77777777" w:rsidR="00F41E4D" w:rsidRDefault="00F41E4D" w:rsidP="002F2E27">
      <w:pPr>
        <w:shd w:val="clear" w:color="auto" w:fill="FFFFFF"/>
        <w:spacing w:after="0" w:line="240" w:lineRule="auto"/>
        <w:jc w:val="both"/>
        <w:rPr>
          <w:rFonts w:ascii="Arial" w:eastAsiaTheme="minorEastAsia" w:hAnsi="Arial" w:cs="Arial"/>
          <w:color w:val="212121"/>
          <w:sz w:val="20"/>
          <w:szCs w:val="20"/>
          <w:shd w:val="clear" w:color="auto" w:fill="FFFFFF"/>
        </w:rPr>
      </w:pPr>
      <w:r>
        <w:rPr>
          <w:rFonts w:ascii="Arial" w:eastAsiaTheme="minorEastAsia" w:hAnsi="Arial" w:cs="Arial"/>
          <w:color w:val="212121"/>
          <w:sz w:val="20"/>
          <w:szCs w:val="20"/>
          <w:shd w:val="clear" w:color="auto" w:fill="FFFFFF"/>
        </w:rPr>
        <w:t xml:space="preserve">The simple regression model is first fitted by ordinary least squares to obtain a set of sample residuals </w:t>
      </w:r>
      <m:oMath>
        <m:sSub>
          <m:sSubPr>
            <m:ctrlPr>
              <w:rPr>
                <w:rFonts w:ascii="Cambria Math" w:eastAsiaTheme="minorEastAsia" w:hAnsi="Cambria Math" w:cs="Arial"/>
                <w:i/>
                <w:color w:val="212121"/>
                <w:shd w:val="clear" w:color="auto" w:fill="FFFFFF"/>
              </w:rPr>
            </m:ctrlPr>
          </m:sSubPr>
          <m:e>
            <m:acc>
              <m:accPr>
                <m:ctrlPr>
                  <w:rPr>
                    <w:rFonts w:ascii="Cambria Math" w:eastAsiaTheme="minorEastAsia" w:hAnsi="Cambria Math" w:cs="Arial"/>
                    <w:i/>
                    <w:color w:val="212121"/>
                    <w:shd w:val="clear" w:color="auto" w:fill="FFFFFF"/>
                  </w:rPr>
                </m:ctrlPr>
              </m:accPr>
              <m:e>
                <m:r>
                  <w:rPr>
                    <w:rFonts w:ascii="Cambria Math" w:eastAsiaTheme="minorEastAsia" w:hAnsi="Cambria Math" w:cs="Arial"/>
                    <w:color w:val="212121"/>
                    <w:sz w:val="20"/>
                    <w:szCs w:val="20"/>
                    <w:shd w:val="clear" w:color="auto" w:fill="FFFFFF"/>
                  </w:rPr>
                  <m:t>μ</m:t>
                </m:r>
              </m:e>
            </m:acc>
          </m:e>
          <m:sub>
            <m:r>
              <w:rPr>
                <w:rFonts w:ascii="Cambria Math" w:eastAsiaTheme="minorEastAsia" w:hAnsi="Cambria Math" w:cs="Arial"/>
                <w:color w:val="212121"/>
                <w:sz w:val="20"/>
                <w:szCs w:val="20"/>
                <w:shd w:val="clear" w:color="auto" w:fill="FFFFFF"/>
              </w:rPr>
              <m:t>t</m:t>
            </m:r>
          </m:sub>
        </m:sSub>
      </m:oMath>
      <w:r>
        <w:rPr>
          <w:rFonts w:ascii="Arial" w:eastAsiaTheme="minorEastAsia" w:hAnsi="Arial" w:cs="Arial"/>
          <w:color w:val="212121"/>
          <w:sz w:val="20"/>
          <w:szCs w:val="20"/>
          <w:shd w:val="clear" w:color="auto" w:fill="FFFFFF"/>
        </w:rPr>
        <w:t xml:space="preserve">. </w:t>
      </w:r>
    </w:p>
    <w:p w14:paraId="5648DB0F" w14:textId="77777777" w:rsidR="00F41E4D" w:rsidRDefault="00F41E4D" w:rsidP="002F2E27">
      <w:pPr>
        <w:shd w:val="clear" w:color="auto" w:fill="FFFFFF"/>
        <w:spacing w:after="0" w:line="240" w:lineRule="auto"/>
        <w:jc w:val="both"/>
        <w:rPr>
          <w:rFonts w:ascii="Arial" w:eastAsiaTheme="minorEastAsia" w:hAnsi="Arial" w:cs="Arial"/>
          <w:color w:val="212121"/>
          <w:sz w:val="20"/>
          <w:szCs w:val="20"/>
          <w:shd w:val="clear" w:color="auto" w:fill="FFFFFF"/>
        </w:rPr>
      </w:pPr>
      <w:r>
        <w:rPr>
          <w:rFonts w:ascii="Arial" w:eastAsiaTheme="minorEastAsia" w:hAnsi="Arial" w:cs="Arial"/>
          <w:color w:val="212121"/>
          <w:sz w:val="20"/>
          <w:szCs w:val="20"/>
          <w:shd w:val="clear" w:color="auto" w:fill="FFFFFF"/>
        </w:rPr>
        <w:t>If the following auxiliary regression model is fitted:</w:t>
      </w:r>
    </w:p>
    <w:p w14:paraId="4408BC85" w14:textId="77777777" w:rsidR="00F41E4D" w:rsidRDefault="00000000" w:rsidP="002F2E27">
      <w:pPr>
        <w:shd w:val="clear" w:color="auto" w:fill="FFFFFF"/>
        <w:spacing w:after="0" w:line="240" w:lineRule="auto"/>
        <w:jc w:val="both"/>
        <w:rPr>
          <w:rFonts w:ascii="Arial" w:eastAsiaTheme="minorEastAsia" w:hAnsi="Arial" w:cs="Arial"/>
          <w:i/>
          <w:color w:val="212121"/>
          <w:sz w:val="20"/>
          <w:szCs w:val="20"/>
          <w:shd w:val="clear" w:color="auto" w:fill="FFFFFF"/>
        </w:rPr>
      </w:pPr>
      <m:oMath>
        <m:sSub>
          <m:sSubPr>
            <m:ctrlPr>
              <w:rPr>
                <w:rFonts w:ascii="Cambria Math" w:eastAsiaTheme="minorEastAsia" w:hAnsi="Cambria Math" w:cs="Arial"/>
                <w:i/>
                <w:color w:val="212121"/>
                <w:shd w:val="clear" w:color="auto" w:fill="FFFFFF"/>
              </w:rPr>
            </m:ctrlPr>
          </m:sSubPr>
          <m:e>
            <m:acc>
              <m:accPr>
                <m:ctrlPr>
                  <w:rPr>
                    <w:rFonts w:ascii="Cambria Math" w:eastAsiaTheme="minorEastAsia" w:hAnsi="Cambria Math" w:cs="Arial"/>
                    <w:i/>
                    <w:color w:val="212121"/>
                    <w:shd w:val="clear" w:color="auto" w:fill="FFFFFF"/>
                  </w:rPr>
                </m:ctrlPr>
              </m:accPr>
              <m:e>
                <m:r>
                  <w:rPr>
                    <w:rFonts w:ascii="Cambria Math" w:eastAsiaTheme="minorEastAsia" w:hAnsi="Cambria Math" w:cs="Arial"/>
                    <w:color w:val="212121"/>
                    <w:sz w:val="20"/>
                    <w:szCs w:val="20"/>
                    <w:shd w:val="clear" w:color="auto" w:fill="FFFFFF"/>
                  </w:rPr>
                  <m:t>μ</m:t>
                </m:r>
              </m:e>
            </m:acc>
          </m:e>
          <m:sub>
            <m:r>
              <w:rPr>
                <w:rFonts w:ascii="Cambria Math" w:eastAsiaTheme="minorEastAsia" w:hAnsi="Cambria Math" w:cs="Arial"/>
                <w:color w:val="212121"/>
                <w:sz w:val="20"/>
                <w:szCs w:val="20"/>
                <w:shd w:val="clear" w:color="auto" w:fill="FFFFFF"/>
              </w:rPr>
              <m:t>t</m:t>
            </m:r>
          </m:sub>
        </m:sSub>
      </m:oMath>
      <w:r w:rsidR="00F41E4D">
        <w:rPr>
          <w:rFonts w:ascii="Arial" w:eastAsiaTheme="minorEastAsia" w:hAnsi="Arial" w:cs="Arial"/>
          <w:color w:val="212121"/>
          <w:sz w:val="20"/>
          <w:szCs w:val="20"/>
          <w:shd w:val="clear" w:color="auto" w:fill="FFFFFF"/>
        </w:rPr>
        <w:t xml:space="preserve">= </w:t>
      </w:r>
      <m:oMath>
        <m:sSub>
          <m:sSubPr>
            <m:ctrlPr>
              <w:rPr>
                <w:rFonts w:ascii="Cambria Math" w:hAnsi="Cambria Math" w:cs="Arial"/>
                <w:i/>
              </w:rPr>
            </m:ctrlPr>
          </m:sSubPr>
          <m:e>
            <m:r>
              <m:rPr>
                <m:sty m:val="p"/>
              </m:rPr>
              <w:rPr>
                <w:rFonts w:ascii="Cambria Math" w:hAnsi="Cambria Math" w:cs="Arial"/>
                <w:sz w:val="20"/>
                <w:szCs w:val="20"/>
              </w:rPr>
              <m:t>α</m:t>
            </m:r>
          </m:e>
          <m:sub>
            <m:r>
              <m:rPr>
                <m:sty m:val="p"/>
              </m:rPr>
              <w:rPr>
                <w:rFonts w:ascii="Cambria Math" w:hAnsi="Cambria Math" w:cs="Arial"/>
                <w:sz w:val="20"/>
                <w:szCs w:val="20"/>
                <w:vertAlign w:val="subscript"/>
              </w:rPr>
              <m:t>0</m:t>
            </m:r>
          </m:sub>
        </m:sSub>
        <m:r>
          <w:rPr>
            <w:rFonts w:ascii="Cambria Math" w:hAnsi="Cambria Math" w:cs="Arial"/>
            <w:sz w:val="20"/>
            <w:szCs w:val="20"/>
          </w:rPr>
          <m:t>+</m:t>
        </m:r>
        <m:sSub>
          <m:sSubPr>
            <m:ctrlPr>
              <w:rPr>
                <w:rFonts w:ascii="Cambria Math" w:hAnsi="Cambria Math" w:cs="Arial"/>
                <w:i/>
              </w:rPr>
            </m:ctrlPr>
          </m:sSubPr>
          <m:e>
            <m:r>
              <w:rPr>
                <w:rFonts w:ascii="Cambria Math" w:hAnsi="Cambria Math" w:cs="Arial"/>
                <w:sz w:val="20"/>
                <w:szCs w:val="20"/>
              </w:rPr>
              <m:t>α</m:t>
            </m:r>
          </m:e>
          <m:sub>
            <m:r>
              <w:rPr>
                <w:rFonts w:ascii="Cambria Math" w:hAnsi="Cambria Math" w:cs="Arial"/>
                <w:sz w:val="20"/>
                <w:szCs w:val="20"/>
                <w:vertAlign w:val="subscript"/>
              </w:rPr>
              <m:t>1</m:t>
            </m:r>
          </m:sub>
        </m:sSub>
        <m:sSub>
          <m:sSubPr>
            <m:ctrlPr>
              <w:rPr>
                <w:rFonts w:ascii="Cambria Math" w:hAnsi="Cambria Math" w:cs="Arial"/>
                <w:i/>
              </w:rPr>
            </m:ctrlPr>
          </m:sSubPr>
          <m:e>
            <m:r>
              <w:rPr>
                <w:rFonts w:ascii="Cambria Math" w:hAnsi="Cambria Math" w:cs="Arial"/>
                <w:sz w:val="20"/>
                <w:szCs w:val="20"/>
              </w:rPr>
              <m:t>X</m:t>
            </m:r>
          </m:e>
          <m:sub>
            <m:r>
              <w:rPr>
                <w:rFonts w:ascii="Cambria Math" w:hAnsi="Cambria Math" w:cs="Arial"/>
                <w:sz w:val="20"/>
                <w:szCs w:val="20"/>
                <w:vertAlign w:val="subscript"/>
              </w:rPr>
              <m:t>t,1</m:t>
            </m:r>
          </m:sub>
        </m:sSub>
        <m:r>
          <w:rPr>
            <w:rFonts w:ascii="Cambria Math" w:hAnsi="Cambria Math" w:cs="Arial"/>
            <w:sz w:val="20"/>
            <w:szCs w:val="20"/>
          </w:rPr>
          <m:t>+</m:t>
        </m:r>
        <m:sSub>
          <m:sSubPr>
            <m:ctrlPr>
              <w:rPr>
                <w:rFonts w:ascii="Cambria Math" w:hAnsi="Cambria Math" w:cs="Arial"/>
                <w:i/>
              </w:rPr>
            </m:ctrlPr>
          </m:sSubPr>
          <m:e>
            <m:r>
              <w:rPr>
                <w:rFonts w:ascii="Cambria Math" w:hAnsi="Cambria Math" w:cs="Arial"/>
                <w:sz w:val="20"/>
                <w:szCs w:val="20"/>
              </w:rPr>
              <m:t>α</m:t>
            </m:r>
          </m:e>
          <m:sub>
            <m:r>
              <w:rPr>
                <w:rFonts w:ascii="Cambria Math" w:hAnsi="Cambria Math" w:cs="Arial"/>
                <w:sz w:val="20"/>
                <w:szCs w:val="20"/>
                <w:vertAlign w:val="subscript"/>
              </w:rPr>
              <m:t>2</m:t>
            </m:r>
          </m:sub>
        </m:sSub>
        <m:sSub>
          <m:sSubPr>
            <m:ctrlPr>
              <w:rPr>
                <w:rFonts w:ascii="Cambria Math" w:hAnsi="Cambria Math" w:cs="Arial"/>
                <w:i/>
              </w:rPr>
            </m:ctrlPr>
          </m:sSubPr>
          <m:e>
            <m:r>
              <w:rPr>
                <w:rFonts w:ascii="Cambria Math" w:hAnsi="Cambria Math" w:cs="Arial"/>
                <w:sz w:val="20"/>
                <w:szCs w:val="20"/>
              </w:rPr>
              <m:t>X</m:t>
            </m:r>
          </m:e>
          <m:sub>
            <m:r>
              <w:rPr>
                <w:rFonts w:ascii="Cambria Math" w:hAnsi="Cambria Math" w:cs="Arial"/>
                <w:sz w:val="20"/>
                <w:szCs w:val="20"/>
                <w:vertAlign w:val="subscript"/>
              </w:rPr>
              <m:t>t,2</m:t>
            </m:r>
          </m:sub>
        </m:sSub>
        <m:r>
          <w:rPr>
            <w:rFonts w:ascii="Cambria Math" w:hAnsi="Cambria Math" w:cs="Arial"/>
            <w:sz w:val="20"/>
            <w:szCs w:val="20"/>
          </w:rPr>
          <m:t>+</m:t>
        </m:r>
        <m:sSub>
          <m:sSubPr>
            <m:ctrlPr>
              <w:rPr>
                <w:rFonts w:ascii="Cambria Math" w:hAnsi="Cambria Math" w:cs="Arial"/>
                <w:i/>
              </w:rPr>
            </m:ctrlPr>
          </m:sSubPr>
          <m:e>
            <m:r>
              <w:rPr>
                <w:rFonts w:ascii="Cambria Math" w:hAnsi="Cambria Math" w:cs="Arial"/>
                <w:sz w:val="20"/>
                <w:szCs w:val="20"/>
              </w:rPr>
              <m:t>ρ</m:t>
            </m:r>
          </m:e>
          <m:sub>
            <m:r>
              <w:rPr>
                <w:rFonts w:ascii="Cambria Math" w:hAnsi="Cambria Math" w:cs="Arial"/>
                <w:color w:val="212121"/>
                <w:sz w:val="20"/>
                <w:szCs w:val="20"/>
                <w:shd w:val="clear" w:color="auto" w:fill="FFFFFF"/>
                <w:vertAlign w:val="subscript"/>
              </w:rPr>
              <m:t>1</m:t>
            </m:r>
          </m:sub>
        </m:sSub>
        <m:sSub>
          <m:sSubPr>
            <m:ctrlPr>
              <w:rPr>
                <w:rFonts w:ascii="Cambria Math" w:hAnsi="Cambria Math" w:cs="Arial"/>
                <w:i/>
              </w:rPr>
            </m:ctrlPr>
          </m:sSubPr>
          <m:e>
            <m:acc>
              <m:accPr>
                <m:ctrlPr>
                  <w:rPr>
                    <w:rFonts w:ascii="Cambria Math" w:eastAsiaTheme="minorEastAsia" w:hAnsi="Cambria Math" w:cs="Arial"/>
                    <w:i/>
                    <w:color w:val="212121"/>
                    <w:shd w:val="clear" w:color="auto" w:fill="FFFFFF"/>
                  </w:rPr>
                </m:ctrlPr>
              </m:accPr>
              <m:e>
                <m:r>
                  <w:rPr>
                    <w:rFonts w:ascii="Cambria Math" w:eastAsiaTheme="minorEastAsia" w:hAnsi="Cambria Math" w:cs="Arial"/>
                    <w:color w:val="212121"/>
                    <w:sz w:val="20"/>
                    <w:szCs w:val="20"/>
                    <w:shd w:val="clear" w:color="auto" w:fill="FFFFFF"/>
                  </w:rPr>
                  <m:t>μ</m:t>
                </m:r>
              </m:e>
            </m:acc>
          </m:e>
          <m:sub>
            <m:r>
              <w:rPr>
                <w:rFonts w:ascii="Cambria Math" w:hAnsi="Cambria Math" w:cs="Arial"/>
                <w:sz w:val="20"/>
                <w:szCs w:val="20"/>
              </w:rPr>
              <m:t>t-1</m:t>
            </m:r>
          </m:sub>
        </m:sSub>
        <m:r>
          <w:rPr>
            <w:rFonts w:ascii="Cambria Math" w:hAnsi="Cambria Math" w:cs="Arial"/>
            <w:sz w:val="20"/>
            <w:szCs w:val="20"/>
          </w:rPr>
          <m:t>+</m:t>
        </m:r>
        <m:sSub>
          <m:sSubPr>
            <m:ctrlPr>
              <w:rPr>
                <w:rFonts w:ascii="Cambria Math" w:hAnsi="Cambria Math" w:cs="Arial"/>
                <w:i/>
              </w:rPr>
            </m:ctrlPr>
          </m:sSubPr>
          <m:e>
            <m:r>
              <w:rPr>
                <w:rFonts w:ascii="Cambria Math" w:hAnsi="Cambria Math" w:cs="Arial"/>
                <w:sz w:val="20"/>
                <w:szCs w:val="20"/>
              </w:rPr>
              <m:t>ρ</m:t>
            </m:r>
          </m:e>
          <m:sub>
            <m:r>
              <w:rPr>
                <w:rFonts w:ascii="Cambria Math" w:hAnsi="Cambria Math" w:cs="Arial"/>
                <w:sz w:val="20"/>
                <w:szCs w:val="20"/>
              </w:rPr>
              <m:t>2</m:t>
            </m:r>
          </m:sub>
        </m:sSub>
        <m:sSub>
          <m:sSubPr>
            <m:ctrlPr>
              <w:rPr>
                <w:rFonts w:ascii="Cambria Math" w:hAnsi="Cambria Math" w:cs="Arial"/>
                <w:i/>
              </w:rPr>
            </m:ctrlPr>
          </m:sSubPr>
          <m:e>
            <m:acc>
              <m:accPr>
                <m:ctrlPr>
                  <w:rPr>
                    <w:rFonts w:ascii="Cambria Math" w:eastAsiaTheme="minorEastAsia" w:hAnsi="Cambria Math" w:cs="Arial"/>
                    <w:i/>
                    <w:color w:val="212121"/>
                    <w:shd w:val="clear" w:color="auto" w:fill="FFFFFF"/>
                  </w:rPr>
                </m:ctrlPr>
              </m:accPr>
              <m:e>
                <m:r>
                  <w:rPr>
                    <w:rFonts w:ascii="Cambria Math" w:eastAsiaTheme="minorEastAsia" w:hAnsi="Cambria Math" w:cs="Arial"/>
                    <w:color w:val="212121"/>
                    <w:sz w:val="20"/>
                    <w:szCs w:val="20"/>
                    <w:shd w:val="clear" w:color="auto" w:fill="FFFFFF"/>
                  </w:rPr>
                  <m:t>μ</m:t>
                </m:r>
              </m:e>
            </m:acc>
          </m:e>
          <m:sub>
            <m:r>
              <w:rPr>
                <w:rFonts w:ascii="Cambria Math" w:hAnsi="Cambria Math" w:cs="Arial"/>
                <w:sz w:val="20"/>
                <w:szCs w:val="20"/>
              </w:rPr>
              <m:t>t-2</m:t>
            </m:r>
          </m:sub>
        </m:sSub>
        <m:r>
          <w:rPr>
            <w:rFonts w:ascii="Cambria Math" w:hAnsi="Cambria Math" w:cs="Arial"/>
            <w:sz w:val="20"/>
            <w:szCs w:val="20"/>
          </w:rPr>
          <m:t>+…+</m:t>
        </m:r>
        <m:sSub>
          <m:sSubPr>
            <m:ctrlPr>
              <w:rPr>
                <w:rFonts w:ascii="Cambria Math" w:hAnsi="Cambria Math" w:cs="Arial"/>
                <w:i/>
              </w:rPr>
            </m:ctrlPr>
          </m:sSubPr>
          <m:e>
            <m:r>
              <w:rPr>
                <w:rFonts w:ascii="Cambria Math" w:hAnsi="Cambria Math" w:cs="Arial"/>
                <w:sz w:val="20"/>
                <w:szCs w:val="20"/>
              </w:rPr>
              <m:t>ρ</m:t>
            </m:r>
          </m:e>
          <m:sub>
            <m:r>
              <w:rPr>
                <w:rFonts w:ascii="Cambria Math" w:hAnsi="Cambria Math" w:cs="Arial"/>
                <w:color w:val="212121"/>
                <w:sz w:val="20"/>
                <w:szCs w:val="20"/>
                <w:shd w:val="clear" w:color="auto" w:fill="FFFFFF"/>
                <w:vertAlign w:val="subscript"/>
              </w:rPr>
              <m:t>p</m:t>
            </m:r>
          </m:sub>
        </m:sSub>
        <m:sSub>
          <m:sSubPr>
            <m:ctrlPr>
              <w:rPr>
                <w:rFonts w:ascii="Cambria Math" w:hAnsi="Cambria Math" w:cs="Arial"/>
                <w:i/>
              </w:rPr>
            </m:ctrlPr>
          </m:sSubPr>
          <m:e>
            <m:acc>
              <m:accPr>
                <m:ctrlPr>
                  <w:rPr>
                    <w:rFonts w:ascii="Cambria Math" w:eastAsiaTheme="minorEastAsia" w:hAnsi="Cambria Math" w:cs="Arial"/>
                    <w:i/>
                    <w:color w:val="212121"/>
                    <w:shd w:val="clear" w:color="auto" w:fill="FFFFFF"/>
                  </w:rPr>
                </m:ctrlPr>
              </m:accPr>
              <m:e>
                <m:r>
                  <w:rPr>
                    <w:rFonts w:ascii="Cambria Math" w:eastAsiaTheme="minorEastAsia" w:hAnsi="Cambria Math" w:cs="Arial"/>
                    <w:color w:val="212121"/>
                    <w:sz w:val="20"/>
                    <w:szCs w:val="20"/>
                    <w:shd w:val="clear" w:color="auto" w:fill="FFFFFF"/>
                  </w:rPr>
                  <m:t>μ</m:t>
                </m:r>
              </m:e>
            </m:acc>
          </m:e>
          <m:sub>
            <m:r>
              <w:rPr>
                <w:rFonts w:ascii="Cambria Math" w:hAnsi="Cambria Math" w:cs="Arial"/>
                <w:sz w:val="20"/>
                <w:szCs w:val="20"/>
              </w:rPr>
              <m:t>t-p</m:t>
            </m:r>
          </m:sub>
        </m:sSub>
        <m:r>
          <w:rPr>
            <w:rFonts w:ascii="Cambria Math" w:hAnsi="Cambria Math" w:cs="Arial"/>
            <w:sz w:val="20"/>
            <w:szCs w:val="20"/>
          </w:rPr>
          <m:t>+</m:t>
        </m:r>
        <m:sSub>
          <m:sSubPr>
            <m:ctrlPr>
              <w:rPr>
                <w:rFonts w:ascii="Cambria Math" w:hAnsi="Cambria Math" w:cs="Arial"/>
                <w:i/>
              </w:rPr>
            </m:ctrlPr>
          </m:sSubPr>
          <m:e>
            <m:r>
              <w:rPr>
                <w:rFonts w:ascii="Cambria Math" w:eastAsia="Segoe UI Symbol" w:hAnsi="Cambria Math" w:cs="Arial"/>
                <w:sz w:val="20"/>
                <w:szCs w:val="20"/>
              </w:rPr>
              <m:t>ε</m:t>
            </m:r>
          </m:e>
          <m:sub>
            <m:r>
              <w:rPr>
                <w:rFonts w:ascii="Cambria Math" w:hAnsi="Cambria Math" w:cs="Arial"/>
                <w:sz w:val="20"/>
                <w:szCs w:val="20"/>
                <w:vertAlign w:val="subscript"/>
              </w:rPr>
              <m:t>t</m:t>
            </m:r>
          </m:sub>
        </m:sSub>
      </m:oMath>
    </w:p>
    <w:p w14:paraId="1E350DA4" w14:textId="77777777" w:rsidR="00F41E4D" w:rsidRDefault="00F41E4D" w:rsidP="002F2E27">
      <w:pPr>
        <w:shd w:val="clear" w:color="auto" w:fill="FFFFFF"/>
        <w:spacing w:after="0" w:line="240" w:lineRule="auto"/>
        <w:jc w:val="both"/>
        <w:rPr>
          <w:rFonts w:ascii="Arial" w:hAnsi="Arial" w:cs="Arial"/>
          <w:i/>
          <w:iCs/>
          <w:color w:val="212121"/>
          <w:sz w:val="20"/>
          <w:szCs w:val="20"/>
          <w:shd w:val="clear" w:color="auto" w:fill="FFFFFF"/>
        </w:rPr>
      </w:pPr>
      <w:r>
        <w:rPr>
          <w:rFonts w:ascii="Arial" w:hAnsi="Arial" w:cs="Arial"/>
          <w:color w:val="212121"/>
          <w:sz w:val="20"/>
          <w:szCs w:val="20"/>
          <w:shd w:val="clear" w:color="auto" w:fill="FFFFFF"/>
        </w:rPr>
        <w:t>and if the usual R</w:t>
      </w:r>
      <w:r>
        <w:rPr>
          <w:rFonts w:ascii="Arial" w:hAnsi="Arial" w:cs="Arial"/>
          <w:color w:val="212121"/>
          <w:sz w:val="20"/>
          <w:szCs w:val="20"/>
          <w:shd w:val="clear" w:color="auto" w:fill="FFFFFF"/>
          <w:vertAlign w:val="superscript"/>
        </w:rPr>
        <w:t>2</w:t>
      </w:r>
      <w:r>
        <w:rPr>
          <w:rFonts w:ascii="Arial" w:hAnsi="Arial" w:cs="Arial"/>
          <w:color w:val="212121"/>
          <w:sz w:val="20"/>
          <w:szCs w:val="20"/>
          <w:shd w:val="clear" w:color="auto" w:fill="FFFFFF"/>
        </w:rPr>
        <w:t xml:space="preserve"> statistic is calculated for the model, with the following asymptotic approximation could be used for the distribution of the test statistic</w:t>
      </w:r>
    </w:p>
    <w:p w14:paraId="7458FF74" w14:textId="77777777" w:rsidR="00F41E4D" w:rsidRDefault="00000000" w:rsidP="002F2E27">
      <w:pPr>
        <w:shd w:val="clear" w:color="auto" w:fill="FFFFFF"/>
        <w:spacing w:after="0" w:line="240" w:lineRule="auto"/>
        <w:jc w:val="both"/>
        <w:rPr>
          <w:rFonts w:ascii="Arial" w:eastAsiaTheme="minorEastAsia" w:hAnsi="Arial" w:cs="Arial"/>
          <w:color w:val="212121"/>
          <w:sz w:val="20"/>
          <w:szCs w:val="20"/>
          <w:shd w:val="clear" w:color="auto" w:fill="FFFFFF"/>
        </w:rPr>
      </w:pPr>
      <m:oMath>
        <m:sSup>
          <m:sSupPr>
            <m:ctrlPr>
              <w:rPr>
                <w:rFonts w:ascii="Cambria Math" w:hAnsi="Cambria Math" w:cs="Arial"/>
                <w:i/>
                <w:color w:val="212121"/>
                <w:shd w:val="clear" w:color="auto" w:fill="FFFFFF"/>
              </w:rPr>
            </m:ctrlPr>
          </m:sSupPr>
          <m:e>
            <m:r>
              <w:rPr>
                <w:rFonts w:ascii="Cambria Math" w:hAnsi="Cambria Math" w:cs="Arial"/>
                <w:color w:val="212121"/>
                <w:sz w:val="20"/>
                <w:szCs w:val="20"/>
                <w:shd w:val="clear" w:color="auto" w:fill="FFFFFF"/>
              </w:rPr>
              <m:t>nR</m:t>
            </m:r>
          </m:e>
          <m:sup>
            <m:r>
              <w:rPr>
                <w:rFonts w:ascii="Cambria Math" w:hAnsi="Cambria Math" w:cs="Arial"/>
                <w:color w:val="212121"/>
                <w:sz w:val="20"/>
                <w:szCs w:val="20"/>
                <w:shd w:val="clear" w:color="auto" w:fill="FFFFFF"/>
              </w:rPr>
              <m:t>2</m:t>
            </m:r>
          </m:sup>
        </m:sSup>
        <m:r>
          <w:rPr>
            <w:rFonts w:ascii="Cambria Math" w:hAnsi="Cambria Math" w:cs="Arial"/>
            <w:color w:val="212121"/>
            <w:sz w:val="20"/>
            <w:szCs w:val="20"/>
            <w:shd w:val="clear" w:color="auto" w:fill="FFFFFF"/>
          </w:rPr>
          <m:t xml:space="preserve"> ~ </m:t>
        </m:r>
        <m:sSubSup>
          <m:sSubSupPr>
            <m:ctrlPr>
              <w:rPr>
                <w:rFonts w:ascii="Cambria Math" w:hAnsi="Cambria Math" w:cs="Arial"/>
                <w:i/>
                <w:color w:val="212121"/>
                <w:shd w:val="clear" w:color="auto" w:fill="FFFFFF"/>
              </w:rPr>
            </m:ctrlPr>
          </m:sSubSupPr>
          <m:e>
            <m:r>
              <m:rPr>
                <m:scr m:val="script"/>
              </m:rPr>
              <w:rPr>
                <w:rFonts w:ascii="Cambria Math" w:hAnsi="Cambria Math" w:cs="Arial"/>
                <w:color w:val="212121"/>
                <w:sz w:val="20"/>
                <w:szCs w:val="20"/>
                <w:shd w:val="clear" w:color="auto" w:fill="FFFFFF"/>
              </w:rPr>
              <m:t>X</m:t>
            </m:r>
          </m:e>
          <m:sub>
            <m:r>
              <w:rPr>
                <w:rFonts w:ascii="Cambria Math" w:hAnsi="Cambria Math" w:cs="Arial"/>
                <w:color w:val="212121"/>
                <w:sz w:val="20"/>
                <w:szCs w:val="20"/>
                <w:shd w:val="clear" w:color="auto" w:fill="FFFFFF"/>
              </w:rPr>
              <m:t>p</m:t>
            </m:r>
          </m:sub>
          <m:sup>
            <m:r>
              <w:rPr>
                <w:rFonts w:ascii="Cambria Math" w:hAnsi="Cambria Math" w:cs="Arial"/>
                <w:color w:val="212121"/>
                <w:sz w:val="20"/>
                <w:szCs w:val="20"/>
                <w:shd w:val="clear" w:color="auto" w:fill="FFFFFF"/>
              </w:rPr>
              <m:t>2</m:t>
            </m:r>
          </m:sup>
        </m:sSubSup>
      </m:oMath>
      <w:r w:rsidR="00F41E4D">
        <w:rPr>
          <w:rFonts w:ascii="Arial" w:eastAsiaTheme="minorEastAsia" w:hAnsi="Arial" w:cs="Arial"/>
          <w:color w:val="212121"/>
          <w:sz w:val="20"/>
          <w:szCs w:val="20"/>
          <w:shd w:val="clear" w:color="auto" w:fill="FFFFFF"/>
        </w:rPr>
        <w:t xml:space="preserve">, </w:t>
      </w:r>
    </w:p>
    <w:p w14:paraId="154CEBCC" w14:textId="77777777" w:rsidR="00F41E4D" w:rsidRDefault="00F41E4D" w:rsidP="002F2E27">
      <w:pPr>
        <w:shd w:val="clear" w:color="auto" w:fill="FFFFFF"/>
        <w:spacing w:after="0" w:line="240" w:lineRule="auto"/>
        <w:jc w:val="both"/>
        <w:rPr>
          <w:rFonts w:ascii="Arial" w:eastAsiaTheme="minorEastAsia" w:hAnsi="Arial" w:cs="Arial"/>
          <w:sz w:val="20"/>
          <w:szCs w:val="20"/>
        </w:rPr>
      </w:pPr>
      <w:r>
        <w:rPr>
          <w:rFonts w:ascii="Arial" w:eastAsiaTheme="minorEastAsia" w:hAnsi="Arial" w:cs="Arial"/>
          <w:color w:val="212121"/>
          <w:sz w:val="20"/>
          <w:szCs w:val="20"/>
          <w:shd w:val="clear" w:color="auto" w:fill="FFFFFF"/>
        </w:rPr>
        <w:t xml:space="preserve">when the null hypothesis </w:t>
      </w:r>
      <m:oMath>
        <m:sSub>
          <m:sSubPr>
            <m:ctrlPr>
              <w:rPr>
                <w:rFonts w:ascii="Cambria Math" w:eastAsiaTheme="minorEastAsia" w:hAnsi="Cambria Math" w:cs="Arial"/>
                <w:i/>
                <w:color w:val="212121"/>
                <w:shd w:val="clear" w:color="auto" w:fill="FFFFFF"/>
              </w:rPr>
            </m:ctrlPr>
          </m:sSubPr>
          <m:e>
            <m:r>
              <w:rPr>
                <w:rFonts w:ascii="Cambria Math" w:eastAsiaTheme="minorEastAsia" w:hAnsi="Cambria Math" w:cs="Arial"/>
                <w:color w:val="212121"/>
                <w:sz w:val="20"/>
                <w:szCs w:val="20"/>
                <w:shd w:val="clear" w:color="auto" w:fill="FFFFFF"/>
              </w:rPr>
              <m:t>H</m:t>
            </m:r>
          </m:e>
          <m:sub>
            <m:r>
              <m:rPr>
                <m:sty m:val="p"/>
              </m:rPr>
              <w:rPr>
                <w:rFonts w:ascii="Cambria Math" w:eastAsiaTheme="minorEastAsia" w:hAnsi="Cambria Math" w:cs="Arial"/>
                <w:color w:val="212121"/>
                <w:sz w:val="20"/>
                <w:szCs w:val="20"/>
                <w:shd w:val="clear" w:color="auto" w:fill="FFFFFF"/>
              </w:rPr>
              <m:t>0</m:t>
            </m:r>
          </m:sub>
        </m:sSub>
        <m:r>
          <w:rPr>
            <w:rFonts w:ascii="Cambria Math" w:eastAsiaTheme="minorEastAsia" w:hAnsi="Cambria Math" w:cs="Arial"/>
            <w:color w:val="212121"/>
            <w:sz w:val="20"/>
            <w:szCs w:val="20"/>
            <w:shd w:val="clear" w:color="auto" w:fill="FFFFFF"/>
          </w:rPr>
          <m:t xml:space="preserve"> :{</m:t>
        </m:r>
        <m:sSub>
          <m:sSubPr>
            <m:ctrlPr>
              <w:rPr>
                <w:rFonts w:ascii="Cambria Math" w:eastAsiaTheme="minorEastAsia" w:hAnsi="Cambria Math" w:cs="Arial"/>
                <w:i/>
                <w:color w:val="212121"/>
                <w:shd w:val="clear" w:color="auto" w:fill="FFFFFF"/>
              </w:rPr>
            </m:ctrlPr>
          </m:sSubPr>
          <m:e>
            <m:r>
              <w:rPr>
                <w:rFonts w:ascii="Cambria Math" w:eastAsiaTheme="minorEastAsia" w:hAnsi="Cambria Math" w:cs="Arial"/>
                <w:color w:val="212121"/>
                <w:sz w:val="20"/>
                <w:szCs w:val="20"/>
                <w:shd w:val="clear" w:color="auto" w:fill="FFFFFF"/>
              </w:rPr>
              <m:t>ρ</m:t>
            </m:r>
          </m:e>
          <m:sub>
            <m:r>
              <w:rPr>
                <w:rFonts w:ascii="Cambria Math" w:eastAsiaTheme="minorEastAsia" w:hAnsi="Cambria Math" w:cs="Arial"/>
                <w:color w:val="212121"/>
                <w:sz w:val="20"/>
                <w:szCs w:val="20"/>
                <w:shd w:val="clear" w:color="auto" w:fill="FFFFFF"/>
              </w:rPr>
              <m:t>i</m:t>
            </m:r>
          </m:sub>
        </m:sSub>
      </m:oMath>
      <w:r>
        <w:rPr>
          <w:rFonts w:ascii="Arial" w:eastAsiaTheme="minorEastAsia" w:hAnsi="Arial" w:cs="Arial"/>
          <w:color w:val="212121"/>
          <w:sz w:val="20"/>
          <w:szCs w:val="20"/>
          <w:shd w:val="clear" w:color="auto" w:fill="FFFFFF"/>
        </w:rPr>
        <w:t xml:space="preserve">= 0 for all </w:t>
      </w:r>
      <m:oMath>
        <m:r>
          <w:rPr>
            <w:rFonts w:ascii="Cambria Math" w:eastAsiaTheme="minorEastAsia" w:hAnsi="Cambria Math" w:cs="Arial"/>
            <w:color w:val="212121"/>
            <w:sz w:val="20"/>
            <w:szCs w:val="20"/>
            <w:shd w:val="clear" w:color="auto" w:fill="FFFFFF"/>
          </w:rPr>
          <m:t>i</m:t>
        </m:r>
      </m:oMath>
      <w:r>
        <w:rPr>
          <w:rFonts w:ascii="Arial" w:eastAsiaTheme="minorEastAsia" w:hAnsi="Arial" w:cs="Arial"/>
          <w:iCs/>
          <w:color w:val="212121"/>
          <w:sz w:val="20"/>
          <w:szCs w:val="20"/>
          <w:shd w:val="clear" w:color="auto" w:fill="FFFFFF"/>
        </w:rPr>
        <w:t xml:space="preserve">} holds (i.e., there is no serial correlation of any order up to </w:t>
      </w:r>
      <m:oMath>
        <m:r>
          <w:rPr>
            <w:rFonts w:ascii="Cambria Math" w:eastAsiaTheme="minorEastAsia" w:hAnsi="Cambria Math" w:cs="Arial"/>
            <w:color w:val="212121"/>
            <w:sz w:val="20"/>
            <w:szCs w:val="20"/>
            <w:shd w:val="clear" w:color="auto" w:fill="FFFFFF"/>
          </w:rPr>
          <m:t>ρ</m:t>
        </m:r>
      </m:oMath>
      <w:r>
        <w:rPr>
          <w:rFonts w:ascii="Arial" w:eastAsiaTheme="minorEastAsia" w:hAnsi="Arial" w:cs="Arial"/>
          <w:iCs/>
          <w:color w:val="212121"/>
          <w:sz w:val="20"/>
          <w:szCs w:val="20"/>
          <w:shd w:val="clear" w:color="auto" w:fill="FFFFFF"/>
        </w:rPr>
        <w:t xml:space="preserve">). Thus, </w:t>
      </w:r>
      <w:r>
        <w:rPr>
          <w:rFonts w:ascii="Arial" w:eastAsiaTheme="minorEastAsia" w:hAnsi="Arial" w:cs="Arial"/>
          <w:i/>
          <w:color w:val="212121"/>
          <w:sz w:val="20"/>
          <w:szCs w:val="20"/>
          <w:shd w:val="clear" w:color="auto" w:fill="FFFFFF"/>
        </w:rPr>
        <w:t xml:space="preserve">n </w:t>
      </w:r>
      <w:r>
        <w:rPr>
          <w:rFonts w:ascii="Arial" w:eastAsiaTheme="minorEastAsia" w:hAnsi="Arial" w:cs="Arial"/>
          <w:iCs/>
          <w:color w:val="212121"/>
          <w:sz w:val="20"/>
          <w:szCs w:val="20"/>
          <w:shd w:val="clear" w:color="auto" w:fill="FFFFFF"/>
        </w:rPr>
        <w:t xml:space="preserve">is the number of data-points available for the second regression, that for </w:t>
      </w:r>
      <m:oMath>
        <m:sSub>
          <m:sSubPr>
            <m:ctrlPr>
              <w:rPr>
                <w:rFonts w:ascii="Cambria Math" w:hAnsi="Cambria Math" w:cs="Arial"/>
                <w:i/>
              </w:rPr>
            </m:ctrlPr>
          </m:sSubPr>
          <m:e>
            <m:acc>
              <m:accPr>
                <m:ctrlPr>
                  <w:rPr>
                    <w:rFonts w:ascii="Cambria Math" w:eastAsiaTheme="minorEastAsia" w:hAnsi="Cambria Math" w:cs="Arial"/>
                    <w:i/>
                    <w:color w:val="212121"/>
                    <w:shd w:val="clear" w:color="auto" w:fill="FFFFFF"/>
                  </w:rPr>
                </m:ctrlPr>
              </m:accPr>
              <m:e>
                <m:r>
                  <w:rPr>
                    <w:rFonts w:ascii="Cambria Math" w:eastAsiaTheme="minorEastAsia" w:hAnsi="Cambria Math" w:cs="Arial"/>
                    <w:color w:val="212121"/>
                    <w:sz w:val="20"/>
                    <w:szCs w:val="20"/>
                    <w:shd w:val="clear" w:color="auto" w:fill="FFFFFF"/>
                  </w:rPr>
                  <m:t>μ</m:t>
                </m:r>
              </m:e>
            </m:acc>
          </m:e>
          <m:sub>
            <m:r>
              <w:rPr>
                <w:rFonts w:ascii="Cambria Math" w:hAnsi="Cambria Math" w:cs="Arial"/>
                <w:sz w:val="20"/>
                <w:szCs w:val="20"/>
              </w:rPr>
              <m:t>t</m:t>
            </m:r>
          </m:sub>
        </m:sSub>
      </m:oMath>
      <w:r>
        <w:rPr>
          <w:rFonts w:ascii="Arial" w:eastAsiaTheme="minorEastAsia" w:hAnsi="Arial" w:cs="Arial"/>
          <w:sz w:val="20"/>
          <w:szCs w:val="20"/>
        </w:rPr>
        <w:t xml:space="preserve">, </w:t>
      </w:r>
    </w:p>
    <w:p w14:paraId="42FE9EE4" w14:textId="77777777" w:rsidR="00F41E4D" w:rsidRDefault="00F41E4D" w:rsidP="002F2E27">
      <w:pPr>
        <w:shd w:val="clear" w:color="auto" w:fill="FFFFFF"/>
        <w:spacing w:after="0" w:line="240" w:lineRule="auto"/>
        <w:jc w:val="both"/>
        <w:rPr>
          <w:rFonts w:ascii="Arial" w:eastAsiaTheme="minorEastAsia" w:hAnsi="Arial" w:cs="Arial"/>
          <w:iCs/>
          <w:color w:val="212121"/>
          <w:sz w:val="20"/>
          <w:szCs w:val="20"/>
          <w:shd w:val="clear" w:color="auto" w:fill="FFFFFF"/>
        </w:rPr>
      </w:pPr>
      <w:r>
        <w:rPr>
          <w:rFonts w:ascii="Arial" w:eastAsiaTheme="minorEastAsia" w:hAnsi="Arial" w:cs="Arial"/>
          <w:i/>
          <w:color w:val="212121"/>
          <w:sz w:val="20"/>
          <w:szCs w:val="20"/>
          <w:shd w:val="clear" w:color="auto" w:fill="FFFFFF"/>
        </w:rPr>
        <w:t xml:space="preserve">n = </w:t>
      </w:r>
      <m:oMath>
        <m:r>
          <m:rPr>
            <m:sty m:val="p"/>
          </m:rPr>
          <w:rPr>
            <w:rFonts w:ascii="Cambria Math" w:eastAsiaTheme="minorEastAsia" w:hAnsi="Cambria Math" w:cs="Arial"/>
            <w:color w:val="212121"/>
            <w:sz w:val="20"/>
            <w:szCs w:val="20"/>
            <w:shd w:val="clear" w:color="auto" w:fill="FFFFFF"/>
          </w:rPr>
          <m:t>Τ</m:t>
        </m:r>
        <m:r>
          <w:rPr>
            <w:rFonts w:ascii="Cambria Math" w:eastAsiaTheme="minorEastAsia" w:hAnsi="Cambria Math" w:cs="Arial"/>
            <w:color w:val="212121"/>
            <w:sz w:val="20"/>
            <w:szCs w:val="20"/>
            <w:shd w:val="clear" w:color="auto" w:fill="FFFFFF"/>
          </w:rPr>
          <m:t xml:space="preserve">- </m:t>
        </m:r>
        <m:r>
          <m:rPr>
            <m:sty m:val="p"/>
          </m:rPr>
          <w:rPr>
            <w:rFonts w:ascii="Cambria Math" w:eastAsiaTheme="minorEastAsia" w:hAnsi="Cambria Math" w:cs="Arial"/>
            <w:color w:val="212121"/>
            <w:sz w:val="20"/>
            <w:szCs w:val="20"/>
            <w:shd w:val="clear" w:color="auto" w:fill="FFFFFF"/>
          </w:rPr>
          <m:t>ρ</m:t>
        </m:r>
      </m:oMath>
      <w:r>
        <w:rPr>
          <w:rFonts w:ascii="Arial" w:eastAsiaTheme="minorEastAsia" w:hAnsi="Arial" w:cs="Arial"/>
          <w:i/>
          <w:color w:val="212121"/>
          <w:sz w:val="20"/>
          <w:szCs w:val="20"/>
          <w:shd w:val="clear" w:color="auto" w:fill="FFFFFF"/>
        </w:rPr>
        <w:t xml:space="preserve">, </w:t>
      </w:r>
    </w:p>
    <w:p w14:paraId="3D2269FE" w14:textId="77777777" w:rsidR="00F41E4D" w:rsidRDefault="00F41E4D" w:rsidP="002F2E27">
      <w:pPr>
        <w:shd w:val="clear" w:color="auto" w:fill="FFFFFF"/>
        <w:spacing w:after="0" w:line="240" w:lineRule="auto"/>
        <w:ind w:hanging="11"/>
        <w:jc w:val="both"/>
        <w:rPr>
          <w:rFonts w:ascii="Arial" w:eastAsiaTheme="minorEastAsia" w:hAnsi="Arial" w:cs="Arial"/>
          <w:color w:val="212121"/>
          <w:sz w:val="20"/>
          <w:szCs w:val="20"/>
          <w:shd w:val="clear" w:color="auto" w:fill="FFFFFF"/>
        </w:rPr>
      </w:pPr>
      <w:r>
        <w:rPr>
          <w:rFonts w:ascii="Arial" w:eastAsiaTheme="minorEastAsia" w:hAnsi="Arial" w:cs="Arial"/>
          <w:i/>
          <w:color w:val="212121"/>
          <w:sz w:val="20"/>
          <w:szCs w:val="20"/>
          <w:shd w:val="clear" w:color="auto" w:fill="FFFFFF"/>
        </w:rPr>
        <w:t xml:space="preserve">whereby </w:t>
      </w:r>
      <m:oMath>
        <m:r>
          <m:rPr>
            <m:sty m:val="p"/>
          </m:rPr>
          <w:rPr>
            <w:rFonts w:ascii="Cambria Math" w:eastAsiaTheme="minorEastAsia" w:hAnsi="Cambria Math" w:cs="Arial"/>
            <w:color w:val="212121"/>
            <w:sz w:val="20"/>
            <w:szCs w:val="20"/>
            <w:shd w:val="clear" w:color="auto" w:fill="FFFFFF"/>
          </w:rPr>
          <m:t>Τ</m:t>
        </m:r>
      </m:oMath>
      <w:r>
        <w:rPr>
          <w:rFonts w:ascii="Arial" w:eastAsiaTheme="minorEastAsia" w:hAnsi="Arial" w:cs="Arial"/>
          <w:iCs/>
          <w:color w:val="212121"/>
          <w:sz w:val="20"/>
          <w:szCs w:val="20"/>
          <w:shd w:val="clear" w:color="auto" w:fill="FFFFFF"/>
        </w:rPr>
        <w:t xml:space="preserve"> is the number of observations in the basic series. The value of </w:t>
      </w:r>
      <w:r>
        <w:rPr>
          <w:rFonts w:ascii="Arial" w:eastAsiaTheme="minorEastAsia" w:hAnsi="Arial" w:cs="Arial"/>
          <w:i/>
          <w:color w:val="212121"/>
          <w:sz w:val="20"/>
          <w:szCs w:val="20"/>
          <w:shd w:val="clear" w:color="auto" w:fill="FFFFFF"/>
        </w:rPr>
        <w:t xml:space="preserve">n </w:t>
      </w:r>
      <w:r>
        <w:rPr>
          <w:rFonts w:ascii="Arial" w:eastAsiaTheme="minorEastAsia" w:hAnsi="Arial" w:cs="Arial"/>
          <w:iCs/>
          <w:color w:val="212121"/>
          <w:sz w:val="20"/>
          <w:szCs w:val="20"/>
          <w:shd w:val="clear" w:color="auto" w:fill="FFFFFF"/>
        </w:rPr>
        <w:t>depends on the number of logs of the error term (</w:t>
      </w:r>
      <m:oMath>
        <m:r>
          <m:rPr>
            <m:sty m:val="p"/>
          </m:rPr>
          <w:rPr>
            <w:rFonts w:ascii="Cambria Math" w:eastAsiaTheme="minorEastAsia" w:hAnsi="Cambria Math" w:cs="Arial"/>
            <w:color w:val="212121"/>
            <w:sz w:val="20"/>
            <w:szCs w:val="20"/>
            <w:shd w:val="clear" w:color="auto" w:fill="FFFFFF"/>
          </w:rPr>
          <m:t>ρ).</m:t>
        </m:r>
      </m:oMath>
      <w:r>
        <w:rPr>
          <w:rFonts w:ascii="Arial" w:eastAsiaTheme="minorEastAsia" w:hAnsi="Arial" w:cs="Arial"/>
          <w:color w:val="212121"/>
          <w:sz w:val="20"/>
          <w:szCs w:val="20"/>
          <w:shd w:val="clear" w:color="auto" w:fill="FFFFFF"/>
        </w:rPr>
        <w:t xml:space="preserve"> </w:t>
      </w:r>
    </w:p>
  </w:footnote>
  <w:footnote w:id="106">
    <w:p w14:paraId="6C4914F4" w14:textId="59379071" w:rsidR="00F41E4D" w:rsidRDefault="00F41E4D" w:rsidP="002F2E27">
      <w:pPr>
        <w:pStyle w:val="NoSpacing"/>
        <w:jc w:val="both"/>
        <w:rPr>
          <w:rFonts w:ascii="Arial" w:hAnsi="Arial" w:cs="Arial"/>
          <w:sz w:val="20"/>
          <w:szCs w:val="20"/>
        </w:rPr>
      </w:pPr>
      <w:r>
        <w:rPr>
          <w:rStyle w:val="FootnoteReference"/>
        </w:rPr>
        <w:footnoteRef/>
      </w:r>
      <w:r>
        <w:t xml:space="preserve"> </w:t>
      </w:r>
      <w:r>
        <w:rPr>
          <w:rFonts w:ascii="Arial" w:hAnsi="Arial" w:cs="Arial"/>
          <w:sz w:val="20"/>
          <w:szCs w:val="20"/>
        </w:rPr>
        <w:t xml:space="preserve">We can fit a three-variable multiple linear regression with formula </w:t>
      </w:r>
      <m:oMath>
        <m:sSub>
          <m:sSubPr>
            <m:ctrlPr>
              <w:rPr>
                <w:rFonts w:ascii="Cambria Math" w:hAnsi="Cambria Math" w:cs="Arial"/>
                <w:i/>
              </w:rPr>
            </m:ctrlPr>
          </m:sSubPr>
          <m:e>
            <m:acc>
              <m:accPr>
                <m:ctrlPr>
                  <w:rPr>
                    <w:rFonts w:ascii="Cambria Math" w:hAnsi="Cambria Math" w:cs="Arial"/>
                    <w:i/>
                  </w:rPr>
                </m:ctrlPr>
              </m:accPr>
              <m:e>
                <m:r>
                  <w:rPr>
                    <w:rFonts w:ascii="Cambria Math" w:hAnsi="Cambria Math" w:cs="Arial"/>
                    <w:sz w:val="20"/>
                    <w:szCs w:val="20"/>
                  </w:rPr>
                  <m:t>y</m:t>
                </m:r>
              </m:e>
            </m:acc>
          </m:e>
          <m:sub>
            <m:r>
              <w:rPr>
                <w:rFonts w:ascii="Cambria Math" w:hAnsi="Cambria Math" w:cs="Arial"/>
                <w:sz w:val="20"/>
                <w:szCs w:val="20"/>
              </w:rPr>
              <m:t>i</m:t>
            </m:r>
          </m:sub>
        </m:sSub>
        <m:r>
          <w:rPr>
            <w:rFonts w:ascii="Cambria Math" w:hAnsi="Cambria Math" w:cs="Arial"/>
            <w:sz w:val="20"/>
            <w:szCs w:val="20"/>
          </w:rPr>
          <m:t xml:space="preserve">= </m:t>
        </m:r>
        <m:sSub>
          <m:sSubPr>
            <m:ctrlPr>
              <w:rPr>
                <w:rFonts w:ascii="Cambria Math" w:hAnsi="Cambria Math" w:cs="Arial"/>
                <w:i/>
              </w:rPr>
            </m:ctrlPr>
          </m:sSubPr>
          <m:e>
            <m:acc>
              <m:accPr>
                <m:ctrlPr>
                  <w:rPr>
                    <w:rFonts w:ascii="Cambria Math" w:hAnsi="Cambria Math" w:cs="Arial"/>
                    <w:i/>
                  </w:rPr>
                </m:ctrlPr>
              </m:accPr>
              <m:e>
                <m:r>
                  <w:rPr>
                    <w:rFonts w:ascii="Cambria Math" w:hAnsi="Cambria Math" w:cs="Arial"/>
                    <w:sz w:val="20"/>
                    <w:szCs w:val="20"/>
                  </w:rPr>
                  <m:t>β</m:t>
                </m:r>
              </m:e>
            </m:acc>
          </m:e>
          <m:sub>
            <m:r>
              <w:rPr>
                <w:rFonts w:ascii="Cambria Math" w:hAnsi="Cambria Math" w:cs="Arial"/>
                <w:sz w:val="20"/>
                <w:szCs w:val="20"/>
              </w:rPr>
              <m:t>0</m:t>
            </m:r>
          </m:sub>
        </m:sSub>
        <m:sSub>
          <m:sSubPr>
            <m:ctrlPr>
              <w:rPr>
                <w:rFonts w:ascii="Cambria Math" w:hAnsi="Cambria Math" w:cs="Arial"/>
                <w:i/>
              </w:rPr>
            </m:ctrlPr>
          </m:sSubPr>
          <m:e>
            <m:r>
              <w:rPr>
                <w:rFonts w:ascii="Cambria Math" w:hAnsi="Cambria Math" w:cs="Arial"/>
                <w:sz w:val="20"/>
                <w:szCs w:val="20"/>
              </w:rPr>
              <m:t>x</m:t>
            </m:r>
          </m:e>
          <m:sub>
            <m:r>
              <w:rPr>
                <w:rFonts w:ascii="Cambria Math" w:hAnsi="Cambria Math" w:cs="Arial"/>
                <w:sz w:val="20"/>
                <w:szCs w:val="20"/>
              </w:rPr>
              <m:t>1i</m:t>
            </m:r>
          </m:sub>
        </m:sSub>
        <m:r>
          <w:rPr>
            <w:rFonts w:ascii="Cambria Math" w:hAnsi="Cambria Math" w:cs="Arial"/>
            <w:sz w:val="20"/>
            <w:szCs w:val="20"/>
          </w:rPr>
          <m:t>+</m:t>
        </m:r>
        <m:sSub>
          <m:sSubPr>
            <m:ctrlPr>
              <w:rPr>
                <w:rFonts w:ascii="Cambria Math" w:hAnsi="Cambria Math" w:cs="Arial"/>
                <w:i/>
              </w:rPr>
            </m:ctrlPr>
          </m:sSubPr>
          <m:e>
            <m:acc>
              <m:accPr>
                <m:ctrlPr>
                  <w:rPr>
                    <w:rFonts w:ascii="Cambria Math" w:hAnsi="Cambria Math" w:cs="Arial"/>
                    <w:i/>
                  </w:rPr>
                </m:ctrlPr>
              </m:accPr>
              <m:e>
                <m:r>
                  <w:rPr>
                    <w:rFonts w:ascii="Cambria Math" w:hAnsi="Cambria Math" w:cs="Arial"/>
                    <w:sz w:val="20"/>
                    <w:szCs w:val="20"/>
                  </w:rPr>
                  <m:t>β</m:t>
                </m:r>
              </m:e>
            </m:acc>
          </m:e>
          <m:sub>
            <m:r>
              <w:rPr>
                <w:rFonts w:ascii="Cambria Math" w:hAnsi="Cambria Math" w:cs="Arial"/>
                <w:sz w:val="20"/>
                <w:szCs w:val="20"/>
              </w:rPr>
              <m:t>2</m:t>
            </m:r>
          </m:sub>
        </m:sSub>
        <m:sSub>
          <m:sSubPr>
            <m:ctrlPr>
              <w:rPr>
                <w:rFonts w:ascii="Cambria Math" w:hAnsi="Cambria Math" w:cs="Arial"/>
                <w:i/>
              </w:rPr>
            </m:ctrlPr>
          </m:sSubPr>
          <m:e>
            <m:r>
              <w:rPr>
                <w:rFonts w:ascii="Cambria Math" w:hAnsi="Cambria Math" w:cs="Arial"/>
                <w:sz w:val="20"/>
                <w:szCs w:val="20"/>
              </w:rPr>
              <m:t>x</m:t>
            </m:r>
          </m:e>
          <m:sub>
            <m:r>
              <w:rPr>
                <w:rFonts w:ascii="Cambria Math" w:hAnsi="Cambria Math" w:cs="Arial"/>
                <w:sz w:val="20"/>
                <w:szCs w:val="20"/>
              </w:rPr>
              <m:t>2i</m:t>
            </m:r>
          </m:sub>
        </m:sSub>
      </m:oMath>
      <w:r>
        <w:rPr>
          <w:rFonts w:ascii="Arial" w:hAnsi="Arial" w:cs="Arial"/>
          <w:sz w:val="20"/>
          <w:szCs w:val="20"/>
        </w:rPr>
        <w:t xml:space="preserve"> we obtain regression residuals </w:t>
      </w:r>
      <m:oMath>
        <m:sSub>
          <m:sSubPr>
            <m:ctrlPr>
              <w:rPr>
                <w:rFonts w:ascii="Cambria Math" w:hAnsi="Cambria Math" w:cs="Arial"/>
                <w:i/>
              </w:rPr>
            </m:ctrlPr>
          </m:sSubPr>
          <m:e>
            <m:acc>
              <m:accPr>
                <m:ctrlPr>
                  <w:rPr>
                    <w:rFonts w:ascii="Cambria Math" w:hAnsi="Cambria Math" w:cs="Arial"/>
                    <w:i/>
                  </w:rPr>
                </m:ctrlPr>
              </m:accPr>
              <m:e>
                <m:r>
                  <m:rPr>
                    <m:scr m:val="script"/>
                  </m:rPr>
                  <w:rPr>
                    <w:rFonts w:ascii="Cambria Math" w:hAnsi="Cambria Math" w:cs="Arial"/>
                    <w:sz w:val="20"/>
                    <w:szCs w:val="20"/>
                  </w:rPr>
                  <m:t>e</m:t>
                </m:r>
              </m:e>
            </m:acc>
          </m:e>
          <m:sub>
            <m:r>
              <w:rPr>
                <w:rFonts w:ascii="Cambria Math" w:hAnsi="Cambria Math" w:cs="Arial"/>
                <w:sz w:val="20"/>
                <w:szCs w:val="20"/>
              </w:rPr>
              <m:t>i</m:t>
            </m:r>
          </m:sub>
        </m:sSub>
      </m:oMath>
      <w:r>
        <w:rPr>
          <w:rFonts w:ascii="Arial" w:hAnsi="Arial" w:cs="Arial"/>
          <w:sz w:val="20"/>
          <w:szCs w:val="20"/>
        </w:rPr>
        <w:t xml:space="preserve"> with formula </w:t>
      </w:r>
      <m:oMath>
        <m:sSub>
          <m:sSubPr>
            <m:ctrlPr>
              <w:rPr>
                <w:rFonts w:ascii="Cambria Math" w:hAnsi="Cambria Math" w:cs="Arial"/>
                <w:i/>
              </w:rPr>
            </m:ctrlPr>
          </m:sSubPr>
          <m:e>
            <m:acc>
              <m:accPr>
                <m:ctrlPr>
                  <w:rPr>
                    <w:rFonts w:ascii="Cambria Math" w:hAnsi="Cambria Math" w:cs="Arial"/>
                    <w:i/>
                  </w:rPr>
                </m:ctrlPr>
              </m:accPr>
              <m:e>
                <m:r>
                  <m:rPr>
                    <m:scr m:val="script"/>
                  </m:rPr>
                  <w:rPr>
                    <w:rFonts w:ascii="Cambria Math" w:hAnsi="Cambria Math" w:cs="Arial"/>
                    <w:sz w:val="20"/>
                    <w:szCs w:val="20"/>
                  </w:rPr>
                  <m:t>e</m:t>
                </m:r>
              </m:e>
            </m:acc>
          </m:e>
          <m:sub>
            <m:r>
              <w:rPr>
                <w:rFonts w:ascii="Cambria Math" w:hAnsi="Cambria Math" w:cs="Arial"/>
                <w:sz w:val="20"/>
                <w:szCs w:val="20"/>
              </w:rPr>
              <m:t>i</m:t>
            </m:r>
          </m:sub>
        </m:sSub>
      </m:oMath>
      <w:r>
        <w:rPr>
          <w:rFonts w:ascii="Arial" w:hAnsi="Arial" w:cs="Arial"/>
          <w:sz w:val="20"/>
          <w:szCs w:val="20"/>
        </w:rPr>
        <w:t xml:space="preserve">= </w:t>
      </w:r>
      <m:oMath>
        <m:sSub>
          <m:sSubPr>
            <m:ctrlPr>
              <w:rPr>
                <w:rFonts w:ascii="Cambria Math" w:hAnsi="Cambria Math" w:cs="Arial"/>
                <w:i/>
              </w:rPr>
            </m:ctrlPr>
          </m:sSubPr>
          <m:e>
            <m:r>
              <w:rPr>
                <w:rFonts w:ascii="Cambria Math" w:hAnsi="Cambria Math" w:cs="Arial"/>
                <w:sz w:val="20"/>
                <w:szCs w:val="20"/>
              </w:rPr>
              <m:t>y</m:t>
            </m:r>
          </m:e>
          <m:sub>
            <m:r>
              <w:rPr>
                <w:rFonts w:ascii="Cambria Math" w:hAnsi="Cambria Math" w:cs="Arial"/>
                <w:sz w:val="20"/>
                <w:szCs w:val="20"/>
              </w:rPr>
              <m:t>i</m:t>
            </m:r>
          </m:sub>
        </m:sSub>
        <m:r>
          <w:rPr>
            <w:rFonts w:ascii="Cambria Math" w:hAnsi="Cambria Math" w:cs="Arial"/>
            <w:sz w:val="20"/>
            <w:szCs w:val="20"/>
          </w:rPr>
          <m:t>-</m:t>
        </m:r>
        <m:sSub>
          <m:sSubPr>
            <m:ctrlPr>
              <w:rPr>
                <w:rFonts w:ascii="Cambria Math" w:hAnsi="Cambria Math" w:cs="Arial"/>
                <w:i/>
              </w:rPr>
            </m:ctrlPr>
          </m:sSubPr>
          <m:e>
            <m:acc>
              <m:accPr>
                <m:ctrlPr>
                  <w:rPr>
                    <w:rFonts w:ascii="Cambria Math" w:hAnsi="Cambria Math" w:cs="Arial"/>
                    <w:i/>
                  </w:rPr>
                </m:ctrlPr>
              </m:accPr>
              <m:e>
                <m:r>
                  <w:rPr>
                    <w:rFonts w:ascii="Cambria Math" w:hAnsi="Cambria Math" w:cs="Arial"/>
                    <w:sz w:val="20"/>
                    <w:szCs w:val="20"/>
                  </w:rPr>
                  <m:t>y</m:t>
                </m:r>
              </m:e>
            </m:acc>
          </m:e>
          <m:sub>
            <m:r>
              <w:rPr>
                <w:rFonts w:ascii="Cambria Math" w:hAnsi="Cambria Math" w:cs="Arial"/>
                <w:sz w:val="20"/>
                <w:szCs w:val="20"/>
              </w:rPr>
              <m:t>i</m:t>
            </m:r>
          </m:sub>
        </m:sSub>
      </m:oMath>
      <w:r>
        <w:rPr>
          <w:rFonts w:ascii="Arial" w:hAnsi="Arial" w:cs="Arial"/>
          <w:sz w:val="20"/>
          <w:szCs w:val="20"/>
        </w:rPr>
        <w:t xml:space="preserve"> are the estimated differences between actual </w:t>
      </w:r>
      <m:oMath>
        <m:sSub>
          <m:sSubPr>
            <m:ctrlPr>
              <w:rPr>
                <w:rFonts w:ascii="Cambria Math" w:hAnsi="Cambria Math" w:cs="Arial"/>
                <w:i/>
              </w:rPr>
            </m:ctrlPr>
          </m:sSubPr>
          <m:e>
            <m:r>
              <w:rPr>
                <w:rFonts w:ascii="Cambria Math" w:hAnsi="Cambria Math" w:cs="Arial"/>
                <w:sz w:val="20"/>
                <w:szCs w:val="20"/>
              </w:rPr>
              <m:t>y</m:t>
            </m:r>
          </m:e>
          <m:sub>
            <m:r>
              <w:rPr>
                <w:rFonts w:ascii="Cambria Math" w:hAnsi="Cambria Math" w:cs="Arial"/>
                <w:sz w:val="20"/>
                <w:szCs w:val="20"/>
              </w:rPr>
              <m:t>i</m:t>
            </m:r>
          </m:sub>
        </m:sSub>
      </m:oMath>
      <w:r>
        <w:rPr>
          <w:rFonts w:ascii="Arial" w:hAnsi="Arial" w:cs="Arial"/>
          <w:sz w:val="20"/>
          <w:szCs w:val="20"/>
        </w:rPr>
        <w:t xml:space="preserve"> and fitted </w:t>
      </w:r>
      <m:oMath>
        <m:sSub>
          <m:sSubPr>
            <m:ctrlPr>
              <w:rPr>
                <w:rFonts w:ascii="Cambria Math" w:hAnsi="Cambria Math" w:cs="Arial"/>
                <w:i/>
              </w:rPr>
            </m:ctrlPr>
          </m:sSubPr>
          <m:e>
            <m:acc>
              <m:accPr>
                <m:ctrlPr>
                  <w:rPr>
                    <w:rFonts w:ascii="Cambria Math" w:hAnsi="Cambria Math" w:cs="Arial"/>
                    <w:i/>
                  </w:rPr>
                </m:ctrlPr>
              </m:accPr>
              <m:e>
                <m:r>
                  <w:rPr>
                    <w:rFonts w:ascii="Cambria Math" w:hAnsi="Cambria Math" w:cs="Arial"/>
                    <w:sz w:val="20"/>
                    <w:szCs w:val="20"/>
                  </w:rPr>
                  <m:t>y</m:t>
                </m:r>
              </m:e>
            </m:acc>
          </m:e>
          <m:sub>
            <m:r>
              <w:rPr>
                <w:rFonts w:ascii="Cambria Math" w:hAnsi="Cambria Math" w:cs="Arial"/>
                <w:sz w:val="20"/>
                <w:szCs w:val="20"/>
              </w:rPr>
              <m:t>i</m:t>
            </m:r>
          </m:sub>
        </m:sSub>
      </m:oMath>
      <w:r>
        <w:rPr>
          <w:rFonts w:ascii="Arial" w:hAnsi="Arial" w:cs="Arial"/>
          <w:sz w:val="20"/>
          <w:szCs w:val="20"/>
        </w:rPr>
        <w:t xml:space="preserve"> values. </w:t>
      </w:r>
    </w:p>
    <w:p w14:paraId="4AB5D31F" w14:textId="77777777" w:rsidR="00F41E4D" w:rsidRDefault="00F41E4D" w:rsidP="002F2E27">
      <w:pPr>
        <w:pStyle w:val="NoSpacing"/>
        <w:jc w:val="both"/>
        <w:rPr>
          <w:rFonts w:ascii="Arial" w:hAnsi="Arial" w:cs="Arial"/>
          <w:sz w:val="20"/>
          <w:szCs w:val="20"/>
        </w:rPr>
      </w:pPr>
      <w:r>
        <w:rPr>
          <w:rFonts w:ascii="Arial" w:hAnsi="Arial" w:cs="Arial"/>
          <w:sz w:val="20"/>
          <w:szCs w:val="20"/>
        </w:rPr>
        <w:t xml:space="preserve">The </w:t>
      </w:r>
      <w:bookmarkStart w:id="440" w:name="_Hlk134477772"/>
      <w:r>
        <w:rPr>
          <w:rFonts w:ascii="Arial" w:hAnsi="Arial" w:cs="Arial"/>
          <w:sz w:val="20"/>
          <w:szCs w:val="20"/>
        </w:rPr>
        <w:t xml:space="preserve">Breusch-Pagan test </w:t>
      </w:r>
      <w:bookmarkEnd w:id="440"/>
      <w:r>
        <w:rPr>
          <w:rFonts w:ascii="Arial" w:hAnsi="Arial" w:cs="Arial"/>
          <w:sz w:val="20"/>
          <w:szCs w:val="20"/>
        </w:rPr>
        <w:t xml:space="preserve">auxiliary regression with formula </w:t>
      </w:r>
      <m:oMath>
        <m:sSubSup>
          <m:sSubSupPr>
            <m:ctrlPr>
              <w:rPr>
                <w:rFonts w:ascii="Cambria Math" w:hAnsi="Cambria Math" w:cs="Arial"/>
                <w:i/>
              </w:rPr>
            </m:ctrlPr>
          </m:sSubSupPr>
          <m:e>
            <m:acc>
              <m:accPr>
                <m:ctrlPr>
                  <w:rPr>
                    <w:rFonts w:ascii="Cambria Math" w:hAnsi="Cambria Math" w:cs="Arial"/>
                    <w:i/>
                  </w:rPr>
                </m:ctrlPr>
              </m:accPr>
              <m:e>
                <m:r>
                  <w:rPr>
                    <w:rFonts w:ascii="Cambria Math" w:hAnsi="Cambria Math" w:cs="Arial"/>
                    <w:sz w:val="20"/>
                    <w:szCs w:val="20"/>
                  </w:rPr>
                  <m:t>e</m:t>
                </m:r>
              </m:e>
            </m:acc>
          </m:e>
          <m:sub>
            <m:r>
              <w:rPr>
                <w:rFonts w:ascii="Cambria Math" w:hAnsi="Cambria Math" w:cs="Arial"/>
                <w:sz w:val="20"/>
                <w:szCs w:val="20"/>
              </w:rPr>
              <m:t>i</m:t>
            </m:r>
          </m:sub>
          <m:sup>
            <m:r>
              <w:rPr>
                <w:rFonts w:ascii="Cambria Math" w:hAnsi="Cambria Math" w:cs="Arial"/>
                <w:sz w:val="20"/>
                <w:szCs w:val="20"/>
              </w:rPr>
              <m:t>2</m:t>
            </m:r>
          </m:sup>
        </m:sSubSup>
        <m:r>
          <w:rPr>
            <w:rFonts w:ascii="Cambria Math" w:hAnsi="Cambria Math" w:cs="Arial"/>
            <w:sz w:val="20"/>
            <w:szCs w:val="20"/>
          </w:rPr>
          <m:t>=</m:t>
        </m:r>
        <m:sSub>
          <m:sSubPr>
            <m:ctrlPr>
              <w:rPr>
                <w:rFonts w:ascii="Cambria Math" w:hAnsi="Cambria Math" w:cs="Arial"/>
                <w:i/>
              </w:rPr>
            </m:ctrlPr>
          </m:sSubPr>
          <m:e>
            <m:acc>
              <m:accPr>
                <m:ctrlPr>
                  <w:rPr>
                    <w:rFonts w:ascii="Cambria Math" w:hAnsi="Cambria Math" w:cs="Arial"/>
                    <w:i/>
                  </w:rPr>
                </m:ctrlPr>
              </m:accPr>
              <m:e>
                <m:r>
                  <w:rPr>
                    <w:rFonts w:ascii="Cambria Math" w:hAnsi="Cambria Math" w:cs="Arial"/>
                    <w:sz w:val="20"/>
                    <w:szCs w:val="20"/>
                  </w:rPr>
                  <m:t>γ</m:t>
                </m:r>
              </m:e>
            </m:acc>
          </m:e>
          <m:sub>
            <m:r>
              <w:rPr>
                <w:rFonts w:ascii="Cambria Math" w:hAnsi="Cambria Math" w:cs="Arial"/>
                <w:sz w:val="20"/>
                <w:szCs w:val="20"/>
              </w:rPr>
              <m:t>0</m:t>
            </m:r>
          </m:sub>
        </m:sSub>
        <m:r>
          <w:rPr>
            <w:rFonts w:ascii="Cambria Math" w:hAnsi="Cambria Math" w:cs="Arial"/>
            <w:sz w:val="20"/>
            <w:szCs w:val="20"/>
          </w:rPr>
          <m:t>+</m:t>
        </m:r>
        <m:sSub>
          <m:sSubPr>
            <m:ctrlPr>
              <w:rPr>
                <w:rFonts w:ascii="Cambria Math" w:hAnsi="Cambria Math" w:cs="Arial"/>
                <w:i/>
              </w:rPr>
            </m:ctrlPr>
          </m:sSubPr>
          <m:e>
            <m:acc>
              <m:accPr>
                <m:ctrlPr>
                  <w:rPr>
                    <w:rFonts w:ascii="Cambria Math" w:hAnsi="Cambria Math" w:cs="Arial"/>
                    <w:i/>
                  </w:rPr>
                </m:ctrlPr>
              </m:accPr>
              <m:e>
                <m:r>
                  <w:rPr>
                    <w:rFonts w:ascii="Cambria Math" w:hAnsi="Cambria Math" w:cs="Arial"/>
                    <w:sz w:val="20"/>
                    <w:szCs w:val="20"/>
                  </w:rPr>
                  <m:t>γ</m:t>
                </m:r>
              </m:e>
            </m:acc>
          </m:e>
          <m:sub>
            <m:r>
              <w:rPr>
                <w:rFonts w:ascii="Cambria Math" w:hAnsi="Cambria Math" w:cs="Arial"/>
                <w:sz w:val="20"/>
                <w:szCs w:val="20"/>
              </w:rPr>
              <m:t>1</m:t>
            </m:r>
          </m:sub>
        </m:sSub>
        <m:sSub>
          <m:sSubPr>
            <m:ctrlPr>
              <w:rPr>
                <w:rFonts w:ascii="Cambria Math" w:hAnsi="Cambria Math" w:cs="Arial"/>
                <w:i/>
              </w:rPr>
            </m:ctrlPr>
          </m:sSubPr>
          <m:e>
            <m:r>
              <w:rPr>
                <w:rFonts w:ascii="Cambria Math" w:hAnsi="Cambria Math" w:cs="Arial"/>
                <w:sz w:val="20"/>
                <w:szCs w:val="20"/>
              </w:rPr>
              <m:t>x</m:t>
            </m:r>
          </m:e>
          <m:sub>
            <m:r>
              <w:rPr>
                <w:rFonts w:ascii="Cambria Math" w:hAnsi="Cambria Math" w:cs="Arial"/>
                <w:sz w:val="20"/>
                <w:szCs w:val="20"/>
              </w:rPr>
              <m:t>1i</m:t>
            </m:r>
          </m:sub>
        </m:sSub>
        <m:r>
          <w:rPr>
            <w:rFonts w:ascii="Cambria Math" w:hAnsi="Cambria Math" w:cs="Arial"/>
            <w:sz w:val="20"/>
            <w:szCs w:val="20"/>
          </w:rPr>
          <m:t>+</m:t>
        </m:r>
        <m:sSub>
          <m:sSubPr>
            <m:ctrlPr>
              <w:rPr>
                <w:rFonts w:ascii="Cambria Math" w:hAnsi="Cambria Math" w:cs="Arial"/>
                <w:i/>
              </w:rPr>
            </m:ctrlPr>
          </m:sSubPr>
          <m:e>
            <m:acc>
              <m:accPr>
                <m:ctrlPr>
                  <w:rPr>
                    <w:rFonts w:ascii="Cambria Math" w:hAnsi="Cambria Math" w:cs="Arial"/>
                    <w:i/>
                  </w:rPr>
                </m:ctrlPr>
              </m:accPr>
              <m:e>
                <m:r>
                  <w:rPr>
                    <w:rFonts w:ascii="Cambria Math" w:hAnsi="Cambria Math" w:cs="Arial"/>
                    <w:sz w:val="20"/>
                    <w:szCs w:val="20"/>
                  </w:rPr>
                  <m:t>γ</m:t>
                </m:r>
              </m:e>
            </m:acc>
          </m:e>
          <m:sub>
            <m:r>
              <w:rPr>
                <w:rFonts w:ascii="Cambria Math" w:hAnsi="Cambria Math" w:cs="Arial"/>
                <w:sz w:val="20"/>
                <w:szCs w:val="20"/>
              </w:rPr>
              <m:t>2</m:t>
            </m:r>
          </m:sub>
        </m:sSub>
        <m:sSub>
          <m:sSubPr>
            <m:ctrlPr>
              <w:rPr>
                <w:rFonts w:ascii="Cambria Math" w:hAnsi="Cambria Math" w:cs="Arial"/>
                <w:i/>
              </w:rPr>
            </m:ctrlPr>
          </m:sSubPr>
          <m:e>
            <m:r>
              <w:rPr>
                <w:rFonts w:ascii="Cambria Math" w:hAnsi="Cambria Math" w:cs="Arial"/>
                <w:sz w:val="20"/>
                <w:szCs w:val="20"/>
              </w:rPr>
              <m:t>x</m:t>
            </m:r>
          </m:e>
          <m:sub>
            <m:r>
              <w:rPr>
                <w:rFonts w:ascii="Cambria Math" w:hAnsi="Cambria Math" w:cs="Arial"/>
                <w:sz w:val="20"/>
                <w:szCs w:val="20"/>
              </w:rPr>
              <m:t>2i</m:t>
            </m:r>
          </m:sub>
        </m:sSub>
      </m:oMath>
    </w:p>
    <w:p w14:paraId="3C71171E" w14:textId="77777777" w:rsidR="00F41E4D" w:rsidRDefault="00F41E4D" w:rsidP="002F2E27">
      <w:pPr>
        <w:pStyle w:val="NoSpacing"/>
        <w:jc w:val="both"/>
        <w:rPr>
          <w:rFonts w:ascii="Arial" w:hAnsi="Arial" w:cs="Arial"/>
          <w:sz w:val="20"/>
          <w:szCs w:val="20"/>
        </w:rPr>
      </w:pPr>
      <w:r>
        <w:rPr>
          <w:rFonts w:ascii="Arial" w:hAnsi="Arial" w:cs="Arial"/>
          <w:sz w:val="20"/>
          <w:szCs w:val="20"/>
        </w:rPr>
        <w:t xml:space="preserve">The </w:t>
      </w:r>
      <w:r>
        <w:rPr>
          <w:rFonts w:ascii="Arial" w:hAnsi="Arial" w:cs="Arial"/>
          <w:i/>
          <w:sz w:val="20"/>
          <w:szCs w:val="20"/>
        </w:rPr>
        <w:t xml:space="preserve">chi-square test </w:t>
      </w:r>
      <w:r>
        <w:rPr>
          <w:rFonts w:ascii="Arial" w:hAnsi="Arial" w:cs="Arial"/>
          <w:sz w:val="20"/>
          <w:szCs w:val="20"/>
        </w:rPr>
        <w:t xml:space="preserve">with joint null hypothesis that independent variables coefficients are equal to zero with formula </w:t>
      </w:r>
      <m:oMath>
        <m:sSub>
          <m:sSubPr>
            <m:ctrlPr>
              <w:rPr>
                <w:rFonts w:ascii="Cambria Math" w:hAnsi="Cambria Math" w:cs="Arial"/>
                <w:i/>
              </w:rPr>
            </m:ctrlPr>
          </m:sSubPr>
          <m:e>
            <m:r>
              <w:rPr>
                <w:rFonts w:ascii="Cambria Math" w:hAnsi="Cambria Math" w:cs="Arial"/>
                <w:sz w:val="20"/>
                <w:szCs w:val="20"/>
              </w:rPr>
              <m:t>H</m:t>
            </m:r>
          </m:e>
          <m:sub>
            <m:r>
              <m:rPr>
                <m:sty m:val="p"/>
              </m:rPr>
              <w:rPr>
                <w:rFonts w:ascii="Cambria Math" w:hAnsi="Cambria Math" w:cs="Arial"/>
                <w:sz w:val="20"/>
                <w:szCs w:val="20"/>
              </w:rPr>
              <m:t>0</m:t>
            </m:r>
          </m:sub>
        </m:sSub>
        <m:r>
          <w:rPr>
            <w:rFonts w:ascii="Cambria Math" w:hAnsi="Cambria Math" w:cs="Arial"/>
            <w:sz w:val="20"/>
            <w:szCs w:val="20"/>
          </w:rPr>
          <m:t xml:space="preserve">: </m:t>
        </m:r>
        <m:sSub>
          <m:sSubPr>
            <m:ctrlPr>
              <w:rPr>
                <w:rFonts w:ascii="Cambria Math" w:hAnsi="Cambria Math" w:cs="Arial"/>
                <w:i/>
              </w:rPr>
            </m:ctrlPr>
          </m:sSubPr>
          <m:e>
            <m:acc>
              <m:accPr>
                <m:ctrlPr>
                  <w:rPr>
                    <w:rFonts w:ascii="Cambria Math" w:hAnsi="Cambria Math" w:cs="Arial"/>
                    <w:i/>
                  </w:rPr>
                </m:ctrlPr>
              </m:accPr>
              <m:e>
                <m:r>
                  <w:rPr>
                    <w:rFonts w:ascii="Cambria Math" w:hAnsi="Cambria Math" w:cs="Arial"/>
                    <w:sz w:val="20"/>
                    <w:szCs w:val="20"/>
                  </w:rPr>
                  <m:t>γ</m:t>
                </m:r>
              </m:e>
            </m:acc>
          </m:e>
          <m:sub>
            <m:r>
              <w:rPr>
                <w:rFonts w:ascii="Cambria Math" w:hAnsi="Cambria Math" w:cs="Arial"/>
                <w:sz w:val="20"/>
                <w:szCs w:val="20"/>
              </w:rPr>
              <m:t>1</m:t>
            </m:r>
          </m:sub>
        </m:sSub>
        <m:r>
          <w:rPr>
            <w:rFonts w:ascii="Cambria Math" w:hAnsi="Cambria Math" w:cs="Arial"/>
            <w:sz w:val="20"/>
            <w:szCs w:val="20"/>
          </w:rPr>
          <m:t>=</m:t>
        </m:r>
        <m:sSub>
          <m:sSubPr>
            <m:ctrlPr>
              <w:rPr>
                <w:rFonts w:ascii="Cambria Math" w:hAnsi="Cambria Math" w:cs="Arial"/>
                <w:i/>
              </w:rPr>
            </m:ctrlPr>
          </m:sSubPr>
          <m:e>
            <m:acc>
              <m:accPr>
                <m:ctrlPr>
                  <w:rPr>
                    <w:rFonts w:ascii="Cambria Math" w:hAnsi="Cambria Math" w:cs="Arial"/>
                    <w:i/>
                  </w:rPr>
                </m:ctrlPr>
              </m:accPr>
              <m:e>
                <m:r>
                  <w:rPr>
                    <w:rFonts w:ascii="Cambria Math" w:hAnsi="Cambria Math" w:cs="Arial"/>
                    <w:sz w:val="20"/>
                    <w:szCs w:val="20"/>
                  </w:rPr>
                  <m:t>γ</m:t>
                </m:r>
              </m:e>
            </m:acc>
          </m:e>
          <m:sub>
            <m:r>
              <w:rPr>
                <w:rFonts w:ascii="Cambria Math" w:hAnsi="Cambria Math" w:cs="Arial"/>
                <w:sz w:val="20"/>
                <w:szCs w:val="20"/>
              </w:rPr>
              <m:t>2</m:t>
            </m:r>
          </m:sub>
        </m:sSub>
        <m:r>
          <w:rPr>
            <w:rFonts w:ascii="Cambria Math" w:hAnsi="Cambria Math" w:cs="Arial"/>
            <w:sz w:val="20"/>
            <w:szCs w:val="20"/>
          </w:rPr>
          <m:t>=0</m:t>
        </m:r>
      </m:oMath>
      <w:r>
        <w:rPr>
          <w:rFonts w:ascii="Arial" w:hAnsi="Arial" w:cs="Arial"/>
          <w:sz w:val="20"/>
          <w:szCs w:val="20"/>
        </w:rPr>
        <w:t xml:space="preserve">. If joint null hypothesis is rejected, then regression errors are assumed heteroskedastic. </w:t>
      </w:r>
    </w:p>
    <w:p w14:paraId="59909EFB" w14:textId="77777777" w:rsidR="00F41E4D" w:rsidRDefault="00F41E4D" w:rsidP="002F2E27">
      <w:pPr>
        <w:pStyle w:val="FootnoteText"/>
      </w:pPr>
    </w:p>
  </w:footnote>
  <w:footnote w:id="107">
    <w:p w14:paraId="295389E4" w14:textId="77777777" w:rsidR="00F41E4D" w:rsidRPr="00133D66" w:rsidRDefault="00F41E4D" w:rsidP="00133D66">
      <w:pPr>
        <w:spacing w:after="0" w:line="240" w:lineRule="auto"/>
        <w:jc w:val="both"/>
        <w:rPr>
          <w:rFonts w:ascii="Arial" w:hAnsi="Arial" w:cs="Arial"/>
          <w:i/>
          <w:iCs/>
          <w:sz w:val="20"/>
          <w:szCs w:val="20"/>
        </w:rPr>
      </w:pPr>
      <w:r>
        <w:rPr>
          <w:rStyle w:val="FootnoteReference"/>
        </w:rPr>
        <w:footnoteRef/>
      </w:r>
      <w:r w:rsidRPr="00133D66">
        <w:rPr>
          <w:i/>
          <w:iCs/>
          <w:sz w:val="20"/>
          <w:szCs w:val="20"/>
        </w:rPr>
        <w:t xml:space="preserve"> </w:t>
      </w:r>
      <w:r w:rsidRPr="00133D66">
        <w:rPr>
          <w:rFonts w:ascii="Arial" w:hAnsi="Arial" w:cs="Arial"/>
          <w:i/>
          <w:iCs/>
          <w:sz w:val="20"/>
          <w:szCs w:val="20"/>
        </w:rPr>
        <w:t>The PP test is a modification of the ADF test, where it includes the deterministic time trend term which accounts for a potential linear trend in the dataset. Here the null hypothesis states that the series has unit root, while the alternative statistic states the absence of unit root.</w:t>
      </w:r>
    </w:p>
    <w:p w14:paraId="14BC565F" w14:textId="04DDB07F" w:rsidR="00F41E4D" w:rsidRDefault="00F41E4D">
      <w:pPr>
        <w:pStyle w:val="FootnoteText"/>
      </w:pPr>
    </w:p>
  </w:footnote>
  <w:footnote w:id="108">
    <w:p w14:paraId="55559893" w14:textId="77777777" w:rsidR="00DE4F7B" w:rsidRPr="002D2F6A" w:rsidRDefault="00DE4F7B" w:rsidP="00DE4F7B">
      <w:pPr>
        <w:spacing w:after="0" w:line="240" w:lineRule="auto"/>
        <w:jc w:val="both"/>
        <w:rPr>
          <w:rFonts w:ascii="Arial" w:eastAsiaTheme="minorEastAsia" w:hAnsi="Arial" w:cs="Arial"/>
          <w:sz w:val="20"/>
          <w:szCs w:val="20"/>
        </w:rPr>
      </w:pPr>
      <w:r w:rsidRPr="002D2F6A">
        <w:rPr>
          <w:rStyle w:val="FootnoteReference"/>
          <w:rFonts w:ascii="Arial" w:hAnsi="Arial" w:cs="Arial"/>
          <w:sz w:val="20"/>
          <w:szCs w:val="20"/>
        </w:rPr>
        <w:footnoteRef/>
      </w:r>
      <w:r w:rsidRPr="002D2F6A">
        <w:rPr>
          <w:rFonts w:ascii="Arial" w:hAnsi="Arial" w:cs="Arial"/>
          <w:sz w:val="20"/>
          <w:szCs w:val="20"/>
        </w:rPr>
        <w:t xml:space="preserve"> From the equation</w:t>
      </w:r>
      <w:r>
        <w:rPr>
          <w:rFonts w:ascii="Arial" w:hAnsi="Arial" w:cs="Arial"/>
          <w:sz w:val="20"/>
          <w:szCs w:val="20"/>
        </w:rPr>
        <w:t xml:space="preserve"> below</w:t>
      </w:r>
      <w:r w:rsidRPr="002D2F6A">
        <w:rPr>
          <w:rFonts w:ascii="Arial" w:hAnsi="Arial" w:cs="Arial"/>
          <w:sz w:val="20"/>
          <w:szCs w:val="20"/>
        </w:rPr>
        <w:t>, both the long-run and short-run equation of the model are as seen below</w:t>
      </w:r>
      <w:r>
        <w:rPr>
          <w:rFonts w:ascii="Arial" w:eastAsiaTheme="minorEastAsia" w:hAnsi="Arial" w:cs="Arial"/>
          <w:sz w:val="20"/>
          <w:szCs w:val="20"/>
        </w:rPr>
        <w:t>:</w:t>
      </w:r>
    </w:p>
    <w:p w14:paraId="4FCB1259" w14:textId="77777777" w:rsidR="00DE4F7B" w:rsidRPr="002D2F6A" w:rsidRDefault="00DE4F7B" w:rsidP="00DE4F7B">
      <w:pPr>
        <w:spacing w:after="0" w:line="240" w:lineRule="auto"/>
        <w:jc w:val="both"/>
        <w:rPr>
          <w:rFonts w:ascii="Arial" w:hAnsi="Arial" w:cs="Arial"/>
          <w:b/>
          <w:bCs/>
          <w:sz w:val="18"/>
          <w:szCs w:val="18"/>
        </w:rPr>
      </w:pPr>
      <w:r w:rsidRPr="002D2F6A">
        <w:rPr>
          <w:rFonts w:ascii="Arial" w:hAnsi="Arial" w:cs="Arial"/>
          <w:b/>
          <w:bCs/>
          <w:sz w:val="18"/>
          <w:szCs w:val="18"/>
        </w:rPr>
        <w:t>Long-Run Equation</w:t>
      </w:r>
    </w:p>
    <w:p w14:paraId="3C8BC88F" w14:textId="77777777" w:rsidR="00DE4F7B" w:rsidRPr="002D2F6A" w:rsidRDefault="00000000" w:rsidP="00DE4F7B">
      <w:pPr>
        <w:spacing w:after="0" w:line="240" w:lineRule="auto"/>
        <w:jc w:val="both"/>
        <w:rPr>
          <w:rFonts w:ascii="Arial" w:hAnsi="Arial" w:cs="Arial"/>
          <w:sz w:val="18"/>
          <w:szCs w:val="18"/>
        </w:rPr>
      </w:pPr>
      <m:oMath>
        <m:sSub>
          <m:sSubPr>
            <m:ctrlPr>
              <w:rPr>
                <w:rFonts w:ascii="Cambria Math" w:hAnsi="Cambria Math" w:cs="Arial"/>
                <w:i/>
                <w:sz w:val="18"/>
                <w:szCs w:val="18"/>
              </w:rPr>
            </m:ctrlPr>
          </m:sSubPr>
          <m:e>
            <m:r>
              <w:rPr>
                <w:rFonts w:ascii="Cambria Math" w:hAnsi="Cambria Math" w:cs="Arial"/>
                <w:sz w:val="18"/>
                <w:szCs w:val="18"/>
              </w:rPr>
              <m:t>LnTB</m:t>
            </m:r>
          </m:e>
          <m:sub>
            <m:r>
              <w:rPr>
                <w:rFonts w:ascii="Cambria Math" w:hAnsi="Cambria Math" w:cs="Arial"/>
                <w:sz w:val="18"/>
                <w:szCs w:val="18"/>
              </w:rPr>
              <m:t>t</m:t>
            </m:r>
          </m:sub>
        </m:sSub>
        <m:r>
          <w:rPr>
            <w:rFonts w:ascii="Cambria Math" w:hAnsi="Cambria Math" w:cs="Arial"/>
            <w:sz w:val="18"/>
            <w:szCs w:val="18"/>
          </w:rPr>
          <m:t>=</m:t>
        </m:r>
        <m:sSub>
          <m:sSubPr>
            <m:ctrlPr>
              <w:rPr>
                <w:rFonts w:ascii="Cambria Math" w:hAnsi="Cambria Math" w:cs="Arial"/>
                <w:i/>
                <w:sz w:val="18"/>
                <w:szCs w:val="18"/>
              </w:rPr>
            </m:ctrlPr>
          </m:sSubPr>
          <m:e>
            <m:r>
              <w:rPr>
                <w:rFonts w:ascii="Cambria Math" w:hAnsi="Cambria Math" w:cs="Arial"/>
                <w:sz w:val="18"/>
                <w:szCs w:val="18"/>
              </w:rPr>
              <m:t>α</m:t>
            </m:r>
          </m:e>
          <m:sub>
            <m:r>
              <w:rPr>
                <w:rFonts w:ascii="Cambria Math" w:hAnsi="Cambria Math" w:cs="Arial"/>
                <w:sz w:val="18"/>
                <w:szCs w:val="18"/>
              </w:rPr>
              <m:t>0</m:t>
            </m:r>
          </m:sub>
        </m:sSub>
        <m:r>
          <w:rPr>
            <w:rFonts w:ascii="Cambria Math" w:hAnsi="Cambria Math" w:cs="Arial"/>
            <w:sz w:val="18"/>
            <w:szCs w:val="18"/>
          </w:rPr>
          <m:t>+</m:t>
        </m:r>
        <m:r>
          <m:rPr>
            <m:sty m:val="p"/>
          </m:rPr>
          <w:rPr>
            <w:rFonts w:ascii="Cambria Math" w:hAnsi="Cambria Math" w:cs="Arial"/>
            <w:sz w:val="18"/>
            <w:szCs w:val="18"/>
          </w:rPr>
          <m:t>+</m:t>
        </m:r>
        <m:sSub>
          <m:sSubPr>
            <m:ctrlPr>
              <w:rPr>
                <w:rFonts w:ascii="Cambria Math" w:hAnsi="Cambria Math" w:cs="Arial"/>
                <w:sz w:val="18"/>
                <w:szCs w:val="18"/>
              </w:rPr>
            </m:ctrlPr>
          </m:sSubPr>
          <m:e>
            <m:sSub>
              <m:sSubPr>
                <m:ctrlPr>
                  <w:rPr>
                    <w:rFonts w:ascii="Cambria Math" w:hAnsi="Cambria Math" w:cs="Arial"/>
                    <w:sz w:val="18"/>
                    <w:szCs w:val="18"/>
                  </w:rPr>
                </m:ctrlPr>
              </m:sSubPr>
              <m:e>
                <m:r>
                  <w:rPr>
                    <w:rFonts w:ascii="Cambria Math" w:hAnsi="Cambria Math" w:cs="Arial"/>
                    <w:sz w:val="18"/>
                    <w:szCs w:val="18"/>
                  </w:rPr>
                  <m:t>β</m:t>
                </m:r>
              </m:e>
              <m:sub>
                <m:r>
                  <m:rPr>
                    <m:sty m:val="p"/>
                  </m:rPr>
                  <w:rPr>
                    <w:rFonts w:ascii="Cambria Math" w:hAnsi="Cambria Math" w:cs="Arial"/>
                    <w:sz w:val="18"/>
                    <w:szCs w:val="18"/>
                    <w:vertAlign w:val="subscript"/>
                  </w:rPr>
                  <m:t>4</m:t>
                </m:r>
              </m:sub>
            </m:sSub>
            <m:r>
              <w:rPr>
                <w:rFonts w:ascii="Cambria Math" w:hAnsi="Cambria Math" w:cs="Arial"/>
                <w:sz w:val="18"/>
                <w:szCs w:val="18"/>
              </w:rPr>
              <m:t>LnTB</m:t>
            </m:r>
          </m:e>
          <m:sub>
            <m:r>
              <w:rPr>
                <w:rFonts w:ascii="Cambria Math" w:hAnsi="Cambria Math" w:cs="Arial"/>
                <w:sz w:val="18"/>
                <w:szCs w:val="18"/>
                <w:vertAlign w:val="subscript"/>
              </w:rPr>
              <m:t>t</m:t>
            </m:r>
            <m:r>
              <m:rPr>
                <m:sty m:val="p"/>
              </m:rPr>
              <w:rPr>
                <w:rFonts w:ascii="Cambria Math" w:hAnsi="Cambria Math" w:cs="Arial"/>
                <w:sz w:val="18"/>
                <w:szCs w:val="18"/>
                <w:vertAlign w:val="subscript"/>
              </w:rPr>
              <m:t>-</m:t>
            </m:r>
            <m:r>
              <w:rPr>
                <w:rFonts w:ascii="Cambria Math" w:hAnsi="Cambria Math" w:cs="Arial"/>
                <w:sz w:val="18"/>
                <w:szCs w:val="18"/>
                <w:vertAlign w:val="subscript"/>
              </w:rPr>
              <m:t>i</m:t>
            </m:r>
          </m:sub>
        </m:sSub>
        <m:r>
          <m:rPr>
            <m:sty m:val="p"/>
          </m:rPr>
          <w:rPr>
            <w:rFonts w:ascii="Cambria Math" w:hAnsi="Cambria Math" w:cs="Arial"/>
            <w:sz w:val="18"/>
            <w:szCs w:val="18"/>
          </w:rPr>
          <m:t xml:space="preserve">+ </m:t>
        </m:r>
        <m:sSub>
          <m:sSubPr>
            <m:ctrlPr>
              <w:rPr>
                <w:rFonts w:ascii="Cambria Math" w:hAnsi="Cambria Math" w:cs="Arial"/>
                <w:sz w:val="18"/>
                <w:szCs w:val="18"/>
              </w:rPr>
            </m:ctrlPr>
          </m:sSubPr>
          <m:e>
            <m:sSub>
              <m:sSubPr>
                <m:ctrlPr>
                  <w:rPr>
                    <w:rFonts w:ascii="Cambria Math" w:hAnsi="Cambria Math" w:cs="Arial"/>
                    <w:sz w:val="18"/>
                    <w:szCs w:val="18"/>
                  </w:rPr>
                </m:ctrlPr>
              </m:sSubPr>
              <m:e>
                <m:r>
                  <w:rPr>
                    <w:rFonts w:ascii="Cambria Math" w:hAnsi="Cambria Math" w:cs="Arial"/>
                    <w:sz w:val="18"/>
                    <w:szCs w:val="18"/>
                  </w:rPr>
                  <m:t>β</m:t>
                </m:r>
              </m:e>
              <m:sub>
                <m:r>
                  <m:rPr>
                    <m:sty m:val="p"/>
                  </m:rPr>
                  <w:rPr>
                    <w:rFonts w:ascii="Cambria Math" w:hAnsi="Cambria Math" w:cs="Arial"/>
                    <w:sz w:val="18"/>
                    <w:szCs w:val="18"/>
                    <w:vertAlign w:val="subscript"/>
                  </w:rPr>
                  <m:t>5</m:t>
                </m:r>
              </m:sub>
            </m:sSub>
            <m:r>
              <w:rPr>
                <w:rFonts w:ascii="Cambria Math" w:hAnsi="Cambria Math" w:cs="Arial"/>
                <w:sz w:val="18"/>
                <w:szCs w:val="18"/>
              </w:rPr>
              <m:t>LnREER</m:t>
            </m:r>
          </m:e>
          <m:sub>
            <m:r>
              <w:rPr>
                <w:rFonts w:ascii="Cambria Math" w:hAnsi="Cambria Math" w:cs="Arial"/>
                <w:sz w:val="18"/>
                <w:szCs w:val="18"/>
                <w:vertAlign w:val="subscript"/>
              </w:rPr>
              <m:t>t</m:t>
            </m:r>
            <m:r>
              <m:rPr>
                <m:sty m:val="p"/>
              </m:rPr>
              <w:rPr>
                <w:rFonts w:ascii="Cambria Math" w:hAnsi="Cambria Math" w:cs="Arial"/>
                <w:sz w:val="18"/>
                <w:szCs w:val="18"/>
                <w:vertAlign w:val="subscript"/>
              </w:rPr>
              <m:t>-</m:t>
            </m:r>
            <m:r>
              <w:rPr>
                <w:rFonts w:ascii="Cambria Math" w:hAnsi="Cambria Math" w:cs="Arial"/>
                <w:sz w:val="18"/>
                <w:szCs w:val="18"/>
                <w:vertAlign w:val="subscript"/>
              </w:rPr>
              <m:t>i</m:t>
            </m:r>
          </m:sub>
        </m:sSub>
        <m:r>
          <m:rPr>
            <m:sty m:val="p"/>
          </m:rPr>
          <w:rPr>
            <w:rFonts w:ascii="Cambria Math" w:hAnsi="Cambria Math" w:cs="Arial"/>
            <w:sz w:val="18"/>
            <w:szCs w:val="18"/>
          </w:rPr>
          <m:t xml:space="preserve">+ </m:t>
        </m:r>
        <m:sSub>
          <m:sSubPr>
            <m:ctrlPr>
              <w:rPr>
                <w:rFonts w:ascii="Cambria Math" w:hAnsi="Cambria Math" w:cs="Arial"/>
                <w:sz w:val="18"/>
                <w:szCs w:val="18"/>
              </w:rPr>
            </m:ctrlPr>
          </m:sSubPr>
          <m:e>
            <m:sSub>
              <m:sSubPr>
                <m:ctrlPr>
                  <w:rPr>
                    <w:rFonts w:ascii="Cambria Math" w:hAnsi="Cambria Math" w:cs="Arial"/>
                    <w:sz w:val="18"/>
                    <w:szCs w:val="18"/>
                  </w:rPr>
                </m:ctrlPr>
              </m:sSubPr>
              <m:e>
                <m:r>
                  <w:rPr>
                    <w:rFonts w:ascii="Cambria Math" w:hAnsi="Cambria Math" w:cs="Arial"/>
                    <w:sz w:val="18"/>
                    <w:szCs w:val="18"/>
                  </w:rPr>
                  <m:t>β</m:t>
                </m:r>
              </m:e>
              <m:sub>
                <m:r>
                  <m:rPr>
                    <m:sty m:val="p"/>
                  </m:rPr>
                  <w:rPr>
                    <w:rFonts w:ascii="Cambria Math" w:hAnsi="Cambria Math" w:cs="Arial"/>
                    <w:sz w:val="18"/>
                    <w:szCs w:val="18"/>
                    <w:vertAlign w:val="subscript"/>
                  </w:rPr>
                  <m:t>6</m:t>
                </m:r>
              </m:sub>
            </m:sSub>
            <m:r>
              <w:rPr>
                <w:rFonts w:ascii="Cambria Math" w:hAnsi="Cambria Math" w:cs="Arial"/>
                <w:sz w:val="18"/>
                <w:szCs w:val="18"/>
              </w:rPr>
              <m:t>LnDI</m:t>
            </m:r>
          </m:e>
          <m:sub>
            <m:r>
              <w:rPr>
                <w:rFonts w:ascii="Cambria Math" w:hAnsi="Cambria Math" w:cs="Arial"/>
                <w:sz w:val="18"/>
                <w:szCs w:val="18"/>
                <w:vertAlign w:val="subscript"/>
              </w:rPr>
              <m:t>t</m:t>
            </m:r>
            <m:r>
              <m:rPr>
                <m:sty m:val="p"/>
              </m:rPr>
              <w:rPr>
                <w:rFonts w:ascii="Cambria Math" w:hAnsi="Cambria Math" w:cs="Arial"/>
                <w:sz w:val="18"/>
                <w:szCs w:val="18"/>
                <w:vertAlign w:val="subscript"/>
              </w:rPr>
              <m:t>-</m:t>
            </m:r>
            <m:r>
              <w:rPr>
                <w:rFonts w:ascii="Cambria Math" w:hAnsi="Cambria Math" w:cs="Arial"/>
                <w:sz w:val="18"/>
                <w:szCs w:val="18"/>
                <w:vertAlign w:val="subscript"/>
              </w:rPr>
              <m:t>i</m:t>
            </m:r>
          </m:sub>
        </m:sSub>
        <m:r>
          <m:rPr>
            <m:sty m:val="p"/>
          </m:rPr>
          <w:rPr>
            <w:rFonts w:ascii="Cambria Math" w:hAnsi="Cambria Math" w:cs="Arial"/>
            <w:sz w:val="18"/>
            <w:szCs w:val="18"/>
          </w:rPr>
          <m:t xml:space="preserve">+ </m:t>
        </m:r>
        <m:sSub>
          <m:sSubPr>
            <m:ctrlPr>
              <w:rPr>
                <w:rFonts w:ascii="Cambria Math" w:hAnsi="Cambria Math" w:cs="Arial"/>
                <w:sz w:val="18"/>
                <w:szCs w:val="18"/>
              </w:rPr>
            </m:ctrlPr>
          </m:sSubPr>
          <m:e>
            <m:sSub>
              <m:sSubPr>
                <m:ctrlPr>
                  <w:rPr>
                    <w:rFonts w:ascii="Cambria Math" w:hAnsi="Cambria Math" w:cs="Arial"/>
                    <w:sz w:val="18"/>
                    <w:szCs w:val="18"/>
                  </w:rPr>
                </m:ctrlPr>
              </m:sSubPr>
              <m:e>
                <m:r>
                  <w:rPr>
                    <w:rFonts w:ascii="Cambria Math" w:hAnsi="Cambria Math" w:cs="Arial"/>
                    <w:sz w:val="18"/>
                    <w:szCs w:val="18"/>
                  </w:rPr>
                  <m:t>β</m:t>
                </m:r>
              </m:e>
              <m:sub>
                <m:r>
                  <m:rPr>
                    <m:sty m:val="p"/>
                  </m:rPr>
                  <w:rPr>
                    <w:rFonts w:ascii="Cambria Math" w:hAnsi="Cambria Math" w:cs="Arial"/>
                    <w:sz w:val="18"/>
                    <w:szCs w:val="18"/>
                    <w:vertAlign w:val="subscript"/>
                  </w:rPr>
                  <m:t>7</m:t>
                </m:r>
              </m:sub>
            </m:sSub>
            <m:r>
              <w:rPr>
                <w:rFonts w:ascii="Cambria Math" w:hAnsi="Cambria Math" w:cs="Arial"/>
                <w:sz w:val="18"/>
                <w:szCs w:val="18"/>
              </w:rPr>
              <m:t>LnFI</m:t>
            </m:r>
          </m:e>
          <m:sub>
            <m:r>
              <w:rPr>
                <w:rFonts w:ascii="Cambria Math" w:hAnsi="Cambria Math" w:cs="Arial"/>
                <w:sz w:val="18"/>
                <w:szCs w:val="18"/>
                <w:vertAlign w:val="subscript"/>
              </w:rPr>
              <m:t>t</m:t>
            </m:r>
            <m:r>
              <m:rPr>
                <m:sty m:val="p"/>
              </m:rPr>
              <w:rPr>
                <w:rFonts w:ascii="Cambria Math" w:hAnsi="Cambria Math" w:cs="Arial"/>
                <w:sz w:val="18"/>
                <w:szCs w:val="18"/>
                <w:vertAlign w:val="subscript"/>
              </w:rPr>
              <m:t>-</m:t>
            </m:r>
            <m:r>
              <w:rPr>
                <w:rFonts w:ascii="Cambria Math" w:hAnsi="Cambria Math" w:cs="Arial"/>
                <w:sz w:val="18"/>
                <w:szCs w:val="18"/>
                <w:vertAlign w:val="subscript"/>
              </w:rPr>
              <m:t>i</m:t>
            </m:r>
          </m:sub>
        </m:sSub>
        <m:r>
          <w:rPr>
            <w:rFonts w:ascii="Cambria Math" w:eastAsiaTheme="minorEastAsia" w:hAnsi="Cambria Math" w:cs="Arial"/>
            <w:sz w:val="18"/>
            <w:szCs w:val="18"/>
          </w:rPr>
          <m:t>+</m:t>
        </m:r>
        <m:sSub>
          <m:sSubPr>
            <m:ctrlPr>
              <w:rPr>
                <w:rFonts w:ascii="Cambria Math" w:eastAsiaTheme="minorEastAsia" w:hAnsi="Cambria Math" w:cs="Arial"/>
                <w:i/>
                <w:sz w:val="18"/>
                <w:szCs w:val="18"/>
              </w:rPr>
            </m:ctrlPr>
          </m:sSubPr>
          <m:e>
            <m:r>
              <w:rPr>
                <w:rFonts w:ascii="Cambria Math" w:eastAsia="Segoe UI Symbol" w:hAnsi="Cambria Math" w:cs="Arial"/>
                <w:sz w:val="18"/>
                <w:szCs w:val="18"/>
              </w:rPr>
              <m:t>ε</m:t>
            </m:r>
          </m:e>
          <m:sub>
            <m:r>
              <w:rPr>
                <w:rFonts w:ascii="Cambria Math" w:eastAsiaTheme="minorEastAsia" w:hAnsi="Cambria Math" w:cs="Arial"/>
                <w:sz w:val="18"/>
                <w:szCs w:val="18"/>
              </w:rPr>
              <m:t>t</m:t>
            </m:r>
          </m:sub>
        </m:sSub>
      </m:oMath>
      <w:r w:rsidR="00DE4F7B" w:rsidRPr="002D2F6A">
        <w:rPr>
          <w:rFonts w:ascii="Arial" w:eastAsiaTheme="minorEastAsia" w:hAnsi="Arial" w:cs="Arial"/>
          <w:sz w:val="18"/>
          <w:szCs w:val="18"/>
        </w:rPr>
        <w:t xml:space="preserve">        </w:t>
      </w:r>
      <w:r w:rsidR="00DE4F7B" w:rsidRPr="002D2F6A">
        <w:rPr>
          <w:rFonts w:ascii="Arial" w:eastAsiaTheme="minorEastAsia" w:hAnsi="Arial" w:cs="Arial"/>
          <w:sz w:val="18"/>
          <w:szCs w:val="18"/>
        </w:rPr>
        <w:tab/>
        <w:t xml:space="preserve"> </w:t>
      </w:r>
    </w:p>
    <w:p w14:paraId="5999E2D3" w14:textId="77777777" w:rsidR="00DE4F7B" w:rsidRPr="002D2F6A" w:rsidRDefault="00DE4F7B" w:rsidP="00DE4F7B">
      <w:pPr>
        <w:spacing w:after="0" w:line="240" w:lineRule="auto"/>
        <w:jc w:val="both"/>
        <w:rPr>
          <w:rFonts w:ascii="Arial" w:hAnsi="Arial" w:cs="Arial"/>
          <w:b/>
          <w:bCs/>
          <w:sz w:val="18"/>
          <w:szCs w:val="18"/>
        </w:rPr>
      </w:pPr>
      <w:r w:rsidRPr="002D2F6A">
        <w:rPr>
          <w:rFonts w:ascii="Arial" w:hAnsi="Arial" w:cs="Arial"/>
          <w:b/>
          <w:bCs/>
          <w:sz w:val="18"/>
          <w:szCs w:val="18"/>
        </w:rPr>
        <w:t>Short-Run Equation</w:t>
      </w:r>
    </w:p>
    <w:p w14:paraId="7F9FA06D" w14:textId="77777777" w:rsidR="00DE4F7B" w:rsidRPr="002D2F6A" w:rsidRDefault="00000000" w:rsidP="00DE4F7B">
      <w:pPr>
        <w:pStyle w:val="FootnoteText"/>
        <w:rPr>
          <w:rFonts w:ascii="Arial" w:hAnsi="Arial" w:cs="Arial"/>
          <w:sz w:val="18"/>
          <w:szCs w:val="18"/>
        </w:rPr>
      </w:pPr>
      <m:oMath>
        <m:sSub>
          <m:sSubPr>
            <m:ctrlPr>
              <w:rPr>
                <w:rFonts w:ascii="Cambria Math" w:hAnsi="Cambria Math" w:cs="Arial"/>
                <w:i/>
                <w:sz w:val="18"/>
                <w:szCs w:val="18"/>
              </w:rPr>
            </m:ctrlPr>
          </m:sSubPr>
          <m:e>
            <m:r>
              <w:rPr>
                <w:rFonts w:ascii="Cambria Math" w:hAnsi="Cambria Math" w:cs="Arial"/>
                <w:sz w:val="18"/>
                <w:szCs w:val="18"/>
              </w:rPr>
              <m:t>ΔLnTB</m:t>
            </m:r>
          </m:e>
          <m:sub>
            <m:r>
              <w:rPr>
                <w:rFonts w:ascii="Cambria Math" w:hAnsi="Cambria Math" w:cs="Arial"/>
                <w:sz w:val="18"/>
                <w:szCs w:val="18"/>
              </w:rPr>
              <m:t>t</m:t>
            </m:r>
          </m:sub>
        </m:sSub>
        <m:r>
          <w:rPr>
            <w:rFonts w:ascii="Cambria Math" w:hAnsi="Cambria Math" w:cs="Arial"/>
            <w:sz w:val="18"/>
            <w:szCs w:val="18"/>
          </w:rPr>
          <m:t>=</m:t>
        </m:r>
        <m:sSub>
          <m:sSubPr>
            <m:ctrlPr>
              <w:rPr>
                <w:rFonts w:ascii="Cambria Math" w:hAnsi="Cambria Math" w:cs="Arial"/>
                <w:i/>
                <w:sz w:val="18"/>
                <w:szCs w:val="18"/>
              </w:rPr>
            </m:ctrlPr>
          </m:sSubPr>
          <m:e>
            <m:r>
              <w:rPr>
                <w:rFonts w:ascii="Cambria Math" w:hAnsi="Cambria Math" w:cs="Arial"/>
                <w:sz w:val="18"/>
                <w:szCs w:val="18"/>
              </w:rPr>
              <m:t>α</m:t>
            </m:r>
          </m:e>
          <m:sub>
            <m:r>
              <w:rPr>
                <w:rFonts w:ascii="Cambria Math" w:hAnsi="Cambria Math" w:cs="Arial"/>
                <w:sz w:val="18"/>
                <w:szCs w:val="18"/>
              </w:rPr>
              <m:t>0</m:t>
            </m:r>
          </m:sub>
        </m:sSub>
        <m:r>
          <w:rPr>
            <w:rFonts w:ascii="Cambria Math" w:hAnsi="Cambria Math" w:cs="Arial"/>
            <w:sz w:val="18"/>
            <w:szCs w:val="18"/>
          </w:rPr>
          <m:t>+</m:t>
        </m:r>
        <m:nary>
          <m:naryPr>
            <m:chr m:val="∑"/>
            <m:limLoc m:val="undOvr"/>
            <m:ctrlPr>
              <w:rPr>
                <w:rFonts w:ascii="Cambria Math" w:hAnsi="Cambria Math" w:cs="Arial"/>
                <w:sz w:val="18"/>
                <w:szCs w:val="18"/>
              </w:rPr>
            </m:ctrlPr>
          </m:naryPr>
          <m:sub>
            <m:r>
              <w:rPr>
                <w:rFonts w:ascii="Cambria Math" w:hAnsi="Cambria Math" w:cs="Arial"/>
                <w:sz w:val="18"/>
                <w:szCs w:val="18"/>
              </w:rPr>
              <m:t>i</m:t>
            </m:r>
            <m:r>
              <m:rPr>
                <m:sty m:val="p"/>
              </m:rPr>
              <w:rPr>
                <w:rFonts w:ascii="Cambria Math" w:hAnsi="Cambria Math" w:cs="Arial"/>
                <w:sz w:val="18"/>
                <w:szCs w:val="18"/>
              </w:rPr>
              <m:t>=1</m:t>
            </m:r>
          </m:sub>
          <m:sup>
            <m:r>
              <w:rPr>
                <w:rFonts w:ascii="Cambria Math" w:hAnsi="Cambria Math" w:cs="Arial"/>
                <w:sz w:val="18"/>
                <w:szCs w:val="18"/>
              </w:rPr>
              <m:t>m</m:t>
            </m:r>
          </m:sup>
          <m:e>
            <m:sSub>
              <m:sSubPr>
                <m:ctrlPr>
                  <w:rPr>
                    <w:rFonts w:ascii="Cambria Math" w:hAnsi="Cambria Math" w:cs="Arial"/>
                    <w:sz w:val="18"/>
                    <w:szCs w:val="18"/>
                  </w:rPr>
                </m:ctrlPr>
              </m:sSubPr>
              <m:e>
                <m:sSub>
                  <m:sSubPr>
                    <m:ctrlPr>
                      <w:rPr>
                        <w:rFonts w:ascii="Cambria Math" w:hAnsi="Cambria Math" w:cs="Arial"/>
                        <w:sz w:val="18"/>
                        <w:szCs w:val="18"/>
                      </w:rPr>
                    </m:ctrlPr>
                  </m:sSubPr>
                  <m:e>
                    <m:r>
                      <w:rPr>
                        <w:rFonts w:ascii="Cambria Math" w:hAnsi="Cambria Math" w:cs="Arial"/>
                        <w:sz w:val="18"/>
                        <w:szCs w:val="18"/>
                      </w:rPr>
                      <m:t>β</m:t>
                    </m:r>
                  </m:e>
                  <m:sub>
                    <m:r>
                      <m:rPr>
                        <m:sty m:val="p"/>
                      </m:rPr>
                      <w:rPr>
                        <w:rFonts w:ascii="Cambria Math" w:hAnsi="Cambria Math" w:cs="Arial"/>
                        <w:sz w:val="18"/>
                        <w:szCs w:val="18"/>
                        <w:vertAlign w:val="subscript"/>
                      </w:rPr>
                      <m:t>0</m:t>
                    </m:r>
                  </m:sub>
                </m:sSub>
                <m:r>
                  <w:rPr>
                    <w:rFonts w:ascii="Cambria Math" w:hAnsi="Cambria Math" w:cs="Arial"/>
                    <w:sz w:val="18"/>
                    <w:szCs w:val="18"/>
                  </w:rPr>
                  <m:t>ΔLnTB</m:t>
                </m:r>
              </m:e>
              <m:sub>
                <m:r>
                  <w:rPr>
                    <w:rFonts w:ascii="Cambria Math" w:hAnsi="Cambria Math" w:cs="Arial"/>
                    <w:sz w:val="18"/>
                    <w:szCs w:val="18"/>
                    <w:vertAlign w:val="subscript"/>
                  </w:rPr>
                  <m:t>t</m:t>
                </m:r>
                <m:r>
                  <m:rPr>
                    <m:sty m:val="p"/>
                  </m:rPr>
                  <w:rPr>
                    <w:rFonts w:ascii="Cambria Math" w:hAnsi="Cambria Math" w:cs="Arial"/>
                    <w:sz w:val="18"/>
                    <w:szCs w:val="18"/>
                    <w:vertAlign w:val="subscript"/>
                  </w:rPr>
                  <m:t>-</m:t>
                </m:r>
                <m:r>
                  <w:rPr>
                    <w:rFonts w:ascii="Cambria Math" w:hAnsi="Cambria Math" w:cs="Arial"/>
                    <w:sz w:val="18"/>
                    <w:szCs w:val="18"/>
                    <w:vertAlign w:val="subscript"/>
                  </w:rPr>
                  <m:t>i</m:t>
                </m:r>
              </m:sub>
            </m:sSub>
          </m:e>
        </m:nary>
        <m:r>
          <m:rPr>
            <m:sty m:val="p"/>
          </m:rPr>
          <w:rPr>
            <w:rFonts w:ascii="Cambria Math" w:hAnsi="Cambria Math" w:cs="Arial"/>
            <w:sz w:val="18"/>
            <w:szCs w:val="18"/>
          </w:rPr>
          <m:t xml:space="preserve">+ </m:t>
        </m:r>
        <m:nary>
          <m:naryPr>
            <m:chr m:val="∑"/>
            <m:limLoc m:val="undOvr"/>
            <m:ctrlPr>
              <w:rPr>
                <w:rFonts w:ascii="Cambria Math" w:hAnsi="Cambria Math" w:cs="Arial"/>
                <w:sz w:val="18"/>
                <w:szCs w:val="18"/>
              </w:rPr>
            </m:ctrlPr>
          </m:naryPr>
          <m:sub>
            <m:r>
              <w:rPr>
                <w:rFonts w:ascii="Cambria Math" w:hAnsi="Cambria Math" w:cs="Arial"/>
                <w:sz w:val="18"/>
                <w:szCs w:val="18"/>
              </w:rPr>
              <m:t>i</m:t>
            </m:r>
            <m:r>
              <m:rPr>
                <m:sty m:val="p"/>
              </m:rPr>
              <w:rPr>
                <w:rFonts w:ascii="Cambria Math" w:hAnsi="Cambria Math" w:cs="Arial"/>
                <w:sz w:val="18"/>
                <w:szCs w:val="18"/>
              </w:rPr>
              <m:t>=0</m:t>
            </m:r>
          </m:sub>
          <m:sup>
            <m:r>
              <w:rPr>
                <w:rFonts w:ascii="Cambria Math" w:hAnsi="Cambria Math" w:cs="Arial"/>
                <w:sz w:val="18"/>
                <w:szCs w:val="18"/>
              </w:rPr>
              <m:t>m</m:t>
            </m:r>
          </m:sup>
          <m:e>
            <m:sSub>
              <m:sSubPr>
                <m:ctrlPr>
                  <w:rPr>
                    <w:rFonts w:ascii="Cambria Math" w:hAnsi="Cambria Math" w:cs="Arial"/>
                    <w:sz w:val="18"/>
                    <w:szCs w:val="18"/>
                  </w:rPr>
                </m:ctrlPr>
              </m:sSubPr>
              <m:e>
                <m:sSub>
                  <m:sSubPr>
                    <m:ctrlPr>
                      <w:rPr>
                        <w:rFonts w:ascii="Cambria Math" w:hAnsi="Cambria Math" w:cs="Arial"/>
                        <w:sz w:val="18"/>
                        <w:szCs w:val="18"/>
                      </w:rPr>
                    </m:ctrlPr>
                  </m:sSubPr>
                  <m:e>
                    <m:r>
                      <w:rPr>
                        <w:rFonts w:ascii="Cambria Math" w:hAnsi="Cambria Math" w:cs="Arial"/>
                        <w:sz w:val="18"/>
                        <w:szCs w:val="18"/>
                      </w:rPr>
                      <m:t>β</m:t>
                    </m:r>
                  </m:e>
                  <m:sub>
                    <m:r>
                      <m:rPr>
                        <m:sty m:val="p"/>
                      </m:rPr>
                      <w:rPr>
                        <w:rFonts w:ascii="Cambria Math" w:hAnsi="Cambria Math" w:cs="Arial"/>
                        <w:sz w:val="18"/>
                        <w:szCs w:val="18"/>
                        <w:vertAlign w:val="subscript"/>
                      </w:rPr>
                      <m:t>1</m:t>
                    </m:r>
                  </m:sub>
                </m:sSub>
                <m:r>
                  <w:rPr>
                    <w:rFonts w:ascii="Cambria Math" w:hAnsi="Cambria Math" w:cs="Arial"/>
                    <w:sz w:val="18"/>
                    <w:szCs w:val="18"/>
                  </w:rPr>
                  <m:t>ΔLnREER</m:t>
                </m:r>
              </m:e>
              <m:sub>
                <m:r>
                  <w:rPr>
                    <w:rFonts w:ascii="Cambria Math" w:hAnsi="Cambria Math" w:cs="Arial"/>
                    <w:sz w:val="18"/>
                    <w:szCs w:val="18"/>
                    <w:vertAlign w:val="subscript"/>
                  </w:rPr>
                  <m:t>t</m:t>
                </m:r>
                <m:r>
                  <m:rPr>
                    <m:sty m:val="p"/>
                  </m:rPr>
                  <w:rPr>
                    <w:rFonts w:ascii="Cambria Math" w:hAnsi="Cambria Math" w:cs="Arial"/>
                    <w:sz w:val="18"/>
                    <w:szCs w:val="18"/>
                    <w:vertAlign w:val="subscript"/>
                  </w:rPr>
                  <m:t>-</m:t>
                </m:r>
                <m:r>
                  <w:rPr>
                    <w:rFonts w:ascii="Cambria Math" w:hAnsi="Cambria Math" w:cs="Arial"/>
                    <w:sz w:val="18"/>
                    <w:szCs w:val="18"/>
                    <w:vertAlign w:val="subscript"/>
                  </w:rPr>
                  <m:t>i</m:t>
                </m:r>
              </m:sub>
            </m:sSub>
          </m:e>
        </m:nary>
        <m:r>
          <m:rPr>
            <m:sty m:val="p"/>
          </m:rPr>
          <w:rPr>
            <w:rFonts w:ascii="Cambria Math" w:hAnsi="Cambria Math" w:cs="Arial"/>
            <w:sz w:val="18"/>
            <w:szCs w:val="18"/>
          </w:rPr>
          <m:t xml:space="preserve"> + </m:t>
        </m:r>
        <m:nary>
          <m:naryPr>
            <m:chr m:val="∑"/>
            <m:limLoc m:val="undOvr"/>
            <m:ctrlPr>
              <w:rPr>
                <w:rFonts w:ascii="Cambria Math" w:hAnsi="Cambria Math" w:cs="Arial"/>
                <w:sz w:val="18"/>
                <w:szCs w:val="18"/>
              </w:rPr>
            </m:ctrlPr>
          </m:naryPr>
          <m:sub>
            <m:r>
              <w:rPr>
                <w:rFonts w:ascii="Cambria Math" w:hAnsi="Cambria Math" w:cs="Arial"/>
                <w:sz w:val="18"/>
                <w:szCs w:val="18"/>
              </w:rPr>
              <m:t>i</m:t>
            </m:r>
            <m:r>
              <m:rPr>
                <m:sty m:val="p"/>
              </m:rPr>
              <w:rPr>
                <w:rFonts w:ascii="Cambria Math" w:hAnsi="Cambria Math" w:cs="Arial"/>
                <w:sz w:val="18"/>
                <w:szCs w:val="18"/>
              </w:rPr>
              <m:t>=0</m:t>
            </m:r>
          </m:sub>
          <m:sup>
            <m:r>
              <w:rPr>
                <w:rFonts w:ascii="Cambria Math" w:hAnsi="Cambria Math" w:cs="Arial"/>
                <w:sz w:val="18"/>
                <w:szCs w:val="18"/>
              </w:rPr>
              <m:t>m</m:t>
            </m:r>
          </m:sup>
          <m:e>
            <m:sSub>
              <m:sSubPr>
                <m:ctrlPr>
                  <w:rPr>
                    <w:rFonts w:ascii="Cambria Math" w:hAnsi="Cambria Math" w:cs="Arial"/>
                    <w:sz w:val="18"/>
                    <w:szCs w:val="18"/>
                  </w:rPr>
                </m:ctrlPr>
              </m:sSubPr>
              <m:e>
                <m:sSub>
                  <m:sSubPr>
                    <m:ctrlPr>
                      <w:rPr>
                        <w:rFonts w:ascii="Cambria Math" w:hAnsi="Cambria Math" w:cs="Arial"/>
                        <w:sz w:val="18"/>
                        <w:szCs w:val="18"/>
                      </w:rPr>
                    </m:ctrlPr>
                  </m:sSubPr>
                  <m:e>
                    <m:r>
                      <w:rPr>
                        <w:rFonts w:ascii="Cambria Math" w:hAnsi="Cambria Math" w:cs="Arial"/>
                        <w:sz w:val="18"/>
                        <w:szCs w:val="18"/>
                      </w:rPr>
                      <m:t>β</m:t>
                    </m:r>
                  </m:e>
                  <m:sub>
                    <m:r>
                      <m:rPr>
                        <m:sty m:val="p"/>
                      </m:rPr>
                      <w:rPr>
                        <w:rFonts w:ascii="Cambria Math" w:hAnsi="Cambria Math" w:cs="Arial"/>
                        <w:sz w:val="18"/>
                        <w:szCs w:val="18"/>
                        <w:vertAlign w:val="subscript"/>
                      </w:rPr>
                      <m:t>2</m:t>
                    </m:r>
                  </m:sub>
                </m:sSub>
                <m:r>
                  <w:rPr>
                    <w:rFonts w:ascii="Cambria Math" w:hAnsi="Cambria Math" w:cs="Arial"/>
                    <w:sz w:val="18"/>
                    <w:szCs w:val="18"/>
                  </w:rPr>
                  <m:t>ΔLnDI</m:t>
                </m:r>
              </m:e>
              <m:sub>
                <m:r>
                  <w:rPr>
                    <w:rFonts w:ascii="Cambria Math" w:hAnsi="Cambria Math" w:cs="Arial"/>
                    <w:sz w:val="18"/>
                    <w:szCs w:val="18"/>
                    <w:vertAlign w:val="subscript"/>
                  </w:rPr>
                  <m:t>t</m:t>
                </m:r>
                <m:r>
                  <m:rPr>
                    <m:sty m:val="p"/>
                  </m:rPr>
                  <w:rPr>
                    <w:rFonts w:ascii="Cambria Math" w:hAnsi="Cambria Math" w:cs="Arial"/>
                    <w:sz w:val="18"/>
                    <w:szCs w:val="18"/>
                    <w:vertAlign w:val="subscript"/>
                  </w:rPr>
                  <m:t>-</m:t>
                </m:r>
                <m:r>
                  <w:rPr>
                    <w:rFonts w:ascii="Cambria Math" w:hAnsi="Cambria Math" w:cs="Arial"/>
                    <w:sz w:val="18"/>
                    <w:szCs w:val="18"/>
                    <w:vertAlign w:val="subscript"/>
                  </w:rPr>
                  <m:t>i</m:t>
                </m:r>
              </m:sub>
            </m:sSub>
          </m:e>
        </m:nary>
        <m:r>
          <m:rPr>
            <m:sty m:val="p"/>
          </m:rPr>
          <w:rPr>
            <w:rFonts w:ascii="Cambria Math" w:hAnsi="Cambria Math" w:cs="Arial"/>
            <w:sz w:val="18"/>
            <w:szCs w:val="18"/>
          </w:rPr>
          <m:t xml:space="preserve"> + </m:t>
        </m:r>
        <m:nary>
          <m:naryPr>
            <m:chr m:val="∑"/>
            <m:limLoc m:val="undOvr"/>
            <m:ctrlPr>
              <w:rPr>
                <w:rFonts w:ascii="Cambria Math" w:hAnsi="Cambria Math" w:cs="Arial"/>
                <w:sz w:val="18"/>
                <w:szCs w:val="18"/>
              </w:rPr>
            </m:ctrlPr>
          </m:naryPr>
          <m:sub>
            <m:r>
              <w:rPr>
                <w:rFonts w:ascii="Cambria Math" w:hAnsi="Cambria Math" w:cs="Arial"/>
                <w:sz w:val="18"/>
                <w:szCs w:val="18"/>
              </w:rPr>
              <m:t>i</m:t>
            </m:r>
            <m:r>
              <m:rPr>
                <m:sty m:val="p"/>
              </m:rPr>
              <w:rPr>
                <w:rFonts w:ascii="Cambria Math" w:hAnsi="Cambria Math" w:cs="Arial"/>
                <w:sz w:val="18"/>
                <w:szCs w:val="18"/>
              </w:rPr>
              <m:t>=0</m:t>
            </m:r>
          </m:sub>
          <m:sup>
            <m:r>
              <w:rPr>
                <w:rFonts w:ascii="Cambria Math" w:hAnsi="Cambria Math" w:cs="Arial"/>
                <w:sz w:val="18"/>
                <w:szCs w:val="18"/>
              </w:rPr>
              <m:t>m</m:t>
            </m:r>
          </m:sup>
          <m:e>
            <m:sSub>
              <m:sSubPr>
                <m:ctrlPr>
                  <w:rPr>
                    <w:rFonts w:ascii="Cambria Math" w:hAnsi="Cambria Math" w:cs="Arial"/>
                    <w:sz w:val="18"/>
                    <w:szCs w:val="18"/>
                  </w:rPr>
                </m:ctrlPr>
              </m:sSubPr>
              <m:e>
                <m:sSub>
                  <m:sSubPr>
                    <m:ctrlPr>
                      <w:rPr>
                        <w:rFonts w:ascii="Cambria Math" w:hAnsi="Cambria Math" w:cs="Arial"/>
                        <w:sz w:val="18"/>
                        <w:szCs w:val="18"/>
                      </w:rPr>
                    </m:ctrlPr>
                  </m:sSubPr>
                  <m:e>
                    <m:r>
                      <w:rPr>
                        <w:rFonts w:ascii="Cambria Math" w:hAnsi="Cambria Math" w:cs="Arial"/>
                        <w:sz w:val="18"/>
                        <w:szCs w:val="18"/>
                      </w:rPr>
                      <m:t>β</m:t>
                    </m:r>
                  </m:e>
                  <m:sub>
                    <m:r>
                      <m:rPr>
                        <m:sty m:val="p"/>
                      </m:rPr>
                      <w:rPr>
                        <w:rFonts w:ascii="Cambria Math" w:hAnsi="Cambria Math" w:cs="Arial"/>
                        <w:sz w:val="18"/>
                        <w:szCs w:val="18"/>
                        <w:vertAlign w:val="subscript"/>
                      </w:rPr>
                      <m:t>3</m:t>
                    </m:r>
                  </m:sub>
                </m:sSub>
                <m:r>
                  <w:rPr>
                    <w:rFonts w:ascii="Cambria Math" w:hAnsi="Cambria Math" w:cs="Arial"/>
                    <w:sz w:val="18"/>
                    <w:szCs w:val="18"/>
                  </w:rPr>
                  <m:t>ΔLnFI</m:t>
                </m:r>
              </m:e>
              <m:sub>
                <m:r>
                  <w:rPr>
                    <w:rFonts w:ascii="Cambria Math" w:hAnsi="Cambria Math" w:cs="Arial"/>
                    <w:sz w:val="18"/>
                    <w:szCs w:val="18"/>
                    <w:vertAlign w:val="subscript"/>
                  </w:rPr>
                  <m:t>t</m:t>
                </m:r>
                <m:r>
                  <m:rPr>
                    <m:sty m:val="p"/>
                  </m:rPr>
                  <w:rPr>
                    <w:rFonts w:ascii="Cambria Math" w:hAnsi="Cambria Math" w:cs="Arial"/>
                    <w:sz w:val="18"/>
                    <w:szCs w:val="18"/>
                    <w:vertAlign w:val="subscript"/>
                  </w:rPr>
                  <m:t>-</m:t>
                </m:r>
                <m:r>
                  <w:rPr>
                    <w:rFonts w:ascii="Cambria Math" w:hAnsi="Cambria Math" w:cs="Arial"/>
                    <w:sz w:val="18"/>
                    <w:szCs w:val="18"/>
                    <w:vertAlign w:val="subscript"/>
                  </w:rPr>
                  <m:t>i</m:t>
                </m:r>
              </m:sub>
            </m:sSub>
          </m:e>
        </m:nary>
        <m:r>
          <w:rPr>
            <w:rFonts w:ascii="Cambria Math" w:eastAsiaTheme="minorEastAsia" w:hAnsi="Cambria Math" w:cs="Arial"/>
            <w:sz w:val="18"/>
            <w:szCs w:val="18"/>
          </w:rPr>
          <m:t>+</m:t>
        </m:r>
        <m:sSub>
          <m:sSubPr>
            <m:ctrlPr>
              <w:rPr>
                <w:rFonts w:ascii="Cambria Math" w:eastAsiaTheme="minorEastAsia" w:hAnsi="Cambria Math" w:cs="Arial"/>
                <w:i/>
                <w:sz w:val="18"/>
                <w:szCs w:val="18"/>
              </w:rPr>
            </m:ctrlPr>
          </m:sSubPr>
          <m:e>
            <m:r>
              <w:rPr>
                <w:rFonts w:ascii="Cambria Math" w:eastAsia="Segoe UI Symbol" w:hAnsi="Cambria Math" w:cs="Arial"/>
                <w:sz w:val="18"/>
                <w:szCs w:val="18"/>
              </w:rPr>
              <m:t>ε</m:t>
            </m:r>
          </m:e>
          <m:sub>
            <m:r>
              <w:rPr>
                <w:rFonts w:ascii="Cambria Math" w:eastAsiaTheme="minorEastAsia" w:hAnsi="Cambria Math" w:cs="Arial"/>
                <w:sz w:val="18"/>
                <w:szCs w:val="18"/>
              </w:rPr>
              <m:t>t</m:t>
            </m:r>
          </m:sub>
        </m:sSub>
      </m:oMath>
      <w:r w:rsidR="00DE4F7B" w:rsidRPr="002D2F6A">
        <w:rPr>
          <w:rFonts w:ascii="Arial" w:eastAsiaTheme="minorEastAsia" w:hAnsi="Arial" w:cs="Arial"/>
          <w:sz w:val="18"/>
          <w:szCs w:val="18"/>
        </w:rPr>
        <w:tab/>
      </w:r>
      <w:r w:rsidR="00DE4F7B" w:rsidRPr="002D2F6A">
        <w:rPr>
          <w:rFonts w:ascii="Arial" w:eastAsiaTheme="minorEastAsia" w:hAnsi="Arial" w:cs="Arial"/>
          <w:sz w:val="18"/>
          <w:szCs w:val="18"/>
        </w:rPr>
        <w:tab/>
      </w:r>
    </w:p>
  </w:footnote>
  <w:footnote w:id="109">
    <w:p w14:paraId="4D670F9E" w14:textId="77777777" w:rsidR="00F41E4D" w:rsidRDefault="00F41E4D" w:rsidP="007D53A4">
      <w:pPr>
        <w:spacing w:after="0" w:line="240" w:lineRule="auto"/>
        <w:jc w:val="both"/>
        <w:rPr>
          <w:rFonts w:ascii="Arial" w:eastAsiaTheme="minorEastAsia" w:hAnsi="Arial" w:cs="Arial"/>
          <w:iCs/>
          <w:sz w:val="20"/>
          <w:szCs w:val="20"/>
        </w:rPr>
      </w:pPr>
      <w:r>
        <w:rPr>
          <w:rStyle w:val="FootnoteReference"/>
        </w:rPr>
        <w:footnoteRef/>
      </w:r>
      <w:r>
        <w:t xml:space="preserve"> </w:t>
      </w:r>
      <w:r>
        <w:rPr>
          <w:rFonts w:ascii="Arial" w:eastAsiaTheme="minorEastAsia" w:hAnsi="Arial" w:cs="Arial"/>
          <w:iCs/>
          <w:sz w:val="20"/>
          <w:szCs w:val="20"/>
        </w:rPr>
        <w:t>The CUSUM charts are constructed by calculating and plotting a cumulative sum based on the data. Let X</w:t>
      </w:r>
      <w:r>
        <w:rPr>
          <w:rFonts w:ascii="Arial" w:eastAsiaTheme="minorEastAsia" w:hAnsi="Arial" w:cs="Arial"/>
          <w:iCs/>
          <w:sz w:val="20"/>
          <w:szCs w:val="20"/>
          <w:vertAlign w:val="subscript"/>
        </w:rPr>
        <w:t>1</w:t>
      </w:r>
      <w:r>
        <w:rPr>
          <w:rFonts w:ascii="Arial" w:eastAsiaTheme="minorEastAsia" w:hAnsi="Arial" w:cs="Arial"/>
          <w:iCs/>
          <w:sz w:val="20"/>
          <w:szCs w:val="20"/>
        </w:rPr>
        <w:t>, X</w:t>
      </w:r>
      <w:r>
        <w:rPr>
          <w:rFonts w:ascii="Arial" w:eastAsiaTheme="minorEastAsia" w:hAnsi="Arial" w:cs="Arial"/>
          <w:iCs/>
          <w:sz w:val="20"/>
          <w:szCs w:val="20"/>
          <w:vertAlign w:val="subscript"/>
        </w:rPr>
        <w:t>2</w:t>
      </w:r>
      <w:r>
        <w:rPr>
          <w:rFonts w:ascii="Arial" w:eastAsiaTheme="minorEastAsia" w:hAnsi="Arial" w:cs="Arial"/>
          <w:iCs/>
          <w:sz w:val="20"/>
          <w:szCs w:val="20"/>
        </w:rPr>
        <w:t>, . . . . ,X</w:t>
      </w:r>
      <w:r>
        <w:rPr>
          <w:rFonts w:ascii="Arial" w:eastAsiaTheme="minorEastAsia" w:hAnsi="Arial" w:cs="Arial"/>
          <w:iCs/>
          <w:sz w:val="20"/>
          <w:szCs w:val="20"/>
          <w:vertAlign w:val="subscript"/>
        </w:rPr>
        <w:t xml:space="preserve">n </w:t>
      </w:r>
      <w:r>
        <w:rPr>
          <w:rFonts w:ascii="Arial" w:eastAsiaTheme="minorEastAsia" w:hAnsi="Arial" w:cs="Arial"/>
          <w:iCs/>
          <w:sz w:val="20"/>
          <w:szCs w:val="20"/>
        </w:rPr>
        <w:t>represent n</w:t>
      </w:r>
      <w:r>
        <w:rPr>
          <w:rFonts w:ascii="Arial" w:eastAsiaTheme="minorEastAsia" w:hAnsi="Arial" w:cs="Arial"/>
          <w:iCs/>
          <w:sz w:val="20"/>
          <w:szCs w:val="20"/>
          <w:vertAlign w:val="superscript"/>
        </w:rPr>
        <w:t xml:space="preserve">th </w:t>
      </w:r>
      <w:r>
        <w:rPr>
          <w:rFonts w:ascii="Arial" w:eastAsiaTheme="minorEastAsia" w:hAnsi="Arial" w:cs="Arial"/>
          <w:iCs/>
          <w:sz w:val="20"/>
          <w:szCs w:val="20"/>
        </w:rPr>
        <w:t>data points. From this, the sums S</w:t>
      </w:r>
      <w:r>
        <w:rPr>
          <w:rFonts w:ascii="Arial" w:eastAsiaTheme="minorEastAsia" w:hAnsi="Arial" w:cs="Arial"/>
          <w:iCs/>
          <w:sz w:val="20"/>
          <w:szCs w:val="20"/>
          <w:vertAlign w:val="subscript"/>
        </w:rPr>
        <w:t>0</w:t>
      </w:r>
      <w:r>
        <w:rPr>
          <w:rFonts w:ascii="Arial" w:eastAsiaTheme="minorEastAsia" w:hAnsi="Arial" w:cs="Arial"/>
          <w:iCs/>
          <w:sz w:val="20"/>
          <w:szCs w:val="20"/>
        </w:rPr>
        <w:t>, S</w:t>
      </w:r>
      <w:r>
        <w:rPr>
          <w:rFonts w:ascii="Arial" w:eastAsiaTheme="minorEastAsia" w:hAnsi="Arial" w:cs="Arial"/>
          <w:iCs/>
          <w:sz w:val="20"/>
          <w:szCs w:val="20"/>
          <w:vertAlign w:val="subscript"/>
        </w:rPr>
        <w:t>1</w:t>
      </w:r>
      <w:r>
        <w:rPr>
          <w:rFonts w:ascii="Arial" w:eastAsiaTheme="minorEastAsia" w:hAnsi="Arial" w:cs="Arial"/>
          <w:iCs/>
          <w:sz w:val="20"/>
          <w:szCs w:val="20"/>
        </w:rPr>
        <w:t>, . . . . , S</w:t>
      </w:r>
      <w:r>
        <w:rPr>
          <w:rFonts w:ascii="Arial" w:eastAsiaTheme="minorEastAsia" w:hAnsi="Arial" w:cs="Arial"/>
          <w:iCs/>
          <w:sz w:val="20"/>
          <w:szCs w:val="20"/>
          <w:vertAlign w:val="subscript"/>
        </w:rPr>
        <w:t>n</w:t>
      </w:r>
      <w:r>
        <w:rPr>
          <w:rFonts w:ascii="Arial" w:eastAsiaTheme="minorEastAsia" w:hAnsi="Arial" w:cs="Arial"/>
          <w:iCs/>
          <w:sz w:val="20"/>
          <w:szCs w:val="20"/>
        </w:rPr>
        <w:t xml:space="preserve"> are calculated. The </w:t>
      </w:r>
      <w:r>
        <w:rPr>
          <w:rFonts w:ascii="Arial" w:eastAsiaTheme="minorEastAsia" w:hAnsi="Arial" w:cs="Arial"/>
          <w:i/>
          <w:sz w:val="20"/>
          <w:szCs w:val="20"/>
        </w:rPr>
        <w:t xml:space="preserve">n </w:t>
      </w:r>
      <w:r>
        <w:rPr>
          <w:rFonts w:ascii="Arial" w:eastAsiaTheme="minorEastAsia" w:hAnsi="Arial" w:cs="Arial"/>
          <w:iCs/>
          <w:sz w:val="20"/>
          <w:szCs w:val="20"/>
        </w:rPr>
        <w:t xml:space="preserve">data points lead to </w:t>
      </w:r>
      <w:r>
        <w:rPr>
          <w:rFonts w:ascii="Arial" w:eastAsiaTheme="minorEastAsia" w:hAnsi="Arial" w:cs="Arial"/>
          <w:i/>
          <w:sz w:val="20"/>
          <w:szCs w:val="20"/>
        </w:rPr>
        <w:t>n</w:t>
      </w:r>
      <w:r>
        <w:rPr>
          <w:rFonts w:ascii="Arial" w:eastAsiaTheme="minorEastAsia" w:hAnsi="Arial" w:cs="Arial"/>
          <w:iCs/>
          <w:sz w:val="20"/>
          <w:szCs w:val="20"/>
        </w:rPr>
        <w:t xml:space="preserve"> + 1 (0 through </w:t>
      </w:r>
      <w:r>
        <w:rPr>
          <w:rFonts w:ascii="Arial" w:eastAsiaTheme="minorEastAsia" w:hAnsi="Arial" w:cs="Arial"/>
          <w:i/>
          <w:sz w:val="20"/>
          <w:szCs w:val="20"/>
        </w:rPr>
        <w:t>n</w:t>
      </w:r>
      <w:r>
        <w:rPr>
          <w:rFonts w:ascii="Arial" w:eastAsiaTheme="minorEastAsia" w:hAnsi="Arial" w:cs="Arial"/>
          <w:iCs/>
          <w:sz w:val="20"/>
          <w:szCs w:val="20"/>
        </w:rPr>
        <w:t xml:space="preserve">) sums. The cumulative sums are calculated as follows: </w:t>
      </w:r>
    </w:p>
    <w:p w14:paraId="05CF0661" w14:textId="77777777" w:rsidR="00F41E4D" w:rsidRDefault="00F41E4D" w:rsidP="007D53A4">
      <w:pPr>
        <w:spacing w:after="0" w:line="240" w:lineRule="auto"/>
        <w:jc w:val="both"/>
        <w:rPr>
          <w:rFonts w:ascii="Arial" w:eastAsiaTheme="minorEastAsia" w:hAnsi="Arial" w:cs="Arial"/>
          <w:iCs/>
          <w:sz w:val="20"/>
          <w:szCs w:val="20"/>
        </w:rPr>
      </w:pPr>
      <w:r>
        <w:rPr>
          <w:rFonts w:ascii="Arial" w:eastAsiaTheme="minorEastAsia" w:hAnsi="Arial" w:cs="Arial"/>
          <w:iCs/>
          <w:sz w:val="20"/>
          <w:szCs w:val="20"/>
        </w:rPr>
        <w:t xml:space="preserve">Calculate the average: </w:t>
      </w:r>
    </w:p>
    <w:p w14:paraId="723472E1" w14:textId="77777777" w:rsidR="00F41E4D" w:rsidRDefault="00000000" w:rsidP="007D53A4">
      <w:pPr>
        <w:spacing w:after="0" w:line="240" w:lineRule="auto"/>
        <w:jc w:val="both"/>
        <w:rPr>
          <w:rFonts w:ascii="Arial" w:eastAsiaTheme="minorEastAsia" w:hAnsi="Arial" w:cs="Arial"/>
          <w:sz w:val="20"/>
          <w:szCs w:val="20"/>
          <w:vertAlign w:val="subscript"/>
        </w:rPr>
      </w:pPr>
      <m:oMathPara>
        <m:oMath>
          <m:bar>
            <m:barPr>
              <m:pos m:val="top"/>
              <m:ctrlPr>
                <w:rPr>
                  <w:rFonts w:ascii="Cambria Math" w:eastAsiaTheme="minorEastAsia" w:hAnsi="Cambria Math" w:cs="Arial"/>
                  <w:i/>
                  <w:vertAlign w:val="subscript"/>
                </w:rPr>
              </m:ctrlPr>
            </m:barPr>
            <m:e>
              <m:r>
                <w:rPr>
                  <w:rFonts w:ascii="Cambria Math" w:eastAsiaTheme="minorEastAsia" w:hAnsi="Cambria Math" w:cs="Arial"/>
                  <w:sz w:val="20"/>
                  <w:szCs w:val="20"/>
                  <w:vertAlign w:val="subscript"/>
                </w:rPr>
                <m:t>X</m:t>
              </m:r>
            </m:e>
          </m:bar>
          <m:r>
            <w:rPr>
              <w:rFonts w:ascii="Cambria Math" w:eastAsiaTheme="minorEastAsia" w:hAnsi="Cambria Math" w:cs="Arial"/>
              <w:sz w:val="20"/>
              <w:szCs w:val="20"/>
              <w:vertAlign w:val="subscript"/>
            </w:rPr>
            <m:t>=</m:t>
          </m:r>
          <m:f>
            <m:fPr>
              <m:ctrlPr>
                <w:rPr>
                  <w:rFonts w:ascii="Cambria Math" w:eastAsiaTheme="minorEastAsia" w:hAnsi="Cambria Math" w:cs="Arial"/>
                  <w:i/>
                  <w:vertAlign w:val="subscript"/>
                </w:rPr>
              </m:ctrlPr>
            </m:fPr>
            <m:num>
              <m:sSub>
                <m:sSubPr>
                  <m:ctrlPr>
                    <w:rPr>
                      <w:rFonts w:ascii="Cambria Math" w:eastAsiaTheme="minorEastAsia" w:hAnsi="Cambria Math" w:cs="Arial"/>
                      <w:i/>
                      <w:vertAlign w:val="subscript"/>
                    </w:rPr>
                  </m:ctrlPr>
                </m:sSubPr>
                <m:e>
                  <m:r>
                    <w:rPr>
                      <w:rFonts w:ascii="Cambria Math" w:eastAsiaTheme="minorEastAsia" w:hAnsi="Cambria Math" w:cs="Arial"/>
                      <w:sz w:val="20"/>
                      <w:szCs w:val="20"/>
                      <w:vertAlign w:val="subscript"/>
                    </w:rPr>
                    <m:t>X</m:t>
                  </m:r>
                </m:e>
                <m:sub>
                  <m:r>
                    <w:rPr>
                      <w:rFonts w:ascii="Cambria Math" w:eastAsiaTheme="minorEastAsia" w:hAnsi="Cambria Math" w:cs="Arial"/>
                      <w:sz w:val="20"/>
                      <w:szCs w:val="20"/>
                      <w:vertAlign w:val="subscript"/>
                    </w:rPr>
                    <m:t>1</m:t>
                  </m:r>
                </m:sub>
              </m:sSub>
              <m:r>
                <w:rPr>
                  <w:rFonts w:ascii="Cambria Math" w:eastAsiaTheme="minorEastAsia" w:hAnsi="Cambria Math" w:cs="Arial"/>
                  <w:sz w:val="20"/>
                  <w:szCs w:val="20"/>
                  <w:vertAlign w:val="subscript"/>
                </w:rPr>
                <m:t>+</m:t>
              </m:r>
              <m:sSub>
                <m:sSubPr>
                  <m:ctrlPr>
                    <w:rPr>
                      <w:rFonts w:ascii="Cambria Math" w:eastAsiaTheme="minorEastAsia" w:hAnsi="Cambria Math" w:cs="Arial"/>
                      <w:i/>
                      <w:vertAlign w:val="subscript"/>
                    </w:rPr>
                  </m:ctrlPr>
                </m:sSubPr>
                <m:e>
                  <m:r>
                    <w:rPr>
                      <w:rFonts w:ascii="Cambria Math" w:eastAsiaTheme="minorEastAsia" w:hAnsi="Cambria Math" w:cs="Arial"/>
                      <w:sz w:val="20"/>
                      <w:szCs w:val="20"/>
                      <w:vertAlign w:val="subscript"/>
                    </w:rPr>
                    <m:t>X</m:t>
                  </m:r>
                </m:e>
                <m:sub>
                  <m:r>
                    <w:rPr>
                      <w:rFonts w:ascii="Cambria Math" w:eastAsiaTheme="minorEastAsia" w:hAnsi="Cambria Math" w:cs="Arial"/>
                      <w:sz w:val="20"/>
                      <w:szCs w:val="20"/>
                      <w:vertAlign w:val="subscript"/>
                    </w:rPr>
                    <m:t>2</m:t>
                  </m:r>
                </m:sub>
              </m:sSub>
              <m:r>
                <w:rPr>
                  <w:rFonts w:ascii="Cambria Math" w:eastAsiaTheme="minorEastAsia" w:hAnsi="Cambria Math" w:cs="Arial"/>
                  <w:sz w:val="20"/>
                  <w:szCs w:val="20"/>
                  <w:vertAlign w:val="subscript"/>
                </w:rPr>
                <m:t>+. . . .+</m:t>
              </m:r>
              <m:sSub>
                <m:sSubPr>
                  <m:ctrlPr>
                    <w:rPr>
                      <w:rFonts w:ascii="Cambria Math" w:eastAsiaTheme="minorEastAsia" w:hAnsi="Cambria Math" w:cs="Arial"/>
                      <w:i/>
                      <w:vertAlign w:val="subscript"/>
                    </w:rPr>
                  </m:ctrlPr>
                </m:sSubPr>
                <m:e>
                  <m:r>
                    <w:rPr>
                      <w:rFonts w:ascii="Cambria Math" w:eastAsiaTheme="minorEastAsia" w:hAnsi="Cambria Math" w:cs="Arial"/>
                      <w:sz w:val="20"/>
                      <w:szCs w:val="20"/>
                      <w:vertAlign w:val="subscript"/>
                    </w:rPr>
                    <m:t>X</m:t>
                  </m:r>
                </m:e>
                <m:sub>
                  <m:r>
                    <w:rPr>
                      <w:rFonts w:ascii="Cambria Math" w:eastAsiaTheme="minorEastAsia" w:hAnsi="Cambria Math" w:cs="Arial"/>
                      <w:sz w:val="20"/>
                      <w:szCs w:val="20"/>
                      <w:vertAlign w:val="subscript"/>
                    </w:rPr>
                    <m:t>n</m:t>
                  </m:r>
                </m:sub>
              </m:sSub>
            </m:num>
            <m:den>
              <m:r>
                <w:rPr>
                  <w:rFonts w:ascii="Cambria Math" w:eastAsiaTheme="minorEastAsia" w:hAnsi="Cambria Math" w:cs="Arial"/>
                  <w:sz w:val="20"/>
                  <w:szCs w:val="20"/>
                  <w:vertAlign w:val="subscript"/>
                </w:rPr>
                <m:t>n</m:t>
              </m:r>
            </m:den>
          </m:f>
        </m:oMath>
      </m:oMathPara>
    </w:p>
    <w:p w14:paraId="6128120E" w14:textId="77777777" w:rsidR="00F41E4D" w:rsidRDefault="00F41E4D" w:rsidP="007D53A4">
      <w:pPr>
        <w:spacing w:after="0" w:line="240" w:lineRule="auto"/>
        <w:jc w:val="both"/>
        <w:rPr>
          <w:rFonts w:ascii="Arial" w:eastAsiaTheme="minorEastAsia" w:hAnsi="Arial" w:cs="Arial"/>
          <w:iCs/>
          <w:sz w:val="20"/>
          <w:szCs w:val="20"/>
        </w:rPr>
      </w:pPr>
      <w:r>
        <w:rPr>
          <w:rFonts w:ascii="Arial" w:eastAsiaTheme="minorEastAsia" w:hAnsi="Arial" w:cs="Arial"/>
          <w:iCs/>
          <w:sz w:val="20"/>
          <w:szCs w:val="20"/>
        </w:rPr>
        <w:t>Start the cumulative sum at zero by setting S</w:t>
      </w:r>
      <w:r>
        <w:rPr>
          <w:rFonts w:ascii="Arial" w:eastAsiaTheme="minorEastAsia" w:hAnsi="Arial" w:cs="Arial"/>
          <w:iCs/>
          <w:sz w:val="20"/>
          <w:szCs w:val="20"/>
          <w:vertAlign w:val="subscript"/>
        </w:rPr>
        <w:t xml:space="preserve">0 </w:t>
      </w:r>
      <w:r>
        <w:rPr>
          <w:rFonts w:ascii="Arial" w:eastAsiaTheme="minorEastAsia" w:hAnsi="Arial" w:cs="Arial"/>
          <w:iCs/>
          <w:sz w:val="20"/>
          <w:szCs w:val="20"/>
        </w:rPr>
        <w:t>= 0.</w:t>
      </w:r>
    </w:p>
    <w:p w14:paraId="594987B7" w14:textId="77777777" w:rsidR="00F41E4D" w:rsidRDefault="00F41E4D" w:rsidP="007D53A4">
      <w:pPr>
        <w:spacing w:after="0" w:line="240" w:lineRule="auto"/>
        <w:jc w:val="both"/>
        <w:rPr>
          <w:rFonts w:ascii="Arial" w:eastAsiaTheme="minorEastAsia" w:hAnsi="Arial" w:cs="Arial"/>
          <w:iCs/>
          <w:sz w:val="20"/>
          <w:szCs w:val="20"/>
        </w:rPr>
      </w:pPr>
      <w:r>
        <w:rPr>
          <w:rFonts w:ascii="Arial" w:eastAsiaTheme="minorEastAsia" w:hAnsi="Arial" w:cs="Arial"/>
          <w:iCs/>
          <w:sz w:val="20"/>
          <w:szCs w:val="20"/>
        </w:rPr>
        <w:t>Calculate the other cumulative sums by adding the difference between the current value and the average to the previous sum, i.e.:</w:t>
      </w:r>
    </w:p>
    <w:p w14:paraId="74E84F25" w14:textId="77777777" w:rsidR="00F41E4D" w:rsidRPr="00EE025F" w:rsidRDefault="00F41E4D" w:rsidP="007D53A4">
      <w:pPr>
        <w:spacing w:after="0" w:line="240" w:lineRule="auto"/>
        <w:jc w:val="both"/>
        <w:rPr>
          <w:rFonts w:ascii="Arial" w:eastAsiaTheme="minorEastAsia" w:hAnsi="Arial" w:cs="Arial"/>
          <w:iCs/>
          <w:sz w:val="20"/>
          <w:szCs w:val="20"/>
          <w:lang w:val="pt-BR"/>
        </w:rPr>
      </w:pPr>
      <w:r w:rsidRPr="00EE025F">
        <w:rPr>
          <w:rFonts w:ascii="Arial" w:eastAsiaTheme="minorEastAsia" w:hAnsi="Arial" w:cs="Arial"/>
          <w:iCs/>
          <w:sz w:val="20"/>
          <w:szCs w:val="20"/>
          <w:lang w:val="pt-BR"/>
        </w:rPr>
        <w:t>S</w:t>
      </w:r>
      <w:r w:rsidRPr="00EE025F">
        <w:rPr>
          <w:rFonts w:ascii="Arial" w:eastAsiaTheme="minorEastAsia" w:hAnsi="Arial" w:cs="Arial"/>
          <w:iCs/>
          <w:sz w:val="20"/>
          <w:szCs w:val="20"/>
          <w:vertAlign w:val="subscript"/>
          <w:lang w:val="pt-BR"/>
        </w:rPr>
        <w:t>i</w:t>
      </w:r>
      <w:r w:rsidRPr="00EE025F">
        <w:rPr>
          <w:rFonts w:ascii="Arial" w:eastAsiaTheme="minorEastAsia" w:hAnsi="Arial" w:cs="Arial"/>
          <w:iCs/>
          <w:sz w:val="20"/>
          <w:szCs w:val="20"/>
          <w:lang w:val="pt-BR"/>
        </w:rPr>
        <w:t xml:space="preserve"> = S</w:t>
      </w:r>
      <w:r w:rsidRPr="00EE025F">
        <w:rPr>
          <w:rFonts w:ascii="Arial" w:eastAsiaTheme="minorEastAsia" w:hAnsi="Arial" w:cs="Arial"/>
          <w:iCs/>
          <w:sz w:val="20"/>
          <w:szCs w:val="20"/>
          <w:vertAlign w:val="subscript"/>
          <w:lang w:val="pt-BR"/>
        </w:rPr>
        <w:t>i-1</w:t>
      </w:r>
      <w:r w:rsidRPr="00EE025F">
        <w:rPr>
          <w:rFonts w:ascii="Arial" w:eastAsiaTheme="minorEastAsia" w:hAnsi="Arial" w:cs="Arial"/>
          <w:iCs/>
          <w:sz w:val="20"/>
          <w:szCs w:val="20"/>
          <w:lang w:val="pt-BR"/>
        </w:rPr>
        <w:t>+ (</w:t>
      </w:r>
      <m:oMath>
        <m:sSub>
          <m:sSubPr>
            <m:ctrlPr>
              <w:rPr>
                <w:rFonts w:ascii="Cambria Math" w:eastAsiaTheme="minorEastAsia" w:hAnsi="Cambria Math" w:cs="Arial"/>
                <w:i/>
                <w:iCs/>
              </w:rPr>
            </m:ctrlPr>
          </m:sSubPr>
          <m:e>
            <m:r>
              <w:rPr>
                <w:rFonts w:ascii="Cambria Math" w:eastAsiaTheme="minorEastAsia" w:hAnsi="Cambria Math" w:cs="Arial"/>
                <w:sz w:val="20"/>
                <w:szCs w:val="20"/>
              </w:rPr>
              <m:t>X</m:t>
            </m:r>
          </m:e>
          <m:sub>
            <m:r>
              <w:rPr>
                <w:rFonts w:ascii="Cambria Math" w:eastAsiaTheme="minorEastAsia" w:hAnsi="Cambria Math" w:cs="Arial"/>
                <w:sz w:val="20"/>
                <w:szCs w:val="20"/>
              </w:rPr>
              <m:t>i</m:t>
            </m:r>
          </m:sub>
        </m:sSub>
      </m:oMath>
      <w:r w:rsidRPr="00EE025F">
        <w:rPr>
          <w:rFonts w:ascii="Arial" w:eastAsiaTheme="minorEastAsia" w:hAnsi="Arial" w:cs="Arial"/>
          <w:iCs/>
          <w:sz w:val="20"/>
          <w:szCs w:val="20"/>
          <w:lang w:val="pt-BR"/>
        </w:rPr>
        <w:t xml:space="preserve"> - </w:t>
      </w:r>
      <m:oMath>
        <m:bar>
          <m:barPr>
            <m:pos m:val="top"/>
            <m:ctrlPr>
              <w:rPr>
                <w:rFonts w:ascii="Cambria Math" w:eastAsiaTheme="minorEastAsia" w:hAnsi="Cambria Math" w:cs="Arial"/>
                <w:i/>
                <w:vertAlign w:val="subscript"/>
              </w:rPr>
            </m:ctrlPr>
          </m:barPr>
          <m:e>
            <m:r>
              <w:rPr>
                <w:rFonts w:ascii="Cambria Math" w:eastAsiaTheme="minorEastAsia" w:hAnsi="Cambria Math" w:cs="Arial"/>
                <w:sz w:val="20"/>
                <w:szCs w:val="20"/>
                <w:vertAlign w:val="subscript"/>
              </w:rPr>
              <m:t>X</m:t>
            </m:r>
          </m:e>
        </m:bar>
      </m:oMath>
      <w:r w:rsidRPr="00EE025F">
        <w:rPr>
          <w:rFonts w:ascii="Arial" w:eastAsiaTheme="minorEastAsia" w:hAnsi="Arial" w:cs="Arial"/>
          <w:iCs/>
          <w:sz w:val="20"/>
          <w:szCs w:val="20"/>
          <w:lang w:val="pt-BR"/>
        </w:rPr>
        <w:t xml:space="preserve"> )</w:t>
      </w:r>
    </w:p>
    <w:p w14:paraId="0F312C37" w14:textId="77777777" w:rsidR="00F41E4D" w:rsidRPr="00EE025F" w:rsidRDefault="00F41E4D" w:rsidP="007D53A4">
      <w:pPr>
        <w:spacing w:after="0" w:line="240" w:lineRule="auto"/>
        <w:jc w:val="both"/>
        <w:rPr>
          <w:rFonts w:ascii="Arial" w:eastAsiaTheme="minorEastAsia" w:hAnsi="Arial" w:cs="Arial"/>
          <w:i/>
          <w:sz w:val="20"/>
          <w:szCs w:val="20"/>
          <w:lang w:val="pt-BR"/>
        </w:rPr>
      </w:pPr>
      <w:r w:rsidRPr="00EE025F">
        <w:rPr>
          <w:rFonts w:ascii="Arial" w:eastAsiaTheme="minorEastAsia" w:hAnsi="Arial" w:cs="Arial"/>
          <w:iCs/>
          <w:sz w:val="20"/>
          <w:szCs w:val="20"/>
          <w:lang w:val="pt-BR"/>
        </w:rPr>
        <w:t xml:space="preserve">For i= 1, 2, . . . , </w:t>
      </w:r>
      <w:r w:rsidRPr="00EE025F">
        <w:rPr>
          <w:rFonts w:ascii="Arial" w:eastAsiaTheme="minorEastAsia" w:hAnsi="Arial" w:cs="Arial"/>
          <w:i/>
          <w:sz w:val="20"/>
          <w:szCs w:val="20"/>
          <w:lang w:val="pt-BR"/>
        </w:rPr>
        <w:t>n.</w:t>
      </w:r>
    </w:p>
    <w:p w14:paraId="6C79F180" w14:textId="77777777" w:rsidR="00F41E4D" w:rsidRDefault="00F41E4D" w:rsidP="007D53A4">
      <w:pPr>
        <w:spacing w:after="0" w:line="240" w:lineRule="auto"/>
        <w:jc w:val="both"/>
        <w:rPr>
          <w:rFonts w:ascii="Arial" w:eastAsiaTheme="minorEastAsia" w:hAnsi="Arial" w:cs="Arial"/>
          <w:iCs/>
          <w:sz w:val="20"/>
          <w:szCs w:val="20"/>
        </w:rPr>
      </w:pPr>
      <w:r>
        <w:rPr>
          <w:rFonts w:ascii="Arial" w:eastAsiaTheme="minorEastAsia" w:hAnsi="Arial" w:cs="Arial"/>
          <w:iCs/>
          <w:sz w:val="20"/>
          <w:szCs w:val="20"/>
        </w:rPr>
        <w:t>The cumulative sum is not the cumulative sum of the values. Rather, it is the cumulative sum differences between the value and the average. Because the average is subtracted from each value, the cumulative sum also ends at zero (S</w:t>
      </w:r>
      <w:r>
        <w:rPr>
          <w:rFonts w:ascii="Arial" w:eastAsiaTheme="minorEastAsia" w:hAnsi="Arial" w:cs="Arial"/>
          <w:iCs/>
          <w:sz w:val="20"/>
          <w:szCs w:val="20"/>
          <w:vertAlign w:val="subscript"/>
        </w:rPr>
        <w:t>24</w:t>
      </w:r>
      <w:r>
        <w:rPr>
          <w:rFonts w:ascii="Arial" w:eastAsiaTheme="minorEastAsia" w:hAnsi="Arial" w:cs="Arial"/>
          <w:iCs/>
          <w:sz w:val="20"/>
          <w:szCs w:val="20"/>
        </w:rPr>
        <w:t xml:space="preserve"> = 0). The CUSUM chart will then be interpreted as follows: the section on the CUSUM chart with an upward slope indicates the period the value is above average and vice versa.</w:t>
      </w:r>
    </w:p>
    <w:p w14:paraId="1D32AC32" w14:textId="77777777" w:rsidR="00F41E4D" w:rsidRDefault="00F41E4D" w:rsidP="007D53A4">
      <w:pPr>
        <w:pStyle w:val="FootnoteText"/>
        <w:rPr>
          <w:i/>
          <w:iCs/>
        </w:rPr>
      </w:pPr>
    </w:p>
  </w:footnote>
  <w:footnote w:id="110">
    <w:p w14:paraId="44074DDE" w14:textId="77777777" w:rsidR="00F41E4D" w:rsidRDefault="00F41E4D" w:rsidP="004219D1">
      <w:pPr>
        <w:pStyle w:val="FootnoteText"/>
        <w:jc w:val="both"/>
      </w:pPr>
      <w:r>
        <w:rPr>
          <w:rStyle w:val="FootnoteReference"/>
        </w:rPr>
        <w:footnoteRef/>
      </w:r>
      <w:r w:rsidRPr="0080521E">
        <w:rPr>
          <w:i/>
          <w:iCs/>
        </w:rPr>
        <w:t xml:space="preserve"> </w:t>
      </w:r>
      <w:r w:rsidRPr="0080521E">
        <w:rPr>
          <w:rFonts w:ascii="Arial" w:hAnsi="Arial" w:cs="Arial"/>
          <w:i/>
          <w:iCs/>
        </w:rPr>
        <w:t>A variable is stationary when the absolute value of the t-statistic of both the ADF and PP test is greater than the 5% critical value. Alternatively, when the t-statistic value is less than the 5% critical value, the variable has unit root (non-stationary). Stationarity is obtained via differencing the variable.</w:t>
      </w:r>
    </w:p>
  </w:footnote>
  <w:footnote w:id="111">
    <w:p w14:paraId="67431217" w14:textId="77777777" w:rsidR="00F41E4D" w:rsidRPr="00FF5D93" w:rsidRDefault="00F41E4D" w:rsidP="008658DE">
      <w:pPr>
        <w:pStyle w:val="NoSpacing"/>
        <w:jc w:val="both"/>
        <w:rPr>
          <w:rFonts w:ascii="Arial" w:hAnsi="Arial" w:cs="Arial"/>
        </w:rPr>
      </w:pPr>
      <w:r>
        <w:rPr>
          <w:rStyle w:val="FootnoteReference"/>
        </w:rPr>
        <w:footnoteRef/>
      </w:r>
      <w:r>
        <w:t xml:space="preserve"> </w:t>
      </w:r>
      <w:r w:rsidRPr="00D313FA">
        <w:rPr>
          <w:rFonts w:ascii="Arial" w:hAnsi="Arial" w:cs="Arial"/>
          <w:i/>
          <w:iCs/>
          <w:sz w:val="20"/>
          <w:szCs w:val="20"/>
        </w:rPr>
        <w:t>If Unit Root stationary at level I(0) and first difference I(1) not second difference I(2), we apply ARDL model</w:t>
      </w:r>
      <w:r>
        <w:rPr>
          <w:rFonts w:ascii="Arial" w:hAnsi="Arial" w:cs="Arial"/>
        </w:rPr>
        <w:t xml:space="preserve">. </w:t>
      </w:r>
    </w:p>
  </w:footnote>
  <w:footnote w:id="112">
    <w:p w14:paraId="2E9D45BC" w14:textId="77777777" w:rsidR="00F41E4D" w:rsidRDefault="00F41E4D" w:rsidP="00F864D5">
      <w:pPr>
        <w:pStyle w:val="FootnoteText"/>
        <w:jc w:val="both"/>
      </w:pPr>
      <w:r>
        <w:rPr>
          <w:rStyle w:val="FootnoteReference"/>
        </w:rPr>
        <w:footnoteRef/>
      </w:r>
      <w:r>
        <w:t xml:space="preserve"> </w:t>
      </w:r>
      <w:r>
        <w:rPr>
          <w:rFonts w:ascii="Arial" w:hAnsi="Arial" w:cs="Arial"/>
          <w:i/>
          <w:iCs/>
        </w:rPr>
        <w:t>It is</w:t>
      </w:r>
      <w:r w:rsidRPr="000E6C1B">
        <w:rPr>
          <w:rFonts w:ascii="Arial" w:hAnsi="Arial" w:cs="Arial"/>
          <w:i/>
          <w:iCs/>
        </w:rPr>
        <w:t xml:space="preserve"> the time lapse of the response of the dependent variable to the independent variable. Using the wrong lag length could result to serial correlation in the error terms and misspecification error.</w:t>
      </w:r>
    </w:p>
  </w:footnote>
  <w:footnote w:id="113">
    <w:p w14:paraId="0FD86BE3" w14:textId="35B4C3E4" w:rsidR="00F41E4D" w:rsidRPr="00A22E16" w:rsidRDefault="00F41E4D" w:rsidP="00A22E16">
      <w:pPr>
        <w:pStyle w:val="FootnoteText"/>
        <w:jc w:val="both"/>
        <w:rPr>
          <w:rFonts w:ascii="Arial" w:hAnsi="Arial" w:cs="Arial"/>
          <w:i/>
          <w:iCs/>
        </w:rPr>
      </w:pPr>
      <w:r w:rsidRPr="00A22E16">
        <w:rPr>
          <w:rStyle w:val="FootnoteReference"/>
          <w:rFonts w:ascii="Arial" w:hAnsi="Arial" w:cs="Arial"/>
        </w:rPr>
        <w:footnoteRef/>
      </w:r>
      <w:r w:rsidRPr="00A22E16">
        <w:rPr>
          <w:rFonts w:ascii="Arial" w:hAnsi="Arial" w:cs="Arial"/>
        </w:rPr>
        <w:t xml:space="preserve"> </w:t>
      </w:r>
      <w:r w:rsidRPr="00A22E16">
        <w:rPr>
          <w:rFonts w:ascii="Arial" w:hAnsi="Arial" w:cs="Arial"/>
          <w:i/>
          <w:iCs/>
        </w:rPr>
        <w:t xml:space="preserve">AIC is a measure of the goodness of fit of a model, taking into consideration the complexity and likelihood function. The lower the value of AIC, the better the good fit of the model. </w:t>
      </w:r>
    </w:p>
  </w:footnote>
  <w:footnote w:id="114">
    <w:p w14:paraId="42859D82" w14:textId="67171160" w:rsidR="00F41E4D" w:rsidRDefault="00F41E4D" w:rsidP="00FD4898">
      <w:pPr>
        <w:pStyle w:val="FootnoteText"/>
        <w:jc w:val="both"/>
      </w:pPr>
      <w:r>
        <w:rPr>
          <w:rStyle w:val="FootnoteReference"/>
        </w:rPr>
        <w:footnoteRef/>
      </w:r>
      <w:r>
        <w:t xml:space="preserve"> </w:t>
      </w:r>
      <w:r w:rsidRPr="00FD4898">
        <w:rPr>
          <w:rFonts w:ascii="Arial" w:hAnsi="Arial" w:cs="Arial"/>
          <w:i/>
          <w:iCs/>
        </w:rPr>
        <w:t xml:space="preserve">The F test used for this procedure has a non-standard distribution. Thus, Pesaran et al. (2001) compute two sets of critical values for a given significance level. One set assumes that all variables are I(0) and the other set assumes they are all I(1). If the computed F-statistic exceeds the upper critical bounds value, then the </w:t>
      </w:r>
      <m:oMath>
        <m:sSub>
          <m:sSubPr>
            <m:ctrlPr>
              <w:rPr>
                <w:rFonts w:ascii="Cambria Math" w:hAnsi="Cambria Math" w:cs="Arial"/>
                <w:i/>
                <w:iCs/>
              </w:rPr>
            </m:ctrlPr>
          </m:sSubPr>
          <m:e>
            <m:r>
              <w:rPr>
                <w:rFonts w:ascii="Cambria Math" w:hAnsi="Cambria Math" w:cs="Arial"/>
              </w:rPr>
              <m:t>H</m:t>
            </m:r>
          </m:e>
          <m:sub>
            <m:r>
              <w:rPr>
                <w:rFonts w:ascii="Cambria Math" w:hAnsi="Cambria Math" w:cs="Arial"/>
                <w:vertAlign w:val="subscript"/>
              </w:rPr>
              <m:t>0</m:t>
            </m:r>
          </m:sub>
        </m:sSub>
      </m:oMath>
      <w:r w:rsidRPr="00FD4898">
        <w:rPr>
          <w:rFonts w:ascii="Arial" w:hAnsi="Arial" w:cs="Arial"/>
          <w:i/>
          <w:iCs/>
        </w:rPr>
        <w:t xml:space="preserve"> is rejected. If the F-statistic is below the lower critical bounds value, it implies no cointegration. Lastly, if the F-statistic falls </w:t>
      </w:r>
      <w:r>
        <w:rPr>
          <w:rFonts w:ascii="Arial" w:hAnsi="Arial" w:cs="Arial"/>
          <w:i/>
          <w:iCs/>
        </w:rPr>
        <w:t>between</w:t>
      </w:r>
      <w:r w:rsidRPr="00FD4898">
        <w:rPr>
          <w:rFonts w:ascii="Arial" w:hAnsi="Arial" w:cs="Arial"/>
          <w:i/>
          <w:iCs/>
        </w:rPr>
        <w:t xml:space="preserve"> the bounds, then the test becomes inconclusive. In such situation, one could look at the error-correction term in the ARDL’s short-term representation (Kremers et al.,1992). If the error-correction term is negative and statistically significant, it means that the variables are quick on approaching their long-term stabilizing condition and can be used to establish cointegration.</w:t>
      </w:r>
    </w:p>
  </w:footnote>
  <w:footnote w:id="115">
    <w:p w14:paraId="7DC64F6D" w14:textId="77777777" w:rsidR="00F41E4D" w:rsidRPr="002F7159" w:rsidRDefault="00F41E4D" w:rsidP="00482F81">
      <w:pPr>
        <w:pStyle w:val="FootnoteText"/>
        <w:jc w:val="both"/>
        <w:rPr>
          <w:rFonts w:ascii="Arial" w:hAnsi="Arial" w:cs="Arial"/>
          <w:i/>
        </w:rPr>
      </w:pPr>
      <w:r w:rsidRPr="002F7159">
        <w:rPr>
          <w:rStyle w:val="FootnoteReference"/>
          <w:rFonts w:ascii="Arial" w:hAnsi="Arial" w:cs="Arial"/>
        </w:rPr>
        <w:footnoteRef/>
      </w:r>
      <w:r w:rsidRPr="002F7159">
        <w:rPr>
          <w:rFonts w:ascii="Arial" w:hAnsi="Arial" w:cs="Arial"/>
        </w:rPr>
        <w:t xml:space="preserve"> </w:t>
      </w:r>
      <w:r w:rsidRPr="002F7159">
        <w:rPr>
          <w:rFonts w:ascii="Arial" w:hAnsi="Arial" w:cs="Arial"/>
          <w:i/>
          <w:lang w:val="en-US"/>
        </w:rPr>
        <w:t xml:space="preserve">The ECT is the speed at which a dependent variable returns to equilibrium after a change in other variables. If ECT </w:t>
      </w:r>
      <w:r>
        <w:rPr>
          <w:rFonts w:ascii="Arial" w:hAnsi="Arial" w:cs="Arial"/>
          <w:i/>
          <w:lang w:val="en-US"/>
        </w:rPr>
        <w:t>has a negative sign and is statistically significant</w:t>
      </w:r>
      <w:r w:rsidRPr="002F7159">
        <w:rPr>
          <w:rFonts w:ascii="Arial" w:hAnsi="Arial" w:cs="Arial"/>
          <w:i/>
          <w:lang w:val="en-US"/>
        </w:rPr>
        <w:t>, it implies that any shock happening in the short-term will be corrected in the long-term</w:t>
      </w:r>
      <w:r>
        <w:rPr>
          <w:rFonts w:ascii="Arial" w:hAnsi="Arial" w:cs="Arial"/>
          <w:i/>
          <w:lang w:val="en-US"/>
        </w:rPr>
        <w:t xml:space="preserve">. </w:t>
      </w:r>
    </w:p>
  </w:footnote>
  <w:footnote w:id="116">
    <w:p w14:paraId="026C3928" w14:textId="1ECB202D" w:rsidR="00F41E4D" w:rsidRPr="00E64912" w:rsidRDefault="00F41E4D" w:rsidP="00ED49CD">
      <w:pPr>
        <w:pStyle w:val="FootnoteText"/>
        <w:jc w:val="both"/>
        <w:rPr>
          <w:i/>
          <w:iCs/>
        </w:rPr>
      </w:pPr>
      <w:r>
        <w:rPr>
          <w:rStyle w:val="FootnoteReference"/>
        </w:rPr>
        <w:footnoteRef/>
      </w:r>
      <w:r>
        <w:t xml:space="preserve"> </w:t>
      </w:r>
      <w:r w:rsidRPr="00E64912">
        <w:rPr>
          <w:rFonts w:ascii="Arial" w:hAnsi="Arial" w:cs="Arial"/>
          <w:i/>
          <w:iCs/>
        </w:rPr>
        <w:t xml:space="preserve">This is justified by the ECT being negative and statistically significant, with the t-statistic greater than </w:t>
      </w:r>
      <w:r w:rsidRPr="00E64912">
        <w:rPr>
          <w:rFonts w:ascii="Arial" w:hAnsi="Arial" w:cs="Arial"/>
          <w:i/>
          <w:iCs/>
          <w:lang w:val="en-US"/>
        </w:rPr>
        <w:t>|2|.</w:t>
      </w:r>
    </w:p>
  </w:footnote>
  <w:footnote w:id="117">
    <w:p w14:paraId="233FB4D7" w14:textId="77777777" w:rsidR="00F41E4D" w:rsidRPr="00F679C0" w:rsidRDefault="00F41E4D" w:rsidP="0073701C">
      <w:pPr>
        <w:pStyle w:val="FootnoteText"/>
        <w:jc w:val="both"/>
        <w:rPr>
          <w:rFonts w:ascii="Arial" w:hAnsi="Arial" w:cs="Arial"/>
          <w:i/>
        </w:rPr>
      </w:pPr>
      <w:r w:rsidRPr="000D38A4">
        <w:rPr>
          <w:rStyle w:val="FootnoteReference"/>
          <w:rFonts w:ascii="Arial" w:hAnsi="Arial" w:cs="Arial"/>
          <w:i/>
        </w:rPr>
        <w:footnoteRef/>
      </w:r>
      <w:r w:rsidRPr="000D38A4">
        <w:rPr>
          <w:rFonts w:ascii="Arial" w:hAnsi="Arial" w:cs="Arial"/>
          <w:i/>
        </w:rPr>
        <w:t xml:space="preserve"> As</w:t>
      </w:r>
      <w:r w:rsidRPr="00F679C0">
        <w:rPr>
          <w:rFonts w:ascii="Arial" w:hAnsi="Arial" w:cs="Arial"/>
          <w:i/>
        </w:rPr>
        <w:t xml:space="preserve"> earlier stated, the presence of the J-curve implies that a currency devaluation will help improve the nation’s trade balance in the long-term, though in the short-term there will be a negative impact. Though the J-curve is a short-term phenomenon, its objective is often to ensure that the trade balance converges to its equilibrium and/or positive in the long-term (trade surplus).</w:t>
      </w:r>
    </w:p>
  </w:footnote>
  <w:footnote w:id="118">
    <w:p w14:paraId="2655E175" w14:textId="53DF88DA" w:rsidR="00F41E4D" w:rsidRPr="00E27F8E" w:rsidRDefault="00F41E4D" w:rsidP="00853874">
      <w:pPr>
        <w:pStyle w:val="FootnoteText"/>
        <w:jc w:val="both"/>
        <w:rPr>
          <w:rFonts w:ascii="Arial" w:hAnsi="Arial" w:cs="Arial"/>
          <w:i/>
          <w:iCs/>
        </w:rPr>
      </w:pPr>
      <w:r>
        <w:rPr>
          <w:rStyle w:val="FootnoteReference"/>
        </w:rPr>
        <w:footnoteRef/>
      </w:r>
      <w:r>
        <w:t xml:space="preserve"> </w:t>
      </w:r>
      <w:r w:rsidRPr="00E27F8E">
        <w:rPr>
          <w:rFonts w:ascii="Arial" w:hAnsi="Arial" w:cs="Arial"/>
          <w:i/>
          <w:iCs/>
        </w:rPr>
        <w:t>An S-curve occurs when the REER has a positive impact on TB in the short-term and a negative impact in the long-term. Because the REER does not impact TB in the short-term, there is no S-curve in these relationships.</w:t>
      </w:r>
    </w:p>
  </w:footnote>
  <w:footnote w:id="119">
    <w:p w14:paraId="20C6E832" w14:textId="77777777" w:rsidR="00F41E4D" w:rsidRPr="00316EC9" w:rsidRDefault="00F41E4D" w:rsidP="00EE2EF5">
      <w:pPr>
        <w:pStyle w:val="FootnoteText"/>
        <w:jc w:val="both"/>
        <w:rPr>
          <w:rFonts w:ascii="Arial" w:hAnsi="Arial" w:cs="Arial"/>
          <w:i/>
        </w:rPr>
      </w:pPr>
      <w:r w:rsidRPr="00E27F8E">
        <w:rPr>
          <w:rStyle w:val="FootnoteReference"/>
          <w:rFonts w:ascii="Arial" w:hAnsi="Arial" w:cs="Arial"/>
        </w:rPr>
        <w:footnoteRef/>
      </w:r>
      <w:r w:rsidRPr="00E27F8E">
        <w:rPr>
          <w:rFonts w:ascii="Arial" w:hAnsi="Arial" w:cs="Arial"/>
        </w:rPr>
        <w:t xml:space="preserve"> </w:t>
      </w:r>
      <w:r w:rsidRPr="00E27F8E">
        <w:rPr>
          <w:rFonts w:ascii="Arial" w:hAnsi="Arial" w:cs="Arial"/>
          <w:i/>
        </w:rPr>
        <w:t>An impulse response is the reaction of any dynamic system in reaction to some external change.</w:t>
      </w:r>
      <w:r>
        <w:rPr>
          <w:rFonts w:ascii="Arial" w:hAnsi="Arial" w:cs="Arial"/>
          <w:i/>
        </w:rPr>
        <w:t xml:space="preserve"> As a time-series model can be written as an indefinitely lagged moving average model, equilibrium values from the original vector autoregressive (VAR) results can be used to evaluate the impact of shocks as stated by Brandt and William (2006). In this case, the residuals from the estimated VECM constitutes a shock or random external change to the equation and will be used to analyse the IRF in order to assess how changes in one variable affect other ones over time. Hence, the IRF can be described as the effect on TB of a unit innovation in REER that has occurred (k) period ago.</w:t>
      </w:r>
    </w:p>
  </w:footnote>
  <w:footnote w:id="120">
    <w:p w14:paraId="425614A3" w14:textId="71FFB598" w:rsidR="00F41E4D" w:rsidRPr="000072C0" w:rsidRDefault="00F41E4D" w:rsidP="000072C0">
      <w:pPr>
        <w:pStyle w:val="FootnoteText"/>
        <w:jc w:val="both"/>
        <w:rPr>
          <w:i/>
          <w:iCs/>
        </w:rPr>
      </w:pPr>
      <w:r>
        <w:rPr>
          <w:rStyle w:val="FootnoteReference"/>
        </w:rPr>
        <w:footnoteRef/>
      </w:r>
      <w:r>
        <w:t xml:space="preserve"> </w:t>
      </w:r>
      <w:r w:rsidRPr="000072C0">
        <w:rPr>
          <w:rFonts w:ascii="Arial" w:hAnsi="Arial" w:cs="Arial"/>
          <w:i/>
          <w:iCs/>
          <w:lang w:val="en-US"/>
        </w:rPr>
        <w:t>The results of Gabon with their trading partners focuses on the models with long-term relationship</w:t>
      </w:r>
      <w:r>
        <w:rPr>
          <w:rFonts w:ascii="Arial" w:hAnsi="Arial" w:cs="Arial"/>
          <w:i/>
          <w:iCs/>
          <w:lang w:val="en-US"/>
        </w:rPr>
        <w:t>,</w:t>
      </w:r>
      <w:r w:rsidRPr="000072C0">
        <w:rPr>
          <w:rFonts w:ascii="Arial" w:hAnsi="Arial" w:cs="Arial"/>
          <w:i/>
          <w:iCs/>
          <w:lang w:val="en-US"/>
        </w:rPr>
        <w:t xml:space="preserve"> though not having the presence of J-curve</w:t>
      </w:r>
      <w:r>
        <w:rPr>
          <w:rFonts w:ascii="Arial" w:hAnsi="Arial" w:cs="Arial"/>
          <w:i/>
          <w:iCs/>
          <w:lang w:val="en-US"/>
        </w:rPr>
        <w:t xml:space="preserve">. We look at </w:t>
      </w:r>
      <w:r w:rsidRPr="000072C0">
        <w:rPr>
          <w:rFonts w:ascii="Arial" w:hAnsi="Arial" w:cs="Arial"/>
          <w:i/>
          <w:iCs/>
          <w:lang w:val="en-US"/>
        </w:rPr>
        <w:t>Gabon with China, and Gabon with USA</w:t>
      </w:r>
      <w:r>
        <w:rPr>
          <w:rFonts w:ascii="Arial" w:hAnsi="Arial" w:cs="Arial"/>
          <w:i/>
          <w:iCs/>
          <w:lang w:val="en-US"/>
        </w:rPr>
        <w:t xml:space="preserve"> IRF graphs</w:t>
      </w:r>
      <w:r>
        <w:rPr>
          <w:rFonts w:ascii="Arial" w:hAnsi="Arial" w:cs="Arial"/>
          <w:lang w:val="en-US"/>
        </w:rPr>
        <w:t>.</w:t>
      </w:r>
    </w:p>
  </w:footnote>
  <w:footnote w:id="121">
    <w:p w14:paraId="6459EFF5" w14:textId="2BA13F0C" w:rsidR="00650D49" w:rsidRPr="00650D49" w:rsidRDefault="00650D49" w:rsidP="000E3E82">
      <w:pPr>
        <w:pStyle w:val="FootnoteText"/>
        <w:jc w:val="both"/>
        <w:rPr>
          <w:i/>
          <w:iCs/>
        </w:rPr>
      </w:pPr>
      <w:r w:rsidRPr="00C475D0">
        <w:rPr>
          <w:rStyle w:val="FootnoteReference"/>
          <w:rFonts w:ascii="Arial" w:hAnsi="Arial" w:cs="Arial"/>
          <w:i/>
          <w:iCs/>
        </w:rPr>
        <w:footnoteRef/>
      </w:r>
      <w:r w:rsidRPr="00C475D0">
        <w:rPr>
          <w:rFonts w:ascii="Arial" w:hAnsi="Arial" w:cs="Arial"/>
          <w:i/>
          <w:iCs/>
        </w:rPr>
        <w:t xml:space="preserve"> Here, </w:t>
      </w:r>
      <w:r w:rsidR="00EE4929" w:rsidRPr="00C475D0">
        <w:rPr>
          <w:rFonts w:ascii="Arial" w:hAnsi="Arial" w:cs="Arial"/>
          <w:i/>
          <w:iCs/>
        </w:rPr>
        <w:t xml:space="preserve">rather than </w:t>
      </w:r>
      <w:r w:rsidRPr="00C475D0">
        <w:rPr>
          <w:rFonts w:ascii="Arial" w:eastAsia="Times New Roman" w:hAnsi="Arial" w:cs="Arial"/>
          <w:i/>
          <w:iCs/>
          <w:lang w:val="en-US" w:eastAsia="en-GB"/>
        </w:rPr>
        <w:t>only examining the trade relationship between each of the CEMAC nations and their individual trade</w:t>
      </w:r>
      <w:r w:rsidR="00C475D0">
        <w:rPr>
          <w:rFonts w:ascii="Arial" w:eastAsia="Times New Roman" w:hAnsi="Arial" w:cs="Arial"/>
          <w:i/>
          <w:iCs/>
          <w:lang w:val="en-US" w:eastAsia="en-GB"/>
        </w:rPr>
        <w:t xml:space="preserve"> </w:t>
      </w:r>
      <w:r w:rsidRPr="00650D49">
        <w:rPr>
          <w:rFonts w:ascii="Arial" w:eastAsia="Times New Roman" w:hAnsi="Arial" w:cs="Arial"/>
          <w:i/>
          <w:iCs/>
          <w:lang w:val="en-US" w:eastAsia="en-GB"/>
        </w:rPr>
        <w:t>partners</w:t>
      </w:r>
      <w:r w:rsidR="00EE4929">
        <w:rPr>
          <w:rFonts w:ascii="Arial" w:eastAsia="Times New Roman" w:hAnsi="Arial" w:cs="Arial"/>
          <w:i/>
          <w:iCs/>
          <w:lang w:val="en-US" w:eastAsia="en-GB"/>
        </w:rPr>
        <w:t xml:space="preserve"> as done in the previous section of this chapter</w:t>
      </w:r>
      <w:r w:rsidRPr="00650D49">
        <w:rPr>
          <w:rFonts w:ascii="Arial" w:eastAsia="Times New Roman" w:hAnsi="Arial" w:cs="Arial"/>
          <w:i/>
          <w:iCs/>
          <w:lang w:val="en-US" w:eastAsia="en-GB"/>
        </w:rPr>
        <w:t>, we examine the relationship between each of the CEMAC nations and all it</w:t>
      </w:r>
      <w:r w:rsidR="000E3E82">
        <w:rPr>
          <w:rFonts w:ascii="Arial" w:eastAsia="Times New Roman" w:hAnsi="Arial" w:cs="Arial"/>
          <w:i/>
          <w:iCs/>
          <w:lang w:val="en-US" w:eastAsia="en-GB"/>
        </w:rPr>
        <w:t>s</w:t>
      </w:r>
      <w:r w:rsidR="005267C6">
        <w:rPr>
          <w:rFonts w:ascii="Arial" w:eastAsia="Times New Roman" w:hAnsi="Arial" w:cs="Arial"/>
          <w:i/>
          <w:iCs/>
          <w:lang w:val="en-US" w:eastAsia="en-GB"/>
        </w:rPr>
        <w:t xml:space="preserve"> main</w:t>
      </w:r>
      <w:r w:rsidRPr="00650D49">
        <w:rPr>
          <w:rFonts w:ascii="Arial" w:eastAsia="Times New Roman" w:hAnsi="Arial" w:cs="Arial"/>
          <w:i/>
          <w:iCs/>
          <w:lang w:val="en-US" w:eastAsia="en-GB"/>
        </w:rPr>
        <w:t xml:space="preserve"> trade partners put together.</w:t>
      </w:r>
    </w:p>
  </w:footnote>
  <w:footnote w:id="122">
    <w:p w14:paraId="7098C185" w14:textId="06D5D279" w:rsidR="00F62F45" w:rsidRDefault="00F62F45" w:rsidP="00F62F45">
      <w:pPr>
        <w:spacing w:after="0" w:line="240" w:lineRule="auto"/>
        <w:jc w:val="both"/>
      </w:pPr>
      <w:r w:rsidRPr="00F62F45">
        <w:rPr>
          <w:rStyle w:val="FootnoteReference"/>
          <w:rFonts w:ascii="Arial" w:hAnsi="Arial" w:cs="Arial"/>
          <w:i/>
          <w:iCs/>
          <w:sz w:val="20"/>
          <w:szCs w:val="20"/>
        </w:rPr>
        <w:footnoteRef/>
      </w:r>
      <w:r w:rsidRPr="00F62F45">
        <w:rPr>
          <w:rFonts w:ascii="Arial" w:hAnsi="Arial" w:cs="Arial"/>
          <w:i/>
          <w:iCs/>
          <w:sz w:val="20"/>
          <w:szCs w:val="20"/>
        </w:rPr>
        <w:t xml:space="preserve"> We used the bilateral aggregate approach by Rose and Yellen (1989) in the previous section to investigate for the presence of the J-curve in the TB between each of the three CEMAC nations and their individual main trade partners. The bilateral aggregate trade data approach could aid the authorities of the individual CEMAC nations to improve their TB via the improvement of the individual trading relationship with each of the trading partners having a J-curve in the trading relationship.</w:t>
      </w:r>
    </w:p>
  </w:footnote>
  <w:footnote w:id="123">
    <w:p w14:paraId="0E6D19FD" w14:textId="3A2A47C2" w:rsidR="00F41E4D" w:rsidRPr="00181EBB" w:rsidRDefault="00F41E4D" w:rsidP="00181EBB">
      <w:pPr>
        <w:spacing w:line="240" w:lineRule="auto"/>
        <w:jc w:val="both"/>
        <w:rPr>
          <w:i/>
          <w:iCs/>
          <w:sz w:val="20"/>
          <w:szCs w:val="20"/>
        </w:rPr>
      </w:pPr>
      <w:r>
        <w:rPr>
          <w:rStyle w:val="FootnoteReference"/>
        </w:rPr>
        <w:footnoteRef/>
      </w:r>
      <w:r>
        <w:t xml:space="preserve"> </w:t>
      </w:r>
      <w:r w:rsidRPr="00181EBB">
        <w:rPr>
          <w:rFonts w:ascii="Arial" w:hAnsi="Arial" w:cs="Arial"/>
          <w:i/>
          <w:iCs/>
          <w:sz w:val="20"/>
          <w:szCs w:val="20"/>
          <w:lang w:eastAsia="en-GB"/>
        </w:rPr>
        <w:t xml:space="preserve">Cameroon’s main trade partners </w:t>
      </w:r>
      <w:r w:rsidR="00E4320A" w:rsidRPr="00181EBB">
        <w:rPr>
          <w:rFonts w:ascii="Arial" w:hAnsi="Arial" w:cs="Arial"/>
          <w:i/>
          <w:iCs/>
          <w:sz w:val="20"/>
          <w:szCs w:val="20"/>
          <w:lang w:eastAsia="en-GB"/>
        </w:rPr>
        <w:t>are</w:t>
      </w:r>
      <w:r w:rsidRPr="00181EBB">
        <w:rPr>
          <w:rFonts w:ascii="Arial" w:hAnsi="Arial" w:cs="Arial"/>
          <w:i/>
          <w:iCs/>
          <w:sz w:val="20"/>
          <w:szCs w:val="20"/>
          <w:lang w:eastAsia="en-GB"/>
        </w:rPr>
        <w:t xml:space="preserve"> China, France, India, Netherlands, and Spain (join</w:t>
      </w:r>
      <w:r w:rsidR="00E4320A">
        <w:rPr>
          <w:rFonts w:ascii="Arial" w:hAnsi="Arial" w:cs="Arial"/>
          <w:i/>
          <w:iCs/>
          <w:sz w:val="20"/>
          <w:szCs w:val="20"/>
          <w:lang w:eastAsia="en-GB"/>
        </w:rPr>
        <w:t>ed</w:t>
      </w:r>
      <w:r w:rsidRPr="00181EBB">
        <w:rPr>
          <w:rFonts w:ascii="Arial" w:hAnsi="Arial" w:cs="Arial"/>
          <w:i/>
          <w:iCs/>
          <w:sz w:val="20"/>
          <w:szCs w:val="20"/>
          <w:lang w:eastAsia="en-GB"/>
        </w:rPr>
        <w:t xml:space="preserve"> together as one). CAR main trading partners </w:t>
      </w:r>
      <w:r w:rsidR="00A2155F" w:rsidRPr="00181EBB">
        <w:rPr>
          <w:rFonts w:ascii="Arial" w:hAnsi="Arial" w:cs="Arial"/>
          <w:i/>
          <w:iCs/>
          <w:sz w:val="20"/>
          <w:szCs w:val="20"/>
          <w:lang w:eastAsia="en-GB"/>
        </w:rPr>
        <w:t>are</w:t>
      </w:r>
      <w:r w:rsidRPr="00181EBB">
        <w:rPr>
          <w:rFonts w:ascii="Arial" w:hAnsi="Arial" w:cs="Arial"/>
          <w:i/>
          <w:iCs/>
          <w:sz w:val="20"/>
          <w:szCs w:val="20"/>
          <w:lang w:eastAsia="en-GB"/>
        </w:rPr>
        <w:t xml:space="preserve"> Cameroon, China, France, India, and Nepal (join</w:t>
      </w:r>
      <w:r w:rsidR="00E4320A">
        <w:rPr>
          <w:rFonts w:ascii="Arial" w:hAnsi="Arial" w:cs="Arial"/>
          <w:i/>
          <w:iCs/>
          <w:sz w:val="20"/>
          <w:szCs w:val="20"/>
          <w:lang w:eastAsia="en-GB"/>
        </w:rPr>
        <w:t>ed</w:t>
      </w:r>
      <w:r w:rsidRPr="00181EBB">
        <w:rPr>
          <w:rFonts w:ascii="Arial" w:hAnsi="Arial" w:cs="Arial"/>
          <w:i/>
          <w:iCs/>
          <w:sz w:val="20"/>
          <w:szCs w:val="20"/>
          <w:lang w:eastAsia="en-GB"/>
        </w:rPr>
        <w:t xml:space="preserve"> together as one). While Gabon’s </w:t>
      </w:r>
      <w:r w:rsidR="001F5D09">
        <w:rPr>
          <w:rFonts w:ascii="Arial" w:hAnsi="Arial" w:cs="Arial"/>
          <w:i/>
          <w:iCs/>
          <w:sz w:val="20"/>
          <w:szCs w:val="20"/>
          <w:lang w:eastAsia="en-GB"/>
        </w:rPr>
        <w:t xml:space="preserve">main trade </w:t>
      </w:r>
      <w:r w:rsidRPr="00181EBB">
        <w:rPr>
          <w:rFonts w:ascii="Arial" w:hAnsi="Arial" w:cs="Arial"/>
          <w:i/>
          <w:iCs/>
          <w:sz w:val="20"/>
          <w:szCs w:val="20"/>
          <w:lang w:eastAsia="en-GB"/>
        </w:rPr>
        <w:t xml:space="preserve">partners </w:t>
      </w:r>
      <w:r w:rsidR="00A2155F" w:rsidRPr="00181EBB">
        <w:rPr>
          <w:rFonts w:ascii="Arial" w:hAnsi="Arial" w:cs="Arial"/>
          <w:i/>
          <w:iCs/>
          <w:sz w:val="20"/>
          <w:szCs w:val="20"/>
          <w:lang w:eastAsia="en-GB"/>
        </w:rPr>
        <w:t>are</w:t>
      </w:r>
      <w:r w:rsidRPr="00181EBB">
        <w:rPr>
          <w:rFonts w:ascii="Arial" w:hAnsi="Arial" w:cs="Arial"/>
          <w:i/>
          <w:iCs/>
          <w:sz w:val="20"/>
          <w:szCs w:val="20"/>
          <w:lang w:eastAsia="en-GB"/>
        </w:rPr>
        <w:t xml:space="preserve"> China, Ireland,</w:t>
      </w:r>
      <w:r w:rsidR="00422C2D">
        <w:rPr>
          <w:rFonts w:ascii="Arial" w:hAnsi="Arial" w:cs="Arial"/>
          <w:i/>
          <w:iCs/>
          <w:sz w:val="20"/>
          <w:szCs w:val="20"/>
          <w:lang w:eastAsia="en-GB"/>
        </w:rPr>
        <w:t xml:space="preserve"> the</w:t>
      </w:r>
      <w:r w:rsidRPr="00181EBB">
        <w:rPr>
          <w:rFonts w:ascii="Arial" w:hAnsi="Arial" w:cs="Arial"/>
          <w:i/>
          <w:iCs/>
          <w:sz w:val="20"/>
          <w:szCs w:val="20"/>
          <w:lang w:eastAsia="en-GB"/>
        </w:rPr>
        <w:t xml:space="preserve"> Korea</w:t>
      </w:r>
      <w:r w:rsidR="00422C2D">
        <w:rPr>
          <w:rFonts w:ascii="Arial" w:hAnsi="Arial" w:cs="Arial"/>
          <w:i/>
          <w:iCs/>
          <w:sz w:val="20"/>
          <w:szCs w:val="20"/>
          <w:lang w:eastAsia="en-GB"/>
        </w:rPr>
        <w:t>n</w:t>
      </w:r>
      <w:r w:rsidRPr="00181EBB">
        <w:rPr>
          <w:rFonts w:ascii="Arial" w:hAnsi="Arial" w:cs="Arial"/>
          <w:i/>
          <w:iCs/>
          <w:sz w:val="20"/>
          <w:szCs w:val="20"/>
          <w:lang w:eastAsia="en-GB"/>
        </w:rPr>
        <w:t xml:space="preserve"> Republic, </w:t>
      </w:r>
      <w:r w:rsidR="00A2155F">
        <w:rPr>
          <w:rFonts w:ascii="Arial" w:hAnsi="Arial" w:cs="Arial"/>
          <w:i/>
          <w:iCs/>
          <w:sz w:val="20"/>
          <w:szCs w:val="20"/>
          <w:lang w:eastAsia="en-GB"/>
        </w:rPr>
        <w:t xml:space="preserve">the </w:t>
      </w:r>
      <w:r w:rsidRPr="00181EBB">
        <w:rPr>
          <w:rFonts w:ascii="Arial" w:hAnsi="Arial" w:cs="Arial"/>
          <w:i/>
          <w:iCs/>
          <w:sz w:val="20"/>
          <w:szCs w:val="20"/>
          <w:lang w:eastAsia="en-GB"/>
        </w:rPr>
        <w:t xml:space="preserve">Netherlands, and </w:t>
      </w:r>
      <w:r w:rsidR="00A2155F">
        <w:rPr>
          <w:rFonts w:ascii="Arial" w:hAnsi="Arial" w:cs="Arial"/>
          <w:i/>
          <w:iCs/>
          <w:sz w:val="20"/>
          <w:szCs w:val="20"/>
          <w:lang w:eastAsia="en-GB"/>
        </w:rPr>
        <w:t xml:space="preserve">the </w:t>
      </w:r>
      <w:r w:rsidRPr="00181EBB">
        <w:rPr>
          <w:rFonts w:ascii="Arial" w:hAnsi="Arial" w:cs="Arial"/>
          <w:i/>
          <w:iCs/>
          <w:sz w:val="20"/>
          <w:szCs w:val="20"/>
          <w:lang w:eastAsia="en-GB"/>
        </w:rPr>
        <w:t>United States of America (USA) (joint together as one). Thus, these three CEMAC nations will be used to represent the CEMAC zone.</w:t>
      </w:r>
    </w:p>
    <w:p w14:paraId="0E6AFEE1" w14:textId="0A8AB77C" w:rsidR="00F41E4D" w:rsidRDefault="00F41E4D">
      <w:pPr>
        <w:pStyle w:val="FootnoteText"/>
      </w:pPr>
    </w:p>
  </w:footnote>
  <w:footnote w:id="124">
    <w:p w14:paraId="2E79F911" w14:textId="77777777" w:rsidR="00F41E4D" w:rsidRDefault="00F41E4D" w:rsidP="008658DE">
      <w:pPr>
        <w:pStyle w:val="FootnoteText"/>
        <w:jc w:val="both"/>
      </w:pPr>
      <w:r>
        <w:rPr>
          <w:rStyle w:val="FootnoteReference"/>
        </w:rPr>
        <w:footnoteRef/>
      </w:r>
      <w:r w:rsidRPr="0080521E">
        <w:rPr>
          <w:i/>
          <w:iCs/>
        </w:rPr>
        <w:t xml:space="preserve"> </w:t>
      </w:r>
      <w:r w:rsidRPr="0080521E">
        <w:rPr>
          <w:rFonts w:ascii="Arial" w:hAnsi="Arial" w:cs="Arial"/>
          <w:i/>
          <w:iCs/>
        </w:rPr>
        <w:t>A variable is stationary when the absolute value of the t-statistic of both the ADF and PP test is greater than the 5% critical value. Alternatively, when the t-statistic value is less than the 5% critical value, the variable has unit root (non-stationary). Stationarity is obtained via differencing the variable.</w:t>
      </w:r>
    </w:p>
  </w:footnote>
  <w:footnote w:id="125">
    <w:p w14:paraId="1854BA93" w14:textId="77777777" w:rsidR="00F41E4D" w:rsidRPr="00FF5D93" w:rsidRDefault="00F41E4D" w:rsidP="008658DE">
      <w:pPr>
        <w:pStyle w:val="NoSpacing"/>
        <w:jc w:val="both"/>
        <w:rPr>
          <w:rFonts w:ascii="Arial" w:hAnsi="Arial" w:cs="Arial"/>
        </w:rPr>
      </w:pPr>
      <w:r>
        <w:rPr>
          <w:rStyle w:val="FootnoteReference"/>
        </w:rPr>
        <w:footnoteRef/>
      </w:r>
      <w:r>
        <w:t xml:space="preserve"> </w:t>
      </w:r>
      <w:r w:rsidRPr="00D313FA">
        <w:rPr>
          <w:rFonts w:ascii="Arial" w:hAnsi="Arial" w:cs="Arial"/>
          <w:i/>
          <w:iCs/>
          <w:sz w:val="20"/>
          <w:szCs w:val="20"/>
        </w:rPr>
        <w:t>If Unit Root stationary at level I(0) and first difference I(1) not second difference I(2), we apply ARDL model</w:t>
      </w:r>
      <w:r>
        <w:rPr>
          <w:rFonts w:ascii="Arial" w:hAnsi="Arial" w:cs="Arial"/>
        </w:rPr>
        <w:t xml:space="preserve">. </w:t>
      </w:r>
    </w:p>
  </w:footnote>
  <w:footnote w:id="126">
    <w:p w14:paraId="61F064D5" w14:textId="77777777" w:rsidR="00F41E4D" w:rsidRPr="002F7159" w:rsidRDefault="00F41E4D" w:rsidP="002E189E">
      <w:pPr>
        <w:pStyle w:val="FootnoteText"/>
        <w:jc w:val="both"/>
        <w:rPr>
          <w:rFonts w:ascii="Arial" w:hAnsi="Arial" w:cs="Arial"/>
          <w:i/>
        </w:rPr>
      </w:pPr>
      <w:r w:rsidRPr="002F7159">
        <w:rPr>
          <w:rStyle w:val="FootnoteReference"/>
          <w:rFonts w:ascii="Arial" w:hAnsi="Arial" w:cs="Arial"/>
        </w:rPr>
        <w:footnoteRef/>
      </w:r>
      <w:r w:rsidRPr="002F7159">
        <w:rPr>
          <w:rFonts w:ascii="Arial" w:hAnsi="Arial" w:cs="Arial"/>
        </w:rPr>
        <w:t xml:space="preserve"> </w:t>
      </w:r>
      <w:r w:rsidRPr="002F7159">
        <w:rPr>
          <w:rFonts w:ascii="Arial" w:hAnsi="Arial" w:cs="Arial"/>
          <w:i/>
          <w:lang w:val="en-US"/>
        </w:rPr>
        <w:t xml:space="preserve">The ECT is the speed at which a dependent variable returns to equilibrium after a change in other variables. If ECT </w:t>
      </w:r>
      <w:r>
        <w:rPr>
          <w:rFonts w:ascii="Arial" w:hAnsi="Arial" w:cs="Arial"/>
          <w:i/>
          <w:lang w:val="en-US"/>
        </w:rPr>
        <w:t>has a negative sign and is statistically significant</w:t>
      </w:r>
      <w:r w:rsidRPr="002F7159">
        <w:rPr>
          <w:rFonts w:ascii="Arial" w:hAnsi="Arial" w:cs="Arial"/>
          <w:i/>
          <w:lang w:val="en-US"/>
        </w:rPr>
        <w:t>, it implies that any shock happening in the short-term will be corrected in the long-term</w:t>
      </w:r>
      <w:r>
        <w:rPr>
          <w:rFonts w:ascii="Arial" w:hAnsi="Arial" w:cs="Arial"/>
          <w:i/>
          <w:lang w:val="en-US"/>
        </w:rPr>
        <w:t xml:space="preserve">. </w:t>
      </w:r>
    </w:p>
  </w:footnote>
  <w:footnote w:id="127">
    <w:p w14:paraId="07017188" w14:textId="77777777" w:rsidR="00F41E4D" w:rsidRPr="00F679C0" w:rsidRDefault="00F41E4D" w:rsidP="00AC6286">
      <w:pPr>
        <w:pStyle w:val="FootnoteText"/>
        <w:jc w:val="both"/>
        <w:rPr>
          <w:rFonts w:ascii="Arial" w:hAnsi="Arial" w:cs="Arial"/>
          <w:i/>
        </w:rPr>
      </w:pPr>
      <w:r w:rsidRPr="000D38A4">
        <w:rPr>
          <w:rStyle w:val="FootnoteReference"/>
          <w:rFonts w:ascii="Arial" w:hAnsi="Arial" w:cs="Arial"/>
          <w:i/>
        </w:rPr>
        <w:footnoteRef/>
      </w:r>
      <w:r w:rsidRPr="000D38A4">
        <w:rPr>
          <w:rFonts w:ascii="Arial" w:hAnsi="Arial" w:cs="Arial"/>
          <w:i/>
        </w:rPr>
        <w:t xml:space="preserve"> As</w:t>
      </w:r>
      <w:r w:rsidRPr="00F679C0">
        <w:rPr>
          <w:rFonts w:ascii="Arial" w:hAnsi="Arial" w:cs="Arial"/>
          <w:i/>
        </w:rPr>
        <w:t xml:space="preserve"> earlier stated, the presence of the J-curve implies that a currency devaluation will help improve the nation’s trade balance in the long-term, though in the short-term there will be a negative impact. Though the J-curve is a short-term phenomenon, its objective is often to ensure that the trade balance converges to its equilibrium and/or positive in the long-term (trade surplus).</w:t>
      </w:r>
    </w:p>
  </w:footnote>
  <w:footnote w:id="128">
    <w:p w14:paraId="7946C751" w14:textId="5F8F46B8" w:rsidR="00F41E4D" w:rsidRDefault="00F41E4D">
      <w:pPr>
        <w:pStyle w:val="FootnoteText"/>
      </w:pPr>
      <w:r>
        <w:rPr>
          <w:rStyle w:val="FootnoteReference"/>
        </w:rPr>
        <w:footnoteRef/>
      </w:r>
      <w:r>
        <w:t xml:space="preserve"> </w:t>
      </w:r>
      <w:r w:rsidRPr="0095325F">
        <w:rPr>
          <w:rFonts w:ascii="Arial" w:hAnsi="Arial" w:cs="Arial"/>
          <w:i/>
          <w:iCs/>
          <w:color w:val="000000" w:themeColor="text1"/>
        </w:rPr>
        <w:t>This is the speed of adjustment, meaning that the short-run deviations are corrected at 91.7%.</w:t>
      </w:r>
    </w:p>
  </w:footnote>
  <w:footnote w:id="129">
    <w:p w14:paraId="7FA6CCED" w14:textId="77777777" w:rsidR="00F41E4D" w:rsidRDefault="00F41E4D" w:rsidP="006E7FC7">
      <w:pPr>
        <w:pStyle w:val="FootnoteText"/>
        <w:jc w:val="both"/>
        <w:rPr>
          <w:i/>
          <w:iCs/>
        </w:rPr>
      </w:pPr>
      <w:r w:rsidRPr="3823ABBA">
        <w:rPr>
          <w:rStyle w:val="FootnoteReference"/>
          <w:i/>
          <w:iCs/>
        </w:rPr>
        <w:footnoteRef/>
      </w:r>
      <w:r w:rsidRPr="3823ABBA">
        <w:rPr>
          <w:i/>
          <w:iCs/>
        </w:rPr>
        <w:t xml:space="preserve"> That is, it</w:t>
      </w:r>
      <w:r w:rsidRPr="3823ABBA">
        <w:rPr>
          <w:rFonts w:ascii="Arial" w:hAnsi="Arial" w:cs="Arial"/>
          <w:i/>
          <w:iCs/>
        </w:rPr>
        <w:t xml:space="preserve"> seeks to strengthen regional cooperation and collaboration among its member nations. This includes initiatives to promote regional trade, shared development projects, and infrastructure connectivity.</w:t>
      </w:r>
    </w:p>
  </w:footnote>
  <w:footnote w:id="130">
    <w:p w14:paraId="765A7868" w14:textId="011490F1" w:rsidR="00F41E4D" w:rsidRDefault="00F41E4D" w:rsidP="006E7FC7">
      <w:pPr>
        <w:pStyle w:val="FootnoteText"/>
        <w:jc w:val="both"/>
        <w:rPr>
          <w:rFonts w:ascii="Arial" w:hAnsi="Arial" w:cs="Arial"/>
          <w:i/>
          <w:iCs/>
        </w:rPr>
      </w:pPr>
      <w:r w:rsidRPr="3823ABBA">
        <w:rPr>
          <w:rStyle w:val="FootnoteReference"/>
        </w:rPr>
        <w:footnoteRef/>
      </w:r>
      <w:r>
        <w:t xml:space="preserve"> </w:t>
      </w:r>
      <w:r w:rsidRPr="3823ABBA">
        <w:rPr>
          <w:rFonts w:ascii="Arial" w:hAnsi="Arial" w:cs="Arial"/>
          <w:i/>
          <w:iCs/>
        </w:rPr>
        <w:t xml:space="preserve">CEMAC aims </w:t>
      </w:r>
      <w:r w:rsidR="00411166">
        <w:rPr>
          <w:rFonts w:ascii="Arial" w:hAnsi="Arial" w:cs="Arial"/>
          <w:i/>
          <w:iCs/>
        </w:rPr>
        <w:t>to</w:t>
      </w:r>
      <w:r w:rsidRPr="3823ABBA">
        <w:rPr>
          <w:rFonts w:ascii="Arial" w:hAnsi="Arial" w:cs="Arial"/>
          <w:i/>
          <w:iCs/>
        </w:rPr>
        <w:t xml:space="preserve"> promot</w:t>
      </w:r>
      <w:r w:rsidR="00411166">
        <w:rPr>
          <w:rFonts w:ascii="Arial" w:hAnsi="Arial" w:cs="Arial"/>
          <w:i/>
          <w:iCs/>
        </w:rPr>
        <w:t>e</w:t>
      </w:r>
      <w:r w:rsidRPr="3823ABBA">
        <w:rPr>
          <w:rFonts w:ascii="Arial" w:hAnsi="Arial" w:cs="Arial"/>
          <w:i/>
          <w:iCs/>
        </w:rPr>
        <w:t xml:space="preserve"> economic integration among its member nations, which includes the free movement of people, goods, services, and capital within the region, as well as the harmonisation of economic policies and regulations to facilitate trade and investment across borders. </w:t>
      </w:r>
    </w:p>
  </w:footnote>
  <w:footnote w:id="131">
    <w:p w14:paraId="41030A1F" w14:textId="77777777" w:rsidR="00F41E4D" w:rsidRPr="004F76EE" w:rsidRDefault="00F41E4D" w:rsidP="006E7FC7">
      <w:pPr>
        <w:pStyle w:val="FootnoteText"/>
        <w:jc w:val="both"/>
        <w:rPr>
          <w:rFonts w:ascii="Arial" w:hAnsi="Arial" w:cs="Arial"/>
          <w:i/>
          <w:iCs/>
        </w:rPr>
      </w:pPr>
      <w:r w:rsidRPr="3823ABBA">
        <w:rPr>
          <w:rStyle w:val="FootnoteReference"/>
          <w:rFonts w:ascii="Arial" w:hAnsi="Arial" w:cs="Arial"/>
          <w:i/>
          <w:iCs/>
        </w:rPr>
        <w:footnoteRef/>
      </w:r>
      <w:r w:rsidRPr="3823ABBA">
        <w:rPr>
          <w:rFonts w:ascii="Arial" w:hAnsi="Arial" w:cs="Arial"/>
          <w:i/>
          <w:iCs/>
        </w:rPr>
        <w:t xml:space="preserve"> The three CEMAC nations used (Cameroon, Central Africa Republic – CAR, and Gabon) and their individual five main trading partners (Cameroon’s main trade partners are; China, France, India, Netherlands, and Spain; CAR partners are Cameroon, China, France, India, and Nepal; while Gabon’s partners are China, Ireland, Korea, Netherlands, and USA).</w:t>
      </w:r>
    </w:p>
  </w:footnote>
  <w:footnote w:id="132">
    <w:p w14:paraId="50E324F9" w14:textId="77777777" w:rsidR="00D16910" w:rsidRPr="00DD7710" w:rsidRDefault="00D16910" w:rsidP="00415157">
      <w:pPr>
        <w:pStyle w:val="NoSpacing"/>
        <w:jc w:val="both"/>
        <w:rPr>
          <w:color w:val="FF0000"/>
        </w:rPr>
      </w:pPr>
      <w:r w:rsidRPr="00881014">
        <w:rPr>
          <w:rStyle w:val="FootnoteReference"/>
          <w:rFonts w:ascii="Arial" w:hAnsi="Arial" w:cs="Arial"/>
          <w:i/>
          <w:iCs/>
          <w:sz w:val="20"/>
          <w:szCs w:val="20"/>
        </w:rPr>
        <w:footnoteRef/>
      </w:r>
      <w:r w:rsidRPr="00881014">
        <w:rPr>
          <w:rFonts w:ascii="Arial" w:hAnsi="Arial" w:cs="Arial"/>
          <w:i/>
          <w:iCs/>
          <w:sz w:val="20"/>
          <w:szCs w:val="20"/>
        </w:rPr>
        <w:t xml:space="preserve"> </w:t>
      </w:r>
      <w:r w:rsidRPr="00415157">
        <w:rPr>
          <w:rFonts w:ascii="Arial" w:hAnsi="Arial" w:cs="Arial"/>
          <w:i/>
          <w:iCs/>
          <w:sz w:val="20"/>
          <w:szCs w:val="20"/>
        </w:rPr>
        <w:t>The panel ARDL model is beneficial because, it simultaneously estimates short-run and long-run dynamics. While other cointegration techniques require all of the regress to be integrated of the same order</w:t>
      </w:r>
      <w:r w:rsidRPr="00415157">
        <w:rPr>
          <w:i/>
          <w:iCs/>
          <w:sz w:val="20"/>
          <w:szCs w:val="20"/>
        </w:rPr>
        <w:t>, the ARDL can be applied whether the regressors are of order one or zero, but not of order two.</w:t>
      </w:r>
      <w:r w:rsidRPr="00881014">
        <w:t xml:space="preserve">  </w:t>
      </w:r>
    </w:p>
  </w:footnote>
  <w:footnote w:id="133">
    <w:p w14:paraId="648E5D98" w14:textId="77777777" w:rsidR="00AB49FA" w:rsidRPr="00287FD4" w:rsidRDefault="00AB49FA" w:rsidP="00AB49FA">
      <w:pPr>
        <w:spacing w:after="0" w:line="240" w:lineRule="auto"/>
        <w:jc w:val="both"/>
        <w:rPr>
          <w:rFonts w:ascii="Arial" w:hAnsi="Arial" w:cs="Arial"/>
          <w:sz w:val="20"/>
          <w:szCs w:val="20"/>
        </w:rPr>
      </w:pPr>
      <w:r>
        <w:rPr>
          <w:rStyle w:val="FootnoteReference"/>
        </w:rPr>
        <w:footnoteRef/>
      </w:r>
      <w:r>
        <w:t xml:space="preserve"> </w:t>
      </w:r>
      <w:r w:rsidRPr="00287FD4">
        <w:rPr>
          <w:rStyle w:val="Emphasis"/>
          <w:rFonts w:ascii="Arial" w:hAnsi="Arial" w:cs="Arial"/>
          <w:color w:val="0E101A"/>
          <w:sz w:val="20"/>
          <w:szCs w:val="20"/>
        </w:rPr>
        <w:t>The Washington consensus refers to a set of broadly free market economic ideas supported by prominent economists and international organisations like the World Bank, the International Monetary Fund (IMF), and European Union (EU) advocates; free trade, free market, and macroeconomic stability through ten principles stated by John Williamson in 1989.</w:t>
      </w:r>
    </w:p>
  </w:footnote>
  <w:footnote w:id="134">
    <w:p w14:paraId="775B212B" w14:textId="1EEB5BB1" w:rsidR="00F7007A" w:rsidRPr="00F7007A" w:rsidRDefault="00F7007A">
      <w:pPr>
        <w:pStyle w:val="FootnoteText"/>
        <w:rPr>
          <w:i/>
          <w:iCs/>
        </w:rPr>
      </w:pPr>
      <w:r w:rsidRPr="00F7007A">
        <w:rPr>
          <w:rStyle w:val="FootnoteReference"/>
          <w:i/>
          <w:iCs/>
        </w:rPr>
        <w:footnoteRef/>
      </w:r>
      <w:r w:rsidRPr="00F7007A">
        <w:rPr>
          <w:i/>
          <w:iCs/>
        </w:rPr>
        <w:t xml:space="preserve"> </w:t>
      </w:r>
      <w:r w:rsidRPr="009013FF">
        <w:rPr>
          <w:i/>
          <w:iCs/>
        </w:rPr>
        <w:t>A</w:t>
      </w:r>
      <w:r w:rsidRPr="009013FF">
        <w:rPr>
          <w:rFonts w:ascii="Arial" w:hAnsi="Arial" w:cs="Arial"/>
          <w:i/>
          <w:iCs/>
        </w:rPr>
        <w:t>n overly competitive RER is inappropriate because it would fuel inﬂation and curb resources (foreign reserves) available for investment (Schroder, 2013; Williamson, 1994).</w:t>
      </w:r>
    </w:p>
  </w:footnote>
  <w:footnote w:id="135">
    <w:p w14:paraId="704C0C6E" w14:textId="371639B2" w:rsidR="006C17DF" w:rsidRPr="00F26FC9" w:rsidRDefault="006C17DF" w:rsidP="00F26FC9">
      <w:pPr>
        <w:spacing w:after="0" w:line="240" w:lineRule="auto"/>
        <w:jc w:val="both"/>
        <w:rPr>
          <w:rFonts w:ascii="Arial" w:hAnsi="Arial" w:cs="Arial"/>
          <w:sz w:val="20"/>
          <w:szCs w:val="20"/>
        </w:rPr>
      </w:pPr>
      <w:r w:rsidRPr="005646A6">
        <w:rPr>
          <w:rStyle w:val="FootnoteReference"/>
          <w:rFonts w:ascii="Arial" w:hAnsi="Arial" w:cs="Arial"/>
          <w:sz w:val="20"/>
          <w:szCs w:val="20"/>
        </w:rPr>
        <w:footnoteRef/>
      </w:r>
      <w:r w:rsidRPr="005646A6">
        <w:rPr>
          <w:rFonts w:ascii="Arial" w:hAnsi="Arial" w:cs="Arial"/>
          <w:sz w:val="20"/>
          <w:szCs w:val="20"/>
        </w:rPr>
        <w:t xml:space="preserve"> </w:t>
      </w:r>
      <w:r w:rsidRPr="005646A6">
        <w:rPr>
          <w:rStyle w:val="Emphasis"/>
          <w:rFonts w:ascii="Arial" w:hAnsi="Arial" w:cs="Arial"/>
          <w:color w:val="0E101A"/>
          <w:sz w:val="20"/>
          <w:szCs w:val="20"/>
        </w:rPr>
        <w:t>On 19th May 1997, the Thai Baht was hit by massive speculative attacks because it did not devalue and lacked the foreign reserves to support the USD-Baht currency peg. As such, the Thai government was forced to float the Baht on 2</w:t>
      </w:r>
      <w:r w:rsidRPr="005646A6">
        <w:rPr>
          <w:rStyle w:val="Emphasis"/>
          <w:rFonts w:ascii="Arial" w:hAnsi="Arial" w:cs="Arial"/>
          <w:color w:val="0E101A"/>
          <w:sz w:val="20"/>
          <w:szCs w:val="20"/>
          <w:vertAlign w:val="superscript"/>
        </w:rPr>
        <w:t>nd</w:t>
      </w:r>
      <w:r w:rsidRPr="005646A6">
        <w:rPr>
          <w:rStyle w:val="Emphasis"/>
          <w:rFonts w:ascii="Arial" w:hAnsi="Arial" w:cs="Arial"/>
          <w:color w:val="0E101A"/>
          <w:sz w:val="20"/>
          <w:szCs w:val="20"/>
        </w:rPr>
        <w:t xml:space="preserve"> July 1997, allowing the value of the Baht to be set by the currency market. This eventually caused a chain reaction of events into a region-wide crisis affecting Indonesia, South Korea, Philippines, Hong Kong, Malaysia, Japan, and Singapore. </w:t>
      </w:r>
    </w:p>
  </w:footnote>
  <w:footnote w:id="136">
    <w:p w14:paraId="3085BA6B" w14:textId="77777777" w:rsidR="006C17DF" w:rsidRDefault="006C17DF" w:rsidP="006C17DF">
      <w:pPr>
        <w:pStyle w:val="FootnoteText"/>
        <w:jc w:val="both"/>
      </w:pPr>
      <w:r>
        <w:rPr>
          <w:rStyle w:val="FootnoteReference"/>
        </w:rPr>
        <w:footnoteRef/>
      </w:r>
      <w:r>
        <w:t xml:space="preserve"> </w:t>
      </w:r>
      <w:r w:rsidRPr="00287FD4">
        <w:rPr>
          <w:rStyle w:val="Emphasis"/>
          <w:rFonts w:ascii="Arial" w:hAnsi="Arial" w:cs="Arial"/>
          <w:color w:val="0E101A"/>
        </w:rPr>
        <w:t>This is because when a currency is devalued, the domestic exporter will benefit from cheaper exports (competitive), thereby increasing their sales and returns. It boosts their product demand and could result in job creation in the export sector of the economy. Also, a high export could improve the nation’s current account deficit, especially if the deficit is due to the absence of competitiveness. Thus, high export and aggregate demand (AD) could result in high economic growth. Contrarily, a currency devaluation could have some setbacks to a nation because it is likely to result in inflation: much money getting into the economy due to the much export sales will increase aggregate demand relative to aggregate supply (AS), resulting in demand-pull inflation. At the same token, a devaluation will cause imports to be much more expensive (imported raw materials and semi-finish goods will increase in price), thereby increasing the cost of production. It eventually results in a cost-push inflation, increasing the cost of living and impoverishing the population. In addition, because it is difficult for developing nations to borrow in their currency from the international market “original sin” – as stated by Eichengreen and Hausmann (1999), they are compelled to borrow in foreign currencies. With a devaluation, the cost of borrowing becomes much more expensive, increasing the cost of production and increasing the dependency on developed nations.</w:t>
      </w:r>
    </w:p>
  </w:footnote>
  <w:footnote w:id="137">
    <w:p w14:paraId="35A0CD3B" w14:textId="070DCA4A" w:rsidR="00AB49FA" w:rsidRDefault="00AB49FA" w:rsidP="00F26FC9">
      <w:pPr>
        <w:spacing w:after="0" w:line="240" w:lineRule="auto"/>
        <w:jc w:val="both"/>
      </w:pPr>
      <w:r w:rsidRPr="00287FD4">
        <w:rPr>
          <w:rStyle w:val="FootnoteReference"/>
          <w:sz w:val="20"/>
          <w:szCs w:val="20"/>
        </w:rPr>
        <w:footnoteRef/>
      </w:r>
      <w:r w:rsidRPr="00287FD4">
        <w:rPr>
          <w:sz w:val="20"/>
          <w:szCs w:val="20"/>
        </w:rPr>
        <w:t xml:space="preserve"> </w:t>
      </w:r>
      <w:r w:rsidRPr="00287FD4">
        <w:rPr>
          <w:rStyle w:val="Emphasis"/>
          <w:rFonts w:ascii="Arial" w:hAnsi="Arial" w:cs="Arial"/>
          <w:color w:val="0E101A"/>
          <w:sz w:val="20"/>
          <w:szCs w:val="20"/>
        </w:rPr>
        <w:t>However, it should be noted that the export-led growth strategy also considers the type and quality of exports (primary, industrial, or tertiary).</w:t>
      </w:r>
    </w:p>
  </w:footnote>
  <w:footnote w:id="138">
    <w:p w14:paraId="74EE179D" w14:textId="77777777" w:rsidR="00AB49FA" w:rsidRDefault="00AB49FA" w:rsidP="00AB49FA">
      <w:pPr>
        <w:pStyle w:val="FootnoteText"/>
        <w:jc w:val="both"/>
      </w:pPr>
      <w:r>
        <w:rPr>
          <w:rStyle w:val="FootnoteReference"/>
        </w:rPr>
        <w:footnoteRef/>
      </w:r>
      <w:r>
        <w:t xml:space="preserve"> </w:t>
      </w:r>
      <w:r w:rsidRPr="00287FD4">
        <w:rPr>
          <w:rStyle w:val="Emphasis"/>
          <w:rFonts w:ascii="Arial" w:hAnsi="Arial" w:cs="Arial"/>
          <w:color w:val="0E101A"/>
        </w:rPr>
        <w:t>A weak institution depicts a state of decline or powerless government agencies to effectively discharge some of the fundamental responsibilities of the state, such as the maintenance of law and order and the protection of its territorial integrity. Some of the manifestations of institutional weakness are Losing control of territory or the sole power of using physical force therein, crisis of legitimacy in which some part of the state seeks disintegration, and Inability to provide essential services to the citizens (Usman et al., 2015). Market failure occurs when there is a state of disequilibrium in the market because of market distortion. It takes place when the quantity of goods and services supplied is not equal to the quantity demanded, and some of the distortions that could affect the free market include price limits, monopoly power, minimum wage requirements, and government regulations. Thus, the causes of market failures are externality, public goods, market control (monopoly, oligopoly, monopsony, oligopsony), and imperfect information in the market.</w:t>
      </w:r>
    </w:p>
  </w:footnote>
  <w:footnote w:id="139">
    <w:p w14:paraId="6D0CD14D" w14:textId="77777777" w:rsidR="00AB49FA" w:rsidRDefault="00AB49FA" w:rsidP="00AB49FA">
      <w:pPr>
        <w:pStyle w:val="FootnoteText"/>
        <w:jc w:val="both"/>
      </w:pPr>
      <w:r>
        <w:rPr>
          <w:rStyle w:val="FootnoteReference"/>
        </w:rPr>
        <w:footnoteRef/>
      </w:r>
      <w:r>
        <w:t xml:space="preserve"> </w:t>
      </w:r>
      <w:r w:rsidRPr="00287FD4">
        <w:rPr>
          <w:rStyle w:val="Emphasis"/>
          <w:rFonts w:ascii="Arial" w:hAnsi="Arial" w:cs="Arial"/>
          <w:color w:val="0E101A"/>
        </w:rPr>
        <w:t>SMART is a well-established tool used to plan and achieve goals and is the acronym for Specific, Measurable, Achievable, Relevant, and Time-bound</w:t>
      </w:r>
      <w:r>
        <w:rPr>
          <w:rStyle w:val="Emphasis"/>
          <w:rFonts w:ascii="Arial" w:hAnsi="Arial" w:cs="Arial"/>
          <w:color w:val="0E101A"/>
        </w:rPr>
        <w:t>.</w:t>
      </w:r>
    </w:p>
  </w:footnote>
  <w:footnote w:id="140">
    <w:p w14:paraId="7C34A677" w14:textId="77777777" w:rsidR="0093432E" w:rsidRPr="0054539B" w:rsidRDefault="0093432E" w:rsidP="0093432E">
      <w:pPr>
        <w:spacing w:after="0" w:line="240" w:lineRule="auto"/>
        <w:jc w:val="both"/>
        <w:rPr>
          <w:rFonts w:ascii="Arial" w:hAnsi="Arial" w:cs="Arial"/>
          <w:sz w:val="20"/>
          <w:szCs w:val="20"/>
          <w:lang w:eastAsia="en-GB"/>
        </w:rPr>
      </w:pPr>
      <w:r>
        <w:rPr>
          <w:rStyle w:val="FootnoteReference"/>
        </w:rPr>
        <w:footnoteRef/>
      </w:r>
      <w:r>
        <w:t xml:space="preserve"> </w:t>
      </w:r>
      <w:r w:rsidRPr="0054539B">
        <w:rPr>
          <w:rFonts w:ascii="Arial" w:hAnsi="Arial" w:cs="Arial"/>
          <w:i/>
          <w:iCs/>
          <w:sz w:val="20"/>
          <w:szCs w:val="20"/>
          <w:lang w:eastAsia="en-GB"/>
        </w:rPr>
        <w:t>As earlier seen in the previous chapters, due to insufficient data for Equatorial Guinea, Chad, and Cong, we were unable to obtain the optimal lag length for each of these nations. As such, we will not be able to proceed with their analysis. Thus, the rest of the analysis in this chapter will focus on the other three CEMAC nations </w:t>
      </w:r>
      <w:r w:rsidRPr="0054539B">
        <w:rPr>
          <w:rFonts w:ascii="Arial" w:hAnsi="Arial" w:cs="Arial"/>
          <w:sz w:val="20"/>
          <w:szCs w:val="20"/>
          <w:lang w:eastAsia="en-GB"/>
        </w:rPr>
        <w:t>(</w:t>
      </w:r>
      <w:r w:rsidRPr="0054539B">
        <w:rPr>
          <w:rFonts w:ascii="Arial" w:hAnsi="Arial" w:cs="Arial"/>
          <w:i/>
          <w:iCs/>
          <w:sz w:val="20"/>
          <w:szCs w:val="20"/>
          <w:lang w:eastAsia="en-GB"/>
        </w:rPr>
        <w:t>Cameroon, CAR, and Gabon</w:t>
      </w:r>
      <w:r w:rsidRPr="0054539B">
        <w:rPr>
          <w:rFonts w:ascii="Arial" w:hAnsi="Arial" w:cs="Arial"/>
          <w:sz w:val="20"/>
          <w:szCs w:val="20"/>
          <w:lang w:eastAsia="en-GB"/>
        </w:rPr>
        <w:t>)</w:t>
      </w:r>
      <w:r w:rsidRPr="0054539B">
        <w:rPr>
          <w:rFonts w:ascii="Arial" w:hAnsi="Arial" w:cs="Arial"/>
          <w:i/>
          <w:iCs/>
          <w:sz w:val="20"/>
          <w:szCs w:val="20"/>
          <w:lang w:eastAsia="en-GB"/>
        </w:rPr>
        <w:t>.   </w:t>
      </w:r>
    </w:p>
    <w:p w14:paraId="0AE32E00" w14:textId="77777777" w:rsidR="0093432E" w:rsidRDefault="0093432E" w:rsidP="0093432E">
      <w:pPr>
        <w:pStyle w:val="FootnoteText"/>
      </w:pPr>
    </w:p>
  </w:footnote>
  <w:footnote w:id="141">
    <w:p w14:paraId="40989CC2" w14:textId="77777777" w:rsidR="00F54C0D" w:rsidRDefault="00F54C0D" w:rsidP="00F54C0D">
      <w:pPr>
        <w:pStyle w:val="FootnoteText"/>
      </w:pPr>
      <w:r>
        <w:rPr>
          <w:rStyle w:val="FootnoteReference"/>
        </w:rPr>
        <w:footnoteRef/>
      </w:r>
      <w:r>
        <w:t xml:space="preserve"> </w:t>
      </w:r>
      <w:r w:rsidRPr="00DA4B82">
        <w:rPr>
          <w:rStyle w:val="Emphasis"/>
          <w:rFonts w:ascii="Arial" w:hAnsi="Arial" w:cs="Arial"/>
          <w:color w:val="0E101A"/>
        </w:rPr>
        <w:t>The condition states that devaluation improves the trade balance if the sum of the foreign price elasticity of demand for export (ƞx) and domestic price elasticity of demand for imports (ƞm) exceeds unity, in absolute value, i.e., if:</w:t>
      </w:r>
      <w:r w:rsidRPr="00DA4B82">
        <w:rPr>
          <w:rFonts w:ascii="Arial" w:hAnsi="Arial" w:cs="Arial"/>
        </w:rPr>
        <w:t> </w:t>
      </w:r>
      <w:r w:rsidRPr="00DA4B82">
        <w:rPr>
          <w:rStyle w:val="Emphasis"/>
          <w:rFonts w:ascii="Arial" w:hAnsi="Arial" w:cs="Arial"/>
          <w:color w:val="0E101A"/>
        </w:rPr>
        <w:t>│ƞx + ƞm│ &gt;1.</w:t>
      </w:r>
    </w:p>
  </w:footnote>
  <w:footnote w:id="142">
    <w:p w14:paraId="34025EE1" w14:textId="77777777" w:rsidR="00766365" w:rsidRDefault="00766365" w:rsidP="00766365">
      <w:pPr>
        <w:pStyle w:val="FootnoteText"/>
        <w:jc w:val="both"/>
      </w:pPr>
      <w:r>
        <w:rPr>
          <w:rStyle w:val="FootnoteReference"/>
        </w:rPr>
        <w:footnoteRef/>
      </w:r>
      <w:r>
        <w:t xml:space="preserve"> </w:t>
      </w:r>
      <w:r w:rsidRPr="00E71328">
        <w:rPr>
          <w:rStyle w:val="Emphasis"/>
          <w:rFonts w:ascii="Arial" w:hAnsi="Arial" w:cs="Arial"/>
          <w:color w:val="0E101A"/>
        </w:rPr>
        <w:t>The rise in interest rate will lead to an increase in savings rate. Because the exchange rate decreases the real wages of workers, transferring income to profit-earners. Because of the marginal propensity to save (MPS) of the profit-earners is higher than that of workers, which leads to an increment in the savings rate (Levy-Yeyati and Sturzenegger, 2007). Contrary to this saving channel was Diaz- Alejandro (1963) view that savings were contractionary because of their negative impact on consumers and decline in domestic demand. Nevertheless, according to Levy-Yeyati and Sturzenegger (2007), the saving channel is expansionary because high savings ease the financial constraint faced by firms with foreign currency liabilities. The devalued real exchange rate, alongside the high savings rate of the fast-growing East-Asian nations, was an eye-opener to this channel.</w:t>
      </w:r>
    </w:p>
  </w:footnote>
  <w:footnote w:id="143">
    <w:p w14:paraId="59FEB853" w14:textId="77777777" w:rsidR="00766365" w:rsidRDefault="00766365" w:rsidP="00766365">
      <w:pPr>
        <w:pStyle w:val="FootnoteText"/>
        <w:jc w:val="both"/>
      </w:pPr>
      <w:r>
        <w:rPr>
          <w:rStyle w:val="FootnoteReference"/>
        </w:rPr>
        <w:footnoteRef/>
      </w:r>
      <w:r>
        <w:t xml:space="preserve"> </w:t>
      </w:r>
      <w:r w:rsidRPr="00E71328">
        <w:rPr>
          <w:rStyle w:val="Emphasis"/>
          <w:rFonts w:ascii="Arial" w:hAnsi="Arial" w:cs="Arial"/>
          <w:color w:val="0E101A"/>
        </w:rPr>
        <w:t>The tradable sector is divided between the manufacturing industry and the natural resource-based industry like the agriculture sector. The distinction between the two industries is because the farmer (agriculture) site is mainly determined by the natural resources' geographical location (McAndrew, 1995). This possesses limitations on the outputs of a nation, a constraint not found in the non-tradable sector.</w:t>
      </w:r>
    </w:p>
  </w:footnote>
  <w:footnote w:id="144">
    <w:p w14:paraId="1BF23926" w14:textId="77777777" w:rsidR="00766365" w:rsidRPr="00512C04" w:rsidRDefault="00766365" w:rsidP="00766365">
      <w:pPr>
        <w:spacing w:after="0" w:line="240" w:lineRule="auto"/>
        <w:jc w:val="both"/>
        <w:rPr>
          <w:rFonts w:ascii="Arial" w:hAnsi="Arial" w:cs="Arial"/>
          <w:sz w:val="20"/>
          <w:szCs w:val="20"/>
        </w:rPr>
      </w:pPr>
      <w:r>
        <w:rPr>
          <w:rStyle w:val="FootnoteReference"/>
        </w:rPr>
        <w:footnoteRef/>
      </w:r>
      <w:r>
        <w:t xml:space="preserve"> </w:t>
      </w:r>
      <w:r w:rsidRPr="00E71328">
        <w:rPr>
          <w:rStyle w:val="Emphasis"/>
          <w:rFonts w:ascii="Arial" w:hAnsi="Arial" w:cs="Arial"/>
          <w:color w:val="0E101A"/>
          <w:sz w:val="20"/>
          <w:szCs w:val="20"/>
        </w:rPr>
        <w:t>China is a good example of a nation that has attracted foreign investors due to its cheap labour and energy costs, which are in the non-tradable sector of the economy. </w:t>
      </w:r>
    </w:p>
  </w:footnote>
  <w:footnote w:id="145">
    <w:p w14:paraId="368716FC" w14:textId="77777777" w:rsidR="00766365" w:rsidRDefault="00766365" w:rsidP="00766365">
      <w:pPr>
        <w:pStyle w:val="FootnoteText"/>
        <w:jc w:val="both"/>
      </w:pPr>
      <w:r>
        <w:rPr>
          <w:rStyle w:val="FootnoteReference"/>
        </w:rPr>
        <w:footnoteRef/>
      </w:r>
      <w:r>
        <w:t xml:space="preserve"> </w:t>
      </w:r>
      <w:r w:rsidRPr="00E71328">
        <w:rPr>
          <w:rStyle w:val="Emphasis"/>
          <w:rFonts w:ascii="Arial" w:hAnsi="Arial" w:cs="Arial"/>
          <w:color w:val="0E101A"/>
        </w:rPr>
        <w:t>When the locals mostly service the non-tradable sector, it helps retain in the economy money that would have gone out of the nation via payment to expatriates. Thus, retaining savings that could be used to invest in the economy at a cheaper cost than borrowing from abroad. By so doing, the nation depends more on local investors, who will most times plough back their profit in the system, rather than foreign investors who might take the profit abroad.    </w:t>
      </w:r>
    </w:p>
  </w:footnote>
  <w:footnote w:id="146">
    <w:p w14:paraId="1B1261D5" w14:textId="77777777" w:rsidR="00F41E4D" w:rsidRPr="009210B7" w:rsidRDefault="00F41E4D" w:rsidP="00766365">
      <w:pPr>
        <w:pStyle w:val="FootnoteText"/>
        <w:jc w:val="both"/>
        <w:rPr>
          <w:rFonts w:ascii="Arial" w:hAnsi="Arial" w:cs="Arial"/>
          <w:i/>
        </w:rPr>
      </w:pPr>
      <w:r w:rsidRPr="009210B7">
        <w:rPr>
          <w:rStyle w:val="FootnoteReference"/>
          <w:rFonts w:ascii="Arial" w:hAnsi="Arial" w:cs="Arial"/>
        </w:rPr>
        <w:footnoteRef/>
      </w:r>
      <w:r w:rsidRPr="009210B7">
        <w:rPr>
          <w:rFonts w:ascii="Arial" w:hAnsi="Arial" w:cs="Arial"/>
        </w:rPr>
        <w:t xml:space="preserve"> </w:t>
      </w:r>
      <w:r w:rsidRPr="009210B7">
        <w:rPr>
          <w:rFonts w:ascii="Arial" w:hAnsi="Arial" w:cs="Arial"/>
          <w:i/>
        </w:rPr>
        <w:t>The REER is assumed to be at both internal and external equilibrium when it has an index value of 100. If the value is above 100, the exchange rate is assumed to be overvalue, and if it is less than 100, it is assume</w:t>
      </w:r>
      <w:r>
        <w:rPr>
          <w:rFonts w:ascii="Arial" w:hAnsi="Arial" w:cs="Arial"/>
          <w:i/>
        </w:rPr>
        <w:t>d</w:t>
      </w:r>
      <w:r w:rsidRPr="009210B7">
        <w:rPr>
          <w:rFonts w:ascii="Arial" w:hAnsi="Arial" w:cs="Arial"/>
          <w:i/>
        </w:rPr>
        <w:t xml:space="preserve"> to be devalue. </w:t>
      </w:r>
      <w:r w:rsidRPr="009210B7">
        <w:rPr>
          <w:rFonts w:ascii="Arial" w:hAnsi="Arial" w:cs="Arial"/>
          <w:sz w:val="24"/>
          <w:szCs w:val="24"/>
        </w:rPr>
        <w:t xml:space="preserve"> </w:t>
      </w:r>
    </w:p>
  </w:footnote>
  <w:footnote w:id="147">
    <w:p w14:paraId="50C43266" w14:textId="77777777" w:rsidR="00C27BD3" w:rsidRDefault="00C27BD3" w:rsidP="00C27BD3">
      <w:pPr>
        <w:pStyle w:val="FootnoteText"/>
        <w:jc w:val="both"/>
      </w:pPr>
      <w:r>
        <w:rPr>
          <w:rStyle w:val="FootnoteReference"/>
        </w:rPr>
        <w:footnoteRef/>
      </w:r>
      <w:r>
        <w:t xml:space="preserve"> </w:t>
      </w:r>
      <w:r w:rsidRPr="003018DC">
        <w:rPr>
          <w:rStyle w:val="Emphasis"/>
          <w:rFonts w:ascii="Arial" w:hAnsi="Arial" w:cs="Arial"/>
          <w:color w:val="0E101A"/>
        </w:rPr>
        <w:t>To have a better understanding of why GDP per capita is better, let us look at nations like India and China, which have huge GDP, which is natural considering the population of the two nations. However, one gets a real picture when GDP per capita is calculated because it reflects the true picture of the state of the nation’s economy. In terms of GDP, China is the largest economy in the world today, but in terms of GDP per capita, it is not the best. Therefore, though GDP is a good measure of the state of an economy, it does not reflect the standard of living of the population for which GDP per capita is a better indicator. Thus, in this section, we shall be using GDP per capita instead of the gross domestic product (GDP). Though the CFA franc devaluation was to improve the GDP of the zone, it was for the final goal of improving the nationals’ standard of living.</w:t>
      </w:r>
    </w:p>
  </w:footnote>
  <w:footnote w:id="148">
    <w:p w14:paraId="11CE5597" w14:textId="77777777" w:rsidR="00C27BD3" w:rsidRDefault="00C27BD3" w:rsidP="00C27BD3">
      <w:pPr>
        <w:pStyle w:val="FootnoteText"/>
        <w:jc w:val="both"/>
      </w:pPr>
      <w:r>
        <w:rPr>
          <w:rStyle w:val="FootnoteReference"/>
        </w:rPr>
        <w:footnoteRef/>
      </w:r>
      <w:r>
        <w:t xml:space="preserve"> </w:t>
      </w:r>
      <w:r w:rsidRPr="003018DC">
        <w:rPr>
          <w:rStyle w:val="Emphasis"/>
          <w:rFonts w:ascii="Arial" w:hAnsi="Arial" w:cs="Arial"/>
          <w:color w:val="0E101A"/>
        </w:rPr>
        <w:t>The improvements in local productivity due to the presence of foreign firms could arise from several channels. From a macro perspective, FDI could spawn new economic sectors, diversify exports, and push an economy’s technological frontier. From a micro perspective, it could improve managerial and employee skills, foster technology transfer, and boost investment incentives and productivity in downstream and upstream sectors. Escalating competition due to foreign entry might incentivise local firms to upgrade their productivity and flush out unproductive domestic firms. The factors of production are reallocated to more productive firms, by so doing encouraging the effective and efficient allocation of factors of production in the domestic economy.</w:t>
      </w:r>
    </w:p>
  </w:footnote>
  <w:footnote w:id="149">
    <w:p w14:paraId="33B62FDD" w14:textId="4E1EE022" w:rsidR="00C27BD3" w:rsidRDefault="00C27BD3" w:rsidP="00C27BD3">
      <w:pPr>
        <w:pStyle w:val="FootnoteText"/>
        <w:jc w:val="both"/>
      </w:pPr>
      <w:r>
        <w:rPr>
          <w:rStyle w:val="FootnoteReference"/>
        </w:rPr>
        <w:footnoteRef/>
      </w:r>
      <w:r>
        <w:t xml:space="preserve"> </w:t>
      </w:r>
      <w:r w:rsidRPr="003018DC">
        <w:rPr>
          <w:rStyle w:val="Emphasis"/>
          <w:rFonts w:ascii="Arial" w:hAnsi="Arial" w:cs="Arial"/>
          <w:color w:val="0E101A"/>
        </w:rPr>
        <w:t xml:space="preserve">For example, the ability of FDI to push the knowledge frontier could depend on the host nation’s level of economic development and education at introducing new exports and opening up markets on existing trade policies and competitive environments to create </w:t>
      </w:r>
      <w:r w:rsidR="008B4712" w:rsidRPr="003018DC">
        <w:rPr>
          <w:rStyle w:val="Emphasis"/>
          <w:rFonts w:ascii="Arial" w:hAnsi="Arial" w:cs="Arial"/>
          <w:color w:val="0E101A"/>
        </w:rPr>
        <w:t>spill overs</w:t>
      </w:r>
      <w:r w:rsidRPr="003018DC">
        <w:rPr>
          <w:rStyle w:val="Emphasis"/>
          <w:rFonts w:ascii="Arial" w:hAnsi="Arial" w:cs="Arial"/>
          <w:color w:val="0E101A"/>
        </w:rPr>
        <w:t xml:space="preserve"> and cultivate links with other sectors, on the strength of the domestic financial markets</w:t>
      </w:r>
    </w:p>
  </w:footnote>
  <w:footnote w:id="150">
    <w:p w14:paraId="1BAB43D2" w14:textId="77777777" w:rsidR="0010547B" w:rsidRPr="006C6240" w:rsidRDefault="0010547B" w:rsidP="0010547B">
      <w:pPr>
        <w:autoSpaceDE w:val="0"/>
        <w:autoSpaceDN w:val="0"/>
        <w:adjustRightInd w:val="0"/>
        <w:spacing w:after="0" w:line="240" w:lineRule="auto"/>
        <w:jc w:val="both"/>
        <w:rPr>
          <w:rFonts w:ascii="Arial" w:hAnsi="Arial" w:cs="Arial"/>
          <w:i/>
          <w:iCs/>
          <w:sz w:val="20"/>
          <w:szCs w:val="20"/>
        </w:rPr>
      </w:pPr>
      <w:r>
        <w:rPr>
          <w:rStyle w:val="FootnoteReference"/>
        </w:rPr>
        <w:footnoteRef/>
      </w:r>
      <w:r>
        <w:t xml:space="preserve"> </w:t>
      </w:r>
      <w:r w:rsidRPr="006C6240">
        <w:rPr>
          <w:rFonts w:ascii="Arial" w:hAnsi="Arial" w:cs="Arial"/>
          <w:i/>
          <w:iCs/>
          <w:sz w:val="20"/>
          <w:szCs w:val="20"/>
        </w:rPr>
        <w:t>The Breusch Pagan test for heteroscedasticity is used to describe the case where the variance of errors or the model is not the same for all observations. One of the basic assumptions in modelling is that the variances are homogeneous and that the error of the model are identically distributed. If suspected that the variances are not homogeneous (a representation of the residuals against the explanatory variables may reveal heteroscedasticity). As such, it is imperative to perform a test for heteroscedasticity, with the following null and alternative hypothesis:</w:t>
      </w:r>
    </w:p>
    <w:p w14:paraId="14557DBF" w14:textId="77777777" w:rsidR="0010547B" w:rsidRPr="006C6240" w:rsidRDefault="0010547B" w:rsidP="0010547B">
      <w:pPr>
        <w:autoSpaceDE w:val="0"/>
        <w:autoSpaceDN w:val="0"/>
        <w:adjustRightInd w:val="0"/>
        <w:spacing w:after="0" w:line="240" w:lineRule="auto"/>
        <w:jc w:val="both"/>
        <w:rPr>
          <w:rFonts w:ascii="Arial" w:hAnsi="Arial" w:cs="Arial"/>
          <w:i/>
          <w:iCs/>
          <w:sz w:val="20"/>
          <w:szCs w:val="20"/>
        </w:rPr>
      </w:pPr>
      <w:r w:rsidRPr="006C6240">
        <w:rPr>
          <w:rFonts w:ascii="Arial" w:hAnsi="Arial" w:cs="Arial"/>
          <w:i/>
          <w:iCs/>
          <w:sz w:val="20"/>
          <w:szCs w:val="20"/>
        </w:rPr>
        <w:t>The null hypothesis (H</w:t>
      </w:r>
      <w:r w:rsidRPr="006C6240">
        <w:rPr>
          <w:rFonts w:ascii="Arial" w:hAnsi="Arial" w:cs="Arial"/>
          <w:i/>
          <w:iCs/>
          <w:sz w:val="20"/>
          <w:szCs w:val="20"/>
          <w:vertAlign w:val="subscript"/>
        </w:rPr>
        <w:t>0</w:t>
      </w:r>
      <w:r w:rsidRPr="006C6240">
        <w:rPr>
          <w:rFonts w:ascii="Arial" w:hAnsi="Arial" w:cs="Arial"/>
          <w:i/>
          <w:iCs/>
          <w:sz w:val="20"/>
          <w:szCs w:val="20"/>
        </w:rPr>
        <w:t>): there is no heteroscedasticity (residuals are homoscedastic) and the p-value &gt; 0.05.</w:t>
      </w:r>
    </w:p>
    <w:p w14:paraId="2EC5D38B" w14:textId="77777777" w:rsidR="0010547B" w:rsidRPr="006C6240" w:rsidRDefault="0010547B" w:rsidP="0010547B">
      <w:pPr>
        <w:spacing w:after="0" w:line="240" w:lineRule="auto"/>
        <w:jc w:val="both"/>
        <w:rPr>
          <w:rFonts w:ascii="Arial" w:hAnsi="Arial" w:cs="Arial"/>
          <w:i/>
          <w:iCs/>
          <w:sz w:val="20"/>
          <w:szCs w:val="20"/>
        </w:rPr>
      </w:pPr>
      <w:r w:rsidRPr="006C6240">
        <w:rPr>
          <w:rFonts w:ascii="Arial" w:hAnsi="Arial" w:cs="Arial"/>
          <w:i/>
          <w:iCs/>
          <w:sz w:val="20"/>
          <w:szCs w:val="20"/>
        </w:rPr>
        <w:t>The alternative hypothesis (H</w:t>
      </w:r>
      <w:r w:rsidRPr="006C6240">
        <w:rPr>
          <w:rFonts w:ascii="Arial" w:hAnsi="Arial" w:cs="Arial"/>
          <w:i/>
          <w:iCs/>
          <w:sz w:val="20"/>
          <w:szCs w:val="20"/>
          <w:vertAlign w:val="subscript"/>
        </w:rPr>
        <w:t>1</w:t>
      </w:r>
      <w:r w:rsidRPr="006C6240">
        <w:rPr>
          <w:rFonts w:ascii="Arial" w:hAnsi="Arial" w:cs="Arial"/>
          <w:i/>
          <w:iCs/>
          <w:sz w:val="20"/>
          <w:szCs w:val="20"/>
        </w:rPr>
        <w:t>): there is heteroscedasticity in the data and the p-value &lt; 0.05.</w:t>
      </w:r>
    </w:p>
    <w:p w14:paraId="76513616" w14:textId="77777777" w:rsidR="0010547B" w:rsidRPr="00E648A5" w:rsidRDefault="0010547B" w:rsidP="0010547B">
      <w:pPr>
        <w:pStyle w:val="FootnoteText"/>
        <w:jc w:val="both"/>
        <w:rPr>
          <w:i/>
          <w:iCs/>
        </w:rPr>
      </w:pPr>
      <w:r w:rsidRPr="006C6240">
        <w:rPr>
          <w:rFonts w:ascii="Arial" w:hAnsi="Arial" w:cs="Arial"/>
          <w:i/>
          <w:iCs/>
        </w:rPr>
        <w:t>In statistic, the Breusch-Pagan is used to test for heteroskedasticity in a regression model. It tests if the variance of the errors from a regression is dependent on the values of independent variables.</w:t>
      </w:r>
      <w:r>
        <w:rPr>
          <w:rFonts w:ascii="Arial" w:hAnsi="Arial" w:cs="Arial"/>
        </w:rPr>
        <w:t xml:space="preserve"> </w:t>
      </w:r>
      <w:r>
        <w:rPr>
          <w:i/>
          <w:iCs/>
        </w:rPr>
        <w:t xml:space="preserve">  </w:t>
      </w:r>
    </w:p>
  </w:footnote>
  <w:footnote w:id="151">
    <w:p w14:paraId="2494EBD8" w14:textId="77777777" w:rsidR="0010547B" w:rsidRPr="004C787D" w:rsidRDefault="0010547B" w:rsidP="0010547B">
      <w:pPr>
        <w:spacing w:after="0" w:line="240" w:lineRule="auto"/>
        <w:jc w:val="both"/>
        <w:rPr>
          <w:rFonts w:ascii="Arial" w:hAnsi="Arial" w:cs="Arial"/>
          <w:i/>
          <w:iCs/>
          <w:sz w:val="20"/>
          <w:szCs w:val="20"/>
        </w:rPr>
      </w:pPr>
      <w:r>
        <w:rPr>
          <w:rStyle w:val="FootnoteReference"/>
        </w:rPr>
        <w:footnoteRef/>
      </w:r>
      <w:r>
        <w:t xml:space="preserve"> </w:t>
      </w:r>
      <w:r w:rsidRPr="004C787D">
        <w:rPr>
          <w:rFonts w:ascii="Arial" w:hAnsi="Arial" w:cs="Arial"/>
          <w:i/>
          <w:iCs/>
          <w:sz w:val="20"/>
          <w:szCs w:val="20"/>
        </w:rPr>
        <w:t xml:space="preserve">The normal distribution is a symmetrical continuous distribution defined by the mean and standard deviation of the data. The normality test is not whether the data is exactly consistent with a normal distribution, rather if the data is close enough to normal that one could use statistical tools without concern. The normality test is a hypothesis test; whereby: </w:t>
      </w:r>
    </w:p>
    <w:p w14:paraId="00288F12" w14:textId="77777777" w:rsidR="0010547B" w:rsidRPr="00A07B5B" w:rsidRDefault="0010547B" w:rsidP="0010547B">
      <w:pPr>
        <w:pStyle w:val="FootnoteText"/>
        <w:jc w:val="both"/>
        <w:rPr>
          <w:i/>
          <w:iCs/>
        </w:rPr>
      </w:pPr>
      <w:r w:rsidRPr="004C787D">
        <w:rPr>
          <w:rFonts w:ascii="Arial" w:hAnsi="Arial" w:cs="Arial"/>
          <w:i/>
          <w:iCs/>
        </w:rPr>
        <w:t>The null hypothesis (H</w:t>
      </w:r>
      <w:r w:rsidRPr="004C787D">
        <w:rPr>
          <w:rFonts w:ascii="Arial" w:hAnsi="Arial" w:cs="Arial"/>
          <w:i/>
          <w:iCs/>
          <w:vertAlign w:val="subscript"/>
        </w:rPr>
        <w:t>0</w:t>
      </w:r>
      <w:r w:rsidRPr="004C787D">
        <w:rPr>
          <w:rFonts w:ascii="Arial" w:hAnsi="Arial" w:cs="Arial"/>
          <w:i/>
          <w:iCs/>
        </w:rPr>
        <w:t>): the data is not different from a normal distribution and the p-value &gt; 0.05 (i.e., the residual of the components is normally distributed). The alternative hypothesis (H</w:t>
      </w:r>
      <w:r w:rsidRPr="004C787D">
        <w:rPr>
          <w:rFonts w:ascii="Arial" w:hAnsi="Arial" w:cs="Arial"/>
          <w:i/>
          <w:iCs/>
          <w:vertAlign w:val="subscript"/>
        </w:rPr>
        <w:t>1</w:t>
      </w:r>
      <w:r w:rsidRPr="004C787D">
        <w:rPr>
          <w:rFonts w:ascii="Arial" w:hAnsi="Arial" w:cs="Arial"/>
          <w:i/>
          <w:iCs/>
        </w:rPr>
        <w:t>): the data is different from a normal distribution and the p-value &lt; 0.05 (i.e., the residual of the components is not normally distributed).</w:t>
      </w:r>
    </w:p>
  </w:footnote>
  <w:footnote w:id="152">
    <w:p w14:paraId="2F055199" w14:textId="77777777" w:rsidR="0010547B" w:rsidRPr="00D81753" w:rsidRDefault="0010547B" w:rsidP="0010547B">
      <w:pPr>
        <w:pStyle w:val="FootnoteText"/>
        <w:jc w:val="both"/>
        <w:rPr>
          <w:rFonts w:ascii="Arial" w:hAnsi="Arial" w:cs="Arial"/>
          <w:i/>
          <w:iCs/>
        </w:rPr>
      </w:pPr>
      <w:r>
        <w:rPr>
          <w:rStyle w:val="FootnoteReference"/>
        </w:rPr>
        <w:footnoteRef/>
      </w:r>
      <w:r>
        <w:t xml:space="preserve"> </w:t>
      </w:r>
      <w:r w:rsidRPr="00D81753">
        <w:rPr>
          <w:rFonts w:ascii="Arial" w:hAnsi="Arial" w:cs="Arial"/>
          <w:i/>
          <w:iCs/>
        </w:rPr>
        <w:t xml:space="preserve">Panel data models are likely to exhibit substantial cross-sectional dependence in the errors which arise due to the presence of common shocks and unobserved components that ultimately become part of the error term, spatial dependence, and idiosyncratic pairwise dependence in the disturbance with no particular pattern of common components or spatial dependence (De Hoyos and Sarafidis, 2006). A reason for such result could be due to the ever-increasing economic and financial integration of nations and financial entities, which implies strong interdependencies between cross-sectional units. If there is sufficient cross-sectional dependence in the panel data and is ignored in estimation, the decrease in estimation efficiency could become so large that the panel least-squares estimator may provide little gain over the single-equation ordinary least-squares. This result is important because it means that if one decides to pool a population of cross sections that is homogeneous in the slope parameters but ignores cross-sectional dependence, the efficiency gains that one had hoped to achieve, compared with running individual ordinary least-squares regressions for each cross section, may largely diminish. </w:t>
      </w:r>
    </w:p>
    <w:p w14:paraId="7A182CED" w14:textId="77777777" w:rsidR="0010547B" w:rsidRPr="00D81753" w:rsidRDefault="0010547B" w:rsidP="0010547B">
      <w:pPr>
        <w:pStyle w:val="FootnoteText"/>
        <w:jc w:val="both"/>
        <w:rPr>
          <w:rFonts w:ascii="Arial" w:hAnsi="Arial" w:cs="Arial"/>
          <w:i/>
          <w:iCs/>
        </w:rPr>
      </w:pPr>
      <w:r w:rsidRPr="00D81753">
        <w:rPr>
          <w:rFonts w:ascii="Arial" w:hAnsi="Arial" w:cs="Arial"/>
          <w:i/>
          <w:iCs/>
        </w:rPr>
        <w:t>Considering a standard panel-data model;</w:t>
      </w:r>
    </w:p>
    <w:p w14:paraId="0C80803A" w14:textId="77777777" w:rsidR="0010547B" w:rsidRPr="00D81753" w:rsidRDefault="00000000" w:rsidP="0010547B">
      <w:pPr>
        <w:pStyle w:val="FootnoteText"/>
        <w:jc w:val="both"/>
        <w:rPr>
          <w:rFonts w:ascii="Arial" w:eastAsiaTheme="minorEastAsia" w:hAnsi="Arial" w:cs="Arial"/>
          <w:i/>
          <w:iCs/>
        </w:rPr>
      </w:pPr>
      <m:oMath>
        <m:sSub>
          <m:sSubPr>
            <m:ctrlPr>
              <w:rPr>
                <w:rFonts w:ascii="Cambria Math" w:hAnsi="Cambria Math" w:cs="Arial"/>
                <w:i/>
                <w:iCs/>
              </w:rPr>
            </m:ctrlPr>
          </m:sSubPr>
          <m:e>
            <m:r>
              <w:rPr>
                <w:rFonts w:ascii="Cambria Math" w:hAnsi="Cambria Math" w:cs="Arial"/>
              </w:rPr>
              <m:t>y</m:t>
            </m:r>
          </m:e>
          <m:sub>
            <m:r>
              <w:rPr>
                <w:rFonts w:ascii="Cambria Math" w:hAnsi="Cambria Math" w:cs="Arial"/>
              </w:rPr>
              <m:t>it</m:t>
            </m:r>
          </m:sub>
        </m:sSub>
      </m:oMath>
      <w:r w:rsidR="0010547B" w:rsidRPr="00D81753">
        <w:rPr>
          <w:rFonts w:ascii="Arial" w:eastAsiaTheme="minorEastAsia" w:hAnsi="Arial" w:cs="Arial"/>
          <w:i/>
          <w:iCs/>
        </w:rPr>
        <w:t xml:space="preserve"> = </w:t>
      </w:r>
      <m:oMath>
        <m:sSub>
          <m:sSubPr>
            <m:ctrlPr>
              <w:rPr>
                <w:rFonts w:ascii="Cambria Math" w:hAnsi="Cambria Math" w:cs="Arial"/>
                <w:i/>
                <w:iCs/>
              </w:rPr>
            </m:ctrlPr>
          </m:sSubPr>
          <m:e>
            <m:r>
              <w:rPr>
                <w:rFonts w:ascii="Cambria Math" w:hAnsi="Cambria Math" w:cs="Arial"/>
              </w:rPr>
              <m:t>α</m:t>
            </m:r>
          </m:e>
          <m:sub>
            <m:r>
              <w:rPr>
                <w:rFonts w:ascii="Cambria Math" w:hAnsi="Cambria Math" w:cs="Arial"/>
              </w:rPr>
              <m:t>i</m:t>
            </m:r>
          </m:sub>
        </m:sSub>
        <m:r>
          <w:rPr>
            <w:rFonts w:ascii="Cambria Math" w:hAnsi="Cambria Math" w:cs="Arial"/>
          </w:rPr>
          <m:t>+</m:t>
        </m:r>
        <m:sSub>
          <m:sSubPr>
            <m:ctrlPr>
              <w:rPr>
                <w:rFonts w:ascii="Cambria Math" w:hAnsi="Cambria Math" w:cs="Arial"/>
                <w:i/>
                <w:iCs/>
              </w:rPr>
            </m:ctrlPr>
          </m:sSubPr>
          <m:e>
            <m:r>
              <w:rPr>
                <w:rFonts w:ascii="Cambria Math" w:hAnsi="Cambria Math" w:cs="Arial"/>
              </w:rPr>
              <m:t>βx</m:t>
            </m:r>
          </m:e>
          <m:sub>
            <m:r>
              <w:rPr>
                <w:rFonts w:ascii="Cambria Math" w:hAnsi="Cambria Math" w:cs="Arial"/>
              </w:rPr>
              <m:t>it</m:t>
            </m:r>
          </m:sub>
        </m:sSub>
        <m:r>
          <w:rPr>
            <w:rFonts w:ascii="Cambria Math" w:hAnsi="Cambria Math" w:cs="Arial"/>
          </w:rPr>
          <m:t>+</m:t>
        </m:r>
        <m:sSub>
          <m:sSubPr>
            <m:ctrlPr>
              <w:rPr>
                <w:rFonts w:ascii="Cambria Math" w:hAnsi="Cambria Math" w:cs="Arial"/>
                <w:i/>
                <w:iCs/>
              </w:rPr>
            </m:ctrlPr>
          </m:sSubPr>
          <m:e>
            <m:r>
              <w:rPr>
                <w:rFonts w:ascii="Cambria Math" w:hAnsi="Cambria Math" w:cs="Arial"/>
              </w:rPr>
              <m:t>ε</m:t>
            </m:r>
          </m:e>
          <m:sub>
            <m:r>
              <w:rPr>
                <w:rFonts w:ascii="Cambria Math" w:hAnsi="Cambria Math" w:cs="Arial"/>
              </w:rPr>
              <m:t>it</m:t>
            </m:r>
          </m:sub>
        </m:sSub>
      </m:oMath>
      <w:r w:rsidR="0010547B" w:rsidRPr="00D81753">
        <w:rPr>
          <w:rFonts w:ascii="Arial" w:eastAsiaTheme="minorEastAsia" w:hAnsi="Arial" w:cs="Arial"/>
          <w:i/>
          <w:iCs/>
        </w:rPr>
        <w:t xml:space="preserve"> </w:t>
      </w:r>
      <w:r w:rsidR="0010547B" w:rsidRPr="00D81753">
        <w:rPr>
          <w:rFonts w:ascii="Arial" w:eastAsiaTheme="minorEastAsia" w:hAnsi="Arial" w:cs="Arial"/>
          <w:i/>
          <w:iCs/>
        </w:rPr>
        <w:tab/>
      </w:r>
      <m:oMath>
        <m:r>
          <w:rPr>
            <w:rFonts w:ascii="Cambria Math" w:eastAsiaTheme="minorEastAsia" w:hAnsi="Cambria Math" w:cs="Arial"/>
          </w:rPr>
          <m:t>i=1, . . . ., N</m:t>
        </m:r>
      </m:oMath>
      <w:r w:rsidR="0010547B" w:rsidRPr="00D81753">
        <w:rPr>
          <w:rFonts w:ascii="Arial" w:eastAsiaTheme="minorEastAsia" w:hAnsi="Arial" w:cs="Arial"/>
          <w:i/>
          <w:iCs/>
        </w:rPr>
        <w:t xml:space="preserve"> and </w:t>
      </w:r>
      <m:oMath>
        <m:r>
          <w:rPr>
            <w:rFonts w:ascii="Cambria Math" w:eastAsiaTheme="minorEastAsia" w:hAnsi="Cambria Math" w:cs="Arial"/>
          </w:rPr>
          <m:t>t=1, . . . ., T</m:t>
        </m:r>
      </m:oMath>
      <w:r w:rsidR="0010547B" w:rsidRPr="00D81753">
        <w:rPr>
          <w:rFonts w:ascii="Arial" w:eastAsiaTheme="minorEastAsia" w:hAnsi="Arial" w:cs="Arial"/>
          <w:i/>
          <w:iCs/>
        </w:rPr>
        <w:t xml:space="preserve">. </w:t>
      </w:r>
    </w:p>
    <w:p w14:paraId="38C3FBED" w14:textId="77777777" w:rsidR="0010547B" w:rsidRPr="00D81753" w:rsidRDefault="0010547B" w:rsidP="0010547B">
      <w:pPr>
        <w:pStyle w:val="FootnoteText"/>
        <w:jc w:val="both"/>
        <w:rPr>
          <w:rFonts w:ascii="Arial" w:eastAsiaTheme="minorEastAsia" w:hAnsi="Arial" w:cs="Arial"/>
          <w:i/>
          <w:iCs/>
        </w:rPr>
      </w:pPr>
      <w:r w:rsidRPr="00D81753">
        <w:rPr>
          <w:rFonts w:ascii="Arial" w:eastAsiaTheme="minorEastAsia" w:hAnsi="Arial" w:cs="Arial"/>
          <w:i/>
          <w:iCs/>
        </w:rPr>
        <w:t xml:space="preserve">Where </w:t>
      </w:r>
      <m:oMath>
        <m:sSub>
          <m:sSubPr>
            <m:ctrlPr>
              <w:rPr>
                <w:rFonts w:ascii="Cambria Math" w:hAnsi="Cambria Math" w:cs="Arial"/>
                <w:i/>
                <w:iCs/>
              </w:rPr>
            </m:ctrlPr>
          </m:sSubPr>
          <m:e>
            <m:r>
              <w:rPr>
                <w:rFonts w:ascii="Cambria Math" w:hAnsi="Cambria Math" w:cs="Arial"/>
              </w:rPr>
              <m:t>x</m:t>
            </m:r>
          </m:e>
          <m:sub>
            <m:r>
              <w:rPr>
                <w:rFonts w:ascii="Cambria Math" w:hAnsi="Cambria Math" w:cs="Arial"/>
              </w:rPr>
              <m:t>it</m:t>
            </m:r>
          </m:sub>
        </m:sSub>
      </m:oMath>
      <w:r w:rsidRPr="00D81753">
        <w:rPr>
          <w:rFonts w:ascii="Arial" w:eastAsiaTheme="minorEastAsia" w:hAnsi="Arial" w:cs="Arial"/>
          <w:i/>
          <w:iCs/>
        </w:rPr>
        <w:t xml:space="preserve"> is a k x 1 vector of regressors, </w:t>
      </w:r>
      <m:oMath>
        <m:r>
          <w:rPr>
            <w:rFonts w:ascii="Cambria Math" w:eastAsiaTheme="minorEastAsia" w:hAnsi="Cambria Math" w:cs="Arial"/>
          </w:rPr>
          <m:t>β</m:t>
        </m:r>
      </m:oMath>
      <w:r w:rsidRPr="00D81753">
        <w:rPr>
          <w:rFonts w:ascii="Arial" w:eastAsiaTheme="minorEastAsia" w:hAnsi="Arial" w:cs="Arial"/>
          <w:i/>
          <w:iCs/>
        </w:rPr>
        <w:t xml:space="preserve"> is a K x 1 vector of parameters to be estimated, and </w:t>
      </w:r>
      <m:oMath>
        <m:sSub>
          <m:sSubPr>
            <m:ctrlPr>
              <w:rPr>
                <w:rFonts w:ascii="Cambria Math" w:hAnsi="Cambria Math" w:cs="Arial"/>
                <w:i/>
                <w:iCs/>
              </w:rPr>
            </m:ctrlPr>
          </m:sSubPr>
          <m:e>
            <m:r>
              <w:rPr>
                <w:rFonts w:ascii="Cambria Math" w:hAnsi="Cambria Math" w:cs="Arial"/>
              </w:rPr>
              <m:t>α</m:t>
            </m:r>
          </m:e>
          <m:sub>
            <m:r>
              <w:rPr>
                <w:rFonts w:ascii="Cambria Math" w:hAnsi="Cambria Math" w:cs="Arial"/>
              </w:rPr>
              <m:t>i</m:t>
            </m:r>
          </m:sub>
        </m:sSub>
      </m:oMath>
      <w:r w:rsidRPr="00D81753">
        <w:rPr>
          <w:rFonts w:ascii="Arial" w:eastAsiaTheme="minorEastAsia" w:hAnsi="Arial" w:cs="Arial"/>
          <w:i/>
          <w:iCs/>
        </w:rPr>
        <w:t xml:space="preserve"> represents time-invariant individual nuisance parameters. Under the null hypothesis,  </w:t>
      </w:r>
      <m:oMath>
        <m:sSub>
          <m:sSubPr>
            <m:ctrlPr>
              <w:rPr>
                <w:rFonts w:ascii="Cambria Math" w:hAnsi="Cambria Math" w:cs="Arial"/>
                <w:i/>
                <w:iCs/>
              </w:rPr>
            </m:ctrlPr>
          </m:sSubPr>
          <m:e>
            <m:r>
              <w:rPr>
                <w:rFonts w:ascii="Cambria Math" w:hAnsi="Cambria Math" w:cs="Arial"/>
              </w:rPr>
              <m:t>ε</m:t>
            </m:r>
          </m:e>
          <m:sub>
            <m:r>
              <w:rPr>
                <w:rFonts w:ascii="Cambria Math" w:hAnsi="Cambria Math" w:cs="Arial"/>
              </w:rPr>
              <m:t>it</m:t>
            </m:r>
          </m:sub>
        </m:sSub>
      </m:oMath>
      <w:r w:rsidRPr="00D81753">
        <w:rPr>
          <w:rFonts w:ascii="Arial" w:eastAsiaTheme="minorEastAsia" w:hAnsi="Arial" w:cs="Arial"/>
          <w:i/>
          <w:iCs/>
        </w:rPr>
        <w:t xml:space="preserve">is assumed to be independent and identically distributed over periods and across-sectional units. Under the alternative, </w:t>
      </w:r>
      <m:oMath>
        <m:sSub>
          <m:sSubPr>
            <m:ctrlPr>
              <w:rPr>
                <w:rFonts w:ascii="Cambria Math" w:hAnsi="Cambria Math" w:cs="Arial"/>
                <w:i/>
                <w:iCs/>
              </w:rPr>
            </m:ctrlPr>
          </m:sSubPr>
          <m:e>
            <m:r>
              <w:rPr>
                <w:rFonts w:ascii="Cambria Math" w:hAnsi="Cambria Math" w:cs="Arial"/>
              </w:rPr>
              <m:t>ε</m:t>
            </m:r>
          </m:e>
          <m:sub>
            <m:r>
              <w:rPr>
                <w:rFonts w:ascii="Cambria Math" w:hAnsi="Cambria Math" w:cs="Arial"/>
              </w:rPr>
              <m:t>it</m:t>
            </m:r>
          </m:sub>
        </m:sSub>
      </m:oMath>
      <w:r w:rsidRPr="00D81753">
        <w:rPr>
          <w:rFonts w:ascii="Arial" w:eastAsiaTheme="minorEastAsia" w:hAnsi="Arial" w:cs="Arial"/>
          <w:i/>
          <w:iCs/>
        </w:rPr>
        <w:t>could be correlated across sections, but the assumption of no serial correlation remains. Breusch and Pagan (1980) proposed an LM statistic, which is valid for fixed N as T→ꝏ and is given by:</w:t>
      </w:r>
    </w:p>
    <w:p w14:paraId="51A4782E" w14:textId="77777777" w:rsidR="0010547B" w:rsidRPr="00D81753" w:rsidRDefault="0010547B" w:rsidP="0010547B">
      <w:pPr>
        <w:pStyle w:val="FootnoteText"/>
        <w:jc w:val="both"/>
        <w:rPr>
          <w:rFonts w:ascii="Arial" w:eastAsiaTheme="minorEastAsia" w:hAnsi="Arial" w:cs="Arial"/>
          <w:i/>
          <w:iCs/>
        </w:rPr>
      </w:pPr>
      <w:r w:rsidRPr="00D81753">
        <w:rPr>
          <w:rFonts w:ascii="Arial" w:eastAsiaTheme="minorEastAsia" w:hAnsi="Arial" w:cs="Arial"/>
          <w:i/>
          <w:iCs/>
        </w:rPr>
        <w:t xml:space="preserve">LM = </w:t>
      </w:r>
      <m:oMath>
        <m:r>
          <w:rPr>
            <w:rFonts w:ascii="Cambria Math" w:eastAsiaTheme="minorEastAsia" w:hAnsi="Cambria Math" w:cs="Arial"/>
          </w:rPr>
          <m:t>T</m:t>
        </m:r>
        <m:nary>
          <m:naryPr>
            <m:chr m:val="∑"/>
            <m:limLoc m:val="undOvr"/>
            <m:ctrlPr>
              <w:rPr>
                <w:rFonts w:ascii="Cambria Math" w:eastAsiaTheme="minorEastAsia" w:hAnsi="Cambria Math" w:cs="Arial"/>
                <w:i/>
                <w:iCs/>
              </w:rPr>
            </m:ctrlPr>
          </m:naryPr>
          <m:sub>
            <m:r>
              <w:rPr>
                <w:rFonts w:ascii="Cambria Math" w:eastAsiaTheme="minorEastAsia" w:hAnsi="Cambria Math" w:cs="Arial"/>
              </w:rPr>
              <m:t>i=1</m:t>
            </m:r>
          </m:sub>
          <m:sup>
            <m:r>
              <w:rPr>
                <w:rFonts w:ascii="Cambria Math" w:eastAsiaTheme="minorEastAsia" w:hAnsi="Cambria Math" w:cs="Arial"/>
              </w:rPr>
              <m:t>N-1</m:t>
            </m:r>
          </m:sup>
          <m:e>
            <m:nary>
              <m:naryPr>
                <m:chr m:val="∑"/>
                <m:limLoc m:val="undOvr"/>
                <m:ctrlPr>
                  <w:rPr>
                    <w:rFonts w:ascii="Cambria Math" w:eastAsiaTheme="minorEastAsia" w:hAnsi="Cambria Math" w:cs="Arial"/>
                    <w:i/>
                    <w:iCs/>
                  </w:rPr>
                </m:ctrlPr>
              </m:naryPr>
              <m:sub>
                <m:r>
                  <w:rPr>
                    <w:rFonts w:ascii="Cambria Math" w:eastAsiaTheme="minorEastAsia" w:hAnsi="Cambria Math" w:cs="Arial"/>
                  </w:rPr>
                  <m:t>j=i+1</m:t>
                </m:r>
              </m:sub>
              <m:sup>
                <m:r>
                  <w:rPr>
                    <w:rFonts w:ascii="Cambria Math" w:eastAsiaTheme="minorEastAsia" w:hAnsi="Cambria Math" w:cs="Arial"/>
                  </w:rPr>
                  <m:t>N</m:t>
                </m:r>
              </m:sup>
              <m:e>
                <m:sSubSup>
                  <m:sSubSupPr>
                    <m:ctrlPr>
                      <w:rPr>
                        <w:rFonts w:ascii="Cambria Math" w:eastAsiaTheme="minorEastAsia" w:hAnsi="Cambria Math" w:cs="Arial"/>
                        <w:i/>
                        <w:iCs/>
                      </w:rPr>
                    </m:ctrlPr>
                  </m:sSubSupPr>
                  <m:e>
                    <m:acc>
                      <m:accPr>
                        <m:ctrlPr>
                          <w:rPr>
                            <w:rFonts w:ascii="Cambria Math" w:eastAsiaTheme="minorEastAsia" w:hAnsi="Cambria Math" w:cs="Arial"/>
                            <w:i/>
                            <w:iCs/>
                          </w:rPr>
                        </m:ctrlPr>
                      </m:accPr>
                      <m:e>
                        <m:r>
                          <w:rPr>
                            <w:rFonts w:ascii="Cambria Math" w:eastAsiaTheme="minorEastAsia" w:hAnsi="Cambria Math" w:cs="Arial"/>
                          </w:rPr>
                          <m:t>P</m:t>
                        </m:r>
                      </m:e>
                    </m:acc>
                  </m:e>
                  <m:sub>
                    <m:r>
                      <w:rPr>
                        <w:rFonts w:ascii="Cambria Math" w:eastAsiaTheme="minorEastAsia" w:hAnsi="Cambria Math" w:cs="Arial"/>
                      </w:rPr>
                      <m:t>ij</m:t>
                    </m:r>
                  </m:sub>
                  <m:sup>
                    <m:r>
                      <w:rPr>
                        <w:rFonts w:ascii="Cambria Math" w:eastAsiaTheme="minorEastAsia" w:hAnsi="Cambria Math" w:cs="Arial"/>
                      </w:rPr>
                      <m:t>2</m:t>
                    </m:r>
                  </m:sup>
                </m:sSubSup>
              </m:e>
            </m:nary>
          </m:e>
        </m:nary>
      </m:oMath>
    </w:p>
    <w:p w14:paraId="2DA368AF" w14:textId="77777777" w:rsidR="0010547B" w:rsidRPr="00D81753" w:rsidRDefault="0010547B" w:rsidP="0010547B">
      <w:pPr>
        <w:pStyle w:val="FootnoteText"/>
        <w:jc w:val="both"/>
        <w:rPr>
          <w:rFonts w:ascii="Arial" w:eastAsiaTheme="minorEastAsia" w:hAnsi="Arial" w:cs="Arial"/>
          <w:i/>
          <w:iCs/>
        </w:rPr>
      </w:pPr>
      <w:r w:rsidRPr="00D81753">
        <w:rPr>
          <w:rFonts w:ascii="Arial" w:eastAsiaTheme="minorEastAsia" w:hAnsi="Arial" w:cs="Arial"/>
          <w:i/>
          <w:iCs/>
        </w:rPr>
        <w:t xml:space="preserve">Where </w:t>
      </w:r>
      <m:oMath>
        <m:sSub>
          <m:sSubPr>
            <m:ctrlPr>
              <w:rPr>
                <w:rFonts w:ascii="Cambria Math" w:eastAsiaTheme="minorEastAsia" w:hAnsi="Cambria Math" w:cs="Arial"/>
                <w:i/>
                <w:iCs/>
              </w:rPr>
            </m:ctrlPr>
          </m:sSubPr>
          <m:e>
            <m:acc>
              <m:accPr>
                <m:ctrlPr>
                  <w:rPr>
                    <w:rFonts w:ascii="Cambria Math" w:eastAsiaTheme="minorEastAsia" w:hAnsi="Cambria Math" w:cs="Arial"/>
                    <w:i/>
                    <w:iCs/>
                  </w:rPr>
                </m:ctrlPr>
              </m:accPr>
              <m:e>
                <m:r>
                  <w:rPr>
                    <w:rFonts w:ascii="Cambria Math" w:eastAsiaTheme="minorEastAsia" w:hAnsi="Cambria Math" w:cs="Arial"/>
                  </w:rPr>
                  <m:t>P</m:t>
                </m:r>
              </m:e>
            </m:acc>
          </m:e>
          <m:sub>
            <m:r>
              <w:rPr>
                <w:rFonts w:ascii="Cambria Math" w:eastAsiaTheme="minorEastAsia" w:hAnsi="Cambria Math" w:cs="Arial"/>
              </w:rPr>
              <m:t>ij</m:t>
            </m:r>
          </m:sub>
        </m:sSub>
      </m:oMath>
      <w:r w:rsidRPr="00D81753">
        <w:rPr>
          <w:rFonts w:ascii="Arial" w:eastAsiaTheme="minorEastAsia" w:hAnsi="Arial" w:cs="Arial"/>
          <w:i/>
          <w:iCs/>
        </w:rPr>
        <w:t xml:space="preserve"> is the sample estimate of the pairwise correlation of the residuals</w:t>
      </w:r>
    </w:p>
    <w:p w14:paraId="70F3D198" w14:textId="77777777" w:rsidR="0010547B" w:rsidRPr="00C13EB8" w:rsidRDefault="00000000" w:rsidP="0010547B">
      <w:pPr>
        <w:pStyle w:val="FootnoteText"/>
        <w:jc w:val="both"/>
        <w:rPr>
          <w:rFonts w:eastAsiaTheme="minorEastAsia"/>
          <w:i/>
        </w:rPr>
      </w:pPr>
      <m:oMath>
        <m:sSub>
          <m:sSubPr>
            <m:ctrlPr>
              <w:rPr>
                <w:rFonts w:ascii="Cambria Math" w:eastAsiaTheme="minorEastAsia" w:hAnsi="Cambria Math" w:cs="Arial"/>
                <w:i/>
                <w:iCs/>
              </w:rPr>
            </m:ctrlPr>
          </m:sSubPr>
          <m:e>
            <m:acc>
              <m:accPr>
                <m:ctrlPr>
                  <w:rPr>
                    <w:rFonts w:ascii="Cambria Math" w:eastAsiaTheme="minorEastAsia" w:hAnsi="Cambria Math" w:cs="Arial"/>
                    <w:i/>
                    <w:iCs/>
                  </w:rPr>
                </m:ctrlPr>
              </m:accPr>
              <m:e>
                <m:r>
                  <w:rPr>
                    <w:rFonts w:ascii="Cambria Math" w:eastAsiaTheme="minorEastAsia" w:hAnsi="Cambria Math" w:cs="Arial"/>
                  </w:rPr>
                  <m:t>P</m:t>
                </m:r>
              </m:e>
            </m:acc>
          </m:e>
          <m:sub>
            <m:r>
              <w:rPr>
                <w:rFonts w:ascii="Cambria Math" w:eastAsiaTheme="minorEastAsia" w:hAnsi="Cambria Math" w:cs="Arial"/>
              </w:rPr>
              <m:t>ij</m:t>
            </m:r>
          </m:sub>
        </m:sSub>
      </m:oMath>
      <w:r w:rsidR="0010547B" w:rsidRPr="00D81753">
        <w:rPr>
          <w:rFonts w:ascii="Arial" w:eastAsiaTheme="minorEastAsia" w:hAnsi="Arial" w:cs="Arial"/>
          <w:i/>
          <w:iCs/>
        </w:rPr>
        <w:t>=</w:t>
      </w:r>
      <m:oMath>
        <m:sSub>
          <m:sSubPr>
            <m:ctrlPr>
              <w:rPr>
                <w:rFonts w:ascii="Cambria Math" w:eastAsiaTheme="minorEastAsia" w:hAnsi="Cambria Math" w:cs="Arial"/>
                <w:i/>
                <w:iCs/>
              </w:rPr>
            </m:ctrlPr>
          </m:sSubPr>
          <m:e>
            <m:acc>
              <m:accPr>
                <m:ctrlPr>
                  <w:rPr>
                    <w:rFonts w:ascii="Cambria Math" w:eastAsiaTheme="minorEastAsia" w:hAnsi="Cambria Math" w:cs="Arial"/>
                    <w:i/>
                    <w:iCs/>
                  </w:rPr>
                </m:ctrlPr>
              </m:accPr>
              <m:e>
                <m:r>
                  <w:rPr>
                    <w:rFonts w:ascii="Cambria Math" w:eastAsiaTheme="minorEastAsia" w:hAnsi="Cambria Math" w:cs="Arial"/>
                  </w:rPr>
                  <m:t>P</m:t>
                </m:r>
              </m:e>
            </m:acc>
          </m:e>
          <m:sub>
            <m:r>
              <w:rPr>
                <w:rFonts w:ascii="Cambria Math" w:eastAsiaTheme="minorEastAsia" w:hAnsi="Cambria Math" w:cs="Arial"/>
              </w:rPr>
              <m:t>ji</m:t>
            </m:r>
          </m:sub>
        </m:sSub>
      </m:oMath>
      <w:r w:rsidR="0010547B" w:rsidRPr="00D81753">
        <w:rPr>
          <w:rFonts w:ascii="Arial" w:eastAsiaTheme="minorEastAsia" w:hAnsi="Arial" w:cs="Arial"/>
          <w:i/>
          <w:iCs/>
        </w:rPr>
        <w:t xml:space="preserve"> = </w:t>
      </w:r>
      <m:oMath>
        <m:f>
          <m:fPr>
            <m:ctrlPr>
              <w:rPr>
                <w:rFonts w:ascii="Cambria Math" w:eastAsiaTheme="minorEastAsia" w:hAnsi="Cambria Math" w:cs="Arial"/>
                <w:i/>
                <w:iCs/>
              </w:rPr>
            </m:ctrlPr>
          </m:fPr>
          <m:num>
            <m:nary>
              <m:naryPr>
                <m:chr m:val="∑"/>
                <m:limLoc m:val="undOvr"/>
                <m:ctrlPr>
                  <w:rPr>
                    <w:rFonts w:ascii="Cambria Math" w:eastAsiaTheme="minorEastAsia" w:hAnsi="Cambria Math" w:cs="Arial"/>
                    <w:i/>
                    <w:iCs/>
                  </w:rPr>
                </m:ctrlPr>
              </m:naryPr>
              <m:sub>
                <m:r>
                  <w:rPr>
                    <w:rFonts w:ascii="Cambria Math" w:eastAsiaTheme="minorEastAsia" w:hAnsi="Cambria Math" w:cs="Arial"/>
                  </w:rPr>
                  <m:t>i=1</m:t>
                </m:r>
              </m:sub>
              <m:sup>
                <m:r>
                  <w:rPr>
                    <w:rFonts w:ascii="Cambria Math" w:eastAsiaTheme="minorEastAsia" w:hAnsi="Cambria Math" w:cs="Arial"/>
                  </w:rPr>
                  <m:t>T</m:t>
                </m:r>
              </m:sup>
              <m:e>
                <m:sSub>
                  <m:sSubPr>
                    <m:ctrlPr>
                      <w:rPr>
                        <w:rFonts w:ascii="Cambria Math" w:eastAsiaTheme="minorEastAsia" w:hAnsi="Cambria Math" w:cs="Arial"/>
                        <w:i/>
                        <w:iCs/>
                      </w:rPr>
                    </m:ctrlPr>
                  </m:sSubPr>
                  <m:e>
                    <m:acc>
                      <m:accPr>
                        <m:ctrlPr>
                          <w:rPr>
                            <w:rFonts w:ascii="Cambria Math" w:eastAsiaTheme="minorEastAsia" w:hAnsi="Cambria Math" w:cs="Arial"/>
                            <w:i/>
                            <w:iCs/>
                          </w:rPr>
                        </m:ctrlPr>
                      </m:accPr>
                      <m:e>
                        <m:r>
                          <w:rPr>
                            <w:rFonts w:ascii="Cambria Math" w:eastAsiaTheme="minorEastAsia" w:hAnsi="Cambria Math" w:cs="Arial"/>
                          </w:rPr>
                          <m:t>ε</m:t>
                        </m:r>
                      </m:e>
                    </m:acc>
                  </m:e>
                  <m:sub>
                    <m:r>
                      <w:rPr>
                        <w:rFonts w:ascii="Cambria Math" w:eastAsiaTheme="minorEastAsia" w:hAnsi="Cambria Math" w:cs="Arial"/>
                      </w:rPr>
                      <m:t>it</m:t>
                    </m:r>
                  </m:sub>
                </m:sSub>
              </m:e>
            </m:nary>
            <m:sSub>
              <m:sSubPr>
                <m:ctrlPr>
                  <w:rPr>
                    <w:rFonts w:ascii="Cambria Math" w:eastAsiaTheme="minorEastAsia" w:hAnsi="Cambria Math" w:cs="Arial"/>
                    <w:i/>
                    <w:iCs/>
                  </w:rPr>
                </m:ctrlPr>
              </m:sSubPr>
              <m:e>
                <m:acc>
                  <m:accPr>
                    <m:ctrlPr>
                      <w:rPr>
                        <w:rFonts w:ascii="Cambria Math" w:eastAsiaTheme="minorEastAsia" w:hAnsi="Cambria Math" w:cs="Arial"/>
                        <w:i/>
                        <w:iCs/>
                      </w:rPr>
                    </m:ctrlPr>
                  </m:accPr>
                  <m:e>
                    <m:r>
                      <w:rPr>
                        <w:rFonts w:ascii="Cambria Math" w:eastAsiaTheme="minorEastAsia" w:hAnsi="Cambria Math" w:cs="Arial"/>
                      </w:rPr>
                      <m:t>ε</m:t>
                    </m:r>
                  </m:e>
                </m:acc>
              </m:e>
              <m:sub>
                <m:r>
                  <w:rPr>
                    <w:rFonts w:ascii="Cambria Math" w:eastAsiaTheme="minorEastAsia" w:hAnsi="Cambria Math" w:cs="Arial"/>
                  </w:rPr>
                  <m:t>jt</m:t>
                </m:r>
              </m:sub>
            </m:sSub>
          </m:num>
          <m:den>
            <m:sSup>
              <m:sSupPr>
                <m:ctrlPr>
                  <w:rPr>
                    <w:rFonts w:ascii="Cambria Math" w:eastAsiaTheme="minorEastAsia" w:hAnsi="Cambria Math" w:cs="Arial"/>
                    <w:i/>
                    <w:iCs/>
                  </w:rPr>
                </m:ctrlPr>
              </m:sSupPr>
              <m:e>
                <m:d>
                  <m:dPr>
                    <m:ctrlPr>
                      <w:rPr>
                        <w:rFonts w:ascii="Cambria Math" w:eastAsiaTheme="minorEastAsia" w:hAnsi="Cambria Math" w:cs="Arial"/>
                        <w:i/>
                        <w:iCs/>
                      </w:rPr>
                    </m:ctrlPr>
                  </m:dPr>
                  <m:e>
                    <m:nary>
                      <m:naryPr>
                        <m:chr m:val="∑"/>
                        <m:limLoc m:val="undOvr"/>
                        <m:ctrlPr>
                          <w:rPr>
                            <w:rFonts w:ascii="Cambria Math" w:eastAsiaTheme="minorEastAsia" w:hAnsi="Cambria Math" w:cs="Arial"/>
                            <w:i/>
                            <w:iCs/>
                          </w:rPr>
                        </m:ctrlPr>
                      </m:naryPr>
                      <m:sub>
                        <m:r>
                          <w:rPr>
                            <w:rFonts w:ascii="Cambria Math" w:eastAsiaTheme="minorEastAsia" w:hAnsi="Cambria Math" w:cs="Arial"/>
                          </w:rPr>
                          <m:t>t=1</m:t>
                        </m:r>
                      </m:sub>
                      <m:sup>
                        <m:r>
                          <w:rPr>
                            <w:rFonts w:ascii="Cambria Math" w:eastAsiaTheme="minorEastAsia" w:hAnsi="Cambria Math" w:cs="Arial"/>
                          </w:rPr>
                          <m:t>T</m:t>
                        </m:r>
                      </m:sup>
                      <m:e>
                        <m:sSubSup>
                          <m:sSubSupPr>
                            <m:ctrlPr>
                              <w:rPr>
                                <w:rFonts w:ascii="Cambria Math" w:eastAsiaTheme="minorEastAsia" w:hAnsi="Cambria Math" w:cs="Arial"/>
                                <w:i/>
                                <w:iCs/>
                              </w:rPr>
                            </m:ctrlPr>
                          </m:sSubSupPr>
                          <m:e>
                            <m:acc>
                              <m:accPr>
                                <m:ctrlPr>
                                  <w:rPr>
                                    <w:rFonts w:ascii="Cambria Math" w:eastAsiaTheme="minorEastAsia" w:hAnsi="Cambria Math" w:cs="Arial"/>
                                    <w:i/>
                                    <w:iCs/>
                                  </w:rPr>
                                </m:ctrlPr>
                              </m:accPr>
                              <m:e>
                                <m:r>
                                  <w:rPr>
                                    <w:rFonts w:ascii="Cambria Math" w:eastAsiaTheme="minorEastAsia" w:hAnsi="Cambria Math" w:cs="Arial"/>
                                  </w:rPr>
                                  <m:t>ε</m:t>
                                </m:r>
                              </m:e>
                            </m:acc>
                          </m:e>
                          <m:sub>
                            <m:r>
                              <w:rPr>
                                <w:rFonts w:ascii="Cambria Math" w:eastAsiaTheme="minorEastAsia" w:hAnsi="Cambria Math" w:cs="Arial"/>
                              </w:rPr>
                              <m:t>it</m:t>
                            </m:r>
                          </m:sub>
                          <m:sup>
                            <m:r>
                              <w:rPr>
                                <w:rFonts w:ascii="Cambria Math" w:eastAsiaTheme="minorEastAsia" w:hAnsi="Cambria Math" w:cs="Arial"/>
                              </w:rPr>
                              <m:t>2</m:t>
                            </m:r>
                          </m:sup>
                        </m:sSubSup>
                      </m:e>
                    </m:nary>
                  </m:e>
                </m:d>
              </m:e>
              <m:sup>
                <m:f>
                  <m:fPr>
                    <m:type m:val="lin"/>
                    <m:ctrlPr>
                      <w:rPr>
                        <w:rFonts w:ascii="Cambria Math" w:eastAsiaTheme="minorEastAsia" w:hAnsi="Cambria Math" w:cs="Arial"/>
                        <w:i/>
                        <w:iCs/>
                      </w:rPr>
                    </m:ctrlPr>
                  </m:fPr>
                  <m:num>
                    <m:r>
                      <w:rPr>
                        <w:rFonts w:ascii="Cambria Math" w:eastAsiaTheme="minorEastAsia" w:hAnsi="Cambria Math" w:cs="Arial"/>
                      </w:rPr>
                      <m:t>1</m:t>
                    </m:r>
                  </m:num>
                  <m:den>
                    <m:r>
                      <w:rPr>
                        <w:rFonts w:ascii="Cambria Math" w:eastAsiaTheme="minorEastAsia" w:hAnsi="Cambria Math" w:cs="Arial"/>
                      </w:rPr>
                      <m:t>2</m:t>
                    </m:r>
                  </m:den>
                </m:f>
              </m:sup>
            </m:sSup>
            <m:sSup>
              <m:sSupPr>
                <m:ctrlPr>
                  <w:rPr>
                    <w:rFonts w:ascii="Cambria Math" w:eastAsiaTheme="minorEastAsia" w:hAnsi="Cambria Math" w:cs="Arial"/>
                    <w:i/>
                    <w:iCs/>
                  </w:rPr>
                </m:ctrlPr>
              </m:sSupPr>
              <m:e>
                <m:d>
                  <m:dPr>
                    <m:ctrlPr>
                      <w:rPr>
                        <w:rFonts w:ascii="Cambria Math" w:eastAsiaTheme="minorEastAsia" w:hAnsi="Cambria Math" w:cs="Arial"/>
                        <w:i/>
                        <w:iCs/>
                      </w:rPr>
                    </m:ctrlPr>
                  </m:dPr>
                  <m:e>
                    <m:nary>
                      <m:naryPr>
                        <m:chr m:val="∑"/>
                        <m:limLoc m:val="undOvr"/>
                        <m:ctrlPr>
                          <w:rPr>
                            <w:rFonts w:ascii="Cambria Math" w:eastAsiaTheme="minorEastAsia" w:hAnsi="Cambria Math" w:cs="Arial"/>
                            <w:i/>
                            <w:iCs/>
                          </w:rPr>
                        </m:ctrlPr>
                      </m:naryPr>
                      <m:sub>
                        <m:r>
                          <w:rPr>
                            <w:rFonts w:ascii="Cambria Math" w:eastAsiaTheme="minorEastAsia" w:hAnsi="Cambria Math" w:cs="Arial"/>
                          </w:rPr>
                          <m:t>t=1</m:t>
                        </m:r>
                      </m:sub>
                      <m:sup>
                        <m:r>
                          <w:rPr>
                            <w:rFonts w:ascii="Cambria Math" w:eastAsiaTheme="minorEastAsia" w:hAnsi="Cambria Math" w:cs="Arial"/>
                          </w:rPr>
                          <m:t>T</m:t>
                        </m:r>
                      </m:sup>
                      <m:e>
                        <m:sSubSup>
                          <m:sSubSupPr>
                            <m:ctrlPr>
                              <w:rPr>
                                <w:rFonts w:ascii="Cambria Math" w:eastAsiaTheme="minorEastAsia" w:hAnsi="Cambria Math" w:cs="Arial"/>
                                <w:i/>
                                <w:iCs/>
                              </w:rPr>
                            </m:ctrlPr>
                          </m:sSubSupPr>
                          <m:e>
                            <m:acc>
                              <m:accPr>
                                <m:ctrlPr>
                                  <w:rPr>
                                    <w:rFonts w:ascii="Cambria Math" w:eastAsiaTheme="minorEastAsia" w:hAnsi="Cambria Math" w:cs="Arial"/>
                                    <w:i/>
                                    <w:iCs/>
                                  </w:rPr>
                                </m:ctrlPr>
                              </m:accPr>
                              <m:e>
                                <m:r>
                                  <w:rPr>
                                    <w:rFonts w:ascii="Cambria Math" w:eastAsiaTheme="minorEastAsia" w:hAnsi="Cambria Math" w:cs="Arial"/>
                                  </w:rPr>
                                  <m:t>ε</m:t>
                                </m:r>
                              </m:e>
                            </m:acc>
                          </m:e>
                          <m:sub>
                            <m:r>
                              <w:rPr>
                                <w:rFonts w:ascii="Cambria Math" w:eastAsiaTheme="minorEastAsia" w:hAnsi="Cambria Math" w:cs="Arial"/>
                              </w:rPr>
                              <m:t>jt</m:t>
                            </m:r>
                          </m:sub>
                          <m:sup>
                            <m:r>
                              <w:rPr>
                                <w:rFonts w:ascii="Cambria Math" w:eastAsiaTheme="minorEastAsia" w:hAnsi="Cambria Math" w:cs="Arial"/>
                              </w:rPr>
                              <m:t>2</m:t>
                            </m:r>
                          </m:sup>
                        </m:sSubSup>
                      </m:e>
                    </m:nary>
                  </m:e>
                </m:d>
              </m:e>
              <m:sup>
                <m:f>
                  <m:fPr>
                    <m:type m:val="lin"/>
                    <m:ctrlPr>
                      <w:rPr>
                        <w:rFonts w:ascii="Cambria Math" w:eastAsiaTheme="minorEastAsia" w:hAnsi="Cambria Math" w:cs="Arial"/>
                        <w:i/>
                        <w:iCs/>
                      </w:rPr>
                    </m:ctrlPr>
                  </m:fPr>
                  <m:num>
                    <m:r>
                      <w:rPr>
                        <w:rFonts w:ascii="Cambria Math" w:eastAsiaTheme="minorEastAsia" w:hAnsi="Cambria Math" w:cs="Arial"/>
                      </w:rPr>
                      <m:t>1</m:t>
                    </m:r>
                  </m:num>
                  <m:den>
                    <m:r>
                      <w:rPr>
                        <w:rFonts w:ascii="Cambria Math" w:eastAsiaTheme="minorEastAsia" w:hAnsi="Cambria Math" w:cs="Arial"/>
                      </w:rPr>
                      <m:t>2</m:t>
                    </m:r>
                  </m:den>
                </m:f>
              </m:sup>
            </m:sSup>
          </m:den>
        </m:f>
      </m:oMath>
    </w:p>
  </w:footnote>
  <w:footnote w:id="153">
    <w:p w14:paraId="54BCB41F" w14:textId="77777777" w:rsidR="0010547B" w:rsidRPr="005B2E7C" w:rsidRDefault="0010547B" w:rsidP="0010547B">
      <w:pPr>
        <w:pStyle w:val="FootnoteText"/>
        <w:rPr>
          <w:i/>
          <w:iCs/>
        </w:rPr>
      </w:pPr>
      <w:r>
        <w:rPr>
          <w:rStyle w:val="FootnoteReference"/>
        </w:rPr>
        <w:footnoteRef/>
      </w:r>
      <w:r>
        <w:t xml:space="preserve"> </w:t>
      </w:r>
      <w:r w:rsidRPr="005B2E7C">
        <w:rPr>
          <w:rFonts w:ascii="Arial" w:hAnsi="Arial" w:cs="Arial"/>
          <w:i/>
          <w:iCs/>
        </w:rPr>
        <w:t>Stationarity of a variable implies that its mean, variance and covariance are constant over time. This means that the series is time invariant. However, if this is not the case, it implies that the series is non-stationary. A non-stationary variable has a definite positive or negative trend over time and is said to have a unit root</w:t>
      </w:r>
      <w:r>
        <w:rPr>
          <w:rFonts w:ascii="Arial" w:hAnsi="Arial" w:cs="Arial"/>
        </w:rPr>
        <w:t>.</w:t>
      </w:r>
    </w:p>
  </w:footnote>
  <w:footnote w:id="154">
    <w:p w14:paraId="6656E57F" w14:textId="77777777" w:rsidR="0010547B" w:rsidRDefault="0010547B" w:rsidP="0010547B">
      <w:pPr>
        <w:pStyle w:val="FootnoteText"/>
        <w:jc w:val="both"/>
      </w:pPr>
      <w:r>
        <w:rPr>
          <w:rStyle w:val="FootnoteReference"/>
        </w:rPr>
        <w:footnoteRef/>
      </w:r>
      <w:r>
        <w:t xml:space="preserve"> </w:t>
      </w:r>
      <w:r w:rsidRPr="00107E4D">
        <w:rPr>
          <w:rFonts w:ascii="Arial" w:hAnsi="Arial" w:cs="Arial"/>
          <w:i/>
          <w:iCs/>
          <w:lang w:eastAsia="en-GB"/>
        </w:rPr>
        <w:t>There are two types of panel unit root tests. The first-generation unit root tests assume cross-sectional independence and homogeneity across-sections. While the second-generation of panel unit root tests assumes cross-sectional dependence.</w:t>
      </w:r>
    </w:p>
  </w:footnote>
  <w:footnote w:id="155">
    <w:p w14:paraId="2EAF29FB" w14:textId="77777777" w:rsidR="0010547B" w:rsidRPr="00881014" w:rsidRDefault="0010547B" w:rsidP="0010547B">
      <w:pPr>
        <w:pStyle w:val="NoSpacing"/>
        <w:jc w:val="both"/>
        <w:rPr>
          <w:rFonts w:ascii="Arial" w:hAnsi="Arial" w:cs="Arial"/>
          <w:i/>
          <w:iCs/>
          <w:sz w:val="20"/>
          <w:szCs w:val="20"/>
        </w:rPr>
      </w:pPr>
      <w:r w:rsidRPr="00881014">
        <w:rPr>
          <w:rStyle w:val="FootnoteReference"/>
          <w:i/>
          <w:iCs/>
        </w:rPr>
        <w:footnoteRef/>
      </w:r>
      <w:r w:rsidRPr="00881014">
        <w:t xml:space="preserve"> </w:t>
      </w:r>
      <w:r w:rsidRPr="00881014">
        <w:rPr>
          <w:rFonts w:ascii="Arial" w:hAnsi="Arial" w:cs="Arial"/>
          <w:i/>
          <w:iCs/>
          <w:sz w:val="20"/>
          <w:szCs w:val="20"/>
        </w:rPr>
        <w:t xml:space="preserve">To test a variable </w:t>
      </w:r>
      <m:oMath>
        <m:sSub>
          <m:sSubPr>
            <m:ctrlPr>
              <w:rPr>
                <w:rFonts w:ascii="Cambria Math" w:hAnsi="Cambria Math" w:cs="Arial"/>
                <w:i/>
                <w:iCs/>
                <w:kern w:val="2"/>
                <w:sz w:val="20"/>
                <w:szCs w:val="20"/>
              </w:rPr>
            </m:ctrlPr>
          </m:sSubPr>
          <m:e>
            <m:r>
              <w:rPr>
                <w:rFonts w:ascii="Cambria Math" w:hAnsi="Cambria Math" w:cs="Arial"/>
                <w:sz w:val="20"/>
                <w:szCs w:val="20"/>
              </w:rPr>
              <m:t>Y</m:t>
            </m:r>
          </m:e>
          <m:sub>
            <m:r>
              <w:rPr>
                <w:rFonts w:ascii="Cambria Math" w:hAnsi="Cambria Math" w:cs="Arial"/>
                <w:sz w:val="20"/>
                <w:szCs w:val="20"/>
              </w:rPr>
              <m:t>it</m:t>
            </m:r>
          </m:sub>
        </m:sSub>
      </m:oMath>
      <w:r w:rsidRPr="00881014">
        <w:rPr>
          <w:rFonts w:ascii="Arial" w:hAnsi="Arial" w:cs="Arial"/>
          <w:i/>
          <w:iCs/>
          <w:sz w:val="20"/>
          <w:szCs w:val="20"/>
        </w:rPr>
        <w:t xml:space="preserve"> for a unit root the following regression equation is estimated:</w:t>
      </w:r>
    </w:p>
    <w:p w14:paraId="10EA4ACB" w14:textId="77777777" w:rsidR="0010547B" w:rsidRPr="00881014" w:rsidRDefault="0010547B" w:rsidP="0010547B">
      <w:pPr>
        <w:pStyle w:val="NoSpacing"/>
        <w:jc w:val="both"/>
        <w:rPr>
          <w:rFonts w:ascii="Arial" w:hAnsi="Arial" w:cs="Arial"/>
          <w:i/>
          <w:iCs/>
          <w:sz w:val="20"/>
          <w:szCs w:val="20"/>
        </w:rPr>
      </w:pPr>
      <m:oMath>
        <m:r>
          <w:rPr>
            <w:rFonts w:ascii="Cambria Math" w:hAnsi="Cambria Math" w:cs="Arial"/>
            <w:sz w:val="20"/>
            <w:szCs w:val="20"/>
          </w:rPr>
          <m:t>Δ</m:t>
        </m:r>
        <m:sSub>
          <m:sSubPr>
            <m:ctrlPr>
              <w:rPr>
                <w:rFonts w:ascii="Cambria Math" w:hAnsi="Cambria Math" w:cs="Arial"/>
                <w:i/>
                <w:iCs/>
                <w:sz w:val="20"/>
                <w:szCs w:val="20"/>
              </w:rPr>
            </m:ctrlPr>
          </m:sSubPr>
          <m:e>
            <m:r>
              <w:rPr>
                <w:rFonts w:ascii="Cambria Math" w:hAnsi="Cambria Math" w:cs="Arial"/>
                <w:sz w:val="20"/>
                <w:szCs w:val="20"/>
              </w:rPr>
              <m:t>Y</m:t>
            </m:r>
          </m:e>
          <m:sub>
            <m:r>
              <w:rPr>
                <w:rFonts w:ascii="Cambria Math" w:hAnsi="Cambria Math" w:cs="Arial"/>
                <w:sz w:val="20"/>
                <w:szCs w:val="20"/>
              </w:rPr>
              <m:t>it</m:t>
            </m:r>
          </m:sub>
        </m:sSub>
        <m:r>
          <w:rPr>
            <w:rFonts w:ascii="Cambria Math" w:hAnsi="Cambria Math" w:cs="Arial"/>
            <w:sz w:val="20"/>
            <w:szCs w:val="20"/>
          </w:rPr>
          <m:t>=</m:t>
        </m:r>
        <m:sSub>
          <m:sSubPr>
            <m:ctrlPr>
              <w:rPr>
                <w:rFonts w:ascii="Cambria Math" w:hAnsi="Cambria Math" w:cs="Arial"/>
                <w:i/>
                <w:iCs/>
                <w:sz w:val="20"/>
                <w:szCs w:val="20"/>
              </w:rPr>
            </m:ctrlPr>
          </m:sSubPr>
          <m:e>
            <m:r>
              <w:rPr>
                <w:rFonts w:ascii="Cambria Math" w:hAnsi="Cambria Math" w:cs="Arial"/>
                <w:sz w:val="20"/>
                <w:szCs w:val="20"/>
              </w:rPr>
              <m:t>α</m:t>
            </m:r>
          </m:e>
          <m:sub>
            <m:r>
              <w:rPr>
                <w:rFonts w:ascii="Cambria Math" w:hAnsi="Cambria Math" w:cs="Arial"/>
                <w:sz w:val="20"/>
                <w:szCs w:val="20"/>
              </w:rPr>
              <m:t>i0</m:t>
            </m:r>
          </m:sub>
        </m:sSub>
        <m:r>
          <w:rPr>
            <w:rFonts w:ascii="Cambria Math" w:hAnsi="Cambria Math" w:cs="Arial"/>
            <w:sz w:val="20"/>
            <w:szCs w:val="20"/>
          </w:rPr>
          <m:t>+</m:t>
        </m:r>
        <m:sSub>
          <m:sSubPr>
            <m:ctrlPr>
              <w:rPr>
                <w:rFonts w:ascii="Cambria Math" w:hAnsi="Cambria Math" w:cs="Arial"/>
                <w:i/>
                <w:iCs/>
                <w:sz w:val="20"/>
                <w:szCs w:val="20"/>
              </w:rPr>
            </m:ctrlPr>
          </m:sSubPr>
          <m:e>
            <m:r>
              <w:rPr>
                <w:rFonts w:ascii="Cambria Math" w:hAnsi="Cambria Math" w:cs="Arial"/>
                <w:sz w:val="20"/>
                <w:szCs w:val="20"/>
              </w:rPr>
              <m:t>α</m:t>
            </m:r>
          </m:e>
          <m:sub>
            <m:r>
              <w:rPr>
                <w:rFonts w:ascii="Cambria Math" w:hAnsi="Cambria Math" w:cs="Arial"/>
                <w:sz w:val="20"/>
                <w:szCs w:val="20"/>
              </w:rPr>
              <m:t>i1</m:t>
            </m:r>
          </m:sub>
        </m:sSub>
        <m:r>
          <w:rPr>
            <w:rFonts w:ascii="Cambria Math" w:hAnsi="Cambria Math" w:cs="Arial"/>
            <w:sz w:val="20"/>
            <w:szCs w:val="20"/>
          </w:rPr>
          <m:t>t+</m:t>
        </m:r>
        <m:sSub>
          <m:sSubPr>
            <m:ctrlPr>
              <w:rPr>
                <w:rFonts w:ascii="Cambria Math" w:hAnsi="Cambria Math" w:cs="Arial"/>
                <w:i/>
                <w:iCs/>
                <w:sz w:val="20"/>
                <w:szCs w:val="20"/>
              </w:rPr>
            </m:ctrlPr>
          </m:sSubPr>
          <m:e>
            <m:r>
              <w:rPr>
                <w:rFonts w:ascii="Cambria Math" w:hAnsi="Cambria Math" w:cs="Arial"/>
                <w:sz w:val="20"/>
                <w:szCs w:val="20"/>
              </w:rPr>
              <m:t>α</m:t>
            </m:r>
          </m:e>
          <m:sub>
            <m:r>
              <w:rPr>
                <w:rFonts w:ascii="Cambria Math" w:hAnsi="Cambria Math" w:cs="Arial"/>
                <w:sz w:val="20"/>
                <w:szCs w:val="20"/>
              </w:rPr>
              <m:t>i2</m:t>
            </m:r>
          </m:sub>
        </m:sSub>
        <m:sSub>
          <m:sSubPr>
            <m:ctrlPr>
              <w:rPr>
                <w:rFonts w:ascii="Cambria Math" w:hAnsi="Cambria Math" w:cs="Arial"/>
                <w:i/>
                <w:iCs/>
                <w:sz w:val="20"/>
                <w:szCs w:val="20"/>
              </w:rPr>
            </m:ctrlPr>
          </m:sSubPr>
          <m:e>
            <m:r>
              <w:rPr>
                <w:rFonts w:ascii="Cambria Math" w:hAnsi="Cambria Math" w:cs="Arial"/>
                <w:sz w:val="20"/>
                <w:szCs w:val="20"/>
              </w:rPr>
              <m:t>Y</m:t>
            </m:r>
          </m:e>
          <m:sub>
            <m:r>
              <w:rPr>
                <w:rFonts w:ascii="Cambria Math" w:hAnsi="Cambria Math" w:cs="Arial"/>
                <w:sz w:val="20"/>
                <w:szCs w:val="20"/>
              </w:rPr>
              <m:t>it-1</m:t>
            </m:r>
          </m:sub>
        </m:sSub>
        <m:r>
          <w:rPr>
            <w:rFonts w:ascii="Cambria Math" w:hAnsi="Cambria Math" w:cs="Arial"/>
            <w:sz w:val="20"/>
            <w:szCs w:val="20"/>
          </w:rPr>
          <m:t>+</m:t>
        </m:r>
        <m:r>
          <m:rPr>
            <m:nor/>
          </m:rPr>
          <w:rPr>
            <w:rFonts w:ascii="Arial" w:hAnsi="Arial" w:cs="Arial"/>
            <w:i/>
            <w:iCs/>
            <w:sz w:val="20"/>
            <w:szCs w:val="20"/>
          </w:rPr>
          <m:t xml:space="preserve">  lags of </m:t>
        </m:r>
        <m:r>
          <w:rPr>
            <w:rFonts w:ascii="Cambria Math" w:hAnsi="Cambria Math" w:cs="Arial"/>
            <w:sz w:val="20"/>
            <w:szCs w:val="20"/>
          </w:rPr>
          <m:t>Δ</m:t>
        </m:r>
        <m:sSub>
          <m:sSubPr>
            <m:ctrlPr>
              <w:rPr>
                <w:rFonts w:ascii="Cambria Math" w:hAnsi="Cambria Math" w:cs="Arial"/>
                <w:i/>
                <w:iCs/>
                <w:sz w:val="20"/>
                <w:szCs w:val="20"/>
              </w:rPr>
            </m:ctrlPr>
          </m:sSubPr>
          <m:e>
            <m:r>
              <w:rPr>
                <w:rFonts w:ascii="Cambria Math" w:hAnsi="Cambria Math" w:cs="Arial"/>
                <w:sz w:val="20"/>
                <w:szCs w:val="20"/>
              </w:rPr>
              <m:t>Y</m:t>
            </m:r>
          </m:e>
          <m:sub>
            <m:r>
              <w:rPr>
                <w:rFonts w:ascii="Cambria Math" w:hAnsi="Cambria Math" w:cs="Arial"/>
                <w:sz w:val="20"/>
                <w:szCs w:val="20"/>
              </w:rPr>
              <m:t>it</m:t>
            </m:r>
          </m:sub>
        </m:sSub>
        <m:r>
          <w:rPr>
            <w:rFonts w:ascii="Cambria Math" w:hAnsi="Cambria Math" w:cs="Arial"/>
            <w:sz w:val="20"/>
            <w:szCs w:val="20"/>
          </w:rPr>
          <m:t>+</m:t>
        </m:r>
        <m:sSub>
          <m:sSubPr>
            <m:ctrlPr>
              <w:rPr>
                <w:rFonts w:ascii="Cambria Math" w:hAnsi="Cambria Math" w:cs="Arial"/>
                <w:i/>
                <w:iCs/>
                <w:sz w:val="20"/>
                <w:szCs w:val="20"/>
              </w:rPr>
            </m:ctrlPr>
          </m:sSubPr>
          <m:e>
            <m:r>
              <w:rPr>
                <w:rFonts w:ascii="Cambria Math" w:hAnsi="Cambria Math" w:cs="Arial"/>
                <w:sz w:val="20"/>
                <w:szCs w:val="20"/>
              </w:rPr>
              <m:t>ε</m:t>
            </m:r>
          </m:e>
          <m:sub>
            <m:r>
              <w:rPr>
                <w:rFonts w:ascii="Cambria Math" w:hAnsi="Cambria Math" w:cs="Arial"/>
                <w:sz w:val="20"/>
                <w:szCs w:val="20"/>
              </w:rPr>
              <m:t>it</m:t>
            </m:r>
          </m:sub>
        </m:sSub>
      </m:oMath>
      <w:r w:rsidRPr="00881014">
        <w:rPr>
          <w:rFonts w:ascii="Arial" w:hAnsi="Arial" w:cs="Arial"/>
          <w:i/>
          <w:iCs/>
          <w:sz w:val="20"/>
          <w:szCs w:val="20"/>
        </w:rPr>
        <w:t xml:space="preserve">                                                 </w:t>
      </w:r>
    </w:p>
    <w:p w14:paraId="0744019A" w14:textId="77777777" w:rsidR="0010547B" w:rsidRPr="00881014" w:rsidRDefault="0010547B" w:rsidP="0010547B">
      <w:pPr>
        <w:pStyle w:val="NoSpacing"/>
        <w:jc w:val="both"/>
        <w:rPr>
          <w:rFonts w:ascii="Arial" w:hAnsi="Arial" w:cs="Arial"/>
          <w:i/>
          <w:iCs/>
          <w:sz w:val="20"/>
          <w:szCs w:val="20"/>
        </w:rPr>
      </w:pPr>
      <w:r w:rsidRPr="00881014">
        <w:rPr>
          <w:rFonts w:ascii="Arial" w:hAnsi="Arial" w:cs="Arial"/>
          <w:i/>
          <w:iCs/>
          <w:sz w:val="20"/>
          <w:szCs w:val="20"/>
        </w:rPr>
        <w:t xml:space="preserve">i.e. the first difference of </w:t>
      </w:r>
      <m:oMath>
        <m:sSub>
          <m:sSubPr>
            <m:ctrlPr>
              <w:rPr>
                <w:rFonts w:ascii="Cambria Math" w:hAnsi="Cambria Math" w:cs="Arial"/>
                <w:i/>
                <w:iCs/>
                <w:kern w:val="2"/>
                <w:sz w:val="20"/>
                <w:szCs w:val="20"/>
              </w:rPr>
            </m:ctrlPr>
          </m:sSubPr>
          <m:e>
            <m:r>
              <w:rPr>
                <w:rFonts w:ascii="Cambria Math" w:hAnsi="Cambria Math" w:cs="Arial"/>
                <w:sz w:val="20"/>
                <w:szCs w:val="20"/>
              </w:rPr>
              <m:t>Y</m:t>
            </m:r>
          </m:e>
          <m:sub>
            <m:r>
              <w:rPr>
                <w:rFonts w:ascii="Cambria Math" w:hAnsi="Cambria Math" w:cs="Arial"/>
                <w:sz w:val="20"/>
                <w:szCs w:val="20"/>
              </w:rPr>
              <m:t>it</m:t>
            </m:r>
          </m:sub>
        </m:sSub>
      </m:oMath>
      <w:r w:rsidRPr="00096E70">
        <w:rPr>
          <w:rFonts w:ascii="Arial" w:eastAsiaTheme="minorEastAsia" w:hAnsi="Arial" w:cs="Arial"/>
          <w:i/>
          <w:iCs/>
          <w:kern w:val="2"/>
          <w:sz w:val="20"/>
          <w:szCs w:val="20"/>
        </w:rPr>
        <w:t xml:space="preserve"> </w:t>
      </w:r>
      <w:r w:rsidRPr="00881014">
        <w:rPr>
          <w:rFonts w:ascii="Arial" w:hAnsi="Arial" w:cs="Arial"/>
          <w:i/>
          <w:iCs/>
          <w:sz w:val="20"/>
          <w:szCs w:val="20"/>
        </w:rPr>
        <w:t xml:space="preserve">is regressed against a constant, a time trend (t = 1, 2,...,T), the first lag of </w:t>
      </w:r>
      <m:oMath>
        <m:sSub>
          <m:sSubPr>
            <m:ctrlPr>
              <w:rPr>
                <w:rFonts w:ascii="Cambria Math" w:hAnsi="Cambria Math" w:cs="Arial"/>
                <w:i/>
                <w:iCs/>
                <w:kern w:val="2"/>
                <w:sz w:val="20"/>
                <w:szCs w:val="20"/>
              </w:rPr>
            </m:ctrlPr>
          </m:sSubPr>
          <m:e>
            <m:r>
              <w:rPr>
                <w:rFonts w:ascii="Cambria Math" w:hAnsi="Cambria Math" w:cs="Arial"/>
                <w:sz w:val="20"/>
                <w:szCs w:val="20"/>
              </w:rPr>
              <m:t>Y</m:t>
            </m:r>
          </m:e>
          <m:sub>
            <m:r>
              <w:rPr>
                <w:rFonts w:ascii="Cambria Math" w:hAnsi="Cambria Math" w:cs="Arial"/>
                <w:sz w:val="20"/>
                <w:szCs w:val="20"/>
              </w:rPr>
              <m:t>it</m:t>
            </m:r>
          </m:sub>
        </m:sSub>
      </m:oMath>
      <w:r w:rsidRPr="00881014">
        <w:rPr>
          <w:rFonts w:ascii="Arial" w:hAnsi="Arial" w:cs="Arial"/>
          <w:i/>
          <w:iCs/>
          <w:sz w:val="20"/>
          <w:szCs w:val="20"/>
        </w:rPr>
        <w:t xml:space="preserve"> and, if necessary, lag of </w:t>
      </w:r>
      <m:oMath>
        <m:sSub>
          <m:sSubPr>
            <m:ctrlPr>
              <w:rPr>
                <w:rFonts w:ascii="Cambria Math" w:hAnsi="Cambria Math" w:cs="Arial"/>
                <w:i/>
                <w:iCs/>
                <w:kern w:val="2"/>
                <w:sz w:val="20"/>
                <w:szCs w:val="20"/>
              </w:rPr>
            </m:ctrlPr>
          </m:sSubPr>
          <m:e>
            <m:r>
              <w:rPr>
                <w:rFonts w:ascii="Cambria Math" w:hAnsi="Cambria Math" w:cs="Arial"/>
                <w:sz w:val="20"/>
                <w:szCs w:val="20"/>
              </w:rPr>
              <m:t>ΔY</m:t>
            </m:r>
          </m:e>
          <m:sub>
            <m:r>
              <w:rPr>
                <w:rFonts w:ascii="Cambria Math" w:hAnsi="Cambria Math" w:cs="Arial"/>
                <w:sz w:val="20"/>
                <w:szCs w:val="20"/>
              </w:rPr>
              <m:t>it</m:t>
            </m:r>
          </m:sub>
        </m:sSub>
      </m:oMath>
      <w:r w:rsidRPr="00881014">
        <w:rPr>
          <w:rFonts w:ascii="Arial" w:hAnsi="Arial" w:cs="Arial"/>
          <w:i/>
          <w:iCs/>
          <w:sz w:val="20"/>
          <w:szCs w:val="20"/>
        </w:rPr>
        <w:t xml:space="preserve">. Sufficient lags of </w:t>
      </w:r>
      <m:oMath>
        <m:sSub>
          <m:sSubPr>
            <m:ctrlPr>
              <w:rPr>
                <w:rFonts w:ascii="Cambria Math" w:hAnsi="Cambria Math" w:cs="Arial"/>
                <w:i/>
                <w:iCs/>
                <w:kern w:val="2"/>
                <w:sz w:val="20"/>
                <w:szCs w:val="20"/>
              </w:rPr>
            </m:ctrlPr>
          </m:sSubPr>
          <m:e>
            <m:r>
              <w:rPr>
                <w:rFonts w:ascii="Cambria Math" w:hAnsi="Cambria Math" w:cs="Arial"/>
                <w:sz w:val="20"/>
                <w:szCs w:val="20"/>
              </w:rPr>
              <m:t>ΔY</m:t>
            </m:r>
          </m:e>
          <m:sub>
            <m:r>
              <w:rPr>
                <w:rFonts w:ascii="Cambria Math" w:hAnsi="Cambria Math" w:cs="Arial"/>
                <w:sz w:val="20"/>
                <w:szCs w:val="20"/>
              </w:rPr>
              <m:t>it</m:t>
            </m:r>
          </m:sub>
        </m:sSub>
      </m:oMath>
      <w:r w:rsidRPr="00881014">
        <w:rPr>
          <w:rFonts w:ascii="Arial" w:hAnsi="Arial" w:cs="Arial"/>
          <w:i/>
          <w:iCs/>
          <w:sz w:val="20"/>
          <w:szCs w:val="20"/>
        </w:rPr>
        <w:t xml:space="preserve"> must be included to ensure no autocorrelation in the error term. One lag (or even no lags) is usually sufficient with annual data. The test for a unit root, i.e., non-stationarity, is based on the t-stat on the coefficient of the lagged dependent variable, </w:t>
      </w:r>
      <m:oMath>
        <m:sSub>
          <m:sSubPr>
            <m:ctrlPr>
              <w:rPr>
                <w:rFonts w:ascii="Cambria Math" w:hAnsi="Cambria Math" w:cs="Arial"/>
                <w:i/>
                <w:iCs/>
                <w:kern w:val="2"/>
                <w:sz w:val="20"/>
                <w:szCs w:val="20"/>
              </w:rPr>
            </m:ctrlPr>
          </m:sSubPr>
          <m:e>
            <m:r>
              <w:rPr>
                <w:rFonts w:ascii="Cambria Math" w:hAnsi="Cambria Math" w:cs="Arial"/>
                <w:sz w:val="20"/>
                <w:szCs w:val="20"/>
              </w:rPr>
              <m:t>Y</m:t>
            </m:r>
          </m:e>
          <m:sub>
            <m:r>
              <w:rPr>
                <w:rFonts w:ascii="Cambria Math" w:hAnsi="Cambria Math" w:cs="Arial"/>
                <w:sz w:val="20"/>
                <w:szCs w:val="20"/>
              </w:rPr>
              <m:t>it-1</m:t>
            </m:r>
          </m:sub>
        </m:sSub>
        <m:r>
          <w:rPr>
            <w:rFonts w:ascii="Cambria Math" w:hAnsi="Cambria Math" w:cs="Arial"/>
            <w:sz w:val="20"/>
            <w:szCs w:val="20"/>
          </w:rPr>
          <m:t>.</m:t>
        </m:r>
      </m:oMath>
    </w:p>
    <w:p w14:paraId="56FE18BB" w14:textId="77777777" w:rsidR="0010547B" w:rsidRPr="00881014" w:rsidRDefault="0010547B" w:rsidP="0010547B">
      <w:pPr>
        <w:pStyle w:val="NoSpacing"/>
        <w:jc w:val="both"/>
        <w:rPr>
          <w:rFonts w:ascii="Arial" w:hAnsi="Arial" w:cs="Arial"/>
          <w:i/>
          <w:iCs/>
          <w:sz w:val="20"/>
          <w:szCs w:val="20"/>
        </w:rPr>
      </w:pPr>
      <w:r w:rsidRPr="00881014">
        <w:rPr>
          <w:rFonts w:ascii="Arial" w:hAnsi="Arial" w:cs="Arial"/>
          <w:i/>
          <w:iCs/>
          <w:sz w:val="20"/>
          <w:szCs w:val="20"/>
        </w:rPr>
        <w:t>In the unit root test, both the null and alternative hypotheses are express as:</w:t>
      </w:r>
    </w:p>
    <w:p w14:paraId="6D07A914" w14:textId="77777777" w:rsidR="0010547B" w:rsidRPr="00881014" w:rsidRDefault="0010547B" w:rsidP="0010547B">
      <w:pPr>
        <w:pStyle w:val="NoSpacing"/>
        <w:jc w:val="both"/>
        <w:rPr>
          <w:rFonts w:ascii="Arial" w:hAnsi="Arial" w:cs="Arial"/>
          <w:i/>
          <w:iCs/>
          <w:sz w:val="20"/>
          <w:szCs w:val="20"/>
        </w:rPr>
      </w:pPr>
      <w:r w:rsidRPr="00881014">
        <w:rPr>
          <w:rFonts w:ascii="Arial" w:hAnsi="Arial" w:cs="Arial"/>
          <w:i/>
          <w:iCs/>
          <w:sz w:val="20"/>
          <w:szCs w:val="20"/>
        </w:rPr>
        <w:t>Null Hypothesis (H</w:t>
      </w:r>
      <w:r w:rsidRPr="00881014">
        <w:rPr>
          <w:rFonts w:ascii="Arial" w:hAnsi="Arial" w:cs="Arial"/>
          <w:i/>
          <w:iCs/>
          <w:sz w:val="20"/>
          <w:szCs w:val="20"/>
          <w:vertAlign w:val="subscript"/>
        </w:rPr>
        <w:t>0</w:t>
      </w:r>
      <w:r w:rsidRPr="00881014">
        <w:rPr>
          <w:rFonts w:ascii="Arial" w:hAnsi="Arial" w:cs="Arial"/>
          <w:i/>
          <w:iCs/>
          <w:sz w:val="20"/>
          <w:szCs w:val="20"/>
        </w:rPr>
        <w:t>): series has unit root, (i.e., if the p-value &gt; 0.05).</w:t>
      </w:r>
    </w:p>
    <w:p w14:paraId="59EE5ABA" w14:textId="77777777" w:rsidR="0010547B" w:rsidRPr="00881014" w:rsidRDefault="0010547B" w:rsidP="0010547B">
      <w:pPr>
        <w:pStyle w:val="NoSpacing"/>
        <w:jc w:val="both"/>
        <w:rPr>
          <w:rFonts w:ascii="Arial" w:hAnsi="Arial" w:cs="Arial"/>
          <w:i/>
          <w:iCs/>
          <w:sz w:val="20"/>
          <w:szCs w:val="20"/>
        </w:rPr>
      </w:pPr>
      <w:r w:rsidRPr="00881014">
        <w:rPr>
          <w:rFonts w:ascii="Arial" w:hAnsi="Arial" w:cs="Arial"/>
          <w:i/>
          <w:iCs/>
          <w:sz w:val="20"/>
          <w:szCs w:val="20"/>
        </w:rPr>
        <w:t>Alternative Hypothesis (H</w:t>
      </w:r>
      <w:r w:rsidRPr="00881014">
        <w:rPr>
          <w:rFonts w:ascii="Arial" w:hAnsi="Arial" w:cs="Arial"/>
          <w:i/>
          <w:iCs/>
          <w:sz w:val="20"/>
          <w:szCs w:val="20"/>
          <w:vertAlign w:val="subscript"/>
        </w:rPr>
        <w:t>1</w:t>
      </w:r>
      <w:r w:rsidRPr="00881014">
        <w:rPr>
          <w:rFonts w:ascii="Arial" w:hAnsi="Arial" w:cs="Arial"/>
          <w:i/>
          <w:iCs/>
          <w:sz w:val="20"/>
          <w:szCs w:val="20"/>
        </w:rPr>
        <w:t>): series does not have unit root, (i.e., if p-value &lt; 0.05).</w:t>
      </w:r>
    </w:p>
    <w:p w14:paraId="281B7228" w14:textId="77777777" w:rsidR="0010547B" w:rsidRPr="00881014" w:rsidRDefault="0010547B" w:rsidP="0010547B">
      <w:pPr>
        <w:pStyle w:val="NoSpacing"/>
        <w:jc w:val="both"/>
        <w:rPr>
          <w:rFonts w:ascii="Arial" w:hAnsi="Arial" w:cs="Arial"/>
          <w:i/>
          <w:iCs/>
          <w:sz w:val="20"/>
          <w:szCs w:val="20"/>
        </w:rPr>
      </w:pPr>
      <w:r w:rsidRPr="00881014">
        <w:rPr>
          <w:rFonts w:ascii="Arial" w:hAnsi="Arial" w:cs="Arial"/>
          <w:i/>
          <w:iCs/>
          <w:sz w:val="20"/>
          <w:szCs w:val="20"/>
        </w:rPr>
        <w:t xml:space="preserve">The null hypothesis is rejected (i.e., the series does not have unit root) if the absolute value of the computed test statistic is greater than the test critical values. That is, when the probability value is less than 0.05 (p-value &lt; 0.05), the model is stationary. As such, the null hypothesis is rejected (while the alternative hypothesis is accepted). However, if the absolute value of the computed test statistic is less than the test critical value, (i.e., if the p-value &gt; 0.05), it means that the model has unit root, and the null hypothesis is not rejected. The series has to be difference in order to remove the unit root. </w:t>
      </w:r>
    </w:p>
  </w:footnote>
  <w:footnote w:id="156">
    <w:p w14:paraId="3FF7212D" w14:textId="77777777" w:rsidR="0010547B" w:rsidRPr="00881014" w:rsidRDefault="0010547B" w:rsidP="0010547B">
      <w:pPr>
        <w:pStyle w:val="NoSpacing"/>
        <w:jc w:val="both"/>
        <w:rPr>
          <w:rFonts w:ascii="Arial" w:hAnsi="Arial" w:cs="Arial"/>
          <w:i/>
          <w:iCs/>
          <w:sz w:val="20"/>
          <w:szCs w:val="20"/>
        </w:rPr>
      </w:pPr>
      <w:r w:rsidRPr="00881014">
        <w:rPr>
          <w:rStyle w:val="FootnoteReference"/>
          <w:rFonts w:ascii="Arial" w:hAnsi="Arial" w:cs="Arial"/>
          <w:i/>
          <w:iCs/>
          <w:sz w:val="20"/>
          <w:szCs w:val="20"/>
        </w:rPr>
        <w:footnoteRef/>
      </w:r>
      <w:r w:rsidRPr="00881014">
        <w:rPr>
          <w:rFonts w:ascii="Arial" w:hAnsi="Arial" w:cs="Arial"/>
          <w:i/>
          <w:iCs/>
          <w:sz w:val="20"/>
          <w:szCs w:val="20"/>
        </w:rPr>
        <w:t xml:space="preserve"> </w:t>
      </w:r>
      <w:r w:rsidRPr="00881014">
        <w:rPr>
          <w:rFonts w:ascii="Arial" w:eastAsiaTheme="minorEastAsia" w:hAnsi="Arial" w:cs="Arial"/>
          <w:i/>
          <w:iCs/>
          <w:sz w:val="20"/>
          <w:szCs w:val="20"/>
          <w:lang w:val="en-US"/>
        </w:rPr>
        <w:t xml:space="preserve">In case </w:t>
      </w:r>
      <m:oMath>
        <m:sSub>
          <m:sSubPr>
            <m:ctrlPr>
              <w:rPr>
                <w:rFonts w:ascii="Cambria Math" w:eastAsiaTheme="minorEastAsia" w:hAnsi="Cambria Math" w:cs="Arial"/>
                <w:i/>
                <w:iCs/>
                <w:sz w:val="20"/>
                <w:szCs w:val="20"/>
                <w:lang w:val="en-US"/>
              </w:rPr>
            </m:ctrlPr>
          </m:sSubPr>
          <m:e>
            <m:r>
              <w:rPr>
                <w:rFonts w:ascii="Cambria Math" w:eastAsiaTheme="minorEastAsia" w:hAnsi="Cambria Math" w:cs="Arial"/>
                <w:sz w:val="20"/>
                <w:szCs w:val="20"/>
                <w:lang w:val="en-US"/>
              </w:rPr>
              <m:t>∅</m:t>
            </m:r>
          </m:e>
          <m:sub>
            <m:r>
              <w:rPr>
                <w:rFonts w:ascii="Cambria Math" w:eastAsiaTheme="minorEastAsia" w:hAnsi="Cambria Math" w:cs="Arial"/>
                <w:sz w:val="20"/>
                <w:szCs w:val="20"/>
                <w:lang w:val="en-US"/>
              </w:rPr>
              <m:t>i</m:t>
            </m:r>
          </m:sub>
        </m:sSub>
        <m:r>
          <w:rPr>
            <w:rFonts w:ascii="Cambria Math" w:eastAsiaTheme="minorEastAsia" w:hAnsi="Cambria Math" w:cs="Arial"/>
            <w:sz w:val="20"/>
            <w:szCs w:val="20"/>
            <w:lang w:val="en-US"/>
          </w:rPr>
          <m:t>=0,</m:t>
        </m:r>
      </m:oMath>
      <w:r w:rsidRPr="00881014">
        <w:rPr>
          <w:rFonts w:ascii="Arial" w:eastAsiaTheme="minorEastAsia" w:hAnsi="Arial" w:cs="Arial"/>
          <w:i/>
          <w:iCs/>
          <w:sz w:val="20"/>
          <w:szCs w:val="20"/>
          <w:lang w:val="en-US"/>
        </w:rPr>
        <w:t xml:space="preserve"> then there will be no long-run relationship in the model. This parameter is expected to be negative and statistically significant (i.e., the t-stat ≥</w:t>
      </w:r>
      <m:oMath>
        <m:r>
          <w:rPr>
            <w:rFonts w:ascii="Cambria Math" w:eastAsiaTheme="minorEastAsia" w:hAnsi="Cambria Math" w:cs="Arial"/>
            <w:sz w:val="20"/>
            <w:szCs w:val="20"/>
            <w:lang w:val="en-US"/>
          </w:rPr>
          <m:t>∣</m:t>
        </m:r>
      </m:oMath>
      <w:r>
        <w:rPr>
          <w:rFonts w:ascii="Arial" w:eastAsiaTheme="minorEastAsia" w:hAnsi="Arial" w:cs="Arial"/>
          <w:i/>
          <w:iCs/>
          <w:sz w:val="20"/>
          <w:szCs w:val="20"/>
          <w:lang w:val="en-US"/>
        </w:rPr>
        <w:t>2</w:t>
      </w:r>
      <m:oMath>
        <m:r>
          <w:rPr>
            <w:rFonts w:ascii="Cambria Math" w:eastAsiaTheme="minorEastAsia" w:hAnsi="Cambria Math" w:cs="Arial"/>
            <w:sz w:val="20"/>
            <w:szCs w:val="20"/>
            <w:lang w:val="en-US"/>
          </w:rPr>
          <m:t>∣</m:t>
        </m:r>
      </m:oMath>
      <w:r w:rsidRPr="00881014">
        <w:rPr>
          <w:rFonts w:ascii="Arial" w:eastAsiaTheme="minorEastAsia" w:hAnsi="Arial" w:cs="Arial"/>
          <w:i/>
          <w:iCs/>
          <w:sz w:val="20"/>
          <w:szCs w:val="20"/>
          <w:lang w:val="en-US"/>
        </w:rPr>
        <w:t>), under the assumption of bringing back the variables to the long-run equilibrium.</w:t>
      </w:r>
    </w:p>
  </w:footnote>
  <w:footnote w:id="157">
    <w:p w14:paraId="36ACF0A2" w14:textId="157098D7" w:rsidR="00096FF6" w:rsidRPr="00096FF6" w:rsidRDefault="00096FF6" w:rsidP="00096FF6">
      <w:pPr>
        <w:pStyle w:val="FootnoteText"/>
        <w:jc w:val="both"/>
        <w:rPr>
          <w:rFonts w:ascii="Arial" w:hAnsi="Arial" w:cs="Arial"/>
          <w:i/>
          <w:iCs/>
        </w:rPr>
      </w:pPr>
      <w:r w:rsidRPr="00096FF6">
        <w:rPr>
          <w:rStyle w:val="FootnoteReference"/>
          <w:rFonts w:ascii="Arial" w:hAnsi="Arial" w:cs="Arial"/>
        </w:rPr>
        <w:footnoteRef/>
      </w:r>
      <w:r w:rsidRPr="00096FF6">
        <w:rPr>
          <w:rFonts w:ascii="Arial" w:hAnsi="Arial" w:cs="Arial"/>
        </w:rPr>
        <w:t xml:space="preserve"> </w:t>
      </w:r>
      <w:r w:rsidRPr="00096FF6">
        <w:rPr>
          <w:rFonts w:ascii="Arial" w:hAnsi="Arial" w:cs="Arial"/>
          <w:i/>
          <w:iCs/>
        </w:rPr>
        <w:t>A nation could have a consistent economic growth, but if its population is growing faster than its GDP, its GDP per capita growth will be negative. However, this is not a dilemma for most established economies because a moderate pace of economic growth could outpace their population growth rate</w:t>
      </w:r>
      <w:r w:rsidR="005D0DEB">
        <w:rPr>
          <w:rFonts w:ascii="Arial" w:hAnsi="Arial" w:cs="Arial"/>
          <w:i/>
          <w:iCs/>
        </w:rPr>
        <w:t>s</w:t>
      </w:r>
      <w:r w:rsidRPr="00096FF6">
        <w:rPr>
          <w:rFonts w:ascii="Arial" w:hAnsi="Arial" w:cs="Arial"/>
          <w:i/>
          <w:iCs/>
        </w:rPr>
        <w:t xml:space="preserve">. Many nations in Africa have low levels of GDP per capita </w:t>
      </w:r>
      <w:r w:rsidR="005D0DEB">
        <w:rPr>
          <w:rFonts w:ascii="Arial" w:hAnsi="Arial" w:cs="Arial"/>
          <w:i/>
          <w:iCs/>
        </w:rPr>
        <w:t xml:space="preserve">which could be </w:t>
      </w:r>
      <w:r w:rsidRPr="00096FF6">
        <w:rPr>
          <w:rFonts w:ascii="Arial" w:hAnsi="Arial" w:cs="Arial"/>
          <w:i/>
          <w:iCs/>
        </w:rPr>
        <w:t xml:space="preserve">due to their rapid increase in population with little GDP growth, resulting to a steady erosion of living standards. If a nation’s GDP per capita is growing with a stable population level, it could be due to it technological progressions that produces more with the same population level. </w:t>
      </w:r>
    </w:p>
  </w:footnote>
  <w:footnote w:id="158">
    <w:p w14:paraId="3ED0484B" w14:textId="443087AB" w:rsidR="00F41E4D" w:rsidRDefault="00F41E4D">
      <w:pPr>
        <w:pStyle w:val="FootnoteText"/>
      </w:pPr>
      <w:r>
        <w:rPr>
          <w:rStyle w:val="FootnoteReference"/>
        </w:rPr>
        <w:footnoteRef/>
      </w:r>
      <w:r>
        <w:t xml:space="preserve"> </w:t>
      </w:r>
      <w:r w:rsidRPr="0039027C">
        <w:rPr>
          <w:rFonts w:ascii="Arial" w:hAnsi="Arial" w:cs="Arial"/>
          <w:i/>
          <w:iCs/>
        </w:rPr>
        <w:t>T</w:t>
      </w:r>
      <w:r w:rsidRPr="0039027C">
        <w:rPr>
          <w:rFonts w:ascii="Arial" w:eastAsia="Times New Roman" w:hAnsi="Arial" w:cs="Arial"/>
          <w:i/>
          <w:iCs/>
          <w:lang w:eastAsia="en-GB"/>
        </w:rPr>
        <w:t>he Levin, Lin, and Chu (2002), Pesaran and Shin (2003), ADF, and PP panel unit root test</w:t>
      </w:r>
      <w:r w:rsidR="001C6801">
        <w:rPr>
          <w:rFonts w:ascii="Arial" w:eastAsia="Times New Roman" w:hAnsi="Arial" w:cs="Arial"/>
          <w:i/>
          <w:iCs/>
          <w:lang w:eastAsia="en-GB"/>
        </w:rPr>
        <w:t>s</w:t>
      </w:r>
      <w:r w:rsidRPr="0039027C">
        <w:rPr>
          <w:rFonts w:ascii="Arial" w:eastAsia="Times New Roman" w:hAnsi="Arial" w:cs="Arial"/>
          <w:i/>
          <w:iCs/>
          <w:lang w:eastAsia="en-GB"/>
        </w:rPr>
        <w:t xml:space="preserve"> are performed</w:t>
      </w:r>
      <w:r>
        <w:rPr>
          <w:rFonts w:ascii="Arial" w:eastAsia="Times New Roman" w:hAnsi="Arial" w:cs="Arial"/>
          <w:i/>
          <w:iCs/>
          <w:lang w:eastAsia="en-GB"/>
        </w:rPr>
        <w:t xml:space="preserve"> using intercept, intercept and trend.</w:t>
      </w:r>
    </w:p>
  </w:footnote>
  <w:footnote w:id="159">
    <w:p w14:paraId="3AFE768E" w14:textId="33CD73F0" w:rsidR="00F41E4D" w:rsidRDefault="00F41E4D" w:rsidP="008526FD">
      <w:pPr>
        <w:pStyle w:val="FootnoteText"/>
        <w:jc w:val="both"/>
      </w:pPr>
      <w:r>
        <w:rPr>
          <w:rStyle w:val="FootnoteReference"/>
        </w:rPr>
        <w:footnoteRef/>
      </w:r>
      <w:r>
        <w:t xml:space="preserve"> </w:t>
      </w:r>
      <w:r w:rsidRPr="008526FD">
        <w:rPr>
          <w:rFonts w:ascii="Arial" w:hAnsi="Arial" w:cs="Arial"/>
          <w:i/>
          <w:iCs/>
        </w:rPr>
        <w:t>Applying the wrong lag (too many lag</w:t>
      </w:r>
      <w:r w:rsidR="001F445B">
        <w:rPr>
          <w:rFonts w:ascii="Arial" w:hAnsi="Arial" w:cs="Arial"/>
          <w:i/>
          <w:iCs/>
        </w:rPr>
        <w:t>s</w:t>
      </w:r>
      <w:r w:rsidRPr="008526FD">
        <w:rPr>
          <w:rFonts w:ascii="Arial" w:hAnsi="Arial" w:cs="Arial"/>
          <w:i/>
          <w:iCs/>
        </w:rPr>
        <w:t xml:space="preserve">) in an analysis could result </w:t>
      </w:r>
      <w:r w:rsidR="001F445B">
        <w:rPr>
          <w:rFonts w:ascii="Arial" w:hAnsi="Arial" w:cs="Arial"/>
          <w:i/>
          <w:iCs/>
        </w:rPr>
        <w:t>in</w:t>
      </w:r>
      <w:r w:rsidRPr="008526FD">
        <w:rPr>
          <w:rFonts w:ascii="Arial" w:hAnsi="Arial" w:cs="Arial"/>
          <w:i/>
          <w:iCs/>
        </w:rPr>
        <w:t xml:space="preserve"> loss of degree of freedom, cause multicollinearity among the regressors, serial correlation in the error terms, and misspecification error. On the other hand, too few lags could result in specification errors.</w:t>
      </w:r>
    </w:p>
  </w:footnote>
  <w:footnote w:id="160">
    <w:p w14:paraId="429B7609" w14:textId="7863650A" w:rsidR="00486FC6" w:rsidRDefault="00486FC6" w:rsidP="00486FC6">
      <w:pPr>
        <w:pStyle w:val="FootnoteText"/>
        <w:jc w:val="both"/>
      </w:pPr>
      <w:r>
        <w:rPr>
          <w:rStyle w:val="FootnoteReference"/>
        </w:rPr>
        <w:footnoteRef/>
      </w:r>
      <w:r>
        <w:t xml:space="preserve"> </w:t>
      </w:r>
      <w:r w:rsidRPr="00FE43E1">
        <w:rPr>
          <w:rStyle w:val="Emphasis"/>
          <w:rFonts w:ascii="Arial" w:hAnsi="Arial" w:cs="Arial"/>
          <w:color w:val="0E101A"/>
        </w:rPr>
        <w:t xml:space="preserve">The poor GDP per capita growth (annual %) performance of CEMAC nations could be corroborated by their GDP growth (annual %). But for Cameroon, CAR, and Chad that had positive GDP growth (annual %) in the year 2018 (i.e., 3.955%, 3.789, 2.374% respectively), the other three nations GDP growth (annual %) was not good (i.e., 0.838%, -4.805%, and -6.236% for Gabon, Congo, and Equatorial Guinea respectively) (World Bank, nd). Though Cameroon, CAR, and Chad have good GDP growth (annual %), it is not reflected in the standard of living of their </w:t>
      </w:r>
      <w:r w:rsidR="00946709" w:rsidRPr="00FE43E1">
        <w:rPr>
          <w:rStyle w:val="Emphasis"/>
          <w:rFonts w:ascii="Arial" w:hAnsi="Arial" w:cs="Arial"/>
          <w:color w:val="0E101A"/>
        </w:rPr>
        <w:t>population,</w:t>
      </w:r>
      <w:r w:rsidRPr="00FE43E1">
        <w:rPr>
          <w:rStyle w:val="Emphasis"/>
          <w:rFonts w:ascii="Arial" w:hAnsi="Arial" w:cs="Arial"/>
          <w:color w:val="0E101A"/>
        </w:rPr>
        <w:t xml:space="preserve"> </w:t>
      </w:r>
      <w:r w:rsidR="009F6C74">
        <w:rPr>
          <w:rStyle w:val="Emphasis"/>
          <w:rFonts w:ascii="Arial" w:hAnsi="Arial" w:cs="Arial"/>
          <w:color w:val="0E101A"/>
        </w:rPr>
        <w:t xml:space="preserve">and this could be </w:t>
      </w:r>
      <w:r w:rsidRPr="00FE43E1">
        <w:rPr>
          <w:rStyle w:val="Emphasis"/>
          <w:rFonts w:ascii="Arial" w:hAnsi="Arial" w:cs="Arial"/>
          <w:color w:val="0E101A"/>
        </w:rPr>
        <w:t>due to the various war crises faced by the</w:t>
      </w:r>
      <w:r w:rsidR="00946709">
        <w:rPr>
          <w:rStyle w:val="Emphasis"/>
          <w:rFonts w:ascii="Arial" w:hAnsi="Arial" w:cs="Arial"/>
          <w:color w:val="0E101A"/>
        </w:rPr>
        <w:t>se</w:t>
      </w:r>
      <w:r w:rsidRPr="00FE43E1">
        <w:rPr>
          <w:rStyle w:val="Emphasis"/>
          <w:rFonts w:ascii="Arial" w:hAnsi="Arial" w:cs="Arial"/>
          <w:color w:val="0E101A"/>
        </w:rPr>
        <w:t xml:space="preserve"> nations</w:t>
      </w:r>
      <w:r>
        <w:rPr>
          <w:rStyle w:val="Emphasis"/>
          <w:rFonts w:ascii="Arial" w:hAnsi="Arial" w:cs="Arial"/>
          <w:color w:val="0E101A"/>
        </w:rPr>
        <w:t>.</w:t>
      </w:r>
    </w:p>
  </w:footnote>
  <w:footnote w:id="161">
    <w:p w14:paraId="610C039F" w14:textId="77777777" w:rsidR="00486FC6" w:rsidRPr="00FE43E1" w:rsidRDefault="00486FC6" w:rsidP="00486FC6">
      <w:pPr>
        <w:spacing w:after="0" w:line="240" w:lineRule="auto"/>
        <w:jc w:val="both"/>
        <w:rPr>
          <w:rFonts w:ascii="Arial" w:hAnsi="Arial" w:cs="Arial"/>
          <w:sz w:val="20"/>
          <w:szCs w:val="20"/>
        </w:rPr>
      </w:pPr>
      <w:r>
        <w:rPr>
          <w:rStyle w:val="FootnoteReference"/>
        </w:rPr>
        <w:footnoteRef/>
      </w:r>
      <w:r>
        <w:t xml:space="preserve"> </w:t>
      </w:r>
      <w:r w:rsidRPr="00FE43E1">
        <w:rPr>
          <w:rStyle w:val="Emphasis"/>
          <w:rFonts w:ascii="Arial" w:hAnsi="Arial" w:cs="Arial"/>
          <w:color w:val="0E101A"/>
          <w:sz w:val="20"/>
          <w:szCs w:val="20"/>
        </w:rPr>
        <w:t>The Corruption Perceptions Index (CPI) ranks nations by their perceived levels of public sector corruption determined by expert assessment and opinion surveys. The CPI currently ranks 180 nations on a scale from 100 (very clear) to 0 (highly corrupt). </w:t>
      </w:r>
    </w:p>
    <w:p w14:paraId="24F3C820" w14:textId="77777777" w:rsidR="00486FC6" w:rsidRDefault="00486FC6" w:rsidP="00486FC6">
      <w:pPr>
        <w:pStyle w:val="FootnoteText"/>
      </w:pPr>
    </w:p>
  </w:footnote>
  <w:footnote w:id="162">
    <w:p w14:paraId="41330CA6" w14:textId="6677B277" w:rsidR="00486FC6" w:rsidRDefault="00486FC6" w:rsidP="000E6012">
      <w:pPr>
        <w:spacing w:after="0" w:line="240" w:lineRule="auto"/>
        <w:jc w:val="both"/>
      </w:pPr>
      <w:r w:rsidRPr="000E6012">
        <w:rPr>
          <w:rStyle w:val="FootnoteReference"/>
          <w:rFonts w:ascii="Arial" w:hAnsi="Arial" w:cs="Arial"/>
          <w:sz w:val="20"/>
          <w:szCs w:val="20"/>
        </w:rPr>
        <w:footnoteRef/>
      </w:r>
      <w:r w:rsidRPr="000E6012">
        <w:rPr>
          <w:rFonts w:ascii="Arial" w:hAnsi="Arial" w:cs="Arial"/>
          <w:sz w:val="20"/>
          <w:szCs w:val="20"/>
        </w:rPr>
        <w:t xml:space="preserve"> </w:t>
      </w:r>
      <w:r w:rsidRPr="000E6012">
        <w:rPr>
          <w:rStyle w:val="Emphasis"/>
          <w:rFonts w:ascii="Arial" w:hAnsi="Arial" w:cs="Arial"/>
          <w:color w:val="0E101A"/>
          <w:sz w:val="20"/>
          <w:szCs w:val="20"/>
        </w:rPr>
        <w:t>On the 6th of February 2019, the government of CAR signed an African Union-mediated peace agre</w:t>
      </w:r>
      <w:r w:rsidRPr="00FE43E1">
        <w:rPr>
          <w:rStyle w:val="Emphasis"/>
          <w:rFonts w:ascii="Arial" w:hAnsi="Arial" w:cs="Arial"/>
          <w:color w:val="0E101A"/>
          <w:sz w:val="20"/>
          <w:szCs w:val="20"/>
        </w:rPr>
        <w:t>ement with fourteen armed groups. The International Community and the African Union endorsed the agreement. The Mission of The United Nations Peacekeeping Force to Central Africa (MINUSCA) played a vital supportive role in the process.  </w:t>
      </w:r>
    </w:p>
  </w:footnote>
  <w:footnote w:id="163">
    <w:p w14:paraId="7BA1B5D8" w14:textId="77777777" w:rsidR="007E0140" w:rsidRPr="000E6012" w:rsidRDefault="007E0140" w:rsidP="007E0140">
      <w:pPr>
        <w:spacing w:after="0" w:line="240" w:lineRule="auto"/>
        <w:jc w:val="both"/>
        <w:rPr>
          <w:rFonts w:ascii="Arial" w:hAnsi="Arial" w:cs="Arial"/>
          <w:sz w:val="20"/>
          <w:szCs w:val="20"/>
        </w:rPr>
      </w:pPr>
      <w:r w:rsidRPr="000E6012">
        <w:rPr>
          <w:rStyle w:val="FootnoteReference"/>
          <w:sz w:val="20"/>
          <w:szCs w:val="20"/>
        </w:rPr>
        <w:footnoteRef/>
      </w:r>
      <w:r w:rsidRPr="000E6012">
        <w:rPr>
          <w:sz w:val="20"/>
          <w:szCs w:val="20"/>
        </w:rPr>
        <w:t xml:space="preserve"> </w:t>
      </w:r>
      <w:r w:rsidRPr="000E6012">
        <w:rPr>
          <w:rStyle w:val="Emphasis"/>
          <w:rFonts w:ascii="Arial" w:hAnsi="Arial" w:cs="Arial"/>
          <w:color w:val="0E101A"/>
          <w:sz w:val="20"/>
          <w:szCs w:val="20"/>
        </w:rPr>
        <w:t>In this chapter, we consider that when the REER is above the equilibrium (100), it is overvalued, while it is undervalued when it is below. A negative relationship with economic growth means that a devaluation will cause an improvement in economic growth.  </w:t>
      </w:r>
    </w:p>
    <w:p w14:paraId="05CA23A5" w14:textId="77777777" w:rsidR="007E0140" w:rsidRDefault="007E0140" w:rsidP="007E0140">
      <w:pPr>
        <w:pStyle w:val="FootnoteText"/>
      </w:pPr>
    </w:p>
  </w:footnote>
  <w:footnote w:id="164">
    <w:p w14:paraId="509EB12A" w14:textId="77777777" w:rsidR="00854A0F" w:rsidRDefault="00854A0F" w:rsidP="00854A0F">
      <w:pPr>
        <w:pStyle w:val="FootnoteText"/>
        <w:jc w:val="both"/>
      </w:pPr>
      <w:r>
        <w:rPr>
          <w:rStyle w:val="FootnoteReference"/>
        </w:rPr>
        <w:footnoteRef/>
      </w:r>
      <w:r>
        <w:t xml:space="preserve"> </w:t>
      </w:r>
      <w:r w:rsidRPr="005E4AC5">
        <w:rPr>
          <w:rStyle w:val="Emphasis"/>
          <w:rFonts w:ascii="Arial" w:hAnsi="Arial" w:cs="Arial"/>
          <w:color w:val="0E101A"/>
        </w:rPr>
        <w:t>The slow progress of reforms, increase in public debt, and deterioration of budget balance drew wide speculations of the CFA franc devaluation. Nevertheless, the devaluation did not occur during the meeting as BEAC governor said there was no reason for CEMAC to risk devaluation. This was because the economic situation in the CEMAC zone was nowhere close to that of the 1994 CFA franc devaluation.  </w:t>
      </w:r>
    </w:p>
  </w:footnote>
  <w:footnote w:id="165">
    <w:p w14:paraId="72FF88DF" w14:textId="1CEDC310" w:rsidR="00854A0F" w:rsidRPr="005E4AC5" w:rsidRDefault="00854A0F" w:rsidP="00854A0F">
      <w:pPr>
        <w:spacing w:after="0" w:line="240" w:lineRule="auto"/>
        <w:jc w:val="both"/>
        <w:rPr>
          <w:rFonts w:ascii="Arial" w:hAnsi="Arial" w:cs="Arial"/>
          <w:sz w:val="20"/>
          <w:szCs w:val="20"/>
        </w:rPr>
      </w:pPr>
      <w:r>
        <w:rPr>
          <w:rStyle w:val="FootnoteReference"/>
        </w:rPr>
        <w:footnoteRef/>
      </w:r>
      <w:r>
        <w:t xml:space="preserve"> </w:t>
      </w:r>
      <w:r w:rsidRPr="005E4AC5">
        <w:rPr>
          <w:rStyle w:val="Emphasis"/>
          <w:rFonts w:ascii="Arial" w:hAnsi="Arial" w:cs="Arial"/>
          <w:color w:val="0E101A"/>
          <w:sz w:val="20"/>
          <w:szCs w:val="20"/>
        </w:rPr>
        <w:t>The piracy along the Gulf of Guinea, the security threat posed by Boko Haram in the northwest CEMAC region, the anti-Balaka and Séléka militias continual threat to the region’s security, and the series of failed coup attempts such as 6th April 1984 coup in Cameroon, 7</w:t>
      </w:r>
      <w:r w:rsidRPr="00854A0F">
        <w:rPr>
          <w:rStyle w:val="Emphasis"/>
          <w:rFonts w:ascii="Arial" w:hAnsi="Arial" w:cs="Arial"/>
          <w:color w:val="0E101A"/>
          <w:sz w:val="20"/>
          <w:szCs w:val="20"/>
          <w:vertAlign w:val="superscript"/>
        </w:rPr>
        <w:t>th</w:t>
      </w:r>
      <w:r>
        <w:rPr>
          <w:rStyle w:val="Emphasis"/>
          <w:rFonts w:ascii="Arial" w:hAnsi="Arial" w:cs="Arial"/>
          <w:color w:val="0E101A"/>
          <w:sz w:val="20"/>
          <w:szCs w:val="20"/>
        </w:rPr>
        <w:t xml:space="preserve"> </w:t>
      </w:r>
      <w:r w:rsidRPr="005E4AC5">
        <w:rPr>
          <w:rStyle w:val="Emphasis"/>
          <w:rFonts w:ascii="Arial" w:hAnsi="Arial" w:cs="Arial"/>
          <w:color w:val="0E101A"/>
          <w:sz w:val="20"/>
          <w:szCs w:val="20"/>
        </w:rPr>
        <w:t>March 2004 and 27</w:t>
      </w:r>
      <w:r w:rsidRPr="00854A0F">
        <w:rPr>
          <w:rStyle w:val="Emphasis"/>
          <w:rFonts w:ascii="Arial" w:hAnsi="Arial" w:cs="Arial"/>
          <w:color w:val="0E101A"/>
          <w:sz w:val="20"/>
          <w:szCs w:val="20"/>
          <w:vertAlign w:val="superscript"/>
        </w:rPr>
        <w:t>th</w:t>
      </w:r>
      <w:r>
        <w:rPr>
          <w:rStyle w:val="Emphasis"/>
          <w:rFonts w:ascii="Arial" w:hAnsi="Arial" w:cs="Arial"/>
          <w:color w:val="0E101A"/>
          <w:sz w:val="20"/>
          <w:szCs w:val="20"/>
        </w:rPr>
        <w:t xml:space="preserve"> </w:t>
      </w:r>
      <w:r w:rsidRPr="005E4AC5">
        <w:rPr>
          <w:rStyle w:val="Emphasis"/>
          <w:rFonts w:ascii="Arial" w:hAnsi="Arial" w:cs="Arial"/>
          <w:color w:val="0E101A"/>
          <w:sz w:val="20"/>
          <w:szCs w:val="20"/>
        </w:rPr>
        <w:t>to 28</w:t>
      </w:r>
      <w:r w:rsidRPr="00854A0F">
        <w:rPr>
          <w:rStyle w:val="Emphasis"/>
          <w:rFonts w:ascii="Arial" w:hAnsi="Arial" w:cs="Arial"/>
          <w:color w:val="0E101A"/>
          <w:sz w:val="20"/>
          <w:szCs w:val="20"/>
          <w:vertAlign w:val="superscript"/>
        </w:rPr>
        <w:t>th</w:t>
      </w:r>
      <w:r>
        <w:rPr>
          <w:rStyle w:val="Emphasis"/>
          <w:rFonts w:ascii="Arial" w:hAnsi="Arial" w:cs="Arial"/>
          <w:color w:val="0E101A"/>
          <w:sz w:val="20"/>
          <w:szCs w:val="20"/>
        </w:rPr>
        <w:t xml:space="preserve"> </w:t>
      </w:r>
      <w:r w:rsidRPr="005E4AC5">
        <w:rPr>
          <w:rStyle w:val="Emphasis"/>
          <w:rFonts w:ascii="Arial" w:hAnsi="Arial" w:cs="Arial"/>
          <w:color w:val="0E101A"/>
          <w:sz w:val="20"/>
          <w:szCs w:val="20"/>
        </w:rPr>
        <w:t>December 2017 coup in Equatorial Guinea.  </w:t>
      </w:r>
    </w:p>
    <w:p w14:paraId="5032D370" w14:textId="77777777" w:rsidR="00854A0F" w:rsidRDefault="00854A0F" w:rsidP="00854A0F">
      <w:pPr>
        <w:pStyle w:val="FootnoteText"/>
      </w:pPr>
    </w:p>
  </w:footnote>
  <w:footnote w:id="166">
    <w:p w14:paraId="6AF3AB3D" w14:textId="77777777" w:rsidR="005D70DF" w:rsidRDefault="005D70DF" w:rsidP="005D70DF">
      <w:pPr>
        <w:pStyle w:val="FootnoteText"/>
        <w:jc w:val="both"/>
      </w:pPr>
      <w:r>
        <w:rPr>
          <w:rStyle w:val="FootnoteReference"/>
        </w:rPr>
        <w:footnoteRef/>
      </w:r>
      <w:r>
        <w:t xml:space="preserve"> </w:t>
      </w:r>
      <w:r w:rsidRPr="00992489">
        <w:rPr>
          <w:rStyle w:val="Emphasis"/>
          <w:rFonts w:ascii="Arial" w:hAnsi="Arial" w:cs="Arial"/>
          <w:color w:val="0E101A"/>
        </w:rPr>
        <w:t>The following three CEMAC nations were used to represent the region: Cameroon, Central Africa Republic – CAR, and Gabon.</w:t>
      </w:r>
    </w:p>
  </w:footnote>
  <w:footnote w:id="167">
    <w:p w14:paraId="20FD2565" w14:textId="77777777" w:rsidR="005D70DF" w:rsidRDefault="005D70DF" w:rsidP="005D70DF">
      <w:pPr>
        <w:pStyle w:val="FootnoteText"/>
        <w:jc w:val="both"/>
      </w:pPr>
      <w:r>
        <w:rPr>
          <w:rStyle w:val="FootnoteReference"/>
        </w:rPr>
        <w:footnoteRef/>
      </w:r>
      <w:r>
        <w:t xml:space="preserve"> </w:t>
      </w:r>
      <w:r w:rsidRPr="00992489">
        <w:rPr>
          <w:rStyle w:val="Emphasis"/>
          <w:rFonts w:ascii="Arial" w:hAnsi="Arial" w:cs="Arial"/>
          <w:color w:val="0E101A"/>
        </w:rPr>
        <w:t>It represents the total value of goods and services produced in a nation over a specific period. The GDP is a measure of the size of an economy and represents the growth or economic production of a nation. While GDP per capita is the GDP divided by the total population of the nation, and it is a better indicator of the standard of living of a nation than the GDP.</w:t>
      </w:r>
    </w:p>
  </w:footnote>
  <w:footnote w:id="168">
    <w:p w14:paraId="2A904C44" w14:textId="77777777" w:rsidR="005D70DF" w:rsidRDefault="005D70DF" w:rsidP="005D70DF">
      <w:pPr>
        <w:pStyle w:val="FootnoteText"/>
        <w:jc w:val="both"/>
      </w:pPr>
      <w:r>
        <w:rPr>
          <w:rStyle w:val="FootnoteReference"/>
        </w:rPr>
        <w:footnoteRef/>
      </w:r>
      <w:r>
        <w:t xml:space="preserve"> </w:t>
      </w:r>
      <w:r w:rsidRPr="00992489">
        <w:rPr>
          <w:rStyle w:val="Emphasis"/>
          <w:rFonts w:ascii="Arial" w:hAnsi="Arial" w:cs="Arial"/>
          <w:color w:val="0E101A"/>
        </w:rPr>
        <w:t>In this chapter, we consider that when the REER is above the equilibrium (100), it is overvalued, while it is undervalued when it is below. A negative relationship with economic growth means that a devaluation will cause an improvement in economic growth.  </w:t>
      </w:r>
    </w:p>
  </w:footnote>
  <w:footnote w:id="169">
    <w:p w14:paraId="7267B7C9" w14:textId="77777777" w:rsidR="00FB087B" w:rsidRDefault="00FB087B" w:rsidP="00FB087B">
      <w:pPr>
        <w:pStyle w:val="FootnoteText"/>
        <w:jc w:val="both"/>
      </w:pPr>
      <w:r>
        <w:rPr>
          <w:rStyle w:val="FootnoteReference"/>
        </w:rPr>
        <w:footnoteRef/>
      </w:r>
      <w:r>
        <w:t xml:space="preserve"> </w:t>
      </w:r>
      <w:r w:rsidRPr="008E389A">
        <w:rPr>
          <w:rFonts w:ascii="Arial" w:hAnsi="Arial" w:cs="Arial"/>
          <w:i/>
          <w:iCs/>
        </w:rPr>
        <w:t>CEMAC (acronym for Communuaté Économique et Monétaire de l’Afrique Centrale - Central African Economic and Monetary Community), UEMOA (acronym for Union Economique et Monetaire Ouest Afraine - West Africa Economic and Monetary Union –WAEMU), and Comoros. The CEMAC zone consists of the following countries: Cameroon, Central Africa Republic, Chad, Republic of the Congo, Equatorial Guinea, and Gabon. The currency is redistributed in this zone by the Banque des Etats de l’Afrique Centrale (BEAC) – Bank of Central African States. UEMOA zone consists of the following countries: Benin, Burkina Faso, Guinea Bissau, Ivory Coast, Mali, Niger, Senegal, and Togo. The currency is redistributed in this region by Banque Central des Etats de l’Afrique de l’Ouest (BCEAO) – Central Bank of the West African States. In the Comoros, the currency is redistributed by Banque Centrale des Comoros (BCC) – Central Bank of Comoros (Coleman, 2008; Banque de France, 2010; Adom, 2015).</w:t>
      </w:r>
      <w:r w:rsidRPr="0038176A">
        <w:rPr>
          <w:rFonts w:ascii="Arial" w:hAnsi="Arial" w:cs="Arial"/>
        </w:rPr>
        <w:t> </w:t>
      </w:r>
    </w:p>
  </w:footnote>
  <w:footnote w:id="170">
    <w:p w14:paraId="10028A57" w14:textId="77777777" w:rsidR="00FB087B" w:rsidRPr="009714AC" w:rsidRDefault="00FB087B" w:rsidP="00FB087B">
      <w:pPr>
        <w:pStyle w:val="FootnoteText"/>
        <w:rPr>
          <w:i/>
          <w:iCs/>
        </w:rPr>
      </w:pPr>
      <w:r>
        <w:rPr>
          <w:rStyle w:val="FootnoteReference"/>
        </w:rPr>
        <w:footnoteRef/>
      </w:r>
      <w:r>
        <w:t xml:space="preserve"> </w:t>
      </w:r>
      <w:r>
        <w:rPr>
          <w:i/>
          <w:iCs/>
        </w:rPr>
        <w:t>The parity of the CFA franc was change from 50 CFA francs to 100 CFA francs per French franc in the CEMAC and UEMOA region. While in the Comoros, the currency was devalued from 50 Comoran francs per French franc to 75 Comorian francs per French franc (Devarajan, 1994).</w:t>
      </w:r>
    </w:p>
  </w:footnote>
  <w:footnote w:id="171">
    <w:p w14:paraId="220C186E" w14:textId="77777777" w:rsidR="00FB087B" w:rsidRPr="00264841" w:rsidRDefault="00FB087B" w:rsidP="00FB087B">
      <w:pPr>
        <w:pStyle w:val="FootnoteText"/>
        <w:jc w:val="both"/>
        <w:rPr>
          <w:rFonts w:ascii="Arial" w:hAnsi="Arial" w:cs="Arial"/>
        </w:rPr>
      </w:pPr>
      <w:r w:rsidRPr="00264841">
        <w:rPr>
          <w:rStyle w:val="FootnoteReference"/>
          <w:rFonts w:ascii="Arial" w:hAnsi="Arial" w:cs="Arial"/>
        </w:rPr>
        <w:footnoteRef/>
      </w:r>
      <w:r w:rsidRPr="00264841">
        <w:rPr>
          <w:rFonts w:ascii="Arial" w:hAnsi="Arial" w:cs="Arial"/>
        </w:rPr>
        <w:t xml:space="preserve"> </w:t>
      </w:r>
      <w:r w:rsidRPr="00264841">
        <w:rPr>
          <w:rFonts w:ascii="Arial" w:hAnsi="Arial" w:cs="Arial"/>
          <w:i/>
        </w:rPr>
        <w:t>MacDonald and Ricci (2003) used the Johansen FIML in estimating the equilibrium real exchange rate of South Africa.</w:t>
      </w:r>
      <w:r w:rsidRPr="00264841">
        <w:rPr>
          <w:rStyle w:val="FootnoteReference"/>
          <w:rFonts w:ascii="Arial" w:hAnsi="Arial" w:cs="Arial"/>
          <w:i/>
          <w:sz w:val="24"/>
          <w:szCs w:val="24"/>
        </w:rPr>
        <w:t xml:space="preserve"> </w:t>
      </w:r>
      <w:r w:rsidRPr="00264841">
        <w:rPr>
          <w:rFonts w:ascii="Arial" w:hAnsi="Arial" w:cs="Arial"/>
          <w:i/>
        </w:rPr>
        <w:t>Eita and Sichei (2006) also used this approach at estimating the cointegration of Namibia.</w:t>
      </w:r>
    </w:p>
  </w:footnote>
  <w:footnote w:id="172">
    <w:p w14:paraId="45120987" w14:textId="77777777" w:rsidR="00FB087B" w:rsidRDefault="00FB087B" w:rsidP="00FB087B">
      <w:pPr>
        <w:pStyle w:val="FootnoteText"/>
        <w:jc w:val="both"/>
      </w:pPr>
      <w:r w:rsidRPr="00264841">
        <w:rPr>
          <w:rStyle w:val="FootnoteReference"/>
          <w:rFonts w:ascii="Arial" w:hAnsi="Arial" w:cs="Arial"/>
        </w:rPr>
        <w:footnoteRef/>
      </w:r>
      <w:r w:rsidRPr="00264841">
        <w:rPr>
          <w:rFonts w:ascii="Arial" w:hAnsi="Arial" w:cs="Arial"/>
        </w:rPr>
        <w:t xml:space="preserve"> </w:t>
      </w:r>
      <w:r w:rsidRPr="00264841">
        <w:rPr>
          <w:rFonts w:ascii="Arial" w:hAnsi="Arial" w:cs="Arial"/>
          <w:i/>
        </w:rPr>
        <w:t>Because the REER is seldom at equilibrium, we assumed it is at equilibrium when the misalignment (differences between REER and EREER) revolves around absolute 5%.</w:t>
      </w:r>
      <w:r w:rsidRPr="00264841">
        <w:rPr>
          <w:rFonts w:ascii="Arial" w:hAnsi="Arial" w:cs="Arial"/>
        </w:rPr>
        <w:t xml:space="preserve">   </w:t>
      </w:r>
    </w:p>
  </w:footnote>
  <w:footnote w:id="173">
    <w:p w14:paraId="60046A84" w14:textId="77777777" w:rsidR="00FB087B" w:rsidRPr="004F76EE" w:rsidRDefault="00FB087B" w:rsidP="00FB087B">
      <w:pPr>
        <w:pStyle w:val="FootnoteText"/>
        <w:jc w:val="both"/>
        <w:rPr>
          <w:rFonts w:ascii="Arial" w:hAnsi="Arial" w:cs="Arial"/>
          <w:i/>
          <w:iCs/>
        </w:rPr>
      </w:pPr>
      <w:r w:rsidRPr="3823ABBA">
        <w:rPr>
          <w:rStyle w:val="FootnoteReference"/>
          <w:rFonts w:ascii="Arial" w:hAnsi="Arial" w:cs="Arial"/>
          <w:i/>
          <w:iCs/>
        </w:rPr>
        <w:footnoteRef/>
      </w:r>
      <w:r w:rsidRPr="3823ABBA">
        <w:rPr>
          <w:rFonts w:ascii="Arial" w:hAnsi="Arial" w:cs="Arial"/>
          <w:i/>
          <w:iCs/>
        </w:rPr>
        <w:t xml:space="preserve"> The three CEMAC nations used (Cameroon, Central Africa Republic – CAR, and Gabon) and their individual five main trading partners (Cameroon’s main trade partners are; China, France, India, Netherlands, and Spain; CAR partners are Cameroon, China, France, India, and Nepal; while Gabon’s partners are China, Ireland, Korea, Netherlands, and USA).</w:t>
      </w:r>
    </w:p>
  </w:footnote>
  <w:footnote w:id="174">
    <w:p w14:paraId="24772811" w14:textId="77777777" w:rsidR="00FB087B" w:rsidRDefault="00FB087B" w:rsidP="00FB087B">
      <w:pPr>
        <w:pStyle w:val="FootnoteText"/>
        <w:jc w:val="both"/>
        <w:rPr>
          <w:i/>
          <w:iCs/>
        </w:rPr>
      </w:pPr>
      <w:r w:rsidRPr="3823ABBA">
        <w:rPr>
          <w:rStyle w:val="FootnoteReference"/>
          <w:i/>
          <w:iCs/>
        </w:rPr>
        <w:footnoteRef/>
      </w:r>
      <w:r w:rsidRPr="3823ABBA">
        <w:rPr>
          <w:i/>
          <w:iCs/>
        </w:rPr>
        <w:t xml:space="preserve"> That is, it</w:t>
      </w:r>
      <w:r w:rsidRPr="3823ABBA">
        <w:rPr>
          <w:rFonts w:ascii="Arial" w:hAnsi="Arial" w:cs="Arial"/>
          <w:i/>
          <w:iCs/>
        </w:rPr>
        <w:t xml:space="preserve"> seeks to strengthen regional cooperation and collaboration among its member nations. This includes initiatives to promote regional trade, shared development projects, and infrastructure connectivity.</w:t>
      </w:r>
    </w:p>
  </w:footnote>
  <w:footnote w:id="175">
    <w:p w14:paraId="0A48CD0D" w14:textId="77777777" w:rsidR="00FB087B" w:rsidRDefault="00FB087B" w:rsidP="00FB087B">
      <w:pPr>
        <w:pStyle w:val="FootnoteText"/>
        <w:jc w:val="both"/>
        <w:rPr>
          <w:rFonts w:ascii="Arial" w:hAnsi="Arial" w:cs="Arial"/>
          <w:i/>
          <w:iCs/>
        </w:rPr>
      </w:pPr>
      <w:r w:rsidRPr="3823ABBA">
        <w:rPr>
          <w:rStyle w:val="FootnoteReference"/>
        </w:rPr>
        <w:footnoteRef/>
      </w:r>
      <w:r>
        <w:t xml:space="preserve"> </w:t>
      </w:r>
      <w:r w:rsidRPr="3823ABBA">
        <w:rPr>
          <w:rFonts w:ascii="Arial" w:hAnsi="Arial" w:cs="Arial"/>
          <w:i/>
          <w:iCs/>
        </w:rPr>
        <w:t xml:space="preserve">CEMAC aims </w:t>
      </w:r>
      <w:r>
        <w:rPr>
          <w:rFonts w:ascii="Arial" w:hAnsi="Arial" w:cs="Arial"/>
          <w:i/>
          <w:iCs/>
        </w:rPr>
        <w:t>to</w:t>
      </w:r>
      <w:r w:rsidRPr="3823ABBA">
        <w:rPr>
          <w:rFonts w:ascii="Arial" w:hAnsi="Arial" w:cs="Arial"/>
          <w:i/>
          <w:iCs/>
        </w:rPr>
        <w:t xml:space="preserve"> promot</w:t>
      </w:r>
      <w:r>
        <w:rPr>
          <w:rFonts w:ascii="Arial" w:hAnsi="Arial" w:cs="Arial"/>
          <w:i/>
          <w:iCs/>
        </w:rPr>
        <w:t>e</w:t>
      </w:r>
      <w:r w:rsidRPr="3823ABBA">
        <w:rPr>
          <w:rFonts w:ascii="Arial" w:hAnsi="Arial" w:cs="Arial"/>
          <w:i/>
          <w:iCs/>
        </w:rPr>
        <w:t xml:space="preserve"> economic integration among its member nations, which includes the free movement of people, goods, services, and capital within the region, as well as the harmonisation of economic policies and regulations to facilitate trade and investment across borders. </w:t>
      </w:r>
    </w:p>
  </w:footnote>
  <w:footnote w:id="176">
    <w:p w14:paraId="25EF1A08" w14:textId="77777777" w:rsidR="00FB087B" w:rsidRDefault="00FB087B" w:rsidP="00FB087B">
      <w:pPr>
        <w:pStyle w:val="FootnoteText"/>
        <w:jc w:val="both"/>
      </w:pPr>
      <w:r>
        <w:rPr>
          <w:rStyle w:val="FootnoteReference"/>
        </w:rPr>
        <w:footnoteRef/>
      </w:r>
      <w:r>
        <w:t xml:space="preserve"> </w:t>
      </w:r>
      <w:r w:rsidRPr="00992489">
        <w:rPr>
          <w:rStyle w:val="Emphasis"/>
          <w:rFonts w:ascii="Arial" w:hAnsi="Arial" w:cs="Arial"/>
          <w:color w:val="0E101A"/>
        </w:rPr>
        <w:t>The following three CEMAC nations were used to represent the region: Cameroon, Central Africa Republic – CAR, and Gabon.</w:t>
      </w:r>
    </w:p>
  </w:footnote>
  <w:footnote w:id="177">
    <w:p w14:paraId="60C6621F" w14:textId="77777777" w:rsidR="00FB087B" w:rsidRDefault="00FB087B" w:rsidP="00FB087B">
      <w:pPr>
        <w:pStyle w:val="FootnoteText"/>
        <w:jc w:val="both"/>
      </w:pPr>
      <w:r>
        <w:rPr>
          <w:rStyle w:val="FootnoteReference"/>
        </w:rPr>
        <w:footnoteRef/>
      </w:r>
      <w:r>
        <w:t xml:space="preserve"> </w:t>
      </w:r>
      <w:r w:rsidRPr="00992489">
        <w:rPr>
          <w:rStyle w:val="Emphasis"/>
          <w:rFonts w:ascii="Arial" w:hAnsi="Arial" w:cs="Arial"/>
          <w:color w:val="0E101A"/>
        </w:rPr>
        <w:t>It represents the total value of goods and services produced in a nation over a specific period. The GDP is a measure of the size of an economy and represents the growth or economic production of a nation. While GDP per capita is the GDP divided by the total population of the nation, and it is a better indicator of the standard of living of a nation than the GDP.</w:t>
      </w:r>
    </w:p>
  </w:footnote>
  <w:footnote w:id="178">
    <w:p w14:paraId="35AF2876" w14:textId="77777777" w:rsidR="00FB087B" w:rsidRDefault="00FB087B" w:rsidP="00FB087B">
      <w:pPr>
        <w:pStyle w:val="FootnoteText"/>
        <w:jc w:val="both"/>
      </w:pPr>
      <w:r>
        <w:rPr>
          <w:rStyle w:val="FootnoteReference"/>
        </w:rPr>
        <w:footnoteRef/>
      </w:r>
      <w:r>
        <w:t xml:space="preserve"> </w:t>
      </w:r>
      <w:r w:rsidRPr="00992489">
        <w:rPr>
          <w:rStyle w:val="Emphasis"/>
          <w:rFonts w:ascii="Arial" w:hAnsi="Arial" w:cs="Arial"/>
          <w:color w:val="0E101A"/>
        </w:rPr>
        <w:t>In this chapter, we consider that when the REER is above the equilibrium (100), it is overvalued, while it is undervalued when it is below. A negative relationship with economic growth means that a devaluation will cause an improvement in economic growth.  </w:t>
      </w:r>
    </w:p>
  </w:footnote>
  <w:footnote w:id="179">
    <w:p w14:paraId="1BB0119C" w14:textId="77777777" w:rsidR="00FB087B" w:rsidRDefault="00FB087B" w:rsidP="00FB087B">
      <w:pPr>
        <w:pStyle w:val="FootnoteText"/>
        <w:jc w:val="both"/>
      </w:pPr>
      <w:r>
        <w:rPr>
          <w:rStyle w:val="FootnoteReference"/>
        </w:rPr>
        <w:footnoteRef/>
      </w:r>
      <w:r>
        <w:t xml:space="preserve"> </w:t>
      </w:r>
      <w:r w:rsidRPr="005E4AC5">
        <w:rPr>
          <w:rStyle w:val="Emphasis"/>
          <w:rFonts w:ascii="Arial" w:hAnsi="Arial" w:cs="Arial"/>
          <w:color w:val="0E101A"/>
        </w:rPr>
        <w:t>The slow progress of reforms, increase in public debt, and deterioration of budget balance drew wide speculations of the CFA franc devaluation. Nevertheless, the devaluation did not occur during the meeting as BEAC governor said there was no reason for CEMAC to risk devaluation. This was because the economic situation in the CEMAC zone was nowhere close to that of the 1994 CFA franc devaluation.  </w:t>
      </w:r>
    </w:p>
  </w:footnote>
  <w:footnote w:id="180">
    <w:p w14:paraId="4CA03FE0" w14:textId="77777777" w:rsidR="00FB087B" w:rsidRPr="005E4AC5" w:rsidRDefault="00FB087B" w:rsidP="00FB087B">
      <w:pPr>
        <w:spacing w:after="0" w:line="240" w:lineRule="auto"/>
        <w:jc w:val="both"/>
        <w:rPr>
          <w:rFonts w:ascii="Arial" w:hAnsi="Arial" w:cs="Arial"/>
          <w:sz w:val="20"/>
          <w:szCs w:val="20"/>
        </w:rPr>
      </w:pPr>
      <w:r>
        <w:rPr>
          <w:rStyle w:val="FootnoteReference"/>
        </w:rPr>
        <w:footnoteRef/>
      </w:r>
      <w:r>
        <w:t xml:space="preserve"> </w:t>
      </w:r>
      <w:r w:rsidRPr="005E4AC5">
        <w:rPr>
          <w:rStyle w:val="Emphasis"/>
          <w:rFonts w:ascii="Arial" w:hAnsi="Arial" w:cs="Arial"/>
          <w:color w:val="0E101A"/>
          <w:sz w:val="20"/>
          <w:szCs w:val="20"/>
        </w:rPr>
        <w:t>The piracy along the Gulf of Guinea, the security threat posed by Boko Haram in the northwest CEMAC region, the anti-Balaka and Séléka militias continual threat to the region’s security, and the series of failed coup attempts such as 6th April 1984 coup in Cameroon, 7</w:t>
      </w:r>
      <w:r w:rsidRPr="00854A0F">
        <w:rPr>
          <w:rStyle w:val="Emphasis"/>
          <w:rFonts w:ascii="Arial" w:hAnsi="Arial" w:cs="Arial"/>
          <w:color w:val="0E101A"/>
          <w:sz w:val="20"/>
          <w:szCs w:val="20"/>
          <w:vertAlign w:val="superscript"/>
        </w:rPr>
        <w:t>th</w:t>
      </w:r>
      <w:r>
        <w:rPr>
          <w:rStyle w:val="Emphasis"/>
          <w:rFonts w:ascii="Arial" w:hAnsi="Arial" w:cs="Arial"/>
          <w:color w:val="0E101A"/>
          <w:sz w:val="20"/>
          <w:szCs w:val="20"/>
        </w:rPr>
        <w:t xml:space="preserve"> </w:t>
      </w:r>
      <w:r w:rsidRPr="005E4AC5">
        <w:rPr>
          <w:rStyle w:val="Emphasis"/>
          <w:rFonts w:ascii="Arial" w:hAnsi="Arial" w:cs="Arial"/>
          <w:color w:val="0E101A"/>
          <w:sz w:val="20"/>
          <w:szCs w:val="20"/>
        </w:rPr>
        <w:t>March 2004 and 27</w:t>
      </w:r>
      <w:r w:rsidRPr="00854A0F">
        <w:rPr>
          <w:rStyle w:val="Emphasis"/>
          <w:rFonts w:ascii="Arial" w:hAnsi="Arial" w:cs="Arial"/>
          <w:color w:val="0E101A"/>
          <w:sz w:val="20"/>
          <w:szCs w:val="20"/>
          <w:vertAlign w:val="superscript"/>
        </w:rPr>
        <w:t>th</w:t>
      </w:r>
      <w:r>
        <w:rPr>
          <w:rStyle w:val="Emphasis"/>
          <w:rFonts w:ascii="Arial" w:hAnsi="Arial" w:cs="Arial"/>
          <w:color w:val="0E101A"/>
          <w:sz w:val="20"/>
          <w:szCs w:val="20"/>
        </w:rPr>
        <w:t xml:space="preserve"> </w:t>
      </w:r>
      <w:r w:rsidRPr="005E4AC5">
        <w:rPr>
          <w:rStyle w:val="Emphasis"/>
          <w:rFonts w:ascii="Arial" w:hAnsi="Arial" w:cs="Arial"/>
          <w:color w:val="0E101A"/>
          <w:sz w:val="20"/>
          <w:szCs w:val="20"/>
        </w:rPr>
        <w:t>to 28</w:t>
      </w:r>
      <w:r w:rsidRPr="00854A0F">
        <w:rPr>
          <w:rStyle w:val="Emphasis"/>
          <w:rFonts w:ascii="Arial" w:hAnsi="Arial" w:cs="Arial"/>
          <w:color w:val="0E101A"/>
          <w:sz w:val="20"/>
          <w:szCs w:val="20"/>
          <w:vertAlign w:val="superscript"/>
        </w:rPr>
        <w:t>th</w:t>
      </w:r>
      <w:r>
        <w:rPr>
          <w:rStyle w:val="Emphasis"/>
          <w:rFonts w:ascii="Arial" w:hAnsi="Arial" w:cs="Arial"/>
          <w:color w:val="0E101A"/>
          <w:sz w:val="20"/>
          <w:szCs w:val="20"/>
        </w:rPr>
        <w:t xml:space="preserve"> </w:t>
      </w:r>
      <w:r w:rsidRPr="005E4AC5">
        <w:rPr>
          <w:rStyle w:val="Emphasis"/>
          <w:rFonts w:ascii="Arial" w:hAnsi="Arial" w:cs="Arial"/>
          <w:color w:val="0E101A"/>
          <w:sz w:val="20"/>
          <w:szCs w:val="20"/>
        </w:rPr>
        <w:t>December 2017 coup in Equatorial Guinea.  </w:t>
      </w:r>
    </w:p>
    <w:p w14:paraId="3ABF42AD" w14:textId="77777777" w:rsidR="00FB087B" w:rsidRDefault="00FB087B" w:rsidP="00FB087B">
      <w:pPr>
        <w:pStyle w:val="FootnoteText"/>
      </w:pPr>
    </w:p>
  </w:footnote>
  <w:footnote w:id="181">
    <w:p w14:paraId="068F3956" w14:textId="77777777" w:rsidR="00F41E4D" w:rsidRDefault="00F41E4D" w:rsidP="009150C9">
      <w:pPr>
        <w:pStyle w:val="FootnoteText"/>
        <w:jc w:val="both"/>
      </w:pPr>
      <w:r>
        <w:rPr>
          <w:rStyle w:val="FootnoteReference"/>
        </w:rPr>
        <w:footnoteRef/>
      </w:r>
      <w:r>
        <w:t xml:space="preserve"> </w:t>
      </w:r>
      <w:r w:rsidRPr="001F160D">
        <w:rPr>
          <w:rStyle w:val="Emphasis"/>
          <w:rFonts w:ascii="Arial" w:hAnsi="Arial" w:cs="Arial"/>
          <w:color w:val="0E101A"/>
        </w:rPr>
        <w:t>There has been an aggregation of currency reserves since 1961, with the CFA franc nations having neither a clue of what the amount nor the earnings generated by their FER since it was invested on “la Bourse de Paris” (Paris Stock Exchange) in the name of the French Treasury, and not in the names of the African states (Busch, 2013).</w:t>
      </w:r>
    </w:p>
  </w:footnote>
</w:footnotes>
</file>

<file path=word/header1.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tbl>
    <w:tblPr>
      <w:tblW w:w="0" w:type="auto"/>
      <w:tblLayout w:type="fixed"/>
      <w:tblLook w:val="06A0" w:firstRow="1" w:lastRow="0" w:firstColumn="1" w:lastColumn="0" w:noHBand="1" w:noVBand="1"/>
    </w:tblPr>
    <w:tblGrid>
      <w:gridCol w:w="3005"/>
      <w:gridCol w:w="3005"/>
      <w:gridCol w:w="3005"/>
    </w:tblGrid>
    <w:tr w:rsidR="00F41E4D" w14:paraId="74F5A200" w14:textId="77777777" w:rsidTr="57903420">
      <w:trPr>
        <w:trHeight w:val="300"/>
      </w:trPr>
      <w:tc>
        <w:tcPr>
          <w:tcW w:w="3005" w:type="dxa"/>
        </w:tcPr>
        <w:p w14:paraId="007F743C" w14:textId="6FCB1F36" w:rsidR="00F41E4D" w:rsidRDefault="00F41E4D" w:rsidP="57903420">
          <w:pPr>
            <w:pStyle w:val="Header"/>
            <w:ind w:left="-115"/>
          </w:pPr>
        </w:p>
      </w:tc>
      <w:tc>
        <w:tcPr>
          <w:tcW w:w="3005" w:type="dxa"/>
        </w:tcPr>
        <w:p w14:paraId="3DA689E2" w14:textId="094C4330" w:rsidR="00F41E4D" w:rsidRDefault="00F41E4D" w:rsidP="57903420">
          <w:pPr>
            <w:pStyle w:val="Header"/>
            <w:jc w:val="center"/>
          </w:pPr>
        </w:p>
      </w:tc>
      <w:tc>
        <w:tcPr>
          <w:tcW w:w="3005" w:type="dxa"/>
        </w:tcPr>
        <w:p w14:paraId="289A3E51" w14:textId="23540104" w:rsidR="00F41E4D" w:rsidRDefault="00F41E4D" w:rsidP="57903420">
          <w:pPr>
            <w:pStyle w:val="Header"/>
            <w:ind w:right="-115"/>
            <w:jc w:val="right"/>
          </w:pPr>
        </w:p>
      </w:tc>
    </w:tr>
  </w:tbl>
  <w:p w14:paraId="162A1BD1" w14:textId="090B1585" w:rsidR="00F41E4D" w:rsidRDefault="00F41E4D">
    <w:pPr>
      <w:pStyle w:val="Header"/>
    </w:pPr>
  </w:p>
</w:hdr>
</file>

<file path=word/header2.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tbl>
    <w:tblPr>
      <w:tblW w:w="0" w:type="auto"/>
      <w:tblLayout w:type="fixed"/>
      <w:tblLook w:val="06A0" w:firstRow="1" w:lastRow="0" w:firstColumn="1" w:lastColumn="0" w:noHBand="1" w:noVBand="1"/>
    </w:tblPr>
    <w:tblGrid>
      <w:gridCol w:w="3005"/>
      <w:gridCol w:w="3005"/>
      <w:gridCol w:w="3005"/>
    </w:tblGrid>
    <w:tr w:rsidR="00F41E4D" w14:paraId="22014BCE" w14:textId="77777777" w:rsidTr="57903420">
      <w:trPr>
        <w:trHeight w:val="300"/>
      </w:trPr>
      <w:tc>
        <w:tcPr>
          <w:tcW w:w="3005" w:type="dxa"/>
        </w:tcPr>
        <w:p w14:paraId="38988757" w14:textId="6427DEFD" w:rsidR="00F41E4D" w:rsidRDefault="00F41E4D" w:rsidP="57903420">
          <w:pPr>
            <w:pStyle w:val="Header"/>
            <w:ind w:left="-115"/>
          </w:pPr>
        </w:p>
      </w:tc>
      <w:tc>
        <w:tcPr>
          <w:tcW w:w="3005" w:type="dxa"/>
        </w:tcPr>
        <w:p w14:paraId="64670805" w14:textId="26924008" w:rsidR="00F41E4D" w:rsidRDefault="00F41E4D" w:rsidP="57903420">
          <w:pPr>
            <w:pStyle w:val="Header"/>
            <w:jc w:val="center"/>
          </w:pPr>
        </w:p>
      </w:tc>
      <w:tc>
        <w:tcPr>
          <w:tcW w:w="3005" w:type="dxa"/>
        </w:tcPr>
        <w:p w14:paraId="07C1EA85" w14:textId="26CD7F85" w:rsidR="00F41E4D" w:rsidRDefault="00F41E4D" w:rsidP="57903420">
          <w:pPr>
            <w:pStyle w:val="Header"/>
            <w:ind w:right="-115"/>
            <w:jc w:val="right"/>
          </w:pPr>
        </w:p>
      </w:tc>
    </w:tr>
  </w:tbl>
  <w:p w14:paraId="0ABA628B" w14:textId="2B3E9192" w:rsidR="00F41E4D" w:rsidRDefault="00F41E4D">
    <w:pPr>
      <w:pStyle w:val="Header"/>
    </w:pPr>
  </w:p>
</w:hdr>
</file>

<file path=word/header3.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tbl>
    <w:tblPr>
      <w:tblW w:w="0" w:type="auto"/>
      <w:tblLayout w:type="fixed"/>
      <w:tblLook w:val="06A0" w:firstRow="1" w:lastRow="0" w:firstColumn="1" w:lastColumn="0" w:noHBand="1" w:noVBand="1"/>
    </w:tblPr>
    <w:tblGrid>
      <w:gridCol w:w="4650"/>
      <w:gridCol w:w="4650"/>
      <w:gridCol w:w="4650"/>
    </w:tblGrid>
    <w:tr w:rsidR="00F41E4D" w14:paraId="12A26E32" w14:textId="77777777" w:rsidTr="57903420">
      <w:trPr>
        <w:trHeight w:val="300"/>
      </w:trPr>
      <w:tc>
        <w:tcPr>
          <w:tcW w:w="4650" w:type="dxa"/>
        </w:tcPr>
        <w:p w14:paraId="0FD90C79" w14:textId="450C71B1" w:rsidR="00F41E4D" w:rsidRDefault="00F41E4D" w:rsidP="57903420">
          <w:pPr>
            <w:pStyle w:val="Header"/>
            <w:ind w:left="-115"/>
          </w:pPr>
        </w:p>
      </w:tc>
      <w:tc>
        <w:tcPr>
          <w:tcW w:w="4650" w:type="dxa"/>
        </w:tcPr>
        <w:p w14:paraId="27D382F2" w14:textId="4469DCF1" w:rsidR="00F41E4D" w:rsidRDefault="00F41E4D" w:rsidP="57903420">
          <w:pPr>
            <w:pStyle w:val="Header"/>
            <w:jc w:val="center"/>
          </w:pPr>
        </w:p>
      </w:tc>
      <w:tc>
        <w:tcPr>
          <w:tcW w:w="4650" w:type="dxa"/>
        </w:tcPr>
        <w:p w14:paraId="013D4385" w14:textId="09CF1A20" w:rsidR="00F41E4D" w:rsidRDefault="00F41E4D" w:rsidP="57903420">
          <w:pPr>
            <w:pStyle w:val="Header"/>
            <w:ind w:right="-115"/>
            <w:jc w:val="right"/>
          </w:pPr>
        </w:p>
      </w:tc>
    </w:tr>
  </w:tbl>
  <w:p w14:paraId="7B2B4917" w14:textId="361F0868" w:rsidR="00F41E4D" w:rsidRDefault="00F41E4D">
    <w:pPr>
      <w:pStyle w:val="Header"/>
    </w:pPr>
  </w:p>
</w:hdr>
</file>

<file path=word/header4.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tbl>
    <w:tblPr>
      <w:tblW w:w="0" w:type="auto"/>
      <w:tblLayout w:type="fixed"/>
      <w:tblLook w:val="06A0" w:firstRow="1" w:lastRow="0" w:firstColumn="1" w:lastColumn="0" w:noHBand="1" w:noVBand="1"/>
    </w:tblPr>
    <w:tblGrid>
      <w:gridCol w:w="4650"/>
      <w:gridCol w:w="4650"/>
      <w:gridCol w:w="4650"/>
    </w:tblGrid>
    <w:tr w:rsidR="00F41E4D" w14:paraId="736A6B17" w14:textId="77777777" w:rsidTr="57903420">
      <w:trPr>
        <w:trHeight w:val="300"/>
      </w:trPr>
      <w:tc>
        <w:tcPr>
          <w:tcW w:w="4650" w:type="dxa"/>
        </w:tcPr>
        <w:p w14:paraId="2C0821AC" w14:textId="6409FC77" w:rsidR="00F41E4D" w:rsidRDefault="00F41E4D" w:rsidP="57903420">
          <w:pPr>
            <w:pStyle w:val="Header"/>
            <w:ind w:left="-115"/>
          </w:pPr>
        </w:p>
      </w:tc>
      <w:tc>
        <w:tcPr>
          <w:tcW w:w="4650" w:type="dxa"/>
        </w:tcPr>
        <w:p w14:paraId="4376CD75" w14:textId="57BA0314" w:rsidR="00F41E4D" w:rsidRDefault="00F41E4D" w:rsidP="57903420">
          <w:pPr>
            <w:pStyle w:val="Header"/>
            <w:jc w:val="center"/>
          </w:pPr>
        </w:p>
      </w:tc>
      <w:tc>
        <w:tcPr>
          <w:tcW w:w="4650" w:type="dxa"/>
        </w:tcPr>
        <w:p w14:paraId="1AA38433" w14:textId="0DCA6886" w:rsidR="00F41E4D" w:rsidRDefault="00F41E4D" w:rsidP="57903420">
          <w:pPr>
            <w:pStyle w:val="Header"/>
            <w:ind w:right="-115"/>
            <w:jc w:val="right"/>
          </w:pPr>
        </w:p>
      </w:tc>
    </w:tr>
  </w:tbl>
  <w:p w14:paraId="7A27F100" w14:textId="2202A460" w:rsidR="00F41E4D" w:rsidRDefault="00F41E4D">
    <w:pPr>
      <w:pStyle w:val="Header"/>
    </w:pPr>
  </w:p>
</w:hdr>
</file>

<file path=word/header5.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tbl>
    <w:tblPr>
      <w:tblW w:w="0" w:type="auto"/>
      <w:tblLayout w:type="fixed"/>
      <w:tblLook w:val="06A0" w:firstRow="1" w:lastRow="0" w:firstColumn="1" w:lastColumn="0" w:noHBand="1" w:noVBand="1"/>
    </w:tblPr>
    <w:tblGrid>
      <w:gridCol w:w="4650"/>
      <w:gridCol w:w="4650"/>
      <w:gridCol w:w="4650"/>
    </w:tblGrid>
    <w:tr w:rsidR="00376001" w14:paraId="1EE5EA22" w14:textId="77777777" w:rsidTr="57903420">
      <w:trPr>
        <w:trHeight w:val="300"/>
      </w:trPr>
      <w:tc>
        <w:tcPr>
          <w:tcW w:w="4650" w:type="dxa"/>
        </w:tcPr>
        <w:p w14:paraId="6E9E4548" w14:textId="77777777" w:rsidR="00376001" w:rsidRDefault="00376001" w:rsidP="57903420">
          <w:pPr>
            <w:pStyle w:val="Header"/>
            <w:ind w:left="-115"/>
          </w:pPr>
        </w:p>
      </w:tc>
      <w:tc>
        <w:tcPr>
          <w:tcW w:w="4650" w:type="dxa"/>
        </w:tcPr>
        <w:p w14:paraId="48D4CEEC" w14:textId="77777777" w:rsidR="00376001" w:rsidRDefault="00376001" w:rsidP="57903420">
          <w:pPr>
            <w:pStyle w:val="Header"/>
            <w:jc w:val="center"/>
          </w:pPr>
        </w:p>
      </w:tc>
      <w:tc>
        <w:tcPr>
          <w:tcW w:w="4650" w:type="dxa"/>
        </w:tcPr>
        <w:p w14:paraId="2712FFA3" w14:textId="77777777" w:rsidR="00376001" w:rsidRDefault="00376001" w:rsidP="57903420">
          <w:pPr>
            <w:pStyle w:val="Header"/>
            <w:ind w:right="-115"/>
            <w:jc w:val="right"/>
          </w:pPr>
        </w:p>
      </w:tc>
    </w:tr>
  </w:tbl>
  <w:p w14:paraId="7553CCA0" w14:textId="77777777" w:rsidR="00376001" w:rsidRDefault="00376001">
    <w:pPr>
      <w:pStyle w:val="Header"/>
    </w:pPr>
  </w:p>
</w:hdr>
</file>

<file path=word/header6.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tbl>
    <w:tblPr>
      <w:tblW w:w="0" w:type="auto"/>
      <w:tblLayout w:type="fixed"/>
      <w:tblLook w:val="06A0" w:firstRow="1" w:lastRow="0" w:firstColumn="1" w:lastColumn="0" w:noHBand="1" w:noVBand="1"/>
    </w:tblPr>
    <w:tblGrid>
      <w:gridCol w:w="3005"/>
      <w:gridCol w:w="3005"/>
      <w:gridCol w:w="3005"/>
    </w:tblGrid>
    <w:tr w:rsidR="00F41E4D" w14:paraId="3A6CE845" w14:textId="77777777" w:rsidTr="57903420">
      <w:trPr>
        <w:trHeight w:val="300"/>
      </w:trPr>
      <w:tc>
        <w:tcPr>
          <w:tcW w:w="3005" w:type="dxa"/>
        </w:tcPr>
        <w:p w14:paraId="2BC19666" w14:textId="15A2BB08" w:rsidR="00F41E4D" w:rsidRDefault="00F41E4D" w:rsidP="57903420">
          <w:pPr>
            <w:pStyle w:val="Header"/>
            <w:ind w:left="-115"/>
          </w:pPr>
        </w:p>
      </w:tc>
      <w:tc>
        <w:tcPr>
          <w:tcW w:w="3005" w:type="dxa"/>
        </w:tcPr>
        <w:p w14:paraId="3E0E7EC7" w14:textId="3BA2899B" w:rsidR="00F41E4D" w:rsidRDefault="00F41E4D" w:rsidP="57903420">
          <w:pPr>
            <w:pStyle w:val="Header"/>
            <w:jc w:val="center"/>
          </w:pPr>
        </w:p>
      </w:tc>
      <w:tc>
        <w:tcPr>
          <w:tcW w:w="3005" w:type="dxa"/>
        </w:tcPr>
        <w:p w14:paraId="2395F5F1" w14:textId="1E61BDBB" w:rsidR="00F41E4D" w:rsidRDefault="00F41E4D" w:rsidP="57903420">
          <w:pPr>
            <w:pStyle w:val="Header"/>
            <w:ind w:right="-115"/>
            <w:jc w:val="right"/>
          </w:pPr>
        </w:p>
      </w:tc>
    </w:tr>
  </w:tbl>
  <w:p w14:paraId="3B072E96" w14:textId="6F82CE75" w:rsidR="00F41E4D" w:rsidRDefault="00F41E4D">
    <w:pPr>
      <w:pStyle w:val="Header"/>
    </w:pPr>
  </w:p>
</w:hdr>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abstractNum w:abstractNumId="0" w15:restartNumberingAfterBreak="0">
    <w:nsid w:val="04891BCD"/>
    <w:multiLevelType w:val="hybridMultilevel"/>
    <w:tmpl w:val="5DDC3CE2"/>
    <w:lvl w:ilvl="0" w:tplc="6FDE01B0">
      <w:start w:val="1"/>
      <w:numFmt w:val="lowerLetter"/>
      <w:lvlText w:val="%1)"/>
      <w:lvlJc w:val="left"/>
      <w:pPr>
        <w:ind w:left="2739" w:hanging="360"/>
      </w:pPr>
      <w:rPr>
        <w:rFonts w:ascii="Times New Roman" w:eastAsia="Times New Roman" w:hAnsi="Times New Roman" w:cs="Times New Roman"/>
      </w:rPr>
    </w:lvl>
    <w:lvl w:ilvl="1" w:tplc="08090019" w:tentative="1">
      <w:start w:val="1"/>
      <w:numFmt w:val="lowerLetter"/>
      <w:lvlText w:val="%2."/>
      <w:lvlJc w:val="left"/>
      <w:pPr>
        <w:ind w:left="3459" w:hanging="360"/>
      </w:pPr>
    </w:lvl>
    <w:lvl w:ilvl="2" w:tplc="0809001B" w:tentative="1">
      <w:start w:val="1"/>
      <w:numFmt w:val="lowerRoman"/>
      <w:lvlText w:val="%3."/>
      <w:lvlJc w:val="right"/>
      <w:pPr>
        <w:ind w:left="4179" w:hanging="180"/>
      </w:pPr>
    </w:lvl>
    <w:lvl w:ilvl="3" w:tplc="0809000F" w:tentative="1">
      <w:start w:val="1"/>
      <w:numFmt w:val="decimal"/>
      <w:lvlText w:val="%4."/>
      <w:lvlJc w:val="left"/>
      <w:pPr>
        <w:ind w:left="4899" w:hanging="360"/>
      </w:pPr>
    </w:lvl>
    <w:lvl w:ilvl="4" w:tplc="08090019" w:tentative="1">
      <w:start w:val="1"/>
      <w:numFmt w:val="lowerLetter"/>
      <w:lvlText w:val="%5."/>
      <w:lvlJc w:val="left"/>
      <w:pPr>
        <w:ind w:left="5619" w:hanging="360"/>
      </w:pPr>
    </w:lvl>
    <w:lvl w:ilvl="5" w:tplc="0809001B" w:tentative="1">
      <w:start w:val="1"/>
      <w:numFmt w:val="lowerRoman"/>
      <w:lvlText w:val="%6."/>
      <w:lvlJc w:val="right"/>
      <w:pPr>
        <w:ind w:left="6339" w:hanging="180"/>
      </w:pPr>
    </w:lvl>
    <w:lvl w:ilvl="6" w:tplc="0809000F" w:tentative="1">
      <w:start w:val="1"/>
      <w:numFmt w:val="decimal"/>
      <w:lvlText w:val="%7."/>
      <w:lvlJc w:val="left"/>
      <w:pPr>
        <w:ind w:left="7059" w:hanging="360"/>
      </w:pPr>
    </w:lvl>
    <w:lvl w:ilvl="7" w:tplc="08090019" w:tentative="1">
      <w:start w:val="1"/>
      <w:numFmt w:val="lowerLetter"/>
      <w:lvlText w:val="%8."/>
      <w:lvlJc w:val="left"/>
      <w:pPr>
        <w:ind w:left="7779" w:hanging="360"/>
      </w:pPr>
    </w:lvl>
    <w:lvl w:ilvl="8" w:tplc="0809001B" w:tentative="1">
      <w:start w:val="1"/>
      <w:numFmt w:val="lowerRoman"/>
      <w:lvlText w:val="%9."/>
      <w:lvlJc w:val="right"/>
      <w:pPr>
        <w:ind w:left="8499" w:hanging="180"/>
      </w:pPr>
    </w:lvl>
  </w:abstractNum>
  <w:abstractNum w:abstractNumId="1" w15:restartNumberingAfterBreak="0">
    <w:nsid w:val="08A26575"/>
    <w:multiLevelType w:val="hybridMultilevel"/>
    <w:tmpl w:val="F1F8478E"/>
    <w:lvl w:ilvl="0" w:tplc="08090001">
      <w:start w:val="1"/>
      <w:numFmt w:val="bullet"/>
      <w:lvlText w:val=""/>
      <w:lvlJc w:val="left"/>
      <w:pPr>
        <w:ind w:left="1862" w:hanging="360"/>
      </w:pPr>
      <w:rPr>
        <w:rFonts w:ascii="Symbol" w:hAnsi="Symbol" w:hint="default"/>
      </w:rPr>
    </w:lvl>
    <w:lvl w:ilvl="1" w:tplc="08090003" w:tentative="1">
      <w:start w:val="1"/>
      <w:numFmt w:val="bullet"/>
      <w:lvlText w:val="o"/>
      <w:lvlJc w:val="left"/>
      <w:pPr>
        <w:ind w:left="2582" w:hanging="360"/>
      </w:pPr>
      <w:rPr>
        <w:rFonts w:ascii="Courier New" w:hAnsi="Courier New" w:cs="Courier New" w:hint="default"/>
      </w:rPr>
    </w:lvl>
    <w:lvl w:ilvl="2" w:tplc="08090005" w:tentative="1">
      <w:start w:val="1"/>
      <w:numFmt w:val="bullet"/>
      <w:lvlText w:val=""/>
      <w:lvlJc w:val="left"/>
      <w:pPr>
        <w:ind w:left="3302" w:hanging="360"/>
      </w:pPr>
      <w:rPr>
        <w:rFonts w:ascii="Wingdings" w:hAnsi="Wingdings" w:hint="default"/>
      </w:rPr>
    </w:lvl>
    <w:lvl w:ilvl="3" w:tplc="08090001" w:tentative="1">
      <w:start w:val="1"/>
      <w:numFmt w:val="bullet"/>
      <w:lvlText w:val=""/>
      <w:lvlJc w:val="left"/>
      <w:pPr>
        <w:ind w:left="4022" w:hanging="360"/>
      </w:pPr>
      <w:rPr>
        <w:rFonts w:ascii="Symbol" w:hAnsi="Symbol" w:hint="default"/>
      </w:rPr>
    </w:lvl>
    <w:lvl w:ilvl="4" w:tplc="08090003" w:tentative="1">
      <w:start w:val="1"/>
      <w:numFmt w:val="bullet"/>
      <w:lvlText w:val="o"/>
      <w:lvlJc w:val="left"/>
      <w:pPr>
        <w:ind w:left="4742" w:hanging="360"/>
      </w:pPr>
      <w:rPr>
        <w:rFonts w:ascii="Courier New" w:hAnsi="Courier New" w:cs="Courier New" w:hint="default"/>
      </w:rPr>
    </w:lvl>
    <w:lvl w:ilvl="5" w:tplc="08090005" w:tentative="1">
      <w:start w:val="1"/>
      <w:numFmt w:val="bullet"/>
      <w:lvlText w:val=""/>
      <w:lvlJc w:val="left"/>
      <w:pPr>
        <w:ind w:left="5462" w:hanging="360"/>
      </w:pPr>
      <w:rPr>
        <w:rFonts w:ascii="Wingdings" w:hAnsi="Wingdings" w:hint="default"/>
      </w:rPr>
    </w:lvl>
    <w:lvl w:ilvl="6" w:tplc="08090001" w:tentative="1">
      <w:start w:val="1"/>
      <w:numFmt w:val="bullet"/>
      <w:lvlText w:val=""/>
      <w:lvlJc w:val="left"/>
      <w:pPr>
        <w:ind w:left="6182" w:hanging="360"/>
      </w:pPr>
      <w:rPr>
        <w:rFonts w:ascii="Symbol" w:hAnsi="Symbol" w:hint="default"/>
      </w:rPr>
    </w:lvl>
    <w:lvl w:ilvl="7" w:tplc="08090003" w:tentative="1">
      <w:start w:val="1"/>
      <w:numFmt w:val="bullet"/>
      <w:lvlText w:val="o"/>
      <w:lvlJc w:val="left"/>
      <w:pPr>
        <w:ind w:left="6902" w:hanging="360"/>
      </w:pPr>
      <w:rPr>
        <w:rFonts w:ascii="Courier New" w:hAnsi="Courier New" w:cs="Courier New" w:hint="default"/>
      </w:rPr>
    </w:lvl>
    <w:lvl w:ilvl="8" w:tplc="08090005" w:tentative="1">
      <w:start w:val="1"/>
      <w:numFmt w:val="bullet"/>
      <w:lvlText w:val=""/>
      <w:lvlJc w:val="left"/>
      <w:pPr>
        <w:ind w:left="7622" w:hanging="360"/>
      </w:pPr>
      <w:rPr>
        <w:rFonts w:ascii="Wingdings" w:hAnsi="Wingdings" w:hint="default"/>
      </w:rPr>
    </w:lvl>
  </w:abstractNum>
  <w:abstractNum w:abstractNumId="2" w15:restartNumberingAfterBreak="0">
    <w:nsid w:val="0A8D7F33"/>
    <w:multiLevelType w:val="hybridMultilevel"/>
    <w:tmpl w:val="214CE376"/>
    <w:lvl w:ilvl="0" w:tplc="B13268CE">
      <w:start w:val="1"/>
      <w:numFmt w:val="lowerLetter"/>
      <w:lvlText w:val="%1)"/>
      <w:lvlJc w:val="left"/>
      <w:pPr>
        <w:ind w:left="1080" w:hanging="720"/>
      </w:pPr>
      <w:rPr>
        <w:rFonts w:ascii="Times New Roman" w:eastAsia="Times New Roman" w:hAnsi="Times New Roman" w:cs="Times New Roman" w:hint="default"/>
      </w:rPr>
    </w:lvl>
    <w:lvl w:ilvl="1" w:tplc="08090019" w:tentative="1">
      <w:start w:val="1"/>
      <w:numFmt w:val="lowerLetter"/>
      <w:lvlText w:val="%2."/>
      <w:lvlJc w:val="left"/>
      <w:pPr>
        <w:ind w:left="1440" w:hanging="360"/>
      </w:pPr>
    </w:lvl>
    <w:lvl w:ilvl="2" w:tplc="0809001B" w:tentative="1">
      <w:start w:val="1"/>
      <w:numFmt w:val="lowerRoman"/>
      <w:lvlText w:val="%3."/>
      <w:lvlJc w:val="right"/>
      <w:pPr>
        <w:ind w:left="2160" w:hanging="180"/>
      </w:pPr>
    </w:lvl>
    <w:lvl w:ilvl="3" w:tplc="0809000F" w:tentative="1">
      <w:start w:val="1"/>
      <w:numFmt w:val="decimal"/>
      <w:lvlText w:val="%4."/>
      <w:lvlJc w:val="left"/>
      <w:pPr>
        <w:ind w:left="2880" w:hanging="360"/>
      </w:pPr>
    </w:lvl>
    <w:lvl w:ilvl="4" w:tplc="08090019" w:tentative="1">
      <w:start w:val="1"/>
      <w:numFmt w:val="lowerLetter"/>
      <w:lvlText w:val="%5."/>
      <w:lvlJc w:val="left"/>
      <w:pPr>
        <w:ind w:left="3600" w:hanging="360"/>
      </w:pPr>
    </w:lvl>
    <w:lvl w:ilvl="5" w:tplc="0809001B" w:tentative="1">
      <w:start w:val="1"/>
      <w:numFmt w:val="lowerRoman"/>
      <w:lvlText w:val="%6."/>
      <w:lvlJc w:val="right"/>
      <w:pPr>
        <w:ind w:left="4320" w:hanging="180"/>
      </w:pPr>
    </w:lvl>
    <w:lvl w:ilvl="6" w:tplc="0809000F" w:tentative="1">
      <w:start w:val="1"/>
      <w:numFmt w:val="decimal"/>
      <w:lvlText w:val="%7."/>
      <w:lvlJc w:val="left"/>
      <w:pPr>
        <w:ind w:left="5040" w:hanging="360"/>
      </w:pPr>
    </w:lvl>
    <w:lvl w:ilvl="7" w:tplc="08090019" w:tentative="1">
      <w:start w:val="1"/>
      <w:numFmt w:val="lowerLetter"/>
      <w:lvlText w:val="%8."/>
      <w:lvlJc w:val="left"/>
      <w:pPr>
        <w:ind w:left="5760" w:hanging="360"/>
      </w:pPr>
    </w:lvl>
    <w:lvl w:ilvl="8" w:tplc="0809001B" w:tentative="1">
      <w:start w:val="1"/>
      <w:numFmt w:val="lowerRoman"/>
      <w:lvlText w:val="%9."/>
      <w:lvlJc w:val="right"/>
      <w:pPr>
        <w:ind w:left="6480" w:hanging="180"/>
      </w:pPr>
    </w:lvl>
  </w:abstractNum>
  <w:abstractNum w:abstractNumId="3" w15:restartNumberingAfterBreak="0">
    <w:nsid w:val="0CB81D21"/>
    <w:multiLevelType w:val="multilevel"/>
    <w:tmpl w:val="6CB62064"/>
    <w:lvl w:ilvl="0">
      <w:start w:val="8"/>
      <w:numFmt w:val="decimal"/>
      <w:lvlText w:val="%1"/>
      <w:lvlJc w:val="left"/>
      <w:pPr>
        <w:ind w:left="480" w:hanging="480"/>
      </w:pPr>
      <w:rPr>
        <w:rFonts w:hint="default"/>
      </w:rPr>
    </w:lvl>
    <w:lvl w:ilvl="1">
      <w:start w:val="3"/>
      <w:numFmt w:val="decimal"/>
      <w:lvlText w:val="%1.%2"/>
      <w:lvlJc w:val="left"/>
      <w:pPr>
        <w:ind w:left="480" w:hanging="480"/>
      </w:pPr>
      <w:rPr>
        <w:rFonts w:hint="default"/>
      </w:rPr>
    </w:lvl>
    <w:lvl w:ilvl="2">
      <w:start w:val="1"/>
      <w:numFmt w:val="decimal"/>
      <w:lvlText w:val="%1.%2.%3"/>
      <w:lvlJc w:val="left"/>
      <w:pPr>
        <w:ind w:left="720" w:hanging="720"/>
      </w:pPr>
      <w:rPr>
        <w:rFonts w:hint="default"/>
      </w:rPr>
    </w:lvl>
    <w:lvl w:ilvl="3">
      <w:start w:val="1"/>
      <w:numFmt w:val="decimal"/>
      <w:lvlText w:val="%1.%2.%3.%4"/>
      <w:lvlJc w:val="left"/>
      <w:pPr>
        <w:ind w:left="720" w:hanging="720"/>
      </w:pPr>
      <w:rPr>
        <w:rFonts w:hint="default"/>
      </w:rPr>
    </w:lvl>
    <w:lvl w:ilvl="4">
      <w:start w:val="1"/>
      <w:numFmt w:val="decimal"/>
      <w:lvlText w:val="%1.%2.%3.%4.%5"/>
      <w:lvlJc w:val="left"/>
      <w:pPr>
        <w:ind w:left="1080" w:hanging="1080"/>
      </w:pPr>
      <w:rPr>
        <w:rFonts w:hint="default"/>
      </w:rPr>
    </w:lvl>
    <w:lvl w:ilvl="5">
      <w:start w:val="1"/>
      <w:numFmt w:val="decimal"/>
      <w:lvlText w:val="%1.%2.%3.%4.%5.%6"/>
      <w:lvlJc w:val="left"/>
      <w:pPr>
        <w:ind w:left="1080" w:hanging="1080"/>
      </w:pPr>
      <w:rPr>
        <w:rFonts w:hint="default"/>
      </w:rPr>
    </w:lvl>
    <w:lvl w:ilvl="6">
      <w:start w:val="1"/>
      <w:numFmt w:val="decimal"/>
      <w:lvlText w:val="%1.%2.%3.%4.%5.%6.%7"/>
      <w:lvlJc w:val="left"/>
      <w:pPr>
        <w:ind w:left="1440" w:hanging="1440"/>
      </w:pPr>
      <w:rPr>
        <w:rFonts w:hint="default"/>
      </w:rPr>
    </w:lvl>
    <w:lvl w:ilvl="7">
      <w:start w:val="1"/>
      <w:numFmt w:val="decimal"/>
      <w:lvlText w:val="%1.%2.%3.%4.%5.%6.%7.%8"/>
      <w:lvlJc w:val="left"/>
      <w:pPr>
        <w:ind w:left="1440" w:hanging="1440"/>
      </w:pPr>
      <w:rPr>
        <w:rFonts w:hint="default"/>
      </w:rPr>
    </w:lvl>
    <w:lvl w:ilvl="8">
      <w:start w:val="1"/>
      <w:numFmt w:val="decimal"/>
      <w:lvlText w:val="%1.%2.%3.%4.%5.%6.%7.%8.%9"/>
      <w:lvlJc w:val="left"/>
      <w:pPr>
        <w:ind w:left="1800" w:hanging="1800"/>
      </w:pPr>
      <w:rPr>
        <w:rFonts w:hint="default"/>
      </w:rPr>
    </w:lvl>
  </w:abstractNum>
  <w:abstractNum w:abstractNumId="4" w15:restartNumberingAfterBreak="0">
    <w:nsid w:val="0E7841A1"/>
    <w:multiLevelType w:val="multilevel"/>
    <w:tmpl w:val="0D1E8A6C"/>
    <w:lvl w:ilvl="0">
      <w:start w:val="3"/>
      <w:numFmt w:val="decimal"/>
      <w:lvlText w:val="%1"/>
      <w:lvlJc w:val="left"/>
      <w:pPr>
        <w:ind w:left="480" w:hanging="480"/>
      </w:pPr>
      <w:rPr>
        <w:rFonts w:hint="default"/>
      </w:rPr>
    </w:lvl>
    <w:lvl w:ilvl="1">
      <w:start w:val="5"/>
      <w:numFmt w:val="decimal"/>
      <w:lvlText w:val="%1.%2"/>
      <w:lvlJc w:val="left"/>
      <w:pPr>
        <w:ind w:left="2466" w:hanging="480"/>
      </w:pPr>
      <w:rPr>
        <w:rFonts w:hint="default"/>
      </w:rPr>
    </w:lvl>
    <w:lvl w:ilvl="2">
      <w:start w:val="3"/>
      <w:numFmt w:val="decimal"/>
      <w:lvlText w:val="%1.%2.%3"/>
      <w:lvlJc w:val="left"/>
      <w:pPr>
        <w:ind w:left="4692" w:hanging="720"/>
      </w:pPr>
      <w:rPr>
        <w:rFonts w:hint="default"/>
      </w:rPr>
    </w:lvl>
    <w:lvl w:ilvl="3">
      <w:start w:val="1"/>
      <w:numFmt w:val="decimal"/>
      <w:lvlText w:val="%1.%2.%3.%4"/>
      <w:lvlJc w:val="left"/>
      <w:pPr>
        <w:ind w:left="6678" w:hanging="720"/>
      </w:pPr>
      <w:rPr>
        <w:rFonts w:hint="default"/>
      </w:rPr>
    </w:lvl>
    <w:lvl w:ilvl="4">
      <w:start w:val="1"/>
      <w:numFmt w:val="decimal"/>
      <w:lvlText w:val="%1.%2.%3.%4.%5"/>
      <w:lvlJc w:val="left"/>
      <w:pPr>
        <w:ind w:left="9024" w:hanging="1080"/>
      </w:pPr>
      <w:rPr>
        <w:rFonts w:hint="default"/>
      </w:rPr>
    </w:lvl>
    <w:lvl w:ilvl="5">
      <w:start w:val="1"/>
      <w:numFmt w:val="decimal"/>
      <w:lvlText w:val="%1.%2.%3.%4.%5.%6"/>
      <w:lvlJc w:val="left"/>
      <w:pPr>
        <w:ind w:left="11010" w:hanging="1080"/>
      </w:pPr>
      <w:rPr>
        <w:rFonts w:hint="default"/>
      </w:rPr>
    </w:lvl>
    <w:lvl w:ilvl="6">
      <w:start w:val="1"/>
      <w:numFmt w:val="decimal"/>
      <w:lvlText w:val="%1.%2.%3.%4.%5.%6.%7"/>
      <w:lvlJc w:val="left"/>
      <w:pPr>
        <w:ind w:left="13356" w:hanging="1440"/>
      </w:pPr>
      <w:rPr>
        <w:rFonts w:hint="default"/>
      </w:rPr>
    </w:lvl>
    <w:lvl w:ilvl="7">
      <w:start w:val="1"/>
      <w:numFmt w:val="decimal"/>
      <w:lvlText w:val="%1.%2.%3.%4.%5.%6.%7.%8"/>
      <w:lvlJc w:val="left"/>
      <w:pPr>
        <w:ind w:left="15342" w:hanging="1440"/>
      </w:pPr>
      <w:rPr>
        <w:rFonts w:hint="default"/>
      </w:rPr>
    </w:lvl>
    <w:lvl w:ilvl="8">
      <w:start w:val="1"/>
      <w:numFmt w:val="decimal"/>
      <w:lvlText w:val="%1.%2.%3.%4.%5.%6.%7.%8.%9"/>
      <w:lvlJc w:val="left"/>
      <w:pPr>
        <w:ind w:left="17688" w:hanging="1800"/>
      </w:pPr>
      <w:rPr>
        <w:rFonts w:hint="default"/>
      </w:rPr>
    </w:lvl>
  </w:abstractNum>
  <w:abstractNum w:abstractNumId="5" w15:restartNumberingAfterBreak="0">
    <w:nsid w:val="0F806675"/>
    <w:multiLevelType w:val="hybridMultilevel"/>
    <w:tmpl w:val="C4300804"/>
    <w:lvl w:ilvl="0" w:tplc="08090011">
      <w:start w:val="1"/>
      <w:numFmt w:val="decimal"/>
      <w:lvlText w:val="%1)"/>
      <w:lvlJc w:val="left"/>
      <w:pPr>
        <w:ind w:left="720" w:hanging="360"/>
      </w:pPr>
    </w:lvl>
    <w:lvl w:ilvl="1" w:tplc="08090019" w:tentative="1">
      <w:start w:val="1"/>
      <w:numFmt w:val="lowerLetter"/>
      <w:lvlText w:val="%2."/>
      <w:lvlJc w:val="left"/>
      <w:pPr>
        <w:ind w:left="1440" w:hanging="360"/>
      </w:pPr>
    </w:lvl>
    <w:lvl w:ilvl="2" w:tplc="0809001B" w:tentative="1">
      <w:start w:val="1"/>
      <w:numFmt w:val="lowerRoman"/>
      <w:lvlText w:val="%3."/>
      <w:lvlJc w:val="right"/>
      <w:pPr>
        <w:ind w:left="2160" w:hanging="180"/>
      </w:pPr>
    </w:lvl>
    <w:lvl w:ilvl="3" w:tplc="0809000F" w:tentative="1">
      <w:start w:val="1"/>
      <w:numFmt w:val="decimal"/>
      <w:lvlText w:val="%4."/>
      <w:lvlJc w:val="left"/>
      <w:pPr>
        <w:ind w:left="2880" w:hanging="360"/>
      </w:pPr>
    </w:lvl>
    <w:lvl w:ilvl="4" w:tplc="08090019" w:tentative="1">
      <w:start w:val="1"/>
      <w:numFmt w:val="lowerLetter"/>
      <w:lvlText w:val="%5."/>
      <w:lvlJc w:val="left"/>
      <w:pPr>
        <w:ind w:left="3600" w:hanging="360"/>
      </w:pPr>
    </w:lvl>
    <w:lvl w:ilvl="5" w:tplc="0809001B" w:tentative="1">
      <w:start w:val="1"/>
      <w:numFmt w:val="lowerRoman"/>
      <w:lvlText w:val="%6."/>
      <w:lvlJc w:val="right"/>
      <w:pPr>
        <w:ind w:left="4320" w:hanging="180"/>
      </w:pPr>
    </w:lvl>
    <w:lvl w:ilvl="6" w:tplc="0809000F" w:tentative="1">
      <w:start w:val="1"/>
      <w:numFmt w:val="decimal"/>
      <w:lvlText w:val="%7."/>
      <w:lvlJc w:val="left"/>
      <w:pPr>
        <w:ind w:left="5040" w:hanging="360"/>
      </w:pPr>
    </w:lvl>
    <w:lvl w:ilvl="7" w:tplc="08090019" w:tentative="1">
      <w:start w:val="1"/>
      <w:numFmt w:val="lowerLetter"/>
      <w:lvlText w:val="%8."/>
      <w:lvlJc w:val="left"/>
      <w:pPr>
        <w:ind w:left="5760" w:hanging="360"/>
      </w:pPr>
    </w:lvl>
    <w:lvl w:ilvl="8" w:tplc="0809001B" w:tentative="1">
      <w:start w:val="1"/>
      <w:numFmt w:val="lowerRoman"/>
      <w:lvlText w:val="%9."/>
      <w:lvlJc w:val="right"/>
      <w:pPr>
        <w:ind w:left="6480" w:hanging="180"/>
      </w:pPr>
    </w:lvl>
  </w:abstractNum>
  <w:abstractNum w:abstractNumId="6" w15:restartNumberingAfterBreak="0">
    <w:nsid w:val="1039066B"/>
    <w:multiLevelType w:val="multilevel"/>
    <w:tmpl w:val="C9EC165C"/>
    <w:lvl w:ilvl="0">
      <w:start w:val="3"/>
      <w:numFmt w:val="decimal"/>
      <w:lvlText w:val="%1"/>
      <w:lvlJc w:val="left"/>
      <w:pPr>
        <w:ind w:left="480" w:hanging="480"/>
      </w:pPr>
      <w:rPr>
        <w:rFonts w:hint="default"/>
      </w:rPr>
    </w:lvl>
    <w:lvl w:ilvl="1">
      <w:start w:val="2"/>
      <w:numFmt w:val="decimal"/>
      <w:lvlText w:val="%1.%2"/>
      <w:lvlJc w:val="left"/>
      <w:pPr>
        <w:ind w:left="480" w:hanging="480"/>
      </w:pPr>
      <w:rPr>
        <w:rFonts w:hint="default"/>
      </w:rPr>
    </w:lvl>
    <w:lvl w:ilvl="2">
      <w:start w:val="2"/>
      <w:numFmt w:val="decimal"/>
      <w:lvlText w:val="%1.%2.%3"/>
      <w:lvlJc w:val="left"/>
      <w:pPr>
        <w:ind w:left="720" w:hanging="720"/>
      </w:pPr>
      <w:rPr>
        <w:rFonts w:hint="default"/>
      </w:rPr>
    </w:lvl>
    <w:lvl w:ilvl="3">
      <w:start w:val="1"/>
      <w:numFmt w:val="decimal"/>
      <w:lvlText w:val="%1.%2.%3.%4"/>
      <w:lvlJc w:val="left"/>
      <w:pPr>
        <w:ind w:left="720" w:hanging="720"/>
      </w:pPr>
      <w:rPr>
        <w:rFonts w:hint="default"/>
      </w:rPr>
    </w:lvl>
    <w:lvl w:ilvl="4">
      <w:start w:val="1"/>
      <w:numFmt w:val="decimal"/>
      <w:lvlText w:val="%1.%2.%3.%4.%5"/>
      <w:lvlJc w:val="left"/>
      <w:pPr>
        <w:ind w:left="1080" w:hanging="1080"/>
      </w:pPr>
      <w:rPr>
        <w:rFonts w:hint="default"/>
      </w:rPr>
    </w:lvl>
    <w:lvl w:ilvl="5">
      <w:start w:val="1"/>
      <w:numFmt w:val="decimal"/>
      <w:lvlText w:val="%1.%2.%3.%4.%5.%6"/>
      <w:lvlJc w:val="left"/>
      <w:pPr>
        <w:ind w:left="1080" w:hanging="1080"/>
      </w:pPr>
      <w:rPr>
        <w:rFonts w:hint="default"/>
      </w:rPr>
    </w:lvl>
    <w:lvl w:ilvl="6">
      <w:start w:val="1"/>
      <w:numFmt w:val="decimal"/>
      <w:lvlText w:val="%1.%2.%3.%4.%5.%6.%7"/>
      <w:lvlJc w:val="left"/>
      <w:pPr>
        <w:ind w:left="1440" w:hanging="1440"/>
      </w:pPr>
      <w:rPr>
        <w:rFonts w:hint="default"/>
      </w:rPr>
    </w:lvl>
    <w:lvl w:ilvl="7">
      <w:start w:val="1"/>
      <w:numFmt w:val="decimal"/>
      <w:lvlText w:val="%1.%2.%3.%4.%5.%6.%7.%8"/>
      <w:lvlJc w:val="left"/>
      <w:pPr>
        <w:ind w:left="1440" w:hanging="1440"/>
      </w:pPr>
      <w:rPr>
        <w:rFonts w:hint="default"/>
      </w:rPr>
    </w:lvl>
    <w:lvl w:ilvl="8">
      <w:start w:val="1"/>
      <w:numFmt w:val="decimal"/>
      <w:lvlText w:val="%1.%2.%3.%4.%5.%6.%7.%8.%9"/>
      <w:lvlJc w:val="left"/>
      <w:pPr>
        <w:ind w:left="1800" w:hanging="1800"/>
      </w:pPr>
      <w:rPr>
        <w:rFonts w:hint="default"/>
      </w:rPr>
    </w:lvl>
  </w:abstractNum>
  <w:abstractNum w:abstractNumId="7" w15:restartNumberingAfterBreak="0">
    <w:nsid w:val="11186633"/>
    <w:multiLevelType w:val="hybridMultilevel"/>
    <w:tmpl w:val="C9FA37EE"/>
    <w:lvl w:ilvl="0" w:tplc="08090009">
      <w:start w:val="1"/>
      <w:numFmt w:val="bullet"/>
      <w:lvlText w:val=""/>
      <w:lvlJc w:val="left"/>
      <w:pPr>
        <w:ind w:left="720" w:hanging="360"/>
      </w:pPr>
      <w:rPr>
        <w:rFonts w:ascii="Wingdings" w:hAnsi="Wingdings" w:hint="default"/>
      </w:rPr>
    </w:lvl>
    <w:lvl w:ilvl="1" w:tplc="08090003" w:tentative="1">
      <w:start w:val="1"/>
      <w:numFmt w:val="bullet"/>
      <w:lvlText w:val="o"/>
      <w:lvlJc w:val="left"/>
      <w:pPr>
        <w:ind w:left="1440" w:hanging="360"/>
      </w:pPr>
      <w:rPr>
        <w:rFonts w:ascii="Courier New" w:hAnsi="Courier New" w:cs="Courier New" w:hint="default"/>
      </w:rPr>
    </w:lvl>
    <w:lvl w:ilvl="2" w:tplc="08090005" w:tentative="1">
      <w:start w:val="1"/>
      <w:numFmt w:val="bullet"/>
      <w:lvlText w:val=""/>
      <w:lvlJc w:val="left"/>
      <w:pPr>
        <w:ind w:left="2160" w:hanging="360"/>
      </w:pPr>
      <w:rPr>
        <w:rFonts w:ascii="Wingdings" w:hAnsi="Wingdings" w:hint="default"/>
      </w:rPr>
    </w:lvl>
    <w:lvl w:ilvl="3" w:tplc="08090001" w:tentative="1">
      <w:start w:val="1"/>
      <w:numFmt w:val="bullet"/>
      <w:lvlText w:val=""/>
      <w:lvlJc w:val="left"/>
      <w:pPr>
        <w:ind w:left="2880" w:hanging="360"/>
      </w:pPr>
      <w:rPr>
        <w:rFonts w:ascii="Symbol" w:hAnsi="Symbol" w:hint="default"/>
      </w:rPr>
    </w:lvl>
    <w:lvl w:ilvl="4" w:tplc="08090003" w:tentative="1">
      <w:start w:val="1"/>
      <w:numFmt w:val="bullet"/>
      <w:lvlText w:val="o"/>
      <w:lvlJc w:val="left"/>
      <w:pPr>
        <w:ind w:left="3600" w:hanging="360"/>
      </w:pPr>
      <w:rPr>
        <w:rFonts w:ascii="Courier New" w:hAnsi="Courier New" w:cs="Courier New" w:hint="default"/>
      </w:rPr>
    </w:lvl>
    <w:lvl w:ilvl="5" w:tplc="08090005" w:tentative="1">
      <w:start w:val="1"/>
      <w:numFmt w:val="bullet"/>
      <w:lvlText w:val=""/>
      <w:lvlJc w:val="left"/>
      <w:pPr>
        <w:ind w:left="4320" w:hanging="360"/>
      </w:pPr>
      <w:rPr>
        <w:rFonts w:ascii="Wingdings" w:hAnsi="Wingdings" w:hint="default"/>
      </w:rPr>
    </w:lvl>
    <w:lvl w:ilvl="6" w:tplc="08090001" w:tentative="1">
      <w:start w:val="1"/>
      <w:numFmt w:val="bullet"/>
      <w:lvlText w:val=""/>
      <w:lvlJc w:val="left"/>
      <w:pPr>
        <w:ind w:left="5040" w:hanging="360"/>
      </w:pPr>
      <w:rPr>
        <w:rFonts w:ascii="Symbol" w:hAnsi="Symbol" w:hint="default"/>
      </w:rPr>
    </w:lvl>
    <w:lvl w:ilvl="7" w:tplc="08090003" w:tentative="1">
      <w:start w:val="1"/>
      <w:numFmt w:val="bullet"/>
      <w:lvlText w:val="o"/>
      <w:lvlJc w:val="left"/>
      <w:pPr>
        <w:ind w:left="5760" w:hanging="360"/>
      </w:pPr>
      <w:rPr>
        <w:rFonts w:ascii="Courier New" w:hAnsi="Courier New" w:cs="Courier New" w:hint="default"/>
      </w:rPr>
    </w:lvl>
    <w:lvl w:ilvl="8" w:tplc="08090005" w:tentative="1">
      <w:start w:val="1"/>
      <w:numFmt w:val="bullet"/>
      <w:lvlText w:val=""/>
      <w:lvlJc w:val="left"/>
      <w:pPr>
        <w:ind w:left="6480" w:hanging="360"/>
      </w:pPr>
      <w:rPr>
        <w:rFonts w:ascii="Wingdings" w:hAnsi="Wingdings" w:hint="default"/>
      </w:rPr>
    </w:lvl>
  </w:abstractNum>
  <w:abstractNum w:abstractNumId="8" w15:restartNumberingAfterBreak="0">
    <w:nsid w:val="134F0325"/>
    <w:multiLevelType w:val="hybridMultilevel"/>
    <w:tmpl w:val="37C29800"/>
    <w:lvl w:ilvl="0" w:tplc="46B859CA">
      <w:start w:val="2"/>
      <w:numFmt w:val="bullet"/>
      <w:lvlText w:val="-"/>
      <w:lvlJc w:val="left"/>
      <w:pPr>
        <w:ind w:left="720" w:hanging="360"/>
      </w:pPr>
      <w:rPr>
        <w:rFonts w:ascii="Times New Roman" w:eastAsiaTheme="minorHAnsi" w:hAnsi="Times New Roman" w:cs="Times New Roman" w:hint="default"/>
      </w:rPr>
    </w:lvl>
    <w:lvl w:ilvl="1" w:tplc="08090003" w:tentative="1">
      <w:start w:val="1"/>
      <w:numFmt w:val="bullet"/>
      <w:lvlText w:val="o"/>
      <w:lvlJc w:val="left"/>
      <w:pPr>
        <w:ind w:left="1440" w:hanging="360"/>
      </w:pPr>
      <w:rPr>
        <w:rFonts w:ascii="Courier New" w:hAnsi="Courier New" w:cs="Courier New" w:hint="default"/>
      </w:rPr>
    </w:lvl>
    <w:lvl w:ilvl="2" w:tplc="08090005" w:tentative="1">
      <w:start w:val="1"/>
      <w:numFmt w:val="bullet"/>
      <w:lvlText w:val=""/>
      <w:lvlJc w:val="left"/>
      <w:pPr>
        <w:ind w:left="2160" w:hanging="360"/>
      </w:pPr>
      <w:rPr>
        <w:rFonts w:ascii="Wingdings" w:hAnsi="Wingdings" w:hint="default"/>
      </w:rPr>
    </w:lvl>
    <w:lvl w:ilvl="3" w:tplc="08090001" w:tentative="1">
      <w:start w:val="1"/>
      <w:numFmt w:val="bullet"/>
      <w:lvlText w:val=""/>
      <w:lvlJc w:val="left"/>
      <w:pPr>
        <w:ind w:left="2880" w:hanging="360"/>
      </w:pPr>
      <w:rPr>
        <w:rFonts w:ascii="Symbol" w:hAnsi="Symbol" w:hint="default"/>
      </w:rPr>
    </w:lvl>
    <w:lvl w:ilvl="4" w:tplc="08090003" w:tentative="1">
      <w:start w:val="1"/>
      <w:numFmt w:val="bullet"/>
      <w:lvlText w:val="o"/>
      <w:lvlJc w:val="left"/>
      <w:pPr>
        <w:ind w:left="3600" w:hanging="360"/>
      </w:pPr>
      <w:rPr>
        <w:rFonts w:ascii="Courier New" w:hAnsi="Courier New" w:cs="Courier New" w:hint="default"/>
      </w:rPr>
    </w:lvl>
    <w:lvl w:ilvl="5" w:tplc="08090005" w:tentative="1">
      <w:start w:val="1"/>
      <w:numFmt w:val="bullet"/>
      <w:lvlText w:val=""/>
      <w:lvlJc w:val="left"/>
      <w:pPr>
        <w:ind w:left="4320" w:hanging="360"/>
      </w:pPr>
      <w:rPr>
        <w:rFonts w:ascii="Wingdings" w:hAnsi="Wingdings" w:hint="default"/>
      </w:rPr>
    </w:lvl>
    <w:lvl w:ilvl="6" w:tplc="08090001" w:tentative="1">
      <w:start w:val="1"/>
      <w:numFmt w:val="bullet"/>
      <w:lvlText w:val=""/>
      <w:lvlJc w:val="left"/>
      <w:pPr>
        <w:ind w:left="5040" w:hanging="360"/>
      </w:pPr>
      <w:rPr>
        <w:rFonts w:ascii="Symbol" w:hAnsi="Symbol" w:hint="default"/>
      </w:rPr>
    </w:lvl>
    <w:lvl w:ilvl="7" w:tplc="08090003" w:tentative="1">
      <w:start w:val="1"/>
      <w:numFmt w:val="bullet"/>
      <w:lvlText w:val="o"/>
      <w:lvlJc w:val="left"/>
      <w:pPr>
        <w:ind w:left="5760" w:hanging="360"/>
      </w:pPr>
      <w:rPr>
        <w:rFonts w:ascii="Courier New" w:hAnsi="Courier New" w:cs="Courier New" w:hint="default"/>
      </w:rPr>
    </w:lvl>
    <w:lvl w:ilvl="8" w:tplc="08090005" w:tentative="1">
      <w:start w:val="1"/>
      <w:numFmt w:val="bullet"/>
      <w:lvlText w:val=""/>
      <w:lvlJc w:val="left"/>
      <w:pPr>
        <w:ind w:left="6480" w:hanging="360"/>
      </w:pPr>
      <w:rPr>
        <w:rFonts w:ascii="Wingdings" w:hAnsi="Wingdings" w:hint="default"/>
      </w:rPr>
    </w:lvl>
  </w:abstractNum>
  <w:abstractNum w:abstractNumId="9" w15:restartNumberingAfterBreak="0">
    <w:nsid w:val="17C5048E"/>
    <w:multiLevelType w:val="hybridMultilevel"/>
    <w:tmpl w:val="B1826CD0"/>
    <w:lvl w:ilvl="0" w:tplc="5C884568">
      <w:start w:val="1"/>
      <w:numFmt w:val="lowerLetter"/>
      <w:lvlText w:val="%1.)"/>
      <w:lvlJc w:val="left"/>
      <w:pPr>
        <w:ind w:left="1080" w:hanging="360"/>
      </w:pPr>
      <w:rPr>
        <w:rFonts w:hint="default"/>
      </w:rPr>
    </w:lvl>
    <w:lvl w:ilvl="1" w:tplc="08090019" w:tentative="1">
      <w:start w:val="1"/>
      <w:numFmt w:val="lowerLetter"/>
      <w:lvlText w:val="%2."/>
      <w:lvlJc w:val="left"/>
      <w:pPr>
        <w:ind w:left="1440" w:hanging="360"/>
      </w:pPr>
    </w:lvl>
    <w:lvl w:ilvl="2" w:tplc="0809001B" w:tentative="1">
      <w:start w:val="1"/>
      <w:numFmt w:val="lowerRoman"/>
      <w:lvlText w:val="%3."/>
      <w:lvlJc w:val="right"/>
      <w:pPr>
        <w:ind w:left="2160" w:hanging="180"/>
      </w:pPr>
    </w:lvl>
    <w:lvl w:ilvl="3" w:tplc="0809000F" w:tentative="1">
      <w:start w:val="1"/>
      <w:numFmt w:val="decimal"/>
      <w:lvlText w:val="%4."/>
      <w:lvlJc w:val="left"/>
      <w:pPr>
        <w:ind w:left="2880" w:hanging="360"/>
      </w:pPr>
    </w:lvl>
    <w:lvl w:ilvl="4" w:tplc="08090019" w:tentative="1">
      <w:start w:val="1"/>
      <w:numFmt w:val="lowerLetter"/>
      <w:lvlText w:val="%5."/>
      <w:lvlJc w:val="left"/>
      <w:pPr>
        <w:ind w:left="3600" w:hanging="360"/>
      </w:pPr>
    </w:lvl>
    <w:lvl w:ilvl="5" w:tplc="0809001B" w:tentative="1">
      <w:start w:val="1"/>
      <w:numFmt w:val="lowerRoman"/>
      <w:lvlText w:val="%6."/>
      <w:lvlJc w:val="right"/>
      <w:pPr>
        <w:ind w:left="4320" w:hanging="180"/>
      </w:pPr>
    </w:lvl>
    <w:lvl w:ilvl="6" w:tplc="0809000F" w:tentative="1">
      <w:start w:val="1"/>
      <w:numFmt w:val="decimal"/>
      <w:lvlText w:val="%7."/>
      <w:lvlJc w:val="left"/>
      <w:pPr>
        <w:ind w:left="5040" w:hanging="360"/>
      </w:pPr>
    </w:lvl>
    <w:lvl w:ilvl="7" w:tplc="08090019" w:tentative="1">
      <w:start w:val="1"/>
      <w:numFmt w:val="lowerLetter"/>
      <w:lvlText w:val="%8."/>
      <w:lvlJc w:val="left"/>
      <w:pPr>
        <w:ind w:left="5760" w:hanging="360"/>
      </w:pPr>
    </w:lvl>
    <w:lvl w:ilvl="8" w:tplc="0809001B" w:tentative="1">
      <w:start w:val="1"/>
      <w:numFmt w:val="lowerRoman"/>
      <w:lvlText w:val="%9."/>
      <w:lvlJc w:val="right"/>
      <w:pPr>
        <w:ind w:left="6480" w:hanging="180"/>
      </w:pPr>
    </w:lvl>
  </w:abstractNum>
  <w:abstractNum w:abstractNumId="10" w15:restartNumberingAfterBreak="0">
    <w:nsid w:val="20CD16F3"/>
    <w:multiLevelType w:val="multilevel"/>
    <w:tmpl w:val="BCCEDEE2"/>
    <w:lvl w:ilvl="0">
      <w:start w:val="6"/>
      <w:numFmt w:val="decimal"/>
      <w:lvlText w:val="%1"/>
      <w:lvlJc w:val="left"/>
      <w:pPr>
        <w:ind w:left="360" w:hanging="360"/>
      </w:pPr>
      <w:rPr>
        <w:rFonts w:hint="default"/>
      </w:rPr>
    </w:lvl>
    <w:lvl w:ilvl="1">
      <w:start w:val="1"/>
      <w:numFmt w:val="decimal"/>
      <w:lvlText w:val="%1.%2"/>
      <w:lvlJc w:val="left"/>
      <w:pPr>
        <w:ind w:left="2346" w:hanging="360"/>
      </w:pPr>
      <w:rPr>
        <w:rFonts w:hint="default"/>
      </w:rPr>
    </w:lvl>
    <w:lvl w:ilvl="2">
      <w:start w:val="1"/>
      <w:numFmt w:val="decimal"/>
      <w:lvlText w:val="%1.%2.%3"/>
      <w:lvlJc w:val="left"/>
      <w:pPr>
        <w:ind w:left="4692" w:hanging="720"/>
      </w:pPr>
      <w:rPr>
        <w:rFonts w:hint="default"/>
      </w:rPr>
    </w:lvl>
    <w:lvl w:ilvl="3">
      <w:start w:val="1"/>
      <w:numFmt w:val="decimal"/>
      <w:lvlText w:val="%1.%2.%3.%4"/>
      <w:lvlJc w:val="left"/>
      <w:pPr>
        <w:ind w:left="7038" w:hanging="1080"/>
      </w:pPr>
      <w:rPr>
        <w:rFonts w:hint="default"/>
      </w:rPr>
    </w:lvl>
    <w:lvl w:ilvl="4">
      <w:start w:val="1"/>
      <w:numFmt w:val="decimal"/>
      <w:lvlText w:val="%1.%2.%3.%4.%5"/>
      <w:lvlJc w:val="left"/>
      <w:pPr>
        <w:ind w:left="9024" w:hanging="1080"/>
      </w:pPr>
      <w:rPr>
        <w:rFonts w:hint="default"/>
      </w:rPr>
    </w:lvl>
    <w:lvl w:ilvl="5">
      <w:start w:val="1"/>
      <w:numFmt w:val="decimal"/>
      <w:lvlText w:val="%1.%2.%3.%4.%5.%6"/>
      <w:lvlJc w:val="left"/>
      <w:pPr>
        <w:ind w:left="11370" w:hanging="1440"/>
      </w:pPr>
      <w:rPr>
        <w:rFonts w:hint="default"/>
      </w:rPr>
    </w:lvl>
    <w:lvl w:ilvl="6">
      <w:start w:val="1"/>
      <w:numFmt w:val="decimal"/>
      <w:lvlText w:val="%1.%2.%3.%4.%5.%6.%7"/>
      <w:lvlJc w:val="left"/>
      <w:pPr>
        <w:ind w:left="13356" w:hanging="1440"/>
      </w:pPr>
      <w:rPr>
        <w:rFonts w:hint="default"/>
      </w:rPr>
    </w:lvl>
    <w:lvl w:ilvl="7">
      <w:start w:val="1"/>
      <w:numFmt w:val="decimal"/>
      <w:lvlText w:val="%1.%2.%3.%4.%5.%6.%7.%8"/>
      <w:lvlJc w:val="left"/>
      <w:pPr>
        <w:ind w:left="15702" w:hanging="1800"/>
      </w:pPr>
      <w:rPr>
        <w:rFonts w:hint="default"/>
      </w:rPr>
    </w:lvl>
    <w:lvl w:ilvl="8">
      <w:start w:val="1"/>
      <w:numFmt w:val="decimal"/>
      <w:lvlText w:val="%1.%2.%3.%4.%5.%6.%7.%8.%9"/>
      <w:lvlJc w:val="left"/>
      <w:pPr>
        <w:ind w:left="17688" w:hanging="1800"/>
      </w:pPr>
      <w:rPr>
        <w:rFonts w:hint="default"/>
      </w:rPr>
    </w:lvl>
  </w:abstractNum>
  <w:abstractNum w:abstractNumId="11" w15:restartNumberingAfterBreak="0">
    <w:nsid w:val="218476E2"/>
    <w:multiLevelType w:val="multilevel"/>
    <w:tmpl w:val="2B20D29E"/>
    <w:lvl w:ilvl="0">
      <w:start w:val="2"/>
      <w:numFmt w:val="decimal"/>
      <w:lvlText w:val="%1"/>
      <w:lvlJc w:val="left"/>
      <w:pPr>
        <w:ind w:left="480" w:hanging="480"/>
      </w:pPr>
      <w:rPr>
        <w:rFonts w:hint="default"/>
      </w:rPr>
    </w:lvl>
    <w:lvl w:ilvl="1">
      <w:start w:val="3"/>
      <w:numFmt w:val="decimal"/>
      <w:lvlText w:val="%1.%2"/>
      <w:lvlJc w:val="left"/>
      <w:pPr>
        <w:ind w:left="480" w:hanging="480"/>
      </w:pPr>
      <w:rPr>
        <w:rFonts w:hint="default"/>
      </w:rPr>
    </w:lvl>
    <w:lvl w:ilvl="2">
      <w:start w:val="1"/>
      <w:numFmt w:val="decimal"/>
      <w:lvlText w:val="%1.%2.%3"/>
      <w:lvlJc w:val="left"/>
      <w:pPr>
        <w:ind w:left="720" w:hanging="720"/>
      </w:pPr>
      <w:rPr>
        <w:rFonts w:hint="default"/>
      </w:rPr>
    </w:lvl>
    <w:lvl w:ilvl="3">
      <w:start w:val="1"/>
      <w:numFmt w:val="decimal"/>
      <w:lvlText w:val="%1.%2.%3.%4"/>
      <w:lvlJc w:val="left"/>
      <w:pPr>
        <w:ind w:left="720" w:hanging="720"/>
      </w:pPr>
      <w:rPr>
        <w:rFonts w:hint="default"/>
      </w:rPr>
    </w:lvl>
    <w:lvl w:ilvl="4">
      <w:start w:val="1"/>
      <w:numFmt w:val="decimal"/>
      <w:lvlText w:val="%1.%2.%3.%4.%5"/>
      <w:lvlJc w:val="left"/>
      <w:pPr>
        <w:ind w:left="1080" w:hanging="1080"/>
      </w:pPr>
      <w:rPr>
        <w:rFonts w:hint="default"/>
      </w:rPr>
    </w:lvl>
    <w:lvl w:ilvl="5">
      <w:start w:val="1"/>
      <w:numFmt w:val="decimal"/>
      <w:lvlText w:val="%1.%2.%3.%4.%5.%6"/>
      <w:lvlJc w:val="left"/>
      <w:pPr>
        <w:ind w:left="1080" w:hanging="1080"/>
      </w:pPr>
      <w:rPr>
        <w:rFonts w:hint="default"/>
      </w:rPr>
    </w:lvl>
    <w:lvl w:ilvl="6">
      <w:start w:val="1"/>
      <w:numFmt w:val="decimal"/>
      <w:lvlText w:val="%1.%2.%3.%4.%5.%6.%7"/>
      <w:lvlJc w:val="left"/>
      <w:pPr>
        <w:ind w:left="1440" w:hanging="1440"/>
      </w:pPr>
      <w:rPr>
        <w:rFonts w:hint="default"/>
      </w:rPr>
    </w:lvl>
    <w:lvl w:ilvl="7">
      <w:start w:val="1"/>
      <w:numFmt w:val="decimal"/>
      <w:lvlText w:val="%1.%2.%3.%4.%5.%6.%7.%8"/>
      <w:lvlJc w:val="left"/>
      <w:pPr>
        <w:ind w:left="1440" w:hanging="1440"/>
      </w:pPr>
      <w:rPr>
        <w:rFonts w:hint="default"/>
      </w:rPr>
    </w:lvl>
    <w:lvl w:ilvl="8">
      <w:start w:val="1"/>
      <w:numFmt w:val="decimal"/>
      <w:lvlText w:val="%1.%2.%3.%4.%5.%6.%7.%8.%9"/>
      <w:lvlJc w:val="left"/>
      <w:pPr>
        <w:ind w:left="1800" w:hanging="1800"/>
      </w:pPr>
      <w:rPr>
        <w:rFonts w:hint="default"/>
      </w:rPr>
    </w:lvl>
  </w:abstractNum>
  <w:abstractNum w:abstractNumId="12" w15:restartNumberingAfterBreak="0">
    <w:nsid w:val="236A5B61"/>
    <w:multiLevelType w:val="hybridMultilevel"/>
    <w:tmpl w:val="84A2C2D2"/>
    <w:lvl w:ilvl="0" w:tplc="08090001">
      <w:start w:val="1"/>
      <w:numFmt w:val="bullet"/>
      <w:lvlText w:val=""/>
      <w:lvlJc w:val="left"/>
      <w:pPr>
        <w:ind w:left="720" w:hanging="360"/>
      </w:pPr>
      <w:rPr>
        <w:rFonts w:ascii="Symbol" w:hAnsi="Symbol" w:hint="default"/>
      </w:rPr>
    </w:lvl>
    <w:lvl w:ilvl="1" w:tplc="08090003" w:tentative="1">
      <w:start w:val="1"/>
      <w:numFmt w:val="bullet"/>
      <w:lvlText w:val="o"/>
      <w:lvlJc w:val="left"/>
      <w:pPr>
        <w:ind w:left="1440" w:hanging="360"/>
      </w:pPr>
      <w:rPr>
        <w:rFonts w:ascii="Courier New" w:hAnsi="Courier New" w:cs="Courier New" w:hint="default"/>
      </w:rPr>
    </w:lvl>
    <w:lvl w:ilvl="2" w:tplc="08090005" w:tentative="1">
      <w:start w:val="1"/>
      <w:numFmt w:val="bullet"/>
      <w:lvlText w:val=""/>
      <w:lvlJc w:val="left"/>
      <w:pPr>
        <w:ind w:left="2160" w:hanging="360"/>
      </w:pPr>
      <w:rPr>
        <w:rFonts w:ascii="Wingdings" w:hAnsi="Wingdings" w:hint="default"/>
      </w:rPr>
    </w:lvl>
    <w:lvl w:ilvl="3" w:tplc="08090001" w:tentative="1">
      <w:start w:val="1"/>
      <w:numFmt w:val="bullet"/>
      <w:lvlText w:val=""/>
      <w:lvlJc w:val="left"/>
      <w:pPr>
        <w:ind w:left="2880" w:hanging="360"/>
      </w:pPr>
      <w:rPr>
        <w:rFonts w:ascii="Symbol" w:hAnsi="Symbol" w:hint="default"/>
      </w:rPr>
    </w:lvl>
    <w:lvl w:ilvl="4" w:tplc="08090003" w:tentative="1">
      <w:start w:val="1"/>
      <w:numFmt w:val="bullet"/>
      <w:lvlText w:val="o"/>
      <w:lvlJc w:val="left"/>
      <w:pPr>
        <w:ind w:left="3600" w:hanging="360"/>
      </w:pPr>
      <w:rPr>
        <w:rFonts w:ascii="Courier New" w:hAnsi="Courier New" w:cs="Courier New" w:hint="default"/>
      </w:rPr>
    </w:lvl>
    <w:lvl w:ilvl="5" w:tplc="08090005" w:tentative="1">
      <w:start w:val="1"/>
      <w:numFmt w:val="bullet"/>
      <w:lvlText w:val=""/>
      <w:lvlJc w:val="left"/>
      <w:pPr>
        <w:ind w:left="4320" w:hanging="360"/>
      </w:pPr>
      <w:rPr>
        <w:rFonts w:ascii="Wingdings" w:hAnsi="Wingdings" w:hint="default"/>
      </w:rPr>
    </w:lvl>
    <w:lvl w:ilvl="6" w:tplc="08090001" w:tentative="1">
      <w:start w:val="1"/>
      <w:numFmt w:val="bullet"/>
      <w:lvlText w:val=""/>
      <w:lvlJc w:val="left"/>
      <w:pPr>
        <w:ind w:left="5040" w:hanging="360"/>
      </w:pPr>
      <w:rPr>
        <w:rFonts w:ascii="Symbol" w:hAnsi="Symbol" w:hint="default"/>
      </w:rPr>
    </w:lvl>
    <w:lvl w:ilvl="7" w:tplc="08090003" w:tentative="1">
      <w:start w:val="1"/>
      <w:numFmt w:val="bullet"/>
      <w:lvlText w:val="o"/>
      <w:lvlJc w:val="left"/>
      <w:pPr>
        <w:ind w:left="5760" w:hanging="360"/>
      </w:pPr>
      <w:rPr>
        <w:rFonts w:ascii="Courier New" w:hAnsi="Courier New" w:cs="Courier New" w:hint="default"/>
      </w:rPr>
    </w:lvl>
    <w:lvl w:ilvl="8" w:tplc="08090005" w:tentative="1">
      <w:start w:val="1"/>
      <w:numFmt w:val="bullet"/>
      <w:lvlText w:val=""/>
      <w:lvlJc w:val="left"/>
      <w:pPr>
        <w:ind w:left="6480" w:hanging="360"/>
      </w:pPr>
      <w:rPr>
        <w:rFonts w:ascii="Wingdings" w:hAnsi="Wingdings" w:hint="default"/>
      </w:rPr>
    </w:lvl>
  </w:abstractNum>
  <w:abstractNum w:abstractNumId="13" w15:restartNumberingAfterBreak="0">
    <w:nsid w:val="26583F94"/>
    <w:multiLevelType w:val="hybridMultilevel"/>
    <w:tmpl w:val="9F1433A6"/>
    <w:lvl w:ilvl="0" w:tplc="E3A4AD86">
      <w:start w:val="1"/>
      <w:numFmt w:val="lowerRoman"/>
      <w:lvlText w:val="%1."/>
      <w:lvlJc w:val="left"/>
      <w:pPr>
        <w:ind w:left="1080" w:hanging="720"/>
      </w:pPr>
      <w:rPr>
        <w:rFonts w:hint="default"/>
      </w:rPr>
    </w:lvl>
    <w:lvl w:ilvl="1" w:tplc="08090019" w:tentative="1">
      <w:start w:val="1"/>
      <w:numFmt w:val="lowerLetter"/>
      <w:lvlText w:val="%2."/>
      <w:lvlJc w:val="left"/>
      <w:pPr>
        <w:ind w:left="1440" w:hanging="360"/>
      </w:pPr>
    </w:lvl>
    <w:lvl w:ilvl="2" w:tplc="0809001B" w:tentative="1">
      <w:start w:val="1"/>
      <w:numFmt w:val="lowerRoman"/>
      <w:lvlText w:val="%3."/>
      <w:lvlJc w:val="right"/>
      <w:pPr>
        <w:ind w:left="2160" w:hanging="180"/>
      </w:pPr>
    </w:lvl>
    <w:lvl w:ilvl="3" w:tplc="0809000F" w:tentative="1">
      <w:start w:val="1"/>
      <w:numFmt w:val="decimal"/>
      <w:lvlText w:val="%4."/>
      <w:lvlJc w:val="left"/>
      <w:pPr>
        <w:ind w:left="2880" w:hanging="360"/>
      </w:pPr>
    </w:lvl>
    <w:lvl w:ilvl="4" w:tplc="08090019" w:tentative="1">
      <w:start w:val="1"/>
      <w:numFmt w:val="lowerLetter"/>
      <w:lvlText w:val="%5."/>
      <w:lvlJc w:val="left"/>
      <w:pPr>
        <w:ind w:left="3600" w:hanging="360"/>
      </w:pPr>
    </w:lvl>
    <w:lvl w:ilvl="5" w:tplc="0809001B" w:tentative="1">
      <w:start w:val="1"/>
      <w:numFmt w:val="lowerRoman"/>
      <w:lvlText w:val="%6."/>
      <w:lvlJc w:val="right"/>
      <w:pPr>
        <w:ind w:left="4320" w:hanging="180"/>
      </w:pPr>
    </w:lvl>
    <w:lvl w:ilvl="6" w:tplc="0809000F" w:tentative="1">
      <w:start w:val="1"/>
      <w:numFmt w:val="decimal"/>
      <w:lvlText w:val="%7."/>
      <w:lvlJc w:val="left"/>
      <w:pPr>
        <w:ind w:left="5040" w:hanging="360"/>
      </w:pPr>
    </w:lvl>
    <w:lvl w:ilvl="7" w:tplc="08090019" w:tentative="1">
      <w:start w:val="1"/>
      <w:numFmt w:val="lowerLetter"/>
      <w:lvlText w:val="%8."/>
      <w:lvlJc w:val="left"/>
      <w:pPr>
        <w:ind w:left="5760" w:hanging="360"/>
      </w:pPr>
    </w:lvl>
    <w:lvl w:ilvl="8" w:tplc="0809001B" w:tentative="1">
      <w:start w:val="1"/>
      <w:numFmt w:val="lowerRoman"/>
      <w:lvlText w:val="%9."/>
      <w:lvlJc w:val="right"/>
      <w:pPr>
        <w:ind w:left="6480" w:hanging="180"/>
      </w:pPr>
    </w:lvl>
  </w:abstractNum>
  <w:abstractNum w:abstractNumId="14" w15:restartNumberingAfterBreak="0">
    <w:nsid w:val="28545957"/>
    <w:multiLevelType w:val="multilevel"/>
    <w:tmpl w:val="C506000A"/>
    <w:lvl w:ilvl="0">
      <w:start w:val="1"/>
      <w:numFmt w:val="bullet"/>
      <w:lvlText w:val=""/>
      <w:lvlJc w:val="left"/>
      <w:pPr>
        <w:tabs>
          <w:tab w:val="num" w:pos="720"/>
        </w:tabs>
        <w:ind w:left="720" w:hanging="360"/>
      </w:pPr>
      <w:rPr>
        <w:rFonts w:ascii="Wingdings" w:hAnsi="Wingdings"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15" w15:restartNumberingAfterBreak="0">
    <w:nsid w:val="2BFA565C"/>
    <w:multiLevelType w:val="hybridMultilevel"/>
    <w:tmpl w:val="01D0E9FC"/>
    <w:lvl w:ilvl="0" w:tplc="E6D4DD36">
      <w:start w:val="1"/>
      <w:numFmt w:val="upperRoman"/>
      <w:lvlText w:val="%1)"/>
      <w:lvlJc w:val="left"/>
      <w:pPr>
        <w:ind w:left="720" w:hanging="360"/>
      </w:pPr>
      <w:rPr>
        <w:rFonts w:hint="default"/>
      </w:rPr>
    </w:lvl>
    <w:lvl w:ilvl="1" w:tplc="08090019" w:tentative="1">
      <w:start w:val="1"/>
      <w:numFmt w:val="lowerLetter"/>
      <w:lvlText w:val="%2."/>
      <w:lvlJc w:val="left"/>
      <w:pPr>
        <w:ind w:left="1440" w:hanging="360"/>
      </w:pPr>
    </w:lvl>
    <w:lvl w:ilvl="2" w:tplc="0809001B" w:tentative="1">
      <w:start w:val="1"/>
      <w:numFmt w:val="lowerRoman"/>
      <w:lvlText w:val="%3."/>
      <w:lvlJc w:val="right"/>
      <w:pPr>
        <w:ind w:left="2160" w:hanging="180"/>
      </w:pPr>
    </w:lvl>
    <w:lvl w:ilvl="3" w:tplc="0809000F" w:tentative="1">
      <w:start w:val="1"/>
      <w:numFmt w:val="decimal"/>
      <w:lvlText w:val="%4."/>
      <w:lvlJc w:val="left"/>
      <w:pPr>
        <w:ind w:left="2880" w:hanging="360"/>
      </w:pPr>
    </w:lvl>
    <w:lvl w:ilvl="4" w:tplc="08090019" w:tentative="1">
      <w:start w:val="1"/>
      <w:numFmt w:val="lowerLetter"/>
      <w:lvlText w:val="%5."/>
      <w:lvlJc w:val="left"/>
      <w:pPr>
        <w:ind w:left="3600" w:hanging="360"/>
      </w:pPr>
    </w:lvl>
    <w:lvl w:ilvl="5" w:tplc="0809001B" w:tentative="1">
      <w:start w:val="1"/>
      <w:numFmt w:val="lowerRoman"/>
      <w:lvlText w:val="%6."/>
      <w:lvlJc w:val="right"/>
      <w:pPr>
        <w:ind w:left="4320" w:hanging="180"/>
      </w:pPr>
    </w:lvl>
    <w:lvl w:ilvl="6" w:tplc="0809000F" w:tentative="1">
      <w:start w:val="1"/>
      <w:numFmt w:val="decimal"/>
      <w:lvlText w:val="%7."/>
      <w:lvlJc w:val="left"/>
      <w:pPr>
        <w:ind w:left="5040" w:hanging="360"/>
      </w:pPr>
    </w:lvl>
    <w:lvl w:ilvl="7" w:tplc="08090019" w:tentative="1">
      <w:start w:val="1"/>
      <w:numFmt w:val="lowerLetter"/>
      <w:lvlText w:val="%8."/>
      <w:lvlJc w:val="left"/>
      <w:pPr>
        <w:ind w:left="5760" w:hanging="360"/>
      </w:pPr>
    </w:lvl>
    <w:lvl w:ilvl="8" w:tplc="0809001B" w:tentative="1">
      <w:start w:val="1"/>
      <w:numFmt w:val="lowerRoman"/>
      <w:lvlText w:val="%9."/>
      <w:lvlJc w:val="right"/>
      <w:pPr>
        <w:ind w:left="6480" w:hanging="180"/>
      </w:pPr>
    </w:lvl>
  </w:abstractNum>
  <w:abstractNum w:abstractNumId="16" w15:restartNumberingAfterBreak="0">
    <w:nsid w:val="2DE85928"/>
    <w:multiLevelType w:val="multilevel"/>
    <w:tmpl w:val="176A87D8"/>
    <w:lvl w:ilvl="0">
      <w:start w:val="8"/>
      <w:numFmt w:val="decimal"/>
      <w:lvlText w:val="%1"/>
      <w:lvlJc w:val="left"/>
      <w:pPr>
        <w:ind w:left="360" w:hanging="360"/>
      </w:pPr>
      <w:rPr>
        <w:rFonts w:hint="default"/>
      </w:rPr>
    </w:lvl>
    <w:lvl w:ilvl="1">
      <w:start w:val="5"/>
      <w:numFmt w:val="decimal"/>
      <w:lvlText w:val="%1.%2"/>
      <w:lvlJc w:val="left"/>
      <w:pPr>
        <w:ind w:left="360" w:hanging="360"/>
      </w:pPr>
      <w:rPr>
        <w:rFonts w:hint="default"/>
      </w:rPr>
    </w:lvl>
    <w:lvl w:ilvl="2">
      <w:start w:val="1"/>
      <w:numFmt w:val="decimal"/>
      <w:lvlText w:val="%1.%2.%3"/>
      <w:lvlJc w:val="left"/>
      <w:pPr>
        <w:ind w:left="720" w:hanging="720"/>
      </w:pPr>
      <w:rPr>
        <w:rFonts w:hint="default"/>
      </w:rPr>
    </w:lvl>
    <w:lvl w:ilvl="3">
      <w:start w:val="1"/>
      <w:numFmt w:val="decimal"/>
      <w:lvlText w:val="%1.%2.%3.%4"/>
      <w:lvlJc w:val="left"/>
      <w:pPr>
        <w:ind w:left="720" w:hanging="720"/>
      </w:pPr>
      <w:rPr>
        <w:rFonts w:hint="default"/>
      </w:rPr>
    </w:lvl>
    <w:lvl w:ilvl="4">
      <w:start w:val="1"/>
      <w:numFmt w:val="decimal"/>
      <w:lvlText w:val="%1.%2.%3.%4.%5"/>
      <w:lvlJc w:val="left"/>
      <w:pPr>
        <w:ind w:left="1080" w:hanging="1080"/>
      </w:pPr>
      <w:rPr>
        <w:rFonts w:hint="default"/>
      </w:rPr>
    </w:lvl>
    <w:lvl w:ilvl="5">
      <w:start w:val="1"/>
      <w:numFmt w:val="decimal"/>
      <w:lvlText w:val="%1.%2.%3.%4.%5.%6"/>
      <w:lvlJc w:val="left"/>
      <w:pPr>
        <w:ind w:left="1080" w:hanging="1080"/>
      </w:pPr>
      <w:rPr>
        <w:rFonts w:hint="default"/>
      </w:rPr>
    </w:lvl>
    <w:lvl w:ilvl="6">
      <w:start w:val="1"/>
      <w:numFmt w:val="decimal"/>
      <w:lvlText w:val="%1.%2.%3.%4.%5.%6.%7"/>
      <w:lvlJc w:val="left"/>
      <w:pPr>
        <w:ind w:left="1440" w:hanging="1440"/>
      </w:pPr>
      <w:rPr>
        <w:rFonts w:hint="default"/>
      </w:rPr>
    </w:lvl>
    <w:lvl w:ilvl="7">
      <w:start w:val="1"/>
      <w:numFmt w:val="decimal"/>
      <w:lvlText w:val="%1.%2.%3.%4.%5.%6.%7.%8"/>
      <w:lvlJc w:val="left"/>
      <w:pPr>
        <w:ind w:left="1440" w:hanging="1440"/>
      </w:pPr>
      <w:rPr>
        <w:rFonts w:hint="default"/>
      </w:rPr>
    </w:lvl>
    <w:lvl w:ilvl="8">
      <w:start w:val="1"/>
      <w:numFmt w:val="decimal"/>
      <w:lvlText w:val="%1.%2.%3.%4.%5.%6.%7.%8.%9"/>
      <w:lvlJc w:val="left"/>
      <w:pPr>
        <w:ind w:left="1800" w:hanging="1800"/>
      </w:pPr>
      <w:rPr>
        <w:rFonts w:hint="default"/>
      </w:rPr>
    </w:lvl>
  </w:abstractNum>
  <w:abstractNum w:abstractNumId="17" w15:restartNumberingAfterBreak="0">
    <w:nsid w:val="306C58BA"/>
    <w:multiLevelType w:val="hybridMultilevel"/>
    <w:tmpl w:val="F2180C34"/>
    <w:lvl w:ilvl="0" w:tplc="0809000F">
      <w:start w:val="1"/>
      <w:numFmt w:val="decimal"/>
      <w:lvlText w:val="%1."/>
      <w:lvlJc w:val="left"/>
      <w:pPr>
        <w:ind w:left="720" w:hanging="360"/>
      </w:pPr>
    </w:lvl>
    <w:lvl w:ilvl="1" w:tplc="08090017">
      <w:start w:val="1"/>
      <w:numFmt w:val="lowerLetter"/>
      <w:lvlText w:val="%2)"/>
      <w:lvlJc w:val="left"/>
      <w:pPr>
        <w:ind w:left="1440" w:hanging="360"/>
      </w:pPr>
    </w:lvl>
    <w:lvl w:ilvl="2" w:tplc="0809001B" w:tentative="1">
      <w:start w:val="1"/>
      <w:numFmt w:val="lowerRoman"/>
      <w:lvlText w:val="%3."/>
      <w:lvlJc w:val="right"/>
      <w:pPr>
        <w:ind w:left="2160" w:hanging="180"/>
      </w:pPr>
    </w:lvl>
    <w:lvl w:ilvl="3" w:tplc="0809000F" w:tentative="1">
      <w:start w:val="1"/>
      <w:numFmt w:val="decimal"/>
      <w:lvlText w:val="%4."/>
      <w:lvlJc w:val="left"/>
      <w:pPr>
        <w:ind w:left="2880" w:hanging="360"/>
      </w:pPr>
    </w:lvl>
    <w:lvl w:ilvl="4" w:tplc="08090019" w:tentative="1">
      <w:start w:val="1"/>
      <w:numFmt w:val="lowerLetter"/>
      <w:lvlText w:val="%5."/>
      <w:lvlJc w:val="left"/>
      <w:pPr>
        <w:ind w:left="3600" w:hanging="360"/>
      </w:pPr>
    </w:lvl>
    <w:lvl w:ilvl="5" w:tplc="0809001B" w:tentative="1">
      <w:start w:val="1"/>
      <w:numFmt w:val="lowerRoman"/>
      <w:lvlText w:val="%6."/>
      <w:lvlJc w:val="right"/>
      <w:pPr>
        <w:ind w:left="4320" w:hanging="180"/>
      </w:pPr>
    </w:lvl>
    <w:lvl w:ilvl="6" w:tplc="0809000F" w:tentative="1">
      <w:start w:val="1"/>
      <w:numFmt w:val="decimal"/>
      <w:lvlText w:val="%7."/>
      <w:lvlJc w:val="left"/>
      <w:pPr>
        <w:ind w:left="5040" w:hanging="360"/>
      </w:pPr>
    </w:lvl>
    <w:lvl w:ilvl="7" w:tplc="08090019" w:tentative="1">
      <w:start w:val="1"/>
      <w:numFmt w:val="lowerLetter"/>
      <w:lvlText w:val="%8."/>
      <w:lvlJc w:val="left"/>
      <w:pPr>
        <w:ind w:left="5760" w:hanging="360"/>
      </w:pPr>
    </w:lvl>
    <w:lvl w:ilvl="8" w:tplc="0809001B" w:tentative="1">
      <w:start w:val="1"/>
      <w:numFmt w:val="lowerRoman"/>
      <w:lvlText w:val="%9."/>
      <w:lvlJc w:val="right"/>
      <w:pPr>
        <w:ind w:left="6480" w:hanging="180"/>
      </w:pPr>
    </w:lvl>
  </w:abstractNum>
  <w:abstractNum w:abstractNumId="18" w15:restartNumberingAfterBreak="0">
    <w:nsid w:val="319319A4"/>
    <w:multiLevelType w:val="hybridMultilevel"/>
    <w:tmpl w:val="B33ECAAA"/>
    <w:lvl w:ilvl="0" w:tplc="0809000B">
      <w:start w:val="1"/>
      <w:numFmt w:val="bullet"/>
      <w:lvlText w:val=""/>
      <w:lvlJc w:val="left"/>
      <w:pPr>
        <w:ind w:left="720" w:hanging="360"/>
      </w:pPr>
      <w:rPr>
        <w:rFonts w:ascii="Wingdings" w:hAnsi="Wingdings" w:hint="default"/>
      </w:rPr>
    </w:lvl>
    <w:lvl w:ilvl="1" w:tplc="08090003" w:tentative="1">
      <w:start w:val="1"/>
      <w:numFmt w:val="bullet"/>
      <w:lvlText w:val="o"/>
      <w:lvlJc w:val="left"/>
      <w:pPr>
        <w:ind w:left="1440" w:hanging="360"/>
      </w:pPr>
      <w:rPr>
        <w:rFonts w:ascii="Courier New" w:hAnsi="Courier New" w:cs="Courier New" w:hint="default"/>
      </w:rPr>
    </w:lvl>
    <w:lvl w:ilvl="2" w:tplc="08090005" w:tentative="1">
      <w:start w:val="1"/>
      <w:numFmt w:val="bullet"/>
      <w:lvlText w:val=""/>
      <w:lvlJc w:val="left"/>
      <w:pPr>
        <w:ind w:left="2160" w:hanging="360"/>
      </w:pPr>
      <w:rPr>
        <w:rFonts w:ascii="Wingdings" w:hAnsi="Wingdings" w:hint="default"/>
      </w:rPr>
    </w:lvl>
    <w:lvl w:ilvl="3" w:tplc="08090001" w:tentative="1">
      <w:start w:val="1"/>
      <w:numFmt w:val="bullet"/>
      <w:lvlText w:val=""/>
      <w:lvlJc w:val="left"/>
      <w:pPr>
        <w:ind w:left="2880" w:hanging="360"/>
      </w:pPr>
      <w:rPr>
        <w:rFonts w:ascii="Symbol" w:hAnsi="Symbol" w:hint="default"/>
      </w:rPr>
    </w:lvl>
    <w:lvl w:ilvl="4" w:tplc="08090003" w:tentative="1">
      <w:start w:val="1"/>
      <w:numFmt w:val="bullet"/>
      <w:lvlText w:val="o"/>
      <w:lvlJc w:val="left"/>
      <w:pPr>
        <w:ind w:left="3600" w:hanging="360"/>
      </w:pPr>
      <w:rPr>
        <w:rFonts w:ascii="Courier New" w:hAnsi="Courier New" w:cs="Courier New" w:hint="default"/>
      </w:rPr>
    </w:lvl>
    <w:lvl w:ilvl="5" w:tplc="08090005" w:tentative="1">
      <w:start w:val="1"/>
      <w:numFmt w:val="bullet"/>
      <w:lvlText w:val=""/>
      <w:lvlJc w:val="left"/>
      <w:pPr>
        <w:ind w:left="4320" w:hanging="360"/>
      </w:pPr>
      <w:rPr>
        <w:rFonts w:ascii="Wingdings" w:hAnsi="Wingdings" w:hint="default"/>
      </w:rPr>
    </w:lvl>
    <w:lvl w:ilvl="6" w:tplc="08090001" w:tentative="1">
      <w:start w:val="1"/>
      <w:numFmt w:val="bullet"/>
      <w:lvlText w:val=""/>
      <w:lvlJc w:val="left"/>
      <w:pPr>
        <w:ind w:left="5040" w:hanging="360"/>
      </w:pPr>
      <w:rPr>
        <w:rFonts w:ascii="Symbol" w:hAnsi="Symbol" w:hint="default"/>
      </w:rPr>
    </w:lvl>
    <w:lvl w:ilvl="7" w:tplc="08090003" w:tentative="1">
      <w:start w:val="1"/>
      <w:numFmt w:val="bullet"/>
      <w:lvlText w:val="o"/>
      <w:lvlJc w:val="left"/>
      <w:pPr>
        <w:ind w:left="5760" w:hanging="360"/>
      </w:pPr>
      <w:rPr>
        <w:rFonts w:ascii="Courier New" w:hAnsi="Courier New" w:cs="Courier New" w:hint="default"/>
      </w:rPr>
    </w:lvl>
    <w:lvl w:ilvl="8" w:tplc="08090005" w:tentative="1">
      <w:start w:val="1"/>
      <w:numFmt w:val="bullet"/>
      <w:lvlText w:val=""/>
      <w:lvlJc w:val="left"/>
      <w:pPr>
        <w:ind w:left="6480" w:hanging="360"/>
      </w:pPr>
      <w:rPr>
        <w:rFonts w:ascii="Wingdings" w:hAnsi="Wingdings" w:hint="default"/>
      </w:rPr>
    </w:lvl>
  </w:abstractNum>
  <w:abstractNum w:abstractNumId="19" w15:restartNumberingAfterBreak="0">
    <w:nsid w:val="33B60248"/>
    <w:multiLevelType w:val="hybridMultilevel"/>
    <w:tmpl w:val="8BEC74E0"/>
    <w:lvl w:ilvl="0" w:tplc="0809000B">
      <w:start w:val="1"/>
      <w:numFmt w:val="bullet"/>
      <w:lvlText w:val=""/>
      <w:lvlJc w:val="left"/>
      <w:pPr>
        <w:ind w:left="720" w:hanging="360"/>
      </w:pPr>
      <w:rPr>
        <w:rFonts w:ascii="Wingdings" w:hAnsi="Wingdings" w:hint="default"/>
      </w:rPr>
    </w:lvl>
    <w:lvl w:ilvl="1" w:tplc="08090003" w:tentative="1">
      <w:start w:val="1"/>
      <w:numFmt w:val="bullet"/>
      <w:lvlText w:val="o"/>
      <w:lvlJc w:val="left"/>
      <w:pPr>
        <w:ind w:left="1440" w:hanging="360"/>
      </w:pPr>
      <w:rPr>
        <w:rFonts w:ascii="Courier New" w:hAnsi="Courier New" w:cs="Courier New" w:hint="default"/>
      </w:rPr>
    </w:lvl>
    <w:lvl w:ilvl="2" w:tplc="08090005" w:tentative="1">
      <w:start w:val="1"/>
      <w:numFmt w:val="bullet"/>
      <w:lvlText w:val=""/>
      <w:lvlJc w:val="left"/>
      <w:pPr>
        <w:ind w:left="2160" w:hanging="360"/>
      </w:pPr>
      <w:rPr>
        <w:rFonts w:ascii="Wingdings" w:hAnsi="Wingdings" w:hint="default"/>
      </w:rPr>
    </w:lvl>
    <w:lvl w:ilvl="3" w:tplc="08090001" w:tentative="1">
      <w:start w:val="1"/>
      <w:numFmt w:val="bullet"/>
      <w:lvlText w:val=""/>
      <w:lvlJc w:val="left"/>
      <w:pPr>
        <w:ind w:left="2880" w:hanging="360"/>
      </w:pPr>
      <w:rPr>
        <w:rFonts w:ascii="Symbol" w:hAnsi="Symbol" w:hint="default"/>
      </w:rPr>
    </w:lvl>
    <w:lvl w:ilvl="4" w:tplc="08090003" w:tentative="1">
      <w:start w:val="1"/>
      <w:numFmt w:val="bullet"/>
      <w:lvlText w:val="o"/>
      <w:lvlJc w:val="left"/>
      <w:pPr>
        <w:ind w:left="3600" w:hanging="360"/>
      </w:pPr>
      <w:rPr>
        <w:rFonts w:ascii="Courier New" w:hAnsi="Courier New" w:cs="Courier New" w:hint="default"/>
      </w:rPr>
    </w:lvl>
    <w:lvl w:ilvl="5" w:tplc="08090005" w:tentative="1">
      <w:start w:val="1"/>
      <w:numFmt w:val="bullet"/>
      <w:lvlText w:val=""/>
      <w:lvlJc w:val="left"/>
      <w:pPr>
        <w:ind w:left="4320" w:hanging="360"/>
      </w:pPr>
      <w:rPr>
        <w:rFonts w:ascii="Wingdings" w:hAnsi="Wingdings" w:hint="default"/>
      </w:rPr>
    </w:lvl>
    <w:lvl w:ilvl="6" w:tplc="08090001" w:tentative="1">
      <w:start w:val="1"/>
      <w:numFmt w:val="bullet"/>
      <w:lvlText w:val=""/>
      <w:lvlJc w:val="left"/>
      <w:pPr>
        <w:ind w:left="5040" w:hanging="360"/>
      </w:pPr>
      <w:rPr>
        <w:rFonts w:ascii="Symbol" w:hAnsi="Symbol" w:hint="default"/>
      </w:rPr>
    </w:lvl>
    <w:lvl w:ilvl="7" w:tplc="08090003" w:tentative="1">
      <w:start w:val="1"/>
      <w:numFmt w:val="bullet"/>
      <w:lvlText w:val="o"/>
      <w:lvlJc w:val="left"/>
      <w:pPr>
        <w:ind w:left="5760" w:hanging="360"/>
      </w:pPr>
      <w:rPr>
        <w:rFonts w:ascii="Courier New" w:hAnsi="Courier New" w:cs="Courier New" w:hint="default"/>
      </w:rPr>
    </w:lvl>
    <w:lvl w:ilvl="8" w:tplc="08090005" w:tentative="1">
      <w:start w:val="1"/>
      <w:numFmt w:val="bullet"/>
      <w:lvlText w:val=""/>
      <w:lvlJc w:val="left"/>
      <w:pPr>
        <w:ind w:left="6480" w:hanging="360"/>
      </w:pPr>
      <w:rPr>
        <w:rFonts w:ascii="Wingdings" w:hAnsi="Wingdings" w:hint="default"/>
      </w:rPr>
    </w:lvl>
  </w:abstractNum>
  <w:abstractNum w:abstractNumId="20" w15:restartNumberingAfterBreak="0">
    <w:nsid w:val="356E0506"/>
    <w:multiLevelType w:val="hybridMultilevel"/>
    <w:tmpl w:val="7F766E3E"/>
    <w:lvl w:ilvl="0" w:tplc="AA341EE4">
      <w:start w:val="1"/>
      <w:numFmt w:val="lowerRoman"/>
      <w:lvlText w:val="%1.)"/>
      <w:lvlJc w:val="left"/>
      <w:pPr>
        <w:ind w:left="1080" w:hanging="720"/>
      </w:pPr>
      <w:rPr>
        <w:rFonts w:hint="default"/>
      </w:rPr>
    </w:lvl>
    <w:lvl w:ilvl="1" w:tplc="08090019" w:tentative="1">
      <w:start w:val="1"/>
      <w:numFmt w:val="lowerLetter"/>
      <w:lvlText w:val="%2."/>
      <w:lvlJc w:val="left"/>
      <w:pPr>
        <w:ind w:left="1440" w:hanging="360"/>
      </w:pPr>
    </w:lvl>
    <w:lvl w:ilvl="2" w:tplc="0809001B" w:tentative="1">
      <w:start w:val="1"/>
      <w:numFmt w:val="lowerRoman"/>
      <w:lvlText w:val="%3."/>
      <w:lvlJc w:val="right"/>
      <w:pPr>
        <w:ind w:left="2160" w:hanging="180"/>
      </w:pPr>
    </w:lvl>
    <w:lvl w:ilvl="3" w:tplc="0809000F" w:tentative="1">
      <w:start w:val="1"/>
      <w:numFmt w:val="decimal"/>
      <w:lvlText w:val="%4."/>
      <w:lvlJc w:val="left"/>
      <w:pPr>
        <w:ind w:left="2880" w:hanging="360"/>
      </w:pPr>
    </w:lvl>
    <w:lvl w:ilvl="4" w:tplc="08090019" w:tentative="1">
      <w:start w:val="1"/>
      <w:numFmt w:val="lowerLetter"/>
      <w:lvlText w:val="%5."/>
      <w:lvlJc w:val="left"/>
      <w:pPr>
        <w:ind w:left="3600" w:hanging="360"/>
      </w:pPr>
    </w:lvl>
    <w:lvl w:ilvl="5" w:tplc="0809001B" w:tentative="1">
      <w:start w:val="1"/>
      <w:numFmt w:val="lowerRoman"/>
      <w:lvlText w:val="%6."/>
      <w:lvlJc w:val="right"/>
      <w:pPr>
        <w:ind w:left="4320" w:hanging="180"/>
      </w:pPr>
    </w:lvl>
    <w:lvl w:ilvl="6" w:tplc="0809000F" w:tentative="1">
      <w:start w:val="1"/>
      <w:numFmt w:val="decimal"/>
      <w:lvlText w:val="%7."/>
      <w:lvlJc w:val="left"/>
      <w:pPr>
        <w:ind w:left="5040" w:hanging="360"/>
      </w:pPr>
    </w:lvl>
    <w:lvl w:ilvl="7" w:tplc="08090019" w:tentative="1">
      <w:start w:val="1"/>
      <w:numFmt w:val="lowerLetter"/>
      <w:lvlText w:val="%8."/>
      <w:lvlJc w:val="left"/>
      <w:pPr>
        <w:ind w:left="5760" w:hanging="360"/>
      </w:pPr>
    </w:lvl>
    <w:lvl w:ilvl="8" w:tplc="0809001B" w:tentative="1">
      <w:start w:val="1"/>
      <w:numFmt w:val="lowerRoman"/>
      <w:lvlText w:val="%9."/>
      <w:lvlJc w:val="right"/>
      <w:pPr>
        <w:ind w:left="6480" w:hanging="180"/>
      </w:pPr>
    </w:lvl>
  </w:abstractNum>
  <w:abstractNum w:abstractNumId="21" w15:restartNumberingAfterBreak="0">
    <w:nsid w:val="3DE67067"/>
    <w:multiLevelType w:val="hybridMultilevel"/>
    <w:tmpl w:val="D49ABA10"/>
    <w:lvl w:ilvl="0" w:tplc="0809000B">
      <w:start w:val="1"/>
      <w:numFmt w:val="bullet"/>
      <w:lvlText w:val=""/>
      <w:lvlJc w:val="left"/>
      <w:pPr>
        <w:ind w:left="720" w:hanging="360"/>
      </w:pPr>
      <w:rPr>
        <w:rFonts w:ascii="Wingdings" w:hAnsi="Wingdings" w:hint="default"/>
      </w:rPr>
    </w:lvl>
    <w:lvl w:ilvl="1" w:tplc="08090003" w:tentative="1">
      <w:start w:val="1"/>
      <w:numFmt w:val="bullet"/>
      <w:lvlText w:val="o"/>
      <w:lvlJc w:val="left"/>
      <w:pPr>
        <w:ind w:left="1440" w:hanging="360"/>
      </w:pPr>
      <w:rPr>
        <w:rFonts w:ascii="Courier New" w:hAnsi="Courier New" w:cs="Courier New" w:hint="default"/>
      </w:rPr>
    </w:lvl>
    <w:lvl w:ilvl="2" w:tplc="08090005" w:tentative="1">
      <w:start w:val="1"/>
      <w:numFmt w:val="bullet"/>
      <w:lvlText w:val=""/>
      <w:lvlJc w:val="left"/>
      <w:pPr>
        <w:ind w:left="2160" w:hanging="360"/>
      </w:pPr>
      <w:rPr>
        <w:rFonts w:ascii="Wingdings" w:hAnsi="Wingdings" w:hint="default"/>
      </w:rPr>
    </w:lvl>
    <w:lvl w:ilvl="3" w:tplc="08090001" w:tentative="1">
      <w:start w:val="1"/>
      <w:numFmt w:val="bullet"/>
      <w:lvlText w:val=""/>
      <w:lvlJc w:val="left"/>
      <w:pPr>
        <w:ind w:left="2880" w:hanging="360"/>
      </w:pPr>
      <w:rPr>
        <w:rFonts w:ascii="Symbol" w:hAnsi="Symbol" w:hint="default"/>
      </w:rPr>
    </w:lvl>
    <w:lvl w:ilvl="4" w:tplc="08090003" w:tentative="1">
      <w:start w:val="1"/>
      <w:numFmt w:val="bullet"/>
      <w:lvlText w:val="o"/>
      <w:lvlJc w:val="left"/>
      <w:pPr>
        <w:ind w:left="3600" w:hanging="360"/>
      </w:pPr>
      <w:rPr>
        <w:rFonts w:ascii="Courier New" w:hAnsi="Courier New" w:cs="Courier New" w:hint="default"/>
      </w:rPr>
    </w:lvl>
    <w:lvl w:ilvl="5" w:tplc="08090005" w:tentative="1">
      <w:start w:val="1"/>
      <w:numFmt w:val="bullet"/>
      <w:lvlText w:val=""/>
      <w:lvlJc w:val="left"/>
      <w:pPr>
        <w:ind w:left="4320" w:hanging="360"/>
      </w:pPr>
      <w:rPr>
        <w:rFonts w:ascii="Wingdings" w:hAnsi="Wingdings" w:hint="default"/>
      </w:rPr>
    </w:lvl>
    <w:lvl w:ilvl="6" w:tplc="08090001" w:tentative="1">
      <w:start w:val="1"/>
      <w:numFmt w:val="bullet"/>
      <w:lvlText w:val=""/>
      <w:lvlJc w:val="left"/>
      <w:pPr>
        <w:ind w:left="5040" w:hanging="360"/>
      </w:pPr>
      <w:rPr>
        <w:rFonts w:ascii="Symbol" w:hAnsi="Symbol" w:hint="default"/>
      </w:rPr>
    </w:lvl>
    <w:lvl w:ilvl="7" w:tplc="08090003" w:tentative="1">
      <w:start w:val="1"/>
      <w:numFmt w:val="bullet"/>
      <w:lvlText w:val="o"/>
      <w:lvlJc w:val="left"/>
      <w:pPr>
        <w:ind w:left="5760" w:hanging="360"/>
      </w:pPr>
      <w:rPr>
        <w:rFonts w:ascii="Courier New" w:hAnsi="Courier New" w:cs="Courier New" w:hint="default"/>
      </w:rPr>
    </w:lvl>
    <w:lvl w:ilvl="8" w:tplc="08090005" w:tentative="1">
      <w:start w:val="1"/>
      <w:numFmt w:val="bullet"/>
      <w:lvlText w:val=""/>
      <w:lvlJc w:val="left"/>
      <w:pPr>
        <w:ind w:left="6480" w:hanging="360"/>
      </w:pPr>
      <w:rPr>
        <w:rFonts w:ascii="Wingdings" w:hAnsi="Wingdings" w:hint="default"/>
      </w:rPr>
    </w:lvl>
  </w:abstractNum>
  <w:abstractNum w:abstractNumId="22" w15:restartNumberingAfterBreak="0">
    <w:nsid w:val="3E631D0A"/>
    <w:multiLevelType w:val="hybridMultilevel"/>
    <w:tmpl w:val="C51C5714"/>
    <w:lvl w:ilvl="0" w:tplc="08090001">
      <w:start w:val="1"/>
      <w:numFmt w:val="bullet"/>
      <w:lvlText w:val=""/>
      <w:lvlJc w:val="left"/>
      <w:pPr>
        <w:ind w:left="720" w:hanging="360"/>
      </w:pPr>
      <w:rPr>
        <w:rFonts w:ascii="Symbol" w:hAnsi="Symbol" w:hint="default"/>
      </w:rPr>
    </w:lvl>
    <w:lvl w:ilvl="1" w:tplc="08090003" w:tentative="1">
      <w:start w:val="1"/>
      <w:numFmt w:val="bullet"/>
      <w:lvlText w:val="o"/>
      <w:lvlJc w:val="left"/>
      <w:pPr>
        <w:ind w:left="1440" w:hanging="360"/>
      </w:pPr>
      <w:rPr>
        <w:rFonts w:ascii="Courier New" w:hAnsi="Courier New" w:cs="Courier New" w:hint="default"/>
      </w:rPr>
    </w:lvl>
    <w:lvl w:ilvl="2" w:tplc="08090005" w:tentative="1">
      <w:start w:val="1"/>
      <w:numFmt w:val="bullet"/>
      <w:lvlText w:val=""/>
      <w:lvlJc w:val="left"/>
      <w:pPr>
        <w:ind w:left="2160" w:hanging="360"/>
      </w:pPr>
      <w:rPr>
        <w:rFonts w:ascii="Wingdings" w:hAnsi="Wingdings" w:hint="default"/>
      </w:rPr>
    </w:lvl>
    <w:lvl w:ilvl="3" w:tplc="08090001" w:tentative="1">
      <w:start w:val="1"/>
      <w:numFmt w:val="bullet"/>
      <w:lvlText w:val=""/>
      <w:lvlJc w:val="left"/>
      <w:pPr>
        <w:ind w:left="2880" w:hanging="360"/>
      </w:pPr>
      <w:rPr>
        <w:rFonts w:ascii="Symbol" w:hAnsi="Symbol" w:hint="default"/>
      </w:rPr>
    </w:lvl>
    <w:lvl w:ilvl="4" w:tplc="08090003" w:tentative="1">
      <w:start w:val="1"/>
      <w:numFmt w:val="bullet"/>
      <w:lvlText w:val="o"/>
      <w:lvlJc w:val="left"/>
      <w:pPr>
        <w:ind w:left="3600" w:hanging="360"/>
      </w:pPr>
      <w:rPr>
        <w:rFonts w:ascii="Courier New" w:hAnsi="Courier New" w:cs="Courier New" w:hint="default"/>
      </w:rPr>
    </w:lvl>
    <w:lvl w:ilvl="5" w:tplc="08090005" w:tentative="1">
      <w:start w:val="1"/>
      <w:numFmt w:val="bullet"/>
      <w:lvlText w:val=""/>
      <w:lvlJc w:val="left"/>
      <w:pPr>
        <w:ind w:left="4320" w:hanging="360"/>
      </w:pPr>
      <w:rPr>
        <w:rFonts w:ascii="Wingdings" w:hAnsi="Wingdings" w:hint="default"/>
      </w:rPr>
    </w:lvl>
    <w:lvl w:ilvl="6" w:tplc="08090001" w:tentative="1">
      <w:start w:val="1"/>
      <w:numFmt w:val="bullet"/>
      <w:lvlText w:val=""/>
      <w:lvlJc w:val="left"/>
      <w:pPr>
        <w:ind w:left="5040" w:hanging="360"/>
      </w:pPr>
      <w:rPr>
        <w:rFonts w:ascii="Symbol" w:hAnsi="Symbol" w:hint="default"/>
      </w:rPr>
    </w:lvl>
    <w:lvl w:ilvl="7" w:tplc="08090003" w:tentative="1">
      <w:start w:val="1"/>
      <w:numFmt w:val="bullet"/>
      <w:lvlText w:val="o"/>
      <w:lvlJc w:val="left"/>
      <w:pPr>
        <w:ind w:left="5760" w:hanging="360"/>
      </w:pPr>
      <w:rPr>
        <w:rFonts w:ascii="Courier New" w:hAnsi="Courier New" w:cs="Courier New" w:hint="default"/>
      </w:rPr>
    </w:lvl>
    <w:lvl w:ilvl="8" w:tplc="08090005" w:tentative="1">
      <w:start w:val="1"/>
      <w:numFmt w:val="bullet"/>
      <w:lvlText w:val=""/>
      <w:lvlJc w:val="left"/>
      <w:pPr>
        <w:ind w:left="6480" w:hanging="360"/>
      </w:pPr>
      <w:rPr>
        <w:rFonts w:ascii="Wingdings" w:hAnsi="Wingdings" w:hint="default"/>
      </w:rPr>
    </w:lvl>
  </w:abstractNum>
  <w:abstractNum w:abstractNumId="23" w15:restartNumberingAfterBreak="0">
    <w:nsid w:val="43AD07AE"/>
    <w:multiLevelType w:val="multilevel"/>
    <w:tmpl w:val="A2A4FB12"/>
    <w:lvl w:ilvl="0">
      <w:start w:val="2"/>
      <w:numFmt w:val="decimal"/>
      <w:lvlText w:val="%1"/>
      <w:lvlJc w:val="left"/>
      <w:pPr>
        <w:ind w:left="480" w:hanging="480"/>
      </w:pPr>
      <w:rPr>
        <w:rFonts w:hint="default"/>
      </w:rPr>
    </w:lvl>
    <w:lvl w:ilvl="1">
      <w:start w:val="2"/>
      <w:numFmt w:val="decimal"/>
      <w:lvlText w:val="%1.%2"/>
      <w:lvlJc w:val="left"/>
      <w:pPr>
        <w:ind w:left="480" w:hanging="480"/>
      </w:pPr>
      <w:rPr>
        <w:rFonts w:hint="default"/>
      </w:rPr>
    </w:lvl>
    <w:lvl w:ilvl="2">
      <w:start w:val="2"/>
      <w:numFmt w:val="decimal"/>
      <w:lvlText w:val="%1.%2.%3"/>
      <w:lvlJc w:val="left"/>
      <w:pPr>
        <w:ind w:left="720" w:hanging="720"/>
      </w:pPr>
      <w:rPr>
        <w:rFonts w:hint="default"/>
      </w:rPr>
    </w:lvl>
    <w:lvl w:ilvl="3">
      <w:start w:val="1"/>
      <w:numFmt w:val="decimal"/>
      <w:lvlText w:val="%1.%2.%3.%4"/>
      <w:lvlJc w:val="left"/>
      <w:pPr>
        <w:ind w:left="720" w:hanging="720"/>
      </w:pPr>
      <w:rPr>
        <w:rFonts w:hint="default"/>
      </w:rPr>
    </w:lvl>
    <w:lvl w:ilvl="4">
      <w:start w:val="1"/>
      <w:numFmt w:val="decimal"/>
      <w:lvlText w:val="%1.%2.%3.%4.%5"/>
      <w:lvlJc w:val="left"/>
      <w:pPr>
        <w:ind w:left="1080" w:hanging="1080"/>
      </w:pPr>
      <w:rPr>
        <w:rFonts w:hint="default"/>
      </w:rPr>
    </w:lvl>
    <w:lvl w:ilvl="5">
      <w:start w:val="1"/>
      <w:numFmt w:val="decimal"/>
      <w:lvlText w:val="%1.%2.%3.%4.%5.%6"/>
      <w:lvlJc w:val="left"/>
      <w:pPr>
        <w:ind w:left="1080" w:hanging="1080"/>
      </w:pPr>
      <w:rPr>
        <w:rFonts w:hint="default"/>
      </w:rPr>
    </w:lvl>
    <w:lvl w:ilvl="6">
      <w:start w:val="1"/>
      <w:numFmt w:val="decimal"/>
      <w:lvlText w:val="%1.%2.%3.%4.%5.%6.%7"/>
      <w:lvlJc w:val="left"/>
      <w:pPr>
        <w:ind w:left="1440" w:hanging="1440"/>
      </w:pPr>
      <w:rPr>
        <w:rFonts w:hint="default"/>
      </w:rPr>
    </w:lvl>
    <w:lvl w:ilvl="7">
      <w:start w:val="1"/>
      <w:numFmt w:val="decimal"/>
      <w:lvlText w:val="%1.%2.%3.%4.%5.%6.%7.%8"/>
      <w:lvlJc w:val="left"/>
      <w:pPr>
        <w:ind w:left="1440" w:hanging="1440"/>
      </w:pPr>
      <w:rPr>
        <w:rFonts w:hint="default"/>
      </w:rPr>
    </w:lvl>
    <w:lvl w:ilvl="8">
      <w:start w:val="1"/>
      <w:numFmt w:val="decimal"/>
      <w:lvlText w:val="%1.%2.%3.%4.%5.%6.%7.%8.%9"/>
      <w:lvlJc w:val="left"/>
      <w:pPr>
        <w:ind w:left="1800" w:hanging="1800"/>
      </w:pPr>
      <w:rPr>
        <w:rFonts w:hint="default"/>
      </w:rPr>
    </w:lvl>
  </w:abstractNum>
  <w:abstractNum w:abstractNumId="24" w15:restartNumberingAfterBreak="0">
    <w:nsid w:val="465C095A"/>
    <w:multiLevelType w:val="multilevel"/>
    <w:tmpl w:val="ED743290"/>
    <w:lvl w:ilvl="0">
      <w:start w:val="5"/>
      <w:numFmt w:val="decimal"/>
      <w:lvlText w:val="%1"/>
      <w:lvlJc w:val="left"/>
      <w:pPr>
        <w:ind w:left="360" w:hanging="360"/>
      </w:pPr>
      <w:rPr>
        <w:rFonts w:hint="default"/>
      </w:rPr>
    </w:lvl>
    <w:lvl w:ilvl="1">
      <w:start w:val="5"/>
      <w:numFmt w:val="decimal"/>
      <w:lvlText w:val="%1.%2"/>
      <w:lvlJc w:val="left"/>
      <w:pPr>
        <w:ind w:left="360" w:hanging="360"/>
      </w:pPr>
      <w:rPr>
        <w:rFonts w:hint="default"/>
      </w:rPr>
    </w:lvl>
    <w:lvl w:ilvl="2">
      <w:start w:val="1"/>
      <w:numFmt w:val="decimal"/>
      <w:lvlText w:val="%1.%2.%3"/>
      <w:lvlJc w:val="left"/>
      <w:pPr>
        <w:ind w:left="720" w:hanging="720"/>
      </w:pPr>
      <w:rPr>
        <w:rFonts w:hint="default"/>
      </w:rPr>
    </w:lvl>
    <w:lvl w:ilvl="3">
      <w:start w:val="1"/>
      <w:numFmt w:val="decimal"/>
      <w:lvlText w:val="%1.%2.%3.%4"/>
      <w:lvlJc w:val="left"/>
      <w:pPr>
        <w:ind w:left="720" w:hanging="720"/>
      </w:pPr>
      <w:rPr>
        <w:rFonts w:hint="default"/>
      </w:rPr>
    </w:lvl>
    <w:lvl w:ilvl="4">
      <w:start w:val="1"/>
      <w:numFmt w:val="decimal"/>
      <w:lvlText w:val="%1.%2.%3.%4.%5"/>
      <w:lvlJc w:val="left"/>
      <w:pPr>
        <w:ind w:left="1080" w:hanging="1080"/>
      </w:pPr>
      <w:rPr>
        <w:rFonts w:hint="default"/>
      </w:rPr>
    </w:lvl>
    <w:lvl w:ilvl="5">
      <w:start w:val="1"/>
      <w:numFmt w:val="decimal"/>
      <w:lvlText w:val="%1.%2.%3.%4.%5.%6"/>
      <w:lvlJc w:val="left"/>
      <w:pPr>
        <w:ind w:left="1080" w:hanging="1080"/>
      </w:pPr>
      <w:rPr>
        <w:rFonts w:hint="default"/>
      </w:rPr>
    </w:lvl>
    <w:lvl w:ilvl="6">
      <w:start w:val="1"/>
      <w:numFmt w:val="decimal"/>
      <w:lvlText w:val="%1.%2.%3.%4.%5.%6.%7"/>
      <w:lvlJc w:val="left"/>
      <w:pPr>
        <w:ind w:left="1440" w:hanging="1440"/>
      </w:pPr>
      <w:rPr>
        <w:rFonts w:hint="default"/>
      </w:rPr>
    </w:lvl>
    <w:lvl w:ilvl="7">
      <w:start w:val="1"/>
      <w:numFmt w:val="decimal"/>
      <w:lvlText w:val="%1.%2.%3.%4.%5.%6.%7.%8"/>
      <w:lvlJc w:val="left"/>
      <w:pPr>
        <w:ind w:left="1440" w:hanging="1440"/>
      </w:pPr>
      <w:rPr>
        <w:rFonts w:hint="default"/>
      </w:rPr>
    </w:lvl>
    <w:lvl w:ilvl="8">
      <w:start w:val="1"/>
      <w:numFmt w:val="decimal"/>
      <w:lvlText w:val="%1.%2.%3.%4.%5.%6.%7.%8.%9"/>
      <w:lvlJc w:val="left"/>
      <w:pPr>
        <w:ind w:left="1800" w:hanging="1800"/>
      </w:pPr>
      <w:rPr>
        <w:rFonts w:hint="default"/>
      </w:rPr>
    </w:lvl>
  </w:abstractNum>
  <w:abstractNum w:abstractNumId="25" w15:restartNumberingAfterBreak="0">
    <w:nsid w:val="46834F60"/>
    <w:multiLevelType w:val="hybridMultilevel"/>
    <w:tmpl w:val="BC268B98"/>
    <w:lvl w:ilvl="0" w:tplc="30E4062A">
      <w:start w:val="1"/>
      <w:numFmt w:val="lowerRoman"/>
      <w:lvlText w:val="%1)"/>
      <w:lvlJc w:val="left"/>
      <w:pPr>
        <w:ind w:left="1080" w:hanging="720"/>
      </w:pPr>
      <w:rPr>
        <w:rFonts w:hint="default"/>
      </w:rPr>
    </w:lvl>
    <w:lvl w:ilvl="1" w:tplc="08090019" w:tentative="1">
      <w:start w:val="1"/>
      <w:numFmt w:val="lowerLetter"/>
      <w:lvlText w:val="%2."/>
      <w:lvlJc w:val="left"/>
      <w:pPr>
        <w:ind w:left="1440" w:hanging="360"/>
      </w:pPr>
    </w:lvl>
    <w:lvl w:ilvl="2" w:tplc="0809001B" w:tentative="1">
      <w:start w:val="1"/>
      <w:numFmt w:val="lowerRoman"/>
      <w:lvlText w:val="%3."/>
      <w:lvlJc w:val="right"/>
      <w:pPr>
        <w:ind w:left="2160" w:hanging="180"/>
      </w:pPr>
    </w:lvl>
    <w:lvl w:ilvl="3" w:tplc="0809000F" w:tentative="1">
      <w:start w:val="1"/>
      <w:numFmt w:val="decimal"/>
      <w:lvlText w:val="%4."/>
      <w:lvlJc w:val="left"/>
      <w:pPr>
        <w:ind w:left="2880" w:hanging="360"/>
      </w:pPr>
    </w:lvl>
    <w:lvl w:ilvl="4" w:tplc="08090019" w:tentative="1">
      <w:start w:val="1"/>
      <w:numFmt w:val="lowerLetter"/>
      <w:lvlText w:val="%5."/>
      <w:lvlJc w:val="left"/>
      <w:pPr>
        <w:ind w:left="3600" w:hanging="360"/>
      </w:pPr>
    </w:lvl>
    <w:lvl w:ilvl="5" w:tplc="0809001B" w:tentative="1">
      <w:start w:val="1"/>
      <w:numFmt w:val="lowerRoman"/>
      <w:lvlText w:val="%6."/>
      <w:lvlJc w:val="right"/>
      <w:pPr>
        <w:ind w:left="4320" w:hanging="180"/>
      </w:pPr>
    </w:lvl>
    <w:lvl w:ilvl="6" w:tplc="0809000F" w:tentative="1">
      <w:start w:val="1"/>
      <w:numFmt w:val="decimal"/>
      <w:lvlText w:val="%7."/>
      <w:lvlJc w:val="left"/>
      <w:pPr>
        <w:ind w:left="5040" w:hanging="360"/>
      </w:pPr>
    </w:lvl>
    <w:lvl w:ilvl="7" w:tplc="08090019" w:tentative="1">
      <w:start w:val="1"/>
      <w:numFmt w:val="lowerLetter"/>
      <w:lvlText w:val="%8."/>
      <w:lvlJc w:val="left"/>
      <w:pPr>
        <w:ind w:left="5760" w:hanging="360"/>
      </w:pPr>
    </w:lvl>
    <w:lvl w:ilvl="8" w:tplc="0809001B" w:tentative="1">
      <w:start w:val="1"/>
      <w:numFmt w:val="lowerRoman"/>
      <w:lvlText w:val="%9."/>
      <w:lvlJc w:val="right"/>
      <w:pPr>
        <w:ind w:left="6480" w:hanging="180"/>
      </w:pPr>
    </w:lvl>
  </w:abstractNum>
  <w:abstractNum w:abstractNumId="26" w15:restartNumberingAfterBreak="0">
    <w:nsid w:val="50797238"/>
    <w:multiLevelType w:val="hybridMultilevel"/>
    <w:tmpl w:val="86BC39E0"/>
    <w:lvl w:ilvl="0" w:tplc="08090001">
      <w:start w:val="1"/>
      <w:numFmt w:val="bullet"/>
      <w:lvlText w:val=""/>
      <w:lvlJc w:val="left"/>
      <w:pPr>
        <w:ind w:left="720" w:hanging="360"/>
      </w:pPr>
      <w:rPr>
        <w:rFonts w:ascii="Symbol" w:hAnsi="Symbol" w:hint="default"/>
      </w:rPr>
    </w:lvl>
    <w:lvl w:ilvl="1" w:tplc="08090003" w:tentative="1">
      <w:start w:val="1"/>
      <w:numFmt w:val="bullet"/>
      <w:lvlText w:val="o"/>
      <w:lvlJc w:val="left"/>
      <w:pPr>
        <w:ind w:left="1440" w:hanging="360"/>
      </w:pPr>
      <w:rPr>
        <w:rFonts w:ascii="Courier New" w:hAnsi="Courier New" w:cs="Courier New" w:hint="default"/>
      </w:rPr>
    </w:lvl>
    <w:lvl w:ilvl="2" w:tplc="08090005" w:tentative="1">
      <w:start w:val="1"/>
      <w:numFmt w:val="bullet"/>
      <w:lvlText w:val=""/>
      <w:lvlJc w:val="left"/>
      <w:pPr>
        <w:ind w:left="2160" w:hanging="360"/>
      </w:pPr>
      <w:rPr>
        <w:rFonts w:ascii="Wingdings" w:hAnsi="Wingdings" w:hint="default"/>
      </w:rPr>
    </w:lvl>
    <w:lvl w:ilvl="3" w:tplc="08090001" w:tentative="1">
      <w:start w:val="1"/>
      <w:numFmt w:val="bullet"/>
      <w:lvlText w:val=""/>
      <w:lvlJc w:val="left"/>
      <w:pPr>
        <w:ind w:left="2880" w:hanging="360"/>
      </w:pPr>
      <w:rPr>
        <w:rFonts w:ascii="Symbol" w:hAnsi="Symbol" w:hint="default"/>
      </w:rPr>
    </w:lvl>
    <w:lvl w:ilvl="4" w:tplc="08090003" w:tentative="1">
      <w:start w:val="1"/>
      <w:numFmt w:val="bullet"/>
      <w:lvlText w:val="o"/>
      <w:lvlJc w:val="left"/>
      <w:pPr>
        <w:ind w:left="3600" w:hanging="360"/>
      </w:pPr>
      <w:rPr>
        <w:rFonts w:ascii="Courier New" w:hAnsi="Courier New" w:cs="Courier New" w:hint="default"/>
      </w:rPr>
    </w:lvl>
    <w:lvl w:ilvl="5" w:tplc="08090005" w:tentative="1">
      <w:start w:val="1"/>
      <w:numFmt w:val="bullet"/>
      <w:lvlText w:val=""/>
      <w:lvlJc w:val="left"/>
      <w:pPr>
        <w:ind w:left="4320" w:hanging="360"/>
      </w:pPr>
      <w:rPr>
        <w:rFonts w:ascii="Wingdings" w:hAnsi="Wingdings" w:hint="default"/>
      </w:rPr>
    </w:lvl>
    <w:lvl w:ilvl="6" w:tplc="08090001" w:tentative="1">
      <w:start w:val="1"/>
      <w:numFmt w:val="bullet"/>
      <w:lvlText w:val=""/>
      <w:lvlJc w:val="left"/>
      <w:pPr>
        <w:ind w:left="5040" w:hanging="360"/>
      </w:pPr>
      <w:rPr>
        <w:rFonts w:ascii="Symbol" w:hAnsi="Symbol" w:hint="default"/>
      </w:rPr>
    </w:lvl>
    <w:lvl w:ilvl="7" w:tplc="08090003" w:tentative="1">
      <w:start w:val="1"/>
      <w:numFmt w:val="bullet"/>
      <w:lvlText w:val="o"/>
      <w:lvlJc w:val="left"/>
      <w:pPr>
        <w:ind w:left="5760" w:hanging="360"/>
      </w:pPr>
      <w:rPr>
        <w:rFonts w:ascii="Courier New" w:hAnsi="Courier New" w:cs="Courier New" w:hint="default"/>
      </w:rPr>
    </w:lvl>
    <w:lvl w:ilvl="8" w:tplc="08090005" w:tentative="1">
      <w:start w:val="1"/>
      <w:numFmt w:val="bullet"/>
      <w:lvlText w:val=""/>
      <w:lvlJc w:val="left"/>
      <w:pPr>
        <w:ind w:left="6480" w:hanging="360"/>
      </w:pPr>
      <w:rPr>
        <w:rFonts w:ascii="Wingdings" w:hAnsi="Wingdings" w:hint="default"/>
      </w:rPr>
    </w:lvl>
  </w:abstractNum>
  <w:abstractNum w:abstractNumId="27" w15:restartNumberingAfterBreak="0">
    <w:nsid w:val="53A05BBF"/>
    <w:multiLevelType w:val="multilevel"/>
    <w:tmpl w:val="D7A447CA"/>
    <w:lvl w:ilvl="0">
      <w:start w:val="1"/>
      <w:numFmt w:val="bullet"/>
      <w:lvlText w:val=""/>
      <w:lvlJc w:val="left"/>
      <w:pPr>
        <w:tabs>
          <w:tab w:val="num" w:pos="720"/>
        </w:tabs>
        <w:ind w:left="720" w:hanging="360"/>
      </w:pPr>
      <w:rPr>
        <w:rFonts w:ascii="Wingdings" w:hAnsi="Wingdings"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28" w15:restartNumberingAfterBreak="0">
    <w:nsid w:val="55561DE1"/>
    <w:multiLevelType w:val="hybridMultilevel"/>
    <w:tmpl w:val="016A79D2"/>
    <w:lvl w:ilvl="0" w:tplc="0809000B">
      <w:start w:val="1"/>
      <w:numFmt w:val="bullet"/>
      <w:lvlText w:val=""/>
      <w:lvlJc w:val="left"/>
      <w:pPr>
        <w:ind w:left="720" w:hanging="360"/>
      </w:pPr>
      <w:rPr>
        <w:rFonts w:ascii="Wingdings" w:hAnsi="Wingdings" w:hint="default"/>
      </w:rPr>
    </w:lvl>
    <w:lvl w:ilvl="1" w:tplc="08090003" w:tentative="1">
      <w:start w:val="1"/>
      <w:numFmt w:val="bullet"/>
      <w:lvlText w:val="o"/>
      <w:lvlJc w:val="left"/>
      <w:pPr>
        <w:ind w:left="1440" w:hanging="360"/>
      </w:pPr>
      <w:rPr>
        <w:rFonts w:ascii="Courier New" w:hAnsi="Courier New" w:cs="Courier New" w:hint="default"/>
      </w:rPr>
    </w:lvl>
    <w:lvl w:ilvl="2" w:tplc="08090005" w:tentative="1">
      <w:start w:val="1"/>
      <w:numFmt w:val="bullet"/>
      <w:lvlText w:val=""/>
      <w:lvlJc w:val="left"/>
      <w:pPr>
        <w:ind w:left="2160" w:hanging="360"/>
      </w:pPr>
      <w:rPr>
        <w:rFonts w:ascii="Wingdings" w:hAnsi="Wingdings" w:hint="default"/>
      </w:rPr>
    </w:lvl>
    <w:lvl w:ilvl="3" w:tplc="08090001" w:tentative="1">
      <w:start w:val="1"/>
      <w:numFmt w:val="bullet"/>
      <w:lvlText w:val=""/>
      <w:lvlJc w:val="left"/>
      <w:pPr>
        <w:ind w:left="2880" w:hanging="360"/>
      </w:pPr>
      <w:rPr>
        <w:rFonts w:ascii="Symbol" w:hAnsi="Symbol" w:hint="default"/>
      </w:rPr>
    </w:lvl>
    <w:lvl w:ilvl="4" w:tplc="08090003" w:tentative="1">
      <w:start w:val="1"/>
      <w:numFmt w:val="bullet"/>
      <w:lvlText w:val="o"/>
      <w:lvlJc w:val="left"/>
      <w:pPr>
        <w:ind w:left="3600" w:hanging="360"/>
      </w:pPr>
      <w:rPr>
        <w:rFonts w:ascii="Courier New" w:hAnsi="Courier New" w:cs="Courier New" w:hint="default"/>
      </w:rPr>
    </w:lvl>
    <w:lvl w:ilvl="5" w:tplc="08090005" w:tentative="1">
      <w:start w:val="1"/>
      <w:numFmt w:val="bullet"/>
      <w:lvlText w:val=""/>
      <w:lvlJc w:val="left"/>
      <w:pPr>
        <w:ind w:left="4320" w:hanging="360"/>
      </w:pPr>
      <w:rPr>
        <w:rFonts w:ascii="Wingdings" w:hAnsi="Wingdings" w:hint="default"/>
      </w:rPr>
    </w:lvl>
    <w:lvl w:ilvl="6" w:tplc="08090001" w:tentative="1">
      <w:start w:val="1"/>
      <w:numFmt w:val="bullet"/>
      <w:lvlText w:val=""/>
      <w:lvlJc w:val="left"/>
      <w:pPr>
        <w:ind w:left="5040" w:hanging="360"/>
      </w:pPr>
      <w:rPr>
        <w:rFonts w:ascii="Symbol" w:hAnsi="Symbol" w:hint="default"/>
      </w:rPr>
    </w:lvl>
    <w:lvl w:ilvl="7" w:tplc="08090003" w:tentative="1">
      <w:start w:val="1"/>
      <w:numFmt w:val="bullet"/>
      <w:lvlText w:val="o"/>
      <w:lvlJc w:val="left"/>
      <w:pPr>
        <w:ind w:left="5760" w:hanging="360"/>
      </w:pPr>
      <w:rPr>
        <w:rFonts w:ascii="Courier New" w:hAnsi="Courier New" w:cs="Courier New" w:hint="default"/>
      </w:rPr>
    </w:lvl>
    <w:lvl w:ilvl="8" w:tplc="08090005" w:tentative="1">
      <w:start w:val="1"/>
      <w:numFmt w:val="bullet"/>
      <w:lvlText w:val=""/>
      <w:lvlJc w:val="left"/>
      <w:pPr>
        <w:ind w:left="6480" w:hanging="360"/>
      </w:pPr>
      <w:rPr>
        <w:rFonts w:ascii="Wingdings" w:hAnsi="Wingdings" w:hint="default"/>
      </w:rPr>
    </w:lvl>
  </w:abstractNum>
  <w:abstractNum w:abstractNumId="29" w15:restartNumberingAfterBreak="0">
    <w:nsid w:val="55A863F7"/>
    <w:multiLevelType w:val="multilevel"/>
    <w:tmpl w:val="A84E33BC"/>
    <w:lvl w:ilvl="0">
      <w:start w:val="8"/>
      <w:numFmt w:val="decimal"/>
      <w:lvlText w:val="%1"/>
      <w:lvlJc w:val="left"/>
      <w:pPr>
        <w:ind w:left="480" w:hanging="480"/>
      </w:pPr>
      <w:rPr>
        <w:rFonts w:hint="default"/>
      </w:rPr>
    </w:lvl>
    <w:lvl w:ilvl="1">
      <w:start w:val="4"/>
      <w:numFmt w:val="decimal"/>
      <w:lvlText w:val="%1.%2"/>
      <w:lvlJc w:val="left"/>
      <w:pPr>
        <w:ind w:left="480" w:hanging="480"/>
      </w:pPr>
      <w:rPr>
        <w:rFonts w:hint="default"/>
      </w:rPr>
    </w:lvl>
    <w:lvl w:ilvl="2">
      <w:start w:val="2"/>
      <w:numFmt w:val="decimal"/>
      <w:lvlText w:val="%1.%2.%3"/>
      <w:lvlJc w:val="left"/>
      <w:pPr>
        <w:ind w:left="720" w:hanging="720"/>
      </w:pPr>
      <w:rPr>
        <w:rFonts w:hint="default"/>
      </w:rPr>
    </w:lvl>
    <w:lvl w:ilvl="3">
      <w:start w:val="1"/>
      <w:numFmt w:val="decimal"/>
      <w:lvlText w:val="%1.%2.%3.%4"/>
      <w:lvlJc w:val="left"/>
      <w:pPr>
        <w:ind w:left="720" w:hanging="720"/>
      </w:pPr>
      <w:rPr>
        <w:rFonts w:hint="default"/>
      </w:rPr>
    </w:lvl>
    <w:lvl w:ilvl="4">
      <w:start w:val="1"/>
      <w:numFmt w:val="decimal"/>
      <w:lvlText w:val="%1.%2.%3.%4.%5"/>
      <w:lvlJc w:val="left"/>
      <w:pPr>
        <w:ind w:left="1080" w:hanging="1080"/>
      </w:pPr>
      <w:rPr>
        <w:rFonts w:hint="default"/>
      </w:rPr>
    </w:lvl>
    <w:lvl w:ilvl="5">
      <w:start w:val="1"/>
      <w:numFmt w:val="decimal"/>
      <w:lvlText w:val="%1.%2.%3.%4.%5.%6"/>
      <w:lvlJc w:val="left"/>
      <w:pPr>
        <w:ind w:left="1080" w:hanging="1080"/>
      </w:pPr>
      <w:rPr>
        <w:rFonts w:hint="default"/>
      </w:rPr>
    </w:lvl>
    <w:lvl w:ilvl="6">
      <w:start w:val="1"/>
      <w:numFmt w:val="decimal"/>
      <w:lvlText w:val="%1.%2.%3.%4.%5.%6.%7"/>
      <w:lvlJc w:val="left"/>
      <w:pPr>
        <w:ind w:left="1440" w:hanging="1440"/>
      </w:pPr>
      <w:rPr>
        <w:rFonts w:hint="default"/>
      </w:rPr>
    </w:lvl>
    <w:lvl w:ilvl="7">
      <w:start w:val="1"/>
      <w:numFmt w:val="decimal"/>
      <w:lvlText w:val="%1.%2.%3.%4.%5.%6.%7.%8"/>
      <w:lvlJc w:val="left"/>
      <w:pPr>
        <w:ind w:left="1440" w:hanging="1440"/>
      </w:pPr>
      <w:rPr>
        <w:rFonts w:hint="default"/>
      </w:rPr>
    </w:lvl>
    <w:lvl w:ilvl="8">
      <w:start w:val="1"/>
      <w:numFmt w:val="decimal"/>
      <w:lvlText w:val="%1.%2.%3.%4.%5.%6.%7.%8.%9"/>
      <w:lvlJc w:val="left"/>
      <w:pPr>
        <w:ind w:left="1800" w:hanging="1800"/>
      </w:pPr>
      <w:rPr>
        <w:rFonts w:hint="default"/>
      </w:rPr>
    </w:lvl>
  </w:abstractNum>
  <w:abstractNum w:abstractNumId="30" w15:restartNumberingAfterBreak="0">
    <w:nsid w:val="5C3E77CC"/>
    <w:multiLevelType w:val="multilevel"/>
    <w:tmpl w:val="50BA7AD4"/>
    <w:lvl w:ilvl="0">
      <w:start w:val="5"/>
      <w:numFmt w:val="decimal"/>
      <w:lvlText w:val="%1"/>
      <w:lvlJc w:val="left"/>
      <w:pPr>
        <w:ind w:left="360" w:hanging="360"/>
      </w:pPr>
      <w:rPr>
        <w:rFonts w:hint="default"/>
      </w:rPr>
    </w:lvl>
    <w:lvl w:ilvl="1">
      <w:start w:val="6"/>
      <w:numFmt w:val="decimal"/>
      <w:lvlText w:val="%1.%2"/>
      <w:lvlJc w:val="left"/>
      <w:pPr>
        <w:ind w:left="360" w:hanging="360"/>
      </w:pPr>
      <w:rPr>
        <w:rFonts w:hint="default"/>
      </w:rPr>
    </w:lvl>
    <w:lvl w:ilvl="2">
      <w:start w:val="1"/>
      <w:numFmt w:val="decimal"/>
      <w:lvlText w:val="%1.%2.%3"/>
      <w:lvlJc w:val="left"/>
      <w:pPr>
        <w:ind w:left="720" w:hanging="720"/>
      </w:pPr>
      <w:rPr>
        <w:rFonts w:hint="default"/>
      </w:rPr>
    </w:lvl>
    <w:lvl w:ilvl="3">
      <w:start w:val="1"/>
      <w:numFmt w:val="decimal"/>
      <w:lvlText w:val="%1.%2.%3.%4"/>
      <w:lvlJc w:val="left"/>
      <w:pPr>
        <w:ind w:left="720" w:hanging="720"/>
      </w:pPr>
      <w:rPr>
        <w:rFonts w:hint="default"/>
      </w:rPr>
    </w:lvl>
    <w:lvl w:ilvl="4">
      <w:start w:val="1"/>
      <w:numFmt w:val="decimal"/>
      <w:lvlText w:val="%1.%2.%3.%4.%5"/>
      <w:lvlJc w:val="left"/>
      <w:pPr>
        <w:ind w:left="1080" w:hanging="1080"/>
      </w:pPr>
      <w:rPr>
        <w:rFonts w:hint="default"/>
      </w:rPr>
    </w:lvl>
    <w:lvl w:ilvl="5">
      <w:start w:val="1"/>
      <w:numFmt w:val="decimal"/>
      <w:lvlText w:val="%1.%2.%3.%4.%5.%6"/>
      <w:lvlJc w:val="left"/>
      <w:pPr>
        <w:ind w:left="1080" w:hanging="1080"/>
      </w:pPr>
      <w:rPr>
        <w:rFonts w:hint="default"/>
      </w:rPr>
    </w:lvl>
    <w:lvl w:ilvl="6">
      <w:start w:val="1"/>
      <w:numFmt w:val="decimal"/>
      <w:lvlText w:val="%1.%2.%3.%4.%5.%6.%7"/>
      <w:lvlJc w:val="left"/>
      <w:pPr>
        <w:ind w:left="1440" w:hanging="1440"/>
      </w:pPr>
      <w:rPr>
        <w:rFonts w:hint="default"/>
      </w:rPr>
    </w:lvl>
    <w:lvl w:ilvl="7">
      <w:start w:val="1"/>
      <w:numFmt w:val="decimal"/>
      <w:lvlText w:val="%1.%2.%3.%4.%5.%6.%7.%8"/>
      <w:lvlJc w:val="left"/>
      <w:pPr>
        <w:ind w:left="1440" w:hanging="1440"/>
      </w:pPr>
      <w:rPr>
        <w:rFonts w:hint="default"/>
      </w:rPr>
    </w:lvl>
    <w:lvl w:ilvl="8">
      <w:start w:val="1"/>
      <w:numFmt w:val="decimal"/>
      <w:lvlText w:val="%1.%2.%3.%4.%5.%6.%7.%8.%9"/>
      <w:lvlJc w:val="left"/>
      <w:pPr>
        <w:ind w:left="1800" w:hanging="1800"/>
      </w:pPr>
      <w:rPr>
        <w:rFonts w:hint="default"/>
      </w:rPr>
    </w:lvl>
  </w:abstractNum>
  <w:abstractNum w:abstractNumId="31" w15:restartNumberingAfterBreak="0">
    <w:nsid w:val="5FE46A09"/>
    <w:multiLevelType w:val="hybridMultilevel"/>
    <w:tmpl w:val="43A2FCCE"/>
    <w:lvl w:ilvl="0" w:tplc="08090001">
      <w:start w:val="1"/>
      <w:numFmt w:val="bullet"/>
      <w:lvlText w:val=""/>
      <w:lvlJc w:val="left"/>
      <w:pPr>
        <w:ind w:left="720" w:hanging="360"/>
      </w:pPr>
      <w:rPr>
        <w:rFonts w:ascii="Symbol" w:hAnsi="Symbol" w:hint="default"/>
      </w:rPr>
    </w:lvl>
    <w:lvl w:ilvl="1" w:tplc="08090003" w:tentative="1">
      <w:start w:val="1"/>
      <w:numFmt w:val="bullet"/>
      <w:lvlText w:val="o"/>
      <w:lvlJc w:val="left"/>
      <w:pPr>
        <w:ind w:left="1440" w:hanging="360"/>
      </w:pPr>
      <w:rPr>
        <w:rFonts w:ascii="Courier New" w:hAnsi="Courier New" w:cs="Courier New" w:hint="default"/>
      </w:rPr>
    </w:lvl>
    <w:lvl w:ilvl="2" w:tplc="08090005" w:tentative="1">
      <w:start w:val="1"/>
      <w:numFmt w:val="bullet"/>
      <w:lvlText w:val=""/>
      <w:lvlJc w:val="left"/>
      <w:pPr>
        <w:ind w:left="2160" w:hanging="360"/>
      </w:pPr>
      <w:rPr>
        <w:rFonts w:ascii="Wingdings" w:hAnsi="Wingdings" w:hint="default"/>
      </w:rPr>
    </w:lvl>
    <w:lvl w:ilvl="3" w:tplc="08090001" w:tentative="1">
      <w:start w:val="1"/>
      <w:numFmt w:val="bullet"/>
      <w:lvlText w:val=""/>
      <w:lvlJc w:val="left"/>
      <w:pPr>
        <w:ind w:left="2880" w:hanging="360"/>
      </w:pPr>
      <w:rPr>
        <w:rFonts w:ascii="Symbol" w:hAnsi="Symbol" w:hint="default"/>
      </w:rPr>
    </w:lvl>
    <w:lvl w:ilvl="4" w:tplc="08090003" w:tentative="1">
      <w:start w:val="1"/>
      <w:numFmt w:val="bullet"/>
      <w:lvlText w:val="o"/>
      <w:lvlJc w:val="left"/>
      <w:pPr>
        <w:ind w:left="3600" w:hanging="360"/>
      </w:pPr>
      <w:rPr>
        <w:rFonts w:ascii="Courier New" w:hAnsi="Courier New" w:cs="Courier New" w:hint="default"/>
      </w:rPr>
    </w:lvl>
    <w:lvl w:ilvl="5" w:tplc="08090005" w:tentative="1">
      <w:start w:val="1"/>
      <w:numFmt w:val="bullet"/>
      <w:lvlText w:val=""/>
      <w:lvlJc w:val="left"/>
      <w:pPr>
        <w:ind w:left="4320" w:hanging="360"/>
      </w:pPr>
      <w:rPr>
        <w:rFonts w:ascii="Wingdings" w:hAnsi="Wingdings" w:hint="default"/>
      </w:rPr>
    </w:lvl>
    <w:lvl w:ilvl="6" w:tplc="08090001" w:tentative="1">
      <w:start w:val="1"/>
      <w:numFmt w:val="bullet"/>
      <w:lvlText w:val=""/>
      <w:lvlJc w:val="left"/>
      <w:pPr>
        <w:ind w:left="5040" w:hanging="360"/>
      </w:pPr>
      <w:rPr>
        <w:rFonts w:ascii="Symbol" w:hAnsi="Symbol" w:hint="default"/>
      </w:rPr>
    </w:lvl>
    <w:lvl w:ilvl="7" w:tplc="08090003" w:tentative="1">
      <w:start w:val="1"/>
      <w:numFmt w:val="bullet"/>
      <w:lvlText w:val="o"/>
      <w:lvlJc w:val="left"/>
      <w:pPr>
        <w:ind w:left="5760" w:hanging="360"/>
      </w:pPr>
      <w:rPr>
        <w:rFonts w:ascii="Courier New" w:hAnsi="Courier New" w:cs="Courier New" w:hint="default"/>
      </w:rPr>
    </w:lvl>
    <w:lvl w:ilvl="8" w:tplc="08090005" w:tentative="1">
      <w:start w:val="1"/>
      <w:numFmt w:val="bullet"/>
      <w:lvlText w:val=""/>
      <w:lvlJc w:val="left"/>
      <w:pPr>
        <w:ind w:left="6480" w:hanging="360"/>
      </w:pPr>
      <w:rPr>
        <w:rFonts w:ascii="Wingdings" w:hAnsi="Wingdings" w:hint="default"/>
      </w:rPr>
    </w:lvl>
  </w:abstractNum>
  <w:abstractNum w:abstractNumId="32" w15:restartNumberingAfterBreak="0">
    <w:nsid w:val="60002ABE"/>
    <w:multiLevelType w:val="multilevel"/>
    <w:tmpl w:val="CA44444C"/>
    <w:lvl w:ilvl="0">
      <w:start w:val="3"/>
      <w:numFmt w:val="decimal"/>
      <w:pStyle w:val="Heading1"/>
      <w:lvlText w:val="CHAPTER %1"/>
      <w:lvlJc w:val="left"/>
      <w:pPr>
        <w:ind w:left="3410" w:hanging="432"/>
      </w:pPr>
      <w:rPr>
        <w:rFonts w:hint="default"/>
      </w:rPr>
    </w:lvl>
    <w:lvl w:ilvl="1">
      <w:start w:val="2"/>
      <w:numFmt w:val="decimal"/>
      <w:lvlText w:val="%1.%2"/>
      <w:lvlJc w:val="left"/>
      <w:pPr>
        <w:ind w:left="576" w:hanging="576"/>
      </w:pPr>
      <w:rPr>
        <w:rFonts w:hint="default"/>
      </w:rPr>
    </w:lvl>
    <w:lvl w:ilvl="2">
      <w:start w:val="2"/>
      <w:numFmt w:val="none"/>
      <w:pStyle w:val="Heading3"/>
      <w:lvlText w:val="3.2.2"/>
      <w:lvlJc w:val="left"/>
      <w:pPr>
        <w:ind w:left="3698" w:hanging="720"/>
      </w:pPr>
      <w:rPr>
        <w:b/>
        <w:bCs/>
        <w:i w:val="0"/>
        <w:iCs w:val="0"/>
        <w:caps w:val="0"/>
        <w:smallCaps w:val="0"/>
        <w:strike w:val="0"/>
        <w:dstrike w:val="0"/>
        <w:noProof w:val="0"/>
        <w:vanish w:val="0"/>
        <w:color w:val="000000"/>
        <w:spacing w:val="0"/>
        <w:kern w:val="0"/>
        <w:position w:val="0"/>
        <w:u w:val="none"/>
        <w:effect w:val="none"/>
        <w:vertAlign w:val="baseline"/>
        <w:em w:val="none"/>
        <w:specVanish w:val="0"/>
      </w:rPr>
    </w:lvl>
    <w:lvl w:ilvl="3">
      <w:start w:val="1"/>
      <w:numFmt w:val="decimal"/>
      <w:pStyle w:val="Heading4"/>
      <w:lvlText w:val="%1.%2.%3.%4"/>
      <w:lvlJc w:val="left"/>
      <w:pPr>
        <w:ind w:left="3842" w:hanging="864"/>
      </w:pPr>
      <w:rPr>
        <w:rFonts w:hint="default"/>
      </w:rPr>
    </w:lvl>
    <w:lvl w:ilvl="4">
      <w:start w:val="1"/>
      <w:numFmt w:val="decimal"/>
      <w:pStyle w:val="Heading5"/>
      <w:lvlText w:val="%1.%2.%3.%4.%5"/>
      <w:lvlJc w:val="left"/>
      <w:pPr>
        <w:ind w:left="3986" w:hanging="1008"/>
      </w:pPr>
      <w:rPr>
        <w:rFonts w:hint="default"/>
      </w:rPr>
    </w:lvl>
    <w:lvl w:ilvl="5">
      <w:start w:val="1"/>
      <w:numFmt w:val="decimal"/>
      <w:pStyle w:val="Heading6"/>
      <w:lvlText w:val="%1.%2.%3.%4.%5.%6"/>
      <w:lvlJc w:val="left"/>
      <w:pPr>
        <w:ind w:left="4130" w:hanging="1152"/>
      </w:pPr>
      <w:rPr>
        <w:rFonts w:hint="default"/>
      </w:rPr>
    </w:lvl>
    <w:lvl w:ilvl="6">
      <w:start w:val="1"/>
      <w:numFmt w:val="decimal"/>
      <w:pStyle w:val="Heading7"/>
      <w:lvlText w:val="%1.%2.%3.%4.%5.%6.%7"/>
      <w:lvlJc w:val="left"/>
      <w:pPr>
        <w:ind w:left="4274" w:hanging="1296"/>
      </w:pPr>
      <w:rPr>
        <w:rFonts w:hint="default"/>
      </w:rPr>
    </w:lvl>
    <w:lvl w:ilvl="7">
      <w:start w:val="1"/>
      <w:numFmt w:val="decimal"/>
      <w:pStyle w:val="Heading8"/>
      <w:lvlText w:val="%1.%2.%3.%4.%5.%6.%7.%8"/>
      <w:lvlJc w:val="left"/>
      <w:pPr>
        <w:ind w:left="4418" w:hanging="1440"/>
      </w:pPr>
      <w:rPr>
        <w:rFonts w:hint="default"/>
      </w:rPr>
    </w:lvl>
    <w:lvl w:ilvl="8">
      <w:start w:val="1"/>
      <w:numFmt w:val="decimal"/>
      <w:pStyle w:val="Heading9"/>
      <w:lvlText w:val="%1.%2.%3.%4.%5.%6.%7.%8.%9"/>
      <w:lvlJc w:val="left"/>
      <w:pPr>
        <w:ind w:left="4562" w:hanging="1584"/>
      </w:pPr>
      <w:rPr>
        <w:rFonts w:hint="default"/>
      </w:rPr>
    </w:lvl>
  </w:abstractNum>
  <w:abstractNum w:abstractNumId="33" w15:restartNumberingAfterBreak="0">
    <w:nsid w:val="636A1B5B"/>
    <w:multiLevelType w:val="hybridMultilevel"/>
    <w:tmpl w:val="7CB0EA7A"/>
    <w:lvl w:ilvl="0" w:tplc="585C409E">
      <w:start w:val="2"/>
      <w:numFmt w:val="bullet"/>
      <w:lvlText w:val="-"/>
      <w:lvlJc w:val="left"/>
      <w:pPr>
        <w:ind w:left="720" w:hanging="360"/>
      </w:pPr>
      <w:rPr>
        <w:rFonts w:ascii="Times New Roman" w:eastAsiaTheme="minorHAnsi" w:hAnsi="Times New Roman" w:cs="Times New Roman" w:hint="default"/>
      </w:rPr>
    </w:lvl>
    <w:lvl w:ilvl="1" w:tplc="08090003" w:tentative="1">
      <w:start w:val="1"/>
      <w:numFmt w:val="bullet"/>
      <w:lvlText w:val="o"/>
      <w:lvlJc w:val="left"/>
      <w:pPr>
        <w:ind w:left="1440" w:hanging="360"/>
      </w:pPr>
      <w:rPr>
        <w:rFonts w:ascii="Courier New" w:hAnsi="Courier New" w:cs="Courier New" w:hint="default"/>
      </w:rPr>
    </w:lvl>
    <w:lvl w:ilvl="2" w:tplc="08090005" w:tentative="1">
      <w:start w:val="1"/>
      <w:numFmt w:val="bullet"/>
      <w:lvlText w:val=""/>
      <w:lvlJc w:val="left"/>
      <w:pPr>
        <w:ind w:left="2160" w:hanging="360"/>
      </w:pPr>
      <w:rPr>
        <w:rFonts w:ascii="Wingdings" w:hAnsi="Wingdings" w:hint="default"/>
      </w:rPr>
    </w:lvl>
    <w:lvl w:ilvl="3" w:tplc="08090001" w:tentative="1">
      <w:start w:val="1"/>
      <w:numFmt w:val="bullet"/>
      <w:lvlText w:val=""/>
      <w:lvlJc w:val="left"/>
      <w:pPr>
        <w:ind w:left="2880" w:hanging="360"/>
      </w:pPr>
      <w:rPr>
        <w:rFonts w:ascii="Symbol" w:hAnsi="Symbol" w:hint="default"/>
      </w:rPr>
    </w:lvl>
    <w:lvl w:ilvl="4" w:tplc="08090003" w:tentative="1">
      <w:start w:val="1"/>
      <w:numFmt w:val="bullet"/>
      <w:lvlText w:val="o"/>
      <w:lvlJc w:val="left"/>
      <w:pPr>
        <w:ind w:left="3600" w:hanging="360"/>
      </w:pPr>
      <w:rPr>
        <w:rFonts w:ascii="Courier New" w:hAnsi="Courier New" w:cs="Courier New" w:hint="default"/>
      </w:rPr>
    </w:lvl>
    <w:lvl w:ilvl="5" w:tplc="08090005" w:tentative="1">
      <w:start w:val="1"/>
      <w:numFmt w:val="bullet"/>
      <w:lvlText w:val=""/>
      <w:lvlJc w:val="left"/>
      <w:pPr>
        <w:ind w:left="4320" w:hanging="360"/>
      </w:pPr>
      <w:rPr>
        <w:rFonts w:ascii="Wingdings" w:hAnsi="Wingdings" w:hint="default"/>
      </w:rPr>
    </w:lvl>
    <w:lvl w:ilvl="6" w:tplc="08090001" w:tentative="1">
      <w:start w:val="1"/>
      <w:numFmt w:val="bullet"/>
      <w:lvlText w:val=""/>
      <w:lvlJc w:val="left"/>
      <w:pPr>
        <w:ind w:left="5040" w:hanging="360"/>
      </w:pPr>
      <w:rPr>
        <w:rFonts w:ascii="Symbol" w:hAnsi="Symbol" w:hint="default"/>
      </w:rPr>
    </w:lvl>
    <w:lvl w:ilvl="7" w:tplc="08090003" w:tentative="1">
      <w:start w:val="1"/>
      <w:numFmt w:val="bullet"/>
      <w:lvlText w:val="o"/>
      <w:lvlJc w:val="left"/>
      <w:pPr>
        <w:ind w:left="5760" w:hanging="360"/>
      </w:pPr>
      <w:rPr>
        <w:rFonts w:ascii="Courier New" w:hAnsi="Courier New" w:cs="Courier New" w:hint="default"/>
      </w:rPr>
    </w:lvl>
    <w:lvl w:ilvl="8" w:tplc="08090005" w:tentative="1">
      <w:start w:val="1"/>
      <w:numFmt w:val="bullet"/>
      <w:lvlText w:val=""/>
      <w:lvlJc w:val="left"/>
      <w:pPr>
        <w:ind w:left="6480" w:hanging="360"/>
      </w:pPr>
      <w:rPr>
        <w:rFonts w:ascii="Wingdings" w:hAnsi="Wingdings" w:hint="default"/>
      </w:rPr>
    </w:lvl>
  </w:abstractNum>
  <w:abstractNum w:abstractNumId="34" w15:restartNumberingAfterBreak="0">
    <w:nsid w:val="64DE6BD8"/>
    <w:multiLevelType w:val="hybridMultilevel"/>
    <w:tmpl w:val="4E241C8A"/>
    <w:lvl w:ilvl="0" w:tplc="5C884568">
      <w:start w:val="1"/>
      <w:numFmt w:val="lowerLetter"/>
      <w:lvlText w:val="%1.)"/>
      <w:lvlJc w:val="left"/>
      <w:pPr>
        <w:ind w:left="720" w:hanging="360"/>
      </w:pPr>
      <w:rPr>
        <w:rFonts w:hint="default"/>
      </w:rPr>
    </w:lvl>
    <w:lvl w:ilvl="1" w:tplc="08090003" w:tentative="1">
      <w:start w:val="1"/>
      <w:numFmt w:val="bullet"/>
      <w:lvlText w:val="o"/>
      <w:lvlJc w:val="left"/>
      <w:pPr>
        <w:ind w:left="1440" w:hanging="360"/>
      </w:pPr>
      <w:rPr>
        <w:rFonts w:ascii="Courier New" w:hAnsi="Courier New" w:cs="Courier New" w:hint="default"/>
      </w:rPr>
    </w:lvl>
    <w:lvl w:ilvl="2" w:tplc="08090005" w:tentative="1">
      <w:start w:val="1"/>
      <w:numFmt w:val="bullet"/>
      <w:lvlText w:val=""/>
      <w:lvlJc w:val="left"/>
      <w:pPr>
        <w:ind w:left="2160" w:hanging="360"/>
      </w:pPr>
      <w:rPr>
        <w:rFonts w:ascii="Wingdings" w:hAnsi="Wingdings" w:hint="default"/>
      </w:rPr>
    </w:lvl>
    <w:lvl w:ilvl="3" w:tplc="08090001" w:tentative="1">
      <w:start w:val="1"/>
      <w:numFmt w:val="bullet"/>
      <w:lvlText w:val=""/>
      <w:lvlJc w:val="left"/>
      <w:pPr>
        <w:ind w:left="2880" w:hanging="360"/>
      </w:pPr>
      <w:rPr>
        <w:rFonts w:ascii="Symbol" w:hAnsi="Symbol" w:hint="default"/>
      </w:rPr>
    </w:lvl>
    <w:lvl w:ilvl="4" w:tplc="08090003" w:tentative="1">
      <w:start w:val="1"/>
      <w:numFmt w:val="bullet"/>
      <w:lvlText w:val="o"/>
      <w:lvlJc w:val="left"/>
      <w:pPr>
        <w:ind w:left="3600" w:hanging="360"/>
      </w:pPr>
      <w:rPr>
        <w:rFonts w:ascii="Courier New" w:hAnsi="Courier New" w:cs="Courier New" w:hint="default"/>
      </w:rPr>
    </w:lvl>
    <w:lvl w:ilvl="5" w:tplc="08090005" w:tentative="1">
      <w:start w:val="1"/>
      <w:numFmt w:val="bullet"/>
      <w:lvlText w:val=""/>
      <w:lvlJc w:val="left"/>
      <w:pPr>
        <w:ind w:left="4320" w:hanging="360"/>
      </w:pPr>
      <w:rPr>
        <w:rFonts w:ascii="Wingdings" w:hAnsi="Wingdings" w:hint="default"/>
      </w:rPr>
    </w:lvl>
    <w:lvl w:ilvl="6" w:tplc="08090001" w:tentative="1">
      <w:start w:val="1"/>
      <w:numFmt w:val="bullet"/>
      <w:lvlText w:val=""/>
      <w:lvlJc w:val="left"/>
      <w:pPr>
        <w:ind w:left="5040" w:hanging="360"/>
      </w:pPr>
      <w:rPr>
        <w:rFonts w:ascii="Symbol" w:hAnsi="Symbol" w:hint="default"/>
      </w:rPr>
    </w:lvl>
    <w:lvl w:ilvl="7" w:tplc="08090003" w:tentative="1">
      <w:start w:val="1"/>
      <w:numFmt w:val="bullet"/>
      <w:lvlText w:val="o"/>
      <w:lvlJc w:val="left"/>
      <w:pPr>
        <w:ind w:left="5760" w:hanging="360"/>
      </w:pPr>
      <w:rPr>
        <w:rFonts w:ascii="Courier New" w:hAnsi="Courier New" w:cs="Courier New" w:hint="default"/>
      </w:rPr>
    </w:lvl>
    <w:lvl w:ilvl="8" w:tplc="08090005" w:tentative="1">
      <w:start w:val="1"/>
      <w:numFmt w:val="bullet"/>
      <w:lvlText w:val=""/>
      <w:lvlJc w:val="left"/>
      <w:pPr>
        <w:ind w:left="6480" w:hanging="360"/>
      </w:pPr>
      <w:rPr>
        <w:rFonts w:ascii="Wingdings" w:hAnsi="Wingdings" w:hint="default"/>
      </w:rPr>
    </w:lvl>
  </w:abstractNum>
  <w:abstractNum w:abstractNumId="35" w15:restartNumberingAfterBreak="0">
    <w:nsid w:val="68BB0E2A"/>
    <w:multiLevelType w:val="hybridMultilevel"/>
    <w:tmpl w:val="9B2C7494"/>
    <w:lvl w:ilvl="0" w:tplc="08090011">
      <w:start w:val="1"/>
      <w:numFmt w:val="decimal"/>
      <w:lvlText w:val="%1)"/>
      <w:lvlJc w:val="left"/>
      <w:pPr>
        <w:ind w:left="720" w:hanging="360"/>
      </w:pPr>
      <w:rPr>
        <w:rFonts w:hint="default"/>
      </w:rPr>
    </w:lvl>
    <w:lvl w:ilvl="1" w:tplc="08090019" w:tentative="1">
      <w:start w:val="1"/>
      <w:numFmt w:val="lowerLetter"/>
      <w:lvlText w:val="%2."/>
      <w:lvlJc w:val="left"/>
      <w:pPr>
        <w:ind w:left="1440" w:hanging="360"/>
      </w:pPr>
    </w:lvl>
    <w:lvl w:ilvl="2" w:tplc="0809001B" w:tentative="1">
      <w:start w:val="1"/>
      <w:numFmt w:val="lowerRoman"/>
      <w:lvlText w:val="%3."/>
      <w:lvlJc w:val="right"/>
      <w:pPr>
        <w:ind w:left="2160" w:hanging="180"/>
      </w:pPr>
    </w:lvl>
    <w:lvl w:ilvl="3" w:tplc="0809000F" w:tentative="1">
      <w:start w:val="1"/>
      <w:numFmt w:val="decimal"/>
      <w:lvlText w:val="%4."/>
      <w:lvlJc w:val="left"/>
      <w:pPr>
        <w:ind w:left="2880" w:hanging="360"/>
      </w:pPr>
    </w:lvl>
    <w:lvl w:ilvl="4" w:tplc="08090019" w:tentative="1">
      <w:start w:val="1"/>
      <w:numFmt w:val="lowerLetter"/>
      <w:lvlText w:val="%5."/>
      <w:lvlJc w:val="left"/>
      <w:pPr>
        <w:ind w:left="3600" w:hanging="360"/>
      </w:pPr>
    </w:lvl>
    <w:lvl w:ilvl="5" w:tplc="0809001B" w:tentative="1">
      <w:start w:val="1"/>
      <w:numFmt w:val="lowerRoman"/>
      <w:lvlText w:val="%6."/>
      <w:lvlJc w:val="right"/>
      <w:pPr>
        <w:ind w:left="4320" w:hanging="180"/>
      </w:pPr>
    </w:lvl>
    <w:lvl w:ilvl="6" w:tplc="0809000F" w:tentative="1">
      <w:start w:val="1"/>
      <w:numFmt w:val="decimal"/>
      <w:lvlText w:val="%7."/>
      <w:lvlJc w:val="left"/>
      <w:pPr>
        <w:ind w:left="5040" w:hanging="360"/>
      </w:pPr>
    </w:lvl>
    <w:lvl w:ilvl="7" w:tplc="08090019" w:tentative="1">
      <w:start w:val="1"/>
      <w:numFmt w:val="lowerLetter"/>
      <w:lvlText w:val="%8."/>
      <w:lvlJc w:val="left"/>
      <w:pPr>
        <w:ind w:left="5760" w:hanging="360"/>
      </w:pPr>
    </w:lvl>
    <w:lvl w:ilvl="8" w:tplc="0809001B" w:tentative="1">
      <w:start w:val="1"/>
      <w:numFmt w:val="lowerRoman"/>
      <w:lvlText w:val="%9."/>
      <w:lvlJc w:val="right"/>
      <w:pPr>
        <w:ind w:left="6480" w:hanging="180"/>
      </w:pPr>
    </w:lvl>
  </w:abstractNum>
  <w:abstractNum w:abstractNumId="36" w15:restartNumberingAfterBreak="0">
    <w:nsid w:val="6C985A31"/>
    <w:multiLevelType w:val="multilevel"/>
    <w:tmpl w:val="0BAC447E"/>
    <w:lvl w:ilvl="0">
      <w:start w:val="1"/>
      <w:numFmt w:val="bullet"/>
      <w:lvlText w:val=""/>
      <w:lvlJc w:val="left"/>
      <w:pPr>
        <w:tabs>
          <w:tab w:val="num" w:pos="720"/>
        </w:tabs>
        <w:ind w:left="720" w:hanging="360"/>
      </w:pPr>
      <w:rPr>
        <w:rFonts w:ascii="Wingdings" w:hAnsi="Wingdings"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37" w15:restartNumberingAfterBreak="0">
    <w:nsid w:val="71CD256B"/>
    <w:multiLevelType w:val="hybridMultilevel"/>
    <w:tmpl w:val="61682E00"/>
    <w:lvl w:ilvl="0" w:tplc="0809001B">
      <w:start w:val="1"/>
      <w:numFmt w:val="lowerRoman"/>
      <w:lvlText w:val="%1."/>
      <w:lvlJc w:val="right"/>
      <w:pPr>
        <w:ind w:left="720" w:hanging="360"/>
      </w:pPr>
    </w:lvl>
    <w:lvl w:ilvl="1" w:tplc="08090019" w:tentative="1">
      <w:start w:val="1"/>
      <w:numFmt w:val="lowerLetter"/>
      <w:lvlText w:val="%2."/>
      <w:lvlJc w:val="left"/>
      <w:pPr>
        <w:ind w:left="1440" w:hanging="360"/>
      </w:pPr>
    </w:lvl>
    <w:lvl w:ilvl="2" w:tplc="0809001B" w:tentative="1">
      <w:start w:val="1"/>
      <w:numFmt w:val="lowerRoman"/>
      <w:lvlText w:val="%3."/>
      <w:lvlJc w:val="right"/>
      <w:pPr>
        <w:ind w:left="2160" w:hanging="180"/>
      </w:pPr>
    </w:lvl>
    <w:lvl w:ilvl="3" w:tplc="0809000F" w:tentative="1">
      <w:start w:val="1"/>
      <w:numFmt w:val="decimal"/>
      <w:lvlText w:val="%4."/>
      <w:lvlJc w:val="left"/>
      <w:pPr>
        <w:ind w:left="2880" w:hanging="360"/>
      </w:pPr>
    </w:lvl>
    <w:lvl w:ilvl="4" w:tplc="08090019" w:tentative="1">
      <w:start w:val="1"/>
      <w:numFmt w:val="lowerLetter"/>
      <w:lvlText w:val="%5."/>
      <w:lvlJc w:val="left"/>
      <w:pPr>
        <w:ind w:left="3600" w:hanging="360"/>
      </w:pPr>
    </w:lvl>
    <w:lvl w:ilvl="5" w:tplc="0809001B" w:tentative="1">
      <w:start w:val="1"/>
      <w:numFmt w:val="lowerRoman"/>
      <w:lvlText w:val="%6."/>
      <w:lvlJc w:val="right"/>
      <w:pPr>
        <w:ind w:left="4320" w:hanging="180"/>
      </w:pPr>
    </w:lvl>
    <w:lvl w:ilvl="6" w:tplc="0809000F" w:tentative="1">
      <w:start w:val="1"/>
      <w:numFmt w:val="decimal"/>
      <w:lvlText w:val="%7."/>
      <w:lvlJc w:val="left"/>
      <w:pPr>
        <w:ind w:left="5040" w:hanging="360"/>
      </w:pPr>
    </w:lvl>
    <w:lvl w:ilvl="7" w:tplc="08090019" w:tentative="1">
      <w:start w:val="1"/>
      <w:numFmt w:val="lowerLetter"/>
      <w:lvlText w:val="%8."/>
      <w:lvlJc w:val="left"/>
      <w:pPr>
        <w:ind w:left="5760" w:hanging="360"/>
      </w:pPr>
    </w:lvl>
    <w:lvl w:ilvl="8" w:tplc="0809001B" w:tentative="1">
      <w:start w:val="1"/>
      <w:numFmt w:val="lowerRoman"/>
      <w:lvlText w:val="%9."/>
      <w:lvlJc w:val="right"/>
      <w:pPr>
        <w:ind w:left="6480" w:hanging="180"/>
      </w:pPr>
    </w:lvl>
  </w:abstractNum>
  <w:abstractNum w:abstractNumId="38" w15:restartNumberingAfterBreak="0">
    <w:nsid w:val="72B85208"/>
    <w:multiLevelType w:val="multilevel"/>
    <w:tmpl w:val="A9C0B7D8"/>
    <w:lvl w:ilvl="0">
      <w:start w:val="3"/>
      <w:numFmt w:val="decimal"/>
      <w:lvlText w:val="%1"/>
      <w:lvlJc w:val="left"/>
      <w:pPr>
        <w:ind w:left="480" w:hanging="480"/>
      </w:pPr>
      <w:rPr>
        <w:rFonts w:hint="default"/>
      </w:rPr>
    </w:lvl>
    <w:lvl w:ilvl="1">
      <w:start w:val="2"/>
      <w:numFmt w:val="decimal"/>
      <w:lvlText w:val="%1.%2"/>
      <w:lvlJc w:val="left"/>
      <w:pPr>
        <w:ind w:left="480" w:hanging="480"/>
      </w:pPr>
      <w:rPr>
        <w:rFonts w:hint="default"/>
      </w:rPr>
    </w:lvl>
    <w:lvl w:ilvl="2">
      <w:start w:val="2"/>
      <w:numFmt w:val="decimal"/>
      <w:lvlText w:val="%1.%2.%3"/>
      <w:lvlJc w:val="left"/>
      <w:pPr>
        <w:ind w:left="720" w:hanging="720"/>
      </w:pPr>
      <w:rPr>
        <w:rFonts w:hint="default"/>
      </w:rPr>
    </w:lvl>
    <w:lvl w:ilvl="3">
      <w:start w:val="1"/>
      <w:numFmt w:val="decimal"/>
      <w:lvlText w:val="%1.%2.%3.%4"/>
      <w:lvlJc w:val="left"/>
      <w:pPr>
        <w:ind w:left="720" w:hanging="720"/>
      </w:pPr>
      <w:rPr>
        <w:rFonts w:hint="default"/>
      </w:rPr>
    </w:lvl>
    <w:lvl w:ilvl="4">
      <w:start w:val="1"/>
      <w:numFmt w:val="decimal"/>
      <w:lvlText w:val="%1.%2.%3.%4.%5"/>
      <w:lvlJc w:val="left"/>
      <w:pPr>
        <w:ind w:left="1080" w:hanging="1080"/>
      </w:pPr>
      <w:rPr>
        <w:rFonts w:hint="default"/>
      </w:rPr>
    </w:lvl>
    <w:lvl w:ilvl="5">
      <w:start w:val="1"/>
      <w:numFmt w:val="decimal"/>
      <w:lvlText w:val="%1.%2.%3.%4.%5.%6"/>
      <w:lvlJc w:val="left"/>
      <w:pPr>
        <w:ind w:left="1080" w:hanging="1080"/>
      </w:pPr>
      <w:rPr>
        <w:rFonts w:hint="default"/>
      </w:rPr>
    </w:lvl>
    <w:lvl w:ilvl="6">
      <w:start w:val="1"/>
      <w:numFmt w:val="decimal"/>
      <w:lvlText w:val="%1.%2.%3.%4.%5.%6.%7"/>
      <w:lvlJc w:val="left"/>
      <w:pPr>
        <w:ind w:left="1440" w:hanging="1440"/>
      </w:pPr>
      <w:rPr>
        <w:rFonts w:hint="default"/>
      </w:rPr>
    </w:lvl>
    <w:lvl w:ilvl="7">
      <w:start w:val="1"/>
      <w:numFmt w:val="decimal"/>
      <w:lvlText w:val="%1.%2.%3.%4.%5.%6.%7.%8"/>
      <w:lvlJc w:val="left"/>
      <w:pPr>
        <w:ind w:left="1440" w:hanging="1440"/>
      </w:pPr>
      <w:rPr>
        <w:rFonts w:hint="default"/>
      </w:rPr>
    </w:lvl>
    <w:lvl w:ilvl="8">
      <w:start w:val="1"/>
      <w:numFmt w:val="decimal"/>
      <w:lvlText w:val="%1.%2.%3.%4.%5.%6.%7.%8.%9"/>
      <w:lvlJc w:val="left"/>
      <w:pPr>
        <w:ind w:left="1800" w:hanging="1800"/>
      </w:pPr>
      <w:rPr>
        <w:rFonts w:hint="default"/>
      </w:rPr>
    </w:lvl>
  </w:abstractNum>
  <w:abstractNum w:abstractNumId="39" w15:restartNumberingAfterBreak="0">
    <w:nsid w:val="74361D9B"/>
    <w:multiLevelType w:val="hybridMultilevel"/>
    <w:tmpl w:val="53C2CDC8"/>
    <w:lvl w:ilvl="0" w:tplc="96E2D5C4">
      <w:start w:val="1"/>
      <w:numFmt w:val="lowerRoman"/>
      <w:lvlText w:val="%1)"/>
      <w:lvlJc w:val="left"/>
      <w:pPr>
        <w:ind w:left="720" w:hanging="720"/>
      </w:pPr>
      <w:rPr>
        <w:rFonts w:hint="default"/>
      </w:rPr>
    </w:lvl>
    <w:lvl w:ilvl="1" w:tplc="08090019" w:tentative="1">
      <w:start w:val="1"/>
      <w:numFmt w:val="lowerLetter"/>
      <w:lvlText w:val="%2."/>
      <w:lvlJc w:val="left"/>
      <w:pPr>
        <w:ind w:left="1080" w:hanging="360"/>
      </w:pPr>
    </w:lvl>
    <w:lvl w:ilvl="2" w:tplc="0809001B" w:tentative="1">
      <w:start w:val="1"/>
      <w:numFmt w:val="lowerRoman"/>
      <w:lvlText w:val="%3."/>
      <w:lvlJc w:val="right"/>
      <w:pPr>
        <w:ind w:left="1800" w:hanging="180"/>
      </w:pPr>
    </w:lvl>
    <w:lvl w:ilvl="3" w:tplc="0809000F" w:tentative="1">
      <w:start w:val="1"/>
      <w:numFmt w:val="decimal"/>
      <w:lvlText w:val="%4."/>
      <w:lvlJc w:val="left"/>
      <w:pPr>
        <w:ind w:left="2520" w:hanging="360"/>
      </w:pPr>
    </w:lvl>
    <w:lvl w:ilvl="4" w:tplc="08090019" w:tentative="1">
      <w:start w:val="1"/>
      <w:numFmt w:val="lowerLetter"/>
      <w:lvlText w:val="%5."/>
      <w:lvlJc w:val="left"/>
      <w:pPr>
        <w:ind w:left="3240" w:hanging="360"/>
      </w:pPr>
    </w:lvl>
    <w:lvl w:ilvl="5" w:tplc="0809001B" w:tentative="1">
      <w:start w:val="1"/>
      <w:numFmt w:val="lowerRoman"/>
      <w:lvlText w:val="%6."/>
      <w:lvlJc w:val="right"/>
      <w:pPr>
        <w:ind w:left="3960" w:hanging="180"/>
      </w:pPr>
    </w:lvl>
    <w:lvl w:ilvl="6" w:tplc="0809000F" w:tentative="1">
      <w:start w:val="1"/>
      <w:numFmt w:val="decimal"/>
      <w:lvlText w:val="%7."/>
      <w:lvlJc w:val="left"/>
      <w:pPr>
        <w:ind w:left="4680" w:hanging="360"/>
      </w:pPr>
    </w:lvl>
    <w:lvl w:ilvl="7" w:tplc="08090019" w:tentative="1">
      <w:start w:val="1"/>
      <w:numFmt w:val="lowerLetter"/>
      <w:lvlText w:val="%8."/>
      <w:lvlJc w:val="left"/>
      <w:pPr>
        <w:ind w:left="5400" w:hanging="360"/>
      </w:pPr>
    </w:lvl>
    <w:lvl w:ilvl="8" w:tplc="0809001B" w:tentative="1">
      <w:start w:val="1"/>
      <w:numFmt w:val="lowerRoman"/>
      <w:lvlText w:val="%9."/>
      <w:lvlJc w:val="right"/>
      <w:pPr>
        <w:ind w:left="6120" w:hanging="180"/>
      </w:pPr>
    </w:lvl>
  </w:abstractNum>
  <w:abstractNum w:abstractNumId="40" w15:restartNumberingAfterBreak="0">
    <w:nsid w:val="754E0D2C"/>
    <w:multiLevelType w:val="hybridMultilevel"/>
    <w:tmpl w:val="81B2146C"/>
    <w:lvl w:ilvl="0" w:tplc="0809000B">
      <w:start w:val="1"/>
      <w:numFmt w:val="bullet"/>
      <w:lvlText w:val=""/>
      <w:lvlJc w:val="left"/>
      <w:pPr>
        <w:ind w:left="720" w:hanging="360"/>
      </w:pPr>
      <w:rPr>
        <w:rFonts w:ascii="Wingdings" w:hAnsi="Wingdings" w:hint="default"/>
      </w:rPr>
    </w:lvl>
    <w:lvl w:ilvl="1" w:tplc="08090003" w:tentative="1">
      <w:start w:val="1"/>
      <w:numFmt w:val="bullet"/>
      <w:lvlText w:val="o"/>
      <w:lvlJc w:val="left"/>
      <w:pPr>
        <w:ind w:left="1440" w:hanging="360"/>
      </w:pPr>
      <w:rPr>
        <w:rFonts w:ascii="Courier New" w:hAnsi="Courier New" w:cs="Courier New" w:hint="default"/>
      </w:rPr>
    </w:lvl>
    <w:lvl w:ilvl="2" w:tplc="08090005" w:tentative="1">
      <w:start w:val="1"/>
      <w:numFmt w:val="bullet"/>
      <w:lvlText w:val=""/>
      <w:lvlJc w:val="left"/>
      <w:pPr>
        <w:ind w:left="2160" w:hanging="360"/>
      </w:pPr>
      <w:rPr>
        <w:rFonts w:ascii="Wingdings" w:hAnsi="Wingdings" w:hint="default"/>
      </w:rPr>
    </w:lvl>
    <w:lvl w:ilvl="3" w:tplc="08090001" w:tentative="1">
      <w:start w:val="1"/>
      <w:numFmt w:val="bullet"/>
      <w:lvlText w:val=""/>
      <w:lvlJc w:val="left"/>
      <w:pPr>
        <w:ind w:left="2880" w:hanging="360"/>
      </w:pPr>
      <w:rPr>
        <w:rFonts w:ascii="Symbol" w:hAnsi="Symbol" w:hint="default"/>
      </w:rPr>
    </w:lvl>
    <w:lvl w:ilvl="4" w:tplc="08090003" w:tentative="1">
      <w:start w:val="1"/>
      <w:numFmt w:val="bullet"/>
      <w:lvlText w:val="o"/>
      <w:lvlJc w:val="left"/>
      <w:pPr>
        <w:ind w:left="3600" w:hanging="360"/>
      </w:pPr>
      <w:rPr>
        <w:rFonts w:ascii="Courier New" w:hAnsi="Courier New" w:cs="Courier New" w:hint="default"/>
      </w:rPr>
    </w:lvl>
    <w:lvl w:ilvl="5" w:tplc="08090005" w:tentative="1">
      <w:start w:val="1"/>
      <w:numFmt w:val="bullet"/>
      <w:lvlText w:val=""/>
      <w:lvlJc w:val="left"/>
      <w:pPr>
        <w:ind w:left="4320" w:hanging="360"/>
      </w:pPr>
      <w:rPr>
        <w:rFonts w:ascii="Wingdings" w:hAnsi="Wingdings" w:hint="default"/>
      </w:rPr>
    </w:lvl>
    <w:lvl w:ilvl="6" w:tplc="08090001" w:tentative="1">
      <w:start w:val="1"/>
      <w:numFmt w:val="bullet"/>
      <w:lvlText w:val=""/>
      <w:lvlJc w:val="left"/>
      <w:pPr>
        <w:ind w:left="5040" w:hanging="360"/>
      </w:pPr>
      <w:rPr>
        <w:rFonts w:ascii="Symbol" w:hAnsi="Symbol" w:hint="default"/>
      </w:rPr>
    </w:lvl>
    <w:lvl w:ilvl="7" w:tplc="08090003" w:tentative="1">
      <w:start w:val="1"/>
      <w:numFmt w:val="bullet"/>
      <w:lvlText w:val="o"/>
      <w:lvlJc w:val="left"/>
      <w:pPr>
        <w:ind w:left="5760" w:hanging="360"/>
      </w:pPr>
      <w:rPr>
        <w:rFonts w:ascii="Courier New" w:hAnsi="Courier New" w:cs="Courier New" w:hint="default"/>
      </w:rPr>
    </w:lvl>
    <w:lvl w:ilvl="8" w:tplc="08090005" w:tentative="1">
      <w:start w:val="1"/>
      <w:numFmt w:val="bullet"/>
      <w:lvlText w:val=""/>
      <w:lvlJc w:val="left"/>
      <w:pPr>
        <w:ind w:left="6480" w:hanging="360"/>
      </w:pPr>
      <w:rPr>
        <w:rFonts w:ascii="Wingdings" w:hAnsi="Wingdings" w:hint="default"/>
      </w:rPr>
    </w:lvl>
  </w:abstractNum>
  <w:abstractNum w:abstractNumId="41" w15:restartNumberingAfterBreak="0">
    <w:nsid w:val="782F7C17"/>
    <w:multiLevelType w:val="multilevel"/>
    <w:tmpl w:val="80FCD12A"/>
    <w:lvl w:ilvl="0">
      <w:start w:val="1"/>
      <w:numFmt w:val="bullet"/>
      <w:lvlText w:val=""/>
      <w:lvlJc w:val="left"/>
      <w:pPr>
        <w:tabs>
          <w:tab w:val="num" w:pos="720"/>
        </w:tabs>
        <w:ind w:left="720" w:hanging="360"/>
      </w:pPr>
      <w:rPr>
        <w:rFonts w:ascii="Symbol" w:hAnsi="Symbol" w:hint="default"/>
        <w:sz w:val="20"/>
      </w:rPr>
    </w:lvl>
    <w:lvl w:ilvl="1" w:tentative="1">
      <w:numFmt w:val="bullet"/>
      <w:lvlText w:val="o"/>
      <w:lvlJc w:val="left"/>
      <w:pPr>
        <w:tabs>
          <w:tab w:val="num" w:pos="1440"/>
        </w:tabs>
        <w:ind w:left="1440" w:hanging="360"/>
      </w:pPr>
      <w:rPr>
        <w:rFonts w:ascii="Courier New" w:hAnsi="Courier New" w:hint="default"/>
        <w:sz w:val="20"/>
      </w:rPr>
    </w:lvl>
    <w:lvl w:ilvl="2" w:tentative="1">
      <w:numFmt w:val="bullet"/>
      <w:lvlText w:val=""/>
      <w:lvlJc w:val="left"/>
      <w:pPr>
        <w:tabs>
          <w:tab w:val="num" w:pos="2160"/>
        </w:tabs>
        <w:ind w:left="2160" w:hanging="360"/>
      </w:pPr>
      <w:rPr>
        <w:rFonts w:ascii="Wingdings" w:hAnsi="Wingdings" w:hint="default"/>
        <w:sz w:val="20"/>
      </w:rPr>
    </w:lvl>
    <w:lvl w:ilvl="3" w:tentative="1">
      <w:numFmt w:val="bullet"/>
      <w:lvlText w:val=""/>
      <w:lvlJc w:val="left"/>
      <w:pPr>
        <w:tabs>
          <w:tab w:val="num" w:pos="2880"/>
        </w:tabs>
        <w:ind w:left="2880" w:hanging="360"/>
      </w:pPr>
      <w:rPr>
        <w:rFonts w:ascii="Wingdings" w:hAnsi="Wingdings" w:hint="default"/>
        <w:sz w:val="20"/>
      </w:rPr>
    </w:lvl>
    <w:lvl w:ilvl="4" w:tentative="1">
      <w:numFmt w:val="bullet"/>
      <w:lvlText w:val=""/>
      <w:lvlJc w:val="left"/>
      <w:pPr>
        <w:tabs>
          <w:tab w:val="num" w:pos="3600"/>
        </w:tabs>
        <w:ind w:left="3600" w:hanging="360"/>
      </w:pPr>
      <w:rPr>
        <w:rFonts w:ascii="Wingdings" w:hAnsi="Wingdings" w:hint="default"/>
        <w:sz w:val="20"/>
      </w:rPr>
    </w:lvl>
    <w:lvl w:ilvl="5" w:tentative="1">
      <w:numFmt w:val="bullet"/>
      <w:lvlText w:val=""/>
      <w:lvlJc w:val="left"/>
      <w:pPr>
        <w:tabs>
          <w:tab w:val="num" w:pos="4320"/>
        </w:tabs>
        <w:ind w:left="4320" w:hanging="360"/>
      </w:pPr>
      <w:rPr>
        <w:rFonts w:ascii="Wingdings" w:hAnsi="Wingdings" w:hint="default"/>
        <w:sz w:val="20"/>
      </w:rPr>
    </w:lvl>
    <w:lvl w:ilvl="6" w:tentative="1">
      <w:numFmt w:val="bullet"/>
      <w:lvlText w:val=""/>
      <w:lvlJc w:val="left"/>
      <w:pPr>
        <w:tabs>
          <w:tab w:val="num" w:pos="5040"/>
        </w:tabs>
        <w:ind w:left="5040" w:hanging="360"/>
      </w:pPr>
      <w:rPr>
        <w:rFonts w:ascii="Wingdings" w:hAnsi="Wingdings" w:hint="default"/>
        <w:sz w:val="20"/>
      </w:rPr>
    </w:lvl>
    <w:lvl w:ilvl="7" w:tentative="1">
      <w:numFmt w:val="bullet"/>
      <w:lvlText w:val=""/>
      <w:lvlJc w:val="left"/>
      <w:pPr>
        <w:tabs>
          <w:tab w:val="num" w:pos="5760"/>
        </w:tabs>
        <w:ind w:left="5760" w:hanging="360"/>
      </w:pPr>
      <w:rPr>
        <w:rFonts w:ascii="Wingdings" w:hAnsi="Wingdings" w:hint="default"/>
        <w:sz w:val="20"/>
      </w:rPr>
    </w:lvl>
    <w:lvl w:ilvl="8" w:tentative="1">
      <w:numFmt w:val="bullet"/>
      <w:lvlText w:val=""/>
      <w:lvlJc w:val="left"/>
      <w:pPr>
        <w:tabs>
          <w:tab w:val="num" w:pos="6480"/>
        </w:tabs>
        <w:ind w:left="6480" w:hanging="360"/>
      </w:pPr>
      <w:rPr>
        <w:rFonts w:ascii="Wingdings" w:hAnsi="Wingdings" w:hint="default"/>
        <w:sz w:val="20"/>
      </w:rPr>
    </w:lvl>
  </w:abstractNum>
  <w:abstractNum w:abstractNumId="42" w15:restartNumberingAfterBreak="0">
    <w:nsid w:val="785C3830"/>
    <w:multiLevelType w:val="hybridMultilevel"/>
    <w:tmpl w:val="38964B46"/>
    <w:lvl w:ilvl="0" w:tplc="484866B0">
      <w:start w:val="1"/>
      <w:numFmt w:val="decimal"/>
      <w:lvlText w:val="%1)"/>
      <w:lvlJc w:val="left"/>
      <w:pPr>
        <w:ind w:left="360" w:hanging="360"/>
      </w:pPr>
      <w:rPr>
        <w:rFonts w:hint="default"/>
        <w:b w:val="0"/>
        <w:bCs w:val="0"/>
      </w:rPr>
    </w:lvl>
    <w:lvl w:ilvl="1" w:tplc="08090019" w:tentative="1">
      <w:start w:val="1"/>
      <w:numFmt w:val="lowerLetter"/>
      <w:lvlText w:val="%2."/>
      <w:lvlJc w:val="left"/>
      <w:pPr>
        <w:ind w:left="1440" w:hanging="360"/>
      </w:pPr>
    </w:lvl>
    <w:lvl w:ilvl="2" w:tplc="0809001B" w:tentative="1">
      <w:start w:val="1"/>
      <w:numFmt w:val="lowerRoman"/>
      <w:lvlText w:val="%3."/>
      <w:lvlJc w:val="right"/>
      <w:pPr>
        <w:ind w:left="2160" w:hanging="180"/>
      </w:pPr>
    </w:lvl>
    <w:lvl w:ilvl="3" w:tplc="0809000F" w:tentative="1">
      <w:start w:val="1"/>
      <w:numFmt w:val="decimal"/>
      <w:lvlText w:val="%4."/>
      <w:lvlJc w:val="left"/>
      <w:pPr>
        <w:ind w:left="2880" w:hanging="360"/>
      </w:pPr>
    </w:lvl>
    <w:lvl w:ilvl="4" w:tplc="08090019" w:tentative="1">
      <w:start w:val="1"/>
      <w:numFmt w:val="lowerLetter"/>
      <w:lvlText w:val="%5."/>
      <w:lvlJc w:val="left"/>
      <w:pPr>
        <w:ind w:left="3600" w:hanging="360"/>
      </w:pPr>
    </w:lvl>
    <w:lvl w:ilvl="5" w:tplc="0809001B" w:tentative="1">
      <w:start w:val="1"/>
      <w:numFmt w:val="lowerRoman"/>
      <w:lvlText w:val="%6."/>
      <w:lvlJc w:val="right"/>
      <w:pPr>
        <w:ind w:left="4320" w:hanging="180"/>
      </w:pPr>
    </w:lvl>
    <w:lvl w:ilvl="6" w:tplc="0809000F" w:tentative="1">
      <w:start w:val="1"/>
      <w:numFmt w:val="decimal"/>
      <w:lvlText w:val="%7."/>
      <w:lvlJc w:val="left"/>
      <w:pPr>
        <w:ind w:left="5040" w:hanging="360"/>
      </w:pPr>
    </w:lvl>
    <w:lvl w:ilvl="7" w:tplc="08090019" w:tentative="1">
      <w:start w:val="1"/>
      <w:numFmt w:val="lowerLetter"/>
      <w:lvlText w:val="%8."/>
      <w:lvlJc w:val="left"/>
      <w:pPr>
        <w:ind w:left="5760" w:hanging="360"/>
      </w:pPr>
    </w:lvl>
    <w:lvl w:ilvl="8" w:tplc="0809001B" w:tentative="1">
      <w:start w:val="1"/>
      <w:numFmt w:val="lowerRoman"/>
      <w:lvlText w:val="%9."/>
      <w:lvlJc w:val="right"/>
      <w:pPr>
        <w:ind w:left="6480" w:hanging="180"/>
      </w:pPr>
    </w:lvl>
  </w:abstractNum>
  <w:abstractNum w:abstractNumId="43" w15:restartNumberingAfterBreak="0">
    <w:nsid w:val="7CAB7CEA"/>
    <w:multiLevelType w:val="multilevel"/>
    <w:tmpl w:val="C6CE6652"/>
    <w:lvl w:ilvl="0">
      <w:start w:val="5"/>
      <w:numFmt w:val="decimal"/>
      <w:lvlText w:val="%1"/>
      <w:lvlJc w:val="left"/>
      <w:pPr>
        <w:ind w:left="360" w:hanging="360"/>
      </w:pPr>
      <w:rPr>
        <w:rFonts w:hint="default"/>
      </w:rPr>
    </w:lvl>
    <w:lvl w:ilvl="1">
      <w:start w:val="6"/>
      <w:numFmt w:val="decimal"/>
      <w:lvlText w:val="%1.%2"/>
      <w:lvlJc w:val="left"/>
      <w:pPr>
        <w:ind w:left="360" w:hanging="360"/>
      </w:pPr>
      <w:rPr>
        <w:rFonts w:hint="default"/>
      </w:rPr>
    </w:lvl>
    <w:lvl w:ilvl="2">
      <w:start w:val="1"/>
      <w:numFmt w:val="decimal"/>
      <w:lvlText w:val="%1.%2.%3"/>
      <w:lvlJc w:val="left"/>
      <w:pPr>
        <w:ind w:left="720" w:hanging="720"/>
      </w:pPr>
      <w:rPr>
        <w:b w:val="0"/>
        <w:bCs w:val="0"/>
        <w:i w:val="0"/>
        <w:iCs w:val="0"/>
        <w:caps w:val="0"/>
        <w:smallCaps w:val="0"/>
        <w:strike w:val="0"/>
        <w:dstrike w:val="0"/>
        <w:noProof w:val="0"/>
        <w:vanish w:val="0"/>
        <w:color w:val="000000"/>
        <w:spacing w:val="0"/>
        <w:kern w:val="0"/>
        <w:position w:val="0"/>
        <w:u w:val="none"/>
        <w:effect w:val="none"/>
        <w:vertAlign w:val="baseline"/>
        <w:em w:val="none"/>
        <w:specVanish w:val="0"/>
      </w:rPr>
    </w:lvl>
    <w:lvl w:ilvl="3">
      <w:start w:val="1"/>
      <w:numFmt w:val="decimal"/>
      <w:lvlText w:val="%1.%2.%3.%4"/>
      <w:lvlJc w:val="left"/>
      <w:pPr>
        <w:ind w:left="720" w:hanging="720"/>
      </w:pPr>
      <w:rPr>
        <w:rFonts w:hint="default"/>
      </w:rPr>
    </w:lvl>
    <w:lvl w:ilvl="4">
      <w:start w:val="1"/>
      <w:numFmt w:val="decimal"/>
      <w:lvlText w:val="%1.%2.%3.%4.%5"/>
      <w:lvlJc w:val="left"/>
      <w:pPr>
        <w:ind w:left="1080" w:hanging="1080"/>
      </w:pPr>
      <w:rPr>
        <w:rFonts w:hint="default"/>
      </w:rPr>
    </w:lvl>
    <w:lvl w:ilvl="5">
      <w:start w:val="1"/>
      <w:numFmt w:val="decimal"/>
      <w:lvlText w:val="%1.%2.%3.%4.%5.%6"/>
      <w:lvlJc w:val="left"/>
      <w:pPr>
        <w:ind w:left="1080" w:hanging="1080"/>
      </w:pPr>
      <w:rPr>
        <w:rFonts w:hint="default"/>
      </w:rPr>
    </w:lvl>
    <w:lvl w:ilvl="6">
      <w:start w:val="1"/>
      <w:numFmt w:val="decimal"/>
      <w:lvlText w:val="%1.%2.%3.%4.%5.%6.%7"/>
      <w:lvlJc w:val="left"/>
      <w:pPr>
        <w:ind w:left="1440" w:hanging="1440"/>
      </w:pPr>
      <w:rPr>
        <w:rFonts w:hint="default"/>
      </w:rPr>
    </w:lvl>
    <w:lvl w:ilvl="7">
      <w:start w:val="1"/>
      <w:numFmt w:val="decimal"/>
      <w:lvlText w:val="%1.%2.%3.%4.%5.%6.%7.%8"/>
      <w:lvlJc w:val="left"/>
      <w:pPr>
        <w:ind w:left="1440" w:hanging="1440"/>
      </w:pPr>
      <w:rPr>
        <w:rFonts w:hint="default"/>
      </w:rPr>
    </w:lvl>
    <w:lvl w:ilvl="8">
      <w:start w:val="1"/>
      <w:numFmt w:val="decimal"/>
      <w:lvlText w:val="%1.%2.%3.%4.%5.%6.%7.%8.%9"/>
      <w:lvlJc w:val="left"/>
      <w:pPr>
        <w:ind w:left="1800" w:hanging="1800"/>
      </w:pPr>
      <w:rPr>
        <w:rFonts w:hint="default"/>
      </w:rPr>
    </w:lvl>
  </w:abstractNum>
  <w:abstractNum w:abstractNumId="44" w15:restartNumberingAfterBreak="0">
    <w:nsid w:val="7F485240"/>
    <w:multiLevelType w:val="hybridMultilevel"/>
    <w:tmpl w:val="AF002B46"/>
    <w:lvl w:ilvl="0" w:tplc="03B81852">
      <w:start w:val="1954"/>
      <w:numFmt w:val="bullet"/>
      <w:lvlText w:val="–"/>
      <w:lvlJc w:val="left"/>
      <w:pPr>
        <w:ind w:left="1080" w:hanging="360"/>
      </w:pPr>
      <w:rPr>
        <w:rFonts w:ascii="Calibri" w:eastAsia="Times New Roman" w:hAnsi="Calibri" w:cs="Calibri" w:hint="default"/>
      </w:rPr>
    </w:lvl>
    <w:lvl w:ilvl="1" w:tplc="748477AE">
      <w:numFmt w:val="bullet"/>
      <w:lvlText w:val="•"/>
      <w:lvlJc w:val="left"/>
      <w:pPr>
        <w:ind w:left="1800" w:hanging="360"/>
      </w:pPr>
      <w:rPr>
        <w:rFonts w:ascii="Calibri" w:eastAsiaTheme="minorHAnsi" w:hAnsi="Calibri" w:cs="Calibri" w:hint="default"/>
      </w:rPr>
    </w:lvl>
    <w:lvl w:ilvl="2" w:tplc="08090005" w:tentative="1">
      <w:start w:val="1"/>
      <w:numFmt w:val="bullet"/>
      <w:lvlText w:val=""/>
      <w:lvlJc w:val="left"/>
      <w:pPr>
        <w:ind w:left="2520" w:hanging="360"/>
      </w:pPr>
      <w:rPr>
        <w:rFonts w:ascii="Wingdings" w:hAnsi="Wingdings" w:hint="default"/>
      </w:rPr>
    </w:lvl>
    <w:lvl w:ilvl="3" w:tplc="08090001" w:tentative="1">
      <w:start w:val="1"/>
      <w:numFmt w:val="bullet"/>
      <w:lvlText w:val=""/>
      <w:lvlJc w:val="left"/>
      <w:pPr>
        <w:ind w:left="3240" w:hanging="360"/>
      </w:pPr>
      <w:rPr>
        <w:rFonts w:ascii="Symbol" w:hAnsi="Symbol" w:hint="default"/>
      </w:rPr>
    </w:lvl>
    <w:lvl w:ilvl="4" w:tplc="08090003" w:tentative="1">
      <w:start w:val="1"/>
      <w:numFmt w:val="bullet"/>
      <w:lvlText w:val="o"/>
      <w:lvlJc w:val="left"/>
      <w:pPr>
        <w:ind w:left="3960" w:hanging="360"/>
      </w:pPr>
      <w:rPr>
        <w:rFonts w:ascii="Courier New" w:hAnsi="Courier New" w:cs="Courier New" w:hint="default"/>
      </w:rPr>
    </w:lvl>
    <w:lvl w:ilvl="5" w:tplc="08090005" w:tentative="1">
      <w:start w:val="1"/>
      <w:numFmt w:val="bullet"/>
      <w:lvlText w:val=""/>
      <w:lvlJc w:val="left"/>
      <w:pPr>
        <w:ind w:left="4680" w:hanging="360"/>
      </w:pPr>
      <w:rPr>
        <w:rFonts w:ascii="Wingdings" w:hAnsi="Wingdings" w:hint="default"/>
      </w:rPr>
    </w:lvl>
    <w:lvl w:ilvl="6" w:tplc="08090001" w:tentative="1">
      <w:start w:val="1"/>
      <w:numFmt w:val="bullet"/>
      <w:lvlText w:val=""/>
      <w:lvlJc w:val="left"/>
      <w:pPr>
        <w:ind w:left="5400" w:hanging="360"/>
      </w:pPr>
      <w:rPr>
        <w:rFonts w:ascii="Symbol" w:hAnsi="Symbol" w:hint="default"/>
      </w:rPr>
    </w:lvl>
    <w:lvl w:ilvl="7" w:tplc="08090003" w:tentative="1">
      <w:start w:val="1"/>
      <w:numFmt w:val="bullet"/>
      <w:lvlText w:val="o"/>
      <w:lvlJc w:val="left"/>
      <w:pPr>
        <w:ind w:left="6120" w:hanging="360"/>
      </w:pPr>
      <w:rPr>
        <w:rFonts w:ascii="Courier New" w:hAnsi="Courier New" w:cs="Courier New" w:hint="default"/>
      </w:rPr>
    </w:lvl>
    <w:lvl w:ilvl="8" w:tplc="08090005" w:tentative="1">
      <w:start w:val="1"/>
      <w:numFmt w:val="bullet"/>
      <w:lvlText w:val=""/>
      <w:lvlJc w:val="left"/>
      <w:pPr>
        <w:ind w:left="6840" w:hanging="360"/>
      </w:pPr>
      <w:rPr>
        <w:rFonts w:ascii="Wingdings" w:hAnsi="Wingdings" w:hint="default"/>
      </w:rPr>
    </w:lvl>
  </w:abstractNum>
  <w:num w:numId="1" w16cid:durableId="1660494801">
    <w:abstractNumId w:val="21"/>
  </w:num>
  <w:num w:numId="2" w16cid:durableId="1570388137">
    <w:abstractNumId w:val="19"/>
  </w:num>
  <w:num w:numId="3" w16cid:durableId="1477453962">
    <w:abstractNumId w:val="18"/>
  </w:num>
  <w:num w:numId="4" w16cid:durableId="523061477">
    <w:abstractNumId w:val="1"/>
  </w:num>
  <w:num w:numId="5" w16cid:durableId="1190527058">
    <w:abstractNumId w:val="10"/>
    <w:lvlOverride w:ilvl="0">
      <w:startOverride w:val="6"/>
    </w:lvlOverride>
    <w:lvlOverride w:ilvl="1">
      <w:startOverride w:val="2"/>
    </w:lvlOverride>
    <w:lvlOverride w:ilvl="2">
      <w:startOverride w:val="2"/>
    </w:lvlOverride>
  </w:num>
  <w:num w:numId="6" w16cid:durableId="1570850472">
    <w:abstractNumId w:val="32"/>
  </w:num>
  <w:num w:numId="7" w16cid:durableId="210311829">
    <w:abstractNumId w:val="3"/>
  </w:num>
  <w:num w:numId="8" w16cid:durableId="12458499">
    <w:abstractNumId w:val="31"/>
  </w:num>
  <w:num w:numId="9" w16cid:durableId="1337803697">
    <w:abstractNumId w:val="26"/>
  </w:num>
  <w:num w:numId="10" w16cid:durableId="1497918967">
    <w:abstractNumId w:val="44"/>
  </w:num>
  <w:num w:numId="11" w16cid:durableId="637953645">
    <w:abstractNumId w:val="11"/>
  </w:num>
  <w:num w:numId="12" w16cid:durableId="2033148855">
    <w:abstractNumId w:val="40"/>
  </w:num>
  <w:num w:numId="13" w16cid:durableId="1066488417">
    <w:abstractNumId w:val="2"/>
  </w:num>
  <w:num w:numId="14" w16cid:durableId="2141145583">
    <w:abstractNumId w:val="9"/>
  </w:num>
  <w:num w:numId="15" w16cid:durableId="2077630629">
    <w:abstractNumId w:val="17"/>
  </w:num>
  <w:num w:numId="16" w16cid:durableId="1207572105">
    <w:abstractNumId w:val="42"/>
  </w:num>
  <w:num w:numId="17" w16cid:durableId="1663774593">
    <w:abstractNumId w:val="2"/>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18" w16cid:durableId="8340501">
    <w:abstractNumId w:val="1"/>
  </w:num>
  <w:num w:numId="19" w16cid:durableId="1488519836">
    <w:abstractNumId w:val="16"/>
  </w:num>
  <w:num w:numId="20" w16cid:durableId="2027555722">
    <w:abstractNumId w:val="29"/>
  </w:num>
  <w:num w:numId="21" w16cid:durableId="926497893">
    <w:abstractNumId w:val="35"/>
  </w:num>
  <w:num w:numId="22" w16cid:durableId="709917871">
    <w:abstractNumId w:val="13"/>
  </w:num>
  <w:num w:numId="23" w16cid:durableId="663627065">
    <w:abstractNumId w:val="25"/>
  </w:num>
  <w:num w:numId="24" w16cid:durableId="260532055">
    <w:abstractNumId w:val="23"/>
  </w:num>
  <w:num w:numId="25" w16cid:durableId="882132444">
    <w:abstractNumId w:val="6"/>
  </w:num>
  <w:num w:numId="26" w16cid:durableId="1639605542">
    <w:abstractNumId w:val="38"/>
  </w:num>
  <w:num w:numId="27" w16cid:durableId="445392684">
    <w:abstractNumId w:val="4"/>
  </w:num>
  <w:num w:numId="28" w16cid:durableId="1542132756">
    <w:abstractNumId w:val="24"/>
  </w:num>
  <w:num w:numId="29" w16cid:durableId="918710959">
    <w:abstractNumId w:val="43"/>
  </w:num>
  <w:num w:numId="30" w16cid:durableId="1567688280">
    <w:abstractNumId w:val="43"/>
    <w:lvlOverride w:ilvl="0">
      <w:startOverride w:val="5"/>
    </w:lvlOverride>
    <w:lvlOverride w:ilvl="1">
      <w:startOverride w:val="6"/>
    </w:lvlOverride>
  </w:num>
  <w:num w:numId="31" w16cid:durableId="1082797466">
    <w:abstractNumId w:val="30"/>
  </w:num>
  <w:num w:numId="32" w16cid:durableId="1372605896">
    <w:abstractNumId w:val="0"/>
  </w:num>
  <w:num w:numId="33" w16cid:durableId="1565097140">
    <w:abstractNumId w:val="34"/>
  </w:num>
  <w:num w:numId="34" w16cid:durableId="1114863744">
    <w:abstractNumId w:val="14"/>
  </w:num>
  <w:num w:numId="35" w16cid:durableId="868448364">
    <w:abstractNumId w:val="27"/>
  </w:num>
  <w:num w:numId="36" w16cid:durableId="1894534843">
    <w:abstractNumId w:val="28"/>
  </w:num>
  <w:num w:numId="37" w16cid:durableId="1839226563">
    <w:abstractNumId w:val="36"/>
  </w:num>
  <w:num w:numId="38" w16cid:durableId="636960206">
    <w:abstractNumId w:val="7"/>
  </w:num>
  <w:num w:numId="39" w16cid:durableId="958949752">
    <w:abstractNumId w:val="22"/>
  </w:num>
  <w:num w:numId="40" w16cid:durableId="1605108260">
    <w:abstractNumId w:val="15"/>
  </w:num>
  <w:num w:numId="41" w16cid:durableId="375014078">
    <w:abstractNumId w:val="12"/>
  </w:num>
  <w:num w:numId="42" w16cid:durableId="1182863415">
    <w:abstractNumId w:val="37"/>
  </w:num>
  <w:num w:numId="43" w16cid:durableId="1860926887">
    <w:abstractNumId w:val="41"/>
  </w:num>
  <w:num w:numId="44" w16cid:durableId="1887985273">
    <w:abstractNumId w:val="5"/>
  </w:num>
  <w:num w:numId="45" w16cid:durableId="476188315">
    <w:abstractNumId w:val="8"/>
  </w:num>
  <w:num w:numId="46" w16cid:durableId="1844009837">
    <w:abstractNumId w:val="33"/>
  </w:num>
  <w:num w:numId="47" w16cid:durableId="464662214">
    <w:abstractNumId w:val="39"/>
  </w:num>
  <w:num w:numId="48" w16cid:durableId="847599696">
    <w:abstractNumId w:val="20"/>
  </w:num>
  <w:numIdMacAtCleanup w:val="24"/>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sl="http://schemas.openxmlformats.org/schemaLibrary/2006/main" mc:Ignorable="w14 w15 w16se w16cid w16 w16cex w16sdtdh w16du">
  <w:zoom w:percent="80"/>
  <w:defaultTabStop w:val="720"/>
  <w:characterSpacingControl w:val="doNotCompress"/>
  <w:hdrShapeDefaults>
    <o:shapedefaults v:ext="edit" spidmax="2050"/>
  </w:hdrShapeDefaults>
  <w:footnotePr>
    <w:footnote w:id="-1"/>
    <w:footnote w:id="0"/>
    <w:footnote w:id="1"/>
  </w:footnotePr>
  <w:endnotePr>
    <w:endnote w:id="-1"/>
    <w:endnote w:id="0"/>
    <w:endnote w:id="1"/>
  </w:endnotePr>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0"/>
  </w:compat>
  <w:rsids>
    <w:rsidRoot w:val="0065690B"/>
    <w:rsid w:val="000000D1"/>
    <w:rsid w:val="00000471"/>
    <w:rsid w:val="000009D7"/>
    <w:rsid w:val="00000A41"/>
    <w:rsid w:val="00000D0A"/>
    <w:rsid w:val="00000D25"/>
    <w:rsid w:val="00000D43"/>
    <w:rsid w:val="00001188"/>
    <w:rsid w:val="00001AC5"/>
    <w:rsid w:val="00001B51"/>
    <w:rsid w:val="0000291F"/>
    <w:rsid w:val="00002F76"/>
    <w:rsid w:val="00003248"/>
    <w:rsid w:val="000032A5"/>
    <w:rsid w:val="000032EE"/>
    <w:rsid w:val="00003874"/>
    <w:rsid w:val="00003A2E"/>
    <w:rsid w:val="0000408D"/>
    <w:rsid w:val="00004661"/>
    <w:rsid w:val="0000486C"/>
    <w:rsid w:val="00004B2E"/>
    <w:rsid w:val="00004B46"/>
    <w:rsid w:val="00004CE5"/>
    <w:rsid w:val="00004CE7"/>
    <w:rsid w:val="00005560"/>
    <w:rsid w:val="00005FBB"/>
    <w:rsid w:val="000068EC"/>
    <w:rsid w:val="00006C10"/>
    <w:rsid w:val="00006EFA"/>
    <w:rsid w:val="000071E4"/>
    <w:rsid w:val="00007208"/>
    <w:rsid w:val="000072C0"/>
    <w:rsid w:val="000076E4"/>
    <w:rsid w:val="00007A7B"/>
    <w:rsid w:val="00007BA0"/>
    <w:rsid w:val="00007C20"/>
    <w:rsid w:val="00007E8E"/>
    <w:rsid w:val="00007E98"/>
    <w:rsid w:val="00010048"/>
    <w:rsid w:val="00010510"/>
    <w:rsid w:val="00011164"/>
    <w:rsid w:val="000115BA"/>
    <w:rsid w:val="0001188B"/>
    <w:rsid w:val="00011AD1"/>
    <w:rsid w:val="00012291"/>
    <w:rsid w:val="0001250C"/>
    <w:rsid w:val="00012534"/>
    <w:rsid w:val="00013269"/>
    <w:rsid w:val="0001348F"/>
    <w:rsid w:val="000146E1"/>
    <w:rsid w:val="00014D9E"/>
    <w:rsid w:val="00016134"/>
    <w:rsid w:val="00016D10"/>
    <w:rsid w:val="00016E5D"/>
    <w:rsid w:val="000177D5"/>
    <w:rsid w:val="0001797B"/>
    <w:rsid w:val="00017B4A"/>
    <w:rsid w:val="00017FA2"/>
    <w:rsid w:val="00020179"/>
    <w:rsid w:val="000203E4"/>
    <w:rsid w:val="0002068A"/>
    <w:rsid w:val="00020885"/>
    <w:rsid w:val="00020D26"/>
    <w:rsid w:val="00020DA5"/>
    <w:rsid w:val="00020F64"/>
    <w:rsid w:val="00021136"/>
    <w:rsid w:val="0002166C"/>
    <w:rsid w:val="00021AF0"/>
    <w:rsid w:val="00022557"/>
    <w:rsid w:val="00022FF0"/>
    <w:rsid w:val="00023208"/>
    <w:rsid w:val="00023E6B"/>
    <w:rsid w:val="0002403C"/>
    <w:rsid w:val="00024117"/>
    <w:rsid w:val="00024150"/>
    <w:rsid w:val="000241EB"/>
    <w:rsid w:val="00024B71"/>
    <w:rsid w:val="00025297"/>
    <w:rsid w:val="000256CF"/>
    <w:rsid w:val="0002596C"/>
    <w:rsid w:val="00025F80"/>
    <w:rsid w:val="000265AE"/>
    <w:rsid w:val="00026CBC"/>
    <w:rsid w:val="00026D4E"/>
    <w:rsid w:val="00026D7F"/>
    <w:rsid w:val="00027027"/>
    <w:rsid w:val="00027200"/>
    <w:rsid w:val="000277F0"/>
    <w:rsid w:val="00027AD4"/>
    <w:rsid w:val="00027DDF"/>
    <w:rsid w:val="00027E33"/>
    <w:rsid w:val="00030290"/>
    <w:rsid w:val="000306A1"/>
    <w:rsid w:val="000306A3"/>
    <w:rsid w:val="000306DC"/>
    <w:rsid w:val="00030BC0"/>
    <w:rsid w:val="0003168D"/>
    <w:rsid w:val="00031869"/>
    <w:rsid w:val="00031A0D"/>
    <w:rsid w:val="00031BA9"/>
    <w:rsid w:val="00031CB3"/>
    <w:rsid w:val="00031F9E"/>
    <w:rsid w:val="00031FA8"/>
    <w:rsid w:val="00032036"/>
    <w:rsid w:val="00032219"/>
    <w:rsid w:val="00032473"/>
    <w:rsid w:val="0003264C"/>
    <w:rsid w:val="0003276C"/>
    <w:rsid w:val="000332FB"/>
    <w:rsid w:val="000336F4"/>
    <w:rsid w:val="000340D6"/>
    <w:rsid w:val="00034368"/>
    <w:rsid w:val="0003469C"/>
    <w:rsid w:val="000349DB"/>
    <w:rsid w:val="00034E74"/>
    <w:rsid w:val="000350C9"/>
    <w:rsid w:val="000354BF"/>
    <w:rsid w:val="000354DC"/>
    <w:rsid w:val="00035EAD"/>
    <w:rsid w:val="0003605C"/>
    <w:rsid w:val="000360B8"/>
    <w:rsid w:val="000364D5"/>
    <w:rsid w:val="00036B7E"/>
    <w:rsid w:val="00036D6B"/>
    <w:rsid w:val="00036ED7"/>
    <w:rsid w:val="00037117"/>
    <w:rsid w:val="0003750C"/>
    <w:rsid w:val="0003750F"/>
    <w:rsid w:val="0003773A"/>
    <w:rsid w:val="000377B7"/>
    <w:rsid w:val="00037809"/>
    <w:rsid w:val="00037B92"/>
    <w:rsid w:val="0004024C"/>
    <w:rsid w:val="000402AF"/>
    <w:rsid w:val="0004040C"/>
    <w:rsid w:val="000405A6"/>
    <w:rsid w:val="00040DB6"/>
    <w:rsid w:val="0004101F"/>
    <w:rsid w:val="00041321"/>
    <w:rsid w:val="00041488"/>
    <w:rsid w:val="00041C71"/>
    <w:rsid w:val="00042A3A"/>
    <w:rsid w:val="00042E8A"/>
    <w:rsid w:val="00043157"/>
    <w:rsid w:val="00043503"/>
    <w:rsid w:val="0004363A"/>
    <w:rsid w:val="0004369D"/>
    <w:rsid w:val="00043A01"/>
    <w:rsid w:val="00043AD3"/>
    <w:rsid w:val="00043CD9"/>
    <w:rsid w:val="0004431A"/>
    <w:rsid w:val="00044523"/>
    <w:rsid w:val="000445D2"/>
    <w:rsid w:val="00044AFA"/>
    <w:rsid w:val="00044C0C"/>
    <w:rsid w:val="000453E8"/>
    <w:rsid w:val="000458A5"/>
    <w:rsid w:val="00045B38"/>
    <w:rsid w:val="00045E8D"/>
    <w:rsid w:val="00045ECD"/>
    <w:rsid w:val="00046026"/>
    <w:rsid w:val="00046C07"/>
    <w:rsid w:val="00046C51"/>
    <w:rsid w:val="00046F1F"/>
    <w:rsid w:val="00047126"/>
    <w:rsid w:val="00047C5E"/>
    <w:rsid w:val="00047CD6"/>
    <w:rsid w:val="000505EE"/>
    <w:rsid w:val="000505F7"/>
    <w:rsid w:val="0005079A"/>
    <w:rsid w:val="000507DA"/>
    <w:rsid w:val="0005084F"/>
    <w:rsid w:val="00050857"/>
    <w:rsid w:val="00050ACC"/>
    <w:rsid w:val="00051554"/>
    <w:rsid w:val="0005155B"/>
    <w:rsid w:val="000515FE"/>
    <w:rsid w:val="00051C74"/>
    <w:rsid w:val="00052134"/>
    <w:rsid w:val="00052536"/>
    <w:rsid w:val="00052BCD"/>
    <w:rsid w:val="00052FCE"/>
    <w:rsid w:val="00053066"/>
    <w:rsid w:val="0005313D"/>
    <w:rsid w:val="0005317E"/>
    <w:rsid w:val="000535B6"/>
    <w:rsid w:val="00053D67"/>
    <w:rsid w:val="0005405A"/>
    <w:rsid w:val="00055518"/>
    <w:rsid w:val="0005569A"/>
    <w:rsid w:val="00055826"/>
    <w:rsid w:val="00055861"/>
    <w:rsid w:val="00055FD7"/>
    <w:rsid w:val="000560B2"/>
    <w:rsid w:val="0005637E"/>
    <w:rsid w:val="00056539"/>
    <w:rsid w:val="00056840"/>
    <w:rsid w:val="00056907"/>
    <w:rsid w:val="00056C2B"/>
    <w:rsid w:val="00057032"/>
    <w:rsid w:val="000570C9"/>
    <w:rsid w:val="00060298"/>
    <w:rsid w:val="0006039D"/>
    <w:rsid w:val="000617B4"/>
    <w:rsid w:val="00061AC4"/>
    <w:rsid w:val="00062044"/>
    <w:rsid w:val="000622BD"/>
    <w:rsid w:val="00062485"/>
    <w:rsid w:val="000625A5"/>
    <w:rsid w:val="00062E34"/>
    <w:rsid w:val="0006312C"/>
    <w:rsid w:val="000635D5"/>
    <w:rsid w:val="00063691"/>
    <w:rsid w:val="00063BA8"/>
    <w:rsid w:val="00063D40"/>
    <w:rsid w:val="00063EBF"/>
    <w:rsid w:val="00064E18"/>
    <w:rsid w:val="00064E49"/>
    <w:rsid w:val="00065CE0"/>
    <w:rsid w:val="0006652B"/>
    <w:rsid w:val="000668F0"/>
    <w:rsid w:val="00066C30"/>
    <w:rsid w:val="00067026"/>
    <w:rsid w:val="0006713C"/>
    <w:rsid w:val="000672E9"/>
    <w:rsid w:val="00067855"/>
    <w:rsid w:val="00067A88"/>
    <w:rsid w:val="00067C38"/>
    <w:rsid w:val="00067D96"/>
    <w:rsid w:val="000708FA"/>
    <w:rsid w:val="00070B30"/>
    <w:rsid w:val="000713A2"/>
    <w:rsid w:val="000714D9"/>
    <w:rsid w:val="000715A2"/>
    <w:rsid w:val="000716FF"/>
    <w:rsid w:val="000718A3"/>
    <w:rsid w:val="00071C65"/>
    <w:rsid w:val="0007281B"/>
    <w:rsid w:val="00072B3C"/>
    <w:rsid w:val="00072F59"/>
    <w:rsid w:val="00073120"/>
    <w:rsid w:val="00073143"/>
    <w:rsid w:val="0007325F"/>
    <w:rsid w:val="00073596"/>
    <w:rsid w:val="00073823"/>
    <w:rsid w:val="00073A3B"/>
    <w:rsid w:val="0007496B"/>
    <w:rsid w:val="00074EEC"/>
    <w:rsid w:val="0007504F"/>
    <w:rsid w:val="000758E5"/>
    <w:rsid w:val="00075BD0"/>
    <w:rsid w:val="00075D41"/>
    <w:rsid w:val="00075EA4"/>
    <w:rsid w:val="00077133"/>
    <w:rsid w:val="000776FD"/>
    <w:rsid w:val="000777E2"/>
    <w:rsid w:val="00077D23"/>
    <w:rsid w:val="0008004D"/>
    <w:rsid w:val="000800AA"/>
    <w:rsid w:val="0008015C"/>
    <w:rsid w:val="000803BB"/>
    <w:rsid w:val="00080968"/>
    <w:rsid w:val="00080BC5"/>
    <w:rsid w:val="00080D61"/>
    <w:rsid w:val="00080E52"/>
    <w:rsid w:val="00081254"/>
    <w:rsid w:val="0008182B"/>
    <w:rsid w:val="00081869"/>
    <w:rsid w:val="00081B76"/>
    <w:rsid w:val="00081FCE"/>
    <w:rsid w:val="000829DE"/>
    <w:rsid w:val="00082C25"/>
    <w:rsid w:val="00082D87"/>
    <w:rsid w:val="00082EC7"/>
    <w:rsid w:val="00083660"/>
    <w:rsid w:val="000836AF"/>
    <w:rsid w:val="00083A4A"/>
    <w:rsid w:val="00083B84"/>
    <w:rsid w:val="00083BA8"/>
    <w:rsid w:val="00083D26"/>
    <w:rsid w:val="00083DF1"/>
    <w:rsid w:val="00083EBE"/>
    <w:rsid w:val="0008412A"/>
    <w:rsid w:val="000841DF"/>
    <w:rsid w:val="00084311"/>
    <w:rsid w:val="0008475F"/>
    <w:rsid w:val="00084C69"/>
    <w:rsid w:val="00084C8A"/>
    <w:rsid w:val="00086491"/>
    <w:rsid w:val="00086749"/>
    <w:rsid w:val="00087072"/>
    <w:rsid w:val="000878C6"/>
    <w:rsid w:val="00087986"/>
    <w:rsid w:val="00087A56"/>
    <w:rsid w:val="00090831"/>
    <w:rsid w:val="000909D9"/>
    <w:rsid w:val="00090DA4"/>
    <w:rsid w:val="00090E48"/>
    <w:rsid w:val="000918D0"/>
    <w:rsid w:val="00091DB7"/>
    <w:rsid w:val="000922C8"/>
    <w:rsid w:val="00092379"/>
    <w:rsid w:val="000928EB"/>
    <w:rsid w:val="000934BE"/>
    <w:rsid w:val="00093862"/>
    <w:rsid w:val="000940D0"/>
    <w:rsid w:val="0009434D"/>
    <w:rsid w:val="0009481B"/>
    <w:rsid w:val="00094ACE"/>
    <w:rsid w:val="00094F36"/>
    <w:rsid w:val="000950D7"/>
    <w:rsid w:val="00095122"/>
    <w:rsid w:val="00095412"/>
    <w:rsid w:val="00095DD7"/>
    <w:rsid w:val="00095EC5"/>
    <w:rsid w:val="00096683"/>
    <w:rsid w:val="00096C80"/>
    <w:rsid w:val="00096DCD"/>
    <w:rsid w:val="00096E70"/>
    <w:rsid w:val="00096FC4"/>
    <w:rsid w:val="00096FF6"/>
    <w:rsid w:val="000973D5"/>
    <w:rsid w:val="00097405"/>
    <w:rsid w:val="0009765A"/>
    <w:rsid w:val="0009791D"/>
    <w:rsid w:val="00097922"/>
    <w:rsid w:val="000A003C"/>
    <w:rsid w:val="000A0153"/>
    <w:rsid w:val="000A07C7"/>
    <w:rsid w:val="000A0A50"/>
    <w:rsid w:val="000A0BE0"/>
    <w:rsid w:val="000A0C2F"/>
    <w:rsid w:val="000A19AB"/>
    <w:rsid w:val="000A21A6"/>
    <w:rsid w:val="000A229F"/>
    <w:rsid w:val="000A2971"/>
    <w:rsid w:val="000A299B"/>
    <w:rsid w:val="000A299D"/>
    <w:rsid w:val="000A2A19"/>
    <w:rsid w:val="000A3246"/>
    <w:rsid w:val="000A356A"/>
    <w:rsid w:val="000A38CB"/>
    <w:rsid w:val="000A39A1"/>
    <w:rsid w:val="000A39E8"/>
    <w:rsid w:val="000A3B5C"/>
    <w:rsid w:val="000A3FA1"/>
    <w:rsid w:val="000A3FC1"/>
    <w:rsid w:val="000A43D8"/>
    <w:rsid w:val="000A4717"/>
    <w:rsid w:val="000A4B69"/>
    <w:rsid w:val="000A4B91"/>
    <w:rsid w:val="000A4E1E"/>
    <w:rsid w:val="000A56CF"/>
    <w:rsid w:val="000A5BE8"/>
    <w:rsid w:val="000A5EE7"/>
    <w:rsid w:val="000A647A"/>
    <w:rsid w:val="000A64BD"/>
    <w:rsid w:val="000A6592"/>
    <w:rsid w:val="000A66B6"/>
    <w:rsid w:val="000A6947"/>
    <w:rsid w:val="000A6B20"/>
    <w:rsid w:val="000A6F5D"/>
    <w:rsid w:val="000A7016"/>
    <w:rsid w:val="000A7308"/>
    <w:rsid w:val="000A742D"/>
    <w:rsid w:val="000A7749"/>
    <w:rsid w:val="000A78A8"/>
    <w:rsid w:val="000A7DE0"/>
    <w:rsid w:val="000B0113"/>
    <w:rsid w:val="000B0836"/>
    <w:rsid w:val="000B105E"/>
    <w:rsid w:val="000B17BF"/>
    <w:rsid w:val="000B1F07"/>
    <w:rsid w:val="000B215E"/>
    <w:rsid w:val="000B2B1C"/>
    <w:rsid w:val="000B2EB5"/>
    <w:rsid w:val="000B2EBD"/>
    <w:rsid w:val="000B2F30"/>
    <w:rsid w:val="000B3191"/>
    <w:rsid w:val="000B35CB"/>
    <w:rsid w:val="000B3D3D"/>
    <w:rsid w:val="000B4288"/>
    <w:rsid w:val="000B4C10"/>
    <w:rsid w:val="000B4CB0"/>
    <w:rsid w:val="000B4CBB"/>
    <w:rsid w:val="000B5425"/>
    <w:rsid w:val="000B567F"/>
    <w:rsid w:val="000B5864"/>
    <w:rsid w:val="000B5903"/>
    <w:rsid w:val="000B5A1B"/>
    <w:rsid w:val="000B5D8A"/>
    <w:rsid w:val="000B5F46"/>
    <w:rsid w:val="000B6D12"/>
    <w:rsid w:val="000B73F8"/>
    <w:rsid w:val="000B7485"/>
    <w:rsid w:val="000B7D46"/>
    <w:rsid w:val="000C0ABD"/>
    <w:rsid w:val="000C1412"/>
    <w:rsid w:val="000C15BF"/>
    <w:rsid w:val="000C1B99"/>
    <w:rsid w:val="000C1C1D"/>
    <w:rsid w:val="000C22EB"/>
    <w:rsid w:val="000C280D"/>
    <w:rsid w:val="000C3095"/>
    <w:rsid w:val="000C3185"/>
    <w:rsid w:val="000C322C"/>
    <w:rsid w:val="000C33E2"/>
    <w:rsid w:val="000C372B"/>
    <w:rsid w:val="000C3DDD"/>
    <w:rsid w:val="000C3F55"/>
    <w:rsid w:val="000C4447"/>
    <w:rsid w:val="000C44ED"/>
    <w:rsid w:val="000C464C"/>
    <w:rsid w:val="000C490E"/>
    <w:rsid w:val="000C49A6"/>
    <w:rsid w:val="000C4FE7"/>
    <w:rsid w:val="000C5254"/>
    <w:rsid w:val="000C5326"/>
    <w:rsid w:val="000C56ED"/>
    <w:rsid w:val="000C5A2D"/>
    <w:rsid w:val="000C5F22"/>
    <w:rsid w:val="000C62A8"/>
    <w:rsid w:val="000C646A"/>
    <w:rsid w:val="000C6681"/>
    <w:rsid w:val="000C672C"/>
    <w:rsid w:val="000C6BA7"/>
    <w:rsid w:val="000C6BE7"/>
    <w:rsid w:val="000C6E26"/>
    <w:rsid w:val="000C72C2"/>
    <w:rsid w:val="000C730D"/>
    <w:rsid w:val="000C73DF"/>
    <w:rsid w:val="000C76F3"/>
    <w:rsid w:val="000C78FF"/>
    <w:rsid w:val="000C7C28"/>
    <w:rsid w:val="000C7DA2"/>
    <w:rsid w:val="000D0539"/>
    <w:rsid w:val="000D074A"/>
    <w:rsid w:val="000D0980"/>
    <w:rsid w:val="000D0CC9"/>
    <w:rsid w:val="000D0EDF"/>
    <w:rsid w:val="000D106B"/>
    <w:rsid w:val="000D13CD"/>
    <w:rsid w:val="000D185B"/>
    <w:rsid w:val="000D1FD3"/>
    <w:rsid w:val="000D27C2"/>
    <w:rsid w:val="000D2E18"/>
    <w:rsid w:val="000D322D"/>
    <w:rsid w:val="000D3744"/>
    <w:rsid w:val="000D3A7E"/>
    <w:rsid w:val="000D3FA5"/>
    <w:rsid w:val="000D42A3"/>
    <w:rsid w:val="000D4752"/>
    <w:rsid w:val="000D4B50"/>
    <w:rsid w:val="000D5222"/>
    <w:rsid w:val="000D5481"/>
    <w:rsid w:val="000D583B"/>
    <w:rsid w:val="000D6886"/>
    <w:rsid w:val="000D6A57"/>
    <w:rsid w:val="000D6D8B"/>
    <w:rsid w:val="000D77F1"/>
    <w:rsid w:val="000D7A6A"/>
    <w:rsid w:val="000E041B"/>
    <w:rsid w:val="000E0A7B"/>
    <w:rsid w:val="000E18CB"/>
    <w:rsid w:val="000E1F58"/>
    <w:rsid w:val="000E204F"/>
    <w:rsid w:val="000E292C"/>
    <w:rsid w:val="000E2945"/>
    <w:rsid w:val="000E2AD4"/>
    <w:rsid w:val="000E2D3F"/>
    <w:rsid w:val="000E2FAC"/>
    <w:rsid w:val="000E3666"/>
    <w:rsid w:val="000E37D3"/>
    <w:rsid w:val="000E3E82"/>
    <w:rsid w:val="000E48F8"/>
    <w:rsid w:val="000E4D3D"/>
    <w:rsid w:val="000E4E3A"/>
    <w:rsid w:val="000E5C98"/>
    <w:rsid w:val="000E5DF5"/>
    <w:rsid w:val="000E5E96"/>
    <w:rsid w:val="000E5EA4"/>
    <w:rsid w:val="000E6012"/>
    <w:rsid w:val="000E60F4"/>
    <w:rsid w:val="000E64B4"/>
    <w:rsid w:val="000E65F6"/>
    <w:rsid w:val="000E6663"/>
    <w:rsid w:val="000E6667"/>
    <w:rsid w:val="000E6783"/>
    <w:rsid w:val="000E6B48"/>
    <w:rsid w:val="000E6C1B"/>
    <w:rsid w:val="000E6C31"/>
    <w:rsid w:val="000E6E68"/>
    <w:rsid w:val="000E733F"/>
    <w:rsid w:val="000E7530"/>
    <w:rsid w:val="000E78BB"/>
    <w:rsid w:val="000E7D57"/>
    <w:rsid w:val="000F03B6"/>
    <w:rsid w:val="000F05B5"/>
    <w:rsid w:val="000F0E35"/>
    <w:rsid w:val="000F0F31"/>
    <w:rsid w:val="000F221E"/>
    <w:rsid w:val="000F2562"/>
    <w:rsid w:val="000F2678"/>
    <w:rsid w:val="000F2CFB"/>
    <w:rsid w:val="000F33FB"/>
    <w:rsid w:val="000F3569"/>
    <w:rsid w:val="000F3B5F"/>
    <w:rsid w:val="000F3CC7"/>
    <w:rsid w:val="000F3E51"/>
    <w:rsid w:val="000F4558"/>
    <w:rsid w:val="000F4777"/>
    <w:rsid w:val="000F477B"/>
    <w:rsid w:val="000F48F8"/>
    <w:rsid w:val="000F4DD9"/>
    <w:rsid w:val="000F4FDD"/>
    <w:rsid w:val="000F5B14"/>
    <w:rsid w:val="000F5B1C"/>
    <w:rsid w:val="000F5F82"/>
    <w:rsid w:val="000F640F"/>
    <w:rsid w:val="000F647F"/>
    <w:rsid w:val="000F7260"/>
    <w:rsid w:val="000F7B0B"/>
    <w:rsid w:val="00100035"/>
    <w:rsid w:val="0010029C"/>
    <w:rsid w:val="001007E1"/>
    <w:rsid w:val="00100BFB"/>
    <w:rsid w:val="00100DFA"/>
    <w:rsid w:val="001014C8"/>
    <w:rsid w:val="0010173A"/>
    <w:rsid w:val="00101882"/>
    <w:rsid w:val="001019D6"/>
    <w:rsid w:val="0010244D"/>
    <w:rsid w:val="001024E7"/>
    <w:rsid w:val="00102B8A"/>
    <w:rsid w:val="001033C9"/>
    <w:rsid w:val="00103918"/>
    <w:rsid w:val="00103944"/>
    <w:rsid w:val="00103F28"/>
    <w:rsid w:val="00104275"/>
    <w:rsid w:val="001044D2"/>
    <w:rsid w:val="00104624"/>
    <w:rsid w:val="00104A53"/>
    <w:rsid w:val="00104DBD"/>
    <w:rsid w:val="00104EFF"/>
    <w:rsid w:val="0010521E"/>
    <w:rsid w:val="00105283"/>
    <w:rsid w:val="0010547B"/>
    <w:rsid w:val="001056C6"/>
    <w:rsid w:val="001057FD"/>
    <w:rsid w:val="00105B38"/>
    <w:rsid w:val="00105E40"/>
    <w:rsid w:val="00105F78"/>
    <w:rsid w:val="001061CC"/>
    <w:rsid w:val="001063F7"/>
    <w:rsid w:val="00106B6D"/>
    <w:rsid w:val="00106BF7"/>
    <w:rsid w:val="00107298"/>
    <w:rsid w:val="00107376"/>
    <w:rsid w:val="001075A7"/>
    <w:rsid w:val="00107B23"/>
    <w:rsid w:val="00107CB7"/>
    <w:rsid w:val="00107E4D"/>
    <w:rsid w:val="001100A3"/>
    <w:rsid w:val="001101B3"/>
    <w:rsid w:val="00110219"/>
    <w:rsid w:val="00110C0C"/>
    <w:rsid w:val="00110FBD"/>
    <w:rsid w:val="00111074"/>
    <w:rsid w:val="00111235"/>
    <w:rsid w:val="0011135B"/>
    <w:rsid w:val="001115E1"/>
    <w:rsid w:val="00111CA1"/>
    <w:rsid w:val="00111D2C"/>
    <w:rsid w:val="0011204D"/>
    <w:rsid w:val="00112190"/>
    <w:rsid w:val="001122D7"/>
    <w:rsid w:val="00112301"/>
    <w:rsid w:val="0011257D"/>
    <w:rsid w:val="001126CB"/>
    <w:rsid w:val="001129D1"/>
    <w:rsid w:val="001129EC"/>
    <w:rsid w:val="00112DE2"/>
    <w:rsid w:val="001132B0"/>
    <w:rsid w:val="0011354F"/>
    <w:rsid w:val="00113B0B"/>
    <w:rsid w:val="00113CC4"/>
    <w:rsid w:val="00113EA1"/>
    <w:rsid w:val="00113F43"/>
    <w:rsid w:val="00114A30"/>
    <w:rsid w:val="00114C2A"/>
    <w:rsid w:val="00114CCB"/>
    <w:rsid w:val="00114DA8"/>
    <w:rsid w:val="00115206"/>
    <w:rsid w:val="0011583B"/>
    <w:rsid w:val="00115880"/>
    <w:rsid w:val="00115B3F"/>
    <w:rsid w:val="00115D7B"/>
    <w:rsid w:val="00116292"/>
    <w:rsid w:val="00116774"/>
    <w:rsid w:val="00116812"/>
    <w:rsid w:val="00117069"/>
    <w:rsid w:val="001171F1"/>
    <w:rsid w:val="001172FF"/>
    <w:rsid w:val="001173FA"/>
    <w:rsid w:val="00117440"/>
    <w:rsid w:val="00117514"/>
    <w:rsid w:val="001176F1"/>
    <w:rsid w:val="00117785"/>
    <w:rsid w:val="001204EB"/>
    <w:rsid w:val="00120E67"/>
    <w:rsid w:val="00120EEF"/>
    <w:rsid w:val="001213DC"/>
    <w:rsid w:val="00121458"/>
    <w:rsid w:val="0012213A"/>
    <w:rsid w:val="00122B17"/>
    <w:rsid w:val="00122D52"/>
    <w:rsid w:val="001232CC"/>
    <w:rsid w:val="00123539"/>
    <w:rsid w:val="00123C9F"/>
    <w:rsid w:val="00123D5B"/>
    <w:rsid w:val="00123EAA"/>
    <w:rsid w:val="001242A9"/>
    <w:rsid w:val="0012442D"/>
    <w:rsid w:val="00124886"/>
    <w:rsid w:val="00124AE9"/>
    <w:rsid w:val="001250FD"/>
    <w:rsid w:val="001251B3"/>
    <w:rsid w:val="001251BE"/>
    <w:rsid w:val="001253A9"/>
    <w:rsid w:val="001258B8"/>
    <w:rsid w:val="001258CD"/>
    <w:rsid w:val="00125E9F"/>
    <w:rsid w:val="001265FC"/>
    <w:rsid w:val="00126742"/>
    <w:rsid w:val="00126806"/>
    <w:rsid w:val="001268C2"/>
    <w:rsid w:val="001270E1"/>
    <w:rsid w:val="001272D9"/>
    <w:rsid w:val="00127474"/>
    <w:rsid w:val="0012758E"/>
    <w:rsid w:val="001275C4"/>
    <w:rsid w:val="001278F0"/>
    <w:rsid w:val="00130000"/>
    <w:rsid w:val="001300C5"/>
    <w:rsid w:val="00130FC1"/>
    <w:rsid w:val="0013148F"/>
    <w:rsid w:val="001316F8"/>
    <w:rsid w:val="001318E4"/>
    <w:rsid w:val="00131C60"/>
    <w:rsid w:val="00131D07"/>
    <w:rsid w:val="00131D1C"/>
    <w:rsid w:val="001322EC"/>
    <w:rsid w:val="001325D0"/>
    <w:rsid w:val="00132649"/>
    <w:rsid w:val="00132939"/>
    <w:rsid w:val="00132FE7"/>
    <w:rsid w:val="00133116"/>
    <w:rsid w:val="00133549"/>
    <w:rsid w:val="00133913"/>
    <w:rsid w:val="00133D66"/>
    <w:rsid w:val="00134241"/>
    <w:rsid w:val="001344CC"/>
    <w:rsid w:val="00134518"/>
    <w:rsid w:val="00134C74"/>
    <w:rsid w:val="001361EE"/>
    <w:rsid w:val="00136832"/>
    <w:rsid w:val="00136CED"/>
    <w:rsid w:val="00137111"/>
    <w:rsid w:val="00140316"/>
    <w:rsid w:val="00140378"/>
    <w:rsid w:val="001404F2"/>
    <w:rsid w:val="0014064A"/>
    <w:rsid w:val="00140974"/>
    <w:rsid w:val="00140A7E"/>
    <w:rsid w:val="00141507"/>
    <w:rsid w:val="001417D8"/>
    <w:rsid w:val="00141EA2"/>
    <w:rsid w:val="00142855"/>
    <w:rsid w:val="00142D2C"/>
    <w:rsid w:val="001431CC"/>
    <w:rsid w:val="0014370D"/>
    <w:rsid w:val="001438A6"/>
    <w:rsid w:val="0014392C"/>
    <w:rsid w:val="00143AF9"/>
    <w:rsid w:val="001442C6"/>
    <w:rsid w:val="0014475D"/>
    <w:rsid w:val="00144A2F"/>
    <w:rsid w:val="001454E0"/>
    <w:rsid w:val="00145513"/>
    <w:rsid w:val="0014592C"/>
    <w:rsid w:val="00146303"/>
    <w:rsid w:val="0014631C"/>
    <w:rsid w:val="001467C4"/>
    <w:rsid w:val="00146A58"/>
    <w:rsid w:val="001470E1"/>
    <w:rsid w:val="00147ADD"/>
    <w:rsid w:val="00147BB9"/>
    <w:rsid w:val="00147E03"/>
    <w:rsid w:val="00147E59"/>
    <w:rsid w:val="001506B9"/>
    <w:rsid w:val="00150765"/>
    <w:rsid w:val="00150B70"/>
    <w:rsid w:val="00150C87"/>
    <w:rsid w:val="00151029"/>
    <w:rsid w:val="001517EB"/>
    <w:rsid w:val="00151900"/>
    <w:rsid w:val="00151A3F"/>
    <w:rsid w:val="00151C64"/>
    <w:rsid w:val="00151F64"/>
    <w:rsid w:val="00152831"/>
    <w:rsid w:val="00152B27"/>
    <w:rsid w:val="00152D21"/>
    <w:rsid w:val="00152ED1"/>
    <w:rsid w:val="00153038"/>
    <w:rsid w:val="00153160"/>
    <w:rsid w:val="00153440"/>
    <w:rsid w:val="0015421F"/>
    <w:rsid w:val="00154302"/>
    <w:rsid w:val="00154423"/>
    <w:rsid w:val="0015449A"/>
    <w:rsid w:val="001547F1"/>
    <w:rsid w:val="00154976"/>
    <w:rsid w:val="001549D5"/>
    <w:rsid w:val="00154F4C"/>
    <w:rsid w:val="00155561"/>
    <w:rsid w:val="001556E6"/>
    <w:rsid w:val="0015574B"/>
    <w:rsid w:val="0015596A"/>
    <w:rsid w:val="00156287"/>
    <w:rsid w:val="00156361"/>
    <w:rsid w:val="001563D8"/>
    <w:rsid w:val="0015675A"/>
    <w:rsid w:val="0015676F"/>
    <w:rsid w:val="00156C13"/>
    <w:rsid w:val="001570CF"/>
    <w:rsid w:val="001573FC"/>
    <w:rsid w:val="00157558"/>
    <w:rsid w:val="0015759B"/>
    <w:rsid w:val="00160CDC"/>
    <w:rsid w:val="00160CF0"/>
    <w:rsid w:val="00160D40"/>
    <w:rsid w:val="00160E0D"/>
    <w:rsid w:val="00161066"/>
    <w:rsid w:val="001631CA"/>
    <w:rsid w:val="001638CD"/>
    <w:rsid w:val="00163C56"/>
    <w:rsid w:val="00163FC9"/>
    <w:rsid w:val="001641B5"/>
    <w:rsid w:val="0016429E"/>
    <w:rsid w:val="00164760"/>
    <w:rsid w:val="00164A47"/>
    <w:rsid w:val="00164BA9"/>
    <w:rsid w:val="00165816"/>
    <w:rsid w:val="00165881"/>
    <w:rsid w:val="00165BAB"/>
    <w:rsid w:val="00165C33"/>
    <w:rsid w:val="00165F03"/>
    <w:rsid w:val="00165FB2"/>
    <w:rsid w:val="00166050"/>
    <w:rsid w:val="001669DF"/>
    <w:rsid w:val="00166A16"/>
    <w:rsid w:val="00166DB2"/>
    <w:rsid w:val="00167081"/>
    <w:rsid w:val="00167302"/>
    <w:rsid w:val="00167580"/>
    <w:rsid w:val="001675F4"/>
    <w:rsid w:val="00167A56"/>
    <w:rsid w:val="00167C97"/>
    <w:rsid w:val="00170141"/>
    <w:rsid w:val="00170B6E"/>
    <w:rsid w:val="00170D88"/>
    <w:rsid w:val="00171C50"/>
    <w:rsid w:val="00171E87"/>
    <w:rsid w:val="0017268B"/>
    <w:rsid w:val="001732DE"/>
    <w:rsid w:val="00173812"/>
    <w:rsid w:val="00173885"/>
    <w:rsid w:val="00174366"/>
    <w:rsid w:val="0017502C"/>
    <w:rsid w:val="001757EE"/>
    <w:rsid w:val="00175D27"/>
    <w:rsid w:val="00175D4D"/>
    <w:rsid w:val="001766E1"/>
    <w:rsid w:val="00176734"/>
    <w:rsid w:val="00176A20"/>
    <w:rsid w:val="00176D26"/>
    <w:rsid w:val="00176FA7"/>
    <w:rsid w:val="00177024"/>
    <w:rsid w:val="0017719A"/>
    <w:rsid w:val="001772DE"/>
    <w:rsid w:val="001774DC"/>
    <w:rsid w:val="00177617"/>
    <w:rsid w:val="00177A90"/>
    <w:rsid w:val="00177CCF"/>
    <w:rsid w:val="00177E4A"/>
    <w:rsid w:val="00177EB2"/>
    <w:rsid w:val="00177F25"/>
    <w:rsid w:val="00180B9C"/>
    <w:rsid w:val="00180E03"/>
    <w:rsid w:val="001814B9"/>
    <w:rsid w:val="00181A40"/>
    <w:rsid w:val="00181A6B"/>
    <w:rsid w:val="00181EBB"/>
    <w:rsid w:val="00181F28"/>
    <w:rsid w:val="00181FDB"/>
    <w:rsid w:val="0018212C"/>
    <w:rsid w:val="0018268D"/>
    <w:rsid w:val="00182A8B"/>
    <w:rsid w:val="00182CC0"/>
    <w:rsid w:val="00183238"/>
    <w:rsid w:val="0018324E"/>
    <w:rsid w:val="00183564"/>
    <w:rsid w:val="001837D4"/>
    <w:rsid w:val="00183857"/>
    <w:rsid w:val="001839CB"/>
    <w:rsid w:val="00183F99"/>
    <w:rsid w:val="0018412B"/>
    <w:rsid w:val="001843BA"/>
    <w:rsid w:val="001843DA"/>
    <w:rsid w:val="001844EC"/>
    <w:rsid w:val="00184577"/>
    <w:rsid w:val="00184603"/>
    <w:rsid w:val="00184FDB"/>
    <w:rsid w:val="001851A5"/>
    <w:rsid w:val="00185881"/>
    <w:rsid w:val="00185DEE"/>
    <w:rsid w:val="001862EE"/>
    <w:rsid w:val="001864C3"/>
    <w:rsid w:val="00186678"/>
    <w:rsid w:val="0018672B"/>
    <w:rsid w:val="00186C3E"/>
    <w:rsid w:val="001870B0"/>
    <w:rsid w:val="0018710D"/>
    <w:rsid w:val="001872AA"/>
    <w:rsid w:val="0018763A"/>
    <w:rsid w:val="001876E9"/>
    <w:rsid w:val="00187849"/>
    <w:rsid w:val="00187888"/>
    <w:rsid w:val="00187D36"/>
    <w:rsid w:val="00187F4C"/>
    <w:rsid w:val="00190048"/>
    <w:rsid w:val="0019007B"/>
    <w:rsid w:val="00190721"/>
    <w:rsid w:val="00190910"/>
    <w:rsid w:val="0019099C"/>
    <w:rsid w:val="00191826"/>
    <w:rsid w:val="0019196C"/>
    <w:rsid w:val="00192439"/>
    <w:rsid w:val="00192729"/>
    <w:rsid w:val="00193068"/>
    <w:rsid w:val="001937BA"/>
    <w:rsid w:val="00193863"/>
    <w:rsid w:val="00193B00"/>
    <w:rsid w:val="00193C2E"/>
    <w:rsid w:val="00194AFB"/>
    <w:rsid w:val="00194D00"/>
    <w:rsid w:val="00195551"/>
    <w:rsid w:val="0019566F"/>
    <w:rsid w:val="00195C52"/>
    <w:rsid w:val="001962C6"/>
    <w:rsid w:val="00196832"/>
    <w:rsid w:val="00196A8C"/>
    <w:rsid w:val="00196C37"/>
    <w:rsid w:val="00196CE1"/>
    <w:rsid w:val="001977F8"/>
    <w:rsid w:val="00197B49"/>
    <w:rsid w:val="00197B61"/>
    <w:rsid w:val="001A004E"/>
    <w:rsid w:val="001A0962"/>
    <w:rsid w:val="001A0B52"/>
    <w:rsid w:val="001A11C0"/>
    <w:rsid w:val="001A1AEF"/>
    <w:rsid w:val="001A1B98"/>
    <w:rsid w:val="001A1D3F"/>
    <w:rsid w:val="001A1DFA"/>
    <w:rsid w:val="001A290D"/>
    <w:rsid w:val="001A298A"/>
    <w:rsid w:val="001A2E04"/>
    <w:rsid w:val="001A328A"/>
    <w:rsid w:val="001A33B3"/>
    <w:rsid w:val="001A3D23"/>
    <w:rsid w:val="001A3D42"/>
    <w:rsid w:val="001A415E"/>
    <w:rsid w:val="001A4802"/>
    <w:rsid w:val="001A481D"/>
    <w:rsid w:val="001A4D15"/>
    <w:rsid w:val="001A4EDF"/>
    <w:rsid w:val="001A561E"/>
    <w:rsid w:val="001A59A7"/>
    <w:rsid w:val="001A5AFA"/>
    <w:rsid w:val="001A5BD8"/>
    <w:rsid w:val="001A5EC3"/>
    <w:rsid w:val="001A61C0"/>
    <w:rsid w:val="001A645F"/>
    <w:rsid w:val="001A7FA7"/>
    <w:rsid w:val="001B04FE"/>
    <w:rsid w:val="001B0CC5"/>
    <w:rsid w:val="001B21D5"/>
    <w:rsid w:val="001B23C8"/>
    <w:rsid w:val="001B280E"/>
    <w:rsid w:val="001B295D"/>
    <w:rsid w:val="001B2B85"/>
    <w:rsid w:val="001B2BA4"/>
    <w:rsid w:val="001B3013"/>
    <w:rsid w:val="001B32A5"/>
    <w:rsid w:val="001B3566"/>
    <w:rsid w:val="001B456F"/>
    <w:rsid w:val="001B4589"/>
    <w:rsid w:val="001B49B3"/>
    <w:rsid w:val="001B4ADF"/>
    <w:rsid w:val="001B4D64"/>
    <w:rsid w:val="001B4FEA"/>
    <w:rsid w:val="001B568C"/>
    <w:rsid w:val="001B575E"/>
    <w:rsid w:val="001B596E"/>
    <w:rsid w:val="001B5D5F"/>
    <w:rsid w:val="001B5D92"/>
    <w:rsid w:val="001B5F6B"/>
    <w:rsid w:val="001B5FAD"/>
    <w:rsid w:val="001B64CE"/>
    <w:rsid w:val="001B69C5"/>
    <w:rsid w:val="001B6A75"/>
    <w:rsid w:val="001B6BFB"/>
    <w:rsid w:val="001B70B1"/>
    <w:rsid w:val="001B7483"/>
    <w:rsid w:val="001B75BA"/>
    <w:rsid w:val="001B765A"/>
    <w:rsid w:val="001B7AF0"/>
    <w:rsid w:val="001B7D03"/>
    <w:rsid w:val="001B7E5E"/>
    <w:rsid w:val="001C0375"/>
    <w:rsid w:val="001C0580"/>
    <w:rsid w:val="001C0C1D"/>
    <w:rsid w:val="001C0C60"/>
    <w:rsid w:val="001C0DA4"/>
    <w:rsid w:val="001C10E8"/>
    <w:rsid w:val="001C1102"/>
    <w:rsid w:val="001C1248"/>
    <w:rsid w:val="001C14A8"/>
    <w:rsid w:val="001C1834"/>
    <w:rsid w:val="001C2079"/>
    <w:rsid w:val="001C230A"/>
    <w:rsid w:val="001C29B5"/>
    <w:rsid w:val="001C29FC"/>
    <w:rsid w:val="001C2E54"/>
    <w:rsid w:val="001C347B"/>
    <w:rsid w:val="001C3C66"/>
    <w:rsid w:val="001C3F21"/>
    <w:rsid w:val="001C40EB"/>
    <w:rsid w:val="001C4185"/>
    <w:rsid w:val="001C43BB"/>
    <w:rsid w:val="001C47DC"/>
    <w:rsid w:val="001C4A52"/>
    <w:rsid w:val="001C4BA0"/>
    <w:rsid w:val="001C4C55"/>
    <w:rsid w:val="001C4CB0"/>
    <w:rsid w:val="001C4EA6"/>
    <w:rsid w:val="001C4F7C"/>
    <w:rsid w:val="001C56BA"/>
    <w:rsid w:val="001C5BC5"/>
    <w:rsid w:val="001C5BDD"/>
    <w:rsid w:val="001C5D9C"/>
    <w:rsid w:val="001C5DB1"/>
    <w:rsid w:val="001C6178"/>
    <w:rsid w:val="001C653C"/>
    <w:rsid w:val="001C6728"/>
    <w:rsid w:val="001C67C5"/>
    <w:rsid w:val="001C6801"/>
    <w:rsid w:val="001C6C82"/>
    <w:rsid w:val="001C726C"/>
    <w:rsid w:val="001C72B3"/>
    <w:rsid w:val="001C74CF"/>
    <w:rsid w:val="001C7EA7"/>
    <w:rsid w:val="001D01B2"/>
    <w:rsid w:val="001D022E"/>
    <w:rsid w:val="001D048F"/>
    <w:rsid w:val="001D0B83"/>
    <w:rsid w:val="001D0D5A"/>
    <w:rsid w:val="001D0DAD"/>
    <w:rsid w:val="001D0E1F"/>
    <w:rsid w:val="001D111C"/>
    <w:rsid w:val="001D1282"/>
    <w:rsid w:val="001D1871"/>
    <w:rsid w:val="001D1AA2"/>
    <w:rsid w:val="001D1AFA"/>
    <w:rsid w:val="001D1B14"/>
    <w:rsid w:val="001D28AF"/>
    <w:rsid w:val="001D29AB"/>
    <w:rsid w:val="001D2C9B"/>
    <w:rsid w:val="001D3F81"/>
    <w:rsid w:val="001D3F9D"/>
    <w:rsid w:val="001D423D"/>
    <w:rsid w:val="001D4564"/>
    <w:rsid w:val="001D4AD7"/>
    <w:rsid w:val="001D4D3F"/>
    <w:rsid w:val="001D4E5E"/>
    <w:rsid w:val="001D53C2"/>
    <w:rsid w:val="001D548C"/>
    <w:rsid w:val="001D5831"/>
    <w:rsid w:val="001D5B03"/>
    <w:rsid w:val="001D64DE"/>
    <w:rsid w:val="001D6830"/>
    <w:rsid w:val="001D6971"/>
    <w:rsid w:val="001D7E3E"/>
    <w:rsid w:val="001D7F65"/>
    <w:rsid w:val="001E0654"/>
    <w:rsid w:val="001E195F"/>
    <w:rsid w:val="001E22A3"/>
    <w:rsid w:val="001E22BE"/>
    <w:rsid w:val="001E247D"/>
    <w:rsid w:val="001E26B5"/>
    <w:rsid w:val="001E2F21"/>
    <w:rsid w:val="001E34F1"/>
    <w:rsid w:val="001E3672"/>
    <w:rsid w:val="001E428A"/>
    <w:rsid w:val="001E4424"/>
    <w:rsid w:val="001E4594"/>
    <w:rsid w:val="001E4F22"/>
    <w:rsid w:val="001E52F3"/>
    <w:rsid w:val="001E541C"/>
    <w:rsid w:val="001E5699"/>
    <w:rsid w:val="001E5D7E"/>
    <w:rsid w:val="001E62BD"/>
    <w:rsid w:val="001E6398"/>
    <w:rsid w:val="001E6A1A"/>
    <w:rsid w:val="001E6BE2"/>
    <w:rsid w:val="001E6D77"/>
    <w:rsid w:val="001E72A8"/>
    <w:rsid w:val="001E7673"/>
    <w:rsid w:val="001E7BA1"/>
    <w:rsid w:val="001E7C4A"/>
    <w:rsid w:val="001F0007"/>
    <w:rsid w:val="001F15CE"/>
    <w:rsid w:val="001F1634"/>
    <w:rsid w:val="001F1683"/>
    <w:rsid w:val="001F1846"/>
    <w:rsid w:val="001F18F5"/>
    <w:rsid w:val="001F19EC"/>
    <w:rsid w:val="001F1B6E"/>
    <w:rsid w:val="001F1C32"/>
    <w:rsid w:val="001F2530"/>
    <w:rsid w:val="001F253A"/>
    <w:rsid w:val="001F3310"/>
    <w:rsid w:val="001F37BA"/>
    <w:rsid w:val="001F38B5"/>
    <w:rsid w:val="001F40AD"/>
    <w:rsid w:val="001F445B"/>
    <w:rsid w:val="001F46E8"/>
    <w:rsid w:val="001F4B6D"/>
    <w:rsid w:val="001F4D7A"/>
    <w:rsid w:val="001F4EB6"/>
    <w:rsid w:val="001F52DE"/>
    <w:rsid w:val="001F5992"/>
    <w:rsid w:val="001F5D09"/>
    <w:rsid w:val="001F6904"/>
    <w:rsid w:val="001F6C4C"/>
    <w:rsid w:val="001F6D1F"/>
    <w:rsid w:val="001F6E91"/>
    <w:rsid w:val="001F7562"/>
    <w:rsid w:val="001F7781"/>
    <w:rsid w:val="001F791B"/>
    <w:rsid w:val="001F7DF1"/>
    <w:rsid w:val="001F7E76"/>
    <w:rsid w:val="0020008E"/>
    <w:rsid w:val="0020033F"/>
    <w:rsid w:val="002004D7"/>
    <w:rsid w:val="00200D69"/>
    <w:rsid w:val="0020177E"/>
    <w:rsid w:val="002025EB"/>
    <w:rsid w:val="002027DC"/>
    <w:rsid w:val="002027F5"/>
    <w:rsid w:val="0020288E"/>
    <w:rsid w:val="00203053"/>
    <w:rsid w:val="002033EE"/>
    <w:rsid w:val="00203823"/>
    <w:rsid w:val="00203AC2"/>
    <w:rsid w:val="002043BE"/>
    <w:rsid w:val="002044C2"/>
    <w:rsid w:val="0020454E"/>
    <w:rsid w:val="0020459D"/>
    <w:rsid w:val="002047A8"/>
    <w:rsid w:val="0020497D"/>
    <w:rsid w:val="00204F33"/>
    <w:rsid w:val="002053E9"/>
    <w:rsid w:val="0020561B"/>
    <w:rsid w:val="002056CD"/>
    <w:rsid w:val="002058C2"/>
    <w:rsid w:val="00205A26"/>
    <w:rsid w:val="002063DC"/>
    <w:rsid w:val="002064D8"/>
    <w:rsid w:val="00206B90"/>
    <w:rsid w:val="00207960"/>
    <w:rsid w:val="00207AA3"/>
    <w:rsid w:val="00210B1D"/>
    <w:rsid w:val="002110FD"/>
    <w:rsid w:val="0021145E"/>
    <w:rsid w:val="002115D6"/>
    <w:rsid w:val="00211667"/>
    <w:rsid w:val="002117A1"/>
    <w:rsid w:val="00211DD6"/>
    <w:rsid w:val="00212216"/>
    <w:rsid w:val="00212734"/>
    <w:rsid w:val="00212749"/>
    <w:rsid w:val="00212C4A"/>
    <w:rsid w:val="00212C96"/>
    <w:rsid w:val="0021302D"/>
    <w:rsid w:val="002135E5"/>
    <w:rsid w:val="00213D0E"/>
    <w:rsid w:val="00213DE4"/>
    <w:rsid w:val="00213EB3"/>
    <w:rsid w:val="002141B0"/>
    <w:rsid w:val="002147D3"/>
    <w:rsid w:val="00214C49"/>
    <w:rsid w:val="00215EF6"/>
    <w:rsid w:val="00215F44"/>
    <w:rsid w:val="00216066"/>
    <w:rsid w:val="0021656D"/>
    <w:rsid w:val="002167F7"/>
    <w:rsid w:val="002169CA"/>
    <w:rsid w:val="002170B7"/>
    <w:rsid w:val="00217224"/>
    <w:rsid w:val="00217715"/>
    <w:rsid w:val="002177B7"/>
    <w:rsid w:val="00217A87"/>
    <w:rsid w:val="00217C33"/>
    <w:rsid w:val="00217E62"/>
    <w:rsid w:val="00217F5F"/>
    <w:rsid w:val="002200B2"/>
    <w:rsid w:val="0022029D"/>
    <w:rsid w:val="00220820"/>
    <w:rsid w:val="00220999"/>
    <w:rsid w:val="00220C0F"/>
    <w:rsid w:val="00220C96"/>
    <w:rsid w:val="00220D26"/>
    <w:rsid w:val="00220ED5"/>
    <w:rsid w:val="002210A5"/>
    <w:rsid w:val="00221336"/>
    <w:rsid w:val="0022168A"/>
    <w:rsid w:val="00222023"/>
    <w:rsid w:val="00222291"/>
    <w:rsid w:val="002223FC"/>
    <w:rsid w:val="00223050"/>
    <w:rsid w:val="0022305B"/>
    <w:rsid w:val="002234E1"/>
    <w:rsid w:val="0022435D"/>
    <w:rsid w:val="002247CD"/>
    <w:rsid w:val="00224A02"/>
    <w:rsid w:val="00225446"/>
    <w:rsid w:val="002256B4"/>
    <w:rsid w:val="00225ECE"/>
    <w:rsid w:val="0022621B"/>
    <w:rsid w:val="00226617"/>
    <w:rsid w:val="00226CD9"/>
    <w:rsid w:val="00226DA6"/>
    <w:rsid w:val="00226DC3"/>
    <w:rsid w:val="002270E1"/>
    <w:rsid w:val="00227578"/>
    <w:rsid w:val="0022773B"/>
    <w:rsid w:val="002277B9"/>
    <w:rsid w:val="00227D16"/>
    <w:rsid w:val="00227DB9"/>
    <w:rsid w:val="0022A161"/>
    <w:rsid w:val="002302F0"/>
    <w:rsid w:val="0023034A"/>
    <w:rsid w:val="00230356"/>
    <w:rsid w:val="0023041F"/>
    <w:rsid w:val="00230729"/>
    <w:rsid w:val="0023107C"/>
    <w:rsid w:val="00231296"/>
    <w:rsid w:val="002313DB"/>
    <w:rsid w:val="00231C48"/>
    <w:rsid w:val="00231C80"/>
    <w:rsid w:val="00231CEF"/>
    <w:rsid w:val="00231DC2"/>
    <w:rsid w:val="0023274B"/>
    <w:rsid w:val="002329C2"/>
    <w:rsid w:val="00232B14"/>
    <w:rsid w:val="002330C8"/>
    <w:rsid w:val="002332AC"/>
    <w:rsid w:val="002334B7"/>
    <w:rsid w:val="00233766"/>
    <w:rsid w:val="002337B6"/>
    <w:rsid w:val="00233B7F"/>
    <w:rsid w:val="00233F64"/>
    <w:rsid w:val="002340E2"/>
    <w:rsid w:val="002343B0"/>
    <w:rsid w:val="002344FE"/>
    <w:rsid w:val="002345F3"/>
    <w:rsid w:val="0023483E"/>
    <w:rsid w:val="0023501E"/>
    <w:rsid w:val="00235109"/>
    <w:rsid w:val="002358D2"/>
    <w:rsid w:val="00235A27"/>
    <w:rsid w:val="00235DC7"/>
    <w:rsid w:val="00236129"/>
    <w:rsid w:val="002362AA"/>
    <w:rsid w:val="002362AC"/>
    <w:rsid w:val="00236F76"/>
    <w:rsid w:val="00237472"/>
    <w:rsid w:val="0023764E"/>
    <w:rsid w:val="002379DE"/>
    <w:rsid w:val="0024071A"/>
    <w:rsid w:val="00240759"/>
    <w:rsid w:val="00240C75"/>
    <w:rsid w:val="00240ED9"/>
    <w:rsid w:val="0024112C"/>
    <w:rsid w:val="00241839"/>
    <w:rsid w:val="00241867"/>
    <w:rsid w:val="00241891"/>
    <w:rsid w:val="002419E0"/>
    <w:rsid w:val="00241B88"/>
    <w:rsid w:val="00241EC1"/>
    <w:rsid w:val="002421E4"/>
    <w:rsid w:val="00242BA9"/>
    <w:rsid w:val="00242C1F"/>
    <w:rsid w:val="00242C70"/>
    <w:rsid w:val="00242DDD"/>
    <w:rsid w:val="00242E10"/>
    <w:rsid w:val="0024320B"/>
    <w:rsid w:val="0024371D"/>
    <w:rsid w:val="00243781"/>
    <w:rsid w:val="00244A1F"/>
    <w:rsid w:val="002450A2"/>
    <w:rsid w:val="0024515B"/>
    <w:rsid w:val="002451F3"/>
    <w:rsid w:val="002466F1"/>
    <w:rsid w:val="00246715"/>
    <w:rsid w:val="00247881"/>
    <w:rsid w:val="00247DD6"/>
    <w:rsid w:val="00250167"/>
    <w:rsid w:val="002503F9"/>
    <w:rsid w:val="002506B8"/>
    <w:rsid w:val="002507E4"/>
    <w:rsid w:val="00250E81"/>
    <w:rsid w:val="00251702"/>
    <w:rsid w:val="00251801"/>
    <w:rsid w:val="00251C09"/>
    <w:rsid w:val="00251D87"/>
    <w:rsid w:val="00252147"/>
    <w:rsid w:val="002527BC"/>
    <w:rsid w:val="00253068"/>
    <w:rsid w:val="00253182"/>
    <w:rsid w:val="002533A2"/>
    <w:rsid w:val="002539B7"/>
    <w:rsid w:val="002543FA"/>
    <w:rsid w:val="002546DA"/>
    <w:rsid w:val="00254CFD"/>
    <w:rsid w:val="002554DE"/>
    <w:rsid w:val="0025558D"/>
    <w:rsid w:val="002557D8"/>
    <w:rsid w:val="002559EF"/>
    <w:rsid w:val="00255A6A"/>
    <w:rsid w:val="002562AB"/>
    <w:rsid w:val="002564FB"/>
    <w:rsid w:val="00256B3E"/>
    <w:rsid w:val="00256C15"/>
    <w:rsid w:val="00256FFE"/>
    <w:rsid w:val="00257ABC"/>
    <w:rsid w:val="00257C54"/>
    <w:rsid w:val="00257E46"/>
    <w:rsid w:val="00257F47"/>
    <w:rsid w:val="0026003A"/>
    <w:rsid w:val="002606A3"/>
    <w:rsid w:val="002608CB"/>
    <w:rsid w:val="002608FA"/>
    <w:rsid w:val="00260980"/>
    <w:rsid w:val="00260AC2"/>
    <w:rsid w:val="00260C56"/>
    <w:rsid w:val="00260CBE"/>
    <w:rsid w:val="002612E1"/>
    <w:rsid w:val="002613FF"/>
    <w:rsid w:val="002617D2"/>
    <w:rsid w:val="00261800"/>
    <w:rsid w:val="00261810"/>
    <w:rsid w:val="0026185F"/>
    <w:rsid w:val="00261C78"/>
    <w:rsid w:val="00261E66"/>
    <w:rsid w:val="0026200C"/>
    <w:rsid w:val="002624C6"/>
    <w:rsid w:val="00262689"/>
    <w:rsid w:val="00262B63"/>
    <w:rsid w:val="0026323F"/>
    <w:rsid w:val="00263629"/>
    <w:rsid w:val="00263973"/>
    <w:rsid w:val="00263F4E"/>
    <w:rsid w:val="00264431"/>
    <w:rsid w:val="0026449A"/>
    <w:rsid w:val="002646E9"/>
    <w:rsid w:val="00264841"/>
    <w:rsid w:val="002648BF"/>
    <w:rsid w:val="00264C45"/>
    <w:rsid w:val="00264CD0"/>
    <w:rsid w:val="00264EDC"/>
    <w:rsid w:val="00264F75"/>
    <w:rsid w:val="00265441"/>
    <w:rsid w:val="00265FED"/>
    <w:rsid w:val="00266B2B"/>
    <w:rsid w:val="00266EBB"/>
    <w:rsid w:val="002672D4"/>
    <w:rsid w:val="002678BC"/>
    <w:rsid w:val="00267B9C"/>
    <w:rsid w:val="00267EB6"/>
    <w:rsid w:val="00270923"/>
    <w:rsid w:val="00271A55"/>
    <w:rsid w:val="00271DD4"/>
    <w:rsid w:val="002721E8"/>
    <w:rsid w:val="002722E3"/>
    <w:rsid w:val="002727A1"/>
    <w:rsid w:val="00272986"/>
    <w:rsid w:val="00272AC8"/>
    <w:rsid w:val="00272B09"/>
    <w:rsid w:val="00272C7E"/>
    <w:rsid w:val="00272E76"/>
    <w:rsid w:val="00273142"/>
    <w:rsid w:val="00273381"/>
    <w:rsid w:val="002735CE"/>
    <w:rsid w:val="00273A05"/>
    <w:rsid w:val="00273DC1"/>
    <w:rsid w:val="00273E84"/>
    <w:rsid w:val="002740D3"/>
    <w:rsid w:val="0027437F"/>
    <w:rsid w:val="00274C4A"/>
    <w:rsid w:val="002753F5"/>
    <w:rsid w:val="00275DE8"/>
    <w:rsid w:val="00276DFA"/>
    <w:rsid w:val="0027766A"/>
    <w:rsid w:val="0027778D"/>
    <w:rsid w:val="0027785C"/>
    <w:rsid w:val="002779D1"/>
    <w:rsid w:val="00277EE4"/>
    <w:rsid w:val="00280100"/>
    <w:rsid w:val="0028096F"/>
    <w:rsid w:val="00280DAE"/>
    <w:rsid w:val="00280E5D"/>
    <w:rsid w:val="0028136F"/>
    <w:rsid w:val="00281382"/>
    <w:rsid w:val="002820B2"/>
    <w:rsid w:val="00282424"/>
    <w:rsid w:val="00282B7F"/>
    <w:rsid w:val="00282F91"/>
    <w:rsid w:val="0028317A"/>
    <w:rsid w:val="00283254"/>
    <w:rsid w:val="0028398C"/>
    <w:rsid w:val="0028411C"/>
    <w:rsid w:val="00284306"/>
    <w:rsid w:val="0028448F"/>
    <w:rsid w:val="0028492B"/>
    <w:rsid w:val="00284AE8"/>
    <w:rsid w:val="002850CA"/>
    <w:rsid w:val="00285213"/>
    <w:rsid w:val="0028589F"/>
    <w:rsid w:val="00285975"/>
    <w:rsid w:val="0028683D"/>
    <w:rsid w:val="00286D88"/>
    <w:rsid w:val="00286EA6"/>
    <w:rsid w:val="00286FE7"/>
    <w:rsid w:val="0028742A"/>
    <w:rsid w:val="00287650"/>
    <w:rsid w:val="002877AA"/>
    <w:rsid w:val="00287887"/>
    <w:rsid w:val="00287B4D"/>
    <w:rsid w:val="00287F0F"/>
    <w:rsid w:val="00290148"/>
    <w:rsid w:val="0029036B"/>
    <w:rsid w:val="00291343"/>
    <w:rsid w:val="002920FD"/>
    <w:rsid w:val="00292191"/>
    <w:rsid w:val="00292509"/>
    <w:rsid w:val="00292B08"/>
    <w:rsid w:val="00292BDC"/>
    <w:rsid w:val="00292C7D"/>
    <w:rsid w:val="00293335"/>
    <w:rsid w:val="00293B27"/>
    <w:rsid w:val="00293D51"/>
    <w:rsid w:val="00294319"/>
    <w:rsid w:val="0029472D"/>
    <w:rsid w:val="002949DF"/>
    <w:rsid w:val="00294D2E"/>
    <w:rsid w:val="002951AD"/>
    <w:rsid w:val="00295391"/>
    <w:rsid w:val="00295A8B"/>
    <w:rsid w:val="00296298"/>
    <w:rsid w:val="0029631F"/>
    <w:rsid w:val="002969CC"/>
    <w:rsid w:val="002974FD"/>
    <w:rsid w:val="002976CA"/>
    <w:rsid w:val="00297FA8"/>
    <w:rsid w:val="002A0319"/>
    <w:rsid w:val="002A064F"/>
    <w:rsid w:val="002A07F8"/>
    <w:rsid w:val="002A0885"/>
    <w:rsid w:val="002A0E07"/>
    <w:rsid w:val="002A12CF"/>
    <w:rsid w:val="002A16AF"/>
    <w:rsid w:val="002A1C1E"/>
    <w:rsid w:val="002A201F"/>
    <w:rsid w:val="002A29AC"/>
    <w:rsid w:val="002A3117"/>
    <w:rsid w:val="002A315A"/>
    <w:rsid w:val="002A322A"/>
    <w:rsid w:val="002A379B"/>
    <w:rsid w:val="002A3B3C"/>
    <w:rsid w:val="002A3EBE"/>
    <w:rsid w:val="002A47A9"/>
    <w:rsid w:val="002A4D1B"/>
    <w:rsid w:val="002A4E30"/>
    <w:rsid w:val="002A51C4"/>
    <w:rsid w:val="002A525C"/>
    <w:rsid w:val="002A5978"/>
    <w:rsid w:val="002A5B14"/>
    <w:rsid w:val="002A5BD0"/>
    <w:rsid w:val="002A5F1C"/>
    <w:rsid w:val="002A63BE"/>
    <w:rsid w:val="002A6440"/>
    <w:rsid w:val="002A7712"/>
    <w:rsid w:val="002A780F"/>
    <w:rsid w:val="002B007D"/>
    <w:rsid w:val="002B058B"/>
    <w:rsid w:val="002B08A6"/>
    <w:rsid w:val="002B0DB2"/>
    <w:rsid w:val="002B134F"/>
    <w:rsid w:val="002B1422"/>
    <w:rsid w:val="002B16BD"/>
    <w:rsid w:val="002B18B5"/>
    <w:rsid w:val="002B1DBA"/>
    <w:rsid w:val="002B1FFE"/>
    <w:rsid w:val="002B26C2"/>
    <w:rsid w:val="002B2773"/>
    <w:rsid w:val="002B2C8B"/>
    <w:rsid w:val="002B2CDF"/>
    <w:rsid w:val="002B3297"/>
    <w:rsid w:val="002B334F"/>
    <w:rsid w:val="002B335A"/>
    <w:rsid w:val="002B3453"/>
    <w:rsid w:val="002B34D5"/>
    <w:rsid w:val="002B38FB"/>
    <w:rsid w:val="002B421C"/>
    <w:rsid w:val="002B4312"/>
    <w:rsid w:val="002B461F"/>
    <w:rsid w:val="002B4A8E"/>
    <w:rsid w:val="002B4B96"/>
    <w:rsid w:val="002B4D3A"/>
    <w:rsid w:val="002B5026"/>
    <w:rsid w:val="002B53C2"/>
    <w:rsid w:val="002B577C"/>
    <w:rsid w:val="002B6349"/>
    <w:rsid w:val="002B6768"/>
    <w:rsid w:val="002B6C6B"/>
    <w:rsid w:val="002B72A2"/>
    <w:rsid w:val="002C0086"/>
    <w:rsid w:val="002C0367"/>
    <w:rsid w:val="002C0B32"/>
    <w:rsid w:val="002C1393"/>
    <w:rsid w:val="002C1414"/>
    <w:rsid w:val="002C1EE8"/>
    <w:rsid w:val="002C1F7F"/>
    <w:rsid w:val="002C20CB"/>
    <w:rsid w:val="002C218E"/>
    <w:rsid w:val="002C2374"/>
    <w:rsid w:val="002C2940"/>
    <w:rsid w:val="002C29E5"/>
    <w:rsid w:val="002C3362"/>
    <w:rsid w:val="002C343E"/>
    <w:rsid w:val="002C3AC2"/>
    <w:rsid w:val="002C3C0B"/>
    <w:rsid w:val="002C3C12"/>
    <w:rsid w:val="002C5674"/>
    <w:rsid w:val="002C576A"/>
    <w:rsid w:val="002C5789"/>
    <w:rsid w:val="002C5B6F"/>
    <w:rsid w:val="002C5BB8"/>
    <w:rsid w:val="002C5D71"/>
    <w:rsid w:val="002C5F2D"/>
    <w:rsid w:val="002C6412"/>
    <w:rsid w:val="002C642B"/>
    <w:rsid w:val="002C66AD"/>
    <w:rsid w:val="002C67F4"/>
    <w:rsid w:val="002C697C"/>
    <w:rsid w:val="002C6F41"/>
    <w:rsid w:val="002C7272"/>
    <w:rsid w:val="002C7850"/>
    <w:rsid w:val="002C7A57"/>
    <w:rsid w:val="002D001F"/>
    <w:rsid w:val="002D052C"/>
    <w:rsid w:val="002D06E3"/>
    <w:rsid w:val="002D1281"/>
    <w:rsid w:val="002D12C1"/>
    <w:rsid w:val="002D1C00"/>
    <w:rsid w:val="002D2D27"/>
    <w:rsid w:val="002D2F6A"/>
    <w:rsid w:val="002D30C0"/>
    <w:rsid w:val="002D33E0"/>
    <w:rsid w:val="002D34BD"/>
    <w:rsid w:val="002D380C"/>
    <w:rsid w:val="002D38BD"/>
    <w:rsid w:val="002D3A81"/>
    <w:rsid w:val="002D3DE3"/>
    <w:rsid w:val="002D401F"/>
    <w:rsid w:val="002D4153"/>
    <w:rsid w:val="002D51AC"/>
    <w:rsid w:val="002D53C5"/>
    <w:rsid w:val="002D5A28"/>
    <w:rsid w:val="002D5D84"/>
    <w:rsid w:val="002D5EBA"/>
    <w:rsid w:val="002D5FD9"/>
    <w:rsid w:val="002D6360"/>
    <w:rsid w:val="002D64A7"/>
    <w:rsid w:val="002D66B3"/>
    <w:rsid w:val="002D67DC"/>
    <w:rsid w:val="002D6CB2"/>
    <w:rsid w:val="002D6D42"/>
    <w:rsid w:val="002D774C"/>
    <w:rsid w:val="002D78DD"/>
    <w:rsid w:val="002D7E0B"/>
    <w:rsid w:val="002E027D"/>
    <w:rsid w:val="002E02B0"/>
    <w:rsid w:val="002E0542"/>
    <w:rsid w:val="002E0895"/>
    <w:rsid w:val="002E0A3E"/>
    <w:rsid w:val="002E0B5B"/>
    <w:rsid w:val="002E0D6E"/>
    <w:rsid w:val="002E159C"/>
    <w:rsid w:val="002E189E"/>
    <w:rsid w:val="002E1C57"/>
    <w:rsid w:val="002E219E"/>
    <w:rsid w:val="002E273B"/>
    <w:rsid w:val="002E2B70"/>
    <w:rsid w:val="002E2F33"/>
    <w:rsid w:val="002E3C84"/>
    <w:rsid w:val="002E3EFE"/>
    <w:rsid w:val="002E4265"/>
    <w:rsid w:val="002E462B"/>
    <w:rsid w:val="002E51C2"/>
    <w:rsid w:val="002E5407"/>
    <w:rsid w:val="002E55E6"/>
    <w:rsid w:val="002E5CA3"/>
    <w:rsid w:val="002E5EEC"/>
    <w:rsid w:val="002E616B"/>
    <w:rsid w:val="002E62D1"/>
    <w:rsid w:val="002E62DE"/>
    <w:rsid w:val="002E62F7"/>
    <w:rsid w:val="002E668D"/>
    <w:rsid w:val="002E6A54"/>
    <w:rsid w:val="002E717C"/>
    <w:rsid w:val="002E764D"/>
    <w:rsid w:val="002E78D7"/>
    <w:rsid w:val="002F0251"/>
    <w:rsid w:val="002F0310"/>
    <w:rsid w:val="002F06D2"/>
    <w:rsid w:val="002F08B3"/>
    <w:rsid w:val="002F119D"/>
    <w:rsid w:val="002F11D8"/>
    <w:rsid w:val="002F14BC"/>
    <w:rsid w:val="002F1D8B"/>
    <w:rsid w:val="002F21C3"/>
    <w:rsid w:val="002F2535"/>
    <w:rsid w:val="002F2553"/>
    <w:rsid w:val="002F25B3"/>
    <w:rsid w:val="002F2880"/>
    <w:rsid w:val="002F2E27"/>
    <w:rsid w:val="002F3112"/>
    <w:rsid w:val="002F3515"/>
    <w:rsid w:val="002F3849"/>
    <w:rsid w:val="002F3868"/>
    <w:rsid w:val="002F3AC5"/>
    <w:rsid w:val="002F3BCD"/>
    <w:rsid w:val="002F4216"/>
    <w:rsid w:val="002F48AD"/>
    <w:rsid w:val="002F5958"/>
    <w:rsid w:val="002F5A10"/>
    <w:rsid w:val="002F5D40"/>
    <w:rsid w:val="002F6B36"/>
    <w:rsid w:val="002F6C50"/>
    <w:rsid w:val="002F6F0F"/>
    <w:rsid w:val="002F793B"/>
    <w:rsid w:val="002F7E02"/>
    <w:rsid w:val="0030008F"/>
    <w:rsid w:val="0030054E"/>
    <w:rsid w:val="00300869"/>
    <w:rsid w:val="00300871"/>
    <w:rsid w:val="00300FF1"/>
    <w:rsid w:val="00301481"/>
    <w:rsid w:val="003015B7"/>
    <w:rsid w:val="00301820"/>
    <w:rsid w:val="00302100"/>
    <w:rsid w:val="0030225E"/>
    <w:rsid w:val="003023CF"/>
    <w:rsid w:val="00302661"/>
    <w:rsid w:val="00302840"/>
    <w:rsid w:val="00302A37"/>
    <w:rsid w:val="00302B10"/>
    <w:rsid w:val="00303065"/>
    <w:rsid w:val="0030317B"/>
    <w:rsid w:val="0030367E"/>
    <w:rsid w:val="00303768"/>
    <w:rsid w:val="003038E2"/>
    <w:rsid w:val="00303D66"/>
    <w:rsid w:val="003043EB"/>
    <w:rsid w:val="003045BA"/>
    <w:rsid w:val="003045F8"/>
    <w:rsid w:val="00304B65"/>
    <w:rsid w:val="00304B8D"/>
    <w:rsid w:val="00304FAB"/>
    <w:rsid w:val="0030557D"/>
    <w:rsid w:val="003060D0"/>
    <w:rsid w:val="0030647E"/>
    <w:rsid w:val="003065D9"/>
    <w:rsid w:val="00306736"/>
    <w:rsid w:val="0030683D"/>
    <w:rsid w:val="003068CC"/>
    <w:rsid w:val="0030692E"/>
    <w:rsid w:val="0030771A"/>
    <w:rsid w:val="003078AA"/>
    <w:rsid w:val="00307BE3"/>
    <w:rsid w:val="00307E01"/>
    <w:rsid w:val="0031008B"/>
    <w:rsid w:val="003103C0"/>
    <w:rsid w:val="00310676"/>
    <w:rsid w:val="0031081F"/>
    <w:rsid w:val="00310981"/>
    <w:rsid w:val="003111C1"/>
    <w:rsid w:val="00312267"/>
    <w:rsid w:val="003124B3"/>
    <w:rsid w:val="0031253E"/>
    <w:rsid w:val="00312759"/>
    <w:rsid w:val="003127E4"/>
    <w:rsid w:val="00312BCD"/>
    <w:rsid w:val="003138D9"/>
    <w:rsid w:val="00314CB0"/>
    <w:rsid w:val="0031503F"/>
    <w:rsid w:val="00315C4D"/>
    <w:rsid w:val="00315E7B"/>
    <w:rsid w:val="003163CB"/>
    <w:rsid w:val="00316581"/>
    <w:rsid w:val="0031658F"/>
    <w:rsid w:val="00316836"/>
    <w:rsid w:val="00316C5C"/>
    <w:rsid w:val="003177AF"/>
    <w:rsid w:val="00317B0C"/>
    <w:rsid w:val="00317DB5"/>
    <w:rsid w:val="003200B8"/>
    <w:rsid w:val="0032020E"/>
    <w:rsid w:val="00321222"/>
    <w:rsid w:val="003217BD"/>
    <w:rsid w:val="003217CC"/>
    <w:rsid w:val="00321A49"/>
    <w:rsid w:val="00321B1F"/>
    <w:rsid w:val="00321BE0"/>
    <w:rsid w:val="00321ED1"/>
    <w:rsid w:val="00321F41"/>
    <w:rsid w:val="0032205A"/>
    <w:rsid w:val="00322C59"/>
    <w:rsid w:val="00322D40"/>
    <w:rsid w:val="00322FB3"/>
    <w:rsid w:val="00323956"/>
    <w:rsid w:val="003239BA"/>
    <w:rsid w:val="00323AF0"/>
    <w:rsid w:val="00323D39"/>
    <w:rsid w:val="00323E53"/>
    <w:rsid w:val="00324892"/>
    <w:rsid w:val="00324A2B"/>
    <w:rsid w:val="00324A56"/>
    <w:rsid w:val="00324AFB"/>
    <w:rsid w:val="00324C09"/>
    <w:rsid w:val="0032504F"/>
    <w:rsid w:val="0032526A"/>
    <w:rsid w:val="00326238"/>
    <w:rsid w:val="00326830"/>
    <w:rsid w:val="003272B7"/>
    <w:rsid w:val="00327954"/>
    <w:rsid w:val="00327A46"/>
    <w:rsid w:val="003304D1"/>
    <w:rsid w:val="003305B7"/>
    <w:rsid w:val="003308FE"/>
    <w:rsid w:val="00331155"/>
    <w:rsid w:val="0033130C"/>
    <w:rsid w:val="003315B7"/>
    <w:rsid w:val="003320FC"/>
    <w:rsid w:val="003326CB"/>
    <w:rsid w:val="003328A7"/>
    <w:rsid w:val="00333467"/>
    <w:rsid w:val="003339BD"/>
    <w:rsid w:val="00334038"/>
    <w:rsid w:val="003344F2"/>
    <w:rsid w:val="00334D1B"/>
    <w:rsid w:val="0033528B"/>
    <w:rsid w:val="00335397"/>
    <w:rsid w:val="00335463"/>
    <w:rsid w:val="003355F2"/>
    <w:rsid w:val="00336380"/>
    <w:rsid w:val="00336BE4"/>
    <w:rsid w:val="00336D1A"/>
    <w:rsid w:val="00336D5A"/>
    <w:rsid w:val="003371DD"/>
    <w:rsid w:val="00337275"/>
    <w:rsid w:val="00337668"/>
    <w:rsid w:val="0033784E"/>
    <w:rsid w:val="0034051C"/>
    <w:rsid w:val="003405AF"/>
    <w:rsid w:val="0034068C"/>
    <w:rsid w:val="00340DD8"/>
    <w:rsid w:val="00340EB8"/>
    <w:rsid w:val="00340FB5"/>
    <w:rsid w:val="00341B9E"/>
    <w:rsid w:val="003420CD"/>
    <w:rsid w:val="0034211D"/>
    <w:rsid w:val="00342124"/>
    <w:rsid w:val="00343105"/>
    <w:rsid w:val="00343187"/>
    <w:rsid w:val="003435C6"/>
    <w:rsid w:val="0034373C"/>
    <w:rsid w:val="00344B5E"/>
    <w:rsid w:val="00344E08"/>
    <w:rsid w:val="0034598F"/>
    <w:rsid w:val="003460E4"/>
    <w:rsid w:val="003463BA"/>
    <w:rsid w:val="003464A8"/>
    <w:rsid w:val="003465C0"/>
    <w:rsid w:val="00346933"/>
    <w:rsid w:val="00346992"/>
    <w:rsid w:val="0034726F"/>
    <w:rsid w:val="0034729B"/>
    <w:rsid w:val="0034732D"/>
    <w:rsid w:val="00347AF6"/>
    <w:rsid w:val="00347C5B"/>
    <w:rsid w:val="00347EA2"/>
    <w:rsid w:val="003501D0"/>
    <w:rsid w:val="0035050B"/>
    <w:rsid w:val="00350AAD"/>
    <w:rsid w:val="00350AE4"/>
    <w:rsid w:val="00350F3D"/>
    <w:rsid w:val="00350FE9"/>
    <w:rsid w:val="0035185C"/>
    <w:rsid w:val="00351864"/>
    <w:rsid w:val="0035274F"/>
    <w:rsid w:val="00352A5C"/>
    <w:rsid w:val="00353131"/>
    <w:rsid w:val="00353151"/>
    <w:rsid w:val="0035369B"/>
    <w:rsid w:val="003537A1"/>
    <w:rsid w:val="00353F1E"/>
    <w:rsid w:val="003540C7"/>
    <w:rsid w:val="00354348"/>
    <w:rsid w:val="00354609"/>
    <w:rsid w:val="00355041"/>
    <w:rsid w:val="003555E9"/>
    <w:rsid w:val="00355CB0"/>
    <w:rsid w:val="00355D91"/>
    <w:rsid w:val="00355E44"/>
    <w:rsid w:val="00356297"/>
    <w:rsid w:val="00356411"/>
    <w:rsid w:val="003564AD"/>
    <w:rsid w:val="00356DFF"/>
    <w:rsid w:val="00356E20"/>
    <w:rsid w:val="00357607"/>
    <w:rsid w:val="00357CFE"/>
    <w:rsid w:val="00357FDB"/>
    <w:rsid w:val="00357FDF"/>
    <w:rsid w:val="0036019D"/>
    <w:rsid w:val="003602E1"/>
    <w:rsid w:val="003603D7"/>
    <w:rsid w:val="0036088E"/>
    <w:rsid w:val="0036089C"/>
    <w:rsid w:val="00360C28"/>
    <w:rsid w:val="00360D02"/>
    <w:rsid w:val="00360E2B"/>
    <w:rsid w:val="00360E53"/>
    <w:rsid w:val="00361124"/>
    <w:rsid w:val="003611D5"/>
    <w:rsid w:val="003611DD"/>
    <w:rsid w:val="00361401"/>
    <w:rsid w:val="00361CFA"/>
    <w:rsid w:val="00361D31"/>
    <w:rsid w:val="00362D84"/>
    <w:rsid w:val="003630F0"/>
    <w:rsid w:val="00363115"/>
    <w:rsid w:val="0036312D"/>
    <w:rsid w:val="0036412B"/>
    <w:rsid w:val="00364233"/>
    <w:rsid w:val="00364960"/>
    <w:rsid w:val="00364C07"/>
    <w:rsid w:val="00364D0B"/>
    <w:rsid w:val="00364D16"/>
    <w:rsid w:val="00365029"/>
    <w:rsid w:val="003650AB"/>
    <w:rsid w:val="00365179"/>
    <w:rsid w:val="003652E0"/>
    <w:rsid w:val="003652E3"/>
    <w:rsid w:val="00365445"/>
    <w:rsid w:val="0036570F"/>
    <w:rsid w:val="00365864"/>
    <w:rsid w:val="00365A1F"/>
    <w:rsid w:val="00366461"/>
    <w:rsid w:val="00366942"/>
    <w:rsid w:val="00366BDA"/>
    <w:rsid w:val="003671E6"/>
    <w:rsid w:val="0036726C"/>
    <w:rsid w:val="00367510"/>
    <w:rsid w:val="003675B3"/>
    <w:rsid w:val="003677AC"/>
    <w:rsid w:val="00367CD2"/>
    <w:rsid w:val="00367D49"/>
    <w:rsid w:val="0037074B"/>
    <w:rsid w:val="003709E7"/>
    <w:rsid w:val="003715E9"/>
    <w:rsid w:val="003720CC"/>
    <w:rsid w:val="003724CB"/>
    <w:rsid w:val="00372C4C"/>
    <w:rsid w:val="00372E0A"/>
    <w:rsid w:val="00372E20"/>
    <w:rsid w:val="0037300B"/>
    <w:rsid w:val="003730FB"/>
    <w:rsid w:val="003731E3"/>
    <w:rsid w:val="00373987"/>
    <w:rsid w:val="00374178"/>
    <w:rsid w:val="00374CE6"/>
    <w:rsid w:val="00374DEC"/>
    <w:rsid w:val="00374ED8"/>
    <w:rsid w:val="0037520C"/>
    <w:rsid w:val="003752CF"/>
    <w:rsid w:val="00375BB9"/>
    <w:rsid w:val="00375C63"/>
    <w:rsid w:val="00375F9A"/>
    <w:rsid w:val="00376001"/>
    <w:rsid w:val="003761C3"/>
    <w:rsid w:val="00376244"/>
    <w:rsid w:val="00376329"/>
    <w:rsid w:val="003765B4"/>
    <w:rsid w:val="0037676C"/>
    <w:rsid w:val="00376A1D"/>
    <w:rsid w:val="00376F60"/>
    <w:rsid w:val="00377039"/>
    <w:rsid w:val="00377296"/>
    <w:rsid w:val="00377A32"/>
    <w:rsid w:val="00380015"/>
    <w:rsid w:val="00380035"/>
    <w:rsid w:val="00380384"/>
    <w:rsid w:val="00380ECF"/>
    <w:rsid w:val="003810EF"/>
    <w:rsid w:val="003816C8"/>
    <w:rsid w:val="003816FD"/>
    <w:rsid w:val="0038170A"/>
    <w:rsid w:val="0038171F"/>
    <w:rsid w:val="003818E3"/>
    <w:rsid w:val="00381E1E"/>
    <w:rsid w:val="00381E41"/>
    <w:rsid w:val="00382303"/>
    <w:rsid w:val="00382915"/>
    <w:rsid w:val="00382ACD"/>
    <w:rsid w:val="00382EA2"/>
    <w:rsid w:val="00383434"/>
    <w:rsid w:val="003835BE"/>
    <w:rsid w:val="0038379B"/>
    <w:rsid w:val="00383845"/>
    <w:rsid w:val="00383A0A"/>
    <w:rsid w:val="00383A9B"/>
    <w:rsid w:val="003841E9"/>
    <w:rsid w:val="00384999"/>
    <w:rsid w:val="00384B6C"/>
    <w:rsid w:val="00384C55"/>
    <w:rsid w:val="00384CE4"/>
    <w:rsid w:val="0038536C"/>
    <w:rsid w:val="00385D2B"/>
    <w:rsid w:val="00385F6D"/>
    <w:rsid w:val="003864D2"/>
    <w:rsid w:val="003868B9"/>
    <w:rsid w:val="00386FD0"/>
    <w:rsid w:val="00387009"/>
    <w:rsid w:val="00387044"/>
    <w:rsid w:val="0038709E"/>
    <w:rsid w:val="00387330"/>
    <w:rsid w:val="003873DC"/>
    <w:rsid w:val="0038753B"/>
    <w:rsid w:val="003877C4"/>
    <w:rsid w:val="00387CE6"/>
    <w:rsid w:val="00387E64"/>
    <w:rsid w:val="00387EA4"/>
    <w:rsid w:val="0039027C"/>
    <w:rsid w:val="00390685"/>
    <w:rsid w:val="00390F7D"/>
    <w:rsid w:val="003925B3"/>
    <w:rsid w:val="00393207"/>
    <w:rsid w:val="003934C3"/>
    <w:rsid w:val="00393CD3"/>
    <w:rsid w:val="00393E3C"/>
    <w:rsid w:val="003946EC"/>
    <w:rsid w:val="0039477D"/>
    <w:rsid w:val="00394DD1"/>
    <w:rsid w:val="0039513C"/>
    <w:rsid w:val="00395534"/>
    <w:rsid w:val="0039581D"/>
    <w:rsid w:val="00395923"/>
    <w:rsid w:val="00395FD1"/>
    <w:rsid w:val="003960FE"/>
    <w:rsid w:val="003962D0"/>
    <w:rsid w:val="003962E6"/>
    <w:rsid w:val="0039642F"/>
    <w:rsid w:val="003969BB"/>
    <w:rsid w:val="00396DDC"/>
    <w:rsid w:val="003970B9"/>
    <w:rsid w:val="0039765E"/>
    <w:rsid w:val="00397721"/>
    <w:rsid w:val="003978AF"/>
    <w:rsid w:val="00397B17"/>
    <w:rsid w:val="00397BC3"/>
    <w:rsid w:val="00397D6C"/>
    <w:rsid w:val="003A0065"/>
    <w:rsid w:val="003A0516"/>
    <w:rsid w:val="003A0949"/>
    <w:rsid w:val="003A0A06"/>
    <w:rsid w:val="003A0AAA"/>
    <w:rsid w:val="003A0E14"/>
    <w:rsid w:val="003A0FA1"/>
    <w:rsid w:val="003A1C7F"/>
    <w:rsid w:val="003A1D9E"/>
    <w:rsid w:val="003A25BD"/>
    <w:rsid w:val="003A28BB"/>
    <w:rsid w:val="003A2913"/>
    <w:rsid w:val="003A2955"/>
    <w:rsid w:val="003A341D"/>
    <w:rsid w:val="003A3E69"/>
    <w:rsid w:val="003A4703"/>
    <w:rsid w:val="003A4A8C"/>
    <w:rsid w:val="003A4BA5"/>
    <w:rsid w:val="003A4BBD"/>
    <w:rsid w:val="003A4E26"/>
    <w:rsid w:val="003A4F0B"/>
    <w:rsid w:val="003A576D"/>
    <w:rsid w:val="003A58F6"/>
    <w:rsid w:val="003A5D9E"/>
    <w:rsid w:val="003A61E0"/>
    <w:rsid w:val="003A61EB"/>
    <w:rsid w:val="003A6B7A"/>
    <w:rsid w:val="003A7277"/>
    <w:rsid w:val="003A73F2"/>
    <w:rsid w:val="003A7514"/>
    <w:rsid w:val="003A7575"/>
    <w:rsid w:val="003A7D72"/>
    <w:rsid w:val="003B046A"/>
    <w:rsid w:val="003B057B"/>
    <w:rsid w:val="003B057C"/>
    <w:rsid w:val="003B05BE"/>
    <w:rsid w:val="003B0A81"/>
    <w:rsid w:val="003B17B3"/>
    <w:rsid w:val="003B19B9"/>
    <w:rsid w:val="003B1ED1"/>
    <w:rsid w:val="003B21E8"/>
    <w:rsid w:val="003B287C"/>
    <w:rsid w:val="003B29C4"/>
    <w:rsid w:val="003B370B"/>
    <w:rsid w:val="003B42B0"/>
    <w:rsid w:val="003B4643"/>
    <w:rsid w:val="003B4704"/>
    <w:rsid w:val="003B4ADF"/>
    <w:rsid w:val="003B4E38"/>
    <w:rsid w:val="003B5C0F"/>
    <w:rsid w:val="003B5E6C"/>
    <w:rsid w:val="003B6082"/>
    <w:rsid w:val="003B633C"/>
    <w:rsid w:val="003B6457"/>
    <w:rsid w:val="003B6544"/>
    <w:rsid w:val="003B6633"/>
    <w:rsid w:val="003B6EB1"/>
    <w:rsid w:val="003B7112"/>
    <w:rsid w:val="003B74F4"/>
    <w:rsid w:val="003B762C"/>
    <w:rsid w:val="003B79E7"/>
    <w:rsid w:val="003B7BE2"/>
    <w:rsid w:val="003C0671"/>
    <w:rsid w:val="003C1624"/>
    <w:rsid w:val="003C16B9"/>
    <w:rsid w:val="003C16DA"/>
    <w:rsid w:val="003C1852"/>
    <w:rsid w:val="003C1AE6"/>
    <w:rsid w:val="003C1F41"/>
    <w:rsid w:val="003C2231"/>
    <w:rsid w:val="003C27D1"/>
    <w:rsid w:val="003C3582"/>
    <w:rsid w:val="003C3918"/>
    <w:rsid w:val="003C39E7"/>
    <w:rsid w:val="003C3FBD"/>
    <w:rsid w:val="003C4157"/>
    <w:rsid w:val="003C4A1A"/>
    <w:rsid w:val="003C4FE7"/>
    <w:rsid w:val="003C523C"/>
    <w:rsid w:val="003C5687"/>
    <w:rsid w:val="003C5785"/>
    <w:rsid w:val="003C59E1"/>
    <w:rsid w:val="003C5A46"/>
    <w:rsid w:val="003C606B"/>
    <w:rsid w:val="003C606F"/>
    <w:rsid w:val="003C6427"/>
    <w:rsid w:val="003C6C05"/>
    <w:rsid w:val="003C6D0C"/>
    <w:rsid w:val="003C7283"/>
    <w:rsid w:val="003C7614"/>
    <w:rsid w:val="003C7E4C"/>
    <w:rsid w:val="003C7E61"/>
    <w:rsid w:val="003D0127"/>
    <w:rsid w:val="003D024D"/>
    <w:rsid w:val="003D0D02"/>
    <w:rsid w:val="003D12C0"/>
    <w:rsid w:val="003D1513"/>
    <w:rsid w:val="003D1698"/>
    <w:rsid w:val="003D1715"/>
    <w:rsid w:val="003D1F9F"/>
    <w:rsid w:val="003D1FBE"/>
    <w:rsid w:val="003D214E"/>
    <w:rsid w:val="003D2870"/>
    <w:rsid w:val="003D3077"/>
    <w:rsid w:val="003D3116"/>
    <w:rsid w:val="003D31A5"/>
    <w:rsid w:val="003D34BA"/>
    <w:rsid w:val="003D3852"/>
    <w:rsid w:val="003D418A"/>
    <w:rsid w:val="003D4280"/>
    <w:rsid w:val="003D460A"/>
    <w:rsid w:val="003D485F"/>
    <w:rsid w:val="003D4B4A"/>
    <w:rsid w:val="003D4D08"/>
    <w:rsid w:val="003D4D30"/>
    <w:rsid w:val="003D4F22"/>
    <w:rsid w:val="003D560E"/>
    <w:rsid w:val="003D596B"/>
    <w:rsid w:val="003D5FFD"/>
    <w:rsid w:val="003D61B1"/>
    <w:rsid w:val="003D6344"/>
    <w:rsid w:val="003D6384"/>
    <w:rsid w:val="003D64CC"/>
    <w:rsid w:val="003D6541"/>
    <w:rsid w:val="003D6AB7"/>
    <w:rsid w:val="003D6C8F"/>
    <w:rsid w:val="003D6F34"/>
    <w:rsid w:val="003D76AC"/>
    <w:rsid w:val="003E0BB9"/>
    <w:rsid w:val="003E14E2"/>
    <w:rsid w:val="003E162A"/>
    <w:rsid w:val="003E175E"/>
    <w:rsid w:val="003E19F5"/>
    <w:rsid w:val="003E1A61"/>
    <w:rsid w:val="003E1EEA"/>
    <w:rsid w:val="003E2563"/>
    <w:rsid w:val="003E266E"/>
    <w:rsid w:val="003E278C"/>
    <w:rsid w:val="003E2C58"/>
    <w:rsid w:val="003E2DB8"/>
    <w:rsid w:val="003E3011"/>
    <w:rsid w:val="003E312B"/>
    <w:rsid w:val="003E3A20"/>
    <w:rsid w:val="003E40CC"/>
    <w:rsid w:val="003E4FCD"/>
    <w:rsid w:val="003E5491"/>
    <w:rsid w:val="003E5C56"/>
    <w:rsid w:val="003E5CB8"/>
    <w:rsid w:val="003E5D03"/>
    <w:rsid w:val="003E62EC"/>
    <w:rsid w:val="003E654D"/>
    <w:rsid w:val="003E6774"/>
    <w:rsid w:val="003E68CD"/>
    <w:rsid w:val="003E6EB3"/>
    <w:rsid w:val="003E7341"/>
    <w:rsid w:val="003E7942"/>
    <w:rsid w:val="003E7BE6"/>
    <w:rsid w:val="003E7DE1"/>
    <w:rsid w:val="003F0441"/>
    <w:rsid w:val="003F070D"/>
    <w:rsid w:val="003F0A6D"/>
    <w:rsid w:val="003F0AAA"/>
    <w:rsid w:val="003F0EA8"/>
    <w:rsid w:val="003F10F4"/>
    <w:rsid w:val="003F1379"/>
    <w:rsid w:val="003F15CF"/>
    <w:rsid w:val="003F22DC"/>
    <w:rsid w:val="003F2B25"/>
    <w:rsid w:val="003F2C36"/>
    <w:rsid w:val="003F2EEB"/>
    <w:rsid w:val="003F33FC"/>
    <w:rsid w:val="003F3767"/>
    <w:rsid w:val="003F3F91"/>
    <w:rsid w:val="003F4024"/>
    <w:rsid w:val="003F4293"/>
    <w:rsid w:val="003F512B"/>
    <w:rsid w:val="003F51A1"/>
    <w:rsid w:val="003F524F"/>
    <w:rsid w:val="003F57CF"/>
    <w:rsid w:val="003F68F4"/>
    <w:rsid w:val="003F6A9D"/>
    <w:rsid w:val="003F6AF7"/>
    <w:rsid w:val="003F6BDA"/>
    <w:rsid w:val="003F6D28"/>
    <w:rsid w:val="003F74A5"/>
    <w:rsid w:val="003F7681"/>
    <w:rsid w:val="003F78A8"/>
    <w:rsid w:val="003F7BA9"/>
    <w:rsid w:val="003F7CA7"/>
    <w:rsid w:val="0040001E"/>
    <w:rsid w:val="00400297"/>
    <w:rsid w:val="004004A6"/>
    <w:rsid w:val="00400910"/>
    <w:rsid w:val="00400FBB"/>
    <w:rsid w:val="00401126"/>
    <w:rsid w:val="0040129A"/>
    <w:rsid w:val="0040166B"/>
    <w:rsid w:val="004018C5"/>
    <w:rsid w:val="00401A5F"/>
    <w:rsid w:val="00401C28"/>
    <w:rsid w:val="00401FA6"/>
    <w:rsid w:val="00402010"/>
    <w:rsid w:val="004023E1"/>
    <w:rsid w:val="00402537"/>
    <w:rsid w:val="00402561"/>
    <w:rsid w:val="00402E65"/>
    <w:rsid w:val="004031B0"/>
    <w:rsid w:val="00403729"/>
    <w:rsid w:val="0040387F"/>
    <w:rsid w:val="00403B94"/>
    <w:rsid w:val="00403EE6"/>
    <w:rsid w:val="004040C8"/>
    <w:rsid w:val="004048C5"/>
    <w:rsid w:val="00404B9B"/>
    <w:rsid w:val="00404CA9"/>
    <w:rsid w:val="00404CBB"/>
    <w:rsid w:val="00405457"/>
    <w:rsid w:val="00405557"/>
    <w:rsid w:val="00405644"/>
    <w:rsid w:val="00405742"/>
    <w:rsid w:val="004058FE"/>
    <w:rsid w:val="0040620F"/>
    <w:rsid w:val="004064EC"/>
    <w:rsid w:val="004065A2"/>
    <w:rsid w:val="00406B32"/>
    <w:rsid w:val="00407156"/>
    <w:rsid w:val="00407785"/>
    <w:rsid w:val="00407E09"/>
    <w:rsid w:val="0041021D"/>
    <w:rsid w:val="00410353"/>
    <w:rsid w:val="004108AD"/>
    <w:rsid w:val="00410E49"/>
    <w:rsid w:val="00411166"/>
    <w:rsid w:val="00411338"/>
    <w:rsid w:val="00411647"/>
    <w:rsid w:val="004116DB"/>
    <w:rsid w:val="0041212D"/>
    <w:rsid w:val="00412702"/>
    <w:rsid w:val="00412BF2"/>
    <w:rsid w:val="00412F71"/>
    <w:rsid w:val="00413071"/>
    <w:rsid w:val="00413486"/>
    <w:rsid w:val="00413B6D"/>
    <w:rsid w:val="00413BD8"/>
    <w:rsid w:val="00413C11"/>
    <w:rsid w:val="00413E2F"/>
    <w:rsid w:val="00413E67"/>
    <w:rsid w:val="00413EBD"/>
    <w:rsid w:val="00413EC3"/>
    <w:rsid w:val="00413FFC"/>
    <w:rsid w:val="00414682"/>
    <w:rsid w:val="00414959"/>
    <w:rsid w:val="00414FF3"/>
    <w:rsid w:val="00415157"/>
    <w:rsid w:val="00415394"/>
    <w:rsid w:val="00415463"/>
    <w:rsid w:val="0041636C"/>
    <w:rsid w:val="004166D7"/>
    <w:rsid w:val="00416CAD"/>
    <w:rsid w:val="00416CC4"/>
    <w:rsid w:val="00416F67"/>
    <w:rsid w:val="00420EA6"/>
    <w:rsid w:val="0042104E"/>
    <w:rsid w:val="004215FD"/>
    <w:rsid w:val="004219D1"/>
    <w:rsid w:val="00422111"/>
    <w:rsid w:val="00422C2D"/>
    <w:rsid w:val="00422FF2"/>
    <w:rsid w:val="0042347E"/>
    <w:rsid w:val="004237E8"/>
    <w:rsid w:val="00423873"/>
    <w:rsid w:val="00423A45"/>
    <w:rsid w:val="00423B45"/>
    <w:rsid w:val="00423DB7"/>
    <w:rsid w:val="00424778"/>
    <w:rsid w:val="00425055"/>
    <w:rsid w:val="00425F01"/>
    <w:rsid w:val="00425F23"/>
    <w:rsid w:val="0042697E"/>
    <w:rsid w:val="004269FE"/>
    <w:rsid w:val="00426A1F"/>
    <w:rsid w:val="00426AD2"/>
    <w:rsid w:val="00426EFB"/>
    <w:rsid w:val="00427236"/>
    <w:rsid w:val="004274D4"/>
    <w:rsid w:val="004301CD"/>
    <w:rsid w:val="00430C48"/>
    <w:rsid w:val="00430DAF"/>
    <w:rsid w:val="00431094"/>
    <w:rsid w:val="0043111C"/>
    <w:rsid w:val="00431464"/>
    <w:rsid w:val="004316EA"/>
    <w:rsid w:val="00431712"/>
    <w:rsid w:val="004317BD"/>
    <w:rsid w:val="00431F02"/>
    <w:rsid w:val="00431F8F"/>
    <w:rsid w:val="00432339"/>
    <w:rsid w:val="00432444"/>
    <w:rsid w:val="004328A5"/>
    <w:rsid w:val="00432D3D"/>
    <w:rsid w:val="004330AE"/>
    <w:rsid w:val="004337B6"/>
    <w:rsid w:val="00433AB6"/>
    <w:rsid w:val="00433BAB"/>
    <w:rsid w:val="00434090"/>
    <w:rsid w:val="00434AAD"/>
    <w:rsid w:val="0043500C"/>
    <w:rsid w:val="0043502E"/>
    <w:rsid w:val="00435D33"/>
    <w:rsid w:val="00435E96"/>
    <w:rsid w:val="004364C0"/>
    <w:rsid w:val="00436965"/>
    <w:rsid w:val="0043715F"/>
    <w:rsid w:val="00437A3A"/>
    <w:rsid w:val="00437A3F"/>
    <w:rsid w:val="00440E4E"/>
    <w:rsid w:val="0044142F"/>
    <w:rsid w:val="00441922"/>
    <w:rsid w:val="00441DC0"/>
    <w:rsid w:val="0044271D"/>
    <w:rsid w:val="00442BFF"/>
    <w:rsid w:val="00442C57"/>
    <w:rsid w:val="00442D5F"/>
    <w:rsid w:val="004431CD"/>
    <w:rsid w:val="00443341"/>
    <w:rsid w:val="0044373F"/>
    <w:rsid w:val="0044381B"/>
    <w:rsid w:val="00443A34"/>
    <w:rsid w:val="00443FAC"/>
    <w:rsid w:val="0044533A"/>
    <w:rsid w:val="00445768"/>
    <w:rsid w:val="00445DE1"/>
    <w:rsid w:val="00445F43"/>
    <w:rsid w:val="004460FA"/>
    <w:rsid w:val="0044611F"/>
    <w:rsid w:val="00447CEE"/>
    <w:rsid w:val="004500D7"/>
    <w:rsid w:val="004507C6"/>
    <w:rsid w:val="00450859"/>
    <w:rsid w:val="00450A2F"/>
    <w:rsid w:val="00450A36"/>
    <w:rsid w:val="00451094"/>
    <w:rsid w:val="00451514"/>
    <w:rsid w:val="00451616"/>
    <w:rsid w:val="00451AB6"/>
    <w:rsid w:val="00451E0C"/>
    <w:rsid w:val="004520E1"/>
    <w:rsid w:val="00452617"/>
    <w:rsid w:val="00452931"/>
    <w:rsid w:val="00452B92"/>
    <w:rsid w:val="00452EDC"/>
    <w:rsid w:val="0045312E"/>
    <w:rsid w:val="00453609"/>
    <w:rsid w:val="0045396C"/>
    <w:rsid w:val="00453D7C"/>
    <w:rsid w:val="00453ECE"/>
    <w:rsid w:val="004541EB"/>
    <w:rsid w:val="00454D5B"/>
    <w:rsid w:val="0045519E"/>
    <w:rsid w:val="004551B6"/>
    <w:rsid w:val="00455341"/>
    <w:rsid w:val="0045610D"/>
    <w:rsid w:val="0045621B"/>
    <w:rsid w:val="00456B46"/>
    <w:rsid w:val="00457D6A"/>
    <w:rsid w:val="004600FC"/>
    <w:rsid w:val="00460E1A"/>
    <w:rsid w:val="004611CF"/>
    <w:rsid w:val="00461818"/>
    <w:rsid w:val="00461B16"/>
    <w:rsid w:val="00461B18"/>
    <w:rsid w:val="00461B80"/>
    <w:rsid w:val="00461C97"/>
    <w:rsid w:val="00461D1E"/>
    <w:rsid w:val="00462699"/>
    <w:rsid w:val="004629E7"/>
    <w:rsid w:val="00462D8F"/>
    <w:rsid w:val="0046341C"/>
    <w:rsid w:val="004634D5"/>
    <w:rsid w:val="00463682"/>
    <w:rsid w:val="0046439B"/>
    <w:rsid w:val="0046456A"/>
    <w:rsid w:val="0046461D"/>
    <w:rsid w:val="00464A93"/>
    <w:rsid w:val="00464B1F"/>
    <w:rsid w:val="00464E99"/>
    <w:rsid w:val="00464F64"/>
    <w:rsid w:val="00465291"/>
    <w:rsid w:val="00465603"/>
    <w:rsid w:val="004658F4"/>
    <w:rsid w:val="00465BA7"/>
    <w:rsid w:val="00465D2B"/>
    <w:rsid w:val="00466004"/>
    <w:rsid w:val="0046608F"/>
    <w:rsid w:val="00466268"/>
    <w:rsid w:val="004667B0"/>
    <w:rsid w:val="004668B6"/>
    <w:rsid w:val="00466999"/>
    <w:rsid w:val="00466B7E"/>
    <w:rsid w:val="00466D60"/>
    <w:rsid w:val="004675FC"/>
    <w:rsid w:val="004677CB"/>
    <w:rsid w:val="00467EC9"/>
    <w:rsid w:val="00467FC2"/>
    <w:rsid w:val="0047008E"/>
    <w:rsid w:val="004700CF"/>
    <w:rsid w:val="0047012D"/>
    <w:rsid w:val="004712DE"/>
    <w:rsid w:val="0047131B"/>
    <w:rsid w:val="00471B1B"/>
    <w:rsid w:val="00471C94"/>
    <w:rsid w:val="00471F6E"/>
    <w:rsid w:val="00471F73"/>
    <w:rsid w:val="004724A7"/>
    <w:rsid w:val="00472763"/>
    <w:rsid w:val="00472978"/>
    <w:rsid w:val="00472992"/>
    <w:rsid w:val="00472F90"/>
    <w:rsid w:val="004731E1"/>
    <w:rsid w:val="004738BB"/>
    <w:rsid w:val="00473B50"/>
    <w:rsid w:val="004740EF"/>
    <w:rsid w:val="00474866"/>
    <w:rsid w:val="0047500D"/>
    <w:rsid w:val="0047521C"/>
    <w:rsid w:val="004759B0"/>
    <w:rsid w:val="00475C0C"/>
    <w:rsid w:val="00475D96"/>
    <w:rsid w:val="00475FAE"/>
    <w:rsid w:val="0047611A"/>
    <w:rsid w:val="00476242"/>
    <w:rsid w:val="0047685D"/>
    <w:rsid w:val="0047765E"/>
    <w:rsid w:val="00477D39"/>
    <w:rsid w:val="00477E62"/>
    <w:rsid w:val="004802A6"/>
    <w:rsid w:val="00480A1E"/>
    <w:rsid w:val="00480F01"/>
    <w:rsid w:val="00481B82"/>
    <w:rsid w:val="00481FAE"/>
    <w:rsid w:val="00481FF3"/>
    <w:rsid w:val="004821F3"/>
    <w:rsid w:val="0048291B"/>
    <w:rsid w:val="00482F7A"/>
    <w:rsid w:val="00482F81"/>
    <w:rsid w:val="004833F7"/>
    <w:rsid w:val="004837E5"/>
    <w:rsid w:val="00483911"/>
    <w:rsid w:val="0048408F"/>
    <w:rsid w:val="0048434D"/>
    <w:rsid w:val="00484737"/>
    <w:rsid w:val="00484F96"/>
    <w:rsid w:val="0048578D"/>
    <w:rsid w:val="00485EC7"/>
    <w:rsid w:val="00486B6D"/>
    <w:rsid w:val="00486C63"/>
    <w:rsid w:val="00486FC6"/>
    <w:rsid w:val="00487147"/>
    <w:rsid w:val="00487388"/>
    <w:rsid w:val="004876A7"/>
    <w:rsid w:val="004879A8"/>
    <w:rsid w:val="00487D70"/>
    <w:rsid w:val="00490081"/>
    <w:rsid w:val="0049017F"/>
    <w:rsid w:val="0049050A"/>
    <w:rsid w:val="00490984"/>
    <w:rsid w:val="004910C8"/>
    <w:rsid w:val="00491770"/>
    <w:rsid w:val="0049194F"/>
    <w:rsid w:val="004919B2"/>
    <w:rsid w:val="00493260"/>
    <w:rsid w:val="00493384"/>
    <w:rsid w:val="004938F1"/>
    <w:rsid w:val="00493C65"/>
    <w:rsid w:val="00493C8C"/>
    <w:rsid w:val="00493D59"/>
    <w:rsid w:val="004942FA"/>
    <w:rsid w:val="004947DA"/>
    <w:rsid w:val="00494C49"/>
    <w:rsid w:val="004959FC"/>
    <w:rsid w:val="00495CD5"/>
    <w:rsid w:val="00495E9B"/>
    <w:rsid w:val="0049675A"/>
    <w:rsid w:val="004969C1"/>
    <w:rsid w:val="0049745E"/>
    <w:rsid w:val="00497957"/>
    <w:rsid w:val="00497CC5"/>
    <w:rsid w:val="004A00CB"/>
    <w:rsid w:val="004A0FE2"/>
    <w:rsid w:val="004A10FD"/>
    <w:rsid w:val="004A1174"/>
    <w:rsid w:val="004A1419"/>
    <w:rsid w:val="004A17A6"/>
    <w:rsid w:val="004A1CC8"/>
    <w:rsid w:val="004A1E51"/>
    <w:rsid w:val="004A24F8"/>
    <w:rsid w:val="004A2A0F"/>
    <w:rsid w:val="004A2CA7"/>
    <w:rsid w:val="004A315E"/>
    <w:rsid w:val="004A3C4B"/>
    <w:rsid w:val="004A3F4E"/>
    <w:rsid w:val="004A42F1"/>
    <w:rsid w:val="004A454B"/>
    <w:rsid w:val="004A4EA0"/>
    <w:rsid w:val="004A50B9"/>
    <w:rsid w:val="004A51BF"/>
    <w:rsid w:val="004A53AB"/>
    <w:rsid w:val="004A5557"/>
    <w:rsid w:val="004A57C5"/>
    <w:rsid w:val="004A5B7E"/>
    <w:rsid w:val="004A5CEF"/>
    <w:rsid w:val="004A64C6"/>
    <w:rsid w:val="004A64E4"/>
    <w:rsid w:val="004A65E0"/>
    <w:rsid w:val="004A7148"/>
    <w:rsid w:val="004A7B17"/>
    <w:rsid w:val="004B0A51"/>
    <w:rsid w:val="004B0D42"/>
    <w:rsid w:val="004B100D"/>
    <w:rsid w:val="004B15A5"/>
    <w:rsid w:val="004B173B"/>
    <w:rsid w:val="004B1856"/>
    <w:rsid w:val="004B21A2"/>
    <w:rsid w:val="004B2618"/>
    <w:rsid w:val="004B28FF"/>
    <w:rsid w:val="004B35E5"/>
    <w:rsid w:val="004B3CD2"/>
    <w:rsid w:val="004B3F1D"/>
    <w:rsid w:val="004B412F"/>
    <w:rsid w:val="004B43AF"/>
    <w:rsid w:val="004B4B4F"/>
    <w:rsid w:val="004B4BD4"/>
    <w:rsid w:val="004B4EC5"/>
    <w:rsid w:val="004B5076"/>
    <w:rsid w:val="004B51E6"/>
    <w:rsid w:val="004B553F"/>
    <w:rsid w:val="004B590A"/>
    <w:rsid w:val="004B5A8B"/>
    <w:rsid w:val="004B5B4C"/>
    <w:rsid w:val="004B5E1B"/>
    <w:rsid w:val="004B60E2"/>
    <w:rsid w:val="004B62E3"/>
    <w:rsid w:val="004B654F"/>
    <w:rsid w:val="004B6E46"/>
    <w:rsid w:val="004B791B"/>
    <w:rsid w:val="004B7CB8"/>
    <w:rsid w:val="004C03A4"/>
    <w:rsid w:val="004C08CE"/>
    <w:rsid w:val="004C0A3B"/>
    <w:rsid w:val="004C0B92"/>
    <w:rsid w:val="004C1459"/>
    <w:rsid w:val="004C15A1"/>
    <w:rsid w:val="004C265A"/>
    <w:rsid w:val="004C285C"/>
    <w:rsid w:val="004C39B5"/>
    <w:rsid w:val="004C3CB9"/>
    <w:rsid w:val="004C3DF2"/>
    <w:rsid w:val="004C3F0C"/>
    <w:rsid w:val="004C407B"/>
    <w:rsid w:val="004C493F"/>
    <w:rsid w:val="004C4C1B"/>
    <w:rsid w:val="004C4F66"/>
    <w:rsid w:val="004C4FD2"/>
    <w:rsid w:val="004C543A"/>
    <w:rsid w:val="004C5BDD"/>
    <w:rsid w:val="004C5FDA"/>
    <w:rsid w:val="004C60B5"/>
    <w:rsid w:val="004C6836"/>
    <w:rsid w:val="004C68B0"/>
    <w:rsid w:val="004C6D73"/>
    <w:rsid w:val="004C710D"/>
    <w:rsid w:val="004C71B8"/>
    <w:rsid w:val="004C76BE"/>
    <w:rsid w:val="004C76C7"/>
    <w:rsid w:val="004C77D4"/>
    <w:rsid w:val="004C780F"/>
    <w:rsid w:val="004C7826"/>
    <w:rsid w:val="004C787D"/>
    <w:rsid w:val="004C78D1"/>
    <w:rsid w:val="004C79A8"/>
    <w:rsid w:val="004C7D37"/>
    <w:rsid w:val="004C7EE8"/>
    <w:rsid w:val="004C7F00"/>
    <w:rsid w:val="004D00C5"/>
    <w:rsid w:val="004D03B5"/>
    <w:rsid w:val="004D04E3"/>
    <w:rsid w:val="004D07BF"/>
    <w:rsid w:val="004D0895"/>
    <w:rsid w:val="004D0938"/>
    <w:rsid w:val="004D09BA"/>
    <w:rsid w:val="004D0A1A"/>
    <w:rsid w:val="004D115C"/>
    <w:rsid w:val="004D12CF"/>
    <w:rsid w:val="004D1513"/>
    <w:rsid w:val="004D165F"/>
    <w:rsid w:val="004D180C"/>
    <w:rsid w:val="004D2416"/>
    <w:rsid w:val="004D261A"/>
    <w:rsid w:val="004D2729"/>
    <w:rsid w:val="004D2772"/>
    <w:rsid w:val="004D2BF9"/>
    <w:rsid w:val="004D2C97"/>
    <w:rsid w:val="004D35D8"/>
    <w:rsid w:val="004D37BA"/>
    <w:rsid w:val="004D383E"/>
    <w:rsid w:val="004D384E"/>
    <w:rsid w:val="004D3ECC"/>
    <w:rsid w:val="004D4090"/>
    <w:rsid w:val="004D4294"/>
    <w:rsid w:val="004D4503"/>
    <w:rsid w:val="004D455A"/>
    <w:rsid w:val="004D4BFE"/>
    <w:rsid w:val="004D596C"/>
    <w:rsid w:val="004D66B5"/>
    <w:rsid w:val="004D672C"/>
    <w:rsid w:val="004D70DF"/>
    <w:rsid w:val="004D74AB"/>
    <w:rsid w:val="004E005E"/>
    <w:rsid w:val="004E05E6"/>
    <w:rsid w:val="004E084D"/>
    <w:rsid w:val="004E0943"/>
    <w:rsid w:val="004E09EF"/>
    <w:rsid w:val="004E0A5B"/>
    <w:rsid w:val="004E0D20"/>
    <w:rsid w:val="004E0FC6"/>
    <w:rsid w:val="004E10C9"/>
    <w:rsid w:val="004E1EA1"/>
    <w:rsid w:val="004E1F8F"/>
    <w:rsid w:val="004E215E"/>
    <w:rsid w:val="004E2243"/>
    <w:rsid w:val="004E232E"/>
    <w:rsid w:val="004E24AB"/>
    <w:rsid w:val="004E2A6F"/>
    <w:rsid w:val="004E4A3D"/>
    <w:rsid w:val="004E4C1A"/>
    <w:rsid w:val="004E5126"/>
    <w:rsid w:val="004E5300"/>
    <w:rsid w:val="004E5379"/>
    <w:rsid w:val="004E5702"/>
    <w:rsid w:val="004E576A"/>
    <w:rsid w:val="004E5894"/>
    <w:rsid w:val="004E638F"/>
    <w:rsid w:val="004E66BE"/>
    <w:rsid w:val="004E7481"/>
    <w:rsid w:val="004F081A"/>
    <w:rsid w:val="004F0854"/>
    <w:rsid w:val="004F0A02"/>
    <w:rsid w:val="004F0A7C"/>
    <w:rsid w:val="004F0C61"/>
    <w:rsid w:val="004F0E04"/>
    <w:rsid w:val="004F1282"/>
    <w:rsid w:val="004F1395"/>
    <w:rsid w:val="004F25B8"/>
    <w:rsid w:val="004F2BA5"/>
    <w:rsid w:val="004F2D76"/>
    <w:rsid w:val="004F304A"/>
    <w:rsid w:val="004F3204"/>
    <w:rsid w:val="004F38E4"/>
    <w:rsid w:val="004F3A3A"/>
    <w:rsid w:val="004F3BE6"/>
    <w:rsid w:val="004F42E5"/>
    <w:rsid w:val="004F4793"/>
    <w:rsid w:val="004F4860"/>
    <w:rsid w:val="004F4CAB"/>
    <w:rsid w:val="004F4FE8"/>
    <w:rsid w:val="004F585A"/>
    <w:rsid w:val="004F58AC"/>
    <w:rsid w:val="004F5A6B"/>
    <w:rsid w:val="004F5B68"/>
    <w:rsid w:val="004F5EB9"/>
    <w:rsid w:val="004F6118"/>
    <w:rsid w:val="004F6246"/>
    <w:rsid w:val="004F66B6"/>
    <w:rsid w:val="004F6A09"/>
    <w:rsid w:val="004F6DB0"/>
    <w:rsid w:val="004F76EE"/>
    <w:rsid w:val="004F790D"/>
    <w:rsid w:val="004F7D0B"/>
    <w:rsid w:val="004F7D55"/>
    <w:rsid w:val="005000BB"/>
    <w:rsid w:val="005005F6"/>
    <w:rsid w:val="00500ACD"/>
    <w:rsid w:val="00501026"/>
    <w:rsid w:val="005016A8"/>
    <w:rsid w:val="0050181C"/>
    <w:rsid w:val="0050185B"/>
    <w:rsid w:val="00501A90"/>
    <w:rsid w:val="00501C58"/>
    <w:rsid w:val="00501D7E"/>
    <w:rsid w:val="00501F62"/>
    <w:rsid w:val="00502647"/>
    <w:rsid w:val="00502733"/>
    <w:rsid w:val="00502DB6"/>
    <w:rsid w:val="00502F67"/>
    <w:rsid w:val="005035C5"/>
    <w:rsid w:val="00503AF3"/>
    <w:rsid w:val="0050462B"/>
    <w:rsid w:val="00504DFE"/>
    <w:rsid w:val="00505181"/>
    <w:rsid w:val="0050583D"/>
    <w:rsid w:val="00505B65"/>
    <w:rsid w:val="0050658E"/>
    <w:rsid w:val="00506B1A"/>
    <w:rsid w:val="00507187"/>
    <w:rsid w:val="00507834"/>
    <w:rsid w:val="0050789A"/>
    <w:rsid w:val="00507F9F"/>
    <w:rsid w:val="00510723"/>
    <w:rsid w:val="005109FB"/>
    <w:rsid w:val="00510B42"/>
    <w:rsid w:val="00510CC6"/>
    <w:rsid w:val="0051103A"/>
    <w:rsid w:val="00511081"/>
    <w:rsid w:val="0051130A"/>
    <w:rsid w:val="00511581"/>
    <w:rsid w:val="00511CB6"/>
    <w:rsid w:val="00511F5C"/>
    <w:rsid w:val="00512601"/>
    <w:rsid w:val="005130FA"/>
    <w:rsid w:val="00513371"/>
    <w:rsid w:val="0051371D"/>
    <w:rsid w:val="005145C4"/>
    <w:rsid w:val="00514A10"/>
    <w:rsid w:val="00514AA1"/>
    <w:rsid w:val="0051546C"/>
    <w:rsid w:val="00515A0D"/>
    <w:rsid w:val="00515E74"/>
    <w:rsid w:val="0051637E"/>
    <w:rsid w:val="00516487"/>
    <w:rsid w:val="0051683A"/>
    <w:rsid w:val="00516B22"/>
    <w:rsid w:val="00516F7F"/>
    <w:rsid w:val="00517030"/>
    <w:rsid w:val="0051706D"/>
    <w:rsid w:val="005175B2"/>
    <w:rsid w:val="00517CF5"/>
    <w:rsid w:val="00517FF8"/>
    <w:rsid w:val="0052096A"/>
    <w:rsid w:val="00520C13"/>
    <w:rsid w:val="00520F89"/>
    <w:rsid w:val="0052180A"/>
    <w:rsid w:val="00521C85"/>
    <w:rsid w:val="00521DEF"/>
    <w:rsid w:val="00521F1A"/>
    <w:rsid w:val="00522476"/>
    <w:rsid w:val="005226F4"/>
    <w:rsid w:val="00522804"/>
    <w:rsid w:val="00522971"/>
    <w:rsid w:val="00522D4D"/>
    <w:rsid w:val="005232F4"/>
    <w:rsid w:val="0052342F"/>
    <w:rsid w:val="00523624"/>
    <w:rsid w:val="00523724"/>
    <w:rsid w:val="005239E1"/>
    <w:rsid w:val="005241CC"/>
    <w:rsid w:val="0052448E"/>
    <w:rsid w:val="00524744"/>
    <w:rsid w:val="0052476A"/>
    <w:rsid w:val="00524D1F"/>
    <w:rsid w:val="005254C7"/>
    <w:rsid w:val="00525A27"/>
    <w:rsid w:val="00525C95"/>
    <w:rsid w:val="00526121"/>
    <w:rsid w:val="00526222"/>
    <w:rsid w:val="00526483"/>
    <w:rsid w:val="005265C0"/>
    <w:rsid w:val="005267C6"/>
    <w:rsid w:val="00526A5C"/>
    <w:rsid w:val="00526CCD"/>
    <w:rsid w:val="005271CB"/>
    <w:rsid w:val="005273C3"/>
    <w:rsid w:val="00527409"/>
    <w:rsid w:val="00527C92"/>
    <w:rsid w:val="00527C9E"/>
    <w:rsid w:val="00527CC2"/>
    <w:rsid w:val="00527F4B"/>
    <w:rsid w:val="0053007E"/>
    <w:rsid w:val="00530364"/>
    <w:rsid w:val="00530B2E"/>
    <w:rsid w:val="0053172D"/>
    <w:rsid w:val="005318CD"/>
    <w:rsid w:val="005322C9"/>
    <w:rsid w:val="005322F3"/>
    <w:rsid w:val="005327D5"/>
    <w:rsid w:val="005328E5"/>
    <w:rsid w:val="00532F43"/>
    <w:rsid w:val="005332CE"/>
    <w:rsid w:val="005339AD"/>
    <w:rsid w:val="00533B2D"/>
    <w:rsid w:val="00533FD4"/>
    <w:rsid w:val="00534502"/>
    <w:rsid w:val="00534604"/>
    <w:rsid w:val="0053463B"/>
    <w:rsid w:val="00534A1C"/>
    <w:rsid w:val="005353E9"/>
    <w:rsid w:val="005357EC"/>
    <w:rsid w:val="00535B3F"/>
    <w:rsid w:val="005360CE"/>
    <w:rsid w:val="005370AA"/>
    <w:rsid w:val="005371FE"/>
    <w:rsid w:val="0053723D"/>
    <w:rsid w:val="0053725F"/>
    <w:rsid w:val="005374EC"/>
    <w:rsid w:val="005375A3"/>
    <w:rsid w:val="00537A9C"/>
    <w:rsid w:val="00540362"/>
    <w:rsid w:val="005404D4"/>
    <w:rsid w:val="005409BC"/>
    <w:rsid w:val="005409FD"/>
    <w:rsid w:val="00540BAC"/>
    <w:rsid w:val="00541134"/>
    <w:rsid w:val="0054177D"/>
    <w:rsid w:val="00541938"/>
    <w:rsid w:val="00542350"/>
    <w:rsid w:val="005424DE"/>
    <w:rsid w:val="005426DA"/>
    <w:rsid w:val="0054299A"/>
    <w:rsid w:val="00542E6E"/>
    <w:rsid w:val="005430A9"/>
    <w:rsid w:val="00543B15"/>
    <w:rsid w:val="00543D2F"/>
    <w:rsid w:val="005443C4"/>
    <w:rsid w:val="005449F6"/>
    <w:rsid w:val="00544C23"/>
    <w:rsid w:val="00544C4D"/>
    <w:rsid w:val="00544DE6"/>
    <w:rsid w:val="00545757"/>
    <w:rsid w:val="005458D2"/>
    <w:rsid w:val="00545CC8"/>
    <w:rsid w:val="00546073"/>
    <w:rsid w:val="0054608D"/>
    <w:rsid w:val="005468E2"/>
    <w:rsid w:val="0054698E"/>
    <w:rsid w:val="00546CA7"/>
    <w:rsid w:val="00547A25"/>
    <w:rsid w:val="00547A3A"/>
    <w:rsid w:val="00547C95"/>
    <w:rsid w:val="00547DAF"/>
    <w:rsid w:val="00547E6A"/>
    <w:rsid w:val="00550041"/>
    <w:rsid w:val="005500A1"/>
    <w:rsid w:val="0055090B"/>
    <w:rsid w:val="00550B3E"/>
    <w:rsid w:val="00551801"/>
    <w:rsid w:val="00551A88"/>
    <w:rsid w:val="00551D76"/>
    <w:rsid w:val="00551DD2"/>
    <w:rsid w:val="005527E9"/>
    <w:rsid w:val="0055299C"/>
    <w:rsid w:val="00552A10"/>
    <w:rsid w:val="00552D06"/>
    <w:rsid w:val="00552DCC"/>
    <w:rsid w:val="005530BD"/>
    <w:rsid w:val="00553118"/>
    <w:rsid w:val="005531B4"/>
    <w:rsid w:val="00553D86"/>
    <w:rsid w:val="00553F09"/>
    <w:rsid w:val="00554040"/>
    <w:rsid w:val="0055418B"/>
    <w:rsid w:val="005542C7"/>
    <w:rsid w:val="005546B7"/>
    <w:rsid w:val="00554722"/>
    <w:rsid w:val="00554761"/>
    <w:rsid w:val="00554A0C"/>
    <w:rsid w:val="0055523F"/>
    <w:rsid w:val="005553CF"/>
    <w:rsid w:val="005555D9"/>
    <w:rsid w:val="00555A78"/>
    <w:rsid w:val="00555E60"/>
    <w:rsid w:val="005560E9"/>
    <w:rsid w:val="0055677D"/>
    <w:rsid w:val="005567DD"/>
    <w:rsid w:val="005568A8"/>
    <w:rsid w:val="005578B8"/>
    <w:rsid w:val="00557B91"/>
    <w:rsid w:val="00557E58"/>
    <w:rsid w:val="00560627"/>
    <w:rsid w:val="0056076B"/>
    <w:rsid w:val="00560BEF"/>
    <w:rsid w:val="00560C54"/>
    <w:rsid w:val="00561371"/>
    <w:rsid w:val="0056145D"/>
    <w:rsid w:val="00561918"/>
    <w:rsid w:val="005619FC"/>
    <w:rsid w:val="00561B7E"/>
    <w:rsid w:val="00561C93"/>
    <w:rsid w:val="00561F11"/>
    <w:rsid w:val="0056209D"/>
    <w:rsid w:val="005621A2"/>
    <w:rsid w:val="005626DA"/>
    <w:rsid w:val="00562C51"/>
    <w:rsid w:val="00562CCC"/>
    <w:rsid w:val="00563186"/>
    <w:rsid w:val="0056342E"/>
    <w:rsid w:val="0056382C"/>
    <w:rsid w:val="00563AC6"/>
    <w:rsid w:val="00563BE1"/>
    <w:rsid w:val="00563D0B"/>
    <w:rsid w:val="005646A6"/>
    <w:rsid w:val="00564A31"/>
    <w:rsid w:val="00564DDB"/>
    <w:rsid w:val="00564EB5"/>
    <w:rsid w:val="00564EFC"/>
    <w:rsid w:val="00565364"/>
    <w:rsid w:val="00565369"/>
    <w:rsid w:val="0056562D"/>
    <w:rsid w:val="0056573E"/>
    <w:rsid w:val="00565CD5"/>
    <w:rsid w:val="00565DB9"/>
    <w:rsid w:val="0056656E"/>
    <w:rsid w:val="00566EC8"/>
    <w:rsid w:val="00566F56"/>
    <w:rsid w:val="00566F85"/>
    <w:rsid w:val="00567298"/>
    <w:rsid w:val="005673C2"/>
    <w:rsid w:val="00567ABA"/>
    <w:rsid w:val="00570239"/>
    <w:rsid w:val="00570BCD"/>
    <w:rsid w:val="00571032"/>
    <w:rsid w:val="00571133"/>
    <w:rsid w:val="005711C3"/>
    <w:rsid w:val="005717FE"/>
    <w:rsid w:val="005719C7"/>
    <w:rsid w:val="00571C1F"/>
    <w:rsid w:val="0057237E"/>
    <w:rsid w:val="00572B96"/>
    <w:rsid w:val="005732F7"/>
    <w:rsid w:val="005734C9"/>
    <w:rsid w:val="0057433B"/>
    <w:rsid w:val="0057460F"/>
    <w:rsid w:val="005747A4"/>
    <w:rsid w:val="00574E58"/>
    <w:rsid w:val="00574F26"/>
    <w:rsid w:val="00575916"/>
    <w:rsid w:val="005759F8"/>
    <w:rsid w:val="00575F7D"/>
    <w:rsid w:val="0057622E"/>
    <w:rsid w:val="00576686"/>
    <w:rsid w:val="00576BD1"/>
    <w:rsid w:val="00576CCA"/>
    <w:rsid w:val="00577559"/>
    <w:rsid w:val="00577BE4"/>
    <w:rsid w:val="00577C0A"/>
    <w:rsid w:val="00577FA2"/>
    <w:rsid w:val="00580167"/>
    <w:rsid w:val="005806A8"/>
    <w:rsid w:val="00580F03"/>
    <w:rsid w:val="00581016"/>
    <w:rsid w:val="005811D8"/>
    <w:rsid w:val="005818F3"/>
    <w:rsid w:val="00581905"/>
    <w:rsid w:val="0058191E"/>
    <w:rsid w:val="00581CCD"/>
    <w:rsid w:val="0058227C"/>
    <w:rsid w:val="005822A0"/>
    <w:rsid w:val="005823B5"/>
    <w:rsid w:val="0058256D"/>
    <w:rsid w:val="005828B0"/>
    <w:rsid w:val="00582C43"/>
    <w:rsid w:val="00582C95"/>
    <w:rsid w:val="0058416D"/>
    <w:rsid w:val="0058419E"/>
    <w:rsid w:val="00584267"/>
    <w:rsid w:val="005843F0"/>
    <w:rsid w:val="005845C1"/>
    <w:rsid w:val="00584BE4"/>
    <w:rsid w:val="00585273"/>
    <w:rsid w:val="00585554"/>
    <w:rsid w:val="00585823"/>
    <w:rsid w:val="00585B6E"/>
    <w:rsid w:val="00585D04"/>
    <w:rsid w:val="00586F42"/>
    <w:rsid w:val="00587631"/>
    <w:rsid w:val="005876B5"/>
    <w:rsid w:val="0058796B"/>
    <w:rsid w:val="00587984"/>
    <w:rsid w:val="00587B2E"/>
    <w:rsid w:val="00587B52"/>
    <w:rsid w:val="00587FE3"/>
    <w:rsid w:val="0059027C"/>
    <w:rsid w:val="0059031F"/>
    <w:rsid w:val="005904EB"/>
    <w:rsid w:val="00590CEF"/>
    <w:rsid w:val="00590E9F"/>
    <w:rsid w:val="0059123F"/>
    <w:rsid w:val="00591C66"/>
    <w:rsid w:val="00591EE3"/>
    <w:rsid w:val="00592E4C"/>
    <w:rsid w:val="005935D9"/>
    <w:rsid w:val="005935F6"/>
    <w:rsid w:val="0059371D"/>
    <w:rsid w:val="00593C38"/>
    <w:rsid w:val="00593CC6"/>
    <w:rsid w:val="00593DEB"/>
    <w:rsid w:val="00594044"/>
    <w:rsid w:val="0059430A"/>
    <w:rsid w:val="005946CA"/>
    <w:rsid w:val="00594B58"/>
    <w:rsid w:val="00594F57"/>
    <w:rsid w:val="0059574C"/>
    <w:rsid w:val="005965F2"/>
    <w:rsid w:val="00596B74"/>
    <w:rsid w:val="005970A5"/>
    <w:rsid w:val="0059754A"/>
    <w:rsid w:val="0059784A"/>
    <w:rsid w:val="005978CA"/>
    <w:rsid w:val="005A0192"/>
    <w:rsid w:val="005A0B1C"/>
    <w:rsid w:val="005A10BA"/>
    <w:rsid w:val="005A11A1"/>
    <w:rsid w:val="005A1C86"/>
    <w:rsid w:val="005A1CC9"/>
    <w:rsid w:val="005A1E6B"/>
    <w:rsid w:val="005A2761"/>
    <w:rsid w:val="005A2781"/>
    <w:rsid w:val="005A27DF"/>
    <w:rsid w:val="005A28B4"/>
    <w:rsid w:val="005A2E62"/>
    <w:rsid w:val="005A3438"/>
    <w:rsid w:val="005A36A0"/>
    <w:rsid w:val="005A3E34"/>
    <w:rsid w:val="005A3FEE"/>
    <w:rsid w:val="005A49D8"/>
    <w:rsid w:val="005A5356"/>
    <w:rsid w:val="005A543A"/>
    <w:rsid w:val="005A56D1"/>
    <w:rsid w:val="005A5EA4"/>
    <w:rsid w:val="005A5F58"/>
    <w:rsid w:val="005A612F"/>
    <w:rsid w:val="005A67DB"/>
    <w:rsid w:val="005A6BC1"/>
    <w:rsid w:val="005A6BD7"/>
    <w:rsid w:val="005A760A"/>
    <w:rsid w:val="005B012D"/>
    <w:rsid w:val="005B07D0"/>
    <w:rsid w:val="005B1598"/>
    <w:rsid w:val="005B16DF"/>
    <w:rsid w:val="005B1BAE"/>
    <w:rsid w:val="005B1E77"/>
    <w:rsid w:val="005B1FF6"/>
    <w:rsid w:val="005B2010"/>
    <w:rsid w:val="005B2355"/>
    <w:rsid w:val="005B2423"/>
    <w:rsid w:val="005B257F"/>
    <w:rsid w:val="005B288E"/>
    <w:rsid w:val="005B292D"/>
    <w:rsid w:val="005B2AFB"/>
    <w:rsid w:val="005B2C7F"/>
    <w:rsid w:val="005B2E7C"/>
    <w:rsid w:val="005B3214"/>
    <w:rsid w:val="005B34AB"/>
    <w:rsid w:val="005B3BE6"/>
    <w:rsid w:val="005B42E1"/>
    <w:rsid w:val="005B4550"/>
    <w:rsid w:val="005B4B14"/>
    <w:rsid w:val="005B51F4"/>
    <w:rsid w:val="005B546A"/>
    <w:rsid w:val="005B5605"/>
    <w:rsid w:val="005B5804"/>
    <w:rsid w:val="005B5E39"/>
    <w:rsid w:val="005B6FD0"/>
    <w:rsid w:val="005B71B3"/>
    <w:rsid w:val="005B7553"/>
    <w:rsid w:val="005B78D6"/>
    <w:rsid w:val="005B79B0"/>
    <w:rsid w:val="005B7AF9"/>
    <w:rsid w:val="005C00CD"/>
    <w:rsid w:val="005C0135"/>
    <w:rsid w:val="005C04BB"/>
    <w:rsid w:val="005C05CB"/>
    <w:rsid w:val="005C0A5C"/>
    <w:rsid w:val="005C0C12"/>
    <w:rsid w:val="005C0EE4"/>
    <w:rsid w:val="005C0FAD"/>
    <w:rsid w:val="005C115F"/>
    <w:rsid w:val="005C13FA"/>
    <w:rsid w:val="005C22B9"/>
    <w:rsid w:val="005C2956"/>
    <w:rsid w:val="005C3538"/>
    <w:rsid w:val="005C3631"/>
    <w:rsid w:val="005C37BC"/>
    <w:rsid w:val="005C380A"/>
    <w:rsid w:val="005C3D29"/>
    <w:rsid w:val="005C3F0C"/>
    <w:rsid w:val="005C45FF"/>
    <w:rsid w:val="005C4ADB"/>
    <w:rsid w:val="005C510E"/>
    <w:rsid w:val="005C547B"/>
    <w:rsid w:val="005C55CE"/>
    <w:rsid w:val="005C5794"/>
    <w:rsid w:val="005C5B00"/>
    <w:rsid w:val="005C6551"/>
    <w:rsid w:val="005C6717"/>
    <w:rsid w:val="005C6AC0"/>
    <w:rsid w:val="005C7207"/>
    <w:rsid w:val="005C72F9"/>
    <w:rsid w:val="005C7313"/>
    <w:rsid w:val="005C7357"/>
    <w:rsid w:val="005C75F0"/>
    <w:rsid w:val="005C795B"/>
    <w:rsid w:val="005C7C02"/>
    <w:rsid w:val="005C7EFB"/>
    <w:rsid w:val="005D0251"/>
    <w:rsid w:val="005D0DEB"/>
    <w:rsid w:val="005D0EF9"/>
    <w:rsid w:val="005D0FDE"/>
    <w:rsid w:val="005D1082"/>
    <w:rsid w:val="005D10F9"/>
    <w:rsid w:val="005D128C"/>
    <w:rsid w:val="005D12A3"/>
    <w:rsid w:val="005D14CA"/>
    <w:rsid w:val="005D1AEA"/>
    <w:rsid w:val="005D1FDF"/>
    <w:rsid w:val="005D1FF0"/>
    <w:rsid w:val="005D2313"/>
    <w:rsid w:val="005D2626"/>
    <w:rsid w:val="005D29CD"/>
    <w:rsid w:val="005D2A22"/>
    <w:rsid w:val="005D2AA0"/>
    <w:rsid w:val="005D2AC0"/>
    <w:rsid w:val="005D2C11"/>
    <w:rsid w:val="005D32F2"/>
    <w:rsid w:val="005D34DA"/>
    <w:rsid w:val="005D3654"/>
    <w:rsid w:val="005D372E"/>
    <w:rsid w:val="005D3B29"/>
    <w:rsid w:val="005D3C98"/>
    <w:rsid w:val="005D50A6"/>
    <w:rsid w:val="005D53A7"/>
    <w:rsid w:val="005D5500"/>
    <w:rsid w:val="005D5AF8"/>
    <w:rsid w:val="005D5BDD"/>
    <w:rsid w:val="005D64B7"/>
    <w:rsid w:val="005D65D8"/>
    <w:rsid w:val="005D6ACA"/>
    <w:rsid w:val="005D6C7F"/>
    <w:rsid w:val="005D6F65"/>
    <w:rsid w:val="005D70DF"/>
    <w:rsid w:val="005D7F38"/>
    <w:rsid w:val="005D7FAC"/>
    <w:rsid w:val="005DC767"/>
    <w:rsid w:val="005E00FD"/>
    <w:rsid w:val="005E0973"/>
    <w:rsid w:val="005E0DD6"/>
    <w:rsid w:val="005E0F7D"/>
    <w:rsid w:val="005E0FE3"/>
    <w:rsid w:val="005E10D3"/>
    <w:rsid w:val="005E13AF"/>
    <w:rsid w:val="005E1420"/>
    <w:rsid w:val="005E15CD"/>
    <w:rsid w:val="005E18A7"/>
    <w:rsid w:val="005E18C4"/>
    <w:rsid w:val="005E1C57"/>
    <w:rsid w:val="005E2326"/>
    <w:rsid w:val="005E2813"/>
    <w:rsid w:val="005E2E36"/>
    <w:rsid w:val="005E2F50"/>
    <w:rsid w:val="005E34B5"/>
    <w:rsid w:val="005E3668"/>
    <w:rsid w:val="005E36AB"/>
    <w:rsid w:val="005E3973"/>
    <w:rsid w:val="005E3BA2"/>
    <w:rsid w:val="005E3CDC"/>
    <w:rsid w:val="005E400D"/>
    <w:rsid w:val="005E4606"/>
    <w:rsid w:val="005E5128"/>
    <w:rsid w:val="005E51DE"/>
    <w:rsid w:val="005E588C"/>
    <w:rsid w:val="005E5941"/>
    <w:rsid w:val="005E60D7"/>
    <w:rsid w:val="005E6106"/>
    <w:rsid w:val="005E612C"/>
    <w:rsid w:val="005E62B2"/>
    <w:rsid w:val="005E7379"/>
    <w:rsid w:val="005E7574"/>
    <w:rsid w:val="005E7D18"/>
    <w:rsid w:val="005F097B"/>
    <w:rsid w:val="005F0C15"/>
    <w:rsid w:val="005F0C25"/>
    <w:rsid w:val="005F1018"/>
    <w:rsid w:val="005F10AA"/>
    <w:rsid w:val="005F1B13"/>
    <w:rsid w:val="005F1DCE"/>
    <w:rsid w:val="005F22BE"/>
    <w:rsid w:val="005F262C"/>
    <w:rsid w:val="005F27DC"/>
    <w:rsid w:val="005F2D43"/>
    <w:rsid w:val="005F2FEF"/>
    <w:rsid w:val="005F3956"/>
    <w:rsid w:val="005F4090"/>
    <w:rsid w:val="005F4112"/>
    <w:rsid w:val="005F4222"/>
    <w:rsid w:val="005F43D2"/>
    <w:rsid w:val="005F4858"/>
    <w:rsid w:val="005F4AB8"/>
    <w:rsid w:val="005F4E03"/>
    <w:rsid w:val="005F509F"/>
    <w:rsid w:val="005F589C"/>
    <w:rsid w:val="005F5933"/>
    <w:rsid w:val="005F6CB8"/>
    <w:rsid w:val="005F6CEF"/>
    <w:rsid w:val="005F6D2C"/>
    <w:rsid w:val="005F6D7B"/>
    <w:rsid w:val="005F70B5"/>
    <w:rsid w:val="005F7315"/>
    <w:rsid w:val="005F7784"/>
    <w:rsid w:val="00600C66"/>
    <w:rsid w:val="00600D95"/>
    <w:rsid w:val="00600DC9"/>
    <w:rsid w:val="00600F73"/>
    <w:rsid w:val="006013D6"/>
    <w:rsid w:val="00601761"/>
    <w:rsid w:val="00601A33"/>
    <w:rsid w:val="00601B63"/>
    <w:rsid w:val="00601DE7"/>
    <w:rsid w:val="00602082"/>
    <w:rsid w:val="006022D8"/>
    <w:rsid w:val="006024CD"/>
    <w:rsid w:val="00602779"/>
    <w:rsid w:val="00602A80"/>
    <w:rsid w:val="00602BBA"/>
    <w:rsid w:val="0060333C"/>
    <w:rsid w:val="00603704"/>
    <w:rsid w:val="00603A97"/>
    <w:rsid w:val="00603BE2"/>
    <w:rsid w:val="00603CD5"/>
    <w:rsid w:val="00603CF4"/>
    <w:rsid w:val="00603D31"/>
    <w:rsid w:val="00603D4F"/>
    <w:rsid w:val="00604074"/>
    <w:rsid w:val="00604369"/>
    <w:rsid w:val="006049C2"/>
    <w:rsid w:val="00604C60"/>
    <w:rsid w:val="006050D0"/>
    <w:rsid w:val="0060584C"/>
    <w:rsid w:val="00606033"/>
    <w:rsid w:val="006060E2"/>
    <w:rsid w:val="00606303"/>
    <w:rsid w:val="006064C9"/>
    <w:rsid w:val="00606549"/>
    <w:rsid w:val="0060691D"/>
    <w:rsid w:val="0060695E"/>
    <w:rsid w:val="00607742"/>
    <w:rsid w:val="00610185"/>
    <w:rsid w:val="00610978"/>
    <w:rsid w:val="00611416"/>
    <w:rsid w:val="00611522"/>
    <w:rsid w:val="00611D1E"/>
    <w:rsid w:val="006123FE"/>
    <w:rsid w:val="00612D67"/>
    <w:rsid w:val="00613523"/>
    <w:rsid w:val="006137D3"/>
    <w:rsid w:val="00613E6B"/>
    <w:rsid w:val="0061436D"/>
    <w:rsid w:val="00614BDD"/>
    <w:rsid w:val="00614C9C"/>
    <w:rsid w:val="00614DE2"/>
    <w:rsid w:val="00615B53"/>
    <w:rsid w:val="0061631D"/>
    <w:rsid w:val="00616627"/>
    <w:rsid w:val="00616B76"/>
    <w:rsid w:val="00616BF1"/>
    <w:rsid w:val="0061718B"/>
    <w:rsid w:val="00617469"/>
    <w:rsid w:val="006174DD"/>
    <w:rsid w:val="00617752"/>
    <w:rsid w:val="006178C6"/>
    <w:rsid w:val="00617A28"/>
    <w:rsid w:val="00617A97"/>
    <w:rsid w:val="00617B09"/>
    <w:rsid w:val="006203D5"/>
    <w:rsid w:val="00620422"/>
    <w:rsid w:val="00621403"/>
    <w:rsid w:val="006214A2"/>
    <w:rsid w:val="00622094"/>
    <w:rsid w:val="006222C1"/>
    <w:rsid w:val="00622339"/>
    <w:rsid w:val="006226A2"/>
    <w:rsid w:val="0062318D"/>
    <w:rsid w:val="006231D0"/>
    <w:rsid w:val="00623220"/>
    <w:rsid w:val="00623230"/>
    <w:rsid w:val="006235DE"/>
    <w:rsid w:val="00623909"/>
    <w:rsid w:val="00623A67"/>
    <w:rsid w:val="00623B85"/>
    <w:rsid w:val="00623B8B"/>
    <w:rsid w:val="00623C67"/>
    <w:rsid w:val="00623D3F"/>
    <w:rsid w:val="00624C73"/>
    <w:rsid w:val="00625515"/>
    <w:rsid w:val="006256A0"/>
    <w:rsid w:val="00625766"/>
    <w:rsid w:val="006260D6"/>
    <w:rsid w:val="006262AF"/>
    <w:rsid w:val="006264D3"/>
    <w:rsid w:val="006267D0"/>
    <w:rsid w:val="00626B35"/>
    <w:rsid w:val="006271BD"/>
    <w:rsid w:val="00627412"/>
    <w:rsid w:val="00627AE6"/>
    <w:rsid w:val="00627B93"/>
    <w:rsid w:val="00630AE0"/>
    <w:rsid w:val="00630BDF"/>
    <w:rsid w:val="00630D8D"/>
    <w:rsid w:val="0063106F"/>
    <w:rsid w:val="006312A3"/>
    <w:rsid w:val="00631628"/>
    <w:rsid w:val="00631C93"/>
    <w:rsid w:val="00632477"/>
    <w:rsid w:val="006325F4"/>
    <w:rsid w:val="00632950"/>
    <w:rsid w:val="00632C2D"/>
    <w:rsid w:val="006334D8"/>
    <w:rsid w:val="006335C3"/>
    <w:rsid w:val="00633661"/>
    <w:rsid w:val="0063382D"/>
    <w:rsid w:val="00633D40"/>
    <w:rsid w:val="00634341"/>
    <w:rsid w:val="00634732"/>
    <w:rsid w:val="00634D26"/>
    <w:rsid w:val="00634FE3"/>
    <w:rsid w:val="006353D0"/>
    <w:rsid w:val="006357B1"/>
    <w:rsid w:val="0063597B"/>
    <w:rsid w:val="00635E1D"/>
    <w:rsid w:val="00635E80"/>
    <w:rsid w:val="00635F25"/>
    <w:rsid w:val="00635FAA"/>
    <w:rsid w:val="00636406"/>
    <w:rsid w:val="00636543"/>
    <w:rsid w:val="006367C2"/>
    <w:rsid w:val="00636C27"/>
    <w:rsid w:val="00636F1A"/>
    <w:rsid w:val="00637275"/>
    <w:rsid w:val="0063796F"/>
    <w:rsid w:val="00640909"/>
    <w:rsid w:val="00640AA7"/>
    <w:rsid w:val="00640AE0"/>
    <w:rsid w:val="00641AA2"/>
    <w:rsid w:val="0064221C"/>
    <w:rsid w:val="00642397"/>
    <w:rsid w:val="00642649"/>
    <w:rsid w:val="0064272E"/>
    <w:rsid w:val="00642ABE"/>
    <w:rsid w:val="006436CC"/>
    <w:rsid w:val="00643B83"/>
    <w:rsid w:val="00643C2F"/>
    <w:rsid w:val="00643CB1"/>
    <w:rsid w:val="00644098"/>
    <w:rsid w:val="006443B9"/>
    <w:rsid w:val="006443E0"/>
    <w:rsid w:val="0064470A"/>
    <w:rsid w:val="006447FA"/>
    <w:rsid w:val="0064483E"/>
    <w:rsid w:val="006449AC"/>
    <w:rsid w:val="00644CA6"/>
    <w:rsid w:val="00644D9F"/>
    <w:rsid w:val="006453D0"/>
    <w:rsid w:val="006454CC"/>
    <w:rsid w:val="006459E7"/>
    <w:rsid w:val="006460D7"/>
    <w:rsid w:val="00646409"/>
    <w:rsid w:val="006470E9"/>
    <w:rsid w:val="00647179"/>
    <w:rsid w:val="006478BF"/>
    <w:rsid w:val="00647E77"/>
    <w:rsid w:val="00647F5F"/>
    <w:rsid w:val="006501C6"/>
    <w:rsid w:val="00650734"/>
    <w:rsid w:val="00650885"/>
    <w:rsid w:val="006508B9"/>
    <w:rsid w:val="006509C7"/>
    <w:rsid w:val="00650ABC"/>
    <w:rsid w:val="00650D49"/>
    <w:rsid w:val="00650DCF"/>
    <w:rsid w:val="0065104C"/>
    <w:rsid w:val="00651231"/>
    <w:rsid w:val="0065182A"/>
    <w:rsid w:val="00651C03"/>
    <w:rsid w:val="00651E83"/>
    <w:rsid w:val="00652434"/>
    <w:rsid w:val="006524F9"/>
    <w:rsid w:val="006527BA"/>
    <w:rsid w:val="00652F2A"/>
    <w:rsid w:val="006542DF"/>
    <w:rsid w:val="0065448F"/>
    <w:rsid w:val="00654615"/>
    <w:rsid w:val="006547CE"/>
    <w:rsid w:val="00654DD7"/>
    <w:rsid w:val="00655125"/>
    <w:rsid w:val="006553EF"/>
    <w:rsid w:val="00655716"/>
    <w:rsid w:val="006559F6"/>
    <w:rsid w:val="00655D0F"/>
    <w:rsid w:val="0065616A"/>
    <w:rsid w:val="006565C6"/>
    <w:rsid w:val="00656759"/>
    <w:rsid w:val="0065690B"/>
    <w:rsid w:val="00656DBF"/>
    <w:rsid w:val="00656F5F"/>
    <w:rsid w:val="006570AD"/>
    <w:rsid w:val="00657195"/>
    <w:rsid w:val="006572C3"/>
    <w:rsid w:val="00657CEE"/>
    <w:rsid w:val="00657D0A"/>
    <w:rsid w:val="00657EFD"/>
    <w:rsid w:val="00657F17"/>
    <w:rsid w:val="00657F65"/>
    <w:rsid w:val="00660129"/>
    <w:rsid w:val="00660213"/>
    <w:rsid w:val="00660DE8"/>
    <w:rsid w:val="00660F63"/>
    <w:rsid w:val="00661110"/>
    <w:rsid w:val="00661365"/>
    <w:rsid w:val="00661430"/>
    <w:rsid w:val="006616C6"/>
    <w:rsid w:val="00661B65"/>
    <w:rsid w:val="00661E0C"/>
    <w:rsid w:val="006625FA"/>
    <w:rsid w:val="0066281F"/>
    <w:rsid w:val="00662E50"/>
    <w:rsid w:val="0066301C"/>
    <w:rsid w:val="0066366D"/>
    <w:rsid w:val="00663A5A"/>
    <w:rsid w:val="00664328"/>
    <w:rsid w:val="006648D3"/>
    <w:rsid w:val="00664993"/>
    <w:rsid w:val="00664B32"/>
    <w:rsid w:val="00665367"/>
    <w:rsid w:val="00665436"/>
    <w:rsid w:val="00665510"/>
    <w:rsid w:val="00665AA9"/>
    <w:rsid w:val="00665F42"/>
    <w:rsid w:val="00666072"/>
    <w:rsid w:val="0066611C"/>
    <w:rsid w:val="006661DE"/>
    <w:rsid w:val="0066624C"/>
    <w:rsid w:val="006662C8"/>
    <w:rsid w:val="006664A8"/>
    <w:rsid w:val="00666752"/>
    <w:rsid w:val="00666A7C"/>
    <w:rsid w:val="006671DB"/>
    <w:rsid w:val="006676CD"/>
    <w:rsid w:val="00667F97"/>
    <w:rsid w:val="00670D52"/>
    <w:rsid w:val="00670D84"/>
    <w:rsid w:val="0067167D"/>
    <w:rsid w:val="006717B6"/>
    <w:rsid w:val="00671890"/>
    <w:rsid w:val="00671EFF"/>
    <w:rsid w:val="0067245F"/>
    <w:rsid w:val="00672486"/>
    <w:rsid w:val="00672964"/>
    <w:rsid w:val="00672B00"/>
    <w:rsid w:val="00672E25"/>
    <w:rsid w:val="00672EF4"/>
    <w:rsid w:val="00673946"/>
    <w:rsid w:val="00673A7D"/>
    <w:rsid w:val="00673CE0"/>
    <w:rsid w:val="00674130"/>
    <w:rsid w:val="006743E9"/>
    <w:rsid w:val="00674638"/>
    <w:rsid w:val="006746F3"/>
    <w:rsid w:val="006755FB"/>
    <w:rsid w:val="00675D2B"/>
    <w:rsid w:val="00676450"/>
    <w:rsid w:val="00676587"/>
    <w:rsid w:val="0067662A"/>
    <w:rsid w:val="00676F3C"/>
    <w:rsid w:val="0067757B"/>
    <w:rsid w:val="00677B18"/>
    <w:rsid w:val="00677B3C"/>
    <w:rsid w:val="0068026B"/>
    <w:rsid w:val="00680421"/>
    <w:rsid w:val="00680951"/>
    <w:rsid w:val="00680BB1"/>
    <w:rsid w:val="00680D94"/>
    <w:rsid w:val="00681B30"/>
    <w:rsid w:val="00681D9B"/>
    <w:rsid w:val="0068271C"/>
    <w:rsid w:val="00682C86"/>
    <w:rsid w:val="0068345E"/>
    <w:rsid w:val="0068366B"/>
    <w:rsid w:val="00683793"/>
    <w:rsid w:val="006837CA"/>
    <w:rsid w:val="00683A90"/>
    <w:rsid w:val="006840FE"/>
    <w:rsid w:val="0068455B"/>
    <w:rsid w:val="006845D9"/>
    <w:rsid w:val="00684D66"/>
    <w:rsid w:val="00684E5B"/>
    <w:rsid w:val="00684FD0"/>
    <w:rsid w:val="00685352"/>
    <w:rsid w:val="00685EDA"/>
    <w:rsid w:val="006863F6"/>
    <w:rsid w:val="00686AB3"/>
    <w:rsid w:val="006875A0"/>
    <w:rsid w:val="0068795B"/>
    <w:rsid w:val="006879AF"/>
    <w:rsid w:val="00687E3A"/>
    <w:rsid w:val="00690083"/>
    <w:rsid w:val="00690ADD"/>
    <w:rsid w:val="00690CB7"/>
    <w:rsid w:val="006910BC"/>
    <w:rsid w:val="0069124C"/>
    <w:rsid w:val="00691294"/>
    <w:rsid w:val="006919F2"/>
    <w:rsid w:val="00691ADC"/>
    <w:rsid w:val="00691F12"/>
    <w:rsid w:val="00691F99"/>
    <w:rsid w:val="006925A3"/>
    <w:rsid w:val="006927C7"/>
    <w:rsid w:val="00692D5D"/>
    <w:rsid w:val="0069331E"/>
    <w:rsid w:val="00693368"/>
    <w:rsid w:val="00693C9E"/>
    <w:rsid w:val="00693E88"/>
    <w:rsid w:val="00694D73"/>
    <w:rsid w:val="0069506F"/>
    <w:rsid w:val="006952B1"/>
    <w:rsid w:val="0069549A"/>
    <w:rsid w:val="006957A4"/>
    <w:rsid w:val="00695847"/>
    <w:rsid w:val="00695874"/>
    <w:rsid w:val="006958C4"/>
    <w:rsid w:val="006958E2"/>
    <w:rsid w:val="006959FE"/>
    <w:rsid w:val="00695B43"/>
    <w:rsid w:val="006968E5"/>
    <w:rsid w:val="00696997"/>
    <w:rsid w:val="00696BCB"/>
    <w:rsid w:val="00697391"/>
    <w:rsid w:val="0069787E"/>
    <w:rsid w:val="00697E0D"/>
    <w:rsid w:val="006A00E9"/>
    <w:rsid w:val="006A010A"/>
    <w:rsid w:val="006A0682"/>
    <w:rsid w:val="006A0D4A"/>
    <w:rsid w:val="006A0D74"/>
    <w:rsid w:val="006A0F62"/>
    <w:rsid w:val="006A0F73"/>
    <w:rsid w:val="006A11FB"/>
    <w:rsid w:val="006A147A"/>
    <w:rsid w:val="006A1E0B"/>
    <w:rsid w:val="006A23CA"/>
    <w:rsid w:val="006A26A0"/>
    <w:rsid w:val="006A2778"/>
    <w:rsid w:val="006A2C17"/>
    <w:rsid w:val="006A2C55"/>
    <w:rsid w:val="006A2D2C"/>
    <w:rsid w:val="006A350A"/>
    <w:rsid w:val="006A38D4"/>
    <w:rsid w:val="006A3944"/>
    <w:rsid w:val="006A4478"/>
    <w:rsid w:val="006A4F7D"/>
    <w:rsid w:val="006A5054"/>
    <w:rsid w:val="006A50A4"/>
    <w:rsid w:val="006A523E"/>
    <w:rsid w:val="006A5525"/>
    <w:rsid w:val="006A5C0F"/>
    <w:rsid w:val="006A6293"/>
    <w:rsid w:val="006A6514"/>
    <w:rsid w:val="006A6B47"/>
    <w:rsid w:val="006A794A"/>
    <w:rsid w:val="006A7DBD"/>
    <w:rsid w:val="006B0229"/>
    <w:rsid w:val="006B09E6"/>
    <w:rsid w:val="006B0B17"/>
    <w:rsid w:val="006B124F"/>
    <w:rsid w:val="006B1DD3"/>
    <w:rsid w:val="006B231C"/>
    <w:rsid w:val="006B234A"/>
    <w:rsid w:val="006B251B"/>
    <w:rsid w:val="006B2737"/>
    <w:rsid w:val="006B312A"/>
    <w:rsid w:val="006B31FD"/>
    <w:rsid w:val="006B3367"/>
    <w:rsid w:val="006B35B6"/>
    <w:rsid w:val="006B3863"/>
    <w:rsid w:val="006B38FE"/>
    <w:rsid w:val="006B3D56"/>
    <w:rsid w:val="006B4531"/>
    <w:rsid w:val="006B532D"/>
    <w:rsid w:val="006B5656"/>
    <w:rsid w:val="006B57ED"/>
    <w:rsid w:val="006B5DF0"/>
    <w:rsid w:val="006B67EB"/>
    <w:rsid w:val="006B6F5D"/>
    <w:rsid w:val="006B722A"/>
    <w:rsid w:val="006B726B"/>
    <w:rsid w:val="006B7822"/>
    <w:rsid w:val="006B783F"/>
    <w:rsid w:val="006B7B8F"/>
    <w:rsid w:val="006C011A"/>
    <w:rsid w:val="006C06B2"/>
    <w:rsid w:val="006C0EF0"/>
    <w:rsid w:val="006C1213"/>
    <w:rsid w:val="006C163A"/>
    <w:rsid w:val="006C17DF"/>
    <w:rsid w:val="006C1C30"/>
    <w:rsid w:val="006C260D"/>
    <w:rsid w:val="006C2676"/>
    <w:rsid w:val="006C28E1"/>
    <w:rsid w:val="006C2D34"/>
    <w:rsid w:val="006C2F9E"/>
    <w:rsid w:val="006C3627"/>
    <w:rsid w:val="006C379D"/>
    <w:rsid w:val="006C4FAF"/>
    <w:rsid w:val="006C5751"/>
    <w:rsid w:val="006C5D4B"/>
    <w:rsid w:val="006C6240"/>
    <w:rsid w:val="006C64A1"/>
    <w:rsid w:val="006C6CF6"/>
    <w:rsid w:val="006C6D21"/>
    <w:rsid w:val="006C7079"/>
    <w:rsid w:val="006C74CD"/>
    <w:rsid w:val="006C781B"/>
    <w:rsid w:val="006C7A34"/>
    <w:rsid w:val="006C7BF6"/>
    <w:rsid w:val="006D0ACF"/>
    <w:rsid w:val="006D0C18"/>
    <w:rsid w:val="006D0F2B"/>
    <w:rsid w:val="006D12CE"/>
    <w:rsid w:val="006D1308"/>
    <w:rsid w:val="006D1524"/>
    <w:rsid w:val="006D1F8D"/>
    <w:rsid w:val="006D2260"/>
    <w:rsid w:val="006D23DA"/>
    <w:rsid w:val="006D2B62"/>
    <w:rsid w:val="006D2C5A"/>
    <w:rsid w:val="006D2CD7"/>
    <w:rsid w:val="006D2ED0"/>
    <w:rsid w:val="006D36CD"/>
    <w:rsid w:val="006D3A65"/>
    <w:rsid w:val="006D3E22"/>
    <w:rsid w:val="006D3FDB"/>
    <w:rsid w:val="006D5433"/>
    <w:rsid w:val="006D576B"/>
    <w:rsid w:val="006D57D6"/>
    <w:rsid w:val="006D5A2D"/>
    <w:rsid w:val="006D5A44"/>
    <w:rsid w:val="006D5B01"/>
    <w:rsid w:val="006D60C3"/>
    <w:rsid w:val="006D6107"/>
    <w:rsid w:val="006D6334"/>
    <w:rsid w:val="006D680A"/>
    <w:rsid w:val="006D73F1"/>
    <w:rsid w:val="006D793B"/>
    <w:rsid w:val="006E04A4"/>
    <w:rsid w:val="006E09F7"/>
    <w:rsid w:val="006E0C5E"/>
    <w:rsid w:val="006E1129"/>
    <w:rsid w:val="006E12C0"/>
    <w:rsid w:val="006E1A83"/>
    <w:rsid w:val="006E1B60"/>
    <w:rsid w:val="006E1E47"/>
    <w:rsid w:val="006E1FC4"/>
    <w:rsid w:val="006E223C"/>
    <w:rsid w:val="006E25BE"/>
    <w:rsid w:val="006E286A"/>
    <w:rsid w:val="006E2FE9"/>
    <w:rsid w:val="006E37EA"/>
    <w:rsid w:val="006E397C"/>
    <w:rsid w:val="006E3C47"/>
    <w:rsid w:val="006E3E90"/>
    <w:rsid w:val="006E4020"/>
    <w:rsid w:val="006E41F1"/>
    <w:rsid w:val="006E4285"/>
    <w:rsid w:val="006E436B"/>
    <w:rsid w:val="006E4444"/>
    <w:rsid w:val="006E457B"/>
    <w:rsid w:val="006E4794"/>
    <w:rsid w:val="006E50FE"/>
    <w:rsid w:val="006E5541"/>
    <w:rsid w:val="006E5896"/>
    <w:rsid w:val="006E5C31"/>
    <w:rsid w:val="006E5E99"/>
    <w:rsid w:val="006E61CC"/>
    <w:rsid w:val="006E6872"/>
    <w:rsid w:val="006E68DF"/>
    <w:rsid w:val="006E6B14"/>
    <w:rsid w:val="006E6F5C"/>
    <w:rsid w:val="006E7367"/>
    <w:rsid w:val="006E7FC7"/>
    <w:rsid w:val="006F0B37"/>
    <w:rsid w:val="006F0F61"/>
    <w:rsid w:val="006F10B8"/>
    <w:rsid w:val="006F117A"/>
    <w:rsid w:val="006F1250"/>
    <w:rsid w:val="006F1307"/>
    <w:rsid w:val="006F1411"/>
    <w:rsid w:val="006F1809"/>
    <w:rsid w:val="006F1BFD"/>
    <w:rsid w:val="006F1E6D"/>
    <w:rsid w:val="006F2D97"/>
    <w:rsid w:val="006F36DB"/>
    <w:rsid w:val="006F38AC"/>
    <w:rsid w:val="006F3C77"/>
    <w:rsid w:val="006F4006"/>
    <w:rsid w:val="006F42B3"/>
    <w:rsid w:val="006F4743"/>
    <w:rsid w:val="006F4CF6"/>
    <w:rsid w:val="006F4DD0"/>
    <w:rsid w:val="006F58D2"/>
    <w:rsid w:val="006F5BFA"/>
    <w:rsid w:val="006F6276"/>
    <w:rsid w:val="006F637F"/>
    <w:rsid w:val="006F64FF"/>
    <w:rsid w:val="006F6708"/>
    <w:rsid w:val="006F6CBF"/>
    <w:rsid w:val="006F6D01"/>
    <w:rsid w:val="006F762B"/>
    <w:rsid w:val="006F766A"/>
    <w:rsid w:val="007005E0"/>
    <w:rsid w:val="007012B5"/>
    <w:rsid w:val="007014CF"/>
    <w:rsid w:val="007015F1"/>
    <w:rsid w:val="00701B04"/>
    <w:rsid w:val="00701C58"/>
    <w:rsid w:val="0070209A"/>
    <w:rsid w:val="007025A9"/>
    <w:rsid w:val="0070299B"/>
    <w:rsid w:val="00702D49"/>
    <w:rsid w:val="00704026"/>
    <w:rsid w:val="007045D5"/>
    <w:rsid w:val="00704ADE"/>
    <w:rsid w:val="00704B3B"/>
    <w:rsid w:val="00704DC0"/>
    <w:rsid w:val="007059A0"/>
    <w:rsid w:val="00706460"/>
    <w:rsid w:val="00706F64"/>
    <w:rsid w:val="0070723D"/>
    <w:rsid w:val="00707241"/>
    <w:rsid w:val="007072B0"/>
    <w:rsid w:val="007075DE"/>
    <w:rsid w:val="00707833"/>
    <w:rsid w:val="00707BEA"/>
    <w:rsid w:val="007101A7"/>
    <w:rsid w:val="00710257"/>
    <w:rsid w:val="0071041E"/>
    <w:rsid w:val="00710DFB"/>
    <w:rsid w:val="00711320"/>
    <w:rsid w:val="00711AE3"/>
    <w:rsid w:val="00711DFA"/>
    <w:rsid w:val="007121EE"/>
    <w:rsid w:val="00712344"/>
    <w:rsid w:val="007139A4"/>
    <w:rsid w:val="00713BA4"/>
    <w:rsid w:val="0071450D"/>
    <w:rsid w:val="007147BA"/>
    <w:rsid w:val="00714F1E"/>
    <w:rsid w:val="007151A5"/>
    <w:rsid w:val="00715313"/>
    <w:rsid w:val="00715C7E"/>
    <w:rsid w:val="007161FB"/>
    <w:rsid w:val="007162DA"/>
    <w:rsid w:val="00716644"/>
    <w:rsid w:val="00716669"/>
    <w:rsid w:val="007170BC"/>
    <w:rsid w:val="007175E5"/>
    <w:rsid w:val="00717667"/>
    <w:rsid w:val="0071776A"/>
    <w:rsid w:val="00717830"/>
    <w:rsid w:val="0071785B"/>
    <w:rsid w:val="00717B34"/>
    <w:rsid w:val="00717EF6"/>
    <w:rsid w:val="00720D09"/>
    <w:rsid w:val="00720D67"/>
    <w:rsid w:val="00720F68"/>
    <w:rsid w:val="0072127D"/>
    <w:rsid w:val="00721408"/>
    <w:rsid w:val="00721D51"/>
    <w:rsid w:val="00721E10"/>
    <w:rsid w:val="00721E3E"/>
    <w:rsid w:val="007220F5"/>
    <w:rsid w:val="007224F9"/>
    <w:rsid w:val="00722725"/>
    <w:rsid w:val="007229E9"/>
    <w:rsid w:val="00722A9D"/>
    <w:rsid w:val="00723970"/>
    <w:rsid w:val="00723C38"/>
    <w:rsid w:val="007244C5"/>
    <w:rsid w:val="00724723"/>
    <w:rsid w:val="00724E57"/>
    <w:rsid w:val="00725088"/>
    <w:rsid w:val="007251BD"/>
    <w:rsid w:val="007262F6"/>
    <w:rsid w:val="0072773A"/>
    <w:rsid w:val="00727A7E"/>
    <w:rsid w:val="00727C20"/>
    <w:rsid w:val="00727C75"/>
    <w:rsid w:val="007304A6"/>
    <w:rsid w:val="00730812"/>
    <w:rsid w:val="007309D1"/>
    <w:rsid w:val="00730ABC"/>
    <w:rsid w:val="0073128C"/>
    <w:rsid w:val="0073171A"/>
    <w:rsid w:val="0073193E"/>
    <w:rsid w:val="00731CF4"/>
    <w:rsid w:val="00731D2A"/>
    <w:rsid w:val="00731F75"/>
    <w:rsid w:val="00732064"/>
    <w:rsid w:val="00732292"/>
    <w:rsid w:val="00732505"/>
    <w:rsid w:val="007334BB"/>
    <w:rsid w:val="007335C6"/>
    <w:rsid w:val="00733936"/>
    <w:rsid w:val="00733C8E"/>
    <w:rsid w:val="00734D03"/>
    <w:rsid w:val="00734D88"/>
    <w:rsid w:val="00734EF6"/>
    <w:rsid w:val="00735211"/>
    <w:rsid w:val="007353CF"/>
    <w:rsid w:val="00735A99"/>
    <w:rsid w:val="00735E09"/>
    <w:rsid w:val="007360BA"/>
    <w:rsid w:val="007366E7"/>
    <w:rsid w:val="00736729"/>
    <w:rsid w:val="00736763"/>
    <w:rsid w:val="00736FE5"/>
    <w:rsid w:val="0073701C"/>
    <w:rsid w:val="00737094"/>
    <w:rsid w:val="007372C9"/>
    <w:rsid w:val="0073758C"/>
    <w:rsid w:val="0073799E"/>
    <w:rsid w:val="00737CD7"/>
    <w:rsid w:val="007400C9"/>
    <w:rsid w:val="00740188"/>
    <w:rsid w:val="00740302"/>
    <w:rsid w:val="00740375"/>
    <w:rsid w:val="0074040C"/>
    <w:rsid w:val="0074054B"/>
    <w:rsid w:val="0074083B"/>
    <w:rsid w:val="00740B3A"/>
    <w:rsid w:val="00740CA4"/>
    <w:rsid w:val="00741917"/>
    <w:rsid w:val="00741A57"/>
    <w:rsid w:val="00741B6F"/>
    <w:rsid w:val="00741E3E"/>
    <w:rsid w:val="00741FA2"/>
    <w:rsid w:val="00742338"/>
    <w:rsid w:val="007437A5"/>
    <w:rsid w:val="007438F5"/>
    <w:rsid w:val="00743C63"/>
    <w:rsid w:val="00744163"/>
    <w:rsid w:val="00744365"/>
    <w:rsid w:val="007446FF"/>
    <w:rsid w:val="007448ED"/>
    <w:rsid w:val="00744B46"/>
    <w:rsid w:val="00744B5C"/>
    <w:rsid w:val="00744E2D"/>
    <w:rsid w:val="00745507"/>
    <w:rsid w:val="007458C5"/>
    <w:rsid w:val="00745F5E"/>
    <w:rsid w:val="00746F05"/>
    <w:rsid w:val="0074701C"/>
    <w:rsid w:val="007470C9"/>
    <w:rsid w:val="00747302"/>
    <w:rsid w:val="00747C2A"/>
    <w:rsid w:val="00747C2B"/>
    <w:rsid w:val="00747EED"/>
    <w:rsid w:val="00747FF4"/>
    <w:rsid w:val="00750241"/>
    <w:rsid w:val="00750E3E"/>
    <w:rsid w:val="00750E63"/>
    <w:rsid w:val="00751082"/>
    <w:rsid w:val="007512F5"/>
    <w:rsid w:val="00751883"/>
    <w:rsid w:val="00751BD2"/>
    <w:rsid w:val="00751BE5"/>
    <w:rsid w:val="00751C58"/>
    <w:rsid w:val="00752393"/>
    <w:rsid w:val="00753595"/>
    <w:rsid w:val="00753933"/>
    <w:rsid w:val="0075394A"/>
    <w:rsid w:val="00753C76"/>
    <w:rsid w:val="00754306"/>
    <w:rsid w:val="007544CC"/>
    <w:rsid w:val="007548DE"/>
    <w:rsid w:val="00754CE0"/>
    <w:rsid w:val="00754DD8"/>
    <w:rsid w:val="00755078"/>
    <w:rsid w:val="00755463"/>
    <w:rsid w:val="007555A3"/>
    <w:rsid w:val="00755A10"/>
    <w:rsid w:val="00755A2C"/>
    <w:rsid w:val="00755B39"/>
    <w:rsid w:val="007564D5"/>
    <w:rsid w:val="00756790"/>
    <w:rsid w:val="00756B92"/>
    <w:rsid w:val="00757135"/>
    <w:rsid w:val="0075741D"/>
    <w:rsid w:val="0075768E"/>
    <w:rsid w:val="007576BA"/>
    <w:rsid w:val="007578B0"/>
    <w:rsid w:val="007579A7"/>
    <w:rsid w:val="0076029D"/>
    <w:rsid w:val="0076040F"/>
    <w:rsid w:val="00760649"/>
    <w:rsid w:val="0076069E"/>
    <w:rsid w:val="00760CD4"/>
    <w:rsid w:val="00760D02"/>
    <w:rsid w:val="00760D1E"/>
    <w:rsid w:val="00761674"/>
    <w:rsid w:val="00761787"/>
    <w:rsid w:val="0076191B"/>
    <w:rsid w:val="00761C1D"/>
    <w:rsid w:val="00761CB6"/>
    <w:rsid w:val="00761FCC"/>
    <w:rsid w:val="007633AC"/>
    <w:rsid w:val="00763575"/>
    <w:rsid w:val="007638DF"/>
    <w:rsid w:val="00763A9D"/>
    <w:rsid w:val="00763C60"/>
    <w:rsid w:val="00764125"/>
    <w:rsid w:val="00764A73"/>
    <w:rsid w:val="00764B10"/>
    <w:rsid w:val="0076513C"/>
    <w:rsid w:val="00765C36"/>
    <w:rsid w:val="00766365"/>
    <w:rsid w:val="0076643F"/>
    <w:rsid w:val="00766507"/>
    <w:rsid w:val="00766754"/>
    <w:rsid w:val="007667F9"/>
    <w:rsid w:val="007668EA"/>
    <w:rsid w:val="00766FB3"/>
    <w:rsid w:val="0076705D"/>
    <w:rsid w:val="0076709E"/>
    <w:rsid w:val="007670D1"/>
    <w:rsid w:val="00767CD2"/>
    <w:rsid w:val="00767D72"/>
    <w:rsid w:val="00767F76"/>
    <w:rsid w:val="007700DF"/>
    <w:rsid w:val="007701DF"/>
    <w:rsid w:val="00770367"/>
    <w:rsid w:val="00770934"/>
    <w:rsid w:val="0077106B"/>
    <w:rsid w:val="00771122"/>
    <w:rsid w:val="00771480"/>
    <w:rsid w:val="007727F2"/>
    <w:rsid w:val="00772D94"/>
    <w:rsid w:val="0077311C"/>
    <w:rsid w:val="00773386"/>
    <w:rsid w:val="007743D8"/>
    <w:rsid w:val="00774473"/>
    <w:rsid w:val="00774837"/>
    <w:rsid w:val="00774992"/>
    <w:rsid w:val="007749F5"/>
    <w:rsid w:val="00774B0B"/>
    <w:rsid w:val="00774B40"/>
    <w:rsid w:val="00774C67"/>
    <w:rsid w:val="00774FB3"/>
    <w:rsid w:val="00775242"/>
    <w:rsid w:val="00775BE9"/>
    <w:rsid w:val="00775CF6"/>
    <w:rsid w:val="00776317"/>
    <w:rsid w:val="0077633F"/>
    <w:rsid w:val="00776695"/>
    <w:rsid w:val="00776A77"/>
    <w:rsid w:val="00776CAF"/>
    <w:rsid w:val="00776E52"/>
    <w:rsid w:val="0077711F"/>
    <w:rsid w:val="0077788D"/>
    <w:rsid w:val="00777D6D"/>
    <w:rsid w:val="00777D70"/>
    <w:rsid w:val="00780B4F"/>
    <w:rsid w:val="00780BD1"/>
    <w:rsid w:val="00780F00"/>
    <w:rsid w:val="00781097"/>
    <w:rsid w:val="007818B2"/>
    <w:rsid w:val="007819C0"/>
    <w:rsid w:val="00781B32"/>
    <w:rsid w:val="0078294B"/>
    <w:rsid w:val="00783015"/>
    <w:rsid w:val="00783A10"/>
    <w:rsid w:val="00783F20"/>
    <w:rsid w:val="00784006"/>
    <w:rsid w:val="0078420E"/>
    <w:rsid w:val="00784C88"/>
    <w:rsid w:val="00785037"/>
    <w:rsid w:val="00785402"/>
    <w:rsid w:val="0078570F"/>
    <w:rsid w:val="00785A17"/>
    <w:rsid w:val="00785CF0"/>
    <w:rsid w:val="00785D3A"/>
    <w:rsid w:val="00785EE8"/>
    <w:rsid w:val="0078610D"/>
    <w:rsid w:val="00786450"/>
    <w:rsid w:val="00786779"/>
    <w:rsid w:val="00786866"/>
    <w:rsid w:val="00786A7F"/>
    <w:rsid w:val="00786E31"/>
    <w:rsid w:val="00786ECA"/>
    <w:rsid w:val="00786EE4"/>
    <w:rsid w:val="00787247"/>
    <w:rsid w:val="007878EF"/>
    <w:rsid w:val="007879CF"/>
    <w:rsid w:val="00790A11"/>
    <w:rsid w:val="00790A7A"/>
    <w:rsid w:val="00791783"/>
    <w:rsid w:val="00791A63"/>
    <w:rsid w:val="00791E5E"/>
    <w:rsid w:val="007924B8"/>
    <w:rsid w:val="007926B6"/>
    <w:rsid w:val="00793120"/>
    <w:rsid w:val="0079339A"/>
    <w:rsid w:val="007936B0"/>
    <w:rsid w:val="007944B0"/>
    <w:rsid w:val="0079459C"/>
    <w:rsid w:val="007947E2"/>
    <w:rsid w:val="00794908"/>
    <w:rsid w:val="00794D06"/>
    <w:rsid w:val="00794D63"/>
    <w:rsid w:val="00794DC9"/>
    <w:rsid w:val="00794EAB"/>
    <w:rsid w:val="0079527E"/>
    <w:rsid w:val="0079576D"/>
    <w:rsid w:val="007963A2"/>
    <w:rsid w:val="007963B9"/>
    <w:rsid w:val="007965B7"/>
    <w:rsid w:val="00796898"/>
    <w:rsid w:val="00796AAD"/>
    <w:rsid w:val="00796E6F"/>
    <w:rsid w:val="0079732A"/>
    <w:rsid w:val="00797403"/>
    <w:rsid w:val="007976D0"/>
    <w:rsid w:val="00797899"/>
    <w:rsid w:val="00797B81"/>
    <w:rsid w:val="0079B166"/>
    <w:rsid w:val="007A01FC"/>
    <w:rsid w:val="007A08D8"/>
    <w:rsid w:val="007A1052"/>
    <w:rsid w:val="007A1951"/>
    <w:rsid w:val="007A196A"/>
    <w:rsid w:val="007A2A5A"/>
    <w:rsid w:val="007A2C62"/>
    <w:rsid w:val="007A3D81"/>
    <w:rsid w:val="007A3F7C"/>
    <w:rsid w:val="007A41D7"/>
    <w:rsid w:val="007A435D"/>
    <w:rsid w:val="007A4409"/>
    <w:rsid w:val="007A4419"/>
    <w:rsid w:val="007A4D9F"/>
    <w:rsid w:val="007A4EE9"/>
    <w:rsid w:val="007A4FD8"/>
    <w:rsid w:val="007A57AC"/>
    <w:rsid w:val="007A5BEC"/>
    <w:rsid w:val="007A6181"/>
    <w:rsid w:val="007A63F8"/>
    <w:rsid w:val="007A6D3C"/>
    <w:rsid w:val="007A6E44"/>
    <w:rsid w:val="007A730A"/>
    <w:rsid w:val="007A7856"/>
    <w:rsid w:val="007A7FDB"/>
    <w:rsid w:val="007B027A"/>
    <w:rsid w:val="007B02B5"/>
    <w:rsid w:val="007B0467"/>
    <w:rsid w:val="007B0804"/>
    <w:rsid w:val="007B0BE2"/>
    <w:rsid w:val="007B0F6C"/>
    <w:rsid w:val="007B118F"/>
    <w:rsid w:val="007B129E"/>
    <w:rsid w:val="007B1B14"/>
    <w:rsid w:val="007B1B62"/>
    <w:rsid w:val="007B1CDB"/>
    <w:rsid w:val="007B1EAA"/>
    <w:rsid w:val="007B2337"/>
    <w:rsid w:val="007B2373"/>
    <w:rsid w:val="007B2660"/>
    <w:rsid w:val="007B2A49"/>
    <w:rsid w:val="007B2D6E"/>
    <w:rsid w:val="007B2FCA"/>
    <w:rsid w:val="007B3067"/>
    <w:rsid w:val="007B34B4"/>
    <w:rsid w:val="007B3548"/>
    <w:rsid w:val="007B3B41"/>
    <w:rsid w:val="007B4024"/>
    <w:rsid w:val="007B4339"/>
    <w:rsid w:val="007B52E8"/>
    <w:rsid w:val="007B5321"/>
    <w:rsid w:val="007B5425"/>
    <w:rsid w:val="007B56C0"/>
    <w:rsid w:val="007B57FA"/>
    <w:rsid w:val="007B59E5"/>
    <w:rsid w:val="007B5B19"/>
    <w:rsid w:val="007B6033"/>
    <w:rsid w:val="007B61A4"/>
    <w:rsid w:val="007B63DD"/>
    <w:rsid w:val="007B655E"/>
    <w:rsid w:val="007B6E79"/>
    <w:rsid w:val="007B74C1"/>
    <w:rsid w:val="007B763D"/>
    <w:rsid w:val="007B7784"/>
    <w:rsid w:val="007B7B5B"/>
    <w:rsid w:val="007B7CEB"/>
    <w:rsid w:val="007C020E"/>
    <w:rsid w:val="007C045F"/>
    <w:rsid w:val="007C047C"/>
    <w:rsid w:val="007C0BDF"/>
    <w:rsid w:val="007C0D94"/>
    <w:rsid w:val="007C0E52"/>
    <w:rsid w:val="007C114B"/>
    <w:rsid w:val="007C12B2"/>
    <w:rsid w:val="007C13D2"/>
    <w:rsid w:val="007C1D41"/>
    <w:rsid w:val="007C276D"/>
    <w:rsid w:val="007C27D5"/>
    <w:rsid w:val="007C27FD"/>
    <w:rsid w:val="007C2CEE"/>
    <w:rsid w:val="007C2DD3"/>
    <w:rsid w:val="007C34B2"/>
    <w:rsid w:val="007C371A"/>
    <w:rsid w:val="007C39D5"/>
    <w:rsid w:val="007C430F"/>
    <w:rsid w:val="007C4A32"/>
    <w:rsid w:val="007C5058"/>
    <w:rsid w:val="007C56BC"/>
    <w:rsid w:val="007C5C34"/>
    <w:rsid w:val="007C5CF1"/>
    <w:rsid w:val="007C6129"/>
    <w:rsid w:val="007C63D5"/>
    <w:rsid w:val="007C6A4B"/>
    <w:rsid w:val="007C6FDA"/>
    <w:rsid w:val="007C7124"/>
    <w:rsid w:val="007C7311"/>
    <w:rsid w:val="007C7555"/>
    <w:rsid w:val="007C7A95"/>
    <w:rsid w:val="007C7BD2"/>
    <w:rsid w:val="007C7D16"/>
    <w:rsid w:val="007C7F8A"/>
    <w:rsid w:val="007D02F4"/>
    <w:rsid w:val="007D0583"/>
    <w:rsid w:val="007D0740"/>
    <w:rsid w:val="007D0894"/>
    <w:rsid w:val="007D0928"/>
    <w:rsid w:val="007D0C56"/>
    <w:rsid w:val="007D0CE8"/>
    <w:rsid w:val="007D0F6C"/>
    <w:rsid w:val="007D18CA"/>
    <w:rsid w:val="007D1947"/>
    <w:rsid w:val="007D1D23"/>
    <w:rsid w:val="007D1E12"/>
    <w:rsid w:val="007D262F"/>
    <w:rsid w:val="007D38DC"/>
    <w:rsid w:val="007D3EC8"/>
    <w:rsid w:val="007D3F12"/>
    <w:rsid w:val="007D4590"/>
    <w:rsid w:val="007D47BA"/>
    <w:rsid w:val="007D4844"/>
    <w:rsid w:val="007D4997"/>
    <w:rsid w:val="007D5056"/>
    <w:rsid w:val="007D524D"/>
    <w:rsid w:val="007D52AF"/>
    <w:rsid w:val="007D53A4"/>
    <w:rsid w:val="007D5500"/>
    <w:rsid w:val="007D5684"/>
    <w:rsid w:val="007D5817"/>
    <w:rsid w:val="007D5D77"/>
    <w:rsid w:val="007D5DD9"/>
    <w:rsid w:val="007D5F68"/>
    <w:rsid w:val="007D65A0"/>
    <w:rsid w:val="007D7050"/>
    <w:rsid w:val="007D7201"/>
    <w:rsid w:val="007D758F"/>
    <w:rsid w:val="007D7668"/>
    <w:rsid w:val="007D77B8"/>
    <w:rsid w:val="007D7A67"/>
    <w:rsid w:val="007E0140"/>
    <w:rsid w:val="007E0CDE"/>
    <w:rsid w:val="007E2D1D"/>
    <w:rsid w:val="007E2FB1"/>
    <w:rsid w:val="007E3063"/>
    <w:rsid w:val="007E3301"/>
    <w:rsid w:val="007E3D23"/>
    <w:rsid w:val="007E46EE"/>
    <w:rsid w:val="007E47D7"/>
    <w:rsid w:val="007E52B9"/>
    <w:rsid w:val="007E5859"/>
    <w:rsid w:val="007E5E6D"/>
    <w:rsid w:val="007E5FFF"/>
    <w:rsid w:val="007E6027"/>
    <w:rsid w:val="007E69AE"/>
    <w:rsid w:val="007E6A04"/>
    <w:rsid w:val="007E6A8B"/>
    <w:rsid w:val="007E6D16"/>
    <w:rsid w:val="007E7131"/>
    <w:rsid w:val="007E7963"/>
    <w:rsid w:val="007E7A87"/>
    <w:rsid w:val="007E7BE6"/>
    <w:rsid w:val="007F0049"/>
    <w:rsid w:val="007F01D0"/>
    <w:rsid w:val="007F03C2"/>
    <w:rsid w:val="007F06F8"/>
    <w:rsid w:val="007F0B2F"/>
    <w:rsid w:val="007F0E5D"/>
    <w:rsid w:val="007F13FF"/>
    <w:rsid w:val="007F19C7"/>
    <w:rsid w:val="007F1B75"/>
    <w:rsid w:val="007F1F84"/>
    <w:rsid w:val="007F2467"/>
    <w:rsid w:val="007F24A2"/>
    <w:rsid w:val="007F3088"/>
    <w:rsid w:val="007F382B"/>
    <w:rsid w:val="007F3B64"/>
    <w:rsid w:val="007F41B9"/>
    <w:rsid w:val="007F4C89"/>
    <w:rsid w:val="007F4D03"/>
    <w:rsid w:val="007F4FA9"/>
    <w:rsid w:val="007F50B0"/>
    <w:rsid w:val="007F550C"/>
    <w:rsid w:val="007F5999"/>
    <w:rsid w:val="007F5AB2"/>
    <w:rsid w:val="007F5C0F"/>
    <w:rsid w:val="007F5CD8"/>
    <w:rsid w:val="007F5CF6"/>
    <w:rsid w:val="007F5EB2"/>
    <w:rsid w:val="007F6317"/>
    <w:rsid w:val="007F643D"/>
    <w:rsid w:val="007F6B94"/>
    <w:rsid w:val="007F6C6F"/>
    <w:rsid w:val="007F6CCB"/>
    <w:rsid w:val="007F72F6"/>
    <w:rsid w:val="007F771C"/>
    <w:rsid w:val="007F7A92"/>
    <w:rsid w:val="007F7BC3"/>
    <w:rsid w:val="008002B5"/>
    <w:rsid w:val="00800608"/>
    <w:rsid w:val="0080094B"/>
    <w:rsid w:val="00800E03"/>
    <w:rsid w:val="00800E59"/>
    <w:rsid w:val="0080117A"/>
    <w:rsid w:val="00801225"/>
    <w:rsid w:val="00801A50"/>
    <w:rsid w:val="00802499"/>
    <w:rsid w:val="008024E7"/>
    <w:rsid w:val="00802688"/>
    <w:rsid w:val="00802B9D"/>
    <w:rsid w:val="00802F69"/>
    <w:rsid w:val="00803086"/>
    <w:rsid w:val="008031B8"/>
    <w:rsid w:val="008036A6"/>
    <w:rsid w:val="00803DA6"/>
    <w:rsid w:val="00803E08"/>
    <w:rsid w:val="008041A2"/>
    <w:rsid w:val="00804544"/>
    <w:rsid w:val="00804721"/>
    <w:rsid w:val="00804F8B"/>
    <w:rsid w:val="0080521E"/>
    <w:rsid w:val="008053E8"/>
    <w:rsid w:val="008055A7"/>
    <w:rsid w:val="00805A08"/>
    <w:rsid w:val="008064F5"/>
    <w:rsid w:val="00806598"/>
    <w:rsid w:val="00807090"/>
    <w:rsid w:val="00807144"/>
    <w:rsid w:val="008074F5"/>
    <w:rsid w:val="0080761A"/>
    <w:rsid w:val="0081018D"/>
    <w:rsid w:val="00810600"/>
    <w:rsid w:val="00810A0A"/>
    <w:rsid w:val="00810CC3"/>
    <w:rsid w:val="00810E70"/>
    <w:rsid w:val="00811347"/>
    <w:rsid w:val="00811644"/>
    <w:rsid w:val="00811EBD"/>
    <w:rsid w:val="0081216B"/>
    <w:rsid w:val="008129C7"/>
    <w:rsid w:val="00813048"/>
    <w:rsid w:val="008130C4"/>
    <w:rsid w:val="008130E5"/>
    <w:rsid w:val="0081314B"/>
    <w:rsid w:val="008131B2"/>
    <w:rsid w:val="00813468"/>
    <w:rsid w:val="00813821"/>
    <w:rsid w:val="00813840"/>
    <w:rsid w:val="0081409E"/>
    <w:rsid w:val="008141D4"/>
    <w:rsid w:val="00814506"/>
    <w:rsid w:val="00814C74"/>
    <w:rsid w:val="00814D34"/>
    <w:rsid w:val="00814F04"/>
    <w:rsid w:val="00815133"/>
    <w:rsid w:val="0081548D"/>
    <w:rsid w:val="00815A95"/>
    <w:rsid w:val="00815C84"/>
    <w:rsid w:val="008161E3"/>
    <w:rsid w:val="0081628B"/>
    <w:rsid w:val="008163F7"/>
    <w:rsid w:val="00816AA7"/>
    <w:rsid w:val="00816D9A"/>
    <w:rsid w:val="0081703C"/>
    <w:rsid w:val="008172AA"/>
    <w:rsid w:val="008175B7"/>
    <w:rsid w:val="008177E1"/>
    <w:rsid w:val="00817D6E"/>
    <w:rsid w:val="00817F92"/>
    <w:rsid w:val="008203AF"/>
    <w:rsid w:val="008204CC"/>
    <w:rsid w:val="008205CE"/>
    <w:rsid w:val="00820913"/>
    <w:rsid w:val="0082091C"/>
    <w:rsid w:val="008217BD"/>
    <w:rsid w:val="00821B1D"/>
    <w:rsid w:val="00821B55"/>
    <w:rsid w:val="00821D47"/>
    <w:rsid w:val="00822821"/>
    <w:rsid w:val="00822978"/>
    <w:rsid w:val="00822DC6"/>
    <w:rsid w:val="008237B2"/>
    <w:rsid w:val="00823EDD"/>
    <w:rsid w:val="00824193"/>
    <w:rsid w:val="00824502"/>
    <w:rsid w:val="008245B8"/>
    <w:rsid w:val="008245C4"/>
    <w:rsid w:val="00824848"/>
    <w:rsid w:val="00824906"/>
    <w:rsid w:val="00825229"/>
    <w:rsid w:val="00825D6A"/>
    <w:rsid w:val="00825F15"/>
    <w:rsid w:val="00826242"/>
    <w:rsid w:val="0082635D"/>
    <w:rsid w:val="0082639E"/>
    <w:rsid w:val="00826608"/>
    <w:rsid w:val="00826E11"/>
    <w:rsid w:val="00827101"/>
    <w:rsid w:val="00827489"/>
    <w:rsid w:val="0082754D"/>
    <w:rsid w:val="008278C1"/>
    <w:rsid w:val="00827AA0"/>
    <w:rsid w:val="00827E6D"/>
    <w:rsid w:val="00827EBB"/>
    <w:rsid w:val="0083020F"/>
    <w:rsid w:val="008302BF"/>
    <w:rsid w:val="008303CB"/>
    <w:rsid w:val="00830821"/>
    <w:rsid w:val="0083096F"/>
    <w:rsid w:val="008309F7"/>
    <w:rsid w:val="00830D32"/>
    <w:rsid w:val="008310C3"/>
    <w:rsid w:val="00831A45"/>
    <w:rsid w:val="00831AD3"/>
    <w:rsid w:val="00831C69"/>
    <w:rsid w:val="00831DEB"/>
    <w:rsid w:val="00831E27"/>
    <w:rsid w:val="00831E58"/>
    <w:rsid w:val="00831F68"/>
    <w:rsid w:val="0083213F"/>
    <w:rsid w:val="00833D84"/>
    <w:rsid w:val="00834098"/>
    <w:rsid w:val="0083466D"/>
    <w:rsid w:val="00834C1B"/>
    <w:rsid w:val="00834FD7"/>
    <w:rsid w:val="00836169"/>
    <w:rsid w:val="00836939"/>
    <w:rsid w:val="0083720E"/>
    <w:rsid w:val="00837934"/>
    <w:rsid w:val="00837A52"/>
    <w:rsid w:val="00837CD0"/>
    <w:rsid w:val="00837D27"/>
    <w:rsid w:val="00837D33"/>
    <w:rsid w:val="008407CE"/>
    <w:rsid w:val="008408D9"/>
    <w:rsid w:val="008409FD"/>
    <w:rsid w:val="00840D25"/>
    <w:rsid w:val="008412F6"/>
    <w:rsid w:val="00841AD5"/>
    <w:rsid w:val="00841C10"/>
    <w:rsid w:val="00841CF0"/>
    <w:rsid w:val="00841F4A"/>
    <w:rsid w:val="00842144"/>
    <w:rsid w:val="008428A1"/>
    <w:rsid w:val="00842B95"/>
    <w:rsid w:val="00842D25"/>
    <w:rsid w:val="0084315B"/>
    <w:rsid w:val="008431FD"/>
    <w:rsid w:val="00843AEF"/>
    <w:rsid w:val="00843B14"/>
    <w:rsid w:val="008443F1"/>
    <w:rsid w:val="00844659"/>
    <w:rsid w:val="008453CA"/>
    <w:rsid w:val="008459CE"/>
    <w:rsid w:val="00845A04"/>
    <w:rsid w:val="00845A1D"/>
    <w:rsid w:val="00845B63"/>
    <w:rsid w:val="00845BE7"/>
    <w:rsid w:val="00845C22"/>
    <w:rsid w:val="00845CA5"/>
    <w:rsid w:val="00845EB8"/>
    <w:rsid w:val="00846272"/>
    <w:rsid w:val="008462A2"/>
    <w:rsid w:val="008462CA"/>
    <w:rsid w:val="0084635B"/>
    <w:rsid w:val="008463FB"/>
    <w:rsid w:val="00846F75"/>
    <w:rsid w:val="00846F9F"/>
    <w:rsid w:val="00846FCD"/>
    <w:rsid w:val="00846FDB"/>
    <w:rsid w:val="008470B7"/>
    <w:rsid w:val="008471D5"/>
    <w:rsid w:val="0084753A"/>
    <w:rsid w:val="008475E7"/>
    <w:rsid w:val="0084776E"/>
    <w:rsid w:val="00847781"/>
    <w:rsid w:val="00847858"/>
    <w:rsid w:val="00847DE5"/>
    <w:rsid w:val="008500F8"/>
    <w:rsid w:val="008502D5"/>
    <w:rsid w:val="0085110D"/>
    <w:rsid w:val="00851B87"/>
    <w:rsid w:val="00851F48"/>
    <w:rsid w:val="008521AB"/>
    <w:rsid w:val="008526FD"/>
    <w:rsid w:val="00852B00"/>
    <w:rsid w:val="00852DC7"/>
    <w:rsid w:val="00852F9B"/>
    <w:rsid w:val="008533BE"/>
    <w:rsid w:val="008535A1"/>
    <w:rsid w:val="0085372D"/>
    <w:rsid w:val="00853874"/>
    <w:rsid w:val="00853DF8"/>
    <w:rsid w:val="008540B7"/>
    <w:rsid w:val="00854173"/>
    <w:rsid w:val="00854543"/>
    <w:rsid w:val="00854A0F"/>
    <w:rsid w:val="00854FD8"/>
    <w:rsid w:val="00855226"/>
    <w:rsid w:val="00855D19"/>
    <w:rsid w:val="00855E16"/>
    <w:rsid w:val="00856855"/>
    <w:rsid w:val="00856FF8"/>
    <w:rsid w:val="00857D97"/>
    <w:rsid w:val="00857DDD"/>
    <w:rsid w:val="00860755"/>
    <w:rsid w:val="00860E1C"/>
    <w:rsid w:val="008613E8"/>
    <w:rsid w:val="00861C34"/>
    <w:rsid w:val="00862067"/>
    <w:rsid w:val="008620C1"/>
    <w:rsid w:val="00862374"/>
    <w:rsid w:val="00862D60"/>
    <w:rsid w:val="008638F4"/>
    <w:rsid w:val="00863D3C"/>
    <w:rsid w:val="00864019"/>
    <w:rsid w:val="0086454D"/>
    <w:rsid w:val="0086492F"/>
    <w:rsid w:val="008651B8"/>
    <w:rsid w:val="00865314"/>
    <w:rsid w:val="008654DA"/>
    <w:rsid w:val="008658DE"/>
    <w:rsid w:val="008659AF"/>
    <w:rsid w:val="00865C08"/>
    <w:rsid w:val="00865E88"/>
    <w:rsid w:val="00866517"/>
    <w:rsid w:val="008671A1"/>
    <w:rsid w:val="0086783B"/>
    <w:rsid w:val="00867D1A"/>
    <w:rsid w:val="00867F58"/>
    <w:rsid w:val="008707A8"/>
    <w:rsid w:val="00870C91"/>
    <w:rsid w:val="00871297"/>
    <w:rsid w:val="008712FD"/>
    <w:rsid w:val="00871A03"/>
    <w:rsid w:val="00871C47"/>
    <w:rsid w:val="0087267D"/>
    <w:rsid w:val="00872697"/>
    <w:rsid w:val="00872B3F"/>
    <w:rsid w:val="00872DA0"/>
    <w:rsid w:val="00873699"/>
    <w:rsid w:val="00873B01"/>
    <w:rsid w:val="008742FB"/>
    <w:rsid w:val="00874745"/>
    <w:rsid w:val="00874AC5"/>
    <w:rsid w:val="00875346"/>
    <w:rsid w:val="00875590"/>
    <w:rsid w:val="00875F91"/>
    <w:rsid w:val="00876313"/>
    <w:rsid w:val="00876A32"/>
    <w:rsid w:val="00876D06"/>
    <w:rsid w:val="00876E6B"/>
    <w:rsid w:val="008770CD"/>
    <w:rsid w:val="0087764C"/>
    <w:rsid w:val="00877730"/>
    <w:rsid w:val="00877A2C"/>
    <w:rsid w:val="00880076"/>
    <w:rsid w:val="0088016C"/>
    <w:rsid w:val="0088039F"/>
    <w:rsid w:val="00880432"/>
    <w:rsid w:val="00880525"/>
    <w:rsid w:val="00880560"/>
    <w:rsid w:val="0088067F"/>
    <w:rsid w:val="00881014"/>
    <w:rsid w:val="00881249"/>
    <w:rsid w:val="008812C0"/>
    <w:rsid w:val="00881368"/>
    <w:rsid w:val="0088195F"/>
    <w:rsid w:val="00881988"/>
    <w:rsid w:val="00881B38"/>
    <w:rsid w:val="00881CFD"/>
    <w:rsid w:val="00881DDB"/>
    <w:rsid w:val="00881DF2"/>
    <w:rsid w:val="00882078"/>
    <w:rsid w:val="00882110"/>
    <w:rsid w:val="00882817"/>
    <w:rsid w:val="00883A06"/>
    <w:rsid w:val="00883D7F"/>
    <w:rsid w:val="0088401C"/>
    <w:rsid w:val="00884755"/>
    <w:rsid w:val="0088480B"/>
    <w:rsid w:val="0088548A"/>
    <w:rsid w:val="00885539"/>
    <w:rsid w:val="00885613"/>
    <w:rsid w:val="008857C5"/>
    <w:rsid w:val="00885C3B"/>
    <w:rsid w:val="00885CA2"/>
    <w:rsid w:val="00885DAA"/>
    <w:rsid w:val="00886079"/>
    <w:rsid w:val="00886754"/>
    <w:rsid w:val="00886CF2"/>
    <w:rsid w:val="00886E06"/>
    <w:rsid w:val="008871C0"/>
    <w:rsid w:val="008872BB"/>
    <w:rsid w:val="0088746C"/>
    <w:rsid w:val="008876B3"/>
    <w:rsid w:val="00887782"/>
    <w:rsid w:val="00887D4A"/>
    <w:rsid w:val="00891349"/>
    <w:rsid w:val="008915CD"/>
    <w:rsid w:val="00891AC1"/>
    <w:rsid w:val="00891EC8"/>
    <w:rsid w:val="00891F92"/>
    <w:rsid w:val="00892035"/>
    <w:rsid w:val="00892344"/>
    <w:rsid w:val="0089243E"/>
    <w:rsid w:val="008927A0"/>
    <w:rsid w:val="00892A02"/>
    <w:rsid w:val="00892C6B"/>
    <w:rsid w:val="0089304F"/>
    <w:rsid w:val="00893073"/>
    <w:rsid w:val="00893C6E"/>
    <w:rsid w:val="00893CA1"/>
    <w:rsid w:val="00893ED2"/>
    <w:rsid w:val="00893F9A"/>
    <w:rsid w:val="00894064"/>
    <w:rsid w:val="0089406B"/>
    <w:rsid w:val="008943A2"/>
    <w:rsid w:val="0089464D"/>
    <w:rsid w:val="008946D5"/>
    <w:rsid w:val="008948D2"/>
    <w:rsid w:val="00894960"/>
    <w:rsid w:val="00895839"/>
    <w:rsid w:val="008967CC"/>
    <w:rsid w:val="00896E35"/>
    <w:rsid w:val="00896E86"/>
    <w:rsid w:val="008975F0"/>
    <w:rsid w:val="00897B11"/>
    <w:rsid w:val="00897BB5"/>
    <w:rsid w:val="00897C11"/>
    <w:rsid w:val="00897C2D"/>
    <w:rsid w:val="00897ECC"/>
    <w:rsid w:val="008A053B"/>
    <w:rsid w:val="008A070C"/>
    <w:rsid w:val="008A0C65"/>
    <w:rsid w:val="008A0C72"/>
    <w:rsid w:val="008A12C0"/>
    <w:rsid w:val="008A192B"/>
    <w:rsid w:val="008A1D79"/>
    <w:rsid w:val="008A2A47"/>
    <w:rsid w:val="008A30B2"/>
    <w:rsid w:val="008A3572"/>
    <w:rsid w:val="008A37B0"/>
    <w:rsid w:val="008A3CC3"/>
    <w:rsid w:val="008A3FAB"/>
    <w:rsid w:val="008A3FCB"/>
    <w:rsid w:val="008A415E"/>
    <w:rsid w:val="008A4234"/>
    <w:rsid w:val="008A46E1"/>
    <w:rsid w:val="008A4E14"/>
    <w:rsid w:val="008A5095"/>
    <w:rsid w:val="008A586B"/>
    <w:rsid w:val="008A5876"/>
    <w:rsid w:val="008A5925"/>
    <w:rsid w:val="008A59FB"/>
    <w:rsid w:val="008A5AC2"/>
    <w:rsid w:val="008A5EE0"/>
    <w:rsid w:val="008A62BE"/>
    <w:rsid w:val="008A681D"/>
    <w:rsid w:val="008A6A62"/>
    <w:rsid w:val="008A6AC3"/>
    <w:rsid w:val="008A6BA9"/>
    <w:rsid w:val="008A6C4B"/>
    <w:rsid w:val="008A6E6A"/>
    <w:rsid w:val="008A7CDC"/>
    <w:rsid w:val="008A7E00"/>
    <w:rsid w:val="008B0574"/>
    <w:rsid w:val="008B0621"/>
    <w:rsid w:val="008B0906"/>
    <w:rsid w:val="008B0C2A"/>
    <w:rsid w:val="008B1070"/>
    <w:rsid w:val="008B20E4"/>
    <w:rsid w:val="008B21FC"/>
    <w:rsid w:val="008B2B3F"/>
    <w:rsid w:val="008B3075"/>
    <w:rsid w:val="008B3A0F"/>
    <w:rsid w:val="008B3AA6"/>
    <w:rsid w:val="008B4317"/>
    <w:rsid w:val="008B4354"/>
    <w:rsid w:val="008B4712"/>
    <w:rsid w:val="008B4770"/>
    <w:rsid w:val="008B482E"/>
    <w:rsid w:val="008B49AC"/>
    <w:rsid w:val="008B49D4"/>
    <w:rsid w:val="008B4F47"/>
    <w:rsid w:val="008B4FE4"/>
    <w:rsid w:val="008B55AD"/>
    <w:rsid w:val="008B56FF"/>
    <w:rsid w:val="008B5AA9"/>
    <w:rsid w:val="008B5AD9"/>
    <w:rsid w:val="008B5FDE"/>
    <w:rsid w:val="008B646C"/>
    <w:rsid w:val="008B6828"/>
    <w:rsid w:val="008B691D"/>
    <w:rsid w:val="008B6C8E"/>
    <w:rsid w:val="008B6D7E"/>
    <w:rsid w:val="008B748B"/>
    <w:rsid w:val="008B748C"/>
    <w:rsid w:val="008B7D06"/>
    <w:rsid w:val="008B7D5E"/>
    <w:rsid w:val="008B7F62"/>
    <w:rsid w:val="008B7FE6"/>
    <w:rsid w:val="008C07F6"/>
    <w:rsid w:val="008C0ADC"/>
    <w:rsid w:val="008C0B8B"/>
    <w:rsid w:val="008C0B9E"/>
    <w:rsid w:val="008C0F03"/>
    <w:rsid w:val="008C1458"/>
    <w:rsid w:val="008C14C3"/>
    <w:rsid w:val="008C197E"/>
    <w:rsid w:val="008C198B"/>
    <w:rsid w:val="008C1B42"/>
    <w:rsid w:val="008C1B60"/>
    <w:rsid w:val="008C1BE0"/>
    <w:rsid w:val="008C21DF"/>
    <w:rsid w:val="008C2EAA"/>
    <w:rsid w:val="008C357E"/>
    <w:rsid w:val="008C36BB"/>
    <w:rsid w:val="008C3C3A"/>
    <w:rsid w:val="008C3C7D"/>
    <w:rsid w:val="008C4014"/>
    <w:rsid w:val="008C41FD"/>
    <w:rsid w:val="008C4311"/>
    <w:rsid w:val="008C44F8"/>
    <w:rsid w:val="008C4634"/>
    <w:rsid w:val="008C478E"/>
    <w:rsid w:val="008C5156"/>
    <w:rsid w:val="008C59C7"/>
    <w:rsid w:val="008C5A0D"/>
    <w:rsid w:val="008C5CAA"/>
    <w:rsid w:val="008C6071"/>
    <w:rsid w:val="008C66E5"/>
    <w:rsid w:val="008C67FF"/>
    <w:rsid w:val="008C68A6"/>
    <w:rsid w:val="008C68B3"/>
    <w:rsid w:val="008C6C4F"/>
    <w:rsid w:val="008C789F"/>
    <w:rsid w:val="008C7BF2"/>
    <w:rsid w:val="008C7FDC"/>
    <w:rsid w:val="008D0209"/>
    <w:rsid w:val="008D03F9"/>
    <w:rsid w:val="008D0502"/>
    <w:rsid w:val="008D0789"/>
    <w:rsid w:val="008D15CF"/>
    <w:rsid w:val="008D1B77"/>
    <w:rsid w:val="008D1BD5"/>
    <w:rsid w:val="008D1FE6"/>
    <w:rsid w:val="008D2778"/>
    <w:rsid w:val="008D2B83"/>
    <w:rsid w:val="008D2C30"/>
    <w:rsid w:val="008D2C67"/>
    <w:rsid w:val="008D2E6F"/>
    <w:rsid w:val="008D31CE"/>
    <w:rsid w:val="008D325F"/>
    <w:rsid w:val="008D345A"/>
    <w:rsid w:val="008D3654"/>
    <w:rsid w:val="008D4633"/>
    <w:rsid w:val="008D4775"/>
    <w:rsid w:val="008D491E"/>
    <w:rsid w:val="008D6048"/>
    <w:rsid w:val="008D65AC"/>
    <w:rsid w:val="008D69CC"/>
    <w:rsid w:val="008D6A67"/>
    <w:rsid w:val="008D7465"/>
    <w:rsid w:val="008D7469"/>
    <w:rsid w:val="008D74EB"/>
    <w:rsid w:val="008D7A6C"/>
    <w:rsid w:val="008D7BA1"/>
    <w:rsid w:val="008D7D5B"/>
    <w:rsid w:val="008D7E70"/>
    <w:rsid w:val="008E020E"/>
    <w:rsid w:val="008E042E"/>
    <w:rsid w:val="008E04B3"/>
    <w:rsid w:val="008E0D30"/>
    <w:rsid w:val="008E0D50"/>
    <w:rsid w:val="008E10EC"/>
    <w:rsid w:val="008E133B"/>
    <w:rsid w:val="008E1483"/>
    <w:rsid w:val="008E14BF"/>
    <w:rsid w:val="008E2A6B"/>
    <w:rsid w:val="008E2C84"/>
    <w:rsid w:val="008E2D81"/>
    <w:rsid w:val="008E30B4"/>
    <w:rsid w:val="008E367F"/>
    <w:rsid w:val="008E389A"/>
    <w:rsid w:val="008E3940"/>
    <w:rsid w:val="008E3B21"/>
    <w:rsid w:val="008E3C11"/>
    <w:rsid w:val="008E3D70"/>
    <w:rsid w:val="008E454C"/>
    <w:rsid w:val="008E4A59"/>
    <w:rsid w:val="008E5044"/>
    <w:rsid w:val="008E529E"/>
    <w:rsid w:val="008E5379"/>
    <w:rsid w:val="008E56C4"/>
    <w:rsid w:val="008E57CC"/>
    <w:rsid w:val="008E5C32"/>
    <w:rsid w:val="008E615D"/>
    <w:rsid w:val="008E63D7"/>
    <w:rsid w:val="008E6531"/>
    <w:rsid w:val="008E6FCB"/>
    <w:rsid w:val="008E7252"/>
    <w:rsid w:val="008E78FD"/>
    <w:rsid w:val="008E7924"/>
    <w:rsid w:val="008E7F02"/>
    <w:rsid w:val="008F03A2"/>
    <w:rsid w:val="008F05AA"/>
    <w:rsid w:val="008F0652"/>
    <w:rsid w:val="008F0A76"/>
    <w:rsid w:val="008F0BE6"/>
    <w:rsid w:val="008F0D7D"/>
    <w:rsid w:val="008F10E6"/>
    <w:rsid w:val="008F1168"/>
    <w:rsid w:val="008F23B9"/>
    <w:rsid w:val="008F260A"/>
    <w:rsid w:val="008F2685"/>
    <w:rsid w:val="008F28E9"/>
    <w:rsid w:val="008F2973"/>
    <w:rsid w:val="008F2F39"/>
    <w:rsid w:val="008F30C8"/>
    <w:rsid w:val="008F32DD"/>
    <w:rsid w:val="008F3573"/>
    <w:rsid w:val="008F40D0"/>
    <w:rsid w:val="008F420B"/>
    <w:rsid w:val="008F472A"/>
    <w:rsid w:val="008F4FFF"/>
    <w:rsid w:val="008F513F"/>
    <w:rsid w:val="008F52E3"/>
    <w:rsid w:val="008F5387"/>
    <w:rsid w:val="008F5623"/>
    <w:rsid w:val="008F5889"/>
    <w:rsid w:val="008F5A8A"/>
    <w:rsid w:val="008F5DC7"/>
    <w:rsid w:val="008F5F99"/>
    <w:rsid w:val="008F62D8"/>
    <w:rsid w:val="008F679F"/>
    <w:rsid w:val="008F7024"/>
    <w:rsid w:val="008F70A3"/>
    <w:rsid w:val="008F7458"/>
    <w:rsid w:val="009000AF"/>
    <w:rsid w:val="0090022B"/>
    <w:rsid w:val="009006E1"/>
    <w:rsid w:val="00900AB7"/>
    <w:rsid w:val="009013C4"/>
    <w:rsid w:val="009013FF"/>
    <w:rsid w:val="00901945"/>
    <w:rsid w:val="00901E22"/>
    <w:rsid w:val="00902014"/>
    <w:rsid w:val="009020A3"/>
    <w:rsid w:val="00902265"/>
    <w:rsid w:val="009028B3"/>
    <w:rsid w:val="009028CC"/>
    <w:rsid w:val="00902CCC"/>
    <w:rsid w:val="00902DFE"/>
    <w:rsid w:val="00903481"/>
    <w:rsid w:val="00903669"/>
    <w:rsid w:val="00903CE3"/>
    <w:rsid w:val="00903F19"/>
    <w:rsid w:val="009040F3"/>
    <w:rsid w:val="00904283"/>
    <w:rsid w:val="0090481D"/>
    <w:rsid w:val="009048D3"/>
    <w:rsid w:val="00905316"/>
    <w:rsid w:val="00906236"/>
    <w:rsid w:val="009065A5"/>
    <w:rsid w:val="00906F02"/>
    <w:rsid w:val="00906FA9"/>
    <w:rsid w:val="00907503"/>
    <w:rsid w:val="00907896"/>
    <w:rsid w:val="00907ADD"/>
    <w:rsid w:val="00907CA9"/>
    <w:rsid w:val="00907F69"/>
    <w:rsid w:val="00907FFE"/>
    <w:rsid w:val="00910075"/>
    <w:rsid w:val="0091136D"/>
    <w:rsid w:val="00911A6C"/>
    <w:rsid w:val="00911C3D"/>
    <w:rsid w:val="00911D19"/>
    <w:rsid w:val="00912175"/>
    <w:rsid w:val="0091268C"/>
    <w:rsid w:val="00912696"/>
    <w:rsid w:val="00912823"/>
    <w:rsid w:val="00912B4A"/>
    <w:rsid w:val="00912CEB"/>
    <w:rsid w:val="00913469"/>
    <w:rsid w:val="00913A72"/>
    <w:rsid w:val="00914577"/>
    <w:rsid w:val="0091470B"/>
    <w:rsid w:val="00914B03"/>
    <w:rsid w:val="00914B41"/>
    <w:rsid w:val="00914BAB"/>
    <w:rsid w:val="00914CA2"/>
    <w:rsid w:val="00914FC9"/>
    <w:rsid w:val="009150C9"/>
    <w:rsid w:val="0091593E"/>
    <w:rsid w:val="00915CFF"/>
    <w:rsid w:val="00915D76"/>
    <w:rsid w:val="00915E0C"/>
    <w:rsid w:val="009160E9"/>
    <w:rsid w:val="00916441"/>
    <w:rsid w:val="00916764"/>
    <w:rsid w:val="00916939"/>
    <w:rsid w:val="00916ABB"/>
    <w:rsid w:val="009170EF"/>
    <w:rsid w:val="009205E7"/>
    <w:rsid w:val="0092098A"/>
    <w:rsid w:val="00920BEC"/>
    <w:rsid w:val="00920C14"/>
    <w:rsid w:val="009213BE"/>
    <w:rsid w:val="00921745"/>
    <w:rsid w:val="0092193E"/>
    <w:rsid w:val="00921FDC"/>
    <w:rsid w:val="009227B2"/>
    <w:rsid w:val="00922B57"/>
    <w:rsid w:val="00922DA1"/>
    <w:rsid w:val="00923244"/>
    <w:rsid w:val="009239B2"/>
    <w:rsid w:val="0092429B"/>
    <w:rsid w:val="0092436B"/>
    <w:rsid w:val="009243DE"/>
    <w:rsid w:val="009247A3"/>
    <w:rsid w:val="00924974"/>
    <w:rsid w:val="009250CA"/>
    <w:rsid w:val="009252D2"/>
    <w:rsid w:val="00925345"/>
    <w:rsid w:val="00925602"/>
    <w:rsid w:val="00925953"/>
    <w:rsid w:val="00925D29"/>
    <w:rsid w:val="00925FB3"/>
    <w:rsid w:val="009263EC"/>
    <w:rsid w:val="009264C1"/>
    <w:rsid w:val="00926511"/>
    <w:rsid w:val="00926B4F"/>
    <w:rsid w:val="00926F79"/>
    <w:rsid w:val="00927135"/>
    <w:rsid w:val="00927237"/>
    <w:rsid w:val="0092736C"/>
    <w:rsid w:val="0092750A"/>
    <w:rsid w:val="00927BE7"/>
    <w:rsid w:val="0093023A"/>
    <w:rsid w:val="009308E5"/>
    <w:rsid w:val="0093094F"/>
    <w:rsid w:val="00930CDA"/>
    <w:rsid w:val="009310D9"/>
    <w:rsid w:val="00931734"/>
    <w:rsid w:val="00931948"/>
    <w:rsid w:val="00931B18"/>
    <w:rsid w:val="00931EA8"/>
    <w:rsid w:val="00932279"/>
    <w:rsid w:val="009322A0"/>
    <w:rsid w:val="009323B9"/>
    <w:rsid w:val="00932647"/>
    <w:rsid w:val="00932C45"/>
    <w:rsid w:val="00932CBE"/>
    <w:rsid w:val="00932DBA"/>
    <w:rsid w:val="00932FE5"/>
    <w:rsid w:val="009330E6"/>
    <w:rsid w:val="00933F4F"/>
    <w:rsid w:val="00933F64"/>
    <w:rsid w:val="0093432E"/>
    <w:rsid w:val="00934369"/>
    <w:rsid w:val="009348DF"/>
    <w:rsid w:val="0093545E"/>
    <w:rsid w:val="00936745"/>
    <w:rsid w:val="009367DF"/>
    <w:rsid w:val="00936B04"/>
    <w:rsid w:val="00936B4A"/>
    <w:rsid w:val="00936BBC"/>
    <w:rsid w:val="00936D20"/>
    <w:rsid w:val="00936DC3"/>
    <w:rsid w:val="00937033"/>
    <w:rsid w:val="00937285"/>
    <w:rsid w:val="00937421"/>
    <w:rsid w:val="0093769D"/>
    <w:rsid w:val="00937D86"/>
    <w:rsid w:val="0094009E"/>
    <w:rsid w:val="00940551"/>
    <w:rsid w:val="0094073B"/>
    <w:rsid w:val="00941291"/>
    <w:rsid w:val="00941B56"/>
    <w:rsid w:val="00941C9A"/>
    <w:rsid w:val="00941F0B"/>
    <w:rsid w:val="009422A3"/>
    <w:rsid w:val="0094268B"/>
    <w:rsid w:val="0094274E"/>
    <w:rsid w:val="00942E56"/>
    <w:rsid w:val="00943041"/>
    <w:rsid w:val="00943191"/>
    <w:rsid w:val="009432F5"/>
    <w:rsid w:val="00943739"/>
    <w:rsid w:val="009438AD"/>
    <w:rsid w:val="00943A83"/>
    <w:rsid w:val="00943D9C"/>
    <w:rsid w:val="00944680"/>
    <w:rsid w:val="009447D2"/>
    <w:rsid w:val="009448C2"/>
    <w:rsid w:val="00945234"/>
    <w:rsid w:val="00945593"/>
    <w:rsid w:val="009455D2"/>
    <w:rsid w:val="00945613"/>
    <w:rsid w:val="009456E1"/>
    <w:rsid w:val="00945B78"/>
    <w:rsid w:val="00946116"/>
    <w:rsid w:val="009463DA"/>
    <w:rsid w:val="00946709"/>
    <w:rsid w:val="00946B1A"/>
    <w:rsid w:val="00946F64"/>
    <w:rsid w:val="00947136"/>
    <w:rsid w:val="009471D9"/>
    <w:rsid w:val="0094749F"/>
    <w:rsid w:val="00947936"/>
    <w:rsid w:val="00947E91"/>
    <w:rsid w:val="009504C4"/>
    <w:rsid w:val="00950905"/>
    <w:rsid w:val="00950936"/>
    <w:rsid w:val="00950B3F"/>
    <w:rsid w:val="00950EA1"/>
    <w:rsid w:val="009516CC"/>
    <w:rsid w:val="00951910"/>
    <w:rsid w:val="00951AE9"/>
    <w:rsid w:val="00951E7F"/>
    <w:rsid w:val="00952592"/>
    <w:rsid w:val="00952B76"/>
    <w:rsid w:val="00952B7A"/>
    <w:rsid w:val="0095325F"/>
    <w:rsid w:val="0095342D"/>
    <w:rsid w:val="009534E9"/>
    <w:rsid w:val="00953B15"/>
    <w:rsid w:val="009543CF"/>
    <w:rsid w:val="009543E2"/>
    <w:rsid w:val="009545B3"/>
    <w:rsid w:val="009546B5"/>
    <w:rsid w:val="009547E2"/>
    <w:rsid w:val="0095484A"/>
    <w:rsid w:val="0095500B"/>
    <w:rsid w:val="0095577F"/>
    <w:rsid w:val="00956161"/>
    <w:rsid w:val="009563BA"/>
    <w:rsid w:val="009565E7"/>
    <w:rsid w:val="009569E0"/>
    <w:rsid w:val="009572CA"/>
    <w:rsid w:val="00957819"/>
    <w:rsid w:val="00960059"/>
    <w:rsid w:val="0096057C"/>
    <w:rsid w:val="009605B7"/>
    <w:rsid w:val="0096073D"/>
    <w:rsid w:val="00960A8E"/>
    <w:rsid w:val="00961635"/>
    <w:rsid w:val="0096190D"/>
    <w:rsid w:val="00961DE8"/>
    <w:rsid w:val="00962477"/>
    <w:rsid w:val="009625FF"/>
    <w:rsid w:val="00962992"/>
    <w:rsid w:val="00962A4A"/>
    <w:rsid w:val="0096332B"/>
    <w:rsid w:val="00963B23"/>
    <w:rsid w:val="00963C32"/>
    <w:rsid w:val="00963DCC"/>
    <w:rsid w:val="0096401F"/>
    <w:rsid w:val="00964049"/>
    <w:rsid w:val="0096490A"/>
    <w:rsid w:val="00964E9A"/>
    <w:rsid w:val="009651B0"/>
    <w:rsid w:val="00965551"/>
    <w:rsid w:val="00965573"/>
    <w:rsid w:val="00965819"/>
    <w:rsid w:val="00965B48"/>
    <w:rsid w:val="00965FCB"/>
    <w:rsid w:val="009661B4"/>
    <w:rsid w:val="009664D1"/>
    <w:rsid w:val="009670C1"/>
    <w:rsid w:val="0096715F"/>
    <w:rsid w:val="00967565"/>
    <w:rsid w:val="009676F6"/>
    <w:rsid w:val="00967751"/>
    <w:rsid w:val="00967ACF"/>
    <w:rsid w:val="00967AED"/>
    <w:rsid w:val="00970170"/>
    <w:rsid w:val="009701A1"/>
    <w:rsid w:val="00970EF6"/>
    <w:rsid w:val="0097121A"/>
    <w:rsid w:val="009714AC"/>
    <w:rsid w:val="00971971"/>
    <w:rsid w:val="009719DF"/>
    <w:rsid w:val="00971A1F"/>
    <w:rsid w:val="00971B06"/>
    <w:rsid w:val="00972142"/>
    <w:rsid w:val="009729A9"/>
    <w:rsid w:val="00972A3C"/>
    <w:rsid w:val="00972A95"/>
    <w:rsid w:val="00972B17"/>
    <w:rsid w:val="00972FA6"/>
    <w:rsid w:val="00972FF5"/>
    <w:rsid w:val="00973059"/>
    <w:rsid w:val="00973695"/>
    <w:rsid w:val="00973C33"/>
    <w:rsid w:val="00973EB6"/>
    <w:rsid w:val="00973F2A"/>
    <w:rsid w:val="00974117"/>
    <w:rsid w:val="009749A0"/>
    <w:rsid w:val="00974A7A"/>
    <w:rsid w:val="00974E56"/>
    <w:rsid w:val="00975510"/>
    <w:rsid w:val="00975B07"/>
    <w:rsid w:val="00975BEF"/>
    <w:rsid w:val="00975E09"/>
    <w:rsid w:val="00976812"/>
    <w:rsid w:val="00976BC1"/>
    <w:rsid w:val="0097701C"/>
    <w:rsid w:val="00977095"/>
    <w:rsid w:val="009776FB"/>
    <w:rsid w:val="0098007E"/>
    <w:rsid w:val="009800AD"/>
    <w:rsid w:val="009804F1"/>
    <w:rsid w:val="00980534"/>
    <w:rsid w:val="009805C9"/>
    <w:rsid w:val="00980E09"/>
    <w:rsid w:val="00980F13"/>
    <w:rsid w:val="00980FC5"/>
    <w:rsid w:val="00981498"/>
    <w:rsid w:val="009814C6"/>
    <w:rsid w:val="00981936"/>
    <w:rsid w:val="00982185"/>
    <w:rsid w:val="0098237D"/>
    <w:rsid w:val="00982423"/>
    <w:rsid w:val="00982B56"/>
    <w:rsid w:val="00982C68"/>
    <w:rsid w:val="00982FE9"/>
    <w:rsid w:val="0098371A"/>
    <w:rsid w:val="00984012"/>
    <w:rsid w:val="009840A1"/>
    <w:rsid w:val="00984772"/>
    <w:rsid w:val="00984E87"/>
    <w:rsid w:val="00984F21"/>
    <w:rsid w:val="0098504A"/>
    <w:rsid w:val="009850A7"/>
    <w:rsid w:val="00985667"/>
    <w:rsid w:val="009859A8"/>
    <w:rsid w:val="00985DA5"/>
    <w:rsid w:val="00985F19"/>
    <w:rsid w:val="00985FB3"/>
    <w:rsid w:val="00986050"/>
    <w:rsid w:val="009862E8"/>
    <w:rsid w:val="009863F9"/>
    <w:rsid w:val="009871A8"/>
    <w:rsid w:val="00987243"/>
    <w:rsid w:val="00987739"/>
    <w:rsid w:val="00987970"/>
    <w:rsid w:val="00987CD7"/>
    <w:rsid w:val="009901E1"/>
    <w:rsid w:val="009903B8"/>
    <w:rsid w:val="009904C3"/>
    <w:rsid w:val="009908D1"/>
    <w:rsid w:val="00990A3B"/>
    <w:rsid w:val="00990E08"/>
    <w:rsid w:val="009911DC"/>
    <w:rsid w:val="00991657"/>
    <w:rsid w:val="00991BDD"/>
    <w:rsid w:val="00991F51"/>
    <w:rsid w:val="0099225D"/>
    <w:rsid w:val="00992B35"/>
    <w:rsid w:val="00992E19"/>
    <w:rsid w:val="00992EDC"/>
    <w:rsid w:val="00992F17"/>
    <w:rsid w:val="00992FEF"/>
    <w:rsid w:val="00992FFE"/>
    <w:rsid w:val="009930F3"/>
    <w:rsid w:val="009931D7"/>
    <w:rsid w:val="00993257"/>
    <w:rsid w:val="0099342E"/>
    <w:rsid w:val="00993C46"/>
    <w:rsid w:val="00993CAA"/>
    <w:rsid w:val="009944F9"/>
    <w:rsid w:val="0099494C"/>
    <w:rsid w:val="00994B51"/>
    <w:rsid w:val="00994C97"/>
    <w:rsid w:val="00994F94"/>
    <w:rsid w:val="00995454"/>
    <w:rsid w:val="00995649"/>
    <w:rsid w:val="0099578E"/>
    <w:rsid w:val="009959DF"/>
    <w:rsid w:val="00995B77"/>
    <w:rsid w:val="009961FB"/>
    <w:rsid w:val="00997C12"/>
    <w:rsid w:val="009A1194"/>
    <w:rsid w:val="009A1303"/>
    <w:rsid w:val="009A1341"/>
    <w:rsid w:val="009A1508"/>
    <w:rsid w:val="009A15C7"/>
    <w:rsid w:val="009A2443"/>
    <w:rsid w:val="009A2B47"/>
    <w:rsid w:val="009A2B9A"/>
    <w:rsid w:val="009A3019"/>
    <w:rsid w:val="009A30A5"/>
    <w:rsid w:val="009A3160"/>
    <w:rsid w:val="009A353B"/>
    <w:rsid w:val="009A38A6"/>
    <w:rsid w:val="009A38B0"/>
    <w:rsid w:val="009A3C24"/>
    <w:rsid w:val="009A3C9D"/>
    <w:rsid w:val="009A3CE1"/>
    <w:rsid w:val="009A3D03"/>
    <w:rsid w:val="009A3E94"/>
    <w:rsid w:val="009A3F3D"/>
    <w:rsid w:val="009A409C"/>
    <w:rsid w:val="009A451B"/>
    <w:rsid w:val="009A4AD1"/>
    <w:rsid w:val="009A4D9D"/>
    <w:rsid w:val="009A5547"/>
    <w:rsid w:val="009A5E6E"/>
    <w:rsid w:val="009A5E8F"/>
    <w:rsid w:val="009A5EAB"/>
    <w:rsid w:val="009A61D3"/>
    <w:rsid w:val="009A64C6"/>
    <w:rsid w:val="009A7244"/>
    <w:rsid w:val="009A751A"/>
    <w:rsid w:val="009A7A39"/>
    <w:rsid w:val="009A7A71"/>
    <w:rsid w:val="009B028E"/>
    <w:rsid w:val="009B02EF"/>
    <w:rsid w:val="009B0458"/>
    <w:rsid w:val="009B0684"/>
    <w:rsid w:val="009B0AC6"/>
    <w:rsid w:val="009B0C99"/>
    <w:rsid w:val="009B1244"/>
    <w:rsid w:val="009B14A1"/>
    <w:rsid w:val="009B2FF4"/>
    <w:rsid w:val="009B30E0"/>
    <w:rsid w:val="009B3888"/>
    <w:rsid w:val="009B3C83"/>
    <w:rsid w:val="009B3FBB"/>
    <w:rsid w:val="009B5130"/>
    <w:rsid w:val="009B5416"/>
    <w:rsid w:val="009B5609"/>
    <w:rsid w:val="009B5683"/>
    <w:rsid w:val="009B56FF"/>
    <w:rsid w:val="009B5879"/>
    <w:rsid w:val="009B58B2"/>
    <w:rsid w:val="009B5E79"/>
    <w:rsid w:val="009B61B2"/>
    <w:rsid w:val="009B6A6D"/>
    <w:rsid w:val="009B7485"/>
    <w:rsid w:val="009C021E"/>
    <w:rsid w:val="009C06C5"/>
    <w:rsid w:val="009C0828"/>
    <w:rsid w:val="009C09D2"/>
    <w:rsid w:val="009C0CA6"/>
    <w:rsid w:val="009C0D9E"/>
    <w:rsid w:val="009C1431"/>
    <w:rsid w:val="009C1B2B"/>
    <w:rsid w:val="009C1EEE"/>
    <w:rsid w:val="009C1F63"/>
    <w:rsid w:val="009C241C"/>
    <w:rsid w:val="009C2CF7"/>
    <w:rsid w:val="009C3118"/>
    <w:rsid w:val="009C32BC"/>
    <w:rsid w:val="009C355B"/>
    <w:rsid w:val="009C364B"/>
    <w:rsid w:val="009C39BE"/>
    <w:rsid w:val="009C3C9F"/>
    <w:rsid w:val="009C3F21"/>
    <w:rsid w:val="009C3FBC"/>
    <w:rsid w:val="009C40E8"/>
    <w:rsid w:val="009C44E7"/>
    <w:rsid w:val="009C4781"/>
    <w:rsid w:val="009C497A"/>
    <w:rsid w:val="009C49FF"/>
    <w:rsid w:val="009C5082"/>
    <w:rsid w:val="009C55FF"/>
    <w:rsid w:val="009C5FAC"/>
    <w:rsid w:val="009C67AE"/>
    <w:rsid w:val="009C6D89"/>
    <w:rsid w:val="009C7324"/>
    <w:rsid w:val="009C74DD"/>
    <w:rsid w:val="009C77E9"/>
    <w:rsid w:val="009C7A4B"/>
    <w:rsid w:val="009D06FF"/>
    <w:rsid w:val="009D0D74"/>
    <w:rsid w:val="009D1933"/>
    <w:rsid w:val="009D1BBC"/>
    <w:rsid w:val="009D22C3"/>
    <w:rsid w:val="009D2459"/>
    <w:rsid w:val="009D245D"/>
    <w:rsid w:val="009D27E1"/>
    <w:rsid w:val="009D282C"/>
    <w:rsid w:val="009D284C"/>
    <w:rsid w:val="009D2973"/>
    <w:rsid w:val="009D29DB"/>
    <w:rsid w:val="009D2B9C"/>
    <w:rsid w:val="009D325B"/>
    <w:rsid w:val="009D3397"/>
    <w:rsid w:val="009D3BFA"/>
    <w:rsid w:val="009D453C"/>
    <w:rsid w:val="009D46CC"/>
    <w:rsid w:val="009D4B23"/>
    <w:rsid w:val="009D4C2D"/>
    <w:rsid w:val="009D4EC5"/>
    <w:rsid w:val="009D4F87"/>
    <w:rsid w:val="009D50C5"/>
    <w:rsid w:val="009D55C6"/>
    <w:rsid w:val="009D5A0C"/>
    <w:rsid w:val="009D5B6D"/>
    <w:rsid w:val="009D5BA6"/>
    <w:rsid w:val="009D5D45"/>
    <w:rsid w:val="009D5D66"/>
    <w:rsid w:val="009D5DB3"/>
    <w:rsid w:val="009D6580"/>
    <w:rsid w:val="009D6DC9"/>
    <w:rsid w:val="009D733B"/>
    <w:rsid w:val="009E05A0"/>
    <w:rsid w:val="009E0AC6"/>
    <w:rsid w:val="009E0E5E"/>
    <w:rsid w:val="009E109C"/>
    <w:rsid w:val="009E1741"/>
    <w:rsid w:val="009E182F"/>
    <w:rsid w:val="009E18B9"/>
    <w:rsid w:val="009E281D"/>
    <w:rsid w:val="009E2F00"/>
    <w:rsid w:val="009E31AD"/>
    <w:rsid w:val="009E396A"/>
    <w:rsid w:val="009E4B8D"/>
    <w:rsid w:val="009E5353"/>
    <w:rsid w:val="009E5805"/>
    <w:rsid w:val="009E5808"/>
    <w:rsid w:val="009E5AA4"/>
    <w:rsid w:val="009E5FAF"/>
    <w:rsid w:val="009E6F68"/>
    <w:rsid w:val="009E7EA8"/>
    <w:rsid w:val="009EBDC9"/>
    <w:rsid w:val="009F157A"/>
    <w:rsid w:val="009F1718"/>
    <w:rsid w:val="009F1D34"/>
    <w:rsid w:val="009F1F06"/>
    <w:rsid w:val="009F1F6A"/>
    <w:rsid w:val="009F21A2"/>
    <w:rsid w:val="009F22D3"/>
    <w:rsid w:val="009F2A62"/>
    <w:rsid w:val="009F2E74"/>
    <w:rsid w:val="009F2FD4"/>
    <w:rsid w:val="009F3464"/>
    <w:rsid w:val="009F35DD"/>
    <w:rsid w:val="009F3740"/>
    <w:rsid w:val="009F422A"/>
    <w:rsid w:val="009F4576"/>
    <w:rsid w:val="009F45AA"/>
    <w:rsid w:val="009F469F"/>
    <w:rsid w:val="009F48F6"/>
    <w:rsid w:val="009F4B1D"/>
    <w:rsid w:val="009F4B93"/>
    <w:rsid w:val="009F4C9B"/>
    <w:rsid w:val="009F5068"/>
    <w:rsid w:val="009F518E"/>
    <w:rsid w:val="009F53C7"/>
    <w:rsid w:val="009F562F"/>
    <w:rsid w:val="009F5B3B"/>
    <w:rsid w:val="009F5B89"/>
    <w:rsid w:val="009F5D75"/>
    <w:rsid w:val="009F67F4"/>
    <w:rsid w:val="009F6C74"/>
    <w:rsid w:val="009F71EB"/>
    <w:rsid w:val="009F76EB"/>
    <w:rsid w:val="009F770B"/>
    <w:rsid w:val="009F7CE8"/>
    <w:rsid w:val="009F7DF6"/>
    <w:rsid w:val="00A00B3C"/>
    <w:rsid w:val="00A00FA2"/>
    <w:rsid w:val="00A013CC"/>
    <w:rsid w:val="00A01F08"/>
    <w:rsid w:val="00A02A8F"/>
    <w:rsid w:val="00A02B94"/>
    <w:rsid w:val="00A02FB8"/>
    <w:rsid w:val="00A031FC"/>
    <w:rsid w:val="00A0348C"/>
    <w:rsid w:val="00A03544"/>
    <w:rsid w:val="00A03DB7"/>
    <w:rsid w:val="00A04013"/>
    <w:rsid w:val="00A043E1"/>
    <w:rsid w:val="00A049E4"/>
    <w:rsid w:val="00A04AD1"/>
    <w:rsid w:val="00A04E24"/>
    <w:rsid w:val="00A050F4"/>
    <w:rsid w:val="00A05313"/>
    <w:rsid w:val="00A05624"/>
    <w:rsid w:val="00A05989"/>
    <w:rsid w:val="00A059C6"/>
    <w:rsid w:val="00A060A6"/>
    <w:rsid w:val="00A06377"/>
    <w:rsid w:val="00A0667D"/>
    <w:rsid w:val="00A069E0"/>
    <w:rsid w:val="00A06B16"/>
    <w:rsid w:val="00A06B41"/>
    <w:rsid w:val="00A06D0D"/>
    <w:rsid w:val="00A06F54"/>
    <w:rsid w:val="00A072C0"/>
    <w:rsid w:val="00A076F6"/>
    <w:rsid w:val="00A07B5B"/>
    <w:rsid w:val="00A1007F"/>
    <w:rsid w:val="00A10860"/>
    <w:rsid w:val="00A10E8D"/>
    <w:rsid w:val="00A1141C"/>
    <w:rsid w:val="00A114B7"/>
    <w:rsid w:val="00A114E0"/>
    <w:rsid w:val="00A11619"/>
    <w:rsid w:val="00A11823"/>
    <w:rsid w:val="00A11AE9"/>
    <w:rsid w:val="00A11EAE"/>
    <w:rsid w:val="00A11F21"/>
    <w:rsid w:val="00A11F9C"/>
    <w:rsid w:val="00A12049"/>
    <w:rsid w:val="00A12173"/>
    <w:rsid w:val="00A12693"/>
    <w:rsid w:val="00A12C3A"/>
    <w:rsid w:val="00A12E87"/>
    <w:rsid w:val="00A136AA"/>
    <w:rsid w:val="00A13A36"/>
    <w:rsid w:val="00A1418F"/>
    <w:rsid w:val="00A1427F"/>
    <w:rsid w:val="00A14A4E"/>
    <w:rsid w:val="00A15806"/>
    <w:rsid w:val="00A15D96"/>
    <w:rsid w:val="00A16247"/>
    <w:rsid w:val="00A16657"/>
    <w:rsid w:val="00A16AED"/>
    <w:rsid w:val="00A16EA5"/>
    <w:rsid w:val="00A16EB7"/>
    <w:rsid w:val="00A17383"/>
    <w:rsid w:val="00A176E0"/>
    <w:rsid w:val="00A204D7"/>
    <w:rsid w:val="00A204E1"/>
    <w:rsid w:val="00A2064A"/>
    <w:rsid w:val="00A2069B"/>
    <w:rsid w:val="00A2096F"/>
    <w:rsid w:val="00A209AE"/>
    <w:rsid w:val="00A20C56"/>
    <w:rsid w:val="00A21385"/>
    <w:rsid w:val="00A213A3"/>
    <w:rsid w:val="00A2155F"/>
    <w:rsid w:val="00A2174D"/>
    <w:rsid w:val="00A2198A"/>
    <w:rsid w:val="00A21CB1"/>
    <w:rsid w:val="00A21E83"/>
    <w:rsid w:val="00A223C8"/>
    <w:rsid w:val="00A2250A"/>
    <w:rsid w:val="00A225C8"/>
    <w:rsid w:val="00A22CCE"/>
    <w:rsid w:val="00A22E16"/>
    <w:rsid w:val="00A230A4"/>
    <w:rsid w:val="00A23734"/>
    <w:rsid w:val="00A23962"/>
    <w:rsid w:val="00A23D4E"/>
    <w:rsid w:val="00A23E48"/>
    <w:rsid w:val="00A240A5"/>
    <w:rsid w:val="00A24510"/>
    <w:rsid w:val="00A24BD0"/>
    <w:rsid w:val="00A252C5"/>
    <w:rsid w:val="00A2544A"/>
    <w:rsid w:val="00A26736"/>
    <w:rsid w:val="00A2714D"/>
    <w:rsid w:val="00A27251"/>
    <w:rsid w:val="00A27D40"/>
    <w:rsid w:val="00A30439"/>
    <w:rsid w:val="00A30471"/>
    <w:rsid w:val="00A304D4"/>
    <w:rsid w:val="00A30B1D"/>
    <w:rsid w:val="00A3106E"/>
    <w:rsid w:val="00A312CE"/>
    <w:rsid w:val="00A31480"/>
    <w:rsid w:val="00A3194E"/>
    <w:rsid w:val="00A319B8"/>
    <w:rsid w:val="00A319DA"/>
    <w:rsid w:val="00A31A78"/>
    <w:rsid w:val="00A31B50"/>
    <w:rsid w:val="00A31BA6"/>
    <w:rsid w:val="00A327A3"/>
    <w:rsid w:val="00A3297A"/>
    <w:rsid w:val="00A32AA1"/>
    <w:rsid w:val="00A33184"/>
    <w:rsid w:val="00A332A2"/>
    <w:rsid w:val="00A3365C"/>
    <w:rsid w:val="00A33960"/>
    <w:rsid w:val="00A33E96"/>
    <w:rsid w:val="00A33FE3"/>
    <w:rsid w:val="00A341AF"/>
    <w:rsid w:val="00A3475B"/>
    <w:rsid w:val="00A3496E"/>
    <w:rsid w:val="00A34BF5"/>
    <w:rsid w:val="00A350F8"/>
    <w:rsid w:val="00A3525B"/>
    <w:rsid w:val="00A35723"/>
    <w:rsid w:val="00A35B57"/>
    <w:rsid w:val="00A35CD1"/>
    <w:rsid w:val="00A35CE4"/>
    <w:rsid w:val="00A35F2C"/>
    <w:rsid w:val="00A364C0"/>
    <w:rsid w:val="00A36657"/>
    <w:rsid w:val="00A36778"/>
    <w:rsid w:val="00A36B0B"/>
    <w:rsid w:val="00A36BE0"/>
    <w:rsid w:val="00A36ECC"/>
    <w:rsid w:val="00A36FA7"/>
    <w:rsid w:val="00A37209"/>
    <w:rsid w:val="00A37ADD"/>
    <w:rsid w:val="00A401C7"/>
    <w:rsid w:val="00A40274"/>
    <w:rsid w:val="00A4065D"/>
    <w:rsid w:val="00A40C5B"/>
    <w:rsid w:val="00A41043"/>
    <w:rsid w:val="00A41273"/>
    <w:rsid w:val="00A419A4"/>
    <w:rsid w:val="00A41A70"/>
    <w:rsid w:val="00A41CC6"/>
    <w:rsid w:val="00A41EB2"/>
    <w:rsid w:val="00A42B12"/>
    <w:rsid w:val="00A42DF9"/>
    <w:rsid w:val="00A438C2"/>
    <w:rsid w:val="00A438D3"/>
    <w:rsid w:val="00A43AB2"/>
    <w:rsid w:val="00A43E01"/>
    <w:rsid w:val="00A43FFC"/>
    <w:rsid w:val="00A44250"/>
    <w:rsid w:val="00A443FD"/>
    <w:rsid w:val="00A44470"/>
    <w:rsid w:val="00A444A6"/>
    <w:rsid w:val="00A445A9"/>
    <w:rsid w:val="00A449D2"/>
    <w:rsid w:val="00A44C56"/>
    <w:rsid w:val="00A45318"/>
    <w:rsid w:val="00A45798"/>
    <w:rsid w:val="00A457D9"/>
    <w:rsid w:val="00A46726"/>
    <w:rsid w:val="00A47273"/>
    <w:rsid w:val="00A472AA"/>
    <w:rsid w:val="00A47498"/>
    <w:rsid w:val="00A4771C"/>
    <w:rsid w:val="00A47C50"/>
    <w:rsid w:val="00A50293"/>
    <w:rsid w:val="00A5058F"/>
    <w:rsid w:val="00A5098C"/>
    <w:rsid w:val="00A50ABF"/>
    <w:rsid w:val="00A50F85"/>
    <w:rsid w:val="00A51899"/>
    <w:rsid w:val="00A521AA"/>
    <w:rsid w:val="00A52AED"/>
    <w:rsid w:val="00A52B4E"/>
    <w:rsid w:val="00A5354E"/>
    <w:rsid w:val="00A536DA"/>
    <w:rsid w:val="00A53B1E"/>
    <w:rsid w:val="00A53E74"/>
    <w:rsid w:val="00A53E8A"/>
    <w:rsid w:val="00A540AA"/>
    <w:rsid w:val="00A54267"/>
    <w:rsid w:val="00A5426E"/>
    <w:rsid w:val="00A545AB"/>
    <w:rsid w:val="00A54AEE"/>
    <w:rsid w:val="00A54C5E"/>
    <w:rsid w:val="00A54FDF"/>
    <w:rsid w:val="00A553FE"/>
    <w:rsid w:val="00A554B6"/>
    <w:rsid w:val="00A5553D"/>
    <w:rsid w:val="00A5556C"/>
    <w:rsid w:val="00A555C2"/>
    <w:rsid w:val="00A556C6"/>
    <w:rsid w:val="00A558BA"/>
    <w:rsid w:val="00A55BB4"/>
    <w:rsid w:val="00A55C37"/>
    <w:rsid w:val="00A55DEE"/>
    <w:rsid w:val="00A56313"/>
    <w:rsid w:val="00A563A0"/>
    <w:rsid w:val="00A5699A"/>
    <w:rsid w:val="00A56EFE"/>
    <w:rsid w:val="00A5721E"/>
    <w:rsid w:val="00A574FC"/>
    <w:rsid w:val="00A57941"/>
    <w:rsid w:val="00A6024E"/>
    <w:rsid w:val="00A6046D"/>
    <w:rsid w:val="00A606FA"/>
    <w:rsid w:val="00A60A04"/>
    <w:rsid w:val="00A61318"/>
    <w:rsid w:val="00A6145E"/>
    <w:rsid w:val="00A616B7"/>
    <w:rsid w:val="00A6174C"/>
    <w:rsid w:val="00A61761"/>
    <w:rsid w:val="00A61E6A"/>
    <w:rsid w:val="00A620DD"/>
    <w:rsid w:val="00A62839"/>
    <w:rsid w:val="00A62F4A"/>
    <w:rsid w:val="00A62F72"/>
    <w:rsid w:val="00A633A5"/>
    <w:rsid w:val="00A6351B"/>
    <w:rsid w:val="00A63B7B"/>
    <w:rsid w:val="00A64158"/>
    <w:rsid w:val="00A6430E"/>
    <w:rsid w:val="00A6447A"/>
    <w:rsid w:val="00A644C5"/>
    <w:rsid w:val="00A646CB"/>
    <w:rsid w:val="00A648C6"/>
    <w:rsid w:val="00A64F2A"/>
    <w:rsid w:val="00A650FB"/>
    <w:rsid w:val="00A65275"/>
    <w:rsid w:val="00A652F6"/>
    <w:rsid w:val="00A6530A"/>
    <w:rsid w:val="00A65353"/>
    <w:rsid w:val="00A654CB"/>
    <w:rsid w:val="00A655D5"/>
    <w:rsid w:val="00A65CC5"/>
    <w:rsid w:val="00A65D01"/>
    <w:rsid w:val="00A65E85"/>
    <w:rsid w:val="00A66395"/>
    <w:rsid w:val="00A665A5"/>
    <w:rsid w:val="00A666F3"/>
    <w:rsid w:val="00A66EDD"/>
    <w:rsid w:val="00A67149"/>
    <w:rsid w:val="00A671FB"/>
    <w:rsid w:val="00A679EB"/>
    <w:rsid w:val="00A67F67"/>
    <w:rsid w:val="00A7005A"/>
    <w:rsid w:val="00A70696"/>
    <w:rsid w:val="00A708A0"/>
    <w:rsid w:val="00A70CBC"/>
    <w:rsid w:val="00A712A8"/>
    <w:rsid w:val="00A7143B"/>
    <w:rsid w:val="00A7152A"/>
    <w:rsid w:val="00A71B11"/>
    <w:rsid w:val="00A71B64"/>
    <w:rsid w:val="00A71C21"/>
    <w:rsid w:val="00A71FDC"/>
    <w:rsid w:val="00A72236"/>
    <w:rsid w:val="00A727F8"/>
    <w:rsid w:val="00A72E13"/>
    <w:rsid w:val="00A72FC3"/>
    <w:rsid w:val="00A734BB"/>
    <w:rsid w:val="00A734FE"/>
    <w:rsid w:val="00A739C6"/>
    <w:rsid w:val="00A73C10"/>
    <w:rsid w:val="00A7401D"/>
    <w:rsid w:val="00A74136"/>
    <w:rsid w:val="00A75730"/>
    <w:rsid w:val="00A75F4E"/>
    <w:rsid w:val="00A76312"/>
    <w:rsid w:val="00A76B86"/>
    <w:rsid w:val="00A76FD1"/>
    <w:rsid w:val="00A774E0"/>
    <w:rsid w:val="00A77551"/>
    <w:rsid w:val="00A77730"/>
    <w:rsid w:val="00A779DE"/>
    <w:rsid w:val="00A77B93"/>
    <w:rsid w:val="00A8005D"/>
    <w:rsid w:val="00A80100"/>
    <w:rsid w:val="00A80496"/>
    <w:rsid w:val="00A80A68"/>
    <w:rsid w:val="00A80D02"/>
    <w:rsid w:val="00A80EB9"/>
    <w:rsid w:val="00A810F6"/>
    <w:rsid w:val="00A8141F"/>
    <w:rsid w:val="00A81719"/>
    <w:rsid w:val="00A81961"/>
    <w:rsid w:val="00A81ECE"/>
    <w:rsid w:val="00A8242E"/>
    <w:rsid w:val="00A829D3"/>
    <w:rsid w:val="00A82A85"/>
    <w:rsid w:val="00A82BF0"/>
    <w:rsid w:val="00A839F5"/>
    <w:rsid w:val="00A83B00"/>
    <w:rsid w:val="00A8440D"/>
    <w:rsid w:val="00A844F0"/>
    <w:rsid w:val="00A846D5"/>
    <w:rsid w:val="00A849BE"/>
    <w:rsid w:val="00A854B2"/>
    <w:rsid w:val="00A854D3"/>
    <w:rsid w:val="00A8553A"/>
    <w:rsid w:val="00A85EAC"/>
    <w:rsid w:val="00A8678D"/>
    <w:rsid w:val="00A86BF0"/>
    <w:rsid w:val="00A87450"/>
    <w:rsid w:val="00A874A0"/>
    <w:rsid w:val="00A905DE"/>
    <w:rsid w:val="00A90A12"/>
    <w:rsid w:val="00A90AAA"/>
    <w:rsid w:val="00A90AC2"/>
    <w:rsid w:val="00A90BD6"/>
    <w:rsid w:val="00A90CC6"/>
    <w:rsid w:val="00A90EBB"/>
    <w:rsid w:val="00A911B8"/>
    <w:rsid w:val="00A91771"/>
    <w:rsid w:val="00A92446"/>
    <w:rsid w:val="00A92497"/>
    <w:rsid w:val="00A9255A"/>
    <w:rsid w:val="00A925F3"/>
    <w:rsid w:val="00A9262A"/>
    <w:rsid w:val="00A92B2B"/>
    <w:rsid w:val="00A92B4D"/>
    <w:rsid w:val="00A9309A"/>
    <w:rsid w:val="00A930B8"/>
    <w:rsid w:val="00A930F8"/>
    <w:rsid w:val="00A93691"/>
    <w:rsid w:val="00A9390A"/>
    <w:rsid w:val="00A93A7A"/>
    <w:rsid w:val="00A93AF5"/>
    <w:rsid w:val="00A93BD4"/>
    <w:rsid w:val="00A93E64"/>
    <w:rsid w:val="00A940A9"/>
    <w:rsid w:val="00A947BB"/>
    <w:rsid w:val="00A948D5"/>
    <w:rsid w:val="00A94ADB"/>
    <w:rsid w:val="00A94B45"/>
    <w:rsid w:val="00A94CB6"/>
    <w:rsid w:val="00A94CF2"/>
    <w:rsid w:val="00A951A8"/>
    <w:rsid w:val="00A95439"/>
    <w:rsid w:val="00A95631"/>
    <w:rsid w:val="00A95F3B"/>
    <w:rsid w:val="00A96932"/>
    <w:rsid w:val="00A96AC3"/>
    <w:rsid w:val="00A96EA6"/>
    <w:rsid w:val="00A96EBD"/>
    <w:rsid w:val="00A97502"/>
    <w:rsid w:val="00A977EB"/>
    <w:rsid w:val="00A97848"/>
    <w:rsid w:val="00A97910"/>
    <w:rsid w:val="00AA0BF3"/>
    <w:rsid w:val="00AA130F"/>
    <w:rsid w:val="00AA138C"/>
    <w:rsid w:val="00AA18CC"/>
    <w:rsid w:val="00AA1AA8"/>
    <w:rsid w:val="00AA28D7"/>
    <w:rsid w:val="00AA2BEB"/>
    <w:rsid w:val="00AA2E4D"/>
    <w:rsid w:val="00AA2F04"/>
    <w:rsid w:val="00AA3108"/>
    <w:rsid w:val="00AA3555"/>
    <w:rsid w:val="00AA37D3"/>
    <w:rsid w:val="00AA410F"/>
    <w:rsid w:val="00AA43D4"/>
    <w:rsid w:val="00AA4703"/>
    <w:rsid w:val="00AA4900"/>
    <w:rsid w:val="00AA496A"/>
    <w:rsid w:val="00AA4DEA"/>
    <w:rsid w:val="00AA4E10"/>
    <w:rsid w:val="00AA50A0"/>
    <w:rsid w:val="00AA53AB"/>
    <w:rsid w:val="00AA585D"/>
    <w:rsid w:val="00AA5FDB"/>
    <w:rsid w:val="00AA6B10"/>
    <w:rsid w:val="00AA7014"/>
    <w:rsid w:val="00AA7320"/>
    <w:rsid w:val="00AA7553"/>
    <w:rsid w:val="00AA7655"/>
    <w:rsid w:val="00AA7AE7"/>
    <w:rsid w:val="00AA7C4B"/>
    <w:rsid w:val="00AB0019"/>
    <w:rsid w:val="00AB0398"/>
    <w:rsid w:val="00AB0492"/>
    <w:rsid w:val="00AB099E"/>
    <w:rsid w:val="00AB0A45"/>
    <w:rsid w:val="00AB127F"/>
    <w:rsid w:val="00AB1374"/>
    <w:rsid w:val="00AB1570"/>
    <w:rsid w:val="00AB1A6D"/>
    <w:rsid w:val="00AB1D8D"/>
    <w:rsid w:val="00AB2076"/>
    <w:rsid w:val="00AB2145"/>
    <w:rsid w:val="00AB22F2"/>
    <w:rsid w:val="00AB24A4"/>
    <w:rsid w:val="00AB2582"/>
    <w:rsid w:val="00AB2ABA"/>
    <w:rsid w:val="00AB323B"/>
    <w:rsid w:val="00AB32E9"/>
    <w:rsid w:val="00AB33E9"/>
    <w:rsid w:val="00AB3414"/>
    <w:rsid w:val="00AB3F16"/>
    <w:rsid w:val="00AB443A"/>
    <w:rsid w:val="00AB44AD"/>
    <w:rsid w:val="00AB466B"/>
    <w:rsid w:val="00AB49EB"/>
    <w:rsid w:val="00AB49FA"/>
    <w:rsid w:val="00AB4A16"/>
    <w:rsid w:val="00AB4A70"/>
    <w:rsid w:val="00AB4E2B"/>
    <w:rsid w:val="00AB4E68"/>
    <w:rsid w:val="00AB4EB3"/>
    <w:rsid w:val="00AB5541"/>
    <w:rsid w:val="00AB5781"/>
    <w:rsid w:val="00AB6085"/>
    <w:rsid w:val="00AB624A"/>
    <w:rsid w:val="00AB662D"/>
    <w:rsid w:val="00AB676B"/>
    <w:rsid w:val="00AB6908"/>
    <w:rsid w:val="00AB6B13"/>
    <w:rsid w:val="00AB6C07"/>
    <w:rsid w:val="00AB6E4B"/>
    <w:rsid w:val="00AB6F8F"/>
    <w:rsid w:val="00AB7304"/>
    <w:rsid w:val="00AB7419"/>
    <w:rsid w:val="00AB74A4"/>
    <w:rsid w:val="00AB775B"/>
    <w:rsid w:val="00AB7CBB"/>
    <w:rsid w:val="00AB7CC2"/>
    <w:rsid w:val="00AB7E1A"/>
    <w:rsid w:val="00AC0440"/>
    <w:rsid w:val="00AC0EC9"/>
    <w:rsid w:val="00AC11A1"/>
    <w:rsid w:val="00AC13B2"/>
    <w:rsid w:val="00AC13BD"/>
    <w:rsid w:val="00AC233D"/>
    <w:rsid w:val="00AC28DE"/>
    <w:rsid w:val="00AC2F36"/>
    <w:rsid w:val="00AC3106"/>
    <w:rsid w:val="00AC34A2"/>
    <w:rsid w:val="00AC436A"/>
    <w:rsid w:val="00AC4556"/>
    <w:rsid w:val="00AC4600"/>
    <w:rsid w:val="00AC474E"/>
    <w:rsid w:val="00AC47E4"/>
    <w:rsid w:val="00AC4838"/>
    <w:rsid w:val="00AC4908"/>
    <w:rsid w:val="00AC4987"/>
    <w:rsid w:val="00AC49BB"/>
    <w:rsid w:val="00AC4B07"/>
    <w:rsid w:val="00AC4D83"/>
    <w:rsid w:val="00AC534B"/>
    <w:rsid w:val="00AC5EEC"/>
    <w:rsid w:val="00AC6286"/>
    <w:rsid w:val="00AC6509"/>
    <w:rsid w:val="00AC6908"/>
    <w:rsid w:val="00AC6D4C"/>
    <w:rsid w:val="00AC750D"/>
    <w:rsid w:val="00AC7A0C"/>
    <w:rsid w:val="00AC7A45"/>
    <w:rsid w:val="00AD009B"/>
    <w:rsid w:val="00AD0116"/>
    <w:rsid w:val="00AD0A49"/>
    <w:rsid w:val="00AD11A8"/>
    <w:rsid w:val="00AD140C"/>
    <w:rsid w:val="00AD19BB"/>
    <w:rsid w:val="00AD1B88"/>
    <w:rsid w:val="00AD21E9"/>
    <w:rsid w:val="00AD2AF3"/>
    <w:rsid w:val="00AD2B46"/>
    <w:rsid w:val="00AD2B62"/>
    <w:rsid w:val="00AD2BBC"/>
    <w:rsid w:val="00AD2C30"/>
    <w:rsid w:val="00AD2DFA"/>
    <w:rsid w:val="00AD39C8"/>
    <w:rsid w:val="00AD3C71"/>
    <w:rsid w:val="00AD4063"/>
    <w:rsid w:val="00AD40CB"/>
    <w:rsid w:val="00AD43F0"/>
    <w:rsid w:val="00AD4EAB"/>
    <w:rsid w:val="00AD51F5"/>
    <w:rsid w:val="00AD58E9"/>
    <w:rsid w:val="00AD5A60"/>
    <w:rsid w:val="00AD5D7D"/>
    <w:rsid w:val="00AD5FFE"/>
    <w:rsid w:val="00AD6023"/>
    <w:rsid w:val="00AD60F3"/>
    <w:rsid w:val="00AD6293"/>
    <w:rsid w:val="00AD6F6B"/>
    <w:rsid w:val="00AD78BB"/>
    <w:rsid w:val="00AD7A2C"/>
    <w:rsid w:val="00AD7EBB"/>
    <w:rsid w:val="00AD7F59"/>
    <w:rsid w:val="00AE00EF"/>
    <w:rsid w:val="00AE025E"/>
    <w:rsid w:val="00AE0448"/>
    <w:rsid w:val="00AE0A7B"/>
    <w:rsid w:val="00AE0B01"/>
    <w:rsid w:val="00AE0C10"/>
    <w:rsid w:val="00AE0D27"/>
    <w:rsid w:val="00AE0F7A"/>
    <w:rsid w:val="00AE0FC2"/>
    <w:rsid w:val="00AE1151"/>
    <w:rsid w:val="00AE1D40"/>
    <w:rsid w:val="00AE1FB0"/>
    <w:rsid w:val="00AE23F4"/>
    <w:rsid w:val="00AE2A27"/>
    <w:rsid w:val="00AE2C4F"/>
    <w:rsid w:val="00AE3FDE"/>
    <w:rsid w:val="00AE4171"/>
    <w:rsid w:val="00AE434D"/>
    <w:rsid w:val="00AE4C63"/>
    <w:rsid w:val="00AE5C5E"/>
    <w:rsid w:val="00AE67AD"/>
    <w:rsid w:val="00AE6CBB"/>
    <w:rsid w:val="00AE6F9A"/>
    <w:rsid w:val="00AE7F4C"/>
    <w:rsid w:val="00AE7FF4"/>
    <w:rsid w:val="00AF0863"/>
    <w:rsid w:val="00AF10CB"/>
    <w:rsid w:val="00AF1283"/>
    <w:rsid w:val="00AF1317"/>
    <w:rsid w:val="00AF1715"/>
    <w:rsid w:val="00AF20C3"/>
    <w:rsid w:val="00AF217F"/>
    <w:rsid w:val="00AF2924"/>
    <w:rsid w:val="00AF292E"/>
    <w:rsid w:val="00AF29E7"/>
    <w:rsid w:val="00AF2BFD"/>
    <w:rsid w:val="00AF2CC9"/>
    <w:rsid w:val="00AF3096"/>
    <w:rsid w:val="00AF32B9"/>
    <w:rsid w:val="00AF33DA"/>
    <w:rsid w:val="00AF346E"/>
    <w:rsid w:val="00AF3767"/>
    <w:rsid w:val="00AF38CF"/>
    <w:rsid w:val="00AF3D28"/>
    <w:rsid w:val="00AF3F76"/>
    <w:rsid w:val="00AF450A"/>
    <w:rsid w:val="00AF450D"/>
    <w:rsid w:val="00AF46C4"/>
    <w:rsid w:val="00AF4A56"/>
    <w:rsid w:val="00AF4F09"/>
    <w:rsid w:val="00AF546D"/>
    <w:rsid w:val="00AF56A7"/>
    <w:rsid w:val="00AF5A5E"/>
    <w:rsid w:val="00AF5E6A"/>
    <w:rsid w:val="00AF61D4"/>
    <w:rsid w:val="00AF7ACA"/>
    <w:rsid w:val="00AF7CE4"/>
    <w:rsid w:val="00B006B8"/>
    <w:rsid w:val="00B008B3"/>
    <w:rsid w:val="00B01333"/>
    <w:rsid w:val="00B0147C"/>
    <w:rsid w:val="00B01CDD"/>
    <w:rsid w:val="00B01E19"/>
    <w:rsid w:val="00B021D2"/>
    <w:rsid w:val="00B0249F"/>
    <w:rsid w:val="00B02686"/>
    <w:rsid w:val="00B02EB7"/>
    <w:rsid w:val="00B030FB"/>
    <w:rsid w:val="00B0314A"/>
    <w:rsid w:val="00B0353E"/>
    <w:rsid w:val="00B0355B"/>
    <w:rsid w:val="00B03A92"/>
    <w:rsid w:val="00B040D0"/>
    <w:rsid w:val="00B0458F"/>
    <w:rsid w:val="00B04CC3"/>
    <w:rsid w:val="00B04E86"/>
    <w:rsid w:val="00B054BF"/>
    <w:rsid w:val="00B056CE"/>
    <w:rsid w:val="00B06113"/>
    <w:rsid w:val="00B066D1"/>
    <w:rsid w:val="00B06B31"/>
    <w:rsid w:val="00B06B96"/>
    <w:rsid w:val="00B06CC9"/>
    <w:rsid w:val="00B06E32"/>
    <w:rsid w:val="00B07BB5"/>
    <w:rsid w:val="00B07DD3"/>
    <w:rsid w:val="00B07F02"/>
    <w:rsid w:val="00B10068"/>
    <w:rsid w:val="00B1033F"/>
    <w:rsid w:val="00B1047A"/>
    <w:rsid w:val="00B10B84"/>
    <w:rsid w:val="00B10CCE"/>
    <w:rsid w:val="00B10E7E"/>
    <w:rsid w:val="00B111DC"/>
    <w:rsid w:val="00B1125C"/>
    <w:rsid w:val="00B11B75"/>
    <w:rsid w:val="00B11B7E"/>
    <w:rsid w:val="00B11BF6"/>
    <w:rsid w:val="00B11E41"/>
    <w:rsid w:val="00B11E47"/>
    <w:rsid w:val="00B11E96"/>
    <w:rsid w:val="00B1208F"/>
    <w:rsid w:val="00B1212C"/>
    <w:rsid w:val="00B12482"/>
    <w:rsid w:val="00B129B8"/>
    <w:rsid w:val="00B12A14"/>
    <w:rsid w:val="00B12FF3"/>
    <w:rsid w:val="00B14486"/>
    <w:rsid w:val="00B14573"/>
    <w:rsid w:val="00B145D0"/>
    <w:rsid w:val="00B1489A"/>
    <w:rsid w:val="00B14A2C"/>
    <w:rsid w:val="00B14D78"/>
    <w:rsid w:val="00B14E8C"/>
    <w:rsid w:val="00B1558D"/>
    <w:rsid w:val="00B15A4F"/>
    <w:rsid w:val="00B15B44"/>
    <w:rsid w:val="00B1622F"/>
    <w:rsid w:val="00B16BCE"/>
    <w:rsid w:val="00B16CFA"/>
    <w:rsid w:val="00B16E92"/>
    <w:rsid w:val="00B17623"/>
    <w:rsid w:val="00B17923"/>
    <w:rsid w:val="00B20367"/>
    <w:rsid w:val="00B20988"/>
    <w:rsid w:val="00B20F30"/>
    <w:rsid w:val="00B21233"/>
    <w:rsid w:val="00B2131B"/>
    <w:rsid w:val="00B214B5"/>
    <w:rsid w:val="00B21E54"/>
    <w:rsid w:val="00B21F69"/>
    <w:rsid w:val="00B2214F"/>
    <w:rsid w:val="00B2242A"/>
    <w:rsid w:val="00B22642"/>
    <w:rsid w:val="00B228A1"/>
    <w:rsid w:val="00B23073"/>
    <w:rsid w:val="00B231E5"/>
    <w:rsid w:val="00B23D05"/>
    <w:rsid w:val="00B23D71"/>
    <w:rsid w:val="00B23E42"/>
    <w:rsid w:val="00B23E81"/>
    <w:rsid w:val="00B23F5D"/>
    <w:rsid w:val="00B248B3"/>
    <w:rsid w:val="00B24E4B"/>
    <w:rsid w:val="00B24F57"/>
    <w:rsid w:val="00B25D57"/>
    <w:rsid w:val="00B2616B"/>
    <w:rsid w:val="00B26390"/>
    <w:rsid w:val="00B268A6"/>
    <w:rsid w:val="00B268EA"/>
    <w:rsid w:val="00B26CA0"/>
    <w:rsid w:val="00B26CD9"/>
    <w:rsid w:val="00B26E78"/>
    <w:rsid w:val="00B27024"/>
    <w:rsid w:val="00B27194"/>
    <w:rsid w:val="00B276B4"/>
    <w:rsid w:val="00B276F1"/>
    <w:rsid w:val="00B277EC"/>
    <w:rsid w:val="00B2785F"/>
    <w:rsid w:val="00B278B3"/>
    <w:rsid w:val="00B27A20"/>
    <w:rsid w:val="00B27D6D"/>
    <w:rsid w:val="00B305F8"/>
    <w:rsid w:val="00B307B5"/>
    <w:rsid w:val="00B30B44"/>
    <w:rsid w:val="00B3127C"/>
    <w:rsid w:val="00B312A9"/>
    <w:rsid w:val="00B31735"/>
    <w:rsid w:val="00B31CA8"/>
    <w:rsid w:val="00B31F8F"/>
    <w:rsid w:val="00B322F7"/>
    <w:rsid w:val="00B32318"/>
    <w:rsid w:val="00B32413"/>
    <w:rsid w:val="00B32E89"/>
    <w:rsid w:val="00B33473"/>
    <w:rsid w:val="00B33588"/>
    <w:rsid w:val="00B33818"/>
    <w:rsid w:val="00B33C77"/>
    <w:rsid w:val="00B33FE7"/>
    <w:rsid w:val="00B34014"/>
    <w:rsid w:val="00B343E1"/>
    <w:rsid w:val="00B34883"/>
    <w:rsid w:val="00B34B8B"/>
    <w:rsid w:val="00B34C5B"/>
    <w:rsid w:val="00B34F91"/>
    <w:rsid w:val="00B357C8"/>
    <w:rsid w:val="00B360E1"/>
    <w:rsid w:val="00B36161"/>
    <w:rsid w:val="00B3636E"/>
    <w:rsid w:val="00B367A1"/>
    <w:rsid w:val="00B36F38"/>
    <w:rsid w:val="00B37292"/>
    <w:rsid w:val="00B37FA6"/>
    <w:rsid w:val="00B403A3"/>
    <w:rsid w:val="00B4046E"/>
    <w:rsid w:val="00B40643"/>
    <w:rsid w:val="00B406D0"/>
    <w:rsid w:val="00B4087E"/>
    <w:rsid w:val="00B40A9A"/>
    <w:rsid w:val="00B40ACA"/>
    <w:rsid w:val="00B40F38"/>
    <w:rsid w:val="00B41126"/>
    <w:rsid w:val="00B41915"/>
    <w:rsid w:val="00B42996"/>
    <w:rsid w:val="00B429AF"/>
    <w:rsid w:val="00B42C3B"/>
    <w:rsid w:val="00B431E4"/>
    <w:rsid w:val="00B43C61"/>
    <w:rsid w:val="00B4411C"/>
    <w:rsid w:val="00B4418C"/>
    <w:rsid w:val="00B44350"/>
    <w:rsid w:val="00B447ED"/>
    <w:rsid w:val="00B452A8"/>
    <w:rsid w:val="00B45AD2"/>
    <w:rsid w:val="00B45F3A"/>
    <w:rsid w:val="00B46152"/>
    <w:rsid w:val="00B461ED"/>
    <w:rsid w:val="00B46290"/>
    <w:rsid w:val="00B4651A"/>
    <w:rsid w:val="00B46FA5"/>
    <w:rsid w:val="00B47130"/>
    <w:rsid w:val="00B47253"/>
    <w:rsid w:val="00B479AE"/>
    <w:rsid w:val="00B47CA2"/>
    <w:rsid w:val="00B47D3A"/>
    <w:rsid w:val="00B47F00"/>
    <w:rsid w:val="00B50235"/>
    <w:rsid w:val="00B503E8"/>
    <w:rsid w:val="00B5077A"/>
    <w:rsid w:val="00B50825"/>
    <w:rsid w:val="00B50AD9"/>
    <w:rsid w:val="00B50B6D"/>
    <w:rsid w:val="00B51005"/>
    <w:rsid w:val="00B51189"/>
    <w:rsid w:val="00B514B5"/>
    <w:rsid w:val="00B516F6"/>
    <w:rsid w:val="00B51745"/>
    <w:rsid w:val="00B5175C"/>
    <w:rsid w:val="00B51AE8"/>
    <w:rsid w:val="00B51DBB"/>
    <w:rsid w:val="00B521BA"/>
    <w:rsid w:val="00B52B1F"/>
    <w:rsid w:val="00B533A0"/>
    <w:rsid w:val="00B5351B"/>
    <w:rsid w:val="00B53AA4"/>
    <w:rsid w:val="00B53C79"/>
    <w:rsid w:val="00B540B6"/>
    <w:rsid w:val="00B54203"/>
    <w:rsid w:val="00B544EB"/>
    <w:rsid w:val="00B54907"/>
    <w:rsid w:val="00B54F48"/>
    <w:rsid w:val="00B55B8C"/>
    <w:rsid w:val="00B569D5"/>
    <w:rsid w:val="00B56C43"/>
    <w:rsid w:val="00B56CEC"/>
    <w:rsid w:val="00B56D0D"/>
    <w:rsid w:val="00B57466"/>
    <w:rsid w:val="00B57788"/>
    <w:rsid w:val="00B578B4"/>
    <w:rsid w:val="00B578C6"/>
    <w:rsid w:val="00B57D04"/>
    <w:rsid w:val="00B57E74"/>
    <w:rsid w:val="00B6014C"/>
    <w:rsid w:val="00B60441"/>
    <w:rsid w:val="00B60741"/>
    <w:rsid w:val="00B608B5"/>
    <w:rsid w:val="00B60AEC"/>
    <w:rsid w:val="00B60E76"/>
    <w:rsid w:val="00B6108C"/>
    <w:rsid w:val="00B610DB"/>
    <w:rsid w:val="00B61A58"/>
    <w:rsid w:val="00B6216B"/>
    <w:rsid w:val="00B62486"/>
    <w:rsid w:val="00B62A7B"/>
    <w:rsid w:val="00B62B08"/>
    <w:rsid w:val="00B6365A"/>
    <w:rsid w:val="00B63B74"/>
    <w:rsid w:val="00B642C7"/>
    <w:rsid w:val="00B64392"/>
    <w:rsid w:val="00B647D3"/>
    <w:rsid w:val="00B6495A"/>
    <w:rsid w:val="00B64C0F"/>
    <w:rsid w:val="00B650D6"/>
    <w:rsid w:val="00B6533E"/>
    <w:rsid w:val="00B658FD"/>
    <w:rsid w:val="00B659B2"/>
    <w:rsid w:val="00B65C24"/>
    <w:rsid w:val="00B66039"/>
    <w:rsid w:val="00B66526"/>
    <w:rsid w:val="00B66A41"/>
    <w:rsid w:val="00B66AA6"/>
    <w:rsid w:val="00B66C72"/>
    <w:rsid w:val="00B66DF4"/>
    <w:rsid w:val="00B671DF"/>
    <w:rsid w:val="00B67C76"/>
    <w:rsid w:val="00B70237"/>
    <w:rsid w:val="00B70299"/>
    <w:rsid w:val="00B70DB1"/>
    <w:rsid w:val="00B70FFE"/>
    <w:rsid w:val="00B710C6"/>
    <w:rsid w:val="00B71162"/>
    <w:rsid w:val="00B71381"/>
    <w:rsid w:val="00B713E6"/>
    <w:rsid w:val="00B71482"/>
    <w:rsid w:val="00B7174E"/>
    <w:rsid w:val="00B71D5B"/>
    <w:rsid w:val="00B71D61"/>
    <w:rsid w:val="00B720D1"/>
    <w:rsid w:val="00B725D7"/>
    <w:rsid w:val="00B72879"/>
    <w:rsid w:val="00B7287C"/>
    <w:rsid w:val="00B73205"/>
    <w:rsid w:val="00B7395C"/>
    <w:rsid w:val="00B73D96"/>
    <w:rsid w:val="00B73E0D"/>
    <w:rsid w:val="00B743D7"/>
    <w:rsid w:val="00B746E0"/>
    <w:rsid w:val="00B74BFB"/>
    <w:rsid w:val="00B750B3"/>
    <w:rsid w:val="00B751E1"/>
    <w:rsid w:val="00B751FB"/>
    <w:rsid w:val="00B75D96"/>
    <w:rsid w:val="00B76C3A"/>
    <w:rsid w:val="00B76EF2"/>
    <w:rsid w:val="00B76F97"/>
    <w:rsid w:val="00B7751A"/>
    <w:rsid w:val="00B800A4"/>
    <w:rsid w:val="00B802D8"/>
    <w:rsid w:val="00B80E1A"/>
    <w:rsid w:val="00B81005"/>
    <w:rsid w:val="00B8180F"/>
    <w:rsid w:val="00B81AF6"/>
    <w:rsid w:val="00B81B0D"/>
    <w:rsid w:val="00B81BC0"/>
    <w:rsid w:val="00B81DFE"/>
    <w:rsid w:val="00B82EBE"/>
    <w:rsid w:val="00B83137"/>
    <w:rsid w:val="00B83181"/>
    <w:rsid w:val="00B83665"/>
    <w:rsid w:val="00B837AE"/>
    <w:rsid w:val="00B837DE"/>
    <w:rsid w:val="00B83C2A"/>
    <w:rsid w:val="00B83DD0"/>
    <w:rsid w:val="00B842FA"/>
    <w:rsid w:val="00B84ADA"/>
    <w:rsid w:val="00B8522F"/>
    <w:rsid w:val="00B858D7"/>
    <w:rsid w:val="00B85B96"/>
    <w:rsid w:val="00B86168"/>
    <w:rsid w:val="00B8692A"/>
    <w:rsid w:val="00B86BE7"/>
    <w:rsid w:val="00B86BF3"/>
    <w:rsid w:val="00B87787"/>
    <w:rsid w:val="00B90048"/>
    <w:rsid w:val="00B9015E"/>
    <w:rsid w:val="00B901C5"/>
    <w:rsid w:val="00B90A04"/>
    <w:rsid w:val="00B90AD2"/>
    <w:rsid w:val="00B90C3A"/>
    <w:rsid w:val="00B9135C"/>
    <w:rsid w:val="00B91552"/>
    <w:rsid w:val="00B91D8D"/>
    <w:rsid w:val="00B91DA4"/>
    <w:rsid w:val="00B92225"/>
    <w:rsid w:val="00B92342"/>
    <w:rsid w:val="00B92FB9"/>
    <w:rsid w:val="00B93458"/>
    <w:rsid w:val="00B93612"/>
    <w:rsid w:val="00B93885"/>
    <w:rsid w:val="00B93946"/>
    <w:rsid w:val="00B947EE"/>
    <w:rsid w:val="00B94886"/>
    <w:rsid w:val="00B94CAE"/>
    <w:rsid w:val="00B94D5E"/>
    <w:rsid w:val="00B94DC8"/>
    <w:rsid w:val="00B94E87"/>
    <w:rsid w:val="00B9505F"/>
    <w:rsid w:val="00B95194"/>
    <w:rsid w:val="00B9545E"/>
    <w:rsid w:val="00B95574"/>
    <w:rsid w:val="00B956F0"/>
    <w:rsid w:val="00B95973"/>
    <w:rsid w:val="00B95C42"/>
    <w:rsid w:val="00B96274"/>
    <w:rsid w:val="00B96A92"/>
    <w:rsid w:val="00B97104"/>
    <w:rsid w:val="00B975F0"/>
    <w:rsid w:val="00B97D45"/>
    <w:rsid w:val="00BA0258"/>
    <w:rsid w:val="00BA08FE"/>
    <w:rsid w:val="00BA09C2"/>
    <w:rsid w:val="00BA0A91"/>
    <w:rsid w:val="00BA0E2D"/>
    <w:rsid w:val="00BA1C49"/>
    <w:rsid w:val="00BA1EF5"/>
    <w:rsid w:val="00BA27A7"/>
    <w:rsid w:val="00BA2883"/>
    <w:rsid w:val="00BA29F1"/>
    <w:rsid w:val="00BA30EC"/>
    <w:rsid w:val="00BA326B"/>
    <w:rsid w:val="00BA377F"/>
    <w:rsid w:val="00BA39FF"/>
    <w:rsid w:val="00BA3A91"/>
    <w:rsid w:val="00BA3F2A"/>
    <w:rsid w:val="00BA4343"/>
    <w:rsid w:val="00BA47BF"/>
    <w:rsid w:val="00BA484E"/>
    <w:rsid w:val="00BA4BC2"/>
    <w:rsid w:val="00BA54EE"/>
    <w:rsid w:val="00BA5646"/>
    <w:rsid w:val="00BA576E"/>
    <w:rsid w:val="00BA58A4"/>
    <w:rsid w:val="00BA5E6F"/>
    <w:rsid w:val="00BA5EB7"/>
    <w:rsid w:val="00BA677B"/>
    <w:rsid w:val="00BA7140"/>
    <w:rsid w:val="00BA738F"/>
    <w:rsid w:val="00BA73F4"/>
    <w:rsid w:val="00BA74E5"/>
    <w:rsid w:val="00BA75F9"/>
    <w:rsid w:val="00BA7727"/>
    <w:rsid w:val="00BB0E1D"/>
    <w:rsid w:val="00BB173B"/>
    <w:rsid w:val="00BB23C2"/>
    <w:rsid w:val="00BB27B9"/>
    <w:rsid w:val="00BB293E"/>
    <w:rsid w:val="00BB29CD"/>
    <w:rsid w:val="00BB2DE4"/>
    <w:rsid w:val="00BB2F6E"/>
    <w:rsid w:val="00BB2FCE"/>
    <w:rsid w:val="00BB3110"/>
    <w:rsid w:val="00BB37C4"/>
    <w:rsid w:val="00BB3A8D"/>
    <w:rsid w:val="00BB3B93"/>
    <w:rsid w:val="00BB3C9F"/>
    <w:rsid w:val="00BB43C5"/>
    <w:rsid w:val="00BB4C0E"/>
    <w:rsid w:val="00BB4C83"/>
    <w:rsid w:val="00BB4EFD"/>
    <w:rsid w:val="00BB53CE"/>
    <w:rsid w:val="00BB5550"/>
    <w:rsid w:val="00BB55AC"/>
    <w:rsid w:val="00BB5F33"/>
    <w:rsid w:val="00BB5FEE"/>
    <w:rsid w:val="00BB6841"/>
    <w:rsid w:val="00BB6A3E"/>
    <w:rsid w:val="00BB770B"/>
    <w:rsid w:val="00BB7819"/>
    <w:rsid w:val="00BB7939"/>
    <w:rsid w:val="00BB7E0B"/>
    <w:rsid w:val="00BC01F4"/>
    <w:rsid w:val="00BC05A1"/>
    <w:rsid w:val="00BC0923"/>
    <w:rsid w:val="00BC09FF"/>
    <w:rsid w:val="00BC114B"/>
    <w:rsid w:val="00BC1422"/>
    <w:rsid w:val="00BC1D37"/>
    <w:rsid w:val="00BC20A6"/>
    <w:rsid w:val="00BC229C"/>
    <w:rsid w:val="00BC2769"/>
    <w:rsid w:val="00BC2C22"/>
    <w:rsid w:val="00BC2C32"/>
    <w:rsid w:val="00BC2D9E"/>
    <w:rsid w:val="00BC3F6E"/>
    <w:rsid w:val="00BC457A"/>
    <w:rsid w:val="00BC65B7"/>
    <w:rsid w:val="00BC6A76"/>
    <w:rsid w:val="00BC6BC4"/>
    <w:rsid w:val="00BC716A"/>
    <w:rsid w:val="00BC77BB"/>
    <w:rsid w:val="00BC7A57"/>
    <w:rsid w:val="00BD037B"/>
    <w:rsid w:val="00BD0AAD"/>
    <w:rsid w:val="00BD0D1F"/>
    <w:rsid w:val="00BD0EE3"/>
    <w:rsid w:val="00BD1428"/>
    <w:rsid w:val="00BD1463"/>
    <w:rsid w:val="00BD21A0"/>
    <w:rsid w:val="00BD24DF"/>
    <w:rsid w:val="00BD291A"/>
    <w:rsid w:val="00BD30EF"/>
    <w:rsid w:val="00BD325C"/>
    <w:rsid w:val="00BD32E1"/>
    <w:rsid w:val="00BD373A"/>
    <w:rsid w:val="00BD3B8D"/>
    <w:rsid w:val="00BD3EBE"/>
    <w:rsid w:val="00BD41B8"/>
    <w:rsid w:val="00BD41DD"/>
    <w:rsid w:val="00BD447E"/>
    <w:rsid w:val="00BD4576"/>
    <w:rsid w:val="00BD46C9"/>
    <w:rsid w:val="00BD4929"/>
    <w:rsid w:val="00BD5583"/>
    <w:rsid w:val="00BD5767"/>
    <w:rsid w:val="00BD5B50"/>
    <w:rsid w:val="00BD5C08"/>
    <w:rsid w:val="00BD6381"/>
    <w:rsid w:val="00BD6E0E"/>
    <w:rsid w:val="00BD6FD0"/>
    <w:rsid w:val="00BD7149"/>
    <w:rsid w:val="00BD7861"/>
    <w:rsid w:val="00BD7875"/>
    <w:rsid w:val="00BD7B55"/>
    <w:rsid w:val="00BD7BAF"/>
    <w:rsid w:val="00BD7CA5"/>
    <w:rsid w:val="00BE022B"/>
    <w:rsid w:val="00BE117C"/>
    <w:rsid w:val="00BE19D9"/>
    <w:rsid w:val="00BE1FAE"/>
    <w:rsid w:val="00BE232B"/>
    <w:rsid w:val="00BE290E"/>
    <w:rsid w:val="00BE2B7D"/>
    <w:rsid w:val="00BE2CA2"/>
    <w:rsid w:val="00BE353C"/>
    <w:rsid w:val="00BE4609"/>
    <w:rsid w:val="00BE4C4B"/>
    <w:rsid w:val="00BE5AE6"/>
    <w:rsid w:val="00BE5B76"/>
    <w:rsid w:val="00BE64B8"/>
    <w:rsid w:val="00BE6E05"/>
    <w:rsid w:val="00BE723F"/>
    <w:rsid w:val="00BE73D9"/>
    <w:rsid w:val="00BE746A"/>
    <w:rsid w:val="00BE760C"/>
    <w:rsid w:val="00BE780A"/>
    <w:rsid w:val="00BE7EAE"/>
    <w:rsid w:val="00BE7F0F"/>
    <w:rsid w:val="00BF11EC"/>
    <w:rsid w:val="00BF1720"/>
    <w:rsid w:val="00BF1FD3"/>
    <w:rsid w:val="00BF34ED"/>
    <w:rsid w:val="00BF3754"/>
    <w:rsid w:val="00BF3E4B"/>
    <w:rsid w:val="00BF3F24"/>
    <w:rsid w:val="00BF405E"/>
    <w:rsid w:val="00BF445E"/>
    <w:rsid w:val="00BF4524"/>
    <w:rsid w:val="00BF46FF"/>
    <w:rsid w:val="00BF4A37"/>
    <w:rsid w:val="00BF4E22"/>
    <w:rsid w:val="00BF5858"/>
    <w:rsid w:val="00BF5A67"/>
    <w:rsid w:val="00BF5BE9"/>
    <w:rsid w:val="00BF5DC1"/>
    <w:rsid w:val="00BF5F8F"/>
    <w:rsid w:val="00BF6098"/>
    <w:rsid w:val="00BF62B7"/>
    <w:rsid w:val="00BF6377"/>
    <w:rsid w:val="00BF650C"/>
    <w:rsid w:val="00BF69A3"/>
    <w:rsid w:val="00BF69F0"/>
    <w:rsid w:val="00BF6BD3"/>
    <w:rsid w:val="00BF6CAC"/>
    <w:rsid w:val="00BF7137"/>
    <w:rsid w:val="00BF7290"/>
    <w:rsid w:val="00BF7AB3"/>
    <w:rsid w:val="00BF7FB4"/>
    <w:rsid w:val="00C00707"/>
    <w:rsid w:val="00C00813"/>
    <w:rsid w:val="00C00E89"/>
    <w:rsid w:val="00C018D7"/>
    <w:rsid w:val="00C0227E"/>
    <w:rsid w:val="00C023E8"/>
    <w:rsid w:val="00C02639"/>
    <w:rsid w:val="00C02888"/>
    <w:rsid w:val="00C02889"/>
    <w:rsid w:val="00C02AAF"/>
    <w:rsid w:val="00C02DDC"/>
    <w:rsid w:val="00C02E81"/>
    <w:rsid w:val="00C02EED"/>
    <w:rsid w:val="00C02EF5"/>
    <w:rsid w:val="00C0300A"/>
    <w:rsid w:val="00C03665"/>
    <w:rsid w:val="00C036EA"/>
    <w:rsid w:val="00C0398A"/>
    <w:rsid w:val="00C03C0E"/>
    <w:rsid w:val="00C03ECE"/>
    <w:rsid w:val="00C03EFC"/>
    <w:rsid w:val="00C049E5"/>
    <w:rsid w:val="00C04A63"/>
    <w:rsid w:val="00C04EAF"/>
    <w:rsid w:val="00C0543D"/>
    <w:rsid w:val="00C054A4"/>
    <w:rsid w:val="00C0553F"/>
    <w:rsid w:val="00C05B28"/>
    <w:rsid w:val="00C05B93"/>
    <w:rsid w:val="00C05F6F"/>
    <w:rsid w:val="00C06039"/>
    <w:rsid w:val="00C06358"/>
    <w:rsid w:val="00C06377"/>
    <w:rsid w:val="00C0661B"/>
    <w:rsid w:val="00C06804"/>
    <w:rsid w:val="00C06BA4"/>
    <w:rsid w:val="00C0763C"/>
    <w:rsid w:val="00C07C2E"/>
    <w:rsid w:val="00C07D69"/>
    <w:rsid w:val="00C07E0F"/>
    <w:rsid w:val="00C102BD"/>
    <w:rsid w:val="00C10519"/>
    <w:rsid w:val="00C10615"/>
    <w:rsid w:val="00C1089F"/>
    <w:rsid w:val="00C10CEA"/>
    <w:rsid w:val="00C10F13"/>
    <w:rsid w:val="00C11130"/>
    <w:rsid w:val="00C111DC"/>
    <w:rsid w:val="00C111F1"/>
    <w:rsid w:val="00C116A6"/>
    <w:rsid w:val="00C11799"/>
    <w:rsid w:val="00C11CB1"/>
    <w:rsid w:val="00C1208F"/>
    <w:rsid w:val="00C1222E"/>
    <w:rsid w:val="00C12387"/>
    <w:rsid w:val="00C12406"/>
    <w:rsid w:val="00C12562"/>
    <w:rsid w:val="00C12A70"/>
    <w:rsid w:val="00C13AAD"/>
    <w:rsid w:val="00C13E14"/>
    <w:rsid w:val="00C13E4C"/>
    <w:rsid w:val="00C13EB8"/>
    <w:rsid w:val="00C14998"/>
    <w:rsid w:val="00C14DDD"/>
    <w:rsid w:val="00C15189"/>
    <w:rsid w:val="00C157BE"/>
    <w:rsid w:val="00C158EA"/>
    <w:rsid w:val="00C15C50"/>
    <w:rsid w:val="00C15D29"/>
    <w:rsid w:val="00C1659A"/>
    <w:rsid w:val="00C165D2"/>
    <w:rsid w:val="00C16854"/>
    <w:rsid w:val="00C16A60"/>
    <w:rsid w:val="00C16D6A"/>
    <w:rsid w:val="00C170B6"/>
    <w:rsid w:val="00C17125"/>
    <w:rsid w:val="00C176D2"/>
    <w:rsid w:val="00C17ABE"/>
    <w:rsid w:val="00C17D92"/>
    <w:rsid w:val="00C211AE"/>
    <w:rsid w:val="00C21A21"/>
    <w:rsid w:val="00C21B9B"/>
    <w:rsid w:val="00C222AA"/>
    <w:rsid w:val="00C2251C"/>
    <w:rsid w:val="00C22B0D"/>
    <w:rsid w:val="00C2325F"/>
    <w:rsid w:val="00C23D6B"/>
    <w:rsid w:val="00C24D42"/>
    <w:rsid w:val="00C24FB3"/>
    <w:rsid w:val="00C250C0"/>
    <w:rsid w:val="00C25164"/>
    <w:rsid w:val="00C25222"/>
    <w:rsid w:val="00C258B5"/>
    <w:rsid w:val="00C25A66"/>
    <w:rsid w:val="00C26082"/>
    <w:rsid w:val="00C265D2"/>
    <w:rsid w:val="00C2689A"/>
    <w:rsid w:val="00C26DBD"/>
    <w:rsid w:val="00C26E16"/>
    <w:rsid w:val="00C2746B"/>
    <w:rsid w:val="00C2748D"/>
    <w:rsid w:val="00C275B6"/>
    <w:rsid w:val="00C279D3"/>
    <w:rsid w:val="00C27BD3"/>
    <w:rsid w:val="00C30569"/>
    <w:rsid w:val="00C305FA"/>
    <w:rsid w:val="00C308D9"/>
    <w:rsid w:val="00C30900"/>
    <w:rsid w:val="00C30D55"/>
    <w:rsid w:val="00C30E1D"/>
    <w:rsid w:val="00C31320"/>
    <w:rsid w:val="00C31441"/>
    <w:rsid w:val="00C31588"/>
    <w:rsid w:val="00C316C9"/>
    <w:rsid w:val="00C316FC"/>
    <w:rsid w:val="00C31D7F"/>
    <w:rsid w:val="00C32226"/>
    <w:rsid w:val="00C32AE6"/>
    <w:rsid w:val="00C33195"/>
    <w:rsid w:val="00C3364C"/>
    <w:rsid w:val="00C33AD4"/>
    <w:rsid w:val="00C34720"/>
    <w:rsid w:val="00C34D29"/>
    <w:rsid w:val="00C34E26"/>
    <w:rsid w:val="00C3583E"/>
    <w:rsid w:val="00C35F64"/>
    <w:rsid w:val="00C3632E"/>
    <w:rsid w:val="00C36458"/>
    <w:rsid w:val="00C36715"/>
    <w:rsid w:val="00C371EA"/>
    <w:rsid w:val="00C37941"/>
    <w:rsid w:val="00C37AA6"/>
    <w:rsid w:val="00C37B7B"/>
    <w:rsid w:val="00C37F34"/>
    <w:rsid w:val="00C405A8"/>
    <w:rsid w:val="00C409AA"/>
    <w:rsid w:val="00C40E36"/>
    <w:rsid w:val="00C41056"/>
    <w:rsid w:val="00C412A1"/>
    <w:rsid w:val="00C41555"/>
    <w:rsid w:val="00C41E76"/>
    <w:rsid w:val="00C41E96"/>
    <w:rsid w:val="00C41ECA"/>
    <w:rsid w:val="00C4203B"/>
    <w:rsid w:val="00C4218D"/>
    <w:rsid w:val="00C424EE"/>
    <w:rsid w:val="00C427B8"/>
    <w:rsid w:val="00C428D5"/>
    <w:rsid w:val="00C42B18"/>
    <w:rsid w:val="00C42F7B"/>
    <w:rsid w:val="00C4307B"/>
    <w:rsid w:val="00C430C7"/>
    <w:rsid w:val="00C4363A"/>
    <w:rsid w:val="00C439EE"/>
    <w:rsid w:val="00C44022"/>
    <w:rsid w:val="00C440F0"/>
    <w:rsid w:val="00C4440B"/>
    <w:rsid w:val="00C44537"/>
    <w:rsid w:val="00C45E96"/>
    <w:rsid w:val="00C462FC"/>
    <w:rsid w:val="00C46361"/>
    <w:rsid w:val="00C46368"/>
    <w:rsid w:val="00C4648F"/>
    <w:rsid w:val="00C467ED"/>
    <w:rsid w:val="00C46A02"/>
    <w:rsid w:val="00C46A4A"/>
    <w:rsid w:val="00C46EE7"/>
    <w:rsid w:val="00C474A4"/>
    <w:rsid w:val="00C475D0"/>
    <w:rsid w:val="00C47796"/>
    <w:rsid w:val="00C47ABC"/>
    <w:rsid w:val="00C50149"/>
    <w:rsid w:val="00C505BA"/>
    <w:rsid w:val="00C50916"/>
    <w:rsid w:val="00C50A97"/>
    <w:rsid w:val="00C50CC4"/>
    <w:rsid w:val="00C50F01"/>
    <w:rsid w:val="00C515D9"/>
    <w:rsid w:val="00C51A11"/>
    <w:rsid w:val="00C51F32"/>
    <w:rsid w:val="00C5232B"/>
    <w:rsid w:val="00C5264B"/>
    <w:rsid w:val="00C5288C"/>
    <w:rsid w:val="00C52917"/>
    <w:rsid w:val="00C5298A"/>
    <w:rsid w:val="00C52BF4"/>
    <w:rsid w:val="00C52D1A"/>
    <w:rsid w:val="00C52DBC"/>
    <w:rsid w:val="00C530F9"/>
    <w:rsid w:val="00C53311"/>
    <w:rsid w:val="00C53985"/>
    <w:rsid w:val="00C53AC2"/>
    <w:rsid w:val="00C53C3B"/>
    <w:rsid w:val="00C53F64"/>
    <w:rsid w:val="00C541F7"/>
    <w:rsid w:val="00C54AB0"/>
    <w:rsid w:val="00C54B18"/>
    <w:rsid w:val="00C54BFE"/>
    <w:rsid w:val="00C54DB9"/>
    <w:rsid w:val="00C551F0"/>
    <w:rsid w:val="00C5520E"/>
    <w:rsid w:val="00C5530E"/>
    <w:rsid w:val="00C55B5C"/>
    <w:rsid w:val="00C56F44"/>
    <w:rsid w:val="00C57988"/>
    <w:rsid w:val="00C57AFC"/>
    <w:rsid w:val="00C57D3C"/>
    <w:rsid w:val="00C57DA2"/>
    <w:rsid w:val="00C57FAC"/>
    <w:rsid w:val="00C60078"/>
    <w:rsid w:val="00C60254"/>
    <w:rsid w:val="00C60910"/>
    <w:rsid w:val="00C60AE1"/>
    <w:rsid w:val="00C610AE"/>
    <w:rsid w:val="00C612B2"/>
    <w:rsid w:val="00C61703"/>
    <w:rsid w:val="00C61A5D"/>
    <w:rsid w:val="00C61C5F"/>
    <w:rsid w:val="00C61E01"/>
    <w:rsid w:val="00C62163"/>
    <w:rsid w:val="00C621B5"/>
    <w:rsid w:val="00C624B3"/>
    <w:rsid w:val="00C629BA"/>
    <w:rsid w:val="00C62A2D"/>
    <w:rsid w:val="00C62B96"/>
    <w:rsid w:val="00C62C69"/>
    <w:rsid w:val="00C631B7"/>
    <w:rsid w:val="00C6330B"/>
    <w:rsid w:val="00C63384"/>
    <w:rsid w:val="00C63750"/>
    <w:rsid w:val="00C63FB1"/>
    <w:rsid w:val="00C63FEE"/>
    <w:rsid w:val="00C64D24"/>
    <w:rsid w:val="00C655B2"/>
    <w:rsid w:val="00C66121"/>
    <w:rsid w:val="00C663FC"/>
    <w:rsid w:val="00C66596"/>
    <w:rsid w:val="00C666CF"/>
    <w:rsid w:val="00C66A9C"/>
    <w:rsid w:val="00C66ABA"/>
    <w:rsid w:val="00C6767C"/>
    <w:rsid w:val="00C6780F"/>
    <w:rsid w:val="00C679F1"/>
    <w:rsid w:val="00C67FC3"/>
    <w:rsid w:val="00C70021"/>
    <w:rsid w:val="00C7097E"/>
    <w:rsid w:val="00C70E4B"/>
    <w:rsid w:val="00C70E73"/>
    <w:rsid w:val="00C70F5B"/>
    <w:rsid w:val="00C71006"/>
    <w:rsid w:val="00C71015"/>
    <w:rsid w:val="00C71332"/>
    <w:rsid w:val="00C71603"/>
    <w:rsid w:val="00C7194A"/>
    <w:rsid w:val="00C71BF2"/>
    <w:rsid w:val="00C71D9F"/>
    <w:rsid w:val="00C7245D"/>
    <w:rsid w:val="00C72932"/>
    <w:rsid w:val="00C729E9"/>
    <w:rsid w:val="00C72B8B"/>
    <w:rsid w:val="00C73730"/>
    <w:rsid w:val="00C73849"/>
    <w:rsid w:val="00C7386A"/>
    <w:rsid w:val="00C73D3E"/>
    <w:rsid w:val="00C740E2"/>
    <w:rsid w:val="00C74779"/>
    <w:rsid w:val="00C74CDA"/>
    <w:rsid w:val="00C74DD1"/>
    <w:rsid w:val="00C74DE4"/>
    <w:rsid w:val="00C75660"/>
    <w:rsid w:val="00C75B52"/>
    <w:rsid w:val="00C768D9"/>
    <w:rsid w:val="00C77003"/>
    <w:rsid w:val="00C77848"/>
    <w:rsid w:val="00C77F7E"/>
    <w:rsid w:val="00C804CB"/>
    <w:rsid w:val="00C8097D"/>
    <w:rsid w:val="00C80A4F"/>
    <w:rsid w:val="00C80C73"/>
    <w:rsid w:val="00C81454"/>
    <w:rsid w:val="00C815F2"/>
    <w:rsid w:val="00C818F7"/>
    <w:rsid w:val="00C81B4E"/>
    <w:rsid w:val="00C81D05"/>
    <w:rsid w:val="00C81D9C"/>
    <w:rsid w:val="00C81FCB"/>
    <w:rsid w:val="00C821A9"/>
    <w:rsid w:val="00C8237F"/>
    <w:rsid w:val="00C8298B"/>
    <w:rsid w:val="00C82AFA"/>
    <w:rsid w:val="00C82C81"/>
    <w:rsid w:val="00C82F46"/>
    <w:rsid w:val="00C830A0"/>
    <w:rsid w:val="00C83221"/>
    <w:rsid w:val="00C83DBF"/>
    <w:rsid w:val="00C83EBB"/>
    <w:rsid w:val="00C83FE5"/>
    <w:rsid w:val="00C84533"/>
    <w:rsid w:val="00C846B6"/>
    <w:rsid w:val="00C8556C"/>
    <w:rsid w:val="00C858B1"/>
    <w:rsid w:val="00C86121"/>
    <w:rsid w:val="00C87805"/>
    <w:rsid w:val="00C87809"/>
    <w:rsid w:val="00C879A4"/>
    <w:rsid w:val="00C902CB"/>
    <w:rsid w:val="00C9068A"/>
    <w:rsid w:val="00C91185"/>
    <w:rsid w:val="00C91549"/>
    <w:rsid w:val="00C91AE4"/>
    <w:rsid w:val="00C9201C"/>
    <w:rsid w:val="00C925DC"/>
    <w:rsid w:val="00C928DE"/>
    <w:rsid w:val="00C92EE1"/>
    <w:rsid w:val="00C93027"/>
    <w:rsid w:val="00C932DE"/>
    <w:rsid w:val="00C9405E"/>
    <w:rsid w:val="00C94092"/>
    <w:rsid w:val="00C94237"/>
    <w:rsid w:val="00C94377"/>
    <w:rsid w:val="00C944E7"/>
    <w:rsid w:val="00C94707"/>
    <w:rsid w:val="00C94990"/>
    <w:rsid w:val="00C94FAA"/>
    <w:rsid w:val="00C95754"/>
    <w:rsid w:val="00C95778"/>
    <w:rsid w:val="00C959F4"/>
    <w:rsid w:val="00C95CB4"/>
    <w:rsid w:val="00C95E99"/>
    <w:rsid w:val="00C96484"/>
    <w:rsid w:val="00C96DB4"/>
    <w:rsid w:val="00C96E96"/>
    <w:rsid w:val="00C9793E"/>
    <w:rsid w:val="00C9797E"/>
    <w:rsid w:val="00C97C66"/>
    <w:rsid w:val="00C97D2A"/>
    <w:rsid w:val="00C97FF2"/>
    <w:rsid w:val="00CA00AE"/>
    <w:rsid w:val="00CA0A08"/>
    <w:rsid w:val="00CA0A83"/>
    <w:rsid w:val="00CA0C58"/>
    <w:rsid w:val="00CA0FE8"/>
    <w:rsid w:val="00CA1132"/>
    <w:rsid w:val="00CA121F"/>
    <w:rsid w:val="00CA12F3"/>
    <w:rsid w:val="00CA15A6"/>
    <w:rsid w:val="00CA1D6F"/>
    <w:rsid w:val="00CA3130"/>
    <w:rsid w:val="00CA3255"/>
    <w:rsid w:val="00CA32AD"/>
    <w:rsid w:val="00CA35FD"/>
    <w:rsid w:val="00CA3B14"/>
    <w:rsid w:val="00CA3D15"/>
    <w:rsid w:val="00CA3DB0"/>
    <w:rsid w:val="00CA3E0F"/>
    <w:rsid w:val="00CA3EE0"/>
    <w:rsid w:val="00CA44E2"/>
    <w:rsid w:val="00CA469B"/>
    <w:rsid w:val="00CA4FFF"/>
    <w:rsid w:val="00CA55CD"/>
    <w:rsid w:val="00CA5EB9"/>
    <w:rsid w:val="00CA64D2"/>
    <w:rsid w:val="00CA654D"/>
    <w:rsid w:val="00CA700D"/>
    <w:rsid w:val="00CA717D"/>
    <w:rsid w:val="00CA759F"/>
    <w:rsid w:val="00CA7631"/>
    <w:rsid w:val="00CA7665"/>
    <w:rsid w:val="00CA7B04"/>
    <w:rsid w:val="00CA7F07"/>
    <w:rsid w:val="00CA7FE5"/>
    <w:rsid w:val="00CB0B8D"/>
    <w:rsid w:val="00CB14CF"/>
    <w:rsid w:val="00CB1743"/>
    <w:rsid w:val="00CB1C45"/>
    <w:rsid w:val="00CB215F"/>
    <w:rsid w:val="00CB2365"/>
    <w:rsid w:val="00CB24ED"/>
    <w:rsid w:val="00CB2909"/>
    <w:rsid w:val="00CB2F53"/>
    <w:rsid w:val="00CB33D1"/>
    <w:rsid w:val="00CB346A"/>
    <w:rsid w:val="00CB34C4"/>
    <w:rsid w:val="00CB35B2"/>
    <w:rsid w:val="00CB3D57"/>
    <w:rsid w:val="00CB40AF"/>
    <w:rsid w:val="00CB4139"/>
    <w:rsid w:val="00CB43BF"/>
    <w:rsid w:val="00CB515A"/>
    <w:rsid w:val="00CB529C"/>
    <w:rsid w:val="00CB52DF"/>
    <w:rsid w:val="00CB57DF"/>
    <w:rsid w:val="00CB58B8"/>
    <w:rsid w:val="00CB5B21"/>
    <w:rsid w:val="00CB60E8"/>
    <w:rsid w:val="00CB6352"/>
    <w:rsid w:val="00CB6373"/>
    <w:rsid w:val="00CB67E8"/>
    <w:rsid w:val="00CB6B9E"/>
    <w:rsid w:val="00CB6BC1"/>
    <w:rsid w:val="00CB6F5B"/>
    <w:rsid w:val="00CB74D9"/>
    <w:rsid w:val="00CB77ED"/>
    <w:rsid w:val="00CB7BB1"/>
    <w:rsid w:val="00CB7EDC"/>
    <w:rsid w:val="00CC0185"/>
    <w:rsid w:val="00CC0280"/>
    <w:rsid w:val="00CC02BF"/>
    <w:rsid w:val="00CC04A7"/>
    <w:rsid w:val="00CC0F93"/>
    <w:rsid w:val="00CC13E4"/>
    <w:rsid w:val="00CC156F"/>
    <w:rsid w:val="00CC160E"/>
    <w:rsid w:val="00CC163E"/>
    <w:rsid w:val="00CC17F0"/>
    <w:rsid w:val="00CC1B70"/>
    <w:rsid w:val="00CC2DA4"/>
    <w:rsid w:val="00CC31C5"/>
    <w:rsid w:val="00CC320D"/>
    <w:rsid w:val="00CC370F"/>
    <w:rsid w:val="00CC3989"/>
    <w:rsid w:val="00CC3C86"/>
    <w:rsid w:val="00CC42DB"/>
    <w:rsid w:val="00CC4355"/>
    <w:rsid w:val="00CC4483"/>
    <w:rsid w:val="00CC4633"/>
    <w:rsid w:val="00CC48D6"/>
    <w:rsid w:val="00CC4FF6"/>
    <w:rsid w:val="00CC5057"/>
    <w:rsid w:val="00CC5EB1"/>
    <w:rsid w:val="00CC68D5"/>
    <w:rsid w:val="00CC68F8"/>
    <w:rsid w:val="00CC69F5"/>
    <w:rsid w:val="00CC6C3B"/>
    <w:rsid w:val="00CC6C46"/>
    <w:rsid w:val="00CC6E84"/>
    <w:rsid w:val="00CC6FDE"/>
    <w:rsid w:val="00CC72CD"/>
    <w:rsid w:val="00CC77DF"/>
    <w:rsid w:val="00CC7866"/>
    <w:rsid w:val="00CC794A"/>
    <w:rsid w:val="00CD02A9"/>
    <w:rsid w:val="00CD0C05"/>
    <w:rsid w:val="00CD13F8"/>
    <w:rsid w:val="00CD143C"/>
    <w:rsid w:val="00CD1B3F"/>
    <w:rsid w:val="00CD1CB4"/>
    <w:rsid w:val="00CD204A"/>
    <w:rsid w:val="00CD2995"/>
    <w:rsid w:val="00CD29C9"/>
    <w:rsid w:val="00CD2C3E"/>
    <w:rsid w:val="00CD3178"/>
    <w:rsid w:val="00CD3BAE"/>
    <w:rsid w:val="00CD3E50"/>
    <w:rsid w:val="00CD3F5B"/>
    <w:rsid w:val="00CD4058"/>
    <w:rsid w:val="00CD47C3"/>
    <w:rsid w:val="00CD5030"/>
    <w:rsid w:val="00CD53C7"/>
    <w:rsid w:val="00CD5648"/>
    <w:rsid w:val="00CD58DD"/>
    <w:rsid w:val="00CD5BBA"/>
    <w:rsid w:val="00CD5C55"/>
    <w:rsid w:val="00CD5CA3"/>
    <w:rsid w:val="00CD6095"/>
    <w:rsid w:val="00CD72DD"/>
    <w:rsid w:val="00CD7541"/>
    <w:rsid w:val="00CD75FF"/>
    <w:rsid w:val="00CD7940"/>
    <w:rsid w:val="00CD7F9E"/>
    <w:rsid w:val="00CE0615"/>
    <w:rsid w:val="00CE0884"/>
    <w:rsid w:val="00CE08E9"/>
    <w:rsid w:val="00CE09BF"/>
    <w:rsid w:val="00CE11DB"/>
    <w:rsid w:val="00CE1733"/>
    <w:rsid w:val="00CE17A2"/>
    <w:rsid w:val="00CE1D92"/>
    <w:rsid w:val="00CE2297"/>
    <w:rsid w:val="00CE2508"/>
    <w:rsid w:val="00CE2E26"/>
    <w:rsid w:val="00CE31DC"/>
    <w:rsid w:val="00CE38F3"/>
    <w:rsid w:val="00CE4A98"/>
    <w:rsid w:val="00CE4DE3"/>
    <w:rsid w:val="00CE5057"/>
    <w:rsid w:val="00CE5765"/>
    <w:rsid w:val="00CE59BA"/>
    <w:rsid w:val="00CE5D06"/>
    <w:rsid w:val="00CE5DA6"/>
    <w:rsid w:val="00CE6049"/>
    <w:rsid w:val="00CE666A"/>
    <w:rsid w:val="00CE6BA4"/>
    <w:rsid w:val="00CE71FF"/>
    <w:rsid w:val="00CE75A7"/>
    <w:rsid w:val="00CE79B6"/>
    <w:rsid w:val="00CE7BD6"/>
    <w:rsid w:val="00CF01FC"/>
    <w:rsid w:val="00CF0444"/>
    <w:rsid w:val="00CF0C18"/>
    <w:rsid w:val="00CF0C31"/>
    <w:rsid w:val="00CF0FA5"/>
    <w:rsid w:val="00CF121A"/>
    <w:rsid w:val="00CF2679"/>
    <w:rsid w:val="00CF2C02"/>
    <w:rsid w:val="00CF2F8E"/>
    <w:rsid w:val="00CF3444"/>
    <w:rsid w:val="00CF36A3"/>
    <w:rsid w:val="00CF3C99"/>
    <w:rsid w:val="00CF3EAD"/>
    <w:rsid w:val="00CF3F54"/>
    <w:rsid w:val="00CF44D6"/>
    <w:rsid w:val="00CF49F0"/>
    <w:rsid w:val="00CF49FC"/>
    <w:rsid w:val="00CF4B98"/>
    <w:rsid w:val="00CF4D8A"/>
    <w:rsid w:val="00CF528C"/>
    <w:rsid w:val="00CF5C63"/>
    <w:rsid w:val="00CF622A"/>
    <w:rsid w:val="00CF6232"/>
    <w:rsid w:val="00CF62C6"/>
    <w:rsid w:val="00CF63C8"/>
    <w:rsid w:val="00CF6462"/>
    <w:rsid w:val="00CF6480"/>
    <w:rsid w:val="00CF67C4"/>
    <w:rsid w:val="00CF686E"/>
    <w:rsid w:val="00CF6991"/>
    <w:rsid w:val="00CF70B6"/>
    <w:rsid w:val="00CF70BC"/>
    <w:rsid w:val="00CF7100"/>
    <w:rsid w:val="00CF7972"/>
    <w:rsid w:val="00CF7B3F"/>
    <w:rsid w:val="00CF7B89"/>
    <w:rsid w:val="00CF7D60"/>
    <w:rsid w:val="00D009C5"/>
    <w:rsid w:val="00D00C70"/>
    <w:rsid w:val="00D00D97"/>
    <w:rsid w:val="00D0145D"/>
    <w:rsid w:val="00D0183C"/>
    <w:rsid w:val="00D01F46"/>
    <w:rsid w:val="00D02090"/>
    <w:rsid w:val="00D02743"/>
    <w:rsid w:val="00D02B52"/>
    <w:rsid w:val="00D02CDE"/>
    <w:rsid w:val="00D02D89"/>
    <w:rsid w:val="00D03125"/>
    <w:rsid w:val="00D034B1"/>
    <w:rsid w:val="00D0369B"/>
    <w:rsid w:val="00D03955"/>
    <w:rsid w:val="00D03AC1"/>
    <w:rsid w:val="00D03B21"/>
    <w:rsid w:val="00D03D3C"/>
    <w:rsid w:val="00D03DDB"/>
    <w:rsid w:val="00D03F34"/>
    <w:rsid w:val="00D03F85"/>
    <w:rsid w:val="00D04606"/>
    <w:rsid w:val="00D04697"/>
    <w:rsid w:val="00D04849"/>
    <w:rsid w:val="00D04F51"/>
    <w:rsid w:val="00D052A6"/>
    <w:rsid w:val="00D05507"/>
    <w:rsid w:val="00D05550"/>
    <w:rsid w:val="00D05DAE"/>
    <w:rsid w:val="00D062CF"/>
    <w:rsid w:val="00D07010"/>
    <w:rsid w:val="00D07EDF"/>
    <w:rsid w:val="00D10E51"/>
    <w:rsid w:val="00D11ADA"/>
    <w:rsid w:val="00D121F6"/>
    <w:rsid w:val="00D126F6"/>
    <w:rsid w:val="00D128D0"/>
    <w:rsid w:val="00D129F7"/>
    <w:rsid w:val="00D130D0"/>
    <w:rsid w:val="00D137C6"/>
    <w:rsid w:val="00D13B3A"/>
    <w:rsid w:val="00D1439B"/>
    <w:rsid w:val="00D14768"/>
    <w:rsid w:val="00D149C5"/>
    <w:rsid w:val="00D14E30"/>
    <w:rsid w:val="00D14E7F"/>
    <w:rsid w:val="00D15728"/>
    <w:rsid w:val="00D1577B"/>
    <w:rsid w:val="00D15791"/>
    <w:rsid w:val="00D15C67"/>
    <w:rsid w:val="00D164C6"/>
    <w:rsid w:val="00D16508"/>
    <w:rsid w:val="00D16910"/>
    <w:rsid w:val="00D16985"/>
    <w:rsid w:val="00D16A82"/>
    <w:rsid w:val="00D16E4F"/>
    <w:rsid w:val="00D16E88"/>
    <w:rsid w:val="00D175CC"/>
    <w:rsid w:val="00D1766F"/>
    <w:rsid w:val="00D17E3A"/>
    <w:rsid w:val="00D205B3"/>
    <w:rsid w:val="00D206FA"/>
    <w:rsid w:val="00D20FB4"/>
    <w:rsid w:val="00D21451"/>
    <w:rsid w:val="00D2173A"/>
    <w:rsid w:val="00D21F16"/>
    <w:rsid w:val="00D221F1"/>
    <w:rsid w:val="00D223F3"/>
    <w:rsid w:val="00D2342E"/>
    <w:rsid w:val="00D23752"/>
    <w:rsid w:val="00D23783"/>
    <w:rsid w:val="00D2394F"/>
    <w:rsid w:val="00D23986"/>
    <w:rsid w:val="00D24056"/>
    <w:rsid w:val="00D24315"/>
    <w:rsid w:val="00D249AA"/>
    <w:rsid w:val="00D24EAD"/>
    <w:rsid w:val="00D25123"/>
    <w:rsid w:val="00D25205"/>
    <w:rsid w:val="00D2533C"/>
    <w:rsid w:val="00D25671"/>
    <w:rsid w:val="00D2596F"/>
    <w:rsid w:val="00D25D44"/>
    <w:rsid w:val="00D25FC7"/>
    <w:rsid w:val="00D26055"/>
    <w:rsid w:val="00D266B5"/>
    <w:rsid w:val="00D26705"/>
    <w:rsid w:val="00D26CBD"/>
    <w:rsid w:val="00D2753E"/>
    <w:rsid w:val="00D277E9"/>
    <w:rsid w:val="00D27BFC"/>
    <w:rsid w:val="00D27C64"/>
    <w:rsid w:val="00D309E5"/>
    <w:rsid w:val="00D30BA0"/>
    <w:rsid w:val="00D313FA"/>
    <w:rsid w:val="00D31798"/>
    <w:rsid w:val="00D32002"/>
    <w:rsid w:val="00D3207C"/>
    <w:rsid w:val="00D32733"/>
    <w:rsid w:val="00D32859"/>
    <w:rsid w:val="00D329C1"/>
    <w:rsid w:val="00D32AD7"/>
    <w:rsid w:val="00D330ED"/>
    <w:rsid w:val="00D331BA"/>
    <w:rsid w:val="00D331D7"/>
    <w:rsid w:val="00D3381F"/>
    <w:rsid w:val="00D338A7"/>
    <w:rsid w:val="00D33BF4"/>
    <w:rsid w:val="00D33DEB"/>
    <w:rsid w:val="00D34125"/>
    <w:rsid w:val="00D34621"/>
    <w:rsid w:val="00D346C4"/>
    <w:rsid w:val="00D34807"/>
    <w:rsid w:val="00D3481A"/>
    <w:rsid w:val="00D351C8"/>
    <w:rsid w:val="00D35557"/>
    <w:rsid w:val="00D357F9"/>
    <w:rsid w:val="00D358D6"/>
    <w:rsid w:val="00D35D38"/>
    <w:rsid w:val="00D35F7A"/>
    <w:rsid w:val="00D36A07"/>
    <w:rsid w:val="00D36D72"/>
    <w:rsid w:val="00D376CA"/>
    <w:rsid w:val="00D3781A"/>
    <w:rsid w:val="00D37A5A"/>
    <w:rsid w:val="00D37A66"/>
    <w:rsid w:val="00D37DB9"/>
    <w:rsid w:val="00D37EF8"/>
    <w:rsid w:val="00D4040A"/>
    <w:rsid w:val="00D408AC"/>
    <w:rsid w:val="00D40FB7"/>
    <w:rsid w:val="00D410F7"/>
    <w:rsid w:val="00D4111D"/>
    <w:rsid w:val="00D413DA"/>
    <w:rsid w:val="00D4154E"/>
    <w:rsid w:val="00D4158A"/>
    <w:rsid w:val="00D41FFC"/>
    <w:rsid w:val="00D42167"/>
    <w:rsid w:val="00D42199"/>
    <w:rsid w:val="00D424BE"/>
    <w:rsid w:val="00D42559"/>
    <w:rsid w:val="00D42667"/>
    <w:rsid w:val="00D42B2E"/>
    <w:rsid w:val="00D42BEB"/>
    <w:rsid w:val="00D42DCE"/>
    <w:rsid w:val="00D42FE9"/>
    <w:rsid w:val="00D4368F"/>
    <w:rsid w:val="00D4449B"/>
    <w:rsid w:val="00D46343"/>
    <w:rsid w:val="00D4668A"/>
    <w:rsid w:val="00D46984"/>
    <w:rsid w:val="00D46B38"/>
    <w:rsid w:val="00D46B41"/>
    <w:rsid w:val="00D46BDA"/>
    <w:rsid w:val="00D46E40"/>
    <w:rsid w:val="00D46EA2"/>
    <w:rsid w:val="00D4713E"/>
    <w:rsid w:val="00D4744C"/>
    <w:rsid w:val="00D47474"/>
    <w:rsid w:val="00D478C1"/>
    <w:rsid w:val="00D478EE"/>
    <w:rsid w:val="00D47921"/>
    <w:rsid w:val="00D47AF4"/>
    <w:rsid w:val="00D47BCA"/>
    <w:rsid w:val="00D503D4"/>
    <w:rsid w:val="00D506D7"/>
    <w:rsid w:val="00D509DA"/>
    <w:rsid w:val="00D50EA4"/>
    <w:rsid w:val="00D5104B"/>
    <w:rsid w:val="00D510B7"/>
    <w:rsid w:val="00D51242"/>
    <w:rsid w:val="00D51735"/>
    <w:rsid w:val="00D5178C"/>
    <w:rsid w:val="00D51B13"/>
    <w:rsid w:val="00D51F04"/>
    <w:rsid w:val="00D52032"/>
    <w:rsid w:val="00D5216C"/>
    <w:rsid w:val="00D52419"/>
    <w:rsid w:val="00D52500"/>
    <w:rsid w:val="00D52877"/>
    <w:rsid w:val="00D52C7C"/>
    <w:rsid w:val="00D531C8"/>
    <w:rsid w:val="00D535FB"/>
    <w:rsid w:val="00D53600"/>
    <w:rsid w:val="00D53828"/>
    <w:rsid w:val="00D543B6"/>
    <w:rsid w:val="00D543D8"/>
    <w:rsid w:val="00D5468C"/>
    <w:rsid w:val="00D549DE"/>
    <w:rsid w:val="00D55086"/>
    <w:rsid w:val="00D556CB"/>
    <w:rsid w:val="00D558BD"/>
    <w:rsid w:val="00D55BFD"/>
    <w:rsid w:val="00D55FD0"/>
    <w:rsid w:val="00D55FF8"/>
    <w:rsid w:val="00D560E6"/>
    <w:rsid w:val="00D56908"/>
    <w:rsid w:val="00D56D92"/>
    <w:rsid w:val="00D57486"/>
    <w:rsid w:val="00D579DB"/>
    <w:rsid w:val="00D57E0B"/>
    <w:rsid w:val="00D604DD"/>
    <w:rsid w:val="00D60596"/>
    <w:rsid w:val="00D6065C"/>
    <w:rsid w:val="00D60A60"/>
    <w:rsid w:val="00D60D57"/>
    <w:rsid w:val="00D6147C"/>
    <w:rsid w:val="00D61FC6"/>
    <w:rsid w:val="00D62213"/>
    <w:rsid w:val="00D624CF"/>
    <w:rsid w:val="00D6283B"/>
    <w:rsid w:val="00D6298B"/>
    <w:rsid w:val="00D62B0D"/>
    <w:rsid w:val="00D62E1D"/>
    <w:rsid w:val="00D63021"/>
    <w:rsid w:val="00D63098"/>
    <w:rsid w:val="00D63942"/>
    <w:rsid w:val="00D64028"/>
    <w:rsid w:val="00D6424A"/>
    <w:rsid w:val="00D648BE"/>
    <w:rsid w:val="00D65579"/>
    <w:rsid w:val="00D65857"/>
    <w:rsid w:val="00D65C2E"/>
    <w:rsid w:val="00D65CB0"/>
    <w:rsid w:val="00D66378"/>
    <w:rsid w:val="00D66903"/>
    <w:rsid w:val="00D66B5E"/>
    <w:rsid w:val="00D66B8C"/>
    <w:rsid w:val="00D66CDA"/>
    <w:rsid w:val="00D66D3B"/>
    <w:rsid w:val="00D678C0"/>
    <w:rsid w:val="00D67982"/>
    <w:rsid w:val="00D679C8"/>
    <w:rsid w:val="00D67A88"/>
    <w:rsid w:val="00D67E2B"/>
    <w:rsid w:val="00D67EC1"/>
    <w:rsid w:val="00D70642"/>
    <w:rsid w:val="00D70961"/>
    <w:rsid w:val="00D70A72"/>
    <w:rsid w:val="00D70D5A"/>
    <w:rsid w:val="00D70E9F"/>
    <w:rsid w:val="00D70EC0"/>
    <w:rsid w:val="00D71606"/>
    <w:rsid w:val="00D71789"/>
    <w:rsid w:val="00D7178B"/>
    <w:rsid w:val="00D71A0F"/>
    <w:rsid w:val="00D71A20"/>
    <w:rsid w:val="00D71AC2"/>
    <w:rsid w:val="00D72C10"/>
    <w:rsid w:val="00D72CDA"/>
    <w:rsid w:val="00D73537"/>
    <w:rsid w:val="00D73976"/>
    <w:rsid w:val="00D73E4C"/>
    <w:rsid w:val="00D74085"/>
    <w:rsid w:val="00D7430F"/>
    <w:rsid w:val="00D74881"/>
    <w:rsid w:val="00D74BE7"/>
    <w:rsid w:val="00D74C30"/>
    <w:rsid w:val="00D75278"/>
    <w:rsid w:val="00D75593"/>
    <w:rsid w:val="00D75BC7"/>
    <w:rsid w:val="00D75CF4"/>
    <w:rsid w:val="00D76278"/>
    <w:rsid w:val="00D76CC0"/>
    <w:rsid w:val="00D76D01"/>
    <w:rsid w:val="00D773D7"/>
    <w:rsid w:val="00D77483"/>
    <w:rsid w:val="00D80094"/>
    <w:rsid w:val="00D8062C"/>
    <w:rsid w:val="00D80704"/>
    <w:rsid w:val="00D80A78"/>
    <w:rsid w:val="00D81753"/>
    <w:rsid w:val="00D820A2"/>
    <w:rsid w:val="00D820A6"/>
    <w:rsid w:val="00D82404"/>
    <w:rsid w:val="00D82B0B"/>
    <w:rsid w:val="00D82EAA"/>
    <w:rsid w:val="00D831AE"/>
    <w:rsid w:val="00D83411"/>
    <w:rsid w:val="00D83E83"/>
    <w:rsid w:val="00D83EC5"/>
    <w:rsid w:val="00D83FA2"/>
    <w:rsid w:val="00D841AE"/>
    <w:rsid w:val="00D84A90"/>
    <w:rsid w:val="00D84CB3"/>
    <w:rsid w:val="00D84E06"/>
    <w:rsid w:val="00D85BA1"/>
    <w:rsid w:val="00D864D9"/>
    <w:rsid w:val="00D868DA"/>
    <w:rsid w:val="00D86A24"/>
    <w:rsid w:val="00D86FAA"/>
    <w:rsid w:val="00D87523"/>
    <w:rsid w:val="00D875B6"/>
    <w:rsid w:val="00D87BD3"/>
    <w:rsid w:val="00D87CAF"/>
    <w:rsid w:val="00D90322"/>
    <w:rsid w:val="00D90539"/>
    <w:rsid w:val="00D90929"/>
    <w:rsid w:val="00D90B06"/>
    <w:rsid w:val="00D90E64"/>
    <w:rsid w:val="00D91169"/>
    <w:rsid w:val="00D911EE"/>
    <w:rsid w:val="00D9153A"/>
    <w:rsid w:val="00D91594"/>
    <w:rsid w:val="00D91904"/>
    <w:rsid w:val="00D91935"/>
    <w:rsid w:val="00D91963"/>
    <w:rsid w:val="00D91A32"/>
    <w:rsid w:val="00D9246D"/>
    <w:rsid w:val="00D92A16"/>
    <w:rsid w:val="00D92CF5"/>
    <w:rsid w:val="00D92E1E"/>
    <w:rsid w:val="00D9304C"/>
    <w:rsid w:val="00D93118"/>
    <w:rsid w:val="00D933AC"/>
    <w:rsid w:val="00D93F01"/>
    <w:rsid w:val="00D93FB8"/>
    <w:rsid w:val="00D94604"/>
    <w:rsid w:val="00D94AE0"/>
    <w:rsid w:val="00D94C33"/>
    <w:rsid w:val="00D95129"/>
    <w:rsid w:val="00D960DC"/>
    <w:rsid w:val="00D96AE7"/>
    <w:rsid w:val="00D97006"/>
    <w:rsid w:val="00D97105"/>
    <w:rsid w:val="00D977D8"/>
    <w:rsid w:val="00D9797F"/>
    <w:rsid w:val="00D97D84"/>
    <w:rsid w:val="00D97F53"/>
    <w:rsid w:val="00DA0138"/>
    <w:rsid w:val="00DA06E3"/>
    <w:rsid w:val="00DA088D"/>
    <w:rsid w:val="00DA0CDA"/>
    <w:rsid w:val="00DA0FC5"/>
    <w:rsid w:val="00DA1349"/>
    <w:rsid w:val="00DA1853"/>
    <w:rsid w:val="00DA2250"/>
    <w:rsid w:val="00DA235B"/>
    <w:rsid w:val="00DA2652"/>
    <w:rsid w:val="00DA2A5C"/>
    <w:rsid w:val="00DA2DB5"/>
    <w:rsid w:val="00DA2E0D"/>
    <w:rsid w:val="00DA2FB0"/>
    <w:rsid w:val="00DA33D5"/>
    <w:rsid w:val="00DA353A"/>
    <w:rsid w:val="00DA39D8"/>
    <w:rsid w:val="00DA3A60"/>
    <w:rsid w:val="00DA3AAC"/>
    <w:rsid w:val="00DA3C82"/>
    <w:rsid w:val="00DA3C9C"/>
    <w:rsid w:val="00DA44DC"/>
    <w:rsid w:val="00DA4FCB"/>
    <w:rsid w:val="00DA55BE"/>
    <w:rsid w:val="00DA57C4"/>
    <w:rsid w:val="00DA57C5"/>
    <w:rsid w:val="00DA5862"/>
    <w:rsid w:val="00DA602B"/>
    <w:rsid w:val="00DA6324"/>
    <w:rsid w:val="00DA6690"/>
    <w:rsid w:val="00DA6C0F"/>
    <w:rsid w:val="00DA6E08"/>
    <w:rsid w:val="00DA6F54"/>
    <w:rsid w:val="00DA75A9"/>
    <w:rsid w:val="00DA76FD"/>
    <w:rsid w:val="00DA7AC3"/>
    <w:rsid w:val="00DB0091"/>
    <w:rsid w:val="00DB02F9"/>
    <w:rsid w:val="00DB079C"/>
    <w:rsid w:val="00DB0C67"/>
    <w:rsid w:val="00DB120C"/>
    <w:rsid w:val="00DB14E8"/>
    <w:rsid w:val="00DB19CE"/>
    <w:rsid w:val="00DB2D41"/>
    <w:rsid w:val="00DB3489"/>
    <w:rsid w:val="00DB3C75"/>
    <w:rsid w:val="00DB403B"/>
    <w:rsid w:val="00DB4619"/>
    <w:rsid w:val="00DB47FC"/>
    <w:rsid w:val="00DB518C"/>
    <w:rsid w:val="00DB5416"/>
    <w:rsid w:val="00DB5423"/>
    <w:rsid w:val="00DB5A4F"/>
    <w:rsid w:val="00DB5EFF"/>
    <w:rsid w:val="00DB6639"/>
    <w:rsid w:val="00DB6A08"/>
    <w:rsid w:val="00DB6D06"/>
    <w:rsid w:val="00DB6D3E"/>
    <w:rsid w:val="00DB6F9F"/>
    <w:rsid w:val="00DB762F"/>
    <w:rsid w:val="00DB767A"/>
    <w:rsid w:val="00DC03EB"/>
    <w:rsid w:val="00DC0424"/>
    <w:rsid w:val="00DC0C2A"/>
    <w:rsid w:val="00DC0C51"/>
    <w:rsid w:val="00DC15AD"/>
    <w:rsid w:val="00DC1654"/>
    <w:rsid w:val="00DC17C8"/>
    <w:rsid w:val="00DC1B1A"/>
    <w:rsid w:val="00DC2C12"/>
    <w:rsid w:val="00DC2D25"/>
    <w:rsid w:val="00DC308C"/>
    <w:rsid w:val="00DC3212"/>
    <w:rsid w:val="00DC45FE"/>
    <w:rsid w:val="00DC4684"/>
    <w:rsid w:val="00DC469B"/>
    <w:rsid w:val="00DC4B20"/>
    <w:rsid w:val="00DC4E79"/>
    <w:rsid w:val="00DC535B"/>
    <w:rsid w:val="00DC6017"/>
    <w:rsid w:val="00DC6059"/>
    <w:rsid w:val="00DC6B1F"/>
    <w:rsid w:val="00DC6BDF"/>
    <w:rsid w:val="00DC6C7F"/>
    <w:rsid w:val="00DC6F7B"/>
    <w:rsid w:val="00DC73A0"/>
    <w:rsid w:val="00DC76F2"/>
    <w:rsid w:val="00DC7A4A"/>
    <w:rsid w:val="00DD0214"/>
    <w:rsid w:val="00DD04E0"/>
    <w:rsid w:val="00DD071B"/>
    <w:rsid w:val="00DD0BCF"/>
    <w:rsid w:val="00DD0FB3"/>
    <w:rsid w:val="00DD12AA"/>
    <w:rsid w:val="00DD143B"/>
    <w:rsid w:val="00DD14F0"/>
    <w:rsid w:val="00DD1953"/>
    <w:rsid w:val="00DD1DE3"/>
    <w:rsid w:val="00DD2031"/>
    <w:rsid w:val="00DD2588"/>
    <w:rsid w:val="00DD25E2"/>
    <w:rsid w:val="00DD2608"/>
    <w:rsid w:val="00DD29EB"/>
    <w:rsid w:val="00DD2F72"/>
    <w:rsid w:val="00DD31C2"/>
    <w:rsid w:val="00DD3436"/>
    <w:rsid w:val="00DD34B8"/>
    <w:rsid w:val="00DD355F"/>
    <w:rsid w:val="00DD3800"/>
    <w:rsid w:val="00DD3B73"/>
    <w:rsid w:val="00DD3EDE"/>
    <w:rsid w:val="00DD416F"/>
    <w:rsid w:val="00DD4273"/>
    <w:rsid w:val="00DD4457"/>
    <w:rsid w:val="00DD44BB"/>
    <w:rsid w:val="00DD4634"/>
    <w:rsid w:val="00DD4810"/>
    <w:rsid w:val="00DD4BA1"/>
    <w:rsid w:val="00DD4C69"/>
    <w:rsid w:val="00DD548F"/>
    <w:rsid w:val="00DD5899"/>
    <w:rsid w:val="00DD5C41"/>
    <w:rsid w:val="00DD5D1B"/>
    <w:rsid w:val="00DD6DF1"/>
    <w:rsid w:val="00DD7045"/>
    <w:rsid w:val="00DD715E"/>
    <w:rsid w:val="00DD7418"/>
    <w:rsid w:val="00DD74B0"/>
    <w:rsid w:val="00DD7710"/>
    <w:rsid w:val="00DD7744"/>
    <w:rsid w:val="00DE02F4"/>
    <w:rsid w:val="00DE0572"/>
    <w:rsid w:val="00DE0985"/>
    <w:rsid w:val="00DE0AC4"/>
    <w:rsid w:val="00DE0EC2"/>
    <w:rsid w:val="00DE0F07"/>
    <w:rsid w:val="00DE0F5C"/>
    <w:rsid w:val="00DE1198"/>
    <w:rsid w:val="00DE135E"/>
    <w:rsid w:val="00DE1824"/>
    <w:rsid w:val="00DE1A25"/>
    <w:rsid w:val="00DE1A80"/>
    <w:rsid w:val="00DE1D6D"/>
    <w:rsid w:val="00DE2601"/>
    <w:rsid w:val="00DE2E02"/>
    <w:rsid w:val="00DE2E62"/>
    <w:rsid w:val="00DE2EEC"/>
    <w:rsid w:val="00DE3257"/>
    <w:rsid w:val="00DE32F5"/>
    <w:rsid w:val="00DE3CFC"/>
    <w:rsid w:val="00DE43E6"/>
    <w:rsid w:val="00DE4833"/>
    <w:rsid w:val="00DE48AA"/>
    <w:rsid w:val="00DE4D55"/>
    <w:rsid w:val="00DE4E95"/>
    <w:rsid w:val="00DE4F7B"/>
    <w:rsid w:val="00DE55E4"/>
    <w:rsid w:val="00DE591C"/>
    <w:rsid w:val="00DE5A73"/>
    <w:rsid w:val="00DE5BC5"/>
    <w:rsid w:val="00DE5FDB"/>
    <w:rsid w:val="00DE633C"/>
    <w:rsid w:val="00DE646E"/>
    <w:rsid w:val="00DE6708"/>
    <w:rsid w:val="00DE6815"/>
    <w:rsid w:val="00DE6BED"/>
    <w:rsid w:val="00DE6C18"/>
    <w:rsid w:val="00DE7587"/>
    <w:rsid w:val="00DE7B26"/>
    <w:rsid w:val="00DF033F"/>
    <w:rsid w:val="00DF0387"/>
    <w:rsid w:val="00DF03A9"/>
    <w:rsid w:val="00DF050B"/>
    <w:rsid w:val="00DF05B4"/>
    <w:rsid w:val="00DF0DD7"/>
    <w:rsid w:val="00DF12CB"/>
    <w:rsid w:val="00DF13AF"/>
    <w:rsid w:val="00DF1A65"/>
    <w:rsid w:val="00DF1D8B"/>
    <w:rsid w:val="00DF1D9E"/>
    <w:rsid w:val="00DF1F90"/>
    <w:rsid w:val="00DF20F8"/>
    <w:rsid w:val="00DF2504"/>
    <w:rsid w:val="00DF27A0"/>
    <w:rsid w:val="00DF29BD"/>
    <w:rsid w:val="00DF2E11"/>
    <w:rsid w:val="00DF399A"/>
    <w:rsid w:val="00DF4524"/>
    <w:rsid w:val="00DF4925"/>
    <w:rsid w:val="00DF5B14"/>
    <w:rsid w:val="00DF66DC"/>
    <w:rsid w:val="00DF6A9B"/>
    <w:rsid w:val="00DF6E36"/>
    <w:rsid w:val="00DF6EFA"/>
    <w:rsid w:val="00DF73B2"/>
    <w:rsid w:val="00DF7629"/>
    <w:rsid w:val="00DF7BE3"/>
    <w:rsid w:val="00DF7E25"/>
    <w:rsid w:val="00DF7EB6"/>
    <w:rsid w:val="00E0008F"/>
    <w:rsid w:val="00E001E4"/>
    <w:rsid w:val="00E0052A"/>
    <w:rsid w:val="00E00731"/>
    <w:rsid w:val="00E00D88"/>
    <w:rsid w:val="00E012BF"/>
    <w:rsid w:val="00E0186B"/>
    <w:rsid w:val="00E019A9"/>
    <w:rsid w:val="00E01BDD"/>
    <w:rsid w:val="00E01C5D"/>
    <w:rsid w:val="00E01D73"/>
    <w:rsid w:val="00E01DA5"/>
    <w:rsid w:val="00E02024"/>
    <w:rsid w:val="00E0241D"/>
    <w:rsid w:val="00E029A2"/>
    <w:rsid w:val="00E02CCC"/>
    <w:rsid w:val="00E03152"/>
    <w:rsid w:val="00E032D2"/>
    <w:rsid w:val="00E032D5"/>
    <w:rsid w:val="00E034FE"/>
    <w:rsid w:val="00E03B06"/>
    <w:rsid w:val="00E03B4A"/>
    <w:rsid w:val="00E03B5D"/>
    <w:rsid w:val="00E03F1E"/>
    <w:rsid w:val="00E04D9F"/>
    <w:rsid w:val="00E05A78"/>
    <w:rsid w:val="00E060A6"/>
    <w:rsid w:val="00E061D2"/>
    <w:rsid w:val="00E06289"/>
    <w:rsid w:val="00E07712"/>
    <w:rsid w:val="00E10A4E"/>
    <w:rsid w:val="00E1110B"/>
    <w:rsid w:val="00E11BE0"/>
    <w:rsid w:val="00E11EA2"/>
    <w:rsid w:val="00E128A8"/>
    <w:rsid w:val="00E12B69"/>
    <w:rsid w:val="00E13244"/>
    <w:rsid w:val="00E13706"/>
    <w:rsid w:val="00E13863"/>
    <w:rsid w:val="00E1389F"/>
    <w:rsid w:val="00E13B17"/>
    <w:rsid w:val="00E14133"/>
    <w:rsid w:val="00E145DF"/>
    <w:rsid w:val="00E150D8"/>
    <w:rsid w:val="00E15491"/>
    <w:rsid w:val="00E15501"/>
    <w:rsid w:val="00E155C6"/>
    <w:rsid w:val="00E15DB5"/>
    <w:rsid w:val="00E1600E"/>
    <w:rsid w:val="00E16E51"/>
    <w:rsid w:val="00E16E6B"/>
    <w:rsid w:val="00E16E9D"/>
    <w:rsid w:val="00E17E12"/>
    <w:rsid w:val="00E2054F"/>
    <w:rsid w:val="00E20EEF"/>
    <w:rsid w:val="00E21685"/>
    <w:rsid w:val="00E216AD"/>
    <w:rsid w:val="00E21B45"/>
    <w:rsid w:val="00E21C71"/>
    <w:rsid w:val="00E22D37"/>
    <w:rsid w:val="00E230A8"/>
    <w:rsid w:val="00E23587"/>
    <w:rsid w:val="00E237E3"/>
    <w:rsid w:val="00E23C5B"/>
    <w:rsid w:val="00E23E71"/>
    <w:rsid w:val="00E24501"/>
    <w:rsid w:val="00E24867"/>
    <w:rsid w:val="00E24961"/>
    <w:rsid w:val="00E24B68"/>
    <w:rsid w:val="00E24E9B"/>
    <w:rsid w:val="00E25129"/>
    <w:rsid w:val="00E251EF"/>
    <w:rsid w:val="00E2522F"/>
    <w:rsid w:val="00E2588C"/>
    <w:rsid w:val="00E25AD9"/>
    <w:rsid w:val="00E25D7E"/>
    <w:rsid w:val="00E25F42"/>
    <w:rsid w:val="00E2637B"/>
    <w:rsid w:val="00E26395"/>
    <w:rsid w:val="00E268FF"/>
    <w:rsid w:val="00E26B71"/>
    <w:rsid w:val="00E26D14"/>
    <w:rsid w:val="00E26FB6"/>
    <w:rsid w:val="00E274AF"/>
    <w:rsid w:val="00E27D12"/>
    <w:rsid w:val="00E27E77"/>
    <w:rsid w:val="00E27F8E"/>
    <w:rsid w:val="00E30278"/>
    <w:rsid w:val="00E303F7"/>
    <w:rsid w:val="00E30618"/>
    <w:rsid w:val="00E306E3"/>
    <w:rsid w:val="00E31215"/>
    <w:rsid w:val="00E3121C"/>
    <w:rsid w:val="00E3139A"/>
    <w:rsid w:val="00E31764"/>
    <w:rsid w:val="00E31BFC"/>
    <w:rsid w:val="00E320EB"/>
    <w:rsid w:val="00E325CD"/>
    <w:rsid w:val="00E326BE"/>
    <w:rsid w:val="00E329B6"/>
    <w:rsid w:val="00E32F4E"/>
    <w:rsid w:val="00E33266"/>
    <w:rsid w:val="00E335B9"/>
    <w:rsid w:val="00E34B0A"/>
    <w:rsid w:val="00E34CAF"/>
    <w:rsid w:val="00E34EA1"/>
    <w:rsid w:val="00E3520C"/>
    <w:rsid w:val="00E35405"/>
    <w:rsid w:val="00E35765"/>
    <w:rsid w:val="00E35ABE"/>
    <w:rsid w:val="00E36810"/>
    <w:rsid w:val="00E36AE5"/>
    <w:rsid w:val="00E371EC"/>
    <w:rsid w:val="00E373A6"/>
    <w:rsid w:val="00E377A5"/>
    <w:rsid w:val="00E377EB"/>
    <w:rsid w:val="00E37B82"/>
    <w:rsid w:val="00E37EBF"/>
    <w:rsid w:val="00E40176"/>
    <w:rsid w:val="00E40308"/>
    <w:rsid w:val="00E404BD"/>
    <w:rsid w:val="00E405BA"/>
    <w:rsid w:val="00E40F0F"/>
    <w:rsid w:val="00E413A4"/>
    <w:rsid w:val="00E417EE"/>
    <w:rsid w:val="00E418A5"/>
    <w:rsid w:val="00E41A9F"/>
    <w:rsid w:val="00E41BD7"/>
    <w:rsid w:val="00E41BDB"/>
    <w:rsid w:val="00E41CBE"/>
    <w:rsid w:val="00E41CE9"/>
    <w:rsid w:val="00E422B6"/>
    <w:rsid w:val="00E42B35"/>
    <w:rsid w:val="00E42BF2"/>
    <w:rsid w:val="00E4320A"/>
    <w:rsid w:val="00E442D3"/>
    <w:rsid w:val="00E44889"/>
    <w:rsid w:val="00E44D26"/>
    <w:rsid w:val="00E4524B"/>
    <w:rsid w:val="00E453A1"/>
    <w:rsid w:val="00E457DD"/>
    <w:rsid w:val="00E457F8"/>
    <w:rsid w:val="00E45E2D"/>
    <w:rsid w:val="00E46A6B"/>
    <w:rsid w:val="00E46FE6"/>
    <w:rsid w:val="00E47A11"/>
    <w:rsid w:val="00E47A1D"/>
    <w:rsid w:val="00E47EA0"/>
    <w:rsid w:val="00E47FB9"/>
    <w:rsid w:val="00E50494"/>
    <w:rsid w:val="00E50A24"/>
    <w:rsid w:val="00E50B96"/>
    <w:rsid w:val="00E50EDA"/>
    <w:rsid w:val="00E51254"/>
    <w:rsid w:val="00E51672"/>
    <w:rsid w:val="00E51F57"/>
    <w:rsid w:val="00E520F9"/>
    <w:rsid w:val="00E521A1"/>
    <w:rsid w:val="00E521B2"/>
    <w:rsid w:val="00E52722"/>
    <w:rsid w:val="00E52828"/>
    <w:rsid w:val="00E52E97"/>
    <w:rsid w:val="00E52FC1"/>
    <w:rsid w:val="00E5307B"/>
    <w:rsid w:val="00E53163"/>
    <w:rsid w:val="00E53DA9"/>
    <w:rsid w:val="00E53DDE"/>
    <w:rsid w:val="00E5416A"/>
    <w:rsid w:val="00E541E9"/>
    <w:rsid w:val="00E54224"/>
    <w:rsid w:val="00E542A8"/>
    <w:rsid w:val="00E54420"/>
    <w:rsid w:val="00E54EB7"/>
    <w:rsid w:val="00E56762"/>
    <w:rsid w:val="00E56B23"/>
    <w:rsid w:val="00E57402"/>
    <w:rsid w:val="00E57639"/>
    <w:rsid w:val="00E57ACF"/>
    <w:rsid w:val="00E57AE2"/>
    <w:rsid w:val="00E57E0A"/>
    <w:rsid w:val="00E600CC"/>
    <w:rsid w:val="00E60436"/>
    <w:rsid w:val="00E60AA5"/>
    <w:rsid w:val="00E60BBC"/>
    <w:rsid w:val="00E60EF3"/>
    <w:rsid w:val="00E6119A"/>
    <w:rsid w:val="00E61E82"/>
    <w:rsid w:val="00E62C96"/>
    <w:rsid w:val="00E62DAA"/>
    <w:rsid w:val="00E63710"/>
    <w:rsid w:val="00E63BE8"/>
    <w:rsid w:val="00E63D6A"/>
    <w:rsid w:val="00E64494"/>
    <w:rsid w:val="00E648A5"/>
    <w:rsid w:val="00E64912"/>
    <w:rsid w:val="00E6543C"/>
    <w:rsid w:val="00E659C4"/>
    <w:rsid w:val="00E65BFF"/>
    <w:rsid w:val="00E65C38"/>
    <w:rsid w:val="00E65FB7"/>
    <w:rsid w:val="00E66202"/>
    <w:rsid w:val="00E66458"/>
    <w:rsid w:val="00E66964"/>
    <w:rsid w:val="00E66AC1"/>
    <w:rsid w:val="00E66B02"/>
    <w:rsid w:val="00E66DB0"/>
    <w:rsid w:val="00E66FC1"/>
    <w:rsid w:val="00E67243"/>
    <w:rsid w:val="00E67AA3"/>
    <w:rsid w:val="00E67D88"/>
    <w:rsid w:val="00E67F85"/>
    <w:rsid w:val="00E70065"/>
    <w:rsid w:val="00E70228"/>
    <w:rsid w:val="00E707BD"/>
    <w:rsid w:val="00E70E33"/>
    <w:rsid w:val="00E711FF"/>
    <w:rsid w:val="00E714F4"/>
    <w:rsid w:val="00E71F6E"/>
    <w:rsid w:val="00E72040"/>
    <w:rsid w:val="00E73268"/>
    <w:rsid w:val="00E73279"/>
    <w:rsid w:val="00E73F88"/>
    <w:rsid w:val="00E747F4"/>
    <w:rsid w:val="00E7494E"/>
    <w:rsid w:val="00E74955"/>
    <w:rsid w:val="00E74992"/>
    <w:rsid w:val="00E74B2A"/>
    <w:rsid w:val="00E74B61"/>
    <w:rsid w:val="00E7555E"/>
    <w:rsid w:val="00E755BE"/>
    <w:rsid w:val="00E75657"/>
    <w:rsid w:val="00E75732"/>
    <w:rsid w:val="00E758C2"/>
    <w:rsid w:val="00E763E4"/>
    <w:rsid w:val="00E76CC4"/>
    <w:rsid w:val="00E76D6B"/>
    <w:rsid w:val="00E7705E"/>
    <w:rsid w:val="00E77446"/>
    <w:rsid w:val="00E779E7"/>
    <w:rsid w:val="00E77F33"/>
    <w:rsid w:val="00E80DD4"/>
    <w:rsid w:val="00E80E6E"/>
    <w:rsid w:val="00E8125E"/>
    <w:rsid w:val="00E8130A"/>
    <w:rsid w:val="00E81671"/>
    <w:rsid w:val="00E816A4"/>
    <w:rsid w:val="00E81965"/>
    <w:rsid w:val="00E81E22"/>
    <w:rsid w:val="00E82FF7"/>
    <w:rsid w:val="00E83065"/>
    <w:rsid w:val="00E831CD"/>
    <w:rsid w:val="00E834C1"/>
    <w:rsid w:val="00E83616"/>
    <w:rsid w:val="00E8365F"/>
    <w:rsid w:val="00E83BCC"/>
    <w:rsid w:val="00E843F9"/>
    <w:rsid w:val="00E84D3E"/>
    <w:rsid w:val="00E8516E"/>
    <w:rsid w:val="00E852C5"/>
    <w:rsid w:val="00E85805"/>
    <w:rsid w:val="00E85907"/>
    <w:rsid w:val="00E85CA0"/>
    <w:rsid w:val="00E85F4D"/>
    <w:rsid w:val="00E86017"/>
    <w:rsid w:val="00E86083"/>
    <w:rsid w:val="00E86DB9"/>
    <w:rsid w:val="00E870B3"/>
    <w:rsid w:val="00E871BC"/>
    <w:rsid w:val="00E877CC"/>
    <w:rsid w:val="00E87D87"/>
    <w:rsid w:val="00E87F56"/>
    <w:rsid w:val="00E909B7"/>
    <w:rsid w:val="00E90A27"/>
    <w:rsid w:val="00E90C58"/>
    <w:rsid w:val="00E90E59"/>
    <w:rsid w:val="00E90E9B"/>
    <w:rsid w:val="00E919C8"/>
    <w:rsid w:val="00E92626"/>
    <w:rsid w:val="00E926D9"/>
    <w:rsid w:val="00E92C55"/>
    <w:rsid w:val="00E93266"/>
    <w:rsid w:val="00E93964"/>
    <w:rsid w:val="00E941A6"/>
    <w:rsid w:val="00E9422B"/>
    <w:rsid w:val="00E9485A"/>
    <w:rsid w:val="00E94BD7"/>
    <w:rsid w:val="00E94D79"/>
    <w:rsid w:val="00E94D9A"/>
    <w:rsid w:val="00E9531C"/>
    <w:rsid w:val="00E95783"/>
    <w:rsid w:val="00E95ADC"/>
    <w:rsid w:val="00E95AFF"/>
    <w:rsid w:val="00E95C0B"/>
    <w:rsid w:val="00E95C11"/>
    <w:rsid w:val="00E95C24"/>
    <w:rsid w:val="00E95F4B"/>
    <w:rsid w:val="00E9688E"/>
    <w:rsid w:val="00E96974"/>
    <w:rsid w:val="00E97148"/>
    <w:rsid w:val="00E9750B"/>
    <w:rsid w:val="00E97763"/>
    <w:rsid w:val="00E97C67"/>
    <w:rsid w:val="00EA02C2"/>
    <w:rsid w:val="00EA053D"/>
    <w:rsid w:val="00EA07BE"/>
    <w:rsid w:val="00EA07FA"/>
    <w:rsid w:val="00EA0BA2"/>
    <w:rsid w:val="00EA13F7"/>
    <w:rsid w:val="00EA166C"/>
    <w:rsid w:val="00EA172F"/>
    <w:rsid w:val="00EA173A"/>
    <w:rsid w:val="00EA184D"/>
    <w:rsid w:val="00EA2008"/>
    <w:rsid w:val="00EA28D2"/>
    <w:rsid w:val="00EA2EE5"/>
    <w:rsid w:val="00EA2F1F"/>
    <w:rsid w:val="00EA2F9D"/>
    <w:rsid w:val="00EA3953"/>
    <w:rsid w:val="00EA43B2"/>
    <w:rsid w:val="00EA43C3"/>
    <w:rsid w:val="00EA4401"/>
    <w:rsid w:val="00EA45E5"/>
    <w:rsid w:val="00EA4723"/>
    <w:rsid w:val="00EA4789"/>
    <w:rsid w:val="00EA48AC"/>
    <w:rsid w:val="00EA48FC"/>
    <w:rsid w:val="00EA4C13"/>
    <w:rsid w:val="00EA580D"/>
    <w:rsid w:val="00EA5B6E"/>
    <w:rsid w:val="00EA5E8A"/>
    <w:rsid w:val="00EA6341"/>
    <w:rsid w:val="00EA69EA"/>
    <w:rsid w:val="00EA6A37"/>
    <w:rsid w:val="00EA717A"/>
    <w:rsid w:val="00EA7803"/>
    <w:rsid w:val="00EA7952"/>
    <w:rsid w:val="00EA7BCC"/>
    <w:rsid w:val="00EB02D3"/>
    <w:rsid w:val="00EB067C"/>
    <w:rsid w:val="00EB0904"/>
    <w:rsid w:val="00EB1566"/>
    <w:rsid w:val="00EB188D"/>
    <w:rsid w:val="00EB1D79"/>
    <w:rsid w:val="00EB238E"/>
    <w:rsid w:val="00EB3BF8"/>
    <w:rsid w:val="00EB4120"/>
    <w:rsid w:val="00EB444E"/>
    <w:rsid w:val="00EB4717"/>
    <w:rsid w:val="00EB4B99"/>
    <w:rsid w:val="00EB4C00"/>
    <w:rsid w:val="00EB56DA"/>
    <w:rsid w:val="00EB5D2C"/>
    <w:rsid w:val="00EB5D79"/>
    <w:rsid w:val="00EB71D3"/>
    <w:rsid w:val="00EB7227"/>
    <w:rsid w:val="00EB72CB"/>
    <w:rsid w:val="00EB732A"/>
    <w:rsid w:val="00EB734F"/>
    <w:rsid w:val="00EB7DD8"/>
    <w:rsid w:val="00EC0384"/>
    <w:rsid w:val="00EC0633"/>
    <w:rsid w:val="00EC0731"/>
    <w:rsid w:val="00EC0768"/>
    <w:rsid w:val="00EC084A"/>
    <w:rsid w:val="00EC0A24"/>
    <w:rsid w:val="00EC0BCE"/>
    <w:rsid w:val="00EC0CD5"/>
    <w:rsid w:val="00EC0CEC"/>
    <w:rsid w:val="00EC114A"/>
    <w:rsid w:val="00EC116B"/>
    <w:rsid w:val="00EC12A7"/>
    <w:rsid w:val="00EC1398"/>
    <w:rsid w:val="00EC13D2"/>
    <w:rsid w:val="00EC217E"/>
    <w:rsid w:val="00EC23C8"/>
    <w:rsid w:val="00EC2508"/>
    <w:rsid w:val="00EC2E26"/>
    <w:rsid w:val="00EC2E7B"/>
    <w:rsid w:val="00EC2F33"/>
    <w:rsid w:val="00EC2F5A"/>
    <w:rsid w:val="00EC3121"/>
    <w:rsid w:val="00EC32D0"/>
    <w:rsid w:val="00EC39E2"/>
    <w:rsid w:val="00EC4083"/>
    <w:rsid w:val="00EC4B8F"/>
    <w:rsid w:val="00EC4C34"/>
    <w:rsid w:val="00EC4D2B"/>
    <w:rsid w:val="00EC5098"/>
    <w:rsid w:val="00EC52FB"/>
    <w:rsid w:val="00EC5A12"/>
    <w:rsid w:val="00EC5F2D"/>
    <w:rsid w:val="00EC666D"/>
    <w:rsid w:val="00EC674F"/>
    <w:rsid w:val="00EC689C"/>
    <w:rsid w:val="00EC6F3A"/>
    <w:rsid w:val="00EC7204"/>
    <w:rsid w:val="00EC7404"/>
    <w:rsid w:val="00EC770D"/>
    <w:rsid w:val="00EC7C5C"/>
    <w:rsid w:val="00EC7E92"/>
    <w:rsid w:val="00ED1207"/>
    <w:rsid w:val="00ED14F2"/>
    <w:rsid w:val="00ED1601"/>
    <w:rsid w:val="00ED16A8"/>
    <w:rsid w:val="00ED1F43"/>
    <w:rsid w:val="00ED21E4"/>
    <w:rsid w:val="00ED2334"/>
    <w:rsid w:val="00ED2382"/>
    <w:rsid w:val="00ED23BA"/>
    <w:rsid w:val="00ED2F43"/>
    <w:rsid w:val="00ED3291"/>
    <w:rsid w:val="00ED363F"/>
    <w:rsid w:val="00ED373B"/>
    <w:rsid w:val="00ED38F8"/>
    <w:rsid w:val="00ED3F8D"/>
    <w:rsid w:val="00ED46D4"/>
    <w:rsid w:val="00ED49CD"/>
    <w:rsid w:val="00ED4A58"/>
    <w:rsid w:val="00ED4D13"/>
    <w:rsid w:val="00ED5097"/>
    <w:rsid w:val="00ED5A85"/>
    <w:rsid w:val="00ED60D7"/>
    <w:rsid w:val="00ED6ABE"/>
    <w:rsid w:val="00ED732D"/>
    <w:rsid w:val="00ED741B"/>
    <w:rsid w:val="00ED7498"/>
    <w:rsid w:val="00ED75CB"/>
    <w:rsid w:val="00ED75E1"/>
    <w:rsid w:val="00ED79A3"/>
    <w:rsid w:val="00EE025F"/>
    <w:rsid w:val="00EE0AFD"/>
    <w:rsid w:val="00EE0BE3"/>
    <w:rsid w:val="00EE0F13"/>
    <w:rsid w:val="00EE1032"/>
    <w:rsid w:val="00EE1514"/>
    <w:rsid w:val="00EE16D0"/>
    <w:rsid w:val="00EE19D6"/>
    <w:rsid w:val="00EE1BBC"/>
    <w:rsid w:val="00EE256D"/>
    <w:rsid w:val="00EE2742"/>
    <w:rsid w:val="00EE2D27"/>
    <w:rsid w:val="00EE2EF5"/>
    <w:rsid w:val="00EE3273"/>
    <w:rsid w:val="00EE3A19"/>
    <w:rsid w:val="00EE3B54"/>
    <w:rsid w:val="00EE4929"/>
    <w:rsid w:val="00EE492F"/>
    <w:rsid w:val="00EE4A26"/>
    <w:rsid w:val="00EE4CD5"/>
    <w:rsid w:val="00EE5122"/>
    <w:rsid w:val="00EE5459"/>
    <w:rsid w:val="00EE5BB3"/>
    <w:rsid w:val="00EE5F28"/>
    <w:rsid w:val="00EE62BE"/>
    <w:rsid w:val="00EE66E1"/>
    <w:rsid w:val="00EE671F"/>
    <w:rsid w:val="00EE6D24"/>
    <w:rsid w:val="00EE70B0"/>
    <w:rsid w:val="00EE771F"/>
    <w:rsid w:val="00EE7720"/>
    <w:rsid w:val="00EE7D54"/>
    <w:rsid w:val="00EF0001"/>
    <w:rsid w:val="00EF051C"/>
    <w:rsid w:val="00EF0571"/>
    <w:rsid w:val="00EF0A28"/>
    <w:rsid w:val="00EF0DFC"/>
    <w:rsid w:val="00EF1095"/>
    <w:rsid w:val="00EF10E6"/>
    <w:rsid w:val="00EF1BD4"/>
    <w:rsid w:val="00EF1DC8"/>
    <w:rsid w:val="00EF1F01"/>
    <w:rsid w:val="00EF20A9"/>
    <w:rsid w:val="00EF2366"/>
    <w:rsid w:val="00EF267E"/>
    <w:rsid w:val="00EF28B7"/>
    <w:rsid w:val="00EF2B0B"/>
    <w:rsid w:val="00EF2BE0"/>
    <w:rsid w:val="00EF3212"/>
    <w:rsid w:val="00EF3308"/>
    <w:rsid w:val="00EF3A56"/>
    <w:rsid w:val="00EF3B0F"/>
    <w:rsid w:val="00EF3FA9"/>
    <w:rsid w:val="00EF4090"/>
    <w:rsid w:val="00EF4484"/>
    <w:rsid w:val="00EF4D68"/>
    <w:rsid w:val="00EF4DF2"/>
    <w:rsid w:val="00EF4FCD"/>
    <w:rsid w:val="00EF556C"/>
    <w:rsid w:val="00EF59B8"/>
    <w:rsid w:val="00EF5ADD"/>
    <w:rsid w:val="00EF6769"/>
    <w:rsid w:val="00EF6BB0"/>
    <w:rsid w:val="00EF6D2D"/>
    <w:rsid w:val="00EF6DB5"/>
    <w:rsid w:val="00EF6E03"/>
    <w:rsid w:val="00EF7666"/>
    <w:rsid w:val="00EF7BE9"/>
    <w:rsid w:val="00EF7D21"/>
    <w:rsid w:val="00F00097"/>
    <w:rsid w:val="00F000AE"/>
    <w:rsid w:val="00F001FD"/>
    <w:rsid w:val="00F00494"/>
    <w:rsid w:val="00F0052F"/>
    <w:rsid w:val="00F00F66"/>
    <w:rsid w:val="00F00FAA"/>
    <w:rsid w:val="00F01669"/>
    <w:rsid w:val="00F01B84"/>
    <w:rsid w:val="00F01FC6"/>
    <w:rsid w:val="00F02205"/>
    <w:rsid w:val="00F02B1B"/>
    <w:rsid w:val="00F031B1"/>
    <w:rsid w:val="00F035DB"/>
    <w:rsid w:val="00F0397B"/>
    <w:rsid w:val="00F04D7B"/>
    <w:rsid w:val="00F04D8A"/>
    <w:rsid w:val="00F04EF9"/>
    <w:rsid w:val="00F0550E"/>
    <w:rsid w:val="00F05897"/>
    <w:rsid w:val="00F05BCA"/>
    <w:rsid w:val="00F05EDE"/>
    <w:rsid w:val="00F06269"/>
    <w:rsid w:val="00F06762"/>
    <w:rsid w:val="00F06989"/>
    <w:rsid w:val="00F06C84"/>
    <w:rsid w:val="00F06FCC"/>
    <w:rsid w:val="00F07141"/>
    <w:rsid w:val="00F0722D"/>
    <w:rsid w:val="00F07E92"/>
    <w:rsid w:val="00F10037"/>
    <w:rsid w:val="00F104AB"/>
    <w:rsid w:val="00F10BDD"/>
    <w:rsid w:val="00F112A1"/>
    <w:rsid w:val="00F11365"/>
    <w:rsid w:val="00F114E7"/>
    <w:rsid w:val="00F117EB"/>
    <w:rsid w:val="00F12263"/>
    <w:rsid w:val="00F122EC"/>
    <w:rsid w:val="00F127C7"/>
    <w:rsid w:val="00F1299A"/>
    <w:rsid w:val="00F12CB3"/>
    <w:rsid w:val="00F13152"/>
    <w:rsid w:val="00F13277"/>
    <w:rsid w:val="00F134B0"/>
    <w:rsid w:val="00F13665"/>
    <w:rsid w:val="00F136B7"/>
    <w:rsid w:val="00F1386A"/>
    <w:rsid w:val="00F138B5"/>
    <w:rsid w:val="00F13C04"/>
    <w:rsid w:val="00F13CE8"/>
    <w:rsid w:val="00F13E79"/>
    <w:rsid w:val="00F13F3B"/>
    <w:rsid w:val="00F13FA4"/>
    <w:rsid w:val="00F14160"/>
    <w:rsid w:val="00F14335"/>
    <w:rsid w:val="00F14CC2"/>
    <w:rsid w:val="00F15A2D"/>
    <w:rsid w:val="00F15E97"/>
    <w:rsid w:val="00F15FA4"/>
    <w:rsid w:val="00F16197"/>
    <w:rsid w:val="00F16665"/>
    <w:rsid w:val="00F16827"/>
    <w:rsid w:val="00F16E9F"/>
    <w:rsid w:val="00F1705B"/>
    <w:rsid w:val="00F17B4D"/>
    <w:rsid w:val="00F20092"/>
    <w:rsid w:val="00F2076E"/>
    <w:rsid w:val="00F20B22"/>
    <w:rsid w:val="00F21568"/>
    <w:rsid w:val="00F21764"/>
    <w:rsid w:val="00F21836"/>
    <w:rsid w:val="00F21888"/>
    <w:rsid w:val="00F21DE5"/>
    <w:rsid w:val="00F21EA1"/>
    <w:rsid w:val="00F22221"/>
    <w:rsid w:val="00F2231C"/>
    <w:rsid w:val="00F22AFE"/>
    <w:rsid w:val="00F22C3B"/>
    <w:rsid w:val="00F23594"/>
    <w:rsid w:val="00F23744"/>
    <w:rsid w:val="00F23D9D"/>
    <w:rsid w:val="00F244F5"/>
    <w:rsid w:val="00F25326"/>
    <w:rsid w:val="00F25652"/>
    <w:rsid w:val="00F25917"/>
    <w:rsid w:val="00F259BF"/>
    <w:rsid w:val="00F25D18"/>
    <w:rsid w:val="00F260F2"/>
    <w:rsid w:val="00F2620E"/>
    <w:rsid w:val="00F2625D"/>
    <w:rsid w:val="00F263EB"/>
    <w:rsid w:val="00F265B7"/>
    <w:rsid w:val="00F26FC9"/>
    <w:rsid w:val="00F2705F"/>
    <w:rsid w:val="00F27698"/>
    <w:rsid w:val="00F277D9"/>
    <w:rsid w:val="00F279C0"/>
    <w:rsid w:val="00F27ADD"/>
    <w:rsid w:val="00F27EE6"/>
    <w:rsid w:val="00F305CE"/>
    <w:rsid w:val="00F30830"/>
    <w:rsid w:val="00F30DEF"/>
    <w:rsid w:val="00F30F28"/>
    <w:rsid w:val="00F30FE0"/>
    <w:rsid w:val="00F30FE2"/>
    <w:rsid w:val="00F3190C"/>
    <w:rsid w:val="00F31F78"/>
    <w:rsid w:val="00F322CB"/>
    <w:rsid w:val="00F32741"/>
    <w:rsid w:val="00F32B36"/>
    <w:rsid w:val="00F33375"/>
    <w:rsid w:val="00F33718"/>
    <w:rsid w:val="00F33A34"/>
    <w:rsid w:val="00F33A66"/>
    <w:rsid w:val="00F33CFA"/>
    <w:rsid w:val="00F340E4"/>
    <w:rsid w:val="00F343A0"/>
    <w:rsid w:val="00F34ED3"/>
    <w:rsid w:val="00F35168"/>
    <w:rsid w:val="00F35373"/>
    <w:rsid w:val="00F35AD5"/>
    <w:rsid w:val="00F35CDB"/>
    <w:rsid w:val="00F361A6"/>
    <w:rsid w:val="00F362D4"/>
    <w:rsid w:val="00F368E1"/>
    <w:rsid w:val="00F36CBC"/>
    <w:rsid w:val="00F37390"/>
    <w:rsid w:val="00F375DA"/>
    <w:rsid w:val="00F377C8"/>
    <w:rsid w:val="00F37881"/>
    <w:rsid w:val="00F379EF"/>
    <w:rsid w:val="00F37E2D"/>
    <w:rsid w:val="00F402AA"/>
    <w:rsid w:val="00F40C1D"/>
    <w:rsid w:val="00F41A28"/>
    <w:rsid w:val="00F41C75"/>
    <w:rsid w:val="00F41E4D"/>
    <w:rsid w:val="00F4249E"/>
    <w:rsid w:val="00F427A6"/>
    <w:rsid w:val="00F4287E"/>
    <w:rsid w:val="00F42C85"/>
    <w:rsid w:val="00F431A4"/>
    <w:rsid w:val="00F432B1"/>
    <w:rsid w:val="00F439DB"/>
    <w:rsid w:val="00F43F9F"/>
    <w:rsid w:val="00F441B9"/>
    <w:rsid w:val="00F44883"/>
    <w:rsid w:val="00F45460"/>
    <w:rsid w:val="00F4568A"/>
    <w:rsid w:val="00F45830"/>
    <w:rsid w:val="00F45F3D"/>
    <w:rsid w:val="00F46252"/>
    <w:rsid w:val="00F46805"/>
    <w:rsid w:val="00F46A72"/>
    <w:rsid w:val="00F471BC"/>
    <w:rsid w:val="00F47592"/>
    <w:rsid w:val="00F47C50"/>
    <w:rsid w:val="00F47D77"/>
    <w:rsid w:val="00F47D90"/>
    <w:rsid w:val="00F500C8"/>
    <w:rsid w:val="00F50747"/>
    <w:rsid w:val="00F51653"/>
    <w:rsid w:val="00F52105"/>
    <w:rsid w:val="00F523FC"/>
    <w:rsid w:val="00F5257E"/>
    <w:rsid w:val="00F535FC"/>
    <w:rsid w:val="00F53C4E"/>
    <w:rsid w:val="00F53D46"/>
    <w:rsid w:val="00F53D6E"/>
    <w:rsid w:val="00F5412C"/>
    <w:rsid w:val="00F54626"/>
    <w:rsid w:val="00F54758"/>
    <w:rsid w:val="00F5481D"/>
    <w:rsid w:val="00F54854"/>
    <w:rsid w:val="00F54C0D"/>
    <w:rsid w:val="00F55711"/>
    <w:rsid w:val="00F5577F"/>
    <w:rsid w:val="00F5597F"/>
    <w:rsid w:val="00F55BD8"/>
    <w:rsid w:val="00F55BEE"/>
    <w:rsid w:val="00F560D3"/>
    <w:rsid w:val="00F565DE"/>
    <w:rsid w:val="00F56E2E"/>
    <w:rsid w:val="00F57069"/>
    <w:rsid w:val="00F570B6"/>
    <w:rsid w:val="00F570DA"/>
    <w:rsid w:val="00F570E0"/>
    <w:rsid w:val="00F5718A"/>
    <w:rsid w:val="00F573F4"/>
    <w:rsid w:val="00F5760E"/>
    <w:rsid w:val="00F57796"/>
    <w:rsid w:val="00F579E7"/>
    <w:rsid w:val="00F57BC1"/>
    <w:rsid w:val="00F57F73"/>
    <w:rsid w:val="00F603C3"/>
    <w:rsid w:val="00F609FF"/>
    <w:rsid w:val="00F60B7D"/>
    <w:rsid w:val="00F61F2F"/>
    <w:rsid w:val="00F6209E"/>
    <w:rsid w:val="00F62935"/>
    <w:rsid w:val="00F62C7C"/>
    <w:rsid w:val="00F62E51"/>
    <w:rsid w:val="00F62F45"/>
    <w:rsid w:val="00F630CE"/>
    <w:rsid w:val="00F63260"/>
    <w:rsid w:val="00F634BA"/>
    <w:rsid w:val="00F63E13"/>
    <w:rsid w:val="00F640BF"/>
    <w:rsid w:val="00F64204"/>
    <w:rsid w:val="00F642F7"/>
    <w:rsid w:val="00F64C92"/>
    <w:rsid w:val="00F64E73"/>
    <w:rsid w:val="00F650B5"/>
    <w:rsid w:val="00F6511D"/>
    <w:rsid w:val="00F6555D"/>
    <w:rsid w:val="00F657A8"/>
    <w:rsid w:val="00F66DA8"/>
    <w:rsid w:val="00F6763E"/>
    <w:rsid w:val="00F67CE6"/>
    <w:rsid w:val="00F67FD6"/>
    <w:rsid w:val="00F7007A"/>
    <w:rsid w:val="00F70547"/>
    <w:rsid w:val="00F70DED"/>
    <w:rsid w:val="00F717EF"/>
    <w:rsid w:val="00F71A9D"/>
    <w:rsid w:val="00F71B0C"/>
    <w:rsid w:val="00F71E7A"/>
    <w:rsid w:val="00F71FE9"/>
    <w:rsid w:val="00F72972"/>
    <w:rsid w:val="00F72E5D"/>
    <w:rsid w:val="00F7338A"/>
    <w:rsid w:val="00F73691"/>
    <w:rsid w:val="00F738CD"/>
    <w:rsid w:val="00F73C9A"/>
    <w:rsid w:val="00F742D9"/>
    <w:rsid w:val="00F74365"/>
    <w:rsid w:val="00F7460F"/>
    <w:rsid w:val="00F746EF"/>
    <w:rsid w:val="00F74BB9"/>
    <w:rsid w:val="00F74E87"/>
    <w:rsid w:val="00F75F72"/>
    <w:rsid w:val="00F75FBE"/>
    <w:rsid w:val="00F762A1"/>
    <w:rsid w:val="00F762B3"/>
    <w:rsid w:val="00F763EC"/>
    <w:rsid w:val="00F76635"/>
    <w:rsid w:val="00F76F1E"/>
    <w:rsid w:val="00F771E6"/>
    <w:rsid w:val="00F775D0"/>
    <w:rsid w:val="00F777C5"/>
    <w:rsid w:val="00F7798D"/>
    <w:rsid w:val="00F801E7"/>
    <w:rsid w:val="00F807DF"/>
    <w:rsid w:val="00F80FA3"/>
    <w:rsid w:val="00F81254"/>
    <w:rsid w:val="00F813CA"/>
    <w:rsid w:val="00F8162C"/>
    <w:rsid w:val="00F816C5"/>
    <w:rsid w:val="00F82731"/>
    <w:rsid w:val="00F82A7C"/>
    <w:rsid w:val="00F82BD1"/>
    <w:rsid w:val="00F82F15"/>
    <w:rsid w:val="00F83074"/>
    <w:rsid w:val="00F83091"/>
    <w:rsid w:val="00F838EC"/>
    <w:rsid w:val="00F84310"/>
    <w:rsid w:val="00F84497"/>
    <w:rsid w:val="00F84B31"/>
    <w:rsid w:val="00F84D1E"/>
    <w:rsid w:val="00F85F04"/>
    <w:rsid w:val="00F860BA"/>
    <w:rsid w:val="00F864A8"/>
    <w:rsid w:val="00F864D5"/>
    <w:rsid w:val="00F86894"/>
    <w:rsid w:val="00F86AC3"/>
    <w:rsid w:val="00F86D14"/>
    <w:rsid w:val="00F86DA9"/>
    <w:rsid w:val="00F8703A"/>
    <w:rsid w:val="00F87428"/>
    <w:rsid w:val="00F877FD"/>
    <w:rsid w:val="00F87B86"/>
    <w:rsid w:val="00F901F6"/>
    <w:rsid w:val="00F9036E"/>
    <w:rsid w:val="00F9037D"/>
    <w:rsid w:val="00F90A36"/>
    <w:rsid w:val="00F90DE4"/>
    <w:rsid w:val="00F91547"/>
    <w:rsid w:val="00F917F1"/>
    <w:rsid w:val="00F91B2D"/>
    <w:rsid w:val="00F91DB7"/>
    <w:rsid w:val="00F91DEB"/>
    <w:rsid w:val="00F91F2D"/>
    <w:rsid w:val="00F92182"/>
    <w:rsid w:val="00F925FF"/>
    <w:rsid w:val="00F92817"/>
    <w:rsid w:val="00F92DED"/>
    <w:rsid w:val="00F93200"/>
    <w:rsid w:val="00F937B0"/>
    <w:rsid w:val="00F93A6C"/>
    <w:rsid w:val="00F93DA4"/>
    <w:rsid w:val="00F93E45"/>
    <w:rsid w:val="00F93E50"/>
    <w:rsid w:val="00F94115"/>
    <w:rsid w:val="00F94316"/>
    <w:rsid w:val="00F94718"/>
    <w:rsid w:val="00F9497B"/>
    <w:rsid w:val="00F94DC4"/>
    <w:rsid w:val="00F9574C"/>
    <w:rsid w:val="00F95A77"/>
    <w:rsid w:val="00F969D9"/>
    <w:rsid w:val="00F96BEF"/>
    <w:rsid w:val="00F96C74"/>
    <w:rsid w:val="00F96CCD"/>
    <w:rsid w:val="00F9719D"/>
    <w:rsid w:val="00F97710"/>
    <w:rsid w:val="00F9778C"/>
    <w:rsid w:val="00F979F9"/>
    <w:rsid w:val="00F97A1F"/>
    <w:rsid w:val="00F97ADB"/>
    <w:rsid w:val="00F97AFA"/>
    <w:rsid w:val="00F97C74"/>
    <w:rsid w:val="00F97D33"/>
    <w:rsid w:val="00F97EF8"/>
    <w:rsid w:val="00FA0329"/>
    <w:rsid w:val="00FA0FFD"/>
    <w:rsid w:val="00FA117F"/>
    <w:rsid w:val="00FA137E"/>
    <w:rsid w:val="00FA139F"/>
    <w:rsid w:val="00FA18A0"/>
    <w:rsid w:val="00FA2052"/>
    <w:rsid w:val="00FA22AD"/>
    <w:rsid w:val="00FA2493"/>
    <w:rsid w:val="00FA2697"/>
    <w:rsid w:val="00FA2ECF"/>
    <w:rsid w:val="00FA3047"/>
    <w:rsid w:val="00FA3824"/>
    <w:rsid w:val="00FA412C"/>
    <w:rsid w:val="00FA4356"/>
    <w:rsid w:val="00FA4880"/>
    <w:rsid w:val="00FA5120"/>
    <w:rsid w:val="00FA640D"/>
    <w:rsid w:val="00FA6754"/>
    <w:rsid w:val="00FA675A"/>
    <w:rsid w:val="00FA6804"/>
    <w:rsid w:val="00FA715C"/>
    <w:rsid w:val="00FB00A2"/>
    <w:rsid w:val="00FB0234"/>
    <w:rsid w:val="00FB039D"/>
    <w:rsid w:val="00FB057C"/>
    <w:rsid w:val="00FB087B"/>
    <w:rsid w:val="00FB0C6E"/>
    <w:rsid w:val="00FB0C84"/>
    <w:rsid w:val="00FB0DD4"/>
    <w:rsid w:val="00FB1102"/>
    <w:rsid w:val="00FB174F"/>
    <w:rsid w:val="00FB17D9"/>
    <w:rsid w:val="00FB1AAD"/>
    <w:rsid w:val="00FB26B7"/>
    <w:rsid w:val="00FB2728"/>
    <w:rsid w:val="00FB2F23"/>
    <w:rsid w:val="00FB317C"/>
    <w:rsid w:val="00FB4237"/>
    <w:rsid w:val="00FB4262"/>
    <w:rsid w:val="00FB4EED"/>
    <w:rsid w:val="00FB5218"/>
    <w:rsid w:val="00FB5290"/>
    <w:rsid w:val="00FB5489"/>
    <w:rsid w:val="00FB593D"/>
    <w:rsid w:val="00FB5C60"/>
    <w:rsid w:val="00FB6119"/>
    <w:rsid w:val="00FB6627"/>
    <w:rsid w:val="00FB665B"/>
    <w:rsid w:val="00FB688A"/>
    <w:rsid w:val="00FB6991"/>
    <w:rsid w:val="00FB6D53"/>
    <w:rsid w:val="00FB6E68"/>
    <w:rsid w:val="00FB7025"/>
    <w:rsid w:val="00FB7035"/>
    <w:rsid w:val="00FB74B8"/>
    <w:rsid w:val="00FB78A4"/>
    <w:rsid w:val="00FB7BDA"/>
    <w:rsid w:val="00FB7EA7"/>
    <w:rsid w:val="00FC0072"/>
    <w:rsid w:val="00FC0B8A"/>
    <w:rsid w:val="00FC1277"/>
    <w:rsid w:val="00FC23C3"/>
    <w:rsid w:val="00FC2620"/>
    <w:rsid w:val="00FC299C"/>
    <w:rsid w:val="00FC2BBB"/>
    <w:rsid w:val="00FC3583"/>
    <w:rsid w:val="00FC3750"/>
    <w:rsid w:val="00FC3880"/>
    <w:rsid w:val="00FC3DF6"/>
    <w:rsid w:val="00FC3E49"/>
    <w:rsid w:val="00FC3F61"/>
    <w:rsid w:val="00FC41E1"/>
    <w:rsid w:val="00FC44A6"/>
    <w:rsid w:val="00FC44B4"/>
    <w:rsid w:val="00FC49CA"/>
    <w:rsid w:val="00FC4EF3"/>
    <w:rsid w:val="00FC51E1"/>
    <w:rsid w:val="00FC51E8"/>
    <w:rsid w:val="00FC5FC6"/>
    <w:rsid w:val="00FC6CBD"/>
    <w:rsid w:val="00FC70B9"/>
    <w:rsid w:val="00FC73C5"/>
    <w:rsid w:val="00FC7A50"/>
    <w:rsid w:val="00FC7CAF"/>
    <w:rsid w:val="00FC7DAB"/>
    <w:rsid w:val="00FD06BE"/>
    <w:rsid w:val="00FD11D5"/>
    <w:rsid w:val="00FD1204"/>
    <w:rsid w:val="00FD1702"/>
    <w:rsid w:val="00FD1839"/>
    <w:rsid w:val="00FD1EE3"/>
    <w:rsid w:val="00FD2007"/>
    <w:rsid w:val="00FD2256"/>
    <w:rsid w:val="00FD259F"/>
    <w:rsid w:val="00FD2747"/>
    <w:rsid w:val="00FD27EF"/>
    <w:rsid w:val="00FD28EF"/>
    <w:rsid w:val="00FD2C6F"/>
    <w:rsid w:val="00FD2C75"/>
    <w:rsid w:val="00FD34EA"/>
    <w:rsid w:val="00FD3626"/>
    <w:rsid w:val="00FD39FF"/>
    <w:rsid w:val="00FD3B9A"/>
    <w:rsid w:val="00FD3F9F"/>
    <w:rsid w:val="00FD461B"/>
    <w:rsid w:val="00FD4898"/>
    <w:rsid w:val="00FD4979"/>
    <w:rsid w:val="00FD5052"/>
    <w:rsid w:val="00FD51C9"/>
    <w:rsid w:val="00FD5273"/>
    <w:rsid w:val="00FD538B"/>
    <w:rsid w:val="00FD56DB"/>
    <w:rsid w:val="00FD6797"/>
    <w:rsid w:val="00FD6EA8"/>
    <w:rsid w:val="00FD72FC"/>
    <w:rsid w:val="00FD741F"/>
    <w:rsid w:val="00FD7DF3"/>
    <w:rsid w:val="00FE063E"/>
    <w:rsid w:val="00FE0736"/>
    <w:rsid w:val="00FE07DC"/>
    <w:rsid w:val="00FE08B3"/>
    <w:rsid w:val="00FE0E6D"/>
    <w:rsid w:val="00FE104B"/>
    <w:rsid w:val="00FE126B"/>
    <w:rsid w:val="00FE1318"/>
    <w:rsid w:val="00FE1470"/>
    <w:rsid w:val="00FE158C"/>
    <w:rsid w:val="00FE1B35"/>
    <w:rsid w:val="00FE1FB1"/>
    <w:rsid w:val="00FE2323"/>
    <w:rsid w:val="00FE2441"/>
    <w:rsid w:val="00FE247F"/>
    <w:rsid w:val="00FE2AAF"/>
    <w:rsid w:val="00FE2F2B"/>
    <w:rsid w:val="00FE330D"/>
    <w:rsid w:val="00FE3C96"/>
    <w:rsid w:val="00FE4555"/>
    <w:rsid w:val="00FE4FFB"/>
    <w:rsid w:val="00FE500C"/>
    <w:rsid w:val="00FE5028"/>
    <w:rsid w:val="00FE587F"/>
    <w:rsid w:val="00FE5AB1"/>
    <w:rsid w:val="00FE5B47"/>
    <w:rsid w:val="00FE5E5A"/>
    <w:rsid w:val="00FE61D5"/>
    <w:rsid w:val="00FE6390"/>
    <w:rsid w:val="00FE6F9D"/>
    <w:rsid w:val="00FE73A3"/>
    <w:rsid w:val="00FE75D2"/>
    <w:rsid w:val="00FE7F48"/>
    <w:rsid w:val="00FF026C"/>
    <w:rsid w:val="00FF029D"/>
    <w:rsid w:val="00FF02BB"/>
    <w:rsid w:val="00FF04AD"/>
    <w:rsid w:val="00FF0AAA"/>
    <w:rsid w:val="00FF0B5D"/>
    <w:rsid w:val="00FF10B7"/>
    <w:rsid w:val="00FF124C"/>
    <w:rsid w:val="00FF16B9"/>
    <w:rsid w:val="00FF1759"/>
    <w:rsid w:val="00FF1BA4"/>
    <w:rsid w:val="00FF2598"/>
    <w:rsid w:val="00FF27D2"/>
    <w:rsid w:val="00FF2DF5"/>
    <w:rsid w:val="00FF2E0A"/>
    <w:rsid w:val="00FF37AD"/>
    <w:rsid w:val="00FF3A22"/>
    <w:rsid w:val="00FF4441"/>
    <w:rsid w:val="00FF4668"/>
    <w:rsid w:val="00FF4AF5"/>
    <w:rsid w:val="00FF4CF4"/>
    <w:rsid w:val="00FF4FEF"/>
    <w:rsid w:val="00FF5217"/>
    <w:rsid w:val="00FF5715"/>
    <w:rsid w:val="00FF5D93"/>
    <w:rsid w:val="00FF5F3F"/>
    <w:rsid w:val="00FF6054"/>
    <w:rsid w:val="00FF6922"/>
    <w:rsid w:val="00FF75E7"/>
    <w:rsid w:val="011CB1E2"/>
    <w:rsid w:val="01254892"/>
    <w:rsid w:val="01C76F5D"/>
    <w:rsid w:val="01D14815"/>
    <w:rsid w:val="01D54F24"/>
    <w:rsid w:val="01FCC181"/>
    <w:rsid w:val="02231C21"/>
    <w:rsid w:val="022EE8C9"/>
    <w:rsid w:val="02485582"/>
    <w:rsid w:val="0248B8B6"/>
    <w:rsid w:val="02612F93"/>
    <w:rsid w:val="027B44E8"/>
    <w:rsid w:val="0283ACFA"/>
    <w:rsid w:val="02CA8004"/>
    <w:rsid w:val="02D48BC9"/>
    <w:rsid w:val="02F6E575"/>
    <w:rsid w:val="03029DDA"/>
    <w:rsid w:val="03845F3E"/>
    <w:rsid w:val="03AD38AD"/>
    <w:rsid w:val="03B9A482"/>
    <w:rsid w:val="03C7D30C"/>
    <w:rsid w:val="03CBDF6B"/>
    <w:rsid w:val="03D43BA6"/>
    <w:rsid w:val="0400B7B0"/>
    <w:rsid w:val="044F7457"/>
    <w:rsid w:val="0459C268"/>
    <w:rsid w:val="0481AD74"/>
    <w:rsid w:val="04869A81"/>
    <w:rsid w:val="04D56467"/>
    <w:rsid w:val="04E7EB7D"/>
    <w:rsid w:val="053390C9"/>
    <w:rsid w:val="05541E16"/>
    <w:rsid w:val="0568F35A"/>
    <w:rsid w:val="057184A7"/>
    <w:rsid w:val="057A4A0C"/>
    <w:rsid w:val="05893449"/>
    <w:rsid w:val="05945D15"/>
    <w:rsid w:val="05B37CC2"/>
    <w:rsid w:val="0636A632"/>
    <w:rsid w:val="06421F04"/>
    <w:rsid w:val="06E00945"/>
    <w:rsid w:val="0711BF48"/>
    <w:rsid w:val="07249253"/>
    <w:rsid w:val="073A04D2"/>
    <w:rsid w:val="0756C2DC"/>
    <w:rsid w:val="075AF32F"/>
    <w:rsid w:val="076F5037"/>
    <w:rsid w:val="0777066D"/>
    <w:rsid w:val="078ED1A0"/>
    <w:rsid w:val="079844E1"/>
    <w:rsid w:val="07BC4731"/>
    <w:rsid w:val="07D9E84C"/>
    <w:rsid w:val="07FFE98F"/>
    <w:rsid w:val="082040FC"/>
    <w:rsid w:val="0825A4B4"/>
    <w:rsid w:val="0838290C"/>
    <w:rsid w:val="08699467"/>
    <w:rsid w:val="088246A0"/>
    <w:rsid w:val="08C6DB96"/>
    <w:rsid w:val="08F1D0C9"/>
    <w:rsid w:val="093D9A81"/>
    <w:rsid w:val="09C4B24A"/>
    <w:rsid w:val="0A43E1AB"/>
    <w:rsid w:val="0AD8597F"/>
    <w:rsid w:val="0AEEEB99"/>
    <w:rsid w:val="0B41BCDA"/>
    <w:rsid w:val="0B8DBAC2"/>
    <w:rsid w:val="0BCD1414"/>
    <w:rsid w:val="0C0E2F24"/>
    <w:rsid w:val="0C36F296"/>
    <w:rsid w:val="0C463735"/>
    <w:rsid w:val="0C46D3AE"/>
    <w:rsid w:val="0C7F6C14"/>
    <w:rsid w:val="0C813BC2"/>
    <w:rsid w:val="0C8F5801"/>
    <w:rsid w:val="0C8FDE4D"/>
    <w:rsid w:val="0CF0C2F6"/>
    <w:rsid w:val="0D0AD85F"/>
    <w:rsid w:val="0D0D0DF2"/>
    <w:rsid w:val="0D2C5E6B"/>
    <w:rsid w:val="0D3ACCA7"/>
    <w:rsid w:val="0D8821F8"/>
    <w:rsid w:val="0DA35678"/>
    <w:rsid w:val="0E29549D"/>
    <w:rsid w:val="0E4327B5"/>
    <w:rsid w:val="0E52F2EE"/>
    <w:rsid w:val="0E5D913F"/>
    <w:rsid w:val="0E73CE7E"/>
    <w:rsid w:val="0EB672B8"/>
    <w:rsid w:val="0EF55933"/>
    <w:rsid w:val="0F252BDD"/>
    <w:rsid w:val="0F2C9F83"/>
    <w:rsid w:val="0FA2988D"/>
    <w:rsid w:val="0FF0801F"/>
    <w:rsid w:val="1014C5CD"/>
    <w:rsid w:val="1040633C"/>
    <w:rsid w:val="1064F138"/>
    <w:rsid w:val="10863BEF"/>
    <w:rsid w:val="108F9A52"/>
    <w:rsid w:val="10B61FAF"/>
    <w:rsid w:val="117958D9"/>
    <w:rsid w:val="11B47F9E"/>
    <w:rsid w:val="11BDB98F"/>
    <w:rsid w:val="1203A7C6"/>
    <w:rsid w:val="1254957F"/>
    <w:rsid w:val="12B05867"/>
    <w:rsid w:val="1315293A"/>
    <w:rsid w:val="13A338BF"/>
    <w:rsid w:val="14137346"/>
    <w:rsid w:val="14240C29"/>
    <w:rsid w:val="1451ABBB"/>
    <w:rsid w:val="1493E023"/>
    <w:rsid w:val="14A3A9AF"/>
    <w:rsid w:val="14ABDC68"/>
    <w:rsid w:val="1504F531"/>
    <w:rsid w:val="15505BC8"/>
    <w:rsid w:val="1577DAFA"/>
    <w:rsid w:val="157BF704"/>
    <w:rsid w:val="158C3641"/>
    <w:rsid w:val="159ED734"/>
    <w:rsid w:val="15C55E4B"/>
    <w:rsid w:val="15DBD82D"/>
    <w:rsid w:val="15DCBA9B"/>
    <w:rsid w:val="15EECCB4"/>
    <w:rsid w:val="15F2830C"/>
    <w:rsid w:val="1632D920"/>
    <w:rsid w:val="163BEA04"/>
    <w:rsid w:val="167FF934"/>
    <w:rsid w:val="168F7777"/>
    <w:rsid w:val="16E3AE5E"/>
    <w:rsid w:val="17192541"/>
    <w:rsid w:val="1728C764"/>
    <w:rsid w:val="175C5A32"/>
    <w:rsid w:val="176C0A4B"/>
    <w:rsid w:val="178152C6"/>
    <w:rsid w:val="17A2F3B2"/>
    <w:rsid w:val="18478D0D"/>
    <w:rsid w:val="18502D47"/>
    <w:rsid w:val="187CC68A"/>
    <w:rsid w:val="194CF17F"/>
    <w:rsid w:val="195FB19F"/>
    <w:rsid w:val="19646EE2"/>
    <w:rsid w:val="19DA29EC"/>
    <w:rsid w:val="1A0ADB21"/>
    <w:rsid w:val="1A4CE1CF"/>
    <w:rsid w:val="1A6794EA"/>
    <w:rsid w:val="1A9C41A5"/>
    <w:rsid w:val="1ABDED65"/>
    <w:rsid w:val="1AFC3909"/>
    <w:rsid w:val="1B090904"/>
    <w:rsid w:val="1B39E8EA"/>
    <w:rsid w:val="1B60D43D"/>
    <w:rsid w:val="1B72A31E"/>
    <w:rsid w:val="1BE56843"/>
    <w:rsid w:val="1C30E4E3"/>
    <w:rsid w:val="1C4064CF"/>
    <w:rsid w:val="1C905AF7"/>
    <w:rsid w:val="1C98FDBB"/>
    <w:rsid w:val="1CA6B7F4"/>
    <w:rsid w:val="1CF48DD9"/>
    <w:rsid w:val="1D3564CD"/>
    <w:rsid w:val="1D42647F"/>
    <w:rsid w:val="1D59B0CA"/>
    <w:rsid w:val="1E0EB7C0"/>
    <w:rsid w:val="1E4CBCF1"/>
    <w:rsid w:val="1E63E323"/>
    <w:rsid w:val="1E8232F9"/>
    <w:rsid w:val="1E8BB9F2"/>
    <w:rsid w:val="1E96AC65"/>
    <w:rsid w:val="1EF8B2DB"/>
    <w:rsid w:val="1EF8E5B5"/>
    <w:rsid w:val="1F3A63FD"/>
    <w:rsid w:val="1F3B060D"/>
    <w:rsid w:val="1FC56E53"/>
    <w:rsid w:val="1FF89505"/>
    <w:rsid w:val="201AD56E"/>
    <w:rsid w:val="20907EB9"/>
    <w:rsid w:val="209ABE44"/>
    <w:rsid w:val="20D6345E"/>
    <w:rsid w:val="20E6AB06"/>
    <w:rsid w:val="212D8415"/>
    <w:rsid w:val="214DB887"/>
    <w:rsid w:val="217559E2"/>
    <w:rsid w:val="21C3821A"/>
    <w:rsid w:val="21E53547"/>
    <w:rsid w:val="21EB2E80"/>
    <w:rsid w:val="22002FC2"/>
    <w:rsid w:val="2259C553"/>
    <w:rsid w:val="22648941"/>
    <w:rsid w:val="227204BF"/>
    <w:rsid w:val="22BE4982"/>
    <w:rsid w:val="23046A6F"/>
    <w:rsid w:val="2307B29E"/>
    <w:rsid w:val="23D693F2"/>
    <w:rsid w:val="240E7730"/>
    <w:rsid w:val="241A8764"/>
    <w:rsid w:val="241F3FD5"/>
    <w:rsid w:val="246B529F"/>
    <w:rsid w:val="24867BE4"/>
    <w:rsid w:val="24E10544"/>
    <w:rsid w:val="24F0CF06"/>
    <w:rsid w:val="2537ACA4"/>
    <w:rsid w:val="25AA4791"/>
    <w:rsid w:val="262E0832"/>
    <w:rsid w:val="2636AE71"/>
    <w:rsid w:val="2646D791"/>
    <w:rsid w:val="2699701A"/>
    <w:rsid w:val="26ACA261"/>
    <w:rsid w:val="27279DA2"/>
    <w:rsid w:val="272ECAD9"/>
    <w:rsid w:val="275091F5"/>
    <w:rsid w:val="275A14B1"/>
    <w:rsid w:val="278C300E"/>
    <w:rsid w:val="2793606C"/>
    <w:rsid w:val="27ABCFC4"/>
    <w:rsid w:val="27D7512E"/>
    <w:rsid w:val="27EA4D7B"/>
    <w:rsid w:val="28004E69"/>
    <w:rsid w:val="28428682"/>
    <w:rsid w:val="28615CAF"/>
    <w:rsid w:val="287BD145"/>
    <w:rsid w:val="2890F041"/>
    <w:rsid w:val="2906A52D"/>
    <w:rsid w:val="292A544F"/>
    <w:rsid w:val="294E73D3"/>
    <w:rsid w:val="2997DC37"/>
    <w:rsid w:val="29EA66BB"/>
    <w:rsid w:val="29FA74C2"/>
    <w:rsid w:val="2A20C6AB"/>
    <w:rsid w:val="2A25CE8F"/>
    <w:rsid w:val="2A36AB0F"/>
    <w:rsid w:val="2A451574"/>
    <w:rsid w:val="2A487EED"/>
    <w:rsid w:val="2A80432B"/>
    <w:rsid w:val="2A93C3B1"/>
    <w:rsid w:val="2ACEC74E"/>
    <w:rsid w:val="2B1B793B"/>
    <w:rsid w:val="2B47F1E2"/>
    <w:rsid w:val="2B753B50"/>
    <w:rsid w:val="2B86059D"/>
    <w:rsid w:val="2B9D29F2"/>
    <w:rsid w:val="2B9DCE54"/>
    <w:rsid w:val="2BE0FC69"/>
    <w:rsid w:val="2BE1334A"/>
    <w:rsid w:val="2BFA2F48"/>
    <w:rsid w:val="2C189503"/>
    <w:rsid w:val="2C1D80DB"/>
    <w:rsid w:val="2C39AB24"/>
    <w:rsid w:val="2C50DCDC"/>
    <w:rsid w:val="2C6276D5"/>
    <w:rsid w:val="2C67ACB9"/>
    <w:rsid w:val="2C8B2BF4"/>
    <w:rsid w:val="2C909467"/>
    <w:rsid w:val="2CA7EC96"/>
    <w:rsid w:val="2CAEF7E8"/>
    <w:rsid w:val="2CECAD4C"/>
    <w:rsid w:val="2D141C3A"/>
    <w:rsid w:val="2D2BE24D"/>
    <w:rsid w:val="2E25A70C"/>
    <w:rsid w:val="2E29C4A5"/>
    <w:rsid w:val="2E50E3DF"/>
    <w:rsid w:val="2E615D22"/>
    <w:rsid w:val="2ED51601"/>
    <w:rsid w:val="2ED536D0"/>
    <w:rsid w:val="2EE7DC7D"/>
    <w:rsid w:val="2EEC3180"/>
    <w:rsid w:val="2F1BDD98"/>
    <w:rsid w:val="2F1F040C"/>
    <w:rsid w:val="2FE255CF"/>
    <w:rsid w:val="2FFAE0B1"/>
    <w:rsid w:val="30226832"/>
    <w:rsid w:val="3029A720"/>
    <w:rsid w:val="307A1D19"/>
    <w:rsid w:val="308FB2C0"/>
    <w:rsid w:val="30C7CBCF"/>
    <w:rsid w:val="30D2517B"/>
    <w:rsid w:val="30E84384"/>
    <w:rsid w:val="314C7065"/>
    <w:rsid w:val="3158C7F7"/>
    <w:rsid w:val="316831BE"/>
    <w:rsid w:val="3188175A"/>
    <w:rsid w:val="31B07D0B"/>
    <w:rsid w:val="31BB3DA8"/>
    <w:rsid w:val="31E307D0"/>
    <w:rsid w:val="32249461"/>
    <w:rsid w:val="32392AD0"/>
    <w:rsid w:val="325BE1A6"/>
    <w:rsid w:val="3264CD35"/>
    <w:rsid w:val="32A022A9"/>
    <w:rsid w:val="32BF968F"/>
    <w:rsid w:val="32FFA71B"/>
    <w:rsid w:val="331FEC2D"/>
    <w:rsid w:val="3348925D"/>
    <w:rsid w:val="335A49C0"/>
    <w:rsid w:val="335A6BE7"/>
    <w:rsid w:val="33B29478"/>
    <w:rsid w:val="33C9A464"/>
    <w:rsid w:val="33EB66C4"/>
    <w:rsid w:val="3414CF0E"/>
    <w:rsid w:val="3455D5D4"/>
    <w:rsid w:val="346F0FCF"/>
    <w:rsid w:val="34A1CEF4"/>
    <w:rsid w:val="34F2279F"/>
    <w:rsid w:val="34FCCB6F"/>
    <w:rsid w:val="351E5FF8"/>
    <w:rsid w:val="353C30DD"/>
    <w:rsid w:val="3568E450"/>
    <w:rsid w:val="35C97D6D"/>
    <w:rsid w:val="35E858D6"/>
    <w:rsid w:val="363795D3"/>
    <w:rsid w:val="363AF92E"/>
    <w:rsid w:val="36A2AA7B"/>
    <w:rsid w:val="36E4168D"/>
    <w:rsid w:val="3753CF1A"/>
    <w:rsid w:val="37668FEA"/>
    <w:rsid w:val="377CEB5E"/>
    <w:rsid w:val="37903E08"/>
    <w:rsid w:val="37BA33B6"/>
    <w:rsid w:val="37EB9A7F"/>
    <w:rsid w:val="37F49313"/>
    <w:rsid w:val="381FB007"/>
    <w:rsid w:val="3823ABBA"/>
    <w:rsid w:val="384F84B0"/>
    <w:rsid w:val="384FCDC0"/>
    <w:rsid w:val="38581AC5"/>
    <w:rsid w:val="38785D89"/>
    <w:rsid w:val="38E6D146"/>
    <w:rsid w:val="39579969"/>
    <w:rsid w:val="395B2E2F"/>
    <w:rsid w:val="3969DF6F"/>
    <w:rsid w:val="396E8BDD"/>
    <w:rsid w:val="39B0B252"/>
    <w:rsid w:val="39EE8394"/>
    <w:rsid w:val="3A042435"/>
    <w:rsid w:val="3A6D6FAF"/>
    <w:rsid w:val="3A7D4CDA"/>
    <w:rsid w:val="3A8892E6"/>
    <w:rsid w:val="3AF3B80F"/>
    <w:rsid w:val="3B49455A"/>
    <w:rsid w:val="3B50624D"/>
    <w:rsid w:val="3B807018"/>
    <w:rsid w:val="3B91070A"/>
    <w:rsid w:val="3B9B81FE"/>
    <w:rsid w:val="3BB6044D"/>
    <w:rsid w:val="3BB855A1"/>
    <w:rsid w:val="3BBCC105"/>
    <w:rsid w:val="3BF5AF6B"/>
    <w:rsid w:val="3C3D084D"/>
    <w:rsid w:val="3C50D760"/>
    <w:rsid w:val="3D1863F7"/>
    <w:rsid w:val="3D3EB316"/>
    <w:rsid w:val="3D4F61A1"/>
    <w:rsid w:val="3D72A0DE"/>
    <w:rsid w:val="3D938C0F"/>
    <w:rsid w:val="3DAAE91C"/>
    <w:rsid w:val="3DAD9A1E"/>
    <w:rsid w:val="3DB13E4F"/>
    <w:rsid w:val="3E09075E"/>
    <w:rsid w:val="3E22DD57"/>
    <w:rsid w:val="3E2B8D5B"/>
    <w:rsid w:val="3E300356"/>
    <w:rsid w:val="3E846B4C"/>
    <w:rsid w:val="3EAA6261"/>
    <w:rsid w:val="3EBF5497"/>
    <w:rsid w:val="3F60CCB4"/>
    <w:rsid w:val="3F96C9C3"/>
    <w:rsid w:val="3FD17D78"/>
    <w:rsid w:val="3FEBD317"/>
    <w:rsid w:val="3FF5AD48"/>
    <w:rsid w:val="402A0B70"/>
    <w:rsid w:val="404CBB3F"/>
    <w:rsid w:val="4082DB4D"/>
    <w:rsid w:val="40D8BACE"/>
    <w:rsid w:val="40E6278A"/>
    <w:rsid w:val="410A4BD7"/>
    <w:rsid w:val="4125673E"/>
    <w:rsid w:val="41367D8E"/>
    <w:rsid w:val="413F40AB"/>
    <w:rsid w:val="41638E17"/>
    <w:rsid w:val="41F11621"/>
    <w:rsid w:val="421D475F"/>
    <w:rsid w:val="4237F1B1"/>
    <w:rsid w:val="423E4D48"/>
    <w:rsid w:val="4295913B"/>
    <w:rsid w:val="429FD4F6"/>
    <w:rsid w:val="42A3B82A"/>
    <w:rsid w:val="42C15979"/>
    <w:rsid w:val="42DABDBB"/>
    <w:rsid w:val="4300850B"/>
    <w:rsid w:val="43310635"/>
    <w:rsid w:val="437D6D32"/>
    <w:rsid w:val="43C4D664"/>
    <w:rsid w:val="43E78BC9"/>
    <w:rsid w:val="442CC738"/>
    <w:rsid w:val="444623BC"/>
    <w:rsid w:val="4475F6A4"/>
    <w:rsid w:val="452B3BB1"/>
    <w:rsid w:val="45AB89E1"/>
    <w:rsid w:val="45C896A2"/>
    <w:rsid w:val="466F5DD1"/>
    <w:rsid w:val="470B0EF0"/>
    <w:rsid w:val="472AEC52"/>
    <w:rsid w:val="47797225"/>
    <w:rsid w:val="47CE48E3"/>
    <w:rsid w:val="47E254B6"/>
    <w:rsid w:val="47E5AD60"/>
    <w:rsid w:val="47E6CBD4"/>
    <w:rsid w:val="47E826CD"/>
    <w:rsid w:val="47EA3E5F"/>
    <w:rsid w:val="48100CD0"/>
    <w:rsid w:val="483D5D3C"/>
    <w:rsid w:val="48425B6A"/>
    <w:rsid w:val="48BAA3FF"/>
    <w:rsid w:val="48C1A4B7"/>
    <w:rsid w:val="48EC00DA"/>
    <w:rsid w:val="48F9A149"/>
    <w:rsid w:val="4921AACA"/>
    <w:rsid w:val="494FC65F"/>
    <w:rsid w:val="4965DEC5"/>
    <w:rsid w:val="49D3576D"/>
    <w:rsid w:val="49E0FA0F"/>
    <w:rsid w:val="49F9C847"/>
    <w:rsid w:val="4A07FF14"/>
    <w:rsid w:val="4A446383"/>
    <w:rsid w:val="4A4F3374"/>
    <w:rsid w:val="4A950D03"/>
    <w:rsid w:val="4AB675A9"/>
    <w:rsid w:val="4ABD4D23"/>
    <w:rsid w:val="4AD2EE8D"/>
    <w:rsid w:val="4B3E0490"/>
    <w:rsid w:val="4B67E465"/>
    <w:rsid w:val="4B8A14B5"/>
    <w:rsid w:val="4BA728E8"/>
    <w:rsid w:val="4BE98BD5"/>
    <w:rsid w:val="4BFE1A48"/>
    <w:rsid w:val="4C344DFC"/>
    <w:rsid w:val="4C4EE523"/>
    <w:rsid w:val="4C5BD840"/>
    <w:rsid w:val="4CE82137"/>
    <w:rsid w:val="4D0819A8"/>
    <w:rsid w:val="4D63C7B2"/>
    <w:rsid w:val="4D75B645"/>
    <w:rsid w:val="4DCBAB6E"/>
    <w:rsid w:val="4DFDDDBB"/>
    <w:rsid w:val="4EB16F53"/>
    <w:rsid w:val="4ED766D3"/>
    <w:rsid w:val="4F4B9A63"/>
    <w:rsid w:val="4F4D641C"/>
    <w:rsid w:val="4F84EE2E"/>
    <w:rsid w:val="4FD48F73"/>
    <w:rsid w:val="4FF89C70"/>
    <w:rsid w:val="50A310F7"/>
    <w:rsid w:val="50B5E955"/>
    <w:rsid w:val="50EC4EE2"/>
    <w:rsid w:val="516BB44D"/>
    <w:rsid w:val="5185EEB8"/>
    <w:rsid w:val="518761C8"/>
    <w:rsid w:val="51CA49AF"/>
    <w:rsid w:val="51CD3839"/>
    <w:rsid w:val="51E48410"/>
    <w:rsid w:val="52B30DD3"/>
    <w:rsid w:val="52BB314F"/>
    <w:rsid w:val="52BD508D"/>
    <w:rsid w:val="52DA193F"/>
    <w:rsid w:val="5317AD51"/>
    <w:rsid w:val="5321C871"/>
    <w:rsid w:val="53341B87"/>
    <w:rsid w:val="538F0AB3"/>
    <w:rsid w:val="53B21E64"/>
    <w:rsid w:val="53CFEE85"/>
    <w:rsid w:val="53DC6949"/>
    <w:rsid w:val="53F1B3DF"/>
    <w:rsid w:val="54836FB6"/>
    <w:rsid w:val="54AAFE1A"/>
    <w:rsid w:val="54EFC18F"/>
    <w:rsid w:val="550B8B02"/>
    <w:rsid w:val="5511B2B7"/>
    <w:rsid w:val="55163B1D"/>
    <w:rsid w:val="55330B31"/>
    <w:rsid w:val="55402461"/>
    <w:rsid w:val="5559B9E9"/>
    <w:rsid w:val="568D19A7"/>
    <w:rsid w:val="56A0C4CA"/>
    <w:rsid w:val="56D2F5C8"/>
    <w:rsid w:val="56D5192D"/>
    <w:rsid w:val="56F24770"/>
    <w:rsid w:val="5704B3E4"/>
    <w:rsid w:val="570B2AD8"/>
    <w:rsid w:val="57585719"/>
    <w:rsid w:val="575D9D10"/>
    <w:rsid w:val="57903420"/>
    <w:rsid w:val="579E9859"/>
    <w:rsid w:val="57EC3197"/>
    <w:rsid w:val="5878FD3B"/>
    <w:rsid w:val="58912FFC"/>
    <w:rsid w:val="589A589A"/>
    <w:rsid w:val="58A2AC6D"/>
    <w:rsid w:val="58AC9211"/>
    <w:rsid w:val="58C8EBF8"/>
    <w:rsid w:val="5903C74D"/>
    <w:rsid w:val="599F20EF"/>
    <w:rsid w:val="59B0204C"/>
    <w:rsid w:val="59C78839"/>
    <w:rsid w:val="59EDB370"/>
    <w:rsid w:val="5A0D8E31"/>
    <w:rsid w:val="5A26466A"/>
    <w:rsid w:val="5A78DB9F"/>
    <w:rsid w:val="5A93E546"/>
    <w:rsid w:val="5AA8ED45"/>
    <w:rsid w:val="5ACD5581"/>
    <w:rsid w:val="5ADA4B04"/>
    <w:rsid w:val="5AE89118"/>
    <w:rsid w:val="5B21536B"/>
    <w:rsid w:val="5B65186F"/>
    <w:rsid w:val="5B705B74"/>
    <w:rsid w:val="5B9D8090"/>
    <w:rsid w:val="5BC8B7FE"/>
    <w:rsid w:val="5BE5F95B"/>
    <w:rsid w:val="5C43C5C6"/>
    <w:rsid w:val="5C8A29BE"/>
    <w:rsid w:val="5CA15641"/>
    <w:rsid w:val="5CC05AC7"/>
    <w:rsid w:val="5CDF0286"/>
    <w:rsid w:val="5CE73CFA"/>
    <w:rsid w:val="5D2573CA"/>
    <w:rsid w:val="5D6DD9B5"/>
    <w:rsid w:val="5DAF3A03"/>
    <w:rsid w:val="5E01364F"/>
    <w:rsid w:val="5E11299F"/>
    <w:rsid w:val="5E1F1ED8"/>
    <w:rsid w:val="5E2136DF"/>
    <w:rsid w:val="5E22ACA6"/>
    <w:rsid w:val="5E7D398D"/>
    <w:rsid w:val="5F152C33"/>
    <w:rsid w:val="5F33752E"/>
    <w:rsid w:val="5F5584CD"/>
    <w:rsid w:val="5F655B80"/>
    <w:rsid w:val="5FA3C4B7"/>
    <w:rsid w:val="5FC42BF0"/>
    <w:rsid w:val="600C0B86"/>
    <w:rsid w:val="6023DB68"/>
    <w:rsid w:val="6056F4D1"/>
    <w:rsid w:val="606699FB"/>
    <w:rsid w:val="60730DCD"/>
    <w:rsid w:val="607404BC"/>
    <w:rsid w:val="6098AA8A"/>
    <w:rsid w:val="60A88BB8"/>
    <w:rsid w:val="60CC1261"/>
    <w:rsid w:val="60F2E773"/>
    <w:rsid w:val="610AF69B"/>
    <w:rsid w:val="61235990"/>
    <w:rsid w:val="614D6584"/>
    <w:rsid w:val="61565B1D"/>
    <w:rsid w:val="61E2F1DF"/>
    <w:rsid w:val="625B2399"/>
    <w:rsid w:val="6282DDDE"/>
    <w:rsid w:val="62902D6A"/>
    <w:rsid w:val="629B0610"/>
    <w:rsid w:val="62DA3ACB"/>
    <w:rsid w:val="631EC3DE"/>
    <w:rsid w:val="6369FB07"/>
    <w:rsid w:val="639D40F7"/>
    <w:rsid w:val="63AB7044"/>
    <w:rsid w:val="63DBA061"/>
    <w:rsid w:val="63E00059"/>
    <w:rsid w:val="63E9CC69"/>
    <w:rsid w:val="642AFA99"/>
    <w:rsid w:val="647BC4CA"/>
    <w:rsid w:val="64A4FEED"/>
    <w:rsid w:val="64C5AC44"/>
    <w:rsid w:val="650ADD35"/>
    <w:rsid w:val="650D1FB8"/>
    <w:rsid w:val="651814BC"/>
    <w:rsid w:val="65526B07"/>
    <w:rsid w:val="65C18B96"/>
    <w:rsid w:val="65D4E5BD"/>
    <w:rsid w:val="66219323"/>
    <w:rsid w:val="66BC1B84"/>
    <w:rsid w:val="66F06757"/>
    <w:rsid w:val="67095B42"/>
    <w:rsid w:val="67895DD6"/>
    <w:rsid w:val="6798C19B"/>
    <w:rsid w:val="6827907B"/>
    <w:rsid w:val="688A3B9F"/>
    <w:rsid w:val="688DC343"/>
    <w:rsid w:val="68C1E92A"/>
    <w:rsid w:val="68F1FF4F"/>
    <w:rsid w:val="697818B8"/>
    <w:rsid w:val="69F113D6"/>
    <w:rsid w:val="6A02A5A9"/>
    <w:rsid w:val="6A231A83"/>
    <w:rsid w:val="6A3C6227"/>
    <w:rsid w:val="6A457400"/>
    <w:rsid w:val="6A798AF2"/>
    <w:rsid w:val="6A961063"/>
    <w:rsid w:val="6AEF3105"/>
    <w:rsid w:val="6B012FAE"/>
    <w:rsid w:val="6B0629DE"/>
    <w:rsid w:val="6B1ADF2E"/>
    <w:rsid w:val="6B5A645E"/>
    <w:rsid w:val="6BB77CF7"/>
    <w:rsid w:val="6BD6DC44"/>
    <w:rsid w:val="6BF6ABD0"/>
    <w:rsid w:val="6C33B7AB"/>
    <w:rsid w:val="6C82F7E6"/>
    <w:rsid w:val="6C99EE84"/>
    <w:rsid w:val="6CB91E12"/>
    <w:rsid w:val="6CD8BAED"/>
    <w:rsid w:val="6CDF73C2"/>
    <w:rsid w:val="6CE0076A"/>
    <w:rsid w:val="6CEB90B4"/>
    <w:rsid w:val="6CF12226"/>
    <w:rsid w:val="6D337DED"/>
    <w:rsid w:val="6D4DE78B"/>
    <w:rsid w:val="6DCAD6BF"/>
    <w:rsid w:val="6DCC86F2"/>
    <w:rsid w:val="6DEE0A94"/>
    <w:rsid w:val="6E05AD76"/>
    <w:rsid w:val="6E4DBA23"/>
    <w:rsid w:val="6E7C986F"/>
    <w:rsid w:val="6E98B463"/>
    <w:rsid w:val="6E9C7C23"/>
    <w:rsid w:val="6E9CEA2B"/>
    <w:rsid w:val="6EB9CD9F"/>
    <w:rsid w:val="6F29F224"/>
    <w:rsid w:val="6F3DC9AB"/>
    <w:rsid w:val="6F458DD8"/>
    <w:rsid w:val="6F6B8B3E"/>
    <w:rsid w:val="6F70951E"/>
    <w:rsid w:val="6FC85A7B"/>
    <w:rsid w:val="6FCCA0EC"/>
    <w:rsid w:val="6FEAE9B8"/>
    <w:rsid w:val="6FEB17FD"/>
    <w:rsid w:val="6FF7E4DA"/>
    <w:rsid w:val="700F5847"/>
    <w:rsid w:val="7030EB19"/>
    <w:rsid w:val="70341B88"/>
    <w:rsid w:val="704C050A"/>
    <w:rsid w:val="70776349"/>
    <w:rsid w:val="7085E788"/>
    <w:rsid w:val="70D1FC3E"/>
    <w:rsid w:val="70E15E39"/>
    <w:rsid w:val="71144128"/>
    <w:rsid w:val="714E6263"/>
    <w:rsid w:val="7183F05F"/>
    <w:rsid w:val="7197FBE1"/>
    <w:rsid w:val="71AEBBDC"/>
    <w:rsid w:val="71D45E6D"/>
    <w:rsid w:val="71E96B3D"/>
    <w:rsid w:val="71EC71F6"/>
    <w:rsid w:val="71F5D52E"/>
    <w:rsid w:val="721536DC"/>
    <w:rsid w:val="72A8F843"/>
    <w:rsid w:val="72C3AB91"/>
    <w:rsid w:val="72C85914"/>
    <w:rsid w:val="72CD0B45"/>
    <w:rsid w:val="72FDF14D"/>
    <w:rsid w:val="734815D1"/>
    <w:rsid w:val="7379D3D9"/>
    <w:rsid w:val="73835B2F"/>
    <w:rsid w:val="738CD65E"/>
    <w:rsid w:val="73A5117E"/>
    <w:rsid w:val="73D5791D"/>
    <w:rsid w:val="73F551C1"/>
    <w:rsid w:val="73FC9287"/>
    <w:rsid w:val="74339A83"/>
    <w:rsid w:val="74438FC4"/>
    <w:rsid w:val="7444C8A4"/>
    <w:rsid w:val="7453E7A2"/>
    <w:rsid w:val="7484F613"/>
    <w:rsid w:val="74A25763"/>
    <w:rsid w:val="75AA6A0A"/>
    <w:rsid w:val="75B11844"/>
    <w:rsid w:val="75B11BE6"/>
    <w:rsid w:val="75C0F290"/>
    <w:rsid w:val="75F6378F"/>
    <w:rsid w:val="7606EB7E"/>
    <w:rsid w:val="76208267"/>
    <w:rsid w:val="766335BE"/>
    <w:rsid w:val="767475F0"/>
    <w:rsid w:val="76A14711"/>
    <w:rsid w:val="76B55FCD"/>
    <w:rsid w:val="76BAA390"/>
    <w:rsid w:val="77114838"/>
    <w:rsid w:val="77123668"/>
    <w:rsid w:val="7721D6DC"/>
    <w:rsid w:val="7768038D"/>
    <w:rsid w:val="779C14D5"/>
    <w:rsid w:val="77A84B85"/>
    <w:rsid w:val="77BC52C8"/>
    <w:rsid w:val="782339A1"/>
    <w:rsid w:val="787AFE92"/>
    <w:rsid w:val="78B378D4"/>
    <w:rsid w:val="790FCA71"/>
    <w:rsid w:val="79414621"/>
    <w:rsid w:val="798A5FBA"/>
    <w:rsid w:val="79D79427"/>
    <w:rsid w:val="7A3453E1"/>
    <w:rsid w:val="7A57316C"/>
    <w:rsid w:val="7A6FEEC2"/>
    <w:rsid w:val="7A78BC60"/>
    <w:rsid w:val="7ADE4523"/>
    <w:rsid w:val="7B039B7D"/>
    <w:rsid w:val="7B48085F"/>
    <w:rsid w:val="7B6591EE"/>
    <w:rsid w:val="7B779B25"/>
    <w:rsid w:val="7BA187F2"/>
    <w:rsid w:val="7BA20A56"/>
    <w:rsid w:val="7BB12252"/>
    <w:rsid w:val="7BD8BB1B"/>
    <w:rsid w:val="7BF1EE0E"/>
    <w:rsid w:val="7C4135AD"/>
    <w:rsid w:val="7C75F144"/>
    <w:rsid w:val="7C7F0C63"/>
    <w:rsid w:val="7C845FEF"/>
    <w:rsid w:val="7CAAA694"/>
    <w:rsid w:val="7D00DE36"/>
    <w:rsid w:val="7D21EFB3"/>
    <w:rsid w:val="7D326990"/>
    <w:rsid w:val="7D4A3A97"/>
    <w:rsid w:val="7DF44D54"/>
    <w:rsid w:val="7E07C075"/>
    <w:rsid w:val="7E5C4553"/>
    <w:rsid w:val="7EECCA17"/>
    <w:rsid w:val="7F1FD830"/>
    <w:rsid w:val="7F878D2A"/>
  </w:rsids>
  <m:mathPr>
    <m:mathFont m:val="Cambria Math"/>
    <m:brkBin m:val="before"/>
    <m:brkBinSub m:val="--"/>
    <m:smallFrac m:val="0"/>
    <m:dispDef/>
    <m:lMargin m:val="0"/>
    <m:rMargin m:val="0"/>
    <m:defJc m:val="centerGroup"/>
    <m:wrapIndent m:val="1440"/>
    <m:intLim m:val="subSup"/>
    <m:naryLim m:val="undOvr"/>
  </m:mathPr>
  <w:themeFontLang w:val="en-GB" w:eastAsia="ja-JP" w:bidi="ar-SA"/>
  <w:clrSchemeMapping w:bg1="light1" w:t1="dark1" w:bg2="light2" w:t2="dark2" w:accent1="accent1" w:accent2="accent2" w:accent3="accent3" w:accent4="accent4" w:accent5="accent5" w:accent6="accent6" w:hyperlink="hyperlink" w:followedHyperlink="followedHyperlink"/>
  <w:doNotIncludeSubdocsInStats/>
  <w:shapeDefaults>
    <o:shapedefaults v:ext="edit" spidmax="2050"/>
    <o:shapelayout v:ext="edit">
      <o:idmap v:ext="edit" data="2"/>
    </o:shapelayout>
  </w:shapeDefaults>
  <w:decimalSymbol w:val="."/>
  <w:listSeparator w:val=","/>
  <w14:docId w14:val="26B8D9F4"/>
  <w15:docId w15:val="{EC085079-0A5F-42A0-800B-6FEF47B7984A}"/>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mc:Ignorable="w14 w15 w16se w16cid w16 w16cex w16sdtdh w16du">
  <w:docDefaults>
    <w:rPrDefault>
      <w:rPr>
        <w:rFonts w:asciiTheme="minorHAnsi" w:eastAsiaTheme="minorHAnsi" w:hAnsiTheme="minorHAnsi" w:cstheme="minorBidi"/>
        <w:sz w:val="22"/>
        <w:szCs w:val="22"/>
        <w:lang w:val="en-GB" w:eastAsia="en-US" w:bidi="ar-SA"/>
      </w:rPr>
    </w:rPrDefault>
    <w:pPrDefault>
      <w:pPr>
        <w:spacing w:after="160" w:line="259" w:lineRule="auto"/>
      </w:pPr>
    </w:pPrDefault>
  </w:docDefaults>
  <w:latentStyles w:defLockedState="0" w:defUIPriority="99" w:defSemiHidden="0" w:defUnhideWhenUsed="0" w:defQFormat="0" w:count="376">
    <w:lsdException w:name="Normal" w:uiPriority="0" w:qFormat="1"/>
    <w:lsdException w:name="heading 1" w:uiPriority="9"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3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atentStyles>
  <w:style w:type="paragraph" w:default="1" w:styleId="Normal">
    <w:name w:val="Normal"/>
    <w:qFormat/>
    <w:rsid w:val="0014064A"/>
  </w:style>
  <w:style w:type="paragraph" w:styleId="Heading1">
    <w:name w:val="heading 1"/>
    <w:basedOn w:val="Normal"/>
    <w:next w:val="Normal"/>
    <w:link w:val="Heading1Char"/>
    <w:uiPriority w:val="9"/>
    <w:qFormat/>
    <w:rsid w:val="009547E2"/>
    <w:pPr>
      <w:keepNext/>
      <w:keepLines/>
      <w:numPr>
        <w:numId w:val="6"/>
      </w:numPr>
      <w:spacing w:before="440" w:after="400" w:line="276" w:lineRule="auto"/>
      <w:jc w:val="center"/>
      <w:outlineLvl w:val="0"/>
    </w:pPr>
    <w:rPr>
      <w:rFonts w:ascii="Arial" w:eastAsiaTheme="majorEastAsia" w:hAnsi="Arial" w:cstheme="majorBidi"/>
      <w:b/>
      <w:bCs/>
      <w:sz w:val="32"/>
      <w:szCs w:val="28"/>
      <w:lang w:eastAsia="en-GB"/>
    </w:rPr>
  </w:style>
  <w:style w:type="paragraph" w:styleId="Heading2">
    <w:name w:val="heading 2"/>
    <w:basedOn w:val="Normal"/>
    <w:next w:val="Normal"/>
    <w:link w:val="Heading2Char"/>
    <w:autoRedefine/>
    <w:uiPriority w:val="9"/>
    <w:unhideWhenUsed/>
    <w:qFormat/>
    <w:rsid w:val="000B4288"/>
    <w:pPr>
      <w:keepNext/>
      <w:keepLines/>
      <w:spacing w:before="100" w:beforeAutospacing="1" w:line="360" w:lineRule="auto"/>
      <w:jc w:val="both"/>
      <w:outlineLvl w:val="1"/>
    </w:pPr>
    <w:rPr>
      <w:rFonts w:ascii="Arial" w:hAnsi="Arial" w:cs="Arial"/>
      <w:b/>
      <w:bCs/>
      <w:caps/>
      <w:lang w:val="en-US" w:eastAsia="en-GB"/>
    </w:rPr>
  </w:style>
  <w:style w:type="paragraph" w:styleId="Heading3">
    <w:name w:val="heading 3"/>
    <w:basedOn w:val="Normal"/>
    <w:next w:val="Normal"/>
    <w:link w:val="Heading3Char"/>
    <w:uiPriority w:val="9"/>
    <w:unhideWhenUsed/>
    <w:qFormat/>
    <w:rsid w:val="009547E2"/>
    <w:pPr>
      <w:keepNext/>
      <w:keepLines/>
      <w:numPr>
        <w:ilvl w:val="2"/>
        <w:numId w:val="6"/>
      </w:numPr>
      <w:spacing w:before="100" w:beforeAutospacing="1" w:after="120"/>
      <w:outlineLvl w:val="2"/>
    </w:pPr>
    <w:rPr>
      <w:rFonts w:ascii="Arial" w:eastAsiaTheme="majorEastAsia" w:hAnsi="Arial" w:cstheme="majorBidi"/>
      <w:b/>
      <w:szCs w:val="24"/>
    </w:rPr>
  </w:style>
  <w:style w:type="paragraph" w:styleId="Heading4">
    <w:name w:val="heading 4"/>
    <w:basedOn w:val="Normal"/>
    <w:next w:val="Normal"/>
    <w:link w:val="Heading4Char"/>
    <w:uiPriority w:val="9"/>
    <w:semiHidden/>
    <w:unhideWhenUsed/>
    <w:qFormat/>
    <w:rsid w:val="00464B1F"/>
    <w:pPr>
      <w:keepNext/>
      <w:keepLines/>
      <w:numPr>
        <w:ilvl w:val="3"/>
        <w:numId w:val="6"/>
      </w:numPr>
      <w:spacing w:before="40" w:after="0"/>
      <w:outlineLvl w:val="3"/>
    </w:pPr>
    <w:rPr>
      <w:rFonts w:asciiTheme="majorHAnsi" w:eastAsiaTheme="majorEastAsia" w:hAnsiTheme="majorHAnsi" w:cstheme="majorBidi"/>
      <w:i/>
      <w:iCs/>
      <w:color w:val="2E74B5" w:themeColor="accent1" w:themeShade="BF"/>
    </w:rPr>
  </w:style>
  <w:style w:type="paragraph" w:styleId="Heading5">
    <w:name w:val="heading 5"/>
    <w:basedOn w:val="Normal"/>
    <w:next w:val="Normal"/>
    <w:link w:val="Heading5Char"/>
    <w:uiPriority w:val="9"/>
    <w:semiHidden/>
    <w:unhideWhenUsed/>
    <w:qFormat/>
    <w:rsid w:val="00464B1F"/>
    <w:pPr>
      <w:keepNext/>
      <w:keepLines/>
      <w:numPr>
        <w:ilvl w:val="4"/>
        <w:numId w:val="6"/>
      </w:numPr>
      <w:spacing w:before="40" w:after="0"/>
      <w:outlineLvl w:val="4"/>
    </w:pPr>
    <w:rPr>
      <w:rFonts w:asciiTheme="majorHAnsi" w:eastAsiaTheme="majorEastAsia" w:hAnsiTheme="majorHAnsi" w:cstheme="majorBidi"/>
      <w:color w:val="2E74B5" w:themeColor="accent1" w:themeShade="BF"/>
    </w:rPr>
  </w:style>
  <w:style w:type="paragraph" w:styleId="Heading6">
    <w:name w:val="heading 6"/>
    <w:basedOn w:val="Normal"/>
    <w:next w:val="Normal"/>
    <w:link w:val="Heading6Char"/>
    <w:uiPriority w:val="9"/>
    <w:semiHidden/>
    <w:unhideWhenUsed/>
    <w:qFormat/>
    <w:rsid w:val="00464B1F"/>
    <w:pPr>
      <w:keepNext/>
      <w:keepLines/>
      <w:numPr>
        <w:ilvl w:val="5"/>
        <w:numId w:val="6"/>
      </w:numPr>
      <w:spacing w:before="40" w:after="0"/>
      <w:outlineLvl w:val="5"/>
    </w:pPr>
    <w:rPr>
      <w:rFonts w:asciiTheme="majorHAnsi" w:eastAsiaTheme="majorEastAsia" w:hAnsiTheme="majorHAnsi" w:cstheme="majorBidi"/>
      <w:color w:val="1F4D78" w:themeColor="accent1" w:themeShade="7F"/>
    </w:rPr>
  </w:style>
  <w:style w:type="paragraph" w:styleId="Heading7">
    <w:name w:val="heading 7"/>
    <w:basedOn w:val="Normal"/>
    <w:next w:val="Normal"/>
    <w:link w:val="Heading7Char"/>
    <w:uiPriority w:val="9"/>
    <w:semiHidden/>
    <w:unhideWhenUsed/>
    <w:qFormat/>
    <w:rsid w:val="00464B1F"/>
    <w:pPr>
      <w:keepNext/>
      <w:keepLines/>
      <w:numPr>
        <w:ilvl w:val="6"/>
        <w:numId w:val="6"/>
      </w:numPr>
      <w:spacing w:before="40" w:after="0"/>
      <w:outlineLvl w:val="6"/>
    </w:pPr>
    <w:rPr>
      <w:rFonts w:asciiTheme="majorHAnsi" w:eastAsiaTheme="majorEastAsia" w:hAnsiTheme="majorHAnsi" w:cstheme="majorBidi"/>
      <w:i/>
      <w:iCs/>
      <w:color w:val="1F4D78" w:themeColor="accent1" w:themeShade="7F"/>
    </w:rPr>
  </w:style>
  <w:style w:type="paragraph" w:styleId="Heading8">
    <w:name w:val="heading 8"/>
    <w:basedOn w:val="Normal"/>
    <w:next w:val="Normal"/>
    <w:link w:val="Heading8Char"/>
    <w:uiPriority w:val="9"/>
    <w:semiHidden/>
    <w:unhideWhenUsed/>
    <w:qFormat/>
    <w:rsid w:val="00464B1F"/>
    <w:pPr>
      <w:keepNext/>
      <w:keepLines/>
      <w:numPr>
        <w:ilvl w:val="7"/>
        <w:numId w:val="6"/>
      </w:numPr>
      <w:spacing w:before="40" w:after="0"/>
      <w:outlineLvl w:val="7"/>
    </w:pPr>
    <w:rPr>
      <w:rFonts w:asciiTheme="majorHAnsi" w:eastAsiaTheme="majorEastAsia" w:hAnsiTheme="majorHAnsi" w:cstheme="majorBidi"/>
      <w:color w:val="272727" w:themeColor="text1" w:themeTint="D8"/>
      <w:sz w:val="21"/>
      <w:szCs w:val="21"/>
    </w:rPr>
  </w:style>
  <w:style w:type="paragraph" w:styleId="Heading9">
    <w:name w:val="heading 9"/>
    <w:basedOn w:val="Normal"/>
    <w:next w:val="Normal"/>
    <w:link w:val="Heading9Char"/>
    <w:uiPriority w:val="9"/>
    <w:semiHidden/>
    <w:unhideWhenUsed/>
    <w:qFormat/>
    <w:rsid w:val="00464B1F"/>
    <w:pPr>
      <w:keepNext/>
      <w:keepLines/>
      <w:numPr>
        <w:ilvl w:val="8"/>
        <w:numId w:val="6"/>
      </w:numPr>
      <w:spacing w:before="40" w:after="0"/>
      <w:outlineLvl w:val="8"/>
    </w:pPr>
    <w:rPr>
      <w:rFonts w:asciiTheme="majorHAnsi" w:eastAsiaTheme="majorEastAsia" w:hAnsiTheme="majorHAnsi" w:cstheme="majorBidi"/>
      <w:i/>
      <w:iCs/>
      <w:color w:val="272727" w:themeColor="text1" w:themeTint="D8"/>
      <w:sz w:val="21"/>
      <w:szCs w:val="21"/>
    </w:rPr>
  </w:style>
  <w:style w:type="character" w:default="1" w:styleId="DefaultParagraphFont">
    <w:name w:val="Default Paragraph Font"/>
    <w:uiPriority w:val="1"/>
    <w:semiHidden/>
    <w:unhideWhenUsed/>
  </w:style>
  <w:style w:type="table" w:default="1" w:styleId="TableNormal">
    <w:name w:val="Normal Table"/>
    <w:uiPriority w:val="99"/>
    <w:semiHidden/>
    <w:unhideWhenUsed/>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character" w:styleId="Hyperlink">
    <w:name w:val="Hyperlink"/>
    <w:basedOn w:val="DefaultParagraphFont"/>
    <w:uiPriority w:val="99"/>
    <w:unhideWhenUsed/>
    <w:rsid w:val="0074040C"/>
    <w:rPr>
      <w:color w:val="0000FF"/>
      <w:u w:val="single"/>
    </w:rPr>
  </w:style>
  <w:style w:type="paragraph" w:styleId="HTMLPreformatted">
    <w:name w:val="HTML Preformatted"/>
    <w:basedOn w:val="Normal"/>
    <w:link w:val="HTMLPreformattedChar"/>
    <w:uiPriority w:val="99"/>
    <w:semiHidden/>
    <w:unhideWhenUsed/>
    <w:rsid w:val="009F157A"/>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line="240" w:lineRule="auto"/>
    </w:pPr>
    <w:rPr>
      <w:rFonts w:ascii="Courier New" w:eastAsia="Times New Roman" w:hAnsi="Courier New" w:cs="Courier New"/>
      <w:sz w:val="20"/>
      <w:szCs w:val="20"/>
      <w:lang w:eastAsia="en-GB"/>
    </w:rPr>
  </w:style>
  <w:style w:type="character" w:customStyle="1" w:styleId="HTMLPreformattedChar">
    <w:name w:val="HTML Preformatted Char"/>
    <w:basedOn w:val="DefaultParagraphFont"/>
    <w:link w:val="HTMLPreformatted"/>
    <w:uiPriority w:val="99"/>
    <w:semiHidden/>
    <w:rsid w:val="009F157A"/>
    <w:rPr>
      <w:rFonts w:ascii="Courier New" w:eastAsia="Times New Roman" w:hAnsi="Courier New" w:cs="Courier New"/>
      <w:sz w:val="20"/>
      <w:szCs w:val="20"/>
      <w:lang w:eastAsia="en-GB"/>
    </w:rPr>
  </w:style>
  <w:style w:type="character" w:customStyle="1" w:styleId="y2iqfc">
    <w:name w:val="y2iqfc"/>
    <w:basedOn w:val="DefaultParagraphFont"/>
    <w:rsid w:val="009F157A"/>
  </w:style>
  <w:style w:type="character" w:customStyle="1" w:styleId="Heading1Char">
    <w:name w:val="Heading 1 Char"/>
    <w:basedOn w:val="DefaultParagraphFont"/>
    <w:link w:val="Heading1"/>
    <w:uiPriority w:val="9"/>
    <w:rsid w:val="009547E2"/>
    <w:rPr>
      <w:rFonts w:ascii="Arial" w:eastAsiaTheme="majorEastAsia" w:hAnsi="Arial" w:cstheme="majorBidi"/>
      <w:b/>
      <w:bCs/>
      <w:sz w:val="32"/>
      <w:szCs w:val="28"/>
      <w:lang w:eastAsia="en-GB"/>
    </w:rPr>
  </w:style>
  <w:style w:type="paragraph" w:styleId="Header">
    <w:name w:val="header"/>
    <w:basedOn w:val="Normal"/>
    <w:link w:val="HeaderChar"/>
    <w:uiPriority w:val="99"/>
    <w:unhideWhenUsed/>
    <w:rsid w:val="009930F3"/>
    <w:pPr>
      <w:tabs>
        <w:tab w:val="center" w:pos="4513"/>
        <w:tab w:val="right" w:pos="9026"/>
      </w:tabs>
      <w:spacing w:after="0" w:line="240" w:lineRule="auto"/>
    </w:pPr>
  </w:style>
  <w:style w:type="character" w:customStyle="1" w:styleId="HeaderChar">
    <w:name w:val="Header Char"/>
    <w:basedOn w:val="DefaultParagraphFont"/>
    <w:link w:val="Header"/>
    <w:uiPriority w:val="99"/>
    <w:rsid w:val="009930F3"/>
  </w:style>
  <w:style w:type="paragraph" w:styleId="Footer">
    <w:name w:val="footer"/>
    <w:basedOn w:val="Normal"/>
    <w:link w:val="FooterChar"/>
    <w:uiPriority w:val="99"/>
    <w:unhideWhenUsed/>
    <w:rsid w:val="009930F3"/>
    <w:pPr>
      <w:tabs>
        <w:tab w:val="center" w:pos="4513"/>
        <w:tab w:val="right" w:pos="9026"/>
      </w:tabs>
      <w:spacing w:after="0" w:line="240" w:lineRule="auto"/>
    </w:pPr>
  </w:style>
  <w:style w:type="character" w:customStyle="1" w:styleId="FooterChar">
    <w:name w:val="Footer Char"/>
    <w:basedOn w:val="DefaultParagraphFont"/>
    <w:link w:val="Footer"/>
    <w:uiPriority w:val="99"/>
    <w:rsid w:val="009930F3"/>
  </w:style>
  <w:style w:type="character" w:styleId="LineNumber">
    <w:name w:val="line number"/>
    <w:basedOn w:val="DefaultParagraphFont"/>
    <w:uiPriority w:val="99"/>
    <w:semiHidden/>
    <w:unhideWhenUsed/>
    <w:rsid w:val="009930F3"/>
  </w:style>
  <w:style w:type="numbering" w:customStyle="1" w:styleId="NoList1">
    <w:name w:val="No List1"/>
    <w:next w:val="NoList"/>
    <w:uiPriority w:val="99"/>
    <w:semiHidden/>
    <w:unhideWhenUsed/>
    <w:rsid w:val="008204CC"/>
  </w:style>
  <w:style w:type="paragraph" w:styleId="ListParagraph">
    <w:name w:val="List Paragraph"/>
    <w:basedOn w:val="Normal"/>
    <w:link w:val="ListParagraphChar"/>
    <w:uiPriority w:val="34"/>
    <w:qFormat/>
    <w:rsid w:val="008204CC"/>
    <w:pPr>
      <w:spacing w:after="200" w:line="276" w:lineRule="auto"/>
      <w:ind w:left="720"/>
      <w:contextualSpacing/>
    </w:pPr>
    <w:rPr>
      <w:rFonts w:ascii="Calibri" w:eastAsia="Times New Roman" w:hAnsi="Calibri" w:cs="Times New Roman"/>
      <w:lang w:eastAsia="en-GB"/>
    </w:rPr>
  </w:style>
  <w:style w:type="character" w:customStyle="1" w:styleId="oneclick-link">
    <w:name w:val="oneclick-link"/>
    <w:basedOn w:val="DefaultParagraphFont"/>
    <w:rsid w:val="008204CC"/>
  </w:style>
  <w:style w:type="paragraph" w:styleId="FootnoteText">
    <w:name w:val="footnote text"/>
    <w:basedOn w:val="Normal"/>
    <w:link w:val="FootnoteTextChar"/>
    <w:uiPriority w:val="99"/>
    <w:unhideWhenUsed/>
    <w:rsid w:val="008204CC"/>
    <w:pPr>
      <w:spacing w:after="0" w:line="240" w:lineRule="auto"/>
    </w:pPr>
    <w:rPr>
      <w:sz w:val="20"/>
      <w:szCs w:val="20"/>
    </w:rPr>
  </w:style>
  <w:style w:type="character" w:customStyle="1" w:styleId="FootnoteTextChar">
    <w:name w:val="Footnote Text Char"/>
    <w:basedOn w:val="DefaultParagraphFont"/>
    <w:link w:val="FootnoteText"/>
    <w:uiPriority w:val="99"/>
    <w:rsid w:val="008204CC"/>
    <w:rPr>
      <w:sz w:val="20"/>
      <w:szCs w:val="20"/>
    </w:rPr>
  </w:style>
  <w:style w:type="character" w:styleId="FootnoteReference">
    <w:name w:val="footnote reference"/>
    <w:basedOn w:val="DefaultParagraphFont"/>
    <w:uiPriority w:val="99"/>
    <w:semiHidden/>
    <w:unhideWhenUsed/>
    <w:rsid w:val="008204CC"/>
    <w:rPr>
      <w:vertAlign w:val="superscript"/>
    </w:rPr>
  </w:style>
  <w:style w:type="paragraph" w:styleId="NormalWeb">
    <w:name w:val="Normal (Web)"/>
    <w:basedOn w:val="Normal"/>
    <w:uiPriority w:val="99"/>
    <w:unhideWhenUsed/>
    <w:rsid w:val="008204CC"/>
    <w:pPr>
      <w:spacing w:before="100" w:beforeAutospacing="1" w:after="100" w:afterAutospacing="1" w:line="240" w:lineRule="auto"/>
    </w:pPr>
    <w:rPr>
      <w:rFonts w:ascii="Times New Roman" w:eastAsia="Times New Roman" w:hAnsi="Times New Roman" w:cs="Times New Roman"/>
      <w:sz w:val="24"/>
      <w:szCs w:val="24"/>
      <w:lang w:eastAsia="en-GB"/>
    </w:rPr>
  </w:style>
  <w:style w:type="character" w:customStyle="1" w:styleId="ListParagraphChar">
    <w:name w:val="List Paragraph Char"/>
    <w:basedOn w:val="DefaultParagraphFont"/>
    <w:link w:val="ListParagraph"/>
    <w:uiPriority w:val="34"/>
    <w:rsid w:val="008204CC"/>
    <w:rPr>
      <w:rFonts w:ascii="Calibri" w:eastAsia="Times New Roman" w:hAnsi="Calibri" w:cs="Times New Roman"/>
      <w:lang w:eastAsia="en-GB"/>
    </w:rPr>
  </w:style>
  <w:style w:type="paragraph" w:styleId="BalloonText">
    <w:name w:val="Balloon Text"/>
    <w:basedOn w:val="Normal"/>
    <w:link w:val="BalloonTextChar"/>
    <w:uiPriority w:val="99"/>
    <w:unhideWhenUsed/>
    <w:rsid w:val="008204CC"/>
    <w:pPr>
      <w:spacing w:before="240" w:after="0" w:line="240" w:lineRule="auto"/>
      <w:jc w:val="both"/>
    </w:pPr>
    <w:rPr>
      <w:rFonts w:ascii="Tahoma" w:hAnsi="Tahoma" w:cs="Tahoma"/>
      <w:sz w:val="16"/>
      <w:szCs w:val="16"/>
    </w:rPr>
  </w:style>
  <w:style w:type="character" w:customStyle="1" w:styleId="BalloonTextChar">
    <w:name w:val="Balloon Text Char"/>
    <w:basedOn w:val="DefaultParagraphFont"/>
    <w:link w:val="BalloonText"/>
    <w:uiPriority w:val="99"/>
    <w:rsid w:val="008204CC"/>
    <w:rPr>
      <w:rFonts w:ascii="Tahoma" w:hAnsi="Tahoma" w:cs="Tahoma"/>
      <w:sz w:val="16"/>
      <w:szCs w:val="16"/>
    </w:rPr>
  </w:style>
  <w:style w:type="paragraph" w:styleId="NoSpacing">
    <w:name w:val="No Spacing"/>
    <w:uiPriority w:val="1"/>
    <w:qFormat/>
    <w:rsid w:val="008204CC"/>
    <w:pPr>
      <w:spacing w:after="0" w:line="240" w:lineRule="auto"/>
    </w:pPr>
  </w:style>
  <w:style w:type="table" w:styleId="TableGrid">
    <w:name w:val="Table Grid"/>
    <w:basedOn w:val="TableNormal"/>
    <w:uiPriority w:val="39"/>
    <w:rsid w:val="008204CC"/>
    <w:pPr>
      <w:spacing w:after="0" w:line="240" w:lineRule="auto"/>
    </w:p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character" w:styleId="PlaceholderText">
    <w:name w:val="Placeholder Text"/>
    <w:basedOn w:val="DefaultParagraphFont"/>
    <w:uiPriority w:val="99"/>
    <w:semiHidden/>
    <w:rsid w:val="008204CC"/>
    <w:rPr>
      <w:color w:val="808080"/>
    </w:rPr>
  </w:style>
  <w:style w:type="paragraph" w:customStyle="1" w:styleId="i">
    <w:name w:val="+∑i"/>
    <w:basedOn w:val="ListParagraph"/>
    <w:link w:val="iChar"/>
    <w:qFormat/>
    <w:rsid w:val="008204CC"/>
    <w:pPr>
      <w:autoSpaceDE w:val="0"/>
      <w:autoSpaceDN w:val="0"/>
      <w:adjustRightInd w:val="0"/>
      <w:spacing w:before="240" w:line="360" w:lineRule="auto"/>
      <w:ind w:left="0"/>
      <w:jc w:val="both"/>
    </w:pPr>
    <w:rPr>
      <w:rFonts w:ascii="Times New Roman" w:hAnsi="Times New Roman"/>
      <w:sz w:val="24"/>
      <w:szCs w:val="24"/>
    </w:rPr>
  </w:style>
  <w:style w:type="character" w:customStyle="1" w:styleId="iChar">
    <w:name w:val="+∑i Char"/>
    <w:basedOn w:val="DefaultParagraphFont"/>
    <w:link w:val="i"/>
    <w:rsid w:val="008204CC"/>
    <w:rPr>
      <w:rFonts w:ascii="Times New Roman" w:eastAsia="Times New Roman" w:hAnsi="Times New Roman" w:cs="Times New Roman"/>
      <w:sz w:val="24"/>
      <w:szCs w:val="24"/>
      <w:lang w:eastAsia="en-GB"/>
    </w:rPr>
  </w:style>
  <w:style w:type="table" w:customStyle="1" w:styleId="TableGrid1">
    <w:name w:val="Table Grid1"/>
    <w:basedOn w:val="TableNormal"/>
    <w:next w:val="TableGrid"/>
    <w:uiPriority w:val="39"/>
    <w:rsid w:val="008204CC"/>
    <w:pPr>
      <w:spacing w:after="0" w:line="240" w:lineRule="auto"/>
    </w:p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TableGrid2">
    <w:name w:val="Table Grid2"/>
    <w:basedOn w:val="TableNormal"/>
    <w:next w:val="TableGrid"/>
    <w:uiPriority w:val="39"/>
    <w:rsid w:val="008204CC"/>
    <w:pPr>
      <w:spacing w:after="0" w:line="240" w:lineRule="auto"/>
    </w:p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TableGrid3">
    <w:name w:val="Table Grid3"/>
    <w:basedOn w:val="TableNormal"/>
    <w:next w:val="TableGrid"/>
    <w:uiPriority w:val="39"/>
    <w:rsid w:val="008204CC"/>
    <w:pPr>
      <w:spacing w:after="0" w:line="240" w:lineRule="auto"/>
    </w:p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TableGrid4">
    <w:name w:val="Table Grid4"/>
    <w:basedOn w:val="TableNormal"/>
    <w:next w:val="TableGrid"/>
    <w:uiPriority w:val="39"/>
    <w:rsid w:val="008204CC"/>
    <w:pPr>
      <w:spacing w:after="0" w:line="240" w:lineRule="auto"/>
    </w:p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numbering" w:customStyle="1" w:styleId="NoList11">
    <w:name w:val="No List11"/>
    <w:next w:val="NoList"/>
    <w:uiPriority w:val="99"/>
    <w:semiHidden/>
    <w:unhideWhenUsed/>
    <w:rsid w:val="008204CC"/>
  </w:style>
  <w:style w:type="numbering" w:customStyle="1" w:styleId="NoList2">
    <w:name w:val="No List2"/>
    <w:next w:val="NoList"/>
    <w:uiPriority w:val="99"/>
    <w:semiHidden/>
    <w:unhideWhenUsed/>
    <w:rsid w:val="008204CC"/>
  </w:style>
  <w:style w:type="table" w:customStyle="1" w:styleId="TableGrid13">
    <w:name w:val="Table Grid13"/>
    <w:basedOn w:val="TableNormal"/>
    <w:next w:val="TableGrid"/>
    <w:uiPriority w:val="39"/>
    <w:rsid w:val="008204CC"/>
    <w:pPr>
      <w:spacing w:after="0" w:line="240" w:lineRule="auto"/>
    </w:p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TableGrid5">
    <w:name w:val="Table Grid5"/>
    <w:basedOn w:val="TableNormal"/>
    <w:next w:val="TableGrid"/>
    <w:uiPriority w:val="39"/>
    <w:rsid w:val="008204CC"/>
    <w:pPr>
      <w:spacing w:after="0" w:line="240" w:lineRule="auto"/>
    </w:p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TableGrid6">
    <w:name w:val="Table Grid6"/>
    <w:basedOn w:val="TableNormal"/>
    <w:next w:val="TableGrid"/>
    <w:uiPriority w:val="39"/>
    <w:rsid w:val="008204CC"/>
    <w:pPr>
      <w:spacing w:after="0" w:line="240" w:lineRule="auto"/>
    </w:p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numbering" w:customStyle="1" w:styleId="NoList3">
    <w:name w:val="No List3"/>
    <w:next w:val="NoList"/>
    <w:uiPriority w:val="99"/>
    <w:semiHidden/>
    <w:unhideWhenUsed/>
    <w:rsid w:val="008204CC"/>
  </w:style>
  <w:style w:type="table" w:customStyle="1" w:styleId="TableGrid7">
    <w:name w:val="Table Grid7"/>
    <w:basedOn w:val="TableNormal"/>
    <w:next w:val="TableGrid"/>
    <w:uiPriority w:val="39"/>
    <w:rsid w:val="008204CC"/>
    <w:pPr>
      <w:spacing w:after="0" w:line="240" w:lineRule="auto"/>
    </w:p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TableGrid41">
    <w:name w:val="Table Grid41"/>
    <w:basedOn w:val="TableNormal"/>
    <w:next w:val="TableGrid"/>
    <w:uiPriority w:val="39"/>
    <w:rsid w:val="008204CC"/>
    <w:pPr>
      <w:spacing w:after="0" w:line="240" w:lineRule="auto"/>
    </w:p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TableGrid42">
    <w:name w:val="Table Grid42"/>
    <w:basedOn w:val="TableNormal"/>
    <w:next w:val="TableGrid"/>
    <w:uiPriority w:val="39"/>
    <w:rsid w:val="008204CC"/>
    <w:pPr>
      <w:spacing w:after="0" w:line="240" w:lineRule="auto"/>
    </w:p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TableGrid11">
    <w:name w:val="Table Grid11"/>
    <w:basedOn w:val="TableNormal"/>
    <w:next w:val="TableGrid"/>
    <w:uiPriority w:val="39"/>
    <w:rsid w:val="008204CC"/>
    <w:pPr>
      <w:spacing w:after="0" w:line="240" w:lineRule="auto"/>
    </w:p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TableGrid21">
    <w:name w:val="Table Grid21"/>
    <w:basedOn w:val="TableNormal"/>
    <w:next w:val="TableGrid"/>
    <w:uiPriority w:val="39"/>
    <w:rsid w:val="008204CC"/>
    <w:pPr>
      <w:spacing w:after="0" w:line="240" w:lineRule="auto"/>
    </w:p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numbering" w:customStyle="1" w:styleId="NoList4">
    <w:name w:val="No List4"/>
    <w:next w:val="NoList"/>
    <w:uiPriority w:val="99"/>
    <w:semiHidden/>
    <w:unhideWhenUsed/>
    <w:rsid w:val="008204CC"/>
  </w:style>
  <w:style w:type="table" w:customStyle="1" w:styleId="TableGrid8">
    <w:name w:val="Table Grid8"/>
    <w:basedOn w:val="TableNormal"/>
    <w:next w:val="TableGrid"/>
    <w:uiPriority w:val="39"/>
    <w:rsid w:val="008204CC"/>
    <w:pPr>
      <w:spacing w:after="0" w:line="240" w:lineRule="auto"/>
    </w:p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TableGrid43">
    <w:name w:val="Table Grid43"/>
    <w:basedOn w:val="TableNormal"/>
    <w:next w:val="TableGrid"/>
    <w:uiPriority w:val="39"/>
    <w:rsid w:val="008204CC"/>
    <w:pPr>
      <w:spacing w:after="0" w:line="240" w:lineRule="auto"/>
    </w:p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TableGrid411">
    <w:name w:val="Table Grid411"/>
    <w:basedOn w:val="TableNormal"/>
    <w:next w:val="TableGrid"/>
    <w:uiPriority w:val="39"/>
    <w:rsid w:val="008204CC"/>
    <w:pPr>
      <w:spacing w:after="0" w:line="240" w:lineRule="auto"/>
    </w:p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TableGrid421">
    <w:name w:val="Table Grid421"/>
    <w:basedOn w:val="TableNormal"/>
    <w:next w:val="TableGrid"/>
    <w:uiPriority w:val="39"/>
    <w:rsid w:val="008204CC"/>
    <w:pPr>
      <w:spacing w:after="0" w:line="240" w:lineRule="auto"/>
    </w:p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TableGrid12">
    <w:name w:val="Table Grid12"/>
    <w:basedOn w:val="TableNormal"/>
    <w:next w:val="TableGrid"/>
    <w:uiPriority w:val="39"/>
    <w:rsid w:val="008204CC"/>
    <w:pPr>
      <w:spacing w:after="0" w:line="240" w:lineRule="auto"/>
    </w:p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TableGrid22">
    <w:name w:val="Table Grid22"/>
    <w:basedOn w:val="TableNormal"/>
    <w:next w:val="TableGrid"/>
    <w:uiPriority w:val="39"/>
    <w:rsid w:val="008204CC"/>
    <w:pPr>
      <w:spacing w:after="0" w:line="240" w:lineRule="auto"/>
    </w:p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character" w:customStyle="1" w:styleId="Heading2Char">
    <w:name w:val="Heading 2 Char"/>
    <w:basedOn w:val="DefaultParagraphFont"/>
    <w:link w:val="Heading2"/>
    <w:uiPriority w:val="9"/>
    <w:rsid w:val="000B4288"/>
    <w:rPr>
      <w:rFonts w:ascii="Arial" w:hAnsi="Arial" w:cs="Arial"/>
      <w:b/>
      <w:bCs/>
      <w:caps/>
      <w:lang w:val="en-US" w:eastAsia="en-GB"/>
    </w:rPr>
  </w:style>
  <w:style w:type="character" w:customStyle="1" w:styleId="Heading3Char">
    <w:name w:val="Heading 3 Char"/>
    <w:basedOn w:val="DefaultParagraphFont"/>
    <w:link w:val="Heading3"/>
    <w:uiPriority w:val="9"/>
    <w:rsid w:val="009547E2"/>
    <w:rPr>
      <w:rFonts w:ascii="Arial" w:eastAsiaTheme="majorEastAsia" w:hAnsi="Arial" w:cstheme="majorBidi"/>
      <w:b/>
      <w:szCs w:val="24"/>
    </w:rPr>
  </w:style>
  <w:style w:type="character" w:customStyle="1" w:styleId="Heading4Char">
    <w:name w:val="Heading 4 Char"/>
    <w:basedOn w:val="DefaultParagraphFont"/>
    <w:link w:val="Heading4"/>
    <w:uiPriority w:val="9"/>
    <w:semiHidden/>
    <w:rsid w:val="00464B1F"/>
    <w:rPr>
      <w:rFonts w:asciiTheme="majorHAnsi" w:eastAsiaTheme="majorEastAsia" w:hAnsiTheme="majorHAnsi" w:cstheme="majorBidi"/>
      <w:i/>
      <w:iCs/>
      <w:color w:val="2E74B5" w:themeColor="accent1" w:themeShade="BF"/>
    </w:rPr>
  </w:style>
  <w:style w:type="character" w:customStyle="1" w:styleId="Heading5Char">
    <w:name w:val="Heading 5 Char"/>
    <w:basedOn w:val="DefaultParagraphFont"/>
    <w:link w:val="Heading5"/>
    <w:uiPriority w:val="9"/>
    <w:semiHidden/>
    <w:rsid w:val="00464B1F"/>
    <w:rPr>
      <w:rFonts w:asciiTheme="majorHAnsi" w:eastAsiaTheme="majorEastAsia" w:hAnsiTheme="majorHAnsi" w:cstheme="majorBidi"/>
      <w:color w:val="2E74B5" w:themeColor="accent1" w:themeShade="BF"/>
    </w:rPr>
  </w:style>
  <w:style w:type="character" w:customStyle="1" w:styleId="Heading6Char">
    <w:name w:val="Heading 6 Char"/>
    <w:basedOn w:val="DefaultParagraphFont"/>
    <w:link w:val="Heading6"/>
    <w:uiPriority w:val="9"/>
    <w:semiHidden/>
    <w:rsid w:val="00464B1F"/>
    <w:rPr>
      <w:rFonts w:asciiTheme="majorHAnsi" w:eastAsiaTheme="majorEastAsia" w:hAnsiTheme="majorHAnsi" w:cstheme="majorBidi"/>
      <w:color w:val="1F4D78" w:themeColor="accent1" w:themeShade="7F"/>
    </w:rPr>
  </w:style>
  <w:style w:type="character" w:customStyle="1" w:styleId="Heading7Char">
    <w:name w:val="Heading 7 Char"/>
    <w:basedOn w:val="DefaultParagraphFont"/>
    <w:link w:val="Heading7"/>
    <w:uiPriority w:val="9"/>
    <w:semiHidden/>
    <w:rsid w:val="00464B1F"/>
    <w:rPr>
      <w:rFonts w:asciiTheme="majorHAnsi" w:eastAsiaTheme="majorEastAsia" w:hAnsiTheme="majorHAnsi" w:cstheme="majorBidi"/>
      <w:i/>
      <w:iCs/>
      <w:color w:val="1F4D78" w:themeColor="accent1" w:themeShade="7F"/>
    </w:rPr>
  </w:style>
  <w:style w:type="character" w:customStyle="1" w:styleId="Heading8Char">
    <w:name w:val="Heading 8 Char"/>
    <w:basedOn w:val="DefaultParagraphFont"/>
    <w:link w:val="Heading8"/>
    <w:uiPriority w:val="9"/>
    <w:semiHidden/>
    <w:rsid w:val="00464B1F"/>
    <w:rPr>
      <w:rFonts w:asciiTheme="majorHAnsi" w:eastAsiaTheme="majorEastAsia" w:hAnsiTheme="majorHAnsi" w:cstheme="majorBidi"/>
      <w:color w:val="272727" w:themeColor="text1" w:themeTint="D8"/>
      <w:sz w:val="21"/>
      <w:szCs w:val="21"/>
    </w:rPr>
  </w:style>
  <w:style w:type="character" w:customStyle="1" w:styleId="Heading9Char">
    <w:name w:val="Heading 9 Char"/>
    <w:basedOn w:val="DefaultParagraphFont"/>
    <w:link w:val="Heading9"/>
    <w:uiPriority w:val="9"/>
    <w:semiHidden/>
    <w:rsid w:val="00464B1F"/>
    <w:rPr>
      <w:rFonts w:asciiTheme="majorHAnsi" w:eastAsiaTheme="majorEastAsia" w:hAnsiTheme="majorHAnsi" w:cstheme="majorBidi"/>
      <w:i/>
      <w:iCs/>
      <w:color w:val="272727" w:themeColor="text1" w:themeTint="D8"/>
      <w:sz w:val="21"/>
      <w:szCs w:val="21"/>
    </w:rPr>
  </w:style>
  <w:style w:type="paragraph" w:styleId="TOCHeading">
    <w:name w:val="TOC Heading"/>
    <w:basedOn w:val="Heading1"/>
    <w:next w:val="Normal"/>
    <w:uiPriority w:val="39"/>
    <w:unhideWhenUsed/>
    <w:qFormat/>
    <w:rsid w:val="003E7341"/>
    <w:pPr>
      <w:numPr>
        <w:numId w:val="0"/>
      </w:numPr>
      <w:spacing w:before="240" w:after="0" w:line="259" w:lineRule="auto"/>
      <w:jc w:val="left"/>
      <w:outlineLvl w:val="9"/>
    </w:pPr>
    <w:rPr>
      <w:rFonts w:asciiTheme="majorHAnsi" w:hAnsiTheme="majorHAnsi"/>
      <w:b w:val="0"/>
      <w:bCs w:val="0"/>
      <w:color w:val="2E74B5" w:themeColor="accent1" w:themeShade="BF"/>
      <w:szCs w:val="32"/>
      <w:lang w:val="en-US" w:eastAsia="en-US"/>
    </w:rPr>
  </w:style>
  <w:style w:type="paragraph" w:styleId="TOC1">
    <w:name w:val="toc 1"/>
    <w:basedOn w:val="Normal"/>
    <w:next w:val="Normal"/>
    <w:autoRedefine/>
    <w:uiPriority w:val="39"/>
    <w:unhideWhenUsed/>
    <w:rsid w:val="003E7341"/>
    <w:pPr>
      <w:spacing w:after="100"/>
    </w:pPr>
  </w:style>
  <w:style w:type="paragraph" w:styleId="TOC2">
    <w:name w:val="toc 2"/>
    <w:basedOn w:val="Normal"/>
    <w:next w:val="Normal"/>
    <w:autoRedefine/>
    <w:uiPriority w:val="39"/>
    <w:unhideWhenUsed/>
    <w:rsid w:val="002D3DE3"/>
    <w:pPr>
      <w:tabs>
        <w:tab w:val="left" w:pos="880"/>
        <w:tab w:val="right" w:leader="dot" w:pos="9016"/>
      </w:tabs>
      <w:spacing w:after="100"/>
      <w:ind w:left="220"/>
    </w:pPr>
  </w:style>
  <w:style w:type="paragraph" w:styleId="TOC3">
    <w:name w:val="toc 3"/>
    <w:basedOn w:val="Normal"/>
    <w:next w:val="Normal"/>
    <w:autoRedefine/>
    <w:uiPriority w:val="39"/>
    <w:unhideWhenUsed/>
    <w:rsid w:val="003E7341"/>
    <w:pPr>
      <w:spacing w:after="100"/>
      <w:ind w:left="440"/>
    </w:pPr>
  </w:style>
  <w:style w:type="paragraph" w:styleId="TOC4">
    <w:name w:val="toc 4"/>
    <w:basedOn w:val="Normal"/>
    <w:next w:val="Normal"/>
    <w:autoRedefine/>
    <w:uiPriority w:val="39"/>
    <w:unhideWhenUsed/>
    <w:rsid w:val="003E7341"/>
    <w:pPr>
      <w:spacing w:after="100"/>
      <w:ind w:left="660"/>
    </w:pPr>
    <w:rPr>
      <w:rFonts w:eastAsiaTheme="minorEastAsia"/>
      <w:lang w:eastAsia="en-GB"/>
    </w:rPr>
  </w:style>
  <w:style w:type="paragraph" w:styleId="TOC5">
    <w:name w:val="toc 5"/>
    <w:basedOn w:val="Normal"/>
    <w:next w:val="Normal"/>
    <w:autoRedefine/>
    <w:uiPriority w:val="39"/>
    <w:unhideWhenUsed/>
    <w:rsid w:val="003E7341"/>
    <w:pPr>
      <w:spacing w:after="100"/>
      <w:ind w:left="880"/>
    </w:pPr>
    <w:rPr>
      <w:rFonts w:eastAsiaTheme="minorEastAsia"/>
      <w:lang w:eastAsia="en-GB"/>
    </w:rPr>
  </w:style>
  <w:style w:type="paragraph" w:styleId="TOC6">
    <w:name w:val="toc 6"/>
    <w:basedOn w:val="Normal"/>
    <w:next w:val="Normal"/>
    <w:autoRedefine/>
    <w:uiPriority w:val="39"/>
    <w:unhideWhenUsed/>
    <w:rsid w:val="003E7341"/>
    <w:pPr>
      <w:spacing w:after="100"/>
      <w:ind w:left="1100"/>
    </w:pPr>
    <w:rPr>
      <w:rFonts w:eastAsiaTheme="minorEastAsia"/>
      <w:lang w:eastAsia="en-GB"/>
    </w:rPr>
  </w:style>
  <w:style w:type="paragraph" w:styleId="TOC7">
    <w:name w:val="toc 7"/>
    <w:basedOn w:val="Normal"/>
    <w:next w:val="Normal"/>
    <w:autoRedefine/>
    <w:uiPriority w:val="39"/>
    <w:unhideWhenUsed/>
    <w:rsid w:val="003E7341"/>
    <w:pPr>
      <w:spacing w:after="100"/>
      <w:ind w:left="1320"/>
    </w:pPr>
    <w:rPr>
      <w:rFonts w:eastAsiaTheme="minorEastAsia"/>
      <w:lang w:eastAsia="en-GB"/>
    </w:rPr>
  </w:style>
  <w:style w:type="paragraph" w:styleId="TOC8">
    <w:name w:val="toc 8"/>
    <w:basedOn w:val="Normal"/>
    <w:next w:val="Normal"/>
    <w:autoRedefine/>
    <w:uiPriority w:val="39"/>
    <w:unhideWhenUsed/>
    <w:rsid w:val="003E7341"/>
    <w:pPr>
      <w:spacing w:after="100"/>
      <w:ind w:left="1540"/>
    </w:pPr>
    <w:rPr>
      <w:rFonts w:eastAsiaTheme="minorEastAsia"/>
      <w:lang w:eastAsia="en-GB"/>
    </w:rPr>
  </w:style>
  <w:style w:type="paragraph" w:styleId="TOC9">
    <w:name w:val="toc 9"/>
    <w:basedOn w:val="Normal"/>
    <w:next w:val="Normal"/>
    <w:autoRedefine/>
    <w:uiPriority w:val="39"/>
    <w:unhideWhenUsed/>
    <w:rsid w:val="003E7341"/>
    <w:pPr>
      <w:spacing w:after="100"/>
      <w:ind w:left="1760"/>
    </w:pPr>
    <w:rPr>
      <w:rFonts w:eastAsiaTheme="minorEastAsia"/>
      <w:lang w:eastAsia="en-GB"/>
    </w:rPr>
  </w:style>
  <w:style w:type="numbering" w:customStyle="1" w:styleId="NoList5">
    <w:name w:val="No List5"/>
    <w:next w:val="NoList"/>
    <w:uiPriority w:val="99"/>
    <w:semiHidden/>
    <w:unhideWhenUsed/>
    <w:rsid w:val="00790A7A"/>
  </w:style>
  <w:style w:type="table" w:customStyle="1" w:styleId="TableGrid9">
    <w:name w:val="Table Grid9"/>
    <w:basedOn w:val="TableNormal"/>
    <w:next w:val="TableGrid"/>
    <w:uiPriority w:val="39"/>
    <w:rsid w:val="00790A7A"/>
    <w:pPr>
      <w:spacing w:after="0" w:line="240" w:lineRule="auto"/>
    </w:p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numbering" w:customStyle="1" w:styleId="NoList6">
    <w:name w:val="No List6"/>
    <w:next w:val="NoList"/>
    <w:uiPriority w:val="99"/>
    <w:semiHidden/>
    <w:unhideWhenUsed/>
    <w:rsid w:val="002B134F"/>
  </w:style>
  <w:style w:type="character" w:customStyle="1" w:styleId="apple-converted-space">
    <w:name w:val="apple-converted-space"/>
    <w:basedOn w:val="DefaultParagraphFont"/>
    <w:rsid w:val="002B134F"/>
  </w:style>
  <w:style w:type="character" w:customStyle="1" w:styleId="smaller">
    <w:name w:val="smaller"/>
    <w:basedOn w:val="DefaultParagraphFont"/>
    <w:rsid w:val="002B134F"/>
  </w:style>
  <w:style w:type="character" w:styleId="FollowedHyperlink">
    <w:name w:val="FollowedHyperlink"/>
    <w:basedOn w:val="DefaultParagraphFont"/>
    <w:uiPriority w:val="99"/>
    <w:semiHidden/>
    <w:unhideWhenUsed/>
    <w:rsid w:val="002B134F"/>
    <w:rPr>
      <w:color w:val="954F72" w:themeColor="followedHyperlink"/>
      <w:u w:val="single"/>
    </w:rPr>
  </w:style>
  <w:style w:type="character" w:customStyle="1" w:styleId="a">
    <w:name w:val="a"/>
    <w:basedOn w:val="DefaultParagraphFont"/>
    <w:rsid w:val="002B134F"/>
  </w:style>
  <w:style w:type="numbering" w:customStyle="1" w:styleId="NoList7">
    <w:name w:val="No List7"/>
    <w:next w:val="NoList"/>
    <w:uiPriority w:val="99"/>
    <w:semiHidden/>
    <w:unhideWhenUsed/>
    <w:rsid w:val="00241839"/>
  </w:style>
  <w:style w:type="character" w:styleId="Strong">
    <w:name w:val="Strong"/>
    <w:basedOn w:val="DefaultParagraphFont"/>
    <w:uiPriority w:val="22"/>
    <w:qFormat/>
    <w:rsid w:val="0047611A"/>
    <w:rPr>
      <w:b/>
      <w:bCs/>
    </w:rPr>
  </w:style>
  <w:style w:type="character" w:customStyle="1" w:styleId="UnresolvedMention1">
    <w:name w:val="Unresolved Mention1"/>
    <w:basedOn w:val="DefaultParagraphFont"/>
    <w:uiPriority w:val="99"/>
    <w:semiHidden/>
    <w:unhideWhenUsed/>
    <w:rsid w:val="00EB56DA"/>
    <w:rPr>
      <w:color w:val="605E5C"/>
      <w:shd w:val="clear" w:color="auto" w:fill="E1DFDD"/>
    </w:rPr>
  </w:style>
  <w:style w:type="paragraph" w:customStyle="1" w:styleId="nova-legacy-e-listitem">
    <w:name w:val="nova-legacy-e-list__item"/>
    <w:basedOn w:val="Normal"/>
    <w:rsid w:val="00553118"/>
    <w:pPr>
      <w:spacing w:before="100" w:beforeAutospacing="1" w:after="100" w:afterAutospacing="1" w:line="240" w:lineRule="auto"/>
    </w:pPr>
    <w:rPr>
      <w:rFonts w:ascii="Times New Roman" w:eastAsia="Times New Roman" w:hAnsi="Times New Roman" w:cs="Times New Roman"/>
      <w:sz w:val="24"/>
      <w:szCs w:val="24"/>
      <w:lang w:eastAsia="en-GB"/>
    </w:rPr>
  </w:style>
  <w:style w:type="character" w:styleId="Emphasis">
    <w:name w:val="Emphasis"/>
    <w:basedOn w:val="DefaultParagraphFont"/>
    <w:uiPriority w:val="20"/>
    <w:qFormat/>
    <w:rsid w:val="00F609FF"/>
    <w:rPr>
      <w:i/>
      <w:iCs/>
    </w:rPr>
  </w:style>
  <w:style w:type="character" w:customStyle="1" w:styleId="metric-int">
    <w:name w:val="metric-int"/>
    <w:basedOn w:val="DefaultParagraphFont"/>
    <w:rsid w:val="00AB2145"/>
  </w:style>
  <w:style w:type="character" w:customStyle="1" w:styleId="mop">
    <w:name w:val="mop"/>
    <w:basedOn w:val="DefaultParagraphFont"/>
    <w:rsid w:val="0088480B"/>
  </w:style>
  <w:style w:type="character" w:customStyle="1" w:styleId="mord">
    <w:name w:val="mord"/>
    <w:basedOn w:val="DefaultParagraphFont"/>
    <w:rsid w:val="0088480B"/>
  </w:style>
  <w:style w:type="character" w:customStyle="1" w:styleId="vlist-s">
    <w:name w:val="vlist-s"/>
    <w:basedOn w:val="DefaultParagraphFont"/>
    <w:rsid w:val="0088480B"/>
  </w:style>
  <w:style w:type="character" w:customStyle="1" w:styleId="mpunct">
    <w:name w:val="mpunct"/>
    <w:basedOn w:val="DefaultParagraphFont"/>
    <w:rsid w:val="0088480B"/>
  </w:style>
  <w:style w:type="character" w:customStyle="1" w:styleId="minner">
    <w:name w:val="minner"/>
    <w:basedOn w:val="DefaultParagraphFont"/>
    <w:rsid w:val="0088480B"/>
  </w:style>
  <w:style w:type="character" w:customStyle="1" w:styleId="mrel">
    <w:name w:val="mrel"/>
    <w:basedOn w:val="DefaultParagraphFont"/>
    <w:rsid w:val="0088480B"/>
  </w:style>
  <w:style w:type="character" w:customStyle="1" w:styleId="mopen">
    <w:name w:val="mopen"/>
    <w:basedOn w:val="DefaultParagraphFont"/>
    <w:rsid w:val="0088480B"/>
  </w:style>
  <w:style w:type="character" w:customStyle="1" w:styleId="mbin">
    <w:name w:val="mbin"/>
    <w:basedOn w:val="DefaultParagraphFont"/>
    <w:rsid w:val="0088480B"/>
  </w:style>
  <w:style w:type="character" w:customStyle="1" w:styleId="mclose">
    <w:name w:val="mclose"/>
    <w:basedOn w:val="DefaultParagraphFont"/>
    <w:rsid w:val="0088480B"/>
  </w:style>
  <w:style w:type="paragraph" w:customStyle="1" w:styleId="StepHead">
    <w:name w:val="StepHead"/>
    <w:basedOn w:val="Normal"/>
    <w:rsid w:val="00E377EB"/>
    <w:pPr>
      <w:spacing w:after="60" w:line="240" w:lineRule="auto"/>
    </w:pPr>
    <w:rPr>
      <w:rFonts w:ascii="Times New Roman" w:eastAsia="Times New Roman" w:hAnsi="Times New Roman" w:cs="Times New Roman"/>
      <w:b/>
      <w:i/>
      <w:sz w:val="24"/>
      <w:szCs w:val="20"/>
    </w:rPr>
  </w:style>
  <w:style w:type="character" w:styleId="CommentReference">
    <w:name w:val="annotation reference"/>
    <w:basedOn w:val="DefaultParagraphFont"/>
    <w:uiPriority w:val="99"/>
    <w:semiHidden/>
    <w:unhideWhenUsed/>
    <w:rsid w:val="003B5C0F"/>
    <w:rPr>
      <w:sz w:val="16"/>
      <w:szCs w:val="16"/>
    </w:rPr>
  </w:style>
  <w:style w:type="paragraph" w:styleId="CommentText">
    <w:name w:val="annotation text"/>
    <w:basedOn w:val="Normal"/>
    <w:link w:val="CommentTextChar"/>
    <w:uiPriority w:val="99"/>
    <w:semiHidden/>
    <w:unhideWhenUsed/>
    <w:rsid w:val="003B5C0F"/>
    <w:pPr>
      <w:spacing w:line="240" w:lineRule="auto"/>
    </w:pPr>
    <w:rPr>
      <w:sz w:val="20"/>
      <w:szCs w:val="20"/>
    </w:rPr>
  </w:style>
  <w:style w:type="character" w:customStyle="1" w:styleId="CommentTextChar">
    <w:name w:val="Comment Text Char"/>
    <w:basedOn w:val="DefaultParagraphFont"/>
    <w:link w:val="CommentText"/>
    <w:uiPriority w:val="99"/>
    <w:semiHidden/>
    <w:rsid w:val="003B5C0F"/>
    <w:rPr>
      <w:sz w:val="20"/>
      <w:szCs w:val="20"/>
    </w:rPr>
  </w:style>
  <w:style w:type="paragraph" w:styleId="CommentSubject">
    <w:name w:val="annotation subject"/>
    <w:basedOn w:val="CommentText"/>
    <w:next w:val="CommentText"/>
    <w:link w:val="CommentSubjectChar"/>
    <w:uiPriority w:val="99"/>
    <w:semiHidden/>
    <w:unhideWhenUsed/>
    <w:rsid w:val="003B5C0F"/>
    <w:rPr>
      <w:b/>
      <w:bCs/>
    </w:rPr>
  </w:style>
  <w:style w:type="character" w:customStyle="1" w:styleId="CommentSubjectChar">
    <w:name w:val="Comment Subject Char"/>
    <w:basedOn w:val="CommentTextChar"/>
    <w:link w:val="CommentSubject"/>
    <w:uiPriority w:val="99"/>
    <w:semiHidden/>
    <w:rsid w:val="003B5C0F"/>
    <w:rPr>
      <w:b/>
      <w:bCs/>
      <w:sz w:val="20"/>
      <w:szCs w:val="20"/>
    </w:rPr>
  </w:style>
  <w:style w:type="character" w:styleId="UnresolvedMention">
    <w:name w:val="Unresolved Mention"/>
    <w:basedOn w:val="DefaultParagraphFont"/>
    <w:uiPriority w:val="99"/>
    <w:rsid w:val="00F33718"/>
    <w:rPr>
      <w:color w:val="605E5C"/>
      <w:shd w:val="clear" w:color="auto" w:fill="E1DFDD"/>
    </w:rPr>
  </w:style>
  <w:style w:type="character" w:customStyle="1" w:styleId="normaltextrun">
    <w:name w:val="normaltextrun"/>
    <w:basedOn w:val="DefaultParagraphFont"/>
    <w:rsid w:val="00901945"/>
  </w:style>
  <w:style w:type="character" w:customStyle="1" w:styleId="eop">
    <w:name w:val="eop"/>
    <w:basedOn w:val="DefaultParagraphFont"/>
    <w:rsid w:val="00901945"/>
  </w:style>
  <w:style w:type="paragraph" w:styleId="Revision">
    <w:name w:val="Revision"/>
    <w:hidden/>
    <w:uiPriority w:val="99"/>
    <w:semiHidden/>
    <w:rsid w:val="00C96E96"/>
    <w:pPr>
      <w:spacing w:after="0" w:line="240" w:lineRule="auto"/>
    </w:pPr>
  </w:style>
  <w:style w:type="character" w:customStyle="1" w:styleId="superscript">
    <w:name w:val="superscript"/>
    <w:basedOn w:val="DefaultParagraphFont"/>
    <w:rsid w:val="00032036"/>
  </w:style>
  <w:style w:type="character" w:customStyle="1" w:styleId="citationsource-journal">
    <w:name w:val="citation_source-journal"/>
    <w:basedOn w:val="DefaultParagraphFont"/>
    <w:rsid w:val="00BB6841"/>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mc:Ignorable="w14 w15 w16se w16cid w16 w16cex w16sdtdh w16du">
  <w:divs>
    <w:div w:id="5402410">
      <w:bodyDiv w:val="1"/>
      <w:marLeft w:val="0"/>
      <w:marRight w:val="0"/>
      <w:marTop w:val="0"/>
      <w:marBottom w:val="0"/>
      <w:divBdr>
        <w:top w:val="none" w:sz="0" w:space="0" w:color="auto"/>
        <w:left w:val="none" w:sz="0" w:space="0" w:color="auto"/>
        <w:bottom w:val="none" w:sz="0" w:space="0" w:color="auto"/>
        <w:right w:val="none" w:sz="0" w:space="0" w:color="auto"/>
      </w:divBdr>
    </w:div>
    <w:div w:id="9377451">
      <w:bodyDiv w:val="1"/>
      <w:marLeft w:val="0"/>
      <w:marRight w:val="0"/>
      <w:marTop w:val="0"/>
      <w:marBottom w:val="0"/>
      <w:divBdr>
        <w:top w:val="none" w:sz="0" w:space="0" w:color="auto"/>
        <w:left w:val="none" w:sz="0" w:space="0" w:color="auto"/>
        <w:bottom w:val="none" w:sz="0" w:space="0" w:color="auto"/>
        <w:right w:val="none" w:sz="0" w:space="0" w:color="auto"/>
      </w:divBdr>
    </w:div>
    <w:div w:id="53549230">
      <w:bodyDiv w:val="1"/>
      <w:marLeft w:val="0"/>
      <w:marRight w:val="0"/>
      <w:marTop w:val="0"/>
      <w:marBottom w:val="0"/>
      <w:divBdr>
        <w:top w:val="none" w:sz="0" w:space="0" w:color="auto"/>
        <w:left w:val="none" w:sz="0" w:space="0" w:color="auto"/>
        <w:bottom w:val="none" w:sz="0" w:space="0" w:color="auto"/>
        <w:right w:val="none" w:sz="0" w:space="0" w:color="auto"/>
      </w:divBdr>
    </w:div>
    <w:div w:id="82411368">
      <w:bodyDiv w:val="1"/>
      <w:marLeft w:val="0"/>
      <w:marRight w:val="0"/>
      <w:marTop w:val="0"/>
      <w:marBottom w:val="0"/>
      <w:divBdr>
        <w:top w:val="none" w:sz="0" w:space="0" w:color="auto"/>
        <w:left w:val="none" w:sz="0" w:space="0" w:color="auto"/>
        <w:bottom w:val="none" w:sz="0" w:space="0" w:color="auto"/>
        <w:right w:val="none" w:sz="0" w:space="0" w:color="auto"/>
      </w:divBdr>
    </w:div>
    <w:div w:id="115684616">
      <w:bodyDiv w:val="1"/>
      <w:marLeft w:val="0"/>
      <w:marRight w:val="0"/>
      <w:marTop w:val="0"/>
      <w:marBottom w:val="0"/>
      <w:divBdr>
        <w:top w:val="none" w:sz="0" w:space="0" w:color="auto"/>
        <w:left w:val="none" w:sz="0" w:space="0" w:color="auto"/>
        <w:bottom w:val="none" w:sz="0" w:space="0" w:color="auto"/>
        <w:right w:val="none" w:sz="0" w:space="0" w:color="auto"/>
      </w:divBdr>
      <w:divsChild>
        <w:div w:id="391780170">
          <w:marLeft w:val="0"/>
          <w:marRight w:val="0"/>
          <w:marTop w:val="0"/>
          <w:marBottom w:val="0"/>
          <w:divBdr>
            <w:top w:val="none" w:sz="0" w:space="0" w:color="auto"/>
            <w:left w:val="none" w:sz="0" w:space="0" w:color="auto"/>
            <w:bottom w:val="none" w:sz="0" w:space="0" w:color="auto"/>
            <w:right w:val="none" w:sz="0" w:space="0" w:color="auto"/>
          </w:divBdr>
        </w:div>
      </w:divsChild>
    </w:div>
    <w:div w:id="137114642">
      <w:bodyDiv w:val="1"/>
      <w:marLeft w:val="0"/>
      <w:marRight w:val="0"/>
      <w:marTop w:val="0"/>
      <w:marBottom w:val="0"/>
      <w:divBdr>
        <w:top w:val="none" w:sz="0" w:space="0" w:color="auto"/>
        <w:left w:val="none" w:sz="0" w:space="0" w:color="auto"/>
        <w:bottom w:val="none" w:sz="0" w:space="0" w:color="auto"/>
        <w:right w:val="none" w:sz="0" w:space="0" w:color="auto"/>
      </w:divBdr>
    </w:div>
    <w:div w:id="211578289">
      <w:bodyDiv w:val="1"/>
      <w:marLeft w:val="0"/>
      <w:marRight w:val="0"/>
      <w:marTop w:val="0"/>
      <w:marBottom w:val="0"/>
      <w:divBdr>
        <w:top w:val="none" w:sz="0" w:space="0" w:color="auto"/>
        <w:left w:val="none" w:sz="0" w:space="0" w:color="auto"/>
        <w:bottom w:val="none" w:sz="0" w:space="0" w:color="auto"/>
        <w:right w:val="none" w:sz="0" w:space="0" w:color="auto"/>
      </w:divBdr>
    </w:div>
    <w:div w:id="258028329">
      <w:bodyDiv w:val="1"/>
      <w:marLeft w:val="0"/>
      <w:marRight w:val="0"/>
      <w:marTop w:val="0"/>
      <w:marBottom w:val="0"/>
      <w:divBdr>
        <w:top w:val="none" w:sz="0" w:space="0" w:color="auto"/>
        <w:left w:val="none" w:sz="0" w:space="0" w:color="auto"/>
        <w:bottom w:val="none" w:sz="0" w:space="0" w:color="auto"/>
        <w:right w:val="none" w:sz="0" w:space="0" w:color="auto"/>
      </w:divBdr>
    </w:div>
    <w:div w:id="281545252">
      <w:bodyDiv w:val="1"/>
      <w:marLeft w:val="0"/>
      <w:marRight w:val="0"/>
      <w:marTop w:val="0"/>
      <w:marBottom w:val="0"/>
      <w:divBdr>
        <w:top w:val="none" w:sz="0" w:space="0" w:color="auto"/>
        <w:left w:val="none" w:sz="0" w:space="0" w:color="auto"/>
        <w:bottom w:val="none" w:sz="0" w:space="0" w:color="auto"/>
        <w:right w:val="none" w:sz="0" w:space="0" w:color="auto"/>
      </w:divBdr>
    </w:div>
    <w:div w:id="444737934">
      <w:bodyDiv w:val="1"/>
      <w:marLeft w:val="0"/>
      <w:marRight w:val="0"/>
      <w:marTop w:val="0"/>
      <w:marBottom w:val="0"/>
      <w:divBdr>
        <w:top w:val="none" w:sz="0" w:space="0" w:color="auto"/>
        <w:left w:val="none" w:sz="0" w:space="0" w:color="auto"/>
        <w:bottom w:val="none" w:sz="0" w:space="0" w:color="auto"/>
        <w:right w:val="none" w:sz="0" w:space="0" w:color="auto"/>
      </w:divBdr>
    </w:div>
    <w:div w:id="453250270">
      <w:bodyDiv w:val="1"/>
      <w:marLeft w:val="0"/>
      <w:marRight w:val="0"/>
      <w:marTop w:val="0"/>
      <w:marBottom w:val="0"/>
      <w:divBdr>
        <w:top w:val="none" w:sz="0" w:space="0" w:color="auto"/>
        <w:left w:val="none" w:sz="0" w:space="0" w:color="auto"/>
        <w:bottom w:val="none" w:sz="0" w:space="0" w:color="auto"/>
        <w:right w:val="none" w:sz="0" w:space="0" w:color="auto"/>
      </w:divBdr>
    </w:div>
    <w:div w:id="459957101">
      <w:bodyDiv w:val="1"/>
      <w:marLeft w:val="0"/>
      <w:marRight w:val="0"/>
      <w:marTop w:val="0"/>
      <w:marBottom w:val="0"/>
      <w:divBdr>
        <w:top w:val="none" w:sz="0" w:space="0" w:color="auto"/>
        <w:left w:val="none" w:sz="0" w:space="0" w:color="auto"/>
        <w:bottom w:val="none" w:sz="0" w:space="0" w:color="auto"/>
        <w:right w:val="none" w:sz="0" w:space="0" w:color="auto"/>
      </w:divBdr>
    </w:div>
    <w:div w:id="507981814">
      <w:bodyDiv w:val="1"/>
      <w:marLeft w:val="0"/>
      <w:marRight w:val="0"/>
      <w:marTop w:val="0"/>
      <w:marBottom w:val="0"/>
      <w:divBdr>
        <w:top w:val="none" w:sz="0" w:space="0" w:color="auto"/>
        <w:left w:val="none" w:sz="0" w:space="0" w:color="auto"/>
        <w:bottom w:val="none" w:sz="0" w:space="0" w:color="auto"/>
        <w:right w:val="none" w:sz="0" w:space="0" w:color="auto"/>
      </w:divBdr>
    </w:div>
    <w:div w:id="525217796">
      <w:bodyDiv w:val="1"/>
      <w:marLeft w:val="0"/>
      <w:marRight w:val="0"/>
      <w:marTop w:val="0"/>
      <w:marBottom w:val="0"/>
      <w:divBdr>
        <w:top w:val="none" w:sz="0" w:space="0" w:color="auto"/>
        <w:left w:val="none" w:sz="0" w:space="0" w:color="auto"/>
        <w:bottom w:val="none" w:sz="0" w:space="0" w:color="auto"/>
        <w:right w:val="none" w:sz="0" w:space="0" w:color="auto"/>
      </w:divBdr>
    </w:div>
    <w:div w:id="550309309">
      <w:bodyDiv w:val="1"/>
      <w:marLeft w:val="0"/>
      <w:marRight w:val="0"/>
      <w:marTop w:val="0"/>
      <w:marBottom w:val="0"/>
      <w:divBdr>
        <w:top w:val="none" w:sz="0" w:space="0" w:color="auto"/>
        <w:left w:val="none" w:sz="0" w:space="0" w:color="auto"/>
        <w:bottom w:val="none" w:sz="0" w:space="0" w:color="auto"/>
        <w:right w:val="none" w:sz="0" w:space="0" w:color="auto"/>
      </w:divBdr>
    </w:div>
    <w:div w:id="604073837">
      <w:bodyDiv w:val="1"/>
      <w:marLeft w:val="0"/>
      <w:marRight w:val="0"/>
      <w:marTop w:val="0"/>
      <w:marBottom w:val="0"/>
      <w:divBdr>
        <w:top w:val="none" w:sz="0" w:space="0" w:color="auto"/>
        <w:left w:val="none" w:sz="0" w:space="0" w:color="auto"/>
        <w:bottom w:val="none" w:sz="0" w:space="0" w:color="auto"/>
        <w:right w:val="none" w:sz="0" w:space="0" w:color="auto"/>
      </w:divBdr>
    </w:div>
    <w:div w:id="649528923">
      <w:bodyDiv w:val="1"/>
      <w:marLeft w:val="0"/>
      <w:marRight w:val="0"/>
      <w:marTop w:val="0"/>
      <w:marBottom w:val="0"/>
      <w:divBdr>
        <w:top w:val="none" w:sz="0" w:space="0" w:color="auto"/>
        <w:left w:val="none" w:sz="0" w:space="0" w:color="auto"/>
        <w:bottom w:val="none" w:sz="0" w:space="0" w:color="auto"/>
        <w:right w:val="none" w:sz="0" w:space="0" w:color="auto"/>
      </w:divBdr>
    </w:div>
    <w:div w:id="662591729">
      <w:bodyDiv w:val="1"/>
      <w:marLeft w:val="0"/>
      <w:marRight w:val="0"/>
      <w:marTop w:val="0"/>
      <w:marBottom w:val="0"/>
      <w:divBdr>
        <w:top w:val="none" w:sz="0" w:space="0" w:color="auto"/>
        <w:left w:val="none" w:sz="0" w:space="0" w:color="auto"/>
        <w:bottom w:val="none" w:sz="0" w:space="0" w:color="auto"/>
        <w:right w:val="none" w:sz="0" w:space="0" w:color="auto"/>
      </w:divBdr>
    </w:div>
    <w:div w:id="729234486">
      <w:bodyDiv w:val="1"/>
      <w:marLeft w:val="0"/>
      <w:marRight w:val="0"/>
      <w:marTop w:val="0"/>
      <w:marBottom w:val="0"/>
      <w:divBdr>
        <w:top w:val="none" w:sz="0" w:space="0" w:color="auto"/>
        <w:left w:val="none" w:sz="0" w:space="0" w:color="auto"/>
        <w:bottom w:val="none" w:sz="0" w:space="0" w:color="auto"/>
        <w:right w:val="none" w:sz="0" w:space="0" w:color="auto"/>
      </w:divBdr>
    </w:div>
    <w:div w:id="743793633">
      <w:bodyDiv w:val="1"/>
      <w:marLeft w:val="0"/>
      <w:marRight w:val="0"/>
      <w:marTop w:val="0"/>
      <w:marBottom w:val="0"/>
      <w:divBdr>
        <w:top w:val="none" w:sz="0" w:space="0" w:color="auto"/>
        <w:left w:val="none" w:sz="0" w:space="0" w:color="auto"/>
        <w:bottom w:val="none" w:sz="0" w:space="0" w:color="auto"/>
        <w:right w:val="none" w:sz="0" w:space="0" w:color="auto"/>
      </w:divBdr>
    </w:div>
    <w:div w:id="781536621">
      <w:bodyDiv w:val="1"/>
      <w:marLeft w:val="0"/>
      <w:marRight w:val="0"/>
      <w:marTop w:val="0"/>
      <w:marBottom w:val="0"/>
      <w:divBdr>
        <w:top w:val="none" w:sz="0" w:space="0" w:color="auto"/>
        <w:left w:val="none" w:sz="0" w:space="0" w:color="auto"/>
        <w:bottom w:val="none" w:sz="0" w:space="0" w:color="auto"/>
        <w:right w:val="none" w:sz="0" w:space="0" w:color="auto"/>
      </w:divBdr>
    </w:div>
    <w:div w:id="801459235">
      <w:bodyDiv w:val="1"/>
      <w:marLeft w:val="0"/>
      <w:marRight w:val="0"/>
      <w:marTop w:val="0"/>
      <w:marBottom w:val="0"/>
      <w:divBdr>
        <w:top w:val="none" w:sz="0" w:space="0" w:color="auto"/>
        <w:left w:val="none" w:sz="0" w:space="0" w:color="auto"/>
        <w:bottom w:val="none" w:sz="0" w:space="0" w:color="auto"/>
        <w:right w:val="none" w:sz="0" w:space="0" w:color="auto"/>
      </w:divBdr>
    </w:div>
    <w:div w:id="940799461">
      <w:bodyDiv w:val="1"/>
      <w:marLeft w:val="0"/>
      <w:marRight w:val="0"/>
      <w:marTop w:val="0"/>
      <w:marBottom w:val="0"/>
      <w:divBdr>
        <w:top w:val="none" w:sz="0" w:space="0" w:color="auto"/>
        <w:left w:val="none" w:sz="0" w:space="0" w:color="auto"/>
        <w:bottom w:val="none" w:sz="0" w:space="0" w:color="auto"/>
        <w:right w:val="none" w:sz="0" w:space="0" w:color="auto"/>
      </w:divBdr>
    </w:div>
    <w:div w:id="966011474">
      <w:bodyDiv w:val="1"/>
      <w:marLeft w:val="0"/>
      <w:marRight w:val="0"/>
      <w:marTop w:val="0"/>
      <w:marBottom w:val="0"/>
      <w:divBdr>
        <w:top w:val="none" w:sz="0" w:space="0" w:color="auto"/>
        <w:left w:val="none" w:sz="0" w:space="0" w:color="auto"/>
        <w:bottom w:val="none" w:sz="0" w:space="0" w:color="auto"/>
        <w:right w:val="none" w:sz="0" w:space="0" w:color="auto"/>
      </w:divBdr>
      <w:divsChild>
        <w:div w:id="322438239">
          <w:marLeft w:val="0"/>
          <w:marRight w:val="0"/>
          <w:marTop w:val="0"/>
          <w:marBottom w:val="0"/>
          <w:divBdr>
            <w:top w:val="none" w:sz="0" w:space="0" w:color="auto"/>
            <w:left w:val="none" w:sz="0" w:space="0" w:color="auto"/>
            <w:bottom w:val="none" w:sz="0" w:space="0" w:color="auto"/>
            <w:right w:val="none" w:sz="0" w:space="0" w:color="auto"/>
          </w:divBdr>
        </w:div>
        <w:div w:id="660081726">
          <w:marLeft w:val="0"/>
          <w:marRight w:val="0"/>
          <w:marTop w:val="0"/>
          <w:marBottom w:val="0"/>
          <w:divBdr>
            <w:top w:val="none" w:sz="0" w:space="0" w:color="auto"/>
            <w:left w:val="none" w:sz="0" w:space="0" w:color="auto"/>
            <w:bottom w:val="none" w:sz="0" w:space="0" w:color="auto"/>
            <w:right w:val="none" w:sz="0" w:space="0" w:color="auto"/>
          </w:divBdr>
        </w:div>
      </w:divsChild>
    </w:div>
    <w:div w:id="1033191886">
      <w:bodyDiv w:val="1"/>
      <w:marLeft w:val="0"/>
      <w:marRight w:val="0"/>
      <w:marTop w:val="0"/>
      <w:marBottom w:val="0"/>
      <w:divBdr>
        <w:top w:val="none" w:sz="0" w:space="0" w:color="auto"/>
        <w:left w:val="none" w:sz="0" w:space="0" w:color="auto"/>
        <w:bottom w:val="none" w:sz="0" w:space="0" w:color="auto"/>
        <w:right w:val="none" w:sz="0" w:space="0" w:color="auto"/>
      </w:divBdr>
    </w:div>
    <w:div w:id="1053693313">
      <w:bodyDiv w:val="1"/>
      <w:marLeft w:val="0"/>
      <w:marRight w:val="0"/>
      <w:marTop w:val="0"/>
      <w:marBottom w:val="0"/>
      <w:divBdr>
        <w:top w:val="none" w:sz="0" w:space="0" w:color="auto"/>
        <w:left w:val="none" w:sz="0" w:space="0" w:color="auto"/>
        <w:bottom w:val="none" w:sz="0" w:space="0" w:color="auto"/>
        <w:right w:val="none" w:sz="0" w:space="0" w:color="auto"/>
      </w:divBdr>
    </w:div>
    <w:div w:id="1126697004">
      <w:bodyDiv w:val="1"/>
      <w:marLeft w:val="0"/>
      <w:marRight w:val="0"/>
      <w:marTop w:val="0"/>
      <w:marBottom w:val="0"/>
      <w:divBdr>
        <w:top w:val="none" w:sz="0" w:space="0" w:color="auto"/>
        <w:left w:val="none" w:sz="0" w:space="0" w:color="auto"/>
        <w:bottom w:val="none" w:sz="0" w:space="0" w:color="auto"/>
        <w:right w:val="none" w:sz="0" w:space="0" w:color="auto"/>
      </w:divBdr>
    </w:div>
    <w:div w:id="1188525479">
      <w:bodyDiv w:val="1"/>
      <w:marLeft w:val="0"/>
      <w:marRight w:val="0"/>
      <w:marTop w:val="0"/>
      <w:marBottom w:val="0"/>
      <w:divBdr>
        <w:top w:val="none" w:sz="0" w:space="0" w:color="auto"/>
        <w:left w:val="none" w:sz="0" w:space="0" w:color="auto"/>
        <w:bottom w:val="none" w:sz="0" w:space="0" w:color="auto"/>
        <w:right w:val="none" w:sz="0" w:space="0" w:color="auto"/>
      </w:divBdr>
    </w:div>
    <w:div w:id="1247614270">
      <w:bodyDiv w:val="1"/>
      <w:marLeft w:val="0"/>
      <w:marRight w:val="0"/>
      <w:marTop w:val="0"/>
      <w:marBottom w:val="0"/>
      <w:divBdr>
        <w:top w:val="none" w:sz="0" w:space="0" w:color="auto"/>
        <w:left w:val="none" w:sz="0" w:space="0" w:color="auto"/>
        <w:bottom w:val="none" w:sz="0" w:space="0" w:color="auto"/>
        <w:right w:val="none" w:sz="0" w:space="0" w:color="auto"/>
      </w:divBdr>
    </w:div>
    <w:div w:id="1309243676">
      <w:bodyDiv w:val="1"/>
      <w:marLeft w:val="0"/>
      <w:marRight w:val="0"/>
      <w:marTop w:val="0"/>
      <w:marBottom w:val="0"/>
      <w:divBdr>
        <w:top w:val="none" w:sz="0" w:space="0" w:color="auto"/>
        <w:left w:val="none" w:sz="0" w:space="0" w:color="auto"/>
        <w:bottom w:val="none" w:sz="0" w:space="0" w:color="auto"/>
        <w:right w:val="none" w:sz="0" w:space="0" w:color="auto"/>
      </w:divBdr>
    </w:div>
    <w:div w:id="1337611739">
      <w:bodyDiv w:val="1"/>
      <w:marLeft w:val="0"/>
      <w:marRight w:val="0"/>
      <w:marTop w:val="0"/>
      <w:marBottom w:val="0"/>
      <w:divBdr>
        <w:top w:val="none" w:sz="0" w:space="0" w:color="auto"/>
        <w:left w:val="none" w:sz="0" w:space="0" w:color="auto"/>
        <w:bottom w:val="none" w:sz="0" w:space="0" w:color="auto"/>
        <w:right w:val="none" w:sz="0" w:space="0" w:color="auto"/>
      </w:divBdr>
    </w:div>
    <w:div w:id="1343311823">
      <w:bodyDiv w:val="1"/>
      <w:marLeft w:val="0"/>
      <w:marRight w:val="0"/>
      <w:marTop w:val="0"/>
      <w:marBottom w:val="0"/>
      <w:divBdr>
        <w:top w:val="none" w:sz="0" w:space="0" w:color="auto"/>
        <w:left w:val="none" w:sz="0" w:space="0" w:color="auto"/>
        <w:bottom w:val="none" w:sz="0" w:space="0" w:color="auto"/>
        <w:right w:val="none" w:sz="0" w:space="0" w:color="auto"/>
      </w:divBdr>
    </w:div>
    <w:div w:id="1388258686">
      <w:bodyDiv w:val="1"/>
      <w:marLeft w:val="0"/>
      <w:marRight w:val="0"/>
      <w:marTop w:val="0"/>
      <w:marBottom w:val="0"/>
      <w:divBdr>
        <w:top w:val="none" w:sz="0" w:space="0" w:color="auto"/>
        <w:left w:val="none" w:sz="0" w:space="0" w:color="auto"/>
        <w:bottom w:val="none" w:sz="0" w:space="0" w:color="auto"/>
        <w:right w:val="none" w:sz="0" w:space="0" w:color="auto"/>
      </w:divBdr>
    </w:div>
    <w:div w:id="1390034091">
      <w:bodyDiv w:val="1"/>
      <w:marLeft w:val="0"/>
      <w:marRight w:val="0"/>
      <w:marTop w:val="0"/>
      <w:marBottom w:val="0"/>
      <w:divBdr>
        <w:top w:val="none" w:sz="0" w:space="0" w:color="auto"/>
        <w:left w:val="none" w:sz="0" w:space="0" w:color="auto"/>
        <w:bottom w:val="none" w:sz="0" w:space="0" w:color="auto"/>
        <w:right w:val="none" w:sz="0" w:space="0" w:color="auto"/>
      </w:divBdr>
    </w:div>
    <w:div w:id="1438909686">
      <w:bodyDiv w:val="1"/>
      <w:marLeft w:val="0"/>
      <w:marRight w:val="0"/>
      <w:marTop w:val="0"/>
      <w:marBottom w:val="0"/>
      <w:divBdr>
        <w:top w:val="none" w:sz="0" w:space="0" w:color="auto"/>
        <w:left w:val="none" w:sz="0" w:space="0" w:color="auto"/>
        <w:bottom w:val="none" w:sz="0" w:space="0" w:color="auto"/>
        <w:right w:val="none" w:sz="0" w:space="0" w:color="auto"/>
      </w:divBdr>
    </w:div>
    <w:div w:id="1464927705">
      <w:bodyDiv w:val="1"/>
      <w:marLeft w:val="0"/>
      <w:marRight w:val="0"/>
      <w:marTop w:val="0"/>
      <w:marBottom w:val="0"/>
      <w:divBdr>
        <w:top w:val="none" w:sz="0" w:space="0" w:color="auto"/>
        <w:left w:val="none" w:sz="0" w:space="0" w:color="auto"/>
        <w:bottom w:val="none" w:sz="0" w:space="0" w:color="auto"/>
        <w:right w:val="none" w:sz="0" w:space="0" w:color="auto"/>
      </w:divBdr>
    </w:div>
    <w:div w:id="1492603983">
      <w:bodyDiv w:val="1"/>
      <w:marLeft w:val="0"/>
      <w:marRight w:val="0"/>
      <w:marTop w:val="0"/>
      <w:marBottom w:val="0"/>
      <w:divBdr>
        <w:top w:val="none" w:sz="0" w:space="0" w:color="auto"/>
        <w:left w:val="none" w:sz="0" w:space="0" w:color="auto"/>
        <w:bottom w:val="none" w:sz="0" w:space="0" w:color="auto"/>
        <w:right w:val="none" w:sz="0" w:space="0" w:color="auto"/>
      </w:divBdr>
    </w:div>
    <w:div w:id="1496994723">
      <w:bodyDiv w:val="1"/>
      <w:marLeft w:val="0"/>
      <w:marRight w:val="0"/>
      <w:marTop w:val="0"/>
      <w:marBottom w:val="0"/>
      <w:divBdr>
        <w:top w:val="none" w:sz="0" w:space="0" w:color="auto"/>
        <w:left w:val="none" w:sz="0" w:space="0" w:color="auto"/>
        <w:bottom w:val="none" w:sz="0" w:space="0" w:color="auto"/>
        <w:right w:val="none" w:sz="0" w:space="0" w:color="auto"/>
      </w:divBdr>
    </w:div>
    <w:div w:id="1504280419">
      <w:bodyDiv w:val="1"/>
      <w:marLeft w:val="0"/>
      <w:marRight w:val="0"/>
      <w:marTop w:val="0"/>
      <w:marBottom w:val="0"/>
      <w:divBdr>
        <w:top w:val="none" w:sz="0" w:space="0" w:color="auto"/>
        <w:left w:val="none" w:sz="0" w:space="0" w:color="auto"/>
        <w:bottom w:val="none" w:sz="0" w:space="0" w:color="auto"/>
        <w:right w:val="none" w:sz="0" w:space="0" w:color="auto"/>
      </w:divBdr>
    </w:div>
    <w:div w:id="1512524823">
      <w:bodyDiv w:val="1"/>
      <w:marLeft w:val="0"/>
      <w:marRight w:val="0"/>
      <w:marTop w:val="0"/>
      <w:marBottom w:val="0"/>
      <w:divBdr>
        <w:top w:val="none" w:sz="0" w:space="0" w:color="auto"/>
        <w:left w:val="none" w:sz="0" w:space="0" w:color="auto"/>
        <w:bottom w:val="none" w:sz="0" w:space="0" w:color="auto"/>
        <w:right w:val="none" w:sz="0" w:space="0" w:color="auto"/>
      </w:divBdr>
    </w:div>
    <w:div w:id="1517505085">
      <w:bodyDiv w:val="1"/>
      <w:marLeft w:val="0"/>
      <w:marRight w:val="0"/>
      <w:marTop w:val="0"/>
      <w:marBottom w:val="0"/>
      <w:divBdr>
        <w:top w:val="none" w:sz="0" w:space="0" w:color="auto"/>
        <w:left w:val="none" w:sz="0" w:space="0" w:color="auto"/>
        <w:bottom w:val="none" w:sz="0" w:space="0" w:color="auto"/>
        <w:right w:val="none" w:sz="0" w:space="0" w:color="auto"/>
      </w:divBdr>
    </w:div>
    <w:div w:id="1601373793">
      <w:bodyDiv w:val="1"/>
      <w:marLeft w:val="0"/>
      <w:marRight w:val="0"/>
      <w:marTop w:val="0"/>
      <w:marBottom w:val="0"/>
      <w:divBdr>
        <w:top w:val="none" w:sz="0" w:space="0" w:color="auto"/>
        <w:left w:val="none" w:sz="0" w:space="0" w:color="auto"/>
        <w:bottom w:val="none" w:sz="0" w:space="0" w:color="auto"/>
        <w:right w:val="none" w:sz="0" w:space="0" w:color="auto"/>
      </w:divBdr>
    </w:div>
    <w:div w:id="1655181005">
      <w:bodyDiv w:val="1"/>
      <w:marLeft w:val="0"/>
      <w:marRight w:val="0"/>
      <w:marTop w:val="0"/>
      <w:marBottom w:val="0"/>
      <w:divBdr>
        <w:top w:val="none" w:sz="0" w:space="0" w:color="auto"/>
        <w:left w:val="none" w:sz="0" w:space="0" w:color="auto"/>
        <w:bottom w:val="none" w:sz="0" w:space="0" w:color="auto"/>
        <w:right w:val="none" w:sz="0" w:space="0" w:color="auto"/>
      </w:divBdr>
    </w:div>
    <w:div w:id="1690908947">
      <w:bodyDiv w:val="1"/>
      <w:marLeft w:val="0"/>
      <w:marRight w:val="0"/>
      <w:marTop w:val="0"/>
      <w:marBottom w:val="0"/>
      <w:divBdr>
        <w:top w:val="none" w:sz="0" w:space="0" w:color="auto"/>
        <w:left w:val="none" w:sz="0" w:space="0" w:color="auto"/>
        <w:bottom w:val="none" w:sz="0" w:space="0" w:color="auto"/>
        <w:right w:val="none" w:sz="0" w:space="0" w:color="auto"/>
      </w:divBdr>
    </w:div>
    <w:div w:id="1696268783">
      <w:bodyDiv w:val="1"/>
      <w:marLeft w:val="0"/>
      <w:marRight w:val="0"/>
      <w:marTop w:val="0"/>
      <w:marBottom w:val="0"/>
      <w:divBdr>
        <w:top w:val="none" w:sz="0" w:space="0" w:color="auto"/>
        <w:left w:val="none" w:sz="0" w:space="0" w:color="auto"/>
        <w:bottom w:val="none" w:sz="0" w:space="0" w:color="auto"/>
        <w:right w:val="none" w:sz="0" w:space="0" w:color="auto"/>
      </w:divBdr>
      <w:divsChild>
        <w:div w:id="633097607">
          <w:marLeft w:val="0"/>
          <w:marRight w:val="0"/>
          <w:marTop w:val="0"/>
          <w:marBottom w:val="0"/>
          <w:divBdr>
            <w:top w:val="none" w:sz="0" w:space="0" w:color="auto"/>
            <w:left w:val="none" w:sz="0" w:space="0" w:color="auto"/>
            <w:bottom w:val="none" w:sz="0" w:space="0" w:color="auto"/>
            <w:right w:val="none" w:sz="0" w:space="0" w:color="auto"/>
          </w:divBdr>
        </w:div>
        <w:div w:id="919219357">
          <w:marLeft w:val="0"/>
          <w:marRight w:val="0"/>
          <w:marTop w:val="0"/>
          <w:marBottom w:val="0"/>
          <w:divBdr>
            <w:top w:val="none" w:sz="0" w:space="0" w:color="auto"/>
            <w:left w:val="none" w:sz="0" w:space="0" w:color="auto"/>
            <w:bottom w:val="none" w:sz="0" w:space="0" w:color="auto"/>
            <w:right w:val="none" w:sz="0" w:space="0" w:color="auto"/>
          </w:divBdr>
        </w:div>
        <w:div w:id="1189298857">
          <w:marLeft w:val="0"/>
          <w:marRight w:val="0"/>
          <w:marTop w:val="0"/>
          <w:marBottom w:val="0"/>
          <w:divBdr>
            <w:top w:val="none" w:sz="0" w:space="0" w:color="auto"/>
            <w:left w:val="none" w:sz="0" w:space="0" w:color="auto"/>
            <w:bottom w:val="none" w:sz="0" w:space="0" w:color="auto"/>
            <w:right w:val="none" w:sz="0" w:space="0" w:color="auto"/>
          </w:divBdr>
        </w:div>
      </w:divsChild>
    </w:div>
    <w:div w:id="1803114415">
      <w:bodyDiv w:val="1"/>
      <w:marLeft w:val="0"/>
      <w:marRight w:val="0"/>
      <w:marTop w:val="0"/>
      <w:marBottom w:val="0"/>
      <w:divBdr>
        <w:top w:val="none" w:sz="0" w:space="0" w:color="auto"/>
        <w:left w:val="none" w:sz="0" w:space="0" w:color="auto"/>
        <w:bottom w:val="none" w:sz="0" w:space="0" w:color="auto"/>
        <w:right w:val="none" w:sz="0" w:space="0" w:color="auto"/>
      </w:divBdr>
    </w:div>
    <w:div w:id="1960523349">
      <w:bodyDiv w:val="1"/>
      <w:marLeft w:val="0"/>
      <w:marRight w:val="0"/>
      <w:marTop w:val="0"/>
      <w:marBottom w:val="0"/>
      <w:divBdr>
        <w:top w:val="none" w:sz="0" w:space="0" w:color="auto"/>
        <w:left w:val="none" w:sz="0" w:space="0" w:color="auto"/>
        <w:bottom w:val="none" w:sz="0" w:space="0" w:color="auto"/>
        <w:right w:val="none" w:sz="0" w:space="0" w:color="auto"/>
      </w:divBdr>
    </w:div>
    <w:div w:id="1972861092">
      <w:bodyDiv w:val="1"/>
      <w:marLeft w:val="0"/>
      <w:marRight w:val="0"/>
      <w:marTop w:val="0"/>
      <w:marBottom w:val="0"/>
      <w:divBdr>
        <w:top w:val="none" w:sz="0" w:space="0" w:color="auto"/>
        <w:left w:val="none" w:sz="0" w:space="0" w:color="auto"/>
        <w:bottom w:val="none" w:sz="0" w:space="0" w:color="auto"/>
        <w:right w:val="none" w:sz="0" w:space="0" w:color="auto"/>
      </w:divBdr>
    </w:div>
    <w:div w:id="2036734189">
      <w:bodyDiv w:val="1"/>
      <w:marLeft w:val="0"/>
      <w:marRight w:val="0"/>
      <w:marTop w:val="0"/>
      <w:marBottom w:val="0"/>
      <w:divBdr>
        <w:top w:val="none" w:sz="0" w:space="0" w:color="auto"/>
        <w:left w:val="none" w:sz="0" w:space="0" w:color="auto"/>
        <w:bottom w:val="none" w:sz="0" w:space="0" w:color="auto"/>
        <w:right w:val="none" w:sz="0" w:space="0" w:color="auto"/>
      </w:divBdr>
    </w:div>
    <w:div w:id="2059275415">
      <w:bodyDiv w:val="1"/>
      <w:marLeft w:val="0"/>
      <w:marRight w:val="0"/>
      <w:marTop w:val="0"/>
      <w:marBottom w:val="0"/>
      <w:divBdr>
        <w:top w:val="none" w:sz="0" w:space="0" w:color="auto"/>
        <w:left w:val="none" w:sz="0" w:space="0" w:color="auto"/>
        <w:bottom w:val="none" w:sz="0" w:space="0" w:color="auto"/>
        <w:right w:val="none" w:sz="0" w:space="0" w:color="auto"/>
      </w:divBdr>
    </w:div>
    <w:div w:id="2075008016">
      <w:bodyDiv w:val="1"/>
      <w:marLeft w:val="0"/>
      <w:marRight w:val="0"/>
      <w:marTop w:val="0"/>
      <w:marBottom w:val="0"/>
      <w:divBdr>
        <w:top w:val="none" w:sz="0" w:space="0" w:color="auto"/>
        <w:left w:val="none" w:sz="0" w:space="0" w:color="auto"/>
        <w:bottom w:val="none" w:sz="0" w:space="0" w:color="auto"/>
        <w:right w:val="none" w:sz="0" w:space="0" w:color="auto"/>
      </w:divBdr>
    </w:div>
    <w:div w:id="2094279040">
      <w:bodyDiv w:val="1"/>
      <w:marLeft w:val="0"/>
      <w:marRight w:val="0"/>
      <w:marTop w:val="0"/>
      <w:marBottom w:val="0"/>
      <w:divBdr>
        <w:top w:val="none" w:sz="0" w:space="0" w:color="auto"/>
        <w:left w:val="none" w:sz="0" w:space="0" w:color="auto"/>
        <w:bottom w:val="none" w:sz="0" w:space="0" w:color="auto"/>
        <w:right w:val="none" w:sz="0" w:space="0" w:color="auto"/>
      </w:divBdr>
    </w:div>
  </w:divs>
</w:webSettings>
</file>

<file path=word/_rels/document.xml.rels><?xml version="1.0" encoding="UTF-8" standalone="yes"?>
<Relationships xmlns="http://schemas.openxmlformats.org/package/2006/relationships"><Relationship Id="rId26" Type="http://schemas.openxmlformats.org/officeDocument/2006/relationships/image" Target="media/image5.emf"/><Relationship Id="rId117" Type="http://schemas.openxmlformats.org/officeDocument/2006/relationships/header" Target="header4.xml"/><Relationship Id="rId21" Type="http://schemas.openxmlformats.org/officeDocument/2006/relationships/footer" Target="footer4.xml"/><Relationship Id="rId42" Type="http://schemas.openxmlformats.org/officeDocument/2006/relationships/image" Target="media/image21.emf"/><Relationship Id="rId47" Type="http://schemas.openxmlformats.org/officeDocument/2006/relationships/image" Target="media/image26.emf"/><Relationship Id="rId63" Type="http://schemas.openxmlformats.org/officeDocument/2006/relationships/image" Target="media/image42.emf"/><Relationship Id="rId68" Type="http://schemas.openxmlformats.org/officeDocument/2006/relationships/image" Target="media/image47.emf"/><Relationship Id="rId84" Type="http://schemas.openxmlformats.org/officeDocument/2006/relationships/image" Target="media/image57.emf"/><Relationship Id="rId89" Type="http://schemas.openxmlformats.org/officeDocument/2006/relationships/image" Target="media/image62.emf"/><Relationship Id="rId112" Type="http://schemas.openxmlformats.org/officeDocument/2006/relationships/image" Target="media/image83.emf"/><Relationship Id="rId133" Type="http://schemas.openxmlformats.org/officeDocument/2006/relationships/hyperlink" Target="http://dx.doi.org/10.5772/intechopen.70628" TargetMode="External"/><Relationship Id="rId138" Type="http://schemas.openxmlformats.org/officeDocument/2006/relationships/hyperlink" Target="http://www.australiaonnet.com/economy-business/industries/" TargetMode="External"/><Relationship Id="rId154" Type="http://schemas.openxmlformats.org/officeDocument/2006/relationships/hyperlink" Target="https://www.researchgate.net/publication/236143992" TargetMode="External"/><Relationship Id="rId159" Type="http://schemas.openxmlformats.org/officeDocument/2006/relationships/hyperlink" Target="http://www.imo.org/OurWork/Security/PiracyArmedRobbery/Guidance/Documents/A.1025.pdf" TargetMode="External"/><Relationship Id="rId175" Type="http://schemas.openxmlformats.org/officeDocument/2006/relationships/hyperlink" Target="http://www.yourarticlelibrary.com/notes/macroeconomics/mechanism%C2%ADof%C2%ADabsorption%C2%ADapproach%C2%ADto%C2%ADthe%C2%ADbalance%C2%ADof%C2%ADpayments%C2%ADadjustment/31245" TargetMode="External"/><Relationship Id="rId170" Type="http://schemas.openxmlformats.org/officeDocument/2006/relationships/hyperlink" Target="https://ia600400.us.archive.org/12/items/arxiv-physics0601009/physics0601009.pdf" TargetMode="External"/><Relationship Id="rId191" Type="http://schemas.openxmlformats.org/officeDocument/2006/relationships/theme" Target="theme/theme1.xml"/><Relationship Id="rId16" Type="http://schemas.openxmlformats.org/officeDocument/2006/relationships/footer" Target="footer3.xml"/><Relationship Id="rId107" Type="http://schemas.openxmlformats.org/officeDocument/2006/relationships/image" Target="media/image80.emf"/><Relationship Id="rId11" Type="http://schemas.openxmlformats.org/officeDocument/2006/relationships/image" Target="media/image1.png"/><Relationship Id="rId32" Type="http://schemas.openxmlformats.org/officeDocument/2006/relationships/image" Target="media/image11.emf"/><Relationship Id="rId37" Type="http://schemas.openxmlformats.org/officeDocument/2006/relationships/image" Target="media/image16.emf"/><Relationship Id="rId53" Type="http://schemas.openxmlformats.org/officeDocument/2006/relationships/image" Target="media/image32.emf"/><Relationship Id="rId58" Type="http://schemas.openxmlformats.org/officeDocument/2006/relationships/image" Target="media/image37.emf"/><Relationship Id="rId74" Type="http://schemas.openxmlformats.org/officeDocument/2006/relationships/image" Target="media/image51.emf"/><Relationship Id="rId79" Type="http://schemas.openxmlformats.org/officeDocument/2006/relationships/oleObject" Target="embeddings/oleObject5.bin"/><Relationship Id="rId102" Type="http://schemas.openxmlformats.org/officeDocument/2006/relationships/image" Target="media/image75.emf"/><Relationship Id="rId123" Type="http://schemas.openxmlformats.org/officeDocument/2006/relationships/hyperlink" Target="https://doi.org/10.1007/978-94-011-4411-7_10" TargetMode="External"/><Relationship Id="rId128" Type="http://schemas.openxmlformats.org/officeDocument/2006/relationships/hyperlink" Target="https://doi.org/10.3102/0013189X017008010" TargetMode="External"/><Relationship Id="rId144" Type="http://schemas.openxmlformats.org/officeDocument/2006/relationships/hyperlink" Target="https://www.researchgate.net/publication/308262064_Research_Design" TargetMode="External"/><Relationship Id="rId149" Type="http://schemas.openxmlformats.org/officeDocument/2006/relationships/hyperlink" Target="http://documents.worldbank.org/curated/en/514531468740135280/Primary-commodity-dependence-and-Africas-future" TargetMode="External"/><Relationship Id="rId5" Type="http://schemas.openxmlformats.org/officeDocument/2006/relationships/numbering" Target="numbering.xml"/><Relationship Id="rId90" Type="http://schemas.openxmlformats.org/officeDocument/2006/relationships/image" Target="media/image63.emf"/><Relationship Id="rId95" Type="http://schemas.openxmlformats.org/officeDocument/2006/relationships/image" Target="media/image68.emf"/><Relationship Id="rId160" Type="http://schemas.openxmlformats.org/officeDocument/2006/relationships/hyperlink" Target="https://www.imf.org/external/pubs/ft/fabric/backgrnd.htm" TargetMode="External"/><Relationship Id="rId165" Type="http://schemas.openxmlformats.org/officeDocument/2006/relationships/hyperlink" Target="https://www.microeconomicsnotes.com/balance-of-payments/top-3-approaches-of-balance-of-payments/1736" TargetMode="External"/><Relationship Id="rId181" Type="http://schemas.openxmlformats.org/officeDocument/2006/relationships/hyperlink" Target="https://cameroonpostline.com/devaluation-jitters-grip-cfa-franc-zone/" TargetMode="External"/><Relationship Id="rId186" Type="http://schemas.openxmlformats.org/officeDocument/2006/relationships/hyperlink" Target="https://data.worldbank.org/indicator/NY.GDP.MKTP.KD.ZG" TargetMode="External"/><Relationship Id="rId22" Type="http://schemas.openxmlformats.org/officeDocument/2006/relationships/footer" Target="footer5.xml"/><Relationship Id="rId27" Type="http://schemas.openxmlformats.org/officeDocument/2006/relationships/image" Target="media/image6.emf"/><Relationship Id="rId43" Type="http://schemas.openxmlformats.org/officeDocument/2006/relationships/image" Target="media/image22.emf"/><Relationship Id="rId48" Type="http://schemas.openxmlformats.org/officeDocument/2006/relationships/image" Target="media/image27.emf"/><Relationship Id="rId64" Type="http://schemas.openxmlformats.org/officeDocument/2006/relationships/image" Target="media/image43.emf"/><Relationship Id="rId69" Type="http://schemas.openxmlformats.org/officeDocument/2006/relationships/image" Target="media/image48.emf"/><Relationship Id="rId113" Type="http://schemas.openxmlformats.org/officeDocument/2006/relationships/image" Target="media/image84.emf"/><Relationship Id="rId118" Type="http://schemas.openxmlformats.org/officeDocument/2006/relationships/header" Target="header5.xml"/><Relationship Id="rId134" Type="http://schemas.openxmlformats.org/officeDocument/2006/relationships/hyperlink" Target="https://www.mbaknol.com/international-finance/balance-of-payments-bop-and-exchange-rates/" TargetMode="External"/><Relationship Id="rId139" Type="http://schemas.openxmlformats.org/officeDocument/2006/relationships/hyperlink" Target="http://www.banque-france.fr/" TargetMode="External"/><Relationship Id="rId80" Type="http://schemas.openxmlformats.org/officeDocument/2006/relationships/image" Target="media/image54.emf"/><Relationship Id="rId85" Type="http://schemas.openxmlformats.org/officeDocument/2006/relationships/image" Target="media/image58.emf"/><Relationship Id="rId150" Type="http://schemas.openxmlformats.org/officeDocument/2006/relationships/hyperlink" Target="https://www.investopedia.com/terms/t/transactioncosts.asp" TargetMode="External"/><Relationship Id="rId155" Type="http://schemas.openxmlformats.org/officeDocument/2006/relationships/hyperlink" Target="https://www.researchgate.net/publication/333015026_Chapter_3_-_Research_Methodology_and_Research_Method" TargetMode="External"/><Relationship Id="rId171" Type="http://schemas.openxmlformats.org/officeDocument/2006/relationships/hyperlink" Target="https://www.researchgate.net/publication/309102603" TargetMode="External"/><Relationship Id="rId176" Type="http://schemas.openxmlformats.org/officeDocument/2006/relationships/hyperlink" Target="https://www.yourarticlelibrary.com/international-trade/balance-of-payments-theory-of-exchange-international-trade/26057" TargetMode="External"/><Relationship Id="rId12" Type="http://schemas.openxmlformats.org/officeDocument/2006/relationships/header" Target="header1.xml"/><Relationship Id="rId17" Type="http://schemas.openxmlformats.org/officeDocument/2006/relationships/chart" Target="charts/chart1.xml"/><Relationship Id="rId33" Type="http://schemas.openxmlformats.org/officeDocument/2006/relationships/image" Target="media/image12.emf"/><Relationship Id="rId38" Type="http://schemas.openxmlformats.org/officeDocument/2006/relationships/image" Target="media/image17.emf"/><Relationship Id="rId59" Type="http://schemas.openxmlformats.org/officeDocument/2006/relationships/image" Target="media/image38.emf"/><Relationship Id="rId103" Type="http://schemas.openxmlformats.org/officeDocument/2006/relationships/image" Target="media/image76.emf"/><Relationship Id="rId108" Type="http://schemas.openxmlformats.org/officeDocument/2006/relationships/image" Target="media/image81.emf"/><Relationship Id="rId124" Type="http://schemas.openxmlformats.org/officeDocument/2006/relationships/hyperlink" Target="https://ssrn.com/abstract=882342" TargetMode="External"/><Relationship Id="rId129" Type="http://schemas.openxmlformats.org/officeDocument/2006/relationships/hyperlink" Target="https://ideas.repec.org/p/gla/glaewp/2010_13.html" TargetMode="External"/><Relationship Id="rId54" Type="http://schemas.openxmlformats.org/officeDocument/2006/relationships/image" Target="media/image33.emf"/><Relationship Id="rId70" Type="http://schemas.openxmlformats.org/officeDocument/2006/relationships/image" Target="media/image49.emf"/><Relationship Id="rId75" Type="http://schemas.openxmlformats.org/officeDocument/2006/relationships/oleObject" Target="embeddings/oleObject3.bin"/><Relationship Id="rId91" Type="http://schemas.openxmlformats.org/officeDocument/2006/relationships/image" Target="media/image64.emf"/><Relationship Id="rId96" Type="http://schemas.openxmlformats.org/officeDocument/2006/relationships/image" Target="media/image69.emf"/><Relationship Id="rId140" Type="http://schemas.openxmlformats.org/officeDocument/2006/relationships/hyperlink" Target="https://abc-economie.banque-france.fr/sites/default/files/medias/documents/816153_fiche_zone-franc.pdf" TargetMode="External"/><Relationship Id="rId145" Type="http://schemas.openxmlformats.org/officeDocument/2006/relationships/hyperlink" Target="https://www.opednews.com/articles/The-Last-Gasp-Of-Fran-afr-by-Gary-Busch-130115-88.html" TargetMode="External"/><Relationship Id="rId161" Type="http://schemas.openxmlformats.org/officeDocument/2006/relationships/hyperlink" Target="https://www.kapitalafrik.com/2018/10/31/no-devaluation-of-the-cfa-franc-of-central-africa-but/" TargetMode="External"/><Relationship Id="rId166" Type="http://schemas.openxmlformats.org/officeDocument/2006/relationships/hyperlink" Target="https://www.frbsf.org/economic-research/publications/economic-letter/1998/august/what-caused-east-asia-financial-crisis/" TargetMode="External"/><Relationship Id="rId182" Type="http://schemas.openxmlformats.org/officeDocument/2006/relationships/hyperlink" Target="https://databank.worldbank.org/source/world-development-indicators/Type/TABLE/preview/on" TargetMode="External"/><Relationship Id="rId187" Type="http://schemas.openxmlformats.org/officeDocument/2006/relationships/hyperlink" Target="http://dx.doi.org/10.5772/intechopen.70628" TargetMode="External"/><Relationship Id="rId1" Type="http://schemas.openxmlformats.org/officeDocument/2006/relationships/customXml" Target="../customXml/item1.xml"/><Relationship Id="rId6" Type="http://schemas.openxmlformats.org/officeDocument/2006/relationships/styles" Target="styles.xml"/><Relationship Id="rId23" Type="http://schemas.openxmlformats.org/officeDocument/2006/relationships/image" Target="media/image2.emf"/><Relationship Id="rId28" Type="http://schemas.openxmlformats.org/officeDocument/2006/relationships/image" Target="media/image7.emf"/><Relationship Id="rId49" Type="http://schemas.openxmlformats.org/officeDocument/2006/relationships/image" Target="media/image28.emf"/><Relationship Id="rId114" Type="http://schemas.openxmlformats.org/officeDocument/2006/relationships/image" Target="media/image85.emf"/><Relationship Id="rId119" Type="http://schemas.openxmlformats.org/officeDocument/2006/relationships/hyperlink" Target="https://doi.org/10.1177/0015732520919838" TargetMode="External"/><Relationship Id="rId44" Type="http://schemas.openxmlformats.org/officeDocument/2006/relationships/image" Target="media/image23.emf"/><Relationship Id="rId60" Type="http://schemas.openxmlformats.org/officeDocument/2006/relationships/image" Target="media/image39.emf"/><Relationship Id="rId65" Type="http://schemas.openxmlformats.org/officeDocument/2006/relationships/image" Target="media/image44.emf"/><Relationship Id="rId81" Type="http://schemas.openxmlformats.org/officeDocument/2006/relationships/oleObject" Target="embeddings/oleObject6.bin"/><Relationship Id="rId86" Type="http://schemas.openxmlformats.org/officeDocument/2006/relationships/image" Target="media/image59.emf"/><Relationship Id="rId130" Type="http://schemas.openxmlformats.org/officeDocument/2006/relationships/hyperlink" Target="https://ssrn.com/abstract=1618198" TargetMode="External"/><Relationship Id="rId135" Type="http://schemas.openxmlformats.org/officeDocument/2006/relationships/hyperlink" Target="http://africanbusinessmagazine.com/uncategorised/a-brief-history-of-the-cfa-franc/" TargetMode="External"/><Relationship Id="rId151" Type="http://schemas.openxmlformats.org/officeDocument/2006/relationships/hyperlink" Target="http://www.jstor.org/stable/27866525" TargetMode="External"/><Relationship Id="rId156" Type="http://schemas.openxmlformats.org/officeDocument/2006/relationships/hyperlink" Target="http://pubdocs.worldbank.org/en/469991488490821472/IAOS-2016-Hamadeh-AbuShanab-Uses-of-Purchasing-Power-Parities-to-better-inform-policy-making-and-poverty-measurement.pdf" TargetMode="External"/><Relationship Id="rId177" Type="http://schemas.openxmlformats.org/officeDocument/2006/relationships/hyperlink" Target="https://www.tradeclub.standardbank.com/portal/en/market-potential/cameroon/economical-context?clear_s=y" TargetMode="External"/><Relationship Id="rId172" Type="http://schemas.openxmlformats.org/officeDocument/2006/relationships/hyperlink" Target="https://blogs.imf.org/2017/08/01/a-common-cause-for-sustainable-growth-and-stability-in-central-africa/" TargetMode="External"/><Relationship Id="rId13" Type="http://schemas.openxmlformats.org/officeDocument/2006/relationships/footer" Target="footer1.xml"/><Relationship Id="rId18" Type="http://schemas.openxmlformats.org/officeDocument/2006/relationships/chart" Target="charts/chart2.xml"/><Relationship Id="rId39" Type="http://schemas.openxmlformats.org/officeDocument/2006/relationships/image" Target="media/image18.emf"/><Relationship Id="rId109" Type="http://schemas.openxmlformats.org/officeDocument/2006/relationships/oleObject" Target="embeddings/oleObject7.bin"/><Relationship Id="rId34" Type="http://schemas.openxmlformats.org/officeDocument/2006/relationships/image" Target="media/image13.emf"/><Relationship Id="rId50" Type="http://schemas.openxmlformats.org/officeDocument/2006/relationships/image" Target="media/image29.emf"/><Relationship Id="rId55" Type="http://schemas.openxmlformats.org/officeDocument/2006/relationships/image" Target="media/image34.emf"/><Relationship Id="rId76" Type="http://schemas.openxmlformats.org/officeDocument/2006/relationships/image" Target="media/image52.emf"/><Relationship Id="rId97" Type="http://schemas.openxmlformats.org/officeDocument/2006/relationships/image" Target="media/image70.emf"/><Relationship Id="rId104" Type="http://schemas.openxmlformats.org/officeDocument/2006/relationships/image" Target="media/image77.emf"/><Relationship Id="rId120" Type="http://schemas.openxmlformats.org/officeDocument/2006/relationships/hyperlink" Target="http://www.jed.or.kr/full-text/23-1/oskooee.PDF" TargetMode="External"/><Relationship Id="rId125" Type="http://schemas.openxmlformats.org/officeDocument/2006/relationships/hyperlink" Target="http://dx.doi.org/10.2307/1926028" TargetMode="External"/><Relationship Id="rId141" Type="http://schemas.openxmlformats.org/officeDocument/2006/relationships/hyperlink" Target="https://www.investopedia.com/terms/c/capital_conrol.asp" TargetMode="External"/><Relationship Id="rId146" Type="http://schemas.openxmlformats.org/officeDocument/2006/relationships/hyperlink" Target="https://www.encyclopedia.com/social-sciences/applied-and-social-sciences-magazines/capital-controls" TargetMode="External"/><Relationship Id="rId167" Type="http://schemas.openxmlformats.org/officeDocument/2006/relationships/hyperlink" Target="https://www.preservearticles.com/economics/what-is-balance-of-payments-theory-of-rate-of-exchange/19420" TargetMode="External"/><Relationship Id="rId188" Type="http://schemas.openxmlformats.org/officeDocument/2006/relationships/header" Target="header6.xml"/><Relationship Id="rId7" Type="http://schemas.openxmlformats.org/officeDocument/2006/relationships/settings" Target="settings.xml"/><Relationship Id="rId71" Type="http://schemas.openxmlformats.org/officeDocument/2006/relationships/oleObject" Target="embeddings/oleObject1.bin"/><Relationship Id="rId92" Type="http://schemas.openxmlformats.org/officeDocument/2006/relationships/image" Target="media/image65.emf"/><Relationship Id="rId162" Type="http://schemas.openxmlformats.org/officeDocument/2006/relationships/hyperlink" Target="https://knoema.com/IMFSSAFRREO2019Oct/sub-saharan-africa-regional-economic-outlook-afrreo-october-2019" TargetMode="External"/><Relationship Id="rId183" Type="http://schemas.openxmlformats.org/officeDocument/2006/relationships/hyperlink" Target="https://wits.worldbank.org/CountryProfile/en/Country/CAF/Year/LTST/TradeFlow/EXPIMP/Partner/by-country" TargetMode="External"/><Relationship Id="rId2" Type="http://schemas.openxmlformats.org/officeDocument/2006/relationships/customXml" Target="../customXml/item2.xml"/><Relationship Id="rId29" Type="http://schemas.openxmlformats.org/officeDocument/2006/relationships/image" Target="media/image8.emf"/><Relationship Id="rId24" Type="http://schemas.openxmlformats.org/officeDocument/2006/relationships/image" Target="media/image3.emf"/><Relationship Id="rId40" Type="http://schemas.openxmlformats.org/officeDocument/2006/relationships/image" Target="media/image19.emf"/><Relationship Id="rId45" Type="http://schemas.openxmlformats.org/officeDocument/2006/relationships/image" Target="media/image24.emf"/><Relationship Id="rId66" Type="http://schemas.openxmlformats.org/officeDocument/2006/relationships/image" Target="media/image45.emf"/><Relationship Id="rId87" Type="http://schemas.openxmlformats.org/officeDocument/2006/relationships/image" Target="media/image60.emf"/><Relationship Id="rId110" Type="http://schemas.openxmlformats.org/officeDocument/2006/relationships/image" Target="media/image82.emf"/><Relationship Id="rId115" Type="http://schemas.openxmlformats.org/officeDocument/2006/relationships/image" Target="media/image86.emf"/><Relationship Id="rId131" Type="http://schemas.openxmlformats.org/officeDocument/2006/relationships/hyperlink" Target="http://dx.doi.org/10.2307/3867486" TargetMode="External"/><Relationship Id="rId136" Type="http://schemas.openxmlformats.org/officeDocument/2006/relationships/hyperlink" Target="https://www.afdb.org/fileadmin/uploads/afdb/Documents/Publications/2018AEO/African-Economic-Outlook-2018-Central-Africa.pdf" TargetMode="External"/><Relationship Id="rId157" Type="http://schemas.openxmlformats.org/officeDocument/2006/relationships/hyperlink" Target="https://www.investopedia.com/terms/m/multicollinearity.asp" TargetMode="External"/><Relationship Id="rId178" Type="http://schemas.openxmlformats.org/officeDocument/2006/relationships/hyperlink" Target="https://www.transparency.org/en/cpi/2018" TargetMode="External"/><Relationship Id="rId61" Type="http://schemas.openxmlformats.org/officeDocument/2006/relationships/image" Target="media/image40.emf"/><Relationship Id="rId82" Type="http://schemas.openxmlformats.org/officeDocument/2006/relationships/image" Target="media/image55.emf"/><Relationship Id="rId152" Type="http://schemas.openxmlformats.org/officeDocument/2006/relationships/hyperlink" Target="https://www.ecb.europa.eu/euro/exchange/html/index.en.html" TargetMode="External"/><Relationship Id="rId173" Type="http://schemas.openxmlformats.org/officeDocument/2006/relationships/hyperlink" Target="https://www.economicsdiscussion.net/money/demand-for-and-supply-of-money-discussed/1853" TargetMode="External"/><Relationship Id="rId19" Type="http://schemas.openxmlformats.org/officeDocument/2006/relationships/chart" Target="charts/chart3.xml"/><Relationship Id="rId14" Type="http://schemas.openxmlformats.org/officeDocument/2006/relationships/footer" Target="footer2.xml"/><Relationship Id="rId30" Type="http://schemas.openxmlformats.org/officeDocument/2006/relationships/image" Target="media/image9.emf"/><Relationship Id="rId35" Type="http://schemas.openxmlformats.org/officeDocument/2006/relationships/image" Target="media/image14.emf"/><Relationship Id="rId56" Type="http://schemas.openxmlformats.org/officeDocument/2006/relationships/image" Target="media/image35.emf"/><Relationship Id="rId77" Type="http://schemas.openxmlformats.org/officeDocument/2006/relationships/oleObject" Target="embeddings/oleObject4.bin"/><Relationship Id="rId100" Type="http://schemas.openxmlformats.org/officeDocument/2006/relationships/image" Target="media/image73.emf"/><Relationship Id="rId105" Type="http://schemas.openxmlformats.org/officeDocument/2006/relationships/image" Target="media/image78.emf"/><Relationship Id="rId126" Type="http://schemas.openxmlformats.org/officeDocument/2006/relationships/hyperlink" Target="https://ideas.repec.org/a/bla/worlde/v28y2005i4p465-489.html" TargetMode="External"/><Relationship Id="rId147" Type="http://schemas.openxmlformats.org/officeDocument/2006/relationships/hyperlink" Target="https://www.bceao.int/en/content/history-cfa-franc" TargetMode="External"/><Relationship Id="rId168" Type="http://schemas.openxmlformats.org/officeDocument/2006/relationships/hyperlink" Target="https://www.businessmanagementideas.com/foreign-exchange-2/exchange-rates/determination-of-exchange-rates-5-approaches-forex-management/17191" TargetMode="External"/><Relationship Id="rId8" Type="http://schemas.openxmlformats.org/officeDocument/2006/relationships/webSettings" Target="webSettings.xml"/><Relationship Id="rId51" Type="http://schemas.openxmlformats.org/officeDocument/2006/relationships/image" Target="media/image30.emf"/><Relationship Id="rId72" Type="http://schemas.openxmlformats.org/officeDocument/2006/relationships/image" Target="media/image50.emf"/><Relationship Id="rId93" Type="http://schemas.openxmlformats.org/officeDocument/2006/relationships/image" Target="media/image66.emf"/><Relationship Id="rId98" Type="http://schemas.openxmlformats.org/officeDocument/2006/relationships/image" Target="media/image71.emf"/><Relationship Id="rId121" Type="http://schemas.openxmlformats.org/officeDocument/2006/relationships/hyperlink" Target="http://dx.doi.org/10.1080/10168739700000029" TargetMode="External"/><Relationship Id="rId142" Type="http://schemas.openxmlformats.org/officeDocument/2006/relationships/hyperlink" Target="https://econpapers.repec.org/paper/fipfedgsq/77.htm" TargetMode="External"/><Relationship Id="rId163" Type="http://schemas.openxmlformats.org/officeDocument/2006/relationships/hyperlink" Target="https://knoema.com/search?query=Chad%20Real%20effective%20exchange%20rate" TargetMode="External"/><Relationship Id="rId184" Type="http://schemas.openxmlformats.org/officeDocument/2006/relationships/hyperlink" Target="https://wits.worldbank.org/CountryProfile/en/Country/CMR/Year/2018/TradeFlow/EXPIMP" TargetMode="External"/><Relationship Id="rId189" Type="http://schemas.openxmlformats.org/officeDocument/2006/relationships/footer" Target="footer6.xml"/><Relationship Id="rId3" Type="http://schemas.openxmlformats.org/officeDocument/2006/relationships/customXml" Target="../customXml/item3.xml"/><Relationship Id="rId25" Type="http://schemas.openxmlformats.org/officeDocument/2006/relationships/image" Target="media/image4.emf"/><Relationship Id="rId46" Type="http://schemas.openxmlformats.org/officeDocument/2006/relationships/image" Target="media/image25.emf"/><Relationship Id="rId67" Type="http://schemas.openxmlformats.org/officeDocument/2006/relationships/image" Target="media/image46.emf"/><Relationship Id="rId116" Type="http://schemas.openxmlformats.org/officeDocument/2006/relationships/header" Target="header3.xml"/><Relationship Id="rId137" Type="http://schemas.openxmlformats.org/officeDocument/2006/relationships/hyperlink" Target="https://www.thebalance.com/foreign-direct-investment-fdi-pros-cons-and-importance-3306283" TargetMode="External"/><Relationship Id="rId158" Type="http://schemas.openxmlformats.org/officeDocument/2006/relationships/hyperlink" Target="http://www.icc-ccs.org/news/753-imb-notes-increasein-piracy-off-west-africa" TargetMode="External"/><Relationship Id="rId20" Type="http://schemas.openxmlformats.org/officeDocument/2006/relationships/hyperlink" Target="https://knoema.com/IMFSSAFRREO2019Oct/sub-saharan-africa-regional-economic-outlook-afrreo-october-2019" TargetMode="External"/><Relationship Id="rId41" Type="http://schemas.openxmlformats.org/officeDocument/2006/relationships/image" Target="media/image20.emf"/><Relationship Id="rId62" Type="http://schemas.openxmlformats.org/officeDocument/2006/relationships/image" Target="media/image41.emf"/><Relationship Id="rId83" Type="http://schemas.openxmlformats.org/officeDocument/2006/relationships/image" Target="media/image56.emf"/><Relationship Id="rId88" Type="http://schemas.openxmlformats.org/officeDocument/2006/relationships/image" Target="media/image61.emf"/><Relationship Id="rId111" Type="http://schemas.openxmlformats.org/officeDocument/2006/relationships/oleObject" Target="embeddings/oleObject8.bin"/><Relationship Id="rId132" Type="http://schemas.openxmlformats.org/officeDocument/2006/relationships/hyperlink" Target="http://www.cepr.org/pubs/dps/DP6541.asp" TargetMode="External"/><Relationship Id="rId153" Type="http://schemas.openxmlformats.org/officeDocument/2006/relationships/hyperlink" Target="https://fred.stlouisfed.org/series/COGEREERIX" TargetMode="External"/><Relationship Id="rId174" Type="http://schemas.openxmlformats.org/officeDocument/2006/relationships/hyperlink" Target="https://www.investmentfrontier.com/2013/02/19/investors-list-countries-with-fixed-currency-exchange-rates/" TargetMode="External"/><Relationship Id="rId179" Type="http://schemas.openxmlformats.org/officeDocument/2006/relationships/hyperlink" Target="https://dppa.un.org/en/security-council-briefing-situation-central-africa-special-representative-abdoulaye-bathily" TargetMode="External"/><Relationship Id="rId190" Type="http://schemas.openxmlformats.org/officeDocument/2006/relationships/fontTable" Target="fontTable.xml"/><Relationship Id="rId15" Type="http://schemas.openxmlformats.org/officeDocument/2006/relationships/header" Target="header2.xml"/><Relationship Id="rId36" Type="http://schemas.openxmlformats.org/officeDocument/2006/relationships/image" Target="media/image15.emf"/><Relationship Id="rId57" Type="http://schemas.openxmlformats.org/officeDocument/2006/relationships/image" Target="media/image36.emf"/><Relationship Id="rId106" Type="http://schemas.openxmlformats.org/officeDocument/2006/relationships/image" Target="media/image79.png"/><Relationship Id="rId127" Type="http://schemas.openxmlformats.org/officeDocument/2006/relationships/hyperlink" Target="https://ideas.repec.org/s/bla/worlde.html" TargetMode="External"/><Relationship Id="rId10" Type="http://schemas.openxmlformats.org/officeDocument/2006/relationships/endnotes" Target="endnotes.xml"/><Relationship Id="rId31" Type="http://schemas.openxmlformats.org/officeDocument/2006/relationships/image" Target="media/image10.emf"/><Relationship Id="rId52" Type="http://schemas.openxmlformats.org/officeDocument/2006/relationships/image" Target="media/image31.emf"/><Relationship Id="rId73" Type="http://schemas.openxmlformats.org/officeDocument/2006/relationships/oleObject" Target="embeddings/oleObject2.bin"/><Relationship Id="rId78" Type="http://schemas.openxmlformats.org/officeDocument/2006/relationships/image" Target="media/image53.emf"/><Relationship Id="rId94" Type="http://schemas.openxmlformats.org/officeDocument/2006/relationships/image" Target="media/image67.emf"/><Relationship Id="rId99" Type="http://schemas.openxmlformats.org/officeDocument/2006/relationships/image" Target="media/image72.emf"/><Relationship Id="rId101" Type="http://schemas.openxmlformats.org/officeDocument/2006/relationships/image" Target="media/image74.emf"/><Relationship Id="rId122" Type="http://schemas.openxmlformats.org/officeDocument/2006/relationships/hyperlink" Target="https://doi.org/10.2307/2223329" TargetMode="External"/><Relationship Id="rId143" Type="http://schemas.openxmlformats.org/officeDocument/2006/relationships/hyperlink" Target="https://honestproscons.com/pros-and-cons-of-trade-deficit/" TargetMode="External"/><Relationship Id="rId148" Type="http://schemas.openxmlformats.org/officeDocument/2006/relationships/hyperlink" Target="https://voxeu.org/%20article/currency-unions-mean-more-trade-not-everyone" TargetMode="External"/><Relationship Id="rId164" Type="http://schemas.openxmlformats.org/officeDocument/2006/relationships/hyperlink" Target="https://www.lloydsbanktrade.com/en/market-potential/gabon/investment" TargetMode="External"/><Relationship Id="rId169" Type="http://schemas.openxmlformats.org/officeDocument/2006/relationships/hyperlink" Target="https://www.economicshelp.org/blog/11550/currency/money-supply-and-the-exchange-rate/" TargetMode="External"/><Relationship Id="rId185" Type="http://schemas.openxmlformats.org/officeDocument/2006/relationships/hyperlink" Target="https://data.worldbank.org/indicator/BX.KLT.DINV.WD.GD.ZS?locations=GA" TargetMode="External"/><Relationship Id="rId4" Type="http://schemas.openxmlformats.org/officeDocument/2006/relationships/customXml" Target="../customXml/item4.xml"/><Relationship Id="rId9" Type="http://schemas.openxmlformats.org/officeDocument/2006/relationships/footnotes" Target="footnotes.xml"/><Relationship Id="rId180" Type="http://schemas.openxmlformats.org/officeDocument/2006/relationships/hyperlink" Target="https://www.un.org/development/desa/dpad/wp-ntent/uploads/sites/45/WESP2019_BOOK-web.pdf" TargetMode="External"/></Relationships>
</file>

<file path=word/charts/_rels/chart1.xml.rels><?xml version="1.0" encoding="UTF-8" standalone="yes"?>
<Relationships xmlns="http://schemas.openxmlformats.org/package/2006/relationships"><Relationship Id="rId3" Type="http://schemas.openxmlformats.org/officeDocument/2006/relationships/themeOverride" Target="../theme/themeOverride1.xml"/><Relationship Id="rId2" Type="http://schemas.microsoft.com/office/2011/relationships/chartColorStyle" Target="colors1.xml"/><Relationship Id="rId1" Type="http://schemas.microsoft.com/office/2011/relationships/chartStyle" Target="style1.xml"/><Relationship Id="rId4" Type="http://schemas.openxmlformats.org/officeDocument/2006/relationships/package" Target="../embeddings/Microsoft_Excel_Worksheet.xlsx"/></Relationships>
</file>

<file path=word/charts/_rels/chart2.xml.rels><?xml version="1.0" encoding="UTF-8" standalone="yes"?>
<Relationships xmlns="http://schemas.openxmlformats.org/package/2006/relationships"><Relationship Id="rId3" Type="http://schemas.openxmlformats.org/officeDocument/2006/relationships/themeOverride" Target="../theme/themeOverride2.xml"/><Relationship Id="rId2" Type="http://schemas.microsoft.com/office/2011/relationships/chartColorStyle" Target="colors2.xml"/><Relationship Id="rId1" Type="http://schemas.microsoft.com/office/2011/relationships/chartStyle" Target="style2.xml"/><Relationship Id="rId4" Type="http://schemas.openxmlformats.org/officeDocument/2006/relationships/package" Target="../embeddings/Microsoft_Excel_Worksheet1.xlsx"/></Relationships>
</file>

<file path=word/charts/_rels/chart3.xml.rels><?xml version="1.0" encoding="UTF-8" standalone="yes"?>
<Relationships xmlns="http://schemas.openxmlformats.org/package/2006/relationships"><Relationship Id="rId3" Type="http://schemas.openxmlformats.org/officeDocument/2006/relationships/themeOverride" Target="../theme/themeOverride3.xml"/><Relationship Id="rId2" Type="http://schemas.microsoft.com/office/2011/relationships/chartColorStyle" Target="colors3.xml"/><Relationship Id="rId1" Type="http://schemas.microsoft.com/office/2011/relationships/chartStyle" Target="style3.xml"/><Relationship Id="rId4" Type="http://schemas.openxmlformats.org/officeDocument/2006/relationships/oleObject" Target="file:///C:\Users\c7153279\Desktop\PHD%20WORK\RESEARCH%20WORK\Research%20Proposal\DATA%20COLLECTED\Gabon%20Data_Extract_From_World_Development_Indicators%20(13).xlsx" TargetMode="External"/></Relationships>
</file>

<file path=word/charts/chart1.xml><?xml version="1.0" encoding="utf-8"?>
<c:chartSpace xmlns:c="http://schemas.openxmlformats.org/drawingml/2006/chart" xmlns:a="http://schemas.openxmlformats.org/drawingml/2006/main" xmlns:r="http://schemas.openxmlformats.org/officeDocument/2006/relationships" xmlns:c16r2="http://schemas.microsoft.com/office/drawing/2015/06/chart">
  <c:date1904 val="0"/>
  <c:lang val="en-US"/>
  <c:roundedCorners val="0"/>
  <mc:AlternateContent xmlns:mc="http://schemas.openxmlformats.org/markup-compatibility/2006">
    <mc:Choice xmlns:c14="http://schemas.microsoft.com/office/drawing/2007/8/2/chart" Requires="c14">
      <c14:style val="102"/>
    </mc:Choice>
    <mc:Fallback>
      <c:style val="2"/>
    </mc:Fallback>
  </mc:AlternateContent>
  <c:clrMapOvr bg1="lt1" tx1="dk1" bg2="lt2" tx2="dk2" accent1="accent1" accent2="accent2" accent3="accent3" accent4="accent4" accent5="accent5" accent6="accent6" hlink="hlink" folHlink="folHlink"/>
  <c:chart>
    <c:title>
      <c:tx>
        <c:rich>
          <a:bodyPr rot="0" spcFirstLastPara="1" vertOverflow="ellipsis" vert="horz" wrap="square" anchor="ctr" anchorCtr="1"/>
          <a:lstStyle/>
          <a:p>
            <a:pPr>
              <a:defRPr sz="1400" b="0" i="0" u="none" strike="noStrike" kern="1200" spc="0" baseline="0">
                <a:solidFill>
                  <a:schemeClr val="tx1">
                    <a:lumMod val="65000"/>
                    <a:lumOff val="35000"/>
                  </a:schemeClr>
                </a:solidFill>
                <a:latin typeface="+mn-lt"/>
                <a:ea typeface="+mn-ea"/>
                <a:cs typeface="+mn-cs"/>
              </a:defRPr>
            </a:pPr>
            <a:r>
              <a:rPr lang="en-GB"/>
              <a:t>Cameroon's Trade</a:t>
            </a:r>
            <a:r>
              <a:rPr lang="en-GB" baseline="0"/>
              <a:t> Balance and REER</a:t>
            </a:r>
            <a:endParaRPr lang="en-GB"/>
          </a:p>
        </c:rich>
      </c:tx>
      <c:layout>
        <c:manualLayout>
          <c:xMode val="edge"/>
          <c:yMode val="edge"/>
          <c:x val="0.26011284577270699"/>
          <c:y val="2.4615384615384601E-2"/>
        </c:manualLayout>
      </c:layout>
      <c:overlay val="0"/>
      <c:spPr>
        <a:noFill/>
        <a:ln>
          <a:solidFill>
            <a:schemeClr val="tx1"/>
          </a:solidFill>
        </a:ln>
        <a:effectLst/>
      </c:spPr>
      <c:txPr>
        <a:bodyPr rot="0" spcFirstLastPara="1" vertOverflow="ellipsis" vert="horz" wrap="square" anchor="ctr" anchorCtr="1"/>
        <a:lstStyle/>
        <a:p>
          <a:pPr>
            <a:defRPr sz="1400" b="0" i="0" u="none" strike="noStrike" kern="1200" spc="0" baseline="0">
              <a:solidFill>
                <a:schemeClr val="tx1">
                  <a:lumMod val="65000"/>
                  <a:lumOff val="35000"/>
                </a:schemeClr>
              </a:solidFill>
              <a:latin typeface="+mn-lt"/>
              <a:ea typeface="+mn-ea"/>
              <a:cs typeface="+mn-cs"/>
            </a:defRPr>
          </a:pPr>
          <a:endParaRPr lang="en-US"/>
        </a:p>
      </c:txPr>
    </c:title>
    <c:autoTitleDeleted val="0"/>
    <c:plotArea>
      <c:layout/>
      <c:lineChart>
        <c:grouping val="standard"/>
        <c:varyColors val="0"/>
        <c:ser>
          <c:idx val="1"/>
          <c:order val="1"/>
          <c:tx>
            <c:strRef>
              <c:f>Sheet1!$A$3</c:f>
              <c:strCache>
                <c:ptCount val="1"/>
                <c:pt idx="0">
                  <c:v>Real effective exchange rate index (2010 = 100)</c:v>
                </c:pt>
              </c:strCache>
            </c:strRef>
          </c:tx>
          <c:spPr>
            <a:ln w="28575" cap="rnd">
              <a:solidFill>
                <a:schemeClr val="accent2"/>
              </a:solidFill>
              <a:round/>
            </a:ln>
            <a:effectLst>
              <a:glow>
                <a:schemeClr val="accent1">
                  <a:alpha val="40000"/>
                </a:schemeClr>
              </a:glow>
              <a:outerShdw blurRad="800100" dist="1143000" dir="5400000" sx="200000" sy="200000" algn="ctr" rotWithShape="0">
                <a:srgbClr val="000000">
                  <a:alpha val="0"/>
                </a:srgbClr>
              </a:outerShdw>
              <a:softEdge rad="0"/>
            </a:effectLst>
          </c:spPr>
          <c:marker>
            <c:symbol val="none"/>
          </c:marker>
          <c:cat>
            <c:numRef>
              <c:f>Sheet1!$B$1:$AN$1</c:f>
              <c:numCache>
                <c:formatCode>General</c:formatCode>
                <c:ptCount val="39"/>
                <c:pt idx="0">
                  <c:v>1980</c:v>
                </c:pt>
                <c:pt idx="1">
                  <c:v>1981</c:v>
                </c:pt>
                <c:pt idx="2">
                  <c:v>1982</c:v>
                </c:pt>
                <c:pt idx="3">
                  <c:v>1983</c:v>
                </c:pt>
                <c:pt idx="4">
                  <c:v>1984</c:v>
                </c:pt>
                <c:pt idx="5">
                  <c:v>1985</c:v>
                </c:pt>
                <c:pt idx="6">
                  <c:v>1986</c:v>
                </c:pt>
                <c:pt idx="7">
                  <c:v>1987</c:v>
                </c:pt>
                <c:pt idx="8">
                  <c:v>1988</c:v>
                </c:pt>
                <c:pt idx="9">
                  <c:v>1989</c:v>
                </c:pt>
                <c:pt idx="10">
                  <c:v>1990</c:v>
                </c:pt>
                <c:pt idx="11">
                  <c:v>1991</c:v>
                </c:pt>
                <c:pt idx="12">
                  <c:v>1992</c:v>
                </c:pt>
                <c:pt idx="13">
                  <c:v>1993</c:v>
                </c:pt>
                <c:pt idx="14">
                  <c:v>1994</c:v>
                </c:pt>
                <c:pt idx="15">
                  <c:v>1995</c:v>
                </c:pt>
                <c:pt idx="16">
                  <c:v>1996</c:v>
                </c:pt>
                <c:pt idx="17">
                  <c:v>1997</c:v>
                </c:pt>
                <c:pt idx="18">
                  <c:v>1998</c:v>
                </c:pt>
                <c:pt idx="19">
                  <c:v>1999</c:v>
                </c:pt>
                <c:pt idx="20">
                  <c:v>2000</c:v>
                </c:pt>
                <c:pt idx="21">
                  <c:v>2001</c:v>
                </c:pt>
                <c:pt idx="22">
                  <c:v>2002</c:v>
                </c:pt>
                <c:pt idx="23">
                  <c:v>2003</c:v>
                </c:pt>
                <c:pt idx="24">
                  <c:v>2004</c:v>
                </c:pt>
                <c:pt idx="25">
                  <c:v>2005</c:v>
                </c:pt>
                <c:pt idx="26">
                  <c:v>2006</c:v>
                </c:pt>
                <c:pt idx="27">
                  <c:v>2007</c:v>
                </c:pt>
                <c:pt idx="28">
                  <c:v>2008</c:v>
                </c:pt>
                <c:pt idx="29">
                  <c:v>2009</c:v>
                </c:pt>
                <c:pt idx="30">
                  <c:v>2010</c:v>
                </c:pt>
                <c:pt idx="31">
                  <c:v>2011</c:v>
                </c:pt>
                <c:pt idx="32">
                  <c:v>2012</c:v>
                </c:pt>
                <c:pt idx="33">
                  <c:v>2013</c:v>
                </c:pt>
                <c:pt idx="34">
                  <c:v>2014</c:v>
                </c:pt>
                <c:pt idx="35">
                  <c:v>2015</c:v>
                </c:pt>
                <c:pt idx="36">
                  <c:v>2016</c:v>
                </c:pt>
                <c:pt idx="37">
                  <c:v>2017</c:v>
                </c:pt>
                <c:pt idx="38">
                  <c:v>2018</c:v>
                </c:pt>
              </c:numCache>
            </c:numRef>
          </c:cat>
          <c:val>
            <c:numRef>
              <c:f>Sheet1!$B$3:$AN$3</c:f>
              <c:numCache>
                <c:formatCode>General</c:formatCode>
                <c:ptCount val="39"/>
                <c:pt idx="0">
                  <c:v>137.3425</c:v>
                </c:pt>
                <c:pt idx="1">
                  <c:v>126.2283</c:v>
                </c:pt>
                <c:pt idx="2">
                  <c:v>123.42010000000001</c:v>
                </c:pt>
                <c:pt idx="3">
                  <c:v>128.33150000000001</c:v>
                </c:pt>
                <c:pt idx="4">
                  <c:v>130.601</c:v>
                </c:pt>
                <c:pt idx="5">
                  <c:v>136.50470000000001</c:v>
                </c:pt>
                <c:pt idx="6">
                  <c:v>151.12389999999999</c:v>
                </c:pt>
                <c:pt idx="7">
                  <c:v>169.06960000000001</c:v>
                </c:pt>
                <c:pt idx="8">
                  <c:v>164.3673</c:v>
                </c:pt>
                <c:pt idx="9">
                  <c:v>151.66579999999999</c:v>
                </c:pt>
                <c:pt idx="10">
                  <c:v>156.2406</c:v>
                </c:pt>
                <c:pt idx="11">
                  <c:v>149.03960000000001</c:v>
                </c:pt>
                <c:pt idx="12">
                  <c:v>149.92769999999999</c:v>
                </c:pt>
                <c:pt idx="13">
                  <c:v>139.45089999999999</c:v>
                </c:pt>
                <c:pt idx="14">
                  <c:v>90.219309999999993</c:v>
                </c:pt>
                <c:pt idx="15">
                  <c:v>96.948740000000001</c:v>
                </c:pt>
                <c:pt idx="16">
                  <c:v>98.030090000000001</c:v>
                </c:pt>
                <c:pt idx="17">
                  <c:v>97.038200000000003</c:v>
                </c:pt>
                <c:pt idx="18">
                  <c:v>100.4349</c:v>
                </c:pt>
                <c:pt idx="19">
                  <c:v>99.379479999999944</c:v>
                </c:pt>
                <c:pt idx="20">
                  <c:v>93.687769999999986</c:v>
                </c:pt>
                <c:pt idx="21">
                  <c:v>96.846819999999994</c:v>
                </c:pt>
                <c:pt idx="22">
                  <c:v>100.3336</c:v>
                </c:pt>
                <c:pt idx="23">
                  <c:v>103.5604</c:v>
                </c:pt>
                <c:pt idx="24">
                  <c:v>102.94159999999999</c:v>
                </c:pt>
                <c:pt idx="25">
                  <c:v>99.870839999999944</c:v>
                </c:pt>
                <c:pt idx="26">
                  <c:v>101.5124</c:v>
                </c:pt>
                <c:pt idx="27">
                  <c:v>102.1074</c:v>
                </c:pt>
                <c:pt idx="28">
                  <c:v>105.0243</c:v>
                </c:pt>
                <c:pt idx="29">
                  <c:v>106.48009999999999</c:v>
                </c:pt>
                <c:pt idx="30">
                  <c:v>100</c:v>
                </c:pt>
                <c:pt idx="31">
                  <c:v>100.2225</c:v>
                </c:pt>
                <c:pt idx="32">
                  <c:v>96.44923</c:v>
                </c:pt>
                <c:pt idx="33">
                  <c:v>98.909350000000003</c:v>
                </c:pt>
                <c:pt idx="34">
                  <c:v>99.724189999999993</c:v>
                </c:pt>
                <c:pt idx="35">
                  <c:v>93.510059999999996</c:v>
                </c:pt>
                <c:pt idx="36">
                  <c:v>95.633579999999981</c:v>
                </c:pt>
                <c:pt idx="37">
                  <c:v>96.587509999999995</c:v>
                </c:pt>
                <c:pt idx="38">
                  <c:v>98.027050000000003</c:v>
                </c:pt>
              </c:numCache>
            </c:numRef>
          </c:val>
          <c:smooth val="0"/>
          <c:extLst>
            <c:ext xmlns:c16="http://schemas.microsoft.com/office/drawing/2014/chart" uri="{C3380CC4-5D6E-409C-BE32-E72D297353CC}">
              <c16:uniqueId val="{00000000-D66F-42F3-A868-65A0FEAC7A83}"/>
            </c:ext>
          </c:extLst>
        </c:ser>
        <c:dLbls>
          <c:showLegendKey val="0"/>
          <c:showVal val="0"/>
          <c:showCatName val="0"/>
          <c:showSerName val="0"/>
          <c:showPercent val="0"/>
          <c:showBubbleSize val="0"/>
        </c:dLbls>
        <c:marker val="1"/>
        <c:smooth val="0"/>
        <c:axId val="1643138128"/>
        <c:axId val="1461872544"/>
      </c:lineChart>
      <c:lineChart>
        <c:grouping val="standard"/>
        <c:varyColors val="0"/>
        <c:ser>
          <c:idx val="0"/>
          <c:order val="0"/>
          <c:tx>
            <c:strRef>
              <c:f>Sheet1!$A$2</c:f>
              <c:strCache>
                <c:ptCount val="1"/>
                <c:pt idx="0">
                  <c:v>Net TB</c:v>
                </c:pt>
              </c:strCache>
            </c:strRef>
          </c:tx>
          <c:spPr>
            <a:ln w="28575" cap="rnd">
              <a:solidFill>
                <a:schemeClr val="accent1"/>
              </a:solidFill>
              <a:round/>
            </a:ln>
            <a:effectLst/>
          </c:spPr>
          <c:marker>
            <c:symbol val="none"/>
          </c:marker>
          <c:cat>
            <c:numRef>
              <c:f>Sheet1!$B$1:$AN$1</c:f>
              <c:numCache>
                <c:formatCode>General</c:formatCode>
                <c:ptCount val="39"/>
                <c:pt idx="0">
                  <c:v>1980</c:v>
                </c:pt>
                <c:pt idx="1">
                  <c:v>1981</c:v>
                </c:pt>
                <c:pt idx="2">
                  <c:v>1982</c:v>
                </c:pt>
                <c:pt idx="3">
                  <c:v>1983</c:v>
                </c:pt>
                <c:pt idx="4">
                  <c:v>1984</c:v>
                </c:pt>
                <c:pt idx="5">
                  <c:v>1985</c:v>
                </c:pt>
                <c:pt idx="6">
                  <c:v>1986</c:v>
                </c:pt>
                <c:pt idx="7">
                  <c:v>1987</c:v>
                </c:pt>
                <c:pt idx="8">
                  <c:v>1988</c:v>
                </c:pt>
                <c:pt idx="9">
                  <c:v>1989</c:v>
                </c:pt>
                <c:pt idx="10">
                  <c:v>1990</c:v>
                </c:pt>
                <c:pt idx="11">
                  <c:v>1991</c:v>
                </c:pt>
                <c:pt idx="12">
                  <c:v>1992</c:v>
                </c:pt>
                <c:pt idx="13">
                  <c:v>1993</c:v>
                </c:pt>
                <c:pt idx="14">
                  <c:v>1994</c:v>
                </c:pt>
                <c:pt idx="15">
                  <c:v>1995</c:v>
                </c:pt>
                <c:pt idx="16">
                  <c:v>1996</c:v>
                </c:pt>
                <c:pt idx="17">
                  <c:v>1997</c:v>
                </c:pt>
                <c:pt idx="18">
                  <c:v>1998</c:v>
                </c:pt>
                <c:pt idx="19">
                  <c:v>1999</c:v>
                </c:pt>
                <c:pt idx="20">
                  <c:v>2000</c:v>
                </c:pt>
                <c:pt idx="21">
                  <c:v>2001</c:v>
                </c:pt>
                <c:pt idx="22">
                  <c:v>2002</c:v>
                </c:pt>
                <c:pt idx="23">
                  <c:v>2003</c:v>
                </c:pt>
                <c:pt idx="24">
                  <c:v>2004</c:v>
                </c:pt>
                <c:pt idx="25">
                  <c:v>2005</c:v>
                </c:pt>
                <c:pt idx="26">
                  <c:v>2006</c:v>
                </c:pt>
                <c:pt idx="27">
                  <c:v>2007</c:v>
                </c:pt>
                <c:pt idx="28">
                  <c:v>2008</c:v>
                </c:pt>
                <c:pt idx="29">
                  <c:v>2009</c:v>
                </c:pt>
                <c:pt idx="30">
                  <c:v>2010</c:v>
                </c:pt>
                <c:pt idx="31">
                  <c:v>2011</c:v>
                </c:pt>
                <c:pt idx="32">
                  <c:v>2012</c:v>
                </c:pt>
                <c:pt idx="33">
                  <c:v>2013</c:v>
                </c:pt>
                <c:pt idx="34">
                  <c:v>2014</c:v>
                </c:pt>
                <c:pt idx="35">
                  <c:v>2015</c:v>
                </c:pt>
                <c:pt idx="36">
                  <c:v>2016</c:v>
                </c:pt>
                <c:pt idx="37">
                  <c:v>2017</c:v>
                </c:pt>
                <c:pt idx="38">
                  <c:v>2018</c:v>
                </c:pt>
              </c:numCache>
            </c:numRef>
          </c:cat>
          <c:val>
            <c:numRef>
              <c:f>Sheet1!$B$2:$AN$2</c:f>
              <c:numCache>
                <c:formatCode>[$$-540A]#,##0.00</c:formatCode>
                <c:ptCount val="39"/>
                <c:pt idx="0" formatCode="[$$-409]#,##0.00">
                  <c:v>50781980.832199998</c:v>
                </c:pt>
                <c:pt idx="1">
                  <c:v>-499957038.96474898</c:v>
                </c:pt>
                <c:pt idx="2">
                  <c:v>315125679.41308802</c:v>
                </c:pt>
                <c:pt idx="3">
                  <c:v>80758648.302821606</c:v>
                </c:pt>
                <c:pt idx="4">
                  <c:v>193889310.305926</c:v>
                </c:pt>
                <c:pt idx="5">
                  <c:v>152612458.83030501</c:v>
                </c:pt>
                <c:pt idx="6">
                  <c:v>59152861.8398166</c:v>
                </c:pt>
                <c:pt idx="7">
                  <c:v>-483706406.98441899</c:v>
                </c:pt>
                <c:pt idx="8">
                  <c:v>8912820.9417593498</c:v>
                </c:pt>
                <c:pt idx="9">
                  <c:v>327249095.70883799</c:v>
                </c:pt>
                <c:pt idx="10">
                  <c:v>319981524.794034</c:v>
                </c:pt>
                <c:pt idx="11">
                  <c:v>666355596.47152996</c:v>
                </c:pt>
                <c:pt idx="12">
                  <c:v>254303246.44892901</c:v>
                </c:pt>
                <c:pt idx="13">
                  <c:v>214366669.65623501</c:v>
                </c:pt>
                <c:pt idx="14">
                  <c:v>227032203.02340499</c:v>
                </c:pt>
                <c:pt idx="15">
                  <c:v>291639800.150666</c:v>
                </c:pt>
                <c:pt idx="16">
                  <c:v>8734513.7557749692</c:v>
                </c:pt>
                <c:pt idx="17">
                  <c:v>-8952490.8247742709</c:v>
                </c:pt>
                <c:pt idx="18">
                  <c:v>8530919.5006933194</c:v>
                </c:pt>
                <c:pt idx="19">
                  <c:v>-30257921.419518001</c:v>
                </c:pt>
                <c:pt idx="20">
                  <c:v>97163768.091718704</c:v>
                </c:pt>
                <c:pt idx="21">
                  <c:v>-253716340.95617101</c:v>
                </c:pt>
                <c:pt idx="22">
                  <c:v>-376214806.21910101</c:v>
                </c:pt>
                <c:pt idx="23">
                  <c:v>-696295473.69469702</c:v>
                </c:pt>
                <c:pt idx="24">
                  <c:v>-264280937.85776201</c:v>
                </c:pt>
                <c:pt idx="25">
                  <c:v>-318078003.20057303</c:v>
                </c:pt>
                <c:pt idx="26">
                  <c:v>-129665870.51466499</c:v>
                </c:pt>
                <c:pt idx="27">
                  <c:v>-161559281.80295399</c:v>
                </c:pt>
                <c:pt idx="28">
                  <c:v>-1020528341.2233</c:v>
                </c:pt>
                <c:pt idx="29">
                  <c:v>-1292047227.96913</c:v>
                </c:pt>
                <c:pt idx="30">
                  <c:v>-1249561356.5741999</c:v>
                </c:pt>
                <c:pt idx="31">
                  <c:v>-1488017469.3626001</c:v>
                </c:pt>
                <c:pt idx="32">
                  <c:v>-1208041649.5030301</c:v>
                </c:pt>
                <c:pt idx="33">
                  <c:v>-1445945672.41519</c:v>
                </c:pt>
                <c:pt idx="34">
                  <c:v>-1813065946.6238</c:v>
                </c:pt>
                <c:pt idx="35">
                  <c:v>-1653978911.13273</c:v>
                </c:pt>
                <c:pt idx="36">
                  <c:v>-1541634668.79547</c:v>
                </c:pt>
                <c:pt idx="37">
                  <c:v>-1404641101.29178</c:v>
                </c:pt>
                <c:pt idx="38">
                  <c:v>-1695464856.44332</c:v>
                </c:pt>
              </c:numCache>
            </c:numRef>
          </c:val>
          <c:smooth val="0"/>
          <c:extLst>
            <c:ext xmlns:c16="http://schemas.microsoft.com/office/drawing/2014/chart" uri="{C3380CC4-5D6E-409C-BE32-E72D297353CC}">
              <c16:uniqueId val="{00000001-D66F-42F3-A868-65A0FEAC7A83}"/>
            </c:ext>
          </c:extLst>
        </c:ser>
        <c:dLbls>
          <c:showLegendKey val="0"/>
          <c:showVal val="0"/>
          <c:showCatName val="0"/>
          <c:showSerName val="0"/>
          <c:showPercent val="0"/>
          <c:showBubbleSize val="0"/>
        </c:dLbls>
        <c:upDownBars>
          <c:gapWidth val="150"/>
          <c:upBars>
            <c:spPr>
              <a:solidFill>
                <a:schemeClr val="lt1"/>
              </a:solidFill>
              <a:ln w="9525">
                <a:solidFill>
                  <a:schemeClr val="tx1">
                    <a:lumMod val="15000"/>
                    <a:lumOff val="85000"/>
                  </a:schemeClr>
                </a:solidFill>
              </a:ln>
              <a:effectLst/>
            </c:spPr>
          </c:upBars>
          <c:downBars>
            <c:spPr>
              <a:solidFill>
                <a:schemeClr val="dk1">
                  <a:lumMod val="65000"/>
                  <a:lumOff val="35000"/>
                </a:schemeClr>
              </a:solidFill>
              <a:ln w="9525">
                <a:solidFill>
                  <a:schemeClr val="tx1">
                    <a:lumMod val="65000"/>
                    <a:lumOff val="35000"/>
                  </a:schemeClr>
                </a:solidFill>
              </a:ln>
              <a:effectLst/>
            </c:spPr>
          </c:downBars>
        </c:upDownBars>
        <c:marker val="1"/>
        <c:smooth val="0"/>
        <c:axId val="1392961376"/>
        <c:axId val="1748832816"/>
      </c:lineChart>
      <c:catAx>
        <c:axId val="1643138128"/>
        <c:scaling>
          <c:orientation val="minMax"/>
        </c:scaling>
        <c:delete val="0"/>
        <c:axPos val="b"/>
        <c:numFmt formatCode="General" sourceLinked="1"/>
        <c:majorTickMark val="cross"/>
        <c:minorTickMark val="in"/>
        <c:tickLblPos val="low"/>
        <c:spPr>
          <a:noFill/>
          <a:ln w="3175" cap="flat" cmpd="sng" algn="ctr">
            <a:solidFill>
              <a:schemeClr val="tx1">
                <a:lumMod val="15000"/>
                <a:lumOff val="85000"/>
              </a:schemeClr>
            </a:solidFill>
            <a:round/>
          </a:ln>
          <a:effectLst/>
        </c:spPr>
        <c:txPr>
          <a:bodyPr rot="-5400000" spcFirstLastPara="1" vertOverflow="ellipsis" wrap="square" anchor="ctr" anchorCtr="0"/>
          <a:lstStyle/>
          <a:p>
            <a:pPr>
              <a:defRPr sz="900" b="0" i="0" u="none" strike="noStrike" kern="1200" baseline="0">
                <a:solidFill>
                  <a:schemeClr val="tx1">
                    <a:lumMod val="65000"/>
                    <a:lumOff val="35000"/>
                  </a:schemeClr>
                </a:solidFill>
                <a:latin typeface="+mn-lt"/>
                <a:ea typeface="+mn-ea"/>
                <a:cs typeface="+mn-cs"/>
              </a:defRPr>
            </a:pPr>
            <a:endParaRPr lang="en-US"/>
          </a:p>
        </c:txPr>
        <c:crossAx val="1461872544"/>
        <c:crosses val="autoZero"/>
        <c:auto val="1"/>
        <c:lblAlgn val="ctr"/>
        <c:lblOffset val="100"/>
        <c:noMultiLvlLbl val="0"/>
      </c:catAx>
      <c:valAx>
        <c:axId val="1461872544"/>
        <c:scaling>
          <c:orientation val="minMax"/>
        </c:scaling>
        <c:delete val="0"/>
        <c:axPos val="l"/>
        <c:majorGridlines>
          <c:spPr>
            <a:ln w="9525" cap="flat" cmpd="sng" algn="ctr">
              <a:solidFill>
                <a:schemeClr val="tx1">
                  <a:lumMod val="15000"/>
                  <a:lumOff val="85000"/>
                </a:schemeClr>
              </a:solidFill>
              <a:round/>
            </a:ln>
            <a:effectLst/>
          </c:spPr>
        </c:majorGridlines>
        <c:title>
          <c:tx>
            <c:rich>
              <a:bodyPr rot="-5400000" spcFirstLastPara="1" vertOverflow="ellipsis" vert="horz" wrap="square" anchor="ctr" anchorCtr="1"/>
              <a:lstStyle/>
              <a:p>
                <a:pPr>
                  <a:defRPr sz="1000" b="0" i="0" u="none" strike="noStrike" kern="1200" baseline="0">
                    <a:solidFill>
                      <a:schemeClr val="tx1">
                        <a:lumMod val="65000"/>
                        <a:lumOff val="35000"/>
                      </a:schemeClr>
                    </a:solidFill>
                    <a:latin typeface="+mn-lt"/>
                    <a:ea typeface="+mn-ea"/>
                    <a:cs typeface="+mn-cs"/>
                  </a:defRPr>
                </a:pPr>
                <a:r>
                  <a:rPr lang="en-GB"/>
                  <a:t>Real Effective Exchange Rate</a:t>
                </a:r>
              </a:p>
            </c:rich>
          </c:tx>
          <c:overlay val="0"/>
          <c:spPr>
            <a:noFill/>
            <a:ln>
              <a:noFill/>
            </a:ln>
            <a:effectLst/>
          </c:spPr>
          <c:txPr>
            <a:bodyPr rot="-5400000" spcFirstLastPara="1" vertOverflow="ellipsis" vert="horz" wrap="square" anchor="ctr" anchorCtr="1"/>
            <a:lstStyle/>
            <a:p>
              <a:pPr>
                <a:defRPr sz="1000" b="0" i="0" u="none" strike="noStrike" kern="1200" baseline="0">
                  <a:solidFill>
                    <a:schemeClr val="tx1">
                      <a:lumMod val="65000"/>
                      <a:lumOff val="35000"/>
                    </a:schemeClr>
                  </a:solidFill>
                  <a:latin typeface="+mn-lt"/>
                  <a:ea typeface="+mn-ea"/>
                  <a:cs typeface="+mn-cs"/>
                </a:defRPr>
              </a:pPr>
              <a:endParaRPr lang="en-US"/>
            </a:p>
          </c:txPr>
        </c:title>
        <c:numFmt formatCode="General" sourceLinked="1"/>
        <c:majorTickMark val="none"/>
        <c:minorTickMark val="none"/>
        <c:tickLblPos val="nextTo"/>
        <c:spPr>
          <a:noFill/>
          <a:ln>
            <a:noFill/>
          </a:ln>
          <a:effectLst/>
        </c:spPr>
        <c:txPr>
          <a:bodyPr rot="-60000000" spcFirstLastPara="1" vertOverflow="ellipsis" vert="horz" wrap="square" anchor="ctr" anchorCtr="1"/>
          <a:lstStyle/>
          <a:p>
            <a:pPr>
              <a:defRPr sz="900" b="0" i="0" u="none" strike="noStrike" kern="1200" baseline="0">
                <a:solidFill>
                  <a:schemeClr val="tx1">
                    <a:lumMod val="65000"/>
                    <a:lumOff val="35000"/>
                  </a:schemeClr>
                </a:solidFill>
                <a:latin typeface="+mn-lt"/>
                <a:ea typeface="+mn-ea"/>
                <a:cs typeface="+mn-cs"/>
              </a:defRPr>
            </a:pPr>
            <a:endParaRPr lang="en-US"/>
          </a:p>
        </c:txPr>
        <c:crossAx val="1643138128"/>
        <c:crosses val="autoZero"/>
        <c:crossBetween val="midCat"/>
      </c:valAx>
      <c:valAx>
        <c:axId val="1748832816"/>
        <c:scaling>
          <c:orientation val="minMax"/>
        </c:scaling>
        <c:delete val="0"/>
        <c:axPos val="r"/>
        <c:numFmt formatCode="[$$-409]#,##0.00" sourceLinked="1"/>
        <c:majorTickMark val="out"/>
        <c:minorTickMark val="none"/>
        <c:tickLblPos val="nextTo"/>
        <c:spPr>
          <a:noFill/>
          <a:ln>
            <a:noFill/>
          </a:ln>
          <a:effectLst/>
        </c:spPr>
        <c:txPr>
          <a:bodyPr rot="-60000000" spcFirstLastPara="1" vertOverflow="ellipsis" vert="horz" wrap="square" anchor="ctr" anchorCtr="1"/>
          <a:lstStyle/>
          <a:p>
            <a:pPr>
              <a:defRPr sz="900" b="0" i="0" u="none" strike="noStrike" kern="1200" baseline="0">
                <a:solidFill>
                  <a:schemeClr val="tx1">
                    <a:lumMod val="65000"/>
                    <a:lumOff val="35000"/>
                  </a:schemeClr>
                </a:solidFill>
                <a:latin typeface="+mn-lt"/>
                <a:ea typeface="+mn-ea"/>
                <a:cs typeface="+mn-cs"/>
              </a:defRPr>
            </a:pPr>
            <a:endParaRPr lang="en-US"/>
          </a:p>
        </c:txPr>
        <c:crossAx val="1392961376"/>
        <c:crosses val="max"/>
        <c:crossBetween val="between"/>
        <c:dispUnits>
          <c:builtInUnit val="millions"/>
          <c:dispUnitsLbl>
            <c:layout>
              <c:manualLayout>
                <c:xMode val="edge"/>
                <c:yMode val="edge"/>
                <c:x val="0.94041719404363799"/>
                <c:y val="0.22601025641025599"/>
              </c:manualLayout>
            </c:layout>
            <c:tx>
              <c:rich>
                <a:bodyPr rot="-5400000" spcFirstLastPara="1" vertOverflow="ellipsis" vert="horz" wrap="square" anchor="ctr" anchorCtr="1"/>
                <a:lstStyle/>
                <a:p>
                  <a:pPr>
                    <a:defRPr sz="1000" b="0" i="0" u="none" strike="noStrike" kern="1200" baseline="0">
                      <a:solidFill>
                        <a:schemeClr val="tx1">
                          <a:lumMod val="65000"/>
                          <a:lumOff val="35000"/>
                        </a:schemeClr>
                      </a:solidFill>
                      <a:latin typeface="+mn-lt"/>
                      <a:ea typeface="+mn-ea"/>
                      <a:cs typeface="+mn-cs"/>
                    </a:defRPr>
                  </a:pPr>
                  <a:r>
                    <a:rPr lang="en-GB"/>
                    <a:t>Net Trade Balance Millions</a:t>
                  </a:r>
                </a:p>
              </c:rich>
            </c:tx>
            <c:spPr>
              <a:noFill/>
              <a:ln>
                <a:noFill/>
              </a:ln>
              <a:effectLst/>
            </c:spPr>
            <c:txPr>
              <a:bodyPr rot="-5400000" spcFirstLastPara="1" vertOverflow="ellipsis" vert="horz" wrap="square" anchor="ctr" anchorCtr="1"/>
              <a:lstStyle/>
              <a:p>
                <a:pPr>
                  <a:defRPr sz="1000" b="0" i="0" u="none" strike="noStrike" kern="1200" baseline="0">
                    <a:solidFill>
                      <a:schemeClr val="tx1">
                        <a:lumMod val="65000"/>
                        <a:lumOff val="35000"/>
                      </a:schemeClr>
                    </a:solidFill>
                    <a:latin typeface="+mn-lt"/>
                    <a:ea typeface="+mn-ea"/>
                    <a:cs typeface="+mn-cs"/>
                  </a:defRPr>
                </a:pPr>
                <a:endParaRPr lang="en-US"/>
              </a:p>
            </c:txPr>
          </c:dispUnitsLbl>
        </c:dispUnits>
      </c:valAx>
      <c:catAx>
        <c:axId val="1392961376"/>
        <c:scaling>
          <c:orientation val="minMax"/>
        </c:scaling>
        <c:delete val="1"/>
        <c:axPos val="b"/>
        <c:numFmt formatCode="General" sourceLinked="1"/>
        <c:majorTickMark val="out"/>
        <c:minorTickMark val="none"/>
        <c:tickLblPos val="nextTo"/>
        <c:crossAx val="1748832816"/>
        <c:crosses val="autoZero"/>
        <c:auto val="0"/>
        <c:lblAlgn val="ctr"/>
        <c:lblOffset val="100"/>
        <c:noMultiLvlLbl val="0"/>
      </c:catAx>
      <c:spPr>
        <a:noFill/>
        <a:ln>
          <a:noFill/>
        </a:ln>
        <a:effectLst/>
      </c:spPr>
    </c:plotArea>
    <c:legend>
      <c:legendPos val="b"/>
      <c:overlay val="0"/>
      <c:spPr>
        <a:noFill/>
        <a:ln>
          <a:noFill/>
        </a:ln>
        <a:effectLst/>
      </c:spPr>
      <c:txPr>
        <a:bodyPr rot="0" spcFirstLastPara="1" vertOverflow="ellipsis" vert="horz" wrap="square" anchor="ctr" anchorCtr="1"/>
        <a:lstStyle/>
        <a:p>
          <a:pPr>
            <a:defRPr sz="900" b="0" i="0" u="none" strike="noStrike" kern="1200" baseline="0">
              <a:solidFill>
                <a:schemeClr val="tx1">
                  <a:lumMod val="65000"/>
                  <a:lumOff val="35000"/>
                </a:schemeClr>
              </a:solidFill>
              <a:latin typeface="+mn-lt"/>
              <a:ea typeface="+mn-ea"/>
              <a:cs typeface="+mn-cs"/>
            </a:defRPr>
          </a:pPr>
          <a:endParaRPr lang="en-US"/>
        </a:p>
      </c:txPr>
    </c:legend>
    <c:plotVisOnly val="0"/>
    <c:dispBlanksAs val="gap"/>
    <c:showDLblsOverMax val="0"/>
  </c:chart>
  <c:spPr>
    <a:solidFill>
      <a:schemeClr val="bg1"/>
    </a:solidFill>
    <a:ln w="9525" cap="flat" cmpd="sng" algn="ctr">
      <a:solidFill>
        <a:schemeClr val="tx1">
          <a:lumMod val="15000"/>
          <a:lumOff val="85000"/>
        </a:schemeClr>
      </a:solidFill>
      <a:round/>
    </a:ln>
    <a:effectLst/>
  </c:spPr>
  <c:txPr>
    <a:bodyPr/>
    <a:lstStyle/>
    <a:p>
      <a:pPr>
        <a:defRPr/>
      </a:pPr>
      <a:endParaRPr lang="en-US"/>
    </a:p>
  </c:txPr>
  <c:externalData r:id="rId4">
    <c:autoUpdate val="0"/>
  </c:externalData>
</c:chartSpace>
</file>

<file path=word/charts/chart2.xml><?xml version="1.0" encoding="utf-8"?>
<c:chartSpace xmlns:c="http://schemas.openxmlformats.org/drawingml/2006/chart" xmlns:a="http://schemas.openxmlformats.org/drawingml/2006/main" xmlns:r="http://schemas.openxmlformats.org/officeDocument/2006/relationships" xmlns:c16r2="http://schemas.microsoft.com/office/drawing/2015/06/chart">
  <c:date1904 val="0"/>
  <c:lang val="en-US"/>
  <c:roundedCorners val="0"/>
  <mc:AlternateContent xmlns:mc="http://schemas.openxmlformats.org/markup-compatibility/2006">
    <mc:Choice xmlns:c14="http://schemas.microsoft.com/office/drawing/2007/8/2/chart" Requires="c14">
      <c14:style val="102"/>
    </mc:Choice>
    <mc:Fallback>
      <c:style val="2"/>
    </mc:Fallback>
  </mc:AlternateContent>
  <c:clrMapOvr bg1="lt1" tx1="dk1" bg2="lt2" tx2="dk2" accent1="accent1" accent2="accent2" accent3="accent3" accent4="accent4" accent5="accent5" accent6="accent6" hlink="hlink" folHlink="folHlink"/>
  <c:chart>
    <c:title>
      <c:tx>
        <c:rich>
          <a:bodyPr rot="0" spcFirstLastPara="1" vertOverflow="ellipsis" vert="horz" wrap="square" anchor="ctr" anchorCtr="1"/>
          <a:lstStyle/>
          <a:p>
            <a:pPr>
              <a:defRPr sz="1400" b="0" i="0" u="none" strike="noStrike" kern="1200" spc="0" baseline="0">
                <a:solidFill>
                  <a:schemeClr val="tx1">
                    <a:lumMod val="65000"/>
                    <a:lumOff val="35000"/>
                  </a:schemeClr>
                </a:solidFill>
                <a:latin typeface="+mn-lt"/>
                <a:ea typeface="+mn-ea"/>
                <a:cs typeface="+mn-cs"/>
              </a:defRPr>
            </a:pPr>
            <a:r>
              <a:rPr lang="en-US"/>
              <a:t>Central African Republic Trade Balance and REER </a:t>
            </a:r>
          </a:p>
        </c:rich>
      </c:tx>
      <c:overlay val="0"/>
      <c:spPr>
        <a:noFill/>
        <a:ln>
          <a:noFill/>
        </a:ln>
        <a:effectLst/>
      </c:spPr>
      <c:txPr>
        <a:bodyPr rot="0" spcFirstLastPara="1" vertOverflow="ellipsis" vert="horz" wrap="square" anchor="ctr" anchorCtr="1"/>
        <a:lstStyle/>
        <a:p>
          <a:pPr>
            <a:defRPr sz="1400" b="0" i="0" u="none" strike="noStrike" kern="1200" spc="0" baseline="0">
              <a:solidFill>
                <a:schemeClr val="tx1">
                  <a:lumMod val="65000"/>
                  <a:lumOff val="35000"/>
                </a:schemeClr>
              </a:solidFill>
              <a:latin typeface="+mn-lt"/>
              <a:ea typeface="+mn-ea"/>
              <a:cs typeface="+mn-cs"/>
            </a:defRPr>
          </a:pPr>
          <a:endParaRPr lang="en-US"/>
        </a:p>
      </c:txPr>
    </c:title>
    <c:autoTitleDeleted val="0"/>
    <c:plotArea>
      <c:layout/>
      <c:lineChart>
        <c:grouping val="standard"/>
        <c:varyColors val="0"/>
        <c:ser>
          <c:idx val="1"/>
          <c:order val="1"/>
          <c:tx>
            <c:strRef>
              <c:f>Sheet1!$A$3</c:f>
              <c:strCache>
                <c:ptCount val="1"/>
                <c:pt idx="0">
                  <c:v>Real effective exchange rate index (2010 = 100)</c:v>
                </c:pt>
              </c:strCache>
            </c:strRef>
          </c:tx>
          <c:spPr>
            <a:ln w="28575" cap="rnd">
              <a:solidFill>
                <a:schemeClr val="accent2"/>
              </a:solidFill>
              <a:round/>
            </a:ln>
            <a:effectLst/>
          </c:spPr>
          <c:marker>
            <c:symbol val="none"/>
          </c:marker>
          <c:cat>
            <c:numRef>
              <c:f>Sheet1!$B$1:$AN$1</c:f>
              <c:numCache>
                <c:formatCode>General</c:formatCode>
                <c:ptCount val="39"/>
                <c:pt idx="0">
                  <c:v>1980</c:v>
                </c:pt>
                <c:pt idx="1">
                  <c:v>1981</c:v>
                </c:pt>
                <c:pt idx="2">
                  <c:v>1982</c:v>
                </c:pt>
                <c:pt idx="3">
                  <c:v>1983</c:v>
                </c:pt>
                <c:pt idx="4">
                  <c:v>1984</c:v>
                </c:pt>
                <c:pt idx="5">
                  <c:v>1985</c:v>
                </c:pt>
                <c:pt idx="6">
                  <c:v>1986</c:v>
                </c:pt>
                <c:pt idx="7">
                  <c:v>1987</c:v>
                </c:pt>
                <c:pt idx="8">
                  <c:v>1988</c:v>
                </c:pt>
                <c:pt idx="9">
                  <c:v>1989</c:v>
                </c:pt>
                <c:pt idx="10">
                  <c:v>1990</c:v>
                </c:pt>
                <c:pt idx="11">
                  <c:v>1991</c:v>
                </c:pt>
                <c:pt idx="12">
                  <c:v>1992</c:v>
                </c:pt>
                <c:pt idx="13">
                  <c:v>1993</c:v>
                </c:pt>
                <c:pt idx="14">
                  <c:v>1994</c:v>
                </c:pt>
                <c:pt idx="15">
                  <c:v>1995</c:v>
                </c:pt>
                <c:pt idx="16">
                  <c:v>1996</c:v>
                </c:pt>
                <c:pt idx="17">
                  <c:v>1997</c:v>
                </c:pt>
                <c:pt idx="18">
                  <c:v>1998</c:v>
                </c:pt>
                <c:pt idx="19">
                  <c:v>1999</c:v>
                </c:pt>
                <c:pt idx="20">
                  <c:v>2000</c:v>
                </c:pt>
                <c:pt idx="21">
                  <c:v>2001</c:v>
                </c:pt>
                <c:pt idx="22">
                  <c:v>2002</c:v>
                </c:pt>
                <c:pt idx="23">
                  <c:v>2003</c:v>
                </c:pt>
                <c:pt idx="24">
                  <c:v>2004</c:v>
                </c:pt>
                <c:pt idx="25">
                  <c:v>2005</c:v>
                </c:pt>
                <c:pt idx="26">
                  <c:v>2006</c:v>
                </c:pt>
                <c:pt idx="27">
                  <c:v>2007</c:v>
                </c:pt>
                <c:pt idx="28">
                  <c:v>2008</c:v>
                </c:pt>
                <c:pt idx="29">
                  <c:v>2009</c:v>
                </c:pt>
                <c:pt idx="30">
                  <c:v>2010</c:v>
                </c:pt>
                <c:pt idx="31">
                  <c:v>2011</c:v>
                </c:pt>
                <c:pt idx="32">
                  <c:v>2012</c:v>
                </c:pt>
                <c:pt idx="33">
                  <c:v>2013</c:v>
                </c:pt>
                <c:pt idx="34">
                  <c:v>2014</c:v>
                </c:pt>
                <c:pt idx="35">
                  <c:v>2015</c:v>
                </c:pt>
                <c:pt idx="36">
                  <c:v>2016</c:v>
                </c:pt>
                <c:pt idx="37">
                  <c:v>2017</c:v>
                </c:pt>
                <c:pt idx="38">
                  <c:v>2018</c:v>
                </c:pt>
              </c:numCache>
            </c:numRef>
          </c:cat>
          <c:val>
            <c:numRef>
              <c:f>Sheet1!$B$3:$AN$3</c:f>
              <c:numCache>
                <c:formatCode>_(* #,##0.00_);_(* \(#,##0.00\);_(* "-"??_);_(@_)</c:formatCode>
                <c:ptCount val="39"/>
                <c:pt idx="0">
                  <c:v>202.34738377155199</c:v>
                </c:pt>
                <c:pt idx="1">
                  <c:v>176.7697097611516</c:v>
                </c:pt>
                <c:pt idx="2">
                  <c:v>173.88490509597</c:v>
                </c:pt>
                <c:pt idx="3">
                  <c:v>178.388747183492</c:v>
                </c:pt>
                <c:pt idx="4">
                  <c:v>168.12200734545701</c:v>
                </c:pt>
                <c:pt idx="5">
                  <c:v>179.257560633574</c:v>
                </c:pt>
                <c:pt idx="6">
                  <c:v>188.092452460695</c:v>
                </c:pt>
                <c:pt idx="7">
                  <c:v>173.72039667300101</c:v>
                </c:pt>
                <c:pt idx="8">
                  <c:v>160.34703365036401</c:v>
                </c:pt>
                <c:pt idx="9">
                  <c:v>153.48494082448099</c:v>
                </c:pt>
                <c:pt idx="10">
                  <c:v>155.15326132749701</c:v>
                </c:pt>
                <c:pt idx="11">
                  <c:v>143.70350182522401</c:v>
                </c:pt>
                <c:pt idx="12">
                  <c:v>140.89764670800801</c:v>
                </c:pt>
                <c:pt idx="13">
                  <c:v>132.249899472392</c:v>
                </c:pt>
                <c:pt idx="14">
                  <c:v>82.835494239096477</c:v>
                </c:pt>
                <c:pt idx="15">
                  <c:v>97.888245854037578</c:v>
                </c:pt>
                <c:pt idx="16">
                  <c:v>99.692123286181683</c:v>
                </c:pt>
                <c:pt idx="17">
                  <c:v>96.163590792554004</c:v>
                </c:pt>
                <c:pt idx="18">
                  <c:v>93.917357333997401</c:v>
                </c:pt>
                <c:pt idx="19">
                  <c:v>89.846514343790801</c:v>
                </c:pt>
                <c:pt idx="20">
                  <c:v>87.002606983163403</c:v>
                </c:pt>
                <c:pt idx="21">
                  <c:v>88.877612545772607</c:v>
                </c:pt>
                <c:pt idx="22">
                  <c:v>90.823848685169082</c:v>
                </c:pt>
                <c:pt idx="23">
                  <c:v>96.835037451155046</c:v>
                </c:pt>
                <c:pt idx="24">
                  <c:v>93.893041723669043</c:v>
                </c:pt>
                <c:pt idx="25">
                  <c:v>93.043009000158804</c:v>
                </c:pt>
                <c:pt idx="26">
                  <c:v>96.456854480247401</c:v>
                </c:pt>
                <c:pt idx="27">
                  <c:v>97.424053771154405</c:v>
                </c:pt>
                <c:pt idx="28">
                  <c:v>104.088376845779</c:v>
                </c:pt>
                <c:pt idx="29">
                  <c:v>106.381633010947</c:v>
                </c:pt>
                <c:pt idx="30">
                  <c:v>100</c:v>
                </c:pt>
                <c:pt idx="31">
                  <c:v>98.436920497834393</c:v>
                </c:pt>
                <c:pt idx="32">
                  <c:v>97.837031910441141</c:v>
                </c:pt>
                <c:pt idx="33">
                  <c:v>105.136132460247</c:v>
                </c:pt>
                <c:pt idx="34">
                  <c:v>116.42474088412401</c:v>
                </c:pt>
                <c:pt idx="35">
                  <c:v>113.01313137308</c:v>
                </c:pt>
                <c:pt idx="36">
                  <c:v>119.186598889504</c:v>
                </c:pt>
                <c:pt idx="37">
                  <c:v>123.35439811877499</c:v>
                </c:pt>
                <c:pt idx="38">
                  <c:v>129.06429152608399</c:v>
                </c:pt>
              </c:numCache>
            </c:numRef>
          </c:val>
          <c:smooth val="0"/>
          <c:extLst>
            <c:ext xmlns:c16="http://schemas.microsoft.com/office/drawing/2014/chart" uri="{C3380CC4-5D6E-409C-BE32-E72D297353CC}">
              <c16:uniqueId val="{00000000-61CC-478E-9555-1432921F970F}"/>
            </c:ext>
          </c:extLst>
        </c:ser>
        <c:dLbls>
          <c:showLegendKey val="0"/>
          <c:showVal val="0"/>
          <c:showCatName val="0"/>
          <c:showSerName val="0"/>
          <c:showPercent val="0"/>
          <c:showBubbleSize val="0"/>
        </c:dLbls>
        <c:marker val="1"/>
        <c:smooth val="0"/>
        <c:axId val="1580669552"/>
        <c:axId val="1655525200"/>
      </c:lineChart>
      <c:lineChart>
        <c:grouping val="standard"/>
        <c:varyColors val="0"/>
        <c:ser>
          <c:idx val="0"/>
          <c:order val="0"/>
          <c:tx>
            <c:strRef>
              <c:f>Sheet1!$A$2</c:f>
              <c:strCache>
                <c:ptCount val="1"/>
                <c:pt idx="0">
                  <c:v>Net TB</c:v>
                </c:pt>
              </c:strCache>
            </c:strRef>
          </c:tx>
          <c:spPr>
            <a:ln w="28575" cap="rnd">
              <a:solidFill>
                <a:schemeClr val="accent1"/>
              </a:solidFill>
              <a:round/>
            </a:ln>
            <a:effectLst/>
          </c:spPr>
          <c:marker>
            <c:symbol val="none"/>
          </c:marker>
          <c:cat>
            <c:numRef>
              <c:f>Sheet1!$B$1:$AN$1</c:f>
              <c:numCache>
                <c:formatCode>General</c:formatCode>
                <c:ptCount val="39"/>
                <c:pt idx="0">
                  <c:v>1980</c:v>
                </c:pt>
                <c:pt idx="1">
                  <c:v>1981</c:v>
                </c:pt>
                <c:pt idx="2">
                  <c:v>1982</c:v>
                </c:pt>
                <c:pt idx="3">
                  <c:v>1983</c:v>
                </c:pt>
                <c:pt idx="4">
                  <c:v>1984</c:v>
                </c:pt>
                <c:pt idx="5">
                  <c:v>1985</c:v>
                </c:pt>
                <c:pt idx="6">
                  <c:v>1986</c:v>
                </c:pt>
                <c:pt idx="7">
                  <c:v>1987</c:v>
                </c:pt>
                <c:pt idx="8">
                  <c:v>1988</c:v>
                </c:pt>
                <c:pt idx="9">
                  <c:v>1989</c:v>
                </c:pt>
                <c:pt idx="10">
                  <c:v>1990</c:v>
                </c:pt>
                <c:pt idx="11">
                  <c:v>1991</c:v>
                </c:pt>
                <c:pt idx="12">
                  <c:v>1992</c:v>
                </c:pt>
                <c:pt idx="13">
                  <c:v>1993</c:v>
                </c:pt>
                <c:pt idx="14">
                  <c:v>1994</c:v>
                </c:pt>
                <c:pt idx="15">
                  <c:v>1995</c:v>
                </c:pt>
                <c:pt idx="16">
                  <c:v>1996</c:v>
                </c:pt>
                <c:pt idx="17">
                  <c:v>1997</c:v>
                </c:pt>
                <c:pt idx="18">
                  <c:v>1998</c:v>
                </c:pt>
                <c:pt idx="19">
                  <c:v>1999</c:v>
                </c:pt>
                <c:pt idx="20">
                  <c:v>2000</c:v>
                </c:pt>
                <c:pt idx="21">
                  <c:v>2001</c:v>
                </c:pt>
                <c:pt idx="22">
                  <c:v>2002</c:v>
                </c:pt>
                <c:pt idx="23">
                  <c:v>2003</c:v>
                </c:pt>
                <c:pt idx="24">
                  <c:v>2004</c:v>
                </c:pt>
                <c:pt idx="25">
                  <c:v>2005</c:v>
                </c:pt>
                <c:pt idx="26">
                  <c:v>2006</c:v>
                </c:pt>
                <c:pt idx="27">
                  <c:v>2007</c:v>
                </c:pt>
                <c:pt idx="28">
                  <c:v>2008</c:v>
                </c:pt>
                <c:pt idx="29">
                  <c:v>2009</c:v>
                </c:pt>
                <c:pt idx="30">
                  <c:v>2010</c:v>
                </c:pt>
                <c:pt idx="31">
                  <c:v>2011</c:v>
                </c:pt>
                <c:pt idx="32">
                  <c:v>2012</c:v>
                </c:pt>
                <c:pt idx="33">
                  <c:v>2013</c:v>
                </c:pt>
                <c:pt idx="34">
                  <c:v>2014</c:v>
                </c:pt>
                <c:pt idx="35">
                  <c:v>2015</c:v>
                </c:pt>
                <c:pt idx="36">
                  <c:v>2016</c:v>
                </c:pt>
                <c:pt idx="37">
                  <c:v>2017</c:v>
                </c:pt>
                <c:pt idx="38">
                  <c:v>2018</c:v>
                </c:pt>
              </c:numCache>
            </c:numRef>
          </c:cat>
          <c:val>
            <c:numRef>
              <c:f>Sheet1!$B$2:$AN$2</c:f>
              <c:numCache>
                <c:formatCode>[$$-409]#,##0.00</c:formatCode>
                <c:ptCount val="39"/>
                <c:pt idx="0">
                  <c:v>-126405741.01806299</c:v>
                </c:pt>
                <c:pt idx="1">
                  <c:v>-67231228.988910004</c:v>
                </c:pt>
                <c:pt idx="2">
                  <c:v>-90147343.492806002</c:v>
                </c:pt>
                <c:pt idx="3">
                  <c:v>-82119284.585872307</c:v>
                </c:pt>
                <c:pt idx="4">
                  <c:v>-77225299.669280797</c:v>
                </c:pt>
                <c:pt idx="5">
                  <c:v>-83263033.011843994</c:v>
                </c:pt>
                <c:pt idx="6">
                  <c:v>-117121885.59305499</c:v>
                </c:pt>
                <c:pt idx="7">
                  <c:v>-128580013.21636</c:v>
                </c:pt>
                <c:pt idx="8">
                  <c:v>-92453135.523397505</c:v>
                </c:pt>
                <c:pt idx="9">
                  <c:v>-76001157.336658597</c:v>
                </c:pt>
                <c:pt idx="10">
                  <c:v>-126898519.38260099</c:v>
                </c:pt>
                <c:pt idx="11">
                  <c:v>-117572452.144914</c:v>
                </c:pt>
                <c:pt idx="12">
                  <c:v>-134099356.307978</c:v>
                </c:pt>
                <c:pt idx="13">
                  <c:v>-74035200.976400107</c:v>
                </c:pt>
                <c:pt idx="14">
                  <c:v>-13782304.076316399</c:v>
                </c:pt>
                <c:pt idx="15">
                  <c:v>-67302629.839141995</c:v>
                </c:pt>
                <c:pt idx="16">
                  <c:v>-41759162.893185601</c:v>
                </c:pt>
                <c:pt idx="17">
                  <c:v>-19223210.947841302</c:v>
                </c:pt>
                <c:pt idx="18">
                  <c:v>-55484193.793458998</c:v>
                </c:pt>
                <c:pt idx="19">
                  <c:v>-47625536.564857699</c:v>
                </c:pt>
                <c:pt idx="20">
                  <c:v>-44950934.462284803</c:v>
                </c:pt>
                <c:pt idx="21">
                  <c:v>-50468017.709847398</c:v>
                </c:pt>
                <c:pt idx="22">
                  <c:v>-41471290.3317445</c:v>
                </c:pt>
                <c:pt idx="23">
                  <c:v>2744320.67567757</c:v>
                </c:pt>
                <c:pt idx="24">
                  <c:v>-66655334.395386703</c:v>
                </c:pt>
                <c:pt idx="25">
                  <c:v>-111608645.14839999</c:v>
                </c:pt>
                <c:pt idx="26">
                  <c:v>-113395926.98351</c:v>
                </c:pt>
                <c:pt idx="27">
                  <c:v>-158726561.28069001</c:v>
                </c:pt>
                <c:pt idx="28">
                  <c:v>-246769274.29489601</c:v>
                </c:pt>
                <c:pt idx="29">
                  <c:v>-243198500.25297201</c:v>
                </c:pt>
                <c:pt idx="30">
                  <c:v>-239284279.30228901</c:v>
                </c:pt>
                <c:pt idx="31">
                  <c:v>-200139403.95379099</c:v>
                </c:pt>
                <c:pt idx="32">
                  <c:v>-250002399.48085001</c:v>
                </c:pt>
                <c:pt idx="33">
                  <c:v>-142951987.693304</c:v>
                </c:pt>
                <c:pt idx="34">
                  <c:v>-373605169.74606401</c:v>
                </c:pt>
                <c:pt idx="35">
                  <c:v>-322243910.93406999</c:v>
                </c:pt>
                <c:pt idx="36">
                  <c:v>-380930651.54917002</c:v>
                </c:pt>
                <c:pt idx="37">
                  <c:v>-467690303.25998503</c:v>
                </c:pt>
                <c:pt idx="38">
                  <c:v>-623710451.59971499</c:v>
                </c:pt>
              </c:numCache>
            </c:numRef>
          </c:val>
          <c:smooth val="0"/>
          <c:extLst>
            <c:ext xmlns:c16="http://schemas.microsoft.com/office/drawing/2014/chart" uri="{C3380CC4-5D6E-409C-BE32-E72D297353CC}">
              <c16:uniqueId val="{00000001-61CC-478E-9555-1432921F970F}"/>
            </c:ext>
          </c:extLst>
        </c:ser>
        <c:dLbls>
          <c:showLegendKey val="0"/>
          <c:showVal val="0"/>
          <c:showCatName val="0"/>
          <c:showSerName val="0"/>
          <c:showPercent val="0"/>
          <c:showBubbleSize val="0"/>
        </c:dLbls>
        <c:upDownBars>
          <c:gapWidth val="150"/>
          <c:upBars>
            <c:spPr>
              <a:solidFill>
                <a:schemeClr val="lt1"/>
              </a:solidFill>
              <a:ln w="9525" cap="flat" cmpd="sng" algn="ctr">
                <a:solidFill>
                  <a:schemeClr val="tx1">
                    <a:lumMod val="65000"/>
                    <a:lumOff val="35000"/>
                  </a:schemeClr>
                </a:solidFill>
                <a:round/>
              </a:ln>
              <a:effectLst/>
            </c:spPr>
          </c:upBars>
          <c:downBars>
            <c:spPr>
              <a:solidFill>
                <a:schemeClr val="dk1">
                  <a:lumMod val="75000"/>
                  <a:lumOff val="25000"/>
                </a:schemeClr>
              </a:solidFill>
              <a:ln w="9525" cap="flat" cmpd="sng" algn="ctr">
                <a:solidFill>
                  <a:schemeClr val="tx1">
                    <a:lumMod val="65000"/>
                    <a:lumOff val="35000"/>
                  </a:schemeClr>
                </a:solidFill>
                <a:round/>
              </a:ln>
              <a:effectLst/>
            </c:spPr>
          </c:downBars>
        </c:upDownBars>
        <c:marker val="1"/>
        <c:smooth val="0"/>
        <c:axId val="1626747936"/>
        <c:axId val="1442418432"/>
      </c:lineChart>
      <c:catAx>
        <c:axId val="1580669552"/>
        <c:scaling>
          <c:orientation val="minMax"/>
        </c:scaling>
        <c:delete val="0"/>
        <c:axPos val="b"/>
        <c:numFmt formatCode="General" sourceLinked="1"/>
        <c:majorTickMark val="none"/>
        <c:minorTickMark val="none"/>
        <c:tickLblPos val="nextTo"/>
        <c:spPr>
          <a:noFill/>
          <a:ln w="9525" cap="flat" cmpd="sng" algn="ctr">
            <a:solidFill>
              <a:schemeClr val="tx1">
                <a:lumMod val="15000"/>
                <a:lumOff val="85000"/>
              </a:schemeClr>
            </a:solidFill>
            <a:round/>
          </a:ln>
          <a:effectLst/>
        </c:spPr>
        <c:txPr>
          <a:bodyPr rot="-60000000" spcFirstLastPara="1" vertOverflow="ellipsis" vert="horz" wrap="square" anchor="ctr" anchorCtr="1"/>
          <a:lstStyle/>
          <a:p>
            <a:pPr>
              <a:defRPr sz="900" b="0" i="0" u="none" strike="noStrike" kern="1200" baseline="0">
                <a:solidFill>
                  <a:schemeClr val="tx1">
                    <a:lumMod val="65000"/>
                    <a:lumOff val="35000"/>
                  </a:schemeClr>
                </a:solidFill>
                <a:latin typeface="+mn-lt"/>
                <a:ea typeface="+mn-ea"/>
                <a:cs typeface="+mn-cs"/>
              </a:defRPr>
            </a:pPr>
            <a:endParaRPr lang="en-US"/>
          </a:p>
        </c:txPr>
        <c:crossAx val="1655525200"/>
        <c:crosses val="autoZero"/>
        <c:auto val="1"/>
        <c:lblAlgn val="ctr"/>
        <c:lblOffset val="100"/>
        <c:noMultiLvlLbl val="0"/>
      </c:catAx>
      <c:valAx>
        <c:axId val="1655525200"/>
        <c:scaling>
          <c:orientation val="minMax"/>
        </c:scaling>
        <c:delete val="0"/>
        <c:axPos val="l"/>
        <c:majorGridlines>
          <c:spPr>
            <a:ln w="9525" cap="flat" cmpd="sng" algn="ctr">
              <a:solidFill>
                <a:schemeClr val="tx1">
                  <a:lumMod val="15000"/>
                  <a:lumOff val="85000"/>
                </a:schemeClr>
              </a:solidFill>
              <a:round/>
            </a:ln>
            <a:effectLst/>
          </c:spPr>
        </c:majorGridlines>
        <c:title>
          <c:tx>
            <c:rich>
              <a:bodyPr rot="-5400000" spcFirstLastPara="1" vertOverflow="ellipsis" vert="horz" wrap="square" anchor="ctr" anchorCtr="1"/>
              <a:lstStyle/>
              <a:p>
                <a:pPr>
                  <a:defRPr sz="1000" b="0" i="0" u="none" strike="noStrike" kern="1200" baseline="0">
                    <a:solidFill>
                      <a:schemeClr val="tx1">
                        <a:lumMod val="65000"/>
                        <a:lumOff val="35000"/>
                      </a:schemeClr>
                    </a:solidFill>
                    <a:latin typeface="+mn-lt"/>
                    <a:ea typeface="+mn-ea"/>
                    <a:cs typeface="+mn-cs"/>
                  </a:defRPr>
                </a:pPr>
                <a:r>
                  <a:rPr lang="en-GB"/>
                  <a:t>Real Effective Exchange Rate</a:t>
                </a:r>
              </a:p>
            </c:rich>
          </c:tx>
          <c:overlay val="0"/>
          <c:spPr>
            <a:noFill/>
            <a:ln>
              <a:noFill/>
            </a:ln>
            <a:effectLst/>
          </c:spPr>
          <c:txPr>
            <a:bodyPr rot="-5400000" spcFirstLastPara="1" vertOverflow="ellipsis" vert="horz" wrap="square" anchor="ctr" anchorCtr="1"/>
            <a:lstStyle/>
            <a:p>
              <a:pPr>
                <a:defRPr sz="1000" b="0" i="0" u="none" strike="noStrike" kern="1200" baseline="0">
                  <a:solidFill>
                    <a:schemeClr val="tx1">
                      <a:lumMod val="65000"/>
                      <a:lumOff val="35000"/>
                    </a:schemeClr>
                  </a:solidFill>
                  <a:latin typeface="+mn-lt"/>
                  <a:ea typeface="+mn-ea"/>
                  <a:cs typeface="+mn-cs"/>
                </a:defRPr>
              </a:pPr>
              <a:endParaRPr lang="en-US"/>
            </a:p>
          </c:txPr>
        </c:title>
        <c:numFmt formatCode="_(* #,##0.00_);_(* \(#,##0.00\);_(* &quot;-&quot;??_);_(@_)" sourceLinked="1"/>
        <c:majorTickMark val="none"/>
        <c:minorTickMark val="none"/>
        <c:tickLblPos val="nextTo"/>
        <c:spPr>
          <a:noFill/>
          <a:ln>
            <a:noFill/>
          </a:ln>
          <a:effectLst/>
        </c:spPr>
        <c:txPr>
          <a:bodyPr rot="-60000000" spcFirstLastPara="1" vertOverflow="ellipsis" vert="horz" wrap="square" anchor="ctr" anchorCtr="1"/>
          <a:lstStyle/>
          <a:p>
            <a:pPr>
              <a:defRPr sz="900" b="0" i="0" u="none" strike="noStrike" kern="1200" baseline="0">
                <a:solidFill>
                  <a:schemeClr val="tx1">
                    <a:lumMod val="65000"/>
                    <a:lumOff val="35000"/>
                  </a:schemeClr>
                </a:solidFill>
                <a:latin typeface="+mn-lt"/>
                <a:ea typeface="+mn-ea"/>
                <a:cs typeface="+mn-cs"/>
              </a:defRPr>
            </a:pPr>
            <a:endParaRPr lang="en-US"/>
          </a:p>
        </c:txPr>
        <c:crossAx val="1580669552"/>
        <c:crosses val="autoZero"/>
        <c:crossBetween val="midCat"/>
      </c:valAx>
      <c:valAx>
        <c:axId val="1442418432"/>
        <c:scaling>
          <c:orientation val="minMax"/>
        </c:scaling>
        <c:delete val="0"/>
        <c:axPos val="r"/>
        <c:title>
          <c:tx>
            <c:rich>
              <a:bodyPr rot="-5400000" spcFirstLastPara="1" vertOverflow="ellipsis" vert="horz" wrap="square" anchor="ctr" anchorCtr="1"/>
              <a:lstStyle/>
              <a:p>
                <a:pPr>
                  <a:defRPr sz="1000" b="0" i="0" u="none" strike="noStrike" kern="1200" baseline="0">
                    <a:solidFill>
                      <a:schemeClr val="tx1">
                        <a:lumMod val="65000"/>
                        <a:lumOff val="35000"/>
                      </a:schemeClr>
                    </a:solidFill>
                    <a:latin typeface="+mn-lt"/>
                    <a:ea typeface="+mn-ea"/>
                    <a:cs typeface="+mn-cs"/>
                  </a:defRPr>
                </a:pPr>
                <a:r>
                  <a:rPr lang="en-GB"/>
                  <a:t>Net Trade Balance Millions</a:t>
                </a:r>
              </a:p>
            </c:rich>
          </c:tx>
          <c:overlay val="0"/>
          <c:spPr>
            <a:noFill/>
            <a:ln>
              <a:noFill/>
            </a:ln>
            <a:effectLst/>
          </c:spPr>
          <c:txPr>
            <a:bodyPr rot="-5400000" spcFirstLastPara="1" vertOverflow="ellipsis" vert="horz" wrap="square" anchor="ctr" anchorCtr="1"/>
            <a:lstStyle/>
            <a:p>
              <a:pPr>
                <a:defRPr sz="1000" b="0" i="0" u="none" strike="noStrike" kern="1200" baseline="0">
                  <a:solidFill>
                    <a:schemeClr val="tx1">
                      <a:lumMod val="65000"/>
                      <a:lumOff val="35000"/>
                    </a:schemeClr>
                  </a:solidFill>
                  <a:latin typeface="+mn-lt"/>
                  <a:ea typeface="+mn-ea"/>
                  <a:cs typeface="+mn-cs"/>
                </a:defRPr>
              </a:pPr>
              <a:endParaRPr lang="en-US"/>
            </a:p>
          </c:txPr>
        </c:title>
        <c:numFmt formatCode="[$$-409]#,##0.00" sourceLinked="1"/>
        <c:majorTickMark val="none"/>
        <c:minorTickMark val="none"/>
        <c:tickLblPos val="nextTo"/>
        <c:spPr>
          <a:noFill/>
          <a:ln>
            <a:noFill/>
          </a:ln>
          <a:effectLst/>
        </c:spPr>
        <c:txPr>
          <a:bodyPr rot="-60000000" spcFirstLastPara="1" vertOverflow="ellipsis" vert="horz" wrap="square" anchor="ctr" anchorCtr="1"/>
          <a:lstStyle/>
          <a:p>
            <a:pPr>
              <a:defRPr sz="900" b="0" i="0" u="none" strike="noStrike" kern="1200" baseline="0">
                <a:solidFill>
                  <a:schemeClr val="tx1">
                    <a:lumMod val="65000"/>
                    <a:lumOff val="35000"/>
                  </a:schemeClr>
                </a:solidFill>
                <a:latin typeface="+mn-lt"/>
                <a:ea typeface="+mn-ea"/>
                <a:cs typeface="+mn-cs"/>
              </a:defRPr>
            </a:pPr>
            <a:endParaRPr lang="en-US"/>
          </a:p>
        </c:txPr>
        <c:crossAx val="1626747936"/>
        <c:crosses val="max"/>
        <c:crossBetween val="between"/>
        <c:dispUnits>
          <c:builtInUnit val="millions"/>
        </c:dispUnits>
      </c:valAx>
      <c:catAx>
        <c:axId val="1626747936"/>
        <c:scaling>
          <c:orientation val="minMax"/>
        </c:scaling>
        <c:delete val="1"/>
        <c:axPos val="b"/>
        <c:numFmt formatCode="General" sourceLinked="1"/>
        <c:majorTickMark val="none"/>
        <c:minorTickMark val="none"/>
        <c:tickLblPos val="nextTo"/>
        <c:crossAx val="1442418432"/>
        <c:crosses val="autoZero"/>
        <c:auto val="1"/>
        <c:lblAlgn val="ctr"/>
        <c:lblOffset val="100"/>
        <c:noMultiLvlLbl val="0"/>
      </c:catAx>
      <c:spPr>
        <a:noFill/>
        <a:ln>
          <a:noFill/>
        </a:ln>
        <a:effectLst/>
      </c:spPr>
    </c:plotArea>
    <c:legend>
      <c:legendPos val="b"/>
      <c:overlay val="0"/>
      <c:spPr>
        <a:noFill/>
        <a:ln>
          <a:noFill/>
        </a:ln>
        <a:effectLst/>
      </c:spPr>
      <c:txPr>
        <a:bodyPr rot="0" spcFirstLastPara="1" vertOverflow="ellipsis" vert="horz" wrap="square" anchor="ctr" anchorCtr="1"/>
        <a:lstStyle/>
        <a:p>
          <a:pPr>
            <a:defRPr sz="900" b="0" i="0" u="none" strike="noStrike" kern="1200" baseline="0">
              <a:solidFill>
                <a:schemeClr val="tx1">
                  <a:lumMod val="65000"/>
                  <a:lumOff val="35000"/>
                </a:schemeClr>
              </a:solidFill>
              <a:latin typeface="+mn-lt"/>
              <a:ea typeface="+mn-ea"/>
              <a:cs typeface="+mn-cs"/>
            </a:defRPr>
          </a:pPr>
          <a:endParaRPr lang="en-US"/>
        </a:p>
      </c:txPr>
    </c:legend>
    <c:plotVisOnly val="1"/>
    <c:dispBlanksAs val="gap"/>
    <c:showDLblsOverMax val="0"/>
  </c:chart>
  <c:spPr>
    <a:solidFill>
      <a:schemeClr val="bg1"/>
    </a:solidFill>
    <a:ln w="9525" cap="flat" cmpd="sng" algn="ctr">
      <a:solidFill>
        <a:schemeClr val="tx1">
          <a:lumMod val="15000"/>
          <a:lumOff val="85000"/>
        </a:schemeClr>
      </a:solidFill>
      <a:round/>
    </a:ln>
    <a:effectLst/>
  </c:spPr>
  <c:txPr>
    <a:bodyPr/>
    <a:lstStyle/>
    <a:p>
      <a:pPr>
        <a:defRPr/>
      </a:pPr>
      <a:endParaRPr lang="en-US"/>
    </a:p>
  </c:txPr>
  <c:externalData r:id="rId4">
    <c:autoUpdate val="0"/>
  </c:externalData>
</c:chartSpace>
</file>

<file path=word/charts/chart3.xml><?xml version="1.0" encoding="utf-8"?>
<c:chartSpace xmlns:c="http://schemas.openxmlformats.org/drawingml/2006/chart" xmlns:a="http://schemas.openxmlformats.org/drawingml/2006/main" xmlns:r="http://schemas.openxmlformats.org/officeDocument/2006/relationships" xmlns:c16r2="http://schemas.microsoft.com/office/drawing/2015/06/chart">
  <c:date1904 val="0"/>
  <c:lang val="en-US"/>
  <c:roundedCorners val="0"/>
  <mc:AlternateContent xmlns:mc="http://schemas.openxmlformats.org/markup-compatibility/2006">
    <mc:Choice xmlns:c14="http://schemas.microsoft.com/office/drawing/2007/8/2/chart" Requires="c14">
      <c14:style val="102"/>
    </mc:Choice>
    <mc:Fallback>
      <c:style val="2"/>
    </mc:Fallback>
  </mc:AlternateContent>
  <c:clrMapOvr bg1="lt1" tx1="dk1" bg2="lt2" tx2="dk2" accent1="accent1" accent2="accent2" accent3="accent3" accent4="accent4" accent5="accent5" accent6="accent6" hlink="hlink" folHlink="folHlink"/>
  <c:chart>
    <c:title>
      <c:tx>
        <c:rich>
          <a:bodyPr rot="0" spcFirstLastPara="1" vertOverflow="ellipsis" vert="horz" wrap="square" anchor="ctr" anchorCtr="1"/>
          <a:lstStyle/>
          <a:p>
            <a:pPr>
              <a:defRPr sz="1400" b="0" i="0" u="none" strike="noStrike" kern="1200" spc="0" baseline="0">
                <a:solidFill>
                  <a:schemeClr val="tx1">
                    <a:lumMod val="65000"/>
                    <a:lumOff val="35000"/>
                  </a:schemeClr>
                </a:solidFill>
                <a:latin typeface="+mn-lt"/>
                <a:ea typeface="+mn-ea"/>
                <a:cs typeface="+mn-cs"/>
              </a:defRPr>
            </a:pPr>
            <a:r>
              <a:rPr lang="en-GB"/>
              <a:t>Gabon</a:t>
            </a:r>
            <a:r>
              <a:rPr lang="en-GB" baseline="0"/>
              <a:t>'s Trade Balance and REER</a:t>
            </a:r>
            <a:endParaRPr lang="en-GB"/>
          </a:p>
        </c:rich>
      </c:tx>
      <c:overlay val="0"/>
      <c:spPr>
        <a:noFill/>
        <a:ln>
          <a:noFill/>
        </a:ln>
        <a:effectLst/>
      </c:spPr>
      <c:txPr>
        <a:bodyPr rot="0" spcFirstLastPara="1" vertOverflow="ellipsis" vert="horz" wrap="square" anchor="ctr" anchorCtr="1"/>
        <a:lstStyle/>
        <a:p>
          <a:pPr>
            <a:defRPr sz="1400" b="0" i="0" u="none" strike="noStrike" kern="1200" spc="0" baseline="0">
              <a:solidFill>
                <a:schemeClr val="tx1">
                  <a:lumMod val="65000"/>
                  <a:lumOff val="35000"/>
                </a:schemeClr>
              </a:solidFill>
              <a:latin typeface="+mn-lt"/>
              <a:ea typeface="+mn-ea"/>
              <a:cs typeface="+mn-cs"/>
            </a:defRPr>
          </a:pPr>
          <a:endParaRPr lang="en-US"/>
        </a:p>
      </c:txPr>
    </c:title>
    <c:autoTitleDeleted val="0"/>
    <c:plotArea>
      <c:layout>
        <c:manualLayout>
          <c:layoutTarget val="inner"/>
          <c:xMode val="edge"/>
          <c:yMode val="edge"/>
          <c:x val="9.4749964164084002E-2"/>
          <c:y val="0.18850715746421301"/>
          <c:w val="0.63293543109371198"/>
          <c:h val="0.63019081203806604"/>
        </c:manualLayout>
      </c:layout>
      <c:lineChart>
        <c:grouping val="standard"/>
        <c:varyColors val="0"/>
        <c:ser>
          <c:idx val="1"/>
          <c:order val="1"/>
          <c:tx>
            <c:strRef>
              <c:f>Sheet1!$A$3</c:f>
              <c:strCache>
                <c:ptCount val="1"/>
                <c:pt idx="0">
                  <c:v>Real effective exchange rate index (2010 = 100)</c:v>
                </c:pt>
              </c:strCache>
            </c:strRef>
          </c:tx>
          <c:spPr>
            <a:ln w="28575" cap="rnd">
              <a:solidFill>
                <a:schemeClr val="accent2"/>
              </a:solidFill>
              <a:round/>
            </a:ln>
            <a:effectLst/>
          </c:spPr>
          <c:marker>
            <c:symbol val="none"/>
          </c:marker>
          <c:cat>
            <c:numRef>
              <c:f>Sheet1!$B$1:$AN$1</c:f>
              <c:numCache>
                <c:formatCode>General</c:formatCode>
                <c:ptCount val="39"/>
                <c:pt idx="0">
                  <c:v>1980</c:v>
                </c:pt>
                <c:pt idx="1">
                  <c:v>1981</c:v>
                </c:pt>
                <c:pt idx="2">
                  <c:v>1982</c:v>
                </c:pt>
                <c:pt idx="3">
                  <c:v>1983</c:v>
                </c:pt>
                <c:pt idx="4">
                  <c:v>1984</c:v>
                </c:pt>
                <c:pt idx="5">
                  <c:v>1985</c:v>
                </c:pt>
                <c:pt idx="6">
                  <c:v>1986</c:v>
                </c:pt>
                <c:pt idx="7">
                  <c:v>1987</c:v>
                </c:pt>
                <c:pt idx="8">
                  <c:v>1988</c:v>
                </c:pt>
                <c:pt idx="9">
                  <c:v>1989</c:v>
                </c:pt>
                <c:pt idx="10">
                  <c:v>1990</c:v>
                </c:pt>
                <c:pt idx="11">
                  <c:v>1991</c:v>
                </c:pt>
                <c:pt idx="12">
                  <c:v>1992</c:v>
                </c:pt>
                <c:pt idx="13">
                  <c:v>1993</c:v>
                </c:pt>
                <c:pt idx="14">
                  <c:v>1994</c:v>
                </c:pt>
                <c:pt idx="15">
                  <c:v>1995</c:v>
                </c:pt>
                <c:pt idx="16">
                  <c:v>1996</c:v>
                </c:pt>
                <c:pt idx="17">
                  <c:v>1997</c:v>
                </c:pt>
                <c:pt idx="18">
                  <c:v>1998</c:v>
                </c:pt>
                <c:pt idx="19">
                  <c:v>1999</c:v>
                </c:pt>
                <c:pt idx="20">
                  <c:v>2000</c:v>
                </c:pt>
                <c:pt idx="21">
                  <c:v>2001</c:v>
                </c:pt>
                <c:pt idx="22">
                  <c:v>2002</c:v>
                </c:pt>
                <c:pt idx="23">
                  <c:v>2003</c:v>
                </c:pt>
                <c:pt idx="24">
                  <c:v>2004</c:v>
                </c:pt>
                <c:pt idx="25">
                  <c:v>2005</c:v>
                </c:pt>
                <c:pt idx="26">
                  <c:v>2006</c:v>
                </c:pt>
                <c:pt idx="27">
                  <c:v>2007</c:v>
                </c:pt>
                <c:pt idx="28">
                  <c:v>2008</c:v>
                </c:pt>
                <c:pt idx="29">
                  <c:v>2009</c:v>
                </c:pt>
                <c:pt idx="30">
                  <c:v>2010</c:v>
                </c:pt>
                <c:pt idx="31">
                  <c:v>2011</c:v>
                </c:pt>
                <c:pt idx="32">
                  <c:v>2012</c:v>
                </c:pt>
                <c:pt idx="33">
                  <c:v>2013</c:v>
                </c:pt>
                <c:pt idx="34">
                  <c:v>2014</c:v>
                </c:pt>
                <c:pt idx="35">
                  <c:v>2015</c:v>
                </c:pt>
                <c:pt idx="36">
                  <c:v>2016</c:v>
                </c:pt>
                <c:pt idx="37">
                  <c:v>2017</c:v>
                </c:pt>
                <c:pt idx="38">
                  <c:v>2018</c:v>
                </c:pt>
              </c:numCache>
            </c:numRef>
          </c:cat>
          <c:val>
            <c:numRef>
              <c:f>Sheet1!$B$3:$AN$3</c:f>
              <c:numCache>
                <c:formatCode>General</c:formatCode>
                <c:ptCount val="39"/>
                <c:pt idx="0">
                  <c:v>223.6482</c:v>
                </c:pt>
                <c:pt idx="1">
                  <c:v>199.19</c:v>
                </c:pt>
                <c:pt idx="2">
                  <c:v>200.99019999999999</c:v>
                </c:pt>
                <c:pt idx="3">
                  <c:v>197.81899999999999</c:v>
                </c:pt>
                <c:pt idx="4">
                  <c:v>189.85470000000001</c:v>
                </c:pt>
                <c:pt idx="5">
                  <c:v>195.82320000000001</c:v>
                </c:pt>
                <c:pt idx="6">
                  <c:v>213.2422</c:v>
                </c:pt>
                <c:pt idx="7">
                  <c:v>209.4606</c:v>
                </c:pt>
                <c:pt idx="8">
                  <c:v>181.2535</c:v>
                </c:pt>
                <c:pt idx="9">
                  <c:v>214.19159999999999</c:v>
                </c:pt>
                <c:pt idx="10">
                  <c:v>215.2654</c:v>
                </c:pt>
                <c:pt idx="11">
                  <c:v>167.6378</c:v>
                </c:pt>
                <c:pt idx="12">
                  <c:v>151.32169999999999</c:v>
                </c:pt>
                <c:pt idx="13">
                  <c:v>146.69640000000001</c:v>
                </c:pt>
                <c:pt idx="14">
                  <c:v>99.017020000000002</c:v>
                </c:pt>
                <c:pt idx="15">
                  <c:v>109.45950000000001</c:v>
                </c:pt>
                <c:pt idx="16">
                  <c:v>108.1581</c:v>
                </c:pt>
                <c:pt idx="17">
                  <c:v>106.3442</c:v>
                </c:pt>
                <c:pt idx="18">
                  <c:v>107.1369</c:v>
                </c:pt>
                <c:pt idx="19">
                  <c:v>102.1353</c:v>
                </c:pt>
                <c:pt idx="20">
                  <c:v>96.308160000000001</c:v>
                </c:pt>
                <c:pt idx="21">
                  <c:v>96.432360000000003</c:v>
                </c:pt>
                <c:pt idx="22">
                  <c:v>96.338290000000001</c:v>
                </c:pt>
                <c:pt idx="23">
                  <c:v>101.01179999999999</c:v>
                </c:pt>
                <c:pt idx="24">
                  <c:v>100.99250000000001</c:v>
                </c:pt>
                <c:pt idx="25">
                  <c:v>101.83759999999999</c:v>
                </c:pt>
                <c:pt idx="26">
                  <c:v>97.979729999999975</c:v>
                </c:pt>
                <c:pt idx="27">
                  <c:v>102.3436</c:v>
                </c:pt>
                <c:pt idx="28">
                  <c:v>105.8282</c:v>
                </c:pt>
                <c:pt idx="29">
                  <c:v>106.5836</c:v>
                </c:pt>
                <c:pt idx="30">
                  <c:v>100</c:v>
                </c:pt>
                <c:pt idx="31">
                  <c:v>98.162559999999999</c:v>
                </c:pt>
                <c:pt idx="32">
                  <c:v>94.802289999999999</c:v>
                </c:pt>
                <c:pt idx="33">
                  <c:v>96.114270000000005</c:v>
                </c:pt>
                <c:pt idx="34">
                  <c:v>100.3116</c:v>
                </c:pt>
                <c:pt idx="35">
                  <c:v>93.620479999999944</c:v>
                </c:pt>
                <c:pt idx="36">
                  <c:v>95.707539999999995</c:v>
                </c:pt>
                <c:pt idx="37">
                  <c:v>97.694190000000006</c:v>
                </c:pt>
                <c:pt idx="38">
                  <c:v>102.9881</c:v>
                </c:pt>
              </c:numCache>
            </c:numRef>
          </c:val>
          <c:smooth val="0"/>
          <c:extLst>
            <c:ext xmlns:c16="http://schemas.microsoft.com/office/drawing/2014/chart" uri="{C3380CC4-5D6E-409C-BE32-E72D297353CC}">
              <c16:uniqueId val="{00000000-92FD-4DE8-8C77-E977976BCCD5}"/>
            </c:ext>
          </c:extLst>
        </c:ser>
        <c:dLbls>
          <c:showLegendKey val="0"/>
          <c:showVal val="0"/>
          <c:showCatName val="0"/>
          <c:showSerName val="0"/>
          <c:showPercent val="0"/>
          <c:showBubbleSize val="0"/>
        </c:dLbls>
        <c:marker val="1"/>
        <c:smooth val="0"/>
        <c:axId val="1465624544"/>
        <c:axId val="1626663376"/>
      </c:lineChart>
      <c:lineChart>
        <c:grouping val="standard"/>
        <c:varyColors val="0"/>
        <c:ser>
          <c:idx val="0"/>
          <c:order val="0"/>
          <c:tx>
            <c:strRef>
              <c:f>Sheet1!$A$2</c:f>
              <c:strCache>
                <c:ptCount val="1"/>
                <c:pt idx="0">
                  <c:v>Net TB</c:v>
                </c:pt>
              </c:strCache>
            </c:strRef>
          </c:tx>
          <c:spPr>
            <a:ln w="28575" cap="rnd">
              <a:solidFill>
                <a:schemeClr val="accent1"/>
              </a:solidFill>
              <a:round/>
            </a:ln>
            <a:effectLst/>
          </c:spPr>
          <c:marker>
            <c:symbol val="none"/>
          </c:marker>
          <c:cat>
            <c:numRef>
              <c:f>Sheet1!$B$1:$AL$1</c:f>
              <c:numCache>
                <c:formatCode>General</c:formatCode>
                <c:ptCount val="37"/>
                <c:pt idx="0">
                  <c:v>1980</c:v>
                </c:pt>
                <c:pt idx="1">
                  <c:v>1981</c:v>
                </c:pt>
                <c:pt idx="2">
                  <c:v>1982</c:v>
                </c:pt>
                <c:pt idx="3">
                  <c:v>1983</c:v>
                </c:pt>
                <c:pt idx="4">
                  <c:v>1984</c:v>
                </c:pt>
                <c:pt idx="5">
                  <c:v>1985</c:v>
                </c:pt>
                <c:pt idx="6">
                  <c:v>1986</c:v>
                </c:pt>
                <c:pt idx="7">
                  <c:v>1987</c:v>
                </c:pt>
                <c:pt idx="8">
                  <c:v>1988</c:v>
                </c:pt>
                <c:pt idx="9">
                  <c:v>1989</c:v>
                </c:pt>
                <c:pt idx="10">
                  <c:v>1990</c:v>
                </c:pt>
                <c:pt idx="11">
                  <c:v>1991</c:v>
                </c:pt>
                <c:pt idx="12">
                  <c:v>1992</c:v>
                </c:pt>
                <c:pt idx="13">
                  <c:v>1993</c:v>
                </c:pt>
                <c:pt idx="14">
                  <c:v>1994</c:v>
                </c:pt>
                <c:pt idx="15">
                  <c:v>1995</c:v>
                </c:pt>
                <c:pt idx="16">
                  <c:v>1996</c:v>
                </c:pt>
                <c:pt idx="17">
                  <c:v>1997</c:v>
                </c:pt>
                <c:pt idx="18">
                  <c:v>1998</c:v>
                </c:pt>
                <c:pt idx="19">
                  <c:v>1999</c:v>
                </c:pt>
                <c:pt idx="20">
                  <c:v>2000</c:v>
                </c:pt>
                <c:pt idx="21">
                  <c:v>2001</c:v>
                </c:pt>
                <c:pt idx="22">
                  <c:v>2002</c:v>
                </c:pt>
                <c:pt idx="23">
                  <c:v>2003</c:v>
                </c:pt>
                <c:pt idx="24">
                  <c:v>2004</c:v>
                </c:pt>
                <c:pt idx="25">
                  <c:v>2005</c:v>
                </c:pt>
                <c:pt idx="26">
                  <c:v>2006</c:v>
                </c:pt>
                <c:pt idx="27">
                  <c:v>2007</c:v>
                </c:pt>
                <c:pt idx="28">
                  <c:v>2008</c:v>
                </c:pt>
                <c:pt idx="29">
                  <c:v>2009</c:v>
                </c:pt>
                <c:pt idx="30">
                  <c:v>2010</c:v>
                </c:pt>
                <c:pt idx="31">
                  <c:v>2011</c:v>
                </c:pt>
                <c:pt idx="32">
                  <c:v>2012</c:v>
                </c:pt>
                <c:pt idx="33">
                  <c:v>2013</c:v>
                </c:pt>
                <c:pt idx="34">
                  <c:v>2014</c:v>
                </c:pt>
                <c:pt idx="35">
                  <c:v>2015</c:v>
                </c:pt>
                <c:pt idx="36">
                  <c:v>2016</c:v>
                </c:pt>
              </c:numCache>
            </c:numRef>
          </c:cat>
          <c:val>
            <c:numRef>
              <c:f>Sheet1!$B$2:$AN$2</c:f>
              <c:numCache>
                <c:formatCode>[$$-409]#,##0.00</c:formatCode>
                <c:ptCount val="39"/>
                <c:pt idx="0">
                  <c:v>1416133233.58585</c:v>
                </c:pt>
                <c:pt idx="1">
                  <c:v>875496736.82314205</c:v>
                </c:pt>
                <c:pt idx="2">
                  <c:v>793350698.16458595</c:v>
                </c:pt>
                <c:pt idx="3">
                  <c:v>603045084.77676296</c:v>
                </c:pt>
                <c:pt idx="4">
                  <c:v>672835599.08579397</c:v>
                </c:pt>
                <c:pt idx="5">
                  <c:v>176733909.95947701</c:v>
                </c:pt>
                <c:pt idx="6">
                  <c:v>-664152697.48297501</c:v>
                </c:pt>
                <c:pt idx="7">
                  <c:v>-82851816.101945594</c:v>
                </c:pt>
                <c:pt idx="8">
                  <c:v>-194058571.94347301</c:v>
                </c:pt>
                <c:pt idx="9">
                  <c:v>192471481.45852199</c:v>
                </c:pt>
                <c:pt idx="10">
                  <c:v>903532189.55806005</c:v>
                </c:pt>
                <c:pt idx="11">
                  <c:v>755975481.98927402</c:v>
                </c:pt>
                <c:pt idx="12">
                  <c:v>686872186.82256103</c:v>
                </c:pt>
                <c:pt idx="13">
                  <c:v>623790118.84501505</c:v>
                </c:pt>
                <c:pt idx="14">
                  <c:v>981682374.26664495</c:v>
                </c:pt>
                <c:pt idx="15">
                  <c:v>1172236553.29758</c:v>
                </c:pt>
                <c:pt idx="16">
                  <c:v>1688601206.8362999</c:v>
                </c:pt>
                <c:pt idx="17">
                  <c:v>1282258415.4660201</c:v>
                </c:pt>
                <c:pt idx="18">
                  <c:v>-52100866.545369104</c:v>
                </c:pt>
                <c:pt idx="19">
                  <c:v>1002242816.33675</c:v>
                </c:pt>
                <c:pt idx="20">
                  <c:v>1842798699.9005401</c:v>
                </c:pt>
                <c:pt idx="21">
                  <c:v>1250294493.39973</c:v>
                </c:pt>
                <c:pt idx="22">
                  <c:v>1086435896.6192</c:v>
                </c:pt>
                <c:pt idx="23">
                  <c:v>1530522265.7318001</c:v>
                </c:pt>
                <c:pt idx="24">
                  <c:v>2195866699.1743798</c:v>
                </c:pt>
                <c:pt idx="25">
                  <c:v>3454919833.06668</c:v>
                </c:pt>
                <c:pt idx="26">
                  <c:v>3352891936.56564</c:v>
                </c:pt>
                <c:pt idx="27">
                  <c:v>3971103360.3829999</c:v>
                </c:pt>
                <c:pt idx="28">
                  <c:v>5490121005.0439301</c:v>
                </c:pt>
                <c:pt idx="29">
                  <c:v>2514240524.3438902</c:v>
                </c:pt>
                <c:pt idx="30">
                  <c:v>3757544164.1747999</c:v>
                </c:pt>
                <c:pt idx="31">
                  <c:v>5999785861.9214201</c:v>
                </c:pt>
                <c:pt idx="32">
                  <c:v>5075514766.9927797</c:v>
                </c:pt>
                <c:pt idx="33">
                  <c:v>4235811964.0110102</c:v>
                </c:pt>
                <c:pt idx="34">
                  <c:v>2821762167.8144898</c:v>
                </c:pt>
                <c:pt idx="35">
                  <c:v>2604342479.6199799</c:v>
                </c:pt>
                <c:pt idx="36">
                  <c:v>2513801420.4525299</c:v>
                </c:pt>
                <c:pt idx="37">
                  <c:v>3780454345.22155</c:v>
                </c:pt>
                <c:pt idx="38">
                  <c:v>4891610052.6691799</c:v>
                </c:pt>
              </c:numCache>
            </c:numRef>
          </c:val>
          <c:smooth val="0"/>
          <c:extLst>
            <c:ext xmlns:c16="http://schemas.microsoft.com/office/drawing/2014/chart" uri="{C3380CC4-5D6E-409C-BE32-E72D297353CC}">
              <c16:uniqueId val="{00000001-92FD-4DE8-8C77-E977976BCCD5}"/>
            </c:ext>
          </c:extLst>
        </c:ser>
        <c:dLbls>
          <c:showLegendKey val="0"/>
          <c:showVal val="0"/>
          <c:showCatName val="0"/>
          <c:showSerName val="0"/>
          <c:showPercent val="0"/>
          <c:showBubbleSize val="0"/>
        </c:dLbls>
        <c:marker val="1"/>
        <c:smooth val="0"/>
        <c:axId val="983724000"/>
        <c:axId val="1571149424"/>
      </c:lineChart>
      <c:catAx>
        <c:axId val="1465624544"/>
        <c:scaling>
          <c:orientation val="minMax"/>
        </c:scaling>
        <c:delete val="0"/>
        <c:axPos val="b"/>
        <c:numFmt formatCode="General" sourceLinked="1"/>
        <c:majorTickMark val="out"/>
        <c:minorTickMark val="out"/>
        <c:tickLblPos val="nextTo"/>
        <c:spPr>
          <a:noFill/>
          <a:ln w="9525" cap="flat" cmpd="sng" algn="ctr">
            <a:solidFill>
              <a:schemeClr val="tx1">
                <a:lumMod val="15000"/>
                <a:lumOff val="85000"/>
              </a:schemeClr>
            </a:solidFill>
            <a:round/>
          </a:ln>
          <a:effectLst>
            <a:outerShdw blurRad="50800" dist="50800" dir="5400000" algn="ctr" rotWithShape="0">
              <a:schemeClr val="bg1"/>
            </a:outerShdw>
          </a:effectLst>
        </c:spPr>
        <c:txPr>
          <a:bodyPr rot="-60000000" spcFirstLastPara="1" vertOverflow="ellipsis" vert="horz" wrap="square" anchor="ctr" anchorCtr="1"/>
          <a:lstStyle/>
          <a:p>
            <a:pPr>
              <a:defRPr sz="900" b="0" i="0" u="none" strike="noStrike" kern="1200" baseline="0">
                <a:solidFill>
                  <a:schemeClr val="tx1">
                    <a:lumMod val="65000"/>
                    <a:lumOff val="35000"/>
                  </a:schemeClr>
                </a:solidFill>
                <a:latin typeface="+mn-lt"/>
                <a:ea typeface="+mn-ea"/>
                <a:cs typeface="+mn-cs"/>
              </a:defRPr>
            </a:pPr>
            <a:endParaRPr lang="en-US"/>
          </a:p>
        </c:txPr>
        <c:crossAx val="1626663376"/>
        <c:crosses val="autoZero"/>
        <c:auto val="1"/>
        <c:lblAlgn val="ctr"/>
        <c:lblOffset val="100"/>
        <c:noMultiLvlLbl val="0"/>
      </c:catAx>
      <c:valAx>
        <c:axId val="1626663376"/>
        <c:scaling>
          <c:orientation val="minMax"/>
        </c:scaling>
        <c:delete val="0"/>
        <c:axPos val="l"/>
        <c:majorGridlines>
          <c:spPr>
            <a:ln w="9525" cap="flat" cmpd="sng" algn="ctr">
              <a:solidFill>
                <a:schemeClr val="tx1">
                  <a:lumMod val="15000"/>
                  <a:lumOff val="85000"/>
                </a:schemeClr>
              </a:solidFill>
              <a:round/>
            </a:ln>
            <a:effectLst/>
          </c:spPr>
        </c:majorGridlines>
        <c:title>
          <c:tx>
            <c:rich>
              <a:bodyPr rot="-5400000" spcFirstLastPara="1" vertOverflow="ellipsis" vert="horz" wrap="square" anchor="ctr" anchorCtr="1"/>
              <a:lstStyle/>
              <a:p>
                <a:pPr>
                  <a:defRPr sz="1000" b="0" i="0" u="none" strike="noStrike" kern="1200" baseline="0">
                    <a:solidFill>
                      <a:schemeClr val="tx1">
                        <a:lumMod val="65000"/>
                        <a:lumOff val="35000"/>
                      </a:schemeClr>
                    </a:solidFill>
                    <a:latin typeface="+mn-lt"/>
                    <a:ea typeface="+mn-ea"/>
                    <a:cs typeface="+mn-cs"/>
                  </a:defRPr>
                </a:pPr>
                <a:r>
                  <a:rPr lang="en-GB"/>
                  <a:t>REER</a:t>
                </a:r>
              </a:p>
            </c:rich>
          </c:tx>
          <c:overlay val="0"/>
          <c:spPr>
            <a:noFill/>
            <a:ln>
              <a:noFill/>
            </a:ln>
            <a:effectLst/>
          </c:spPr>
          <c:txPr>
            <a:bodyPr rot="-5400000" spcFirstLastPara="1" vertOverflow="ellipsis" vert="horz" wrap="square" anchor="ctr" anchorCtr="1"/>
            <a:lstStyle/>
            <a:p>
              <a:pPr>
                <a:defRPr sz="1000" b="0" i="0" u="none" strike="noStrike" kern="1200" baseline="0">
                  <a:solidFill>
                    <a:schemeClr val="tx1">
                      <a:lumMod val="65000"/>
                      <a:lumOff val="35000"/>
                    </a:schemeClr>
                  </a:solidFill>
                  <a:latin typeface="+mn-lt"/>
                  <a:ea typeface="+mn-ea"/>
                  <a:cs typeface="+mn-cs"/>
                </a:defRPr>
              </a:pPr>
              <a:endParaRPr lang="en-US"/>
            </a:p>
          </c:txPr>
        </c:title>
        <c:numFmt formatCode="General" sourceLinked="1"/>
        <c:majorTickMark val="out"/>
        <c:minorTickMark val="out"/>
        <c:tickLblPos val="nextTo"/>
        <c:spPr>
          <a:noFill/>
          <a:ln>
            <a:solidFill>
              <a:schemeClr val="tx1"/>
            </a:solidFill>
          </a:ln>
          <a:effectLst/>
        </c:spPr>
        <c:txPr>
          <a:bodyPr rot="-60000000" spcFirstLastPara="1" vertOverflow="ellipsis" vert="horz" wrap="square" anchor="ctr" anchorCtr="1"/>
          <a:lstStyle/>
          <a:p>
            <a:pPr>
              <a:defRPr sz="900" b="0" i="0" u="none" strike="noStrike" kern="1200" baseline="0">
                <a:solidFill>
                  <a:schemeClr val="tx1">
                    <a:lumMod val="65000"/>
                    <a:lumOff val="35000"/>
                  </a:schemeClr>
                </a:solidFill>
                <a:latin typeface="+mn-lt"/>
                <a:ea typeface="+mn-ea"/>
                <a:cs typeface="+mn-cs"/>
              </a:defRPr>
            </a:pPr>
            <a:endParaRPr lang="en-US"/>
          </a:p>
        </c:txPr>
        <c:crossAx val="1465624544"/>
        <c:crosses val="autoZero"/>
        <c:crossBetween val="between"/>
      </c:valAx>
      <c:valAx>
        <c:axId val="1571149424"/>
        <c:scaling>
          <c:orientation val="minMax"/>
        </c:scaling>
        <c:delete val="0"/>
        <c:axPos val="r"/>
        <c:title>
          <c:tx>
            <c:rich>
              <a:bodyPr rot="-5400000" spcFirstLastPara="1" vertOverflow="ellipsis" vert="horz" wrap="square" anchor="ctr" anchorCtr="1"/>
              <a:lstStyle/>
              <a:p>
                <a:pPr>
                  <a:defRPr sz="1000" b="0" i="0" u="none" strike="noStrike" kern="1200" baseline="0">
                    <a:solidFill>
                      <a:schemeClr val="tx1">
                        <a:lumMod val="65000"/>
                        <a:lumOff val="35000"/>
                      </a:schemeClr>
                    </a:solidFill>
                    <a:latin typeface="+mn-lt"/>
                    <a:ea typeface="+mn-ea"/>
                    <a:cs typeface="+mn-cs"/>
                  </a:defRPr>
                </a:pPr>
                <a:r>
                  <a:rPr lang="en-GB"/>
                  <a:t>Net Trade Balance</a:t>
                </a:r>
              </a:p>
            </c:rich>
          </c:tx>
          <c:overlay val="0"/>
          <c:spPr>
            <a:noFill/>
            <a:ln>
              <a:noFill/>
            </a:ln>
            <a:effectLst/>
          </c:spPr>
          <c:txPr>
            <a:bodyPr rot="-5400000" spcFirstLastPara="1" vertOverflow="ellipsis" vert="horz" wrap="square" anchor="ctr" anchorCtr="1"/>
            <a:lstStyle/>
            <a:p>
              <a:pPr>
                <a:defRPr sz="1000" b="0" i="0" u="none" strike="noStrike" kern="1200" baseline="0">
                  <a:solidFill>
                    <a:schemeClr val="tx1">
                      <a:lumMod val="65000"/>
                      <a:lumOff val="35000"/>
                    </a:schemeClr>
                  </a:solidFill>
                  <a:latin typeface="+mn-lt"/>
                  <a:ea typeface="+mn-ea"/>
                  <a:cs typeface="+mn-cs"/>
                </a:defRPr>
              </a:pPr>
              <a:endParaRPr lang="en-US"/>
            </a:p>
          </c:txPr>
        </c:title>
        <c:numFmt formatCode="[$$-409]#,##0.00" sourceLinked="1"/>
        <c:majorTickMark val="out"/>
        <c:minorTickMark val="none"/>
        <c:tickLblPos val="nextTo"/>
        <c:spPr>
          <a:noFill/>
          <a:ln>
            <a:noFill/>
          </a:ln>
          <a:effectLst/>
        </c:spPr>
        <c:txPr>
          <a:bodyPr rot="-60000000" spcFirstLastPara="1" vertOverflow="ellipsis" vert="horz" wrap="square" anchor="ctr" anchorCtr="1"/>
          <a:lstStyle/>
          <a:p>
            <a:pPr>
              <a:defRPr sz="900" b="0" i="0" u="none" strike="noStrike" kern="1200" baseline="0">
                <a:solidFill>
                  <a:schemeClr val="tx1">
                    <a:lumMod val="65000"/>
                    <a:lumOff val="35000"/>
                  </a:schemeClr>
                </a:solidFill>
                <a:latin typeface="+mn-lt"/>
                <a:ea typeface="+mn-ea"/>
                <a:cs typeface="+mn-cs"/>
              </a:defRPr>
            </a:pPr>
            <a:endParaRPr lang="en-US"/>
          </a:p>
        </c:txPr>
        <c:crossAx val="983724000"/>
        <c:crosses val="max"/>
        <c:crossBetween val="between"/>
        <c:dispUnits>
          <c:builtInUnit val="millions"/>
          <c:dispUnitsLbl>
            <c:spPr>
              <a:noFill/>
              <a:ln>
                <a:noFill/>
              </a:ln>
              <a:effectLst/>
            </c:spPr>
            <c:txPr>
              <a:bodyPr rot="-5400000" spcFirstLastPara="1" vertOverflow="ellipsis" vert="horz" wrap="square" anchor="ctr" anchorCtr="1"/>
              <a:lstStyle/>
              <a:p>
                <a:pPr>
                  <a:defRPr sz="1000" b="0" i="0" u="none" strike="noStrike" kern="1200" baseline="0">
                    <a:solidFill>
                      <a:schemeClr val="tx1">
                        <a:lumMod val="65000"/>
                        <a:lumOff val="35000"/>
                      </a:schemeClr>
                    </a:solidFill>
                    <a:latin typeface="+mn-lt"/>
                    <a:ea typeface="+mn-ea"/>
                    <a:cs typeface="+mn-cs"/>
                  </a:defRPr>
                </a:pPr>
                <a:endParaRPr lang="en-US"/>
              </a:p>
            </c:txPr>
          </c:dispUnitsLbl>
        </c:dispUnits>
      </c:valAx>
      <c:catAx>
        <c:axId val="983724000"/>
        <c:scaling>
          <c:orientation val="minMax"/>
        </c:scaling>
        <c:delete val="1"/>
        <c:axPos val="b"/>
        <c:numFmt formatCode="General" sourceLinked="1"/>
        <c:majorTickMark val="out"/>
        <c:minorTickMark val="none"/>
        <c:tickLblPos val="nextTo"/>
        <c:crossAx val="1571149424"/>
        <c:crosses val="autoZero"/>
        <c:auto val="1"/>
        <c:lblAlgn val="ctr"/>
        <c:lblOffset val="100"/>
        <c:noMultiLvlLbl val="0"/>
      </c:catAx>
      <c:spPr>
        <a:noFill/>
        <a:ln>
          <a:noFill/>
        </a:ln>
        <a:effectLst/>
      </c:spPr>
    </c:plotArea>
    <c:legend>
      <c:legendPos val="b"/>
      <c:overlay val="0"/>
      <c:spPr>
        <a:noFill/>
        <a:ln>
          <a:noFill/>
        </a:ln>
        <a:effectLst/>
      </c:spPr>
      <c:txPr>
        <a:bodyPr rot="0" spcFirstLastPara="1" vertOverflow="ellipsis" vert="horz" wrap="square" anchor="ctr" anchorCtr="1"/>
        <a:lstStyle/>
        <a:p>
          <a:pPr>
            <a:defRPr sz="900" b="0" i="0" u="none" strike="noStrike" kern="1200" baseline="0">
              <a:solidFill>
                <a:schemeClr val="tx1">
                  <a:lumMod val="65000"/>
                  <a:lumOff val="35000"/>
                </a:schemeClr>
              </a:solidFill>
              <a:latin typeface="+mn-lt"/>
              <a:ea typeface="+mn-ea"/>
              <a:cs typeface="+mn-cs"/>
            </a:defRPr>
          </a:pPr>
          <a:endParaRPr lang="en-US"/>
        </a:p>
      </c:txPr>
    </c:legend>
    <c:plotVisOnly val="1"/>
    <c:dispBlanksAs val="gap"/>
    <c:showDLblsOverMax val="0"/>
  </c:chart>
  <c:spPr>
    <a:solidFill>
      <a:schemeClr val="bg1"/>
    </a:solidFill>
    <a:ln w="9525" cap="flat" cmpd="sng" algn="ctr">
      <a:solidFill>
        <a:schemeClr val="tx1">
          <a:lumMod val="15000"/>
          <a:lumOff val="85000"/>
        </a:schemeClr>
      </a:solidFill>
      <a:round/>
    </a:ln>
    <a:effectLst/>
  </c:spPr>
  <c:txPr>
    <a:bodyPr/>
    <a:lstStyle/>
    <a:p>
      <a:pPr>
        <a:defRPr/>
      </a:pPr>
      <a:endParaRPr lang="en-US"/>
    </a:p>
  </c:txPr>
  <c:externalData r:id="rId4">
    <c:autoUpdate val="0"/>
  </c:externalData>
</c:chartSpace>
</file>

<file path=word/charts/colors1.xml><?xml version="1.0" encoding="utf-8"?>
<cs:colorStyle xmlns:cs="http://schemas.microsoft.com/office/drawing/2012/chartStyle" xmlns:a="http://schemas.openxmlformats.org/drawingml/2006/main" meth="cycle" id="10">
  <a:schemeClr val="accent1"/>
  <a:schemeClr val="accent2"/>
  <a:schemeClr val="accent3"/>
  <a:schemeClr val="accent4"/>
  <a:schemeClr val="accent5"/>
  <a:schemeClr val="accent6"/>
  <cs:variation/>
  <cs:variation>
    <a:lumMod val="60000"/>
  </cs:variation>
  <cs:variation>
    <a:lumMod val="80000"/>
    <a:lumOff val="20000"/>
  </cs:variation>
  <cs:variation>
    <a:lumMod val="80000"/>
  </cs:variation>
  <cs:variation>
    <a:lumMod val="60000"/>
    <a:lumOff val="40000"/>
  </cs:variation>
  <cs:variation>
    <a:lumMod val="50000"/>
  </cs:variation>
  <cs:variation>
    <a:lumMod val="70000"/>
    <a:lumOff val="30000"/>
  </cs:variation>
  <cs:variation>
    <a:lumMod val="70000"/>
  </cs:variation>
  <cs:variation>
    <a:lumMod val="50000"/>
    <a:lumOff val="50000"/>
  </cs:variation>
</cs:colorStyle>
</file>

<file path=word/charts/colors2.xml><?xml version="1.0" encoding="utf-8"?>
<cs:colorStyle xmlns:cs="http://schemas.microsoft.com/office/drawing/2012/chartStyle" xmlns:a="http://schemas.openxmlformats.org/drawingml/2006/main" meth="cycle" id="10">
  <a:schemeClr val="accent1"/>
  <a:schemeClr val="accent2"/>
  <a:schemeClr val="accent3"/>
  <a:schemeClr val="accent4"/>
  <a:schemeClr val="accent5"/>
  <a:schemeClr val="accent6"/>
  <cs:variation/>
  <cs:variation>
    <a:lumMod val="60000"/>
  </cs:variation>
  <cs:variation>
    <a:lumMod val="80000"/>
    <a:lumOff val="20000"/>
  </cs:variation>
  <cs:variation>
    <a:lumMod val="80000"/>
  </cs:variation>
  <cs:variation>
    <a:lumMod val="60000"/>
    <a:lumOff val="40000"/>
  </cs:variation>
  <cs:variation>
    <a:lumMod val="50000"/>
  </cs:variation>
  <cs:variation>
    <a:lumMod val="70000"/>
    <a:lumOff val="30000"/>
  </cs:variation>
  <cs:variation>
    <a:lumMod val="70000"/>
  </cs:variation>
  <cs:variation>
    <a:lumMod val="50000"/>
    <a:lumOff val="50000"/>
  </cs:variation>
</cs:colorStyle>
</file>

<file path=word/charts/colors3.xml><?xml version="1.0" encoding="utf-8"?>
<cs:colorStyle xmlns:cs="http://schemas.microsoft.com/office/drawing/2012/chartStyle" xmlns:a="http://schemas.openxmlformats.org/drawingml/2006/main" meth="cycle" id="10">
  <a:schemeClr val="accent1"/>
  <a:schemeClr val="accent2"/>
  <a:schemeClr val="accent3"/>
  <a:schemeClr val="accent4"/>
  <a:schemeClr val="accent5"/>
  <a:schemeClr val="accent6"/>
  <cs:variation/>
  <cs:variation>
    <a:lumMod val="60000"/>
  </cs:variation>
  <cs:variation>
    <a:lumMod val="80000"/>
    <a:lumOff val="20000"/>
  </cs:variation>
  <cs:variation>
    <a:lumMod val="80000"/>
  </cs:variation>
  <cs:variation>
    <a:lumMod val="60000"/>
    <a:lumOff val="40000"/>
  </cs:variation>
  <cs:variation>
    <a:lumMod val="50000"/>
  </cs:variation>
  <cs:variation>
    <a:lumMod val="70000"/>
    <a:lumOff val="30000"/>
  </cs:variation>
  <cs:variation>
    <a:lumMod val="70000"/>
  </cs:variation>
  <cs:variation>
    <a:lumMod val="50000"/>
    <a:lumOff val="50000"/>
  </cs:variation>
</cs:colorStyle>
</file>

<file path=word/charts/style1.xml><?xml version="1.0" encoding="utf-8"?>
<cs:chartStyle xmlns:cs="http://schemas.microsoft.com/office/drawing/2012/chartStyle" xmlns:a="http://schemas.openxmlformats.org/drawingml/2006/main" id="227">
  <cs:axisTitle>
    <cs:lnRef idx="0"/>
    <cs:fillRef idx="0"/>
    <cs:effectRef idx="0"/>
    <cs:fontRef idx="minor">
      <a:schemeClr val="tx1">
        <a:lumMod val="65000"/>
        <a:lumOff val="35000"/>
      </a:schemeClr>
    </cs:fontRef>
    <cs:defRPr sz="1000" kern="1200"/>
  </cs:axisTitle>
  <cs:categoryAxis>
    <cs:lnRef idx="0"/>
    <cs:fillRef idx="0"/>
    <cs:effectRef idx="0"/>
    <cs:fontRef idx="minor">
      <a:schemeClr val="tx1">
        <a:lumMod val="65000"/>
        <a:lumOff val="35000"/>
      </a:schemeClr>
    </cs:fontRef>
    <cs:spPr>
      <a:ln w="9525" cap="flat" cmpd="sng" algn="ctr">
        <a:solidFill>
          <a:schemeClr val="tx1">
            <a:lumMod val="15000"/>
            <a:lumOff val="85000"/>
          </a:schemeClr>
        </a:solidFill>
        <a:round/>
      </a:ln>
    </cs:spPr>
    <cs:defRPr sz="900" kern="1200"/>
  </cs:categoryAxis>
  <cs:chartArea mods="allowNoFillOverride allowNoLineOverride">
    <cs:lnRef idx="0"/>
    <cs:fillRef idx="0"/>
    <cs:effectRef idx="0"/>
    <cs:fontRef idx="minor">
      <a:schemeClr val="tx1"/>
    </cs:fontRef>
    <cs:spPr>
      <a:solidFill>
        <a:schemeClr val="bg1"/>
      </a:solidFill>
      <a:ln w="9525" cap="flat" cmpd="sng" algn="ctr">
        <a:solidFill>
          <a:schemeClr val="tx1">
            <a:lumMod val="15000"/>
            <a:lumOff val="85000"/>
          </a:schemeClr>
        </a:solidFill>
        <a:round/>
      </a:ln>
    </cs:spPr>
    <cs:defRPr sz="1000" kern="1200"/>
  </cs:chartArea>
  <cs:dataLabel>
    <cs:lnRef idx="0"/>
    <cs:fillRef idx="0"/>
    <cs:effectRef idx="0"/>
    <cs:fontRef idx="minor">
      <a:schemeClr val="tx1">
        <a:lumMod val="75000"/>
        <a:lumOff val="25000"/>
      </a:schemeClr>
    </cs:fontRef>
    <cs:defRPr sz="900" kern="1200"/>
  </cs:dataLabel>
  <cs:dataLabelCallout>
    <cs:lnRef idx="0"/>
    <cs:fillRef idx="0"/>
    <cs:effectRef idx="0"/>
    <cs:fontRef idx="minor">
      <a:schemeClr val="dk1">
        <a:lumMod val="65000"/>
        <a:lumOff val="35000"/>
      </a:schemeClr>
    </cs:fontRef>
    <cs:spPr>
      <a:solidFill>
        <a:schemeClr val="lt1"/>
      </a:solidFill>
      <a:ln>
        <a:solidFill>
          <a:schemeClr val="dk1">
            <a:lumMod val="25000"/>
            <a:lumOff val="75000"/>
          </a:schemeClr>
        </a:solidFill>
      </a:ln>
    </cs:spPr>
    <cs:defRPr sz="900" kern="1200"/>
    <cs:bodyPr rot="0" spcFirstLastPara="1" vertOverflow="clip" horzOverflow="clip" vert="horz" wrap="square" lIns="36576" tIns="18288" rIns="36576" bIns="18288" anchor="ctr" anchorCtr="1">
      <a:spAutoFit/>
    </cs:bodyPr>
  </cs:dataLabelCallout>
  <cs:dataPoint>
    <cs:lnRef idx="0"/>
    <cs:fillRef idx="1">
      <cs:styleClr val="auto"/>
    </cs:fillRef>
    <cs:effectRef idx="0"/>
    <cs:fontRef idx="minor">
      <a:schemeClr val="tx1"/>
    </cs:fontRef>
    <cs:spPr>
      <a:solidFill>
        <a:schemeClr val="phClr"/>
      </a:solidFill>
    </cs:spPr>
  </cs:dataPoint>
  <cs:dataPoint3D>
    <cs:lnRef idx="0"/>
    <cs:fillRef idx="1">
      <cs:styleClr val="auto"/>
    </cs:fillRef>
    <cs:effectRef idx="0"/>
    <cs:fontRef idx="minor">
      <a:schemeClr val="tx1"/>
    </cs:fontRef>
    <cs:spPr>
      <a:solidFill>
        <a:schemeClr val="phClr"/>
      </a:solidFill>
    </cs:spPr>
  </cs:dataPoint3D>
  <cs:dataPointLine>
    <cs:lnRef idx="0">
      <cs:styleClr val="auto"/>
    </cs:lnRef>
    <cs:fillRef idx="1"/>
    <cs:effectRef idx="0"/>
    <cs:fontRef idx="minor">
      <a:schemeClr val="tx1"/>
    </cs:fontRef>
    <cs:spPr>
      <a:ln w="28575" cap="rnd">
        <a:solidFill>
          <a:schemeClr val="phClr"/>
        </a:solidFill>
        <a:round/>
      </a:ln>
    </cs:spPr>
  </cs:dataPointLine>
  <cs:dataPointMarker>
    <cs:lnRef idx="0">
      <cs:styleClr val="auto"/>
    </cs:lnRef>
    <cs:fillRef idx="1">
      <cs:styleClr val="auto"/>
    </cs:fillRef>
    <cs:effectRef idx="0"/>
    <cs:fontRef idx="minor">
      <a:schemeClr val="tx1"/>
    </cs:fontRef>
    <cs:spPr>
      <a:solidFill>
        <a:schemeClr val="phClr"/>
      </a:solidFill>
      <a:ln w="9525">
        <a:solidFill>
          <a:schemeClr val="phClr"/>
        </a:solidFill>
      </a:ln>
    </cs:spPr>
  </cs:dataPointMarker>
  <cs:dataPointMarkerLayout symbol="circle" size="5"/>
  <cs:dataPointWireframe>
    <cs:lnRef idx="0">
      <cs:styleClr val="auto"/>
    </cs:lnRef>
    <cs:fillRef idx="1"/>
    <cs:effectRef idx="0"/>
    <cs:fontRef idx="minor">
      <a:schemeClr val="tx1"/>
    </cs:fontRef>
    <cs:spPr>
      <a:ln w="9525" cap="rnd">
        <a:solidFill>
          <a:schemeClr val="phClr"/>
        </a:solidFill>
        <a:round/>
      </a:ln>
    </cs:spPr>
  </cs:dataPointWireframe>
  <cs:dataTable>
    <cs:lnRef idx="0"/>
    <cs:fillRef idx="0"/>
    <cs:effectRef idx="0"/>
    <cs:fontRef idx="minor">
      <a:schemeClr val="tx1">
        <a:lumMod val="65000"/>
        <a:lumOff val="35000"/>
      </a:schemeClr>
    </cs:fontRef>
    <cs:spPr>
      <a:noFill/>
      <a:ln w="9525" cap="flat" cmpd="sng" algn="ctr">
        <a:solidFill>
          <a:schemeClr val="tx1">
            <a:lumMod val="15000"/>
            <a:lumOff val="85000"/>
          </a:schemeClr>
        </a:solidFill>
        <a:round/>
      </a:ln>
    </cs:spPr>
    <cs:defRPr sz="900" kern="1200"/>
  </cs:dataTable>
  <cs:downBar>
    <cs:lnRef idx="0"/>
    <cs:fillRef idx="0"/>
    <cs:effectRef idx="0"/>
    <cs:fontRef idx="minor">
      <a:schemeClr val="dk1"/>
    </cs:fontRef>
    <cs:spPr>
      <a:solidFill>
        <a:schemeClr val="dk1">
          <a:lumMod val="65000"/>
          <a:lumOff val="35000"/>
        </a:schemeClr>
      </a:solidFill>
      <a:ln w="9525">
        <a:solidFill>
          <a:schemeClr val="tx1">
            <a:lumMod val="65000"/>
            <a:lumOff val="35000"/>
          </a:schemeClr>
        </a:solidFill>
      </a:ln>
    </cs:spPr>
  </cs:downBar>
  <cs:dropLine>
    <cs:lnRef idx="0"/>
    <cs:fillRef idx="0"/>
    <cs:effectRef idx="0"/>
    <cs:fontRef idx="minor">
      <a:schemeClr val="tx1"/>
    </cs:fontRef>
    <cs:spPr>
      <a:ln w="9525" cap="flat" cmpd="sng" algn="ctr">
        <a:solidFill>
          <a:schemeClr val="tx1">
            <a:lumMod val="35000"/>
            <a:lumOff val="65000"/>
          </a:schemeClr>
        </a:solidFill>
        <a:round/>
      </a:ln>
    </cs:spPr>
  </cs:dropLine>
  <cs:errorBar>
    <cs:lnRef idx="0"/>
    <cs:fillRef idx="0"/>
    <cs:effectRef idx="0"/>
    <cs:fontRef idx="minor">
      <a:schemeClr val="tx1"/>
    </cs:fontRef>
    <cs:spPr>
      <a:ln w="9525" cap="flat" cmpd="sng" algn="ctr">
        <a:solidFill>
          <a:schemeClr val="tx1">
            <a:lumMod val="65000"/>
            <a:lumOff val="35000"/>
          </a:schemeClr>
        </a:solidFill>
        <a:round/>
      </a:ln>
    </cs:spPr>
  </cs:errorBar>
  <cs:floor>
    <cs:lnRef idx="0"/>
    <cs:fillRef idx="0"/>
    <cs:effectRef idx="0"/>
    <cs:fontRef idx="minor">
      <a:schemeClr val="tx1"/>
    </cs:fontRef>
    <cs:spPr>
      <a:noFill/>
      <a:ln>
        <a:noFill/>
      </a:ln>
    </cs:spPr>
  </cs:floor>
  <cs:gridlineMajor>
    <cs:lnRef idx="0"/>
    <cs:fillRef idx="0"/>
    <cs:effectRef idx="0"/>
    <cs:fontRef idx="minor">
      <a:schemeClr val="tx1"/>
    </cs:fontRef>
    <cs:spPr>
      <a:ln w="9525" cap="flat" cmpd="sng" algn="ctr">
        <a:solidFill>
          <a:schemeClr val="tx1">
            <a:lumMod val="15000"/>
            <a:lumOff val="85000"/>
          </a:schemeClr>
        </a:solidFill>
        <a:round/>
      </a:ln>
    </cs:spPr>
  </cs:gridlineMajor>
  <cs:gridlineMinor>
    <cs:lnRef idx="0"/>
    <cs:fillRef idx="0"/>
    <cs:effectRef idx="0"/>
    <cs:fontRef idx="minor">
      <a:schemeClr val="tx1"/>
    </cs:fontRef>
    <cs:spPr>
      <a:ln w="9525" cap="flat" cmpd="sng" algn="ctr">
        <a:solidFill>
          <a:schemeClr val="tx1">
            <a:lumMod val="5000"/>
            <a:lumOff val="95000"/>
          </a:schemeClr>
        </a:solidFill>
        <a:round/>
      </a:ln>
    </cs:spPr>
  </cs:gridlineMinor>
  <cs:hiLoLine>
    <cs:lnRef idx="0"/>
    <cs:fillRef idx="0"/>
    <cs:effectRef idx="0"/>
    <cs:fontRef idx="minor">
      <a:schemeClr val="tx1"/>
    </cs:fontRef>
    <cs:spPr>
      <a:ln w="9525" cap="flat" cmpd="sng" algn="ctr">
        <a:solidFill>
          <a:schemeClr val="tx1">
            <a:lumMod val="75000"/>
            <a:lumOff val="25000"/>
          </a:schemeClr>
        </a:solidFill>
        <a:round/>
      </a:ln>
    </cs:spPr>
  </cs:hiLoLine>
  <cs:leaderLine>
    <cs:lnRef idx="0"/>
    <cs:fillRef idx="0"/>
    <cs:effectRef idx="0"/>
    <cs:fontRef idx="minor">
      <a:schemeClr val="tx1"/>
    </cs:fontRef>
    <cs:spPr>
      <a:ln w="9525" cap="flat" cmpd="sng" algn="ctr">
        <a:solidFill>
          <a:schemeClr val="tx1">
            <a:lumMod val="35000"/>
            <a:lumOff val="65000"/>
          </a:schemeClr>
        </a:solidFill>
        <a:round/>
      </a:ln>
    </cs:spPr>
  </cs:leaderLine>
  <cs:legend>
    <cs:lnRef idx="0"/>
    <cs:fillRef idx="0"/>
    <cs:effectRef idx="0"/>
    <cs:fontRef idx="minor">
      <a:schemeClr val="tx1">
        <a:lumMod val="65000"/>
        <a:lumOff val="35000"/>
      </a:schemeClr>
    </cs:fontRef>
    <cs:defRPr sz="900" kern="1200"/>
  </cs:legend>
  <cs:plotArea mods="allowNoFillOverride allowNoLineOverride">
    <cs:lnRef idx="0"/>
    <cs:fillRef idx="0"/>
    <cs:effectRef idx="0"/>
    <cs:fontRef idx="minor">
      <a:schemeClr val="tx1"/>
    </cs:fontRef>
  </cs:plotArea>
  <cs:plotArea3D mods="allowNoFillOverride allowNoLineOverride">
    <cs:lnRef idx="0"/>
    <cs:fillRef idx="0"/>
    <cs:effectRef idx="0"/>
    <cs:fontRef idx="minor">
      <a:schemeClr val="tx1"/>
    </cs:fontRef>
  </cs:plotArea3D>
  <cs:seriesAxis>
    <cs:lnRef idx="0"/>
    <cs:fillRef idx="0"/>
    <cs:effectRef idx="0"/>
    <cs:fontRef idx="minor">
      <a:schemeClr val="tx1">
        <a:lumMod val="65000"/>
        <a:lumOff val="35000"/>
      </a:schemeClr>
    </cs:fontRef>
    <cs:defRPr sz="900" kern="1200"/>
  </cs:seriesAxis>
  <cs:seriesLine>
    <cs:lnRef idx="0"/>
    <cs:fillRef idx="0"/>
    <cs:effectRef idx="0"/>
    <cs:fontRef idx="minor">
      <a:schemeClr val="tx1"/>
    </cs:fontRef>
    <cs:spPr>
      <a:ln w="9525" cap="flat" cmpd="sng" algn="ctr">
        <a:solidFill>
          <a:schemeClr val="tx1">
            <a:lumMod val="35000"/>
            <a:lumOff val="65000"/>
          </a:schemeClr>
        </a:solidFill>
        <a:round/>
      </a:ln>
    </cs:spPr>
  </cs:seriesLine>
  <cs:title>
    <cs:lnRef idx="0"/>
    <cs:fillRef idx="0"/>
    <cs:effectRef idx="0"/>
    <cs:fontRef idx="minor">
      <a:schemeClr val="tx1">
        <a:lumMod val="65000"/>
        <a:lumOff val="35000"/>
      </a:schemeClr>
    </cs:fontRef>
    <cs:defRPr sz="1400" b="0" kern="1200" spc="0" baseline="0"/>
  </cs:title>
  <cs:trendline>
    <cs:lnRef idx="0">
      <cs:styleClr val="auto"/>
    </cs:lnRef>
    <cs:fillRef idx="0"/>
    <cs:effectRef idx="0"/>
    <cs:fontRef idx="minor">
      <a:schemeClr val="tx1"/>
    </cs:fontRef>
    <cs:spPr>
      <a:ln w="19050" cap="rnd">
        <a:solidFill>
          <a:schemeClr val="phClr"/>
        </a:solidFill>
        <a:prstDash val="sysDot"/>
      </a:ln>
    </cs:spPr>
  </cs:trendline>
  <cs:trendlineLabel>
    <cs:lnRef idx="0"/>
    <cs:fillRef idx="0"/>
    <cs:effectRef idx="0"/>
    <cs:fontRef idx="minor">
      <a:schemeClr val="tx1">
        <a:lumMod val="65000"/>
        <a:lumOff val="35000"/>
      </a:schemeClr>
    </cs:fontRef>
    <cs:defRPr sz="900" kern="1200"/>
  </cs:trendlineLabel>
  <cs:upBar>
    <cs:lnRef idx="0"/>
    <cs:fillRef idx="0"/>
    <cs:effectRef idx="0"/>
    <cs:fontRef idx="minor">
      <a:schemeClr val="dk1"/>
    </cs:fontRef>
    <cs:spPr>
      <a:solidFill>
        <a:schemeClr val="lt1"/>
      </a:solidFill>
      <a:ln w="9525">
        <a:solidFill>
          <a:schemeClr val="tx1">
            <a:lumMod val="15000"/>
            <a:lumOff val="85000"/>
          </a:schemeClr>
        </a:solidFill>
      </a:ln>
    </cs:spPr>
  </cs:upBar>
  <cs:valueAxis>
    <cs:lnRef idx="0"/>
    <cs:fillRef idx="0"/>
    <cs:effectRef idx="0"/>
    <cs:fontRef idx="minor">
      <a:schemeClr val="tx1">
        <a:lumMod val="65000"/>
        <a:lumOff val="35000"/>
      </a:schemeClr>
    </cs:fontRef>
    <cs:defRPr sz="900" kern="1200"/>
  </cs:valueAxis>
  <cs:wall>
    <cs:lnRef idx="0"/>
    <cs:fillRef idx="0"/>
    <cs:effectRef idx="0"/>
    <cs:fontRef idx="minor">
      <a:schemeClr val="tx1"/>
    </cs:fontRef>
    <cs:spPr>
      <a:noFill/>
      <a:ln>
        <a:noFill/>
      </a:ln>
    </cs:spPr>
  </cs:wall>
</cs:chartStyle>
</file>

<file path=word/charts/style2.xml><?xml version="1.0" encoding="utf-8"?>
<cs:chartStyle xmlns:cs="http://schemas.microsoft.com/office/drawing/2012/chartStyle" xmlns:a="http://schemas.openxmlformats.org/drawingml/2006/main" id="322">
  <cs:axisTitle>
    <cs:lnRef idx="0"/>
    <cs:fillRef idx="0"/>
    <cs:effectRef idx="0"/>
    <cs:fontRef idx="minor">
      <a:schemeClr val="tx1">
        <a:lumMod val="65000"/>
        <a:lumOff val="35000"/>
      </a:schemeClr>
    </cs:fontRef>
    <cs:defRPr sz="1000" kern="1200"/>
  </cs:axisTitle>
  <cs:categoryAxis>
    <cs:lnRef idx="0"/>
    <cs:fillRef idx="0"/>
    <cs:effectRef idx="0"/>
    <cs:fontRef idx="minor">
      <a:schemeClr val="tx1">
        <a:lumMod val="65000"/>
        <a:lumOff val="35000"/>
      </a:schemeClr>
    </cs:fontRef>
    <cs:spPr>
      <a:ln w="9525" cap="flat" cmpd="sng" algn="ctr">
        <a:solidFill>
          <a:schemeClr val="tx1">
            <a:lumMod val="15000"/>
            <a:lumOff val="85000"/>
          </a:schemeClr>
        </a:solidFill>
        <a:round/>
      </a:ln>
    </cs:spPr>
    <cs:defRPr sz="900" kern="1200"/>
  </cs:categoryAxis>
  <cs:chartArea mods="allowNoFillOverride allowNoLineOverride">
    <cs:lnRef idx="0"/>
    <cs:fillRef idx="0"/>
    <cs:effectRef idx="0"/>
    <cs:fontRef idx="minor">
      <a:schemeClr val="tx1"/>
    </cs:fontRef>
    <cs:spPr>
      <a:solidFill>
        <a:schemeClr val="bg1"/>
      </a:solidFill>
      <a:ln w="9525" cap="flat" cmpd="sng" algn="ctr">
        <a:solidFill>
          <a:schemeClr val="tx1">
            <a:lumMod val="15000"/>
            <a:lumOff val="85000"/>
          </a:schemeClr>
        </a:solidFill>
        <a:round/>
      </a:ln>
    </cs:spPr>
    <cs:defRPr sz="1000" kern="1200"/>
  </cs:chartArea>
  <cs:dataLabel>
    <cs:lnRef idx="0"/>
    <cs:fillRef idx="0"/>
    <cs:effectRef idx="0"/>
    <cs:fontRef idx="minor">
      <a:schemeClr val="tx1">
        <a:lumMod val="75000"/>
        <a:lumOff val="25000"/>
      </a:schemeClr>
    </cs:fontRef>
    <cs:defRPr sz="900" kern="1200"/>
  </cs:dataLabel>
  <cs:dataLabelCallout>
    <cs:lnRef idx="0"/>
    <cs:fillRef idx="0"/>
    <cs:effectRef idx="0"/>
    <cs:fontRef idx="minor">
      <a:schemeClr val="dk1">
        <a:lumMod val="65000"/>
        <a:lumOff val="35000"/>
      </a:schemeClr>
    </cs:fontRef>
    <cs:spPr>
      <a:solidFill>
        <a:schemeClr val="lt1"/>
      </a:solidFill>
      <a:ln>
        <a:solidFill>
          <a:schemeClr val="dk1">
            <a:lumMod val="25000"/>
            <a:lumOff val="75000"/>
          </a:schemeClr>
        </a:solidFill>
      </a:ln>
    </cs:spPr>
    <cs:defRPr sz="900" kern="1200"/>
    <cs:bodyPr rot="0" spcFirstLastPara="1" vertOverflow="clip" horzOverflow="clip" vert="horz" wrap="square" lIns="36576" tIns="18288" rIns="36576" bIns="18288" anchor="ctr" anchorCtr="1">
      <a:spAutoFit/>
    </cs:bodyPr>
  </cs:dataLabelCallout>
  <cs:dataPoint>
    <cs:lnRef idx="0"/>
    <cs:fillRef idx="1">
      <cs:styleClr val="auto"/>
    </cs:fillRef>
    <cs:effectRef idx="0"/>
    <cs:fontRef idx="minor">
      <a:schemeClr val="tx1"/>
    </cs:fontRef>
  </cs:dataPoint>
  <cs:dataPoint3D>
    <cs:lnRef idx="0"/>
    <cs:fillRef idx="1">
      <cs:styleClr val="auto"/>
    </cs:fillRef>
    <cs:effectRef idx="0"/>
    <cs:fontRef idx="minor">
      <a:schemeClr val="tx1"/>
    </cs:fontRef>
  </cs:dataPoint3D>
  <cs:dataPointLine>
    <cs:lnRef idx="0">
      <cs:styleClr val="auto"/>
    </cs:lnRef>
    <cs:fillRef idx="1"/>
    <cs:effectRef idx="0"/>
    <cs:fontRef idx="minor">
      <a:schemeClr val="tx1"/>
    </cs:fontRef>
    <cs:spPr>
      <a:ln w="28575" cap="rnd">
        <a:solidFill>
          <a:schemeClr val="phClr"/>
        </a:solidFill>
        <a:round/>
      </a:ln>
    </cs:spPr>
  </cs:dataPointLine>
  <cs:dataPointMarker>
    <cs:lnRef idx="0">
      <cs:styleClr val="auto"/>
    </cs:lnRef>
    <cs:fillRef idx="1">
      <cs:styleClr val="auto"/>
    </cs:fillRef>
    <cs:effectRef idx="0"/>
    <cs:fontRef idx="minor">
      <a:schemeClr val="tx1"/>
    </cs:fontRef>
    <cs:spPr>
      <a:ln w="9525">
        <a:solidFill>
          <a:schemeClr val="phClr"/>
        </a:solidFill>
      </a:ln>
    </cs:spPr>
  </cs:dataPointMarker>
  <cs:dataPointMarkerLayout symbol="circle" size="5"/>
  <cs:dataPointWireframe>
    <cs:lnRef idx="0">
      <cs:styleClr val="auto"/>
    </cs:lnRef>
    <cs:fillRef idx="1"/>
    <cs:effectRef idx="0"/>
    <cs:fontRef idx="minor">
      <a:schemeClr val="tx1"/>
    </cs:fontRef>
    <cs:spPr>
      <a:ln w="9525" cap="rnd">
        <a:solidFill>
          <a:schemeClr val="phClr"/>
        </a:solidFill>
        <a:round/>
      </a:ln>
    </cs:spPr>
  </cs:dataPointWireframe>
  <cs:dataTable>
    <cs:lnRef idx="0"/>
    <cs:fillRef idx="0"/>
    <cs:effectRef idx="0"/>
    <cs:fontRef idx="minor">
      <a:schemeClr val="tx1">
        <a:lumMod val="65000"/>
        <a:lumOff val="35000"/>
      </a:schemeClr>
    </cs:fontRef>
    <cs:spPr>
      <a:noFill/>
      <a:ln w="9525" cap="flat" cmpd="sng" algn="ctr">
        <a:solidFill>
          <a:schemeClr val="tx1">
            <a:lumMod val="15000"/>
            <a:lumOff val="85000"/>
          </a:schemeClr>
        </a:solidFill>
        <a:round/>
      </a:ln>
    </cs:spPr>
    <cs:defRPr sz="900" kern="1200"/>
  </cs:dataTable>
  <cs:downBar>
    <cs:lnRef idx="0"/>
    <cs:fillRef idx="0"/>
    <cs:effectRef idx="0"/>
    <cs:fontRef idx="minor">
      <a:schemeClr val="tx1"/>
    </cs:fontRef>
    <cs:spPr>
      <a:solidFill>
        <a:schemeClr val="dk1">
          <a:lumMod val="75000"/>
          <a:lumOff val="25000"/>
        </a:schemeClr>
      </a:solidFill>
      <a:ln w="9525" cap="flat" cmpd="sng" algn="ctr">
        <a:solidFill>
          <a:schemeClr val="tx1">
            <a:lumMod val="65000"/>
            <a:lumOff val="35000"/>
          </a:schemeClr>
        </a:solidFill>
        <a:round/>
      </a:ln>
    </cs:spPr>
  </cs:downBar>
  <cs:dropLine>
    <cs:lnRef idx="0"/>
    <cs:fillRef idx="0"/>
    <cs:effectRef idx="0"/>
    <cs:fontRef idx="minor">
      <a:schemeClr val="tx1"/>
    </cs:fontRef>
    <cs:spPr>
      <a:ln w="9525" cap="flat" cmpd="sng" algn="ctr">
        <a:solidFill>
          <a:schemeClr val="tx1">
            <a:lumMod val="35000"/>
            <a:lumOff val="65000"/>
          </a:schemeClr>
        </a:solidFill>
        <a:round/>
      </a:ln>
    </cs:spPr>
  </cs:dropLine>
  <cs:errorBar>
    <cs:lnRef idx="0"/>
    <cs:fillRef idx="0"/>
    <cs:effectRef idx="0"/>
    <cs:fontRef idx="minor">
      <a:schemeClr val="tx1"/>
    </cs:fontRef>
    <cs:spPr>
      <a:ln w="9525" cap="flat" cmpd="sng" algn="ctr">
        <a:solidFill>
          <a:schemeClr val="tx1">
            <a:lumMod val="65000"/>
            <a:lumOff val="35000"/>
          </a:schemeClr>
        </a:solidFill>
        <a:round/>
      </a:ln>
    </cs:spPr>
  </cs:errorBar>
  <cs:floor>
    <cs:lnRef idx="0"/>
    <cs:fillRef idx="0"/>
    <cs:effectRef idx="0"/>
    <cs:fontRef idx="minor">
      <a:schemeClr val="tx1"/>
    </cs:fontRef>
    <cs:spPr>
      <a:noFill/>
      <a:ln>
        <a:noFill/>
      </a:ln>
    </cs:spPr>
  </cs:floor>
  <cs:gridlineMajor>
    <cs:lnRef idx="0"/>
    <cs:fillRef idx="0"/>
    <cs:effectRef idx="0"/>
    <cs:fontRef idx="minor">
      <a:schemeClr val="tx1"/>
    </cs:fontRef>
    <cs:spPr>
      <a:ln w="9525" cap="flat" cmpd="sng" algn="ctr">
        <a:solidFill>
          <a:schemeClr val="tx1">
            <a:lumMod val="15000"/>
            <a:lumOff val="85000"/>
          </a:schemeClr>
        </a:solidFill>
        <a:round/>
      </a:ln>
    </cs:spPr>
  </cs:gridlineMajor>
  <cs:gridlineMinor>
    <cs:lnRef idx="0"/>
    <cs:fillRef idx="0"/>
    <cs:effectRef idx="0"/>
    <cs:fontRef idx="minor">
      <a:schemeClr val="tx1"/>
    </cs:fontRef>
    <cs:spPr>
      <a:ln w="9525" cap="flat" cmpd="sng" algn="ctr">
        <a:solidFill>
          <a:schemeClr val="tx1">
            <a:lumMod val="5000"/>
            <a:lumOff val="95000"/>
          </a:schemeClr>
        </a:solidFill>
        <a:round/>
      </a:ln>
    </cs:spPr>
  </cs:gridlineMinor>
  <cs:hiLoLine>
    <cs:lnRef idx="0"/>
    <cs:fillRef idx="0"/>
    <cs:effectRef idx="0"/>
    <cs:fontRef idx="minor">
      <a:schemeClr val="tx1"/>
    </cs:fontRef>
    <cs:spPr>
      <a:ln w="9525" cap="flat" cmpd="sng" algn="ctr">
        <a:solidFill>
          <a:schemeClr val="tx1">
            <a:lumMod val="75000"/>
            <a:lumOff val="25000"/>
          </a:schemeClr>
        </a:solidFill>
        <a:round/>
      </a:ln>
    </cs:spPr>
  </cs:hiLoLine>
  <cs:leaderLine>
    <cs:lnRef idx="0"/>
    <cs:fillRef idx="0"/>
    <cs:effectRef idx="0"/>
    <cs:fontRef idx="minor">
      <a:schemeClr val="tx1"/>
    </cs:fontRef>
    <cs:spPr>
      <a:ln w="9525" cap="flat" cmpd="sng" algn="ctr">
        <a:solidFill>
          <a:schemeClr val="tx1">
            <a:lumMod val="35000"/>
            <a:lumOff val="65000"/>
          </a:schemeClr>
        </a:solidFill>
        <a:round/>
      </a:ln>
    </cs:spPr>
  </cs:leaderLine>
  <cs:legend>
    <cs:lnRef idx="0"/>
    <cs:fillRef idx="0"/>
    <cs:effectRef idx="0"/>
    <cs:fontRef idx="minor">
      <a:schemeClr val="tx1">
        <a:lumMod val="65000"/>
        <a:lumOff val="35000"/>
      </a:schemeClr>
    </cs:fontRef>
    <cs:defRPr sz="900" kern="1200"/>
  </cs:legend>
  <cs:plotArea mods="allowNoFillOverride allowNoLineOverride">
    <cs:lnRef idx="0"/>
    <cs:fillRef idx="0"/>
    <cs:effectRef idx="0"/>
    <cs:fontRef idx="minor">
      <a:schemeClr val="tx1"/>
    </cs:fontRef>
  </cs:plotArea>
  <cs:plotArea3D mods="allowNoFillOverride allowNoLineOverride">
    <cs:lnRef idx="0"/>
    <cs:fillRef idx="0"/>
    <cs:effectRef idx="0"/>
    <cs:fontRef idx="minor">
      <a:schemeClr val="tx1"/>
    </cs:fontRef>
  </cs:plotArea3D>
  <cs:seriesAxis>
    <cs:lnRef idx="0"/>
    <cs:fillRef idx="0"/>
    <cs:effectRef idx="0"/>
    <cs:fontRef idx="minor">
      <a:schemeClr val="tx1">
        <a:lumMod val="65000"/>
        <a:lumOff val="35000"/>
      </a:schemeClr>
    </cs:fontRef>
    <cs:spPr>
      <a:ln w="9525" cap="flat" cmpd="sng" algn="ctr">
        <a:solidFill>
          <a:schemeClr val="tx1">
            <a:lumMod val="15000"/>
            <a:lumOff val="85000"/>
          </a:schemeClr>
        </a:solidFill>
        <a:round/>
      </a:ln>
    </cs:spPr>
    <cs:defRPr sz="900" kern="1200"/>
  </cs:seriesAxis>
  <cs:seriesLine>
    <cs:lnRef idx="0"/>
    <cs:fillRef idx="0"/>
    <cs:effectRef idx="0"/>
    <cs:fontRef idx="minor">
      <a:schemeClr val="tx1"/>
    </cs:fontRef>
    <cs:spPr>
      <a:ln w="9525" cap="flat" cmpd="sng" algn="ctr">
        <a:solidFill>
          <a:schemeClr val="tx1">
            <a:lumMod val="35000"/>
            <a:lumOff val="65000"/>
          </a:schemeClr>
        </a:solidFill>
        <a:round/>
      </a:ln>
    </cs:spPr>
  </cs:seriesLine>
  <cs:title>
    <cs:lnRef idx="0"/>
    <cs:fillRef idx="0"/>
    <cs:effectRef idx="0"/>
    <cs:fontRef idx="minor">
      <a:schemeClr val="tx1">
        <a:lumMod val="65000"/>
        <a:lumOff val="35000"/>
      </a:schemeClr>
    </cs:fontRef>
    <cs:defRPr sz="1400" b="0" kern="1200" spc="0" baseline="0"/>
  </cs:title>
  <cs:trendline>
    <cs:lnRef idx="0">
      <cs:styleClr val="auto"/>
    </cs:lnRef>
    <cs:fillRef idx="0"/>
    <cs:effectRef idx="0"/>
    <cs:fontRef idx="minor">
      <a:schemeClr val="tx1"/>
    </cs:fontRef>
    <cs:spPr>
      <a:ln w="19050" cap="rnd">
        <a:solidFill>
          <a:schemeClr val="phClr"/>
        </a:solidFill>
        <a:prstDash val="sysDot"/>
      </a:ln>
    </cs:spPr>
  </cs:trendline>
  <cs:trendlineLabel>
    <cs:lnRef idx="0"/>
    <cs:fillRef idx="0"/>
    <cs:effectRef idx="0"/>
    <cs:fontRef idx="minor">
      <a:schemeClr val="tx1">
        <a:lumMod val="65000"/>
        <a:lumOff val="35000"/>
      </a:schemeClr>
    </cs:fontRef>
    <cs:defRPr sz="900" kern="1200"/>
  </cs:trendlineLabel>
  <cs:upBar>
    <cs:lnRef idx="0"/>
    <cs:fillRef idx="0"/>
    <cs:effectRef idx="0"/>
    <cs:fontRef idx="minor">
      <a:schemeClr val="tx1"/>
    </cs:fontRef>
    <cs:spPr>
      <a:solidFill>
        <a:schemeClr val="lt1"/>
      </a:solidFill>
      <a:ln w="9525" cap="flat" cmpd="sng" algn="ctr">
        <a:solidFill>
          <a:schemeClr val="tx1">
            <a:lumMod val="65000"/>
            <a:lumOff val="35000"/>
          </a:schemeClr>
        </a:solidFill>
        <a:round/>
      </a:ln>
    </cs:spPr>
  </cs:upBar>
  <cs:valueAxis>
    <cs:lnRef idx="0"/>
    <cs:fillRef idx="0"/>
    <cs:effectRef idx="0"/>
    <cs:fontRef idx="minor">
      <a:schemeClr val="tx1">
        <a:lumMod val="65000"/>
        <a:lumOff val="35000"/>
      </a:schemeClr>
    </cs:fontRef>
    <cs:defRPr sz="900" kern="1200"/>
  </cs:valueAxis>
  <cs:wall>
    <cs:lnRef idx="0"/>
    <cs:fillRef idx="0"/>
    <cs:effectRef idx="0"/>
    <cs:fontRef idx="minor">
      <a:schemeClr val="tx1"/>
    </cs:fontRef>
    <cs:spPr>
      <a:noFill/>
      <a:ln>
        <a:noFill/>
      </a:ln>
    </cs:spPr>
  </cs:wall>
</cs:chartStyle>
</file>

<file path=word/charts/style3.xml><?xml version="1.0" encoding="utf-8"?>
<cs:chartStyle xmlns:cs="http://schemas.microsoft.com/office/drawing/2012/chartStyle" xmlns:a="http://schemas.openxmlformats.org/drawingml/2006/main" id="227">
  <cs:axisTitle>
    <cs:lnRef idx="0"/>
    <cs:fillRef idx="0"/>
    <cs:effectRef idx="0"/>
    <cs:fontRef idx="minor">
      <a:schemeClr val="tx1">
        <a:lumMod val="65000"/>
        <a:lumOff val="35000"/>
      </a:schemeClr>
    </cs:fontRef>
    <cs:defRPr sz="1000" kern="1200"/>
  </cs:axisTitle>
  <cs:categoryAxis>
    <cs:lnRef idx="0"/>
    <cs:fillRef idx="0"/>
    <cs:effectRef idx="0"/>
    <cs:fontRef idx="minor">
      <a:schemeClr val="tx1">
        <a:lumMod val="65000"/>
        <a:lumOff val="35000"/>
      </a:schemeClr>
    </cs:fontRef>
    <cs:spPr>
      <a:ln w="9525" cap="flat" cmpd="sng" algn="ctr">
        <a:solidFill>
          <a:schemeClr val="tx1">
            <a:lumMod val="15000"/>
            <a:lumOff val="85000"/>
          </a:schemeClr>
        </a:solidFill>
        <a:round/>
      </a:ln>
    </cs:spPr>
    <cs:defRPr sz="900" kern="1200"/>
  </cs:categoryAxis>
  <cs:chartArea mods="allowNoFillOverride allowNoLineOverride">
    <cs:lnRef idx="0"/>
    <cs:fillRef idx="0"/>
    <cs:effectRef idx="0"/>
    <cs:fontRef idx="minor">
      <a:schemeClr val="tx1"/>
    </cs:fontRef>
    <cs:spPr>
      <a:solidFill>
        <a:schemeClr val="bg1"/>
      </a:solidFill>
      <a:ln w="9525" cap="flat" cmpd="sng" algn="ctr">
        <a:solidFill>
          <a:schemeClr val="tx1">
            <a:lumMod val="15000"/>
            <a:lumOff val="85000"/>
          </a:schemeClr>
        </a:solidFill>
        <a:round/>
      </a:ln>
    </cs:spPr>
    <cs:defRPr sz="1000" kern="1200"/>
  </cs:chartArea>
  <cs:dataLabel>
    <cs:lnRef idx="0"/>
    <cs:fillRef idx="0"/>
    <cs:effectRef idx="0"/>
    <cs:fontRef idx="minor">
      <a:schemeClr val="tx1">
        <a:lumMod val="75000"/>
        <a:lumOff val="25000"/>
      </a:schemeClr>
    </cs:fontRef>
    <cs:defRPr sz="900" kern="1200"/>
  </cs:dataLabel>
  <cs:dataLabelCallout>
    <cs:lnRef idx="0"/>
    <cs:fillRef idx="0"/>
    <cs:effectRef idx="0"/>
    <cs:fontRef idx="minor">
      <a:schemeClr val="dk1">
        <a:lumMod val="65000"/>
        <a:lumOff val="35000"/>
      </a:schemeClr>
    </cs:fontRef>
    <cs:spPr>
      <a:solidFill>
        <a:schemeClr val="lt1"/>
      </a:solidFill>
      <a:ln>
        <a:solidFill>
          <a:schemeClr val="dk1">
            <a:lumMod val="25000"/>
            <a:lumOff val="75000"/>
          </a:schemeClr>
        </a:solidFill>
      </a:ln>
    </cs:spPr>
    <cs:defRPr sz="900" kern="1200"/>
    <cs:bodyPr rot="0" spcFirstLastPara="1" vertOverflow="clip" horzOverflow="clip" vert="horz" wrap="square" lIns="36576" tIns="18288" rIns="36576" bIns="18288" anchor="ctr" anchorCtr="1">
      <a:spAutoFit/>
    </cs:bodyPr>
  </cs:dataLabelCallout>
  <cs:dataPoint>
    <cs:lnRef idx="0"/>
    <cs:fillRef idx="1">
      <cs:styleClr val="auto"/>
    </cs:fillRef>
    <cs:effectRef idx="0"/>
    <cs:fontRef idx="minor">
      <a:schemeClr val="tx1"/>
    </cs:fontRef>
    <cs:spPr>
      <a:solidFill>
        <a:schemeClr val="phClr"/>
      </a:solidFill>
    </cs:spPr>
  </cs:dataPoint>
  <cs:dataPoint3D>
    <cs:lnRef idx="0"/>
    <cs:fillRef idx="1">
      <cs:styleClr val="auto"/>
    </cs:fillRef>
    <cs:effectRef idx="0"/>
    <cs:fontRef idx="minor">
      <a:schemeClr val="tx1"/>
    </cs:fontRef>
    <cs:spPr>
      <a:solidFill>
        <a:schemeClr val="phClr"/>
      </a:solidFill>
    </cs:spPr>
  </cs:dataPoint3D>
  <cs:dataPointLine>
    <cs:lnRef idx="0">
      <cs:styleClr val="auto"/>
    </cs:lnRef>
    <cs:fillRef idx="1"/>
    <cs:effectRef idx="0"/>
    <cs:fontRef idx="minor">
      <a:schemeClr val="tx1"/>
    </cs:fontRef>
    <cs:spPr>
      <a:ln w="28575" cap="rnd">
        <a:solidFill>
          <a:schemeClr val="phClr"/>
        </a:solidFill>
        <a:round/>
      </a:ln>
    </cs:spPr>
  </cs:dataPointLine>
  <cs:dataPointMarker>
    <cs:lnRef idx="0">
      <cs:styleClr val="auto"/>
    </cs:lnRef>
    <cs:fillRef idx="1">
      <cs:styleClr val="auto"/>
    </cs:fillRef>
    <cs:effectRef idx="0"/>
    <cs:fontRef idx="minor">
      <a:schemeClr val="tx1"/>
    </cs:fontRef>
    <cs:spPr>
      <a:solidFill>
        <a:schemeClr val="phClr"/>
      </a:solidFill>
      <a:ln w="9525">
        <a:solidFill>
          <a:schemeClr val="phClr"/>
        </a:solidFill>
      </a:ln>
    </cs:spPr>
  </cs:dataPointMarker>
  <cs:dataPointMarkerLayout symbol="circle" size="5"/>
  <cs:dataPointWireframe>
    <cs:lnRef idx="0">
      <cs:styleClr val="auto"/>
    </cs:lnRef>
    <cs:fillRef idx="1"/>
    <cs:effectRef idx="0"/>
    <cs:fontRef idx="minor">
      <a:schemeClr val="tx1"/>
    </cs:fontRef>
    <cs:spPr>
      <a:ln w="9525" cap="rnd">
        <a:solidFill>
          <a:schemeClr val="phClr"/>
        </a:solidFill>
        <a:round/>
      </a:ln>
    </cs:spPr>
  </cs:dataPointWireframe>
  <cs:dataTable>
    <cs:lnRef idx="0"/>
    <cs:fillRef idx="0"/>
    <cs:effectRef idx="0"/>
    <cs:fontRef idx="minor">
      <a:schemeClr val="tx1">
        <a:lumMod val="65000"/>
        <a:lumOff val="35000"/>
      </a:schemeClr>
    </cs:fontRef>
    <cs:spPr>
      <a:noFill/>
      <a:ln w="9525" cap="flat" cmpd="sng" algn="ctr">
        <a:solidFill>
          <a:schemeClr val="tx1">
            <a:lumMod val="15000"/>
            <a:lumOff val="85000"/>
          </a:schemeClr>
        </a:solidFill>
        <a:round/>
      </a:ln>
    </cs:spPr>
    <cs:defRPr sz="900" kern="1200"/>
  </cs:dataTable>
  <cs:downBar>
    <cs:lnRef idx="0"/>
    <cs:fillRef idx="0"/>
    <cs:effectRef idx="0"/>
    <cs:fontRef idx="minor">
      <a:schemeClr val="dk1"/>
    </cs:fontRef>
    <cs:spPr>
      <a:solidFill>
        <a:schemeClr val="dk1">
          <a:lumMod val="65000"/>
          <a:lumOff val="35000"/>
        </a:schemeClr>
      </a:solidFill>
      <a:ln w="9525">
        <a:solidFill>
          <a:schemeClr val="tx1">
            <a:lumMod val="65000"/>
            <a:lumOff val="35000"/>
          </a:schemeClr>
        </a:solidFill>
      </a:ln>
    </cs:spPr>
  </cs:downBar>
  <cs:dropLine>
    <cs:lnRef idx="0"/>
    <cs:fillRef idx="0"/>
    <cs:effectRef idx="0"/>
    <cs:fontRef idx="minor">
      <a:schemeClr val="tx1"/>
    </cs:fontRef>
    <cs:spPr>
      <a:ln w="9525" cap="flat" cmpd="sng" algn="ctr">
        <a:solidFill>
          <a:schemeClr val="tx1">
            <a:lumMod val="35000"/>
            <a:lumOff val="65000"/>
          </a:schemeClr>
        </a:solidFill>
        <a:round/>
      </a:ln>
    </cs:spPr>
  </cs:dropLine>
  <cs:errorBar>
    <cs:lnRef idx="0"/>
    <cs:fillRef idx="0"/>
    <cs:effectRef idx="0"/>
    <cs:fontRef idx="minor">
      <a:schemeClr val="tx1"/>
    </cs:fontRef>
    <cs:spPr>
      <a:ln w="9525" cap="flat" cmpd="sng" algn="ctr">
        <a:solidFill>
          <a:schemeClr val="tx1">
            <a:lumMod val="65000"/>
            <a:lumOff val="35000"/>
          </a:schemeClr>
        </a:solidFill>
        <a:round/>
      </a:ln>
    </cs:spPr>
  </cs:errorBar>
  <cs:floor>
    <cs:lnRef idx="0"/>
    <cs:fillRef idx="0"/>
    <cs:effectRef idx="0"/>
    <cs:fontRef idx="minor">
      <a:schemeClr val="tx1"/>
    </cs:fontRef>
    <cs:spPr>
      <a:noFill/>
      <a:ln>
        <a:noFill/>
      </a:ln>
    </cs:spPr>
  </cs:floor>
  <cs:gridlineMajor>
    <cs:lnRef idx="0"/>
    <cs:fillRef idx="0"/>
    <cs:effectRef idx="0"/>
    <cs:fontRef idx="minor">
      <a:schemeClr val="tx1"/>
    </cs:fontRef>
    <cs:spPr>
      <a:ln w="9525" cap="flat" cmpd="sng" algn="ctr">
        <a:solidFill>
          <a:schemeClr val="tx1">
            <a:lumMod val="15000"/>
            <a:lumOff val="85000"/>
          </a:schemeClr>
        </a:solidFill>
        <a:round/>
      </a:ln>
    </cs:spPr>
  </cs:gridlineMajor>
  <cs:gridlineMinor>
    <cs:lnRef idx="0"/>
    <cs:fillRef idx="0"/>
    <cs:effectRef idx="0"/>
    <cs:fontRef idx="minor">
      <a:schemeClr val="tx1"/>
    </cs:fontRef>
    <cs:spPr>
      <a:ln w="9525" cap="flat" cmpd="sng" algn="ctr">
        <a:solidFill>
          <a:schemeClr val="tx1">
            <a:lumMod val="5000"/>
            <a:lumOff val="95000"/>
          </a:schemeClr>
        </a:solidFill>
        <a:round/>
      </a:ln>
    </cs:spPr>
  </cs:gridlineMinor>
  <cs:hiLoLine>
    <cs:lnRef idx="0"/>
    <cs:fillRef idx="0"/>
    <cs:effectRef idx="0"/>
    <cs:fontRef idx="minor">
      <a:schemeClr val="tx1"/>
    </cs:fontRef>
    <cs:spPr>
      <a:ln w="9525" cap="flat" cmpd="sng" algn="ctr">
        <a:solidFill>
          <a:schemeClr val="tx1">
            <a:lumMod val="75000"/>
            <a:lumOff val="25000"/>
          </a:schemeClr>
        </a:solidFill>
        <a:round/>
      </a:ln>
    </cs:spPr>
  </cs:hiLoLine>
  <cs:leaderLine>
    <cs:lnRef idx="0"/>
    <cs:fillRef idx="0"/>
    <cs:effectRef idx="0"/>
    <cs:fontRef idx="minor">
      <a:schemeClr val="tx1"/>
    </cs:fontRef>
    <cs:spPr>
      <a:ln w="9525" cap="flat" cmpd="sng" algn="ctr">
        <a:solidFill>
          <a:schemeClr val="tx1">
            <a:lumMod val="35000"/>
            <a:lumOff val="65000"/>
          </a:schemeClr>
        </a:solidFill>
        <a:round/>
      </a:ln>
    </cs:spPr>
  </cs:leaderLine>
  <cs:legend>
    <cs:lnRef idx="0"/>
    <cs:fillRef idx="0"/>
    <cs:effectRef idx="0"/>
    <cs:fontRef idx="minor">
      <a:schemeClr val="tx1">
        <a:lumMod val="65000"/>
        <a:lumOff val="35000"/>
      </a:schemeClr>
    </cs:fontRef>
    <cs:defRPr sz="900" kern="1200"/>
  </cs:legend>
  <cs:plotArea mods="allowNoFillOverride allowNoLineOverride">
    <cs:lnRef idx="0"/>
    <cs:fillRef idx="0"/>
    <cs:effectRef idx="0"/>
    <cs:fontRef idx="minor">
      <a:schemeClr val="tx1"/>
    </cs:fontRef>
  </cs:plotArea>
  <cs:plotArea3D mods="allowNoFillOverride allowNoLineOverride">
    <cs:lnRef idx="0"/>
    <cs:fillRef idx="0"/>
    <cs:effectRef idx="0"/>
    <cs:fontRef idx="minor">
      <a:schemeClr val="tx1"/>
    </cs:fontRef>
  </cs:plotArea3D>
  <cs:seriesAxis>
    <cs:lnRef idx="0"/>
    <cs:fillRef idx="0"/>
    <cs:effectRef idx="0"/>
    <cs:fontRef idx="minor">
      <a:schemeClr val="tx1">
        <a:lumMod val="65000"/>
        <a:lumOff val="35000"/>
      </a:schemeClr>
    </cs:fontRef>
    <cs:defRPr sz="900" kern="1200"/>
  </cs:seriesAxis>
  <cs:seriesLine>
    <cs:lnRef idx="0"/>
    <cs:fillRef idx="0"/>
    <cs:effectRef idx="0"/>
    <cs:fontRef idx="minor">
      <a:schemeClr val="tx1"/>
    </cs:fontRef>
    <cs:spPr>
      <a:ln w="9525" cap="flat" cmpd="sng" algn="ctr">
        <a:solidFill>
          <a:schemeClr val="tx1">
            <a:lumMod val="35000"/>
            <a:lumOff val="65000"/>
          </a:schemeClr>
        </a:solidFill>
        <a:round/>
      </a:ln>
    </cs:spPr>
  </cs:seriesLine>
  <cs:title>
    <cs:lnRef idx="0"/>
    <cs:fillRef idx="0"/>
    <cs:effectRef idx="0"/>
    <cs:fontRef idx="minor">
      <a:schemeClr val="tx1">
        <a:lumMod val="65000"/>
        <a:lumOff val="35000"/>
      </a:schemeClr>
    </cs:fontRef>
    <cs:defRPr sz="1400" b="0" kern="1200" spc="0" baseline="0"/>
  </cs:title>
  <cs:trendline>
    <cs:lnRef idx="0">
      <cs:styleClr val="auto"/>
    </cs:lnRef>
    <cs:fillRef idx="0"/>
    <cs:effectRef idx="0"/>
    <cs:fontRef idx="minor">
      <a:schemeClr val="tx1"/>
    </cs:fontRef>
    <cs:spPr>
      <a:ln w="19050" cap="rnd">
        <a:solidFill>
          <a:schemeClr val="phClr"/>
        </a:solidFill>
        <a:prstDash val="sysDot"/>
      </a:ln>
    </cs:spPr>
  </cs:trendline>
  <cs:trendlineLabel>
    <cs:lnRef idx="0"/>
    <cs:fillRef idx="0"/>
    <cs:effectRef idx="0"/>
    <cs:fontRef idx="minor">
      <a:schemeClr val="tx1">
        <a:lumMod val="65000"/>
        <a:lumOff val="35000"/>
      </a:schemeClr>
    </cs:fontRef>
    <cs:defRPr sz="900" kern="1200"/>
  </cs:trendlineLabel>
  <cs:upBar>
    <cs:lnRef idx="0"/>
    <cs:fillRef idx="0"/>
    <cs:effectRef idx="0"/>
    <cs:fontRef idx="minor">
      <a:schemeClr val="dk1"/>
    </cs:fontRef>
    <cs:spPr>
      <a:solidFill>
        <a:schemeClr val="lt1"/>
      </a:solidFill>
      <a:ln w="9525">
        <a:solidFill>
          <a:schemeClr val="tx1">
            <a:lumMod val="15000"/>
            <a:lumOff val="85000"/>
          </a:schemeClr>
        </a:solidFill>
      </a:ln>
    </cs:spPr>
  </cs:upBar>
  <cs:valueAxis>
    <cs:lnRef idx="0"/>
    <cs:fillRef idx="0"/>
    <cs:effectRef idx="0"/>
    <cs:fontRef idx="minor">
      <a:schemeClr val="tx1">
        <a:lumMod val="65000"/>
        <a:lumOff val="35000"/>
      </a:schemeClr>
    </cs:fontRef>
    <cs:defRPr sz="900" kern="1200"/>
  </cs:valueAxis>
  <cs:wall>
    <cs:lnRef idx="0"/>
    <cs:fillRef idx="0"/>
    <cs:effectRef idx="0"/>
    <cs:fontRef idx="minor">
      <a:schemeClr val="tx1"/>
    </cs:fontRef>
    <cs:spPr>
      <a:noFill/>
      <a:ln>
        <a:noFill/>
      </a:ln>
    </cs:spPr>
  </cs:wall>
</cs:chartStyle>
</file>

<file path=word/theme/theme1.xml><?xml version="1.0" encoding="utf-8"?>
<a:theme xmlns:a="http://schemas.openxmlformats.org/drawingml/2006/main" name="Office Theme">
  <a:themeElements>
    <a:clrScheme name="Office">
      <a:dk1>
        <a:sysClr val="windowText" lastClr="000000"/>
      </a:dk1>
      <a:lt1>
        <a:sysClr val="window" lastClr="FFFFFF"/>
      </a:lt1>
      <a:dk2>
        <a:srgbClr val="44546A"/>
      </a:dk2>
      <a:lt2>
        <a:srgbClr val="E7E6E6"/>
      </a:lt2>
      <a:accent1>
        <a:srgbClr val="5B9BD5"/>
      </a:accent1>
      <a:accent2>
        <a:srgbClr val="ED7D31"/>
      </a:accent2>
      <a:accent3>
        <a:srgbClr val="A5A5A5"/>
      </a:accent3>
      <a:accent4>
        <a:srgbClr val="FFC000"/>
      </a:accent4>
      <a:accent5>
        <a:srgbClr val="4472C4"/>
      </a:accent5>
      <a:accent6>
        <a:srgbClr val="70AD47"/>
      </a:accent6>
      <a:hlink>
        <a:srgbClr val="0563C1"/>
      </a:hlink>
      <a:folHlink>
        <a:srgbClr val="954F72"/>
      </a:folHlink>
    </a:clrScheme>
    <a:fontScheme name="Office">
      <a:majorFont>
        <a:latin typeface="Calibri Light" panose="020F0302020204030204"/>
        <a:ea typeface=""/>
        <a:cs typeface=""/>
        <a:font script="Jpan" typeface="游ゴシック Light"/>
        <a:font script="Hang" typeface="맑은 고딕"/>
        <a:font script="Hans" typeface="等线 Light"/>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panose="020F0502020204030204"/>
        <a:ea typeface=""/>
        <a:cs typeface=""/>
        <a:font script="Jpan" typeface="游明朝"/>
        <a:font script="Hang" typeface="맑은 고딕"/>
        <a:font script="Hans" typeface="等线"/>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extraClrSchemeLst/>
  <a:extLst>
    <a:ext uri="{05A4C25C-085E-4340-85A3-A5531E510DB2}">
      <thm15:themeFamily xmlns:thm15="http://schemas.microsoft.com/office/thememl/2012/main" name="Office Theme" id="{62F939B6-93AF-4DB8-9C6B-D6C7DFDC589F}" vid="{4A3C46E8-61CC-4603-A589-7422A47A8E4A}"/>
    </a:ext>
  </a:extLst>
</a:theme>
</file>

<file path=word/theme/themeOverride1.xml><?xml version="1.0" encoding="utf-8"?>
<a:themeOverride xmlns:a="http://schemas.openxmlformats.org/drawingml/2006/main">
  <a:clrScheme name="Office">
    <a:dk1>
      <a:sysClr val="windowText" lastClr="000000"/>
    </a:dk1>
    <a:lt1>
      <a:sysClr val="window" lastClr="FFFFFF"/>
    </a:lt1>
    <a:dk2>
      <a:srgbClr val="44546A"/>
    </a:dk2>
    <a:lt2>
      <a:srgbClr val="E7E6E6"/>
    </a:lt2>
    <a:accent1>
      <a:srgbClr val="5B9BD5"/>
    </a:accent1>
    <a:accent2>
      <a:srgbClr val="ED7D31"/>
    </a:accent2>
    <a:accent3>
      <a:srgbClr val="A5A5A5"/>
    </a:accent3>
    <a:accent4>
      <a:srgbClr val="FFC000"/>
    </a:accent4>
    <a:accent5>
      <a:srgbClr val="4472C4"/>
    </a:accent5>
    <a:accent6>
      <a:srgbClr val="70AD47"/>
    </a:accent6>
    <a:hlink>
      <a:srgbClr val="0563C1"/>
    </a:hlink>
    <a:folHlink>
      <a:srgbClr val="954F72"/>
    </a:folHlink>
  </a:clrScheme>
  <a:fontScheme name="Office">
    <a:majorFont>
      <a:latin typeface="Calibri Light" panose="020F0302020204030204"/>
      <a:ea typeface=""/>
      <a:cs typeface=""/>
      <a:font script="Jpan" typeface="游ゴシック Light"/>
      <a:font script="Hang" typeface="맑은 고딕"/>
      <a:font script="Hans" typeface="等线 Light"/>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panose="020F0502020204030204"/>
      <a:ea typeface=""/>
      <a:cs typeface=""/>
      <a:font script="Jpan" typeface="游明朝"/>
      <a:font script="Hang" typeface="맑은 고딕"/>
      <a:font script="Hans" typeface="等线"/>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Override>
</file>

<file path=word/theme/themeOverride2.xml><?xml version="1.0" encoding="utf-8"?>
<a:themeOverride xmlns:a="http://schemas.openxmlformats.org/drawingml/2006/main">
  <a:clrScheme name="Office">
    <a:dk1>
      <a:sysClr val="windowText" lastClr="000000"/>
    </a:dk1>
    <a:lt1>
      <a:sysClr val="window" lastClr="FFFFFF"/>
    </a:lt1>
    <a:dk2>
      <a:srgbClr val="44546A"/>
    </a:dk2>
    <a:lt2>
      <a:srgbClr val="E7E6E6"/>
    </a:lt2>
    <a:accent1>
      <a:srgbClr val="5B9BD5"/>
    </a:accent1>
    <a:accent2>
      <a:srgbClr val="ED7D31"/>
    </a:accent2>
    <a:accent3>
      <a:srgbClr val="A5A5A5"/>
    </a:accent3>
    <a:accent4>
      <a:srgbClr val="FFC000"/>
    </a:accent4>
    <a:accent5>
      <a:srgbClr val="4472C4"/>
    </a:accent5>
    <a:accent6>
      <a:srgbClr val="70AD47"/>
    </a:accent6>
    <a:hlink>
      <a:srgbClr val="0563C1"/>
    </a:hlink>
    <a:folHlink>
      <a:srgbClr val="954F72"/>
    </a:folHlink>
  </a:clrScheme>
  <a:fontScheme name="Office">
    <a:majorFont>
      <a:latin typeface="Calibri Light" panose="020F0302020204030204"/>
      <a:ea typeface=""/>
      <a:cs typeface=""/>
      <a:font script="Jpan" typeface="游ゴシック Light"/>
      <a:font script="Hang" typeface="맑은 고딕"/>
      <a:font script="Hans" typeface="等线 Light"/>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panose="020F0502020204030204"/>
      <a:ea typeface=""/>
      <a:cs typeface=""/>
      <a:font script="Jpan" typeface="游明朝"/>
      <a:font script="Hang" typeface="맑은 고딕"/>
      <a:font script="Hans" typeface="等线"/>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Override>
</file>

<file path=word/theme/themeOverride3.xml><?xml version="1.0" encoding="utf-8"?>
<a:themeOverride xmlns:a="http://schemas.openxmlformats.org/drawingml/2006/main">
  <a:clrScheme name="Office">
    <a:dk1>
      <a:sysClr val="windowText" lastClr="000000"/>
    </a:dk1>
    <a:lt1>
      <a:sysClr val="window" lastClr="FFFFFF"/>
    </a:lt1>
    <a:dk2>
      <a:srgbClr val="44546A"/>
    </a:dk2>
    <a:lt2>
      <a:srgbClr val="E7E6E6"/>
    </a:lt2>
    <a:accent1>
      <a:srgbClr val="5B9BD5"/>
    </a:accent1>
    <a:accent2>
      <a:srgbClr val="ED7D31"/>
    </a:accent2>
    <a:accent3>
      <a:srgbClr val="A5A5A5"/>
    </a:accent3>
    <a:accent4>
      <a:srgbClr val="FFC000"/>
    </a:accent4>
    <a:accent5>
      <a:srgbClr val="4472C4"/>
    </a:accent5>
    <a:accent6>
      <a:srgbClr val="70AD47"/>
    </a:accent6>
    <a:hlink>
      <a:srgbClr val="0563C1"/>
    </a:hlink>
    <a:folHlink>
      <a:srgbClr val="954F72"/>
    </a:folHlink>
  </a:clrScheme>
  <a:fontScheme name="Office">
    <a:majorFont>
      <a:latin typeface="Calibri Light" panose="020F0302020204030204"/>
      <a:ea typeface=""/>
      <a:cs typeface=""/>
      <a:font script="Jpan" typeface="游ゴシック Light"/>
      <a:font script="Hang" typeface="맑은 고딕"/>
      <a:font script="Hans" typeface="等线 Light"/>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panose="020F0502020204030204"/>
      <a:ea typeface=""/>
      <a:cs typeface=""/>
      <a:font script="Jpan" typeface="游明朝"/>
      <a:font script="Hang" typeface="맑은 고딕"/>
      <a:font script="Hans" typeface="等线"/>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Overrid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_rels/item2.xml.rels><?xml version="1.0" encoding="UTF-8" standalone="yes"?>
<Relationships xmlns="http://schemas.openxmlformats.org/package/2006/relationships"><Relationship Id="rId1" Type="http://schemas.openxmlformats.org/officeDocument/2006/relationships/customXmlProps" Target="itemProps2.xml"/></Relationships>
</file>

<file path=customXml/_rels/item3.xml.rels><?xml version="1.0" encoding="UTF-8" standalone="yes"?>
<Relationships xmlns="http://schemas.openxmlformats.org/package/2006/relationships"><Relationship Id="rId1" Type="http://schemas.openxmlformats.org/officeDocument/2006/relationships/customXmlProps" Target="itemProps3.xml"/></Relationships>
</file>

<file path=customXml/_rels/item4.xml.rels><?xml version="1.0" encoding="UTF-8" standalone="yes"?>
<Relationships xmlns="http://schemas.openxmlformats.org/package/2006/relationships"><Relationship Id="rId1" Type="http://schemas.openxmlformats.org/officeDocument/2006/relationships/customXmlProps" Target="itemProps4.xml"/></Relationships>
</file>

<file path=customXml/item1.xml><?xml version="1.0" encoding="utf-8"?>
<p:properties xmlns:p="http://schemas.microsoft.com/office/2006/metadata/properties" xmlns:xsi="http://www.w3.org/2001/XMLSchema-instance" xmlns:pc="http://schemas.microsoft.com/office/infopath/2007/PartnerControls">
  <documentManagement>
    <_activity xmlns="4cfaa643-ee22-482f-8720-b073d2236fa7" xsi:nil="true"/>
  </documentManagement>
</p:properties>
</file>

<file path=customXml/item2.xml><?xml version="1.0" encoding="utf-8"?>
<b:Sources xmlns:b="http://schemas.openxmlformats.org/officeDocument/2006/bibliography" xmlns="http://schemas.openxmlformats.org/officeDocument/2006/bibliography" SelectedStyle="\APASixthEditionOfficeOnline.xsl" StyleName="APA" Version="6"/>
</file>

<file path=customXml/item3.xml><?xml version="1.0" encoding="utf-8"?>
<ct:contentTypeSchema xmlns:ct="http://schemas.microsoft.com/office/2006/metadata/contentType" xmlns:ma="http://schemas.microsoft.com/office/2006/metadata/properties/metaAttributes" ct:_="" ma:_="" ma:contentTypeName="Document" ma:contentTypeID="0x0101002A4EF949725BC443AAC2C2697FD71EC5" ma:contentTypeVersion="14" ma:contentTypeDescription="Create a new document." ma:contentTypeScope="" ma:versionID="a99728dbb5f5bc863573511903b8f79d">
  <xsd:schema xmlns:xsd="http://www.w3.org/2001/XMLSchema" xmlns:xs="http://www.w3.org/2001/XMLSchema" xmlns:p="http://schemas.microsoft.com/office/2006/metadata/properties" xmlns:ns3="4cfaa643-ee22-482f-8720-b073d2236fa7" xmlns:ns4="77a6b80f-d61b-4159-9427-00ce6b586c70" targetNamespace="http://schemas.microsoft.com/office/2006/metadata/properties" ma:root="true" ma:fieldsID="adc8701c08993cc3316e8145a94a22df" ns3:_="" ns4:_="">
    <xsd:import namespace="4cfaa643-ee22-482f-8720-b073d2236fa7"/>
    <xsd:import namespace="77a6b80f-d61b-4159-9427-00ce6b586c70"/>
    <xsd:element name="properties">
      <xsd:complexType>
        <xsd:sequence>
          <xsd:element name="documentManagement">
            <xsd:complexType>
              <xsd:all>
                <xsd:element ref="ns3:MediaServiceMetadata" minOccurs="0"/>
                <xsd:element ref="ns3:MediaServiceFastMetadata" minOccurs="0"/>
                <xsd:element ref="ns3:MediaServiceAutoKeyPoints" minOccurs="0"/>
                <xsd:element ref="ns3:MediaServiceKeyPoints" minOccurs="0"/>
                <xsd:element ref="ns3:MediaServiceAutoTags" minOccurs="0"/>
                <xsd:element ref="ns3:MediaServiceOCR" minOccurs="0"/>
                <xsd:element ref="ns3:MediaServiceGenerationTime" minOccurs="0"/>
                <xsd:element ref="ns3:MediaServiceEventHashCode" minOccurs="0"/>
                <xsd:element ref="ns3:MediaServiceDateTaken" minOccurs="0"/>
                <xsd:element ref="ns3:MediaServiceObjectDetectorVersions" minOccurs="0"/>
                <xsd:element ref="ns3:_activity" minOccurs="0"/>
                <xsd:element ref="ns4:SharedWithUsers" minOccurs="0"/>
                <xsd:element ref="ns4:SharedWithDetails" minOccurs="0"/>
                <xsd:element ref="ns4:SharingHintHash" minOccurs="0"/>
              </xsd:all>
            </xsd:complexType>
          </xsd:element>
        </xsd:sequence>
      </xsd:complexType>
    </xsd:element>
  </xsd:schema>
  <xsd:schema xmlns:xsd="http://www.w3.org/2001/XMLSchema" xmlns:xs="http://www.w3.org/2001/XMLSchema" xmlns:dms="http://schemas.microsoft.com/office/2006/documentManagement/types" xmlns:pc="http://schemas.microsoft.com/office/infopath/2007/PartnerControls" targetNamespace="4cfaa643-ee22-482f-8720-b073d2236fa7" elementFormDefault="qualified">
    <xsd:import namespace="http://schemas.microsoft.com/office/2006/documentManagement/types"/>
    <xsd:import namespace="http://schemas.microsoft.com/office/infopath/2007/PartnerControls"/>
    <xsd:element name="MediaServiceMetadata" ma:index="8" nillable="true" ma:displayName="MediaServiceMetadata" ma:hidden="true" ma:internalName="MediaServiceMetadata" ma:readOnly="true">
      <xsd:simpleType>
        <xsd:restriction base="dms:Note"/>
      </xsd:simpleType>
    </xsd:element>
    <xsd:element name="MediaServiceFastMetadata" ma:index="9" nillable="true" ma:displayName="MediaServiceFastMetadata" ma:hidden="true" ma:internalName="MediaServiceFastMetadata" ma:readOnly="true">
      <xsd:simpleType>
        <xsd:restriction base="dms:Note"/>
      </xsd:simpleType>
    </xsd:element>
    <xsd:element name="MediaServiceAutoKeyPoints" ma:index="10" nillable="true" ma:displayName="MediaServiceAutoKeyPoints" ma:hidden="true" ma:internalName="MediaServiceAutoKeyPoints" ma:readOnly="true">
      <xsd:simpleType>
        <xsd:restriction base="dms:Note"/>
      </xsd:simpleType>
    </xsd:element>
    <xsd:element name="MediaServiceKeyPoints" ma:index="11" nillable="true" ma:displayName="KeyPoints" ma:internalName="MediaServiceKeyPoints" ma:readOnly="true">
      <xsd:simpleType>
        <xsd:restriction base="dms:Note">
          <xsd:maxLength value="255"/>
        </xsd:restriction>
      </xsd:simpleType>
    </xsd:element>
    <xsd:element name="MediaServiceAutoTags" ma:index="12" nillable="true" ma:displayName="Tags" ma:internalName="MediaServiceAutoTags" ma:readOnly="true">
      <xsd:simpleType>
        <xsd:restriction base="dms:Text"/>
      </xsd:simpleType>
    </xsd:element>
    <xsd:element name="MediaServiceOCR" ma:index="13" nillable="true" ma:displayName="Extracted Text" ma:internalName="MediaServiceOCR" ma:readOnly="true">
      <xsd:simpleType>
        <xsd:restriction base="dms:Note">
          <xsd:maxLength value="255"/>
        </xsd:restriction>
      </xsd:simpleType>
    </xsd:element>
    <xsd:element name="MediaServiceGenerationTime" ma:index="14" nillable="true" ma:displayName="MediaServiceGenerationTime" ma:hidden="true" ma:internalName="MediaServiceGenerationTime" ma:readOnly="true">
      <xsd:simpleType>
        <xsd:restriction base="dms:Text"/>
      </xsd:simpleType>
    </xsd:element>
    <xsd:element name="MediaServiceEventHashCode" ma:index="15" nillable="true" ma:displayName="MediaServiceEventHashCode" ma:hidden="true" ma:internalName="MediaServiceEventHashCode" ma:readOnly="true">
      <xsd:simpleType>
        <xsd:restriction base="dms:Text"/>
      </xsd:simpleType>
    </xsd:element>
    <xsd:element name="MediaServiceDateTaken" ma:index="16" nillable="true" ma:displayName="MediaServiceDateTaken" ma:hidden="true" ma:indexed="true" ma:internalName="MediaServiceDateTaken" ma:readOnly="true">
      <xsd:simpleType>
        <xsd:restriction base="dms:Text"/>
      </xsd:simpleType>
    </xsd:element>
    <xsd:element name="MediaServiceObjectDetectorVersions" ma:index="17" nillable="true" ma:displayName="MediaServiceObjectDetectorVersions" ma:hidden="true" ma:indexed="true" ma:internalName="MediaServiceObjectDetectorVersions" ma:readOnly="true">
      <xsd:simpleType>
        <xsd:restriction base="dms:Text"/>
      </xsd:simpleType>
    </xsd:element>
    <xsd:element name="_activity" ma:index="18" nillable="true" ma:displayName="_activity" ma:hidden="true" ma:internalName="_activity">
      <xsd:simpleType>
        <xsd:restriction base="dms:Note"/>
      </xsd:simpleType>
    </xsd:element>
  </xsd:schema>
  <xsd:schema xmlns:xsd="http://www.w3.org/2001/XMLSchema" xmlns:xs="http://www.w3.org/2001/XMLSchema" xmlns:dms="http://schemas.microsoft.com/office/2006/documentManagement/types" xmlns:pc="http://schemas.microsoft.com/office/infopath/2007/PartnerControls" targetNamespace="77a6b80f-d61b-4159-9427-00ce6b586c70" elementFormDefault="qualified">
    <xsd:import namespace="http://schemas.microsoft.com/office/2006/documentManagement/types"/>
    <xsd:import namespace="http://schemas.microsoft.com/office/infopath/2007/PartnerControls"/>
    <xsd:element name="SharedWithUsers" ma:index="19" nillable="true" ma:displayName="Shared With" ma:internalName="SharedWithUsers" ma:readOnly="true">
      <xsd:complexType>
        <xsd:complexContent>
          <xsd:extension base="dms:UserMulti">
            <xsd:sequence>
              <xsd:element name="UserInfo" minOccurs="0" maxOccurs="unbounded">
                <xsd:complexType>
                  <xsd:sequence>
                    <xsd:element name="DisplayName" type="xsd:string" minOccurs="0"/>
                    <xsd:element name="AccountId" type="dms:UserId" minOccurs="0" nillable="true"/>
                    <xsd:element name="AccountType" type="xsd:string" minOccurs="0"/>
                  </xsd:sequence>
                </xsd:complexType>
              </xsd:element>
            </xsd:sequence>
          </xsd:extension>
        </xsd:complexContent>
      </xsd:complexType>
    </xsd:element>
    <xsd:element name="SharedWithDetails" ma:index="20" nillable="true" ma:displayName="Shared With Details" ma:internalName="SharedWithDetails" ma:readOnly="true">
      <xsd:simpleType>
        <xsd:restriction base="dms:Note">
          <xsd:maxLength value="255"/>
        </xsd:restriction>
      </xsd:simpleType>
    </xsd:element>
    <xsd:element name="SharingHintHash" ma:index="21" nillable="true" ma:displayName="Sharing Hint Hash" ma:hidden="true" ma:internalName="SharingHintHash" ma:readOnly="true">
      <xsd:simpleType>
        <xsd:restriction base="dms:Text"/>
      </xsd:simpleType>
    </xsd:element>
  </xsd:schema>
  <xsd:schema xmlns="http://schemas.openxmlformats.org/package/2006/metadata/core-properties" xmlns:xsd="http://www.w3.org/2001/XMLSchema" xmlns:xsi="http://www.w3.org/2001/XMLSchema-instance" xmlns:dc="http://purl.org/dc/elements/1.1/" xmlns:dcterms="http://purl.org/dc/terms/" xmlns:odoc="http://schemas.microsoft.com/internal/obd" targetNamespace="http://schemas.openxmlformats.org/package/2006/metadata/core-properties" elementFormDefault="qualified" attributeFormDefault="unqualified" blockDefault="#all">
    <xsd:import namespace="http://purl.org/dc/elements/1.1/" schemaLocation="http://dublincore.org/schemas/xmls/qdc/2003/04/02/dc.xsd"/>
    <xsd:import namespace="http://purl.org/dc/terms/" schemaLocation="http://dublincore.org/schemas/xmls/qdc/2003/04/02/dcterms.xsd"/>
    <xsd:element name="coreProperties" type="CT_coreProperties"/>
    <xsd:complexType name="CT_coreProperties">
      <xsd:all>
        <xsd:element ref="dc:creator" minOccurs="0" maxOccurs="1"/>
        <xsd:element ref="dcterms:created" minOccurs="0" maxOccurs="1"/>
        <xsd:element ref="dc:identifier" minOccurs="0" maxOccurs="1"/>
        <xsd:element name="contentType" minOccurs="0" maxOccurs="1" type="xsd:string" ma:index="0" ma:displayName="Content Type"/>
        <xsd:element ref="dc:title" minOccurs="0" maxOccurs="1" ma:index="4" ma:displayName="Title"/>
        <xsd:element ref="dc:subject" minOccurs="0" maxOccurs="1"/>
        <xsd:element ref="dc:description" minOccurs="0" maxOccurs="1"/>
        <xsd:element name="keywords" minOccurs="0" maxOccurs="1" type="xsd:string"/>
        <xsd:element ref="dc:language" minOccurs="0" maxOccurs="1"/>
        <xsd:element name="category" minOccurs="0" maxOccurs="1" type="xsd:string"/>
        <xsd:element name="version" minOccurs="0" maxOccurs="1" type="xsd:string"/>
        <xsd:element name="revision" minOccurs="0" maxOccurs="1" type="xsd:string">
          <xsd:annotation>
            <xsd:documentation>
                        This value indicates the number of saves or revisions. The application is responsible for updating this value after each revision.
                    </xsd:documentation>
          </xsd:annotation>
        </xsd:element>
        <xsd:element name="lastModifiedBy" minOccurs="0" maxOccurs="1" type="xsd:string"/>
        <xsd:element ref="dcterms:modified" minOccurs="0" maxOccurs="1"/>
        <xsd:element name="contentStatus" minOccurs="0" maxOccurs="1" type="xsd:string"/>
      </xsd:all>
    </xsd:complexType>
  </xsd:schema>
  <xs:schema xmlns:pc="http://schemas.microsoft.com/office/infopath/2007/PartnerControls" xmlns:xs="http://www.w3.org/2001/XMLSchema" targetNamespace="http://schemas.microsoft.com/office/infopath/2007/PartnerControls" elementFormDefault="qualified" attributeFormDefault="unqualified">
    <xs:element name="Person">
      <xs:complexType>
        <xs:sequence>
          <xs:element ref="pc:DisplayName" minOccurs="0"/>
          <xs:element ref="pc:AccountId" minOccurs="0"/>
          <xs:element ref="pc:AccountType" minOccurs="0"/>
        </xs:sequence>
      </xs:complexType>
    </xs:element>
    <xs:element name="DisplayName" type="xs:string"/>
    <xs:element name="AccountId" type="xs:string"/>
    <xs:element name="AccountType" type="xs:string"/>
    <xs:element name="BDCAssociatedEntity">
      <xs:complexType>
        <xs:sequence>
          <xs:element ref="pc:BDCEntity" minOccurs="0" maxOccurs="unbounded"/>
        </xs:sequence>
        <xs:attribute ref="pc:EntityNamespace"/>
        <xs:attribute ref="pc:EntityName"/>
        <xs:attribute ref="pc:SystemInstanceName"/>
        <xs:attribute ref="pc:AssociationName"/>
      </xs:complexType>
    </xs:element>
    <xs:attribute name="EntityNamespace" type="xs:string"/>
    <xs:attribute name="EntityName" type="xs:string"/>
    <xs:attribute name="SystemInstanceName" type="xs:string"/>
    <xs:attribute name="AssociationName" type="xs:string"/>
    <xs:element name="BDCEntity">
      <xs:complexType>
        <xs:sequence>
          <xs:element ref="pc:EntityDisplayName" minOccurs="0"/>
          <xs:element ref="pc:EntityInstanceReference" minOccurs="0"/>
          <xs:element ref="pc:EntityId1" minOccurs="0"/>
          <xs:element ref="pc:EntityId2" minOccurs="0"/>
          <xs:element ref="pc:EntityId3" minOccurs="0"/>
          <xs:element ref="pc:EntityId4" minOccurs="0"/>
          <xs:element ref="pc:EntityId5" minOccurs="0"/>
        </xs:sequence>
      </xs:complexType>
    </xs:element>
    <xs:element name="EntityDisplayName" type="xs:string"/>
    <xs:element name="EntityInstanceReference" type="xs:string"/>
    <xs:element name="EntityId1" type="xs:string"/>
    <xs:element name="EntityId2" type="xs:string"/>
    <xs:element name="EntityId3" type="xs:string"/>
    <xs:element name="EntityId4" type="xs:string"/>
    <xs:element name="EntityId5" type="xs:string"/>
    <xs:element name="Terms">
      <xs:complexType>
        <xs:sequence>
          <xs:element ref="pc:TermInfo" minOccurs="0" maxOccurs="unbounded"/>
        </xs:sequence>
      </xs:complexType>
    </xs:element>
    <xs:element name="TermInfo">
      <xs:complexType>
        <xs:sequence>
          <xs:element ref="pc:TermName" minOccurs="0"/>
          <xs:element ref="pc:TermId" minOccurs="0"/>
        </xs:sequence>
      </xs:complexType>
    </xs:element>
    <xs:element name="TermName" type="xs:string"/>
    <xs:element name="TermId" type="xs:string"/>
  </xs:schema>
</ct:contentTypeSchema>
</file>

<file path=customXml/item4.xml><?xml version="1.0" encoding="utf-8"?>
<?mso-contentType ?>
<FormTemplates xmlns="http://schemas.microsoft.com/sharepoint/v3/contenttype/forms">
  <Display>DocumentLibraryForm</Display>
  <Edit>DocumentLibraryForm</Edit>
  <New>DocumentLibraryForm</New>
</FormTemplates>
</file>

<file path=customXml/itemProps1.xml><?xml version="1.0" encoding="utf-8"?>
<ds:datastoreItem xmlns:ds="http://schemas.openxmlformats.org/officeDocument/2006/customXml" ds:itemID="{FA93866E-0F1E-4372-B536-0C2E6C12A290}">
  <ds:schemaRefs>
    <ds:schemaRef ds:uri="http://schemas.microsoft.com/office/2006/metadata/properties"/>
    <ds:schemaRef ds:uri="http://schemas.microsoft.com/office/infopath/2007/PartnerControls"/>
    <ds:schemaRef ds:uri="4cfaa643-ee22-482f-8720-b073d2236fa7"/>
  </ds:schemaRefs>
</ds:datastoreItem>
</file>

<file path=customXml/itemProps2.xml><?xml version="1.0" encoding="utf-8"?>
<ds:datastoreItem xmlns:ds="http://schemas.openxmlformats.org/officeDocument/2006/customXml" ds:itemID="{EF2A6D7A-B086-CD42-BE22-A7997C49E2C4}">
  <ds:schemaRefs>
    <ds:schemaRef ds:uri="http://schemas.openxmlformats.org/officeDocument/2006/bibliography"/>
  </ds:schemaRefs>
</ds:datastoreItem>
</file>

<file path=customXml/itemProps3.xml><?xml version="1.0" encoding="utf-8"?>
<ds:datastoreItem xmlns:ds="http://schemas.openxmlformats.org/officeDocument/2006/customXml" ds:itemID="{0A2E167E-7932-46FC-AD1C-2879D8B2A181}">
  <ds:schemaRefs>
    <ds:schemaRef ds:uri="http://schemas.microsoft.com/office/2006/metadata/contentType"/>
    <ds:schemaRef ds:uri="http://schemas.microsoft.com/office/2006/metadata/properties/metaAttributes"/>
    <ds:schemaRef ds:uri="http://www.w3.org/2001/XMLSchema"/>
    <ds:schemaRef ds:uri="http://schemas.microsoft.com/office/2006/metadata/properties"/>
    <ds:schemaRef ds:uri="4cfaa643-ee22-482f-8720-b073d2236fa7"/>
    <ds:schemaRef ds:uri="77a6b80f-d61b-4159-9427-00ce6b586c70"/>
    <ds:schemaRef ds:uri="http://schemas.microsoft.com/office/2006/documentManagement/types"/>
    <ds:schemaRef ds:uri="http://schemas.microsoft.com/office/infopath/2007/PartnerControls"/>
    <ds:schemaRef ds:uri="http://schemas.openxmlformats.org/package/2006/metadata/core-properties"/>
    <ds:schemaRef ds:uri="http://purl.org/dc/elements/1.1/"/>
    <ds:schemaRef ds:uri="http://purl.org/dc/terms/"/>
    <ds:schemaRef ds:uri="http://schemas.microsoft.com/internal/obd"/>
  </ds:schemaRefs>
</ds:datastoreItem>
</file>

<file path=customXml/itemProps4.xml><?xml version="1.0" encoding="utf-8"?>
<ds:datastoreItem xmlns:ds="http://schemas.openxmlformats.org/officeDocument/2006/customXml" ds:itemID="{39822547-26B0-48D9-AC8C-6D7A183B1C00}">
  <ds:schemaRefs>
    <ds:schemaRef ds:uri="http://schemas.microsoft.com/sharepoint/v3/contenttype/forms"/>
  </ds:schemaRefs>
</ds:datastoreItem>
</file>

<file path=docProps/app.xml><?xml version="1.0" encoding="utf-8"?>
<Properties xmlns="http://schemas.openxmlformats.org/officeDocument/2006/extended-properties" xmlns:vt="http://schemas.openxmlformats.org/officeDocument/2006/docPropsVTypes">
  <Template>Normal.dotm</Template>
  <TotalTime>14</TotalTime>
  <Pages>254</Pages>
  <Words>89798</Words>
  <Characters>495689</Characters>
  <Application>Microsoft Office Word</Application>
  <DocSecurity>0</DocSecurity>
  <Lines>12089</Lines>
  <Paragraphs>6653</Paragraphs>
  <ScaleCrop>false</ScaleCrop>
  <HeadingPairs>
    <vt:vector size="2" baseType="variant">
      <vt:variant>
        <vt:lpstr>Title</vt:lpstr>
      </vt:variant>
      <vt:variant>
        <vt:i4>1</vt:i4>
      </vt:variant>
    </vt:vector>
  </HeadingPairs>
  <TitlesOfParts>
    <vt:vector size="1" baseType="lpstr">
      <vt:lpstr/>
    </vt:vector>
  </TitlesOfParts>
  <Company>Leeds Beckett University</Company>
  <LinksUpToDate>false</LinksUpToDate>
  <CharactersWithSpaces>578834</CharactersWithSpaces>
  <SharedDoc>false</SharedDoc>
  <HLinks>
    <vt:vector size="1014" baseType="variant">
      <vt:variant>
        <vt:i4>2359350</vt:i4>
      </vt:variant>
      <vt:variant>
        <vt:i4>846</vt:i4>
      </vt:variant>
      <vt:variant>
        <vt:i4>0</vt:i4>
      </vt:variant>
      <vt:variant>
        <vt:i4>5</vt:i4>
      </vt:variant>
      <vt:variant>
        <vt:lpwstr>http://dx.doi.org/10.5772/intechopen.70628</vt:lpwstr>
      </vt:variant>
      <vt:variant>
        <vt:lpwstr/>
      </vt:variant>
      <vt:variant>
        <vt:i4>2687075</vt:i4>
      </vt:variant>
      <vt:variant>
        <vt:i4>843</vt:i4>
      </vt:variant>
      <vt:variant>
        <vt:i4>0</vt:i4>
      </vt:variant>
      <vt:variant>
        <vt:i4>5</vt:i4>
      </vt:variant>
      <vt:variant>
        <vt:lpwstr>https://data.worldbank.org/indicator/NY.GDP.MKTP.KD.ZG</vt:lpwstr>
      </vt:variant>
      <vt:variant>
        <vt:lpwstr/>
      </vt:variant>
      <vt:variant>
        <vt:i4>2490425</vt:i4>
      </vt:variant>
      <vt:variant>
        <vt:i4>840</vt:i4>
      </vt:variant>
      <vt:variant>
        <vt:i4>0</vt:i4>
      </vt:variant>
      <vt:variant>
        <vt:i4>5</vt:i4>
      </vt:variant>
      <vt:variant>
        <vt:lpwstr>https://data.worldbank.org/indicator/BX.KLT.DINV.WD.GD.ZS?locations=GA</vt:lpwstr>
      </vt:variant>
      <vt:variant>
        <vt:lpwstr/>
      </vt:variant>
      <vt:variant>
        <vt:i4>7077951</vt:i4>
      </vt:variant>
      <vt:variant>
        <vt:i4>837</vt:i4>
      </vt:variant>
      <vt:variant>
        <vt:i4>0</vt:i4>
      </vt:variant>
      <vt:variant>
        <vt:i4>5</vt:i4>
      </vt:variant>
      <vt:variant>
        <vt:lpwstr>https://wits.worldbank.org/CountryProfile/en/Country/CMR/Year/2018/TradeFlow/EXPIMP</vt:lpwstr>
      </vt:variant>
      <vt:variant>
        <vt:lpwstr/>
      </vt:variant>
      <vt:variant>
        <vt:i4>6160473</vt:i4>
      </vt:variant>
      <vt:variant>
        <vt:i4>834</vt:i4>
      </vt:variant>
      <vt:variant>
        <vt:i4>0</vt:i4>
      </vt:variant>
      <vt:variant>
        <vt:i4>5</vt:i4>
      </vt:variant>
      <vt:variant>
        <vt:lpwstr>https://wits.worldbank.org/CountryProfile/en/Country/CAF/Year/LTST/TradeFlow/EXPIMP/Partner/by-country</vt:lpwstr>
      </vt:variant>
      <vt:variant>
        <vt:lpwstr>:~:text=In%202018%2C%20Central%20African%20Republic%20major%20trading%20partner,they%20were%20France%2C%20China%2C%20Cameroon%2C%20Nepal%20and%20India.</vt:lpwstr>
      </vt:variant>
      <vt:variant>
        <vt:i4>917572</vt:i4>
      </vt:variant>
      <vt:variant>
        <vt:i4>831</vt:i4>
      </vt:variant>
      <vt:variant>
        <vt:i4>0</vt:i4>
      </vt:variant>
      <vt:variant>
        <vt:i4>5</vt:i4>
      </vt:variant>
      <vt:variant>
        <vt:lpwstr>https://databank.worldbank.org/source/world-development-indicators/Type/TABLE/preview/on</vt:lpwstr>
      </vt:variant>
      <vt:variant>
        <vt:lpwstr/>
      </vt:variant>
      <vt:variant>
        <vt:i4>5111881</vt:i4>
      </vt:variant>
      <vt:variant>
        <vt:i4>828</vt:i4>
      </vt:variant>
      <vt:variant>
        <vt:i4>0</vt:i4>
      </vt:variant>
      <vt:variant>
        <vt:i4>5</vt:i4>
      </vt:variant>
      <vt:variant>
        <vt:lpwstr>https://cameroonpostline.com/devaluation-jitters-grip-cfa-franc-zone/</vt:lpwstr>
      </vt:variant>
      <vt:variant>
        <vt:lpwstr/>
      </vt:variant>
      <vt:variant>
        <vt:i4>7274579</vt:i4>
      </vt:variant>
      <vt:variant>
        <vt:i4>825</vt:i4>
      </vt:variant>
      <vt:variant>
        <vt:i4>0</vt:i4>
      </vt:variant>
      <vt:variant>
        <vt:i4>5</vt:i4>
      </vt:variant>
      <vt:variant>
        <vt:lpwstr>https://www.un.org/development/desa/dpad/wp-ntent/uploads/sites/45/WESP2019_BOOK-web.pdf</vt:lpwstr>
      </vt:variant>
      <vt:variant>
        <vt:lpwstr/>
      </vt:variant>
      <vt:variant>
        <vt:i4>6946914</vt:i4>
      </vt:variant>
      <vt:variant>
        <vt:i4>822</vt:i4>
      </vt:variant>
      <vt:variant>
        <vt:i4>0</vt:i4>
      </vt:variant>
      <vt:variant>
        <vt:i4>5</vt:i4>
      </vt:variant>
      <vt:variant>
        <vt:lpwstr>https://dppa.un.org/en/security-council-briefing-situation-central-africa-special-representative-abdoulaye-bathily</vt:lpwstr>
      </vt:variant>
      <vt:variant>
        <vt:lpwstr/>
      </vt:variant>
      <vt:variant>
        <vt:i4>5505109</vt:i4>
      </vt:variant>
      <vt:variant>
        <vt:i4>819</vt:i4>
      </vt:variant>
      <vt:variant>
        <vt:i4>0</vt:i4>
      </vt:variant>
      <vt:variant>
        <vt:i4>5</vt:i4>
      </vt:variant>
      <vt:variant>
        <vt:lpwstr>https://www.transparency.org/en/cpi/2018</vt:lpwstr>
      </vt:variant>
      <vt:variant>
        <vt:lpwstr/>
      </vt:variant>
      <vt:variant>
        <vt:i4>5111868</vt:i4>
      </vt:variant>
      <vt:variant>
        <vt:i4>816</vt:i4>
      </vt:variant>
      <vt:variant>
        <vt:i4>0</vt:i4>
      </vt:variant>
      <vt:variant>
        <vt:i4>5</vt:i4>
      </vt:variant>
      <vt:variant>
        <vt:lpwstr>https://www.tradeclub.standardbank.com/portal/en/market-potential/cameroon/economical-context?clear_s=y</vt:lpwstr>
      </vt:variant>
      <vt:variant>
        <vt:lpwstr/>
      </vt:variant>
      <vt:variant>
        <vt:i4>7602302</vt:i4>
      </vt:variant>
      <vt:variant>
        <vt:i4>813</vt:i4>
      </vt:variant>
      <vt:variant>
        <vt:i4>0</vt:i4>
      </vt:variant>
      <vt:variant>
        <vt:i4>5</vt:i4>
      </vt:variant>
      <vt:variant>
        <vt:lpwstr>https://www.yourarticlelibrary.com/international-trade/balance-of-payments-theory-of-exchange-international-trade/26057</vt:lpwstr>
      </vt:variant>
      <vt:variant>
        <vt:lpwstr/>
      </vt:variant>
      <vt:variant>
        <vt:i4>4522013</vt:i4>
      </vt:variant>
      <vt:variant>
        <vt:i4>810</vt:i4>
      </vt:variant>
      <vt:variant>
        <vt:i4>0</vt:i4>
      </vt:variant>
      <vt:variant>
        <vt:i4>5</vt:i4>
      </vt:variant>
      <vt:variant>
        <vt:lpwstr>http://www.yourarticlelibrary.com/notes/macroeconomics/mechanism%C2%ADof%C2%ADabsorption%C2%ADapproach%C2%ADto%C2%ADthe%C2%ADbalance%C2%ADof%C2%ADpayments%C2%ADadjustment/31245</vt:lpwstr>
      </vt:variant>
      <vt:variant>
        <vt:lpwstr/>
      </vt:variant>
      <vt:variant>
        <vt:i4>7536682</vt:i4>
      </vt:variant>
      <vt:variant>
        <vt:i4>807</vt:i4>
      </vt:variant>
      <vt:variant>
        <vt:i4>0</vt:i4>
      </vt:variant>
      <vt:variant>
        <vt:i4>5</vt:i4>
      </vt:variant>
      <vt:variant>
        <vt:lpwstr>https://www.investmentfrontier.com/2013/02/19/investors-list-countries-with-fixed-currency-exchange-rates/</vt:lpwstr>
      </vt:variant>
      <vt:variant>
        <vt:lpwstr/>
      </vt:variant>
      <vt:variant>
        <vt:i4>2752632</vt:i4>
      </vt:variant>
      <vt:variant>
        <vt:i4>804</vt:i4>
      </vt:variant>
      <vt:variant>
        <vt:i4>0</vt:i4>
      </vt:variant>
      <vt:variant>
        <vt:i4>5</vt:i4>
      </vt:variant>
      <vt:variant>
        <vt:lpwstr>https://www.economicsdiscussion.net/money/demand-for-and-supply-of-money-discussed/1853</vt:lpwstr>
      </vt:variant>
      <vt:variant>
        <vt:lpwstr/>
      </vt:variant>
      <vt:variant>
        <vt:i4>7274528</vt:i4>
      </vt:variant>
      <vt:variant>
        <vt:i4>801</vt:i4>
      </vt:variant>
      <vt:variant>
        <vt:i4>0</vt:i4>
      </vt:variant>
      <vt:variant>
        <vt:i4>5</vt:i4>
      </vt:variant>
      <vt:variant>
        <vt:lpwstr>https://blogs.imf.org/2017/08/01/a-common-cause-for-sustainable-growth-and-stability-in-central-africa/</vt:lpwstr>
      </vt:variant>
      <vt:variant>
        <vt:lpwstr/>
      </vt:variant>
      <vt:variant>
        <vt:i4>7209081</vt:i4>
      </vt:variant>
      <vt:variant>
        <vt:i4>798</vt:i4>
      </vt:variant>
      <vt:variant>
        <vt:i4>0</vt:i4>
      </vt:variant>
      <vt:variant>
        <vt:i4>5</vt:i4>
      </vt:variant>
      <vt:variant>
        <vt:lpwstr>https://www.researchgate.net/publication/309102603</vt:lpwstr>
      </vt:variant>
      <vt:variant>
        <vt:lpwstr/>
      </vt:variant>
      <vt:variant>
        <vt:i4>5111877</vt:i4>
      </vt:variant>
      <vt:variant>
        <vt:i4>795</vt:i4>
      </vt:variant>
      <vt:variant>
        <vt:i4>0</vt:i4>
      </vt:variant>
      <vt:variant>
        <vt:i4>5</vt:i4>
      </vt:variant>
      <vt:variant>
        <vt:lpwstr>https://ia600400.us.archive.org/12/items/arxiv-physics0601009/physics0601009.pdf</vt:lpwstr>
      </vt:variant>
      <vt:variant>
        <vt:lpwstr/>
      </vt:variant>
      <vt:variant>
        <vt:i4>6094872</vt:i4>
      </vt:variant>
      <vt:variant>
        <vt:i4>792</vt:i4>
      </vt:variant>
      <vt:variant>
        <vt:i4>0</vt:i4>
      </vt:variant>
      <vt:variant>
        <vt:i4>5</vt:i4>
      </vt:variant>
      <vt:variant>
        <vt:lpwstr>https://www.economicshelp.org/blog/11550/currency/money-supply-and-the-exchange-rate/</vt:lpwstr>
      </vt:variant>
      <vt:variant>
        <vt:lpwstr/>
      </vt:variant>
      <vt:variant>
        <vt:i4>1704023</vt:i4>
      </vt:variant>
      <vt:variant>
        <vt:i4>789</vt:i4>
      </vt:variant>
      <vt:variant>
        <vt:i4>0</vt:i4>
      </vt:variant>
      <vt:variant>
        <vt:i4>5</vt:i4>
      </vt:variant>
      <vt:variant>
        <vt:lpwstr>https://www.businessmanagementideas.com/foreign-exchange-2/exchange-rates/determination-of-exchange-rates-5-approaches-forex-management/17191</vt:lpwstr>
      </vt:variant>
      <vt:variant>
        <vt:lpwstr/>
      </vt:variant>
      <vt:variant>
        <vt:i4>7602230</vt:i4>
      </vt:variant>
      <vt:variant>
        <vt:i4>786</vt:i4>
      </vt:variant>
      <vt:variant>
        <vt:i4>0</vt:i4>
      </vt:variant>
      <vt:variant>
        <vt:i4>5</vt:i4>
      </vt:variant>
      <vt:variant>
        <vt:lpwstr>https://www.preservearticles.com/economics/what-is-balance-of-payments-theory-of-rate-of-exchange/19420</vt:lpwstr>
      </vt:variant>
      <vt:variant>
        <vt:lpwstr/>
      </vt:variant>
      <vt:variant>
        <vt:i4>6094862</vt:i4>
      </vt:variant>
      <vt:variant>
        <vt:i4>783</vt:i4>
      </vt:variant>
      <vt:variant>
        <vt:i4>0</vt:i4>
      </vt:variant>
      <vt:variant>
        <vt:i4>5</vt:i4>
      </vt:variant>
      <vt:variant>
        <vt:lpwstr>https://www.frbsf.org/economic-research/publications/economic-letter/1998/august/what-caused-east-asia-financial-crisis/</vt:lpwstr>
      </vt:variant>
      <vt:variant>
        <vt:lpwstr/>
      </vt:variant>
      <vt:variant>
        <vt:i4>1835075</vt:i4>
      </vt:variant>
      <vt:variant>
        <vt:i4>780</vt:i4>
      </vt:variant>
      <vt:variant>
        <vt:i4>0</vt:i4>
      </vt:variant>
      <vt:variant>
        <vt:i4>5</vt:i4>
      </vt:variant>
      <vt:variant>
        <vt:lpwstr>https://www.microeconomicsnotes.com/balance-of-payments/top-3-approaches-of-balance-of-payments/1736</vt:lpwstr>
      </vt:variant>
      <vt:variant>
        <vt:lpwstr/>
      </vt:variant>
      <vt:variant>
        <vt:i4>1703946</vt:i4>
      </vt:variant>
      <vt:variant>
        <vt:i4>777</vt:i4>
      </vt:variant>
      <vt:variant>
        <vt:i4>0</vt:i4>
      </vt:variant>
      <vt:variant>
        <vt:i4>5</vt:i4>
      </vt:variant>
      <vt:variant>
        <vt:lpwstr>https://www.lloydsbanktrade.com/en/market-potential/gabon/investment</vt:lpwstr>
      </vt:variant>
      <vt:variant>
        <vt:lpwstr/>
      </vt:variant>
      <vt:variant>
        <vt:i4>131155</vt:i4>
      </vt:variant>
      <vt:variant>
        <vt:i4>774</vt:i4>
      </vt:variant>
      <vt:variant>
        <vt:i4>0</vt:i4>
      </vt:variant>
      <vt:variant>
        <vt:i4>5</vt:i4>
      </vt:variant>
      <vt:variant>
        <vt:lpwstr>https://knoema.com/search?query=Chad%20Real%20effective%20exchange%20rate</vt:lpwstr>
      </vt:variant>
      <vt:variant>
        <vt:lpwstr/>
      </vt:variant>
      <vt:variant>
        <vt:i4>7405691</vt:i4>
      </vt:variant>
      <vt:variant>
        <vt:i4>771</vt:i4>
      </vt:variant>
      <vt:variant>
        <vt:i4>0</vt:i4>
      </vt:variant>
      <vt:variant>
        <vt:i4>5</vt:i4>
      </vt:variant>
      <vt:variant>
        <vt:lpwstr>https://knoema.com/IMFSSAFRREO2019Oct/sub-saharan-africa-regional-economic-outlook-afrreo-october-2019</vt:lpwstr>
      </vt:variant>
      <vt:variant>
        <vt:lpwstr/>
      </vt:variant>
      <vt:variant>
        <vt:i4>5963783</vt:i4>
      </vt:variant>
      <vt:variant>
        <vt:i4>768</vt:i4>
      </vt:variant>
      <vt:variant>
        <vt:i4>0</vt:i4>
      </vt:variant>
      <vt:variant>
        <vt:i4>5</vt:i4>
      </vt:variant>
      <vt:variant>
        <vt:lpwstr>https://www.imf.org/external/pubs/ft/fabric/backgrnd.htm</vt:lpwstr>
      </vt:variant>
      <vt:variant>
        <vt:lpwstr/>
      </vt:variant>
      <vt:variant>
        <vt:i4>5570573</vt:i4>
      </vt:variant>
      <vt:variant>
        <vt:i4>765</vt:i4>
      </vt:variant>
      <vt:variant>
        <vt:i4>0</vt:i4>
      </vt:variant>
      <vt:variant>
        <vt:i4>5</vt:i4>
      </vt:variant>
      <vt:variant>
        <vt:lpwstr>http://www.imo.org/OurWork/Security/PiracyArmedRobbery/Guidance/Documents/A.1025.pdf</vt:lpwstr>
      </vt:variant>
      <vt:variant>
        <vt:lpwstr/>
      </vt:variant>
      <vt:variant>
        <vt:i4>6291576</vt:i4>
      </vt:variant>
      <vt:variant>
        <vt:i4>762</vt:i4>
      </vt:variant>
      <vt:variant>
        <vt:i4>0</vt:i4>
      </vt:variant>
      <vt:variant>
        <vt:i4>5</vt:i4>
      </vt:variant>
      <vt:variant>
        <vt:lpwstr>http://www.icc-ccs.org/news/753-imb-notes-increasein-piracy-off-west-africa</vt:lpwstr>
      </vt:variant>
      <vt:variant>
        <vt:lpwstr/>
      </vt:variant>
      <vt:variant>
        <vt:i4>3211376</vt:i4>
      </vt:variant>
      <vt:variant>
        <vt:i4>759</vt:i4>
      </vt:variant>
      <vt:variant>
        <vt:i4>0</vt:i4>
      </vt:variant>
      <vt:variant>
        <vt:i4>5</vt:i4>
      </vt:variant>
      <vt:variant>
        <vt:lpwstr>https://www.investopedia.com/terms/m/multicollinearity.asp</vt:lpwstr>
      </vt:variant>
      <vt:variant>
        <vt:lpwstr/>
      </vt:variant>
      <vt:variant>
        <vt:i4>3604602</vt:i4>
      </vt:variant>
      <vt:variant>
        <vt:i4>756</vt:i4>
      </vt:variant>
      <vt:variant>
        <vt:i4>0</vt:i4>
      </vt:variant>
      <vt:variant>
        <vt:i4>5</vt:i4>
      </vt:variant>
      <vt:variant>
        <vt:lpwstr>http://pubdocs.worldbank.org/en/469991488490821472/IAOS-2016-Hamadeh-AbuShanab-Uses-of-Purchasing-Power-Parities-to-better-inform-policy-making-and-poverty-measurement.pdf</vt:lpwstr>
      </vt:variant>
      <vt:variant>
        <vt:lpwstr/>
      </vt:variant>
      <vt:variant>
        <vt:i4>4194370</vt:i4>
      </vt:variant>
      <vt:variant>
        <vt:i4>753</vt:i4>
      </vt:variant>
      <vt:variant>
        <vt:i4>0</vt:i4>
      </vt:variant>
      <vt:variant>
        <vt:i4>5</vt:i4>
      </vt:variant>
      <vt:variant>
        <vt:lpwstr>https://www.researchgate.net/publication/333015026_Chapter_3_-_Research_Methodology_and_Research_Method</vt:lpwstr>
      </vt:variant>
      <vt:variant>
        <vt:lpwstr/>
      </vt:variant>
      <vt:variant>
        <vt:i4>6946930</vt:i4>
      </vt:variant>
      <vt:variant>
        <vt:i4>750</vt:i4>
      </vt:variant>
      <vt:variant>
        <vt:i4>0</vt:i4>
      </vt:variant>
      <vt:variant>
        <vt:i4>5</vt:i4>
      </vt:variant>
      <vt:variant>
        <vt:lpwstr>https://www.researchgate.net/publication/236143992</vt:lpwstr>
      </vt:variant>
      <vt:variant>
        <vt:lpwstr/>
      </vt:variant>
      <vt:variant>
        <vt:i4>852035</vt:i4>
      </vt:variant>
      <vt:variant>
        <vt:i4>747</vt:i4>
      </vt:variant>
      <vt:variant>
        <vt:i4>0</vt:i4>
      </vt:variant>
      <vt:variant>
        <vt:i4>5</vt:i4>
      </vt:variant>
      <vt:variant>
        <vt:lpwstr>https://fred.stlouisfed.org/series/COGEREERIX</vt:lpwstr>
      </vt:variant>
      <vt:variant>
        <vt:lpwstr/>
      </vt:variant>
      <vt:variant>
        <vt:i4>4128828</vt:i4>
      </vt:variant>
      <vt:variant>
        <vt:i4>744</vt:i4>
      </vt:variant>
      <vt:variant>
        <vt:i4>0</vt:i4>
      </vt:variant>
      <vt:variant>
        <vt:i4>5</vt:i4>
      </vt:variant>
      <vt:variant>
        <vt:lpwstr>https://www.ecb.europa.eu/euro/exchange/html/index.en.html</vt:lpwstr>
      </vt:variant>
      <vt:variant>
        <vt:lpwstr/>
      </vt:variant>
      <vt:variant>
        <vt:i4>589901</vt:i4>
      </vt:variant>
      <vt:variant>
        <vt:i4>741</vt:i4>
      </vt:variant>
      <vt:variant>
        <vt:i4>0</vt:i4>
      </vt:variant>
      <vt:variant>
        <vt:i4>5</vt:i4>
      </vt:variant>
      <vt:variant>
        <vt:lpwstr>https://www.investopedia.com/terms/t/transactioncosts.asp</vt:lpwstr>
      </vt:variant>
      <vt:variant>
        <vt:lpwstr/>
      </vt:variant>
      <vt:variant>
        <vt:i4>327695</vt:i4>
      </vt:variant>
      <vt:variant>
        <vt:i4>738</vt:i4>
      </vt:variant>
      <vt:variant>
        <vt:i4>0</vt:i4>
      </vt:variant>
      <vt:variant>
        <vt:i4>5</vt:i4>
      </vt:variant>
      <vt:variant>
        <vt:lpwstr>http://documents.worldbank.org/curated/en/514531468740135280/Primary-commodity-dependence-and-Africas-future</vt:lpwstr>
      </vt:variant>
      <vt:variant>
        <vt:lpwstr/>
      </vt:variant>
      <vt:variant>
        <vt:i4>6619183</vt:i4>
      </vt:variant>
      <vt:variant>
        <vt:i4>735</vt:i4>
      </vt:variant>
      <vt:variant>
        <vt:i4>0</vt:i4>
      </vt:variant>
      <vt:variant>
        <vt:i4>5</vt:i4>
      </vt:variant>
      <vt:variant>
        <vt:lpwstr>https://voxeu.org/ article/currency-unions-mean-more-trade-not-everyone</vt:lpwstr>
      </vt:variant>
      <vt:variant>
        <vt:lpwstr/>
      </vt:variant>
      <vt:variant>
        <vt:i4>2359342</vt:i4>
      </vt:variant>
      <vt:variant>
        <vt:i4>732</vt:i4>
      </vt:variant>
      <vt:variant>
        <vt:i4>0</vt:i4>
      </vt:variant>
      <vt:variant>
        <vt:i4>5</vt:i4>
      </vt:variant>
      <vt:variant>
        <vt:lpwstr>https://www.encyclopedia.com/social-sciences/applied-and-social-sciences-magazines/capital-controls</vt:lpwstr>
      </vt:variant>
      <vt:variant>
        <vt:lpwstr/>
      </vt:variant>
      <vt:variant>
        <vt:i4>5570632</vt:i4>
      </vt:variant>
      <vt:variant>
        <vt:i4>729</vt:i4>
      </vt:variant>
      <vt:variant>
        <vt:i4>0</vt:i4>
      </vt:variant>
      <vt:variant>
        <vt:i4>5</vt:i4>
      </vt:variant>
      <vt:variant>
        <vt:lpwstr>https://www.opednews.com/articles/The-Last-Gasp-Of-Fran-afr-by-Gary-Busch-130115-88.html</vt:lpwstr>
      </vt:variant>
      <vt:variant>
        <vt:lpwstr/>
      </vt:variant>
      <vt:variant>
        <vt:i4>5636169</vt:i4>
      </vt:variant>
      <vt:variant>
        <vt:i4>726</vt:i4>
      </vt:variant>
      <vt:variant>
        <vt:i4>0</vt:i4>
      </vt:variant>
      <vt:variant>
        <vt:i4>5</vt:i4>
      </vt:variant>
      <vt:variant>
        <vt:lpwstr>https://www.researchgate.net/publication/308262064_Research_Design</vt:lpwstr>
      </vt:variant>
      <vt:variant>
        <vt:lpwstr/>
      </vt:variant>
      <vt:variant>
        <vt:i4>2228334</vt:i4>
      </vt:variant>
      <vt:variant>
        <vt:i4>723</vt:i4>
      </vt:variant>
      <vt:variant>
        <vt:i4>0</vt:i4>
      </vt:variant>
      <vt:variant>
        <vt:i4>5</vt:i4>
      </vt:variant>
      <vt:variant>
        <vt:lpwstr>https://honestproscons.com/pros-and-cons-of-trade-deficit/</vt:lpwstr>
      </vt:variant>
      <vt:variant>
        <vt:lpwstr/>
      </vt:variant>
      <vt:variant>
        <vt:i4>7864358</vt:i4>
      </vt:variant>
      <vt:variant>
        <vt:i4>720</vt:i4>
      </vt:variant>
      <vt:variant>
        <vt:i4>0</vt:i4>
      </vt:variant>
      <vt:variant>
        <vt:i4>5</vt:i4>
      </vt:variant>
      <vt:variant>
        <vt:lpwstr>https://econpapers.repec.org/paper/fipfedgsq/77.htm</vt:lpwstr>
      </vt:variant>
      <vt:variant>
        <vt:lpwstr/>
      </vt:variant>
      <vt:variant>
        <vt:i4>7208975</vt:i4>
      </vt:variant>
      <vt:variant>
        <vt:i4>717</vt:i4>
      </vt:variant>
      <vt:variant>
        <vt:i4>0</vt:i4>
      </vt:variant>
      <vt:variant>
        <vt:i4>5</vt:i4>
      </vt:variant>
      <vt:variant>
        <vt:lpwstr>https://www.investopedia.com/terms/c/capital_conrol.asp</vt:lpwstr>
      </vt:variant>
      <vt:variant>
        <vt:lpwstr/>
      </vt:variant>
      <vt:variant>
        <vt:i4>3276924</vt:i4>
      </vt:variant>
      <vt:variant>
        <vt:i4>714</vt:i4>
      </vt:variant>
      <vt:variant>
        <vt:i4>0</vt:i4>
      </vt:variant>
      <vt:variant>
        <vt:i4>5</vt:i4>
      </vt:variant>
      <vt:variant>
        <vt:lpwstr>https://abc-economie.banque-france.fr/sites/default/files/medias/documents/816153_fiche_zone-franc.pdf</vt:lpwstr>
      </vt:variant>
      <vt:variant>
        <vt:lpwstr/>
      </vt:variant>
      <vt:variant>
        <vt:i4>5177373</vt:i4>
      </vt:variant>
      <vt:variant>
        <vt:i4>711</vt:i4>
      </vt:variant>
      <vt:variant>
        <vt:i4>0</vt:i4>
      </vt:variant>
      <vt:variant>
        <vt:i4>5</vt:i4>
      </vt:variant>
      <vt:variant>
        <vt:lpwstr>http://www.banque-france.fr/</vt:lpwstr>
      </vt:variant>
      <vt:variant>
        <vt:lpwstr/>
      </vt:variant>
      <vt:variant>
        <vt:i4>2228328</vt:i4>
      </vt:variant>
      <vt:variant>
        <vt:i4>708</vt:i4>
      </vt:variant>
      <vt:variant>
        <vt:i4>0</vt:i4>
      </vt:variant>
      <vt:variant>
        <vt:i4>5</vt:i4>
      </vt:variant>
      <vt:variant>
        <vt:lpwstr>http://www.australiaonnet.com/economy-business/industries/</vt:lpwstr>
      </vt:variant>
      <vt:variant>
        <vt:lpwstr/>
      </vt:variant>
      <vt:variant>
        <vt:i4>5439553</vt:i4>
      </vt:variant>
      <vt:variant>
        <vt:i4>705</vt:i4>
      </vt:variant>
      <vt:variant>
        <vt:i4>0</vt:i4>
      </vt:variant>
      <vt:variant>
        <vt:i4>5</vt:i4>
      </vt:variant>
      <vt:variant>
        <vt:lpwstr>https://www.thebalance.com/foreign-direct-investment-fdi-pros-cons-and-importance-3306283</vt:lpwstr>
      </vt:variant>
      <vt:variant>
        <vt:lpwstr/>
      </vt:variant>
      <vt:variant>
        <vt:i4>7536765</vt:i4>
      </vt:variant>
      <vt:variant>
        <vt:i4>702</vt:i4>
      </vt:variant>
      <vt:variant>
        <vt:i4>0</vt:i4>
      </vt:variant>
      <vt:variant>
        <vt:i4>5</vt:i4>
      </vt:variant>
      <vt:variant>
        <vt:lpwstr>https://www.afdb.org/fileadmin/uploads/afdb/Documents/Publications/2018AEO/African-Economic-Outlook-2018-Central-Africa.pdf</vt:lpwstr>
      </vt:variant>
      <vt:variant>
        <vt:lpwstr/>
      </vt:variant>
      <vt:variant>
        <vt:i4>2293881</vt:i4>
      </vt:variant>
      <vt:variant>
        <vt:i4>699</vt:i4>
      </vt:variant>
      <vt:variant>
        <vt:i4>0</vt:i4>
      </vt:variant>
      <vt:variant>
        <vt:i4>5</vt:i4>
      </vt:variant>
      <vt:variant>
        <vt:lpwstr>http://africanbusinessmagazine.com/uncategorised/a-brief-history-of-the-cfa-franc/</vt:lpwstr>
      </vt:variant>
      <vt:variant>
        <vt:lpwstr/>
      </vt:variant>
      <vt:variant>
        <vt:i4>4456526</vt:i4>
      </vt:variant>
      <vt:variant>
        <vt:i4>696</vt:i4>
      </vt:variant>
      <vt:variant>
        <vt:i4>0</vt:i4>
      </vt:variant>
      <vt:variant>
        <vt:i4>5</vt:i4>
      </vt:variant>
      <vt:variant>
        <vt:lpwstr>https://www.mbaknol.com/international-finance/balance-of-payments-bop-and-exchange-rates/</vt:lpwstr>
      </vt:variant>
      <vt:variant>
        <vt:lpwstr/>
      </vt:variant>
      <vt:variant>
        <vt:i4>2359350</vt:i4>
      </vt:variant>
      <vt:variant>
        <vt:i4>693</vt:i4>
      </vt:variant>
      <vt:variant>
        <vt:i4>0</vt:i4>
      </vt:variant>
      <vt:variant>
        <vt:i4>5</vt:i4>
      </vt:variant>
      <vt:variant>
        <vt:lpwstr>http://dx.doi.org/10.5772/intechopen.70628</vt:lpwstr>
      </vt:variant>
      <vt:variant>
        <vt:lpwstr/>
      </vt:variant>
      <vt:variant>
        <vt:i4>6357048</vt:i4>
      </vt:variant>
      <vt:variant>
        <vt:i4>690</vt:i4>
      </vt:variant>
      <vt:variant>
        <vt:i4>0</vt:i4>
      </vt:variant>
      <vt:variant>
        <vt:i4>5</vt:i4>
      </vt:variant>
      <vt:variant>
        <vt:lpwstr>http://www.cepr.org/pubs/dps/DP6541.asp</vt:lpwstr>
      </vt:variant>
      <vt:variant>
        <vt:lpwstr/>
      </vt:variant>
      <vt:variant>
        <vt:i4>5701726</vt:i4>
      </vt:variant>
      <vt:variant>
        <vt:i4>687</vt:i4>
      </vt:variant>
      <vt:variant>
        <vt:i4>0</vt:i4>
      </vt:variant>
      <vt:variant>
        <vt:i4>5</vt:i4>
      </vt:variant>
      <vt:variant>
        <vt:lpwstr>http://dx.doi.org/10.2307/3867486</vt:lpwstr>
      </vt:variant>
      <vt:variant>
        <vt:lpwstr/>
      </vt:variant>
      <vt:variant>
        <vt:i4>720925</vt:i4>
      </vt:variant>
      <vt:variant>
        <vt:i4>684</vt:i4>
      </vt:variant>
      <vt:variant>
        <vt:i4>0</vt:i4>
      </vt:variant>
      <vt:variant>
        <vt:i4>5</vt:i4>
      </vt:variant>
      <vt:variant>
        <vt:lpwstr>https://ssrn.com/abstract=1618198</vt:lpwstr>
      </vt:variant>
      <vt:variant>
        <vt:lpwstr/>
      </vt:variant>
      <vt:variant>
        <vt:i4>3538965</vt:i4>
      </vt:variant>
      <vt:variant>
        <vt:i4>681</vt:i4>
      </vt:variant>
      <vt:variant>
        <vt:i4>0</vt:i4>
      </vt:variant>
      <vt:variant>
        <vt:i4>5</vt:i4>
      </vt:variant>
      <vt:variant>
        <vt:lpwstr>https://ideas.repec.org/p/gla/glaewp/2010_13.html</vt:lpwstr>
      </vt:variant>
      <vt:variant>
        <vt:lpwstr/>
      </vt:variant>
      <vt:variant>
        <vt:i4>5898327</vt:i4>
      </vt:variant>
      <vt:variant>
        <vt:i4>678</vt:i4>
      </vt:variant>
      <vt:variant>
        <vt:i4>0</vt:i4>
      </vt:variant>
      <vt:variant>
        <vt:i4>5</vt:i4>
      </vt:variant>
      <vt:variant>
        <vt:lpwstr>https://doi.org/10.3102/0013189X017008010</vt:lpwstr>
      </vt:variant>
      <vt:variant>
        <vt:lpwstr/>
      </vt:variant>
      <vt:variant>
        <vt:i4>6094940</vt:i4>
      </vt:variant>
      <vt:variant>
        <vt:i4>675</vt:i4>
      </vt:variant>
      <vt:variant>
        <vt:i4>0</vt:i4>
      </vt:variant>
      <vt:variant>
        <vt:i4>5</vt:i4>
      </vt:variant>
      <vt:variant>
        <vt:lpwstr>http://dx.doi.org/10.2307/1926028</vt:lpwstr>
      </vt:variant>
      <vt:variant>
        <vt:lpwstr/>
      </vt:variant>
      <vt:variant>
        <vt:i4>327698</vt:i4>
      </vt:variant>
      <vt:variant>
        <vt:i4>672</vt:i4>
      </vt:variant>
      <vt:variant>
        <vt:i4>0</vt:i4>
      </vt:variant>
      <vt:variant>
        <vt:i4>5</vt:i4>
      </vt:variant>
      <vt:variant>
        <vt:lpwstr>https://ssrn.com/abstract=882342</vt:lpwstr>
      </vt:variant>
      <vt:variant>
        <vt:lpwstr/>
      </vt:variant>
      <vt:variant>
        <vt:i4>8061015</vt:i4>
      </vt:variant>
      <vt:variant>
        <vt:i4>669</vt:i4>
      </vt:variant>
      <vt:variant>
        <vt:i4>0</vt:i4>
      </vt:variant>
      <vt:variant>
        <vt:i4>5</vt:i4>
      </vt:variant>
      <vt:variant>
        <vt:lpwstr>https://doi.org/10.1007/978-94-011-4411-7_10</vt:lpwstr>
      </vt:variant>
      <vt:variant>
        <vt:lpwstr/>
      </vt:variant>
      <vt:variant>
        <vt:i4>2293869</vt:i4>
      </vt:variant>
      <vt:variant>
        <vt:i4>666</vt:i4>
      </vt:variant>
      <vt:variant>
        <vt:i4>0</vt:i4>
      </vt:variant>
      <vt:variant>
        <vt:i4>5</vt:i4>
      </vt:variant>
      <vt:variant>
        <vt:lpwstr>https://doi.org/10.2307/2223329</vt:lpwstr>
      </vt:variant>
      <vt:variant>
        <vt:lpwstr/>
      </vt:variant>
      <vt:variant>
        <vt:i4>6357095</vt:i4>
      </vt:variant>
      <vt:variant>
        <vt:i4>663</vt:i4>
      </vt:variant>
      <vt:variant>
        <vt:i4>0</vt:i4>
      </vt:variant>
      <vt:variant>
        <vt:i4>5</vt:i4>
      </vt:variant>
      <vt:variant>
        <vt:lpwstr>http://dx.doi.org/10.1080/10168739700000029</vt:lpwstr>
      </vt:variant>
      <vt:variant>
        <vt:lpwstr/>
      </vt:variant>
      <vt:variant>
        <vt:i4>2293867</vt:i4>
      </vt:variant>
      <vt:variant>
        <vt:i4>660</vt:i4>
      </vt:variant>
      <vt:variant>
        <vt:i4>0</vt:i4>
      </vt:variant>
      <vt:variant>
        <vt:i4>5</vt:i4>
      </vt:variant>
      <vt:variant>
        <vt:lpwstr>http://www.jed.or.kr/full-text/23-1/oskooee.PDF</vt:lpwstr>
      </vt:variant>
      <vt:variant>
        <vt:lpwstr/>
      </vt:variant>
      <vt:variant>
        <vt:i4>1441881</vt:i4>
      </vt:variant>
      <vt:variant>
        <vt:i4>657</vt:i4>
      </vt:variant>
      <vt:variant>
        <vt:i4>0</vt:i4>
      </vt:variant>
      <vt:variant>
        <vt:i4>5</vt:i4>
      </vt:variant>
      <vt:variant>
        <vt:lpwstr>https://doi.org/10.1177/0015732520919838</vt:lpwstr>
      </vt:variant>
      <vt:variant>
        <vt:lpwstr/>
      </vt:variant>
      <vt:variant>
        <vt:i4>3670042</vt:i4>
      </vt:variant>
      <vt:variant>
        <vt:i4>630</vt:i4>
      </vt:variant>
      <vt:variant>
        <vt:i4>0</vt:i4>
      </vt:variant>
      <vt:variant>
        <vt:i4>5</vt:i4>
      </vt:variant>
      <vt:variant>
        <vt:lpwstr/>
      </vt:variant>
      <vt:variant>
        <vt:lpwstr>_ftn10</vt:lpwstr>
      </vt:variant>
      <vt:variant>
        <vt:i4>524331</vt:i4>
      </vt:variant>
      <vt:variant>
        <vt:i4>627</vt:i4>
      </vt:variant>
      <vt:variant>
        <vt:i4>0</vt:i4>
      </vt:variant>
      <vt:variant>
        <vt:i4>5</vt:i4>
      </vt:variant>
      <vt:variant>
        <vt:lpwstr/>
      </vt:variant>
      <vt:variant>
        <vt:lpwstr>_ftn7</vt:lpwstr>
      </vt:variant>
      <vt:variant>
        <vt:i4>7405691</vt:i4>
      </vt:variant>
      <vt:variant>
        <vt:i4>612</vt:i4>
      </vt:variant>
      <vt:variant>
        <vt:i4>0</vt:i4>
      </vt:variant>
      <vt:variant>
        <vt:i4>5</vt:i4>
      </vt:variant>
      <vt:variant>
        <vt:lpwstr>https://knoema.com/IMFSSAFRREO2019Oct/sub-saharan-africa-regional-economic-outlook-afrreo-october-2019</vt:lpwstr>
      </vt:variant>
      <vt:variant>
        <vt:lpwstr/>
      </vt:variant>
      <vt:variant>
        <vt:i4>524331</vt:i4>
      </vt:variant>
      <vt:variant>
        <vt:i4>609</vt:i4>
      </vt:variant>
      <vt:variant>
        <vt:i4>0</vt:i4>
      </vt:variant>
      <vt:variant>
        <vt:i4>5</vt:i4>
      </vt:variant>
      <vt:variant>
        <vt:lpwstr/>
      </vt:variant>
      <vt:variant>
        <vt:lpwstr>_ftn1</vt:lpwstr>
      </vt:variant>
      <vt:variant>
        <vt:i4>1245243</vt:i4>
      </vt:variant>
      <vt:variant>
        <vt:i4>602</vt:i4>
      </vt:variant>
      <vt:variant>
        <vt:i4>0</vt:i4>
      </vt:variant>
      <vt:variant>
        <vt:i4>5</vt:i4>
      </vt:variant>
      <vt:variant>
        <vt:lpwstr/>
      </vt:variant>
      <vt:variant>
        <vt:lpwstr>_Toc150032939</vt:lpwstr>
      </vt:variant>
      <vt:variant>
        <vt:i4>1245243</vt:i4>
      </vt:variant>
      <vt:variant>
        <vt:i4>596</vt:i4>
      </vt:variant>
      <vt:variant>
        <vt:i4>0</vt:i4>
      </vt:variant>
      <vt:variant>
        <vt:i4>5</vt:i4>
      </vt:variant>
      <vt:variant>
        <vt:lpwstr/>
      </vt:variant>
      <vt:variant>
        <vt:lpwstr>_Toc150032938</vt:lpwstr>
      </vt:variant>
      <vt:variant>
        <vt:i4>1245243</vt:i4>
      </vt:variant>
      <vt:variant>
        <vt:i4>590</vt:i4>
      </vt:variant>
      <vt:variant>
        <vt:i4>0</vt:i4>
      </vt:variant>
      <vt:variant>
        <vt:i4>5</vt:i4>
      </vt:variant>
      <vt:variant>
        <vt:lpwstr/>
      </vt:variant>
      <vt:variant>
        <vt:lpwstr>_Toc150032937</vt:lpwstr>
      </vt:variant>
      <vt:variant>
        <vt:i4>1245243</vt:i4>
      </vt:variant>
      <vt:variant>
        <vt:i4>584</vt:i4>
      </vt:variant>
      <vt:variant>
        <vt:i4>0</vt:i4>
      </vt:variant>
      <vt:variant>
        <vt:i4>5</vt:i4>
      </vt:variant>
      <vt:variant>
        <vt:lpwstr/>
      </vt:variant>
      <vt:variant>
        <vt:lpwstr>_Toc150032936</vt:lpwstr>
      </vt:variant>
      <vt:variant>
        <vt:i4>1245243</vt:i4>
      </vt:variant>
      <vt:variant>
        <vt:i4>578</vt:i4>
      </vt:variant>
      <vt:variant>
        <vt:i4>0</vt:i4>
      </vt:variant>
      <vt:variant>
        <vt:i4>5</vt:i4>
      </vt:variant>
      <vt:variant>
        <vt:lpwstr/>
      </vt:variant>
      <vt:variant>
        <vt:lpwstr>_Toc150032935</vt:lpwstr>
      </vt:variant>
      <vt:variant>
        <vt:i4>1245243</vt:i4>
      </vt:variant>
      <vt:variant>
        <vt:i4>572</vt:i4>
      </vt:variant>
      <vt:variant>
        <vt:i4>0</vt:i4>
      </vt:variant>
      <vt:variant>
        <vt:i4>5</vt:i4>
      </vt:variant>
      <vt:variant>
        <vt:lpwstr/>
      </vt:variant>
      <vt:variant>
        <vt:lpwstr>_Toc150032934</vt:lpwstr>
      </vt:variant>
      <vt:variant>
        <vt:i4>1245243</vt:i4>
      </vt:variant>
      <vt:variant>
        <vt:i4>566</vt:i4>
      </vt:variant>
      <vt:variant>
        <vt:i4>0</vt:i4>
      </vt:variant>
      <vt:variant>
        <vt:i4>5</vt:i4>
      </vt:variant>
      <vt:variant>
        <vt:lpwstr/>
      </vt:variant>
      <vt:variant>
        <vt:lpwstr>_Toc150032933</vt:lpwstr>
      </vt:variant>
      <vt:variant>
        <vt:i4>1245243</vt:i4>
      </vt:variant>
      <vt:variant>
        <vt:i4>560</vt:i4>
      </vt:variant>
      <vt:variant>
        <vt:i4>0</vt:i4>
      </vt:variant>
      <vt:variant>
        <vt:i4>5</vt:i4>
      </vt:variant>
      <vt:variant>
        <vt:lpwstr/>
      </vt:variant>
      <vt:variant>
        <vt:lpwstr>_Toc150032932</vt:lpwstr>
      </vt:variant>
      <vt:variant>
        <vt:i4>1245243</vt:i4>
      </vt:variant>
      <vt:variant>
        <vt:i4>554</vt:i4>
      </vt:variant>
      <vt:variant>
        <vt:i4>0</vt:i4>
      </vt:variant>
      <vt:variant>
        <vt:i4>5</vt:i4>
      </vt:variant>
      <vt:variant>
        <vt:lpwstr/>
      </vt:variant>
      <vt:variant>
        <vt:lpwstr>_Toc150032931</vt:lpwstr>
      </vt:variant>
      <vt:variant>
        <vt:i4>1245243</vt:i4>
      </vt:variant>
      <vt:variant>
        <vt:i4>548</vt:i4>
      </vt:variant>
      <vt:variant>
        <vt:i4>0</vt:i4>
      </vt:variant>
      <vt:variant>
        <vt:i4>5</vt:i4>
      </vt:variant>
      <vt:variant>
        <vt:lpwstr/>
      </vt:variant>
      <vt:variant>
        <vt:lpwstr>_Toc150032930</vt:lpwstr>
      </vt:variant>
      <vt:variant>
        <vt:i4>1179707</vt:i4>
      </vt:variant>
      <vt:variant>
        <vt:i4>542</vt:i4>
      </vt:variant>
      <vt:variant>
        <vt:i4>0</vt:i4>
      </vt:variant>
      <vt:variant>
        <vt:i4>5</vt:i4>
      </vt:variant>
      <vt:variant>
        <vt:lpwstr/>
      </vt:variant>
      <vt:variant>
        <vt:lpwstr>_Toc150032929</vt:lpwstr>
      </vt:variant>
      <vt:variant>
        <vt:i4>1179707</vt:i4>
      </vt:variant>
      <vt:variant>
        <vt:i4>536</vt:i4>
      </vt:variant>
      <vt:variant>
        <vt:i4>0</vt:i4>
      </vt:variant>
      <vt:variant>
        <vt:i4>5</vt:i4>
      </vt:variant>
      <vt:variant>
        <vt:lpwstr/>
      </vt:variant>
      <vt:variant>
        <vt:lpwstr>_Toc150032928</vt:lpwstr>
      </vt:variant>
      <vt:variant>
        <vt:i4>1179707</vt:i4>
      </vt:variant>
      <vt:variant>
        <vt:i4>530</vt:i4>
      </vt:variant>
      <vt:variant>
        <vt:i4>0</vt:i4>
      </vt:variant>
      <vt:variant>
        <vt:i4>5</vt:i4>
      </vt:variant>
      <vt:variant>
        <vt:lpwstr/>
      </vt:variant>
      <vt:variant>
        <vt:lpwstr>_Toc150032927</vt:lpwstr>
      </vt:variant>
      <vt:variant>
        <vt:i4>1179707</vt:i4>
      </vt:variant>
      <vt:variant>
        <vt:i4>524</vt:i4>
      </vt:variant>
      <vt:variant>
        <vt:i4>0</vt:i4>
      </vt:variant>
      <vt:variant>
        <vt:i4>5</vt:i4>
      </vt:variant>
      <vt:variant>
        <vt:lpwstr/>
      </vt:variant>
      <vt:variant>
        <vt:lpwstr>_Toc150032926</vt:lpwstr>
      </vt:variant>
      <vt:variant>
        <vt:i4>1179707</vt:i4>
      </vt:variant>
      <vt:variant>
        <vt:i4>518</vt:i4>
      </vt:variant>
      <vt:variant>
        <vt:i4>0</vt:i4>
      </vt:variant>
      <vt:variant>
        <vt:i4>5</vt:i4>
      </vt:variant>
      <vt:variant>
        <vt:lpwstr/>
      </vt:variant>
      <vt:variant>
        <vt:lpwstr>_Toc150032925</vt:lpwstr>
      </vt:variant>
      <vt:variant>
        <vt:i4>1179707</vt:i4>
      </vt:variant>
      <vt:variant>
        <vt:i4>512</vt:i4>
      </vt:variant>
      <vt:variant>
        <vt:i4>0</vt:i4>
      </vt:variant>
      <vt:variant>
        <vt:i4>5</vt:i4>
      </vt:variant>
      <vt:variant>
        <vt:lpwstr/>
      </vt:variant>
      <vt:variant>
        <vt:lpwstr>_Toc150032924</vt:lpwstr>
      </vt:variant>
      <vt:variant>
        <vt:i4>1179707</vt:i4>
      </vt:variant>
      <vt:variant>
        <vt:i4>506</vt:i4>
      </vt:variant>
      <vt:variant>
        <vt:i4>0</vt:i4>
      </vt:variant>
      <vt:variant>
        <vt:i4>5</vt:i4>
      </vt:variant>
      <vt:variant>
        <vt:lpwstr/>
      </vt:variant>
      <vt:variant>
        <vt:lpwstr>_Toc150032923</vt:lpwstr>
      </vt:variant>
      <vt:variant>
        <vt:i4>1179707</vt:i4>
      </vt:variant>
      <vt:variant>
        <vt:i4>500</vt:i4>
      </vt:variant>
      <vt:variant>
        <vt:i4>0</vt:i4>
      </vt:variant>
      <vt:variant>
        <vt:i4>5</vt:i4>
      </vt:variant>
      <vt:variant>
        <vt:lpwstr/>
      </vt:variant>
      <vt:variant>
        <vt:lpwstr>_Toc150032922</vt:lpwstr>
      </vt:variant>
      <vt:variant>
        <vt:i4>1179707</vt:i4>
      </vt:variant>
      <vt:variant>
        <vt:i4>494</vt:i4>
      </vt:variant>
      <vt:variant>
        <vt:i4>0</vt:i4>
      </vt:variant>
      <vt:variant>
        <vt:i4>5</vt:i4>
      </vt:variant>
      <vt:variant>
        <vt:lpwstr/>
      </vt:variant>
      <vt:variant>
        <vt:lpwstr>_Toc150032921</vt:lpwstr>
      </vt:variant>
      <vt:variant>
        <vt:i4>1179707</vt:i4>
      </vt:variant>
      <vt:variant>
        <vt:i4>488</vt:i4>
      </vt:variant>
      <vt:variant>
        <vt:i4>0</vt:i4>
      </vt:variant>
      <vt:variant>
        <vt:i4>5</vt:i4>
      </vt:variant>
      <vt:variant>
        <vt:lpwstr/>
      </vt:variant>
      <vt:variant>
        <vt:lpwstr>_Toc150032920</vt:lpwstr>
      </vt:variant>
      <vt:variant>
        <vt:i4>1114171</vt:i4>
      </vt:variant>
      <vt:variant>
        <vt:i4>482</vt:i4>
      </vt:variant>
      <vt:variant>
        <vt:i4>0</vt:i4>
      </vt:variant>
      <vt:variant>
        <vt:i4>5</vt:i4>
      </vt:variant>
      <vt:variant>
        <vt:lpwstr/>
      </vt:variant>
      <vt:variant>
        <vt:lpwstr>_Toc150032919</vt:lpwstr>
      </vt:variant>
      <vt:variant>
        <vt:i4>1114171</vt:i4>
      </vt:variant>
      <vt:variant>
        <vt:i4>476</vt:i4>
      </vt:variant>
      <vt:variant>
        <vt:i4>0</vt:i4>
      </vt:variant>
      <vt:variant>
        <vt:i4>5</vt:i4>
      </vt:variant>
      <vt:variant>
        <vt:lpwstr/>
      </vt:variant>
      <vt:variant>
        <vt:lpwstr>_Toc150032918</vt:lpwstr>
      </vt:variant>
      <vt:variant>
        <vt:i4>1114171</vt:i4>
      </vt:variant>
      <vt:variant>
        <vt:i4>470</vt:i4>
      </vt:variant>
      <vt:variant>
        <vt:i4>0</vt:i4>
      </vt:variant>
      <vt:variant>
        <vt:i4>5</vt:i4>
      </vt:variant>
      <vt:variant>
        <vt:lpwstr/>
      </vt:variant>
      <vt:variant>
        <vt:lpwstr>_Toc150032917</vt:lpwstr>
      </vt:variant>
      <vt:variant>
        <vt:i4>1114171</vt:i4>
      </vt:variant>
      <vt:variant>
        <vt:i4>464</vt:i4>
      </vt:variant>
      <vt:variant>
        <vt:i4>0</vt:i4>
      </vt:variant>
      <vt:variant>
        <vt:i4>5</vt:i4>
      </vt:variant>
      <vt:variant>
        <vt:lpwstr/>
      </vt:variant>
      <vt:variant>
        <vt:lpwstr>_Toc150032916</vt:lpwstr>
      </vt:variant>
      <vt:variant>
        <vt:i4>1114171</vt:i4>
      </vt:variant>
      <vt:variant>
        <vt:i4>458</vt:i4>
      </vt:variant>
      <vt:variant>
        <vt:i4>0</vt:i4>
      </vt:variant>
      <vt:variant>
        <vt:i4>5</vt:i4>
      </vt:variant>
      <vt:variant>
        <vt:lpwstr/>
      </vt:variant>
      <vt:variant>
        <vt:lpwstr>_Toc150032915</vt:lpwstr>
      </vt:variant>
      <vt:variant>
        <vt:i4>1114171</vt:i4>
      </vt:variant>
      <vt:variant>
        <vt:i4>452</vt:i4>
      </vt:variant>
      <vt:variant>
        <vt:i4>0</vt:i4>
      </vt:variant>
      <vt:variant>
        <vt:i4>5</vt:i4>
      </vt:variant>
      <vt:variant>
        <vt:lpwstr/>
      </vt:variant>
      <vt:variant>
        <vt:lpwstr>_Toc150032914</vt:lpwstr>
      </vt:variant>
      <vt:variant>
        <vt:i4>1114171</vt:i4>
      </vt:variant>
      <vt:variant>
        <vt:i4>446</vt:i4>
      </vt:variant>
      <vt:variant>
        <vt:i4>0</vt:i4>
      </vt:variant>
      <vt:variant>
        <vt:i4>5</vt:i4>
      </vt:variant>
      <vt:variant>
        <vt:lpwstr/>
      </vt:variant>
      <vt:variant>
        <vt:lpwstr>_Toc150032913</vt:lpwstr>
      </vt:variant>
      <vt:variant>
        <vt:i4>1114171</vt:i4>
      </vt:variant>
      <vt:variant>
        <vt:i4>440</vt:i4>
      </vt:variant>
      <vt:variant>
        <vt:i4>0</vt:i4>
      </vt:variant>
      <vt:variant>
        <vt:i4>5</vt:i4>
      </vt:variant>
      <vt:variant>
        <vt:lpwstr/>
      </vt:variant>
      <vt:variant>
        <vt:lpwstr>_Toc150032912</vt:lpwstr>
      </vt:variant>
      <vt:variant>
        <vt:i4>1114171</vt:i4>
      </vt:variant>
      <vt:variant>
        <vt:i4>434</vt:i4>
      </vt:variant>
      <vt:variant>
        <vt:i4>0</vt:i4>
      </vt:variant>
      <vt:variant>
        <vt:i4>5</vt:i4>
      </vt:variant>
      <vt:variant>
        <vt:lpwstr/>
      </vt:variant>
      <vt:variant>
        <vt:lpwstr>_Toc150032911</vt:lpwstr>
      </vt:variant>
      <vt:variant>
        <vt:i4>1114171</vt:i4>
      </vt:variant>
      <vt:variant>
        <vt:i4>428</vt:i4>
      </vt:variant>
      <vt:variant>
        <vt:i4>0</vt:i4>
      </vt:variant>
      <vt:variant>
        <vt:i4>5</vt:i4>
      </vt:variant>
      <vt:variant>
        <vt:lpwstr/>
      </vt:variant>
      <vt:variant>
        <vt:lpwstr>_Toc150032910</vt:lpwstr>
      </vt:variant>
      <vt:variant>
        <vt:i4>1048635</vt:i4>
      </vt:variant>
      <vt:variant>
        <vt:i4>422</vt:i4>
      </vt:variant>
      <vt:variant>
        <vt:i4>0</vt:i4>
      </vt:variant>
      <vt:variant>
        <vt:i4>5</vt:i4>
      </vt:variant>
      <vt:variant>
        <vt:lpwstr/>
      </vt:variant>
      <vt:variant>
        <vt:lpwstr>_Toc150032909</vt:lpwstr>
      </vt:variant>
      <vt:variant>
        <vt:i4>1048635</vt:i4>
      </vt:variant>
      <vt:variant>
        <vt:i4>416</vt:i4>
      </vt:variant>
      <vt:variant>
        <vt:i4>0</vt:i4>
      </vt:variant>
      <vt:variant>
        <vt:i4>5</vt:i4>
      </vt:variant>
      <vt:variant>
        <vt:lpwstr/>
      </vt:variant>
      <vt:variant>
        <vt:lpwstr>_Toc150032908</vt:lpwstr>
      </vt:variant>
      <vt:variant>
        <vt:i4>1048635</vt:i4>
      </vt:variant>
      <vt:variant>
        <vt:i4>410</vt:i4>
      </vt:variant>
      <vt:variant>
        <vt:i4>0</vt:i4>
      </vt:variant>
      <vt:variant>
        <vt:i4>5</vt:i4>
      </vt:variant>
      <vt:variant>
        <vt:lpwstr/>
      </vt:variant>
      <vt:variant>
        <vt:lpwstr>_Toc150032907</vt:lpwstr>
      </vt:variant>
      <vt:variant>
        <vt:i4>1048635</vt:i4>
      </vt:variant>
      <vt:variant>
        <vt:i4>404</vt:i4>
      </vt:variant>
      <vt:variant>
        <vt:i4>0</vt:i4>
      </vt:variant>
      <vt:variant>
        <vt:i4>5</vt:i4>
      </vt:variant>
      <vt:variant>
        <vt:lpwstr/>
      </vt:variant>
      <vt:variant>
        <vt:lpwstr>_Toc150032906</vt:lpwstr>
      </vt:variant>
      <vt:variant>
        <vt:i4>1048635</vt:i4>
      </vt:variant>
      <vt:variant>
        <vt:i4>398</vt:i4>
      </vt:variant>
      <vt:variant>
        <vt:i4>0</vt:i4>
      </vt:variant>
      <vt:variant>
        <vt:i4>5</vt:i4>
      </vt:variant>
      <vt:variant>
        <vt:lpwstr/>
      </vt:variant>
      <vt:variant>
        <vt:lpwstr>_Toc150032905</vt:lpwstr>
      </vt:variant>
      <vt:variant>
        <vt:i4>1048635</vt:i4>
      </vt:variant>
      <vt:variant>
        <vt:i4>392</vt:i4>
      </vt:variant>
      <vt:variant>
        <vt:i4>0</vt:i4>
      </vt:variant>
      <vt:variant>
        <vt:i4>5</vt:i4>
      </vt:variant>
      <vt:variant>
        <vt:lpwstr/>
      </vt:variant>
      <vt:variant>
        <vt:lpwstr>_Toc150032904</vt:lpwstr>
      </vt:variant>
      <vt:variant>
        <vt:i4>1048635</vt:i4>
      </vt:variant>
      <vt:variant>
        <vt:i4>386</vt:i4>
      </vt:variant>
      <vt:variant>
        <vt:i4>0</vt:i4>
      </vt:variant>
      <vt:variant>
        <vt:i4>5</vt:i4>
      </vt:variant>
      <vt:variant>
        <vt:lpwstr/>
      </vt:variant>
      <vt:variant>
        <vt:lpwstr>_Toc150032903</vt:lpwstr>
      </vt:variant>
      <vt:variant>
        <vt:i4>1048635</vt:i4>
      </vt:variant>
      <vt:variant>
        <vt:i4>380</vt:i4>
      </vt:variant>
      <vt:variant>
        <vt:i4>0</vt:i4>
      </vt:variant>
      <vt:variant>
        <vt:i4>5</vt:i4>
      </vt:variant>
      <vt:variant>
        <vt:lpwstr/>
      </vt:variant>
      <vt:variant>
        <vt:lpwstr>_Toc150032902</vt:lpwstr>
      </vt:variant>
      <vt:variant>
        <vt:i4>1048635</vt:i4>
      </vt:variant>
      <vt:variant>
        <vt:i4>374</vt:i4>
      </vt:variant>
      <vt:variant>
        <vt:i4>0</vt:i4>
      </vt:variant>
      <vt:variant>
        <vt:i4>5</vt:i4>
      </vt:variant>
      <vt:variant>
        <vt:lpwstr/>
      </vt:variant>
      <vt:variant>
        <vt:lpwstr>_Toc150032901</vt:lpwstr>
      </vt:variant>
      <vt:variant>
        <vt:i4>1048635</vt:i4>
      </vt:variant>
      <vt:variant>
        <vt:i4>368</vt:i4>
      </vt:variant>
      <vt:variant>
        <vt:i4>0</vt:i4>
      </vt:variant>
      <vt:variant>
        <vt:i4>5</vt:i4>
      </vt:variant>
      <vt:variant>
        <vt:lpwstr/>
      </vt:variant>
      <vt:variant>
        <vt:lpwstr>_Toc150032900</vt:lpwstr>
      </vt:variant>
      <vt:variant>
        <vt:i4>1638458</vt:i4>
      </vt:variant>
      <vt:variant>
        <vt:i4>362</vt:i4>
      </vt:variant>
      <vt:variant>
        <vt:i4>0</vt:i4>
      </vt:variant>
      <vt:variant>
        <vt:i4>5</vt:i4>
      </vt:variant>
      <vt:variant>
        <vt:lpwstr/>
      </vt:variant>
      <vt:variant>
        <vt:lpwstr>_Toc150032899</vt:lpwstr>
      </vt:variant>
      <vt:variant>
        <vt:i4>1638458</vt:i4>
      </vt:variant>
      <vt:variant>
        <vt:i4>356</vt:i4>
      </vt:variant>
      <vt:variant>
        <vt:i4>0</vt:i4>
      </vt:variant>
      <vt:variant>
        <vt:i4>5</vt:i4>
      </vt:variant>
      <vt:variant>
        <vt:lpwstr/>
      </vt:variant>
      <vt:variant>
        <vt:lpwstr>_Toc150032898</vt:lpwstr>
      </vt:variant>
      <vt:variant>
        <vt:i4>1638458</vt:i4>
      </vt:variant>
      <vt:variant>
        <vt:i4>350</vt:i4>
      </vt:variant>
      <vt:variant>
        <vt:i4>0</vt:i4>
      </vt:variant>
      <vt:variant>
        <vt:i4>5</vt:i4>
      </vt:variant>
      <vt:variant>
        <vt:lpwstr/>
      </vt:variant>
      <vt:variant>
        <vt:lpwstr>_Toc150032897</vt:lpwstr>
      </vt:variant>
      <vt:variant>
        <vt:i4>1638458</vt:i4>
      </vt:variant>
      <vt:variant>
        <vt:i4>344</vt:i4>
      </vt:variant>
      <vt:variant>
        <vt:i4>0</vt:i4>
      </vt:variant>
      <vt:variant>
        <vt:i4>5</vt:i4>
      </vt:variant>
      <vt:variant>
        <vt:lpwstr/>
      </vt:variant>
      <vt:variant>
        <vt:lpwstr>_Toc150032896</vt:lpwstr>
      </vt:variant>
      <vt:variant>
        <vt:i4>1638458</vt:i4>
      </vt:variant>
      <vt:variant>
        <vt:i4>338</vt:i4>
      </vt:variant>
      <vt:variant>
        <vt:i4>0</vt:i4>
      </vt:variant>
      <vt:variant>
        <vt:i4>5</vt:i4>
      </vt:variant>
      <vt:variant>
        <vt:lpwstr/>
      </vt:variant>
      <vt:variant>
        <vt:lpwstr>_Toc150032895</vt:lpwstr>
      </vt:variant>
      <vt:variant>
        <vt:i4>1638458</vt:i4>
      </vt:variant>
      <vt:variant>
        <vt:i4>332</vt:i4>
      </vt:variant>
      <vt:variant>
        <vt:i4>0</vt:i4>
      </vt:variant>
      <vt:variant>
        <vt:i4>5</vt:i4>
      </vt:variant>
      <vt:variant>
        <vt:lpwstr/>
      </vt:variant>
      <vt:variant>
        <vt:lpwstr>_Toc150032894</vt:lpwstr>
      </vt:variant>
      <vt:variant>
        <vt:i4>1638458</vt:i4>
      </vt:variant>
      <vt:variant>
        <vt:i4>326</vt:i4>
      </vt:variant>
      <vt:variant>
        <vt:i4>0</vt:i4>
      </vt:variant>
      <vt:variant>
        <vt:i4>5</vt:i4>
      </vt:variant>
      <vt:variant>
        <vt:lpwstr/>
      </vt:variant>
      <vt:variant>
        <vt:lpwstr>_Toc150032893</vt:lpwstr>
      </vt:variant>
      <vt:variant>
        <vt:i4>1638458</vt:i4>
      </vt:variant>
      <vt:variant>
        <vt:i4>320</vt:i4>
      </vt:variant>
      <vt:variant>
        <vt:i4>0</vt:i4>
      </vt:variant>
      <vt:variant>
        <vt:i4>5</vt:i4>
      </vt:variant>
      <vt:variant>
        <vt:lpwstr/>
      </vt:variant>
      <vt:variant>
        <vt:lpwstr>_Toc150032892</vt:lpwstr>
      </vt:variant>
      <vt:variant>
        <vt:i4>1638458</vt:i4>
      </vt:variant>
      <vt:variant>
        <vt:i4>314</vt:i4>
      </vt:variant>
      <vt:variant>
        <vt:i4>0</vt:i4>
      </vt:variant>
      <vt:variant>
        <vt:i4>5</vt:i4>
      </vt:variant>
      <vt:variant>
        <vt:lpwstr/>
      </vt:variant>
      <vt:variant>
        <vt:lpwstr>_Toc150032891</vt:lpwstr>
      </vt:variant>
      <vt:variant>
        <vt:i4>1638458</vt:i4>
      </vt:variant>
      <vt:variant>
        <vt:i4>308</vt:i4>
      </vt:variant>
      <vt:variant>
        <vt:i4>0</vt:i4>
      </vt:variant>
      <vt:variant>
        <vt:i4>5</vt:i4>
      </vt:variant>
      <vt:variant>
        <vt:lpwstr/>
      </vt:variant>
      <vt:variant>
        <vt:lpwstr>_Toc150032890</vt:lpwstr>
      </vt:variant>
      <vt:variant>
        <vt:i4>1572922</vt:i4>
      </vt:variant>
      <vt:variant>
        <vt:i4>302</vt:i4>
      </vt:variant>
      <vt:variant>
        <vt:i4>0</vt:i4>
      </vt:variant>
      <vt:variant>
        <vt:i4>5</vt:i4>
      </vt:variant>
      <vt:variant>
        <vt:lpwstr/>
      </vt:variant>
      <vt:variant>
        <vt:lpwstr>_Toc150032889</vt:lpwstr>
      </vt:variant>
      <vt:variant>
        <vt:i4>1572922</vt:i4>
      </vt:variant>
      <vt:variant>
        <vt:i4>296</vt:i4>
      </vt:variant>
      <vt:variant>
        <vt:i4>0</vt:i4>
      </vt:variant>
      <vt:variant>
        <vt:i4>5</vt:i4>
      </vt:variant>
      <vt:variant>
        <vt:lpwstr/>
      </vt:variant>
      <vt:variant>
        <vt:lpwstr>_Toc150032888</vt:lpwstr>
      </vt:variant>
      <vt:variant>
        <vt:i4>1572922</vt:i4>
      </vt:variant>
      <vt:variant>
        <vt:i4>290</vt:i4>
      </vt:variant>
      <vt:variant>
        <vt:i4>0</vt:i4>
      </vt:variant>
      <vt:variant>
        <vt:i4>5</vt:i4>
      </vt:variant>
      <vt:variant>
        <vt:lpwstr/>
      </vt:variant>
      <vt:variant>
        <vt:lpwstr>_Toc150032887</vt:lpwstr>
      </vt:variant>
      <vt:variant>
        <vt:i4>1572922</vt:i4>
      </vt:variant>
      <vt:variant>
        <vt:i4>284</vt:i4>
      </vt:variant>
      <vt:variant>
        <vt:i4>0</vt:i4>
      </vt:variant>
      <vt:variant>
        <vt:i4>5</vt:i4>
      </vt:variant>
      <vt:variant>
        <vt:lpwstr/>
      </vt:variant>
      <vt:variant>
        <vt:lpwstr>_Toc150032886</vt:lpwstr>
      </vt:variant>
      <vt:variant>
        <vt:i4>1572922</vt:i4>
      </vt:variant>
      <vt:variant>
        <vt:i4>278</vt:i4>
      </vt:variant>
      <vt:variant>
        <vt:i4>0</vt:i4>
      </vt:variant>
      <vt:variant>
        <vt:i4>5</vt:i4>
      </vt:variant>
      <vt:variant>
        <vt:lpwstr/>
      </vt:variant>
      <vt:variant>
        <vt:lpwstr>_Toc150032885</vt:lpwstr>
      </vt:variant>
      <vt:variant>
        <vt:i4>1572922</vt:i4>
      </vt:variant>
      <vt:variant>
        <vt:i4>272</vt:i4>
      </vt:variant>
      <vt:variant>
        <vt:i4>0</vt:i4>
      </vt:variant>
      <vt:variant>
        <vt:i4>5</vt:i4>
      </vt:variant>
      <vt:variant>
        <vt:lpwstr/>
      </vt:variant>
      <vt:variant>
        <vt:lpwstr>_Toc150032884</vt:lpwstr>
      </vt:variant>
      <vt:variant>
        <vt:i4>1572922</vt:i4>
      </vt:variant>
      <vt:variant>
        <vt:i4>266</vt:i4>
      </vt:variant>
      <vt:variant>
        <vt:i4>0</vt:i4>
      </vt:variant>
      <vt:variant>
        <vt:i4>5</vt:i4>
      </vt:variant>
      <vt:variant>
        <vt:lpwstr/>
      </vt:variant>
      <vt:variant>
        <vt:lpwstr>_Toc150032883</vt:lpwstr>
      </vt:variant>
      <vt:variant>
        <vt:i4>1507386</vt:i4>
      </vt:variant>
      <vt:variant>
        <vt:i4>260</vt:i4>
      </vt:variant>
      <vt:variant>
        <vt:i4>0</vt:i4>
      </vt:variant>
      <vt:variant>
        <vt:i4>5</vt:i4>
      </vt:variant>
      <vt:variant>
        <vt:lpwstr/>
      </vt:variant>
      <vt:variant>
        <vt:lpwstr>_Toc150032878</vt:lpwstr>
      </vt:variant>
      <vt:variant>
        <vt:i4>1507386</vt:i4>
      </vt:variant>
      <vt:variant>
        <vt:i4>254</vt:i4>
      </vt:variant>
      <vt:variant>
        <vt:i4>0</vt:i4>
      </vt:variant>
      <vt:variant>
        <vt:i4>5</vt:i4>
      </vt:variant>
      <vt:variant>
        <vt:lpwstr/>
      </vt:variant>
      <vt:variant>
        <vt:lpwstr>_Toc150032877</vt:lpwstr>
      </vt:variant>
      <vt:variant>
        <vt:i4>1507386</vt:i4>
      </vt:variant>
      <vt:variant>
        <vt:i4>248</vt:i4>
      </vt:variant>
      <vt:variant>
        <vt:i4>0</vt:i4>
      </vt:variant>
      <vt:variant>
        <vt:i4>5</vt:i4>
      </vt:variant>
      <vt:variant>
        <vt:lpwstr/>
      </vt:variant>
      <vt:variant>
        <vt:lpwstr>_Toc150032876</vt:lpwstr>
      </vt:variant>
      <vt:variant>
        <vt:i4>1507386</vt:i4>
      </vt:variant>
      <vt:variant>
        <vt:i4>242</vt:i4>
      </vt:variant>
      <vt:variant>
        <vt:i4>0</vt:i4>
      </vt:variant>
      <vt:variant>
        <vt:i4>5</vt:i4>
      </vt:variant>
      <vt:variant>
        <vt:lpwstr/>
      </vt:variant>
      <vt:variant>
        <vt:lpwstr>_Toc150032875</vt:lpwstr>
      </vt:variant>
      <vt:variant>
        <vt:i4>1507386</vt:i4>
      </vt:variant>
      <vt:variant>
        <vt:i4>236</vt:i4>
      </vt:variant>
      <vt:variant>
        <vt:i4>0</vt:i4>
      </vt:variant>
      <vt:variant>
        <vt:i4>5</vt:i4>
      </vt:variant>
      <vt:variant>
        <vt:lpwstr/>
      </vt:variant>
      <vt:variant>
        <vt:lpwstr>_Toc150032874</vt:lpwstr>
      </vt:variant>
      <vt:variant>
        <vt:i4>1507386</vt:i4>
      </vt:variant>
      <vt:variant>
        <vt:i4>230</vt:i4>
      </vt:variant>
      <vt:variant>
        <vt:i4>0</vt:i4>
      </vt:variant>
      <vt:variant>
        <vt:i4>5</vt:i4>
      </vt:variant>
      <vt:variant>
        <vt:lpwstr/>
      </vt:variant>
      <vt:variant>
        <vt:lpwstr>_Toc150032873</vt:lpwstr>
      </vt:variant>
      <vt:variant>
        <vt:i4>1507386</vt:i4>
      </vt:variant>
      <vt:variant>
        <vt:i4>224</vt:i4>
      </vt:variant>
      <vt:variant>
        <vt:i4>0</vt:i4>
      </vt:variant>
      <vt:variant>
        <vt:i4>5</vt:i4>
      </vt:variant>
      <vt:variant>
        <vt:lpwstr/>
      </vt:variant>
      <vt:variant>
        <vt:lpwstr>_Toc150032872</vt:lpwstr>
      </vt:variant>
      <vt:variant>
        <vt:i4>1507386</vt:i4>
      </vt:variant>
      <vt:variant>
        <vt:i4>218</vt:i4>
      </vt:variant>
      <vt:variant>
        <vt:i4>0</vt:i4>
      </vt:variant>
      <vt:variant>
        <vt:i4>5</vt:i4>
      </vt:variant>
      <vt:variant>
        <vt:lpwstr/>
      </vt:variant>
      <vt:variant>
        <vt:lpwstr>_Toc150032871</vt:lpwstr>
      </vt:variant>
      <vt:variant>
        <vt:i4>1507386</vt:i4>
      </vt:variant>
      <vt:variant>
        <vt:i4>212</vt:i4>
      </vt:variant>
      <vt:variant>
        <vt:i4>0</vt:i4>
      </vt:variant>
      <vt:variant>
        <vt:i4>5</vt:i4>
      </vt:variant>
      <vt:variant>
        <vt:lpwstr/>
      </vt:variant>
      <vt:variant>
        <vt:lpwstr>_Toc150032870</vt:lpwstr>
      </vt:variant>
      <vt:variant>
        <vt:i4>1441850</vt:i4>
      </vt:variant>
      <vt:variant>
        <vt:i4>206</vt:i4>
      </vt:variant>
      <vt:variant>
        <vt:i4>0</vt:i4>
      </vt:variant>
      <vt:variant>
        <vt:i4>5</vt:i4>
      </vt:variant>
      <vt:variant>
        <vt:lpwstr/>
      </vt:variant>
      <vt:variant>
        <vt:lpwstr>_Toc150032869</vt:lpwstr>
      </vt:variant>
      <vt:variant>
        <vt:i4>1441850</vt:i4>
      </vt:variant>
      <vt:variant>
        <vt:i4>200</vt:i4>
      </vt:variant>
      <vt:variant>
        <vt:i4>0</vt:i4>
      </vt:variant>
      <vt:variant>
        <vt:i4>5</vt:i4>
      </vt:variant>
      <vt:variant>
        <vt:lpwstr/>
      </vt:variant>
      <vt:variant>
        <vt:lpwstr>_Toc150032868</vt:lpwstr>
      </vt:variant>
      <vt:variant>
        <vt:i4>1441850</vt:i4>
      </vt:variant>
      <vt:variant>
        <vt:i4>194</vt:i4>
      </vt:variant>
      <vt:variant>
        <vt:i4>0</vt:i4>
      </vt:variant>
      <vt:variant>
        <vt:i4>5</vt:i4>
      </vt:variant>
      <vt:variant>
        <vt:lpwstr/>
      </vt:variant>
      <vt:variant>
        <vt:lpwstr>_Toc150032867</vt:lpwstr>
      </vt:variant>
      <vt:variant>
        <vt:i4>1441850</vt:i4>
      </vt:variant>
      <vt:variant>
        <vt:i4>188</vt:i4>
      </vt:variant>
      <vt:variant>
        <vt:i4>0</vt:i4>
      </vt:variant>
      <vt:variant>
        <vt:i4>5</vt:i4>
      </vt:variant>
      <vt:variant>
        <vt:lpwstr/>
      </vt:variant>
      <vt:variant>
        <vt:lpwstr>_Toc150032866</vt:lpwstr>
      </vt:variant>
      <vt:variant>
        <vt:i4>1441850</vt:i4>
      </vt:variant>
      <vt:variant>
        <vt:i4>182</vt:i4>
      </vt:variant>
      <vt:variant>
        <vt:i4>0</vt:i4>
      </vt:variant>
      <vt:variant>
        <vt:i4>5</vt:i4>
      </vt:variant>
      <vt:variant>
        <vt:lpwstr/>
      </vt:variant>
      <vt:variant>
        <vt:lpwstr>_Toc150032865</vt:lpwstr>
      </vt:variant>
      <vt:variant>
        <vt:i4>1441850</vt:i4>
      </vt:variant>
      <vt:variant>
        <vt:i4>176</vt:i4>
      </vt:variant>
      <vt:variant>
        <vt:i4>0</vt:i4>
      </vt:variant>
      <vt:variant>
        <vt:i4>5</vt:i4>
      </vt:variant>
      <vt:variant>
        <vt:lpwstr/>
      </vt:variant>
      <vt:variant>
        <vt:lpwstr>_Toc150032864</vt:lpwstr>
      </vt:variant>
      <vt:variant>
        <vt:i4>1441850</vt:i4>
      </vt:variant>
      <vt:variant>
        <vt:i4>170</vt:i4>
      </vt:variant>
      <vt:variant>
        <vt:i4>0</vt:i4>
      </vt:variant>
      <vt:variant>
        <vt:i4>5</vt:i4>
      </vt:variant>
      <vt:variant>
        <vt:lpwstr/>
      </vt:variant>
      <vt:variant>
        <vt:lpwstr>_Toc150032863</vt:lpwstr>
      </vt:variant>
      <vt:variant>
        <vt:i4>1441850</vt:i4>
      </vt:variant>
      <vt:variant>
        <vt:i4>164</vt:i4>
      </vt:variant>
      <vt:variant>
        <vt:i4>0</vt:i4>
      </vt:variant>
      <vt:variant>
        <vt:i4>5</vt:i4>
      </vt:variant>
      <vt:variant>
        <vt:lpwstr/>
      </vt:variant>
      <vt:variant>
        <vt:lpwstr>_Toc150032862</vt:lpwstr>
      </vt:variant>
      <vt:variant>
        <vt:i4>1441850</vt:i4>
      </vt:variant>
      <vt:variant>
        <vt:i4>158</vt:i4>
      </vt:variant>
      <vt:variant>
        <vt:i4>0</vt:i4>
      </vt:variant>
      <vt:variant>
        <vt:i4>5</vt:i4>
      </vt:variant>
      <vt:variant>
        <vt:lpwstr/>
      </vt:variant>
      <vt:variant>
        <vt:lpwstr>_Toc150032861</vt:lpwstr>
      </vt:variant>
      <vt:variant>
        <vt:i4>1441850</vt:i4>
      </vt:variant>
      <vt:variant>
        <vt:i4>152</vt:i4>
      </vt:variant>
      <vt:variant>
        <vt:i4>0</vt:i4>
      </vt:variant>
      <vt:variant>
        <vt:i4>5</vt:i4>
      </vt:variant>
      <vt:variant>
        <vt:lpwstr/>
      </vt:variant>
      <vt:variant>
        <vt:lpwstr>_Toc150032860</vt:lpwstr>
      </vt:variant>
      <vt:variant>
        <vt:i4>1376314</vt:i4>
      </vt:variant>
      <vt:variant>
        <vt:i4>146</vt:i4>
      </vt:variant>
      <vt:variant>
        <vt:i4>0</vt:i4>
      </vt:variant>
      <vt:variant>
        <vt:i4>5</vt:i4>
      </vt:variant>
      <vt:variant>
        <vt:lpwstr/>
      </vt:variant>
      <vt:variant>
        <vt:lpwstr>_Toc150032859</vt:lpwstr>
      </vt:variant>
      <vt:variant>
        <vt:i4>1376314</vt:i4>
      </vt:variant>
      <vt:variant>
        <vt:i4>140</vt:i4>
      </vt:variant>
      <vt:variant>
        <vt:i4>0</vt:i4>
      </vt:variant>
      <vt:variant>
        <vt:i4>5</vt:i4>
      </vt:variant>
      <vt:variant>
        <vt:lpwstr/>
      </vt:variant>
      <vt:variant>
        <vt:lpwstr>_Toc150032858</vt:lpwstr>
      </vt:variant>
      <vt:variant>
        <vt:i4>1376314</vt:i4>
      </vt:variant>
      <vt:variant>
        <vt:i4>134</vt:i4>
      </vt:variant>
      <vt:variant>
        <vt:i4>0</vt:i4>
      </vt:variant>
      <vt:variant>
        <vt:i4>5</vt:i4>
      </vt:variant>
      <vt:variant>
        <vt:lpwstr/>
      </vt:variant>
      <vt:variant>
        <vt:lpwstr>_Toc150032857</vt:lpwstr>
      </vt:variant>
      <vt:variant>
        <vt:i4>1376314</vt:i4>
      </vt:variant>
      <vt:variant>
        <vt:i4>128</vt:i4>
      </vt:variant>
      <vt:variant>
        <vt:i4>0</vt:i4>
      </vt:variant>
      <vt:variant>
        <vt:i4>5</vt:i4>
      </vt:variant>
      <vt:variant>
        <vt:lpwstr/>
      </vt:variant>
      <vt:variant>
        <vt:lpwstr>_Toc150032856</vt:lpwstr>
      </vt:variant>
      <vt:variant>
        <vt:i4>1376314</vt:i4>
      </vt:variant>
      <vt:variant>
        <vt:i4>122</vt:i4>
      </vt:variant>
      <vt:variant>
        <vt:i4>0</vt:i4>
      </vt:variant>
      <vt:variant>
        <vt:i4>5</vt:i4>
      </vt:variant>
      <vt:variant>
        <vt:lpwstr/>
      </vt:variant>
      <vt:variant>
        <vt:lpwstr>_Toc150032855</vt:lpwstr>
      </vt:variant>
      <vt:variant>
        <vt:i4>1376314</vt:i4>
      </vt:variant>
      <vt:variant>
        <vt:i4>116</vt:i4>
      </vt:variant>
      <vt:variant>
        <vt:i4>0</vt:i4>
      </vt:variant>
      <vt:variant>
        <vt:i4>5</vt:i4>
      </vt:variant>
      <vt:variant>
        <vt:lpwstr/>
      </vt:variant>
      <vt:variant>
        <vt:lpwstr>_Toc150032854</vt:lpwstr>
      </vt:variant>
      <vt:variant>
        <vt:i4>1376314</vt:i4>
      </vt:variant>
      <vt:variant>
        <vt:i4>110</vt:i4>
      </vt:variant>
      <vt:variant>
        <vt:i4>0</vt:i4>
      </vt:variant>
      <vt:variant>
        <vt:i4>5</vt:i4>
      </vt:variant>
      <vt:variant>
        <vt:lpwstr/>
      </vt:variant>
      <vt:variant>
        <vt:lpwstr>_Toc150032853</vt:lpwstr>
      </vt:variant>
      <vt:variant>
        <vt:i4>1376314</vt:i4>
      </vt:variant>
      <vt:variant>
        <vt:i4>104</vt:i4>
      </vt:variant>
      <vt:variant>
        <vt:i4>0</vt:i4>
      </vt:variant>
      <vt:variant>
        <vt:i4>5</vt:i4>
      </vt:variant>
      <vt:variant>
        <vt:lpwstr/>
      </vt:variant>
      <vt:variant>
        <vt:lpwstr>_Toc150032852</vt:lpwstr>
      </vt:variant>
      <vt:variant>
        <vt:i4>1376314</vt:i4>
      </vt:variant>
      <vt:variant>
        <vt:i4>98</vt:i4>
      </vt:variant>
      <vt:variant>
        <vt:i4>0</vt:i4>
      </vt:variant>
      <vt:variant>
        <vt:i4>5</vt:i4>
      </vt:variant>
      <vt:variant>
        <vt:lpwstr/>
      </vt:variant>
      <vt:variant>
        <vt:lpwstr>_Toc150032851</vt:lpwstr>
      </vt:variant>
      <vt:variant>
        <vt:i4>1376314</vt:i4>
      </vt:variant>
      <vt:variant>
        <vt:i4>92</vt:i4>
      </vt:variant>
      <vt:variant>
        <vt:i4>0</vt:i4>
      </vt:variant>
      <vt:variant>
        <vt:i4>5</vt:i4>
      </vt:variant>
      <vt:variant>
        <vt:lpwstr/>
      </vt:variant>
      <vt:variant>
        <vt:lpwstr>_Toc150032850</vt:lpwstr>
      </vt:variant>
      <vt:variant>
        <vt:i4>1310778</vt:i4>
      </vt:variant>
      <vt:variant>
        <vt:i4>86</vt:i4>
      </vt:variant>
      <vt:variant>
        <vt:i4>0</vt:i4>
      </vt:variant>
      <vt:variant>
        <vt:i4>5</vt:i4>
      </vt:variant>
      <vt:variant>
        <vt:lpwstr/>
      </vt:variant>
      <vt:variant>
        <vt:lpwstr>_Toc150032849</vt:lpwstr>
      </vt:variant>
      <vt:variant>
        <vt:i4>1310778</vt:i4>
      </vt:variant>
      <vt:variant>
        <vt:i4>80</vt:i4>
      </vt:variant>
      <vt:variant>
        <vt:i4>0</vt:i4>
      </vt:variant>
      <vt:variant>
        <vt:i4>5</vt:i4>
      </vt:variant>
      <vt:variant>
        <vt:lpwstr/>
      </vt:variant>
      <vt:variant>
        <vt:lpwstr>_Toc150032848</vt:lpwstr>
      </vt:variant>
      <vt:variant>
        <vt:i4>1310778</vt:i4>
      </vt:variant>
      <vt:variant>
        <vt:i4>74</vt:i4>
      </vt:variant>
      <vt:variant>
        <vt:i4>0</vt:i4>
      </vt:variant>
      <vt:variant>
        <vt:i4>5</vt:i4>
      </vt:variant>
      <vt:variant>
        <vt:lpwstr/>
      </vt:variant>
      <vt:variant>
        <vt:lpwstr>_Toc150032847</vt:lpwstr>
      </vt:variant>
      <vt:variant>
        <vt:i4>1310778</vt:i4>
      </vt:variant>
      <vt:variant>
        <vt:i4>68</vt:i4>
      </vt:variant>
      <vt:variant>
        <vt:i4>0</vt:i4>
      </vt:variant>
      <vt:variant>
        <vt:i4>5</vt:i4>
      </vt:variant>
      <vt:variant>
        <vt:lpwstr/>
      </vt:variant>
      <vt:variant>
        <vt:lpwstr>_Toc150032846</vt:lpwstr>
      </vt:variant>
      <vt:variant>
        <vt:i4>1310778</vt:i4>
      </vt:variant>
      <vt:variant>
        <vt:i4>62</vt:i4>
      </vt:variant>
      <vt:variant>
        <vt:i4>0</vt:i4>
      </vt:variant>
      <vt:variant>
        <vt:i4>5</vt:i4>
      </vt:variant>
      <vt:variant>
        <vt:lpwstr/>
      </vt:variant>
      <vt:variant>
        <vt:lpwstr>_Toc150032845</vt:lpwstr>
      </vt:variant>
      <vt:variant>
        <vt:i4>1310778</vt:i4>
      </vt:variant>
      <vt:variant>
        <vt:i4>56</vt:i4>
      </vt:variant>
      <vt:variant>
        <vt:i4>0</vt:i4>
      </vt:variant>
      <vt:variant>
        <vt:i4>5</vt:i4>
      </vt:variant>
      <vt:variant>
        <vt:lpwstr/>
      </vt:variant>
      <vt:variant>
        <vt:lpwstr>_Toc150032844</vt:lpwstr>
      </vt:variant>
      <vt:variant>
        <vt:i4>1310778</vt:i4>
      </vt:variant>
      <vt:variant>
        <vt:i4>50</vt:i4>
      </vt:variant>
      <vt:variant>
        <vt:i4>0</vt:i4>
      </vt:variant>
      <vt:variant>
        <vt:i4>5</vt:i4>
      </vt:variant>
      <vt:variant>
        <vt:lpwstr/>
      </vt:variant>
      <vt:variant>
        <vt:lpwstr>_Toc150032843</vt:lpwstr>
      </vt:variant>
      <vt:variant>
        <vt:i4>1310778</vt:i4>
      </vt:variant>
      <vt:variant>
        <vt:i4>44</vt:i4>
      </vt:variant>
      <vt:variant>
        <vt:i4>0</vt:i4>
      </vt:variant>
      <vt:variant>
        <vt:i4>5</vt:i4>
      </vt:variant>
      <vt:variant>
        <vt:lpwstr/>
      </vt:variant>
      <vt:variant>
        <vt:lpwstr>_Toc150032842</vt:lpwstr>
      </vt:variant>
      <vt:variant>
        <vt:i4>1310778</vt:i4>
      </vt:variant>
      <vt:variant>
        <vt:i4>38</vt:i4>
      </vt:variant>
      <vt:variant>
        <vt:i4>0</vt:i4>
      </vt:variant>
      <vt:variant>
        <vt:i4>5</vt:i4>
      </vt:variant>
      <vt:variant>
        <vt:lpwstr/>
      </vt:variant>
      <vt:variant>
        <vt:lpwstr>_Toc150032841</vt:lpwstr>
      </vt:variant>
      <vt:variant>
        <vt:i4>1310778</vt:i4>
      </vt:variant>
      <vt:variant>
        <vt:i4>32</vt:i4>
      </vt:variant>
      <vt:variant>
        <vt:i4>0</vt:i4>
      </vt:variant>
      <vt:variant>
        <vt:i4>5</vt:i4>
      </vt:variant>
      <vt:variant>
        <vt:lpwstr/>
      </vt:variant>
      <vt:variant>
        <vt:lpwstr>_Toc150032840</vt:lpwstr>
      </vt:variant>
      <vt:variant>
        <vt:i4>1245242</vt:i4>
      </vt:variant>
      <vt:variant>
        <vt:i4>26</vt:i4>
      </vt:variant>
      <vt:variant>
        <vt:i4>0</vt:i4>
      </vt:variant>
      <vt:variant>
        <vt:i4>5</vt:i4>
      </vt:variant>
      <vt:variant>
        <vt:lpwstr/>
      </vt:variant>
      <vt:variant>
        <vt:lpwstr>_Toc150032839</vt:lpwstr>
      </vt:variant>
      <vt:variant>
        <vt:i4>1245242</vt:i4>
      </vt:variant>
      <vt:variant>
        <vt:i4>20</vt:i4>
      </vt:variant>
      <vt:variant>
        <vt:i4>0</vt:i4>
      </vt:variant>
      <vt:variant>
        <vt:i4>5</vt:i4>
      </vt:variant>
      <vt:variant>
        <vt:lpwstr/>
      </vt:variant>
      <vt:variant>
        <vt:lpwstr>_Toc150032838</vt:lpwstr>
      </vt:variant>
      <vt:variant>
        <vt:i4>1245242</vt:i4>
      </vt:variant>
      <vt:variant>
        <vt:i4>14</vt:i4>
      </vt:variant>
      <vt:variant>
        <vt:i4>0</vt:i4>
      </vt:variant>
      <vt:variant>
        <vt:i4>5</vt:i4>
      </vt:variant>
      <vt:variant>
        <vt:lpwstr/>
      </vt:variant>
      <vt:variant>
        <vt:lpwstr>_Toc150032837</vt:lpwstr>
      </vt:variant>
      <vt:variant>
        <vt:i4>1245242</vt:i4>
      </vt:variant>
      <vt:variant>
        <vt:i4>8</vt:i4>
      </vt:variant>
      <vt:variant>
        <vt:i4>0</vt:i4>
      </vt:variant>
      <vt:variant>
        <vt:i4>5</vt:i4>
      </vt:variant>
      <vt:variant>
        <vt:lpwstr/>
      </vt:variant>
      <vt:variant>
        <vt:lpwstr>_Toc150032836</vt:lpwstr>
      </vt:variant>
      <vt:variant>
        <vt:i4>1245242</vt:i4>
      </vt:variant>
      <vt:variant>
        <vt:i4>2</vt:i4>
      </vt:variant>
      <vt:variant>
        <vt:i4>0</vt:i4>
      </vt:variant>
      <vt:variant>
        <vt:i4>5</vt:i4>
      </vt:variant>
      <vt:variant>
        <vt:lpwstr/>
      </vt:variant>
      <vt:variant>
        <vt:lpwstr>_Toc150032835</vt:lpwstr>
      </vt:variant>
    </vt:vector>
  </HLinks>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
  <dc:subject/>
  <dc:creator>Mbubit, Bens Mbubit</dc:creator>
  <cp:keywords/>
  <dc:description/>
  <cp:lastModifiedBy>Bento, Thali</cp:lastModifiedBy>
  <cp:revision>3</cp:revision>
  <cp:lastPrinted>2024-10-02T15:04:00Z</cp:lastPrinted>
  <dcterms:created xsi:type="dcterms:W3CDTF">2024-10-02T15:04:00Z</dcterms:created>
  <dcterms:modified xsi:type="dcterms:W3CDTF">2024-10-02T15:04:00Z</dcterms:modified>
</cp:coreProperties>
</file>

<file path=docProps/custom.xml><?xml version="1.0" encoding="utf-8"?>
<Properties xmlns="http://schemas.openxmlformats.org/officeDocument/2006/custom-properties" xmlns:vt="http://schemas.openxmlformats.org/officeDocument/2006/docPropsVTypes">
  <property fmtid="{D5CDD505-2E9C-101B-9397-08002B2CF9AE}" pid="2" name="GrammarlyDocumentId">
    <vt:lpwstr>d26c025f3f798c9e66697ca0400a3b8962fb3188f8f16646324b4684de4003c3</vt:lpwstr>
  </property>
  <property fmtid="{D5CDD505-2E9C-101B-9397-08002B2CF9AE}" pid="3" name="ContentTypeId">
    <vt:lpwstr>0x0101002A4EF949725BC443AAC2C2697FD71EC5</vt:lpwstr>
  </property>
</Properties>
</file>